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7E06D" w14:textId="06158761" w:rsidR="00BF3E18" w:rsidRPr="00271DD4" w:rsidRDefault="00E30837" w:rsidP="00E30837">
      <w:pPr>
        <w:pStyle w:val="Pagedecouverture"/>
        <w:rPr>
          <w:noProof/>
        </w:rPr>
      </w:pPr>
      <w:bookmarkStart w:id="0" w:name="LW_BM_COVERPAGE"/>
      <w:r>
        <w:rPr>
          <w:noProof/>
        </w:rPr>
        <w:pict w14:anchorId="36DD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89F9E22-3E95-415E-AF29-BADB9037CC17" style="width:455.25pt;height:336.75pt">
            <v:imagedata r:id="rId8" o:title=""/>
          </v:shape>
        </w:pict>
      </w:r>
    </w:p>
    <w:bookmarkEnd w:id="0"/>
    <w:p w14:paraId="753983E5" w14:textId="77777777" w:rsidR="00BF3E18" w:rsidRPr="00271DD4" w:rsidRDefault="00BF3E18" w:rsidP="00BF3E18">
      <w:pPr>
        <w:rPr>
          <w:noProof/>
          <w:lang w:val="en-IE"/>
        </w:rPr>
        <w:sectPr w:rsidR="00BF3E18" w:rsidRPr="00271DD4" w:rsidSect="00E3083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A85E147" w14:textId="77777777" w:rsidR="007527C5" w:rsidRPr="00500188" w:rsidRDefault="007527C5" w:rsidP="006C677A">
      <w:pPr>
        <w:pStyle w:val="ListParagraph"/>
        <w:numPr>
          <w:ilvl w:val="0"/>
          <w:numId w:val="1"/>
        </w:numPr>
        <w:spacing w:after="120" w:line="276" w:lineRule="auto"/>
        <w:contextualSpacing w:val="0"/>
        <w:jc w:val="both"/>
        <w:outlineLvl w:val="0"/>
        <w:rPr>
          <w:rFonts w:ascii="Times New Roman" w:eastAsia="Calibri" w:hAnsi="Times New Roman" w:cs="Times New Roman"/>
          <w:b/>
          <w:noProof/>
          <w:sz w:val="24"/>
          <w:szCs w:val="24"/>
        </w:rPr>
      </w:pPr>
      <w:bookmarkStart w:id="1" w:name="_GoBack"/>
      <w:bookmarkEnd w:id="1"/>
      <w:r w:rsidRPr="00500188">
        <w:rPr>
          <w:rFonts w:ascii="Times New Roman" w:hAnsi="Times New Roman"/>
          <w:b/>
          <w:noProof/>
          <w:sz w:val="24"/>
        </w:rPr>
        <w:lastRenderedPageBreak/>
        <w:t>Introducere</w:t>
      </w:r>
    </w:p>
    <w:p w14:paraId="42C1BF81" w14:textId="5601D0BD" w:rsidR="00CD64AD" w:rsidRDefault="007527C5" w:rsidP="006C677A">
      <w:pPr>
        <w:spacing w:after="120" w:line="276" w:lineRule="auto"/>
        <w:jc w:val="both"/>
        <w:rPr>
          <w:rFonts w:ascii="Times New Roman" w:eastAsia="Calibri" w:hAnsi="Times New Roman" w:cs="Times New Roman"/>
          <w:noProof/>
          <w:sz w:val="24"/>
          <w:szCs w:val="24"/>
        </w:rPr>
      </w:pPr>
      <w:r w:rsidRPr="00500188">
        <w:rPr>
          <w:rFonts w:ascii="Times New Roman" w:hAnsi="Times New Roman"/>
          <w:b/>
          <w:noProof/>
          <w:sz w:val="24"/>
        </w:rPr>
        <w:t>În 1972, în Raportul</w:t>
      </w:r>
      <w:r w:rsidRPr="00D77CE4">
        <w:rPr>
          <w:rFonts w:ascii="Times New Roman" w:hAnsi="Times New Roman"/>
          <w:b/>
          <w:i/>
          <w:noProof/>
          <w:sz w:val="24"/>
        </w:rPr>
        <w:t xml:space="preserve"> „Limitele creșterii economice”</w:t>
      </w:r>
      <w:r w:rsidRPr="00500188">
        <w:rPr>
          <w:rFonts w:ascii="Times New Roman" w:hAnsi="Times New Roman"/>
          <w:b/>
          <w:noProof/>
          <w:sz w:val="24"/>
        </w:rPr>
        <w:t>, Clubul de la Roma a avertizat cu privire la consecințele asupra mediului și climei ale modelului actual de creștere nesustenabilă</w:t>
      </w:r>
      <w:r>
        <w:rPr>
          <w:rFonts w:ascii="Times New Roman" w:hAnsi="Times New Roman"/>
          <w:noProof/>
          <w:sz w:val="24"/>
        </w:rPr>
        <w:t xml:space="preserve">, bazat pe consumul global de </w:t>
      </w:r>
      <w:r w:rsidRPr="00500188">
        <w:rPr>
          <w:rFonts w:ascii="Times New Roman" w:hAnsi="Times New Roman"/>
          <w:noProof/>
          <w:sz w:val="24"/>
        </w:rPr>
        <w:t>28</w:t>
      </w:r>
      <w:r>
        <w:rPr>
          <w:rFonts w:ascii="Times New Roman" w:hAnsi="Times New Roman"/>
          <w:noProof/>
          <w:sz w:val="24"/>
        </w:rPr>
        <w:t>,</w:t>
      </w:r>
      <w:r w:rsidRPr="00500188">
        <w:rPr>
          <w:rFonts w:ascii="Times New Roman" w:hAnsi="Times New Roman"/>
          <w:noProof/>
          <w:sz w:val="24"/>
        </w:rPr>
        <w:t>6</w:t>
      </w:r>
      <w:r>
        <w:rPr>
          <w:rFonts w:ascii="Times New Roman" w:hAnsi="Times New Roman"/>
          <w:noProof/>
          <w:sz w:val="24"/>
        </w:rPr>
        <w:t xml:space="preserve"> miliarde de tone de materiale în fiecare an. În cei </w:t>
      </w:r>
      <w:r w:rsidRPr="00500188">
        <w:rPr>
          <w:rFonts w:ascii="Times New Roman" w:hAnsi="Times New Roman"/>
          <w:noProof/>
          <w:sz w:val="24"/>
        </w:rPr>
        <w:t>50</w:t>
      </w:r>
      <w:r>
        <w:rPr>
          <w:rFonts w:ascii="Times New Roman" w:hAnsi="Times New Roman"/>
          <w:noProof/>
          <w:sz w:val="24"/>
        </w:rPr>
        <w:t xml:space="preserve"> de ani de la publicarea raportului, tendința de creștere continuă a cererii de resurse a devenit și mai îngrijorătoare. Începând din </w:t>
      </w:r>
      <w:r w:rsidRPr="00500188">
        <w:rPr>
          <w:rFonts w:ascii="Times New Roman" w:hAnsi="Times New Roman"/>
          <w:noProof/>
          <w:sz w:val="24"/>
        </w:rPr>
        <w:t>1972</w:t>
      </w:r>
      <w:r>
        <w:rPr>
          <w:rFonts w:ascii="Times New Roman" w:hAnsi="Times New Roman"/>
          <w:noProof/>
          <w:sz w:val="24"/>
        </w:rPr>
        <w:t xml:space="preserve">, utilizarea la nivel mondial a materialelor a crescut de aproape patru ori, ajungând la </w:t>
      </w:r>
      <w:r w:rsidRPr="00500188">
        <w:rPr>
          <w:rFonts w:ascii="Times New Roman" w:hAnsi="Times New Roman"/>
          <w:noProof/>
          <w:sz w:val="24"/>
        </w:rPr>
        <w:t>54</w:t>
      </w:r>
      <w:r>
        <w:rPr>
          <w:rFonts w:ascii="Times New Roman" w:hAnsi="Times New Roman"/>
          <w:noProof/>
          <w:sz w:val="24"/>
        </w:rPr>
        <w:t>,</w:t>
      </w:r>
      <w:r w:rsidRPr="00500188">
        <w:rPr>
          <w:rFonts w:ascii="Times New Roman" w:hAnsi="Times New Roman"/>
          <w:noProof/>
          <w:sz w:val="24"/>
        </w:rPr>
        <w:t>9</w:t>
      </w:r>
      <w:r>
        <w:rPr>
          <w:rFonts w:ascii="Times New Roman" w:hAnsi="Times New Roman"/>
          <w:noProof/>
          <w:sz w:val="24"/>
        </w:rPr>
        <w:t xml:space="preserve"> miliarde de tone pe an în </w:t>
      </w:r>
      <w:r w:rsidRPr="00500188">
        <w:rPr>
          <w:rFonts w:ascii="Times New Roman" w:hAnsi="Times New Roman"/>
          <w:noProof/>
          <w:sz w:val="24"/>
        </w:rPr>
        <w:t>2000</w:t>
      </w:r>
      <w:r>
        <w:rPr>
          <w:rFonts w:ascii="Times New Roman" w:hAnsi="Times New Roman"/>
          <w:noProof/>
          <w:sz w:val="24"/>
        </w:rPr>
        <w:t xml:space="preserve"> și la peste </w:t>
      </w:r>
      <w:r w:rsidRPr="00500188">
        <w:rPr>
          <w:rFonts w:ascii="Times New Roman" w:hAnsi="Times New Roman"/>
          <w:noProof/>
          <w:sz w:val="24"/>
        </w:rPr>
        <w:t>100</w:t>
      </w:r>
      <w:r w:rsidR="00500188">
        <w:rPr>
          <w:rFonts w:ascii="Times New Roman" w:hAnsi="Times New Roman"/>
          <w:noProof/>
          <w:sz w:val="24"/>
        </w:rPr>
        <w:t> de </w:t>
      </w:r>
      <w:r>
        <w:rPr>
          <w:rFonts w:ascii="Times New Roman" w:hAnsi="Times New Roman"/>
          <w:noProof/>
          <w:sz w:val="24"/>
        </w:rPr>
        <w:t xml:space="preserve">miliarde de tone în </w:t>
      </w:r>
      <w:r w:rsidRPr="00500188">
        <w:rPr>
          <w:rFonts w:ascii="Times New Roman" w:hAnsi="Times New Roman"/>
          <w:noProof/>
          <w:sz w:val="24"/>
        </w:rPr>
        <w:t>2019</w:t>
      </w:r>
      <w:r>
        <w:rPr>
          <w:rFonts w:ascii="Times New Roman" w:hAnsi="Times New Roman"/>
          <w:noProof/>
          <w:sz w:val="24"/>
        </w:rPr>
        <w:t xml:space="preserve">. Se preconizează că utilizarea materialelor la nivel mondial va ajunge la </w:t>
      </w:r>
      <w:r w:rsidRPr="00500188">
        <w:rPr>
          <w:rFonts w:ascii="Times New Roman" w:hAnsi="Times New Roman"/>
          <w:noProof/>
          <w:sz w:val="24"/>
        </w:rPr>
        <w:t>167</w:t>
      </w:r>
      <w:r>
        <w:rPr>
          <w:rFonts w:ascii="Times New Roman" w:hAnsi="Times New Roman"/>
          <w:noProof/>
          <w:sz w:val="24"/>
        </w:rPr>
        <w:t xml:space="preserve"> de miliarde de tone pe an în </w:t>
      </w:r>
      <w:r w:rsidRPr="00500188">
        <w:rPr>
          <w:rFonts w:ascii="Times New Roman" w:hAnsi="Times New Roman"/>
          <w:noProof/>
          <w:sz w:val="24"/>
        </w:rPr>
        <w:t>2060</w:t>
      </w:r>
      <w:r>
        <w:rPr>
          <w:rStyle w:val="FootnoteReference"/>
          <w:rFonts w:ascii="Times New Roman" w:eastAsia="Calibri" w:hAnsi="Times New Roman" w:cs="Times New Roman"/>
          <w:noProof/>
          <w:sz w:val="24"/>
          <w:szCs w:val="24"/>
          <w:lang w:val="en-IE"/>
        </w:rPr>
        <w:footnoteReference w:id="2"/>
      </w:r>
      <w:r>
        <w:rPr>
          <w:rFonts w:ascii="Times New Roman" w:hAnsi="Times New Roman"/>
          <w:noProof/>
          <w:sz w:val="24"/>
        </w:rPr>
        <w:t xml:space="preserve">. </w:t>
      </w:r>
    </w:p>
    <w:p w14:paraId="3D2028A6" w14:textId="5C3F152A" w:rsidR="007527C5" w:rsidRDefault="00C95977" w:rsidP="006C677A">
      <w:pPr>
        <w:spacing w:after="120" w:line="276" w:lineRule="auto"/>
        <w:jc w:val="both"/>
        <w:rPr>
          <w:rFonts w:ascii="Times New Roman" w:eastAsia="Calibri" w:hAnsi="Times New Roman" w:cs="Times New Roman"/>
          <w:noProof/>
          <w:sz w:val="24"/>
          <w:szCs w:val="24"/>
        </w:rPr>
      </w:pPr>
      <w:r w:rsidRPr="00500188">
        <w:rPr>
          <w:rFonts w:ascii="Times New Roman" w:hAnsi="Times New Roman"/>
          <w:b/>
          <w:noProof/>
          <w:sz w:val="24"/>
        </w:rPr>
        <w:t>Capacitatea de regenerare naturală a planetei nu a reușit să absoarbă creșterea exponențială a extracției resurselor</w:t>
      </w:r>
      <w:r>
        <w:rPr>
          <w:rFonts w:ascii="Times New Roman" w:hAnsi="Times New Roman"/>
          <w:noProof/>
          <w:sz w:val="24"/>
        </w:rPr>
        <w:t>, care sunt apoi eliminate rapid în atmosferă, în corpurile de apă și în sol</w:t>
      </w:r>
      <w:r>
        <w:rPr>
          <w:rFonts w:ascii="Times New Roman" w:eastAsia="Calibri" w:hAnsi="Times New Roman" w:cs="Times New Roman"/>
          <w:noProof/>
          <w:sz w:val="24"/>
          <w:szCs w:val="24"/>
          <w:vertAlign w:val="superscript"/>
          <w:lang w:val="en-IE"/>
        </w:rPr>
        <w:footnoteReference w:id="3"/>
      </w:r>
      <w:r>
        <w:rPr>
          <w:rFonts w:ascii="Times New Roman" w:hAnsi="Times New Roman"/>
          <w:noProof/>
          <w:sz w:val="24"/>
        </w:rPr>
        <w:t>. Sistemul global și interconectat al naturii este în dezechilibru și, în prezent, ajunge la limită, deoarece efectele devastatoare ale schimbărilor climatice și ale pierderii biodiversității se resimt foarte tare în întreaga lume.</w:t>
      </w:r>
    </w:p>
    <w:p w14:paraId="2646EA50" w14:textId="0B243AA1" w:rsidR="007527C5" w:rsidRPr="00271DD4" w:rsidRDefault="007527C5" w:rsidP="006C677A">
      <w:pPr>
        <w:spacing w:after="120" w:line="276" w:lineRule="auto"/>
        <w:jc w:val="both"/>
        <w:rPr>
          <w:rFonts w:ascii="Times New Roman" w:eastAsia="Calibri" w:hAnsi="Times New Roman" w:cs="Times New Roman"/>
          <w:noProof/>
          <w:sz w:val="24"/>
          <w:szCs w:val="24"/>
        </w:rPr>
      </w:pPr>
      <w:r w:rsidRPr="00500188">
        <w:rPr>
          <w:rFonts w:ascii="Times New Roman" w:hAnsi="Times New Roman"/>
          <w:b/>
          <w:noProof/>
          <w:sz w:val="24"/>
        </w:rPr>
        <w:t>Jumătate din totalul emisiilor de gaze cu efect de seră (GES) și peste 90 % din pierderea biodiversității și din stresul hidric sunt cauzate de extracția și prelucrarea resurselor</w:t>
      </w:r>
      <w:r>
        <w:rPr>
          <w:rFonts w:ascii="Times New Roman" w:eastAsia="Calibri" w:hAnsi="Times New Roman" w:cs="Times New Roman"/>
          <w:noProof/>
          <w:sz w:val="24"/>
          <w:szCs w:val="24"/>
          <w:vertAlign w:val="superscript"/>
          <w:lang w:val="en-IE"/>
        </w:rPr>
        <w:footnoteReference w:id="4"/>
      </w:r>
      <w:r>
        <w:rPr>
          <w:rFonts w:ascii="Times New Roman" w:hAnsi="Times New Roman"/>
          <w:noProof/>
          <w:sz w:val="24"/>
        </w:rPr>
        <w:t>. Reducerea emisiilor de gaze cu efect de seră și reducerea utilizării materiilor prime sunt două fețe ale aceleiași monede. Legătura importantă dintre biodiversitate și economia circulară este recunoscută într-o măsură tot mai mare. Fără transformarea radicală a modului în care utilizăm materialele pentru a răspunde nevoilor noastre, promovând schimbarea în cadrul sistemelor noastre de producție și consum, nu putem reduce în mod substanțial emisiile și nu putem conserva natura pentru generațiile actuale și viitoare.</w:t>
      </w:r>
    </w:p>
    <w:p w14:paraId="6C3F337F" w14:textId="254CD758" w:rsidR="005D06AC" w:rsidRPr="002C3297" w:rsidRDefault="005D06AC" w:rsidP="006C677A">
      <w:pPr>
        <w:spacing w:after="120" w:line="276" w:lineRule="auto"/>
        <w:jc w:val="both"/>
        <w:rPr>
          <w:rFonts w:ascii="Times New Roman" w:eastAsia="Calibri" w:hAnsi="Times New Roman" w:cs="Times New Roman"/>
          <w:noProof/>
          <w:sz w:val="24"/>
          <w:szCs w:val="24"/>
        </w:rPr>
      </w:pPr>
      <w:r w:rsidRPr="00500188">
        <w:rPr>
          <w:rFonts w:ascii="Times New Roman" w:hAnsi="Times New Roman"/>
          <w:b/>
          <w:noProof/>
          <w:sz w:val="24"/>
        </w:rPr>
        <w:t>Majoritatea materialelor, împreună cu energia încorporată și alte resurse utilizate în producția lor, se pierd la sfârșitul ciclului lor economic inițial</w:t>
      </w:r>
      <w:r>
        <w:rPr>
          <w:rFonts w:ascii="Times New Roman" w:hAnsi="Times New Roman"/>
          <w:noProof/>
          <w:sz w:val="24"/>
        </w:rPr>
        <w:t>: circularitatea materialelor</w:t>
      </w:r>
      <w:r>
        <w:rPr>
          <w:rStyle w:val="FootnoteReference"/>
          <w:rFonts w:ascii="Times New Roman" w:eastAsia="Calibri" w:hAnsi="Times New Roman" w:cs="Times New Roman"/>
          <w:noProof/>
          <w:sz w:val="24"/>
          <w:szCs w:val="24"/>
          <w:lang w:val="en-IE"/>
        </w:rPr>
        <w:footnoteReference w:id="5"/>
      </w:r>
      <w:r>
        <w:rPr>
          <w:rFonts w:ascii="Times New Roman" w:hAnsi="Times New Roman"/>
          <w:noProof/>
          <w:sz w:val="24"/>
        </w:rPr>
        <w:t xml:space="preserve"> la nivel mondial a scăzut de la </w:t>
      </w:r>
      <w:r w:rsidRPr="00500188">
        <w:rPr>
          <w:rFonts w:ascii="Times New Roman" w:hAnsi="Times New Roman"/>
          <w:noProof/>
          <w:sz w:val="24"/>
        </w:rPr>
        <w:t>9</w:t>
      </w:r>
      <w:r>
        <w:rPr>
          <w:rFonts w:ascii="Times New Roman" w:hAnsi="Times New Roman"/>
          <w:noProof/>
          <w:sz w:val="24"/>
        </w:rPr>
        <w:t>,</w:t>
      </w:r>
      <w:r w:rsidRPr="00500188">
        <w:rPr>
          <w:rFonts w:ascii="Times New Roman" w:hAnsi="Times New Roman"/>
          <w:noProof/>
          <w:sz w:val="24"/>
        </w:rPr>
        <w:t>1</w:t>
      </w:r>
      <w:r>
        <w:rPr>
          <w:rFonts w:ascii="Times New Roman" w:hAnsi="Times New Roman"/>
          <w:noProof/>
          <w:sz w:val="24"/>
        </w:rPr>
        <w:t xml:space="preserve"> % în </w:t>
      </w:r>
      <w:r w:rsidRPr="00500188">
        <w:rPr>
          <w:rFonts w:ascii="Times New Roman" w:hAnsi="Times New Roman"/>
          <w:noProof/>
          <w:sz w:val="24"/>
        </w:rPr>
        <w:t>2018</w:t>
      </w:r>
      <w:r>
        <w:rPr>
          <w:rFonts w:ascii="Times New Roman" w:hAnsi="Times New Roman"/>
          <w:noProof/>
          <w:sz w:val="24"/>
        </w:rPr>
        <w:t xml:space="preserve"> la </w:t>
      </w:r>
      <w:r w:rsidRPr="00500188">
        <w:rPr>
          <w:rFonts w:ascii="Times New Roman" w:hAnsi="Times New Roman"/>
          <w:noProof/>
          <w:sz w:val="24"/>
        </w:rPr>
        <w:t>7</w:t>
      </w:r>
      <w:r>
        <w:rPr>
          <w:rFonts w:ascii="Times New Roman" w:hAnsi="Times New Roman"/>
          <w:noProof/>
          <w:sz w:val="24"/>
        </w:rPr>
        <w:t>,</w:t>
      </w:r>
      <w:r w:rsidRPr="00500188">
        <w:rPr>
          <w:rFonts w:ascii="Times New Roman" w:hAnsi="Times New Roman"/>
          <w:noProof/>
          <w:sz w:val="24"/>
        </w:rPr>
        <w:t>2</w:t>
      </w:r>
      <w:r>
        <w:rPr>
          <w:rFonts w:ascii="Times New Roman" w:hAnsi="Times New Roman"/>
          <w:noProof/>
          <w:sz w:val="24"/>
        </w:rPr>
        <w:t> % în prezent</w:t>
      </w:r>
      <w:r>
        <w:rPr>
          <w:rStyle w:val="FootnoteReference"/>
          <w:rFonts w:ascii="Times New Roman" w:eastAsia="Calibri" w:hAnsi="Times New Roman" w:cs="Times New Roman"/>
          <w:noProof/>
          <w:sz w:val="24"/>
          <w:szCs w:val="24"/>
          <w:lang w:val="en-IE"/>
        </w:rPr>
        <w:footnoteReference w:id="6"/>
      </w:r>
      <w:r>
        <w:rPr>
          <w:rFonts w:ascii="Times New Roman" w:hAnsi="Times New Roman"/>
          <w:noProof/>
          <w:sz w:val="24"/>
        </w:rPr>
        <w:t xml:space="preserve">. În UE, </w:t>
      </w:r>
      <w:r w:rsidRPr="00500188">
        <w:rPr>
          <w:rFonts w:ascii="Times New Roman" w:hAnsi="Times New Roman"/>
          <w:noProof/>
          <w:sz w:val="24"/>
        </w:rPr>
        <w:t>8</w:t>
      </w:r>
      <w:r>
        <w:rPr>
          <w:rFonts w:ascii="Times New Roman" w:hAnsi="Times New Roman"/>
          <w:noProof/>
          <w:sz w:val="24"/>
        </w:rPr>
        <w:t>,</w:t>
      </w:r>
      <w:r w:rsidRPr="00500188">
        <w:rPr>
          <w:rFonts w:ascii="Times New Roman" w:hAnsi="Times New Roman"/>
          <w:noProof/>
          <w:sz w:val="24"/>
        </w:rPr>
        <w:t>1</w:t>
      </w:r>
      <w:r>
        <w:rPr>
          <w:rFonts w:ascii="Times New Roman" w:hAnsi="Times New Roman"/>
          <w:noProof/>
          <w:sz w:val="24"/>
        </w:rPr>
        <w:t xml:space="preserve"> miliarde de tone de materiale sunt prelucrate anual în energie sau în produse, dar doar </w:t>
      </w:r>
      <w:r w:rsidRPr="00500188">
        <w:rPr>
          <w:rFonts w:ascii="Times New Roman" w:hAnsi="Times New Roman"/>
          <w:noProof/>
          <w:sz w:val="24"/>
        </w:rPr>
        <w:t>0</w:t>
      </w:r>
      <w:r>
        <w:rPr>
          <w:rFonts w:ascii="Times New Roman" w:hAnsi="Times New Roman"/>
          <w:noProof/>
          <w:sz w:val="24"/>
        </w:rPr>
        <w:t>,</w:t>
      </w:r>
      <w:r w:rsidRPr="00500188">
        <w:rPr>
          <w:rFonts w:ascii="Times New Roman" w:hAnsi="Times New Roman"/>
          <w:noProof/>
          <w:sz w:val="24"/>
        </w:rPr>
        <w:t>8</w:t>
      </w:r>
      <w:r>
        <w:rPr>
          <w:rFonts w:ascii="Times New Roman" w:hAnsi="Times New Roman"/>
          <w:noProof/>
          <w:sz w:val="24"/>
        </w:rPr>
        <w:t xml:space="preserve"> miliarde de tone provin din reciclare. Deși rata circularității utilizării materialelor în UE a crescut, iar în </w:t>
      </w:r>
      <w:r w:rsidRPr="00500188">
        <w:rPr>
          <w:rFonts w:ascii="Times New Roman" w:hAnsi="Times New Roman"/>
          <w:noProof/>
          <w:sz w:val="24"/>
        </w:rPr>
        <w:t>2021</w:t>
      </w:r>
      <w:r>
        <w:rPr>
          <w:rFonts w:ascii="Times New Roman" w:hAnsi="Times New Roman"/>
          <w:noProof/>
          <w:sz w:val="24"/>
        </w:rPr>
        <w:t xml:space="preserve"> a fost de </w:t>
      </w:r>
      <w:r w:rsidRPr="00500188">
        <w:rPr>
          <w:rFonts w:ascii="Times New Roman" w:hAnsi="Times New Roman"/>
          <w:noProof/>
          <w:sz w:val="24"/>
        </w:rPr>
        <w:t>11</w:t>
      </w:r>
      <w:r>
        <w:rPr>
          <w:rFonts w:ascii="Times New Roman" w:hAnsi="Times New Roman"/>
          <w:noProof/>
          <w:sz w:val="24"/>
        </w:rPr>
        <w:t>,</w:t>
      </w:r>
      <w:r w:rsidRPr="00500188">
        <w:rPr>
          <w:rFonts w:ascii="Times New Roman" w:hAnsi="Times New Roman"/>
          <w:noProof/>
          <w:sz w:val="24"/>
        </w:rPr>
        <w:t>7</w:t>
      </w:r>
      <w:r>
        <w:rPr>
          <w:rFonts w:ascii="Times New Roman" w:hAnsi="Times New Roman"/>
          <w:noProof/>
          <w:sz w:val="24"/>
        </w:rPr>
        <w:t xml:space="preserve"> %, cu </w:t>
      </w:r>
      <w:r w:rsidRPr="00500188">
        <w:rPr>
          <w:rFonts w:ascii="Times New Roman" w:hAnsi="Times New Roman"/>
          <w:noProof/>
          <w:sz w:val="24"/>
        </w:rPr>
        <w:t>3</w:t>
      </w:r>
      <w:r>
        <w:rPr>
          <w:rFonts w:ascii="Times New Roman" w:hAnsi="Times New Roman"/>
          <w:noProof/>
          <w:sz w:val="24"/>
        </w:rPr>
        <w:t>,</w:t>
      </w:r>
      <w:r w:rsidRPr="00500188">
        <w:rPr>
          <w:rFonts w:ascii="Times New Roman" w:hAnsi="Times New Roman"/>
          <w:noProof/>
          <w:sz w:val="24"/>
        </w:rPr>
        <w:t>4</w:t>
      </w:r>
      <w:r>
        <w:rPr>
          <w:rFonts w:ascii="Times New Roman" w:hAnsi="Times New Roman"/>
          <w:noProof/>
          <w:sz w:val="24"/>
        </w:rPr>
        <w:t xml:space="preserve"> puncte procentuale mai mare decât în </w:t>
      </w:r>
      <w:r w:rsidRPr="00500188">
        <w:rPr>
          <w:rFonts w:ascii="Times New Roman" w:hAnsi="Times New Roman"/>
          <w:noProof/>
          <w:sz w:val="24"/>
        </w:rPr>
        <w:t>2004</w:t>
      </w:r>
      <w:r>
        <w:rPr>
          <w:rFonts w:ascii="Times New Roman" w:hAnsi="Times New Roman"/>
          <w:noProof/>
          <w:sz w:val="24"/>
        </w:rPr>
        <w:t>, există un potențial semnificativ de îmbunătățire, în special prin creșterea gradului de utilizare a materialelor reciclate și prin reducerea cantității de materiale utilizate în economie.</w:t>
      </w:r>
    </w:p>
    <w:p w14:paraId="0DD9F181" w14:textId="40FB3FF3" w:rsidR="00CD64AD" w:rsidRDefault="00BA213E" w:rsidP="00D53242">
      <w:pPr>
        <w:spacing w:after="120" w:line="276" w:lineRule="auto"/>
        <w:jc w:val="both"/>
        <w:rPr>
          <w:rFonts w:ascii="Times New Roman" w:eastAsia="Calibri" w:hAnsi="Times New Roman" w:cs="Times New Roman"/>
          <w:noProof/>
          <w:sz w:val="24"/>
        </w:rPr>
      </w:pPr>
      <w:r w:rsidRPr="00500188">
        <w:rPr>
          <w:rFonts w:ascii="Times New Roman" w:hAnsi="Times New Roman"/>
          <w:b/>
          <w:noProof/>
          <w:sz w:val="24"/>
        </w:rPr>
        <w:t>Economia UE depinde de materiile prime din restul lumii</w:t>
      </w:r>
      <w:r>
        <w:rPr>
          <w:rFonts w:ascii="Times New Roman" w:hAnsi="Times New Roman"/>
          <w:noProof/>
          <w:sz w:val="24"/>
        </w:rPr>
        <w:t xml:space="preserve">. În </w:t>
      </w:r>
      <w:r w:rsidRPr="00500188">
        <w:rPr>
          <w:rFonts w:ascii="Times New Roman" w:hAnsi="Times New Roman"/>
          <w:noProof/>
          <w:sz w:val="24"/>
        </w:rPr>
        <w:t>2021</w:t>
      </w:r>
      <w:r>
        <w:rPr>
          <w:rFonts w:ascii="Times New Roman" w:hAnsi="Times New Roman"/>
          <w:noProof/>
          <w:sz w:val="24"/>
        </w:rPr>
        <w:t xml:space="preserve">, UE a importat </w:t>
      </w:r>
      <w:r w:rsidRPr="00500188">
        <w:rPr>
          <w:rFonts w:ascii="Times New Roman" w:hAnsi="Times New Roman"/>
          <w:noProof/>
          <w:sz w:val="24"/>
        </w:rPr>
        <w:t>1</w:t>
      </w:r>
      <w:r>
        <w:rPr>
          <w:rFonts w:ascii="Times New Roman" w:hAnsi="Times New Roman"/>
          <w:noProof/>
          <w:sz w:val="24"/>
        </w:rPr>
        <w:t>,</w:t>
      </w:r>
      <w:r w:rsidRPr="00500188">
        <w:rPr>
          <w:rFonts w:ascii="Times New Roman" w:hAnsi="Times New Roman"/>
          <w:noProof/>
          <w:sz w:val="24"/>
        </w:rPr>
        <w:t>6</w:t>
      </w:r>
      <w:r w:rsidR="00500188">
        <w:rPr>
          <w:rFonts w:ascii="Times New Roman" w:hAnsi="Times New Roman"/>
          <w:noProof/>
          <w:sz w:val="24"/>
        </w:rPr>
        <w:t> </w:t>
      </w:r>
      <w:r>
        <w:rPr>
          <w:rFonts w:ascii="Times New Roman" w:hAnsi="Times New Roman"/>
          <w:noProof/>
          <w:sz w:val="24"/>
        </w:rPr>
        <w:t>miliarde de tone de materiale din restul lumii</w:t>
      </w:r>
      <w:r>
        <w:rPr>
          <w:rFonts w:ascii="Times New Roman" w:eastAsia="Calibri" w:hAnsi="Times New Roman" w:cs="Times New Roman"/>
          <w:noProof/>
          <w:sz w:val="24"/>
          <w:vertAlign w:val="superscript"/>
          <w:lang w:val="en-IE"/>
        </w:rPr>
        <w:footnoteReference w:id="7"/>
      </w:r>
      <w:r>
        <w:rPr>
          <w:rFonts w:ascii="Times New Roman" w:hAnsi="Times New Roman"/>
          <w:noProof/>
          <w:sz w:val="24"/>
        </w:rPr>
        <w:t xml:space="preserve">. Minereurile metalifere și materialele energetice fosile au reprezentat </w:t>
      </w:r>
      <w:r w:rsidRPr="00500188">
        <w:rPr>
          <w:rFonts w:ascii="Times New Roman" w:hAnsi="Times New Roman"/>
          <w:noProof/>
          <w:sz w:val="24"/>
        </w:rPr>
        <w:t>58</w:t>
      </w:r>
      <w:r>
        <w:rPr>
          <w:rFonts w:ascii="Times New Roman" w:hAnsi="Times New Roman"/>
          <w:noProof/>
          <w:sz w:val="24"/>
        </w:rPr>
        <w:t> % din aceste importuri</w:t>
      </w:r>
      <w:r>
        <w:rPr>
          <w:rFonts w:ascii="Times New Roman" w:eastAsia="Calibri" w:hAnsi="Times New Roman" w:cs="Times New Roman"/>
          <w:noProof/>
          <w:sz w:val="24"/>
          <w:vertAlign w:val="superscript"/>
          <w:lang w:val="en-IE"/>
        </w:rPr>
        <w:footnoteReference w:id="8"/>
      </w:r>
      <w:r>
        <w:rPr>
          <w:rFonts w:ascii="Times New Roman" w:hAnsi="Times New Roman"/>
          <w:noProof/>
          <w:sz w:val="24"/>
        </w:rPr>
        <w:t>. În plus, aprovizionarea UE cu materii prime critice, care sunt necesare pentru tranziția verde, este expusă unui risc semnificativ și este adesea asociată cu efecte negative asupra mediului în țările terțe. Ca parte a inițiativelor sale recente privind materiile prime critice, UE își intensifică eforturile de asigurare a circularității materiilor prime critice în sens larg</w:t>
      </w:r>
      <w:r>
        <w:rPr>
          <w:rStyle w:val="FootnoteReference"/>
          <w:rFonts w:ascii="Times New Roman" w:eastAsia="Calibri" w:hAnsi="Times New Roman" w:cs="Times New Roman"/>
          <w:noProof/>
          <w:sz w:val="24"/>
          <w:lang w:val="en-IE"/>
        </w:rPr>
        <w:footnoteReference w:id="9"/>
      </w:r>
      <w:r>
        <w:rPr>
          <w:rFonts w:ascii="Times New Roman" w:hAnsi="Times New Roman"/>
          <w:noProof/>
          <w:sz w:val="24"/>
        </w:rPr>
        <w:t xml:space="preserve"> și, în special, de consolidare a capacităților, sistemelor și tehnologiilor de reciclare pentru a produce materiale secundare în UE</w:t>
      </w:r>
      <w:r>
        <w:rPr>
          <w:rStyle w:val="FootnoteReference"/>
          <w:rFonts w:ascii="Times New Roman" w:eastAsia="Calibri" w:hAnsi="Times New Roman" w:cs="Times New Roman"/>
          <w:noProof/>
          <w:sz w:val="24"/>
          <w:lang w:val="en-IE"/>
        </w:rPr>
        <w:footnoteReference w:id="10"/>
      </w:r>
      <w:r>
        <w:rPr>
          <w:rFonts w:ascii="Times New Roman" w:hAnsi="Times New Roman"/>
          <w:noProof/>
          <w:sz w:val="24"/>
        </w:rPr>
        <w:t>.</w:t>
      </w:r>
    </w:p>
    <w:p w14:paraId="7E523CFE" w14:textId="7464AA14" w:rsidR="007527C5" w:rsidRDefault="008C4A18" w:rsidP="006C677A">
      <w:pPr>
        <w:spacing w:after="120" w:line="276" w:lineRule="auto"/>
        <w:jc w:val="both"/>
        <w:rPr>
          <w:rFonts w:ascii="Times New Roman" w:eastAsia="Calibri" w:hAnsi="Times New Roman" w:cs="Times New Roman"/>
          <w:noProof/>
          <w:sz w:val="24"/>
        </w:rPr>
      </w:pPr>
      <w:r w:rsidRPr="00500188">
        <w:rPr>
          <w:rFonts w:ascii="Times New Roman" w:hAnsi="Times New Roman"/>
          <w:b/>
          <w:noProof/>
          <w:sz w:val="24"/>
        </w:rPr>
        <w:t>Prin reducerea cererii UE de resurse primare și de energie, tranziția către o economie mai circulară are potențialul de a spori reziliența, de a reduce dependența de importurile de energie și materiale,</w:t>
      </w:r>
      <w:r w:rsidRPr="00500188">
        <w:rPr>
          <w:b/>
          <w:noProof/>
        </w:rPr>
        <w:t xml:space="preserve"> </w:t>
      </w:r>
      <w:r w:rsidRPr="00500188">
        <w:rPr>
          <w:rFonts w:ascii="Times New Roman" w:hAnsi="Times New Roman"/>
          <w:b/>
          <w:noProof/>
          <w:sz w:val="24"/>
        </w:rPr>
        <w:t>contribuind în același timp la tranziția către o energie curată</w:t>
      </w:r>
      <w:r>
        <w:rPr>
          <w:rFonts w:ascii="Times New Roman" w:hAnsi="Times New Roman"/>
          <w:noProof/>
          <w:sz w:val="24"/>
        </w:rPr>
        <w:t>. Acest lucru este și mai important în urma crizei provocate de pandemia de COVID-</w:t>
      </w:r>
      <w:r w:rsidRPr="00500188">
        <w:rPr>
          <w:rFonts w:ascii="Times New Roman" w:hAnsi="Times New Roman"/>
          <w:noProof/>
          <w:sz w:val="24"/>
        </w:rPr>
        <w:t>19</w:t>
      </w:r>
      <w:r>
        <w:rPr>
          <w:rFonts w:ascii="Times New Roman" w:hAnsi="Times New Roman"/>
          <w:noProof/>
          <w:sz w:val="24"/>
        </w:rPr>
        <w:t xml:space="preserve"> și în contextul războiului brutal de agresiune purtat în prezent de Rusia împotriva Ucrainei. Contribuția economiei circulare la securitatea aprovizionării este deosebit de importantă, deoarece cererea de materii prime esențiale în sectoarele energiei din surse regenerabile și ale electromobilității va crește considerabil în perioada </w:t>
      </w:r>
      <w:r w:rsidRPr="00500188">
        <w:rPr>
          <w:rFonts w:ascii="Times New Roman" w:hAnsi="Times New Roman"/>
          <w:noProof/>
          <w:sz w:val="24"/>
        </w:rPr>
        <w:t>2030</w:t>
      </w:r>
      <w:r>
        <w:rPr>
          <w:rFonts w:ascii="Times New Roman" w:hAnsi="Times New Roman"/>
          <w:noProof/>
          <w:sz w:val="24"/>
        </w:rPr>
        <w:t>-</w:t>
      </w:r>
      <w:r w:rsidRPr="00500188">
        <w:rPr>
          <w:rFonts w:ascii="Times New Roman" w:hAnsi="Times New Roman"/>
          <w:noProof/>
          <w:sz w:val="24"/>
        </w:rPr>
        <w:t>2050</w:t>
      </w:r>
      <w:r>
        <w:rPr>
          <w:rFonts w:ascii="Times New Roman" w:eastAsia="Calibri" w:hAnsi="Times New Roman" w:cs="Times New Roman"/>
          <w:bCs/>
          <w:noProof/>
          <w:sz w:val="24"/>
          <w:vertAlign w:val="superscript"/>
          <w:lang w:val="en-IE"/>
        </w:rPr>
        <w:footnoteReference w:id="11"/>
      </w:r>
      <w:r>
        <w:rPr>
          <w:rFonts w:ascii="Times New Roman" w:hAnsi="Times New Roman"/>
          <w:noProof/>
          <w:sz w:val="24"/>
        </w:rPr>
        <w:t xml:space="preserve">. </w:t>
      </w:r>
    </w:p>
    <w:p w14:paraId="1A2CDD48" w14:textId="0DC03F80" w:rsidR="001A2B5D" w:rsidRPr="00271DD4" w:rsidRDefault="00942A7A" w:rsidP="00817890">
      <w:pPr>
        <w:spacing w:after="120" w:line="276" w:lineRule="auto"/>
        <w:jc w:val="both"/>
        <w:rPr>
          <w:rFonts w:ascii="Times New Roman" w:eastAsia="Calibri" w:hAnsi="Times New Roman" w:cs="Times New Roman"/>
          <w:noProof/>
          <w:sz w:val="24"/>
          <w:szCs w:val="24"/>
        </w:rPr>
      </w:pPr>
      <w:r w:rsidRPr="00500188">
        <w:rPr>
          <w:rFonts w:ascii="Times New Roman" w:hAnsi="Times New Roman"/>
          <w:b/>
          <w:noProof/>
          <w:sz w:val="24"/>
        </w:rPr>
        <w:t>Tranziția către o economie circulară este, prin urmare, o oportunitate unică pentru ca economia noastră să devină mai durabilă, mai competitivă și mai rezilientă în contextul în care:</w:t>
      </w:r>
      <w:r>
        <w:rPr>
          <w:rFonts w:ascii="Times New Roman" w:hAnsi="Times New Roman"/>
          <w:noProof/>
          <w:sz w:val="24"/>
        </w:rPr>
        <w:t xml:space="preserve"> contribuie la neutralitatea climatică, conservă biodiversitatea și ecosistemele, îmbunătățește securitatea aprovizionării și reduce dependențele strategice de materii prime, creează locuri de muncă verzi și decente la nivel local și stimulează inovarea. Circularitatea este un instrument-cheie pentru stimularea competitivității și oferă o oportunitate majoră de creștere a productivității resurselor, a ocupării forței de muncă și a creșterii economice, fapt evidențiat în strategia UE privind competitivitatea pe termen lung pentru perioada de după </w:t>
      </w:r>
      <w:r w:rsidRPr="00500188">
        <w:rPr>
          <w:rFonts w:ascii="Times New Roman" w:hAnsi="Times New Roman"/>
          <w:noProof/>
          <w:sz w:val="24"/>
        </w:rPr>
        <w:t>2030</w:t>
      </w:r>
      <w:r>
        <w:rPr>
          <w:rStyle w:val="FootnoteReference"/>
          <w:rFonts w:ascii="Times New Roman" w:eastAsia="Calibri" w:hAnsi="Times New Roman" w:cs="Times New Roman"/>
          <w:bCs/>
          <w:noProof/>
          <w:sz w:val="24"/>
          <w:lang w:val="en-IE"/>
        </w:rPr>
        <w:footnoteReference w:id="12"/>
      </w:r>
      <w:r>
        <w:rPr>
          <w:rFonts w:ascii="Times New Roman" w:hAnsi="Times New Roman"/>
          <w:noProof/>
          <w:sz w:val="24"/>
        </w:rPr>
        <w:t>. Acest lucru va contribui, de asemenea, la realizarea obiectivelor de dezvoltare durabilă ale ONU</w:t>
      </w:r>
      <w:r>
        <w:rPr>
          <w:rFonts w:ascii="Times New Roman" w:eastAsia="Calibri" w:hAnsi="Times New Roman" w:cs="Times New Roman"/>
          <w:bCs/>
          <w:noProof/>
          <w:sz w:val="24"/>
          <w:vertAlign w:val="superscript"/>
          <w:lang w:val="en-IE"/>
        </w:rPr>
        <w:footnoteReference w:id="13"/>
      </w:r>
      <w:r>
        <w:rPr>
          <w:rFonts w:ascii="Times New Roman" w:hAnsi="Times New Roman"/>
          <w:noProof/>
          <w:sz w:val="24"/>
        </w:rPr>
        <w:t>. Prin urmare, este necesară monitorizarea tendințelor în domenii legate de economia circulară pentru a evalua eficacitatea politicilor și a acțiunilor și pentru a contribui la identificarea lacunelor și a reușitelor</w:t>
      </w:r>
      <w:r>
        <w:rPr>
          <w:noProof/>
        </w:rPr>
        <w:t xml:space="preserve"> </w:t>
      </w:r>
      <w:hyperlink r:id="rId15" w:history="1">
        <w:r>
          <w:rPr>
            <w:rFonts w:ascii="Times New Roman" w:hAnsi="Times New Roman"/>
            <w:noProof/>
            <w:sz w:val="24"/>
          </w:rPr>
          <w:t>în</w:t>
        </w:r>
      </w:hyperlink>
      <w:r>
        <w:rPr>
          <w:rFonts w:ascii="Times New Roman" w:hAnsi="Times New Roman"/>
          <w:noProof/>
          <w:sz w:val="24"/>
        </w:rPr>
        <w:t xml:space="preserve"> întreaga UE. </w:t>
      </w:r>
    </w:p>
    <w:p w14:paraId="43C2175E" w14:textId="0AA8906E" w:rsidR="00E13C55" w:rsidRDefault="001A2B5D" w:rsidP="006C677A">
      <w:pPr>
        <w:spacing w:after="120" w:line="276" w:lineRule="auto"/>
        <w:jc w:val="both"/>
        <w:rPr>
          <w:rFonts w:ascii="Times New Roman" w:eastAsia="Calibri" w:hAnsi="Times New Roman" w:cs="Times New Roman"/>
          <w:noProof/>
          <w:sz w:val="24"/>
        </w:rPr>
      </w:pPr>
      <w:r>
        <w:rPr>
          <w:rFonts w:ascii="Times New Roman" w:hAnsi="Times New Roman"/>
          <w:noProof/>
          <w:sz w:val="24"/>
        </w:rPr>
        <w:t xml:space="preserve">În ianuarie </w:t>
      </w:r>
      <w:r w:rsidRPr="00500188">
        <w:rPr>
          <w:rFonts w:ascii="Times New Roman" w:hAnsi="Times New Roman"/>
          <w:noProof/>
          <w:sz w:val="24"/>
        </w:rPr>
        <w:t>2018</w:t>
      </w:r>
      <w:r>
        <w:rPr>
          <w:rFonts w:ascii="Times New Roman" w:hAnsi="Times New Roman"/>
          <w:noProof/>
          <w:sz w:val="24"/>
        </w:rPr>
        <w:t xml:space="preserve">, Comisia Europeană a adoptat </w:t>
      </w:r>
      <w:r w:rsidRPr="00500188">
        <w:rPr>
          <w:rFonts w:ascii="Times New Roman" w:hAnsi="Times New Roman"/>
          <w:b/>
          <w:noProof/>
          <w:sz w:val="24"/>
        </w:rPr>
        <w:t>cadrul de monitorizare al UE pentru economia circulară</w:t>
      </w:r>
      <w:r>
        <w:rPr>
          <w:rFonts w:ascii="Times New Roman" w:eastAsia="Calibri" w:hAnsi="Times New Roman" w:cs="Times New Roman"/>
          <w:noProof/>
          <w:sz w:val="24"/>
          <w:vertAlign w:val="superscript"/>
          <w:lang w:val="en-IE"/>
        </w:rPr>
        <w:footnoteReference w:id="14"/>
      </w:r>
      <w:r>
        <w:rPr>
          <w:rFonts w:ascii="Times New Roman" w:hAnsi="Times New Roman"/>
          <w:noProof/>
          <w:sz w:val="24"/>
        </w:rPr>
        <w:t xml:space="preserve">, alcătuit dintr-un set de indicatori-cheie pentru urmărirea progreselor înregistrate în UE și în statele membre. Alte instituții ale UE au salutat cadrul de monitorizare și, în contextul revizuirii acestuia, au subliniat necesitatea de a pune un accent mai mare pe producție, mai degrabă decât pe deșeuri, și de a utiliza indicatori de amprentă. </w:t>
      </w:r>
    </w:p>
    <w:p w14:paraId="3479A03A" w14:textId="3484455A" w:rsidR="00942A7A" w:rsidRDefault="00455BE0" w:rsidP="006C677A">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În conformitate cu angajamentul asumat în noul plan de acțiune privind economia circulară pentru o Europă mai curată și mai competitivă</w:t>
      </w:r>
      <w:r>
        <w:rPr>
          <w:rStyle w:val="FootnoteReference"/>
          <w:rFonts w:ascii="Times New Roman" w:eastAsia="Calibri" w:hAnsi="Times New Roman" w:cs="Times New Roman"/>
          <w:bCs/>
          <w:noProof/>
          <w:sz w:val="24"/>
          <w:lang w:val="en-IE"/>
        </w:rPr>
        <w:footnoteReference w:id="15"/>
      </w:r>
      <w:r>
        <w:rPr>
          <w:rFonts w:ascii="Times New Roman" w:hAnsi="Times New Roman"/>
          <w:noProof/>
          <w:sz w:val="24"/>
        </w:rPr>
        <w:t xml:space="preserve">, prezenta comunicare expune </w:t>
      </w:r>
      <w:r w:rsidRPr="00500188">
        <w:rPr>
          <w:rFonts w:ascii="Times New Roman" w:hAnsi="Times New Roman"/>
          <w:b/>
          <w:noProof/>
          <w:sz w:val="24"/>
        </w:rPr>
        <w:t>un cadru de monitorizare revizuit care reflectă domeniile de interes ale economiei circulare și interconexiunile dintre circularitate, neutralitate climatică și obiectivul ambițios de reducere la zero a poluării</w:t>
      </w:r>
      <w:r>
        <w:rPr>
          <w:rFonts w:ascii="Times New Roman" w:hAnsi="Times New Roman"/>
          <w:noProof/>
          <w:sz w:val="24"/>
        </w:rPr>
        <w:t xml:space="preserve">. Acest cadru de monitorizare ține seama de prioritățile economiei circulare în contextul Pactului verde european, al celui de Al </w:t>
      </w:r>
      <w:r w:rsidRPr="00500188">
        <w:rPr>
          <w:rFonts w:ascii="Times New Roman" w:hAnsi="Times New Roman"/>
          <w:noProof/>
          <w:sz w:val="24"/>
        </w:rPr>
        <w:t>8</w:t>
      </w:r>
      <w:r>
        <w:rPr>
          <w:rFonts w:ascii="Times New Roman" w:hAnsi="Times New Roman"/>
          <w:noProof/>
          <w:sz w:val="24"/>
        </w:rPr>
        <w:t xml:space="preserve">-lea program de acțiune pentru mediu, al Agendei </w:t>
      </w:r>
      <w:r w:rsidRPr="00500188">
        <w:rPr>
          <w:rFonts w:ascii="Times New Roman" w:hAnsi="Times New Roman"/>
          <w:noProof/>
          <w:sz w:val="24"/>
        </w:rPr>
        <w:t>2030</w:t>
      </w:r>
      <w:r>
        <w:rPr>
          <w:rFonts w:ascii="Times New Roman" w:hAnsi="Times New Roman"/>
          <w:noProof/>
          <w:sz w:val="24"/>
        </w:rPr>
        <w:t xml:space="preserve"> pentru dezvoltare durabilă și al obiectivelor UE în materie de securitate a aprovizionării și reziliență.</w:t>
      </w:r>
    </w:p>
    <w:p w14:paraId="64D7229B" w14:textId="77777777" w:rsidR="00B73918" w:rsidRPr="00500188" w:rsidRDefault="00B73918" w:rsidP="006C677A">
      <w:pPr>
        <w:spacing w:after="120" w:line="276" w:lineRule="auto"/>
        <w:jc w:val="both"/>
        <w:rPr>
          <w:rFonts w:ascii="Times New Roman" w:eastAsia="Calibri" w:hAnsi="Times New Roman" w:cs="Times New Roman"/>
          <w:noProof/>
          <w:sz w:val="24"/>
          <w:szCs w:val="24"/>
        </w:rPr>
      </w:pPr>
    </w:p>
    <w:p w14:paraId="6CBCECE5" w14:textId="0AEE947A" w:rsidR="00662549" w:rsidRPr="00500188" w:rsidRDefault="00662549" w:rsidP="006C677A">
      <w:pPr>
        <w:pStyle w:val="ListParagraph"/>
        <w:numPr>
          <w:ilvl w:val="0"/>
          <w:numId w:val="1"/>
        </w:numPr>
        <w:spacing w:after="120" w:line="276" w:lineRule="auto"/>
        <w:contextualSpacing w:val="0"/>
        <w:jc w:val="both"/>
        <w:outlineLvl w:val="0"/>
        <w:rPr>
          <w:rFonts w:ascii="Times New Roman" w:eastAsia="Calibri" w:hAnsi="Times New Roman" w:cs="Times New Roman"/>
          <w:b/>
          <w:noProof/>
          <w:sz w:val="24"/>
          <w:szCs w:val="24"/>
        </w:rPr>
      </w:pPr>
      <w:r w:rsidRPr="00500188">
        <w:rPr>
          <w:rFonts w:ascii="Times New Roman" w:hAnsi="Times New Roman"/>
          <w:b/>
          <w:noProof/>
          <w:sz w:val="24"/>
        </w:rPr>
        <w:t>Revizuirea cadrului de monitorizare al UE pentru economia circulară</w:t>
      </w:r>
    </w:p>
    <w:p w14:paraId="0B18357C" w14:textId="24A92295" w:rsidR="00B95398" w:rsidRPr="00271DD4" w:rsidRDefault="00B95398" w:rsidP="00B95398">
      <w:pPr>
        <w:spacing w:after="120" w:line="276" w:lineRule="auto"/>
        <w:jc w:val="both"/>
        <w:rPr>
          <w:rFonts w:ascii="Times New Roman" w:eastAsia="Calibri" w:hAnsi="Times New Roman" w:cs="Times New Roman"/>
          <w:noProof/>
          <w:sz w:val="24"/>
          <w:szCs w:val="24"/>
        </w:rPr>
      </w:pPr>
      <w:r w:rsidRPr="00500188">
        <w:rPr>
          <w:rFonts w:ascii="Times New Roman" w:hAnsi="Times New Roman"/>
          <w:b/>
          <w:noProof/>
          <w:sz w:val="24"/>
        </w:rPr>
        <w:t>Noul cadru de monitorizare urmărește să ofere o imagine de ansamblu cuprinzătoare</w:t>
      </w:r>
      <w:r>
        <w:rPr>
          <w:rFonts w:ascii="Times New Roman" w:hAnsi="Times New Roman"/>
          <w:noProof/>
          <w:sz w:val="24"/>
        </w:rPr>
        <w:t xml:space="preserve"> prin măsurarea beneficiilor directe și indirecte ale creșterii circularității. Acesta cuprinde </w:t>
      </w:r>
      <w:r w:rsidRPr="00500188">
        <w:rPr>
          <w:rFonts w:ascii="Times New Roman" w:hAnsi="Times New Roman"/>
          <w:b/>
          <w:noProof/>
          <w:sz w:val="24"/>
        </w:rPr>
        <w:t>11</w:t>
      </w:r>
      <w:r w:rsidR="00500188" w:rsidRPr="00500188">
        <w:rPr>
          <w:rFonts w:ascii="Times New Roman" w:hAnsi="Times New Roman"/>
          <w:b/>
          <w:noProof/>
          <w:sz w:val="24"/>
        </w:rPr>
        <w:t> </w:t>
      </w:r>
      <w:r w:rsidRPr="00500188">
        <w:rPr>
          <w:rFonts w:ascii="Times New Roman" w:hAnsi="Times New Roman"/>
          <w:b/>
          <w:noProof/>
          <w:sz w:val="24"/>
        </w:rPr>
        <w:t>indicatori grupați în 5 dimensiuni:</w:t>
      </w:r>
      <w:r>
        <w:rPr>
          <w:rFonts w:ascii="Times New Roman" w:hAnsi="Times New Roman"/>
          <w:noProof/>
          <w:sz w:val="24"/>
        </w:rPr>
        <w:t xml:space="preserve"> (</w:t>
      </w:r>
      <w:r w:rsidRPr="00500188">
        <w:rPr>
          <w:rFonts w:ascii="Times New Roman" w:hAnsi="Times New Roman"/>
          <w:noProof/>
          <w:sz w:val="24"/>
        </w:rPr>
        <w:t>1</w:t>
      </w:r>
      <w:r>
        <w:rPr>
          <w:rFonts w:ascii="Times New Roman" w:hAnsi="Times New Roman"/>
          <w:noProof/>
          <w:sz w:val="24"/>
        </w:rPr>
        <w:t>) producție și consum; (</w:t>
      </w:r>
      <w:r w:rsidRPr="00500188">
        <w:rPr>
          <w:rFonts w:ascii="Times New Roman" w:hAnsi="Times New Roman"/>
          <w:noProof/>
          <w:sz w:val="24"/>
        </w:rPr>
        <w:t>2</w:t>
      </w:r>
      <w:r>
        <w:rPr>
          <w:rFonts w:ascii="Times New Roman" w:hAnsi="Times New Roman"/>
          <w:noProof/>
          <w:sz w:val="24"/>
        </w:rPr>
        <w:t>) gestionarea deșeurilor;</w:t>
      </w:r>
      <w:r w:rsidR="00500188">
        <w:rPr>
          <w:rFonts w:ascii="Times New Roman" w:hAnsi="Times New Roman"/>
          <w:noProof/>
          <w:sz w:val="24"/>
        </w:rPr>
        <w:t xml:space="preserve"> </w:t>
      </w:r>
      <w:r>
        <w:rPr>
          <w:rFonts w:ascii="Times New Roman" w:hAnsi="Times New Roman"/>
          <w:noProof/>
          <w:sz w:val="24"/>
        </w:rPr>
        <w:t>(</w:t>
      </w:r>
      <w:r w:rsidRPr="00500188">
        <w:rPr>
          <w:rFonts w:ascii="Times New Roman" w:hAnsi="Times New Roman"/>
          <w:noProof/>
          <w:sz w:val="24"/>
        </w:rPr>
        <w:t>3</w:t>
      </w:r>
      <w:r>
        <w:rPr>
          <w:rFonts w:ascii="Times New Roman" w:hAnsi="Times New Roman"/>
          <w:noProof/>
          <w:sz w:val="24"/>
        </w:rPr>
        <w:t>) materii prime secundare; (</w:t>
      </w:r>
      <w:r w:rsidRPr="00500188">
        <w:rPr>
          <w:rFonts w:ascii="Times New Roman" w:hAnsi="Times New Roman"/>
          <w:noProof/>
          <w:sz w:val="24"/>
        </w:rPr>
        <w:t>4</w:t>
      </w:r>
      <w:r>
        <w:rPr>
          <w:rFonts w:ascii="Times New Roman" w:hAnsi="Times New Roman"/>
          <w:noProof/>
          <w:sz w:val="24"/>
        </w:rPr>
        <w:t>) competitivitate și inovare și (</w:t>
      </w:r>
      <w:r w:rsidRPr="00500188">
        <w:rPr>
          <w:rFonts w:ascii="Times New Roman" w:hAnsi="Times New Roman"/>
          <w:noProof/>
          <w:sz w:val="24"/>
        </w:rPr>
        <w:t>5</w:t>
      </w:r>
      <w:r>
        <w:rPr>
          <w:rFonts w:ascii="Times New Roman" w:hAnsi="Times New Roman"/>
          <w:noProof/>
          <w:sz w:val="24"/>
        </w:rPr>
        <w:t>) durabilitate globală și reziliență. Noul cadru include o serie de noi indicatori, în special:</w:t>
      </w:r>
    </w:p>
    <w:p w14:paraId="3AC89E94" w14:textId="21007E4E" w:rsidR="00B95398" w:rsidRDefault="00B95398" w:rsidP="00B95398">
      <w:pPr>
        <w:pStyle w:val="ListParagraph"/>
        <w:numPr>
          <w:ilvl w:val="0"/>
          <w:numId w:val="4"/>
        </w:numPr>
        <w:spacing w:after="120" w:line="276" w:lineRule="auto"/>
        <w:ind w:left="714" w:hanging="357"/>
        <w:contextualSpacing w:val="0"/>
        <w:jc w:val="both"/>
        <w:rPr>
          <w:rFonts w:ascii="Times New Roman" w:eastAsia="Calibri" w:hAnsi="Times New Roman" w:cs="Times New Roman"/>
          <w:noProof/>
          <w:sz w:val="24"/>
        </w:rPr>
      </w:pPr>
      <w:r w:rsidRPr="00500188">
        <w:rPr>
          <w:rFonts w:ascii="Times New Roman" w:hAnsi="Times New Roman"/>
          <w:b/>
          <w:noProof/>
          <w:sz w:val="24"/>
        </w:rPr>
        <w:t>amprenta materiilor prime</w:t>
      </w:r>
      <w:r>
        <w:rPr>
          <w:rFonts w:ascii="Times New Roman" w:hAnsi="Times New Roman"/>
          <w:noProof/>
          <w:sz w:val="24"/>
        </w:rPr>
        <w:t xml:space="preserve">, care măsoară utilizarea generală a materialelor și reflectă cantitatea de materiale încorporate în consumul total, inclusiv bunurile importate; </w:t>
      </w:r>
    </w:p>
    <w:p w14:paraId="3D786703" w14:textId="2AFA38F3" w:rsidR="00B95398" w:rsidRPr="00271DD4" w:rsidRDefault="00B95398" w:rsidP="00B95398">
      <w:pPr>
        <w:pStyle w:val="ListParagraph"/>
        <w:numPr>
          <w:ilvl w:val="0"/>
          <w:numId w:val="4"/>
        </w:numPr>
        <w:spacing w:after="120" w:line="276" w:lineRule="auto"/>
        <w:ind w:left="714" w:hanging="357"/>
        <w:contextualSpacing w:val="0"/>
        <w:jc w:val="both"/>
        <w:rPr>
          <w:rFonts w:ascii="Times New Roman" w:eastAsia="Calibri" w:hAnsi="Times New Roman" w:cs="Times New Roman"/>
          <w:noProof/>
          <w:sz w:val="24"/>
        </w:rPr>
      </w:pPr>
      <w:r w:rsidRPr="00500188">
        <w:rPr>
          <w:rFonts w:ascii="Times New Roman" w:hAnsi="Times New Roman"/>
          <w:b/>
          <w:noProof/>
          <w:sz w:val="24"/>
        </w:rPr>
        <w:t>productivitatea resurselor</w:t>
      </w:r>
      <w:r>
        <w:rPr>
          <w:rFonts w:ascii="Times New Roman" w:hAnsi="Times New Roman"/>
          <w:noProof/>
          <w:sz w:val="24"/>
        </w:rPr>
        <w:t>, care măsoară valoarea PIB-ului din utilizarea materialelor și care demonstrează eficiența utilizării materialelor în producția de bunuri și servicii;</w:t>
      </w:r>
    </w:p>
    <w:p w14:paraId="4F14B05C" w14:textId="3A689DAE" w:rsidR="00B95398" w:rsidRPr="00500188" w:rsidRDefault="00B95398" w:rsidP="00B95398">
      <w:pPr>
        <w:pStyle w:val="ListParagraph"/>
        <w:numPr>
          <w:ilvl w:val="0"/>
          <w:numId w:val="4"/>
        </w:numPr>
        <w:spacing w:after="120" w:line="276" w:lineRule="auto"/>
        <w:contextualSpacing w:val="0"/>
        <w:jc w:val="both"/>
        <w:rPr>
          <w:rFonts w:ascii="Times New Roman" w:eastAsia="Calibri" w:hAnsi="Times New Roman" w:cs="Times New Roman"/>
          <w:b/>
          <w:bCs/>
          <w:noProof/>
          <w:sz w:val="24"/>
        </w:rPr>
      </w:pPr>
      <w:r w:rsidRPr="00500188">
        <w:rPr>
          <w:rFonts w:ascii="Times New Roman" w:hAnsi="Times New Roman"/>
          <w:b/>
          <w:noProof/>
          <w:sz w:val="24"/>
        </w:rPr>
        <w:t>amprenta consumului</w:t>
      </w:r>
      <w:r>
        <w:rPr>
          <w:rFonts w:ascii="Times New Roman" w:hAnsi="Times New Roman"/>
          <w:noProof/>
          <w:sz w:val="24"/>
        </w:rPr>
        <w:t xml:space="preserve">, care compară consumul cu limitele planetei pentru </w:t>
      </w:r>
      <w:r w:rsidRPr="00500188">
        <w:rPr>
          <w:rFonts w:ascii="Times New Roman" w:hAnsi="Times New Roman"/>
          <w:noProof/>
          <w:sz w:val="24"/>
        </w:rPr>
        <w:t>16</w:t>
      </w:r>
      <w:r w:rsidR="00500188">
        <w:rPr>
          <w:rFonts w:ascii="Times New Roman" w:hAnsi="Times New Roman"/>
          <w:noProof/>
          <w:sz w:val="24"/>
        </w:rPr>
        <w:t> </w:t>
      </w:r>
      <w:r>
        <w:rPr>
          <w:rFonts w:ascii="Times New Roman" w:hAnsi="Times New Roman"/>
          <w:noProof/>
          <w:sz w:val="24"/>
        </w:rPr>
        <w:t xml:space="preserve">categorii de impact, pe baza unei evaluări a ciclului de viață și în funcție de cele </w:t>
      </w:r>
      <w:r w:rsidRPr="00500188">
        <w:rPr>
          <w:rFonts w:ascii="Times New Roman" w:hAnsi="Times New Roman"/>
          <w:noProof/>
          <w:sz w:val="24"/>
        </w:rPr>
        <w:t>5</w:t>
      </w:r>
      <w:r w:rsidR="00500188">
        <w:rPr>
          <w:rFonts w:ascii="Times New Roman" w:hAnsi="Times New Roman"/>
          <w:noProof/>
          <w:sz w:val="24"/>
        </w:rPr>
        <w:t> </w:t>
      </w:r>
      <w:r>
        <w:rPr>
          <w:rFonts w:ascii="Times New Roman" w:hAnsi="Times New Roman"/>
          <w:noProof/>
          <w:sz w:val="24"/>
        </w:rPr>
        <w:t>domenii principale de consum (alimente, mobilitate, locuințe, bunuri de uz casnic și aparate electrocasnice);</w:t>
      </w:r>
    </w:p>
    <w:p w14:paraId="67BEA431" w14:textId="5C67881C" w:rsidR="00B95398" w:rsidRPr="00500188" w:rsidRDefault="00B95398" w:rsidP="00B95398">
      <w:pPr>
        <w:pStyle w:val="ListParagraph"/>
        <w:numPr>
          <w:ilvl w:val="0"/>
          <w:numId w:val="4"/>
        </w:numPr>
        <w:spacing w:after="120" w:line="276" w:lineRule="auto"/>
        <w:ind w:left="714" w:hanging="357"/>
        <w:contextualSpacing w:val="0"/>
        <w:jc w:val="both"/>
        <w:rPr>
          <w:rFonts w:ascii="Times New Roman" w:eastAsia="Calibri" w:hAnsi="Times New Roman" w:cs="Times New Roman"/>
          <w:b/>
          <w:bCs/>
          <w:noProof/>
          <w:sz w:val="24"/>
        </w:rPr>
      </w:pPr>
      <w:r w:rsidRPr="00500188">
        <w:rPr>
          <w:rFonts w:ascii="Times New Roman" w:hAnsi="Times New Roman"/>
          <w:b/>
          <w:noProof/>
          <w:sz w:val="24"/>
        </w:rPr>
        <w:t>emisiile de GES generate de activitățile de producție</w:t>
      </w:r>
      <w:r>
        <w:rPr>
          <w:rFonts w:ascii="Times New Roman" w:hAnsi="Times New Roman"/>
          <w:noProof/>
          <w:sz w:val="24"/>
        </w:rPr>
        <w:t>, care măsoară emisiile de GES produse de sectoarele de producție (excluzând, prin urmare, emisiile provenite de la gospodării) și care reflectă contribuția economiei circulare la neutralitatea climatică;</w:t>
      </w:r>
    </w:p>
    <w:p w14:paraId="17ADE5C9" w14:textId="0ADD7F1B" w:rsidR="00B95398" w:rsidRPr="00271DD4" w:rsidRDefault="00B95398" w:rsidP="00B95398">
      <w:pPr>
        <w:pStyle w:val="ListParagraph"/>
        <w:numPr>
          <w:ilvl w:val="0"/>
          <w:numId w:val="4"/>
        </w:numPr>
        <w:spacing w:after="120" w:line="276" w:lineRule="auto"/>
        <w:ind w:left="714" w:hanging="357"/>
        <w:contextualSpacing w:val="0"/>
        <w:jc w:val="both"/>
        <w:rPr>
          <w:rFonts w:ascii="Times New Roman" w:eastAsia="Calibri" w:hAnsi="Times New Roman" w:cs="Times New Roman"/>
          <w:noProof/>
          <w:sz w:val="24"/>
        </w:rPr>
      </w:pPr>
      <w:r w:rsidRPr="00500188">
        <w:rPr>
          <w:rFonts w:ascii="Times New Roman" w:hAnsi="Times New Roman"/>
          <w:b/>
          <w:noProof/>
          <w:sz w:val="24"/>
        </w:rPr>
        <w:t>dependența de importul de materii prime</w:t>
      </w:r>
      <w:r>
        <w:rPr>
          <w:rFonts w:ascii="Times New Roman" w:hAnsi="Times New Roman"/>
          <w:noProof/>
          <w:sz w:val="24"/>
        </w:rPr>
        <w:t>, care măsoară ponderea materiilor prime importate în utilizarea generală a materiilor prime, descrie cât de mult depinde UE de importurile de materii prime și reflectă contribuția economiei circulare la securitatea aprovizionării cu materii prime și energie și la autonomia strategică deschisă a UE</w:t>
      </w:r>
      <w:r>
        <w:rPr>
          <w:noProof/>
          <w:vertAlign w:val="superscript"/>
          <w:lang w:val="en-IE"/>
        </w:rPr>
        <w:footnoteReference w:id="16"/>
      </w:r>
      <w:r>
        <w:rPr>
          <w:rFonts w:ascii="Times New Roman" w:hAnsi="Times New Roman"/>
          <w:noProof/>
          <w:sz w:val="24"/>
        </w:rPr>
        <w:t xml:space="preserve">. Din </w:t>
      </w:r>
      <w:r w:rsidRPr="00500188">
        <w:rPr>
          <w:rFonts w:ascii="Times New Roman" w:hAnsi="Times New Roman"/>
          <w:noProof/>
          <w:sz w:val="24"/>
        </w:rPr>
        <w:t>2018</w:t>
      </w:r>
      <w:r>
        <w:rPr>
          <w:rFonts w:ascii="Times New Roman" w:hAnsi="Times New Roman"/>
          <w:noProof/>
          <w:sz w:val="24"/>
        </w:rPr>
        <w:t xml:space="preserve"> se utilizează un indicator privind autonomia în domeniul materiilor prime.</w:t>
      </w:r>
    </w:p>
    <w:p w14:paraId="05551EC6" w14:textId="77777777" w:rsidR="00B95398" w:rsidRDefault="00B95398" w:rsidP="00B95398">
      <w:pPr>
        <w:spacing w:after="120" w:line="276" w:lineRule="auto"/>
        <w:jc w:val="both"/>
        <w:rPr>
          <w:rFonts w:ascii="Times New Roman" w:eastAsia="Calibri" w:hAnsi="Times New Roman" w:cs="Times New Roman"/>
          <w:noProof/>
          <w:sz w:val="24"/>
        </w:rPr>
      </w:pPr>
      <w:r>
        <w:rPr>
          <w:rFonts w:ascii="Times New Roman" w:hAnsi="Times New Roman"/>
          <w:noProof/>
          <w:sz w:val="24"/>
        </w:rPr>
        <w:t>Se aduc modificări suplimentare la subindicatori pentru a reflecta modificările metodologice ale anumitor indicatori sau pentru a îi alinia mai bine la evoluțiile politicilor</w:t>
      </w:r>
      <w:r>
        <w:rPr>
          <w:rFonts w:ascii="Times New Roman" w:eastAsia="Calibri" w:hAnsi="Times New Roman" w:cs="Times New Roman"/>
          <w:noProof/>
          <w:sz w:val="24"/>
          <w:vertAlign w:val="superscript"/>
          <w:lang w:val="en-IE"/>
        </w:rPr>
        <w:footnoteReference w:id="17"/>
      </w:r>
      <w:r>
        <w:rPr>
          <w:rFonts w:ascii="Times New Roman" w:hAnsi="Times New Roman"/>
          <w:noProof/>
          <w:sz w:val="24"/>
        </w:rPr>
        <w:t>.</w:t>
      </w:r>
    </w:p>
    <w:p w14:paraId="087B8FA5" w14:textId="766081D7" w:rsidR="00FF2F9A" w:rsidRPr="00450685" w:rsidRDefault="00E13C55" w:rsidP="006C677A">
      <w:pPr>
        <w:spacing w:after="120" w:line="276" w:lineRule="auto"/>
        <w:jc w:val="both"/>
        <w:rPr>
          <w:rFonts w:ascii="Times New Roman" w:eastAsia="Calibri" w:hAnsi="Times New Roman" w:cs="Times New Roman"/>
          <w:noProof/>
          <w:sz w:val="24"/>
        </w:rPr>
      </w:pPr>
      <w:r>
        <w:rPr>
          <w:rFonts w:ascii="Times New Roman" w:hAnsi="Times New Roman"/>
          <w:noProof/>
          <w:sz w:val="24"/>
        </w:rPr>
        <w:t>Revizuirea cadrului de monitorizare a luat în considerare răspunsurile la consultarea publică privind cererea de contribuții</w:t>
      </w:r>
      <w:r>
        <w:rPr>
          <w:rFonts w:ascii="Times New Roman" w:eastAsia="Calibri" w:hAnsi="Times New Roman" w:cs="Times New Roman"/>
          <w:noProof/>
          <w:sz w:val="24"/>
          <w:vertAlign w:val="superscript"/>
          <w:lang w:val="en-IE"/>
        </w:rPr>
        <w:footnoteReference w:id="18"/>
      </w:r>
      <w:r>
        <w:rPr>
          <w:rFonts w:ascii="Times New Roman" w:hAnsi="Times New Roman"/>
          <w:noProof/>
          <w:sz w:val="24"/>
        </w:rPr>
        <w:t>, precum și discuțiile cu reprezentanții statelor membre și cu experții părților interesate. Indicatorii iau în considerare, de asemenea, acțiunile naționale, internaționale</w:t>
      </w:r>
      <w:r>
        <w:rPr>
          <w:rFonts w:ascii="Times New Roman" w:eastAsia="Calibri" w:hAnsi="Times New Roman" w:cs="Times New Roman"/>
          <w:noProof/>
          <w:sz w:val="24"/>
          <w:vertAlign w:val="superscript"/>
          <w:lang w:val="en-IE"/>
        </w:rPr>
        <w:footnoteReference w:id="19"/>
      </w:r>
      <w:r>
        <w:rPr>
          <w:rFonts w:ascii="Times New Roman" w:hAnsi="Times New Roman"/>
          <w:noProof/>
          <w:sz w:val="24"/>
        </w:rPr>
        <w:t xml:space="preserve"> și ale părților interesate</w:t>
      </w:r>
      <w:r>
        <w:rPr>
          <w:rFonts w:ascii="Times New Roman" w:eastAsia="Calibri" w:hAnsi="Times New Roman" w:cs="Times New Roman"/>
          <w:noProof/>
          <w:sz w:val="24"/>
          <w:vertAlign w:val="superscript"/>
          <w:lang w:val="en-IE"/>
        </w:rPr>
        <w:footnoteReference w:id="20"/>
      </w:r>
      <w:r>
        <w:rPr>
          <w:rFonts w:ascii="Times New Roman" w:hAnsi="Times New Roman"/>
          <w:noProof/>
          <w:sz w:val="24"/>
        </w:rPr>
        <w:t xml:space="preserve"> privind monitorizarea economiei circulare și a sustenabilității</w:t>
      </w:r>
      <w:r>
        <w:rPr>
          <w:rStyle w:val="FootnoteReference"/>
          <w:rFonts w:ascii="Times New Roman" w:eastAsia="Calibri" w:hAnsi="Times New Roman" w:cs="Times New Roman"/>
          <w:noProof/>
          <w:sz w:val="24"/>
          <w:lang w:val="en-IE"/>
        </w:rPr>
        <w:footnoteReference w:id="21"/>
      </w:r>
      <w:r>
        <w:rPr>
          <w:rFonts w:ascii="Times New Roman" w:hAnsi="Times New Roman"/>
          <w:noProof/>
          <w:sz w:val="24"/>
        </w:rPr>
        <w:t>.</w:t>
      </w:r>
    </w:p>
    <w:p w14:paraId="7F7AF37D" w14:textId="2DE0D6B1" w:rsidR="00BC53C8" w:rsidRDefault="00BC53C8" w:rsidP="00BC53C8">
      <w:pPr>
        <w:spacing w:after="200" w:line="276" w:lineRule="auto"/>
        <w:jc w:val="both"/>
        <w:rPr>
          <w:rFonts w:ascii="Times New Roman" w:eastAsia="Calibri" w:hAnsi="Times New Roman" w:cs="Times New Roman"/>
          <w:noProof/>
          <w:sz w:val="24"/>
        </w:rPr>
      </w:pPr>
      <w:r>
        <w:rPr>
          <w:rFonts w:ascii="Times New Roman" w:hAnsi="Times New Roman"/>
          <w:noProof/>
          <w:sz w:val="24"/>
        </w:rPr>
        <w:t xml:space="preserve">Indicatorii din cadrul revizuit sunt în concordanță cu alte instrumente de monitorizare ale UE, în special cu cadrul de monitorizare pentru cel de Al </w:t>
      </w:r>
      <w:r w:rsidRPr="00500188">
        <w:rPr>
          <w:rFonts w:ascii="Times New Roman" w:hAnsi="Times New Roman"/>
          <w:noProof/>
          <w:sz w:val="24"/>
        </w:rPr>
        <w:t>8</w:t>
      </w:r>
      <w:r>
        <w:rPr>
          <w:rFonts w:ascii="Times New Roman" w:hAnsi="Times New Roman"/>
          <w:noProof/>
          <w:sz w:val="24"/>
        </w:rPr>
        <w:t>-lea program de acțiune pentru mediu</w:t>
      </w:r>
      <w:r>
        <w:rPr>
          <w:rStyle w:val="FootnoteReference"/>
          <w:rFonts w:ascii="Times New Roman" w:eastAsia="Calibri" w:hAnsi="Times New Roman" w:cs="Times New Roman"/>
          <w:noProof/>
          <w:sz w:val="24"/>
          <w:lang w:val="en-IE"/>
        </w:rPr>
        <w:footnoteReference w:id="22"/>
      </w:r>
      <w:r>
        <w:rPr>
          <w:rFonts w:ascii="Times New Roman" w:hAnsi="Times New Roman"/>
          <w:noProof/>
          <w:sz w:val="24"/>
        </w:rPr>
        <w:t>; monitorizarea și perspectivele privind reducerea la zero a poluării</w:t>
      </w:r>
      <w:r>
        <w:rPr>
          <w:rStyle w:val="FootnoteReference"/>
          <w:rFonts w:ascii="Times New Roman" w:eastAsia="Calibri" w:hAnsi="Times New Roman" w:cs="Times New Roman"/>
          <w:noProof/>
          <w:sz w:val="24"/>
          <w:lang w:val="en-IE"/>
        </w:rPr>
        <w:footnoteReference w:id="23"/>
      </w:r>
      <w:r>
        <w:rPr>
          <w:rFonts w:ascii="Times New Roman" w:hAnsi="Times New Roman"/>
          <w:noProof/>
          <w:sz w:val="24"/>
        </w:rPr>
        <w:t>; indicatorii UE pentru obiectivele de dezvoltare durabilă</w:t>
      </w:r>
      <w:r>
        <w:rPr>
          <w:rStyle w:val="FootnoteReference"/>
          <w:rFonts w:ascii="Times New Roman" w:eastAsia="Calibri" w:hAnsi="Times New Roman" w:cs="Times New Roman"/>
          <w:noProof/>
          <w:sz w:val="24"/>
          <w:lang w:val="en-IE"/>
        </w:rPr>
        <w:footnoteReference w:id="24"/>
      </w:r>
      <w:r>
        <w:rPr>
          <w:rFonts w:ascii="Times New Roman" w:hAnsi="Times New Roman"/>
          <w:noProof/>
          <w:sz w:val="24"/>
        </w:rPr>
        <w:t xml:space="preserve"> și tabloul de bord privind reziliența</w:t>
      </w:r>
      <w:r>
        <w:rPr>
          <w:rStyle w:val="FootnoteReference"/>
          <w:rFonts w:ascii="Times New Roman" w:eastAsia="Calibri" w:hAnsi="Times New Roman" w:cs="Times New Roman"/>
          <w:noProof/>
          <w:sz w:val="24"/>
          <w:lang w:val="en-IE"/>
        </w:rPr>
        <w:footnoteReference w:id="25"/>
      </w:r>
      <w:r>
        <w:rPr>
          <w:rFonts w:ascii="Times New Roman" w:hAnsi="Times New Roman"/>
          <w:noProof/>
          <w:sz w:val="24"/>
        </w:rPr>
        <w:t xml:space="preserve">. </w:t>
      </w:r>
    </w:p>
    <w:p w14:paraId="2ADBFD85" w14:textId="61548078" w:rsidR="00BC53C8" w:rsidRDefault="00BC53C8" w:rsidP="00BC53C8">
      <w:pPr>
        <w:spacing w:after="200" w:line="276" w:lineRule="auto"/>
        <w:jc w:val="both"/>
        <w:rPr>
          <w:rFonts w:ascii="Times New Roman" w:eastAsia="Calibri" w:hAnsi="Times New Roman" w:cs="Times New Roman"/>
          <w:noProof/>
          <w:sz w:val="24"/>
        </w:rPr>
      </w:pPr>
      <w:r>
        <w:rPr>
          <w:rFonts w:ascii="Times New Roman" w:hAnsi="Times New Roman"/>
          <w:noProof/>
          <w:sz w:val="24"/>
        </w:rPr>
        <w:t>Majoritatea indicatorilor – dar nu toți – se bazează pe statisticile oficiale furnizate de Eurostat. Toți indicatorii îndeplinesc criteriile de relevanță, acceptare, credibilitate, ușurință de utilizare și robustețe</w:t>
      </w:r>
      <w:r>
        <w:rPr>
          <w:rFonts w:ascii="Times New Roman" w:eastAsia="Calibri" w:hAnsi="Times New Roman" w:cs="Times New Roman"/>
          <w:noProof/>
          <w:sz w:val="24"/>
          <w:vertAlign w:val="superscript"/>
          <w:lang w:val="en-IE"/>
        </w:rPr>
        <w:footnoteReference w:id="26"/>
      </w:r>
      <w:r>
        <w:rPr>
          <w:rFonts w:ascii="Times New Roman" w:hAnsi="Times New Roman"/>
          <w:noProof/>
          <w:sz w:val="24"/>
        </w:rPr>
        <w:t xml:space="preserve"> și se bazează pe cât posibil pe date existente. </w:t>
      </w:r>
    </w:p>
    <w:p w14:paraId="1FBAA290" w14:textId="77777777" w:rsidR="00E13C55" w:rsidRPr="009375D3" w:rsidRDefault="00E13C55" w:rsidP="00E13C55">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Cadrul se bazează în mare măsură pe statistici de înaltă calitate care sunt disponibile pentru toate statele membre ale UE, utilizând în principal date care provin din Sistemul Statistic European și de la comunitatea de cercetare. După caz, Comisia, în cooperare cu părțile interesate relevante, va investiga utilizarea unor noi surse de date pentru a îmbunătăți cadrul de monitorizare în viitor. </w:t>
      </w:r>
    </w:p>
    <w:p w14:paraId="0FB5BE10" w14:textId="01C544C5" w:rsidR="00B73918" w:rsidRPr="006C677A" w:rsidRDefault="00011D40" w:rsidP="006C677A">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Eurostat va publica și va menține noul cadru de monitorizare pe site-ul său web, actualizând în permanență indicatorii. Acest site va continua să aibă rolul de punct de intrare al Comisiei pentru identificarea tuturor informațiilor referitoare la noul cadru de monitorizare, inclusiv la indicatori, serii cronologice și instrumente de vizualizare</w:t>
      </w:r>
      <w:r>
        <w:rPr>
          <w:rStyle w:val="FootnoteReference"/>
          <w:rFonts w:ascii="Times New Roman" w:eastAsia="Calibri" w:hAnsi="Times New Roman" w:cs="Times New Roman"/>
          <w:noProof/>
          <w:sz w:val="24"/>
          <w:lang w:val="en-IE"/>
        </w:rPr>
        <w:footnoteReference w:id="27"/>
      </w:r>
      <w:r>
        <w:rPr>
          <w:rFonts w:ascii="Times New Roman" w:hAnsi="Times New Roman"/>
          <w:noProof/>
          <w:sz w:val="24"/>
        </w:rPr>
        <w:t xml:space="preserve">. </w:t>
      </w:r>
    </w:p>
    <w:p w14:paraId="16737A20" w14:textId="00EEB0CE" w:rsidR="007527C5" w:rsidRPr="00500188" w:rsidRDefault="007527C5" w:rsidP="006C677A">
      <w:pPr>
        <w:pStyle w:val="ListParagraph"/>
        <w:numPr>
          <w:ilvl w:val="0"/>
          <w:numId w:val="1"/>
        </w:numPr>
        <w:spacing w:after="120" w:line="276" w:lineRule="auto"/>
        <w:contextualSpacing w:val="0"/>
        <w:jc w:val="both"/>
        <w:outlineLvl w:val="0"/>
        <w:rPr>
          <w:rFonts w:ascii="Times New Roman" w:eastAsia="Calibri" w:hAnsi="Times New Roman" w:cs="Times New Roman"/>
          <w:b/>
          <w:noProof/>
          <w:sz w:val="20"/>
          <w:szCs w:val="24"/>
        </w:rPr>
      </w:pPr>
      <w:r w:rsidRPr="00500188">
        <w:rPr>
          <w:rFonts w:ascii="Times New Roman" w:hAnsi="Times New Roman"/>
          <w:b/>
          <w:noProof/>
          <w:sz w:val="24"/>
        </w:rPr>
        <w:t xml:space="preserve">Indicatori ai cadrului de monitorizare pentru economia circulară 2023 </w:t>
      </w:r>
    </w:p>
    <w:tbl>
      <w:tblPr>
        <w:tblStyle w:val="TableGrid1"/>
        <w:tblW w:w="9464" w:type="dxa"/>
        <w:tblLook w:val="04A0" w:firstRow="1" w:lastRow="0" w:firstColumn="1" w:lastColumn="0" w:noHBand="0" w:noVBand="1"/>
      </w:tblPr>
      <w:tblGrid>
        <w:gridCol w:w="675"/>
        <w:gridCol w:w="3762"/>
        <w:gridCol w:w="3799"/>
        <w:gridCol w:w="1228"/>
      </w:tblGrid>
      <w:tr w:rsidR="00B3487B" w:rsidRPr="006C677A" w14:paraId="696364DA" w14:textId="77777777" w:rsidTr="00A83C28">
        <w:trPr>
          <w:cantSplit/>
        </w:trPr>
        <w:tc>
          <w:tcPr>
            <w:tcW w:w="675" w:type="dxa"/>
            <w:shd w:val="clear" w:color="auto" w:fill="C4BC96"/>
          </w:tcPr>
          <w:p w14:paraId="6720ED59"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 xml:space="preserve">Nr. </w:t>
            </w:r>
          </w:p>
        </w:tc>
        <w:tc>
          <w:tcPr>
            <w:tcW w:w="3762" w:type="dxa"/>
            <w:shd w:val="clear" w:color="auto" w:fill="C4BC96"/>
          </w:tcPr>
          <w:p w14:paraId="753E535C" w14:textId="5EC45E73" w:rsidR="007527C5" w:rsidRPr="006C677A" w:rsidRDefault="00B3487B"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Indicator</w:t>
            </w:r>
          </w:p>
        </w:tc>
        <w:tc>
          <w:tcPr>
            <w:tcW w:w="3799" w:type="dxa"/>
            <w:shd w:val="clear" w:color="auto" w:fill="C4BC96"/>
          </w:tcPr>
          <w:p w14:paraId="7310DD11"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Relevanță</w:t>
            </w:r>
          </w:p>
        </w:tc>
        <w:tc>
          <w:tcPr>
            <w:tcW w:w="1228" w:type="dxa"/>
            <w:shd w:val="clear" w:color="auto" w:fill="C4BC96"/>
          </w:tcPr>
          <w:p w14:paraId="68FDBDB3" w14:textId="098B355C" w:rsidR="007527C5" w:rsidRPr="00500188" w:rsidRDefault="00B3487B"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Sursă</w:t>
            </w:r>
          </w:p>
        </w:tc>
      </w:tr>
      <w:tr w:rsidR="007527C5" w:rsidRPr="006C677A" w14:paraId="78DC984F" w14:textId="77777777" w:rsidTr="007527C5">
        <w:trPr>
          <w:cantSplit/>
        </w:trPr>
        <w:tc>
          <w:tcPr>
            <w:tcW w:w="9464" w:type="dxa"/>
            <w:gridSpan w:val="4"/>
            <w:shd w:val="clear" w:color="auto" w:fill="EEECE1"/>
          </w:tcPr>
          <w:p w14:paraId="2520DD75"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Producția și consumul</w:t>
            </w:r>
          </w:p>
        </w:tc>
      </w:tr>
      <w:tr w:rsidR="00CF2CC0" w:rsidRPr="006C677A" w14:paraId="47D4D33D" w14:textId="77777777" w:rsidTr="00A83C28">
        <w:trPr>
          <w:cantSplit/>
        </w:trPr>
        <w:tc>
          <w:tcPr>
            <w:tcW w:w="675" w:type="dxa"/>
          </w:tcPr>
          <w:p w14:paraId="41CC017D"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1</w:t>
            </w:r>
            <w:r>
              <w:rPr>
                <w:rFonts w:ascii="Times New Roman" w:hAnsi="Times New Roman"/>
                <w:noProof/>
                <w:color w:val="000000"/>
                <w:sz w:val="20"/>
              </w:rPr>
              <w:t>a-b</w:t>
            </w:r>
          </w:p>
        </w:tc>
        <w:tc>
          <w:tcPr>
            <w:tcW w:w="3762" w:type="dxa"/>
          </w:tcPr>
          <w:p w14:paraId="378D6FB9"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Consumul de materii prime</w:t>
            </w:r>
          </w:p>
          <w:p w14:paraId="679965FF" w14:textId="18C15266" w:rsidR="00525E31" w:rsidRPr="006C677A" w:rsidRDefault="00B3487B" w:rsidP="006C677A">
            <w:pPr>
              <w:rPr>
                <w:rFonts w:ascii="Times New Roman" w:hAnsi="Times New Roman" w:cs="Times New Roman"/>
                <w:noProof/>
                <w:sz w:val="20"/>
                <w:szCs w:val="20"/>
              </w:rPr>
            </w:pPr>
            <w:r w:rsidRPr="00500188">
              <w:rPr>
                <w:rFonts w:ascii="Times New Roman" w:hAnsi="Times New Roman"/>
                <w:noProof/>
                <w:sz w:val="20"/>
              </w:rPr>
              <w:t>1</w:t>
            </w:r>
            <w:r>
              <w:rPr>
                <w:rFonts w:ascii="Times New Roman" w:hAnsi="Times New Roman"/>
                <w:noProof/>
                <w:sz w:val="20"/>
              </w:rPr>
              <w:t>a Amprenta materiilor prime (tone pe cap de locuitor)</w:t>
            </w:r>
          </w:p>
          <w:p w14:paraId="4A61FCBD" w14:textId="25A622F3" w:rsidR="00525E31" w:rsidRPr="006C677A" w:rsidRDefault="00525E31" w:rsidP="00A7135B">
            <w:pPr>
              <w:widowControl w:val="0"/>
              <w:autoSpaceDE w:val="0"/>
              <w:autoSpaceDN w:val="0"/>
              <w:adjustRightInd w:val="0"/>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1</w:t>
            </w:r>
            <w:r>
              <w:rPr>
                <w:rFonts w:ascii="Times New Roman" w:hAnsi="Times New Roman"/>
                <w:noProof/>
                <w:sz w:val="20"/>
              </w:rPr>
              <w:t>b Productivitatea resurselor (EUR/kg)</w:t>
            </w:r>
          </w:p>
        </w:tc>
        <w:tc>
          <w:tcPr>
            <w:tcW w:w="3799" w:type="dxa"/>
          </w:tcPr>
          <w:p w14:paraId="2C29C0D1" w14:textId="1992EA07" w:rsidR="007527C5" w:rsidRPr="006C677A" w:rsidRDefault="008043AC"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Scăderea consumului de materii prime indică decuplarea creșterii economice de utilizarea resurselor.</w:t>
            </w:r>
          </w:p>
        </w:tc>
        <w:tc>
          <w:tcPr>
            <w:tcW w:w="1228" w:type="dxa"/>
          </w:tcPr>
          <w:p w14:paraId="58D6E9D1" w14:textId="27817121"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CF2CC0" w:rsidRPr="006C677A" w14:paraId="2517CA5F" w14:textId="77777777" w:rsidTr="00A83C28">
        <w:trPr>
          <w:cantSplit/>
        </w:trPr>
        <w:tc>
          <w:tcPr>
            <w:tcW w:w="675" w:type="dxa"/>
          </w:tcPr>
          <w:p w14:paraId="4AB89C9B"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2</w:t>
            </w:r>
          </w:p>
        </w:tc>
        <w:tc>
          <w:tcPr>
            <w:tcW w:w="3762" w:type="dxa"/>
          </w:tcPr>
          <w:p w14:paraId="275CD128" w14:textId="14E42F5A"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sidRPr="00500188">
              <w:rPr>
                <w:rFonts w:ascii="Times New Roman" w:hAnsi="Times New Roman"/>
                <w:b/>
                <w:noProof/>
                <w:color w:val="000000"/>
                <w:sz w:val="20"/>
              </w:rPr>
              <w:t>Achizițiile publice verzi*</w:t>
            </w:r>
            <w:r>
              <w:rPr>
                <w:rFonts w:ascii="Times New Roman" w:hAnsi="Times New Roman"/>
                <w:noProof/>
                <w:color w:val="000000"/>
                <w:sz w:val="20"/>
              </w:rPr>
              <w:t xml:space="preserve"> </w:t>
            </w:r>
          </w:p>
        </w:tc>
        <w:tc>
          <w:tcPr>
            <w:tcW w:w="3799" w:type="dxa"/>
          </w:tcPr>
          <w:p w14:paraId="2ED0C61F"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Achizițiile publice reprezintă o mare parte a consumului și pot stimula economia circulară.</w:t>
            </w:r>
          </w:p>
        </w:tc>
        <w:tc>
          <w:tcPr>
            <w:tcW w:w="1228" w:type="dxa"/>
          </w:tcPr>
          <w:p w14:paraId="1A4D5DE5" w14:textId="44481B1D"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Comisia Europeană</w:t>
            </w:r>
          </w:p>
        </w:tc>
      </w:tr>
      <w:tr w:rsidR="00CF2CC0" w:rsidRPr="006C677A" w14:paraId="7315706D" w14:textId="77777777" w:rsidTr="00A83C28">
        <w:trPr>
          <w:cantSplit/>
        </w:trPr>
        <w:tc>
          <w:tcPr>
            <w:tcW w:w="675" w:type="dxa"/>
          </w:tcPr>
          <w:p w14:paraId="1CBB707C"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3</w:t>
            </w:r>
            <w:r>
              <w:rPr>
                <w:rFonts w:ascii="Times New Roman" w:hAnsi="Times New Roman"/>
                <w:noProof/>
                <w:color w:val="000000"/>
                <w:sz w:val="20"/>
              </w:rPr>
              <w:t>a-f</w:t>
            </w:r>
          </w:p>
        </w:tc>
        <w:tc>
          <w:tcPr>
            <w:tcW w:w="3762" w:type="dxa"/>
          </w:tcPr>
          <w:p w14:paraId="6D9DC51D"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Generarea deșeurilor</w:t>
            </w:r>
          </w:p>
          <w:p w14:paraId="0AF963F1" w14:textId="073CE5B4"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3</w:t>
            </w:r>
            <w:r>
              <w:rPr>
                <w:rFonts w:ascii="Times New Roman" w:hAnsi="Times New Roman"/>
                <w:noProof/>
                <w:sz w:val="20"/>
              </w:rPr>
              <w:t>a Generarea totală de deșeuri pe cap de locuitor (kg pe cap de locuitor)</w:t>
            </w:r>
          </w:p>
          <w:p w14:paraId="1C7BD2BE" w14:textId="5A94DD80"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3</w:t>
            </w:r>
            <w:r>
              <w:rPr>
                <w:rFonts w:ascii="Times New Roman" w:hAnsi="Times New Roman"/>
                <w:noProof/>
                <w:sz w:val="20"/>
              </w:rPr>
              <w:t>b Generarea totală de deșeuri (cu excepția deșeurilor minerale majore) per PIB (kg per EUR)</w:t>
            </w:r>
          </w:p>
          <w:p w14:paraId="555093B8" w14:textId="77777777"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3</w:t>
            </w:r>
            <w:r>
              <w:rPr>
                <w:rFonts w:ascii="Times New Roman" w:hAnsi="Times New Roman"/>
                <w:noProof/>
                <w:sz w:val="20"/>
              </w:rPr>
              <w:t>c Generarea de deșeuri municipale pe cap de locuitor</w:t>
            </w:r>
          </w:p>
          <w:p w14:paraId="0F3FEBBD" w14:textId="42ECD083"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3</w:t>
            </w:r>
            <w:r>
              <w:rPr>
                <w:rFonts w:ascii="Times New Roman" w:hAnsi="Times New Roman"/>
                <w:noProof/>
                <w:sz w:val="20"/>
              </w:rPr>
              <w:t>d Deșeuri alimentare (kg pe cap de locuitor)</w:t>
            </w:r>
          </w:p>
          <w:p w14:paraId="224368BC" w14:textId="27CB43ED"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3</w:t>
            </w:r>
            <w:r>
              <w:rPr>
                <w:rFonts w:ascii="Times New Roman" w:hAnsi="Times New Roman"/>
                <w:noProof/>
                <w:sz w:val="20"/>
              </w:rPr>
              <w:t>e Generarea de deșeuri de ambalaje pe cap de locuitor</w:t>
            </w:r>
          </w:p>
          <w:p w14:paraId="5DD713F2" w14:textId="4EF0EC99" w:rsidR="00525E31" w:rsidRPr="006C677A" w:rsidRDefault="00525E31"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3</w:t>
            </w:r>
            <w:r>
              <w:rPr>
                <w:rFonts w:ascii="Times New Roman" w:hAnsi="Times New Roman"/>
                <w:noProof/>
                <w:sz w:val="20"/>
              </w:rPr>
              <w:t>f Generarea de deșeuri de ambalaje din plastic pe cap de locuitor (kg pe cap de locuitor)</w:t>
            </w:r>
          </w:p>
        </w:tc>
        <w:tc>
          <w:tcPr>
            <w:tcW w:w="3799" w:type="dxa"/>
          </w:tcPr>
          <w:p w14:paraId="1F250F05" w14:textId="36CD964A"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Într-o economie circulară, generarea de deșeuri este redusă la minimum.</w:t>
            </w:r>
          </w:p>
        </w:tc>
        <w:tc>
          <w:tcPr>
            <w:tcW w:w="1228" w:type="dxa"/>
          </w:tcPr>
          <w:p w14:paraId="6BBE0011" w14:textId="762C7E7A"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7527C5" w:rsidRPr="006C677A" w14:paraId="0F2FD8A3" w14:textId="77777777" w:rsidTr="007527C5">
        <w:trPr>
          <w:cantSplit/>
        </w:trPr>
        <w:tc>
          <w:tcPr>
            <w:tcW w:w="9464" w:type="dxa"/>
            <w:gridSpan w:val="4"/>
            <w:shd w:val="clear" w:color="auto" w:fill="EEECE1"/>
          </w:tcPr>
          <w:p w14:paraId="1887074D"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Gestionarea deșeurilor</w:t>
            </w:r>
          </w:p>
        </w:tc>
      </w:tr>
      <w:tr w:rsidR="00CF2CC0" w:rsidRPr="006C677A" w14:paraId="0B3F6F44" w14:textId="77777777" w:rsidTr="00A83C28">
        <w:trPr>
          <w:cantSplit/>
        </w:trPr>
        <w:tc>
          <w:tcPr>
            <w:tcW w:w="675" w:type="dxa"/>
          </w:tcPr>
          <w:p w14:paraId="39969984"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4</w:t>
            </w:r>
            <w:r>
              <w:rPr>
                <w:rFonts w:ascii="Times New Roman" w:hAnsi="Times New Roman"/>
                <w:noProof/>
                <w:color w:val="000000"/>
                <w:sz w:val="20"/>
              </w:rPr>
              <w:t>a-b</w:t>
            </w:r>
          </w:p>
        </w:tc>
        <w:tc>
          <w:tcPr>
            <w:tcW w:w="3762" w:type="dxa"/>
          </w:tcPr>
          <w:p w14:paraId="2E7470AC"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Ratele de reciclare totale</w:t>
            </w:r>
          </w:p>
          <w:p w14:paraId="780ED019" w14:textId="36355E09"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4</w:t>
            </w:r>
            <w:r>
              <w:rPr>
                <w:rFonts w:ascii="Times New Roman" w:hAnsi="Times New Roman"/>
                <w:noProof/>
                <w:sz w:val="20"/>
              </w:rPr>
              <w:t>a Rata de reciclare a deșeurilor municipale (%)</w:t>
            </w:r>
          </w:p>
          <w:p w14:paraId="618C2E8C" w14:textId="1FDF815A" w:rsidR="00525E31" w:rsidRPr="006C677A" w:rsidRDefault="00525E31" w:rsidP="00CF2CC0">
            <w:pPr>
              <w:widowControl w:val="0"/>
              <w:autoSpaceDE w:val="0"/>
              <w:autoSpaceDN w:val="0"/>
              <w:adjustRightInd w:val="0"/>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4</w:t>
            </w:r>
            <w:r>
              <w:rPr>
                <w:rFonts w:ascii="Times New Roman" w:hAnsi="Times New Roman"/>
                <w:noProof/>
                <w:sz w:val="20"/>
              </w:rPr>
              <w:t>b Rata de reciclare pentru toate deșeurile, cu excepția deșeurilor minerale majore (%)</w:t>
            </w:r>
          </w:p>
        </w:tc>
        <w:tc>
          <w:tcPr>
            <w:tcW w:w="3799" w:type="dxa"/>
          </w:tcPr>
          <w:p w14:paraId="59E2A9A4"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Creșterea ratelor de reciclare face parte din tranziția către o economie circulară.</w:t>
            </w:r>
          </w:p>
        </w:tc>
        <w:tc>
          <w:tcPr>
            <w:tcW w:w="1228" w:type="dxa"/>
          </w:tcPr>
          <w:p w14:paraId="6792F149" w14:textId="4B8E2B8D"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CF2CC0" w:rsidRPr="006C677A" w14:paraId="3F1CC47B" w14:textId="77777777" w:rsidTr="00A83C28">
        <w:trPr>
          <w:cantSplit/>
        </w:trPr>
        <w:tc>
          <w:tcPr>
            <w:tcW w:w="675" w:type="dxa"/>
          </w:tcPr>
          <w:p w14:paraId="1B9C2CD7" w14:textId="6CCB3E13"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5</w:t>
            </w:r>
            <w:r>
              <w:rPr>
                <w:rFonts w:ascii="Times New Roman" w:hAnsi="Times New Roman"/>
                <w:noProof/>
                <w:color w:val="000000"/>
                <w:sz w:val="20"/>
              </w:rPr>
              <w:t>a-c</w:t>
            </w:r>
          </w:p>
        </w:tc>
        <w:tc>
          <w:tcPr>
            <w:tcW w:w="3762" w:type="dxa"/>
          </w:tcPr>
          <w:p w14:paraId="7C1499F8"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 xml:space="preserve">Ratele de reciclare a fluxurilor specifice de deșeuri </w:t>
            </w:r>
          </w:p>
          <w:p w14:paraId="1AA60DAF" w14:textId="754EE063"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5</w:t>
            </w:r>
            <w:r>
              <w:rPr>
                <w:rFonts w:ascii="Times New Roman" w:hAnsi="Times New Roman"/>
                <w:noProof/>
                <w:sz w:val="20"/>
              </w:rPr>
              <w:t>a Rata de reciclare a tuturor tipurilor de deșeuri de ambalaje (%)</w:t>
            </w:r>
          </w:p>
          <w:p w14:paraId="6F67B88E" w14:textId="04F2E4F2"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5</w:t>
            </w:r>
            <w:r>
              <w:rPr>
                <w:rFonts w:ascii="Times New Roman" w:hAnsi="Times New Roman"/>
                <w:noProof/>
                <w:sz w:val="20"/>
              </w:rPr>
              <w:t>a Rata de reciclare a deșeurilor de ambalaje din plastic (%)</w:t>
            </w:r>
          </w:p>
          <w:p w14:paraId="5171033B" w14:textId="3F0EFC50" w:rsidR="00525E31" w:rsidRPr="006C677A" w:rsidRDefault="00525E31" w:rsidP="00CF2CC0">
            <w:pPr>
              <w:widowControl w:val="0"/>
              <w:autoSpaceDE w:val="0"/>
              <w:autoSpaceDN w:val="0"/>
              <w:adjustRightInd w:val="0"/>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5</w:t>
            </w:r>
            <w:r>
              <w:rPr>
                <w:rFonts w:ascii="Times New Roman" w:hAnsi="Times New Roman"/>
                <w:noProof/>
                <w:sz w:val="20"/>
              </w:rPr>
              <w:t>c Rata de reciclare a deșeurilor de echipamente electrice și electronice care sunt colectate separat (%)</w:t>
            </w:r>
          </w:p>
        </w:tc>
        <w:tc>
          <w:tcPr>
            <w:tcW w:w="3799" w:type="dxa"/>
          </w:tcPr>
          <w:p w14:paraId="7795C114" w14:textId="4E60CBE8" w:rsidR="007527C5" w:rsidRPr="006C677A" w:rsidRDefault="008043AC"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Progresele înregistrate în ceea ce privește reciclarea fluxurilor de deșeuri principale sunt esențiale pentru sustenabilitate și reziliență.</w:t>
            </w:r>
          </w:p>
        </w:tc>
        <w:tc>
          <w:tcPr>
            <w:tcW w:w="1228" w:type="dxa"/>
          </w:tcPr>
          <w:p w14:paraId="471D0384" w14:textId="488AAFD9"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7527C5" w:rsidRPr="006C677A" w14:paraId="212D0A35" w14:textId="77777777" w:rsidTr="007527C5">
        <w:trPr>
          <w:cantSplit/>
        </w:trPr>
        <w:tc>
          <w:tcPr>
            <w:tcW w:w="9464" w:type="dxa"/>
            <w:gridSpan w:val="4"/>
            <w:shd w:val="clear" w:color="auto" w:fill="EEECE1"/>
          </w:tcPr>
          <w:p w14:paraId="4DAA813E" w14:textId="0B72AA48" w:rsidR="007527C5" w:rsidRPr="00500188" w:rsidRDefault="00DC613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Materii prime secundare</w:t>
            </w:r>
          </w:p>
        </w:tc>
      </w:tr>
      <w:tr w:rsidR="00CF2CC0" w:rsidRPr="006C677A" w14:paraId="0A5F5B11" w14:textId="77777777" w:rsidTr="00A83C28">
        <w:trPr>
          <w:cantSplit/>
        </w:trPr>
        <w:tc>
          <w:tcPr>
            <w:tcW w:w="675" w:type="dxa"/>
          </w:tcPr>
          <w:p w14:paraId="57ED4F32"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6</w:t>
            </w:r>
            <w:r>
              <w:rPr>
                <w:rFonts w:ascii="Times New Roman" w:hAnsi="Times New Roman"/>
                <w:noProof/>
                <w:color w:val="000000"/>
                <w:sz w:val="20"/>
              </w:rPr>
              <w:t>a-b</w:t>
            </w:r>
          </w:p>
        </w:tc>
        <w:tc>
          <w:tcPr>
            <w:tcW w:w="3762" w:type="dxa"/>
          </w:tcPr>
          <w:p w14:paraId="54A155D6"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 xml:space="preserve">Contribuția materialelor reciclate la cererea de materii prime </w:t>
            </w:r>
          </w:p>
          <w:p w14:paraId="12C6F828" w14:textId="60C07C39"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6</w:t>
            </w:r>
            <w:r>
              <w:rPr>
                <w:rFonts w:ascii="Times New Roman" w:hAnsi="Times New Roman"/>
                <w:noProof/>
                <w:sz w:val="20"/>
              </w:rPr>
              <w:t>a Rata de utilizare circulară a materialelor (%)</w:t>
            </w:r>
          </w:p>
          <w:p w14:paraId="460416FE" w14:textId="39908584" w:rsidR="00525E31" w:rsidRPr="006C677A" w:rsidRDefault="00525E31"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6</w:t>
            </w:r>
            <w:r>
              <w:rPr>
                <w:rFonts w:ascii="Times New Roman" w:hAnsi="Times New Roman"/>
                <w:noProof/>
                <w:sz w:val="20"/>
              </w:rPr>
              <w:t>b Ratele de reciclare a materialelor la sfârșitul ciclului de viață (%)</w:t>
            </w:r>
          </w:p>
        </w:tc>
        <w:tc>
          <w:tcPr>
            <w:tcW w:w="3799" w:type="dxa"/>
          </w:tcPr>
          <w:p w14:paraId="25F2E258"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Într-o economie circulară, materiile prime secundare sunt utilizate în mod obișnuit pentru a fabrica noi produse.</w:t>
            </w:r>
          </w:p>
        </w:tc>
        <w:tc>
          <w:tcPr>
            <w:tcW w:w="1228" w:type="dxa"/>
          </w:tcPr>
          <w:p w14:paraId="71E21C2A" w14:textId="39A940FF" w:rsidR="007527C5" w:rsidRPr="006C677A" w:rsidRDefault="00B3487B" w:rsidP="00B3487B">
            <w:pPr>
              <w:widowControl w:val="0"/>
              <w:autoSpaceDE w:val="0"/>
              <w:autoSpaceDN w:val="0"/>
              <w:adjustRightInd w:val="0"/>
              <w:textAlignment w:val="center"/>
              <w:rPr>
                <w:rFonts w:ascii="Times New Roman" w:eastAsia="Cambria" w:hAnsi="Times New Roman" w:cs="Times New Roman"/>
                <w:noProof/>
                <w:color w:val="000000"/>
                <w:sz w:val="20"/>
                <w:szCs w:val="20"/>
                <w:highlight w:val="yellow"/>
              </w:rPr>
            </w:pPr>
            <w:r>
              <w:rPr>
                <w:rFonts w:ascii="Times New Roman" w:hAnsi="Times New Roman"/>
                <w:noProof/>
                <w:color w:val="000000"/>
                <w:sz w:val="20"/>
              </w:rPr>
              <w:t>Eurostat, alte servicii ale Comisiei Europene</w:t>
            </w:r>
          </w:p>
        </w:tc>
      </w:tr>
      <w:tr w:rsidR="00CF2CC0" w:rsidRPr="006C677A" w14:paraId="0C4727B6" w14:textId="77777777" w:rsidTr="00A83C28">
        <w:trPr>
          <w:cantSplit/>
        </w:trPr>
        <w:tc>
          <w:tcPr>
            <w:tcW w:w="675" w:type="dxa"/>
          </w:tcPr>
          <w:p w14:paraId="07354C8F"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7</w:t>
            </w:r>
            <w:r>
              <w:rPr>
                <w:rFonts w:ascii="Times New Roman" w:hAnsi="Times New Roman"/>
                <w:noProof/>
                <w:color w:val="000000"/>
                <w:sz w:val="20"/>
              </w:rPr>
              <w:t>a-c</w:t>
            </w:r>
          </w:p>
        </w:tc>
        <w:tc>
          <w:tcPr>
            <w:tcW w:w="3762" w:type="dxa"/>
          </w:tcPr>
          <w:p w14:paraId="106E0732"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Comerțul cu materii prime reciclabile</w:t>
            </w:r>
          </w:p>
          <w:p w14:paraId="2C924A95" w14:textId="574CFD7C"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7</w:t>
            </w:r>
            <w:r>
              <w:rPr>
                <w:rFonts w:ascii="Times New Roman" w:hAnsi="Times New Roman"/>
                <w:noProof/>
                <w:sz w:val="20"/>
              </w:rPr>
              <w:t>a Importuri din afara UE (tone)</w:t>
            </w:r>
          </w:p>
          <w:p w14:paraId="0343F632" w14:textId="0D2BD8F0" w:rsidR="00525E31" w:rsidRPr="006C677A" w:rsidRDefault="00525E31" w:rsidP="006C677A">
            <w:pPr>
              <w:rPr>
                <w:rFonts w:ascii="Times New Roman" w:hAnsi="Times New Roman" w:cs="Times New Roman"/>
                <w:noProof/>
                <w:sz w:val="20"/>
                <w:szCs w:val="20"/>
              </w:rPr>
            </w:pPr>
            <w:r w:rsidRPr="00500188">
              <w:rPr>
                <w:rFonts w:ascii="Times New Roman" w:hAnsi="Times New Roman"/>
                <w:noProof/>
                <w:sz w:val="20"/>
              </w:rPr>
              <w:t>7</w:t>
            </w:r>
            <w:r>
              <w:rPr>
                <w:rFonts w:ascii="Times New Roman" w:hAnsi="Times New Roman"/>
                <w:noProof/>
                <w:sz w:val="20"/>
              </w:rPr>
              <w:t>a Exporturi în afara UE (tone)</w:t>
            </w:r>
          </w:p>
          <w:p w14:paraId="22C6B1F7" w14:textId="1BF53303" w:rsidR="00525E31" w:rsidRPr="00C359B2" w:rsidRDefault="00525E31" w:rsidP="006C677A">
            <w:pPr>
              <w:widowControl w:val="0"/>
              <w:autoSpaceDE w:val="0"/>
              <w:autoSpaceDN w:val="0"/>
              <w:adjustRightInd w:val="0"/>
              <w:textAlignment w:val="center"/>
              <w:rPr>
                <w:rFonts w:ascii="Times New Roman" w:hAnsi="Times New Roman"/>
                <w:noProof/>
                <w:color w:val="000000"/>
                <w:sz w:val="20"/>
              </w:rPr>
            </w:pPr>
            <w:r w:rsidRPr="00500188">
              <w:rPr>
                <w:rFonts w:ascii="Times New Roman" w:hAnsi="Times New Roman"/>
                <w:noProof/>
                <w:sz w:val="20"/>
              </w:rPr>
              <w:t>7</w:t>
            </w:r>
            <w:r>
              <w:rPr>
                <w:rFonts w:ascii="Times New Roman" w:hAnsi="Times New Roman"/>
                <w:noProof/>
                <w:sz w:val="20"/>
              </w:rPr>
              <w:t>c Comerț intra-UE (tone)</w:t>
            </w:r>
          </w:p>
        </w:tc>
        <w:tc>
          <w:tcPr>
            <w:tcW w:w="3799" w:type="dxa"/>
          </w:tcPr>
          <w:p w14:paraId="3BA6040F"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Comerțul cu materiale reciclabile reflectă importanța pieței interne și a participării la nivel mondial la economia circulară.</w:t>
            </w:r>
          </w:p>
        </w:tc>
        <w:tc>
          <w:tcPr>
            <w:tcW w:w="1228" w:type="dxa"/>
          </w:tcPr>
          <w:p w14:paraId="6AF6772F" w14:textId="33F379C6"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7527C5" w:rsidRPr="006C677A" w14:paraId="2A70421A" w14:textId="77777777" w:rsidTr="007527C5">
        <w:trPr>
          <w:cantSplit/>
        </w:trPr>
        <w:tc>
          <w:tcPr>
            <w:tcW w:w="9464" w:type="dxa"/>
            <w:gridSpan w:val="4"/>
            <w:shd w:val="clear" w:color="auto" w:fill="EEECE1"/>
          </w:tcPr>
          <w:p w14:paraId="20CB184F" w14:textId="30DC6D75" w:rsidR="007527C5" w:rsidRPr="00500188" w:rsidRDefault="00DC613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Competitivitate și inovare</w:t>
            </w:r>
          </w:p>
        </w:tc>
      </w:tr>
      <w:tr w:rsidR="00CF2CC0" w:rsidRPr="006C677A" w14:paraId="371201C3" w14:textId="77777777" w:rsidTr="00A83C28">
        <w:trPr>
          <w:cantSplit/>
        </w:trPr>
        <w:tc>
          <w:tcPr>
            <w:tcW w:w="675" w:type="dxa"/>
          </w:tcPr>
          <w:p w14:paraId="2FA4AA26"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8</w:t>
            </w:r>
            <w:r>
              <w:rPr>
                <w:rFonts w:ascii="Times New Roman" w:hAnsi="Times New Roman"/>
                <w:noProof/>
                <w:color w:val="000000"/>
                <w:sz w:val="20"/>
              </w:rPr>
              <w:t>a-c</w:t>
            </w:r>
          </w:p>
        </w:tc>
        <w:tc>
          <w:tcPr>
            <w:tcW w:w="3762" w:type="dxa"/>
          </w:tcPr>
          <w:p w14:paraId="7E0931B9"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Investițiile private, locurile de muncă și valoarea adăugată brută legate de sectoarele economiei circulare</w:t>
            </w:r>
          </w:p>
          <w:p w14:paraId="3F490E4B" w14:textId="26784210" w:rsidR="00B87F56" w:rsidRPr="006C677A" w:rsidRDefault="00B87F56" w:rsidP="006C677A">
            <w:pPr>
              <w:rPr>
                <w:rFonts w:ascii="Times New Roman" w:hAnsi="Times New Roman" w:cs="Times New Roman"/>
                <w:noProof/>
                <w:sz w:val="20"/>
                <w:szCs w:val="20"/>
              </w:rPr>
            </w:pPr>
            <w:r w:rsidRPr="00500188">
              <w:rPr>
                <w:rFonts w:ascii="Times New Roman" w:hAnsi="Times New Roman"/>
                <w:noProof/>
                <w:sz w:val="20"/>
              </w:rPr>
              <w:t>8</w:t>
            </w:r>
            <w:r>
              <w:rPr>
                <w:rFonts w:ascii="Times New Roman" w:hAnsi="Times New Roman"/>
                <w:noProof/>
                <w:sz w:val="20"/>
              </w:rPr>
              <w:t>a Investiții private (% din PIB)</w:t>
            </w:r>
          </w:p>
          <w:p w14:paraId="70B62F7B" w14:textId="2BC051D4" w:rsidR="00B87F56" w:rsidRPr="006C677A" w:rsidRDefault="00B87F56" w:rsidP="006C677A">
            <w:pPr>
              <w:rPr>
                <w:rFonts w:ascii="Times New Roman" w:hAnsi="Times New Roman" w:cs="Times New Roman"/>
                <w:noProof/>
                <w:sz w:val="20"/>
                <w:szCs w:val="20"/>
              </w:rPr>
            </w:pPr>
            <w:r w:rsidRPr="00500188">
              <w:rPr>
                <w:rFonts w:ascii="Times New Roman" w:hAnsi="Times New Roman"/>
                <w:noProof/>
                <w:sz w:val="20"/>
              </w:rPr>
              <w:t>8</w:t>
            </w:r>
            <w:r>
              <w:rPr>
                <w:rFonts w:ascii="Times New Roman" w:hAnsi="Times New Roman"/>
                <w:noProof/>
                <w:sz w:val="20"/>
              </w:rPr>
              <w:t>b Ocuparea forței de muncă (% de ocupare a forței de muncă)</w:t>
            </w:r>
          </w:p>
          <w:p w14:paraId="5B205150" w14:textId="1C940760" w:rsidR="00B87F56" w:rsidRPr="006C677A" w:rsidRDefault="00B87F56"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8</w:t>
            </w:r>
            <w:r>
              <w:rPr>
                <w:rFonts w:ascii="Times New Roman" w:hAnsi="Times New Roman"/>
                <w:noProof/>
                <w:sz w:val="20"/>
              </w:rPr>
              <w:t>c Valoarea adăugată brută (% din PIB)</w:t>
            </w:r>
          </w:p>
        </w:tc>
        <w:tc>
          <w:tcPr>
            <w:tcW w:w="3799" w:type="dxa"/>
          </w:tcPr>
          <w:p w14:paraId="01DC5E48" w14:textId="667B9292" w:rsidR="007527C5" w:rsidRPr="006C677A" w:rsidRDefault="00772466"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Economia circulară poate contribui la crearea de locuri de muncă și la creșterea economică.</w:t>
            </w:r>
          </w:p>
        </w:tc>
        <w:tc>
          <w:tcPr>
            <w:tcW w:w="1228" w:type="dxa"/>
          </w:tcPr>
          <w:p w14:paraId="7E199910" w14:textId="7B619EAD"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CF2CC0" w:rsidRPr="006C677A" w14:paraId="14E8F385" w14:textId="77777777" w:rsidTr="00A83C28">
        <w:trPr>
          <w:cantSplit/>
        </w:trPr>
        <w:tc>
          <w:tcPr>
            <w:tcW w:w="675" w:type="dxa"/>
          </w:tcPr>
          <w:p w14:paraId="48DA657D" w14:textId="123E0772"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9</w:t>
            </w:r>
          </w:p>
        </w:tc>
        <w:tc>
          <w:tcPr>
            <w:tcW w:w="3762" w:type="dxa"/>
          </w:tcPr>
          <w:p w14:paraId="3115D7FD" w14:textId="77777777" w:rsidR="007527C5" w:rsidRPr="00500188" w:rsidRDefault="007527C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 xml:space="preserve">Ecoinovarea </w:t>
            </w:r>
          </w:p>
          <w:p w14:paraId="7D744978" w14:textId="56D5A82C" w:rsidR="00B87F56" w:rsidRPr="006C677A" w:rsidRDefault="00B87F56" w:rsidP="00CF2CC0">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9</w:t>
            </w:r>
            <w:r>
              <w:rPr>
                <w:rFonts w:ascii="Times New Roman" w:hAnsi="Times New Roman"/>
                <w:noProof/>
                <w:sz w:val="20"/>
              </w:rPr>
              <w:t xml:space="preserve"> Brevete legate de gestionarea și reciclarea deșeurilor (număr și număr la milion de locuitori)</w:t>
            </w:r>
          </w:p>
        </w:tc>
        <w:tc>
          <w:tcPr>
            <w:tcW w:w="3799" w:type="dxa"/>
          </w:tcPr>
          <w:p w14:paraId="7133715C"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Tehnologiile inovatoare legate de economia circulară stimulează competitivitatea la nivel mondial a UE.</w:t>
            </w:r>
          </w:p>
        </w:tc>
        <w:tc>
          <w:tcPr>
            <w:tcW w:w="1228" w:type="dxa"/>
          </w:tcPr>
          <w:p w14:paraId="5D90BE7F" w14:textId="4EB8D7F5" w:rsidR="007527C5" w:rsidRPr="006C677A" w:rsidRDefault="00AF39F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Centrul Comun de Cercetare, pe baza PATSTAT</w:t>
            </w:r>
          </w:p>
        </w:tc>
      </w:tr>
      <w:tr w:rsidR="007527C5" w:rsidRPr="006C677A" w14:paraId="7FD7F552" w14:textId="77777777" w:rsidTr="007527C5">
        <w:trPr>
          <w:cantSplit/>
        </w:trPr>
        <w:tc>
          <w:tcPr>
            <w:tcW w:w="9464" w:type="dxa"/>
            <w:gridSpan w:val="4"/>
            <w:shd w:val="clear" w:color="auto" w:fill="EEECE1"/>
          </w:tcPr>
          <w:p w14:paraId="47D2DF93" w14:textId="77777777" w:rsidR="007527C5" w:rsidRPr="00500188" w:rsidRDefault="007527C5" w:rsidP="00D77CE4">
            <w:pPr>
              <w:keepNext/>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Durabilitatea globală și reziliența</w:t>
            </w:r>
          </w:p>
        </w:tc>
      </w:tr>
      <w:tr w:rsidR="00CF2CC0" w:rsidRPr="006C677A" w14:paraId="25A8018E" w14:textId="77777777" w:rsidTr="00A83C28">
        <w:trPr>
          <w:cantSplit/>
        </w:trPr>
        <w:tc>
          <w:tcPr>
            <w:tcW w:w="675" w:type="dxa"/>
          </w:tcPr>
          <w:p w14:paraId="1AEB52B6"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10</w:t>
            </w:r>
            <w:r>
              <w:rPr>
                <w:rFonts w:ascii="Times New Roman" w:hAnsi="Times New Roman"/>
                <w:noProof/>
                <w:color w:val="000000"/>
                <w:sz w:val="20"/>
              </w:rPr>
              <w:t>a-b</w:t>
            </w:r>
          </w:p>
        </w:tc>
        <w:tc>
          <w:tcPr>
            <w:tcW w:w="3762" w:type="dxa"/>
          </w:tcPr>
          <w:p w14:paraId="3605DD44" w14:textId="77777777" w:rsidR="007527C5" w:rsidRPr="00500188"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Durabilitatea globală</w:t>
            </w:r>
          </w:p>
          <w:p w14:paraId="140D4DEF" w14:textId="55E9C9FF" w:rsidR="00B87F56" w:rsidRPr="006C677A" w:rsidRDefault="00B87F56" w:rsidP="006C677A">
            <w:pPr>
              <w:rPr>
                <w:rFonts w:ascii="Times New Roman" w:hAnsi="Times New Roman" w:cs="Times New Roman"/>
                <w:noProof/>
                <w:sz w:val="20"/>
                <w:szCs w:val="20"/>
              </w:rPr>
            </w:pPr>
            <w:r w:rsidRPr="00500188">
              <w:rPr>
                <w:rFonts w:ascii="Times New Roman" w:hAnsi="Times New Roman"/>
                <w:noProof/>
                <w:sz w:val="20"/>
              </w:rPr>
              <w:t>10</w:t>
            </w:r>
            <w:r>
              <w:rPr>
                <w:rFonts w:ascii="Times New Roman" w:hAnsi="Times New Roman"/>
                <w:noProof/>
                <w:sz w:val="20"/>
              </w:rPr>
              <w:t xml:space="preserve">a Amprenta consumului (indice </w:t>
            </w:r>
            <w:r w:rsidRPr="00500188">
              <w:rPr>
                <w:rFonts w:ascii="Times New Roman" w:hAnsi="Times New Roman"/>
                <w:noProof/>
                <w:sz w:val="20"/>
              </w:rPr>
              <w:t>2010</w:t>
            </w:r>
            <w:r>
              <w:rPr>
                <w:rFonts w:ascii="Times New Roman" w:hAnsi="Times New Roman"/>
                <w:noProof/>
                <w:sz w:val="20"/>
              </w:rPr>
              <w:t xml:space="preserve"> = </w:t>
            </w:r>
            <w:r w:rsidRPr="00500188">
              <w:rPr>
                <w:rFonts w:ascii="Times New Roman" w:hAnsi="Times New Roman"/>
                <w:noProof/>
                <w:sz w:val="20"/>
              </w:rPr>
              <w:t>100</w:t>
            </w:r>
            <w:r>
              <w:rPr>
                <w:rFonts w:ascii="Times New Roman" w:hAnsi="Times New Roman"/>
                <w:noProof/>
                <w:sz w:val="20"/>
              </w:rPr>
              <w:t xml:space="preserve"> și numărul cazurilor de depășire a limitelor planetei)</w:t>
            </w:r>
          </w:p>
          <w:p w14:paraId="50D0D6C6" w14:textId="0234378D" w:rsidR="00B87F56" w:rsidRPr="006C677A" w:rsidRDefault="00B87F56"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10</w:t>
            </w:r>
            <w:r>
              <w:rPr>
                <w:rFonts w:ascii="Times New Roman" w:hAnsi="Times New Roman"/>
                <w:noProof/>
                <w:sz w:val="20"/>
              </w:rPr>
              <w:t>b Emisii de GES generate de activitățile de producție (kg pe cap de locuitor)</w:t>
            </w:r>
          </w:p>
        </w:tc>
        <w:tc>
          <w:tcPr>
            <w:tcW w:w="3799" w:type="dxa"/>
          </w:tcPr>
          <w:p w14:paraId="49EA0350" w14:textId="52882553" w:rsidR="00CD6BEF"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Amprenta consumului indică măsura în care sistemele de producție și consum se încadrează în limitele planetei.</w:t>
            </w:r>
          </w:p>
          <w:p w14:paraId="4C0CC362" w14:textId="77777777" w:rsidR="00CD6BEF" w:rsidRPr="00C61356" w:rsidRDefault="00CD6BEF" w:rsidP="006C677A">
            <w:pPr>
              <w:widowControl w:val="0"/>
              <w:autoSpaceDE w:val="0"/>
              <w:autoSpaceDN w:val="0"/>
              <w:adjustRightInd w:val="0"/>
              <w:textAlignment w:val="center"/>
              <w:rPr>
                <w:rFonts w:ascii="Times New Roman" w:eastAsia="Cambria" w:hAnsi="Times New Roman" w:cs="Times New Roman"/>
                <w:noProof/>
                <w:color w:val="000000"/>
                <w:sz w:val="20"/>
                <w:szCs w:val="20"/>
                <w:lang w:val="fr-BE" w:eastAsia="en-GB"/>
              </w:rPr>
            </w:pPr>
          </w:p>
          <w:p w14:paraId="76CC4EC8" w14:textId="2AB88604" w:rsidR="007527C5" w:rsidRPr="006C677A" w:rsidRDefault="00CD6BEF" w:rsidP="00CD6BEF">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Economia circulară contribuie la neutralitatea climatică.</w:t>
            </w:r>
          </w:p>
        </w:tc>
        <w:tc>
          <w:tcPr>
            <w:tcW w:w="1228" w:type="dxa"/>
          </w:tcPr>
          <w:p w14:paraId="16F73B3B" w14:textId="067FDBFB" w:rsidR="007527C5" w:rsidRPr="006C677A" w:rsidRDefault="00B3487B" w:rsidP="00B3487B">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Centrul Comun de Cercetare și Eurostat</w:t>
            </w:r>
          </w:p>
        </w:tc>
      </w:tr>
      <w:tr w:rsidR="00CF2CC0" w:rsidRPr="006C677A" w14:paraId="7382162A" w14:textId="77777777" w:rsidTr="00A83C28">
        <w:trPr>
          <w:cantSplit/>
        </w:trPr>
        <w:tc>
          <w:tcPr>
            <w:tcW w:w="675" w:type="dxa"/>
          </w:tcPr>
          <w:p w14:paraId="39506420"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color w:val="000000"/>
                <w:sz w:val="20"/>
              </w:rPr>
              <w:t>11</w:t>
            </w:r>
            <w:r>
              <w:rPr>
                <w:rFonts w:ascii="Times New Roman" w:hAnsi="Times New Roman"/>
                <w:noProof/>
                <w:color w:val="000000"/>
                <w:sz w:val="20"/>
              </w:rPr>
              <w:t>a-b</w:t>
            </w:r>
          </w:p>
        </w:tc>
        <w:tc>
          <w:tcPr>
            <w:tcW w:w="3762" w:type="dxa"/>
          </w:tcPr>
          <w:p w14:paraId="5FE6D492" w14:textId="77777777" w:rsidR="007527C5" w:rsidRPr="00500188" w:rsidRDefault="007527C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sidRPr="00500188">
              <w:rPr>
                <w:rFonts w:ascii="Times New Roman" w:hAnsi="Times New Roman"/>
                <w:b/>
                <w:noProof/>
                <w:color w:val="000000"/>
                <w:sz w:val="20"/>
              </w:rPr>
              <w:t xml:space="preserve">Reziliența </w:t>
            </w:r>
          </w:p>
          <w:p w14:paraId="45EC8EBD" w14:textId="2AC110F9" w:rsidR="00B87F56" w:rsidRPr="006C677A" w:rsidRDefault="00B87F56" w:rsidP="006C677A">
            <w:pPr>
              <w:rPr>
                <w:rFonts w:ascii="Times New Roman" w:hAnsi="Times New Roman" w:cs="Times New Roman"/>
                <w:noProof/>
                <w:sz w:val="20"/>
                <w:szCs w:val="20"/>
              </w:rPr>
            </w:pPr>
            <w:r w:rsidRPr="00500188">
              <w:rPr>
                <w:rFonts w:ascii="Times New Roman" w:hAnsi="Times New Roman"/>
                <w:noProof/>
                <w:sz w:val="20"/>
              </w:rPr>
              <w:t>11</w:t>
            </w:r>
            <w:r>
              <w:rPr>
                <w:rFonts w:ascii="Times New Roman" w:hAnsi="Times New Roman"/>
                <w:noProof/>
                <w:sz w:val="20"/>
              </w:rPr>
              <w:t>a Dependența de importurile de materii prime (%)</w:t>
            </w:r>
          </w:p>
          <w:p w14:paraId="5C1DFAA9" w14:textId="135669BB" w:rsidR="00B87F56" w:rsidRPr="006C677A" w:rsidRDefault="00B87F56"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sidRPr="00500188">
              <w:rPr>
                <w:rFonts w:ascii="Times New Roman" w:hAnsi="Times New Roman"/>
                <w:noProof/>
                <w:sz w:val="20"/>
              </w:rPr>
              <w:t>11</w:t>
            </w:r>
            <w:r>
              <w:rPr>
                <w:rFonts w:ascii="Times New Roman" w:hAnsi="Times New Roman"/>
                <w:noProof/>
                <w:sz w:val="20"/>
              </w:rPr>
              <w:t>b Autonomia UE în domeniul materiilor prime (%)</w:t>
            </w:r>
          </w:p>
        </w:tc>
        <w:tc>
          <w:tcPr>
            <w:tcW w:w="3799" w:type="dxa"/>
          </w:tcPr>
          <w:p w14:paraId="052619D6" w14:textId="03C63B0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Economia circulară contribuie la securitatea aprovizionării cu materii prime și la abordarea riscurilor legate de aprovizionare, în special în ceea ce privește materiile prime critice.</w:t>
            </w:r>
          </w:p>
        </w:tc>
        <w:tc>
          <w:tcPr>
            <w:tcW w:w="1228" w:type="dxa"/>
          </w:tcPr>
          <w:p w14:paraId="21B9E48F" w14:textId="5B72D70A" w:rsidR="007527C5" w:rsidRPr="006C677A" w:rsidRDefault="00B3487B" w:rsidP="00483DE0">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 alte servicii ale Comisiei Europene</w:t>
            </w:r>
          </w:p>
        </w:tc>
      </w:tr>
    </w:tbl>
    <w:p w14:paraId="60994FC1" w14:textId="6ADEB622" w:rsidR="007527C5" w:rsidRPr="00450685" w:rsidRDefault="007527C5" w:rsidP="007527C5">
      <w:pPr>
        <w:spacing w:after="200" w:line="276" w:lineRule="auto"/>
        <w:jc w:val="both"/>
        <w:rPr>
          <w:rFonts w:ascii="Times New Roman" w:eastAsia="Calibri" w:hAnsi="Times New Roman" w:cs="Arial"/>
          <w:noProof/>
          <w:sz w:val="20"/>
          <w:szCs w:val="20"/>
        </w:rPr>
      </w:pPr>
      <w:r>
        <w:rPr>
          <w:rFonts w:ascii="Times New Roman" w:hAnsi="Times New Roman"/>
          <w:noProof/>
          <w:sz w:val="20"/>
        </w:rPr>
        <w:t>* Indicator în curs de elaborare. CEAP</w:t>
      </w:r>
      <w:r w:rsidRPr="00500188">
        <w:rPr>
          <w:rFonts w:ascii="Times New Roman" w:hAnsi="Times New Roman"/>
          <w:noProof/>
          <w:sz w:val="20"/>
        </w:rPr>
        <w:t>2</w:t>
      </w:r>
      <w:r>
        <w:rPr>
          <w:rFonts w:ascii="Times New Roman" w:hAnsi="Times New Roman"/>
          <w:noProof/>
          <w:sz w:val="20"/>
        </w:rPr>
        <w:t xml:space="preserve">: planul de acțiune pentru economia circulară </w:t>
      </w:r>
      <w:r w:rsidRPr="00500188">
        <w:rPr>
          <w:rFonts w:ascii="Times New Roman" w:hAnsi="Times New Roman"/>
          <w:noProof/>
          <w:sz w:val="20"/>
        </w:rPr>
        <w:t>2</w:t>
      </w:r>
      <w:r>
        <w:rPr>
          <w:rFonts w:ascii="Times New Roman" w:hAnsi="Times New Roman"/>
          <w:noProof/>
          <w:sz w:val="20"/>
        </w:rPr>
        <w:t xml:space="preserve">, adoptat în </w:t>
      </w:r>
      <w:r w:rsidRPr="00500188">
        <w:rPr>
          <w:rFonts w:ascii="Times New Roman" w:hAnsi="Times New Roman"/>
          <w:noProof/>
          <w:sz w:val="20"/>
        </w:rPr>
        <w:t>2020</w:t>
      </w:r>
      <w:r>
        <w:rPr>
          <w:rFonts w:ascii="Times New Roman" w:hAnsi="Times New Roman"/>
          <w:noProof/>
          <w:sz w:val="20"/>
        </w:rPr>
        <w:t>.</w:t>
      </w:r>
    </w:p>
    <w:p w14:paraId="53E07CF9" w14:textId="30B05B86" w:rsidR="007527C5" w:rsidRPr="00500188" w:rsidRDefault="00754886" w:rsidP="006C677A">
      <w:pPr>
        <w:pStyle w:val="ListParagraph"/>
        <w:keepNext/>
        <w:numPr>
          <w:ilvl w:val="0"/>
          <w:numId w:val="1"/>
        </w:numPr>
        <w:spacing w:after="120" w:line="276" w:lineRule="auto"/>
        <w:jc w:val="both"/>
        <w:outlineLvl w:val="0"/>
        <w:rPr>
          <w:rFonts w:ascii="Times New Roman" w:eastAsia="Calibri" w:hAnsi="Times New Roman" w:cs="Times New Roman"/>
          <w:b/>
          <w:noProof/>
          <w:sz w:val="24"/>
          <w:szCs w:val="24"/>
        </w:rPr>
      </w:pPr>
      <w:r w:rsidRPr="00500188">
        <w:rPr>
          <w:rFonts w:ascii="Times New Roman" w:hAnsi="Times New Roman"/>
          <w:b/>
          <w:noProof/>
          <w:sz w:val="24"/>
        </w:rPr>
        <w:t>Aplicarea cadrului de monitorizare: principalele tendințe</w:t>
      </w:r>
    </w:p>
    <w:p w14:paraId="66273E89" w14:textId="50D1A07E" w:rsidR="007527C5" w:rsidRPr="00450685" w:rsidRDefault="007527C5" w:rsidP="007527C5">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Cei </w:t>
      </w:r>
      <w:r w:rsidRPr="00500188">
        <w:rPr>
          <w:rFonts w:ascii="Times New Roman" w:hAnsi="Times New Roman"/>
          <w:noProof/>
          <w:sz w:val="24"/>
        </w:rPr>
        <w:t>11</w:t>
      </w:r>
      <w:r>
        <w:rPr>
          <w:rFonts w:ascii="Times New Roman" w:hAnsi="Times New Roman"/>
          <w:noProof/>
          <w:sz w:val="24"/>
        </w:rPr>
        <w:t xml:space="preserve"> indicatori permit măsurarea progreselor înregistrate în direcția atingerii atât a țintelor juridice/ambițioase, cât și a obiectivelor de politică mai ample în domeniul economiei circulare. Unii subindicatori specifici materialelor furnizează factorilor de decizie informații importante care le vor permite să evalueze progresele înregistrate în ceea ce privește principalele lanțuri de aprovizionare și materiale.</w:t>
      </w:r>
    </w:p>
    <w:p w14:paraId="0A97050F" w14:textId="77777777" w:rsidR="007527C5" w:rsidRPr="00D77CE4" w:rsidRDefault="007527C5" w:rsidP="007527C5">
      <w:pPr>
        <w:spacing w:after="120" w:line="276" w:lineRule="auto"/>
        <w:jc w:val="both"/>
        <w:rPr>
          <w:rFonts w:ascii="Times New Roman" w:eastAsia="Calibri" w:hAnsi="Times New Roman" w:cs="Times New Roman"/>
          <w:b/>
          <w:i/>
          <w:noProof/>
          <w:sz w:val="24"/>
          <w:szCs w:val="24"/>
        </w:rPr>
      </w:pPr>
      <w:r w:rsidRPr="00D77CE4">
        <w:rPr>
          <w:rFonts w:ascii="Times New Roman" w:hAnsi="Times New Roman"/>
          <w:b/>
          <w:i/>
          <w:noProof/>
          <w:sz w:val="24"/>
        </w:rPr>
        <w:t>Producție și consum</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32CB2164" w14:textId="77777777" w:rsidTr="007527C5">
        <w:tc>
          <w:tcPr>
            <w:tcW w:w="9072" w:type="dxa"/>
            <w:shd w:val="clear" w:color="auto" w:fill="F2F2F2"/>
          </w:tcPr>
          <w:p w14:paraId="5EA9CA84" w14:textId="2D0ED94F" w:rsidR="007527C5" w:rsidRPr="00450685" w:rsidRDefault="007527C5" w:rsidP="00BE40D0">
            <w:pPr>
              <w:spacing w:before="120" w:after="120"/>
              <w:jc w:val="both"/>
              <w:rPr>
                <w:rFonts w:ascii="Times New Roman" w:eastAsia="Calibri" w:hAnsi="Times New Roman" w:cs="Times New Roman"/>
                <w:noProof/>
                <w:sz w:val="24"/>
              </w:rPr>
            </w:pPr>
            <w:r>
              <w:rPr>
                <w:rFonts w:ascii="Times New Roman" w:hAnsi="Times New Roman"/>
                <w:noProof/>
                <w:sz w:val="24"/>
              </w:rPr>
              <w:t xml:space="preserve">În ultimii ani, s-au înregistrat progrese inegale în ceea ce privește trecerea la forme mai circulare de producție și consum. Producția UE a devenit mai eficientă din punctul de vedere al utilizării resurselor, dar consumul de materiale și generarea de deșeuri în UE sunt foarte ridicate și trebuie să scadă în viitor. </w:t>
            </w:r>
          </w:p>
        </w:tc>
      </w:tr>
    </w:tbl>
    <w:p w14:paraId="35CCC156" w14:textId="77777777" w:rsidR="007527C5" w:rsidRPr="00C61356" w:rsidRDefault="007527C5" w:rsidP="007527C5">
      <w:pPr>
        <w:spacing w:after="0" w:line="276" w:lineRule="auto"/>
        <w:jc w:val="both"/>
        <w:rPr>
          <w:rFonts w:ascii="Times New Roman" w:eastAsia="Calibri" w:hAnsi="Times New Roman" w:cs="Times New Roman"/>
          <w:noProof/>
          <w:sz w:val="24"/>
          <w:szCs w:val="24"/>
        </w:rPr>
      </w:pPr>
    </w:p>
    <w:p w14:paraId="0B21C913" w14:textId="742851C6" w:rsidR="007527C5" w:rsidRPr="00B95B85" w:rsidRDefault="007527C5" w:rsidP="007527C5">
      <w:pPr>
        <w:spacing w:after="0" w:line="276" w:lineRule="auto"/>
        <w:jc w:val="both"/>
        <w:rPr>
          <w:rFonts w:ascii="Times New Roman" w:eastAsia="Calibri" w:hAnsi="Times New Roman" w:cs="Times New Roman"/>
          <w:noProof/>
          <w:sz w:val="24"/>
        </w:rPr>
      </w:pPr>
      <w:r w:rsidRPr="00500188">
        <w:rPr>
          <w:rFonts w:ascii="Times New Roman" w:hAnsi="Times New Roman"/>
          <w:b/>
          <w:noProof/>
          <w:sz w:val="24"/>
        </w:rPr>
        <w:t>Amprenta estimată a materiilor prime la nivelul UE, denumită și consum de materii prime, a fost de 13,7 tone pe cap de locuitor în 2020.</w:t>
      </w:r>
      <w:r>
        <w:rPr>
          <w:rFonts w:ascii="Times New Roman" w:hAnsi="Times New Roman"/>
          <w:noProof/>
          <w:sz w:val="24"/>
        </w:rPr>
        <w:t xml:space="preserve"> Mineralele nemetalice reprezintă cea mai mare categorie de materiale, iar modificările din această categorie sunt determinate în mare măsură de nivelul construcțiilor (și de activitatea din sectoarele legate de construcții) din diferite state membre.</w:t>
      </w:r>
    </w:p>
    <w:p w14:paraId="2A2BA6A9" w14:textId="77777777" w:rsidR="007527C5" w:rsidRPr="00C61356" w:rsidRDefault="007527C5" w:rsidP="007527C5">
      <w:pPr>
        <w:spacing w:after="0" w:line="276" w:lineRule="auto"/>
        <w:jc w:val="both"/>
        <w:rPr>
          <w:rFonts w:ascii="Times New Roman" w:eastAsia="Calibri" w:hAnsi="Times New Roman" w:cs="Times New Roman"/>
          <w:noProof/>
          <w:sz w:val="24"/>
        </w:rPr>
      </w:pPr>
    </w:p>
    <w:p w14:paraId="6472F2AF" w14:textId="74285F7D" w:rsidR="007527C5" w:rsidRPr="00B95B85" w:rsidRDefault="007527C5" w:rsidP="007527C5">
      <w:pPr>
        <w:spacing w:after="0" w:line="276" w:lineRule="auto"/>
        <w:jc w:val="both"/>
        <w:rPr>
          <w:rFonts w:ascii="Times New Roman" w:eastAsia="Calibri" w:hAnsi="Times New Roman" w:cs="Times New Roman"/>
          <w:noProof/>
          <w:sz w:val="24"/>
          <w:szCs w:val="24"/>
        </w:rPr>
      </w:pPr>
      <w:r w:rsidRPr="00500188">
        <w:rPr>
          <w:rFonts w:ascii="Times New Roman" w:hAnsi="Times New Roman"/>
          <w:b/>
          <w:noProof/>
          <w:sz w:val="24"/>
        </w:rPr>
        <w:t>Începând din 2000, productivitatea resurselor economiei UE a crescut cu aproximativ 35 %</w:t>
      </w:r>
      <w:r>
        <w:rPr>
          <w:rFonts w:ascii="Times New Roman" w:hAnsi="Times New Roman"/>
          <w:noProof/>
          <w:sz w:val="24"/>
        </w:rPr>
        <w:t xml:space="preserve">, ceea ce indică realizarea de progrese în decuplarea creșterii economice de utilizarea resurselor. Creșterea poate fi explicată prin procese care utilizează materialele într-un mod mai eficient, dar și prin externalizarea producției mari consumatoare de materiale către alte părți ale lumii. </w:t>
      </w:r>
    </w:p>
    <w:p w14:paraId="28D5013C" w14:textId="77777777" w:rsidR="007527C5" w:rsidRPr="00500188" w:rsidRDefault="007527C5" w:rsidP="007527C5">
      <w:pPr>
        <w:spacing w:after="0" w:line="276" w:lineRule="auto"/>
        <w:jc w:val="both"/>
        <w:rPr>
          <w:rFonts w:ascii="Times New Roman" w:eastAsia="Calibri" w:hAnsi="Times New Roman" w:cs="Times New Roman"/>
          <w:noProof/>
          <w:sz w:val="24"/>
          <w:szCs w:val="24"/>
        </w:rPr>
      </w:pPr>
    </w:p>
    <w:p w14:paraId="0E9D3696" w14:textId="4BE43BEA" w:rsidR="007527C5" w:rsidRPr="00B95B85" w:rsidRDefault="00823333" w:rsidP="007527C5">
      <w:pPr>
        <w:spacing w:after="0" w:line="276" w:lineRule="auto"/>
        <w:jc w:val="both"/>
        <w:rPr>
          <w:rFonts w:ascii="Times New Roman" w:eastAsia="Calibri" w:hAnsi="Times New Roman" w:cs="Times New Roman"/>
          <w:noProof/>
          <w:sz w:val="24"/>
        </w:rPr>
      </w:pPr>
      <w:r>
        <w:rPr>
          <w:rFonts w:ascii="Times New Roman" w:hAnsi="Times New Roman"/>
          <w:noProof/>
          <w:sz w:val="24"/>
        </w:rPr>
        <w:t xml:space="preserve">UE cheltuiește aproximativ </w:t>
      </w:r>
      <w:r w:rsidRPr="00500188">
        <w:rPr>
          <w:rFonts w:ascii="Times New Roman" w:hAnsi="Times New Roman"/>
          <w:noProof/>
          <w:sz w:val="24"/>
        </w:rPr>
        <w:t>14</w:t>
      </w:r>
      <w:r>
        <w:rPr>
          <w:rFonts w:ascii="Times New Roman" w:hAnsi="Times New Roman"/>
          <w:noProof/>
          <w:sz w:val="24"/>
        </w:rPr>
        <w:t xml:space="preserve"> % din PIB (în jur de </w:t>
      </w:r>
      <w:r w:rsidRPr="00500188">
        <w:rPr>
          <w:rFonts w:ascii="Times New Roman" w:hAnsi="Times New Roman"/>
          <w:noProof/>
          <w:sz w:val="24"/>
        </w:rPr>
        <w:t>2</w:t>
      </w:r>
      <w:r>
        <w:rPr>
          <w:rFonts w:ascii="Times New Roman" w:hAnsi="Times New Roman"/>
          <w:noProof/>
          <w:sz w:val="24"/>
        </w:rPr>
        <w:t xml:space="preserve"> mii de miliarde EUR pe an) pentru achiziționarea de servicii și bunuri prin intermediul achizițiilor publice. Prin urmare, </w:t>
      </w:r>
      <w:r w:rsidRPr="00500188">
        <w:rPr>
          <w:rFonts w:ascii="Times New Roman" w:hAnsi="Times New Roman"/>
          <w:b/>
          <w:noProof/>
          <w:sz w:val="24"/>
        </w:rPr>
        <w:t>achizițiile publice verzi</w:t>
      </w:r>
      <w:r>
        <w:rPr>
          <w:rFonts w:ascii="Times New Roman" w:hAnsi="Times New Roman"/>
          <w:noProof/>
          <w:sz w:val="24"/>
        </w:rPr>
        <w:t xml:space="preserve"> pot fi un instrument puternic de stimulare a economiei circulare și a ecoinovării. Datele pentru un indicator privind achizițiile publice verzi vor fi disponibile în </w:t>
      </w:r>
      <w:r w:rsidRPr="00500188">
        <w:rPr>
          <w:rFonts w:ascii="Times New Roman" w:hAnsi="Times New Roman"/>
          <w:noProof/>
          <w:sz w:val="24"/>
        </w:rPr>
        <w:t>2024</w:t>
      </w:r>
      <w:r>
        <w:rPr>
          <w:rFonts w:ascii="Times New Roman" w:hAnsi="Times New Roman"/>
          <w:noProof/>
          <w:sz w:val="24"/>
        </w:rPr>
        <w:t xml:space="preserve"> prin intermediul unui chestionar privind achizițiile publice, care va fi completat de statele membre</w:t>
      </w:r>
      <w:r>
        <w:rPr>
          <w:rFonts w:ascii="Times New Roman" w:hAnsi="Times New Roman"/>
          <w:noProof/>
          <w:color w:val="000000"/>
          <w:sz w:val="24"/>
        </w:rPr>
        <w:t>.</w:t>
      </w:r>
      <w:r>
        <w:rPr>
          <w:rFonts w:ascii="Times New Roman" w:hAnsi="Times New Roman"/>
          <w:noProof/>
          <w:sz w:val="24"/>
        </w:rPr>
        <w:t xml:space="preserve"> </w:t>
      </w:r>
    </w:p>
    <w:p w14:paraId="4043DF86" w14:textId="77777777" w:rsidR="007527C5" w:rsidRPr="00C61356" w:rsidRDefault="007527C5" w:rsidP="007527C5">
      <w:pPr>
        <w:spacing w:after="0" w:line="276" w:lineRule="auto"/>
        <w:jc w:val="both"/>
        <w:rPr>
          <w:rFonts w:ascii="Times New Roman" w:eastAsia="Calibri" w:hAnsi="Times New Roman" w:cs="Times New Roman"/>
          <w:noProof/>
          <w:sz w:val="24"/>
          <w:szCs w:val="24"/>
          <w:lang w:val="fr-BE"/>
        </w:rPr>
      </w:pPr>
    </w:p>
    <w:p w14:paraId="06E2F904" w14:textId="4A52BECC" w:rsidR="007527C5" w:rsidRPr="00B95B85" w:rsidRDefault="007527C5" w:rsidP="007527C5">
      <w:pPr>
        <w:spacing w:after="0" w:line="276" w:lineRule="auto"/>
        <w:jc w:val="both"/>
        <w:rPr>
          <w:rFonts w:ascii="Times New Roman" w:eastAsia="Calibri" w:hAnsi="Times New Roman" w:cs="Times New Roman"/>
          <w:noProof/>
          <w:sz w:val="24"/>
        </w:rPr>
      </w:pPr>
      <w:r>
        <w:rPr>
          <w:rFonts w:ascii="Times New Roman" w:hAnsi="Times New Roman"/>
          <w:noProof/>
          <w:sz w:val="24"/>
        </w:rPr>
        <w:t xml:space="preserve">În </w:t>
      </w:r>
      <w:r w:rsidRPr="00500188">
        <w:rPr>
          <w:rFonts w:ascii="Times New Roman" w:hAnsi="Times New Roman"/>
          <w:noProof/>
          <w:sz w:val="24"/>
        </w:rPr>
        <w:t>2020</w:t>
      </w:r>
      <w:r>
        <w:rPr>
          <w:rFonts w:ascii="Times New Roman" w:hAnsi="Times New Roman"/>
          <w:noProof/>
          <w:sz w:val="24"/>
        </w:rPr>
        <w:t xml:space="preserve">, cantitatea totală de deșeuri generate în UE de toate activitățile economice și gospodăriile s-a ridicat la </w:t>
      </w:r>
      <w:r w:rsidRPr="00500188">
        <w:rPr>
          <w:rFonts w:ascii="Times New Roman" w:hAnsi="Times New Roman"/>
          <w:noProof/>
          <w:sz w:val="24"/>
        </w:rPr>
        <w:t>2</w:t>
      </w:r>
      <w:r>
        <w:rPr>
          <w:rFonts w:ascii="Times New Roman" w:hAnsi="Times New Roman"/>
          <w:noProof/>
          <w:sz w:val="24"/>
        </w:rPr>
        <w:t>,</w:t>
      </w:r>
      <w:r w:rsidRPr="00500188">
        <w:rPr>
          <w:rFonts w:ascii="Times New Roman" w:hAnsi="Times New Roman"/>
          <w:noProof/>
          <w:sz w:val="24"/>
        </w:rPr>
        <w:t>15</w:t>
      </w:r>
      <w:r>
        <w:rPr>
          <w:rFonts w:ascii="Times New Roman" w:hAnsi="Times New Roman"/>
          <w:noProof/>
          <w:sz w:val="24"/>
        </w:rPr>
        <w:t xml:space="preserve"> miliarde de tone, ceea ce înseamnă că, </w:t>
      </w:r>
      <w:r w:rsidRPr="00500188">
        <w:rPr>
          <w:rFonts w:ascii="Times New Roman" w:hAnsi="Times New Roman"/>
          <w:b/>
          <w:noProof/>
          <w:sz w:val="24"/>
        </w:rPr>
        <w:t>în 2020, au fost generate 4,8 tone de deșeuri pe cap de locuitor al UE.</w:t>
      </w:r>
      <w:r w:rsidR="00500188">
        <w:rPr>
          <w:rFonts w:ascii="Times New Roman" w:hAnsi="Times New Roman"/>
          <w:noProof/>
          <w:sz w:val="24"/>
        </w:rPr>
        <w:t xml:space="preserve"> </w:t>
      </w:r>
      <w:r w:rsidRPr="00500188">
        <w:rPr>
          <w:rFonts w:ascii="Times New Roman" w:hAnsi="Times New Roman"/>
          <w:b/>
          <w:noProof/>
          <w:sz w:val="24"/>
        </w:rPr>
        <w:t>Totalul deșeurilor generate a scăzut cu aproape 3 %</w:t>
      </w:r>
      <w:r>
        <w:rPr>
          <w:rFonts w:ascii="Times New Roman" w:hAnsi="Times New Roman"/>
          <w:noProof/>
          <w:sz w:val="24"/>
        </w:rPr>
        <w:t xml:space="preserve"> între </w:t>
      </w:r>
      <w:r w:rsidRPr="00500188">
        <w:rPr>
          <w:rFonts w:ascii="Times New Roman" w:hAnsi="Times New Roman"/>
          <w:noProof/>
          <w:sz w:val="24"/>
        </w:rPr>
        <w:t>2010</w:t>
      </w:r>
      <w:r>
        <w:rPr>
          <w:rFonts w:ascii="Times New Roman" w:hAnsi="Times New Roman"/>
          <w:noProof/>
          <w:sz w:val="24"/>
        </w:rPr>
        <w:t xml:space="preserve"> și </w:t>
      </w:r>
      <w:r w:rsidRPr="00500188">
        <w:rPr>
          <w:rFonts w:ascii="Times New Roman" w:hAnsi="Times New Roman"/>
          <w:noProof/>
          <w:sz w:val="24"/>
        </w:rPr>
        <w:t>2020</w:t>
      </w:r>
      <w:r>
        <w:rPr>
          <w:rFonts w:ascii="Times New Roman" w:hAnsi="Times New Roman"/>
          <w:noProof/>
          <w:sz w:val="24"/>
        </w:rPr>
        <w:t>. Aproximativ două treimi (</w:t>
      </w:r>
      <w:r w:rsidRPr="00500188">
        <w:rPr>
          <w:rFonts w:ascii="Times New Roman" w:hAnsi="Times New Roman"/>
          <w:noProof/>
          <w:sz w:val="24"/>
        </w:rPr>
        <w:t>64</w:t>
      </w:r>
      <w:r>
        <w:rPr>
          <w:rFonts w:ascii="Times New Roman" w:hAnsi="Times New Roman"/>
          <w:noProof/>
          <w:sz w:val="24"/>
        </w:rPr>
        <w:t xml:space="preserve"> %) din totalul deșeurilor generate în UE în </w:t>
      </w:r>
      <w:r w:rsidRPr="00500188">
        <w:rPr>
          <w:rFonts w:ascii="Times New Roman" w:hAnsi="Times New Roman"/>
          <w:noProof/>
          <w:sz w:val="24"/>
        </w:rPr>
        <w:t>2020</w:t>
      </w:r>
      <w:r>
        <w:rPr>
          <w:rFonts w:ascii="Times New Roman" w:hAnsi="Times New Roman"/>
          <w:noProof/>
          <w:sz w:val="24"/>
        </w:rPr>
        <w:t xml:space="preserve"> au fost deșeuri minerale majore. Deșeurile minerale majore sunt strâns legate de construcții, demolări, industria extractivă, sectoare importante în unele state membre. În această perioadă de zece ani, a existat </w:t>
      </w:r>
      <w:r w:rsidRPr="00500188">
        <w:rPr>
          <w:rFonts w:ascii="Times New Roman" w:hAnsi="Times New Roman"/>
          <w:b/>
          <w:noProof/>
          <w:sz w:val="24"/>
        </w:rPr>
        <w:t>o decuplare limitată</w:t>
      </w:r>
      <w:r>
        <w:rPr>
          <w:rFonts w:ascii="Times New Roman" w:hAnsi="Times New Roman"/>
          <w:noProof/>
          <w:sz w:val="24"/>
        </w:rPr>
        <w:t xml:space="preserve"> a cantității de deșeuri generate (cu excepția deșeurilor minerale majore) de PIB. </w:t>
      </w:r>
    </w:p>
    <w:p w14:paraId="4C77C00E" w14:textId="77777777" w:rsidR="007527C5" w:rsidRPr="00500188" w:rsidRDefault="007527C5" w:rsidP="007527C5">
      <w:pPr>
        <w:spacing w:after="0" w:line="276" w:lineRule="auto"/>
        <w:jc w:val="both"/>
        <w:rPr>
          <w:rFonts w:ascii="Times New Roman" w:eastAsia="Calibri" w:hAnsi="Times New Roman" w:cs="Times New Roman"/>
          <w:noProof/>
          <w:sz w:val="24"/>
        </w:rPr>
      </w:pPr>
    </w:p>
    <w:p w14:paraId="10BC202F" w14:textId="6C25D8A2" w:rsidR="007527C5" w:rsidRPr="00B95B85" w:rsidRDefault="007527C5" w:rsidP="006C677A">
      <w:pPr>
        <w:spacing w:after="0" w:line="276" w:lineRule="auto"/>
        <w:jc w:val="both"/>
        <w:rPr>
          <w:rFonts w:ascii="Times New Roman" w:eastAsia="Calibri" w:hAnsi="Times New Roman" w:cs="Times New Roman"/>
          <w:noProof/>
          <w:sz w:val="24"/>
        </w:rPr>
      </w:pPr>
      <w:r w:rsidRPr="00500188">
        <w:rPr>
          <w:rFonts w:ascii="Times New Roman" w:hAnsi="Times New Roman"/>
          <w:b/>
          <w:noProof/>
          <w:sz w:val="24"/>
        </w:rPr>
        <w:t xml:space="preserve">Deșeurile municipale </w:t>
      </w:r>
      <w:r>
        <w:rPr>
          <w:rFonts w:ascii="Times New Roman" w:hAnsi="Times New Roman"/>
          <w:noProof/>
          <w:sz w:val="24"/>
        </w:rPr>
        <w:t xml:space="preserve">pe cap de locuitor generate în UE, care reprezintă </w:t>
      </w:r>
      <w:r w:rsidRPr="00500188">
        <w:rPr>
          <w:rFonts w:ascii="Times New Roman" w:hAnsi="Times New Roman"/>
          <w:noProof/>
          <w:sz w:val="24"/>
        </w:rPr>
        <w:t>10</w:t>
      </w:r>
      <w:r>
        <w:rPr>
          <w:rFonts w:ascii="Times New Roman" w:hAnsi="Times New Roman"/>
          <w:noProof/>
          <w:sz w:val="24"/>
        </w:rPr>
        <w:t> % din totalul deșeurilor, au crescut la</w:t>
      </w:r>
      <w:r w:rsidR="00500188">
        <w:rPr>
          <w:rFonts w:ascii="Times New Roman" w:hAnsi="Times New Roman"/>
          <w:noProof/>
          <w:sz w:val="24"/>
        </w:rPr>
        <w:t xml:space="preserve"> </w:t>
      </w:r>
      <w:r w:rsidRPr="00500188">
        <w:rPr>
          <w:rFonts w:ascii="Times New Roman" w:hAnsi="Times New Roman"/>
          <w:b/>
          <w:noProof/>
          <w:sz w:val="24"/>
        </w:rPr>
        <w:t>530 kg în 2021</w:t>
      </w:r>
      <w:r>
        <w:rPr>
          <w:rFonts w:ascii="Times New Roman" w:hAnsi="Times New Roman"/>
          <w:noProof/>
          <w:sz w:val="24"/>
        </w:rPr>
        <w:t xml:space="preserve">, comparativ cu </w:t>
      </w:r>
      <w:r w:rsidRPr="00500188">
        <w:rPr>
          <w:rFonts w:ascii="Times New Roman" w:hAnsi="Times New Roman"/>
          <w:noProof/>
          <w:sz w:val="24"/>
        </w:rPr>
        <w:t>503</w:t>
      </w:r>
      <w:r>
        <w:rPr>
          <w:rFonts w:ascii="Times New Roman" w:hAnsi="Times New Roman"/>
          <w:noProof/>
          <w:sz w:val="24"/>
        </w:rPr>
        <w:t xml:space="preserve"> kg pe cap de locuitor în </w:t>
      </w:r>
      <w:r w:rsidRPr="00500188">
        <w:rPr>
          <w:rFonts w:ascii="Times New Roman" w:hAnsi="Times New Roman"/>
          <w:noProof/>
          <w:sz w:val="24"/>
        </w:rPr>
        <w:t>2010</w:t>
      </w:r>
      <w:r>
        <w:rPr>
          <w:rFonts w:ascii="Times New Roman" w:hAnsi="Times New Roman"/>
          <w:noProof/>
          <w:sz w:val="24"/>
        </w:rPr>
        <w:t xml:space="preserve">. Reducerea </w:t>
      </w:r>
      <w:r w:rsidRPr="00500188">
        <w:rPr>
          <w:rFonts w:ascii="Times New Roman" w:hAnsi="Times New Roman"/>
          <w:b/>
          <w:noProof/>
          <w:sz w:val="24"/>
        </w:rPr>
        <w:t>risipei de alimente</w:t>
      </w:r>
      <w:r>
        <w:rPr>
          <w:rFonts w:ascii="Times New Roman" w:eastAsia="Calibri" w:hAnsi="Times New Roman" w:cs="Times New Roman"/>
          <w:noProof/>
          <w:sz w:val="24"/>
          <w:vertAlign w:val="superscript"/>
          <w:lang w:val="en-IE"/>
        </w:rPr>
        <w:footnoteReference w:id="28"/>
      </w:r>
      <w:r>
        <w:rPr>
          <w:rFonts w:ascii="Times New Roman" w:hAnsi="Times New Roman"/>
          <w:noProof/>
          <w:sz w:val="24"/>
        </w:rPr>
        <w:t xml:space="preserve"> are un potențial enorm de a economisi resursele pe care le folosim pentru a produce alimentele pe care le consumăm și se numără printre factorii care influențează securitatea alimentară</w:t>
      </w:r>
      <w:r>
        <w:rPr>
          <w:rStyle w:val="FootnoteReference"/>
          <w:rFonts w:ascii="Times New Roman" w:eastAsia="Calibri" w:hAnsi="Times New Roman" w:cs="Times New Roman"/>
          <w:noProof/>
          <w:sz w:val="24"/>
          <w:lang w:val="en-IE"/>
        </w:rPr>
        <w:footnoteReference w:id="29"/>
      </w:r>
      <w:r>
        <w:rPr>
          <w:rFonts w:ascii="Times New Roman" w:hAnsi="Times New Roman"/>
          <w:noProof/>
          <w:sz w:val="24"/>
        </w:rPr>
        <w:t xml:space="preserve">. În </w:t>
      </w:r>
      <w:r w:rsidRPr="00500188">
        <w:rPr>
          <w:rFonts w:ascii="Times New Roman" w:hAnsi="Times New Roman"/>
          <w:noProof/>
          <w:sz w:val="24"/>
        </w:rPr>
        <w:t>2020</w:t>
      </w:r>
      <w:r>
        <w:rPr>
          <w:rFonts w:ascii="Times New Roman" w:hAnsi="Times New Roman"/>
          <w:noProof/>
          <w:sz w:val="24"/>
        </w:rPr>
        <w:t xml:space="preserve">, </w:t>
      </w:r>
      <w:r w:rsidRPr="00500188">
        <w:rPr>
          <w:rFonts w:ascii="Times New Roman" w:hAnsi="Times New Roman"/>
          <w:b/>
          <w:noProof/>
          <w:sz w:val="24"/>
        </w:rPr>
        <w:t xml:space="preserve">UE a generat 59 </w:t>
      </w:r>
      <w:r w:rsidR="00003524" w:rsidRPr="00500188">
        <w:rPr>
          <w:rFonts w:ascii="Times New Roman" w:hAnsi="Times New Roman"/>
          <w:b/>
          <w:noProof/>
          <w:sz w:val="24"/>
        </w:rPr>
        <w:t xml:space="preserve">de </w:t>
      </w:r>
      <w:r w:rsidRPr="00500188">
        <w:rPr>
          <w:rFonts w:ascii="Times New Roman" w:hAnsi="Times New Roman"/>
          <w:b/>
          <w:noProof/>
          <w:sz w:val="24"/>
        </w:rPr>
        <w:t>milioane de tone</w:t>
      </w:r>
      <w:r>
        <w:rPr>
          <w:rFonts w:ascii="Times New Roman" w:hAnsi="Times New Roman"/>
          <w:noProof/>
          <w:sz w:val="24"/>
        </w:rPr>
        <w:t xml:space="preserve"> </w:t>
      </w:r>
      <w:r w:rsidRPr="00500188">
        <w:rPr>
          <w:rFonts w:ascii="Times New Roman" w:hAnsi="Times New Roman"/>
          <w:b/>
          <w:noProof/>
          <w:sz w:val="24"/>
        </w:rPr>
        <w:t>de deșeuri alimentare</w:t>
      </w:r>
      <w:r>
        <w:rPr>
          <w:rFonts w:ascii="Times New Roman" w:hAnsi="Times New Roman"/>
          <w:noProof/>
          <w:sz w:val="24"/>
        </w:rPr>
        <w:t xml:space="preserve">, echivalentul a </w:t>
      </w:r>
      <w:r w:rsidRPr="00500188">
        <w:rPr>
          <w:rFonts w:ascii="Times New Roman" w:hAnsi="Times New Roman"/>
          <w:noProof/>
          <w:sz w:val="24"/>
        </w:rPr>
        <w:t>131</w:t>
      </w:r>
      <w:r>
        <w:rPr>
          <w:rFonts w:ascii="Times New Roman" w:hAnsi="Times New Roman"/>
          <w:noProof/>
          <w:sz w:val="24"/>
        </w:rPr>
        <w:t> kg pe cap de locuitor.</w:t>
      </w:r>
    </w:p>
    <w:p w14:paraId="1C2B5BC8" w14:textId="77777777" w:rsidR="007527C5" w:rsidRPr="00C61356" w:rsidRDefault="007527C5" w:rsidP="007527C5">
      <w:pPr>
        <w:spacing w:after="0" w:line="276" w:lineRule="auto"/>
        <w:jc w:val="both"/>
        <w:rPr>
          <w:rFonts w:ascii="Times New Roman" w:eastAsia="Calibri" w:hAnsi="Times New Roman" w:cs="Times New Roman"/>
          <w:noProof/>
          <w:sz w:val="24"/>
          <w:szCs w:val="24"/>
          <w:lang w:val="fr-BE"/>
        </w:rPr>
      </w:pPr>
    </w:p>
    <w:p w14:paraId="466CBDAE" w14:textId="3B536C55" w:rsidR="007527C5" w:rsidRPr="00B95B85" w:rsidRDefault="00EC68A0" w:rsidP="007527C5">
      <w:pPr>
        <w:spacing w:after="0" w:line="276" w:lineRule="auto"/>
        <w:jc w:val="both"/>
        <w:rPr>
          <w:rFonts w:ascii="Times New Roman" w:eastAsia="Calibri" w:hAnsi="Times New Roman" w:cs="Times New Roman"/>
          <w:noProof/>
          <w:sz w:val="24"/>
        </w:rPr>
      </w:pPr>
      <w:r w:rsidRPr="00500188">
        <w:rPr>
          <w:rFonts w:ascii="Times New Roman" w:hAnsi="Times New Roman"/>
          <w:b/>
          <w:noProof/>
          <w:sz w:val="24"/>
        </w:rPr>
        <w:t>Generarea de deșeuri de ambalaje în UE</w:t>
      </w:r>
      <w:r w:rsidR="00500188" w:rsidRPr="00500188">
        <w:rPr>
          <w:rFonts w:ascii="Times New Roman" w:hAnsi="Times New Roman"/>
          <w:b/>
          <w:noProof/>
          <w:sz w:val="24"/>
        </w:rPr>
        <w:t xml:space="preserve"> </w:t>
      </w:r>
      <w:r>
        <w:rPr>
          <w:rFonts w:ascii="Times New Roman" w:hAnsi="Times New Roman"/>
          <w:noProof/>
          <w:sz w:val="24"/>
        </w:rPr>
        <w:t xml:space="preserve">a atins </w:t>
      </w:r>
      <w:r w:rsidRPr="00500188">
        <w:rPr>
          <w:rFonts w:ascii="Times New Roman" w:hAnsi="Times New Roman"/>
          <w:noProof/>
          <w:sz w:val="24"/>
        </w:rPr>
        <w:t>178</w:t>
      </w:r>
      <w:r>
        <w:rPr>
          <w:rFonts w:ascii="Times New Roman" w:hAnsi="Times New Roman"/>
          <w:noProof/>
          <w:sz w:val="24"/>
        </w:rPr>
        <w:t xml:space="preserve"> kg pe cap de locuitor în </w:t>
      </w:r>
      <w:r w:rsidRPr="00500188">
        <w:rPr>
          <w:rFonts w:ascii="Times New Roman" w:hAnsi="Times New Roman"/>
          <w:noProof/>
          <w:sz w:val="24"/>
        </w:rPr>
        <w:t>2020</w:t>
      </w:r>
      <w:r>
        <w:rPr>
          <w:rFonts w:ascii="Times New Roman" w:hAnsi="Times New Roman"/>
          <w:noProof/>
          <w:sz w:val="24"/>
        </w:rPr>
        <w:t xml:space="preserve">, în creștere cu </w:t>
      </w:r>
      <w:r w:rsidRPr="00500188">
        <w:rPr>
          <w:rFonts w:ascii="Times New Roman" w:hAnsi="Times New Roman"/>
          <w:noProof/>
          <w:sz w:val="24"/>
        </w:rPr>
        <w:t>17</w:t>
      </w:r>
      <w:r>
        <w:rPr>
          <w:rFonts w:ascii="Times New Roman" w:hAnsi="Times New Roman"/>
          <w:noProof/>
          <w:sz w:val="24"/>
        </w:rPr>
        <w:t xml:space="preserve"> % față de </w:t>
      </w:r>
      <w:r w:rsidRPr="00500188">
        <w:rPr>
          <w:rFonts w:ascii="Times New Roman" w:hAnsi="Times New Roman"/>
          <w:noProof/>
          <w:sz w:val="24"/>
        </w:rPr>
        <w:t>2010</w:t>
      </w:r>
      <w:r>
        <w:rPr>
          <w:rFonts w:ascii="Times New Roman" w:hAnsi="Times New Roman"/>
          <w:noProof/>
          <w:sz w:val="24"/>
        </w:rPr>
        <w:t xml:space="preserve">. Din totalul deșeurilor de ambalaje din UE </w:t>
      </w:r>
      <w:r w:rsidRPr="00500188">
        <w:rPr>
          <w:rFonts w:ascii="Times New Roman" w:hAnsi="Times New Roman"/>
          <w:noProof/>
          <w:sz w:val="24"/>
        </w:rPr>
        <w:t>19</w:t>
      </w:r>
      <w:r>
        <w:rPr>
          <w:rFonts w:ascii="Times New Roman" w:hAnsi="Times New Roman"/>
          <w:noProof/>
          <w:sz w:val="24"/>
        </w:rPr>
        <w:t xml:space="preserve"> % sunt deșeuri de ambalaje din plastic. </w:t>
      </w:r>
      <w:r w:rsidRPr="00500188">
        <w:rPr>
          <w:rFonts w:ascii="Times New Roman" w:hAnsi="Times New Roman"/>
          <w:b/>
          <w:noProof/>
          <w:sz w:val="24"/>
        </w:rPr>
        <w:t>Volumul deșeurilor de ambalaje din plastic a crescut cu 25 % între 2010 și 2020</w:t>
      </w:r>
      <w:r>
        <w:rPr>
          <w:rFonts w:ascii="Times New Roman" w:hAnsi="Times New Roman"/>
          <w:noProof/>
          <w:sz w:val="24"/>
        </w:rPr>
        <w:t>, cea mai mare creștere la nivelul tuturor fluxurilor de deșeuri de ambalaje.</w:t>
      </w:r>
      <w:r w:rsidRPr="00500188">
        <w:rPr>
          <w:rFonts w:ascii="Times New Roman" w:hAnsi="Times New Roman"/>
          <w:b/>
          <w:noProof/>
          <w:sz w:val="24"/>
        </w:rPr>
        <w:t xml:space="preserve"> </w:t>
      </w:r>
      <w:r>
        <w:rPr>
          <w:rFonts w:ascii="Times New Roman" w:hAnsi="Times New Roman"/>
          <w:noProof/>
          <w:sz w:val="24"/>
        </w:rPr>
        <w:t>În medie,</w:t>
      </w:r>
      <w:r w:rsidRPr="00500188">
        <w:rPr>
          <w:rFonts w:ascii="Times New Roman" w:hAnsi="Times New Roman"/>
          <w:b/>
          <w:noProof/>
          <w:sz w:val="24"/>
        </w:rPr>
        <w:t xml:space="preserve"> fiecare cetățean european a fost responsabil pentru 35 kg de deșeuri de ambalaje din plastic în 2020. </w:t>
      </w:r>
      <w:r>
        <w:rPr>
          <w:rFonts w:ascii="Times New Roman" w:hAnsi="Times New Roman"/>
          <w:noProof/>
          <w:sz w:val="24"/>
        </w:rPr>
        <w:t xml:space="preserve">Cifrele pentru </w:t>
      </w:r>
      <w:r w:rsidRPr="00500188">
        <w:rPr>
          <w:rFonts w:ascii="Times New Roman" w:hAnsi="Times New Roman"/>
          <w:noProof/>
          <w:sz w:val="24"/>
        </w:rPr>
        <w:t>2021</w:t>
      </w:r>
      <w:r>
        <w:rPr>
          <w:rFonts w:ascii="Times New Roman" w:hAnsi="Times New Roman"/>
          <w:noProof/>
          <w:sz w:val="24"/>
        </w:rPr>
        <w:t xml:space="preserve"> vor oferi informații cu privire la efectele pandemiei de COVID-</w:t>
      </w:r>
      <w:r w:rsidRPr="00500188">
        <w:rPr>
          <w:rFonts w:ascii="Times New Roman" w:hAnsi="Times New Roman"/>
          <w:noProof/>
          <w:sz w:val="24"/>
        </w:rPr>
        <w:t>19</w:t>
      </w:r>
      <w:r>
        <w:rPr>
          <w:rFonts w:ascii="Times New Roman" w:hAnsi="Times New Roman"/>
          <w:noProof/>
          <w:sz w:val="24"/>
        </w:rPr>
        <w:t xml:space="preserve"> asupra generării de deșeuri de ambalaje din plastic.</w:t>
      </w:r>
      <w:r>
        <w:rPr>
          <w:rFonts w:ascii="Times New Roman" w:hAnsi="Times New Roman"/>
          <w:noProof/>
          <w:sz w:val="24"/>
          <w:highlight w:val="yellow"/>
        </w:rPr>
        <w:t xml:space="preserve"> </w:t>
      </w:r>
    </w:p>
    <w:p w14:paraId="54B594A0" w14:textId="77777777" w:rsidR="007527C5" w:rsidRPr="00D77CE4" w:rsidRDefault="007527C5" w:rsidP="007527C5">
      <w:pPr>
        <w:spacing w:after="120" w:line="276" w:lineRule="auto"/>
        <w:jc w:val="both"/>
        <w:rPr>
          <w:rFonts w:ascii="Times New Roman" w:eastAsia="Calibri" w:hAnsi="Times New Roman" w:cs="Times New Roman"/>
          <w:b/>
          <w:i/>
          <w:noProof/>
          <w:sz w:val="24"/>
          <w:szCs w:val="24"/>
          <w:lang w:val="fr-BE"/>
        </w:rPr>
      </w:pPr>
    </w:p>
    <w:p w14:paraId="6DA81A28" w14:textId="77777777" w:rsidR="007527C5" w:rsidRPr="00D77CE4" w:rsidRDefault="007527C5" w:rsidP="007527C5">
      <w:pPr>
        <w:spacing w:after="120" w:line="276" w:lineRule="auto"/>
        <w:jc w:val="both"/>
        <w:rPr>
          <w:rFonts w:ascii="Times New Roman" w:eastAsia="Calibri" w:hAnsi="Times New Roman" w:cs="Times New Roman"/>
          <w:b/>
          <w:i/>
          <w:noProof/>
          <w:sz w:val="24"/>
          <w:szCs w:val="24"/>
        </w:rPr>
      </w:pPr>
      <w:r w:rsidRPr="00D77CE4">
        <w:rPr>
          <w:rFonts w:ascii="Times New Roman" w:hAnsi="Times New Roman"/>
          <w:b/>
          <w:i/>
          <w:noProof/>
          <w:sz w:val="24"/>
        </w:rPr>
        <w:t>Gestionarea deșeurilor</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5A230E60" w14:textId="77777777" w:rsidTr="007527C5">
        <w:tc>
          <w:tcPr>
            <w:tcW w:w="9072" w:type="dxa"/>
            <w:shd w:val="clear" w:color="auto" w:fill="F2F2F2"/>
          </w:tcPr>
          <w:p w14:paraId="65005E00" w14:textId="42BE32D9" w:rsidR="007527C5" w:rsidRPr="00B95B85" w:rsidRDefault="007527C5" w:rsidP="00250DA3">
            <w:pPr>
              <w:spacing w:before="120" w:after="120"/>
              <w:jc w:val="both"/>
              <w:rPr>
                <w:rFonts w:ascii="Times New Roman" w:eastAsia="Calibri" w:hAnsi="Times New Roman" w:cs="Times New Roman"/>
                <w:noProof/>
                <w:sz w:val="24"/>
              </w:rPr>
            </w:pPr>
            <w:r>
              <w:rPr>
                <w:rFonts w:ascii="Times New Roman" w:hAnsi="Times New Roman"/>
                <w:noProof/>
                <w:sz w:val="24"/>
              </w:rPr>
              <w:t xml:space="preserve">În ultimii ani s-au înregistrat multe progrese în ceea ce privește gestionarea deșeurilor într-un mod mai durabil. Cu toate acestea, există în continuare diferențe mari între statele membre și pot fi aduse multe îmbunătățiri în ceea ce privește unele fluxuri de deșeuri. </w:t>
            </w:r>
          </w:p>
        </w:tc>
      </w:tr>
    </w:tbl>
    <w:p w14:paraId="0DEB53B1" w14:textId="77777777" w:rsidR="007527C5" w:rsidRPr="00C61356" w:rsidRDefault="007527C5" w:rsidP="007527C5">
      <w:pPr>
        <w:spacing w:after="0" w:line="276" w:lineRule="auto"/>
        <w:jc w:val="both"/>
        <w:rPr>
          <w:rFonts w:ascii="Times New Roman" w:eastAsia="Calibri" w:hAnsi="Times New Roman" w:cs="Times New Roman"/>
          <w:noProof/>
          <w:color w:val="000000"/>
          <w:position w:val="-2"/>
          <w:sz w:val="24"/>
          <w:szCs w:val="24"/>
        </w:rPr>
      </w:pPr>
    </w:p>
    <w:p w14:paraId="2C3F8CD0" w14:textId="60947BFF" w:rsidR="005E25D2" w:rsidRPr="005E25D2" w:rsidRDefault="007527C5" w:rsidP="007527C5">
      <w:pPr>
        <w:spacing w:after="200" w:line="276" w:lineRule="auto"/>
        <w:jc w:val="both"/>
        <w:rPr>
          <w:rFonts w:ascii="Times New Roman" w:eastAsia="Calibri" w:hAnsi="Times New Roman" w:cs="Times New Roman"/>
          <w:noProof/>
          <w:color w:val="000000"/>
          <w:position w:val="-2"/>
          <w:sz w:val="24"/>
        </w:rPr>
      </w:pPr>
      <w:r w:rsidRPr="00500188">
        <w:rPr>
          <w:rFonts w:ascii="Times New Roman" w:hAnsi="Times New Roman"/>
          <w:b/>
          <w:noProof/>
          <w:color w:val="000000"/>
          <w:sz w:val="24"/>
        </w:rPr>
        <w:t>Ratele de reciclare a deșeurilor municipale au crescut</w:t>
      </w:r>
      <w:r>
        <w:rPr>
          <w:rFonts w:ascii="Times New Roman" w:hAnsi="Times New Roman"/>
          <w:noProof/>
          <w:color w:val="000000"/>
          <w:sz w:val="24"/>
        </w:rPr>
        <w:t xml:space="preserve"> în UE </w:t>
      </w:r>
      <w:r w:rsidRPr="00500188">
        <w:rPr>
          <w:rFonts w:ascii="Times New Roman" w:hAnsi="Times New Roman"/>
          <w:b/>
          <w:noProof/>
          <w:color w:val="000000"/>
          <w:sz w:val="24"/>
        </w:rPr>
        <w:t>de la 38 % la 49 % între 2010 și 2021</w:t>
      </w:r>
      <w:r>
        <w:rPr>
          <w:rFonts w:ascii="Times New Roman" w:hAnsi="Times New Roman"/>
          <w:noProof/>
          <w:color w:val="000000"/>
          <w:sz w:val="24"/>
        </w:rPr>
        <w:t xml:space="preserve">. Unele țări au atins sau se apropie deja de obiectivul de reciclare de </w:t>
      </w:r>
      <w:r w:rsidRPr="00500188">
        <w:rPr>
          <w:rFonts w:ascii="Times New Roman" w:hAnsi="Times New Roman"/>
          <w:noProof/>
          <w:color w:val="000000"/>
          <w:sz w:val="24"/>
        </w:rPr>
        <w:t>60</w:t>
      </w:r>
      <w:r>
        <w:rPr>
          <w:rFonts w:ascii="Times New Roman" w:hAnsi="Times New Roman"/>
          <w:noProof/>
          <w:color w:val="000000"/>
          <w:sz w:val="24"/>
        </w:rPr>
        <w:t> %</w:t>
      </w:r>
      <w:r>
        <w:rPr>
          <w:rFonts w:ascii="Times New Roman" w:eastAsia="Calibri" w:hAnsi="Times New Roman" w:cs="Times New Roman"/>
          <w:noProof/>
          <w:sz w:val="24"/>
          <w:vertAlign w:val="superscript"/>
          <w:lang w:val="en-IE"/>
        </w:rPr>
        <w:footnoteReference w:id="30"/>
      </w:r>
      <w:r>
        <w:rPr>
          <w:rFonts w:ascii="Times New Roman" w:hAnsi="Times New Roman"/>
          <w:noProof/>
          <w:color w:val="000000"/>
          <w:sz w:val="24"/>
        </w:rPr>
        <w:t xml:space="preserve"> pentru </w:t>
      </w:r>
      <w:r w:rsidRPr="00500188">
        <w:rPr>
          <w:rFonts w:ascii="Times New Roman" w:hAnsi="Times New Roman"/>
          <w:noProof/>
          <w:color w:val="000000"/>
          <w:sz w:val="24"/>
        </w:rPr>
        <w:t>2030</w:t>
      </w:r>
      <w:r>
        <w:rPr>
          <w:rFonts w:ascii="Times New Roman" w:hAnsi="Times New Roman"/>
          <w:noProof/>
          <w:color w:val="000000"/>
          <w:sz w:val="24"/>
        </w:rPr>
        <w:t xml:space="preserve">, iar o țară a atins deja obiectivul de </w:t>
      </w:r>
      <w:r w:rsidRPr="00500188">
        <w:rPr>
          <w:rFonts w:ascii="Times New Roman" w:hAnsi="Times New Roman"/>
          <w:noProof/>
          <w:color w:val="000000"/>
          <w:sz w:val="24"/>
        </w:rPr>
        <w:t>65</w:t>
      </w:r>
      <w:r>
        <w:rPr>
          <w:rFonts w:ascii="Times New Roman" w:hAnsi="Times New Roman"/>
          <w:noProof/>
          <w:color w:val="000000"/>
          <w:sz w:val="24"/>
        </w:rPr>
        <w:t> %</w:t>
      </w:r>
      <w:r>
        <w:rPr>
          <w:rFonts w:ascii="Times New Roman" w:eastAsia="Calibri" w:hAnsi="Times New Roman" w:cs="Times New Roman"/>
          <w:noProof/>
          <w:color w:val="000000"/>
          <w:position w:val="-2"/>
          <w:sz w:val="24"/>
          <w:vertAlign w:val="superscript"/>
          <w:lang w:val="en-IE"/>
        </w:rPr>
        <w:footnoteReference w:id="31"/>
      </w:r>
      <w:r>
        <w:rPr>
          <w:rFonts w:ascii="Times New Roman" w:hAnsi="Times New Roman"/>
          <w:noProof/>
          <w:color w:val="000000"/>
          <w:sz w:val="24"/>
        </w:rPr>
        <w:t xml:space="preserve"> pentru </w:t>
      </w:r>
      <w:r w:rsidRPr="00500188">
        <w:rPr>
          <w:rFonts w:ascii="Times New Roman" w:hAnsi="Times New Roman"/>
          <w:noProof/>
          <w:color w:val="000000"/>
          <w:sz w:val="24"/>
        </w:rPr>
        <w:t>2035</w:t>
      </w:r>
      <w:r>
        <w:rPr>
          <w:rFonts w:ascii="Times New Roman" w:hAnsi="Times New Roman"/>
          <w:noProof/>
          <w:color w:val="000000"/>
          <w:sz w:val="24"/>
        </w:rPr>
        <w:t xml:space="preserve">. </w:t>
      </w:r>
      <w:r w:rsidRPr="00500188">
        <w:rPr>
          <w:rFonts w:ascii="Times New Roman" w:hAnsi="Times New Roman"/>
          <w:b/>
          <w:noProof/>
          <w:color w:val="000000"/>
          <w:sz w:val="24"/>
        </w:rPr>
        <w:t>Ratele de reciclare a deșeurilor de ambalaje au fost stabile, situându-se la 64 %</w:t>
      </w:r>
      <w:r>
        <w:rPr>
          <w:rFonts w:ascii="Times New Roman" w:hAnsi="Times New Roman"/>
          <w:noProof/>
          <w:color w:val="000000"/>
          <w:sz w:val="24"/>
        </w:rPr>
        <w:t xml:space="preserve"> în UE între </w:t>
      </w:r>
      <w:r w:rsidRPr="00500188">
        <w:rPr>
          <w:rFonts w:ascii="Times New Roman" w:hAnsi="Times New Roman"/>
          <w:noProof/>
          <w:color w:val="000000"/>
          <w:sz w:val="24"/>
        </w:rPr>
        <w:t>2010</w:t>
      </w:r>
      <w:r>
        <w:rPr>
          <w:rFonts w:ascii="Times New Roman" w:hAnsi="Times New Roman"/>
          <w:noProof/>
          <w:color w:val="000000"/>
          <w:sz w:val="24"/>
        </w:rPr>
        <w:t xml:space="preserve"> și </w:t>
      </w:r>
      <w:r w:rsidRPr="00500188">
        <w:rPr>
          <w:rFonts w:ascii="Times New Roman" w:hAnsi="Times New Roman"/>
          <w:noProof/>
          <w:color w:val="000000"/>
          <w:sz w:val="24"/>
        </w:rPr>
        <w:t>2020</w:t>
      </w:r>
      <w:r>
        <w:rPr>
          <w:rFonts w:ascii="Times New Roman" w:hAnsi="Times New Roman"/>
          <w:noProof/>
          <w:color w:val="000000"/>
          <w:sz w:val="24"/>
        </w:rPr>
        <w:t xml:space="preserve">. Rata de reciclare a </w:t>
      </w:r>
      <w:r w:rsidRPr="00500188">
        <w:rPr>
          <w:rFonts w:ascii="Times New Roman" w:hAnsi="Times New Roman"/>
          <w:b/>
          <w:noProof/>
          <w:color w:val="000000"/>
          <w:sz w:val="24"/>
        </w:rPr>
        <w:t>ambalajelor din plastic</w:t>
      </w:r>
      <w:r>
        <w:rPr>
          <w:rFonts w:ascii="Times New Roman" w:hAnsi="Times New Roman"/>
          <w:noProof/>
          <w:color w:val="000000"/>
          <w:sz w:val="24"/>
        </w:rPr>
        <w:t xml:space="preserve"> în UE este semnificativ mai mică decât rata pentru toate deșeurile de ambalaje, situându-se la aproximativ </w:t>
      </w:r>
      <w:r w:rsidRPr="00500188">
        <w:rPr>
          <w:rFonts w:ascii="Times New Roman" w:hAnsi="Times New Roman"/>
          <w:b/>
          <w:noProof/>
          <w:color w:val="000000"/>
          <w:sz w:val="24"/>
        </w:rPr>
        <w:t>38 %</w:t>
      </w:r>
      <w:r>
        <w:rPr>
          <w:rFonts w:ascii="Times New Roman" w:hAnsi="Times New Roman"/>
          <w:noProof/>
          <w:color w:val="000000"/>
          <w:sz w:val="24"/>
        </w:rPr>
        <w:t>.</w:t>
      </w:r>
    </w:p>
    <w:p w14:paraId="7421798D" w14:textId="422F5A93" w:rsidR="000307A1" w:rsidRPr="00B95B85" w:rsidRDefault="007527C5" w:rsidP="007527C5">
      <w:pPr>
        <w:spacing w:after="200" w:line="276" w:lineRule="auto"/>
        <w:jc w:val="both"/>
        <w:rPr>
          <w:rFonts w:ascii="Times New Roman" w:eastAsia="Calibri" w:hAnsi="Times New Roman" w:cs="Arial"/>
          <w:noProof/>
          <w:color w:val="000000"/>
          <w:position w:val="-2"/>
          <w:sz w:val="24"/>
        </w:rPr>
      </w:pPr>
      <w:r>
        <w:rPr>
          <w:rFonts w:ascii="Times New Roman" w:hAnsi="Times New Roman"/>
          <w:noProof/>
          <w:color w:val="000000"/>
          <w:sz w:val="24"/>
        </w:rPr>
        <w:t xml:space="preserve">Ponderea </w:t>
      </w:r>
      <w:r w:rsidRPr="00500188">
        <w:rPr>
          <w:rFonts w:ascii="Times New Roman" w:hAnsi="Times New Roman"/>
          <w:b/>
          <w:noProof/>
          <w:color w:val="000000"/>
          <w:sz w:val="24"/>
        </w:rPr>
        <w:t>deșeurilor de</w:t>
      </w:r>
      <w:r>
        <w:rPr>
          <w:rFonts w:ascii="Times New Roman" w:hAnsi="Times New Roman"/>
          <w:noProof/>
          <w:color w:val="000000"/>
          <w:sz w:val="24"/>
        </w:rPr>
        <w:t xml:space="preserve"> </w:t>
      </w:r>
      <w:r w:rsidRPr="00500188">
        <w:rPr>
          <w:rFonts w:ascii="Times New Roman" w:hAnsi="Times New Roman"/>
          <w:b/>
          <w:noProof/>
          <w:color w:val="000000"/>
          <w:sz w:val="24"/>
        </w:rPr>
        <w:t>echipamente electrice și electronice colectate</w:t>
      </w:r>
      <w:r>
        <w:rPr>
          <w:rFonts w:ascii="Times New Roman" w:hAnsi="Times New Roman"/>
          <w:noProof/>
          <w:color w:val="000000"/>
          <w:sz w:val="24"/>
        </w:rPr>
        <w:t xml:space="preserve"> care sunt fie reutilizate, fie reciclate a crescut în UE, de la </w:t>
      </w:r>
      <w:r w:rsidRPr="00500188">
        <w:rPr>
          <w:rFonts w:ascii="Times New Roman" w:hAnsi="Times New Roman"/>
          <w:noProof/>
          <w:color w:val="000000"/>
          <w:sz w:val="24"/>
        </w:rPr>
        <w:t>81</w:t>
      </w:r>
      <w:r>
        <w:rPr>
          <w:rFonts w:ascii="Times New Roman" w:hAnsi="Times New Roman"/>
          <w:noProof/>
          <w:color w:val="000000"/>
          <w:sz w:val="24"/>
        </w:rPr>
        <w:t>,</w:t>
      </w:r>
      <w:r w:rsidRPr="00500188">
        <w:rPr>
          <w:rFonts w:ascii="Times New Roman" w:hAnsi="Times New Roman"/>
          <w:noProof/>
          <w:color w:val="000000"/>
          <w:sz w:val="24"/>
        </w:rPr>
        <w:t>8</w:t>
      </w:r>
      <w:r>
        <w:rPr>
          <w:rFonts w:ascii="Times New Roman" w:hAnsi="Times New Roman"/>
          <w:noProof/>
          <w:color w:val="000000"/>
          <w:sz w:val="24"/>
        </w:rPr>
        <w:t xml:space="preserve"> % în </w:t>
      </w:r>
      <w:r w:rsidRPr="00500188">
        <w:rPr>
          <w:rFonts w:ascii="Times New Roman" w:hAnsi="Times New Roman"/>
          <w:noProof/>
          <w:color w:val="000000"/>
          <w:sz w:val="24"/>
        </w:rPr>
        <w:t>2010</w:t>
      </w:r>
      <w:r>
        <w:rPr>
          <w:rFonts w:ascii="Times New Roman" w:hAnsi="Times New Roman"/>
          <w:noProof/>
          <w:color w:val="000000"/>
          <w:sz w:val="24"/>
        </w:rPr>
        <w:t xml:space="preserve"> la </w:t>
      </w:r>
      <w:r w:rsidRPr="00500188">
        <w:rPr>
          <w:rFonts w:ascii="Times New Roman" w:hAnsi="Times New Roman"/>
          <w:b/>
          <w:noProof/>
          <w:color w:val="000000"/>
          <w:sz w:val="24"/>
        </w:rPr>
        <w:t>83,4 % în 2020</w:t>
      </w:r>
      <w:r>
        <w:rPr>
          <w:rFonts w:ascii="Times New Roman" w:hAnsi="Times New Roman"/>
          <w:noProof/>
          <w:color w:val="000000"/>
          <w:sz w:val="24"/>
        </w:rPr>
        <w:t xml:space="preserve">. </w:t>
      </w:r>
    </w:p>
    <w:p w14:paraId="5C4566E5" w14:textId="77777777" w:rsidR="007527C5" w:rsidRPr="00D77CE4" w:rsidRDefault="007527C5" w:rsidP="007527C5">
      <w:pPr>
        <w:spacing w:after="120" w:line="276" w:lineRule="auto"/>
        <w:contextualSpacing/>
        <w:jc w:val="both"/>
        <w:rPr>
          <w:rFonts w:ascii="Times New Roman" w:eastAsia="Calibri" w:hAnsi="Times New Roman" w:cs="Times New Roman"/>
          <w:b/>
          <w:i/>
          <w:noProof/>
          <w:sz w:val="24"/>
          <w:szCs w:val="24"/>
          <w:lang w:val="fr-BE"/>
        </w:rPr>
      </w:pPr>
    </w:p>
    <w:p w14:paraId="6D895234" w14:textId="77777777" w:rsidR="007527C5" w:rsidRPr="00D77CE4" w:rsidRDefault="007527C5" w:rsidP="007527C5">
      <w:pPr>
        <w:spacing w:after="120" w:line="276" w:lineRule="auto"/>
        <w:jc w:val="both"/>
        <w:rPr>
          <w:rFonts w:ascii="Times New Roman" w:eastAsia="Calibri" w:hAnsi="Times New Roman" w:cs="Times New Roman"/>
          <w:b/>
          <w:i/>
          <w:noProof/>
          <w:sz w:val="24"/>
          <w:szCs w:val="24"/>
        </w:rPr>
      </w:pPr>
      <w:r w:rsidRPr="00D77CE4">
        <w:rPr>
          <w:rFonts w:ascii="Times New Roman" w:hAnsi="Times New Roman"/>
          <w:b/>
          <w:i/>
          <w:noProof/>
          <w:sz w:val="24"/>
        </w:rPr>
        <w:t>Materii prime secundare</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17103792" w14:textId="77777777" w:rsidTr="007527C5">
        <w:tc>
          <w:tcPr>
            <w:tcW w:w="9072" w:type="dxa"/>
            <w:shd w:val="clear" w:color="auto" w:fill="F2F2F2"/>
          </w:tcPr>
          <w:p w14:paraId="48238E20" w14:textId="3038412A" w:rsidR="007527C5" w:rsidRPr="00B95B85" w:rsidRDefault="007527C5" w:rsidP="00250DA3">
            <w:pPr>
              <w:spacing w:before="120" w:after="120"/>
              <w:jc w:val="both"/>
              <w:rPr>
                <w:rFonts w:ascii="Times New Roman" w:eastAsia="Calibri" w:hAnsi="Times New Roman" w:cs="Times New Roman"/>
                <w:noProof/>
                <w:sz w:val="24"/>
              </w:rPr>
            </w:pPr>
            <w:r>
              <w:rPr>
                <w:rFonts w:ascii="Times New Roman" w:hAnsi="Times New Roman"/>
                <w:noProof/>
                <w:sz w:val="24"/>
              </w:rPr>
              <w:t>Contribuția materialelor reciclate la acoperirea cererii totale de materiale este relativ scăzută. Comerțul cu materii prime secundare este în creștere, atât în ​interiorul UE, cât și cu țările terțe.</w:t>
            </w:r>
          </w:p>
        </w:tc>
      </w:tr>
    </w:tbl>
    <w:p w14:paraId="64309CA0" w14:textId="77777777" w:rsidR="007527C5" w:rsidRPr="00C61356" w:rsidRDefault="007527C5" w:rsidP="007527C5">
      <w:pPr>
        <w:spacing w:after="0" w:line="276" w:lineRule="auto"/>
        <w:jc w:val="both"/>
        <w:rPr>
          <w:rFonts w:ascii="Times New Roman" w:eastAsia="Calibri" w:hAnsi="Times New Roman" w:cs="Times New Roman"/>
          <w:noProof/>
          <w:color w:val="000000"/>
          <w:position w:val="-2"/>
          <w:sz w:val="24"/>
          <w:szCs w:val="24"/>
        </w:rPr>
      </w:pPr>
    </w:p>
    <w:p w14:paraId="2079B890" w14:textId="060683F8" w:rsidR="007527C5" w:rsidRPr="00B95B85" w:rsidRDefault="007527C5" w:rsidP="007527C5">
      <w:pPr>
        <w:spacing w:after="0" w:line="276" w:lineRule="auto"/>
        <w:jc w:val="both"/>
        <w:rPr>
          <w:rFonts w:ascii="Times New Roman" w:eastAsia="Cambria" w:hAnsi="Times New Roman" w:cs="Times New Roman"/>
          <w:noProof/>
          <w:color w:val="000000"/>
          <w:position w:val="-2"/>
          <w:sz w:val="24"/>
        </w:rPr>
      </w:pPr>
      <w:r w:rsidRPr="00500188">
        <w:rPr>
          <w:rFonts w:ascii="Times New Roman" w:hAnsi="Times New Roman"/>
          <w:b/>
          <w:noProof/>
          <w:color w:val="000000"/>
          <w:sz w:val="24"/>
        </w:rPr>
        <w:t>În 2021, materialele reciclate au satisfăcut doar aproximativ 11,7 % din cererea de materiale a UE,</w:t>
      </w:r>
      <w:r>
        <w:rPr>
          <w:rFonts w:ascii="Times New Roman" w:hAnsi="Times New Roman"/>
          <w:noProof/>
          <w:color w:val="000000"/>
          <w:sz w:val="24"/>
        </w:rPr>
        <w:t xml:space="preserve"> cu </w:t>
      </w:r>
      <w:r w:rsidRPr="00500188">
        <w:rPr>
          <w:rFonts w:ascii="Times New Roman" w:hAnsi="Times New Roman"/>
          <w:noProof/>
          <w:color w:val="000000"/>
          <w:sz w:val="24"/>
        </w:rPr>
        <w:t>1</w:t>
      </w:r>
      <w:r>
        <w:rPr>
          <w:rFonts w:ascii="Times New Roman" w:hAnsi="Times New Roman"/>
          <w:noProof/>
          <w:color w:val="000000"/>
          <w:sz w:val="24"/>
        </w:rPr>
        <w:t>,</w:t>
      </w:r>
      <w:r w:rsidRPr="00500188">
        <w:rPr>
          <w:rFonts w:ascii="Times New Roman" w:hAnsi="Times New Roman"/>
          <w:noProof/>
          <w:color w:val="000000"/>
          <w:sz w:val="24"/>
        </w:rPr>
        <w:t>4</w:t>
      </w:r>
      <w:r>
        <w:rPr>
          <w:rFonts w:ascii="Times New Roman" w:hAnsi="Times New Roman"/>
          <w:noProof/>
          <w:color w:val="000000"/>
          <w:sz w:val="24"/>
        </w:rPr>
        <w:t xml:space="preserve"> puncte procentuale mai mult decât în </w:t>
      </w:r>
      <w:r w:rsidRPr="00500188">
        <w:rPr>
          <w:rFonts w:ascii="Times New Roman" w:hAnsi="Times New Roman"/>
          <w:noProof/>
          <w:color w:val="000000"/>
          <w:sz w:val="24"/>
        </w:rPr>
        <w:t>2011</w:t>
      </w:r>
      <w:r>
        <w:rPr>
          <w:rFonts w:ascii="Times New Roman" w:hAnsi="Times New Roman"/>
          <w:noProof/>
          <w:color w:val="000000"/>
          <w:sz w:val="24"/>
        </w:rPr>
        <w:t xml:space="preserve">. Pentru un număr mare de materiale, printre care multe materii prime critice, contribuția materialelor reciclate la satisfacerea cererii de materii prime este încă redusă sau chiar neglijabilă. Pentru multe metale speciale și pământuri rare, rata de reciclare la sfârșitul ciclului de viață este de aproximativ </w:t>
      </w:r>
      <w:r w:rsidRPr="00500188">
        <w:rPr>
          <w:rFonts w:ascii="Times New Roman" w:hAnsi="Times New Roman"/>
          <w:noProof/>
          <w:color w:val="000000"/>
          <w:sz w:val="24"/>
        </w:rPr>
        <w:t>1</w:t>
      </w:r>
      <w:r>
        <w:rPr>
          <w:rFonts w:ascii="Times New Roman" w:hAnsi="Times New Roman"/>
          <w:noProof/>
          <w:color w:val="000000"/>
          <w:sz w:val="24"/>
        </w:rPr>
        <w:t xml:space="preserve"> %, în timp ce ratele de reciclare la sfârșitul ciclului de viață ating </w:t>
      </w:r>
      <w:r w:rsidRPr="00500188">
        <w:rPr>
          <w:rFonts w:ascii="Times New Roman" w:hAnsi="Times New Roman"/>
          <w:noProof/>
          <w:color w:val="000000"/>
          <w:sz w:val="24"/>
        </w:rPr>
        <w:t>16</w:t>
      </w:r>
      <w:r>
        <w:rPr>
          <w:rFonts w:ascii="Times New Roman" w:hAnsi="Times New Roman"/>
          <w:noProof/>
          <w:color w:val="000000"/>
          <w:sz w:val="24"/>
        </w:rPr>
        <w:t xml:space="preserve"> % pentru nichel și </w:t>
      </w:r>
      <w:r w:rsidRPr="00500188">
        <w:rPr>
          <w:rFonts w:ascii="Times New Roman" w:hAnsi="Times New Roman"/>
          <w:noProof/>
          <w:color w:val="000000"/>
          <w:sz w:val="24"/>
        </w:rPr>
        <w:t>22</w:t>
      </w:r>
      <w:r>
        <w:rPr>
          <w:rFonts w:ascii="Times New Roman" w:hAnsi="Times New Roman"/>
          <w:noProof/>
          <w:color w:val="000000"/>
          <w:sz w:val="24"/>
        </w:rPr>
        <w:t> % pentru cobalt, ambele fiind materii prime utilizate în baterii</w:t>
      </w:r>
      <w:r>
        <w:rPr>
          <w:rFonts w:ascii="Times New Roman" w:eastAsia="Times New Roman" w:hAnsi="Times New Roman" w:cs="Times New Roman"/>
          <w:noProof/>
          <w:color w:val="000000"/>
          <w:sz w:val="24"/>
          <w:szCs w:val="24"/>
          <w:vertAlign w:val="superscript"/>
          <w:lang w:val="en-IE"/>
        </w:rPr>
        <w:footnoteReference w:id="32"/>
      </w:r>
      <w:r>
        <w:rPr>
          <w:rFonts w:ascii="Times New Roman" w:hAnsi="Times New Roman"/>
          <w:noProof/>
          <w:color w:val="000000"/>
          <w:sz w:val="24"/>
        </w:rPr>
        <w:t xml:space="preserve">. </w:t>
      </w:r>
    </w:p>
    <w:p w14:paraId="78AA1D76" w14:textId="77777777" w:rsidR="007527C5" w:rsidRPr="00C61356" w:rsidRDefault="007527C5" w:rsidP="007527C5">
      <w:pPr>
        <w:spacing w:after="200" w:line="276" w:lineRule="auto"/>
        <w:contextualSpacing/>
        <w:jc w:val="both"/>
        <w:rPr>
          <w:rFonts w:ascii="Times New Roman" w:eastAsia="Cambria" w:hAnsi="Times New Roman" w:cs="Times New Roman"/>
          <w:noProof/>
          <w:color w:val="000000"/>
          <w:position w:val="-2"/>
          <w:sz w:val="24"/>
          <w:szCs w:val="24"/>
          <w:highlight w:val="yellow"/>
          <w:lang w:eastAsia="en-GB"/>
        </w:rPr>
      </w:pPr>
    </w:p>
    <w:p w14:paraId="31393E11" w14:textId="455E785B" w:rsidR="007527C5" w:rsidRPr="00B95B85" w:rsidRDefault="007527C5" w:rsidP="007527C5">
      <w:pPr>
        <w:spacing w:after="200" w:line="276" w:lineRule="auto"/>
        <w:contextualSpacing/>
        <w:jc w:val="both"/>
        <w:rPr>
          <w:rFonts w:ascii="Times New Roman" w:eastAsia="Cambria" w:hAnsi="Times New Roman" w:cs="Times New Roman"/>
          <w:noProof/>
          <w:color w:val="000000"/>
          <w:position w:val="-2"/>
          <w:sz w:val="24"/>
        </w:rPr>
      </w:pPr>
      <w:r>
        <w:rPr>
          <w:rFonts w:ascii="Times New Roman" w:hAnsi="Times New Roman"/>
          <w:noProof/>
          <w:color w:val="000000"/>
          <w:sz w:val="24"/>
        </w:rPr>
        <w:t xml:space="preserve">În </w:t>
      </w:r>
      <w:r w:rsidRPr="00500188">
        <w:rPr>
          <w:rFonts w:ascii="Times New Roman" w:hAnsi="Times New Roman"/>
          <w:noProof/>
          <w:color w:val="000000"/>
          <w:sz w:val="24"/>
        </w:rPr>
        <w:t>2021</w:t>
      </w:r>
      <w:r>
        <w:rPr>
          <w:rFonts w:ascii="Times New Roman" w:hAnsi="Times New Roman"/>
          <w:noProof/>
          <w:color w:val="000000"/>
          <w:sz w:val="24"/>
        </w:rPr>
        <w:t xml:space="preserve">, UE a fost, în general, un importator net de materii prime reciclabile. Cu toate acestea, indicatorul privind comerțul cu deșeuri reciclabile arată că UE este în prezent un exportator net în cazul </w:t>
      </w:r>
      <w:r w:rsidRPr="00500188">
        <w:rPr>
          <w:rFonts w:ascii="Times New Roman" w:hAnsi="Times New Roman"/>
          <w:b/>
          <w:noProof/>
          <w:color w:val="000000"/>
          <w:sz w:val="24"/>
        </w:rPr>
        <w:t>unor fluxuri majore de deșeuri reciclabile</w:t>
      </w:r>
      <w:r w:rsidR="00500188" w:rsidRPr="00500188">
        <w:rPr>
          <w:rFonts w:ascii="Times New Roman" w:hAnsi="Times New Roman"/>
          <w:b/>
          <w:noProof/>
          <w:color w:val="000000"/>
          <w:sz w:val="24"/>
        </w:rPr>
        <w:t xml:space="preserve"> </w:t>
      </w:r>
      <w:r>
        <w:rPr>
          <w:rFonts w:ascii="Times New Roman" w:hAnsi="Times New Roman"/>
          <w:noProof/>
          <w:color w:val="000000"/>
          <w:sz w:val="24"/>
        </w:rPr>
        <w:t xml:space="preserve">(inclusiv „fier și oțel”, „cupru, aluminiu și nichel” și „hârtie și carton”) și un importator net de deșeuri de metale prețioase. </w:t>
      </w:r>
      <w:r w:rsidRPr="00500188">
        <w:rPr>
          <w:rFonts w:ascii="Times New Roman" w:hAnsi="Times New Roman"/>
          <w:b/>
          <w:noProof/>
          <w:color w:val="000000"/>
          <w:sz w:val="24"/>
        </w:rPr>
        <w:t xml:space="preserve">Comerțul </w:t>
      </w:r>
      <w:r w:rsidR="00C61356" w:rsidRPr="00500188">
        <w:rPr>
          <w:rFonts w:ascii="Times New Roman" w:hAnsi="Times New Roman"/>
          <w:b/>
          <w:noProof/>
          <w:color w:val="000000"/>
          <w:sz w:val="24"/>
        </w:rPr>
        <w:t>intra-</w:t>
      </w:r>
      <w:r w:rsidRPr="00500188">
        <w:rPr>
          <w:rFonts w:ascii="Times New Roman" w:hAnsi="Times New Roman"/>
          <w:b/>
          <w:noProof/>
          <w:color w:val="000000"/>
          <w:sz w:val="24"/>
        </w:rPr>
        <w:t>UE</w:t>
      </w:r>
      <w:r>
        <w:rPr>
          <w:rFonts w:ascii="Times New Roman" w:hAnsi="Times New Roman"/>
          <w:noProof/>
          <w:color w:val="000000"/>
          <w:sz w:val="24"/>
        </w:rPr>
        <w:t xml:space="preserve"> cu deșeuri de plastic, hârtie, carton, cupru, aluminiu, nichel și metale prețioase </w:t>
      </w:r>
      <w:r w:rsidRPr="00500188">
        <w:rPr>
          <w:rFonts w:ascii="Times New Roman" w:hAnsi="Times New Roman"/>
          <w:b/>
          <w:noProof/>
          <w:color w:val="000000"/>
          <w:sz w:val="24"/>
        </w:rPr>
        <w:t>a crescut considerabil</w:t>
      </w:r>
      <w:r>
        <w:rPr>
          <w:rFonts w:ascii="Times New Roman" w:hAnsi="Times New Roman"/>
          <w:noProof/>
          <w:color w:val="000000"/>
          <w:sz w:val="24"/>
        </w:rPr>
        <w:t xml:space="preserve"> între </w:t>
      </w:r>
      <w:r w:rsidRPr="00500188">
        <w:rPr>
          <w:rFonts w:ascii="Times New Roman" w:hAnsi="Times New Roman"/>
          <w:noProof/>
          <w:color w:val="000000"/>
          <w:sz w:val="24"/>
        </w:rPr>
        <w:t>2004</w:t>
      </w:r>
      <w:r>
        <w:rPr>
          <w:rFonts w:ascii="Times New Roman" w:hAnsi="Times New Roman"/>
          <w:noProof/>
          <w:color w:val="000000"/>
          <w:sz w:val="24"/>
        </w:rPr>
        <w:t xml:space="preserve"> și </w:t>
      </w:r>
      <w:r w:rsidRPr="00500188">
        <w:rPr>
          <w:rFonts w:ascii="Times New Roman" w:hAnsi="Times New Roman"/>
          <w:noProof/>
          <w:color w:val="000000"/>
          <w:sz w:val="24"/>
        </w:rPr>
        <w:t>2021</w:t>
      </w:r>
      <w:r>
        <w:rPr>
          <w:rFonts w:ascii="Times New Roman" w:hAnsi="Times New Roman"/>
          <w:noProof/>
          <w:color w:val="000000"/>
          <w:sz w:val="24"/>
        </w:rPr>
        <w:t>, permițând întreprinderilor să profite de avantajele pieței interne a UE pentru materiile prime secundare.</w:t>
      </w:r>
      <w:r>
        <w:rPr>
          <w:rFonts w:ascii="Verdana" w:hAnsi="Verdana"/>
          <w:noProof/>
          <w:color w:val="393939"/>
          <w:sz w:val="21"/>
          <w:shd w:val="clear" w:color="auto" w:fill="FFFFFF"/>
        </w:rPr>
        <w:t xml:space="preserve"> </w:t>
      </w:r>
    </w:p>
    <w:p w14:paraId="7C0ED1F0" w14:textId="77777777" w:rsidR="007527C5" w:rsidRPr="00D77CE4" w:rsidRDefault="007527C5" w:rsidP="007527C5">
      <w:pPr>
        <w:spacing w:after="120" w:line="276" w:lineRule="auto"/>
        <w:contextualSpacing/>
        <w:jc w:val="both"/>
        <w:rPr>
          <w:rFonts w:ascii="Times New Roman" w:eastAsia="Calibri" w:hAnsi="Times New Roman" w:cs="Times New Roman"/>
          <w:b/>
          <w:i/>
          <w:noProof/>
          <w:sz w:val="24"/>
          <w:szCs w:val="24"/>
        </w:rPr>
      </w:pPr>
    </w:p>
    <w:p w14:paraId="5F98D421" w14:textId="77777777" w:rsidR="007527C5" w:rsidRPr="00D77CE4" w:rsidRDefault="007527C5" w:rsidP="007527C5">
      <w:pPr>
        <w:spacing w:after="120" w:line="276" w:lineRule="auto"/>
        <w:jc w:val="both"/>
        <w:rPr>
          <w:rFonts w:ascii="Times New Roman" w:eastAsia="Calibri" w:hAnsi="Times New Roman" w:cs="Times New Roman"/>
          <w:b/>
          <w:i/>
          <w:noProof/>
          <w:sz w:val="24"/>
          <w:szCs w:val="24"/>
        </w:rPr>
      </w:pPr>
      <w:r w:rsidRPr="00D77CE4">
        <w:rPr>
          <w:rFonts w:ascii="Times New Roman" w:hAnsi="Times New Roman"/>
          <w:b/>
          <w:i/>
          <w:noProof/>
          <w:sz w:val="24"/>
        </w:rPr>
        <w:t>Competitivitate și inovare</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266FB0DC" w14:textId="77777777" w:rsidTr="007527C5">
        <w:tc>
          <w:tcPr>
            <w:tcW w:w="9072" w:type="dxa"/>
            <w:shd w:val="clear" w:color="auto" w:fill="F2F2F2"/>
          </w:tcPr>
          <w:p w14:paraId="050EDE38" w14:textId="06135A5E" w:rsidR="007527C5" w:rsidRPr="00B95B85" w:rsidRDefault="007527C5" w:rsidP="00250DA3">
            <w:pPr>
              <w:spacing w:before="120" w:after="120"/>
              <w:jc w:val="both"/>
              <w:rPr>
                <w:rFonts w:ascii="Times New Roman" w:eastAsia="Calibri" w:hAnsi="Times New Roman" w:cs="Times New Roman"/>
                <w:noProof/>
                <w:sz w:val="24"/>
              </w:rPr>
            </w:pPr>
            <w:r>
              <w:rPr>
                <w:rFonts w:ascii="Times New Roman" w:hAnsi="Times New Roman"/>
                <w:noProof/>
                <w:sz w:val="24"/>
              </w:rPr>
              <w:t xml:space="preserve">Sectoarele economiei circulare au înregistrat o creștere în ultimii ani din perspectiva investițiilor, valorii adăugate și a locurilor de muncă. Aceste sectoare au devenit, de asemenea, mai inovatoare. </w:t>
            </w:r>
          </w:p>
        </w:tc>
      </w:tr>
    </w:tbl>
    <w:p w14:paraId="25E0A956" w14:textId="77777777" w:rsidR="007527C5" w:rsidRPr="00B95B85" w:rsidRDefault="007527C5" w:rsidP="007527C5">
      <w:pPr>
        <w:spacing w:after="0" w:line="276" w:lineRule="auto"/>
        <w:jc w:val="both"/>
        <w:rPr>
          <w:rFonts w:ascii="Times New Roman" w:eastAsia="Calibri" w:hAnsi="Times New Roman" w:cs="Times New Roman"/>
          <w:noProof/>
          <w:color w:val="000000"/>
          <w:position w:val="-2"/>
          <w:sz w:val="24"/>
          <w:szCs w:val="24"/>
          <w:lang w:val="en-IE"/>
        </w:rPr>
      </w:pPr>
    </w:p>
    <w:p w14:paraId="36CD11AC" w14:textId="1892A021" w:rsidR="007527C5" w:rsidRPr="00997CA5" w:rsidRDefault="007527C5" w:rsidP="007527C5">
      <w:pPr>
        <w:spacing w:after="200" w:line="276" w:lineRule="auto"/>
        <w:jc w:val="both"/>
        <w:rPr>
          <w:rFonts w:ascii="Times New Roman" w:eastAsia="Calibri" w:hAnsi="Times New Roman" w:cs="Times New Roman"/>
          <w:noProof/>
          <w:color w:val="000000"/>
          <w:position w:val="-2"/>
          <w:sz w:val="24"/>
        </w:rPr>
      </w:pPr>
      <w:r w:rsidRPr="00500188">
        <w:rPr>
          <w:rFonts w:ascii="Times New Roman" w:hAnsi="Times New Roman"/>
          <w:b/>
          <w:noProof/>
          <w:color w:val="000000"/>
          <w:sz w:val="24"/>
        </w:rPr>
        <w:t>Investițiile private</w:t>
      </w:r>
      <w:r>
        <w:rPr>
          <w:rFonts w:ascii="Times New Roman" w:hAnsi="Times New Roman"/>
          <w:noProof/>
          <w:color w:val="000000"/>
          <w:sz w:val="24"/>
        </w:rPr>
        <w:t xml:space="preserve"> efectuate în UE în </w:t>
      </w:r>
      <w:r w:rsidRPr="00500188">
        <w:rPr>
          <w:rFonts w:ascii="Times New Roman" w:hAnsi="Times New Roman"/>
          <w:noProof/>
          <w:color w:val="000000"/>
          <w:sz w:val="24"/>
        </w:rPr>
        <w:t>2021</w:t>
      </w:r>
      <w:r>
        <w:rPr>
          <w:rFonts w:ascii="Times New Roman" w:hAnsi="Times New Roman"/>
          <w:noProof/>
          <w:color w:val="000000"/>
          <w:sz w:val="24"/>
        </w:rPr>
        <w:t>, în anumite</w:t>
      </w:r>
      <w:r w:rsidR="00500188">
        <w:rPr>
          <w:rFonts w:ascii="Times New Roman" w:hAnsi="Times New Roman"/>
          <w:noProof/>
          <w:color w:val="000000"/>
          <w:sz w:val="24"/>
        </w:rPr>
        <w:t xml:space="preserve"> </w:t>
      </w:r>
      <w:r>
        <w:rPr>
          <w:rFonts w:ascii="Times New Roman" w:hAnsi="Times New Roman"/>
          <w:noProof/>
          <w:color w:val="000000"/>
          <w:sz w:val="24"/>
        </w:rPr>
        <w:t xml:space="preserve">sectoare economice relevante pentru economia circulară, și anume activitățile de reutilizare și de reciclare, au fost estimate la aproximativ </w:t>
      </w:r>
      <w:r w:rsidRPr="00500188">
        <w:rPr>
          <w:rFonts w:ascii="Times New Roman" w:hAnsi="Times New Roman"/>
          <w:b/>
          <w:noProof/>
          <w:color w:val="000000"/>
          <w:sz w:val="24"/>
        </w:rPr>
        <w:t>121,6 miliarde</w:t>
      </w:r>
      <w:r>
        <w:rPr>
          <w:rFonts w:ascii="Times New Roman" w:hAnsi="Times New Roman"/>
          <w:noProof/>
          <w:color w:val="000000"/>
          <w:sz w:val="24"/>
        </w:rPr>
        <w:t xml:space="preserve"> </w:t>
      </w:r>
      <w:r w:rsidRPr="00500188">
        <w:rPr>
          <w:rFonts w:ascii="Times New Roman" w:hAnsi="Times New Roman"/>
          <w:b/>
          <w:noProof/>
          <w:color w:val="000000"/>
          <w:sz w:val="24"/>
        </w:rPr>
        <w:t>EUR</w:t>
      </w:r>
      <w:r>
        <w:rPr>
          <w:rFonts w:ascii="Times New Roman" w:hAnsi="Times New Roman"/>
          <w:noProof/>
          <w:color w:val="000000"/>
          <w:sz w:val="24"/>
        </w:rPr>
        <w:t xml:space="preserve"> (respectiv, </w:t>
      </w:r>
      <w:r w:rsidRPr="00500188">
        <w:rPr>
          <w:rFonts w:ascii="Times New Roman" w:hAnsi="Times New Roman"/>
          <w:noProof/>
          <w:color w:val="000000"/>
          <w:sz w:val="24"/>
        </w:rPr>
        <w:t>0</w:t>
      </w:r>
      <w:r>
        <w:rPr>
          <w:rFonts w:ascii="Times New Roman" w:hAnsi="Times New Roman"/>
          <w:noProof/>
          <w:color w:val="000000"/>
          <w:sz w:val="24"/>
        </w:rPr>
        <w:t>,</w:t>
      </w:r>
      <w:r w:rsidRPr="00500188">
        <w:rPr>
          <w:rFonts w:ascii="Times New Roman" w:hAnsi="Times New Roman"/>
          <w:noProof/>
          <w:color w:val="000000"/>
          <w:sz w:val="24"/>
        </w:rPr>
        <w:t>8</w:t>
      </w:r>
      <w:r>
        <w:rPr>
          <w:rFonts w:ascii="Times New Roman" w:hAnsi="Times New Roman"/>
          <w:noProof/>
          <w:color w:val="000000"/>
          <w:sz w:val="24"/>
        </w:rPr>
        <w:t xml:space="preserve"> % din PIB). În același an, în aceste sectoare </w:t>
      </w:r>
      <w:r w:rsidRPr="00500188">
        <w:rPr>
          <w:rFonts w:ascii="Times New Roman" w:hAnsi="Times New Roman"/>
          <w:noProof/>
          <w:color w:val="000000"/>
          <w:spacing w:val="-4"/>
          <w:sz w:val="24"/>
        </w:rPr>
        <w:t xml:space="preserve">existau </w:t>
      </w:r>
      <w:r w:rsidRPr="00500188">
        <w:rPr>
          <w:rFonts w:ascii="Times New Roman" w:hAnsi="Times New Roman"/>
          <w:b/>
          <w:noProof/>
          <w:color w:val="000000"/>
          <w:spacing w:val="-4"/>
          <w:sz w:val="24"/>
        </w:rPr>
        <w:t>4,3 milioane</w:t>
      </w:r>
      <w:r w:rsidRPr="00500188">
        <w:rPr>
          <w:rFonts w:ascii="Times New Roman" w:hAnsi="Times New Roman"/>
          <w:noProof/>
          <w:color w:val="000000"/>
          <w:spacing w:val="-4"/>
          <w:sz w:val="24"/>
        </w:rPr>
        <w:t xml:space="preserve"> </w:t>
      </w:r>
      <w:r w:rsidRPr="00500188">
        <w:rPr>
          <w:rFonts w:ascii="Times New Roman" w:hAnsi="Times New Roman"/>
          <w:b/>
          <w:noProof/>
          <w:color w:val="000000"/>
          <w:spacing w:val="-4"/>
          <w:sz w:val="24"/>
        </w:rPr>
        <w:t>de locuri de muncă</w:t>
      </w:r>
      <w:r w:rsidRPr="00500188">
        <w:rPr>
          <w:rFonts w:ascii="Times New Roman" w:hAnsi="Times New Roman"/>
          <w:noProof/>
          <w:color w:val="000000"/>
          <w:spacing w:val="-4"/>
          <w:sz w:val="24"/>
        </w:rPr>
        <w:t xml:space="preserve">, ceea ce reprezintă o </w:t>
      </w:r>
      <w:r w:rsidRPr="00500188">
        <w:rPr>
          <w:rFonts w:ascii="Times New Roman" w:hAnsi="Times New Roman"/>
          <w:b/>
          <w:noProof/>
          <w:color w:val="000000"/>
          <w:spacing w:val="-4"/>
          <w:sz w:val="24"/>
        </w:rPr>
        <w:t>creștere cu 11 %</w:t>
      </w:r>
      <w:r w:rsidRPr="00500188">
        <w:rPr>
          <w:rFonts w:ascii="Times New Roman" w:hAnsi="Times New Roman"/>
          <w:noProof/>
          <w:color w:val="000000"/>
          <w:spacing w:val="-4"/>
          <w:sz w:val="24"/>
        </w:rPr>
        <w:t xml:space="preserve"> față de anul </w:t>
      </w:r>
      <w:r w:rsidRPr="00500188">
        <w:rPr>
          <w:rFonts w:ascii="Times New Roman" w:hAnsi="Times New Roman"/>
          <w:noProof/>
          <w:color w:val="000000"/>
          <w:spacing w:val="-8"/>
          <w:sz w:val="24"/>
        </w:rPr>
        <w:t xml:space="preserve">2015. Sectoarele economiei circulare au creat </w:t>
      </w:r>
      <w:r w:rsidRPr="00500188">
        <w:rPr>
          <w:rFonts w:ascii="Times New Roman" w:hAnsi="Times New Roman"/>
          <w:b/>
          <w:noProof/>
          <w:color w:val="000000"/>
          <w:spacing w:val="-8"/>
          <w:sz w:val="24"/>
        </w:rPr>
        <w:t>valoare adăugată</w:t>
      </w:r>
      <w:r w:rsidRPr="00500188">
        <w:rPr>
          <w:rFonts w:ascii="Times New Roman" w:hAnsi="Times New Roman"/>
          <w:noProof/>
          <w:color w:val="000000"/>
          <w:spacing w:val="-8"/>
          <w:sz w:val="24"/>
        </w:rPr>
        <w:t xml:space="preserve"> de aproximativ 299 de miliarde EUR</w:t>
      </w:r>
      <w:r>
        <w:rPr>
          <w:rFonts w:ascii="Times New Roman" w:hAnsi="Times New Roman"/>
          <w:noProof/>
          <w:color w:val="000000"/>
          <w:sz w:val="24"/>
        </w:rPr>
        <w:t xml:space="preserve"> în </w:t>
      </w:r>
      <w:r w:rsidRPr="00500188">
        <w:rPr>
          <w:rFonts w:ascii="Times New Roman" w:hAnsi="Times New Roman"/>
          <w:noProof/>
          <w:color w:val="000000"/>
          <w:sz w:val="24"/>
        </w:rPr>
        <w:t>2021</w:t>
      </w:r>
      <w:r>
        <w:rPr>
          <w:rFonts w:ascii="Times New Roman" w:hAnsi="Times New Roman"/>
          <w:noProof/>
          <w:color w:val="000000"/>
          <w:sz w:val="24"/>
        </w:rPr>
        <w:t xml:space="preserve">, ceea ce reprezintă </w:t>
      </w:r>
      <w:r w:rsidRPr="00500188">
        <w:rPr>
          <w:rFonts w:ascii="Times New Roman" w:hAnsi="Times New Roman"/>
          <w:b/>
          <w:noProof/>
          <w:color w:val="000000"/>
          <w:sz w:val="24"/>
        </w:rPr>
        <w:t>o creștere de 27 %</w:t>
      </w:r>
      <w:r>
        <w:rPr>
          <w:rFonts w:ascii="Times New Roman" w:hAnsi="Times New Roman"/>
          <w:noProof/>
          <w:color w:val="000000"/>
          <w:sz w:val="24"/>
        </w:rPr>
        <w:t xml:space="preserve"> față de </w:t>
      </w:r>
      <w:r w:rsidRPr="00500188">
        <w:rPr>
          <w:rFonts w:ascii="Times New Roman" w:hAnsi="Times New Roman"/>
          <w:noProof/>
          <w:color w:val="000000"/>
          <w:sz w:val="24"/>
        </w:rPr>
        <w:t>2015</w:t>
      </w:r>
      <w:r>
        <w:rPr>
          <w:rFonts w:ascii="Times New Roman" w:hAnsi="Times New Roman"/>
          <w:noProof/>
          <w:color w:val="000000"/>
          <w:sz w:val="24"/>
        </w:rPr>
        <w:t xml:space="preserve">. </w:t>
      </w:r>
    </w:p>
    <w:p w14:paraId="4F7C3A4E" w14:textId="40FF20ED" w:rsidR="007527C5" w:rsidRPr="00500188" w:rsidRDefault="007527C5" w:rsidP="007527C5">
      <w:pPr>
        <w:spacing w:after="200" w:line="276" w:lineRule="auto"/>
        <w:jc w:val="both"/>
        <w:rPr>
          <w:rFonts w:ascii="Times New Roman" w:eastAsia="Calibri" w:hAnsi="Times New Roman" w:cs="Times New Roman"/>
          <w:noProof/>
          <w:color w:val="000000"/>
          <w:spacing w:val="-6"/>
          <w:position w:val="-2"/>
          <w:sz w:val="24"/>
          <w:szCs w:val="24"/>
        </w:rPr>
      </w:pPr>
      <w:r>
        <w:rPr>
          <w:rFonts w:ascii="Times New Roman" w:hAnsi="Times New Roman"/>
          <w:noProof/>
          <w:color w:val="000000"/>
          <w:sz w:val="24"/>
        </w:rPr>
        <w:t xml:space="preserve">Numărul </w:t>
      </w:r>
      <w:r w:rsidRPr="00500188">
        <w:rPr>
          <w:rFonts w:ascii="Times New Roman" w:hAnsi="Times New Roman"/>
          <w:b/>
          <w:noProof/>
          <w:color w:val="000000"/>
          <w:sz w:val="24"/>
        </w:rPr>
        <w:t>brevetelor</w:t>
      </w:r>
      <w:r>
        <w:rPr>
          <w:rFonts w:ascii="Times New Roman" w:hAnsi="Times New Roman"/>
          <w:noProof/>
          <w:color w:val="000000"/>
          <w:sz w:val="24"/>
        </w:rPr>
        <w:t xml:space="preserve"> înregistrate în UE privind reciclarea și materiile prime secundare </w:t>
      </w:r>
      <w:r w:rsidRPr="00500188">
        <w:rPr>
          <w:rFonts w:ascii="Times New Roman" w:hAnsi="Times New Roman"/>
          <w:b/>
          <w:noProof/>
          <w:color w:val="000000"/>
          <w:sz w:val="24"/>
        </w:rPr>
        <w:t>a crescut cu 14 %</w:t>
      </w:r>
      <w:r>
        <w:rPr>
          <w:rFonts w:ascii="Times New Roman" w:hAnsi="Times New Roman"/>
          <w:noProof/>
          <w:color w:val="000000"/>
          <w:sz w:val="24"/>
        </w:rPr>
        <w:t xml:space="preserve"> între </w:t>
      </w:r>
      <w:r w:rsidRPr="00500188">
        <w:rPr>
          <w:rFonts w:ascii="Times New Roman" w:hAnsi="Times New Roman"/>
          <w:noProof/>
          <w:color w:val="000000"/>
          <w:sz w:val="24"/>
        </w:rPr>
        <w:t>2000</w:t>
      </w:r>
      <w:r>
        <w:rPr>
          <w:rFonts w:ascii="Times New Roman" w:hAnsi="Times New Roman"/>
          <w:noProof/>
          <w:color w:val="000000"/>
          <w:sz w:val="24"/>
        </w:rPr>
        <w:t xml:space="preserve"> și </w:t>
      </w:r>
      <w:r w:rsidRPr="00500188">
        <w:rPr>
          <w:rFonts w:ascii="Times New Roman" w:hAnsi="Times New Roman"/>
          <w:noProof/>
          <w:color w:val="000000"/>
          <w:sz w:val="24"/>
        </w:rPr>
        <w:t>2019</w:t>
      </w:r>
      <w:r>
        <w:rPr>
          <w:rFonts w:ascii="Times New Roman" w:hAnsi="Times New Roman"/>
          <w:noProof/>
          <w:color w:val="000000"/>
          <w:sz w:val="24"/>
        </w:rPr>
        <w:t>.</w:t>
      </w:r>
    </w:p>
    <w:p w14:paraId="6BD5B1C1" w14:textId="77777777" w:rsidR="007527C5" w:rsidRPr="00D77CE4" w:rsidRDefault="007527C5" w:rsidP="00D77CE4">
      <w:pPr>
        <w:keepNext/>
        <w:spacing w:after="200" w:line="276" w:lineRule="auto"/>
        <w:jc w:val="both"/>
        <w:rPr>
          <w:rFonts w:ascii="Times New Roman" w:eastAsia="Calibri" w:hAnsi="Times New Roman" w:cs="Times New Roman"/>
          <w:b/>
          <w:i/>
          <w:noProof/>
          <w:color w:val="000000"/>
          <w:position w:val="-2"/>
          <w:sz w:val="24"/>
          <w:szCs w:val="24"/>
        </w:rPr>
      </w:pPr>
      <w:r w:rsidRPr="00D77CE4">
        <w:rPr>
          <w:rFonts w:ascii="Times New Roman" w:hAnsi="Times New Roman"/>
          <w:b/>
          <w:i/>
          <w:noProof/>
          <w:color w:val="000000"/>
          <w:sz w:val="24"/>
        </w:rPr>
        <w:t>Durabilitate globală și reziliență</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2AA385DE" w14:textId="77777777" w:rsidTr="007527C5">
        <w:trPr>
          <w:trHeight w:val="1169"/>
        </w:trPr>
        <w:tc>
          <w:tcPr>
            <w:tcW w:w="9072" w:type="dxa"/>
            <w:shd w:val="clear" w:color="auto" w:fill="F2F2F2"/>
          </w:tcPr>
          <w:p w14:paraId="001116C7" w14:textId="33F01B98" w:rsidR="007527C5" w:rsidRPr="00997CA5" w:rsidRDefault="007527C5" w:rsidP="00250DA3">
            <w:pPr>
              <w:spacing w:after="200" w:line="276" w:lineRule="auto"/>
              <w:jc w:val="both"/>
              <w:rPr>
                <w:rFonts w:ascii="Times New Roman" w:eastAsia="Calibri" w:hAnsi="Times New Roman" w:cs="Times New Roman"/>
                <w:noProof/>
                <w:color w:val="000000"/>
                <w:position w:val="-2"/>
                <w:sz w:val="24"/>
                <w:szCs w:val="24"/>
              </w:rPr>
            </w:pPr>
            <w:r>
              <w:rPr>
                <w:rFonts w:ascii="Times New Roman" w:hAnsi="Times New Roman"/>
                <w:noProof/>
                <w:color w:val="000000"/>
                <w:sz w:val="24"/>
              </w:rPr>
              <w:t xml:space="preserve">Consumul din UE are efecte care depășesc anumite limite ale planetei, iar economia circulară contribuie la neutralitatea climatică. UE depinde de importurile de materiale, în special pentru unele materii prime critice necesare pentru tranziția verde și digitală. </w:t>
            </w:r>
          </w:p>
        </w:tc>
      </w:tr>
    </w:tbl>
    <w:p w14:paraId="5E536A9E" w14:textId="655FBAC4" w:rsidR="007527C5" w:rsidRPr="00997CA5" w:rsidRDefault="00EF6BCC" w:rsidP="007527C5">
      <w:pPr>
        <w:spacing w:before="120" w:after="200" w:line="276" w:lineRule="auto"/>
        <w:jc w:val="both"/>
        <w:rPr>
          <w:rFonts w:ascii="Times New Roman" w:eastAsia="Calibri" w:hAnsi="Times New Roman" w:cs="Times New Roman"/>
          <w:noProof/>
          <w:color w:val="000000"/>
          <w:position w:val="-2"/>
          <w:sz w:val="24"/>
          <w:szCs w:val="24"/>
        </w:rPr>
      </w:pPr>
      <w:r w:rsidRPr="00500188">
        <w:rPr>
          <w:rFonts w:ascii="Times New Roman" w:hAnsi="Times New Roman"/>
          <w:b/>
          <w:noProof/>
          <w:color w:val="000000"/>
          <w:sz w:val="24"/>
        </w:rPr>
        <w:t>Amprenta consumului</w:t>
      </w:r>
      <w:r>
        <w:rPr>
          <w:rFonts w:ascii="Times New Roman" w:hAnsi="Times New Roman"/>
          <w:noProof/>
          <w:color w:val="000000"/>
          <w:sz w:val="24"/>
        </w:rPr>
        <w:t xml:space="preserve"> UE</w:t>
      </w:r>
      <w:r w:rsidR="00500188">
        <w:rPr>
          <w:rFonts w:ascii="Times New Roman" w:hAnsi="Times New Roman"/>
          <w:noProof/>
          <w:color w:val="000000"/>
          <w:sz w:val="24"/>
        </w:rPr>
        <w:t xml:space="preserve"> </w:t>
      </w:r>
      <w:r>
        <w:rPr>
          <w:rFonts w:ascii="Times New Roman" w:hAnsi="Times New Roman"/>
          <w:noProof/>
          <w:color w:val="000000"/>
          <w:sz w:val="24"/>
        </w:rPr>
        <w:t xml:space="preserve">a crescut cu </w:t>
      </w:r>
      <w:r w:rsidRPr="00500188">
        <w:rPr>
          <w:rFonts w:ascii="Times New Roman" w:hAnsi="Times New Roman"/>
          <w:noProof/>
          <w:color w:val="000000"/>
          <w:sz w:val="24"/>
        </w:rPr>
        <w:t>4</w:t>
      </w:r>
      <w:r>
        <w:rPr>
          <w:rFonts w:ascii="Times New Roman" w:hAnsi="Times New Roman"/>
          <w:noProof/>
          <w:color w:val="000000"/>
          <w:sz w:val="24"/>
        </w:rPr>
        <w:t xml:space="preserve"> % între </w:t>
      </w:r>
      <w:r w:rsidRPr="00500188">
        <w:rPr>
          <w:rFonts w:ascii="Times New Roman" w:hAnsi="Times New Roman"/>
          <w:noProof/>
          <w:color w:val="000000"/>
          <w:sz w:val="24"/>
        </w:rPr>
        <w:t>2010</w:t>
      </w:r>
      <w:r>
        <w:rPr>
          <w:rFonts w:ascii="Times New Roman" w:hAnsi="Times New Roman"/>
          <w:noProof/>
          <w:color w:val="000000"/>
          <w:sz w:val="24"/>
        </w:rPr>
        <w:t xml:space="preserve"> și </w:t>
      </w:r>
      <w:r w:rsidRPr="00500188">
        <w:rPr>
          <w:rFonts w:ascii="Times New Roman" w:hAnsi="Times New Roman"/>
          <w:noProof/>
          <w:color w:val="000000"/>
          <w:sz w:val="24"/>
        </w:rPr>
        <w:t>2021</w:t>
      </w:r>
      <w:r>
        <w:rPr>
          <w:rFonts w:ascii="Times New Roman" w:hAnsi="Times New Roman"/>
          <w:noProof/>
          <w:color w:val="000000"/>
          <w:sz w:val="24"/>
        </w:rPr>
        <w:t>. În prezent, Comisia estimează că UE a depășit în mod clar limitele planetei în privința a cinci categorii de impact (particulele în suspensie, ecotoxicitatea în apa dulce, schimbările climatice, utilizarea resurselor bazate pe combustibili fosili și utilizarea resurselor minerale și metalice). Consumul de alimente (în special de produse de origine animală) se configurează a fi unul dintre principalii factori determinanți ai impactului generat de cetățeanul de rând al UE</w:t>
      </w:r>
      <w:r>
        <w:rPr>
          <w:rFonts w:ascii="Times New Roman" w:eastAsia="Calibri" w:hAnsi="Times New Roman" w:cs="Times New Roman"/>
          <w:noProof/>
          <w:color w:val="000000"/>
          <w:position w:val="-2"/>
          <w:sz w:val="24"/>
          <w:szCs w:val="24"/>
          <w:vertAlign w:val="superscript"/>
          <w:lang w:val="en-IE"/>
        </w:rPr>
        <w:footnoteReference w:id="33"/>
      </w:r>
      <w:r>
        <w:rPr>
          <w:rFonts w:ascii="Times New Roman" w:hAnsi="Times New Roman"/>
          <w:noProof/>
          <w:color w:val="000000"/>
          <w:sz w:val="24"/>
        </w:rPr>
        <w:t>.</w:t>
      </w:r>
    </w:p>
    <w:p w14:paraId="412E1620" w14:textId="46E00BC9" w:rsidR="007527C5" w:rsidRPr="00997CA5" w:rsidRDefault="007527C5" w:rsidP="007527C5">
      <w:pPr>
        <w:spacing w:after="200" w:line="276" w:lineRule="auto"/>
        <w:jc w:val="both"/>
        <w:rPr>
          <w:rFonts w:ascii="Times New Roman" w:eastAsia="Calibri" w:hAnsi="Times New Roman" w:cs="Times New Roman"/>
          <w:noProof/>
          <w:color w:val="000000"/>
          <w:position w:val="-2"/>
          <w:sz w:val="24"/>
        </w:rPr>
      </w:pPr>
      <w:r w:rsidRPr="00500188">
        <w:rPr>
          <w:rFonts w:ascii="Times New Roman" w:hAnsi="Times New Roman"/>
          <w:b/>
          <w:noProof/>
          <w:color w:val="000000"/>
          <w:sz w:val="24"/>
        </w:rPr>
        <w:t>Emisiile de gaze cu efect de seră din UE provenite din activitățile de producție</w:t>
      </w:r>
      <w:r>
        <w:rPr>
          <w:rFonts w:ascii="Times New Roman" w:hAnsi="Times New Roman"/>
          <w:noProof/>
          <w:color w:val="000000"/>
          <w:sz w:val="24"/>
        </w:rPr>
        <w:t xml:space="preserve"> au scăzut cu </w:t>
      </w:r>
      <w:r w:rsidRPr="00500188">
        <w:rPr>
          <w:rFonts w:ascii="Times New Roman" w:hAnsi="Times New Roman"/>
          <w:b/>
          <w:noProof/>
          <w:color w:val="000000"/>
          <w:sz w:val="24"/>
        </w:rPr>
        <w:t>aproximativ 25 % în perioada 2008-2021.</w:t>
      </w:r>
    </w:p>
    <w:p w14:paraId="2013A497" w14:textId="3D132925" w:rsidR="007527C5" w:rsidRPr="00997CA5" w:rsidRDefault="007527C5" w:rsidP="007527C5">
      <w:pPr>
        <w:spacing w:after="200" w:line="276" w:lineRule="auto"/>
        <w:jc w:val="both"/>
        <w:rPr>
          <w:rFonts w:ascii="Times New Roman" w:eastAsia="Calibri" w:hAnsi="Times New Roman" w:cs="Times New Roman"/>
          <w:noProof/>
          <w:color w:val="000000"/>
          <w:position w:val="-2"/>
          <w:sz w:val="24"/>
          <w:szCs w:val="24"/>
        </w:rPr>
      </w:pPr>
      <w:r>
        <w:rPr>
          <w:rFonts w:ascii="Times New Roman" w:hAnsi="Times New Roman"/>
          <w:noProof/>
          <w:color w:val="000000"/>
          <w:sz w:val="24"/>
        </w:rPr>
        <w:t xml:space="preserve">În </w:t>
      </w:r>
      <w:r w:rsidRPr="00500188">
        <w:rPr>
          <w:rFonts w:ascii="Times New Roman" w:hAnsi="Times New Roman"/>
          <w:noProof/>
          <w:color w:val="000000"/>
          <w:sz w:val="24"/>
        </w:rPr>
        <w:t>2021</w:t>
      </w:r>
      <w:r>
        <w:rPr>
          <w:rFonts w:ascii="Times New Roman" w:hAnsi="Times New Roman"/>
          <w:noProof/>
          <w:color w:val="000000"/>
          <w:sz w:val="24"/>
        </w:rPr>
        <w:t xml:space="preserve">, </w:t>
      </w:r>
      <w:r w:rsidRPr="00500188">
        <w:rPr>
          <w:rFonts w:ascii="Times New Roman" w:hAnsi="Times New Roman"/>
          <w:b/>
          <w:noProof/>
          <w:color w:val="000000"/>
          <w:sz w:val="24"/>
        </w:rPr>
        <w:t>dependența UE de importurile de materii prime a fost de 22,9 %</w:t>
      </w:r>
      <w:r>
        <w:rPr>
          <w:rFonts w:ascii="Times New Roman" w:hAnsi="Times New Roman"/>
          <w:noProof/>
          <w:color w:val="000000"/>
          <w:sz w:val="24"/>
        </w:rPr>
        <w:t xml:space="preserve">, ceea ce reprezintă o ușoară creștere față de anul </w:t>
      </w:r>
      <w:r w:rsidRPr="00500188">
        <w:rPr>
          <w:rFonts w:ascii="Times New Roman" w:hAnsi="Times New Roman"/>
          <w:noProof/>
          <w:color w:val="000000"/>
          <w:sz w:val="24"/>
        </w:rPr>
        <w:t>2000</w:t>
      </w:r>
      <w:r>
        <w:rPr>
          <w:rFonts w:ascii="Times New Roman" w:hAnsi="Times New Roman"/>
          <w:noProof/>
          <w:color w:val="000000"/>
          <w:sz w:val="24"/>
        </w:rPr>
        <w:t xml:space="preserve">. Economia UE este aproape autonomă în ceea ce privește aprovizionarea cu minerale nemetalice (cum ar fi cele pentru construcții), în timp ce în privința minereurilor metalice și materialelor energetice fosile, UE este foarte dependentă de importurile din restul lumii (nivelul de dependență fiind de </w:t>
      </w:r>
      <w:r w:rsidRPr="00500188">
        <w:rPr>
          <w:rFonts w:ascii="Times New Roman" w:hAnsi="Times New Roman"/>
          <w:noProof/>
          <w:color w:val="000000"/>
          <w:sz w:val="24"/>
        </w:rPr>
        <w:t>52</w:t>
      </w:r>
      <w:r>
        <w:rPr>
          <w:rFonts w:ascii="Times New Roman" w:hAnsi="Times New Roman"/>
          <w:noProof/>
          <w:color w:val="000000"/>
          <w:sz w:val="24"/>
        </w:rPr>
        <w:t xml:space="preserve"> % și, respectiv, de peste </w:t>
      </w:r>
      <w:r w:rsidRPr="00500188">
        <w:rPr>
          <w:rFonts w:ascii="Times New Roman" w:hAnsi="Times New Roman"/>
          <w:noProof/>
          <w:color w:val="000000"/>
          <w:sz w:val="24"/>
        </w:rPr>
        <w:t>71</w:t>
      </w:r>
      <w:r>
        <w:rPr>
          <w:rFonts w:ascii="Times New Roman" w:hAnsi="Times New Roman"/>
          <w:noProof/>
          <w:color w:val="000000"/>
          <w:sz w:val="24"/>
        </w:rPr>
        <w:t xml:space="preserve"> %). </w:t>
      </w:r>
    </w:p>
    <w:p w14:paraId="43D7F4AB" w14:textId="4F9783E9" w:rsidR="007527C5" w:rsidRPr="009375D3" w:rsidRDefault="007527C5" w:rsidP="007527C5">
      <w:pPr>
        <w:spacing w:after="200" w:line="276" w:lineRule="auto"/>
        <w:jc w:val="both"/>
        <w:rPr>
          <w:rFonts w:ascii="Times New Roman" w:eastAsia="Calibri" w:hAnsi="Times New Roman" w:cs="Times New Roman"/>
          <w:noProof/>
          <w:color w:val="000000"/>
          <w:position w:val="-2"/>
          <w:sz w:val="24"/>
        </w:rPr>
      </w:pPr>
      <w:r>
        <w:rPr>
          <w:rFonts w:ascii="Times New Roman" w:hAnsi="Times New Roman"/>
          <w:noProof/>
          <w:color w:val="000000"/>
          <w:sz w:val="24"/>
        </w:rPr>
        <w:t xml:space="preserve">Indicatorul privind </w:t>
      </w:r>
      <w:r w:rsidRPr="00500188">
        <w:rPr>
          <w:rFonts w:ascii="Times New Roman" w:hAnsi="Times New Roman"/>
          <w:b/>
          <w:noProof/>
          <w:color w:val="000000"/>
          <w:sz w:val="24"/>
        </w:rPr>
        <w:t>autonomia</w:t>
      </w:r>
      <w:r>
        <w:rPr>
          <w:rFonts w:ascii="Times New Roman" w:hAnsi="Times New Roman"/>
          <w:noProof/>
          <w:color w:val="000000"/>
          <w:sz w:val="24"/>
        </w:rPr>
        <w:t xml:space="preserve"> aprovizionării cu materii prime arată că, pentru </w:t>
      </w:r>
      <w:r w:rsidRPr="00500188">
        <w:rPr>
          <w:rFonts w:ascii="Times New Roman" w:hAnsi="Times New Roman"/>
          <w:b/>
          <w:noProof/>
          <w:color w:val="000000"/>
          <w:sz w:val="24"/>
        </w:rPr>
        <w:t>materiile prime critice</w:t>
      </w:r>
      <w:r>
        <w:rPr>
          <w:rFonts w:ascii="Times New Roman" w:hAnsi="Times New Roman"/>
          <w:noProof/>
          <w:color w:val="000000"/>
          <w:sz w:val="24"/>
        </w:rPr>
        <w:t xml:space="preserve">, UE se bazează în mare măsură pe importuri. De exemplu, pentru pământurile rare rafinate și magneziul rafinat, UE importă </w:t>
      </w:r>
      <w:r w:rsidRPr="00500188">
        <w:rPr>
          <w:rFonts w:ascii="Times New Roman" w:hAnsi="Times New Roman"/>
          <w:noProof/>
          <w:color w:val="000000"/>
          <w:sz w:val="24"/>
        </w:rPr>
        <w:t>100</w:t>
      </w:r>
      <w:r>
        <w:rPr>
          <w:rFonts w:ascii="Times New Roman" w:hAnsi="Times New Roman"/>
          <w:noProof/>
          <w:color w:val="000000"/>
          <w:sz w:val="24"/>
        </w:rPr>
        <w:t> % din consumul său din China. Acest lucru evidențiază necesitatea unui acces sigur și a diversificării aprovizionării. Multe dintre aceste materiale sunt necesare pentru a atinge obiectivul UE privind o economie durabilă, cu emisii scăzute de dioxid de carbon, eficientă din punctul de vedere al utilizării resurselor și competitivă, de exemplu</w:t>
      </w:r>
      <w:r>
        <w:rPr>
          <w:noProof/>
        </w:rPr>
        <w:t xml:space="preserve"> </w:t>
      </w:r>
      <w:r>
        <w:rPr>
          <w:rFonts w:ascii="Times New Roman" w:hAnsi="Times New Roman"/>
          <w:noProof/>
          <w:color w:val="000000"/>
          <w:sz w:val="24"/>
        </w:rPr>
        <w:t xml:space="preserve">cobaltul pentru bateriile utilizate în vehiculele electrice și siliciul pentru panouri solare. </w:t>
      </w:r>
    </w:p>
    <w:p w14:paraId="4ED217F7" w14:textId="77777777" w:rsidR="007527C5" w:rsidRPr="00500188" w:rsidRDefault="007527C5" w:rsidP="007527C5">
      <w:pPr>
        <w:pStyle w:val="ListParagraph"/>
        <w:keepNext/>
        <w:numPr>
          <w:ilvl w:val="0"/>
          <w:numId w:val="1"/>
        </w:numPr>
        <w:spacing w:before="240" w:after="120" w:line="276" w:lineRule="auto"/>
        <w:jc w:val="both"/>
        <w:outlineLvl w:val="0"/>
        <w:rPr>
          <w:rFonts w:ascii="Times New Roman" w:eastAsia="Calibri" w:hAnsi="Times New Roman" w:cs="Times New Roman"/>
          <w:b/>
          <w:noProof/>
          <w:sz w:val="24"/>
          <w:szCs w:val="24"/>
        </w:rPr>
      </w:pPr>
      <w:r w:rsidRPr="00500188">
        <w:rPr>
          <w:rFonts w:ascii="Times New Roman" w:hAnsi="Times New Roman"/>
          <w:b/>
          <w:noProof/>
          <w:sz w:val="24"/>
        </w:rPr>
        <w:t>Concluzii</w:t>
      </w:r>
    </w:p>
    <w:p w14:paraId="2E21E33E" w14:textId="77777777" w:rsidR="007A01A0" w:rsidRDefault="00903031" w:rsidP="006C677A">
      <w:pPr>
        <w:spacing w:after="200" w:line="276" w:lineRule="auto"/>
        <w:jc w:val="both"/>
        <w:rPr>
          <w:rFonts w:ascii="Times New Roman" w:eastAsia="Calibri" w:hAnsi="Times New Roman" w:cs="Times New Roman"/>
          <w:noProof/>
          <w:sz w:val="24"/>
        </w:rPr>
      </w:pPr>
      <w:r>
        <w:rPr>
          <w:rFonts w:ascii="Times New Roman" w:hAnsi="Times New Roman"/>
          <w:noProof/>
          <w:sz w:val="24"/>
        </w:rPr>
        <w:t>Planul de acțiune privind economia circulară pentru o Europă mai curată și mai competitivă subliniază că UE trebuie să accelereze tranziția către un model de creștere regenerativă, să avanseze în direcția menținerii consumului său de resurse în limitele planetei, să depună eforturi pentru a-și reduce amprenta consumului, să își dubleze rata de utilizare circulară a materialelor,</w:t>
      </w:r>
      <w:r>
        <w:rPr>
          <w:noProof/>
        </w:rPr>
        <w:t xml:space="preserve"> </w:t>
      </w:r>
      <w:r>
        <w:rPr>
          <w:rFonts w:ascii="Times New Roman" w:hAnsi="Times New Roman"/>
          <w:noProof/>
          <w:sz w:val="24"/>
        </w:rPr>
        <w:t>să reducă în mod semnificativ producția totală de deșeuri și să reducă la jumătate cantitatea de deșeuri municipale reziduale (nereciclate) în acest deceniu.</w:t>
      </w:r>
    </w:p>
    <w:p w14:paraId="6215D94C" w14:textId="7C7EC026" w:rsidR="00B95398" w:rsidRPr="008977BB" w:rsidRDefault="001D12DC" w:rsidP="006C677A">
      <w:pPr>
        <w:spacing w:after="200" w:line="276" w:lineRule="auto"/>
        <w:jc w:val="both"/>
        <w:rPr>
          <w:rFonts w:ascii="Times New Roman" w:eastAsia="Calibri" w:hAnsi="Times New Roman" w:cs="Times New Roman"/>
          <w:noProof/>
          <w:sz w:val="24"/>
        </w:rPr>
      </w:pPr>
      <w:r>
        <w:rPr>
          <w:rFonts w:ascii="Times New Roman" w:hAnsi="Times New Roman"/>
          <w:noProof/>
          <w:sz w:val="24"/>
        </w:rPr>
        <w:t>Adoptarea cadrului revizuit al UE de monitorizare a economiei circulare este oportună, deoarece, în cadrul Pactului verde european, Comisia a lansat o serie de inițiative legislative pentru a accelera tranziția către economia circulară, cum ar fi regulamentele privind bateriile</w:t>
      </w:r>
      <w:r>
        <w:rPr>
          <w:rFonts w:ascii="Times New Roman" w:hAnsi="Times New Roman" w:cs="Times New Roman"/>
          <w:noProof/>
          <w:sz w:val="24"/>
          <w:szCs w:val="24"/>
          <w:vertAlign w:val="superscript"/>
          <w:lang w:val="en-IE"/>
        </w:rPr>
        <w:footnoteReference w:id="34"/>
      </w:r>
      <w:r>
        <w:rPr>
          <w:rFonts w:ascii="Times New Roman" w:hAnsi="Times New Roman"/>
          <w:noProof/>
          <w:sz w:val="24"/>
        </w:rPr>
        <w:t>, proiectarea ecologică pentru produse sustenabile</w:t>
      </w:r>
      <w:r>
        <w:rPr>
          <w:rFonts w:ascii="Times New Roman" w:hAnsi="Times New Roman" w:cs="Times New Roman"/>
          <w:noProof/>
          <w:sz w:val="24"/>
          <w:szCs w:val="24"/>
          <w:vertAlign w:val="superscript"/>
          <w:lang w:val="en-IE"/>
        </w:rPr>
        <w:footnoteReference w:id="35"/>
      </w:r>
      <w:r>
        <w:rPr>
          <w:rFonts w:ascii="Times New Roman" w:hAnsi="Times New Roman"/>
          <w:noProof/>
          <w:sz w:val="24"/>
        </w:rPr>
        <w:t>, ambalaje și deșeuri de ambalaje</w:t>
      </w:r>
      <w:r>
        <w:rPr>
          <w:rStyle w:val="FootnoteReference"/>
          <w:rFonts w:ascii="Times New Roman" w:eastAsia="Calibri" w:hAnsi="Times New Roman" w:cs="Times New Roman"/>
          <w:noProof/>
          <w:sz w:val="24"/>
          <w:szCs w:val="24"/>
          <w:lang w:val="en-IE"/>
        </w:rPr>
        <w:footnoteReference w:id="36"/>
      </w:r>
      <w:r>
        <w:rPr>
          <w:rFonts w:ascii="Times New Roman" w:hAnsi="Times New Roman"/>
          <w:noProof/>
          <w:sz w:val="24"/>
        </w:rPr>
        <w:t>, expedierile de deșeuri</w:t>
      </w:r>
      <w:r>
        <w:rPr>
          <w:rStyle w:val="FootnoteReference"/>
          <w:rFonts w:ascii="Times New Roman" w:eastAsia="Calibri" w:hAnsi="Times New Roman" w:cs="Times New Roman"/>
          <w:noProof/>
          <w:sz w:val="24"/>
          <w:szCs w:val="24"/>
          <w:lang w:val="en-IE"/>
        </w:rPr>
        <w:footnoteReference w:id="37"/>
      </w:r>
      <w:r>
        <w:rPr>
          <w:rFonts w:ascii="Times New Roman" w:hAnsi="Times New Roman"/>
          <w:noProof/>
          <w:sz w:val="24"/>
        </w:rPr>
        <w:t xml:space="preserve"> și materiile prime critice</w:t>
      </w:r>
      <w:r>
        <w:rPr>
          <w:rStyle w:val="FootnoteReference"/>
          <w:rFonts w:ascii="Times New Roman" w:eastAsia="Calibri" w:hAnsi="Times New Roman" w:cs="Times New Roman"/>
          <w:noProof/>
          <w:sz w:val="24"/>
          <w:szCs w:val="24"/>
          <w:lang w:val="en-IE"/>
        </w:rPr>
        <w:footnoteReference w:id="38"/>
      </w:r>
      <w:r>
        <w:rPr>
          <w:rFonts w:ascii="Times New Roman" w:hAnsi="Times New Roman"/>
          <w:noProof/>
          <w:sz w:val="24"/>
        </w:rPr>
        <w:t xml:space="preserve">. De asemenea, statele membre pun în aplicare modificări recente ale legislației UE, cum ar fi revizuirea normelor UE privind deșeurile adoptate în </w:t>
      </w:r>
      <w:r w:rsidRPr="00500188">
        <w:rPr>
          <w:rFonts w:ascii="Times New Roman" w:hAnsi="Times New Roman"/>
          <w:noProof/>
          <w:sz w:val="24"/>
        </w:rPr>
        <w:t>2018</w:t>
      </w:r>
      <w:r>
        <w:rPr>
          <w:rStyle w:val="FootnoteReference"/>
          <w:rFonts w:ascii="Times New Roman" w:hAnsi="Times New Roman" w:cs="Times New Roman"/>
          <w:noProof/>
          <w:sz w:val="24"/>
          <w:szCs w:val="24"/>
        </w:rPr>
        <w:footnoteReference w:id="39"/>
      </w:r>
      <w:r>
        <w:rPr>
          <w:rFonts w:ascii="Times New Roman" w:hAnsi="Times New Roman"/>
          <w:noProof/>
          <w:sz w:val="24"/>
        </w:rPr>
        <w:t>, și au elaborat numeroase abordări naționale și regionale pentru a promova economia circulară. Pentru susținerea tranziției către o economie circulară sunt disponibile mai multe programe de finanțare ale UE, cum ar fi NextGenerationEU și reformele și investițiile din cadrul Mecanismului de redresare și reziliență; fondurile politicii europene de coeziune; Orizont Europa și programul LIFE.</w:t>
      </w:r>
    </w:p>
    <w:p w14:paraId="52643312" w14:textId="09AA9C1C" w:rsidR="00BC4A06" w:rsidRPr="00197B97" w:rsidRDefault="00BC4A06" w:rsidP="00BC4A06">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Cadrul de monitorizare revizuit permite urmărirea progreselor înregistrate în tranziția către o economie circulară eficientă din punctul de vedere al utilizării resurselor, neutră din punct de vedere climatic și rezilientă în contextul dezvoltării durabile. Acesta va oferi un instrument-cheie pentru evaluarea politicilor instituite și pentru orientarea acțiunilor viitoare, inclusiv în contextul unor evaluări specifice, cum ar fi rapoartele de alertă timpurie pentru a identifica statele membre expuse riscului de a nu îndeplini obiectivele UE privind reciclarea și depozitarea deșeurilor</w:t>
      </w:r>
      <w:r>
        <w:rPr>
          <w:rStyle w:val="FootnoteReference"/>
          <w:rFonts w:ascii="Times New Roman" w:eastAsia="Calibri" w:hAnsi="Times New Roman" w:cs="Times New Roman"/>
          <w:noProof/>
          <w:sz w:val="24"/>
          <w:szCs w:val="24"/>
          <w:lang w:val="en-IE"/>
        </w:rPr>
        <w:footnoteReference w:id="40"/>
      </w:r>
      <w:r>
        <w:rPr>
          <w:rFonts w:ascii="Times New Roman" w:hAnsi="Times New Roman"/>
          <w:noProof/>
          <w:sz w:val="24"/>
        </w:rPr>
        <w:t>. Cadrul de monitorizare revizuit oferă o bază solidă pentru discuții în cadrul conferințelor anuale ale părților interesate din economia circulară</w:t>
      </w:r>
      <w:r>
        <w:rPr>
          <w:rStyle w:val="FootnoteReference"/>
          <w:rFonts w:ascii="Times New Roman" w:eastAsia="Calibri" w:hAnsi="Times New Roman" w:cs="Times New Roman"/>
          <w:noProof/>
          <w:sz w:val="24"/>
          <w:szCs w:val="24"/>
          <w:lang w:val="en-IE"/>
        </w:rPr>
        <w:footnoteReference w:id="41"/>
      </w:r>
      <w:r>
        <w:rPr>
          <w:rFonts w:ascii="Times New Roman" w:hAnsi="Times New Roman"/>
          <w:noProof/>
          <w:sz w:val="24"/>
        </w:rPr>
        <w:t>, precum și pentru măsurarea performanței naționale, inclusiv în contextul evaluării punerii în aplicare a politicilor de mediu</w:t>
      </w:r>
      <w:r>
        <w:rPr>
          <w:rStyle w:val="FootnoteReference"/>
          <w:rFonts w:ascii="Times New Roman" w:eastAsia="Calibri" w:hAnsi="Times New Roman" w:cs="Times New Roman"/>
          <w:noProof/>
          <w:sz w:val="24"/>
          <w:szCs w:val="24"/>
          <w:lang w:val="en-IE"/>
        </w:rPr>
        <w:footnoteReference w:id="42"/>
      </w:r>
      <w:r>
        <w:rPr>
          <w:rFonts w:ascii="Times New Roman" w:hAnsi="Times New Roman"/>
          <w:noProof/>
          <w:sz w:val="24"/>
        </w:rPr>
        <w:t>.</w:t>
      </w:r>
    </w:p>
    <w:p w14:paraId="3998F142" w14:textId="77777777" w:rsidR="007527C5" w:rsidRPr="00C61356" w:rsidRDefault="007527C5" w:rsidP="007527C5">
      <w:pPr>
        <w:spacing w:after="200" w:line="276" w:lineRule="auto"/>
        <w:jc w:val="both"/>
        <w:rPr>
          <w:rFonts w:ascii="EC Square Sans Cond Pro" w:eastAsia="Calibri" w:hAnsi="EC Square Sans Cond Pro" w:cs="Arial"/>
          <w:noProof/>
          <w:sz w:val="20"/>
          <w:szCs w:val="20"/>
        </w:rPr>
      </w:pPr>
    </w:p>
    <w:p w14:paraId="3B6C50E3" w14:textId="77777777" w:rsidR="00772466" w:rsidRPr="00C61356" w:rsidRDefault="00772466">
      <w:pPr>
        <w:rPr>
          <w:noProof/>
        </w:rPr>
      </w:pPr>
    </w:p>
    <w:sectPr w:rsidR="00772466" w:rsidRPr="00C6135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8A8F0" w14:textId="77777777" w:rsidR="00740D94" w:rsidRDefault="00740D94" w:rsidP="00BF3E18">
      <w:pPr>
        <w:spacing w:after="0" w:line="240" w:lineRule="auto"/>
      </w:pPr>
      <w:r>
        <w:separator/>
      </w:r>
    </w:p>
  </w:endnote>
  <w:endnote w:type="continuationSeparator" w:id="0">
    <w:p w14:paraId="67F153F9" w14:textId="77777777" w:rsidR="00740D94" w:rsidRDefault="00740D94" w:rsidP="00BF3E18">
      <w:pPr>
        <w:spacing w:after="0" w:line="240" w:lineRule="auto"/>
      </w:pPr>
      <w:r>
        <w:continuationSeparator/>
      </w:r>
    </w:p>
  </w:endnote>
  <w:endnote w:type="continuationNotice" w:id="1">
    <w:p w14:paraId="24F503C3" w14:textId="77777777" w:rsidR="00740D94" w:rsidRDefault="00740D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EC Square Sans Cond Pro">
    <w:altName w:val="Bahnschrift Light"/>
    <w:charset w:val="00"/>
    <w:family w:val="swiss"/>
    <w:pitch w:val="variable"/>
    <w:sig w:usb0="00000001" w:usb1="500000D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4D805" w14:textId="691B27D3" w:rsidR="00500188" w:rsidRPr="00E30837" w:rsidRDefault="00500188" w:rsidP="00E30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CD7C9" w14:textId="59F16C9A" w:rsidR="00500188" w:rsidRPr="00E30837" w:rsidRDefault="00E30837" w:rsidP="00E30837">
    <w:pPr>
      <w:pStyle w:val="FooterCoverPage"/>
      <w:rPr>
        <w:rFonts w:ascii="Arial" w:hAnsi="Arial" w:cs="Arial"/>
        <w:b/>
        <w:sz w:val="48"/>
      </w:rPr>
    </w:pPr>
    <w:r w:rsidRPr="00E30837">
      <w:rPr>
        <w:rFonts w:ascii="Arial" w:hAnsi="Arial" w:cs="Arial"/>
        <w:b/>
        <w:sz w:val="48"/>
      </w:rPr>
      <w:t>RO</w:t>
    </w:r>
    <w:r w:rsidRPr="00E30837">
      <w:rPr>
        <w:rFonts w:ascii="Arial" w:hAnsi="Arial" w:cs="Arial"/>
        <w:b/>
        <w:sz w:val="48"/>
      </w:rPr>
      <w:tab/>
    </w:r>
    <w:r w:rsidRPr="00E30837">
      <w:rPr>
        <w:rFonts w:ascii="Arial" w:hAnsi="Arial" w:cs="Arial"/>
        <w:b/>
        <w:sz w:val="48"/>
      </w:rPr>
      <w:tab/>
    </w:r>
    <w:r w:rsidRPr="00E30837">
      <w:tab/>
    </w:r>
    <w:r w:rsidRPr="00E3083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7639F" w14:textId="77777777" w:rsidR="00E30837" w:rsidRPr="00E30837" w:rsidRDefault="00E30837" w:rsidP="00E3083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E53D7" w14:textId="77777777" w:rsidR="00500188" w:rsidRDefault="005001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097340"/>
      <w:docPartObj>
        <w:docPartGallery w:val="Page Numbers (Bottom of Page)"/>
        <w:docPartUnique/>
      </w:docPartObj>
    </w:sdtPr>
    <w:sdtEndPr/>
    <w:sdtContent>
      <w:p w14:paraId="07D35C00" w14:textId="01054370" w:rsidR="00500188" w:rsidRDefault="00500188">
        <w:pPr>
          <w:pStyle w:val="Footer"/>
          <w:jc w:val="right"/>
        </w:pPr>
        <w:r>
          <w:fldChar w:fldCharType="begin"/>
        </w:r>
        <w:r>
          <w:instrText xml:space="preserve"> PAGE   \* MERGEFORMAT </w:instrText>
        </w:r>
        <w:r>
          <w:fldChar w:fldCharType="separate"/>
        </w:r>
        <w:r w:rsidR="00E30837">
          <w:rPr>
            <w:noProof/>
          </w:rPr>
          <w:t>1</w:t>
        </w:r>
        <w:r>
          <w:fldChar w:fldCharType="end"/>
        </w:r>
      </w:p>
    </w:sdtContent>
  </w:sdt>
  <w:p w14:paraId="527D2E29" w14:textId="77777777" w:rsidR="00500188" w:rsidRDefault="005001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9FB9E" w14:textId="77777777" w:rsidR="00500188" w:rsidRDefault="00500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53FE1" w14:textId="77777777" w:rsidR="00740D94" w:rsidRDefault="00740D94" w:rsidP="00BF3E18">
      <w:pPr>
        <w:spacing w:after="0" w:line="240" w:lineRule="auto"/>
      </w:pPr>
      <w:r>
        <w:separator/>
      </w:r>
    </w:p>
  </w:footnote>
  <w:footnote w:type="continuationSeparator" w:id="0">
    <w:p w14:paraId="771B0EB0" w14:textId="77777777" w:rsidR="00740D94" w:rsidRDefault="00740D94" w:rsidP="00BF3E18">
      <w:pPr>
        <w:spacing w:after="0" w:line="240" w:lineRule="auto"/>
      </w:pPr>
      <w:r>
        <w:continuationSeparator/>
      </w:r>
    </w:p>
  </w:footnote>
  <w:footnote w:type="continuationNotice" w:id="1">
    <w:p w14:paraId="3C5FE100" w14:textId="77777777" w:rsidR="00740D94" w:rsidRDefault="00740D94">
      <w:pPr>
        <w:spacing w:after="0" w:line="240" w:lineRule="auto"/>
      </w:pPr>
    </w:p>
  </w:footnote>
  <w:footnote w:id="2">
    <w:p w14:paraId="640EE353" w14:textId="272BD5E4" w:rsidR="00500188" w:rsidRPr="00334D5F" w:rsidRDefault="00500188">
      <w:pPr>
        <w:pStyle w:val="FootnoteText"/>
      </w:pPr>
      <w:r>
        <w:rPr>
          <w:rStyle w:val="FootnoteReference"/>
        </w:rPr>
        <w:footnoteRef/>
      </w:r>
      <w:r>
        <w:t xml:space="preserve"> </w:t>
      </w:r>
      <w:hyperlink r:id="rId1" w:history="1">
        <w:r w:rsidRPr="00D77CE4">
          <w:rPr>
            <w:rStyle w:val="Hyperlink"/>
            <w:i/>
          </w:rPr>
          <w:t>Global Material Resources Outlook to 2060</w:t>
        </w:r>
        <w:r>
          <w:rPr>
            <w:rStyle w:val="Hyperlink"/>
          </w:rPr>
          <w:t xml:space="preserve"> (Perspective globale privind resursele materiale până în </w:t>
        </w:r>
        <w:r w:rsidRPr="00500188">
          <w:rPr>
            <w:rStyle w:val="Hyperlink"/>
          </w:rPr>
          <w:t>2060</w:t>
        </w:r>
        <w:r>
          <w:rPr>
            <w:rStyle w:val="Hyperlink"/>
          </w:rPr>
          <w:t>)</w:t>
        </w:r>
      </w:hyperlink>
      <w:r>
        <w:rPr>
          <w:rStyle w:val="Hyperlink"/>
        </w:rPr>
        <w:t>.</w:t>
      </w:r>
    </w:p>
  </w:footnote>
  <w:footnote w:id="3">
    <w:p w14:paraId="779D5C45" w14:textId="4EFB0696" w:rsidR="00500188" w:rsidRPr="001713B4" w:rsidRDefault="00500188" w:rsidP="00C95977">
      <w:pPr>
        <w:pStyle w:val="FootnoteText"/>
      </w:pPr>
      <w:r>
        <w:rPr>
          <w:rStyle w:val="FootnoteReference"/>
        </w:rPr>
        <w:footnoteRef/>
      </w:r>
      <w:r>
        <w:t xml:space="preserve"> </w:t>
      </w:r>
      <w:hyperlink r:id="rId2" w:history="1">
        <w:r w:rsidRPr="00D77CE4">
          <w:rPr>
            <w:rStyle w:val="Hyperlink"/>
            <w:i/>
          </w:rPr>
          <w:t>Circularity Gap Report 2022</w:t>
        </w:r>
        <w:r>
          <w:rPr>
            <w:rStyle w:val="Hyperlink"/>
          </w:rPr>
          <w:t xml:space="preserve"> (Raportul privind decalajul în materie de circularitate din </w:t>
        </w:r>
        <w:r w:rsidRPr="00500188">
          <w:rPr>
            <w:rStyle w:val="Hyperlink"/>
          </w:rPr>
          <w:t>2022</w:t>
        </w:r>
        <w:r>
          <w:rPr>
            <w:rStyle w:val="Hyperlink"/>
          </w:rPr>
          <w:t>)</w:t>
        </w:r>
      </w:hyperlink>
      <w:r>
        <w:rPr>
          <w:rStyle w:val="Hyperlink"/>
        </w:rPr>
        <w:t>.</w:t>
      </w:r>
    </w:p>
  </w:footnote>
  <w:footnote w:id="4">
    <w:p w14:paraId="1C64242E" w14:textId="30C801A8" w:rsidR="00500188" w:rsidRPr="001713B4" w:rsidRDefault="00500188" w:rsidP="007527C5">
      <w:pPr>
        <w:pStyle w:val="FootnoteText"/>
      </w:pPr>
      <w:r>
        <w:rPr>
          <w:rStyle w:val="FootnoteReference"/>
        </w:rPr>
        <w:footnoteRef/>
      </w:r>
      <w:r>
        <w:t xml:space="preserve"> </w:t>
      </w:r>
      <w:hyperlink r:id="rId3" w:history="1">
        <w:r w:rsidRPr="00D77CE4">
          <w:rPr>
            <w:rStyle w:val="Hyperlink"/>
            <w:i/>
          </w:rPr>
          <w:t>International Resource Panel report ‘Global Resources Outlook 2019’</w:t>
        </w:r>
        <w:r>
          <w:rPr>
            <w:rStyle w:val="Hyperlink"/>
          </w:rPr>
          <w:t xml:space="preserve">(Raportul Comitetului internațional pentru gestionarea durabilă a resurselor, „Global Resources Outlook </w:t>
        </w:r>
        <w:r w:rsidRPr="00500188">
          <w:rPr>
            <w:rStyle w:val="Hyperlink"/>
          </w:rPr>
          <w:t>2019</w:t>
        </w:r>
        <w:r>
          <w:rPr>
            <w:rStyle w:val="Hyperlink"/>
          </w:rPr>
          <w:t>”)</w:t>
        </w:r>
      </w:hyperlink>
      <w:r>
        <w:rPr>
          <w:rStyle w:val="Hyperlink"/>
        </w:rPr>
        <w:t>.</w:t>
      </w:r>
    </w:p>
  </w:footnote>
  <w:footnote w:id="5">
    <w:p w14:paraId="4FA78872" w14:textId="77777777" w:rsidR="00500188" w:rsidRPr="00271DD4" w:rsidRDefault="00500188" w:rsidP="005D06AC">
      <w:pPr>
        <w:pStyle w:val="FootnoteText"/>
      </w:pPr>
      <w:r>
        <w:rPr>
          <w:rStyle w:val="FootnoteReference"/>
        </w:rPr>
        <w:footnoteRef/>
      </w:r>
      <w:r>
        <w:t xml:space="preserve"> Circularitatea măsoară ponderea materialelor secundare în totalul materiilor prime utilizate în economie.</w:t>
      </w:r>
    </w:p>
  </w:footnote>
  <w:footnote w:id="6">
    <w:p w14:paraId="692A5A3F" w14:textId="77777777" w:rsidR="00500188" w:rsidRPr="00E57FD5" w:rsidRDefault="00500188" w:rsidP="005D06AC">
      <w:pPr>
        <w:pStyle w:val="FootnoteText"/>
      </w:pPr>
      <w:r>
        <w:rPr>
          <w:rStyle w:val="FootnoteReference"/>
        </w:rPr>
        <w:footnoteRef/>
      </w:r>
      <w:r>
        <w:t xml:space="preserve"> </w:t>
      </w:r>
      <w:hyperlink r:id="rId4" w:history="1">
        <w:r w:rsidRPr="00D77CE4">
          <w:rPr>
            <w:rStyle w:val="Hyperlink"/>
            <w:i/>
          </w:rPr>
          <w:t>Circularity Gap Report 2023</w:t>
        </w:r>
        <w:r>
          <w:rPr>
            <w:rStyle w:val="Hyperlink"/>
          </w:rPr>
          <w:t xml:space="preserve"> (Raportul privind decalajul în materie de circularitate din </w:t>
        </w:r>
        <w:r w:rsidRPr="00500188">
          <w:rPr>
            <w:rStyle w:val="Hyperlink"/>
          </w:rPr>
          <w:t>2023</w:t>
        </w:r>
        <w:r>
          <w:rPr>
            <w:rStyle w:val="Hyperlink"/>
          </w:rPr>
          <w:t>)</w:t>
        </w:r>
      </w:hyperlink>
      <w:r>
        <w:t>.</w:t>
      </w:r>
    </w:p>
  </w:footnote>
  <w:footnote w:id="7">
    <w:p w14:paraId="7129E5C2" w14:textId="58CC14EF" w:rsidR="00500188" w:rsidRPr="005A00B6" w:rsidRDefault="00500188" w:rsidP="007527C5">
      <w:pPr>
        <w:pStyle w:val="FootnoteText"/>
      </w:pPr>
      <w:r>
        <w:rPr>
          <w:rStyle w:val="FootnoteReference"/>
        </w:rPr>
        <w:footnoteRef/>
      </w:r>
      <w:r>
        <w:t xml:space="preserve"> Eurostat, </w:t>
      </w:r>
      <w:hyperlink r:id="rId5" w:history="1">
        <w:r w:rsidRPr="00D77CE4">
          <w:rPr>
            <w:rStyle w:val="Hyperlink"/>
            <w:i/>
          </w:rPr>
          <w:t>Material Flow Accounts</w:t>
        </w:r>
      </w:hyperlink>
      <w:r>
        <w:t xml:space="preserve">, (Conturile fluxurilor de materiale), </w:t>
      </w:r>
      <w:hyperlink r:id="rId6" w:anchor="Physical_trade_by_stage_of_manufacturing" w:history="1">
        <w:r>
          <w:rPr>
            <w:rStyle w:val="Hyperlink"/>
          </w:rPr>
          <w:t xml:space="preserve">articolul </w:t>
        </w:r>
        <w:r w:rsidRPr="00D77CE4">
          <w:rPr>
            <w:rStyle w:val="Hyperlink"/>
            <w:i/>
          </w:rPr>
          <w:t>Statistics Explained</w:t>
        </w:r>
        <w:r>
          <w:rPr>
            <w:rStyle w:val="Hyperlink"/>
          </w:rPr>
          <w:t xml:space="preserve"> („Statistici explicate”)</w:t>
        </w:r>
      </w:hyperlink>
      <w:r>
        <w:rPr>
          <w:rStyle w:val="Hyperlink"/>
        </w:rPr>
        <w:t>.</w:t>
      </w:r>
    </w:p>
  </w:footnote>
  <w:footnote w:id="8">
    <w:p w14:paraId="6F604121" w14:textId="4983277B" w:rsidR="00500188" w:rsidRPr="005A00B6" w:rsidRDefault="00500188" w:rsidP="007527C5">
      <w:pPr>
        <w:pStyle w:val="FootnoteText"/>
      </w:pPr>
      <w:r>
        <w:rPr>
          <w:rStyle w:val="FootnoteReference"/>
        </w:rPr>
        <w:footnoteRef/>
      </w:r>
      <w:r>
        <w:t xml:space="preserve"> Eurostat, </w:t>
      </w:r>
      <w:hyperlink r:id="rId7" w:history="1">
        <w:r>
          <w:rPr>
            <w:rStyle w:val="Hyperlink"/>
          </w:rPr>
          <w:t xml:space="preserve">articolul </w:t>
        </w:r>
        <w:r w:rsidRPr="00D77CE4">
          <w:rPr>
            <w:rStyle w:val="Hyperlink"/>
            <w:i/>
          </w:rPr>
          <w:t>Statistics Explained</w:t>
        </w:r>
        <w:r>
          <w:rPr>
            <w:rStyle w:val="Hyperlink"/>
          </w:rPr>
          <w:t xml:space="preserve"> („Statistici explicate”)</w:t>
        </w:r>
      </w:hyperlink>
      <w:r>
        <w:rPr>
          <w:rStyle w:val="Hyperlink"/>
        </w:rPr>
        <w:t>.</w:t>
      </w:r>
      <w:r>
        <w:t xml:space="preserve"> </w:t>
      </w:r>
    </w:p>
  </w:footnote>
  <w:footnote w:id="9">
    <w:p w14:paraId="11C3DACB" w14:textId="3E7FACF2" w:rsidR="00500188" w:rsidRPr="00FE26A8" w:rsidRDefault="00500188">
      <w:pPr>
        <w:pStyle w:val="FootnoteText"/>
        <w:rPr>
          <w:rFonts w:cs="Times New Roman"/>
        </w:rPr>
      </w:pPr>
      <w:r>
        <w:rPr>
          <w:rStyle w:val="FootnoteReference"/>
        </w:rPr>
        <w:footnoteRef/>
      </w:r>
      <w:r>
        <w:t xml:space="preserve"> </w:t>
      </w:r>
      <w:hyperlink r:id="rId8" w:history="1">
        <w:r>
          <w:rPr>
            <w:rStyle w:val="Hyperlink"/>
          </w:rPr>
          <w:t>COM(</w:t>
        </w:r>
        <w:r w:rsidRPr="00500188">
          <w:rPr>
            <w:rStyle w:val="Hyperlink"/>
          </w:rPr>
          <w:t>2023</w:t>
        </w:r>
        <w:r>
          <w:rPr>
            <w:rStyle w:val="Hyperlink"/>
          </w:rPr>
          <w:t>) </w:t>
        </w:r>
        <w:r w:rsidRPr="00500188">
          <w:rPr>
            <w:rStyle w:val="Hyperlink"/>
          </w:rPr>
          <w:t>165</w:t>
        </w:r>
        <w:r>
          <w:rPr>
            <w:rStyle w:val="Hyperlink"/>
          </w:rPr>
          <w:t xml:space="preserve"> final.</w:t>
        </w:r>
      </w:hyperlink>
    </w:p>
  </w:footnote>
  <w:footnote w:id="10">
    <w:p w14:paraId="19B24BBE" w14:textId="668A850A" w:rsidR="00500188" w:rsidRPr="00A171E8" w:rsidRDefault="00500188">
      <w:pPr>
        <w:pStyle w:val="FootnoteText"/>
        <w:rPr>
          <w:rFonts w:cs="Times New Roman"/>
        </w:rPr>
      </w:pPr>
      <w:r>
        <w:rPr>
          <w:rStyle w:val="FootnoteReference"/>
        </w:rPr>
        <w:footnoteRef/>
      </w:r>
      <w:r>
        <w:t xml:space="preserve"> </w:t>
      </w:r>
      <w:hyperlink r:id="rId9" w:history="1">
        <w:r>
          <w:rPr>
            <w:rStyle w:val="Hyperlink"/>
          </w:rPr>
          <w:t>COM(</w:t>
        </w:r>
        <w:r w:rsidRPr="00500188">
          <w:rPr>
            <w:rStyle w:val="Hyperlink"/>
          </w:rPr>
          <w:t>2023</w:t>
        </w:r>
        <w:r>
          <w:rPr>
            <w:rStyle w:val="Hyperlink"/>
          </w:rPr>
          <w:t>) </w:t>
        </w:r>
        <w:r w:rsidRPr="00500188">
          <w:rPr>
            <w:rStyle w:val="Hyperlink"/>
          </w:rPr>
          <w:t>160</w:t>
        </w:r>
        <w:r>
          <w:rPr>
            <w:rStyle w:val="Hyperlink"/>
          </w:rPr>
          <w:t xml:space="preserve"> final.</w:t>
        </w:r>
      </w:hyperlink>
    </w:p>
  </w:footnote>
  <w:footnote w:id="11">
    <w:p w14:paraId="19DBF628" w14:textId="2BFDA401" w:rsidR="00500188" w:rsidRPr="006C677A" w:rsidRDefault="00500188" w:rsidP="007527C5">
      <w:pPr>
        <w:pStyle w:val="FootnoteText"/>
      </w:pPr>
      <w:r>
        <w:rPr>
          <w:rStyle w:val="FootnoteReference"/>
        </w:rPr>
        <w:footnoteRef/>
      </w:r>
      <w:r>
        <w:t xml:space="preserve"> </w:t>
      </w:r>
      <w:hyperlink r:id="rId10" w:history="1">
        <w:r>
          <w:rPr>
            <w:rStyle w:val="Hyperlink"/>
          </w:rPr>
          <w:t>Bilanțuri aprofundate ale domeniilor strategice de interes european |</w:t>
        </w:r>
      </w:hyperlink>
      <w:hyperlink r:id="rId11" w:history="1">
        <w:r>
          <w:rPr>
            <w:rStyle w:val="Hyperlink"/>
          </w:rPr>
          <w:t xml:space="preserve"> Comisia Europeană (europa.eu)</w:t>
        </w:r>
      </w:hyperlink>
      <w:r>
        <w:rPr>
          <w:rStyle w:val="Hyperlink"/>
        </w:rPr>
        <w:t>.</w:t>
      </w:r>
    </w:p>
  </w:footnote>
  <w:footnote w:id="12">
    <w:p w14:paraId="32174B79" w14:textId="1031A1E9" w:rsidR="00500188" w:rsidRPr="00BA267F" w:rsidRDefault="00500188" w:rsidP="00F27669">
      <w:pPr>
        <w:pStyle w:val="FootnoteText"/>
      </w:pPr>
      <w:r>
        <w:rPr>
          <w:rStyle w:val="FootnoteReference"/>
        </w:rPr>
        <w:footnoteRef/>
      </w:r>
      <w:r>
        <w:t xml:space="preserve"> </w:t>
      </w:r>
      <w:hyperlink r:id="rId12" w:history="1">
        <w:r>
          <w:rPr>
            <w:rStyle w:val="Hyperlink"/>
          </w:rPr>
          <w:t>COM(</w:t>
        </w:r>
        <w:r w:rsidRPr="00500188">
          <w:rPr>
            <w:rStyle w:val="Hyperlink"/>
          </w:rPr>
          <w:t>2023</w:t>
        </w:r>
        <w:r>
          <w:rPr>
            <w:rStyle w:val="Hyperlink"/>
          </w:rPr>
          <w:t xml:space="preserve">) </w:t>
        </w:r>
        <w:r w:rsidRPr="00500188">
          <w:rPr>
            <w:rStyle w:val="Hyperlink"/>
          </w:rPr>
          <w:t>168</w:t>
        </w:r>
        <w:r>
          <w:rPr>
            <w:rStyle w:val="Hyperlink"/>
          </w:rPr>
          <w:t xml:space="preserve"> final</w:t>
        </w:r>
      </w:hyperlink>
      <w:r>
        <w:t>.</w:t>
      </w:r>
    </w:p>
  </w:footnote>
  <w:footnote w:id="13">
    <w:p w14:paraId="15849B1E" w14:textId="4D412B31" w:rsidR="00500188" w:rsidRPr="006C677A" w:rsidRDefault="00500188" w:rsidP="00942A7A">
      <w:pPr>
        <w:pStyle w:val="FootnoteText"/>
      </w:pPr>
      <w:r>
        <w:rPr>
          <w:rStyle w:val="FootnoteReference"/>
        </w:rPr>
        <w:footnoteRef/>
      </w:r>
      <w:r>
        <w:t xml:space="preserve"> </w:t>
      </w:r>
      <w:hyperlink r:id="rId13" w:history="1">
        <w:r>
          <w:rPr>
            <w:rStyle w:val="Hyperlink"/>
          </w:rPr>
          <w:t>https://commission.europa.eu/strategy-and-policy/international-strategies/sustainable-development-goals_ro</w:t>
        </w:r>
      </w:hyperlink>
      <w:r>
        <w:t xml:space="preserve"> </w:t>
      </w:r>
    </w:p>
  </w:footnote>
  <w:footnote w:id="14">
    <w:p w14:paraId="3AA4A0C6" w14:textId="6F60C291" w:rsidR="00500188" w:rsidRPr="006C677A" w:rsidRDefault="00500188" w:rsidP="001A2B5D">
      <w:pPr>
        <w:pStyle w:val="FootnoteText"/>
        <w:jc w:val="both"/>
        <w:rPr>
          <w:rFonts w:cs="Times New Roman"/>
        </w:rPr>
      </w:pPr>
      <w:r>
        <w:rPr>
          <w:rStyle w:val="FootnoteReference"/>
          <w:rFonts w:cs="Times New Roman"/>
        </w:rPr>
        <w:footnoteRef/>
      </w:r>
      <w:r>
        <w:t xml:space="preserve"> </w:t>
      </w:r>
      <w:hyperlink r:id="rId14" w:history="1">
        <w:r>
          <w:rPr>
            <w:rStyle w:val="Hyperlink"/>
          </w:rPr>
          <w:t>COM(</w:t>
        </w:r>
        <w:r w:rsidRPr="00500188">
          <w:rPr>
            <w:rStyle w:val="Hyperlink"/>
          </w:rPr>
          <w:t>2018</w:t>
        </w:r>
        <w:r>
          <w:rPr>
            <w:rStyle w:val="Hyperlink"/>
          </w:rPr>
          <w:t xml:space="preserve">) </w:t>
        </w:r>
        <w:r w:rsidRPr="00500188">
          <w:rPr>
            <w:rStyle w:val="Hyperlink"/>
          </w:rPr>
          <w:t>29</w:t>
        </w:r>
        <w:r>
          <w:rPr>
            <w:rStyle w:val="Hyperlink"/>
          </w:rPr>
          <w:t xml:space="preserve"> final</w:t>
        </w:r>
      </w:hyperlink>
      <w:r>
        <w:t xml:space="preserve"> și </w:t>
      </w:r>
      <w:hyperlink r:id="rId15" w:history="1">
        <w:r>
          <w:rPr>
            <w:rStyle w:val="Hyperlink"/>
          </w:rPr>
          <w:t>SWD(</w:t>
        </w:r>
        <w:r w:rsidRPr="00500188">
          <w:rPr>
            <w:rStyle w:val="Hyperlink"/>
          </w:rPr>
          <w:t>2018</w:t>
        </w:r>
        <w:r>
          <w:rPr>
            <w:rStyle w:val="Hyperlink"/>
          </w:rPr>
          <w:t xml:space="preserve">) </w:t>
        </w:r>
        <w:r w:rsidRPr="00500188">
          <w:rPr>
            <w:rStyle w:val="Hyperlink"/>
          </w:rPr>
          <w:t>17</w:t>
        </w:r>
      </w:hyperlink>
      <w:r>
        <w:t>.</w:t>
      </w:r>
    </w:p>
  </w:footnote>
  <w:footnote w:id="15">
    <w:p w14:paraId="5CBEF5D2" w14:textId="595F05A7" w:rsidR="00500188" w:rsidRPr="006C677A" w:rsidRDefault="00500188">
      <w:pPr>
        <w:pStyle w:val="FootnoteText"/>
      </w:pPr>
      <w:r>
        <w:rPr>
          <w:rStyle w:val="FootnoteReference"/>
        </w:rPr>
        <w:footnoteRef/>
      </w:r>
      <w:r>
        <w:t xml:space="preserve"> </w:t>
      </w:r>
      <w:hyperlink r:id="rId16" w:history="1">
        <w:r>
          <w:rPr>
            <w:rStyle w:val="Hyperlink"/>
          </w:rPr>
          <w:t>COM(</w:t>
        </w:r>
        <w:r w:rsidRPr="00500188">
          <w:rPr>
            <w:rStyle w:val="Hyperlink"/>
          </w:rPr>
          <w:t>2020</w:t>
        </w:r>
        <w:r>
          <w:rPr>
            <w:rStyle w:val="Hyperlink"/>
          </w:rPr>
          <w:t xml:space="preserve">) </w:t>
        </w:r>
        <w:r w:rsidRPr="00500188">
          <w:rPr>
            <w:rStyle w:val="Hyperlink"/>
          </w:rPr>
          <w:t>98</w:t>
        </w:r>
        <w:r>
          <w:rPr>
            <w:rStyle w:val="Hyperlink"/>
          </w:rPr>
          <w:t xml:space="preserve"> final</w:t>
        </w:r>
      </w:hyperlink>
      <w:r>
        <w:rPr>
          <w:rStyle w:val="Hyperlink"/>
        </w:rPr>
        <w:t>.</w:t>
      </w:r>
    </w:p>
  </w:footnote>
  <w:footnote w:id="16">
    <w:p w14:paraId="2D8A41BC" w14:textId="16E67D71" w:rsidR="00500188" w:rsidRPr="001C1AF0" w:rsidRDefault="00500188" w:rsidP="00B95398">
      <w:pPr>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sz w:val="20"/>
          </w:rPr>
          <w:t xml:space="preserve">Modelarea și asigurarea autonomiei strategice deschise a UE până în </w:t>
        </w:r>
        <w:r w:rsidRPr="00500188">
          <w:rPr>
            <w:rStyle w:val="Hyperlink"/>
            <w:rFonts w:ascii="Times New Roman" w:hAnsi="Times New Roman"/>
            <w:sz w:val="20"/>
          </w:rPr>
          <w:t>2040</w:t>
        </w:r>
        <w:r>
          <w:rPr>
            <w:rStyle w:val="Hyperlink"/>
            <w:rFonts w:ascii="Times New Roman" w:hAnsi="Times New Roman"/>
            <w:sz w:val="20"/>
          </w:rPr>
          <w:t xml:space="preserve"> și ulterior</w:t>
        </w:r>
      </w:hyperlink>
      <w:r>
        <w:rPr>
          <w:rStyle w:val="Hyperlink"/>
          <w:rFonts w:ascii="Times New Roman" w:hAnsi="Times New Roman"/>
          <w:sz w:val="20"/>
        </w:rPr>
        <w:t>.</w:t>
      </w:r>
    </w:p>
  </w:footnote>
  <w:footnote w:id="17">
    <w:p w14:paraId="2C089ECB" w14:textId="6C45E390" w:rsidR="00500188" w:rsidRPr="002D461D" w:rsidRDefault="00500188" w:rsidP="00B95398">
      <w:pPr>
        <w:pStyle w:val="FootnoteText"/>
      </w:pPr>
      <w:r>
        <w:rPr>
          <w:rStyle w:val="FootnoteReference"/>
        </w:rPr>
        <w:footnoteRef/>
      </w:r>
      <w:r>
        <w:t xml:space="preserve"> Pentru detalii suplimentare, a se vedea SWD (</w:t>
      </w:r>
      <w:r w:rsidRPr="00500188">
        <w:t>2023</w:t>
      </w:r>
      <w:r>
        <w:t>)</w:t>
      </w:r>
      <w:r w:rsidRPr="00500188">
        <w:t>306</w:t>
      </w:r>
      <w:r>
        <w:t>.</w:t>
      </w:r>
    </w:p>
  </w:footnote>
  <w:footnote w:id="18">
    <w:p w14:paraId="074272C7" w14:textId="77777777" w:rsidR="00500188" w:rsidRDefault="00500188" w:rsidP="00FF2F9A">
      <w:pPr>
        <w:pStyle w:val="FootnoteText"/>
      </w:pPr>
      <w:r>
        <w:rPr>
          <w:rStyle w:val="FootnoteReference"/>
        </w:rPr>
        <w:footnoteRef/>
      </w:r>
      <w:r>
        <w:t xml:space="preserve"> </w:t>
      </w:r>
      <w:hyperlink r:id="rId18" w:history="1">
        <w:r>
          <w:rPr>
            <w:rStyle w:val="Hyperlink"/>
          </w:rPr>
          <w:t>https://ec.europa.eu/info/law/better-regulation/have-your-say/initiatives/</w:t>
        </w:r>
        <w:r w:rsidRPr="00500188">
          <w:rPr>
            <w:rStyle w:val="Hyperlink"/>
          </w:rPr>
          <w:t>13465</w:t>
        </w:r>
        <w:r>
          <w:rPr>
            <w:rStyle w:val="Hyperlink"/>
          </w:rPr>
          <w:t>-Circular-economy-monitoring-framework-revision-/feedback_ro?p_id=</w:t>
        </w:r>
        <w:r w:rsidRPr="00500188">
          <w:rPr>
            <w:rStyle w:val="Hyperlink"/>
          </w:rPr>
          <w:t>30764770</w:t>
        </w:r>
      </w:hyperlink>
      <w:r>
        <w:t>.</w:t>
      </w:r>
    </w:p>
  </w:footnote>
  <w:footnote w:id="19">
    <w:p w14:paraId="1A59971A" w14:textId="77777777" w:rsidR="00500188" w:rsidRPr="004704B2" w:rsidRDefault="00500188" w:rsidP="00FF2F9A">
      <w:pPr>
        <w:pStyle w:val="FootnoteText"/>
      </w:pPr>
      <w:r>
        <w:rPr>
          <w:rStyle w:val="FootnoteReference"/>
        </w:rPr>
        <w:footnoteRef/>
      </w:r>
      <w:r>
        <w:t xml:space="preserve"> În special,</w:t>
      </w:r>
      <w:hyperlink r:id="rId19" w:history="1">
        <w:r w:rsidRPr="00D77CE4">
          <w:rPr>
            <w:rStyle w:val="Hyperlink"/>
            <w:i/>
            <w:iCs/>
          </w:rPr>
          <w:t xml:space="preserve"> Planetary pressures adjusted- Human Development Index</w:t>
        </w:r>
        <w:r>
          <w:rPr>
            <w:rStyle w:val="Hyperlink"/>
          </w:rPr>
          <w:t xml:space="preserve"> (Presiunile planetare ajustate – Indicele dezvoltării umane)</w:t>
        </w:r>
      </w:hyperlink>
      <w:r>
        <w:t xml:space="preserve"> din PNUD, rapoartele IRP din </w:t>
      </w:r>
      <w:r w:rsidRPr="00500188">
        <w:t>2020</w:t>
      </w:r>
      <w:r>
        <w:t xml:space="preserve"> și </w:t>
      </w:r>
      <w:r w:rsidRPr="00500188">
        <w:t>2021</w:t>
      </w:r>
      <w:r>
        <w:t xml:space="preserve"> și </w:t>
      </w:r>
      <w:hyperlink r:id="rId20" w:history="1">
        <w:r>
          <w:rPr>
            <w:rStyle w:val="Hyperlink"/>
          </w:rPr>
          <w:t>rapoartele privind decalajul în materie de circularitate</w:t>
        </w:r>
      </w:hyperlink>
      <w:r>
        <w:rPr>
          <w:rStyle w:val="Hyperlink"/>
        </w:rPr>
        <w:t>.</w:t>
      </w:r>
    </w:p>
  </w:footnote>
  <w:footnote w:id="20">
    <w:p w14:paraId="7A06775D" w14:textId="77777777" w:rsidR="00500188" w:rsidRPr="004704B2" w:rsidRDefault="00500188" w:rsidP="00FF2F9A">
      <w:pPr>
        <w:pStyle w:val="FootnoteText"/>
      </w:pPr>
      <w:r>
        <w:rPr>
          <w:rStyle w:val="FootnoteReference"/>
        </w:rPr>
        <w:footnoteRef/>
      </w:r>
      <w:r>
        <w:t xml:space="preserve"> În special, </w:t>
      </w:r>
      <w:hyperlink r:id="rId21" w:history="1">
        <w:r w:rsidRPr="00D77CE4">
          <w:rPr>
            <w:rStyle w:val="Hyperlink"/>
            <w:i/>
          </w:rPr>
          <w:t>Bellagio principles on monitoring the circular economy</w:t>
        </w:r>
        <w:r>
          <w:rPr>
            <w:rStyle w:val="Hyperlink"/>
          </w:rPr>
          <w:t xml:space="preserve"> (Principiile Bellagio privind monitorizarea economiei circulare)</w:t>
        </w:r>
      </w:hyperlink>
      <w:r>
        <w:rPr>
          <w:rStyle w:val="Hyperlink"/>
        </w:rPr>
        <w:t>.</w:t>
      </w:r>
    </w:p>
  </w:footnote>
  <w:footnote w:id="21">
    <w:p w14:paraId="0D32A1A9" w14:textId="5037F509" w:rsidR="00500188" w:rsidRDefault="00500188">
      <w:pPr>
        <w:pStyle w:val="FootnoteText"/>
      </w:pPr>
      <w:r>
        <w:rPr>
          <w:rStyle w:val="FootnoteReference"/>
        </w:rPr>
        <w:footnoteRef/>
      </w:r>
      <w:r>
        <w:t xml:space="preserve"> Pentru detalii suplimentare, a se vedea SWD (</w:t>
      </w:r>
      <w:r w:rsidRPr="00500188">
        <w:t>2023</w:t>
      </w:r>
      <w:r>
        <w:t>)</w:t>
      </w:r>
      <w:r w:rsidRPr="00500188">
        <w:t>306</w:t>
      </w:r>
      <w:r>
        <w:t>.</w:t>
      </w:r>
    </w:p>
  </w:footnote>
  <w:footnote w:id="22">
    <w:p w14:paraId="54999B93" w14:textId="61D90035" w:rsidR="00500188" w:rsidRPr="00E3328C" w:rsidRDefault="00500188" w:rsidP="00BC53C8">
      <w:pPr>
        <w:pStyle w:val="FootnoteText"/>
      </w:pPr>
      <w:r>
        <w:rPr>
          <w:rStyle w:val="FootnoteReference"/>
        </w:rPr>
        <w:footnoteRef/>
      </w:r>
      <w:r>
        <w:t xml:space="preserve"> </w:t>
      </w:r>
      <w:hyperlink r:id="rId22" w:history="1">
        <w:r>
          <w:rPr>
            <w:rStyle w:val="Hyperlink"/>
          </w:rPr>
          <w:t>COM(</w:t>
        </w:r>
        <w:r w:rsidRPr="00500188">
          <w:rPr>
            <w:rStyle w:val="Hyperlink"/>
          </w:rPr>
          <w:t>2022</w:t>
        </w:r>
        <w:r>
          <w:rPr>
            <w:rStyle w:val="Hyperlink"/>
          </w:rPr>
          <w:t xml:space="preserve">) </w:t>
        </w:r>
        <w:r w:rsidRPr="00500188">
          <w:rPr>
            <w:rStyle w:val="Hyperlink"/>
          </w:rPr>
          <w:t>357</w:t>
        </w:r>
        <w:r>
          <w:rPr>
            <w:rStyle w:val="Hyperlink"/>
          </w:rPr>
          <w:t xml:space="preserve"> final</w:t>
        </w:r>
      </w:hyperlink>
      <w:r>
        <w:rPr>
          <w:rStyle w:val="Hyperlink"/>
        </w:rPr>
        <w:t>.</w:t>
      </w:r>
    </w:p>
  </w:footnote>
  <w:footnote w:id="23">
    <w:p w14:paraId="23F24273" w14:textId="697C8533" w:rsidR="00500188" w:rsidRPr="00E3328C" w:rsidRDefault="00500188" w:rsidP="00BC53C8">
      <w:pPr>
        <w:pStyle w:val="FootnoteText"/>
      </w:pPr>
      <w:r>
        <w:rPr>
          <w:rStyle w:val="FootnoteReference"/>
        </w:rPr>
        <w:footnoteRef/>
      </w:r>
      <w:r>
        <w:t xml:space="preserve"> </w:t>
      </w:r>
      <w:hyperlink r:id="rId23" w:history="1">
        <w:r>
          <w:rPr>
            <w:rStyle w:val="Hyperlink"/>
          </w:rPr>
          <w:t>COM(</w:t>
        </w:r>
        <w:r w:rsidRPr="00500188">
          <w:rPr>
            <w:rStyle w:val="Hyperlink"/>
          </w:rPr>
          <w:t>2022</w:t>
        </w:r>
        <w:r>
          <w:rPr>
            <w:rStyle w:val="Hyperlink"/>
          </w:rPr>
          <w:t xml:space="preserve">) </w:t>
        </w:r>
        <w:r w:rsidRPr="00500188">
          <w:rPr>
            <w:rStyle w:val="Hyperlink"/>
          </w:rPr>
          <w:t>674</w:t>
        </w:r>
        <w:r>
          <w:rPr>
            <w:rStyle w:val="Hyperlink"/>
          </w:rPr>
          <w:t xml:space="preserve"> final</w:t>
        </w:r>
      </w:hyperlink>
      <w:r>
        <w:rPr>
          <w:rStyle w:val="Hyperlink"/>
        </w:rPr>
        <w:t>.</w:t>
      </w:r>
    </w:p>
  </w:footnote>
  <w:footnote w:id="24">
    <w:p w14:paraId="1FEC0CC5" w14:textId="77777777" w:rsidR="00500188" w:rsidRPr="00E3328C" w:rsidRDefault="00500188" w:rsidP="00BC53C8">
      <w:pPr>
        <w:pStyle w:val="FootnoteText"/>
      </w:pPr>
      <w:r>
        <w:rPr>
          <w:rStyle w:val="FootnoteReference"/>
        </w:rPr>
        <w:footnoteRef/>
      </w:r>
      <w:r>
        <w:t xml:space="preserve"> </w:t>
      </w:r>
      <w:hyperlink r:id="rId24" w:history="1">
        <w:r w:rsidRPr="00D77CE4">
          <w:rPr>
            <w:rStyle w:val="Hyperlink"/>
            <w:i/>
          </w:rPr>
          <w:t>EU SDG indicators and progress monitoring report</w:t>
        </w:r>
        <w:r>
          <w:rPr>
            <w:rStyle w:val="Hyperlink"/>
          </w:rPr>
          <w:t xml:space="preserve"> (Indicatorii UE privind ODD și raportul de monitorizare a progreselor înregistrate).</w:t>
        </w:r>
      </w:hyperlink>
    </w:p>
  </w:footnote>
  <w:footnote w:id="25">
    <w:p w14:paraId="3DB2B6FC" w14:textId="77777777" w:rsidR="00500188" w:rsidRPr="00952DC3" w:rsidRDefault="00500188" w:rsidP="00BC53C8">
      <w:pPr>
        <w:pStyle w:val="FootnoteText"/>
      </w:pPr>
      <w:r>
        <w:rPr>
          <w:rStyle w:val="FootnoteReference"/>
        </w:rPr>
        <w:footnoteRef/>
      </w:r>
      <w:r>
        <w:t xml:space="preserve"> </w:t>
      </w:r>
      <w:hyperlink r:id="rId25" w:history="1">
        <w:r>
          <w:rPr>
            <w:rStyle w:val="Hyperlink"/>
          </w:rPr>
          <w:t>Tabloul de bord al UE privind reziliența</w:t>
        </w:r>
      </w:hyperlink>
      <w:r>
        <w:t xml:space="preserve">. </w:t>
      </w:r>
    </w:p>
  </w:footnote>
  <w:footnote w:id="26">
    <w:p w14:paraId="0C22BE16" w14:textId="77777777" w:rsidR="00500188" w:rsidRPr="00063022" w:rsidRDefault="00500188" w:rsidP="00BC53C8">
      <w:pPr>
        <w:pStyle w:val="FootnoteText"/>
      </w:pPr>
      <w:r>
        <w:rPr>
          <w:rStyle w:val="FootnoteReference"/>
        </w:rPr>
        <w:footnoteRef/>
      </w:r>
      <w:r>
        <w:t xml:space="preserve"> Cunoscute și sub denumirea de „criteriile RACER” pentru indicatori.</w:t>
      </w:r>
    </w:p>
  </w:footnote>
  <w:footnote w:id="27">
    <w:p w14:paraId="59BA6841" w14:textId="7D718D3E" w:rsidR="00500188" w:rsidRPr="00952DC3" w:rsidRDefault="00500188" w:rsidP="00011D40">
      <w:pPr>
        <w:pStyle w:val="FootnoteText"/>
      </w:pPr>
      <w:r>
        <w:rPr>
          <w:rStyle w:val="FootnoteReference"/>
        </w:rPr>
        <w:footnoteRef/>
      </w:r>
      <w:r>
        <w:t xml:space="preserve"> </w:t>
      </w:r>
      <w:hyperlink r:id="rId26" w:history="1">
        <w:r>
          <w:rPr>
            <w:rStyle w:val="Hyperlink"/>
          </w:rPr>
          <w:t>https://ec.europa.eu/eurostat/web/circular-economy</w:t>
        </w:r>
      </w:hyperlink>
      <w:r>
        <w:t xml:space="preserve"> .</w:t>
      </w:r>
    </w:p>
  </w:footnote>
  <w:footnote w:id="28">
    <w:p w14:paraId="6C3E2DF8" w14:textId="711D1899" w:rsidR="00500188" w:rsidRDefault="00500188" w:rsidP="007527C5">
      <w:pPr>
        <w:pStyle w:val="FootnoteText"/>
      </w:pPr>
      <w:r>
        <w:rPr>
          <w:rStyle w:val="FootnoteReference"/>
        </w:rPr>
        <w:footnoteRef/>
      </w:r>
      <w:r>
        <w:t xml:space="preserve"> </w:t>
      </w:r>
      <w:hyperlink r:id="rId27" w:history="1">
        <w:r>
          <w:rPr>
            <w:rStyle w:val="Hyperlink"/>
          </w:rPr>
          <w:t>https://ec.europa.eu/food/safety/food_waste/eu_actions_ro</w:t>
        </w:r>
      </w:hyperlink>
      <w:r>
        <w:rPr>
          <w:rStyle w:val="Hyperlink"/>
        </w:rPr>
        <w:t>.</w:t>
      </w:r>
      <w:r>
        <w:t xml:space="preserve"> </w:t>
      </w:r>
    </w:p>
  </w:footnote>
  <w:footnote w:id="29">
    <w:p w14:paraId="48C3A97A" w14:textId="238E3A12" w:rsidR="00500188" w:rsidRPr="00276604" w:rsidRDefault="00500188">
      <w:pPr>
        <w:pStyle w:val="FootnoteText"/>
      </w:pPr>
      <w:r>
        <w:rPr>
          <w:rStyle w:val="FootnoteReference"/>
        </w:rPr>
        <w:footnoteRef/>
      </w:r>
      <w:r>
        <w:t xml:space="preserve"> </w:t>
      </w:r>
      <w:hyperlink r:id="rId28" w:history="1">
        <w:r>
          <w:rPr>
            <w:rStyle w:val="Hyperlink"/>
          </w:rPr>
          <w:t>SWD(</w:t>
        </w:r>
        <w:r w:rsidRPr="00500188">
          <w:rPr>
            <w:rStyle w:val="Hyperlink"/>
          </w:rPr>
          <w:t>2023</w:t>
        </w:r>
        <w:r>
          <w:rPr>
            <w:rStyle w:val="Hyperlink"/>
          </w:rPr>
          <w:t xml:space="preserve">) </w:t>
        </w:r>
        <w:r w:rsidRPr="00500188">
          <w:rPr>
            <w:rStyle w:val="Hyperlink"/>
          </w:rPr>
          <w:t>4</w:t>
        </w:r>
        <w:r>
          <w:rPr>
            <w:rStyle w:val="Hyperlink"/>
          </w:rPr>
          <w:t xml:space="preserve"> final</w:t>
        </w:r>
      </w:hyperlink>
      <w:r>
        <w:t>.</w:t>
      </w:r>
    </w:p>
  </w:footnote>
  <w:footnote w:id="30">
    <w:p w14:paraId="6244F2A3" w14:textId="22569457" w:rsidR="00500188" w:rsidRDefault="00500188" w:rsidP="007527C5">
      <w:pPr>
        <w:pStyle w:val="FootnoteText"/>
      </w:pPr>
      <w:r>
        <w:rPr>
          <w:rStyle w:val="FootnoteReference"/>
        </w:rPr>
        <w:footnoteRef/>
      </w:r>
      <w:r>
        <w:t xml:space="preserve"> </w:t>
      </w:r>
      <w:hyperlink r:id="rId29" w:history="1">
        <w:r>
          <w:rPr>
            <w:rStyle w:val="Hyperlink"/>
          </w:rPr>
          <w:t xml:space="preserve">Directiva (UE) </w:t>
        </w:r>
        <w:r w:rsidRPr="00500188">
          <w:rPr>
            <w:rStyle w:val="Hyperlink"/>
          </w:rPr>
          <w:t>2018</w:t>
        </w:r>
        <w:r>
          <w:rPr>
            <w:rStyle w:val="Hyperlink"/>
          </w:rPr>
          <w:t>/</w:t>
        </w:r>
        <w:r w:rsidRPr="00500188">
          <w:rPr>
            <w:rStyle w:val="Hyperlink"/>
          </w:rPr>
          <w:t>851</w:t>
        </w:r>
      </w:hyperlink>
      <w:r>
        <w:t>.</w:t>
      </w:r>
    </w:p>
  </w:footnote>
  <w:footnote w:id="31">
    <w:p w14:paraId="0A1D2FC9" w14:textId="352D464A" w:rsidR="00500188" w:rsidRDefault="00500188" w:rsidP="007527C5">
      <w:pPr>
        <w:pStyle w:val="FootnoteText"/>
      </w:pPr>
      <w:r>
        <w:rPr>
          <w:rStyle w:val="FootnoteReference"/>
        </w:rPr>
        <w:footnoteRef/>
      </w:r>
      <w:r>
        <w:t xml:space="preserve"> Cifrele statelor membre sunt mai comparabile, deoarece se bazează pe o metodă comună.</w:t>
      </w:r>
    </w:p>
  </w:footnote>
  <w:footnote w:id="32">
    <w:p w14:paraId="1CBED9F5" w14:textId="099B2067" w:rsidR="00500188" w:rsidRPr="00781DFA" w:rsidRDefault="00500188" w:rsidP="007527C5">
      <w:pPr>
        <w:pStyle w:val="FootnoteText"/>
      </w:pPr>
      <w:r>
        <w:rPr>
          <w:rStyle w:val="FootnoteReference"/>
        </w:rPr>
        <w:footnoteRef/>
      </w:r>
      <w:r>
        <w:t xml:space="preserve"> Pe baza evaluării listei de materii prime critice din </w:t>
      </w:r>
      <w:r w:rsidRPr="00500188">
        <w:t>2023</w:t>
      </w:r>
      <w:r>
        <w:t>.</w:t>
      </w:r>
    </w:p>
  </w:footnote>
  <w:footnote w:id="33">
    <w:p w14:paraId="358ACD6D" w14:textId="7FAB53D4" w:rsidR="00500188" w:rsidRPr="00966646" w:rsidRDefault="00500188" w:rsidP="007527C5">
      <w:pPr>
        <w:pStyle w:val="FootnoteText"/>
      </w:pPr>
      <w:r>
        <w:rPr>
          <w:rStyle w:val="FootnoteReference"/>
        </w:rPr>
        <w:footnoteRef/>
      </w:r>
      <w:r>
        <w:t xml:space="preserve"> </w:t>
      </w:r>
      <w:hyperlink r:id="rId30" w:history="1">
        <w:r>
          <w:rPr>
            <w:rStyle w:val="Hyperlink"/>
          </w:rPr>
          <w:t>https://eplca.jrc.ec.europa.eu/ConsumptionFootprintPlatform.html</w:t>
        </w:r>
      </w:hyperlink>
      <w:r>
        <w:t xml:space="preserve">. </w:t>
      </w:r>
      <w:hyperlink r:id="rId31" w:history="1">
        <w:r>
          <w:rPr>
            <w:rStyle w:val="Hyperlink"/>
          </w:rPr>
          <w:t>https://publications.jrc.ec.europa.eu/repository/handle/JRC</w:t>
        </w:r>
        <w:r w:rsidRPr="00500188">
          <w:rPr>
            <w:rStyle w:val="Hyperlink"/>
          </w:rPr>
          <w:t>128571</w:t>
        </w:r>
      </w:hyperlink>
      <w:r>
        <w:t xml:space="preserve"> </w:t>
      </w:r>
    </w:p>
  </w:footnote>
  <w:footnote w:id="34">
    <w:p w14:paraId="7B3E25C7" w14:textId="0050AABA" w:rsidR="00500188" w:rsidRPr="00C42962" w:rsidRDefault="00500188" w:rsidP="00B95398">
      <w:pPr>
        <w:pStyle w:val="FootnoteText"/>
      </w:pPr>
      <w:r>
        <w:rPr>
          <w:rStyle w:val="FootnoteReference"/>
        </w:rPr>
        <w:footnoteRef/>
      </w:r>
      <w:r>
        <w:rPr>
          <w:rStyle w:val="Hyperlink"/>
        </w:rPr>
        <w:t xml:space="preserve"> </w:t>
      </w:r>
      <w:hyperlink r:id="rId32" w:history="1">
        <w:r>
          <w:rPr>
            <w:rStyle w:val="Hyperlink"/>
          </w:rPr>
          <w:t>COM(</w:t>
        </w:r>
        <w:r w:rsidRPr="00500188">
          <w:rPr>
            <w:rStyle w:val="Hyperlink"/>
          </w:rPr>
          <w:t>2020</w:t>
        </w:r>
        <w:r>
          <w:rPr>
            <w:rStyle w:val="Hyperlink"/>
          </w:rPr>
          <w:t xml:space="preserve">) </w:t>
        </w:r>
        <w:r w:rsidRPr="00500188">
          <w:rPr>
            <w:rStyle w:val="Hyperlink"/>
          </w:rPr>
          <w:t>798</w:t>
        </w:r>
      </w:hyperlink>
      <w:r>
        <w:t xml:space="preserve"> </w:t>
      </w:r>
      <w:r>
        <w:rPr>
          <w:rStyle w:val="Hyperlink"/>
        </w:rPr>
        <w:t>final.</w:t>
      </w:r>
    </w:p>
  </w:footnote>
  <w:footnote w:id="35">
    <w:p w14:paraId="1A3C3616" w14:textId="7762348F" w:rsidR="00500188" w:rsidRPr="00DD709D" w:rsidRDefault="00500188" w:rsidP="00B95398">
      <w:pPr>
        <w:pStyle w:val="FootnoteText"/>
      </w:pPr>
      <w:r>
        <w:rPr>
          <w:rStyle w:val="FootnoteReference"/>
        </w:rPr>
        <w:footnoteRef/>
      </w:r>
      <w:r>
        <w:t xml:space="preserve"> </w:t>
      </w:r>
      <w:hyperlink r:id="rId33" w:history="1">
        <w:r>
          <w:rPr>
            <w:rStyle w:val="Hyperlink"/>
          </w:rPr>
          <w:t>COM(</w:t>
        </w:r>
        <w:r w:rsidRPr="00500188">
          <w:rPr>
            <w:rStyle w:val="Hyperlink"/>
          </w:rPr>
          <w:t>2022</w:t>
        </w:r>
        <w:r>
          <w:rPr>
            <w:rStyle w:val="Hyperlink"/>
          </w:rPr>
          <w:t xml:space="preserve">) </w:t>
        </w:r>
        <w:r w:rsidRPr="00500188">
          <w:rPr>
            <w:rStyle w:val="Hyperlink"/>
          </w:rPr>
          <w:t>142</w:t>
        </w:r>
        <w:r>
          <w:rPr>
            <w:rStyle w:val="Hyperlink"/>
          </w:rPr>
          <w:t xml:space="preserve"> final</w:t>
        </w:r>
      </w:hyperlink>
      <w:r>
        <w:t>.</w:t>
      </w:r>
    </w:p>
  </w:footnote>
  <w:footnote w:id="36">
    <w:p w14:paraId="12F3A7F6" w14:textId="66B48731" w:rsidR="00500188" w:rsidRPr="00271DD4" w:rsidRDefault="00500188" w:rsidP="00B95398">
      <w:pPr>
        <w:pStyle w:val="FootnoteText"/>
      </w:pPr>
      <w:r>
        <w:rPr>
          <w:rStyle w:val="FootnoteReference"/>
        </w:rPr>
        <w:footnoteRef/>
      </w:r>
      <w:r>
        <w:t xml:space="preserve"> </w:t>
      </w:r>
      <w:hyperlink r:id="rId34" w:history="1">
        <w:r>
          <w:rPr>
            <w:rStyle w:val="Hyperlink"/>
          </w:rPr>
          <w:t>COM(</w:t>
        </w:r>
        <w:r w:rsidRPr="00500188">
          <w:rPr>
            <w:rStyle w:val="Hyperlink"/>
          </w:rPr>
          <w:t>2022</w:t>
        </w:r>
        <w:r>
          <w:rPr>
            <w:rStyle w:val="Hyperlink"/>
          </w:rPr>
          <w:t xml:space="preserve">) </w:t>
        </w:r>
        <w:r w:rsidRPr="00500188">
          <w:rPr>
            <w:rStyle w:val="Hyperlink"/>
          </w:rPr>
          <w:t>677</w:t>
        </w:r>
        <w:r>
          <w:rPr>
            <w:rStyle w:val="Hyperlink"/>
          </w:rPr>
          <w:t xml:space="preserve"> final</w:t>
        </w:r>
      </w:hyperlink>
      <w:r>
        <w:t>.</w:t>
      </w:r>
    </w:p>
  </w:footnote>
  <w:footnote w:id="37">
    <w:p w14:paraId="287F4429" w14:textId="608B0F5F" w:rsidR="00500188" w:rsidRPr="00271DD4" w:rsidRDefault="00500188" w:rsidP="00B95398">
      <w:pPr>
        <w:pStyle w:val="FootnoteText"/>
      </w:pPr>
      <w:r>
        <w:rPr>
          <w:rStyle w:val="FootnoteReference"/>
        </w:rPr>
        <w:footnoteRef/>
      </w:r>
      <w:r>
        <w:t xml:space="preserve"> </w:t>
      </w:r>
      <w:hyperlink r:id="rId35" w:history="1">
        <w:r>
          <w:rPr>
            <w:rStyle w:val="Hyperlink"/>
          </w:rPr>
          <w:t>COM(</w:t>
        </w:r>
        <w:r w:rsidRPr="00500188">
          <w:rPr>
            <w:rStyle w:val="Hyperlink"/>
          </w:rPr>
          <w:t>2021</w:t>
        </w:r>
        <w:r>
          <w:rPr>
            <w:rStyle w:val="Hyperlink"/>
          </w:rPr>
          <w:t xml:space="preserve">) </w:t>
        </w:r>
        <w:r w:rsidRPr="00500188">
          <w:rPr>
            <w:rStyle w:val="Hyperlink"/>
          </w:rPr>
          <w:t>709</w:t>
        </w:r>
        <w:r>
          <w:rPr>
            <w:rStyle w:val="Hyperlink"/>
          </w:rPr>
          <w:t xml:space="preserve"> final</w:t>
        </w:r>
      </w:hyperlink>
      <w:r>
        <w:t xml:space="preserve">. </w:t>
      </w:r>
    </w:p>
  </w:footnote>
  <w:footnote w:id="38">
    <w:p w14:paraId="3566B0C9" w14:textId="2DAD5EB7" w:rsidR="00500188" w:rsidRPr="00A71E8E" w:rsidRDefault="00500188" w:rsidP="00A71E8E">
      <w:pPr>
        <w:autoSpaceDE w:val="0"/>
        <w:autoSpaceDN w:val="0"/>
        <w:spacing w:after="0" w:line="240" w:lineRule="auto"/>
      </w:pPr>
      <w:r>
        <w:rPr>
          <w:rStyle w:val="FootnoteReference"/>
          <w:rFonts w:ascii="Times New Roman" w:hAnsi="Times New Roman" w:cs="Times New Roman"/>
        </w:rPr>
        <w:footnoteRef/>
      </w:r>
      <w:r>
        <w:t xml:space="preserve"> </w:t>
      </w:r>
      <w:hyperlink r:id="rId36" w:history="1">
        <w:r>
          <w:rPr>
            <w:rStyle w:val="Hyperlink"/>
            <w:rFonts w:ascii="Times New Roman" w:hAnsi="Times New Roman"/>
            <w:sz w:val="20"/>
          </w:rPr>
          <w:t>COM(</w:t>
        </w:r>
        <w:r w:rsidRPr="00500188">
          <w:rPr>
            <w:rStyle w:val="Hyperlink"/>
            <w:rFonts w:ascii="Times New Roman" w:hAnsi="Times New Roman"/>
            <w:sz w:val="20"/>
          </w:rPr>
          <w:t>2023</w:t>
        </w:r>
        <w:r>
          <w:rPr>
            <w:rStyle w:val="Hyperlink"/>
            <w:rFonts w:ascii="Times New Roman" w:hAnsi="Times New Roman"/>
            <w:sz w:val="20"/>
          </w:rPr>
          <w:t>)</w:t>
        </w:r>
        <w:r w:rsidRPr="00500188">
          <w:rPr>
            <w:rStyle w:val="Hyperlink"/>
            <w:rFonts w:ascii="Times New Roman" w:hAnsi="Times New Roman"/>
            <w:sz w:val="20"/>
          </w:rPr>
          <w:t>160</w:t>
        </w:r>
        <w:r>
          <w:rPr>
            <w:rStyle w:val="Hyperlink"/>
            <w:rFonts w:ascii="Times New Roman" w:hAnsi="Times New Roman"/>
            <w:sz w:val="20"/>
          </w:rPr>
          <w:t xml:space="preserve"> final</w:t>
        </w:r>
      </w:hyperlink>
      <w:r>
        <w:rPr>
          <w:rFonts w:ascii="Times New Roman" w:hAnsi="Times New Roman"/>
          <w:sz w:val="20"/>
        </w:rPr>
        <w:t xml:space="preserve">. </w:t>
      </w:r>
    </w:p>
  </w:footnote>
  <w:footnote w:id="39">
    <w:p w14:paraId="112ECF53" w14:textId="45CBE9C9" w:rsidR="00500188" w:rsidRDefault="00500188">
      <w:pPr>
        <w:pStyle w:val="FootnoteText"/>
      </w:pPr>
      <w:r>
        <w:rPr>
          <w:rStyle w:val="FootnoteReference"/>
        </w:rPr>
        <w:footnoteRef/>
      </w:r>
      <w:r>
        <w:t xml:space="preserve"> </w:t>
      </w:r>
      <w:hyperlink r:id="rId37" w:history="1">
        <w:r>
          <w:rPr>
            <w:rStyle w:val="Hyperlink"/>
          </w:rPr>
          <w:t xml:space="preserve">Directiva (UE) </w:t>
        </w:r>
        <w:r w:rsidRPr="00500188">
          <w:rPr>
            <w:rStyle w:val="Hyperlink"/>
          </w:rPr>
          <w:t>2018</w:t>
        </w:r>
        <w:r>
          <w:rPr>
            <w:rStyle w:val="Hyperlink"/>
          </w:rPr>
          <w:t>/</w:t>
        </w:r>
        <w:r w:rsidRPr="00500188">
          <w:rPr>
            <w:rStyle w:val="Hyperlink"/>
          </w:rPr>
          <w:t>851</w:t>
        </w:r>
      </w:hyperlink>
      <w:r>
        <w:rPr>
          <w:rStyle w:val="Hyperlink"/>
        </w:rPr>
        <w:t>.</w:t>
      </w:r>
    </w:p>
  </w:footnote>
  <w:footnote w:id="40">
    <w:p w14:paraId="71339A90" w14:textId="4B971BB6" w:rsidR="00500188" w:rsidRDefault="00500188">
      <w:pPr>
        <w:pStyle w:val="FootnoteText"/>
      </w:pPr>
      <w:r>
        <w:rPr>
          <w:rStyle w:val="FootnoteReference"/>
        </w:rPr>
        <w:footnoteRef/>
      </w:r>
      <w:r>
        <w:t xml:space="preserve"> </w:t>
      </w:r>
      <w:hyperlink r:id="rId38" w:history="1">
        <w:r>
          <w:rPr>
            <w:rStyle w:val="Hyperlink"/>
          </w:rPr>
          <w:t>https://environment.ec.europa.eu/topics/waste-and-recycling/implementation-waste-framework-directive_ro</w:t>
        </w:r>
      </w:hyperlink>
      <w:r>
        <w:t xml:space="preserve"> </w:t>
      </w:r>
    </w:p>
  </w:footnote>
  <w:footnote w:id="41">
    <w:p w14:paraId="69081F71" w14:textId="572D0730" w:rsidR="00500188" w:rsidRPr="00A82C79" w:rsidRDefault="00500188" w:rsidP="00BC4A06">
      <w:pPr>
        <w:pStyle w:val="FootnoteText"/>
      </w:pPr>
      <w:r>
        <w:rPr>
          <w:rStyle w:val="FootnoteReference"/>
        </w:rPr>
        <w:footnoteRef/>
      </w:r>
      <w:r>
        <w:t xml:space="preserve"> </w:t>
      </w:r>
      <w:hyperlink r:id="rId39" w:history="1">
        <w:r>
          <w:rPr>
            <w:rStyle w:val="Hyperlink"/>
          </w:rPr>
          <w:t xml:space="preserve">Comunicat de presă privind Conferința părților interesate din economia circulară </w:t>
        </w:r>
        <w:r w:rsidRPr="00500188">
          <w:rPr>
            <w:rStyle w:val="Hyperlink"/>
          </w:rPr>
          <w:t>2023</w:t>
        </w:r>
      </w:hyperlink>
      <w:r>
        <w:t>.</w:t>
      </w:r>
    </w:p>
  </w:footnote>
  <w:footnote w:id="42">
    <w:p w14:paraId="77AB2417" w14:textId="6CDCA1F6" w:rsidR="00500188" w:rsidRDefault="00500188" w:rsidP="00BC4A06">
      <w:pPr>
        <w:pStyle w:val="FootnoteText"/>
      </w:pPr>
      <w:r>
        <w:rPr>
          <w:rStyle w:val="FootnoteReference"/>
        </w:rPr>
        <w:footnoteRef/>
      </w:r>
      <w:r>
        <w:t xml:space="preserve"> </w:t>
      </w:r>
      <w:hyperlink r:id="rId40" w:anchor="Prezentare generală" w:history="1">
        <w:r>
          <w:rPr>
            <w:rStyle w:val="Hyperlink"/>
          </w:rPr>
          <w:t>https://environment.ec.europa.eu/law-and-governance/environmental-implementation-review_ro#overview</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4C09D" w14:textId="77777777" w:rsidR="00E30837" w:rsidRPr="00E30837" w:rsidRDefault="00E30837" w:rsidP="00E30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A5E90" w14:textId="77777777" w:rsidR="00E30837" w:rsidRPr="00E30837" w:rsidRDefault="00E30837" w:rsidP="00E3083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3F9AE" w14:textId="77777777" w:rsidR="00E30837" w:rsidRPr="00E30837" w:rsidRDefault="00E30837" w:rsidP="00E3083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E05B5" w14:textId="77777777" w:rsidR="00500188" w:rsidRDefault="005001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A8C26" w14:textId="77777777" w:rsidR="00500188" w:rsidRDefault="005001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E683C" w14:textId="77777777" w:rsidR="00500188" w:rsidRDefault="00500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D5014"/>
    <w:multiLevelType w:val="hybridMultilevel"/>
    <w:tmpl w:val="CC5C9B54"/>
    <w:lvl w:ilvl="0" w:tplc="EA22D8A2">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4D4C0A"/>
    <w:multiLevelType w:val="hybridMultilevel"/>
    <w:tmpl w:val="BC30111C"/>
    <w:lvl w:ilvl="0" w:tplc="E730AEF8">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25472D"/>
    <w:multiLevelType w:val="hybridMultilevel"/>
    <w:tmpl w:val="874A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E61E46"/>
    <w:multiLevelType w:val="hybridMultilevel"/>
    <w:tmpl w:val="7FF429A8"/>
    <w:lvl w:ilvl="0" w:tplc="5D04DD9E">
      <w:start w:val="1"/>
      <w:numFmt w:val="decimal"/>
      <w:lvlText w:val="%1."/>
      <w:lvlJc w:val="left"/>
      <w:pPr>
        <w:ind w:left="428" w:hanging="360"/>
      </w:pPr>
      <w:rPr>
        <w:rFonts w:hint="default"/>
        <w:b/>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IE" w:vendorID="64" w:dllVersion="6" w:nlCheck="1" w:checkStyle="1"/>
  <w:activeWritingStyle w:appName="MSWord" w:lang="it-IT"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pt-PT" w:vendorID="64" w:dllVersion="0" w:nlCheck="1" w:checkStyle="0"/>
  <w:activeWritingStyle w:appName="MSWord" w:lang="es-ES" w:vendorID="64" w:dllVersion="6"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89F9E22-3E95-415E-AF29-BADB9037CC17"/>
    <w:docVar w:name="LW_COVERPAGE_TYPE" w:val="1"/>
    <w:docVar w:name="LW_CROSSREFERENCE" w:val="{SWD(2023) 306 final}"/>
    <w:docVar w:name="LW_DocType" w:val="NORMAL"/>
    <w:docVar w:name="LW_EMISSION" w:val="15.5.2023"/>
    <w:docVar w:name="LW_EMISSION_ISODATE" w:val="2023-05-1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3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un cadru revizuit de monitorizare pentru economia circulară"/>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BF3E18"/>
    <w:rsid w:val="0000252D"/>
    <w:rsid w:val="00002CD4"/>
    <w:rsid w:val="00003524"/>
    <w:rsid w:val="00011D40"/>
    <w:rsid w:val="00013357"/>
    <w:rsid w:val="00013DC0"/>
    <w:rsid w:val="00025022"/>
    <w:rsid w:val="000307A1"/>
    <w:rsid w:val="00031A3B"/>
    <w:rsid w:val="00031BBC"/>
    <w:rsid w:val="000348F6"/>
    <w:rsid w:val="00051BBA"/>
    <w:rsid w:val="000533FA"/>
    <w:rsid w:val="00067020"/>
    <w:rsid w:val="00071630"/>
    <w:rsid w:val="00073BBA"/>
    <w:rsid w:val="00073FAD"/>
    <w:rsid w:val="00081BD6"/>
    <w:rsid w:val="0008594D"/>
    <w:rsid w:val="00096AA1"/>
    <w:rsid w:val="000974BA"/>
    <w:rsid w:val="000D5BF4"/>
    <w:rsid w:val="000E0190"/>
    <w:rsid w:val="000F1C67"/>
    <w:rsid w:val="000F6B84"/>
    <w:rsid w:val="000F720B"/>
    <w:rsid w:val="0010191D"/>
    <w:rsid w:val="00101AB5"/>
    <w:rsid w:val="00102781"/>
    <w:rsid w:val="00102F6C"/>
    <w:rsid w:val="00105850"/>
    <w:rsid w:val="00114389"/>
    <w:rsid w:val="001253F1"/>
    <w:rsid w:val="00126620"/>
    <w:rsid w:val="00132041"/>
    <w:rsid w:val="001339E7"/>
    <w:rsid w:val="00143792"/>
    <w:rsid w:val="0015321E"/>
    <w:rsid w:val="001551A5"/>
    <w:rsid w:val="00156DDD"/>
    <w:rsid w:val="00164881"/>
    <w:rsid w:val="00171D54"/>
    <w:rsid w:val="00173BAA"/>
    <w:rsid w:val="001806D8"/>
    <w:rsid w:val="00197503"/>
    <w:rsid w:val="001A2B5D"/>
    <w:rsid w:val="001B1013"/>
    <w:rsid w:val="001C199A"/>
    <w:rsid w:val="001C1AF0"/>
    <w:rsid w:val="001C2D28"/>
    <w:rsid w:val="001C6772"/>
    <w:rsid w:val="001D12DC"/>
    <w:rsid w:val="001E3AFC"/>
    <w:rsid w:val="001E41C4"/>
    <w:rsid w:val="001E4A2E"/>
    <w:rsid w:val="00200D68"/>
    <w:rsid w:val="00223FAE"/>
    <w:rsid w:val="00225322"/>
    <w:rsid w:val="002466FF"/>
    <w:rsid w:val="00250DA3"/>
    <w:rsid w:val="00252D91"/>
    <w:rsid w:val="00271DD4"/>
    <w:rsid w:val="00276604"/>
    <w:rsid w:val="00276727"/>
    <w:rsid w:val="00277E29"/>
    <w:rsid w:val="002831B9"/>
    <w:rsid w:val="0028776A"/>
    <w:rsid w:val="00290F93"/>
    <w:rsid w:val="00296D8B"/>
    <w:rsid w:val="002A2C92"/>
    <w:rsid w:val="002A7AF8"/>
    <w:rsid w:val="002B02EA"/>
    <w:rsid w:val="002B172B"/>
    <w:rsid w:val="002B3E18"/>
    <w:rsid w:val="002C3297"/>
    <w:rsid w:val="003018B1"/>
    <w:rsid w:val="00302E4D"/>
    <w:rsid w:val="00311BFD"/>
    <w:rsid w:val="003345D8"/>
    <w:rsid w:val="0033483D"/>
    <w:rsid w:val="00334D5F"/>
    <w:rsid w:val="00340543"/>
    <w:rsid w:val="0034062E"/>
    <w:rsid w:val="003503B7"/>
    <w:rsid w:val="0036177A"/>
    <w:rsid w:val="00367854"/>
    <w:rsid w:val="003743D8"/>
    <w:rsid w:val="00385C52"/>
    <w:rsid w:val="00387A1D"/>
    <w:rsid w:val="00390303"/>
    <w:rsid w:val="00396ABB"/>
    <w:rsid w:val="00397DD7"/>
    <w:rsid w:val="003C2E18"/>
    <w:rsid w:val="003C3A0A"/>
    <w:rsid w:val="003E0569"/>
    <w:rsid w:val="003E11BF"/>
    <w:rsid w:val="003E4B7D"/>
    <w:rsid w:val="003E5BDF"/>
    <w:rsid w:val="003F06CB"/>
    <w:rsid w:val="00403095"/>
    <w:rsid w:val="00403849"/>
    <w:rsid w:val="00411598"/>
    <w:rsid w:val="00416A7A"/>
    <w:rsid w:val="00430452"/>
    <w:rsid w:val="004338DB"/>
    <w:rsid w:val="00437651"/>
    <w:rsid w:val="004440EE"/>
    <w:rsid w:val="0044543D"/>
    <w:rsid w:val="00450685"/>
    <w:rsid w:val="00451090"/>
    <w:rsid w:val="004545F8"/>
    <w:rsid w:val="00455BE0"/>
    <w:rsid w:val="004644F4"/>
    <w:rsid w:val="00470D62"/>
    <w:rsid w:val="00470E73"/>
    <w:rsid w:val="004738FF"/>
    <w:rsid w:val="00483DE0"/>
    <w:rsid w:val="00485C6A"/>
    <w:rsid w:val="00491DE1"/>
    <w:rsid w:val="0049466A"/>
    <w:rsid w:val="004955CB"/>
    <w:rsid w:val="004C4115"/>
    <w:rsid w:val="004E787B"/>
    <w:rsid w:val="00500188"/>
    <w:rsid w:val="0051231E"/>
    <w:rsid w:val="005133E8"/>
    <w:rsid w:val="00521C76"/>
    <w:rsid w:val="00525E31"/>
    <w:rsid w:val="00540FE1"/>
    <w:rsid w:val="00542A12"/>
    <w:rsid w:val="00547E61"/>
    <w:rsid w:val="00551285"/>
    <w:rsid w:val="005649BF"/>
    <w:rsid w:val="005660FF"/>
    <w:rsid w:val="00573340"/>
    <w:rsid w:val="00586CCC"/>
    <w:rsid w:val="00586E31"/>
    <w:rsid w:val="00587E76"/>
    <w:rsid w:val="00592949"/>
    <w:rsid w:val="00596524"/>
    <w:rsid w:val="005A00B6"/>
    <w:rsid w:val="005A48B4"/>
    <w:rsid w:val="005A6769"/>
    <w:rsid w:val="005D06AC"/>
    <w:rsid w:val="005D20F1"/>
    <w:rsid w:val="005D40AF"/>
    <w:rsid w:val="005D65B2"/>
    <w:rsid w:val="005D7F1B"/>
    <w:rsid w:val="005E25D2"/>
    <w:rsid w:val="005E2AA6"/>
    <w:rsid w:val="005E5321"/>
    <w:rsid w:val="005E6897"/>
    <w:rsid w:val="005E7B59"/>
    <w:rsid w:val="006153EA"/>
    <w:rsid w:val="00615CC7"/>
    <w:rsid w:val="00627154"/>
    <w:rsid w:val="00630D09"/>
    <w:rsid w:val="006315D1"/>
    <w:rsid w:val="006321B4"/>
    <w:rsid w:val="00633B0F"/>
    <w:rsid w:val="006443C8"/>
    <w:rsid w:val="00662549"/>
    <w:rsid w:val="00667621"/>
    <w:rsid w:val="00671EB5"/>
    <w:rsid w:val="00676902"/>
    <w:rsid w:val="0067755E"/>
    <w:rsid w:val="0069337F"/>
    <w:rsid w:val="00696B9A"/>
    <w:rsid w:val="006A11AE"/>
    <w:rsid w:val="006A2554"/>
    <w:rsid w:val="006B24A1"/>
    <w:rsid w:val="006B5FF2"/>
    <w:rsid w:val="006C677A"/>
    <w:rsid w:val="006C6A71"/>
    <w:rsid w:val="006D76E3"/>
    <w:rsid w:val="006E44F8"/>
    <w:rsid w:val="006F05D9"/>
    <w:rsid w:val="006F74EE"/>
    <w:rsid w:val="007117C9"/>
    <w:rsid w:val="007141FC"/>
    <w:rsid w:val="00721778"/>
    <w:rsid w:val="00740D94"/>
    <w:rsid w:val="00741C0D"/>
    <w:rsid w:val="0074264B"/>
    <w:rsid w:val="00750F16"/>
    <w:rsid w:val="007527C5"/>
    <w:rsid w:val="00754886"/>
    <w:rsid w:val="00757B48"/>
    <w:rsid w:val="007650E6"/>
    <w:rsid w:val="00772466"/>
    <w:rsid w:val="00776297"/>
    <w:rsid w:val="00780442"/>
    <w:rsid w:val="007A01A0"/>
    <w:rsid w:val="007A5F13"/>
    <w:rsid w:val="007B268E"/>
    <w:rsid w:val="007B3F39"/>
    <w:rsid w:val="007C2AC9"/>
    <w:rsid w:val="007C5FA3"/>
    <w:rsid w:val="007D0D05"/>
    <w:rsid w:val="007D7799"/>
    <w:rsid w:val="007D79C3"/>
    <w:rsid w:val="007F3146"/>
    <w:rsid w:val="007F5BF1"/>
    <w:rsid w:val="008043AC"/>
    <w:rsid w:val="008119EC"/>
    <w:rsid w:val="00817890"/>
    <w:rsid w:val="00823333"/>
    <w:rsid w:val="00831FD4"/>
    <w:rsid w:val="00852BD9"/>
    <w:rsid w:val="00863169"/>
    <w:rsid w:val="008645D2"/>
    <w:rsid w:val="008705C4"/>
    <w:rsid w:val="0087301F"/>
    <w:rsid w:val="00885C20"/>
    <w:rsid w:val="00887371"/>
    <w:rsid w:val="00897334"/>
    <w:rsid w:val="008B577A"/>
    <w:rsid w:val="008C04D7"/>
    <w:rsid w:val="008C4A18"/>
    <w:rsid w:val="008C67FF"/>
    <w:rsid w:val="008E5C6C"/>
    <w:rsid w:val="008F1CC4"/>
    <w:rsid w:val="00902FDB"/>
    <w:rsid w:val="00903031"/>
    <w:rsid w:val="00904056"/>
    <w:rsid w:val="00905D90"/>
    <w:rsid w:val="00921A52"/>
    <w:rsid w:val="009300F9"/>
    <w:rsid w:val="009309BF"/>
    <w:rsid w:val="009370FF"/>
    <w:rsid w:val="009375D3"/>
    <w:rsid w:val="00942A7A"/>
    <w:rsid w:val="00956A08"/>
    <w:rsid w:val="0099472C"/>
    <w:rsid w:val="00997860"/>
    <w:rsid w:val="00997CA5"/>
    <w:rsid w:val="00997F12"/>
    <w:rsid w:val="009A0B30"/>
    <w:rsid w:val="009C79FE"/>
    <w:rsid w:val="009F2FA9"/>
    <w:rsid w:val="009F3F64"/>
    <w:rsid w:val="00A02EFF"/>
    <w:rsid w:val="00A11765"/>
    <w:rsid w:val="00A171E8"/>
    <w:rsid w:val="00A17928"/>
    <w:rsid w:val="00A203AF"/>
    <w:rsid w:val="00A25D9F"/>
    <w:rsid w:val="00A26DD5"/>
    <w:rsid w:val="00A63398"/>
    <w:rsid w:val="00A645E4"/>
    <w:rsid w:val="00A66EAC"/>
    <w:rsid w:val="00A7064B"/>
    <w:rsid w:val="00A7135B"/>
    <w:rsid w:val="00A71E8E"/>
    <w:rsid w:val="00A807E9"/>
    <w:rsid w:val="00A82C79"/>
    <w:rsid w:val="00A83B94"/>
    <w:rsid w:val="00A83C28"/>
    <w:rsid w:val="00A85288"/>
    <w:rsid w:val="00A93E20"/>
    <w:rsid w:val="00A97937"/>
    <w:rsid w:val="00A97ADD"/>
    <w:rsid w:val="00AA01C8"/>
    <w:rsid w:val="00AA4A3E"/>
    <w:rsid w:val="00AC2097"/>
    <w:rsid w:val="00AC5569"/>
    <w:rsid w:val="00AE38A8"/>
    <w:rsid w:val="00AF39FB"/>
    <w:rsid w:val="00AF763F"/>
    <w:rsid w:val="00B004CC"/>
    <w:rsid w:val="00B009A2"/>
    <w:rsid w:val="00B01F01"/>
    <w:rsid w:val="00B04B00"/>
    <w:rsid w:val="00B13F37"/>
    <w:rsid w:val="00B1716E"/>
    <w:rsid w:val="00B21A63"/>
    <w:rsid w:val="00B23131"/>
    <w:rsid w:val="00B3487B"/>
    <w:rsid w:val="00B43F48"/>
    <w:rsid w:val="00B50A68"/>
    <w:rsid w:val="00B70A42"/>
    <w:rsid w:val="00B73918"/>
    <w:rsid w:val="00B84159"/>
    <w:rsid w:val="00B8708E"/>
    <w:rsid w:val="00B87F56"/>
    <w:rsid w:val="00B95398"/>
    <w:rsid w:val="00B95A66"/>
    <w:rsid w:val="00B95B85"/>
    <w:rsid w:val="00BA20C5"/>
    <w:rsid w:val="00BA213E"/>
    <w:rsid w:val="00BA267F"/>
    <w:rsid w:val="00BA42C4"/>
    <w:rsid w:val="00BB1C4D"/>
    <w:rsid w:val="00BC4A06"/>
    <w:rsid w:val="00BC53C8"/>
    <w:rsid w:val="00BE23DB"/>
    <w:rsid w:val="00BE30ED"/>
    <w:rsid w:val="00BE40D0"/>
    <w:rsid w:val="00BE7FDA"/>
    <w:rsid w:val="00BF3E18"/>
    <w:rsid w:val="00BF70A2"/>
    <w:rsid w:val="00C00258"/>
    <w:rsid w:val="00C15F92"/>
    <w:rsid w:val="00C248C3"/>
    <w:rsid w:val="00C359B2"/>
    <w:rsid w:val="00C40EF4"/>
    <w:rsid w:val="00C462BD"/>
    <w:rsid w:val="00C51718"/>
    <w:rsid w:val="00C5180B"/>
    <w:rsid w:val="00C54F96"/>
    <w:rsid w:val="00C61356"/>
    <w:rsid w:val="00C64342"/>
    <w:rsid w:val="00C7393A"/>
    <w:rsid w:val="00C74F04"/>
    <w:rsid w:val="00C76A9E"/>
    <w:rsid w:val="00C87BB2"/>
    <w:rsid w:val="00C90774"/>
    <w:rsid w:val="00C95977"/>
    <w:rsid w:val="00CA769B"/>
    <w:rsid w:val="00CB341C"/>
    <w:rsid w:val="00CB5E6E"/>
    <w:rsid w:val="00CC1800"/>
    <w:rsid w:val="00CC5346"/>
    <w:rsid w:val="00CD1CC6"/>
    <w:rsid w:val="00CD64AD"/>
    <w:rsid w:val="00CD6BC9"/>
    <w:rsid w:val="00CD6BEF"/>
    <w:rsid w:val="00CD7198"/>
    <w:rsid w:val="00CF0330"/>
    <w:rsid w:val="00CF2CC0"/>
    <w:rsid w:val="00D04197"/>
    <w:rsid w:val="00D0565D"/>
    <w:rsid w:val="00D07A60"/>
    <w:rsid w:val="00D11EB4"/>
    <w:rsid w:val="00D20518"/>
    <w:rsid w:val="00D348F8"/>
    <w:rsid w:val="00D403EC"/>
    <w:rsid w:val="00D53242"/>
    <w:rsid w:val="00D55CEA"/>
    <w:rsid w:val="00D55E8A"/>
    <w:rsid w:val="00D6197C"/>
    <w:rsid w:val="00D70999"/>
    <w:rsid w:val="00D75E7C"/>
    <w:rsid w:val="00D77CE4"/>
    <w:rsid w:val="00D835C4"/>
    <w:rsid w:val="00D85342"/>
    <w:rsid w:val="00D96CFC"/>
    <w:rsid w:val="00DB07C4"/>
    <w:rsid w:val="00DB0FB5"/>
    <w:rsid w:val="00DB17E4"/>
    <w:rsid w:val="00DB451E"/>
    <w:rsid w:val="00DB736D"/>
    <w:rsid w:val="00DC5F5D"/>
    <w:rsid w:val="00DC6135"/>
    <w:rsid w:val="00DD7306"/>
    <w:rsid w:val="00E0199C"/>
    <w:rsid w:val="00E04485"/>
    <w:rsid w:val="00E13C55"/>
    <w:rsid w:val="00E156CA"/>
    <w:rsid w:val="00E30837"/>
    <w:rsid w:val="00E3328C"/>
    <w:rsid w:val="00E34CA7"/>
    <w:rsid w:val="00E57FD5"/>
    <w:rsid w:val="00E67001"/>
    <w:rsid w:val="00E72266"/>
    <w:rsid w:val="00E72F0C"/>
    <w:rsid w:val="00E819B9"/>
    <w:rsid w:val="00E91B03"/>
    <w:rsid w:val="00E92217"/>
    <w:rsid w:val="00E930CD"/>
    <w:rsid w:val="00EA679C"/>
    <w:rsid w:val="00EB20FE"/>
    <w:rsid w:val="00EB4483"/>
    <w:rsid w:val="00EC0164"/>
    <w:rsid w:val="00EC0DEF"/>
    <w:rsid w:val="00EC68A0"/>
    <w:rsid w:val="00EC7358"/>
    <w:rsid w:val="00EE056F"/>
    <w:rsid w:val="00EF6BCC"/>
    <w:rsid w:val="00F01CE8"/>
    <w:rsid w:val="00F06334"/>
    <w:rsid w:val="00F129B2"/>
    <w:rsid w:val="00F27669"/>
    <w:rsid w:val="00F421D3"/>
    <w:rsid w:val="00F77150"/>
    <w:rsid w:val="00F77E06"/>
    <w:rsid w:val="00F85019"/>
    <w:rsid w:val="00F90543"/>
    <w:rsid w:val="00FB6DBB"/>
    <w:rsid w:val="00FC3B53"/>
    <w:rsid w:val="00FD041D"/>
    <w:rsid w:val="00FD26A7"/>
    <w:rsid w:val="00FD54E7"/>
    <w:rsid w:val="00FD7799"/>
    <w:rsid w:val="00FE26A8"/>
    <w:rsid w:val="00FE2A87"/>
    <w:rsid w:val="00FF2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8FEA9B"/>
  <w15:chartTrackingRefBased/>
  <w15:docId w15:val="{EDED5E29-2854-4FBD-8028-8292B429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F3E18"/>
    <w:rPr>
      <w:color w:val="0000FF"/>
      <w:shd w:val="clear" w:color="auto" w:fill="auto"/>
    </w:rPr>
  </w:style>
  <w:style w:type="paragraph" w:styleId="Header">
    <w:name w:val="header"/>
    <w:basedOn w:val="Normal"/>
    <w:link w:val="HeaderChar"/>
    <w:uiPriority w:val="99"/>
    <w:unhideWhenUsed/>
    <w:rsid w:val="00BF3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E18"/>
  </w:style>
  <w:style w:type="paragraph" w:styleId="Footer">
    <w:name w:val="footer"/>
    <w:basedOn w:val="Normal"/>
    <w:link w:val="FooterChar"/>
    <w:uiPriority w:val="99"/>
    <w:unhideWhenUsed/>
    <w:rsid w:val="00BF3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E18"/>
  </w:style>
  <w:style w:type="paragraph" w:customStyle="1" w:styleId="Pagedecouverture">
    <w:name w:val="Page de couverture"/>
    <w:basedOn w:val="Normal"/>
    <w:next w:val="Normal"/>
    <w:rsid w:val="00BF3E1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F3E1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F3E18"/>
    <w:rPr>
      <w:rFonts w:ascii="Times New Roman" w:hAnsi="Times New Roman" w:cs="Times New Roman"/>
      <w:sz w:val="24"/>
    </w:rPr>
  </w:style>
  <w:style w:type="paragraph" w:customStyle="1" w:styleId="FooterSensitivity">
    <w:name w:val="Footer Sensitivity"/>
    <w:basedOn w:val="Normal"/>
    <w:link w:val="FooterSensitivityChar"/>
    <w:rsid w:val="00BF3E1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F3E18"/>
    <w:rPr>
      <w:rFonts w:ascii="Times New Roman" w:hAnsi="Times New Roman" w:cs="Times New Roman"/>
      <w:b/>
      <w:sz w:val="32"/>
    </w:rPr>
  </w:style>
  <w:style w:type="paragraph" w:customStyle="1" w:styleId="HeaderCoverPage">
    <w:name w:val="Header Cover Page"/>
    <w:basedOn w:val="Normal"/>
    <w:link w:val="HeaderCoverPageChar"/>
    <w:rsid w:val="00BF3E1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F3E18"/>
    <w:rPr>
      <w:rFonts w:ascii="Times New Roman" w:hAnsi="Times New Roman" w:cs="Times New Roman"/>
      <w:sz w:val="24"/>
    </w:rPr>
  </w:style>
  <w:style w:type="paragraph" w:customStyle="1" w:styleId="HeaderSensitivity">
    <w:name w:val="Header Sensitivity"/>
    <w:basedOn w:val="Normal"/>
    <w:link w:val="HeaderSensitivityChar"/>
    <w:rsid w:val="00BF3E1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F3E18"/>
    <w:rPr>
      <w:rFonts w:ascii="Times New Roman" w:hAnsi="Times New Roman" w:cs="Times New Roman"/>
      <w:b/>
      <w:sz w:val="32"/>
    </w:rPr>
  </w:style>
  <w:style w:type="paragraph" w:customStyle="1" w:styleId="HeaderSensitivityRight">
    <w:name w:val="Header Sensitivity Right"/>
    <w:basedOn w:val="Normal"/>
    <w:link w:val="HeaderSensitivityRightChar"/>
    <w:rsid w:val="00BF3E1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F3E18"/>
    <w:rPr>
      <w:rFonts w:ascii="Times New Roman" w:hAnsi="Times New Roman" w:cs="Times New Roman"/>
      <w:sz w:val="28"/>
    </w:rPr>
  </w:style>
  <w:style w:type="paragraph" w:styleId="FootnoteText">
    <w:name w:val="footnote text"/>
    <w:aliases w:val="footnote,Footnote text,fn,Schriftart: 9 pt,Schriftart: 10 pt,Schriftart: 8 pt,WB-Fußnotentext,Footnote Text_EP-LCA,Text_EP-LCA,Char5,Text,Reference,Fußnote,Footnote Text Char Char,Footnote Text Char Char Char Char,Footnote Text1,o,Fußn,f"/>
    <w:basedOn w:val="Normal"/>
    <w:link w:val="FootnoteTextChar"/>
    <w:uiPriority w:val="99"/>
    <w:unhideWhenUsed/>
    <w:qFormat/>
    <w:rsid w:val="007527C5"/>
    <w:pPr>
      <w:spacing w:after="0" w:line="240" w:lineRule="auto"/>
    </w:pPr>
    <w:rPr>
      <w:rFonts w:ascii="Times New Roman" w:hAnsi="Times New Roman"/>
      <w:sz w:val="20"/>
      <w:szCs w:val="20"/>
    </w:rPr>
  </w:style>
  <w:style w:type="character" w:customStyle="1" w:styleId="FootnoteTextChar">
    <w:name w:val="Footnote Text Char"/>
    <w:aliases w:val="footnote Char,Footnote text Char,fn Char,Schriftart: 9 pt Char,Schriftart: 10 pt Char,Schriftart: 8 pt Char,WB-Fußnotentext Char,Footnote Text_EP-LCA Char,Text_EP-LCA Char,Char5 Char,Text Char,Reference Char,Fußnote Char,o Char,f Char"/>
    <w:basedOn w:val="DefaultParagraphFont"/>
    <w:link w:val="FootnoteText"/>
    <w:uiPriority w:val="99"/>
    <w:rsid w:val="007527C5"/>
    <w:rPr>
      <w:rFonts w:ascii="Times New Roman" w:hAnsi="Times New Roman"/>
      <w:sz w:val="20"/>
      <w:szCs w:val="20"/>
      <w:lang w:val="ro-RO"/>
    </w:rPr>
  </w:style>
  <w:style w:type="character" w:styleId="FootnoteReference">
    <w:name w:val="footnote reference"/>
    <w:aliases w:val="Footnote symbol,Footnote reference number,Footnote,Times 10 Point,Exposant 3 Point,Ref,de nota al pie,note TESI,SUPERS,EN Footnote Reference,EN Footnote text,number,no...,(Footnote Reference),Footnote Reference_EP-LCA"/>
    <w:basedOn w:val="DefaultParagraphFont"/>
    <w:uiPriority w:val="99"/>
    <w:unhideWhenUsed/>
    <w:rsid w:val="007527C5"/>
    <w:rPr>
      <w:vertAlign w:val="superscript"/>
    </w:rPr>
  </w:style>
  <w:style w:type="table" w:customStyle="1" w:styleId="TableGrid1">
    <w:name w:val="Table Grid1"/>
    <w:basedOn w:val="TableNormal"/>
    <w:next w:val="TableGrid"/>
    <w:uiPriority w:val="39"/>
    <w:rsid w:val="00752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27C5"/>
    <w:rPr>
      <w:color w:val="0000FF"/>
      <w:u w:val="single"/>
    </w:rPr>
  </w:style>
  <w:style w:type="table" w:styleId="TableGrid">
    <w:name w:val="Table Grid"/>
    <w:basedOn w:val="TableNormal"/>
    <w:uiPriority w:val="39"/>
    <w:rsid w:val="00752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C5"/>
    <w:pPr>
      <w:ind w:left="720"/>
      <w:contextualSpacing/>
    </w:pPr>
  </w:style>
  <w:style w:type="paragraph" w:styleId="BalloonText">
    <w:name w:val="Balloon Text"/>
    <w:basedOn w:val="Normal"/>
    <w:link w:val="BalloonTextChar"/>
    <w:uiPriority w:val="99"/>
    <w:semiHidden/>
    <w:unhideWhenUsed/>
    <w:rsid w:val="00A80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7E9"/>
    <w:rPr>
      <w:rFonts w:ascii="Segoe UI" w:hAnsi="Segoe UI" w:cs="Segoe UI"/>
      <w:sz w:val="18"/>
      <w:szCs w:val="18"/>
    </w:rPr>
  </w:style>
  <w:style w:type="character" w:styleId="CommentReference">
    <w:name w:val="annotation reference"/>
    <w:basedOn w:val="DefaultParagraphFont"/>
    <w:uiPriority w:val="99"/>
    <w:semiHidden/>
    <w:unhideWhenUsed/>
    <w:rsid w:val="00A807E9"/>
    <w:rPr>
      <w:sz w:val="16"/>
      <w:szCs w:val="16"/>
    </w:rPr>
  </w:style>
  <w:style w:type="paragraph" w:styleId="CommentText">
    <w:name w:val="annotation text"/>
    <w:basedOn w:val="Normal"/>
    <w:link w:val="CommentTextChar"/>
    <w:uiPriority w:val="99"/>
    <w:semiHidden/>
    <w:unhideWhenUsed/>
    <w:rsid w:val="00A807E9"/>
    <w:pPr>
      <w:spacing w:line="240" w:lineRule="auto"/>
    </w:pPr>
    <w:rPr>
      <w:sz w:val="20"/>
      <w:szCs w:val="20"/>
    </w:rPr>
  </w:style>
  <w:style w:type="character" w:customStyle="1" w:styleId="CommentTextChar">
    <w:name w:val="Comment Text Char"/>
    <w:basedOn w:val="DefaultParagraphFont"/>
    <w:link w:val="CommentText"/>
    <w:uiPriority w:val="99"/>
    <w:semiHidden/>
    <w:rsid w:val="00A807E9"/>
    <w:rPr>
      <w:sz w:val="20"/>
      <w:szCs w:val="20"/>
    </w:rPr>
  </w:style>
  <w:style w:type="paragraph" w:styleId="CommentSubject">
    <w:name w:val="annotation subject"/>
    <w:basedOn w:val="CommentText"/>
    <w:next w:val="CommentText"/>
    <w:link w:val="CommentSubjectChar"/>
    <w:uiPriority w:val="99"/>
    <w:semiHidden/>
    <w:unhideWhenUsed/>
    <w:rsid w:val="00A807E9"/>
    <w:rPr>
      <w:b/>
      <w:bCs/>
    </w:rPr>
  </w:style>
  <w:style w:type="character" w:customStyle="1" w:styleId="CommentSubjectChar">
    <w:name w:val="Comment Subject Char"/>
    <w:basedOn w:val="CommentTextChar"/>
    <w:link w:val="CommentSubject"/>
    <w:uiPriority w:val="99"/>
    <w:semiHidden/>
    <w:rsid w:val="00A807E9"/>
    <w:rPr>
      <w:b/>
      <w:bCs/>
      <w:sz w:val="20"/>
      <w:szCs w:val="20"/>
    </w:rPr>
  </w:style>
  <w:style w:type="character" w:styleId="FollowedHyperlink">
    <w:name w:val="FollowedHyperlink"/>
    <w:basedOn w:val="DefaultParagraphFont"/>
    <w:uiPriority w:val="99"/>
    <w:semiHidden/>
    <w:unhideWhenUsed/>
    <w:rsid w:val="00390303"/>
    <w:rPr>
      <w:color w:val="954F72" w:themeColor="followedHyperlink"/>
      <w:u w:val="single"/>
    </w:rPr>
  </w:style>
  <w:style w:type="character" w:customStyle="1" w:styleId="UnresolvedMention1">
    <w:name w:val="Unresolved Mention1"/>
    <w:basedOn w:val="DefaultParagraphFont"/>
    <w:uiPriority w:val="99"/>
    <w:semiHidden/>
    <w:unhideWhenUsed/>
    <w:rsid w:val="005A00B6"/>
    <w:rPr>
      <w:color w:val="605E5C"/>
      <w:shd w:val="clear" w:color="auto" w:fill="E1DFDD"/>
    </w:rPr>
  </w:style>
  <w:style w:type="paragraph" w:styleId="Revision">
    <w:name w:val="Revision"/>
    <w:hidden/>
    <w:uiPriority w:val="99"/>
    <w:semiHidden/>
    <w:rsid w:val="00250DA3"/>
    <w:pPr>
      <w:spacing w:after="0" w:line="240" w:lineRule="auto"/>
    </w:pPr>
  </w:style>
  <w:style w:type="character" w:customStyle="1" w:styleId="UnresolvedMention2">
    <w:name w:val="Unresolved Mention2"/>
    <w:basedOn w:val="DefaultParagraphFont"/>
    <w:uiPriority w:val="99"/>
    <w:semiHidden/>
    <w:unhideWhenUsed/>
    <w:rsid w:val="00302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0745">
      <w:bodyDiv w:val="1"/>
      <w:marLeft w:val="0"/>
      <w:marRight w:val="0"/>
      <w:marTop w:val="0"/>
      <w:marBottom w:val="0"/>
      <w:divBdr>
        <w:top w:val="none" w:sz="0" w:space="0" w:color="auto"/>
        <w:left w:val="none" w:sz="0" w:space="0" w:color="auto"/>
        <w:bottom w:val="none" w:sz="0" w:space="0" w:color="auto"/>
        <w:right w:val="none" w:sz="0" w:space="0" w:color="auto"/>
      </w:divBdr>
    </w:div>
    <w:div w:id="118779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petrorn\AppData\Local\Microsoft\Windows\INetCache\Content.Outlook\GB8WGSL1\COM%20Revised%20CEMF%20post%20ISC%2016032023%20TC.docx"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OM%3A2023%3A165%3AFIN&amp;qid=1679058289812" TargetMode="External"/><Relationship Id="rId13" Type="http://schemas.openxmlformats.org/officeDocument/2006/relationships/hyperlink" Target="https://commission.europa.eu/strategy-and-policy/international-strategies/sustainable-development-goals_ro" TargetMode="External"/><Relationship Id="rId18" Type="http://schemas.openxmlformats.org/officeDocument/2006/relationships/hyperlink" Target="https://ec.europa.eu/info/law/better-regulation/have-your-say/initiatives/13465-Circular-economy-monitoring-framework-revision-/feedback_ro?p_id=30764770" TargetMode="External"/><Relationship Id="rId26" Type="http://schemas.openxmlformats.org/officeDocument/2006/relationships/hyperlink" Target="https://ec.europa.eu/eurostat/web/circular-economy" TargetMode="External"/><Relationship Id="rId39" Type="http://schemas.openxmlformats.org/officeDocument/2006/relationships/hyperlink" Target="https://environment.ec.europa.eu/news/circular-economy-stakeholder-conference-reinforces-role-circular-economy-driving-eus-strategic-2023-02-27_ro" TargetMode="External"/><Relationship Id="rId3" Type="http://schemas.openxmlformats.org/officeDocument/2006/relationships/hyperlink" Target="https://www.resourcepanel.org/reports/global-resources-outlook" TargetMode="External"/><Relationship Id="rId21" Type="http://schemas.openxmlformats.org/officeDocument/2006/relationships/hyperlink" Target="https://epanet.eea.europa.eu/reports-letters/reports-and-letters/bellagio-declaration.pdf/view" TargetMode="External"/><Relationship Id="rId34" Type="http://schemas.openxmlformats.org/officeDocument/2006/relationships/hyperlink" Target="https://eur-lex.europa.eu/legal-content/RO/TXT/?uri=CELEX%3A52022PC0677" TargetMode="External"/><Relationship Id="rId7" Type="http://schemas.openxmlformats.org/officeDocument/2006/relationships/hyperlink" Target="https://ec.europa.eu/eurostat/statistics-explained/index.php?title=Physical_imports_and_exports" TargetMode="External"/><Relationship Id="rId12" Type="http://schemas.openxmlformats.org/officeDocument/2006/relationships/hyperlink" Target="https://commission.europa.eu/system/files/2023-03/Communication_Long-term-competitiveness.pdf" TargetMode="External"/><Relationship Id="rId17" Type="http://schemas.openxmlformats.org/officeDocument/2006/relationships/hyperlink" Target="https://publications.jrc.ec.europa.eu/repository/bitstream/JRC125994/open_strategic_autonomy_2040_online_1.pdf" TargetMode="External"/><Relationship Id="rId25" Type="http://schemas.openxmlformats.org/officeDocument/2006/relationships/hyperlink" Target="https://commission.europa.eu/strategy-and-policy/strategic-planning/strategic-foresight/2020-strategic-foresight-report/resilience-dashboards_ro" TargetMode="External"/><Relationship Id="rId33" Type="http://schemas.openxmlformats.org/officeDocument/2006/relationships/hyperlink" Target="https://eur-lex.europa.eu/legal-content/RO/ALL/?uri=COM:2022:142:FIN" TargetMode="External"/><Relationship Id="rId38" Type="http://schemas.openxmlformats.org/officeDocument/2006/relationships/hyperlink" Target="https://environment.ec.europa.eu/topics/waste-and-recycling/implementation-waste-framework-directive_ro" TargetMode="External"/><Relationship Id="rId2" Type="http://schemas.openxmlformats.org/officeDocument/2006/relationships/hyperlink" Target="https://www.circularity-gap.world/2022" TargetMode="External"/><Relationship Id="rId16" Type="http://schemas.openxmlformats.org/officeDocument/2006/relationships/hyperlink" Target="https://eur-lex.europa.eu/legal-content/RO/TXT/?qid=1583933814386&amp;uri=COM:2020:98:FIN" TargetMode="External"/><Relationship Id="rId20" Type="http://schemas.openxmlformats.org/officeDocument/2006/relationships/hyperlink" Target="https://www.circularity-gap.world/global" TargetMode="External"/><Relationship Id="rId29" Type="http://schemas.openxmlformats.org/officeDocument/2006/relationships/hyperlink" Target="https://eur-lex.europa.eu/legal-content/RO/TXT/?uri=celex%3A32018L0851" TargetMode="External"/><Relationship Id="rId1" Type="http://schemas.openxmlformats.org/officeDocument/2006/relationships/hyperlink" Target="https://www.oecd.org/environment/waste/highlights-global-material-resources-outlook-to-2060.pdf" TargetMode="External"/><Relationship Id="rId6" Type="http://schemas.openxmlformats.org/officeDocument/2006/relationships/hyperlink" Target="https://ec.europa.eu/eurostat/statistics-explained/index.php?title=Physical_imports_and_exports" TargetMode="External"/><Relationship Id="rId11" Type="http://schemas.openxmlformats.org/officeDocument/2006/relationships/hyperlink" Target="https://commission.europa.eu/strategy-and-policy/priorities-2019-2024/europe-fit-digital-age/european-industrial-strategy/depth-reviews-strategic-areas-europes-interests_ro" TargetMode="External"/><Relationship Id="rId24" Type="http://schemas.openxmlformats.org/officeDocument/2006/relationships/hyperlink" Target="https://ec.europa.eu/eurostat/web/sdi" TargetMode="External"/><Relationship Id="rId32" Type="http://schemas.openxmlformats.org/officeDocument/2006/relationships/hyperlink" Target="https://eur-lex.europa.eu/legal-content/RO/TXT/?uri=CELEX%3A52020PC0798&amp;qid=1608192505371" TargetMode="External"/><Relationship Id="rId37" Type="http://schemas.openxmlformats.org/officeDocument/2006/relationships/hyperlink" Target="https://eur-lex.europa.eu/legal-content/RO/TXT/?uri=celex%3A32018L0851" TargetMode="External"/><Relationship Id="rId40" Type="http://schemas.openxmlformats.org/officeDocument/2006/relationships/hyperlink" Target="https://environment.ec.europa.eu/law-and-governance/environmental-implementation-review_ro" TargetMode="External"/><Relationship Id="rId5" Type="http://schemas.openxmlformats.org/officeDocument/2006/relationships/hyperlink" Target="https://ec.europa.eu/eurostat/databrowser/view/env_ac_mfa/default/table?lang=en" TargetMode="External"/><Relationship Id="rId15" Type="http://schemas.openxmlformats.org/officeDocument/2006/relationships/hyperlink" Target="https://eur-lex.europa.eu/legal-content/RO/TXT/?uri=SWD%3A2018%3A17%3AFIN" TargetMode="External"/><Relationship Id="rId23" Type="http://schemas.openxmlformats.org/officeDocument/2006/relationships/hyperlink" Target="https://eur-lex.europa.eu/legal-content/RO/TXT/?uri=COM%3A2022%3A674%3AFIN&amp;qid=1670510444610" TargetMode="External"/><Relationship Id="rId28" Type="http://schemas.openxmlformats.org/officeDocument/2006/relationships/hyperlink" Target="https://commission.europa.eu/publications/analysis-main-drivers-food-security_ro" TargetMode="External"/><Relationship Id="rId36" Type="http://schemas.openxmlformats.org/officeDocument/2006/relationships/hyperlink" Target="https://eur-lex.europa.eu/legal-content/RO/TXT/?uri=COM%3A2023%3A160%3AFIN&amp;qid=1679058289812" TargetMode="External"/><Relationship Id="rId10" Type="http://schemas.openxmlformats.org/officeDocument/2006/relationships/hyperlink" Target="https://commission.europa.eu/strategy-and-policy/priorities-2019-2024/europe-fit-digital-age/european-industrial-strategy/depth-reviews-strategic-areas-europes-interests_ro" TargetMode="External"/><Relationship Id="rId19" Type="http://schemas.openxmlformats.org/officeDocument/2006/relationships/hyperlink" Target="https://hdr.undp.org/en/content/planetary-pressures%E2%80%93adjusted-human-development-index-phdi" TargetMode="External"/><Relationship Id="rId31" Type="http://schemas.openxmlformats.org/officeDocument/2006/relationships/hyperlink" Target="https://publications.jrc.ec.europa.eu/repository/handle/JRC128571" TargetMode="External"/><Relationship Id="rId4" Type="http://schemas.openxmlformats.org/officeDocument/2006/relationships/hyperlink" Target="https://www.circularity-gap.world/2023" TargetMode="External"/><Relationship Id="rId9" Type="http://schemas.openxmlformats.org/officeDocument/2006/relationships/hyperlink" Target="https://eur-lex.europa.eu/legal-content/RO/TXT/?uri=COM%3A2023%3A160%3AFIN&amp;qid=1679058289812" TargetMode="External"/><Relationship Id="rId14" Type="http://schemas.openxmlformats.org/officeDocument/2006/relationships/hyperlink" Target="https://eur-lex.europa.eu/legal-content/RO/TXT/?uri=COM%3A2018%3A29%3AFIN" TargetMode="External"/><Relationship Id="rId22" Type="http://schemas.openxmlformats.org/officeDocument/2006/relationships/hyperlink" Target="https://eur-lex.europa.eu/legal-content/RO/TXT/?uri=COM%3A2022%3A357%3AFIN" TargetMode="External"/><Relationship Id="rId27" Type="http://schemas.openxmlformats.org/officeDocument/2006/relationships/hyperlink" Target="https://ec.europa.eu/food/safety/food_waste/eu_actions_ro" TargetMode="External"/><Relationship Id="rId30" Type="http://schemas.openxmlformats.org/officeDocument/2006/relationships/hyperlink" Target="https://eplca.jrc.ec.europa.eu/ConsumptionFootprintPlatform.html" TargetMode="External"/><Relationship Id="rId35" Type="http://schemas.openxmlformats.org/officeDocument/2006/relationships/hyperlink" Target="https://eur-lex.europa.eu/legal-content/RO/TXT/?uri=CELEX%3A52021PC0709&amp;qid=1642757230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D3CC8-1211-4B49-B548-87C45179C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Pages>
  <Words>3868</Words>
  <Characters>21932</Characters>
  <Application>Microsoft Office Word</Application>
  <DocSecurity>0</DocSecurity>
  <Lines>438</Lines>
  <Paragraphs>162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cp:lastPrinted>2023-02-23T18:07:00Z</cp:lastPrinted>
  <dcterms:created xsi:type="dcterms:W3CDTF">2023-05-11T14:59:00Z</dcterms:created>
  <dcterms:modified xsi:type="dcterms:W3CDTF">2023-05-15T07:19:00Z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8.1, Build 20220902</vt:lpwstr>
  </property>
  <property fmtid="{D5CDD505-2E9C-101B-9397-08002B2CF9AE}" pid="9" name="MSIP_Label_f4cdc456-5864-460f-beda-883d23b78bbb_Enabled">
    <vt:lpwstr>true</vt:lpwstr>
  </property>
  <property fmtid="{D5CDD505-2E9C-101B-9397-08002B2CF9AE}" pid="10" name="MSIP_Label_f4cdc456-5864-460f-beda-883d23b78bbb_SetDate">
    <vt:lpwstr>2023-04-27T08:03:59Z</vt:lpwstr>
  </property>
  <property fmtid="{D5CDD505-2E9C-101B-9397-08002B2CF9AE}" pid="11" name="MSIP_Label_f4cdc456-5864-460f-beda-883d23b78bbb_Method">
    <vt:lpwstr>Privileged</vt:lpwstr>
  </property>
  <property fmtid="{D5CDD505-2E9C-101B-9397-08002B2CF9AE}" pid="12" name="MSIP_Label_f4cdc456-5864-460f-beda-883d23b78bbb_Name">
    <vt:lpwstr>Publicly Available</vt:lpwstr>
  </property>
  <property fmtid="{D5CDD505-2E9C-101B-9397-08002B2CF9AE}" pid="13" name="MSIP_Label_f4cdc456-5864-460f-beda-883d23b78bbb_SiteId">
    <vt:lpwstr>b24c8b06-522c-46fe-9080-70926f8dddb1</vt:lpwstr>
  </property>
  <property fmtid="{D5CDD505-2E9C-101B-9397-08002B2CF9AE}" pid="14" name="MSIP_Label_f4cdc456-5864-460f-beda-883d23b78bbb_ActionId">
    <vt:lpwstr>112502be-15a3-41b0-8a20-3f18c2230d8c</vt:lpwstr>
  </property>
  <property fmtid="{D5CDD505-2E9C-101B-9397-08002B2CF9AE}" pid="15" name="MSIP_Label_f4cdc456-5864-460f-beda-883d23b78bbb_ContentBits">
    <vt:lpwstr>0</vt:lpwstr>
  </property>
</Properties>
</file>