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ADD09A" w14:textId="11B9CCA7" w:rsidR="001403C0" w:rsidRDefault="007D5483" w:rsidP="007D5483">
      <w:pPr>
        <w:pStyle w:val="Pagedecouverture"/>
        <w:rPr>
          <w:noProof/>
        </w:rPr>
      </w:pPr>
      <w:r>
        <w:rPr>
          <w:noProof/>
        </w:rPr>
        <w:pict w14:anchorId="427AB3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E27DD0BD-9E87-455B-A8FE-6AB7AD11149B" style="width:455.25pt;height:355.5pt">
            <v:imagedata r:id="rId8" o:title=""/>
          </v:shape>
        </w:pict>
      </w:r>
    </w:p>
    <w:p w14:paraId="06288C40" w14:textId="77777777" w:rsidR="001403C0" w:rsidRDefault="001403C0" w:rsidP="001403C0">
      <w:pPr>
        <w:rPr>
          <w:noProof/>
        </w:rPr>
        <w:sectPr w:rsidR="001403C0" w:rsidSect="007D5483">
          <w:footerReference w:type="default" r:id="rId9"/>
          <w:pgSz w:w="11907" w:h="16839"/>
          <w:pgMar w:top="1134" w:right="1417" w:bottom="1134" w:left="1417" w:header="709" w:footer="709" w:gutter="0"/>
          <w:pgNumType w:start="0"/>
          <w:cols w:space="720"/>
          <w:docGrid w:linePitch="360"/>
        </w:sectPr>
      </w:pPr>
    </w:p>
    <w:p w14:paraId="5C9920BB" w14:textId="77777777" w:rsidR="001403C0" w:rsidRDefault="001403C0" w:rsidP="00BB6B30">
      <w:pPr>
        <w:pStyle w:val="Exposdesmotifstitre"/>
        <w:rPr>
          <w:noProof/>
        </w:rPr>
      </w:pPr>
      <w:bookmarkStart w:id="0" w:name="_GoBack"/>
      <w:bookmarkEnd w:id="0"/>
      <w:r w:rsidRPr="006F770D">
        <w:rPr>
          <w:noProof/>
        </w:rPr>
        <w:lastRenderedPageBreak/>
        <w:t>EXPLANATORY MEMORANDUM</w:t>
      </w:r>
    </w:p>
    <w:p w14:paraId="79898996" w14:textId="77777777" w:rsidR="009A7DCA" w:rsidRDefault="009A7DCA" w:rsidP="009A7DCA">
      <w:pPr>
        <w:pStyle w:val="LegalNumPar3"/>
        <w:tabs>
          <w:tab w:val="clear" w:pos="1417"/>
        </w:tabs>
        <w:ind w:left="0" w:firstLine="0"/>
        <w:rPr>
          <w:b/>
          <w:noProof/>
        </w:rPr>
      </w:pPr>
    </w:p>
    <w:p w14:paraId="2C702FA9" w14:textId="77777777" w:rsidR="001403C0" w:rsidRPr="009A7DCA" w:rsidRDefault="001403C0" w:rsidP="00CD5376">
      <w:pPr>
        <w:pStyle w:val="LegalNumPar3"/>
        <w:numPr>
          <w:ilvl w:val="0"/>
          <w:numId w:val="7"/>
        </w:numPr>
        <w:ind w:left="567" w:hanging="567"/>
        <w:rPr>
          <w:b/>
          <w:noProof/>
        </w:rPr>
      </w:pPr>
      <w:r w:rsidRPr="009A7DCA">
        <w:rPr>
          <w:b/>
          <w:noProof/>
        </w:rPr>
        <w:t>CONTEXT OF THE PROPOSAL</w:t>
      </w:r>
    </w:p>
    <w:p w14:paraId="66E13D16" w14:textId="77777777" w:rsidR="001403C0" w:rsidRDefault="001403C0" w:rsidP="001403C0">
      <w:pPr>
        <w:pBdr>
          <w:top w:val="nil"/>
          <w:left w:val="nil"/>
          <w:bottom w:val="nil"/>
          <w:right w:val="nil"/>
          <w:between w:val="nil"/>
          <w:bar w:val="nil"/>
        </w:pBdr>
        <w:spacing w:before="0" w:after="240"/>
        <w:rPr>
          <w:noProof/>
          <w:szCs w:val="24"/>
        </w:rPr>
      </w:pPr>
      <w:r w:rsidRPr="00F34327">
        <w:rPr>
          <w:noProof/>
          <w:szCs w:val="24"/>
        </w:rPr>
        <w:t>Researchers are the he</w:t>
      </w:r>
      <w:r>
        <w:rPr>
          <w:noProof/>
          <w:szCs w:val="24"/>
        </w:rPr>
        <w:t xml:space="preserve">art of the research and innovation system in Europe. There is a need to strengthen research careers to attract and retain talents and make the overall system stronger and more competitive. This is highly relevant to address the global and societal challenges Europe is confronted with, including the digital and green transition. </w:t>
      </w:r>
    </w:p>
    <w:p w14:paraId="69F154E6" w14:textId="77777777" w:rsidR="001403C0" w:rsidRDefault="001403C0" w:rsidP="001403C0">
      <w:pPr>
        <w:pBdr>
          <w:top w:val="nil"/>
          <w:left w:val="nil"/>
          <w:bottom w:val="nil"/>
          <w:right w:val="nil"/>
          <w:between w:val="nil"/>
          <w:bar w:val="nil"/>
        </w:pBdr>
        <w:spacing w:before="0" w:after="240"/>
        <w:rPr>
          <w:rFonts w:eastAsia="Arial Unicode MS"/>
          <w:noProof/>
          <w:lang w:val="en-US"/>
        </w:rPr>
      </w:pPr>
      <w:r>
        <w:rPr>
          <w:rFonts w:eastAsia="Arial Unicode MS"/>
          <w:noProof/>
          <w:lang w:val="en-US"/>
        </w:rPr>
        <w:t>S</w:t>
      </w:r>
      <w:r w:rsidRPr="0098017E">
        <w:rPr>
          <w:rFonts w:eastAsia="Arial Unicode MS"/>
          <w:noProof/>
          <w:lang w:val="en-US"/>
        </w:rPr>
        <w:t xml:space="preserve">ince the launch of </w:t>
      </w:r>
      <w:r>
        <w:rPr>
          <w:rFonts w:eastAsia="Arial Unicode MS"/>
          <w:noProof/>
          <w:lang w:val="en-US"/>
        </w:rPr>
        <w:t xml:space="preserve">the </w:t>
      </w:r>
      <w:r w:rsidRPr="00D32A8C">
        <w:rPr>
          <w:rFonts w:eastAsia="Arial Unicode MS"/>
          <w:b/>
          <w:noProof/>
          <w:lang w:val="en-US"/>
        </w:rPr>
        <w:t>European Research Area</w:t>
      </w:r>
      <w:r w:rsidRPr="0098017E">
        <w:rPr>
          <w:rFonts w:eastAsia="Arial Unicode MS"/>
          <w:noProof/>
          <w:lang w:val="en-US"/>
        </w:rPr>
        <w:t xml:space="preserve"> in 2000</w:t>
      </w:r>
      <w:r>
        <w:rPr>
          <w:rStyle w:val="FootnoteReference"/>
          <w:rFonts w:eastAsia="Arial Unicode MS"/>
          <w:noProof/>
          <w:lang w:val="en-US"/>
        </w:rPr>
        <w:footnoteReference w:id="1"/>
      </w:r>
      <w:r>
        <w:rPr>
          <w:rFonts w:eastAsia="Arial Unicode MS"/>
          <w:noProof/>
          <w:lang w:val="en-US"/>
        </w:rPr>
        <w:t>, t</w:t>
      </w:r>
      <w:r w:rsidRPr="0098017E">
        <w:rPr>
          <w:rFonts w:eastAsia="Arial Unicode MS"/>
          <w:noProof/>
          <w:lang w:val="en-US"/>
        </w:rPr>
        <w:t xml:space="preserve">here has been significant progress for researchers. However, there are </w:t>
      </w:r>
      <w:r>
        <w:rPr>
          <w:rFonts w:eastAsia="Arial Unicode MS"/>
          <w:noProof/>
          <w:lang w:val="en-US"/>
        </w:rPr>
        <w:t xml:space="preserve">still </w:t>
      </w:r>
      <w:r w:rsidRPr="0098017E">
        <w:rPr>
          <w:rFonts w:eastAsia="Arial Unicode MS"/>
          <w:noProof/>
          <w:lang w:val="en-US"/>
        </w:rPr>
        <w:t xml:space="preserve">outstanding issues that </w:t>
      </w:r>
      <w:r>
        <w:rPr>
          <w:rFonts w:eastAsia="Arial Unicode MS"/>
          <w:noProof/>
          <w:lang w:val="en-US"/>
        </w:rPr>
        <w:t>require more targeted and effective measures</w:t>
      </w:r>
      <w:r w:rsidRPr="0098017E">
        <w:rPr>
          <w:rFonts w:eastAsia="Arial Unicode MS"/>
          <w:noProof/>
          <w:lang w:val="en-US"/>
        </w:rPr>
        <w:t>.</w:t>
      </w:r>
    </w:p>
    <w:p w14:paraId="6A52E893" w14:textId="77777777" w:rsidR="001403C0" w:rsidRDefault="001403C0" w:rsidP="001403C0">
      <w:pPr>
        <w:pBdr>
          <w:top w:val="nil"/>
          <w:left w:val="nil"/>
          <w:bottom w:val="nil"/>
          <w:right w:val="nil"/>
          <w:between w:val="nil"/>
          <w:bar w:val="nil"/>
        </w:pBdr>
        <w:spacing w:before="0" w:after="240"/>
        <w:rPr>
          <w:rFonts w:eastAsia="Arial Unicode MS"/>
          <w:noProof/>
        </w:rPr>
      </w:pPr>
      <w:r w:rsidRPr="002B6D3D">
        <w:rPr>
          <w:rFonts w:eastAsia="Arial Unicode MS"/>
          <w:noProof/>
        </w:rPr>
        <w:t xml:space="preserve">The </w:t>
      </w:r>
      <w:r w:rsidRPr="002B6D3D">
        <w:rPr>
          <w:rFonts w:eastAsia="Arial Unicode MS"/>
          <w:b/>
          <w:noProof/>
        </w:rPr>
        <w:t>Commission Communication on ‘A New ERA for Research and Innovation’</w:t>
      </w:r>
      <w:r>
        <w:rPr>
          <w:rStyle w:val="FootnoteReference"/>
          <w:rFonts w:eastAsia="Arial Unicode MS"/>
          <w:noProof/>
        </w:rPr>
        <w:footnoteReference w:id="2"/>
      </w:r>
      <w:r>
        <w:rPr>
          <w:rFonts w:eastAsia="Arial Unicode MS"/>
          <w:noProof/>
        </w:rPr>
        <w:t xml:space="preserve"> </w:t>
      </w:r>
      <w:r w:rsidRPr="002B6D3D">
        <w:rPr>
          <w:rFonts w:eastAsia="Arial Unicode MS"/>
          <w:noProof/>
        </w:rPr>
        <w:t xml:space="preserve">acknowledges that career development conditions to attract and retain the best researchers in Europe are necessary in the global race for talents, and that precarious employment, notably for early-career researchers has not adequately improved over the past years. </w:t>
      </w:r>
      <w:r>
        <w:rPr>
          <w:rFonts w:eastAsia="Arial Unicode MS"/>
          <w:noProof/>
        </w:rPr>
        <w:t>It</w:t>
      </w:r>
      <w:r w:rsidRPr="002B6D3D">
        <w:rPr>
          <w:rFonts w:eastAsia="Arial Unicode MS"/>
          <w:noProof/>
        </w:rPr>
        <w:t xml:space="preserve"> provides for a comprehensive approach towards research careers in Europe, through a toolbox of measures aiming at the recognition of </w:t>
      </w:r>
      <w:r>
        <w:rPr>
          <w:rFonts w:eastAsia="Arial Unicode MS"/>
          <w:noProof/>
        </w:rPr>
        <w:t xml:space="preserve">the </w:t>
      </w:r>
      <w:r w:rsidRPr="002B6D3D">
        <w:rPr>
          <w:rFonts w:eastAsia="Arial Unicode MS"/>
          <w:noProof/>
        </w:rPr>
        <w:t xml:space="preserve">researchers’ </w:t>
      </w:r>
      <w:r>
        <w:rPr>
          <w:rFonts w:eastAsia="Arial Unicode MS"/>
          <w:noProof/>
        </w:rPr>
        <w:t xml:space="preserve">profession and </w:t>
      </w:r>
      <w:r w:rsidRPr="002B6D3D">
        <w:rPr>
          <w:rFonts w:eastAsia="Arial Unicode MS"/>
          <w:noProof/>
        </w:rPr>
        <w:t xml:space="preserve">skills, the development of a Competence Framework for Researchers, enhanced mobility and exchanges between academia and industry, targeted training opportunities, and a one-stop-shop portal that researchers can access for a </w:t>
      </w:r>
      <w:r>
        <w:rPr>
          <w:rFonts w:eastAsia="Arial Unicode MS"/>
          <w:noProof/>
        </w:rPr>
        <w:t>wide range of support services.</w:t>
      </w:r>
    </w:p>
    <w:p w14:paraId="09B13442" w14:textId="77777777" w:rsidR="001403C0" w:rsidRPr="00752B9B" w:rsidRDefault="001403C0" w:rsidP="001403C0">
      <w:pPr>
        <w:spacing w:after="200"/>
        <w:rPr>
          <w:rFonts w:eastAsia="Arial Unicode MS"/>
          <w:noProof/>
        </w:rPr>
      </w:pPr>
      <w:r w:rsidRPr="00752B9B">
        <w:rPr>
          <w:rFonts w:eastAsia="Arial Unicode MS"/>
          <w:noProof/>
        </w:rPr>
        <w:t xml:space="preserve">The </w:t>
      </w:r>
      <w:r w:rsidRPr="00477F6D">
        <w:rPr>
          <w:rFonts w:eastAsia="Arial Unicode MS"/>
          <w:b/>
          <w:noProof/>
        </w:rPr>
        <w:t>Council Conclusions on ‘Deepening the European Research Area: Providing researchers with attractive and sustainable careers and working conditions and making brain circulation a reality’</w:t>
      </w:r>
      <w:r w:rsidRPr="00752B9B">
        <w:rPr>
          <w:rFonts w:eastAsia="Arial Unicode MS"/>
          <w:noProof/>
        </w:rPr>
        <w:t xml:space="preserve"> of May 2021</w:t>
      </w:r>
      <w:r>
        <w:rPr>
          <w:rStyle w:val="FootnoteReference"/>
          <w:rFonts w:eastAsia="Arial Unicode MS"/>
          <w:noProof/>
        </w:rPr>
        <w:footnoteReference w:id="3"/>
      </w:r>
      <w:r w:rsidRPr="00752B9B">
        <w:rPr>
          <w:rFonts w:eastAsia="Arial Unicode MS"/>
          <w:noProof/>
        </w:rPr>
        <w:t xml:space="preserve">, </w:t>
      </w:r>
      <w:r>
        <w:rPr>
          <w:rFonts w:eastAsia="Arial Unicode MS"/>
          <w:noProof/>
        </w:rPr>
        <w:t xml:space="preserve">pointed out at the need for </w:t>
      </w:r>
      <w:r>
        <w:rPr>
          <w:noProof/>
        </w:rPr>
        <w:t xml:space="preserve">more coordinated action at European level to overcome the existing challenges faced by researchers and to have adequate and sustainable research careers, stimulate balanced talents circulation, and make Europe an attractive destination for researchers. It is suggested to move </w:t>
      </w:r>
      <w:r w:rsidRPr="00D73703">
        <w:rPr>
          <w:noProof/>
        </w:rPr>
        <w:t xml:space="preserve">towards a single and comprehensive framework, addressing all challenges related to research careers </w:t>
      </w:r>
      <w:r>
        <w:rPr>
          <w:noProof/>
        </w:rPr>
        <w:t>in all possible research employment domains.</w:t>
      </w:r>
    </w:p>
    <w:p w14:paraId="6E2E8E2F" w14:textId="77777777" w:rsidR="001403C0" w:rsidRDefault="001403C0" w:rsidP="001403C0">
      <w:pPr>
        <w:pBdr>
          <w:top w:val="nil"/>
          <w:left w:val="nil"/>
          <w:bottom w:val="nil"/>
          <w:right w:val="nil"/>
          <w:between w:val="nil"/>
          <w:bar w:val="nil"/>
        </w:pBdr>
        <w:spacing w:before="0" w:after="240"/>
        <w:rPr>
          <w:noProof/>
        </w:rPr>
      </w:pPr>
      <w:r>
        <w:rPr>
          <w:rFonts w:eastAsia="Arial Unicode MS"/>
          <w:noProof/>
        </w:rPr>
        <w:t xml:space="preserve">The need to make research careers in Europe more attractive is underlined also by the </w:t>
      </w:r>
      <w:r w:rsidRPr="00DE5A2E">
        <w:rPr>
          <w:b/>
          <w:noProof/>
        </w:rPr>
        <w:t>Council Recommendation on a ‘Pact for Research and Innovation in Europe’ of 26 November 2021</w:t>
      </w:r>
      <w:r>
        <w:rPr>
          <w:rStyle w:val="FootnoteReference"/>
          <w:noProof/>
        </w:rPr>
        <w:footnoteReference w:id="4"/>
      </w:r>
      <w:r w:rsidRPr="00DE5A2E">
        <w:rPr>
          <w:noProof/>
        </w:rPr>
        <w:t xml:space="preserve">, and </w:t>
      </w:r>
      <w:r>
        <w:rPr>
          <w:rFonts w:eastAsia="Arial Unicode MS"/>
          <w:noProof/>
        </w:rPr>
        <w:t xml:space="preserve">the </w:t>
      </w:r>
      <w:r w:rsidRPr="00DE5A2E">
        <w:rPr>
          <w:b/>
          <w:noProof/>
        </w:rPr>
        <w:t>ERA Policy Agenda annexed to the Council Conclusions on the ‘Future governance of the European Research Area’</w:t>
      </w:r>
      <w:r>
        <w:rPr>
          <w:noProof/>
        </w:rPr>
        <w:t xml:space="preserve"> of 26 November 2021</w:t>
      </w:r>
      <w:r>
        <w:rPr>
          <w:rStyle w:val="FootnoteReference"/>
          <w:noProof/>
        </w:rPr>
        <w:footnoteReference w:id="5"/>
      </w:r>
      <w:r>
        <w:rPr>
          <w:noProof/>
        </w:rPr>
        <w:t>, which includes an action to</w:t>
      </w:r>
      <w:r w:rsidRPr="009D1AF6">
        <w:rPr>
          <w:noProof/>
        </w:rPr>
        <w:t xml:space="preserve"> </w:t>
      </w:r>
      <w:r>
        <w:rPr>
          <w:noProof/>
        </w:rPr>
        <w:t xml:space="preserve">‘4. </w:t>
      </w:r>
      <w:r w:rsidRPr="007475A3">
        <w:rPr>
          <w:noProof/>
        </w:rPr>
        <w:t>Promote attractive and sustainable research careers, balanced talent circulation and international, transdisciplinary and inter-secto</w:t>
      </w:r>
      <w:r>
        <w:rPr>
          <w:noProof/>
        </w:rPr>
        <w:t>ral mobility across the ERA’. The action</w:t>
      </w:r>
      <w:r w:rsidRPr="007475A3">
        <w:rPr>
          <w:noProof/>
        </w:rPr>
        <w:t xml:space="preserve"> foresees the development of a European framework for research careers</w:t>
      </w:r>
      <w:r>
        <w:rPr>
          <w:noProof/>
        </w:rPr>
        <w:t>,</w:t>
      </w:r>
      <w:r w:rsidRPr="007475A3">
        <w:rPr>
          <w:noProof/>
        </w:rPr>
        <w:t xml:space="preserve"> </w:t>
      </w:r>
      <w:r>
        <w:rPr>
          <w:noProof/>
        </w:rPr>
        <w:t>and the creation or upgrade of existing instruments in support of research careers.</w:t>
      </w:r>
    </w:p>
    <w:p w14:paraId="0B11827C" w14:textId="77777777" w:rsidR="001403C0" w:rsidRDefault="001403C0" w:rsidP="001403C0">
      <w:pPr>
        <w:pBdr>
          <w:top w:val="nil"/>
          <w:left w:val="nil"/>
          <w:bottom w:val="nil"/>
          <w:right w:val="nil"/>
          <w:between w:val="nil"/>
          <w:bar w:val="nil"/>
        </w:pBdr>
        <w:spacing w:before="0" w:after="240"/>
        <w:rPr>
          <w:rFonts w:eastAsia="Arial Unicode MS"/>
          <w:noProof/>
        </w:rPr>
      </w:pPr>
      <w:r w:rsidRPr="00D30AFC">
        <w:rPr>
          <w:rFonts w:eastAsia="Arial Unicode MS"/>
          <w:noProof/>
        </w:rPr>
        <w:t xml:space="preserve">Across Europe, researchers </w:t>
      </w:r>
      <w:r>
        <w:rPr>
          <w:rFonts w:eastAsia="Arial Unicode MS"/>
          <w:noProof/>
        </w:rPr>
        <w:t xml:space="preserve">often </w:t>
      </w:r>
      <w:r w:rsidRPr="00D30AFC">
        <w:rPr>
          <w:rFonts w:eastAsia="Arial Unicode MS"/>
          <w:noProof/>
        </w:rPr>
        <w:t xml:space="preserve">find themselves in a </w:t>
      </w:r>
      <w:r w:rsidRPr="00D32A8C">
        <w:rPr>
          <w:rFonts w:eastAsia="Arial Unicode MS"/>
          <w:b/>
          <w:noProof/>
        </w:rPr>
        <w:t>precarious position regarding employment and working conditions</w:t>
      </w:r>
      <w:r w:rsidRPr="00D30AFC">
        <w:rPr>
          <w:rFonts w:eastAsia="Arial Unicode MS"/>
          <w:noProof/>
        </w:rPr>
        <w:t xml:space="preserve">. </w:t>
      </w:r>
      <w:r>
        <w:rPr>
          <w:rFonts w:eastAsia="Arial Unicode MS"/>
          <w:noProof/>
        </w:rPr>
        <w:t>This is particularly</w:t>
      </w:r>
      <w:r w:rsidRPr="00D30AFC">
        <w:rPr>
          <w:rFonts w:eastAsia="Arial Unicode MS"/>
          <w:noProof/>
        </w:rPr>
        <w:t xml:space="preserve"> </w:t>
      </w:r>
      <w:r>
        <w:rPr>
          <w:rFonts w:eastAsia="Arial Unicode MS"/>
          <w:noProof/>
        </w:rPr>
        <w:t xml:space="preserve">true for </w:t>
      </w:r>
      <w:r w:rsidRPr="00217FBC">
        <w:rPr>
          <w:rFonts w:eastAsia="Arial Unicode MS"/>
          <w:b/>
          <w:noProof/>
        </w:rPr>
        <w:t>early-career researchers</w:t>
      </w:r>
      <w:r w:rsidRPr="00D30AFC">
        <w:rPr>
          <w:rFonts w:eastAsia="Arial Unicode MS"/>
          <w:noProof/>
        </w:rPr>
        <w:t xml:space="preserve">. While the researcher is usually </w:t>
      </w:r>
      <w:r>
        <w:rPr>
          <w:rFonts w:eastAsia="Arial Unicode MS"/>
          <w:noProof/>
        </w:rPr>
        <w:t>employed by a university or research organisation</w:t>
      </w:r>
      <w:r w:rsidRPr="00D30AFC">
        <w:rPr>
          <w:rFonts w:eastAsia="Arial Unicode MS"/>
          <w:noProof/>
        </w:rPr>
        <w:t xml:space="preserve">, funding comes directly (through fellowships) or indirectly (through research projects) from national and international funding organisations. </w:t>
      </w:r>
      <w:r>
        <w:rPr>
          <w:rFonts w:eastAsia="Arial Unicode MS"/>
          <w:noProof/>
        </w:rPr>
        <w:t>Researchers</w:t>
      </w:r>
      <w:r w:rsidRPr="00D30AFC">
        <w:rPr>
          <w:rFonts w:eastAsia="Arial Unicode MS"/>
          <w:noProof/>
        </w:rPr>
        <w:t xml:space="preserve"> are usually on short term contracts funded through grants with no clear prospect of job stability</w:t>
      </w:r>
      <w:r>
        <w:rPr>
          <w:rFonts w:eastAsia="Arial Unicode MS"/>
          <w:noProof/>
        </w:rPr>
        <w:t>.</w:t>
      </w:r>
      <w:r w:rsidRPr="00D30AFC">
        <w:rPr>
          <w:rFonts w:eastAsia="Arial Unicode MS"/>
          <w:noProof/>
        </w:rPr>
        <w:t xml:space="preserve"> </w:t>
      </w:r>
    </w:p>
    <w:p w14:paraId="39C7879E" w14:textId="77777777" w:rsidR="001403C0" w:rsidRPr="00D30AFC" w:rsidRDefault="001403C0" w:rsidP="001403C0">
      <w:pPr>
        <w:pBdr>
          <w:top w:val="nil"/>
          <w:left w:val="nil"/>
          <w:bottom w:val="nil"/>
          <w:right w:val="nil"/>
          <w:between w:val="nil"/>
          <w:bar w:val="nil"/>
        </w:pBdr>
        <w:spacing w:before="0" w:after="240"/>
        <w:rPr>
          <w:rFonts w:eastAsia="Arial Unicode MS"/>
          <w:noProof/>
        </w:rPr>
      </w:pPr>
      <w:r w:rsidRPr="00D32A8C">
        <w:rPr>
          <w:rFonts w:eastAsia="Arial Unicode MS"/>
          <w:b/>
          <w:noProof/>
        </w:rPr>
        <w:t>Salaries, social protection and working conditions</w:t>
      </w:r>
      <w:r w:rsidRPr="00D30AFC">
        <w:rPr>
          <w:rFonts w:eastAsia="Arial Unicode MS"/>
          <w:noProof/>
        </w:rPr>
        <w:t xml:space="preserve"> can vary significantly depending on the sponsoring funding body. </w:t>
      </w:r>
      <w:r>
        <w:rPr>
          <w:rFonts w:eastAsia="Arial Unicode MS"/>
          <w:noProof/>
        </w:rPr>
        <w:t xml:space="preserve">The </w:t>
      </w:r>
      <w:r w:rsidRPr="00D32A8C">
        <w:rPr>
          <w:rFonts w:eastAsia="Arial Unicode MS"/>
          <w:b/>
          <w:noProof/>
        </w:rPr>
        <w:t>Human Resources Strategy for Researchers (HRS4R)</w:t>
      </w:r>
      <w:r>
        <w:rPr>
          <w:rStyle w:val="FootnoteReference"/>
          <w:rFonts w:eastAsia="Arial Unicode MS"/>
          <w:noProof/>
        </w:rPr>
        <w:footnoteReference w:id="6"/>
      </w:r>
      <w:r w:rsidRPr="00D30AFC">
        <w:rPr>
          <w:rFonts w:eastAsia="Arial Unicode MS"/>
          <w:noProof/>
        </w:rPr>
        <w:t xml:space="preserve"> tool has enabled employers and funders to put the principles of the </w:t>
      </w:r>
      <w:r w:rsidRPr="00D32A8C">
        <w:rPr>
          <w:rFonts w:eastAsia="Arial Unicode MS"/>
          <w:b/>
          <w:noProof/>
        </w:rPr>
        <w:t>Charter and Code for Researchers</w:t>
      </w:r>
      <w:r>
        <w:rPr>
          <w:rStyle w:val="FootnoteReference"/>
          <w:rFonts w:eastAsia="Arial Unicode MS"/>
          <w:noProof/>
        </w:rPr>
        <w:footnoteReference w:id="7"/>
      </w:r>
      <w:r>
        <w:rPr>
          <w:rFonts w:eastAsia="Arial Unicode MS"/>
          <w:noProof/>
        </w:rPr>
        <w:t xml:space="preserve"> </w:t>
      </w:r>
      <w:r w:rsidRPr="00D30AFC">
        <w:rPr>
          <w:rFonts w:eastAsia="Arial Unicode MS"/>
          <w:noProof/>
        </w:rPr>
        <w:t xml:space="preserve">into practice. </w:t>
      </w:r>
      <w:r>
        <w:rPr>
          <w:rFonts w:eastAsia="Arial Unicode MS"/>
          <w:noProof/>
        </w:rPr>
        <w:t>The Marie Sklodowska Curie Actions (MSCA)</w:t>
      </w:r>
      <w:r>
        <w:rPr>
          <w:rStyle w:val="FootnoteReference"/>
          <w:rFonts w:eastAsia="Arial Unicode MS"/>
          <w:noProof/>
        </w:rPr>
        <w:footnoteReference w:id="8"/>
      </w:r>
      <w:r>
        <w:rPr>
          <w:rFonts w:eastAsia="Arial Unicode MS"/>
          <w:noProof/>
        </w:rPr>
        <w:t xml:space="preserve"> are promoting the Charter and Code, by making them a condition to participate in the programme. The Charter and Code, however, dates back to 2005 and needs to be revised to respond to the new reality and challenges, included but not limited to Open Science and gender equality. The revised version should also aim at a wider uptake beyond academia. </w:t>
      </w:r>
      <w:r w:rsidRPr="00D30AFC">
        <w:rPr>
          <w:rFonts w:eastAsia="Arial Unicode MS"/>
          <w:noProof/>
        </w:rPr>
        <w:t xml:space="preserve">The </w:t>
      </w:r>
      <w:r w:rsidRPr="00D32A8C">
        <w:rPr>
          <w:rFonts w:eastAsia="Arial Unicode MS"/>
          <w:b/>
          <w:noProof/>
        </w:rPr>
        <w:t>EURAXESS</w:t>
      </w:r>
      <w:r w:rsidRPr="00D30AFC">
        <w:rPr>
          <w:rFonts w:eastAsia="Arial Unicode MS"/>
          <w:noProof/>
        </w:rPr>
        <w:t xml:space="preserve"> </w:t>
      </w:r>
      <w:r>
        <w:rPr>
          <w:rFonts w:eastAsia="Arial Unicode MS"/>
          <w:noProof/>
        </w:rPr>
        <w:t>portals</w:t>
      </w:r>
      <w:r w:rsidRPr="00D30AFC">
        <w:rPr>
          <w:rFonts w:eastAsia="Arial Unicode MS"/>
          <w:noProof/>
        </w:rPr>
        <w:t xml:space="preserve"> and services</w:t>
      </w:r>
      <w:r>
        <w:rPr>
          <w:rStyle w:val="FootnoteReference"/>
          <w:rFonts w:eastAsia="Arial Unicode MS"/>
          <w:noProof/>
        </w:rPr>
        <w:footnoteReference w:id="9"/>
      </w:r>
      <w:r w:rsidRPr="00D30AFC">
        <w:rPr>
          <w:rFonts w:eastAsia="Arial Unicode MS"/>
          <w:noProof/>
        </w:rPr>
        <w:t xml:space="preserve"> </w:t>
      </w:r>
      <w:r>
        <w:rPr>
          <w:rFonts w:eastAsia="Arial Unicode MS"/>
          <w:noProof/>
        </w:rPr>
        <w:t>continue providing</w:t>
      </w:r>
      <w:r w:rsidRPr="00D30AFC">
        <w:rPr>
          <w:rFonts w:eastAsia="Arial Unicode MS"/>
          <w:noProof/>
        </w:rPr>
        <w:t xml:space="preserve"> mobile researchers globally with essential practical information and access to job opp</w:t>
      </w:r>
      <w:r>
        <w:rPr>
          <w:rFonts w:eastAsia="Arial Unicode MS"/>
          <w:noProof/>
        </w:rPr>
        <w:t xml:space="preserve">ortunities across Europe. </w:t>
      </w:r>
      <w:r w:rsidRPr="00D30AFC">
        <w:rPr>
          <w:rFonts w:eastAsia="Arial Unicode MS"/>
          <w:noProof/>
        </w:rPr>
        <w:t xml:space="preserve">The </w:t>
      </w:r>
      <w:r w:rsidRPr="00D32A8C">
        <w:rPr>
          <w:rFonts w:eastAsia="Arial Unicode MS"/>
          <w:b/>
          <w:noProof/>
        </w:rPr>
        <w:t>RESAVER</w:t>
      </w:r>
      <w:r>
        <w:rPr>
          <w:rStyle w:val="FootnoteReference"/>
          <w:rFonts w:eastAsia="Arial Unicode MS"/>
          <w:noProof/>
        </w:rPr>
        <w:footnoteReference w:id="10"/>
      </w:r>
      <w:r w:rsidRPr="00D30AFC">
        <w:rPr>
          <w:rFonts w:eastAsia="Arial Unicode MS"/>
          <w:noProof/>
        </w:rPr>
        <w:t xml:space="preserve"> pension scheme has helped but for the moment has limited coverage. There is scope to ex</w:t>
      </w:r>
      <w:r>
        <w:rPr>
          <w:rFonts w:eastAsia="Arial Unicode MS"/>
          <w:noProof/>
        </w:rPr>
        <w:t xml:space="preserve">pand these services and tools. </w:t>
      </w:r>
    </w:p>
    <w:p w14:paraId="36AA978F" w14:textId="77777777" w:rsidR="001403C0" w:rsidRPr="00D30AFC" w:rsidRDefault="001403C0" w:rsidP="001403C0">
      <w:pPr>
        <w:pBdr>
          <w:top w:val="nil"/>
          <w:left w:val="nil"/>
          <w:bottom w:val="nil"/>
          <w:right w:val="nil"/>
          <w:between w:val="nil"/>
          <w:bar w:val="nil"/>
        </w:pBdr>
        <w:spacing w:before="0" w:after="240"/>
        <w:rPr>
          <w:rFonts w:eastAsia="Arial Unicode MS"/>
          <w:noProof/>
        </w:rPr>
      </w:pPr>
      <w:r w:rsidRPr="00D30AFC">
        <w:rPr>
          <w:rFonts w:eastAsia="Arial Unicode MS"/>
          <w:noProof/>
        </w:rPr>
        <w:t xml:space="preserve">There has been a lack of </w:t>
      </w:r>
      <w:r>
        <w:rPr>
          <w:rFonts w:eastAsia="Arial Unicode MS"/>
          <w:noProof/>
        </w:rPr>
        <w:t xml:space="preserve">significant </w:t>
      </w:r>
      <w:r w:rsidRPr="00D30AFC">
        <w:rPr>
          <w:rFonts w:eastAsia="Arial Unicode MS"/>
          <w:noProof/>
        </w:rPr>
        <w:t xml:space="preserve">progress in supporting the </w:t>
      </w:r>
      <w:r w:rsidRPr="00D32A8C">
        <w:rPr>
          <w:rFonts w:eastAsia="Arial Unicode MS"/>
          <w:b/>
          <w:noProof/>
        </w:rPr>
        <w:t>transition of researchers to broader employment sectors outside academia</w:t>
      </w:r>
      <w:r>
        <w:rPr>
          <w:rFonts w:eastAsia="Arial Unicode MS"/>
          <w:b/>
          <w:noProof/>
        </w:rPr>
        <w:t xml:space="preserve">, </w:t>
      </w:r>
      <w:r w:rsidRPr="00B4240A">
        <w:rPr>
          <w:rFonts w:eastAsia="Arial Unicode MS"/>
          <w:noProof/>
        </w:rPr>
        <w:t>or towards</w:t>
      </w:r>
      <w:r>
        <w:rPr>
          <w:rFonts w:eastAsia="Arial Unicode MS"/>
          <w:b/>
          <w:noProof/>
        </w:rPr>
        <w:t xml:space="preserve"> </w:t>
      </w:r>
      <w:r w:rsidRPr="00B4240A">
        <w:rPr>
          <w:rFonts w:eastAsia="Arial Unicode MS"/>
          <w:noProof/>
        </w:rPr>
        <w:t>the</w:t>
      </w:r>
      <w:r>
        <w:rPr>
          <w:rFonts w:eastAsia="Arial Unicode MS"/>
          <w:b/>
          <w:noProof/>
        </w:rPr>
        <w:t xml:space="preserve"> creation of own start-ups and innovation</w:t>
      </w:r>
      <w:r w:rsidRPr="00D30AFC">
        <w:rPr>
          <w:rFonts w:eastAsia="Arial Unicode MS"/>
          <w:noProof/>
        </w:rPr>
        <w:t>. One of the core reasons for the above-mentioned lack of progress is the current very narrow means of assessing researchers based on exclusively peer reviewed publications and very often the narrow metric of Journal Impact Factor. The consequence is to make researchers not willing to engage in activities such as open science, inter</w:t>
      </w:r>
      <w:r>
        <w:rPr>
          <w:rFonts w:eastAsia="Arial Unicode MS"/>
          <w:noProof/>
        </w:rPr>
        <w:t>-</w:t>
      </w:r>
      <w:r w:rsidRPr="00D30AFC">
        <w:rPr>
          <w:rFonts w:eastAsia="Arial Unicode MS"/>
          <w:noProof/>
        </w:rPr>
        <w:t>sectoral mobility</w:t>
      </w:r>
      <w:r>
        <w:rPr>
          <w:rFonts w:eastAsia="Arial Unicode MS"/>
          <w:noProof/>
        </w:rPr>
        <w:t xml:space="preserve"> and entrepreneurship</w:t>
      </w:r>
      <w:r w:rsidRPr="00D30AFC">
        <w:rPr>
          <w:rFonts w:eastAsia="Arial Unicode MS"/>
          <w:noProof/>
        </w:rPr>
        <w:t xml:space="preserve">, citizen science and outreach as </w:t>
      </w:r>
      <w:r>
        <w:rPr>
          <w:rFonts w:eastAsia="Arial Unicode MS"/>
          <w:noProof/>
        </w:rPr>
        <w:t xml:space="preserve">these activities will likely </w:t>
      </w:r>
      <w:r w:rsidRPr="00D30AFC">
        <w:rPr>
          <w:rFonts w:eastAsia="Arial Unicode MS"/>
          <w:noProof/>
        </w:rPr>
        <w:t>not be beneficial for an academic career. Also, this practice discourages interdisciplinary research due to the lack of jour</w:t>
      </w:r>
      <w:r>
        <w:rPr>
          <w:rFonts w:eastAsia="Arial Unicode MS"/>
          <w:noProof/>
        </w:rPr>
        <w:t xml:space="preserve">nals with high impact factors. </w:t>
      </w:r>
    </w:p>
    <w:p w14:paraId="498516A6" w14:textId="77777777" w:rsidR="001403C0" w:rsidRPr="00D30AFC" w:rsidRDefault="001403C0" w:rsidP="001403C0">
      <w:pPr>
        <w:pBdr>
          <w:top w:val="nil"/>
          <w:left w:val="nil"/>
          <w:bottom w:val="nil"/>
          <w:right w:val="nil"/>
          <w:between w:val="nil"/>
          <w:bar w:val="nil"/>
        </w:pBdr>
        <w:spacing w:before="0" w:after="240"/>
        <w:rPr>
          <w:rFonts w:eastAsia="Arial Unicode MS"/>
          <w:noProof/>
        </w:rPr>
      </w:pPr>
      <w:r w:rsidRPr="00D30AFC">
        <w:rPr>
          <w:rFonts w:eastAsia="Arial Unicode MS"/>
          <w:noProof/>
        </w:rPr>
        <w:t xml:space="preserve">Another factor that hinders career transition outside of academia is that most PhD candidates are trained in an exclusively academic environment. This form of academic apprenticeship leaves them ill equipped for </w:t>
      </w:r>
      <w:r>
        <w:rPr>
          <w:rFonts w:eastAsia="Arial Unicode MS"/>
          <w:noProof/>
        </w:rPr>
        <w:t>alternative</w:t>
      </w:r>
      <w:r w:rsidRPr="00D30AFC">
        <w:rPr>
          <w:rFonts w:eastAsia="Arial Unicode MS"/>
          <w:noProof/>
        </w:rPr>
        <w:t xml:space="preserve"> careers in other sectors. The UNESCO Science report 2021</w:t>
      </w:r>
      <w:r>
        <w:rPr>
          <w:rStyle w:val="FootnoteReference"/>
          <w:rFonts w:eastAsia="Arial Unicode MS"/>
          <w:noProof/>
        </w:rPr>
        <w:footnoteReference w:id="11"/>
      </w:r>
      <w:r w:rsidRPr="00D30AFC">
        <w:rPr>
          <w:rFonts w:eastAsia="Arial Unicode MS"/>
          <w:noProof/>
        </w:rPr>
        <w:t xml:space="preserve"> states that there are some 8.85 million researchers worldwide. Since 2007, the number of researchers has risen by nearly 30%. China has overtaken the US (at 21</w:t>
      </w:r>
      <w:r>
        <w:rPr>
          <w:rFonts w:eastAsia="Arial Unicode MS"/>
          <w:noProof/>
        </w:rPr>
        <w:t>.1</w:t>
      </w:r>
      <w:r w:rsidRPr="00D30AFC">
        <w:rPr>
          <w:rFonts w:eastAsia="Arial Unicode MS"/>
          <w:noProof/>
        </w:rPr>
        <w:t>% and 16</w:t>
      </w:r>
      <w:r>
        <w:rPr>
          <w:rFonts w:eastAsia="Arial Unicode MS"/>
          <w:noProof/>
        </w:rPr>
        <w:t>.2</w:t>
      </w:r>
      <w:r w:rsidRPr="00D30AFC">
        <w:rPr>
          <w:rFonts w:eastAsia="Arial Unicode MS"/>
          <w:noProof/>
        </w:rPr>
        <w:t xml:space="preserve">% respectively). </w:t>
      </w:r>
      <w:r w:rsidRPr="003E7E53">
        <w:rPr>
          <w:rFonts w:eastAsia="Arial Unicode MS"/>
          <w:b/>
          <w:noProof/>
        </w:rPr>
        <w:t>The EU remains the world leader for the number of researchers</w:t>
      </w:r>
      <w:r>
        <w:rPr>
          <w:rFonts w:eastAsia="Arial Unicode MS"/>
          <w:noProof/>
        </w:rPr>
        <w:t>, with a 23.5</w:t>
      </w:r>
      <w:r w:rsidRPr="00D30AFC">
        <w:rPr>
          <w:rFonts w:eastAsia="Arial Unicode MS"/>
          <w:noProof/>
        </w:rPr>
        <w:t>% share. However, there has not been a similar increase in the number of academic positions and the reality is that only a tiny percentage of PhD graduates will find a job in the academic or public research sector. Therefore, they must look for employment outside these sectors</w:t>
      </w:r>
      <w:r>
        <w:rPr>
          <w:rStyle w:val="FootnoteReference"/>
          <w:rFonts w:eastAsia="Arial Unicode MS"/>
          <w:noProof/>
        </w:rPr>
        <w:footnoteReference w:id="12"/>
      </w:r>
      <w:r w:rsidRPr="00D30AFC">
        <w:rPr>
          <w:rFonts w:eastAsia="Arial Unicode MS"/>
          <w:noProof/>
        </w:rPr>
        <w:t xml:space="preserve">. In fact, given the small number of researchers that progress to become academics, it is academia that is the alternative career. </w:t>
      </w:r>
      <w:r>
        <w:rPr>
          <w:rFonts w:eastAsia="Arial Unicode MS"/>
          <w:noProof/>
        </w:rPr>
        <w:t>As most researchers</w:t>
      </w:r>
      <w:r w:rsidRPr="00D30AFC">
        <w:rPr>
          <w:rFonts w:eastAsia="Arial Unicode MS"/>
          <w:noProof/>
        </w:rPr>
        <w:t xml:space="preserve"> will</w:t>
      </w:r>
      <w:r>
        <w:rPr>
          <w:rFonts w:eastAsia="Arial Unicode MS"/>
          <w:noProof/>
        </w:rPr>
        <w:t xml:space="preserve"> not take up an academic career, </w:t>
      </w:r>
      <w:r w:rsidRPr="00D30AFC">
        <w:rPr>
          <w:rFonts w:eastAsia="Arial Unicode MS"/>
          <w:noProof/>
        </w:rPr>
        <w:t xml:space="preserve">they need to develop the </w:t>
      </w:r>
      <w:r w:rsidRPr="003E7E53">
        <w:rPr>
          <w:rFonts w:eastAsia="Arial Unicode MS"/>
          <w:b/>
          <w:noProof/>
        </w:rPr>
        <w:t>skills to be employed in non-academic sectors or to establish own entrepreneurial activities</w:t>
      </w:r>
      <w:r w:rsidRPr="00D30AFC">
        <w:rPr>
          <w:rFonts w:eastAsia="Arial Unicode MS"/>
          <w:noProof/>
        </w:rPr>
        <w:t xml:space="preserve">. </w:t>
      </w:r>
    </w:p>
    <w:p w14:paraId="11C2C602" w14:textId="77777777" w:rsidR="001403C0" w:rsidRDefault="001403C0" w:rsidP="001403C0">
      <w:pPr>
        <w:pBdr>
          <w:top w:val="nil"/>
          <w:left w:val="nil"/>
          <w:bottom w:val="nil"/>
          <w:right w:val="nil"/>
          <w:between w:val="nil"/>
          <w:bar w:val="nil"/>
        </w:pBdr>
        <w:spacing w:before="0" w:after="240"/>
        <w:rPr>
          <w:rFonts w:eastAsia="Arial Unicode MS"/>
          <w:noProof/>
          <w:lang w:val="en-US"/>
        </w:rPr>
      </w:pPr>
      <w:r>
        <w:rPr>
          <w:rFonts w:eastAsia="Arial Unicode MS"/>
          <w:noProof/>
          <w:lang w:val="en-US"/>
        </w:rPr>
        <w:t>T</w:t>
      </w:r>
      <w:r w:rsidRPr="0098017E">
        <w:rPr>
          <w:rFonts w:eastAsia="Arial Unicode MS"/>
          <w:noProof/>
          <w:lang w:val="en-US"/>
        </w:rPr>
        <w:t xml:space="preserve">here is </w:t>
      </w:r>
      <w:r>
        <w:rPr>
          <w:rFonts w:eastAsia="Arial Unicode MS"/>
          <w:noProof/>
          <w:lang w:val="en-US"/>
        </w:rPr>
        <w:t>still</w:t>
      </w:r>
      <w:r w:rsidRPr="0098017E">
        <w:rPr>
          <w:rFonts w:eastAsia="Arial Unicode MS"/>
          <w:noProof/>
          <w:lang w:val="en-US"/>
        </w:rPr>
        <w:t xml:space="preserve"> </w:t>
      </w:r>
      <w:r w:rsidRPr="00D32A8C">
        <w:rPr>
          <w:rFonts w:eastAsia="Arial Unicode MS"/>
          <w:b/>
          <w:noProof/>
          <w:lang w:val="en-US"/>
        </w:rPr>
        <w:t>asymmetric mobility of researchers</w:t>
      </w:r>
      <w:r w:rsidRPr="0098017E">
        <w:rPr>
          <w:rFonts w:eastAsia="Arial Unicode MS"/>
          <w:noProof/>
          <w:lang w:val="en-US"/>
        </w:rPr>
        <w:t xml:space="preserve"> from East to West and South to North. Over the years there have been interventions, </w:t>
      </w:r>
      <w:r>
        <w:rPr>
          <w:rFonts w:eastAsia="Arial Unicode MS"/>
          <w:noProof/>
          <w:lang w:val="en-US"/>
        </w:rPr>
        <w:t>such as the possibility to use Cohesion Policy funds</w:t>
      </w:r>
      <w:r w:rsidRPr="0098017E">
        <w:rPr>
          <w:rFonts w:eastAsia="Arial Unicode MS"/>
          <w:noProof/>
          <w:lang w:val="en-US"/>
        </w:rPr>
        <w:t xml:space="preserve"> for research</w:t>
      </w:r>
      <w:r>
        <w:rPr>
          <w:rFonts w:eastAsia="Arial Unicode MS"/>
          <w:noProof/>
          <w:lang w:val="en-US"/>
        </w:rPr>
        <w:t>,</w:t>
      </w:r>
      <w:r w:rsidRPr="0098017E">
        <w:rPr>
          <w:rFonts w:eastAsia="Arial Unicode MS"/>
          <w:noProof/>
          <w:lang w:val="en-US"/>
        </w:rPr>
        <w:t xml:space="preserve"> </w:t>
      </w:r>
      <w:r>
        <w:rPr>
          <w:rFonts w:eastAsia="Arial Unicode MS"/>
          <w:noProof/>
          <w:lang w:val="en-US"/>
        </w:rPr>
        <w:t>or specific actions for</w:t>
      </w:r>
      <w:r w:rsidRPr="0098017E">
        <w:rPr>
          <w:rFonts w:eastAsia="Arial Unicode MS"/>
          <w:noProof/>
          <w:lang w:val="en-US"/>
        </w:rPr>
        <w:t xml:space="preserve"> Widening </w:t>
      </w:r>
      <w:r>
        <w:rPr>
          <w:rFonts w:eastAsia="Arial Unicode MS"/>
          <w:noProof/>
          <w:lang w:val="en-US"/>
        </w:rPr>
        <w:t>countries under the Framework Programmes for research and innovation</w:t>
      </w:r>
      <w:r>
        <w:rPr>
          <w:rStyle w:val="FootnoteReference"/>
          <w:rFonts w:eastAsia="Arial Unicode MS"/>
          <w:noProof/>
          <w:lang w:val="en-US"/>
        </w:rPr>
        <w:footnoteReference w:id="13"/>
      </w:r>
      <w:r>
        <w:rPr>
          <w:rFonts w:eastAsia="Arial Unicode MS"/>
          <w:noProof/>
          <w:lang w:val="en-US"/>
        </w:rPr>
        <w:t xml:space="preserve">. </w:t>
      </w:r>
      <w:r w:rsidRPr="0098017E">
        <w:rPr>
          <w:rFonts w:eastAsia="Arial Unicode MS"/>
          <w:noProof/>
          <w:lang w:val="en-US"/>
        </w:rPr>
        <w:t xml:space="preserve">However, while they have helped to </w:t>
      </w:r>
      <w:r>
        <w:rPr>
          <w:rFonts w:eastAsia="Arial Unicode MS"/>
          <w:noProof/>
          <w:lang w:val="en-US"/>
        </w:rPr>
        <w:t>induce</w:t>
      </w:r>
      <w:r w:rsidRPr="0098017E">
        <w:rPr>
          <w:rFonts w:eastAsia="Arial Unicode MS"/>
          <w:noProof/>
          <w:lang w:val="en-US"/>
        </w:rPr>
        <w:t xml:space="preserve"> a more balanced circulation of talent, these initiatives have not been sufficient to </w:t>
      </w:r>
      <w:r>
        <w:rPr>
          <w:rFonts w:eastAsia="Arial Unicode MS"/>
          <w:noProof/>
          <w:lang w:val="en-US"/>
        </w:rPr>
        <w:t>create longstanding effects.</w:t>
      </w:r>
    </w:p>
    <w:p w14:paraId="7832FD2F" w14:textId="77777777" w:rsidR="001403C0" w:rsidRDefault="001403C0" w:rsidP="001403C0">
      <w:pPr>
        <w:pBdr>
          <w:top w:val="nil"/>
          <w:left w:val="nil"/>
          <w:bottom w:val="nil"/>
          <w:right w:val="nil"/>
          <w:between w:val="nil"/>
          <w:bar w:val="nil"/>
        </w:pBdr>
        <w:spacing w:before="0" w:after="240"/>
        <w:rPr>
          <w:noProof/>
        </w:rPr>
      </w:pPr>
      <w:r w:rsidRPr="00D30AFC">
        <w:rPr>
          <w:rFonts w:eastAsia="Arial Unicode MS"/>
          <w:noProof/>
        </w:rPr>
        <w:t xml:space="preserve">While significant advances have been made regarding </w:t>
      </w:r>
      <w:r w:rsidRPr="00D32A8C">
        <w:rPr>
          <w:rFonts w:eastAsia="Arial Unicode MS"/>
          <w:b/>
          <w:noProof/>
        </w:rPr>
        <w:t>gender equality</w:t>
      </w:r>
      <w:r w:rsidRPr="00D30AFC">
        <w:rPr>
          <w:rFonts w:eastAsia="Arial Unicode MS"/>
          <w:noProof/>
        </w:rPr>
        <w:t xml:space="preserve">, there are still outstanding issues. </w:t>
      </w:r>
      <w:r>
        <w:rPr>
          <w:noProof/>
        </w:rPr>
        <w:t>There is a need to effectively address persisting gender inequalities in research careers – including gender pay gap, career progression, gender biases in assessment, work-life balance issues as well as gender-based violence, which all affect participation and career progression. Moreover, specific efforts are needed to address women’s under-representation in the science, technology, engineering and mathematics (STEM).</w:t>
      </w:r>
    </w:p>
    <w:p w14:paraId="5727F8B2" w14:textId="77777777" w:rsidR="001403C0" w:rsidRDefault="001403C0" w:rsidP="001403C0">
      <w:pPr>
        <w:pBdr>
          <w:top w:val="nil"/>
          <w:left w:val="nil"/>
          <w:bottom w:val="nil"/>
          <w:right w:val="nil"/>
          <w:between w:val="nil"/>
          <w:bar w:val="nil"/>
        </w:pBdr>
        <w:spacing w:before="0" w:after="240"/>
        <w:rPr>
          <w:rFonts w:eastAsia="Arial Unicode MS"/>
          <w:noProof/>
        </w:rPr>
      </w:pPr>
      <w:r w:rsidRPr="00D30AFC">
        <w:rPr>
          <w:rFonts w:eastAsia="Arial Unicode MS"/>
          <w:noProof/>
        </w:rPr>
        <w:t xml:space="preserve">At a more fundamental level, the </w:t>
      </w:r>
      <w:r w:rsidRPr="00D32A8C">
        <w:rPr>
          <w:rFonts w:eastAsia="Arial Unicode MS"/>
          <w:b/>
          <w:noProof/>
        </w:rPr>
        <w:t>definition of the researcher</w:t>
      </w:r>
      <w:r w:rsidRPr="00D30AFC">
        <w:rPr>
          <w:rFonts w:eastAsia="Arial Unicode MS"/>
          <w:noProof/>
        </w:rPr>
        <w:t xml:space="preserve"> needs to be revisited to ensure that it comprehends the wide range of career options. </w:t>
      </w:r>
      <w:r>
        <w:rPr>
          <w:rFonts w:eastAsia="Arial Unicode MS"/>
          <w:noProof/>
        </w:rPr>
        <w:t>It must be acknowledged that</w:t>
      </w:r>
      <w:r w:rsidRPr="00D30AFC">
        <w:rPr>
          <w:rFonts w:eastAsia="Arial Unicode MS"/>
          <w:noProof/>
        </w:rPr>
        <w:t xml:space="preserve"> </w:t>
      </w:r>
      <w:r>
        <w:rPr>
          <w:rFonts w:eastAsia="Arial Unicode MS"/>
          <w:noProof/>
        </w:rPr>
        <w:t>beyond research, other activities play a significant role, such as</w:t>
      </w:r>
      <w:r w:rsidRPr="00D30AFC">
        <w:rPr>
          <w:rFonts w:eastAsia="Arial Unicode MS"/>
          <w:noProof/>
        </w:rPr>
        <w:t xml:space="preserve"> teaching, supervision and ment</w:t>
      </w:r>
      <w:r>
        <w:rPr>
          <w:rFonts w:eastAsia="Arial Unicode MS"/>
          <w:noProof/>
        </w:rPr>
        <w:t xml:space="preserve">oring, engaging with industry and society. Moreover, it must be recognised that high-level research and innovation requires the support of a multitude of </w:t>
      </w:r>
      <w:r w:rsidRPr="00DF1D12">
        <w:rPr>
          <w:rFonts w:eastAsia="Arial Unicode MS"/>
          <w:b/>
          <w:noProof/>
        </w:rPr>
        <w:t>research management roles</w:t>
      </w:r>
      <w:r w:rsidRPr="00DF1D12">
        <w:rPr>
          <w:rFonts w:eastAsia="Arial Unicode MS"/>
          <w:noProof/>
        </w:rPr>
        <w:t>, undertaken by researchers or other professionals</w:t>
      </w:r>
      <w:r w:rsidRPr="005D5942">
        <w:rPr>
          <w:rFonts w:eastAsia="Arial Unicode MS"/>
          <w:noProof/>
        </w:rPr>
        <w:t>.</w:t>
      </w:r>
    </w:p>
    <w:p w14:paraId="337CB1FC" w14:textId="77777777" w:rsidR="001403C0" w:rsidRPr="00D30AFC" w:rsidRDefault="001403C0" w:rsidP="001403C0">
      <w:pPr>
        <w:pBdr>
          <w:top w:val="nil"/>
          <w:left w:val="nil"/>
          <w:bottom w:val="nil"/>
          <w:right w:val="nil"/>
          <w:between w:val="nil"/>
          <w:bar w:val="nil"/>
        </w:pBdr>
        <w:spacing w:before="0" w:after="240"/>
        <w:rPr>
          <w:rFonts w:eastAsia="Arial Unicode MS"/>
          <w:noProof/>
        </w:rPr>
      </w:pPr>
      <w:r>
        <w:rPr>
          <w:rFonts w:eastAsia="Arial Unicode MS"/>
          <w:noProof/>
        </w:rPr>
        <w:t xml:space="preserve">Given the importance of research careers, framework conditions and support measures need to be accompanied by an adequate and regular </w:t>
      </w:r>
      <w:r w:rsidRPr="00586CDA">
        <w:rPr>
          <w:rFonts w:eastAsia="Arial Unicode MS"/>
          <w:b/>
          <w:noProof/>
        </w:rPr>
        <w:t>monitoring system</w:t>
      </w:r>
      <w:r>
        <w:rPr>
          <w:rFonts w:eastAsia="Arial Unicode MS"/>
          <w:noProof/>
        </w:rPr>
        <w:t>, allowing for the collection of relevant data that can support research and innovation stakeholders as well as policy makers.</w:t>
      </w:r>
    </w:p>
    <w:p w14:paraId="51C4EAE9" w14:textId="77777777" w:rsidR="001403C0" w:rsidRPr="001403C0" w:rsidRDefault="001403C0" w:rsidP="001403C0">
      <w:pPr>
        <w:pStyle w:val="Text1"/>
        <w:rPr>
          <w:noProof/>
        </w:rPr>
      </w:pPr>
    </w:p>
    <w:p w14:paraId="0A74C8BC" w14:textId="77777777" w:rsidR="001403C0" w:rsidRPr="00044058" w:rsidRDefault="001403C0" w:rsidP="00044058">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14:paraId="3D4590D7" w14:textId="77777777" w:rsidR="001403C0" w:rsidRPr="001403C0" w:rsidRDefault="001403C0" w:rsidP="001403C0">
      <w:pPr>
        <w:pBdr>
          <w:top w:val="nil"/>
          <w:left w:val="nil"/>
          <w:bottom w:val="nil"/>
          <w:right w:val="nil"/>
          <w:between w:val="nil"/>
          <w:bar w:val="nil"/>
        </w:pBdr>
        <w:spacing w:before="0" w:after="240"/>
        <w:rPr>
          <w:rFonts w:eastAsia="Arial Unicode MS"/>
          <w:noProof/>
        </w:rPr>
      </w:pPr>
      <w:r w:rsidRPr="001403C0">
        <w:rPr>
          <w:rFonts w:eastAsia="Arial Unicode MS"/>
          <w:noProof/>
        </w:rPr>
        <w:t>The current proposal for a Council Recommendation aims at responding to concerns and recommendations raised by the Commission and the Council</w:t>
      </w:r>
      <w:r w:rsidRPr="00E8678E">
        <w:rPr>
          <w:rStyle w:val="FootnoteReference"/>
          <w:noProof/>
        </w:rPr>
        <w:footnoteReference w:id="14"/>
      </w:r>
      <w:r w:rsidRPr="001403C0">
        <w:rPr>
          <w:rFonts w:eastAsia="Arial Unicode MS"/>
          <w:noProof/>
        </w:rPr>
        <w:t xml:space="preserve"> and implements one of the expected outcomes of action 4 of the ERA Policy Agenda, notably the development of a European framework for research careers. It provides the standards that can guide Member States, research organisations, funders and stakeholders in increasing stability and attractiveness of research careers. The objective is to </w:t>
      </w:r>
      <w:r w:rsidRPr="001403C0">
        <w:rPr>
          <w:rFonts w:eastAsia="Arial Unicode MS"/>
          <w:b/>
          <w:noProof/>
        </w:rPr>
        <w:t>retain European researchers, and make Europe an attractive destination for foreign talents</w:t>
      </w:r>
      <w:r w:rsidRPr="001403C0">
        <w:rPr>
          <w:rFonts w:eastAsia="Arial Unicode MS"/>
          <w:noProof/>
        </w:rPr>
        <w:t>.</w:t>
      </w:r>
    </w:p>
    <w:p w14:paraId="30D258F4" w14:textId="77777777" w:rsidR="001403C0" w:rsidRPr="001403C0" w:rsidRDefault="001403C0" w:rsidP="001403C0">
      <w:pPr>
        <w:pBdr>
          <w:top w:val="nil"/>
          <w:left w:val="nil"/>
          <w:bottom w:val="nil"/>
          <w:right w:val="nil"/>
          <w:between w:val="nil"/>
          <w:bar w:val="nil"/>
        </w:pBdr>
        <w:spacing w:before="0" w:after="240"/>
        <w:rPr>
          <w:noProof/>
        </w:rPr>
      </w:pPr>
      <w:r w:rsidRPr="001403C0">
        <w:rPr>
          <w:rFonts w:eastAsia="Arial Unicode MS"/>
          <w:noProof/>
        </w:rPr>
        <w:t xml:space="preserve">A clear </w:t>
      </w:r>
      <w:r w:rsidRPr="001403C0">
        <w:rPr>
          <w:rFonts w:eastAsia="Arial Unicode MS"/>
          <w:b/>
          <w:noProof/>
        </w:rPr>
        <w:t>definition of ‘researcher’</w:t>
      </w:r>
      <w:r w:rsidRPr="001403C0">
        <w:rPr>
          <w:rFonts w:eastAsia="Arial Unicode MS"/>
          <w:noProof/>
        </w:rPr>
        <w:t xml:space="preserve"> is provided</w:t>
      </w:r>
      <w:r w:rsidRPr="00E8678E">
        <w:rPr>
          <w:rStyle w:val="FootnoteReference"/>
          <w:noProof/>
        </w:rPr>
        <w:footnoteReference w:id="15"/>
      </w:r>
      <w:r w:rsidRPr="001403C0">
        <w:rPr>
          <w:rFonts w:eastAsia="Arial Unicode MS"/>
          <w:noProof/>
        </w:rPr>
        <w:t xml:space="preserve">, to allow for a proper recognition of the profession in Europe. It is also clarified that researchers can take up a variety of </w:t>
      </w:r>
      <w:r w:rsidRPr="001403C0">
        <w:rPr>
          <w:rFonts w:eastAsia="Arial Unicode MS"/>
          <w:b/>
          <w:noProof/>
        </w:rPr>
        <w:t>research professions</w:t>
      </w:r>
      <w:r w:rsidRPr="001403C0">
        <w:rPr>
          <w:rFonts w:eastAsia="Arial Unicode MS"/>
          <w:noProof/>
        </w:rPr>
        <w:t xml:space="preserve"> </w:t>
      </w:r>
      <w:r w:rsidRPr="001403C0">
        <w:rPr>
          <w:noProof/>
        </w:rPr>
        <w:t xml:space="preserve">in all relevant sectors, including academia, business, public administration, and the non-profit sector. The proposal recognises the </w:t>
      </w:r>
      <w:r w:rsidRPr="001403C0">
        <w:rPr>
          <w:rFonts w:eastAsia="Arial Unicode MS"/>
          <w:noProof/>
        </w:rPr>
        <w:t xml:space="preserve">multitude of </w:t>
      </w:r>
      <w:r w:rsidRPr="001403C0">
        <w:rPr>
          <w:rFonts w:eastAsia="Arial Unicode MS"/>
          <w:b/>
          <w:noProof/>
        </w:rPr>
        <w:t>research management roles</w:t>
      </w:r>
      <w:r w:rsidRPr="001403C0">
        <w:rPr>
          <w:rFonts w:eastAsia="Arial Unicode MS"/>
          <w:noProof/>
        </w:rPr>
        <w:t xml:space="preserve"> undertaken by researchers or other professionals, underlining the importance of further analysis and alignment of these professions at European level.</w:t>
      </w:r>
    </w:p>
    <w:p w14:paraId="10AB621C" w14:textId="77777777" w:rsidR="001403C0" w:rsidRPr="001403C0" w:rsidRDefault="001403C0" w:rsidP="001403C0">
      <w:pPr>
        <w:pBdr>
          <w:top w:val="nil"/>
          <w:left w:val="nil"/>
          <w:bottom w:val="nil"/>
          <w:right w:val="nil"/>
          <w:between w:val="nil"/>
          <w:bar w:val="nil"/>
        </w:pBdr>
        <w:spacing w:before="0" w:after="240"/>
        <w:rPr>
          <w:rFonts w:eastAsia="Arial Unicode MS"/>
          <w:noProof/>
        </w:rPr>
      </w:pPr>
      <w:r w:rsidRPr="001403C0">
        <w:rPr>
          <w:rFonts w:eastAsia="Arial Unicode MS"/>
          <w:noProof/>
        </w:rPr>
        <w:t xml:space="preserve">Improving </w:t>
      </w:r>
      <w:r w:rsidRPr="001403C0">
        <w:rPr>
          <w:rFonts w:eastAsia="Arial Unicode MS"/>
          <w:b/>
          <w:noProof/>
        </w:rPr>
        <w:t>working conditions</w:t>
      </w:r>
      <w:r w:rsidRPr="001403C0">
        <w:rPr>
          <w:rFonts w:eastAsia="Arial Unicode MS"/>
          <w:noProof/>
        </w:rPr>
        <w:t xml:space="preserve">, ensuring a work-life balance, and </w:t>
      </w:r>
      <w:r w:rsidRPr="001403C0">
        <w:rPr>
          <w:rFonts w:eastAsia="Arial Unicode MS"/>
          <w:b/>
          <w:noProof/>
        </w:rPr>
        <w:t>countering precarity</w:t>
      </w:r>
      <w:r w:rsidRPr="001403C0">
        <w:rPr>
          <w:rFonts w:eastAsia="Arial Unicode MS"/>
          <w:noProof/>
        </w:rPr>
        <w:t xml:space="preserve">, including by limiting fixed-term contracts and fostering more sustainable funding mechanisms for research organisations, will be a fundamental element for more attractive research careers. This will be complemented by measures to ensure adequate </w:t>
      </w:r>
      <w:r w:rsidRPr="001403C0">
        <w:rPr>
          <w:rFonts w:eastAsia="Arial Unicode MS"/>
          <w:b/>
          <w:noProof/>
        </w:rPr>
        <w:t>social protection measures</w:t>
      </w:r>
      <w:r w:rsidRPr="001403C0">
        <w:rPr>
          <w:rFonts w:eastAsia="Arial Unicode MS"/>
          <w:noProof/>
        </w:rPr>
        <w:t xml:space="preserve"> and the portability of pension rights beyond borders. A </w:t>
      </w:r>
      <w:r w:rsidRPr="001403C0">
        <w:rPr>
          <w:rFonts w:eastAsia="Arial Unicode MS"/>
          <w:b/>
          <w:noProof/>
        </w:rPr>
        <w:t>particular focus is placed on early-career researchers</w:t>
      </w:r>
      <w:r w:rsidRPr="001403C0">
        <w:rPr>
          <w:rFonts w:eastAsia="Arial Unicode MS"/>
          <w:noProof/>
        </w:rPr>
        <w:t>, with dedicated incentives.</w:t>
      </w:r>
    </w:p>
    <w:p w14:paraId="19DF7B01" w14:textId="77777777" w:rsidR="001403C0" w:rsidRPr="001403C0" w:rsidRDefault="001403C0" w:rsidP="001403C0">
      <w:pPr>
        <w:pBdr>
          <w:top w:val="nil"/>
          <w:left w:val="nil"/>
          <w:bottom w:val="nil"/>
          <w:right w:val="nil"/>
          <w:between w:val="nil"/>
          <w:bar w:val="nil"/>
        </w:pBdr>
        <w:spacing w:before="0" w:after="240"/>
        <w:rPr>
          <w:rFonts w:eastAsia="Arial Unicode MS"/>
          <w:noProof/>
        </w:rPr>
      </w:pPr>
      <w:r w:rsidRPr="001403C0">
        <w:rPr>
          <w:rFonts w:eastAsia="Arial Unicode MS"/>
          <w:noProof/>
        </w:rPr>
        <w:t xml:space="preserve">A </w:t>
      </w:r>
      <w:r w:rsidRPr="001403C0">
        <w:rPr>
          <w:rFonts w:eastAsia="Arial Unicode MS"/>
          <w:b/>
          <w:noProof/>
        </w:rPr>
        <w:t>new Charter for Researchers</w:t>
      </w:r>
      <w:r w:rsidRPr="001403C0">
        <w:rPr>
          <w:rFonts w:eastAsia="Arial Unicode MS"/>
          <w:noProof/>
        </w:rPr>
        <w:t xml:space="preserve"> will replace the 2005 Charter and Code for Researchers</w:t>
      </w:r>
      <w:r w:rsidRPr="00E8678E">
        <w:rPr>
          <w:rStyle w:val="FootnoteReference"/>
          <w:noProof/>
        </w:rPr>
        <w:footnoteReference w:id="16"/>
      </w:r>
      <w:r w:rsidRPr="001403C0">
        <w:rPr>
          <w:rFonts w:eastAsia="Arial Unicode MS"/>
          <w:noProof/>
        </w:rPr>
        <w:t>, and will support the provision of good working conditions and research environments in relevant organisations. It will be a single document addressing simultaneously researchers, employers, funders and policy makers, and featuring a more streamlined number of principles</w:t>
      </w:r>
      <w:r w:rsidRPr="00E8678E">
        <w:rPr>
          <w:rStyle w:val="FootnoteReference"/>
          <w:noProof/>
        </w:rPr>
        <w:footnoteReference w:id="17"/>
      </w:r>
      <w:r w:rsidRPr="001403C0">
        <w:rPr>
          <w:rFonts w:eastAsia="Arial Unicode MS"/>
          <w:noProof/>
        </w:rPr>
        <w:t xml:space="preserve"> to facilitate implementation in all sectors. The new Charter can be the opportunity to launch the process for the revision of the current implementation mechanism Human Resources Strategy for Researchers (HRS4R).</w:t>
      </w:r>
    </w:p>
    <w:p w14:paraId="2D7E9CFF" w14:textId="77777777" w:rsidR="001403C0" w:rsidRPr="001403C0" w:rsidRDefault="001403C0" w:rsidP="001403C0">
      <w:pPr>
        <w:pBdr>
          <w:top w:val="nil"/>
          <w:left w:val="nil"/>
          <w:bottom w:val="nil"/>
          <w:right w:val="nil"/>
          <w:between w:val="nil"/>
          <w:bar w:val="nil"/>
        </w:pBdr>
        <w:spacing w:before="0" w:after="240"/>
        <w:rPr>
          <w:rFonts w:eastAsia="Arial Unicode MS"/>
          <w:noProof/>
        </w:rPr>
      </w:pPr>
      <w:r w:rsidRPr="001403C0">
        <w:rPr>
          <w:rFonts w:eastAsia="Arial Unicode MS"/>
          <w:noProof/>
        </w:rPr>
        <w:t xml:space="preserve">Strengthening </w:t>
      </w:r>
      <w:r w:rsidRPr="001403C0">
        <w:rPr>
          <w:rFonts w:eastAsia="Arial Unicode MS"/>
          <w:b/>
          <w:noProof/>
        </w:rPr>
        <w:t>researchers’ skills</w:t>
      </w:r>
      <w:r w:rsidRPr="001403C0">
        <w:rPr>
          <w:rFonts w:eastAsia="Arial Unicode MS"/>
          <w:noProof/>
        </w:rPr>
        <w:t xml:space="preserve">, notably transversal ones by making use of the </w:t>
      </w:r>
      <w:r w:rsidRPr="001403C0">
        <w:rPr>
          <w:rFonts w:eastAsia="Arial Unicode MS"/>
          <w:b/>
          <w:noProof/>
        </w:rPr>
        <w:t>European Competence Framework for Researchers (ResearchComp)</w:t>
      </w:r>
      <w:r w:rsidRPr="00E8678E">
        <w:rPr>
          <w:rStyle w:val="FootnoteReference"/>
          <w:noProof/>
        </w:rPr>
        <w:footnoteReference w:id="18"/>
      </w:r>
      <w:r w:rsidRPr="001403C0">
        <w:rPr>
          <w:rFonts w:eastAsia="Arial Unicode MS"/>
          <w:b/>
          <w:noProof/>
        </w:rPr>
        <w:t xml:space="preserve"> </w:t>
      </w:r>
      <w:r w:rsidRPr="001403C0">
        <w:rPr>
          <w:rFonts w:eastAsia="Arial Unicode MS"/>
          <w:bCs/>
          <w:noProof/>
        </w:rPr>
        <w:t>and including with the support of micro-credentials</w:t>
      </w:r>
      <w:r w:rsidRPr="00E8678E">
        <w:rPr>
          <w:rStyle w:val="FootnoteReference"/>
          <w:noProof/>
        </w:rPr>
        <w:footnoteReference w:id="19"/>
      </w:r>
      <w:r w:rsidRPr="001403C0">
        <w:rPr>
          <w:rFonts w:eastAsia="Arial Unicode MS"/>
          <w:noProof/>
        </w:rPr>
        <w:t xml:space="preserve">, will foster </w:t>
      </w:r>
      <w:r w:rsidRPr="001403C0">
        <w:rPr>
          <w:rFonts w:eastAsia="Arial Unicode MS"/>
          <w:b/>
          <w:noProof/>
        </w:rPr>
        <w:t>inter-sectoral mobility</w:t>
      </w:r>
      <w:r w:rsidRPr="001403C0">
        <w:rPr>
          <w:rFonts w:eastAsia="Arial Unicode MS"/>
          <w:noProof/>
        </w:rPr>
        <w:t xml:space="preserve"> and a real flow of talents between sectors. This will underpin knowledge circulation, and help close the gap between researchers and the labour market demand for highly skilled talents.</w:t>
      </w:r>
    </w:p>
    <w:p w14:paraId="6D59AEFC" w14:textId="77777777" w:rsidR="001403C0" w:rsidRPr="001403C0" w:rsidRDefault="001403C0" w:rsidP="001403C0">
      <w:pPr>
        <w:pBdr>
          <w:top w:val="nil"/>
          <w:left w:val="nil"/>
          <w:bottom w:val="nil"/>
          <w:right w:val="nil"/>
          <w:between w:val="nil"/>
          <w:bar w:val="nil"/>
        </w:pBdr>
        <w:spacing w:before="0" w:after="240"/>
        <w:rPr>
          <w:rFonts w:eastAsia="Arial Unicode MS"/>
          <w:noProof/>
        </w:rPr>
      </w:pPr>
      <w:r w:rsidRPr="001403C0">
        <w:rPr>
          <w:rFonts w:eastAsia="Arial Unicode MS"/>
          <w:noProof/>
        </w:rPr>
        <w:t xml:space="preserve">Talent is at the core of </w:t>
      </w:r>
      <w:r w:rsidRPr="001403C0">
        <w:rPr>
          <w:rFonts w:eastAsia="Arial Unicode MS"/>
          <w:b/>
          <w:noProof/>
        </w:rPr>
        <w:t>innovation</w:t>
      </w:r>
      <w:r w:rsidRPr="001403C0">
        <w:rPr>
          <w:rFonts w:eastAsia="Arial Unicode MS"/>
          <w:noProof/>
        </w:rPr>
        <w:t>. Creating conditions to deliver and ensure a flow-through of highly skilled and resilient talents able to contribute to Europe’s recovery and competitive edge is key. This entails stronger ties between academia and industry, and an entrepreneurial and innovation culture, with talents able to take the ideas they develop to the market.</w:t>
      </w:r>
    </w:p>
    <w:p w14:paraId="249AFD46" w14:textId="77777777" w:rsidR="001403C0" w:rsidRPr="001403C0" w:rsidRDefault="001403C0" w:rsidP="001403C0">
      <w:pPr>
        <w:pBdr>
          <w:top w:val="nil"/>
          <w:left w:val="nil"/>
          <w:bottom w:val="nil"/>
          <w:right w:val="nil"/>
          <w:between w:val="nil"/>
          <w:bar w:val="nil"/>
        </w:pBdr>
        <w:spacing w:before="0" w:after="240"/>
        <w:rPr>
          <w:rFonts w:eastAsia="Arial Unicode MS"/>
          <w:noProof/>
        </w:rPr>
      </w:pPr>
      <w:r w:rsidRPr="001403C0">
        <w:rPr>
          <w:rFonts w:eastAsia="Arial Unicode MS"/>
          <w:noProof/>
        </w:rPr>
        <w:t>While fostering inter-sectoral mobility and all other forms of mobility</w:t>
      </w:r>
      <w:r w:rsidRPr="00E8678E">
        <w:rPr>
          <w:rStyle w:val="FootnoteReference"/>
          <w:noProof/>
        </w:rPr>
        <w:footnoteReference w:id="20"/>
      </w:r>
      <w:r w:rsidRPr="001403C0">
        <w:rPr>
          <w:rFonts w:eastAsia="Arial Unicode MS"/>
          <w:noProof/>
        </w:rPr>
        <w:t xml:space="preserve">, and the creation of start-ups by researchers, the proposal acknowledges and rewards the </w:t>
      </w:r>
      <w:r w:rsidRPr="001403C0">
        <w:rPr>
          <w:rFonts w:eastAsia="Arial Unicode MS"/>
          <w:b/>
          <w:noProof/>
        </w:rPr>
        <w:t>different career paths</w:t>
      </w:r>
      <w:r w:rsidRPr="001403C0">
        <w:rPr>
          <w:rFonts w:eastAsia="Arial Unicode MS"/>
          <w:noProof/>
        </w:rPr>
        <w:t xml:space="preserve">, to make sure that their added value is adequately taken into consideration in relation to recruitment, career progression, and researchers’ assessment. This is complemented by the support for </w:t>
      </w:r>
      <w:r w:rsidRPr="001403C0">
        <w:rPr>
          <w:rFonts w:eastAsia="Arial Unicode MS"/>
          <w:b/>
          <w:noProof/>
        </w:rPr>
        <w:t>career advisory and support services</w:t>
      </w:r>
      <w:r w:rsidRPr="001403C0">
        <w:rPr>
          <w:rFonts w:eastAsia="Arial Unicode MS"/>
          <w:noProof/>
        </w:rPr>
        <w:t>, to help researchers find their most suitable path and foster career development.</w:t>
      </w:r>
    </w:p>
    <w:p w14:paraId="68F3267E" w14:textId="77777777" w:rsidR="001403C0" w:rsidRPr="001403C0" w:rsidRDefault="001403C0" w:rsidP="001403C0">
      <w:pPr>
        <w:spacing w:before="0" w:after="0"/>
        <w:rPr>
          <w:rFonts w:eastAsia="Times New Roman"/>
          <w:noProof/>
          <w:color w:val="000000"/>
          <w:szCs w:val="24"/>
          <w:lang w:val="en-US"/>
        </w:rPr>
      </w:pPr>
      <w:r w:rsidRPr="001403C0">
        <w:rPr>
          <w:rFonts w:eastAsia="Times New Roman"/>
          <w:noProof/>
          <w:color w:val="000000"/>
          <w:szCs w:val="24"/>
        </w:rPr>
        <w:t>T</w:t>
      </w:r>
      <w:r w:rsidRPr="001403C0">
        <w:rPr>
          <w:rFonts w:eastAsia="Times New Roman"/>
          <w:noProof/>
          <w:color w:val="000000"/>
          <w:szCs w:val="24"/>
          <w:lang w:val="en-US"/>
        </w:rPr>
        <w:t xml:space="preserve">he </w:t>
      </w:r>
      <w:r w:rsidRPr="001403C0">
        <w:rPr>
          <w:rFonts w:eastAsia="Times New Roman"/>
          <w:b/>
          <w:noProof/>
          <w:color w:val="000000"/>
          <w:szCs w:val="24"/>
          <w:lang w:val="en-US"/>
        </w:rPr>
        <w:t>R1-R4 profiles for researchers</w:t>
      </w:r>
      <w:r w:rsidRPr="001403C0">
        <w:rPr>
          <w:rFonts w:eastAsia="Times New Roman"/>
          <w:noProof/>
          <w:color w:val="000000"/>
          <w:szCs w:val="24"/>
          <w:lang w:val="en-US"/>
        </w:rPr>
        <w:t xml:space="preserve"> introduced in 2011</w:t>
      </w:r>
      <w:r w:rsidRPr="00E8678E">
        <w:rPr>
          <w:rStyle w:val="FootnoteReference"/>
          <w:noProof/>
        </w:rPr>
        <w:footnoteReference w:id="21"/>
      </w:r>
      <w:r w:rsidRPr="001403C0">
        <w:rPr>
          <w:rFonts w:eastAsia="Times New Roman"/>
          <w:noProof/>
          <w:color w:val="000000"/>
          <w:szCs w:val="24"/>
          <w:lang w:val="en-US"/>
        </w:rPr>
        <w:t xml:space="preserve"> are updated and complemented by examples of occupations for each level and across sectors to make researchers’ careers more comparable and interoperable across employment sectors and countries</w:t>
      </w:r>
      <w:r w:rsidRPr="00E8678E">
        <w:rPr>
          <w:rStyle w:val="FootnoteReference"/>
          <w:noProof/>
        </w:rPr>
        <w:footnoteReference w:id="22"/>
      </w:r>
      <w:r w:rsidRPr="001403C0">
        <w:rPr>
          <w:rFonts w:eastAsia="Times New Roman"/>
          <w:noProof/>
          <w:color w:val="000000"/>
          <w:szCs w:val="24"/>
          <w:lang w:val="en-US"/>
        </w:rPr>
        <w:t xml:space="preserve">. </w:t>
      </w:r>
    </w:p>
    <w:p w14:paraId="5318953A" w14:textId="77777777" w:rsidR="001403C0" w:rsidRPr="001403C0" w:rsidRDefault="001403C0" w:rsidP="001403C0">
      <w:pPr>
        <w:spacing w:before="0" w:after="0"/>
        <w:rPr>
          <w:rFonts w:eastAsia="Times New Roman"/>
          <w:noProof/>
          <w:color w:val="000000"/>
          <w:szCs w:val="24"/>
          <w:lang w:val="en-US"/>
        </w:rPr>
      </w:pPr>
    </w:p>
    <w:p w14:paraId="7121A9A9" w14:textId="77777777" w:rsidR="001403C0" w:rsidRPr="001403C0" w:rsidRDefault="001403C0" w:rsidP="001403C0">
      <w:pPr>
        <w:pBdr>
          <w:top w:val="nil"/>
          <w:left w:val="nil"/>
          <w:bottom w:val="nil"/>
          <w:right w:val="nil"/>
          <w:between w:val="nil"/>
          <w:bar w:val="nil"/>
        </w:pBdr>
        <w:spacing w:before="0" w:after="240"/>
        <w:rPr>
          <w:rFonts w:eastAsia="Arial Unicode MS"/>
          <w:noProof/>
        </w:rPr>
      </w:pPr>
      <w:r w:rsidRPr="001403C0">
        <w:rPr>
          <w:rFonts w:eastAsia="Arial Unicode MS"/>
          <w:noProof/>
        </w:rPr>
        <w:t xml:space="preserve">The implementation of the new standards and recommendations will improve the overall national and European research and innovation systems, contributing to structurally </w:t>
      </w:r>
      <w:r w:rsidRPr="001403C0">
        <w:rPr>
          <w:rFonts w:eastAsia="Arial Unicode MS"/>
          <w:b/>
          <w:noProof/>
        </w:rPr>
        <w:t>addressing cases of unbalanced circulation of talents</w:t>
      </w:r>
      <w:r w:rsidRPr="001403C0">
        <w:rPr>
          <w:rFonts w:eastAsia="Arial Unicode MS"/>
          <w:noProof/>
        </w:rPr>
        <w:t>.</w:t>
      </w:r>
    </w:p>
    <w:p w14:paraId="33769F32" w14:textId="77777777" w:rsidR="001403C0" w:rsidRPr="001403C0" w:rsidRDefault="001403C0" w:rsidP="001403C0">
      <w:pPr>
        <w:pBdr>
          <w:top w:val="nil"/>
          <w:left w:val="nil"/>
          <w:bottom w:val="nil"/>
          <w:right w:val="nil"/>
          <w:between w:val="nil"/>
          <w:bar w:val="nil"/>
        </w:pBdr>
        <w:spacing w:before="0" w:after="240"/>
        <w:rPr>
          <w:rFonts w:eastAsia="Arial Unicode MS"/>
          <w:noProof/>
        </w:rPr>
      </w:pPr>
      <w:r w:rsidRPr="001403C0">
        <w:rPr>
          <w:rFonts w:eastAsia="Arial Unicode MS"/>
          <w:noProof/>
        </w:rPr>
        <w:t xml:space="preserve">Support is provided for the implementation and further development of existing and new tools in support of research careers (e.g. EURAXESS, RESAVER, ResearchComp). They will all find place in the upcoming </w:t>
      </w:r>
      <w:r w:rsidRPr="001403C0">
        <w:rPr>
          <w:rFonts w:eastAsia="Arial Unicode MS"/>
          <w:b/>
          <w:noProof/>
        </w:rPr>
        <w:t>ERA Talent Platform</w:t>
      </w:r>
      <w:r w:rsidRPr="001403C0">
        <w:rPr>
          <w:rFonts w:eastAsia="Arial Unicode MS"/>
          <w:noProof/>
        </w:rPr>
        <w:t xml:space="preserve">, a one-stop shop for researchers providing support also for research organisations. </w:t>
      </w:r>
    </w:p>
    <w:p w14:paraId="68C62318" w14:textId="77777777" w:rsidR="001403C0" w:rsidRPr="001403C0" w:rsidRDefault="001403C0" w:rsidP="001403C0">
      <w:pPr>
        <w:pBdr>
          <w:top w:val="nil"/>
          <w:left w:val="nil"/>
          <w:bottom w:val="nil"/>
          <w:right w:val="nil"/>
          <w:between w:val="nil"/>
          <w:bar w:val="nil"/>
        </w:pBdr>
        <w:spacing w:before="0" w:after="240"/>
        <w:rPr>
          <w:rFonts w:eastAsia="Arial Unicode MS"/>
          <w:noProof/>
        </w:rPr>
      </w:pPr>
      <w:r w:rsidRPr="001403C0">
        <w:rPr>
          <w:rFonts w:eastAsia="Arial Unicode MS"/>
          <w:noProof/>
        </w:rPr>
        <w:t xml:space="preserve">A </w:t>
      </w:r>
      <w:r w:rsidRPr="001403C0">
        <w:rPr>
          <w:rFonts w:eastAsia="Arial Unicode MS"/>
          <w:b/>
          <w:noProof/>
        </w:rPr>
        <w:t>research careers observatory</w:t>
      </w:r>
      <w:r w:rsidRPr="001403C0">
        <w:rPr>
          <w:rFonts w:eastAsia="Arial Unicode MS"/>
          <w:noProof/>
        </w:rPr>
        <w:t xml:space="preserve"> will allow for the monitoring of the implementation of the current proposal, by collecting indicators on the different aspects covered. On the basis of this data, stakeholders and policy makers at national and European level will be able to take evidence-based action.</w:t>
      </w:r>
    </w:p>
    <w:p w14:paraId="143D3912" w14:textId="77777777" w:rsidR="001403C0" w:rsidRPr="002D5EE2" w:rsidRDefault="001403C0" w:rsidP="00044058">
      <w:pPr>
        <w:pStyle w:val="ManualHeading2"/>
        <w:rPr>
          <w:rFonts w:eastAsia="Arial Unicode MS"/>
          <w:noProof/>
          <w:color w:val="000000"/>
          <w:u w:color="000000"/>
          <w:bdr w:val="nil"/>
          <w:lang w:val="en-US" w:eastAsia="en-GB"/>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Consistency with existing policy provisions in the</w:t>
      </w:r>
      <w:r>
        <w:rPr>
          <w:rFonts w:eastAsia="Arial Unicode MS"/>
          <w:noProof/>
        </w:rPr>
        <w:t xml:space="preserve"> </w:t>
      </w:r>
      <w:r w:rsidRPr="002D5EE2">
        <w:rPr>
          <w:rFonts w:eastAsia="Arial Unicode MS"/>
          <w:noProof/>
        </w:rPr>
        <w:t>policy area</w:t>
      </w:r>
    </w:p>
    <w:p w14:paraId="0BC329DB" w14:textId="77777777" w:rsidR="001403C0" w:rsidRPr="001403C0" w:rsidRDefault="001403C0" w:rsidP="001403C0">
      <w:pPr>
        <w:pBdr>
          <w:top w:val="nil"/>
          <w:left w:val="nil"/>
          <w:bottom w:val="nil"/>
          <w:right w:val="nil"/>
          <w:between w:val="nil"/>
          <w:bar w:val="nil"/>
        </w:pBdr>
        <w:spacing w:before="0" w:after="240"/>
        <w:rPr>
          <w:rFonts w:eastAsia="Arial Unicode MS"/>
          <w:noProof/>
        </w:rPr>
      </w:pPr>
      <w:r w:rsidRPr="001403C0">
        <w:rPr>
          <w:rFonts w:eastAsia="Arial Unicode MS"/>
          <w:noProof/>
        </w:rPr>
        <w:t>The current proposal is consistent with existing policy provisions, notably:</w:t>
      </w:r>
    </w:p>
    <w:p w14:paraId="59296084" w14:textId="77777777" w:rsidR="001403C0" w:rsidRPr="001403C0" w:rsidRDefault="001403C0" w:rsidP="00931EC5">
      <w:pPr>
        <w:pStyle w:val="Tiret0"/>
        <w:numPr>
          <w:ilvl w:val="0"/>
          <w:numId w:val="2"/>
        </w:numPr>
        <w:rPr>
          <w:rFonts w:eastAsia="Arial Unicode MS"/>
          <w:noProof/>
        </w:rPr>
      </w:pPr>
      <w:r w:rsidRPr="001403C0">
        <w:rPr>
          <w:rFonts w:eastAsia="Arial Unicode MS"/>
          <w:noProof/>
        </w:rPr>
        <w:t xml:space="preserve">The </w:t>
      </w:r>
      <w:r w:rsidRPr="001403C0">
        <w:rPr>
          <w:b/>
          <w:noProof/>
        </w:rPr>
        <w:t>Commission Communication on a ‘European Skills Agenda for sustainable competitiveness, social fairness and resilience’</w:t>
      </w:r>
      <w:r w:rsidRPr="001403C0">
        <w:rPr>
          <w:noProof/>
        </w:rPr>
        <w:t>, adopted on 1 July 2020</w:t>
      </w:r>
      <w:r w:rsidRPr="00E8678E">
        <w:rPr>
          <w:rStyle w:val="FootnoteReference"/>
          <w:noProof/>
        </w:rPr>
        <w:footnoteReference w:id="23"/>
      </w:r>
      <w:r w:rsidRPr="001403C0">
        <w:rPr>
          <w:noProof/>
        </w:rPr>
        <w:t>, which underlines that researchers are at the forefront of science and innovation, and that they need specific sets of skills to have successful careers within and outside academia. Among others, the Skills Agenda foresees the definition of a taxonomy of skills for researchers, the development of a European Competence Framework for Researchers, and support for equipping researchers with the skills needed for inter-sectoral mobility. The first flagship action of the Skills Agenda, the EU Pact for Skills, supports upskilling and reskilling through collaboration between industry, education and training providers, social partners and public authorities in large-scale skills partnerships.</w:t>
      </w:r>
    </w:p>
    <w:p w14:paraId="23689D5E" w14:textId="77777777" w:rsidR="001403C0" w:rsidRPr="001403C0" w:rsidRDefault="001403C0" w:rsidP="00543A67">
      <w:pPr>
        <w:pStyle w:val="Tiret0"/>
        <w:rPr>
          <w:rFonts w:eastAsia="Arial Unicode MS"/>
          <w:noProof/>
        </w:rPr>
      </w:pPr>
      <w:r w:rsidRPr="001403C0">
        <w:rPr>
          <w:rFonts w:eastAsia="Arial Unicode MS"/>
          <w:noProof/>
        </w:rPr>
        <w:t xml:space="preserve">The </w:t>
      </w:r>
      <w:r w:rsidRPr="001403C0">
        <w:rPr>
          <w:rFonts w:eastAsia="Arial Unicode MS"/>
          <w:b/>
          <w:noProof/>
        </w:rPr>
        <w:t>Commission Communication on ‘A European Strategy for Universities’</w:t>
      </w:r>
      <w:r w:rsidRPr="00E8678E">
        <w:rPr>
          <w:rStyle w:val="FootnoteReference"/>
          <w:noProof/>
        </w:rPr>
        <w:footnoteReference w:id="24"/>
      </w:r>
      <w:r w:rsidRPr="001403C0">
        <w:rPr>
          <w:rFonts w:eastAsia="Arial Unicode MS"/>
          <w:noProof/>
        </w:rPr>
        <w:t xml:space="preserve">, adopted on 18 January 2022, which </w:t>
      </w:r>
      <w:r w:rsidRPr="001403C0">
        <w:rPr>
          <w:noProof/>
        </w:rPr>
        <w:t>foresees the development of a framework for research careers, in synergy with a European framework for attractive and sustainable careers in higher education.</w:t>
      </w:r>
    </w:p>
    <w:p w14:paraId="7F69EAD3" w14:textId="77777777" w:rsidR="001403C0" w:rsidRPr="001403C0" w:rsidRDefault="001403C0" w:rsidP="00543A67">
      <w:pPr>
        <w:pStyle w:val="Tiret0"/>
        <w:rPr>
          <w:rFonts w:eastAsia="Arial Unicode MS"/>
          <w:noProof/>
        </w:rPr>
      </w:pPr>
      <w:r w:rsidRPr="001403C0">
        <w:rPr>
          <w:noProof/>
        </w:rPr>
        <w:t xml:space="preserve">The </w:t>
      </w:r>
      <w:r w:rsidRPr="001403C0">
        <w:rPr>
          <w:b/>
          <w:noProof/>
        </w:rPr>
        <w:t>Commission Communication on ‘A new European Innovation Agenda’</w:t>
      </w:r>
      <w:r w:rsidRPr="001403C0">
        <w:rPr>
          <w:noProof/>
        </w:rPr>
        <w:t>, adopted on 5 July 2022</w:t>
      </w:r>
      <w:r w:rsidRPr="00E8678E">
        <w:rPr>
          <w:rStyle w:val="FootnoteReference"/>
          <w:noProof/>
        </w:rPr>
        <w:footnoteReference w:id="25"/>
      </w:r>
      <w:r w:rsidRPr="001403C0">
        <w:rPr>
          <w:noProof/>
        </w:rPr>
        <w:t>, acknowledges that innovation depends on the successful nurture, attraction and retention of talented individuals and a diverse array of skills, and underlines the importance of inter-sectoral mobility.</w:t>
      </w:r>
    </w:p>
    <w:p w14:paraId="1D628C07" w14:textId="77777777" w:rsidR="001403C0" w:rsidRPr="001403C0" w:rsidRDefault="001403C0" w:rsidP="00543A67">
      <w:pPr>
        <w:pStyle w:val="Tiret0"/>
        <w:rPr>
          <w:rFonts w:eastAsia="Arial Unicode MS"/>
          <w:noProof/>
        </w:rPr>
      </w:pPr>
      <w:r w:rsidRPr="001403C0">
        <w:rPr>
          <w:noProof/>
        </w:rPr>
        <w:t xml:space="preserve">The </w:t>
      </w:r>
      <w:r w:rsidRPr="001403C0">
        <w:rPr>
          <w:b/>
          <w:bCs/>
          <w:noProof/>
        </w:rPr>
        <w:t>Council Recommendation on ‘The guiding principles for knowledge valorisation’</w:t>
      </w:r>
      <w:r w:rsidRPr="00E8678E">
        <w:rPr>
          <w:rStyle w:val="FootnoteReference"/>
          <w:noProof/>
        </w:rPr>
        <w:footnoteReference w:id="26"/>
      </w:r>
      <w:r w:rsidRPr="001403C0">
        <w:rPr>
          <w:b/>
          <w:bCs/>
          <w:noProof/>
        </w:rPr>
        <w:t>,</w:t>
      </w:r>
      <w:r w:rsidRPr="001403C0">
        <w:rPr>
          <w:noProof/>
        </w:rPr>
        <w:t xml:space="preserve"> adopted on 2 December 2022, aims to adopt a common line on policy principles and measures for national, regional and local policy makers to maximize the transformation of research and innovation results into solutions that benefit society. Among others, the Guiding Principles promote a framework to support the development of skills and capacities, a system of incentives, and metrics, monitoring and evaluation.</w:t>
      </w:r>
    </w:p>
    <w:p w14:paraId="68A2A741" w14:textId="77777777" w:rsidR="001403C0" w:rsidRPr="002D5EE2" w:rsidRDefault="001403C0" w:rsidP="00A4693B">
      <w:pPr>
        <w:pStyle w:val="ManualHeading2"/>
        <w:rPr>
          <w:rFonts w:eastAsia="Arial Unicode MS"/>
          <w:noProof/>
        </w:rPr>
      </w:pPr>
      <w:r w:rsidRPr="002D5EE2">
        <w:rPr>
          <w:rFonts w:eastAsia="Arial Unicode MS"/>
          <w:noProof/>
          <w:color w:val="000000"/>
          <w:u w:color="000000"/>
          <w:bdr w:val="nil"/>
          <w:lang w:val="en-US" w:eastAsia="en-GB"/>
        </w:rPr>
        <w:t>•</w:t>
      </w:r>
      <w:r w:rsidRPr="002D5EE2">
        <w:rPr>
          <w:rFonts w:eastAsia="Arial Unicode MS"/>
          <w:noProof/>
          <w:color w:val="000000"/>
          <w:u w:color="000000"/>
          <w:bdr w:val="nil"/>
          <w:lang w:val="en-US" w:eastAsia="en-GB"/>
        </w:rPr>
        <w:tab/>
      </w:r>
      <w:r w:rsidRPr="002D5EE2">
        <w:rPr>
          <w:rFonts w:eastAsia="Arial Unicode MS"/>
          <w:noProof/>
        </w:rPr>
        <w:t>Consistency with other Union policies</w:t>
      </w:r>
    </w:p>
    <w:p w14:paraId="42F76A17" w14:textId="77777777" w:rsidR="001403C0" w:rsidRPr="001403C0" w:rsidRDefault="001403C0" w:rsidP="001403C0">
      <w:pPr>
        <w:pBdr>
          <w:top w:val="nil"/>
          <w:left w:val="nil"/>
          <w:bottom w:val="nil"/>
          <w:right w:val="nil"/>
          <w:between w:val="nil"/>
          <w:bar w:val="nil"/>
        </w:pBdr>
        <w:spacing w:before="0" w:after="240"/>
        <w:rPr>
          <w:rFonts w:eastAsia="Arial Unicode MS"/>
          <w:noProof/>
        </w:rPr>
      </w:pPr>
      <w:r w:rsidRPr="001403C0">
        <w:rPr>
          <w:rFonts w:eastAsia="Arial Unicode MS"/>
          <w:noProof/>
        </w:rPr>
        <w:t>The current proposal is consistent with other Union policies, notably:</w:t>
      </w:r>
    </w:p>
    <w:p w14:paraId="28ADC967" w14:textId="77777777" w:rsidR="001403C0" w:rsidRPr="001403C0" w:rsidRDefault="001403C0" w:rsidP="00543A67">
      <w:pPr>
        <w:pStyle w:val="Tiret0"/>
        <w:rPr>
          <w:rFonts w:eastAsia="Arial Unicode MS"/>
          <w:noProof/>
        </w:rPr>
      </w:pPr>
      <w:r w:rsidRPr="001403C0">
        <w:rPr>
          <w:noProof/>
        </w:rPr>
        <w:t xml:space="preserve">The </w:t>
      </w:r>
      <w:r w:rsidRPr="001403C0">
        <w:rPr>
          <w:b/>
          <w:bCs/>
          <w:noProof/>
        </w:rPr>
        <w:t>European Pillar of Social Rights,</w:t>
      </w:r>
      <w:r w:rsidRPr="001403C0">
        <w:rPr>
          <w:noProof/>
        </w:rPr>
        <w:t xml:space="preserve"> proclaimed by the European Parliament, the Council and the Commission in November 2017 and setting essential principles and rights for fair and well-functioning labour markets and welfare systems in the 21st century, and related Union provisions in the field of working conditions and social protection, including the </w:t>
      </w:r>
      <w:r w:rsidRPr="001403C0">
        <w:rPr>
          <w:b/>
          <w:bCs/>
          <w:noProof/>
        </w:rPr>
        <w:t>Commission Communication on ‘An initiative to support work-life balance for working parents and carers’</w:t>
      </w:r>
      <w:r w:rsidRPr="00E8678E">
        <w:rPr>
          <w:rStyle w:val="FootnoteReference"/>
          <w:noProof/>
        </w:rPr>
        <w:footnoteReference w:id="27"/>
      </w:r>
      <w:r w:rsidRPr="001403C0">
        <w:rPr>
          <w:noProof/>
        </w:rPr>
        <w:t xml:space="preserve"> adopted on 26 April 2017; the </w:t>
      </w:r>
      <w:r w:rsidRPr="001403C0">
        <w:rPr>
          <w:b/>
          <w:bCs/>
          <w:noProof/>
        </w:rPr>
        <w:t>Directive on ‘Transparent and predictable working conditions in the European Union’</w:t>
      </w:r>
      <w:r w:rsidRPr="00E8678E">
        <w:rPr>
          <w:rStyle w:val="FootnoteReference"/>
          <w:noProof/>
        </w:rPr>
        <w:footnoteReference w:id="28"/>
      </w:r>
      <w:r w:rsidRPr="001403C0">
        <w:rPr>
          <w:noProof/>
        </w:rPr>
        <w:t xml:space="preserve">, and the </w:t>
      </w:r>
      <w:r w:rsidRPr="001403C0">
        <w:rPr>
          <w:b/>
          <w:bCs/>
          <w:noProof/>
        </w:rPr>
        <w:t>Directive on ‘Work-life balance for parents and carers’</w:t>
      </w:r>
      <w:r w:rsidRPr="00E8678E">
        <w:rPr>
          <w:rStyle w:val="FootnoteReference"/>
          <w:noProof/>
        </w:rPr>
        <w:footnoteReference w:id="29"/>
      </w:r>
      <w:r w:rsidRPr="001403C0">
        <w:rPr>
          <w:noProof/>
        </w:rPr>
        <w:t xml:space="preserve">, adopted on 20 June 2019; the </w:t>
      </w:r>
      <w:r w:rsidRPr="001403C0">
        <w:rPr>
          <w:b/>
          <w:bCs/>
          <w:noProof/>
        </w:rPr>
        <w:t>Council Recommendation on ‘Access to social protection for workers and the self-employed’</w:t>
      </w:r>
      <w:r w:rsidRPr="00E8678E">
        <w:rPr>
          <w:rStyle w:val="FootnoteReference"/>
          <w:noProof/>
        </w:rPr>
        <w:footnoteReference w:id="30"/>
      </w:r>
      <w:r w:rsidRPr="001403C0">
        <w:rPr>
          <w:noProof/>
        </w:rPr>
        <w:t>, adopted on 8 November 2019. The Council Recommendation on Access to Social Protection, in particular, aims at ensuring that both workers and self-employed, under comparable conditions, can adhere to social security systems, build up and claim adequate entitlements, easily transfer social security entitlements from one job to the next, and have transparent information about their social security entitlements and obligations.</w:t>
      </w:r>
    </w:p>
    <w:p w14:paraId="2E142E1D" w14:textId="77777777" w:rsidR="001403C0" w:rsidRPr="001403C0" w:rsidRDefault="001403C0" w:rsidP="00543A67">
      <w:pPr>
        <w:pStyle w:val="Tiret0"/>
        <w:rPr>
          <w:noProof/>
        </w:rPr>
      </w:pPr>
      <w:r w:rsidRPr="001403C0">
        <w:rPr>
          <w:noProof/>
        </w:rPr>
        <w:t xml:space="preserve">The </w:t>
      </w:r>
      <w:r w:rsidRPr="001403C0">
        <w:rPr>
          <w:b/>
          <w:noProof/>
        </w:rPr>
        <w:t>Commission Communication on ‘Attracting skills and talent to the EU’</w:t>
      </w:r>
      <w:r w:rsidRPr="00E8678E">
        <w:rPr>
          <w:rStyle w:val="FootnoteReference"/>
          <w:noProof/>
        </w:rPr>
        <w:footnoteReference w:id="31"/>
      </w:r>
      <w:r w:rsidRPr="001403C0">
        <w:rPr>
          <w:noProof/>
        </w:rPr>
        <w:t>, adopted on 27 April 2022 , recognises the importance and the need for the EU to become more attractive for talent from around the world. In this context, the Students and Researchers Directive</w:t>
      </w:r>
      <w:r w:rsidRPr="00E8678E">
        <w:rPr>
          <w:rStyle w:val="FootnoteReference"/>
          <w:noProof/>
        </w:rPr>
        <w:footnoteReference w:id="32"/>
      </w:r>
      <w:r w:rsidRPr="001403C0">
        <w:rPr>
          <w:noProof/>
        </w:rPr>
        <w:t xml:space="preserve">  and the recent revision of the EU Blue Card Directive</w:t>
      </w:r>
      <w:r w:rsidRPr="00E8678E">
        <w:rPr>
          <w:rStyle w:val="FootnoteReference"/>
          <w:noProof/>
        </w:rPr>
        <w:footnoteReference w:id="33"/>
      </w:r>
      <w:r w:rsidRPr="001403C0">
        <w:rPr>
          <w:noProof/>
        </w:rPr>
        <w:t xml:space="preserve"> contribute to these objectives by making it easier and more attractive for researchers and highly skilled workers to come to the EU, and by promoting the circulation of knowledge and skills by moving between Member States through enhanced intra-EU mobility rights.  </w:t>
      </w:r>
    </w:p>
    <w:p w14:paraId="5739E321" w14:textId="77777777" w:rsidR="001403C0" w:rsidRPr="001403C0" w:rsidRDefault="001403C0" w:rsidP="00543A67">
      <w:pPr>
        <w:pStyle w:val="Tiret0"/>
        <w:rPr>
          <w:rFonts w:eastAsia="Arial Unicode MS"/>
          <w:noProof/>
        </w:rPr>
      </w:pPr>
      <w:r w:rsidRPr="001403C0">
        <w:rPr>
          <w:noProof/>
        </w:rPr>
        <w:t xml:space="preserve">The </w:t>
      </w:r>
      <w:r w:rsidRPr="001403C0">
        <w:rPr>
          <w:b/>
          <w:bCs/>
          <w:noProof/>
        </w:rPr>
        <w:t>Commission Communication on ‘Harnessing talent in Europe’s regions’</w:t>
      </w:r>
      <w:r w:rsidRPr="00E8678E">
        <w:rPr>
          <w:rStyle w:val="FootnoteReference"/>
          <w:noProof/>
        </w:rPr>
        <w:footnoteReference w:id="34"/>
      </w:r>
      <w:r w:rsidRPr="001403C0">
        <w:rPr>
          <w:noProof/>
        </w:rPr>
        <w:t>, adopted on 17 January 2023, focusing on the challenges of the talent development trap in the EU regions linked to the demographic decline, stagnating share of tertiary education population, and significant departure of young people.</w:t>
      </w:r>
    </w:p>
    <w:p w14:paraId="62CB4599" w14:textId="77777777" w:rsidR="001403C0" w:rsidRPr="002D5EE2" w:rsidRDefault="001403C0" w:rsidP="00550536">
      <w:pPr>
        <w:pStyle w:val="ManualHeading1"/>
        <w:rPr>
          <w:noProof/>
        </w:rPr>
      </w:pPr>
      <w:r w:rsidRPr="002D5EE2">
        <w:rPr>
          <w:noProof/>
        </w:rPr>
        <w:t>2.</w:t>
      </w:r>
      <w:r w:rsidRPr="002D5EE2">
        <w:rPr>
          <w:noProof/>
        </w:rPr>
        <w:tab/>
        <w:t>LEGAL BASIS, SUBSIDIARITY AND PROPORTIONALITY</w:t>
      </w:r>
    </w:p>
    <w:p w14:paraId="2B39EBE7" w14:textId="77777777" w:rsidR="001403C0" w:rsidRPr="002D5EE2" w:rsidRDefault="001403C0"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Legal basis</w:t>
      </w:r>
    </w:p>
    <w:p w14:paraId="681BD748" w14:textId="77777777" w:rsidR="001403C0" w:rsidRDefault="001403C0" w:rsidP="001403C0">
      <w:pPr>
        <w:pBdr>
          <w:top w:val="nil"/>
          <w:left w:val="nil"/>
          <w:bottom w:val="nil"/>
          <w:right w:val="nil"/>
          <w:between w:val="nil"/>
          <w:bar w:val="nil"/>
        </w:pBdr>
        <w:spacing w:before="0" w:after="240"/>
        <w:rPr>
          <w:noProof/>
        </w:rPr>
      </w:pPr>
      <w:r>
        <w:rPr>
          <w:noProof/>
        </w:rPr>
        <w:t xml:space="preserve">The legal bases for this initiative are Articles 182(5) and 292 TFEU. In accordance with Article 292 TFEU, the Council can adopt recommendations and it will act on a proposal from the Commission in all cases where the Treaties provide that it must adopt acts on a proposal from the Commission. </w:t>
      </w:r>
    </w:p>
    <w:p w14:paraId="0F1EC13F" w14:textId="77777777" w:rsidR="001403C0" w:rsidRDefault="001403C0" w:rsidP="001403C0">
      <w:pPr>
        <w:pBdr>
          <w:top w:val="nil"/>
          <w:left w:val="nil"/>
          <w:bottom w:val="nil"/>
          <w:right w:val="nil"/>
          <w:between w:val="nil"/>
          <w:bar w:val="nil"/>
        </w:pBdr>
        <w:spacing w:before="0" w:after="240"/>
        <w:rPr>
          <w:noProof/>
        </w:rPr>
      </w:pPr>
      <w:r>
        <w:rPr>
          <w:noProof/>
        </w:rPr>
        <w:t xml:space="preserve">In accordance with Article 179 TFEU, the Union will have the objective of strengthening its scientific and technological bases by achieving a European research area in which researchers, scientific knowledge and technology circulate freely, and encouraging it to become more competitive, including in its industry, while promoting all the research activities deemed necessary </w:t>
      </w:r>
      <w:r w:rsidRPr="008B3636">
        <w:rPr>
          <w:noProof/>
        </w:rPr>
        <w:t xml:space="preserve">by virtue of other Chapters of the Treaties. </w:t>
      </w:r>
    </w:p>
    <w:p w14:paraId="29E84A6E" w14:textId="77777777" w:rsidR="001403C0" w:rsidRDefault="001403C0" w:rsidP="001403C0">
      <w:pPr>
        <w:pBdr>
          <w:top w:val="nil"/>
          <w:left w:val="nil"/>
          <w:bottom w:val="nil"/>
          <w:right w:val="nil"/>
          <w:between w:val="nil"/>
          <w:bar w:val="nil"/>
        </w:pBdr>
        <w:spacing w:before="0" w:after="240"/>
        <w:rPr>
          <w:noProof/>
        </w:rPr>
      </w:pPr>
      <w:r>
        <w:rPr>
          <w:noProof/>
        </w:rPr>
        <w:t xml:space="preserve">In accordance with Article 181 TFEU, the European Union and the Member States have to coordinate their research and technological development activities to ensure that national policies and EU policy are mutually consistent. In close cooperation with the Member States, the Commission may take any useful initiative to promote this coordination, in particular initiatives aiming at the establishment of guidelines and indicators, the organisation of exchange of best practice, and the preparation of the necessary elements for periodic monitoring and evaluation. The European Parliament must be kept fully informed. </w:t>
      </w:r>
    </w:p>
    <w:p w14:paraId="4F7C2ECF" w14:textId="77777777" w:rsidR="001403C0" w:rsidRPr="002D5EE2" w:rsidRDefault="001403C0" w:rsidP="001403C0">
      <w:pPr>
        <w:pBdr>
          <w:top w:val="nil"/>
          <w:left w:val="nil"/>
          <w:bottom w:val="nil"/>
          <w:right w:val="nil"/>
          <w:between w:val="nil"/>
          <w:bar w:val="nil"/>
        </w:pBdr>
        <w:spacing w:before="0" w:after="240"/>
        <w:rPr>
          <w:rFonts w:eastAsia="Arial Unicode MS"/>
          <w:noProof/>
        </w:rPr>
      </w:pPr>
      <w:r>
        <w:rPr>
          <w:noProof/>
        </w:rPr>
        <w:t>Article 182(5) TFEU opens up the possibility of complementing the activities planned in the multiannual framework programme by allowing the European Parliament and the Council, acting in accordance with the ordinary legislative procedure and after consulting the Economic and Social Committee, to establish necessary measures for implementing the European Research Area.</w:t>
      </w:r>
    </w:p>
    <w:p w14:paraId="6A1C94A9" w14:textId="77777777" w:rsidR="001403C0" w:rsidRPr="002D5EE2" w:rsidRDefault="001403C0"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 xml:space="preserve">Subsidiarity (for non-exclusive competence) </w:t>
      </w:r>
    </w:p>
    <w:p w14:paraId="658012F3" w14:textId="77777777" w:rsidR="001403C0" w:rsidRPr="001403C0" w:rsidRDefault="001403C0" w:rsidP="001403C0">
      <w:pPr>
        <w:pBdr>
          <w:top w:val="nil"/>
          <w:left w:val="nil"/>
          <w:bottom w:val="nil"/>
          <w:right w:val="nil"/>
          <w:between w:val="nil"/>
          <w:bar w:val="nil"/>
        </w:pBdr>
        <w:spacing w:before="0" w:after="240"/>
        <w:rPr>
          <w:rFonts w:eastAsia="Arial Unicode MS"/>
          <w:noProof/>
        </w:rPr>
      </w:pPr>
      <w:r w:rsidRPr="001403C0">
        <w:rPr>
          <w:rFonts w:eastAsia="Arial Unicode MS"/>
          <w:noProof/>
        </w:rPr>
        <w:t xml:space="preserve">Researchers and research careers have specific challenges and needs, such as the recognition of the profession and common definitions at Union’s level of ‘researcher’ and of the research professions to foster interoperability and comparability across Member States and sectors; a common understanding of the set of skills needed by researchers; the promotion of a balanced geographical, inter-sectoral and inter-disciplinary mobility; an improved and coordinated system for career development, progression and the assessment of researchers; Union’s support instruments for research careers, including a comprehensive European monitoring system. These needs for their nature can only be achieved effectively by an initiative at Union level. </w:t>
      </w:r>
    </w:p>
    <w:p w14:paraId="7D63E245" w14:textId="77777777" w:rsidR="001403C0" w:rsidRPr="001403C0" w:rsidRDefault="001403C0" w:rsidP="001403C0">
      <w:pPr>
        <w:pBdr>
          <w:top w:val="nil"/>
          <w:left w:val="nil"/>
          <w:bottom w:val="nil"/>
          <w:right w:val="nil"/>
          <w:between w:val="nil"/>
          <w:bar w:val="nil"/>
        </w:pBdr>
        <w:spacing w:before="0" w:after="240"/>
        <w:rPr>
          <w:noProof/>
        </w:rPr>
      </w:pPr>
      <w:r w:rsidRPr="001403C0">
        <w:rPr>
          <w:rFonts w:eastAsia="Arial Unicode MS"/>
          <w:noProof/>
        </w:rPr>
        <w:t xml:space="preserve">The Commission has taken action in the past, notably with the Commission Recommendation </w:t>
      </w:r>
      <w:r w:rsidRPr="001403C0">
        <w:rPr>
          <w:noProof/>
        </w:rPr>
        <w:t>of 11 March 2005 ‘on the European Charter for Researchers and on a Code of Conduct for the Recruitment of Researchers’</w:t>
      </w:r>
      <w:r w:rsidRPr="00E8678E">
        <w:rPr>
          <w:rStyle w:val="FootnoteReference"/>
          <w:noProof/>
        </w:rPr>
        <w:footnoteReference w:id="35"/>
      </w:r>
      <w:r w:rsidRPr="001403C0">
        <w:rPr>
          <w:noProof/>
        </w:rPr>
        <w:t>, however a new updated initiative is necessary to respond to new challenges and the new context.</w:t>
      </w:r>
    </w:p>
    <w:p w14:paraId="7BEC63C7" w14:textId="77777777" w:rsidR="001403C0" w:rsidRPr="001403C0" w:rsidRDefault="001403C0" w:rsidP="001403C0">
      <w:pPr>
        <w:pBdr>
          <w:top w:val="nil"/>
          <w:left w:val="nil"/>
          <w:bottom w:val="nil"/>
          <w:right w:val="nil"/>
          <w:between w:val="nil"/>
          <w:bar w:val="nil"/>
        </w:pBdr>
        <w:spacing w:before="0" w:after="240"/>
        <w:rPr>
          <w:noProof/>
        </w:rPr>
      </w:pPr>
      <w:r w:rsidRPr="001403C0">
        <w:rPr>
          <w:noProof/>
        </w:rPr>
        <w:t xml:space="preserve">The Council called on the Commission to take action in the Council Conclusions of 28 May 2021 on ‘Deepening the European Research Area: Providing researchers with attractive and sustainable careers and working conditions and making brain circulation a reality”, and in the ERA Policy Agenda annexed to the Council Conclusions on the “Future governance of the European Research Area’ of 26 November 2021. The Council Recommendation on a ‘Pact for Research and Innovation in Europe’ of 26 November 2021 includes research careers and the mobility of researchers, together with research assessment and a reward system, as important fields of action in the context of the priority areas for joint action by the Union and Member States in support of the European Research Area. </w:t>
      </w:r>
    </w:p>
    <w:p w14:paraId="36BCCD18" w14:textId="77777777" w:rsidR="001403C0" w:rsidRPr="001403C0" w:rsidRDefault="001403C0" w:rsidP="001403C0">
      <w:pPr>
        <w:pBdr>
          <w:top w:val="nil"/>
          <w:left w:val="nil"/>
          <w:bottom w:val="nil"/>
          <w:right w:val="nil"/>
          <w:between w:val="nil"/>
          <w:bar w:val="nil"/>
        </w:pBdr>
        <w:spacing w:before="0" w:after="240"/>
        <w:rPr>
          <w:rFonts w:eastAsia="Arial Unicode MS"/>
          <w:noProof/>
        </w:rPr>
      </w:pPr>
      <w:r w:rsidRPr="001403C0">
        <w:rPr>
          <w:rFonts w:eastAsia="Arial Unicode MS"/>
          <w:noProof/>
        </w:rPr>
        <w:t xml:space="preserve">It should also be considered that such an initiative is of paramount importance to make research careers in Europe more attractive, contributing in a decisive way to the objective of retaining research talents in Europe, and of making it an attractive destination for foreign talents. </w:t>
      </w:r>
    </w:p>
    <w:p w14:paraId="0414D8AE" w14:textId="77777777" w:rsidR="001403C0" w:rsidRDefault="001403C0"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14:paraId="2EC93F36" w14:textId="77777777" w:rsidR="001403C0" w:rsidRPr="001403C0" w:rsidRDefault="001403C0" w:rsidP="001403C0">
      <w:pPr>
        <w:pBdr>
          <w:top w:val="nil"/>
          <w:left w:val="nil"/>
          <w:bottom w:val="nil"/>
          <w:right w:val="nil"/>
          <w:between w:val="nil"/>
          <w:bar w:val="nil"/>
        </w:pBdr>
        <w:spacing w:before="0" w:after="240"/>
        <w:rPr>
          <w:rFonts w:eastAsia="Arial Unicode MS"/>
          <w:noProof/>
        </w:rPr>
      </w:pPr>
      <w:r>
        <w:rPr>
          <w:noProof/>
        </w:rPr>
        <w:t>The present proposal is in conformity with the principle of proportionality as provided for in Article 5(4) of the Treaty on European Union. Neither the content nor the form of this proposed Council Recommendation exceed what is necessary to achieve its objectives. The commitments Member States will make are not of a binding nature, and each Member State remains free to decide on which approach to take.</w:t>
      </w:r>
    </w:p>
    <w:p w14:paraId="798AD6B3" w14:textId="77777777" w:rsidR="001403C0" w:rsidRPr="00550536" w:rsidRDefault="001403C0" w:rsidP="00550536">
      <w:pPr>
        <w:pStyle w:val="ManualHeading1"/>
        <w:rPr>
          <w:noProof/>
        </w:rPr>
      </w:pPr>
      <w:r w:rsidRPr="00550536">
        <w:rPr>
          <w:noProof/>
        </w:rPr>
        <w:t>3.</w:t>
      </w:r>
      <w:r w:rsidRPr="00550536">
        <w:rPr>
          <w:noProof/>
        </w:rPr>
        <w:tab/>
        <w:t>RESULTS OF EX-POST EVALUATIONS, STAKEHOLDER CONSULTATIONS AND IMPACT ASSESSMENTS</w:t>
      </w:r>
    </w:p>
    <w:p w14:paraId="5E5B9A4B" w14:textId="77777777" w:rsidR="001403C0" w:rsidRDefault="001403C0"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Stakeholder consultations</w:t>
      </w:r>
    </w:p>
    <w:p w14:paraId="7B3B2674" w14:textId="77777777" w:rsidR="002B1EE8" w:rsidRPr="002B1EE8" w:rsidRDefault="002B1EE8" w:rsidP="002B1EE8">
      <w:pPr>
        <w:rPr>
          <w:noProof/>
        </w:rPr>
      </w:pPr>
      <w:r w:rsidRPr="002B1EE8">
        <w:rPr>
          <w:noProof/>
        </w:rPr>
        <w:t xml:space="preserve">This proposal is based on evidence gathered and input received in the context of studies contracted by the Commission, which involved extensive interactions with stakeholders. </w:t>
      </w:r>
    </w:p>
    <w:p w14:paraId="273F2FF8" w14:textId="77777777" w:rsidR="002B1EE8" w:rsidRPr="002B1EE8" w:rsidRDefault="002B1EE8" w:rsidP="002B1EE8">
      <w:pPr>
        <w:rPr>
          <w:noProof/>
        </w:rPr>
      </w:pPr>
      <w:r w:rsidRPr="002B1EE8">
        <w:rPr>
          <w:noProof/>
        </w:rPr>
        <w:t>The study ‘Taking stock, evaluating the achievements and identifying the way forward for the ERA Priority 3 policy measures’ published in December 2021</w:t>
      </w:r>
      <w:r w:rsidRPr="00E8678E">
        <w:rPr>
          <w:rStyle w:val="FootnoteReference"/>
          <w:noProof/>
        </w:rPr>
        <w:footnoteReference w:id="36"/>
      </w:r>
      <w:r w:rsidRPr="002B1EE8">
        <w:rPr>
          <w:noProof/>
        </w:rPr>
        <w:t xml:space="preserve">, took stock of the existing policy measures in support of the former ERA priority ‘An open labour market for researchers’, notably the Charter for Researchers and the Code of Conduct for the Recruitment of Researchers, the Human Resources Strategy for Researchers (HRS4R), and the EURAXESS services network. It evaluated their achievements, defined needs and offered recommendations about new or revised policy measures to promote the human resources dimension of the new ERA. Several consultation activities were involved, including 3 online workshops (April, May and July 2021) with stakeholders and research institutions (e.g. universities and other RPOs umbrella organisations, researchers’ organisations, European Universities alliances, research funders, EURAXESS network, Member States), a survey of organisations implicated in the HRS4R process, and a survey of the EURAXESS service network. </w:t>
      </w:r>
    </w:p>
    <w:p w14:paraId="3E201270" w14:textId="77777777" w:rsidR="002B1EE8" w:rsidRPr="002B1EE8" w:rsidRDefault="002B1EE8" w:rsidP="002B1EE8">
      <w:pPr>
        <w:rPr>
          <w:noProof/>
        </w:rPr>
      </w:pPr>
      <w:r w:rsidRPr="002B1EE8">
        <w:rPr>
          <w:noProof/>
        </w:rPr>
        <w:t>The main elements that emerged from the consultation of stakeholders in the context of the study can be summarised as follows:</w:t>
      </w:r>
    </w:p>
    <w:p w14:paraId="6F702841" w14:textId="77777777" w:rsidR="002B1EE8" w:rsidRPr="002B1EE8" w:rsidRDefault="002B1EE8" w:rsidP="00543A67">
      <w:pPr>
        <w:pStyle w:val="Tiret0"/>
        <w:rPr>
          <w:noProof/>
        </w:rPr>
      </w:pPr>
      <w:r w:rsidRPr="002B1EE8">
        <w:rPr>
          <w:noProof/>
        </w:rPr>
        <w:t>There has been wide acceptance of the Charter for Researchers and the Code of Conduct for the Recruitment of Researchers at institutional level within and outside the EU, but they require an update to respond to the new reality (Open Science, research integrity, gender equality, diversity and inclusion, team science, inter-sectoral and interdisciplinary mobility, research assessment), and their uptake should be promoted also beyond the academic sector;</w:t>
      </w:r>
    </w:p>
    <w:p w14:paraId="3CC53016" w14:textId="77777777" w:rsidR="002B1EE8" w:rsidRPr="002B1EE8" w:rsidRDefault="002B1EE8" w:rsidP="00543A67">
      <w:pPr>
        <w:pStyle w:val="Tiret0"/>
        <w:rPr>
          <w:noProof/>
        </w:rPr>
      </w:pPr>
      <w:r w:rsidRPr="002B1EE8">
        <w:rPr>
          <w:noProof/>
        </w:rPr>
        <w:t>The HRS4R process and the related award have helped bring about positive change in human resources practices in organisations undertaking research, despite of the perception by some organisations that too much effort is required to gain the award;</w:t>
      </w:r>
    </w:p>
    <w:p w14:paraId="73D29A2D" w14:textId="77777777" w:rsidR="002B1EE8" w:rsidRPr="002B1EE8" w:rsidRDefault="002B1EE8" w:rsidP="00543A67">
      <w:pPr>
        <w:pStyle w:val="Tiret0"/>
        <w:rPr>
          <w:noProof/>
        </w:rPr>
      </w:pPr>
      <w:r w:rsidRPr="002B1EE8">
        <w:rPr>
          <w:noProof/>
        </w:rPr>
        <w:t>The take-up and effectiveness of the Charter and Code for Researchers and HRS4R are strongly influenced by national context and national policies;</w:t>
      </w:r>
    </w:p>
    <w:p w14:paraId="7171968C" w14:textId="77777777" w:rsidR="002B1EE8" w:rsidRPr="002B1EE8" w:rsidRDefault="002B1EE8" w:rsidP="00543A67">
      <w:pPr>
        <w:pStyle w:val="Tiret0"/>
        <w:rPr>
          <w:noProof/>
        </w:rPr>
      </w:pPr>
      <w:r w:rsidRPr="002B1EE8">
        <w:rPr>
          <w:noProof/>
        </w:rPr>
        <w:t>EURAXESS has reached a critical mass of researchers and research organisations within and outside the EU, resulting in a steady increase in volume and intensity of use. Researchers have gained a diversity of benefits from EURAXESS, but particularly in support of international mobility, whilst research organisations have enjoyed better access to research talent. However, there is a need to broaden the EURAXESS service offer so that it supports the development of research talent more broadly, and the current governance model would need to be strengthened accordingly;</w:t>
      </w:r>
    </w:p>
    <w:p w14:paraId="2DA96FC6" w14:textId="77777777" w:rsidR="002B1EE8" w:rsidRPr="002B1EE8" w:rsidRDefault="002B1EE8" w:rsidP="00543A67">
      <w:pPr>
        <w:pStyle w:val="Tiret0"/>
        <w:rPr>
          <w:noProof/>
        </w:rPr>
      </w:pPr>
      <w:r w:rsidRPr="002B1EE8">
        <w:rPr>
          <w:noProof/>
        </w:rPr>
        <w:t>The labour market challenges facing researchers suggest a need for new and different forms of support for research careers, if the aspirations of the new ERA are to be met. In addition, to satisfy the aspirations of the new ERA relating to research careers, all existing tools should be brought together into an overall framework.</w:t>
      </w:r>
    </w:p>
    <w:p w14:paraId="5831BC98" w14:textId="77777777" w:rsidR="002B1EE8" w:rsidRPr="002B1EE8" w:rsidRDefault="002B1EE8" w:rsidP="002B1EE8">
      <w:pPr>
        <w:rPr>
          <w:noProof/>
        </w:rPr>
      </w:pPr>
      <w:r w:rsidRPr="002B1EE8">
        <w:rPr>
          <w:noProof/>
        </w:rPr>
        <w:t>On the basis of these elements, the main recommendations resulted to be in relation to the need for:</w:t>
      </w:r>
    </w:p>
    <w:p w14:paraId="071CFFDE" w14:textId="77777777" w:rsidR="002B1EE8" w:rsidRPr="002B1EE8" w:rsidRDefault="002B1EE8" w:rsidP="00543A67">
      <w:pPr>
        <w:pStyle w:val="Tiret0"/>
        <w:rPr>
          <w:noProof/>
          <w:lang w:val="en-US"/>
        </w:rPr>
      </w:pPr>
      <w:r w:rsidRPr="002B1EE8">
        <w:rPr>
          <w:noProof/>
        </w:rPr>
        <w:t xml:space="preserve">A single policy framework for research careers, featuring a holistic approach addressing all challenges, and with a focus to all sectors of the society where researchers perform their activities; </w:t>
      </w:r>
    </w:p>
    <w:p w14:paraId="7E90A9A8" w14:textId="77777777" w:rsidR="002B1EE8" w:rsidRPr="002B1EE8" w:rsidRDefault="002B1EE8" w:rsidP="00543A67">
      <w:pPr>
        <w:pStyle w:val="Tiret0"/>
        <w:rPr>
          <w:noProof/>
          <w:lang w:val="en-US"/>
        </w:rPr>
      </w:pPr>
      <w:r w:rsidRPr="002B1EE8">
        <w:rPr>
          <w:noProof/>
          <w:lang w:val="en-US"/>
        </w:rPr>
        <w:t>An updated Charter and Code for Researchers reflecting the current challenges and opportunities manifested in the labour market for researchers, and a wider endorsement and implementation, including by the private sector, as a core part of the overall ERA;</w:t>
      </w:r>
    </w:p>
    <w:p w14:paraId="0EC99336" w14:textId="77777777" w:rsidR="002B1EE8" w:rsidRPr="002B1EE8" w:rsidRDefault="002B1EE8" w:rsidP="00543A67">
      <w:pPr>
        <w:pStyle w:val="Tiret0"/>
        <w:rPr>
          <w:noProof/>
          <w:lang w:val="en-US"/>
        </w:rPr>
      </w:pPr>
      <w:r w:rsidRPr="002B1EE8">
        <w:rPr>
          <w:noProof/>
          <w:lang w:val="en-US"/>
        </w:rPr>
        <w:t>The evolution of EURAXESS into an ERA Talent Platform that provides more holistic support to researchers and is based on an improved governance model;</w:t>
      </w:r>
    </w:p>
    <w:p w14:paraId="662137C9" w14:textId="77777777" w:rsidR="002B1EE8" w:rsidRPr="002B1EE8" w:rsidRDefault="002B1EE8" w:rsidP="00543A67">
      <w:pPr>
        <w:pStyle w:val="Tiret0"/>
        <w:rPr>
          <w:noProof/>
          <w:lang w:val="en-US"/>
        </w:rPr>
      </w:pPr>
      <w:r w:rsidRPr="002B1EE8">
        <w:rPr>
          <w:noProof/>
          <w:lang w:val="en-US"/>
        </w:rPr>
        <w:t>Tackling labour market issues facing researchers, such as social protection or pension entitlements;</w:t>
      </w:r>
    </w:p>
    <w:p w14:paraId="23660A90" w14:textId="77777777" w:rsidR="002B1EE8" w:rsidRPr="002B1EE8" w:rsidRDefault="002B1EE8" w:rsidP="00543A67">
      <w:pPr>
        <w:pStyle w:val="Tiret0"/>
        <w:rPr>
          <w:noProof/>
          <w:lang w:val="en-US"/>
        </w:rPr>
      </w:pPr>
      <w:r w:rsidRPr="002B1EE8">
        <w:rPr>
          <w:noProof/>
          <w:lang w:val="en-US"/>
        </w:rPr>
        <w:t>Supporting mutual learning and exchange of experience related to research careers.</w:t>
      </w:r>
    </w:p>
    <w:p w14:paraId="1CB00969" w14:textId="77777777" w:rsidR="002B1EE8" w:rsidRPr="002B1EE8" w:rsidRDefault="002B1EE8" w:rsidP="002B1EE8">
      <w:pPr>
        <w:rPr>
          <w:noProof/>
        </w:rPr>
      </w:pPr>
      <w:r w:rsidRPr="002B1EE8">
        <w:rPr>
          <w:noProof/>
        </w:rPr>
        <w:t>In addition, the higher education sector was consulted to develop a framework to strengthen its research and innovation mission in synergy with the education mission, leading to recommendations ‘Towards a 2030 vision on the future of universities in Europe’ (October 2020)</w:t>
      </w:r>
      <w:r w:rsidRPr="00E8678E">
        <w:rPr>
          <w:rStyle w:val="FootnoteReference"/>
          <w:noProof/>
        </w:rPr>
        <w:footnoteReference w:id="37"/>
      </w:r>
      <w:r w:rsidRPr="002B1EE8">
        <w:rPr>
          <w:noProof/>
        </w:rPr>
        <w:t>, including on fostering human capital and career development. The main findings in this respect were to:</w:t>
      </w:r>
    </w:p>
    <w:p w14:paraId="2865C57B" w14:textId="77777777" w:rsidR="002B1EE8" w:rsidRPr="002B1EE8" w:rsidRDefault="002B1EE8" w:rsidP="00543A67">
      <w:pPr>
        <w:pStyle w:val="Tiret0"/>
        <w:rPr>
          <w:noProof/>
        </w:rPr>
      </w:pPr>
      <w:r w:rsidRPr="002B1EE8">
        <w:rPr>
          <w:noProof/>
        </w:rPr>
        <w:t>Reform universities’ career development, training and appraisal, recognition and incentives systems and structures, for a more holistic, quality-driven and less quantity-driven evaluation model;</w:t>
      </w:r>
    </w:p>
    <w:p w14:paraId="6355CC55" w14:textId="77777777" w:rsidR="002B1EE8" w:rsidRPr="002B1EE8" w:rsidRDefault="002B1EE8" w:rsidP="00543A67">
      <w:pPr>
        <w:pStyle w:val="Tiret0"/>
        <w:rPr>
          <w:noProof/>
        </w:rPr>
      </w:pPr>
      <w:r w:rsidRPr="002B1EE8">
        <w:rPr>
          <w:noProof/>
        </w:rPr>
        <w:t>Reform researchers’ career assessment, towards a balanced system based on the full spectrum of researchers’ capabilities in a manner relevant to their career stage, position sought and other relevant contextual factors, avoiding a one-size-fits-all approach. The assessment should take into account research output, the research process, service and leadership, research impact, teaching and supervision, and other professional experiences;</w:t>
      </w:r>
    </w:p>
    <w:p w14:paraId="6D8CD21C" w14:textId="77777777" w:rsidR="002B1EE8" w:rsidRPr="002B1EE8" w:rsidRDefault="002B1EE8" w:rsidP="00543A67">
      <w:pPr>
        <w:pStyle w:val="Tiret0"/>
        <w:rPr>
          <w:noProof/>
        </w:rPr>
      </w:pPr>
      <w:r w:rsidRPr="002B1EE8">
        <w:rPr>
          <w:noProof/>
        </w:rPr>
        <w:t>Embed skills training and professional development for researchers at all levels, requiring investment in the training and career development for researchers at all levels (R1-R4), with particular focus on researchers at R1 and R2 levels (PhD and postdoc) the majority of whom will not have permanent employment in academic sector;</w:t>
      </w:r>
    </w:p>
    <w:p w14:paraId="4E657854" w14:textId="77777777" w:rsidR="002B1EE8" w:rsidRPr="002B1EE8" w:rsidRDefault="002B1EE8" w:rsidP="00543A67">
      <w:pPr>
        <w:pStyle w:val="Tiret0"/>
        <w:rPr>
          <w:noProof/>
        </w:rPr>
      </w:pPr>
      <w:r w:rsidRPr="002B1EE8">
        <w:rPr>
          <w:noProof/>
        </w:rPr>
        <w:t>Provide training for researchers at all levels (R1-R4) in the practice of Open Science;</w:t>
      </w:r>
    </w:p>
    <w:p w14:paraId="25C6079B" w14:textId="77777777" w:rsidR="002B1EE8" w:rsidRPr="002B1EE8" w:rsidRDefault="002B1EE8" w:rsidP="00543A67">
      <w:pPr>
        <w:pStyle w:val="Tiret0"/>
        <w:rPr>
          <w:noProof/>
        </w:rPr>
      </w:pPr>
      <w:r w:rsidRPr="002B1EE8">
        <w:rPr>
          <w:noProof/>
        </w:rPr>
        <w:t>Extend the concept of geographical mobility to include virtual mobility;</w:t>
      </w:r>
    </w:p>
    <w:p w14:paraId="391E9E06" w14:textId="77777777" w:rsidR="002B1EE8" w:rsidRPr="002B1EE8" w:rsidRDefault="002B1EE8" w:rsidP="00543A67">
      <w:pPr>
        <w:pStyle w:val="Tiret0"/>
        <w:rPr>
          <w:noProof/>
        </w:rPr>
      </w:pPr>
      <w:r w:rsidRPr="002B1EE8">
        <w:rPr>
          <w:noProof/>
        </w:rPr>
        <w:t>Update the European Charter for Researchers and Code of Conduct for their Recruitment, based on the changed EU research and innovation landscape, and reflect the state of current discussions within the academic sector. This should also explicitly take into account Open Science, open and responsible innovation practices, diversity, research integrity, citizen science and quadruple i-mobility (transnational, inter-sectoral, interdisciplinary and virtual) in career development;</w:t>
      </w:r>
    </w:p>
    <w:p w14:paraId="66A1286A" w14:textId="77777777" w:rsidR="002B1EE8" w:rsidRPr="002B1EE8" w:rsidRDefault="002B1EE8" w:rsidP="00543A67">
      <w:pPr>
        <w:pStyle w:val="Tiret0"/>
        <w:rPr>
          <w:noProof/>
        </w:rPr>
      </w:pPr>
      <w:r w:rsidRPr="002B1EE8">
        <w:rPr>
          <w:noProof/>
        </w:rPr>
        <w:t>Strengthen interaction between academia and non-academic sectors to reinforce universities’ role as central actors at the heart of innovation ecosystems.</w:t>
      </w:r>
    </w:p>
    <w:p w14:paraId="4F985B59" w14:textId="77777777" w:rsidR="002B1EE8" w:rsidRPr="002B1EE8" w:rsidRDefault="002B1EE8" w:rsidP="002B1EE8">
      <w:pPr>
        <w:rPr>
          <w:noProof/>
        </w:rPr>
      </w:pPr>
      <w:r w:rsidRPr="002B1EE8">
        <w:rPr>
          <w:noProof/>
        </w:rPr>
        <w:t>The study ‘Knowledge Ecosystems in the new ERA’, which ended in 2022, included the analysis of aspects related to research careers, notably skills</w:t>
      </w:r>
      <w:r w:rsidRPr="00E8678E">
        <w:rPr>
          <w:rStyle w:val="FootnoteReference"/>
          <w:noProof/>
        </w:rPr>
        <w:footnoteReference w:id="38"/>
      </w:r>
      <w:r w:rsidRPr="002B1EE8">
        <w:rPr>
          <w:noProof/>
        </w:rPr>
        <w:t>, employment and working conditions, and the phenomenon of brain drain and talent circulation</w:t>
      </w:r>
      <w:r w:rsidRPr="00E8678E">
        <w:rPr>
          <w:rStyle w:val="FootnoteReference"/>
          <w:noProof/>
        </w:rPr>
        <w:footnoteReference w:id="39"/>
      </w:r>
      <w:r w:rsidRPr="002B1EE8">
        <w:rPr>
          <w:noProof/>
        </w:rPr>
        <w:t>. It also focused on the development of a methodology for an observatory on research careers. The study mapped and modelled inter-sectoral mobility measures across Europe, building on a previous Commission study on ‘Fostering industrial talents in research at European level’ (January 2018)</w:t>
      </w:r>
      <w:r w:rsidRPr="00E8678E">
        <w:rPr>
          <w:rStyle w:val="FootnoteReference"/>
          <w:noProof/>
        </w:rPr>
        <w:footnoteReference w:id="40"/>
      </w:r>
      <w:r w:rsidRPr="002B1EE8">
        <w:rPr>
          <w:noProof/>
        </w:rPr>
        <w:t>. Many consultation activities have been conducted in relation to this study, including:</w:t>
      </w:r>
    </w:p>
    <w:p w14:paraId="22F5544E" w14:textId="77777777" w:rsidR="002B1EE8" w:rsidRPr="002B1EE8" w:rsidRDefault="002B1EE8" w:rsidP="00543A67">
      <w:pPr>
        <w:pStyle w:val="Tiret0"/>
        <w:rPr>
          <w:noProof/>
        </w:rPr>
      </w:pPr>
      <w:r w:rsidRPr="002B1EE8">
        <w:rPr>
          <w:noProof/>
        </w:rPr>
        <w:t>An online survey (April-May 2021) among researchers to gain insight into skills, social security and working conditions related to jobs in research, followed by 3 working group meetings in May 2021 to validate and refine the results of the interviews;</w:t>
      </w:r>
    </w:p>
    <w:p w14:paraId="38AFE830" w14:textId="77777777" w:rsidR="002B1EE8" w:rsidRPr="002B1EE8" w:rsidRDefault="002B1EE8" w:rsidP="00543A67">
      <w:pPr>
        <w:pStyle w:val="Tiret0"/>
        <w:rPr>
          <w:noProof/>
        </w:rPr>
      </w:pPr>
      <w:r w:rsidRPr="002B1EE8">
        <w:rPr>
          <w:noProof/>
        </w:rPr>
        <w:t xml:space="preserve">An online survey (May-June 2021) to validate the set of skills that are key for researchers’ jobs in the academic and private sector; </w:t>
      </w:r>
    </w:p>
    <w:p w14:paraId="4F6B4796" w14:textId="77777777" w:rsidR="002B1EE8" w:rsidRPr="002B1EE8" w:rsidRDefault="002B1EE8" w:rsidP="00543A67">
      <w:pPr>
        <w:pStyle w:val="Tiret0"/>
        <w:rPr>
          <w:noProof/>
        </w:rPr>
      </w:pPr>
      <w:r w:rsidRPr="002B1EE8">
        <w:rPr>
          <w:noProof/>
        </w:rPr>
        <w:t>Interviews with researchers (Q2 2021) at different career stages working in academia and other sectors, focusing on competences, skills training opportunities, and inter-sectoral mobility;</w:t>
      </w:r>
    </w:p>
    <w:p w14:paraId="61A630A3" w14:textId="77777777" w:rsidR="002B1EE8" w:rsidRPr="002B1EE8" w:rsidRDefault="002B1EE8" w:rsidP="00543A67">
      <w:pPr>
        <w:pStyle w:val="Tiret0"/>
        <w:rPr>
          <w:noProof/>
        </w:rPr>
      </w:pPr>
      <w:r w:rsidRPr="002B1EE8">
        <w:rPr>
          <w:noProof/>
        </w:rPr>
        <w:t>Interviews with representatives of higher education umbrella organisations, associations of research organisations, representatives from Member States and business representatives (Q2 2021), focusing on the update of the European Skills, Competences, Qualifications and Occupations (ESCO), the development of a European Competence Framework for Researchers, the future of tenure tracks and the diversification of research careers;</w:t>
      </w:r>
    </w:p>
    <w:p w14:paraId="3FA4D3AD" w14:textId="77777777" w:rsidR="002B1EE8" w:rsidRPr="002B1EE8" w:rsidRDefault="002B1EE8" w:rsidP="00543A67">
      <w:pPr>
        <w:pStyle w:val="Tiret0"/>
        <w:rPr>
          <w:noProof/>
        </w:rPr>
      </w:pPr>
      <w:r w:rsidRPr="002B1EE8">
        <w:rPr>
          <w:noProof/>
        </w:rPr>
        <w:t>A focus group (September 2021) with EU umbrella associations related to research (universities, research organisations, RTOs, etc.), industry associations, and EU and national policy makers to validate the work on the draft European Competence Framework for Researchers;</w:t>
      </w:r>
    </w:p>
    <w:p w14:paraId="3159745B" w14:textId="77777777" w:rsidR="002B1EE8" w:rsidRPr="002B1EE8" w:rsidRDefault="002B1EE8" w:rsidP="00543A67">
      <w:pPr>
        <w:pStyle w:val="Tiret0"/>
        <w:rPr>
          <w:noProof/>
        </w:rPr>
      </w:pPr>
      <w:r w:rsidRPr="002B1EE8">
        <w:rPr>
          <w:noProof/>
        </w:rPr>
        <w:t>A workshop (October 2021) with over 450 participants among stakeholders from all sectors to address challenges related to research careers, notably in the field of competences;</w:t>
      </w:r>
    </w:p>
    <w:p w14:paraId="4FD19F19" w14:textId="77777777" w:rsidR="002B1EE8" w:rsidRPr="002B1EE8" w:rsidRDefault="002B1EE8" w:rsidP="00543A67">
      <w:pPr>
        <w:pStyle w:val="Tiret0"/>
        <w:rPr>
          <w:noProof/>
        </w:rPr>
      </w:pPr>
      <w:r w:rsidRPr="002B1EE8">
        <w:rPr>
          <w:noProof/>
        </w:rPr>
        <w:t>A workshop (March 2022) with a wide range of stakeholders from all sectors, addressing researchers’ skills and employment conditions, social protection issues of internationally mobile researchers, and the concept of an observatory for research careers;</w:t>
      </w:r>
    </w:p>
    <w:p w14:paraId="37D16C55" w14:textId="77777777" w:rsidR="002B1EE8" w:rsidRPr="002B1EE8" w:rsidRDefault="002B1EE8" w:rsidP="00543A67">
      <w:pPr>
        <w:pStyle w:val="Tiret0"/>
        <w:rPr>
          <w:noProof/>
        </w:rPr>
      </w:pPr>
      <w:r w:rsidRPr="002B1EE8">
        <w:rPr>
          <w:noProof/>
        </w:rPr>
        <w:t>A final workshop (September 2022) on competences, balanced talent circulation and inter-sectoral mobility.</w:t>
      </w:r>
    </w:p>
    <w:p w14:paraId="7835C215" w14:textId="77777777" w:rsidR="002B1EE8" w:rsidRPr="002B1EE8" w:rsidRDefault="002B1EE8" w:rsidP="002B1EE8">
      <w:pPr>
        <w:rPr>
          <w:noProof/>
        </w:rPr>
      </w:pPr>
      <w:r w:rsidRPr="002B1EE8">
        <w:rPr>
          <w:noProof/>
        </w:rPr>
        <w:t>The main findings of the study can be summarised as follows:</w:t>
      </w:r>
    </w:p>
    <w:p w14:paraId="41638B3A" w14:textId="77777777" w:rsidR="002B1EE8" w:rsidRPr="002B1EE8" w:rsidRDefault="002B1EE8" w:rsidP="00543A67">
      <w:pPr>
        <w:pStyle w:val="Tiret0"/>
        <w:rPr>
          <w:noProof/>
        </w:rPr>
      </w:pPr>
      <w:r w:rsidRPr="002B1EE8">
        <w:rPr>
          <w:noProof/>
        </w:rPr>
        <w:t>Researchers are of utmost importance for the research and innovation system in Europe, and it is important to strengthen their careers, making them more attractive and sustainable. A very first element to be addressed is a common definition of ‘researcher’ at European level;</w:t>
      </w:r>
    </w:p>
    <w:p w14:paraId="22E1039E" w14:textId="77777777" w:rsidR="002B1EE8" w:rsidRPr="002B1EE8" w:rsidRDefault="002B1EE8" w:rsidP="00543A67">
      <w:pPr>
        <w:pStyle w:val="Tiret0"/>
        <w:rPr>
          <w:noProof/>
        </w:rPr>
      </w:pPr>
      <w:r w:rsidRPr="002B1EE8">
        <w:rPr>
          <w:noProof/>
        </w:rPr>
        <w:t>The R1-R4 profile descriptors introduced in 2011 are frequently used and referred to in the recruitment of researchers in the academic sector, but more clarity is needed, including to foster their use beyond academia and allow for easier interoperability and comparability of researchers’ roles across sectors and Member States;</w:t>
      </w:r>
    </w:p>
    <w:p w14:paraId="2D548C2E" w14:textId="77777777" w:rsidR="002B1EE8" w:rsidRPr="002B1EE8" w:rsidRDefault="002B1EE8" w:rsidP="00543A67">
      <w:pPr>
        <w:pStyle w:val="Tiret0"/>
        <w:rPr>
          <w:noProof/>
        </w:rPr>
      </w:pPr>
      <w:r w:rsidRPr="002B1EE8">
        <w:rPr>
          <w:noProof/>
        </w:rPr>
        <w:t>Researchers consider transversal skills important for recruitment and career progression, but only a minority of PhD candidates in the EU believes the training received during their doctoral training includes transversal skills at a satisfactory level. The roll-out of a European Competence Framework for Researchers is highly awaited by stakeholders, it should not be binding, and it should leave flexibility to the users in relation to its implementation;</w:t>
      </w:r>
    </w:p>
    <w:p w14:paraId="1F929B00" w14:textId="77777777" w:rsidR="002B1EE8" w:rsidRPr="002B1EE8" w:rsidRDefault="002B1EE8" w:rsidP="00543A67">
      <w:pPr>
        <w:pStyle w:val="Tiret0"/>
        <w:rPr>
          <w:noProof/>
        </w:rPr>
      </w:pPr>
      <w:r w:rsidRPr="002B1EE8">
        <w:rPr>
          <w:noProof/>
        </w:rPr>
        <w:t>Skills are fundamental for inter-sectoral mobility of researchers, and certifiable formal and informal training should be available for researchers, including in coordination and cooperation with business and other relevant labour market actors to close the gap between demand and supply of researchers. However, it is equally important to provide support and guidance to researchers on career opportunities beyond academia, including via mentoring and career development services;</w:t>
      </w:r>
    </w:p>
    <w:p w14:paraId="5651241E" w14:textId="77777777" w:rsidR="002B1EE8" w:rsidRPr="002B1EE8" w:rsidRDefault="002B1EE8" w:rsidP="00543A67">
      <w:pPr>
        <w:pStyle w:val="Tiret0"/>
        <w:rPr>
          <w:noProof/>
        </w:rPr>
      </w:pPr>
      <w:r w:rsidRPr="002B1EE8">
        <w:rPr>
          <w:noProof/>
          <w:lang w:val="en-US"/>
        </w:rPr>
        <w:t xml:space="preserve">The </w:t>
      </w:r>
      <w:r w:rsidRPr="002B1EE8">
        <w:rPr>
          <w:noProof/>
        </w:rPr>
        <w:t>frequent lack of open, transparent, and merit-based recruitment,</w:t>
      </w:r>
      <w:r w:rsidRPr="002B1EE8">
        <w:rPr>
          <w:noProof/>
          <w:lang w:val="en-US"/>
        </w:rPr>
        <w:t xml:space="preserve"> precarious working conditions and the instability of career paths represent a barrier to the optimal development of the research human capital. Initiatives are needed, including considering a model tenure track system at EU level or any other </w:t>
      </w:r>
      <w:r w:rsidRPr="002B1EE8">
        <w:rPr>
          <w:noProof/>
        </w:rPr>
        <w:t>transparent career accession and progression system;</w:t>
      </w:r>
    </w:p>
    <w:p w14:paraId="01E379EE" w14:textId="77777777" w:rsidR="002B1EE8" w:rsidRPr="002B1EE8" w:rsidRDefault="002B1EE8" w:rsidP="00543A67">
      <w:pPr>
        <w:pStyle w:val="Tiret0"/>
        <w:rPr>
          <w:noProof/>
        </w:rPr>
      </w:pPr>
      <w:r w:rsidRPr="002B1EE8">
        <w:rPr>
          <w:noProof/>
        </w:rPr>
        <w:t>Mapping of the main causes contributing to brain drain related to the system level, research environment, recruitment and working conditions, and research excellence, pointing to conditions for more balanced mobility. The mapping is accompanied by the identification of pathways to more balanced talent circulation at Member States level on the basis of existing or upcoming practices in Member States or research organisations, and of pathways at EU level, structured around the dimensions of aligning, inspiring, and supporting;</w:t>
      </w:r>
    </w:p>
    <w:p w14:paraId="0EC94993" w14:textId="77777777" w:rsidR="002B1EE8" w:rsidRPr="002B1EE8" w:rsidRDefault="002B1EE8" w:rsidP="00543A67">
      <w:pPr>
        <w:pStyle w:val="Tiret0"/>
        <w:rPr>
          <w:noProof/>
        </w:rPr>
      </w:pPr>
      <w:r w:rsidRPr="002B1EE8">
        <w:rPr>
          <w:noProof/>
        </w:rPr>
        <w:t>Identification of models, best practices and recommendations to promote inter-sectoral mobility in three categories: (i) strengthening academia-business cooperation, (ii) upskilling and reskilling of talents to meet business demand or build capacity in R&amp;I support, (iii) entrepreneurship and business creation;</w:t>
      </w:r>
    </w:p>
    <w:p w14:paraId="5B184307" w14:textId="77777777" w:rsidR="002B1EE8" w:rsidRPr="002B1EE8" w:rsidRDefault="002B1EE8" w:rsidP="00543A67">
      <w:pPr>
        <w:pStyle w:val="Tiret0"/>
        <w:rPr>
          <w:noProof/>
        </w:rPr>
      </w:pPr>
      <w:r w:rsidRPr="002B1EE8">
        <w:rPr>
          <w:noProof/>
        </w:rPr>
        <w:t>Social security and its transferability can demotivate or complicate international research mobility. Several types of social security gaps occur because of mobility and affect mobile researchers the most. The first overarching gap is the varying employment statuses and their implications on social security. Changing employment status when moving between countries can result in different social security entitlements. For instance, when PhD researchers are classified as students instead of employees, they may have limited or no social security coverage. Additionally, access to and quality of the information provided to mobile researchers is often limited. Specific gaps exist to specific kinds of social security. Pension, especially supplementary pension, is undoubtedly the major concern as mobile researchers with frequent short-term contracts might not meet the vesting periods defined for supplementary pension schemes. For the unemployment, previous employment record, regardless of the country, is considered when deciding about the access and amount of the unemployment benefits.</w:t>
      </w:r>
    </w:p>
    <w:p w14:paraId="4CD03DFB" w14:textId="77777777" w:rsidR="002B1EE8" w:rsidRPr="002B1EE8" w:rsidRDefault="002B1EE8" w:rsidP="00543A67">
      <w:pPr>
        <w:pStyle w:val="Tiret0"/>
        <w:rPr>
          <w:noProof/>
        </w:rPr>
      </w:pPr>
      <w:r w:rsidRPr="002B1EE8">
        <w:rPr>
          <w:noProof/>
        </w:rPr>
        <w:t>A methodology and indicators for monitoring of research careers on the basis of existing data and complemented with survey-based approach in four dimensions: jobs, conditions, skills, and mobility (preparatory work for a research careers observatory).</w:t>
      </w:r>
    </w:p>
    <w:p w14:paraId="6BE6A93D" w14:textId="77777777" w:rsidR="002B1EE8" w:rsidRPr="002B1EE8" w:rsidRDefault="002B1EE8" w:rsidP="002B1EE8">
      <w:pPr>
        <w:rPr>
          <w:noProof/>
        </w:rPr>
      </w:pPr>
      <w:r w:rsidRPr="002B1EE8">
        <w:rPr>
          <w:noProof/>
        </w:rPr>
        <w:t>Additional consultation activities with Member States, Horizon Europe Associated Countries, and stakeholders, took place in the context of the work on the Commission proposal for a Council Recommendation ‘on a Pact for Research and Innovation in Europe’</w:t>
      </w:r>
      <w:r w:rsidRPr="00E8678E">
        <w:rPr>
          <w:rStyle w:val="FootnoteReference"/>
          <w:noProof/>
        </w:rPr>
        <w:footnoteReference w:id="41"/>
      </w:r>
      <w:r w:rsidRPr="002B1EE8">
        <w:rPr>
          <w:noProof/>
        </w:rPr>
        <w:t xml:space="preserve">, and on the ERA Policy Agenda, notably Action 4 aiming to ‘Promote attractive and sustainable research careers, balanced talent circulation and international, transdisciplinary and inter-sectoral mobility across the ERA’. </w:t>
      </w:r>
    </w:p>
    <w:p w14:paraId="0AF767F3" w14:textId="77777777" w:rsidR="001403C0" w:rsidRPr="00550536" w:rsidRDefault="002B1EE8" w:rsidP="002B1EE8">
      <w:pPr>
        <w:pBdr>
          <w:top w:val="nil"/>
          <w:left w:val="nil"/>
          <w:bottom w:val="nil"/>
          <w:right w:val="nil"/>
          <w:between w:val="nil"/>
          <w:bar w:val="nil"/>
        </w:pBdr>
        <w:spacing w:before="0" w:after="240"/>
        <w:rPr>
          <w:rFonts w:eastAsia="Arial Unicode MS"/>
          <w:noProof/>
        </w:rPr>
      </w:pPr>
      <w:r w:rsidRPr="002B1EE8">
        <w:rPr>
          <w:noProof/>
        </w:rPr>
        <w:t>This proposal takes into consideration also the work of the ERAC Triangle Task Force on the revision of the Charter and Code for Researchers, input received in the context of stakeholders’ consultations for the European Strategy for Universities, and information or studies from third parties, including the OECD. In addition, a dedicated ERAC workshop on researchers was co-organised in December 2020 with the ERAC Triangle Task Force and the Trio of Presidencies.</w:t>
      </w:r>
    </w:p>
    <w:p w14:paraId="505B8036" w14:textId="77777777" w:rsidR="001403C0" w:rsidRPr="000C5B3B" w:rsidRDefault="001403C0" w:rsidP="000C5B3B">
      <w:pPr>
        <w:rPr>
          <w:noProof/>
        </w:rPr>
        <w:sectPr w:rsidR="001403C0" w:rsidRPr="000C5B3B" w:rsidSect="007D5483">
          <w:footerReference w:type="default" r:id="rId10"/>
          <w:footerReference w:type="first" r:id="rId11"/>
          <w:pgSz w:w="11907" w:h="16839"/>
          <w:pgMar w:top="1134" w:right="1417" w:bottom="1134" w:left="1417" w:header="709" w:footer="709" w:gutter="0"/>
          <w:cols w:space="708"/>
          <w:docGrid w:linePitch="360"/>
        </w:sectPr>
      </w:pPr>
    </w:p>
    <w:p w14:paraId="3C170A59" w14:textId="5E28F4CE" w:rsidR="00825E51" w:rsidRDefault="00825E51" w:rsidP="00825E51">
      <w:pPr>
        <w:pStyle w:val="Rfrenceinterinstitutionnelle"/>
        <w:rPr>
          <w:noProof/>
        </w:rPr>
      </w:pPr>
      <w:r w:rsidRPr="00825E51">
        <w:t>2023/0285 (NLE)</w:t>
      </w:r>
    </w:p>
    <w:p w14:paraId="61527487" w14:textId="7BEC877F" w:rsidR="001403C0" w:rsidRPr="000C5B3B" w:rsidRDefault="006C3644" w:rsidP="006C3644">
      <w:pPr>
        <w:pStyle w:val="Statut"/>
        <w:rPr>
          <w:noProof/>
        </w:rPr>
      </w:pPr>
      <w:r w:rsidRPr="006C3644">
        <w:rPr>
          <w:noProof/>
        </w:rPr>
        <w:t>Proposal for a</w:t>
      </w:r>
    </w:p>
    <w:p w14:paraId="334D41E0" w14:textId="215EEA97" w:rsidR="001403C0" w:rsidRPr="000C5B3B" w:rsidRDefault="006C3644" w:rsidP="006C3644">
      <w:pPr>
        <w:pStyle w:val="Typedudocument"/>
        <w:rPr>
          <w:noProof/>
        </w:rPr>
      </w:pPr>
      <w:r w:rsidRPr="006C3644">
        <w:rPr>
          <w:noProof/>
        </w:rPr>
        <w:t>COUNCIL RECOMMENDATION</w:t>
      </w:r>
    </w:p>
    <w:p w14:paraId="35E4F841" w14:textId="168E546D" w:rsidR="001403C0" w:rsidRPr="000C5B3B" w:rsidRDefault="006C3644" w:rsidP="006C3644">
      <w:pPr>
        <w:pStyle w:val="Titreobjet"/>
        <w:rPr>
          <w:noProof/>
        </w:rPr>
      </w:pPr>
      <w:r w:rsidRPr="006C3644">
        <w:rPr>
          <w:noProof/>
        </w:rPr>
        <w:t>on a European framework to attract and retain research, innovation and entrepreneurial talents in Europe</w:t>
      </w:r>
    </w:p>
    <w:p w14:paraId="2C14B333" w14:textId="77777777" w:rsidR="001403C0" w:rsidRPr="000C5B3B" w:rsidRDefault="001403C0" w:rsidP="00B83341">
      <w:pPr>
        <w:pStyle w:val="Institutionquiagit"/>
        <w:rPr>
          <w:noProof/>
        </w:rPr>
      </w:pPr>
      <w:r w:rsidRPr="000C5B3B">
        <w:rPr>
          <w:noProof/>
        </w:rPr>
        <w:t xml:space="preserve">THE COUNCIL OF THE EUROPEAN </w:t>
      </w:r>
      <w:smartTag w:uri="urn:schemas-microsoft-com:office:smarttags" w:element="place">
        <w:r w:rsidRPr="000C5B3B">
          <w:rPr>
            <w:noProof/>
          </w:rPr>
          <w:t>UNION</w:t>
        </w:r>
      </w:smartTag>
      <w:r w:rsidRPr="000C5B3B">
        <w:rPr>
          <w:noProof/>
        </w:rPr>
        <w:t>,</w:t>
      </w:r>
    </w:p>
    <w:p w14:paraId="312B8059" w14:textId="77777777" w:rsidR="001403C0" w:rsidRPr="000C5B3B" w:rsidRDefault="001403C0" w:rsidP="00B83341">
      <w:pPr>
        <w:rPr>
          <w:noProof/>
        </w:rPr>
      </w:pPr>
      <w:r w:rsidRPr="000C5B3B">
        <w:rPr>
          <w:noProof/>
        </w:rPr>
        <w:t xml:space="preserve">Having regard to the Treaty on the Functioning of the European Union, and in particular Article </w:t>
      </w:r>
      <w:r w:rsidR="002B1EE8">
        <w:rPr>
          <w:noProof/>
        </w:rPr>
        <w:t>182(5) and Article 292, first and second sentence, thereof,</w:t>
      </w:r>
    </w:p>
    <w:p w14:paraId="6CE7A17C" w14:textId="77777777" w:rsidR="001403C0" w:rsidRPr="000C5B3B" w:rsidRDefault="001403C0" w:rsidP="00B83341">
      <w:pPr>
        <w:rPr>
          <w:noProof/>
        </w:rPr>
      </w:pPr>
      <w:r w:rsidRPr="000C5B3B">
        <w:rPr>
          <w:noProof/>
        </w:rPr>
        <w:t>Having regard to the proposal from the European Commission,</w:t>
      </w:r>
    </w:p>
    <w:p w14:paraId="0D2AF302" w14:textId="77777777" w:rsidR="001403C0" w:rsidRPr="000C5B3B" w:rsidRDefault="001403C0" w:rsidP="00B83341">
      <w:pPr>
        <w:rPr>
          <w:noProof/>
        </w:rPr>
      </w:pPr>
      <w:r w:rsidRPr="000C5B3B">
        <w:rPr>
          <w:noProof/>
        </w:rPr>
        <w:t>Whereas:</w:t>
      </w:r>
    </w:p>
    <w:p w14:paraId="43B94900" w14:textId="78BF9327" w:rsidR="005B04AF" w:rsidRDefault="006953E7" w:rsidP="006953E7">
      <w:pPr>
        <w:pStyle w:val="ManualConsidrant"/>
        <w:rPr>
          <w:noProof/>
        </w:rPr>
      </w:pPr>
      <w:r w:rsidRPr="006953E7">
        <w:t>(1)</w:t>
      </w:r>
      <w:r w:rsidRPr="006953E7">
        <w:tab/>
      </w:r>
      <w:r w:rsidR="005B04AF" w:rsidRPr="004A0EB9">
        <w:rPr>
          <w:noProof/>
        </w:rPr>
        <w:t>Article 179 of the Treaty on the Functioning of the European Union states that the Union shall have the objective of strengthening its scientific and technological bases by achieving a European Research Area in which researchers, scientific knowledge and technology circulate freely.</w:t>
      </w:r>
      <w:r w:rsidR="005B04AF">
        <w:rPr>
          <w:noProof/>
        </w:rPr>
        <w:t xml:space="preserve"> In this regard, Article 180 of the Treaty on the Functioning of the European Union states that a number of </w:t>
      </w:r>
      <w:r w:rsidR="005B04AF" w:rsidRPr="002844E0">
        <w:rPr>
          <w:noProof/>
        </w:rPr>
        <w:t xml:space="preserve">activities </w:t>
      </w:r>
      <w:r w:rsidR="005B04AF">
        <w:rPr>
          <w:noProof/>
        </w:rPr>
        <w:t xml:space="preserve">shall be carried out by </w:t>
      </w:r>
      <w:r w:rsidR="005B04AF" w:rsidRPr="002844E0">
        <w:rPr>
          <w:noProof/>
        </w:rPr>
        <w:t xml:space="preserve">the Union </w:t>
      </w:r>
      <w:r w:rsidR="005B04AF">
        <w:rPr>
          <w:noProof/>
        </w:rPr>
        <w:t>to complement</w:t>
      </w:r>
      <w:r w:rsidR="005B04AF" w:rsidRPr="002844E0">
        <w:rPr>
          <w:noProof/>
        </w:rPr>
        <w:t xml:space="preserve"> the </w:t>
      </w:r>
      <w:r w:rsidR="005B04AF">
        <w:rPr>
          <w:noProof/>
        </w:rPr>
        <w:t xml:space="preserve">ones </w:t>
      </w:r>
      <w:r w:rsidR="005B04AF" w:rsidRPr="002844E0">
        <w:rPr>
          <w:noProof/>
        </w:rPr>
        <w:t>carried out in the Member States</w:t>
      </w:r>
      <w:r w:rsidR="005B04AF">
        <w:rPr>
          <w:noProof/>
        </w:rPr>
        <w:t xml:space="preserve">, including the </w:t>
      </w:r>
      <w:r w:rsidR="005B04AF" w:rsidRPr="002844E0">
        <w:rPr>
          <w:noProof/>
        </w:rPr>
        <w:t>stimulation of the training and mobility of researchers in the Union</w:t>
      </w:r>
      <w:r w:rsidR="005B04AF">
        <w:rPr>
          <w:noProof/>
        </w:rPr>
        <w:t xml:space="preserve">, and the </w:t>
      </w:r>
      <w:r w:rsidR="005B04AF" w:rsidRPr="002844E0">
        <w:rPr>
          <w:noProof/>
        </w:rPr>
        <w:t>dissemination and optimisation of the results o</w:t>
      </w:r>
      <w:r w:rsidR="005B04AF">
        <w:rPr>
          <w:noProof/>
        </w:rPr>
        <w:t>f research activities in the Union.</w:t>
      </w:r>
    </w:p>
    <w:p w14:paraId="36326476" w14:textId="7750FB24" w:rsidR="001403C0" w:rsidRDefault="006953E7" w:rsidP="006953E7">
      <w:pPr>
        <w:pStyle w:val="ManualConsidrant"/>
        <w:rPr>
          <w:noProof/>
        </w:rPr>
      </w:pPr>
      <w:r w:rsidRPr="006953E7">
        <w:t>(2)</w:t>
      </w:r>
      <w:r w:rsidRPr="006953E7">
        <w:tab/>
      </w:r>
      <w:r w:rsidR="005B04AF" w:rsidRPr="005B04AF">
        <w:rPr>
          <w:noProof/>
        </w:rPr>
        <w:t xml:space="preserve">The Commission Recommendation </w:t>
      </w:r>
      <w:r w:rsidR="005B04AF" w:rsidRPr="005B04AF">
        <w:rPr>
          <w:noProof/>
          <w:lang w:val="en-US"/>
        </w:rPr>
        <w:t>2005/251/EC</w:t>
      </w:r>
      <w:r w:rsidR="005B04AF" w:rsidRPr="00E8678E">
        <w:rPr>
          <w:rStyle w:val="FootnoteReference"/>
          <w:noProof/>
        </w:rPr>
        <w:footnoteReference w:id="42"/>
      </w:r>
      <w:r w:rsidR="005B04AF" w:rsidRPr="005B04AF">
        <w:rPr>
          <w:noProof/>
        </w:rPr>
        <w:t>, played an important role in supporting researchers and research careers in the Union. The Charter for Researchers and the Code of Conduct for the Recruitment of Researchers (‘Charter and Code for Researchers’) have become reference points for researchers and employers or funders of researchers, contributing to strengthening the European Research Area and supporting the development of a more attractive, open and sustainable European labour market for researchers. A European procedure certifying the commitment and progress of an institution towards the implementation of the principles of the Charter and Code for Researchers, the Human Resources Strategy for Researchers (HRS4R), is in place since 2008.</w:t>
      </w:r>
    </w:p>
    <w:p w14:paraId="4644C614" w14:textId="16E8AD67" w:rsidR="005B04AF" w:rsidRPr="000C5B3B" w:rsidRDefault="006953E7" w:rsidP="006953E7">
      <w:pPr>
        <w:pStyle w:val="ManualConsidrant"/>
        <w:rPr>
          <w:noProof/>
        </w:rPr>
      </w:pPr>
      <w:r w:rsidRPr="006953E7">
        <w:t>(3)</w:t>
      </w:r>
      <w:r w:rsidRPr="006953E7">
        <w:tab/>
      </w:r>
      <w:r w:rsidR="005B04AF">
        <w:rPr>
          <w:noProof/>
        </w:rPr>
        <w:t>The Commission Communication on a ‘</w:t>
      </w:r>
      <w:r w:rsidR="005B04AF" w:rsidRPr="00CF7904">
        <w:rPr>
          <w:noProof/>
        </w:rPr>
        <w:t>European Skills Agenda for sustainable competitiveness, social fairness and resilience</w:t>
      </w:r>
      <w:r w:rsidR="005B04AF">
        <w:rPr>
          <w:noProof/>
        </w:rPr>
        <w:t>’, adopted on 1 July 2020</w:t>
      </w:r>
      <w:r w:rsidR="005B04AF">
        <w:rPr>
          <w:rStyle w:val="FootnoteReference"/>
          <w:noProof/>
        </w:rPr>
        <w:footnoteReference w:id="43"/>
      </w:r>
      <w:r w:rsidR="005B04AF">
        <w:rPr>
          <w:noProof/>
        </w:rPr>
        <w:t>, underlines that researchers are at the forefront of science and innovation, and that they need specific sets of skills to have successful careers within and outside academia. It foresees the definition of a taxonomy of skills for researchers, including to allow the statistical monitoring of brain circulation, the development of a European Competence Framework for Researchers, and support for equipping researchers with the skills needed for inter-sectoral mobility. The first flagship action of the Skills Agenda, the EU Pact for Skills, supports upskilling and reskilling through collaboration between industry, education and training providers, social partners and public authorities in large-scale skills partnerships.</w:t>
      </w:r>
    </w:p>
    <w:p w14:paraId="576FC47B" w14:textId="35EB1746" w:rsidR="005B04AF" w:rsidRDefault="006953E7" w:rsidP="006953E7">
      <w:pPr>
        <w:pStyle w:val="ManualConsidrant"/>
        <w:rPr>
          <w:noProof/>
        </w:rPr>
      </w:pPr>
      <w:r w:rsidRPr="006953E7">
        <w:t>(4)</w:t>
      </w:r>
      <w:r w:rsidRPr="006953E7">
        <w:tab/>
      </w:r>
      <w:r w:rsidR="005B04AF">
        <w:rPr>
          <w:noProof/>
        </w:rPr>
        <w:t>The Commission Communication on ‘A New ERA for Research and Innovation’, adopted on 30 September 2020</w:t>
      </w:r>
      <w:r w:rsidR="005B04AF">
        <w:rPr>
          <w:rStyle w:val="FootnoteReference"/>
          <w:noProof/>
        </w:rPr>
        <w:footnoteReference w:id="44"/>
      </w:r>
      <w:r w:rsidR="005B04AF">
        <w:rPr>
          <w:noProof/>
        </w:rPr>
        <w:t xml:space="preserve">, acknowledges that career development conditions to attract and retain the best researchers in Europe are necessary in the global race for talents, and that precarious employment, notably for early-career researchers, has not adequately improved over the past years. </w:t>
      </w:r>
      <w:r w:rsidR="005B04AF" w:rsidRPr="004646E0">
        <w:rPr>
          <w:noProof/>
        </w:rPr>
        <w:t xml:space="preserve">It also highlights the frequent misalignment </w:t>
      </w:r>
      <w:r w:rsidR="005B04AF" w:rsidRPr="00C82280">
        <w:rPr>
          <w:noProof/>
        </w:rPr>
        <w:t>between researchers’ skills and the needs of society and of the economy</w:t>
      </w:r>
      <w:r w:rsidR="005B04AF" w:rsidRPr="004646E0">
        <w:rPr>
          <w:noProof/>
        </w:rPr>
        <w:t>, notably those of industry and businesses, and the importance to incentivise researchers to pursue a career outside academia</w:t>
      </w:r>
      <w:r w:rsidR="005B04AF">
        <w:rPr>
          <w:noProof/>
        </w:rPr>
        <w:t>. The Communication points out that in order to strengthen research careers in Europe, there is a need for a toolbox of measures aiming at the recognition of researchers’ skills, the development of a Competence Framework for Researchers, enhanced mobility and exchanges between academia and industry, targeted training opportunities, and a one-stop-shop portal that researchers can access for a wide range of support services. The Communication also foresees the improvement of the research assessment system.</w:t>
      </w:r>
    </w:p>
    <w:p w14:paraId="75D18D01" w14:textId="187E074F" w:rsidR="005B04AF" w:rsidRDefault="006953E7" w:rsidP="006953E7">
      <w:pPr>
        <w:pStyle w:val="ManualConsidrant"/>
        <w:rPr>
          <w:noProof/>
        </w:rPr>
      </w:pPr>
      <w:r w:rsidRPr="006953E7">
        <w:t>(5)</w:t>
      </w:r>
      <w:r w:rsidRPr="006953E7">
        <w:tab/>
      </w:r>
      <w:r w:rsidR="005B04AF">
        <w:rPr>
          <w:noProof/>
        </w:rPr>
        <w:t>The Council Conclusions on the ‘New European Research Area’ of 1 December 2020</w:t>
      </w:r>
      <w:r w:rsidR="005B04AF">
        <w:rPr>
          <w:rStyle w:val="FootnoteReference"/>
          <w:noProof/>
        </w:rPr>
        <w:footnoteReference w:id="45"/>
      </w:r>
      <w:r w:rsidR="005B04AF">
        <w:rPr>
          <w:noProof/>
        </w:rPr>
        <w:t xml:space="preserve"> stress that creating attractive and safe working conditions, and enhancing the attractiveness of research careers, taking into account open science, gender equality, digital skills, research assessment, diversification of research careers and multiple career paths, are vital elements of the new European Research Area, contributing to attracting and retaining excellent researchers.</w:t>
      </w:r>
    </w:p>
    <w:p w14:paraId="031B55E7" w14:textId="1D992DC8" w:rsidR="005B04AF" w:rsidRDefault="006953E7" w:rsidP="006953E7">
      <w:pPr>
        <w:pStyle w:val="ManualConsidrant"/>
        <w:rPr>
          <w:noProof/>
        </w:rPr>
      </w:pPr>
      <w:r w:rsidRPr="006953E7">
        <w:t>(6)</w:t>
      </w:r>
      <w:r w:rsidRPr="006953E7">
        <w:tab/>
      </w:r>
      <w:r w:rsidR="005B04AF">
        <w:rPr>
          <w:noProof/>
        </w:rPr>
        <w:t>The Council Conclusions on ‘</w:t>
      </w:r>
      <w:r w:rsidR="005B04AF" w:rsidRPr="00F62146">
        <w:rPr>
          <w:noProof/>
        </w:rPr>
        <w:t>Deepening the European Research Area: Providing researchers with attractive and sustainable careers and working conditions and making brain circulation a reality</w:t>
      </w:r>
      <w:r w:rsidR="005B04AF">
        <w:rPr>
          <w:noProof/>
        </w:rPr>
        <w:t>’ of 28 May 2021</w:t>
      </w:r>
      <w:r w:rsidR="005B04AF">
        <w:rPr>
          <w:rStyle w:val="FootnoteReference"/>
          <w:noProof/>
        </w:rPr>
        <w:footnoteReference w:id="46"/>
      </w:r>
      <w:r w:rsidR="005B04AF">
        <w:rPr>
          <w:noProof/>
        </w:rPr>
        <w:t>, recognise that researchers are at the heart of the European research and innovation system, and that more coordinated action at European level is needed to overcome the existing challenges faced by researchers in view of having adequate and sustainable research careers, stimulate balanced talents circulation, and make Europe an attractive destination for researchers. They suggest analysis on the</w:t>
      </w:r>
      <w:r w:rsidR="005B04AF" w:rsidRPr="00D73703">
        <w:rPr>
          <w:noProof/>
        </w:rPr>
        <w:t xml:space="preserve"> </w:t>
      </w:r>
      <w:r w:rsidR="005B04AF">
        <w:rPr>
          <w:noProof/>
        </w:rPr>
        <w:t xml:space="preserve">possible </w:t>
      </w:r>
      <w:r w:rsidR="005B04AF" w:rsidRPr="00D73703">
        <w:rPr>
          <w:noProof/>
        </w:rPr>
        <w:t xml:space="preserve">evolution of the Charter and Code </w:t>
      </w:r>
      <w:r w:rsidR="005B04AF">
        <w:rPr>
          <w:noProof/>
        </w:rPr>
        <w:t xml:space="preserve">for Researchers </w:t>
      </w:r>
      <w:r w:rsidR="005B04AF" w:rsidRPr="00D73703">
        <w:rPr>
          <w:noProof/>
        </w:rPr>
        <w:t xml:space="preserve">towards a single and comprehensive framework, addressing all challenges related to research careers beyond values and principles, and </w:t>
      </w:r>
      <w:r w:rsidR="005B04AF">
        <w:rPr>
          <w:noProof/>
        </w:rPr>
        <w:t>focusing on all possible research employment domains, and request the Commission to make a proposal in 2022. Aspects such as recruitment, incentives for early-career researchers, career diversification and progression, interoperability with all sectors of the society including industry, researchers’ assessment, gender equality, work-life balance, and an improved governance and services for EURAXESS, are suggested as elements to be included in the proposal.</w:t>
      </w:r>
    </w:p>
    <w:p w14:paraId="4ABB402E" w14:textId="1F4E6584" w:rsidR="005B04AF" w:rsidRDefault="006953E7" w:rsidP="006953E7">
      <w:pPr>
        <w:pStyle w:val="ManualConsidrant"/>
        <w:rPr>
          <w:noProof/>
        </w:rPr>
      </w:pPr>
      <w:r w:rsidRPr="006953E7">
        <w:t>(7)</w:t>
      </w:r>
      <w:r w:rsidRPr="006953E7">
        <w:tab/>
      </w:r>
      <w:r w:rsidR="005B04AF">
        <w:rPr>
          <w:noProof/>
        </w:rPr>
        <w:t xml:space="preserve">The Council Recommendation </w:t>
      </w:r>
      <w:r w:rsidR="005B04AF" w:rsidRPr="007236AB">
        <w:rPr>
          <w:noProof/>
        </w:rPr>
        <w:t>(EU) 2021/2122</w:t>
      </w:r>
      <w:r w:rsidR="005B04AF">
        <w:rPr>
          <w:rStyle w:val="FootnoteReference"/>
          <w:noProof/>
        </w:rPr>
        <w:footnoteReference w:id="47"/>
      </w:r>
      <w:r w:rsidR="005B04AF">
        <w:rPr>
          <w:noProof/>
        </w:rPr>
        <w:t xml:space="preserve"> </w:t>
      </w:r>
      <w:r w:rsidR="005B04AF" w:rsidRPr="00D73703">
        <w:rPr>
          <w:noProof/>
        </w:rPr>
        <w:t>includes research careers and the mobility of researchers, together with asses</w:t>
      </w:r>
      <w:r w:rsidR="005B04AF">
        <w:rPr>
          <w:noProof/>
        </w:rPr>
        <w:t>sment of research, researchers and institutions, as</w:t>
      </w:r>
      <w:r w:rsidR="005B04AF" w:rsidRPr="00D73703">
        <w:rPr>
          <w:noProof/>
        </w:rPr>
        <w:t xml:space="preserve"> important </w:t>
      </w:r>
      <w:r w:rsidR="005B04AF">
        <w:rPr>
          <w:noProof/>
        </w:rPr>
        <w:t xml:space="preserve">fields of </w:t>
      </w:r>
      <w:r w:rsidR="005B04AF" w:rsidRPr="00D73703">
        <w:rPr>
          <w:noProof/>
        </w:rPr>
        <w:t>action in the context of the priority areas for joint action</w:t>
      </w:r>
      <w:r w:rsidR="005B04AF">
        <w:rPr>
          <w:noProof/>
        </w:rPr>
        <w:t xml:space="preserve"> by the Union and Member States</w:t>
      </w:r>
      <w:r w:rsidR="005B04AF" w:rsidRPr="00D73703">
        <w:rPr>
          <w:noProof/>
        </w:rPr>
        <w:t xml:space="preserve"> in support of the E</w:t>
      </w:r>
      <w:r w:rsidR="005B04AF">
        <w:rPr>
          <w:noProof/>
        </w:rPr>
        <w:t xml:space="preserve">uropean </w:t>
      </w:r>
      <w:r w:rsidR="005B04AF" w:rsidRPr="00D73703">
        <w:rPr>
          <w:noProof/>
        </w:rPr>
        <w:t>R</w:t>
      </w:r>
      <w:r w:rsidR="005B04AF">
        <w:rPr>
          <w:noProof/>
        </w:rPr>
        <w:t xml:space="preserve">esearch </w:t>
      </w:r>
      <w:r w:rsidR="005B04AF" w:rsidRPr="00D73703">
        <w:rPr>
          <w:noProof/>
        </w:rPr>
        <w:t>A</w:t>
      </w:r>
      <w:r w:rsidR="005B04AF">
        <w:rPr>
          <w:noProof/>
        </w:rPr>
        <w:t>rea, and specifies a common set of principles and values to underpin research and innovation in Europe. It also highlights the need to give greater attention to early and mid-stage researchers’ careers, including the specific barriers that women face in those stages.</w:t>
      </w:r>
    </w:p>
    <w:p w14:paraId="0C9A0693" w14:textId="7D1EBD3A" w:rsidR="005B04AF" w:rsidRDefault="006953E7" w:rsidP="006953E7">
      <w:pPr>
        <w:pStyle w:val="ManualConsidrant"/>
        <w:rPr>
          <w:noProof/>
        </w:rPr>
      </w:pPr>
      <w:r w:rsidRPr="006953E7">
        <w:t>(8)</w:t>
      </w:r>
      <w:r w:rsidRPr="006953E7">
        <w:tab/>
      </w:r>
      <w:r w:rsidR="005B04AF">
        <w:rPr>
          <w:noProof/>
        </w:rPr>
        <w:t>The ERA Policy Agenda annexed to the Council Conclusions on the ‘</w:t>
      </w:r>
      <w:r w:rsidR="005B04AF" w:rsidRPr="007475A3">
        <w:rPr>
          <w:noProof/>
        </w:rPr>
        <w:t>Future governance of the European Research Area</w:t>
      </w:r>
      <w:r w:rsidR="005B04AF">
        <w:rPr>
          <w:noProof/>
        </w:rPr>
        <w:t>’ of 26 November 2021</w:t>
      </w:r>
      <w:r w:rsidR="005B04AF">
        <w:rPr>
          <w:rStyle w:val="FootnoteReference"/>
          <w:noProof/>
        </w:rPr>
        <w:footnoteReference w:id="48"/>
      </w:r>
      <w:r w:rsidR="005B04AF">
        <w:rPr>
          <w:noProof/>
        </w:rPr>
        <w:t>, includes dedicated actions to ‘</w:t>
      </w:r>
      <w:r w:rsidR="005B04AF" w:rsidRPr="009D1AF6">
        <w:rPr>
          <w:noProof/>
        </w:rPr>
        <w:t>Adv</w:t>
      </w:r>
      <w:r w:rsidR="005B04AF">
        <w:rPr>
          <w:noProof/>
        </w:rPr>
        <w:t>ance towards the reform of the assessment s</w:t>
      </w:r>
      <w:r w:rsidR="005B04AF" w:rsidRPr="009D1AF6">
        <w:rPr>
          <w:noProof/>
        </w:rPr>
        <w:t>ystem for research, researchers and institutions to improve their quality, performance and impact</w:t>
      </w:r>
      <w:r w:rsidR="005B04AF">
        <w:rPr>
          <w:noProof/>
        </w:rPr>
        <w:t>’, and to</w:t>
      </w:r>
      <w:r w:rsidR="005B04AF" w:rsidRPr="009D1AF6">
        <w:rPr>
          <w:noProof/>
        </w:rPr>
        <w:t xml:space="preserve"> </w:t>
      </w:r>
      <w:r w:rsidR="005B04AF">
        <w:rPr>
          <w:noProof/>
        </w:rPr>
        <w:t>‘</w:t>
      </w:r>
      <w:r w:rsidR="005B04AF" w:rsidRPr="007475A3">
        <w:rPr>
          <w:noProof/>
        </w:rPr>
        <w:t>Promote attractive and sustainable research careers, balanced talent circulation and international, transdisciplinary and inter-secto</w:t>
      </w:r>
      <w:r w:rsidR="005B04AF">
        <w:rPr>
          <w:noProof/>
        </w:rPr>
        <w:t>ral mobility across the ERA’. The last-mentioned action</w:t>
      </w:r>
      <w:r w:rsidR="005B04AF" w:rsidRPr="007475A3">
        <w:rPr>
          <w:noProof/>
        </w:rPr>
        <w:t xml:space="preserve"> foresees the development of a European framework for research careers</w:t>
      </w:r>
      <w:r w:rsidR="005B04AF">
        <w:rPr>
          <w:noProof/>
        </w:rPr>
        <w:t>,</w:t>
      </w:r>
      <w:r w:rsidR="005B04AF" w:rsidRPr="007475A3">
        <w:rPr>
          <w:noProof/>
        </w:rPr>
        <w:t xml:space="preserve"> </w:t>
      </w:r>
      <w:r w:rsidR="005B04AF">
        <w:rPr>
          <w:noProof/>
        </w:rPr>
        <w:t>together</w:t>
      </w:r>
      <w:r w:rsidR="005B04AF" w:rsidRPr="007475A3">
        <w:rPr>
          <w:noProof/>
        </w:rPr>
        <w:t xml:space="preserve"> with the upgrade of existing instruments and initiatives, </w:t>
      </w:r>
      <w:r w:rsidR="005B04AF">
        <w:rPr>
          <w:noProof/>
        </w:rPr>
        <w:t>and</w:t>
      </w:r>
      <w:r w:rsidR="005B04AF" w:rsidRPr="007475A3">
        <w:rPr>
          <w:noProof/>
        </w:rPr>
        <w:t xml:space="preserve"> the creation of new ones. </w:t>
      </w:r>
      <w:r w:rsidR="005B04AF" w:rsidRPr="00C01645">
        <w:rPr>
          <w:noProof/>
        </w:rPr>
        <w:t>This includes the launch of an observatory on research careers; an evolution of the Charter and Code</w:t>
      </w:r>
      <w:r w:rsidR="005B04AF">
        <w:rPr>
          <w:noProof/>
        </w:rPr>
        <w:t xml:space="preserve"> for Researchers</w:t>
      </w:r>
      <w:r w:rsidR="005B04AF" w:rsidRPr="00C01645">
        <w:rPr>
          <w:noProof/>
        </w:rPr>
        <w:t xml:space="preserve">; the setup of the ERA Talent Platform as a one-stop-shop online gateway to </w:t>
      </w:r>
      <w:r w:rsidR="005B04AF">
        <w:rPr>
          <w:noProof/>
        </w:rPr>
        <w:t>EURAXESS</w:t>
      </w:r>
      <w:r w:rsidR="005B04AF" w:rsidRPr="00C01645">
        <w:rPr>
          <w:noProof/>
        </w:rPr>
        <w:t xml:space="preserve"> services, network and portals including HRS4R, and RESAVER; the launch of the ERA4You initiative to promote talent circulation between sectors and across the EU; the exchange of g</w:t>
      </w:r>
      <w:r w:rsidR="005B04AF">
        <w:rPr>
          <w:noProof/>
        </w:rPr>
        <w:t>ood practices with regard to research and innovation</w:t>
      </w:r>
      <w:r w:rsidR="005B04AF" w:rsidRPr="00C01645">
        <w:rPr>
          <w:noProof/>
        </w:rPr>
        <w:t xml:space="preserve"> systems to support balanced brain circulation; and the piloting of the new framework for research careers with the European Universities alliances</w:t>
      </w:r>
      <w:r w:rsidR="005B04AF" w:rsidRPr="009D1AF6">
        <w:rPr>
          <w:noProof/>
        </w:rPr>
        <w:t>.</w:t>
      </w:r>
    </w:p>
    <w:p w14:paraId="0BFAE210" w14:textId="26BEB47C" w:rsidR="005B04AF" w:rsidRDefault="006953E7" w:rsidP="006953E7">
      <w:pPr>
        <w:pStyle w:val="ManualConsidrant"/>
        <w:rPr>
          <w:noProof/>
        </w:rPr>
      </w:pPr>
      <w:r w:rsidRPr="006953E7">
        <w:t>(9)</w:t>
      </w:r>
      <w:r w:rsidRPr="006953E7">
        <w:tab/>
      </w:r>
      <w:r w:rsidR="005B04AF">
        <w:rPr>
          <w:noProof/>
        </w:rPr>
        <w:t>The Commission Communication on ‘A European Strategy for U</w:t>
      </w:r>
      <w:r w:rsidR="005B04AF" w:rsidRPr="00FF0819">
        <w:rPr>
          <w:noProof/>
        </w:rPr>
        <w:t>niversities</w:t>
      </w:r>
      <w:r w:rsidR="005B04AF">
        <w:rPr>
          <w:noProof/>
        </w:rPr>
        <w:t>’, adopted on 18 January 2022</w:t>
      </w:r>
      <w:r w:rsidR="005B04AF">
        <w:rPr>
          <w:rStyle w:val="FootnoteReference"/>
          <w:noProof/>
        </w:rPr>
        <w:footnoteReference w:id="49"/>
      </w:r>
      <w:r w:rsidR="005B04AF">
        <w:rPr>
          <w:noProof/>
        </w:rPr>
        <w:t>, foresees the development of a framework for research careers, in synergy with a European framework for attractive and sustainable careers in higher education to be proposed by 2023.</w:t>
      </w:r>
    </w:p>
    <w:p w14:paraId="32BF3D2E" w14:textId="2B7E48E1" w:rsidR="005B04AF" w:rsidRDefault="006953E7" w:rsidP="006953E7">
      <w:pPr>
        <w:pStyle w:val="ManualConsidrant"/>
        <w:rPr>
          <w:noProof/>
        </w:rPr>
      </w:pPr>
      <w:r w:rsidRPr="006953E7">
        <w:t>(10)</w:t>
      </w:r>
      <w:r w:rsidRPr="006953E7">
        <w:tab/>
      </w:r>
      <w:r w:rsidR="005B04AF">
        <w:rPr>
          <w:noProof/>
        </w:rPr>
        <w:t>The Commission Communication on ‘A new European Innovation Agenda’, adopted on 5 July 2022</w:t>
      </w:r>
      <w:r w:rsidR="005B04AF">
        <w:rPr>
          <w:rStyle w:val="FootnoteReference"/>
          <w:noProof/>
        </w:rPr>
        <w:footnoteReference w:id="50"/>
      </w:r>
      <w:r w:rsidR="005B04AF">
        <w:rPr>
          <w:noProof/>
        </w:rPr>
        <w:t>, acknowledges that i</w:t>
      </w:r>
      <w:r w:rsidR="005B04AF" w:rsidRPr="00E23A60">
        <w:rPr>
          <w:noProof/>
        </w:rPr>
        <w:t>nnovation depends on the successful nurture, attraction and retentio</w:t>
      </w:r>
      <w:r w:rsidR="005B04AF">
        <w:rPr>
          <w:noProof/>
        </w:rPr>
        <w:t>n of talented individuals and a diverse array of skills, and underlines the importance of inter-sectoral mobility.</w:t>
      </w:r>
    </w:p>
    <w:p w14:paraId="6D9ADE7B" w14:textId="20EC7CD9" w:rsidR="005B04AF" w:rsidRDefault="006953E7" w:rsidP="006953E7">
      <w:pPr>
        <w:pStyle w:val="ManualConsidrant"/>
        <w:rPr>
          <w:noProof/>
        </w:rPr>
      </w:pPr>
      <w:r w:rsidRPr="006953E7">
        <w:t>(11)</w:t>
      </w:r>
      <w:r w:rsidRPr="006953E7">
        <w:tab/>
      </w:r>
      <w:r w:rsidR="005B04AF">
        <w:rPr>
          <w:noProof/>
        </w:rPr>
        <w:t xml:space="preserve">The Council Recommendation </w:t>
      </w:r>
      <w:r w:rsidR="005B04AF" w:rsidRPr="006053C6">
        <w:rPr>
          <w:noProof/>
          <w:lang w:val="en-IE"/>
        </w:rPr>
        <w:t>(EU) 2022/2415</w:t>
      </w:r>
      <w:r w:rsidR="005B04AF">
        <w:rPr>
          <w:rStyle w:val="FootnoteReference"/>
          <w:noProof/>
        </w:rPr>
        <w:footnoteReference w:id="51"/>
      </w:r>
      <w:r w:rsidR="005B04AF">
        <w:rPr>
          <w:noProof/>
        </w:rPr>
        <w:t xml:space="preserve"> emphasizes the importance of investing in the development of entrepreneurial culture, practices, </w:t>
      </w:r>
      <w:r w:rsidR="005B04AF" w:rsidRPr="00DE682E">
        <w:rPr>
          <w:noProof/>
        </w:rPr>
        <w:t>skills and capacities for</w:t>
      </w:r>
      <w:r w:rsidR="005B04AF">
        <w:rPr>
          <w:noProof/>
        </w:rPr>
        <w:t xml:space="preserve"> researchers and other research and innovation actors, including intermediaries, whose continuous professionalisation is essential, to maximise the transformation of research and innovation results into solutions that benefit society. A </w:t>
      </w:r>
      <w:r w:rsidR="005B04AF" w:rsidRPr="00933DF4">
        <w:rPr>
          <w:noProof/>
        </w:rPr>
        <w:t xml:space="preserve">Code of </w:t>
      </w:r>
      <w:r w:rsidR="005B04AF">
        <w:rPr>
          <w:noProof/>
        </w:rPr>
        <w:t>P</w:t>
      </w:r>
      <w:r w:rsidR="005B04AF" w:rsidRPr="00933DF4">
        <w:rPr>
          <w:noProof/>
        </w:rPr>
        <w:t>ractice on industry-academia collaboration</w:t>
      </w:r>
      <w:r w:rsidR="005B04AF">
        <w:rPr>
          <w:noProof/>
        </w:rPr>
        <w:t xml:space="preserve"> will support the implementation of the Recommendation.</w:t>
      </w:r>
    </w:p>
    <w:p w14:paraId="69560D8A" w14:textId="1F79DBA8" w:rsidR="005B04AF" w:rsidRDefault="006953E7" w:rsidP="006953E7">
      <w:pPr>
        <w:pStyle w:val="ManualConsidrant"/>
        <w:rPr>
          <w:noProof/>
        </w:rPr>
      </w:pPr>
      <w:r w:rsidRPr="006953E7">
        <w:t>(12)</w:t>
      </w:r>
      <w:r w:rsidRPr="006953E7">
        <w:tab/>
      </w:r>
      <w:r w:rsidR="005B04AF">
        <w:rPr>
          <w:noProof/>
        </w:rPr>
        <w:t xml:space="preserve">Researchers are a fundamental resource for society. They perform research, foster innovation, contribute to solutions to societal challenges, including the digital and green transition, thus contributing to the Commission overarching priorities for ‘A Europe Fit for the Digital Age’, and of ‘A European Green Deal’. </w:t>
      </w:r>
      <w:r w:rsidR="005B04AF" w:rsidRPr="002B7121">
        <w:rPr>
          <w:noProof/>
        </w:rPr>
        <w:t>Researchers are highly</w:t>
      </w:r>
      <w:r w:rsidR="005B04AF">
        <w:rPr>
          <w:noProof/>
        </w:rPr>
        <w:t xml:space="preserve"> </w:t>
      </w:r>
      <w:r w:rsidR="005B04AF" w:rsidRPr="002B7121">
        <w:rPr>
          <w:noProof/>
        </w:rPr>
        <w:t xml:space="preserve">skilled talents who have great potential to meet the labour market demand, </w:t>
      </w:r>
      <w:r w:rsidR="005B04AF">
        <w:rPr>
          <w:noProof/>
        </w:rPr>
        <w:t>thus contributing to the other overarching priority of ‘An economy that works for people’. It is crucial to improve their overall working environment by strengthening research careers, their effectiveness, and making them interoperable between sectors.</w:t>
      </w:r>
    </w:p>
    <w:p w14:paraId="255266E3" w14:textId="4AB867FB" w:rsidR="005B04AF" w:rsidRDefault="006953E7" w:rsidP="006953E7">
      <w:pPr>
        <w:pStyle w:val="ManualConsidrant"/>
        <w:rPr>
          <w:noProof/>
        </w:rPr>
      </w:pPr>
      <w:r w:rsidRPr="006953E7">
        <w:t>(13)</w:t>
      </w:r>
      <w:r w:rsidRPr="006953E7">
        <w:tab/>
      </w:r>
      <w:r w:rsidR="005B04AF">
        <w:rPr>
          <w:noProof/>
        </w:rPr>
        <w:t xml:space="preserve">Enhancing the attractiveness and stability of research careers across the Union is a key element of the European Research Area. Therefore, there is a clear need to make research careers more attractive for school-leavers, and to put in place framework conditions to retain talented researchers in the Union, as well as for making it an appealing and competitive destination for international researchers. </w:t>
      </w:r>
    </w:p>
    <w:p w14:paraId="6541E0B0" w14:textId="1E76B2DC" w:rsidR="005B04AF" w:rsidRPr="002C5DC7" w:rsidRDefault="006953E7" w:rsidP="006953E7">
      <w:pPr>
        <w:pStyle w:val="ManualConsidrant"/>
        <w:rPr>
          <w:noProof/>
        </w:rPr>
      </w:pPr>
      <w:r w:rsidRPr="006953E7">
        <w:t>(14)</w:t>
      </w:r>
      <w:r w:rsidRPr="006953E7">
        <w:tab/>
      </w:r>
      <w:r w:rsidR="005B04AF" w:rsidRPr="002C5DC7">
        <w:rPr>
          <w:noProof/>
        </w:rPr>
        <w:t xml:space="preserve">Talent is at the core of innovation. </w:t>
      </w:r>
      <w:r w:rsidR="005B04AF">
        <w:rPr>
          <w:noProof/>
        </w:rPr>
        <w:t>It is thus indispensable to create</w:t>
      </w:r>
      <w:r w:rsidR="005B04AF" w:rsidRPr="002C5DC7">
        <w:rPr>
          <w:noProof/>
        </w:rPr>
        <w:t xml:space="preserve"> conditions to deliver and ensure a flow-through of highly skilled and resilient talents able to contribute to Europe’s recovery and competitive edge. This entails stronger ties between academia and industry, and an entrepreneurial and innovation culture, with talents able to take the ideas they develop to the market.</w:t>
      </w:r>
    </w:p>
    <w:p w14:paraId="2B55B20E" w14:textId="36A62218" w:rsidR="005B04AF" w:rsidRDefault="006953E7" w:rsidP="006953E7">
      <w:pPr>
        <w:pStyle w:val="ManualConsidrant"/>
        <w:rPr>
          <w:noProof/>
        </w:rPr>
      </w:pPr>
      <w:r w:rsidRPr="006953E7">
        <w:t>(15)</w:t>
      </w:r>
      <w:r w:rsidRPr="006953E7">
        <w:tab/>
      </w:r>
      <w:r w:rsidR="005B04AF" w:rsidRPr="000A36A9">
        <w:rPr>
          <w:noProof/>
          <w:lang w:val="en-IE"/>
        </w:rPr>
        <w:t>The Marie Skłodowska-Curie Actions (MSCA) have been supporting for over 25 years</w:t>
      </w:r>
      <w:r w:rsidR="005B04AF">
        <w:rPr>
          <w:noProof/>
          <w:lang w:val="en-IE"/>
        </w:rPr>
        <w:t>,</w:t>
      </w:r>
      <w:r w:rsidR="005B04AF" w:rsidRPr="000A36A9">
        <w:rPr>
          <w:noProof/>
          <w:lang w:val="en-IE"/>
        </w:rPr>
        <w:t xml:space="preserve"> </w:t>
      </w:r>
      <w:r w:rsidR="005B04AF">
        <w:rPr>
          <w:noProof/>
          <w:lang w:val="en-IE"/>
        </w:rPr>
        <w:t xml:space="preserve">as part of the </w:t>
      </w:r>
      <w:r w:rsidR="005B04AF">
        <w:rPr>
          <w:noProof/>
        </w:rPr>
        <w:t>Framework Programmes for Research and Innovation,</w:t>
      </w:r>
      <w:r w:rsidR="005B04AF" w:rsidRPr="000A36A9">
        <w:rPr>
          <w:noProof/>
          <w:lang w:val="en-IE"/>
        </w:rPr>
        <w:t xml:space="preserve"> researchers from all over the world, at all stages of their careers, with a focus on training, skills and career development. </w:t>
      </w:r>
      <w:r w:rsidR="005B04AF">
        <w:rPr>
          <w:noProof/>
          <w:lang w:val="en-IE"/>
        </w:rPr>
        <w:t>The programme has also had a structuring impact on organisations (universities, research centres, enterprises etc) by spreading good pratices and increasing their international attractiveness and visibility notably through the development of excellent doctoral programmes. MSCA</w:t>
      </w:r>
      <w:r w:rsidR="005B04AF">
        <w:rPr>
          <w:noProof/>
        </w:rPr>
        <w:t xml:space="preserve"> is a best practice example in contributing to inter-sectoral, inter-disciplinary and geographical mobility, developing researchers’ skills, addressing gender imbalances, retaining talented researchers and attracting new talent to Europe. The MSCA Industrial Doctorate programmes, where the research experience, location and supervision of a doctoral candidate are equally shared between an academic and a non-academic establishment, are an important example of interaction and cooperation between ecosystem actors, fostering transversal skills and inter-sectoral mobility, and helping industry’s needs of highly skilled talents. </w:t>
      </w:r>
    </w:p>
    <w:p w14:paraId="119C8F11" w14:textId="2CDD08C4" w:rsidR="005B04AF" w:rsidRDefault="006953E7" w:rsidP="006953E7">
      <w:pPr>
        <w:pStyle w:val="ManualConsidrant"/>
        <w:rPr>
          <w:noProof/>
        </w:rPr>
      </w:pPr>
      <w:r w:rsidRPr="006953E7">
        <w:t>(16)</w:t>
      </w:r>
      <w:r w:rsidRPr="006953E7">
        <w:tab/>
      </w:r>
      <w:r w:rsidR="005B04AF">
        <w:rPr>
          <w:noProof/>
        </w:rPr>
        <w:t>Eurostat data indicate that the number of researchers in Europe experiences a growing trend. In 2021,</w:t>
      </w:r>
      <w:r w:rsidR="005B04AF" w:rsidRPr="00060D87">
        <w:rPr>
          <w:noProof/>
        </w:rPr>
        <w:t xml:space="preserve"> there were </w:t>
      </w:r>
      <w:r w:rsidR="005B04AF">
        <w:rPr>
          <w:noProof/>
        </w:rPr>
        <w:t>2 million researchers (in full-time equivalent</w:t>
      </w:r>
      <w:r w:rsidR="005B04AF" w:rsidRPr="00060D87">
        <w:rPr>
          <w:noProof/>
        </w:rPr>
        <w:t>) wor</w:t>
      </w:r>
      <w:r w:rsidR="005B04AF">
        <w:rPr>
          <w:noProof/>
        </w:rPr>
        <w:t>king in the Member States, 627</w:t>
      </w:r>
      <w:r w:rsidR="005B04AF" w:rsidRPr="00060D87">
        <w:rPr>
          <w:noProof/>
        </w:rPr>
        <w:t xml:space="preserve"> tho</w:t>
      </w:r>
      <w:r w:rsidR="005B04AF">
        <w:rPr>
          <w:noProof/>
        </w:rPr>
        <w:t>usand more than in 2011. Most researchers work</w:t>
      </w:r>
      <w:r w:rsidR="005B04AF" w:rsidRPr="00060D87">
        <w:rPr>
          <w:noProof/>
        </w:rPr>
        <w:t xml:space="preserve"> in th</w:t>
      </w:r>
      <w:r w:rsidR="005B04AF">
        <w:rPr>
          <w:noProof/>
        </w:rPr>
        <w:t>e business enterprise sector (56</w:t>
      </w:r>
      <w:r w:rsidR="005B04AF" w:rsidRPr="00060D87">
        <w:rPr>
          <w:noProof/>
        </w:rPr>
        <w:t>%) and</w:t>
      </w:r>
      <w:r w:rsidR="005B04AF">
        <w:rPr>
          <w:noProof/>
        </w:rPr>
        <w:t xml:space="preserve"> the higher education sector (32</w:t>
      </w:r>
      <w:r w:rsidR="005B04AF" w:rsidRPr="00060D87">
        <w:rPr>
          <w:noProof/>
        </w:rPr>
        <w:t>%), followed by the government sector (11%)</w:t>
      </w:r>
      <w:r w:rsidR="005B04AF">
        <w:rPr>
          <w:noProof/>
        </w:rPr>
        <w:t xml:space="preserve">. It is important to sustain this growing trend with adequate investments, infrastructures and policies at national and Union level supporting the attractiveness of research careers, including as regards diversity and gender equality, and to promote a culture of equal value and reward of research careers in all sectors of the society. </w:t>
      </w:r>
    </w:p>
    <w:p w14:paraId="3E2939B2" w14:textId="3F3344A3" w:rsidR="005B04AF" w:rsidRPr="00D60662" w:rsidRDefault="006953E7" w:rsidP="006953E7">
      <w:pPr>
        <w:pStyle w:val="ManualConsidrant"/>
        <w:rPr>
          <w:noProof/>
        </w:rPr>
      </w:pPr>
      <w:r w:rsidRPr="006953E7">
        <w:t>(17)</w:t>
      </w:r>
      <w:r w:rsidRPr="006953E7">
        <w:tab/>
      </w:r>
      <w:r w:rsidR="005B04AF">
        <w:rPr>
          <w:noProof/>
        </w:rPr>
        <w:t xml:space="preserve">There is a need for a clear and common definition of ‘researcher’ at European level, such as for example the definition of the widely accepted Frascati Manual, and for a common understanding of research professions. The research professions should be intended as the occupations that researchers can take up in all relevant sectors, comprising academia (universities, polytechnics and research institutes), business (including industrial laboratories, start-ups, spin-offs or small and medium-sized enterprises), public administration bodies (including public laboratories and the health care system), and the non-profit sector. Efforts are needed for the full recognition of the research profession, and to aim at </w:t>
      </w:r>
      <w:r w:rsidR="005B04AF" w:rsidRPr="00D60662">
        <w:rPr>
          <w:noProof/>
        </w:rPr>
        <w:t>the comparability of the research professions across Member States and sectors, including through the update of the R1-R4 researchers’ profiles introduced in 2011 and their wider use in vacancies for researchers.</w:t>
      </w:r>
    </w:p>
    <w:p w14:paraId="4E97362F" w14:textId="601921D1" w:rsidR="005B04AF" w:rsidRPr="00DF1D12" w:rsidRDefault="006953E7" w:rsidP="006953E7">
      <w:pPr>
        <w:pStyle w:val="ManualConsidrant"/>
        <w:rPr>
          <w:noProof/>
        </w:rPr>
      </w:pPr>
      <w:r w:rsidRPr="006953E7">
        <w:t>(18)</w:t>
      </w:r>
      <w:r w:rsidRPr="006953E7">
        <w:tab/>
      </w:r>
      <w:r w:rsidR="005B04AF" w:rsidRPr="00DF1D12">
        <w:rPr>
          <w:noProof/>
        </w:rPr>
        <w:t xml:space="preserve">Performing high-level research and innovation requires the support of a multitude of </w:t>
      </w:r>
      <w:r w:rsidR="005B04AF" w:rsidRPr="002B7121">
        <w:rPr>
          <w:bCs/>
          <w:noProof/>
        </w:rPr>
        <w:t>research management roles,</w:t>
      </w:r>
      <w:r w:rsidR="005B04AF" w:rsidRPr="00DF1D12">
        <w:rPr>
          <w:noProof/>
        </w:rPr>
        <w:t xml:space="preserve"> undertaken by researchers or other professionals. These highly valuable professions deserve proper recognition, including by way of further analysis and alignment at </w:t>
      </w:r>
      <w:r w:rsidR="005B04AF">
        <w:rPr>
          <w:noProof/>
        </w:rPr>
        <w:t>the</w:t>
      </w:r>
      <w:r w:rsidR="005B04AF" w:rsidRPr="00DF1D12">
        <w:rPr>
          <w:noProof/>
        </w:rPr>
        <w:t xml:space="preserve"> level</w:t>
      </w:r>
      <w:r w:rsidR="005B04AF">
        <w:rPr>
          <w:noProof/>
        </w:rPr>
        <w:t xml:space="preserve"> of the Union</w:t>
      </w:r>
      <w:r w:rsidR="005B04AF" w:rsidRPr="00DF1D12">
        <w:rPr>
          <w:noProof/>
        </w:rPr>
        <w:t>, with a view to strengthening their capacity, developing relevant training, fostering comparability, and allowing them to effectively manage and support research and innovation.</w:t>
      </w:r>
    </w:p>
    <w:p w14:paraId="1A067EB8" w14:textId="6E417457" w:rsidR="005B04AF" w:rsidRDefault="006953E7" w:rsidP="006953E7">
      <w:pPr>
        <w:pStyle w:val="ManualConsidrant"/>
        <w:rPr>
          <w:noProof/>
        </w:rPr>
      </w:pPr>
      <w:r w:rsidRPr="006953E7">
        <w:t>(19)</w:t>
      </w:r>
      <w:r w:rsidRPr="006953E7">
        <w:tab/>
      </w:r>
      <w:r w:rsidR="005B04AF">
        <w:rPr>
          <w:noProof/>
        </w:rPr>
        <w:t xml:space="preserve">The </w:t>
      </w:r>
      <w:r w:rsidR="005B04AF" w:rsidRPr="00291FD5">
        <w:rPr>
          <w:noProof/>
        </w:rPr>
        <w:t>European Skills, Competences, Qualifications and Occupations</w:t>
      </w:r>
      <w:r w:rsidR="005B04AF">
        <w:rPr>
          <w:noProof/>
        </w:rPr>
        <w:t xml:space="preserve"> (ESCO) classification has been updated in 2022 to include improved taxonomies of skills and occupations for researchers, thus specifying the occupations relevant for researchers across labour market sectors, and the transversal skills researchers need to be successful. The implementation of the ESCO classification in EUROPASS and in  the</w:t>
      </w:r>
      <w:r w:rsidR="005B04AF" w:rsidRPr="00C73C7F">
        <w:rPr>
          <w:noProof/>
        </w:rPr>
        <w:t xml:space="preserve"> European network of employment services (EURES),</w:t>
      </w:r>
      <w:r w:rsidR="005B04AF">
        <w:rPr>
          <w:noProof/>
        </w:rPr>
        <w:t xml:space="preserve"> facilitates the uptake of this improved terminology in the labour market. Interaction by the Commission with the International Labour Organization is needed to have the specific category of ‘researcher’ included in future revisions of the </w:t>
      </w:r>
      <w:r w:rsidR="005B04AF" w:rsidRPr="00840EEB">
        <w:rPr>
          <w:noProof/>
        </w:rPr>
        <w:t>International Standard Classification of Occupations (ISCO)</w:t>
      </w:r>
      <w:r w:rsidR="005B04AF">
        <w:rPr>
          <w:noProof/>
        </w:rPr>
        <w:t>, on which the ESCO classification is based.</w:t>
      </w:r>
    </w:p>
    <w:p w14:paraId="063823ED" w14:textId="27BF3ADA" w:rsidR="005B04AF" w:rsidRDefault="006953E7" w:rsidP="006953E7">
      <w:pPr>
        <w:pStyle w:val="ManualConsidrant"/>
        <w:rPr>
          <w:noProof/>
        </w:rPr>
      </w:pPr>
      <w:r w:rsidRPr="006953E7">
        <w:t>(20)</w:t>
      </w:r>
      <w:r w:rsidRPr="006953E7">
        <w:tab/>
      </w:r>
      <w:r w:rsidR="005B04AF">
        <w:rPr>
          <w:noProof/>
        </w:rPr>
        <w:t xml:space="preserve">As recognised by Article 13 of the Charter of Fundamental Rights of the European Union, and as stated in the Bonn Declaration on Freedom of Scientific Research of 20 October 2020, in the European Higher Education Area Rome Communiqué of 19 November 2020, and in the Council Recommendation </w:t>
      </w:r>
      <w:r w:rsidR="005B04AF" w:rsidRPr="00D02EC4">
        <w:rPr>
          <w:noProof/>
        </w:rPr>
        <w:t>(EU) 2021/2122</w:t>
      </w:r>
      <w:r w:rsidR="005B04AF">
        <w:rPr>
          <w:noProof/>
        </w:rPr>
        <w:t>,</w:t>
      </w:r>
      <w:r w:rsidR="005B04AF" w:rsidRPr="00D02EC4">
        <w:rPr>
          <w:noProof/>
        </w:rPr>
        <w:t xml:space="preserve"> </w:t>
      </w:r>
      <w:r w:rsidR="005B04AF">
        <w:rPr>
          <w:noProof/>
        </w:rPr>
        <w:t>academic freedom and the freedom of scientific research must be safeguarded as essential prerequisites for researchers to advance research and innovation,.</w:t>
      </w:r>
      <w:r w:rsidR="005B04AF" w:rsidRPr="00A936CC">
        <w:rPr>
          <w:noProof/>
        </w:rPr>
        <w:t xml:space="preserve">  </w:t>
      </w:r>
      <w:r w:rsidR="005B04AF">
        <w:rPr>
          <w:noProof/>
        </w:rPr>
        <w:t>In this respect, a</w:t>
      </w:r>
      <w:r w:rsidR="005B04AF" w:rsidRPr="00A936CC">
        <w:rPr>
          <w:noProof/>
        </w:rPr>
        <w:t xml:space="preserve"> Staff Working Document </w:t>
      </w:r>
      <w:r w:rsidR="005B04AF">
        <w:rPr>
          <w:noProof/>
        </w:rPr>
        <w:t>was published by the Commission i</w:t>
      </w:r>
      <w:r w:rsidR="005B04AF" w:rsidRPr="00A936CC">
        <w:rPr>
          <w:noProof/>
        </w:rPr>
        <w:t>n January 2021</w:t>
      </w:r>
      <w:r w:rsidR="005B04AF">
        <w:rPr>
          <w:noProof/>
        </w:rPr>
        <w:t xml:space="preserve"> </w:t>
      </w:r>
      <w:r w:rsidR="005B04AF" w:rsidRPr="00A936CC">
        <w:rPr>
          <w:noProof/>
        </w:rPr>
        <w:t>on how to mitigate foreign interference in research and innovation. The publication outlines best practices to support higher education and research institutions in safeguarding their fundamental values, including academic freedom, integrity and institutional autonomy, as well as to protect their staff, students, research findings and assets.</w:t>
      </w:r>
    </w:p>
    <w:p w14:paraId="32C6EEB9" w14:textId="411A4469" w:rsidR="005B04AF" w:rsidRDefault="006953E7" w:rsidP="006953E7">
      <w:pPr>
        <w:pStyle w:val="ManualConsidrant"/>
        <w:rPr>
          <w:noProof/>
        </w:rPr>
      </w:pPr>
      <w:r w:rsidRPr="006953E7">
        <w:t>(21)</w:t>
      </w:r>
      <w:r w:rsidRPr="006953E7">
        <w:tab/>
      </w:r>
      <w:r w:rsidR="005B04AF">
        <w:rPr>
          <w:noProof/>
        </w:rPr>
        <w:t xml:space="preserve">Women continue to be under-represented among researchers, constituting only 33% of the total population of researchers in the Union. </w:t>
      </w:r>
      <w:r w:rsidR="005B04AF" w:rsidRPr="008C483E">
        <w:rPr>
          <w:noProof/>
        </w:rPr>
        <w:t>Data also show that a higher percentage of women researchers are employed in the higher education sector, compared to men researchers, whereas their percentages are lower in the government and business sectors</w:t>
      </w:r>
      <w:r w:rsidR="005B04AF" w:rsidRPr="00E572FF">
        <w:rPr>
          <w:noProof/>
        </w:rPr>
        <w:t>.</w:t>
      </w:r>
      <w:r w:rsidR="005B04AF">
        <w:rPr>
          <w:noProof/>
        </w:rPr>
        <w:t xml:space="preserve"> A</w:t>
      </w:r>
      <w:r w:rsidR="005B04AF" w:rsidRPr="00E572FF">
        <w:rPr>
          <w:noProof/>
        </w:rPr>
        <w:t xml:space="preserve">cross the </w:t>
      </w:r>
      <w:r w:rsidR="005B04AF">
        <w:rPr>
          <w:noProof/>
        </w:rPr>
        <w:t>Union</w:t>
      </w:r>
      <w:r w:rsidR="005B04AF" w:rsidRPr="00E572FF">
        <w:rPr>
          <w:noProof/>
        </w:rPr>
        <w:t>, a higher proportion of women</w:t>
      </w:r>
      <w:r w:rsidR="005B04AF">
        <w:rPr>
          <w:noProof/>
        </w:rPr>
        <w:t xml:space="preserve"> researchers</w:t>
      </w:r>
      <w:r w:rsidR="005B04AF" w:rsidRPr="00E572FF">
        <w:rPr>
          <w:noProof/>
        </w:rPr>
        <w:t>, compared to men</w:t>
      </w:r>
      <w:r w:rsidR="005B04AF">
        <w:rPr>
          <w:noProof/>
        </w:rPr>
        <w:t xml:space="preserve"> researchers</w:t>
      </w:r>
      <w:r w:rsidR="005B04AF" w:rsidRPr="00E572FF">
        <w:rPr>
          <w:noProof/>
        </w:rPr>
        <w:t>, work part-t</w:t>
      </w:r>
      <w:r w:rsidR="005B04AF">
        <w:rPr>
          <w:noProof/>
        </w:rPr>
        <w:t xml:space="preserve">ime and under precarious </w:t>
      </w:r>
      <w:r w:rsidR="005B04AF" w:rsidRPr="00E572FF">
        <w:rPr>
          <w:noProof/>
        </w:rPr>
        <w:t xml:space="preserve">contracts in </w:t>
      </w:r>
      <w:r w:rsidR="005B04AF">
        <w:rPr>
          <w:noProof/>
        </w:rPr>
        <w:t>higher education (11</w:t>
      </w:r>
      <w:r w:rsidR="005B04AF" w:rsidRPr="00E572FF">
        <w:rPr>
          <w:noProof/>
        </w:rPr>
        <w:t>% for women and 7% for men)</w:t>
      </w:r>
      <w:r w:rsidR="005B04AF">
        <w:rPr>
          <w:noProof/>
        </w:rPr>
        <w:t xml:space="preserve"> and women only occupy 26% of top academic positions (full professorship or equivalent researcher position). There is a need to effectively address persisting gender inequalities in research careers – including gender pay gap, gender biases in assessment, work-life balance issues as well as gender-based violence, which all affect participation and career progression – through institutional change, including through the instrument of inclusive gender equality plans. Moreover, specific efforts are needed to address women’s under-representation in the science, technology, engineering and mathematics (STEM) fields </w:t>
      </w:r>
      <w:r w:rsidR="005B04AF" w:rsidRPr="008C483E">
        <w:rPr>
          <w:noProof/>
        </w:rPr>
        <w:t>in research and innovation, as well as in the higher education sector as highlighted in the European strategy for universities which proposes a manifesto from STE(A)M-oriented universities on gender-inclusive STE(A)M education.</w:t>
      </w:r>
    </w:p>
    <w:p w14:paraId="14C10ED2" w14:textId="39EC80E9" w:rsidR="005B04AF" w:rsidRDefault="006953E7" w:rsidP="006953E7">
      <w:pPr>
        <w:pStyle w:val="ManualConsidrant"/>
        <w:rPr>
          <w:noProof/>
        </w:rPr>
      </w:pPr>
      <w:r w:rsidRPr="006953E7">
        <w:t>(22)</w:t>
      </w:r>
      <w:r w:rsidRPr="006953E7">
        <w:tab/>
      </w:r>
      <w:r w:rsidR="005B04AF">
        <w:rPr>
          <w:noProof/>
        </w:rPr>
        <w:t xml:space="preserve">To support the full personal and professional development of researchers in the Union, and in particular of early-career researchers, it is essential to address existing challenges which have negative consequences on the overall research and innovation system in the Union, and on the internal market for research. Such challenges include employment and working conditions aspects, such as a different students/employees status of doctoral candidates across Member States, frequent lack of open, transparent, and merit-based recruitment, precarity linked to short-term project-based contracts, unsatisfactory equal opportunities, work-life balance and wellbeing measures, and weaknesses of social protection tools, including difficulties with the portability of entitlements between sectors and Member States. </w:t>
      </w:r>
    </w:p>
    <w:p w14:paraId="4D623913" w14:textId="21C9130C" w:rsidR="005B04AF" w:rsidRDefault="006953E7" w:rsidP="006953E7">
      <w:pPr>
        <w:pStyle w:val="ManualConsidrant"/>
        <w:rPr>
          <w:noProof/>
        </w:rPr>
      </w:pPr>
      <w:r w:rsidRPr="006953E7">
        <w:t>(23)</w:t>
      </w:r>
      <w:r w:rsidRPr="006953E7">
        <w:tab/>
      </w:r>
      <w:r w:rsidR="005B04AF">
        <w:rPr>
          <w:noProof/>
        </w:rPr>
        <w:t>The employability and career development of early-career researchers would benefit from dedicated incentives for their recruitment, such as financial and social protection ones, including opportunities for permanent or open-ended contracts in line with the intent of Council Directive 1999/70/EC of 28 June 1999 concerning the framework agreement on fixed-term work concluded by ETUC, UNICE and CEEP</w:t>
      </w:r>
      <w:r w:rsidR="005B04AF">
        <w:rPr>
          <w:rStyle w:val="FootnoteReference"/>
          <w:noProof/>
        </w:rPr>
        <w:footnoteReference w:id="52"/>
      </w:r>
      <w:r w:rsidR="005B04AF">
        <w:rPr>
          <w:noProof/>
        </w:rPr>
        <w:t xml:space="preserve">. In this respect, </w:t>
      </w:r>
      <w:r w:rsidR="005B04AF" w:rsidRPr="006F2F47">
        <w:rPr>
          <w:noProof/>
        </w:rPr>
        <w:t xml:space="preserve">a wider use of baseline funding or life-cycle research funding </w:t>
      </w:r>
      <w:r w:rsidR="005B04AF">
        <w:rPr>
          <w:noProof/>
        </w:rPr>
        <w:t>c</w:t>
      </w:r>
      <w:r w:rsidR="005B04AF" w:rsidRPr="006F2F47">
        <w:rPr>
          <w:noProof/>
        </w:rPr>
        <w:t>ould be promoted alongside project-based funding. Baseline funding provides universities or research centres with a projection of guaranteed financial support in return for meeting certain deliverables and quality standards; life-cycle funding is characterised by an initial competition for funding that is renewed if assessed positively following a monitoring process</w:t>
      </w:r>
      <w:r w:rsidR="005B04AF">
        <w:rPr>
          <w:noProof/>
        </w:rPr>
        <w:t>.</w:t>
      </w:r>
      <w:r w:rsidR="005B04AF" w:rsidRPr="006F2F47">
        <w:rPr>
          <w:noProof/>
        </w:rPr>
        <w:t xml:space="preserve"> This allows research organisations to develop more long-term research strategies and engage in sustainable commitments towards employees, while using project-based funding to continue exploring new itineraries.</w:t>
      </w:r>
    </w:p>
    <w:p w14:paraId="4C345CE0" w14:textId="5817BD61" w:rsidR="005B04AF" w:rsidRDefault="006953E7" w:rsidP="006953E7">
      <w:pPr>
        <w:pStyle w:val="ManualConsidrant"/>
        <w:rPr>
          <w:noProof/>
        </w:rPr>
      </w:pPr>
      <w:r w:rsidRPr="006953E7">
        <w:t>(24)</w:t>
      </w:r>
      <w:r w:rsidRPr="006953E7">
        <w:tab/>
      </w:r>
      <w:r w:rsidR="005B04AF">
        <w:rPr>
          <w:noProof/>
        </w:rPr>
        <w:t xml:space="preserve">As asserted in Article 22 of the Universal Declaration of Human Rights, everyone, as a member of society, has the right to social security and is entitled to realization of the economic, social and cultural rights indispensable for dignity and the free development of personality. </w:t>
      </w:r>
      <w:r w:rsidR="005B04AF" w:rsidRPr="00345D1E">
        <w:rPr>
          <w:noProof/>
        </w:rPr>
        <w:t>Article 9 of the Treaty on the Functioning of the European Union states that the guarantee of adequate social protection must be taken into account when defining and implementing Union policies and activities.</w:t>
      </w:r>
      <w:r w:rsidR="005B04AF">
        <w:rPr>
          <w:noProof/>
        </w:rPr>
        <w:t xml:space="preserve"> Principle 15 of the European Pillar of Social Rights states that both workers and the self-employed in retirement have the right to a pension commensurate to their contributions and ensuring an adequate income. Yet, mobile researchers experience difficulties accumulating adequate supplementary pensions as a result of vesting periods, high transfer fees, limited financial literacy and administrative burden at retirement age. Therefore, s</w:t>
      </w:r>
      <w:r w:rsidR="005B04AF" w:rsidRPr="002C5DC7">
        <w:rPr>
          <w:noProof/>
        </w:rPr>
        <w:t>afeguards base</w:t>
      </w:r>
      <w:r w:rsidR="005B04AF">
        <w:rPr>
          <w:noProof/>
        </w:rPr>
        <w:t xml:space="preserve">d on the Council Recommendation </w:t>
      </w:r>
      <w:r w:rsidR="005B04AF" w:rsidRPr="002C5DC7">
        <w:rPr>
          <w:noProof/>
        </w:rPr>
        <w:t xml:space="preserve">of 8 November 2019 on </w:t>
      </w:r>
      <w:r w:rsidR="005B04AF">
        <w:rPr>
          <w:noProof/>
        </w:rPr>
        <w:t>‘A</w:t>
      </w:r>
      <w:r w:rsidR="005B04AF" w:rsidRPr="002C5DC7">
        <w:rPr>
          <w:noProof/>
        </w:rPr>
        <w:t>ccess to social protection for workers and the self-employed</w:t>
      </w:r>
      <w:r w:rsidR="005B04AF">
        <w:rPr>
          <w:noProof/>
        </w:rPr>
        <w:t>’</w:t>
      </w:r>
      <w:r w:rsidR="005B04AF">
        <w:rPr>
          <w:rStyle w:val="FootnoteReference"/>
          <w:noProof/>
        </w:rPr>
        <w:footnoteReference w:id="53"/>
      </w:r>
      <w:r w:rsidR="005B04AF" w:rsidRPr="002C5DC7">
        <w:rPr>
          <w:noProof/>
        </w:rPr>
        <w:t xml:space="preserve"> should be ensured to researchers.</w:t>
      </w:r>
    </w:p>
    <w:p w14:paraId="0FDBE873" w14:textId="4B3C01A4" w:rsidR="005B04AF" w:rsidRDefault="006953E7" w:rsidP="006953E7">
      <w:pPr>
        <w:pStyle w:val="ManualConsidrant"/>
        <w:rPr>
          <w:noProof/>
        </w:rPr>
      </w:pPr>
      <w:r w:rsidRPr="006953E7">
        <w:t>(25)</w:t>
      </w:r>
      <w:r w:rsidRPr="006953E7">
        <w:tab/>
      </w:r>
      <w:r w:rsidR="005B04AF" w:rsidRPr="00FD7DFD">
        <w:rPr>
          <w:noProof/>
        </w:rPr>
        <w:t>RESAVER, the pan-European i</w:t>
      </w:r>
      <w:r w:rsidR="005B04AF" w:rsidRPr="000A36A9">
        <w:rPr>
          <w:noProof/>
        </w:rPr>
        <w:t xml:space="preserve">nstitution </w:t>
      </w:r>
      <w:r w:rsidR="005B04AF">
        <w:rPr>
          <w:noProof/>
        </w:rPr>
        <w:t xml:space="preserve">supported by the Commission which deals with </w:t>
      </w:r>
      <w:r w:rsidR="005B04AF" w:rsidRPr="000A36A9">
        <w:rPr>
          <w:noProof/>
        </w:rPr>
        <w:t xml:space="preserve">occupational retirement provisions for research performing organisations and </w:t>
      </w:r>
      <w:r w:rsidR="005B04AF">
        <w:rPr>
          <w:noProof/>
        </w:rPr>
        <w:t xml:space="preserve">will be </w:t>
      </w:r>
      <w:r w:rsidR="005B04AF" w:rsidRPr="000A36A9">
        <w:rPr>
          <w:noProof/>
        </w:rPr>
        <w:t xml:space="preserve">one of the components of </w:t>
      </w:r>
      <w:r w:rsidR="005B04AF">
        <w:rPr>
          <w:noProof/>
        </w:rPr>
        <w:t xml:space="preserve">the upcoming </w:t>
      </w:r>
      <w:r w:rsidR="005B04AF" w:rsidRPr="000A36A9">
        <w:rPr>
          <w:noProof/>
        </w:rPr>
        <w:t xml:space="preserve">ERA Talent Platform, </w:t>
      </w:r>
      <w:r w:rsidR="005B04AF" w:rsidRPr="002D7532">
        <w:rPr>
          <w:noProof/>
        </w:rPr>
        <w:t>h</w:t>
      </w:r>
      <w:r w:rsidR="005B04AF">
        <w:rPr>
          <w:noProof/>
        </w:rPr>
        <w:t>as</w:t>
      </w:r>
      <w:r w:rsidR="005B04AF" w:rsidRPr="002D7532">
        <w:rPr>
          <w:noProof/>
        </w:rPr>
        <w:t xml:space="preserve"> the full potential to address</w:t>
      </w:r>
      <w:r w:rsidR="005B04AF" w:rsidRPr="0084543A">
        <w:rPr>
          <w:noProof/>
        </w:rPr>
        <w:t xml:space="preserve"> </w:t>
      </w:r>
      <w:r w:rsidR="005B04AF">
        <w:rPr>
          <w:noProof/>
        </w:rPr>
        <w:t>social protection</w:t>
      </w:r>
      <w:r w:rsidR="005B04AF" w:rsidRPr="0084543A">
        <w:rPr>
          <w:noProof/>
        </w:rPr>
        <w:t xml:space="preserve"> issues</w:t>
      </w:r>
      <w:r w:rsidR="005B04AF">
        <w:rPr>
          <w:noProof/>
        </w:rPr>
        <w:t xml:space="preserve"> of mobile researchers</w:t>
      </w:r>
      <w:r w:rsidR="005B04AF" w:rsidRPr="0084543A">
        <w:rPr>
          <w:noProof/>
        </w:rPr>
        <w:t>, but it</w:t>
      </w:r>
      <w:r w:rsidR="005B04AF" w:rsidRPr="000A36A9">
        <w:rPr>
          <w:noProof/>
        </w:rPr>
        <w:t xml:space="preserve">s uptake is hindered by </w:t>
      </w:r>
      <w:r w:rsidR="005B04AF">
        <w:rPr>
          <w:noProof/>
        </w:rPr>
        <w:t xml:space="preserve">limited awareness </w:t>
      </w:r>
      <w:r w:rsidR="005B04AF" w:rsidRPr="000A36A9">
        <w:rPr>
          <w:noProof/>
        </w:rPr>
        <w:t xml:space="preserve">and substantial administrative </w:t>
      </w:r>
      <w:r w:rsidR="005B04AF">
        <w:rPr>
          <w:noProof/>
        </w:rPr>
        <w:t xml:space="preserve">and legal </w:t>
      </w:r>
      <w:r w:rsidR="005B04AF" w:rsidRPr="000A36A9">
        <w:rPr>
          <w:noProof/>
        </w:rPr>
        <w:t>hurdles</w:t>
      </w:r>
      <w:r w:rsidR="005B04AF">
        <w:rPr>
          <w:noProof/>
        </w:rPr>
        <w:t xml:space="preserve">. </w:t>
      </w:r>
      <w:r w:rsidR="005B04AF" w:rsidRPr="000A36A9">
        <w:rPr>
          <w:noProof/>
        </w:rPr>
        <w:t>With the aim to safeguard the occupational pension</w:t>
      </w:r>
      <w:r w:rsidR="005B04AF" w:rsidRPr="00FD7DFD">
        <w:rPr>
          <w:noProof/>
        </w:rPr>
        <w:t xml:space="preserve"> rights of mobile researchers, </w:t>
      </w:r>
      <w:r w:rsidR="005B04AF" w:rsidRPr="000A36A9">
        <w:rPr>
          <w:noProof/>
        </w:rPr>
        <w:t>information about how potential mobility might affect pension rights should be provided, and participation of research performing organisations in RESAVER should be promoted</w:t>
      </w:r>
      <w:r w:rsidR="005B04AF" w:rsidRPr="00FD7DFD">
        <w:rPr>
          <w:noProof/>
        </w:rPr>
        <w:t>.</w:t>
      </w:r>
    </w:p>
    <w:p w14:paraId="02714CE9" w14:textId="5703E383" w:rsidR="005B04AF" w:rsidRPr="004646E0" w:rsidRDefault="006953E7" w:rsidP="006953E7">
      <w:pPr>
        <w:pStyle w:val="ManualConsidrant"/>
        <w:rPr>
          <w:noProof/>
        </w:rPr>
      </w:pPr>
      <w:r w:rsidRPr="006953E7">
        <w:t>(26)</w:t>
      </w:r>
      <w:r w:rsidRPr="006953E7">
        <w:tab/>
      </w:r>
      <w:r w:rsidR="005B04AF" w:rsidRPr="004646E0">
        <w:rPr>
          <w:noProof/>
        </w:rPr>
        <w:t xml:space="preserve">Inter-sectoral, inter-disciplinary and geographically balanced mobility are essential to make research careers in </w:t>
      </w:r>
      <w:r w:rsidR="005B04AF">
        <w:rPr>
          <w:noProof/>
        </w:rPr>
        <w:t>the Union</w:t>
      </w:r>
      <w:r w:rsidR="005B04AF" w:rsidRPr="004646E0">
        <w:rPr>
          <w:noProof/>
        </w:rPr>
        <w:t xml:space="preserve"> more effective, sustainable and attractive</w:t>
      </w:r>
      <w:r w:rsidR="005B04AF">
        <w:rPr>
          <w:noProof/>
        </w:rPr>
        <w:t>.</w:t>
      </w:r>
      <w:r w:rsidR="005B04AF" w:rsidRPr="004646E0">
        <w:rPr>
          <w:noProof/>
        </w:rPr>
        <w:t xml:space="preserve"> </w:t>
      </w:r>
      <w:r w:rsidR="005B04AF">
        <w:rPr>
          <w:noProof/>
        </w:rPr>
        <w:t>With such mobility,</w:t>
      </w:r>
      <w:r w:rsidR="005B04AF" w:rsidRPr="004646E0">
        <w:rPr>
          <w:noProof/>
        </w:rPr>
        <w:t xml:space="preserve"> the overall research and innovation system </w:t>
      </w:r>
      <w:r w:rsidR="005B04AF">
        <w:rPr>
          <w:noProof/>
        </w:rPr>
        <w:t xml:space="preserve">becomes </w:t>
      </w:r>
      <w:r w:rsidR="005B04AF" w:rsidRPr="004646E0">
        <w:rPr>
          <w:noProof/>
        </w:rPr>
        <w:t>more competitive, and fost</w:t>
      </w:r>
      <w:r w:rsidR="005B04AF">
        <w:rPr>
          <w:noProof/>
        </w:rPr>
        <w:t>ers better knowledge production, c</w:t>
      </w:r>
      <w:r w:rsidR="005B04AF" w:rsidRPr="004646E0">
        <w:rPr>
          <w:noProof/>
        </w:rPr>
        <w:t>irculation</w:t>
      </w:r>
      <w:r w:rsidR="005B04AF">
        <w:rPr>
          <w:noProof/>
        </w:rPr>
        <w:t>,</w:t>
      </w:r>
      <w:r w:rsidR="005B04AF" w:rsidRPr="004646E0">
        <w:rPr>
          <w:noProof/>
        </w:rPr>
        <w:t xml:space="preserve"> and use. Th</w:t>
      </w:r>
      <w:r w:rsidR="005B04AF">
        <w:rPr>
          <w:noProof/>
        </w:rPr>
        <w:t>o</w:t>
      </w:r>
      <w:r w:rsidR="005B04AF" w:rsidRPr="004646E0">
        <w:rPr>
          <w:noProof/>
        </w:rPr>
        <w:t>se forms of mobility should be promoted</w:t>
      </w:r>
      <w:r w:rsidR="005B04AF">
        <w:rPr>
          <w:noProof/>
        </w:rPr>
        <w:t xml:space="preserve">, </w:t>
      </w:r>
      <w:r w:rsidR="005B04AF" w:rsidRPr="004646E0">
        <w:rPr>
          <w:noProof/>
        </w:rPr>
        <w:t>incentivised</w:t>
      </w:r>
      <w:r w:rsidR="005B04AF">
        <w:rPr>
          <w:noProof/>
        </w:rPr>
        <w:t xml:space="preserve"> and adequately integrated into the researchers’ professional development</w:t>
      </w:r>
      <w:r w:rsidR="005B04AF" w:rsidRPr="004646E0">
        <w:rPr>
          <w:noProof/>
        </w:rPr>
        <w:t xml:space="preserve">, and action should be taken to </w:t>
      </w:r>
      <w:r w:rsidR="005B04AF">
        <w:rPr>
          <w:noProof/>
        </w:rPr>
        <w:t xml:space="preserve">promote the </w:t>
      </w:r>
      <w:r w:rsidR="005B04AF" w:rsidRPr="004646E0">
        <w:rPr>
          <w:noProof/>
        </w:rPr>
        <w:t>eliminat</w:t>
      </w:r>
      <w:r w:rsidR="005B04AF">
        <w:rPr>
          <w:noProof/>
        </w:rPr>
        <w:t>ion of</w:t>
      </w:r>
      <w:r w:rsidR="005B04AF" w:rsidRPr="004646E0">
        <w:rPr>
          <w:noProof/>
        </w:rPr>
        <w:t xml:space="preserve"> existing obstacles of any possible nature</w:t>
      </w:r>
      <w:r w:rsidR="005B04AF">
        <w:rPr>
          <w:noProof/>
        </w:rPr>
        <w:t>, including e.g. the limited portability of grants</w:t>
      </w:r>
      <w:r w:rsidR="005B04AF" w:rsidRPr="004646E0">
        <w:rPr>
          <w:noProof/>
        </w:rPr>
        <w:t>.</w:t>
      </w:r>
    </w:p>
    <w:p w14:paraId="4FA044E9" w14:textId="460F60DD" w:rsidR="005B04AF" w:rsidRPr="004646E0" w:rsidRDefault="006953E7" w:rsidP="006953E7">
      <w:pPr>
        <w:pStyle w:val="ManualConsidrant"/>
        <w:rPr>
          <w:noProof/>
        </w:rPr>
      </w:pPr>
      <w:r w:rsidRPr="006953E7">
        <w:t>(27)</w:t>
      </w:r>
      <w:r w:rsidRPr="006953E7">
        <w:tab/>
      </w:r>
      <w:r w:rsidR="005B04AF" w:rsidRPr="004646E0">
        <w:rPr>
          <w:noProof/>
        </w:rPr>
        <w:t xml:space="preserve">A change of approach would be needed by academia and researchers, whereby research careers are considered fully interoperable and inter-sectoral, the reward system attributes equal value to careers undertaken in all sectors and does not penalise </w:t>
      </w:r>
      <w:r w:rsidR="005B04AF">
        <w:rPr>
          <w:noProof/>
        </w:rPr>
        <w:t xml:space="preserve">geographical, inter-disciplinary and </w:t>
      </w:r>
      <w:r w:rsidR="005B04AF" w:rsidRPr="004646E0">
        <w:rPr>
          <w:noProof/>
        </w:rPr>
        <w:t>inter-sectoral mobility</w:t>
      </w:r>
      <w:r w:rsidR="005B04AF">
        <w:rPr>
          <w:noProof/>
        </w:rPr>
        <w:t xml:space="preserve"> or career breaks, including sabbaticals or parental leave</w:t>
      </w:r>
      <w:r w:rsidR="005B04AF" w:rsidRPr="004646E0">
        <w:rPr>
          <w:noProof/>
        </w:rPr>
        <w:t>, and researchers take into consideration indistinctly careers in academia and beyond.</w:t>
      </w:r>
    </w:p>
    <w:p w14:paraId="52807650" w14:textId="50040A63" w:rsidR="005B04AF" w:rsidRDefault="006953E7" w:rsidP="006953E7">
      <w:pPr>
        <w:pStyle w:val="ManualConsidrant"/>
        <w:rPr>
          <w:noProof/>
        </w:rPr>
      </w:pPr>
      <w:r w:rsidRPr="006953E7">
        <w:t>(28)</w:t>
      </w:r>
      <w:r w:rsidRPr="006953E7">
        <w:tab/>
      </w:r>
      <w:r w:rsidR="005B04AF">
        <w:rPr>
          <w:noProof/>
        </w:rPr>
        <w:t>In some instances, doctoral training is still directed mainly</w:t>
      </w:r>
      <w:r w:rsidR="005B04AF" w:rsidDel="0065785E">
        <w:rPr>
          <w:noProof/>
        </w:rPr>
        <w:t xml:space="preserve"> </w:t>
      </w:r>
      <w:r w:rsidR="005B04AF">
        <w:rPr>
          <w:noProof/>
        </w:rPr>
        <w:t>at a future career in academia, and it does not sufficiently take into consideration the wider range of occupations relevant for researchers across sectors, as well as the importance of fostering researchers’ entrepreneurship. Equipping researchers with transversal skills through formal and informal trainings, in addition to strong research skills, is highly important for better career opportunities, inter-sectoral mobility and innovation, and to make research careers in the Union more attractive. Furthermore, it would be important for researchers to have a clear understanding of their societal responsibility and of the societal impact of their research, including aspects related to sustainability</w:t>
      </w:r>
      <w:r w:rsidR="005B04AF" w:rsidRPr="00B517B9">
        <w:rPr>
          <w:noProof/>
        </w:rPr>
        <w:t xml:space="preserve">. </w:t>
      </w:r>
    </w:p>
    <w:p w14:paraId="2547B979" w14:textId="39501360" w:rsidR="005B04AF" w:rsidRDefault="006953E7" w:rsidP="006953E7">
      <w:pPr>
        <w:pStyle w:val="ManualConsidrant"/>
        <w:rPr>
          <w:noProof/>
        </w:rPr>
      </w:pPr>
      <w:r w:rsidRPr="006953E7">
        <w:t>(29)</w:t>
      </w:r>
      <w:r w:rsidRPr="006953E7">
        <w:tab/>
      </w:r>
      <w:r w:rsidR="005B04AF">
        <w:rPr>
          <w:noProof/>
        </w:rPr>
        <w:t xml:space="preserve">The European Competence Framework for Researchers (ResearchComp) developed by the Commission in consultation with Member States and </w:t>
      </w:r>
      <w:r w:rsidR="005B04AF" w:rsidRPr="004B5E47">
        <w:rPr>
          <w:noProof/>
        </w:rPr>
        <w:t>stakeholder</w:t>
      </w:r>
      <w:r w:rsidR="005B04AF" w:rsidRPr="000A36A9">
        <w:rPr>
          <w:noProof/>
        </w:rPr>
        <w:t>s,</w:t>
      </w:r>
      <w:r w:rsidR="005B04AF">
        <w:rPr>
          <w:noProof/>
        </w:rPr>
        <w:t xml:space="preserve"> will play a key role in equipping researchers with a wide set of transversal skills and closing the skills gap between academia and all other relevant sectors. Doctoral training, and targeted training opportunities, should be developed according to the competences described therein, including based on the exchange of best practices, in order to allow for the up-skilling and re-skilling of researchers with a lifelong perspective. Adequate recognition and validation mechanisms for formal and informal training opportunities, including on-the-job training, should be ensured.</w:t>
      </w:r>
    </w:p>
    <w:p w14:paraId="4BA32BB3" w14:textId="06E5CF58" w:rsidR="005B04AF" w:rsidRDefault="006953E7" w:rsidP="006953E7">
      <w:pPr>
        <w:pStyle w:val="ManualConsidrant"/>
        <w:rPr>
          <w:noProof/>
        </w:rPr>
      </w:pPr>
      <w:r w:rsidRPr="006953E7">
        <w:t>(30)</w:t>
      </w:r>
      <w:r w:rsidRPr="006953E7">
        <w:tab/>
      </w:r>
      <w:r w:rsidR="005B04AF">
        <w:rPr>
          <w:noProof/>
        </w:rPr>
        <w:t>To ensure that researchers’ training is developed or co-developed on the basis of actual skills needs,  interaction and cooperation between academia, business, public administration, the non-profit sector, and all other relevant ecosystem actors should be promoted, including for example in relation to internships, traineeships or job shadowing.</w:t>
      </w:r>
    </w:p>
    <w:p w14:paraId="4DD05C93" w14:textId="1F3672FB" w:rsidR="005B04AF" w:rsidRPr="00D44CAB" w:rsidRDefault="006953E7" w:rsidP="006953E7">
      <w:pPr>
        <w:pStyle w:val="ManualConsidrant"/>
        <w:rPr>
          <w:noProof/>
        </w:rPr>
      </w:pPr>
      <w:r w:rsidRPr="006953E7">
        <w:t>(31)</w:t>
      </w:r>
      <w:r w:rsidRPr="006953E7">
        <w:tab/>
      </w:r>
      <w:r w:rsidR="005B04AF" w:rsidRPr="00D44CAB">
        <w:rPr>
          <w:noProof/>
        </w:rPr>
        <w:t xml:space="preserve">Fostering an entrepreneurial mindset and the related competences in researchers, including competences for seeking investors and capital, is crucial to improve knowledge valorisation and the transformation of innovative ideas into new services and products with higher potential for market uptake, sustainable growth, innovation and societal benefits. </w:t>
      </w:r>
      <w:r w:rsidR="005B04AF">
        <w:rPr>
          <w:noProof/>
        </w:rPr>
        <w:t>F</w:t>
      </w:r>
      <w:r w:rsidR="005B04AF" w:rsidRPr="00D44CAB">
        <w:rPr>
          <w:noProof/>
        </w:rPr>
        <w:t xml:space="preserve">or a successful entrepreneurial </w:t>
      </w:r>
      <w:r w:rsidR="005B04AF">
        <w:rPr>
          <w:noProof/>
        </w:rPr>
        <w:t>path, i</w:t>
      </w:r>
      <w:r w:rsidR="005B04AF" w:rsidRPr="00D44CAB">
        <w:rPr>
          <w:noProof/>
        </w:rPr>
        <w:t xml:space="preserve">ntellectual assets such as publications, data, know-how and intellectual property should be </w:t>
      </w:r>
      <w:r w:rsidR="005B04AF">
        <w:rPr>
          <w:noProof/>
        </w:rPr>
        <w:t xml:space="preserve">properly understood and </w:t>
      </w:r>
      <w:r w:rsidR="005B04AF" w:rsidRPr="00D44CAB">
        <w:rPr>
          <w:noProof/>
        </w:rPr>
        <w:t>efficiently managed</w:t>
      </w:r>
      <w:r w:rsidR="005B04AF">
        <w:rPr>
          <w:noProof/>
        </w:rPr>
        <w:t xml:space="preserve"> as referred to in Council Recommendation </w:t>
      </w:r>
      <w:r w:rsidR="005B04AF" w:rsidRPr="00392494">
        <w:rPr>
          <w:noProof/>
          <w:lang w:val="en-IE"/>
        </w:rPr>
        <w:t>2008/416/EC</w:t>
      </w:r>
      <w:r w:rsidR="005B04AF" w:rsidRPr="00D44CAB">
        <w:rPr>
          <w:rStyle w:val="FootnoteReference"/>
          <w:noProof/>
        </w:rPr>
        <w:footnoteReference w:id="54"/>
      </w:r>
      <w:r w:rsidR="005B04AF">
        <w:rPr>
          <w:noProof/>
          <w:lang w:val="en-IE"/>
        </w:rPr>
        <w:t>.</w:t>
      </w:r>
    </w:p>
    <w:p w14:paraId="4D7C587B" w14:textId="71853B07" w:rsidR="005B04AF" w:rsidRDefault="006953E7" w:rsidP="006953E7">
      <w:pPr>
        <w:pStyle w:val="ManualConsidrant"/>
        <w:rPr>
          <w:noProof/>
        </w:rPr>
      </w:pPr>
      <w:r w:rsidRPr="006953E7">
        <w:t>(32)</w:t>
      </w:r>
      <w:r w:rsidRPr="006953E7">
        <w:tab/>
      </w:r>
      <w:r w:rsidR="005B04AF">
        <w:rPr>
          <w:noProof/>
        </w:rPr>
        <w:t xml:space="preserve">Cross-sectoral talent circulation, improved interoperability of research and innovation jobs between sectors, and strengthened academia-business collaboration for both knowledge and talent transfer </w:t>
      </w:r>
      <w:r w:rsidR="005B04AF" w:rsidRPr="000A36A9">
        <w:rPr>
          <w:noProof/>
        </w:rPr>
        <w:t xml:space="preserve">demand a combination of different and complementary measures at national and </w:t>
      </w:r>
      <w:r w:rsidR="005B04AF">
        <w:rPr>
          <w:noProof/>
        </w:rPr>
        <w:t>Union</w:t>
      </w:r>
      <w:r w:rsidR="005B04AF" w:rsidRPr="000A36A9">
        <w:rPr>
          <w:noProof/>
        </w:rPr>
        <w:t xml:space="preserve"> levels</w:t>
      </w:r>
      <w:r w:rsidR="005B04AF">
        <w:rPr>
          <w:noProof/>
        </w:rPr>
        <w:t xml:space="preserve">, including system reform. A policy approach that involves mutual learning on the basis of successful models for inter-sectoral mobility schemes can contribute to (i) strengthening academia/non-academia cooperation, and reinforcing innovation ecosystems, (ii) improving training and lifelong learning for researchers, innovators, and other research and innovation talents, including upskilling to build support capacity, and (iii) boosting researchers’ development of entrepreneurial skills. </w:t>
      </w:r>
    </w:p>
    <w:p w14:paraId="365B41CC" w14:textId="62DDC96D" w:rsidR="005B04AF" w:rsidRDefault="006953E7" w:rsidP="006953E7">
      <w:pPr>
        <w:pStyle w:val="ManualConsidrant"/>
        <w:rPr>
          <w:noProof/>
        </w:rPr>
      </w:pPr>
      <w:bookmarkStart w:id="1" w:name="_Hlk132376944"/>
      <w:r w:rsidRPr="006953E7">
        <w:t>(33)</w:t>
      </w:r>
      <w:r w:rsidRPr="006953E7">
        <w:tab/>
      </w:r>
      <w:r w:rsidR="005B04AF" w:rsidRPr="00D44CAB">
        <w:rPr>
          <w:noProof/>
        </w:rPr>
        <w:t>Researchers should be made aware of the crucial importance of policy making and policy measures in the field of research, and the impact they can have on the overall research careers and research and innovation system</w:t>
      </w:r>
      <w:bookmarkEnd w:id="1"/>
      <w:r w:rsidR="005B04AF" w:rsidRPr="00D44CAB">
        <w:rPr>
          <w:noProof/>
        </w:rPr>
        <w:t xml:space="preserve">. </w:t>
      </w:r>
      <w:r w:rsidR="005B04AF" w:rsidRPr="004646E0">
        <w:rPr>
          <w:noProof/>
        </w:rPr>
        <w:t xml:space="preserve">It would be important for doctoral training to include and instil </w:t>
      </w:r>
      <w:r w:rsidR="005B04AF" w:rsidRPr="00712941">
        <w:rPr>
          <w:noProof/>
        </w:rPr>
        <w:t xml:space="preserve">this </w:t>
      </w:r>
      <w:r w:rsidR="005B04AF">
        <w:rPr>
          <w:noProof/>
        </w:rPr>
        <w:t>understanding</w:t>
      </w:r>
      <w:r w:rsidR="005B04AF" w:rsidRPr="004646E0">
        <w:rPr>
          <w:noProof/>
        </w:rPr>
        <w:t xml:space="preserve">, in order to ensure more involvement of researchers in policy making activities related to the research field. </w:t>
      </w:r>
    </w:p>
    <w:p w14:paraId="65F80427" w14:textId="59D531A1" w:rsidR="005B04AF" w:rsidRDefault="006953E7" w:rsidP="006953E7">
      <w:pPr>
        <w:pStyle w:val="ManualConsidrant"/>
        <w:rPr>
          <w:noProof/>
        </w:rPr>
      </w:pPr>
      <w:r w:rsidRPr="006953E7">
        <w:t>(34)</w:t>
      </w:r>
      <w:r w:rsidRPr="006953E7">
        <w:tab/>
      </w:r>
      <w:r w:rsidR="005B04AF">
        <w:rPr>
          <w:noProof/>
        </w:rPr>
        <w:t xml:space="preserve">Researchers, in particular early-career ones, should be made aware of prospects available in all sectors and of the possibility of pursuing those opportunities for widening their spectrum of personal and professional development. Career advisory and support services, tailored to the needs of researchers, have an important role to play, stimulating inter-sectoral, inter-disciplinary, geographical and virtual mobility, and the possibility of developing entrepreneurial activities. </w:t>
      </w:r>
      <w:r w:rsidR="005B04AF" w:rsidRPr="004A5585">
        <w:rPr>
          <w:noProof/>
        </w:rPr>
        <w:t>Inter-institutional mobility, notably between different profiles of higher education and research institutions and along diverse and flexible academic paths should be promoted</w:t>
      </w:r>
      <w:r w:rsidR="005B04AF" w:rsidRPr="004646E0">
        <w:rPr>
          <w:noProof/>
        </w:rPr>
        <w:t xml:space="preserve">, including by </w:t>
      </w:r>
      <w:r w:rsidR="005B04AF">
        <w:rPr>
          <w:noProof/>
        </w:rPr>
        <w:t>addressing</w:t>
      </w:r>
      <w:r w:rsidR="005B04AF" w:rsidRPr="004646E0">
        <w:rPr>
          <w:noProof/>
        </w:rPr>
        <w:t xml:space="preserve"> obstacles linked to the competences developed in the previous institution, and the ones required in the new one.</w:t>
      </w:r>
    </w:p>
    <w:p w14:paraId="76C42C39" w14:textId="01815637" w:rsidR="005B04AF" w:rsidRDefault="006953E7" w:rsidP="006953E7">
      <w:pPr>
        <w:pStyle w:val="ManualConsidrant"/>
        <w:rPr>
          <w:noProof/>
        </w:rPr>
      </w:pPr>
      <w:r w:rsidRPr="006953E7">
        <w:t>(35)</w:t>
      </w:r>
      <w:r w:rsidRPr="006953E7">
        <w:tab/>
      </w:r>
      <w:r w:rsidR="005B04AF">
        <w:rPr>
          <w:noProof/>
        </w:rPr>
        <w:t>Research assessment should enable evaluating the performance of researchers and research to achieve the highest quality and impact. As highlighted in the 2022 Paris call on research assessment, in the scoping report ‘</w:t>
      </w:r>
      <w:r w:rsidR="005B04AF" w:rsidRPr="0058154C">
        <w:rPr>
          <w:noProof/>
        </w:rPr>
        <w:t>Towards a reform of the research assessment system</w:t>
      </w:r>
      <w:r w:rsidR="005B04AF">
        <w:rPr>
          <w:noProof/>
        </w:rPr>
        <w:t>’ published by the Commission in 2021 and based on broad consultation of stakeholders, in the Council Conclusions on ‘Research assessment and implementation of Open Science’ of 10 June 2022</w:t>
      </w:r>
      <w:r w:rsidR="005B04AF">
        <w:rPr>
          <w:rStyle w:val="FootnoteReference"/>
          <w:noProof/>
        </w:rPr>
        <w:footnoteReference w:id="55"/>
      </w:r>
      <w:r w:rsidR="005B04AF">
        <w:rPr>
          <w:i/>
          <w:noProof/>
        </w:rPr>
        <w:t>,</w:t>
      </w:r>
      <w:r w:rsidR="005B04AF">
        <w:rPr>
          <w:noProof/>
        </w:rPr>
        <w:t xml:space="preserve"> and in the Agreement on Reforming Research Assessment published in July 2022, a proper evaluation of performance requires recognition of increasingly diverse research outputs, activities and practices, including collaboration and open sharing of outputs, and ensuring high research integrity standards. Researchers’ assessment should therefore move to a more balanced approach between the quantitative and qualitative evaluation of research, by favouring qualitative assessment with peer-review, supported by responsible use of quantitative indicators.</w:t>
      </w:r>
    </w:p>
    <w:p w14:paraId="5EE181AA" w14:textId="2DF3EABE" w:rsidR="005B04AF" w:rsidRDefault="006953E7" w:rsidP="006953E7">
      <w:pPr>
        <w:pStyle w:val="ManualConsidrant"/>
        <w:rPr>
          <w:noProof/>
        </w:rPr>
      </w:pPr>
      <w:r w:rsidRPr="006953E7">
        <w:t>(36)</w:t>
      </w:r>
      <w:r w:rsidRPr="006953E7">
        <w:tab/>
      </w:r>
      <w:r w:rsidR="005B04AF">
        <w:rPr>
          <w:noProof/>
        </w:rPr>
        <w:t xml:space="preserve">Researchers’ assessment should promote an equal recognition and reward of careers of researchers regardless the sector of employment or activity, and be based on an unbiased talent-based approach. A multiple career </w:t>
      </w:r>
      <w:r w:rsidR="005B04AF" w:rsidRPr="003B1484">
        <w:rPr>
          <w:noProof/>
        </w:rPr>
        <w:t>path</w:t>
      </w:r>
      <w:r w:rsidR="005B04AF">
        <w:rPr>
          <w:noProof/>
        </w:rPr>
        <w:t>,</w:t>
      </w:r>
      <w:r w:rsidR="005B04AF" w:rsidRPr="003B1484">
        <w:rPr>
          <w:noProof/>
        </w:rPr>
        <w:t xml:space="preserve"> characterised by geographical, sectoral, and inter-organisational mobility, </w:t>
      </w:r>
      <w:r w:rsidR="005B04AF">
        <w:rPr>
          <w:noProof/>
        </w:rPr>
        <w:t>or hybrid paths characterised by the simultaneous combination of sectors, deserve full recognition and consideration on a par with a linear</w:t>
      </w:r>
      <w:r w:rsidR="005B04AF" w:rsidRPr="003B1484">
        <w:rPr>
          <w:noProof/>
        </w:rPr>
        <w:t xml:space="preserve"> career path</w:t>
      </w:r>
      <w:r w:rsidR="005B04AF">
        <w:rPr>
          <w:noProof/>
        </w:rPr>
        <w:t>.</w:t>
      </w:r>
    </w:p>
    <w:p w14:paraId="0C383373" w14:textId="42901EA1" w:rsidR="005B04AF" w:rsidRDefault="006953E7" w:rsidP="006953E7">
      <w:pPr>
        <w:pStyle w:val="ManualConsidrant"/>
        <w:rPr>
          <w:noProof/>
        </w:rPr>
      </w:pPr>
      <w:r w:rsidRPr="006953E7">
        <w:t>(37)</w:t>
      </w:r>
      <w:r w:rsidRPr="006953E7">
        <w:tab/>
      </w:r>
      <w:r w:rsidR="005B04AF">
        <w:rPr>
          <w:noProof/>
        </w:rPr>
        <w:t xml:space="preserve">In order to reinforce careers in academia, up to the top positions, a transparent, structured, inclusive and gender-equal career accession and progression system is needed. </w:t>
      </w:r>
      <w:r w:rsidR="005B04AF" w:rsidRPr="004646E0">
        <w:rPr>
          <w:noProof/>
        </w:rPr>
        <w:t>The adoption of tenure-track-like systems, to be intended as a fixed-term contract with the perspective of a progression to a permanent position subject to positive evaluation, could be considered for this purpose at the level of Member States and research performing organisations.</w:t>
      </w:r>
    </w:p>
    <w:p w14:paraId="631A6A56" w14:textId="272E9ED5" w:rsidR="005B04AF" w:rsidRDefault="006953E7" w:rsidP="006953E7">
      <w:pPr>
        <w:pStyle w:val="ManualConsidrant"/>
        <w:rPr>
          <w:noProof/>
        </w:rPr>
      </w:pPr>
      <w:r w:rsidRPr="006953E7">
        <w:t>(38)</w:t>
      </w:r>
      <w:r w:rsidRPr="006953E7">
        <w:tab/>
      </w:r>
      <w:r w:rsidR="005B04AF">
        <w:rPr>
          <w:noProof/>
        </w:rPr>
        <w:t>Despite efforts at Union, national and regional level, the issue of talent drain from less developed regions in the Union persists, as pointed out in the Commission Communication on ‘Harnessing talent in Europe’s regions’</w:t>
      </w:r>
      <w:r w:rsidR="005B04AF">
        <w:rPr>
          <w:rStyle w:val="FootnoteReference"/>
          <w:noProof/>
        </w:rPr>
        <w:footnoteReference w:id="56"/>
      </w:r>
      <w:r w:rsidR="005B04AF">
        <w:rPr>
          <w:noProof/>
        </w:rPr>
        <w:t xml:space="preserve">, and additional measures are required to achieve a more balanced geographical mobility for researchers. </w:t>
      </w:r>
      <w:r w:rsidR="005B04AF" w:rsidRPr="000A36A9">
        <w:rPr>
          <w:noProof/>
        </w:rPr>
        <w:t>The Commission talent circulation analyses 2021-</w:t>
      </w:r>
      <w:r w:rsidR="005B04AF">
        <w:rPr>
          <w:noProof/>
        </w:rPr>
        <w:t>20</w:t>
      </w:r>
      <w:r w:rsidR="005B04AF" w:rsidRPr="000A36A9">
        <w:rPr>
          <w:noProof/>
        </w:rPr>
        <w:t xml:space="preserve">22 indicate the positive contribution of existing actions at </w:t>
      </w:r>
      <w:r w:rsidR="005B04AF">
        <w:rPr>
          <w:noProof/>
        </w:rPr>
        <w:t>Union</w:t>
      </w:r>
      <w:r w:rsidR="005B04AF" w:rsidRPr="000A36A9">
        <w:rPr>
          <w:noProof/>
        </w:rPr>
        <w:t xml:space="preserve"> level to encourage more balanced </w:t>
      </w:r>
      <w:r w:rsidR="005B04AF">
        <w:rPr>
          <w:noProof/>
        </w:rPr>
        <w:t>talent circulation</w:t>
      </w:r>
      <w:r w:rsidR="005B04AF" w:rsidRPr="000A36A9">
        <w:rPr>
          <w:noProof/>
        </w:rPr>
        <w:t xml:space="preserve">, but </w:t>
      </w:r>
      <w:r w:rsidR="005B04AF">
        <w:rPr>
          <w:noProof/>
        </w:rPr>
        <w:t xml:space="preserve">they </w:t>
      </w:r>
      <w:r w:rsidR="005B04AF" w:rsidRPr="000A36A9">
        <w:rPr>
          <w:noProof/>
        </w:rPr>
        <w:t>also identify persistent challenges and provide pathways for brain gain</w:t>
      </w:r>
      <w:r w:rsidR="005B04AF" w:rsidRPr="006C4509">
        <w:rPr>
          <w:noProof/>
        </w:rPr>
        <w:t>.</w:t>
      </w:r>
      <w:r w:rsidR="005B04AF">
        <w:rPr>
          <w:noProof/>
        </w:rPr>
        <w:t xml:space="preserve"> Excellent research environments, attractive working conditions and a remuneration commensurate with professional qualifications and the activities performed, play a very important role in this context, but they often require reforms of the national research and innovation systems. A policy approach that aims to support and incentivise such system transformations should be pursued, involving mutual learning exercises on the basis of successful pathways that enabled establishing a more balanced circulation of talents in Member States.</w:t>
      </w:r>
    </w:p>
    <w:p w14:paraId="076E61DA" w14:textId="25F44603" w:rsidR="005B04AF" w:rsidRDefault="006953E7" w:rsidP="006953E7">
      <w:pPr>
        <w:pStyle w:val="ManualConsidrant"/>
        <w:rPr>
          <w:noProof/>
        </w:rPr>
      </w:pPr>
      <w:r w:rsidRPr="006953E7">
        <w:t>(39)</w:t>
      </w:r>
      <w:r w:rsidRPr="006953E7">
        <w:tab/>
      </w:r>
      <w:r w:rsidR="005B04AF" w:rsidRPr="008C5EFB">
        <w:rPr>
          <w:noProof/>
        </w:rPr>
        <w:t>Supporting researcher</w:t>
      </w:r>
      <w:r w:rsidR="005B04AF">
        <w:rPr>
          <w:noProof/>
        </w:rPr>
        <w:t>s’</w:t>
      </w:r>
      <w:r w:rsidR="005B04AF" w:rsidRPr="008C5EFB">
        <w:rPr>
          <w:noProof/>
        </w:rPr>
        <w:t xml:space="preserve"> mobility and career development, while </w:t>
      </w:r>
      <w:r w:rsidR="005B04AF" w:rsidRPr="00E16857">
        <w:rPr>
          <w:noProof/>
        </w:rPr>
        <w:t>ensuring a sustain</w:t>
      </w:r>
      <w:r w:rsidR="005B04AF">
        <w:rPr>
          <w:noProof/>
        </w:rPr>
        <w:t>able talent pipeline for the research and innovation</w:t>
      </w:r>
      <w:r w:rsidR="005B04AF" w:rsidRPr="00E16857">
        <w:rPr>
          <w:noProof/>
        </w:rPr>
        <w:t xml:space="preserve"> domain and </w:t>
      </w:r>
      <w:r w:rsidR="005B04AF" w:rsidRPr="008C5EFB">
        <w:rPr>
          <w:noProof/>
        </w:rPr>
        <w:t xml:space="preserve">enhancing scientific collaboration between </w:t>
      </w:r>
      <w:r w:rsidR="005B04AF">
        <w:rPr>
          <w:noProof/>
        </w:rPr>
        <w:t>the Union</w:t>
      </w:r>
      <w:r w:rsidR="005B04AF" w:rsidRPr="008C5EFB">
        <w:rPr>
          <w:noProof/>
        </w:rPr>
        <w:t xml:space="preserve"> and the world</w:t>
      </w:r>
      <w:r w:rsidR="005B04AF">
        <w:rPr>
          <w:noProof/>
        </w:rPr>
        <w:t>,</w:t>
      </w:r>
      <w:r w:rsidR="005B04AF" w:rsidRPr="008C5EFB">
        <w:rPr>
          <w:noProof/>
        </w:rPr>
        <w:t xml:space="preserve"> is the main objective of </w:t>
      </w:r>
      <w:r w:rsidR="005B04AF">
        <w:rPr>
          <w:noProof/>
        </w:rPr>
        <w:t>EURAXESS</w:t>
      </w:r>
      <w:r w:rsidR="005B04AF" w:rsidRPr="008C5EFB">
        <w:rPr>
          <w:noProof/>
        </w:rPr>
        <w:t xml:space="preserve">, a unique pan-European initiative delivering </w:t>
      </w:r>
      <w:r w:rsidR="005B04AF">
        <w:rPr>
          <w:noProof/>
        </w:rPr>
        <w:t xml:space="preserve">free of charge </w:t>
      </w:r>
      <w:r w:rsidR="005B04AF" w:rsidRPr="008C5EFB">
        <w:rPr>
          <w:noProof/>
        </w:rPr>
        <w:t>information and support services to researchers</w:t>
      </w:r>
      <w:r w:rsidR="005B04AF">
        <w:rPr>
          <w:noProof/>
        </w:rPr>
        <w:t xml:space="preserve"> and their families</w:t>
      </w:r>
      <w:r w:rsidR="005B04AF" w:rsidRPr="008C5EFB">
        <w:rPr>
          <w:noProof/>
        </w:rPr>
        <w:t xml:space="preserve">. </w:t>
      </w:r>
      <w:r w:rsidR="005B04AF">
        <w:rPr>
          <w:noProof/>
        </w:rPr>
        <w:t>To further support this objective, EURAXESS</w:t>
      </w:r>
      <w:r w:rsidR="005B04AF" w:rsidRPr="008C5EFB">
        <w:rPr>
          <w:noProof/>
        </w:rPr>
        <w:t xml:space="preserve"> </w:t>
      </w:r>
      <w:r w:rsidR="005B04AF">
        <w:rPr>
          <w:noProof/>
        </w:rPr>
        <w:t>should</w:t>
      </w:r>
      <w:r w:rsidR="005B04AF" w:rsidRPr="008C5EFB">
        <w:rPr>
          <w:noProof/>
        </w:rPr>
        <w:t xml:space="preserve"> </w:t>
      </w:r>
      <w:r w:rsidR="005B04AF">
        <w:rPr>
          <w:noProof/>
        </w:rPr>
        <w:t xml:space="preserve">expand its information delivering and support activities </w:t>
      </w:r>
      <w:r w:rsidR="005B04AF" w:rsidRPr="008C5EFB">
        <w:rPr>
          <w:noProof/>
        </w:rPr>
        <w:t xml:space="preserve">for researchers and </w:t>
      </w:r>
      <w:r w:rsidR="005B04AF" w:rsidRPr="000A6EC4">
        <w:rPr>
          <w:noProof/>
        </w:rPr>
        <w:t>higher education and research institutions</w:t>
      </w:r>
      <w:r w:rsidR="005B04AF" w:rsidRPr="008C5EFB">
        <w:rPr>
          <w:noProof/>
        </w:rPr>
        <w:t xml:space="preserve">, with </w:t>
      </w:r>
      <w:r w:rsidR="005B04AF">
        <w:rPr>
          <w:noProof/>
        </w:rPr>
        <w:t>optimised</w:t>
      </w:r>
      <w:r w:rsidR="005B04AF" w:rsidRPr="008C5EFB">
        <w:rPr>
          <w:noProof/>
        </w:rPr>
        <w:t xml:space="preserve"> structure </w:t>
      </w:r>
      <w:r w:rsidR="005B04AF">
        <w:rPr>
          <w:noProof/>
        </w:rPr>
        <w:t xml:space="preserve">of services </w:t>
      </w:r>
      <w:r w:rsidR="005B04AF" w:rsidRPr="008C5EFB">
        <w:rPr>
          <w:noProof/>
        </w:rPr>
        <w:t>and governance,</w:t>
      </w:r>
      <w:r w:rsidR="005B04AF">
        <w:rPr>
          <w:noProof/>
        </w:rPr>
        <w:t xml:space="preserve"> </w:t>
      </w:r>
      <w:r w:rsidR="005B04AF" w:rsidRPr="008C5EFB">
        <w:rPr>
          <w:noProof/>
        </w:rPr>
        <w:t xml:space="preserve">improved </w:t>
      </w:r>
      <w:r w:rsidR="005B04AF">
        <w:rPr>
          <w:noProof/>
        </w:rPr>
        <w:t xml:space="preserve">digital and </w:t>
      </w:r>
      <w:r w:rsidR="005B04AF" w:rsidRPr="008C5EFB">
        <w:rPr>
          <w:noProof/>
        </w:rPr>
        <w:t>user experience</w:t>
      </w:r>
      <w:r w:rsidR="005B04AF">
        <w:rPr>
          <w:noProof/>
        </w:rPr>
        <w:t xml:space="preserve"> and</w:t>
      </w:r>
      <w:r w:rsidR="005B04AF" w:rsidRPr="008C5EFB">
        <w:rPr>
          <w:noProof/>
        </w:rPr>
        <w:t xml:space="preserve"> interoperability with </w:t>
      </w:r>
      <w:r w:rsidR="005B04AF">
        <w:rPr>
          <w:noProof/>
        </w:rPr>
        <w:t xml:space="preserve">other Union initiatives such as </w:t>
      </w:r>
      <w:r w:rsidR="005B04AF" w:rsidRPr="008C5EFB">
        <w:rPr>
          <w:noProof/>
        </w:rPr>
        <w:t>Europass and EURES</w:t>
      </w:r>
      <w:r w:rsidR="005B04AF">
        <w:rPr>
          <w:noProof/>
        </w:rPr>
        <w:t>. The effectiveness and coherence of EURAXESS information portals and services would benefit from strengthened financial and human resources of national bridgehead organisations, notably with regard to the implementation of initiatives at Union or national level,</w:t>
      </w:r>
      <w:r w:rsidR="005B04AF" w:rsidRPr="00A60F7D">
        <w:rPr>
          <w:noProof/>
        </w:rPr>
        <w:t xml:space="preserve"> leveraging the expertise base</w:t>
      </w:r>
      <w:r w:rsidR="005B04AF">
        <w:rPr>
          <w:noProof/>
        </w:rPr>
        <w:t xml:space="preserve"> and the distribution of tasks amongst EURAXESS entities at national level </w:t>
      </w:r>
      <w:r w:rsidR="005B04AF" w:rsidRPr="00A60F7D">
        <w:rPr>
          <w:noProof/>
        </w:rPr>
        <w:t xml:space="preserve">while monitoring performance and measuring results. </w:t>
      </w:r>
    </w:p>
    <w:p w14:paraId="30AC9E4B" w14:textId="04F429CD" w:rsidR="005B04AF" w:rsidRPr="007C2139" w:rsidRDefault="006953E7" w:rsidP="006953E7">
      <w:pPr>
        <w:pStyle w:val="ManualConsidrant"/>
        <w:rPr>
          <w:noProof/>
        </w:rPr>
      </w:pPr>
      <w:r w:rsidRPr="006953E7">
        <w:t>(40)</w:t>
      </w:r>
      <w:r w:rsidRPr="006953E7">
        <w:tab/>
      </w:r>
      <w:r w:rsidR="005B04AF">
        <w:rPr>
          <w:noProof/>
        </w:rPr>
        <w:t>To remain globally competitive, the EU needs to become more attractive for talent from around the world. The Commission Communication on ‘Attracting skills and talent to the EU’, adopted on 27 April 2022</w:t>
      </w:r>
      <w:r w:rsidR="005B04AF">
        <w:rPr>
          <w:rStyle w:val="FootnoteReference"/>
          <w:rFonts w:cstheme="minorHAnsi"/>
          <w:noProof/>
          <w:szCs w:val="24"/>
        </w:rPr>
        <w:footnoteReference w:id="57"/>
      </w:r>
      <w:r w:rsidR="005B04AF">
        <w:rPr>
          <w:noProof/>
        </w:rPr>
        <w:t xml:space="preserve">, emphasizes the necessity for the EU to enhance its appeal to global talent, notably by promoting innovation and entrepreneurship in the EU and by exploring further potential avenues for legal migration to the EU in the medium to longer term. The revision of Directive </w:t>
      </w:r>
      <w:r w:rsidR="005B04AF" w:rsidRPr="003A15E1">
        <w:rPr>
          <w:noProof/>
        </w:rPr>
        <w:t>(EU) 2021/1883</w:t>
      </w:r>
      <w:r w:rsidR="005B04AF" w:rsidRPr="00907603">
        <w:rPr>
          <w:noProof/>
        </w:rPr>
        <w:t xml:space="preserve"> </w:t>
      </w:r>
      <w:r w:rsidR="005B04AF">
        <w:rPr>
          <w:noProof/>
        </w:rPr>
        <w:t xml:space="preserve">of </w:t>
      </w:r>
      <w:r w:rsidR="005B04AF" w:rsidRPr="003A15E1">
        <w:rPr>
          <w:noProof/>
        </w:rPr>
        <w:t>the European Parliament and of the Council</w:t>
      </w:r>
      <w:r w:rsidR="005B04AF">
        <w:rPr>
          <w:rStyle w:val="FootnoteReference"/>
          <w:rFonts w:cstheme="minorHAnsi"/>
          <w:noProof/>
          <w:szCs w:val="24"/>
        </w:rPr>
        <w:footnoteReference w:id="58"/>
      </w:r>
      <w:r w:rsidR="005B04AF">
        <w:rPr>
          <w:noProof/>
        </w:rPr>
        <w:t xml:space="preserve"> was an important step to improve the EU’s attractiveness allowing highly qualified migrants to benefit from improved rights as well as quicker and streamlined procedures. Directive (EU) 2016/801 </w:t>
      </w:r>
      <w:r w:rsidR="005B04AF" w:rsidRPr="00066E82">
        <w:rPr>
          <w:noProof/>
        </w:rPr>
        <w:t>of the European Parliament and of the Council</w:t>
      </w:r>
      <w:r w:rsidR="005B04AF">
        <w:rPr>
          <w:rStyle w:val="FootnoteReference"/>
          <w:rFonts w:cstheme="minorHAnsi"/>
          <w:noProof/>
          <w:szCs w:val="24"/>
        </w:rPr>
        <w:footnoteReference w:id="59"/>
      </w:r>
      <w:r w:rsidR="005B04AF">
        <w:rPr>
          <w:noProof/>
        </w:rPr>
        <w:t xml:space="preserve"> also contributes to these objectives by making it easier and more attractive for student and researchers to come to the EU while at the same time promoting the circulation of knowledge and skills through enhanced EU-intra mobility rights.</w:t>
      </w:r>
    </w:p>
    <w:p w14:paraId="694182A1" w14:textId="2AAB33EF" w:rsidR="005B04AF" w:rsidRDefault="006953E7" w:rsidP="006953E7">
      <w:pPr>
        <w:pStyle w:val="ManualConsidrant"/>
        <w:rPr>
          <w:noProof/>
        </w:rPr>
      </w:pPr>
      <w:r w:rsidRPr="006953E7">
        <w:t>(41)</w:t>
      </w:r>
      <w:r w:rsidRPr="006953E7">
        <w:tab/>
      </w:r>
      <w:r w:rsidR="005B04AF">
        <w:rPr>
          <w:noProof/>
        </w:rPr>
        <w:t>The Charter and</w:t>
      </w:r>
      <w:r w:rsidR="005B04AF" w:rsidRPr="002D3E3E">
        <w:rPr>
          <w:noProof/>
        </w:rPr>
        <w:t xml:space="preserve"> Code </w:t>
      </w:r>
      <w:r w:rsidR="005B04AF">
        <w:rPr>
          <w:noProof/>
        </w:rPr>
        <w:t xml:space="preserve">for Researchers </w:t>
      </w:r>
      <w:r w:rsidR="005B04AF" w:rsidRPr="002D3E3E">
        <w:rPr>
          <w:noProof/>
        </w:rPr>
        <w:t xml:space="preserve">need </w:t>
      </w:r>
      <w:r w:rsidR="005B04AF">
        <w:rPr>
          <w:noProof/>
        </w:rPr>
        <w:t>to be revised</w:t>
      </w:r>
      <w:r w:rsidR="005B04AF" w:rsidRPr="002D3E3E">
        <w:rPr>
          <w:noProof/>
        </w:rPr>
        <w:t xml:space="preserve"> to respond to the new reality and the current challenges faced by researchers and institutions</w:t>
      </w:r>
      <w:r w:rsidR="005B04AF">
        <w:rPr>
          <w:noProof/>
        </w:rPr>
        <w:t>, including a better integration of gender equality and inclusiveness as well as Open Science practices. The new version should be streamlined to simplify its implementation,</w:t>
      </w:r>
      <w:r w:rsidR="005B04AF" w:rsidRPr="006D3FE0">
        <w:rPr>
          <w:noProof/>
        </w:rPr>
        <w:t xml:space="preserve"> </w:t>
      </w:r>
      <w:r w:rsidR="005B04AF">
        <w:rPr>
          <w:noProof/>
        </w:rPr>
        <w:t>and the</w:t>
      </w:r>
      <w:r w:rsidR="005B04AF" w:rsidRPr="000A36A9">
        <w:rPr>
          <w:noProof/>
        </w:rPr>
        <w:t xml:space="preserve"> uptake beyond the academic sector should be promoted</w:t>
      </w:r>
      <w:r w:rsidR="005B04AF">
        <w:rPr>
          <w:noProof/>
        </w:rPr>
        <w:t xml:space="preserve">. The revision should not prejudice </w:t>
      </w:r>
      <w:r w:rsidR="005B04AF" w:rsidRPr="00AA7CEF">
        <w:rPr>
          <w:noProof/>
        </w:rPr>
        <w:t xml:space="preserve">the institutions that have endorsed the principles of </w:t>
      </w:r>
      <w:r w:rsidR="005B04AF">
        <w:rPr>
          <w:noProof/>
        </w:rPr>
        <w:t>the existing Charter and</w:t>
      </w:r>
      <w:r w:rsidR="005B04AF" w:rsidRPr="00AA7CEF">
        <w:rPr>
          <w:noProof/>
        </w:rPr>
        <w:t xml:space="preserve"> Code</w:t>
      </w:r>
      <w:r w:rsidR="005B04AF">
        <w:rPr>
          <w:noProof/>
        </w:rPr>
        <w:t xml:space="preserve"> for Researchers. They should be</w:t>
      </w:r>
      <w:r w:rsidR="005B04AF" w:rsidRPr="00AA7CEF">
        <w:rPr>
          <w:noProof/>
        </w:rPr>
        <w:t xml:space="preserve"> considered </w:t>
      </w:r>
      <w:r w:rsidR="005B04AF">
        <w:rPr>
          <w:noProof/>
        </w:rPr>
        <w:t>as continuing</w:t>
      </w:r>
      <w:r w:rsidR="005B04AF" w:rsidRPr="00AA7CEF">
        <w:rPr>
          <w:noProof/>
        </w:rPr>
        <w:t xml:space="preserve"> </w:t>
      </w:r>
      <w:r w:rsidR="005B04AF">
        <w:rPr>
          <w:noProof/>
        </w:rPr>
        <w:t xml:space="preserve">to endorse the Charter and </w:t>
      </w:r>
      <w:r w:rsidR="005B04AF" w:rsidRPr="00AA7CEF">
        <w:rPr>
          <w:noProof/>
        </w:rPr>
        <w:t xml:space="preserve">Code </w:t>
      </w:r>
      <w:r w:rsidR="005B04AF">
        <w:rPr>
          <w:noProof/>
        </w:rPr>
        <w:t>for Researchers in the new version.</w:t>
      </w:r>
      <w:r w:rsidR="005B04AF" w:rsidRPr="00AA7CEF">
        <w:rPr>
          <w:noProof/>
        </w:rPr>
        <w:t xml:space="preserve"> </w:t>
      </w:r>
      <w:r w:rsidR="005B04AF">
        <w:rPr>
          <w:noProof/>
        </w:rPr>
        <w:t xml:space="preserve"> This should apply notably</w:t>
      </w:r>
      <w:r w:rsidR="005B04AF" w:rsidRPr="00AA7CEF">
        <w:rPr>
          <w:noProof/>
        </w:rPr>
        <w:t xml:space="preserve"> to the institutions that have entered the HRS4R</w:t>
      </w:r>
      <w:r w:rsidR="005B04AF">
        <w:rPr>
          <w:noProof/>
        </w:rPr>
        <w:t xml:space="preserve"> process</w:t>
      </w:r>
      <w:r w:rsidR="005B04AF" w:rsidRPr="00AA7CEF">
        <w:rPr>
          <w:noProof/>
        </w:rPr>
        <w:t xml:space="preserve">, </w:t>
      </w:r>
      <w:r w:rsidR="005B04AF">
        <w:rPr>
          <w:noProof/>
        </w:rPr>
        <w:t>of</w:t>
      </w:r>
      <w:r w:rsidR="005B04AF" w:rsidRPr="00AA7CEF">
        <w:rPr>
          <w:noProof/>
        </w:rPr>
        <w:t xml:space="preserve"> which </w:t>
      </w:r>
      <w:r w:rsidR="005B04AF">
        <w:rPr>
          <w:noProof/>
        </w:rPr>
        <w:t>the endorsement of the Charter and</w:t>
      </w:r>
      <w:r w:rsidR="005B04AF" w:rsidRPr="00AA7CEF">
        <w:rPr>
          <w:noProof/>
        </w:rPr>
        <w:t xml:space="preserve"> Code </w:t>
      </w:r>
      <w:r w:rsidR="005B04AF">
        <w:rPr>
          <w:noProof/>
        </w:rPr>
        <w:t xml:space="preserve">for Researchers </w:t>
      </w:r>
      <w:r w:rsidR="005B04AF" w:rsidRPr="00AA7CEF">
        <w:rPr>
          <w:noProof/>
        </w:rPr>
        <w:t>constitutes the first step</w:t>
      </w:r>
      <w:r w:rsidR="005B04AF">
        <w:rPr>
          <w:noProof/>
        </w:rPr>
        <w:t>.</w:t>
      </w:r>
    </w:p>
    <w:p w14:paraId="113D3D19" w14:textId="2A12B4B4" w:rsidR="005B04AF" w:rsidRDefault="006953E7" w:rsidP="006953E7">
      <w:pPr>
        <w:pStyle w:val="ManualConsidrant"/>
        <w:rPr>
          <w:noProof/>
        </w:rPr>
      </w:pPr>
      <w:r w:rsidRPr="006953E7">
        <w:t>(42)</w:t>
      </w:r>
      <w:r w:rsidRPr="006953E7">
        <w:tab/>
      </w:r>
      <w:r w:rsidR="005B04AF">
        <w:rPr>
          <w:noProof/>
        </w:rPr>
        <w:t xml:space="preserve">An observatory on research careers, combining the best of the current Union data in one single place, is needed to monitor the implementation of measures to strengthen research careers and system reforms. It should support data needs of Member States and research performing organisations relevant for the adaptation and development of policies for research careers. It should equally support researchers to have a better understanding of challenges and opportunities, </w:t>
      </w:r>
      <w:r w:rsidR="005B04AF" w:rsidRPr="00E16ABE">
        <w:rPr>
          <w:noProof/>
        </w:rPr>
        <w:t xml:space="preserve">and promote </w:t>
      </w:r>
      <w:r w:rsidR="005B04AF">
        <w:rPr>
          <w:noProof/>
        </w:rPr>
        <w:t xml:space="preserve">the </w:t>
      </w:r>
      <w:r w:rsidR="005B04AF" w:rsidRPr="00E16ABE">
        <w:rPr>
          <w:noProof/>
        </w:rPr>
        <w:t>attractiveness of Europe’s research performing organisations for the best talents</w:t>
      </w:r>
      <w:r w:rsidR="005B04AF">
        <w:rPr>
          <w:noProof/>
        </w:rPr>
        <w:t xml:space="preserve">. Relevant links with the European Higher Education Sector Observatory proposed in the European Strategy for Universities should be </w:t>
      </w:r>
      <w:r w:rsidR="005B04AF" w:rsidRPr="00C022A0">
        <w:rPr>
          <w:noProof/>
        </w:rPr>
        <w:t>considered.</w:t>
      </w:r>
      <w:r w:rsidR="005B04AF">
        <w:rPr>
          <w:noProof/>
        </w:rPr>
        <w:t xml:space="preserve"> </w:t>
      </w:r>
      <w:r w:rsidR="005B04AF" w:rsidRPr="00C022A0">
        <w:rPr>
          <w:noProof/>
        </w:rPr>
        <w:t>Data collected in application of Regulation (EU) 2019/1700</w:t>
      </w:r>
      <w:r w:rsidR="005B04AF">
        <w:rPr>
          <w:noProof/>
        </w:rPr>
        <w:t xml:space="preserve"> </w:t>
      </w:r>
      <w:r w:rsidR="005B04AF" w:rsidRPr="00C022A0">
        <w:rPr>
          <w:noProof/>
        </w:rPr>
        <w:t>of the European Parliament and of the Counci</w:t>
      </w:r>
      <w:r w:rsidR="005B04AF">
        <w:rPr>
          <w:noProof/>
        </w:rPr>
        <w:t>l</w:t>
      </w:r>
      <w:r w:rsidR="005B04AF">
        <w:rPr>
          <w:rStyle w:val="FootnoteReference"/>
          <w:noProof/>
        </w:rPr>
        <w:footnoteReference w:id="60"/>
      </w:r>
      <w:r w:rsidR="005B04AF" w:rsidRPr="00C022A0">
        <w:rPr>
          <w:noProof/>
        </w:rPr>
        <w:t xml:space="preserve"> could be adapted to respond to the needs of the research careers observatory’s users.</w:t>
      </w:r>
    </w:p>
    <w:p w14:paraId="755D9D0E" w14:textId="5F6E6B2E" w:rsidR="005B04AF" w:rsidRPr="000C5B3B" w:rsidRDefault="006953E7" w:rsidP="006953E7">
      <w:pPr>
        <w:pStyle w:val="ManualConsidrant"/>
        <w:rPr>
          <w:noProof/>
        </w:rPr>
      </w:pPr>
      <w:r w:rsidRPr="006953E7">
        <w:t>(43)</w:t>
      </w:r>
      <w:r w:rsidRPr="006953E7">
        <w:tab/>
      </w:r>
      <w:r w:rsidR="005B04AF">
        <w:rPr>
          <w:noProof/>
        </w:rPr>
        <w:t xml:space="preserve">In order for the European </w:t>
      </w:r>
      <w:r w:rsidR="005B04AF" w:rsidRPr="001B0372">
        <w:rPr>
          <w:noProof/>
        </w:rPr>
        <w:t>framework to attract and retain research, innovation and entrepreneurial talents in Europe</w:t>
      </w:r>
      <w:r w:rsidR="005B04AF">
        <w:rPr>
          <w:noProof/>
        </w:rPr>
        <w:t xml:space="preserve"> to be successful, commitment by Member States and all stakeholders involved is needed. In particular, alliances of higher education institutions, such as the ones established under the European Universities Initiative and supported by the Erasmus+ Programme and the Framework Programmes for Research and Innovation, as well as the wider higher education sector and all relevant stakeholders, </w:t>
      </w:r>
      <w:r w:rsidR="005B04AF" w:rsidRPr="006C4509">
        <w:rPr>
          <w:noProof/>
        </w:rPr>
        <w:t>could be encouraged on a voluntary basis and</w:t>
      </w:r>
      <w:r w:rsidR="005B04AF">
        <w:rPr>
          <w:noProof/>
        </w:rPr>
        <w:t xml:space="preserve"> following a bottom-up approach, to contribute to a broad implementation of the framework by piloting relevant activities.</w:t>
      </w:r>
    </w:p>
    <w:p w14:paraId="235F0C09" w14:textId="77777777" w:rsidR="003466A4" w:rsidRDefault="001403C0" w:rsidP="003466A4">
      <w:pPr>
        <w:pStyle w:val="Formuledadoption"/>
        <w:rPr>
          <w:b/>
          <w:noProof/>
          <w:color w:val="0000FF"/>
        </w:rPr>
      </w:pPr>
      <w:r>
        <w:rPr>
          <w:noProof/>
        </w:rPr>
        <w:t>HAS ADOPTED</w:t>
      </w:r>
      <w:r w:rsidR="005B04AF">
        <w:rPr>
          <w:noProof/>
        </w:rPr>
        <w:t xml:space="preserve"> THIS RECOMMENDATION</w:t>
      </w:r>
      <w:r>
        <w:rPr>
          <w:noProof/>
        </w:rPr>
        <w:t>:</w:t>
      </w:r>
      <w:r w:rsidR="003466A4" w:rsidRPr="003466A4">
        <w:rPr>
          <w:b/>
          <w:noProof/>
          <w:color w:val="0000FF"/>
        </w:rPr>
        <w:t xml:space="preserve"> </w:t>
      </w:r>
    </w:p>
    <w:p w14:paraId="105D891E" w14:textId="77777777" w:rsidR="003466A4" w:rsidRPr="00294B88" w:rsidRDefault="003466A4" w:rsidP="00BF1707">
      <w:pPr>
        <w:rPr>
          <w:rStyle w:val="Strong"/>
          <w:noProof/>
        </w:rPr>
      </w:pPr>
      <w:r w:rsidRPr="00294B88">
        <w:rPr>
          <w:rStyle w:val="Strong"/>
          <w:noProof/>
        </w:rPr>
        <w:t>Definition of researchers in the European Research Area, and of the research professions</w:t>
      </w:r>
    </w:p>
    <w:p w14:paraId="3FA17300" w14:textId="08CA9979" w:rsidR="00953EDA" w:rsidRDefault="006953E7" w:rsidP="006953E7">
      <w:pPr>
        <w:pStyle w:val="ManualNumPar1"/>
        <w:rPr>
          <w:noProof/>
        </w:rPr>
      </w:pPr>
      <w:r w:rsidRPr="006953E7">
        <w:t>1.</w:t>
      </w:r>
      <w:r w:rsidRPr="006953E7">
        <w:tab/>
      </w:r>
      <w:r w:rsidR="003466A4" w:rsidRPr="0064158C">
        <w:rPr>
          <w:noProof/>
        </w:rPr>
        <w:t>For the purposes of this Recommendatio</w:t>
      </w:r>
      <w:r w:rsidR="000C6681">
        <w:rPr>
          <w:noProof/>
        </w:rPr>
        <w:t>n</w:t>
      </w:r>
      <w:r w:rsidR="00953EDA">
        <w:rPr>
          <w:noProof/>
        </w:rPr>
        <w:t>:</w:t>
      </w:r>
    </w:p>
    <w:p w14:paraId="6F620130" w14:textId="4269F1B8" w:rsidR="003466A4" w:rsidRPr="003466A4" w:rsidRDefault="003466A4" w:rsidP="00C96DDC">
      <w:pPr>
        <w:pStyle w:val="Text1"/>
        <w:rPr>
          <w:noProof/>
        </w:rPr>
      </w:pPr>
      <w:r w:rsidRPr="003466A4">
        <w:rPr>
          <w:noProof/>
        </w:rPr>
        <w:t xml:space="preserve">‘Researchers’ means professionals engaged in the conception or creation of new knowledge. They conduct research and improve or develop concepts, theories, models, techniques instrumentation, software or operational methods. Researchers may be involved fully or partially in different types of activities (for example basic or applied research, experimental development, operating research equipment, project management) in any sector of the </w:t>
      </w:r>
      <w:r w:rsidR="00080704" w:rsidRPr="003466A4">
        <w:rPr>
          <w:noProof/>
        </w:rPr>
        <w:t>economy</w:t>
      </w:r>
      <w:r w:rsidRPr="003466A4">
        <w:rPr>
          <w:noProof/>
        </w:rPr>
        <w:t xml:space="preserve"> or society. Researchers identify options for new research and development activities, and plan for and manage them by using high-level skills and knowledge developed through formal education and training or from practical experience in performing research.</w:t>
      </w:r>
    </w:p>
    <w:p w14:paraId="1DD47E9C" w14:textId="4D06612B" w:rsidR="003466A4" w:rsidRPr="003466A4" w:rsidRDefault="006953E7" w:rsidP="006953E7">
      <w:pPr>
        <w:pStyle w:val="ManualNumPar1"/>
        <w:rPr>
          <w:noProof/>
        </w:rPr>
      </w:pPr>
      <w:r w:rsidRPr="006953E7">
        <w:t>2.</w:t>
      </w:r>
      <w:r w:rsidRPr="006953E7">
        <w:tab/>
      </w:r>
      <w:r w:rsidR="003466A4" w:rsidRPr="003466A4">
        <w:rPr>
          <w:noProof/>
        </w:rPr>
        <w:t xml:space="preserve">The research professions can take place, with an equal value, in all sectors performing research and innovation, including academia, business, governmental laboratories and the public administration, and the non-profit sector, where the skills, knowledge and attitudes of researchers can be beneficial to the European society, the research and innovation system, and the economy. </w:t>
      </w:r>
    </w:p>
    <w:p w14:paraId="7C09D6FF" w14:textId="1182410E" w:rsidR="003466A4" w:rsidRPr="003466A4" w:rsidRDefault="006953E7" w:rsidP="006953E7">
      <w:pPr>
        <w:pStyle w:val="ManualNumPar1"/>
        <w:rPr>
          <w:noProof/>
        </w:rPr>
      </w:pPr>
      <w:r w:rsidRPr="006953E7">
        <w:t>3.</w:t>
      </w:r>
      <w:r w:rsidRPr="006953E7">
        <w:tab/>
      </w:r>
      <w:r w:rsidR="003466A4" w:rsidRPr="003466A4">
        <w:rPr>
          <w:noProof/>
        </w:rPr>
        <w:t>The research professions include careers in research management, which can be undertaken by researchers and other professionals to manage and support research and innovation activities. They can involve any of the following non-exhaustive tasks:</w:t>
      </w:r>
    </w:p>
    <w:p w14:paraId="2089FAE9" w14:textId="076D91E2" w:rsidR="003466A4" w:rsidRPr="003466A4" w:rsidRDefault="006953E7" w:rsidP="006953E7">
      <w:pPr>
        <w:pStyle w:val="Point1"/>
        <w:rPr>
          <w:noProof/>
        </w:rPr>
      </w:pPr>
      <w:r w:rsidRPr="006953E7">
        <w:t>(a)</w:t>
      </w:r>
      <w:r w:rsidRPr="006953E7">
        <w:tab/>
      </w:r>
      <w:r w:rsidR="003466A4" w:rsidRPr="003466A4">
        <w:rPr>
          <w:noProof/>
        </w:rPr>
        <w:t>streamlining or facilitating the planning, the development, management, administration, communication and valorisation of research and innovation;</w:t>
      </w:r>
    </w:p>
    <w:p w14:paraId="686B834D" w14:textId="377E6821" w:rsidR="003466A4" w:rsidRPr="003466A4" w:rsidRDefault="006953E7" w:rsidP="006953E7">
      <w:pPr>
        <w:pStyle w:val="Point1"/>
        <w:rPr>
          <w:noProof/>
        </w:rPr>
      </w:pPr>
      <w:r w:rsidRPr="006953E7">
        <w:t>(b)</w:t>
      </w:r>
      <w:r w:rsidRPr="006953E7">
        <w:tab/>
      </w:r>
      <w:r w:rsidR="003466A4" w:rsidRPr="003466A4">
        <w:rPr>
          <w:noProof/>
        </w:rPr>
        <w:t>ensuring compliance with policy objectives, funding programme requirements, financial rules and legal regulations;</w:t>
      </w:r>
    </w:p>
    <w:p w14:paraId="7F9905D3" w14:textId="34262C4D" w:rsidR="003466A4" w:rsidRPr="003466A4" w:rsidRDefault="006953E7" w:rsidP="006953E7">
      <w:pPr>
        <w:pStyle w:val="Point1"/>
        <w:rPr>
          <w:noProof/>
        </w:rPr>
      </w:pPr>
      <w:r w:rsidRPr="006953E7">
        <w:t>(c)</w:t>
      </w:r>
      <w:r w:rsidRPr="006953E7">
        <w:tab/>
      </w:r>
      <w:r w:rsidR="003466A4" w:rsidRPr="003466A4">
        <w:rPr>
          <w:noProof/>
        </w:rPr>
        <w:t xml:space="preserve">improving the efficiency and effectiveness of R&amp;I projects/system; </w:t>
      </w:r>
    </w:p>
    <w:p w14:paraId="2C815C3A" w14:textId="4397DDD6" w:rsidR="003466A4" w:rsidRPr="003466A4" w:rsidRDefault="006953E7" w:rsidP="006953E7">
      <w:pPr>
        <w:pStyle w:val="Point1"/>
        <w:rPr>
          <w:noProof/>
        </w:rPr>
      </w:pPr>
      <w:r w:rsidRPr="006953E7">
        <w:t>(d)</w:t>
      </w:r>
      <w:r w:rsidRPr="006953E7">
        <w:tab/>
      </w:r>
      <w:r w:rsidR="003466A4" w:rsidRPr="003466A4">
        <w:rPr>
          <w:noProof/>
        </w:rPr>
        <w:t>enhancing the impact of R&amp;I on the society.</w:t>
      </w:r>
    </w:p>
    <w:p w14:paraId="79BBD82F" w14:textId="3538155A" w:rsidR="003466A4" w:rsidRPr="003466A4" w:rsidRDefault="006953E7" w:rsidP="006953E7">
      <w:pPr>
        <w:pStyle w:val="ManualNumPar1"/>
        <w:rPr>
          <w:noProof/>
        </w:rPr>
      </w:pPr>
      <w:r w:rsidRPr="006953E7">
        <w:t>4.</w:t>
      </w:r>
      <w:r w:rsidRPr="006953E7">
        <w:tab/>
      </w:r>
      <w:r w:rsidR="003466A4" w:rsidRPr="003466A4">
        <w:rPr>
          <w:noProof/>
        </w:rPr>
        <w:t>All researchers, regardless of their actual status and sector of employment, who perform research activity, should be framed in the following profiles:</w:t>
      </w:r>
    </w:p>
    <w:p w14:paraId="36618F57" w14:textId="008CD0EF" w:rsidR="003466A4" w:rsidRPr="003466A4" w:rsidRDefault="006953E7" w:rsidP="006953E7">
      <w:pPr>
        <w:pStyle w:val="Point1"/>
        <w:rPr>
          <w:noProof/>
        </w:rPr>
      </w:pPr>
      <w:r w:rsidRPr="006953E7">
        <w:t>(a)</w:t>
      </w:r>
      <w:r w:rsidRPr="006953E7">
        <w:tab/>
      </w:r>
      <w:r w:rsidR="003466A4" w:rsidRPr="003466A4">
        <w:rPr>
          <w:noProof/>
        </w:rPr>
        <w:t>R1 - First Stage Researcher: Researchers doing research under supervision up to the point of a PhD or equivalent level of competence and experience.</w:t>
      </w:r>
    </w:p>
    <w:p w14:paraId="57C4D7A4" w14:textId="7DFA25E5" w:rsidR="003466A4" w:rsidRPr="003466A4" w:rsidRDefault="006953E7" w:rsidP="006953E7">
      <w:pPr>
        <w:pStyle w:val="Point1"/>
        <w:rPr>
          <w:noProof/>
        </w:rPr>
      </w:pPr>
      <w:r w:rsidRPr="006953E7">
        <w:t>(b)</w:t>
      </w:r>
      <w:r w:rsidRPr="006953E7">
        <w:tab/>
      </w:r>
      <w:r w:rsidR="003466A4" w:rsidRPr="003466A4">
        <w:rPr>
          <w:noProof/>
        </w:rPr>
        <w:t>R2 - Recognised Researcher: Researchers with a PhD or equivalent level of competence and experience who are not yet fully independent in their ability to develop their own research, attract funding, or lead a research group.</w:t>
      </w:r>
    </w:p>
    <w:p w14:paraId="3591A305" w14:textId="5C95E835" w:rsidR="003466A4" w:rsidRPr="003466A4" w:rsidRDefault="006953E7" w:rsidP="006953E7">
      <w:pPr>
        <w:pStyle w:val="Point1"/>
        <w:rPr>
          <w:noProof/>
        </w:rPr>
      </w:pPr>
      <w:r w:rsidRPr="006953E7">
        <w:t>(c)</w:t>
      </w:r>
      <w:r w:rsidRPr="006953E7">
        <w:tab/>
      </w:r>
      <w:r w:rsidR="003466A4" w:rsidRPr="003466A4">
        <w:rPr>
          <w:noProof/>
        </w:rPr>
        <w:t>R3 - Established Researcher: Researchers with a PhD or equivalent level of competence and experience who have achieved a level of independence in their ability to develop their own research, attract funding, or lead a research group.</w:t>
      </w:r>
    </w:p>
    <w:p w14:paraId="2F27B4A2" w14:textId="172AB607" w:rsidR="003466A4" w:rsidRPr="003466A4" w:rsidRDefault="006953E7" w:rsidP="006953E7">
      <w:pPr>
        <w:pStyle w:val="Point1"/>
        <w:rPr>
          <w:noProof/>
        </w:rPr>
      </w:pPr>
      <w:r w:rsidRPr="006953E7">
        <w:t>(d)</w:t>
      </w:r>
      <w:r w:rsidRPr="006953E7">
        <w:tab/>
      </w:r>
      <w:r w:rsidR="003466A4" w:rsidRPr="003466A4">
        <w:rPr>
          <w:noProof/>
        </w:rPr>
        <w:t>R4 - Leading Researcher: Researchers with a PhD or equivalent level of competence and experience who are recognised as leading their research field by their peers.</w:t>
      </w:r>
    </w:p>
    <w:p w14:paraId="21497F13" w14:textId="791AE0B0" w:rsidR="003466A4" w:rsidRPr="00294B88" w:rsidRDefault="006953E7" w:rsidP="006953E7">
      <w:pPr>
        <w:pStyle w:val="ManualNumPar1"/>
        <w:rPr>
          <w:noProof/>
        </w:rPr>
      </w:pPr>
      <w:r w:rsidRPr="006953E7">
        <w:t>5.</w:t>
      </w:r>
      <w:r w:rsidRPr="006953E7">
        <w:tab/>
      </w:r>
      <w:r w:rsidR="003466A4" w:rsidRPr="00294B88">
        <w:rPr>
          <w:noProof/>
        </w:rPr>
        <w:t>For the purposes of this Recommendation, R1 and R2 profiles should be considered early-career researchers, and R3 and R4 profiles should be considered senior researchers.</w:t>
      </w:r>
    </w:p>
    <w:p w14:paraId="1B9CB5AD" w14:textId="77777777" w:rsidR="003466A4" w:rsidRPr="00294B88" w:rsidRDefault="003466A4" w:rsidP="0094367F">
      <w:pPr>
        <w:pStyle w:val="Text1"/>
        <w:rPr>
          <w:noProof/>
        </w:rPr>
      </w:pPr>
      <w:r w:rsidRPr="00294B88">
        <w:rPr>
          <w:noProof/>
        </w:rPr>
        <w:t>Member States are recommended to encourage the use of references to the profiles in all vacancies specifically addressed to researchers.</w:t>
      </w:r>
    </w:p>
    <w:p w14:paraId="65F2630B" w14:textId="77777777" w:rsidR="003466A4" w:rsidRPr="00294B88" w:rsidRDefault="003466A4" w:rsidP="0094367F">
      <w:pPr>
        <w:pStyle w:val="Text1"/>
        <w:rPr>
          <w:noProof/>
        </w:rPr>
      </w:pPr>
      <w:r w:rsidRPr="00294B88">
        <w:rPr>
          <w:noProof/>
        </w:rPr>
        <w:t>Apart from the First Stage Researcher, the profiles should not necessarily be considered as stages on a progressive career path.</w:t>
      </w:r>
    </w:p>
    <w:p w14:paraId="1ECE9BDA" w14:textId="77777777" w:rsidR="005A7399" w:rsidRDefault="003466A4" w:rsidP="0094367F">
      <w:pPr>
        <w:pStyle w:val="Text1"/>
        <w:rPr>
          <w:noProof/>
        </w:rPr>
      </w:pPr>
      <w:r w:rsidRPr="00294B88">
        <w:rPr>
          <w:noProof/>
        </w:rPr>
        <w:t>A non-exhaustive list of examples of is set out in Annex I.</w:t>
      </w:r>
    </w:p>
    <w:p w14:paraId="773DC186" w14:textId="77777777" w:rsidR="003466A4" w:rsidRPr="00294B88" w:rsidRDefault="003466A4" w:rsidP="00294B88">
      <w:pPr>
        <w:rPr>
          <w:noProof/>
        </w:rPr>
      </w:pPr>
    </w:p>
    <w:p w14:paraId="17362EE3" w14:textId="77777777" w:rsidR="003466A4" w:rsidRPr="003466A4" w:rsidRDefault="003466A4" w:rsidP="005A7399">
      <w:pPr>
        <w:rPr>
          <w:b/>
          <w:noProof/>
        </w:rPr>
      </w:pPr>
      <w:r w:rsidRPr="003466A4">
        <w:rPr>
          <w:b/>
          <w:noProof/>
        </w:rPr>
        <w:t xml:space="preserve">The </w:t>
      </w:r>
      <w:r w:rsidRPr="005A7399">
        <w:rPr>
          <w:b/>
          <w:bCs/>
          <w:noProof/>
        </w:rPr>
        <w:t>recognition</w:t>
      </w:r>
      <w:r w:rsidRPr="003466A4">
        <w:rPr>
          <w:b/>
          <w:noProof/>
        </w:rPr>
        <w:t xml:space="preserve"> of the research professions, and interoperability and comparability of research careers</w:t>
      </w:r>
    </w:p>
    <w:p w14:paraId="14B18206" w14:textId="40AE485D" w:rsidR="003466A4" w:rsidRPr="003466A4" w:rsidRDefault="006953E7" w:rsidP="006953E7">
      <w:pPr>
        <w:pStyle w:val="ManualNumPar1"/>
        <w:rPr>
          <w:noProof/>
        </w:rPr>
      </w:pPr>
      <w:r w:rsidRPr="006953E7">
        <w:t>6.</w:t>
      </w:r>
      <w:r w:rsidRPr="006953E7">
        <w:tab/>
      </w:r>
      <w:r w:rsidR="003466A4" w:rsidRPr="003466A4">
        <w:rPr>
          <w:noProof/>
        </w:rPr>
        <w:t xml:space="preserve">Member States are recommended to ensure a full recognition of the research professions, to promote an equal esteem and reward of the different paths of research careers regardless the sector of employment or activity, and to take measures to allow for a full interoperability and comparability of research careers across Member States, sectors and institutions. </w:t>
      </w:r>
    </w:p>
    <w:p w14:paraId="78D5E58F" w14:textId="63835705" w:rsidR="003466A4" w:rsidRPr="003466A4" w:rsidRDefault="006953E7" w:rsidP="006953E7">
      <w:pPr>
        <w:pStyle w:val="ManualNumPar1"/>
        <w:rPr>
          <w:noProof/>
        </w:rPr>
      </w:pPr>
      <w:r w:rsidRPr="006953E7">
        <w:t>7.</w:t>
      </w:r>
      <w:r w:rsidRPr="006953E7">
        <w:tab/>
      </w:r>
      <w:r w:rsidR="003466A4" w:rsidRPr="003466A4">
        <w:rPr>
          <w:noProof/>
        </w:rPr>
        <w:t>Research management careers should be adequately framed and recognised at the level of the Union to strengthen their capacity, develop relevant training, and foster comparability.</w:t>
      </w:r>
    </w:p>
    <w:p w14:paraId="40D4A6CB" w14:textId="2BD69E4A" w:rsidR="003466A4" w:rsidRPr="003466A4" w:rsidRDefault="006953E7" w:rsidP="006953E7">
      <w:pPr>
        <w:pStyle w:val="ManualNumPar1"/>
        <w:rPr>
          <w:noProof/>
        </w:rPr>
      </w:pPr>
      <w:r w:rsidRPr="006953E7">
        <w:t>8.</w:t>
      </w:r>
      <w:r w:rsidRPr="006953E7">
        <w:tab/>
      </w:r>
      <w:r w:rsidR="003466A4" w:rsidRPr="003466A4">
        <w:rPr>
          <w:noProof/>
        </w:rPr>
        <w:t>Non-linear and multi-career paths, to be intended as paths characterised by geographical, disciplinary, inter-sectoral, and inter-organisational mobility, or hybrid paths combining simultaneously different sectors, should be encouraged and supported by Member States, and should be recognised on a par with a linear career path with multiple professional outcomes. The reward system should be adapted accordingly.</w:t>
      </w:r>
    </w:p>
    <w:p w14:paraId="390F9FB9" w14:textId="70F2C0AD" w:rsidR="003466A4" w:rsidRPr="003466A4" w:rsidRDefault="006953E7" w:rsidP="006953E7">
      <w:pPr>
        <w:pStyle w:val="ManualNumPar1"/>
        <w:rPr>
          <w:noProof/>
        </w:rPr>
      </w:pPr>
      <w:r w:rsidRPr="006953E7">
        <w:t>9.</w:t>
      </w:r>
      <w:r w:rsidRPr="006953E7">
        <w:tab/>
      </w:r>
      <w:r w:rsidR="003466A4" w:rsidRPr="003466A4">
        <w:rPr>
          <w:noProof/>
        </w:rPr>
        <w:t xml:space="preserve">Member States are recommended to implement new versions and updates of the European Skills, Competences, Qualifications and Occupations classification, with specific regard to researchers’ occupations and skills. </w:t>
      </w:r>
    </w:p>
    <w:p w14:paraId="276F5E37" w14:textId="2ED9B49D" w:rsidR="003466A4" w:rsidRPr="003466A4" w:rsidRDefault="006953E7" w:rsidP="006953E7">
      <w:pPr>
        <w:pStyle w:val="ManualNumPar1"/>
        <w:rPr>
          <w:noProof/>
        </w:rPr>
      </w:pPr>
      <w:r w:rsidRPr="006953E7">
        <w:t>10.</w:t>
      </w:r>
      <w:r w:rsidRPr="006953E7">
        <w:tab/>
      </w:r>
      <w:r w:rsidR="003466A4" w:rsidRPr="003466A4">
        <w:rPr>
          <w:noProof/>
        </w:rPr>
        <w:t>Member States are recommended to encourage human resources offices in all sectors to map career structures for researchers against the profiles referred to in point 4 of this Recommendation..</w:t>
      </w:r>
    </w:p>
    <w:p w14:paraId="767E2DEF" w14:textId="77777777" w:rsidR="003466A4" w:rsidRPr="003466A4" w:rsidRDefault="003466A4" w:rsidP="005634B4">
      <w:pPr>
        <w:rPr>
          <w:noProof/>
        </w:rPr>
      </w:pPr>
    </w:p>
    <w:p w14:paraId="61B50E60" w14:textId="77777777" w:rsidR="003466A4" w:rsidRPr="003466A4" w:rsidRDefault="003466A4" w:rsidP="005634B4">
      <w:pPr>
        <w:rPr>
          <w:b/>
          <w:noProof/>
        </w:rPr>
      </w:pPr>
      <w:r w:rsidRPr="003466A4">
        <w:rPr>
          <w:b/>
          <w:noProof/>
        </w:rPr>
        <w:t>Recruitment and working conditions</w:t>
      </w:r>
    </w:p>
    <w:p w14:paraId="79F57015" w14:textId="0D9F2EF9" w:rsidR="003466A4" w:rsidRPr="003466A4" w:rsidRDefault="006953E7" w:rsidP="006953E7">
      <w:pPr>
        <w:pStyle w:val="ManualNumPar1"/>
        <w:rPr>
          <w:noProof/>
        </w:rPr>
      </w:pPr>
      <w:r w:rsidRPr="006953E7">
        <w:t>11.</w:t>
      </w:r>
      <w:r w:rsidRPr="006953E7">
        <w:tab/>
      </w:r>
      <w:r w:rsidR="003466A4" w:rsidRPr="003466A4">
        <w:rPr>
          <w:noProof/>
        </w:rPr>
        <w:t>Member States are recommended to promote and support open, transparent and merit-based selection and recruitment of candidates, without penalisation for career breaks or inter-sectoral mobility.</w:t>
      </w:r>
    </w:p>
    <w:p w14:paraId="57D9D575" w14:textId="36C3B90E" w:rsidR="003466A4" w:rsidRPr="003466A4" w:rsidRDefault="006953E7" w:rsidP="006953E7">
      <w:pPr>
        <w:pStyle w:val="ManualNumPar1"/>
        <w:rPr>
          <w:noProof/>
        </w:rPr>
      </w:pPr>
      <w:r w:rsidRPr="006953E7">
        <w:t>12.</w:t>
      </w:r>
      <w:r w:rsidRPr="006953E7">
        <w:tab/>
      </w:r>
      <w:r w:rsidR="003466A4" w:rsidRPr="003466A4">
        <w:rPr>
          <w:noProof/>
        </w:rPr>
        <w:t>Member States are recommended to ensure respect of collective agreements and effective social dialogue, and to take all necessary steps so that employers and/or funders of researchers guarantee attractive and competitive research and working conditions, where researchers at all career stages and irrespective of permanent or fixed-term nature of their contract are valued, encouraged and supported. This should include:</w:t>
      </w:r>
    </w:p>
    <w:p w14:paraId="5ADEBED9" w14:textId="4B4F2824" w:rsidR="003466A4" w:rsidRPr="003466A4" w:rsidRDefault="006953E7" w:rsidP="006953E7">
      <w:pPr>
        <w:pStyle w:val="Point1"/>
        <w:rPr>
          <w:noProof/>
        </w:rPr>
      </w:pPr>
      <w:r w:rsidRPr="006953E7">
        <w:t>(a)</w:t>
      </w:r>
      <w:r w:rsidRPr="006953E7">
        <w:tab/>
      </w:r>
      <w:r w:rsidR="003466A4" w:rsidRPr="003466A4">
        <w:rPr>
          <w:noProof/>
        </w:rPr>
        <w:t>guaranteeing commensurate remuneration, work-life balance and work flexibility conditions for combining personal life, family, children and careers, and overall wellbeing, without prejudice to careers;</w:t>
      </w:r>
    </w:p>
    <w:p w14:paraId="2E4C6067" w14:textId="4546E1BF" w:rsidR="003466A4" w:rsidRPr="003466A4" w:rsidRDefault="006953E7" w:rsidP="006953E7">
      <w:pPr>
        <w:pStyle w:val="Point1"/>
        <w:rPr>
          <w:noProof/>
        </w:rPr>
      </w:pPr>
      <w:r w:rsidRPr="006953E7">
        <w:t>(b)</w:t>
      </w:r>
      <w:r w:rsidRPr="006953E7">
        <w:tab/>
      </w:r>
      <w:r w:rsidR="003466A4" w:rsidRPr="003466A4">
        <w:rPr>
          <w:noProof/>
        </w:rPr>
        <w:t>ensuring gender equality, equal opportunities and inclusiveness for researchers from all backgrounds including under-represented and marginalised groups, and promoting among research performing and funding organisations the use of institutional change instruments, such as inclusive gender equality plans open to intersections between gender and other social categories, in line with the new European Research Area framework and the European Strategy for Universities;</w:t>
      </w:r>
    </w:p>
    <w:p w14:paraId="431B1387" w14:textId="53537F48" w:rsidR="003466A4" w:rsidRPr="003466A4" w:rsidRDefault="006953E7" w:rsidP="006953E7">
      <w:pPr>
        <w:pStyle w:val="Point1"/>
        <w:rPr>
          <w:noProof/>
        </w:rPr>
      </w:pPr>
      <w:r w:rsidRPr="006953E7">
        <w:t>(c)</w:t>
      </w:r>
      <w:r w:rsidRPr="006953E7">
        <w:tab/>
      </w:r>
      <w:r w:rsidR="003466A4" w:rsidRPr="003466A4">
        <w:rPr>
          <w:noProof/>
        </w:rPr>
        <w:t>safeguarding the freedom of scientific research from any possible limitation or interference, including from foreign actors;</w:t>
      </w:r>
    </w:p>
    <w:p w14:paraId="00C90028" w14:textId="66187528" w:rsidR="003466A4" w:rsidRPr="003466A4" w:rsidRDefault="006953E7" w:rsidP="006953E7">
      <w:pPr>
        <w:pStyle w:val="Point1"/>
        <w:rPr>
          <w:noProof/>
        </w:rPr>
      </w:pPr>
      <w:r w:rsidRPr="006953E7">
        <w:t>(d)</w:t>
      </w:r>
      <w:r w:rsidRPr="006953E7">
        <w:tab/>
      </w:r>
      <w:r w:rsidR="003466A4" w:rsidRPr="003466A4">
        <w:rPr>
          <w:noProof/>
        </w:rPr>
        <w:t xml:space="preserve">offering dedicated support at institutional level to researchers in relation to the fulfilment of administrative duties; </w:t>
      </w:r>
    </w:p>
    <w:p w14:paraId="3A17B767" w14:textId="72F96EB1" w:rsidR="003466A4" w:rsidRPr="003466A4" w:rsidRDefault="006953E7" w:rsidP="006953E7">
      <w:pPr>
        <w:pStyle w:val="Point1"/>
        <w:rPr>
          <w:noProof/>
        </w:rPr>
      </w:pPr>
      <w:r w:rsidRPr="006953E7">
        <w:t>(e)</w:t>
      </w:r>
      <w:r w:rsidRPr="006953E7">
        <w:tab/>
      </w:r>
      <w:r w:rsidR="003466A4" w:rsidRPr="003466A4">
        <w:rPr>
          <w:noProof/>
        </w:rPr>
        <w:t>taking resolute actions to counter the phenomenon of precarity and to support job security and stability.  This should include a maximum total duration of fixed-term appointments, and incentivising a maximum threshold of one third of fixed-term contracts in the overall researchers’ human resources of a given employer. A lower threshold is recommended to be targeted by employers who stand already below the one third threshold at the time of adoption of this Recommendation. Whenever permanent or long-term or highly recurrent research tasks are being fulfilled, permanent or open-ended contracts are the appropriate instrument;</w:t>
      </w:r>
    </w:p>
    <w:p w14:paraId="3AE3BF17" w14:textId="3A33DEDC" w:rsidR="003466A4" w:rsidRPr="003466A4" w:rsidRDefault="006953E7" w:rsidP="006953E7">
      <w:pPr>
        <w:pStyle w:val="Point1"/>
        <w:rPr>
          <w:noProof/>
        </w:rPr>
      </w:pPr>
      <w:r w:rsidRPr="006953E7">
        <w:t>(f)</w:t>
      </w:r>
      <w:r w:rsidRPr="006953E7">
        <w:tab/>
      </w:r>
      <w:r w:rsidR="003466A4" w:rsidRPr="003466A4">
        <w:rPr>
          <w:noProof/>
        </w:rPr>
        <w:t>promoting a wider use of baseline funding or life-cycle research funding alongside project-based funding, to allow research organisations to develop more long-term research strategies and engage in sustainable commitments towards employees;</w:t>
      </w:r>
    </w:p>
    <w:p w14:paraId="4E269E09" w14:textId="621AD395" w:rsidR="003466A4" w:rsidRPr="003466A4" w:rsidRDefault="006953E7" w:rsidP="006953E7">
      <w:pPr>
        <w:pStyle w:val="Point1"/>
        <w:rPr>
          <w:noProof/>
        </w:rPr>
      </w:pPr>
      <w:r w:rsidRPr="006953E7">
        <w:t>(g)</w:t>
      </w:r>
      <w:r w:rsidRPr="006953E7">
        <w:tab/>
      </w:r>
      <w:r w:rsidR="003466A4" w:rsidRPr="003466A4">
        <w:rPr>
          <w:noProof/>
        </w:rPr>
        <w:t>guaranteeing access to adequate social protection irrespective of the form of employment (e.g. permanent, open-ended, fixed-term or grant-based nature of the contract), without prejudice to the right of Member States to define the fundamental principles of their social security systems. Such measures should pertain to the following branches, insofar as they are provided in the Member States:</w:t>
      </w:r>
    </w:p>
    <w:p w14:paraId="3A89A074" w14:textId="7F1EF7F1" w:rsidR="003466A4" w:rsidRPr="003466A4" w:rsidRDefault="006953E7" w:rsidP="006953E7">
      <w:pPr>
        <w:pStyle w:val="Point2"/>
        <w:rPr>
          <w:noProof/>
        </w:rPr>
      </w:pPr>
      <w:r w:rsidRPr="006953E7">
        <w:t>(1)</w:t>
      </w:r>
      <w:r w:rsidRPr="006953E7">
        <w:tab/>
      </w:r>
      <w:r w:rsidR="003466A4" w:rsidRPr="003466A4">
        <w:rPr>
          <w:noProof/>
        </w:rPr>
        <w:t>unemployment benefits;</w:t>
      </w:r>
    </w:p>
    <w:p w14:paraId="4CDD4C2B" w14:textId="1E9CC42F" w:rsidR="003466A4" w:rsidRPr="003466A4" w:rsidRDefault="006953E7" w:rsidP="006953E7">
      <w:pPr>
        <w:pStyle w:val="Point2"/>
        <w:rPr>
          <w:noProof/>
        </w:rPr>
      </w:pPr>
      <w:r w:rsidRPr="006953E7">
        <w:t>(2)</w:t>
      </w:r>
      <w:r w:rsidRPr="006953E7">
        <w:tab/>
      </w:r>
      <w:r w:rsidR="003466A4" w:rsidRPr="003466A4">
        <w:rPr>
          <w:noProof/>
        </w:rPr>
        <w:t>sickness and healthcare benefits;</w:t>
      </w:r>
    </w:p>
    <w:p w14:paraId="60BFF924" w14:textId="2E26B93A" w:rsidR="003466A4" w:rsidRPr="003466A4" w:rsidRDefault="006953E7" w:rsidP="006953E7">
      <w:pPr>
        <w:pStyle w:val="Point2"/>
        <w:rPr>
          <w:noProof/>
        </w:rPr>
      </w:pPr>
      <w:r w:rsidRPr="006953E7">
        <w:t>(3)</w:t>
      </w:r>
      <w:r w:rsidRPr="006953E7">
        <w:tab/>
      </w:r>
      <w:r w:rsidR="003466A4" w:rsidRPr="003466A4">
        <w:rPr>
          <w:noProof/>
        </w:rPr>
        <w:t>maternity leave, paternity leave and parental leaves and related benefits;</w:t>
      </w:r>
    </w:p>
    <w:p w14:paraId="3FC5CD05" w14:textId="59D07BB5" w:rsidR="003466A4" w:rsidRPr="003466A4" w:rsidRDefault="006953E7" w:rsidP="006953E7">
      <w:pPr>
        <w:pStyle w:val="Point2"/>
        <w:rPr>
          <w:noProof/>
        </w:rPr>
      </w:pPr>
      <w:r w:rsidRPr="006953E7">
        <w:t>(4)</w:t>
      </w:r>
      <w:r w:rsidRPr="006953E7">
        <w:tab/>
      </w:r>
      <w:r w:rsidR="003466A4" w:rsidRPr="003466A4">
        <w:rPr>
          <w:noProof/>
        </w:rPr>
        <w:t>invalidity benefits;</w:t>
      </w:r>
    </w:p>
    <w:p w14:paraId="225704B9" w14:textId="294F1474" w:rsidR="003466A4" w:rsidRPr="003466A4" w:rsidRDefault="006953E7" w:rsidP="006953E7">
      <w:pPr>
        <w:pStyle w:val="Point2"/>
        <w:rPr>
          <w:noProof/>
        </w:rPr>
      </w:pPr>
      <w:r w:rsidRPr="006953E7">
        <w:t>(5)</w:t>
      </w:r>
      <w:r w:rsidRPr="006953E7">
        <w:tab/>
      </w:r>
      <w:r w:rsidR="003466A4" w:rsidRPr="003466A4">
        <w:rPr>
          <w:noProof/>
        </w:rPr>
        <w:t>old-age benefits and survivors’ benefits;</w:t>
      </w:r>
    </w:p>
    <w:p w14:paraId="7F5CE0C1" w14:textId="617D91CB" w:rsidR="003466A4" w:rsidRPr="003466A4" w:rsidRDefault="006953E7" w:rsidP="006953E7">
      <w:pPr>
        <w:pStyle w:val="Point2"/>
        <w:rPr>
          <w:noProof/>
        </w:rPr>
      </w:pPr>
      <w:r w:rsidRPr="006953E7">
        <w:t>(6)</w:t>
      </w:r>
      <w:r w:rsidRPr="006953E7">
        <w:tab/>
      </w:r>
      <w:r w:rsidR="003466A4" w:rsidRPr="003466A4">
        <w:rPr>
          <w:noProof/>
        </w:rPr>
        <w:t>benefits in respect of accidents at work and occupational diseases.</w:t>
      </w:r>
    </w:p>
    <w:p w14:paraId="29274B1E" w14:textId="6DE0BB47" w:rsidR="003466A4" w:rsidRPr="003466A4" w:rsidRDefault="006953E7" w:rsidP="006953E7">
      <w:pPr>
        <w:pStyle w:val="ManualNumPar1"/>
        <w:rPr>
          <w:noProof/>
        </w:rPr>
      </w:pPr>
      <w:r w:rsidRPr="006953E7">
        <w:t>13.</w:t>
      </w:r>
      <w:r w:rsidRPr="006953E7">
        <w:tab/>
      </w:r>
      <w:r w:rsidR="003466A4" w:rsidRPr="003466A4">
        <w:rPr>
          <w:noProof/>
        </w:rPr>
        <w:t xml:space="preserve">Member States are recommended to ensure that researchers have access to updated, comprehensive, user-friendly and clearly understandable information on their social protection rights and obligations, and to ensure that entitlements – whether they are acquired through mandatory or voluntary schemes – are preserved, accumulated and transferable across all types of employment and self-employment statuses and across geographical borders, economic sectors, throughout the person’s working life and between different schemes within a given social protection branch. </w:t>
      </w:r>
    </w:p>
    <w:p w14:paraId="6379933D" w14:textId="3BF2D4F6" w:rsidR="003466A4" w:rsidRPr="003466A4" w:rsidRDefault="006953E7" w:rsidP="006953E7">
      <w:pPr>
        <w:pStyle w:val="ManualNumPar1"/>
        <w:rPr>
          <w:noProof/>
        </w:rPr>
      </w:pPr>
      <w:r w:rsidRPr="006953E7">
        <w:t>14.</w:t>
      </w:r>
      <w:r w:rsidRPr="006953E7">
        <w:tab/>
      </w:r>
      <w:r w:rsidR="003466A4" w:rsidRPr="003466A4">
        <w:rPr>
          <w:noProof/>
        </w:rPr>
        <w:t xml:space="preserve">Member States that aim to enhance saving in defined-contribution supplementary schemes are recommended to promote the use of the solutions provided by the RESAVER pension fund, which guarantees the absence of a vesting period and asset transfer fees. </w:t>
      </w:r>
    </w:p>
    <w:p w14:paraId="4A128717" w14:textId="65279E5A" w:rsidR="003466A4" w:rsidRPr="003466A4" w:rsidRDefault="006953E7" w:rsidP="006953E7">
      <w:pPr>
        <w:pStyle w:val="ManualNumPar1"/>
        <w:rPr>
          <w:noProof/>
        </w:rPr>
      </w:pPr>
      <w:r w:rsidRPr="006953E7">
        <w:t>15.</w:t>
      </w:r>
      <w:r w:rsidRPr="006953E7">
        <w:tab/>
      </w:r>
      <w:r w:rsidR="003466A4" w:rsidRPr="003466A4">
        <w:rPr>
          <w:noProof/>
        </w:rPr>
        <w:t>Member States are recommended to guarantee specific measures in support of early-career researchers, corresponding to the R1 and R2 profiles referred to in point 4 of this Recommendation. Such specific measures could include:</w:t>
      </w:r>
    </w:p>
    <w:p w14:paraId="43D567D4" w14:textId="4C5E9FDC" w:rsidR="003466A4" w:rsidRPr="003466A4" w:rsidRDefault="006953E7" w:rsidP="006953E7">
      <w:pPr>
        <w:pStyle w:val="Point2"/>
        <w:rPr>
          <w:noProof/>
        </w:rPr>
      </w:pPr>
      <w:r w:rsidRPr="006953E7">
        <w:t>(a)</w:t>
      </w:r>
      <w:r w:rsidRPr="006953E7">
        <w:tab/>
      </w:r>
      <w:r w:rsidR="003466A4" w:rsidRPr="003466A4">
        <w:rPr>
          <w:noProof/>
        </w:rPr>
        <w:t>providing doctoral candidates with working conditions, income and social protection rights applicable to researchers in other career stages;</w:t>
      </w:r>
    </w:p>
    <w:p w14:paraId="6CFD0E20" w14:textId="026DE108" w:rsidR="003466A4" w:rsidRPr="003466A4" w:rsidRDefault="006953E7" w:rsidP="006953E7">
      <w:pPr>
        <w:pStyle w:val="Point2"/>
        <w:rPr>
          <w:noProof/>
        </w:rPr>
      </w:pPr>
      <w:r w:rsidRPr="006953E7">
        <w:t>(b)</w:t>
      </w:r>
      <w:r w:rsidRPr="006953E7">
        <w:tab/>
      </w:r>
      <w:r w:rsidR="003466A4" w:rsidRPr="003466A4">
        <w:rPr>
          <w:noProof/>
        </w:rPr>
        <w:t>promoting the use of, and supporting, incentives for early-career researchers, including financial and social protection incentives;</w:t>
      </w:r>
    </w:p>
    <w:p w14:paraId="4313C0DC" w14:textId="1868AAD1" w:rsidR="003466A4" w:rsidRPr="003466A4" w:rsidRDefault="006953E7" w:rsidP="006953E7">
      <w:pPr>
        <w:pStyle w:val="Point2"/>
        <w:rPr>
          <w:noProof/>
        </w:rPr>
      </w:pPr>
      <w:r w:rsidRPr="006953E7">
        <w:t>(c)</w:t>
      </w:r>
      <w:r w:rsidRPr="006953E7">
        <w:tab/>
      </w:r>
      <w:r w:rsidR="003466A4" w:rsidRPr="003466A4">
        <w:rPr>
          <w:noProof/>
        </w:rPr>
        <w:t>promoting the use of, and supporting, incentives for the recruitment of early-career researchers by employers in all sectors, in particular with permanent or open-ended contracts;</w:t>
      </w:r>
    </w:p>
    <w:p w14:paraId="67DA8CAA" w14:textId="71D87761" w:rsidR="003466A4" w:rsidRPr="003466A4" w:rsidRDefault="006953E7" w:rsidP="006953E7">
      <w:pPr>
        <w:pStyle w:val="Point2"/>
        <w:rPr>
          <w:noProof/>
        </w:rPr>
      </w:pPr>
      <w:r w:rsidRPr="006953E7">
        <w:t>(d)</w:t>
      </w:r>
      <w:r w:rsidRPr="006953E7">
        <w:tab/>
      </w:r>
      <w:r w:rsidR="003466A4" w:rsidRPr="003466A4">
        <w:rPr>
          <w:noProof/>
        </w:rPr>
        <w:t>promoting and valuing inter-institutional, inter-sectoral, interdisciplinary and geographical mobility, including virtual mobility;</w:t>
      </w:r>
    </w:p>
    <w:p w14:paraId="4653404E" w14:textId="5EDD7B85" w:rsidR="003466A4" w:rsidRPr="003466A4" w:rsidRDefault="006953E7" w:rsidP="006953E7">
      <w:pPr>
        <w:pStyle w:val="Point2"/>
        <w:rPr>
          <w:noProof/>
        </w:rPr>
      </w:pPr>
      <w:r w:rsidRPr="006953E7">
        <w:t>(e)</w:t>
      </w:r>
      <w:r w:rsidRPr="006953E7">
        <w:tab/>
      </w:r>
      <w:r w:rsidR="003466A4" w:rsidRPr="003466A4">
        <w:rPr>
          <w:noProof/>
        </w:rPr>
        <w:t>promoting cooperation between higher education institutions, research funders and other relevant ecosystem actors, notably industry and other businesses, with regard to skills needs and skills provision, so as to foster recruitment of highly- and tailor-skilled researchers in the sectors concerned.</w:t>
      </w:r>
    </w:p>
    <w:p w14:paraId="02D6D56B" w14:textId="77777777" w:rsidR="003466A4" w:rsidRPr="003466A4" w:rsidRDefault="003466A4" w:rsidP="005634B4">
      <w:pPr>
        <w:rPr>
          <w:noProof/>
        </w:rPr>
      </w:pPr>
    </w:p>
    <w:p w14:paraId="06C61EA0" w14:textId="77777777" w:rsidR="003466A4" w:rsidRPr="005634B4" w:rsidRDefault="003466A4" w:rsidP="005634B4">
      <w:pPr>
        <w:rPr>
          <w:b/>
          <w:bCs/>
          <w:noProof/>
        </w:rPr>
      </w:pPr>
      <w:r w:rsidRPr="005634B4">
        <w:rPr>
          <w:b/>
          <w:bCs/>
          <w:noProof/>
        </w:rPr>
        <w:t>Researchers skilled for inter-sectoral and interdisciplinary careers and for entrepreneurship and innovation</w:t>
      </w:r>
    </w:p>
    <w:p w14:paraId="79918ECE" w14:textId="68855A13" w:rsidR="003466A4" w:rsidRPr="003466A4" w:rsidRDefault="006953E7" w:rsidP="006953E7">
      <w:pPr>
        <w:pStyle w:val="ManualNumPar1"/>
        <w:rPr>
          <w:noProof/>
        </w:rPr>
      </w:pPr>
      <w:r w:rsidRPr="006953E7">
        <w:t>16.</w:t>
      </w:r>
      <w:r w:rsidRPr="006953E7">
        <w:tab/>
      </w:r>
      <w:r w:rsidR="003466A4" w:rsidRPr="003466A4">
        <w:rPr>
          <w:noProof/>
        </w:rPr>
        <w:t xml:space="preserve">Member States are recommended to take appropriate steps to encourage that doctoral training is adapted for interoperable careers in all relevant sectors and for the practice of Open Science, including by making use of the European Competence Framework for Researchers (ResearchComp), the Principles for Innovative Doctoral Training, and of any other future initiatives taken by the Commission for the purpose of strengthening transversal skills of researchers. </w:t>
      </w:r>
    </w:p>
    <w:p w14:paraId="60206BE3" w14:textId="0E6C36F7" w:rsidR="003466A4" w:rsidRPr="003466A4" w:rsidRDefault="006953E7" w:rsidP="006953E7">
      <w:pPr>
        <w:pStyle w:val="ManualNumPar1"/>
        <w:rPr>
          <w:noProof/>
        </w:rPr>
      </w:pPr>
      <w:r w:rsidRPr="006953E7">
        <w:t>17.</w:t>
      </w:r>
      <w:r w:rsidRPr="006953E7">
        <w:tab/>
      </w:r>
      <w:r w:rsidR="003466A4" w:rsidRPr="003466A4">
        <w:rPr>
          <w:noProof/>
        </w:rPr>
        <w:t>The Commission is recommended to take action to support and facilitate the use of the European Competence Framework for Researchers (ResearchComp), promote the exchange of good practices, and consider future revisions of the Competence Framework where needed on the basis of the evolution of the research and innovation system and of the labour market.</w:t>
      </w:r>
    </w:p>
    <w:p w14:paraId="56D7C625" w14:textId="0968A41A" w:rsidR="003466A4" w:rsidRPr="003466A4" w:rsidRDefault="006953E7" w:rsidP="006953E7">
      <w:pPr>
        <w:pStyle w:val="ManualNumPar1"/>
        <w:rPr>
          <w:noProof/>
        </w:rPr>
      </w:pPr>
      <w:r w:rsidRPr="006953E7">
        <w:t>18.</w:t>
      </w:r>
      <w:r w:rsidRPr="006953E7">
        <w:tab/>
      </w:r>
      <w:r w:rsidR="003466A4" w:rsidRPr="003466A4">
        <w:rPr>
          <w:noProof/>
        </w:rPr>
        <w:t>Member States are recommended to place a specific emphasis on schemes aiming to strengthen the skills needed by researchers from early on in their careers to engage in knowledge valorisation activities. Such schemes should include awareness raising activities and trainings on relevant topics, including intellectual assets management, standardisation, industry-academia collaboration and engagement with the society.</w:t>
      </w:r>
    </w:p>
    <w:p w14:paraId="2ED95BC0" w14:textId="66453E01" w:rsidR="003466A4" w:rsidRPr="003466A4" w:rsidRDefault="006953E7" w:rsidP="006953E7">
      <w:pPr>
        <w:pStyle w:val="ManualNumPar1"/>
        <w:rPr>
          <w:noProof/>
        </w:rPr>
      </w:pPr>
      <w:r w:rsidRPr="006953E7">
        <w:t>19.</w:t>
      </w:r>
      <w:r w:rsidRPr="006953E7">
        <w:tab/>
      </w:r>
      <w:r w:rsidR="003466A4" w:rsidRPr="003466A4">
        <w:rPr>
          <w:noProof/>
        </w:rPr>
        <w:t>Member States and the Commission are recommended to encourage interaction and cooperation, including partnerships, between academia, industry, other businesses, public administration, the non-profit sector, and all other relevant ecosystem actors, and to ensure that doctoral training and targeted training are developed or co-developed on the basis of the actual skills needs of the parties concerned, including by building on best practice examples implemented under existing programmes at Union and Member States level.</w:t>
      </w:r>
    </w:p>
    <w:p w14:paraId="63A19436" w14:textId="77777777" w:rsidR="003466A4" w:rsidRPr="003466A4" w:rsidRDefault="003466A4" w:rsidP="004F7CC5">
      <w:pPr>
        <w:pStyle w:val="Text1"/>
        <w:rPr>
          <w:noProof/>
        </w:rPr>
      </w:pPr>
      <w:r w:rsidRPr="003466A4">
        <w:rPr>
          <w:noProof/>
        </w:rPr>
        <w:t>Such interaction and cooperation should be particularly supported in areas where specific skills are necessary for operating with state-of-the-art research and technology infrastructures.</w:t>
      </w:r>
    </w:p>
    <w:p w14:paraId="48BFD60D" w14:textId="1994386C" w:rsidR="003466A4" w:rsidRPr="003466A4" w:rsidRDefault="006953E7" w:rsidP="006953E7">
      <w:pPr>
        <w:pStyle w:val="ManualNumPar1"/>
        <w:rPr>
          <w:noProof/>
        </w:rPr>
      </w:pPr>
      <w:r w:rsidRPr="006953E7">
        <w:t>20.</w:t>
      </w:r>
      <w:r w:rsidRPr="006953E7">
        <w:tab/>
      </w:r>
      <w:r w:rsidR="003466A4" w:rsidRPr="003466A4">
        <w:rPr>
          <w:noProof/>
        </w:rPr>
        <w:t xml:space="preserve">Member States and the Commission are recommended to take action to foster an innovation and entrepreneurial mindset in researchers, including the necessary skills for investment-seeking, with the objective of allowing those who undertake an entrepreneurial career path to couple their knowledge production capabilities with knowledge valorisation proficiency, turning innovative ideas into business and fostering innovation and progress. </w:t>
      </w:r>
    </w:p>
    <w:p w14:paraId="028382EC" w14:textId="77777777" w:rsidR="003466A4" w:rsidRPr="003466A4" w:rsidRDefault="003466A4" w:rsidP="004F7CC5">
      <w:pPr>
        <w:pStyle w:val="Text1"/>
        <w:rPr>
          <w:noProof/>
        </w:rPr>
      </w:pPr>
      <w:r w:rsidRPr="003466A4">
        <w:rPr>
          <w:noProof/>
        </w:rPr>
        <w:t xml:space="preserve">A specific focus should be put on the promotion of women entrepreneurship and innovation, and on the creation of women-led university spin-offs.  </w:t>
      </w:r>
    </w:p>
    <w:p w14:paraId="0A42552E" w14:textId="77777777" w:rsidR="003466A4" w:rsidRPr="003466A4" w:rsidRDefault="003466A4" w:rsidP="004F7CC5">
      <w:pPr>
        <w:pStyle w:val="Text1"/>
        <w:rPr>
          <w:noProof/>
        </w:rPr>
      </w:pPr>
      <w:r w:rsidRPr="003466A4">
        <w:rPr>
          <w:noProof/>
        </w:rPr>
        <w:t>Member States should consider measures to mitigate the risks assumed by researchers undertaking an entrepreneurial career, including through the possibility to return to their previous career path.</w:t>
      </w:r>
    </w:p>
    <w:p w14:paraId="2DCA7718" w14:textId="712E5588" w:rsidR="003466A4" w:rsidRPr="003466A4" w:rsidRDefault="006953E7" w:rsidP="006953E7">
      <w:pPr>
        <w:pStyle w:val="ManualNumPar1"/>
        <w:rPr>
          <w:noProof/>
        </w:rPr>
      </w:pPr>
      <w:r w:rsidRPr="006953E7">
        <w:t>21.</w:t>
      </w:r>
      <w:r w:rsidRPr="006953E7">
        <w:tab/>
      </w:r>
      <w:r w:rsidR="003466A4" w:rsidRPr="003466A4">
        <w:rPr>
          <w:noProof/>
        </w:rPr>
        <w:t>Member States and the Commission are recommended to take action to support the development and provision of targeted training, including training leading to micro-credentials</w:t>
      </w:r>
      <w:r w:rsidR="003466A4" w:rsidRPr="00412F3A">
        <w:rPr>
          <w:rStyle w:val="FootnoteReference"/>
          <w:noProof/>
        </w:rPr>
        <w:footnoteReference w:id="61"/>
      </w:r>
      <w:r w:rsidR="003466A4" w:rsidRPr="003466A4">
        <w:rPr>
          <w:noProof/>
        </w:rPr>
        <w:t xml:space="preserve"> and with the support of Individual Learning Accounts</w:t>
      </w:r>
      <w:r w:rsidR="003466A4" w:rsidRPr="00412F3A">
        <w:rPr>
          <w:rStyle w:val="FootnoteReference"/>
          <w:noProof/>
        </w:rPr>
        <w:footnoteReference w:id="62"/>
      </w:r>
      <w:r w:rsidR="003466A4" w:rsidRPr="003466A4">
        <w:rPr>
          <w:noProof/>
        </w:rPr>
        <w:t>, where available, to ensure up-skilling and re-skilling opportunities for researchers with a lifelong perspective and to foster inter-sectoral and interdisciplinary mobility. Member States and the Commission are also recommended to take all necessary steps to ensure a fair and transparent validation procedure, based on harmonised criteria, of formal and informal training opportunities, including on-the-job training.</w:t>
      </w:r>
    </w:p>
    <w:p w14:paraId="4B4792B9" w14:textId="0DD9A226" w:rsidR="003466A4" w:rsidRPr="003466A4" w:rsidRDefault="006953E7" w:rsidP="006953E7">
      <w:pPr>
        <w:pStyle w:val="ManualNumPar1"/>
        <w:rPr>
          <w:noProof/>
        </w:rPr>
      </w:pPr>
      <w:r w:rsidRPr="006953E7">
        <w:t>22.</w:t>
      </w:r>
      <w:r w:rsidRPr="006953E7">
        <w:tab/>
      </w:r>
      <w:r w:rsidR="003466A4" w:rsidRPr="003466A4">
        <w:rPr>
          <w:noProof/>
        </w:rPr>
        <w:t xml:space="preserve">The Commission is recommended to take the following actions in the context of the development of initiatives fostering cross-sectoral circulation of talents: </w:t>
      </w:r>
    </w:p>
    <w:p w14:paraId="13D4AAF3" w14:textId="41F923A7" w:rsidR="003466A4" w:rsidRPr="003466A4" w:rsidRDefault="006953E7" w:rsidP="006953E7">
      <w:pPr>
        <w:pStyle w:val="Point2"/>
        <w:rPr>
          <w:noProof/>
        </w:rPr>
      </w:pPr>
      <w:r w:rsidRPr="006953E7">
        <w:t>(a)</w:t>
      </w:r>
      <w:r w:rsidRPr="006953E7">
        <w:tab/>
      </w:r>
      <w:r w:rsidR="003466A4" w:rsidRPr="003466A4">
        <w:rPr>
          <w:noProof/>
        </w:rPr>
        <w:t>supporting mutual learning for Member States on the basis of models of inter-sectoral mobility schemes established by the Commission, in three priority areas:</w:t>
      </w:r>
    </w:p>
    <w:p w14:paraId="60AEDF14" w14:textId="05CA6E61" w:rsidR="003466A4" w:rsidRPr="003466A4" w:rsidRDefault="006953E7" w:rsidP="006953E7">
      <w:pPr>
        <w:pStyle w:val="Point3"/>
        <w:rPr>
          <w:noProof/>
        </w:rPr>
      </w:pPr>
      <w:r w:rsidRPr="006953E7">
        <w:t>(1)</w:t>
      </w:r>
      <w:r w:rsidRPr="006953E7">
        <w:tab/>
      </w:r>
      <w:r w:rsidR="003466A4" w:rsidRPr="003466A4">
        <w:rPr>
          <w:noProof/>
        </w:rPr>
        <w:t>strengthening academia and non-academia cooperation;</w:t>
      </w:r>
    </w:p>
    <w:p w14:paraId="2FB0E1F3" w14:textId="24FFD63B" w:rsidR="003466A4" w:rsidRPr="003466A4" w:rsidRDefault="006953E7" w:rsidP="006953E7">
      <w:pPr>
        <w:pStyle w:val="Point3"/>
        <w:rPr>
          <w:noProof/>
        </w:rPr>
      </w:pPr>
      <w:r w:rsidRPr="006953E7">
        <w:t>(2)</w:t>
      </w:r>
      <w:r w:rsidRPr="006953E7">
        <w:tab/>
      </w:r>
      <w:r w:rsidR="003466A4" w:rsidRPr="003466A4">
        <w:rPr>
          <w:noProof/>
        </w:rPr>
        <w:t>improving training and lifelong learning for researchers, innovators, and other research and innovation talents;</w:t>
      </w:r>
    </w:p>
    <w:p w14:paraId="2FD8FF65" w14:textId="5C362A41" w:rsidR="003466A4" w:rsidRPr="003466A4" w:rsidRDefault="006953E7" w:rsidP="006953E7">
      <w:pPr>
        <w:pStyle w:val="Point3"/>
        <w:rPr>
          <w:noProof/>
        </w:rPr>
      </w:pPr>
      <w:r w:rsidRPr="006953E7">
        <w:t>(3)</w:t>
      </w:r>
      <w:r w:rsidRPr="006953E7">
        <w:tab/>
      </w:r>
      <w:r w:rsidR="003466A4" w:rsidRPr="003466A4">
        <w:rPr>
          <w:noProof/>
        </w:rPr>
        <w:t>boosting researchers’ entrepreneurship.</w:t>
      </w:r>
    </w:p>
    <w:p w14:paraId="32CA908C" w14:textId="22EF950F" w:rsidR="003466A4" w:rsidRPr="003466A4" w:rsidRDefault="006953E7" w:rsidP="006953E7">
      <w:pPr>
        <w:pStyle w:val="Point2"/>
        <w:rPr>
          <w:noProof/>
        </w:rPr>
      </w:pPr>
      <w:r w:rsidRPr="006953E7">
        <w:t>(b)</w:t>
      </w:r>
      <w:r w:rsidRPr="006953E7">
        <w:tab/>
      </w:r>
      <w:r w:rsidR="003466A4" w:rsidRPr="003466A4">
        <w:rPr>
          <w:noProof/>
        </w:rPr>
        <w:t>reinforcing inter-sectoral mobility components in existing instruments for researchers’ mobility, and complementing them with new instruments, where deemed necessary;</w:t>
      </w:r>
    </w:p>
    <w:p w14:paraId="20180FF2" w14:textId="0FA0B294" w:rsidR="003466A4" w:rsidRPr="003466A4" w:rsidRDefault="006953E7" w:rsidP="006953E7">
      <w:pPr>
        <w:pStyle w:val="Point2"/>
        <w:rPr>
          <w:noProof/>
        </w:rPr>
      </w:pPr>
      <w:r w:rsidRPr="006953E7">
        <w:t>(c)</w:t>
      </w:r>
      <w:r w:rsidRPr="006953E7">
        <w:tab/>
      </w:r>
      <w:r w:rsidR="003466A4" w:rsidRPr="003466A4">
        <w:rPr>
          <w:noProof/>
        </w:rPr>
        <w:t>creating awareness on inter-sectoral mobility schemes, via a branch of the ERA Talent Platform referred to in point 3</w:t>
      </w:r>
      <w:r w:rsidR="00FF06E7">
        <w:rPr>
          <w:noProof/>
        </w:rPr>
        <w:t>2</w:t>
      </w:r>
      <w:r w:rsidR="003466A4" w:rsidRPr="003466A4">
        <w:rPr>
          <w:noProof/>
        </w:rPr>
        <w:t xml:space="preserve"> of this Recommendation.</w:t>
      </w:r>
    </w:p>
    <w:p w14:paraId="56287C85" w14:textId="1C2697F7" w:rsidR="003466A4" w:rsidRPr="003466A4" w:rsidRDefault="006953E7" w:rsidP="006953E7">
      <w:pPr>
        <w:pStyle w:val="ManualNumPar1"/>
        <w:rPr>
          <w:noProof/>
        </w:rPr>
      </w:pPr>
      <w:r w:rsidRPr="006953E7">
        <w:t>23.</w:t>
      </w:r>
      <w:r w:rsidRPr="006953E7">
        <w:tab/>
      </w:r>
      <w:r w:rsidR="003466A4" w:rsidRPr="003466A4">
        <w:rPr>
          <w:noProof/>
        </w:rPr>
        <w:t>Member States are recommended to consider establishing national schemes promoting inter-sectoral mobility in one or more of the three priority areas referred to in point 2</w:t>
      </w:r>
      <w:r w:rsidR="00FF06E7">
        <w:rPr>
          <w:noProof/>
        </w:rPr>
        <w:t>2</w:t>
      </w:r>
      <w:r w:rsidR="003466A4" w:rsidRPr="003466A4">
        <w:rPr>
          <w:noProof/>
        </w:rPr>
        <w:t xml:space="preserve"> of this Recommendation.</w:t>
      </w:r>
    </w:p>
    <w:p w14:paraId="6A3DF0B3" w14:textId="7650FDD4" w:rsidR="003466A4" w:rsidRPr="003466A4" w:rsidRDefault="006953E7" w:rsidP="006953E7">
      <w:pPr>
        <w:pStyle w:val="ManualNumPar1"/>
        <w:rPr>
          <w:noProof/>
        </w:rPr>
      </w:pPr>
      <w:r w:rsidRPr="006953E7">
        <w:t>24.</w:t>
      </w:r>
      <w:r w:rsidRPr="006953E7">
        <w:tab/>
      </w:r>
      <w:r w:rsidR="003466A4" w:rsidRPr="003466A4">
        <w:rPr>
          <w:noProof/>
        </w:rPr>
        <w:t>Member States are recommended to undertake all the necessary efforts to promote elimination of existing structural and administrative barriers which can hamper or make difficult mobility between sectors, including by supporting the interoperability of careers between sectors, and facilitating temporary or permanent mobility.</w:t>
      </w:r>
    </w:p>
    <w:p w14:paraId="654802EE" w14:textId="77777777" w:rsidR="003466A4" w:rsidRPr="003466A4" w:rsidRDefault="003466A4" w:rsidP="00A4787B">
      <w:pPr>
        <w:rPr>
          <w:noProof/>
        </w:rPr>
      </w:pPr>
    </w:p>
    <w:p w14:paraId="16A540A0" w14:textId="77777777" w:rsidR="003466A4" w:rsidRPr="00A4787B" w:rsidRDefault="003466A4" w:rsidP="00A4787B">
      <w:pPr>
        <w:rPr>
          <w:b/>
          <w:bCs/>
          <w:noProof/>
        </w:rPr>
      </w:pPr>
      <w:r w:rsidRPr="00A4787B">
        <w:rPr>
          <w:b/>
          <w:bCs/>
          <w:noProof/>
        </w:rPr>
        <w:t>Career development and progression</w:t>
      </w:r>
    </w:p>
    <w:p w14:paraId="5CACFDA2" w14:textId="54B9C896" w:rsidR="003466A4" w:rsidRPr="003466A4" w:rsidRDefault="006953E7" w:rsidP="006953E7">
      <w:pPr>
        <w:pStyle w:val="ManualNumPar1"/>
        <w:rPr>
          <w:noProof/>
        </w:rPr>
      </w:pPr>
      <w:r w:rsidRPr="006953E7">
        <w:t>25.</w:t>
      </w:r>
      <w:r w:rsidRPr="006953E7">
        <w:tab/>
      </w:r>
      <w:r w:rsidR="003466A4" w:rsidRPr="003466A4">
        <w:rPr>
          <w:noProof/>
        </w:rPr>
        <w:t xml:space="preserve">Member States are recommended to support the recognition of the value of geographical, inter-sectoral, inter-institutional, inter- and trans-disciplinary and virtual mobility as important means of enhancing scientific knowledge and professional development at any stage of a researcher’s career. </w:t>
      </w:r>
    </w:p>
    <w:p w14:paraId="738B22F0" w14:textId="779CC836" w:rsidR="003466A4" w:rsidRPr="003466A4" w:rsidRDefault="006953E7" w:rsidP="006953E7">
      <w:pPr>
        <w:pStyle w:val="ManualNumPar1"/>
        <w:rPr>
          <w:noProof/>
        </w:rPr>
      </w:pPr>
      <w:r w:rsidRPr="006953E7">
        <w:t>26.</w:t>
      </w:r>
      <w:r w:rsidRPr="006953E7">
        <w:tab/>
      </w:r>
      <w:r w:rsidR="003466A4" w:rsidRPr="003466A4">
        <w:rPr>
          <w:noProof/>
        </w:rPr>
        <w:t>Member States are recommended to promote measures that make researchers, in particular early-career ones, aware of opportunities available in all relevant sectors and to promote a culture of diversification of careers for better personal and professional development. In this regard, Member States and the Commission should support the provision of career advisory and support services to stimulate inter-sectoral, interdisciplinary and geographical mobility, as well as the creation and development of entrepreneurial activities.</w:t>
      </w:r>
    </w:p>
    <w:p w14:paraId="3BC85164" w14:textId="03EEB4DA" w:rsidR="003466A4" w:rsidRPr="003466A4" w:rsidRDefault="006953E7" w:rsidP="006953E7">
      <w:pPr>
        <w:pStyle w:val="ManualNumPar1"/>
        <w:rPr>
          <w:noProof/>
        </w:rPr>
      </w:pPr>
      <w:r w:rsidRPr="006953E7">
        <w:t>27.</w:t>
      </w:r>
      <w:r w:rsidRPr="006953E7">
        <w:tab/>
      </w:r>
      <w:r w:rsidR="003466A4" w:rsidRPr="003466A4">
        <w:rPr>
          <w:noProof/>
        </w:rPr>
        <w:t>Member States are recommended to promote and support systems for the assessment and reward of researchers that:</w:t>
      </w:r>
    </w:p>
    <w:p w14:paraId="0EE73B14" w14:textId="1FF48DC0" w:rsidR="003466A4" w:rsidRPr="003466A4" w:rsidRDefault="006953E7" w:rsidP="006953E7">
      <w:pPr>
        <w:pStyle w:val="Point1"/>
        <w:rPr>
          <w:noProof/>
        </w:rPr>
      </w:pPr>
      <w:r w:rsidRPr="006953E7">
        <w:t>(a)</w:t>
      </w:r>
      <w:r w:rsidRPr="006953E7">
        <w:tab/>
      </w:r>
      <w:r w:rsidR="003466A4" w:rsidRPr="003466A4">
        <w:rPr>
          <w:noProof/>
        </w:rPr>
        <w:t>are based on qualitative judgement provided by peers, supported by responsible use of quantitative indicators;</w:t>
      </w:r>
    </w:p>
    <w:p w14:paraId="57D22842" w14:textId="568DFB75" w:rsidR="003466A4" w:rsidRPr="003466A4" w:rsidRDefault="006953E7" w:rsidP="006953E7">
      <w:pPr>
        <w:pStyle w:val="Point1"/>
        <w:rPr>
          <w:noProof/>
        </w:rPr>
      </w:pPr>
      <w:r w:rsidRPr="006953E7">
        <w:t>(b)</w:t>
      </w:r>
      <w:r w:rsidRPr="006953E7">
        <w:tab/>
      </w:r>
      <w:r w:rsidR="003466A4" w:rsidRPr="003466A4">
        <w:rPr>
          <w:noProof/>
        </w:rPr>
        <w:t>reward quality and the various potential impacts of their research on society, science and innovation;</w:t>
      </w:r>
    </w:p>
    <w:p w14:paraId="345F5C72" w14:textId="704D0A38" w:rsidR="003466A4" w:rsidRPr="003466A4" w:rsidRDefault="006953E7" w:rsidP="006953E7">
      <w:pPr>
        <w:pStyle w:val="Point1"/>
        <w:rPr>
          <w:noProof/>
        </w:rPr>
      </w:pPr>
      <w:r w:rsidRPr="006953E7">
        <w:t>(c)</w:t>
      </w:r>
      <w:r w:rsidRPr="006953E7">
        <w:tab/>
      </w:r>
      <w:r w:rsidR="003466A4" w:rsidRPr="003466A4">
        <w:rPr>
          <w:noProof/>
        </w:rPr>
        <w:t>recognise a diversity of outputs (</w:t>
      </w:r>
      <w:r w:rsidR="003466A4" w:rsidRPr="00A4787B">
        <w:rPr>
          <w:noProof/>
        </w:rPr>
        <w:t>inter alia publications, datasets, software, methodologies, protocols, patents),</w:t>
      </w:r>
      <w:r w:rsidR="003466A4" w:rsidRPr="003466A4">
        <w:rPr>
          <w:noProof/>
        </w:rPr>
        <w:t xml:space="preserve"> activities (</w:t>
      </w:r>
      <w:r w:rsidR="003466A4" w:rsidRPr="00A4787B">
        <w:rPr>
          <w:noProof/>
        </w:rPr>
        <w:t xml:space="preserve">inter alia mentoring, research supervision, leadership roles, entrepreneurship, data management, peer review, teaching, </w:t>
      </w:r>
      <w:r w:rsidR="003466A4" w:rsidRPr="003466A4">
        <w:rPr>
          <w:noProof/>
        </w:rPr>
        <w:t>knowledge valorisation</w:t>
      </w:r>
      <w:r w:rsidR="003466A4" w:rsidRPr="00A4787B">
        <w:rPr>
          <w:noProof/>
        </w:rPr>
        <w:t xml:space="preserve">, industry-academia cooperation, support for evidence-informed policy-making, </w:t>
      </w:r>
      <w:r w:rsidR="003466A4" w:rsidRPr="003466A4">
        <w:rPr>
          <w:noProof/>
        </w:rPr>
        <w:t>interaction with society) and practices (</w:t>
      </w:r>
      <w:r w:rsidR="003466A4" w:rsidRPr="00A4787B">
        <w:rPr>
          <w:noProof/>
        </w:rPr>
        <w:t>inter alia early knowledge and data sharing, open collaboration</w:t>
      </w:r>
      <w:r w:rsidR="003466A4" w:rsidRPr="003466A4">
        <w:rPr>
          <w:noProof/>
        </w:rPr>
        <w:t>), as well as all mobility experiences referred to in point 2</w:t>
      </w:r>
      <w:r w:rsidR="00FF06E7">
        <w:rPr>
          <w:noProof/>
        </w:rPr>
        <w:t>5</w:t>
      </w:r>
      <w:r w:rsidR="003466A4" w:rsidRPr="003466A4">
        <w:rPr>
          <w:noProof/>
        </w:rPr>
        <w:t xml:space="preserve"> of this Recommendation;</w:t>
      </w:r>
    </w:p>
    <w:p w14:paraId="496A4D8A" w14:textId="70F13361" w:rsidR="003466A4" w:rsidRPr="003466A4" w:rsidRDefault="006953E7" w:rsidP="006953E7">
      <w:pPr>
        <w:pStyle w:val="Point1"/>
        <w:rPr>
          <w:noProof/>
        </w:rPr>
      </w:pPr>
      <w:r w:rsidRPr="006953E7">
        <w:t>(d)</w:t>
      </w:r>
      <w:r w:rsidRPr="006953E7">
        <w:tab/>
      </w:r>
      <w:r w:rsidR="003466A4" w:rsidRPr="003466A4">
        <w:rPr>
          <w:noProof/>
        </w:rPr>
        <w:t>ensure that the researcher’s professional activity meets high standards of ethics and integrity, rewards appropriate conduct of research, and values good practices, in particular open practices for sharing research results and methodologies, whenever possible;</w:t>
      </w:r>
    </w:p>
    <w:p w14:paraId="0E2D95F5" w14:textId="2B44294D" w:rsidR="003466A4" w:rsidRPr="003466A4" w:rsidRDefault="006953E7" w:rsidP="006953E7">
      <w:pPr>
        <w:pStyle w:val="Point1"/>
        <w:rPr>
          <w:noProof/>
        </w:rPr>
      </w:pPr>
      <w:r w:rsidRPr="006953E7">
        <w:t>(e)</w:t>
      </w:r>
      <w:r w:rsidRPr="006953E7">
        <w:tab/>
      </w:r>
      <w:r w:rsidR="003466A4" w:rsidRPr="003466A4">
        <w:rPr>
          <w:noProof/>
        </w:rPr>
        <w:t>use assessment criteria and processes that respect the variety of research disciplines and national contexts;</w:t>
      </w:r>
    </w:p>
    <w:p w14:paraId="05DE7DEC" w14:textId="0D3E54B4" w:rsidR="003466A4" w:rsidRPr="003466A4" w:rsidRDefault="006953E7" w:rsidP="006953E7">
      <w:pPr>
        <w:pStyle w:val="Point1"/>
        <w:rPr>
          <w:noProof/>
        </w:rPr>
      </w:pPr>
      <w:r w:rsidRPr="006953E7">
        <w:t>(f)</w:t>
      </w:r>
      <w:r w:rsidRPr="006953E7">
        <w:tab/>
      </w:r>
      <w:r w:rsidR="003466A4" w:rsidRPr="003466A4">
        <w:rPr>
          <w:noProof/>
        </w:rPr>
        <w:t>support a diversity of researcher profiles and career paths, and value individual contributions, but also the role of teams, collaborative work, and cross-disciplinarity;</w:t>
      </w:r>
    </w:p>
    <w:p w14:paraId="439176C3" w14:textId="69160803" w:rsidR="003466A4" w:rsidRPr="003466A4" w:rsidRDefault="006953E7" w:rsidP="006953E7">
      <w:pPr>
        <w:pStyle w:val="Point1"/>
        <w:rPr>
          <w:noProof/>
        </w:rPr>
      </w:pPr>
      <w:r w:rsidRPr="006953E7">
        <w:t>(g)</w:t>
      </w:r>
      <w:r w:rsidRPr="006953E7">
        <w:tab/>
      </w:r>
      <w:r w:rsidR="003466A4" w:rsidRPr="003466A4">
        <w:rPr>
          <w:noProof/>
        </w:rPr>
        <w:t>ensure gender equality, equal opportunities and inclusiveness.</w:t>
      </w:r>
    </w:p>
    <w:p w14:paraId="3E86013D" w14:textId="77777777" w:rsidR="003466A4" w:rsidRPr="003466A4" w:rsidRDefault="003466A4" w:rsidP="004F7CC5">
      <w:pPr>
        <w:pStyle w:val="Text1"/>
        <w:rPr>
          <w:noProof/>
        </w:rPr>
      </w:pPr>
      <w:r w:rsidRPr="003466A4">
        <w:rPr>
          <w:noProof/>
        </w:rPr>
        <w:t>To ensure coherence in the implementation of these recommendations, Member States are recommended to foster continuous training for the actors involved in the assessment and reward process.</w:t>
      </w:r>
    </w:p>
    <w:p w14:paraId="35EA584D" w14:textId="2AA3CDAC" w:rsidR="003466A4" w:rsidRPr="003466A4" w:rsidRDefault="006953E7" w:rsidP="006953E7">
      <w:pPr>
        <w:pStyle w:val="ManualNumPar1"/>
        <w:rPr>
          <w:noProof/>
        </w:rPr>
      </w:pPr>
      <w:r w:rsidRPr="006953E7">
        <w:t>28.</w:t>
      </w:r>
      <w:r w:rsidRPr="006953E7">
        <w:tab/>
      </w:r>
      <w:r w:rsidR="003466A4" w:rsidRPr="003466A4">
        <w:rPr>
          <w:noProof/>
        </w:rPr>
        <w:t>Member States are invited to encourage organisations to join coalitions, alliances or initiatives set up to evolve assessment systems in line with the recommendations listed in point 2</w:t>
      </w:r>
      <w:r w:rsidR="00FF06E7">
        <w:rPr>
          <w:noProof/>
        </w:rPr>
        <w:t>7</w:t>
      </w:r>
      <w:r w:rsidR="003466A4" w:rsidRPr="003466A4">
        <w:rPr>
          <w:noProof/>
        </w:rPr>
        <w:t xml:space="preserve"> of this Recommendation. Member States are also encouraged to tackle national barriers to such evolution of research assessment and help preventing any contradictions or incompatibilities that might exist in the application of the recommendations listed in point 2</w:t>
      </w:r>
      <w:r w:rsidR="00FF06E7">
        <w:rPr>
          <w:noProof/>
        </w:rPr>
        <w:t>7</w:t>
      </w:r>
      <w:r w:rsidR="003466A4" w:rsidRPr="003466A4">
        <w:rPr>
          <w:noProof/>
        </w:rPr>
        <w:t xml:space="preserve"> of this Recommendation, between the assessment of research, of researchers and of research institutions. </w:t>
      </w:r>
    </w:p>
    <w:p w14:paraId="7A4A6553" w14:textId="572E69F5" w:rsidR="003466A4" w:rsidRPr="003466A4" w:rsidRDefault="006953E7" w:rsidP="006953E7">
      <w:pPr>
        <w:pStyle w:val="ManualNumPar1"/>
        <w:rPr>
          <w:noProof/>
        </w:rPr>
      </w:pPr>
      <w:r w:rsidRPr="006953E7">
        <w:t>29.</w:t>
      </w:r>
      <w:r w:rsidRPr="006953E7">
        <w:tab/>
      </w:r>
      <w:r w:rsidR="003466A4" w:rsidRPr="003466A4">
        <w:rPr>
          <w:noProof/>
        </w:rPr>
        <w:t>Member States are recommended to take action to ensure a fair, equal, inclusive, transparent, structured and gender-equal career accession and progression system for researchers in academia, up to the top positions. In this respect, Member States are recommended to consider the adoption of a tenure-track system, to be intended as a fixed-term contract with the perspective of a progression to a permanent position, subject to positive evaluation.</w:t>
      </w:r>
    </w:p>
    <w:p w14:paraId="131E1BD0" w14:textId="77777777" w:rsidR="003466A4" w:rsidRPr="003466A4" w:rsidRDefault="003466A4" w:rsidP="000E25F6">
      <w:pPr>
        <w:rPr>
          <w:noProof/>
        </w:rPr>
      </w:pPr>
    </w:p>
    <w:p w14:paraId="051DBB61" w14:textId="77777777" w:rsidR="003466A4" w:rsidRPr="003466A4" w:rsidRDefault="003466A4" w:rsidP="000E25F6">
      <w:pPr>
        <w:rPr>
          <w:b/>
          <w:noProof/>
        </w:rPr>
      </w:pPr>
      <w:r w:rsidRPr="003466A4">
        <w:rPr>
          <w:b/>
          <w:noProof/>
        </w:rPr>
        <w:t>Balanced circulation of talents and making the Union an attractive destination</w:t>
      </w:r>
    </w:p>
    <w:p w14:paraId="60AA3048" w14:textId="6DB1C062" w:rsidR="003466A4" w:rsidRPr="003466A4" w:rsidRDefault="006953E7" w:rsidP="006953E7">
      <w:pPr>
        <w:pStyle w:val="ManualNumPar1"/>
        <w:rPr>
          <w:noProof/>
        </w:rPr>
      </w:pPr>
      <w:r w:rsidRPr="006953E7">
        <w:t>30.</w:t>
      </w:r>
      <w:r w:rsidRPr="006953E7">
        <w:tab/>
      </w:r>
      <w:r w:rsidR="003466A4" w:rsidRPr="003466A4">
        <w:rPr>
          <w:noProof/>
        </w:rPr>
        <w:t>Member States are recommended to take resolute action to put in place favourable, attractive and competitive conditions for conducting research and innovation activities, and for the return of researchers engaged in experiences abroad to their home country. Such measures could include, but not be limited to:</w:t>
      </w:r>
    </w:p>
    <w:p w14:paraId="7C0B3543" w14:textId="39F7ACED" w:rsidR="003466A4" w:rsidRPr="003466A4" w:rsidRDefault="006953E7" w:rsidP="006953E7">
      <w:pPr>
        <w:pStyle w:val="Point1"/>
        <w:rPr>
          <w:noProof/>
        </w:rPr>
      </w:pPr>
      <w:r w:rsidRPr="006953E7">
        <w:t>(a)</w:t>
      </w:r>
      <w:r w:rsidRPr="006953E7">
        <w:tab/>
      </w:r>
      <w:r w:rsidR="003466A4" w:rsidRPr="003466A4">
        <w:rPr>
          <w:noProof/>
        </w:rPr>
        <w:t xml:space="preserve">incentives to make research activities more attractive, taking into consideration the need for a fair competition for talents; </w:t>
      </w:r>
    </w:p>
    <w:p w14:paraId="550735E3" w14:textId="1949A97C" w:rsidR="003466A4" w:rsidRPr="003466A4" w:rsidRDefault="006953E7" w:rsidP="006953E7">
      <w:pPr>
        <w:pStyle w:val="Point1"/>
        <w:rPr>
          <w:noProof/>
        </w:rPr>
      </w:pPr>
      <w:r w:rsidRPr="006953E7">
        <w:t>(b)</w:t>
      </w:r>
      <w:r w:rsidRPr="006953E7">
        <w:tab/>
      </w:r>
      <w:r w:rsidR="003466A4" w:rsidRPr="003466A4">
        <w:rPr>
          <w:noProof/>
        </w:rPr>
        <w:t>simplification of legal and administrative requirements for researchers;</w:t>
      </w:r>
    </w:p>
    <w:p w14:paraId="10AB2AB2" w14:textId="5A235A3D" w:rsidR="003466A4" w:rsidRPr="003466A4" w:rsidRDefault="006953E7" w:rsidP="006953E7">
      <w:pPr>
        <w:pStyle w:val="Point1"/>
        <w:rPr>
          <w:noProof/>
        </w:rPr>
      </w:pPr>
      <w:r w:rsidRPr="006953E7">
        <w:t>(c)</w:t>
      </w:r>
      <w:r w:rsidRPr="006953E7">
        <w:tab/>
      </w:r>
      <w:r w:rsidR="003466A4" w:rsidRPr="003466A4">
        <w:rPr>
          <w:noProof/>
        </w:rPr>
        <w:t>investments in the research and innovation system, including the support to networking within and beyond the Union, to connect and integrate the national research and innovation systems to European research networks and provide higher visibility of national capabilities and  high-level infrastructures;</w:t>
      </w:r>
    </w:p>
    <w:p w14:paraId="1191B15A" w14:textId="3EA1A428" w:rsidR="003466A4" w:rsidRPr="003466A4" w:rsidRDefault="006953E7" w:rsidP="006953E7">
      <w:pPr>
        <w:pStyle w:val="Point1"/>
        <w:rPr>
          <w:noProof/>
        </w:rPr>
      </w:pPr>
      <w:r w:rsidRPr="006953E7">
        <w:t>(d)</w:t>
      </w:r>
      <w:r w:rsidRPr="006953E7">
        <w:tab/>
      </w:r>
      <w:r w:rsidR="003466A4" w:rsidRPr="003466A4">
        <w:rPr>
          <w:noProof/>
        </w:rPr>
        <w:t>the exchange of best practices with regard to creating an attractive and competitive research and innovation environment, including as regards the improvement of remuneration, working conditions and services, and the reduction of administrative and language barriers for foreign and international researchers;</w:t>
      </w:r>
    </w:p>
    <w:p w14:paraId="1D4D9680" w14:textId="4F74605D" w:rsidR="003466A4" w:rsidRPr="003466A4" w:rsidRDefault="006953E7" w:rsidP="006953E7">
      <w:pPr>
        <w:pStyle w:val="Point1"/>
        <w:rPr>
          <w:noProof/>
        </w:rPr>
      </w:pPr>
      <w:r w:rsidRPr="006953E7">
        <w:t>(e)</w:t>
      </w:r>
      <w:r w:rsidRPr="006953E7">
        <w:tab/>
      </w:r>
      <w:r w:rsidR="003466A4" w:rsidRPr="003466A4">
        <w:rPr>
          <w:noProof/>
        </w:rPr>
        <w:t xml:space="preserve">return grants and attractive positions for returning researchers; </w:t>
      </w:r>
    </w:p>
    <w:p w14:paraId="449366F2" w14:textId="25E14DDA" w:rsidR="003466A4" w:rsidRPr="003466A4" w:rsidRDefault="006953E7" w:rsidP="006953E7">
      <w:pPr>
        <w:pStyle w:val="Point1"/>
        <w:rPr>
          <w:noProof/>
        </w:rPr>
      </w:pPr>
      <w:r w:rsidRPr="006953E7">
        <w:t>(f)</w:t>
      </w:r>
      <w:r w:rsidRPr="006953E7">
        <w:tab/>
      </w:r>
      <w:r w:rsidR="003466A4" w:rsidRPr="003466A4">
        <w:rPr>
          <w:noProof/>
        </w:rPr>
        <w:t>the possibility of having dual positions in institutions established in different Member States, thereby fostering knowledge transfer, collaboration, and preventing talent drain.</w:t>
      </w:r>
    </w:p>
    <w:p w14:paraId="65E11F76" w14:textId="77777777" w:rsidR="003466A4" w:rsidRPr="003466A4" w:rsidRDefault="003466A4" w:rsidP="004F7CC5">
      <w:pPr>
        <w:pStyle w:val="Text1"/>
        <w:rPr>
          <w:noProof/>
        </w:rPr>
      </w:pPr>
      <w:r w:rsidRPr="005834EF">
        <w:rPr>
          <w:noProof/>
        </w:rPr>
        <w:t>The Commission is recommended to support Member States in their endeavours, including by promoting synergies among Union programmes, and Union and national programmes.</w:t>
      </w:r>
      <w:r w:rsidRPr="003466A4">
        <w:rPr>
          <w:noProof/>
        </w:rPr>
        <w:t xml:space="preserve"> </w:t>
      </w:r>
    </w:p>
    <w:p w14:paraId="0880F200" w14:textId="491781F4" w:rsidR="003466A4" w:rsidRPr="003466A4" w:rsidRDefault="006953E7" w:rsidP="006953E7">
      <w:pPr>
        <w:pStyle w:val="ManualNumPar1"/>
        <w:rPr>
          <w:noProof/>
        </w:rPr>
      </w:pPr>
      <w:r w:rsidRPr="006953E7">
        <w:t>31.</w:t>
      </w:r>
      <w:r w:rsidRPr="006953E7">
        <w:tab/>
      </w:r>
      <w:r w:rsidR="003466A4" w:rsidRPr="003466A4">
        <w:rPr>
          <w:noProof/>
        </w:rPr>
        <w:t xml:space="preserve">The Commission is recommended to take the following actions fostering a more balanced circulation of talents: </w:t>
      </w:r>
    </w:p>
    <w:p w14:paraId="55D08E57" w14:textId="119981DC" w:rsidR="003466A4" w:rsidRPr="003466A4" w:rsidRDefault="006953E7" w:rsidP="006953E7">
      <w:pPr>
        <w:pStyle w:val="Point1"/>
        <w:rPr>
          <w:noProof/>
        </w:rPr>
      </w:pPr>
      <w:r w:rsidRPr="006953E7">
        <w:t>(a)</w:t>
      </w:r>
      <w:r w:rsidRPr="006953E7">
        <w:tab/>
      </w:r>
      <w:r w:rsidR="003466A4" w:rsidRPr="003466A4">
        <w:rPr>
          <w:noProof/>
        </w:rPr>
        <w:t>supporting mutual learning for Member States in view of the reform of their research and innovation systems, including through calls for expression of interest to create a community of practice with training and guidance for Member States on the basis of successful pathways and solutions enabling more balanced talent circulation;</w:t>
      </w:r>
    </w:p>
    <w:p w14:paraId="3CF17D1E" w14:textId="7F524121" w:rsidR="003466A4" w:rsidRPr="003466A4" w:rsidRDefault="006953E7" w:rsidP="006953E7">
      <w:pPr>
        <w:pStyle w:val="Point1"/>
        <w:rPr>
          <w:noProof/>
        </w:rPr>
      </w:pPr>
      <w:r w:rsidRPr="006953E7">
        <w:t>(b)</w:t>
      </w:r>
      <w:r w:rsidRPr="006953E7">
        <w:tab/>
      </w:r>
      <w:r w:rsidR="003466A4" w:rsidRPr="003466A4">
        <w:rPr>
          <w:noProof/>
        </w:rPr>
        <w:t>monitoring mobility flows, through an interactive talent circulation map in the observatory on research careers referred to in point 3</w:t>
      </w:r>
      <w:r w:rsidR="00A56AA3">
        <w:rPr>
          <w:noProof/>
        </w:rPr>
        <w:t>9</w:t>
      </w:r>
      <w:r w:rsidR="003466A4" w:rsidRPr="003466A4">
        <w:rPr>
          <w:noProof/>
        </w:rPr>
        <w:t xml:space="preserve"> of this Recommendation;</w:t>
      </w:r>
    </w:p>
    <w:p w14:paraId="1759B5C0" w14:textId="0034A95F" w:rsidR="003466A4" w:rsidRPr="003466A4" w:rsidRDefault="006953E7" w:rsidP="006953E7">
      <w:pPr>
        <w:pStyle w:val="Point1"/>
        <w:rPr>
          <w:noProof/>
        </w:rPr>
      </w:pPr>
      <w:r w:rsidRPr="006953E7">
        <w:t>(c)</w:t>
      </w:r>
      <w:r w:rsidRPr="006953E7">
        <w:tab/>
      </w:r>
      <w:r w:rsidR="003466A4" w:rsidRPr="003466A4">
        <w:rPr>
          <w:noProof/>
        </w:rPr>
        <w:t>facilitating transnational ties with scientific diaspora communities and facilitating attracting or returning talents, via a branch of the ERA Talent Platform referred to in point 3</w:t>
      </w:r>
      <w:r w:rsidR="00FF06E7">
        <w:rPr>
          <w:noProof/>
        </w:rPr>
        <w:t>2</w:t>
      </w:r>
      <w:r w:rsidR="003466A4" w:rsidRPr="003466A4">
        <w:rPr>
          <w:noProof/>
        </w:rPr>
        <w:t xml:space="preserve"> of this Recommendation;</w:t>
      </w:r>
    </w:p>
    <w:p w14:paraId="679E5606" w14:textId="6A595592" w:rsidR="003466A4" w:rsidRPr="003466A4" w:rsidRDefault="006953E7" w:rsidP="006953E7">
      <w:pPr>
        <w:pStyle w:val="Point1"/>
        <w:rPr>
          <w:noProof/>
        </w:rPr>
      </w:pPr>
      <w:r w:rsidRPr="006953E7">
        <w:t>(d)</w:t>
      </w:r>
      <w:r w:rsidRPr="006953E7">
        <w:tab/>
      </w:r>
      <w:r w:rsidR="003466A4" w:rsidRPr="003466A4">
        <w:rPr>
          <w:noProof/>
        </w:rPr>
        <w:t>promoting a balanced talent circulation for early-career researchers through new instruments at Union level that strengthen the human capital base in widening countries, with more entrepreneurial, managerial and better-trained researchers and innovators.</w:t>
      </w:r>
    </w:p>
    <w:p w14:paraId="405704C3" w14:textId="77777777" w:rsidR="003466A4" w:rsidRPr="003466A4" w:rsidRDefault="003466A4" w:rsidP="001668CB">
      <w:pPr>
        <w:rPr>
          <w:noProof/>
        </w:rPr>
      </w:pPr>
    </w:p>
    <w:p w14:paraId="655E8BD9" w14:textId="77777777" w:rsidR="003466A4" w:rsidRPr="003466A4" w:rsidRDefault="003466A4" w:rsidP="001668CB">
      <w:pPr>
        <w:rPr>
          <w:b/>
          <w:noProof/>
        </w:rPr>
      </w:pPr>
      <w:r w:rsidRPr="003466A4">
        <w:rPr>
          <w:b/>
          <w:noProof/>
        </w:rPr>
        <w:t>Support actions for research careers</w:t>
      </w:r>
    </w:p>
    <w:p w14:paraId="7727E9F5" w14:textId="7DB6D6BF" w:rsidR="003466A4" w:rsidRPr="003466A4" w:rsidRDefault="006953E7" w:rsidP="006953E7">
      <w:pPr>
        <w:pStyle w:val="ManualNumPar1"/>
        <w:rPr>
          <w:noProof/>
        </w:rPr>
      </w:pPr>
      <w:r w:rsidRPr="006953E7">
        <w:t>32.</w:t>
      </w:r>
      <w:r w:rsidRPr="006953E7">
        <w:tab/>
      </w:r>
      <w:r w:rsidR="003466A4" w:rsidRPr="003466A4">
        <w:rPr>
          <w:noProof/>
        </w:rPr>
        <w:t xml:space="preserve">The Commission and Member States are recommended to take appropriate measures to strengthen the EURAXESS portals, services, as well as the international dimension, and to develop the ERA Talent Platform as an online one-stop-shop for researchers and institutions in all sectors, with a new governance framework featuring binding commitments and a coordination role of relevant national bodies and institutions involved in service delivery.  </w:t>
      </w:r>
    </w:p>
    <w:p w14:paraId="51474BF2" w14:textId="77777777" w:rsidR="003466A4" w:rsidRPr="003466A4" w:rsidRDefault="003466A4" w:rsidP="007722F9">
      <w:pPr>
        <w:pStyle w:val="Text1"/>
        <w:rPr>
          <w:noProof/>
          <w:lang w:val="en-US"/>
        </w:rPr>
      </w:pPr>
      <w:r w:rsidRPr="003466A4">
        <w:rPr>
          <w:noProof/>
        </w:rPr>
        <w:t xml:space="preserve">The ERA Talent Platform should </w:t>
      </w:r>
      <w:r w:rsidRPr="003466A4">
        <w:rPr>
          <w:noProof/>
          <w:lang w:val="en-US"/>
        </w:rPr>
        <w:t>allow:</w:t>
      </w:r>
    </w:p>
    <w:p w14:paraId="37396B24" w14:textId="462111DB" w:rsidR="003466A4" w:rsidRPr="003466A4" w:rsidRDefault="006953E7" w:rsidP="006953E7">
      <w:pPr>
        <w:pStyle w:val="Point1"/>
        <w:rPr>
          <w:noProof/>
        </w:rPr>
      </w:pPr>
      <w:r w:rsidRPr="006953E7">
        <w:t>(a)</w:t>
      </w:r>
      <w:r w:rsidRPr="006953E7">
        <w:tab/>
      </w:r>
      <w:r w:rsidR="003466A4" w:rsidRPr="001668CB">
        <w:rPr>
          <w:noProof/>
          <w:lang w:val="en-US"/>
        </w:rPr>
        <w:t xml:space="preserve">researchers to </w:t>
      </w:r>
      <w:r w:rsidR="003466A4" w:rsidRPr="001668CB">
        <w:rPr>
          <w:noProof/>
        </w:rPr>
        <w:t>manage their learning and training opportunities and their careers;</w:t>
      </w:r>
    </w:p>
    <w:p w14:paraId="30D010F5" w14:textId="2979F10C" w:rsidR="003466A4" w:rsidRPr="003466A4" w:rsidRDefault="006953E7" w:rsidP="006953E7">
      <w:pPr>
        <w:pStyle w:val="Point1"/>
        <w:rPr>
          <w:noProof/>
        </w:rPr>
      </w:pPr>
      <w:r w:rsidRPr="006953E7">
        <w:t>(b)</w:t>
      </w:r>
      <w:r w:rsidRPr="006953E7">
        <w:tab/>
      </w:r>
      <w:r w:rsidR="003466A4" w:rsidRPr="003466A4">
        <w:rPr>
          <w:noProof/>
        </w:rPr>
        <w:t>r</w:t>
      </w:r>
      <w:r w:rsidR="003466A4" w:rsidRPr="001668CB">
        <w:rPr>
          <w:noProof/>
        </w:rPr>
        <w:t>esearch and innovation</w:t>
      </w:r>
      <w:r w:rsidR="003466A4" w:rsidRPr="003466A4">
        <w:rPr>
          <w:noProof/>
          <w:lang w:val="en-US"/>
        </w:rPr>
        <w:t xml:space="preserve"> institutions, employers and funders to conduct networking activities, better manage their pools of talents, collaborate and exchange best practices, while facilitating talents’ attraction and retention and improving data for a better understanding of mobility trends across Europe and beyond. </w:t>
      </w:r>
    </w:p>
    <w:p w14:paraId="3927486B" w14:textId="77777777" w:rsidR="003466A4" w:rsidRPr="003466A4" w:rsidRDefault="003466A4" w:rsidP="004F7CC5">
      <w:pPr>
        <w:pStyle w:val="Text1"/>
        <w:rPr>
          <w:noProof/>
        </w:rPr>
      </w:pPr>
      <w:r w:rsidRPr="003466A4">
        <w:rPr>
          <w:noProof/>
        </w:rPr>
        <w:t xml:space="preserve">Services should be broadened to include talent development and career management services, with a focus on researchers in all relevant sectors of the society, including academia. </w:t>
      </w:r>
    </w:p>
    <w:p w14:paraId="3311FA4D" w14:textId="3DACCE7A" w:rsidR="003466A4" w:rsidRPr="003466A4" w:rsidRDefault="006953E7" w:rsidP="006953E7">
      <w:pPr>
        <w:pStyle w:val="ManualNumPar1"/>
        <w:rPr>
          <w:noProof/>
        </w:rPr>
      </w:pPr>
      <w:r w:rsidRPr="006953E7">
        <w:t>33.</w:t>
      </w:r>
      <w:r w:rsidRPr="006953E7">
        <w:tab/>
      </w:r>
      <w:r w:rsidR="003466A4" w:rsidRPr="003466A4">
        <w:rPr>
          <w:noProof/>
        </w:rPr>
        <w:t xml:space="preserve">The Commission is recommended to ensure links and interoperability between the ERA Talent Platform and other relevant Union and national initiatives, including Europass, ESCO and EURES, to </w:t>
      </w:r>
      <w:r w:rsidR="008D2E77" w:rsidRPr="003466A4">
        <w:rPr>
          <w:noProof/>
        </w:rPr>
        <w:t>implement the</w:t>
      </w:r>
      <w:r w:rsidR="003466A4" w:rsidRPr="003466A4">
        <w:rPr>
          <w:noProof/>
        </w:rPr>
        <w:t xml:space="preserve"> EU login system for authentication, and to provide for an improved governance model of the platform and the underlying network of service centres to better meet the needs of researchers and research performing organisations. </w:t>
      </w:r>
    </w:p>
    <w:p w14:paraId="53BC361C" w14:textId="01D40412" w:rsidR="003466A4" w:rsidRPr="003466A4" w:rsidRDefault="006953E7" w:rsidP="006953E7">
      <w:pPr>
        <w:pStyle w:val="ManualNumPar1"/>
        <w:rPr>
          <w:noProof/>
        </w:rPr>
      </w:pPr>
      <w:r w:rsidRPr="006953E7">
        <w:t>34.</w:t>
      </w:r>
      <w:r w:rsidRPr="006953E7">
        <w:tab/>
      </w:r>
      <w:r w:rsidR="003466A4" w:rsidRPr="003466A4">
        <w:rPr>
          <w:noProof/>
        </w:rPr>
        <w:t>Member States and the Commission are recommended to acknowledge the importance of the endorsement and implementation of the Charter and Code for Researchers</w:t>
      </w:r>
      <w:r w:rsidR="00A56AA3">
        <w:rPr>
          <w:noProof/>
        </w:rPr>
        <w:t>,</w:t>
      </w:r>
      <w:r w:rsidR="008D2E77">
        <w:rPr>
          <w:noProof/>
        </w:rPr>
        <w:t xml:space="preserve"> and </w:t>
      </w:r>
      <w:r w:rsidR="00A56AA3">
        <w:rPr>
          <w:noProof/>
        </w:rPr>
        <w:t>of</w:t>
      </w:r>
      <w:r w:rsidR="008D2E77">
        <w:rPr>
          <w:noProof/>
        </w:rPr>
        <w:t xml:space="preserve"> the Charter for Researchers referred to in point 3</w:t>
      </w:r>
      <w:r w:rsidR="00A56AA3">
        <w:rPr>
          <w:noProof/>
        </w:rPr>
        <w:t>5</w:t>
      </w:r>
      <w:r w:rsidR="008D2E77">
        <w:rPr>
          <w:noProof/>
        </w:rPr>
        <w:t xml:space="preserve"> of this Recommendation.</w:t>
      </w:r>
    </w:p>
    <w:p w14:paraId="7674BDB7" w14:textId="08AA2181" w:rsidR="003466A4" w:rsidRPr="003466A4" w:rsidRDefault="006953E7" w:rsidP="006953E7">
      <w:pPr>
        <w:pStyle w:val="ManualNumPar1"/>
        <w:rPr>
          <w:noProof/>
        </w:rPr>
      </w:pPr>
      <w:r w:rsidRPr="006953E7">
        <w:t>35.</w:t>
      </w:r>
      <w:r w:rsidRPr="006953E7">
        <w:tab/>
      </w:r>
      <w:r w:rsidR="003466A4" w:rsidRPr="003466A4">
        <w:rPr>
          <w:noProof/>
        </w:rPr>
        <w:t xml:space="preserve">The new Charter for Researchers set out in Annex II to this Recommendation should replace the Charter and Code for Researchers set out in Annex to Recommendation </w:t>
      </w:r>
      <w:r w:rsidR="003466A4" w:rsidRPr="003466A4">
        <w:rPr>
          <w:noProof/>
          <w:lang w:val="en-US"/>
        </w:rPr>
        <w:t>2005/251/EC.</w:t>
      </w:r>
      <w:r w:rsidR="003466A4" w:rsidRPr="003466A4" w:rsidDel="003E2B62">
        <w:rPr>
          <w:noProof/>
        </w:rPr>
        <w:t xml:space="preserve"> </w:t>
      </w:r>
      <w:r w:rsidR="003466A4" w:rsidRPr="003466A4">
        <w:rPr>
          <w:noProof/>
        </w:rPr>
        <w:t>Member States and the Commission are recommended to encourage the endorsement and implementation of the new Charter for Researchers by research employers and funders from all sectors, including through dedicated incentives, in view of making it become a structural tool in support of researchers and research careers.</w:t>
      </w:r>
    </w:p>
    <w:p w14:paraId="779F04BF" w14:textId="17FE0FA0" w:rsidR="003466A4" w:rsidRPr="003466A4" w:rsidRDefault="006953E7" w:rsidP="006953E7">
      <w:pPr>
        <w:pStyle w:val="ManualNumPar1"/>
        <w:rPr>
          <w:noProof/>
        </w:rPr>
      </w:pPr>
      <w:r w:rsidRPr="006953E7">
        <w:t>36.</w:t>
      </w:r>
      <w:r w:rsidRPr="006953E7">
        <w:tab/>
      </w:r>
      <w:r w:rsidR="003466A4" w:rsidRPr="003466A4">
        <w:rPr>
          <w:noProof/>
        </w:rPr>
        <w:t>The Commission is recommended to adjust the Human Resources Strategy for Researchers, or any future similar implementation mechanism, to the new Charter for Researchers, and to ensure continuity in respect to the institutions that have endorsed the principles of the old Charter and Code for Researchers and have adhered to the Human Resources Strategy for Researchers, notably by considering them as continuing to endorse the Charter for Researchers set out in Annex II to this Recommendation. The Commission is recommended to apply the same transitional measures to the institutions which started the Human Resources Strategy for Researchers process under the old Charter and Code for Researchers.</w:t>
      </w:r>
    </w:p>
    <w:p w14:paraId="2A86098D" w14:textId="09E1015D" w:rsidR="003466A4" w:rsidRPr="003466A4" w:rsidRDefault="006953E7" w:rsidP="006953E7">
      <w:pPr>
        <w:pStyle w:val="ManualNumPar1"/>
        <w:rPr>
          <w:noProof/>
        </w:rPr>
      </w:pPr>
      <w:r w:rsidRPr="006953E7">
        <w:t>37.</w:t>
      </w:r>
      <w:r w:rsidRPr="006953E7">
        <w:tab/>
      </w:r>
      <w:r w:rsidR="003466A4" w:rsidRPr="003466A4">
        <w:rPr>
          <w:noProof/>
        </w:rPr>
        <w:t>The Commission is recommended to regularly review and adapt all tools in support of research careers, based on the actual needs of researchers, in coordination with Member States and relevant stakeholders.</w:t>
      </w:r>
    </w:p>
    <w:p w14:paraId="73292AEE" w14:textId="337E2869" w:rsidR="003466A4" w:rsidRPr="003466A4" w:rsidRDefault="006953E7" w:rsidP="006953E7">
      <w:pPr>
        <w:pStyle w:val="ManualNumPar1"/>
        <w:rPr>
          <w:noProof/>
        </w:rPr>
      </w:pPr>
      <w:r w:rsidRPr="006953E7">
        <w:t>38.</w:t>
      </w:r>
      <w:r w:rsidRPr="006953E7">
        <w:tab/>
      </w:r>
      <w:r w:rsidR="003466A4" w:rsidRPr="003466A4">
        <w:rPr>
          <w:noProof/>
        </w:rPr>
        <w:t>The Commission and Member States are recommended to encourage and support alliances of higher education institutions, such as the European Universities alliances, the whole European higher education sector and all relevant stakeholders, to pilot relevant actions foreseen by this Recommendation on the basis of a voluntary and bottom-up approach.</w:t>
      </w:r>
    </w:p>
    <w:p w14:paraId="0D60DBF5" w14:textId="77777777" w:rsidR="003466A4" w:rsidRPr="003466A4" w:rsidRDefault="003466A4" w:rsidP="001668CB">
      <w:pPr>
        <w:rPr>
          <w:noProof/>
        </w:rPr>
      </w:pPr>
    </w:p>
    <w:p w14:paraId="57E30445" w14:textId="77777777" w:rsidR="003466A4" w:rsidRPr="001668CB" w:rsidRDefault="003466A4" w:rsidP="001668CB">
      <w:pPr>
        <w:rPr>
          <w:b/>
          <w:bCs/>
          <w:noProof/>
        </w:rPr>
      </w:pPr>
      <w:r w:rsidRPr="001668CB">
        <w:rPr>
          <w:b/>
          <w:bCs/>
          <w:noProof/>
        </w:rPr>
        <w:t>Monitoring of research careers</w:t>
      </w:r>
    </w:p>
    <w:p w14:paraId="3B27A2BC" w14:textId="76B25BF1" w:rsidR="003466A4" w:rsidRPr="003466A4" w:rsidRDefault="006953E7" w:rsidP="006953E7">
      <w:pPr>
        <w:pStyle w:val="ManualNumPar1"/>
        <w:rPr>
          <w:noProof/>
        </w:rPr>
      </w:pPr>
      <w:r w:rsidRPr="006953E7">
        <w:t>39.</w:t>
      </w:r>
      <w:r w:rsidRPr="006953E7">
        <w:tab/>
      </w:r>
      <w:r w:rsidR="003466A4" w:rsidRPr="003466A4">
        <w:rPr>
          <w:noProof/>
        </w:rPr>
        <w:t>In addition to the overarching European Research Area monitoring systems, the Commission and Member States are recommended to monitor research careers in the Union and the implementation of this Recommendation through a dedicated observatory on research careers, to the benefit of policy makers, organisations, public administrations and researchers at European and national level. The observatory should support data needs of Member States and research performing organisations relevant for the adaptation and development of policies for research careers. It should also support researchers to have a better understanding of challenges and opportunities, and promote the attractiveness of Union’s research performing organisations for the best talents.</w:t>
      </w:r>
    </w:p>
    <w:p w14:paraId="7A9ACDB3" w14:textId="32CCD273" w:rsidR="003466A4" w:rsidRPr="003466A4" w:rsidRDefault="006953E7" w:rsidP="006953E7">
      <w:pPr>
        <w:pStyle w:val="ManualNumPar1"/>
        <w:rPr>
          <w:noProof/>
        </w:rPr>
      </w:pPr>
      <w:r w:rsidRPr="006953E7">
        <w:t>40.</w:t>
      </w:r>
      <w:r w:rsidRPr="006953E7">
        <w:tab/>
      </w:r>
      <w:r w:rsidR="003466A4" w:rsidRPr="003466A4">
        <w:rPr>
          <w:noProof/>
        </w:rPr>
        <w:t>Member States are recommended to cooperate for the purpose of collecting data relevant for the implementation of the observatory in an efficient and sustainable way.</w:t>
      </w:r>
    </w:p>
    <w:p w14:paraId="1FD25034" w14:textId="4748114F" w:rsidR="003466A4" w:rsidRPr="003466A4" w:rsidRDefault="006953E7" w:rsidP="006953E7">
      <w:pPr>
        <w:pStyle w:val="ManualNumPar1"/>
        <w:rPr>
          <w:noProof/>
        </w:rPr>
      </w:pPr>
      <w:r w:rsidRPr="006953E7">
        <w:t>41.</w:t>
      </w:r>
      <w:r w:rsidRPr="006953E7">
        <w:tab/>
      </w:r>
      <w:r w:rsidR="003466A4" w:rsidRPr="003466A4">
        <w:rPr>
          <w:noProof/>
        </w:rPr>
        <w:t>The Commission is recommended to consider relevant links with the European Higher Education Sector Observatory proposed in the European Strategy for Universities and thereby enhance synergies between the European Research Area and the European Education Area.</w:t>
      </w:r>
    </w:p>
    <w:p w14:paraId="625B9E40" w14:textId="7A4F1791" w:rsidR="003466A4" w:rsidRPr="003466A4" w:rsidRDefault="006953E7" w:rsidP="006953E7">
      <w:pPr>
        <w:pStyle w:val="ManualNumPar1"/>
        <w:rPr>
          <w:noProof/>
        </w:rPr>
      </w:pPr>
      <w:r w:rsidRPr="006953E7">
        <w:t>42.</w:t>
      </w:r>
      <w:r w:rsidRPr="006953E7">
        <w:tab/>
      </w:r>
      <w:r w:rsidR="003466A4" w:rsidRPr="003466A4">
        <w:rPr>
          <w:noProof/>
        </w:rPr>
        <w:t>Member States and the Commission are recommended to consider the adaptation to the data needs of the observatory referred to in point 3</w:t>
      </w:r>
      <w:r w:rsidR="00486403">
        <w:rPr>
          <w:noProof/>
        </w:rPr>
        <w:t>9</w:t>
      </w:r>
      <w:r w:rsidR="003466A4" w:rsidRPr="003466A4">
        <w:rPr>
          <w:noProof/>
        </w:rPr>
        <w:t xml:space="preserve"> of this Recommendation, of the data collected in the context of Regulation (EU) 2019/1700.</w:t>
      </w:r>
    </w:p>
    <w:p w14:paraId="6FD2E267" w14:textId="77777777" w:rsidR="005B04AF" w:rsidRDefault="005B04AF" w:rsidP="001668CB">
      <w:pPr>
        <w:rPr>
          <w:noProof/>
        </w:rPr>
      </w:pPr>
    </w:p>
    <w:p w14:paraId="08446B81" w14:textId="1A3F720E" w:rsidR="001403C0" w:rsidRDefault="00D558CF" w:rsidP="00A26A3C">
      <w:pPr>
        <w:pStyle w:val="Fait"/>
        <w:rPr>
          <w:noProof/>
        </w:rPr>
      </w:pPr>
      <w:r w:rsidRPr="00D558CF">
        <w:t>Done at Brussels,</w:t>
      </w:r>
    </w:p>
    <w:p w14:paraId="43DCDE7F" w14:textId="77777777" w:rsidR="001403C0" w:rsidRDefault="001403C0" w:rsidP="00A26A3C">
      <w:pPr>
        <w:pStyle w:val="Institutionquisigne"/>
        <w:rPr>
          <w:noProof/>
        </w:rPr>
      </w:pPr>
      <w:r w:rsidRPr="001403C0">
        <w:rPr>
          <w:noProof/>
        </w:rPr>
        <w:tab/>
        <w:t>For the Council</w:t>
      </w:r>
    </w:p>
    <w:p w14:paraId="0B50958B" w14:textId="77777777" w:rsidR="001403C0" w:rsidRPr="001403C0" w:rsidRDefault="001403C0" w:rsidP="001403C0">
      <w:pPr>
        <w:pStyle w:val="Personnequisigne"/>
        <w:rPr>
          <w:noProof/>
        </w:rPr>
      </w:pPr>
      <w:r w:rsidRPr="001403C0">
        <w:rPr>
          <w:noProof/>
        </w:rPr>
        <w:tab/>
        <w:t>The President</w:t>
      </w:r>
    </w:p>
    <w:sectPr w:rsidR="001403C0" w:rsidRPr="001403C0" w:rsidSect="007D548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F93E0C" w14:textId="77777777" w:rsidR="00D07F4E" w:rsidRDefault="00D07F4E" w:rsidP="001403C0">
      <w:pPr>
        <w:spacing w:before="0" w:after="0"/>
      </w:pPr>
      <w:r>
        <w:separator/>
      </w:r>
    </w:p>
  </w:endnote>
  <w:endnote w:type="continuationSeparator" w:id="0">
    <w:p w14:paraId="537189FF" w14:textId="77777777" w:rsidR="00D07F4E" w:rsidRDefault="00D07F4E" w:rsidP="001403C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91F18" w14:textId="6BF721DA" w:rsidR="002B1EE8" w:rsidRPr="007D5483" w:rsidRDefault="007D5483" w:rsidP="007D5483">
    <w:pPr>
      <w:pStyle w:val="Footer"/>
      <w:rPr>
        <w:rFonts w:ascii="Arial" w:hAnsi="Arial" w:cs="Arial"/>
        <w:b/>
        <w:sz w:val="48"/>
      </w:rPr>
    </w:pPr>
    <w:r w:rsidRPr="007D5483">
      <w:rPr>
        <w:rFonts w:ascii="Arial" w:hAnsi="Arial" w:cs="Arial"/>
        <w:b/>
        <w:sz w:val="48"/>
      </w:rPr>
      <w:t>EN</w:t>
    </w:r>
    <w:r w:rsidRPr="007D5483">
      <w:rPr>
        <w:rFonts w:ascii="Arial" w:hAnsi="Arial" w:cs="Arial"/>
        <w:b/>
        <w:sz w:val="48"/>
      </w:rPr>
      <w:tab/>
    </w:r>
    <w:r w:rsidRPr="007D5483">
      <w:rPr>
        <w:rFonts w:ascii="Arial" w:hAnsi="Arial" w:cs="Arial"/>
        <w:b/>
        <w:sz w:val="48"/>
      </w:rPr>
      <w:tab/>
    </w:r>
    <w:r w:rsidRPr="007D5483">
      <w:tab/>
    </w:r>
    <w:r w:rsidRPr="007D548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9E89F" w14:textId="43939A90" w:rsidR="007D5483" w:rsidRPr="007D5483" w:rsidRDefault="007D5483" w:rsidP="007D5483">
    <w:pPr>
      <w:pStyle w:val="Footer"/>
      <w:rPr>
        <w:rFonts w:ascii="Arial" w:hAnsi="Arial" w:cs="Arial"/>
        <w:b/>
        <w:sz w:val="48"/>
      </w:rPr>
    </w:pPr>
    <w:r w:rsidRPr="007D5483">
      <w:rPr>
        <w:rFonts w:ascii="Arial" w:hAnsi="Arial" w:cs="Arial"/>
        <w:b/>
        <w:sz w:val="48"/>
      </w:rPr>
      <w:t>EN</w:t>
    </w:r>
    <w:r w:rsidRPr="007D5483">
      <w:rPr>
        <w:rFonts w:ascii="Arial" w:hAnsi="Arial" w:cs="Arial"/>
        <w:b/>
        <w:sz w:val="48"/>
      </w:rPr>
      <w:tab/>
    </w:r>
    <w:r>
      <w:fldChar w:fldCharType="begin"/>
    </w:r>
    <w:r>
      <w:instrText xml:space="preserve"> PAGE  \* MERGEFORMAT </w:instrText>
    </w:r>
    <w:r>
      <w:fldChar w:fldCharType="separate"/>
    </w:r>
    <w:r w:rsidR="00A26A3C">
      <w:rPr>
        <w:noProof/>
      </w:rPr>
      <w:t>31</w:t>
    </w:r>
    <w:r>
      <w:fldChar w:fldCharType="end"/>
    </w:r>
    <w:r>
      <w:tab/>
    </w:r>
    <w:r w:rsidRPr="007D5483">
      <w:tab/>
    </w:r>
    <w:r w:rsidRPr="007D548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687C6" w14:textId="77777777" w:rsidR="007D5483" w:rsidRPr="007D5483" w:rsidRDefault="007D5483" w:rsidP="007D54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D87AB2" w14:textId="77777777" w:rsidR="00D07F4E" w:rsidRDefault="00D07F4E" w:rsidP="001403C0">
      <w:pPr>
        <w:spacing w:before="0" w:after="0"/>
      </w:pPr>
      <w:r>
        <w:separator/>
      </w:r>
    </w:p>
  </w:footnote>
  <w:footnote w:type="continuationSeparator" w:id="0">
    <w:p w14:paraId="07DD4768" w14:textId="77777777" w:rsidR="00D07F4E" w:rsidRDefault="00D07F4E" w:rsidP="001403C0">
      <w:pPr>
        <w:spacing w:before="0" w:after="0"/>
      </w:pPr>
      <w:r>
        <w:continuationSeparator/>
      </w:r>
    </w:p>
  </w:footnote>
  <w:footnote w:id="1">
    <w:p w14:paraId="3BC99EC5" w14:textId="77777777" w:rsidR="001403C0" w:rsidRPr="006D5630" w:rsidRDefault="001403C0" w:rsidP="001403C0">
      <w:pPr>
        <w:pStyle w:val="FootnoteText"/>
        <w:ind w:left="142" w:hanging="142"/>
      </w:pPr>
      <w:r w:rsidRPr="00E8678E">
        <w:rPr>
          <w:rStyle w:val="FootnoteReference"/>
        </w:rPr>
        <w:footnoteRef/>
      </w:r>
      <w:r w:rsidR="00E8678E">
        <w:tab/>
      </w:r>
      <w:r w:rsidRPr="006D5630">
        <w:rPr>
          <w:rFonts w:cstheme="minorHAnsi"/>
          <w:lang w:val="en-IE"/>
        </w:rPr>
        <w:t xml:space="preserve">COMMUNICATION FROM THE COMMISSION TO THE COUNCIL, THE EUROPEAN PARLIAMENT, THE ECONOMIC AND SOCIAL COMMITTEE AND THE COMMITTEE OF THE REGIONS Towards a European research area, </w:t>
      </w:r>
      <w:r w:rsidRPr="006D5630">
        <w:rPr>
          <w:rFonts w:cstheme="minorHAnsi"/>
        </w:rPr>
        <w:t>Brussels, COM(2000) 6 final.</w:t>
      </w:r>
    </w:p>
  </w:footnote>
  <w:footnote w:id="2">
    <w:p w14:paraId="40DCAF74" w14:textId="77777777" w:rsidR="001403C0" w:rsidRDefault="001403C0" w:rsidP="001403C0">
      <w:pPr>
        <w:pStyle w:val="FootnoteText"/>
        <w:ind w:left="142" w:hanging="142"/>
      </w:pPr>
      <w:r w:rsidRPr="00E8678E">
        <w:rPr>
          <w:rStyle w:val="FootnoteReference"/>
        </w:rPr>
        <w:footnoteRef/>
      </w:r>
      <w:r w:rsidR="00E8678E">
        <w:tab/>
      </w:r>
      <w:r w:rsidRPr="007236AB">
        <w:t>COMMUNICATION FROM THE COMMISSION TO THE EUROPEAN PARLIAMENT, THE COUNCIL, THE EUROPEAN ECONOMIC AND SOCIAL COMMITTEE AND THE COMMITTEE OF THE REGIONS A new ERA for Research and Innovation, COM(2020) 628 final.</w:t>
      </w:r>
    </w:p>
  </w:footnote>
  <w:footnote w:id="3">
    <w:p w14:paraId="6D43BE58" w14:textId="77777777" w:rsidR="001403C0" w:rsidRDefault="001403C0" w:rsidP="001403C0">
      <w:pPr>
        <w:pStyle w:val="FootnoteText"/>
      </w:pPr>
      <w:r w:rsidRPr="00E8678E">
        <w:rPr>
          <w:rStyle w:val="FootnoteReference"/>
        </w:rPr>
        <w:footnoteRef/>
      </w:r>
      <w:r w:rsidR="00E8678E">
        <w:tab/>
      </w:r>
      <w:r w:rsidRPr="007236AB">
        <w:t>Council document 9138/21.</w:t>
      </w:r>
    </w:p>
  </w:footnote>
  <w:footnote w:id="4">
    <w:p w14:paraId="5AEA2191" w14:textId="77777777" w:rsidR="001403C0" w:rsidRPr="007236AB" w:rsidRDefault="001403C0" w:rsidP="001403C0">
      <w:pPr>
        <w:pStyle w:val="FootnoteText"/>
        <w:ind w:left="142" w:hanging="142"/>
      </w:pPr>
      <w:r w:rsidRPr="00E8678E">
        <w:rPr>
          <w:rStyle w:val="FootnoteReference"/>
        </w:rPr>
        <w:footnoteRef/>
      </w:r>
      <w:r w:rsidR="00E8678E">
        <w:tab/>
      </w:r>
      <w:r w:rsidRPr="007236AB">
        <w:t>Council Recommendation (EU) 2021/2122</w:t>
      </w:r>
      <w:r w:rsidRPr="00C82280">
        <w:t xml:space="preserve"> </w:t>
      </w:r>
      <w:r w:rsidRPr="007236AB">
        <w:t xml:space="preserve">of 26 November 2021 on a Pact for Research and Innovation in Europe </w:t>
      </w:r>
      <w:r>
        <w:t>(</w:t>
      </w:r>
      <w:r w:rsidRPr="007236AB">
        <w:t>OJ L 431, 2.12.2021, p. 1</w:t>
      </w:r>
      <w:r>
        <w:t>)</w:t>
      </w:r>
      <w:r w:rsidRPr="007236AB">
        <w:t>.</w:t>
      </w:r>
    </w:p>
  </w:footnote>
  <w:footnote w:id="5">
    <w:p w14:paraId="63168B38" w14:textId="77777777" w:rsidR="001403C0" w:rsidRPr="007236AB" w:rsidRDefault="001403C0" w:rsidP="001403C0">
      <w:pPr>
        <w:pStyle w:val="FootnoteText"/>
      </w:pPr>
      <w:r w:rsidRPr="00E8678E">
        <w:rPr>
          <w:rStyle w:val="FootnoteReference"/>
        </w:rPr>
        <w:footnoteRef/>
      </w:r>
      <w:r w:rsidR="00E8678E">
        <w:tab/>
      </w:r>
      <w:r w:rsidRPr="007236AB">
        <w:t>Council document 14308/21.</w:t>
      </w:r>
    </w:p>
  </w:footnote>
  <w:footnote w:id="6">
    <w:p w14:paraId="72E7D17C" w14:textId="77777777" w:rsidR="001403C0" w:rsidRPr="007236AB" w:rsidRDefault="001403C0" w:rsidP="001403C0">
      <w:pPr>
        <w:pStyle w:val="FootnoteText"/>
      </w:pPr>
      <w:r w:rsidRPr="00E8678E">
        <w:rPr>
          <w:rStyle w:val="FootnoteReference"/>
        </w:rPr>
        <w:footnoteRef/>
      </w:r>
      <w:r w:rsidR="00E8678E">
        <w:tab/>
      </w:r>
      <w:r w:rsidRPr="007236AB">
        <w:t>https://euraxess.ec.europa.eu/jobs/hrs4r</w:t>
      </w:r>
    </w:p>
  </w:footnote>
  <w:footnote w:id="7">
    <w:p w14:paraId="425C82B3" w14:textId="77777777" w:rsidR="001403C0" w:rsidRPr="007236AB" w:rsidRDefault="001403C0" w:rsidP="001403C0">
      <w:pPr>
        <w:pStyle w:val="FootnoteText"/>
      </w:pPr>
      <w:r w:rsidRPr="00E8678E">
        <w:rPr>
          <w:rStyle w:val="FootnoteReference"/>
        </w:rPr>
        <w:footnoteRef/>
      </w:r>
      <w:r w:rsidR="00E8678E">
        <w:tab/>
      </w:r>
      <w:r w:rsidRPr="007236AB">
        <w:t>https://euraxess.ec.europa.eu/jobs/charter</w:t>
      </w:r>
    </w:p>
  </w:footnote>
  <w:footnote w:id="8">
    <w:p w14:paraId="720EE238" w14:textId="77777777" w:rsidR="001403C0" w:rsidRPr="00096502" w:rsidRDefault="001403C0" w:rsidP="001403C0">
      <w:pPr>
        <w:pStyle w:val="FootnoteText"/>
      </w:pPr>
      <w:r w:rsidRPr="00E8678E">
        <w:rPr>
          <w:rStyle w:val="FootnoteReference"/>
        </w:rPr>
        <w:footnoteRef/>
      </w:r>
      <w:r w:rsidR="00E8678E">
        <w:tab/>
      </w:r>
      <w:r w:rsidRPr="00096502">
        <w:t>https://marie-sklodowska-curie-actions.ec.europa.eu/</w:t>
      </w:r>
    </w:p>
  </w:footnote>
  <w:footnote w:id="9">
    <w:p w14:paraId="40096C57" w14:textId="77777777" w:rsidR="001403C0" w:rsidRPr="007236AB" w:rsidRDefault="001403C0" w:rsidP="001403C0">
      <w:pPr>
        <w:pStyle w:val="FootnoteText"/>
      </w:pPr>
      <w:r w:rsidRPr="00E8678E">
        <w:rPr>
          <w:rStyle w:val="FootnoteReference"/>
        </w:rPr>
        <w:footnoteRef/>
      </w:r>
      <w:r w:rsidR="00E8678E">
        <w:tab/>
      </w:r>
      <w:r w:rsidRPr="007236AB">
        <w:t>https://euraxess.ec.europa.eu/</w:t>
      </w:r>
    </w:p>
  </w:footnote>
  <w:footnote w:id="10">
    <w:p w14:paraId="448E11F5" w14:textId="77777777" w:rsidR="001403C0" w:rsidRPr="006D5630" w:rsidRDefault="001403C0" w:rsidP="001403C0">
      <w:pPr>
        <w:pStyle w:val="FootnoteText"/>
      </w:pPr>
      <w:r w:rsidRPr="00E8678E">
        <w:rPr>
          <w:rStyle w:val="FootnoteReference"/>
        </w:rPr>
        <w:footnoteRef/>
      </w:r>
      <w:r w:rsidR="00E8678E">
        <w:tab/>
      </w:r>
      <w:r w:rsidRPr="006D5630">
        <w:t>https://www.resaver.eu/</w:t>
      </w:r>
    </w:p>
  </w:footnote>
  <w:footnote w:id="11">
    <w:p w14:paraId="1953C15E" w14:textId="77777777" w:rsidR="001403C0" w:rsidRDefault="001403C0" w:rsidP="001403C0">
      <w:pPr>
        <w:pStyle w:val="FootnoteText"/>
        <w:ind w:left="142" w:hanging="142"/>
      </w:pPr>
      <w:r w:rsidRPr="00E8678E">
        <w:rPr>
          <w:rStyle w:val="FootnoteReference"/>
        </w:rPr>
        <w:footnoteRef/>
      </w:r>
      <w:r w:rsidR="00E8678E">
        <w:tab/>
      </w:r>
      <w:r w:rsidRPr="006D5630">
        <w:rPr>
          <w:rFonts w:cstheme="minorHAnsi"/>
        </w:rPr>
        <w:t xml:space="preserve">UNESCO (2021) </w:t>
      </w:r>
      <w:r w:rsidRPr="006D5630">
        <w:rPr>
          <w:rFonts w:cstheme="minorHAnsi"/>
          <w:i/>
        </w:rPr>
        <w:t xml:space="preserve">UNESCO Science Report - </w:t>
      </w:r>
      <w:r w:rsidRPr="006D5630">
        <w:rPr>
          <w:rFonts w:cstheme="minorHAnsi"/>
          <w:i/>
          <w:lang w:val="en-IE"/>
        </w:rPr>
        <w:t xml:space="preserve">The race against time for smarter development, ISBN: 978-92-3-100450-6. </w:t>
      </w:r>
      <w:r w:rsidRPr="006D5630">
        <w:rPr>
          <w:rFonts w:cstheme="minorHAnsi"/>
        </w:rPr>
        <w:t>Available at https://unesdoc.unesco.org/ark:/48223/pf0000377433 (Accessed 31 March 2023).</w:t>
      </w:r>
    </w:p>
  </w:footnote>
  <w:footnote w:id="12">
    <w:p w14:paraId="3D2DF310" w14:textId="77777777" w:rsidR="001403C0" w:rsidRPr="003F26B0" w:rsidRDefault="001403C0" w:rsidP="001403C0">
      <w:pPr>
        <w:pStyle w:val="FootnoteText"/>
        <w:ind w:left="142" w:hanging="142"/>
        <w:rPr>
          <w:lang w:val="en-US"/>
        </w:rPr>
      </w:pPr>
      <w:r w:rsidRPr="00E8678E">
        <w:rPr>
          <w:rStyle w:val="FootnoteReference"/>
        </w:rPr>
        <w:footnoteRef/>
      </w:r>
      <w:r w:rsidR="00E8678E">
        <w:rPr>
          <w:lang w:val="en-US"/>
        </w:rPr>
        <w:tab/>
      </w:r>
      <w:r>
        <w:rPr>
          <w:lang w:val="en-US"/>
        </w:rPr>
        <w:t>According to Eurostat, in 2021</w:t>
      </w:r>
      <w:r w:rsidRPr="003F26B0">
        <w:rPr>
          <w:lang w:val="en-US"/>
        </w:rPr>
        <w:t xml:space="preserve"> in the </w:t>
      </w:r>
      <w:r>
        <w:rPr>
          <w:lang w:val="en-US"/>
        </w:rPr>
        <w:t xml:space="preserve">EU </w:t>
      </w:r>
      <w:r w:rsidRPr="003F26B0">
        <w:rPr>
          <w:lang w:val="en-US"/>
        </w:rPr>
        <w:t>most researchers worked in the business enterprise sector (56%) and the higher education sector (32%), followed by the government sector (11%).</w:t>
      </w:r>
      <w:r>
        <w:rPr>
          <w:lang w:val="en-US"/>
        </w:rPr>
        <w:t xml:space="preserve"> See </w:t>
      </w:r>
      <w:r w:rsidRPr="003F26B0">
        <w:rPr>
          <w:lang w:val="en-US"/>
        </w:rPr>
        <w:t>https://ec.europa.eu/eurostat/web/products-eurostat-news/w/ddn-20221206-1</w:t>
      </w:r>
      <w:r>
        <w:rPr>
          <w:lang w:val="en-US"/>
        </w:rPr>
        <w:t>.</w:t>
      </w:r>
    </w:p>
  </w:footnote>
  <w:footnote w:id="13">
    <w:p w14:paraId="26D28455" w14:textId="77777777" w:rsidR="001403C0" w:rsidRPr="006D5630" w:rsidRDefault="001403C0" w:rsidP="001403C0">
      <w:pPr>
        <w:pStyle w:val="FootnoteText"/>
        <w:ind w:left="142" w:hanging="142"/>
      </w:pPr>
      <w:r w:rsidRPr="00E8678E">
        <w:rPr>
          <w:rStyle w:val="FootnoteReference"/>
        </w:rPr>
        <w:footnoteRef/>
      </w:r>
      <w:r w:rsidR="00E8678E">
        <w:tab/>
      </w:r>
      <w:r w:rsidRPr="006D5630">
        <w:t>Widening countries are the ones with low participation in previous framework programmes for research and innovation.</w:t>
      </w:r>
    </w:p>
  </w:footnote>
  <w:footnote w:id="14">
    <w:p w14:paraId="752B6A59" w14:textId="77777777" w:rsidR="001403C0" w:rsidRDefault="001403C0" w:rsidP="001403C0">
      <w:pPr>
        <w:pStyle w:val="FootnoteText"/>
      </w:pPr>
      <w:r w:rsidRPr="00E8678E">
        <w:rPr>
          <w:rStyle w:val="FootnoteReference"/>
        </w:rPr>
        <w:footnoteRef/>
      </w:r>
      <w:r w:rsidR="00E8678E">
        <w:tab/>
      </w:r>
      <w:r>
        <w:t>See previous section.</w:t>
      </w:r>
    </w:p>
  </w:footnote>
  <w:footnote w:id="15">
    <w:p w14:paraId="1D9BBE63" w14:textId="77777777" w:rsidR="001403C0" w:rsidRDefault="001403C0" w:rsidP="001403C0">
      <w:pPr>
        <w:pStyle w:val="FootnoteText"/>
      </w:pPr>
      <w:r w:rsidRPr="00E8678E">
        <w:rPr>
          <w:rStyle w:val="FootnoteReference"/>
        </w:rPr>
        <w:footnoteRef/>
      </w:r>
      <w:r w:rsidR="00E8678E">
        <w:tab/>
      </w:r>
      <w:r>
        <w:t xml:space="preserve">Using the definition of the widely accepted Frascati Manual, </w:t>
      </w:r>
      <w:r w:rsidRPr="00891C59">
        <w:t>https://www.oecd.org/sti/inno/frascati-manual.htm</w:t>
      </w:r>
      <w:r>
        <w:t>.</w:t>
      </w:r>
    </w:p>
  </w:footnote>
  <w:footnote w:id="16">
    <w:p w14:paraId="7AE39EB9" w14:textId="77777777" w:rsidR="001403C0" w:rsidRDefault="001403C0" w:rsidP="001403C0">
      <w:pPr>
        <w:pStyle w:val="FootnoteText"/>
        <w:ind w:left="142" w:hanging="142"/>
      </w:pPr>
      <w:r w:rsidRPr="00E8678E">
        <w:rPr>
          <w:rStyle w:val="FootnoteReference"/>
        </w:rPr>
        <w:footnoteRef/>
      </w:r>
      <w:r w:rsidR="00E8678E">
        <w:tab/>
      </w:r>
      <w:r w:rsidRPr="00F97421">
        <w:rPr>
          <w:lang w:val="en-US"/>
        </w:rPr>
        <w:t xml:space="preserve">Commission Recommendation of 11 March 2005 on the European Charter for Researchers and on a Code of Conduct for the Recruitment of Researchers 2005/251/EC </w:t>
      </w:r>
      <w:r>
        <w:rPr>
          <w:lang w:val="en-US"/>
        </w:rPr>
        <w:t>(</w:t>
      </w:r>
      <w:r w:rsidRPr="00F97421">
        <w:rPr>
          <w:lang w:val="en-US"/>
        </w:rPr>
        <w:t>OJ L 75, 22.3.2005, p. 67</w:t>
      </w:r>
      <w:r>
        <w:rPr>
          <w:lang w:val="en-US"/>
        </w:rPr>
        <w:t>)</w:t>
      </w:r>
      <w:r w:rsidRPr="00F97421">
        <w:rPr>
          <w:lang w:val="en-US"/>
        </w:rPr>
        <w:t>.</w:t>
      </w:r>
    </w:p>
  </w:footnote>
  <w:footnote w:id="17">
    <w:p w14:paraId="094D1958" w14:textId="77777777" w:rsidR="001403C0" w:rsidRDefault="001403C0" w:rsidP="001403C0">
      <w:pPr>
        <w:pStyle w:val="FootnoteText"/>
      </w:pPr>
      <w:r w:rsidRPr="00E8678E">
        <w:rPr>
          <w:rStyle w:val="FootnoteReference"/>
        </w:rPr>
        <w:footnoteRef/>
      </w:r>
      <w:r w:rsidR="00E8678E">
        <w:tab/>
      </w:r>
      <w:r>
        <w:t>A set of 20 principles instead of the 40 principles of the current Charter and Code for Researchers.</w:t>
      </w:r>
    </w:p>
  </w:footnote>
  <w:footnote w:id="18">
    <w:p w14:paraId="6DD1FB70" w14:textId="77777777" w:rsidR="001403C0" w:rsidRDefault="001403C0" w:rsidP="001403C0">
      <w:pPr>
        <w:pStyle w:val="FootnoteText"/>
        <w:ind w:left="142" w:hanging="142"/>
      </w:pPr>
      <w:r w:rsidRPr="00E8678E">
        <w:rPr>
          <w:rStyle w:val="FootnoteReference"/>
        </w:rPr>
        <w:footnoteRef/>
      </w:r>
      <w:r w:rsidR="00E8678E">
        <w:tab/>
      </w:r>
      <w:r>
        <w:t xml:space="preserve">See </w:t>
      </w:r>
      <w:r w:rsidRPr="00DA017D">
        <w:t>https://op.europa.eu/en/publication-detail/-/publication/8d536780-3025-11ed-975d-01aa75ed71a1/language-en</w:t>
      </w:r>
      <w:r>
        <w:t>.</w:t>
      </w:r>
    </w:p>
  </w:footnote>
  <w:footnote w:id="19">
    <w:p w14:paraId="2BA7F9EA" w14:textId="77777777" w:rsidR="001403C0" w:rsidRPr="006C54ED" w:rsidRDefault="001403C0" w:rsidP="001403C0">
      <w:pPr>
        <w:pStyle w:val="FootnoteText"/>
        <w:ind w:left="142" w:hanging="142"/>
        <w:rPr>
          <w:lang w:val="en-IE"/>
        </w:rPr>
      </w:pPr>
      <w:r w:rsidRPr="00E8678E">
        <w:rPr>
          <w:rStyle w:val="FootnoteReference"/>
        </w:rPr>
        <w:footnoteRef/>
      </w:r>
      <w:r w:rsidR="00E8678E">
        <w:tab/>
      </w:r>
      <w:r w:rsidRPr="00F421D6">
        <w:t>Council Recommendation 2022/C 243/02</w:t>
      </w:r>
      <w:r>
        <w:t xml:space="preserve"> </w:t>
      </w:r>
      <w:r w:rsidRPr="00F421D6">
        <w:t>of 16 June 2022 on a European approach to micro-credentials for lifelong learning and employability</w:t>
      </w:r>
      <w:r>
        <w:t xml:space="preserve"> (</w:t>
      </w:r>
      <w:r w:rsidRPr="00F421D6">
        <w:t>OJ C 243, 27.6.2022, p. 10</w:t>
      </w:r>
      <w:r>
        <w:t>).</w:t>
      </w:r>
    </w:p>
  </w:footnote>
  <w:footnote w:id="20">
    <w:p w14:paraId="662B5428" w14:textId="77777777" w:rsidR="001403C0" w:rsidRDefault="001403C0" w:rsidP="001403C0">
      <w:pPr>
        <w:pStyle w:val="FootnoteText"/>
      </w:pPr>
      <w:r w:rsidRPr="00E8678E">
        <w:rPr>
          <w:rStyle w:val="FootnoteReference"/>
        </w:rPr>
        <w:footnoteRef/>
      </w:r>
      <w:r w:rsidR="00E8678E">
        <w:tab/>
      </w:r>
      <w:r>
        <w:t>Geographical, inter-institutional, interdisciplinary, virtual mobility.</w:t>
      </w:r>
    </w:p>
  </w:footnote>
  <w:footnote w:id="21">
    <w:p w14:paraId="27486DAE" w14:textId="77777777" w:rsidR="001403C0" w:rsidRPr="006C2247" w:rsidRDefault="001403C0" w:rsidP="001403C0">
      <w:pPr>
        <w:pStyle w:val="FootnoteText"/>
        <w:ind w:left="142" w:hanging="142"/>
        <w:rPr>
          <w:lang w:val="pl-PL"/>
        </w:rPr>
      </w:pPr>
      <w:r w:rsidRPr="00E8678E">
        <w:rPr>
          <w:rStyle w:val="FootnoteReference"/>
        </w:rPr>
        <w:footnoteRef/>
      </w:r>
      <w:r w:rsidR="00E8678E">
        <w:rPr>
          <w:lang w:val="pl-PL"/>
        </w:rPr>
        <w:tab/>
      </w:r>
      <w:r w:rsidRPr="006C2247">
        <w:rPr>
          <w:lang w:val="pl-PL"/>
        </w:rPr>
        <w:t>https://cdn5.euraxess.org/sites/default/files/policy_library/towards_a_european_framework_for_research_careers_final.pdf</w:t>
      </w:r>
    </w:p>
  </w:footnote>
  <w:footnote w:id="22">
    <w:p w14:paraId="20A47C50" w14:textId="77777777" w:rsidR="001403C0" w:rsidRDefault="001403C0" w:rsidP="001403C0">
      <w:pPr>
        <w:pStyle w:val="FootnoteText"/>
        <w:ind w:left="142" w:hanging="142"/>
      </w:pPr>
      <w:r w:rsidRPr="00E8678E">
        <w:rPr>
          <w:rStyle w:val="FootnoteReference"/>
        </w:rPr>
        <w:footnoteRef/>
      </w:r>
      <w:r w:rsidR="00E8678E">
        <w:tab/>
      </w:r>
      <w:r>
        <w:rPr>
          <w:rFonts w:eastAsia="Arial Unicode MS"/>
        </w:rPr>
        <w:t>A</w:t>
      </w:r>
      <w:r w:rsidRPr="004C3548">
        <w:rPr>
          <w:rFonts w:eastAsia="Arial Unicode MS"/>
        </w:rPr>
        <w:t>n analysis of the 79.285 vacancies published in the 2020 Euraxess database reveals that half of the vacancies were not linked to one particular career stage. Moreover, the analysis also revealed that each employer has its own terminology to define a job, which stresses the need to develop a common language</w:t>
      </w:r>
      <w:r>
        <w:rPr>
          <w:rFonts w:eastAsia="Arial Unicode MS"/>
        </w:rPr>
        <w:t>.</w:t>
      </w:r>
    </w:p>
  </w:footnote>
  <w:footnote w:id="23">
    <w:p w14:paraId="6141C335" w14:textId="77777777" w:rsidR="001403C0" w:rsidRPr="007236AB" w:rsidRDefault="001403C0" w:rsidP="001403C0">
      <w:pPr>
        <w:pStyle w:val="FootnoteText"/>
        <w:ind w:left="142" w:hanging="142"/>
      </w:pPr>
      <w:r w:rsidRPr="00E8678E">
        <w:rPr>
          <w:rStyle w:val="FootnoteReference"/>
        </w:rPr>
        <w:footnoteRef/>
      </w:r>
      <w:r w:rsidR="00E8678E">
        <w:tab/>
      </w:r>
      <w:r w:rsidRPr="007236AB">
        <w:t>COMMUNICATION FROM THE COMMISSION TO THE EUROPEAN PARLIAMENT, THE COUNCIL, THE EUROPEAN ECONOMIC AND SOCIAL COMMITTEE AND THE COMMITTEE OF THE REGIONS European Skills Agenda for sustainable competitiveness, social fairness and resilience, COM(2020) 274 final.</w:t>
      </w:r>
    </w:p>
  </w:footnote>
  <w:footnote w:id="24">
    <w:p w14:paraId="32EAA04C" w14:textId="77777777" w:rsidR="001403C0" w:rsidRDefault="001403C0" w:rsidP="001403C0">
      <w:pPr>
        <w:pStyle w:val="FootnoteText"/>
        <w:ind w:left="142" w:hanging="142"/>
      </w:pPr>
      <w:r w:rsidRPr="00E8678E">
        <w:rPr>
          <w:rStyle w:val="FootnoteReference"/>
        </w:rPr>
        <w:footnoteRef/>
      </w:r>
      <w:r w:rsidR="00E8678E">
        <w:tab/>
      </w:r>
      <w:r w:rsidRPr="007236AB">
        <w:t>COMMUNICATION FROM THE COMMISSION TO THE EUROPEAN PARLIAMENT, THE COUNCIL, THE EUROPEAN ECONOMIC AND SOCIAL COMMITTEE AND THE COMMITTEE OF THE REGIONS on a European strategy for universities, COM(2022) 16 final.</w:t>
      </w:r>
    </w:p>
  </w:footnote>
  <w:footnote w:id="25">
    <w:p w14:paraId="6E14477E" w14:textId="77777777" w:rsidR="001403C0" w:rsidRDefault="001403C0" w:rsidP="001403C0">
      <w:pPr>
        <w:pStyle w:val="FootnoteText"/>
        <w:ind w:left="142" w:hanging="142"/>
      </w:pPr>
      <w:r w:rsidRPr="00E8678E">
        <w:rPr>
          <w:rStyle w:val="FootnoteReference"/>
        </w:rPr>
        <w:footnoteRef/>
      </w:r>
      <w:r w:rsidR="00E8678E">
        <w:tab/>
      </w:r>
      <w:r w:rsidRPr="002F3D90">
        <w:t>COMMUNICATION FROM THE COMMISSION TO THE EUROPEAN PARLIAMENT, THE COUNCIL, THE EUROPEAN ECONOMIC AND SOCIAL COMMITTEE AND THE COMMITTEE OF THE REGIONS A New European Innovation Agenda</w:t>
      </w:r>
      <w:r>
        <w:t xml:space="preserve">, </w:t>
      </w:r>
      <w:r w:rsidRPr="002F3D90">
        <w:t>COM/2022/332 final</w:t>
      </w:r>
      <w:r>
        <w:t>.</w:t>
      </w:r>
    </w:p>
  </w:footnote>
  <w:footnote w:id="26">
    <w:p w14:paraId="1B079C58" w14:textId="77777777" w:rsidR="001403C0" w:rsidRPr="009B2781" w:rsidRDefault="001403C0" w:rsidP="001403C0">
      <w:pPr>
        <w:pStyle w:val="FootnoteText"/>
        <w:ind w:left="142" w:hanging="142"/>
      </w:pPr>
      <w:r w:rsidRPr="00E8678E">
        <w:rPr>
          <w:rStyle w:val="FootnoteReference"/>
        </w:rPr>
        <w:footnoteRef/>
      </w:r>
      <w:r w:rsidR="00E8678E">
        <w:tab/>
      </w:r>
      <w:r>
        <w:t>Council Recommendation (EU) 2022/2415 of 2 December 2022 on the guiding principles for knowledge valorisation (</w:t>
      </w:r>
      <w:r w:rsidRPr="00E53375">
        <w:t>OJ L 317, 9.12.2022, p. 141</w:t>
      </w:r>
      <w:r>
        <w:t>).</w:t>
      </w:r>
    </w:p>
  </w:footnote>
  <w:footnote w:id="27">
    <w:p w14:paraId="0E05A148" w14:textId="77777777" w:rsidR="001403C0" w:rsidRPr="00A856D7" w:rsidRDefault="001403C0" w:rsidP="001403C0">
      <w:pPr>
        <w:pStyle w:val="FootnoteText"/>
        <w:ind w:left="142" w:hanging="142"/>
      </w:pPr>
      <w:r w:rsidRPr="00E8678E">
        <w:rPr>
          <w:rStyle w:val="FootnoteReference"/>
        </w:rPr>
        <w:footnoteRef/>
      </w:r>
      <w:r w:rsidR="00E8678E">
        <w:tab/>
      </w:r>
      <w:r w:rsidRPr="00A856D7">
        <w:t xml:space="preserve">COMMUNICATION FROM THE COMMISSION TO THE EUROPEAN PARLIAMENT, THE COUNCIL, THE EUROPEAN ECONOMIC AND SOCIAL COMMITTEE AND THE COMMITTEE OF THE REGIONS </w:t>
      </w:r>
      <w:r>
        <w:t>A</w:t>
      </w:r>
      <w:r w:rsidRPr="00A856D7">
        <w:t>n initiative to support work-life balance for working parents and carers</w:t>
      </w:r>
      <w:r>
        <w:t xml:space="preserve">, </w:t>
      </w:r>
      <w:r w:rsidRPr="00A856D7">
        <w:t>COM(2017) 252 final</w:t>
      </w:r>
      <w:r>
        <w:t>.</w:t>
      </w:r>
    </w:p>
  </w:footnote>
  <w:footnote w:id="28">
    <w:p w14:paraId="0908FB4F" w14:textId="77777777" w:rsidR="001403C0" w:rsidRPr="00761FC1" w:rsidRDefault="001403C0" w:rsidP="001403C0">
      <w:pPr>
        <w:pStyle w:val="FootnoteText"/>
        <w:ind w:left="142" w:hanging="142"/>
      </w:pPr>
      <w:r w:rsidRPr="00E8678E">
        <w:rPr>
          <w:rStyle w:val="FootnoteReference"/>
        </w:rPr>
        <w:footnoteRef/>
      </w:r>
      <w:r w:rsidR="00E8678E">
        <w:tab/>
      </w:r>
      <w:r w:rsidRPr="000E0C43">
        <w:t>Directive (EU) 2019/1152 of the European Parliament and of the Council of 20 June 2019 on transparent and predictable working conditions in the European Union</w:t>
      </w:r>
      <w:r>
        <w:t xml:space="preserve"> (</w:t>
      </w:r>
      <w:r w:rsidRPr="000E0C43">
        <w:t>OJ L 186, 11.7.2019, p. 10</w:t>
      </w:r>
      <w:r>
        <w:t>5).</w:t>
      </w:r>
    </w:p>
  </w:footnote>
  <w:footnote w:id="29">
    <w:p w14:paraId="389DC95C" w14:textId="77777777" w:rsidR="001403C0" w:rsidRPr="008712DD" w:rsidRDefault="001403C0" w:rsidP="001403C0">
      <w:pPr>
        <w:pStyle w:val="FootnoteText"/>
        <w:ind w:left="142" w:hanging="142"/>
      </w:pPr>
      <w:r w:rsidRPr="00E8678E">
        <w:rPr>
          <w:rStyle w:val="FootnoteReference"/>
        </w:rPr>
        <w:footnoteRef/>
      </w:r>
      <w:r w:rsidR="00E8678E">
        <w:tab/>
      </w:r>
      <w:r w:rsidRPr="008712DD">
        <w:t>Directive (EU) 2019/1158 of the European Parliament and of the Council of 20 June 2019 on work-life balance for parents and carers and repealing Council Directive 2010/18/EU</w:t>
      </w:r>
      <w:r>
        <w:t xml:space="preserve"> (</w:t>
      </w:r>
      <w:r w:rsidRPr="008712DD">
        <w:t>OJ L 188, 12.7.2019, p. 79</w:t>
      </w:r>
      <w:r>
        <w:t>).</w:t>
      </w:r>
    </w:p>
  </w:footnote>
  <w:footnote w:id="30">
    <w:p w14:paraId="1842A916" w14:textId="77777777" w:rsidR="001403C0" w:rsidRPr="004A65AC" w:rsidRDefault="001403C0" w:rsidP="001403C0">
      <w:pPr>
        <w:pStyle w:val="FootnoteText"/>
        <w:ind w:left="142" w:hanging="142"/>
      </w:pPr>
      <w:r w:rsidRPr="00E8678E">
        <w:rPr>
          <w:rStyle w:val="FootnoteReference"/>
        </w:rPr>
        <w:footnoteRef/>
      </w:r>
      <w:r w:rsidR="00E8678E">
        <w:tab/>
      </w:r>
      <w:r w:rsidRPr="00711014">
        <w:t>Council Recommendation 2019/C 387/01</w:t>
      </w:r>
      <w:r>
        <w:t xml:space="preserve"> </w:t>
      </w:r>
      <w:r w:rsidRPr="00711014">
        <w:t>of 8 November 2019 on access to social protection for workers and the self-employed</w:t>
      </w:r>
      <w:r>
        <w:t xml:space="preserve"> (</w:t>
      </w:r>
      <w:r w:rsidRPr="00711014">
        <w:t>OJ C 387, 15.11.2019, p. 1</w:t>
      </w:r>
      <w:r>
        <w:t>).</w:t>
      </w:r>
    </w:p>
  </w:footnote>
  <w:footnote w:id="31">
    <w:p w14:paraId="505D8297" w14:textId="77777777" w:rsidR="001403C0" w:rsidRDefault="001403C0" w:rsidP="001403C0">
      <w:pPr>
        <w:pStyle w:val="FootnoteText"/>
        <w:ind w:left="142" w:hanging="142"/>
      </w:pPr>
      <w:r w:rsidRPr="00E8678E">
        <w:rPr>
          <w:rStyle w:val="FootnoteReference"/>
        </w:rPr>
        <w:footnoteRef/>
      </w:r>
      <w:r w:rsidR="00E8678E">
        <w:tab/>
      </w:r>
      <w:r w:rsidRPr="00696797">
        <w:t>COMMUNICATION FROM THE COMMISSION TO THE EUROPEAN PARLIAMENT, THE COUNCIL, THE EUROPEAN ECONOMIC AND SOCIAL COMMITTEE AND THE COMMITTEE OF THE REGIONS Attracting skills and talent to the EU</w:t>
      </w:r>
      <w:r>
        <w:t>,</w:t>
      </w:r>
      <w:r w:rsidRPr="00696797">
        <w:t xml:space="preserve"> </w:t>
      </w:r>
      <w:r>
        <w:t>COM(2022) 657 final.</w:t>
      </w:r>
    </w:p>
  </w:footnote>
  <w:footnote w:id="32">
    <w:p w14:paraId="2E67AD47" w14:textId="77777777" w:rsidR="001403C0" w:rsidRDefault="001403C0" w:rsidP="001403C0">
      <w:pPr>
        <w:pStyle w:val="FootnoteText"/>
        <w:ind w:left="142" w:hanging="142"/>
      </w:pPr>
      <w:r w:rsidRPr="00E8678E">
        <w:rPr>
          <w:rStyle w:val="FootnoteReference"/>
        </w:rPr>
        <w:footnoteRef/>
      </w:r>
      <w:r w:rsidR="00E8678E">
        <w:tab/>
      </w:r>
      <w:r>
        <w:t>Directive (EU) 2016/801 of the European Parliament and of the Council of 11 May 2016 on the conditions of entry and residence of third-country nationals for the purposes of research, studies, training, voluntary service, pupil exchange schemes or educational projects and au pairing (</w:t>
      </w:r>
      <w:r w:rsidRPr="00642C32">
        <w:t>OJ L 132, 21.5.2016, p. 21</w:t>
      </w:r>
      <w:r>
        <w:t xml:space="preserve">). </w:t>
      </w:r>
    </w:p>
  </w:footnote>
  <w:footnote w:id="33">
    <w:p w14:paraId="5A6F4F23" w14:textId="77777777" w:rsidR="001403C0" w:rsidRDefault="001403C0" w:rsidP="001403C0">
      <w:pPr>
        <w:pStyle w:val="FootnoteText"/>
        <w:ind w:left="142" w:hanging="142"/>
      </w:pPr>
      <w:r w:rsidRPr="00E8678E">
        <w:rPr>
          <w:rStyle w:val="FootnoteReference"/>
        </w:rPr>
        <w:footnoteRef/>
      </w:r>
      <w:r w:rsidR="00E8678E">
        <w:tab/>
      </w:r>
      <w:r w:rsidRPr="003A15E1">
        <w:t>Directive (EU) 2021/1883 of the European Parliament and of the Council of 20 October 2021 on the conditions of entry and residence of third-country nationals for the purpose of highly qualified employment, and repealing Council Directive 2009/50/EC</w:t>
      </w:r>
      <w:r>
        <w:t xml:space="preserve"> (</w:t>
      </w:r>
      <w:r w:rsidRPr="00642C32">
        <w:t>OJ L 382, 28.10.2021, p. 1</w:t>
      </w:r>
      <w:r>
        <w:t>).</w:t>
      </w:r>
    </w:p>
  </w:footnote>
  <w:footnote w:id="34">
    <w:p w14:paraId="7B3BE374" w14:textId="77777777" w:rsidR="001403C0" w:rsidRPr="007F0C07" w:rsidRDefault="001403C0" w:rsidP="001403C0">
      <w:pPr>
        <w:pStyle w:val="FootnoteText"/>
        <w:ind w:left="142" w:hanging="142"/>
      </w:pPr>
      <w:r w:rsidRPr="00E8678E">
        <w:rPr>
          <w:rStyle w:val="FootnoteReference"/>
        </w:rPr>
        <w:footnoteRef/>
      </w:r>
      <w:r w:rsidR="00E8678E">
        <w:tab/>
      </w:r>
      <w:r w:rsidRPr="007F0C07">
        <w:t>COMMUNICATION FROM THE COMMISSION TO THE EUROPEAN PARLIAMENT, THE COUNCIL, THE EUROPEAN ECONOMIC AND SOCIAL COMMITTEE AND THE COMMITTEE OF THE REGIONS Harnessing talent in Europe’s regions</w:t>
      </w:r>
      <w:r>
        <w:t xml:space="preserve">, </w:t>
      </w:r>
      <w:r w:rsidRPr="007F0C07">
        <w:t>COM(2023) 32 final</w:t>
      </w:r>
      <w:r>
        <w:t>.</w:t>
      </w:r>
    </w:p>
  </w:footnote>
  <w:footnote w:id="35">
    <w:p w14:paraId="4391CF01" w14:textId="77777777" w:rsidR="001403C0" w:rsidRPr="004A0EB9" w:rsidRDefault="001403C0" w:rsidP="001403C0">
      <w:pPr>
        <w:pStyle w:val="FootnoteText"/>
        <w:ind w:left="142" w:hanging="153"/>
        <w:rPr>
          <w:lang w:val="en-US"/>
        </w:rPr>
      </w:pPr>
      <w:r w:rsidRPr="00E8678E">
        <w:rPr>
          <w:rStyle w:val="FootnoteReference"/>
        </w:rPr>
        <w:footnoteRef/>
      </w:r>
      <w:r w:rsidR="00E8678E">
        <w:rPr>
          <w:lang w:val="en-US"/>
        </w:rPr>
        <w:tab/>
      </w:r>
      <w:r w:rsidRPr="004A0EB9">
        <w:rPr>
          <w:lang w:val="en-US"/>
        </w:rPr>
        <w:t xml:space="preserve">Commission Recommendation of 11 March 2005 on the European Charter for Researchers and on a Code of Conduct for the Recruitment of Researchers 2005/251/EC </w:t>
      </w:r>
      <w:r>
        <w:rPr>
          <w:lang w:val="en-US"/>
        </w:rPr>
        <w:t>(</w:t>
      </w:r>
      <w:r w:rsidRPr="004A0EB9">
        <w:rPr>
          <w:lang w:val="en-US"/>
        </w:rPr>
        <w:t>OJ L 75, 22.3.2005, p. 67</w:t>
      </w:r>
      <w:r>
        <w:rPr>
          <w:lang w:val="en-US"/>
        </w:rPr>
        <w:t>)</w:t>
      </w:r>
      <w:r w:rsidRPr="004A0EB9">
        <w:rPr>
          <w:lang w:val="en-US"/>
        </w:rPr>
        <w:t>.</w:t>
      </w:r>
    </w:p>
  </w:footnote>
  <w:footnote w:id="36">
    <w:p w14:paraId="4BBF2890" w14:textId="77777777" w:rsidR="002B1EE8" w:rsidRPr="00963FC8" w:rsidRDefault="002B1EE8" w:rsidP="002B1EE8">
      <w:pPr>
        <w:pStyle w:val="FootnoteText"/>
        <w:rPr>
          <w:lang w:val="en-US"/>
        </w:rPr>
      </w:pPr>
      <w:r w:rsidRPr="00E8678E">
        <w:rPr>
          <w:rStyle w:val="FootnoteReference"/>
        </w:rPr>
        <w:footnoteRef/>
      </w:r>
      <w:r w:rsidR="00E8678E">
        <w:rPr>
          <w:lang w:val="en-US"/>
        </w:rPr>
        <w:tab/>
      </w:r>
      <w:r w:rsidRPr="001A2CB6">
        <w:rPr>
          <w:lang w:val="en-US"/>
        </w:rPr>
        <w:t>https://op.europa.eu/en/publication-detail/-/publication/40089aaa-57dc-11ec-91ac-01aa75ed71a1</w:t>
      </w:r>
      <w:r>
        <w:rPr>
          <w:lang w:val="en-US"/>
        </w:rPr>
        <w:t>.</w:t>
      </w:r>
    </w:p>
  </w:footnote>
  <w:footnote w:id="37">
    <w:p w14:paraId="7F83F5EC" w14:textId="77777777" w:rsidR="002B1EE8" w:rsidRDefault="002B1EE8" w:rsidP="002B1EE8">
      <w:pPr>
        <w:pStyle w:val="FootnoteText"/>
      </w:pPr>
      <w:r w:rsidRPr="00E8678E">
        <w:rPr>
          <w:rStyle w:val="FootnoteReference"/>
        </w:rPr>
        <w:footnoteRef/>
      </w:r>
      <w:r w:rsidR="00E8678E">
        <w:tab/>
      </w:r>
      <w:r w:rsidRPr="00C77D8F">
        <w:t>https://op.europa.eu/en/publication-detail/-/publication/a3cde934-12a0-11eb-9a54-01aa75ed71a1/</w:t>
      </w:r>
    </w:p>
  </w:footnote>
  <w:footnote w:id="38">
    <w:p w14:paraId="047E683B" w14:textId="77777777" w:rsidR="002B1EE8" w:rsidRDefault="002B1EE8" w:rsidP="002B1EE8">
      <w:pPr>
        <w:pStyle w:val="FootnoteText"/>
      </w:pPr>
      <w:r w:rsidRPr="00E8678E">
        <w:rPr>
          <w:rStyle w:val="FootnoteReference"/>
        </w:rPr>
        <w:footnoteRef/>
      </w:r>
      <w:r w:rsidR="00E8678E">
        <w:tab/>
      </w:r>
      <w:r w:rsidRPr="00B12F67">
        <w:t>https://op.europa.eu/en/publication-detail/-/publication/8d536780-3025-11ed-975d-01aa75ed71a1/language-en</w:t>
      </w:r>
      <w:r>
        <w:t xml:space="preserve"> </w:t>
      </w:r>
    </w:p>
  </w:footnote>
  <w:footnote w:id="39">
    <w:p w14:paraId="00715EE7" w14:textId="77777777" w:rsidR="002B1EE8" w:rsidRDefault="002B1EE8" w:rsidP="002B1EE8">
      <w:pPr>
        <w:pStyle w:val="FootnoteText"/>
        <w:ind w:left="142" w:hanging="142"/>
      </w:pPr>
      <w:r w:rsidRPr="00E8678E">
        <w:rPr>
          <w:rStyle w:val="FootnoteReference"/>
        </w:rPr>
        <w:footnoteRef/>
      </w:r>
      <w:r w:rsidR="00E8678E">
        <w:tab/>
      </w:r>
      <w:r w:rsidRPr="00B12F67">
        <w:t>https://op.europa.eu/en/publication-detail/-/publication/94a6a2ca-00c1-11ed-b94a-01aa75ed71a1/language-en</w:t>
      </w:r>
      <w:r>
        <w:t xml:space="preserve"> and </w:t>
      </w:r>
      <w:r w:rsidRPr="00B12F67">
        <w:t>https://op.europa.eu/en/publication-detail/-/publication/ec09bd95-00c2-11ed-b94a-01aa75ed71a1/language-en/format-PDF/source-search</w:t>
      </w:r>
      <w:r>
        <w:t xml:space="preserve"> </w:t>
      </w:r>
    </w:p>
  </w:footnote>
  <w:footnote w:id="40">
    <w:p w14:paraId="185271A1" w14:textId="77777777" w:rsidR="002B1EE8" w:rsidRDefault="002B1EE8" w:rsidP="002B1EE8">
      <w:pPr>
        <w:pStyle w:val="FootnoteText"/>
      </w:pPr>
      <w:r w:rsidRPr="00E8678E">
        <w:rPr>
          <w:rStyle w:val="FootnoteReference"/>
        </w:rPr>
        <w:footnoteRef/>
      </w:r>
      <w:r w:rsidR="00E8678E">
        <w:tab/>
      </w:r>
      <w:r w:rsidRPr="00B12F67">
        <w:t>https://op.europa.eu/en/publication-detail/-/publication/a33eb97c-437d-11e8-a9f4-01aa75ed71a1</w:t>
      </w:r>
      <w:r>
        <w:t xml:space="preserve"> </w:t>
      </w:r>
    </w:p>
  </w:footnote>
  <w:footnote w:id="41">
    <w:p w14:paraId="2DDDD953" w14:textId="77777777" w:rsidR="002B1EE8" w:rsidRDefault="002B1EE8" w:rsidP="002B1EE8">
      <w:pPr>
        <w:pStyle w:val="FootnoteText"/>
        <w:ind w:left="142" w:hanging="142"/>
      </w:pPr>
      <w:r w:rsidRPr="00E8678E">
        <w:rPr>
          <w:rStyle w:val="FootnoteReference"/>
        </w:rPr>
        <w:footnoteRef/>
      </w:r>
      <w:r w:rsidR="00E8678E">
        <w:tab/>
      </w:r>
      <w:r w:rsidRPr="000D4116">
        <w:t xml:space="preserve">The views of multiple stakeholders </w:t>
      </w:r>
      <w:r>
        <w:t>were</w:t>
      </w:r>
      <w:r w:rsidRPr="000D4116">
        <w:t xml:space="preserve"> gathered at a number of events. In part</w:t>
      </w:r>
      <w:r>
        <w:t xml:space="preserve">icular, the ERA Forum for </w:t>
      </w:r>
      <w:r w:rsidRPr="000D4116">
        <w:t>Transition (set up as an informal Commission expert group) provided advi</w:t>
      </w:r>
      <w:r>
        <w:t>ce to the Commission, and allowed</w:t>
      </w:r>
      <w:r w:rsidRPr="000D4116">
        <w:t xml:space="preserve"> the views of the Member States and stakeholders to be taken into account in a structured way. Relevant stakeholders and umbrella organisations were invited to share their views (e.g. at workshops on 20 April and 25 May 2021). A public consultation was also conducted between 15 April and 13 May 2021 to gather the views of the broader public.</w:t>
      </w:r>
    </w:p>
  </w:footnote>
  <w:footnote w:id="42">
    <w:p w14:paraId="32E70E19" w14:textId="77777777" w:rsidR="005B04AF" w:rsidRPr="00F97421" w:rsidRDefault="005B04AF" w:rsidP="005B04AF">
      <w:pPr>
        <w:pStyle w:val="FootnoteText"/>
        <w:ind w:left="142" w:hanging="142"/>
        <w:rPr>
          <w:lang w:val="en-US"/>
        </w:rPr>
      </w:pPr>
      <w:r w:rsidRPr="00E8678E">
        <w:rPr>
          <w:rStyle w:val="FootnoteReference"/>
        </w:rPr>
        <w:footnoteRef/>
      </w:r>
      <w:r w:rsidR="00E8678E">
        <w:rPr>
          <w:lang w:val="en-US"/>
        </w:rPr>
        <w:tab/>
      </w:r>
      <w:r w:rsidRPr="00F97421">
        <w:rPr>
          <w:lang w:val="en-US"/>
        </w:rPr>
        <w:t xml:space="preserve">Commission Recommendation 2005/251/EC of 11 March 2005 on the European Charter for Researchers and on a Code of Conduct for the Recruitment of Researchers </w:t>
      </w:r>
      <w:r>
        <w:rPr>
          <w:lang w:val="en-US"/>
        </w:rPr>
        <w:t>(</w:t>
      </w:r>
      <w:r w:rsidRPr="00F97421">
        <w:rPr>
          <w:lang w:val="en-US"/>
        </w:rPr>
        <w:t>OJ L 75, 22.3.2005, p. 67</w:t>
      </w:r>
      <w:r>
        <w:rPr>
          <w:lang w:val="en-US"/>
        </w:rPr>
        <w:t>)</w:t>
      </w:r>
      <w:r w:rsidRPr="00F97421">
        <w:rPr>
          <w:lang w:val="en-US"/>
        </w:rPr>
        <w:t>.</w:t>
      </w:r>
    </w:p>
  </w:footnote>
  <w:footnote w:id="43">
    <w:p w14:paraId="6514951B" w14:textId="77777777" w:rsidR="005B04AF" w:rsidRPr="007236AB" w:rsidRDefault="005B04AF" w:rsidP="005B04AF">
      <w:pPr>
        <w:pStyle w:val="FootnoteText"/>
        <w:ind w:left="142" w:hanging="142"/>
      </w:pPr>
      <w:r w:rsidRPr="00E8678E">
        <w:rPr>
          <w:rStyle w:val="FootnoteReference"/>
        </w:rPr>
        <w:footnoteRef/>
      </w:r>
      <w:r w:rsidR="00E8678E">
        <w:tab/>
      </w:r>
      <w:r w:rsidRPr="007236AB">
        <w:t>COMMUNICATION FROM THE COMMISSION TO THE EUROPEAN PARLIAMENT, THE COUNCIL, THE EUROPEAN ECONOMIC AND SOCIAL COMMITTEE AND THE COMMITTEE OF THE REGIONS European Skills Agenda for sustainable competitiveness, social fairness and resilience, COM(2020) 274 final.</w:t>
      </w:r>
    </w:p>
  </w:footnote>
  <w:footnote w:id="44">
    <w:p w14:paraId="61A921F5" w14:textId="77777777" w:rsidR="005B04AF" w:rsidRPr="007236AB" w:rsidRDefault="005B04AF" w:rsidP="005B04AF">
      <w:pPr>
        <w:pStyle w:val="FootnoteText"/>
        <w:ind w:left="142" w:hanging="142"/>
      </w:pPr>
      <w:r w:rsidRPr="00E8678E">
        <w:rPr>
          <w:rStyle w:val="FootnoteReference"/>
        </w:rPr>
        <w:footnoteRef/>
      </w:r>
      <w:r w:rsidR="00E8678E">
        <w:tab/>
      </w:r>
      <w:r w:rsidRPr="007236AB">
        <w:t>COMMUNICATION FROM THE COMMISSION TO THE EUROPEAN PARLIAMENT, THE COUNCIL, THE EUROPEAN ECONOMIC AND SOCIAL COMMITTEE AND THE COMMITTEE OF THE REGIONS A new ERA for Research and Innovation, COM(2020) 628 final.</w:t>
      </w:r>
    </w:p>
  </w:footnote>
  <w:footnote w:id="45">
    <w:p w14:paraId="3088A0CD" w14:textId="77777777" w:rsidR="005B04AF" w:rsidRPr="007236AB" w:rsidRDefault="005B04AF" w:rsidP="005B04AF">
      <w:pPr>
        <w:pStyle w:val="FootnoteText"/>
      </w:pPr>
      <w:r w:rsidRPr="00E8678E">
        <w:rPr>
          <w:rStyle w:val="FootnoteReference"/>
        </w:rPr>
        <w:footnoteRef/>
      </w:r>
      <w:r w:rsidR="00E8678E">
        <w:tab/>
      </w:r>
      <w:r w:rsidRPr="007236AB">
        <w:t>Council document 13567/20.</w:t>
      </w:r>
    </w:p>
  </w:footnote>
  <w:footnote w:id="46">
    <w:p w14:paraId="048DA86D" w14:textId="77777777" w:rsidR="005B04AF" w:rsidRPr="007236AB" w:rsidRDefault="005B04AF" w:rsidP="005B04AF">
      <w:pPr>
        <w:pStyle w:val="FootnoteText"/>
      </w:pPr>
      <w:r w:rsidRPr="00E8678E">
        <w:rPr>
          <w:rStyle w:val="FootnoteReference"/>
        </w:rPr>
        <w:footnoteRef/>
      </w:r>
      <w:r w:rsidR="00E8678E">
        <w:tab/>
      </w:r>
      <w:r w:rsidRPr="007236AB">
        <w:t>Council document 9138/21.</w:t>
      </w:r>
    </w:p>
  </w:footnote>
  <w:footnote w:id="47">
    <w:p w14:paraId="498309CE" w14:textId="77777777" w:rsidR="005B04AF" w:rsidRPr="007236AB" w:rsidRDefault="005B04AF" w:rsidP="005B04AF">
      <w:pPr>
        <w:pStyle w:val="FootnoteText"/>
        <w:ind w:left="142" w:hanging="142"/>
      </w:pPr>
      <w:r w:rsidRPr="00E8678E">
        <w:rPr>
          <w:rStyle w:val="FootnoteReference"/>
        </w:rPr>
        <w:footnoteRef/>
      </w:r>
      <w:r w:rsidR="00E8678E">
        <w:tab/>
      </w:r>
      <w:r w:rsidRPr="007236AB">
        <w:t>Council Recommendation (EU) 2021/2122</w:t>
      </w:r>
      <w:r w:rsidRPr="00C82280">
        <w:t xml:space="preserve"> </w:t>
      </w:r>
      <w:r w:rsidRPr="007236AB">
        <w:t xml:space="preserve">of 26 November 2021 on a Pact for Research and Innovation in Europe </w:t>
      </w:r>
      <w:r>
        <w:t>(</w:t>
      </w:r>
      <w:r w:rsidRPr="007236AB">
        <w:t>OJ L 431, 2.12.2021, p. 1</w:t>
      </w:r>
      <w:r>
        <w:t>)</w:t>
      </w:r>
      <w:r w:rsidRPr="007236AB">
        <w:t>.</w:t>
      </w:r>
    </w:p>
  </w:footnote>
  <w:footnote w:id="48">
    <w:p w14:paraId="431C041E" w14:textId="77777777" w:rsidR="005B04AF" w:rsidRPr="007236AB" w:rsidRDefault="005B04AF" w:rsidP="005B04AF">
      <w:pPr>
        <w:pStyle w:val="FootnoteText"/>
      </w:pPr>
      <w:r w:rsidRPr="00E8678E">
        <w:rPr>
          <w:rStyle w:val="FootnoteReference"/>
        </w:rPr>
        <w:footnoteRef/>
      </w:r>
      <w:r w:rsidR="00E8678E">
        <w:tab/>
      </w:r>
      <w:r w:rsidRPr="007236AB">
        <w:t>Council document 14308/21.</w:t>
      </w:r>
    </w:p>
  </w:footnote>
  <w:footnote w:id="49">
    <w:p w14:paraId="24D6DC66" w14:textId="77777777" w:rsidR="005B04AF" w:rsidRPr="007236AB" w:rsidRDefault="005B04AF" w:rsidP="005B04AF">
      <w:pPr>
        <w:pStyle w:val="FootnoteText"/>
        <w:ind w:left="142" w:hanging="142"/>
      </w:pPr>
      <w:r w:rsidRPr="00E8678E">
        <w:rPr>
          <w:rStyle w:val="FootnoteReference"/>
        </w:rPr>
        <w:footnoteRef/>
      </w:r>
      <w:r w:rsidR="00E8678E">
        <w:tab/>
      </w:r>
      <w:r w:rsidRPr="007236AB">
        <w:t>COMMUNICATION FROM THE COMMISSION TO THE EUROPEAN PARLIAMENT, THE COUNCIL, THE EUROPEAN ECONOMIC AND SOCIAL COMMITTEE AND THE COMMITTEE OF THE REGIONS on a European strategy for universities, COM(2022) 16 final.</w:t>
      </w:r>
    </w:p>
  </w:footnote>
  <w:footnote w:id="50">
    <w:p w14:paraId="61D2054D" w14:textId="77777777" w:rsidR="005B04AF" w:rsidRDefault="005B04AF" w:rsidP="005B04AF">
      <w:pPr>
        <w:pStyle w:val="FootnoteText"/>
        <w:ind w:left="142" w:hanging="142"/>
      </w:pPr>
      <w:r w:rsidRPr="00E8678E">
        <w:rPr>
          <w:rStyle w:val="FootnoteReference"/>
        </w:rPr>
        <w:footnoteRef/>
      </w:r>
      <w:r w:rsidR="00E8678E">
        <w:tab/>
      </w:r>
      <w:r w:rsidRPr="002F3D90">
        <w:t>COMMUNICATION FROM THE COMMISSION TO THE EUROPEAN PARLIAMENT, THE COUNCIL, THE EUROPEAN ECONOMIC AND SOCIAL COMMITTEE AND THE COMMITTEE OF THE REGIONS A New European Innovation Agenda</w:t>
      </w:r>
      <w:r>
        <w:t xml:space="preserve">, </w:t>
      </w:r>
      <w:r w:rsidRPr="002F3D90">
        <w:t>COM/2022/332 final</w:t>
      </w:r>
      <w:r>
        <w:t>.</w:t>
      </w:r>
    </w:p>
  </w:footnote>
  <w:footnote w:id="51">
    <w:p w14:paraId="5122496B" w14:textId="77777777" w:rsidR="005B04AF" w:rsidRPr="004A4559" w:rsidRDefault="005B04AF" w:rsidP="005B04AF">
      <w:pPr>
        <w:pStyle w:val="FootnoteText"/>
        <w:ind w:left="142" w:hanging="142"/>
        <w:rPr>
          <w:b/>
          <w:bCs/>
          <w:lang w:val="en-IE"/>
        </w:rPr>
      </w:pPr>
      <w:r w:rsidRPr="00E8678E">
        <w:rPr>
          <w:rStyle w:val="FootnoteReference"/>
        </w:rPr>
        <w:footnoteRef/>
      </w:r>
      <w:r w:rsidR="00E8678E">
        <w:tab/>
      </w:r>
      <w:r w:rsidRPr="006053C6">
        <w:rPr>
          <w:lang w:val="en-IE"/>
        </w:rPr>
        <w:t xml:space="preserve">Council Recommendation (EU) 2022/2415 of 2 December 2022 on the guiding principles for knowledge valorisation </w:t>
      </w:r>
      <w:r>
        <w:rPr>
          <w:lang w:val="en-IE"/>
        </w:rPr>
        <w:t>(</w:t>
      </w:r>
      <w:r w:rsidRPr="006053C6">
        <w:rPr>
          <w:lang w:val="en-IE"/>
        </w:rPr>
        <w:t>OJ L 317, 9.12.2022, p. 141</w:t>
      </w:r>
      <w:r>
        <w:rPr>
          <w:lang w:val="en-IE"/>
        </w:rPr>
        <w:t>)</w:t>
      </w:r>
      <w:r w:rsidRPr="006053C6">
        <w:rPr>
          <w:lang w:val="en-IE"/>
        </w:rPr>
        <w:t>.</w:t>
      </w:r>
    </w:p>
  </w:footnote>
  <w:footnote w:id="52">
    <w:p w14:paraId="2B675DAC" w14:textId="77777777" w:rsidR="005B04AF" w:rsidRPr="001A4A5B" w:rsidRDefault="005B04AF" w:rsidP="005B04AF">
      <w:pPr>
        <w:pStyle w:val="FootnoteText"/>
        <w:ind w:left="142" w:hanging="142"/>
      </w:pPr>
      <w:r w:rsidRPr="00E8678E">
        <w:rPr>
          <w:rStyle w:val="FootnoteReference"/>
        </w:rPr>
        <w:footnoteRef/>
      </w:r>
      <w:r w:rsidR="00E8678E">
        <w:tab/>
      </w:r>
      <w:r>
        <w:t>Council Directive 1999/70/EC of 28 June 1999 concerning the framework agreement on fixed-term work concluded by ETUC, UNICE and CEEP (</w:t>
      </w:r>
      <w:r w:rsidRPr="001A4A5B">
        <w:t>OJ L 175, 10.7.1999, p. 43</w:t>
      </w:r>
      <w:r>
        <w:t>).</w:t>
      </w:r>
    </w:p>
  </w:footnote>
  <w:footnote w:id="53">
    <w:p w14:paraId="3781541F" w14:textId="77777777" w:rsidR="005B04AF" w:rsidRDefault="005B04AF" w:rsidP="005B04AF">
      <w:pPr>
        <w:pStyle w:val="FootnoteText"/>
        <w:ind w:left="142" w:hanging="142"/>
      </w:pPr>
      <w:r w:rsidRPr="00E8678E">
        <w:rPr>
          <w:rStyle w:val="FootnoteReference"/>
        </w:rPr>
        <w:footnoteRef/>
      </w:r>
      <w:r w:rsidR="00E8678E">
        <w:tab/>
      </w:r>
      <w:r>
        <w:t>Council Recommendation of 8 November 2019 on access to social protection for workers and the self-employed (2019/C 387/01) (</w:t>
      </w:r>
      <w:r w:rsidRPr="00B56F30">
        <w:t>OJ C 387, 15.11.2019, p. 1</w:t>
      </w:r>
      <w:r>
        <w:t>).</w:t>
      </w:r>
    </w:p>
  </w:footnote>
  <w:footnote w:id="54">
    <w:p w14:paraId="7784EB6C" w14:textId="77777777" w:rsidR="005B04AF" w:rsidRPr="004A4559" w:rsidRDefault="005B04AF" w:rsidP="005B04AF">
      <w:pPr>
        <w:pStyle w:val="FootnoteText"/>
        <w:ind w:left="142" w:hanging="142"/>
        <w:rPr>
          <w:lang w:val="en-IE"/>
        </w:rPr>
      </w:pPr>
      <w:r w:rsidRPr="00E8678E">
        <w:rPr>
          <w:rStyle w:val="FootnoteReference"/>
        </w:rPr>
        <w:footnoteRef/>
      </w:r>
      <w:r w:rsidR="00E8678E">
        <w:rPr>
          <w:lang w:val="en-IE"/>
        </w:rPr>
        <w:tab/>
      </w:r>
      <w:r w:rsidRPr="00392494">
        <w:rPr>
          <w:lang w:val="en-IE"/>
        </w:rPr>
        <w:t>Commission Recommendation 2008/416/EC of 10 April 2008 on the management of intellectual property in knowledge transfer activities and Code of Practice for universities and other public research organisations</w:t>
      </w:r>
      <w:r>
        <w:rPr>
          <w:lang w:val="en-IE"/>
        </w:rPr>
        <w:t xml:space="preserve"> (</w:t>
      </w:r>
      <w:r w:rsidRPr="00392494">
        <w:rPr>
          <w:lang w:val="en-IE"/>
        </w:rPr>
        <w:t>OJ L 146, 5.6.2008, p. 19</w:t>
      </w:r>
      <w:r>
        <w:rPr>
          <w:lang w:val="en-IE"/>
        </w:rPr>
        <w:t>).</w:t>
      </w:r>
    </w:p>
  </w:footnote>
  <w:footnote w:id="55">
    <w:p w14:paraId="414876FC" w14:textId="77777777" w:rsidR="005B04AF" w:rsidRDefault="005B04AF" w:rsidP="005B04AF">
      <w:pPr>
        <w:pStyle w:val="FootnoteText"/>
      </w:pPr>
      <w:r w:rsidRPr="00E8678E">
        <w:rPr>
          <w:rStyle w:val="FootnoteReference"/>
        </w:rPr>
        <w:footnoteRef/>
      </w:r>
      <w:r w:rsidR="00E8678E">
        <w:tab/>
      </w:r>
      <w:r>
        <w:t>Council document 10126/22.</w:t>
      </w:r>
    </w:p>
  </w:footnote>
  <w:footnote w:id="56">
    <w:p w14:paraId="140978FE" w14:textId="77777777" w:rsidR="005B04AF" w:rsidRPr="007F0C07" w:rsidRDefault="005B04AF" w:rsidP="005B04AF">
      <w:pPr>
        <w:pStyle w:val="FootnoteText"/>
        <w:ind w:left="142" w:hanging="142"/>
      </w:pPr>
      <w:r w:rsidRPr="00E8678E">
        <w:rPr>
          <w:rStyle w:val="FootnoteReference"/>
        </w:rPr>
        <w:footnoteRef/>
      </w:r>
      <w:r w:rsidR="00E8678E">
        <w:tab/>
      </w:r>
      <w:r w:rsidRPr="007F0C07">
        <w:t>COMMUNICATION FROM THE COMMISSION TO THE EUROPEAN PARLIAMENT, THE COUNCIL, THE EUROPEAN ECONOMIC AND SOCIAL COMMITTEE AND THE COMMITTEE OF THE REGIONS Harnessing talent in Europe’s regions</w:t>
      </w:r>
      <w:r>
        <w:t xml:space="preserve">, 17 January 2023, </w:t>
      </w:r>
      <w:r w:rsidRPr="007F0C07">
        <w:t>COM(2023) 32 final</w:t>
      </w:r>
      <w:r>
        <w:t>.</w:t>
      </w:r>
    </w:p>
  </w:footnote>
  <w:footnote w:id="57">
    <w:p w14:paraId="4A735AC6" w14:textId="77777777" w:rsidR="005B04AF" w:rsidRPr="00704125" w:rsidRDefault="005B04AF" w:rsidP="005B04AF">
      <w:pPr>
        <w:pStyle w:val="FootnoteText"/>
        <w:ind w:left="142" w:hanging="142"/>
      </w:pPr>
      <w:r w:rsidRPr="00E8678E">
        <w:rPr>
          <w:rStyle w:val="FootnoteReference"/>
        </w:rPr>
        <w:footnoteRef/>
      </w:r>
      <w:r w:rsidR="00E8678E">
        <w:tab/>
      </w:r>
      <w:r w:rsidRPr="00696797">
        <w:t>COMMUNICATION FROM THE COMMISSION TO THE EUROPEAN PARLIAMENT, THE COUNCIL, THE EUROPEAN ECONOMIC AND SOCIAL COMMITTEE AND THE COMMITTEE OF THE REGIONS Attracting skills and talent to the EU</w:t>
      </w:r>
      <w:r>
        <w:t>,</w:t>
      </w:r>
      <w:r w:rsidRPr="00696797">
        <w:t xml:space="preserve"> </w:t>
      </w:r>
      <w:r>
        <w:t>COM(2022) 657 final.</w:t>
      </w:r>
    </w:p>
  </w:footnote>
  <w:footnote w:id="58">
    <w:p w14:paraId="466E481A" w14:textId="77777777" w:rsidR="005B04AF" w:rsidRPr="000F301F" w:rsidRDefault="005B04AF" w:rsidP="005B04AF">
      <w:pPr>
        <w:pStyle w:val="FootnoteText"/>
        <w:ind w:left="142" w:hanging="142"/>
      </w:pPr>
      <w:r w:rsidRPr="00E8678E">
        <w:rPr>
          <w:rStyle w:val="FootnoteReference"/>
        </w:rPr>
        <w:footnoteRef/>
      </w:r>
      <w:r w:rsidR="00E8678E">
        <w:tab/>
      </w:r>
      <w:r w:rsidRPr="003A15E1">
        <w:t>Directive (EU) 2021/1883 of the European Parliament and of the Council of 20 October 2021 on the conditions of entry and residence of third-country nationals for the purpose of highly qualified employment, and repealing Council Directive 2009/50/EC</w:t>
      </w:r>
      <w:r>
        <w:t xml:space="preserve"> (</w:t>
      </w:r>
      <w:r w:rsidRPr="00642C32">
        <w:t>OJ L 382, 28.10.2021, p. 1</w:t>
      </w:r>
      <w:r>
        <w:t>).</w:t>
      </w:r>
    </w:p>
  </w:footnote>
  <w:footnote w:id="59">
    <w:p w14:paraId="0FD0F60C" w14:textId="77777777" w:rsidR="005B04AF" w:rsidRPr="000F301F" w:rsidRDefault="005B04AF" w:rsidP="005B04AF">
      <w:pPr>
        <w:pStyle w:val="FootnoteText"/>
        <w:ind w:left="142" w:hanging="142"/>
      </w:pPr>
      <w:r w:rsidRPr="00E8678E">
        <w:rPr>
          <w:rStyle w:val="FootnoteReference"/>
        </w:rPr>
        <w:footnoteRef/>
      </w:r>
      <w:r w:rsidR="00E8678E">
        <w:tab/>
      </w:r>
      <w:r>
        <w:t>Directive (EU) 2016/801 of the European Parliament and of the Council of 11 May 2016 on the conditions of entry and residence of third-country nationals for the purposes of research, studies, training, voluntary service, pupil exchange schemes or educational projects and au pairing (</w:t>
      </w:r>
      <w:r w:rsidRPr="00642C32">
        <w:t>OJ L 132, 21.5.2016, p. 21</w:t>
      </w:r>
      <w:r>
        <w:t xml:space="preserve">). </w:t>
      </w:r>
    </w:p>
  </w:footnote>
  <w:footnote w:id="60">
    <w:p w14:paraId="5E7BF3B6" w14:textId="77777777" w:rsidR="005B04AF" w:rsidRDefault="005B04AF" w:rsidP="005B04AF">
      <w:pPr>
        <w:pStyle w:val="FootnoteText"/>
        <w:ind w:left="142" w:hanging="142"/>
      </w:pPr>
      <w:r w:rsidRPr="00E8678E">
        <w:rPr>
          <w:rStyle w:val="FootnoteReference"/>
        </w:rPr>
        <w:footnoteRef/>
      </w:r>
      <w:r w:rsidR="00E8678E">
        <w:tab/>
      </w:r>
      <w:r w:rsidRPr="00C022A0">
        <w:t>Regulation (EU) 2019/1700 of the European Parliament and of the Council of 10 October 2019 establishing a common framework for European statistics relating to persons and households, based on data at individual level collected from samples, amending Regulations (EC) No 808/2004, (EC) No 452/2008 and (EC) No 1338/2008 of the European Parliament and of the Council, and repealing Regulation (EC) No 1177/2003 of the European Parliament and of the Council and Council Regulation (EC) No 577/98</w:t>
      </w:r>
      <w:r>
        <w:t xml:space="preserve"> (</w:t>
      </w:r>
      <w:r w:rsidRPr="00C022A0">
        <w:t>OJ L 261I , 14.10.2019, p. 1</w:t>
      </w:r>
      <w:r>
        <w:t>).</w:t>
      </w:r>
    </w:p>
  </w:footnote>
  <w:footnote w:id="61">
    <w:p w14:paraId="544186A6" w14:textId="07D2858E" w:rsidR="003466A4" w:rsidRPr="00A962D9" w:rsidRDefault="003466A4" w:rsidP="003466A4">
      <w:pPr>
        <w:pStyle w:val="FootnoteText"/>
        <w:ind w:left="142" w:hanging="142"/>
      </w:pPr>
      <w:r w:rsidRPr="00412F3A">
        <w:rPr>
          <w:rStyle w:val="FootnoteReference"/>
        </w:rPr>
        <w:footnoteRef/>
      </w:r>
      <w:r w:rsidR="00412F3A">
        <w:tab/>
      </w:r>
      <w:r w:rsidRPr="00F421D6">
        <w:t>Council Recommendation 2022/C 243/02</w:t>
      </w:r>
      <w:r>
        <w:t xml:space="preserve"> </w:t>
      </w:r>
      <w:r w:rsidRPr="00F421D6">
        <w:t>of 16 June 2022 on a European approach to micro-credentials for lifelong learning and employability</w:t>
      </w:r>
      <w:r>
        <w:t xml:space="preserve"> (</w:t>
      </w:r>
      <w:r w:rsidRPr="00F421D6">
        <w:t>OJ C 243, 27.6.2022, p. 10</w:t>
      </w:r>
      <w:r>
        <w:t>).</w:t>
      </w:r>
    </w:p>
  </w:footnote>
  <w:footnote w:id="62">
    <w:p w14:paraId="70D77FF8" w14:textId="4BF42131" w:rsidR="003466A4" w:rsidRPr="006C54ED" w:rsidRDefault="003466A4" w:rsidP="003466A4">
      <w:pPr>
        <w:pStyle w:val="FootnoteText"/>
        <w:ind w:left="142" w:hanging="142"/>
        <w:rPr>
          <w:lang w:val="en-IE"/>
        </w:rPr>
      </w:pPr>
      <w:r w:rsidRPr="00412F3A">
        <w:rPr>
          <w:rStyle w:val="FootnoteReference"/>
        </w:rPr>
        <w:footnoteRef/>
      </w:r>
      <w:r w:rsidR="00412F3A">
        <w:tab/>
      </w:r>
      <w:r w:rsidRPr="00C07973">
        <w:t>Council Recommendation 2022/C 243/03</w:t>
      </w:r>
      <w:r>
        <w:t xml:space="preserve"> </w:t>
      </w:r>
      <w:r w:rsidRPr="00C07973">
        <w:t>of 16 June 2022 on individual learning accounts</w:t>
      </w:r>
      <w:r>
        <w:t xml:space="preserve"> (</w:t>
      </w:r>
      <w:r w:rsidRPr="00C07973">
        <w:t>OJ C 243, 27.6.2022, p. 26</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BAAA11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2F01DC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C2C4EC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783C11B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6B1A0A10"/>
    <w:multiLevelType w:val="hybridMultilevel"/>
    <w:tmpl w:val="B8AACD26"/>
    <w:lvl w:ilvl="0" w:tplc="0409000F">
      <w:start w:val="1"/>
      <w:numFmt w:val="decimal"/>
      <w:lvlText w:val="%1."/>
      <w:lvlJc w:val="left"/>
      <w:pPr>
        <w:ind w:left="1570" w:hanging="360"/>
      </w:p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9"/>
    <w:lvlOverride w:ilvl="0">
      <w:startOverride w:val="1"/>
    </w:lvlOverride>
  </w:num>
  <w:num w:numId="2">
    <w:abstractNumId w:val="15"/>
    <w:lvlOverride w:ilvl="0">
      <w:startOverride w:val="1"/>
    </w:lvlOverride>
  </w:num>
  <w:num w:numId="3">
    <w:abstractNumId w:val="3"/>
  </w:num>
  <w:num w:numId="4">
    <w:abstractNumId w:val="2"/>
  </w:num>
  <w:num w:numId="5">
    <w:abstractNumId w:val="1"/>
  </w:num>
  <w:num w:numId="6">
    <w:abstractNumId w:val="0"/>
  </w:num>
  <w:num w:numId="7">
    <w:abstractNumId w:val="18"/>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8"/>
  </w:num>
  <w:num w:numId="19">
    <w:abstractNumId w:val="17"/>
  </w:num>
  <w:num w:numId="20">
    <w:abstractNumId w:val="7"/>
  </w:num>
  <w:num w:numId="21">
    <w:abstractNumId w:val="9"/>
  </w:num>
  <w:num w:numId="22">
    <w:abstractNumId w:val="10"/>
  </w:num>
  <w:num w:numId="23">
    <w:abstractNumId w:val="5"/>
  </w:num>
  <w:num w:numId="24">
    <w:abstractNumId w:val="16"/>
  </w:num>
  <w:num w:numId="25">
    <w:abstractNumId w:val="4"/>
  </w:num>
  <w:num w:numId="26">
    <w:abstractNumId w:val="11"/>
  </w:num>
  <w:num w:numId="27">
    <w:abstractNumId w:val="13"/>
  </w:num>
  <w:num w:numId="28">
    <w:abstractNumId w:val="14"/>
  </w:num>
  <w:num w:numId="29">
    <w:abstractNumId w:val="6"/>
  </w:num>
  <w:num w:numId="30">
    <w:abstractNumId w:val="12"/>
  </w:num>
  <w:num w:numId="31">
    <w:abstractNumId w:val="1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3-07-11 14:44:2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27DD0BD-9E87-455B-A8FE-6AB7AD11149B"/>
    <w:docVar w:name="LW_COVERPAGE_TYPE" w:val="1"/>
    <w:docVar w:name="LW_CROSSREFERENCE" w:val="&lt;UNUSED&gt;"/>
    <w:docVar w:name="LW_DocType" w:val="COM"/>
    <w:docVar w:name="LW_EMISSION" w:val="13.7.2023"/>
    <w:docVar w:name="LW_EMISSION_ISODATE" w:val="2023-07-13"/>
    <w:docVar w:name="LW_EMISSION_LOCATION" w:val="BRX"/>
    <w:docVar w:name="LW_EMISSION_PREFIX" w:val="Brussels,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85"/>
    <w:docVar w:name="LW_REF.II.NEW.CP_YEAR" w:val="2023"/>
    <w:docVar w:name="LW_REF.INST.NEW" w:val="COM"/>
    <w:docVar w:name="LW_REF.INST.NEW_ADOPTED" w:val="final"/>
    <w:docVar w:name="LW_REF.INST.NEW_TEXT" w:val="(2023) 43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a European framework to attract and retain research, innovation and entrepreneurial talents in Europe"/>
    <w:docVar w:name="LW_TYPE.DOC.CP" w:val="COUNCIL RECOMMENDATION"/>
    <w:docVar w:name="LwApiVersions" w:val="LW4CoDe 1.23.2.0; LW 8.0, Build 20211117"/>
  </w:docVars>
  <w:rsids>
    <w:rsidRoot w:val="001403C0"/>
    <w:rsid w:val="00012923"/>
    <w:rsid w:val="00051CD0"/>
    <w:rsid w:val="00080704"/>
    <w:rsid w:val="0008536C"/>
    <w:rsid w:val="00091BE3"/>
    <w:rsid w:val="00096C03"/>
    <w:rsid w:val="000B29E6"/>
    <w:rsid w:val="000B2A33"/>
    <w:rsid w:val="000B2A6D"/>
    <w:rsid w:val="000B4CA7"/>
    <w:rsid w:val="000C6681"/>
    <w:rsid w:val="000E25F6"/>
    <w:rsid w:val="000F4C35"/>
    <w:rsid w:val="001065F5"/>
    <w:rsid w:val="001162FD"/>
    <w:rsid w:val="001238EF"/>
    <w:rsid w:val="001340E5"/>
    <w:rsid w:val="001403C0"/>
    <w:rsid w:val="001668CB"/>
    <w:rsid w:val="00197613"/>
    <w:rsid w:val="00217A7D"/>
    <w:rsid w:val="00223759"/>
    <w:rsid w:val="00233DC7"/>
    <w:rsid w:val="00247779"/>
    <w:rsid w:val="00285BEE"/>
    <w:rsid w:val="0028612D"/>
    <w:rsid w:val="00294B88"/>
    <w:rsid w:val="0029533F"/>
    <w:rsid w:val="002B1EE8"/>
    <w:rsid w:val="002B30AF"/>
    <w:rsid w:val="002F4B96"/>
    <w:rsid w:val="0033344A"/>
    <w:rsid w:val="003466A4"/>
    <w:rsid w:val="003B24DF"/>
    <w:rsid w:val="003D59AB"/>
    <w:rsid w:val="003E6CB0"/>
    <w:rsid w:val="003F6FF5"/>
    <w:rsid w:val="003F7931"/>
    <w:rsid w:val="00412F3A"/>
    <w:rsid w:val="00416A51"/>
    <w:rsid w:val="0042196D"/>
    <w:rsid w:val="0042648E"/>
    <w:rsid w:val="00447932"/>
    <w:rsid w:val="004574C5"/>
    <w:rsid w:val="00481776"/>
    <w:rsid w:val="004831E7"/>
    <w:rsid w:val="00486403"/>
    <w:rsid w:val="004936D2"/>
    <w:rsid w:val="004C2C04"/>
    <w:rsid w:val="004F7CC5"/>
    <w:rsid w:val="00512E90"/>
    <w:rsid w:val="005348BA"/>
    <w:rsid w:val="00543A67"/>
    <w:rsid w:val="005558CF"/>
    <w:rsid w:val="005634B4"/>
    <w:rsid w:val="0058301F"/>
    <w:rsid w:val="005834EF"/>
    <w:rsid w:val="005A2B72"/>
    <w:rsid w:val="005A341A"/>
    <w:rsid w:val="005A7399"/>
    <w:rsid w:val="005B04AF"/>
    <w:rsid w:val="005B1EB6"/>
    <w:rsid w:val="0064158C"/>
    <w:rsid w:val="006953E7"/>
    <w:rsid w:val="006C3644"/>
    <w:rsid w:val="007248BD"/>
    <w:rsid w:val="007722F9"/>
    <w:rsid w:val="00773331"/>
    <w:rsid w:val="00786C28"/>
    <w:rsid w:val="007932EF"/>
    <w:rsid w:val="007A3BBF"/>
    <w:rsid w:val="007D5483"/>
    <w:rsid w:val="007E05B0"/>
    <w:rsid w:val="00825E51"/>
    <w:rsid w:val="008343E5"/>
    <w:rsid w:val="00846163"/>
    <w:rsid w:val="00856B18"/>
    <w:rsid w:val="00857DAD"/>
    <w:rsid w:val="00874D22"/>
    <w:rsid w:val="008A1CD1"/>
    <w:rsid w:val="008A2914"/>
    <w:rsid w:val="008D2E77"/>
    <w:rsid w:val="008D3959"/>
    <w:rsid w:val="008E4496"/>
    <w:rsid w:val="008E4D8E"/>
    <w:rsid w:val="00931EC5"/>
    <w:rsid w:val="0094367F"/>
    <w:rsid w:val="00947416"/>
    <w:rsid w:val="00953EDA"/>
    <w:rsid w:val="00961CE0"/>
    <w:rsid w:val="00971EF7"/>
    <w:rsid w:val="009A7DCA"/>
    <w:rsid w:val="009B3DE4"/>
    <w:rsid w:val="009E79DD"/>
    <w:rsid w:val="009F6085"/>
    <w:rsid w:val="00A26A3C"/>
    <w:rsid w:val="00A4787B"/>
    <w:rsid w:val="00A56AA3"/>
    <w:rsid w:val="00A967A1"/>
    <w:rsid w:val="00AF6A71"/>
    <w:rsid w:val="00B53CEA"/>
    <w:rsid w:val="00BB38A6"/>
    <w:rsid w:val="00BF1707"/>
    <w:rsid w:val="00C12301"/>
    <w:rsid w:val="00C12305"/>
    <w:rsid w:val="00C12565"/>
    <w:rsid w:val="00C2180E"/>
    <w:rsid w:val="00C2386A"/>
    <w:rsid w:val="00C4225C"/>
    <w:rsid w:val="00C5648D"/>
    <w:rsid w:val="00C96DDC"/>
    <w:rsid w:val="00CA33B0"/>
    <w:rsid w:val="00CD5376"/>
    <w:rsid w:val="00CE7BE2"/>
    <w:rsid w:val="00CF4FA7"/>
    <w:rsid w:val="00D07F4E"/>
    <w:rsid w:val="00D10C28"/>
    <w:rsid w:val="00D11FEC"/>
    <w:rsid w:val="00D20381"/>
    <w:rsid w:val="00D228DA"/>
    <w:rsid w:val="00D2384F"/>
    <w:rsid w:val="00D5071A"/>
    <w:rsid w:val="00D558CF"/>
    <w:rsid w:val="00E8678E"/>
    <w:rsid w:val="00ED1377"/>
    <w:rsid w:val="00F349E2"/>
    <w:rsid w:val="00F62672"/>
    <w:rsid w:val="00F63742"/>
    <w:rsid w:val="00F65AB2"/>
    <w:rsid w:val="00FC38F8"/>
    <w:rsid w:val="00FD5C49"/>
    <w:rsid w:val="00FF06E7"/>
    <w:rsid w:val="00FF1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4:docId w14:val="7F09CCCD"/>
  <w15:docId w15:val="{79BE17A8-27BC-478C-A38E-A2A843B8D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612D"/>
    <w:rPr>
      <w:color w:val="0000FF" w:themeColor="hyperlink"/>
      <w:u w:val="single"/>
    </w:rPr>
  </w:style>
  <w:style w:type="character" w:styleId="CommentReference">
    <w:name w:val="annotation reference"/>
    <w:basedOn w:val="DefaultParagraphFont"/>
    <w:uiPriority w:val="99"/>
    <w:unhideWhenUsed/>
    <w:rsid w:val="0028612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BalloonText">
    <w:name w:val="Balloon Text"/>
    <w:basedOn w:val="Normal"/>
    <w:link w:val="BalloonTextChar"/>
    <w:uiPriority w:val="99"/>
    <w:semiHidden/>
    <w:unhideWhenUsed/>
    <w:rsid w:val="00E8678E"/>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678E"/>
    <w:rPr>
      <w:rFonts w:ascii="Segoe UI" w:hAnsi="Segoe UI" w:cs="Segoe UI"/>
      <w:sz w:val="18"/>
      <w:szCs w:val="18"/>
      <w:lang w:val="en-GB"/>
    </w:rPr>
  </w:style>
  <w:style w:type="paragraph" w:styleId="ListParagraph">
    <w:name w:val="List Paragraph"/>
    <w:basedOn w:val="Normal"/>
    <w:uiPriority w:val="34"/>
    <w:qFormat/>
    <w:rsid w:val="00096C03"/>
    <w:pPr>
      <w:ind w:left="720"/>
      <w:contextualSpacing/>
    </w:pPr>
  </w:style>
  <w:style w:type="paragraph" w:customStyle="1" w:styleId="LegalNumPar">
    <w:name w:val="LegalNumPar"/>
    <w:basedOn w:val="Normal"/>
    <w:rsid w:val="003D59AB"/>
    <w:pPr>
      <w:tabs>
        <w:tab w:val="num" w:pos="850"/>
      </w:tabs>
      <w:ind w:left="850" w:hanging="850"/>
    </w:pPr>
  </w:style>
  <w:style w:type="paragraph" w:customStyle="1" w:styleId="LegalNumPar2">
    <w:name w:val="LegalNumPar2"/>
    <w:basedOn w:val="Normal"/>
    <w:rsid w:val="003D59AB"/>
    <w:pPr>
      <w:tabs>
        <w:tab w:val="num" w:pos="850"/>
      </w:tabs>
      <w:ind w:left="850" w:hanging="850"/>
    </w:pPr>
  </w:style>
  <w:style w:type="paragraph" w:customStyle="1" w:styleId="LegalNumPar3">
    <w:name w:val="LegalNumPar3"/>
    <w:basedOn w:val="Normal"/>
    <w:rsid w:val="003D59AB"/>
    <w:pPr>
      <w:tabs>
        <w:tab w:val="num" w:pos="1417"/>
      </w:tabs>
      <w:ind w:left="1417" w:hanging="567"/>
    </w:pPr>
  </w:style>
  <w:style w:type="paragraph" w:styleId="ListBullet">
    <w:name w:val="List Bullet"/>
    <w:basedOn w:val="Normal"/>
    <w:uiPriority w:val="99"/>
    <w:semiHidden/>
    <w:unhideWhenUsed/>
    <w:rsid w:val="009A7DCA"/>
    <w:pPr>
      <w:numPr>
        <w:numId w:val="3"/>
      </w:numPr>
      <w:contextualSpacing/>
    </w:pPr>
  </w:style>
  <w:style w:type="paragraph" w:styleId="ListBullet2">
    <w:name w:val="List Bullet 2"/>
    <w:basedOn w:val="Normal"/>
    <w:uiPriority w:val="99"/>
    <w:semiHidden/>
    <w:unhideWhenUsed/>
    <w:rsid w:val="009A7DCA"/>
    <w:pPr>
      <w:numPr>
        <w:numId w:val="4"/>
      </w:numPr>
      <w:contextualSpacing/>
    </w:pPr>
  </w:style>
  <w:style w:type="paragraph" w:styleId="ListBullet3">
    <w:name w:val="List Bullet 3"/>
    <w:basedOn w:val="Normal"/>
    <w:uiPriority w:val="99"/>
    <w:semiHidden/>
    <w:unhideWhenUsed/>
    <w:rsid w:val="009A7DCA"/>
    <w:pPr>
      <w:numPr>
        <w:numId w:val="5"/>
      </w:numPr>
      <w:contextualSpacing/>
    </w:pPr>
  </w:style>
  <w:style w:type="paragraph" w:styleId="ListBullet4">
    <w:name w:val="List Bullet 4"/>
    <w:basedOn w:val="Normal"/>
    <w:uiPriority w:val="99"/>
    <w:semiHidden/>
    <w:unhideWhenUsed/>
    <w:rsid w:val="009A7DCA"/>
    <w:pPr>
      <w:numPr>
        <w:numId w:val="6"/>
      </w:numPr>
      <w:contextualSpacing/>
    </w:pPr>
  </w:style>
  <w:style w:type="character" w:styleId="Strong">
    <w:name w:val="Strong"/>
    <w:basedOn w:val="DefaultParagraphFont"/>
    <w:uiPriority w:val="22"/>
    <w:qFormat/>
    <w:rsid w:val="00294B88"/>
    <w:rPr>
      <w:b/>
      <w:bCs/>
    </w:rPr>
  </w:style>
  <w:style w:type="paragraph" w:styleId="CommentSubject">
    <w:name w:val="annotation subject"/>
    <w:basedOn w:val="CommentText"/>
    <w:next w:val="CommentText"/>
    <w:link w:val="CommentSubjectChar"/>
    <w:uiPriority w:val="99"/>
    <w:semiHidden/>
    <w:unhideWhenUsed/>
    <w:rsid w:val="00412F3A"/>
    <w:rPr>
      <w:b/>
      <w:bCs/>
    </w:rPr>
  </w:style>
  <w:style w:type="character" w:customStyle="1" w:styleId="CommentSubjectChar">
    <w:name w:val="Comment Subject Char"/>
    <w:basedOn w:val="CommentTextChar"/>
    <w:link w:val="CommentSubject"/>
    <w:uiPriority w:val="99"/>
    <w:semiHidden/>
    <w:rsid w:val="00412F3A"/>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412F3A"/>
    <w:rPr>
      <w:color w:val="605E5C"/>
      <w:shd w:val="clear" w:color="auto" w:fill="E1DFDD"/>
    </w:rPr>
  </w:style>
  <w:style w:type="paragraph" w:customStyle="1" w:styleId="Text10">
    <w:name w:val="Text1"/>
    <w:basedOn w:val="Normal"/>
    <w:rsid w:val="004F7CC5"/>
  </w:style>
  <w:style w:type="paragraph" w:styleId="Header">
    <w:name w:val="header"/>
    <w:basedOn w:val="Normal"/>
    <w:link w:val="HeaderChar"/>
    <w:uiPriority w:val="99"/>
    <w:unhideWhenUsed/>
    <w:rsid w:val="007D5483"/>
    <w:pPr>
      <w:tabs>
        <w:tab w:val="center" w:pos="4535"/>
        <w:tab w:val="right" w:pos="9071"/>
      </w:tabs>
      <w:spacing w:before="0"/>
    </w:pPr>
  </w:style>
  <w:style w:type="character" w:customStyle="1" w:styleId="HeaderChar">
    <w:name w:val="Header Char"/>
    <w:basedOn w:val="DefaultParagraphFont"/>
    <w:link w:val="Header"/>
    <w:uiPriority w:val="99"/>
    <w:rsid w:val="007D5483"/>
    <w:rPr>
      <w:rFonts w:ascii="Times New Roman" w:hAnsi="Times New Roman" w:cs="Times New Roman"/>
      <w:sz w:val="24"/>
      <w:lang w:val="en-GB"/>
    </w:rPr>
  </w:style>
  <w:style w:type="paragraph" w:styleId="Footer">
    <w:name w:val="footer"/>
    <w:basedOn w:val="Normal"/>
    <w:link w:val="FooterChar"/>
    <w:uiPriority w:val="99"/>
    <w:unhideWhenUsed/>
    <w:rsid w:val="007D5483"/>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D5483"/>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7D5483"/>
    <w:pPr>
      <w:tabs>
        <w:tab w:val="center" w:pos="7285"/>
        <w:tab w:val="right" w:pos="14003"/>
      </w:tabs>
      <w:spacing w:before="0"/>
    </w:pPr>
  </w:style>
  <w:style w:type="paragraph" w:customStyle="1" w:styleId="FooterLandscape">
    <w:name w:val="FooterLandscape"/>
    <w:basedOn w:val="Normal"/>
    <w:rsid w:val="007D5483"/>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D548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D5483"/>
    <w:pPr>
      <w:spacing w:before="0"/>
      <w:jc w:val="right"/>
    </w:pPr>
    <w:rPr>
      <w:sz w:val="28"/>
    </w:rPr>
  </w:style>
  <w:style w:type="paragraph" w:customStyle="1" w:styleId="FooterSensitivity">
    <w:name w:val="Footer Sensitivity"/>
    <w:basedOn w:val="Normal"/>
    <w:rsid w:val="007D548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7"/>
      </w:numPr>
    </w:pPr>
  </w:style>
  <w:style w:type="paragraph" w:customStyle="1" w:styleId="Tiret1">
    <w:name w:val="Tiret 1"/>
    <w:basedOn w:val="Point1"/>
    <w:pPr>
      <w:numPr>
        <w:numId w:val="18"/>
      </w:numPr>
    </w:pPr>
  </w:style>
  <w:style w:type="paragraph" w:customStyle="1" w:styleId="Tiret2">
    <w:name w:val="Tiret 2"/>
    <w:basedOn w:val="Point2"/>
    <w:pPr>
      <w:numPr>
        <w:numId w:val="19"/>
      </w:numPr>
    </w:pPr>
  </w:style>
  <w:style w:type="paragraph" w:customStyle="1" w:styleId="Tiret3">
    <w:name w:val="Tiret 3"/>
    <w:basedOn w:val="Point3"/>
    <w:pPr>
      <w:numPr>
        <w:numId w:val="20"/>
      </w:numPr>
    </w:pPr>
  </w:style>
  <w:style w:type="paragraph" w:customStyle="1" w:styleId="Tiret4">
    <w:name w:val="Tiret 4"/>
    <w:basedOn w:val="Point4"/>
    <w:pPr>
      <w:numPr>
        <w:numId w:val="21"/>
      </w:numPr>
    </w:pPr>
  </w:style>
  <w:style w:type="paragraph" w:customStyle="1" w:styleId="Tiret5">
    <w:name w:val="Tiret 5"/>
    <w:basedOn w:val="Point5"/>
    <w:pPr>
      <w:numPr>
        <w:numId w:val="2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3"/>
      </w:numPr>
    </w:pPr>
  </w:style>
  <w:style w:type="paragraph" w:customStyle="1" w:styleId="NumPar2">
    <w:name w:val="NumPar 2"/>
    <w:basedOn w:val="Normal"/>
    <w:next w:val="Text1"/>
    <w:pPr>
      <w:numPr>
        <w:ilvl w:val="1"/>
        <w:numId w:val="23"/>
      </w:numPr>
    </w:pPr>
  </w:style>
  <w:style w:type="paragraph" w:customStyle="1" w:styleId="NumPar3">
    <w:name w:val="NumPar 3"/>
    <w:basedOn w:val="Normal"/>
    <w:next w:val="Text1"/>
    <w:pPr>
      <w:numPr>
        <w:ilvl w:val="2"/>
        <w:numId w:val="23"/>
      </w:numPr>
    </w:pPr>
  </w:style>
  <w:style w:type="paragraph" w:customStyle="1" w:styleId="NumPar4">
    <w:name w:val="NumPar 4"/>
    <w:basedOn w:val="Normal"/>
    <w:next w:val="Text1"/>
    <w:pPr>
      <w:numPr>
        <w:ilvl w:val="3"/>
        <w:numId w:val="23"/>
      </w:numPr>
    </w:pPr>
  </w:style>
  <w:style w:type="paragraph" w:customStyle="1" w:styleId="NumPar5">
    <w:name w:val="NumPar 5"/>
    <w:basedOn w:val="Normal"/>
    <w:next w:val="Text2"/>
    <w:pPr>
      <w:numPr>
        <w:ilvl w:val="4"/>
        <w:numId w:val="23"/>
      </w:numPr>
    </w:pPr>
  </w:style>
  <w:style w:type="paragraph" w:customStyle="1" w:styleId="NumPar6">
    <w:name w:val="NumPar 6"/>
    <w:basedOn w:val="Normal"/>
    <w:next w:val="Text2"/>
    <w:pPr>
      <w:numPr>
        <w:ilvl w:val="5"/>
        <w:numId w:val="23"/>
      </w:numPr>
    </w:pPr>
  </w:style>
  <w:style w:type="paragraph" w:customStyle="1" w:styleId="NumPar7">
    <w:name w:val="NumPar 7"/>
    <w:basedOn w:val="Normal"/>
    <w:next w:val="Text2"/>
    <w:pPr>
      <w:numPr>
        <w:ilvl w:val="6"/>
        <w:numId w:val="2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5"/>
      </w:numPr>
    </w:pPr>
  </w:style>
  <w:style w:type="paragraph" w:customStyle="1" w:styleId="Point1number">
    <w:name w:val="Point 1 (number)"/>
    <w:basedOn w:val="Normal"/>
    <w:pPr>
      <w:numPr>
        <w:ilvl w:val="2"/>
        <w:numId w:val="25"/>
      </w:numPr>
    </w:pPr>
  </w:style>
  <w:style w:type="paragraph" w:customStyle="1" w:styleId="Point2number">
    <w:name w:val="Point 2 (number)"/>
    <w:basedOn w:val="Normal"/>
    <w:pPr>
      <w:numPr>
        <w:ilvl w:val="4"/>
        <w:numId w:val="25"/>
      </w:numPr>
    </w:pPr>
  </w:style>
  <w:style w:type="paragraph" w:customStyle="1" w:styleId="Point3number">
    <w:name w:val="Point 3 (number)"/>
    <w:basedOn w:val="Normal"/>
    <w:pPr>
      <w:numPr>
        <w:ilvl w:val="6"/>
        <w:numId w:val="25"/>
      </w:numPr>
    </w:pPr>
  </w:style>
  <w:style w:type="paragraph" w:customStyle="1" w:styleId="Point0letter">
    <w:name w:val="Point 0 (letter)"/>
    <w:basedOn w:val="Normal"/>
    <w:pPr>
      <w:numPr>
        <w:ilvl w:val="1"/>
        <w:numId w:val="25"/>
      </w:numPr>
    </w:pPr>
  </w:style>
  <w:style w:type="paragraph" w:customStyle="1" w:styleId="Point1letter">
    <w:name w:val="Point 1 (letter)"/>
    <w:basedOn w:val="Normal"/>
    <w:pPr>
      <w:numPr>
        <w:ilvl w:val="3"/>
        <w:numId w:val="25"/>
      </w:numPr>
    </w:pPr>
  </w:style>
  <w:style w:type="paragraph" w:customStyle="1" w:styleId="Point2letter">
    <w:name w:val="Point 2 (letter)"/>
    <w:basedOn w:val="Normal"/>
    <w:pPr>
      <w:numPr>
        <w:ilvl w:val="5"/>
        <w:numId w:val="25"/>
      </w:numPr>
    </w:pPr>
  </w:style>
  <w:style w:type="paragraph" w:customStyle="1" w:styleId="Point3letter">
    <w:name w:val="Point 3 (letter)"/>
    <w:basedOn w:val="Normal"/>
    <w:pPr>
      <w:numPr>
        <w:ilvl w:val="7"/>
        <w:numId w:val="25"/>
      </w:numPr>
    </w:pPr>
  </w:style>
  <w:style w:type="paragraph" w:customStyle="1" w:styleId="Point4letter">
    <w:name w:val="Point 4 (letter)"/>
    <w:basedOn w:val="Normal"/>
    <w:pPr>
      <w:numPr>
        <w:ilvl w:val="8"/>
        <w:numId w:val="25"/>
      </w:numPr>
    </w:pPr>
  </w:style>
  <w:style w:type="paragraph" w:customStyle="1" w:styleId="Bullet0">
    <w:name w:val="Bullet 0"/>
    <w:basedOn w:val="Normal"/>
    <w:pPr>
      <w:numPr>
        <w:numId w:val="26"/>
      </w:numPr>
    </w:pPr>
  </w:style>
  <w:style w:type="paragraph" w:customStyle="1" w:styleId="Bullet1">
    <w:name w:val="Bullet 1"/>
    <w:basedOn w:val="Normal"/>
    <w:pPr>
      <w:numPr>
        <w:numId w:val="27"/>
      </w:numPr>
    </w:pPr>
  </w:style>
  <w:style w:type="paragraph" w:customStyle="1" w:styleId="Bullet2">
    <w:name w:val="Bullet 2"/>
    <w:basedOn w:val="Normal"/>
    <w:pPr>
      <w:numPr>
        <w:numId w:val="28"/>
      </w:numPr>
    </w:pPr>
  </w:style>
  <w:style w:type="paragraph" w:customStyle="1" w:styleId="Bullet3">
    <w:name w:val="Bullet 3"/>
    <w:basedOn w:val="Normal"/>
    <w:pPr>
      <w:numPr>
        <w:numId w:val="29"/>
      </w:numPr>
    </w:pPr>
  </w:style>
  <w:style w:type="paragraph" w:customStyle="1" w:styleId="Bullet4">
    <w:name w:val="Bullet 4"/>
    <w:basedOn w:val="Normal"/>
    <w:pPr>
      <w:numPr>
        <w:numId w:val="3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A3D65-E97B-46C5-8D18-94C8C0BAA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32</Pages>
  <Words>13487</Words>
  <Characters>80792</Characters>
  <Application>Microsoft Office Word</Application>
  <DocSecurity>0</DocSecurity>
  <Lines>1282</Lines>
  <Paragraphs>306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38</cp:revision>
  <dcterms:created xsi:type="dcterms:W3CDTF">2023-06-19T12:57:00Z</dcterms:created>
  <dcterms:modified xsi:type="dcterms:W3CDTF">2023-07-11T12:44:00Z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SJ-022</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2023-06-15T16:18:01Z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0dd8fff3-ccc7-46de-90ca-a29dcbcfd7ce</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