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A2FA9" w14:textId="71FA3FF6" w:rsidR="00657EC6" w:rsidRPr="00C92345" w:rsidRDefault="0076783C" w:rsidP="0076783C">
      <w:pPr>
        <w:pStyle w:val="Pagedecouverture"/>
        <w:rPr>
          <w:noProof/>
        </w:rPr>
      </w:pPr>
      <w:bookmarkStart w:id="0" w:name="LW_BM_COVERPAGE"/>
      <w:r>
        <w:rPr>
          <w:noProof/>
        </w:rPr>
        <w:pict w14:anchorId="5BA75B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D827ACB-2021-41AF-B085-9D6E1A7FAEB0" style="width:455.25pt;height:324pt">
            <v:imagedata r:id="rId8" o:title=""/>
          </v:shape>
        </w:pict>
      </w:r>
    </w:p>
    <w:bookmarkEnd w:id="0"/>
    <w:p w14:paraId="714F17A2" w14:textId="77777777" w:rsidR="00657EC6" w:rsidRPr="00C92345" w:rsidRDefault="00657EC6" w:rsidP="00837960">
      <w:pPr>
        <w:rPr>
          <w:noProof/>
        </w:rPr>
        <w:sectPr w:rsidR="00657EC6" w:rsidRPr="00C92345" w:rsidSect="0076783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6D75E3A" w14:textId="2F46A2E6" w:rsidR="00D71314" w:rsidRPr="00D71314" w:rsidRDefault="00D71314" w:rsidP="00D71314">
      <w:pPr>
        <w:pStyle w:val="Typedudocument"/>
        <w:rPr>
          <w:noProof/>
        </w:rPr>
      </w:pPr>
      <w:bookmarkStart w:id="1" w:name="_GoBack"/>
      <w:bookmarkEnd w:id="1"/>
      <w:r w:rsidRPr="00D71314">
        <w:rPr>
          <w:noProof/>
        </w:rPr>
        <w:lastRenderedPageBreak/>
        <w:t>COMMUNICATION DE LA COMMISSION AU PARLEMENT EUROPÉEN, AU CONSEIL, AU COMITÉ ÉCONOMIQUE ET SOCIAL EUROPÉEN ET AU COMITÉ DES RÉGIONS</w:t>
      </w:r>
    </w:p>
    <w:p w14:paraId="3C5B29EB" w14:textId="1063F936" w:rsidR="00D71314" w:rsidRPr="00D71314" w:rsidRDefault="00D71314" w:rsidP="00D71314">
      <w:pPr>
        <w:pStyle w:val="Titreobjet"/>
        <w:rPr>
          <w:noProof/>
        </w:rPr>
      </w:pPr>
      <w:bookmarkStart w:id="2" w:name="_Hlk145411617"/>
      <w:r w:rsidRPr="00D71314">
        <w:rPr>
          <w:noProof/>
        </w:rPr>
        <w:t>Train de mesures de soutien aux PME</w:t>
      </w:r>
      <w:bookmarkEnd w:id="2"/>
    </w:p>
    <w:p w14:paraId="0F15A9EC" w14:textId="5011223C" w:rsidR="00923093" w:rsidRPr="00C92345" w:rsidRDefault="00A44DD1" w:rsidP="00D71213">
      <w:pPr>
        <w:pStyle w:val="Heading1"/>
        <w:rPr>
          <w:noProof/>
        </w:rPr>
      </w:pPr>
      <w:r>
        <w:rPr>
          <w:noProof/>
        </w:rPr>
        <w:t>Importance des petites entreprises</w:t>
      </w:r>
    </w:p>
    <w:p w14:paraId="1A67FAC5" w14:textId="59D7E0F5" w:rsidR="007C48E0" w:rsidRPr="00C92345" w:rsidRDefault="212E1CED" w:rsidP="007C48E0">
      <w:pPr>
        <w:rPr>
          <w:b/>
          <w:bCs/>
          <w:noProof/>
        </w:rPr>
      </w:pPr>
      <w:r>
        <w:rPr>
          <w:b/>
          <w:noProof/>
        </w:rPr>
        <w:t>Les petites et moyennes entreprises (PME) sont au cœur du tissu économique et social européen.</w:t>
      </w:r>
      <w:r>
        <w:rPr>
          <w:noProof/>
        </w:rPr>
        <w:t xml:space="preserve"> Les 24 millions de PME européennes représentent 99 % de l’ensemble des entreprises de l’UE et deux tiers des emplois du secteur privé dans l’UE</w:t>
      </w:r>
      <w:r>
        <w:rPr>
          <w:rFonts w:eastAsiaTheme="minorEastAsia"/>
          <w:noProof/>
          <w:vertAlign w:val="superscript"/>
        </w:rPr>
        <w:footnoteReference w:id="2"/>
      </w:r>
      <w:r>
        <w:rPr>
          <w:noProof/>
        </w:rPr>
        <w:t>, et sont profondément ancrées dans les communautés locales, en particulier dans les zones rurales</w:t>
      </w:r>
      <w:r>
        <w:rPr>
          <w:rStyle w:val="FootnoteReference"/>
          <w:noProof/>
        </w:rPr>
        <w:footnoteReference w:id="3"/>
      </w:r>
      <w:r>
        <w:rPr>
          <w:noProof/>
        </w:rPr>
        <w:t>. Elles représentent plus de la moitié de la valeur ajoutée dans le secteur des entreprises non financières de l’UE et constituent un terreau propice à l’innovation</w:t>
      </w:r>
      <w:r>
        <w:rPr>
          <w:rStyle w:val="FootnoteReference"/>
          <w:rFonts w:eastAsia="Times"/>
          <w:noProof/>
          <w:color w:val="000000" w:themeColor="text1"/>
        </w:rPr>
        <w:footnoteReference w:id="4"/>
      </w:r>
      <w:r>
        <w:rPr>
          <w:noProof/>
        </w:rPr>
        <w:t>, à la diversité et à l’égalité</w:t>
      </w:r>
      <w:r>
        <w:rPr>
          <w:rStyle w:val="FootnoteReference"/>
          <w:rFonts w:eastAsia="Times"/>
          <w:noProof/>
        </w:rPr>
        <w:footnoteReference w:id="5"/>
      </w:r>
      <w:r>
        <w:rPr>
          <w:noProof/>
        </w:rPr>
        <w:t xml:space="preserve"> en Europe. Elles sont essentielles aux transitions écologique et numérique</w:t>
      </w:r>
      <w:r>
        <w:rPr>
          <w:rFonts w:eastAsia="Times New Roman"/>
          <w:noProof/>
          <w:color w:val="000000" w:themeColor="text1"/>
          <w:vertAlign w:val="superscript"/>
        </w:rPr>
        <w:footnoteReference w:id="6"/>
      </w:r>
      <w:r>
        <w:rPr>
          <w:noProof/>
        </w:rPr>
        <w:t xml:space="preserve"> de l’Europe et à sa prospérité à long terme.</w:t>
      </w:r>
      <w:r>
        <w:rPr>
          <w:b/>
          <w:noProof/>
        </w:rPr>
        <w:t xml:space="preserve"> </w:t>
      </w:r>
    </w:p>
    <w:p w14:paraId="324F2C2A" w14:textId="7917D60D" w:rsidR="00804C4A" w:rsidRPr="00C92345" w:rsidRDefault="00747BEA" w:rsidP="00837960">
      <w:pPr>
        <w:rPr>
          <w:noProof/>
        </w:rPr>
      </w:pPr>
      <w:r>
        <w:rPr>
          <w:b/>
          <w:noProof/>
        </w:rPr>
        <w:t>La Commission tient donc systématiquement compte des PME dans ses politiques, d’autant plus depuis le lancement de la stratégie sur les PME de 2020</w:t>
      </w:r>
      <w:r>
        <w:rPr>
          <w:rStyle w:val="FootnoteReference"/>
          <w:b/>
          <w:bCs/>
          <w:noProof/>
        </w:rPr>
        <w:footnoteReference w:id="7"/>
      </w:r>
      <w:r>
        <w:rPr>
          <w:b/>
          <w:noProof/>
        </w:rPr>
        <w:t>.</w:t>
      </w:r>
      <w:r>
        <w:rPr>
          <w:noProof/>
        </w:rPr>
        <w:t xml:space="preserve"> Elle prévoit, conformément au cadre financier pluriannuel actuel (2021-2027) et à NextGenerationEU</w:t>
      </w:r>
      <w:r>
        <w:rPr>
          <w:rStyle w:val="FootnoteReference"/>
          <w:noProof/>
        </w:rPr>
        <w:footnoteReference w:id="8"/>
      </w:r>
      <w:r>
        <w:rPr>
          <w:noProof/>
        </w:rPr>
        <w:t>, que plus de 200 milliards d’euros seront mis à la disposition des PME au titre de ses différents programmes de financement. Dans une période de crises successives, la reprise et la résilience durables des PME constituent une priorité essentielle. La facilité pour la reprise et la résilience</w:t>
      </w:r>
      <w:r>
        <w:rPr>
          <w:rStyle w:val="FootnoteReference"/>
          <w:noProof/>
        </w:rPr>
        <w:footnoteReference w:id="9"/>
      </w:r>
      <w:r>
        <w:rPr>
          <w:noProof/>
        </w:rPr>
        <w:t xml:space="preserve"> apporte un soutien sans précédent pouvant aller jusqu’à 45 milliards d’euros aux PME</w:t>
      </w:r>
      <w:r>
        <w:rPr>
          <w:rStyle w:val="FootnoteReference"/>
          <w:rFonts w:eastAsiaTheme="minorEastAsia"/>
          <w:noProof/>
          <w:color w:val="000000" w:themeColor="text1"/>
        </w:rPr>
        <w:footnoteReference w:id="10"/>
      </w:r>
      <w:r>
        <w:rPr>
          <w:noProof/>
        </w:rPr>
        <w:t>, en plus d’un montant total de 65 milliards d’euros au titre des fonds de la politique de cohésion</w:t>
      </w:r>
      <w:r>
        <w:rPr>
          <w:rStyle w:val="FootnoteReference"/>
          <w:noProof/>
        </w:rPr>
        <w:footnoteReference w:id="11"/>
      </w:r>
      <w:r>
        <w:rPr>
          <w:noProof/>
        </w:rPr>
        <w:t>. Les PME ont également été les principales bénéficiaires de l’instrument européen de soutien temporaire à l’atténuation des risques de chômage en situation d’urgence (SURE), conçu pour protéger les emplois et les revenus touchés par la pandémie de coronavirus. En outre, les intérêts des PME ont été au cœur de l’encadrement temporaire des aides d’État de la Commission</w:t>
      </w:r>
      <w:r>
        <w:rPr>
          <w:rStyle w:val="FootnoteReference"/>
          <w:noProof/>
        </w:rPr>
        <w:footnoteReference w:id="12"/>
      </w:r>
      <w:r>
        <w:rPr>
          <w:noProof/>
        </w:rPr>
        <w:t>, ce qui a permis aux États membres d’apporter le soutien nécessaire aux entreprises dans le besoin, tout en garantissant l’égalité de traitement et en limitant les distorsions de concurrence indues qui auraient nui au marché unique.</w:t>
      </w:r>
    </w:p>
    <w:p w14:paraId="06AACC4E" w14:textId="6F9BF513" w:rsidR="009F72CB" w:rsidRPr="00C92345" w:rsidRDefault="00A913CA" w:rsidP="00837960">
      <w:pPr>
        <w:rPr>
          <w:noProof/>
        </w:rPr>
      </w:pPr>
      <w:r>
        <w:rPr>
          <w:b/>
          <w:noProof/>
        </w:rPr>
        <w:t>Une série de mesures a aidé les PME européennes à saisir les nouveaux débouchés commerciaux offerts par les transitions écologique et numérique et la coopération transsectorielle et transfrontière.</w:t>
      </w:r>
      <w:r>
        <w:rPr>
          <w:noProof/>
        </w:rPr>
        <w:t xml:space="preserve"> Du déploiement de 150 pôles d’innovation numérique sur l’ensemble du continent à la création d’un réseau de conseillers en matière de durabilité pour les PME</w:t>
      </w:r>
      <w:r>
        <w:rPr>
          <w:rStyle w:val="FootnoteReference"/>
          <w:noProof/>
        </w:rPr>
        <w:footnoteReference w:id="13"/>
      </w:r>
      <w:r>
        <w:rPr>
          <w:noProof/>
        </w:rPr>
        <w:t>, de la mise en place de parcours de transition pour les écosystèmes industriels européens</w:t>
      </w:r>
      <w:r>
        <w:rPr>
          <w:rStyle w:val="FootnoteReference"/>
          <w:noProof/>
        </w:rPr>
        <w:footnoteReference w:id="14"/>
      </w:r>
      <w:r>
        <w:rPr>
          <w:noProof/>
        </w:rPr>
        <w:t xml:space="preserve"> à la réforme de l’organisation du marché de l’électricité</w:t>
      </w:r>
      <w:r>
        <w:rPr>
          <w:rStyle w:val="FootnoteReference"/>
          <w:noProof/>
        </w:rPr>
        <w:footnoteReference w:id="15"/>
      </w:r>
      <w:r>
        <w:rPr>
          <w:noProof/>
        </w:rPr>
        <w:t>, de l’aide aux PME afin qu’elles accèdent aux données dans des conditions équitables</w:t>
      </w:r>
      <w:r>
        <w:rPr>
          <w:rStyle w:val="FootnoteReference"/>
          <w:noProof/>
        </w:rPr>
        <w:footnoteReference w:id="16"/>
      </w:r>
      <w:r>
        <w:rPr>
          <w:noProof/>
        </w:rPr>
        <w:t xml:space="preserve"> à la mobilisation de capital-risque pour les jeunes pousses et les PME œuvrant dans des domaines stratégiques tels que l’espace</w:t>
      </w:r>
      <w:r>
        <w:rPr>
          <w:rStyle w:val="FootnoteReference"/>
          <w:noProof/>
        </w:rPr>
        <w:footnoteReference w:id="17"/>
      </w:r>
      <w:r>
        <w:rPr>
          <w:noProof/>
        </w:rPr>
        <w:t>, du renforcement de l’internationalisation</w:t>
      </w:r>
      <w:r>
        <w:rPr>
          <w:rStyle w:val="FootnoteReference"/>
          <w:noProof/>
        </w:rPr>
        <w:footnoteReference w:id="18"/>
      </w:r>
      <w:r>
        <w:rPr>
          <w:noProof/>
        </w:rPr>
        <w:t xml:space="preserve"> et du commerce</w:t>
      </w:r>
      <w:r>
        <w:rPr>
          <w:rStyle w:val="FootnoteReference"/>
          <w:noProof/>
        </w:rPr>
        <w:footnoteReference w:id="19"/>
      </w:r>
      <w:r>
        <w:rPr>
          <w:noProof/>
        </w:rPr>
        <w:t xml:space="preserve"> (améliorant les débouchés commerciaux par l’intermédiaire de la stratégie «Global Gateway»</w:t>
      </w:r>
      <w:r>
        <w:rPr>
          <w:rStyle w:val="FootnoteReference"/>
          <w:noProof/>
        </w:rPr>
        <w:footnoteReference w:id="20"/>
      </w:r>
      <w:r>
        <w:rPr>
          <w:noProof/>
        </w:rPr>
        <w:t>) à la protection des actifs de propriété intellectuelle</w:t>
      </w:r>
      <w:r>
        <w:rPr>
          <w:rStyle w:val="FootnoteReference"/>
          <w:noProof/>
        </w:rPr>
        <w:footnoteReference w:id="21"/>
      </w:r>
      <w:r>
        <w:rPr>
          <w:noProof/>
        </w:rPr>
        <w:t>, les besoins des PME ont été au centre des préoccupations dans l’ensemble des travaux de la Commission.</w:t>
      </w:r>
    </w:p>
    <w:p w14:paraId="319053DF" w14:textId="39DC2058" w:rsidR="004E1EA7" w:rsidRPr="00C92345" w:rsidRDefault="00471AE3" w:rsidP="004E1EA7">
      <w:pPr>
        <w:rPr>
          <w:noProof/>
        </w:rPr>
      </w:pPr>
      <w:r>
        <w:rPr>
          <w:b/>
          <w:noProof/>
        </w:rPr>
        <w:t xml:space="preserve">Néanmoins, les PME sont confrontées à des incertitudes majeures, à des contraintes d’approvisionnement, à des pénuries de main-d’œuvre et à une concurrence qui n’est pas toujours loyale. </w:t>
      </w:r>
      <w:r>
        <w:rPr>
          <w:noProof/>
        </w:rPr>
        <w:t>La volatilité et l’imprévisibilité dans le contexte économique actuel ont rendu leurs activités plus difficiles. Au cours des années 2021 et 2022, elles ont éprouvé des difficultés à recruter du personnel pour faire face à un fort rebond de la demande. En outre, elles ont subi la hausse des coûts de l’énergie, causée par la guerre d’agression menée par la Russie contre l’Ukraine, alors que la hausse rapide des prix des matières premières a exercé une pression encore plus forte sur les petites entreprises. La hausse des taux d’intérêt a également rendu l’accès des PME au financement plus coûteux.</w:t>
      </w:r>
    </w:p>
    <w:p w14:paraId="08EE5274" w14:textId="4CD1A610" w:rsidR="004E1EA7" w:rsidRPr="00C92345" w:rsidRDefault="004E1EA7" w:rsidP="004E1EA7">
      <w:pPr>
        <w:rPr>
          <w:noProof/>
        </w:rPr>
      </w:pPr>
      <w:r>
        <w:rPr>
          <w:b/>
          <w:noProof/>
        </w:rPr>
        <w:t>Ces vents contraires sont susceptibles de persister.</w:t>
      </w:r>
      <w:r>
        <w:rPr>
          <w:noProof/>
        </w:rPr>
        <w:t xml:space="preserve"> Il est capital que l’UE et les États membres continuent de soutenir les PME sans relâche et de les aider à consolider leur reprise et à exploiter pleinement leur potentiel, de sorte que toutes — du magasin et de l’hôtel familial à la jeune pousse du secteur des technologies — puissent continuer à contribuer à la prospérité à long terme de l’Europe. </w:t>
      </w:r>
    </w:p>
    <w:p w14:paraId="0C8268BC" w14:textId="3FB06EC6" w:rsidR="00011D5A" w:rsidRPr="00C92345" w:rsidRDefault="00DE6824" w:rsidP="00837960">
      <w:pPr>
        <w:rPr>
          <w:noProof/>
        </w:rPr>
      </w:pPr>
      <w:r>
        <w:rPr>
          <w:b/>
          <w:noProof/>
        </w:rPr>
        <w:t>Avec le présent train de mesures de soutien aux PME, la Commission a pour objectif d’apporter une aide à court terme aux PME, de stimuler leur compétitivité et leur résilience à long terme et de favoriser un environnement commercial qui soit équitable et qui leur soit favorable</w:t>
      </w:r>
      <w:r>
        <w:rPr>
          <w:noProof/>
        </w:rPr>
        <w:t xml:space="preserve">. Le train de mesures comprend: </w:t>
      </w:r>
    </w:p>
    <w:p w14:paraId="475163D9" w14:textId="2324D903" w:rsidR="009011FE" w:rsidRPr="00C92345" w:rsidRDefault="009578D9" w:rsidP="005F23A1">
      <w:pPr>
        <w:pStyle w:val="ListParagraph"/>
        <w:numPr>
          <w:ilvl w:val="0"/>
          <w:numId w:val="16"/>
        </w:numPr>
        <w:ind w:left="567" w:hanging="425"/>
        <w:rPr>
          <w:rFonts w:eastAsia="Calibri"/>
          <w:noProof/>
          <w:color w:val="000000" w:themeColor="text1"/>
        </w:rPr>
      </w:pPr>
      <w:r>
        <w:rPr>
          <w:noProof/>
          <w:color w:val="000000" w:themeColor="text1"/>
        </w:rPr>
        <w:t xml:space="preserve">une proposition de </w:t>
      </w:r>
      <w:r>
        <w:rPr>
          <w:b/>
          <w:noProof/>
          <w:color w:val="000000" w:themeColor="text1"/>
        </w:rPr>
        <w:t>règlement sur les retards de paiement</w:t>
      </w:r>
      <w:r>
        <w:rPr>
          <w:noProof/>
          <w:color w:val="000000" w:themeColor="text1"/>
        </w:rPr>
        <w:t xml:space="preserve">; </w:t>
      </w:r>
    </w:p>
    <w:p w14:paraId="33D912AD" w14:textId="77777777" w:rsidR="00537B7F" w:rsidRPr="00C92345" w:rsidRDefault="009578D9" w:rsidP="005F23A1">
      <w:pPr>
        <w:pStyle w:val="ListParagraph"/>
        <w:numPr>
          <w:ilvl w:val="0"/>
          <w:numId w:val="16"/>
        </w:numPr>
        <w:ind w:left="567" w:hanging="425"/>
        <w:rPr>
          <w:noProof/>
        </w:rPr>
      </w:pPr>
      <w:r>
        <w:rPr>
          <w:noProof/>
        </w:rPr>
        <w:t xml:space="preserve">une proposition de </w:t>
      </w:r>
      <w:r>
        <w:rPr>
          <w:b/>
          <w:noProof/>
        </w:rPr>
        <w:t>directive sur la simplification de la fiscalité pour les PME</w:t>
      </w:r>
      <w:r>
        <w:rPr>
          <w:noProof/>
        </w:rPr>
        <w:t xml:space="preserve">; </w:t>
      </w:r>
    </w:p>
    <w:p w14:paraId="1E83E0F0" w14:textId="6AAD25B7" w:rsidR="009011FE" w:rsidRPr="00C92345" w:rsidRDefault="009011FE" w:rsidP="005F23A1">
      <w:pPr>
        <w:pStyle w:val="ListParagraph"/>
        <w:numPr>
          <w:ilvl w:val="0"/>
          <w:numId w:val="16"/>
        </w:numPr>
        <w:ind w:left="567" w:hanging="425"/>
        <w:rPr>
          <w:noProof/>
        </w:rPr>
      </w:pPr>
      <w:r>
        <w:rPr>
          <w:noProof/>
        </w:rPr>
        <w:t xml:space="preserve">un ensemble de </w:t>
      </w:r>
      <w:r>
        <w:rPr>
          <w:b/>
          <w:noProof/>
        </w:rPr>
        <w:t>mesures</w:t>
      </w:r>
      <w:r>
        <w:rPr>
          <w:noProof/>
        </w:rPr>
        <w:t xml:space="preserve"> visant à faciliter la tâche des PME, à améliorer leur accès au financement et à la main-d’œuvre qualifiée et à les soutenir tout au long de leur cycle de vie.</w:t>
      </w:r>
    </w:p>
    <w:p w14:paraId="3EEEE845" w14:textId="4E5D66DA" w:rsidR="00D06C52" w:rsidRPr="00C92345" w:rsidRDefault="009011FE" w:rsidP="00FB2FB5">
      <w:pPr>
        <w:keepNext/>
        <w:keepLines/>
        <w:rPr>
          <w:noProof/>
        </w:rPr>
      </w:pPr>
      <w:r>
        <w:rPr>
          <w:noProof/>
        </w:rPr>
        <w:t xml:space="preserve">La communication est accompagnée du premier rapport de mise en œuvre sur le </w:t>
      </w:r>
      <w:r>
        <w:rPr>
          <w:b/>
          <w:noProof/>
        </w:rPr>
        <w:t>portail numérique unique</w:t>
      </w:r>
      <w:r>
        <w:rPr>
          <w:noProof/>
        </w:rPr>
        <w:t xml:space="preserve"> et d’un premier examen préliminaire du règlement sur les relations entre les plateformes et les entreprises («</w:t>
      </w:r>
      <w:r>
        <w:rPr>
          <w:b/>
          <w:noProof/>
        </w:rPr>
        <w:t>règlement P2B</w:t>
      </w:r>
      <w:r>
        <w:rPr>
          <w:noProof/>
        </w:rPr>
        <w:t>»)</w:t>
      </w:r>
      <w:r>
        <w:rPr>
          <w:noProof/>
          <w:vertAlign w:val="superscript"/>
        </w:rPr>
        <w:footnoteReference w:id="22"/>
      </w:r>
      <w:r>
        <w:rPr>
          <w:noProof/>
        </w:rPr>
        <w:t xml:space="preserve">. </w:t>
      </w:r>
    </w:p>
    <w:p w14:paraId="6701DF41" w14:textId="3AC3F460" w:rsidR="00131A40" w:rsidRPr="00C92345" w:rsidRDefault="00131A40" w:rsidP="00D71213">
      <w:pPr>
        <w:pStyle w:val="Heading1"/>
        <w:rPr>
          <w:noProof/>
        </w:rPr>
      </w:pPr>
      <w:r>
        <w:rPr>
          <w:noProof/>
        </w:rPr>
        <w:t>Difficultés: les PME et leur reprise soutenue</w:t>
      </w:r>
    </w:p>
    <w:p w14:paraId="58F9E5F0" w14:textId="7596D020" w:rsidR="003F6F7E" w:rsidRPr="00C92345" w:rsidRDefault="00131A40" w:rsidP="00837960">
      <w:pPr>
        <w:rPr>
          <w:noProof/>
        </w:rPr>
      </w:pPr>
      <w:r>
        <w:rPr>
          <w:b/>
          <w:noProof/>
        </w:rPr>
        <w:t>Les PME n’ont pas encore retrouvé leurs niveaux de performance d’avant la pandémie.</w:t>
      </w:r>
      <w:r>
        <w:rPr>
          <w:noProof/>
        </w:rPr>
        <w:t xml:space="preserve"> Après correction de l’inflation, la valeur ajoutée des PME pour 2023 devrait rester à 3,6 % (contre 1,8 % pour les grandes entreprises) en dessous de son niveau de 2019, tandis que l’emploi des PME a à peine retrouvé son niveau d’avant la crise</w:t>
      </w:r>
      <w:r>
        <w:rPr>
          <w:rStyle w:val="FootnoteReference"/>
          <w:noProof/>
        </w:rPr>
        <w:footnoteReference w:id="23"/>
      </w:r>
      <w:r>
        <w:rPr>
          <w:noProof/>
        </w:rPr>
        <w:t>. En termes réels, en 2022, les PME de 12 des 14 écosystèmes industriels</w:t>
      </w:r>
      <w:r>
        <w:rPr>
          <w:rStyle w:val="FootnoteReference"/>
          <w:noProof/>
        </w:rPr>
        <w:footnoteReference w:id="24"/>
      </w:r>
      <w:r>
        <w:rPr>
          <w:noProof/>
        </w:rPr>
        <w:t xml:space="preserve"> ont connu une baisse de valeur ajoutée et, pour 2023, une baisse de valeur ajoutée est prévue pour les PME dans tous les écosystèmes. </w:t>
      </w:r>
    </w:p>
    <w:p w14:paraId="2BC6C6D3" w14:textId="416E06EC" w:rsidR="003F6F7E" w:rsidRPr="00C92345" w:rsidRDefault="003F6F7E" w:rsidP="003F6F7E">
      <w:pPr>
        <w:pStyle w:val="Caption"/>
        <w:keepNext/>
        <w:rPr>
          <w:rFonts w:ascii="Times New Roman" w:hAnsi="Times New Roman"/>
          <w:noProof/>
        </w:rPr>
      </w:pPr>
      <w:r>
        <w:rPr>
          <w:rFonts w:ascii="Times New Roman" w:hAnsi="Times New Roman"/>
          <w:noProof/>
        </w:rPr>
        <w:t>Graphique</w:t>
      </w:r>
      <w:r>
        <w:rPr>
          <w:noProof/>
        </w:rPr>
        <w:t xml:space="preserve"> </w:t>
      </w:r>
      <w:r>
        <w:rPr>
          <w:rFonts w:ascii="Times New Roman" w:hAnsi="Times New Roman"/>
          <w:noProof/>
          <w:color w:val="2B579A"/>
        </w:rPr>
        <w:fldChar w:fldCharType="begin" w:fldLock="1"/>
      </w:r>
      <w:r>
        <w:rPr>
          <w:rFonts w:ascii="Times New Roman" w:hAnsi="Times New Roman"/>
          <w:noProof/>
        </w:rPr>
        <w:instrText>SEQ Figure \* ARABIC</w:instrText>
      </w:r>
      <w:r>
        <w:rPr>
          <w:rFonts w:ascii="Times New Roman" w:hAnsi="Times New Roman"/>
          <w:noProof/>
          <w:color w:val="2B579A"/>
        </w:rPr>
        <w:fldChar w:fldCharType="separate"/>
      </w:r>
      <w:r>
        <w:rPr>
          <w:rFonts w:ascii="Times New Roman" w:hAnsi="Times New Roman"/>
          <w:noProof/>
        </w:rPr>
        <w:t>1</w:t>
      </w:r>
      <w:r>
        <w:rPr>
          <w:rFonts w:ascii="Times New Roman" w:hAnsi="Times New Roman"/>
          <w:noProof/>
          <w:color w:val="2B579A"/>
        </w:rPr>
        <w:fldChar w:fldCharType="end"/>
      </w:r>
      <w:r>
        <w:rPr>
          <w:rFonts w:ascii="Times New Roman" w:hAnsi="Times New Roman"/>
          <w:noProof/>
        </w:rPr>
        <w:t>: principales difficultés pour les PME - Source: Flash Eurobaromètre 486</w:t>
      </w:r>
    </w:p>
    <w:p w14:paraId="74E5AB9D" w14:textId="2854E201" w:rsidR="00131A40" w:rsidRPr="00C92345" w:rsidRDefault="003F6F7E" w:rsidP="00837960">
      <w:pPr>
        <w:rPr>
          <w:noProof/>
        </w:rPr>
      </w:pPr>
      <w:r>
        <w:rPr>
          <w:noProof/>
          <w:color w:val="2B579A"/>
          <w:shd w:val="clear" w:color="auto" w:fill="E6E6E6"/>
          <w:lang w:val="en-GB" w:eastAsia="en-GB"/>
        </w:rPr>
        <w:drawing>
          <wp:inline distT="0" distB="0" distL="0" distR="0" wp14:anchorId="43634DF1" wp14:editId="2CB9D782">
            <wp:extent cx="5765800" cy="2105025"/>
            <wp:effectExtent l="0" t="0" r="6350" b="9525"/>
            <wp:docPr id="8" name="Chart 8">
              <a:extLst xmlns:a="http://schemas.openxmlformats.org/drawingml/2006/main">
                <a:ext uri="{FF2B5EF4-FFF2-40B4-BE49-F238E27FC236}">
                  <a16:creationId xmlns:a16="http://schemas.microsoft.com/office/drawing/2014/main" id="{3FA71313-12B8-50A4-8C31-9C5F5214B9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50B73B0" w14:textId="42197E01" w:rsidR="00131A40" w:rsidRPr="00C92345" w:rsidRDefault="002E04FA" w:rsidP="00837960">
      <w:pPr>
        <w:rPr>
          <w:noProof/>
        </w:rPr>
      </w:pPr>
      <w:r>
        <w:rPr>
          <w:rStyle w:val="normaltextrun"/>
          <w:b/>
          <w:noProof/>
        </w:rPr>
        <w:t xml:space="preserve">La charge administrative ou les obstacles réglementaires figurent parmi les plus gros problèmes pour 55 % des </w:t>
      </w:r>
      <w:r>
        <w:rPr>
          <w:b/>
          <w:noProof/>
        </w:rPr>
        <w:t>PME</w:t>
      </w:r>
      <w:r>
        <w:rPr>
          <w:rStyle w:val="FootnoteReference"/>
          <w:noProof/>
        </w:rPr>
        <w:footnoteReference w:id="25"/>
      </w:r>
      <w:r>
        <w:rPr>
          <w:noProof/>
        </w:rPr>
        <w:t>. Un environnement réglementaire prévisible, une bonne gouvernance et un cadre institutionnel efficace contribuent à renforcer la compétitivité, à garantir l’équité et à soulager les PME.</w:t>
      </w:r>
    </w:p>
    <w:p w14:paraId="7189D1F8" w14:textId="77777777" w:rsidR="00EA24F6" w:rsidRPr="00C92345" w:rsidRDefault="002E04FA" w:rsidP="00837960">
      <w:pPr>
        <w:rPr>
          <w:noProof/>
        </w:rPr>
      </w:pPr>
      <w:r>
        <w:rPr>
          <w:b/>
          <w:noProof/>
        </w:rPr>
        <w:t>Les retards de paiement que subissent les PME nuisent à la compétitivité, accroissent l’incertitude et, dans le cas des marchés publics, n’encouragent pas leur participation.</w:t>
      </w:r>
      <w:r>
        <w:rPr>
          <w:noProof/>
        </w:rPr>
        <w:t xml:space="preserve"> Dans toute entreprise touchée, ils augmentent les besoins en fonds de roulement et les coûts de financement, font augmenter les coûts en raison du temps consacré à relancer les débiteurs et réduisent donc la capacité d’investissement. </w:t>
      </w:r>
    </w:p>
    <w:p w14:paraId="30F2CD68" w14:textId="3A051F2D" w:rsidR="00131A40" w:rsidRPr="00C92345" w:rsidRDefault="00EB2C4F" w:rsidP="00837960">
      <w:pPr>
        <w:rPr>
          <w:noProof/>
        </w:rPr>
      </w:pPr>
      <w:r>
        <w:rPr>
          <w:noProof/>
        </w:rPr>
        <w:t xml:space="preserve">L’accès au </w:t>
      </w:r>
      <w:r>
        <w:rPr>
          <w:b/>
          <w:noProof/>
        </w:rPr>
        <w:t>financement</w:t>
      </w:r>
      <w:r>
        <w:rPr>
          <w:noProof/>
        </w:rPr>
        <w:t xml:space="preserve"> nécessite davantage d’efforts de la part des petites entreprises par rapport aux grandes entreprises. L’incertitude accrue et l’augmentation des coûts de financement réduisent la capacité d’investissement des PME. Fin 2022, les PME s’attendaient à une détérioration imminente de la disponibilité de tous les types de financement</w:t>
      </w:r>
      <w:r>
        <w:rPr>
          <w:rStyle w:val="FootnoteReference"/>
          <w:noProof/>
        </w:rPr>
        <w:footnoteReference w:id="26"/>
      </w:r>
      <w:r>
        <w:rPr>
          <w:noProof/>
        </w:rPr>
        <w:t>.</w:t>
      </w:r>
    </w:p>
    <w:p w14:paraId="6DBEE219" w14:textId="2436881F" w:rsidR="00131A40" w:rsidRPr="00C92345" w:rsidRDefault="00131A40" w:rsidP="00837960">
      <w:pPr>
        <w:rPr>
          <w:noProof/>
        </w:rPr>
      </w:pPr>
      <w:r>
        <w:rPr>
          <w:b/>
          <w:noProof/>
        </w:rPr>
        <w:t>La disponibilité de personnel qualifié ou de cadres expérimentés est récemment devenue le problème le plus important pour 27 % des PME de l’UE</w:t>
      </w:r>
      <w:r>
        <w:rPr>
          <w:rStyle w:val="FootnoteReference"/>
          <w:noProof/>
        </w:rPr>
        <w:footnoteReference w:id="27"/>
      </w:r>
      <w:r>
        <w:rPr>
          <w:noProof/>
        </w:rPr>
        <w:t>, et 70 % des PME font état d’une augmentation des coûts de la main-d’œuvre</w:t>
      </w:r>
      <w:r>
        <w:rPr>
          <w:rStyle w:val="FootnoteReference"/>
          <w:noProof/>
        </w:rPr>
        <w:footnoteReference w:id="28"/>
      </w:r>
      <w:r>
        <w:rPr>
          <w:noProof/>
        </w:rPr>
        <w:t>. Les résultats de l’Eurobaromètre sur les compétences</w:t>
      </w:r>
      <w:r>
        <w:rPr>
          <w:noProof/>
          <w:vertAlign w:val="superscript"/>
        </w:rPr>
        <w:footnoteReference w:id="29"/>
      </w:r>
      <w:r>
        <w:rPr>
          <w:noProof/>
        </w:rPr>
        <w:t xml:space="preserve"> présentés parallèlement à la présente communication montrent que les pénuries de compétences freinent les activités commerciales de 63 % des PME et entravent également leurs efforts en matière de numérisation (pour 45 % d’entre elles) et d’écologisation (39 %).</w:t>
      </w:r>
    </w:p>
    <w:p w14:paraId="4C4F5FB9" w14:textId="16139BEC" w:rsidR="00083043" w:rsidRPr="00C92345" w:rsidRDefault="00083043" w:rsidP="00837960">
      <w:pPr>
        <w:rPr>
          <w:noProof/>
        </w:rPr>
      </w:pPr>
      <w:r>
        <w:rPr>
          <w:noProof/>
        </w:rPr>
        <w:t>Ces difficultés seront au cœur des mesures présentées dans le train de mesures de soutien aux PME, tel qu’il est décrit ci-dessous.</w:t>
      </w:r>
    </w:p>
    <w:p w14:paraId="2D6B6BD2" w14:textId="19449D1C" w:rsidR="007C742F" w:rsidRPr="00C92345" w:rsidRDefault="00356744" w:rsidP="00242478">
      <w:pPr>
        <w:pStyle w:val="Heading1"/>
        <w:rPr>
          <w:noProof/>
        </w:rPr>
      </w:pPr>
      <w:r>
        <w:rPr>
          <w:noProof/>
        </w:rPr>
        <w:t>Soulager les PME: aider les PME à exercer leurs activités en période difficile</w:t>
      </w:r>
    </w:p>
    <w:p w14:paraId="665F7B6C" w14:textId="77777777" w:rsidR="00356744" w:rsidRPr="00C92345" w:rsidRDefault="00356744" w:rsidP="00240DD4">
      <w:pPr>
        <w:pStyle w:val="Heading2"/>
        <w:spacing w:after="240"/>
        <w:rPr>
          <w:noProof/>
        </w:rPr>
      </w:pPr>
      <w:r>
        <w:rPr>
          <w:noProof/>
        </w:rPr>
        <w:t>Faciliter les choses pour les PME</w:t>
      </w:r>
    </w:p>
    <w:p w14:paraId="671B9E50" w14:textId="77777777" w:rsidR="00FD25A4" w:rsidRPr="00C92345" w:rsidRDefault="00FD25A4" w:rsidP="00240DD4">
      <w:pPr>
        <w:pStyle w:val="Heading3"/>
        <w:spacing w:before="240"/>
        <w:ind w:left="861"/>
        <w:rPr>
          <w:noProof/>
        </w:rPr>
      </w:pPr>
      <w:r>
        <w:rPr>
          <w:noProof/>
        </w:rPr>
        <w:t xml:space="preserve">Simplifier la fiscalité </w:t>
      </w:r>
    </w:p>
    <w:p w14:paraId="6F3F662F" w14:textId="6440021F" w:rsidR="00FB2FB5" w:rsidRPr="00C92345" w:rsidRDefault="00FD25A4" w:rsidP="00FD25A4">
      <w:pPr>
        <w:rPr>
          <w:noProof/>
        </w:rPr>
      </w:pPr>
      <w:r>
        <w:rPr>
          <w:b/>
          <w:noProof/>
        </w:rPr>
        <w:t>Les entreprises, notamment celles qui exercent des activités transfrontières, font face à une complexité et à des coûts de mise en conformité élevés en raison de l’obligation de se conformer à différents régimes d’imposition des sociétés lorsqu’elles exercent des activités dans plus d’un État membre.</w:t>
      </w:r>
      <w:r>
        <w:rPr>
          <w:noProof/>
        </w:rPr>
        <w:t xml:space="preserve"> Par conséquent, dans le cadre du présent train de mesures de soutien aux PME, la Commission propose une simplification majeure dans le domaine de la fiscalité directe pour les PME qui ont créé une présence imposable dans un autre État membre par l’intermédiaire d’un établissement stable. Les PME seraient autorisées à calculer la base d’imposition de leurs établissements stables dans d’autres États membres conformément aux règles de leur État membre d’origine, dans lequel elles conservent leur siège social et qu’elles connaissent le mieux. Les règles envisagées profiteront en particulier aux PME qui sont à un stade précoce de leur expansion internationale. Selon l’analyse d’impact accompagnant la proposition, cela pourrait réduire les coûts de mise en conformité fiscale des PME de 32 %, ce qui permettrait d’économiser jusqu’à 3,4 milliards d’euros par an au total. </w:t>
      </w:r>
    </w:p>
    <w:p w14:paraId="602E1A7B" w14:textId="79AFFB0F" w:rsidR="00FD25A4" w:rsidRPr="00C92345" w:rsidRDefault="00FD25A4" w:rsidP="00FD25A4">
      <w:pPr>
        <w:rPr>
          <w:noProof/>
        </w:rPr>
      </w:pPr>
      <w:r>
        <w:rPr>
          <w:b/>
          <w:noProof/>
        </w:rPr>
        <w:t>En outre, afin d’alléger la charge à laquelle les petites entreprises exerçant des activités transfrontières sont confrontées en ce qui concerne la TVA dans l’ensemble de l’UE, de nouvelles règles en matière de TVA s’appliqueront à partir du 1</w:t>
      </w:r>
      <w:r>
        <w:rPr>
          <w:b/>
          <w:noProof/>
          <w:vertAlign w:val="superscript"/>
        </w:rPr>
        <w:t>er</w:t>
      </w:r>
      <w:r>
        <w:rPr>
          <w:b/>
          <w:noProof/>
        </w:rPr>
        <w:t> janvier 2025</w:t>
      </w:r>
      <w:r>
        <w:rPr>
          <w:rStyle w:val="FootnoteReference"/>
          <w:noProof/>
        </w:rPr>
        <w:footnoteReference w:id="30"/>
      </w:r>
      <w:r>
        <w:rPr>
          <w:noProof/>
        </w:rPr>
        <w:t xml:space="preserve">. Les petites entreprises éligibles auront la possibilité d’exonérer de la TVA leurs livraisons de biens et leurs prestations de services effectuées dans tout État membre de l’UE autre que leur État membre d’établissement. </w:t>
      </w:r>
    </w:p>
    <w:tbl>
      <w:tblPr>
        <w:tblStyle w:val="TableGrid"/>
        <w:tblW w:w="0" w:type="auto"/>
        <w:tblLook w:val="04A0" w:firstRow="1" w:lastRow="0" w:firstColumn="1" w:lastColumn="0" w:noHBand="0" w:noVBand="1"/>
      </w:tblPr>
      <w:tblGrid>
        <w:gridCol w:w="9288"/>
      </w:tblGrid>
      <w:tr w:rsidR="00FD25A4" w:rsidRPr="00C92345" w14:paraId="77E356BF" w14:textId="77777777" w:rsidTr="007B0A4D">
        <w:tc>
          <w:tcPr>
            <w:tcW w:w="9288" w:type="dxa"/>
          </w:tcPr>
          <w:p w14:paraId="63BACD41" w14:textId="77777777" w:rsidR="00FD25A4" w:rsidRPr="00C92345" w:rsidRDefault="00FD25A4" w:rsidP="007B0A4D">
            <w:pPr>
              <w:rPr>
                <w:noProof/>
              </w:rPr>
            </w:pPr>
            <w:r>
              <w:rPr>
                <w:i/>
                <w:noProof/>
              </w:rPr>
              <w:t>La Commission propose:</w:t>
            </w:r>
          </w:p>
          <w:p w14:paraId="10611806" w14:textId="27A49A82" w:rsidR="00FD25A4" w:rsidRPr="00C92345" w:rsidRDefault="00FD25A4" w:rsidP="007B0A4D">
            <w:pPr>
              <w:pStyle w:val="ListParagraph"/>
              <w:numPr>
                <w:ilvl w:val="0"/>
                <w:numId w:val="31"/>
              </w:numPr>
              <w:spacing w:after="120"/>
              <w:rPr>
                <w:noProof/>
              </w:rPr>
            </w:pPr>
            <w:r>
              <w:rPr>
                <w:b/>
                <w:noProof/>
              </w:rPr>
              <w:t>Mesure nº 1</w:t>
            </w:r>
            <w:r>
              <w:rPr>
                <w:noProof/>
              </w:rPr>
              <w:t xml:space="preserve">: une directive relative à la simplification de la fiscalité établissant, pour les PME, un système d’imposition en fonction du siège social. </w:t>
            </w:r>
          </w:p>
        </w:tc>
      </w:tr>
    </w:tbl>
    <w:p w14:paraId="6783E2E8" w14:textId="77777777" w:rsidR="00FD25A4" w:rsidRPr="00C92345" w:rsidRDefault="00FD25A4" w:rsidP="00FD25A4">
      <w:pPr>
        <w:rPr>
          <w:noProof/>
        </w:rPr>
      </w:pPr>
    </w:p>
    <w:p w14:paraId="780ECA81" w14:textId="7C8F89DF" w:rsidR="00356744" w:rsidRPr="00C92345" w:rsidRDefault="00356744" w:rsidP="00837960">
      <w:pPr>
        <w:pStyle w:val="Heading3"/>
        <w:spacing w:before="240" w:after="120"/>
        <w:ind w:left="861"/>
        <w:rPr>
          <w:noProof/>
        </w:rPr>
      </w:pPr>
      <w:r>
        <w:rPr>
          <w:noProof/>
        </w:rPr>
        <w:t>Améliorer la réglementation pour les PME</w:t>
      </w:r>
    </w:p>
    <w:p w14:paraId="1F3BCD63" w14:textId="227BA89C" w:rsidR="00730FF2" w:rsidRPr="00C92345" w:rsidRDefault="003F4145" w:rsidP="00730FF2">
      <w:pPr>
        <w:rPr>
          <w:noProof/>
        </w:rPr>
      </w:pPr>
      <w:r>
        <w:rPr>
          <w:b/>
          <w:noProof/>
        </w:rPr>
        <w:t>La Commission s’est engagée à garantir un environnement réglementaire favorable aux entreprises</w:t>
      </w:r>
      <w:r>
        <w:rPr>
          <w:noProof/>
        </w:rPr>
        <w:t>, qui aide les PME à être productives, compétitives et résilientes. En 2021, la Commission a encore renforcé le «test PME», un outil qui évalue l’incidence des propositions sur les PME, afin d’améliorer encore son analyse et de mieux rendre compte de ces incidences</w:t>
      </w:r>
      <w:r>
        <w:rPr>
          <w:rStyle w:val="FootnoteReference"/>
          <w:rFonts w:eastAsiaTheme="minorEastAsia"/>
          <w:noProof/>
        </w:rPr>
        <w:footnoteReference w:id="31"/>
      </w:r>
      <w:r>
        <w:rPr>
          <w:noProof/>
        </w:rPr>
        <w:t>. Le test PME doit désormais être réalisé et consigné de manière plus systématique dans tous les rapports d’analyse d’impact, lorsque cela est proportionné à la pertinence d’une initiative pour les PME. Il est toutefois possible et nécessaire d’améliorer encore l’application du test PME: la Commission donnera donc suite aux recommandations que la plateforme «Prêts pour l’avenir»</w:t>
      </w:r>
      <w:r>
        <w:rPr>
          <w:noProof/>
          <w:vertAlign w:val="superscript"/>
        </w:rPr>
        <w:footnoteReference w:id="32"/>
      </w:r>
      <w:r>
        <w:rPr>
          <w:noProof/>
        </w:rPr>
        <w:t xml:space="preserve"> publiera dans le courant de l’année 2023 sur l’application du test PME, afin de garantir des évaluations encore plus détaillées et cohérentes des incidences de ses propositions juridiques sur les PME</w:t>
      </w:r>
      <w:r>
        <w:rPr>
          <w:rStyle w:val="FootnoteReference"/>
          <w:noProof/>
        </w:rPr>
        <w:footnoteReference w:id="33"/>
      </w:r>
      <w:r>
        <w:rPr>
          <w:noProof/>
        </w:rPr>
        <w:t xml:space="preserve">. </w:t>
      </w:r>
    </w:p>
    <w:p w14:paraId="0DF6FE41" w14:textId="7D00341F" w:rsidR="00DE0003" w:rsidRPr="00C92345" w:rsidRDefault="005E0ED8" w:rsidP="00837960">
      <w:pPr>
        <w:rPr>
          <w:rFonts w:eastAsia="Times New Roman"/>
          <w:noProof/>
        </w:rPr>
      </w:pPr>
      <w:r>
        <w:rPr>
          <w:noProof/>
        </w:rPr>
        <w:t>Selon le «filtre PME»</w:t>
      </w:r>
      <w:r>
        <w:rPr>
          <w:noProof/>
          <w:vertAlign w:val="superscript"/>
        </w:rPr>
        <w:footnoteReference w:id="34"/>
      </w:r>
      <w:r>
        <w:rPr>
          <w:noProof/>
        </w:rPr>
        <w:t>, un outil utilisé lors des premières étapes de l’élaboration des politiques et qui est un élément essentiel du test PME, 80 % de l’ensemble des initiatives législatives de l’UE sont considérées comme pertinentes pour les PME. Depuis janvier 2022, cet outil met en lumière les intérêts des PME, en étroite coopération avec les représentants des PME</w:t>
      </w:r>
      <w:r>
        <w:rPr>
          <w:rStyle w:val="FootnoteReference"/>
          <w:rFonts w:eastAsiaTheme="minorEastAsia"/>
          <w:noProof/>
        </w:rPr>
        <w:footnoteReference w:id="35"/>
      </w:r>
      <w:r>
        <w:rPr>
          <w:noProof/>
        </w:rPr>
        <w:t>. Cet aspect a encore été renforcé depuis mars 2023 par le nouveau contrôle de la compétitivité, qui rend compte de manière intégrée des incidences sur la compétitivité des entreprises, y compris sur la compétitivité des PME, dans toutes les analyses d’impact. Le comité d’examen de la réglementation, l’organe indépendant de surveillance de la Commission chargé de contrôler la qualité des projets d’analyses d’impact et d’évaluations, compte deux membres supplémentaires et son mandat a été renforcé afin de mettre davantage l’accent sur la compétitivité. Le comité est désormais tenu, outre l’application du principe «un ajout, un retrait» et l’intégration de la dimension prospective dans les analyses d’impact et les évaluations de la Commission, d’accorder une attention particulière aux incidences sur la compétitivité. Ce faisant, il évalue la qualité des estimations de coûts et si les rapports étudient suffisamment les possibilités de simplifier la législation et de réduire la charge inutile pour les entreprises et les citoyens. Lors de sa prochaine réunion annuelle avec les organes de surveillance, le comité approfondira les discussions relatives aux incidences sur la compétitivité et les PME, en échangeant les bonnes pratiques avec d’autres contrôleurs de l’UE</w:t>
      </w:r>
      <w:r>
        <w:rPr>
          <w:rStyle w:val="FootnoteReference"/>
          <w:rFonts w:eastAsia="Times New Roman"/>
          <w:noProof/>
        </w:rPr>
        <w:footnoteReference w:id="36"/>
      </w:r>
      <w:r>
        <w:rPr>
          <w:noProof/>
        </w:rPr>
        <w:t xml:space="preserve">.  </w:t>
      </w:r>
    </w:p>
    <w:p w14:paraId="497787C8" w14:textId="1F4D4D9F" w:rsidR="00B92F36" w:rsidRPr="00C92345" w:rsidRDefault="00AC5AD5" w:rsidP="00B92F36">
      <w:pPr>
        <w:rPr>
          <w:rFonts w:eastAsia="Times New Roman"/>
          <w:noProof/>
        </w:rPr>
      </w:pPr>
      <w:r>
        <w:rPr>
          <w:b/>
          <w:noProof/>
        </w:rPr>
        <w:t>La Commission désignera un représentant spécial des PME de l’UE</w:t>
      </w:r>
      <w:r>
        <w:rPr>
          <w:noProof/>
        </w:rPr>
        <w:t xml:space="preserve">, qui fera directement rapport à la présidente, tout en rendant compte au commissaire au marché intérieur de toutes les activités liées aux PME menées en collaboration avec les services de la direction générale du marché intérieur, de l’industrie, de l’entrepreneuriat et des PME, laquelle soutiendra ses travaux. En plus de travaux plus larges de sensibilisation et de coordination au sein de la Commission, avec le réseau des représentants des PME et à l’extérieur, et en s’appuyant sur les développements qui précèdent, le représentant des PME de l’UE sera désormais en mesure de participer, avec les directions générales, aux auditions du comité d’examen de la réglementation sur les initiatives qui ont une forte incidence sur les PME. </w:t>
      </w:r>
      <w:bookmarkStart w:id="4" w:name="_Hlk145178830"/>
      <w:r>
        <w:rPr>
          <w:noProof/>
        </w:rPr>
        <w:t>Dans ce contexte, et sans préjudice du fonctionnement et de l’indépendance du comité, le représentant des PME de l’UE sera en mesure de soulever des questions et d’alerter le comité au sujet des incidences négatives importantes sur les PME, des éventuelles mesures supplémentaires visant à les atténuer, de la fiabilité des analyses coûts/avantages et de la compétitivité et des activités de consultation</w:t>
      </w:r>
      <w:bookmarkEnd w:id="4"/>
      <w:r>
        <w:rPr>
          <w:noProof/>
        </w:rPr>
        <w:t>. En outre, sur la base du filtre PME, le représentant des PME de l’UE fournira à la Commission la liste des initiatives qui ont le plus d’incidences sur les PME, à partir de laquelle la Commission réalisera l’intégralité du test PME.</w:t>
      </w:r>
    </w:p>
    <w:p w14:paraId="37A09D98" w14:textId="057C5F84" w:rsidR="00A04F30" w:rsidRPr="00C92345" w:rsidRDefault="00356744" w:rsidP="00837960">
      <w:pPr>
        <w:rPr>
          <w:noProof/>
        </w:rPr>
      </w:pPr>
      <w:r>
        <w:rPr>
          <w:b/>
          <w:noProof/>
        </w:rPr>
        <w:t>Bien que le système atteigne globalement ses objectifs</w:t>
      </w:r>
      <w:r>
        <w:rPr>
          <w:rStyle w:val="FootnoteReference"/>
          <w:b/>
          <w:bCs/>
          <w:noProof/>
        </w:rPr>
        <w:footnoteReference w:id="37"/>
      </w:r>
      <w:r>
        <w:rPr>
          <w:b/>
          <w:noProof/>
        </w:rPr>
        <w:t>, la Commission s’efforce de réduire encore la charge découlant de la législation de l’UE.</w:t>
      </w:r>
      <w:r>
        <w:rPr>
          <w:noProof/>
        </w:rPr>
        <w:t xml:space="preserve"> Dans le cadre du programme pour une réglementation affûtée et performante (REFIT), chaque évaluation et révision de la législation supposent un examen systématique du potentiel de réduction de la charge. La plateforme «Prêts pour l’avenir» contribue à ce processus. Pour toutes les propositions importantes, des analyses d’impact exhaustives garantissent que les avantages contrebalancent les coûts. Depuis janvier 2022, la Commission a introduit, avec son </w:t>
      </w:r>
      <w:r>
        <w:rPr>
          <w:b/>
          <w:noProof/>
        </w:rPr>
        <w:t>approche «un ajout, un retrait»</w:t>
      </w:r>
      <w:r>
        <w:rPr>
          <w:noProof/>
        </w:rPr>
        <w:t>, un «frein aux coûts» destiné à garantir que les coûts administratifs dans un domaine donné s’annulent et que les coûts d’ajustement soient compensés dans toute la mesure du possible. La première année de mise en œuvre complète de cette approche a entraîné une réduction substantielle des coûts administratifs, avec des propositions qui apporteront 7,3 milliards d’euros d’économies de plus qu’elles n’apporteront de coûts</w:t>
      </w:r>
      <w:r>
        <w:rPr>
          <w:rStyle w:val="FootnoteReference"/>
          <w:noProof/>
        </w:rPr>
        <w:footnoteReference w:id="38"/>
      </w:r>
      <w:r>
        <w:rPr>
          <w:noProof/>
        </w:rPr>
        <w:t xml:space="preserve">. La Commission est pleinement déterminée à exploiter le potentiel de cet outil au cours des prochaines années. </w:t>
      </w:r>
    </w:p>
    <w:p w14:paraId="49DA5056" w14:textId="030E0D30" w:rsidR="00AA4BFC" w:rsidRPr="00C92345" w:rsidRDefault="005F5EBF" w:rsidP="00CE70A7">
      <w:pPr>
        <w:rPr>
          <w:noProof/>
        </w:rPr>
      </w:pPr>
      <w:r>
        <w:rPr>
          <w:b/>
          <w:noProof/>
        </w:rPr>
        <w:t>Afin de mettre en place un cadre réglementaire plus propice à l’innovation et à l’épreuve du temps</w:t>
      </w:r>
      <w:r>
        <w:rPr>
          <w:rStyle w:val="FootnoteReference"/>
          <w:b/>
          <w:noProof/>
        </w:rPr>
        <w:footnoteReference w:id="39"/>
      </w:r>
      <w:r>
        <w:rPr>
          <w:b/>
          <w:noProof/>
        </w:rPr>
        <w:t>, la Commission encourage l’utilisation de sas réglementaires</w:t>
      </w:r>
      <w:r>
        <w:rPr>
          <w:rStyle w:val="FootnoteReference"/>
          <w:b/>
          <w:noProof/>
        </w:rPr>
        <w:footnoteReference w:id="40"/>
      </w:r>
      <w:r>
        <w:rPr>
          <w:b/>
          <w:noProof/>
        </w:rPr>
        <w:t xml:space="preserve"> dans un certain nombre de domaines innovants, tels que l’intelligence artificielle</w:t>
      </w:r>
      <w:r>
        <w:rPr>
          <w:rStyle w:val="FootnoteReference"/>
          <w:b/>
          <w:noProof/>
        </w:rPr>
        <w:footnoteReference w:id="41"/>
      </w:r>
      <w:r>
        <w:rPr>
          <w:b/>
          <w:noProof/>
        </w:rPr>
        <w:t xml:space="preserve"> et les mondes virtuels</w:t>
      </w:r>
      <w:r>
        <w:rPr>
          <w:rStyle w:val="FootnoteReference"/>
          <w:b/>
          <w:bCs/>
          <w:noProof/>
        </w:rPr>
        <w:footnoteReference w:id="42"/>
      </w:r>
      <w:r>
        <w:rPr>
          <w:b/>
          <w:noProof/>
        </w:rPr>
        <w:t>.</w:t>
      </w:r>
      <w:r>
        <w:rPr>
          <w:noProof/>
        </w:rPr>
        <w:t xml:space="preserve"> Ces instruments devraient être appliqués de manière plus large, en permettant aux entreprises de l’UE, en particulier aux PME et aux jeunes pousses, d’expérimenter de nouvelles technologies, de nouvelles pratiques, de nouveaux services, de nouvelles applications et de nouveaux modèles d’entreprise dans un environnement réel contrôlé, en particulier dans les cas où une insécurité juridique ou des lacunes ou obstacles réglementaires entravent leur développement. </w:t>
      </w:r>
    </w:p>
    <w:p w14:paraId="2795D07E" w14:textId="55B3DAFF" w:rsidR="00DE0003" w:rsidRPr="00C92345" w:rsidRDefault="000E5E3E" w:rsidP="00A54AC2">
      <w:pPr>
        <w:rPr>
          <w:noProof/>
        </w:rPr>
      </w:pPr>
      <w:r>
        <w:rPr>
          <w:b/>
          <w:noProof/>
        </w:rPr>
        <w:t>Afin de mieux tenir compte des intérêts des PME lors de l’élaboration de nouvelles propositions législatives, la Commission étudiera systématiquement certains types de dispositions favorables aux PME</w:t>
      </w:r>
      <w:r>
        <w:rPr>
          <w:noProof/>
        </w:rPr>
        <w:t xml:space="preserve">. Il s’agit notamment, lorsque cela est approprié et justifié: </w:t>
      </w:r>
    </w:p>
    <w:p w14:paraId="649DDCB3" w14:textId="6FE54791" w:rsidR="00DE0003" w:rsidRPr="00C92345" w:rsidRDefault="00A54AC2" w:rsidP="00E9387D">
      <w:pPr>
        <w:pStyle w:val="ListParagraph"/>
        <w:numPr>
          <w:ilvl w:val="0"/>
          <w:numId w:val="38"/>
        </w:numPr>
        <w:rPr>
          <w:noProof/>
        </w:rPr>
      </w:pPr>
      <w:r>
        <w:rPr>
          <w:noProof/>
        </w:rPr>
        <w:t xml:space="preserve">de la possibilité d’autoriser des périodes de transition plus longues pour les PME, afin de garantir la prévisibilité et de faciliter le respect des règles par celles-ci; </w:t>
      </w:r>
    </w:p>
    <w:p w14:paraId="4620FD29" w14:textId="49F78B33" w:rsidR="00DE0003" w:rsidRPr="00C92345" w:rsidRDefault="00A54AC2" w:rsidP="00E9387D">
      <w:pPr>
        <w:pStyle w:val="ListParagraph"/>
        <w:numPr>
          <w:ilvl w:val="0"/>
          <w:numId w:val="38"/>
        </w:numPr>
        <w:rPr>
          <w:noProof/>
        </w:rPr>
      </w:pPr>
      <w:r>
        <w:rPr>
          <w:noProof/>
        </w:rPr>
        <w:t xml:space="preserve">d’exigences d’orientations spécifiques pour les PME que devront fournir la Commission et/ou les États membres en ce qui concerne la mise en œuvre de la législation proposée (par exemple, résumé de la législation, matériel de formation en ligne) s’il y a lieu; </w:t>
      </w:r>
    </w:p>
    <w:p w14:paraId="30731D2D" w14:textId="38A3F161" w:rsidR="00DE0003" w:rsidRPr="00C92345" w:rsidRDefault="00A54AC2" w:rsidP="00E9387D">
      <w:pPr>
        <w:pStyle w:val="ListParagraph"/>
        <w:numPr>
          <w:ilvl w:val="0"/>
          <w:numId w:val="38"/>
        </w:numPr>
        <w:rPr>
          <w:noProof/>
        </w:rPr>
      </w:pPr>
      <w:r>
        <w:rPr>
          <w:noProof/>
        </w:rPr>
        <w:t>de l’obligation pour la Commission d’accorder une attention particulière à l’incidence sur les PME des actes délégués et des actes d’exécution, qui définissent souvent le niveau des coûts pour les PME, et d’encourager le retour d’information des parties prenantes au moyen du portail «Donnez votre avis: simplifions!»</w:t>
      </w:r>
      <w:r>
        <w:rPr>
          <w:rStyle w:val="FootnoteReference"/>
          <w:noProof/>
        </w:rPr>
        <w:footnoteReference w:id="43"/>
      </w:r>
      <w:r>
        <w:rPr>
          <w:noProof/>
        </w:rPr>
        <w:t xml:space="preserve">; ou </w:t>
      </w:r>
    </w:p>
    <w:p w14:paraId="7948FD26" w14:textId="53C4B32C" w:rsidR="00A54AC2" w:rsidRPr="00C92345" w:rsidRDefault="00A54AC2" w:rsidP="00E9387D">
      <w:pPr>
        <w:pStyle w:val="ListParagraph"/>
        <w:numPr>
          <w:ilvl w:val="0"/>
          <w:numId w:val="38"/>
        </w:numPr>
        <w:rPr>
          <w:noProof/>
        </w:rPr>
      </w:pPr>
      <w:r>
        <w:rPr>
          <w:noProof/>
        </w:rPr>
        <w:t>d’une clause de réexamen ou d’une clause de caducité dans le droit dérivé, en veillant à ce que le calendrier soit compatible avec le processus d’évaluation ex post, afin de réduire au minimum les obligations de déclaration et les autres exigences de conformité et de veiller à ce que la législation reste adaptée à son objectif et que ses dispositions continuent de bien fonctionner pour les PME.</w:t>
      </w:r>
    </w:p>
    <w:p w14:paraId="64353ABB" w14:textId="38A46BE2" w:rsidR="00A54AC2" w:rsidRPr="00C92345" w:rsidRDefault="00CE70A7" w:rsidP="00837960">
      <w:pPr>
        <w:rPr>
          <w:noProof/>
        </w:rPr>
      </w:pPr>
      <w:r>
        <w:rPr>
          <w:b/>
          <w:noProof/>
        </w:rPr>
        <w:t>La Commission continuera de faire progresser ses processus d’amélioration de la réglementation</w:t>
      </w:r>
      <w:r>
        <w:rPr>
          <w:noProof/>
        </w:rPr>
        <w:t>, y compris la visibilité de ses activités en faveur des PME et de la compétitivité, afin de garantir que la législation et les politiques de l’UE fonctionnent mieux pour les PME. Toutes les mesures présentées dans la présente communication permettront à la Commission d’améliorer la qualité de son évaluation des incidences des propositions juridiques sur les PME et l’application du principe «Priorité aux PME»</w:t>
      </w:r>
      <w:r>
        <w:rPr>
          <w:rStyle w:val="FootnoteReference"/>
          <w:noProof/>
        </w:rPr>
        <w:footnoteReference w:id="44"/>
      </w:r>
      <w:r>
        <w:rPr>
          <w:noProof/>
        </w:rPr>
        <w:t xml:space="preserve"> dans toutes les politiques de l’UE. </w:t>
      </w:r>
    </w:p>
    <w:p w14:paraId="624B0AA1" w14:textId="5F605F66" w:rsidR="00306540" w:rsidRPr="00C92345" w:rsidRDefault="00A54AC2" w:rsidP="00A54AC2">
      <w:pPr>
        <w:rPr>
          <w:noProof/>
        </w:rPr>
      </w:pPr>
      <w:r>
        <w:rPr>
          <w:b/>
          <w:noProof/>
        </w:rPr>
        <w:t>La Commission n’agit pas isolément et l’engagement des colégislateurs et des autorités nationales et régionales, dans le cadre de leurs compétences, est également important.</w:t>
      </w:r>
      <w:r>
        <w:rPr>
          <w:noProof/>
        </w:rPr>
        <w:t xml:space="preserve"> Les mesures proposées permettront d’inclure la dimension «PME» dans le processus législatif interinstitutionnel, étant donné qu’il incombe conjointement aux colégislateurs de veiller, sur la base d’une évaluation approfondie des incidences, à ce que le droit de l’Union soit de qualité élevée. En outre, les États membres jouent un rôle essentiel en veillant à ce que la législation nationale, y compris les mesures de transposition du droit de l’Union, soutienne le principe «Priorité aux PME» et à ce que la charge administrative pesant sur les PME soit réduite. </w:t>
      </w:r>
    </w:p>
    <w:p w14:paraId="014CD3D6" w14:textId="7C59723D" w:rsidR="007C48E0" w:rsidRPr="00C92345" w:rsidRDefault="00A54AC2" w:rsidP="00A54AC2">
      <w:pPr>
        <w:rPr>
          <w:noProof/>
        </w:rPr>
      </w:pPr>
      <w:r>
        <w:rPr>
          <w:noProof/>
        </w:rPr>
        <w:t>Enfin, les agences exécutives, les agences décentralisées et les autres organismes de l’UE</w:t>
      </w:r>
      <w:r>
        <w:rPr>
          <w:rStyle w:val="FootnoteReference"/>
          <w:noProof/>
        </w:rPr>
        <w:footnoteReference w:id="45"/>
      </w:r>
      <w:r>
        <w:rPr>
          <w:noProof/>
        </w:rPr>
        <w:t xml:space="preserve"> devraient piloter la mise en œuvre des politiques de l’UE en faveur des PME, notamment au moyen de bureaux d’assistance aux PME ou de points de contact pour les PME, d’orientations pertinentes pour elles dans toutes les langues de l’UE ou d’outils en ligne qui leur sont adaptés</w:t>
      </w:r>
      <w:r>
        <w:rPr>
          <w:rStyle w:val="FootnoteReference"/>
          <w:noProof/>
        </w:rPr>
        <w:footnoteReference w:id="46"/>
      </w:r>
      <w:r>
        <w:rPr>
          <w:noProof/>
        </w:rPr>
        <w:t xml:space="preserve">. </w:t>
      </w:r>
    </w:p>
    <w:tbl>
      <w:tblPr>
        <w:tblStyle w:val="TableGrid"/>
        <w:tblpPr w:leftFromText="141" w:rightFromText="141" w:vertAnchor="text" w:tblpY="1"/>
        <w:tblOverlap w:val="never"/>
        <w:tblW w:w="0" w:type="auto"/>
        <w:tblLook w:val="0620" w:firstRow="1" w:lastRow="0" w:firstColumn="0" w:lastColumn="0" w:noHBand="1" w:noVBand="1"/>
      </w:tblPr>
      <w:tblGrid>
        <w:gridCol w:w="9288"/>
      </w:tblGrid>
      <w:tr w:rsidR="00A851AC" w:rsidRPr="00C92345" w14:paraId="021E4C45" w14:textId="77777777" w:rsidTr="0039014E">
        <w:tc>
          <w:tcPr>
            <w:tcW w:w="5000" w:type="pct"/>
          </w:tcPr>
          <w:p w14:paraId="5DEDE781" w14:textId="32C579C2" w:rsidR="00A851AC" w:rsidRPr="00C92345" w:rsidRDefault="000C152F" w:rsidP="0039014E">
            <w:pPr>
              <w:pStyle w:val="Bulletpoint1"/>
              <w:numPr>
                <w:ilvl w:val="0"/>
                <w:numId w:val="0"/>
              </w:numPr>
              <w:ind w:right="170"/>
              <w:rPr>
                <w:i/>
                <w:iCs/>
                <w:noProof/>
              </w:rPr>
            </w:pPr>
            <w:r>
              <w:rPr>
                <w:i/>
                <w:noProof/>
              </w:rPr>
              <w:t xml:space="preserve">La Commission propose: </w:t>
            </w:r>
          </w:p>
          <w:p w14:paraId="0AD72DB6" w14:textId="77777777" w:rsidR="00A851AC" w:rsidRPr="00C92345" w:rsidRDefault="00A851AC" w:rsidP="0039014E">
            <w:pPr>
              <w:pStyle w:val="Bulletpoint1"/>
              <w:numPr>
                <w:ilvl w:val="0"/>
                <w:numId w:val="0"/>
              </w:numPr>
              <w:ind w:left="360" w:right="170" w:hanging="360"/>
              <w:rPr>
                <w:noProof/>
              </w:rPr>
            </w:pPr>
          </w:p>
          <w:p w14:paraId="2FB1F087" w14:textId="0E910DB7" w:rsidR="00A851AC" w:rsidRPr="00C92345" w:rsidRDefault="00A851AC" w:rsidP="00F52967">
            <w:pPr>
              <w:pStyle w:val="Bulletpoint1"/>
              <w:rPr>
                <w:noProof/>
              </w:rPr>
            </w:pPr>
            <w:r>
              <w:rPr>
                <w:b/>
                <w:noProof/>
              </w:rPr>
              <w:t>Mesure nº 2</w:t>
            </w:r>
            <w:r>
              <w:rPr>
                <w:noProof/>
              </w:rPr>
              <w:t>: d’envisager systématiquement des dispositions favorables aux PME dans les nouvelles propositions législatives, lorsque cela est approprié, justifié et conforme aux objectifs stratégiques de l’Union.</w:t>
            </w:r>
          </w:p>
          <w:p w14:paraId="433D4AF8" w14:textId="4252FA07" w:rsidR="007712B8" w:rsidRPr="00E9387D" w:rsidRDefault="00F461FA" w:rsidP="00F52967">
            <w:pPr>
              <w:pStyle w:val="Bulletpoint1"/>
              <w:rPr>
                <w:noProof/>
              </w:rPr>
            </w:pPr>
            <w:r>
              <w:rPr>
                <w:b/>
                <w:noProof/>
              </w:rPr>
              <w:t>Mesure nº 3</w:t>
            </w:r>
            <w:r>
              <w:rPr>
                <w:noProof/>
              </w:rPr>
              <w:t>: de désigner un représentant spécial des PME de l’UE chargé de donner des orientations et des conseils à la Commission sur les questions relatives aux PME et de défendre les intérêts des PME à l’extérieur. Le représentant fait directement rapport à la présidente, tout en rendant compte au commissaire au marché intérieur de toutes les activités liées aux PME menées en collaboration avec les services de la direction générale du marché intérieur, de l’industrie, de l’entrepreneuriat et des PME, laquelle soutient ses travaux.</w:t>
            </w:r>
          </w:p>
          <w:p w14:paraId="3B9D36BE" w14:textId="77A3FC25" w:rsidR="00F461FA" w:rsidRPr="00C92345" w:rsidRDefault="00B92F36" w:rsidP="00F52967">
            <w:pPr>
              <w:pStyle w:val="Bulletpoint1"/>
              <w:rPr>
                <w:noProof/>
              </w:rPr>
            </w:pPr>
            <w:r>
              <w:rPr>
                <w:b/>
                <w:noProof/>
              </w:rPr>
              <w:t>Mesure nº 4</w:t>
            </w:r>
            <w:r>
              <w:rPr>
                <w:noProof/>
              </w:rPr>
              <w:t>: de veiller à ce que le représentant des PME de l’UE participe aux auditions du comité d’examen de la réglementation sur les initiatives qui ont une forte incidence sur les PME.</w:t>
            </w:r>
          </w:p>
          <w:p w14:paraId="6EA8162A" w14:textId="6DC7E46B" w:rsidR="000C152F" w:rsidRPr="00C92345" w:rsidRDefault="000C152F" w:rsidP="000C152F">
            <w:pPr>
              <w:pStyle w:val="Bulletpoint1"/>
              <w:rPr>
                <w:noProof/>
              </w:rPr>
            </w:pPr>
            <w:r>
              <w:rPr>
                <w:b/>
                <w:noProof/>
              </w:rPr>
              <w:t>Mesure nº 5</w:t>
            </w:r>
            <w:r>
              <w:rPr>
                <w:noProof/>
              </w:rPr>
              <w:t>: de promouvoir auprès du Parlement européen et du Conseil la mise en œuvre d’une évaluation «sur place» de l’incidence des modifications substantielles des propositions de la Commission déposées au cours du processus de codécision sur les PME et la compétitivité.</w:t>
            </w:r>
          </w:p>
          <w:p w14:paraId="36F1C817" w14:textId="2892CCE4" w:rsidR="00745568" w:rsidRPr="00C92345" w:rsidRDefault="000C152F" w:rsidP="009B5900">
            <w:pPr>
              <w:pStyle w:val="Bulletpoint1"/>
              <w:spacing w:after="120"/>
              <w:ind w:right="170"/>
              <w:rPr>
                <w:noProof/>
              </w:rPr>
            </w:pPr>
            <w:r>
              <w:rPr>
                <w:b/>
                <w:noProof/>
              </w:rPr>
              <w:t>Mesure nº 6</w:t>
            </w:r>
            <w:r>
              <w:rPr>
                <w:noProof/>
              </w:rPr>
              <w:t xml:space="preserve">: de dialoguer avec les agences exécutives et les agences décentralisées afin de recenser et de promouvoir les bonnes pratiques en matière de soutien aux PME en vue de faciliter l’utilisation des services des agences par les PME. </w:t>
            </w:r>
          </w:p>
          <w:p w14:paraId="63B06BA4" w14:textId="22CB0F96" w:rsidR="00A851AC" w:rsidRPr="00C92345" w:rsidRDefault="00745568" w:rsidP="009B5900">
            <w:pPr>
              <w:pStyle w:val="Bulletpoint1"/>
              <w:spacing w:after="120"/>
              <w:ind w:right="170"/>
              <w:rPr>
                <w:noProof/>
              </w:rPr>
            </w:pPr>
            <w:r>
              <w:rPr>
                <w:b/>
                <w:noProof/>
              </w:rPr>
              <w:t>Mesure nº 7</w:t>
            </w:r>
            <w:r>
              <w:rPr>
                <w:noProof/>
              </w:rPr>
              <w:t>: de coopérer avec les États membres pour promouvoir l’expérimentation et l’innovation des jeunes pousses au moyen de sas réglementaires.</w:t>
            </w:r>
          </w:p>
        </w:tc>
      </w:tr>
    </w:tbl>
    <w:p w14:paraId="74D22943" w14:textId="6DB01DC9" w:rsidR="005C7FD0" w:rsidRPr="00C92345" w:rsidRDefault="00E143FA" w:rsidP="00240DD4">
      <w:pPr>
        <w:pStyle w:val="Heading3"/>
        <w:spacing w:before="240"/>
        <w:ind w:left="862"/>
        <w:rPr>
          <w:noProof/>
        </w:rPr>
      </w:pPr>
      <w:bookmarkStart w:id="5" w:name="_Toc130395604"/>
      <w:bookmarkStart w:id="6" w:name="_Toc130403522"/>
      <w:bookmarkStart w:id="7" w:name="_Toc130395607"/>
      <w:bookmarkStart w:id="8" w:name="_Toc130403525"/>
      <w:bookmarkStart w:id="9" w:name="_Toc130395610"/>
      <w:bookmarkStart w:id="10" w:name="_Toc130403528"/>
      <w:bookmarkStart w:id="11" w:name="_Toc130395612"/>
      <w:bookmarkStart w:id="12" w:name="_Toc130403530"/>
      <w:bookmarkStart w:id="13" w:name="_Toc130395616"/>
      <w:bookmarkStart w:id="14" w:name="_Toc130403534"/>
      <w:bookmarkStart w:id="15" w:name="_Toc130395617"/>
      <w:bookmarkStart w:id="16" w:name="_Toc130403535"/>
      <w:bookmarkStart w:id="17" w:name="_Toc130395618"/>
      <w:bookmarkStart w:id="18" w:name="_Toc130403536"/>
      <w:bookmarkStart w:id="19" w:name="_Toc130395651"/>
      <w:bookmarkStart w:id="20" w:name="_Toc130403569"/>
      <w:bookmarkStart w:id="21" w:name="_Toc130395652"/>
      <w:bookmarkStart w:id="22" w:name="_Toc130403570"/>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noProof/>
        </w:rPr>
        <w:t>Utiliser les technologies numériques pour réduire la charge et améliorer la résilience</w:t>
      </w:r>
    </w:p>
    <w:p w14:paraId="736E4242" w14:textId="67BF67D9" w:rsidR="00FB2FB5" w:rsidRPr="00C92345" w:rsidRDefault="00AE150C" w:rsidP="00837960">
      <w:pPr>
        <w:rPr>
          <w:i/>
          <w:iCs/>
          <w:noProof/>
        </w:rPr>
      </w:pPr>
      <w:bookmarkStart w:id="23" w:name="_Hlk144892898"/>
      <w:r>
        <w:rPr>
          <w:b/>
          <w:noProof/>
        </w:rPr>
        <w:t>Une numérisation accrue peut réduire considérablement la charge et les coûts pour les PME</w:t>
      </w:r>
      <w:r>
        <w:rPr>
          <w:noProof/>
        </w:rPr>
        <w:t>. Le portail numérique unique</w:t>
      </w:r>
      <w:r>
        <w:rPr>
          <w:rStyle w:val="FootnoteReference"/>
          <w:rFonts w:eastAsia="Times New Roman"/>
          <w:noProof/>
        </w:rPr>
        <w:footnoteReference w:id="47"/>
      </w:r>
      <w:bookmarkStart w:id="24" w:name="_Hlk141979170"/>
      <w:r>
        <w:rPr>
          <w:noProof/>
        </w:rPr>
        <w:t xml:space="preserve"> fournit un guichet unique pour des informations administratives et réglementaires fiables, des procédures en ligne et une assistance à tous les niveaux de l’administration publique. Il aide les PME à mieux exploiter les possibilités offertes par le marché unique et réduit considérablement leur charge administrative au moyen de procédures en ligne dans des domaines clés.</w:t>
      </w:r>
      <w:r>
        <w:rPr>
          <w:noProof/>
          <w:color w:val="000000" w:themeColor="text1"/>
        </w:rPr>
        <w:t xml:space="preserve"> </w:t>
      </w:r>
      <w:r>
        <w:rPr>
          <w:noProof/>
        </w:rPr>
        <w:t>Le premier rapport sur la mise en œuvre du portail numérique unique, présenté dans le cadre du train de mesures de soutien aux PME, montre que le portail numérique unique a aidé les PME à accéder à des informations de grande qualité sur les règles et procédures applicables dans l’ensemble du marché unique, ce qui est particulièrement bénéfique pour les petites entreprises dont les capacités administratives sont limitées.</w:t>
      </w:r>
      <w:r>
        <w:rPr>
          <w:i/>
          <w:noProof/>
        </w:rPr>
        <w:t xml:space="preserve"> </w:t>
      </w:r>
    </w:p>
    <w:p w14:paraId="005F87A0" w14:textId="77777777" w:rsidR="008913B2" w:rsidRPr="00C92345" w:rsidRDefault="00FB2FB5" w:rsidP="008913B2">
      <w:pPr>
        <w:rPr>
          <w:noProof/>
        </w:rPr>
      </w:pPr>
      <w:r>
        <w:rPr>
          <w:b/>
          <w:noProof/>
        </w:rPr>
        <w:t>Comme indiqué dans le rapport, la Commission collabore avec les États membres en vue de mettre en place des procédures en ligne et de lancer le système technique «une fois pour toutes» (OOTS)</w:t>
      </w:r>
      <w:r>
        <w:rPr>
          <w:noProof/>
        </w:rPr>
        <w:t xml:space="preserve">, qui devrait être pleinement opérationnel d’ici décembre 2023. Cela permettra l’échange transfrontière de documents clés entre les autorités publiques, évitant ainsi aux PME de soumettre dans des États membres des documents qu’elles ont déjà soumis dans d’autres États membres. Cela réduira également le coût de la libre circulation au sein du marché unique, les frictions administratives et les obstacles, sans imposer d’obligations supplémentaires aux entreprises. </w:t>
      </w:r>
    </w:p>
    <w:p w14:paraId="7F671BDE" w14:textId="062C7092" w:rsidR="008913B2" w:rsidRPr="00C92345" w:rsidRDefault="008913B2" w:rsidP="00837960">
      <w:pPr>
        <w:rPr>
          <w:noProof/>
        </w:rPr>
      </w:pPr>
      <w:r>
        <w:rPr>
          <w:noProof/>
        </w:rPr>
        <w:t xml:space="preserve">Un exemple concret est celui des difficultés rencontrées par de nombreuses PME avec le </w:t>
      </w:r>
      <w:r>
        <w:rPr>
          <w:b/>
          <w:noProof/>
        </w:rPr>
        <w:t>document portable A1</w:t>
      </w:r>
      <w:r>
        <w:rPr>
          <w:noProof/>
        </w:rPr>
        <w:t xml:space="preserve"> (pour </w:t>
      </w:r>
      <w:r>
        <w:rPr>
          <w:noProof/>
          <w:color w:val="000000"/>
          <w:bdr w:val="none" w:sz="0" w:space="0" w:color="auto" w:frame="1"/>
          <w:shd w:val="clear" w:color="auto" w:fill="FFFFFF"/>
        </w:rPr>
        <w:t xml:space="preserve">déterminer quelle législation en matière de sécurité sociale s’applique à son titulaire). </w:t>
      </w:r>
      <w:r>
        <w:rPr>
          <w:noProof/>
        </w:rPr>
        <w:t xml:space="preserve">À partir de la fin de cette année, l’OOTS facilitera les demandes récurrentes concernant le document portable A1 </w:t>
      </w:r>
      <w:r>
        <w:rPr>
          <w:noProof/>
          <w:color w:val="000000"/>
          <w:bdr w:val="none" w:sz="0" w:space="0" w:color="auto" w:frame="1"/>
          <w:shd w:val="clear" w:color="auto" w:fill="FFFFFF"/>
        </w:rPr>
        <w:t xml:space="preserve">et permettra de recevoir le résultat par voie électronique. </w:t>
      </w:r>
      <w:r>
        <w:rPr>
          <w:noProof/>
        </w:rPr>
        <w:t xml:space="preserve">En outre, la récente communication de la Commission sur la numérisation dans le domaine de la coordination de la sécurité sociale présente d’autres mesures visant à faciliter l’interaction entre les citoyens mobiles et les entreprises opérant à l’étranger, en particulier les PME, et les autorités nationales dans le domaine de la sécurité sociale, telles que le </w:t>
      </w:r>
      <w:r>
        <w:rPr>
          <w:b/>
          <w:noProof/>
          <w:color w:val="000000"/>
          <w:bdr w:val="none" w:sz="0" w:space="0" w:color="auto" w:frame="1"/>
          <w:shd w:val="clear" w:color="auto" w:fill="FFFFFF"/>
        </w:rPr>
        <w:t>projet pilote de passeport européen (ESSPASS)</w:t>
      </w:r>
      <w:r>
        <w:rPr>
          <w:noProof/>
          <w:color w:val="000000"/>
          <w:bdr w:val="none" w:sz="0" w:space="0" w:color="auto" w:frame="1"/>
          <w:shd w:val="clear" w:color="auto" w:fill="FFFFFF"/>
        </w:rPr>
        <w:t xml:space="preserve"> concernant le document portable A1</w:t>
      </w:r>
      <w:r>
        <w:rPr>
          <w:noProof/>
          <w:vertAlign w:val="superscript"/>
        </w:rPr>
        <w:footnoteReference w:id="48"/>
      </w:r>
      <w:r>
        <w:rPr>
          <w:noProof/>
        </w:rPr>
        <w:t xml:space="preserve">. Dans le même ordre d’idées, dans le contexte de l’initiative concernant la réduction et la simplification des obligations de déclaration (voir section 3.1.4 ci-dessous), la création d’un </w:t>
      </w:r>
      <w:r>
        <w:rPr>
          <w:b/>
          <w:noProof/>
        </w:rPr>
        <w:t>format électronique (déclaration électronique) pour la déclaration de détachement de travailleurs réduira considérablement la charge administrative et les coûts de mise en conformité pour les employeurs</w:t>
      </w:r>
      <w:r>
        <w:rPr>
          <w:noProof/>
        </w:rPr>
        <w:t xml:space="preserve">, qui pourront utiliser une déclaration simplifiée dans un format unique dans leur propre langue dans tous les États membres participants. </w:t>
      </w:r>
    </w:p>
    <w:bookmarkEnd w:id="24"/>
    <w:p w14:paraId="4A1A3CC8" w14:textId="71E7396C" w:rsidR="009631B0" w:rsidRPr="00C92345" w:rsidRDefault="00E143FA" w:rsidP="009631B0">
      <w:pPr>
        <w:rPr>
          <w:rFonts w:eastAsiaTheme="minorEastAsia"/>
          <w:noProof/>
          <w:color w:val="000000" w:themeColor="text1"/>
        </w:rPr>
      </w:pPr>
      <w:r>
        <w:rPr>
          <w:b/>
          <w:noProof/>
        </w:rPr>
        <w:t>La récente proposition visant à étendre encore l’utilisation des outils et processus numériques dans le droit des sociétés de l’UE constitue une avancée importante dans la numérisation du droit des sociétés, qui aide les PME à exercer leurs activités dans l’UE</w:t>
      </w:r>
      <w:r>
        <w:rPr>
          <w:rStyle w:val="FootnoteReference"/>
          <w:b/>
          <w:bCs/>
          <w:noProof/>
        </w:rPr>
        <w:footnoteReference w:id="49"/>
      </w:r>
      <w:r>
        <w:rPr>
          <w:b/>
          <w:noProof/>
        </w:rPr>
        <w:t>.</w:t>
      </w:r>
      <w:r>
        <w:rPr>
          <w:noProof/>
          <w:color w:val="000000"/>
        </w:rPr>
        <w:t xml:space="preserve"> </w:t>
      </w:r>
      <w:r>
        <w:rPr>
          <w:noProof/>
        </w:rPr>
        <w:t>Elle réduira considérablement la charge administrative pour les entreprises, de l’ordre de 437 millions d’euros par an environ, grâce à un certificat d’entreprise de l’UE et à l’application du principe «une fois pour toutes» lorsque des sociétés créent des filiales et des succursales dans d’autres États membres</w:t>
      </w:r>
      <w:r>
        <w:rPr>
          <w:rStyle w:val="FootnoteReference"/>
          <w:noProof/>
          <w:color w:val="000000"/>
        </w:rPr>
        <w:footnoteReference w:id="50"/>
      </w:r>
      <w:r>
        <w:rPr>
          <w:noProof/>
        </w:rPr>
        <w:t>. Les entreprises peuvent également bénéficier du fait que leurs informations soient visibles via le système d’interconnexion des registres du commerce (BRIS)</w:t>
      </w:r>
      <w:r>
        <w:rPr>
          <w:rStyle w:val="FootnoteReference"/>
          <w:noProof/>
        </w:rPr>
        <w:footnoteReference w:id="51"/>
      </w:r>
      <w:r>
        <w:rPr>
          <w:noProof/>
        </w:rPr>
        <w:t xml:space="preserve"> dans le marché unique. </w:t>
      </w:r>
      <w:r>
        <w:rPr>
          <w:noProof/>
          <w:color w:val="000000" w:themeColor="text1"/>
        </w:rPr>
        <w:t>En outre, les PME touchées par des infractions au droit de l’Union peuvent s’appuyer sur SOLVIT</w:t>
      </w:r>
      <w:r>
        <w:rPr>
          <w:rStyle w:val="FootnoteReference"/>
          <w:rFonts w:eastAsiaTheme="minorEastAsia"/>
          <w:noProof/>
          <w:color w:val="000000" w:themeColor="text1"/>
        </w:rPr>
        <w:footnoteReference w:id="52"/>
      </w:r>
      <w:r>
        <w:rPr>
          <w:noProof/>
          <w:color w:val="000000" w:themeColor="text1"/>
        </w:rPr>
        <w:t xml:space="preserve"> pour résoudre les litiges et obtenir un règlement extrajudiciaire. </w:t>
      </w:r>
    </w:p>
    <w:p w14:paraId="3F5D1467" w14:textId="3D7A44AB" w:rsidR="002979D2" w:rsidRPr="00C92345" w:rsidRDefault="002979D2" w:rsidP="002979D2">
      <w:pPr>
        <w:rPr>
          <w:noProof/>
        </w:rPr>
      </w:pPr>
      <w:r>
        <w:rPr>
          <w:b/>
          <w:noProof/>
        </w:rPr>
        <w:t xml:space="preserve">La poursuite de la numérisation des PME est essentielle pour leur compétitivité, leur résilience et leur capacité d’innovation. </w:t>
      </w:r>
      <w:r>
        <w:rPr>
          <w:noProof/>
        </w:rPr>
        <w:t>Le programme d’action pour la décennie numérique</w:t>
      </w:r>
      <w:r>
        <w:rPr>
          <w:rStyle w:val="FootnoteReference"/>
          <w:noProof/>
        </w:rPr>
        <w:footnoteReference w:id="53"/>
      </w:r>
      <w:r>
        <w:rPr>
          <w:noProof/>
        </w:rPr>
        <w:t xml:space="preserve"> vise à ce que plus de 90 % des PME atteignent au moins un niveau élémentaire d’intensité numérique d’ici à 2030. Cofinancés par le programme pour une Europe numérique, les pôles européens d’innovation numérique constituent le principal instrument à l’appui de cet objectif. Ils soutiennent les entreprises, en particulier les PME, dans leur parcours de numérisation. Grâce à l’évaluation de la maturité numérique des PME, les pôles européens d’innovation numérique apportent une assistance ciblée, allant de l’expertise technique et des tests («test avant investissement») aux services d’innovation, tels que le conseil financier, la formation et le développement des compétences. À l’heure actuelle, il existe 151 pôles européens d’innovation numérique dans 30 pays européens différents. D’ici à la fin de l’année 2025, les pôles européens d’innovation numérique devraient aider quelque 100 000 entreprises et entités du secteur public en Europe. Les installations sectorielles d’essai et d’expérimentation aident les développeurs d’intelligence artificielle à mettre sur le marché une intelligence artificielle fiable de manière plus efficace, facilitant ainsi son adoption par les petites entreprises en Europe</w:t>
      </w:r>
      <w:r>
        <w:rPr>
          <w:rStyle w:val="FootnoteReference"/>
          <w:noProof/>
        </w:rPr>
        <w:footnoteReference w:id="54"/>
      </w:r>
      <w:r>
        <w:rPr>
          <w:noProof/>
        </w:rPr>
        <w:t xml:space="preserve">. </w:t>
      </w:r>
    </w:p>
    <w:tbl>
      <w:tblPr>
        <w:tblStyle w:val="TableGrid"/>
        <w:tblW w:w="0" w:type="auto"/>
        <w:tblLook w:val="04A0" w:firstRow="1" w:lastRow="0" w:firstColumn="1" w:lastColumn="0" w:noHBand="0" w:noVBand="1"/>
      </w:tblPr>
      <w:tblGrid>
        <w:gridCol w:w="9288"/>
      </w:tblGrid>
      <w:tr w:rsidR="00E143FA" w:rsidRPr="00C92345" w14:paraId="762D8F36" w14:textId="77777777" w:rsidTr="00E143FA">
        <w:tc>
          <w:tcPr>
            <w:tcW w:w="0" w:type="auto"/>
          </w:tcPr>
          <w:p w14:paraId="1EB68D53" w14:textId="77777777" w:rsidR="00E143FA" w:rsidRPr="00C92345" w:rsidRDefault="00E143FA" w:rsidP="00E143FA">
            <w:pPr>
              <w:pStyle w:val="Commissionwill"/>
              <w:rPr>
                <w:rStyle w:val="Strong"/>
                <w:noProof/>
              </w:rPr>
            </w:pPr>
            <w:r>
              <w:rPr>
                <w:rStyle w:val="Strong"/>
                <w:noProof/>
              </w:rPr>
              <w:t>La Commission propose:</w:t>
            </w:r>
          </w:p>
          <w:p w14:paraId="5EF849A1" w14:textId="16A91FBA" w:rsidR="00E143FA" w:rsidRPr="00C92345" w:rsidRDefault="00E143FA" w:rsidP="002F4BB8">
            <w:pPr>
              <w:pStyle w:val="Bulletpoint1"/>
              <w:spacing w:after="120"/>
              <w:rPr>
                <w:rStyle w:val="Strong"/>
                <w:noProof/>
              </w:rPr>
            </w:pPr>
            <w:r>
              <w:rPr>
                <w:b/>
                <w:noProof/>
              </w:rPr>
              <w:t>Mesure nº 8</w:t>
            </w:r>
            <w:r>
              <w:rPr>
                <w:noProof/>
              </w:rPr>
              <w:t>: de lancer, d’ici à la fin de l’année 2023, le système technique «une fois pour toutes» en coopération avec les États membres et d’élargir le champ d’application du portail numérique unique afin qu’il supporte de nouvelles procédures, en tenant compte des besoins des PME.</w:t>
            </w:r>
          </w:p>
        </w:tc>
      </w:tr>
    </w:tbl>
    <w:bookmarkEnd w:id="23"/>
    <w:p w14:paraId="1B1C8535" w14:textId="1B4E896A" w:rsidR="00E143FA" w:rsidRPr="00C92345" w:rsidRDefault="00E143FA" w:rsidP="00240DD4">
      <w:pPr>
        <w:pStyle w:val="Heading3"/>
        <w:spacing w:before="240"/>
        <w:rPr>
          <w:noProof/>
        </w:rPr>
      </w:pPr>
      <w:r>
        <w:rPr>
          <w:noProof/>
        </w:rPr>
        <w:t xml:space="preserve">Simplifier les procédures et les obligations de déclaration </w:t>
      </w:r>
    </w:p>
    <w:p w14:paraId="626CA9EA" w14:textId="7132E09C" w:rsidR="00E05B43" w:rsidRPr="00C92345" w:rsidRDefault="001D62E2" w:rsidP="005F23A1">
      <w:pPr>
        <w:rPr>
          <w:noProof/>
        </w:rPr>
      </w:pPr>
      <w:r>
        <w:rPr>
          <w:b/>
          <w:noProof/>
        </w:rPr>
        <w:t>Dans le contexte de l’amélioration de la compétitivité à long terme des entreprises</w:t>
      </w:r>
      <w:r>
        <w:rPr>
          <w:rStyle w:val="FootnoteReference"/>
          <w:b/>
          <w:bCs/>
          <w:noProof/>
        </w:rPr>
        <w:footnoteReference w:id="55"/>
      </w:r>
      <w:r>
        <w:rPr>
          <w:b/>
          <w:noProof/>
        </w:rPr>
        <w:t>, la Commission plaide en faveur de la rationalisation des obligations de déclaration découlant de la législation de l’UE</w:t>
      </w:r>
      <w:r>
        <w:rPr>
          <w:noProof/>
        </w:rPr>
        <w:t>, dans le but de réduire cette charge de 25 % sans compromettre les objectifs stratégiques correspondants. Cette ambition vise à réduire la charge réglementaire pesant sur les entreprises de toutes tailles, mais elle est particulièrement pertinente pour les PME. Les obligations de déclaration sont importantes pour assurer un suivi et une application appropriés de la législation, mais elles peuvent être lourdes, entraîner des coûts et affecter les capacités de développement pour de nombreuses entreprises, en particulier pour les PME. Leur accumulation au fil du temps peut donner lieu à des redondances. Certaines obligations font double emploi ou sont obsolètes, leur fréquence et le calendrier peuvent être inefficaces et les méthodes de collecte peuvent être inadaptées</w:t>
      </w:r>
      <w:r>
        <w:rPr>
          <w:rStyle w:val="FootnoteReference"/>
          <w:noProof/>
        </w:rPr>
        <w:footnoteReference w:id="56"/>
      </w:r>
      <w:r>
        <w:rPr>
          <w:noProof/>
        </w:rPr>
        <w:t>. Dans de tels cas, la rationalisation des obligations de déclaration ou la prise en compte des besoins de groupes d’entreprises spécifiques peuvent être l’occasion d’alléger la charge pesant sur les entreprises.</w:t>
      </w:r>
    </w:p>
    <w:p w14:paraId="10A62380" w14:textId="6A1D4600" w:rsidR="009B10BF" w:rsidRPr="00C92345" w:rsidRDefault="005F5984" w:rsidP="009B10BF">
      <w:pPr>
        <w:rPr>
          <w:b/>
          <w:bCs/>
          <w:noProof/>
        </w:rPr>
      </w:pPr>
      <w:r>
        <w:rPr>
          <w:b/>
          <w:noProof/>
        </w:rPr>
        <w:t>Depuis mars 2023, la Commission a déjà proposé de premiers actes législatifs importants qui simplifient les obligations de déclaration</w:t>
      </w:r>
      <w:r>
        <w:rPr>
          <w:rStyle w:val="FootnoteReference"/>
          <w:b/>
          <w:bCs/>
          <w:noProof/>
          <w:lang w:val="en-IE"/>
        </w:rPr>
        <w:footnoteReference w:id="57"/>
      </w:r>
      <w:r>
        <w:rPr>
          <w:b/>
          <w:noProof/>
        </w:rPr>
        <w:t xml:space="preserve">, et d’autres mesures seront présentées parallèlement au programme de travail de la Commission. </w:t>
      </w:r>
      <w:r>
        <w:rPr>
          <w:noProof/>
        </w:rPr>
        <w:t>Une méthode d’application volontaire, simple et normalisée pour rendre compte des questions environnementales, sociales et de gouvernance (ESG) réduira notamment la charge et facilitera l’accès des PME au financement durable (voir la section 3.2.4 ci-dessous pour en savoir plus). En outre, la proposition de la Commission de reporter le délai d’adoption des normes européennes sectorielles d’informations en matière de durabilité</w:t>
      </w:r>
      <w:r>
        <w:rPr>
          <w:rStyle w:val="FootnoteReference"/>
          <w:noProof/>
        </w:rPr>
        <w:footnoteReference w:id="58"/>
      </w:r>
      <w:r>
        <w:rPr>
          <w:noProof/>
        </w:rPr>
        <w:t xml:space="preserve"> profitera aux entreprises relevant du champ d’application de la directive sur la publication d’informations en matière de durabilité par les entreprises (CSRD), y compris aux PME cotées. Cela leur permettra de se concentrer sur la mise en œuvre du premier ensemble de normes. Les ajustements des seuils définissant une PME en vertu de la directive comptable réduiront le nombre d’entreprises relevant actuellement du champ d’application des obligations de déclaration en matière de durabilité prévues par la directive sur la publication d’informations en matière de durabilité par les entreprises (CSRD) et par le règlement sur la taxinomie</w:t>
      </w:r>
      <w:r>
        <w:rPr>
          <w:rStyle w:val="FootnoteReference"/>
          <w:noProof/>
          <w:lang w:eastAsia="en-IE"/>
        </w:rPr>
        <w:footnoteReference w:id="59"/>
      </w:r>
      <w:r>
        <w:rPr>
          <w:noProof/>
        </w:rPr>
        <w:t>.</w:t>
      </w:r>
    </w:p>
    <w:p w14:paraId="20A79BBC" w14:textId="08BFBC7E" w:rsidR="00233A68" w:rsidRPr="00C92345" w:rsidRDefault="005C7FD0" w:rsidP="005F23A1">
      <w:pPr>
        <w:rPr>
          <w:rFonts w:eastAsia="Calibri"/>
          <w:noProof/>
          <w:color w:val="000000" w:themeColor="text1"/>
        </w:rPr>
      </w:pPr>
      <w:r>
        <w:rPr>
          <w:noProof/>
          <w:color w:val="000000" w:themeColor="text1"/>
        </w:rPr>
        <w:t xml:space="preserve">En outre, dans le cadre de la surveillance et de la déclaration des émissions de gaz à effet de serre, la réduction de la fréquence à laquelle les exploitants des secteurs de l’électricité, des industries à forte intensité énergétique et de l’aviation doivent rendre compte des améliorations apportées à leurs méthodes allégera la charge pesant sur les entreprises sans nuire à l’efficacité de la surveillance. </w:t>
      </w:r>
      <w:r>
        <w:rPr>
          <w:noProof/>
        </w:rPr>
        <w:t>Par ailleurs, la simplification des obligations de déclaration découlant de la législation de l’UE sur le règlement extrajudiciaire des litiges de consommation consolidera et réduira la fréquence des obligations de déclaration sans porter atteinte à la transparence ou à la qualité des données.</w:t>
      </w:r>
      <w:r>
        <w:rPr>
          <w:noProof/>
          <w:color w:val="000000" w:themeColor="text1"/>
        </w:rPr>
        <w:t xml:space="preserve"> </w:t>
      </w:r>
    </w:p>
    <w:p w14:paraId="59290CDE" w14:textId="5A0AA6D8" w:rsidR="00712370" w:rsidRPr="00C92345" w:rsidRDefault="006D7112" w:rsidP="005F23A1">
      <w:pPr>
        <w:rPr>
          <w:noProof/>
        </w:rPr>
      </w:pPr>
      <w:r>
        <w:rPr>
          <w:b/>
          <w:noProof/>
        </w:rPr>
        <w:t>Dans les semaines à venir, la Commission présentera de manière plus globale les mesures adoptées et à adopter pour rationaliser les obligations de déclaration pour toutes les entreprises.</w:t>
      </w:r>
      <w:r>
        <w:rPr>
          <w:noProof/>
        </w:rPr>
        <w:t xml:space="preserve"> La Commission a l’intention de faire de cet exercice de réduction de la charge un élément de premier plan de son programme de travail pour 2024, qui s’accompagnera d’un ensemble de propositions et d’évaluations prévues. Ces travaux seront systématisés d’ici à la fin de l’année 2023, pour les cycles à venir, en: </w:t>
      </w:r>
    </w:p>
    <w:p w14:paraId="54AD3FD6" w14:textId="77777777" w:rsidR="00712370" w:rsidRPr="00C92345" w:rsidRDefault="00D3347D" w:rsidP="00712370">
      <w:pPr>
        <w:pStyle w:val="ListParagraph"/>
        <w:numPr>
          <w:ilvl w:val="0"/>
          <w:numId w:val="37"/>
        </w:numPr>
        <w:rPr>
          <w:noProof/>
        </w:rPr>
      </w:pPr>
      <w:r>
        <w:rPr>
          <w:noProof/>
        </w:rPr>
        <w:t xml:space="preserve">mettant en place, dans l’ensemble des services de la Commission, des moyens normalisés de cartographie des obligations de déclaration dans la législation ou les arrangements administratifs existants et dans les nouvelles propositions; </w:t>
      </w:r>
    </w:p>
    <w:p w14:paraId="0D55C922" w14:textId="34E66965" w:rsidR="001D62E2" w:rsidRPr="00C92345" w:rsidRDefault="00712370" w:rsidP="00712370">
      <w:pPr>
        <w:pStyle w:val="ListParagraph"/>
        <w:numPr>
          <w:ilvl w:val="0"/>
          <w:numId w:val="37"/>
        </w:numPr>
        <w:rPr>
          <w:noProof/>
        </w:rPr>
      </w:pPr>
      <w:r>
        <w:rPr>
          <w:noProof/>
        </w:rPr>
        <w:t>identifiant les domaines prioritaires en coopération avec un ensemble représentatif d’entreprises, d’associations sectorielles et d’autorités nationales (qui agissent souvent comme interface pour ce type de déclaration);</w:t>
      </w:r>
    </w:p>
    <w:p w14:paraId="06661805" w14:textId="6D03DB07" w:rsidR="00712370" w:rsidRPr="00C92345" w:rsidRDefault="00712370" w:rsidP="00E9387D">
      <w:pPr>
        <w:pStyle w:val="ListParagraph"/>
        <w:numPr>
          <w:ilvl w:val="0"/>
          <w:numId w:val="37"/>
        </w:numPr>
        <w:rPr>
          <w:noProof/>
        </w:rPr>
      </w:pPr>
      <w:r>
        <w:rPr>
          <w:noProof/>
        </w:rPr>
        <w:t>faisant élaborer, par chaque service de la Commission, des plans de rationalisation ciblés pour 2024 et les années suivantes.</w:t>
      </w:r>
    </w:p>
    <w:p w14:paraId="43335E83" w14:textId="590E3EE2" w:rsidR="00CF4C74" w:rsidRPr="00C92345" w:rsidRDefault="001D62E2" w:rsidP="00233A68">
      <w:pPr>
        <w:rPr>
          <w:noProof/>
        </w:rPr>
      </w:pPr>
      <w:r>
        <w:rPr>
          <w:b/>
          <w:noProof/>
        </w:rPr>
        <w:t>Les PME et les autres parties prenantes ont un rôle important à jouer pour garantir le succès de cet exercice global de réduction de la charge.</w:t>
      </w:r>
      <w:r>
        <w:rPr>
          <w:noProof/>
        </w:rPr>
        <w:t xml:space="preserve"> Le portail «Donnez votre avis: simplifions!» permet de recueillir leurs contributions sur les obligations de déclaration. La plateforme «Prêts pour l’avenir» a également été invitée à accorder une attention particulière aux obligations de déclaration et à consacrer un ou plusieurs avis à cette question dans son programme de travail annuel pour 2024.</w:t>
      </w:r>
    </w:p>
    <w:tbl>
      <w:tblPr>
        <w:tblStyle w:val="TableGrid"/>
        <w:tblpPr w:leftFromText="181" w:rightFromText="181" w:vertAnchor="text" w:horzAnchor="margin" w:tblpY="1"/>
        <w:tblW w:w="0" w:type="auto"/>
        <w:tblLook w:val="04A0" w:firstRow="1" w:lastRow="0" w:firstColumn="1" w:lastColumn="0" w:noHBand="0" w:noVBand="1"/>
      </w:tblPr>
      <w:tblGrid>
        <w:gridCol w:w="9288"/>
      </w:tblGrid>
      <w:tr w:rsidR="00AC4894" w:rsidRPr="00C92345" w14:paraId="0FD2FCDD" w14:textId="77777777" w:rsidTr="00FC691B">
        <w:tc>
          <w:tcPr>
            <w:tcW w:w="0" w:type="auto"/>
          </w:tcPr>
          <w:p w14:paraId="2B2B635A" w14:textId="3E9AA547" w:rsidR="005F5984" w:rsidRPr="00C92345" w:rsidRDefault="006D7112" w:rsidP="00FC691B">
            <w:pPr>
              <w:pStyle w:val="Commissionwill"/>
              <w:rPr>
                <w:rStyle w:val="Strong"/>
                <w:noProof/>
              </w:rPr>
            </w:pPr>
            <w:r>
              <w:rPr>
                <w:rStyle w:val="Strong"/>
                <w:noProof/>
              </w:rPr>
              <w:t>La Commission:</w:t>
            </w:r>
          </w:p>
          <w:p w14:paraId="4EA44AB6" w14:textId="6EB2BA75" w:rsidR="00B146D0" w:rsidRPr="00C92345" w:rsidRDefault="00444A92" w:rsidP="00E143FA">
            <w:pPr>
              <w:pStyle w:val="Bulletpoint1"/>
              <w:spacing w:after="120"/>
              <w:rPr>
                <w:noProof/>
              </w:rPr>
            </w:pPr>
            <w:r>
              <w:rPr>
                <w:b/>
                <w:noProof/>
              </w:rPr>
              <w:t>Mesure nº 9</w:t>
            </w:r>
            <w:r>
              <w:rPr>
                <w:noProof/>
              </w:rPr>
              <w:t>: présentera, en octobre 2023, la prochaine série de propositions visant à rationaliser les obligations de déclaration parallèlement au programme de travail, y compris les mesures mentionnées ci-dessus, dans le cadre d’un cycle systématique et récurrent visant à atteindre l’objectif de réduction de 25 % des obligations de déclaration.</w:t>
            </w:r>
          </w:p>
        </w:tc>
      </w:tr>
    </w:tbl>
    <w:p w14:paraId="5C619492" w14:textId="667D92A9" w:rsidR="00643573" w:rsidRPr="00C92345" w:rsidRDefault="003D3DAF" w:rsidP="00240DD4">
      <w:pPr>
        <w:pStyle w:val="Heading2"/>
        <w:spacing w:after="240"/>
        <w:ind w:left="578" w:hanging="578"/>
        <w:rPr>
          <w:noProof/>
        </w:rPr>
      </w:pPr>
      <w:r>
        <w:rPr>
          <w:noProof/>
        </w:rPr>
        <w:t>Améliorer la liquidité et l’accès au financement</w:t>
      </w:r>
    </w:p>
    <w:p w14:paraId="5C6210F4" w14:textId="6CC5C40F" w:rsidR="00B96668" w:rsidRPr="00C92345" w:rsidRDefault="000C577E" w:rsidP="00242478">
      <w:pPr>
        <w:pStyle w:val="Heading3"/>
        <w:rPr>
          <w:noProof/>
        </w:rPr>
      </w:pPr>
      <w:r>
        <w:rPr>
          <w:noProof/>
        </w:rPr>
        <w:t>Lutte contre les retards de paiement</w:t>
      </w:r>
    </w:p>
    <w:p w14:paraId="6535D195" w14:textId="21715F5D" w:rsidR="006E3C46" w:rsidRPr="00C92345" w:rsidRDefault="21E12B7F" w:rsidP="00837960">
      <w:pPr>
        <w:rPr>
          <w:noProof/>
        </w:rPr>
      </w:pPr>
      <w:r>
        <w:rPr>
          <w:b/>
          <w:noProof/>
        </w:rPr>
        <w:t>Les retards de paiement des factures touchent les entreprises de tous les secteurs dans tous les États membres de l’UE. Ils ont une incidence particulièrement négative sur les PME</w:t>
      </w:r>
      <w:r>
        <w:rPr>
          <w:noProof/>
        </w:rPr>
        <w:t>, étant donné qu’elles dépendent de flux de liquidités réguliers et prévisibles</w:t>
      </w:r>
      <w:r>
        <w:rPr>
          <w:rStyle w:val="FootnoteReference"/>
          <w:noProof/>
        </w:rPr>
        <w:footnoteReference w:id="60"/>
      </w:r>
      <w:r>
        <w:rPr>
          <w:noProof/>
        </w:rPr>
        <w:t xml:space="preserve"> et qu’elles ont des liquidités plus limitées que les grandes entreprises. Les PME qui sont payées en retard doivent couvrir le manque de liquidités qui en résulte au moyen de prêts à court terme, ce qui entraîne une augmentation de leurs coûts de financement. La réduction des retards de paiement est essentielle pour fournir aux PME les liquidités indispensables pour investir dans l’innovation ou pour répercuter les réductions de coûts sur les consommateurs</w:t>
      </w:r>
      <w:r>
        <w:rPr>
          <w:rStyle w:val="FootnoteReference"/>
          <w:noProof/>
        </w:rPr>
        <w:footnoteReference w:id="61"/>
      </w:r>
      <w:r>
        <w:rPr>
          <w:noProof/>
        </w:rPr>
        <w:t>.</w:t>
      </w:r>
    </w:p>
    <w:p w14:paraId="1993FCBE" w14:textId="2BC56014" w:rsidR="00A851AC" w:rsidRPr="00C92345" w:rsidRDefault="00CE0E51" w:rsidP="00CE0E51">
      <w:pPr>
        <w:rPr>
          <w:noProof/>
        </w:rPr>
      </w:pPr>
      <w:r>
        <w:rPr>
          <w:noProof/>
        </w:rPr>
        <w:t xml:space="preserve">Dans le cadre du présent train de mesures de soutien aux PME, la Commission propose une </w:t>
      </w:r>
      <w:r>
        <w:rPr>
          <w:b/>
          <w:noProof/>
        </w:rPr>
        <w:t>révision des règles relatives aux retards de paiement</w:t>
      </w:r>
      <w:r>
        <w:rPr>
          <w:noProof/>
        </w:rPr>
        <w:t>, en remplaçant l’actuelle directive sur les retards de paiement par un règlement prévoyant des délais de paiement maximaux contraignants de 30 jours pour toutes les transactions commerciales. Ce règlement rendra automatique le paiement d’indemnités et d’intérêts de retard et accompagnera ces nouvelles mesures d’un solide cadre d’exécution. Il permettra également aux entreprises de faire valoir plus facilement leurs droits en réduisant la charge et en facilitant l’accès à des voies de recours efficaces via la médiation.</w:t>
      </w:r>
    </w:p>
    <w:p w14:paraId="39314F4F" w14:textId="42529984" w:rsidR="00B96668" w:rsidRPr="00C92345" w:rsidRDefault="00764983" w:rsidP="00837960">
      <w:pPr>
        <w:rPr>
          <w:noProof/>
        </w:rPr>
      </w:pPr>
      <w:r>
        <w:rPr>
          <w:noProof/>
        </w:rPr>
        <w:t xml:space="preserve">En ayant à l’esprit qu’un jour de retard équivaut à 158 millions d’euros de coûts financiers supplémentaires pour les entreprises européennes, ces nouvelles règles visent à réduire les retards de paiement de 35 %. En outre, le temps que les entreprises consacrent à la relance de leurs débiteurs sera considérablement réduit, ce qui permettra aux entreprises européennes d’économiser 340 millions d’heures-personnes, soit 8,7 milliards d’euros. Au-delà des bénéfices monétaires directs, cela devrait permettre de redistribuer plus équitablement les liquidités dans l’économie et de réduire la dépendance des PME à l’égard du financement extérieur. </w:t>
      </w:r>
    </w:p>
    <w:p w14:paraId="57D69965" w14:textId="77777777" w:rsidR="00E036FE" w:rsidRPr="00C92345" w:rsidRDefault="00E036FE" w:rsidP="00E036FE">
      <w:pPr>
        <w:rPr>
          <w:rFonts w:eastAsia="Times New Roman"/>
          <w:noProof/>
        </w:rPr>
      </w:pPr>
      <w:r>
        <w:rPr>
          <w:noProof/>
        </w:rPr>
        <w:t>L’instrument choisi pour la révision des règles est un règlement, qui abrogera et remplacera l’actuelle directive sur les retards de paiement. Un règlement présente de nombreux avantages, notamment en ce qui concerne la nécessité de s’attaquer à l’aspect transfrontière des retards de paiement. Il permet d’introduire les mêmes solutions dans l’ensemble de l’UE en ce qui concerne les aspects essentiels, tels que le délai maximal de paiement et les procédures de vérification, le taux d’intérêt en cas de retard de paiement et le montant de l’indemnisation forfaitaire pour les frais de recouvrement. Dans le même temps, les États membres seront autorisés à adopter des dispositions plus strictes sur certains aspects.</w:t>
      </w:r>
    </w:p>
    <w:tbl>
      <w:tblPr>
        <w:tblStyle w:val="TableGrid"/>
        <w:tblW w:w="0" w:type="auto"/>
        <w:tblLook w:val="04A0" w:firstRow="1" w:lastRow="0" w:firstColumn="1" w:lastColumn="0" w:noHBand="0" w:noVBand="1"/>
      </w:tblPr>
      <w:tblGrid>
        <w:gridCol w:w="9288"/>
      </w:tblGrid>
      <w:tr w:rsidR="00DC4F21" w:rsidRPr="00C92345" w14:paraId="3D9A0F86" w14:textId="77777777" w:rsidTr="00DC4F21">
        <w:tc>
          <w:tcPr>
            <w:tcW w:w="9288" w:type="dxa"/>
          </w:tcPr>
          <w:p w14:paraId="411A52EC" w14:textId="77777777" w:rsidR="00DC4F21" w:rsidRPr="00C92345" w:rsidRDefault="00DC4F21" w:rsidP="00DC4F21">
            <w:pPr>
              <w:rPr>
                <w:noProof/>
              </w:rPr>
            </w:pPr>
            <w:r>
              <w:rPr>
                <w:i/>
                <w:noProof/>
              </w:rPr>
              <w:t>La Commission propose:</w:t>
            </w:r>
          </w:p>
          <w:p w14:paraId="39FD184D" w14:textId="75D82B7A" w:rsidR="00DC4F21" w:rsidRPr="00C92345" w:rsidRDefault="00DC4F21" w:rsidP="00837960">
            <w:pPr>
              <w:pStyle w:val="ListParagraph"/>
              <w:numPr>
                <w:ilvl w:val="0"/>
                <w:numId w:val="31"/>
              </w:numPr>
              <w:spacing w:after="120"/>
              <w:rPr>
                <w:noProof/>
              </w:rPr>
            </w:pPr>
            <w:r>
              <w:rPr>
                <w:b/>
                <w:noProof/>
              </w:rPr>
              <w:t>Mesure nº 10</w:t>
            </w:r>
            <w:r>
              <w:rPr>
                <w:noProof/>
              </w:rPr>
              <w:t xml:space="preserve">: d’adopter un nouveau règlement sur les retards de paiement, qui renforcerait substantiellement les règles de l’UE afin de lutter contre les retards de paiement dans les transactions commerciales. </w:t>
            </w:r>
          </w:p>
        </w:tc>
      </w:tr>
    </w:tbl>
    <w:p w14:paraId="02FBF13A" w14:textId="77777777" w:rsidR="00CE0E51" w:rsidRPr="00C92345" w:rsidRDefault="00CE0E51" w:rsidP="00240DD4">
      <w:pPr>
        <w:pStyle w:val="Heading3"/>
        <w:spacing w:before="240"/>
        <w:rPr>
          <w:noProof/>
        </w:rPr>
      </w:pPr>
      <w:r>
        <w:rPr>
          <w:noProof/>
        </w:rPr>
        <w:t>Exploiter tout le potentiel offert aux PME par les programmes de l’UE</w:t>
      </w:r>
    </w:p>
    <w:p w14:paraId="420575AB" w14:textId="0108CEF3" w:rsidR="00471AE3" w:rsidRPr="00C92345" w:rsidRDefault="00F847FC" w:rsidP="00471AE3">
      <w:pPr>
        <w:rPr>
          <w:noProof/>
        </w:rPr>
      </w:pPr>
      <w:r>
        <w:rPr>
          <w:b/>
          <w:noProof/>
        </w:rPr>
        <w:t>Avec les différents programmes de financement de l’UE, les PME ont accès à un large éventail de dispositifs de soutien financier. Le montant total octroyé aux PME pour les soutenir jusqu’en 2027 devrait dépasser 200 milliards d’euros</w:t>
      </w:r>
      <w:r>
        <w:rPr>
          <w:b/>
          <w:bCs/>
          <w:noProof/>
          <w:vertAlign w:val="superscript"/>
        </w:rPr>
        <w:footnoteReference w:id="62"/>
      </w:r>
      <w:r>
        <w:rPr>
          <w:b/>
          <w:noProof/>
        </w:rPr>
        <w:t>.</w:t>
      </w:r>
      <w:r>
        <w:rPr>
          <w:noProof/>
        </w:rPr>
        <w:t xml:space="preserve"> Plusieurs mesures ont notamment été mises en place pour remédier aux difficultés croissantes que rencontrent les PME pour accéder au financement</w:t>
      </w:r>
      <w:r>
        <w:rPr>
          <w:rStyle w:val="FootnoteReference"/>
          <w:noProof/>
        </w:rPr>
        <w:footnoteReference w:id="63"/>
      </w:r>
      <w:r>
        <w:rPr>
          <w:noProof/>
        </w:rPr>
        <w:t>, à commencer par le volet «PME» du programme InvestEU</w:t>
      </w:r>
      <w:r>
        <w:rPr>
          <w:rStyle w:val="FootnoteReference"/>
          <w:rFonts w:eastAsiaTheme="minorEastAsia"/>
          <w:noProof/>
          <w:lang w:val="en-IE"/>
        </w:rPr>
        <w:footnoteReference w:id="64"/>
      </w:r>
      <w:r>
        <w:rPr>
          <w:noProof/>
        </w:rPr>
        <w:t xml:space="preserve">, qui leur offre un meilleur accès au financement et des conditions de financement plus favorables. Ce volet aide également les PME à s’adapter aux pratiques commerciales durables et finance les jeunes pousses qui développent de nouvelles technologies durables. </w:t>
      </w:r>
    </w:p>
    <w:p w14:paraId="3173C733" w14:textId="1A389655" w:rsidR="00471AE3" w:rsidRPr="00C92345" w:rsidRDefault="00471AE3" w:rsidP="00471AE3">
      <w:pPr>
        <w:rPr>
          <w:rFonts w:eastAsia="Times New Roman"/>
          <w:noProof/>
        </w:rPr>
      </w:pPr>
      <w:r>
        <w:rPr>
          <w:b/>
          <w:noProof/>
        </w:rPr>
        <w:t>Le volet «PME» d’InvestEU aura un rôle important à jouer dans l’octroi de prêts et l’apport de fonds propres aux PME européennes au cours des prochaines années.</w:t>
      </w:r>
      <w:r>
        <w:rPr>
          <w:noProof/>
        </w:rPr>
        <w:t xml:space="preserve"> Les banques, les institutions de garantie et les autres intermédiaires financiers ont demandé trois fois la capacité globale allouée aux garanties pour la période 2021-2027 au Fonds européen d’investissement (FEI), ce qui est remarquable. La demande d’investissements en fonds propres sur le marché a déjà atteint sa pleine capacité pour la période 2021-2027 dans de nombreux domaines thématiques, notamment les technologies propres, les sciences de la vie, la transformation numérique et l’entrepreneuriat social. Cette sursouscription du volet «PME» d’InvestEU devrait empêcher le FEI de conclure de nouveaux accords de souscription avec des intermédiaires financiers à partir de 2025, étant donné que les ressources allouées aux garanties auront été pleinement utilisées à cette date. </w:t>
      </w:r>
    </w:p>
    <w:p w14:paraId="41ADAE78" w14:textId="49F7FBD8" w:rsidR="00471AE3" w:rsidRPr="00C92345" w:rsidRDefault="00172EF9" w:rsidP="00471AE3">
      <w:pPr>
        <w:rPr>
          <w:rFonts w:eastAsia="Times New Roman"/>
          <w:noProof/>
        </w:rPr>
      </w:pPr>
      <w:r>
        <w:rPr>
          <w:b/>
          <w:noProof/>
        </w:rPr>
        <w:t>La Commission a proposé, dans le cadre de la plateforme «Technologies stratégiques pour l’Europe» (STEP)</w:t>
      </w:r>
      <w:r>
        <w:rPr>
          <w:rFonts w:eastAsia="Times New Roman"/>
          <w:b/>
          <w:bCs/>
          <w:noProof/>
          <w:vertAlign w:val="superscript"/>
        </w:rPr>
        <w:footnoteReference w:id="65"/>
      </w:r>
      <w:r>
        <w:rPr>
          <w:b/>
          <w:noProof/>
        </w:rPr>
        <w:t>, d’augmenter la garantie de l’Union disponible de 7,5 milliards d’euros, au moyen d’un volet spécifique «STEP» dans InvestEU.</w:t>
      </w:r>
      <w:r>
        <w:rPr>
          <w:noProof/>
        </w:rPr>
        <w:t xml:space="preserve"> Une fois que la plateforme STEP aura été approuvée par les colégislateurs, la Commission s’efforcera de mettre rapidement en œuvre les ressources supplémentaires allouées à InvestEU, au profit des PME.</w:t>
      </w:r>
    </w:p>
    <w:p w14:paraId="2CE7E8C7" w14:textId="0A9D1C7F" w:rsidR="00A96456" w:rsidRPr="00C92345" w:rsidRDefault="00471AE3" w:rsidP="00A96456">
      <w:pPr>
        <w:rPr>
          <w:noProof/>
          <w:sz w:val="22"/>
          <w:szCs w:val="22"/>
        </w:rPr>
      </w:pPr>
      <w:r>
        <w:rPr>
          <w:b/>
          <w:noProof/>
        </w:rPr>
        <w:t xml:space="preserve">Les États membres peuvent jouer un rôle clé en allouant à InvestEU des ressources supplémentaires provenant de la facilité pour la reprise et la résilience ou des budgets nationaux, ainsi qu’en utilisant les possibilités de transfert existantes dans le cadre des fonds en gestion partagée afin de stimuler l’investissement dans leur pays. </w:t>
      </w:r>
    </w:p>
    <w:p w14:paraId="3F0AFB40" w14:textId="58091438" w:rsidR="00471AE3" w:rsidRPr="00C92345" w:rsidRDefault="00471AE3" w:rsidP="00471AE3">
      <w:pPr>
        <w:rPr>
          <w:rFonts w:eastAsiaTheme="minorEastAsia"/>
          <w:noProof/>
        </w:rPr>
      </w:pPr>
      <w:r>
        <w:rPr>
          <w:noProof/>
        </w:rPr>
        <w:t>Dans le contexte de la proposition STEP, la Commission a présenté plusieurs pistes pour faciliter l’utilisation de ces ressources par les États membres et augmenter le montant des financements des PME soutenus par InvestEU, notamment en clarifiant les aspects liés aux aides d’État en ce qui concerne tous les transferts de ressources et l’application du principe consistant à «ne pas causer de préjudice important»</w:t>
      </w:r>
      <w:r>
        <w:rPr>
          <w:rStyle w:val="FootnoteReference"/>
          <w:rFonts w:eastAsiaTheme="minorEastAsia"/>
          <w:noProof/>
          <w:lang w:val="en-IE"/>
        </w:rPr>
        <w:footnoteReference w:id="66"/>
      </w:r>
      <w:r>
        <w:rPr>
          <w:noProof/>
        </w:rPr>
        <w:t xml:space="preserve">. </w:t>
      </w:r>
    </w:p>
    <w:p w14:paraId="23558EEF" w14:textId="39B99F51" w:rsidR="00471AE3" w:rsidRPr="00C92345" w:rsidRDefault="00471AE3" w:rsidP="00471AE3">
      <w:pPr>
        <w:rPr>
          <w:rFonts w:eastAsiaTheme="minorEastAsia"/>
          <w:noProof/>
        </w:rPr>
      </w:pPr>
      <w:r>
        <w:rPr>
          <w:noProof/>
        </w:rPr>
        <w:t>Comme la Commission l’a expliqué plus en détail dans la proposition STEP</w:t>
      </w:r>
      <w:r>
        <w:rPr>
          <w:rStyle w:val="FootnoteReference"/>
          <w:rFonts w:eastAsiaTheme="minorEastAsia"/>
          <w:noProof/>
          <w:lang w:val="en-IE"/>
        </w:rPr>
        <w:footnoteReference w:id="67"/>
      </w:r>
      <w:r>
        <w:rPr>
          <w:noProof/>
        </w:rPr>
        <w:t xml:space="preserve">, le fait qu’un État membre décide d’allouer des ressources vers le compartiment «États membres» d’InvestEU afin de mettre en œuvre un produit financier InvestEU existant développé pour le compartiment «UE» par une institution financière internationale agissant en tant que partenaire chargé de la mise en œuvre, telle que le Groupe BEI ou la Banque européenne pour la reconstruction et le développement (BERD), n’engendre pas d’aide d’État en tant que telle. Ces éventuels transferts de ressources (provenant de la gestion partagée, de la facilité pour la reprise et la résilience ou des budgets nationaux) constituent donc un mécanisme rapide, facile et optionnel à la disposition des États membres pour canaliser les financements indispensables aux PME sans faire état de charges allant au-delà de celles requises par InvestEU. À ce jour, un certain nombre d’États membres ont fait usage de cette possibilité de transfert. Compte tenu de la forte demande du marché, les États membres qui n’ont pas encore fait de contribution sont encouragés à le faire via le compartiment «États membres» d’InvestEU afin de soutenir la mise en œuvre de produits financiers destinés à leurs PME. </w:t>
      </w:r>
      <w:bookmarkStart w:id="25" w:name="_Hlk145162951"/>
      <w:r>
        <w:rPr>
          <w:noProof/>
        </w:rPr>
        <w:t>La Commission suivra l’évolution de la mise en œuvre dans le cadre du volet «PME», en collaboration avec le réseau des représentants des PME.</w:t>
      </w:r>
    </w:p>
    <w:bookmarkEnd w:id="25"/>
    <w:p w14:paraId="585A34DF" w14:textId="7B745E82" w:rsidR="00471AE3" w:rsidRPr="00C92345" w:rsidRDefault="00B67F58" w:rsidP="00471AE3">
      <w:pPr>
        <w:rPr>
          <w:rFonts w:eastAsia="Times New Roman"/>
          <w:noProof/>
        </w:rPr>
      </w:pPr>
      <w:r>
        <w:rPr>
          <w:b/>
          <w:noProof/>
        </w:rPr>
        <w:t>Par ailleurs, les États membres et les régions peuvent mettre en place des instruments financiers cofinancés par des programmes de l’UE relevant de la gestion partagée pour canaliser les ressources de l’UE vers divers produits financiers, notamment des prêts, des garanties, des fonds propres et d’autres mécanismes de prise de risques.</w:t>
      </w:r>
      <w:r>
        <w:rPr>
          <w:noProof/>
        </w:rPr>
        <w:t xml:space="preserve"> Ce soutien peut aider directement les PME. Pour faciliter ce processus, la plateforme fi-compass</w:t>
      </w:r>
      <w:r>
        <w:rPr>
          <w:rStyle w:val="FootnoteReference"/>
          <w:rFonts w:eastAsiaTheme="minorEastAsia"/>
          <w:noProof/>
        </w:rPr>
        <w:footnoteReference w:id="68"/>
      </w:r>
      <w:r>
        <w:rPr>
          <w:noProof/>
        </w:rPr>
        <w:t xml:space="preserve"> de la Commission fournit des ressources, y compris des informations générales, des orientations, des outils pratiques et des possibilités d’apprentissage, en guidant les autorités de gestion sur l’utilisation des instruments financiers au titre de chacun des fonds de l’UE en gestion partagée.</w:t>
      </w:r>
    </w:p>
    <w:tbl>
      <w:tblPr>
        <w:tblStyle w:val="TableGrid"/>
        <w:tblW w:w="0" w:type="auto"/>
        <w:tblLook w:val="04A0" w:firstRow="1" w:lastRow="0" w:firstColumn="1" w:lastColumn="0" w:noHBand="0" w:noVBand="1"/>
      </w:tblPr>
      <w:tblGrid>
        <w:gridCol w:w="9288"/>
      </w:tblGrid>
      <w:tr w:rsidR="00B67F58" w:rsidRPr="00C92345" w14:paraId="2C0F6475" w14:textId="77777777" w:rsidTr="0039014E">
        <w:tc>
          <w:tcPr>
            <w:tcW w:w="0" w:type="auto"/>
          </w:tcPr>
          <w:p w14:paraId="1ECC43AC" w14:textId="77777777" w:rsidR="00B67F58" w:rsidRPr="00C92345" w:rsidRDefault="00B67F58" w:rsidP="0039014E">
            <w:pPr>
              <w:pStyle w:val="Commissionwill"/>
              <w:ind w:right="170"/>
              <w:rPr>
                <w:rStyle w:val="Strong"/>
                <w:noProof/>
              </w:rPr>
            </w:pPr>
            <w:r>
              <w:rPr>
                <w:rStyle w:val="Strong"/>
                <w:noProof/>
              </w:rPr>
              <w:t>La Commission propose:</w:t>
            </w:r>
          </w:p>
          <w:p w14:paraId="1D4CF2E8" w14:textId="4DE44FE6" w:rsidR="00B67F58" w:rsidRPr="00C92345" w:rsidRDefault="00B67F58" w:rsidP="0039014E">
            <w:pPr>
              <w:pStyle w:val="Bulletpoint1"/>
              <w:numPr>
                <w:ilvl w:val="0"/>
                <w:numId w:val="6"/>
              </w:numPr>
              <w:spacing w:after="120"/>
              <w:ind w:left="426" w:right="170" w:hanging="426"/>
              <w:rPr>
                <w:noProof/>
              </w:rPr>
            </w:pPr>
            <w:r>
              <w:rPr>
                <w:b/>
                <w:noProof/>
              </w:rPr>
              <w:t>Mesure nº 11</w:t>
            </w:r>
            <w:r>
              <w:rPr>
                <w:noProof/>
              </w:rPr>
              <w:t xml:space="preserve">: d’encourager les États membres, par l’intermédiaire de la structure de gouvernance d’InvestEU concernée, à allouer des ressources supplémentaires aux compartiments nationaux d’InvestEU et à rendre plus faciles les contributions de la facilité pour la reprise et la résilience à InvestEU en donnant des orientations supplémentaires sur l’application du principe consistant à «ne pas causer de préjudice important» d’ici à octobre 2023. </w:t>
            </w:r>
          </w:p>
        </w:tc>
      </w:tr>
    </w:tbl>
    <w:p w14:paraId="13D154E4" w14:textId="77777777" w:rsidR="00B67F58" w:rsidRPr="00C92345" w:rsidRDefault="00B67F58" w:rsidP="00891D22">
      <w:pPr>
        <w:spacing w:after="0"/>
        <w:rPr>
          <w:rFonts w:eastAsiaTheme="minorEastAsia"/>
          <w:b/>
          <w:bCs/>
          <w:noProof/>
        </w:rPr>
      </w:pPr>
      <w:r>
        <w:rPr>
          <w:b/>
          <w:noProof/>
        </w:rPr>
        <w:t xml:space="preserve"> </w:t>
      </w:r>
    </w:p>
    <w:p w14:paraId="4C1A27CA" w14:textId="044EA940" w:rsidR="00083043" w:rsidRPr="00C92345" w:rsidRDefault="00471AE3" w:rsidP="00471AE3">
      <w:pPr>
        <w:rPr>
          <w:rFonts w:eastAsiaTheme="minorEastAsia"/>
          <w:noProof/>
        </w:rPr>
      </w:pPr>
      <w:r>
        <w:rPr>
          <w:b/>
          <w:noProof/>
        </w:rPr>
        <w:t>Les organismes de crédit à l’exportation jouent un rôle fondamental dans le soutien aux entreprises dans le commerce international.</w:t>
      </w:r>
      <w:r>
        <w:rPr>
          <w:noProof/>
        </w:rPr>
        <w:t xml:space="preserve"> </w:t>
      </w:r>
      <w:bookmarkStart w:id="26" w:name="_Hlk145326626"/>
      <w:r>
        <w:rPr>
          <w:noProof/>
        </w:rPr>
        <w:t xml:space="preserve">Une approche plus coordonnée entre les crédits à l’exportation des États membres et les outils de financement de l’UE commence à être mise en place et devrait être renforcée. </w:t>
      </w:r>
      <w:bookmarkEnd w:id="26"/>
      <w:r>
        <w:rPr>
          <w:noProof/>
        </w:rPr>
        <w:t>À la suite de la guerre d’agression menée par la Russie contre l’Ukraine, la majorité des organismes de crédit à l’exportation de l’UE ont suspendu leur couverture des risques pour l’Ukraine, ce qui a une incidence négative sur la capacité des entreprises de l’UE à exporter vers ce pays. Un mécanisme pilote d’environ 300 millions d’euros au cours de l’année 2024 dans le cadre du volet «PME» d’InvestEU permettra aux organismes de crédit à l’exportation de reprendre leurs activités concernant l’Ukraine. Le mécanisme pilote devrait améliorer la compétitivité des PME européennes en établissant des liens plus étroits avec l’Ukraine, ce qui permettra de soutenir de nouvelles exportations à hauteur de plusieurs centaines de millions d’euros.</w:t>
      </w:r>
    </w:p>
    <w:tbl>
      <w:tblPr>
        <w:tblStyle w:val="TableGrid"/>
        <w:tblW w:w="0" w:type="auto"/>
        <w:tblLook w:val="04A0" w:firstRow="1" w:lastRow="0" w:firstColumn="1" w:lastColumn="0" w:noHBand="0" w:noVBand="1"/>
      </w:tblPr>
      <w:tblGrid>
        <w:gridCol w:w="9288"/>
      </w:tblGrid>
      <w:tr w:rsidR="00471AE3" w:rsidRPr="00C92345" w14:paraId="50DBEDC6" w14:textId="77777777" w:rsidTr="0039014E">
        <w:tc>
          <w:tcPr>
            <w:tcW w:w="0" w:type="auto"/>
          </w:tcPr>
          <w:p w14:paraId="1E648CB0" w14:textId="08DF187F" w:rsidR="00471AE3" w:rsidRPr="00C92345" w:rsidRDefault="00083043" w:rsidP="0039014E">
            <w:pPr>
              <w:pStyle w:val="Commissionwill"/>
              <w:ind w:right="170"/>
              <w:rPr>
                <w:rStyle w:val="Strong"/>
                <w:noProof/>
              </w:rPr>
            </w:pPr>
            <w:r>
              <w:rPr>
                <w:rStyle w:val="Strong"/>
                <w:noProof/>
              </w:rPr>
              <w:t>La Commission propose:</w:t>
            </w:r>
          </w:p>
          <w:p w14:paraId="1275EB98" w14:textId="2A150CFC" w:rsidR="00471AE3" w:rsidRPr="00C92345" w:rsidRDefault="00B146D0" w:rsidP="00C15711">
            <w:pPr>
              <w:pStyle w:val="Bulletpoint1"/>
              <w:numPr>
                <w:ilvl w:val="0"/>
                <w:numId w:val="6"/>
              </w:numPr>
              <w:spacing w:after="120"/>
              <w:ind w:left="426" w:right="170" w:hanging="426"/>
              <w:rPr>
                <w:rFonts w:eastAsiaTheme="minorEastAsia"/>
                <w:noProof/>
              </w:rPr>
            </w:pPr>
            <w:r>
              <w:rPr>
                <w:b/>
                <w:noProof/>
              </w:rPr>
              <w:t>Mesure nº 12</w:t>
            </w:r>
            <w:r>
              <w:rPr>
                <w:noProof/>
              </w:rPr>
              <w:t xml:space="preserve">: de collaborer avec le FEI à la mise en place, dans le courant de l’année 2024, d’un mécanisme pilote permettant aux organismes de crédit à l’exportation de soutenir les PME dans leurs échanges avec l’Ukraine. </w:t>
            </w:r>
          </w:p>
        </w:tc>
      </w:tr>
    </w:tbl>
    <w:p w14:paraId="203DB0AE" w14:textId="77777777" w:rsidR="00471AE3" w:rsidRPr="00C92345" w:rsidRDefault="00471AE3" w:rsidP="00471AE3">
      <w:pPr>
        <w:spacing w:after="0"/>
        <w:rPr>
          <w:rFonts w:eastAsiaTheme="minorEastAsia"/>
          <w:noProof/>
        </w:rPr>
      </w:pPr>
    </w:p>
    <w:p w14:paraId="11857C05" w14:textId="6A0185B8" w:rsidR="00E6747A" w:rsidRPr="00C92345" w:rsidRDefault="008D7386" w:rsidP="00E6747A">
      <w:pPr>
        <w:rPr>
          <w:noProof/>
        </w:rPr>
      </w:pPr>
      <w:r>
        <w:rPr>
          <w:b/>
          <w:noProof/>
        </w:rPr>
        <w:t>Dans le cadre de l’initiative plus large relative à l’union des marchés des capitaux (UMC)</w:t>
      </w:r>
      <w:r>
        <w:rPr>
          <w:rStyle w:val="FootnoteReference"/>
          <w:rFonts w:eastAsiaTheme="minorEastAsia"/>
          <w:b/>
          <w:bCs/>
          <w:noProof/>
          <w:color w:val="000000" w:themeColor="text1"/>
        </w:rPr>
        <w:footnoteReference w:id="69"/>
      </w:r>
      <w:r>
        <w:rPr>
          <w:b/>
          <w:noProof/>
        </w:rPr>
        <w:t>, la création de marchés de croissance des PME, les fonds pan-européens de capital-risque et le financement participatif ont amélioré l’accès des PME au financement.</w:t>
      </w:r>
      <w:r>
        <w:rPr>
          <w:b/>
          <w:noProof/>
          <w:color w:val="000000"/>
        </w:rPr>
        <w:t xml:space="preserve"> </w:t>
      </w:r>
      <w:r>
        <w:rPr>
          <w:noProof/>
          <w:color w:val="000000"/>
        </w:rPr>
        <w:t>Le récent accord politique sur le point d’accès unique européen rendra les entreprises, petites et grandes, plus visibles pour les investisseurs, tandis que les règles révisées relatives au règlement sur les fonds européens d’investissement à long terme et les fonds d’investissement alternatifs élargiront la réserve de financement disponible pour les PME. Les propositions de législation sur l’admission à la cote</w:t>
      </w:r>
      <w:r>
        <w:rPr>
          <w:rStyle w:val="FootnoteReference"/>
          <w:noProof/>
          <w:color w:val="000000"/>
        </w:rPr>
        <w:footnoteReference w:id="70"/>
      </w:r>
      <w:r>
        <w:rPr>
          <w:noProof/>
          <w:color w:val="000000"/>
        </w:rPr>
        <w:t xml:space="preserve"> visent à faciliter l’accès des entreprises, y compris des PME, au financement sur les marchés boursiers, en réduisant les formalités administratives, en rationalisant les règles et en permettant aux propriétaires de conserver leur pouvoir de décision après la cotation de leurs entreprises.</w:t>
      </w:r>
      <w:r>
        <w:rPr>
          <w:noProof/>
        </w:rPr>
        <w:t xml:space="preserve"> Ces propositions de législation doivent présenter un niveau d’ambition élevé afin de garantir que des entreprises à forte croissance continuent de se développer et de créer des emplois dans l’UE.</w:t>
      </w:r>
      <w:r>
        <w:rPr>
          <w:noProof/>
          <w:color w:val="000000"/>
        </w:rPr>
        <w:t xml:space="preserve"> </w:t>
      </w:r>
      <w:bookmarkStart w:id="27" w:name="_Hlk144896200"/>
      <w:r>
        <w:rPr>
          <w:noProof/>
        </w:rPr>
        <w:t xml:space="preserve">Afin de donner aux PME un meilleur accès aux sources de financement par le marché et aux capitaux propres, il sera important d’adopter rapidement les propositions législatives dans le cadre du plan d’action de 2020 pour l’UMC et de poursuivre les discussions sur le développement futur de l’UMC, notamment au sein de l’Eurogroupe. </w:t>
      </w:r>
      <w:bookmarkEnd w:id="27"/>
    </w:p>
    <w:p w14:paraId="6625826B" w14:textId="053B9B38" w:rsidR="00471AE3" w:rsidRPr="00C92345" w:rsidRDefault="00471AE3" w:rsidP="00471AE3">
      <w:pPr>
        <w:rPr>
          <w:rFonts w:eastAsiaTheme="minorEastAsia"/>
          <w:noProof/>
        </w:rPr>
      </w:pPr>
      <w:r>
        <w:rPr>
          <w:b/>
          <w:noProof/>
        </w:rPr>
        <w:t>Le Conseil européen de l’innovation (CEI), qui est le principal instrument de l’UE pour apporter des financements mixtes (subventions et fonds propres ou quasi-fonds propres) aux jeunes pousses et aux PME à croissance rapide engagées dans des innovations radicales, constitue un autre moyen de soutenir les PME de l’UE.</w:t>
      </w:r>
      <w:r>
        <w:rPr>
          <w:noProof/>
        </w:rPr>
        <w:t xml:space="preserve"> Le Fonds du CEI apporte à ces entreprises un financement en fonds propres allant de 0,5 à 15 millions d’euros, en mobilisant un budget de 10 milliards d’euros pour attirer 30 à 50 milliards d’euros d’investisseurs privés. Pour les entreprises qui ont besoin de levées de fonds subséquentes ou de montants plus importants, la proposition STEP de la Commission prévoit un budget supplémentaire de 2,63 milliards d’euros pour permettre au Fonds du CEI d’apporter des financements sans précédent en fonds propres, allant de 15 à 50 millions d’euros, pour les technologies d’importance stratégique pour l’Europe. En générant des investissements privés supplémentaires, cela peut donner lieu à un nouveau soutien en fonds propres de 13 milliards d’euros en faveur des PME non bancables et des petites entreprises de taille intermédiaire.</w:t>
      </w:r>
    </w:p>
    <w:p w14:paraId="48091DE9" w14:textId="5ABE598E" w:rsidR="00471AE3" w:rsidRPr="00C92345" w:rsidRDefault="00471AE3" w:rsidP="00471AE3">
      <w:pPr>
        <w:rPr>
          <w:rFonts w:eastAsiaTheme="minorEastAsia"/>
          <w:noProof/>
        </w:rPr>
      </w:pPr>
      <w:r>
        <w:rPr>
          <w:b/>
          <w:noProof/>
        </w:rPr>
        <w:t>La Commission aidera également les PME à appliquer des mesures d’efficacité énergétique</w:t>
      </w:r>
      <w:r>
        <w:rPr>
          <w:noProof/>
        </w:rPr>
        <w:t xml:space="preserve"> (allant des audits énergétiques aux technologies et aux formations), en mettant à disposition 10 millions d’euros au titre du programme en faveur du marché unique par l’intermédiaire du réseau Entreprise Europe au moyen d’appels ouverts et transparents.</w:t>
      </w:r>
    </w:p>
    <w:p w14:paraId="7CC1620B" w14:textId="77777777" w:rsidR="00CE0E51" w:rsidRPr="00C92345" w:rsidRDefault="00CE0E51" w:rsidP="00CE0E51">
      <w:pPr>
        <w:pStyle w:val="Heading3"/>
        <w:rPr>
          <w:noProof/>
        </w:rPr>
      </w:pPr>
      <w:r>
        <w:rPr>
          <w:noProof/>
        </w:rPr>
        <w:t>Marchés publics</w:t>
      </w:r>
    </w:p>
    <w:p w14:paraId="5F3B55A9" w14:textId="537E8EDA" w:rsidR="00F4457A" w:rsidRPr="00C92345" w:rsidRDefault="00CE0E51" w:rsidP="00CE0E51">
      <w:pPr>
        <w:rPr>
          <w:rStyle w:val="Strong"/>
          <w:iCs/>
          <w:noProof/>
        </w:rPr>
      </w:pPr>
      <w:r>
        <w:rPr>
          <w:b/>
          <w:noProof/>
        </w:rPr>
        <w:t>Un accès plus aisé aux marchés publics peut aider les PME à libérer leur potentiel, ce qui aura une incidence positive sur la croissance et la reprise économique</w:t>
      </w:r>
      <w:r>
        <w:rPr>
          <w:noProof/>
        </w:rPr>
        <w:t>. Une part substantielle des investissements publics est dépensée dans le cadre de marchés publics, qui représentent 14 % du PIB de l’UE. Pourtant, les PME éprouvent des difficultés à accéder à ces marchés publics. La Commission a présenté des initiatives visant à faciliter l’accès des entreprises, notamment des PME, aux marchés publics, y compris aux marchés transfrontières</w:t>
      </w:r>
      <w:r>
        <w:rPr>
          <w:rStyle w:val="FootnoteReference"/>
          <w:noProof/>
        </w:rPr>
        <w:footnoteReference w:id="71"/>
      </w:r>
      <w:r>
        <w:rPr>
          <w:noProof/>
        </w:rPr>
        <w:t xml:space="preserve">. L’objectif est d’accroître la part des PME dans les marchés publics de telle sorte que celle-ci corresponde à leur poids global dans l’économie. </w:t>
      </w:r>
      <w:r>
        <w:rPr>
          <w:rStyle w:val="Strong"/>
          <w:noProof/>
        </w:rPr>
        <w:t>Pour accroître la participation des PME dans les marchés publics, il sera important de</w:t>
      </w:r>
      <w:r>
        <w:rPr>
          <w:noProof/>
        </w:rPr>
        <w:t xml:space="preserve"> promouvoir l’utilisation de dispositions et de clauses normalisées dans les documents de marché, en particulier pour les marchés à faible risque ou de faible valeur, afin de faciliter le traitement des documents d’appel d’offres par les PME. Il convient de promouvoir les pratiques qui accroissent la participation des PME, telles que l’utilisation de conditions adaptées aux PME (qualifications financières plus favorables et conditions de paiement). </w:t>
      </w:r>
    </w:p>
    <w:tbl>
      <w:tblPr>
        <w:tblStyle w:val="TableGrid"/>
        <w:tblW w:w="0" w:type="auto"/>
        <w:tblLook w:val="04A0" w:firstRow="1" w:lastRow="0" w:firstColumn="1" w:lastColumn="0" w:noHBand="0" w:noVBand="1"/>
      </w:tblPr>
      <w:tblGrid>
        <w:gridCol w:w="9288"/>
      </w:tblGrid>
      <w:tr w:rsidR="00F4457A" w:rsidRPr="00C92345" w14:paraId="65CE8ACD" w14:textId="77777777" w:rsidTr="00F4457A">
        <w:tc>
          <w:tcPr>
            <w:tcW w:w="9288" w:type="dxa"/>
          </w:tcPr>
          <w:p w14:paraId="1A4D2DA8" w14:textId="2C29829B" w:rsidR="00F4457A" w:rsidRPr="00C92345" w:rsidRDefault="00F4457A" w:rsidP="00F4457A">
            <w:pPr>
              <w:rPr>
                <w:rStyle w:val="Strong"/>
                <w:i/>
                <w:noProof/>
              </w:rPr>
            </w:pPr>
            <w:r>
              <w:rPr>
                <w:rStyle w:val="Strong"/>
                <w:i/>
                <w:noProof/>
              </w:rPr>
              <w:t>La Commission propose:</w:t>
            </w:r>
          </w:p>
          <w:p w14:paraId="258E7941" w14:textId="2B8BD9D0" w:rsidR="00F4457A" w:rsidRPr="00C92345" w:rsidRDefault="00B146D0" w:rsidP="00BC268B">
            <w:pPr>
              <w:pStyle w:val="ListParagraph"/>
              <w:numPr>
                <w:ilvl w:val="0"/>
                <w:numId w:val="26"/>
              </w:numPr>
              <w:spacing w:after="120"/>
              <w:rPr>
                <w:rStyle w:val="Strong"/>
                <w:iCs/>
                <w:noProof/>
              </w:rPr>
            </w:pPr>
            <w:bookmarkStart w:id="28" w:name="_Hlk144894490"/>
            <w:r>
              <w:rPr>
                <w:rStyle w:val="Strong"/>
                <w:b/>
                <w:noProof/>
              </w:rPr>
              <w:t>Mesure nº 13</w:t>
            </w:r>
            <w:r>
              <w:rPr>
                <w:rStyle w:val="Strong"/>
                <w:noProof/>
              </w:rPr>
              <w:t>: de promouvoir l’utilisation de dispositions normalisées en matière de marchés publics et de conditions adaptées aux PME afin d’améliorer leur participation aux marchés publics.</w:t>
            </w:r>
            <w:bookmarkEnd w:id="28"/>
          </w:p>
        </w:tc>
      </w:tr>
    </w:tbl>
    <w:p w14:paraId="3016EE21" w14:textId="0EE58BAE" w:rsidR="6B266DAD" w:rsidRPr="00C92345" w:rsidRDefault="00261920" w:rsidP="00240DD4">
      <w:pPr>
        <w:pStyle w:val="Heading3"/>
        <w:spacing w:before="240"/>
        <w:rPr>
          <w:noProof/>
        </w:rPr>
      </w:pPr>
      <w:bookmarkStart w:id="29" w:name="_Ref144585996"/>
      <w:r>
        <w:rPr>
          <w:noProof/>
        </w:rPr>
        <w:t>Faciliter l’accès des PME au financement durable</w:t>
      </w:r>
      <w:bookmarkEnd w:id="29"/>
      <w:r>
        <w:rPr>
          <w:noProof/>
        </w:rPr>
        <w:t xml:space="preserve"> </w:t>
      </w:r>
    </w:p>
    <w:p w14:paraId="1776D0C0" w14:textId="79C26BCB" w:rsidR="00340766" w:rsidRPr="00C92345" w:rsidRDefault="00985F6C" w:rsidP="00891D22">
      <w:pPr>
        <w:rPr>
          <w:noProof/>
        </w:rPr>
      </w:pPr>
      <w:r>
        <w:rPr>
          <w:b/>
          <w:noProof/>
        </w:rPr>
        <w:t>Les PME jouent un rôle important pour aider l’Europe à atteindre ses objectifs de neutralité climatique et d’autres objectifs environnementaux</w:t>
      </w:r>
      <w:r>
        <w:rPr>
          <w:rStyle w:val="FootnoteReference"/>
          <w:b/>
          <w:bCs/>
          <w:noProof/>
        </w:rPr>
        <w:footnoteReference w:id="72"/>
      </w:r>
      <w:r>
        <w:rPr>
          <w:b/>
          <w:noProof/>
        </w:rPr>
        <w:t>. Il est donc essentiel de lever des fonds en faveur de la transition des PME vers la durabilité, tout en réduisant au minimum la charge administrative.</w:t>
      </w:r>
      <w:r>
        <w:rPr>
          <w:noProof/>
        </w:rPr>
        <w:t xml:space="preserve"> Pour exploiter pleinement leur potentiel de transition vers une économie durable, les PME ont besoin en particulier 1) d’un cadre simple et normalisé pour rendre compte des questions environnementales, sociales et de gouvernance (ESG), et 2) d’institutions financières qui les soutiennent dans leurs efforts de transition vers une activité économique durable.</w:t>
      </w:r>
    </w:p>
    <w:p w14:paraId="0CBD9999" w14:textId="4E7F0515" w:rsidR="00DB31D4" w:rsidRPr="00E9387D" w:rsidRDefault="00A97A70" w:rsidP="00580B42">
      <w:pPr>
        <w:rPr>
          <w:noProof/>
        </w:rPr>
      </w:pPr>
      <w:r>
        <w:rPr>
          <w:b/>
          <w:noProof/>
        </w:rPr>
        <w:t>Malgré les mesures déjà mises en place pour répondre à leurs besoins</w:t>
      </w:r>
      <w:r>
        <w:rPr>
          <w:rStyle w:val="FootnoteReference"/>
          <w:b/>
          <w:bCs/>
          <w:noProof/>
        </w:rPr>
        <w:footnoteReference w:id="73"/>
      </w:r>
      <w:r>
        <w:rPr>
          <w:b/>
          <w:noProof/>
        </w:rPr>
        <w:t>, les PME éprouvent des difficultés à obtenir un financement pour leurs projets verts.</w:t>
      </w:r>
      <w:r>
        <w:rPr>
          <w:noProof/>
        </w:rPr>
        <w:t xml:space="preserve"> Les PME, à l’exception des PME cotées, ne sont pas formellement soumises aux exigences du cadre de l’UE pour la finance durable. Toutefois, la Commission est consciente du fait que ces PME sont confrontées à des demandes croissantes d’informations sur la durabilité, souvent dans un format non normalisé, de la part de leurs partenaires financiers et de la chaîne de valeur. Dans ce contexte, la Commission reconnaît les préoccupations des PME concernant les effets de retombées de ces nouvelles règles sur la publication d’informations en matière de durabilité. </w:t>
      </w:r>
    </w:p>
    <w:p w14:paraId="4E619D71" w14:textId="4F078277" w:rsidR="0024709B" w:rsidRPr="00C92345" w:rsidRDefault="000A4C9C" w:rsidP="00307B9C">
      <w:pPr>
        <w:rPr>
          <w:noProof/>
        </w:rPr>
      </w:pPr>
      <w:r>
        <w:rPr>
          <w:b/>
          <w:noProof/>
        </w:rPr>
        <w:t>La Commission prend des mesures pour répondre à ces préoccupations.</w:t>
      </w:r>
      <w:r>
        <w:rPr>
          <w:noProof/>
        </w:rPr>
        <w:t xml:space="preserve"> Elle encourage</w:t>
      </w:r>
      <w:r>
        <w:rPr>
          <w:rStyle w:val="FootnoteReference"/>
          <w:noProof/>
        </w:rPr>
        <w:footnoteReference w:id="74"/>
      </w:r>
      <w:r>
        <w:rPr>
          <w:noProof/>
        </w:rPr>
        <w:t xml:space="preserve"> en premier lieu les grandes entreprises et les intermédiaires financiers à appliquer le principe de proportionnalité dans leurs contacts avec les PME et à faire preuve de retenue lorsqu’ils demandent des informations aux PME partenaires dans leurs chaînes de valeur. Elle propose également des orientations spécifiques, y compris des outils d’utilisation volontaire dont les PME peuvent se servir pour accéder au financement de transition. </w:t>
      </w:r>
    </w:p>
    <w:p w14:paraId="14329B88" w14:textId="64DEDA5B" w:rsidR="00307B9C" w:rsidRPr="00C92345" w:rsidRDefault="000A4C9C" w:rsidP="00307B9C">
      <w:pPr>
        <w:rPr>
          <w:noProof/>
        </w:rPr>
      </w:pPr>
      <w:r>
        <w:rPr>
          <w:b/>
          <w:noProof/>
        </w:rPr>
        <w:t>Le Groupe consultatif pour l’information financière en Europe (EFRAG) élabore actuellement des normes d’information simplifiées pour les PME cotées.</w:t>
      </w:r>
      <w:r>
        <w:rPr>
          <w:noProof/>
        </w:rPr>
        <w:t xml:space="preserve"> La Commission veillera à ce que ces normes soient proportionnées pour les PME cotées. Les normes limiteront les informations que les PME cotées entrant dans le champ d’application de la directive sur la publication d’informations en matière de durabilité par les entreprises (CSRD) sont tenues de communiquer. Elles fixeront également une limite juridique aux informations que les grandes entreprises doivent obtenir des PME de leur chaîne de valeur en vertu des normes européennes d’informations en matière de durabilité, ce qui limitera les effets de retombée. Il s’agit d’une garantie importante de la CSRD visant à limiter l’incidence indirecte sur les PME des obligations de déclaration de la chaîne de valeur imposées aux grandes entreprises. La Commission s’efforcera de veiller, dans le cadre des négociations en cours relatives à la directive sur le devoir de vigilance des entreprises en matière de durabilité, à ce que ces garanties soient reprises dans ce contexte. En outre, l’EFRAG élaborera une norme d’application volontaire pour les PME non cotées,</w:t>
      </w:r>
      <w:r>
        <w:rPr>
          <w:b/>
          <w:noProof/>
        </w:rPr>
        <w:t xml:space="preserve"> </w:t>
      </w:r>
      <w:r>
        <w:rPr>
          <w:noProof/>
        </w:rPr>
        <w:t xml:space="preserve">dont celles-ci pourront se servir pour normaliser les informations en matière de durabilité qu’elles souhaitent publier, ce qui améliorera les possibilités d’obtenir un financement vert et permettra de tirer parti de la transition vers une économie durable. </w:t>
      </w:r>
    </w:p>
    <w:p w14:paraId="4C57B1DC" w14:textId="6B3C95C9" w:rsidR="00DD3231" w:rsidRPr="00C92345" w:rsidRDefault="00DD3231" w:rsidP="00DD3231">
      <w:pPr>
        <w:rPr>
          <w:noProof/>
        </w:rPr>
      </w:pPr>
      <w:r>
        <w:rPr>
          <w:b/>
          <w:noProof/>
        </w:rPr>
        <w:t>Des outils conviviaux et le partage d’informations et de connaissances, en coopération avec les parties prenantes du secteur, aideront les PME à naviguer dans le cadre de l’UE en matière de finance durable</w:t>
      </w:r>
      <w:r>
        <w:rPr>
          <w:noProof/>
        </w:rPr>
        <w:t>. En particulier, des approches simplifiées, élaborées en collaboration avec la plateforme sur la finance durable, devraient permettre aux PME non cotées de bénéficier de l’utilisation de la taxinomie.</w:t>
      </w:r>
    </w:p>
    <w:p w14:paraId="6BAA64C0" w14:textId="4143B47A" w:rsidR="001B1521" w:rsidRPr="00C92345" w:rsidRDefault="001B1521" w:rsidP="003A160A">
      <w:pPr>
        <w:rPr>
          <w:rFonts w:ascii="Calibri" w:hAnsi="Calibri" w:cs="Calibri"/>
          <w:noProof/>
        </w:rPr>
      </w:pPr>
      <w:r>
        <w:rPr>
          <w:b/>
          <w:noProof/>
        </w:rPr>
        <w:t>Par ailleurs, les établissements financiers doivent soutenir les PME dans leurs efforts de transition vers une activité durable,</w:t>
      </w:r>
      <w:r>
        <w:rPr>
          <w:noProof/>
        </w:rPr>
        <w:t xml:space="preserve"> ce qui nécessite une meilleure intégration du financement vert des PME dans les modèles économiques des banques. Il est nécessaire de définir la notion de prêts verts et d’établir des normes à l’échelle de l’UE concernant ces prêts afin qu’ils soient plus utilisés. L’inclusion de ces prêts aux PME dans le numérateur du ratio d’actifs verts des banques devrait, par exemple, donner une plus grande visibilité aux prêts verts aux PME et encourager les établissements financiers à apporter des financements durables aux PME.</w:t>
      </w:r>
    </w:p>
    <w:tbl>
      <w:tblPr>
        <w:tblStyle w:val="TableGrid"/>
        <w:tblpPr w:leftFromText="180" w:rightFromText="180" w:vertAnchor="text" w:horzAnchor="margin" w:tblpY="43"/>
        <w:tblW w:w="0" w:type="auto"/>
        <w:tblLook w:val="0600" w:firstRow="0" w:lastRow="0" w:firstColumn="0" w:lastColumn="0" w:noHBand="1" w:noVBand="1"/>
      </w:tblPr>
      <w:tblGrid>
        <w:gridCol w:w="9288"/>
      </w:tblGrid>
      <w:tr w:rsidR="00434033" w:rsidRPr="00C92345" w14:paraId="31D8AFEE" w14:textId="77777777" w:rsidTr="00434033">
        <w:tc>
          <w:tcPr>
            <w:tcW w:w="0" w:type="auto"/>
          </w:tcPr>
          <w:p w14:paraId="21F38FF8" w14:textId="1D6250CF" w:rsidR="00434033" w:rsidRPr="00C92345" w:rsidRDefault="00870980" w:rsidP="00434033">
            <w:pPr>
              <w:pStyle w:val="Commissionwill"/>
              <w:ind w:right="170"/>
              <w:rPr>
                <w:rStyle w:val="Strong"/>
                <w:noProof/>
              </w:rPr>
            </w:pPr>
            <w:r>
              <w:rPr>
                <w:rStyle w:val="Strong"/>
                <w:noProof/>
              </w:rPr>
              <w:t>Sur la base des résultats de diverses études en cours de la Commission sur les PME et des rapports sur la taxinomie/la finance durable, la Commission propose:</w:t>
            </w:r>
          </w:p>
          <w:p w14:paraId="782197F1" w14:textId="1A8A772A" w:rsidR="00444A92" w:rsidRPr="00C92345" w:rsidRDefault="00B146D0" w:rsidP="00307B9C">
            <w:pPr>
              <w:pStyle w:val="Bulletpoint1"/>
              <w:numPr>
                <w:ilvl w:val="0"/>
                <w:numId w:val="5"/>
              </w:numPr>
              <w:rPr>
                <w:noProof/>
                <w:color w:val="auto"/>
              </w:rPr>
            </w:pPr>
            <w:r>
              <w:rPr>
                <w:b/>
                <w:noProof/>
              </w:rPr>
              <w:t>Mesure nº 14</w:t>
            </w:r>
            <w:r>
              <w:rPr>
                <w:noProof/>
              </w:rPr>
              <w:t>: de veiller à ce que les PME disposent d’un cadre simple et normalisé pour rendre compte des questions ESG, en limitant le risque lié aux exigences en matière de publication d’informations se répercutant sur les PME non cotées dans la chaîne de valeur des entreprises relevant du champ d’application de la CSRD, et en garantissant la mise en œuvre rapide de normes d’application volontaires pour les PME non cotées.</w:t>
            </w:r>
          </w:p>
          <w:p w14:paraId="40F665B6" w14:textId="4D0A353D" w:rsidR="001B1521" w:rsidRPr="00C92345" w:rsidRDefault="00B146D0" w:rsidP="00BC7CF0">
            <w:pPr>
              <w:pStyle w:val="Bulletpoint1"/>
              <w:numPr>
                <w:ilvl w:val="0"/>
                <w:numId w:val="5"/>
              </w:numPr>
              <w:ind w:right="170"/>
              <w:rPr>
                <w:noProof/>
              </w:rPr>
            </w:pPr>
            <w:r>
              <w:rPr>
                <w:b/>
                <w:noProof/>
                <w:color w:val="auto"/>
              </w:rPr>
              <w:t>Mesure nº 15</w:t>
            </w:r>
            <w:r>
              <w:rPr>
                <w:noProof/>
                <w:color w:val="auto"/>
              </w:rPr>
              <w:t>: d’encourager les établissements financiers à inclure le financement vert des PME dans leurs modèles d’entreprise en:</w:t>
            </w:r>
          </w:p>
          <w:p w14:paraId="4C8CDF12" w14:textId="7425AE5D" w:rsidR="001B1521" w:rsidRPr="00C92345" w:rsidRDefault="001B1521" w:rsidP="00891D22">
            <w:pPr>
              <w:pStyle w:val="Bulletpoint1"/>
              <w:numPr>
                <w:ilvl w:val="1"/>
                <w:numId w:val="5"/>
              </w:numPr>
              <w:ind w:right="170"/>
              <w:rPr>
                <w:noProof/>
              </w:rPr>
            </w:pPr>
            <w:r>
              <w:rPr>
                <w:noProof/>
                <w:color w:val="auto"/>
              </w:rPr>
              <w:t>œuvrant à l’élaboration d’une norme ou d’une définition des prêts verts, notamment pour les PME, sur la base de l’avis à venir de l’Autorité bancaire européenne</w:t>
            </w:r>
            <w:r>
              <w:rPr>
                <w:rStyle w:val="FootnoteReference"/>
                <w:noProof/>
                <w:color w:val="auto"/>
              </w:rPr>
              <w:footnoteReference w:id="75"/>
            </w:r>
            <w:r>
              <w:rPr>
                <w:noProof/>
                <w:color w:val="auto"/>
              </w:rPr>
              <w:t>;</w:t>
            </w:r>
          </w:p>
          <w:p w14:paraId="4BD1272C" w14:textId="77837E50" w:rsidR="00BB35CC" w:rsidRPr="00C92345" w:rsidRDefault="001B1521" w:rsidP="00891D22">
            <w:pPr>
              <w:pStyle w:val="Bulletpoint1"/>
              <w:numPr>
                <w:ilvl w:val="1"/>
                <w:numId w:val="5"/>
              </w:numPr>
              <w:ind w:right="170"/>
              <w:rPr>
                <w:rFonts w:ascii="Calibri" w:hAnsi="Calibri" w:cs="Calibri"/>
                <w:noProof/>
              </w:rPr>
            </w:pPr>
            <w:r>
              <w:rPr>
                <w:noProof/>
              </w:rPr>
              <w:t>envisageant une adaptation favorable aux PME du ratio d’actifs verts dans le cadre d’une future mise à jour de l’acte délégué relatif aux informations à publier en lien avec la taxinomie.</w:t>
            </w:r>
            <w:r>
              <w:rPr>
                <w:noProof/>
                <w:color w:val="auto"/>
              </w:rPr>
              <w:t xml:space="preserve"> </w:t>
            </w:r>
          </w:p>
        </w:tc>
      </w:tr>
    </w:tbl>
    <w:p w14:paraId="1E3875D3" w14:textId="6E2FAEB4" w:rsidR="00BF0D28" w:rsidRPr="00C92345" w:rsidRDefault="00BF0D28" w:rsidP="00240DD4">
      <w:pPr>
        <w:pStyle w:val="Heading2"/>
        <w:spacing w:after="240"/>
        <w:ind w:left="578" w:hanging="578"/>
        <w:rPr>
          <w:noProof/>
        </w:rPr>
      </w:pPr>
      <w:r>
        <w:rPr>
          <w:noProof/>
        </w:rPr>
        <w:t>Faciliter l’accès à un personnel qualifié</w:t>
      </w:r>
    </w:p>
    <w:p w14:paraId="770CE6FB" w14:textId="3A232D6B" w:rsidR="00BF0D28" w:rsidRPr="00C92345" w:rsidRDefault="00BF0D28" w:rsidP="00837960">
      <w:pPr>
        <w:rPr>
          <w:noProof/>
        </w:rPr>
      </w:pPr>
      <w:r>
        <w:rPr>
          <w:b/>
          <w:noProof/>
        </w:rPr>
        <w:t>La manière dont les PME et leurs travailleurs apprennent, participent à la société et dirigent leurs activités quotidiennes change en fonction des évolutions technologiques et des défis mondiaux et démographiques.</w:t>
      </w:r>
      <w:r>
        <w:rPr>
          <w:noProof/>
        </w:rPr>
        <w:t xml:space="preserve"> Les PME ont besoin d’un personnel qualifié pour faire face à ces changements et garantir leur résilience tout en contribuant à la société, à la productivité et à l’innovation.</w:t>
      </w:r>
    </w:p>
    <w:p w14:paraId="787338AF" w14:textId="1BA93ABB" w:rsidR="00411C9E" w:rsidRPr="00C92345" w:rsidRDefault="00BF0D28" w:rsidP="00837960">
      <w:pPr>
        <w:rPr>
          <w:noProof/>
        </w:rPr>
      </w:pPr>
      <w:r>
        <w:rPr>
          <w:noProof/>
        </w:rPr>
        <w:t>La Commission s’appuie sur la stratégie européenne en matière de compétences</w:t>
      </w:r>
      <w:r>
        <w:rPr>
          <w:noProof/>
          <w:vertAlign w:val="superscript"/>
        </w:rPr>
        <w:footnoteReference w:id="76"/>
      </w:r>
      <w:r>
        <w:rPr>
          <w:noProof/>
        </w:rPr>
        <w:t xml:space="preserve"> pour aider les États membres à faire en sorte que 60 % de l’ensemble des adultes en âge de travailler participent chaque année à des programmes de formation, conformément à l’objectif fixé par le plan d’action sur le socle européen des droits sociaux</w:t>
      </w:r>
      <w:r>
        <w:rPr>
          <w:noProof/>
          <w:vertAlign w:val="superscript"/>
        </w:rPr>
        <w:footnoteReference w:id="77"/>
      </w:r>
      <w:r>
        <w:rPr>
          <w:noProof/>
        </w:rPr>
        <w:t>. L’Année européenne des compétences et les ressources financières sans précédent de l’UE disponibles pour le développement des compétences au cours de la période de programmation du cadre financier pluriannuel 2021-2027, en particulier un montant estimé à 65 milliards d’euros provenant de la facilité pour la reprise et la résilience et du Fonds social européen plus, constituent également une occasion unique d’accélérer sur le terrain des actions susceptibles de favoriser l’accès des PME à un vivier de compétences profond et diversifié, telles que les propositions relatives à l’éducation et aux compétences numériques</w:t>
      </w:r>
      <w:r>
        <w:rPr>
          <w:rStyle w:val="FootnoteReference"/>
          <w:noProof/>
        </w:rPr>
        <w:footnoteReference w:id="78"/>
      </w:r>
      <w:r>
        <w:rPr>
          <w:noProof/>
        </w:rPr>
        <w:t>. En ce sens, le projet pilote de certificat européen de compétences numériques</w:t>
      </w:r>
      <w:r>
        <w:rPr>
          <w:rStyle w:val="FootnoteReference"/>
          <w:noProof/>
        </w:rPr>
        <w:footnoteReference w:id="79"/>
      </w:r>
      <w:r>
        <w:rPr>
          <w:noProof/>
        </w:rPr>
        <w:t xml:space="preserve"> contribuera, en coopération avec les États membres et les parties prenantes, à renforcer la transparence et la reconnaissance des compétences numériques, ce qui facilitera l’accès des PME aux talents dont elles ont besoin pour la transition numérique. </w:t>
      </w:r>
    </w:p>
    <w:p w14:paraId="5D6665F2" w14:textId="463EDC0B" w:rsidR="004B6370" w:rsidRPr="00C92345" w:rsidRDefault="005C43C1" w:rsidP="00837960">
      <w:pPr>
        <w:rPr>
          <w:rStyle w:val="normaltextrun"/>
          <w:noProof/>
        </w:rPr>
      </w:pPr>
      <w:r>
        <w:rPr>
          <w:b/>
          <w:noProof/>
        </w:rPr>
        <w:t>Dans le cadre de la modernisation des systèmes d’enseignement et de formation professionnels (EFP)</w:t>
      </w:r>
      <w:r>
        <w:rPr>
          <w:rStyle w:val="FootnoteReference"/>
          <w:b/>
          <w:bCs/>
          <w:noProof/>
        </w:rPr>
        <w:footnoteReference w:id="80"/>
      </w:r>
      <w:r>
        <w:rPr>
          <w:b/>
          <w:noProof/>
        </w:rPr>
        <w:t xml:space="preserve">, </w:t>
      </w:r>
      <w:r>
        <w:rPr>
          <w:rStyle w:val="eop"/>
          <w:b/>
          <w:noProof/>
        </w:rPr>
        <w:t xml:space="preserve">l’UE soutient également </w:t>
      </w:r>
      <w:hyperlink r:id="rId16" w:anchor=":~:text=Centres%20of%20Vocational%20Excellence%20(CoVEs,specialisation%20strategies%20and%20social%20inclusion." w:tgtFrame="_blank" w:history="1">
        <w:r>
          <w:rPr>
            <w:b/>
            <w:noProof/>
          </w:rPr>
          <w:t>les centres d’excellence professionnelle</w:t>
        </w:r>
        <w:r>
          <w:rPr>
            <w:rStyle w:val="FootnoteReference"/>
            <w:b/>
            <w:bCs/>
            <w:noProof/>
          </w:rPr>
          <w:footnoteReference w:id="81"/>
        </w:r>
      </w:hyperlink>
      <w:r>
        <w:rPr>
          <w:noProof/>
        </w:rPr>
        <w:t xml:space="preserve"> </w:t>
      </w:r>
      <w:r>
        <w:rPr>
          <w:rStyle w:val="normaltextrun"/>
          <w:noProof/>
        </w:rPr>
        <w:t>en vue de développer des «écosystèmes de compétences» locaux, allant de la fabrication avancée à l’intelligence artificielle, en passant par la technologie de l’eau et l’écologisation urbaine</w:t>
      </w:r>
      <w:r>
        <w:rPr>
          <w:noProof/>
        </w:rPr>
        <w:t>.</w:t>
      </w:r>
      <w:r>
        <w:rPr>
          <w:rStyle w:val="normaltextrun"/>
          <w:noProof/>
        </w:rPr>
        <w:t xml:space="preserve"> Ces centres d’excellence professionnelle travaillent en étroite collaboration avec les entreprises, y compris les PME, et contribuent au développement régional, à la volonté d’entreprendre, à l’innovation et aux stratégies de spécialisation intelligente. </w:t>
      </w:r>
      <w:r>
        <w:rPr>
          <w:noProof/>
        </w:rPr>
        <w:t>En outre, l’Alliance européenne pour l’apprentissage œuvre en faveur d’apprentissages plus nombreux et de meilleure qualité dans l’ensemble de l’UE, dans le cadre de parcours d’apprentissage efficaces visant à mettre sur le marché les travailleurs qualifiés dont les entreprises, en particulier les PME, ont besoin.</w:t>
      </w:r>
    </w:p>
    <w:p w14:paraId="56753EDE" w14:textId="5660BB50" w:rsidR="00FC691B" w:rsidRPr="00C92345" w:rsidRDefault="00BF0D28" w:rsidP="00411C9E">
      <w:pPr>
        <w:rPr>
          <w:rFonts w:eastAsia="Times New Roman"/>
          <w:noProof/>
        </w:rPr>
      </w:pPr>
      <w:r>
        <w:rPr>
          <w:b/>
          <w:noProof/>
        </w:rPr>
        <w:t>Dans le cadre du pacte de l’UE pour les compétences</w:t>
      </w:r>
      <w:r>
        <w:rPr>
          <w:bCs/>
          <w:noProof/>
          <w:vertAlign w:val="superscript"/>
        </w:rPr>
        <w:footnoteReference w:id="82"/>
      </w:r>
      <w:r>
        <w:rPr>
          <w:b/>
          <w:noProof/>
        </w:rPr>
        <w:t>, 18 partenariats à grande échelle en matière de compétences portant sur tous les écosystèmes industriels œuvrent à l’identification des besoins en compétences et au déploiement de formations dans les entreprises et leurs chaînes d’approvisionnement afin de permettre à 10 millions de travailleurs de se reconvertir et de mettre leurs compétences à niveau d’ici à 2030.</w:t>
      </w:r>
      <w:r>
        <w:rPr>
          <w:noProof/>
        </w:rPr>
        <w:t xml:space="preserve"> Les PME participent activement et directement à tous les partenariats à grande échelle en matière de compétences, en tant que membres individuels et indirectement par l’intermédiaire d’organisations de réseaux sectoriels. Le partenariat avec d’autres acteurs (tels que les partenaires sociaux) et réseaux dans le cadre des partenariats à grande échelle en matière de compétences leur donne accès à des programmes de formation, à des contenus et à du matériel auxquels elles n’auraient souvent pas eu accès en raison de leur taille et de leurs ressources limitées. </w:t>
      </w:r>
    </w:p>
    <w:p w14:paraId="5671DD4C" w14:textId="748C701A" w:rsidR="00D91E89" w:rsidRPr="00C92345" w:rsidRDefault="00D91E89" w:rsidP="00411C9E">
      <w:pPr>
        <w:rPr>
          <w:noProof/>
        </w:rPr>
      </w:pPr>
      <w:r>
        <w:rPr>
          <w:b/>
          <w:noProof/>
        </w:rPr>
        <w:t>Le réseau Entreprise Europe joue un rôle important en offrant des formations aux PME</w:t>
      </w:r>
      <w:r>
        <w:rPr>
          <w:noProof/>
        </w:rPr>
        <w:t xml:space="preserve"> afin de les aider à se conformer aux nouvelles exigences, à saisir les possibilités offertes par des mesures telles que le règlement pour une industrie «zéro net» ou la réglementation sur les matières premières critiques, et à gérer les conséquences du pacte vert et de la législation en matière de durabilité, notamment la directive sur le devoir de vigilance des entreprises en matière de durabilité.</w:t>
      </w:r>
    </w:p>
    <w:p w14:paraId="2C27410B" w14:textId="768D4235" w:rsidR="00C15711" w:rsidRPr="00C92345" w:rsidRDefault="00C15711" w:rsidP="00411C9E">
      <w:pPr>
        <w:rPr>
          <w:noProof/>
        </w:rPr>
      </w:pPr>
      <w:r>
        <w:rPr>
          <w:b/>
          <w:noProof/>
        </w:rPr>
        <w:t xml:space="preserve">Les compétences entrepreneuriales sont essentielles pour aider les entrepreneurs établis à développer leur entreprise et pour encourager un plus grand nombre de personnes à se lancer dans une carrière entrepreneuriale. </w:t>
      </w:r>
      <w:r>
        <w:rPr>
          <w:noProof/>
        </w:rPr>
        <w:t>Afin de donner aux femmes les moyens de devenir entrepreneuses, la Commission a mené des activités de sensibilisation associées à la formation, au tutorat et à l’accompagnement, ainsi qu’à l’amélioration de l’accès des femmes entrepreneuses au financement et aux réseaux d’entreprises. Erasmus pour jeunes entrepreneurs</w:t>
      </w:r>
      <w:r>
        <w:rPr>
          <w:rStyle w:val="FootnoteReference"/>
          <w:noProof/>
        </w:rPr>
        <w:footnoteReference w:id="83"/>
      </w:r>
      <w:r>
        <w:rPr>
          <w:noProof/>
        </w:rPr>
        <w:t>, par exemple, soutient plus de 9 000 femmes entrepreneuses et Women TechEU</w:t>
      </w:r>
      <w:r>
        <w:rPr>
          <w:rStyle w:val="FootnoteReference"/>
          <w:noProof/>
        </w:rPr>
        <w:footnoteReference w:id="84"/>
      </w:r>
      <w:r>
        <w:rPr>
          <w:noProof/>
        </w:rPr>
        <w:t xml:space="preserve"> propose un financement aux entreprises créées par des femmes dont le budget est supérieur à 10 millions d’euros. Toutefois, des efforts supplémentaires sont nécessaires pour libérer tout le potentiel entrepreneurial des femmes, des jeunes et des groupes exposés au risque d’exclusion. </w:t>
      </w:r>
    </w:p>
    <w:p w14:paraId="045076C8" w14:textId="12A3DED8" w:rsidR="001D2265" w:rsidRPr="00C92345" w:rsidRDefault="00C15711" w:rsidP="00411C9E">
      <w:pPr>
        <w:rPr>
          <w:rFonts w:cstheme="minorHAnsi"/>
          <w:noProof/>
          <w:color w:val="000000" w:themeColor="text1"/>
        </w:rPr>
      </w:pPr>
      <w:r>
        <w:rPr>
          <w:b/>
          <w:noProof/>
          <w:color w:val="000000" w:themeColor="text1"/>
        </w:rPr>
        <w:t>Enfin, les processus doivent également être simplifiés pour permettre aux PME d’attirer des talents étrangers.</w:t>
      </w:r>
      <w:r>
        <w:rPr>
          <w:noProof/>
          <w:color w:val="000000" w:themeColor="text1"/>
        </w:rPr>
        <w:t xml:space="preserve"> La Commission proposera, dans le courant de l’année, un train de mesures sur l’optimisation du potentiel de mobilité des talents, qui comprendra une proposition législative sur la création d’un réservoir européen de talents et une initiative visant à collaborer avec les États membres pour accélérer la reconnaissance des qualifications professionnelles des ressortissants de pays tiers, y compris au moyen de partenariats avec les pays tiers, afin d’améliorer le recrutement et la mise en adéquation des offres et des demandes d’emploi. </w:t>
      </w:r>
    </w:p>
    <w:tbl>
      <w:tblPr>
        <w:tblStyle w:val="TableGrid"/>
        <w:tblpPr w:leftFromText="181" w:rightFromText="181" w:vertAnchor="text" w:tblpY="1"/>
        <w:tblW w:w="0" w:type="auto"/>
        <w:tblLook w:val="04A0" w:firstRow="1" w:lastRow="0" w:firstColumn="1" w:lastColumn="0" w:noHBand="0" w:noVBand="1"/>
      </w:tblPr>
      <w:tblGrid>
        <w:gridCol w:w="9288"/>
      </w:tblGrid>
      <w:tr w:rsidR="00CE741B" w:rsidRPr="00C92345" w14:paraId="692F84D4" w14:textId="77777777" w:rsidTr="00FC691B">
        <w:tc>
          <w:tcPr>
            <w:tcW w:w="9288" w:type="dxa"/>
          </w:tcPr>
          <w:p w14:paraId="09AEE30B" w14:textId="5D8040EF" w:rsidR="00CE741B" w:rsidRPr="00C92345" w:rsidRDefault="00D91E89" w:rsidP="00FC691B">
            <w:pPr>
              <w:pStyle w:val="Commissionwill"/>
              <w:ind w:right="170"/>
              <w:rPr>
                <w:noProof/>
              </w:rPr>
            </w:pPr>
            <w:r>
              <w:rPr>
                <w:noProof/>
              </w:rPr>
              <w:t xml:space="preserve">La Commission entend: </w:t>
            </w:r>
          </w:p>
          <w:p w14:paraId="1548E05C" w14:textId="07CD60D9" w:rsidR="00CE741B" w:rsidRPr="00C92345" w:rsidRDefault="00B146D0" w:rsidP="00FC691B">
            <w:pPr>
              <w:pStyle w:val="Bulletpoint1"/>
              <w:ind w:right="170"/>
              <w:rPr>
                <w:noProof/>
              </w:rPr>
            </w:pPr>
            <w:r>
              <w:rPr>
                <w:b/>
                <w:noProof/>
              </w:rPr>
              <w:t>Mesure nº 16</w:t>
            </w:r>
            <w:r>
              <w:rPr>
                <w:noProof/>
              </w:rPr>
              <w:t>: présenter, d’ici au quatrième trimestre de 2023, une proposition visant à créer un réservoir européen de talents et une initiative visant à améliorer la reconnaissance des qualifications et des compétences des ressortissants de pays tiers afin de combler les déficits de compétences sur le marché du travail de l’UE.</w:t>
            </w:r>
          </w:p>
          <w:p w14:paraId="19082992" w14:textId="2E7A4B1E" w:rsidR="00CE741B" w:rsidRPr="00C92345" w:rsidRDefault="00D91E89" w:rsidP="00C15711">
            <w:pPr>
              <w:pStyle w:val="Bulletpoint1"/>
              <w:spacing w:after="120"/>
              <w:ind w:right="170"/>
              <w:rPr>
                <w:noProof/>
              </w:rPr>
            </w:pPr>
            <w:r>
              <w:rPr>
                <w:b/>
                <w:noProof/>
              </w:rPr>
              <w:t>Mesure nº 17</w:t>
            </w:r>
            <w:r>
              <w:rPr>
                <w:noProof/>
              </w:rPr>
              <w:t>: travailler avec des groupes dont le potentiel entrepreneurial inexploité reste élevé, tels que les femmes, les jeunes et les personnes handicapées, grâce à des campagnes de sensibilisation, de tutorat et d’accompagnement.</w:t>
            </w:r>
          </w:p>
        </w:tc>
      </w:tr>
    </w:tbl>
    <w:p w14:paraId="1457DBBA" w14:textId="78ABD02C" w:rsidR="00356744" w:rsidRPr="00C92345" w:rsidRDefault="00356744" w:rsidP="00240DD4">
      <w:pPr>
        <w:pStyle w:val="Heading2"/>
        <w:spacing w:after="240"/>
        <w:ind w:left="578" w:hanging="578"/>
        <w:rPr>
          <w:noProof/>
        </w:rPr>
      </w:pPr>
      <w:bookmarkStart w:id="30" w:name="_Hlk140582438"/>
      <w:r>
        <w:rPr>
          <w:noProof/>
        </w:rPr>
        <w:t>Soutenir les PME tout au long de leur cycle de vie économique</w:t>
      </w:r>
    </w:p>
    <w:bookmarkEnd w:id="30"/>
    <w:p w14:paraId="3C9F49EB" w14:textId="39D82FD4" w:rsidR="00356744" w:rsidRPr="00C92345" w:rsidRDefault="00356744" w:rsidP="00837960">
      <w:pPr>
        <w:pStyle w:val="Heading3"/>
        <w:rPr>
          <w:noProof/>
        </w:rPr>
      </w:pPr>
      <w:r>
        <w:rPr>
          <w:noProof/>
        </w:rPr>
        <w:t>Créer une nouvelle entreprise</w:t>
      </w:r>
    </w:p>
    <w:p w14:paraId="51DE91A5" w14:textId="492951AD" w:rsidR="00356744" w:rsidRPr="00C92345" w:rsidRDefault="00356744" w:rsidP="00E00E9D">
      <w:pPr>
        <w:rPr>
          <w:noProof/>
        </w:rPr>
      </w:pPr>
      <w:r>
        <w:rPr>
          <w:b/>
          <w:noProof/>
        </w:rPr>
        <w:t>Depuis le réexamen du «Small Business Act»</w:t>
      </w:r>
      <w:r>
        <w:rPr>
          <w:b/>
          <w:bCs/>
          <w:noProof/>
          <w:vertAlign w:val="superscript"/>
        </w:rPr>
        <w:footnoteReference w:id="85"/>
      </w:r>
      <w:r>
        <w:rPr>
          <w:b/>
          <w:noProof/>
        </w:rPr>
        <w:t>, la Commission collabore avec les États membres pour réduire les délais de création des nouvelles entreprises.</w:t>
      </w:r>
      <w:r>
        <w:rPr>
          <w:noProof/>
        </w:rPr>
        <w:t xml:space="preserve"> L’initiative en faveur des start-up et des scale-up de 2016</w:t>
      </w:r>
      <w:r>
        <w:rPr>
          <w:noProof/>
          <w:vertAlign w:val="superscript"/>
        </w:rPr>
        <w:footnoteReference w:id="86"/>
      </w:r>
      <w:r>
        <w:rPr>
          <w:noProof/>
        </w:rPr>
        <w:t xml:space="preserve"> comprenait une série d’actions visant à rendre la création et l’expansion d’une entreprise plus attrayantes pour les entrepreneurs en Europe. La Commission encourage également les États membres à promouvoir la création de jeunes pousses en mettant en œuvre les principes et les bonnes pratiques énoncés dans la déclaration sur la norme d’excellence de l’UE pour les jeunes pousses</w:t>
      </w:r>
      <w:r>
        <w:rPr>
          <w:noProof/>
          <w:vertAlign w:val="superscript"/>
        </w:rPr>
        <w:footnoteReference w:id="87"/>
      </w:r>
      <w:r>
        <w:rPr>
          <w:noProof/>
        </w:rPr>
        <w:t>, tels que:</w:t>
      </w:r>
    </w:p>
    <w:p w14:paraId="5500881A" w14:textId="3D54DD14" w:rsidR="00BC64B7" w:rsidRPr="00C92345" w:rsidRDefault="00BC64B7" w:rsidP="00BC64B7">
      <w:pPr>
        <w:pStyle w:val="Bulletpoint1"/>
        <w:ind w:left="567" w:hanging="425"/>
        <w:rPr>
          <w:noProof/>
        </w:rPr>
      </w:pPr>
      <w:r>
        <w:rPr>
          <w:noProof/>
        </w:rPr>
        <w:t>faciliter la création de nouvelles entités juridiques pour les jeunes pousses, tant en ligne qu’hors ligne, en réduisant les délais et les coûts au minimum, y compris en permettant de soumettre en ligne des documents administratifs relatifs à la création d’une jeune pousse ou d’une filiale dans d’autres États membres</w:t>
      </w:r>
      <w:r>
        <w:rPr>
          <w:rStyle w:val="FootnoteReference"/>
          <w:noProof/>
        </w:rPr>
        <w:footnoteReference w:id="88"/>
      </w:r>
      <w:r>
        <w:rPr>
          <w:noProof/>
        </w:rPr>
        <w:t>;</w:t>
      </w:r>
    </w:p>
    <w:p w14:paraId="2CAE781F" w14:textId="7BB2166A" w:rsidR="006861B3" w:rsidRPr="00C92345" w:rsidRDefault="00356744" w:rsidP="006861B3">
      <w:pPr>
        <w:pStyle w:val="Bulletpoint1"/>
        <w:ind w:left="567" w:hanging="425"/>
        <w:rPr>
          <w:noProof/>
        </w:rPr>
      </w:pPr>
      <w:r>
        <w:rPr>
          <w:noProof/>
        </w:rPr>
        <w:t>mettre en place une voie rapide pour les jeunes pousses (y compris un service d’assistance pour l’accès au marché) par l’intermédiaire d’un guichet unique en ligne fournissant des informations complètes sur les exigences administratives nationales et les possibilités de financement, en lien avec le portail numérique unique;</w:t>
      </w:r>
    </w:p>
    <w:p w14:paraId="40E47F62" w14:textId="78E2A723" w:rsidR="00507A9C" w:rsidRPr="00C92345" w:rsidRDefault="006861B3" w:rsidP="006861B3">
      <w:pPr>
        <w:pStyle w:val="Bulletpoint1"/>
        <w:ind w:left="567" w:hanging="425"/>
        <w:rPr>
          <w:noProof/>
        </w:rPr>
      </w:pPr>
      <w:r>
        <w:rPr>
          <w:noProof/>
        </w:rPr>
        <w:t>soutenir la diversité et l’inclusion conformément au plan d’action pour l’économie sociale</w:t>
      </w:r>
      <w:r>
        <w:rPr>
          <w:rStyle w:val="FootnoteReference"/>
          <w:noProof/>
        </w:rPr>
        <w:footnoteReference w:id="89"/>
      </w:r>
      <w:r>
        <w:rPr>
          <w:noProof/>
        </w:rPr>
        <w:t xml:space="preserve">. </w:t>
      </w:r>
    </w:p>
    <w:p w14:paraId="4BD5CA63" w14:textId="5F8290DD" w:rsidR="00356744" w:rsidRPr="00C92345" w:rsidRDefault="00356744" w:rsidP="00345D12">
      <w:pPr>
        <w:pStyle w:val="Heading3"/>
        <w:rPr>
          <w:noProof/>
        </w:rPr>
      </w:pPr>
      <w:r>
        <w:rPr>
          <w:noProof/>
        </w:rPr>
        <w:t>Développer l’entreprise</w:t>
      </w:r>
    </w:p>
    <w:p w14:paraId="1FA8320D" w14:textId="7A12CBA7" w:rsidR="00747296" w:rsidRPr="00C92345" w:rsidRDefault="00F70D83" w:rsidP="00747296">
      <w:pPr>
        <w:rPr>
          <w:noProof/>
        </w:rPr>
      </w:pPr>
      <w:r>
        <w:rPr>
          <w:b/>
          <w:noProof/>
        </w:rPr>
        <w:t>Les mesures prévues dans la présente communication permettront aux PME d’être compétitives et de se développer.</w:t>
      </w:r>
      <w:r>
        <w:rPr>
          <w:noProof/>
        </w:rPr>
        <w:t xml:space="preserve"> Les PME sont actuellement définies comme des entreprises de moins de 250 salariés, dont le chiffre d’affaires annuel ne dépasse pas 50 millions d’euros ou dont le total du bilan ne dépasse pas 43 millions d’euros. Ces seuils ont été établis en 2003. Si, vingt ans plus tard, la grande majorité des entreprises restent incluses dans cette définition, certaines entreprises dépassent ces seuils et deviennent des entreprises de taille intermédiaire.</w:t>
      </w:r>
    </w:p>
    <w:p w14:paraId="6D545777" w14:textId="4CF0184C" w:rsidR="00F70D83" w:rsidRPr="00C92345" w:rsidRDefault="00747296" w:rsidP="00747296">
      <w:pPr>
        <w:rPr>
          <w:noProof/>
        </w:rPr>
      </w:pPr>
      <w:r>
        <w:rPr>
          <w:b/>
          <w:noProof/>
        </w:rPr>
        <w:t>En 2021, la Commission a évalué la définition des PME et a conclu qu’elle restait pertinente</w:t>
      </w:r>
      <w:r>
        <w:rPr>
          <w:noProof/>
        </w:rPr>
        <w:t xml:space="preserve"> (le chiffre d’affaires moyen des PME de l’UE restant largement inférieur au seuil)</w:t>
      </w:r>
      <w:r>
        <w:rPr>
          <w:rStyle w:val="FootnoteReference"/>
          <w:noProof/>
        </w:rPr>
        <w:footnoteReference w:id="90"/>
      </w:r>
      <w:r>
        <w:rPr>
          <w:noProof/>
        </w:rPr>
        <w:t xml:space="preserve">. Cette évaluation a été réalisée sur la base des données de 2018 et n’a pas pu refléter les effets de la pandémie, de la guerre en Ukraine et de la crise de l’énergie, qui ont ébranlé l’économie de l’UE depuis lors et ont en particulier entraîné une forte hausse de l’inflation, qui ne diminue que progressivement. En outre, compte tenu des défis économiques actuels et futurs — de la numérisation à l’évolution démographique — il pourrait être opportun de mieux reconnaître les gains de productivité réalisés au cours des deux dernières décennies, en les prenant en compte pour définir les limites supérieures du statut de PME. </w:t>
      </w:r>
    </w:p>
    <w:p w14:paraId="1F175259" w14:textId="2FAE71FB" w:rsidR="00F70D83" w:rsidRPr="00C92345" w:rsidRDefault="00F70D83" w:rsidP="00747296">
      <w:pPr>
        <w:rPr>
          <w:noProof/>
        </w:rPr>
      </w:pPr>
      <w:r>
        <w:rPr>
          <w:b/>
          <w:noProof/>
        </w:rPr>
        <w:t>L’évaluation de 2021 a également reconnu la nécessité d’«examiner les défis auxquels les entreprises sont confrontées une fois qu’elles ont “dépassé” le statut de PME»</w:t>
      </w:r>
      <w:r>
        <w:rPr>
          <w:rStyle w:val="FootnoteReference"/>
          <w:noProof/>
        </w:rPr>
        <w:footnoteReference w:id="91"/>
      </w:r>
      <w:r>
        <w:rPr>
          <w:noProof/>
        </w:rPr>
        <w:t>. Il peut par exemple y avoir des effets de seuil si les avantages de différentes mesures en faveur des PME sont tous perdus au moment où une entreprise en expansion dépasse l’un de ces paramètres.</w:t>
      </w:r>
    </w:p>
    <w:p w14:paraId="7268AD2C" w14:textId="5773E060" w:rsidR="00747296" w:rsidRPr="00C92345" w:rsidRDefault="0071322B" w:rsidP="00747296">
      <w:pPr>
        <w:rPr>
          <w:noProof/>
        </w:rPr>
      </w:pPr>
      <w:r>
        <w:rPr>
          <w:b/>
          <w:noProof/>
        </w:rPr>
        <w:t>Une étude récente de la Commission a révélé le rôle essentiel des entreprises de taille intermédiaire dans l’économie de l’UE</w:t>
      </w:r>
      <w:r>
        <w:rPr>
          <w:rStyle w:val="FootnoteReference"/>
          <w:b/>
          <w:bCs/>
          <w:noProof/>
        </w:rPr>
        <w:footnoteReference w:id="92"/>
      </w:r>
      <w:r>
        <w:rPr>
          <w:noProof/>
        </w:rPr>
        <w:t xml:space="preserve">: les petites (entre 250 et 499 salariés) et les grandes (entre 500 et 1499 salariés) entreprises de taille intermédiaire représentent ensemble plus de 13 % de l’emploi global dans le secteur non financier européen. La part des entreprises de taille intermédiaire est particulièrement élevée dans les écosystèmes industriels qui sont essentiels à la compétitivité et à la souveraineté technologique de l’UE: électronique, aérospatial et défense, énergies, industries à forte intensité énergétique et santé. </w:t>
      </w:r>
    </w:p>
    <w:p w14:paraId="0E00C841" w14:textId="015ED9F5" w:rsidR="00F70D83" w:rsidRPr="00C92345" w:rsidRDefault="00F70D83" w:rsidP="00747296">
      <w:pPr>
        <w:rPr>
          <w:noProof/>
        </w:rPr>
      </w:pPr>
      <w:r>
        <w:rPr>
          <w:b/>
          <w:noProof/>
        </w:rPr>
        <w:t>Divers régimes pour le financement des risques et de l’expansion approuvés par la Commission européenne existent pour soutenir leur processus de croissance dynamique et combler leur déficit de financement.</w:t>
      </w:r>
      <w:r>
        <w:rPr>
          <w:noProof/>
        </w:rPr>
        <w:t xml:space="preserve"> Les lignes directrices concernant les aides d’État visant à promouvoir les investissements en faveur du financement des risques contiennent une définition des petites entreprises de taille intermédiaire et autorisent, sous certaines conditions, un soutien à ces entreprises. La Commission permet également aux États membres de soutenir les entreprises de taille intermédiaire au titre de l’encadrement temporaire de crise et de transition</w:t>
      </w:r>
      <w:r>
        <w:rPr>
          <w:rStyle w:val="FootnoteReference"/>
          <w:noProof/>
        </w:rPr>
        <w:footnoteReference w:id="93"/>
      </w:r>
      <w:r>
        <w:rPr>
          <w:noProof/>
        </w:rPr>
        <w:t xml:space="preserve"> et du règlement général révisé d’exemptions par catégorie</w:t>
      </w:r>
      <w:r>
        <w:rPr>
          <w:rStyle w:val="FootnoteReference"/>
          <w:noProof/>
        </w:rPr>
        <w:footnoteReference w:id="94"/>
      </w:r>
      <w:r>
        <w:rPr>
          <w:noProof/>
        </w:rPr>
        <w:t xml:space="preserve">. </w:t>
      </w:r>
    </w:p>
    <w:p w14:paraId="244B464B" w14:textId="7AE06EBB" w:rsidR="00747296" w:rsidRPr="00C92345" w:rsidRDefault="00F70D83" w:rsidP="00747296">
      <w:pPr>
        <w:rPr>
          <w:noProof/>
        </w:rPr>
      </w:pPr>
      <w:r>
        <w:rPr>
          <w:b/>
          <w:noProof/>
        </w:rPr>
        <w:t>Les petites entreprises de taille intermédiaire connaissent généralement une croissance plus rapide, sont plus innovantes et abordent mieux la numérisation que les PME, mais elles restent confrontées à certains défis, tels que le manque de main-d’œuvre qualifiée ou la charge administrative.</w:t>
      </w:r>
      <w:r>
        <w:rPr>
          <w:noProof/>
        </w:rPr>
        <w:t xml:space="preserve"> Les données statistiques sur les petites entreprises de taille intermédiaire sont limitées et il manque une approche cohérente pour soutenir leur croissance.</w:t>
      </w:r>
    </w:p>
    <w:tbl>
      <w:tblPr>
        <w:tblStyle w:val="TableGrid"/>
        <w:tblW w:w="0" w:type="auto"/>
        <w:tblLook w:val="04A0" w:firstRow="1" w:lastRow="0" w:firstColumn="1" w:lastColumn="0" w:noHBand="0" w:noVBand="1"/>
      </w:tblPr>
      <w:tblGrid>
        <w:gridCol w:w="9288"/>
      </w:tblGrid>
      <w:tr w:rsidR="00345D12" w:rsidRPr="00C92345" w14:paraId="5D89FE43" w14:textId="77777777" w:rsidTr="00345D12">
        <w:tc>
          <w:tcPr>
            <w:tcW w:w="9288" w:type="dxa"/>
          </w:tcPr>
          <w:p w14:paraId="1E1F34CF" w14:textId="77777777" w:rsidR="00D91E89" w:rsidRPr="00C92345" w:rsidRDefault="00345D12" w:rsidP="00345D12">
            <w:pPr>
              <w:rPr>
                <w:i/>
                <w:iCs/>
                <w:noProof/>
                <w:color w:val="000000" w:themeColor="text1"/>
              </w:rPr>
            </w:pPr>
            <w:r>
              <w:rPr>
                <w:i/>
                <w:noProof/>
                <w:color w:val="000000" w:themeColor="text1"/>
              </w:rPr>
              <w:t>La Commission entend:</w:t>
            </w:r>
          </w:p>
          <w:p w14:paraId="595CE63F" w14:textId="3E1BBC48" w:rsidR="00D91E89" w:rsidRPr="00C92345" w:rsidRDefault="00B146D0" w:rsidP="0039014E">
            <w:pPr>
              <w:pStyle w:val="ListParagraph"/>
              <w:numPr>
                <w:ilvl w:val="0"/>
                <w:numId w:val="18"/>
              </w:numPr>
              <w:rPr>
                <w:noProof/>
                <w:color w:val="000000" w:themeColor="text1"/>
              </w:rPr>
            </w:pPr>
            <w:r>
              <w:rPr>
                <w:b/>
                <w:noProof/>
                <w:color w:val="000000" w:themeColor="text1"/>
              </w:rPr>
              <w:t>Mesure nº 18</w:t>
            </w:r>
            <w:r>
              <w:rPr>
                <w:noProof/>
                <w:color w:val="000000" w:themeColor="text1"/>
              </w:rPr>
              <w:t xml:space="preserve">: être attentive aux besoins des entreprises qui dépassent les seuils de la définition des PME, ainsi qu’à l’éventail plus large de petites entreprises de taille intermédiaire, et, </w:t>
            </w:r>
            <w:r>
              <w:rPr>
                <w:b/>
                <w:noProof/>
                <w:color w:val="000000" w:themeColor="text1"/>
              </w:rPr>
              <w:t>d’ici à la fin de l’année 2023</w:t>
            </w:r>
            <w:r>
              <w:rPr>
                <w:noProof/>
                <w:color w:val="000000" w:themeColor="text1"/>
              </w:rPr>
              <w:t xml:space="preserve">: </w:t>
            </w:r>
          </w:p>
          <w:p w14:paraId="472264C0" w14:textId="7CD976F9" w:rsidR="00A96456" w:rsidRPr="00C92345" w:rsidRDefault="00A96456" w:rsidP="00D91E89">
            <w:pPr>
              <w:pStyle w:val="ListParagraph"/>
              <w:numPr>
                <w:ilvl w:val="1"/>
                <w:numId w:val="27"/>
              </w:numPr>
              <w:rPr>
                <w:noProof/>
                <w:color w:val="000000" w:themeColor="text1"/>
              </w:rPr>
            </w:pPr>
            <w:r>
              <w:rPr>
                <w:noProof/>
                <w:color w:val="000000" w:themeColor="text1"/>
              </w:rPr>
              <w:t>analyser l’incidence de l’inflation élevée et des augmentations à plus long terme de la productivité, ainsi que l’interaction avec les éventuelles mesures supplémentaires pour les entreprises de taille intermédiaire, afin de relever, lorsque cela se justifie, les seuils financiers prévus par la définition actuelle des PME;</w:t>
            </w:r>
          </w:p>
          <w:p w14:paraId="2399FA98" w14:textId="1D52FA47" w:rsidR="00A96456" w:rsidRPr="00C92345" w:rsidRDefault="00345D12" w:rsidP="00D91E89">
            <w:pPr>
              <w:pStyle w:val="ListParagraph"/>
              <w:numPr>
                <w:ilvl w:val="1"/>
                <w:numId w:val="27"/>
              </w:numPr>
              <w:rPr>
                <w:noProof/>
                <w:color w:val="000000" w:themeColor="text1"/>
              </w:rPr>
            </w:pPr>
            <w:r>
              <w:rPr>
                <w:noProof/>
                <w:color w:val="000000" w:themeColor="text1"/>
              </w:rPr>
              <w:t>élaborer une définition harmonisée des petites entreprises de taille intermédiaire,</w:t>
            </w:r>
          </w:p>
          <w:p w14:paraId="709CDAEB" w14:textId="4912DE50" w:rsidR="00EA29B2" w:rsidRPr="00C92345" w:rsidRDefault="00A96456" w:rsidP="00D91E89">
            <w:pPr>
              <w:pStyle w:val="ListParagraph"/>
              <w:numPr>
                <w:ilvl w:val="1"/>
                <w:numId w:val="27"/>
              </w:numPr>
              <w:rPr>
                <w:noProof/>
                <w:color w:val="000000" w:themeColor="text1"/>
              </w:rPr>
            </w:pPr>
            <w:r>
              <w:rPr>
                <w:noProof/>
                <w:color w:val="000000" w:themeColor="text1"/>
              </w:rPr>
              <w:t xml:space="preserve">prendre </w:t>
            </w:r>
            <w:r>
              <w:rPr>
                <w:b/>
                <w:noProof/>
                <w:color w:val="000000" w:themeColor="text1"/>
              </w:rPr>
              <w:t>par la suite</w:t>
            </w:r>
            <w:r>
              <w:rPr>
                <w:noProof/>
                <w:color w:val="000000" w:themeColor="text1"/>
              </w:rPr>
              <w:t xml:space="preserve"> les mesures nécessaires pour tenir compte d’une définition révisée des PME dans les actes législatifs concernés, et</w:t>
            </w:r>
          </w:p>
          <w:p w14:paraId="11988246" w14:textId="5AD71559" w:rsidR="00345D12" w:rsidRPr="00C92345" w:rsidRDefault="00345D12" w:rsidP="00C8660E">
            <w:pPr>
              <w:pStyle w:val="ListParagraph"/>
              <w:numPr>
                <w:ilvl w:val="1"/>
                <w:numId w:val="27"/>
              </w:numPr>
              <w:rPr>
                <w:noProof/>
                <w:color w:val="000000" w:themeColor="text1"/>
              </w:rPr>
            </w:pPr>
            <w:r>
              <w:rPr>
                <w:noProof/>
              </w:rPr>
              <w:t>élaborer un ensemble de données fondé sur la définition des petites entreprises de taille intermédiaire et évaluer les mesures possibles pour soutenir ces entreprises dans leur croissance (y compris l’éventuelle application, sous forme adaptée, de certaines mesures en faveur des PME).</w:t>
            </w:r>
            <w:r>
              <w:rPr>
                <w:noProof/>
                <w:color w:val="000000" w:themeColor="text1"/>
              </w:rPr>
              <w:t xml:space="preserve"> </w:t>
            </w:r>
          </w:p>
          <w:p w14:paraId="48B83304" w14:textId="712014AF" w:rsidR="00345D12" w:rsidRPr="00C92345" w:rsidRDefault="00345D12" w:rsidP="00C94F93">
            <w:pPr>
              <w:pStyle w:val="ListParagraph"/>
              <w:spacing w:after="120"/>
              <w:ind w:left="1069"/>
              <w:rPr>
                <w:noProof/>
              </w:rPr>
            </w:pPr>
          </w:p>
        </w:tc>
      </w:tr>
    </w:tbl>
    <w:p w14:paraId="1A95AC9B" w14:textId="1523ECD5" w:rsidR="00356744" w:rsidRPr="00C92345" w:rsidRDefault="00356744" w:rsidP="00240DD4">
      <w:pPr>
        <w:pStyle w:val="Heading3"/>
        <w:spacing w:before="240"/>
        <w:rPr>
          <w:noProof/>
        </w:rPr>
      </w:pPr>
      <w:r>
        <w:rPr>
          <w:noProof/>
        </w:rPr>
        <w:t>Transmettre l’entreprise, prévenir l’insolvabilité et donner une seconde chance aux entrepreneurs</w:t>
      </w:r>
    </w:p>
    <w:p w14:paraId="545B9707" w14:textId="7F4296C5" w:rsidR="00356744" w:rsidRPr="00C92345" w:rsidRDefault="00356744" w:rsidP="00837960">
      <w:pPr>
        <w:rPr>
          <w:rFonts w:eastAsia="Times New Roman"/>
          <w:noProof/>
          <w:color w:val="000000" w:themeColor="text1"/>
        </w:rPr>
      </w:pPr>
      <w:r>
        <w:rPr>
          <w:b/>
          <w:noProof/>
        </w:rPr>
        <w:t>La réussite des transmissions d’entreprise profite à l’économie européenne et à son tissu social, en évitant les pertes d’emplois et en préservant l’activité économique.</w:t>
      </w:r>
      <w:r>
        <w:rPr>
          <w:noProof/>
        </w:rPr>
        <w:t xml:space="preserve"> La recommandation de la Commission sur les transmissions d’entreprise, qui aborde les principaux aspects juridiques, fiscaux et administratifs des transmissions d’entreprise</w:t>
      </w:r>
      <w:r>
        <w:rPr>
          <w:noProof/>
          <w:vertAlign w:val="superscript"/>
        </w:rPr>
        <w:footnoteReference w:id="95"/>
      </w:r>
      <w:r>
        <w:rPr>
          <w:noProof/>
        </w:rPr>
        <w:t>, reste valable aujourd’hui. La Commission promeut les meilleures pratiques en matière de transmission d’entreprise élaborées dans le cadre de plusieurs projets financés par l’UE</w:t>
      </w:r>
      <w:r>
        <w:rPr>
          <w:noProof/>
          <w:vertAlign w:val="superscript"/>
        </w:rPr>
        <w:footnoteReference w:id="96"/>
      </w:r>
      <w:r>
        <w:rPr>
          <w:noProof/>
        </w:rPr>
        <w:t xml:space="preserve"> ou par d’autres parties prenantes qui entreprennent des travaux dans ce domaine. En 2021, la Commission a réalisé une étude sur l’amélioration de la base factuelle sur les transmissions d’entreprise</w:t>
      </w:r>
      <w:r>
        <w:rPr>
          <w:noProof/>
          <w:vertAlign w:val="superscript"/>
        </w:rPr>
        <w:footnoteReference w:id="97"/>
      </w:r>
      <w:r>
        <w:rPr>
          <w:noProof/>
        </w:rPr>
        <w:t>. En outre, dans sa proposition de recommandation du Conseil relative à la mise en place des conditions-cadres de l’économie sociale</w:t>
      </w:r>
      <w:r>
        <w:rPr>
          <w:noProof/>
          <w:vertAlign w:val="superscript"/>
        </w:rPr>
        <w:footnoteReference w:id="98"/>
      </w:r>
      <w:r>
        <w:rPr>
          <w:noProof/>
        </w:rPr>
        <w:t>, la Commission a recommandé aux États membres de mettre en place un cadre propice aux transmissions d’entreprise aux travailleurs afin de former des coopératives de travailleurs.</w:t>
      </w:r>
      <w:r>
        <w:rPr>
          <w:noProof/>
          <w:color w:val="000000" w:themeColor="text1"/>
        </w:rPr>
        <w:t xml:space="preserve"> Compte tenu de l’importance des transmissions d’entreprises, la Commission est disposée à faire le point sur les évolutions récentes dans les États membres. </w:t>
      </w:r>
    </w:p>
    <w:p w14:paraId="23FDC646" w14:textId="79203CF8" w:rsidR="000A7CA6" w:rsidRPr="00C92345" w:rsidRDefault="000A7CA6" w:rsidP="00837960">
      <w:pPr>
        <w:rPr>
          <w:noProof/>
        </w:rPr>
      </w:pPr>
      <w:r>
        <w:rPr>
          <w:noProof/>
        </w:rPr>
        <w:t>L’Académie des mentors dans le cadre de l’initiative «Early Warning Europe»</w:t>
      </w:r>
      <w:r>
        <w:rPr>
          <w:rStyle w:val="FootnoteReference"/>
          <w:rFonts w:eastAsiaTheme="minorEastAsia"/>
          <w:noProof/>
        </w:rPr>
        <w:footnoteReference w:id="99"/>
      </w:r>
      <w:r>
        <w:rPr>
          <w:noProof/>
        </w:rPr>
        <w:t xml:space="preserve"> élaborera un programme d’apprentissage en ligne pour les mentors, qui seront en mesure de mieux soutenir les entreprises exposées au risque d’insolvabilité et d’aider les propriétaires d’entreprises à transmettre leur entreprise à la prochaine génération. </w:t>
      </w:r>
    </w:p>
    <w:p w14:paraId="02C35AF0" w14:textId="5D5C3449" w:rsidR="000A7CA6" w:rsidRPr="00C92345" w:rsidRDefault="000A7CA6" w:rsidP="00837960">
      <w:pPr>
        <w:rPr>
          <w:rFonts w:eastAsia="Times New Roman"/>
          <w:noProof/>
        </w:rPr>
      </w:pPr>
      <w:r>
        <w:rPr>
          <w:b/>
          <w:noProof/>
        </w:rPr>
        <w:t>Enfin, étant donné qu’environ 50 % des nouvelles entreprises font faillite au cours de leurs cinq premières années</w:t>
      </w:r>
      <w:r>
        <w:rPr>
          <w:b/>
          <w:bCs/>
          <w:noProof/>
          <w:vertAlign w:val="superscript"/>
        </w:rPr>
        <w:footnoteReference w:id="100"/>
      </w:r>
      <w:r>
        <w:rPr>
          <w:b/>
          <w:noProof/>
        </w:rPr>
        <w:t>, la politique de la Commission en matière d’insolvabilité soutient les entrepreneurs qui ont été confrontés à la faillite pour leur permettre d’obtenir rapidement une seconde chance.</w:t>
      </w:r>
      <w:r>
        <w:rPr>
          <w:noProof/>
        </w:rPr>
        <w:t xml:space="preserve"> La directive sur la restructuration et l’insolvabilité vise à prévenir la faillite et à aider les entreprises insolvables à se rétablir. D’ici la mi-2026, la Commission présentera un rapport sur l’application et l’incidence des dispositions de la directive. En outre, en 2022, la Commission a proposé, dans le cadre de l’union des marchés des capitaux, une directive relative à l’harmonisation de certains aspects de la législation sur l’insolvabilité</w:t>
      </w:r>
      <w:r>
        <w:rPr>
          <w:rStyle w:val="FootnoteReference"/>
          <w:noProof/>
        </w:rPr>
        <w:footnoteReference w:id="101"/>
      </w:r>
      <w:r>
        <w:rPr>
          <w:noProof/>
        </w:rPr>
        <w:t>. Sa caractéristique la plus innovante concerne la mise en place d’une procédure de liquidation simplifiée, rapide et économique pour les microentreprises. La Commission encourage les colégislateurs à avancer d’urgence sur cette proposition. Cela est essentiel pour garantir une plus grande efficacité des procédures d’insolvabilité et, partant, favoriser un nombre croissant d’investissements transfrontières, y compris en faveur des PME.</w:t>
      </w:r>
    </w:p>
    <w:tbl>
      <w:tblPr>
        <w:tblStyle w:val="TableGrid"/>
        <w:tblW w:w="0" w:type="auto"/>
        <w:tblLook w:val="04A0" w:firstRow="1" w:lastRow="0" w:firstColumn="1" w:lastColumn="0" w:noHBand="0" w:noVBand="1"/>
      </w:tblPr>
      <w:tblGrid>
        <w:gridCol w:w="9288"/>
      </w:tblGrid>
      <w:tr w:rsidR="00F70D83" w:rsidRPr="00C92345" w14:paraId="77FF5A1D" w14:textId="77777777" w:rsidTr="00F70D83">
        <w:tc>
          <w:tcPr>
            <w:tcW w:w="9288" w:type="dxa"/>
          </w:tcPr>
          <w:p w14:paraId="5785168C" w14:textId="77777777" w:rsidR="00F70D83" w:rsidRPr="00C92345" w:rsidRDefault="00F70D83" w:rsidP="00837960">
            <w:pPr>
              <w:rPr>
                <w:i/>
                <w:iCs/>
                <w:noProof/>
                <w:color w:val="000000" w:themeColor="text1"/>
              </w:rPr>
            </w:pPr>
            <w:r>
              <w:rPr>
                <w:i/>
                <w:noProof/>
                <w:color w:val="000000" w:themeColor="text1"/>
              </w:rPr>
              <w:t>La Commission entend:</w:t>
            </w:r>
          </w:p>
          <w:p w14:paraId="17000CFF" w14:textId="64CFF492" w:rsidR="00F70D83" w:rsidRPr="00C92345" w:rsidRDefault="00B146D0" w:rsidP="00C15711">
            <w:pPr>
              <w:pStyle w:val="ListParagraph"/>
              <w:numPr>
                <w:ilvl w:val="0"/>
                <w:numId w:val="26"/>
              </w:numPr>
              <w:spacing w:after="120"/>
              <w:rPr>
                <w:noProof/>
                <w:color w:val="000000" w:themeColor="text1"/>
              </w:rPr>
            </w:pPr>
            <w:r>
              <w:rPr>
                <w:b/>
                <w:noProof/>
              </w:rPr>
              <w:t>Mesure nº 19</w:t>
            </w:r>
            <w:r>
              <w:rPr>
                <w:noProof/>
              </w:rPr>
              <w:t>: évaluer, d’ici au deuxième trimestre de 2024 les conditions-cadres pour les transmissions d’entreprises dans les États membres en collaboration avec le réseau des représentants des PME.</w:t>
            </w:r>
          </w:p>
        </w:tc>
      </w:tr>
    </w:tbl>
    <w:p w14:paraId="084F5D16" w14:textId="522D030B" w:rsidR="00BF0D28" w:rsidRPr="00C92345" w:rsidRDefault="00BF0D28" w:rsidP="00D71213">
      <w:pPr>
        <w:pStyle w:val="Heading1"/>
        <w:rPr>
          <w:noProof/>
        </w:rPr>
      </w:pPr>
      <w:r>
        <w:rPr>
          <w:noProof/>
        </w:rPr>
        <w:t>Conclusions</w:t>
      </w:r>
    </w:p>
    <w:p w14:paraId="75C19BE1" w14:textId="6557DE6A" w:rsidR="009A37F6" w:rsidRPr="00C92345" w:rsidRDefault="00BF0D28" w:rsidP="00837960">
      <w:pPr>
        <w:rPr>
          <w:rFonts w:eastAsia="Times New Roman"/>
          <w:noProof/>
        </w:rPr>
      </w:pPr>
      <w:r>
        <w:rPr>
          <w:noProof/>
        </w:rPr>
        <w:t xml:space="preserve">Les PME continuent d’évoluer dans un environnement économique très incertain. L’inflation, dont le niveau est en baisse mais résiste, continuera de peser sur la valeur ajoutée et l’emploi, tandis que l’incertitude géopolitique maintiendra de nombreuses chaînes d’approvisionnement sous tension. </w:t>
      </w:r>
    </w:p>
    <w:p w14:paraId="7162C86E" w14:textId="18E67642" w:rsidR="00C73935" w:rsidRPr="00C92345" w:rsidRDefault="00C73935" w:rsidP="00581FC3">
      <w:pPr>
        <w:rPr>
          <w:rFonts w:eastAsia="Times New Roman"/>
          <w:noProof/>
        </w:rPr>
      </w:pPr>
      <w:r>
        <w:rPr>
          <w:noProof/>
        </w:rPr>
        <w:t xml:space="preserve">Outre le soutien financier, notamment les efforts considérables déployés par la Commission avec un montant total d’environ 200 milliards d’euros jusqu’en 2027, il est donc nécessaire de renforcer le soutien politique en faveur des PME, en s’appuyant sur les mesures proposées dans la présente communication. Ces mesures s’articulent toutes autour des trois principaux défis opérationnels auxquels sont confrontées les PME, à savoir la charge administrative, le financement et les compétences, dans le but d’atteindre des objectifs très concrets: mettre en place un cadre réglementaire favorable, réduire les obligations de déclaration, simplifier la fiscalité, favoriser la liquidité, améliorer l’accès au financement, doter les PME des compétences adéquates et les soutenir tout au long de leur cycle de vie. </w:t>
      </w:r>
    </w:p>
    <w:p w14:paraId="487C7988" w14:textId="63F95D88" w:rsidR="00C73935" w:rsidRPr="00C92345" w:rsidRDefault="00732FC6" w:rsidP="00F614BD">
      <w:pPr>
        <w:rPr>
          <w:noProof/>
        </w:rPr>
      </w:pPr>
      <w:r>
        <w:rPr>
          <w:noProof/>
        </w:rPr>
        <w:t>Comme le rappelle la stratégie de la Commission sur les PME</w:t>
      </w:r>
      <w:r>
        <w:rPr>
          <w:rStyle w:val="FootnoteReference"/>
          <w:rFonts w:eastAsia="Times New Roman"/>
          <w:noProof/>
        </w:rPr>
        <w:footnoteReference w:id="102"/>
      </w:r>
      <w:r>
        <w:rPr>
          <w:noProof/>
        </w:rPr>
        <w:t>, un soutien efficace aux PME dépend d’un effort concerté et d’un partenariat solide entre tous les acteurs: institutions de l’UE, autorités nationales, régionales et locales, PME, grandes entreprises, partenaires sociaux, société civile et investisseurs. La Commission invite notamment les États membres à appliquer le principe «Priorité aux PME» aux échelons national, régional et local.</w:t>
      </w:r>
    </w:p>
    <w:p w14:paraId="6E04DFAF" w14:textId="539366B3" w:rsidR="00F26F2C" w:rsidRPr="00C70224" w:rsidRDefault="009A37F6" w:rsidP="00837960">
      <w:pPr>
        <w:rPr>
          <w:rFonts w:eastAsia="Times New Roman"/>
          <w:noProof/>
        </w:rPr>
      </w:pPr>
      <w:r>
        <w:rPr>
          <w:noProof/>
        </w:rPr>
        <w:t xml:space="preserve">En ce qui concerne la Commission, tous les leviers possibles susceptibles de faciliter et de clarifier la vie des PME doivent être activés. L’aide à court terme, l’établissement des bases de leur compétitivité et de leur résilience à long terme et la promotion d’un environnement commercial qui soit équitable et qui leur soit favorable sont au cœur de l’approche de la Commission. </w:t>
      </w:r>
    </w:p>
    <w:sectPr w:rsidR="00F26F2C" w:rsidRPr="00C70224" w:rsidSect="00657EC6">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B4268" w14:textId="77777777" w:rsidR="008E3BA5" w:rsidRDefault="008E3BA5" w:rsidP="00C874F3">
      <w:pPr>
        <w:spacing w:after="0"/>
      </w:pPr>
      <w:r>
        <w:separator/>
      </w:r>
    </w:p>
  </w:endnote>
  <w:endnote w:type="continuationSeparator" w:id="0">
    <w:p w14:paraId="6A0F335C" w14:textId="77777777" w:rsidR="008E3BA5" w:rsidRDefault="008E3BA5" w:rsidP="00C874F3">
      <w:pPr>
        <w:spacing w:after="0"/>
      </w:pPr>
      <w:r>
        <w:continuationSeparator/>
      </w:r>
    </w:p>
  </w:endnote>
  <w:endnote w:type="continuationNotice" w:id="1">
    <w:p w14:paraId="76521E11" w14:textId="77777777" w:rsidR="008E3BA5" w:rsidRDefault="008E3B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F9B3" w14:textId="138A3CFD" w:rsidR="00D71314" w:rsidRPr="0076783C" w:rsidRDefault="00D71314" w:rsidP="00767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0144D" w14:textId="3D10BED0" w:rsidR="00D71314" w:rsidRPr="0076783C" w:rsidRDefault="0076783C" w:rsidP="0076783C">
    <w:pPr>
      <w:pStyle w:val="FooterCoverPage"/>
      <w:rPr>
        <w:rFonts w:ascii="Arial" w:hAnsi="Arial" w:cs="Arial"/>
        <w:b/>
        <w:sz w:val="48"/>
      </w:rPr>
    </w:pPr>
    <w:r w:rsidRPr="0076783C">
      <w:rPr>
        <w:rFonts w:ascii="Arial" w:hAnsi="Arial" w:cs="Arial"/>
        <w:b/>
        <w:sz w:val="48"/>
      </w:rPr>
      <w:t>FR</w:t>
    </w:r>
    <w:r w:rsidRPr="0076783C">
      <w:rPr>
        <w:rFonts w:ascii="Arial" w:hAnsi="Arial" w:cs="Arial"/>
        <w:b/>
        <w:sz w:val="48"/>
      </w:rPr>
      <w:tab/>
    </w:r>
    <w:r w:rsidRPr="0076783C">
      <w:rPr>
        <w:rFonts w:ascii="Arial" w:hAnsi="Arial" w:cs="Arial"/>
        <w:b/>
        <w:sz w:val="48"/>
      </w:rPr>
      <w:tab/>
    </w:r>
    <w:r w:rsidRPr="0076783C">
      <w:tab/>
    </w:r>
    <w:r w:rsidRPr="0076783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98E76" w14:textId="77777777" w:rsidR="0076783C" w:rsidRPr="0076783C" w:rsidRDefault="0076783C" w:rsidP="0076783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5027C" w14:textId="77777777" w:rsidR="007B0A4D" w:rsidRDefault="007B0A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0000" w:themeColor="text1"/>
      </w:rPr>
      <w:id w:val="1362169362"/>
      <w:docPartObj>
        <w:docPartGallery w:val="Page Numbers (Bottom of Page)"/>
        <w:docPartUnique/>
      </w:docPartObj>
    </w:sdtPr>
    <w:sdtEndPr>
      <w:rPr>
        <w:noProof/>
      </w:rPr>
    </w:sdtEndPr>
    <w:sdtContent>
      <w:p w14:paraId="10FAC244" w14:textId="596D1198" w:rsidR="007B0A4D" w:rsidRPr="00A10BAA" w:rsidRDefault="007B0A4D">
        <w:pPr>
          <w:pStyle w:val="Footer"/>
          <w:jc w:val="center"/>
          <w:rPr>
            <w:color w:val="000000" w:themeColor="text1"/>
          </w:rPr>
        </w:pPr>
        <w:r>
          <w:rPr>
            <w:color w:val="000000" w:themeColor="text1"/>
            <w:shd w:val="clear" w:color="auto" w:fill="E6E6E6"/>
          </w:rPr>
          <w:fldChar w:fldCharType="begin"/>
        </w:r>
        <w:r>
          <w:rPr>
            <w:color w:val="000000" w:themeColor="text1"/>
          </w:rPr>
          <w:instrText xml:space="preserve"> PAGE   \* MERGEFORMAT </w:instrText>
        </w:r>
        <w:r>
          <w:rPr>
            <w:color w:val="000000" w:themeColor="text1"/>
            <w:shd w:val="clear" w:color="auto" w:fill="E6E6E6"/>
          </w:rPr>
          <w:fldChar w:fldCharType="separate"/>
        </w:r>
        <w:r w:rsidR="0076783C">
          <w:rPr>
            <w:noProof/>
            <w:color w:val="000000" w:themeColor="text1"/>
          </w:rPr>
          <w:t>1</w:t>
        </w:r>
        <w:r>
          <w:rPr>
            <w:color w:val="000000" w:themeColor="text1"/>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72010" w14:textId="77777777" w:rsidR="007B0A4D" w:rsidRDefault="007B0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728AA" w14:textId="77777777" w:rsidR="008E3BA5" w:rsidRDefault="008E3BA5" w:rsidP="00C874F3">
      <w:pPr>
        <w:spacing w:after="0"/>
      </w:pPr>
      <w:r>
        <w:separator/>
      </w:r>
    </w:p>
  </w:footnote>
  <w:footnote w:type="continuationSeparator" w:id="0">
    <w:p w14:paraId="00DA1443" w14:textId="77777777" w:rsidR="008E3BA5" w:rsidRDefault="008E3BA5" w:rsidP="00C874F3">
      <w:pPr>
        <w:spacing w:after="0"/>
      </w:pPr>
      <w:r>
        <w:continuationSeparator/>
      </w:r>
    </w:p>
  </w:footnote>
  <w:footnote w:type="continuationNotice" w:id="1">
    <w:p w14:paraId="6CC4E637" w14:textId="77777777" w:rsidR="008E3BA5" w:rsidRDefault="008E3BA5">
      <w:pPr>
        <w:spacing w:after="0"/>
      </w:pPr>
    </w:p>
  </w:footnote>
  <w:footnote w:id="2">
    <w:p w14:paraId="0EB28945" w14:textId="6C1812EF" w:rsidR="007B0A4D" w:rsidRPr="00634D49" w:rsidRDefault="007B0A4D" w:rsidP="005E494F">
      <w:pPr>
        <w:spacing w:after="0"/>
        <w:jc w:val="left"/>
        <w:rPr>
          <w:rFonts w:eastAsiaTheme="minorEastAsia"/>
          <w:sz w:val="20"/>
          <w:szCs w:val="20"/>
        </w:rPr>
      </w:pPr>
      <w:r>
        <w:rPr>
          <w:sz w:val="20"/>
          <w:szCs w:val="20"/>
          <w:vertAlign w:val="superscript"/>
        </w:rPr>
        <w:footnoteRef/>
      </w:r>
      <w:r>
        <w:rPr>
          <w:sz w:val="20"/>
        </w:rPr>
        <w:t xml:space="preserve"> Examen des performances des PME 2023, </w:t>
      </w:r>
      <w:hyperlink r:id="rId1" w:history="1">
        <w:r>
          <w:rPr>
            <w:rStyle w:val="Hyperlink"/>
            <w:sz w:val="20"/>
          </w:rPr>
          <w:t>https://single-market-economy.ec.europa.eu/smes/sme-strategy/sme-performance-review_fr</w:t>
        </w:r>
      </w:hyperlink>
      <w:r>
        <w:rPr>
          <w:sz w:val="20"/>
        </w:rPr>
        <w:t xml:space="preserve"> </w:t>
      </w:r>
    </w:p>
  </w:footnote>
  <w:footnote w:id="3">
    <w:p w14:paraId="762FA175" w14:textId="100922EC" w:rsidR="007B0A4D" w:rsidRPr="00996F1C" w:rsidRDefault="007B0A4D" w:rsidP="005E494F">
      <w:pPr>
        <w:pStyle w:val="FootnoteText"/>
        <w:jc w:val="left"/>
      </w:pPr>
      <w:r>
        <w:rPr>
          <w:rStyle w:val="FootnoteReference"/>
        </w:rPr>
        <w:footnoteRef/>
      </w:r>
      <w:r>
        <w:tab/>
        <w:t>Flash Eurobaromètre 486 sur les PME, les entreprises en démarrage, les entreprises en phase d’expansion et la volonté d’entreprendre, septembre 2020</w:t>
      </w:r>
      <w:bookmarkStart w:id="3" w:name="_Int_4YpsIlvK"/>
      <w:r>
        <w:t xml:space="preserve">, </w:t>
      </w:r>
      <w:bookmarkEnd w:id="3"/>
      <w:r>
        <w:fldChar w:fldCharType="begin"/>
      </w:r>
      <w:r>
        <w:instrText xml:space="preserve">HYPERLINK "https://europa.eu/eurobarometer/surveys/detail/2244" </w:instrText>
      </w:r>
      <w:r>
        <w:fldChar w:fldCharType="separate"/>
      </w:r>
      <w:r>
        <w:rPr>
          <w:rStyle w:val="Hyperlink"/>
        </w:rPr>
        <w:t>https://europa.eu/eurobarometer/surveys/detail/2244.</w:t>
      </w:r>
      <w:r>
        <w:fldChar w:fldCharType="end"/>
      </w:r>
    </w:p>
  </w:footnote>
  <w:footnote w:id="4">
    <w:p w14:paraId="1958F71B" w14:textId="450B6033" w:rsidR="007B0A4D" w:rsidRPr="00D71314" w:rsidRDefault="007B0A4D" w:rsidP="005E494F">
      <w:pPr>
        <w:pStyle w:val="FootnoteText"/>
        <w:jc w:val="left"/>
        <w:rPr>
          <w:rFonts w:eastAsia="Times New Roman"/>
          <w:color w:val="0000FF" w:themeColor="hyperlink"/>
          <w:u w:val="single"/>
          <w:lang w:val="en-IE"/>
        </w:rPr>
      </w:pPr>
      <w:r>
        <w:rPr>
          <w:rFonts w:eastAsia="Times New Roman"/>
          <w:vertAlign w:val="superscript"/>
        </w:rPr>
        <w:footnoteRef/>
      </w:r>
      <w:r w:rsidR="00B4602F" w:rsidRPr="004A2C32">
        <w:rPr>
          <w:lang w:val="en-IE"/>
        </w:rPr>
        <w:tab/>
      </w:r>
      <w:r w:rsidRPr="00D71314">
        <w:rPr>
          <w:lang w:val="en-IE"/>
        </w:rPr>
        <w:t xml:space="preserve">Productivity in SMEs and large firms, OECD, 2021, </w:t>
      </w:r>
      <w:hyperlink r:id="rId2" w:history="1">
        <w:r w:rsidRPr="00D71314">
          <w:rPr>
            <w:rStyle w:val="Hyperlink"/>
            <w:lang w:val="en-IE"/>
          </w:rPr>
          <w:t>https://www.oecd-ilibrary.org/sites/54337c24-en/index.html?itemId=/content/component/54337c24-en</w:t>
        </w:r>
      </w:hyperlink>
      <w:r w:rsidRPr="00D71314">
        <w:rPr>
          <w:lang w:val="en-IE"/>
        </w:rPr>
        <w:t>.</w:t>
      </w:r>
    </w:p>
  </w:footnote>
  <w:footnote w:id="5">
    <w:p w14:paraId="3C5B0BDD" w14:textId="35AAC95E" w:rsidR="007B0A4D" w:rsidRPr="00296A18" w:rsidRDefault="007B0A4D" w:rsidP="005E494F">
      <w:pPr>
        <w:spacing w:after="0"/>
        <w:jc w:val="left"/>
        <w:rPr>
          <w:rFonts w:eastAsia="Times New Roman"/>
          <w:sz w:val="20"/>
          <w:szCs w:val="20"/>
        </w:rPr>
      </w:pPr>
      <w:r>
        <w:rPr>
          <w:rFonts w:eastAsia="Times New Roman"/>
          <w:sz w:val="20"/>
          <w:szCs w:val="20"/>
          <w:vertAlign w:val="superscript"/>
        </w:rPr>
        <w:footnoteRef/>
      </w:r>
      <w:r w:rsidR="00B4602F">
        <w:tab/>
      </w:r>
      <w:r>
        <w:rPr>
          <w:sz w:val="20"/>
        </w:rPr>
        <w:t xml:space="preserve">Flash Eurobaromètre 486 sur les PME, les entreprises en démarrage, les entreprises en phase d’expansion et la volonté d’entreprendre, septembre 2020, </w:t>
      </w:r>
      <w:hyperlink r:id="rId3" w:history="1">
        <w:r>
          <w:rPr>
            <w:rStyle w:val="Hyperlink"/>
            <w:sz w:val="20"/>
          </w:rPr>
          <w:t>https://europa.eu/eurobarometer/surveys/detail/2244</w:t>
        </w:r>
      </w:hyperlink>
      <w:r>
        <w:rPr>
          <w:sz w:val="20"/>
        </w:rPr>
        <w:t xml:space="preserve">. </w:t>
      </w:r>
    </w:p>
  </w:footnote>
  <w:footnote w:id="6">
    <w:p w14:paraId="220C1A7B" w14:textId="77777777" w:rsidR="007B0A4D" w:rsidRDefault="007B0A4D" w:rsidP="007C48E0">
      <w:pPr>
        <w:spacing w:after="0"/>
        <w:rPr>
          <w:rFonts w:eastAsia="Times New Roman"/>
          <w:sz w:val="20"/>
          <w:szCs w:val="20"/>
        </w:rPr>
      </w:pPr>
      <w:r>
        <w:rPr>
          <w:sz w:val="20"/>
          <w:szCs w:val="20"/>
          <w:vertAlign w:val="superscript"/>
        </w:rPr>
        <w:footnoteRef/>
      </w:r>
      <w:r>
        <w:tab/>
      </w:r>
      <w:r>
        <w:rPr>
          <w:sz w:val="20"/>
        </w:rPr>
        <w:t xml:space="preserve">Environ 89 % des PME prennent déjà des mesures pour utiliser plus efficacement les ressources (flash Eurobaromètre 498 sur les PME, l’efficacité dans l’utilisation des ressources et les marchés verts, mars 2022, </w:t>
      </w:r>
      <w:hyperlink r:id="rId4" w:history="1">
        <w:r>
          <w:rPr>
            <w:rStyle w:val="Hyperlink"/>
            <w:sz w:val="20"/>
          </w:rPr>
          <w:t>https://europa.eu/eurobarometer/surveys/detail/2287</w:t>
        </w:r>
      </w:hyperlink>
      <w:r>
        <w:rPr>
          <w:sz w:val="20"/>
        </w:rPr>
        <w:t>).</w:t>
      </w:r>
      <w:r>
        <w:t xml:space="preserve"> </w:t>
      </w:r>
    </w:p>
  </w:footnote>
  <w:footnote w:id="7">
    <w:p w14:paraId="41F0851B" w14:textId="1BC4C192" w:rsidR="007B0A4D" w:rsidRPr="00D71314" w:rsidRDefault="007B0A4D" w:rsidP="005E494F">
      <w:pPr>
        <w:pStyle w:val="FootnoteText"/>
        <w:jc w:val="left"/>
        <w:rPr>
          <w:lang w:val="pt-PT"/>
        </w:rPr>
      </w:pPr>
      <w:r>
        <w:rPr>
          <w:rStyle w:val="FootnoteReference"/>
        </w:rPr>
        <w:footnoteRef/>
      </w:r>
      <w:r w:rsidRPr="00D71314">
        <w:rPr>
          <w:lang w:val="pt-PT"/>
        </w:rPr>
        <w:tab/>
        <w:t>COM(2020) 103 final.</w:t>
      </w:r>
    </w:p>
  </w:footnote>
  <w:footnote w:id="8">
    <w:p w14:paraId="51A6D8A9" w14:textId="76B51C48" w:rsidR="007B0A4D" w:rsidRPr="00D71314" w:rsidRDefault="007B0A4D">
      <w:pPr>
        <w:pStyle w:val="FootnoteText"/>
        <w:rPr>
          <w:lang w:val="pt-PT"/>
        </w:rPr>
      </w:pPr>
      <w:r>
        <w:rPr>
          <w:rStyle w:val="FootnoteReference"/>
        </w:rPr>
        <w:footnoteRef/>
      </w:r>
      <w:r w:rsidRPr="00D71314">
        <w:rPr>
          <w:lang w:val="pt-PT"/>
        </w:rPr>
        <w:tab/>
        <w:t>COM(2021) 250 final.</w:t>
      </w:r>
    </w:p>
  </w:footnote>
  <w:footnote w:id="9">
    <w:p w14:paraId="4AFD8582" w14:textId="77777777" w:rsidR="007B0A4D" w:rsidRPr="00D71314" w:rsidRDefault="007B0A4D" w:rsidP="005E494F">
      <w:pPr>
        <w:pStyle w:val="FootnoteText"/>
        <w:jc w:val="left"/>
        <w:rPr>
          <w:rFonts w:eastAsia="Times New Roman"/>
          <w:lang w:val="pt-PT"/>
        </w:rPr>
      </w:pPr>
      <w:r>
        <w:rPr>
          <w:rStyle w:val="FootnoteReference"/>
          <w:rFonts w:eastAsia="Times New Roman"/>
        </w:rPr>
        <w:footnoteRef/>
      </w:r>
      <w:r w:rsidRPr="00D71314">
        <w:rPr>
          <w:lang w:val="pt-PT"/>
        </w:rPr>
        <w:tab/>
      </w:r>
      <w:hyperlink r:id="rId5" w:history="1">
        <w:r w:rsidRPr="00D71314">
          <w:rPr>
            <w:rStyle w:val="Hyperlink"/>
            <w:lang w:val="pt-PT"/>
          </w:rPr>
          <w:t>https://ec.europa.eu/economy_finance/recovery-and-resilience-scoreboard/smart.html</w:t>
        </w:r>
      </w:hyperlink>
      <w:r w:rsidRPr="00D71314">
        <w:rPr>
          <w:lang w:val="pt-PT"/>
        </w:rPr>
        <w:t>.</w:t>
      </w:r>
    </w:p>
  </w:footnote>
  <w:footnote w:id="10">
    <w:p w14:paraId="7AF7AD08" w14:textId="77777777" w:rsidR="007B0A4D" w:rsidRPr="003912F9" w:rsidRDefault="007B0A4D" w:rsidP="005E494F">
      <w:pPr>
        <w:pStyle w:val="FootnoteText"/>
        <w:jc w:val="left"/>
        <w:rPr>
          <w:rFonts w:eastAsia="Times New Roman"/>
        </w:rPr>
      </w:pPr>
      <w:r>
        <w:rPr>
          <w:rStyle w:val="FootnoteReference"/>
          <w:rFonts w:eastAsia="Times New Roman"/>
        </w:rPr>
        <w:footnoteRef/>
      </w:r>
      <w:r>
        <w:tab/>
        <w:t>Tableau de bord de la facilité pour la reprise et la résilience, méthode du balisage des piliers, «Aide aux PME» en tant que domaine d’action prioritaire ou secondaire.</w:t>
      </w:r>
    </w:p>
  </w:footnote>
  <w:footnote w:id="11">
    <w:p w14:paraId="56D46AF8" w14:textId="4C0E8972" w:rsidR="00EF12DE" w:rsidRPr="00664A4A" w:rsidRDefault="00EF12DE" w:rsidP="00EF12DE">
      <w:pPr>
        <w:pStyle w:val="FootnoteText"/>
        <w:jc w:val="left"/>
      </w:pPr>
      <w:r>
        <w:rPr>
          <w:rStyle w:val="FootnoteReference"/>
        </w:rPr>
        <w:footnoteRef/>
      </w:r>
      <w:r>
        <w:tab/>
        <w:t xml:space="preserve">Il s’agit notamment d’un montant de 43 milliards d’euros au titre du cadre financier pluriannuel 2021-2027 et d’un total de 22 milliards d’euros au titre des initiatives d’investissement en réaction au coronavirus dans le cadre de la politique de cohésion et de REACT-EU. </w:t>
      </w:r>
    </w:p>
  </w:footnote>
  <w:footnote w:id="12">
    <w:p w14:paraId="64E1BB72" w14:textId="76FC80C4" w:rsidR="007B0A4D" w:rsidRPr="000F554E" w:rsidRDefault="007B0A4D" w:rsidP="005E494F">
      <w:pPr>
        <w:pStyle w:val="FootnoteText"/>
        <w:jc w:val="left"/>
        <w:rPr>
          <w:rFonts w:eastAsia="Times New Roman"/>
        </w:rPr>
      </w:pPr>
      <w:r>
        <w:rPr>
          <w:rStyle w:val="FootnoteReference"/>
        </w:rPr>
        <w:footnoteRef/>
      </w:r>
      <w:r>
        <w:tab/>
        <w:t xml:space="preserve">Encadrement temporaire des aides d’État dans le contexte de la COVID-19, encadrement temporaire de crise pour les mesures d’aide d’État visant à soutenir l’économie à la suite de l’agression de la Russie contre l’Ukraine, règlement général modifié d’exemptions par catégorie [règlement (UE) 2023/1315 de la Commission], proposition de révision du règlement relatif aux aides de minimis </w:t>
      </w:r>
      <w:hyperlink r:id="rId6" w:history="1">
        <w:r>
          <w:rPr>
            <w:rStyle w:val="Hyperlink"/>
          </w:rPr>
          <w:t>https://competition-policy.ec.europa.eu/public-consultations/2022-de-minimis_en</w:t>
        </w:r>
      </w:hyperlink>
      <w:r>
        <w:t>.</w:t>
      </w:r>
    </w:p>
  </w:footnote>
  <w:footnote w:id="13">
    <w:p w14:paraId="4898750F" w14:textId="5EF0E1EA" w:rsidR="007B0A4D" w:rsidRPr="00A370D8" w:rsidRDefault="007B0A4D" w:rsidP="005E494F">
      <w:pPr>
        <w:pStyle w:val="FootnoteText"/>
        <w:jc w:val="left"/>
      </w:pPr>
      <w:r>
        <w:rPr>
          <w:rStyle w:val="FootnoteReference"/>
        </w:rPr>
        <w:footnoteRef/>
      </w:r>
      <w:r>
        <w:tab/>
        <w:t>Au sein du réseau Entreprise Europe.</w:t>
      </w:r>
    </w:p>
  </w:footnote>
  <w:footnote w:id="14">
    <w:p w14:paraId="5B6B2503" w14:textId="77777777" w:rsidR="007B0A4D" w:rsidRPr="00A2326C" w:rsidRDefault="007B0A4D" w:rsidP="005E494F">
      <w:pPr>
        <w:pStyle w:val="FootnoteText"/>
        <w:jc w:val="left"/>
      </w:pPr>
      <w:r>
        <w:rPr>
          <w:rStyle w:val="FootnoteReference"/>
        </w:rPr>
        <w:footnoteRef/>
      </w:r>
      <w:r>
        <w:tab/>
      </w:r>
      <w:hyperlink r:id="rId7" w:history="1">
        <w:r>
          <w:rPr>
            <w:rStyle w:val="Hyperlink"/>
          </w:rPr>
          <w:t>https://single-market-economy.ec.europa.eu/industry/transition-pathways_fr</w:t>
        </w:r>
      </w:hyperlink>
    </w:p>
  </w:footnote>
  <w:footnote w:id="15">
    <w:p w14:paraId="1D9219EE" w14:textId="5D1B1C7E" w:rsidR="007B0A4D" w:rsidRPr="00A370D8" w:rsidRDefault="007B0A4D" w:rsidP="005E494F">
      <w:pPr>
        <w:pStyle w:val="FootnoteText"/>
        <w:jc w:val="left"/>
      </w:pPr>
      <w:r>
        <w:rPr>
          <w:rStyle w:val="FootnoteReference"/>
        </w:rPr>
        <w:footnoteRef/>
      </w:r>
      <w:r>
        <w:tab/>
        <w:t xml:space="preserve">COM(2023) 148 final. La proposition permettrait aux États membres d’appliquer des contrôles des prix aux PME et aux consommateurs lors des crises énergétiques. </w:t>
      </w:r>
    </w:p>
  </w:footnote>
  <w:footnote w:id="16">
    <w:p w14:paraId="4186D604" w14:textId="05BD21DC" w:rsidR="007B0A4D" w:rsidRPr="00804C4A" w:rsidRDefault="007B0A4D" w:rsidP="005E494F">
      <w:pPr>
        <w:pStyle w:val="FootnoteText"/>
        <w:jc w:val="left"/>
      </w:pPr>
      <w:r>
        <w:rPr>
          <w:rStyle w:val="FootnoteReference"/>
        </w:rPr>
        <w:footnoteRef/>
      </w:r>
      <w:r>
        <w:tab/>
        <w:t xml:space="preserve">COM(2022) 68 final. </w:t>
      </w:r>
    </w:p>
  </w:footnote>
  <w:footnote w:id="17">
    <w:p w14:paraId="7BEB1CE4" w14:textId="0B71366D" w:rsidR="007B0A4D" w:rsidRPr="00A92EE4" w:rsidRDefault="007B0A4D" w:rsidP="005E494F">
      <w:pPr>
        <w:pStyle w:val="FootnoteText"/>
        <w:jc w:val="left"/>
      </w:pPr>
      <w:r>
        <w:rPr>
          <w:rStyle w:val="FootnoteReference"/>
        </w:rPr>
        <w:footnoteRef/>
      </w:r>
      <w:r>
        <w:tab/>
        <w:t>La facilité d’investissement CASSINI injecte près de 700 millions d’euros dans des fonds de capital-risque investissant dans le domaine de l’espace, mobilisant au moins 1,5 milliard d’euros de capital-risque pour les jeunes pousses et les PME.</w:t>
      </w:r>
    </w:p>
  </w:footnote>
  <w:footnote w:id="18">
    <w:p w14:paraId="3A477A25" w14:textId="113F12EC" w:rsidR="007B0A4D" w:rsidRPr="00A370D8" w:rsidRDefault="007B0A4D" w:rsidP="005E494F">
      <w:pPr>
        <w:pStyle w:val="FootnoteText"/>
        <w:jc w:val="left"/>
      </w:pPr>
      <w:r>
        <w:rPr>
          <w:rStyle w:val="FootnoteReference"/>
        </w:rPr>
        <w:footnoteRef/>
      </w:r>
      <w:r>
        <w:tab/>
        <w:t>Les PME bénéficient également d’un financement d’un milliard d’euros au titre du programme en faveur du marché unique, destiné à soutenir le renforcement de leur compétitivité et leur internationalisation et à canaliser le soutien aux PME via des intermédiaires de PME, par exemple le réseau Entreprise Europe et Euroclusters, au moyen de la plateforme européenne de collaboration des clusters.</w:t>
      </w:r>
    </w:p>
  </w:footnote>
  <w:footnote w:id="19">
    <w:p w14:paraId="638A2082" w14:textId="68CE4314" w:rsidR="007B0A4D" w:rsidRPr="00A370D8" w:rsidRDefault="007B0A4D" w:rsidP="005E494F">
      <w:pPr>
        <w:pStyle w:val="FootnoteText"/>
        <w:jc w:val="left"/>
      </w:pPr>
      <w:r>
        <w:rPr>
          <w:rStyle w:val="FootnoteReference"/>
        </w:rPr>
        <w:footnoteRef/>
      </w:r>
      <w:r>
        <w:tab/>
        <w:t>Tous les nouveaux accords commerciaux de l’UE comprennent des chapitres consacrés aux PME, qui contiennent des dispositions visant à aider les PME à développer leurs activités avec et sur les marchés étrangers.</w:t>
      </w:r>
      <w:r>
        <w:rPr>
          <w:color w:val="000000"/>
        </w:rPr>
        <w:t xml:space="preserve"> </w:t>
      </w:r>
      <w:r>
        <w:t>Un mécanisme de plainte spécifique (</w:t>
      </w:r>
      <w:hyperlink r:id="rId8" w:history="1">
        <w:r>
          <w:rPr>
            <w:rStyle w:val="Hyperlink"/>
          </w:rPr>
          <w:t>https://trade.ec.europa.eu/access-to-markets/fr/content/single-entry-point-0</w:t>
        </w:r>
      </w:hyperlink>
      <w:r>
        <w:t>) permet aux PME de signaler les obstacles à l’accès aux marchés étrangers.</w:t>
      </w:r>
    </w:p>
  </w:footnote>
  <w:footnote w:id="20">
    <w:p w14:paraId="1EF83132" w14:textId="6A3C04ED" w:rsidR="00A65854" w:rsidRPr="0029778F" w:rsidRDefault="00A65854" w:rsidP="00A65854">
      <w:pPr>
        <w:pStyle w:val="FootnoteText"/>
        <w:jc w:val="left"/>
      </w:pPr>
      <w:r>
        <w:rPr>
          <w:rStyle w:val="FootnoteReference"/>
        </w:rPr>
        <w:footnoteRef/>
      </w:r>
      <w:r>
        <w:tab/>
      </w:r>
      <w:hyperlink r:id="rId9" w:history="1">
        <w:r>
          <w:rPr>
            <w:rStyle w:val="Hyperlink"/>
          </w:rPr>
          <w:t>https://commission.europa.eu/strategy-and-policy/priorities-2019-2024/stronger-europe-world/global-gateway_fr</w:t>
        </w:r>
      </w:hyperlink>
    </w:p>
  </w:footnote>
  <w:footnote w:id="21">
    <w:p w14:paraId="063F7C52" w14:textId="3CB06D3A" w:rsidR="007B0A4D" w:rsidRPr="00823354" w:rsidRDefault="007B0A4D" w:rsidP="005E494F">
      <w:pPr>
        <w:pStyle w:val="FootnoteText"/>
        <w:jc w:val="left"/>
      </w:pPr>
      <w:r>
        <w:rPr>
          <w:rStyle w:val="FootnoteReference"/>
        </w:rPr>
        <w:footnoteRef/>
      </w:r>
      <w:r>
        <w:tab/>
        <w:t xml:space="preserve">COM(2020) 760 final. Le plan d’action aide les entreprises, en particulier les PME, à tirer le meilleur parti de leurs inventions et créations. </w:t>
      </w:r>
    </w:p>
  </w:footnote>
  <w:footnote w:id="22">
    <w:p w14:paraId="2C19B275" w14:textId="11419D43" w:rsidR="007B0A4D" w:rsidRPr="002E210D" w:rsidRDefault="007B0A4D" w:rsidP="005E494F">
      <w:pPr>
        <w:pStyle w:val="FootnoteText"/>
        <w:jc w:val="left"/>
      </w:pPr>
      <w:r>
        <w:rPr>
          <w:rStyle w:val="FootnoteReference"/>
        </w:rPr>
        <w:footnoteRef/>
      </w:r>
      <w:r>
        <w:tab/>
        <w:t xml:space="preserve">Le règlement (UE) 2019/1150 (règlement P2B) établit des règles visant à créer un environnement commercial équitable, transparent et prévisible sur les plateformes en ligne, en particulier pour les petites entreprises et les petits commerçants. </w:t>
      </w:r>
    </w:p>
  </w:footnote>
  <w:footnote w:id="23">
    <w:p w14:paraId="50F4E90C" w14:textId="77777777" w:rsidR="007B0A4D" w:rsidRPr="00AC26EC" w:rsidRDefault="007B0A4D" w:rsidP="005E494F">
      <w:pPr>
        <w:pStyle w:val="FootnoteText"/>
        <w:jc w:val="left"/>
        <w:rPr>
          <w:rFonts w:eastAsia="Times New Roman"/>
        </w:rPr>
      </w:pPr>
      <w:r>
        <w:rPr>
          <w:rStyle w:val="FootnoteReference"/>
          <w:rFonts w:eastAsia="Times New Roman"/>
        </w:rPr>
        <w:footnoteRef/>
      </w:r>
      <w:r>
        <w:tab/>
        <w:t xml:space="preserve">Examen des performances des PME 2023, </w:t>
      </w:r>
      <w:hyperlink r:id="rId10" w:history="1">
        <w:r>
          <w:rPr>
            <w:rStyle w:val="Hyperlink"/>
          </w:rPr>
          <w:t>https://single-market-economy.ec.europa.eu/smes/sme-strategy/sme-performance-review_fr</w:t>
        </w:r>
      </w:hyperlink>
      <w:r>
        <w:t>.</w:t>
      </w:r>
    </w:p>
  </w:footnote>
  <w:footnote w:id="24">
    <w:p w14:paraId="35BB481F" w14:textId="27D6795E" w:rsidR="007B0A4D" w:rsidRPr="00EA24F6" w:rsidRDefault="007B0A4D">
      <w:pPr>
        <w:pStyle w:val="FootnoteText"/>
      </w:pPr>
      <w:r>
        <w:rPr>
          <w:rStyle w:val="FootnoteReference"/>
        </w:rPr>
        <w:footnoteRef/>
      </w:r>
      <w:r>
        <w:tab/>
      </w:r>
      <w:hyperlink r:id="rId11" w:history="1">
        <w:r>
          <w:rPr>
            <w:rStyle w:val="Hyperlink"/>
          </w:rPr>
          <w:t>https://single-market-economy.ec.europa.eu/industry/transition-pathways_fr</w:t>
        </w:r>
      </w:hyperlink>
      <w:r>
        <w:t xml:space="preserve"> </w:t>
      </w:r>
    </w:p>
  </w:footnote>
  <w:footnote w:id="25">
    <w:p w14:paraId="62D6B713" w14:textId="77777777" w:rsidR="007B0A4D" w:rsidRPr="00511799" w:rsidRDefault="007B0A4D" w:rsidP="005E494F">
      <w:pPr>
        <w:pStyle w:val="FootnoteText"/>
        <w:jc w:val="left"/>
        <w:rPr>
          <w:rFonts w:eastAsia="Times New Roman"/>
        </w:rPr>
      </w:pPr>
      <w:r>
        <w:rPr>
          <w:rStyle w:val="FootnoteReference"/>
          <w:rFonts w:eastAsia="Times New Roman"/>
        </w:rPr>
        <w:footnoteRef/>
      </w:r>
      <w:r>
        <w:tab/>
        <w:t xml:space="preserve">Flash Eurobaromètre 486 sur les PME, les entreprises en démarrage, les entreprises en phase d’expansion et la volonté d’entreprendre, septembre 2020, </w:t>
      </w:r>
      <w:hyperlink r:id="rId12" w:history="1">
        <w:r>
          <w:rPr>
            <w:rStyle w:val="Hyperlink"/>
          </w:rPr>
          <w:t>https://europa.eu/eurobarometer/surveys/detail/2244</w:t>
        </w:r>
      </w:hyperlink>
      <w:r>
        <w:t>.</w:t>
      </w:r>
    </w:p>
  </w:footnote>
  <w:footnote w:id="26">
    <w:p w14:paraId="55577E4F" w14:textId="67DA7F27" w:rsidR="007B0A4D" w:rsidRPr="0039069F" w:rsidRDefault="007B0A4D" w:rsidP="005E494F">
      <w:pPr>
        <w:pStyle w:val="FootnoteText"/>
        <w:jc w:val="left"/>
      </w:pPr>
      <w:r>
        <w:rPr>
          <w:rStyle w:val="FootnoteReference"/>
          <w:rFonts w:eastAsia="Times New Roman"/>
        </w:rPr>
        <w:footnoteRef/>
      </w:r>
      <w:r>
        <w:tab/>
        <w:t xml:space="preserve">Enquête sur l’accès des entreprises au financement, SAFE, décembre 2022, </w:t>
      </w:r>
      <w:hyperlink r:id="rId13" w:history="1">
        <w:r>
          <w:rPr>
            <w:rStyle w:val="Hyperlink"/>
          </w:rPr>
          <w:t>https://single-market-economy.ec.europa.eu/access-finance/data-and-surveys-safe_fr</w:t>
        </w:r>
      </w:hyperlink>
      <w:r>
        <w:t>.</w:t>
      </w:r>
    </w:p>
  </w:footnote>
  <w:footnote w:id="27">
    <w:p w14:paraId="18957591" w14:textId="78A1DBEB" w:rsidR="007B0A4D" w:rsidRPr="0039069F" w:rsidRDefault="007B0A4D" w:rsidP="005E494F">
      <w:pPr>
        <w:pStyle w:val="FootnoteText"/>
        <w:jc w:val="left"/>
        <w:rPr>
          <w:rFonts w:eastAsia="Times New Roman"/>
        </w:rPr>
      </w:pPr>
      <w:r>
        <w:rPr>
          <w:rStyle w:val="FootnoteReference"/>
          <w:rFonts w:eastAsia="Times New Roman"/>
        </w:rPr>
        <w:footnoteRef/>
      </w:r>
      <w:r>
        <w:tab/>
        <w:t>Ibid.</w:t>
      </w:r>
    </w:p>
  </w:footnote>
  <w:footnote w:id="28">
    <w:p w14:paraId="38CBFF7D" w14:textId="7A937EB6" w:rsidR="007B0A4D" w:rsidRPr="0039069F" w:rsidRDefault="007B0A4D" w:rsidP="005E494F">
      <w:pPr>
        <w:spacing w:after="0"/>
        <w:jc w:val="left"/>
        <w:rPr>
          <w:rFonts w:eastAsia="Calibri"/>
          <w:sz w:val="20"/>
          <w:szCs w:val="20"/>
        </w:rPr>
      </w:pPr>
      <w:r>
        <w:rPr>
          <w:rStyle w:val="FootnoteReference"/>
          <w:rFonts w:eastAsia="Times New Roman"/>
          <w:sz w:val="20"/>
          <w:szCs w:val="20"/>
        </w:rPr>
        <w:footnoteRef/>
      </w:r>
      <w:r>
        <w:rPr>
          <w:sz w:val="20"/>
        </w:rPr>
        <w:tab/>
        <w:t xml:space="preserve">Ibid. </w:t>
      </w:r>
    </w:p>
  </w:footnote>
  <w:footnote w:id="29">
    <w:p w14:paraId="051520A7" w14:textId="77777777" w:rsidR="007B0A4D" w:rsidRPr="00EB797F" w:rsidRDefault="007B0A4D" w:rsidP="005E494F">
      <w:pPr>
        <w:spacing w:after="0"/>
        <w:jc w:val="left"/>
        <w:rPr>
          <w:rFonts w:eastAsia="Times New Roman"/>
          <w:sz w:val="20"/>
          <w:szCs w:val="20"/>
        </w:rPr>
      </w:pPr>
      <w:r>
        <w:rPr>
          <w:rFonts w:eastAsia="Times New Roman"/>
          <w:sz w:val="20"/>
          <w:szCs w:val="20"/>
          <w:vertAlign w:val="superscript"/>
        </w:rPr>
        <w:footnoteRef/>
      </w:r>
      <w:r>
        <w:rPr>
          <w:sz w:val="20"/>
        </w:rPr>
        <w:tab/>
        <w:t>Flash Eurobaromètre 529 sur l’Année européenne des compétences: pénuries de compétences, stratégies de recrutement et de fidélisation dans les petites et moyennes entreprises (publiée en septembre 2023).</w:t>
      </w:r>
    </w:p>
  </w:footnote>
  <w:footnote w:id="30">
    <w:p w14:paraId="49A4D27F" w14:textId="77777777" w:rsidR="007B0A4D" w:rsidRPr="00242478" w:rsidRDefault="007B0A4D" w:rsidP="00FD25A4">
      <w:pPr>
        <w:pStyle w:val="FootnoteText"/>
        <w:jc w:val="left"/>
      </w:pPr>
      <w:r>
        <w:rPr>
          <w:rStyle w:val="FootnoteReference"/>
        </w:rPr>
        <w:footnoteRef/>
      </w:r>
      <w:r>
        <w:rPr>
          <w:color w:val="2B579A"/>
        </w:rPr>
        <w:t xml:space="preserve"> </w:t>
      </w:r>
      <w:r>
        <w:tab/>
        <w:t>Directive (UE) 2020/285 du Conseil.</w:t>
      </w:r>
    </w:p>
  </w:footnote>
  <w:footnote w:id="31">
    <w:p w14:paraId="2BA8BC58" w14:textId="14AFBD99" w:rsidR="007B0A4D" w:rsidRPr="00305C64" w:rsidRDefault="007B0A4D" w:rsidP="005E494F">
      <w:pPr>
        <w:spacing w:after="0"/>
        <w:jc w:val="left"/>
        <w:rPr>
          <w:rFonts w:eastAsia="Times New Roman"/>
          <w:sz w:val="20"/>
          <w:szCs w:val="20"/>
        </w:rPr>
      </w:pPr>
      <w:r>
        <w:rPr>
          <w:rFonts w:eastAsia="Times New Roman"/>
          <w:sz w:val="20"/>
          <w:szCs w:val="20"/>
          <w:vertAlign w:val="superscript"/>
        </w:rPr>
        <w:footnoteRef/>
      </w:r>
      <w:r>
        <w:rPr>
          <w:sz w:val="20"/>
        </w:rPr>
        <w:t xml:space="preserve"> </w:t>
      </w:r>
      <w:r>
        <w:rPr>
          <w:sz w:val="20"/>
        </w:rPr>
        <w:tab/>
        <w:t>COM(2021) 219 final</w:t>
      </w:r>
      <w:r>
        <w:t xml:space="preserve"> et </w:t>
      </w:r>
      <w:hyperlink r:id="rId14" w:history="1">
        <w:r>
          <w:rPr>
            <w:rStyle w:val="Hyperlink"/>
            <w:sz w:val="20"/>
          </w:rPr>
          <w:t>https://commission.europa.eu/law/law-making-process/planning-and-proposing-law/better-regulation/better-regulation-guidelines-and-toolbox_fr</w:t>
        </w:r>
      </w:hyperlink>
      <w:r>
        <w:t>.</w:t>
      </w:r>
    </w:p>
  </w:footnote>
  <w:footnote w:id="32">
    <w:p w14:paraId="36453C61" w14:textId="77777777" w:rsidR="007B0A4D" w:rsidRPr="0016159B" w:rsidRDefault="007B0A4D" w:rsidP="005E494F">
      <w:pPr>
        <w:spacing w:after="0"/>
        <w:jc w:val="left"/>
        <w:rPr>
          <w:rFonts w:eastAsia="Calibri"/>
          <w:sz w:val="20"/>
          <w:szCs w:val="20"/>
        </w:rPr>
      </w:pPr>
      <w:r>
        <w:rPr>
          <w:rFonts w:eastAsia="Times New Roman"/>
          <w:sz w:val="20"/>
          <w:szCs w:val="20"/>
          <w:vertAlign w:val="superscript"/>
        </w:rPr>
        <w:footnoteRef/>
      </w:r>
      <w:r>
        <w:rPr>
          <w:sz w:val="20"/>
        </w:rPr>
        <w:tab/>
        <w:t>La plateforme «Prêts pour l’avenir» est un groupe d’experts de haut niveau qui aide la Commission dans ses efforts visant à simplifier la législation de l’UE et à réduire les coûts inutiles qui en découlent (</w:t>
      </w:r>
      <w:hyperlink r:id="rId15" w:history="1">
        <w:r>
          <w:rPr>
            <w:rStyle w:val="Hyperlink"/>
            <w:sz w:val="20"/>
          </w:rPr>
          <w:t>https://commission.europa.eu/law/law-making-process/evaluating-and-improving-existing-laws/refit-making-eu-law-simpler-less-costly-and-future-proof/fit-future-platform-f4f_fr</w:t>
        </w:r>
      </w:hyperlink>
      <w:r>
        <w:rPr>
          <w:sz w:val="20"/>
        </w:rPr>
        <w:t>).</w:t>
      </w:r>
    </w:p>
  </w:footnote>
  <w:footnote w:id="33">
    <w:p w14:paraId="52F55B9F" w14:textId="46CCBF3A" w:rsidR="00675874" w:rsidRPr="00675874" w:rsidRDefault="00675874">
      <w:pPr>
        <w:pStyle w:val="FootnoteText"/>
      </w:pPr>
      <w:r>
        <w:rPr>
          <w:rStyle w:val="FootnoteReference"/>
        </w:rPr>
        <w:footnoteRef/>
      </w:r>
      <w:r>
        <w:tab/>
        <w:t>Cela fait également suite aux propositions de la conférence sur l’avenir de l’Europe de 2022 visant à stimuler la compétitivité des PME et à renforcer le test PME (propositions 12, 17 et 35).</w:t>
      </w:r>
    </w:p>
  </w:footnote>
  <w:footnote w:id="34">
    <w:p w14:paraId="0EB51299" w14:textId="77777777" w:rsidR="007B0A4D" w:rsidRPr="0076281A" w:rsidRDefault="007B0A4D" w:rsidP="005E494F">
      <w:pPr>
        <w:spacing w:after="0"/>
        <w:jc w:val="left"/>
        <w:rPr>
          <w:rStyle w:val="Hyperlink"/>
          <w:rFonts w:eastAsia="Times New Roman"/>
          <w:color w:val="auto"/>
          <w:sz w:val="20"/>
          <w:szCs w:val="20"/>
          <w:u w:val="none"/>
        </w:rPr>
      </w:pPr>
      <w:r>
        <w:rPr>
          <w:rFonts w:eastAsia="Times New Roman"/>
          <w:sz w:val="20"/>
          <w:szCs w:val="20"/>
          <w:vertAlign w:val="superscript"/>
        </w:rPr>
        <w:footnoteRef/>
      </w:r>
      <w:r>
        <w:rPr>
          <w:sz w:val="20"/>
        </w:rPr>
        <w:t xml:space="preserve"> </w:t>
      </w:r>
      <w:r>
        <w:tab/>
      </w:r>
      <w:hyperlink r:id="rId16" w:history="1">
        <w:r>
          <w:rPr>
            <w:rStyle w:val="Hyperlink"/>
            <w:sz w:val="20"/>
          </w:rPr>
          <w:t>https://ec.europa.eu/docsroom/documents/53934</w:t>
        </w:r>
      </w:hyperlink>
      <w:r>
        <w:rPr>
          <w:sz w:val="20"/>
        </w:rPr>
        <w:t>.</w:t>
      </w:r>
    </w:p>
  </w:footnote>
  <w:footnote w:id="35">
    <w:p w14:paraId="4C8BA0DD" w14:textId="40C5091C" w:rsidR="007B0A4D" w:rsidRPr="0016159B" w:rsidRDefault="007B0A4D" w:rsidP="00CD403B">
      <w:pPr>
        <w:spacing w:after="0"/>
        <w:rPr>
          <w:rFonts w:eastAsia="Calibri"/>
          <w:sz w:val="20"/>
          <w:szCs w:val="20"/>
        </w:rPr>
      </w:pPr>
      <w:r>
        <w:rPr>
          <w:rFonts w:eastAsia="Times New Roman"/>
          <w:sz w:val="20"/>
          <w:szCs w:val="20"/>
          <w:vertAlign w:val="superscript"/>
        </w:rPr>
        <w:footnoteRef/>
      </w:r>
      <w:r>
        <w:rPr>
          <w:sz w:val="20"/>
        </w:rPr>
        <w:tab/>
        <w:t>Le réseau des représentants des PME est un groupe d’experts de haut niveau des États membres qui conseillent la Commission sur tous les aspects de la politique en faveur des PME (</w:t>
      </w:r>
      <w:hyperlink r:id="rId17" w:history="1">
        <w:r>
          <w:rPr>
            <w:rStyle w:val="Hyperlink"/>
            <w:sz w:val="20"/>
          </w:rPr>
          <w:t>https://single-market-economy.ec.europa.eu/smes/sme-strategy/sme-envoys-network_fr</w:t>
        </w:r>
      </w:hyperlink>
      <w:r>
        <w:rPr>
          <w:sz w:val="20"/>
        </w:rPr>
        <w:t>).</w:t>
      </w:r>
    </w:p>
  </w:footnote>
  <w:footnote w:id="36">
    <w:p w14:paraId="5CAABA92" w14:textId="65B79959" w:rsidR="0028574A" w:rsidRPr="00E9387D" w:rsidRDefault="0028574A">
      <w:pPr>
        <w:pStyle w:val="FootnoteText"/>
      </w:pPr>
      <w:r>
        <w:rPr>
          <w:rStyle w:val="FootnoteReference"/>
        </w:rPr>
        <w:footnoteRef/>
      </w:r>
      <w:r>
        <w:tab/>
        <w:t xml:space="preserve">Notamment les membres de RegWatchEurope, qui comprend des organes de surveillance des Pays-Bas, de la Finlande, de la Suède, de l’Allemagne, du Danemark, de la Norvège, de la République tchèque et du Royaume-Uni. </w:t>
      </w:r>
    </w:p>
  </w:footnote>
  <w:footnote w:id="37">
    <w:p w14:paraId="441E3390" w14:textId="7DC367F4" w:rsidR="007B0A4D" w:rsidRPr="00931D78" w:rsidRDefault="007B0A4D" w:rsidP="00CD403B">
      <w:pPr>
        <w:pStyle w:val="FootnoteText"/>
      </w:pPr>
      <w:r>
        <w:rPr>
          <w:rStyle w:val="FootnoteReference"/>
        </w:rPr>
        <w:footnoteRef/>
      </w:r>
      <w:r>
        <w:tab/>
        <w:t>Les perspectives de l’OCDE sur la politique réglementaire pour 2021 classent le système d’amélioration de la réglementation de la Commission européenne comme le plus avancé en ce qui concerne les consultations des parties prenantes et les évaluations et comme le troisième en ce qui concerne les analyses d’impact.</w:t>
      </w:r>
    </w:p>
  </w:footnote>
  <w:footnote w:id="38">
    <w:p w14:paraId="7A68A874" w14:textId="16D4D1C8" w:rsidR="007B0A4D" w:rsidRPr="00FE25F3" w:rsidRDefault="007B0A4D">
      <w:pPr>
        <w:pStyle w:val="FootnoteText"/>
      </w:pPr>
      <w:r>
        <w:rPr>
          <w:rStyle w:val="FootnoteReference"/>
        </w:rPr>
        <w:footnoteRef/>
      </w:r>
      <w:r>
        <w:tab/>
        <w:t>Examen annuel de la charge 2022 — Efforts de l’Union européenne pour simplifier la législation, septembre 2023.</w:t>
      </w:r>
    </w:p>
  </w:footnote>
  <w:footnote w:id="39">
    <w:p w14:paraId="1964CE82" w14:textId="20BBF9F9" w:rsidR="007B0A4D" w:rsidRPr="00D71314" w:rsidRDefault="007B0A4D" w:rsidP="005E494F">
      <w:pPr>
        <w:pStyle w:val="FootnoteText"/>
        <w:jc w:val="left"/>
        <w:rPr>
          <w:lang w:val="pt-PT"/>
        </w:rPr>
      </w:pPr>
      <w:r>
        <w:rPr>
          <w:rStyle w:val="FootnoteReference"/>
        </w:rPr>
        <w:footnoteRef/>
      </w:r>
      <w:r w:rsidRPr="00D71314">
        <w:rPr>
          <w:lang w:val="pt-PT"/>
        </w:rPr>
        <w:tab/>
        <w:t>2020/C 447/01.</w:t>
      </w:r>
    </w:p>
  </w:footnote>
  <w:footnote w:id="40">
    <w:p w14:paraId="76165708" w14:textId="04451C9D" w:rsidR="007B0A4D" w:rsidRPr="00D71314" w:rsidRDefault="007B0A4D">
      <w:pPr>
        <w:pStyle w:val="FootnoteText"/>
        <w:rPr>
          <w:lang w:val="pt-PT"/>
        </w:rPr>
      </w:pPr>
      <w:r>
        <w:rPr>
          <w:rStyle w:val="FootnoteReference"/>
        </w:rPr>
        <w:footnoteRef/>
      </w:r>
      <w:r w:rsidRPr="00D71314">
        <w:rPr>
          <w:lang w:val="pt-PT"/>
        </w:rPr>
        <w:tab/>
        <w:t xml:space="preserve">SWD(2023) 277 final. </w:t>
      </w:r>
    </w:p>
  </w:footnote>
  <w:footnote w:id="41">
    <w:p w14:paraId="421B0E7A" w14:textId="6F16A5A8" w:rsidR="007B0A4D" w:rsidRPr="00D71314" w:rsidRDefault="007B0A4D" w:rsidP="005E494F">
      <w:pPr>
        <w:pStyle w:val="FootnoteText"/>
        <w:jc w:val="left"/>
        <w:rPr>
          <w:lang w:val="pt-PT"/>
        </w:rPr>
      </w:pPr>
      <w:r>
        <w:rPr>
          <w:rStyle w:val="FootnoteReference"/>
        </w:rPr>
        <w:footnoteRef/>
      </w:r>
      <w:r w:rsidRPr="00D71314">
        <w:rPr>
          <w:lang w:val="pt-PT"/>
        </w:rPr>
        <w:tab/>
        <w:t>COM(2021) 206 final.</w:t>
      </w:r>
    </w:p>
  </w:footnote>
  <w:footnote w:id="42">
    <w:p w14:paraId="4B5319E8" w14:textId="1D3AC685" w:rsidR="007B0A4D" w:rsidRPr="00D71314" w:rsidRDefault="007B0A4D" w:rsidP="005E494F">
      <w:pPr>
        <w:pStyle w:val="FootnoteText"/>
        <w:jc w:val="left"/>
        <w:rPr>
          <w:lang w:val="pt-PT"/>
        </w:rPr>
      </w:pPr>
      <w:r>
        <w:rPr>
          <w:rStyle w:val="FootnoteReference"/>
        </w:rPr>
        <w:footnoteRef/>
      </w:r>
      <w:r w:rsidRPr="00D71314">
        <w:rPr>
          <w:lang w:val="pt-PT"/>
        </w:rPr>
        <w:tab/>
        <w:t xml:space="preserve">COM(2023) 442 final. </w:t>
      </w:r>
    </w:p>
  </w:footnote>
  <w:footnote w:id="43">
    <w:p w14:paraId="65F6405A" w14:textId="77777777" w:rsidR="007B0A4D" w:rsidRPr="00D71314" w:rsidRDefault="007B0A4D" w:rsidP="00FE25F3">
      <w:pPr>
        <w:pStyle w:val="FootnoteText"/>
        <w:rPr>
          <w:lang w:val="pt-PT"/>
        </w:rPr>
      </w:pPr>
      <w:r>
        <w:rPr>
          <w:rStyle w:val="FootnoteReference"/>
        </w:rPr>
        <w:footnoteRef/>
      </w:r>
      <w:r w:rsidRPr="00D71314">
        <w:rPr>
          <w:lang w:val="pt-PT"/>
        </w:rPr>
        <w:tab/>
        <w:t>https://ec.europa.eu/info/law/better-regulation/have-your-say-simplify_fr</w:t>
      </w:r>
    </w:p>
  </w:footnote>
  <w:footnote w:id="44">
    <w:p w14:paraId="16CB8CAE" w14:textId="6D0F3D2C" w:rsidR="007B0A4D" w:rsidRPr="0064518C" w:rsidRDefault="007B0A4D">
      <w:pPr>
        <w:pStyle w:val="FootnoteText"/>
      </w:pPr>
      <w:r>
        <w:rPr>
          <w:rStyle w:val="FootnoteReference"/>
        </w:rPr>
        <w:footnoteRef/>
      </w:r>
      <w:r>
        <w:tab/>
        <w:t>Le principe «Priorité aux PME» a été défini dans le «Small Business Act» (</w:t>
      </w:r>
      <w:hyperlink r:id="rId18" w:history="1">
        <w:r>
          <w:t>https://eur-lex.europa.eu/legal-content/FR/TXT/HTML/?uri=CELEX:52008DC0394</w:t>
        </w:r>
      </w:hyperlink>
      <w:r>
        <w:t>) puis développé dans le réexamen du «Small Business Act» (</w:t>
      </w:r>
      <w:hyperlink r:id="rId19" w:history="1">
        <w:r>
          <w:t>https://eur-lex.europa.eu/legal-content/FR/TXT/HTML/?uri=CELEX:52011DC0078</w:t>
        </w:r>
      </w:hyperlink>
      <w:r>
        <w:t>).</w:t>
      </w:r>
      <w:r>
        <w:rPr>
          <w:rFonts w:ascii="Segoe UI" w:hAnsi="Segoe UI"/>
        </w:rPr>
        <w:t xml:space="preserve"> </w:t>
      </w:r>
    </w:p>
  </w:footnote>
  <w:footnote w:id="45">
    <w:p w14:paraId="16D93FA2" w14:textId="4535A759" w:rsidR="007B0A4D" w:rsidRPr="000D5827" w:rsidRDefault="007B0A4D" w:rsidP="005E494F">
      <w:pPr>
        <w:pStyle w:val="FootnoteText"/>
        <w:jc w:val="left"/>
      </w:pPr>
      <w:r>
        <w:rPr>
          <w:rStyle w:val="FootnoteReference"/>
        </w:rPr>
        <w:footnoteRef/>
      </w:r>
      <w:r>
        <w:tab/>
        <w:t>Autres organismes pertinents pour les PME, tels que l’Institut européen d’innovation et de technologie.</w:t>
      </w:r>
    </w:p>
  </w:footnote>
  <w:footnote w:id="46">
    <w:p w14:paraId="63D44594" w14:textId="3C5DD195" w:rsidR="00BD0070" w:rsidRPr="00BD0070" w:rsidRDefault="00BD0070">
      <w:pPr>
        <w:pStyle w:val="FootnoteText"/>
      </w:pPr>
      <w:r>
        <w:rPr>
          <w:rStyle w:val="FootnoteReference"/>
        </w:rPr>
        <w:footnoteRef/>
      </w:r>
      <w:r>
        <w:tab/>
        <w:t xml:space="preserve">Parmi les bonnes pratiques figurent l’outil numérique d’évaluation des risques mis au point par l’Agence européenne pour la sécurité et la santé au travail, l’outil d’évaluation de la maturité des PME en matière de cybersécurité de l’Agence de l’Union européenne pour la cybersécurité ou le portail consacré aux entrepreneurs de l’Office de l’Union européenne pour la propriété intellectuelle. </w:t>
      </w:r>
    </w:p>
  </w:footnote>
  <w:footnote w:id="47">
    <w:p w14:paraId="2A9BE824" w14:textId="05F15669" w:rsidR="007B0A4D" w:rsidRPr="00B35961" w:rsidRDefault="007B0A4D" w:rsidP="005E494F">
      <w:pPr>
        <w:spacing w:after="0"/>
        <w:jc w:val="left"/>
        <w:rPr>
          <w:rFonts w:eastAsia="Times New Roman"/>
          <w:sz w:val="20"/>
          <w:szCs w:val="20"/>
        </w:rPr>
      </w:pPr>
      <w:r>
        <w:rPr>
          <w:rStyle w:val="FootnoteReference"/>
          <w:rFonts w:eastAsia="Times New Roman"/>
          <w:sz w:val="20"/>
          <w:szCs w:val="20"/>
        </w:rPr>
        <w:footnoteRef/>
      </w:r>
      <w:r>
        <w:tab/>
      </w:r>
      <w:r>
        <w:rPr>
          <w:sz w:val="20"/>
        </w:rPr>
        <w:t xml:space="preserve">COM(2018) 1724 final. Accessible par l’intermédiaire du portail web «Your Europe»: </w:t>
      </w:r>
      <w:hyperlink r:id="rId20" w:history="1">
        <w:r>
          <w:rPr>
            <w:rStyle w:val="Hyperlink"/>
            <w:sz w:val="20"/>
          </w:rPr>
          <w:t>https://europa.eu/youreurope/</w:t>
        </w:r>
      </w:hyperlink>
      <w:r>
        <w:t>.</w:t>
      </w:r>
      <w:r>
        <w:rPr>
          <w:rStyle w:val="Hyperlink"/>
          <w:sz w:val="20"/>
        </w:rPr>
        <w:t xml:space="preserve"> </w:t>
      </w:r>
    </w:p>
  </w:footnote>
  <w:footnote w:id="48">
    <w:p w14:paraId="26CB8D63" w14:textId="0D5F7E78" w:rsidR="008913B2" w:rsidRPr="00D71314" w:rsidRDefault="008913B2" w:rsidP="008913B2">
      <w:pPr>
        <w:pStyle w:val="FootnoteText"/>
        <w:rPr>
          <w:lang w:val="pt-PT"/>
        </w:rPr>
      </w:pPr>
      <w:r>
        <w:rPr>
          <w:rStyle w:val="FootnoteReference"/>
        </w:rPr>
        <w:footnoteRef/>
      </w:r>
      <w:r w:rsidRPr="00D71314">
        <w:rPr>
          <w:lang w:val="pt-PT"/>
        </w:rPr>
        <w:tab/>
        <w:t xml:space="preserve">COM(2023) 501 final. </w:t>
      </w:r>
    </w:p>
  </w:footnote>
  <w:footnote w:id="49">
    <w:p w14:paraId="5BC02BB9" w14:textId="77777777" w:rsidR="00E143FA" w:rsidRPr="00D71314" w:rsidRDefault="00E143FA" w:rsidP="00E143FA">
      <w:pPr>
        <w:pStyle w:val="FootnoteText"/>
        <w:jc w:val="left"/>
        <w:rPr>
          <w:rFonts w:eastAsia="Times New Roman"/>
          <w:lang w:val="pt-PT"/>
        </w:rPr>
      </w:pPr>
      <w:r>
        <w:rPr>
          <w:rStyle w:val="FootnoteReference"/>
        </w:rPr>
        <w:footnoteRef/>
      </w:r>
      <w:r w:rsidRPr="00D71314">
        <w:rPr>
          <w:lang w:val="pt-PT"/>
        </w:rPr>
        <w:tab/>
        <w:t>COM(2023) 177 final.</w:t>
      </w:r>
    </w:p>
  </w:footnote>
  <w:footnote w:id="50">
    <w:p w14:paraId="21D28579" w14:textId="30F1C0E3" w:rsidR="005C7FD0" w:rsidRPr="00D71314" w:rsidRDefault="005C7FD0" w:rsidP="005C7FD0">
      <w:pPr>
        <w:pStyle w:val="FootnoteText"/>
        <w:rPr>
          <w:lang w:val="pt-PT"/>
        </w:rPr>
      </w:pPr>
      <w:r>
        <w:rPr>
          <w:rStyle w:val="FootnoteReference"/>
        </w:rPr>
        <w:footnoteRef/>
      </w:r>
      <w:r w:rsidRPr="00D71314">
        <w:rPr>
          <w:lang w:val="pt-PT"/>
        </w:rPr>
        <w:tab/>
        <w:t>Voir l’analyse d’impact correspondante, SWD(2023) 178 final.</w:t>
      </w:r>
      <w:r w:rsidRPr="00D71314">
        <w:rPr>
          <w:color w:val="000000"/>
          <w:lang w:val="pt-PT"/>
        </w:rPr>
        <w:t xml:space="preserve"> </w:t>
      </w:r>
    </w:p>
  </w:footnote>
  <w:footnote w:id="51">
    <w:p w14:paraId="4EAAB907" w14:textId="77777777" w:rsidR="00F41956" w:rsidRPr="00DB71A0" w:rsidRDefault="00F41956" w:rsidP="00F41956">
      <w:pPr>
        <w:pStyle w:val="FootnoteText"/>
      </w:pPr>
      <w:r>
        <w:rPr>
          <w:rStyle w:val="FootnoteReference"/>
        </w:rPr>
        <w:footnoteRef/>
      </w:r>
      <w:r>
        <w:tab/>
        <w:t>Le BRIS relie tous les registres nationaux et met à la disposition du public des informations sur environ 20 millions de sociétés et de succursales.</w:t>
      </w:r>
    </w:p>
  </w:footnote>
  <w:footnote w:id="52">
    <w:p w14:paraId="24385166" w14:textId="77777777" w:rsidR="009631B0" w:rsidRPr="00AC26EC" w:rsidRDefault="009631B0" w:rsidP="009631B0">
      <w:pPr>
        <w:pStyle w:val="FootnoteText"/>
      </w:pPr>
      <w:r>
        <w:rPr>
          <w:rStyle w:val="FootnoteReference"/>
        </w:rPr>
        <w:footnoteRef/>
      </w:r>
      <w:r>
        <w:tab/>
      </w:r>
      <w:hyperlink r:id="rId21" w:history="1">
        <w:r>
          <w:rPr>
            <w:rStyle w:val="Hyperlink"/>
          </w:rPr>
          <w:t>https://ec.europa.eu/solvit/what-is-solvit/index_fr.htm</w:t>
        </w:r>
      </w:hyperlink>
      <w:r>
        <w:t>. En mars 2023, la Commission a proposé un critère de référence selon lequel SOLVIT doit résoudre au moins 90 % des litiges dans un délai de 12 mois dans chaque État membre.</w:t>
      </w:r>
    </w:p>
  </w:footnote>
  <w:footnote w:id="53">
    <w:p w14:paraId="595D6E68" w14:textId="0288EB11" w:rsidR="00E143FA" w:rsidRPr="00DE0003" w:rsidRDefault="00E143FA" w:rsidP="00E143FA">
      <w:pPr>
        <w:pStyle w:val="FootnoteText"/>
      </w:pPr>
      <w:r>
        <w:rPr>
          <w:rStyle w:val="FootnoteReference"/>
        </w:rPr>
        <w:footnoteRef/>
      </w:r>
      <w:r>
        <w:tab/>
        <w:t>Décision (UE) 2022/2481 établissant le programme d’action pour la décennie numérique à l’horizon 2030.</w:t>
      </w:r>
    </w:p>
  </w:footnote>
  <w:footnote w:id="54">
    <w:p w14:paraId="6630951C" w14:textId="7780D663" w:rsidR="00A97541" w:rsidRPr="00DE0003" w:rsidRDefault="00A97541" w:rsidP="00A97541">
      <w:pPr>
        <w:pStyle w:val="FootnoteText"/>
      </w:pPr>
      <w:r>
        <w:rPr>
          <w:rStyle w:val="FootnoteReference"/>
        </w:rPr>
        <w:footnoteRef/>
      </w:r>
      <w:r>
        <w:tab/>
        <w:t>https://digital-strategy.ec.europa.eu/fr/activities/testing-and-experimentation-facilities</w:t>
      </w:r>
    </w:p>
  </w:footnote>
  <w:footnote w:id="55">
    <w:p w14:paraId="790BBD98" w14:textId="3739A303" w:rsidR="00E143FA" w:rsidRPr="00DE0003" w:rsidRDefault="00E143FA" w:rsidP="00E143FA">
      <w:pPr>
        <w:pStyle w:val="FootnoteText"/>
      </w:pPr>
      <w:r>
        <w:rPr>
          <w:rStyle w:val="FootnoteReference"/>
        </w:rPr>
        <w:footnoteRef/>
      </w:r>
      <w:r>
        <w:tab/>
        <w:t>COM(2023) 168 final.</w:t>
      </w:r>
    </w:p>
  </w:footnote>
  <w:footnote w:id="56">
    <w:p w14:paraId="73B356E9" w14:textId="1186A33D" w:rsidR="00F41956" w:rsidRPr="00F41956" w:rsidRDefault="00F41956">
      <w:pPr>
        <w:pStyle w:val="FootnoteText"/>
      </w:pPr>
      <w:r>
        <w:rPr>
          <w:rStyle w:val="FootnoteReference"/>
        </w:rPr>
        <w:footnoteRef/>
      </w:r>
      <w:r>
        <w:tab/>
        <w:t>Si les obligations de déclaration sont bien conçues, leurs coûts sont largement compensés par les avantages qu’elles apportent, par exemple en surveillant la pollution atmosphérique ou le secteur financier et en maintenant la stabilité financière. De telles obligations figurent non seulement dans la législation primaire, mais aussi dans les actes d’exécution ou délégués, voire dans les dispositions opérationnelles.</w:t>
      </w:r>
    </w:p>
  </w:footnote>
  <w:footnote w:id="57">
    <w:p w14:paraId="666C0108" w14:textId="0621CB5D" w:rsidR="007B0A4D" w:rsidRPr="00EE5111" w:rsidRDefault="007B0A4D" w:rsidP="00EE5111">
      <w:pPr>
        <w:spacing w:after="0"/>
        <w:rPr>
          <w:rFonts w:eastAsia="Times New Roman"/>
          <w:sz w:val="2"/>
          <w:szCs w:val="2"/>
        </w:rPr>
      </w:pPr>
      <w:r>
        <w:rPr>
          <w:rStyle w:val="FootnoteReference"/>
        </w:rPr>
        <w:footnoteRef/>
      </w:r>
      <w:r>
        <w:tab/>
      </w:r>
      <w:hyperlink r:id="rId22" w:history="1">
        <w:r>
          <w:rPr>
            <w:sz w:val="20"/>
          </w:rPr>
          <w:t>Révision du cadre de l’UE pour la gestion des crises bancaires et la garantie des dépôts</w:t>
        </w:r>
      </w:hyperlink>
      <w:r>
        <w:rPr>
          <w:sz w:val="20"/>
        </w:rPr>
        <w:t xml:space="preserve">, </w:t>
      </w:r>
      <w:hyperlink r:id="rId23" w:history="1">
        <w:r>
          <w:rPr>
            <w:sz w:val="20"/>
          </w:rPr>
          <w:t>normes techniques d’exécution concernant la publication des rapports des entreprises d’assurance et de réassurance</w:t>
        </w:r>
      </w:hyperlink>
      <w:r>
        <w:rPr>
          <w:sz w:val="20"/>
        </w:rPr>
        <w:t>,</w:t>
      </w:r>
      <w:r>
        <w:t xml:space="preserve"> </w:t>
      </w:r>
      <w:hyperlink r:id="rId24" w:history="1">
        <w:r>
          <w:rPr>
            <w:sz w:val="20"/>
          </w:rPr>
          <w:t>proposition de règlement du Parlement européen et du Conseil modifiant le règlement (CE) nº 223/2009 relatif aux statistiques européennes</w:t>
        </w:r>
      </w:hyperlink>
      <w:r>
        <w:rPr>
          <w:sz w:val="20"/>
        </w:rPr>
        <w:t>,</w:t>
      </w:r>
      <w:r>
        <w:t xml:space="preserve"> </w:t>
      </w:r>
      <w:hyperlink r:id="rId25" w:history="1">
        <w:r>
          <w:rPr>
            <w:sz w:val="20"/>
          </w:rPr>
          <w:t>réexamen de la gouvernance économique - simplification des rapports</w:t>
        </w:r>
      </w:hyperlink>
      <w:r>
        <w:rPr>
          <w:sz w:val="20"/>
        </w:rPr>
        <w:t>,</w:t>
      </w:r>
      <w:r>
        <w:t xml:space="preserve"> </w:t>
      </w:r>
      <w:hyperlink r:id="rId26" w:history="1">
        <w:r>
          <w:rPr>
            <w:sz w:val="20"/>
          </w:rPr>
          <w:t>proposition de règlement du Parlement européen et du Conseil relatif aux détergents et aux agents de surface</w:t>
        </w:r>
      </w:hyperlink>
      <w:r>
        <w:rPr>
          <w:sz w:val="20"/>
        </w:rPr>
        <w:t xml:space="preserve">, </w:t>
      </w:r>
      <w:hyperlink r:id="rId27" w:history="1">
        <w:r>
          <w:rPr>
            <w:sz w:val="20"/>
          </w:rPr>
          <w:t>code des douanes de l’Union</w:t>
        </w:r>
      </w:hyperlink>
      <w:r>
        <w:rPr>
          <w:sz w:val="20"/>
        </w:rPr>
        <w:t xml:space="preserve">, </w:t>
      </w:r>
      <w:hyperlink r:id="rId28" w:history="1">
        <w:r>
          <w:rPr>
            <w:sz w:val="20"/>
          </w:rPr>
          <w:t>cadre juridique général dans le domaine pharmaceutique</w:t>
        </w:r>
      </w:hyperlink>
      <w:r>
        <w:rPr>
          <w:sz w:val="20"/>
        </w:rPr>
        <w:t xml:space="preserve">, plusieurs initiatives en préparation ou proposées dans le domaine des transports, telles que la </w:t>
      </w:r>
      <w:hyperlink r:id="rId29" w:history="1">
        <w:r>
          <w:rPr>
            <w:sz w:val="20"/>
          </w:rPr>
          <w:t>directive sur le transport combiné</w:t>
        </w:r>
      </w:hyperlink>
      <w:r>
        <w:rPr>
          <w:sz w:val="20"/>
        </w:rPr>
        <w:t xml:space="preserve">, un </w:t>
      </w:r>
      <w:hyperlink r:id="rId30" w:history="1">
        <w:r>
          <w:rPr>
            <w:sz w:val="20"/>
          </w:rPr>
          <w:t xml:space="preserve">cadre juridique harmonisé pour la gestion des capacités et du trafic ferroviaires </w:t>
        </w:r>
      </w:hyperlink>
      <w:r>
        <w:rPr>
          <w:sz w:val="20"/>
        </w:rPr>
        <w:t>et la suppression des corridors de fret ferroviaire dans le cadre du</w:t>
      </w:r>
      <w:r>
        <w:t xml:space="preserve"> </w:t>
      </w:r>
      <w:hyperlink r:id="rId31" w:history="1">
        <w:r>
          <w:rPr>
            <w:sz w:val="20"/>
          </w:rPr>
          <w:t>paquet sur l’écologisation du transport de marchandises</w:t>
        </w:r>
      </w:hyperlink>
      <w:r>
        <w:rPr>
          <w:sz w:val="20"/>
        </w:rPr>
        <w:t>, révision de la directive sur les poids et dimensions (voir le paquet sur l’écologisation du transport de marchandises), révision de la</w:t>
      </w:r>
      <w:hyperlink r:id="rId32" w:history="1">
        <w:r>
          <w:rPr>
            <w:sz w:val="20"/>
          </w:rPr>
          <w:t xml:space="preserve"> directive relative au contrôle par l’État du port</w:t>
        </w:r>
      </w:hyperlink>
      <w:r>
        <w:rPr>
          <w:sz w:val="20"/>
        </w:rPr>
        <w:t>, etc.</w:t>
      </w:r>
    </w:p>
  </w:footnote>
  <w:footnote w:id="58">
    <w:p w14:paraId="41699FD6" w14:textId="77777777" w:rsidR="007B0A4D" w:rsidRPr="00D66CF2" w:rsidRDefault="007B0A4D" w:rsidP="003A160A">
      <w:pPr>
        <w:pStyle w:val="FootnoteText"/>
      </w:pPr>
      <w:r>
        <w:rPr>
          <w:rStyle w:val="FootnoteReference"/>
        </w:rPr>
        <w:footnoteRef/>
      </w:r>
      <w:r>
        <w:tab/>
        <w:t xml:space="preserve">Le premier ensemble de normes européennes d’information en matière de durabilité [COM(2023) 5303 final] a considérablement réduit la charge liée aux informations à publier par rapport aux avis techniques reçus du Groupe consultatif pour l’information financière en Europe (EFRAG). La Commission a étendu le principe consistant à ne communiquer que des informations substantielles, a introduit un certain nombre de phases d’entrée en application progressive et a rendu facultatives certaines obligations en matière d’informations à publier. </w:t>
      </w:r>
    </w:p>
  </w:footnote>
  <w:footnote w:id="59">
    <w:p w14:paraId="080285AB" w14:textId="6407DF24" w:rsidR="007B0A4D" w:rsidRPr="005C04E3" w:rsidRDefault="007B0A4D" w:rsidP="009B10BF">
      <w:pPr>
        <w:pStyle w:val="FootnoteText"/>
      </w:pPr>
      <w:r>
        <w:rPr>
          <w:rStyle w:val="FootnoteReference"/>
        </w:rPr>
        <w:footnoteRef/>
      </w:r>
      <w:r>
        <w:tab/>
        <w:t>Article 8 du règlement (UE) 2020/852 du Parlement européen et du Conseil du 18 juin 2020 sur l’établissement d’un cadre visant à favoriser les investissements durables et modifiant le règlement (UE) 2019/2088 (JO L 198 du 22.6.2020, p. 13).</w:t>
      </w:r>
    </w:p>
  </w:footnote>
  <w:footnote w:id="60">
    <w:p w14:paraId="2FDEF014" w14:textId="77777777" w:rsidR="007B0A4D" w:rsidRPr="00DF10F6" w:rsidRDefault="007B0A4D" w:rsidP="00AE675A">
      <w:pPr>
        <w:pStyle w:val="FootnoteText"/>
      </w:pPr>
      <w:r>
        <w:rPr>
          <w:rStyle w:val="FootnoteReference"/>
        </w:rPr>
        <w:footnoteRef/>
      </w:r>
      <w:r>
        <w:tab/>
        <w:t xml:space="preserve">Pour de plus amples informations, voir le rapport d’analyse d’impact sur les retards de paiement, publié parallèlement à la présente communication. </w:t>
      </w:r>
    </w:p>
  </w:footnote>
  <w:footnote w:id="61">
    <w:p w14:paraId="14648CF9" w14:textId="77BD4647" w:rsidR="007B0A4D" w:rsidRPr="003F4F24" w:rsidRDefault="007B0A4D">
      <w:pPr>
        <w:pStyle w:val="FootnoteText"/>
      </w:pPr>
      <w:r>
        <w:rPr>
          <w:rStyle w:val="FootnoteReference"/>
        </w:rPr>
        <w:footnoteRef/>
      </w:r>
      <w:r>
        <w:tab/>
        <w:t>Dans cette optique, la Commission a récemment lancé plusieurs procédures d’infraction dans le domaine des retards de paiement (</w:t>
      </w:r>
      <w:hyperlink r:id="rId33" w:history="1">
        <w:r>
          <w:rPr>
            <w:rStyle w:val="Hyperlink"/>
          </w:rPr>
          <w:t>https://ec.europa.eu/commission/presscorner/detail/fr/inf_23_1808</w:t>
        </w:r>
      </w:hyperlink>
      <w:r>
        <w:t>).</w:t>
      </w:r>
    </w:p>
  </w:footnote>
  <w:footnote w:id="62">
    <w:p w14:paraId="6A7B6EB2" w14:textId="3FFD9C87" w:rsidR="007B0A4D" w:rsidRPr="00EC0630" w:rsidRDefault="007B0A4D" w:rsidP="00AE675A">
      <w:pPr>
        <w:spacing w:after="0"/>
        <w:rPr>
          <w:sz w:val="20"/>
          <w:szCs w:val="20"/>
        </w:rPr>
      </w:pPr>
      <w:r>
        <w:rPr>
          <w:rFonts w:eastAsia="Times New Roman"/>
          <w:sz w:val="20"/>
          <w:szCs w:val="20"/>
          <w:vertAlign w:val="superscript"/>
        </w:rPr>
        <w:footnoteRef/>
      </w:r>
      <w:r>
        <w:tab/>
      </w:r>
      <w:r>
        <w:rPr>
          <w:sz w:val="20"/>
        </w:rPr>
        <w:t>Il s’agirait notamment de ressources financières mises à la disposition des PME via les instruments suivants: InvestEU (6,9 milliards d’euros du volet spécifique «PME» et 0,82 milliard d’euros supplémentaire via le volet d’action «Investissements sociaux et compétences»), facilité pour la reprise et la résilience (45,2 milliards d’euros), CEI (10 milliards d’euros), Cassini (0,7 milliard d’euros), pilier PME du programme pour le marché unique (1 milliard d’euros), fonds pour les PME dans le domaine de la propriété intellectuelle (0,08 milliard d’euros), programme pour une Europe numérique (0,7 milliard d’euros), Fonds européen de la défense (plus de 0,2 milliard d’euros), programme spatial européen (1 milliard d’euros), connectivité sécurisée — IRIS2 (0,72 milliard d’euros), Horizon Europe (15 milliards d’euros), Fonds pour une transition juste (4,8 milliards d’euros), Europe créative (2,3 milliards d’euros), Fonds européen de développement régional (38,71 milliards d’euros), initiatives d’investissement en réaction au coronavirus dans le cadre de la politique de cohésion et de REACT-EU (22 milliards d’euros), Fonds européen agricole pour le développement rural (30 milliards d’euros), Fonds de cohésion (0,05 milliard d’euros), Fonds européen pour les affaires maritimes, la pêche et l’aquaculture (2,52 milliards d’euros), programme LIFE (0,13 milliard d’euros), mécanisme pour l’interconnexion en Europe (0,2 milliard d’euros), Fonds pour l’innovation (0,17 milliard d’euros), Fonds social européen plus (0,82 milliard d’euros), nouveau programme européen d’innovation dans le domaine de l’accès au financement pour les start-ups deep tech, les PME et les petites entreprises de taille intermédiaire (45 milliards d’euros).</w:t>
      </w:r>
    </w:p>
  </w:footnote>
  <w:footnote w:id="63">
    <w:p w14:paraId="1C52A484" w14:textId="77777777" w:rsidR="007B0A4D" w:rsidRPr="00C2650E" w:rsidRDefault="007B0A4D" w:rsidP="00AE675A">
      <w:pPr>
        <w:pStyle w:val="FootnoteText"/>
      </w:pPr>
      <w:r>
        <w:rPr>
          <w:rStyle w:val="FootnoteReference"/>
        </w:rPr>
        <w:footnoteRef/>
      </w:r>
      <w:r>
        <w:tab/>
        <w:t>Parmi les différents instruments financiers disponibles pour les PME au cours du précédent cadre financier pluriannuel (période 2014-2020), le mécanisme de garantie de prêts COSME a, à lui seul, généré 68 milliards d’euros de financement en faveur de près de 900 000 PME, contribuant ainsi à la création ou au maintien de plus de 4 millions d’emplois.</w:t>
      </w:r>
    </w:p>
  </w:footnote>
  <w:footnote w:id="64">
    <w:p w14:paraId="788927FF" w14:textId="77777777" w:rsidR="007B0A4D" w:rsidRPr="00D87F3F" w:rsidRDefault="007B0A4D" w:rsidP="005E494F">
      <w:pPr>
        <w:pStyle w:val="FootnoteText"/>
        <w:jc w:val="left"/>
        <w:rPr>
          <w:rFonts w:eastAsia="Times New Roman"/>
        </w:rPr>
      </w:pPr>
      <w:r>
        <w:rPr>
          <w:rStyle w:val="FootnoteReference"/>
          <w:sz w:val="16"/>
          <w:szCs w:val="16"/>
        </w:rPr>
        <w:footnoteRef/>
      </w:r>
      <w:r>
        <w:rPr>
          <w:rStyle w:val="FootnoteReference"/>
          <w:sz w:val="16"/>
        </w:rPr>
        <w:t xml:space="preserve"> </w:t>
      </w:r>
      <w:r>
        <w:tab/>
      </w:r>
      <w:hyperlink r:id="rId34" w:history="1">
        <w:r>
          <w:rPr>
            <w:rStyle w:val="Hyperlink"/>
          </w:rPr>
          <w:t>https://single-market-economy.ec.europa.eu/access-finance/investeu/investeu-fund-sme-window_fr</w:t>
        </w:r>
      </w:hyperlink>
    </w:p>
  </w:footnote>
  <w:footnote w:id="65">
    <w:p w14:paraId="7D5F1405" w14:textId="77777777" w:rsidR="007B0A4D" w:rsidRPr="00D87F3F" w:rsidRDefault="007B0A4D" w:rsidP="005E494F">
      <w:pPr>
        <w:pStyle w:val="FootnoteText"/>
        <w:jc w:val="left"/>
        <w:rPr>
          <w:rFonts w:eastAsia="Times New Roman"/>
        </w:rPr>
      </w:pPr>
      <w:r>
        <w:rPr>
          <w:rStyle w:val="FootnoteReference"/>
          <w:sz w:val="16"/>
          <w:szCs w:val="16"/>
        </w:rPr>
        <w:footnoteRef/>
      </w:r>
      <w:r>
        <w:tab/>
        <w:t>COM(2023) 335 final.</w:t>
      </w:r>
    </w:p>
  </w:footnote>
  <w:footnote w:id="66">
    <w:p w14:paraId="50C00A69" w14:textId="25CAE98E" w:rsidR="00D33231" w:rsidRPr="00D33231" w:rsidRDefault="00D33231">
      <w:pPr>
        <w:pStyle w:val="FootnoteText"/>
      </w:pPr>
      <w:r>
        <w:rPr>
          <w:rStyle w:val="FootnoteReference"/>
        </w:rPr>
        <w:footnoteRef/>
      </w:r>
      <w:r>
        <w:tab/>
        <w:t>Au moyen d’une modification des orientations techniques sur l’application du principe consistant à «ne pas causer de préjudice important» au titre du règlement (UE) 2021/241. Cela facilitera également l’allocation de ressources à InvestEU au titre de la facilité pour la reprise et la résilience.</w:t>
      </w:r>
    </w:p>
  </w:footnote>
  <w:footnote w:id="67">
    <w:p w14:paraId="438FFE66" w14:textId="77777777" w:rsidR="007B0A4D" w:rsidRPr="00D87F3F" w:rsidRDefault="007B0A4D" w:rsidP="00AE675A">
      <w:pPr>
        <w:pStyle w:val="FootnoteText"/>
        <w:rPr>
          <w:rFonts w:eastAsia="Times New Roman"/>
        </w:rPr>
      </w:pPr>
      <w:r>
        <w:rPr>
          <w:rStyle w:val="FootnoteReference"/>
          <w:sz w:val="16"/>
          <w:szCs w:val="16"/>
        </w:rPr>
        <w:footnoteRef/>
      </w:r>
      <w:r>
        <w:rPr>
          <w:rStyle w:val="FootnoteReference"/>
          <w:sz w:val="16"/>
        </w:rPr>
        <w:t xml:space="preserve"> </w:t>
      </w:r>
      <w:r>
        <w:t>Cette disposition est sans préjudice de l’obligation selon laquelle les instruments financiers et garanties budgétaires de l’UE doivent être compatibles avec les règles en matière d’aides d’État conformément à l’article 209, paragraphe 2, point c), du règlement financier.</w:t>
      </w:r>
    </w:p>
  </w:footnote>
  <w:footnote w:id="68">
    <w:p w14:paraId="061F6F31" w14:textId="77777777" w:rsidR="007B0A4D" w:rsidRPr="00BB48C7" w:rsidRDefault="007B0A4D" w:rsidP="005E494F">
      <w:pPr>
        <w:pStyle w:val="References"/>
        <w:spacing w:after="0"/>
        <w:ind w:left="0"/>
        <w:rPr>
          <w:sz w:val="2"/>
          <w:szCs w:val="2"/>
        </w:rPr>
      </w:pPr>
      <w:r>
        <w:rPr>
          <w:rStyle w:val="FootnoteReference"/>
          <w:rFonts w:eastAsiaTheme="minorEastAsia"/>
        </w:rPr>
        <w:footnoteRef/>
      </w:r>
      <w:r>
        <w:rPr>
          <w:rStyle w:val="FootnoteReference"/>
        </w:rPr>
        <w:t xml:space="preserve"> </w:t>
      </w:r>
      <w:hyperlink r:id="rId35" w:history="1">
        <w:r>
          <w:rPr>
            <w:rStyle w:val="Hyperlink"/>
          </w:rPr>
          <w:t>https://www.fi-compass.eu</w:t>
        </w:r>
        <w:r>
          <w:rPr>
            <w:rStyle w:val="Hyperlink"/>
            <w:u w:val="none"/>
          </w:rPr>
          <w:t>.</w:t>
        </w:r>
      </w:hyperlink>
    </w:p>
  </w:footnote>
  <w:footnote w:id="69">
    <w:p w14:paraId="528B0779" w14:textId="77777777" w:rsidR="007B0A4D" w:rsidRPr="0039069F" w:rsidRDefault="007B0A4D" w:rsidP="005E494F">
      <w:pPr>
        <w:pStyle w:val="FootnoteText"/>
        <w:jc w:val="left"/>
        <w:rPr>
          <w:rFonts w:eastAsia="Times New Roman"/>
        </w:rPr>
      </w:pPr>
      <w:r>
        <w:rPr>
          <w:rStyle w:val="FootnoteReference"/>
          <w:rFonts w:eastAsia="Times New Roman"/>
        </w:rPr>
        <w:footnoteRef/>
      </w:r>
      <w:r>
        <w:tab/>
      </w:r>
      <w:hyperlink r:id="rId36" w:history="1">
        <w:r>
          <w:rPr>
            <w:rStyle w:val="Hyperlink"/>
          </w:rPr>
          <w:t>https://ec.europa.eu/commission/presscorner/detail/fr/ip_22_7348</w:t>
        </w:r>
      </w:hyperlink>
    </w:p>
  </w:footnote>
  <w:footnote w:id="70">
    <w:p w14:paraId="3AAA958F" w14:textId="77777777" w:rsidR="007B0A4D" w:rsidRPr="00EA44AF" w:rsidRDefault="007B0A4D" w:rsidP="005E494F">
      <w:pPr>
        <w:pStyle w:val="FootnoteText"/>
        <w:jc w:val="left"/>
      </w:pPr>
      <w:r>
        <w:rPr>
          <w:rStyle w:val="FootnoteReference"/>
        </w:rPr>
        <w:footnoteRef/>
      </w:r>
      <w:r>
        <w:tab/>
        <w:t>COM(2022) 760 final.</w:t>
      </w:r>
    </w:p>
  </w:footnote>
  <w:footnote w:id="71">
    <w:p w14:paraId="4C6BFE1A" w14:textId="1BC97520" w:rsidR="007B0A4D" w:rsidRPr="00BB6F70" w:rsidRDefault="007B0A4D" w:rsidP="005E494F">
      <w:pPr>
        <w:pStyle w:val="FootnoteText"/>
        <w:jc w:val="left"/>
      </w:pPr>
      <w:r>
        <w:rPr>
          <w:rStyle w:val="FootnoteReference"/>
        </w:rPr>
        <w:footnoteRef/>
      </w:r>
      <w:r>
        <w:tab/>
        <w:t xml:space="preserve">COM(2017) 572 final. En 2020 et 2021, la Commission a publié deux études sur la participation des PME aux marchés publics: </w:t>
      </w:r>
      <w:hyperlink r:id="rId37" w:history="1">
        <w:r>
          <w:rPr>
            <w:rStyle w:val="Hyperlink"/>
          </w:rPr>
          <w:t>https://op.europa.eu/fr/publication-detail/-/publication/eec8227c-ecc4-11ea-b3c6-01aa75ed71a1</w:t>
        </w:r>
      </w:hyperlink>
      <w:r>
        <w:t xml:space="preserve"> et </w:t>
      </w:r>
      <w:hyperlink r:id="rId38" w:history="1">
        <w:r>
          <w:rPr>
            <w:rStyle w:val="Hyperlink"/>
          </w:rPr>
          <w:t>https://ec.europa.eu/docsroom/documents/46111/attachments/1/translations/en/renditions/native</w:t>
        </w:r>
      </w:hyperlink>
      <w:r>
        <w:t xml:space="preserve">. Deux brochures ont été publiées en 2023 pour encourager la participation des jeunes pousses aux marchés publics: </w:t>
      </w:r>
      <w:hyperlink r:id="rId39" w:history="1">
        <w:r>
          <w:rPr>
            <w:rStyle w:val="Hyperlink"/>
          </w:rPr>
          <w:t>https://ec.europa.eu/docsroom/documents/54254</w:t>
        </w:r>
      </w:hyperlink>
      <w:r>
        <w:t xml:space="preserve"> et </w:t>
      </w:r>
      <w:hyperlink r:id="rId40" w:history="1">
        <w:r>
          <w:rPr>
            <w:rStyle w:val="Hyperlink"/>
          </w:rPr>
          <w:t>https://ec.europa.eu/docsroom/documents/54276</w:t>
        </w:r>
      </w:hyperlink>
      <w:r>
        <w:t>.</w:t>
      </w:r>
    </w:p>
  </w:footnote>
  <w:footnote w:id="72">
    <w:p w14:paraId="1645160C" w14:textId="22ABA90B" w:rsidR="007B0A4D" w:rsidRPr="00AB03BF" w:rsidRDefault="007B0A4D" w:rsidP="005E494F">
      <w:pPr>
        <w:pStyle w:val="FootnoteText"/>
        <w:jc w:val="left"/>
        <w:rPr>
          <w:rFonts w:eastAsia="Times New Roman"/>
        </w:rPr>
      </w:pPr>
      <w:r>
        <w:rPr>
          <w:rStyle w:val="FootnoteReference"/>
        </w:rPr>
        <w:footnoteRef/>
      </w:r>
      <w:r>
        <w:rPr>
          <w:color w:val="2B579A"/>
        </w:rPr>
        <w:t xml:space="preserve"> </w:t>
      </w:r>
      <w:r>
        <w:t xml:space="preserve">Rapport d’activité 2023 de la plateforme de l’OCDE sur le financement des PME pour la durabilité (page 6), </w:t>
      </w:r>
      <w:hyperlink r:id="rId41" w:history="1">
        <w:r>
          <w:rPr>
            <w:rStyle w:val="Hyperlink"/>
          </w:rPr>
          <w:t>https://www.oecd.org/cfe/smes/SME%20activity-report-2023.pdf</w:t>
        </w:r>
      </w:hyperlink>
      <w:r>
        <w:rPr>
          <w:color w:val="2B579A"/>
        </w:rPr>
        <w:t>.</w:t>
      </w:r>
    </w:p>
  </w:footnote>
  <w:footnote w:id="73">
    <w:p w14:paraId="0F8B72F3" w14:textId="4F0D4CBD" w:rsidR="007B0A4D" w:rsidRPr="00A04F30" w:rsidRDefault="007B0A4D" w:rsidP="005E494F">
      <w:pPr>
        <w:pStyle w:val="FootnoteText"/>
        <w:jc w:val="left"/>
      </w:pPr>
      <w:r>
        <w:rPr>
          <w:rStyle w:val="FootnoteReference"/>
        </w:rPr>
        <w:footnoteRef/>
      </w:r>
      <w:r>
        <w:tab/>
        <w:t>Les plus récentes dans le cadre de la communication de la Commission de juin 2023 intitulée «Un cadre pour la finance durable qui fonctionne sur le terrain» [COM(2023) 317 final], qui plaide notamment en faveur du caractère inclusif, utilisable et proportionné d’un tel cadre afin de permettre aux PME de lever des fonds pour leur transition vers la durabilité.</w:t>
      </w:r>
    </w:p>
  </w:footnote>
  <w:footnote w:id="74">
    <w:p w14:paraId="40FB5368" w14:textId="5CF7C69A" w:rsidR="007B0A4D" w:rsidRPr="00E35286" w:rsidRDefault="007B0A4D" w:rsidP="005E494F">
      <w:pPr>
        <w:pStyle w:val="FootnoteText"/>
        <w:jc w:val="left"/>
      </w:pPr>
      <w:r>
        <w:rPr>
          <w:rStyle w:val="FootnoteReference"/>
        </w:rPr>
        <w:footnoteRef/>
      </w:r>
      <w:r>
        <w:tab/>
        <w:t>Recommandation (UE) 2023/1425 de la Commission sur la manière de faciliter le financement de la transition vers une économie durable.</w:t>
      </w:r>
    </w:p>
  </w:footnote>
  <w:footnote w:id="75">
    <w:p w14:paraId="13784F0B" w14:textId="42316C9D" w:rsidR="007B0A4D" w:rsidRPr="00D67EF4" w:rsidRDefault="007B0A4D" w:rsidP="001B1521">
      <w:pPr>
        <w:pStyle w:val="FootnoteText"/>
      </w:pPr>
      <w:r>
        <w:rPr>
          <w:rStyle w:val="FootnoteReference"/>
        </w:rPr>
        <w:footnoteRef/>
      </w:r>
      <w:r>
        <w:tab/>
        <w:t xml:space="preserve">Demande d’avis de la Commission sur les prêts et crédits hypothécaires verts, adressée à l’Autorité bancaire européenne en novembre 2022. </w:t>
      </w:r>
    </w:p>
  </w:footnote>
  <w:footnote w:id="76">
    <w:p w14:paraId="1E690818" w14:textId="260F87C7" w:rsidR="007B0A4D" w:rsidRPr="00733AA8" w:rsidRDefault="007B0A4D" w:rsidP="005E494F">
      <w:pPr>
        <w:spacing w:after="0"/>
        <w:jc w:val="left"/>
        <w:rPr>
          <w:rFonts w:eastAsiaTheme="minorEastAsia"/>
          <w:sz w:val="20"/>
          <w:szCs w:val="20"/>
        </w:rPr>
      </w:pPr>
      <w:r>
        <w:rPr>
          <w:rFonts w:eastAsia="Times New Roman"/>
          <w:sz w:val="20"/>
          <w:szCs w:val="20"/>
          <w:vertAlign w:val="superscript"/>
        </w:rPr>
        <w:footnoteRef/>
      </w:r>
      <w:r>
        <w:rPr>
          <w:sz w:val="20"/>
        </w:rPr>
        <w:tab/>
        <w:t xml:space="preserve">COM(2020) 274 final. </w:t>
      </w:r>
    </w:p>
  </w:footnote>
  <w:footnote w:id="77">
    <w:p w14:paraId="53BA9A00" w14:textId="77777777" w:rsidR="007B0A4D" w:rsidRPr="0013757D" w:rsidRDefault="007B0A4D" w:rsidP="005E494F">
      <w:pPr>
        <w:spacing w:after="0"/>
        <w:jc w:val="left"/>
        <w:rPr>
          <w:rFonts w:eastAsia="Times New Roman"/>
          <w:sz w:val="20"/>
          <w:szCs w:val="20"/>
        </w:rPr>
      </w:pPr>
      <w:r>
        <w:rPr>
          <w:rFonts w:eastAsia="Times New Roman"/>
          <w:sz w:val="20"/>
          <w:szCs w:val="20"/>
          <w:vertAlign w:val="superscript"/>
        </w:rPr>
        <w:footnoteRef/>
      </w:r>
      <w:r>
        <w:rPr>
          <w:sz w:val="20"/>
        </w:rPr>
        <w:t xml:space="preserve"> Plan d’action sur le socle européen des droits sociaux, avalisé par les chefs d’État et de gouvernement en 2020, </w:t>
      </w:r>
      <w:hyperlink r:id="rId42" w:history="1">
        <w:r>
          <w:rPr>
            <w:rStyle w:val="Hyperlink"/>
            <w:sz w:val="20"/>
          </w:rPr>
          <w:t>https://ec.europa.eu/social/main.jsp?catId=1607&amp;langId=fr</w:t>
        </w:r>
      </w:hyperlink>
      <w:r>
        <w:rPr>
          <w:sz w:val="20"/>
        </w:rPr>
        <w:t xml:space="preserve">. </w:t>
      </w:r>
    </w:p>
  </w:footnote>
  <w:footnote w:id="78">
    <w:p w14:paraId="36287049" w14:textId="34356BBC" w:rsidR="007B0A4D" w:rsidRPr="00D71314" w:rsidRDefault="007B0A4D" w:rsidP="005E494F">
      <w:pPr>
        <w:pStyle w:val="FootnoteText"/>
        <w:jc w:val="left"/>
        <w:rPr>
          <w:lang w:val="pt-PT"/>
        </w:rPr>
      </w:pPr>
      <w:r>
        <w:rPr>
          <w:rStyle w:val="FootnoteReference"/>
        </w:rPr>
        <w:footnoteRef/>
      </w:r>
      <w:r w:rsidRPr="00D71314">
        <w:rPr>
          <w:lang w:val="pt-PT"/>
        </w:rPr>
        <w:tab/>
        <w:t>COM(2023) 205 final et COM(2023) 206 final.</w:t>
      </w:r>
    </w:p>
  </w:footnote>
  <w:footnote w:id="79">
    <w:p w14:paraId="41F1736A" w14:textId="49B546D2" w:rsidR="005E6CE8" w:rsidRPr="00D71314" w:rsidRDefault="0076783C">
      <w:pPr>
        <w:pStyle w:val="FootnoteText"/>
        <w:rPr>
          <w:lang w:val="pt-PT"/>
        </w:rPr>
      </w:pPr>
      <w:hyperlink r:id="rId43" w:history="1">
        <w:r w:rsidR="00B4602F">
          <w:rPr>
            <w:rStyle w:val="Hyperlink"/>
            <w:vertAlign w:val="superscript"/>
          </w:rPr>
          <w:footnoteRef/>
        </w:r>
        <w:r w:rsidR="00B4602F" w:rsidRPr="00D71314">
          <w:rPr>
            <w:rStyle w:val="Hyperlink"/>
            <w:lang w:val="pt-PT"/>
          </w:rPr>
          <w:tab/>
          <w:t>https://education.ec.europa.eu/fr/focus-topics/digital-education/action-plan/action-9</w:t>
        </w:r>
      </w:hyperlink>
    </w:p>
  </w:footnote>
  <w:footnote w:id="80">
    <w:p w14:paraId="6AB81393" w14:textId="79D195B9" w:rsidR="005C43C1" w:rsidRPr="005C43C1" w:rsidRDefault="005C43C1">
      <w:pPr>
        <w:pStyle w:val="FootnoteText"/>
      </w:pPr>
      <w:r>
        <w:rPr>
          <w:rStyle w:val="FootnoteReference"/>
        </w:rPr>
        <w:footnoteRef/>
      </w:r>
      <w:r>
        <w:tab/>
        <w:t>Recommandation 2020/C 417/01 du Conseil.</w:t>
      </w:r>
    </w:p>
  </w:footnote>
  <w:footnote w:id="81">
    <w:p w14:paraId="1D80F7AE" w14:textId="0372891A" w:rsidR="007B0A4D" w:rsidRPr="00C05818" w:rsidRDefault="007B0A4D" w:rsidP="005E494F">
      <w:pPr>
        <w:pStyle w:val="FootnoteText"/>
        <w:jc w:val="left"/>
      </w:pPr>
      <w:r>
        <w:rPr>
          <w:rStyle w:val="FootnoteReference"/>
        </w:rPr>
        <w:footnoteRef/>
      </w:r>
      <w:r>
        <w:tab/>
      </w:r>
      <w:hyperlink r:id="rId44" w:history="1">
        <w:r>
          <w:rPr>
            <w:rStyle w:val="Hyperlink"/>
          </w:rPr>
          <w:t>https://ec.europa.eu/social/main.jsp?catId=1501</w:t>
        </w:r>
      </w:hyperlink>
    </w:p>
  </w:footnote>
  <w:footnote w:id="82">
    <w:p w14:paraId="56B43035" w14:textId="4386183B" w:rsidR="007B0A4D" w:rsidRPr="00733AA8" w:rsidRDefault="007B0A4D" w:rsidP="001C3B4A">
      <w:pPr>
        <w:spacing w:after="0"/>
        <w:jc w:val="left"/>
        <w:rPr>
          <w:rFonts w:eastAsiaTheme="minorEastAsia"/>
          <w:sz w:val="20"/>
          <w:szCs w:val="20"/>
        </w:rPr>
      </w:pPr>
      <w:r>
        <w:rPr>
          <w:rFonts w:eastAsia="Times New Roman"/>
          <w:sz w:val="20"/>
          <w:szCs w:val="20"/>
          <w:vertAlign w:val="superscript"/>
        </w:rPr>
        <w:footnoteRef/>
      </w:r>
      <w:r>
        <w:tab/>
      </w:r>
      <w:r>
        <w:rPr>
          <w:sz w:val="20"/>
        </w:rPr>
        <w:t xml:space="preserve">Le pacte encourage également les partenariats à l’échelon régional en vue de soutenir la reconversion et la mise à niveau des compétences de la main-d’œuvre, y compris celle des PME. Selon les résultats de l’enquête, depuis son lancement en 2020, les efforts concertés des membres du pacte ont atteint, selon les estimations, près de deux millions de personnes. En outre, les membres ont réalisé un investissement cumulé de près de 160 millions d’euros dans des activités de reconversion professionnelle et de mise à niveau des compétences. </w:t>
      </w:r>
      <w:hyperlink r:id="rId45" w:history="1">
        <w:r>
          <w:rPr>
            <w:rStyle w:val="Hyperlink"/>
            <w:sz w:val="20"/>
          </w:rPr>
          <w:t>https://pact-for-skills.ec.europa.eu/index_fr</w:t>
        </w:r>
      </w:hyperlink>
      <w:r>
        <w:rPr>
          <w:sz w:val="20"/>
        </w:rPr>
        <w:t>.</w:t>
      </w:r>
      <w:r>
        <w:t xml:space="preserve"> </w:t>
      </w:r>
    </w:p>
  </w:footnote>
  <w:footnote w:id="83">
    <w:p w14:paraId="24591791" w14:textId="66BEE448" w:rsidR="007B0A4D" w:rsidRPr="0039014E" w:rsidRDefault="007B0A4D">
      <w:pPr>
        <w:pStyle w:val="FootnoteText"/>
      </w:pPr>
      <w:r>
        <w:rPr>
          <w:rStyle w:val="FootnoteReference"/>
        </w:rPr>
        <w:footnoteRef/>
      </w:r>
      <w:r>
        <w:tab/>
        <w:t>https://www.erasmus-entrepreneurs.eu/index.php?lan=fr</w:t>
      </w:r>
    </w:p>
  </w:footnote>
  <w:footnote w:id="84">
    <w:p w14:paraId="1CABC7CC" w14:textId="772391FF" w:rsidR="007B0A4D" w:rsidRPr="0039014E" w:rsidRDefault="007B0A4D">
      <w:pPr>
        <w:pStyle w:val="FootnoteText"/>
      </w:pPr>
      <w:r>
        <w:rPr>
          <w:rStyle w:val="FootnoteReference"/>
        </w:rPr>
        <w:footnoteRef/>
      </w:r>
      <w:r>
        <w:tab/>
        <w:t>https://eismea.ec.europa.eu/programmes/european-innovation-ecosystems/women-techeu_en</w:t>
      </w:r>
    </w:p>
  </w:footnote>
  <w:footnote w:id="85">
    <w:p w14:paraId="412B01A6" w14:textId="77777777" w:rsidR="007B0A4D" w:rsidRPr="00D71314" w:rsidRDefault="007B0A4D" w:rsidP="005E494F">
      <w:pPr>
        <w:pStyle w:val="FootnoteText"/>
        <w:jc w:val="left"/>
        <w:rPr>
          <w:lang w:val="pt-PT"/>
        </w:rPr>
      </w:pPr>
      <w:r>
        <w:rPr>
          <w:rStyle w:val="FootnoteReference"/>
          <w:rFonts w:eastAsia="Times New Roman"/>
        </w:rPr>
        <w:footnoteRef/>
      </w:r>
      <w:r w:rsidRPr="00D71314">
        <w:rPr>
          <w:lang w:val="pt-PT"/>
        </w:rPr>
        <w:tab/>
        <w:t>COM(2011) 78 final.</w:t>
      </w:r>
    </w:p>
  </w:footnote>
  <w:footnote w:id="86">
    <w:p w14:paraId="29EB1426" w14:textId="0B1543BC" w:rsidR="007B0A4D" w:rsidRPr="00D71314" w:rsidRDefault="007B0A4D" w:rsidP="005E494F">
      <w:pPr>
        <w:pStyle w:val="FootnoteText"/>
        <w:jc w:val="left"/>
        <w:rPr>
          <w:rFonts w:eastAsia="Times New Roman"/>
          <w:lang w:val="pt-PT"/>
        </w:rPr>
      </w:pPr>
      <w:r>
        <w:rPr>
          <w:rStyle w:val="FootnoteReference"/>
          <w:rFonts w:eastAsia="Times New Roman"/>
        </w:rPr>
        <w:footnoteRef/>
      </w:r>
      <w:r w:rsidRPr="00D71314">
        <w:rPr>
          <w:lang w:val="pt-PT"/>
        </w:rPr>
        <w:tab/>
        <w:t>COM(2016) 733 final.</w:t>
      </w:r>
    </w:p>
  </w:footnote>
  <w:footnote w:id="87">
    <w:p w14:paraId="3A70BD49" w14:textId="77777777" w:rsidR="007B0A4D" w:rsidRPr="00D71314" w:rsidRDefault="007B0A4D" w:rsidP="005E494F">
      <w:pPr>
        <w:pStyle w:val="FootnoteText"/>
        <w:jc w:val="left"/>
        <w:rPr>
          <w:lang w:val="pt-PT"/>
        </w:rPr>
      </w:pPr>
      <w:r>
        <w:rPr>
          <w:rStyle w:val="FootnoteReference"/>
          <w:rFonts w:eastAsia="Times New Roman"/>
        </w:rPr>
        <w:footnoteRef/>
      </w:r>
      <w:r w:rsidRPr="00D71314">
        <w:rPr>
          <w:lang w:val="pt-PT"/>
        </w:rPr>
        <w:tab/>
      </w:r>
      <w:hyperlink r:id="rId46" w:history="1">
        <w:r w:rsidRPr="00D71314">
          <w:rPr>
            <w:rStyle w:val="Hyperlink"/>
            <w:lang w:val="pt-PT"/>
          </w:rPr>
          <w:t>https://startupnationsstandard.eu/files/SNS-declaration.pdf</w:t>
        </w:r>
      </w:hyperlink>
    </w:p>
  </w:footnote>
  <w:footnote w:id="88">
    <w:p w14:paraId="6635E777" w14:textId="77777777" w:rsidR="00DA0482" w:rsidRPr="00BB7D46" w:rsidRDefault="00DA0482" w:rsidP="00DA0482">
      <w:pPr>
        <w:pStyle w:val="FootnoteText"/>
      </w:pPr>
      <w:r>
        <w:rPr>
          <w:rStyle w:val="FootnoteReference"/>
        </w:rPr>
        <w:footnoteRef/>
      </w:r>
      <w:r>
        <w:tab/>
        <w:t xml:space="preserve">Conformément à la directive (UE) 2019/1151 et à la proposition COM(2023) 177 final. </w:t>
      </w:r>
    </w:p>
  </w:footnote>
  <w:footnote w:id="89">
    <w:p w14:paraId="012CFD6F" w14:textId="77777777" w:rsidR="006861B3" w:rsidRPr="004A2C32" w:rsidRDefault="006861B3" w:rsidP="006861B3">
      <w:pPr>
        <w:pStyle w:val="FootnoteText"/>
        <w:rPr>
          <w:lang w:val="en-IE"/>
        </w:rPr>
      </w:pPr>
      <w:r>
        <w:rPr>
          <w:rStyle w:val="FootnoteReference"/>
        </w:rPr>
        <w:footnoteRef/>
      </w:r>
      <w:r w:rsidRPr="004A2C32">
        <w:rPr>
          <w:lang w:val="en-IE"/>
        </w:rPr>
        <w:tab/>
        <w:t>COM(2021) 778 final.</w:t>
      </w:r>
    </w:p>
  </w:footnote>
  <w:footnote w:id="90">
    <w:p w14:paraId="3B62293C" w14:textId="00ED04EA" w:rsidR="007B0A4D" w:rsidRPr="004A2C32" w:rsidRDefault="007B0A4D" w:rsidP="005E494F">
      <w:pPr>
        <w:pStyle w:val="FootnoteText"/>
        <w:jc w:val="left"/>
        <w:rPr>
          <w:lang w:val="en-IE"/>
        </w:rPr>
      </w:pPr>
      <w:r>
        <w:rPr>
          <w:rStyle w:val="FootnoteReference"/>
        </w:rPr>
        <w:footnoteRef/>
      </w:r>
      <w:r w:rsidRPr="004A2C32">
        <w:rPr>
          <w:lang w:val="en-IE"/>
        </w:rPr>
        <w:tab/>
        <w:t>Dernière évaluation: COM SWD(2021) 280 final.</w:t>
      </w:r>
    </w:p>
  </w:footnote>
  <w:footnote w:id="91">
    <w:p w14:paraId="188CA9F0" w14:textId="0D71C2CC" w:rsidR="007B0A4D" w:rsidRPr="004A2C32" w:rsidRDefault="007B0A4D" w:rsidP="005E494F">
      <w:pPr>
        <w:pStyle w:val="FootnoteText"/>
        <w:jc w:val="left"/>
        <w:rPr>
          <w:lang w:val="en-IE"/>
        </w:rPr>
      </w:pPr>
      <w:r>
        <w:rPr>
          <w:rStyle w:val="FootnoteReference"/>
        </w:rPr>
        <w:footnoteRef/>
      </w:r>
      <w:r w:rsidRPr="004A2C32">
        <w:rPr>
          <w:lang w:val="en-IE"/>
        </w:rPr>
        <w:tab/>
        <w:t xml:space="preserve">SWD(2021) 280 final. </w:t>
      </w:r>
    </w:p>
  </w:footnote>
  <w:footnote w:id="92">
    <w:p w14:paraId="7DB85D27" w14:textId="1A9F12E9" w:rsidR="007B0A4D" w:rsidRPr="00F81072" w:rsidRDefault="007B0A4D" w:rsidP="005E494F">
      <w:pPr>
        <w:pStyle w:val="FootnoteText"/>
        <w:jc w:val="left"/>
      </w:pPr>
      <w:r>
        <w:rPr>
          <w:rStyle w:val="FootnoteReference"/>
        </w:rPr>
        <w:footnoteRef/>
      </w:r>
      <w:r>
        <w:tab/>
        <w:t xml:space="preserve">Étude visant à cartographier, mesurer et décrire le paysage des entreprises de taille intermédiaire de l’UE, 2022, </w:t>
      </w:r>
      <w:hyperlink r:id="rId47" w:history="1">
        <w:r>
          <w:rPr>
            <w:rStyle w:val="Hyperlink"/>
          </w:rPr>
          <w:t>https://op.europa.eu/en/publication- détail/-/publication/ad5fdad5-6a33-11ed-b14f-01aa75ed71a1/language-en/format-PDF/source-277396461</w:t>
        </w:r>
      </w:hyperlink>
      <w:r>
        <w:t>.</w:t>
      </w:r>
    </w:p>
  </w:footnote>
  <w:footnote w:id="93">
    <w:p w14:paraId="0D38D110" w14:textId="77777777" w:rsidR="007B0A4D" w:rsidRPr="00D0415E" w:rsidRDefault="007B0A4D" w:rsidP="005E494F">
      <w:pPr>
        <w:pStyle w:val="FootnoteText"/>
        <w:jc w:val="left"/>
      </w:pPr>
      <w:r>
        <w:rPr>
          <w:rStyle w:val="FootnoteReference"/>
        </w:rPr>
        <w:footnoteRef/>
      </w:r>
      <w:r>
        <w:tab/>
        <w:t>COM(2023) 1711 final.</w:t>
      </w:r>
    </w:p>
  </w:footnote>
  <w:footnote w:id="94">
    <w:p w14:paraId="57B8FEA5" w14:textId="77777777" w:rsidR="007B0A4D" w:rsidRPr="009109C1" w:rsidRDefault="007B0A4D" w:rsidP="005E494F">
      <w:pPr>
        <w:pStyle w:val="FootnoteText"/>
        <w:jc w:val="left"/>
      </w:pPr>
      <w:r>
        <w:rPr>
          <w:rStyle w:val="FootnoteReference"/>
        </w:rPr>
        <w:footnoteRef/>
      </w:r>
      <w:r>
        <w:tab/>
        <w:t xml:space="preserve">Règlement (UE) 2023/1315 de la Commission. </w:t>
      </w:r>
    </w:p>
  </w:footnote>
  <w:footnote w:id="95">
    <w:p w14:paraId="5ED9DACD" w14:textId="77777777" w:rsidR="007B0A4D" w:rsidRPr="00242478" w:rsidRDefault="007B0A4D" w:rsidP="009B10BF">
      <w:pPr>
        <w:pStyle w:val="FootnoteText"/>
      </w:pPr>
      <w:r>
        <w:rPr>
          <w:rStyle w:val="FootnoteReference"/>
        </w:rPr>
        <w:footnoteRef/>
      </w:r>
      <w:r>
        <w:tab/>
        <w:t>Recommandation 94/1069/CE. La Commission a notamment proposé des incitations fiscales ciblées, telles que la réduction conditionnelle des droits de succession et des droits sur les donations dans les successions familiales, des reports d’impôt conditionnels ou des allégements fiscaux pour réinvestir, ou des incitations fiscales spécifiques pour encourager la transmission de l’entreprise aux salariés, dans le but de faire en sorte que les impôts sur la transmission ne compromettent pas la survie de l’entreprise.</w:t>
      </w:r>
    </w:p>
  </w:footnote>
  <w:footnote w:id="96">
    <w:p w14:paraId="0D9154AF" w14:textId="6B6730A4" w:rsidR="007B0A4D" w:rsidRPr="0074058B" w:rsidRDefault="007B0A4D" w:rsidP="005E494F">
      <w:pPr>
        <w:pStyle w:val="FootnoteText"/>
        <w:jc w:val="left"/>
      </w:pPr>
      <w:r>
        <w:rPr>
          <w:rStyle w:val="FootnoteReference"/>
          <w:rFonts w:eastAsia="Times New Roman"/>
        </w:rPr>
        <w:footnoteRef/>
      </w:r>
      <w:r>
        <w:tab/>
      </w:r>
      <w:hyperlink r:id="rId48" w:history="1">
        <w:r>
          <w:rPr>
            <w:rStyle w:val="Hyperlink"/>
          </w:rPr>
          <w:t>https://single-market-economy.ec.europa.eu/smes/supporting-entrepreneurship/transfer-businesses_fr</w:t>
        </w:r>
      </w:hyperlink>
    </w:p>
  </w:footnote>
  <w:footnote w:id="97">
    <w:p w14:paraId="1B6A7985" w14:textId="04B77A90" w:rsidR="007B0A4D" w:rsidRPr="00432A9D" w:rsidRDefault="007B0A4D" w:rsidP="001C3B4A">
      <w:pPr>
        <w:pStyle w:val="FootnoteText"/>
        <w:jc w:val="left"/>
        <w:rPr>
          <w:rStyle w:val="Hyperlink"/>
          <w:rFonts w:eastAsia="Times New Roman"/>
          <w:sz w:val="24"/>
          <w:szCs w:val="24"/>
        </w:rPr>
      </w:pPr>
      <w:r>
        <w:rPr>
          <w:rStyle w:val="FootnoteReference"/>
          <w:rFonts w:eastAsia="Times New Roman"/>
        </w:rPr>
        <w:footnoteRef/>
      </w:r>
      <w:r>
        <w:tab/>
      </w:r>
      <w:hyperlink r:id="rId49" w:history="1">
        <w:r>
          <w:rPr>
            <w:rStyle w:val="Hyperlink"/>
          </w:rPr>
          <w:t>https://op.europa.eu/en/publication-detail/-/publication/fdfae129-69bb-11eb-aeb5-01aa75ed71a1/language-fr/format-PDF/source-190448642</w:t>
        </w:r>
      </w:hyperlink>
    </w:p>
  </w:footnote>
  <w:footnote w:id="98">
    <w:p w14:paraId="5EC4A2C7" w14:textId="1B55E2D6" w:rsidR="007B0A4D" w:rsidRPr="00D71314" w:rsidRDefault="007B0A4D" w:rsidP="001C3B4A">
      <w:pPr>
        <w:pStyle w:val="FootnoteText"/>
        <w:jc w:val="left"/>
        <w:rPr>
          <w:rFonts w:eastAsia="Times New Roman"/>
          <w:lang w:val="pt-PT"/>
        </w:rPr>
      </w:pPr>
      <w:r>
        <w:rPr>
          <w:rStyle w:val="FootnoteReference"/>
        </w:rPr>
        <w:footnoteRef/>
      </w:r>
      <w:r w:rsidRPr="00D71314">
        <w:rPr>
          <w:rStyle w:val="FootnoteReference"/>
          <w:lang w:val="pt-PT"/>
        </w:rPr>
        <w:t xml:space="preserve"> </w:t>
      </w:r>
      <w:r w:rsidRPr="00D71314">
        <w:rPr>
          <w:lang w:val="pt-PT"/>
        </w:rPr>
        <w:tab/>
        <w:t>COM(2023) 316 final</w:t>
      </w:r>
      <w:bookmarkStart w:id="31" w:name="_Hlk141817452"/>
      <w:r w:rsidRPr="00D71314">
        <w:rPr>
          <w:lang w:val="pt-PT"/>
        </w:rPr>
        <w:t>.</w:t>
      </w:r>
      <w:bookmarkEnd w:id="31"/>
    </w:p>
  </w:footnote>
  <w:footnote w:id="99">
    <w:p w14:paraId="7111CDFF" w14:textId="028F867D" w:rsidR="007B0A4D" w:rsidRPr="00D71314" w:rsidRDefault="007B0A4D" w:rsidP="001C3B4A">
      <w:pPr>
        <w:pStyle w:val="FootnoteText"/>
        <w:jc w:val="left"/>
        <w:rPr>
          <w:rStyle w:val="Hyperlink"/>
          <w:rFonts w:eastAsia="Times New Roman"/>
          <w:sz w:val="24"/>
          <w:szCs w:val="24"/>
          <w:shd w:val="clear" w:color="auto" w:fill="E6E6E6"/>
          <w:lang w:val="pt-PT"/>
        </w:rPr>
      </w:pPr>
      <w:r>
        <w:rPr>
          <w:rStyle w:val="FootnoteReference"/>
        </w:rPr>
        <w:footnoteRef/>
      </w:r>
      <w:r w:rsidRPr="00D71314">
        <w:rPr>
          <w:rStyle w:val="FootnoteReference"/>
          <w:lang w:val="pt-PT"/>
        </w:rPr>
        <w:t xml:space="preserve"> </w:t>
      </w:r>
      <w:r w:rsidRPr="00D71314">
        <w:rPr>
          <w:lang w:val="pt-PT"/>
        </w:rPr>
        <w:tab/>
      </w:r>
      <w:hyperlink r:id="rId50" w:history="1">
        <w:r w:rsidRPr="00D71314">
          <w:rPr>
            <w:rStyle w:val="Hyperlink"/>
            <w:lang w:val="pt-PT"/>
          </w:rPr>
          <w:t>https://www.earlywarningeurope.eu/mentor-academy</w:t>
        </w:r>
      </w:hyperlink>
    </w:p>
  </w:footnote>
  <w:footnote w:id="100">
    <w:p w14:paraId="4139C80B" w14:textId="77777777" w:rsidR="007B0A4D" w:rsidRPr="00D71314" w:rsidRDefault="007B0A4D" w:rsidP="001C3B4A">
      <w:pPr>
        <w:pStyle w:val="FootnoteText"/>
        <w:jc w:val="left"/>
        <w:rPr>
          <w:rFonts w:eastAsia="Times New Roman"/>
          <w:lang w:val="pt-PT"/>
        </w:rPr>
      </w:pPr>
      <w:r>
        <w:rPr>
          <w:rStyle w:val="FootnoteReference"/>
          <w:rFonts w:eastAsia="Times New Roman"/>
        </w:rPr>
        <w:footnoteRef/>
      </w:r>
      <w:r w:rsidRPr="00D71314">
        <w:rPr>
          <w:lang w:val="pt-PT"/>
        </w:rPr>
        <w:tab/>
        <w:t>COM(2012) 795 final.</w:t>
      </w:r>
    </w:p>
  </w:footnote>
  <w:footnote w:id="101">
    <w:p w14:paraId="60BC2057" w14:textId="77777777" w:rsidR="007B0A4D" w:rsidRPr="00D71314" w:rsidRDefault="007B0A4D" w:rsidP="001C3B4A">
      <w:pPr>
        <w:pStyle w:val="FootnoteText"/>
        <w:jc w:val="left"/>
        <w:rPr>
          <w:rFonts w:eastAsia="Times New Roman"/>
          <w:lang w:val="pt-PT"/>
        </w:rPr>
      </w:pPr>
      <w:r>
        <w:rPr>
          <w:rStyle w:val="FootnoteReference"/>
          <w:rFonts w:eastAsia="Times New Roman"/>
        </w:rPr>
        <w:footnoteRef/>
      </w:r>
      <w:r w:rsidRPr="00D71314">
        <w:rPr>
          <w:lang w:val="pt-PT"/>
        </w:rPr>
        <w:tab/>
        <w:t>COM(2022) 702 final.</w:t>
      </w:r>
    </w:p>
  </w:footnote>
  <w:footnote w:id="102">
    <w:p w14:paraId="7DF70D4D" w14:textId="66D3F625" w:rsidR="007B0A4D" w:rsidRPr="00D71314" w:rsidRDefault="007B0A4D" w:rsidP="001C3B4A">
      <w:pPr>
        <w:pStyle w:val="FootnoteText"/>
        <w:jc w:val="left"/>
        <w:rPr>
          <w:lang w:val="pt-PT"/>
        </w:rPr>
      </w:pPr>
      <w:r>
        <w:rPr>
          <w:rStyle w:val="FootnoteReference"/>
        </w:rPr>
        <w:footnoteRef/>
      </w:r>
      <w:r w:rsidRPr="00D71314">
        <w:rPr>
          <w:lang w:val="pt-PT"/>
        </w:rPr>
        <w:tab/>
        <w:t xml:space="preserve">COM(2020) 103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5127A" w14:textId="77777777" w:rsidR="0076783C" w:rsidRPr="0076783C" w:rsidRDefault="0076783C" w:rsidP="00767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ED2D7" w14:textId="77777777" w:rsidR="0076783C" w:rsidRPr="0076783C" w:rsidRDefault="0076783C" w:rsidP="0076783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DEBA0" w14:textId="77777777" w:rsidR="0076783C" w:rsidRPr="0076783C" w:rsidRDefault="0076783C" w:rsidP="0076783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B740A" w14:textId="77777777" w:rsidR="007B0A4D" w:rsidRDefault="007B0A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E8644" w14:textId="77777777" w:rsidR="007B0A4D" w:rsidRDefault="007B0A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8CB79" w14:textId="77777777" w:rsidR="007B0A4D" w:rsidRDefault="007B0A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7550"/>
    <w:multiLevelType w:val="hybridMultilevel"/>
    <w:tmpl w:val="C0B2E4DE"/>
    <w:lvl w:ilvl="0" w:tplc="78802C7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9712A"/>
    <w:multiLevelType w:val="hybridMultilevel"/>
    <w:tmpl w:val="403E103E"/>
    <w:lvl w:ilvl="0" w:tplc="FFFFFFFF">
      <w:start w:val="1"/>
      <w:numFmt w:val="bullet"/>
      <w:lvlText w:val=""/>
      <w:lvlJc w:val="left"/>
      <w:pPr>
        <w:ind w:left="360" w:hanging="360"/>
      </w:pPr>
      <w:rPr>
        <w:rFonts w:ascii="Symbol" w:hAnsi="Symbol" w:hint="default"/>
      </w:rPr>
    </w:lvl>
    <w:lvl w:ilvl="1" w:tplc="18090019">
      <w:start w:val="1"/>
      <w:numFmt w:val="lowerLetter"/>
      <w:lvlText w:val="%2."/>
      <w:lvlJc w:val="left"/>
      <w:pPr>
        <w:ind w:left="1069"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171AF8"/>
    <w:multiLevelType w:val="hybridMultilevel"/>
    <w:tmpl w:val="9920E51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374EDE"/>
    <w:multiLevelType w:val="hybridMultilevel"/>
    <w:tmpl w:val="FFFFFFFF"/>
    <w:lvl w:ilvl="0" w:tplc="1B747374">
      <w:start w:val="1"/>
      <w:numFmt w:val="bullet"/>
      <w:lvlText w:val="·"/>
      <w:lvlJc w:val="left"/>
      <w:pPr>
        <w:ind w:left="720" w:hanging="360"/>
      </w:pPr>
      <w:rPr>
        <w:rFonts w:ascii="Symbol" w:hAnsi="Symbol" w:hint="default"/>
      </w:rPr>
    </w:lvl>
    <w:lvl w:ilvl="1" w:tplc="BBB22C16">
      <w:start w:val="1"/>
      <w:numFmt w:val="bullet"/>
      <w:lvlText w:val="o"/>
      <w:lvlJc w:val="left"/>
      <w:pPr>
        <w:ind w:left="1440" w:hanging="360"/>
      </w:pPr>
      <w:rPr>
        <w:rFonts w:ascii="Courier New" w:hAnsi="Courier New" w:hint="default"/>
      </w:rPr>
    </w:lvl>
    <w:lvl w:ilvl="2" w:tplc="B024F50C">
      <w:start w:val="1"/>
      <w:numFmt w:val="bullet"/>
      <w:lvlText w:val=""/>
      <w:lvlJc w:val="left"/>
      <w:pPr>
        <w:ind w:left="2160" w:hanging="360"/>
      </w:pPr>
      <w:rPr>
        <w:rFonts w:ascii="Wingdings" w:hAnsi="Wingdings" w:hint="default"/>
      </w:rPr>
    </w:lvl>
    <w:lvl w:ilvl="3" w:tplc="8A1CFD0E">
      <w:start w:val="1"/>
      <w:numFmt w:val="bullet"/>
      <w:lvlText w:val=""/>
      <w:lvlJc w:val="left"/>
      <w:pPr>
        <w:ind w:left="2880" w:hanging="360"/>
      </w:pPr>
      <w:rPr>
        <w:rFonts w:ascii="Symbol" w:hAnsi="Symbol" w:hint="default"/>
      </w:rPr>
    </w:lvl>
    <w:lvl w:ilvl="4" w:tplc="AB64AD56">
      <w:start w:val="1"/>
      <w:numFmt w:val="bullet"/>
      <w:lvlText w:val="o"/>
      <w:lvlJc w:val="left"/>
      <w:pPr>
        <w:ind w:left="3600" w:hanging="360"/>
      </w:pPr>
      <w:rPr>
        <w:rFonts w:ascii="Courier New" w:hAnsi="Courier New" w:hint="default"/>
      </w:rPr>
    </w:lvl>
    <w:lvl w:ilvl="5" w:tplc="4A1A4C8C">
      <w:start w:val="1"/>
      <w:numFmt w:val="bullet"/>
      <w:lvlText w:val=""/>
      <w:lvlJc w:val="left"/>
      <w:pPr>
        <w:ind w:left="4320" w:hanging="360"/>
      </w:pPr>
      <w:rPr>
        <w:rFonts w:ascii="Wingdings" w:hAnsi="Wingdings" w:hint="default"/>
      </w:rPr>
    </w:lvl>
    <w:lvl w:ilvl="6" w:tplc="E83607A8">
      <w:start w:val="1"/>
      <w:numFmt w:val="bullet"/>
      <w:lvlText w:val=""/>
      <w:lvlJc w:val="left"/>
      <w:pPr>
        <w:ind w:left="5040" w:hanging="360"/>
      </w:pPr>
      <w:rPr>
        <w:rFonts w:ascii="Symbol" w:hAnsi="Symbol" w:hint="default"/>
      </w:rPr>
    </w:lvl>
    <w:lvl w:ilvl="7" w:tplc="F9DE8412">
      <w:start w:val="1"/>
      <w:numFmt w:val="bullet"/>
      <w:lvlText w:val="o"/>
      <w:lvlJc w:val="left"/>
      <w:pPr>
        <w:ind w:left="5760" w:hanging="360"/>
      </w:pPr>
      <w:rPr>
        <w:rFonts w:ascii="Courier New" w:hAnsi="Courier New" w:hint="default"/>
      </w:rPr>
    </w:lvl>
    <w:lvl w:ilvl="8" w:tplc="1C6A80A6">
      <w:start w:val="1"/>
      <w:numFmt w:val="bullet"/>
      <w:lvlText w:val=""/>
      <w:lvlJc w:val="left"/>
      <w:pPr>
        <w:ind w:left="6480" w:hanging="360"/>
      </w:pPr>
      <w:rPr>
        <w:rFonts w:ascii="Wingdings" w:hAnsi="Wingdings" w:hint="default"/>
      </w:rPr>
    </w:lvl>
  </w:abstractNum>
  <w:abstractNum w:abstractNumId="4" w15:restartNumberingAfterBreak="0">
    <w:nsid w:val="098D0E28"/>
    <w:multiLevelType w:val="hybridMultilevel"/>
    <w:tmpl w:val="ED628D66"/>
    <w:lvl w:ilvl="0" w:tplc="FFFFFFFF">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C9B4989"/>
    <w:multiLevelType w:val="hybridMultilevel"/>
    <w:tmpl w:val="6AB299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7C6B00"/>
    <w:multiLevelType w:val="hybridMultilevel"/>
    <w:tmpl w:val="ECB09CCA"/>
    <w:lvl w:ilvl="0" w:tplc="B8C6169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500684"/>
    <w:multiLevelType w:val="hybridMultilevel"/>
    <w:tmpl w:val="96166F7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F291E42"/>
    <w:multiLevelType w:val="hybridMultilevel"/>
    <w:tmpl w:val="F6DE513A"/>
    <w:lvl w:ilvl="0" w:tplc="04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B013CF"/>
    <w:multiLevelType w:val="hybridMultilevel"/>
    <w:tmpl w:val="C5DAB19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1C77ECA"/>
    <w:multiLevelType w:val="hybridMultilevel"/>
    <w:tmpl w:val="6D8038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C6221D"/>
    <w:multiLevelType w:val="hybridMultilevel"/>
    <w:tmpl w:val="EFB82D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3D959FA"/>
    <w:multiLevelType w:val="hybridMultilevel"/>
    <w:tmpl w:val="6DFE3B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6B87D7F"/>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38974579"/>
    <w:multiLevelType w:val="hybridMultilevel"/>
    <w:tmpl w:val="F48C58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8DF0A97"/>
    <w:multiLevelType w:val="hybridMultilevel"/>
    <w:tmpl w:val="E72C2D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3A2BC4"/>
    <w:multiLevelType w:val="multilevel"/>
    <w:tmpl w:val="0AF016B4"/>
    <w:lvl w:ilvl="0">
      <w:start w:val="1"/>
      <w:numFmt w:val="decimal"/>
      <w:lvlText w:val="%1"/>
      <w:lvlJc w:val="left"/>
      <w:pPr>
        <w:ind w:left="432" w:hanging="432"/>
      </w:pPr>
      <w:rPr>
        <w:rFonts w:hint="default"/>
      </w:rPr>
    </w:lvl>
    <w:lvl w:ilvl="1">
      <w:start w:val="1"/>
      <w:numFmt w:val="decimal"/>
      <w:lvlText w:val="%1.%2"/>
      <w:lvlJc w:val="left"/>
      <w:pPr>
        <w:ind w:left="860"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D620DFB"/>
    <w:multiLevelType w:val="hybridMultilevel"/>
    <w:tmpl w:val="421CA5F4"/>
    <w:lvl w:ilvl="0" w:tplc="04090001">
      <w:start w:val="1"/>
      <w:numFmt w:val="bullet"/>
      <w:lvlText w:val=""/>
      <w:lvlJc w:val="left"/>
      <w:pPr>
        <w:ind w:left="360" w:hanging="360"/>
      </w:pPr>
      <w:rPr>
        <w:rFonts w:ascii="Symbol" w:hAnsi="Symbol" w:hint="default"/>
      </w:rPr>
    </w:lvl>
    <w:lvl w:ilvl="1" w:tplc="18090019">
      <w:start w:val="1"/>
      <w:numFmt w:val="lowerLetter"/>
      <w:lvlText w:val="%2."/>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704D51"/>
    <w:multiLevelType w:val="hybridMultilevel"/>
    <w:tmpl w:val="AD0062BE"/>
    <w:lvl w:ilvl="0" w:tplc="04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B360DF1"/>
    <w:multiLevelType w:val="hybridMultilevel"/>
    <w:tmpl w:val="1766E7EE"/>
    <w:lvl w:ilvl="0" w:tplc="FFFFFFFF">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CBC18A0"/>
    <w:multiLevelType w:val="hybridMultilevel"/>
    <w:tmpl w:val="265CE8A6"/>
    <w:lvl w:ilvl="0" w:tplc="9C5C1B78">
      <w:start w:val="1"/>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CBD613C"/>
    <w:multiLevelType w:val="hybridMultilevel"/>
    <w:tmpl w:val="FFFFFFFF"/>
    <w:lvl w:ilvl="0" w:tplc="0E808922">
      <w:start w:val="1"/>
      <w:numFmt w:val="bullet"/>
      <w:lvlText w:val="·"/>
      <w:lvlJc w:val="left"/>
      <w:pPr>
        <w:ind w:left="720" w:hanging="360"/>
      </w:pPr>
      <w:rPr>
        <w:rFonts w:ascii="Symbol" w:hAnsi="Symbol" w:hint="default"/>
      </w:rPr>
    </w:lvl>
    <w:lvl w:ilvl="1" w:tplc="3CAE4220">
      <w:start w:val="1"/>
      <w:numFmt w:val="bullet"/>
      <w:lvlText w:val="o"/>
      <w:lvlJc w:val="left"/>
      <w:pPr>
        <w:ind w:left="1440" w:hanging="360"/>
      </w:pPr>
      <w:rPr>
        <w:rFonts w:ascii="Courier New" w:hAnsi="Courier New" w:hint="default"/>
      </w:rPr>
    </w:lvl>
    <w:lvl w:ilvl="2" w:tplc="1A9AEAC6">
      <w:start w:val="1"/>
      <w:numFmt w:val="bullet"/>
      <w:lvlText w:val=""/>
      <w:lvlJc w:val="left"/>
      <w:pPr>
        <w:ind w:left="2160" w:hanging="360"/>
      </w:pPr>
      <w:rPr>
        <w:rFonts w:ascii="Wingdings" w:hAnsi="Wingdings" w:hint="default"/>
      </w:rPr>
    </w:lvl>
    <w:lvl w:ilvl="3" w:tplc="34D4FB4A">
      <w:start w:val="1"/>
      <w:numFmt w:val="bullet"/>
      <w:lvlText w:val=""/>
      <w:lvlJc w:val="left"/>
      <w:pPr>
        <w:ind w:left="2880" w:hanging="360"/>
      </w:pPr>
      <w:rPr>
        <w:rFonts w:ascii="Symbol" w:hAnsi="Symbol" w:hint="default"/>
      </w:rPr>
    </w:lvl>
    <w:lvl w:ilvl="4" w:tplc="D12C1B8C">
      <w:start w:val="1"/>
      <w:numFmt w:val="bullet"/>
      <w:lvlText w:val="o"/>
      <w:lvlJc w:val="left"/>
      <w:pPr>
        <w:ind w:left="3600" w:hanging="360"/>
      </w:pPr>
      <w:rPr>
        <w:rFonts w:ascii="Courier New" w:hAnsi="Courier New" w:hint="default"/>
      </w:rPr>
    </w:lvl>
    <w:lvl w:ilvl="5" w:tplc="182C95BC">
      <w:start w:val="1"/>
      <w:numFmt w:val="bullet"/>
      <w:lvlText w:val=""/>
      <w:lvlJc w:val="left"/>
      <w:pPr>
        <w:ind w:left="4320" w:hanging="360"/>
      </w:pPr>
      <w:rPr>
        <w:rFonts w:ascii="Wingdings" w:hAnsi="Wingdings" w:hint="default"/>
      </w:rPr>
    </w:lvl>
    <w:lvl w:ilvl="6" w:tplc="D220B8E6">
      <w:start w:val="1"/>
      <w:numFmt w:val="bullet"/>
      <w:lvlText w:val=""/>
      <w:lvlJc w:val="left"/>
      <w:pPr>
        <w:ind w:left="5040" w:hanging="360"/>
      </w:pPr>
      <w:rPr>
        <w:rFonts w:ascii="Symbol" w:hAnsi="Symbol" w:hint="default"/>
      </w:rPr>
    </w:lvl>
    <w:lvl w:ilvl="7" w:tplc="0652BA28">
      <w:start w:val="1"/>
      <w:numFmt w:val="bullet"/>
      <w:lvlText w:val="o"/>
      <w:lvlJc w:val="left"/>
      <w:pPr>
        <w:ind w:left="5760" w:hanging="360"/>
      </w:pPr>
      <w:rPr>
        <w:rFonts w:ascii="Courier New" w:hAnsi="Courier New" w:hint="default"/>
      </w:rPr>
    </w:lvl>
    <w:lvl w:ilvl="8" w:tplc="16CE25DC">
      <w:start w:val="1"/>
      <w:numFmt w:val="bullet"/>
      <w:lvlText w:val=""/>
      <w:lvlJc w:val="left"/>
      <w:pPr>
        <w:ind w:left="6480" w:hanging="360"/>
      </w:pPr>
      <w:rPr>
        <w:rFonts w:ascii="Wingdings" w:hAnsi="Wingdings" w:hint="default"/>
      </w:rPr>
    </w:lvl>
  </w:abstractNum>
  <w:abstractNum w:abstractNumId="22" w15:restartNumberingAfterBreak="0">
    <w:nsid w:val="63DB00D8"/>
    <w:multiLevelType w:val="hybridMultilevel"/>
    <w:tmpl w:val="FFFFFFFF"/>
    <w:lvl w:ilvl="0" w:tplc="C0B69B7C">
      <w:start w:val="1"/>
      <w:numFmt w:val="bullet"/>
      <w:lvlText w:val="·"/>
      <w:lvlJc w:val="left"/>
      <w:pPr>
        <w:ind w:left="720" w:hanging="360"/>
      </w:pPr>
      <w:rPr>
        <w:rFonts w:ascii="Symbol" w:hAnsi="Symbol" w:hint="default"/>
      </w:rPr>
    </w:lvl>
    <w:lvl w:ilvl="1" w:tplc="4A22734E">
      <w:start w:val="1"/>
      <w:numFmt w:val="bullet"/>
      <w:lvlText w:val="o"/>
      <w:lvlJc w:val="left"/>
      <w:pPr>
        <w:ind w:left="1440" w:hanging="360"/>
      </w:pPr>
      <w:rPr>
        <w:rFonts w:ascii="Courier New" w:hAnsi="Courier New" w:hint="default"/>
      </w:rPr>
    </w:lvl>
    <w:lvl w:ilvl="2" w:tplc="10D65DA4">
      <w:start w:val="1"/>
      <w:numFmt w:val="bullet"/>
      <w:lvlText w:val=""/>
      <w:lvlJc w:val="left"/>
      <w:pPr>
        <w:ind w:left="2160" w:hanging="360"/>
      </w:pPr>
      <w:rPr>
        <w:rFonts w:ascii="Wingdings" w:hAnsi="Wingdings" w:hint="default"/>
      </w:rPr>
    </w:lvl>
    <w:lvl w:ilvl="3" w:tplc="EF10C4A2">
      <w:start w:val="1"/>
      <w:numFmt w:val="bullet"/>
      <w:lvlText w:val=""/>
      <w:lvlJc w:val="left"/>
      <w:pPr>
        <w:ind w:left="2880" w:hanging="360"/>
      </w:pPr>
      <w:rPr>
        <w:rFonts w:ascii="Symbol" w:hAnsi="Symbol" w:hint="default"/>
      </w:rPr>
    </w:lvl>
    <w:lvl w:ilvl="4" w:tplc="2716E38A">
      <w:start w:val="1"/>
      <w:numFmt w:val="bullet"/>
      <w:lvlText w:val="o"/>
      <w:lvlJc w:val="left"/>
      <w:pPr>
        <w:ind w:left="3600" w:hanging="360"/>
      </w:pPr>
      <w:rPr>
        <w:rFonts w:ascii="Courier New" w:hAnsi="Courier New" w:hint="default"/>
      </w:rPr>
    </w:lvl>
    <w:lvl w:ilvl="5" w:tplc="B09AA212">
      <w:start w:val="1"/>
      <w:numFmt w:val="bullet"/>
      <w:lvlText w:val=""/>
      <w:lvlJc w:val="left"/>
      <w:pPr>
        <w:ind w:left="4320" w:hanging="360"/>
      </w:pPr>
      <w:rPr>
        <w:rFonts w:ascii="Wingdings" w:hAnsi="Wingdings" w:hint="default"/>
      </w:rPr>
    </w:lvl>
    <w:lvl w:ilvl="6" w:tplc="3B408AC0">
      <w:start w:val="1"/>
      <w:numFmt w:val="bullet"/>
      <w:lvlText w:val=""/>
      <w:lvlJc w:val="left"/>
      <w:pPr>
        <w:ind w:left="5040" w:hanging="360"/>
      </w:pPr>
      <w:rPr>
        <w:rFonts w:ascii="Symbol" w:hAnsi="Symbol" w:hint="default"/>
      </w:rPr>
    </w:lvl>
    <w:lvl w:ilvl="7" w:tplc="823A939C">
      <w:start w:val="1"/>
      <w:numFmt w:val="bullet"/>
      <w:lvlText w:val="o"/>
      <w:lvlJc w:val="left"/>
      <w:pPr>
        <w:ind w:left="5760" w:hanging="360"/>
      </w:pPr>
      <w:rPr>
        <w:rFonts w:ascii="Courier New" w:hAnsi="Courier New" w:hint="default"/>
      </w:rPr>
    </w:lvl>
    <w:lvl w:ilvl="8" w:tplc="76A62F0A">
      <w:start w:val="1"/>
      <w:numFmt w:val="bullet"/>
      <w:lvlText w:val=""/>
      <w:lvlJc w:val="left"/>
      <w:pPr>
        <w:ind w:left="6480" w:hanging="360"/>
      </w:pPr>
      <w:rPr>
        <w:rFonts w:ascii="Wingdings" w:hAnsi="Wingdings" w:hint="default"/>
      </w:rPr>
    </w:lvl>
  </w:abstractNum>
  <w:abstractNum w:abstractNumId="23" w15:restartNumberingAfterBreak="0">
    <w:nsid w:val="69541C4A"/>
    <w:multiLevelType w:val="hybridMultilevel"/>
    <w:tmpl w:val="92566F52"/>
    <w:lvl w:ilvl="0" w:tplc="1A42D52E">
      <w:start w:val="1"/>
      <w:numFmt w:val="lowerRoman"/>
      <w:pStyle w:val="iii"/>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CF3D26"/>
    <w:multiLevelType w:val="hybridMultilevel"/>
    <w:tmpl w:val="F3DA9C80"/>
    <w:lvl w:ilvl="0" w:tplc="AA506D56">
      <w:start w:val="1"/>
      <w:numFmt w:val="bullet"/>
      <w:pStyle w:val="Bulletpoint1"/>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EA9159A"/>
    <w:multiLevelType w:val="hybridMultilevel"/>
    <w:tmpl w:val="140A1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F9517C"/>
    <w:multiLevelType w:val="hybridMultilevel"/>
    <w:tmpl w:val="3D94B516"/>
    <w:lvl w:ilvl="0" w:tplc="E5A237C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81C235E"/>
    <w:multiLevelType w:val="hybridMultilevel"/>
    <w:tmpl w:val="28AA7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E3F1D4B"/>
    <w:multiLevelType w:val="hybridMultilevel"/>
    <w:tmpl w:val="0BFAF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24"/>
  </w:num>
  <w:num w:numId="3">
    <w:abstractNumId w:val="23"/>
  </w:num>
  <w:num w:numId="4">
    <w:abstractNumId w:val="5"/>
  </w:num>
  <w:num w:numId="5">
    <w:abstractNumId w:val="17"/>
  </w:num>
  <w:num w:numId="6">
    <w:abstractNumId w:val="25"/>
  </w:num>
  <w:num w:numId="7">
    <w:abstractNumId w:val="4"/>
  </w:num>
  <w:num w:numId="8">
    <w:abstractNumId w:val="19"/>
  </w:num>
  <w:num w:numId="9">
    <w:abstractNumId w:val="28"/>
  </w:num>
  <w:num w:numId="10">
    <w:abstractNumId w:val="16"/>
  </w:num>
  <w:num w:numId="11">
    <w:abstractNumId w:val="16"/>
  </w:num>
  <w:num w:numId="12">
    <w:abstractNumId w:val="27"/>
  </w:num>
  <w:num w:numId="13">
    <w:abstractNumId w:val="3"/>
  </w:num>
  <w:num w:numId="14">
    <w:abstractNumId w:val="21"/>
  </w:num>
  <w:num w:numId="15">
    <w:abstractNumId w:val="22"/>
  </w:num>
  <w:num w:numId="16">
    <w:abstractNumId w:val="15"/>
  </w:num>
  <w:num w:numId="17">
    <w:abstractNumId w:val="14"/>
  </w:num>
  <w:num w:numId="18">
    <w:abstractNumId w:val="10"/>
  </w:num>
  <w:num w:numId="19">
    <w:abstractNumId w:val="0"/>
  </w:num>
  <w:num w:numId="20">
    <w:abstractNumId w:val="13"/>
  </w:num>
  <w:num w:numId="21">
    <w:abstractNumId w:val="24"/>
  </w:num>
  <w:num w:numId="22">
    <w:abstractNumId w:val="2"/>
  </w:num>
  <w:num w:numId="23">
    <w:abstractNumId w:val="8"/>
  </w:num>
  <w:num w:numId="24">
    <w:abstractNumId w:val="18"/>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
  </w:num>
  <w:num w:numId="28">
    <w:abstractNumId w:val="24"/>
  </w:num>
  <w:num w:numId="29">
    <w:abstractNumId w:val="24"/>
  </w:num>
  <w:num w:numId="30">
    <w:abstractNumId w:val="24"/>
  </w:num>
  <w:num w:numId="31">
    <w:abstractNumId w:val="11"/>
  </w:num>
  <w:num w:numId="32">
    <w:abstractNumId w:val="7"/>
  </w:num>
  <w:num w:numId="33">
    <w:abstractNumId w:val="6"/>
  </w:num>
  <w:num w:numId="34">
    <w:abstractNumId w:val="24"/>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26"/>
  </w:num>
  <w:num w:numId="38">
    <w:abstractNumId w:val="9"/>
  </w:num>
  <w:num w:numId="39">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nl-NL" w:vendorID="64" w:dllVersion="6" w:nlCheck="1" w:checkStyle="0"/>
  <w:activeWritingStyle w:appName="MSWord" w:lang="es-ES"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fr-BE" w:vendorID="64" w:dllVersion="0" w:nlCheck="1" w:checkStyle="0"/>
  <w:activeWritingStyle w:appName="MSWord" w:lang="fr-FR" w:vendorID="64" w:dllVersion="0" w:nlCheck="1" w:checkStyle="0"/>
  <w:activeWritingStyle w:appName="MSWord" w:lang="nl-NL" w:vendorID="64" w:dllVersion="0" w:nlCheck="1" w:checkStyle="0"/>
  <w:activeWritingStyle w:appName="MSWord" w:lang="pt-PT" w:vendorID="64" w:dllVersion="0" w:nlCheck="1" w:checkStyle="0"/>
  <w:activeWritingStyle w:appName="MSWord" w:lang="de-AT" w:vendorID="64" w:dllVersion="0" w:nlCheck="1" w:checkStyle="0"/>
  <w:activeWritingStyle w:appName="MSWord" w:lang="es-E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D827ACB-2021-41AF-B085-9D6E1A7FAEB0"/>
    <w:docVar w:name="LW_COVERPAGE_TYPE" w:val="1"/>
    <w:docVar w:name="LW_CROSSREFERENCE" w:val="&lt;UNUSED&gt;"/>
    <w:docVar w:name="LW_DocType" w:val="NORMAL"/>
    <w:docVar w:name="LW_EMISSION" w:val="12.9.2023"/>
    <w:docVar w:name="LW_EMISSION_ISODATE" w:val="2023-09-12"/>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5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rain de mesures de soutien aux PM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C874F3"/>
    <w:rsid w:val="000002CA"/>
    <w:rsid w:val="0000080E"/>
    <w:rsid w:val="0000085E"/>
    <w:rsid w:val="00000CBD"/>
    <w:rsid w:val="00001024"/>
    <w:rsid w:val="000013AB"/>
    <w:rsid w:val="00001A17"/>
    <w:rsid w:val="00001AFE"/>
    <w:rsid w:val="00001F2E"/>
    <w:rsid w:val="00002435"/>
    <w:rsid w:val="000026B2"/>
    <w:rsid w:val="000029B2"/>
    <w:rsid w:val="00002A2D"/>
    <w:rsid w:val="00002E7B"/>
    <w:rsid w:val="0000302A"/>
    <w:rsid w:val="0000316C"/>
    <w:rsid w:val="00003608"/>
    <w:rsid w:val="00003759"/>
    <w:rsid w:val="00003B36"/>
    <w:rsid w:val="00003DED"/>
    <w:rsid w:val="00003ED5"/>
    <w:rsid w:val="0000408A"/>
    <w:rsid w:val="00004383"/>
    <w:rsid w:val="00004651"/>
    <w:rsid w:val="0000474E"/>
    <w:rsid w:val="00004792"/>
    <w:rsid w:val="00005237"/>
    <w:rsid w:val="00005238"/>
    <w:rsid w:val="000056E4"/>
    <w:rsid w:val="00005807"/>
    <w:rsid w:val="00005BC3"/>
    <w:rsid w:val="00005C99"/>
    <w:rsid w:val="00005F39"/>
    <w:rsid w:val="0000642B"/>
    <w:rsid w:val="000065EC"/>
    <w:rsid w:val="00006905"/>
    <w:rsid w:val="000074E0"/>
    <w:rsid w:val="00007781"/>
    <w:rsid w:val="00007A33"/>
    <w:rsid w:val="000103E6"/>
    <w:rsid w:val="0001086A"/>
    <w:rsid w:val="00010F2C"/>
    <w:rsid w:val="00011128"/>
    <w:rsid w:val="0001120A"/>
    <w:rsid w:val="00011510"/>
    <w:rsid w:val="00011980"/>
    <w:rsid w:val="00011A94"/>
    <w:rsid w:val="00011D5A"/>
    <w:rsid w:val="00011DC8"/>
    <w:rsid w:val="00012435"/>
    <w:rsid w:val="00012703"/>
    <w:rsid w:val="0001302A"/>
    <w:rsid w:val="00013105"/>
    <w:rsid w:val="0001347B"/>
    <w:rsid w:val="000135BE"/>
    <w:rsid w:val="00013865"/>
    <w:rsid w:val="0001401E"/>
    <w:rsid w:val="00014890"/>
    <w:rsid w:val="0001560F"/>
    <w:rsid w:val="00015632"/>
    <w:rsid w:val="00015E14"/>
    <w:rsid w:val="00015F1D"/>
    <w:rsid w:val="00016041"/>
    <w:rsid w:val="00016173"/>
    <w:rsid w:val="000166B1"/>
    <w:rsid w:val="000168C0"/>
    <w:rsid w:val="00016E0A"/>
    <w:rsid w:val="00017664"/>
    <w:rsid w:val="000176C3"/>
    <w:rsid w:val="0001770C"/>
    <w:rsid w:val="000179B8"/>
    <w:rsid w:val="0001A7B2"/>
    <w:rsid w:val="000204D6"/>
    <w:rsid w:val="00020647"/>
    <w:rsid w:val="00020850"/>
    <w:rsid w:val="00020928"/>
    <w:rsid w:val="00020B30"/>
    <w:rsid w:val="00020DB4"/>
    <w:rsid w:val="00020E01"/>
    <w:rsid w:val="00021525"/>
    <w:rsid w:val="0002197B"/>
    <w:rsid w:val="00021F27"/>
    <w:rsid w:val="00021F71"/>
    <w:rsid w:val="00022379"/>
    <w:rsid w:val="00022537"/>
    <w:rsid w:val="0002276E"/>
    <w:rsid w:val="000228E6"/>
    <w:rsid w:val="000229E5"/>
    <w:rsid w:val="00022CF9"/>
    <w:rsid w:val="000238B8"/>
    <w:rsid w:val="00024B0C"/>
    <w:rsid w:val="0002502C"/>
    <w:rsid w:val="00025159"/>
    <w:rsid w:val="0002537A"/>
    <w:rsid w:val="0002559F"/>
    <w:rsid w:val="000259C9"/>
    <w:rsid w:val="00026666"/>
    <w:rsid w:val="00027051"/>
    <w:rsid w:val="00027283"/>
    <w:rsid w:val="0002751A"/>
    <w:rsid w:val="00027591"/>
    <w:rsid w:val="000278F3"/>
    <w:rsid w:val="00027A0A"/>
    <w:rsid w:val="00027A54"/>
    <w:rsid w:val="00030387"/>
    <w:rsid w:val="00031510"/>
    <w:rsid w:val="00031585"/>
    <w:rsid w:val="0003166B"/>
    <w:rsid w:val="00031726"/>
    <w:rsid w:val="00031D2A"/>
    <w:rsid w:val="00031D3B"/>
    <w:rsid w:val="00032275"/>
    <w:rsid w:val="00032325"/>
    <w:rsid w:val="00032757"/>
    <w:rsid w:val="00032BE2"/>
    <w:rsid w:val="00032FB6"/>
    <w:rsid w:val="000332CF"/>
    <w:rsid w:val="00033620"/>
    <w:rsid w:val="00033997"/>
    <w:rsid w:val="00033BFA"/>
    <w:rsid w:val="00033D33"/>
    <w:rsid w:val="00033EAC"/>
    <w:rsid w:val="000342C2"/>
    <w:rsid w:val="00034778"/>
    <w:rsid w:val="000349A3"/>
    <w:rsid w:val="00034A6F"/>
    <w:rsid w:val="00034DB4"/>
    <w:rsid w:val="00035899"/>
    <w:rsid w:val="00035A45"/>
    <w:rsid w:val="00035FCC"/>
    <w:rsid w:val="00036038"/>
    <w:rsid w:val="000362E4"/>
    <w:rsid w:val="000364AF"/>
    <w:rsid w:val="000365DB"/>
    <w:rsid w:val="00036733"/>
    <w:rsid w:val="00036814"/>
    <w:rsid w:val="00036DBE"/>
    <w:rsid w:val="00036E5F"/>
    <w:rsid w:val="000370E0"/>
    <w:rsid w:val="0003795B"/>
    <w:rsid w:val="000402F0"/>
    <w:rsid w:val="00040619"/>
    <w:rsid w:val="000409DD"/>
    <w:rsid w:val="00040AFC"/>
    <w:rsid w:val="00040B99"/>
    <w:rsid w:val="00040C88"/>
    <w:rsid w:val="00040E6B"/>
    <w:rsid w:val="0004104D"/>
    <w:rsid w:val="000418BF"/>
    <w:rsid w:val="000418E3"/>
    <w:rsid w:val="00041E8E"/>
    <w:rsid w:val="00041F74"/>
    <w:rsid w:val="00042277"/>
    <w:rsid w:val="000425A9"/>
    <w:rsid w:val="00042DD3"/>
    <w:rsid w:val="0004331C"/>
    <w:rsid w:val="0004383E"/>
    <w:rsid w:val="000439F1"/>
    <w:rsid w:val="0004460E"/>
    <w:rsid w:val="0004488B"/>
    <w:rsid w:val="00045081"/>
    <w:rsid w:val="000454BD"/>
    <w:rsid w:val="000456C5"/>
    <w:rsid w:val="000457D0"/>
    <w:rsid w:val="0004597C"/>
    <w:rsid w:val="00045CF4"/>
    <w:rsid w:val="00045E96"/>
    <w:rsid w:val="00046319"/>
    <w:rsid w:val="00046CE3"/>
    <w:rsid w:val="00046CE8"/>
    <w:rsid w:val="00046E74"/>
    <w:rsid w:val="00046F3D"/>
    <w:rsid w:val="00047066"/>
    <w:rsid w:val="00047150"/>
    <w:rsid w:val="000472E6"/>
    <w:rsid w:val="000474E0"/>
    <w:rsid w:val="000478D5"/>
    <w:rsid w:val="000479A9"/>
    <w:rsid w:val="00047F1D"/>
    <w:rsid w:val="0005030A"/>
    <w:rsid w:val="00051368"/>
    <w:rsid w:val="00051385"/>
    <w:rsid w:val="0005148F"/>
    <w:rsid w:val="000515E8"/>
    <w:rsid w:val="0005172E"/>
    <w:rsid w:val="00051A07"/>
    <w:rsid w:val="00051F28"/>
    <w:rsid w:val="000526CE"/>
    <w:rsid w:val="00052811"/>
    <w:rsid w:val="00052E80"/>
    <w:rsid w:val="0005301A"/>
    <w:rsid w:val="00053347"/>
    <w:rsid w:val="000533EC"/>
    <w:rsid w:val="000536BC"/>
    <w:rsid w:val="000537E0"/>
    <w:rsid w:val="00053B6F"/>
    <w:rsid w:val="00053C16"/>
    <w:rsid w:val="0005403B"/>
    <w:rsid w:val="000544C8"/>
    <w:rsid w:val="000549C5"/>
    <w:rsid w:val="00054B28"/>
    <w:rsid w:val="00054CDF"/>
    <w:rsid w:val="00054DDA"/>
    <w:rsid w:val="000559BE"/>
    <w:rsid w:val="00055E59"/>
    <w:rsid w:val="00056735"/>
    <w:rsid w:val="000568F7"/>
    <w:rsid w:val="0005692B"/>
    <w:rsid w:val="00056930"/>
    <w:rsid w:val="00056947"/>
    <w:rsid w:val="00056A06"/>
    <w:rsid w:val="00056FCF"/>
    <w:rsid w:val="00057052"/>
    <w:rsid w:val="00057552"/>
    <w:rsid w:val="0005A5C8"/>
    <w:rsid w:val="000602C4"/>
    <w:rsid w:val="00060B8D"/>
    <w:rsid w:val="00060BB6"/>
    <w:rsid w:val="00060F19"/>
    <w:rsid w:val="00060FCE"/>
    <w:rsid w:val="00061830"/>
    <w:rsid w:val="00061B2C"/>
    <w:rsid w:val="00061BFF"/>
    <w:rsid w:val="00061D4E"/>
    <w:rsid w:val="00061D65"/>
    <w:rsid w:val="00061DEF"/>
    <w:rsid w:val="00062181"/>
    <w:rsid w:val="0006242B"/>
    <w:rsid w:val="00062773"/>
    <w:rsid w:val="00062827"/>
    <w:rsid w:val="00062E9C"/>
    <w:rsid w:val="0006309E"/>
    <w:rsid w:val="00063133"/>
    <w:rsid w:val="000631D5"/>
    <w:rsid w:val="000634E5"/>
    <w:rsid w:val="00063585"/>
    <w:rsid w:val="000636C4"/>
    <w:rsid w:val="000638EA"/>
    <w:rsid w:val="00063D1B"/>
    <w:rsid w:val="00063E6C"/>
    <w:rsid w:val="000641F8"/>
    <w:rsid w:val="000645C1"/>
    <w:rsid w:val="0006465B"/>
    <w:rsid w:val="00064699"/>
    <w:rsid w:val="00064CB6"/>
    <w:rsid w:val="00064FF5"/>
    <w:rsid w:val="000650B1"/>
    <w:rsid w:val="0006517D"/>
    <w:rsid w:val="0006524C"/>
    <w:rsid w:val="000654D0"/>
    <w:rsid w:val="000658F5"/>
    <w:rsid w:val="00065AA6"/>
    <w:rsid w:val="00065BBB"/>
    <w:rsid w:val="00065C0D"/>
    <w:rsid w:val="00066081"/>
    <w:rsid w:val="00066128"/>
    <w:rsid w:val="0006635E"/>
    <w:rsid w:val="00066848"/>
    <w:rsid w:val="0006697C"/>
    <w:rsid w:val="00066CD3"/>
    <w:rsid w:val="000671F7"/>
    <w:rsid w:val="000675C8"/>
    <w:rsid w:val="0006785B"/>
    <w:rsid w:val="000678DD"/>
    <w:rsid w:val="00067B12"/>
    <w:rsid w:val="00067C97"/>
    <w:rsid w:val="00067E85"/>
    <w:rsid w:val="00070501"/>
    <w:rsid w:val="0007051E"/>
    <w:rsid w:val="000707A5"/>
    <w:rsid w:val="000707C4"/>
    <w:rsid w:val="00070A5C"/>
    <w:rsid w:val="00070D0D"/>
    <w:rsid w:val="00071759"/>
    <w:rsid w:val="00071CBC"/>
    <w:rsid w:val="000721B2"/>
    <w:rsid w:val="00072724"/>
    <w:rsid w:val="00072803"/>
    <w:rsid w:val="0007290A"/>
    <w:rsid w:val="00072B42"/>
    <w:rsid w:val="0007306C"/>
    <w:rsid w:val="000733A1"/>
    <w:rsid w:val="00073E0E"/>
    <w:rsid w:val="00074376"/>
    <w:rsid w:val="000743AE"/>
    <w:rsid w:val="000745D5"/>
    <w:rsid w:val="000747E4"/>
    <w:rsid w:val="000749F8"/>
    <w:rsid w:val="00074AA6"/>
    <w:rsid w:val="000751B6"/>
    <w:rsid w:val="00075772"/>
    <w:rsid w:val="0007593B"/>
    <w:rsid w:val="00076053"/>
    <w:rsid w:val="0007619D"/>
    <w:rsid w:val="000761E9"/>
    <w:rsid w:val="00076389"/>
    <w:rsid w:val="00076449"/>
    <w:rsid w:val="00076729"/>
    <w:rsid w:val="00076AF3"/>
    <w:rsid w:val="00077186"/>
    <w:rsid w:val="000772E7"/>
    <w:rsid w:val="000774D9"/>
    <w:rsid w:val="00077B4C"/>
    <w:rsid w:val="00080676"/>
    <w:rsid w:val="00080863"/>
    <w:rsid w:val="000808BA"/>
    <w:rsid w:val="000811E3"/>
    <w:rsid w:val="00081388"/>
    <w:rsid w:val="000813C7"/>
    <w:rsid w:val="00081726"/>
    <w:rsid w:val="0008173E"/>
    <w:rsid w:val="00081CA1"/>
    <w:rsid w:val="00081CAA"/>
    <w:rsid w:val="00081D96"/>
    <w:rsid w:val="000827CF"/>
    <w:rsid w:val="00082B60"/>
    <w:rsid w:val="00083043"/>
    <w:rsid w:val="000830C0"/>
    <w:rsid w:val="0008345E"/>
    <w:rsid w:val="000847C2"/>
    <w:rsid w:val="00084A81"/>
    <w:rsid w:val="00084BF3"/>
    <w:rsid w:val="00084D81"/>
    <w:rsid w:val="00084FC2"/>
    <w:rsid w:val="00084FE5"/>
    <w:rsid w:val="000854E9"/>
    <w:rsid w:val="00085A35"/>
    <w:rsid w:val="00085AA3"/>
    <w:rsid w:val="00086360"/>
    <w:rsid w:val="00086561"/>
    <w:rsid w:val="00086796"/>
    <w:rsid w:val="00086F82"/>
    <w:rsid w:val="00087078"/>
    <w:rsid w:val="00087110"/>
    <w:rsid w:val="00087D9C"/>
    <w:rsid w:val="0009026D"/>
    <w:rsid w:val="00090379"/>
    <w:rsid w:val="00090762"/>
    <w:rsid w:val="00090B94"/>
    <w:rsid w:val="00090DAB"/>
    <w:rsid w:val="00090E26"/>
    <w:rsid w:val="0009124C"/>
    <w:rsid w:val="000914FE"/>
    <w:rsid w:val="000916CB"/>
    <w:rsid w:val="00091D49"/>
    <w:rsid w:val="00091E08"/>
    <w:rsid w:val="0009226F"/>
    <w:rsid w:val="0009234D"/>
    <w:rsid w:val="00092824"/>
    <w:rsid w:val="000928BC"/>
    <w:rsid w:val="00092F2D"/>
    <w:rsid w:val="00093324"/>
    <w:rsid w:val="000936F6"/>
    <w:rsid w:val="0009370F"/>
    <w:rsid w:val="00093C2D"/>
    <w:rsid w:val="00094391"/>
    <w:rsid w:val="000947B4"/>
    <w:rsid w:val="00094A06"/>
    <w:rsid w:val="00094BB0"/>
    <w:rsid w:val="00094D54"/>
    <w:rsid w:val="00094EB2"/>
    <w:rsid w:val="00094ECF"/>
    <w:rsid w:val="00094ED3"/>
    <w:rsid w:val="00094F41"/>
    <w:rsid w:val="00095497"/>
    <w:rsid w:val="0009580C"/>
    <w:rsid w:val="00095A8F"/>
    <w:rsid w:val="00095D14"/>
    <w:rsid w:val="000963D0"/>
    <w:rsid w:val="000967C1"/>
    <w:rsid w:val="00096B34"/>
    <w:rsid w:val="00096E0E"/>
    <w:rsid w:val="00097030"/>
    <w:rsid w:val="000973FC"/>
    <w:rsid w:val="00097418"/>
    <w:rsid w:val="000974BB"/>
    <w:rsid w:val="000979D5"/>
    <w:rsid w:val="00097D60"/>
    <w:rsid w:val="00097EB9"/>
    <w:rsid w:val="00097FF4"/>
    <w:rsid w:val="0009F197"/>
    <w:rsid w:val="000A001B"/>
    <w:rsid w:val="000A0478"/>
    <w:rsid w:val="000A06CD"/>
    <w:rsid w:val="000A06D2"/>
    <w:rsid w:val="000A0879"/>
    <w:rsid w:val="000A0A10"/>
    <w:rsid w:val="000A0A9B"/>
    <w:rsid w:val="000A0CE6"/>
    <w:rsid w:val="000A0D42"/>
    <w:rsid w:val="000A115F"/>
    <w:rsid w:val="000A1565"/>
    <w:rsid w:val="000A1993"/>
    <w:rsid w:val="000A19A8"/>
    <w:rsid w:val="000A1C2A"/>
    <w:rsid w:val="000A1C59"/>
    <w:rsid w:val="000A1C6B"/>
    <w:rsid w:val="000A210F"/>
    <w:rsid w:val="000A26D9"/>
    <w:rsid w:val="000A29CB"/>
    <w:rsid w:val="000A2AB6"/>
    <w:rsid w:val="000A2F2B"/>
    <w:rsid w:val="000A304D"/>
    <w:rsid w:val="000A363A"/>
    <w:rsid w:val="000A37D1"/>
    <w:rsid w:val="000A3895"/>
    <w:rsid w:val="000A3A3E"/>
    <w:rsid w:val="000A4028"/>
    <w:rsid w:val="000A42E9"/>
    <w:rsid w:val="000A4388"/>
    <w:rsid w:val="000A4B90"/>
    <w:rsid w:val="000A4C9C"/>
    <w:rsid w:val="000A4CCF"/>
    <w:rsid w:val="000A5D6D"/>
    <w:rsid w:val="000A6028"/>
    <w:rsid w:val="000A663E"/>
    <w:rsid w:val="000A6D7B"/>
    <w:rsid w:val="000A73C7"/>
    <w:rsid w:val="000A76EA"/>
    <w:rsid w:val="000A7B4C"/>
    <w:rsid w:val="000A7CA6"/>
    <w:rsid w:val="000A7ED5"/>
    <w:rsid w:val="000A7FA2"/>
    <w:rsid w:val="000A7FD9"/>
    <w:rsid w:val="000B0341"/>
    <w:rsid w:val="000B0896"/>
    <w:rsid w:val="000B0CE6"/>
    <w:rsid w:val="000B13BD"/>
    <w:rsid w:val="000B159B"/>
    <w:rsid w:val="000B18C3"/>
    <w:rsid w:val="000B1BC6"/>
    <w:rsid w:val="000B1C6C"/>
    <w:rsid w:val="000B1DC0"/>
    <w:rsid w:val="000B1E8F"/>
    <w:rsid w:val="000B26CA"/>
    <w:rsid w:val="000B2745"/>
    <w:rsid w:val="000B2903"/>
    <w:rsid w:val="000B2995"/>
    <w:rsid w:val="000B2D66"/>
    <w:rsid w:val="000B3495"/>
    <w:rsid w:val="000B3674"/>
    <w:rsid w:val="000B367E"/>
    <w:rsid w:val="000B37B7"/>
    <w:rsid w:val="000B38F7"/>
    <w:rsid w:val="000B3F0F"/>
    <w:rsid w:val="000B4177"/>
    <w:rsid w:val="000B41BE"/>
    <w:rsid w:val="000B4553"/>
    <w:rsid w:val="000B4C38"/>
    <w:rsid w:val="000B510E"/>
    <w:rsid w:val="000B5165"/>
    <w:rsid w:val="000B52B0"/>
    <w:rsid w:val="000B5B10"/>
    <w:rsid w:val="000B5EEA"/>
    <w:rsid w:val="000B602D"/>
    <w:rsid w:val="000B644B"/>
    <w:rsid w:val="000B6708"/>
    <w:rsid w:val="000B6AAB"/>
    <w:rsid w:val="000B6AFD"/>
    <w:rsid w:val="000B6E20"/>
    <w:rsid w:val="000B6E94"/>
    <w:rsid w:val="000B74FD"/>
    <w:rsid w:val="000B7B0D"/>
    <w:rsid w:val="000B7B62"/>
    <w:rsid w:val="000B7BD6"/>
    <w:rsid w:val="000B7BFF"/>
    <w:rsid w:val="000B7D36"/>
    <w:rsid w:val="000C0034"/>
    <w:rsid w:val="000C009A"/>
    <w:rsid w:val="000C00CA"/>
    <w:rsid w:val="000C0C6F"/>
    <w:rsid w:val="000C0CF5"/>
    <w:rsid w:val="000C0FD4"/>
    <w:rsid w:val="000C152F"/>
    <w:rsid w:val="000C187C"/>
    <w:rsid w:val="000C1B76"/>
    <w:rsid w:val="000C2159"/>
    <w:rsid w:val="000C22AE"/>
    <w:rsid w:val="000C2DD2"/>
    <w:rsid w:val="000C2F4B"/>
    <w:rsid w:val="000C311A"/>
    <w:rsid w:val="000C353A"/>
    <w:rsid w:val="000C3663"/>
    <w:rsid w:val="000C3E22"/>
    <w:rsid w:val="000C4654"/>
    <w:rsid w:val="000C4DCC"/>
    <w:rsid w:val="000C4F62"/>
    <w:rsid w:val="000C536B"/>
    <w:rsid w:val="000C53DD"/>
    <w:rsid w:val="000C56E7"/>
    <w:rsid w:val="000C5703"/>
    <w:rsid w:val="000C577E"/>
    <w:rsid w:val="000C5878"/>
    <w:rsid w:val="000C68FD"/>
    <w:rsid w:val="000C6A6C"/>
    <w:rsid w:val="000C6C1C"/>
    <w:rsid w:val="000C6F6D"/>
    <w:rsid w:val="000C72B9"/>
    <w:rsid w:val="000D01C5"/>
    <w:rsid w:val="000D079F"/>
    <w:rsid w:val="000D07AD"/>
    <w:rsid w:val="000D09AB"/>
    <w:rsid w:val="000D0CD8"/>
    <w:rsid w:val="000D1071"/>
    <w:rsid w:val="000D13F6"/>
    <w:rsid w:val="000D14B9"/>
    <w:rsid w:val="000D1B07"/>
    <w:rsid w:val="000D1B38"/>
    <w:rsid w:val="000D1CAB"/>
    <w:rsid w:val="000D33B2"/>
    <w:rsid w:val="000D372C"/>
    <w:rsid w:val="000D45E2"/>
    <w:rsid w:val="000D4621"/>
    <w:rsid w:val="000D46B4"/>
    <w:rsid w:val="000D480F"/>
    <w:rsid w:val="000D4B08"/>
    <w:rsid w:val="000D4B59"/>
    <w:rsid w:val="000D4EFD"/>
    <w:rsid w:val="000D546F"/>
    <w:rsid w:val="000D548B"/>
    <w:rsid w:val="000D5827"/>
    <w:rsid w:val="000D59CD"/>
    <w:rsid w:val="000D5C2D"/>
    <w:rsid w:val="000D5E15"/>
    <w:rsid w:val="000D6098"/>
    <w:rsid w:val="000D62CF"/>
    <w:rsid w:val="000D6329"/>
    <w:rsid w:val="000D672B"/>
    <w:rsid w:val="000D680C"/>
    <w:rsid w:val="000D69C0"/>
    <w:rsid w:val="000D6B42"/>
    <w:rsid w:val="000D6D0F"/>
    <w:rsid w:val="000D6E68"/>
    <w:rsid w:val="000D701E"/>
    <w:rsid w:val="000D70D8"/>
    <w:rsid w:val="000D7409"/>
    <w:rsid w:val="000D7F1C"/>
    <w:rsid w:val="000E05A0"/>
    <w:rsid w:val="000E0893"/>
    <w:rsid w:val="000E0A5F"/>
    <w:rsid w:val="000E0CE4"/>
    <w:rsid w:val="000E192C"/>
    <w:rsid w:val="000E1A20"/>
    <w:rsid w:val="000E1B22"/>
    <w:rsid w:val="000E1F15"/>
    <w:rsid w:val="000E2506"/>
    <w:rsid w:val="000E294E"/>
    <w:rsid w:val="000E2B4E"/>
    <w:rsid w:val="000E2CA1"/>
    <w:rsid w:val="000E31B5"/>
    <w:rsid w:val="000E32CB"/>
    <w:rsid w:val="000E3C5E"/>
    <w:rsid w:val="000E3F32"/>
    <w:rsid w:val="000E3F3E"/>
    <w:rsid w:val="000E4A48"/>
    <w:rsid w:val="000E4BC3"/>
    <w:rsid w:val="000E4D14"/>
    <w:rsid w:val="000E4F9C"/>
    <w:rsid w:val="000E5E3E"/>
    <w:rsid w:val="000E621B"/>
    <w:rsid w:val="000E624D"/>
    <w:rsid w:val="000E62C1"/>
    <w:rsid w:val="000E670A"/>
    <w:rsid w:val="000E68F7"/>
    <w:rsid w:val="000E6BE6"/>
    <w:rsid w:val="000E6CA0"/>
    <w:rsid w:val="000E6E08"/>
    <w:rsid w:val="000E6E4E"/>
    <w:rsid w:val="000E7652"/>
    <w:rsid w:val="000E76E4"/>
    <w:rsid w:val="000E7CD3"/>
    <w:rsid w:val="000F0395"/>
    <w:rsid w:val="000F06AD"/>
    <w:rsid w:val="000F0759"/>
    <w:rsid w:val="000F0EF0"/>
    <w:rsid w:val="000F12F9"/>
    <w:rsid w:val="000F1A7B"/>
    <w:rsid w:val="000F1EC7"/>
    <w:rsid w:val="000F2716"/>
    <w:rsid w:val="000F2985"/>
    <w:rsid w:val="000F2CAF"/>
    <w:rsid w:val="000F2F2B"/>
    <w:rsid w:val="000F31D1"/>
    <w:rsid w:val="000F31F8"/>
    <w:rsid w:val="000F3575"/>
    <w:rsid w:val="000F3A6B"/>
    <w:rsid w:val="000F4131"/>
    <w:rsid w:val="000F44BD"/>
    <w:rsid w:val="000F4722"/>
    <w:rsid w:val="000F49AA"/>
    <w:rsid w:val="000F4F2F"/>
    <w:rsid w:val="000F5490"/>
    <w:rsid w:val="000F554E"/>
    <w:rsid w:val="000F5731"/>
    <w:rsid w:val="000F583C"/>
    <w:rsid w:val="000F5B1B"/>
    <w:rsid w:val="000F5D58"/>
    <w:rsid w:val="000F645D"/>
    <w:rsid w:val="000F6E97"/>
    <w:rsid w:val="000F6EA6"/>
    <w:rsid w:val="000F7081"/>
    <w:rsid w:val="000F7131"/>
    <w:rsid w:val="000F74EA"/>
    <w:rsid w:val="000F7608"/>
    <w:rsid w:val="000F76C2"/>
    <w:rsid w:val="000F772B"/>
    <w:rsid w:val="000F7F45"/>
    <w:rsid w:val="0010003D"/>
    <w:rsid w:val="00100172"/>
    <w:rsid w:val="001003AA"/>
    <w:rsid w:val="0010042B"/>
    <w:rsid w:val="00100508"/>
    <w:rsid w:val="001008BA"/>
    <w:rsid w:val="001009EC"/>
    <w:rsid w:val="00100D21"/>
    <w:rsid w:val="00100DE1"/>
    <w:rsid w:val="00101862"/>
    <w:rsid w:val="00101F0B"/>
    <w:rsid w:val="0010216D"/>
    <w:rsid w:val="00102BA7"/>
    <w:rsid w:val="00102C55"/>
    <w:rsid w:val="00103097"/>
    <w:rsid w:val="001036E7"/>
    <w:rsid w:val="00103955"/>
    <w:rsid w:val="00103CFB"/>
    <w:rsid w:val="00103D5F"/>
    <w:rsid w:val="00103F3D"/>
    <w:rsid w:val="001042FD"/>
    <w:rsid w:val="00104618"/>
    <w:rsid w:val="00104D9B"/>
    <w:rsid w:val="00104DC6"/>
    <w:rsid w:val="001054A6"/>
    <w:rsid w:val="0010584B"/>
    <w:rsid w:val="001059AC"/>
    <w:rsid w:val="0010639B"/>
    <w:rsid w:val="0010652C"/>
    <w:rsid w:val="001067E0"/>
    <w:rsid w:val="00106E8D"/>
    <w:rsid w:val="00106F5C"/>
    <w:rsid w:val="0010755A"/>
    <w:rsid w:val="001076F4"/>
    <w:rsid w:val="00107958"/>
    <w:rsid w:val="00107D57"/>
    <w:rsid w:val="00109C9C"/>
    <w:rsid w:val="001101C2"/>
    <w:rsid w:val="0011033F"/>
    <w:rsid w:val="00110C32"/>
    <w:rsid w:val="001111A0"/>
    <w:rsid w:val="001115AD"/>
    <w:rsid w:val="0011191E"/>
    <w:rsid w:val="00111DA2"/>
    <w:rsid w:val="00112024"/>
    <w:rsid w:val="001122C3"/>
    <w:rsid w:val="0011269A"/>
    <w:rsid w:val="00112810"/>
    <w:rsid w:val="001138A2"/>
    <w:rsid w:val="001144D5"/>
    <w:rsid w:val="001146B5"/>
    <w:rsid w:val="001147A5"/>
    <w:rsid w:val="001148E2"/>
    <w:rsid w:val="00114AB9"/>
    <w:rsid w:val="00114D20"/>
    <w:rsid w:val="001150FE"/>
    <w:rsid w:val="001154EE"/>
    <w:rsid w:val="00115656"/>
    <w:rsid w:val="001156DC"/>
    <w:rsid w:val="00115AFF"/>
    <w:rsid w:val="00115BBE"/>
    <w:rsid w:val="00116179"/>
    <w:rsid w:val="00116405"/>
    <w:rsid w:val="00116559"/>
    <w:rsid w:val="00117098"/>
    <w:rsid w:val="0011738F"/>
    <w:rsid w:val="001177D1"/>
    <w:rsid w:val="00117AB4"/>
    <w:rsid w:val="00117B57"/>
    <w:rsid w:val="00117B7A"/>
    <w:rsid w:val="00117C9C"/>
    <w:rsid w:val="00117FBE"/>
    <w:rsid w:val="001202BD"/>
    <w:rsid w:val="00120736"/>
    <w:rsid w:val="00120FB3"/>
    <w:rsid w:val="00121204"/>
    <w:rsid w:val="001221A6"/>
    <w:rsid w:val="001223EF"/>
    <w:rsid w:val="00122815"/>
    <w:rsid w:val="0012296D"/>
    <w:rsid w:val="00123294"/>
    <w:rsid w:val="001232F1"/>
    <w:rsid w:val="00123443"/>
    <w:rsid w:val="0012345A"/>
    <w:rsid w:val="0012374E"/>
    <w:rsid w:val="00123A0A"/>
    <w:rsid w:val="00123B2A"/>
    <w:rsid w:val="00123E26"/>
    <w:rsid w:val="00123FF5"/>
    <w:rsid w:val="001244E2"/>
    <w:rsid w:val="00124764"/>
    <w:rsid w:val="00124787"/>
    <w:rsid w:val="0012518D"/>
    <w:rsid w:val="001252A1"/>
    <w:rsid w:val="001255C2"/>
    <w:rsid w:val="001260AC"/>
    <w:rsid w:val="00126333"/>
    <w:rsid w:val="0012663C"/>
    <w:rsid w:val="0012693B"/>
    <w:rsid w:val="001271A6"/>
    <w:rsid w:val="00127E16"/>
    <w:rsid w:val="00127E5C"/>
    <w:rsid w:val="00130A6D"/>
    <w:rsid w:val="00130AC4"/>
    <w:rsid w:val="0013170F"/>
    <w:rsid w:val="00131A40"/>
    <w:rsid w:val="001323FD"/>
    <w:rsid w:val="00132413"/>
    <w:rsid w:val="0013270D"/>
    <w:rsid w:val="00132897"/>
    <w:rsid w:val="00132B94"/>
    <w:rsid w:val="00132BA9"/>
    <w:rsid w:val="0013308B"/>
    <w:rsid w:val="00133383"/>
    <w:rsid w:val="001335D3"/>
    <w:rsid w:val="00133712"/>
    <w:rsid w:val="00134162"/>
    <w:rsid w:val="001342B3"/>
    <w:rsid w:val="001343AE"/>
    <w:rsid w:val="0013450B"/>
    <w:rsid w:val="001345C7"/>
    <w:rsid w:val="001345EB"/>
    <w:rsid w:val="0013470A"/>
    <w:rsid w:val="001347E1"/>
    <w:rsid w:val="00134EED"/>
    <w:rsid w:val="00135A5C"/>
    <w:rsid w:val="00135A74"/>
    <w:rsid w:val="00135F2C"/>
    <w:rsid w:val="00135F37"/>
    <w:rsid w:val="001362DA"/>
    <w:rsid w:val="0013642B"/>
    <w:rsid w:val="001365E5"/>
    <w:rsid w:val="0013757D"/>
    <w:rsid w:val="0013762C"/>
    <w:rsid w:val="001377C3"/>
    <w:rsid w:val="00137AED"/>
    <w:rsid w:val="00137BBF"/>
    <w:rsid w:val="001400F1"/>
    <w:rsid w:val="00140270"/>
    <w:rsid w:val="00140322"/>
    <w:rsid w:val="001405AD"/>
    <w:rsid w:val="0014088F"/>
    <w:rsid w:val="00140F5A"/>
    <w:rsid w:val="0014121A"/>
    <w:rsid w:val="001414AC"/>
    <w:rsid w:val="001415EA"/>
    <w:rsid w:val="00141BF7"/>
    <w:rsid w:val="00141DE0"/>
    <w:rsid w:val="001426E2"/>
    <w:rsid w:val="0014351B"/>
    <w:rsid w:val="001436C3"/>
    <w:rsid w:val="00143DE8"/>
    <w:rsid w:val="001442A5"/>
    <w:rsid w:val="00144F9F"/>
    <w:rsid w:val="001450EC"/>
    <w:rsid w:val="00145613"/>
    <w:rsid w:val="001458FC"/>
    <w:rsid w:val="0014632C"/>
    <w:rsid w:val="001464CE"/>
    <w:rsid w:val="00146557"/>
    <w:rsid w:val="00146DB6"/>
    <w:rsid w:val="001474A0"/>
    <w:rsid w:val="001475D8"/>
    <w:rsid w:val="00147CBF"/>
    <w:rsid w:val="00147CC8"/>
    <w:rsid w:val="00147E52"/>
    <w:rsid w:val="00150179"/>
    <w:rsid w:val="00150227"/>
    <w:rsid w:val="001502EB"/>
    <w:rsid w:val="00150350"/>
    <w:rsid w:val="0015037D"/>
    <w:rsid w:val="0015068A"/>
    <w:rsid w:val="0015076E"/>
    <w:rsid w:val="00150A7F"/>
    <w:rsid w:val="001510CA"/>
    <w:rsid w:val="001511BC"/>
    <w:rsid w:val="0015161A"/>
    <w:rsid w:val="001516E0"/>
    <w:rsid w:val="00151702"/>
    <w:rsid w:val="001518CE"/>
    <w:rsid w:val="00151AC5"/>
    <w:rsid w:val="00151B80"/>
    <w:rsid w:val="00151BF6"/>
    <w:rsid w:val="001523B9"/>
    <w:rsid w:val="00152414"/>
    <w:rsid w:val="00152E51"/>
    <w:rsid w:val="00153531"/>
    <w:rsid w:val="001535A9"/>
    <w:rsid w:val="00153813"/>
    <w:rsid w:val="001538A9"/>
    <w:rsid w:val="00153B51"/>
    <w:rsid w:val="00153C2F"/>
    <w:rsid w:val="00154127"/>
    <w:rsid w:val="00154BD7"/>
    <w:rsid w:val="00154FCD"/>
    <w:rsid w:val="00155CA9"/>
    <w:rsid w:val="00155D79"/>
    <w:rsid w:val="00155D93"/>
    <w:rsid w:val="0015603E"/>
    <w:rsid w:val="00156084"/>
    <w:rsid w:val="00156275"/>
    <w:rsid w:val="0015667E"/>
    <w:rsid w:val="00156712"/>
    <w:rsid w:val="00156781"/>
    <w:rsid w:val="001568C8"/>
    <w:rsid w:val="00156B78"/>
    <w:rsid w:val="00156EF9"/>
    <w:rsid w:val="001571AC"/>
    <w:rsid w:val="0015721B"/>
    <w:rsid w:val="001574F4"/>
    <w:rsid w:val="00157641"/>
    <w:rsid w:val="00157666"/>
    <w:rsid w:val="00157674"/>
    <w:rsid w:val="00157679"/>
    <w:rsid w:val="00157B35"/>
    <w:rsid w:val="00157F5B"/>
    <w:rsid w:val="00157FBC"/>
    <w:rsid w:val="0016079B"/>
    <w:rsid w:val="001608E7"/>
    <w:rsid w:val="00160E51"/>
    <w:rsid w:val="0016159B"/>
    <w:rsid w:val="00161855"/>
    <w:rsid w:val="00161933"/>
    <w:rsid w:val="00161A94"/>
    <w:rsid w:val="00161AF7"/>
    <w:rsid w:val="00162375"/>
    <w:rsid w:val="00162429"/>
    <w:rsid w:val="00162A04"/>
    <w:rsid w:val="001630A4"/>
    <w:rsid w:val="0016327C"/>
    <w:rsid w:val="0016332A"/>
    <w:rsid w:val="00163878"/>
    <w:rsid w:val="00163A3C"/>
    <w:rsid w:val="00163B06"/>
    <w:rsid w:val="0016455A"/>
    <w:rsid w:val="0016493D"/>
    <w:rsid w:val="00164F74"/>
    <w:rsid w:val="001650B8"/>
    <w:rsid w:val="00165461"/>
    <w:rsid w:val="0016575D"/>
    <w:rsid w:val="00165A00"/>
    <w:rsid w:val="00165C17"/>
    <w:rsid w:val="00165D88"/>
    <w:rsid w:val="00165DB7"/>
    <w:rsid w:val="00165DDC"/>
    <w:rsid w:val="00166340"/>
    <w:rsid w:val="00166365"/>
    <w:rsid w:val="0016646B"/>
    <w:rsid w:val="00166931"/>
    <w:rsid w:val="00166CC8"/>
    <w:rsid w:val="00167385"/>
    <w:rsid w:val="001677D9"/>
    <w:rsid w:val="001677FA"/>
    <w:rsid w:val="00167ADC"/>
    <w:rsid w:val="00167BFA"/>
    <w:rsid w:val="00167C30"/>
    <w:rsid w:val="00167F5B"/>
    <w:rsid w:val="001705AB"/>
    <w:rsid w:val="001712F6"/>
    <w:rsid w:val="001714B3"/>
    <w:rsid w:val="00171AD5"/>
    <w:rsid w:val="00171B00"/>
    <w:rsid w:val="00171B7C"/>
    <w:rsid w:val="00171F11"/>
    <w:rsid w:val="00172007"/>
    <w:rsid w:val="001722FE"/>
    <w:rsid w:val="001728AD"/>
    <w:rsid w:val="00172EF9"/>
    <w:rsid w:val="00173016"/>
    <w:rsid w:val="0017322E"/>
    <w:rsid w:val="001732A5"/>
    <w:rsid w:val="0017348A"/>
    <w:rsid w:val="001735B8"/>
    <w:rsid w:val="0017400C"/>
    <w:rsid w:val="001749F7"/>
    <w:rsid w:val="00174AEE"/>
    <w:rsid w:val="00174BFA"/>
    <w:rsid w:val="00174EAC"/>
    <w:rsid w:val="001750DB"/>
    <w:rsid w:val="00175155"/>
    <w:rsid w:val="00175302"/>
    <w:rsid w:val="00175361"/>
    <w:rsid w:val="0017541A"/>
    <w:rsid w:val="00175ECC"/>
    <w:rsid w:val="00175F47"/>
    <w:rsid w:val="00176010"/>
    <w:rsid w:val="00176ABE"/>
    <w:rsid w:val="00176B64"/>
    <w:rsid w:val="00176C52"/>
    <w:rsid w:val="00176D26"/>
    <w:rsid w:val="00177393"/>
    <w:rsid w:val="0017786D"/>
    <w:rsid w:val="0017795D"/>
    <w:rsid w:val="00180649"/>
    <w:rsid w:val="00180B83"/>
    <w:rsid w:val="00181015"/>
    <w:rsid w:val="00181692"/>
    <w:rsid w:val="001817F7"/>
    <w:rsid w:val="00181CB9"/>
    <w:rsid w:val="00181D5F"/>
    <w:rsid w:val="0018280F"/>
    <w:rsid w:val="00182957"/>
    <w:rsid w:val="00182A7F"/>
    <w:rsid w:val="001831B3"/>
    <w:rsid w:val="001834ED"/>
    <w:rsid w:val="00183760"/>
    <w:rsid w:val="00183872"/>
    <w:rsid w:val="0018397B"/>
    <w:rsid w:val="00183ED2"/>
    <w:rsid w:val="0018476A"/>
    <w:rsid w:val="00184872"/>
    <w:rsid w:val="00184E2D"/>
    <w:rsid w:val="001859DB"/>
    <w:rsid w:val="00185C2F"/>
    <w:rsid w:val="00185F9D"/>
    <w:rsid w:val="00186203"/>
    <w:rsid w:val="00186470"/>
    <w:rsid w:val="00186796"/>
    <w:rsid w:val="0018687D"/>
    <w:rsid w:val="00186CA2"/>
    <w:rsid w:val="001873D1"/>
    <w:rsid w:val="001875EC"/>
    <w:rsid w:val="001879C1"/>
    <w:rsid w:val="001903D3"/>
    <w:rsid w:val="0019070A"/>
    <w:rsid w:val="00190AFC"/>
    <w:rsid w:val="00190E18"/>
    <w:rsid w:val="0019126D"/>
    <w:rsid w:val="00191415"/>
    <w:rsid w:val="001914FB"/>
    <w:rsid w:val="00191A23"/>
    <w:rsid w:val="00191C80"/>
    <w:rsid w:val="0019200F"/>
    <w:rsid w:val="00192051"/>
    <w:rsid w:val="001920CC"/>
    <w:rsid w:val="001926ED"/>
    <w:rsid w:val="001927CD"/>
    <w:rsid w:val="00192A89"/>
    <w:rsid w:val="00192CD5"/>
    <w:rsid w:val="001936B3"/>
    <w:rsid w:val="001936D5"/>
    <w:rsid w:val="0019379D"/>
    <w:rsid w:val="00194604"/>
    <w:rsid w:val="00194787"/>
    <w:rsid w:val="0019499C"/>
    <w:rsid w:val="001949B0"/>
    <w:rsid w:val="00194F9D"/>
    <w:rsid w:val="00195046"/>
    <w:rsid w:val="001951BA"/>
    <w:rsid w:val="00195755"/>
    <w:rsid w:val="00195A94"/>
    <w:rsid w:val="001961F6"/>
    <w:rsid w:val="00196AF5"/>
    <w:rsid w:val="00197134"/>
    <w:rsid w:val="0019795A"/>
    <w:rsid w:val="00197AB7"/>
    <w:rsid w:val="00197E2B"/>
    <w:rsid w:val="00197FA3"/>
    <w:rsid w:val="0019B37B"/>
    <w:rsid w:val="001A00B9"/>
    <w:rsid w:val="001A02EF"/>
    <w:rsid w:val="001A0402"/>
    <w:rsid w:val="001A1105"/>
    <w:rsid w:val="001A1426"/>
    <w:rsid w:val="001A1952"/>
    <w:rsid w:val="001A1B27"/>
    <w:rsid w:val="001A1CCF"/>
    <w:rsid w:val="001A2046"/>
    <w:rsid w:val="001A233A"/>
    <w:rsid w:val="001A2891"/>
    <w:rsid w:val="001A2D15"/>
    <w:rsid w:val="001A3016"/>
    <w:rsid w:val="001A38F4"/>
    <w:rsid w:val="001A3DFF"/>
    <w:rsid w:val="001A4204"/>
    <w:rsid w:val="001A42A1"/>
    <w:rsid w:val="001A465B"/>
    <w:rsid w:val="001A49AB"/>
    <w:rsid w:val="001A4F6C"/>
    <w:rsid w:val="001A58D8"/>
    <w:rsid w:val="001A59D7"/>
    <w:rsid w:val="001A5C67"/>
    <w:rsid w:val="001A61E0"/>
    <w:rsid w:val="001A65F3"/>
    <w:rsid w:val="001A6E57"/>
    <w:rsid w:val="001A6F25"/>
    <w:rsid w:val="001A702C"/>
    <w:rsid w:val="001A70DD"/>
    <w:rsid w:val="001A746E"/>
    <w:rsid w:val="001A75F6"/>
    <w:rsid w:val="001A7E06"/>
    <w:rsid w:val="001B050C"/>
    <w:rsid w:val="001B053A"/>
    <w:rsid w:val="001B0559"/>
    <w:rsid w:val="001B1521"/>
    <w:rsid w:val="001B172F"/>
    <w:rsid w:val="001B1732"/>
    <w:rsid w:val="001B1AC4"/>
    <w:rsid w:val="001B1AE5"/>
    <w:rsid w:val="001B1AEA"/>
    <w:rsid w:val="001B1BD6"/>
    <w:rsid w:val="001B1BFC"/>
    <w:rsid w:val="001B1CB7"/>
    <w:rsid w:val="001B1D1C"/>
    <w:rsid w:val="001B1D41"/>
    <w:rsid w:val="001B1E03"/>
    <w:rsid w:val="001B1E45"/>
    <w:rsid w:val="001B2A10"/>
    <w:rsid w:val="001B2A76"/>
    <w:rsid w:val="001B2AE1"/>
    <w:rsid w:val="001B32F7"/>
    <w:rsid w:val="001B3410"/>
    <w:rsid w:val="001B3795"/>
    <w:rsid w:val="001B3866"/>
    <w:rsid w:val="001B3B53"/>
    <w:rsid w:val="001B406A"/>
    <w:rsid w:val="001B426D"/>
    <w:rsid w:val="001B439B"/>
    <w:rsid w:val="001B48F1"/>
    <w:rsid w:val="001B4D7C"/>
    <w:rsid w:val="001B5293"/>
    <w:rsid w:val="001B55A7"/>
    <w:rsid w:val="001B561B"/>
    <w:rsid w:val="001B5A63"/>
    <w:rsid w:val="001B5AAE"/>
    <w:rsid w:val="001B608F"/>
    <w:rsid w:val="001B65BE"/>
    <w:rsid w:val="001B682D"/>
    <w:rsid w:val="001B6BBE"/>
    <w:rsid w:val="001B6FAC"/>
    <w:rsid w:val="001B6FF4"/>
    <w:rsid w:val="001B70B5"/>
    <w:rsid w:val="001B71C3"/>
    <w:rsid w:val="001B71C9"/>
    <w:rsid w:val="001B746E"/>
    <w:rsid w:val="001B7908"/>
    <w:rsid w:val="001B7942"/>
    <w:rsid w:val="001B79D1"/>
    <w:rsid w:val="001B7D3A"/>
    <w:rsid w:val="001B7EBD"/>
    <w:rsid w:val="001C060B"/>
    <w:rsid w:val="001C0829"/>
    <w:rsid w:val="001C0B4F"/>
    <w:rsid w:val="001C0C48"/>
    <w:rsid w:val="001C149F"/>
    <w:rsid w:val="001C1503"/>
    <w:rsid w:val="001C154D"/>
    <w:rsid w:val="001C16CC"/>
    <w:rsid w:val="001C1790"/>
    <w:rsid w:val="001C17D2"/>
    <w:rsid w:val="001C186D"/>
    <w:rsid w:val="001C2440"/>
    <w:rsid w:val="001C2816"/>
    <w:rsid w:val="001C2A1D"/>
    <w:rsid w:val="001C2B5F"/>
    <w:rsid w:val="001C3074"/>
    <w:rsid w:val="001C32ED"/>
    <w:rsid w:val="001C33F0"/>
    <w:rsid w:val="001C390E"/>
    <w:rsid w:val="001C39F9"/>
    <w:rsid w:val="001C3B4A"/>
    <w:rsid w:val="001C3F4D"/>
    <w:rsid w:val="001C49EC"/>
    <w:rsid w:val="001C4ACE"/>
    <w:rsid w:val="001C5A3A"/>
    <w:rsid w:val="001C5F77"/>
    <w:rsid w:val="001C62D0"/>
    <w:rsid w:val="001C63C7"/>
    <w:rsid w:val="001C64C6"/>
    <w:rsid w:val="001C64DE"/>
    <w:rsid w:val="001C6739"/>
    <w:rsid w:val="001C67FF"/>
    <w:rsid w:val="001C6DC7"/>
    <w:rsid w:val="001C6E88"/>
    <w:rsid w:val="001C6FE2"/>
    <w:rsid w:val="001C71E0"/>
    <w:rsid w:val="001C75BF"/>
    <w:rsid w:val="001C7782"/>
    <w:rsid w:val="001C7D14"/>
    <w:rsid w:val="001D004A"/>
    <w:rsid w:val="001D0302"/>
    <w:rsid w:val="001D054B"/>
    <w:rsid w:val="001D0BB3"/>
    <w:rsid w:val="001D0F95"/>
    <w:rsid w:val="001D0FE3"/>
    <w:rsid w:val="001D101B"/>
    <w:rsid w:val="001D1233"/>
    <w:rsid w:val="001D1509"/>
    <w:rsid w:val="001D1613"/>
    <w:rsid w:val="001D1803"/>
    <w:rsid w:val="001D1861"/>
    <w:rsid w:val="001D1AE2"/>
    <w:rsid w:val="001D20C1"/>
    <w:rsid w:val="001D2265"/>
    <w:rsid w:val="001D2279"/>
    <w:rsid w:val="001D2DDC"/>
    <w:rsid w:val="001D3274"/>
    <w:rsid w:val="001D33DE"/>
    <w:rsid w:val="001D3557"/>
    <w:rsid w:val="001D3719"/>
    <w:rsid w:val="001D3C74"/>
    <w:rsid w:val="001D3E77"/>
    <w:rsid w:val="001D3F10"/>
    <w:rsid w:val="001D3F91"/>
    <w:rsid w:val="001D4727"/>
    <w:rsid w:val="001D4762"/>
    <w:rsid w:val="001D5562"/>
    <w:rsid w:val="001D57D3"/>
    <w:rsid w:val="001D58B7"/>
    <w:rsid w:val="001D5CDE"/>
    <w:rsid w:val="001D60C5"/>
    <w:rsid w:val="001D617E"/>
    <w:rsid w:val="001D6238"/>
    <w:rsid w:val="001D62E2"/>
    <w:rsid w:val="001D62FF"/>
    <w:rsid w:val="001D6AC8"/>
    <w:rsid w:val="001D6B3A"/>
    <w:rsid w:val="001D6B3E"/>
    <w:rsid w:val="001D6E63"/>
    <w:rsid w:val="001D6E67"/>
    <w:rsid w:val="001D701D"/>
    <w:rsid w:val="001D73BB"/>
    <w:rsid w:val="001D7EB2"/>
    <w:rsid w:val="001E0344"/>
    <w:rsid w:val="001E036F"/>
    <w:rsid w:val="001E0488"/>
    <w:rsid w:val="001E09C8"/>
    <w:rsid w:val="001E0A60"/>
    <w:rsid w:val="001E0A94"/>
    <w:rsid w:val="001E0E54"/>
    <w:rsid w:val="001E0FAF"/>
    <w:rsid w:val="001E1643"/>
    <w:rsid w:val="001E178D"/>
    <w:rsid w:val="001E1D23"/>
    <w:rsid w:val="001E1F1C"/>
    <w:rsid w:val="001E1F32"/>
    <w:rsid w:val="001E206F"/>
    <w:rsid w:val="001E29A0"/>
    <w:rsid w:val="001E2A8F"/>
    <w:rsid w:val="001E2B05"/>
    <w:rsid w:val="001E2ED3"/>
    <w:rsid w:val="001E2ED6"/>
    <w:rsid w:val="001E2EF3"/>
    <w:rsid w:val="001E2FB6"/>
    <w:rsid w:val="001E3F1A"/>
    <w:rsid w:val="001E40A6"/>
    <w:rsid w:val="001E4200"/>
    <w:rsid w:val="001E45BC"/>
    <w:rsid w:val="001E4CF8"/>
    <w:rsid w:val="001E4FA5"/>
    <w:rsid w:val="001E54AF"/>
    <w:rsid w:val="001E56AD"/>
    <w:rsid w:val="001E58F1"/>
    <w:rsid w:val="001E58FE"/>
    <w:rsid w:val="001E5A0B"/>
    <w:rsid w:val="001E5B0F"/>
    <w:rsid w:val="001E69AA"/>
    <w:rsid w:val="001E6ABC"/>
    <w:rsid w:val="001E6CF3"/>
    <w:rsid w:val="001E71B7"/>
    <w:rsid w:val="001E7494"/>
    <w:rsid w:val="001E78A8"/>
    <w:rsid w:val="001F000A"/>
    <w:rsid w:val="001F0085"/>
    <w:rsid w:val="001F08E2"/>
    <w:rsid w:val="001F14F8"/>
    <w:rsid w:val="001F150C"/>
    <w:rsid w:val="001F15BC"/>
    <w:rsid w:val="001F17DC"/>
    <w:rsid w:val="001F1908"/>
    <w:rsid w:val="001F243D"/>
    <w:rsid w:val="001F2527"/>
    <w:rsid w:val="001F261D"/>
    <w:rsid w:val="001F2C56"/>
    <w:rsid w:val="001F2DAE"/>
    <w:rsid w:val="001F2EFA"/>
    <w:rsid w:val="001F2F39"/>
    <w:rsid w:val="001F30C0"/>
    <w:rsid w:val="001F330E"/>
    <w:rsid w:val="001F332F"/>
    <w:rsid w:val="001F3351"/>
    <w:rsid w:val="001F33BC"/>
    <w:rsid w:val="001F37C3"/>
    <w:rsid w:val="001F3C21"/>
    <w:rsid w:val="001F3FAB"/>
    <w:rsid w:val="001F4241"/>
    <w:rsid w:val="001F4657"/>
    <w:rsid w:val="001F465C"/>
    <w:rsid w:val="001F495F"/>
    <w:rsid w:val="001F55BA"/>
    <w:rsid w:val="001F563E"/>
    <w:rsid w:val="001F5AB1"/>
    <w:rsid w:val="001F5DC5"/>
    <w:rsid w:val="001F5F3C"/>
    <w:rsid w:val="001F60D5"/>
    <w:rsid w:val="001F64E7"/>
    <w:rsid w:val="001F7052"/>
    <w:rsid w:val="001F7243"/>
    <w:rsid w:val="001F736A"/>
    <w:rsid w:val="001F756D"/>
    <w:rsid w:val="001F7DE5"/>
    <w:rsid w:val="001F7FFC"/>
    <w:rsid w:val="00200016"/>
    <w:rsid w:val="002001BA"/>
    <w:rsid w:val="002003C3"/>
    <w:rsid w:val="002006D3"/>
    <w:rsid w:val="002007B7"/>
    <w:rsid w:val="002008A1"/>
    <w:rsid w:val="00200B1A"/>
    <w:rsid w:val="0020116A"/>
    <w:rsid w:val="002011E1"/>
    <w:rsid w:val="0020193B"/>
    <w:rsid w:val="0020201A"/>
    <w:rsid w:val="002020B7"/>
    <w:rsid w:val="00202157"/>
    <w:rsid w:val="002022EF"/>
    <w:rsid w:val="00202319"/>
    <w:rsid w:val="002023C8"/>
    <w:rsid w:val="002024BF"/>
    <w:rsid w:val="002027C1"/>
    <w:rsid w:val="00202B30"/>
    <w:rsid w:val="0020301F"/>
    <w:rsid w:val="0020302E"/>
    <w:rsid w:val="002030D9"/>
    <w:rsid w:val="0020339C"/>
    <w:rsid w:val="002033F1"/>
    <w:rsid w:val="002034DD"/>
    <w:rsid w:val="0020353A"/>
    <w:rsid w:val="00203551"/>
    <w:rsid w:val="002035A0"/>
    <w:rsid w:val="00203759"/>
    <w:rsid w:val="002037D7"/>
    <w:rsid w:val="002043B5"/>
    <w:rsid w:val="002044E6"/>
    <w:rsid w:val="00204569"/>
    <w:rsid w:val="00204986"/>
    <w:rsid w:val="002057FA"/>
    <w:rsid w:val="002059BA"/>
    <w:rsid w:val="002063EB"/>
    <w:rsid w:val="0020652D"/>
    <w:rsid w:val="0020664A"/>
    <w:rsid w:val="00206720"/>
    <w:rsid w:val="00206870"/>
    <w:rsid w:val="002068F5"/>
    <w:rsid w:val="00206F9E"/>
    <w:rsid w:val="002102CC"/>
    <w:rsid w:val="00210325"/>
    <w:rsid w:val="002104A4"/>
    <w:rsid w:val="00210D4A"/>
    <w:rsid w:val="00210E8D"/>
    <w:rsid w:val="00211054"/>
    <w:rsid w:val="0021143B"/>
    <w:rsid w:val="00211502"/>
    <w:rsid w:val="00211A89"/>
    <w:rsid w:val="002124FD"/>
    <w:rsid w:val="00212502"/>
    <w:rsid w:val="00212899"/>
    <w:rsid w:val="002132A1"/>
    <w:rsid w:val="00213547"/>
    <w:rsid w:val="002137FE"/>
    <w:rsid w:val="0021387E"/>
    <w:rsid w:val="00213A0A"/>
    <w:rsid w:val="00213A5A"/>
    <w:rsid w:val="00213ABC"/>
    <w:rsid w:val="00213B45"/>
    <w:rsid w:val="00213CB1"/>
    <w:rsid w:val="002142C7"/>
    <w:rsid w:val="002143BC"/>
    <w:rsid w:val="0021462C"/>
    <w:rsid w:val="00214A9F"/>
    <w:rsid w:val="00214ADA"/>
    <w:rsid w:val="00214B6B"/>
    <w:rsid w:val="00215364"/>
    <w:rsid w:val="00215370"/>
    <w:rsid w:val="00215B1F"/>
    <w:rsid w:val="00216378"/>
    <w:rsid w:val="00216496"/>
    <w:rsid w:val="002168DC"/>
    <w:rsid w:val="00217222"/>
    <w:rsid w:val="002172B6"/>
    <w:rsid w:val="0021740C"/>
    <w:rsid w:val="00217892"/>
    <w:rsid w:val="00217BE1"/>
    <w:rsid w:val="002208AA"/>
    <w:rsid w:val="00220A38"/>
    <w:rsid w:val="00220A56"/>
    <w:rsid w:val="00220B8D"/>
    <w:rsid w:val="00220DB2"/>
    <w:rsid w:val="00220DCC"/>
    <w:rsid w:val="00221120"/>
    <w:rsid w:val="00221635"/>
    <w:rsid w:val="002218EC"/>
    <w:rsid w:val="002218FD"/>
    <w:rsid w:val="002219F4"/>
    <w:rsid w:val="00222082"/>
    <w:rsid w:val="0022245C"/>
    <w:rsid w:val="002227A7"/>
    <w:rsid w:val="00222AE8"/>
    <w:rsid w:val="00222C86"/>
    <w:rsid w:val="002233C5"/>
    <w:rsid w:val="00223A27"/>
    <w:rsid w:val="00223B82"/>
    <w:rsid w:val="00223C4D"/>
    <w:rsid w:val="002240F4"/>
    <w:rsid w:val="00224567"/>
    <w:rsid w:val="00224BEF"/>
    <w:rsid w:val="00225063"/>
    <w:rsid w:val="00225526"/>
    <w:rsid w:val="00225720"/>
    <w:rsid w:val="00225B9E"/>
    <w:rsid w:val="00225D52"/>
    <w:rsid w:val="00225F64"/>
    <w:rsid w:val="0022613A"/>
    <w:rsid w:val="00226267"/>
    <w:rsid w:val="002267EB"/>
    <w:rsid w:val="00226B22"/>
    <w:rsid w:val="00226B5B"/>
    <w:rsid w:val="002276C6"/>
    <w:rsid w:val="00227805"/>
    <w:rsid w:val="00227943"/>
    <w:rsid w:val="00227D1D"/>
    <w:rsid w:val="00227E04"/>
    <w:rsid w:val="00227F27"/>
    <w:rsid w:val="00230700"/>
    <w:rsid w:val="002307FD"/>
    <w:rsid w:val="00231116"/>
    <w:rsid w:val="002311D6"/>
    <w:rsid w:val="0023127A"/>
    <w:rsid w:val="00231335"/>
    <w:rsid w:val="00231B06"/>
    <w:rsid w:val="00231D8E"/>
    <w:rsid w:val="00231E0F"/>
    <w:rsid w:val="0023252B"/>
    <w:rsid w:val="002327EB"/>
    <w:rsid w:val="002329DA"/>
    <w:rsid w:val="00232D41"/>
    <w:rsid w:val="00232DA1"/>
    <w:rsid w:val="00233423"/>
    <w:rsid w:val="00233482"/>
    <w:rsid w:val="00233592"/>
    <w:rsid w:val="00233A38"/>
    <w:rsid w:val="00233A51"/>
    <w:rsid w:val="00233A68"/>
    <w:rsid w:val="00233DAB"/>
    <w:rsid w:val="00233F07"/>
    <w:rsid w:val="002341D1"/>
    <w:rsid w:val="002343DB"/>
    <w:rsid w:val="00234AF6"/>
    <w:rsid w:val="0023582B"/>
    <w:rsid w:val="0023599C"/>
    <w:rsid w:val="00235B34"/>
    <w:rsid w:val="00235BD9"/>
    <w:rsid w:val="00235D42"/>
    <w:rsid w:val="0023616A"/>
    <w:rsid w:val="00236173"/>
    <w:rsid w:val="002361B3"/>
    <w:rsid w:val="00236952"/>
    <w:rsid w:val="002369ED"/>
    <w:rsid w:val="002371CB"/>
    <w:rsid w:val="0023776A"/>
    <w:rsid w:val="002377E6"/>
    <w:rsid w:val="002378E2"/>
    <w:rsid w:val="00237A0D"/>
    <w:rsid w:val="00237EFA"/>
    <w:rsid w:val="0024013A"/>
    <w:rsid w:val="0024025A"/>
    <w:rsid w:val="00240889"/>
    <w:rsid w:val="00240A3E"/>
    <w:rsid w:val="00240DD4"/>
    <w:rsid w:val="00241651"/>
    <w:rsid w:val="002417DE"/>
    <w:rsid w:val="00241840"/>
    <w:rsid w:val="002419DC"/>
    <w:rsid w:val="00241C59"/>
    <w:rsid w:val="00241D06"/>
    <w:rsid w:val="00241D49"/>
    <w:rsid w:val="00241F0B"/>
    <w:rsid w:val="00242478"/>
    <w:rsid w:val="0024297F"/>
    <w:rsid w:val="00242B23"/>
    <w:rsid w:val="00242D35"/>
    <w:rsid w:val="002430C5"/>
    <w:rsid w:val="00243244"/>
    <w:rsid w:val="00243820"/>
    <w:rsid w:val="00243992"/>
    <w:rsid w:val="00243ACE"/>
    <w:rsid w:val="00243B7E"/>
    <w:rsid w:val="00243B81"/>
    <w:rsid w:val="00243D4F"/>
    <w:rsid w:val="002444C7"/>
    <w:rsid w:val="00244750"/>
    <w:rsid w:val="002448D0"/>
    <w:rsid w:val="00244A1B"/>
    <w:rsid w:val="00244CFC"/>
    <w:rsid w:val="00244E3A"/>
    <w:rsid w:val="0024597F"/>
    <w:rsid w:val="00246417"/>
    <w:rsid w:val="00246828"/>
    <w:rsid w:val="00246E60"/>
    <w:rsid w:val="0024709B"/>
    <w:rsid w:val="00247167"/>
    <w:rsid w:val="00247341"/>
    <w:rsid w:val="002475BE"/>
    <w:rsid w:val="002475E6"/>
    <w:rsid w:val="002477F8"/>
    <w:rsid w:val="00247959"/>
    <w:rsid w:val="00247A57"/>
    <w:rsid w:val="00247F91"/>
    <w:rsid w:val="0024BDFB"/>
    <w:rsid w:val="00250055"/>
    <w:rsid w:val="0025071E"/>
    <w:rsid w:val="00250984"/>
    <w:rsid w:val="00250A43"/>
    <w:rsid w:val="00250A85"/>
    <w:rsid w:val="00250EDB"/>
    <w:rsid w:val="00251659"/>
    <w:rsid w:val="002519F0"/>
    <w:rsid w:val="002529BC"/>
    <w:rsid w:val="00252C97"/>
    <w:rsid w:val="00252D60"/>
    <w:rsid w:val="002533FA"/>
    <w:rsid w:val="002536D5"/>
    <w:rsid w:val="0025374D"/>
    <w:rsid w:val="00253C26"/>
    <w:rsid w:val="00253F4C"/>
    <w:rsid w:val="00253FBB"/>
    <w:rsid w:val="00254263"/>
    <w:rsid w:val="00254A1D"/>
    <w:rsid w:val="00254D4C"/>
    <w:rsid w:val="00254E2F"/>
    <w:rsid w:val="002552CE"/>
    <w:rsid w:val="002554DB"/>
    <w:rsid w:val="002555C1"/>
    <w:rsid w:val="00255750"/>
    <w:rsid w:val="002558CF"/>
    <w:rsid w:val="00255B95"/>
    <w:rsid w:val="00255C98"/>
    <w:rsid w:val="00255DD1"/>
    <w:rsid w:val="00256107"/>
    <w:rsid w:val="00256114"/>
    <w:rsid w:val="00256421"/>
    <w:rsid w:val="00256AC0"/>
    <w:rsid w:val="00256CEB"/>
    <w:rsid w:val="00256FA3"/>
    <w:rsid w:val="002571BE"/>
    <w:rsid w:val="00257565"/>
    <w:rsid w:val="00257DB8"/>
    <w:rsid w:val="00257DDC"/>
    <w:rsid w:val="00260612"/>
    <w:rsid w:val="00260E3D"/>
    <w:rsid w:val="00260E42"/>
    <w:rsid w:val="002610BB"/>
    <w:rsid w:val="002611C3"/>
    <w:rsid w:val="0026131B"/>
    <w:rsid w:val="002614CD"/>
    <w:rsid w:val="00261795"/>
    <w:rsid w:val="00261920"/>
    <w:rsid w:val="00261DE8"/>
    <w:rsid w:val="00261F0B"/>
    <w:rsid w:val="00262163"/>
    <w:rsid w:val="00262286"/>
    <w:rsid w:val="0026238D"/>
    <w:rsid w:val="00262439"/>
    <w:rsid w:val="0026263F"/>
    <w:rsid w:val="00262C27"/>
    <w:rsid w:val="002634CE"/>
    <w:rsid w:val="00263DC9"/>
    <w:rsid w:val="00263EF6"/>
    <w:rsid w:val="00263F8D"/>
    <w:rsid w:val="00264792"/>
    <w:rsid w:val="002647AE"/>
    <w:rsid w:val="002649BC"/>
    <w:rsid w:val="00264AB3"/>
    <w:rsid w:val="00264B6E"/>
    <w:rsid w:val="00264C5F"/>
    <w:rsid w:val="002654D8"/>
    <w:rsid w:val="002656AD"/>
    <w:rsid w:val="002657D3"/>
    <w:rsid w:val="00265A3C"/>
    <w:rsid w:val="00265B42"/>
    <w:rsid w:val="00266063"/>
    <w:rsid w:val="002662DE"/>
    <w:rsid w:val="00266746"/>
    <w:rsid w:val="00266758"/>
    <w:rsid w:val="0026684E"/>
    <w:rsid w:val="002668C4"/>
    <w:rsid w:val="00266AF4"/>
    <w:rsid w:val="0026794B"/>
    <w:rsid w:val="00267D42"/>
    <w:rsid w:val="002704E6"/>
    <w:rsid w:val="00270717"/>
    <w:rsid w:val="00270765"/>
    <w:rsid w:val="002707F2"/>
    <w:rsid w:val="00270885"/>
    <w:rsid w:val="00270970"/>
    <w:rsid w:val="002715E5"/>
    <w:rsid w:val="00271F98"/>
    <w:rsid w:val="002721CC"/>
    <w:rsid w:val="00272604"/>
    <w:rsid w:val="00272B5A"/>
    <w:rsid w:val="00272BC3"/>
    <w:rsid w:val="002730E0"/>
    <w:rsid w:val="00273580"/>
    <w:rsid w:val="00273A4B"/>
    <w:rsid w:val="00273D27"/>
    <w:rsid w:val="00273F65"/>
    <w:rsid w:val="0027410F"/>
    <w:rsid w:val="0027476A"/>
    <w:rsid w:val="00274835"/>
    <w:rsid w:val="002748CE"/>
    <w:rsid w:val="00274B0A"/>
    <w:rsid w:val="00274B86"/>
    <w:rsid w:val="00274E31"/>
    <w:rsid w:val="00274F16"/>
    <w:rsid w:val="0027548A"/>
    <w:rsid w:val="00275540"/>
    <w:rsid w:val="00275F21"/>
    <w:rsid w:val="00276009"/>
    <w:rsid w:val="00276652"/>
    <w:rsid w:val="002769D5"/>
    <w:rsid w:val="002769ED"/>
    <w:rsid w:val="00276A9E"/>
    <w:rsid w:val="00276AE9"/>
    <w:rsid w:val="002772EF"/>
    <w:rsid w:val="002774C4"/>
    <w:rsid w:val="00277610"/>
    <w:rsid w:val="00280B3D"/>
    <w:rsid w:val="00280B4D"/>
    <w:rsid w:val="00280BE2"/>
    <w:rsid w:val="002810EA"/>
    <w:rsid w:val="00282BDF"/>
    <w:rsid w:val="002834D9"/>
    <w:rsid w:val="002838B0"/>
    <w:rsid w:val="002839D1"/>
    <w:rsid w:val="00283D8B"/>
    <w:rsid w:val="00284050"/>
    <w:rsid w:val="0028422E"/>
    <w:rsid w:val="0028448F"/>
    <w:rsid w:val="00284D81"/>
    <w:rsid w:val="0028526D"/>
    <w:rsid w:val="002854E5"/>
    <w:rsid w:val="002855B5"/>
    <w:rsid w:val="0028574A"/>
    <w:rsid w:val="00285C8B"/>
    <w:rsid w:val="00286242"/>
    <w:rsid w:val="002863F6"/>
    <w:rsid w:val="00286B12"/>
    <w:rsid w:val="00286F75"/>
    <w:rsid w:val="0028703D"/>
    <w:rsid w:val="00287920"/>
    <w:rsid w:val="00287A1A"/>
    <w:rsid w:val="00287CB6"/>
    <w:rsid w:val="00290750"/>
    <w:rsid w:val="00290754"/>
    <w:rsid w:val="00290762"/>
    <w:rsid w:val="00290DF8"/>
    <w:rsid w:val="00291113"/>
    <w:rsid w:val="002914CB"/>
    <w:rsid w:val="00291CB2"/>
    <w:rsid w:val="00291CD5"/>
    <w:rsid w:val="00292036"/>
    <w:rsid w:val="0029245B"/>
    <w:rsid w:val="00292AE5"/>
    <w:rsid w:val="00292CB7"/>
    <w:rsid w:val="00292DF6"/>
    <w:rsid w:val="00293810"/>
    <w:rsid w:val="00293C45"/>
    <w:rsid w:val="0029415B"/>
    <w:rsid w:val="00294261"/>
    <w:rsid w:val="0029462F"/>
    <w:rsid w:val="00294902"/>
    <w:rsid w:val="00294A8B"/>
    <w:rsid w:val="00294B78"/>
    <w:rsid w:val="00294B94"/>
    <w:rsid w:val="00295725"/>
    <w:rsid w:val="002958D1"/>
    <w:rsid w:val="00295CF8"/>
    <w:rsid w:val="0029607D"/>
    <w:rsid w:val="00296173"/>
    <w:rsid w:val="00296A18"/>
    <w:rsid w:val="00296AAE"/>
    <w:rsid w:val="00296D1C"/>
    <w:rsid w:val="00296E51"/>
    <w:rsid w:val="00296F29"/>
    <w:rsid w:val="00297372"/>
    <w:rsid w:val="00297694"/>
    <w:rsid w:val="00297714"/>
    <w:rsid w:val="0029778F"/>
    <w:rsid w:val="002979D2"/>
    <w:rsid w:val="00297D4D"/>
    <w:rsid w:val="002A0166"/>
    <w:rsid w:val="002A01D8"/>
    <w:rsid w:val="002A0215"/>
    <w:rsid w:val="002A0827"/>
    <w:rsid w:val="002A08D5"/>
    <w:rsid w:val="002A0EEF"/>
    <w:rsid w:val="002A0F5D"/>
    <w:rsid w:val="002A1499"/>
    <w:rsid w:val="002A181D"/>
    <w:rsid w:val="002A19BF"/>
    <w:rsid w:val="002A1A01"/>
    <w:rsid w:val="002A1A9E"/>
    <w:rsid w:val="002A2542"/>
    <w:rsid w:val="002A2D90"/>
    <w:rsid w:val="002A2E0A"/>
    <w:rsid w:val="002A2EBB"/>
    <w:rsid w:val="002A3060"/>
    <w:rsid w:val="002A3159"/>
    <w:rsid w:val="002A371A"/>
    <w:rsid w:val="002A42BD"/>
    <w:rsid w:val="002A478F"/>
    <w:rsid w:val="002A479A"/>
    <w:rsid w:val="002A49CD"/>
    <w:rsid w:val="002A4A92"/>
    <w:rsid w:val="002A4AB4"/>
    <w:rsid w:val="002A4C4F"/>
    <w:rsid w:val="002A5201"/>
    <w:rsid w:val="002A59E1"/>
    <w:rsid w:val="002A5C54"/>
    <w:rsid w:val="002A5E34"/>
    <w:rsid w:val="002A5FDA"/>
    <w:rsid w:val="002A6257"/>
    <w:rsid w:val="002A65B5"/>
    <w:rsid w:val="002A6A0E"/>
    <w:rsid w:val="002A743C"/>
    <w:rsid w:val="002A756B"/>
    <w:rsid w:val="002A79E7"/>
    <w:rsid w:val="002A7C50"/>
    <w:rsid w:val="002B008D"/>
    <w:rsid w:val="002B04A0"/>
    <w:rsid w:val="002B1045"/>
    <w:rsid w:val="002B1322"/>
    <w:rsid w:val="002B164A"/>
    <w:rsid w:val="002B1733"/>
    <w:rsid w:val="002B264D"/>
    <w:rsid w:val="002B2743"/>
    <w:rsid w:val="002B2BF7"/>
    <w:rsid w:val="002B308F"/>
    <w:rsid w:val="002B309B"/>
    <w:rsid w:val="002B30D0"/>
    <w:rsid w:val="002B3180"/>
    <w:rsid w:val="002B321C"/>
    <w:rsid w:val="002B38D2"/>
    <w:rsid w:val="002B4BCA"/>
    <w:rsid w:val="002B576B"/>
    <w:rsid w:val="002B5A5F"/>
    <w:rsid w:val="002B5F2C"/>
    <w:rsid w:val="002B62FD"/>
    <w:rsid w:val="002B6573"/>
    <w:rsid w:val="002B664A"/>
    <w:rsid w:val="002B66AA"/>
    <w:rsid w:val="002B69D2"/>
    <w:rsid w:val="002B6BEB"/>
    <w:rsid w:val="002B6C0D"/>
    <w:rsid w:val="002B715E"/>
    <w:rsid w:val="002B71C1"/>
    <w:rsid w:val="002B7B07"/>
    <w:rsid w:val="002B7C8A"/>
    <w:rsid w:val="002B7EDD"/>
    <w:rsid w:val="002C00B7"/>
    <w:rsid w:val="002C0206"/>
    <w:rsid w:val="002C03E3"/>
    <w:rsid w:val="002C0533"/>
    <w:rsid w:val="002C063C"/>
    <w:rsid w:val="002C09E5"/>
    <w:rsid w:val="002C0B77"/>
    <w:rsid w:val="002C103B"/>
    <w:rsid w:val="002C15AA"/>
    <w:rsid w:val="002C17E7"/>
    <w:rsid w:val="002C1D0E"/>
    <w:rsid w:val="002C2030"/>
    <w:rsid w:val="002C2157"/>
    <w:rsid w:val="002C24B9"/>
    <w:rsid w:val="002C27FE"/>
    <w:rsid w:val="002C2904"/>
    <w:rsid w:val="002C2D20"/>
    <w:rsid w:val="002C3382"/>
    <w:rsid w:val="002C34A0"/>
    <w:rsid w:val="002C3AEB"/>
    <w:rsid w:val="002C3BC4"/>
    <w:rsid w:val="002C4726"/>
    <w:rsid w:val="002C48B0"/>
    <w:rsid w:val="002C4B8E"/>
    <w:rsid w:val="002C5043"/>
    <w:rsid w:val="002C515D"/>
    <w:rsid w:val="002C5277"/>
    <w:rsid w:val="002C531C"/>
    <w:rsid w:val="002C5712"/>
    <w:rsid w:val="002C57EF"/>
    <w:rsid w:val="002C5923"/>
    <w:rsid w:val="002C597D"/>
    <w:rsid w:val="002C61EA"/>
    <w:rsid w:val="002C6258"/>
    <w:rsid w:val="002C69AB"/>
    <w:rsid w:val="002C69B0"/>
    <w:rsid w:val="002C69FE"/>
    <w:rsid w:val="002C6AC6"/>
    <w:rsid w:val="002C79FA"/>
    <w:rsid w:val="002C7F0F"/>
    <w:rsid w:val="002D0350"/>
    <w:rsid w:val="002D0556"/>
    <w:rsid w:val="002D0C74"/>
    <w:rsid w:val="002D168B"/>
    <w:rsid w:val="002D1772"/>
    <w:rsid w:val="002D185A"/>
    <w:rsid w:val="002D1E16"/>
    <w:rsid w:val="002D1F41"/>
    <w:rsid w:val="002D2388"/>
    <w:rsid w:val="002D2580"/>
    <w:rsid w:val="002D2914"/>
    <w:rsid w:val="002D2924"/>
    <w:rsid w:val="002D2CE5"/>
    <w:rsid w:val="002D2E9F"/>
    <w:rsid w:val="002D37F6"/>
    <w:rsid w:val="002D3AE3"/>
    <w:rsid w:val="002D3BFF"/>
    <w:rsid w:val="002D43C5"/>
    <w:rsid w:val="002D443E"/>
    <w:rsid w:val="002D4803"/>
    <w:rsid w:val="002D4879"/>
    <w:rsid w:val="002D4A7D"/>
    <w:rsid w:val="002D5A25"/>
    <w:rsid w:val="002D5A9A"/>
    <w:rsid w:val="002D5B24"/>
    <w:rsid w:val="002D7742"/>
    <w:rsid w:val="002D79FE"/>
    <w:rsid w:val="002D7C89"/>
    <w:rsid w:val="002D7FBA"/>
    <w:rsid w:val="002D7FC1"/>
    <w:rsid w:val="002E01CF"/>
    <w:rsid w:val="002E01FF"/>
    <w:rsid w:val="002E04FA"/>
    <w:rsid w:val="002E0539"/>
    <w:rsid w:val="002E06A9"/>
    <w:rsid w:val="002E06E0"/>
    <w:rsid w:val="002E095B"/>
    <w:rsid w:val="002E0AC8"/>
    <w:rsid w:val="002E0C19"/>
    <w:rsid w:val="002E0CCE"/>
    <w:rsid w:val="002E0EC1"/>
    <w:rsid w:val="002E197E"/>
    <w:rsid w:val="002E210D"/>
    <w:rsid w:val="002E22AA"/>
    <w:rsid w:val="002E235C"/>
    <w:rsid w:val="002E2B67"/>
    <w:rsid w:val="002E2C93"/>
    <w:rsid w:val="002E2FA9"/>
    <w:rsid w:val="002E3596"/>
    <w:rsid w:val="002E367F"/>
    <w:rsid w:val="002E368F"/>
    <w:rsid w:val="002E3AAA"/>
    <w:rsid w:val="002E41A9"/>
    <w:rsid w:val="002E4491"/>
    <w:rsid w:val="002E465B"/>
    <w:rsid w:val="002E495E"/>
    <w:rsid w:val="002E4995"/>
    <w:rsid w:val="002E4A9A"/>
    <w:rsid w:val="002E523A"/>
    <w:rsid w:val="002E52E9"/>
    <w:rsid w:val="002E59C1"/>
    <w:rsid w:val="002E5E96"/>
    <w:rsid w:val="002E5F35"/>
    <w:rsid w:val="002E66A5"/>
    <w:rsid w:val="002E6713"/>
    <w:rsid w:val="002E6763"/>
    <w:rsid w:val="002E68BC"/>
    <w:rsid w:val="002E6E83"/>
    <w:rsid w:val="002E6EA5"/>
    <w:rsid w:val="002E77CB"/>
    <w:rsid w:val="002E782B"/>
    <w:rsid w:val="002E78E4"/>
    <w:rsid w:val="002E7A8A"/>
    <w:rsid w:val="002E7C7F"/>
    <w:rsid w:val="002E7DE5"/>
    <w:rsid w:val="002F01B9"/>
    <w:rsid w:val="002F03AF"/>
    <w:rsid w:val="002F07D6"/>
    <w:rsid w:val="002F0DE1"/>
    <w:rsid w:val="002F0ED4"/>
    <w:rsid w:val="002F0F16"/>
    <w:rsid w:val="002F1045"/>
    <w:rsid w:val="002F1103"/>
    <w:rsid w:val="002F13CD"/>
    <w:rsid w:val="002F14FE"/>
    <w:rsid w:val="002F1B7E"/>
    <w:rsid w:val="002F1D7B"/>
    <w:rsid w:val="002F278B"/>
    <w:rsid w:val="002F287A"/>
    <w:rsid w:val="002F2B68"/>
    <w:rsid w:val="002F2B98"/>
    <w:rsid w:val="002F2BBC"/>
    <w:rsid w:val="002F2C13"/>
    <w:rsid w:val="002F2C90"/>
    <w:rsid w:val="002F32B4"/>
    <w:rsid w:val="002F32F7"/>
    <w:rsid w:val="002F3314"/>
    <w:rsid w:val="002F40AA"/>
    <w:rsid w:val="002F414D"/>
    <w:rsid w:val="002F4368"/>
    <w:rsid w:val="002F447D"/>
    <w:rsid w:val="002F4492"/>
    <w:rsid w:val="002F44E8"/>
    <w:rsid w:val="002F4737"/>
    <w:rsid w:val="002F479A"/>
    <w:rsid w:val="002F47C9"/>
    <w:rsid w:val="002F48F3"/>
    <w:rsid w:val="002F49C4"/>
    <w:rsid w:val="002F4BB8"/>
    <w:rsid w:val="002F4CFA"/>
    <w:rsid w:val="002F521A"/>
    <w:rsid w:val="002F531D"/>
    <w:rsid w:val="002F55A5"/>
    <w:rsid w:val="002F5F7F"/>
    <w:rsid w:val="002F6043"/>
    <w:rsid w:val="002F6264"/>
    <w:rsid w:val="002F66B8"/>
    <w:rsid w:val="002F6AA7"/>
    <w:rsid w:val="002F6C2F"/>
    <w:rsid w:val="002F6D73"/>
    <w:rsid w:val="002F6DAF"/>
    <w:rsid w:val="002F6FEB"/>
    <w:rsid w:val="002F71A7"/>
    <w:rsid w:val="002F7407"/>
    <w:rsid w:val="002F7432"/>
    <w:rsid w:val="002F7723"/>
    <w:rsid w:val="002F777A"/>
    <w:rsid w:val="002F7880"/>
    <w:rsid w:val="002F78AE"/>
    <w:rsid w:val="002F7B93"/>
    <w:rsid w:val="003000D7"/>
    <w:rsid w:val="003000E1"/>
    <w:rsid w:val="00300220"/>
    <w:rsid w:val="003006FD"/>
    <w:rsid w:val="003008A2"/>
    <w:rsid w:val="00300CB1"/>
    <w:rsid w:val="00300CD1"/>
    <w:rsid w:val="00300CDC"/>
    <w:rsid w:val="00300E1D"/>
    <w:rsid w:val="00300F37"/>
    <w:rsid w:val="0030172F"/>
    <w:rsid w:val="00301E10"/>
    <w:rsid w:val="00302290"/>
    <w:rsid w:val="003028BC"/>
    <w:rsid w:val="0030295B"/>
    <w:rsid w:val="00302CDB"/>
    <w:rsid w:val="00302E65"/>
    <w:rsid w:val="003036CE"/>
    <w:rsid w:val="00304A54"/>
    <w:rsid w:val="00304BA4"/>
    <w:rsid w:val="00305020"/>
    <w:rsid w:val="003052F9"/>
    <w:rsid w:val="003057AB"/>
    <w:rsid w:val="00305B07"/>
    <w:rsid w:val="00305C64"/>
    <w:rsid w:val="00305C71"/>
    <w:rsid w:val="00305DA7"/>
    <w:rsid w:val="00306118"/>
    <w:rsid w:val="003062C7"/>
    <w:rsid w:val="00306323"/>
    <w:rsid w:val="00306540"/>
    <w:rsid w:val="0030655B"/>
    <w:rsid w:val="00306569"/>
    <w:rsid w:val="00306B65"/>
    <w:rsid w:val="00306CBD"/>
    <w:rsid w:val="00306FCC"/>
    <w:rsid w:val="00307B9C"/>
    <w:rsid w:val="00307E53"/>
    <w:rsid w:val="00310181"/>
    <w:rsid w:val="00310359"/>
    <w:rsid w:val="00310C15"/>
    <w:rsid w:val="00310C79"/>
    <w:rsid w:val="00310F5A"/>
    <w:rsid w:val="003128A5"/>
    <w:rsid w:val="00312A29"/>
    <w:rsid w:val="00312BEE"/>
    <w:rsid w:val="00312E65"/>
    <w:rsid w:val="003130B7"/>
    <w:rsid w:val="003130F9"/>
    <w:rsid w:val="0031370B"/>
    <w:rsid w:val="00313ABD"/>
    <w:rsid w:val="00313E7F"/>
    <w:rsid w:val="00313EB7"/>
    <w:rsid w:val="0031406A"/>
    <w:rsid w:val="0031411F"/>
    <w:rsid w:val="003144BA"/>
    <w:rsid w:val="00314609"/>
    <w:rsid w:val="00314676"/>
    <w:rsid w:val="00314700"/>
    <w:rsid w:val="00314EFC"/>
    <w:rsid w:val="00315572"/>
    <w:rsid w:val="0031674B"/>
    <w:rsid w:val="00316947"/>
    <w:rsid w:val="00316ED9"/>
    <w:rsid w:val="0031707B"/>
    <w:rsid w:val="003177D7"/>
    <w:rsid w:val="00317993"/>
    <w:rsid w:val="00317DC0"/>
    <w:rsid w:val="00317E2C"/>
    <w:rsid w:val="00320292"/>
    <w:rsid w:val="0032050B"/>
    <w:rsid w:val="00320732"/>
    <w:rsid w:val="003209B9"/>
    <w:rsid w:val="0032112B"/>
    <w:rsid w:val="00321489"/>
    <w:rsid w:val="00321FAC"/>
    <w:rsid w:val="003222CB"/>
    <w:rsid w:val="00322588"/>
    <w:rsid w:val="00322AAD"/>
    <w:rsid w:val="00322FAE"/>
    <w:rsid w:val="003230A3"/>
    <w:rsid w:val="00323100"/>
    <w:rsid w:val="0032388F"/>
    <w:rsid w:val="00323A81"/>
    <w:rsid w:val="00323D07"/>
    <w:rsid w:val="003240F0"/>
    <w:rsid w:val="0032438E"/>
    <w:rsid w:val="00324F60"/>
    <w:rsid w:val="003254E1"/>
    <w:rsid w:val="0032596F"/>
    <w:rsid w:val="00325975"/>
    <w:rsid w:val="00325F7D"/>
    <w:rsid w:val="00326324"/>
    <w:rsid w:val="003264CF"/>
    <w:rsid w:val="003269A7"/>
    <w:rsid w:val="00327D01"/>
    <w:rsid w:val="00327E0E"/>
    <w:rsid w:val="00330523"/>
    <w:rsid w:val="003308CC"/>
    <w:rsid w:val="00331258"/>
    <w:rsid w:val="00331427"/>
    <w:rsid w:val="00331934"/>
    <w:rsid w:val="00331A26"/>
    <w:rsid w:val="00331DD0"/>
    <w:rsid w:val="0033203C"/>
    <w:rsid w:val="00332085"/>
    <w:rsid w:val="00332380"/>
    <w:rsid w:val="00332E16"/>
    <w:rsid w:val="00333DA5"/>
    <w:rsid w:val="0033415F"/>
    <w:rsid w:val="00334424"/>
    <w:rsid w:val="0033458C"/>
    <w:rsid w:val="003348F2"/>
    <w:rsid w:val="00335718"/>
    <w:rsid w:val="003357E3"/>
    <w:rsid w:val="0033585F"/>
    <w:rsid w:val="0033600D"/>
    <w:rsid w:val="0033658F"/>
    <w:rsid w:val="00336987"/>
    <w:rsid w:val="00336D35"/>
    <w:rsid w:val="00337559"/>
    <w:rsid w:val="00337EFB"/>
    <w:rsid w:val="00337F36"/>
    <w:rsid w:val="00340117"/>
    <w:rsid w:val="0034052C"/>
    <w:rsid w:val="003405B3"/>
    <w:rsid w:val="00340766"/>
    <w:rsid w:val="003414E1"/>
    <w:rsid w:val="00341A65"/>
    <w:rsid w:val="00341DEE"/>
    <w:rsid w:val="00342278"/>
    <w:rsid w:val="00342F4F"/>
    <w:rsid w:val="00343129"/>
    <w:rsid w:val="003431F5"/>
    <w:rsid w:val="00343632"/>
    <w:rsid w:val="003437E3"/>
    <w:rsid w:val="0034383D"/>
    <w:rsid w:val="003438D1"/>
    <w:rsid w:val="00343C20"/>
    <w:rsid w:val="00343DB4"/>
    <w:rsid w:val="00343ED8"/>
    <w:rsid w:val="003446D8"/>
    <w:rsid w:val="003447BA"/>
    <w:rsid w:val="003449C0"/>
    <w:rsid w:val="00344FC7"/>
    <w:rsid w:val="0034507E"/>
    <w:rsid w:val="0034525A"/>
    <w:rsid w:val="00345396"/>
    <w:rsid w:val="0034592C"/>
    <w:rsid w:val="00345AE4"/>
    <w:rsid w:val="00345D12"/>
    <w:rsid w:val="00345D90"/>
    <w:rsid w:val="00345FE4"/>
    <w:rsid w:val="00346A75"/>
    <w:rsid w:val="00346AE1"/>
    <w:rsid w:val="00346D6C"/>
    <w:rsid w:val="0034743F"/>
    <w:rsid w:val="0034769A"/>
    <w:rsid w:val="00347BA3"/>
    <w:rsid w:val="003501CD"/>
    <w:rsid w:val="00350938"/>
    <w:rsid w:val="00350C35"/>
    <w:rsid w:val="00351096"/>
    <w:rsid w:val="0035135A"/>
    <w:rsid w:val="0035143B"/>
    <w:rsid w:val="0035146C"/>
    <w:rsid w:val="00351F0D"/>
    <w:rsid w:val="003521FB"/>
    <w:rsid w:val="003522EC"/>
    <w:rsid w:val="0035255F"/>
    <w:rsid w:val="00352755"/>
    <w:rsid w:val="00352AA7"/>
    <w:rsid w:val="00352B21"/>
    <w:rsid w:val="00352C4C"/>
    <w:rsid w:val="00352D57"/>
    <w:rsid w:val="00353382"/>
    <w:rsid w:val="003535E0"/>
    <w:rsid w:val="00353BA3"/>
    <w:rsid w:val="00354155"/>
    <w:rsid w:val="0035424A"/>
    <w:rsid w:val="0035430E"/>
    <w:rsid w:val="003544EF"/>
    <w:rsid w:val="003550D9"/>
    <w:rsid w:val="00355280"/>
    <w:rsid w:val="0035573F"/>
    <w:rsid w:val="003559C0"/>
    <w:rsid w:val="00355D09"/>
    <w:rsid w:val="00355D3E"/>
    <w:rsid w:val="00355F2C"/>
    <w:rsid w:val="00356106"/>
    <w:rsid w:val="0035611D"/>
    <w:rsid w:val="003564AE"/>
    <w:rsid w:val="00356714"/>
    <w:rsid w:val="00356744"/>
    <w:rsid w:val="00356764"/>
    <w:rsid w:val="00356953"/>
    <w:rsid w:val="00356CE9"/>
    <w:rsid w:val="00357060"/>
    <w:rsid w:val="00357449"/>
    <w:rsid w:val="0035745E"/>
    <w:rsid w:val="00357800"/>
    <w:rsid w:val="00357FD2"/>
    <w:rsid w:val="003600F8"/>
    <w:rsid w:val="00360CF0"/>
    <w:rsid w:val="00360CFA"/>
    <w:rsid w:val="00360D1A"/>
    <w:rsid w:val="00360D61"/>
    <w:rsid w:val="00361102"/>
    <w:rsid w:val="00361318"/>
    <w:rsid w:val="003616C8"/>
    <w:rsid w:val="00361A28"/>
    <w:rsid w:val="00361E8B"/>
    <w:rsid w:val="00362123"/>
    <w:rsid w:val="00362186"/>
    <w:rsid w:val="00362301"/>
    <w:rsid w:val="0036253C"/>
    <w:rsid w:val="0036277D"/>
    <w:rsid w:val="00362A9B"/>
    <w:rsid w:val="00363340"/>
    <w:rsid w:val="003633B5"/>
    <w:rsid w:val="0036395E"/>
    <w:rsid w:val="00363D22"/>
    <w:rsid w:val="00364063"/>
    <w:rsid w:val="003642C7"/>
    <w:rsid w:val="00364363"/>
    <w:rsid w:val="0036450D"/>
    <w:rsid w:val="003646FE"/>
    <w:rsid w:val="0036495F"/>
    <w:rsid w:val="00364ECE"/>
    <w:rsid w:val="003653C4"/>
    <w:rsid w:val="00365F3B"/>
    <w:rsid w:val="003665A7"/>
    <w:rsid w:val="003669AC"/>
    <w:rsid w:val="00366B3F"/>
    <w:rsid w:val="00367609"/>
    <w:rsid w:val="003678AC"/>
    <w:rsid w:val="003678D8"/>
    <w:rsid w:val="00367968"/>
    <w:rsid w:val="0037024F"/>
    <w:rsid w:val="0037063D"/>
    <w:rsid w:val="00370C76"/>
    <w:rsid w:val="00371128"/>
    <w:rsid w:val="003718DB"/>
    <w:rsid w:val="0037226E"/>
    <w:rsid w:val="00372894"/>
    <w:rsid w:val="00372BF4"/>
    <w:rsid w:val="00372D74"/>
    <w:rsid w:val="00372DAE"/>
    <w:rsid w:val="00372F83"/>
    <w:rsid w:val="0037314E"/>
    <w:rsid w:val="00373397"/>
    <w:rsid w:val="0037364F"/>
    <w:rsid w:val="00373738"/>
    <w:rsid w:val="00373BBE"/>
    <w:rsid w:val="00373D93"/>
    <w:rsid w:val="00373DBE"/>
    <w:rsid w:val="003743A3"/>
    <w:rsid w:val="00374457"/>
    <w:rsid w:val="00374684"/>
    <w:rsid w:val="00374B47"/>
    <w:rsid w:val="00374C4B"/>
    <w:rsid w:val="00374F6D"/>
    <w:rsid w:val="003757D8"/>
    <w:rsid w:val="00375B73"/>
    <w:rsid w:val="00375ED1"/>
    <w:rsid w:val="00375F4B"/>
    <w:rsid w:val="00376937"/>
    <w:rsid w:val="003775A7"/>
    <w:rsid w:val="0037786B"/>
    <w:rsid w:val="00377AAA"/>
    <w:rsid w:val="00377D7D"/>
    <w:rsid w:val="0038039F"/>
    <w:rsid w:val="0038040D"/>
    <w:rsid w:val="003804EC"/>
    <w:rsid w:val="0038099C"/>
    <w:rsid w:val="0038102B"/>
    <w:rsid w:val="003816F9"/>
    <w:rsid w:val="00381AE6"/>
    <w:rsid w:val="00381E2D"/>
    <w:rsid w:val="0038269B"/>
    <w:rsid w:val="00382D16"/>
    <w:rsid w:val="00382EFD"/>
    <w:rsid w:val="003831D9"/>
    <w:rsid w:val="003832DF"/>
    <w:rsid w:val="0038338E"/>
    <w:rsid w:val="00383A66"/>
    <w:rsid w:val="00384257"/>
    <w:rsid w:val="003846DB"/>
    <w:rsid w:val="0038481F"/>
    <w:rsid w:val="003852B8"/>
    <w:rsid w:val="003858D4"/>
    <w:rsid w:val="00385D1E"/>
    <w:rsid w:val="00385DCE"/>
    <w:rsid w:val="003860B9"/>
    <w:rsid w:val="003860EB"/>
    <w:rsid w:val="0038611B"/>
    <w:rsid w:val="00386391"/>
    <w:rsid w:val="0038659C"/>
    <w:rsid w:val="00386771"/>
    <w:rsid w:val="003868D9"/>
    <w:rsid w:val="00386A98"/>
    <w:rsid w:val="00386C37"/>
    <w:rsid w:val="00386C97"/>
    <w:rsid w:val="00387087"/>
    <w:rsid w:val="0038718D"/>
    <w:rsid w:val="003875FA"/>
    <w:rsid w:val="00387832"/>
    <w:rsid w:val="00387B5E"/>
    <w:rsid w:val="00387F03"/>
    <w:rsid w:val="00390143"/>
    <w:rsid w:val="0039014E"/>
    <w:rsid w:val="0039057F"/>
    <w:rsid w:val="003905D3"/>
    <w:rsid w:val="0039069F"/>
    <w:rsid w:val="0039079A"/>
    <w:rsid w:val="00390C36"/>
    <w:rsid w:val="00390EB9"/>
    <w:rsid w:val="00391080"/>
    <w:rsid w:val="003912F9"/>
    <w:rsid w:val="00391764"/>
    <w:rsid w:val="00391930"/>
    <w:rsid w:val="00391E19"/>
    <w:rsid w:val="00392238"/>
    <w:rsid w:val="00392E86"/>
    <w:rsid w:val="00393B4D"/>
    <w:rsid w:val="00393C4B"/>
    <w:rsid w:val="00394502"/>
    <w:rsid w:val="0039463A"/>
    <w:rsid w:val="00394711"/>
    <w:rsid w:val="003948BF"/>
    <w:rsid w:val="0039495D"/>
    <w:rsid w:val="00394AD0"/>
    <w:rsid w:val="003950FA"/>
    <w:rsid w:val="0039524F"/>
    <w:rsid w:val="00395811"/>
    <w:rsid w:val="003958E0"/>
    <w:rsid w:val="00395973"/>
    <w:rsid w:val="00395D2C"/>
    <w:rsid w:val="00395D35"/>
    <w:rsid w:val="00395E79"/>
    <w:rsid w:val="00396207"/>
    <w:rsid w:val="00396698"/>
    <w:rsid w:val="003967A7"/>
    <w:rsid w:val="00396A56"/>
    <w:rsid w:val="0039704E"/>
    <w:rsid w:val="00397316"/>
    <w:rsid w:val="0039732A"/>
    <w:rsid w:val="003977D4"/>
    <w:rsid w:val="00397821"/>
    <w:rsid w:val="003A04C0"/>
    <w:rsid w:val="003A07C8"/>
    <w:rsid w:val="003A084E"/>
    <w:rsid w:val="003A0F35"/>
    <w:rsid w:val="003A160A"/>
    <w:rsid w:val="003A1EA0"/>
    <w:rsid w:val="003A217D"/>
    <w:rsid w:val="003A2669"/>
    <w:rsid w:val="003A2B14"/>
    <w:rsid w:val="003A2D30"/>
    <w:rsid w:val="003A2D9C"/>
    <w:rsid w:val="003A30B2"/>
    <w:rsid w:val="003A311D"/>
    <w:rsid w:val="003A3329"/>
    <w:rsid w:val="003A384C"/>
    <w:rsid w:val="003A3991"/>
    <w:rsid w:val="003A3B54"/>
    <w:rsid w:val="003A3E41"/>
    <w:rsid w:val="003A3E8F"/>
    <w:rsid w:val="003A40E0"/>
    <w:rsid w:val="003A41C6"/>
    <w:rsid w:val="003A429E"/>
    <w:rsid w:val="003A42A7"/>
    <w:rsid w:val="003A4455"/>
    <w:rsid w:val="003A44E7"/>
    <w:rsid w:val="003A4809"/>
    <w:rsid w:val="003A51A7"/>
    <w:rsid w:val="003A590C"/>
    <w:rsid w:val="003A5A6C"/>
    <w:rsid w:val="003A5C10"/>
    <w:rsid w:val="003A5C65"/>
    <w:rsid w:val="003A6006"/>
    <w:rsid w:val="003A604C"/>
    <w:rsid w:val="003A617B"/>
    <w:rsid w:val="003A63B9"/>
    <w:rsid w:val="003A6626"/>
    <w:rsid w:val="003A7388"/>
    <w:rsid w:val="003A7DCC"/>
    <w:rsid w:val="003B03B0"/>
    <w:rsid w:val="003B066C"/>
    <w:rsid w:val="003B0DDD"/>
    <w:rsid w:val="003B14CE"/>
    <w:rsid w:val="003B1A5F"/>
    <w:rsid w:val="003B1C3A"/>
    <w:rsid w:val="003B1D60"/>
    <w:rsid w:val="003B1EA4"/>
    <w:rsid w:val="003B20B9"/>
    <w:rsid w:val="003B22DD"/>
    <w:rsid w:val="003B294D"/>
    <w:rsid w:val="003B2AB0"/>
    <w:rsid w:val="003B2B2F"/>
    <w:rsid w:val="003B2F1B"/>
    <w:rsid w:val="003B3612"/>
    <w:rsid w:val="003B3728"/>
    <w:rsid w:val="003B39BF"/>
    <w:rsid w:val="003B479D"/>
    <w:rsid w:val="003B4C61"/>
    <w:rsid w:val="003B4E96"/>
    <w:rsid w:val="003B5109"/>
    <w:rsid w:val="003B5590"/>
    <w:rsid w:val="003B5B2D"/>
    <w:rsid w:val="003B5E58"/>
    <w:rsid w:val="003B5E6D"/>
    <w:rsid w:val="003B5E7F"/>
    <w:rsid w:val="003B5EEA"/>
    <w:rsid w:val="003B6002"/>
    <w:rsid w:val="003B6B8A"/>
    <w:rsid w:val="003B7205"/>
    <w:rsid w:val="003B76D7"/>
    <w:rsid w:val="003B770B"/>
    <w:rsid w:val="003B7769"/>
    <w:rsid w:val="003B7860"/>
    <w:rsid w:val="003B78D2"/>
    <w:rsid w:val="003B790E"/>
    <w:rsid w:val="003B797C"/>
    <w:rsid w:val="003B7BB9"/>
    <w:rsid w:val="003C0465"/>
    <w:rsid w:val="003C0733"/>
    <w:rsid w:val="003C0CF1"/>
    <w:rsid w:val="003C1202"/>
    <w:rsid w:val="003C193B"/>
    <w:rsid w:val="003C1C5E"/>
    <w:rsid w:val="003C1DF0"/>
    <w:rsid w:val="003C1E26"/>
    <w:rsid w:val="003C1FF6"/>
    <w:rsid w:val="003C245C"/>
    <w:rsid w:val="003C2748"/>
    <w:rsid w:val="003C291A"/>
    <w:rsid w:val="003C2A0A"/>
    <w:rsid w:val="003C2D8E"/>
    <w:rsid w:val="003C3680"/>
    <w:rsid w:val="003C3A6D"/>
    <w:rsid w:val="003C3DC0"/>
    <w:rsid w:val="003C3E67"/>
    <w:rsid w:val="003C4B57"/>
    <w:rsid w:val="003C4C59"/>
    <w:rsid w:val="003C5751"/>
    <w:rsid w:val="003C57F3"/>
    <w:rsid w:val="003C58E4"/>
    <w:rsid w:val="003C5F40"/>
    <w:rsid w:val="003C60EE"/>
    <w:rsid w:val="003C60FB"/>
    <w:rsid w:val="003C61D0"/>
    <w:rsid w:val="003C6803"/>
    <w:rsid w:val="003C6887"/>
    <w:rsid w:val="003C6A90"/>
    <w:rsid w:val="003C7793"/>
    <w:rsid w:val="003C7969"/>
    <w:rsid w:val="003C7B59"/>
    <w:rsid w:val="003D0067"/>
    <w:rsid w:val="003D0597"/>
    <w:rsid w:val="003D0DFD"/>
    <w:rsid w:val="003D0E6E"/>
    <w:rsid w:val="003D101C"/>
    <w:rsid w:val="003D1050"/>
    <w:rsid w:val="003D1CE9"/>
    <w:rsid w:val="003D202B"/>
    <w:rsid w:val="003D209F"/>
    <w:rsid w:val="003D217A"/>
    <w:rsid w:val="003D21AC"/>
    <w:rsid w:val="003D25FD"/>
    <w:rsid w:val="003D26B7"/>
    <w:rsid w:val="003D27D4"/>
    <w:rsid w:val="003D27DB"/>
    <w:rsid w:val="003D2A0E"/>
    <w:rsid w:val="003D2A3A"/>
    <w:rsid w:val="003D2F5D"/>
    <w:rsid w:val="003D341A"/>
    <w:rsid w:val="003D34BD"/>
    <w:rsid w:val="003D363A"/>
    <w:rsid w:val="003D36B0"/>
    <w:rsid w:val="003D3959"/>
    <w:rsid w:val="003D3DAF"/>
    <w:rsid w:val="003D3EDC"/>
    <w:rsid w:val="003D42DE"/>
    <w:rsid w:val="003D43E6"/>
    <w:rsid w:val="003D447C"/>
    <w:rsid w:val="003D45F2"/>
    <w:rsid w:val="003D4674"/>
    <w:rsid w:val="003D4F0C"/>
    <w:rsid w:val="003D4FA3"/>
    <w:rsid w:val="003D51E5"/>
    <w:rsid w:val="003D52FA"/>
    <w:rsid w:val="003D53D2"/>
    <w:rsid w:val="003D5498"/>
    <w:rsid w:val="003D5504"/>
    <w:rsid w:val="003D5AED"/>
    <w:rsid w:val="003D5CB3"/>
    <w:rsid w:val="003D5F54"/>
    <w:rsid w:val="003D60E2"/>
    <w:rsid w:val="003D62B9"/>
    <w:rsid w:val="003D6813"/>
    <w:rsid w:val="003D6A52"/>
    <w:rsid w:val="003D6B88"/>
    <w:rsid w:val="003D707A"/>
    <w:rsid w:val="003D7327"/>
    <w:rsid w:val="003D739F"/>
    <w:rsid w:val="003D7C7C"/>
    <w:rsid w:val="003E00AE"/>
    <w:rsid w:val="003E00F2"/>
    <w:rsid w:val="003E04AA"/>
    <w:rsid w:val="003E055E"/>
    <w:rsid w:val="003E06E6"/>
    <w:rsid w:val="003E09D3"/>
    <w:rsid w:val="003E0D8C"/>
    <w:rsid w:val="003E13BB"/>
    <w:rsid w:val="003E162D"/>
    <w:rsid w:val="003E1BF3"/>
    <w:rsid w:val="003E1CD4"/>
    <w:rsid w:val="003E1E87"/>
    <w:rsid w:val="003E205A"/>
    <w:rsid w:val="003E2178"/>
    <w:rsid w:val="003E2707"/>
    <w:rsid w:val="003E281C"/>
    <w:rsid w:val="003E2DBF"/>
    <w:rsid w:val="003E38EC"/>
    <w:rsid w:val="003E3B7A"/>
    <w:rsid w:val="003E3BD3"/>
    <w:rsid w:val="003E3DE6"/>
    <w:rsid w:val="003E3F6D"/>
    <w:rsid w:val="003E3F9C"/>
    <w:rsid w:val="003E40AF"/>
    <w:rsid w:val="003E4183"/>
    <w:rsid w:val="003E454F"/>
    <w:rsid w:val="003E49AE"/>
    <w:rsid w:val="003E4A37"/>
    <w:rsid w:val="003E4AFF"/>
    <w:rsid w:val="003E4B3E"/>
    <w:rsid w:val="003E4DE2"/>
    <w:rsid w:val="003E511D"/>
    <w:rsid w:val="003E5775"/>
    <w:rsid w:val="003E5F95"/>
    <w:rsid w:val="003E6013"/>
    <w:rsid w:val="003E60BB"/>
    <w:rsid w:val="003E6605"/>
    <w:rsid w:val="003E68F6"/>
    <w:rsid w:val="003E6999"/>
    <w:rsid w:val="003E6B01"/>
    <w:rsid w:val="003E6C86"/>
    <w:rsid w:val="003E725D"/>
    <w:rsid w:val="003E738E"/>
    <w:rsid w:val="003E73A9"/>
    <w:rsid w:val="003E74A2"/>
    <w:rsid w:val="003E7E42"/>
    <w:rsid w:val="003F004A"/>
    <w:rsid w:val="003F0170"/>
    <w:rsid w:val="003F01A0"/>
    <w:rsid w:val="003F0294"/>
    <w:rsid w:val="003F0312"/>
    <w:rsid w:val="003F08E3"/>
    <w:rsid w:val="003F0D6B"/>
    <w:rsid w:val="003F0FA2"/>
    <w:rsid w:val="003F1421"/>
    <w:rsid w:val="003F1BE1"/>
    <w:rsid w:val="003F1D56"/>
    <w:rsid w:val="003F1D62"/>
    <w:rsid w:val="003F1D9D"/>
    <w:rsid w:val="003F1E89"/>
    <w:rsid w:val="003F23EC"/>
    <w:rsid w:val="003F28CA"/>
    <w:rsid w:val="003F28FA"/>
    <w:rsid w:val="003F2C48"/>
    <w:rsid w:val="003F3322"/>
    <w:rsid w:val="003F3456"/>
    <w:rsid w:val="003F3684"/>
    <w:rsid w:val="003F3749"/>
    <w:rsid w:val="003F3C41"/>
    <w:rsid w:val="003F3C5D"/>
    <w:rsid w:val="003F3D05"/>
    <w:rsid w:val="003F3F1B"/>
    <w:rsid w:val="003F4145"/>
    <w:rsid w:val="003F41AE"/>
    <w:rsid w:val="003F41D9"/>
    <w:rsid w:val="003F447F"/>
    <w:rsid w:val="003F4864"/>
    <w:rsid w:val="003F4C9A"/>
    <w:rsid w:val="003F4ED6"/>
    <w:rsid w:val="003F4F24"/>
    <w:rsid w:val="003F5005"/>
    <w:rsid w:val="003F510F"/>
    <w:rsid w:val="003F56FC"/>
    <w:rsid w:val="003F5B8C"/>
    <w:rsid w:val="003F5DEA"/>
    <w:rsid w:val="003F5F11"/>
    <w:rsid w:val="003F69FE"/>
    <w:rsid w:val="003F6BD6"/>
    <w:rsid w:val="003F6C6F"/>
    <w:rsid w:val="003F6C98"/>
    <w:rsid w:val="003F6F7E"/>
    <w:rsid w:val="003F775B"/>
    <w:rsid w:val="003F7D75"/>
    <w:rsid w:val="003F7F72"/>
    <w:rsid w:val="00400D13"/>
    <w:rsid w:val="0040141D"/>
    <w:rsid w:val="004014C1"/>
    <w:rsid w:val="004015F8"/>
    <w:rsid w:val="0040171A"/>
    <w:rsid w:val="00401DF3"/>
    <w:rsid w:val="00402041"/>
    <w:rsid w:val="00402060"/>
    <w:rsid w:val="004023CF"/>
    <w:rsid w:val="00402427"/>
    <w:rsid w:val="004025FD"/>
    <w:rsid w:val="00402B9D"/>
    <w:rsid w:val="00403182"/>
    <w:rsid w:val="00403990"/>
    <w:rsid w:val="00403C5F"/>
    <w:rsid w:val="004040A0"/>
    <w:rsid w:val="004041A5"/>
    <w:rsid w:val="00404218"/>
    <w:rsid w:val="00404775"/>
    <w:rsid w:val="00404A9C"/>
    <w:rsid w:val="00404F50"/>
    <w:rsid w:val="004055B3"/>
    <w:rsid w:val="0040577C"/>
    <w:rsid w:val="00405A71"/>
    <w:rsid w:val="00405EC6"/>
    <w:rsid w:val="0040604F"/>
    <w:rsid w:val="004060CD"/>
    <w:rsid w:val="00406105"/>
    <w:rsid w:val="004061F8"/>
    <w:rsid w:val="00406690"/>
    <w:rsid w:val="0040683C"/>
    <w:rsid w:val="004069D8"/>
    <w:rsid w:val="00407247"/>
    <w:rsid w:val="0040763C"/>
    <w:rsid w:val="004079D4"/>
    <w:rsid w:val="00407B68"/>
    <w:rsid w:val="00407CF6"/>
    <w:rsid w:val="004101CF"/>
    <w:rsid w:val="004102C1"/>
    <w:rsid w:val="0041051C"/>
    <w:rsid w:val="00410687"/>
    <w:rsid w:val="00410964"/>
    <w:rsid w:val="00410B3E"/>
    <w:rsid w:val="00410B8B"/>
    <w:rsid w:val="00410B8C"/>
    <w:rsid w:val="00411317"/>
    <w:rsid w:val="00411424"/>
    <w:rsid w:val="0041163C"/>
    <w:rsid w:val="0041190D"/>
    <w:rsid w:val="00411C9E"/>
    <w:rsid w:val="00411D80"/>
    <w:rsid w:val="00411FF5"/>
    <w:rsid w:val="00412A09"/>
    <w:rsid w:val="0041352B"/>
    <w:rsid w:val="0041375B"/>
    <w:rsid w:val="00413C53"/>
    <w:rsid w:val="00413D5C"/>
    <w:rsid w:val="00414231"/>
    <w:rsid w:val="00414289"/>
    <w:rsid w:val="0041462A"/>
    <w:rsid w:val="00414A49"/>
    <w:rsid w:val="00415336"/>
    <w:rsid w:val="004154CC"/>
    <w:rsid w:val="00415621"/>
    <w:rsid w:val="0041563C"/>
    <w:rsid w:val="004156D7"/>
    <w:rsid w:val="004157D1"/>
    <w:rsid w:val="00415B69"/>
    <w:rsid w:val="00415E9C"/>
    <w:rsid w:val="004162E4"/>
    <w:rsid w:val="004164F3"/>
    <w:rsid w:val="004168C8"/>
    <w:rsid w:val="00416D10"/>
    <w:rsid w:val="00416D1E"/>
    <w:rsid w:val="004172CE"/>
    <w:rsid w:val="00417748"/>
    <w:rsid w:val="00417763"/>
    <w:rsid w:val="00417A0D"/>
    <w:rsid w:val="00417BDB"/>
    <w:rsid w:val="00417F0B"/>
    <w:rsid w:val="0042050F"/>
    <w:rsid w:val="0042072D"/>
    <w:rsid w:val="004208A5"/>
    <w:rsid w:val="00420A10"/>
    <w:rsid w:val="00420CD5"/>
    <w:rsid w:val="00421530"/>
    <w:rsid w:val="00421A1F"/>
    <w:rsid w:val="00421A90"/>
    <w:rsid w:val="00421DB5"/>
    <w:rsid w:val="00422096"/>
    <w:rsid w:val="00422A4F"/>
    <w:rsid w:val="00422B0C"/>
    <w:rsid w:val="00422FBC"/>
    <w:rsid w:val="00423249"/>
    <w:rsid w:val="00423999"/>
    <w:rsid w:val="00423C02"/>
    <w:rsid w:val="004242BF"/>
    <w:rsid w:val="004248F9"/>
    <w:rsid w:val="00424993"/>
    <w:rsid w:val="00424C06"/>
    <w:rsid w:val="00424ED3"/>
    <w:rsid w:val="00424FB7"/>
    <w:rsid w:val="00425099"/>
    <w:rsid w:val="004255CF"/>
    <w:rsid w:val="004256F2"/>
    <w:rsid w:val="00425766"/>
    <w:rsid w:val="0042596B"/>
    <w:rsid w:val="00425B0A"/>
    <w:rsid w:val="00425DD7"/>
    <w:rsid w:val="00426052"/>
    <w:rsid w:val="00426071"/>
    <w:rsid w:val="004262CB"/>
    <w:rsid w:val="00426B5E"/>
    <w:rsid w:val="00426E4A"/>
    <w:rsid w:val="00427066"/>
    <w:rsid w:val="0042718F"/>
    <w:rsid w:val="00427197"/>
    <w:rsid w:val="0042742A"/>
    <w:rsid w:val="00427449"/>
    <w:rsid w:val="004274AA"/>
    <w:rsid w:val="00427935"/>
    <w:rsid w:val="00427A25"/>
    <w:rsid w:val="004306B4"/>
    <w:rsid w:val="004309AD"/>
    <w:rsid w:val="00430B15"/>
    <w:rsid w:val="004313A0"/>
    <w:rsid w:val="004314E4"/>
    <w:rsid w:val="00431672"/>
    <w:rsid w:val="0043169E"/>
    <w:rsid w:val="004318E0"/>
    <w:rsid w:val="004319F3"/>
    <w:rsid w:val="00431AD8"/>
    <w:rsid w:val="00431CB6"/>
    <w:rsid w:val="00432815"/>
    <w:rsid w:val="00432B6E"/>
    <w:rsid w:val="00432D8E"/>
    <w:rsid w:val="00433046"/>
    <w:rsid w:val="0043307C"/>
    <w:rsid w:val="004334BE"/>
    <w:rsid w:val="004336EE"/>
    <w:rsid w:val="00433F32"/>
    <w:rsid w:val="00434033"/>
    <w:rsid w:val="00434561"/>
    <w:rsid w:val="0043486B"/>
    <w:rsid w:val="00434CF2"/>
    <w:rsid w:val="00434D78"/>
    <w:rsid w:val="00434E21"/>
    <w:rsid w:val="00435881"/>
    <w:rsid w:val="00435B71"/>
    <w:rsid w:val="00435B7A"/>
    <w:rsid w:val="00435FB4"/>
    <w:rsid w:val="0043641A"/>
    <w:rsid w:val="004366E6"/>
    <w:rsid w:val="00436965"/>
    <w:rsid w:val="00436C59"/>
    <w:rsid w:val="00436D18"/>
    <w:rsid w:val="00436EBF"/>
    <w:rsid w:val="004373AB"/>
    <w:rsid w:val="00437CF3"/>
    <w:rsid w:val="0043D11D"/>
    <w:rsid w:val="004400FA"/>
    <w:rsid w:val="00440280"/>
    <w:rsid w:val="004405CE"/>
    <w:rsid w:val="00440708"/>
    <w:rsid w:val="004407D6"/>
    <w:rsid w:val="00440840"/>
    <w:rsid w:val="00440EFD"/>
    <w:rsid w:val="0044199D"/>
    <w:rsid w:val="004419B0"/>
    <w:rsid w:val="00442322"/>
    <w:rsid w:val="004425C8"/>
    <w:rsid w:val="004425F0"/>
    <w:rsid w:val="00442DE9"/>
    <w:rsid w:val="00442EAC"/>
    <w:rsid w:val="00443501"/>
    <w:rsid w:val="00443A5E"/>
    <w:rsid w:val="004444A5"/>
    <w:rsid w:val="004444C1"/>
    <w:rsid w:val="00444A82"/>
    <w:rsid w:val="00444A92"/>
    <w:rsid w:val="00444C2C"/>
    <w:rsid w:val="00444C89"/>
    <w:rsid w:val="00444FD8"/>
    <w:rsid w:val="0044521C"/>
    <w:rsid w:val="00445632"/>
    <w:rsid w:val="0044589D"/>
    <w:rsid w:val="00445C7F"/>
    <w:rsid w:val="00445E2E"/>
    <w:rsid w:val="00445E79"/>
    <w:rsid w:val="00446849"/>
    <w:rsid w:val="00446F6F"/>
    <w:rsid w:val="00447014"/>
    <w:rsid w:val="00447705"/>
    <w:rsid w:val="00447A45"/>
    <w:rsid w:val="00447BE6"/>
    <w:rsid w:val="004502C0"/>
    <w:rsid w:val="004505B6"/>
    <w:rsid w:val="0045062C"/>
    <w:rsid w:val="004507BE"/>
    <w:rsid w:val="00450BC0"/>
    <w:rsid w:val="00451224"/>
    <w:rsid w:val="00451609"/>
    <w:rsid w:val="004517B6"/>
    <w:rsid w:val="004517D6"/>
    <w:rsid w:val="004517FF"/>
    <w:rsid w:val="0045180D"/>
    <w:rsid w:val="00451997"/>
    <w:rsid w:val="004519F2"/>
    <w:rsid w:val="00451B8C"/>
    <w:rsid w:val="00451CA6"/>
    <w:rsid w:val="00451D0E"/>
    <w:rsid w:val="00451DE8"/>
    <w:rsid w:val="00451E5A"/>
    <w:rsid w:val="004521DA"/>
    <w:rsid w:val="004524B6"/>
    <w:rsid w:val="004524EC"/>
    <w:rsid w:val="00452643"/>
    <w:rsid w:val="00452725"/>
    <w:rsid w:val="00452ACD"/>
    <w:rsid w:val="00452EE7"/>
    <w:rsid w:val="00452F98"/>
    <w:rsid w:val="004530AF"/>
    <w:rsid w:val="0045335B"/>
    <w:rsid w:val="004533EB"/>
    <w:rsid w:val="004537FF"/>
    <w:rsid w:val="00453ABE"/>
    <w:rsid w:val="00453E0F"/>
    <w:rsid w:val="00454233"/>
    <w:rsid w:val="00454694"/>
    <w:rsid w:val="004548E9"/>
    <w:rsid w:val="00454ADE"/>
    <w:rsid w:val="004552F0"/>
    <w:rsid w:val="0045608C"/>
    <w:rsid w:val="004560F1"/>
    <w:rsid w:val="00456308"/>
    <w:rsid w:val="004563F8"/>
    <w:rsid w:val="004564B7"/>
    <w:rsid w:val="0045661F"/>
    <w:rsid w:val="00456931"/>
    <w:rsid w:val="0045697B"/>
    <w:rsid w:val="00456CD7"/>
    <w:rsid w:val="00457763"/>
    <w:rsid w:val="00457C35"/>
    <w:rsid w:val="004608AF"/>
    <w:rsid w:val="00460A73"/>
    <w:rsid w:val="00460E16"/>
    <w:rsid w:val="00461621"/>
    <w:rsid w:val="0046164D"/>
    <w:rsid w:val="0046178A"/>
    <w:rsid w:val="004619B9"/>
    <w:rsid w:val="0046221C"/>
    <w:rsid w:val="00462299"/>
    <w:rsid w:val="004623F4"/>
    <w:rsid w:val="0046245E"/>
    <w:rsid w:val="00462C83"/>
    <w:rsid w:val="00462D7D"/>
    <w:rsid w:val="00463244"/>
    <w:rsid w:val="0046343D"/>
    <w:rsid w:val="004638CF"/>
    <w:rsid w:val="00463B78"/>
    <w:rsid w:val="00463D8A"/>
    <w:rsid w:val="00464107"/>
    <w:rsid w:val="004641A7"/>
    <w:rsid w:val="00464275"/>
    <w:rsid w:val="004647E6"/>
    <w:rsid w:val="00464A2C"/>
    <w:rsid w:val="00464DC2"/>
    <w:rsid w:val="00464E41"/>
    <w:rsid w:val="00465048"/>
    <w:rsid w:val="0046586A"/>
    <w:rsid w:val="00465A19"/>
    <w:rsid w:val="00465B61"/>
    <w:rsid w:val="00465B70"/>
    <w:rsid w:val="00465B9A"/>
    <w:rsid w:val="00465C2D"/>
    <w:rsid w:val="00465E1A"/>
    <w:rsid w:val="00466562"/>
    <w:rsid w:val="0046672D"/>
    <w:rsid w:val="00466892"/>
    <w:rsid w:val="00466A45"/>
    <w:rsid w:val="00467E61"/>
    <w:rsid w:val="0046E9E0"/>
    <w:rsid w:val="0047025F"/>
    <w:rsid w:val="00470780"/>
    <w:rsid w:val="0047084D"/>
    <w:rsid w:val="00470A23"/>
    <w:rsid w:val="00470CAB"/>
    <w:rsid w:val="00470F52"/>
    <w:rsid w:val="0047109A"/>
    <w:rsid w:val="00471298"/>
    <w:rsid w:val="00471428"/>
    <w:rsid w:val="004715BD"/>
    <w:rsid w:val="00471641"/>
    <w:rsid w:val="00471AE3"/>
    <w:rsid w:val="00471FE5"/>
    <w:rsid w:val="004722FE"/>
    <w:rsid w:val="00473092"/>
    <w:rsid w:val="004730D3"/>
    <w:rsid w:val="004735F6"/>
    <w:rsid w:val="00473D63"/>
    <w:rsid w:val="00473D74"/>
    <w:rsid w:val="00473F78"/>
    <w:rsid w:val="00474173"/>
    <w:rsid w:val="004741E4"/>
    <w:rsid w:val="004742A8"/>
    <w:rsid w:val="0047451E"/>
    <w:rsid w:val="00474A47"/>
    <w:rsid w:val="00475122"/>
    <w:rsid w:val="004754B9"/>
    <w:rsid w:val="00475E0A"/>
    <w:rsid w:val="004760A6"/>
    <w:rsid w:val="004768FB"/>
    <w:rsid w:val="00477849"/>
    <w:rsid w:val="004779E6"/>
    <w:rsid w:val="00477A0A"/>
    <w:rsid w:val="00480089"/>
    <w:rsid w:val="00480138"/>
    <w:rsid w:val="00480550"/>
    <w:rsid w:val="0048060D"/>
    <w:rsid w:val="004813E2"/>
    <w:rsid w:val="0048147A"/>
    <w:rsid w:val="00481972"/>
    <w:rsid w:val="00482158"/>
    <w:rsid w:val="00482294"/>
    <w:rsid w:val="00482718"/>
    <w:rsid w:val="00482C8B"/>
    <w:rsid w:val="00482DE7"/>
    <w:rsid w:val="0048312A"/>
    <w:rsid w:val="004832A3"/>
    <w:rsid w:val="004834BC"/>
    <w:rsid w:val="00483518"/>
    <w:rsid w:val="0048446A"/>
    <w:rsid w:val="00484C81"/>
    <w:rsid w:val="00485043"/>
    <w:rsid w:val="004851D9"/>
    <w:rsid w:val="0048534C"/>
    <w:rsid w:val="0048538D"/>
    <w:rsid w:val="00485C54"/>
    <w:rsid w:val="004860AC"/>
    <w:rsid w:val="004862B5"/>
    <w:rsid w:val="004863D9"/>
    <w:rsid w:val="00486609"/>
    <w:rsid w:val="00486675"/>
    <w:rsid w:val="004866AF"/>
    <w:rsid w:val="00486D2F"/>
    <w:rsid w:val="00486F2C"/>
    <w:rsid w:val="00487696"/>
    <w:rsid w:val="00487C0C"/>
    <w:rsid w:val="00490696"/>
    <w:rsid w:val="004906B4"/>
    <w:rsid w:val="00490AFD"/>
    <w:rsid w:val="004912C0"/>
    <w:rsid w:val="004915AC"/>
    <w:rsid w:val="004915EC"/>
    <w:rsid w:val="00491DF7"/>
    <w:rsid w:val="004920A7"/>
    <w:rsid w:val="004922BD"/>
    <w:rsid w:val="004923B2"/>
    <w:rsid w:val="00492679"/>
    <w:rsid w:val="004926F5"/>
    <w:rsid w:val="004927F5"/>
    <w:rsid w:val="00492C37"/>
    <w:rsid w:val="00492FE0"/>
    <w:rsid w:val="004932B4"/>
    <w:rsid w:val="0049338C"/>
    <w:rsid w:val="0049371A"/>
    <w:rsid w:val="0049399A"/>
    <w:rsid w:val="00494026"/>
    <w:rsid w:val="004941D4"/>
    <w:rsid w:val="004946F4"/>
    <w:rsid w:val="00494809"/>
    <w:rsid w:val="0049493B"/>
    <w:rsid w:val="00494D36"/>
    <w:rsid w:val="00494E11"/>
    <w:rsid w:val="00494E48"/>
    <w:rsid w:val="00494E76"/>
    <w:rsid w:val="004952A0"/>
    <w:rsid w:val="004956F8"/>
    <w:rsid w:val="00495814"/>
    <w:rsid w:val="00495B75"/>
    <w:rsid w:val="00495CA6"/>
    <w:rsid w:val="004966BA"/>
    <w:rsid w:val="004967FC"/>
    <w:rsid w:val="004968F0"/>
    <w:rsid w:val="00497559"/>
    <w:rsid w:val="00497618"/>
    <w:rsid w:val="00497D2E"/>
    <w:rsid w:val="00497EBA"/>
    <w:rsid w:val="00497F29"/>
    <w:rsid w:val="004A0B6B"/>
    <w:rsid w:val="004A0B7A"/>
    <w:rsid w:val="004A0F49"/>
    <w:rsid w:val="004A13FD"/>
    <w:rsid w:val="004A17BC"/>
    <w:rsid w:val="004A1A26"/>
    <w:rsid w:val="004A1A92"/>
    <w:rsid w:val="004A1F11"/>
    <w:rsid w:val="004A210B"/>
    <w:rsid w:val="004A242E"/>
    <w:rsid w:val="004A278C"/>
    <w:rsid w:val="004A281D"/>
    <w:rsid w:val="004A2C32"/>
    <w:rsid w:val="004A34A8"/>
    <w:rsid w:val="004A36AF"/>
    <w:rsid w:val="004A4988"/>
    <w:rsid w:val="004A49CB"/>
    <w:rsid w:val="004A4B04"/>
    <w:rsid w:val="004A4C09"/>
    <w:rsid w:val="004A4DC8"/>
    <w:rsid w:val="004A4E4B"/>
    <w:rsid w:val="004A5089"/>
    <w:rsid w:val="004A528D"/>
    <w:rsid w:val="004A55E5"/>
    <w:rsid w:val="004A5702"/>
    <w:rsid w:val="004A57C9"/>
    <w:rsid w:val="004A5936"/>
    <w:rsid w:val="004A593B"/>
    <w:rsid w:val="004A61DF"/>
    <w:rsid w:val="004A6255"/>
    <w:rsid w:val="004A62A1"/>
    <w:rsid w:val="004A62B2"/>
    <w:rsid w:val="004A6868"/>
    <w:rsid w:val="004A6913"/>
    <w:rsid w:val="004A6F59"/>
    <w:rsid w:val="004A776A"/>
    <w:rsid w:val="004A7859"/>
    <w:rsid w:val="004A7BD2"/>
    <w:rsid w:val="004B0204"/>
    <w:rsid w:val="004B04E1"/>
    <w:rsid w:val="004B0700"/>
    <w:rsid w:val="004B08B1"/>
    <w:rsid w:val="004B0C8E"/>
    <w:rsid w:val="004B145D"/>
    <w:rsid w:val="004B14E9"/>
    <w:rsid w:val="004B1645"/>
    <w:rsid w:val="004B1B8A"/>
    <w:rsid w:val="004B24E4"/>
    <w:rsid w:val="004B2DD5"/>
    <w:rsid w:val="004B2EC3"/>
    <w:rsid w:val="004B35F0"/>
    <w:rsid w:val="004B3677"/>
    <w:rsid w:val="004B39DF"/>
    <w:rsid w:val="004B3D81"/>
    <w:rsid w:val="004B3FE0"/>
    <w:rsid w:val="004B41AB"/>
    <w:rsid w:val="004B4833"/>
    <w:rsid w:val="004B4A5A"/>
    <w:rsid w:val="004B4A83"/>
    <w:rsid w:val="004B51E1"/>
    <w:rsid w:val="004B5B1C"/>
    <w:rsid w:val="004B5C71"/>
    <w:rsid w:val="004B6370"/>
    <w:rsid w:val="004B6B5D"/>
    <w:rsid w:val="004B7204"/>
    <w:rsid w:val="004C0336"/>
    <w:rsid w:val="004C0C15"/>
    <w:rsid w:val="004C0E17"/>
    <w:rsid w:val="004C10F0"/>
    <w:rsid w:val="004C1C65"/>
    <w:rsid w:val="004C1D38"/>
    <w:rsid w:val="004C1D9E"/>
    <w:rsid w:val="004C1EE4"/>
    <w:rsid w:val="004C20A3"/>
    <w:rsid w:val="004C218D"/>
    <w:rsid w:val="004C2280"/>
    <w:rsid w:val="004C29A7"/>
    <w:rsid w:val="004C2BA9"/>
    <w:rsid w:val="004C2BF5"/>
    <w:rsid w:val="004C2FEF"/>
    <w:rsid w:val="004C34C4"/>
    <w:rsid w:val="004C3CEA"/>
    <w:rsid w:val="004C3E23"/>
    <w:rsid w:val="004C41D2"/>
    <w:rsid w:val="004C43BB"/>
    <w:rsid w:val="004C4C00"/>
    <w:rsid w:val="004C4E06"/>
    <w:rsid w:val="004C5124"/>
    <w:rsid w:val="004C5373"/>
    <w:rsid w:val="004C5B5F"/>
    <w:rsid w:val="004C5D18"/>
    <w:rsid w:val="004C5EE8"/>
    <w:rsid w:val="004C60E3"/>
    <w:rsid w:val="004C63FF"/>
    <w:rsid w:val="004C668A"/>
    <w:rsid w:val="004C68E2"/>
    <w:rsid w:val="004C6E60"/>
    <w:rsid w:val="004C7233"/>
    <w:rsid w:val="004C7548"/>
    <w:rsid w:val="004C7DA5"/>
    <w:rsid w:val="004C7F4B"/>
    <w:rsid w:val="004D00D2"/>
    <w:rsid w:val="004D0D8C"/>
    <w:rsid w:val="004D1515"/>
    <w:rsid w:val="004D15FE"/>
    <w:rsid w:val="004D19FF"/>
    <w:rsid w:val="004D22B2"/>
    <w:rsid w:val="004D3334"/>
    <w:rsid w:val="004D34A4"/>
    <w:rsid w:val="004D35EB"/>
    <w:rsid w:val="004D365C"/>
    <w:rsid w:val="004D458B"/>
    <w:rsid w:val="004D49F9"/>
    <w:rsid w:val="004D4B71"/>
    <w:rsid w:val="004D5281"/>
    <w:rsid w:val="004D54A9"/>
    <w:rsid w:val="004D562B"/>
    <w:rsid w:val="004D5E31"/>
    <w:rsid w:val="004D62AE"/>
    <w:rsid w:val="004D64E0"/>
    <w:rsid w:val="004D6E70"/>
    <w:rsid w:val="004D6F56"/>
    <w:rsid w:val="004D72DB"/>
    <w:rsid w:val="004D73AE"/>
    <w:rsid w:val="004D7CA9"/>
    <w:rsid w:val="004E02E6"/>
    <w:rsid w:val="004E099E"/>
    <w:rsid w:val="004E0A6F"/>
    <w:rsid w:val="004E0ED6"/>
    <w:rsid w:val="004E0FA5"/>
    <w:rsid w:val="004E0FF1"/>
    <w:rsid w:val="004E105A"/>
    <w:rsid w:val="004E1128"/>
    <w:rsid w:val="004E1486"/>
    <w:rsid w:val="004E17CB"/>
    <w:rsid w:val="004E1EA7"/>
    <w:rsid w:val="004E1F32"/>
    <w:rsid w:val="004E1F35"/>
    <w:rsid w:val="004E2106"/>
    <w:rsid w:val="004E26ED"/>
    <w:rsid w:val="004E2833"/>
    <w:rsid w:val="004E28C7"/>
    <w:rsid w:val="004E2991"/>
    <w:rsid w:val="004E2C9A"/>
    <w:rsid w:val="004E2FD4"/>
    <w:rsid w:val="004E3399"/>
    <w:rsid w:val="004E34CE"/>
    <w:rsid w:val="004E3571"/>
    <w:rsid w:val="004E3AB4"/>
    <w:rsid w:val="004E470A"/>
    <w:rsid w:val="004E485D"/>
    <w:rsid w:val="004E4869"/>
    <w:rsid w:val="004E4AF5"/>
    <w:rsid w:val="004E4C0E"/>
    <w:rsid w:val="004E4EFA"/>
    <w:rsid w:val="004E5341"/>
    <w:rsid w:val="004E580B"/>
    <w:rsid w:val="004E58E2"/>
    <w:rsid w:val="004E5929"/>
    <w:rsid w:val="004E5CEF"/>
    <w:rsid w:val="004E5F1A"/>
    <w:rsid w:val="004E6199"/>
    <w:rsid w:val="004E6254"/>
    <w:rsid w:val="004E6582"/>
    <w:rsid w:val="004E6908"/>
    <w:rsid w:val="004E6C1B"/>
    <w:rsid w:val="004E6CD4"/>
    <w:rsid w:val="004E6F3D"/>
    <w:rsid w:val="004E7AAE"/>
    <w:rsid w:val="004E7F99"/>
    <w:rsid w:val="004E7FE9"/>
    <w:rsid w:val="004F081B"/>
    <w:rsid w:val="004F0AE6"/>
    <w:rsid w:val="004F0D14"/>
    <w:rsid w:val="004F13D5"/>
    <w:rsid w:val="004F19CB"/>
    <w:rsid w:val="004F2358"/>
    <w:rsid w:val="004F28C7"/>
    <w:rsid w:val="004F2A1B"/>
    <w:rsid w:val="004F2D95"/>
    <w:rsid w:val="004F3275"/>
    <w:rsid w:val="004F32B2"/>
    <w:rsid w:val="004F32F4"/>
    <w:rsid w:val="004F33CE"/>
    <w:rsid w:val="004F3559"/>
    <w:rsid w:val="004F3671"/>
    <w:rsid w:val="004F3A04"/>
    <w:rsid w:val="004F47DA"/>
    <w:rsid w:val="004F48F0"/>
    <w:rsid w:val="004F4D0F"/>
    <w:rsid w:val="004F5187"/>
    <w:rsid w:val="004F527D"/>
    <w:rsid w:val="004F590C"/>
    <w:rsid w:val="004F5A74"/>
    <w:rsid w:val="004F5B4C"/>
    <w:rsid w:val="004F5F58"/>
    <w:rsid w:val="004F6137"/>
    <w:rsid w:val="004F6182"/>
    <w:rsid w:val="004F61A9"/>
    <w:rsid w:val="004F6645"/>
    <w:rsid w:val="004F7255"/>
    <w:rsid w:val="004F72D7"/>
    <w:rsid w:val="004F78E3"/>
    <w:rsid w:val="004F7936"/>
    <w:rsid w:val="004F79BA"/>
    <w:rsid w:val="004F7E84"/>
    <w:rsid w:val="005000BB"/>
    <w:rsid w:val="00500478"/>
    <w:rsid w:val="00500732"/>
    <w:rsid w:val="00500C5B"/>
    <w:rsid w:val="00500FD9"/>
    <w:rsid w:val="00501453"/>
    <w:rsid w:val="0050165F"/>
    <w:rsid w:val="005016CE"/>
    <w:rsid w:val="005017E5"/>
    <w:rsid w:val="00501976"/>
    <w:rsid w:val="00501977"/>
    <w:rsid w:val="005019CF"/>
    <w:rsid w:val="00501C42"/>
    <w:rsid w:val="00501CD0"/>
    <w:rsid w:val="00501F74"/>
    <w:rsid w:val="00502143"/>
    <w:rsid w:val="00502276"/>
    <w:rsid w:val="005022F1"/>
    <w:rsid w:val="0050266F"/>
    <w:rsid w:val="00502774"/>
    <w:rsid w:val="0050284D"/>
    <w:rsid w:val="005029AF"/>
    <w:rsid w:val="00502A34"/>
    <w:rsid w:val="00502B5E"/>
    <w:rsid w:val="00502CD3"/>
    <w:rsid w:val="005031BB"/>
    <w:rsid w:val="00503244"/>
    <w:rsid w:val="00503B6C"/>
    <w:rsid w:val="00503CA3"/>
    <w:rsid w:val="00504898"/>
    <w:rsid w:val="005048B8"/>
    <w:rsid w:val="00504B74"/>
    <w:rsid w:val="0050553C"/>
    <w:rsid w:val="00505E60"/>
    <w:rsid w:val="005061DF"/>
    <w:rsid w:val="00506208"/>
    <w:rsid w:val="00506251"/>
    <w:rsid w:val="005062B8"/>
    <w:rsid w:val="0050668D"/>
    <w:rsid w:val="00506775"/>
    <w:rsid w:val="00507451"/>
    <w:rsid w:val="005079E8"/>
    <w:rsid w:val="00507A9C"/>
    <w:rsid w:val="00507F74"/>
    <w:rsid w:val="005102BB"/>
    <w:rsid w:val="0051062D"/>
    <w:rsid w:val="005109F1"/>
    <w:rsid w:val="00510C7E"/>
    <w:rsid w:val="00510EBE"/>
    <w:rsid w:val="00511142"/>
    <w:rsid w:val="00511799"/>
    <w:rsid w:val="00511A83"/>
    <w:rsid w:val="0051207B"/>
    <w:rsid w:val="00512276"/>
    <w:rsid w:val="00512DB1"/>
    <w:rsid w:val="0051372A"/>
    <w:rsid w:val="00513C66"/>
    <w:rsid w:val="00513E8B"/>
    <w:rsid w:val="005144CA"/>
    <w:rsid w:val="0051453C"/>
    <w:rsid w:val="005145A5"/>
    <w:rsid w:val="0051474D"/>
    <w:rsid w:val="0051480F"/>
    <w:rsid w:val="0051495C"/>
    <w:rsid w:val="00514B58"/>
    <w:rsid w:val="00514D2F"/>
    <w:rsid w:val="005151FF"/>
    <w:rsid w:val="0051530D"/>
    <w:rsid w:val="00515411"/>
    <w:rsid w:val="005154CC"/>
    <w:rsid w:val="0051562C"/>
    <w:rsid w:val="00515A0F"/>
    <w:rsid w:val="00516076"/>
    <w:rsid w:val="005161DC"/>
    <w:rsid w:val="00516382"/>
    <w:rsid w:val="005169D6"/>
    <w:rsid w:val="00516DAF"/>
    <w:rsid w:val="00516F5E"/>
    <w:rsid w:val="005170A0"/>
    <w:rsid w:val="0051726F"/>
    <w:rsid w:val="005177E6"/>
    <w:rsid w:val="005178F7"/>
    <w:rsid w:val="00517A2C"/>
    <w:rsid w:val="00517BB0"/>
    <w:rsid w:val="00517E10"/>
    <w:rsid w:val="00517E35"/>
    <w:rsid w:val="005200B6"/>
    <w:rsid w:val="00520171"/>
    <w:rsid w:val="005204B5"/>
    <w:rsid w:val="005207D3"/>
    <w:rsid w:val="00520935"/>
    <w:rsid w:val="00520AB3"/>
    <w:rsid w:val="00520BF3"/>
    <w:rsid w:val="0052109B"/>
    <w:rsid w:val="005212CA"/>
    <w:rsid w:val="005212F4"/>
    <w:rsid w:val="0052181E"/>
    <w:rsid w:val="005219A6"/>
    <w:rsid w:val="00521C2B"/>
    <w:rsid w:val="00521FF0"/>
    <w:rsid w:val="00522068"/>
    <w:rsid w:val="0052224A"/>
    <w:rsid w:val="0052285D"/>
    <w:rsid w:val="0052308B"/>
    <w:rsid w:val="0052325B"/>
    <w:rsid w:val="00523857"/>
    <w:rsid w:val="0052394D"/>
    <w:rsid w:val="00523A51"/>
    <w:rsid w:val="0052432F"/>
    <w:rsid w:val="00524A78"/>
    <w:rsid w:val="00524D11"/>
    <w:rsid w:val="005256C8"/>
    <w:rsid w:val="0052598A"/>
    <w:rsid w:val="005261CD"/>
    <w:rsid w:val="005266AB"/>
    <w:rsid w:val="00526966"/>
    <w:rsid w:val="00526A42"/>
    <w:rsid w:val="00526A74"/>
    <w:rsid w:val="00526D6D"/>
    <w:rsid w:val="00526D99"/>
    <w:rsid w:val="00526EFF"/>
    <w:rsid w:val="00530595"/>
    <w:rsid w:val="00530857"/>
    <w:rsid w:val="00531880"/>
    <w:rsid w:val="00531A81"/>
    <w:rsid w:val="00531BD6"/>
    <w:rsid w:val="00531BF5"/>
    <w:rsid w:val="00531D3B"/>
    <w:rsid w:val="0053253A"/>
    <w:rsid w:val="00532931"/>
    <w:rsid w:val="00532B36"/>
    <w:rsid w:val="00532D9E"/>
    <w:rsid w:val="00532F8A"/>
    <w:rsid w:val="00533175"/>
    <w:rsid w:val="00533180"/>
    <w:rsid w:val="00533606"/>
    <w:rsid w:val="00533946"/>
    <w:rsid w:val="00533D1F"/>
    <w:rsid w:val="00533F07"/>
    <w:rsid w:val="0053424B"/>
    <w:rsid w:val="005347FE"/>
    <w:rsid w:val="00534ACB"/>
    <w:rsid w:val="005350AC"/>
    <w:rsid w:val="005355AB"/>
    <w:rsid w:val="005355CC"/>
    <w:rsid w:val="00535A30"/>
    <w:rsid w:val="00535D4B"/>
    <w:rsid w:val="0053653E"/>
    <w:rsid w:val="005365E6"/>
    <w:rsid w:val="005367D9"/>
    <w:rsid w:val="0053698B"/>
    <w:rsid w:val="00536C09"/>
    <w:rsid w:val="00537232"/>
    <w:rsid w:val="00537346"/>
    <w:rsid w:val="0053735E"/>
    <w:rsid w:val="00537449"/>
    <w:rsid w:val="005375F3"/>
    <w:rsid w:val="005378BF"/>
    <w:rsid w:val="00537B18"/>
    <w:rsid w:val="00537B7F"/>
    <w:rsid w:val="00537D65"/>
    <w:rsid w:val="005408FE"/>
    <w:rsid w:val="00540BC5"/>
    <w:rsid w:val="00540DB9"/>
    <w:rsid w:val="0054100A"/>
    <w:rsid w:val="0054175B"/>
    <w:rsid w:val="0054183F"/>
    <w:rsid w:val="00542103"/>
    <w:rsid w:val="00542841"/>
    <w:rsid w:val="00542936"/>
    <w:rsid w:val="00542C49"/>
    <w:rsid w:val="00542EAA"/>
    <w:rsid w:val="00543350"/>
    <w:rsid w:val="0054337F"/>
    <w:rsid w:val="005433FF"/>
    <w:rsid w:val="0054358D"/>
    <w:rsid w:val="00543659"/>
    <w:rsid w:val="0054387E"/>
    <w:rsid w:val="00543961"/>
    <w:rsid w:val="00543C03"/>
    <w:rsid w:val="00543C9A"/>
    <w:rsid w:val="00543D72"/>
    <w:rsid w:val="00543DF3"/>
    <w:rsid w:val="00544421"/>
    <w:rsid w:val="005445BF"/>
    <w:rsid w:val="00544752"/>
    <w:rsid w:val="00544EBA"/>
    <w:rsid w:val="005450F9"/>
    <w:rsid w:val="00545104"/>
    <w:rsid w:val="0054521E"/>
    <w:rsid w:val="00545498"/>
    <w:rsid w:val="00545541"/>
    <w:rsid w:val="00545C13"/>
    <w:rsid w:val="00546023"/>
    <w:rsid w:val="0054610B"/>
    <w:rsid w:val="005461C2"/>
    <w:rsid w:val="005467DA"/>
    <w:rsid w:val="00546C28"/>
    <w:rsid w:val="005473A9"/>
    <w:rsid w:val="005474BF"/>
    <w:rsid w:val="005476C9"/>
    <w:rsid w:val="005479EF"/>
    <w:rsid w:val="00547BC4"/>
    <w:rsid w:val="00547BEE"/>
    <w:rsid w:val="00547D01"/>
    <w:rsid w:val="00547D82"/>
    <w:rsid w:val="00547FE6"/>
    <w:rsid w:val="00550604"/>
    <w:rsid w:val="00550641"/>
    <w:rsid w:val="005508AE"/>
    <w:rsid w:val="00550B9B"/>
    <w:rsid w:val="00550E69"/>
    <w:rsid w:val="005511EC"/>
    <w:rsid w:val="00551353"/>
    <w:rsid w:val="00551F83"/>
    <w:rsid w:val="00552014"/>
    <w:rsid w:val="005522FB"/>
    <w:rsid w:val="00552315"/>
    <w:rsid w:val="00552646"/>
    <w:rsid w:val="00552B76"/>
    <w:rsid w:val="005532E6"/>
    <w:rsid w:val="0055369A"/>
    <w:rsid w:val="00554099"/>
    <w:rsid w:val="00554256"/>
    <w:rsid w:val="005542A5"/>
    <w:rsid w:val="0055484E"/>
    <w:rsid w:val="005549B7"/>
    <w:rsid w:val="00554A9B"/>
    <w:rsid w:val="00554DFA"/>
    <w:rsid w:val="00555578"/>
    <w:rsid w:val="00555A39"/>
    <w:rsid w:val="00556B4A"/>
    <w:rsid w:val="00556DC4"/>
    <w:rsid w:val="00556F6B"/>
    <w:rsid w:val="00556FF1"/>
    <w:rsid w:val="00557188"/>
    <w:rsid w:val="00557676"/>
    <w:rsid w:val="00557801"/>
    <w:rsid w:val="00557A67"/>
    <w:rsid w:val="00557D9B"/>
    <w:rsid w:val="005603FD"/>
    <w:rsid w:val="0056060E"/>
    <w:rsid w:val="0056061D"/>
    <w:rsid w:val="005607CC"/>
    <w:rsid w:val="00560864"/>
    <w:rsid w:val="0056090B"/>
    <w:rsid w:val="005609BA"/>
    <w:rsid w:val="00560A26"/>
    <w:rsid w:val="00560F26"/>
    <w:rsid w:val="005610B5"/>
    <w:rsid w:val="00561B31"/>
    <w:rsid w:val="00561F4A"/>
    <w:rsid w:val="0056202A"/>
    <w:rsid w:val="0056267E"/>
    <w:rsid w:val="005626B0"/>
    <w:rsid w:val="00562A1C"/>
    <w:rsid w:val="00562E49"/>
    <w:rsid w:val="0056344F"/>
    <w:rsid w:val="0056350B"/>
    <w:rsid w:val="00563820"/>
    <w:rsid w:val="0056412D"/>
    <w:rsid w:val="00564192"/>
    <w:rsid w:val="00564294"/>
    <w:rsid w:val="00564956"/>
    <w:rsid w:val="0056498B"/>
    <w:rsid w:val="00564B3A"/>
    <w:rsid w:val="00564EAD"/>
    <w:rsid w:val="00564F42"/>
    <w:rsid w:val="0056585A"/>
    <w:rsid w:val="005658B1"/>
    <w:rsid w:val="00565BFE"/>
    <w:rsid w:val="00565D63"/>
    <w:rsid w:val="005669E5"/>
    <w:rsid w:val="005671A9"/>
    <w:rsid w:val="00567377"/>
    <w:rsid w:val="0056782F"/>
    <w:rsid w:val="00567962"/>
    <w:rsid w:val="00567B4D"/>
    <w:rsid w:val="00567BBA"/>
    <w:rsid w:val="00567BD1"/>
    <w:rsid w:val="00567CB8"/>
    <w:rsid w:val="00570093"/>
    <w:rsid w:val="0057065B"/>
    <w:rsid w:val="00570AC1"/>
    <w:rsid w:val="00570EE4"/>
    <w:rsid w:val="00571321"/>
    <w:rsid w:val="00571485"/>
    <w:rsid w:val="005716CA"/>
    <w:rsid w:val="005717C8"/>
    <w:rsid w:val="00571BA4"/>
    <w:rsid w:val="00572369"/>
    <w:rsid w:val="00572437"/>
    <w:rsid w:val="0057274C"/>
    <w:rsid w:val="00572A31"/>
    <w:rsid w:val="00572A9E"/>
    <w:rsid w:val="00572C26"/>
    <w:rsid w:val="00572C4F"/>
    <w:rsid w:val="00572DCA"/>
    <w:rsid w:val="00573076"/>
    <w:rsid w:val="005733BC"/>
    <w:rsid w:val="0057383E"/>
    <w:rsid w:val="00573C3D"/>
    <w:rsid w:val="00573E39"/>
    <w:rsid w:val="00573EAC"/>
    <w:rsid w:val="00573EEA"/>
    <w:rsid w:val="00574593"/>
    <w:rsid w:val="0057506C"/>
    <w:rsid w:val="0057517B"/>
    <w:rsid w:val="00575282"/>
    <w:rsid w:val="00575387"/>
    <w:rsid w:val="00575A55"/>
    <w:rsid w:val="00575DFB"/>
    <w:rsid w:val="00575F05"/>
    <w:rsid w:val="0057610E"/>
    <w:rsid w:val="0057626F"/>
    <w:rsid w:val="00576305"/>
    <w:rsid w:val="0057684E"/>
    <w:rsid w:val="00576B21"/>
    <w:rsid w:val="00576E49"/>
    <w:rsid w:val="00576EBE"/>
    <w:rsid w:val="00577008"/>
    <w:rsid w:val="00577471"/>
    <w:rsid w:val="005775CF"/>
    <w:rsid w:val="0057770C"/>
    <w:rsid w:val="00577CBD"/>
    <w:rsid w:val="00580043"/>
    <w:rsid w:val="005803AC"/>
    <w:rsid w:val="00580B42"/>
    <w:rsid w:val="005814A4"/>
    <w:rsid w:val="00581649"/>
    <w:rsid w:val="005818F1"/>
    <w:rsid w:val="00581AB7"/>
    <w:rsid w:val="00581AC1"/>
    <w:rsid w:val="00581B03"/>
    <w:rsid w:val="00581C10"/>
    <w:rsid w:val="00581D11"/>
    <w:rsid w:val="00581FC3"/>
    <w:rsid w:val="0058214D"/>
    <w:rsid w:val="005821F1"/>
    <w:rsid w:val="005823E4"/>
    <w:rsid w:val="0058264F"/>
    <w:rsid w:val="0058363C"/>
    <w:rsid w:val="00583B39"/>
    <w:rsid w:val="00583D9B"/>
    <w:rsid w:val="00583EA7"/>
    <w:rsid w:val="00583FBF"/>
    <w:rsid w:val="00583FC7"/>
    <w:rsid w:val="005841B6"/>
    <w:rsid w:val="005841E1"/>
    <w:rsid w:val="0058448F"/>
    <w:rsid w:val="005849E9"/>
    <w:rsid w:val="00584A27"/>
    <w:rsid w:val="00584D50"/>
    <w:rsid w:val="00584E62"/>
    <w:rsid w:val="005859C9"/>
    <w:rsid w:val="00586375"/>
    <w:rsid w:val="00586376"/>
    <w:rsid w:val="00586566"/>
    <w:rsid w:val="00586D55"/>
    <w:rsid w:val="00586F19"/>
    <w:rsid w:val="0058733A"/>
    <w:rsid w:val="005875B6"/>
    <w:rsid w:val="0058D2B1"/>
    <w:rsid w:val="0059093D"/>
    <w:rsid w:val="00590B98"/>
    <w:rsid w:val="00590CBB"/>
    <w:rsid w:val="00590DB1"/>
    <w:rsid w:val="00590E67"/>
    <w:rsid w:val="00590EAA"/>
    <w:rsid w:val="00591072"/>
    <w:rsid w:val="005917A3"/>
    <w:rsid w:val="005919F5"/>
    <w:rsid w:val="00591E75"/>
    <w:rsid w:val="005930C5"/>
    <w:rsid w:val="00593154"/>
    <w:rsid w:val="0059316E"/>
    <w:rsid w:val="00593177"/>
    <w:rsid w:val="00593439"/>
    <w:rsid w:val="005935CE"/>
    <w:rsid w:val="0059361A"/>
    <w:rsid w:val="00594F16"/>
    <w:rsid w:val="005950F8"/>
    <w:rsid w:val="005952BB"/>
    <w:rsid w:val="00595C2F"/>
    <w:rsid w:val="00595DD1"/>
    <w:rsid w:val="00596161"/>
    <w:rsid w:val="00596307"/>
    <w:rsid w:val="0059646D"/>
    <w:rsid w:val="005964FF"/>
    <w:rsid w:val="00596B65"/>
    <w:rsid w:val="00596CB8"/>
    <w:rsid w:val="00596E79"/>
    <w:rsid w:val="005972C9"/>
    <w:rsid w:val="00597593"/>
    <w:rsid w:val="00597728"/>
    <w:rsid w:val="005978C2"/>
    <w:rsid w:val="00597A81"/>
    <w:rsid w:val="00597AC2"/>
    <w:rsid w:val="005A01C8"/>
    <w:rsid w:val="005A0398"/>
    <w:rsid w:val="005A0939"/>
    <w:rsid w:val="005A0D47"/>
    <w:rsid w:val="005A10EE"/>
    <w:rsid w:val="005A1107"/>
    <w:rsid w:val="005A12CE"/>
    <w:rsid w:val="005A17AC"/>
    <w:rsid w:val="005A1A94"/>
    <w:rsid w:val="005A1B8C"/>
    <w:rsid w:val="005A1DDA"/>
    <w:rsid w:val="005A1E9E"/>
    <w:rsid w:val="005A2617"/>
    <w:rsid w:val="005A27CE"/>
    <w:rsid w:val="005A27F9"/>
    <w:rsid w:val="005A2990"/>
    <w:rsid w:val="005A2AA9"/>
    <w:rsid w:val="005A2E90"/>
    <w:rsid w:val="005A2EC2"/>
    <w:rsid w:val="005A30C1"/>
    <w:rsid w:val="005A3200"/>
    <w:rsid w:val="005A36C7"/>
    <w:rsid w:val="005A3B12"/>
    <w:rsid w:val="005A3B2C"/>
    <w:rsid w:val="005A3DF8"/>
    <w:rsid w:val="005A492C"/>
    <w:rsid w:val="005A4C9A"/>
    <w:rsid w:val="005A4CA7"/>
    <w:rsid w:val="005A579B"/>
    <w:rsid w:val="005A5E0E"/>
    <w:rsid w:val="005A6587"/>
    <w:rsid w:val="005A68BF"/>
    <w:rsid w:val="005A6CE3"/>
    <w:rsid w:val="005A6F75"/>
    <w:rsid w:val="005A71DD"/>
    <w:rsid w:val="005A72A7"/>
    <w:rsid w:val="005A78BE"/>
    <w:rsid w:val="005A7C34"/>
    <w:rsid w:val="005A7DEF"/>
    <w:rsid w:val="005A7EEB"/>
    <w:rsid w:val="005A7FA9"/>
    <w:rsid w:val="005B02AC"/>
    <w:rsid w:val="005B040F"/>
    <w:rsid w:val="005B0813"/>
    <w:rsid w:val="005B0B79"/>
    <w:rsid w:val="005B0F66"/>
    <w:rsid w:val="005B1220"/>
    <w:rsid w:val="005B1478"/>
    <w:rsid w:val="005B1540"/>
    <w:rsid w:val="005B1828"/>
    <w:rsid w:val="005B1B6E"/>
    <w:rsid w:val="005B1BEE"/>
    <w:rsid w:val="005B1CF8"/>
    <w:rsid w:val="005B1E18"/>
    <w:rsid w:val="005B2001"/>
    <w:rsid w:val="005B2696"/>
    <w:rsid w:val="005B2D7C"/>
    <w:rsid w:val="005B31AA"/>
    <w:rsid w:val="005B31D6"/>
    <w:rsid w:val="005B3A77"/>
    <w:rsid w:val="005B3F31"/>
    <w:rsid w:val="005B3FCE"/>
    <w:rsid w:val="005B41CC"/>
    <w:rsid w:val="005B49FE"/>
    <w:rsid w:val="005B4EA0"/>
    <w:rsid w:val="005B52AE"/>
    <w:rsid w:val="005B53CE"/>
    <w:rsid w:val="005B60CC"/>
    <w:rsid w:val="005B63FA"/>
    <w:rsid w:val="005B652D"/>
    <w:rsid w:val="005B6FFB"/>
    <w:rsid w:val="005B758E"/>
    <w:rsid w:val="005B7D7E"/>
    <w:rsid w:val="005B7ED8"/>
    <w:rsid w:val="005B8BE9"/>
    <w:rsid w:val="005C02B9"/>
    <w:rsid w:val="005C037B"/>
    <w:rsid w:val="005C0730"/>
    <w:rsid w:val="005C0A0D"/>
    <w:rsid w:val="005C12A9"/>
    <w:rsid w:val="005C138B"/>
    <w:rsid w:val="005C1BA7"/>
    <w:rsid w:val="005C1CFB"/>
    <w:rsid w:val="005C22BC"/>
    <w:rsid w:val="005C23D1"/>
    <w:rsid w:val="005C26CD"/>
    <w:rsid w:val="005C2911"/>
    <w:rsid w:val="005C2E4C"/>
    <w:rsid w:val="005C315C"/>
    <w:rsid w:val="005C34C4"/>
    <w:rsid w:val="005C3826"/>
    <w:rsid w:val="005C39BB"/>
    <w:rsid w:val="005C3C48"/>
    <w:rsid w:val="005C41A4"/>
    <w:rsid w:val="005C43C1"/>
    <w:rsid w:val="005C445B"/>
    <w:rsid w:val="005C44E2"/>
    <w:rsid w:val="005C492A"/>
    <w:rsid w:val="005C4998"/>
    <w:rsid w:val="005C4D4F"/>
    <w:rsid w:val="005C4E00"/>
    <w:rsid w:val="005C4F93"/>
    <w:rsid w:val="005C530E"/>
    <w:rsid w:val="005C57F6"/>
    <w:rsid w:val="005C5E61"/>
    <w:rsid w:val="005C5FD0"/>
    <w:rsid w:val="005C6535"/>
    <w:rsid w:val="005C6569"/>
    <w:rsid w:val="005C66A3"/>
    <w:rsid w:val="005C6710"/>
    <w:rsid w:val="005C6DBF"/>
    <w:rsid w:val="005C6DEC"/>
    <w:rsid w:val="005C74E4"/>
    <w:rsid w:val="005C7D75"/>
    <w:rsid w:val="005C7D9B"/>
    <w:rsid w:val="005C7FD0"/>
    <w:rsid w:val="005D0837"/>
    <w:rsid w:val="005D0DF7"/>
    <w:rsid w:val="005D118C"/>
    <w:rsid w:val="005D119A"/>
    <w:rsid w:val="005D124E"/>
    <w:rsid w:val="005D1585"/>
    <w:rsid w:val="005D18EB"/>
    <w:rsid w:val="005D2246"/>
    <w:rsid w:val="005D22E6"/>
    <w:rsid w:val="005D23C4"/>
    <w:rsid w:val="005D24C3"/>
    <w:rsid w:val="005D2542"/>
    <w:rsid w:val="005D25FA"/>
    <w:rsid w:val="005D28EC"/>
    <w:rsid w:val="005D2C43"/>
    <w:rsid w:val="005D31B6"/>
    <w:rsid w:val="005D33E2"/>
    <w:rsid w:val="005D3478"/>
    <w:rsid w:val="005D3B6C"/>
    <w:rsid w:val="005D3CAA"/>
    <w:rsid w:val="005D3D4F"/>
    <w:rsid w:val="005D3DD6"/>
    <w:rsid w:val="005D3EAC"/>
    <w:rsid w:val="005D3F26"/>
    <w:rsid w:val="005D46B8"/>
    <w:rsid w:val="005D47AB"/>
    <w:rsid w:val="005D5059"/>
    <w:rsid w:val="005D52D8"/>
    <w:rsid w:val="005D5438"/>
    <w:rsid w:val="005D55C1"/>
    <w:rsid w:val="005D5814"/>
    <w:rsid w:val="005D58DD"/>
    <w:rsid w:val="005D5C18"/>
    <w:rsid w:val="005D5C8B"/>
    <w:rsid w:val="005D5CC9"/>
    <w:rsid w:val="005D5D9B"/>
    <w:rsid w:val="005D6054"/>
    <w:rsid w:val="005D65E9"/>
    <w:rsid w:val="005D6971"/>
    <w:rsid w:val="005D6FFC"/>
    <w:rsid w:val="005D7031"/>
    <w:rsid w:val="005D7258"/>
    <w:rsid w:val="005D760B"/>
    <w:rsid w:val="005D7655"/>
    <w:rsid w:val="005D77DF"/>
    <w:rsid w:val="005D797A"/>
    <w:rsid w:val="005D79DF"/>
    <w:rsid w:val="005E07C8"/>
    <w:rsid w:val="005E0ED8"/>
    <w:rsid w:val="005E0F9F"/>
    <w:rsid w:val="005E1536"/>
    <w:rsid w:val="005E160C"/>
    <w:rsid w:val="005E1987"/>
    <w:rsid w:val="005E2046"/>
    <w:rsid w:val="005E22CE"/>
    <w:rsid w:val="005E23D7"/>
    <w:rsid w:val="005E249D"/>
    <w:rsid w:val="005E2DB8"/>
    <w:rsid w:val="005E2E0D"/>
    <w:rsid w:val="005E307E"/>
    <w:rsid w:val="005E3747"/>
    <w:rsid w:val="005E3A03"/>
    <w:rsid w:val="005E412A"/>
    <w:rsid w:val="005E413D"/>
    <w:rsid w:val="005E438F"/>
    <w:rsid w:val="005E44E8"/>
    <w:rsid w:val="005E477D"/>
    <w:rsid w:val="005E494F"/>
    <w:rsid w:val="005E49BF"/>
    <w:rsid w:val="005E4C79"/>
    <w:rsid w:val="005E4D53"/>
    <w:rsid w:val="005E5168"/>
    <w:rsid w:val="005E527A"/>
    <w:rsid w:val="005E5747"/>
    <w:rsid w:val="005E58BB"/>
    <w:rsid w:val="005E5A6A"/>
    <w:rsid w:val="005E5A73"/>
    <w:rsid w:val="005E5AA9"/>
    <w:rsid w:val="005E5C91"/>
    <w:rsid w:val="005E62E5"/>
    <w:rsid w:val="005E62ED"/>
    <w:rsid w:val="005E6393"/>
    <w:rsid w:val="005E6518"/>
    <w:rsid w:val="005E6636"/>
    <w:rsid w:val="005E6CE8"/>
    <w:rsid w:val="005E77BE"/>
    <w:rsid w:val="005E7BBE"/>
    <w:rsid w:val="005E7BC5"/>
    <w:rsid w:val="005E7D1A"/>
    <w:rsid w:val="005E7EE6"/>
    <w:rsid w:val="005F094D"/>
    <w:rsid w:val="005F0CCA"/>
    <w:rsid w:val="005F0E98"/>
    <w:rsid w:val="005F1037"/>
    <w:rsid w:val="005F1365"/>
    <w:rsid w:val="005F138B"/>
    <w:rsid w:val="005F13F3"/>
    <w:rsid w:val="005F160B"/>
    <w:rsid w:val="005F186D"/>
    <w:rsid w:val="005F197B"/>
    <w:rsid w:val="005F1DF2"/>
    <w:rsid w:val="005F1E28"/>
    <w:rsid w:val="005F1E58"/>
    <w:rsid w:val="005F21CB"/>
    <w:rsid w:val="005F22D4"/>
    <w:rsid w:val="005F23A1"/>
    <w:rsid w:val="005F2549"/>
    <w:rsid w:val="005F2700"/>
    <w:rsid w:val="005F2750"/>
    <w:rsid w:val="005F2EC0"/>
    <w:rsid w:val="005F2F0A"/>
    <w:rsid w:val="005F302B"/>
    <w:rsid w:val="005F3042"/>
    <w:rsid w:val="005F3428"/>
    <w:rsid w:val="005F36A2"/>
    <w:rsid w:val="005F385A"/>
    <w:rsid w:val="005F3CE2"/>
    <w:rsid w:val="005F3D69"/>
    <w:rsid w:val="005F4029"/>
    <w:rsid w:val="005F4FC0"/>
    <w:rsid w:val="005F5041"/>
    <w:rsid w:val="005F50FF"/>
    <w:rsid w:val="005F5587"/>
    <w:rsid w:val="005F5956"/>
    <w:rsid w:val="005F5984"/>
    <w:rsid w:val="005F5E6C"/>
    <w:rsid w:val="005F5EBF"/>
    <w:rsid w:val="005F5F99"/>
    <w:rsid w:val="005F5FCC"/>
    <w:rsid w:val="005F6100"/>
    <w:rsid w:val="005F6314"/>
    <w:rsid w:val="005F674B"/>
    <w:rsid w:val="005F686D"/>
    <w:rsid w:val="005F693D"/>
    <w:rsid w:val="005F712A"/>
    <w:rsid w:val="005F73B3"/>
    <w:rsid w:val="005F77FB"/>
    <w:rsid w:val="005F794F"/>
    <w:rsid w:val="005F7A21"/>
    <w:rsid w:val="005F7BA0"/>
    <w:rsid w:val="00600089"/>
    <w:rsid w:val="00600496"/>
    <w:rsid w:val="00600876"/>
    <w:rsid w:val="00600BC2"/>
    <w:rsid w:val="0060117C"/>
    <w:rsid w:val="006014AD"/>
    <w:rsid w:val="006014C9"/>
    <w:rsid w:val="006015B0"/>
    <w:rsid w:val="0060160C"/>
    <w:rsid w:val="006018E2"/>
    <w:rsid w:val="0060209D"/>
    <w:rsid w:val="006021DB"/>
    <w:rsid w:val="0060263E"/>
    <w:rsid w:val="00602A08"/>
    <w:rsid w:val="00602B84"/>
    <w:rsid w:val="00603009"/>
    <w:rsid w:val="006036BD"/>
    <w:rsid w:val="006038E5"/>
    <w:rsid w:val="00603B43"/>
    <w:rsid w:val="00603DBC"/>
    <w:rsid w:val="00603E63"/>
    <w:rsid w:val="006040FC"/>
    <w:rsid w:val="00604A78"/>
    <w:rsid w:val="00604AE2"/>
    <w:rsid w:val="00605A32"/>
    <w:rsid w:val="00605FC1"/>
    <w:rsid w:val="00606266"/>
    <w:rsid w:val="00606701"/>
    <w:rsid w:val="00606A1F"/>
    <w:rsid w:val="00606A41"/>
    <w:rsid w:val="006071A0"/>
    <w:rsid w:val="00607694"/>
    <w:rsid w:val="006077A1"/>
    <w:rsid w:val="00607B95"/>
    <w:rsid w:val="00607C88"/>
    <w:rsid w:val="00607ED1"/>
    <w:rsid w:val="006102C2"/>
    <w:rsid w:val="006104B6"/>
    <w:rsid w:val="00610814"/>
    <w:rsid w:val="00610F47"/>
    <w:rsid w:val="00610FF1"/>
    <w:rsid w:val="006112A5"/>
    <w:rsid w:val="00611996"/>
    <w:rsid w:val="00611A65"/>
    <w:rsid w:val="00611E54"/>
    <w:rsid w:val="00611F73"/>
    <w:rsid w:val="00612663"/>
    <w:rsid w:val="00612698"/>
    <w:rsid w:val="00612713"/>
    <w:rsid w:val="00612719"/>
    <w:rsid w:val="00612CAF"/>
    <w:rsid w:val="00612CFD"/>
    <w:rsid w:val="00612D1A"/>
    <w:rsid w:val="00613343"/>
    <w:rsid w:val="006135EE"/>
    <w:rsid w:val="006138B2"/>
    <w:rsid w:val="00613A81"/>
    <w:rsid w:val="00613BF7"/>
    <w:rsid w:val="00613D78"/>
    <w:rsid w:val="006142C0"/>
    <w:rsid w:val="0061454F"/>
    <w:rsid w:val="00614BB8"/>
    <w:rsid w:val="00615105"/>
    <w:rsid w:val="006151BB"/>
    <w:rsid w:val="0061524E"/>
    <w:rsid w:val="00615425"/>
    <w:rsid w:val="00615796"/>
    <w:rsid w:val="00615846"/>
    <w:rsid w:val="00615D85"/>
    <w:rsid w:val="00615F5A"/>
    <w:rsid w:val="0061620A"/>
    <w:rsid w:val="006167A3"/>
    <w:rsid w:val="00616F8D"/>
    <w:rsid w:val="00617467"/>
    <w:rsid w:val="0061785F"/>
    <w:rsid w:val="00617D12"/>
    <w:rsid w:val="006202A0"/>
    <w:rsid w:val="006202DC"/>
    <w:rsid w:val="006208D8"/>
    <w:rsid w:val="00620F0E"/>
    <w:rsid w:val="00621485"/>
    <w:rsid w:val="00621509"/>
    <w:rsid w:val="00621731"/>
    <w:rsid w:val="00621AD9"/>
    <w:rsid w:val="00621B57"/>
    <w:rsid w:val="00621DDB"/>
    <w:rsid w:val="00621FB7"/>
    <w:rsid w:val="006224F8"/>
    <w:rsid w:val="006228BE"/>
    <w:rsid w:val="006231A7"/>
    <w:rsid w:val="006232E5"/>
    <w:rsid w:val="006234EF"/>
    <w:rsid w:val="00623E36"/>
    <w:rsid w:val="0062407D"/>
    <w:rsid w:val="006240C0"/>
    <w:rsid w:val="0062447F"/>
    <w:rsid w:val="00624716"/>
    <w:rsid w:val="00624E89"/>
    <w:rsid w:val="00625D9F"/>
    <w:rsid w:val="00626321"/>
    <w:rsid w:val="00626734"/>
    <w:rsid w:val="00626A0E"/>
    <w:rsid w:val="00626E2A"/>
    <w:rsid w:val="00627039"/>
    <w:rsid w:val="00627175"/>
    <w:rsid w:val="0062765D"/>
    <w:rsid w:val="00627755"/>
    <w:rsid w:val="00630792"/>
    <w:rsid w:val="0063090D"/>
    <w:rsid w:val="006309A8"/>
    <w:rsid w:val="00630A06"/>
    <w:rsid w:val="00630C20"/>
    <w:rsid w:val="00630CF3"/>
    <w:rsid w:val="006312F8"/>
    <w:rsid w:val="00631AD2"/>
    <w:rsid w:val="00631C01"/>
    <w:rsid w:val="00631F0A"/>
    <w:rsid w:val="006320B9"/>
    <w:rsid w:val="00632161"/>
    <w:rsid w:val="00632465"/>
    <w:rsid w:val="0063259F"/>
    <w:rsid w:val="00632742"/>
    <w:rsid w:val="0063325A"/>
    <w:rsid w:val="006332DB"/>
    <w:rsid w:val="006334D5"/>
    <w:rsid w:val="0063351B"/>
    <w:rsid w:val="00633BED"/>
    <w:rsid w:val="00634242"/>
    <w:rsid w:val="006344AC"/>
    <w:rsid w:val="00634D49"/>
    <w:rsid w:val="0063552E"/>
    <w:rsid w:val="00635551"/>
    <w:rsid w:val="00635965"/>
    <w:rsid w:val="00635F42"/>
    <w:rsid w:val="00636250"/>
    <w:rsid w:val="0063641F"/>
    <w:rsid w:val="00636657"/>
    <w:rsid w:val="00636CDF"/>
    <w:rsid w:val="00636EFC"/>
    <w:rsid w:val="0063730D"/>
    <w:rsid w:val="0063776C"/>
    <w:rsid w:val="0063784A"/>
    <w:rsid w:val="00637866"/>
    <w:rsid w:val="00637A5B"/>
    <w:rsid w:val="00637E83"/>
    <w:rsid w:val="0064022D"/>
    <w:rsid w:val="00640DAB"/>
    <w:rsid w:val="00640DF4"/>
    <w:rsid w:val="00640EBC"/>
    <w:rsid w:val="00640EF2"/>
    <w:rsid w:val="00641B79"/>
    <w:rsid w:val="00641F68"/>
    <w:rsid w:val="00642614"/>
    <w:rsid w:val="006426E9"/>
    <w:rsid w:val="006427D4"/>
    <w:rsid w:val="00643573"/>
    <w:rsid w:val="00643A59"/>
    <w:rsid w:val="00643B00"/>
    <w:rsid w:val="00643C4C"/>
    <w:rsid w:val="006440EE"/>
    <w:rsid w:val="0064518C"/>
    <w:rsid w:val="00645CFA"/>
    <w:rsid w:val="0064611E"/>
    <w:rsid w:val="00646501"/>
    <w:rsid w:val="00646E39"/>
    <w:rsid w:val="0064714C"/>
    <w:rsid w:val="0064714E"/>
    <w:rsid w:val="006471E4"/>
    <w:rsid w:val="00647B4A"/>
    <w:rsid w:val="006502C5"/>
    <w:rsid w:val="00650464"/>
    <w:rsid w:val="0065077B"/>
    <w:rsid w:val="006508B4"/>
    <w:rsid w:val="00650BAB"/>
    <w:rsid w:val="00650BB6"/>
    <w:rsid w:val="00650C17"/>
    <w:rsid w:val="00650E83"/>
    <w:rsid w:val="00650E9F"/>
    <w:rsid w:val="00651072"/>
    <w:rsid w:val="00651150"/>
    <w:rsid w:val="00651285"/>
    <w:rsid w:val="006512E1"/>
    <w:rsid w:val="0065130D"/>
    <w:rsid w:val="00651B95"/>
    <w:rsid w:val="00651D62"/>
    <w:rsid w:val="006522AE"/>
    <w:rsid w:val="006523BB"/>
    <w:rsid w:val="00652496"/>
    <w:rsid w:val="0065278E"/>
    <w:rsid w:val="006528DC"/>
    <w:rsid w:val="00652F6A"/>
    <w:rsid w:val="00653856"/>
    <w:rsid w:val="00653858"/>
    <w:rsid w:val="0065390D"/>
    <w:rsid w:val="006539A3"/>
    <w:rsid w:val="00653B2B"/>
    <w:rsid w:val="00653BA5"/>
    <w:rsid w:val="00653C2A"/>
    <w:rsid w:val="00653D68"/>
    <w:rsid w:val="006543F3"/>
    <w:rsid w:val="00654517"/>
    <w:rsid w:val="00654AF0"/>
    <w:rsid w:val="00654C72"/>
    <w:rsid w:val="00654D92"/>
    <w:rsid w:val="00654FE9"/>
    <w:rsid w:val="006551BF"/>
    <w:rsid w:val="006552DD"/>
    <w:rsid w:val="00655F0F"/>
    <w:rsid w:val="00656248"/>
    <w:rsid w:val="006562C7"/>
    <w:rsid w:val="00656312"/>
    <w:rsid w:val="0065661E"/>
    <w:rsid w:val="00656743"/>
    <w:rsid w:val="00656AD7"/>
    <w:rsid w:val="00656E30"/>
    <w:rsid w:val="00656E88"/>
    <w:rsid w:val="006571A6"/>
    <w:rsid w:val="00657291"/>
    <w:rsid w:val="006572A9"/>
    <w:rsid w:val="00657EC6"/>
    <w:rsid w:val="00657F48"/>
    <w:rsid w:val="0066049B"/>
    <w:rsid w:val="0066056D"/>
    <w:rsid w:val="006606FA"/>
    <w:rsid w:val="006608CB"/>
    <w:rsid w:val="00660C15"/>
    <w:rsid w:val="00661001"/>
    <w:rsid w:val="0066180B"/>
    <w:rsid w:val="006619DE"/>
    <w:rsid w:val="0066237E"/>
    <w:rsid w:val="006625F3"/>
    <w:rsid w:val="00662ECE"/>
    <w:rsid w:val="00662FA7"/>
    <w:rsid w:val="00663E8E"/>
    <w:rsid w:val="006641D0"/>
    <w:rsid w:val="00664479"/>
    <w:rsid w:val="006644F5"/>
    <w:rsid w:val="00664883"/>
    <w:rsid w:val="00664955"/>
    <w:rsid w:val="00664A88"/>
    <w:rsid w:val="00665141"/>
    <w:rsid w:val="00665217"/>
    <w:rsid w:val="006656ED"/>
    <w:rsid w:val="00665791"/>
    <w:rsid w:val="00665860"/>
    <w:rsid w:val="006658E3"/>
    <w:rsid w:val="00665BBA"/>
    <w:rsid w:val="00665F24"/>
    <w:rsid w:val="006661D9"/>
    <w:rsid w:val="0066620B"/>
    <w:rsid w:val="0066650A"/>
    <w:rsid w:val="00666992"/>
    <w:rsid w:val="00666C70"/>
    <w:rsid w:val="00666EFF"/>
    <w:rsid w:val="006670D7"/>
    <w:rsid w:val="006673BC"/>
    <w:rsid w:val="00667439"/>
    <w:rsid w:val="006675A4"/>
    <w:rsid w:val="00667837"/>
    <w:rsid w:val="00667D11"/>
    <w:rsid w:val="00670780"/>
    <w:rsid w:val="00670A6E"/>
    <w:rsid w:val="00670ACA"/>
    <w:rsid w:val="00670BB5"/>
    <w:rsid w:val="00670BCD"/>
    <w:rsid w:val="006711FE"/>
    <w:rsid w:val="006713D5"/>
    <w:rsid w:val="00671A25"/>
    <w:rsid w:val="00671B74"/>
    <w:rsid w:val="006724A7"/>
    <w:rsid w:val="00672695"/>
    <w:rsid w:val="0067299F"/>
    <w:rsid w:val="00672DA0"/>
    <w:rsid w:val="006730B3"/>
    <w:rsid w:val="00673377"/>
    <w:rsid w:val="006733EA"/>
    <w:rsid w:val="00673DE8"/>
    <w:rsid w:val="00674195"/>
    <w:rsid w:val="0067428E"/>
    <w:rsid w:val="00674515"/>
    <w:rsid w:val="00674819"/>
    <w:rsid w:val="00674C0C"/>
    <w:rsid w:val="00675874"/>
    <w:rsid w:val="0067599E"/>
    <w:rsid w:val="00675B9C"/>
    <w:rsid w:val="00675C75"/>
    <w:rsid w:val="00675F71"/>
    <w:rsid w:val="00676232"/>
    <w:rsid w:val="00676751"/>
    <w:rsid w:val="0067694F"/>
    <w:rsid w:val="00676E97"/>
    <w:rsid w:val="00676EB4"/>
    <w:rsid w:val="006770D6"/>
    <w:rsid w:val="0067729A"/>
    <w:rsid w:val="006779C1"/>
    <w:rsid w:val="00677AF9"/>
    <w:rsid w:val="00677B54"/>
    <w:rsid w:val="00677C6E"/>
    <w:rsid w:val="006796F9"/>
    <w:rsid w:val="006803FF"/>
    <w:rsid w:val="00680408"/>
    <w:rsid w:val="00680553"/>
    <w:rsid w:val="00680640"/>
    <w:rsid w:val="0068093B"/>
    <w:rsid w:val="00680CAE"/>
    <w:rsid w:val="0068139A"/>
    <w:rsid w:val="00681A76"/>
    <w:rsid w:val="00681B19"/>
    <w:rsid w:val="00681C1B"/>
    <w:rsid w:val="00681C6D"/>
    <w:rsid w:val="00681E83"/>
    <w:rsid w:val="00682079"/>
    <w:rsid w:val="0068226B"/>
    <w:rsid w:val="0068238E"/>
    <w:rsid w:val="00682689"/>
    <w:rsid w:val="00682A4C"/>
    <w:rsid w:val="00682DE9"/>
    <w:rsid w:val="00683837"/>
    <w:rsid w:val="00683BFA"/>
    <w:rsid w:val="00683CC6"/>
    <w:rsid w:val="006845CA"/>
    <w:rsid w:val="006847FB"/>
    <w:rsid w:val="00684821"/>
    <w:rsid w:val="0068485F"/>
    <w:rsid w:val="00684B06"/>
    <w:rsid w:val="00685562"/>
    <w:rsid w:val="00685910"/>
    <w:rsid w:val="00685B59"/>
    <w:rsid w:val="00685BA6"/>
    <w:rsid w:val="00685DF1"/>
    <w:rsid w:val="00685F8E"/>
    <w:rsid w:val="006861B3"/>
    <w:rsid w:val="0068673A"/>
    <w:rsid w:val="00686BBF"/>
    <w:rsid w:val="00686C15"/>
    <w:rsid w:val="0068761E"/>
    <w:rsid w:val="00687AB5"/>
    <w:rsid w:val="00687E94"/>
    <w:rsid w:val="00690124"/>
    <w:rsid w:val="00690774"/>
    <w:rsid w:val="006907EB"/>
    <w:rsid w:val="00690891"/>
    <w:rsid w:val="00690BE0"/>
    <w:rsid w:val="0069106C"/>
    <w:rsid w:val="0069127B"/>
    <w:rsid w:val="00691CA5"/>
    <w:rsid w:val="00692414"/>
    <w:rsid w:val="00692718"/>
    <w:rsid w:val="00692A91"/>
    <w:rsid w:val="00692AC8"/>
    <w:rsid w:val="00692CB3"/>
    <w:rsid w:val="006932C5"/>
    <w:rsid w:val="006938A7"/>
    <w:rsid w:val="0069391A"/>
    <w:rsid w:val="00693929"/>
    <w:rsid w:val="00693975"/>
    <w:rsid w:val="00693A2A"/>
    <w:rsid w:val="00693AF6"/>
    <w:rsid w:val="00693C22"/>
    <w:rsid w:val="0069494F"/>
    <w:rsid w:val="00695047"/>
    <w:rsid w:val="006950B8"/>
    <w:rsid w:val="006950BB"/>
    <w:rsid w:val="00695105"/>
    <w:rsid w:val="006951DB"/>
    <w:rsid w:val="0069566E"/>
    <w:rsid w:val="006957F7"/>
    <w:rsid w:val="00695A79"/>
    <w:rsid w:val="00695BB6"/>
    <w:rsid w:val="00695F39"/>
    <w:rsid w:val="0069609A"/>
    <w:rsid w:val="0069631A"/>
    <w:rsid w:val="00696484"/>
    <w:rsid w:val="00696560"/>
    <w:rsid w:val="0069667F"/>
    <w:rsid w:val="00696938"/>
    <w:rsid w:val="00696969"/>
    <w:rsid w:val="006975F9"/>
    <w:rsid w:val="00697F7A"/>
    <w:rsid w:val="006A0421"/>
    <w:rsid w:val="006A04D9"/>
    <w:rsid w:val="006A0835"/>
    <w:rsid w:val="006A0E24"/>
    <w:rsid w:val="006A292B"/>
    <w:rsid w:val="006A2962"/>
    <w:rsid w:val="006A296C"/>
    <w:rsid w:val="006A2A3F"/>
    <w:rsid w:val="006A2B2B"/>
    <w:rsid w:val="006A3A78"/>
    <w:rsid w:val="006A3A90"/>
    <w:rsid w:val="006A3CA2"/>
    <w:rsid w:val="006A4DA6"/>
    <w:rsid w:val="006A4FA6"/>
    <w:rsid w:val="006A513E"/>
    <w:rsid w:val="006A54B6"/>
    <w:rsid w:val="006A54C7"/>
    <w:rsid w:val="006A58CB"/>
    <w:rsid w:val="006A5AE0"/>
    <w:rsid w:val="006A5C9B"/>
    <w:rsid w:val="006A6720"/>
    <w:rsid w:val="006A69E5"/>
    <w:rsid w:val="006A6D88"/>
    <w:rsid w:val="006A7BFF"/>
    <w:rsid w:val="006A7E74"/>
    <w:rsid w:val="006A7EC6"/>
    <w:rsid w:val="006A7ED0"/>
    <w:rsid w:val="006B0120"/>
    <w:rsid w:val="006B03F5"/>
    <w:rsid w:val="006B09BA"/>
    <w:rsid w:val="006B0FA1"/>
    <w:rsid w:val="006B0FE7"/>
    <w:rsid w:val="006B1020"/>
    <w:rsid w:val="006B112D"/>
    <w:rsid w:val="006B11E0"/>
    <w:rsid w:val="006B1254"/>
    <w:rsid w:val="006B1410"/>
    <w:rsid w:val="006B155A"/>
    <w:rsid w:val="006B157C"/>
    <w:rsid w:val="006B1BD7"/>
    <w:rsid w:val="006B1CA5"/>
    <w:rsid w:val="006B1CF8"/>
    <w:rsid w:val="006B1D80"/>
    <w:rsid w:val="006B2148"/>
    <w:rsid w:val="006B298F"/>
    <w:rsid w:val="006B2CD5"/>
    <w:rsid w:val="006B2EDA"/>
    <w:rsid w:val="006B2EE3"/>
    <w:rsid w:val="006B2FCE"/>
    <w:rsid w:val="006B33B0"/>
    <w:rsid w:val="006B34EE"/>
    <w:rsid w:val="006B3C40"/>
    <w:rsid w:val="006B3C64"/>
    <w:rsid w:val="006B3F59"/>
    <w:rsid w:val="006B3FD9"/>
    <w:rsid w:val="006B41F8"/>
    <w:rsid w:val="006B4322"/>
    <w:rsid w:val="006B440E"/>
    <w:rsid w:val="006B4B1E"/>
    <w:rsid w:val="006B4D82"/>
    <w:rsid w:val="006B5163"/>
    <w:rsid w:val="006B55D1"/>
    <w:rsid w:val="006B56B5"/>
    <w:rsid w:val="006B5DA4"/>
    <w:rsid w:val="006B6EF7"/>
    <w:rsid w:val="006B6FA6"/>
    <w:rsid w:val="006B7227"/>
    <w:rsid w:val="006B7B4B"/>
    <w:rsid w:val="006C0490"/>
    <w:rsid w:val="006C08FE"/>
    <w:rsid w:val="006C093C"/>
    <w:rsid w:val="006C0A18"/>
    <w:rsid w:val="006C0A94"/>
    <w:rsid w:val="006C0C69"/>
    <w:rsid w:val="006C189E"/>
    <w:rsid w:val="006C1CAA"/>
    <w:rsid w:val="006C1CD3"/>
    <w:rsid w:val="006C1CFF"/>
    <w:rsid w:val="006C236A"/>
    <w:rsid w:val="006C26DD"/>
    <w:rsid w:val="006C26E1"/>
    <w:rsid w:val="006C30A2"/>
    <w:rsid w:val="006C31E9"/>
    <w:rsid w:val="006C35D0"/>
    <w:rsid w:val="006C3878"/>
    <w:rsid w:val="006C3CC9"/>
    <w:rsid w:val="006C40F9"/>
    <w:rsid w:val="006C4200"/>
    <w:rsid w:val="006C459C"/>
    <w:rsid w:val="006C45C2"/>
    <w:rsid w:val="006C478C"/>
    <w:rsid w:val="006C5677"/>
    <w:rsid w:val="006C633D"/>
    <w:rsid w:val="006C669D"/>
    <w:rsid w:val="006C6B18"/>
    <w:rsid w:val="006C6BC5"/>
    <w:rsid w:val="006C6BCE"/>
    <w:rsid w:val="006C71DB"/>
    <w:rsid w:val="006C71DD"/>
    <w:rsid w:val="006C73DA"/>
    <w:rsid w:val="006C74FA"/>
    <w:rsid w:val="006C775E"/>
    <w:rsid w:val="006C7760"/>
    <w:rsid w:val="006D0402"/>
    <w:rsid w:val="006D0799"/>
    <w:rsid w:val="006D1F01"/>
    <w:rsid w:val="006D1F1A"/>
    <w:rsid w:val="006D1FAA"/>
    <w:rsid w:val="006D2106"/>
    <w:rsid w:val="006D2603"/>
    <w:rsid w:val="006D2ECB"/>
    <w:rsid w:val="006D30B0"/>
    <w:rsid w:val="006D30B8"/>
    <w:rsid w:val="006D339B"/>
    <w:rsid w:val="006D3BC2"/>
    <w:rsid w:val="006D3CD9"/>
    <w:rsid w:val="006D3CF2"/>
    <w:rsid w:val="006D3E2E"/>
    <w:rsid w:val="006D4591"/>
    <w:rsid w:val="006D4A2E"/>
    <w:rsid w:val="006D4F99"/>
    <w:rsid w:val="006D537A"/>
    <w:rsid w:val="006D54FA"/>
    <w:rsid w:val="006D556D"/>
    <w:rsid w:val="006D55E0"/>
    <w:rsid w:val="006D56D0"/>
    <w:rsid w:val="006D573A"/>
    <w:rsid w:val="006D576F"/>
    <w:rsid w:val="006D5C1E"/>
    <w:rsid w:val="006D5D14"/>
    <w:rsid w:val="006D6069"/>
    <w:rsid w:val="006D60A1"/>
    <w:rsid w:val="006D60D8"/>
    <w:rsid w:val="006D6149"/>
    <w:rsid w:val="006D6272"/>
    <w:rsid w:val="006D6940"/>
    <w:rsid w:val="006D6E62"/>
    <w:rsid w:val="006D7112"/>
    <w:rsid w:val="006D717E"/>
    <w:rsid w:val="006D71DF"/>
    <w:rsid w:val="006D79D8"/>
    <w:rsid w:val="006E0BD3"/>
    <w:rsid w:val="006E1C21"/>
    <w:rsid w:val="006E1F40"/>
    <w:rsid w:val="006E2109"/>
    <w:rsid w:val="006E2390"/>
    <w:rsid w:val="006E3481"/>
    <w:rsid w:val="006E396E"/>
    <w:rsid w:val="006E3C46"/>
    <w:rsid w:val="006E3D5B"/>
    <w:rsid w:val="006E3E6B"/>
    <w:rsid w:val="006E4386"/>
    <w:rsid w:val="006E43D5"/>
    <w:rsid w:val="006E4922"/>
    <w:rsid w:val="006E4BB6"/>
    <w:rsid w:val="006E52DF"/>
    <w:rsid w:val="006E65D0"/>
    <w:rsid w:val="006E6945"/>
    <w:rsid w:val="006E6D7C"/>
    <w:rsid w:val="006E6E10"/>
    <w:rsid w:val="006E6F1E"/>
    <w:rsid w:val="006E6F51"/>
    <w:rsid w:val="006E7039"/>
    <w:rsid w:val="006E769C"/>
    <w:rsid w:val="006E796A"/>
    <w:rsid w:val="006E7C1E"/>
    <w:rsid w:val="006E7D5D"/>
    <w:rsid w:val="006E7D6F"/>
    <w:rsid w:val="006E8186"/>
    <w:rsid w:val="006F0042"/>
    <w:rsid w:val="006F0303"/>
    <w:rsid w:val="006F03B9"/>
    <w:rsid w:val="006F0721"/>
    <w:rsid w:val="006F095C"/>
    <w:rsid w:val="006F0DA1"/>
    <w:rsid w:val="006F0EC2"/>
    <w:rsid w:val="006F105B"/>
    <w:rsid w:val="006F117D"/>
    <w:rsid w:val="006F15BC"/>
    <w:rsid w:val="006F1833"/>
    <w:rsid w:val="006F1951"/>
    <w:rsid w:val="006F1A49"/>
    <w:rsid w:val="006F1FF2"/>
    <w:rsid w:val="006F225A"/>
    <w:rsid w:val="006F2608"/>
    <w:rsid w:val="006F2B40"/>
    <w:rsid w:val="006F2E00"/>
    <w:rsid w:val="006F2E98"/>
    <w:rsid w:val="006F2ECF"/>
    <w:rsid w:val="006F2EE3"/>
    <w:rsid w:val="006F32E5"/>
    <w:rsid w:val="006F34CE"/>
    <w:rsid w:val="006F37DC"/>
    <w:rsid w:val="006F3EB4"/>
    <w:rsid w:val="006F40FF"/>
    <w:rsid w:val="006F4569"/>
    <w:rsid w:val="006F4BB6"/>
    <w:rsid w:val="006F4BE6"/>
    <w:rsid w:val="006F5431"/>
    <w:rsid w:val="006F56B1"/>
    <w:rsid w:val="006F577C"/>
    <w:rsid w:val="006F5968"/>
    <w:rsid w:val="006F596D"/>
    <w:rsid w:val="006F62C9"/>
    <w:rsid w:val="006F65AC"/>
    <w:rsid w:val="006F680D"/>
    <w:rsid w:val="006F6F64"/>
    <w:rsid w:val="006F732F"/>
    <w:rsid w:val="006F734C"/>
    <w:rsid w:val="006F774E"/>
    <w:rsid w:val="006F789E"/>
    <w:rsid w:val="006F7CE1"/>
    <w:rsid w:val="00700154"/>
    <w:rsid w:val="0070021B"/>
    <w:rsid w:val="0070032C"/>
    <w:rsid w:val="00700A98"/>
    <w:rsid w:val="00701454"/>
    <w:rsid w:val="00701476"/>
    <w:rsid w:val="00701682"/>
    <w:rsid w:val="0070168B"/>
    <w:rsid w:val="007016CC"/>
    <w:rsid w:val="007020AF"/>
    <w:rsid w:val="0070243A"/>
    <w:rsid w:val="007024E4"/>
    <w:rsid w:val="0070259E"/>
    <w:rsid w:val="007027FC"/>
    <w:rsid w:val="00702D87"/>
    <w:rsid w:val="00702F0E"/>
    <w:rsid w:val="00702F37"/>
    <w:rsid w:val="0070305F"/>
    <w:rsid w:val="007030BA"/>
    <w:rsid w:val="00703420"/>
    <w:rsid w:val="0070344F"/>
    <w:rsid w:val="00703511"/>
    <w:rsid w:val="007035B7"/>
    <w:rsid w:val="00703BA4"/>
    <w:rsid w:val="00703D1E"/>
    <w:rsid w:val="00703F26"/>
    <w:rsid w:val="00703FA1"/>
    <w:rsid w:val="007040CC"/>
    <w:rsid w:val="007047C3"/>
    <w:rsid w:val="007047EA"/>
    <w:rsid w:val="00704812"/>
    <w:rsid w:val="00704870"/>
    <w:rsid w:val="007056D2"/>
    <w:rsid w:val="007057CF"/>
    <w:rsid w:val="0070589F"/>
    <w:rsid w:val="00705A6C"/>
    <w:rsid w:val="00705C3C"/>
    <w:rsid w:val="00705E39"/>
    <w:rsid w:val="007064B0"/>
    <w:rsid w:val="00707A4D"/>
    <w:rsid w:val="00707AEF"/>
    <w:rsid w:val="00710222"/>
    <w:rsid w:val="007102DA"/>
    <w:rsid w:val="007102EE"/>
    <w:rsid w:val="007104EB"/>
    <w:rsid w:val="007110C8"/>
    <w:rsid w:val="00711193"/>
    <w:rsid w:val="007114B8"/>
    <w:rsid w:val="00711940"/>
    <w:rsid w:val="00711C47"/>
    <w:rsid w:val="00711EFB"/>
    <w:rsid w:val="0071222C"/>
    <w:rsid w:val="00712253"/>
    <w:rsid w:val="00712370"/>
    <w:rsid w:val="0071254E"/>
    <w:rsid w:val="00712A49"/>
    <w:rsid w:val="00712A98"/>
    <w:rsid w:val="00712E38"/>
    <w:rsid w:val="00712FC5"/>
    <w:rsid w:val="0071322B"/>
    <w:rsid w:val="007134E4"/>
    <w:rsid w:val="00713626"/>
    <w:rsid w:val="00713957"/>
    <w:rsid w:val="00713A4A"/>
    <w:rsid w:val="00713C6E"/>
    <w:rsid w:val="00713F95"/>
    <w:rsid w:val="007143C0"/>
    <w:rsid w:val="007143C3"/>
    <w:rsid w:val="0071454E"/>
    <w:rsid w:val="0071477D"/>
    <w:rsid w:val="00714A56"/>
    <w:rsid w:val="00714B5C"/>
    <w:rsid w:val="0071542C"/>
    <w:rsid w:val="00715802"/>
    <w:rsid w:val="00715893"/>
    <w:rsid w:val="007159E6"/>
    <w:rsid w:val="00715BDF"/>
    <w:rsid w:val="0071627C"/>
    <w:rsid w:val="00716298"/>
    <w:rsid w:val="0071676E"/>
    <w:rsid w:val="0071690E"/>
    <w:rsid w:val="00716B08"/>
    <w:rsid w:val="00716BA1"/>
    <w:rsid w:val="0071707B"/>
    <w:rsid w:val="0071742B"/>
    <w:rsid w:val="0071752F"/>
    <w:rsid w:val="007176CE"/>
    <w:rsid w:val="007177DC"/>
    <w:rsid w:val="00717850"/>
    <w:rsid w:val="00717863"/>
    <w:rsid w:val="00717A02"/>
    <w:rsid w:val="00717C3A"/>
    <w:rsid w:val="00717F12"/>
    <w:rsid w:val="007201DD"/>
    <w:rsid w:val="0072024F"/>
    <w:rsid w:val="00720520"/>
    <w:rsid w:val="007207CB"/>
    <w:rsid w:val="0072083C"/>
    <w:rsid w:val="00720D1B"/>
    <w:rsid w:val="00720D40"/>
    <w:rsid w:val="00720E0E"/>
    <w:rsid w:val="00720E28"/>
    <w:rsid w:val="00720F47"/>
    <w:rsid w:val="00720F61"/>
    <w:rsid w:val="007213CA"/>
    <w:rsid w:val="007214B1"/>
    <w:rsid w:val="007219E4"/>
    <w:rsid w:val="00721A46"/>
    <w:rsid w:val="00721DCF"/>
    <w:rsid w:val="00721EB5"/>
    <w:rsid w:val="00721F53"/>
    <w:rsid w:val="00722193"/>
    <w:rsid w:val="007221A3"/>
    <w:rsid w:val="007233C2"/>
    <w:rsid w:val="00723D02"/>
    <w:rsid w:val="00724550"/>
    <w:rsid w:val="0072478C"/>
    <w:rsid w:val="00724BAF"/>
    <w:rsid w:val="00724DF3"/>
    <w:rsid w:val="00724E48"/>
    <w:rsid w:val="00724FC7"/>
    <w:rsid w:val="0072536D"/>
    <w:rsid w:val="0072543A"/>
    <w:rsid w:val="0072554E"/>
    <w:rsid w:val="0072558A"/>
    <w:rsid w:val="00725D92"/>
    <w:rsid w:val="007260FA"/>
    <w:rsid w:val="0072641F"/>
    <w:rsid w:val="00726429"/>
    <w:rsid w:val="007269B8"/>
    <w:rsid w:val="00726A95"/>
    <w:rsid w:val="007270A2"/>
    <w:rsid w:val="0072714C"/>
    <w:rsid w:val="0072732A"/>
    <w:rsid w:val="00727B82"/>
    <w:rsid w:val="007301BF"/>
    <w:rsid w:val="00730EB7"/>
    <w:rsid w:val="00730FCA"/>
    <w:rsid w:val="00730FF2"/>
    <w:rsid w:val="007315DE"/>
    <w:rsid w:val="007316F4"/>
    <w:rsid w:val="00731ED4"/>
    <w:rsid w:val="00731F4A"/>
    <w:rsid w:val="00732745"/>
    <w:rsid w:val="0073294D"/>
    <w:rsid w:val="00732DCC"/>
    <w:rsid w:val="00732FC6"/>
    <w:rsid w:val="0073377E"/>
    <w:rsid w:val="0073383A"/>
    <w:rsid w:val="007338CC"/>
    <w:rsid w:val="00733909"/>
    <w:rsid w:val="00733AA8"/>
    <w:rsid w:val="00733B8C"/>
    <w:rsid w:val="0073402C"/>
    <w:rsid w:val="0073409F"/>
    <w:rsid w:val="007347C3"/>
    <w:rsid w:val="00734C3C"/>
    <w:rsid w:val="00734C96"/>
    <w:rsid w:val="00734D46"/>
    <w:rsid w:val="007351C0"/>
    <w:rsid w:val="0073552C"/>
    <w:rsid w:val="00735856"/>
    <w:rsid w:val="0073589F"/>
    <w:rsid w:val="007358A0"/>
    <w:rsid w:val="007364C4"/>
    <w:rsid w:val="00736609"/>
    <w:rsid w:val="007369B7"/>
    <w:rsid w:val="00736AB0"/>
    <w:rsid w:val="007370BA"/>
    <w:rsid w:val="00737420"/>
    <w:rsid w:val="00737C3E"/>
    <w:rsid w:val="0074057A"/>
    <w:rsid w:val="0074058B"/>
    <w:rsid w:val="007405FD"/>
    <w:rsid w:val="0074078D"/>
    <w:rsid w:val="00740C83"/>
    <w:rsid w:val="007413B1"/>
    <w:rsid w:val="007416C7"/>
    <w:rsid w:val="0074171B"/>
    <w:rsid w:val="007418CC"/>
    <w:rsid w:val="00742629"/>
    <w:rsid w:val="0074294C"/>
    <w:rsid w:val="00742C84"/>
    <w:rsid w:val="0074314D"/>
    <w:rsid w:val="007431D1"/>
    <w:rsid w:val="00743512"/>
    <w:rsid w:val="00743595"/>
    <w:rsid w:val="007435CB"/>
    <w:rsid w:val="007435F4"/>
    <w:rsid w:val="00743A4D"/>
    <w:rsid w:val="00743F41"/>
    <w:rsid w:val="00743FF2"/>
    <w:rsid w:val="0074421F"/>
    <w:rsid w:val="00744373"/>
    <w:rsid w:val="0074480E"/>
    <w:rsid w:val="00744D41"/>
    <w:rsid w:val="00744E4B"/>
    <w:rsid w:val="00744F93"/>
    <w:rsid w:val="00745568"/>
    <w:rsid w:val="0074580B"/>
    <w:rsid w:val="007458A5"/>
    <w:rsid w:val="00745A97"/>
    <w:rsid w:val="00746036"/>
    <w:rsid w:val="00746096"/>
    <w:rsid w:val="00746639"/>
    <w:rsid w:val="00747296"/>
    <w:rsid w:val="0074783C"/>
    <w:rsid w:val="0074797D"/>
    <w:rsid w:val="00747A0A"/>
    <w:rsid w:val="00747B77"/>
    <w:rsid w:val="00747BEA"/>
    <w:rsid w:val="007500D8"/>
    <w:rsid w:val="0075069F"/>
    <w:rsid w:val="00750C47"/>
    <w:rsid w:val="00750FFB"/>
    <w:rsid w:val="00751167"/>
    <w:rsid w:val="00751671"/>
    <w:rsid w:val="0075182E"/>
    <w:rsid w:val="007519B3"/>
    <w:rsid w:val="00751E34"/>
    <w:rsid w:val="00751EBF"/>
    <w:rsid w:val="00752117"/>
    <w:rsid w:val="007524D2"/>
    <w:rsid w:val="00752524"/>
    <w:rsid w:val="007525CC"/>
    <w:rsid w:val="00752836"/>
    <w:rsid w:val="00752B5C"/>
    <w:rsid w:val="00752CA8"/>
    <w:rsid w:val="00752FE2"/>
    <w:rsid w:val="0075320B"/>
    <w:rsid w:val="007537F8"/>
    <w:rsid w:val="00753835"/>
    <w:rsid w:val="0075393C"/>
    <w:rsid w:val="00753DA2"/>
    <w:rsid w:val="00753EA1"/>
    <w:rsid w:val="00753F4C"/>
    <w:rsid w:val="00753F60"/>
    <w:rsid w:val="0075458E"/>
    <w:rsid w:val="00755127"/>
    <w:rsid w:val="007556BE"/>
    <w:rsid w:val="00755838"/>
    <w:rsid w:val="00755C2E"/>
    <w:rsid w:val="00755E65"/>
    <w:rsid w:val="007562D1"/>
    <w:rsid w:val="007564F5"/>
    <w:rsid w:val="00756A4C"/>
    <w:rsid w:val="00756F9B"/>
    <w:rsid w:val="0075701F"/>
    <w:rsid w:val="00757344"/>
    <w:rsid w:val="0075770A"/>
    <w:rsid w:val="00757765"/>
    <w:rsid w:val="00757864"/>
    <w:rsid w:val="00757A7D"/>
    <w:rsid w:val="00757C6B"/>
    <w:rsid w:val="007604FA"/>
    <w:rsid w:val="007608D8"/>
    <w:rsid w:val="007608E0"/>
    <w:rsid w:val="00760C0A"/>
    <w:rsid w:val="00760C9C"/>
    <w:rsid w:val="00760F8E"/>
    <w:rsid w:val="00761445"/>
    <w:rsid w:val="00761618"/>
    <w:rsid w:val="00761689"/>
    <w:rsid w:val="007616D9"/>
    <w:rsid w:val="00761825"/>
    <w:rsid w:val="00761B8B"/>
    <w:rsid w:val="00762384"/>
    <w:rsid w:val="0076261A"/>
    <w:rsid w:val="007626C4"/>
    <w:rsid w:val="0076281A"/>
    <w:rsid w:val="0076281D"/>
    <w:rsid w:val="00762866"/>
    <w:rsid w:val="00762D55"/>
    <w:rsid w:val="00762F01"/>
    <w:rsid w:val="00762F91"/>
    <w:rsid w:val="00763672"/>
    <w:rsid w:val="00763B02"/>
    <w:rsid w:val="0076430D"/>
    <w:rsid w:val="0076437B"/>
    <w:rsid w:val="007644DC"/>
    <w:rsid w:val="00764983"/>
    <w:rsid w:val="00764B50"/>
    <w:rsid w:val="00764FB8"/>
    <w:rsid w:val="0076513A"/>
    <w:rsid w:val="0076519D"/>
    <w:rsid w:val="00765256"/>
    <w:rsid w:val="007654A8"/>
    <w:rsid w:val="0076560C"/>
    <w:rsid w:val="007656DD"/>
    <w:rsid w:val="007659C6"/>
    <w:rsid w:val="00765A84"/>
    <w:rsid w:val="00765BE9"/>
    <w:rsid w:val="00765F2A"/>
    <w:rsid w:val="007667FB"/>
    <w:rsid w:val="00766BB4"/>
    <w:rsid w:val="00766C66"/>
    <w:rsid w:val="00767152"/>
    <w:rsid w:val="007671A7"/>
    <w:rsid w:val="007675FF"/>
    <w:rsid w:val="0076783C"/>
    <w:rsid w:val="00767A1C"/>
    <w:rsid w:val="00767BD7"/>
    <w:rsid w:val="00767C54"/>
    <w:rsid w:val="00767C80"/>
    <w:rsid w:val="007700E7"/>
    <w:rsid w:val="00770A28"/>
    <w:rsid w:val="00770AB8"/>
    <w:rsid w:val="00770BA6"/>
    <w:rsid w:val="007712B8"/>
    <w:rsid w:val="00771372"/>
    <w:rsid w:val="0077162F"/>
    <w:rsid w:val="00771648"/>
    <w:rsid w:val="0077173D"/>
    <w:rsid w:val="00771836"/>
    <w:rsid w:val="007718F2"/>
    <w:rsid w:val="007719DB"/>
    <w:rsid w:val="00771FE2"/>
    <w:rsid w:val="00771FEC"/>
    <w:rsid w:val="00772220"/>
    <w:rsid w:val="0077275F"/>
    <w:rsid w:val="00772AEE"/>
    <w:rsid w:val="00772DF1"/>
    <w:rsid w:val="007734E9"/>
    <w:rsid w:val="00773F70"/>
    <w:rsid w:val="007741FD"/>
    <w:rsid w:val="007743B1"/>
    <w:rsid w:val="0077455E"/>
    <w:rsid w:val="0077471A"/>
    <w:rsid w:val="00774903"/>
    <w:rsid w:val="007749B6"/>
    <w:rsid w:val="00774C35"/>
    <w:rsid w:val="00774DB5"/>
    <w:rsid w:val="00775078"/>
    <w:rsid w:val="00775083"/>
    <w:rsid w:val="00775957"/>
    <w:rsid w:val="00775CA9"/>
    <w:rsid w:val="007763FC"/>
    <w:rsid w:val="00776B0B"/>
    <w:rsid w:val="00776BE0"/>
    <w:rsid w:val="00776E02"/>
    <w:rsid w:val="00776FCF"/>
    <w:rsid w:val="007771AA"/>
    <w:rsid w:val="00777546"/>
    <w:rsid w:val="007779EE"/>
    <w:rsid w:val="00777CC6"/>
    <w:rsid w:val="00780192"/>
    <w:rsid w:val="00780C40"/>
    <w:rsid w:val="007814BE"/>
    <w:rsid w:val="00781AD6"/>
    <w:rsid w:val="00781DEC"/>
    <w:rsid w:val="00782657"/>
    <w:rsid w:val="0078278E"/>
    <w:rsid w:val="007830BA"/>
    <w:rsid w:val="00783240"/>
    <w:rsid w:val="00783642"/>
    <w:rsid w:val="007836E0"/>
    <w:rsid w:val="00783CE9"/>
    <w:rsid w:val="00783D59"/>
    <w:rsid w:val="00783EAC"/>
    <w:rsid w:val="00784292"/>
    <w:rsid w:val="00784605"/>
    <w:rsid w:val="0078463C"/>
    <w:rsid w:val="00784AC2"/>
    <w:rsid w:val="00784BFB"/>
    <w:rsid w:val="0078541D"/>
    <w:rsid w:val="00785615"/>
    <w:rsid w:val="00785D37"/>
    <w:rsid w:val="0078646E"/>
    <w:rsid w:val="007867F2"/>
    <w:rsid w:val="00786999"/>
    <w:rsid w:val="00786CBC"/>
    <w:rsid w:val="00786DF3"/>
    <w:rsid w:val="007875AA"/>
    <w:rsid w:val="00787968"/>
    <w:rsid w:val="00787A3A"/>
    <w:rsid w:val="00787D46"/>
    <w:rsid w:val="0079007D"/>
    <w:rsid w:val="00790184"/>
    <w:rsid w:val="007903CF"/>
    <w:rsid w:val="007906BE"/>
    <w:rsid w:val="007921E0"/>
    <w:rsid w:val="007926AC"/>
    <w:rsid w:val="00792C72"/>
    <w:rsid w:val="00792EC2"/>
    <w:rsid w:val="00793220"/>
    <w:rsid w:val="0079341A"/>
    <w:rsid w:val="00793EF5"/>
    <w:rsid w:val="00794D20"/>
    <w:rsid w:val="00794E08"/>
    <w:rsid w:val="00794F3A"/>
    <w:rsid w:val="00794FA3"/>
    <w:rsid w:val="0079515A"/>
    <w:rsid w:val="007959D9"/>
    <w:rsid w:val="00795ACC"/>
    <w:rsid w:val="00795AE4"/>
    <w:rsid w:val="00795C6D"/>
    <w:rsid w:val="00795E16"/>
    <w:rsid w:val="00796209"/>
    <w:rsid w:val="00796613"/>
    <w:rsid w:val="007968AC"/>
    <w:rsid w:val="00797818"/>
    <w:rsid w:val="007A09F6"/>
    <w:rsid w:val="007A0D89"/>
    <w:rsid w:val="007A0E79"/>
    <w:rsid w:val="007A101A"/>
    <w:rsid w:val="007A11E0"/>
    <w:rsid w:val="007A1516"/>
    <w:rsid w:val="007A1668"/>
    <w:rsid w:val="007A1C2C"/>
    <w:rsid w:val="007A1F89"/>
    <w:rsid w:val="007A2114"/>
    <w:rsid w:val="007A2355"/>
    <w:rsid w:val="007A2434"/>
    <w:rsid w:val="007A24B2"/>
    <w:rsid w:val="007A2AA5"/>
    <w:rsid w:val="007A2C0A"/>
    <w:rsid w:val="007A2EB2"/>
    <w:rsid w:val="007A324D"/>
    <w:rsid w:val="007A3373"/>
    <w:rsid w:val="007A424B"/>
    <w:rsid w:val="007A4691"/>
    <w:rsid w:val="007A4877"/>
    <w:rsid w:val="007A489D"/>
    <w:rsid w:val="007A4B22"/>
    <w:rsid w:val="007A4E73"/>
    <w:rsid w:val="007A5084"/>
    <w:rsid w:val="007A511B"/>
    <w:rsid w:val="007A51C2"/>
    <w:rsid w:val="007A539F"/>
    <w:rsid w:val="007A5416"/>
    <w:rsid w:val="007A55F3"/>
    <w:rsid w:val="007A578F"/>
    <w:rsid w:val="007A5908"/>
    <w:rsid w:val="007A5C9D"/>
    <w:rsid w:val="007A62D7"/>
    <w:rsid w:val="007A6397"/>
    <w:rsid w:val="007A6757"/>
    <w:rsid w:val="007A6862"/>
    <w:rsid w:val="007A6AA6"/>
    <w:rsid w:val="007A6DF6"/>
    <w:rsid w:val="007A7353"/>
    <w:rsid w:val="007A74CC"/>
    <w:rsid w:val="007A7866"/>
    <w:rsid w:val="007A7C31"/>
    <w:rsid w:val="007B00D4"/>
    <w:rsid w:val="007B08E2"/>
    <w:rsid w:val="007B0A4D"/>
    <w:rsid w:val="007B0B36"/>
    <w:rsid w:val="007B0B8B"/>
    <w:rsid w:val="007B0B8C"/>
    <w:rsid w:val="007B1206"/>
    <w:rsid w:val="007B1291"/>
    <w:rsid w:val="007B176C"/>
    <w:rsid w:val="007B17D8"/>
    <w:rsid w:val="007B180C"/>
    <w:rsid w:val="007B1888"/>
    <w:rsid w:val="007B1AA8"/>
    <w:rsid w:val="007B1C92"/>
    <w:rsid w:val="007B1EFF"/>
    <w:rsid w:val="007B2242"/>
    <w:rsid w:val="007B2579"/>
    <w:rsid w:val="007B25F8"/>
    <w:rsid w:val="007B2B1F"/>
    <w:rsid w:val="007B2CC8"/>
    <w:rsid w:val="007B2DAF"/>
    <w:rsid w:val="007B325D"/>
    <w:rsid w:val="007B3282"/>
    <w:rsid w:val="007B3316"/>
    <w:rsid w:val="007B3762"/>
    <w:rsid w:val="007B3910"/>
    <w:rsid w:val="007B3A4A"/>
    <w:rsid w:val="007B3B0A"/>
    <w:rsid w:val="007B3DA0"/>
    <w:rsid w:val="007B452D"/>
    <w:rsid w:val="007B4645"/>
    <w:rsid w:val="007B46CF"/>
    <w:rsid w:val="007B4C67"/>
    <w:rsid w:val="007B4E40"/>
    <w:rsid w:val="007B4E7A"/>
    <w:rsid w:val="007B4F65"/>
    <w:rsid w:val="007B512C"/>
    <w:rsid w:val="007B5299"/>
    <w:rsid w:val="007B5316"/>
    <w:rsid w:val="007B531F"/>
    <w:rsid w:val="007B57F9"/>
    <w:rsid w:val="007B599E"/>
    <w:rsid w:val="007B5D6E"/>
    <w:rsid w:val="007B5FD1"/>
    <w:rsid w:val="007B6B68"/>
    <w:rsid w:val="007B6E37"/>
    <w:rsid w:val="007B6E55"/>
    <w:rsid w:val="007B6FC9"/>
    <w:rsid w:val="007B72AA"/>
    <w:rsid w:val="007B7373"/>
    <w:rsid w:val="007B7563"/>
    <w:rsid w:val="007B7630"/>
    <w:rsid w:val="007B76C6"/>
    <w:rsid w:val="007B7A4D"/>
    <w:rsid w:val="007B7ADF"/>
    <w:rsid w:val="007C044F"/>
    <w:rsid w:val="007C054E"/>
    <w:rsid w:val="007C0557"/>
    <w:rsid w:val="007C0B76"/>
    <w:rsid w:val="007C0B85"/>
    <w:rsid w:val="007C0E28"/>
    <w:rsid w:val="007C154C"/>
    <w:rsid w:val="007C162B"/>
    <w:rsid w:val="007C1654"/>
    <w:rsid w:val="007C1A74"/>
    <w:rsid w:val="007C1ADC"/>
    <w:rsid w:val="007C1FA6"/>
    <w:rsid w:val="007C25D1"/>
    <w:rsid w:val="007C270D"/>
    <w:rsid w:val="007C29B9"/>
    <w:rsid w:val="007C2B2F"/>
    <w:rsid w:val="007C2B3D"/>
    <w:rsid w:val="007C2F62"/>
    <w:rsid w:val="007C31DD"/>
    <w:rsid w:val="007C3344"/>
    <w:rsid w:val="007C3443"/>
    <w:rsid w:val="007C404B"/>
    <w:rsid w:val="007C41B1"/>
    <w:rsid w:val="007C420B"/>
    <w:rsid w:val="007C488C"/>
    <w:rsid w:val="007C48E0"/>
    <w:rsid w:val="007C4B79"/>
    <w:rsid w:val="007C546A"/>
    <w:rsid w:val="007C55FE"/>
    <w:rsid w:val="007C5F38"/>
    <w:rsid w:val="007C6343"/>
    <w:rsid w:val="007C64C8"/>
    <w:rsid w:val="007C667C"/>
    <w:rsid w:val="007C69E0"/>
    <w:rsid w:val="007C73F9"/>
    <w:rsid w:val="007C742F"/>
    <w:rsid w:val="007C74BE"/>
    <w:rsid w:val="007C759B"/>
    <w:rsid w:val="007C7BAD"/>
    <w:rsid w:val="007C7D51"/>
    <w:rsid w:val="007D0031"/>
    <w:rsid w:val="007D01C4"/>
    <w:rsid w:val="007D01D9"/>
    <w:rsid w:val="007D03C2"/>
    <w:rsid w:val="007D08B7"/>
    <w:rsid w:val="007D0909"/>
    <w:rsid w:val="007D0A42"/>
    <w:rsid w:val="007D1109"/>
    <w:rsid w:val="007D1395"/>
    <w:rsid w:val="007D1488"/>
    <w:rsid w:val="007D1765"/>
    <w:rsid w:val="007D20A5"/>
    <w:rsid w:val="007D2528"/>
    <w:rsid w:val="007D28F5"/>
    <w:rsid w:val="007D2A5B"/>
    <w:rsid w:val="007D2BC1"/>
    <w:rsid w:val="007D2C04"/>
    <w:rsid w:val="007D2C9D"/>
    <w:rsid w:val="007D2D69"/>
    <w:rsid w:val="007D2D84"/>
    <w:rsid w:val="007D30B0"/>
    <w:rsid w:val="007D31F1"/>
    <w:rsid w:val="007D3397"/>
    <w:rsid w:val="007D350D"/>
    <w:rsid w:val="007D4002"/>
    <w:rsid w:val="007D43E2"/>
    <w:rsid w:val="007D46A2"/>
    <w:rsid w:val="007D47D9"/>
    <w:rsid w:val="007D490D"/>
    <w:rsid w:val="007D51FF"/>
    <w:rsid w:val="007D537E"/>
    <w:rsid w:val="007D5C22"/>
    <w:rsid w:val="007D5C4F"/>
    <w:rsid w:val="007D6793"/>
    <w:rsid w:val="007D67E2"/>
    <w:rsid w:val="007D68AB"/>
    <w:rsid w:val="007D6CCC"/>
    <w:rsid w:val="007D7A42"/>
    <w:rsid w:val="007E01E0"/>
    <w:rsid w:val="007E0277"/>
    <w:rsid w:val="007E03F7"/>
    <w:rsid w:val="007E04CF"/>
    <w:rsid w:val="007E0561"/>
    <w:rsid w:val="007E05E1"/>
    <w:rsid w:val="007E0BBB"/>
    <w:rsid w:val="007E13AF"/>
    <w:rsid w:val="007E161C"/>
    <w:rsid w:val="007E173F"/>
    <w:rsid w:val="007E1884"/>
    <w:rsid w:val="007E284F"/>
    <w:rsid w:val="007E2A2A"/>
    <w:rsid w:val="007E356D"/>
    <w:rsid w:val="007E3B45"/>
    <w:rsid w:val="007E3DD2"/>
    <w:rsid w:val="007E3E69"/>
    <w:rsid w:val="007E4064"/>
    <w:rsid w:val="007E40D0"/>
    <w:rsid w:val="007E4735"/>
    <w:rsid w:val="007E4DBF"/>
    <w:rsid w:val="007E5085"/>
    <w:rsid w:val="007E577F"/>
    <w:rsid w:val="007E624F"/>
    <w:rsid w:val="007E628E"/>
    <w:rsid w:val="007E6724"/>
    <w:rsid w:val="007E6BAA"/>
    <w:rsid w:val="007E6E19"/>
    <w:rsid w:val="007E7BFF"/>
    <w:rsid w:val="007E7D0C"/>
    <w:rsid w:val="007E7EC4"/>
    <w:rsid w:val="007F0200"/>
    <w:rsid w:val="007F02B5"/>
    <w:rsid w:val="007F0459"/>
    <w:rsid w:val="007F0745"/>
    <w:rsid w:val="007F0764"/>
    <w:rsid w:val="007F0859"/>
    <w:rsid w:val="007F085E"/>
    <w:rsid w:val="007F19BD"/>
    <w:rsid w:val="007F1FFB"/>
    <w:rsid w:val="007F2102"/>
    <w:rsid w:val="007F2118"/>
    <w:rsid w:val="007F233E"/>
    <w:rsid w:val="007F27DF"/>
    <w:rsid w:val="007F27FA"/>
    <w:rsid w:val="007F2C25"/>
    <w:rsid w:val="007F3194"/>
    <w:rsid w:val="007F338A"/>
    <w:rsid w:val="007F39BC"/>
    <w:rsid w:val="007F3B84"/>
    <w:rsid w:val="007F3C40"/>
    <w:rsid w:val="007F3CF1"/>
    <w:rsid w:val="007F3F2F"/>
    <w:rsid w:val="007F3F71"/>
    <w:rsid w:val="007F3F72"/>
    <w:rsid w:val="007F498F"/>
    <w:rsid w:val="007F4C54"/>
    <w:rsid w:val="007F4DDD"/>
    <w:rsid w:val="007F4EFE"/>
    <w:rsid w:val="007F517F"/>
    <w:rsid w:val="007F51D1"/>
    <w:rsid w:val="007F5319"/>
    <w:rsid w:val="007F55A0"/>
    <w:rsid w:val="007F58AD"/>
    <w:rsid w:val="007F594D"/>
    <w:rsid w:val="007F5E1F"/>
    <w:rsid w:val="007F61CF"/>
    <w:rsid w:val="007F6283"/>
    <w:rsid w:val="007F6476"/>
    <w:rsid w:val="007F6CC5"/>
    <w:rsid w:val="007F6D31"/>
    <w:rsid w:val="007F72A5"/>
    <w:rsid w:val="007F7DAD"/>
    <w:rsid w:val="007F7EFF"/>
    <w:rsid w:val="00800241"/>
    <w:rsid w:val="008003B5"/>
    <w:rsid w:val="00800548"/>
    <w:rsid w:val="0080085A"/>
    <w:rsid w:val="008009A6"/>
    <w:rsid w:val="00800A9B"/>
    <w:rsid w:val="00800B62"/>
    <w:rsid w:val="00801103"/>
    <w:rsid w:val="008015E4"/>
    <w:rsid w:val="00801CE6"/>
    <w:rsid w:val="008021BC"/>
    <w:rsid w:val="008029D3"/>
    <w:rsid w:val="00802ED2"/>
    <w:rsid w:val="00802F11"/>
    <w:rsid w:val="00803342"/>
    <w:rsid w:val="00803867"/>
    <w:rsid w:val="008038B4"/>
    <w:rsid w:val="00803B1E"/>
    <w:rsid w:val="008040E1"/>
    <w:rsid w:val="00804265"/>
    <w:rsid w:val="0080456D"/>
    <w:rsid w:val="0080465F"/>
    <w:rsid w:val="00804AD0"/>
    <w:rsid w:val="00804C4A"/>
    <w:rsid w:val="00804C58"/>
    <w:rsid w:val="00805448"/>
    <w:rsid w:val="00805507"/>
    <w:rsid w:val="00805668"/>
    <w:rsid w:val="00805768"/>
    <w:rsid w:val="00806192"/>
    <w:rsid w:val="008064A6"/>
    <w:rsid w:val="008065B2"/>
    <w:rsid w:val="0080692A"/>
    <w:rsid w:val="00807360"/>
    <w:rsid w:val="00807768"/>
    <w:rsid w:val="00807813"/>
    <w:rsid w:val="008078BF"/>
    <w:rsid w:val="0080E9EF"/>
    <w:rsid w:val="00810381"/>
    <w:rsid w:val="0081089C"/>
    <w:rsid w:val="00810FA1"/>
    <w:rsid w:val="00811200"/>
    <w:rsid w:val="008117BB"/>
    <w:rsid w:val="0081192C"/>
    <w:rsid w:val="008119B5"/>
    <w:rsid w:val="00811B98"/>
    <w:rsid w:val="00812441"/>
    <w:rsid w:val="0081256F"/>
    <w:rsid w:val="008126F3"/>
    <w:rsid w:val="0081270E"/>
    <w:rsid w:val="00812779"/>
    <w:rsid w:val="00812E5E"/>
    <w:rsid w:val="00812E8C"/>
    <w:rsid w:val="00812F51"/>
    <w:rsid w:val="00813031"/>
    <w:rsid w:val="00813316"/>
    <w:rsid w:val="008136DD"/>
    <w:rsid w:val="00813BBF"/>
    <w:rsid w:val="008143CF"/>
    <w:rsid w:val="00814615"/>
    <w:rsid w:val="008146F2"/>
    <w:rsid w:val="008147C2"/>
    <w:rsid w:val="00814810"/>
    <w:rsid w:val="008149C4"/>
    <w:rsid w:val="00814AB7"/>
    <w:rsid w:val="00814D95"/>
    <w:rsid w:val="00814E4E"/>
    <w:rsid w:val="00814E56"/>
    <w:rsid w:val="00814F2E"/>
    <w:rsid w:val="008152BC"/>
    <w:rsid w:val="008153E0"/>
    <w:rsid w:val="00815615"/>
    <w:rsid w:val="00816133"/>
    <w:rsid w:val="00816435"/>
    <w:rsid w:val="0081686B"/>
    <w:rsid w:val="00816948"/>
    <w:rsid w:val="00816A19"/>
    <w:rsid w:val="00816D00"/>
    <w:rsid w:val="00816D35"/>
    <w:rsid w:val="00816D7B"/>
    <w:rsid w:val="00817154"/>
    <w:rsid w:val="00817458"/>
    <w:rsid w:val="00817722"/>
    <w:rsid w:val="00817EB5"/>
    <w:rsid w:val="0082036C"/>
    <w:rsid w:val="008203D8"/>
    <w:rsid w:val="008203E6"/>
    <w:rsid w:val="00820987"/>
    <w:rsid w:val="00821205"/>
    <w:rsid w:val="0082132D"/>
    <w:rsid w:val="00821501"/>
    <w:rsid w:val="00821628"/>
    <w:rsid w:val="0082166E"/>
    <w:rsid w:val="008216E0"/>
    <w:rsid w:val="00821A73"/>
    <w:rsid w:val="0082278B"/>
    <w:rsid w:val="00822894"/>
    <w:rsid w:val="008228E2"/>
    <w:rsid w:val="00823250"/>
    <w:rsid w:val="00823354"/>
    <w:rsid w:val="008234A0"/>
    <w:rsid w:val="00823572"/>
    <w:rsid w:val="0082376E"/>
    <w:rsid w:val="00823F0C"/>
    <w:rsid w:val="0082460D"/>
    <w:rsid w:val="008246F0"/>
    <w:rsid w:val="00824B7A"/>
    <w:rsid w:val="00824D09"/>
    <w:rsid w:val="00824FB3"/>
    <w:rsid w:val="00825435"/>
    <w:rsid w:val="00825530"/>
    <w:rsid w:val="00825826"/>
    <w:rsid w:val="00825AD1"/>
    <w:rsid w:val="00826383"/>
    <w:rsid w:val="00826689"/>
    <w:rsid w:val="008266F6"/>
    <w:rsid w:val="00826781"/>
    <w:rsid w:val="00826909"/>
    <w:rsid w:val="00826A7E"/>
    <w:rsid w:val="00826ACA"/>
    <w:rsid w:val="00826B5D"/>
    <w:rsid w:val="00826BEB"/>
    <w:rsid w:val="00826BF7"/>
    <w:rsid w:val="00826C70"/>
    <w:rsid w:val="00827066"/>
    <w:rsid w:val="00827556"/>
    <w:rsid w:val="0082762A"/>
    <w:rsid w:val="00827713"/>
    <w:rsid w:val="00827907"/>
    <w:rsid w:val="008300AD"/>
    <w:rsid w:val="008304B0"/>
    <w:rsid w:val="0083056F"/>
    <w:rsid w:val="008308A4"/>
    <w:rsid w:val="00831054"/>
    <w:rsid w:val="0083113F"/>
    <w:rsid w:val="008312BD"/>
    <w:rsid w:val="008318FF"/>
    <w:rsid w:val="00831BC4"/>
    <w:rsid w:val="00831C52"/>
    <w:rsid w:val="00831CE7"/>
    <w:rsid w:val="008323A6"/>
    <w:rsid w:val="008327E6"/>
    <w:rsid w:val="00833225"/>
    <w:rsid w:val="0083363A"/>
    <w:rsid w:val="0083380A"/>
    <w:rsid w:val="00833840"/>
    <w:rsid w:val="00833841"/>
    <w:rsid w:val="008339E3"/>
    <w:rsid w:val="00833B3C"/>
    <w:rsid w:val="00833D84"/>
    <w:rsid w:val="00833DCD"/>
    <w:rsid w:val="00833E0A"/>
    <w:rsid w:val="00834038"/>
    <w:rsid w:val="00834418"/>
    <w:rsid w:val="00834467"/>
    <w:rsid w:val="0083525B"/>
    <w:rsid w:val="00835F6C"/>
    <w:rsid w:val="0083603C"/>
    <w:rsid w:val="0083667D"/>
    <w:rsid w:val="00836981"/>
    <w:rsid w:val="00836A3F"/>
    <w:rsid w:val="00836C66"/>
    <w:rsid w:val="008370ED"/>
    <w:rsid w:val="0083764A"/>
    <w:rsid w:val="00837824"/>
    <w:rsid w:val="00837960"/>
    <w:rsid w:val="00837983"/>
    <w:rsid w:val="00837CF9"/>
    <w:rsid w:val="00837E4D"/>
    <w:rsid w:val="00837FE6"/>
    <w:rsid w:val="00838B3B"/>
    <w:rsid w:val="00840077"/>
    <w:rsid w:val="008401C9"/>
    <w:rsid w:val="00840805"/>
    <w:rsid w:val="00840CD9"/>
    <w:rsid w:val="00840DFD"/>
    <w:rsid w:val="00840EF1"/>
    <w:rsid w:val="008410A9"/>
    <w:rsid w:val="00841186"/>
    <w:rsid w:val="0084137B"/>
    <w:rsid w:val="00841709"/>
    <w:rsid w:val="00841AA8"/>
    <w:rsid w:val="00841E86"/>
    <w:rsid w:val="00841F65"/>
    <w:rsid w:val="008422C1"/>
    <w:rsid w:val="008429B8"/>
    <w:rsid w:val="00842D3D"/>
    <w:rsid w:val="00843075"/>
    <w:rsid w:val="008432A4"/>
    <w:rsid w:val="00843705"/>
    <w:rsid w:val="00843D3B"/>
    <w:rsid w:val="00843D5C"/>
    <w:rsid w:val="00843E1B"/>
    <w:rsid w:val="0084403D"/>
    <w:rsid w:val="00844052"/>
    <w:rsid w:val="008442CC"/>
    <w:rsid w:val="0084434C"/>
    <w:rsid w:val="00844856"/>
    <w:rsid w:val="008449F6"/>
    <w:rsid w:val="00845151"/>
    <w:rsid w:val="0084566C"/>
    <w:rsid w:val="00845790"/>
    <w:rsid w:val="0084584C"/>
    <w:rsid w:val="00845956"/>
    <w:rsid w:val="00845DCA"/>
    <w:rsid w:val="008462CF"/>
    <w:rsid w:val="008465CC"/>
    <w:rsid w:val="00846A4C"/>
    <w:rsid w:val="00846C23"/>
    <w:rsid w:val="00846DD0"/>
    <w:rsid w:val="008474C7"/>
    <w:rsid w:val="00847FFB"/>
    <w:rsid w:val="00850497"/>
    <w:rsid w:val="008508DA"/>
    <w:rsid w:val="0085128B"/>
    <w:rsid w:val="008512D3"/>
    <w:rsid w:val="00851620"/>
    <w:rsid w:val="00851A46"/>
    <w:rsid w:val="008522D7"/>
    <w:rsid w:val="00852B22"/>
    <w:rsid w:val="00852B63"/>
    <w:rsid w:val="00852C6D"/>
    <w:rsid w:val="00852D26"/>
    <w:rsid w:val="00852DA0"/>
    <w:rsid w:val="00853BA6"/>
    <w:rsid w:val="00853D3D"/>
    <w:rsid w:val="00853DA3"/>
    <w:rsid w:val="0085415E"/>
    <w:rsid w:val="00854A77"/>
    <w:rsid w:val="00854B0D"/>
    <w:rsid w:val="00854B90"/>
    <w:rsid w:val="00854FB9"/>
    <w:rsid w:val="008552F6"/>
    <w:rsid w:val="0085551E"/>
    <w:rsid w:val="0085557D"/>
    <w:rsid w:val="0085564C"/>
    <w:rsid w:val="008556FA"/>
    <w:rsid w:val="0085579C"/>
    <w:rsid w:val="00855A6F"/>
    <w:rsid w:val="00855BB6"/>
    <w:rsid w:val="00855D49"/>
    <w:rsid w:val="00855FA4"/>
    <w:rsid w:val="00856152"/>
    <w:rsid w:val="00856285"/>
    <w:rsid w:val="008562CF"/>
    <w:rsid w:val="0085647C"/>
    <w:rsid w:val="008567AD"/>
    <w:rsid w:val="008569DA"/>
    <w:rsid w:val="00856CE6"/>
    <w:rsid w:val="008570A3"/>
    <w:rsid w:val="008579E2"/>
    <w:rsid w:val="00857D46"/>
    <w:rsid w:val="00857E1D"/>
    <w:rsid w:val="00857EC2"/>
    <w:rsid w:val="008600E6"/>
    <w:rsid w:val="008603E5"/>
    <w:rsid w:val="008607DF"/>
    <w:rsid w:val="008609F0"/>
    <w:rsid w:val="00860F96"/>
    <w:rsid w:val="008617B7"/>
    <w:rsid w:val="008621D9"/>
    <w:rsid w:val="008621FC"/>
    <w:rsid w:val="0086235E"/>
    <w:rsid w:val="0086252C"/>
    <w:rsid w:val="008625C0"/>
    <w:rsid w:val="00862F17"/>
    <w:rsid w:val="008630C1"/>
    <w:rsid w:val="00863482"/>
    <w:rsid w:val="00863966"/>
    <w:rsid w:val="00863A85"/>
    <w:rsid w:val="008640F8"/>
    <w:rsid w:val="008641B4"/>
    <w:rsid w:val="0086459F"/>
    <w:rsid w:val="00864A45"/>
    <w:rsid w:val="00864F30"/>
    <w:rsid w:val="00865387"/>
    <w:rsid w:val="008653AF"/>
    <w:rsid w:val="00865B03"/>
    <w:rsid w:val="00865B8F"/>
    <w:rsid w:val="00865D4C"/>
    <w:rsid w:val="0086604F"/>
    <w:rsid w:val="00866165"/>
    <w:rsid w:val="0086651C"/>
    <w:rsid w:val="00866821"/>
    <w:rsid w:val="00866A9C"/>
    <w:rsid w:val="008679A3"/>
    <w:rsid w:val="00867BBC"/>
    <w:rsid w:val="00867BC9"/>
    <w:rsid w:val="00867EB3"/>
    <w:rsid w:val="00867FEC"/>
    <w:rsid w:val="00870586"/>
    <w:rsid w:val="0087088D"/>
    <w:rsid w:val="00870980"/>
    <w:rsid w:val="00870DE1"/>
    <w:rsid w:val="00870E16"/>
    <w:rsid w:val="00871002"/>
    <w:rsid w:val="00871303"/>
    <w:rsid w:val="00871524"/>
    <w:rsid w:val="008716D3"/>
    <w:rsid w:val="0087188C"/>
    <w:rsid w:val="0087215A"/>
    <w:rsid w:val="00872981"/>
    <w:rsid w:val="008736BC"/>
    <w:rsid w:val="0087374E"/>
    <w:rsid w:val="00873A90"/>
    <w:rsid w:val="00873E48"/>
    <w:rsid w:val="00873EC3"/>
    <w:rsid w:val="00874162"/>
    <w:rsid w:val="00874166"/>
    <w:rsid w:val="0087421E"/>
    <w:rsid w:val="00874660"/>
    <w:rsid w:val="0087481A"/>
    <w:rsid w:val="00874B46"/>
    <w:rsid w:val="00874DD8"/>
    <w:rsid w:val="00874E20"/>
    <w:rsid w:val="00875448"/>
    <w:rsid w:val="0087566F"/>
    <w:rsid w:val="00875D19"/>
    <w:rsid w:val="008763C5"/>
    <w:rsid w:val="00876533"/>
    <w:rsid w:val="008766E5"/>
    <w:rsid w:val="00876941"/>
    <w:rsid w:val="00876B0A"/>
    <w:rsid w:val="00876B0C"/>
    <w:rsid w:val="00876E9A"/>
    <w:rsid w:val="00876FAE"/>
    <w:rsid w:val="0087700F"/>
    <w:rsid w:val="008776AB"/>
    <w:rsid w:val="00877F14"/>
    <w:rsid w:val="00880006"/>
    <w:rsid w:val="008800C4"/>
    <w:rsid w:val="0088025D"/>
    <w:rsid w:val="008802D7"/>
    <w:rsid w:val="008804AD"/>
    <w:rsid w:val="00880E88"/>
    <w:rsid w:val="00881160"/>
    <w:rsid w:val="0088131A"/>
    <w:rsid w:val="00882159"/>
    <w:rsid w:val="00882919"/>
    <w:rsid w:val="00882F59"/>
    <w:rsid w:val="008833BF"/>
    <w:rsid w:val="008837A3"/>
    <w:rsid w:val="008837DC"/>
    <w:rsid w:val="00883B7C"/>
    <w:rsid w:val="00883B84"/>
    <w:rsid w:val="00883F4E"/>
    <w:rsid w:val="00883FB3"/>
    <w:rsid w:val="008841F5"/>
    <w:rsid w:val="008843DA"/>
    <w:rsid w:val="00884AC7"/>
    <w:rsid w:val="0088519E"/>
    <w:rsid w:val="00885446"/>
    <w:rsid w:val="00885C28"/>
    <w:rsid w:val="00885C86"/>
    <w:rsid w:val="00885D00"/>
    <w:rsid w:val="00885D49"/>
    <w:rsid w:val="00885EF3"/>
    <w:rsid w:val="00885FB5"/>
    <w:rsid w:val="0088651A"/>
    <w:rsid w:val="0088670A"/>
    <w:rsid w:val="0088681E"/>
    <w:rsid w:val="00886A70"/>
    <w:rsid w:val="00886AB8"/>
    <w:rsid w:val="00886ADD"/>
    <w:rsid w:val="0088705E"/>
    <w:rsid w:val="008874F4"/>
    <w:rsid w:val="008875E4"/>
    <w:rsid w:val="00887708"/>
    <w:rsid w:val="008878F2"/>
    <w:rsid w:val="00890339"/>
    <w:rsid w:val="008903E0"/>
    <w:rsid w:val="0089049F"/>
    <w:rsid w:val="008904F9"/>
    <w:rsid w:val="00890654"/>
    <w:rsid w:val="00890755"/>
    <w:rsid w:val="00890929"/>
    <w:rsid w:val="00890B9B"/>
    <w:rsid w:val="00890EB1"/>
    <w:rsid w:val="00890F74"/>
    <w:rsid w:val="008913B2"/>
    <w:rsid w:val="008919EA"/>
    <w:rsid w:val="00891D22"/>
    <w:rsid w:val="00891F7C"/>
    <w:rsid w:val="008923E2"/>
    <w:rsid w:val="0089242C"/>
    <w:rsid w:val="008926BD"/>
    <w:rsid w:val="00892905"/>
    <w:rsid w:val="008929D0"/>
    <w:rsid w:val="00892BF2"/>
    <w:rsid w:val="00892DD3"/>
    <w:rsid w:val="00892FC2"/>
    <w:rsid w:val="0089370B"/>
    <w:rsid w:val="00893E76"/>
    <w:rsid w:val="00893F57"/>
    <w:rsid w:val="0089416F"/>
    <w:rsid w:val="0089435F"/>
    <w:rsid w:val="008943EC"/>
    <w:rsid w:val="008944CD"/>
    <w:rsid w:val="0089451B"/>
    <w:rsid w:val="0089481E"/>
    <w:rsid w:val="00894BD5"/>
    <w:rsid w:val="00894D08"/>
    <w:rsid w:val="00894FFF"/>
    <w:rsid w:val="00895242"/>
    <w:rsid w:val="00895686"/>
    <w:rsid w:val="0089572C"/>
    <w:rsid w:val="0089644B"/>
    <w:rsid w:val="008964B1"/>
    <w:rsid w:val="00896A8B"/>
    <w:rsid w:val="00896B90"/>
    <w:rsid w:val="00896D3B"/>
    <w:rsid w:val="00896F5D"/>
    <w:rsid w:val="0089709C"/>
    <w:rsid w:val="008971F6"/>
    <w:rsid w:val="008976F5"/>
    <w:rsid w:val="0089773A"/>
    <w:rsid w:val="00897AD7"/>
    <w:rsid w:val="00897F70"/>
    <w:rsid w:val="008A00A6"/>
    <w:rsid w:val="008A050C"/>
    <w:rsid w:val="008A060F"/>
    <w:rsid w:val="008A0A6E"/>
    <w:rsid w:val="008A0AB9"/>
    <w:rsid w:val="008A0ADA"/>
    <w:rsid w:val="008A0C02"/>
    <w:rsid w:val="008A0E69"/>
    <w:rsid w:val="008A0EB3"/>
    <w:rsid w:val="008A141B"/>
    <w:rsid w:val="008A171D"/>
    <w:rsid w:val="008A17B5"/>
    <w:rsid w:val="008A1B6D"/>
    <w:rsid w:val="008A1EED"/>
    <w:rsid w:val="008A214F"/>
    <w:rsid w:val="008A235C"/>
    <w:rsid w:val="008A2405"/>
    <w:rsid w:val="008A253D"/>
    <w:rsid w:val="008A27F3"/>
    <w:rsid w:val="008A2B1F"/>
    <w:rsid w:val="008A2B23"/>
    <w:rsid w:val="008A2B76"/>
    <w:rsid w:val="008A2D16"/>
    <w:rsid w:val="008A37A0"/>
    <w:rsid w:val="008A3985"/>
    <w:rsid w:val="008A3B34"/>
    <w:rsid w:val="008A3CB0"/>
    <w:rsid w:val="008A3E91"/>
    <w:rsid w:val="008A4FFD"/>
    <w:rsid w:val="008A57D4"/>
    <w:rsid w:val="008A5E6E"/>
    <w:rsid w:val="008A5FA2"/>
    <w:rsid w:val="008A660E"/>
    <w:rsid w:val="008A6641"/>
    <w:rsid w:val="008A6749"/>
    <w:rsid w:val="008A6B6E"/>
    <w:rsid w:val="008A6F16"/>
    <w:rsid w:val="008A6F3A"/>
    <w:rsid w:val="008A724D"/>
    <w:rsid w:val="008A73AE"/>
    <w:rsid w:val="008A74A1"/>
    <w:rsid w:val="008A74F4"/>
    <w:rsid w:val="008A7D90"/>
    <w:rsid w:val="008A7FFD"/>
    <w:rsid w:val="008B00B3"/>
    <w:rsid w:val="008B00C2"/>
    <w:rsid w:val="008B0752"/>
    <w:rsid w:val="008B0AD2"/>
    <w:rsid w:val="008B0DAF"/>
    <w:rsid w:val="008B1543"/>
    <w:rsid w:val="008B1BB1"/>
    <w:rsid w:val="008B1CA3"/>
    <w:rsid w:val="008B1F4D"/>
    <w:rsid w:val="008B207E"/>
    <w:rsid w:val="008B221E"/>
    <w:rsid w:val="008B2673"/>
    <w:rsid w:val="008B2723"/>
    <w:rsid w:val="008B2819"/>
    <w:rsid w:val="008B30BE"/>
    <w:rsid w:val="008B323C"/>
    <w:rsid w:val="008B345F"/>
    <w:rsid w:val="008B3A60"/>
    <w:rsid w:val="008B4031"/>
    <w:rsid w:val="008B40E8"/>
    <w:rsid w:val="008B4389"/>
    <w:rsid w:val="008B46DD"/>
    <w:rsid w:val="008B4905"/>
    <w:rsid w:val="008B4934"/>
    <w:rsid w:val="008B49E1"/>
    <w:rsid w:val="008B4FFD"/>
    <w:rsid w:val="008B50CF"/>
    <w:rsid w:val="008B538E"/>
    <w:rsid w:val="008B5BB6"/>
    <w:rsid w:val="008B5FB5"/>
    <w:rsid w:val="008B6332"/>
    <w:rsid w:val="008B6532"/>
    <w:rsid w:val="008B66CB"/>
    <w:rsid w:val="008B69DC"/>
    <w:rsid w:val="008B6AA9"/>
    <w:rsid w:val="008B6AF4"/>
    <w:rsid w:val="008B6B2A"/>
    <w:rsid w:val="008B7B8B"/>
    <w:rsid w:val="008B7CBD"/>
    <w:rsid w:val="008C02F3"/>
    <w:rsid w:val="008C0AA4"/>
    <w:rsid w:val="008C0AF5"/>
    <w:rsid w:val="008C0FC3"/>
    <w:rsid w:val="008C1628"/>
    <w:rsid w:val="008C1F5E"/>
    <w:rsid w:val="008C2137"/>
    <w:rsid w:val="008C21D7"/>
    <w:rsid w:val="008C266B"/>
    <w:rsid w:val="008C2943"/>
    <w:rsid w:val="008C2E79"/>
    <w:rsid w:val="008C3232"/>
    <w:rsid w:val="008C36AA"/>
    <w:rsid w:val="008C4246"/>
    <w:rsid w:val="008C481C"/>
    <w:rsid w:val="008C4AFA"/>
    <w:rsid w:val="008C4E7E"/>
    <w:rsid w:val="008C51A6"/>
    <w:rsid w:val="008C5636"/>
    <w:rsid w:val="008C5BA1"/>
    <w:rsid w:val="008C5D66"/>
    <w:rsid w:val="008C6214"/>
    <w:rsid w:val="008C624C"/>
    <w:rsid w:val="008C6A97"/>
    <w:rsid w:val="008C6BB0"/>
    <w:rsid w:val="008C6BC3"/>
    <w:rsid w:val="008C6D00"/>
    <w:rsid w:val="008C7088"/>
    <w:rsid w:val="008C71E8"/>
    <w:rsid w:val="008C763A"/>
    <w:rsid w:val="008C76A1"/>
    <w:rsid w:val="008C7A66"/>
    <w:rsid w:val="008C7AE9"/>
    <w:rsid w:val="008C7D56"/>
    <w:rsid w:val="008CD51D"/>
    <w:rsid w:val="008D003E"/>
    <w:rsid w:val="008D01B0"/>
    <w:rsid w:val="008D0449"/>
    <w:rsid w:val="008D0B15"/>
    <w:rsid w:val="008D167A"/>
    <w:rsid w:val="008D17DE"/>
    <w:rsid w:val="008D1D0D"/>
    <w:rsid w:val="008D2B23"/>
    <w:rsid w:val="008D2D72"/>
    <w:rsid w:val="008D2FE0"/>
    <w:rsid w:val="008D313F"/>
    <w:rsid w:val="008D34A5"/>
    <w:rsid w:val="008D34F4"/>
    <w:rsid w:val="008D37F5"/>
    <w:rsid w:val="008D3DAF"/>
    <w:rsid w:val="008D3DE7"/>
    <w:rsid w:val="008D435A"/>
    <w:rsid w:val="008D481B"/>
    <w:rsid w:val="008D48FC"/>
    <w:rsid w:val="008D497D"/>
    <w:rsid w:val="008D4CE6"/>
    <w:rsid w:val="008D4F93"/>
    <w:rsid w:val="008D500F"/>
    <w:rsid w:val="008D5561"/>
    <w:rsid w:val="008D57E2"/>
    <w:rsid w:val="008D5BE8"/>
    <w:rsid w:val="008D5D6B"/>
    <w:rsid w:val="008D5E3E"/>
    <w:rsid w:val="008D641E"/>
    <w:rsid w:val="008D643C"/>
    <w:rsid w:val="008D656D"/>
    <w:rsid w:val="008D66A7"/>
    <w:rsid w:val="008D6853"/>
    <w:rsid w:val="008D6FAF"/>
    <w:rsid w:val="008D71B2"/>
    <w:rsid w:val="008D7386"/>
    <w:rsid w:val="008D73DB"/>
    <w:rsid w:val="008D74D0"/>
    <w:rsid w:val="008D7C7A"/>
    <w:rsid w:val="008E0442"/>
    <w:rsid w:val="008E089D"/>
    <w:rsid w:val="008E0DE1"/>
    <w:rsid w:val="008E1178"/>
    <w:rsid w:val="008E17E7"/>
    <w:rsid w:val="008E1FCA"/>
    <w:rsid w:val="008E2549"/>
    <w:rsid w:val="008E284D"/>
    <w:rsid w:val="008E2947"/>
    <w:rsid w:val="008E2BB1"/>
    <w:rsid w:val="008E2EED"/>
    <w:rsid w:val="008E3188"/>
    <w:rsid w:val="008E31BB"/>
    <w:rsid w:val="008E3BA5"/>
    <w:rsid w:val="008E3FEC"/>
    <w:rsid w:val="008E4005"/>
    <w:rsid w:val="008E41F2"/>
    <w:rsid w:val="008E451E"/>
    <w:rsid w:val="008E4761"/>
    <w:rsid w:val="008E4988"/>
    <w:rsid w:val="008E4D4A"/>
    <w:rsid w:val="008E4D8C"/>
    <w:rsid w:val="008E4F5F"/>
    <w:rsid w:val="008E502C"/>
    <w:rsid w:val="008E502E"/>
    <w:rsid w:val="008E509F"/>
    <w:rsid w:val="008E5183"/>
    <w:rsid w:val="008E54EE"/>
    <w:rsid w:val="008E5C98"/>
    <w:rsid w:val="008E5FAE"/>
    <w:rsid w:val="008E67F2"/>
    <w:rsid w:val="008E6DE2"/>
    <w:rsid w:val="008E7240"/>
    <w:rsid w:val="008E764F"/>
    <w:rsid w:val="008E766E"/>
    <w:rsid w:val="008E7877"/>
    <w:rsid w:val="008E7DF6"/>
    <w:rsid w:val="008F0350"/>
    <w:rsid w:val="008F03C0"/>
    <w:rsid w:val="008F0463"/>
    <w:rsid w:val="008F081D"/>
    <w:rsid w:val="008F0FE5"/>
    <w:rsid w:val="008F1066"/>
    <w:rsid w:val="008F10FD"/>
    <w:rsid w:val="008F142B"/>
    <w:rsid w:val="008F190D"/>
    <w:rsid w:val="008F19F5"/>
    <w:rsid w:val="008F1C45"/>
    <w:rsid w:val="008F1C75"/>
    <w:rsid w:val="008F1E68"/>
    <w:rsid w:val="008F2258"/>
    <w:rsid w:val="008F22DE"/>
    <w:rsid w:val="008F23B3"/>
    <w:rsid w:val="008F2406"/>
    <w:rsid w:val="008F2D73"/>
    <w:rsid w:val="008F2E1A"/>
    <w:rsid w:val="008F2F15"/>
    <w:rsid w:val="008F303D"/>
    <w:rsid w:val="008F32C8"/>
    <w:rsid w:val="008F42A6"/>
    <w:rsid w:val="008F4472"/>
    <w:rsid w:val="008F4BAD"/>
    <w:rsid w:val="008F4F76"/>
    <w:rsid w:val="008F4FCE"/>
    <w:rsid w:val="008F53C6"/>
    <w:rsid w:val="008F578B"/>
    <w:rsid w:val="008F598F"/>
    <w:rsid w:val="008F5C86"/>
    <w:rsid w:val="008F5D97"/>
    <w:rsid w:val="008F5FA8"/>
    <w:rsid w:val="008F628D"/>
    <w:rsid w:val="008F62EE"/>
    <w:rsid w:val="008F69D6"/>
    <w:rsid w:val="008F6A8A"/>
    <w:rsid w:val="008F6FED"/>
    <w:rsid w:val="008F71E7"/>
    <w:rsid w:val="009001B7"/>
    <w:rsid w:val="009002F3"/>
    <w:rsid w:val="009011FE"/>
    <w:rsid w:val="00901577"/>
    <w:rsid w:val="00901E49"/>
    <w:rsid w:val="00902124"/>
    <w:rsid w:val="0090226D"/>
    <w:rsid w:val="00902883"/>
    <w:rsid w:val="00902A27"/>
    <w:rsid w:val="00902B2A"/>
    <w:rsid w:val="00902D73"/>
    <w:rsid w:val="00902D7A"/>
    <w:rsid w:val="00902E76"/>
    <w:rsid w:val="00903C10"/>
    <w:rsid w:val="00903CBD"/>
    <w:rsid w:val="00903CD7"/>
    <w:rsid w:val="00904586"/>
    <w:rsid w:val="0090458F"/>
    <w:rsid w:val="009045F0"/>
    <w:rsid w:val="00904688"/>
    <w:rsid w:val="009047E9"/>
    <w:rsid w:val="00904815"/>
    <w:rsid w:val="009048FF"/>
    <w:rsid w:val="00904B2F"/>
    <w:rsid w:val="00904C83"/>
    <w:rsid w:val="0090510B"/>
    <w:rsid w:val="00905664"/>
    <w:rsid w:val="009056DB"/>
    <w:rsid w:val="00905806"/>
    <w:rsid w:val="00905881"/>
    <w:rsid w:val="00906615"/>
    <w:rsid w:val="00906BA3"/>
    <w:rsid w:val="00907140"/>
    <w:rsid w:val="00907183"/>
    <w:rsid w:val="009071AE"/>
    <w:rsid w:val="009078E8"/>
    <w:rsid w:val="00907E6E"/>
    <w:rsid w:val="009100AF"/>
    <w:rsid w:val="00910121"/>
    <w:rsid w:val="009102F0"/>
    <w:rsid w:val="00910471"/>
    <w:rsid w:val="00910676"/>
    <w:rsid w:val="009109C1"/>
    <w:rsid w:val="00911341"/>
    <w:rsid w:val="0091162E"/>
    <w:rsid w:val="0091182F"/>
    <w:rsid w:val="00911A81"/>
    <w:rsid w:val="00911AD7"/>
    <w:rsid w:val="00911B74"/>
    <w:rsid w:val="00911C0D"/>
    <w:rsid w:val="00911C1C"/>
    <w:rsid w:val="00911DE0"/>
    <w:rsid w:val="009125F7"/>
    <w:rsid w:val="00912A2C"/>
    <w:rsid w:val="00912CD7"/>
    <w:rsid w:val="00912D0E"/>
    <w:rsid w:val="00912DD0"/>
    <w:rsid w:val="00913032"/>
    <w:rsid w:val="00913272"/>
    <w:rsid w:val="00913C8E"/>
    <w:rsid w:val="00913D5E"/>
    <w:rsid w:val="00913E1C"/>
    <w:rsid w:val="00913E57"/>
    <w:rsid w:val="00913F6B"/>
    <w:rsid w:val="00914173"/>
    <w:rsid w:val="00914776"/>
    <w:rsid w:val="009148AC"/>
    <w:rsid w:val="009149C3"/>
    <w:rsid w:val="00914AAA"/>
    <w:rsid w:val="00914B4E"/>
    <w:rsid w:val="00914D8E"/>
    <w:rsid w:val="00915519"/>
    <w:rsid w:val="00915E2B"/>
    <w:rsid w:val="00916198"/>
    <w:rsid w:val="00916308"/>
    <w:rsid w:val="009163BD"/>
    <w:rsid w:val="00916474"/>
    <w:rsid w:val="0091674A"/>
    <w:rsid w:val="00916ECE"/>
    <w:rsid w:val="00916F39"/>
    <w:rsid w:val="009172A3"/>
    <w:rsid w:val="009174FC"/>
    <w:rsid w:val="00917A9E"/>
    <w:rsid w:val="00917D37"/>
    <w:rsid w:val="00917EE1"/>
    <w:rsid w:val="00917F49"/>
    <w:rsid w:val="00920041"/>
    <w:rsid w:val="0092049E"/>
    <w:rsid w:val="009206BA"/>
    <w:rsid w:val="009209A4"/>
    <w:rsid w:val="00921911"/>
    <w:rsid w:val="00921929"/>
    <w:rsid w:val="0092216E"/>
    <w:rsid w:val="00922CF5"/>
    <w:rsid w:val="00922E74"/>
    <w:rsid w:val="00923093"/>
    <w:rsid w:val="00923246"/>
    <w:rsid w:val="009235BB"/>
    <w:rsid w:val="00924664"/>
    <w:rsid w:val="00924AD8"/>
    <w:rsid w:val="00924FAC"/>
    <w:rsid w:val="00925343"/>
    <w:rsid w:val="0092545B"/>
    <w:rsid w:val="00925576"/>
    <w:rsid w:val="00925808"/>
    <w:rsid w:val="0092587A"/>
    <w:rsid w:val="00925C60"/>
    <w:rsid w:val="00925E9C"/>
    <w:rsid w:val="00926D54"/>
    <w:rsid w:val="00926E00"/>
    <w:rsid w:val="0092728A"/>
    <w:rsid w:val="009272AA"/>
    <w:rsid w:val="0092765B"/>
    <w:rsid w:val="009278D1"/>
    <w:rsid w:val="0093035B"/>
    <w:rsid w:val="0093045E"/>
    <w:rsid w:val="00930800"/>
    <w:rsid w:val="00930BBD"/>
    <w:rsid w:val="00930BD2"/>
    <w:rsid w:val="00930CCB"/>
    <w:rsid w:val="00930E3B"/>
    <w:rsid w:val="00931229"/>
    <w:rsid w:val="00931A8A"/>
    <w:rsid w:val="00931B4C"/>
    <w:rsid w:val="00931D22"/>
    <w:rsid w:val="00931D78"/>
    <w:rsid w:val="00932321"/>
    <w:rsid w:val="00932747"/>
    <w:rsid w:val="00932B31"/>
    <w:rsid w:val="00932D2E"/>
    <w:rsid w:val="00932DEB"/>
    <w:rsid w:val="009335F8"/>
    <w:rsid w:val="00933995"/>
    <w:rsid w:val="00933B77"/>
    <w:rsid w:val="00933C5D"/>
    <w:rsid w:val="00933F05"/>
    <w:rsid w:val="009342DA"/>
    <w:rsid w:val="009344E2"/>
    <w:rsid w:val="0093463B"/>
    <w:rsid w:val="0093479D"/>
    <w:rsid w:val="009348D1"/>
    <w:rsid w:val="00934989"/>
    <w:rsid w:val="00934FE8"/>
    <w:rsid w:val="00935228"/>
    <w:rsid w:val="00935293"/>
    <w:rsid w:val="00935888"/>
    <w:rsid w:val="00935CFE"/>
    <w:rsid w:val="00935D93"/>
    <w:rsid w:val="009360F2"/>
    <w:rsid w:val="00936640"/>
    <w:rsid w:val="009366AD"/>
    <w:rsid w:val="0093678F"/>
    <w:rsid w:val="00936A6F"/>
    <w:rsid w:val="00936FB4"/>
    <w:rsid w:val="009373AD"/>
    <w:rsid w:val="00937781"/>
    <w:rsid w:val="00937936"/>
    <w:rsid w:val="00937E65"/>
    <w:rsid w:val="00937FC6"/>
    <w:rsid w:val="0093D01D"/>
    <w:rsid w:val="009400EA"/>
    <w:rsid w:val="0094033D"/>
    <w:rsid w:val="00940434"/>
    <w:rsid w:val="009407C2"/>
    <w:rsid w:val="00940BEF"/>
    <w:rsid w:val="00940EA2"/>
    <w:rsid w:val="00941428"/>
    <w:rsid w:val="009414D8"/>
    <w:rsid w:val="00941D79"/>
    <w:rsid w:val="009420E5"/>
    <w:rsid w:val="009421BE"/>
    <w:rsid w:val="00942ACA"/>
    <w:rsid w:val="00942EAA"/>
    <w:rsid w:val="009432C7"/>
    <w:rsid w:val="00943566"/>
    <w:rsid w:val="009436FD"/>
    <w:rsid w:val="00944079"/>
    <w:rsid w:val="009442F7"/>
    <w:rsid w:val="00944BC2"/>
    <w:rsid w:val="00944FCF"/>
    <w:rsid w:val="00945020"/>
    <w:rsid w:val="00945376"/>
    <w:rsid w:val="0094556A"/>
    <w:rsid w:val="009456A0"/>
    <w:rsid w:val="009458CB"/>
    <w:rsid w:val="009459E0"/>
    <w:rsid w:val="009459E9"/>
    <w:rsid w:val="00945DCD"/>
    <w:rsid w:val="009461D6"/>
    <w:rsid w:val="00946946"/>
    <w:rsid w:val="0094698E"/>
    <w:rsid w:val="00946D0D"/>
    <w:rsid w:val="00946D6B"/>
    <w:rsid w:val="00946E4C"/>
    <w:rsid w:val="00946E4F"/>
    <w:rsid w:val="00947049"/>
    <w:rsid w:val="0094738E"/>
    <w:rsid w:val="009473C6"/>
    <w:rsid w:val="0094768A"/>
    <w:rsid w:val="0094792B"/>
    <w:rsid w:val="00947A35"/>
    <w:rsid w:val="00947B6B"/>
    <w:rsid w:val="00947F8A"/>
    <w:rsid w:val="0095031D"/>
    <w:rsid w:val="00950838"/>
    <w:rsid w:val="00950F27"/>
    <w:rsid w:val="0095109E"/>
    <w:rsid w:val="009515F6"/>
    <w:rsid w:val="00951B3C"/>
    <w:rsid w:val="00951CA8"/>
    <w:rsid w:val="0095287B"/>
    <w:rsid w:val="009532F2"/>
    <w:rsid w:val="0095330E"/>
    <w:rsid w:val="009537CF"/>
    <w:rsid w:val="0095385E"/>
    <w:rsid w:val="0095406F"/>
    <w:rsid w:val="00954906"/>
    <w:rsid w:val="00954DE7"/>
    <w:rsid w:val="00954E1C"/>
    <w:rsid w:val="00954E40"/>
    <w:rsid w:val="009553A9"/>
    <w:rsid w:val="00955527"/>
    <w:rsid w:val="00955944"/>
    <w:rsid w:val="00955EEA"/>
    <w:rsid w:val="00955F55"/>
    <w:rsid w:val="0095663F"/>
    <w:rsid w:val="009568B5"/>
    <w:rsid w:val="00956AEF"/>
    <w:rsid w:val="00956E2D"/>
    <w:rsid w:val="00956EF0"/>
    <w:rsid w:val="0095727A"/>
    <w:rsid w:val="009578D9"/>
    <w:rsid w:val="00957B9E"/>
    <w:rsid w:val="00957C5D"/>
    <w:rsid w:val="00957C5E"/>
    <w:rsid w:val="00957DD5"/>
    <w:rsid w:val="00957E50"/>
    <w:rsid w:val="00957E72"/>
    <w:rsid w:val="00960344"/>
    <w:rsid w:val="00960A6D"/>
    <w:rsid w:val="00960AF4"/>
    <w:rsid w:val="00960DE2"/>
    <w:rsid w:val="009611C1"/>
    <w:rsid w:val="00961217"/>
    <w:rsid w:val="00961967"/>
    <w:rsid w:val="00961A8C"/>
    <w:rsid w:val="00962438"/>
    <w:rsid w:val="00962467"/>
    <w:rsid w:val="00962F0A"/>
    <w:rsid w:val="009631B0"/>
    <w:rsid w:val="00963565"/>
    <w:rsid w:val="0096358F"/>
    <w:rsid w:val="00963B67"/>
    <w:rsid w:val="00963C73"/>
    <w:rsid w:val="00964033"/>
    <w:rsid w:val="0096446D"/>
    <w:rsid w:val="009647A0"/>
    <w:rsid w:val="00964CB8"/>
    <w:rsid w:val="00965313"/>
    <w:rsid w:val="0096545C"/>
    <w:rsid w:val="00965E5D"/>
    <w:rsid w:val="009665ED"/>
    <w:rsid w:val="00966AC0"/>
    <w:rsid w:val="009673E9"/>
    <w:rsid w:val="00967522"/>
    <w:rsid w:val="009678BF"/>
    <w:rsid w:val="00967CDE"/>
    <w:rsid w:val="00967EF7"/>
    <w:rsid w:val="00970505"/>
    <w:rsid w:val="0097059F"/>
    <w:rsid w:val="00970FA8"/>
    <w:rsid w:val="0097105F"/>
    <w:rsid w:val="009714C4"/>
    <w:rsid w:val="0097189D"/>
    <w:rsid w:val="009718B8"/>
    <w:rsid w:val="00971B5C"/>
    <w:rsid w:val="00972224"/>
    <w:rsid w:val="0097262B"/>
    <w:rsid w:val="00972A2A"/>
    <w:rsid w:val="00972A8E"/>
    <w:rsid w:val="00972D04"/>
    <w:rsid w:val="00972FCA"/>
    <w:rsid w:val="009730BE"/>
    <w:rsid w:val="009732F5"/>
    <w:rsid w:val="00973374"/>
    <w:rsid w:val="0097349B"/>
    <w:rsid w:val="009737DD"/>
    <w:rsid w:val="00973AA9"/>
    <w:rsid w:val="00973C2A"/>
    <w:rsid w:val="009741A7"/>
    <w:rsid w:val="009742E7"/>
    <w:rsid w:val="0097440D"/>
    <w:rsid w:val="0097492C"/>
    <w:rsid w:val="00974CF7"/>
    <w:rsid w:val="00974D40"/>
    <w:rsid w:val="00974EC8"/>
    <w:rsid w:val="0097504A"/>
    <w:rsid w:val="009750BF"/>
    <w:rsid w:val="009754C6"/>
    <w:rsid w:val="009758DA"/>
    <w:rsid w:val="0097610C"/>
    <w:rsid w:val="0097627A"/>
    <w:rsid w:val="009765B4"/>
    <w:rsid w:val="009766E1"/>
    <w:rsid w:val="00976ADC"/>
    <w:rsid w:val="00976CAB"/>
    <w:rsid w:val="00976D76"/>
    <w:rsid w:val="009777AD"/>
    <w:rsid w:val="00977AC5"/>
    <w:rsid w:val="00977D85"/>
    <w:rsid w:val="0097B7BD"/>
    <w:rsid w:val="009806BB"/>
    <w:rsid w:val="009813F3"/>
    <w:rsid w:val="00981634"/>
    <w:rsid w:val="00981767"/>
    <w:rsid w:val="00981981"/>
    <w:rsid w:val="00981C4A"/>
    <w:rsid w:val="00982531"/>
    <w:rsid w:val="00982555"/>
    <w:rsid w:val="009826FA"/>
    <w:rsid w:val="009827DD"/>
    <w:rsid w:val="009828F9"/>
    <w:rsid w:val="00982908"/>
    <w:rsid w:val="00982CF1"/>
    <w:rsid w:val="00982CFE"/>
    <w:rsid w:val="00982DFA"/>
    <w:rsid w:val="00982E0B"/>
    <w:rsid w:val="00983A99"/>
    <w:rsid w:val="00983F96"/>
    <w:rsid w:val="009842C6"/>
    <w:rsid w:val="00984576"/>
    <w:rsid w:val="00984ABF"/>
    <w:rsid w:val="00984C82"/>
    <w:rsid w:val="00984D00"/>
    <w:rsid w:val="00984E18"/>
    <w:rsid w:val="009850C2"/>
    <w:rsid w:val="0098512D"/>
    <w:rsid w:val="009854E7"/>
    <w:rsid w:val="00985F6C"/>
    <w:rsid w:val="009866C7"/>
    <w:rsid w:val="00986708"/>
    <w:rsid w:val="00986722"/>
    <w:rsid w:val="00986EBD"/>
    <w:rsid w:val="00986F3B"/>
    <w:rsid w:val="00986FD6"/>
    <w:rsid w:val="00987434"/>
    <w:rsid w:val="0098781E"/>
    <w:rsid w:val="00987CD7"/>
    <w:rsid w:val="00990692"/>
    <w:rsid w:val="009907E6"/>
    <w:rsid w:val="009908CD"/>
    <w:rsid w:val="00990B96"/>
    <w:rsid w:val="009910A0"/>
    <w:rsid w:val="009914D5"/>
    <w:rsid w:val="0099191C"/>
    <w:rsid w:val="00991B5A"/>
    <w:rsid w:val="00991DA7"/>
    <w:rsid w:val="00992276"/>
    <w:rsid w:val="0099249F"/>
    <w:rsid w:val="00993A1C"/>
    <w:rsid w:val="00994722"/>
    <w:rsid w:val="00994787"/>
    <w:rsid w:val="00994964"/>
    <w:rsid w:val="00994C8C"/>
    <w:rsid w:val="00994D46"/>
    <w:rsid w:val="00994E19"/>
    <w:rsid w:val="00994E2F"/>
    <w:rsid w:val="009951E3"/>
    <w:rsid w:val="009953F8"/>
    <w:rsid w:val="00995710"/>
    <w:rsid w:val="009958A1"/>
    <w:rsid w:val="00995A6F"/>
    <w:rsid w:val="00995C20"/>
    <w:rsid w:val="00995C3A"/>
    <w:rsid w:val="00995C55"/>
    <w:rsid w:val="00995DAA"/>
    <w:rsid w:val="009962E6"/>
    <w:rsid w:val="009965E0"/>
    <w:rsid w:val="00996688"/>
    <w:rsid w:val="0099676E"/>
    <w:rsid w:val="0099684D"/>
    <w:rsid w:val="00996894"/>
    <w:rsid w:val="00996AE7"/>
    <w:rsid w:val="00996AF1"/>
    <w:rsid w:val="00996F1C"/>
    <w:rsid w:val="00996FC5"/>
    <w:rsid w:val="0099722C"/>
    <w:rsid w:val="0099743B"/>
    <w:rsid w:val="009974BE"/>
    <w:rsid w:val="00997646"/>
    <w:rsid w:val="00997683"/>
    <w:rsid w:val="009977F4"/>
    <w:rsid w:val="00997960"/>
    <w:rsid w:val="00997983"/>
    <w:rsid w:val="00997A62"/>
    <w:rsid w:val="00997C78"/>
    <w:rsid w:val="009A0490"/>
    <w:rsid w:val="009A0A10"/>
    <w:rsid w:val="009A14FB"/>
    <w:rsid w:val="009A18D1"/>
    <w:rsid w:val="009A1F69"/>
    <w:rsid w:val="009A1FDD"/>
    <w:rsid w:val="009A2091"/>
    <w:rsid w:val="009A2519"/>
    <w:rsid w:val="009A2B16"/>
    <w:rsid w:val="009A2BA8"/>
    <w:rsid w:val="009A2BF8"/>
    <w:rsid w:val="009A2D86"/>
    <w:rsid w:val="009A2FF7"/>
    <w:rsid w:val="009A32FF"/>
    <w:rsid w:val="009A36B5"/>
    <w:rsid w:val="009A37F6"/>
    <w:rsid w:val="009A422F"/>
    <w:rsid w:val="009A44F5"/>
    <w:rsid w:val="009A4807"/>
    <w:rsid w:val="009A5602"/>
    <w:rsid w:val="009A598F"/>
    <w:rsid w:val="009A5BB5"/>
    <w:rsid w:val="009A5C57"/>
    <w:rsid w:val="009A61B4"/>
    <w:rsid w:val="009A6490"/>
    <w:rsid w:val="009A6B03"/>
    <w:rsid w:val="009A6BF9"/>
    <w:rsid w:val="009A762E"/>
    <w:rsid w:val="009A769B"/>
    <w:rsid w:val="009A775E"/>
    <w:rsid w:val="009A77D1"/>
    <w:rsid w:val="009A7C67"/>
    <w:rsid w:val="009A7F29"/>
    <w:rsid w:val="009B0579"/>
    <w:rsid w:val="009B0975"/>
    <w:rsid w:val="009B0B8A"/>
    <w:rsid w:val="009B105B"/>
    <w:rsid w:val="009B10BF"/>
    <w:rsid w:val="009B1307"/>
    <w:rsid w:val="009B15A5"/>
    <w:rsid w:val="009B1BE2"/>
    <w:rsid w:val="009B1D25"/>
    <w:rsid w:val="009B1EFD"/>
    <w:rsid w:val="009B1FA7"/>
    <w:rsid w:val="009B2550"/>
    <w:rsid w:val="009B289C"/>
    <w:rsid w:val="009B2DC3"/>
    <w:rsid w:val="009B2EED"/>
    <w:rsid w:val="009B37AA"/>
    <w:rsid w:val="009B39F5"/>
    <w:rsid w:val="009B3D33"/>
    <w:rsid w:val="009B3E34"/>
    <w:rsid w:val="009B4128"/>
    <w:rsid w:val="009B4241"/>
    <w:rsid w:val="009B485D"/>
    <w:rsid w:val="009B4A2A"/>
    <w:rsid w:val="009B4BBD"/>
    <w:rsid w:val="009B4BD6"/>
    <w:rsid w:val="009B4EB6"/>
    <w:rsid w:val="009B4F04"/>
    <w:rsid w:val="009B51C4"/>
    <w:rsid w:val="009B52C7"/>
    <w:rsid w:val="009B5365"/>
    <w:rsid w:val="009B57A7"/>
    <w:rsid w:val="009B5900"/>
    <w:rsid w:val="009B5A86"/>
    <w:rsid w:val="009B5C9E"/>
    <w:rsid w:val="009B5DCA"/>
    <w:rsid w:val="009B63B6"/>
    <w:rsid w:val="009B6467"/>
    <w:rsid w:val="009B64B4"/>
    <w:rsid w:val="009B6720"/>
    <w:rsid w:val="009B742E"/>
    <w:rsid w:val="009B7761"/>
    <w:rsid w:val="009B7811"/>
    <w:rsid w:val="009B78D8"/>
    <w:rsid w:val="009B796D"/>
    <w:rsid w:val="009B7E3E"/>
    <w:rsid w:val="009BA0A1"/>
    <w:rsid w:val="009C036F"/>
    <w:rsid w:val="009C0A64"/>
    <w:rsid w:val="009C0B05"/>
    <w:rsid w:val="009C0C96"/>
    <w:rsid w:val="009C10CF"/>
    <w:rsid w:val="009C12F0"/>
    <w:rsid w:val="009C1725"/>
    <w:rsid w:val="009C1F72"/>
    <w:rsid w:val="009C1F74"/>
    <w:rsid w:val="009C2154"/>
    <w:rsid w:val="009C2652"/>
    <w:rsid w:val="009C2BEC"/>
    <w:rsid w:val="009C2C74"/>
    <w:rsid w:val="009C2D3E"/>
    <w:rsid w:val="009C2D44"/>
    <w:rsid w:val="009C30F7"/>
    <w:rsid w:val="009C34D5"/>
    <w:rsid w:val="009C3A43"/>
    <w:rsid w:val="009C3A96"/>
    <w:rsid w:val="009C4223"/>
    <w:rsid w:val="009C4252"/>
    <w:rsid w:val="009C43D3"/>
    <w:rsid w:val="009C4455"/>
    <w:rsid w:val="009C44F4"/>
    <w:rsid w:val="009C4843"/>
    <w:rsid w:val="009C492D"/>
    <w:rsid w:val="009C50C2"/>
    <w:rsid w:val="009C5158"/>
    <w:rsid w:val="009C516B"/>
    <w:rsid w:val="009C584C"/>
    <w:rsid w:val="009C5A22"/>
    <w:rsid w:val="009C5ABC"/>
    <w:rsid w:val="009C5EB6"/>
    <w:rsid w:val="009C6714"/>
    <w:rsid w:val="009C6B1E"/>
    <w:rsid w:val="009C75FE"/>
    <w:rsid w:val="009C764E"/>
    <w:rsid w:val="009C7739"/>
    <w:rsid w:val="009C7820"/>
    <w:rsid w:val="009D0970"/>
    <w:rsid w:val="009D0BC2"/>
    <w:rsid w:val="009D0CBE"/>
    <w:rsid w:val="009D0E4A"/>
    <w:rsid w:val="009D105D"/>
    <w:rsid w:val="009D10FF"/>
    <w:rsid w:val="009D1478"/>
    <w:rsid w:val="009D1998"/>
    <w:rsid w:val="009D19EC"/>
    <w:rsid w:val="009D1F3E"/>
    <w:rsid w:val="009D2018"/>
    <w:rsid w:val="009D2088"/>
    <w:rsid w:val="009D3279"/>
    <w:rsid w:val="009D32DD"/>
    <w:rsid w:val="009D3614"/>
    <w:rsid w:val="009D362C"/>
    <w:rsid w:val="009D38D9"/>
    <w:rsid w:val="009D39D9"/>
    <w:rsid w:val="009D3C63"/>
    <w:rsid w:val="009D3D7D"/>
    <w:rsid w:val="009D41D8"/>
    <w:rsid w:val="009D43BB"/>
    <w:rsid w:val="009D44DF"/>
    <w:rsid w:val="009D4AB9"/>
    <w:rsid w:val="009D4C79"/>
    <w:rsid w:val="009D4CA9"/>
    <w:rsid w:val="009D4CCD"/>
    <w:rsid w:val="009D4E50"/>
    <w:rsid w:val="009D4FC6"/>
    <w:rsid w:val="009D52BF"/>
    <w:rsid w:val="009D5352"/>
    <w:rsid w:val="009D591D"/>
    <w:rsid w:val="009D5CFC"/>
    <w:rsid w:val="009D5F97"/>
    <w:rsid w:val="009D63CF"/>
    <w:rsid w:val="009D64B6"/>
    <w:rsid w:val="009D6632"/>
    <w:rsid w:val="009D6B4C"/>
    <w:rsid w:val="009D7068"/>
    <w:rsid w:val="009D7182"/>
    <w:rsid w:val="009D76AB"/>
    <w:rsid w:val="009D76F1"/>
    <w:rsid w:val="009D776A"/>
    <w:rsid w:val="009D7A80"/>
    <w:rsid w:val="009D7BDC"/>
    <w:rsid w:val="009D7F1C"/>
    <w:rsid w:val="009D7F83"/>
    <w:rsid w:val="009DA138"/>
    <w:rsid w:val="009E0297"/>
    <w:rsid w:val="009E063E"/>
    <w:rsid w:val="009E0CF5"/>
    <w:rsid w:val="009E11EE"/>
    <w:rsid w:val="009E14B0"/>
    <w:rsid w:val="009E152B"/>
    <w:rsid w:val="009E1B28"/>
    <w:rsid w:val="009E1C22"/>
    <w:rsid w:val="009E210B"/>
    <w:rsid w:val="009E25DE"/>
    <w:rsid w:val="009E299B"/>
    <w:rsid w:val="009E2BC2"/>
    <w:rsid w:val="009E2BE1"/>
    <w:rsid w:val="009E3443"/>
    <w:rsid w:val="009E39C2"/>
    <w:rsid w:val="009E3A1C"/>
    <w:rsid w:val="009E3C40"/>
    <w:rsid w:val="009E3C91"/>
    <w:rsid w:val="009E3CB0"/>
    <w:rsid w:val="009E3DAA"/>
    <w:rsid w:val="009E3F87"/>
    <w:rsid w:val="009E3FF8"/>
    <w:rsid w:val="009E40C5"/>
    <w:rsid w:val="009E46BD"/>
    <w:rsid w:val="009E4945"/>
    <w:rsid w:val="009E4AD8"/>
    <w:rsid w:val="009E4B17"/>
    <w:rsid w:val="009E4EC1"/>
    <w:rsid w:val="009E4F52"/>
    <w:rsid w:val="009E5083"/>
    <w:rsid w:val="009E5381"/>
    <w:rsid w:val="009E5CC7"/>
    <w:rsid w:val="009E5E94"/>
    <w:rsid w:val="009E6211"/>
    <w:rsid w:val="009E6408"/>
    <w:rsid w:val="009E6797"/>
    <w:rsid w:val="009E6E26"/>
    <w:rsid w:val="009E70DB"/>
    <w:rsid w:val="009E72D8"/>
    <w:rsid w:val="009E73B9"/>
    <w:rsid w:val="009E74A6"/>
    <w:rsid w:val="009E7E2B"/>
    <w:rsid w:val="009F0980"/>
    <w:rsid w:val="009F0B02"/>
    <w:rsid w:val="009F123C"/>
    <w:rsid w:val="009F147D"/>
    <w:rsid w:val="009F1665"/>
    <w:rsid w:val="009F1857"/>
    <w:rsid w:val="009F19DB"/>
    <w:rsid w:val="009F2617"/>
    <w:rsid w:val="009F2690"/>
    <w:rsid w:val="009F3710"/>
    <w:rsid w:val="009F37B0"/>
    <w:rsid w:val="009F3CCA"/>
    <w:rsid w:val="009F4098"/>
    <w:rsid w:val="009F41DF"/>
    <w:rsid w:val="009F434A"/>
    <w:rsid w:val="009F43A6"/>
    <w:rsid w:val="009F4441"/>
    <w:rsid w:val="009F4785"/>
    <w:rsid w:val="009F4803"/>
    <w:rsid w:val="009F4AF8"/>
    <w:rsid w:val="009F5115"/>
    <w:rsid w:val="009F5129"/>
    <w:rsid w:val="009F5546"/>
    <w:rsid w:val="009F5860"/>
    <w:rsid w:val="009F58D7"/>
    <w:rsid w:val="009F5FC1"/>
    <w:rsid w:val="009F60D7"/>
    <w:rsid w:val="009F61CA"/>
    <w:rsid w:val="009F6422"/>
    <w:rsid w:val="009F6481"/>
    <w:rsid w:val="009F7287"/>
    <w:rsid w:val="009F72CB"/>
    <w:rsid w:val="00A001FF"/>
    <w:rsid w:val="00A003E3"/>
    <w:rsid w:val="00A004AF"/>
    <w:rsid w:val="00A007A6"/>
    <w:rsid w:val="00A01089"/>
    <w:rsid w:val="00A01E96"/>
    <w:rsid w:val="00A02219"/>
    <w:rsid w:val="00A025F8"/>
    <w:rsid w:val="00A02DAC"/>
    <w:rsid w:val="00A0319F"/>
    <w:rsid w:val="00A03332"/>
    <w:rsid w:val="00A040BB"/>
    <w:rsid w:val="00A04210"/>
    <w:rsid w:val="00A0469F"/>
    <w:rsid w:val="00A04F21"/>
    <w:rsid w:val="00A04F30"/>
    <w:rsid w:val="00A05257"/>
    <w:rsid w:val="00A05682"/>
    <w:rsid w:val="00A0592E"/>
    <w:rsid w:val="00A05AE4"/>
    <w:rsid w:val="00A05BA6"/>
    <w:rsid w:val="00A05C02"/>
    <w:rsid w:val="00A05C69"/>
    <w:rsid w:val="00A0610D"/>
    <w:rsid w:val="00A06260"/>
    <w:rsid w:val="00A065C3"/>
    <w:rsid w:val="00A066C5"/>
    <w:rsid w:val="00A0688A"/>
    <w:rsid w:val="00A069F3"/>
    <w:rsid w:val="00A06A22"/>
    <w:rsid w:val="00A06EBA"/>
    <w:rsid w:val="00A07490"/>
    <w:rsid w:val="00A074EA"/>
    <w:rsid w:val="00A07839"/>
    <w:rsid w:val="00A1003D"/>
    <w:rsid w:val="00A103AB"/>
    <w:rsid w:val="00A10572"/>
    <w:rsid w:val="00A10728"/>
    <w:rsid w:val="00A10769"/>
    <w:rsid w:val="00A10BAA"/>
    <w:rsid w:val="00A10BBF"/>
    <w:rsid w:val="00A114F4"/>
    <w:rsid w:val="00A11E84"/>
    <w:rsid w:val="00A121D8"/>
    <w:rsid w:val="00A12354"/>
    <w:rsid w:val="00A123D9"/>
    <w:rsid w:val="00A133A1"/>
    <w:rsid w:val="00A13423"/>
    <w:rsid w:val="00A13B78"/>
    <w:rsid w:val="00A13FCA"/>
    <w:rsid w:val="00A14B2D"/>
    <w:rsid w:val="00A14EC9"/>
    <w:rsid w:val="00A1532C"/>
    <w:rsid w:val="00A15A32"/>
    <w:rsid w:val="00A15B30"/>
    <w:rsid w:val="00A15C88"/>
    <w:rsid w:val="00A1603E"/>
    <w:rsid w:val="00A16347"/>
    <w:rsid w:val="00A163A3"/>
    <w:rsid w:val="00A163E8"/>
    <w:rsid w:val="00A16448"/>
    <w:rsid w:val="00A165FB"/>
    <w:rsid w:val="00A16798"/>
    <w:rsid w:val="00A16AF5"/>
    <w:rsid w:val="00A16B39"/>
    <w:rsid w:val="00A16CF5"/>
    <w:rsid w:val="00A16D96"/>
    <w:rsid w:val="00A16E91"/>
    <w:rsid w:val="00A17424"/>
    <w:rsid w:val="00A17A01"/>
    <w:rsid w:val="00A17EBF"/>
    <w:rsid w:val="00A20294"/>
    <w:rsid w:val="00A20A95"/>
    <w:rsid w:val="00A20F59"/>
    <w:rsid w:val="00A2175F"/>
    <w:rsid w:val="00A21788"/>
    <w:rsid w:val="00A220DC"/>
    <w:rsid w:val="00A222FA"/>
    <w:rsid w:val="00A223D6"/>
    <w:rsid w:val="00A22499"/>
    <w:rsid w:val="00A224B3"/>
    <w:rsid w:val="00A22795"/>
    <w:rsid w:val="00A22B24"/>
    <w:rsid w:val="00A22B37"/>
    <w:rsid w:val="00A22CF8"/>
    <w:rsid w:val="00A2326C"/>
    <w:rsid w:val="00A23499"/>
    <w:rsid w:val="00A23587"/>
    <w:rsid w:val="00A23E9D"/>
    <w:rsid w:val="00A24047"/>
    <w:rsid w:val="00A2404C"/>
    <w:rsid w:val="00A24174"/>
    <w:rsid w:val="00A251EC"/>
    <w:rsid w:val="00A25341"/>
    <w:rsid w:val="00A25453"/>
    <w:rsid w:val="00A2554E"/>
    <w:rsid w:val="00A25644"/>
    <w:rsid w:val="00A25F88"/>
    <w:rsid w:val="00A263D8"/>
    <w:rsid w:val="00A268CC"/>
    <w:rsid w:val="00A26B6C"/>
    <w:rsid w:val="00A27294"/>
    <w:rsid w:val="00A27A92"/>
    <w:rsid w:val="00A27D55"/>
    <w:rsid w:val="00A302B3"/>
    <w:rsid w:val="00A303CF"/>
    <w:rsid w:val="00A30802"/>
    <w:rsid w:val="00A30C54"/>
    <w:rsid w:val="00A30FB2"/>
    <w:rsid w:val="00A3109C"/>
    <w:rsid w:val="00A3186C"/>
    <w:rsid w:val="00A31A97"/>
    <w:rsid w:val="00A3257B"/>
    <w:rsid w:val="00A327EB"/>
    <w:rsid w:val="00A329F8"/>
    <w:rsid w:val="00A32DC3"/>
    <w:rsid w:val="00A3384C"/>
    <w:rsid w:val="00A33AE6"/>
    <w:rsid w:val="00A33E6B"/>
    <w:rsid w:val="00A34059"/>
    <w:rsid w:val="00A34749"/>
    <w:rsid w:val="00A34EFB"/>
    <w:rsid w:val="00A352BA"/>
    <w:rsid w:val="00A35360"/>
    <w:rsid w:val="00A35475"/>
    <w:rsid w:val="00A356A8"/>
    <w:rsid w:val="00A35DFA"/>
    <w:rsid w:val="00A35E08"/>
    <w:rsid w:val="00A36267"/>
    <w:rsid w:val="00A370D8"/>
    <w:rsid w:val="00A3747A"/>
    <w:rsid w:val="00A37993"/>
    <w:rsid w:val="00A37BA3"/>
    <w:rsid w:val="00A40291"/>
    <w:rsid w:val="00A4030C"/>
    <w:rsid w:val="00A40730"/>
    <w:rsid w:val="00A40969"/>
    <w:rsid w:val="00A40C53"/>
    <w:rsid w:val="00A40F03"/>
    <w:rsid w:val="00A41A6A"/>
    <w:rsid w:val="00A41B9B"/>
    <w:rsid w:val="00A41D31"/>
    <w:rsid w:val="00A4235B"/>
    <w:rsid w:val="00A42489"/>
    <w:rsid w:val="00A42535"/>
    <w:rsid w:val="00A428F3"/>
    <w:rsid w:val="00A42DE5"/>
    <w:rsid w:val="00A42E2F"/>
    <w:rsid w:val="00A4352E"/>
    <w:rsid w:val="00A43CCB"/>
    <w:rsid w:val="00A43D13"/>
    <w:rsid w:val="00A44DD1"/>
    <w:rsid w:val="00A44F2F"/>
    <w:rsid w:val="00A45099"/>
    <w:rsid w:val="00A450E1"/>
    <w:rsid w:val="00A4559C"/>
    <w:rsid w:val="00A45D04"/>
    <w:rsid w:val="00A45DE7"/>
    <w:rsid w:val="00A46AE0"/>
    <w:rsid w:val="00A46D4D"/>
    <w:rsid w:val="00A46EFF"/>
    <w:rsid w:val="00A4704B"/>
    <w:rsid w:val="00A47A43"/>
    <w:rsid w:val="00A47A8F"/>
    <w:rsid w:val="00A47CA7"/>
    <w:rsid w:val="00A47E1C"/>
    <w:rsid w:val="00A4E180"/>
    <w:rsid w:val="00A4E836"/>
    <w:rsid w:val="00A50253"/>
    <w:rsid w:val="00A50D08"/>
    <w:rsid w:val="00A50D1C"/>
    <w:rsid w:val="00A516FF"/>
    <w:rsid w:val="00A518C6"/>
    <w:rsid w:val="00A51DC5"/>
    <w:rsid w:val="00A51E27"/>
    <w:rsid w:val="00A521DC"/>
    <w:rsid w:val="00A522DB"/>
    <w:rsid w:val="00A52399"/>
    <w:rsid w:val="00A5249F"/>
    <w:rsid w:val="00A527D0"/>
    <w:rsid w:val="00A52951"/>
    <w:rsid w:val="00A529FF"/>
    <w:rsid w:val="00A52B26"/>
    <w:rsid w:val="00A52CE0"/>
    <w:rsid w:val="00A52D4F"/>
    <w:rsid w:val="00A531F4"/>
    <w:rsid w:val="00A53888"/>
    <w:rsid w:val="00A53983"/>
    <w:rsid w:val="00A53C83"/>
    <w:rsid w:val="00A5437D"/>
    <w:rsid w:val="00A54412"/>
    <w:rsid w:val="00A54427"/>
    <w:rsid w:val="00A5455B"/>
    <w:rsid w:val="00A54AC2"/>
    <w:rsid w:val="00A54C03"/>
    <w:rsid w:val="00A54CC4"/>
    <w:rsid w:val="00A55081"/>
    <w:rsid w:val="00A552AB"/>
    <w:rsid w:val="00A5545F"/>
    <w:rsid w:val="00A5575D"/>
    <w:rsid w:val="00A55D45"/>
    <w:rsid w:val="00A55E9F"/>
    <w:rsid w:val="00A55FF6"/>
    <w:rsid w:val="00A5621F"/>
    <w:rsid w:val="00A57010"/>
    <w:rsid w:val="00A5711E"/>
    <w:rsid w:val="00A57321"/>
    <w:rsid w:val="00A57325"/>
    <w:rsid w:val="00A5764C"/>
    <w:rsid w:val="00A57B77"/>
    <w:rsid w:val="00A57CA2"/>
    <w:rsid w:val="00A57D25"/>
    <w:rsid w:val="00A60171"/>
    <w:rsid w:val="00A60438"/>
    <w:rsid w:val="00A60733"/>
    <w:rsid w:val="00A609EE"/>
    <w:rsid w:val="00A60E3C"/>
    <w:rsid w:val="00A61115"/>
    <w:rsid w:val="00A612E9"/>
    <w:rsid w:val="00A615CD"/>
    <w:rsid w:val="00A6187B"/>
    <w:rsid w:val="00A62336"/>
    <w:rsid w:val="00A6237D"/>
    <w:rsid w:val="00A62A9A"/>
    <w:rsid w:val="00A63306"/>
    <w:rsid w:val="00A63352"/>
    <w:rsid w:val="00A63413"/>
    <w:rsid w:val="00A6353A"/>
    <w:rsid w:val="00A63633"/>
    <w:rsid w:val="00A638E5"/>
    <w:rsid w:val="00A63EA9"/>
    <w:rsid w:val="00A63FC4"/>
    <w:rsid w:val="00A64069"/>
    <w:rsid w:val="00A641E0"/>
    <w:rsid w:val="00A646F4"/>
    <w:rsid w:val="00A647A7"/>
    <w:rsid w:val="00A648A1"/>
    <w:rsid w:val="00A64D47"/>
    <w:rsid w:val="00A65263"/>
    <w:rsid w:val="00A652C7"/>
    <w:rsid w:val="00A6581B"/>
    <w:rsid w:val="00A65854"/>
    <w:rsid w:val="00A660E1"/>
    <w:rsid w:val="00A661C6"/>
    <w:rsid w:val="00A6633B"/>
    <w:rsid w:val="00A6696E"/>
    <w:rsid w:val="00A669F8"/>
    <w:rsid w:val="00A66D11"/>
    <w:rsid w:val="00A670E2"/>
    <w:rsid w:val="00A671FD"/>
    <w:rsid w:val="00A672E8"/>
    <w:rsid w:val="00A67399"/>
    <w:rsid w:val="00A67FBB"/>
    <w:rsid w:val="00A700FB"/>
    <w:rsid w:val="00A70957"/>
    <w:rsid w:val="00A70B85"/>
    <w:rsid w:val="00A70B90"/>
    <w:rsid w:val="00A70EE0"/>
    <w:rsid w:val="00A7151A"/>
    <w:rsid w:val="00A71884"/>
    <w:rsid w:val="00A71A7A"/>
    <w:rsid w:val="00A71C3C"/>
    <w:rsid w:val="00A71ED9"/>
    <w:rsid w:val="00A721B2"/>
    <w:rsid w:val="00A7257B"/>
    <w:rsid w:val="00A727C2"/>
    <w:rsid w:val="00A7297C"/>
    <w:rsid w:val="00A730B6"/>
    <w:rsid w:val="00A737F4"/>
    <w:rsid w:val="00A73C82"/>
    <w:rsid w:val="00A73D31"/>
    <w:rsid w:val="00A73F61"/>
    <w:rsid w:val="00A74027"/>
    <w:rsid w:val="00A742F9"/>
    <w:rsid w:val="00A74751"/>
    <w:rsid w:val="00A7498D"/>
    <w:rsid w:val="00A74B3D"/>
    <w:rsid w:val="00A74B95"/>
    <w:rsid w:val="00A754C0"/>
    <w:rsid w:val="00A75558"/>
    <w:rsid w:val="00A758C3"/>
    <w:rsid w:val="00A75E78"/>
    <w:rsid w:val="00A76409"/>
    <w:rsid w:val="00A76609"/>
    <w:rsid w:val="00A76AE0"/>
    <w:rsid w:val="00A76B01"/>
    <w:rsid w:val="00A76C50"/>
    <w:rsid w:val="00A76CB3"/>
    <w:rsid w:val="00A76D8C"/>
    <w:rsid w:val="00A7727E"/>
    <w:rsid w:val="00A773ED"/>
    <w:rsid w:val="00A773FE"/>
    <w:rsid w:val="00A77755"/>
    <w:rsid w:val="00A77CCB"/>
    <w:rsid w:val="00A77CE7"/>
    <w:rsid w:val="00A77F69"/>
    <w:rsid w:val="00A77FFB"/>
    <w:rsid w:val="00A802FC"/>
    <w:rsid w:val="00A80805"/>
    <w:rsid w:val="00A80970"/>
    <w:rsid w:val="00A80F24"/>
    <w:rsid w:val="00A8160B"/>
    <w:rsid w:val="00A8179F"/>
    <w:rsid w:val="00A8225D"/>
    <w:rsid w:val="00A82E5F"/>
    <w:rsid w:val="00A837C7"/>
    <w:rsid w:val="00A83852"/>
    <w:rsid w:val="00A840AB"/>
    <w:rsid w:val="00A845B9"/>
    <w:rsid w:val="00A84A79"/>
    <w:rsid w:val="00A84B7E"/>
    <w:rsid w:val="00A851AC"/>
    <w:rsid w:val="00A85304"/>
    <w:rsid w:val="00A858BA"/>
    <w:rsid w:val="00A85EF9"/>
    <w:rsid w:val="00A85FE4"/>
    <w:rsid w:val="00A864ED"/>
    <w:rsid w:val="00A86633"/>
    <w:rsid w:val="00A86990"/>
    <w:rsid w:val="00A86ADD"/>
    <w:rsid w:val="00A87327"/>
    <w:rsid w:val="00A87536"/>
    <w:rsid w:val="00A8758C"/>
    <w:rsid w:val="00A87B9F"/>
    <w:rsid w:val="00A87D40"/>
    <w:rsid w:val="00A87EF5"/>
    <w:rsid w:val="00A87FE4"/>
    <w:rsid w:val="00A90324"/>
    <w:rsid w:val="00A903F1"/>
    <w:rsid w:val="00A9052B"/>
    <w:rsid w:val="00A906FA"/>
    <w:rsid w:val="00A908F2"/>
    <w:rsid w:val="00A909AC"/>
    <w:rsid w:val="00A90B4E"/>
    <w:rsid w:val="00A90DE6"/>
    <w:rsid w:val="00A91154"/>
    <w:rsid w:val="00A91235"/>
    <w:rsid w:val="00A913CA"/>
    <w:rsid w:val="00A917DE"/>
    <w:rsid w:val="00A91DE1"/>
    <w:rsid w:val="00A92773"/>
    <w:rsid w:val="00A9286F"/>
    <w:rsid w:val="00A92B9B"/>
    <w:rsid w:val="00A92E4E"/>
    <w:rsid w:val="00A92EE4"/>
    <w:rsid w:val="00A93453"/>
    <w:rsid w:val="00A935E9"/>
    <w:rsid w:val="00A93654"/>
    <w:rsid w:val="00A93804"/>
    <w:rsid w:val="00A93814"/>
    <w:rsid w:val="00A93937"/>
    <w:rsid w:val="00A93D98"/>
    <w:rsid w:val="00A94185"/>
    <w:rsid w:val="00A94A86"/>
    <w:rsid w:val="00A94B18"/>
    <w:rsid w:val="00A94C10"/>
    <w:rsid w:val="00A95674"/>
    <w:rsid w:val="00A95919"/>
    <w:rsid w:val="00A95BD1"/>
    <w:rsid w:val="00A960AD"/>
    <w:rsid w:val="00A961DB"/>
    <w:rsid w:val="00A96230"/>
    <w:rsid w:val="00A96318"/>
    <w:rsid w:val="00A96456"/>
    <w:rsid w:val="00A966A2"/>
    <w:rsid w:val="00A96752"/>
    <w:rsid w:val="00A96847"/>
    <w:rsid w:val="00A968CA"/>
    <w:rsid w:val="00A9690E"/>
    <w:rsid w:val="00A96989"/>
    <w:rsid w:val="00A969F2"/>
    <w:rsid w:val="00A96E8E"/>
    <w:rsid w:val="00A96F65"/>
    <w:rsid w:val="00A9705F"/>
    <w:rsid w:val="00A9707C"/>
    <w:rsid w:val="00A97541"/>
    <w:rsid w:val="00A97708"/>
    <w:rsid w:val="00A97A3A"/>
    <w:rsid w:val="00A97A70"/>
    <w:rsid w:val="00A97A9D"/>
    <w:rsid w:val="00A97E93"/>
    <w:rsid w:val="00AA070B"/>
    <w:rsid w:val="00AA0782"/>
    <w:rsid w:val="00AA0FE0"/>
    <w:rsid w:val="00AA1281"/>
    <w:rsid w:val="00AA13F1"/>
    <w:rsid w:val="00AA14F2"/>
    <w:rsid w:val="00AA1762"/>
    <w:rsid w:val="00AA1D91"/>
    <w:rsid w:val="00AA1FFA"/>
    <w:rsid w:val="00AA2164"/>
    <w:rsid w:val="00AA24CD"/>
    <w:rsid w:val="00AA2902"/>
    <w:rsid w:val="00AA2975"/>
    <w:rsid w:val="00AA32D3"/>
    <w:rsid w:val="00AA3377"/>
    <w:rsid w:val="00AA36D3"/>
    <w:rsid w:val="00AA379B"/>
    <w:rsid w:val="00AA4567"/>
    <w:rsid w:val="00AA4992"/>
    <w:rsid w:val="00AA4BFC"/>
    <w:rsid w:val="00AA4F43"/>
    <w:rsid w:val="00AA505C"/>
    <w:rsid w:val="00AA511B"/>
    <w:rsid w:val="00AA602B"/>
    <w:rsid w:val="00AA6105"/>
    <w:rsid w:val="00AA6204"/>
    <w:rsid w:val="00AA66EA"/>
    <w:rsid w:val="00AA68C2"/>
    <w:rsid w:val="00AA68CE"/>
    <w:rsid w:val="00AA6A1A"/>
    <w:rsid w:val="00AA7338"/>
    <w:rsid w:val="00AA7371"/>
    <w:rsid w:val="00AA76DE"/>
    <w:rsid w:val="00AA7DFF"/>
    <w:rsid w:val="00AA7E14"/>
    <w:rsid w:val="00AA7E4E"/>
    <w:rsid w:val="00AA9352"/>
    <w:rsid w:val="00AA945D"/>
    <w:rsid w:val="00AA984A"/>
    <w:rsid w:val="00AB005E"/>
    <w:rsid w:val="00AB05BA"/>
    <w:rsid w:val="00AB05BD"/>
    <w:rsid w:val="00AB0733"/>
    <w:rsid w:val="00AB0C06"/>
    <w:rsid w:val="00AB0DDC"/>
    <w:rsid w:val="00AB1413"/>
    <w:rsid w:val="00AB1900"/>
    <w:rsid w:val="00AB1F8E"/>
    <w:rsid w:val="00AB2731"/>
    <w:rsid w:val="00AB2925"/>
    <w:rsid w:val="00AB29AA"/>
    <w:rsid w:val="00AB2A3D"/>
    <w:rsid w:val="00AB2B74"/>
    <w:rsid w:val="00AB3575"/>
    <w:rsid w:val="00AB35AD"/>
    <w:rsid w:val="00AB366C"/>
    <w:rsid w:val="00AB3882"/>
    <w:rsid w:val="00AB3943"/>
    <w:rsid w:val="00AB3D7B"/>
    <w:rsid w:val="00AB3E44"/>
    <w:rsid w:val="00AB41CC"/>
    <w:rsid w:val="00AB429A"/>
    <w:rsid w:val="00AB4967"/>
    <w:rsid w:val="00AB4CB9"/>
    <w:rsid w:val="00AB54BD"/>
    <w:rsid w:val="00AB5655"/>
    <w:rsid w:val="00AB5B2F"/>
    <w:rsid w:val="00AB654C"/>
    <w:rsid w:val="00AB65C9"/>
    <w:rsid w:val="00AB6AE8"/>
    <w:rsid w:val="00AB6AED"/>
    <w:rsid w:val="00AB6B08"/>
    <w:rsid w:val="00AB6D69"/>
    <w:rsid w:val="00AB70A7"/>
    <w:rsid w:val="00AB70BF"/>
    <w:rsid w:val="00AB715A"/>
    <w:rsid w:val="00AB7926"/>
    <w:rsid w:val="00AB79C3"/>
    <w:rsid w:val="00AB7B03"/>
    <w:rsid w:val="00AB7DC8"/>
    <w:rsid w:val="00AC0290"/>
    <w:rsid w:val="00AC04E0"/>
    <w:rsid w:val="00AC0832"/>
    <w:rsid w:val="00AC0ED7"/>
    <w:rsid w:val="00AC0F1A"/>
    <w:rsid w:val="00AC1691"/>
    <w:rsid w:val="00AC1A14"/>
    <w:rsid w:val="00AC1F79"/>
    <w:rsid w:val="00AC1FCC"/>
    <w:rsid w:val="00AC20BC"/>
    <w:rsid w:val="00AC267E"/>
    <w:rsid w:val="00AC26EC"/>
    <w:rsid w:val="00AC2B67"/>
    <w:rsid w:val="00AC2E36"/>
    <w:rsid w:val="00AC2F9F"/>
    <w:rsid w:val="00AC30F1"/>
    <w:rsid w:val="00AC3BD1"/>
    <w:rsid w:val="00AC3D8E"/>
    <w:rsid w:val="00AC3F0E"/>
    <w:rsid w:val="00AC4221"/>
    <w:rsid w:val="00AC4894"/>
    <w:rsid w:val="00AC4C1F"/>
    <w:rsid w:val="00AC4C4C"/>
    <w:rsid w:val="00AC51C9"/>
    <w:rsid w:val="00AC521D"/>
    <w:rsid w:val="00AC5343"/>
    <w:rsid w:val="00AC58EB"/>
    <w:rsid w:val="00AC5A4E"/>
    <w:rsid w:val="00AC5AD5"/>
    <w:rsid w:val="00AC5BD6"/>
    <w:rsid w:val="00AC6044"/>
    <w:rsid w:val="00AC63FA"/>
    <w:rsid w:val="00AC68EB"/>
    <w:rsid w:val="00AC6E01"/>
    <w:rsid w:val="00AC728C"/>
    <w:rsid w:val="00AC72EE"/>
    <w:rsid w:val="00AC76D5"/>
    <w:rsid w:val="00AC773C"/>
    <w:rsid w:val="00AD0101"/>
    <w:rsid w:val="00AD087B"/>
    <w:rsid w:val="00AD0D8E"/>
    <w:rsid w:val="00AD0FBF"/>
    <w:rsid w:val="00AD11DA"/>
    <w:rsid w:val="00AD15E7"/>
    <w:rsid w:val="00AD18B7"/>
    <w:rsid w:val="00AD24B9"/>
    <w:rsid w:val="00AD2C73"/>
    <w:rsid w:val="00AD2FC1"/>
    <w:rsid w:val="00AD361B"/>
    <w:rsid w:val="00AD39B3"/>
    <w:rsid w:val="00AD3B1F"/>
    <w:rsid w:val="00AD3C4B"/>
    <w:rsid w:val="00AD3D11"/>
    <w:rsid w:val="00AD3D8D"/>
    <w:rsid w:val="00AD43DA"/>
    <w:rsid w:val="00AD4547"/>
    <w:rsid w:val="00AD45A0"/>
    <w:rsid w:val="00AD4D2B"/>
    <w:rsid w:val="00AD5179"/>
    <w:rsid w:val="00AD53C3"/>
    <w:rsid w:val="00AD5489"/>
    <w:rsid w:val="00AD5B89"/>
    <w:rsid w:val="00AD5BEC"/>
    <w:rsid w:val="00AD6257"/>
    <w:rsid w:val="00AD62D2"/>
    <w:rsid w:val="00AD66A4"/>
    <w:rsid w:val="00AD6F1A"/>
    <w:rsid w:val="00AD700E"/>
    <w:rsid w:val="00AD7046"/>
    <w:rsid w:val="00AD71F7"/>
    <w:rsid w:val="00AD7881"/>
    <w:rsid w:val="00AD7A8C"/>
    <w:rsid w:val="00AD7BA5"/>
    <w:rsid w:val="00AD7BE2"/>
    <w:rsid w:val="00AE02D9"/>
    <w:rsid w:val="00AE080F"/>
    <w:rsid w:val="00AE0876"/>
    <w:rsid w:val="00AE0AE4"/>
    <w:rsid w:val="00AE0B37"/>
    <w:rsid w:val="00AE14B2"/>
    <w:rsid w:val="00AE150C"/>
    <w:rsid w:val="00AE1649"/>
    <w:rsid w:val="00AE1894"/>
    <w:rsid w:val="00AE2704"/>
    <w:rsid w:val="00AE2793"/>
    <w:rsid w:val="00AE2DE6"/>
    <w:rsid w:val="00AE2F73"/>
    <w:rsid w:val="00AE2F86"/>
    <w:rsid w:val="00AE3012"/>
    <w:rsid w:val="00AE3049"/>
    <w:rsid w:val="00AE31E1"/>
    <w:rsid w:val="00AE3552"/>
    <w:rsid w:val="00AE3772"/>
    <w:rsid w:val="00AE37AB"/>
    <w:rsid w:val="00AE3E49"/>
    <w:rsid w:val="00AE413C"/>
    <w:rsid w:val="00AE4150"/>
    <w:rsid w:val="00AE41F8"/>
    <w:rsid w:val="00AE4205"/>
    <w:rsid w:val="00AE4468"/>
    <w:rsid w:val="00AE4517"/>
    <w:rsid w:val="00AE4569"/>
    <w:rsid w:val="00AE492E"/>
    <w:rsid w:val="00AE4A14"/>
    <w:rsid w:val="00AE50B1"/>
    <w:rsid w:val="00AE5587"/>
    <w:rsid w:val="00AE56A9"/>
    <w:rsid w:val="00AE5C74"/>
    <w:rsid w:val="00AE5F3C"/>
    <w:rsid w:val="00AE624C"/>
    <w:rsid w:val="00AE675A"/>
    <w:rsid w:val="00AE6903"/>
    <w:rsid w:val="00AE693B"/>
    <w:rsid w:val="00AE6E28"/>
    <w:rsid w:val="00AE7814"/>
    <w:rsid w:val="00AE78EE"/>
    <w:rsid w:val="00AE79B1"/>
    <w:rsid w:val="00AE7A2C"/>
    <w:rsid w:val="00AE7F20"/>
    <w:rsid w:val="00AE7FFA"/>
    <w:rsid w:val="00AF0619"/>
    <w:rsid w:val="00AF07B4"/>
    <w:rsid w:val="00AF09A8"/>
    <w:rsid w:val="00AF0E4B"/>
    <w:rsid w:val="00AF1B2F"/>
    <w:rsid w:val="00AF1B89"/>
    <w:rsid w:val="00AF21CF"/>
    <w:rsid w:val="00AF2580"/>
    <w:rsid w:val="00AF2599"/>
    <w:rsid w:val="00AF266D"/>
    <w:rsid w:val="00AF27E1"/>
    <w:rsid w:val="00AF2A5A"/>
    <w:rsid w:val="00AF2B42"/>
    <w:rsid w:val="00AF2CE7"/>
    <w:rsid w:val="00AF2F4D"/>
    <w:rsid w:val="00AF2FBB"/>
    <w:rsid w:val="00AF320C"/>
    <w:rsid w:val="00AF3365"/>
    <w:rsid w:val="00AF3431"/>
    <w:rsid w:val="00AF3921"/>
    <w:rsid w:val="00AF3A62"/>
    <w:rsid w:val="00AF3A63"/>
    <w:rsid w:val="00AF3A7B"/>
    <w:rsid w:val="00AF3E50"/>
    <w:rsid w:val="00AF3F74"/>
    <w:rsid w:val="00AF406F"/>
    <w:rsid w:val="00AF437D"/>
    <w:rsid w:val="00AF4670"/>
    <w:rsid w:val="00AF4914"/>
    <w:rsid w:val="00AF4B97"/>
    <w:rsid w:val="00AF4E84"/>
    <w:rsid w:val="00AF4FC3"/>
    <w:rsid w:val="00AF500C"/>
    <w:rsid w:val="00AF51B3"/>
    <w:rsid w:val="00AF546A"/>
    <w:rsid w:val="00AF54A5"/>
    <w:rsid w:val="00AF54CF"/>
    <w:rsid w:val="00AF5840"/>
    <w:rsid w:val="00AF5B5D"/>
    <w:rsid w:val="00AF60A3"/>
    <w:rsid w:val="00AF64BA"/>
    <w:rsid w:val="00AF6647"/>
    <w:rsid w:val="00AF685A"/>
    <w:rsid w:val="00AF6C37"/>
    <w:rsid w:val="00AF6CB9"/>
    <w:rsid w:val="00AF6EBB"/>
    <w:rsid w:val="00AF7236"/>
    <w:rsid w:val="00AF7545"/>
    <w:rsid w:val="00AF794B"/>
    <w:rsid w:val="00AF79CB"/>
    <w:rsid w:val="00AF7C22"/>
    <w:rsid w:val="00B000EC"/>
    <w:rsid w:val="00B00777"/>
    <w:rsid w:val="00B009E4"/>
    <w:rsid w:val="00B009F8"/>
    <w:rsid w:val="00B00D55"/>
    <w:rsid w:val="00B00DC6"/>
    <w:rsid w:val="00B00EEF"/>
    <w:rsid w:val="00B00F26"/>
    <w:rsid w:val="00B01298"/>
    <w:rsid w:val="00B015B3"/>
    <w:rsid w:val="00B015CB"/>
    <w:rsid w:val="00B01989"/>
    <w:rsid w:val="00B01B25"/>
    <w:rsid w:val="00B01EBF"/>
    <w:rsid w:val="00B01F77"/>
    <w:rsid w:val="00B02042"/>
    <w:rsid w:val="00B02695"/>
    <w:rsid w:val="00B02AD7"/>
    <w:rsid w:val="00B03455"/>
    <w:rsid w:val="00B038F2"/>
    <w:rsid w:val="00B048A2"/>
    <w:rsid w:val="00B04A86"/>
    <w:rsid w:val="00B04C55"/>
    <w:rsid w:val="00B04C57"/>
    <w:rsid w:val="00B04D99"/>
    <w:rsid w:val="00B04E35"/>
    <w:rsid w:val="00B05217"/>
    <w:rsid w:val="00B0538D"/>
    <w:rsid w:val="00B058C1"/>
    <w:rsid w:val="00B05C3A"/>
    <w:rsid w:val="00B05D36"/>
    <w:rsid w:val="00B06114"/>
    <w:rsid w:val="00B06178"/>
    <w:rsid w:val="00B061D3"/>
    <w:rsid w:val="00B06319"/>
    <w:rsid w:val="00B0658D"/>
    <w:rsid w:val="00B067C1"/>
    <w:rsid w:val="00B06B4E"/>
    <w:rsid w:val="00B06BFB"/>
    <w:rsid w:val="00B07086"/>
    <w:rsid w:val="00B075B9"/>
    <w:rsid w:val="00B07951"/>
    <w:rsid w:val="00B07B46"/>
    <w:rsid w:val="00B07B49"/>
    <w:rsid w:val="00B07C9F"/>
    <w:rsid w:val="00B07DB4"/>
    <w:rsid w:val="00B1061B"/>
    <w:rsid w:val="00B10947"/>
    <w:rsid w:val="00B10ADD"/>
    <w:rsid w:val="00B10DF4"/>
    <w:rsid w:val="00B111B0"/>
    <w:rsid w:val="00B112D0"/>
    <w:rsid w:val="00B11498"/>
    <w:rsid w:val="00B11819"/>
    <w:rsid w:val="00B11D07"/>
    <w:rsid w:val="00B11E25"/>
    <w:rsid w:val="00B126FA"/>
    <w:rsid w:val="00B12AD5"/>
    <w:rsid w:val="00B12CD1"/>
    <w:rsid w:val="00B12DE9"/>
    <w:rsid w:val="00B13033"/>
    <w:rsid w:val="00B1333F"/>
    <w:rsid w:val="00B13609"/>
    <w:rsid w:val="00B13A72"/>
    <w:rsid w:val="00B13E72"/>
    <w:rsid w:val="00B14329"/>
    <w:rsid w:val="00B14640"/>
    <w:rsid w:val="00B146D0"/>
    <w:rsid w:val="00B14825"/>
    <w:rsid w:val="00B14BA7"/>
    <w:rsid w:val="00B14C29"/>
    <w:rsid w:val="00B14D6A"/>
    <w:rsid w:val="00B14EF0"/>
    <w:rsid w:val="00B15212"/>
    <w:rsid w:val="00B152DA"/>
    <w:rsid w:val="00B156DC"/>
    <w:rsid w:val="00B1578D"/>
    <w:rsid w:val="00B158A2"/>
    <w:rsid w:val="00B15A5E"/>
    <w:rsid w:val="00B15E5B"/>
    <w:rsid w:val="00B16363"/>
    <w:rsid w:val="00B1641C"/>
    <w:rsid w:val="00B167A5"/>
    <w:rsid w:val="00B16874"/>
    <w:rsid w:val="00B1733F"/>
    <w:rsid w:val="00B1793A"/>
    <w:rsid w:val="00B17994"/>
    <w:rsid w:val="00B17A06"/>
    <w:rsid w:val="00B17AA0"/>
    <w:rsid w:val="00B20136"/>
    <w:rsid w:val="00B20237"/>
    <w:rsid w:val="00B204B1"/>
    <w:rsid w:val="00B206E0"/>
    <w:rsid w:val="00B20BB6"/>
    <w:rsid w:val="00B20EB1"/>
    <w:rsid w:val="00B21301"/>
    <w:rsid w:val="00B21305"/>
    <w:rsid w:val="00B21358"/>
    <w:rsid w:val="00B22863"/>
    <w:rsid w:val="00B22A0B"/>
    <w:rsid w:val="00B22BBA"/>
    <w:rsid w:val="00B23339"/>
    <w:rsid w:val="00B235F8"/>
    <w:rsid w:val="00B23E27"/>
    <w:rsid w:val="00B23E66"/>
    <w:rsid w:val="00B2410A"/>
    <w:rsid w:val="00B24BB3"/>
    <w:rsid w:val="00B24D8A"/>
    <w:rsid w:val="00B25077"/>
    <w:rsid w:val="00B250E2"/>
    <w:rsid w:val="00B254E6"/>
    <w:rsid w:val="00B25A01"/>
    <w:rsid w:val="00B25D9D"/>
    <w:rsid w:val="00B25DC8"/>
    <w:rsid w:val="00B26337"/>
    <w:rsid w:val="00B26474"/>
    <w:rsid w:val="00B267F4"/>
    <w:rsid w:val="00B267FC"/>
    <w:rsid w:val="00B269CC"/>
    <w:rsid w:val="00B273FF"/>
    <w:rsid w:val="00B2746F"/>
    <w:rsid w:val="00B27620"/>
    <w:rsid w:val="00B27999"/>
    <w:rsid w:val="00B27B3A"/>
    <w:rsid w:val="00B27B80"/>
    <w:rsid w:val="00B27CDD"/>
    <w:rsid w:val="00B27F37"/>
    <w:rsid w:val="00B304AE"/>
    <w:rsid w:val="00B308CA"/>
    <w:rsid w:val="00B30CA6"/>
    <w:rsid w:val="00B30CCA"/>
    <w:rsid w:val="00B30E4B"/>
    <w:rsid w:val="00B31144"/>
    <w:rsid w:val="00B31514"/>
    <w:rsid w:val="00B31902"/>
    <w:rsid w:val="00B3196A"/>
    <w:rsid w:val="00B31E08"/>
    <w:rsid w:val="00B321B1"/>
    <w:rsid w:val="00B32746"/>
    <w:rsid w:val="00B32886"/>
    <w:rsid w:val="00B3293B"/>
    <w:rsid w:val="00B33167"/>
    <w:rsid w:val="00B33943"/>
    <w:rsid w:val="00B33B6B"/>
    <w:rsid w:val="00B33F46"/>
    <w:rsid w:val="00B34012"/>
    <w:rsid w:val="00B34042"/>
    <w:rsid w:val="00B340C9"/>
    <w:rsid w:val="00B34631"/>
    <w:rsid w:val="00B34884"/>
    <w:rsid w:val="00B352C1"/>
    <w:rsid w:val="00B357FA"/>
    <w:rsid w:val="00B35961"/>
    <w:rsid w:val="00B35F85"/>
    <w:rsid w:val="00B361D8"/>
    <w:rsid w:val="00B367F4"/>
    <w:rsid w:val="00B369C6"/>
    <w:rsid w:val="00B36E5F"/>
    <w:rsid w:val="00B36F30"/>
    <w:rsid w:val="00B36F39"/>
    <w:rsid w:val="00B3711A"/>
    <w:rsid w:val="00B3716D"/>
    <w:rsid w:val="00B3745B"/>
    <w:rsid w:val="00B40E79"/>
    <w:rsid w:val="00B40F86"/>
    <w:rsid w:val="00B4169F"/>
    <w:rsid w:val="00B42229"/>
    <w:rsid w:val="00B42378"/>
    <w:rsid w:val="00B423DB"/>
    <w:rsid w:val="00B42491"/>
    <w:rsid w:val="00B42969"/>
    <w:rsid w:val="00B42B1B"/>
    <w:rsid w:val="00B42F3A"/>
    <w:rsid w:val="00B42F58"/>
    <w:rsid w:val="00B4317A"/>
    <w:rsid w:val="00B432BE"/>
    <w:rsid w:val="00B43AF9"/>
    <w:rsid w:val="00B43BCB"/>
    <w:rsid w:val="00B44303"/>
    <w:rsid w:val="00B4434E"/>
    <w:rsid w:val="00B44506"/>
    <w:rsid w:val="00B445D9"/>
    <w:rsid w:val="00B44BAC"/>
    <w:rsid w:val="00B44CFB"/>
    <w:rsid w:val="00B44EB8"/>
    <w:rsid w:val="00B454D6"/>
    <w:rsid w:val="00B455A1"/>
    <w:rsid w:val="00B45642"/>
    <w:rsid w:val="00B45B32"/>
    <w:rsid w:val="00B45D41"/>
    <w:rsid w:val="00B45EBF"/>
    <w:rsid w:val="00B4602F"/>
    <w:rsid w:val="00B46371"/>
    <w:rsid w:val="00B46A8C"/>
    <w:rsid w:val="00B46F0B"/>
    <w:rsid w:val="00B4739C"/>
    <w:rsid w:val="00B4798D"/>
    <w:rsid w:val="00B47D23"/>
    <w:rsid w:val="00B4DD8F"/>
    <w:rsid w:val="00B5064F"/>
    <w:rsid w:val="00B50842"/>
    <w:rsid w:val="00B508B9"/>
    <w:rsid w:val="00B508BA"/>
    <w:rsid w:val="00B50BCF"/>
    <w:rsid w:val="00B50F4D"/>
    <w:rsid w:val="00B51234"/>
    <w:rsid w:val="00B51442"/>
    <w:rsid w:val="00B5178B"/>
    <w:rsid w:val="00B5186F"/>
    <w:rsid w:val="00B51882"/>
    <w:rsid w:val="00B51AFF"/>
    <w:rsid w:val="00B52254"/>
    <w:rsid w:val="00B52429"/>
    <w:rsid w:val="00B5264C"/>
    <w:rsid w:val="00B5285E"/>
    <w:rsid w:val="00B528E7"/>
    <w:rsid w:val="00B52C10"/>
    <w:rsid w:val="00B52C76"/>
    <w:rsid w:val="00B52E2C"/>
    <w:rsid w:val="00B53106"/>
    <w:rsid w:val="00B532EF"/>
    <w:rsid w:val="00B53917"/>
    <w:rsid w:val="00B53A63"/>
    <w:rsid w:val="00B53E39"/>
    <w:rsid w:val="00B54499"/>
    <w:rsid w:val="00B54AF1"/>
    <w:rsid w:val="00B54EFA"/>
    <w:rsid w:val="00B551EA"/>
    <w:rsid w:val="00B554DE"/>
    <w:rsid w:val="00B555BF"/>
    <w:rsid w:val="00B55605"/>
    <w:rsid w:val="00B5567D"/>
    <w:rsid w:val="00B557A5"/>
    <w:rsid w:val="00B55F62"/>
    <w:rsid w:val="00B564D5"/>
    <w:rsid w:val="00B56B46"/>
    <w:rsid w:val="00B56E61"/>
    <w:rsid w:val="00B57463"/>
    <w:rsid w:val="00B57495"/>
    <w:rsid w:val="00B5776B"/>
    <w:rsid w:val="00B57A27"/>
    <w:rsid w:val="00B57A87"/>
    <w:rsid w:val="00B57B9B"/>
    <w:rsid w:val="00B57D83"/>
    <w:rsid w:val="00B57E67"/>
    <w:rsid w:val="00B57EAB"/>
    <w:rsid w:val="00B57FB1"/>
    <w:rsid w:val="00B60180"/>
    <w:rsid w:val="00B6027A"/>
    <w:rsid w:val="00B60679"/>
    <w:rsid w:val="00B60829"/>
    <w:rsid w:val="00B60C85"/>
    <w:rsid w:val="00B611AD"/>
    <w:rsid w:val="00B618EA"/>
    <w:rsid w:val="00B61EB0"/>
    <w:rsid w:val="00B62063"/>
    <w:rsid w:val="00B620F3"/>
    <w:rsid w:val="00B62108"/>
    <w:rsid w:val="00B62121"/>
    <w:rsid w:val="00B6256A"/>
    <w:rsid w:val="00B628D5"/>
    <w:rsid w:val="00B628E9"/>
    <w:rsid w:val="00B63152"/>
    <w:rsid w:val="00B63209"/>
    <w:rsid w:val="00B63379"/>
    <w:rsid w:val="00B6358F"/>
    <w:rsid w:val="00B63840"/>
    <w:rsid w:val="00B63864"/>
    <w:rsid w:val="00B638A0"/>
    <w:rsid w:val="00B638BB"/>
    <w:rsid w:val="00B63BC2"/>
    <w:rsid w:val="00B64647"/>
    <w:rsid w:val="00B64711"/>
    <w:rsid w:val="00B64726"/>
    <w:rsid w:val="00B649B2"/>
    <w:rsid w:val="00B6572F"/>
    <w:rsid w:val="00B662A6"/>
    <w:rsid w:val="00B6636B"/>
    <w:rsid w:val="00B6656D"/>
    <w:rsid w:val="00B6688D"/>
    <w:rsid w:val="00B6699E"/>
    <w:rsid w:val="00B67231"/>
    <w:rsid w:val="00B6766E"/>
    <w:rsid w:val="00B67E35"/>
    <w:rsid w:val="00B67E4E"/>
    <w:rsid w:val="00B67F38"/>
    <w:rsid w:val="00B67F58"/>
    <w:rsid w:val="00B703BB"/>
    <w:rsid w:val="00B70A0D"/>
    <w:rsid w:val="00B70DC7"/>
    <w:rsid w:val="00B71203"/>
    <w:rsid w:val="00B7183D"/>
    <w:rsid w:val="00B7193E"/>
    <w:rsid w:val="00B71965"/>
    <w:rsid w:val="00B71D51"/>
    <w:rsid w:val="00B720B4"/>
    <w:rsid w:val="00B723FB"/>
    <w:rsid w:val="00B725E7"/>
    <w:rsid w:val="00B728A0"/>
    <w:rsid w:val="00B731D4"/>
    <w:rsid w:val="00B732C3"/>
    <w:rsid w:val="00B7407A"/>
    <w:rsid w:val="00B743C8"/>
    <w:rsid w:val="00B744A8"/>
    <w:rsid w:val="00B7460C"/>
    <w:rsid w:val="00B747F5"/>
    <w:rsid w:val="00B74841"/>
    <w:rsid w:val="00B74E84"/>
    <w:rsid w:val="00B75050"/>
    <w:rsid w:val="00B753B7"/>
    <w:rsid w:val="00B75872"/>
    <w:rsid w:val="00B75C53"/>
    <w:rsid w:val="00B769C6"/>
    <w:rsid w:val="00B76B59"/>
    <w:rsid w:val="00B76C02"/>
    <w:rsid w:val="00B774A2"/>
    <w:rsid w:val="00B7759E"/>
    <w:rsid w:val="00B775EB"/>
    <w:rsid w:val="00B8017E"/>
    <w:rsid w:val="00B804BA"/>
    <w:rsid w:val="00B806BA"/>
    <w:rsid w:val="00B80798"/>
    <w:rsid w:val="00B8093A"/>
    <w:rsid w:val="00B80D47"/>
    <w:rsid w:val="00B80F37"/>
    <w:rsid w:val="00B8157E"/>
    <w:rsid w:val="00B816B5"/>
    <w:rsid w:val="00B81C9F"/>
    <w:rsid w:val="00B82122"/>
    <w:rsid w:val="00B822C4"/>
    <w:rsid w:val="00B82806"/>
    <w:rsid w:val="00B82884"/>
    <w:rsid w:val="00B8328D"/>
    <w:rsid w:val="00B83444"/>
    <w:rsid w:val="00B83D37"/>
    <w:rsid w:val="00B83E93"/>
    <w:rsid w:val="00B84227"/>
    <w:rsid w:val="00B84499"/>
    <w:rsid w:val="00B848D9"/>
    <w:rsid w:val="00B84F3C"/>
    <w:rsid w:val="00B85133"/>
    <w:rsid w:val="00B853F8"/>
    <w:rsid w:val="00B85489"/>
    <w:rsid w:val="00B85B03"/>
    <w:rsid w:val="00B85D5E"/>
    <w:rsid w:val="00B85DDC"/>
    <w:rsid w:val="00B85EC5"/>
    <w:rsid w:val="00B86393"/>
    <w:rsid w:val="00B8643A"/>
    <w:rsid w:val="00B866EE"/>
    <w:rsid w:val="00B86865"/>
    <w:rsid w:val="00B86885"/>
    <w:rsid w:val="00B8738B"/>
    <w:rsid w:val="00B87A9F"/>
    <w:rsid w:val="00B87FB3"/>
    <w:rsid w:val="00B901ED"/>
    <w:rsid w:val="00B907BA"/>
    <w:rsid w:val="00B90EA6"/>
    <w:rsid w:val="00B91487"/>
    <w:rsid w:val="00B916B2"/>
    <w:rsid w:val="00B916E9"/>
    <w:rsid w:val="00B9236E"/>
    <w:rsid w:val="00B923BA"/>
    <w:rsid w:val="00B92508"/>
    <w:rsid w:val="00B927AC"/>
    <w:rsid w:val="00B92F36"/>
    <w:rsid w:val="00B9321B"/>
    <w:rsid w:val="00B9326A"/>
    <w:rsid w:val="00B93C04"/>
    <w:rsid w:val="00B93D44"/>
    <w:rsid w:val="00B93EB5"/>
    <w:rsid w:val="00B93F6B"/>
    <w:rsid w:val="00B9423E"/>
    <w:rsid w:val="00B9443A"/>
    <w:rsid w:val="00B94910"/>
    <w:rsid w:val="00B9532D"/>
    <w:rsid w:val="00B95789"/>
    <w:rsid w:val="00B960AA"/>
    <w:rsid w:val="00B9616E"/>
    <w:rsid w:val="00B96668"/>
    <w:rsid w:val="00B9666A"/>
    <w:rsid w:val="00B968C3"/>
    <w:rsid w:val="00B96A02"/>
    <w:rsid w:val="00B96D6D"/>
    <w:rsid w:val="00B96EAA"/>
    <w:rsid w:val="00B971AA"/>
    <w:rsid w:val="00B972B5"/>
    <w:rsid w:val="00B9778B"/>
    <w:rsid w:val="00B978D7"/>
    <w:rsid w:val="00B979BB"/>
    <w:rsid w:val="00BA0077"/>
    <w:rsid w:val="00BA020D"/>
    <w:rsid w:val="00BA033A"/>
    <w:rsid w:val="00BA06C9"/>
    <w:rsid w:val="00BA0EEB"/>
    <w:rsid w:val="00BA131F"/>
    <w:rsid w:val="00BA1321"/>
    <w:rsid w:val="00BA1371"/>
    <w:rsid w:val="00BA1833"/>
    <w:rsid w:val="00BA1ECE"/>
    <w:rsid w:val="00BA1F1F"/>
    <w:rsid w:val="00BA23CD"/>
    <w:rsid w:val="00BA2EA7"/>
    <w:rsid w:val="00BA347A"/>
    <w:rsid w:val="00BA44CF"/>
    <w:rsid w:val="00BA4A82"/>
    <w:rsid w:val="00BA540F"/>
    <w:rsid w:val="00BA5613"/>
    <w:rsid w:val="00BA56CF"/>
    <w:rsid w:val="00BA60EC"/>
    <w:rsid w:val="00BA6207"/>
    <w:rsid w:val="00BA675E"/>
    <w:rsid w:val="00BA6854"/>
    <w:rsid w:val="00BA686D"/>
    <w:rsid w:val="00BA68B7"/>
    <w:rsid w:val="00BA6AA1"/>
    <w:rsid w:val="00BA6E39"/>
    <w:rsid w:val="00BA701B"/>
    <w:rsid w:val="00BA7098"/>
    <w:rsid w:val="00BA7559"/>
    <w:rsid w:val="00BA7598"/>
    <w:rsid w:val="00BA7707"/>
    <w:rsid w:val="00BAF15A"/>
    <w:rsid w:val="00BB0CB1"/>
    <w:rsid w:val="00BB0EF6"/>
    <w:rsid w:val="00BB15C2"/>
    <w:rsid w:val="00BB1671"/>
    <w:rsid w:val="00BB1E46"/>
    <w:rsid w:val="00BB1ED1"/>
    <w:rsid w:val="00BB1F13"/>
    <w:rsid w:val="00BB1F5E"/>
    <w:rsid w:val="00BB2303"/>
    <w:rsid w:val="00BB2730"/>
    <w:rsid w:val="00BB2750"/>
    <w:rsid w:val="00BB27F9"/>
    <w:rsid w:val="00BB2868"/>
    <w:rsid w:val="00BB2C29"/>
    <w:rsid w:val="00BB2DE5"/>
    <w:rsid w:val="00BB2F2C"/>
    <w:rsid w:val="00BB35CC"/>
    <w:rsid w:val="00BB394D"/>
    <w:rsid w:val="00BB3C74"/>
    <w:rsid w:val="00BB42B0"/>
    <w:rsid w:val="00BB47E4"/>
    <w:rsid w:val="00BB48FC"/>
    <w:rsid w:val="00BB4B93"/>
    <w:rsid w:val="00BB4CA7"/>
    <w:rsid w:val="00BB4CB3"/>
    <w:rsid w:val="00BB4EE2"/>
    <w:rsid w:val="00BB513F"/>
    <w:rsid w:val="00BB55EA"/>
    <w:rsid w:val="00BB5763"/>
    <w:rsid w:val="00BB5C6C"/>
    <w:rsid w:val="00BB6105"/>
    <w:rsid w:val="00BB62A7"/>
    <w:rsid w:val="00BB63B2"/>
    <w:rsid w:val="00BB6F3A"/>
    <w:rsid w:val="00BB6F58"/>
    <w:rsid w:val="00BB6F70"/>
    <w:rsid w:val="00BB7050"/>
    <w:rsid w:val="00BB72D2"/>
    <w:rsid w:val="00BB76BE"/>
    <w:rsid w:val="00BB77A4"/>
    <w:rsid w:val="00BB79B4"/>
    <w:rsid w:val="00BB7ADB"/>
    <w:rsid w:val="00BB7B07"/>
    <w:rsid w:val="00BB7D46"/>
    <w:rsid w:val="00BB7D6E"/>
    <w:rsid w:val="00BC013D"/>
    <w:rsid w:val="00BC0567"/>
    <w:rsid w:val="00BC096C"/>
    <w:rsid w:val="00BC0BCC"/>
    <w:rsid w:val="00BC0C9E"/>
    <w:rsid w:val="00BC0DE1"/>
    <w:rsid w:val="00BC0F1A"/>
    <w:rsid w:val="00BC0FFF"/>
    <w:rsid w:val="00BC131E"/>
    <w:rsid w:val="00BC1620"/>
    <w:rsid w:val="00BC167A"/>
    <w:rsid w:val="00BC1988"/>
    <w:rsid w:val="00BC1EAE"/>
    <w:rsid w:val="00BC268B"/>
    <w:rsid w:val="00BC2918"/>
    <w:rsid w:val="00BC298C"/>
    <w:rsid w:val="00BC2ADC"/>
    <w:rsid w:val="00BC2D68"/>
    <w:rsid w:val="00BC2E22"/>
    <w:rsid w:val="00BC2F25"/>
    <w:rsid w:val="00BC3137"/>
    <w:rsid w:val="00BC33DB"/>
    <w:rsid w:val="00BC3509"/>
    <w:rsid w:val="00BC374B"/>
    <w:rsid w:val="00BC37B3"/>
    <w:rsid w:val="00BC3922"/>
    <w:rsid w:val="00BC39DE"/>
    <w:rsid w:val="00BC3BAB"/>
    <w:rsid w:val="00BC3CC8"/>
    <w:rsid w:val="00BC40BD"/>
    <w:rsid w:val="00BC4570"/>
    <w:rsid w:val="00BC4906"/>
    <w:rsid w:val="00BC4A4E"/>
    <w:rsid w:val="00BC4B7C"/>
    <w:rsid w:val="00BC4C95"/>
    <w:rsid w:val="00BC4D89"/>
    <w:rsid w:val="00BC4EF6"/>
    <w:rsid w:val="00BC52B1"/>
    <w:rsid w:val="00BC54B5"/>
    <w:rsid w:val="00BC585C"/>
    <w:rsid w:val="00BC5E9D"/>
    <w:rsid w:val="00BC620B"/>
    <w:rsid w:val="00BC62D7"/>
    <w:rsid w:val="00BC64B7"/>
    <w:rsid w:val="00BC6D39"/>
    <w:rsid w:val="00BC7CF0"/>
    <w:rsid w:val="00BC7E35"/>
    <w:rsid w:val="00BCF2A7"/>
    <w:rsid w:val="00BD0070"/>
    <w:rsid w:val="00BD02AE"/>
    <w:rsid w:val="00BD0339"/>
    <w:rsid w:val="00BD065A"/>
    <w:rsid w:val="00BD0736"/>
    <w:rsid w:val="00BD0AB4"/>
    <w:rsid w:val="00BD0B67"/>
    <w:rsid w:val="00BD15CB"/>
    <w:rsid w:val="00BD1BD1"/>
    <w:rsid w:val="00BD24E8"/>
    <w:rsid w:val="00BD2588"/>
    <w:rsid w:val="00BD2A05"/>
    <w:rsid w:val="00BD2A7C"/>
    <w:rsid w:val="00BD31E8"/>
    <w:rsid w:val="00BD3A8B"/>
    <w:rsid w:val="00BD3C65"/>
    <w:rsid w:val="00BD42B7"/>
    <w:rsid w:val="00BD45D4"/>
    <w:rsid w:val="00BD4830"/>
    <w:rsid w:val="00BD4B22"/>
    <w:rsid w:val="00BD4CA7"/>
    <w:rsid w:val="00BD4D36"/>
    <w:rsid w:val="00BD537D"/>
    <w:rsid w:val="00BD5452"/>
    <w:rsid w:val="00BD57DE"/>
    <w:rsid w:val="00BD5CAC"/>
    <w:rsid w:val="00BD5F12"/>
    <w:rsid w:val="00BD6426"/>
    <w:rsid w:val="00BD6AA7"/>
    <w:rsid w:val="00BD6B74"/>
    <w:rsid w:val="00BD6BB5"/>
    <w:rsid w:val="00BD6C3A"/>
    <w:rsid w:val="00BD7510"/>
    <w:rsid w:val="00BD7601"/>
    <w:rsid w:val="00BD77BC"/>
    <w:rsid w:val="00BD7FEF"/>
    <w:rsid w:val="00BE0685"/>
    <w:rsid w:val="00BE0742"/>
    <w:rsid w:val="00BE0899"/>
    <w:rsid w:val="00BE0C49"/>
    <w:rsid w:val="00BE1179"/>
    <w:rsid w:val="00BE1332"/>
    <w:rsid w:val="00BE231F"/>
    <w:rsid w:val="00BE2496"/>
    <w:rsid w:val="00BE270E"/>
    <w:rsid w:val="00BE34B5"/>
    <w:rsid w:val="00BE3607"/>
    <w:rsid w:val="00BE3AF4"/>
    <w:rsid w:val="00BE3C5C"/>
    <w:rsid w:val="00BE4204"/>
    <w:rsid w:val="00BE45A3"/>
    <w:rsid w:val="00BE48B4"/>
    <w:rsid w:val="00BE4FE1"/>
    <w:rsid w:val="00BE5376"/>
    <w:rsid w:val="00BE5EC7"/>
    <w:rsid w:val="00BE6074"/>
    <w:rsid w:val="00BE6191"/>
    <w:rsid w:val="00BE6374"/>
    <w:rsid w:val="00BE650C"/>
    <w:rsid w:val="00BE6591"/>
    <w:rsid w:val="00BE68E0"/>
    <w:rsid w:val="00BE6C1E"/>
    <w:rsid w:val="00BE6FA1"/>
    <w:rsid w:val="00BE73DB"/>
    <w:rsid w:val="00BE742E"/>
    <w:rsid w:val="00BE78FC"/>
    <w:rsid w:val="00BE7943"/>
    <w:rsid w:val="00BE7F79"/>
    <w:rsid w:val="00BE8818"/>
    <w:rsid w:val="00BEE0E5"/>
    <w:rsid w:val="00BF0330"/>
    <w:rsid w:val="00BF038D"/>
    <w:rsid w:val="00BF04AC"/>
    <w:rsid w:val="00BF0D28"/>
    <w:rsid w:val="00BF0D5D"/>
    <w:rsid w:val="00BF0DA7"/>
    <w:rsid w:val="00BF0EA1"/>
    <w:rsid w:val="00BF0F44"/>
    <w:rsid w:val="00BF1046"/>
    <w:rsid w:val="00BF154C"/>
    <w:rsid w:val="00BF1AA0"/>
    <w:rsid w:val="00BF249B"/>
    <w:rsid w:val="00BF25E8"/>
    <w:rsid w:val="00BF282A"/>
    <w:rsid w:val="00BF283E"/>
    <w:rsid w:val="00BF32A7"/>
    <w:rsid w:val="00BF3679"/>
    <w:rsid w:val="00BF3766"/>
    <w:rsid w:val="00BF3854"/>
    <w:rsid w:val="00BF3BA2"/>
    <w:rsid w:val="00BF40A3"/>
    <w:rsid w:val="00BF415F"/>
    <w:rsid w:val="00BF4185"/>
    <w:rsid w:val="00BF4326"/>
    <w:rsid w:val="00BF4A92"/>
    <w:rsid w:val="00BF4B25"/>
    <w:rsid w:val="00BF4BFA"/>
    <w:rsid w:val="00BF4E80"/>
    <w:rsid w:val="00BF5000"/>
    <w:rsid w:val="00BF504A"/>
    <w:rsid w:val="00BF5593"/>
    <w:rsid w:val="00BF5753"/>
    <w:rsid w:val="00BF577B"/>
    <w:rsid w:val="00BF580F"/>
    <w:rsid w:val="00BF5916"/>
    <w:rsid w:val="00BF599A"/>
    <w:rsid w:val="00BF684C"/>
    <w:rsid w:val="00BF690A"/>
    <w:rsid w:val="00BF6A52"/>
    <w:rsid w:val="00BF6C73"/>
    <w:rsid w:val="00BF6EEC"/>
    <w:rsid w:val="00BF72C1"/>
    <w:rsid w:val="00BF72EB"/>
    <w:rsid w:val="00BF7449"/>
    <w:rsid w:val="00BF768C"/>
    <w:rsid w:val="00BF7766"/>
    <w:rsid w:val="00BF7864"/>
    <w:rsid w:val="00BF7A3E"/>
    <w:rsid w:val="00C0011A"/>
    <w:rsid w:val="00C001AD"/>
    <w:rsid w:val="00C00204"/>
    <w:rsid w:val="00C004AB"/>
    <w:rsid w:val="00C008FB"/>
    <w:rsid w:val="00C009CA"/>
    <w:rsid w:val="00C00ABD"/>
    <w:rsid w:val="00C00B14"/>
    <w:rsid w:val="00C00CD2"/>
    <w:rsid w:val="00C010FC"/>
    <w:rsid w:val="00C012C6"/>
    <w:rsid w:val="00C01672"/>
    <w:rsid w:val="00C019FF"/>
    <w:rsid w:val="00C01B3E"/>
    <w:rsid w:val="00C01D4E"/>
    <w:rsid w:val="00C01E47"/>
    <w:rsid w:val="00C021FB"/>
    <w:rsid w:val="00C022A0"/>
    <w:rsid w:val="00C025E4"/>
    <w:rsid w:val="00C0266C"/>
    <w:rsid w:val="00C02AD7"/>
    <w:rsid w:val="00C02B54"/>
    <w:rsid w:val="00C02BAE"/>
    <w:rsid w:val="00C031D7"/>
    <w:rsid w:val="00C0345D"/>
    <w:rsid w:val="00C03A0B"/>
    <w:rsid w:val="00C03B09"/>
    <w:rsid w:val="00C04162"/>
    <w:rsid w:val="00C044A8"/>
    <w:rsid w:val="00C044E3"/>
    <w:rsid w:val="00C047AE"/>
    <w:rsid w:val="00C048E7"/>
    <w:rsid w:val="00C04BA4"/>
    <w:rsid w:val="00C04E11"/>
    <w:rsid w:val="00C050B0"/>
    <w:rsid w:val="00C0535E"/>
    <w:rsid w:val="00C058E7"/>
    <w:rsid w:val="00C05A96"/>
    <w:rsid w:val="00C05ACF"/>
    <w:rsid w:val="00C05E9E"/>
    <w:rsid w:val="00C05FBD"/>
    <w:rsid w:val="00C0613D"/>
    <w:rsid w:val="00C065B6"/>
    <w:rsid w:val="00C067C5"/>
    <w:rsid w:val="00C06ABD"/>
    <w:rsid w:val="00C06F84"/>
    <w:rsid w:val="00C075B6"/>
    <w:rsid w:val="00C07F4F"/>
    <w:rsid w:val="00C092C9"/>
    <w:rsid w:val="00C101D7"/>
    <w:rsid w:val="00C10E5C"/>
    <w:rsid w:val="00C11731"/>
    <w:rsid w:val="00C11BB3"/>
    <w:rsid w:val="00C11EA9"/>
    <w:rsid w:val="00C12194"/>
    <w:rsid w:val="00C123A2"/>
    <w:rsid w:val="00C125C9"/>
    <w:rsid w:val="00C126FB"/>
    <w:rsid w:val="00C12A6E"/>
    <w:rsid w:val="00C12B1F"/>
    <w:rsid w:val="00C12CD1"/>
    <w:rsid w:val="00C12EE8"/>
    <w:rsid w:val="00C130CF"/>
    <w:rsid w:val="00C13D9D"/>
    <w:rsid w:val="00C13F5F"/>
    <w:rsid w:val="00C14050"/>
    <w:rsid w:val="00C14091"/>
    <w:rsid w:val="00C1413B"/>
    <w:rsid w:val="00C142D7"/>
    <w:rsid w:val="00C14F4A"/>
    <w:rsid w:val="00C154C2"/>
    <w:rsid w:val="00C154C8"/>
    <w:rsid w:val="00C15711"/>
    <w:rsid w:val="00C160C8"/>
    <w:rsid w:val="00C16341"/>
    <w:rsid w:val="00C169CE"/>
    <w:rsid w:val="00C16BA8"/>
    <w:rsid w:val="00C16BFF"/>
    <w:rsid w:val="00C1743A"/>
    <w:rsid w:val="00C17F23"/>
    <w:rsid w:val="00C202AA"/>
    <w:rsid w:val="00C20869"/>
    <w:rsid w:val="00C20897"/>
    <w:rsid w:val="00C20BA7"/>
    <w:rsid w:val="00C20C3A"/>
    <w:rsid w:val="00C2132E"/>
    <w:rsid w:val="00C214D8"/>
    <w:rsid w:val="00C216B7"/>
    <w:rsid w:val="00C219F5"/>
    <w:rsid w:val="00C21D49"/>
    <w:rsid w:val="00C21F9A"/>
    <w:rsid w:val="00C2235D"/>
    <w:rsid w:val="00C225FF"/>
    <w:rsid w:val="00C22642"/>
    <w:rsid w:val="00C23084"/>
    <w:rsid w:val="00C2315E"/>
    <w:rsid w:val="00C231B0"/>
    <w:rsid w:val="00C2331E"/>
    <w:rsid w:val="00C23593"/>
    <w:rsid w:val="00C235DD"/>
    <w:rsid w:val="00C238D3"/>
    <w:rsid w:val="00C239C0"/>
    <w:rsid w:val="00C249D4"/>
    <w:rsid w:val="00C24C77"/>
    <w:rsid w:val="00C24DD4"/>
    <w:rsid w:val="00C25520"/>
    <w:rsid w:val="00C25787"/>
    <w:rsid w:val="00C25A5A"/>
    <w:rsid w:val="00C26227"/>
    <w:rsid w:val="00C2625F"/>
    <w:rsid w:val="00C26328"/>
    <w:rsid w:val="00C2650E"/>
    <w:rsid w:val="00C2659E"/>
    <w:rsid w:val="00C26744"/>
    <w:rsid w:val="00C26879"/>
    <w:rsid w:val="00C26B76"/>
    <w:rsid w:val="00C26B7E"/>
    <w:rsid w:val="00C26DED"/>
    <w:rsid w:val="00C26EA5"/>
    <w:rsid w:val="00C2769A"/>
    <w:rsid w:val="00C27708"/>
    <w:rsid w:val="00C27D24"/>
    <w:rsid w:val="00C27E3D"/>
    <w:rsid w:val="00C27F22"/>
    <w:rsid w:val="00C303C0"/>
    <w:rsid w:val="00C30A0D"/>
    <w:rsid w:val="00C30A8B"/>
    <w:rsid w:val="00C30E29"/>
    <w:rsid w:val="00C30F62"/>
    <w:rsid w:val="00C31396"/>
    <w:rsid w:val="00C3175A"/>
    <w:rsid w:val="00C31A81"/>
    <w:rsid w:val="00C32182"/>
    <w:rsid w:val="00C32334"/>
    <w:rsid w:val="00C325A9"/>
    <w:rsid w:val="00C32768"/>
    <w:rsid w:val="00C32B2D"/>
    <w:rsid w:val="00C32C23"/>
    <w:rsid w:val="00C32D3E"/>
    <w:rsid w:val="00C32D65"/>
    <w:rsid w:val="00C32E22"/>
    <w:rsid w:val="00C33174"/>
    <w:rsid w:val="00C33499"/>
    <w:rsid w:val="00C3360A"/>
    <w:rsid w:val="00C33DA2"/>
    <w:rsid w:val="00C33E19"/>
    <w:rsid w:val="00C33FF9"/>
    <w:rsid w:val="00C34221"/>
    <w:rsid w:val="00C347A8"/>
    <w:rsid w:val="00C34E03"/>
    <w:rsid w:val="00C34F00"/>
    <w:rsid w:val="00C34FF4"/>
    <w:rsid w:val="00C35450"/>
    <w:rsid w:val="00C354E4"/>
    <w:rsid w:val="00C3566C"/>
    <w:rsid w:val="00C3597F"/>
    <w:rsid w:val="00C35A9D"/>
    <w:rsid w:val="00C35E23"/>
    <w:rsid w:val="00C35F5C"/>
    <w:rsid w:val="00C36049"/>
    <w:rsid w:val="00C36237"/>
    <w:rsid w:val="00C3627F"/>
    <w:rsid w:val="00C363FE"/>
    <w:rsid w:val="00C36401"/>
    <w:rsid w:val="00C366CB"/>
    <w:rsid w:val="00C36B25"/>
    <w:rsid w:val="00C36C25"/>
    <w:rsid w:val="00C36CA6"/>
    <w:rsid w:val="00C36E1D"/>
    <w:rsid w:val="00C37113"/>
    <w:rsid w:val="00C37804"/>
    <w:rsid w:val="00C37957"/>
    <w:rsid w:val="00C387D0"/>
    <w:rsid w:val="00C40875"/>
    <w:rsid w:val="00C41728"/>
    <w:rsid w:val="00C418D4"/>
    <w:rsid w:val="00C419FC"/>
    <w:rsid w:val="00C41E0C"/>
    <w:rsid w:val="00C42141"/>
    <w:rsid w:val="00C4226F"/>
    <w:rsid w:val="00C42407"/>
    <w:rsid w:val="00C42875"/>
    <w:rsid w:val="00C42AD7"/>
    <w:rsid w:val="00C42AE9"/>
    <w:rsid w:val="00C42D5D"/>
    <w:rsid w:val="00C43637"/>
    <w:rsid w:val="00C4367E"/>
    <w:rsid w:val="00C4368D"/>
    <w:rsid w:val="00C43F26"/>
    <w:rsid w:val="00C44109"/>
    <w:rsid w:val="00C443D7"/>
    <w:rsid w:val="00C445CB"/>
    <w:rsid w:val="00C44702"/>
    <w:rsid w:val="00C453E1"/>
    <w:rsid w:val="00C454A5"/>
    <w:rsid w:val="00C455B8"/>
    <w:rsid w:val="00C4566D"/>
    <w:rsid w:val="00C456F9"/>
    <w:rsid w:val="00C45A34"/>
    <w:rsid w:val="00C45CC9"/>
    <w:rsid w:val="00C45D52"/>
    <w:rsid w:val="00C46024"/>
    <w:rsid w:val="00C4627A"/>
    <w:rsid w:val="00C46781"/>
    <w:rsid w:val="00C46872"/>
    <w:rsid w:val="00C46C2C"/>
    <w:rsid w:val="00C46C7C"/>
    <w:rsid w:val="00C47342"/>
    <w:rsid w:val="00C474F5"/>
    <w:rsid w:val="00C47A4E"/>
    <w:rsid w:val="00C47FA6"/>
    <w:rsid w:val="00C506A9"/>
    <w:rsid w:val="00C51317"/>
    <w:rsid w:val="00C515B6"/>
    <w:rsid w:val="00C51671"/>
    <w:rsid w:val="00C51944"/>
    <w:rsid w:val="00C51E70"/>
    <w:rsid w:val="00C52479"/>
    <w:rsid w:val="00C52D63"/>
    <w:rsid w:val="00C532F1"/>
    <w:rsid w:val="00C5340D"/>
    <w:rsid w:val="00C53739"/>
    <w:rsid w:val="00C53741"/>
    <w:rsid w:val="00C539A9"/>
    <w:rsid w:val="00C53C99"/>
    <w:rsid w:val="00C53DDB"/>
    <w:rsid w:val="00C53E03"/>
    <w:rsid w:val="00C5458E"/>
    <w:rsid w:val="00C5459D"/>
    <w:rsid w:val="00C5476F"/>
    <w:rsid w:val="00C54907"/>
    <w:rsid w:val="00C54AC1"/>
    <w:rsid w:val="00C54BB9"/>
    <w:rsid w:val="00C5570F"/>
    <w:rsid w:val="00C55F12"/>
    <w:rsid w:val="00C56199"/>
    <w:rsid w:val="00C56274"/>
    <w:rsid w:val="00C56687"/>
    <w:rsid w:val="00C56B39"/>
    <w:rsid w:val="00C56C04"/>
    <w:rsid w:val="00C56FBF"/>
    <w:rsid w:val="00C57204"/>
    <w:rsid w:val="00C572FA"/>
    <w:rsid w:val="00C573B3"/>
    <w:rsid w:val="00C57A3F"/>
    <w:rsid w:val="00C57CEA"/>
    <w:rsid w:val="00C57DA7"/>
    <w:rsid w:val="00C60851"/>
    <w:rsid w:val="00C60A1C"/>
    <w:rsid w:val="00C60EEF"/>
    <w:rsid w:val="00C6105E"/>
    <w:rsid w:val="00C61414"/>
    <w:rsid w:val="00C614E4"/>
    <w:rsid w:val="00C6177B"/>
    <w:rsid w:val="00C61BCB"/>
    <w:rsid w:val="00C62231"/>
    <w:rsid w:val="00C6251E"/>
    <w:rsid w:val="00C62BF1"/>
    <w:rsid w:val="00C63328"/>
    <w:rsid w:val="00C63849"/>
    <w:rsid w:val="00C638FA"/>
    <w:rsid w:val="00C63C81"/>
    <w:rsid w:val="00C63DD2"/>
    <w:rsid w:val="00C63F63"/>
    <w:rsid w:val="00C64056"/>
    <w:rsid w:val="00C64057"/>
    <w:rsid w:val="00C64842"/>
    <w:rsid w:val="00C64922"/>
    <w:rsid w:val="00C64942"/>
    <w:rsid w:val="00C64F8B"/>
    <w:rsid w:val="00C656D6"/>
    <w:rsid w:val="00C657C5"/>
    <w:rsid w:val="00C658A4"/>
    <w:rsid w:val="00C665D4"/>
    <w:rsid w:val="00C67009"/>
    <w:rsid w:val="00C67038"/>
    <w:rsid w:val="00C671D5"/>
    <w:rsid w:val="00C671ED"/>
    <w:rsid w:val="00C7017F"/>
    <w:rsid w:val="00C701EB"/>
    <w:rsid w:val="00C70224"/>
    <w:rsid w:val="00C70619"/>
    <w:rsid w:val="00C70D29"/>
    <w:rsid w:val="00C70F59"/>
    <w:rsid w:val="00C71348"/>
    <w:rsid w:val="00C715A4"/>
    <w:rsid w:val="00C71F58"/>
    <w:rsid w:val="00C729F6"/>
    <w:rsid w:val="00C72EF2"/>
    <w:rsid w:val="00C7304C"/>
    <w:rsid w:val="00C732A5"/>
    <w:rsid w:val="00C73312"/>
    <w:rsid w:val="00C73324"/>
    <w:rsid w:val="00C73386"/>
    <w:rsid w:val="00C73455"/>
    <w:rsid w:val="00C73935"/>
    <w:rsid w:val="00C73C16"/>
    <w:rsid w:val="00C73C42"/>
    <w:rsid w:val="00C73CE9"/>
    <w:rsid w:val="00C74152"/>
    <w:rsid w:val="00C74356"/>
    <w:rsid w:val="00C7446A"/>
    <w:rsid w:val="00C74779"/>
    <w:rsid w:val="00C74C30"/>
    <w:rsid w:val="00C74D79"/>
    <w:rsid w:val="00C74F3F"/>
    <w:rsid w:val="00C753A7"/>
    <w:rsid w:val="00C75903"/>
    <w:rsid w:val="00C75D9B"/>
    <w:rsid w:val="00C75DB6"/>
    <w:rsid w:val="00C75EAB"/>
    <w:rsid w:val="00C75EF6"/>
    <w:rsid w:val="00C76237"/>
    <w:rsid w:val="00C763A0"/>
    <w:rsid w:val="00C76402"/>
    <w:rsid w:val="00C76A37"/>
    <w:rsid w:val="00C76BF0"/>
    <w:rsid w:val="00C76EC7"/>
    <w:rsid w:val="00C76FE4"/>
    <w:rsid w:val="00C77265"/>
    <w:rsid w:val="00C772AA"/>
    <w:rsid w:val="00C776CE"/>
    <w:rsid w:val="00C777E9"/>
    <w:rsid w:val="00C777EB"/>
    <w:rsid w:val="00C77DA4"/>
    <w:rsid w:val="00C77F19"/>
    <w:rsid w:val="00C80552"/>
    <w:rsid w:val="00C80B92"/>
    <w:rsid w:val="00C80CD2"/>
    <w:rsid w:val="00C80D39"/>
    <w:rsid w:val="00C80DB9"/>
    <w:rsid w:val="00C81434"/>
    <w:rsid w:val="00C81675"/>
    <w:rsid w:val="00C8172B"/>
    <w:rsid w:val="00C81A38"/>
    <w:rsid w:val="00C821C9"/>
    <w:rsid w:val="00C82506"/>
    <w:rsid w:val="00C82620"/>
    <w:rsid w:val="00C827B8"/>
    <w:rsid w:val="00C82BCF"/>
    <w:rsid w:val="00C82C39"/>
    <w:rsid w:val="00C82F09"/>
    <w:rsid w:val="00C83B4B"/>
    <w:rsid w:val="00C83B8E"/>
    <w:rsid w:val="00C83C5F"/>
    <w:rsid w:val="00C8447C"/>
    <w:rsid w:val="00C849BF"/>
    <w:rsid w:val="00C84B8E"/>
    <w:rsid w:val="00C84EBA"/>
    <w:rsid w:val="00C85724"/>
    <w:rsid w:val="00C85769"/>
    <w:rsid w:val="00C85DCA"/>
    <w:rsid w:val="00C85DDB"/>
    <w:rsid w:val="00C85EBA"/>
    <w:rsid w:val="00C8623E"/>
    <w:rsid w:val="00C8660E"/>
    <w:rsid w:val="00C86911"/>
    <w:rsid w:val="00C86BA0"/>
    <w:rsid w:val="00C86C6E"/>
    <w:rsid w:val="00C86D35"/>
    <w:rsid w:val="00C8719B"/>
    <w:rsid w:val="00C872BA"/>
    <w:rsid w:val="00C874F3"/>
    <w:rsid w:val="00C87CD4"/>
    <w:rsid w:val="00C8932F"/>
    <w:rsid w:val="00C90305"/>
    <w:rsid w:val="00C90446"/>
    <w:rsid w:val="00C9044B"/>
    <w:rsid w:val="00C905B4"/>
    <w:rsid w:val="00C90822"/>
    <w:rsid w:val="00C9163C"/>
    <w:rsid w:val="00C9174C"/>
    <w:rsid w:val="00C91910"/>
    <w:rsid w:val="00C91A6B"/>
    <w:rsid w:val="00C91DC7"/>
    <w:rsid w:val="00C921B9"/>
    <w:rsid w:val="00C92345"/>
    <w:rsid w:val="00C92882"/>
    <w:rsid w:val="00C930E6"/>
    <w:rsid w:val="00C93228"/>
    <w:rsid w:val="00C9356A"/>
    <w:rsid w:val="00C93770"/>
    <w:rsid w:val="00C93D9B"/>
    <w:rsid w:val="00C9412D"/>
    <w:rsid w:val="00C9419F"/>
    <w:rsid w:val="00C94277"/>
    <w:rsid w:val="00C943A6"/>
    <w:rsid w:val="00C944B6"/>
    <w:rsid w:val="00C9482B"/>
    <w:rsid w:val="00C94BB2"/>
    <w:rsid w:val="00C94CA2"/>
    <w:rsid w:val="00C94CE0"/>
    <w:rsid w:val="00C94F93"/>
    <w:rsid w:val="00C95004"/>
    <w:rsid w:val="00C9576B"/>
    <w:rsid w:val="00C95ED1"/>
    <w:rsid w:val="00C960DF"/>
    <w:rsid w:val="00C96479"/>
    <w:rsid w:val="00C96D9D"/>
    <w:rsid w:val="00C96E0B"/>
    <w:rsid w:val="00C9721D"/>
    <w:rsid w:val="00C97982"/>
    <w:rsid w:val="00C97BDA"/>
    <w:rsid w:val="00C97F4C"/>
    <w:rsid w:val="00C97F68"/>
    <w:rsid w:val="00CA004A"/>
    <w:rsid w:val="00CA048D"/>
    <w:rsid w:val="00CA0810"/>
    <w:rsid w:val="00CA1051"/>
    <w:rsid w:val="00CA1412"/>
    <w:rsid w:val="00CA1689"/>
    <w:rsid w:val="00CA1778"/>
    <w:rsid w:val="00CA1877"/>
    <w:rsid w:val="00CA1E73"/>
    <w:rsid w:val="00CA24A8"/>
    <w:rsid w:val="00CA2B75"/>
    <w:rsid w:val="00CA2CF3"/>
    <w:rsid w:val="00CA306F"/>
    <w:rsid w:val="00CA33E2"/>
    <w:rsid w:val="00CA37DB"/>
    <w:rsid w:val="00CA382E"/>
    <w:rsid w:val="00CA3A8B"/>
    <w:rsid w:val="00CA41D6"/>
    <w:rsid w:val="00CA44B0"/>
    <w:rsid w:val="00CA4BEB"/>
    <w:rsid w:val="00CA4E1C"/>
    <w:rsid w:val="00CA528F"/>
    <w:rsid w:val="00CA5698"/>
    <w:rsid w:val="00CA5911"/>
    <w:rsid w:val="00CA5BC9"/>
    <w:rsid w:val="00CA5E09"/>
    <w:rsid w:val="00CA71CB"/>
    <w:rsid w:val="00CA72DA"/>
    <w:rsid w:val="00CA7341"/>
    <w:rsid w:val="00CA749E"/>
    <w:rsid w:val="00CA7C4F"/>
    <w:rsid w:val="00CADF34"/>
    <w:rsid w:val="00CB00EA"/>
    <w:rsid w:val="00CB07E1"/>
    <w:rsid w:val="00CB0E32"/>
    <w:rsid w:val="00CB1131"/>
    <w:rsid w:val="00CB146B"/>
    <w:rsid w:val="00CB1C79"/>
    <w:rsid w:val="00CB1D6A"/>
    <w:rsid w:val="00CB1E54"/>
    <w:rsid w:val="00CB1F90"/>
    <w:rsid w:val="00CB1FBE"/>
    <w:rsid w:val="00CB2432"/>
    <w:rsid w:val="00CB2678"/>
    <w:rsid w:val="00CB29E2"/>
    <w:rsid w:val="00CB2CB3"/>
    <w:rsid w:val="00CB2CD6"/>
    <w:rsid w:val="00CB300D"/>
    <w:rsid w:val="00CB30E6"/>
    <w:rsid w:val="00CB319D"/>
    <w:rsid w:val="00CB3F46"/>
    <w:rsid w:val="00CB4333"/>
    <w:rsid w:val="00CB4652"/>
    <w:rsid w:val="00CB4754"/>
    <w:rsid w:val="00CB4880"/>
    <w:rsid w:val="00CB499D"/>
    <w:rsid w:val="00CB4B25"/>
    <w:rsid w:val="00CB4F79"/>
    <w:rsid w:val="00CB56A7"/>
    <w:rsid w:val="00CB5C54"/>
    <w:rsid w:val="00CB6161"/>
    <w:rsid w:val="00CB69F8"/>
    <w:rsid w:val="00CB7295"/>
    <w:rsid w:val="00CB778C"/>
    <w:rsid w:val="00CC02E4"/>
    <w:rsid w:val="00CC0414"/>
    <w:rsid w:val="00CC0837"/>
    <w:rsid w:val="00CC0BFE"/>
    <w:rsid w:val="00CC1AD9"/>
    <w:rsid w:val="00CC1B0B"/>
    <w:rsid w:val="00CC1C1D"/>
    <w:rsid w:val="00CC20AE"/>
    <w:rsid w:val="00CC23EE"/>
    <w:rsid w:val="00CC258D"/>
    <w:rsid w:val="00CC2786"/>
    <w:rsid w:val="00CC2ECC"/>
    <w:rsid w:val="00CC350B"/>
    <w:rsid w:val="00CC369D"/>
    <w:rsid w:val="00CC37C0"/>
    <w:rsid w:val="00CC39A0"/>
    <w:rsid w:val="00CC3D71"/>
    <w:rsid w:val="00CC4187"/>
    <w:rsid w:val="00CC4293"/>
    <w:rsid w:val="00CC4556"/>
    <w:rsid w:val="00CC466E"/>
    <w:rsid w:val="00CC47CE"/>
    <w:rsid w:val="00CC498B"/>
    <w:rsid w:val="00CC4F3B"/>
    <w:rsid w:val="00CC541D"/>
    <w:rsid w:val="00CC54B0"/>
    <w:rsid w:val="00CC561C"/>
    <w:rsid w:val="00CC5ED8"/>
    <w:rsid w:val="00CC6156"/>
    <w:rsid w:val="00CC61B2"/>
    <w:rsid w:val="00CC660A"/>
    <w:rsid w:val="00CC6789"/>
    <w:rsid w:val="00CC67C4"/>
    <w:rsid w:val="00CC68D1"/>
    <w:rsid w:val="00CC6B18"/>
    <w:rsid w:val="00CC6E22"/>
    <w:rsid w:val="00CC710E"/>
    <w:rsid w:val="00CC7236"/>
    <w:rsid w:val="00CC72D2"/>
    <w:rsid w:val="00CC77EF"/>
    <w:rsid w:val="00CC790B"/>
    <w:rsid w:val="00CC79D7"/>
    <w:rsid w:val="00CD0271"/>
    <w:rsid w:val="00CD0D80"/>
    <w:rsid w:val="00CD0EDE"/>
    <w:rsid w:val="00CD1124"/>
    <w:rsid w:val="00CD1609"/>
    <w:rsid w:val="00CD1619"/>
    <w:rsid w:val="00CD16A2"/>
    <w:rsid w:val="00CD181D"/>
    <w:rsid w:val="00CD1901"/>
    <w:rsid w:val="00CD1F74"/>
    <w:rsid w:val="00CD21D0"/>
    <w:rsid w:val="00CD269B"/>
    <w:rsid w:val="00CD2762"/>
    <w:rsid w:val="00CD278F"/>
    <w:rsid w:val="00CD359C"/>
    <w:rsid w:val="00CD39FE"/>
    <w:rsid w:val="00CD3CA2"/>
    <w:rsid w:val="00CD3D49"/>
    <w:rsid w:val="00CD403B"/>
    <w:rsid w:val="00CD4336"/>
    <w:rsid w:val="00CD48AE"/>
    <w:rsid w:val="00CD510D"/>
    <w:rsid w:val="00CD52B3"/>
    <w:rsid w:val="00CD57F3"/>
    <w:rsid w:val="00CD5A26"/>
    <w:rsid w:val="00CD5A46"/>
    <w:rsid w:val="00CD5EA6"/>
    <w:rsid w:val="00CD658B"/>
    <w:rsid w:val="00CD696D"/>
    <w:rsid w:val="00CD69E0"/>
    <w:rsid w:val="00CD72D7"/>
    <w:rsid w:val="00CD7721"/>
    <w:rsid w:val="00CD780E"/>
    <w:rsid w:val="00CD7847"/>
    <w:rsid w:val="00CD7BE1"/>
    <w:rsid w:val="00CD7BFD"/>
    <w:rsid w:val="00CD7DE6"/>
    <w:rsid w:val="00CE01F4"/>
    <w:rsid w:val="00CE02F1"/>
    <w:rsid w:val="00CE0684"/>
    <w:rsid w:val="00CE09BD"/>
    <w:rsid w:val="00CE0E51"/>
    <w:rsid w:val="00CE0F49"/>
    <w:rsid w:val="00CE14BE"/>
    <w:rsid w:val="00CE16D1"/>
    <w:rsid w:val="00CE1766"/>
    <w:rsid w:val="00CE1A80"/>
    <w:rsid w:val="00CE1BB7"/>
    <w:rsid w:val="00CE20A7"/>
    <w:rsid w:val="00CE2202"/>
    <w:rsid w:val="00CE2DC2"/>
    <w:rsid w:val="00CE2ED0"/>
    <w:rsid w:val="00CE3483"/>
    <w:rsid w:val="00CE3716"/>
    <w:rsid w:val="00CE37EF"/>
    <w:rsid w:val="00CE3988"/>
    <w:rsid w:val="00CE3BD8"/>
    <w:rsid w:val="00CE3C23"/>
    <w:rsid w:val="00CE3E5A"/>
    <w:rsid w:val="00CE44C7"/>
    <w:rsid w:val="00CE477A"/>
    <w:rsid w:val="00CE4E16"/>
    <w:rsid w:val="00CE5591"/>
    <w:rsid w:val="00CE5778"/>
    <w:rsid w:val="00CE5A81"/>
    <w:rsid w:val="00CE5CA1"/>
    <w:rsid w:val="00CE5CD1"/>
    <w:rsid w:val="00CE5D16"/>
    <w:rsid w:val="00CE5DF0"/>
    <w:rsid w:val="00CE6166"/>
    <w:rsid w:val="00CE636F"/>
    <w:rsid w:val="00CE6B30"/>
    <w:rsid w:val="00CE6EAA"/>
    <w:rsid w:val="00CE6FD4"/>
    <w:rsid w:val="00CE70A7"/>
    <w:rsid w:val="00CE7223"/>
    <w:rsid w:val="00CE7339"/>
    <w:rsid w:val="00CE741B"/>
    <w:rsid w:val="00CE741D"/>
    <w:rsid w:val="00CE7579"/>
    <w:rsid w:val="00CE789E"/>
    <w:rsid w:val="00CE7929"/>
    <w:rsid w:val="00CE795A"/>
    <w:rsid w:val="00CE7A5F"/>
    <w:rsid w:val="00CE7C78"/>
    <w:rsid w:val="00CF0194"/>
    <w:rsid w:val="00CF01C1"/>
    <w:rsid w:val="00CF0BB0"/>
    <w:rsid w:val="00CF0BE6"/>
    <w:rsid w:val="00CF0F8F"/>
    <w:rsid w:val="00CF1004"/>
    <w:rsid w:val="00CF1253"/>
    <w:rsid w:val="00CF17EF"/>
    <w:rsid w:val="00CF1820"/>
    <w:rsid w:val="00CF1EBA"/>
    <w:rsid w:val="00CF23D2"/>
    <w:rsid w:val="00CF2B67"/>
    <w:rsid w:val="00CF2FFA"/>
    <w:rsid w:val="00CF3061"/>
    <w:rsid w:val="00CF3209"/>
    <w:rsid w:val="00CF3347"/>
    <w:rsid w:val="00CF38D3"/>
    <w:rsid w:val="00CF3940"/>
    <w:rsid w:val="00CF3AAA"/>
    <w:rsid w:val="00CF3C1C"/>
    <w:rsid w:val="00CF4390"/>
    <w:rsid w:val="00CF4C74"/>
    <w:rsid w:val="00CF4D2B"/>
    <w:rsid w:val="00CF5072"/>
    <w:rsid w:val="00CF52EF"/>
    <w:rsid w:val="00CF5549"/>
    <w:rsid w:val="00CF5599"/>
    <w:rsid w:val="00CF5C3E"/>
    <w:rsid w:val="00CF67B4"/>
    <w:rsid w:val="00CF6DC7"/>
    <w:rsid w:val="00CF6F43"/>
    <w:rsid w:val="00CF7496"/>
    <w:rsid w:val="00CF7569"/>
    <w:rsid w:val="00CF7623"/>
    <w:rsid w:val="00CF766A"/>
    <w:rsid w:val="00CF76D7"/>
    <w:rsid w:val="00CF78F1"/>
    <w:rsid w:val="00CF7CF2"/>
    <w:rsid w:val="00D004B8"/>
    <w:rsid w:val="00D00B71"/>
    <w:rsid w:val="00D01855"/>
    <w:rsid w:val="00D01E09"/>
    <w:rsid w:val="00D0249D"/>
    <w:rsid w:val="00D0370A"/>
    <w:rsid w:val="00D03BE7"/>
    <w:rsid w:val="00D040E3"/>
    <w:rsid w:val="00D04154"/>
    <w:rsid w:val="00D0415E"/>
    <w:rsid w:val="00D048B0"/>
    <w:rsid w:val="00D04A97"/>
    <w:rsid w:val="00D04CF6"/>
    <w:rsid w:val="00D050F0"/>
    <w:rsid w:val="00D05188"/>
    <w:rsid w:val="00D0528E"/>
    <w:rsid w:val="00D05784"/>
    <w:rsid w:val="00D062D1"/>
    <w:rsid w:val="00D06C52"/>
    <w:rsid w:val="00D06D15"/>
    <w:rsid w:val="00D0727A"/>
    <w:rsid w:val="00D072F8"/>
    <w:rsid w:val="00D07549"/>
    <w:rsid w:val="00D0764F"/>
    <w:rsid w:val="00D079B7"/>
    <w:rsid w:val="00D07C03"/>
    <w:rsid w:val="00D07D42"/>
    <w:rsid w:val="00D07E5B"/>
    <w:rsid w:val="00D07F1E"/>
    <w:rsid w:val="00D109E6"/>
    <w:rsid w:val="00D10BB5"/>
    <w:rsid w:val="00D10F6B"/>
    <w:rsid w:val="00D10FAC"/>
    <w:rsid w:val="00D110C2"/>
    <w:rsid w:val="00D11748"/>
    <w:rsid w:val="00D11FAF"/>
    <w:rsid w:val="00D12AF9"/>
    <w:rsid w:val="00D12C8B"/>
    <w:rsid w:val="00D12D37"/>
    <w:rsid w:val="00D13023"/>
    <w:rsid w:val="00D13943"/>
    <w:rsid w:val="00D14102"/>
    <w:rsid w:val="00D14A15"/>
    <w:rsid w:val="00D14F56"/>
    <w:rsid w:val="00D15734"/>
    <w:rsid w:val="00D15A58"/>
    <w:rsid w:val="00D15BD2"/>
    <w:rsid w:val="00D15C60"/>
    <w:rsid w:val="00D1615A"/>
    <w:rsid w:val="00D16558"/>
    <w:rsid w:val="00D16B20"/>
    <w:rsid w:val="00D16B7D"/>
    <w:rsid w:val="00D1700A"/>
    <w:rsid w:val="00D17012"/>
    <w:rsid w:val="00D17133"/>
    <w:rsid w:val="00D17378"/>
    <w:rsid w:val="00D173BF"/>
    <w:rsid w:val="00D174D1"/>
    <w:rsid w:val="00D17828"/>
    <w:rsid w:val="00D17F7D"/>
    <w:rsid w:val="00D2014A"/>
    <w:rsid w:val="00D20521"/>
    <w:rsid w:val="00D20641"/>
    <w:rsid w:val="00D20BAF"/>
    <w:rsid w:val="00D20C28"/>
    <w:rsid w:val="00D213B0"/>
    <w:rsid w:val="00D21429"/>
    <w:rsid w:val="00D214FF"/>
    <w:rsid w:val="00D219F4"/>
    <w:rsid w:val="00D224A5"/>
    <w:rsid w:val="00D22B0E"/>
    <w:rsid w:val="00D22F08"/>
    <w:rsid w:val="00D23347"/>
    <w:rsid w:val="00D2366C"/>
    <w:rsid w:val="00D2393A"/>
    <w:rsid w:val="00D23A4D"/>
    <w:rsid w:val="00D2400E"/>
    <w:rsid w:val="00D24A0C"/>
    <w:rsid w:val="00D24C55"/>
    <w:rsid w:val="00D24EED"/>
    <w:rsid w:val="00D25839"/>
    <w:rsid w:val="00D25CD0"/>
    <w:rsid w:val="00D26573"/>
    <w:rsid w:val="00D26641"/>
    <w:rsid w:val="00D2680E"/>
    <w:rsid w:val="00D26AB2"/>
    <w:rsid w:val="00D2713F"/>
    <w:rsid w:val="00D274A0"/>
    <w:rsid w:val="00D277BF"/>
    <w:rsid w:val="00D278E2"/>
    <w:rsid w:val="00D27BC7"/>
    <w:rsid w:val="00D27D35"/>
    <w:rsid w:val="00D302BA"/>
    <w:rsid w:val="00D3050C"/>
    <w:rsid w:val="00D31DEB"/>
    <w:rsid w:val="00D31E11"/>
    <w:rsid w:val="00D32180"/>
    <w:rsid w:val="00D32493"/>
    <w:rsid w:val="00D32856"/>
    <w:rsid w:val="00D32AB6"/>
    <w:rsid w:val="00D32F1B"/>
    <w:rsid w:val="00D33231"/>
    <w:rsid w:val="00D3347D"/>
    <w:rsid w:val="00D335DE"/>
    <w:rsid w:val="00D3373D"/>
    <w:rsid w:val="00D33F17"/>
    <w:rsid w:val="00D33FF4"/>
    <w:rsid w:val="00D345BC"/>
    <w:rsid w:val="00D3495D"/>
    <w:rsid w:val="00D349A2"/>
    <w:rsid w:val="00D350B3"/>
    <w:rsid w:val="00D35229"/>
    <w:rsid w:val="00D359EF"/>
    <w:rsid w:val="00D35A85"/>
    <w:rsid w:val="00D35CD3"/>
    <w:rsid w:val="00D3645C"/>
    <w:rsid w:val="00D364B7"/>
    <w:rsid w:val="00D364F4"/>
    <w:rsid w:val="00D36566"/>
    <w:rsid w:val="00D36DA6"/>
    <w:rsid w:val="00D36E93"/>
    <w:rsid w:val="00D37140"/>
    <w:rsid w:val="00D375D4"/>
    <w:rsid w:val="00D4042F"/>
    <w:rsid w:val="00D407CC"/>
    <w:rsid w:val="00D4095E"/>
    <w:rsid w:val="00D40EEB"/>
    <w:rsid w:val="00D4138D"/>
    <w:rsid w:val="00D419A7"/>
    <w:rsid w:val="00D419D8"/>
    <w:rsid w:val="00D41A64"/>
    <w:rsid w:val="00D41BE8"/>
    <w:rsid w:val="00D41C2A"/>
    <w:rsid w:val="00D41D79"/>
    <w:rsid w:val="00D41FF8"/>
    <w:rsid w:val="00D4212F"/>
    <w:rsid w:val="00D422FD"/>
    <w:rsid w:val="00D423DA"/>
    <w:rsid w:val="00D42406"/>
    <w:rsid w:val="00D42423"/>
    <w:rsid w:val="00D42436"/>
    <w:rsid w:val="00D4258F"/>
    <w:rsid w:val="00D427B9"/>
    <w:rsid w:val="00D42E2F"/>
    <w:rsid w:val="00D43354"/>
    <w:rsid w:val="00D43786"/>
    <w:rsid w:val="00D43A26"/>
    <w:rsid w:val="00D43C1A"/>
    <w:rsid w:val="00D43DE8"/>
    <w:rsid w:val="00D440EA"/>
    <w:rsid w:val="00D44431"/>
    <w:rsid w:val="00D44490"/>
    <w:rsid w:val="00D4452F"/>
    <w:rsid w:val="00D448FC"/>
    <w:rsid w:val="00D44B16"/>
    <w:rsid w:val="00D44BB3"/>
    <w:rsid w:val="00D44CF6"/>
    <w:rsid w:val="00D44EEC"/>
    <w:rsid w:val="00D4527A"/>
    <w:rsid w:val="00D458F9"/>
    <w:rsid w:val="00D45C4B"/>
    <w:rsid w:val="00D45C7F"/>
    <w:rsid w:val="00D45D18"/>
    <w:rsid w:val="00D45FD6"/>
    <w:rsid w:val="00D46239"/>
    <w:rsid w:val="00D464F5"/>
    <w:rsid w:val="00D46A6B"/>
    <w:rsid w:val="00D46BEA"/>
    <w:rsid w:val="00D46C3E"/>
    <w:rsid w:val="00D471C7"/>
    <w:rsid w:val="00D479A8"/>
    <w:rsid w:val="00D47A59"/>
    <w:rsid w:val="00D47B23"/>
    <w:rsid w:val="00D47C2B"/>
    <w:rsid w:val="00D47D9F"/>
    <w:rsid w:val="00D47E45"/>
    <w:rsid w:val="00D47FC0"/>
    <w:rsid w:val="00D505A0"/>
    <w:rsid w:val="00D5083C"/>
    <w:rsid w:val="00D50F59"/>
    <w:rsid w:val="00D51093"/>
    <w:rsid w:val="00D5119D"/>
    <w:rsid w:val="00D513CA"/>
    <w:rsid w:val="00D514D4"/>
    <w:rsid w:val="00D518B6"/>
    <w:rsid w:val="00D51B16"/>
    <w:rsid w:val="00D522BF"/>
    <w:rsid w:val="00D527B1"/>
    <w:rsid w:val="00D529CA"/>
    <w:rsid w:val="00D52AFA"/>
    <w:rsid w:val="00D52E38"/>
    <w:rsid w:val="00D53312"/>
    <w:rsid w:val="00D5355E"/>
    <w:rsid w:val="00D53B8C"/>
    <w:rsid w:val="00D54115"/>
    <w:rsid w:val="00D542E5"/>
    <w:rsid w:val="00D5440E"/>
    <w:rsid w:val="00D5473F"/>
    <w:rsid w:val="00D54B63"/>
    <w:rsid w:val="00D55335"/>
    <w:rsid w:val="00D556E3"/>
    <w:rsid w:val="00D55922"/>
    <w:rsid w:val="00D55AB7"/>
    <w:rsid w:val="00D55C28"/>
    <w:rsid w:val="00D56445"/>
    <w:rsid w:val="00D5668F"/>
    <w:rsid w:val="00D56969"/>
    <w:rsid w:val="00D56AA0"/>
    <w:rsid w:val="00D56D09"/>
    <w:rsid w:val="00D56DF4"/>
    <w:rsid w:val="00D56ED7"/>
    <w:rsid w:val="00D57AB0"/>
    <w:rsid w:val="00D6000C"/>
    <w:rsid w:val="00D6008C"/>
    <w:rsid w:val="00D6034F"/>
    <w:rsid w:val="00D6036F"/>
    <w:rsid w:val="00D6039C"/>
    <w:rsid w:val="00D60D08"/>
    <w:rsid w:val="00D60FA0"/>
    <w:rsid w:val="00D61EA4"/>
    <w:rsid w:val="00D61FFD"/>
    <w:rsid w:val="00D62371"/>
    <w:rsid w:val="00D628C1"/>
    <w:rsid w:val="00D62C7E"/>
    <w:rsid w:val="00D62E1E"/>
    <w:rsid w:val="00D62EA7"/>
    <w:rsid w:val="00D62EAF"/>
    <w:rsid w:val="00D63429"/>
    <w:rsid w:val="00D6416D"/>
    <w:rsid w:val="00D643E2"/>
    <w:rsid w:val="00D64939"/>
    <w:rsid w:val="00D649DE"/>
    <w:rsid w:val="00D64D20"/>
    <w:rsid w:val="00D65228"/>
    <w:rsid w:val="00D6573D"/>
    <w:rsid w:val="00D657D0"/>
    <w:rsid w:val="00D65984"/>
    <w:rsid w:val="00D65B5B"/>
    <w:rsid w:val="00D662B8"/>
    <w:rsid w:val="00D66518"/>
    <w:rsid w:val="00D665C8"/>
    <w:rsid w:val="00D66CF2"/>
    <w:rsid w:val="00D67944"/>
    <w:rsid w:val="00D67C80"/>
    <w:rsid w:val="00D706C9"/>
    <w:rsid w:val="00D707AB"/>
    <w:rsid w:val="00D70902"/>
    <w:rsid w:val="00D70E21"/>
    <w:rsid w:val="00D71213"/>
    <w:rsid w:val="00D71293"/>
    <w:rsid w:val="00D712AD"/>
    <w:rsid w:val="00D71314"/>
    <w:rsid w:val="00D71510"/>
    <w:rsid w:val="00D717E7"/>
    <w:rsid w:val="00D71C9F"/>
    <w:rsid w:val="00D722FD"/>
    <w:rsid w:val="00D72B2C"/>
    <w:rsid w:val="00D72C18"/>
    <w:rsid w:val="00D72DE5"/>
    <w:rsid w:val="00D72DF8"/>
    <w:rsid w:val="00D7333B"/>
    <w:rsid w:val="00D735F2"/>
    <w:rsid w:val="00D738DC"/>
    <w:rsid w:val="00D738F4"/>
    <w:rsid w:val="00D73A93"/>
    <w:rsid w:val="00D741C7"/>
    <w:rsid w:val="00D7425E"/>
    <w:rsid w:val="00D74716"/>
    <w:rsid w:val="00D747BA"/>
    <w:rsid w:val="00D74D5D"/>
    <w:rsid w:val="00D74E5D"/>
    <w:rsid w:val="00D753BD"/>
    <w:rsid w:val="00D75487"/>
    <w:rsid w:val="00D754AE"/>
    <w:rsid w:val="00D75A01"/>
    <w:rsid w:val="00D75CF0"/>
    <w:rsid w:val="00D76371"/>
    <w:rsid w:val="00D76443"/>
    <w:rsid w:val="00D7692E"/>
    <w:rsid w:val="00D76DA5"/>
    <w:rsid w:val="00D76F33"/>
    <w:rsid w:val="00D77041"/>
    <w:rsid w:val="00D775F2"/>
    <w:rsid w:val="00D77946"/>
    <w:rsid w:val="00D77A31"/>
    <w:rsid w:val="00D77EC6"/>
    <w:rsid w:val="00D80066"/>
    <w:rsid w:val="00D808BF"/>
    <w:rsid w:val="00D80AF0"/>
    <w:rsid w:val="00D811D4"/>
    <w:rsid w:val="00D81781"/>
    <w:rsid w:val="00D8180B"/>
    <w:rsid w:val="00D8199B"/>
    <w:rsid w:val="00D81E55"/>
    <w:rsid w:val="00D823B5"/>
    <w:rsid w:val="00D82C38"/>
    <w:rsid w:val="00D83334"/>
    <w:rsid w:val="00D83348"/>
    <w:rsid w:val="00D8372A"/>
    <w:rsid w:val="00D83930"/>
    <w:rsid w:val="00D83C8F"/>
    <w:rsid w:val="00D83D6B"/>
    <w:rsid w:val="00D83DAD"/>
    <w:rsid w:val="00D840CD"/>
    <w:rsid w:val="00D8441E"/>
    <w:rsid w:val="00D8448A"/>
    <w:rsid w:val="00D845A4"/>
    <w:rsid w:val="00D84B94"/>
    <w:rsid w:val="00D84FAB"/>
    <w:rsid w:val="00D85375"/>
    <w:rsid w:val="00D857C6"/>
    <w:rsid w:val="00D8583E"/>
    <w:rsid w:val="00D85BD3"/>
    <w:rsid w:val="00D85C6A"/>
    <w:rsid w:val="00D85F70"/>
    <w:rsid w:val="00D87689"/>
    <w:rsid w:val="00D8778E"/>
    <w:rsid w:val="00D87916"/>
    <w:rsid w:val="00D903B0"/>
    <w:rsid w:val="00D90538"/>
    <w:rsid w:val="00D90762"/>
    <w:rsid w:val="00D90782"/>
    <w:rsid w:val="00D9095C"/>
    <w:rsid w:val="00D90A2E"/>
    <w:rsid w:val="00D90C08"/>
    <w:rsid w:val="00D90E76"/>
    <w:rsid w:val="00D9172E"/>
    <w:rsid w:val="00D91C3C"/>
    <w:rsid w:val="00D91E89"/>
    <w:rsid w:val="00D92A6F"/>
    <w:rsid w:val="00D92B75"/>
    <w:rsid w:val="00D92C61"/>
    <w:rsid w:val="00D932C7"/>
    <w:rsid w:val="00D93614"/>
    <w:rsid w:val="00D93AD6"/>
    <w:rsid w:val="00D943DB"/>
    <w:rsid w:val="00D948F4"/>
    <w:rsid w:val="00D94B68"/>
    <w:rsid w:val="00D94D14"/>
    <w:rsid w:val="00D950C9"/>
    <w:rsid w:val="00D9520F"/>
    <w:rsid w:val="00D953CB"/>
    <w:rsid w:val="00D95631"/>
    <w:rsid w:val="00D96251"/>
    <w:rsid w:val="00D964BA"/>
    <w:rsid w:val="00D967D1"/>
    <w:rsid w:val="00D96878"/>
    <w:rsid w:val="00D96D71"/>
    <w:rsid w:val="00D96D94"/>
    <w:rsid w:val="00D97509"/>
    <w:rsid w:val="00D975C7"/>
    <w:rsid w:val="00D97783"/>
    <w:rsid w:val="00DA03DA"/>
    <w:rsid w:val="00DA0482"/>
    <w:rsid w:val="00DA078A"/>
    <w:rsid w:val="00DA0AD1"/>
    <w:rsid w:val="00DA0C4E"/>
    <w:rsid w:val="00DA0D1D"/>
    <w:rsid w:val="00DA150A"/>
    <w:rsid w:val="00DA1659"/>
    <w:rsid w:val="00DA169B"/>
    <w:rsid w:val="00DA19D0"/>
    <w:rsid w:val="00DA1C5F"/>
    <w:rsid w:val="00DA1FF3"/>
    <w:rsid w:val="00DA2585"/>
    <w:rsid w:val="00DA2732"/>
    <w:rsid w:val="00DA2B02"/>
    <w:rsid w:val="00DA2DE3"/>
    <w:rsid w:val="00DA3A90"/>
    <w:rsid w:val="00DA3E97"/>
    <w:rsid w:val="00DA3EB8"/>
    <w:rsid w:val="00DA404A"/>
    <w:rsid w:val="00DA4092"/>
    <w:rsid w:val="00DA45E5"/>
    <w:rsid w:val="00DA4604"/>
    <w:rsid w:val="00DA53AE"/>
    <w:rsid w:val="00DA546B"/>
    <w:rsid w:val="00DA5ECC"/>
    <w:rsid w:val="00DA610C"/>
    <w:rsid w:val="00DA627B"/>
    <w:rsid w:val="00DA6310"/>
    <w:rsid w:val="00DA6659"/>
    <w:rsid w:val="00DA68E8"/>
    <w:rsid w:val="00DA6CB1"/>
    <w:rsid w:val="00DA7372"/>
    <w:rsid w:val="00DA73BA"/>
    <w:rsid w:val="00DA757C"/>
    <w:rsid w:val="00DA75CB"/>
    <w:rsid w:val="00DA799C"/>
    <w:rsid w:val="00DA7C5A"/>
    <w:rsid w:val="00DA7CAE"/>
    <w:rsid w:val="00DA7E9B"/>
    <w:rsid w:val="00DB0550"/>
    <w:rsid w:val="00DB14F1"/>
    <w:rsid w:val="00DB17FB"/>
    <w:rsid w:val="00DB1C8E"/>
    <w:rsid w:val="00DB1D06"/>
    <w:rsid w:val="00DB222C"/>
    <w:rsid w:val="00DB2830"/>
    <w:rsid w:val="00DB2BE6"/>
    <w:rsid w:val="00DB2BE8"/>
    <w:rsid w:val="00DB31CC"/>
    <w:rsid w:val="00DB31D4"/>
    <w:rsid w:val="00DB334B"/>
    <w:rsid w:val="00DB37D0"/>
    <w:rsid w:val="00DB3BA7"/>
    <w:rsid w:val="00DB3DBE"/>
    <w:rsid w:val="00DB4243"/>
    <w:rsid w:val="00DB4358"/>
    <w:rsid w:val="00DB4857"/>
    <w:rsid w:val="00DB4BAF"/>
    <w:rsid w:val="00DB4DD1"/>
    <w:rsid w:val="00DB4F31"/>
    <w:rsid w:val="00DB54B8"/>
    <w:rsid w:val="00DB57BB"/>
    <w:rsid w:val="00DB5A72"/>
    <w:rsid w:val="00DB5DD6"/>
    <w:rsid w:val="00DB6484"/>
    <w:rsid w:val="00DB6AF1"/>
    <w:rsid w:val="00DB6D50"/>
    <w:rsid w:val="00DB6D6E"/>
    <w:rsid w:val="00DB741C"/>
    <w:rsid w:val="00DB78FC"/>
    <w:rsid w:val="00DB7959"/>
    <w:rsid w:val="00DB7A6E"/>
    <w:rsid w:val="00DBA547"/>
    <w:rsid w:val="00DC06E6"/>
    <w:rsid w:val="00DC09C7"/>
    <w:rsid w:val="00DC0BD4"/>
    <w:rsid w:val="00DC0CAB"/>
    <w:rsid w:val="00DC0CE0"/>
    <w:rsid w:val="00DC105F"/>
    <w:rsid w:val="00DC13BD"/>
    <w:rsid w:val="00DC1DF5"/>
    <w:rsid w:val="00DC2701"/>
    <w:rsid w:val="00DC2895"/>
    <w:rsid w:val="00DC2927"/>
    <w:rsid w:val="00DC30F9"/>
    <w:rsid w:val="00DC3301"/>
    <w:rsid w:val="00DC3ADE"/>
    <w:rsid w:val="00DC3B5A"/>
    <w:rsid w:val="00DC3C48"/>
    <w:rsid w:val="00DC3EA2"/>
    <w:rsid w:val="00DC3F06"/>
    <w:rsid w:val="00DC4D7F"/>
    <w:rsid w:val="00DC4F21"/>
    <w:rsid w:val="00DC5304"/>
    <w:rsid w:val="00DC53F7"/>
    <w:rsid w:val="00DC5846"/>
    <w:rsid w:val="00DC5A1A"/>
    <w:rsid w:val="00DC5EC3"/>
    <w:rsid w:val="00DC6685"/>
    <w:rsid w:val="00DC6962"/>
    <w:rsid w:val="00DC6CC1"/>
    <w:rsid w:val="00DC6DF9"/>
    <w:rsid w:val="00DC6EBF"/>
    <w:rsid w:val="00DC797E"/>
    <w:rsid w:val="00DC7EFE"/>
    <w:rsid w:val="00DD07FA"/>
    <w:rsid w:val="00DD0927"/>
    <w:rsid w:val="00DD0A0A"/>
    <w:rsid w:val="00DD0C52"/>
    <w:rsid w:val="00DD0C82"/>
    <w:rsid w:val="00DD1457"/>
    <w:rsid w:val="00DD156E"/>
    <w:rsid w:val="00DD1DCE"/>
    <w:rsid w:val="00DD1DFA"/>
    <w:rsid w:val="00DD2190"/>
    <w:rsid w:val="00DD26FE"/>
    <w:rsid w:val="00DD2C0D"/>
    <w:rsid w:val="00DD3231"/>
    <w:rsid w:val="00DD32A1"/>
    <w:rsid w:val="00DD337B"/>
    <w:rsid w:val="00DD3566"/>
    <w:rsid w:val="00DD37B6"/>
    <w:rsid w:val="00DD38BA"/>
    <w:rsid w:val="00DD398C"/>
    <w:rsid w:val="00DD45EA"/>
    <w:rsid w:val="00DD47EB"/>
    <w:rsid w:val="00DD47FC"/>
    <w:rsid w:val="00DD4A05"/>
    <w:rsid w:val="00DD4B16"/>
    <w:rsid w:val="00DD4CC3"/>
    <w:rsid w:val="00DD524F"/>
    <w:rsid w:val="00DD53E3"/>
    <w:rsid w:val="00DD53ED"/>
    <w:rsid w:val="00DD55D1"/>
    <w:rsid w:val="00DD5620"/>
    <w:rsid w:val="00DD58DA"/>
    <w:rsid w:val="00DD5A57"/>
    <w:rsid w:val="00DD5E91"/>
    <w:rsid w:val="00DD60DE"/>
    <w:rsid w:val="00DD627D"/>
    <w:rsid w:val="00DD62DD"/>
    <w:rsid w:val="00DD643D"/>
    <w:rsid w:val="00DD6F46"/>
    <w:rsid w:val="00DD6FB4"/>
    <w:rsid w:val="00DD7734"/>
    <w:rsid w:val="00DD7FD1"/>
    <w:rsid w:val="00DE0003"/>
    <w:rsid w:val="00DE0112"/>
    <w:rsid w:val="00DE0179"/>
    <w:rsid w:val="00DE01EE"/>
    <w:rsid w:val="00DE0286"/>
    <w:rsid w:val="00DE0853"/>
    <w:rsid w:val="00DE0941"/>
    <w:rsid w:val="00DE0AC0"/>
    <w:rsid w:val="00DE0B24"/>
    <w:rsid w:val="00DE0E89"/>
    <w:rsid w:val="00DE0EA4"/>
    <w:rsid w:val="00DE17FB"/>
    <w:rsid w:val="00DE1C51"/>
    <w:rsid w:val="00DE1D94"/>
    <w:rsid w:val="00DE2303"/>
    <w:rsid w:val="00DE24AC"/>
    <w:rsid w:val="00DE25EE"/>
    <w:rsid w:val="00DE2DB3"/>
    <w:rsid w:val="00DE2F00"/>
    <w:rsid w:val="00DE2F09"/>
    <w:rsid w:val="00DE2F31"/>
    <w:rsid w:val="00DE3081"/>
    <w:rsid w:val="00DE30DB"/>
    <w:rsid w:val="00DE38C1"/>
    <w:rsid w:val="00DE3D3F"/>
    <w:rsid w:val="00DE3EF3"/>
    <w:rsid w:val="00DE3F07"/>
    <w:rsid w:val="00DE438F"/>
    <w:rsid w:val="00DE4BC2"/>
    <w:rsid w:val="00DE5306"/>
    <w:rsid w:val="00DE53F8"/>
    <w:rsid w:val="00DE542B"/>
    <w:rsid w:val="00DE556D"/>
    <w:rsid w:val="00DE5688"/>
    <w:rsid w:val="00DE5AB8"/>
    <w:rsid w:val="00DE5B5F"/>
    <w:rsid w:val="00DE5B76"/>
    <w:rsid w:val="00DE5E1F"/>
    <w:rsid w:val="00DE5F02"/>
    <w:rsid w:val="00DE63D1"/>
    <w:rsid w:val="00DE640A"/>
    <w:rsid w:val="00DE642C"/>
    <w:rsid w:val="00DE6627"/>
    <w:rsid w:val="00DE6642"/>
    <w:rsid w:val="00DE6727"/>
    <w:rsid w:val="00DE67C5"/>
    <w:rsid w:val="00DE6824"/>
    <w:rsid w:val="00DE68AC"/>
    <w:rsid w:val="00DE6D9D"/>
    <w:rsid w:val="00DE6E5E"/>
    <w:rsid w:val="00DE6FC6"/>
    <w:rsid w:val="00DE70FA"/>
    <w:rsid w:val="00DE7306"/>
    <w:rsid w:val="00DE770C"/>
    <w:rsid w:val="00DE7927"/>
    <w:rsid w:val="00DE7DAF"/>
    <w:rsid w:val="00DE942C"/>
    <w:rsid w:val="00DF0285"/>
    <w:rsid w:val="00DF0AA6"/>
    <w:rsid w:val="00DF0D9E"/>
    <w:rsid w:val="00DF10F6"/>
    <w:rsid w:val="00DF158C"/>
    <w:rsid w:val="00DF17A6"/>
    <w:rsid w:val="00DF19E6"/>
    <w:rsid w:val="00DF1B8F"/>
    <w:rsid w:val="00DF1CA6"/>
    <w:rsid w:val="00DF1D47"/>
    <w:rsid w:val="00DF1EFC"/>
    <w:rsid w:val="00DF237C"/>
    <w:rsid w:val="00DF284C"/>
    <w:rsid w:val="00DF2B85"/>
    <w:rsid w:val="00DF2DBB"/>
    <w:rsid w:val="00DF3447"/>
    <w:rsid w:val="00DF35E2"/>
    <w:rsid w:val="00DF3A23"/>
    <w:rsid w:val="00DF3FF7"/>
    <w:rsid w:val="00DF4646"/>
    <w:rsid w:val="00DF4C9F"/>
    <w:rsid w:val="00DF4E7B"/>
    <w:rsid w:val="00DF4F78"/>
    <w:rsid w:val="00DF523E"/>
    <w:rsid w:val="00DF5394"/>
    <w:rsid w:val="00DF5A94"/>
    <w:rsid w:val="00DF5AE7"/>
    <w:rsid w:val="00DF6687"/>
    <w:rsid w:val="00DF6A9D"/>
    <w:rsid w:val="00DF6D30"/>
    <w:rsid w:val="00DF6FD8"/>
    <w:rsid w:val="00DF71D1"/>
    <w:rsid w:val="00DF721F"/>
    <w:rsid w:val="00DF761D"/>
    <w:rsid w:val="00DF7E17"/>
    <w:rsid w:val="00E00237"/>
    <w:rsid w:val="00E00478"/>
    <w:rsid w:val="00E007AF"/>
    <w:rsid w:val="00E00D8C"/>
    <w:rsid w:val="00E00E9D"/>
    <w:rsid w:val="00E00FBC"/>
    <w:rsid w:val="00E0163A"/>
    <w:rsid w:val="00E01F0E"/>
    <w:rsid w:val="00E021BC"/>
    <w:rsid w:val="00E02414"/>
    <w:rsid w:val="00E02773"/>
    <w:rsid w:val="00E02C3C"/>
    <w:rsid w:val="00E02C62"/>
    <w:rsid w:val="00E02C74"/>
    <w:rsid w:val="00E02D61"/>
    <w:rsid w:val="00E02D9F"/>
    <w:rsid w:val="00E02EE1"/>
    <w:rsid w:val="00E03020"/>
    <w:rsid w:val="00E03349"/>
    <w:rsid w:val="00E03501"/>
    <w:rsid w:val="00E035BF"/>
    <w:rsid w:val="00E036FE"/>
    <w:rsid w:val="00E03D54"/>
    <w:rsid w:val="00E0401D"/>
    <w:rsid w:val="00E044FB"/>
    <w:rsid w:val="00E046FF"/>
    <w:rsid w:val="00E047AB"/>
    <w:rsid w:val="00E048A1"/>
    <w:rsid w:val="00E04D16"/>
    <w:rsid w:val="00E04F57"/>
    <w:rsid w:val="00E05B43"/>
    <w:rsid w:val="00E0607B"/>
    <w:rsid w:val="00E06400"/>
    <w:rsid w:val="00E06626"/>
    <w:rsid w:val="00E07081"/>
    <w:rsid w:val="00E070A7"/>
    <w:rsid w:val="00E07293"/>
    <w:rsid w:val="00E105DE"/>
    <w:rsid w:val="00E1071F"/>
    <w:rsid w:val="00E108E3"/>
    <w:rsid w:val="00E109C7"/>
    <w:rsid w:val="00E10AC7"/>
    <w:rsid w:val="00E10E0E"/>
    <w:rsid w:val="00E1102E"/>
    <w:rsid w:val="00E11172"/>
    <w:rsid w:val="00E11867"/>
    <w:rsid w:val="00E11A89"/>
    <w:rsid w:val="00E11BDB"/>
    <w:rsid w:val="00E11BE4"/>
    <w:rsid w:val="00E11DDD"/>
    <w:rsid w:val="00E12973"/>
    <w:rsid w:val="00E132CF"/>
    <w:rsid w:val="00E13B71"/>
    <w:rsid w:val="00E13E21"/>
    <w:rsid w:val="00E14280"/>
    <w:rsid w:val="00E143F0"/>
    <w:rsid w:val="00E143FA"/>
    <w:rsid w:val="00E148F6"/>
    <w:rsid w:val="00E14CB9"/>
    <w:rsid w:val="00E14FC2"/>
    <w:rsid w:val="00E15092"/>
    <w:rsid w:val="00E1519B"/>
    <w:rsid w:val="00E15219"/>
    <w:rsid w:val="00E1545B"/>
    <w:rsid w:val="00E15466"/>
    <w:rsid w:val="00E15492"/>
    <w:rsid w:val="00E15557"/>
    <w:rsid w:val="00E15B53"/>
    <w:rsid w:val="00E15CAA"/>
    <w:rsid w:val="00E15DC4"/>
    <w:rsid w:val="00E15DF7"/>
    <w:rsid w:val="00E161E7"/>
    <w:rsid w:val="00E16253"/>
    <w:rsid w:val="00E16631"/>
    <w:rsid w:val="00E1684A"/>
    <w:rsid w:val="00E16CCC"/>
    <w:rsid w:val="00E1773B"/>
    <w:rsid w:val="00E178CB"/>
    <w:rsid w:val="00E179B6"/>
    <w:rsid w:val="00E17D3A"/>
    <w:rsid w:val="00E1E9FA"/>
    <w:rsid w:val="00E20F35"/>
    <w:rsid w:val="00E21086"/>
    <w:rsid w:val="00E2167A"/>
    <w:rsid w:val="00E21B41"/>
    <w:rsid w:val="00E22027"/>
    <w:rsid w:val="00E220BE"/>
    <w:rsid w:val="00E2226F"/>
    <w:rsid w:val="00E226AF"/>
    <w:rsid w:val="00E22771"/>
    <w:rsid w:val="00E22A0C"/>
    <w:rsid w:val="00E22B53"/>
    <w:rsid w:val="00E22F1D"/>
    <w:rsid w:val="00E23264"/>
    <w:rsid w:val="00E232AA"/>
    <w:rsid w:val="00E23306"/>
    <w:rsid w:val="00E235FD"/>
    <w:rsid w:val="00E23BEF"/>
    <w:rsid w:val="00E23DFE"/>
    <w:rsid w:val="00E23E04"/>
    <w:rsid w:val="00E23E59"/>
    <w:rsid w:val="00E242BB"/>
    <w:rsid w:val="00E24938"/>
    <w:rsid w:val="00E24A55"/>
    <w:rsid w:val="00E24A7B"/>
    <w:rsid w:val="00E24BAB"/>
    <w:rsid w:val="00E24C8D"/>
    <w:rsid w:val="00E252CC"/>
    <w:rsid w:val="00E2570B"/>
    <w:rsid w:val="00E25B35"/>
    <w:rsid w:val="00E25D7A"/>
    <w:rsid w:val="00E25E60"/>
    <w:rsid w:val="00E26420"/>
    <w:rsid w:val="00E266EF"/>
    <w:rsid w:val="00E270B4"/>
    <w:rsid w:val="00E2715F"/>
    <w:rsid w:val="00E27255"/>
    <w:rsid w:val="00E2784C"/>
    <w:rsid w:val="00E2797B"/>
    <w:rsid w:val="00E27DBC"/>
    <w:rsid w:val="00E27E13"/>
    <w:rsid w:val="00E27FD7"/>
    <w:rsid w:val="00E300D7"/>
    <w:rsid w:val="00E30176"/>
    <w:rsid w:val="00E301EB"/>
    <w:rsid w:val="00E3047D"/>
    <w:rsid w:val="00E30646"/>
    <w:rsid w:val="00E309FE"/>
    <w:rsid w:val="00E31030"/>
    <w:rsid w:val="00E3103A"/>
    <w:rsid w:val="00E31341"/>
    <w:rsid w:val="00E3196A"/>
    <w:rsid w:val="00E31AAA"/>
    <w:rsid w:val="00E31B6D"/>
    <w:rsid w:val="00E31D6C"/>
    <w:rsid w:val="00E31E4A"/>
    <w:rsid w:val="00E326E1"/>
    <w:rsid w:val="00E32E15"/>
    <w:rsid w:val="00E32E45"/>
    <w:rsid w:val="00E333F7"/>
    <w:rsid w:val="00E33877"/>
    <w:rsid w:val="00E33C5A"/>
    <w:rsid w:val="00E33CC6"/>
    <w:rsid w:val="00E33EDE"/>
    <w:rsid w:val="00E3415C"/>
    <w:rsid w:val="00E346F2"/>
    <w:rsid w:val="00E348E7"/>
    <w:rsid w:val="00E34A11"/>
    <w:rsid w:val="00E34AD4"/>
    <w:rsid w:val="00E34C50"/>
    <w:rsid w:val="00E3514F"/>
    <w:rsid w:val="00E35195"/>
    <w:rsid w:val="00E35286"/>
    <w:rsid w:val="00E352EC"/>
    <w:rsid w:val="00E3583B"/>
    <w:rsid w:val="00E35A87"/>
    <w:rsid w:val="00E35B0E"/>
    <w:rsid w:val="00E35F17"/>
    <w:rsid w:val="00E35F3E"/>
    <w:rsid w:val="00E35FC8"/>
    <w:rsid w:val="00E362EA"/>
    <w:rsid w:val="00E3644A"/>
    <w:rsid w:val="00E369D8"/>
    <w:rsid w:val="00E36ACD"/>
    <w:rsid w:val="00E36C36"/>
    <w:rsid w:val="00E371E8"/>
    <w:rsid w:val="00E37282"/>
    <w:rsid w:val="00E37953"/>
    <w:rsid w:val="00E37B6B"/>
    <w:rsid w:val="00E37BEF"/>
    <w:rsid w:val="00E403C8"/>
    <w:rsid w:val="00E405AC"/>
    <w:rsid w:val="00E409D3"/>
    <w:rsid w:val="00E40F5F"/>
    <w:rsid w:val="00E4104E"/>
    <w:rsid w:val="00E412C5"/>
    <w:rsid w:val="00E41380"/>
    <w:rsid w:val="00E41609"/>
    <w:rsid w:val="00E41B55"/>
    <w:rsid w:val="00E42018"/>
    <w:rsid w:val="00E42166"/>
    <w:rsid w:val="00E42319"/>
    <w:rsid w:val="00E42632"/>
    <w:rsid w:val="00E42671"/>
    <w:rsid w:val="00E4286E"/>
    <w:rsid w:val="00E42A4B"/>
    <w:rsid w:val="00E42B6A"/>
    <w:rsid w:val="00E42E95"/>
    <w:rsid w:val="00E439AD"/>
    <w:rsid w:val="00E43A5B"/>
    <w:rsid w:val="00E44308"/>
    <w:rsid w:val="00E444A5"/>
    <w:rsid w:val="00E445A3"/>
    <w:rsid w:val="00E445D5"/>
    <w:rsid w:val="00E449C8"/>
    <w:rsid w:val="00E44C82"/>
    <w:rsid w:val="00E44CF3"/>
    <w:rsid w:val="00E4555A"/>
    <w:rsid w:val="00E455F8"/>
    <w:rsid w:val="00E456CD"/>
    <w:rsid w:val="00E45942"/>
    <w:rsid w:val="00E45D73"/>
    <w:rsid w:val="00E45DCE"/>
    <w:rsid w:val="00E45E3D"/>
    <w:rsid w:val="00E45F74"/>
    <w:rsid w:val="00E46676"/>
    <w:rsid w:val="00E46EC6"/>
    <w:rsid w:val="00E473E5"/>
    <w:rsid w:val="00E476ED"/>
    <w:rsid w:val="00E4781E"/>
    <w:rsid w:val="00E47D1B"/>
    <w:rsid w:val="00E5067B"/>
    <w:rsid w:val="00E5071E"/>
    <w:rsid w:val="00E50906"/>
    <w:rsid w:val="00E50A36"/>
    <w:rsid w:val="00E50A4E"/>
    <w:rsid w:val="00E50CF5"/>
    <w:rsid w:val="00E515B8"/>
    <w:rsid w:val="00E5166B"/>
    <w:rsid w:val="00E518D8"/>
    <w:rsid w:val="00E51A73"/>
    <w:rsid w:val="00E51B55"/>
    <w:rsid w:val="00E520A3"/>
    <w:rsid w:val="00E526C3"/>
    <w:rsid w:val="00E52843"/>
    <w:rsid w:val="00E52AA3"/>
    <w:rsid w:val="00E52B17"/>
    <w:rsid w:val="00E52BA3"/>
    <w:rsid w:val="00E53018"/>
    <w:rsid w:val="00E53635"/>
    <w:rsid w:val="00E5364D"/>
    <w:rsid w:val="00E53927"/>
    <w:rsid w:val="00E53D46"/>
    <w:rsid w:val="00E547D6"/>
    <w:rsid w:val="00E54BA9"/>
    <w:rsid w:val="00E54CC6"/>
    <w:rsid w:val="00E54D46"/>
    <w:rsid w:val="00E55496"/>
    <w:rsid w:val="00E5587E"/>
    <w:rsid w:val="00E558CD"/>
    <w:rsid w:val="00E55D3E"/>
    <w:rsid w:val="00E55FC3"/>
    <w:rsid w:val="00E5635D"/>
    <w:rsid w:val="00E5640F"/>
    <w:rsid w:val="00E569E9"/>
    <w:rsid w:val="00E56B0A"/>
    <w:rsid w:val="00E57199"/>
    <w:rsid w:val="00E57327"/>
    <w:rsid w:val="00E57453"/>
    <w:rsid w:val="00E57498"/>
    <w:rsid w:val="00E57743"/>
    <w:rsid w:val="00E57FD3"/>
    <w:rsid w:val="00E57FF3"/>
    <w:rsid w:val="00E603D1"/>
    <w:rsid w:val="00E6055E"/>
    <w:rsid w:val="00E60673"/>
    <w:rsid w:val="00E60736"/>
    <w:rsid w:val="00E60789"/>
    <w:rsid w:val="00E60A6F"/>
    <w:rsid w:val="00E60C27"/>
    <w:rsid w:val="00E61257"/>
    <w:rsid w:val="00E61447"/>
    <w:rsid w:val="00E619F9"/>
    <w:rsid w:val="00E620AF"/>
    <w:rsid w:val="00E62226"/>
    <w:rsid w:val="00E62613"/>
    <w:rsid w:val="00E6297B"/>
    <w:rsid w:val="00E62BCC"/>
    <w:rsid w:val="00E62D2E"/>
    <w:rsid w:val="00E62D3E"/>
    <w:rsid w:val="00E6308A"/>
    <w:rsid w:val="00E632FF"/>
    <w:rsid w:val="00E633EF"/>
    <w:rsid w:val="00E63629"/>
    <w:rsid w:val="00E63C96"/>
    <w:rsid w:val="00E63D26"/>
    <w:rsid w:val="00E6412E"/>
    <w:rsid w:val="00E646DE"/>
    <w:rsid w:val="00E648DE"/>
    <w:rsid w:val="00E64995"/>
    <w:rsid w:val="00E64A2A"/>
    <w:rsid w:val="00E651AA"/>
    <w:rsid w:val="00E6556A"/>
    <w:rsid w:val="00E66026"/>
    <w:rsid w:val="00E66513"/>
    <w:rsid w:val="00E666A8"/>
    <w:rsid w:val="00E66818"/>
    <w:rsid w:val="00E66A5E"/>
    <w:rsid w:val="00E66C5E"/>
    <w:rsid w:val="00E67081"/>
    <w:rsid w:val="00E6738E"/>
    <w:rsid w:val="00E6747A"/>
    <w:rsid w:val="00E67A0E"/>
    <w:rsid w:val="00E67A13"/>
    <w:rsid w:val="00E67B27"/>
    <w:rsid w:val="00E70352"/>
    <w:rsid w:val="00E7079B"/>
    <w:rsid w:val="00E70850"/>
    <w:rsid w:val="00E70B33"/>
    <w:rsid w:val="00E70EEC"/>
    <w:rsid w:val="00E7114D"/>
    <w:rsid w:val="00E7199F"/>
    <w:rsid w:val="00E71CC2"/>
    <w:rsid w:val="00E71D7D"/>
    <w:rsid w:val="00E71F75"/>
    <w:rsid w:val="00E721F9"/>
    <w:rsid w:val="00E7286D"/>
    <w:rsid w:val="00E73064"/>
    <w:rsid w:val="00E73185"/>
    <w:rsid w:val="00E74AC8"/>
    <w:rsid w:val="00E74CC5"/>
    <w:rsid w:val="00E74D76"/>
    <w:rsid w:val="00E75000"/>
    <w:rsid w:val="00E75390"/>
    <w:rsid w:val="00E758ED"/>
    <w:rsid w:val="00E762A6"/>
    <w:rsid w:val="00E76440"/>
    <w:rsid w:val="00E7669C"/>
    <w:rsid w:val="00E76820"/>
    <w:rsid w:val="00E7688D"/>
    <w:rsid w:val="00E76941"/>
    <w:rsid w:val="00E76BC5"/>
    <w:rsid w:val="00E76C14"/>
    <w:rsid w:val="00E76E29"/>
    <w:rsid w:val="00E76ED9"/>
    <w:rsid w:val="00E77129"/>
    <w:rsid w:val="00E77259"/>
    <w:rsid w:val="00E77323"/>
    <w:rsid w:val="00E77767"/>
    <w:rsid w:val="00E77B47"/>
    <w:rsid w:val="00E77E9B"/>
    <w:rsid w:val="00E803CF"/>
    <w:rsid w:val="00E80794"/>
    <w:rsid w:val="00E807F7"/>
    <w:rsid w:val="00E80E40"/>
    <w:rsid w:val="00E8188E"/>
    <w:rsid w:val="00E81891"/>
    <w:rsid w:val="00E8196A"/>
    <w:rsid w:val="00E819EC"/>
    <w:rsid w:val="00E81A77"/>
    <w:rsid w:val="00E81B60"/>
    <w:rsid w:val="00E820A1"/>
    <w:rsid w:val="00E8228A"/>
    <w:rsid w:val="00E822D1"/>
    <w:rsid w:val="00E82CD3"/>
    <w:rsid w:val="00E82D0A"/>
    <w:rsid w:val="00E82F85"/>
    <w:rsid w:val="00E831D7"/>
    <w:rsid w:val="00E8352C"/>
    <w:rsid w:val="00E838DB"/>
    <w:rsid w:val="00E838E1"/>
    <w:rsid w:val="00E83976"/>
    <w:rsid w:val="00E83C18"/>
    <w:rsid w:val="00E8407F"/>
    <w:rsid w:val="00E8427B"/>
    <w:rsid w:val="00E84966"/>
    <w:rsid w:val="00E84D29"/>
    <w:rsid w:val="00E84F7E"/>
    <w:rsid w:val="00E85073"/>
    <w:rsid w:val="00E863C9"/>
    <w:rsid w:val="00E863F0"/>
    <w:rsid w:val="00E86748"/>
    <w:rsid w:val="00E86801"/>
    <w:rsid w:val="00E868FA"/>
    <w:rsid w:val="00E869B3"/>
    <w:rsid w:val="00E86B6A"/>
    <w:rsid w:val="00E86CE2"/>
    <w:rsid w:val="00E873B5"/>
    <w:rsid w:val="00E87455"/>
    <w:rsid w:val="00E87713"/>
    <w:rsid w:val="00E879B2"/>
    <w:rsid w:val="00E87A3C"/>
    <w:rsid w:val="00E87D67"/>
    <w:rsid w:val="00E87EDB"/>
    <w:rsid w:val="00E9014C"/>
    <w:rsid w:val="00E90204"/>
    <w:rsid w:val="00E90320"/>
    <w:rsid w:val="00E90339"/>
    <w:rsid w:val="00E9047D"/>
    <w:rsid w:val="00E9072E"/>
    <w:rsid w:val="00E908BD"/>
    <w:rsid w:val="00E90B55"/>
    <w:rsid w:val="00E90ECE"/>
    <w:rsid w:val="00E90FD5"/>
    <w:rsid w:val="00E9110E"/>
    <w:rsid w:val="00E9162C"/>
    <w:rsid w:val="00E9186D"/>
    <w:rsid w:val="00E91A43"/>
    <w:rsid w:val="00E91ACF"/>
    <w:rsid w:val="00E91EEB"/>
    <w:rsid w:val="00E9249A"/>
    <w:rsid w:val="00E926ED"/>
    <w:rsid w:val="00E92872"/>
    <w:rsid w:val="00E92E77"/>
    <w:rsid w:val="00E9383D"/>
    <w:rsid w:val="00E9387D"/>
    <w:rsid w:val="00E93A37"/>
    <w:rsid w:val="00E93CBC"/>
    <w:rsid w:val="00E950B7"/>
    <w:rsid w:val="00E95152"/>
    <w:rsid w:val="00E9537C"/>
    <w:rsid w:val="00E959B6"/>
    <w:rsid w:val="00E95E04"/>
    <w:rsid w:val="00E962ED"/>
    <w:rsid w:val="00E96821"/>
    <w:rsid w:val="00E96829"/>
    <w:rsid w:val="00E96870"/>
    <w:rsid w:val="00E96AAA"/>
    <w:rsid w:val="00E96C04"/>
    <w:rsid w:val="00E96C8E"/>
    <w:rsid w:val="00E96E28"/>
    <w:rsid w:val="00E96E67"/>
    <w:rsid w:val="00E9761E"/>
    <w:rsid w:val="00E97E64"/>
    <w:rsid w:val="00EA04E7"/>
    <w:rsid w:val="00EA09BE"/>
    <w:rsid w:val="00EA0EC9"/>
    <w:rsid w:val="00EA1209"/>
    <w:rsid w:val="00EA199A"/>
    <w:rsid w:val="00EA1B53"/>
    <w:rsid w:val="00EA1FCD"/>
    <w:rsid w:val="00EA21D2"/>
    <w:rsid w:val="00EA23DD"/>
    <w:rsid w:val="00EA24F6"/>
    <w:rsid w:val="00EA25B3"/>
    <w:rsid w:val="00EA2807"/>
    <w:rsid w:val="00EA29B2"/>
    <w:rsid w:val="00EA2B42"/>
    <w:rsid w:val="00EA3121"/>
    <w:rsid w:val="00EA33F5"/>
    <w:rsid w:val="00EA3971"/>
    <w:rsid w:val="00EA44AF"/>
    <w:rsid w:val="00EA454C"/>
    <w:rsid w:val="00EA470B"/>
    <w:rsid w:val="00EA4802"/>
    <w:rsid w:val="00EA4A37"/>
    <w:rsid w:val="00EA4A76"/>
    <w:rsid w:val="00EA4FB1"/>
    <w:rsid w:val="00EA54F0"/>
    <w:rsid w:val="00EA5697"/>
    <w:rsid w:val="00EA5884"/>
    <w:rsid w:val="00EA59E7"/>
    <w:rsid w:val="00EA5B1E"/>
    <w:rsid w:val="00EA5D73"/>
    <w:rsid w:val="00EA5F1F"/>
    <w:rsid w:val="00EA6DF0"/>
    <w:rsid w:val="00EA7192"/>
    <w:rsid w:val="00EA7761"/>
    <w:rsid w:val="00EA77C6"/>
    <w:rsid w:val="00EA7D7A"/>
    <w:rsid w:val="00EA7F39"/>
    <w:rsid w:val="00EB00A8"/>
    <w:rsid w:val="00EB046A"/>
    <w:rsid w:val="00EB09CA"/>
    <w:rsid w:val="00EB0AE6"/>
    <w:rsid w:val="00EB0BA1"/>
    <w:rsid w:val="00EB12AE"/>
    <w:rsid w:val="00EB18A1"/>
    <w:rsid w:val="00EB1B1A"/>
    <w:rsid w:val="00EB1BFA"/>
    <w:rsid w:val="00EB1CA0"/>
    <w:rsid w:val="00EB1E46"/>
    <w:rsid w:val="00EB20D6"/>
    <w:rsid w:val="00EB2A6E"/>
    <w:rsid w:val="00EB2C4F"/>
    <w:rsid w:val="00EB2CEB"/>
    <w:rsid w:val="00EB30A0"/>
    <w:rsid w:val="00EB31D8"/>
    <w:rsid w:val="00EB373A"/>
    <w:rsid w:val="00EB3848"/>
    <w:rsid w:val="00EB38CE"/>
    <w:rsid w:val="00EB3B0B"/>
    <w:rsid w:val="00EB3D13"/>
    <w:rsid w:val="00EB3F6C"/>
    <w:rsid w:val="00EB4136"/>
    <w:rsid w:val="00EB416F"/>
    <w:rsid w:val="00EB41DF"/>
    <w:rsid w:val="00EB4465"/>
    <w:rsid w:val="00EB47D7"/>
    <w:rsid w:val="00EB4CF1"/>
    <w:rsid w:val="00EB4FE9"/>
    <w:rsid w:val="00EB5258"/>
    <w:rsid w:val="00EB55B7"/>
    <w:rsid w:val="00EB58C1"/>
    <w:rsid w:val="00EB6041"/>
    <w:rsid w:val="00EB62D7"/>
    <w:rsid w:val="00EB6384"/>
    <w:rsid w:val="00EB6471"/>
    <w:rsid w:val="00EB6B43"/>
    <w:rsid w:val="00EB745C"/>
    <w:rsid w:val="00EB797F"/>
    <w:rsid w:val="00EB7BA8"/>
    <w:rsid w:val="00EC033C"/>
    <w:rsid w:val="00EC0464"/>
    <w:rsid w:val="00EC0576"/>
    <w:rsid w:val="00EC0601"/>
    <w:rsid w:val="00EC0630"/>
    <w:rsid w:val="00EC099B"/>
    <w:rsid w:val="00EC0D10"/>
    <w:rsid w:val="00EC166F"/>
    <w:rsid w:val="00EC1A60"/>
    <w:rsid w:val="00EC1B68"/>
    <w:rsid w:val="00EC233F"/>
    <w:rsid w:val="00EC26A8"/>
    <w:rsid w:val="00EC2704"/>
    <w:rsid w:val="00EC27F6"/>
    <w:rsid w:val="00EC2887"/>
    <w:rsid w:val="00EC28E6"/>
    <w:rsid w:val="00EC32FA"/>
    <w:rsid w:val="00EC3B4E"/>
    <w:rsid w:val="00EC3B7C"/>
    <w:rsid w:val="00EC4144"/>
    <w:rsid w:val="00EC4423"/>
    <w:rsid w:val="00EC484C"/>
    <w:rsid w:val="00EC4C62"/>
    <w:rsid w:val="00EC6597"/>
    <w:rsid w:val="00EC6BB9"/>
    <w:rsid w:val="00EC6CB0"/>
    <w:rsid w:val="00EC73E7"/>
    <w:rsid w:val="00EC7805"/>
    <w:rsid w:val="00ED0D04"/>
    <w:rsid w:val="00ED0F93"/>
    <w:rsid w:val="00ED122A"/>
    <w:rsid w:val="00ED204A"/>
    <w:rsid w:val="00ED24EE"/>
    <w:rsid w:val="00ED2507"/>
    <w:rsid w:val="00ED252D"/>
    <w:rsid w:val="00ED2831"/>
    <w:rsid w:val="00ED2D5B"/>
    <w:rsid w:val="00ED2EA4"/>
    <w:rsid w:val="00ED2FDD"/>
    <w:rsid w:val="00ED307B"/>
    <w:rsid w:val="00ED35E5"/>
    <w:rsid w:val="00ED35FC"/>
    <w:rsid w:val="00ED3A76"/>
    <w:rsid w:val="00ED4012"/>
    <w:rsid w:val="00ED41FB"/>
    <w:rsid w:val="00ED48D0"/>
    <w:rsid w:val="00ED4C6D"/>
    <w:rsid w:val="00ED4E61"/>
    <w:rsid w:val="00ED523A"/>
    <w:rsid w:val="00ED572A"/>
    <w:rsid w:val="00ED58A9"/>
    <w:rsid w:val="00ED5A74"/>
    <w:rsid w:val="00ED6B17"/>
    <w:rsid w:val="00ED6E9C"/>
    <w:rsid w:val="00ED73B4"/>
    <w:rsid w:val="00ED73E9"/>
    <w:rsid w:val="00ED75C6"/>
    <w:rsid w:val="00ED7BF1"/>
    <w:rsid w:val="00ED7E6D"/>
    <w:rsid w:val="00ED7F29"/>
    <w:rsid w:val="00EE0070"/>
    <w:rsid w:val="00EE00EC"/>
    <w:rsid w:val="00EE013A"/>
    <w:rsid w:val="00EE0603"/>
    <w:rsid w:val="00EE061F"/>
    <w:rsid w:val="00EE06C4"/>
    <w:rsid w:val="00EE0730"/>
    <w:rsid w:val="00EE0BA1"/>
    <w:rsid w:val="00EE0CF7"/>
    <w:rsid w:val="00EE1007"/>
    <w:rsid w:val="00EE105F"/>
    <w:rsid w:val="00EE11FB"/>
    <w:rsid w:val="00EE1723"/>
    <w:rsid w:val="00EE1789"/>
    <w:rsid w:val="00EE195C"/>
    <w:rsid w:val="00EE1FD4"/>
    <w:rsid w:val="00EE22DF"/>
    <w:rsid w:val="00EE248E"/>
    <w:rsid w:val="00EE256E"/>
    <w:rsid w:val="00EE2631"/>
    <w:rsid w:val="00EE2B0E"/>
    <w:rsid w:val="00EE30C8"/>
    <w:rsid w:val="00EE3A4C"/>
    <w:rsid w:val="00EE3A69"/>
    <w:rsid w:val="00EE401B"/>
    <w:rsid w:val="00EE422A"/>
    <w:rsid w:val="00EE43D9"/>
    <w:rsid w:val="00EE47A1"/>
    <w:rsid w:val="00EE4C04"/>
    <w:rsid w:val="00EE4DE2"/>
    <w:rsid w:val="00EE4FD6"/>
    <w:rsid w:val="00EE5111"/>
    <w:rsid w:val="00EE5697"/>
    <w:rsid w:val="00EE5AA7"/>
    <w:rsid w:val="00EE5CF8"/>
    <w:rsid w:val="00EE5F8C"/>
    <w:rsid w:val="00EE5FA4"/>
    <w:rsid w:val="00EE622D"/>
    <w:rsid w:val="00EE6495"/>
    <w:rsid w:val="00EE6CC5"/>
    <w:rsid w:val="00EE712A"/>
    <w:rsid w:val="00EE721F"/>
    <w:rsid w:val="00EE75B0"/>
    <w:rsid w:val="00EE7A96"/>
    <w:rsid w:val="00EF0286"/>
    <w:rsid w:val="00EF0C55"/>
    <w:rsid w:val="00EF0C8F"/>
    <w:rsid w:val="00EF11DD"/>
    <w:rsid w:val="00EF12DE"/>
    <w:rsid w:val="00EF1659"/>
    <w:rsid w:val="00EF17A5"/>
    <w:rsid w:val="00EF1AA0"/>
    <w:rsid w:val="00EF216A"/>
    <w:rsid w:val="00EF2259"/>
    <w:rsid w:val="00EF314D"/>
    <w:rsid w:val="00EF3647"/>
    <w:rsid w:val="00EF3754"/>
    <w:rsid w:val="00EF3B98"/>
    <w:rsid w:val="00EF3DA3"/>
    <w:rsid w:val="00EF4098"/>
    <w:rsid w:val="00EF4D73"/>
    <w:rsid w:val="00EF4EFA"/>
    <w:rsid w:val="00EF52DA"/>
    <w:rsid w:val="00EF56DE"/>
    <w:rsid w:val="00EF5B67"/>
    <w:rsid w:val="00EF5F0B"/>
    <w:rsid w:val="00EF6446"/>
    <w:rsid w:val="00EF64A1"/>
    <w:rsid w:val="00EF6694"/>
    <w:rsid w:val="00EF688A"/>
    <w:rsid w:val="00EF69BA"/>
    <w:rsid w:val="00EF6EAD"/>
    <w:rsid w:val="00EF71EA"/>
    <w:rsid w:val="00EF7200"/>
    <w:rsid w:val="00EF723D"/>
    <w:rsid w:val="00EF756A"/>
    <w:rsid w:val="00EF78E2"/>
    <w:rsid w:val="00EF7B36"/>
    <w:rsid w:val="00F00497"/>
    <w:rsid w:val="00F00620"/>
    <w:rsid w:val="00F011E7"/>
    <w:rsid w:val="00F01994"/>
    <w:rsid w:val="00F019AD"/>
    <w:rsid w:val="00F01CEC"/>
    <w:rsid w:val="00F01E4E"/>
    <w:rsid w:val="00F020AE"/>
    <w:rsid w:val="00F02863"/>
    <w:rsid w:val="00F02CC0"/>
    <w:rsid w:val="00F02D41"/>
    <w:rsid w:val="00F02DF4"/>
    <w:rsid w:val="00F03404"/>
    <w:rsid w:val="00F035CC"/>
    <w:rsid w:val="00F03694"/>
    <w:rsid w:val="00F03D4F"/>
    <w:rsid w:val="00F03D85"/>
    <w:rsid w:val="00F04653"/>
    <w:rsid w:val="00F04BAF"/>
    <w:rsid w:val="00F05152"/>
    <w:rsid w:val="00F05337"/>
    <w:rsid w:val="00F05904"/>
    <w:rsid w:val="00F059D7"/>
    <w:rsid w:val="00F05CB8"/>
    <w:rsid w:val="00F06974"/>
    <w:rsid w:val="00F069C4"/>
    <w:rsid w:val="00F06A10"/>
    <w:rsid w:val="00F06A25"/>
    <w:rsid w:val="00F06D5B"/>
    <w:rsid w:val="00F06DA1"/>
    <w:rsid w:val="00F072F6"/>
    <w:rsid w:val="00F07B43"/>
    <w:rsid w:val="00F1026F"/>
    <w:rsid w:val="00F1041E"/>
    <w:rsid w:val="00F10E45"/>
    <w:rsid w:val="00F11900"/>
    <w:rsid w:val="00F1192C"/>
    <w:rsid w:val="00F119BD"/>
    <w:rsid w:val="00F11AD0"/>
    <w:rsid w:val="00F11BDF"/>
    <w:rsid w:val="00F11FA5"/>
    <w:rsid w:val="00F12211"/>
    <w:rsid w:val="00F12442"/>
    <w:rsid w:val="00F12687"/>
    <w:rsid w:val="00F1279E"/>
    <w:rsid w:val="00F12BDD"/>
    <w:rsid w:val="00F12C02"/>
    <w:rsid w:val="00F12DE0"/>
    <w:rsid w:val="00F13084"/>
    <w:rsid w:val="00F1315B"/>
    <w:rsid w:val="00F131AD"/>
    <w:rsid w:val="00F135C4"/>
    <w:rsid w:val="00F13C11"/>
    <w:rsid w:val="00F14174"/>
    <w:rsid w:val="00F143BD"/>
    <w:rsid w:val="00F1450B"/>
    <w:rsid w:val="00F146F1"/>
    <w:rsid w:val="00F148D8"/>
    <w:rsid w:val="00F14E35"/>
    <w:rsid w:val="00F14EEA"/>
    <w:rsid w:val="00F15185"/>
    <w:rsid w:val="00F15D13"/>
    <w:rsid w:val="00F16046"/>
    <w:rsid w:val="00F1645E"/>
    <w:rsid w:val="00F16FC7"/>
    <w:rsid w:val="00F1726E"/>
    <w:rsid w:val="00F17277"/>
    <w:rsid w:val="00F1745E"/>
    <w:rsid w:val="00F1758E"/>
    <w:rsid w:val="00F17958"/>
    <w:rsid w:val="00F17B4B"/>
    <w:rsid w:val="00F17C5D"/>
    <w:rsid w:val="00F209A7"/>
    <w:rsid w:val="00F20EAF"/>
    <w:rsid w:val="00F21109"/>
    <w:rsid w:val="00F211BC"/>
    <w:rsid w:val="00F21434"/>
    <w:rsid w:val="00F2166F"/>
    <w:rsid w:val="00F216B3"/>
    <w:rsid w:val="00F2187E"/>
    <w:rsid w:val="00F219E4"/>
    <w:rsid w:val="00F21C6E"/>
    <w:rsid w:val="00F21D7A"/>
    <w:rsid w:val="00F21DAC"/>
    <w:rsid w:val="00F222A7"/>
    <w:rsid w:val="00F222DF"/>
    <w:rsid w:val="00F22385"/>
    <w:rsid w:val="00F223AC"/>
    <w:rsid w:val="00F2281F"/>
    <w:rsid w:val="00F2286C"/>
    <w:rsid w:val="00F22AD5"/>
    <w:rsid w:val="00F22D77"/>
    <w:rsid w:val="00F232E7"/>
    <w:rsid w:val="00F23BE8"/>
    <w:rsid w:val="00F23C86"/>
    <w:rsid w:val="00F23CB6"/>
    <w:rsid w:val="00F23E4C"/>
    <w:rsid w:val="00F24060"/>
    <w:rsid w:val="00F2458F"/>
    <w:rsid w:val="00F24839"/>
    <w:rsid w:val="00F24A12"/>
    <w:rsid w:val="00F24BEC"/>
    <w:rsid w:val="00F24C0C"/>
    <w:rsid w:val="00F25E8A"/>
    <w:rsid w:val="00F26266"/>
    <w:rsid w:val="00F26B9E"/>
    <w:rsid w:val="00F26BF8"/>
    <w:rsid w:val="00F26F2C"/>
    <w:rsid w:val="00F27152"/>
    <w:rsid w:val="00F273F7"/>
    <w:rsid w:val="00F2752F"/>
    <w:rsid w:val="00F27537"/>
    <w:rsid w:val="00F27779"/>
    <w:rsid w:val="00F278C0"/>
    <w:rsid w:val="00F27A24"/>
    <w:rsid w:val="00F27DF6"/>
    <w:rsid w:val="00F30374"/>
    <w:rsid w:val="00F308E7"/>
    <w:rsid w:val="00F30C5F"/>
    <w:rsid w:val="00F30F5D"/>
    <w:rsid w:val="00F31412"/>
    <w:rsid w:val="00F314B4"/>
    <w:rsid w:val="00F31E1B"/>
    <w:rsid w:val="00F31E46"/>
    <w:rsid w:val="00F31F1A"/>
    <w:rsid w:val="00F32243"/>
    <w:rsid w:val="00F331BA"/>
    <w:rsid w:val="00F334B4"/>
    <w:rsid w:val="00F334F2"/>
    <w:rsid w:val="00F336F7"/>
    <w:rsid w:val="00F33701"/>
    <w:rsid w:val="00F339F3"/>
    <w:rsid w:val="00F33F38"/>
    <w:rsid w:val="00F34005"/>
    <w:rsid w:val="00F341AB"/>
    <w:rsid w:val="00F348E0"/>
    <w:rsid w:val="00F34EF8"/>
    <w:rsid w:val="00F350D4"/>
    <w:rsid w:val="00F3512E"/>
    <w:rsid w:val="00F35130"/>
    <w:rsid w:val="00F353DD"/>
    <w:rsid w:val="00F357A6"/>
    <w:rsid w:val="00F3596B"/>
    <w:rsid w:val="00F35C59"/>
    <w:rsid w:val="00F35D72"/>
    <w:rsid w:val="00F36239"/>
    <w:rsid w:val="00F364BC"/>
    <w:rsid w:val="00F365DB"/>
    <w:rsid w:val="00F36762"/>
    <w:rsid w:val="00F36F9C"/>
    <w:rsid w:val="00F372BB"/>
    <w:rsid w:val="00F3788D"/>
    <w:rsid w:val="00F37BEC"/>
    <w:rsid w:val="00F37D57"/>
    <w:rsid w:val="00F37D65"/>
    <w:rsid w:val="00F37F84"/>
    <w:rsid w:val="00F400F2"/>
    <w:rsid w:val="00F40239"/>
    <w:rsid w:val="00F40DCE"/>
    <w:rsid w:val="00F40F58"/>
    <w:rsid w:val="00F41956"/>
    <w:rsid w:val="00F422F1"/>
    <w:rsid w:val="00F42552"/>
    <w:rsid w:val="00F42709"/>
    <w:rsid w:val="00F42D28"/>
    <w:rsid w:val="00F4343E"/>
    <w:rsid w:val="00F43A82"/>
    <w:rsid w:val="00F43BA2"/>
    <w:rsid w:val="00F43BC9"/>
    <w:rsid w:val="00F43C93"/>
    <w:rsid w:val="00F43DC2"/>
    <w:rsid w:val="00F43F6C"/>
    <w:rsid w:val="00F44120"/>
    <w:rsid w:val="00F44137"/>
    <w:rsid w:val="00F44276"/>
    <w:rsid w:val="00F4457A"/>
    <w:rsid w:val="00F4501E"/>
    <w:rsid w:val="00F4512B"/>
    <w:rsid w:val="00F45308"/>
    <w:rsid w:val="00F454E9"/>
    <w:rsid w:val="00F45AEE"/>
    <w:rsid w:val="00F461FA"/>
    <w:rsid w:val="00F46365"/>
    <w:rsid w:val="00F464D5"/>
    <w:rsid w:val="00F466E8"/>
    <w:rsid w:val="00F4691A"/>
    <w:rsid w:val="00F46ACC"/>
    <w:rsid w:val="00F46BC1"/>
    <w:rsid w:val="00F47366"/>
    <w:rsid w:val="00F47398"/>
    <w:rsid w:val="00F47436"/>
    <w:rsid w:val="00F4747A"/>
    <w:rsid w:val="00F4773B"/>
    <w:rsid w:val="00F4789B"/>
    <w:rsid w:val="00F47CAB"/>
    <w:rsid w:val="00F500DA"/>
    <w:rsid w:val="00F50778"/>
    <w:rsid w:val="00F509FF"/>
    <w:rsid w:val="00F50A82"/>
    <w:rsid w:val="00F50ED8"/>
    <w:rsid w:val="00F51071"/>
    <w:rsid w:val="00F51201"/>
    <w:rsid w:val="00F515DB"/>
    <w:rsid w:val="00F51BE1"/>
    <w:rsid w:val="00F51E79"/>
    <w:rsid w:val="00F521E8"/>
    <w:rsid w:val="00F5246A"/>
    <w:rsid w:val="00F524F6"/>
    <w:rsid w:val="00F52636"/>
    <w:rsid w:val="00F52967"/>
    <w:rsid w:val="00F52E24"/>
    <w:rsid w:val="00F52F2E"/>
    <w:rsid w:val="00F53943"/>
    <w:rsid w:val="00F53F98"/>
    <w:rsid w:val="00F5497F"/>
    <w:rsid w:val="00F54A5B"/>
    <w:rsid w:val="00F55249"/>
    <w:rsid w:val="00F5543D"/>
    <w:rsid w:val="00F55482"/>
    <w:rsid w:val="00F55484"/>
    <w:rsid w:val="00F5552F"/>
    <w:rsid w:val="00F556D6"/>
    <w:rsid w:val="00F55B32"/>
    <w:rsid w:val="00F56015"/>
    <w:rsid w:val="00F560A5"/>
    <w:rsid w:val="00F5626F"/>
    <w:rsid w:val="00F56292"/>
    <w:rsid w:val="00F56E0A"/>
    <w:rsid w:val="00F56F60"/>
    <w:rsid w:val="00F56F9D"/>
    <w:rsid w:val="00F5748B"/>
    <w:rsid w:val="00F575D6"/>
    <w:rsid w:val="00F5784C"/>
    <w:rsid w:val="00F57BBE"/>
    <w:rsid w:val="00F57BC1"/>
    <w:rsid w:val="00F57D2B"/>
    <w:rsid w:val="00F57E05"/>
    <w:rsid w:val="00F57E91"/>
    <w:rsid w:val="00F57F5A"/>
    <w:rsid w:val="00F57F92"/>
    <w:rsid w:val="00F6031D"/>
    <w:rsid w:val="00F60825"/>
    <w:rsid w:val="00F60AC7"/>
    <w:rsid w:val="00F6111A"/>
    <w:rsid w:val="00F61207"/>
    <w:rsid w:val="00F612D4"/>
    <w:rsid w:val="00F61308"/>
    <w:rsid w:val="00F614BD"/>
    <w:rsid w:val="00F615A0"/>
    <w:rsid w:val="00F61A75"/>
    <w:rsid w:val="00F6248E"/>
    <w:rsid w:val="00F624BB"/>
    <w:rsid w:val="00F629FC"/>
    <w:rsid w:val="00F6318E"/>
    <w:rsid w:val="00F635F4"/>
    <w:rsid w:val="00F63693"/>
    <w:rsid w:val="00F63840"/>
    <w:rsid w:val="00F639DA"/>
    <w:rsid w:val="00F63EE3"/>
    <w:rsid w:val="00F643AB"/>
    <w:rsid w:val="00F6453A"/>
    <w:rsid w:val="00F64754"/>
    <w:rsid w:val="00F648CC"/>
    <w:rsid w:val="00F649C6"/>
    <w:rsid w:val="00F64DB6"/>
    <w:rsid w:val="00F64EB7"/>
    <w:rsid w:val="00F652B4"/>
    <w:rsid w:val="00F65803"/>
    <w:rsid w:val="00F6638E"/>
    <w:rsid w:val="00F6643C"/>
    <w:rsid w:val="00F6650D"/>
    <w:rsid w:val="00F668D0"/>
    <w:rsid w:val="00F66CDD"/>
    <w:rsid w:val="00F67051"/>
    <w:rsid w:val="00F6730F"/>
    <w:rsid w:val="00F6749B"/>
    <w:rsid w:val="00F675E2"/>
    <w:rsid w:val="00F67648"/>
    <w:rsid w:val="00F67C1E"/>
    <w:rsid w:val="00F67E2F"/>
    <w:rsid w:val="00F703D3"/>
    <w:rsid w:val="00F705E7"/>
    <w:rsid w:val="00F70654"/>
    <w:rsid w:val="00F7092E"/>
    <w:rsid w:val="00F70CD3"/>
    <w:rsid w:val="00F70D83"/>
    <w:rsid w:val="00F71040"/>
    <w:rsid w:val="00F7180E"/>
    <w:rsid w:val="00F72093"/>
    <w:rsid w:val="00F72096"/>
    <w:rsid w:val="00F720BB"/>
    <w:rsid w:val="00F72155"/>
    <w:rsid w:val="00F72692"/>
    <w:rsid w:val="00F726FD"/>
    <w:rsid w:val="00F727BF"/>
    <w:rsid w:val="00F7288C"/>
    <w:rsid w:val="00F729C7"/>
    <w:rsid w:val="00F73087"/>
    <w:rsid w:val="00F7353A"/>
    <w:rsid w:val="00F73593"/>
    <w:rsid w:val="00F738B1"/>
    <w:rsid w:val="00F74271"/>
    <w:rsid w:val="00F74310"/>
    <w:rsid w:val="00F74942"/>
    <w:rsid w:val="00F74F7E"/>
    <w:rsid w:val="00F7546D"/>
    <w:rsid w:val="00F756E8"/>
    <w:rsid w:val="00F75F31"/>
    <w:rsid w:val="00F763C4"/>
    <w:rsid w:val="00F7643F"/>
    <w:rsid w:val="00F7659E"/>
    <w:rsid w:val="00F765D0"/>
    <w:rsid w:val="00F766B6"/>
    <w:rsid w:val="00F766CB"/>
    <w:rsid w:val="00F7673A"/>
    <w:rsid w:val="00F76D81"/>
    <w:rsid w:val="00F76E6C"/>
    <w:rsid w:val="00F77198"/>
    <w:rsid w:val="00F77301"/>
    <w:rsid w:val="00F773D7"/>
    <w:rsid w:val="00F779D0"/>
    <w:rsid w:val="00F77F53"/>
    <w:rsid w:val="00F77FE8"/>
    <w:rsid w:val="00F7D758"/>
    <w:rsid w:val="00F7FEFA"/>
    <w:rsid w:val="00F8065B"/>
    <w:rsid w:val="00F80784"/>
    <w:rsid w:val="00F80CB4"/>
    <w:rsid w:val="00F81072"/>
    <w:rsid w:val="00F81087"/>
    <w:rsid w:val="00F81301"/>
    <w:rsid w:val="00F81366"/>
    <w:rsid w:val="00F8163D"/>
    <w:rsid w:val="00F8168B"/>
    <w:rsid w:val="00F81F72"/>
    <w:rsid w:val="00F82269"/>
    <w:rsid w:val="00F82697"/>
    <w:rsid w:val="00F827AD"/>
    <w:rsid w:val="00F82BF7"/>
    <w:rsid w:val="00F82E1C"/>
    <w:rsid w:val="00F831F8"/>
    <w:rsid w:val="00F8328C"/>
    <w:rsid w:val="00F8332D"/>
    <w:rsid w:val="00F834A1"/>
    <w:rsid w:val="00F839B1"/>
    <w:rsid w:val="00F83B4A"/>
    <w:rsid w:val="00F83FFB"/>
    <w:rsid w:val="00F847FC"/>
    <w:rsid w:val="00F848C0"/>
    <w:rsid w:val="00F84EB3"/>
    <w:rsid w:val="00F8512A"/>
    <w:rsid w:val="00F854E1"/>
    <w:rsid w:val="00F85579"/>
    <w:rsid w:val="00F85718"/>
    <w:rsid w:val="00F8573A"/>
    <w:rsid w:val="00F85762"/>
    <w:rsid w:val="00F857FB"/>
    <w:rsid w:val="00F85FC4"/>
    <w:rsid w:val="00F860A5"/>
    <w:rsid w:val="00F8656B"/>
    <w:rsid w:val="00F872B0"/>
    <w:rsid w:val="00F87303"/>
    <w:rsid w:val="00F87784"/>
    <w:rsid w:val="00F87874"/>
    <w:rsid w:val="00F879EC"/>
    <w:rsid w:val="00F87ADE"/>
    <w:rsid w:val="00F87C71"/>
    <w:rsid w:val="00F87D13"/>
    <w:rsid w:val="00F87D86"/>
    <w:rsid w:val="00F8C7D2"/>
    <w:rsid w:val="00F8E9FC"/>
    <w:rsid w:val="00F90164"/>
    <w:rsid w:val="00F905BA"/>
    <w:rsid w:val="00F909D4"/>
    <w:rsid w:val="00F90AEF"/>
    <w:rsid w:val="00F91210"/>
    <w:rsid w:val="00F91227"/>
    <w:rsid w:val="00F9179F"/>
    <w:rsid w:val="00F91A23"/>
    <w:rsid w:val="00F91C15"/>
    <w:rsid w:val="00F926FE"/>
    <w:rsid w:val="00F92BE1"/>
    <w:rsid w:val="00F92C3E"/>
    <w:rsid w:val="00F92D57"/>
    <w:rsid w:val="00F92DF7"/>
    <w:rsid w:val="00F9311C"/>
    <w:rsid w:val="00F93426"/>
    <w:rsid w:val="00F93703"/>
    <w:rsid w:val="00F93DBD"/>
    <w:rsid w:val="00F94081"/>
    <w:rsid w:val="00F943F1"/>
    <w:rsid w:val="00F94497"/>
    <w:rsid w:val="00F94D26"/>
    <w:rsid w:val="00F95404"/>
    <w:rsid w:val="00F9553A"/>
    <w:rsid w:val="00F95606"/>
    <w:rsid w:val="00F957A3"/>
    <w:rsid w:val="00F95BCE"/>
    <w:rsid w:val="00F9621A"/>
    <w:rsid w:val="00F96821"/>
    <w:rsid w:val="00F96BF3"/>
    <w:rsid w:val="00F96E67"/>
    <w:rsid w:val="00F96F23"/>
    <w:rsid w:val="00F97061"/>
    <w:rsid w:val="00F972B4"/>
    <w:rsid w:val="00F9749F"/>
    <w:rsid w:val="00F97545"/>
    <w:rsid w:val="00F978C0"/>
    <w:rsid w:val="00F97990"/>
    <w:rsid w:val="00F97A82"/>
    <w:rsid w:val="00FA0211"/>
    <w:rsid w:val="00FA04FC"/>
    <w:rsid w:val="00FA0A59"/>
    <w:rsid w:val="00FA0D9D"/>
    <w:rsid w:val="00FA0DB8"/>
    <w:rsid w:val="00FA11B0"/>
    <w:rsid w:val="00FA2AC6"/>
    <w:rsid w:val="00FA2B06"/>
    <w:rsid w:val="00FA30B9"/>
    <w:rsid w:val="00FA3F34"/>
    <w:rsid w:val="00FA3F36"/>
    <w:rsid w:val="00FA431A"/>
    <w:rsid w:val="00FA4462"/>
    <w:rsid w:val="00FA4700"/>
    <w:rsid w:val="00FA54E6"/>
    <w:rsid w:val="00FA566D"/>
    <w:rsid w:val="00FA5DA5"/>
    <w:rsid w:val="00FA5E7D"/>
    <w:rsid w:val="00FA653E"/>
    <w:rsid w:val="00FA65E3"/>
    <w:rsid w:val="00FA6D82"/>
    <w:rsid w:val="00FA6ECB"/>
    <w:rsid w:val="00FA74BE"/>
    <w:rsid w:val="00FA75D7"/>
    <w:rsid w:val="00FA7E0A"/>
    <w:rsid w:val="00FA7E3E"/>
    <w:rsid w:val="00FA7ED2"/>
    <w:rsid w:val="00FB0D8A"/>
    <w:rsid w:val="00FB15A5"/>
    <w:rsid w:val="00FB1892"/>
    <w:rsid w:val="00FB1954"/>
    <w:rsid w:val="00FB1BA3"/>
    <w:rsid w:val="00FB1DF3"/>
    <w:rsid w:val="00FB24A7"/>
    <w:rsid w:val="00FB2969"/>
    <w:rsid w:val="00FB2D63"/>
    <w:rsid w:val="00FB2FB5"/>
    <w:rsid w:val="00FB34D1"/>
    <w:rsid w:val="00FB3861"/>
    <w:rsid w:val="00FB3CE7"/>
    <w:rsid w:val="00FB3E21"/>
    <w:rsid w:val="00FB4087"/>
    <w:rsid w:val="00FB413E"/>
    <w:rsid w:val="00FB4302"/>
    <w:rsid w:val="00FB4643"/>
    <w:rsid w:val="00FB4E52"/>
    <w:rsid w:val="00FB50D2"/>
    <w:rsid w:val="00FB5175"/>
    <w:rsid w:val="00FB587B"/>
    <w:rsid w:val="00FB5B7C"/>
    <w:rsid w:val="00FB5C02"/>
    <w:rsid w:val="00FB5E85"/>
    <w:rsid w:val="00FB5EF6"/>
    <w:rsid w:val="00FB66DB"/>
    <w:rsid w:val="00FB6785"/>
    <w:rsid w:val="00FB6CA8"/>
    <w:rsid w:val="00FB776D"/>
    <w:rsid w:val="00FC0044"/>
    <w:rsid w:val="00FC0069"/>
    <w:rsid w:val="00FC03E6"/>
    <w:rsid w:val="00FC0633"/>
    <w:rsid w:val="00FC08C2"/>
    <w:rsid w:val="00FC0A45"/>
    <w:rsid w:val="00FC0E00"/>
    <w:rsid w:val="00FC0F75"/>
    <w:rsid w:val="00FC12A6"/>
    <w:rsid w:val="00FC12FD"/>
    <w:rsid w:val="00FC1320"/>
    <w:rsid w:val="00FC13E4"/>
    <w:rsid w:val="00FC146E"/>
    <w:rsid w:val="00FC16AB"/>
    <w:rsid w:val="00FC1C8E"/>
    <w:rsid w:val="00FC1DAF"/>
    <w:rsid w:val="00FC1FDF"/>
    <w:rsid w:val="00FC25AB"/>
    <w:rsid w:val="00FC279D"/>
    <w:rsid w:val="00FC2939"/>
    <w:rsid w:val="00FC2AD2"/>
    <w:rsid w:val="00FC2BE7"/>
    <w:rsid w:val="00FC359F"/>
    <w:rsid w:val="00FC37AB"/>
    <w:rsid w:val="00FC3B6C"/>
    <w:rsid w:val="00FC3E57"/>
    <w:rsid w:val="00FC3E7D"/>
    <w:rsid w:val="00FC3EE1"/>
    <w:rsid w:val="00FC3F7D"/>
    <w:rsid w:val="00FC457E"/>
    <w:rsid w:val="00FC464B"/>
    <w:rsid w:val="00FC4757"/>
    <w:rsid w:val="00FC47C3"/>
    <w:rsid w:val="00FC48F2"/>
    <w:rsid w:val="00FC4BC5"/>
    <w:rsid w:val="00FC52E5"/>
    <w:rsid w:val="00FC5335"/>
    <w:rsid w:val="00FC5416"/>
    <w:rsid w:val="00FC55EC"/>
    <w:rsid w:val="00FC5A4F"/>
    <w:rsid w:val="00FC5C6C"/>
    <w:rsid w:val="00FC5FD0"/>
    <w:rsid w:val="00FC6495"/>
    <w:rsid w:val="00FC691B"/>
    <w:rsid w:val="00FC6C13"/>
    <w:rsid w:val="00FC6CBF"/>
    <w:rsid w:val="00FC6FE9"/>
    <w:rsid w:val="00FD01DC"/>
    <w:rsid w:val="00FD041A"/>
    <w:rsid w:val="00FD1114"/>
    <w:rsid w:val="00FD12A2"/>
    <w:rsid w:val="00FD149E"/>
    <w:rsid w:val="00FD1812"/>
    <w:rsid w:val="00FD1B7A"/>
    <w:rsid w:val="00FD1C6A"/>
    <w:rsid w:val="00FD1E6D"/>
    <w:rsid w:val="00FD1F4B"/>
    <w:rsid w:val="00FD20C1"/>
    <w:rsid w:val="00FD217F"/>
    <w:rsid w:val="00FD25A4"/>
    <w:rsid w:val="00FD31FA"/>
    <w:rsid w:val="00FD37F5"/>
    <w:rsid w:val="00FD4150"/>
    <w:rsid w:val="00FD4752"/>
    <w:rsid w:val="00FD4D69"/>
    <w:rsid w:val="00FD5097"/>
    <w:rsid w:val="00FD509E"/>
    <w:rsid w:val="00FD518F"/>
    <w:rsid w:val="00FD5342"/>
    <w:rsid w:val="00FD53BF"/>
    <w:rsid w:val="00FD58D7"/>
    <w:rsid w:val="00FD5AC8"/>
    <w:rsid w:val="00FD5DB7"/>
    <w:rsid w:val="00FD6269"/>
    <w:rsid w:val="00FD66D5"/>
    <w:rsid w:val="00FD6863"/>
    <w:rsid w:val="00FD6894"/>
    <w:rsid w:val="00FD6A27"/>
    <w:rsid w:val="00FD6D15"/>
    <w:rsid w:val="00FD6D6B"/>
    <w:rsid w:val="00FD6E3C"/>
    <w:rsid w:val="00FD6E6E"/>
    <w:rsid w:val="00FD6F8D"/>
    <w:rsid w:val="00FD70D8"/>
    <w:rsid w:val="00FD781F"/>
    <w:rsid w:val="00FD7B35"/>
    <w:rsid w:val="00FD7CF4"/>
    <w:rsid w:val="00FD7EB5"/>
    <w:rsid w:val="00FD7ED3"/>
    <w:rsid w:val="00FE0320"/>
    <w:rsid w:val="00FE03EE"/>
    <w:rsid w:val="00FE07D5"/>
    <w:rsid w:val="00FE110B"/>
    <w:rsid w:val="00FE12E7"/>
    <w:rsid w:val="00FE163E"/>
    <w:rsid w:val="00FE16B9"/>
    <w:rsid w:val="00FE17A6"/>
    <w:rsid w:val="00FE1847"/>
    <w:rsid w:val="00FE1D20"/>
    <w:rsid w:val="00FE1FEE"/>
    <w:rsid w:val="00FE2041"/>
    <w:rsid w:val="00FE20C6"/>
    <w:rsid w:val="00FE25F3"/>
    <w:rsid w:val="00FE2A1D"/>
    <w:rsid w:val="00FE30B5"/>
    <w:rsid w:val="00FE33D3"/>
    <w:rsid w:val="00FE34DA"/>
    <w:rsid w:val="00FE392E"/>
    <w:rsid w:val="00FE3FF1"/>
    <w:rsid w:val="00FE42D7"/>
    <w:rsid w:val="00FE438F"/>
    <w:rsid w:val="00FE43F3"/>
    <w:rsid w:val="00FE4679"/>
    <w:rsid w:val="00FE47F4"/>
    <w:rsid w:val="00FE50F1"/>
    <w:rsid w:val="00FE58EE"/>
    <w:rsid w:val="00FE59BC"/>
    <w:rsid w:val="00FE5E72"/>
    <w:rsid w:val="00FE5ED6"/>
    <w:rsid w:val="00FE64EB"/>
    <w:rsid w:val="00FE6623"/>
    <w:rsid w:val="00FE69CA"/>
    <w:rsid w:val="00FE6E7C"/>
    <w:rsid w:val="00FE73F9"/>
    <w:rsid w:val="00FE789E"/>
    <w:rsid w:val="00FF03A1"/>
    <w:rsid w:val="00FF06D3"/>
    <w:rsid w:val="00FF07AB"/>
    <w:rsid w:val="00FF0D3A"/>
    <w:rsid w:val="00FF0DBE"/>
    <w:rsid w:val="00FF10ED"/>
    <w:rsid w:val="00FF1199"/>
    <w:rsid w:val="00FF133C"/>
    <w:rsid w:val="00FF1659"/>
    <w:rsid w:val="00FF183A"/>
    <w:rsid w:val="00FF194F"/>
    <w:rsid w:val="00FF1E49"/>
    <w:rsid w:val="00FF2096"/>
    <w:rsid w:val="00FF20A7"/>
    <w:rsid w:val="00FF239B"/>
    <w:rsid w:val="00FF23CF"/>
    <w:rsid w:val="00FF2891"/>
    <w:rsid w:val="00FF2F5D"/>
    <w:rsid w:val="00FF37E3"/>
    <w:rsid w:val="00FF3DED"/>
    <w:rsid w:val="00FF3E04"/>
    <w:rsid w:val="00FF3EFF"/>
    <w:rsid w:val="00FF3F41"/>
    <w:rsid w:val="00FF417D"/>
    <w:rsid w:val="00FF4331"/>
    <w:rsid w:val="00FF53C8"/>
    <w:rsid w:val="00FF58C3"/>
    <w:rsid w:val="00FF58F0"/>
    <w:rsid w:val="00FF5B93"/>
    <w:rsid w:val="00FF62E3"/>
    <w:rsid w:val="00FF63A3"/>
    <w:rsid w:val="00FF6853"/>
    <w:rsid w:val="00FF6965"/>
    <w:rsid w:val="00FF6FB2"/>
    <w:rsid w:val="00FF77B1"/>
    <w:rsid w:val="00FF7848"/>
    <w:rsid w:val="00FF78AD"/>
    <w:rsid w:val="00FF7B64"/>
    <w:rsid w:val="00FF7C76"/>
    <w:rsid w:val="00FF7E2D"/>
    <w:rsid w:val="00FF7F66"/>
    <w:rsid w:val="01041937"/>
    <w:rsid w:val="01068A11"/>
    <w:rsid w:val="01098F20"/>
    <w:rsid w:val="0110153C"/>
    <w:rsid w:val="0111C9CB"/>
    <w:rsid w:val="01135258"/>
    <w:rsid w:val="01146FAC"/>
    <w:rsid w:val="0116438B"/>
    <w:rsid w:val="011656CF"/>
    <w:rsid w:val="0116D9CA"/>
    <w:rsid w:val="0119015C"/>
    <w:rsid w:val="01215596"/>
    <w:rsid w:val="012328AB"/>
    <w:rsid w:val="01274E6C"/>
    <w:rsid w:val="0133B63E"/>
    <w:rsid w:val="0134B173"/>
    <w:rsid w:val="01393118"/>
    <w:rsid w:val="01393F41"/>
    <w:rsid w:val="013EA342"/>
    <w:rsid w:val="013EA657"/>
    <w:rsid w:val="013F826C"/>
    <w:rsid w:val="01405648"/>
    <w:rsid w:val="0141B06B"/>
    <w:rsid w:val="0149DE50"/>
    <w:rsid w:val="014A268D"/>
    <w:rsid w:val="014AD7AB"/>
    <w:rsid w:val="014D05FE"/>
    <w:rsid w:val="01541445"/>
    <w:rsid w:val="01567A94"/>
    <w:rsid w:val="0156973B"/>
    <w:rsid w:val="01570D21"/>
    <w:rsid w:val="01586633"/>
    <w:rsid w:val="01593655"/>
    <w:rsid w:val="015CA0D5"/>
    <w:rsid w:val="0161AE5C"/>
    <w:rsid w:val="0161C094"/>
    <w:rsid w:val="016511CF"/>
    <w:rsid w:val="01677F2D"/>
    <w:rsid w:val="016FD62E"/>
    <w:rsid w:val="0177CE62"/>
    <w:rsid w:val="017AC1C6"/>
    <w:rsid w:val="017F5393"/>
    <w:rsid w:val="017FD0E5"/>
    <w:rsid w:val="0185F3E3"/>
    <w:rsid w:val="018617F5"/>
    <w:rsid w:val="01877E97"/>
    <w:rsid w:val="018799B0"/>
    <w:rsid w:val="018AF94A"/>
    <w:rsid w:val="018B1079"/>
    <w:rsid w:val="018F464F"/>
    <w:rsid w:val="0191BF25"/>
    <w:rsid w:val="0197C59B"/>
    <w:rsid w:val="01994483"/>
    <w:rsid w:val="019C6952"/>
    <w:rsid w:val="019CC21A"/>
    <w:rsid w:val="019D7167"/>
    <w:rsid w:val="019E0606"/>
    <w:rsid w:val="019FCB30"/>
    <w:rsid w:val="01A1F698"/>
    <w:rsid w:val="01A20A25"/>
    <w:rsid w:val="01A36009"/>
    <w:rsid w:val="01A8FB17"/>
    <w:rsid w:val="01B04E3E"/>
    <w:rsid w:val="01B39616"/>
    <w:rsid w:val="01B3ABFD"/>
    <w:rsid w:val="01B4E78F"/>
    <w:rsid w:val="01BD79D8"/>
    <w:rsid w:val="01C3A014"/>
    <w:rsid w:val="01C5664D"/>
    <w:rsid w:val="01C918AE"/>
    <w:rsid w:val="01CE7FF8"/>
    <w:rsid w:val="01CE930D"/>
    <w:rsid w:val="01D2DDCB"/>
    <w:rsid w:val="01D50105"/>
    <w:rsid w:val="01DE551B"/>
    <w:rsid w:val="01DF9CE0"/>
    <w:rsid w:val="01E38FB1"/>
    <w:rsid w:val="01E52953"/>
    <w:rsid w:val="01F6CE31"/>
    <w:rsid w:val="01F8010A"/>
    <w:rsid w:val="01F9FFF8"/>
    <w:rsid w:val="01FA34E7"/>
    <w:rsid w:val="01FB4078"/>
    <w:rsid w:val="01FC763E"/>
    <w:rsid w:val="01FE69EA"/>
    <w:rsid w:val="01FF4ABA"/>
    <w:rsid w:val="02065376"/>
    <w:rsid w:val="020788D8"/>
    <w:rsid w:val="0207FBBF"/>
    <w:rsid w:val="0209405A"/>
    <w:rsid w:val="020E321E"/>
    <w:rsid w:val="02189515"/>
    <w:rsid w:val="021C1C13"/>
    <w:rsid w:val="021FF1EE"/>
    <w:rsid w:val="0221D443"/>
    <w:rsid w:val="022F92E0"/>
    <w:rsid w:val="022FDE51"/>
    <w:rsid w:val="0230A595"/>
    <w:rsid w:val="02324A75"/>
    <w:rsid w:val="023D10D3"/>
    <w:rsid w:val="02410FCA"/>
    <w:rsid w:val="0244BE83"/>
    <w:rsid w:val="0244CBB3"/>
    <w:rsid w:val="0245C829"/>
    <w:rsid w:val="02492335"/>
    <w:rsid w:val="024B13B2"/>
    <w:rsid w:val="024E4C23"/>
    <w:rsid w:val="02526A70"/>
    <w:rsid w:val="025A5879"/>
    <w:rsid w:val="025AA1A5"/>
    <w:rsid w:val="025B4CB4"/>
    <w:rsid w:val="025FC4CA"/>
    <w:rsid w:val="02646408"/>
    <w:rsid w:val="0266C2D3"/>
    <w:rsid w:val="0266C447"/>
    <w:rsid w:val="026D14A4"/>
    <w:rsid w:val="0272A7FC"/>
    <w:rsid w:val="02749FD1"/>
    <w:rsid w:val="0277E50D"/>
    <w:rsid w:val="027A37CA"/>
    <w:rsid w:val="027AD9AB"/>
    <w:rsid w:val="027F52CA"/>
    <w:rsid w:val="0281F471"/>
    <w:rsid w:val="0284A58A"/>
    <w:rsid w:val="02851ACD"/>
    <w:rsid w:val="0286789D"/>
    <w:rsid w:val="02888B7C"/>
    <w:rsid w:val="0288F360"/>
    <w:rsid w:val="028A4CC2"/>
    <w:rsid w:val="028E81A2"/>
    <w:rsid w:val="028FC53E"/>
    <w:rsid w:val="02965D1A"/>
    <w:rsid w:val="0299B584"/>
    <w:rsid w:val="029A570B"/>
    <w:rsid w:val="029B404B"/>
    <w:rsid w:val="029C0AA1"/>
    <w:rsid w:val="029DF323"/>
    <w:rsid w:val="029E2078"/>
    <w:rsid w:val="029E5DA0"/>
    <w:rsid w:val="02A5D00C"/>
    <w:rsid w:val="02A83912"/>
    <w:rsid w:val="02AD7DF5"/>
    <w:rsid w:val="02AEF08D"/>
    <w:rsid w:val="02B5EE18"/>
    <w:rsid w:val="02BD9371"/>
    <w:rsid w:val="02BDA663"/>
    <w:rsid w:val="02BE51CC"/>
    <w:rsid w:val="02BF91FD"/>
    <w:rsid w:val="02C1D4B6"/>
    <w:rsid w:val="02C6DE66"/>
    <w:rsid w:val="02CA108F"/>
    <w:rsid w:val="02CA5FAC"/>
    <w:rsid w:val="02D23A74"/>
    <w:rsid w:val="02D24EB9"/>
    <w:rsid w:val="02D3B136"/>
    <w:rsid w:val="02D71378"/>
    <w:rsid w:val="02DBC7BD"/>
    <w:rsid w:val="02DC94D5"/>
    <w:rsid w:val="02EAE230"/>
    <w:rsid w:val="02EDC6D3"/>
    <w:rsid w:val="02F96689"/>
    <w:rsid w:val="02FB2F35"/>
    <w:rsid w:val="02FD985F"/>
    <w:rsid w:val="0300FAE3"/>
    <w:rsid w:val="03035A7D"/>
    <w:rsid w:val="0304D4A0"/>
    <w:rsid w:val="03055B47"/>
    <w:rsid w:val="030A8FDB"/>
    <w:rsid w:val="030A9598"/>
    <w:rsid w:val="030E4C53"/>
    <w:rsid w:val="030ECBE8"/>
    <w:rsid w:val="030F8F0D"/>
    <w:rsid w:val="03103B54"/>
    <w:rsid w:val="03103CB5"/>
    <w:rsid w:val="03108A39"/>
    <w:rsid w:val="03163B91"/>
    <w:rsid w:val="03179A89"/>
    <w:rsid w:val="0317D5A7"/>
    <w:rsid w:val="031BA146"/>
    <w:rsid w:val="031EE38D"/>
    <w:rsid w:val="03203488"/>
    <w:rsid w:val="032102F9"/>
    <w:rsid w:val="03241454"/>
    <w:rsid w:val="03264901"/>
    <w:rsid w:val="0326DCD5"/>
    <w:rsid w:val="03272BF3"/>
    <w:rsid w:val="03318BD1"/>
    <w:rsid w:val="0339C5ED"/>
    <w:rsid w:val="033B2805"/>
    <w:rsid w:val="033E1CC1"/>
    <w:rsid w:val="0342853A"/>
    <w:rsid w:val="0342BDA2"/>
    <w:rsid w:val="0344D58A"/>
    <w:rsid w:val="03483D5E"/>
    <w:rsid w:val="034A3D86"/>
    <w:rsid w:val="034EA36C"/>
    <w:rsid w:val="034ED6F1"/>
    <w:rsid w:val="0350AC86"/>
    <w:rsid w:val="03518E40"/>
    <w:rsid w:val="03569207"/>
    <w:rsid w:val="035E74A8"/>
    <w:rsid w:val="035FAA2D"/>
    <w:rsid w:val="0365004D"/>
    <w:rsid w:val="03655D2C"/>
    <w:rsid w:val="03681B30"/>
    <w:rsid w:val="0368A18B"/>
    <w:rsid w:val="036B6F80"/>
    <w:rsid w:val="036F1DC1"/>
    <w:rsid w:val="0373A680"/>
    <w:rsid w:val="0375798E"/>
    <w:rsid w:val="0375E0F8"/>
    <w:rsid w:val="037B2C4B"/>
    <w:rsid w:val="037E4FA5"/>
    <w:rsid w:val="037E9A85"/>
    <w:rsid w:val="03833C5A"/>
    <w:rsid w:val="03890979"/>
    <w:rsid w:val="038AA656"/>
    <w:rsid w:val="038ADC94"/>
    <w:rsid w:val="038BF788"/>
    <w:rsid w:val="038E3EFB"/>
    <w:rsid w:val="0390E4D8"/>
    <w:rsid w:val="0391E974"/>
    <w:rsid w:val="0393C6D3"/>
    <w:rsid w:val="0395A06A"/>
    <w:rsid w:val="039E09DE"/>
    <w:rsid w:val="039F8525"/>
    <w:rsid w:val="03A0411A"/>
    <w:rsid w:val="03A3397E"/>
    <w:rsid w:val="03A746B1"/>
    <w:rsid w:val="03A85231"/>
    <w:rsid w:val="03A88AF4"/>
    <w:rsid w:val="03A8C55D"/>
    <w:rsid w:val="03A8D5F7"/>
    <w:rsid w:val="03A95032"/>
    <w:rsid w:val="03A9940A"/>
    <w:rsid w:val="03AE3497"/>
    <w:rsid w:val="03BA3713"/>
    <w:rsid w:val="03BBAFF0"/>
    <w:rsid w:val="03BBC3FC"/>
    <w:rsid w:val="03BBD472"/>
    <w:rsid w:val="03BBD494"/>
    <w:rsid w:val="03BC2339"/>
    <w:rsid w:val="03BD67BB"/>
    <w:rsid w:val="03BDDD4A"/>
    <w:rsid w:val="03BEDF39"/>
    <w:rsid w:val="03BF2D34"/>
    <w:rsid w:val="03C00D33"/>
    <w:rsid w:val="03C0D89F"/>
    <w:rsid w:val="03C25020"/>
    <w:rsid w:val="03C634BF"/>
    <w:rsid w:val="03C6F2BD"/>
    <w:rsid w:val="03C7B296"/>
    <w:rsid w:val="03CF23BC"/>
    <w:rsid w:val="03D072FD"/>
    <w:rsid w:val="03D13EA2"/>
    <w:rsid w:val="03D41952"/>
    <w:rsid w:val="03D5A9ED"/>
    <w:rsid w:val="03DE58DC"/>
    <w:rsid w:val="03E25E0F"/>
    <w:rsid w:val="03E37122"/>
    <w:rsid w:val="03E53B30"/>
    <w:rsid w:val="03E6E991"/>
    <w:rsid w:val="03E751EC"/>
    <w:rsid w:val="03EC04CE"/>
    <w:rsid w:val="03EE067E"/>
    <w:rsid w:val="03F7DD4C"/>
    <w:rsid w:val="03FA57D5"/>
    <w:rsid w:val="03FC82A4"/>
    <w:rsid w:val="0402A6BE"/>
    <w:rsid w:val="040612E4"/>
    <w:rsid w:val="04072BCD"/>
    <w:rsid w:val="040803EA"/>
    <w:rsid w:val="04081612"/>
    <w:rsid w:val="040B757E"/>
    <w:rsid w:val="040B989A"/>
    <w:rsid w:val="040E2211"/>
    <w:rsid w:val="04113A62"/>
    <w:rsid w:val="0411743A"/>
    <w:rsid w:val="041715B8"/>
    <w:rsid w:val="0419DD7B"/>
    <w:rsid w:val="041F1562"/>
    <w:rsid w:val="041FECE9"/>
    <w:rsid w:val="0421CC01"/>
    <w:rsid w:val="04259E4C"/>
    <w:rsid w:val="042D354F"/>
    <w:rsid w:val="042D3EEF"/>
    <w:rsid w:val="042EA6EA"/>
    <w:rsid w:val="042EDD88"/>
    <w:rsid w:val="04338DA7"/>
    <w:rsid w:val="04343D4C"/>
    <w:rsid w:val="0436C6F4"/>
    <w:rsid w:val="0439D86F"/>
    <w:rsid w:val="043DC192"/>
    <w:rsid w:val="043F4BF1"/>
    <w:rsid w:val="044083BD"/>
    <w:rsid w:val="044206EC"/>
    <w:rsid w:val="044534E4"/>
    <w:rsid w:val="044771F3"/>
    <w:rsid w:val="04490454"/>
    <w:rsid w:val="044AE144"/>
    <w:rsid w:val="044B633F"/>
    <w:rsid w:val="044D250C"/>
    <w:rsid w:val="044E319C"/>
    <w:rsid w:val="044EF321"/>
    <w:rsid w:val="04548CB5"/>
    <w:rsid w:val="0456C484"/>
    <w:rsid w:val="0456EB64"/>
    <w:rsid w:val="04576193"/>
    <w:rsid w:val="0457B3EC"/>
    <w:rsid w:val="0458CAEC"/>
    <w:rsid w:val="045ACA47"/>
    <w:rsid w:val="045EFFA2"/>
    <w:rsid w:val="04617EFD"/>
    <w:rsid w:val="0463F426"/>
    <w:rsid w:val="0468B823"/>
    <w:rsid w:val="0469D975"/>
    <w:rsid w:val="0470C828"/>
    <w:rsid w:val="04716ACA"/>
    <w:rsid w:val="0476502A"/>
    <w:rsid w:val="0478DCE1"/>
    <w:rsid w:val="047A14F9"/>
    <w:rsid w:val="047B6CA1"/>
    <w:rsid w:val="047BAE63"/>
    <w:rsid w:val="047EE38F"/>
    <w:rsid w:val="047FCB3F"/>
    <w:rsid w:val="047FF3C7"/>
    <w:rsid w:val="04805A64"/>
    <w:rsid w:val="048096AE"/>
    <w:rsid w:val="0485FA0D"/>
    <w:rsid w:val="048A3897"/>
    <w:rsid w:val="048C845B"/>
    <w:rsid w:val="0495D27D"/>
    <w:rsid w:val="04966B48"/>
    <w:rsid w:val="049D2786"/>
    <w:rsid w:val="049F5C73"/>
    <w:rsid w:val="04A194DF"/>
    <w:rsid w:val="04A4DFD7"/>
    <w:rsid w:val="04AB1753"/>
    <w:rsid w:val="04AF2B1A"/>
    <w:rsid w:val="04B4C0A5"/>
    <w:rsid w:val="04B4D4F8"/>
    <w:rsid w:val="04B62AAF"/>
    <w:rsid w:val="04B95A34"/>
    <w:rsid w:val="04B9EEDD"/>
    <w:rsid w:val="04BBB308"/>
    <w:rsid w:val="04BC5021"/>
    <w:rsid w:val="04BEF479"/>
    <w:rsid w:val="04C03A6D"/>
    <w:rsid w:val="04C03C45"/>
    <w:rsid w:val="04C44546"/>
    <w:rsid w:val="04D348E8"/>
    <w:rsid w:val="04D4F22F"/>
    <w:rsid w:val="04D9623C"/>
    <w:rsid w:val="04DD73BB"/>
    <w:rsid w:val="04E18A0D"/>
    <w:rsid w:val="04E390B3"/>
    <w:rsid w:val="04E4C300"/>
    <w:rsid w:val="04E58EAD"/>
    <w:rsid w:val="04EAD5C8"/>
    <w:rsid w:val="04EB4CED"/>
    <w:rsid w:val="04EFC2C7"/>
    <w:rsid w:val="04F68062"/>
    <w:rsid w:val="04FA8D72"/>
    <w:rsid w:val="04FC3B05"/>
    <w:rsid w:val="04FEDE8A"/>
    <w:rsid w:val="05061B89"/>
    <w:rsid w:val="0507ACD7"/>
    <w:rsid w:val="0507F9A4"/>
    <w:rsid w:val="050AD881"/>
    <w:rsid w:val="050B032A"/>
    <w:rsid w:val="050E090F"/>
    <w:rsid w:val="0510841E"/>
    <w:rsid w:val="05127178"/>
    <w:rsid w:val="051EF20B"/>
    <w:rsid w:val="05219125"/>
    <w:rsid w:val="05242E6C"/>
    <w:rsid w:val="0524DA70"/>
    <w:rsid w:val="05306B31"/>
    <w:rsid w:val="0530BAC5"/>
    <w:rsid w:val="0531F8C0"/>
    <w:rsid w:val="0533672D"/>
    <w:rsid w:val="05352E7A"/>
    <w:rsid w:val="05361173"/>
    <w:rsid w:val="05361C3B"/>
    <w:rsid w:val="05374E7D"/>
    <w:rsid w:val="05385340"/>
    <w:rsid w:val="05387D56"/>
    <w:rsid w:val="053D1E7C"/>
    <w:rsid w:val="053E98A8"/>
    <w:rsid w:val="0541CF5E"/>
    <w:rsid w:val="0545D68F"/>
    <w:rsid w:val="054AAEDB"/>
    <w:rsid w:val="054C225C"/>
    <w:rsid w:val="055440A7"/>
    <w:rsid w:val="05549BB2"/>
    <w:rsid w:val="05569525"/>
    <w:rsid w:val="055ADD92"/>
    <w:rsid w:val="05611B15"/>
    <w:rsid w:val="05611FD1"/>
    <w:rsid w:val="0568C74B"/>
    <w:rsid w:val="056C6751"/>
    <w:rsid w:val="056DDA25"/>
    <w:rsid w:val="0572BF91"/>
    <w:rsid w:val="0578CB79"/>
    <w:rsid w:val="057CC8F0"/>
    <w:rsid w:val="057DC98E"/>
    <w:rsid w:val="057DE9D9"/>
    <w:rsid w:val="05806240"/>
    <w:rsid w:val="058062BC"/>
    <w:rsid w:val="05817D74"/>
    <w:rsid w:val="0585933E"/>
    <w:rsid w:val="0588AF2F"/>
    <w:rsid w:val="05894846"/>
    <w:rsid w:val="05927608"/>
    <w:rsid w:val="0592DC55"/>
    <w:rsid w:val="05957F40"/>
    <w:rsid w:val="05979CCE"/>
    <w:rsid w:val="05982D75"/>
    <w:rsid w:val="059CA1C0"/>
    <w:rsid w:val="059EB5A2"/>
    <w:rsid w:val="05A1CAB6"/>
    <w:rsid w:val="05A30EC0"/>
    <w:rsid w:val="05A642E7"/>
    <w:rsid w:val="05B626DE"/>
    <w:rsid w:val="05B658BD"/>
    <w:rsid w:val="05BB78EE"/>
    <w:rsid w:val="05C0C8C7"/>
    <w:rsid w:val="05C402A6"/>
    <w:rsid w:val="05C41407"/>
    <w:rsid w:val="05C725F9"/>
    <w:rsid w:val="05C93C0B"/>
    <w:rsid w:val="05CA2B5B"/>
    <w:rsid w:val="05CA7DB3"/>
    <w:rsid w:val="05CF2B68"/>
    <w:rsid w:val="05CF736A"/>
    <w:rsid w:val="05D01E74"/>
    <w:rsid w:val="05D590F7"/>
    <w:rsid w:val="05D5C381"/>
    <w:rsid w:val="05DECA7E"/>
    <w:rsid w:val="05E4D4A6"/>
    <w:rsid w:val="05E9C9E6"/>
    <w:rsid w:val="05EBD749"/>
    <w:rsid w:val="05ED3D55"/>
    <w:rsid w:val="05EFD7F5"/>
    <w:rsid w:val="05F49EF0"/>
    <w:rsid w:val="05F58308"/>
    <w:rsid w:val="05F8C80F"/>
    <w:rsid w:val="0602CE0C"/>
    <w:rsid w:val="060BDDFE"/>
    <w:rsid w:val="061000B1"/>
    <w:rsid w:val="06170AC4"/>
    <w:rsid w:val="06191330"/>
    <w:rsid w:val="06213363"/>
    <w:rsid w:val="06246CCA"/>
    <w:rsid w:val="062722A0"/>
    <w:rsid w:val="062F79A1"/>
    <w:rsid w:val="06348542"/>
    <w:rsid w:val="063712BF"/>
    <w:rsid w:val="063E05C7"/>
    <w:rsid w:val="064139C6"/>
    <w:rsid w:val="06459B8E"/>
    <w:rsid w:val="0649C869"/>
    <w:rsid w:val="064C9C9A"/>
    <w:rsid w:val="06540F7B"/>
    <w:rsid w:val="065561A3"/>
    <w:rsid w:val="06588984"/>
    <w:rsid w:val="065F537B"/>
    <w:rsid w:val="06600F37"/>
    <w:rsid w:val="06606E28"/>
    <w:rsid w:val="06613051"/>
    <w:rsid w:val="06695BB6"/>
    <w:rsid w:val="066A8206"/>
    <w:rsid w:val="0670476D"/>
    <w:rsid w:val="0671B673"/>
    <w:rsid w:val="06744246"/>
    <w:rsid w:val="067876D1"/>
    <w:rsid w:val="067B41AA"/>
    <w:rsid w:val="067BE833"/>
    <w:rsid w:val="067C6C3A"/>
    <w:rsid w:val="067D6BC1"/>
    <w:rsid w:val="067E7E9E"/>
    <w:rsid w:val="068055D7"/>
    <w:rsid w:val="06823970"/>
    <w:rsid w:val="068368FC"/>
    <w:rsid w:val="068458C2"/>
    <w:rsid w:val="068AB4B8"/>
    <w:rsid w:val="068DBB4C"/>
    <w:rsid w:val="068DE9A1"/>
    <w:rsid w:val="0691ADEB"/>
    <w:rsid w:val="0697AB7D"/>
    <w:rsid w:val="0697E0D6"/>
    <w:rsid w:val="0698D770"/>
    <w:rsid w:val="069C2369"/>
    <w:rsid w:val="069E3AC0"/>
    <w:rsid w:val="069EB214"/>
    <w:rsid w:val="06A002E0"/>
    <w:rsid w:val="06A222A6"/>
    <w:rsid w:val="06A35B93"/>
    <w:rsid w:val="06A53B61"/>
    <w:rsid w:val="06A6D38B"/>
    <w:rsid w:val="06AB3792"/>
    <w:rsid w:val="06B008B4"/>
    <w:rsid w:val="06B0FA13"/>
    <w:rsid w:val="06B6237A"/>
    <w:rsid w:val="06B9A19C"/>
    <w:rsid w:val="06BAD966"/>
    <w:rsid w:val="06BBF407"/>
    <w:rsid w:val="06BCE369"/>
    <w:rsid w:val="06BE5885"/>
    <w:rsid w:val="06BEE6C2"/>
    <w:rsid w:val="06BFCBC1"/>
    <w:rsid w:val="06C07EB4"/>
    <w:rsid w:val="06C20727"/>
    <w:rsid w:val="06C21D08"/>
    <w:rsid w:val="06C45368"/>
    <w:rsid w:val="06C4BC80"/>
    <w:rsid w:val="06C4FBF4"/>
    <w:rsid w:val="06C604DF"/>
    <w:rsid w:val="06CA5CEE"/>
    <w:rsid w:val="06CF9A59"/>
    <w:rsid w:val="06CFE435"/>
    <w:rsid w:val="06D8A75E"/>
    <w:rsid w:val="06DA833C"/>
    <w:rsid w:val="06DC3B13"/>
    <w:rsid w:val="06DCB17D"/>
    <w:rsid w:val="06DCE638"/>
    <w:rsid w:val="06DCFB99"/>
    <w:rsid w:val="06DD9554"/>
    <w:rsid w:val="06E05140"/>
    <w:rsid w:val="06E23601"/>
    <w:rsid w:val="06E4DC8F"/>
    <w:rsid w:val="06E8380D"/>
    <w:rsid w:val="06EB6D11"/>
    <w:rsid w:val="06EC5FD7"/>
    <w:rsid w:val="06EE4E45"/>
    <w:rsid w:val="06EE6309"/>
    <w:rsid w:val="06F1EC80"/>
    <w:rsid w:val="06F5AD28"/>
    <w:rsid w:val="06F5E77D"/>
    <w:rsid w:val="06F81DAE"/>
    <w:rsid w:val="06FECABF"/>
    <w:rsid w:val="0708DECB"/>
    <w:rsid w:val="070C75EB"/>
    <w:rsid w:val="070CAE82"/>
    <w:rsid w:val="070EFC80"/>
    <w:rsid w:val="07138020"/>
    <w:rsid w:val="0716555A"/>
    <w:rsid w:val="071826B0"/>
    <w:rsid w:val="071EFC56"/>
    <w:rsid w:val="07212884"/>
    <w:rsid w:val="0721E1D5"/>
    <w:rsid w:val="0721EF1B"/>
    <w:rsid w:val="072B31BC"/>
    <w:rsid w:val="0731189E"/>
    <w:rsid w:val="0735B47F"/>
    <w:rsid w:val="0737211B"/>
    <w:rsid w:val="073A6423"/>
    <w:rsid w:val="073AF00B"/>
    <w:rsid w:val="0740F309"/>
    <w:rsid w:val="0741AC8D"/>
    <w:rsid w:val="0745CBF9"/>
    <w:rsid w:val="0749AD07"/>
    <w:rsid w:val="074AE126"/>
    <w:rsid w:val="074B4BEF"/>
    <w:rsid w:val="074C7783"/>
    <w:rsid w:val="074CE85F"/>
    <w:rsid w:val="074E6894"/>
    <w:rsid w:val="07510C38"/>
    <w:rsid w:val="07551142"/>
    <w:rsid w:val="0759D810"/>
    <w:rsid w:val="075AECBC"/>
    <w:rsid w:val="075C11CD"/>
    <w:rsid w:val="075C1324"/>
    <w:rsid w:val="075F6A10"/>
    <w:rsid w:val="0761EC7D"/>
    <w:rsid w:val="07620D31"/>
    <w:rsid w:val="076518EE"/>
    <w:rsid w:val="076BD079"/>
    <w:rsid w:val="076D52CC"/>
    <w:rsid w:val="07701CCA"/>
    <w:rsid w:val="0774666D"/>
    <w:rsid w:val="07793075"/>
    <w:rsid w:val="07795474"/>
    <w:rsid w:val="077A3B26"/>
    <w:rsid w:val="077A7102"/>
    <w:rsid w:val="077C4667"/>
    <w:rsid w:val="077F12B5"/>
    <w:rsid w:val="077FBA4C"/>
    <w:rsid w:val="07820A89"/>
    <w:rsid w:val="0783EA37"/>
    <w:rsid w:val="07865CAC"/>
    <w:rsid w:val="0788C0EC"/>
    <w:rsid w:val="078B7231"/>
    <w:rsid w:val="078D5CB0"/>
    <w:rsid w:val="078DCF5E"/>
    <w:rsid w:val="079110E7"/>
    <w:rsid w:val="0792B061"/>
    <w:rsid w:val="0796E448"/>
    <w:rsid w:val="0796F2D1"/>
    <w:rsid w:val="0798A983"/>
    <w:rsid w:val="0798B28E"/>
    <w:rsid w:val="079A6192"/>
    <w:rsid w:val="079CFE6D"/>
    <w:rsid w:val="079D8C21"/>
    <w:rsid w:val="07A00BD2"/>
    <w:rsid w:val="07A06D91"/>
    <w:rsid w:val="07A2BA7B"/>
    <w:rsid w:val="07A6C25D"/>
    <w:rsid w:val="07A8AE2A"/>
    <w:rsid w:val="07AB6AE0"/>
    <w:rsid w:val="07B325E2"/>
    <w:rsid w:val="07B4108B"/>
    <w:rsid w:val="07BF8A03"/>
    <w:rsid w:val="07C14949"/>
    <w:rsid w:val="07C578F8"/>
    <w:rsid w:val="07CE00BE"/>
    <w:rsid w:val="07D0D79B"/>
    <w:rsid w:val="07D2F8A6"/>
    <w:rsid w:val="07D40F5C"/>
    <w:rsid w:val="07D4A616"/>
    <w:rsid w:val="07D6D701"/>
    <w:rsid w:val="07DC0823"/>
    <w:rsid w:val="07DEF6F6"/>
    <w:rsid w:val="07E3DE46"/>
    <w:rsid w:val="07EA05FE"/>
    <w:rsid w:val="07F9A1B1"/>
    <w:rsid w:val="07FFB39A"/>
    <w:rsid w:val="08004882"/>
    <w:rsid w:val="0802C982"/>
    <w:rsid w:val="08044DC3"/>
    <w:rsid w:val="0806F534"/>
    <w:rsid w:val="08086432"/>
    <w:rsid w:val="0815B386"/>
    <w:rsid w:val="0816ACAE"/>
    <w:rsid w:val="0818A8C9"/>
    <w:rsid w:val="08193F91"/>
    <w:rsid w:val="081B5088"/>
    <w:rsid w:val="081E8938"/>
    <w:rsid w:val="081F4F52"/>
    <w:rsid w:val="081F89B7"/>
    <w:rsid w:val="0820D522"/>
    <w:rsid w:val="0821628D"/>
    <w:rsid w:val="0822A278"/>
    <w:rsid w:val="082339B9"/>
    <w:rsid w:val="08256310"/>
    <w:rsid w:val="0827CDFF"/>
    <w:rsid w:val="082C599F"/>
    <w:rsid w:val="083372AB"/>
    <w:rsid w:val="083896AE"/>
    <w:rsid w:val="0839A8D8"/>
    <w:rsid w:val="083D7D7C"/>
    <w:rsid w:val="083DA195"/>
    <w:rsid w:val="08423D2A"/>
    <w:rsid w:val="08444125"/>
    <w:rsid w:val="084C4115"/>
    <w:rsid w:val="0854073B"/>
    <w:rsid w:val="08541A88"/>
    <w:rsid w:val="0854967A"/>
    <w:rsid w:val="085657F2"/>
    <w:rsid w:val="085CCE17"/>
    <w:rsid w:val="08605E11"/>
    <w:rsid w:val="08607C6E"/>
    <w:rsid w:val="08695065"/>
    <w:rsid w:val="086D210C"/>
    <w:rsid w:val="086D6D69"/>
    <w:rsid w:val="08707946"/>
    <w:rsid w:val="0870BE26"/>
    <w:rsid w:val="08722291"/>
    <w:rsid w:val="08722471"/>
    <w:rsid w:val="0872AF2A"/>
    <w:rsid w:val="08748FAE"/>
    <w:rsid w:val="08765256"/>
    <w:rsid w:val="087C027C"/>
    <w:rsid w:val="0882497D"/>
    <w:rsid w:val="088ACFF2"/>
    <w:rsid w:val="088BA396"/>
    <w:rsid w:val="088C33D7"/>
    <w:rsid w:val="088C973E"/>
    <w:rsid w:val="088CAA6A"/>
    <w:rsid w:val="088CDF6A"/>
    <w:rsid w:val="0894CCF0"/>
    <w:rsid w:val="0895D4E3"/>
    <w:rsid w:val="08968722"/>
    <w:rsid w:val="089B5C18"/>
    <w:rsid w:val="089D3F56"/>
    <w:rsid w:val="08A20558"/>
    <w:rsid w:val="08A2EB92"/>
    <w:rsid w:val="08A53B89"/>
    <w:rsid w:val="08A93570"/>
    <w:rsid w:val="08A97B49"/>
    <w:rsid w:val="08AAE63D"/>
    <w:rsid w:val="08AD50E6"/>
    <w:rsid w:val="08AE49F6"/>
    <w:rsid w:val="08B17D9C"/>
    <w:rsid w:val="08B202CD"/>
    <w:rsid w:val="08B235CC"/>
    <w:rsid w:val="08B5205E"/>
    <w:rsid w:val="08B7751E"/>
    <w:rsid w:val="08BBEC72"/>
    <w:rsid w:val="08C0A965"/>
    <w:rsid w:val="08C34A70"/>
    <w:rsid w:val="08C3FAB9"/>
    <w:rsid w:val="08C4CC39"/>
    <w:rsid w:val="08CD4783"/>
    <w:rsid w:val="08D0D116"/>
    <w:rsid w:val="08D184E0"/>
    <w:rsid w:val="08D22765"/>
    <w:rsid w:val="08D2A4E0"/>
    <w:rsid w:val="08D64781"/>
    <w:rsid w:val="08D6A41F"/>
    <w:rsid w:val="08DB15B5"/>
    <w:rsid w:val="08DB3F83"/>
    <w:rsid w:val="08DC28C6"/>
    <w:rsid w:val="08DD609E"/>
    <w:rsid w:val="08DE8D67"/>
    <w:rsid w:val="08DF7D72"/>
    <w:rsid w:val="08E1F7AA"/>
    <w:rsid w:val="08E3903E"/>
    <w:rsid w:val="08E4A609"/>
    <w:rsid w:val="08E52863"/>
    <w:rsid w:val="08E77CC3"/>
    <w:rsid w:val="08E7AFC9"/>
    <w:rsid w:val="08E82DC8"/>
    <w:rsid w:val="08EC328B"/>
    <w:rsid w:val="08ED1B4B"/>
    <w:rsid w:val="08F13F8D"/>
    <w:rsid w:val="08F17500"/>
    <w:rsid w:val="08F32B50"/>
    <w:rsid w:val="08F916B7"/>
    <w:rsid w:val="08FE632C"/>
    <w:rsid w:val="08FEAA3F"/>
    <w:rsid w:val="09001CB2"/>
    <w:rsid w:val="0901592F"/>
    <w:rsid w:val="09036762"/>
    <w:rsid w:val="09089390"/>
    <w:rsid w:val="090BBB60"/>
    <w:rsid w:val="0910F838"/>
    <w:rsid w:val="091258D2"/>
    <w:rsid w:val="0912D478"/>
    <w:rsid w:val="0914DFE2"/>
    <w:rsid w:val="091B004C"/>
    <w:rsid w:val="091BAB24"/>
    <w:rsid w:val="091D75A5"/>
    <w:rsid w:val="0921D31F"/>
    <w:rsid w:val="0922A577"/>
    <w:rsid w:val="092E44B1"/>
    <w:rsid w:val="092EBFB8"/>
    <w:rsid w:val="09300C3A"/>
    <w:rsid w:val="09354B9E"/>
    <w:rsid w:val="09371A45"/>
    <w:rsid w:val="09386143"/>
    <w:rsid w:val="0939FC0F"/>
    <w:rsid w:val="093B0F1F"/>
    <w:rsid w:val="093DD261"/>
    <w:rsid w:val="09423C29"/>
    <w:rsid w:val="0946FC29"/>
    <w:rsid w:val="0946FF60"/>
    <w:rsid w:val="094A772D"/>
    <w:rsid w:val="094D93ED"/>
    <w:rsid w:val="094DD541"/>
    <w:rsid w:val="09528B3D"/>
    <w:rsid w:val="0955CE73"/>
    <w:rsid w:val="09582CCF"/>
    <w:rsid w:val="0960E11B"/>
    <w:rsid w:val="09612D8B"/>
    <w:rsid w:val="09618A88"/>
    <w:rsid w:val="096302F5"/>
    <w:rsid w:val="096795F7"/>
    <w:rsid w:val="096DFCAC"/>
    <w:rsid w:val="097066D6"/>
    <w:rsid w:val="0970B642"/>
    <w:rsid w:val="09745AE1"/>
    <w:rsid w:val="097560A5"/>
    <w:rsid w:val="0978E316"/>
    <w:rsid w:val="097AC286"/>
    <w:rsid w:val="097B8DDB"/>
    <w:rsid w:val="097BF0B3"/>
    <w:rsid w:val="097C64AE"/>
    <w:rsid w:val="097D551E"/>
    <w:rsid w:val="097D8B9A"/>
    <w:rsid w:val="097E731E"/>
    <w:rsid w:val="0980B481"/>
    <w:rsid w:val="09832F7B"/>
    <w:rsid w:val="09862D01"/>
    <w:rsid w:val="0992BAAB"/>
    <w:rsid w:val="099A6F4B"/>
    <w:rsid w:val="099BC5E2"/>
    <w:rsid w:val="099DAE5A"/>
    <w:rsid w:val="099F738D"/>
    <w:rsid w:val="09A180B3"/>
    <w:rsid w:val="09A87828"/>
    <w:rsid w:val="09A99F15"/>
    <w:rsid w:val="09AA227C"/>
    <w:rsid w:val="09AADD15"/>
    <w:rsid w:val="09B12191"/>
    <w:rsid w:val="09B3F6E7"/>
    <w:rsid w:val="09B40A69"/>
    <w:rsid w:val="09B4DED7"/>
    <w:rsid w:val="09B55096"/>
    <w:rsid w:val="09B6FDD3"/>
    <w:rsid w:val="09BA9851"/>
    <w:rsid w:val="09BBCC05"/>
    <w:rsid w:val="09BCAFA7"/>
    <w:rsid w:val="09C045D6"/>
    <w:rsid w:val="09C1ED64"/>
    <w:rsid w:val="09CA11D9"/>
    <w:rsid w:val="09CBE842"/>
    <w:rsid w:val="09CD33A9"/>
    <w:rsid w:val="09CF0C08"/>
    <w:rsid w:val="09D33B1C"/>
    <w:rsid w:val="09D344CB"/>
    <w:rsid w:val="09D90154"/>
    <w:rsid w:val="09DA56AC"/>
    <w:rsid w:val="09DED494"/>
    <w:rsid w:val="09DFD060"/>
    <w:rsid w:val="09E1648E"/>
    <w:rsid w:val="09E29F9B"/>
    <w:rsid w:val="09E79BF0"/>
    <w:rsid w:val="09EA6621"/>
    <w:rsid w:val="09EF2328"/>
    <w:rsid w:val="09EF25E6"/>
    <w:rsid w:val="09F267A3"/>
    <w:rsid w:val="09F7AAF1"/>
    <w:rsid w:val="09F814B1"/>
    <w:rsid w:val="09F9846C"/>
    <w:rsid w:val="09FA7312"/>
    <w:rsid w:val="09FC4CCF"/>
    <w:rsid w:val="09FCFD47"/>
    <w:rsid w:val="0A0025D4"/>
    <w:rsid w:val="0A014668"/>
    <w:rsid w:val="0A04A9A0"/>
    <w:rsid w:val="0A08A49E"/>
    <w:rsid w:val="0A0CBB9C"/>
    <w:rsid w:val="0A13E71D"/>
    <w:rsid w:val="0A1859F2"/>
    <w:rsid w:val="0A1AD75F"/>
    <w:rsid w:val="0A1B10C1"/>
    <w:rsid w:val="0A1B49C5"/>
    <w:rsid w:val="0A203261"/>
    <w:rsid w:val="0A2144A4"/>
    <w:rsid w:val="0A24939D"/>
    <w:rsid w:val="0A24DCA0"/>
    <w:rsid w:val="0A263E87"/>
    <w:rsid w:val="0A2FAE9D"/>
    <w:rsid w:val="0A307614"/>
    <w:rsid w:val="0A30DABA"/>
    <w:rsid w:val="0A3240C0"/>
    <w:rsid w:val="0A337508"/>
    <w:rsid w:val="0A34E0F9"/>
    <w:rsid w:val="0A38410F"/>
    <w:rsid w:val="0A39FCC8"/>
    <w:rsid w:val="0A3B072A"/>
    <w:rsid w:val="0A3CC7F3"/>
    <w:rsid w:val="0A3D0D85"/>
    <w:rsid w:val="0A413BF4"/>
    <w:rsid w:val="0A41C938"/>
    <w:rsid w:val="0A446C14"/>
    <w:rsid w:val="0A4498B4"/>
    <w:rsid w:val="0A449C37"/>
    <w:rsid w:val="0A47D29B"/>
    <w:rsid w:val="0A4D4E64"/>
    <w:rsid w:val="0A4F2F79"/>
    <w:rsid w:val="0A5C029D"/>
    <w:rsid w:val="0A5F03BA"/>
    <w:rsid w:val="0A5FC759"/>
    <w:rsid w:val="0A62E312"/>
    <w:rsid w:val="0A658BD4"/>
    <w:rsid w:val="0A670EAF"/>
    <w:rsid w:val="0A68708F"/>
    <w:rsid w:val="0A69836D"/>
    <w:rsid w:val="0A6B30A2"/>
    <w:rsid w:val="0A6EDA86"/>
    <w:rsid w:val="0A712C97"/>
    <w:rsid w:val="0A7182CF"/>
    <w:rsid w:val="0A74D928"/>
    <w:rsid w:val="0A759B16"/>
    <w:rsid w:val="0A75F8FF"/>
    <w:rsid w:val="0A795664"/>
    <w:rsid w:val="0A7A23B9"/>
    <w:rsid w:val="0A7E7405"/>
    <w:rsid w:val="0A80561B"/>
    <w:rsid w:val="0A82ECB1"/>
    <w:rsid w:val="0A87E95B"/>
    <w:rsid w:val="0A8F050D"/>
    <w:rsid w:val="0A933DD5"/>
    <w:rsid w:val="0A93AC57"/>
    <w:rsid w:val="0A93B063"/>
    <w:rsid w:val="0A945C6F"/>
    <w:rsid w:val="0A94C940"/>
    <w:rsid w:val="0A9A1517"/>
    <w:rsid w:val="0A9AF35F"/>
    <w:rsid w:val="0AA05A86"/>
    <w:rsid w:val="0AA12E75"/>
    <w:rsid w:val="0AA45663"/>
    <w:rsid w:val="0AA4756A"/>
    <w:rsid w:val="0AA5BA52"/>
    <w:rsid w:val="0AA61DAB"/>
    <w:rsid w:val="0AA7EFF8"/>
    <w:rsid w:val="0AACD8A7"/>
    <w:rsid w:val="0AAEDD6D"/>
    <w:rsid w:val="0AB0E422"/>
    <w:rsid w:val="0AB24EB8"/>
    <w:rsid w:val="0AB2B84D"/>
    <w:rsid w:val="0AB33CDD"/>
    <w:rsid w:val="0AB94548"/>
    <w:rsid w:val="0AB9A69E"/>
    <w:rsid w:val="0ABA5FBB"/>
    <w:rsid w:val="0ABCB979"/>
    <w:rsid w:val="0ABFD81D"/>
    <w:rsid w:val="0AC1C14D"/>
    <w:rsid w:val="0AC57020"/>
    <w:rsid w:val="0AC6BBF3"/>
    <w:rsid w:val="0AC7AF49"/>
    <w:rsid w:val="0ACA6227"/>
    <w:rsid w:val="0ACD1C61"/>
    <w:rsid w:val="0ACDD16B"/>
    <w:rsid w:val="0ACE07BB"/>
    <w:rsid w:val="0ACE5427"/>
    <w:rsid w:val="0ACF1BB5"/>
    <w:rsid w:val="0AD06027"/>
    <w:rsid w:val="0AD12D73"/>
    <w:rsid w:val="0ADF6001"/>
    <w:rsid w:val="0AE14E77"/>
    <w:rsid w:val="0AE5813B"/>
    <w:rsid w:val="0AE611C7"/>
    <w:rsid w:val="0AE8F812"/>
    <w:rsid w:val="0AEFFB3A"/>
    <w:rsid w:val="0AF00150"/>
    <w:rsid w:val="0AF8923D"/>
    <w:rsid w:val="0AFC0AEB"/>
    <w:rsid w:val="0AFF9C42"/>
    <w:rsid w:val="0B02059C"/>
    <w:rsid w:val="0B059639"/>
    <w:rsid w:val="0B075ECF"/>
    <w:rsid w:val="0B07749D"/>
    <w:rsid w:val="0B0BCBDC"/>
    <w:rsid w:val="0B0BCE8A"/>
    <w:rsid w:val="0B10625D"/>
    <w:rsid w:val="0B115A49"/>
    <w:rsid w:val="0B116CEC"/>
    <w:rsid w:val="0B12DC37"/>
    <w:rsid w:val="0B14DAF8"/>
    <w:rsid w:val="0B19E108"/>
    <w:rsid w:val="0B1F9B0B"/>
    <w:rsid w:val="0B27978E"/>
    <w:rsid w:val="0B2880B6"/>
    <w:rsid w:val="0B2CF5EE"/>
    <w:rsid w:val="0B2E8B0C"/>
    <w:rsid w:val="0B36B500"/>
    <w:rsid w:val="0B38012B"/>
    <w:rsid w:val="0B381E72"/>
    <w:rsid w:val="0B3832E1"/>
    <w:rsid w:val="0B38E62A"/>
    <w:rsid w:val="0B3BDC9D"/>
    <w:rsid w:val="0B4778A1"/>
    <w:rsid w:val="0B49B61D"/>
    <w:rsid w:val="0B4D8AB3"/>
    <w:rsid w:val="0B4F4464"/>
    <w:rsid w:val="0B5191B5"/>
    <w:rsid w:val="0B52B3EF"/>
    <w:rsid w:val="0B540377"/>
    <w:rsid w:val="0B55B062"/>
    <w:rsid w:val="0B5812CD"/>
    <w:rsid w:val="0B586D8D"/>
    <w:rsid w:val="0B59C63E"/>
    <w:rsid w:val="0B5B674E"/>
    <w:rsid w:val="0B5B7189"/>
    <w:rsid w:val="0B5DDDD8"/>
    <w:rsid w:val="0B6711DF"/>
    <w:rsid w:val="0B6B4573"/>
    <w:rsid w:val="0B6CEB18"/>
    <w:rsid w:val="0B6E8A0E"/>
    <w:rsid w:val="0B739C7B"/>
    <w:rsid w:val="0B75158F"/>
    <w:rsid w:val="0B82B0C2"/>
    <w:rsid w:val="0B83EC0E"/>
    <w:rsid w:val="0B843D98"/>
    <w:rsid w:val="0B851505"/>
    <w:rsid w:val="0B86E8A5"/>
    <w:rsid w:val="0B8ADDC5"/>
    <w:rsid w:val="0B8C807E"/>
    <w:rsid w:val="0B9373DC"/>
    <w:rsid w:val="0B96D0EA"/>
    <w:rsid w:val="0B97DA38"/>
    <w:rsid w:val="0B9D43E7"/>
    <w:rsid w:val="0B9F04C6"/>
    <w:rsid w:val="0BA036B0"/>
    <w:rsid w:val="0BA1539B"/>
    <w:rsid w:val="0BA90840"/>
    <w:rsid w:val="0BAA0AB5"/>
    <w:rsid w:val="0BAA3D16"/>
    <w:rsid w:val="0BAFB77E"/>
    <w:rsid w:val="0BB081AB"/>
    <w:rsid w:val="0BB37777"/>
    <w:rsid w:val="0BB8B28C"/>
    <w:rsid w:val="0BBD1AF1"/>
    <w:rsid w:val="0BC15774"/>
    <w:rsid w:val="0BC21375"/>
    <w:rsid w:val="0BC4378C"/>
    <w:rsid w:val="0BC71ECB"/>
    <w:rsid w:val="0BC7C45C"/>
    <w:rsid w:val="0BCA1101"/>
    <w:rsid w:val="0BDB3DE7"/>
    <w:rsid w:val="0BDB5E86"/>
    <w:rsid w:val="0BDE9013"/>
    <w:rsid w:val="0BDF67D7"/>
    <w:rsid w:val="0BE002CE"/>
    <w:rsid w:val="0BE1ADC9"/>
    <w:rsid w:val="0BE4AC33"/>
    <w:rsid w:val="0BE56B81"/>
    <w:rsid w:val="0BE65949"/>
    <w:rsid w:val="0BEB7580"/>
    <w:rsid w:val="0BEB7DDF"/>
    <w:rsid w:val="0BF25CE2"/>
    <w:rsid w:val="0BFAFFE5"/>
    <w:rsid w:val="0BFB037F"/>
    <w:rsid w:val="0BFF0DDB"/>
    <w:rsid w:val="0BFFCFBB"/>
    <w:rsid w:val="0BFFFEB0"/>
    <w:rsid w:val="0C00CB96"/>
    <w:rsid w:val="0C00D8D8"/>
    <w:rsid w:val="0C0557A8"/>
    <w:rsid w:val="0C055AC9"/>
    <w:rsid w:val="0C0597F4"/>
    <w:rsid w:val="0C07196A"/>
    <w:rsid w:val="0C07F94D"/>
    <w:rsid w:val="0C0B7AA9"/>
    <w:rsid w:val="0C0F6E3C"/>
    <w:rsid w:val="0C0F6FE1"/>
    <w:rsid w:val="0C14E063"/>
    <w:rsid w:val="0C16D087"/>
    <w:rsid w:val="0C18CEB4"/>
    <w:rsid w:val="0C192AE7"/>
    <w:rsid w:val="0C1A1C7E"/>
    <w:rsid w:val="0C20374B"/>
    <w:rsid w:val="0C23BEF0"/>
    <w:rsid w:val="0C257F3F"/>
    <w:rsid w:val="0C2694DB"/>
    <w:rsid w:val="0C277124"/>
    <w:rsid w:val="0C2879CE"/>
    <w:rsid w:val="0C2A8300"/>
    <w:rsid w:val="0C341254"/>
    <w:rsid w:val="0C3A5CE3"/>
    <w:rsid w:val="0C3BB5FF"/>
    <w:rsid w:val="0C3C7E99"/>
    <w:rsid w:val="0C457EE5"/>
    <w:rsid w:val="0C468DEE"/>
    <w:rsid w:val="0C482D14"/>
    <w:rsid w:val="0C526971"/>
    <w:rsid w:val="0C5283D8"/>
    <w:rsid w:val="0C551F40"/>
    <w:rsid w:val="0C55B756"/>
    <w:rsid w:val="0C5B52DC"/>
    <w:rsid w:val="0C5BFE31"/>
    <w:rsid w:val="0C5D8C43"/>
    <w:rsid w:val="0C5DFFB3"/>
    <w:rsid w:val="0C622871"/>
    <w:rsid w:val="0C650C8D"/>
    <w:rsid w:val="0C7259D8"/>
    <w:rsid w:val="0C72E044"/>
    <w:rsid w:val="0C759B29"/>
    <w:rsid w:val="0C763A3E"/>
    <w:rsid w:val="0C8317E0"/>
    <w:rsid w:val="0C88B148"/>
    <w:rsid w:val="0C8C7770"/>
    <w:rsid w:val="0C914521"/>
    <w:rsid w:val="0C92D33B"/>
    <w:rsid w:val="0C958D04"/>
    <w:rsid w:val="0C9C8E8F"/>
    <w:rsid w:val="0CA04B23"/>
    <w:rsid w:val="0CA2DCE9"/>
    <w:rsid w:val="0CA34427"/>
    <w:rsid w:val="0CA57A29"/>
    <w:rsid w:val="0CA8B776"/>
    <w:rsid w:val="0CAA3904"/>
    <w:rsid w:val="0CAD0356"/>
    <w:rsid w:val="0CB944DA"/>
    <w:rsid w:val="0CBB711C"/>
    <w:rsid w:val="0CBB76D9"/>
    <w:rsid w:val="0CBDC6D5"/>
    <w:rsid w:val="0CC22A50"/>
    <w:rsid w:val="0CC2A011"/>
    <w:rsid w:val="0CC3433D"/>
    <w:rsid w:val="0CC479CB"/>
    <w:rsid w:val="0CC55C68"/>
    <w:rsid w:val="0CC6A59B"/>
    <w:rsid w:val="0CC97381"/>
    <w:rsid w:val="0CCA58D0"/>
    <w:rsid w:val="0CCDB387"/>
    <w:rsid w:val="0CD53894"/>
    <w:rsid w:val="0CDA0F90"/>
    <w:rsid w:val="0CDB1247"/>
    <w:rsid w:val="0CE27DD7"/>
    <w:rsid w:val="0CE30222"/>
    <w:rsid w:val="0CE5C138"/>
    <w:rsid w:val="0CE6365E"/>
    <w:rsid w:val="0CE7AAD0"/>
    <w:rsid w:val="0CEDF392"/>
    <w:rsid w:val="0CEEF346"/>
    <w:rsid w:val="0CEFF60B"/>
    <w:rsid w:val="0CF196C4"/>
    <w:rsid w:val="0CF3D4F0"/>
    <w:rsid w:val="0CF6AF97"/>
    <w:rsid w:val="0CF6D5CD"/>
    <w:rsid w:val="0CF7A174"/>
    <w:rsid w:val="0CFFDDAB"/>
    <w:rsid w:val="0D025773"/>
    <w:rsid w:val="0D059305"/>
    <w:rsid w:val="0D0C853A"/>
    <w:rsid w:val="0D0E4344"/>
    <w:rsid w:val="0D109DF2"/>
    <w:rsid w:val="0D12074B"/>
    <w:rsid w:val="0D128A46"/>
    <w:rsid w:val="0D14C6EB"/>
    <w:rsid w:val="0D150781"/>
    <w:rsid w:val="0D1B5A24"/>
    <w:rsid w:val="0D1B6C36"/>
    <w:rsid w:val="0D1E73A9"/>
    <w:rsid w:val="0D2097E2"/>
    <w:rsid w:val="0D215C97"/>
    <w:rsid w:val="0D21673D"/>
    <w:rsid w:val="0D2C9D3F"/>
    <w:rsid w:val="0D2EBB31"/>
    <w:rsid w:val="0D368A2C"/>
    <w:rsid w:val="0D37ED93"/>
    <w:rsid w:val="0D3886A2"/>
    <w:rsid w:val="0D38E2C7"/>
    <w:rsid w:val="0D450062"/>
    <w:rsid w:val="0D486705"/>
    <w:rsid w:val="0D4E3BCB"/>
    <w:rsid w:val="0D4F2C04"/>
    <w:rsid w:val="0D53F27C"/>
    <w:rsid w:val="0D54C85E"/>
    <w:rsid w:val="0D554CDA"/>
    <w:rsid w:val="0D568FD8"/>
    <w:rsid w:val="0D5DD182"/>
    <w:rsid w:val="0D5F26E1"/>
    <w:rsid w:val="0D644EED"/>
    <w:rsid w:val="0D65B2CC"/>
    <w:rsid w:val="0D65C313"/>
    <w:rsid w:val="0D697DB7"/>
    <w:rsid w:val="0D69CDE2"/>
    <w:rsid w:val="0D6BB350"/>
    <w:rsid w:val="0D6D886F"/>
    <w:rsid w:val="0D70BD70"/>
    <w:rsid w:val="0D77DDF4"/>
    <w:rsid w:val="0D8154E3"/>
    <w:rsid w:val="0D82E2A4"/>
    <w:rsid w:val="0D839530"/>
    <w:rsid w:val="0D83D9B1"/>
    <w:rsid w:val="0D83DBAD"/>
    <w:rsid w:val="0D8432AA"/>
    <w:rsid w:val="0D8539E9"/>
    <w:rsid w:val="0D87CCDE"/>
    <w:rsid w:val="0D8CE13F"/>
    <w:rsid w:val="0D8DF70C"/>
    <w:rsid w:val="0D9164A7"/>
    <w:rsid w:val="0D9388D0"/>
    <w:rsid w:val="0D949D03"/>
    <w:rsid w:val="0D959C88"/>
    <w:rsid w:val="0D9A04CC"/>
    <w:rsid w:val="0D9DB6E6"/>
    <w:rsid w:val="0DA18B68"/>
    <w:rsid w:val="0DA48735"/>
    <w:rsid w:val="0DA93787"/>
    <w:rsid w:val="0DAC12AB"/>
    <w:rsid w:val="0DADC94C"/>
    <w:rsid w:val="0DB2A7E2"/>
    <w:rsid w:val="0DB422E8"/>
    <w:rsid w:val="0DB50D7D"/>
    <w:rsid w:val="0DB5C793"/>
    <w:rsid w:val="0DBA8B4E"/>
    <w:rsid w:val="0DBACD1D"/>
    <w:rsid w:val="0DBDF3C9"/>
    <w:rsid w:val="0DC16ED3"/>
    <w:rsid w:val="0DC52F8F"/>
    <w:rsid w:val="0DC7FE9E"/>
    <w:rsid w:val="0DC910CD"/>
    <w:rsid w:val="0DCA3D46"/>
    <w:rsid w:val="0DCB97DD"/>
    <w:rsid w:val="0DD43A04"/>
    <w:rsid w:val="0DD5A095"/>
    <w:rsid w:val="0DD631B9"/>
    <w:rsid w:val="0DD666DF"/>
    <w:rsid w:val="0DD74902"/>
    <w:rsid w:val="0DD88621"/>
    <w:rsid w:val="0DD906BB"/>
    <w:rsid w:val="0DE76C90"/>
    <w:rsid w:val="0DEB475B"/>
    <w:rsid w:val="0DF5B443"/>
    <w:rsid w:val="0DF5CB73"/>
    <w:rsid w:val="0DF74C43"/>
    <w:rsid w:val="0DFAA973"/>
    <w:rsid w:val="0DFCE641"/>
    <w:rsid w:val="0E00C616"/>
    <w:rsid w:val="0E040555"/>
    <w:rsid w:val="0E084184"/>
    <w:rsid w:val="0E098DF4"/>
    <w:rsid w:val="0E0BA22D"/>
    <w:rsid w:val="0E0D2D8E"/>
    <w:rsid w:val="0E0F96DA"/>
    <w:rsid w:val="0E100272"/>
    <w:rsid w:val="0E1877AD"/>
    <w:rsid w:val="0E18A69E"/>
    <w:rsid w:val="0E1A8A48"/>
    <w:rsid w:val="0E1D5A7B"/>
    <w:rsid w:val="0E1EE4BE"/>
    <w:rsid w:val="0E1FC1A2"/>
    <w:rsid w:val="0E220B38"/>
    <w:rsid w:val="0E24826C"/>
    <w:rsid w:val="0E298DC0"/>
    <w:rsid w:val="0E2B4B2A"/>
    <w:rsid w:val="0E2DBD35"/>
    <w:rsid w:val="0E3135D9"/>
    <w:rsid w:val="0E31D5E7"/>
    <w:rsid w:val="0E33CA49"/>
    <w:rsid w:val="0E3D01D8"/>
    <w:rsid w:val="0E3E84D8"/>
    <w:rsid w:val="0E4059CD"/>
    <w:rsid w:val="0E414FC6"/>
    <w:rsid w:val="0E44682D"/>
    <w:rsid w:val="0E4C88E0"/>
    <w:rsid w:val="0E4E8AB1"/>
    <w:rsid w:val="0E54442E"/>
    <w:rsid w:val="0E58547C"/>
    <w:rsid w:val="0E5B6092"/>
    <w:rsid w:val="0E5CAA17"/>
    <w:rsid w:val="0E5DB014"/>
    <w:rsid w:val="0E5EAEC5"/>
    <w:rsid w:val="0E62EB4E"/>
    <w:rsid w:val="0E647B1A"/>
    <w:rsid w:val="0E662BCE"/>
    <w:rsid w:val="0E68141E"/>
    <w:rsid w:val="0E6A83B7"/>
    <w:rsid w:val="0E6E1E4C"/>
    <w:rsid w:val="0E74E716"/>
    <w:rsid w:val="0E75870F"/>
    <w:rsid w:val="0E7A3C70"/>
    <w:rsid w:val="0E7A8FDE"/>
    <w:rsid w:val="0E7BB4D7"/>
    <w:rsid w:val="0E7C173F"/>
    <w:rsid w:val="0E7C2932"/>
    <w:rsid w:val="0E7E1452"/>
    <w:rsid w:val="0E7F72D9"/>
    <w:rsid w:val="0E848D56"/>
    <w:rsid w:val="0E8E7469"/>
    <w:rsid w:val="0E8FA813"/>
    <w:rsid w:val="0E91D61E"/>
    <w:rsid w:val="0E92D1CA"/>
    <w:rsid w:val="0E958932"/>
    <w:rsid w:val="0E9753F5"/>
    <w:rsid w:val="0E9A686D"/>
    <w:rsid w:val="0E9AC228"/>
    <w:rsid w:val="0E9CF1E8"/>
    <w:rsid w:val="0E9CFB1A"/>
    <w:rsid w:val="0E9D2B31"/>
    <w:rsid w:val="0E9D3675"/>
    <w:rsid w:val="0EA1D4B4"/>
    <w:rsid w:val="0EA21AFB"/>
    <w:rsid w:val="0EA24D3D"/>
    <w:rsid w:val="0EA7F6FA"/>
    <w:rsid w:val="0EAE387B"/>
    <w:rsid w:val="0EB32AE8"/>
    <w:rsid w:val="0EB54FFC"/>
    <w:rsid w:val="0EC64D8A"/>
    <w:rsid w:val="0ECBEADB"/>
    <w:rsid w:val="0ED583B3"/>
    <w:rsid w:val="0ED6F2DB"/>
    <w:rsid w:val="0ED7B4E4"/>
    <w:rsid w:val="0EDB3F9D"/>
    <w:rsid w:val="0EDBE279"/>
    <w:rsid w:val="0EDE5C0D"/>
    <w:rsid w:val="0EDE5F1A"/>
    <w:rsid w:val="0EDF662B"/>
    <w:rsid w:val="0EE26A98"/>
    <w:rsid w:val="0EE4C5E2"/>
    <w:rsid w:val="0EED0A68"/>
    <w:rsid w:val="0EEE555F"/>
    <w:rsid w:val="0EF0DA7A"/>
    <w:rsid w:val="0EF43630"/>
    <w:rsid w:val="0EF9D381"/>
    <w:rsid w:val="0EFAF767"/>
    <w:rsid w:val="0EFDC775"/>
    <w:rsid w:val="0EFF1ED3"/>
    <w:rsid w:val="0EFF56A2"/>
    <w:rsid w:val="0F0564A7"/>
    <w:rsid w:val="0F07EADD"/>
    <w:rsid w:val="0F0983A4"/>
    <w:rsid w:val="0F0C045C"/>
    <w:rsid w:val="0F0E4EE1"/>
    <w:rsid w:val="0F0F5395"/>
    <w:rsid w:val="0F156A5D"/>
    <w:rsid w:val="0F16F955"/>
    <w:rsid w:val="0F174D24"/>
    <w:rsid w:val="0F1A9EBD"/>
    <w:rsid w:val="0F1EA678"/>
    <w:rsid w:val="0F2080A7"/>
    <w:rsid w:val="0F2254C1"/>
    <w:rsid w:val="0F23B3BA"/>
    <w:rsid w:val="0F25245E"/>
    <w:rsid w:val="0F2E4738"/>
    <w:rsid w:val="0F2F437A"/>
    <w:rsid w:val="0F31090F"/>
    <w:rsid w:val="0F34969E"/>
    <w:rsid w:val="0F398A77"/>
    <w:rsid w:val="0F39EB84"/>
    <w:rsid w:val="0F3AFC52"/>
    <w:rsid w:val="0F3C1D19"/>
    <w:rsid w:val="0F421330"/>
    <w:rsid w:val="0F440149"/>
    <w:rsid w:val="0F452935"/>
    <w:rsid w:val="0F4839BD"/>
    <w:rsid w:val="0F4A8671"/>
    <w:rsid w:val="0F4B944D"/>
    <w:rsid w:val="0F4CBF7E"/>
    <w:rsid w:val="0F509598"/>
    <w:rsid w:val="0F513F74"/>
    <w:rsid w:val="0F57F42F"/>
    <w:rsid w:val="0F623351"/>
    <w:rsid w:val="0F64C9D5"/>
    <w:rsid w:val="0F64E12E"/>
    <w:rsid w:val="0F6A104D"/>
    <w:rsid w:val="0F6CBDAA"/>
    <w:rsid w:val="0F6E04A8"/>
    <w:rsid w:val="0F73F28B"/>
    <w:rsid w:val="0F761EBF"/>
    <w:rsid w:val="0F7B9F34"/>
    <w:rsid w:val="0F7F1633"/>
    <w:rsid w:val="0F833CF1"/>
    <w:rsid w:val="0F868D09"/>
    <w:rsid w:val="0F86C6CB"/>
    <w:rsid w:val="0F888DE4"/>
    <w:rsid w:val="0F8AE04F"/>
    <w:rsid w:val="0F8D438C"/>
    <w:rsid w:val="0F8EC318"/>
    <w:rsid w:val="0F8FDC06"/>
    <w:rsid w:val="0F90D45D"/>
    <w:rsid w:val="0F931A15"/>
    <w:rsid w:val="0F9A16D8"/>
    <w:rsid w:val="0FA1BD9C"/>
    <w:rsid w:val="0FA253D5"/>
    <w:rsid w:val="0FA4801F"/>
    <w:rsid w:val="0FA82C96"/>
    <w:rsid w:val="0FACEA9E"/>
    <w:rsid w:val="0FB3401B"/>
    <w:rsid w:val="0FB38B3F"/>
    <w:rsid w:val="0FB391D1"/>
    <w:rsid w:val="0FB880AB"/>
    <w:rsid w:val="0FB8F5D9"/>
    <w:rsid w:val="0FB99369"/>
    <w:rsid w:val="0FBAA15F"/>
    <w:rsid w:val="0FBE7358"/>
    <w:rsid w:val="0FBEC291"/>
    <w:rsid w:val="0FC11239"/>
    <w:rsid w:val="0FC2061A"/>
    <w:rsid w:val="0FC93326"/>
    <w:rsid w:val="0FD3B0D1"/>
    <w:rsid w:val="0FDD35F2"/>
    <w:rsid w:val="0FE1537F"/>
    <w:rsid w:val="0FE230AF"/>
    <w:rsid w:val="0FE4F022"/>
    <w:rsid w:val="0FE5B804"/>
    <w:rsid w:val="0FE96696"/>
    <w:rsid w:val="0FEBBED5"/>
    <w:rsid w:val="0FF60238"/>
    <w:rsid w:val="0FF73183"/>
    <w:rsid w:val="0FF8B3A3"/>
    <w:rsid w:val="0FF9D817"/>
    <w:rsid w:val="0FFD4F49"/>
    <w:rsid w:val="0FFEACD5"/>
    <w:rsid w:val="100075E6"/>
    <w:rsid w:val="1001FC2F"/>
    <w:rsid w:val="10033282"/>
    <w:rsid w:val="100987A5"/>
    <w:rsid w:val="10099D2B"/>
    <w:rsid w:val="100B5C99"/>
    <w:rsid w:val="100B9CFE"/>
    <w:rsid w:val="10116D0B"/>
    <w:rsid w:val="10157FDA"/>
    <w:rsid w:val="101729B3"/>
    <w:rsid w:val="101BFE84"/>
    <w:rsid w:val="101D812E"/>
    <w:rsid w:val="101D876B"/>
    <w:rsid w:val="101E5B3A"/>
    <w:rsid w:val="102085D2"/>
    <w:rsid w:val="1024EF0D"/>
    <w:rsid w:val="1026BB3D"/>
    <w:rsid w:val="102A568B"/>
    <w:rsid w:val="102AB7CF"/>
    <w:rsid w:val="102B5AAE"/>
    <w:rsid w:val="1032185F"/>
    <w:rsid w:val="1032560E"/>
    <w:rsid w:val="103BE678"/>
    <w:rsid w:val="103ECA4A"/>
    <w:rsid w:val="1040EAA8"/>
    <w:rsid w:val="104425FC"/>
    <w:rsid w:val="104C1E60"/>
    <w:rsid w:val="10508732"/>
    <w:rsid w:val="10519957"/>
    <w:rsid w:val="10521C25"/>
    <w:rsid w:val="1053C4A3"/>
    <w:rsid w:val="10557BE3"/>
    <w:rsid w:val="105BD717"/>
    <w:rsid w:val="1063FEF2"/>
    <w:rsid w:val="1065CC3E"/>
    <w:rsid w:val="1068C447"/>
    <w:rsid w:val="10697BE6"/>
    <w:rsid w:val="1069E318"/>
    <w:rsid w:val="106A81B6"/>
    <w:rsid w:val="106B50A1"/>
    <w:rsid w:val="106EC071"/>
    <w:rsid w:val="1075B237"/>
    <w:rsid w:val="1078960C"/>
    <w:rsid w:val="107C454D"/>
    <w:rsid w:val="107D6546"/>
    <w:rsid w:val="10809B26"/>
    <w:rsid w:val="1080A209"/>
    <w:rsid w:val="1080F4FC"/>
    <w:rsid w:val="1082A34B"/>
    <w:rsid w:val="108328A1"/>
    <w:rsid w:val="108C0820"/>
    <w:rsid w:val="10931591"/>
    <w:rsid w:val="1093CE74"/>
    <w:rsid w:val="109A3B4C"/>
    <w:rsid w:val="109B357F"/>
    <w:rsid w:val="10A10400"/>
    <w:rsid w:val="10A26DBF"/>
    <w:rsid w:val="10A2ABB1"/>
    <w:rsid w:val="10A34795"/>
    <w:rsid w:val="10A42851"/>
    <w:rsid w:val="10A5EA21"/>
    <w:rsid w:val="10AAE30D"/>
    <w:rsid w:val="10AD56EB"/>
    <w:rsid w:val="10B1B382"/>
    <w:rsid w:val="10B1B43A"/>
    <w:rsid w:val="10B9620E"/>
    <w:rsid w:val="10C17C01"/>
    <w:rsid w:val="10CA921A"/>
    <w:rsid w:val="10CBBC05"/>
    <w:rsid w:val="10CF58BC"/>
    <w:rsid w:val="10D041CB"/>
    <w:rsid w:val="10D797CC"/>
    <w:rsid w:val="10DBC4E1"/>
    <w:rsid w:val="10DDD52F"/>
    <w:rsid w:val="10DE9106"/>
    <w:rsid w:val="10E04BEF"/>
    <w:rsid w:val="10E08204"/>
    <w:rsid w:val="10E0F996"/>
    <w:rsid w:val="10E2E0B7"/>
    <w:rsid w:val="10E36F1A"/>
    <w:rsid w:val="10E3B14E"/>
    <w:rsid w:val="10E8A590"/>
    <w:rsid w:val="10E8F62A"/>
    <w:rsid w:val="10EC263E"/>
    <w:rsid w:val="10EDC906"/>
    <w:rsid w:val="10F00C85"/>
    <w:rsid w:val="10F25C3F"/>
    <w:rsid w:val="10F3FBB7"/>
    <w:rsid w:val="10F4EFC2"/>
    <w:rsid w:val="10F621AE"/>
    <w:rsid w:val="10F7820A"/>
    <w:rsid w:val="10FAB481"/>
    <w:rsid w:val="10FACD51"/>
    <w:rsid w:val="10FBA5A4"/>
    <w:rsid w:val="10FBB0F8"/>
    <w:rsid w:val="10FCCCA1"/>
    <w:rsid w:val="10FDBB77"/>
    <w:rsid w:val="1105E2F0"/>
    <w:rsid w:val="110615E0"/>
    <w:rsid w:val="110AD2B7"/>
    <w:rsid w:val="110B65A1"/>
    <w:rsid w:val="11100E10"/>
    <w:rsid w:val="1110A46C"/>
    <w:rsid w:val="11174BB2"/>
    <w:rsid w:val="111AD94B"/>
    <w:rsid w:val="11220A2E"/>
    <w:rsid w:val="112518C8"/>
    <w:rsid w:val="1127036E"/>
    <w:rsid w:val="1127ADCE"/>
    <w:rsid w:val="1129618F"/>
    <w:rsid w:val="112C9351"/>
    <w:rsid w:val="112CBD35"/>
    <w:rsid w:val="112F097C"/>
    <w:rsid w:val="1137DB44"/>
    <w:rsid w:val="113821F4"/>
    <w:rsid w:val="1144E56C"/>
    <w:rsid w:val="1145137E"/>
    <w:rsid w:val="11468AE3"/>
    <w:rsid w:val="1147E478"/>
    <w:rsid w:val="1147F6DB"/>
    <w:rsid w:val="114B4A19"/>
    <w:rsid w:val="114B5C2A"/>
    <w:rsid w:val="114E688E"/>
    <w:rsid w:val="1151449A"/>
    <w:rsid w:val="1151A60D"/>
    <w:rsid w:val="11530037"/>
    <w:rsid w:val="115B63F3"/>
    <w:rsid w:val="115C07DC"/>
    <w:rsid w:val="115D7010"/>
    <w:rsid w:val="1160D4C0"/>
    <w:rsid w:val="11615CA1"/>
    <w:rsid w:val="1166E904"/>
    <w:rsid w:val="116772CA"/>
    <w:rsid w:val="11682113"/>
    <w:rsid w:val="116A7B9D"/>
    <w:rsid w:val="116C4D6D"/>
    <w:rsid w:val="116DECA0"/>
    <w:rsid w:val="116E3B13"/>
    <w:rsid w:val="116E496A"/>
    <w:rsid w:val="116E6C1B"/>
    <w:rsid w:val="1170240D"/>
    <w:rsid w:val="11727EC5"/>
    <w:rsid w:val="1172BF55"/>
    <w:rsid w:val="1177F4B9"/>
    <w:rsid w:val="117C555F"/>
    <w:rsid w:val="117F3DF4"/>
    <w:rsid w:val="117F5424"/>
    <w:rsid w:val="11856AF8"/>
    <w:rsid w:val="11875D3A"/>
    <w:rsid w:val="118AC9AB"/>
    <w:rsid w:val="118BC842"/>
    <w:rsid w:val="118F8ACD"/>
    <w:rsid w:val="119268EB"/>
    <w:rsid w:val="11930984"/>
    <w:rsid w:val="11936A3B"/>
    <w:rsid w:val="1194FBF0"/>
    <w:rsid w:val="119808E6"/>
    <w:rsid w:val="1198D0A6"/>
    <w:rsid w:val="119D229E"/>
    <w:rsid w:val="11A6D593"/>
    <w:rsid w:val="11AE221C"/>
    <w:rsid w:val="11B0F949"/>
    <w:rsid w:val="11B214E9"/>
    <w:rsid w:val="11BA129F"/>
    <w:rsid w:val="11BAF2FE"/>
    <w:rsid w:val="11BB7690"/>
    <w:rsid w:val="11BECAD2"/>
    <w:rsid w:val="11C27947"/>
    <w:rsid w:val="11C2F894"/>
    <w:rsid w:val="11C4B8BB"/>
    <w:rsid w:val="11CBA731"/>
    <w:rsid w:val="11CCEFEB"/>
    <w:rsid w:val="11D4D916"/>
    <w:rsid w:val="11D5A303"/>
    <w:rsid w:val="11D704E9"/>
    <w:rsid w:val="11D8D2F6"/>
    <w:rsid w:val="11DA8B31"/>
    <w:rsid w:val="11DC19ED"/>
    <w:rsid w:val="11E3126D"/>
    <w:rsid w:val="11E6A546"/>
    <w:rsid w:val="11F1B5AC"/>
    <w:rsid w:val="11F27D83"/>
    <w:rsid w:val="11F63BBC"/>
    <w:rsid w:val="11FA4236"/>
    <w:rsid w:val="11FC022C"/>
    <w:rsid w:val="11FD922A"/>
    <w:rsid w:val="11FE7061"/>
    <w:rsid w:val="11FFF632"/>
    <w:rsid w:val="1202DE54"/>
    <w:rsid w:val="1203602F"/>
    <w:rsid w:val="1203B514"/>
    <w:rsid w:val="12042D17"/>
    <w:rsid w:val="1209A04A"/>
    <w:rsid w:val="120E623D"/>
    <w:rsid w:val="1210EAE1"/>
    <w:rsid w:val="1211D58F"/>
    <w:rsid w:val="12132482"/>
    <w:rsid w:val="1213F691"/>
    <w:rsid w:val="1216B361"/>
    <w:rsid w:val="1216CDE7"/>
    <w:rsid w:val="1216F37E"/>
    <w:rsid w:val="12172F43"/>
    <w:rsid w:val="121AA54A"/>
    <w:rsid w:val="12211AFA"/>
    <w:rsid w:val="1222D36B"/>
    <w:rsid w:val="122729CA"/>
    <w:rsid w:val="1228BD1E"/>
    <w:rsid w:val="1228C749"/>
    <w:rsid w:val="1229F002"/>
    <w:rsid w:val="122AD235"/>
    <w:rsid w:val="122E0F38"/>
    <w:rsid w:val="1239A395"/>
    <w:rsid w:val="123CA4A2"/>
    <w:rsid w:val="123F1D7E"/>
    <w:rsid w:val="123F3DCA"/>
    <w:rsid w:val="123FC0BE"/>
    <w:rsid w:val="12414A41"/>
    <w:rsid w:val="124B03C6"/>
    <w:rsid w:val="124EA95B"/>
    <w:rsid w:val="1253401B"/>
    <w:rsid w:val="1253B3BC"/>
    <w:rsid w:val="1256FD96"/>
    <w:rsid w:val="125F8CD7"/>
    <w:rsid w:val="1263021F"/>
    <w:rsid w:val="126925BC"/>
    <w:rsid w:val="126B46F0"/>
    <w:rsid w:val="126DBCB7"/>
    <w:rsid w:val="1273F73D"/>
    <w:rsid w:val="1274B67D"/>
    <w:rsid w:val="12769265"/>
    <w:rsid w:val="1276BA15"/>
    <w:rsid w:val="12786726"/>
    <w:rsid w:val="12804056"/>
    <w:rsid w:val="12854355"/>
    <w:rsid w:val="1291D54B"/>
    <w:rsid w:val="1296F66D"/>
    <w:rsid w:val="1297C4CD"/>
    <w:rsid w:val="129C7E5E"/>
    <w:rsid w:val="129FFF24"/>
    <w:rsid w:val="12A3E377"/>
    <w:rsid w:val="12AAF6EC"/>
    <w:rsid w:val="12AB17CB"/>
    <w:rsid w:val="12ACC2B6"/>
    <w:rsid w:val="12AD2322"/>
    <w:rsid w:val="12B41832"/>
    <w:rsid w:val="12B5BF7D"/>
    <w:rsid w:val="12BBB08F"/>
    <w:rsid w:val="12BBD239"/>
    <w:rsid w:val="12BD8D7F"/>
    <w:rsid w:val="12BEF3D4"/>
    <w:rsid w:val="12BFAAF3"/>
    <w:rsid w:val="12C58258"/>
    <w:rsid w:val="12C784D9"/>
    <w:rsid w:val="12C80491"/>
    <w:rsid w:val="12CFB0CF"/>
    <w:rsid w:val="12D1868F"/>
    <w:rsid w:val="12D49E2C"/>
    <w:rsid w:val="12D60D20"/>
    <w:rsid w:val="12D6D72A"/>
    <w:rsid w:val="12DB57FC"/>
    <w:rsid w:val="12DD05EA"/>
    <w:rsid w:val="12DD951E"/>
    <w:rsid w:val="12E1FB4D"/>
    <w:rsid w:val="12E3F209"/>
    <w:rsid w:val="12EAD821"/>
    <w:rsid w:val="12F0DE33"/>
    <w:rsid w:val="12F49AEE"/>
    <w:rsid w:val="12F75010"/>
    <w:rsid w:val="12F772BE"/>
    <w:rsid w:val="12F8A66C"/>
    <w:rsid w:val="1303703C"/>
    <w:rsid w:val="13044BD7"/>
    <w:rsid w:val="13077EF6"/>
    <w:rsid w:val="1307832D"/>
    <w:rsid w:val="130A05C9"/>
    <w:rsid w:val="130CD46D"/>
    <w:rsid w:val="1311C12A"/>
    <w:rsid w:val="1311FE8F"/>
    <w:rsid w:val="13126B8D"/>
    <w:rsid w:val="13166AD5"/>
    <w:rsid w:val="1317AAC5"/>
    <w:rsid w:val="131C94DE"/>
    <w:rsid w:val="131DAF4E"/>
    <w:rsid w:val="1322BDA0"/>
    <w:rsid w:val="13255052"/>
    <w:rsid w:val="13279C15"/>
    <w:rsid w:val="132B6FB7"/>
    <w:rsid w:val="132C875E"/>
    <w:rsid w:val="1342A421"/>
    <w:rsid w:val="134B84E5"/>
    <w:rsid w:val="134C62DF"/>
    <w:rsid w:val="134D2651"/>
    <w:rsid w:val="134D69AF"/>
    <w:rsid w:val="13537E01"/>
    <w:rsid w:val="1353E259"/>
    <w:rsid w:val="135A1B2A"/>
    <w:rsid w:val="135A2EC9"/>
    <w:rsid w:val="135A3DEA"/>
    <w:rsid w:val="135AC86E"/>
    <w:rsid w:val="135C43A0"/>
    <w:rsid w:val="135D734A"/>
    <w:rsid w:val="136295E4"/>
    <w:rsid w:val="13698B0F"/>
    <w:rsid w:val="136A7539"/>
    <w:rsid w:val="136F4695"/>
    <w:rsid w:val="137469E3"/>
    <w:rsid w:val="1376D4FC"/>
    <w:rsid w:val="13777E73"/>
    <w:rsid w:val="137844FE"/>
    <w:rsid w:val="13854E2E"/>
    <w:rsid w:val="1386AF8C"/>
    <w:rsid w:val="138714D2"/>
    <w:rsid w:val="13874785"/>
    <w:rsid w:val="138A8401"/>
    <w:rsid w:val="138C9B7A"/>
    <w:rsid w:val="13914B7D"/>
    <w:rsid w:val="13944B15"/>
    <w:rsid w:val="139ABE3E"/>
    <w:rsid w:val="139F36EB"/>
    <w:rsid w:val="13A3FA7C"/>
    <w:rsid w:val="13A8DF1F"/>
    <w:rsid w:val="13A8EDCA"/>
    <w:rsid w:val="13A96BF0"/>
    <w:rsid w:val="13ACF043"/>
    <w:rsid w:val="13AE4651"/>
    <w:rsid w:val="13B4EF6C"/>
    <w:rsid w:val="13B738AC"/>
    <w:rsid w:val="13BF790B"/>
    <w:rsid w:val="13C29CD6"/>
    <w:rsid w:val="13C388EB"/>
    <w:rsid w:val="13C8CA5C"/>
    <w:rsid w:val="13C9C526"/>
    <w:rsid w:val="13CAA7D4"/>
    <w:rsid w:val="13CB7BC9"/>
    <w:rsid w:val="13CCC26A"/>
    <w:rsid w:val="13D1D523"/>
    <w:rsid w:val="13D2D641"/>
    <w:rsid w:val="13D50F6D"/>
    <w:rsid w:val="13DC4CEC"/>
    <w:rsid w:val="13DDED56"/>
    <w:rsid w:val="13E57EAA"/>
    <w:rsid w:val="13E87D61"/>
    <w:rsid w:val="13E9A8D9"/>
    <w:rsid w:val="13EA3E55"/>
    <w:rsid w:val="13EABBC8"/>
    <w:rsid w:val="13EBAA52"/>
    <w:rsid w:val="13EC6520"/>
    <w:rsid w:val="13F8000A"/>
    <w:rsid w:val="13FD0F3C"/>
    <w:rsid w:val="13FDF154"/>
    <w:rsid w:val="13FEFC23"/>
    <w:rsid w:val="1402E1CC"/>
    <w:rsid w:val="14033708"/>
    <w:rsid w:val="1404B3B9"/>
    <w:rsid w:val="1404F376"/>
    <w:rsid w:val="1406E9F5"/>
    <w:rsid w:val="140A8194"/>
    <w:rsid w:val="140C9773"/>
    <w:rsid w:val="1411987D"/>
    <w:rsid w:val="1411A5EA"/>
    <w:rsid w:val="1416B290"/>
    <w:rsid w:val="141757AB"/>
    <w:rsid w:val="14188E19"/>
    <w:rsid w:val="141B1009"/>
    <w:rsid w:val="1421B4DD"/>
    <w:rsid w:val="14228AC7"/>
    <w:rsid w:val="14274B2D"/>
    <w:rsid w:val="14290AE8"/>
    <w:rsid w:val="142A8835"/>
    <w:rsid w:val="142B6C0C"/>
    <w:rsid w:val="142B893E"/>
    <w:rsid w:val="14314D07"/>
    <w:rsid w:val="143274B8"/>
    <w:rsid w:val="1432E7C6"/>
    <w:rsid w:val="14358E67"/>
    <w:rsid w:val="14367C65"/>
    <w:rsid w:val="143D83B2"/>
    <w:rsid w:val="143F3A4B"/>
    <w:rsid w:val="1441A98C"/>
    <w:rsid w:val="14468A86"/>
    <w:rsid w:val="14481C4C"/>
    <w:rsid w:val="144CEBEA"/>
    <w:rsid w:val="144D1A4B"/>
    <w:rsid w:val="144FDC0D"/>
    <w:rsid w:val="14518FDE"/>
    <w:rsid w:val="1454C2A2"/>
    <w:rsid w:val="1454E8FD"/>
    <w:rsid w:val="1459F606"/>
    <w:rsid w:val="145AC5AA"/>
    <w:rsid w:val="145C979C"/>
    <w:rsid w:val="145D372B"/>
    <w:rsid w:val="1462172B"/>
    <w:rsid w:val="1463F55E"/>
    <w:rsid w:val="14644C78"/>
    <w:rsid w:val="146A7523"/>
    <w:rsid w:val="146A8678"/>
    <w:rsid w:val="146ACA7D"/>
    <w:rsid w:val="146C2840"/>
    <w:rsid w:val="14702E21"/>
    <w:rsid w:val="1470F581"/>
    <w:rsid w:val="1477438B"/>
    <w:rsid w:val="1479A13E"/>
    <w:rsid w:val="1479C695"/>
    <w:rsid w:val="147FCCD2"/>
    <w:rsid w:val="14805073"/>
    <w:rsid w:val="14806899"/>
    <w:rsid w:val="1485A7D5"/>
    <w:rsid w:val="14885B6E"/>
    <w:rsid w:val="1488E9E9"/>
    <w:rsid w:val="148AB2CC"/>
    <w:rsid w:val="148C9108"/>
    <w:rsid w:val="148F2DEA"/>
    <w:rsid w:val="14925270"/>
    <w:rsid w:val="149523AC"/>
    <w:rsid w:val="1497A9D4"/>
    <w:rsid w:val="14988C6C"/>
    <w:rsid w:val="149BF1B5"/>
    <w:rsid w:val="149F8888"/>
    <w:rsid w:val="149FC6AF"/>
    <w:rsid w:val="149FD956"/>
    <w:rsid w:val="14A026A0"/>
    <w:rsid w:val="14A02A40"/>
    <w:rsid w:val="14A2F4DB"/>
    <w:rsid w:val="14A8CC68"/>
    <w:rsid w:val="14A98239"/>
    <w:rsid w:val="14AD5ED1"/>
    <w:rsid w:val="14B00B87"/>
    <w:rsid w:val="14B1BC01"/>
    <w:rsid w:val="14BDBC7D"/>
    <w:rsid w:val="14C11C73"/>
    <w:rsid w:val="14C2C425"/>
    <w:rsid w:val="14C825F4"/>
    <w:rsid w:val="14CDC08E"/>
    <w:rsid w:val="14CE736B"/>
    <w:rsid w:val="14CEF732"/>
    <w:rsid w:val="14D11044"/>
    <w:rsid w:val="14D19E3B"/>
    <w:rsid w:val="14D4CE55"/>
    <w:rsid w:val="14D4E127"/>
    <w:rsid w:val="14D56D52"/>
    <w:rsid w:val="14D5F19C"/>
    <w:rsid w:val="14D6657E"/>
    <w:rsid w:val="14DA2BF7"/>
    <w:rsid w:val="14E1A57C"/>
    <w:rsid w:val="14E41570"/>
    <w:rsid w:val="14E70F44"/>
    <w:rsid w:val="14EA45C5"/>
    <w:rsid w:val="14EB0887"/>
    <w:rsid w:val="14F0EA2C"/>
    <w:rsid w:val="14F0ECF9"/>
    <w:rsid w:val="14F0F251"/>
    <w:rsid w:val="14F7BB5D"/>
    <w:rsid w:val="14F83F63"/>
    <w:rsid w:val="14F94CB6"/>
    <w:rsid w:val="14FE1FC3"/>
    <w:rsid w:val="15030BDD"/>
    <w:rsid w:val="150502D7"/>
    <w:rsid w:val="15078204"/>
    <w:rsid w:val="1509A49D"/>
    <w:rsid w:val="1510FD32"/>
    <w:rsid w:val="1515BB01"/>
    <w:rsid w:val="151610DA"/>
    <w:rsid w:val="1518666D"/>
    <w:rsid w:val="151EC7E1"/>
    <w:rsid w:val="151EF162"/>
    <w:rsid w:val="151FB280"/>
    <w:rsid w:val="1526257F"/>
    <w:rsid w:val="15264E8A"/>
    <w:rsid w:val="152A9BCD"/>
    <w:rsid w:val="15368402"/>
    <w:rsid w:val="15374C1E"/>
    <w:rsid w:val="153E1DBB"/>
    <w:rsid w:val="1542A678"/>
    <w:rsid w:val="1543A17E"/>
    <w:rsid w:val="1545417B"/>
    <w:rsid w:val="15485833"/>
    <w:rsid w:val="154AE256"/>
    <w:rsid w:val="1551C1D3"/>
    <w:rsid w:val="1553BD75"/>
    <w:rsid w:val="1555D979"/>
    <w:rsid w:val="15564FAE"/>
    <w:rsid w:val="1558D04E"/>
    <w:rsid w:val="15599342"/>
    <w:rsid w:val="1559F8D3"/>
    <w:rsid w:val="155DC3B0"/>
    <w:rsid w:val="155DEE51"/>
    <w:rsid w:val="1561ED8D"/>
    <w:rsid w:val="156232E7"/>
    <w:rsid w:val="15642892"/>
    <w:rsid w:val="156679B1"/>
    <w:rsid w:val="156901D1"/>
    <w:rsid w:val="156AA526"/>
    <w:rsid w:val="157054A5"/>
    <w:rsid w:val="15759F5E"/>
    <w:rsid w:val="157DBB86"/>
    <w:rsid w:val="157DFB0D"/>
    <w:rsid w:val="1581197F"/>
    <w:rsid w:val="1583F0DE"/>
    <w:rsid w:val="1586CC24"/>
    <w:rsid w:val="15876379"/>
    <w:rsid w:val="158CE140"/>
    <w:rsid w:val="158DE0E5"/>
    <w:rsid w:val="15901556"/>
    <w:rsid w:val="1590DC39"/>
    <w:rsid w:val="159505B3"/>
    <w:rsid w:val="1595F792"/>
    <w:rsid w:val="159950CA"/>
    <w:rsid w:val="159A5BE7"/>
    <w:rsid w:val="15A06D9E"/>
    <w:rsid w:val="15A12727"/>
    <w:rsid w:val="15A14A9A"/>
    <w:rsid w:val="15A21804"/>
    <w:rsid w:val="15B03541"/>
    <w:rsid w:val="15B35A94"/>
    <w:rsid w:val="15B401D9"/>
    <w:rsid w:val="15B5D2FA"/>
    <w:rsid w:val="15B7F56E"/>
    <w:rsid w:val="15B8D336"/>
    <w:rsid w:val="15C96EE5"/>
    <w:rsid w:val="15CA41D9"/>
    <w:rsid w:val="15CBF5A7"/>
    <w:rsid w:val="15D03747"/>
    <w:rsid w:val="15D0FB36"/>
    <w:rsid w:val="15D2BC0F"/>
    <w:rsid w:val="15D3C32A"/>
    <w:rsid w:val="15D40064"/>
    <w:rsid w:val="15D53882"/>
    <w:rsid w:val="15D56A58"/>
    <w:rsid w:val="15D646FA"/>
    <w:rsid w:val="15D7FB11"/>
    <w:rsid w:val="15D9AB2F"/>
    <w:rsid w:val="15DDE8D9"/>
    <w:rsid w:val="15E2E69F"/>
    <w:rsid w:val="15EFED99"/>
    <w:rsid w:val="15F2CB1D"/>
    <w:rsid w:val="15F378D2"/>
    <w:rsid w:val="15FBBCE7"/>
    <w:rsid w:val="15FC0095"/>
    <w:rsid w:val="15FD5DFA"/>
    <w:rsid w:val="15FE1E69"/>
    <w:rsid w:val="15FE3D3D"/>
    <w:rsid w:val="16000745"/>
    <w:rsid w:val="16068392"/>
    <w:rsid w:val="160887D2"/>
    <w:rsid w:val="160A5646"/>
    <w:rsid w:val="160D76BB"/>
    <w:rsid w:val="160EEBC6"/>
    <w:rsid w:val="1611FFAC"/>
    <w:rsid w:val="1614C042"/>
    <w:rsid w:val="1615BB21"/>
    <w:rsid w:val="1615D897"/>
    <w:rsid w:val="1617817C"/>
    <w:rsid w:val="1617A1E7"/>
    <w:rsid w:val="1618D0DE"/>
    <w:rsid w:val="16199D6F"/>
    <w:rsid w:val="161D2B5B"/>
    <w:rsid w:val="161DAB81"/>
    <w:rsid w:val="1622E5AA"/>
    <w:rsid w:val="162319B6"/>
    <w:rsid w:val="16232CA3"/>
    <w:rsid w:val="1628CB9F"/>
    <w:rsid w:val="162D375B"/>
    <w:rsid w:val="163007E1"/>
    <w:rsid w:val="1632A43B"/>
    <w:rsid w:val="1635B9A3"/>
    <w:rsid w:val="16368F8E"/>
    <w:rsid w:val="16371950"/>
    <w:rsid w:val="163864D9"/>
    <w:rsid w:val="163A5C64"/>
    <w:rsid w:val="163DE88E"/>
    <w:rsid w:val="163E5BD2"/>
    <w:rsid w:val="164401FC"/>
    <w:rsid w:val="1646BB15"/>
    <w:rsid w:val="164CEE1D"/>
    <w:rsid w:val="165360B2"/>
    <w:rsid w:val="165D93D3"/>
    <w:rsid w:val="1661FE17"/>
    <w:rsid w:val="166379EE"/>
    <w:rsid w:val="1664CC71"/>
    <w:rsid w:val="166A8831"/>
    <w:rsid w:val="166D91B9"/>
    <w:rsid w:val="166DBA56"/>
    <w:rsid w:val="1674C4FC"/>
    <w:rsid w:val="1675311E"/>
    <w:rsid w:val="1675DD82"/>
    <w:rsid w:val="167651FE"/>
    <w:rsid w:val="1679339D"/>
    <w:rsid w:val="167C719E"/>
    <w:rsid w:val="167CAE8E"/>
    <w:rsid w:val="167F6B1E"/>
    <w:rsid w:val="1682CBD6"/>
    <w:rsid w:val="168B88B1"/>
    <w:rsid w:val="168D32A9"/>
    <w:rsid w:val="168D5F05"/>
    <w:rsid w:val="168F22D7"/>
    <w:rsid w:val="168FDFF8"/>
    <w:rsid w:val="16902820"/>
    <w:rsid w:val="1691672F"/>
    <w:rsid w:val="1691B059"/>
    <w:rsid w:val="1691D0C8"/>
    <w:rsid w:val="16929004"/>
    <w:rsid w:val="1694CC16"/>
    <w:rsid w:val="169958AC"/>
    <w:rsid w:val="1699F3F7"/>
    <w:rsid w:val="169AF0DB"/>
    <w:rsid w:val="169BDA8B"/>
    <w:rsid w:val="169C1C66"/>
    <w:rsid w:val="169C2DD8"/>
    <w:rsid w:val="169CA37C"/>
    <w:rsid w:val="169CE780"/>
    <w:rsid w:val="16A2698F"/>
    <w:rsid w:val="16A9F659"/>
    <w:rsid w:val="16AA29BF"/>
    <w:rsid w:val="16ABBC6B"/>
    <w:rsid w:val="16B00AF9"/>
    <w:rsid w:val="16B1D307"/>
    <w:rsid w:val="16B51CD0"/>
    <w:rsid w:val="16B7ED89"/>
    <w:rsid w:val="16BC98A3"/>
    <w:rsid w:val="16C7851E"/>
    <w:rsid w:val="16C8A06E"/>
    <w:rsid w:val="16CBA9C2"/>
    <w:rsid w:val="16CBE0E5"/>
    <w:rsid w:val="16CF09A3"/>
    <w:rsid w:val="16D4A9AB"/>
    <w:rsid w:val="16D80A6E"/>
    <w:rsid w:val="16DB4FAB"/>
    <w:rsid w:val="16DB6FFA"/>
    <w:rsid w:val="16DC41B5"/>
    <w:rsid w:val="16E17F33"/>
    <w:rsid w:val="16E525AE"/>
    <w:rsid w:val="16E5CA2B"/>
    <w:rsid w:val="16E6FA5D"/>
    <w:rsid w:val="16EABD05"/>
    <w:rsid w:val="16EFE960"/>
    <w:rsid w:val="16F1ECAF"/>
    <w:rsid w:val="16F4E7E1"/>
    <w:rsid w:val="16F96B00"/>
    <w:rsid w:val="16FE79A4"/>
    <w:rsid w:val="170146F6"/>
    <w:rsid w:val="1704F2F1"/>
    <w:rsid w:val="170D7785"/>
    <w:rsid w:val="17149F1F"/>
    <w:rsid w:val="17165628"/>
    <w:rsid w:val="171839FC"/>
    <w:rsid w:val="1719822D"/>
    <w:rsid w:val="1719EB8E"/>
    <w:rsid w:val="171EC899"/>
    <w:rsid w:val="1725784F"/>
    <w:rsid w:val="1726075D"/>
    <w:rsid w:val="172800AD"/>
    <w:rsid w:val="1728A654"/>
    <w:rsid w:val="17296CAD"/>
    <w:rsid w:val="172A748B"/>
    <w:rsid w:val="172E0885"/>
    <w:rsid w:val="172E2D48"/>
    <w:rsid w:val="172EB53E"/>
    <w:rsid w:val="172FE88B"/>
    <w:rsid w:val="17330466"/>
    <w:rsid w:val="173DEEDB"/>
    <w:rsid w:val="173E01A8"/>
    <w:rsid w:val="173EB1D9"/>
    <w:rsid w:val="17438975"/>
    <w:rsid w:val="1743ED66"/>
    <w:rsid w:val="17505371"/>
    <w:rsid w:val="1752B0CB"/>
    <w:rsid w:val="17563ECD"/>
    <w:rsid w:val="1757406A"/>
    <w:rsid w:val="175D4D66"/>
    <w:rsid w:val="1769A600"/>
    <w:rsid w:val="176DD082"/>
    <w:rsid w:val="17732C5E"/>
    <w:rsid w:val="17751820"/>
    <w:rsid w:val="1776C9DA"/>
    <w:rsid w:val="177D13FF"/>
    <w:rsid w:val="177DE209"/>
    <w:rsid w:val="17814BC1"/>
    <w:rsid w:val="178FC16A"/>
    <w:rsid w:val="17920752"/>
    <w:rsid w:val="17932264"/>
    <w:rsid w:val="17940967"/>
    <w:rsid w:val="179E2DA3"/>
    <w:rsid w:val="17ABC2FC"/>
    <w:rsid w:val="17AC9D76"/>
    <w:rsid w:val="17AD65F8"/>
    <w:rsid w:val="17B50CDB"/>
    <w:rsid w:val="17B77007"/>
    <w:rsid w:val="17BA4E49"/>
    <w:rsid w:val="17BC90FF"/>
    <w:rsid w:val="17BFBE02"/>
    <w:rsid w:val="17BFD690"/>
    <w:rsid w:val="17C3E970"/>
    <w:rsid w:val="17CE7F3D"/>
    <w:rsid w:val="17DA3674"/>
    <w:rsid w:val="17DD87D9"/>
    <w:rsid w:val="17DE5C41"/>
    <w:rsid w:val="17E0DB4C"/>
    <w:rsid w:val="17E5DF22"/>
    <w:rsid w:val="17ED7829"/>
    <w:rsid w:val="17EE50FE"/>
    <w:rsid w:val="17EEA767"/>
    <w:rsid w:val="17EF22D3"/>
    <w:rsid w:val="17F1B392"/>
    <w:rsid w:val="17F7BE30"/>
    <w:rsid w:val="17FDC7F2"/>
    <w:rsid w:val="17FF6A1F"/>
    <w:rsid w:val="17FFB08B"/>
    <w:rsid w:val="18005A9C"/>
    <w:rsid w:val="18006386"/>
    <w:rsid w:val="18056150"/>
    <w:rsid w:val="1805910B"/>
    <w:rsid w:val="18074018"/>
    <w:rsid w:val="180B4111"/>
    <w:rsid w:val="180FFEB0"/>
    <w:rsid w:val="1817FD03"/>
    <w:rsid w:val="1818A4C5"/>
    <w:rsid w:val="181E358E"/>
    <w:rsid w:val="181FFC36"/>
    <w:rsid w:val="1820C109"/>
    <w:rsid w:val="182195CA"/>
    <w:rsid w:val="18263671"/>
    <w:rsid w:val="182723ED"/>
    <w:rsid w:val="1827E47F"/>
    <w:rsid w:val="182AADBA"/>
    <w:rsid w:val="1832FE84"/>
    <w:rsid w:val="18368CFE"/>
    <w:rsid w:val="1837E2F2"/>
    <w:rsid w:val="183EFD00"/>
    <w:rsid w:val="183F9F59"/>
    <w:rsid w:val="18411801"/>
    <w:rsid w:val="1849099F"/>
    <w:rsid w:val="184C8DBC"/>
    <w:rsid w:val="184CB240"/>
    <w:rsid w:val="1851EBF4"/>
    <w:rsid w:val="185421FA"/>
    <w:rsid w:val="1854DED2"/>
    <w:rsid w:val="18550F4D"/>
    <w:rsid w:val="1858428C"/>
    <w:rsid w:val="185B1608"/>
    <w:rsid w:val="185B2C32"/>
    <w:rsid w:val="185C8550"/>
    <w:rsid w:val="185E42FE"/>
    <w:rsid w:val="18678D4C"/>
    <w:rsid w:val="186F8580"/>
    <w:rsid w:val="187226EE"/>
    <w:rsid w:val="1876B1CD"/>
    <w:rsid w:val="1876E4E2"/>
    <w:rsid w:val="18773639"/>
    <w:rsid w:val="18779E9D"/>
    <w:rsid w:val="187BC9B2"/>
    <w:rsid w:val="187BDCB1"/>
    <w:rsid w:val="187E40E8"/>
    <w:rsid w:val="187EF3BE"/>
    <w:rsid w:val="1882F797"/>
    <w:rsid w:val="18832ACE"/>
    <w:rsid w:val="1883F426"/>
    <w:rsid w:val="188B482B"/>
    <w:rsid w:val="188DCCB1"/>
    <w:rsid w:val="188F27C8"/>
    <w:rsid w:val="1893BEDE"/>
    <w:rsid w:val="18989AF3"/>
    <w:rsid w:val="1898E602"/>
    <w:rsid w:val="189CF4D7"/>
    <w:rsid w:val="18A3B999"/>
    <w:rsid w:val="18A5EE11"/>
    <w:rsid w:val="18A7A03B"/>
    <w:rsid w:val="18A82E69"/>
    <w:rsid w:val="18A83F46"/>
    <w:rsid w:val="18A92784"/>
    <w:rsid w:val="18AA8845"/>
    <w:rsid w:val="18ACF9B3"/>
    <w:rsid w:val="18AFF2BE"/>
    <w:rsid w:val="18B1EFD9"/>
    <w:rsid w:val="18B25E70"/>
    <w:rsid w:val="18B4BEA7"/>
    <w:rsid w:val="18B52B3F"/>
    <w:rsid w:val="18B727DD"/>
    <w:rsid w:val="18B87E44"/>
    <w:rsid w:val="18B8D294"/>
    <w:rsid w:val="18BA4049"/>
    <w:rsid w:val="18BB044F"/>
    <w:rsid w:val="18BDE7FB"/>
    <w:rsid w:val="18BF2622"/>
    <w:rsid w:val="18C1ADB3"/>
    <w:rsid w:val="18C35DCD"/>
    <w:rsid w:val="18C60505"/>
    <w:rsid w:val="18C65298"/>
    <w:rsid w:val="18C7C2F5"/>
    <w:rsid w:val="18CBE34A"/>
    <w:rsid w:val="18D0C9F5"/>
    <w:rsid w:val="18D1883B"/>
    <w:rsid w:val="18D35FA1"/>
    <w:rsid w:val="18D8D2F9"/>
    <w:rsid w:val="18D8F888"/>
    <w:rsid w:val="18D94E36"/>
    <w:rsid w:val="18DFE206"/>
    <w:rsid w:val="18E01D7D"/>
    <w:rsid w:val="18E0E542"/>
    <w:rsid w:val="18E340B6"/>
    <w:rsid w:val="18E84ADE"/>
    <w:rsid w:val="18ED93E9"/>
    <w:rsid w:val="18EF206B"/>
    <w:rsid w:val="18EF9630"/>
    <w:rsid w:val="18F2E12A"/>
    <w:rsid w:val="18F2FB2D"/>
    <w:rsid w:val="18F471EB"/>
    <w:rsid w:val="18F5716E"/>
    <w:rsid w:val="18FAD90A"/>
    <w:rsid w:val="18FCE83C"/>
    <w:rsid w:val="18FE81D4"/>
    <w:rsid w:val="18FF0679"/>
    <w:rsid w:val="1905F031"/>
    <w:rsid w:val="1906C239"/>
    <w:rsid w:val="190CC1FC"/>
    <w:rsid w:val="190E0BFA"/>
    <w:rsid w:val="19117E78"/>
    <w:rsid w:val="19123FAD"/>
    <w:rsid w:val="19129E9A"/>
    <w:rsid w:val="19134CFE"/>
    <w:rsid w:val="1918BFA0"/>
    <w:rsid w:val="191C4AC4"/>
    <w:rsid w:val="191C7427"/>
    <w:rsid w:val="19257ACD"/>
    <w:rsid w:val="192CA984"/>
    <w:rsid w:val="192E241F"/>
    <w:rsid w:val="1930DB42"/>
    <w:rsid w:val="1935BE11"/>
    <w:rsid w:val="19369106"/>
    <w:rsid w:val="19370940"/>
    <w:rsid w:val="193AA69B"/>
    <w:rsid w:val="193B5BCB"/>
    <w:rsid w:val="193CB515"/>
    <w:rsid w:val="193D0849"/>
    <w:rsid w:val="193D9F22"/>
    <w:rsid w:val="19403565"/>
    <w:rsid w:val="1940C9D5"/>
    <w:rsid w:val="19484F19"/>
    <w:rsid w:val="1957DCD7"/>
    <w:rsid w:val="19584730"/>
    <w:rsid w:val="195874F2"/>
    <w:rsid w:val="1958D808"/>
    <w:rsid w:val="19598354"/>
    <w:rsid w:val="195AD08D"/>
    <w:rsid w:val="19603F93"/>
    <w:rsid w:val="19610C9F"/>
    <w:rsid w:val="1961F821"/>
    <w:rsid w:val="19657749"/>
    <w:rsid w:val="19682078"/>
    <w:rsid w:val="197098D4"/>
    <w:rsid w:val="197103D2"/>
    <w:rsid w:val="1973C4F7"/>
    <w:rsid w:val="1978A7CF"/>
    <w:rsid w:val="197912C6"/>
    <w:rsid w:val="197E45C7"/>
    <w:rsid w:val="197E5EB7"/>
    <w:rsid w:val="1982EB8A"/>
    <w:rsid w:val="19871332"/>
    <w:rsid w:val="198BADB2"/>
    <w:rsid w:val="19920070"/>
    <w:rsid w:val="1993D5A4"/>
    <w:rsid w:val="19984704"/>
    <w:rsid w:val="19991C18"/>
    <w:rsid w:val="199AF4C4"/>
    <w:rsid w:val="199CD471"/>
    <w:rsid w:val="19A04824"/>
    <w:rsid w:val="19A4EECD"/>
    <w:rsid w:val="19B10869"/>
    <w:rsid w:val="19B408B3"/>
    <w:rsid w:val="19B59019"/>
    <w:rsid w:val="19B5A24B"/>
    <w:rsid w:val="19B9D774"/>
    <w:rsid w:val="19BA088F"/>
    <w:rsid w:val="19BFA6C1"/>
    <w:rsid w:val="19C6C2B7"/>
    <w:rsid w:val="19C8245F"/>
    <w:rsid w:val="19C88A01"/>
    <w:rsid w:val="19CC6EA9"/>
    <w:rsid w:val="19D0DF66"/>
    <w:rsid w:val="19DD093C"/>
    <w:rsid w:val="19DE690D"/>
    <w:rsid w:val="19DF91E7"/>
    <w:rsid w:val="19E32149"/>
    <w:rsid w:val="19EB744A"/>
    <w:rsid w:val="19F3EDB6"/>
    <w:rsid w:val="19F4BA53"/>
    <w:rsid w:val="19F99FDB"/>
    <w:rsid w:val="19FCEE3D"/>
    <w:rsid w:val="19FDE7C6"/>
    <w:rsid w:val="1A003CE4"/>
    <w:rsid w:val="1A0451C0"/>
    <w:rsid w:val="1A061D93"/>
    <w:rsid w:val="1A08C0E3"/>
    <w:rsid w:val="1A0AA192"/>
    <w:rsid w:val="1A0AF03F"/>
    <w:rsid w:val="1A0F2F3C"/>
    <w:rsid w:val="1A0F4B7E"/>
    <w:rsid w:val="1A12DFDE"/>
    <w:rsid w:val="1A16BA06"/>
    <w:rsid w:val="1A187A1D"/>
    <w:rsid w:val="1A1A5E1F"/>
    <w:rsid w:val="1A1B46FE"/>
    <w:rsid w:val="1A205922"/>
    <w:rsid w:val="1A278262"/>
    <w:rsid w:val="1A278DDD"/>
    <w:rsid w:val="1A2E8F19"/>
    <w:rsid w:val="1A2EA070"/>
    <w:rsid w:val="1A33177E"/>
    <w:rsid w:val="1A43A4AB"/>
    <w:rsid w:val="1A44F02A"/>
    <w:rsid w:val="1A4B8597"/>
    <w:rsid w:val="1A4DA0CB"/>
    <w:rsid w:val="1A511463"/>
    <w:rsid w:val="1A5406EC"/>
    <w:rsid w:val="1A55E67A"/>
    <w:rsid w:val="1A5B11DC"/>
    <w:rsid w:val="1A66A887"/>
    <w:rsid w:val="1A684476"/>
    <w:rsid w:val="1A68A328"/>
    <w:rsid w:val="1A68EA91"/>
    <w:rsid w:val="1A6B1A71"/>
    <w:rsid w:val="1A6C88DD"/>
    <w:rsid w:val="1A6CE9B2"/>
    <w:rsid w:val="1A7B8E28"/>
    <w:rsid w:val="1A7C0F25"/>
    <w:rsid w:val="1A7DC695"/>
    <w:rsid w:val="1A8732F5"/>
    <w:rsid w:val="1A8ACFC0"/>
    <w:rsid w:val="1A8BFD83"/>
    <w:rsid w:val="1A8ED2D9"/>
    <w:rsid w:val="1A8F075F"/>
    <w:rsid w:val="1A8FE608"/>
    <w:rsid w:val="1A9052B7"/>
    <w:rsid w:val="1A96A0AF"/>
    <w:rsid w:val="1A98EB6E"/>
    <w:rsid w:val="1A9979B4"/>
    <w:rsid w:val="1A9A63FF"/>
    <w:rsid w:val="1A9B40BB"/>
    <w:rsid w:val="1A9BB3A0"/>
    <w:rsid w:val="1A9EE6F7"/>
    <w:rsid w:val="1AA83D42"/>
    <w:rsid w:val="1AACC536"/>
    <w:rsid w:val="1AAF3465"/>
    <w:rsid w:val="1AB149EE"/>
    <w:rsid w:val="1AB15AE6"/>
    <w:rsid w:val="1AB7B417"/>
    <w:rsid w:val="1ABF1D91"/>
    <w:rsid w:val="1ABFE45D"/>
    <w:rsid w:val="1AC18405"/>
    <w:rsid w:val="1AC496DF"/>
    <w:rsid w:val="1AC82B2B"/>
    <w:rsid w:val="1ACC7458"/>
    <w:rsid w:val="1AD07C28"/>
    <w:rsid w:val="1AD3A664"/>
    <w:rsid w:val="1AD3E333"/>
    <w:rsid w:val="1AD4E020"/>
    <w:rsid w:val="1AD570D3"/>
    <w:rsid w:val="1AD64934"/>
    <w:rsid w:val="1AD90094"/>
    <w:rsid w:val="1AD9D5D5"/>
    <w:rsid w:val="1ADBAED7"/>
    <w:rsid w:val="1ADC2952"/>
    <w:rsid w:val="1ADD9840"/>
    <w:rsid w:val="1AE50D31"/>
    <w:rsid w:val="1AE5560E"/>
    <w:rsid w:val="1AEA9FA9"/>
    <w:rsid w:val="1AEB86CF"/>
    <w:rsid w:val="1AEE79DE"/>
    <w:rsid w:val="1AEFB121"/>
    <w:rsid w:val="1AEFD6AD"/>
    <w:rsid w:val="1AF7579C"/>
    <w:rsid w:val="1AF88853"/>
    <w:rsid w:val="1B02949B"/>
    <w:rsid w:val="1B02A62F"/>
    <w:rsid w:val="1B03B261"/>
    <w:rsid w:val="1B051977"/>
    <w:rsid w:val="1B0960E4"/>
    <w:rsid w:val="1B0A1818"/>
    <w:rsid w:val="1B0ADBE2"/>
    <w:rsid w:val="1B0D2832"/>
    <w:rsid w:val="1B120E34"/>
    <w:rsid w:val="1B128FDC"/>
    <w:rsid w:val="1B1ADC16"/>
    <w:rsid w:val="1B1AF10B"/>
    <w:rsid w:val="1B1F16E7"/>
    <w:rsid w:val="1B225BA7"/>
    <w:rsid w:val="1B257FEB"/>
    <w:rsid w:val="1B27E1B0"/>
    <w:rsid w:val="1B281B71"/>
    <w:rsid w:val="1B295231"/>
    <w:rsid w:val="1B2A3E96"/>
    <w:rsid w:val="1B2ABCA5"/>
    <w:rsid w:val="1B2AE9E5"/>
    <w:rsid w:val="1B301167"/>
    <w:rsid w:val="1B325E78"/>
    <w:rsid w:val="1B367E01"/>
    <w:rsid w:val="1B39D8F2"/>
    <w:rsid w:val="1B3D286B"/>
    <w:rsid w:val="1B3DEBA2"/>
    <w:rsid w:val="1B3E1ED3"/>
    <w:rsid w:val="1B3FCC0F"/>
    <w:rsid w:val="1B414006"/>
    <w:rsid w:val="1B42279A"/>
    <w:rsid w:val="1B435012"/>
    <w:rsid w:val="1B44C18E"/>
    <w:rsid w:val="1B44C47B"/>
    <w:rsid w:val="1B453B14"/>
    <w:rsid w:val="1B4839FF"/>
    <w:rsid w:val="1B4864FC"/>
    <w:rsid w:val="1B4F2E0B"/>
    <w:rsid w:val="1B5374DE"/>
    <w:rsid w:val="1B5602FC"/>
    <w:rsid w:val="1B575028"/>
    <w:rsid w:val="1B57AF0C"/>
    <w:rsid w:val="1B587B94"/>
    <w:rsid w:val="1B5C0F1B"/>
    <w:rsid w:val="1B5CF4C2"/>
    <w:rsid w:val="1B62BF17"/>
    <w:rsid w:val="1B656E23"/>
    <w:rsid w:val="1B69AFDC"/>
    <w:rsid w:val="1B7101B2"/>
    <w:rsid w:val="1B74B614"/>
    <w:rsid w:val="1B759C1F"/>
    <w:rsid w:val="1B75D46C"/>
    <w:rsid w:val="1B75E21B"/>
    <w:rsid w:val="1B76574F"/>
    <w:rsid w:val="1B7786FC"/>
    <w:rsid w:val="1B78C141"/>
    <w:rsid w:val="1B797A1A"/>
    <w:rsid w:val="1B7A0DAC"/>
    <w:rsid w:val="1B7A3BE8"/>
    <w:rsid w:val="1B7B74BC"/>
    <w:rsid w:val="1B808608"/>
    <w:rsid w:val="1B83A7FA"/>
    <w:rsid w:val="1B882580"/>
    <w:rsid w:val="1B8A3DD5"/>
    <w:rsid w:val="1B8D7343"/>
    <w:rsid w:val="1B8E18A8"/>
    <w:rsid w:val="1B91CE60"/>
    <w:rsid w:val="1B92B87D"/>
    <w:rsid w:val="1B9459EE"/>
    <w:rsid w:val="1B97EDD7"/>
    <w:rsid w:val="1B98D0F5"/>
    <w:rsid w:val="1B9B9434"/>
    <w:rsid w:val="1B9FC120"/>
    <w:rsid w:val="1BA08D4A"/>
    <w:rsid w:val="1BA391E8"/>
    <w:rsid w:val="1BAD0022"/>
    <w:rsid w:val="1BAD91EB"/>
    <w:rsid w:val="1BADE13D"/>
    <w:rsid w:val="1BB28A0C"/>
    <w:rsid w:val="1BB2FB55"/>
    <w:rsid w:val="1BB4711E"/>
    <w:rsid w:val="1BB47D6F"/>
    <w:rsid w:val="1BBAF267"/>
    <w:rsid w:val="1BBB559D"/>
    <w:rsid w:val="1BBCC1CF"/>
    <w:rsid w:val="1BBF1831"/>
    <w:rsid w:val="1BC3574A"/>
    <w:rsid w:val="1BC5E38B"/>
    <w:rsid w:val="1BCB319E"/>
    <w:rsid w:val="1BCF377A"/>
    <w:rsid w:val="1BCF710F"/>
    <w:rsid w:val="1BD1B333"/>
    <w:rsid w:val="1BD2569B"/>
    <w:rsid w:val="1BD5931D"/>
    <w:rsid w:val="1BD5EE9D"/>
    <w:rsid w:val="1BD8A951"/>
    <w:rsid w:val="1BD9625A"/>
    <w:rsid w:val="1BDA6402"/>
    <w:rsid w:val="1BDA9015"/>
    <w:rsid w:val="1BDACB63"/>
    <w:rsid w:val="1BDBFD57"/>
    <w:rsid w:val="1BE0A17F"/>
    <w:rsid w:val="1BE20A10"/>
    <w:rsid w:val="1BE6C569"/>
    <w:rsid w:val="1BE8A506"/>
    <w:rsid w:val="1BECA3DB"/>
    <w:rsid w:val="1BECF505"/>
    <w:rsid w:val="1BEDF257"/>
    <w:rsid w:val="1BEE3CE9"/>
    <w:rsid w:val="1C0A7310"/>
    <w:rsid w:val="1C0B82A6"/>
    <w:rsid w:val="1C0E5D22"/>
    <w:rsid w:val="1C11B09C"/>
    <w:rsid w:val="1C17E1D9"/>
    <w:rsid w:val="1C181C0C"/>
    <w:rsid w:val="1C186420"/>
    <w:rsid w:val="1C1EC286"/>
    <w:rsid w:val="1C206906"/>
    <w:rsid w:val="1C245E40"/>
    <w:rsid w:val="1C25A66C"/>
    <w:rsid w:val="1C25F07D"/>
    <w:rsid w:val="1C260D29"/>
    <w:rsid w:val="1C2695B1"/>
    <w:rsid w:val="1C289F46"/>
    <w:rsid w:val="1C29A804"/>
    <w:rsid w:val="1C2CDC73"/>
    <w:rsid w:val="1C304F87"/>
    <w:rsid w:val="1C32DD67"/>
    <w:rsid w:val="1C36EBCB"/>
    <w:rsid w:val="1C3828C6"/>
    <w:rsid w:val="1C42CD5D"/>
    <w:rsid w:val="1C4A7989"/>
    <w:rsid w:val="1C4BFE40"/>
    <w:rsid w:val="1C526660"/>
    <w:rsid w:val="1C53E1D6"/>
    <w:rsid w:val="1C54C3BF"/>
    <w:rsid w:val="1C5C15BA"/>
    <w:rsid w:val="1C6234D5"/>
    <w:rsid w:val="1C62E703"/>
    <w:rsid w:val="1C6739CB"/>
    <w:rsid w:val="1C675AC8"/>
    <w:rsid w:val="1C68515E"/>
    <w:rsid w:val="1C695248"/>
    <w:rsid w:val="1C69FBD1"/>
    <w:rsid w:val="1C6A920B"/>
    <w:rsid w:val="1C6B4221"/>
    <w:rsid w:val="1C6DC050"/>
    <w:rsid w:val="1C6EEBAC"/>
    <w:rsid w:val="1C7EC236"/>
    <w:rsid w:val="1C83BD4C"/>
    <w:rsid w:val="1C85687A"/>
    <w:rsid w:val="1C85E333"/>
    <w:rsid w:val="1C8A84D4"/>
    <w:rsid w:val="1C8ACBDA"/>
    <w:rsid w:val="1C8DEEEB"/>
    <w:rsid w:val="1C8EF9B0"/>
    <w:rsid w:val="1C8F2901"/>
    <w:rsid w:val="1C933DA6"/>
    <w:rsid w:val="1C939FFB"/>
    <w:rsid w:val="1C9771AE"/>
    <w:rsid w:val="1C9998E3"/>
    <w:rsid w:val="1C9F2F47"/>
    <w:rsid w:val="1CA04A76"/>
    <w:rsid w:val="1CA085F0"/>
    <w:rsid w:val="1CA0E100"/>
    <w:rsid w:val="1CA1C4C6"/>
    <w:rsid w:val="1CACAC11"/>
    <w:rsid w:val="1CAE1710"/>
    <w:rsid w:val="1CAE2A3C"/>
    <w:rsid w:val="1CAFBD77"/>
    <w:rsid w:val="1CB18371"/>
    <w:rsid w:val="1CB3F64F"/>
    <w:rsid w:val="1CB6D3EB"/>
    <w:rsid w:val="1CB88435"/>
    <w:rsid w:val="1CBA7D7F"/>
    <w:rsid w:val="1CC20775"/>
    <w:rsid w:val="1CC83B73"/>
    <w:rsid w:val="1CC90F26"/>
    <w:rsid w:val="1CCE9689"/>
    <w:rsid w:val="1CD4AFBF"/>
    <w:rsid w:val="1CD8F8CC"/>
    <w:rsid w:val="1CDAB971"/>
    <w:rsid w:val="1CE07F37"/>
    <w:rsid w:val="1CE3F370"/>
    <w:rsid w:val="1CE50FDD"/>
    <w:rsid w:val="1CE6E6CE"/>
    <w:rsid w:val="1CEA04B1"/>
    <w:rsid w:val="1CEC15E8"/>
    <w:rsid w:val="1CED94A6"/>
    <w:rsid w:val="1CF0D865"/>
    <w:rsid w:val="1CF70F01"/>
    <w:rsid w:val="1CF84EE3"/>
    <w:rsid w:val="1CF8B7C9"/>
    <w:rsid w:val="1CFC98C3"/>
    <w:rsid w:val="1CFE7E2A"/>
    <w:rsid w:val="1D00A683"/>
    <w:rsid w:val="1D0199BA"/>
    <w:rsid w:val="1D07FA99"/>
    <w:rsid w:val="1D096F4B"/>
    <w:rsid w:val="1D0E0B9B"/>
    <w:rsid w:val="1D0F85B3"/>
    <w:rsid w:val="1D114C1A"/>
    <w:rsid w:val="1D13D9B6"/>
    <w:rsid w:val="1D1655EE"/>
    <w:rsid w:val="1D16C025"/>
    <w:rsid w:val="1D199627"/>
    <w:rsid w:val="1D1F4711"/>
    <w:rsid w:val="1D294BCF"/>
    <w:rsid w:val="1D295E0C"/>
    <w:rsid w:val="1D2C5B45"/>
    <w:rsid w:val="1D2F754B"/>
    <w:rsid w:val="1D32FB8F"/>
    <w:rsid w:val="1D37D096"/>
    <w:rsid w:val="1D3EB19A"/>
    <w:rsid w:val="1D3F04CA"/>
    <w:rsid w:val="1D40A391"/>
    <w:rsid w:val="1D4496C8"/>
    <w:rsid w:val="1D47E0B3"/>
    <w:rsid w:val="1D4890AF"/>
    <w:rsid w:val="1D4CF5BE"/>
    <w:rsid w:val="1D4D8952"/>
    <w:rsid w:val="1D4F4579"/>
    <w:rsid w:val="1D506FCA"/>
    <w:rsid w:val="1D51A357"/>
    <w:rsid w:val="1D5475CC"/>
    <w:rsid w:val="1D572F29"/>
    <w:rsid w:val="1D57DF54"/>
    <w:rsid w:val="1D618F27"/>
    <w:rsid w:val="1D653BDE"/>
    <w:rsid w:val="1D6C9140"/>
    <w:rsid w:val="1D6D55A3"/>
    <w:rsid w:val="1D72E9DD"/>
    <w:rsid w:val="1D7A31BE"/>
    <w:rsid w:val="1D7B6084"/>
    <w:rsid w:val="1D7DCE96"/>
    <w:rsid w:val="1D7FEE14"/>
    <w:rsid w:val="1D82F407"/>
    <w:rsid w:val="1D839D3B"/>
    <w:rsid w:val="1D860439"/>
    <w:rsid w:val="1D863B4E"/>
    <w:rsid w:val="1D881B91"/>
    <w:rsid w:val="1D8987A4"/>
    <w:rsid w:val="1D8C5F4D"/>
    <w:rsid w:val="1D8C7F52"/>
    <w:rsid w:val="1D8EE597"/>
    <w:rsid w:val="1D915C02"/>
    <w:rsid w:val="1D927916"/>
    <w:rsid w:val="1D94926C"/>
    <w:rsid w:val="1D95ADAF"/>
    <w:rsid w:val="1D96E1B9"/>
    <w:rsid w:val="1D9D3261"/>
    <w:rsid w:val="1DA2464F"/>
    <w:rsid w:val="1DA4A65F"/>
    <w:rsid w:val="1DA55A96"/>
    <w:rsid w:val="1DA6529B"/>
    <w:rsid w:val="1DA7A270"/>
    <w:rsid w:val="1DACDD67"/>
    <w:rsid w:val="1DB25B74"/>
    <w:rsid w:val="1DB36D09"/>
    <w:rsid w:val="1DB7F90C"/>
    <w:rsid w:val="1DBAB2DE"/>
    <w:rsid w:val="1DC02EA1"/>
    <w:rsid w:val="1DC0E65C"/>
    <w:rsid w:val="1DC1F24F"/>
    <w:rsid w:val="1DCF3FD1"/>
    <w:rsid w:val="1DCFD426"/>
    <w:rsid w:val="1DD285DA"/>
    <w:rsid w:val="1DD597D2"/>
    <w:rsid w:val="1DD6AA1C"/>
    <w:rsid w:val="1DD74DE8"/>
    <w:rsid w:val="1DD93AA0"/>
    <w:rsid w:val="1DDA285C"/>
    <w:rsid w:val="1DDB9339"/>
    <w:rsid w:val="1DDC6C1E"/>
    <w:rsid w:val="1DDCBA0B"/>
    <w:rsid w:val="1DE33535"/>
    <w:rsid w:val="1DE37382"/>
    <w:rsid w:val="1DE97D5E"/>
    <w:rsid w:val="1DF120B1"/>
    <w:rsid w:val="1DF66E42"/>
    <w:rsid w:val="1DF6BE53"/>
    <w:rsid w:val="1DF80EF5"/>
    <w:rsid w:val="1E09ED8E"/>
    <w:rsid w:val="1E11C570"/>
    <w:rsid w:val="1E1208B0"/>
    <w:rsid w:val="1E125661"/>
    <w:rsid w:val="1E133071"/>
    <w:rsid w:val="1E134806"/>
    <w:rsid w:val="1E162E9D"/>
    <w:rsid w:val="1E16EA50"/>
    <w:rsid w:val="1E177D4B"/>
    <w:rsid w:val="1E182DE7"/>
    <w:rsid w:val="1E184381"/>
    <w:rsid w:val="1E1B3AFF"/>
    <w:rsid w:val="1E1F8690"/>
    <w:rsid w:val="1E204130"/>
    <w:rsid w:val="1E2C3755"/>
    <w:rsid w:val="1E2FECE5"/>
    <w:rsid w:val="1E302915"/>
    <w:rsid w:val="1E315A24"/>
    <w:rsid w:val="1E343571"/>
    <w:rsid w:val="1E346EA1"/>
    <w:rsid w:val="1E35624A"/>
    <w:rsid w:val="1E377D1E"/>
    <w:rsid w:val="1E384A46"/>
    <w:rsid w:val="1E3B74B0"/>
    <w:rsid w:val="1E3E3EC2"/>
    <w:rsid w:val="1E43DBB3"/>
    <w:rsid w:val="1E45F678"/>
    <w:rsid w:val="1E5373A4"/>
    <w:rsid w:val="1E58C2A3"/>
    <w:rsid w:val="1E595282"/>
    <w:rsid w:val="1E5B22E7"/>
    <w:rsid w:val="1E5FC4C6"/>
    <w:rsid w:val="1E60A59B"/>
    <w:rsid w:val="1E632A93"/>
    <w:rsid w:val="1E6696DF"/>
    <w:rsid w:val="1E681460"/>
    <w:rsid w:val="1E6B5C3C"/>
    <w:rsid w:val="1E6FB30B"/>
    <w:rsid w:val="1E6FBC3B"/>
    <w:rsid w:val="1E7BF503"/>
    <w:rsid w:val="1E828186"/>
    <w:rsid w:val="1E84E6DF"/>
    <w:rsid w:val="1E8AE0D4"/>
    <w:rsid w:val="1E8AE1AA"/>
    <w:rsid w:val="1E95599E"/>
    <w:rsid w:val="1E967939"/>
    <w:rsid w:val="1E97941A"/>
    <w:rsid w:val="1E9983A2"/>
    <w:rsid w:val="1E9AD6CC"/>
    <w:rsid w:val="1E9F3F57"/>
    <w:rsid w:val="1EA0B40F"/>
    <w:rsid w:val="1EA2AE26"/>
    <w:rsid w:val="1EAD0C40"/>
    <w:rsid w:val="1EAE17EF"/>
    <w:rsid w:val="1EAE51DE"/>
    <w:rsid w:val="1EAFA2E9"/>
    <w:rsid w:val="1EB6AF6F"/>
    <w:rsid w:val="1EB9024B"/>
    <w:rsid w:val="1EC02EB5"/>
    <w:rsid w:val="1ECC9A81"/>
    <w:rsid w:val="1ECECE92"/>
    <w:rsid w:val="1ECFBF7B"/>
    <w:rsid w:val="1ED2E1EC"/>
    <w:rsid w:val="1ED3C34F"/>
    <w:rsid w:val="1ED5B598"/>
    <w:rsid w:val="1ED877B1"/>
    <w:rsid w:val="1ED96D2D"/>
    <w:rsid w:val="1EDCA6E9"/>
    <w:rsid w:val="1EE1F981"/>
    <w:rsid w:val="1EE4F1D5"/>
    <w:rsid w:val="1EE71C10"/>
    <w:rsid w:val="1EE959B3"/>
    <w:rsid w:val="1EE99356"/>
    <w:rsid w:val="1EEA3D14"/>
    <w:rsid w:val="1EEF1F37"/>
    <w:rsid w:val="1EF31DD8"/>
    <w:rsid w:val="1EF37647"/>
    <w:rsid w:val="1EF37D34"/>
    <w:rsid w:val="1EF7C997"/>
    <w:rsid w:val="1EFD92C7"/>
    <w:rsid w:val="1F034684"/>
    <w:rsid w:val="1F0BFCCD"/>
    <w:rsid w:val="1F0E1350"/>
    <w:rsid w:val="1F1244A7"/>
    <w:rsid w:val="1F1392AA"/>
    <w:rsid w:val="1F144E3E"/>
    <w:rsid w:val="1F167772"/>
    <w:rsid w:val="1F1A9FCB"/>
    <w:rsid w:val="1F1B70A8"/>
    <w:rsid w:val="1F1BDE7C"/>
    <w:rsid w:val="1F1BEC5F"/>
    <w:rsid w:val="1F1C6DDA"/>
    <w:rsid w:val="1F2372EB"/>
    <w:rsid w:val="1F26E6AA"/>
    <w:rsid w:val="1F2712D6"/>
    <w:rsid w:val="1F2BC95F"/>
    <w:rsid w:val="1F2D7EF8"/>
    <w:rsid w:val="1F2D9BC5"/>
    <w:rsid w:val="1F2E3312"/>
    <w:rsid w:val="1F2F480E"/>
    <w:rsid w:val="1F2F938A"/>
    <w:rsid w:val="1F30C762"/>
    <w:rsid w:val="1F319F61"/>
    <w:rsid w:val="1F345BA8"/>
    <w:rsid w:val="1F35243C"/>
    <w:rsid w:val="1F3B9AB4"/>
    <w:rsid w:val="1F3BA847"/>
    <w:rsid w:val="1F3BE936"/>
    <w:rsid w:val="1F3C9A4D"/>
    <w:rsid w:val="1F3E85F1"/>
    <w:rsid w:val="1F3FB274"/>
    <w:rsid w:val="1F458348"/>
    <w:rsid w:val="1F470A0C"/>
    <w:rsid w:val="1F486BA6"/>
    <w:rsid w:val="1F4C71D8"/>
    <w:rsid w:val="1F4D9447"/>
    <w:rsid w:val="1F4E02B7"/>
    <w:rsid w:val="1F4F1284"/>
    <w:rsid w:val="1F504991"/>
    <w:rsid w:val="1F512ABB"/>
    <w:rsid w:val="1F551BAD"/>
    <w:rsid w:val="1F560863"/>
    <w:rsid w:val="1F5BC023"/>
    <w:rsid w:val="1F5F78BD"/>
    <w:rsid w:val="1F62EB56"/>
    <w:rsid w:val="1F6D02DC"/>
    <w:rsid w:val="1F6E1652"/>
    <w:rsid w:val="1F7324C4"/>
    <w:rsid w:val="1F737F9B"/>
    <w:rsid w:val="1F7585EA"/>
    <w:rsid w:val="1F765081"/>
    <w:rsid w:val="1F78266A"/>
    <w:rsid w:val="1F7E73C7"/>
    <w:rsid w:val="1F82401F"/>
    <w:rsid w:val="1F850636"/>
    <w:rsid w:val="1F859509"/>
    <w:rsid w:val="1F8BF053"/>
    <w:rsid w:val="1F8D9886"/>
    <w:rsid w:val="1F8EE896"/>
    <w:rsid w:val="1F924F3B"/>
    <w:rsid w:val="1F961662"/>
    <w:rsid w:val="1F965134"/>
    <w:rsid w:val="1F9A1B71"/>
    <w:rsid w:val="1F9C6FFF"/>
    <w:rsid w:val="1F9CAAD9"/>
    <w:rsid w:val="1F9DD946"/>
    <w:rsid w:val="1F9F231F"/>
    <w:rsid w:val="1FA2C48A"/>
    <w:rsid w:val="1FA77262"/>
    <w:rsid w:val="1FAA14CF"/>
    <w:rsid w:val="1FACF916"/>
    <w:rsid w:val="1FB08BB9"/>
    <w:rsid w:val="1FB454D4"/>
    <w:rsid w:val="1FBD7C6C"/>
    <w:rsid w:val="1FBF76E5"/>
    <w:rsid w:val="1FC05228"/>
    <w:rsid w:val="1FC6B8EE"/>
    <w:rsid w:val="1FC7666F"/>
    <w:rsid w:val="1FCBF976"/>
    <w:rsid w:val="1FCFE592"/>
    <w:rsid w:val="1FD2BE6E"/>
    <w:rsid w:val="1FD32788"/>
    <w:rsid w:val="1FD5586B"/>
    <w:rsid w:val="1FD681B7"/>
    <w:rsid w:val="1FD83A44"/>
    <w:rsid w:val="1FD95F00"/>
    <w:rsid w:val="1FDB43AA"/>
    <w:rsid w:val="1FDBC338"/>
    <w:rsid w:val="1FDC84F2"/>
    <w:rsid w:val="1FED1986"/>
    <w:rsid w:val="1FED72DE"/>
    <w:rsid w:val="1FEDD031"/>
    <w:rsid w:val="1FEEAC90"/>
    <w:rsid w:val="1FF01B92"/>
    <w:rsid w:val="1FF852A0"/>
    <w:rsid w:val="1FF8C8E3"/>
    <w:rsid w:val="1FF9D917"/>
    <w:rsid w:val="1FFD36C4"/>
    <w:rsid w:val="1FFF22DE"/>
    <w:rsid w:val="1FFFC8E8"/>
    <w:rsid w:val="2004AEFB"/>
    <w:rsid w:val="200D76B5"/>
    <w:rsid w:val="201069AF"/>
    <w:rsid w:val="20181FF9"/>
    <w:rsid w:val="201CE7A3"/>
    <w:rsid w:val="201D550A"/>
    <w:rsid w:val="2024B92B"/>
    <w:rsid w:val="2026EAAA"/>
    <w:rsid w:val="202AE928"/>
    <w:rsid w:val="202C1D7E"/>
    <w:rsid w:val="2032B605"/>
    <w:rsid w:val="20370B87"/>
    <w:rsid w:val="2037B164"/>
    <w:rsid w:val="20382FE9"/>
    <w:rsid w:val="2042CA1F"/>
    <w:rsid w:val="204B1E2C"/>
    <w:rsid w:val="204D05CC"/>
    <w:rsid w:val="204D84BF"/>
    <w:rsid w:val="204DC931"/>
    <w:rsid w:val="205016E6"/>
    <w:rsid w:val="20539E24"/>
    <w:rsid w:val="2058C05E"/>
    <w:rsid w:val="205AD09E"/>
    <w:rsid w:val="205ADDAC"/>
    <w:rsid w:val="205F9246"/>
    <w:rsid w:val="206760E1"/>
    <w:rsid w:val="20676FDC"/>
    <w:rsid w:val="206AA240"/>
    <w:rsid w:val="206D7F52"/>
    <w:rsid w:val="206E97D4"/>
    <w:rsid w:val="206EFF2A"/>
    <w:rsid w:val="20705279"/>
    <w:rsid w:val="2070A709"/>
    <w:rsid w:val="207406CA"/>
    <w:rsid w:val="207A56AE"/>
    <w:rsid w:val="207AC93B"/>
    <w:rsid w:val="207D95F8"/>
    <w:rsid w:val="20867FFF"/>
    <w:rsid w:val="2086F9EB"/>
    <w:rsid w:val="208D23AE"/>
    <w:rsid w:val="208D8AB2"/>
    <w:rsid w:val="208E39E8"/>
    <w:rsid w:val="208FE0F3"/>
    <w:rsid w:val="20902001"/>
    <w:rsid w:val="209670D2"/>
    <w:rsid w:val="20976F41"/>
    <w:rsid w:val="209780B1"/>
    <w:rsid w:val="209906AD"/>
    <w:rsid w:val="209983B8"/>
    <w:rsid w:val="209AD5EC"/>
    <w:rsid w:val="20A0AC01"/>
    <w:rsid w:val="20A81259"/>
    <w:rsid w:val="20AB89A3"/>
    <w:rsid w:val="20ACE0AE"/>
    <w:rsid w:val="20AD2822"/>
    <w:rsid w:val="20AEEE5A"/>
    <w:rsid w:val="20B09E37"/>
    <w:rsid w:val="20B0F802"/>
    <w:rsid w:val="20C335A0"/>
    <w:rsid w:val="20C6D88C"/>
    <w:rsid w:val="20CC4C0C"/>
    <w:rsid w:val="20CE5FE7"/>
    <w:rsid w:val="20D186F8"/>
    <w:rsid w:val="20D46739"/>
    <w:rsid w:val="20DF7E4F"/>
    <w:rsid w:val="20E506EB"/>
    <w:rsid w:val="20E720D1"/>
    <w:rsid w:val="20E926EC"/>
    <w:rsid w:val="20EB338D"/>
    <w:rsid w:val="20F6B213"/>
    <w:rsid w:val="20F8CA3E"/>
    <w:rsid w:val="210057D4"/>
    <w:rsid w:val="21018FEB"/>
    <w:rsid w:val="210626A6"/>
    <w:rsid w:val="2107E8DF"/>
    <w:rsid w:val="2108A700"/>
    <w:rsid w:val="210CB929"/>
    <w:rsid w:val="210CEB80"/>
    <w:rsid w:val="2112BB6E"/>
    <w:rsid w:val="211846B1"/>
    <w:rsid w:val="211E5579"/>
    <w:rsid w:val="2120107C"/>
    <w:rsid w:val="2123F61B"/>
    <w:rsid w:val="212D9D79"/>
    <w:rsid w:val="212E1CED"/>
    <w:rsid w:val="212EBBFE"/>
    <w:rsid w:val="212FCFCE"/>
    <w:rsid w:val="2133F00F"/>
    <w:rsid w:val="2135C1A9"/>
    <w:rsid w:val="213756E4"/>
    <w:rsid w:val="213832E5"/>
    <w:rsid w:val="2139712D"/>
    <w:rsid w:val="213E0506"/>
    <w:rsid w:val="21473ECF"/>
    <w:rsid w:val="21476996"/>
    <w:rsid w:val="2148375A"/>
    <w:rsid w:val="21556CD7"/>
    <w:rsid w:val="2155E6B3"/>
    <w:rsid w:val="2156D77E"/>
    <w:rsid w:val="2162EEBC"/>
    <w:rsid w:val="2163E96B"/>
    <w:rsid w:val="2166F68B"/>
    <w:rsid w:val="2167506A"/>
    <w:rsid w:val="216AB7B1"/>
    <w:rsid w:val="216DB52F"/>
    <w:rsid w:val="216E2787"/>
    <w:rsid w:val="217223E9"/>
    <w:rsid w:val="2177EDBA"/>
    <w:rsid w:val="217B2B27"/>
    <w:rsid w:val="217EF901"/>
    <w:rsid w:val="218603AF"/>
    <w:rsid w:val="218ADE0D"/>
    <w:rsid w:val="218CD440"/>
    <w:rsid w:val="218CFC41"/>
    <w:rsid w:val="218FE42E"/>
    <w:rsid w:val="21952695"/>
    <w:rsid w:val="219A0D09"/>
    <w:rsid w:val="219A5177"/>
    <w:rsid w:val="21A47B0A"/>
    <w:rsid w:val="21A4B8CE"/>
    <w:rsid w:val="21A84C97"/>
    <w:rsid w:val="21A84E95"/>
    <w:rsid w:val="21AAE38C"/>
    <w:rsid w:val="21ACACCD"/>
    <w:rsid w:val="21B06C40"/>
    <w:rsid w:val="21B2D491"/>
    <w:rsid w:val="21B3CFF5"/>
    <w:rsid w:val="21B4D231"/>
    <w:rsid w:val="21B56728"/>
    <w:rsid w:val="21B82F08"/>
    <w:rsid w:val="21BB9200"/>
    <w:rsid w:val="21BD4233"/>
    <w:rsid w:val="21BDE51A"/>
    <w:rsid w:val="21BF3B92"/>
    <w:rsid w:val="21C07BDC"/>
    <w:rsid w:val="21C6219C"/>
    <w:rsid w:val="21CB48ED"/>
    <w:rsid w:val="21CD31FF"/>
    <w:rsid w:val="21CE1B1E"/>
    <w:rsid w:val="21D081A3"/>
    <w:rsid w:val="21D7AEB7"/>
    <w:rsid w:val="21D8392A"/>
    <w:rsid w:val="21DD1905"/>
    <w:rsid w:val="21DE24B9"/>
    <w:rsid w:val="21DF3F1B"/>
    <w:rsid w:val="21E12B7F"/>
    <w:rsid w:val="21E3334B"/>
    <w:rsid w:val="21E98FED"/>
    <w:rsid w:val="21EACF83"/>
    <w:rsid w:val="21F21E0C"/>
    <w:rsid w:val="21F694FC"/>
    <w:rsid w:val="21FAF7D4"/>
    <w:rsid w:val="2202CD48"/>
    <w:rsid w:val="2206FCF4"/>
    <w:rsid w:val="2214B247"/>
    <w:rsid w:val="22162EBD"/>
    <w:rsid w:val="221B0004"/>
    <w:rsid w:val="221E4976"/>
    <w:rsid w:val="2223E56B"/>
    <w:rsid w:val="2226181A"/>
    <w:rsid w:val="222AEEA4"/>
    <w:rsid w:val="222CD9E3"/>
    <w:rsid w:val="22328FEC"/>
    <w:rsid w:val="22348246"/>
    <w:rsid w:val="223D80E6"/>
    <w:rsid w:val="22409B97"/>
    <w:rsid w:val="22412344"/>
    <w:rsid w:val="22420499"/>
    <w:rsid w:val="22486D93"/>
    <w:rsid w:val="22498663"/>
    <w:rsid w:val="224A3DAB"/>
    <w:rsid w:val="224E063F"/>
    <w:rsid w:val="22564723"/>
    <w:rsid w:val="225C0F32"/>
    <w:rsid w:val="225D618B"/>
    <w:rsid w:val="225FFB2E"/>
    <w:rsid w:val="2261147D"/>
    <w:rsid w:val="2262DF3C"/>
    <w:rsid w:val="2262F6EA"/>
    <w:rsid w:val="2263B599"/>
    <w:rsid w:val="22665A9D"/>
    <w:rsid w:val="226B25BD"/>
    <w:rsid w:val="22706CC4"/>
    <w:rsid w:val="2270CB27"/>
    <w:rsid w:val="227104DA"/>
    <w:rsid w:val="22736869"/>
    <w:rsid w:val="22751468"/>
    <w:rsid w:val="22788A27"/>
    <w:rsid w:val="22793221"/>
    <w:rsid w:val="22833987"/>
    <w:rsid w:val="2284F4EF"/>
    <w:rsid w:val="22877C39"/>
    <w:rsid w:val="228BA02A"/>
    <w:rsid w:val="228D3018"/>
    <w:rsid w:val="229282E5"/>
    <w:rsid w:val="22980CD6"/>
    <w:rsid w:val="229870D2"/>
    <w:rsid w:val="229B02CA"/>
    <w:rsid w:val="229C292F"/>
    <w:rsid w:val="229F3E89"/>
    <w:rsid w:val="22A2394C"/>
    <w:rsid w:val="22A68C26"/>
    <w:rsid w:val="22A8986A"/>
    <w:rsid w:val="22AF6491"/>
    <w:rsid w:val="22AF9A96"/>
    <w:rsid w:val="22B09BE0"/>
    <w:rsid w:val="22B1EFEF"/>
    <w:rsid w:val="22B43B0E"/>
    <w:rsid w:val="22B629DE"/>
    <w:rsid w:val="22B77C30"/>
    <w:rsid w:val="22BB0910"/>
    <w:rsid w:val="22C05D2A"/>
    <w:rsid w:val="22C0777E"/>
    <w:rsid w:val="22C4EBC7"/>
    <w:rsid w:val="22C66142"/>
    <w:rsid w:val="22CBE99D"/>
    <w:rsid w:val="22D30E97"/>
    <w:rsid w:val="22D38A48"/>
    <w:rsid w:val="22D4E4E5"/>
    <w:rsid w:val="22D68E3F"/>
    <w:rsid w:val="22D7B606"/>
    <w:rsid w:val="22D9CD1F"/>
    <w:rsid w:val="22E1D233"/>
    <w:rsid w:val="22E3A806"/>
    <w:rsid w:val="22E4E101"/>
    <w:rsid w:val="22E6DE3C"/>
    <w:rsid w:val="22E9B342"/>
    <w:rsid w:val="22EBA91E"/>
    <w:rsid w:val="22ED8B70"/>
    <w:rsid w:val="22F1EC64"/>
    <w:rsid w:val="22F4D885"/>
    <w:rsid w:val="22F53851"/>
    <w:rsid w:val="22FE3325"/>
    <w:rsid w:val="22FE89D0"/>
    <w:rsid w:val="22FF1142"/>
    <w:rsid w:val="23033952"/>
    <w:rsid w:val="23041029"/>
    <w:rsid w:val="2307D1ED"/>
    <w:rsid w:val="23083517"/>
    <w:rsid w:val="23114803"/>
    <w:rsid w:val="2312DF43"/>
    <w:rsid w:val="23167CDE"/>
    <w:rsid w:val="23185524"/>
    <w:rsid w:val="232328D2"/>
    <w:rsid w:val="2324719F"/>
    <w:rsid w:val="232522A1"/>
    <w:rsid w:val="2326A550"/>
    <w:rsid w:val="2327F4E8"/>
    <w:rsid w:val="232C9A83"/>
    <w:rsid w:val="232D10D3"/>
    <w:rsid w:val="232FE2C9"/>
    <w:rsid w:val="23306BC6"/>
    <w:rsid w:val="23329F0D"/>
    <w:rsid w:val="2333AF0E"/>
    <w:rsid w:val="23343D7B"/>
    <w:rsid w:val="2334E8A9"/>
    <w:rsid w:val="2335A675"/>
    <w:rsid w:val="23360678"/>
    <w:rsid w:val="23399539"/>
    <w:rsid w:val="233CF1FD"/>
    <w:rsid w:val="233EB3B5"/>
    <w:rsid w:val="233F3A37"/>
    <w:rsid w:val="234215CE"/>
    <w:rsid w:val="2342DC69"/>
    <w:rsid w:val="2345603D"/>
    <w:rsid w:val="2347799B"/>
    <w:rsid w:val="234D309C"/>
    <w:rsid w:val="2352CEAC"/>
    <w:rsid w:val="23565071"/>
    <w:rsid w:val="2356F31F"/>
    <w:rsid w:val="23575E44"/>
    <w:rsid w:val="2357EAAF"/>
    <w:rsid w:val="23581263"/>
    <w:rsid w:val="235CC517"/>
    <w:rsid w:val="235E1F35"/>
    <w:rsid w:val="23637533"/>
    <w:rsid w:val="2363D0F9"/>
    <w:rsid w:val="2369EC1F"/>
    <w:rsid w:val="2369ED10"/>
    <w:rsid w:val="236EFBEB"/>
    <w:rsid w:val="237112C1"/>
    <w:rsid w:val="23713200"/>
    <w:rsid w:val="2371D297"/>
    <w:rsid w:val="237DF73F"/>
    <w:rsid w:val="237E39C0"/>
    <w:rsid w:val="237EA4E9"/>
    <w:rsid w:val="23829E18"/>
    <w:rsid w:val="23858C45"/>
    <w:rsid w:val="238863BC"/>
    <w:rsid w:val="23898DC1"/>
    <w:rsid w:val="238C44B1"/>
    <w:rsid w:val="238D5AB6"/>
    <w:rsid w:val="2399F753"/>
    <w:rsid w:val="239FC4FF"/>
    <w:rsid w:val="23A06753"/>
    <w:rsid w:val="23A7121A"/>
    <w:rsid w:val="23AE6E8D"/>
    <w:rsid w:val="23AF4CB0"/>
    <w:rsid w:val="23B0180C"/>
    <w:rsid w:val="23B1FF1E"/>
    <w:rsid w:val="23B47CBA"/>
    <w:rsid w:val="23B73055"/>
    <w:rsid w:val="23B75FF3"/>
    <w:rsid w:val="23B929FF"/>
    <w:rsid w:val="23BB52C0"/>
    <w:rsid w:val="23BC7477"/>
    <w:rsid w:val="23BDC9E3"/>
    <w:rsid w:val="23C06A20"/>
    <w:rsid w:val="23C2E6BD"/>
    <w:rsid w:val="23C43DE3"/>
    <w:rsid w:val="23C864F2"/>
    <w:rsid w:val="23CC5BA8"/>
    <w:rsid w:val="23CC966E"/>
    <w:rsid w:val="23CEB5F7"/>
    <w:rsid w:val="23D0D5E3"/>
    <w:rsid w:val="23D186AF"/>
    <w:rsid w:val="23D19047"/>
    <w:rsid w:val="23D4B589"/>
    <w:rsid w:val="23D95F88"/>
    <w:rsid w:val="23DF7D7F"/>
    <w:rsid w:val="23E3E388"/>
    <w:rsid w:val="23E9FEBE"/>
    <w:rsid w:val="23EA1C1A"/>
    <w:rsid w:val="23ECCBF5"/>
    <w:rsid w:val="23EE7582"/>
    <w:rsid w:val="23EF7C49"/>
    <w:rsid w:val="23F01155"/>
    <w:rsid w:val="23F09EB8"/>
    <w:rsid w:val="23F26CB0"/>
    <w:rsid w:val="23F42969"/>
    <w:rsid w:val="23F7F152"/>
    <w:rsid w:val="23FA6B15"/>
    <w:rsid w:val="24039F7F"/>
    <w:rsid w:val="24084C70"/>
    <w:rsid w:val="2408B875"/>
    <w:rsid w:val="2409CAB3"/>
    <w:rsid w:val="240DD6B7"/>
    <w:rsid w:val="2413D45B"/>
    <w:rsid w:val="24184E96"/>
    <w:rsid w:val="2418A259"/>
    <w:rsid w:val="241CA92E"/>
    <w:rsid w:val="241D81CB"/>
    <w:rsid w:val="241E3FB9"/>
    <w:rsid w:val="2422784F"/>
    <w:rsid w:val="2427D6A8"/>
    <w:rsid w:val="242B6858"/>
    <w:rsid w:val="242C669E"/>
    <w:rsid w:val="242D0C6B"/>
    <w:rsid w:val="243133D3"/>
    <w:rsid w:val="243249A7"/>
    <w:rsid w:val="2434B3F9"/>
    <w:rsid w:val="243EB626"/>
    <w:rsid w:val="243EBFB4"/>
    <w:rsid w:val="24422369"/>
    <w:rsid w:val="24426CED"/>
    <w:rsid w:val="24436B77"/>
    <w:rsid w:val="24465315"/>
    <w:rsid w:val="244CE29C"/>
    <w:rsid w:val="244F42A6"/>
    <w:rsid w:val="24520AE1"/>
    <w:rsid w:val="24567BC2"/>
    <w:rsid w:val="245B5525"/>
    <w:rsid w:val="245D6164"/>
    <w:rsid w:val="246462B9"/>
    <w:rsid w:val="246903AD"/>
    <w:rsid w:val="24705488"/>
    <w:rsid w:val="2470D9F7"/>
    <w:rsid w:val="24746269"/>
    <w:rsid w:val="24761D77"/>
    <w:rsid w:val="247762C3"/>
    <w:rsid w:val="2477712B"/>
    <w:rsid w:val="247998DA"/>
    <w:rsid w:val="247B0844"/>
    <w:rsid w:val="2481D732"/>
    <w:rsid w:val="24879C22"/>
    <w:rsid w:val="2489A82C"/>
    <w:rsid w:val="2489DF6D"/>
    <w:rsid w:val="248C89AB"/>
    <w:rsid w:val="248DC068"/>
    <w:rsid w:val="2491D844"/>
    <w:rsid w:val="24949EB9"/>
    <w:rsid w:val="249544BE"/>
    <w:rsid w:val="24965DD3"/>
    <w:rsid w:val="2496C577"/>
    <w:rsid w:val="24984B1D"/>
    <w:rsid w:val="249879D3"/>
    <w:rsid w:val="2498A52C"/>
    <w:rsid w:val="24A7B8D3"/>
    <w:rsid w:val="24A8B918"/>
    <w:rsid w:val="24AA0770"/>
    <w:rsid w:val="24AC0685"/>
    <w:rsid w:val="24AD3729"/>
    <w:rsid w:val="24B022FC"/>
    <w:rsid w:val="24B28E61"/>
    <w:rsid w:val="24BA3D98"/>
    <w:rsid w:val="24BD9E43"/>
    <w:rsid w:val="24C08115"/>
    <w:rsid w:val="24C6ED92"/>
    <w:rsid w:val="24C72D42"/>
    <w:rsid w:val="24C86AE4"/>
    <w:rsid w:val="24CC3F03"/>
    <w:rsid w:val="24CC706E"/>
    <w:rsid w:val="24CE017D"/>
    <w:rsid w:val="24CE96EB"/>
    <w:rsid w:val="24CF49B1"/>
    <w:rsid w:val="24D0B7B1"/>
    <w:rsid w:val="24D21633"/>
    <w:rsid w:val="24D2346B"/>
    <w:rsid w:val="24D50E5A"/>
    <w:rsid w:val="24D69719"/>
    <w:rsid w:val="24DC01CC"/>
    <w:rsid w:val="24DF5AB3"/>
    <w:rsid w:val="24E0CF08"/>
    <w:rsid w:val="24E237B2"/>
    <w:rsid w:val="24E3122F"/>
    <w:rsid w:val="24E91F42"/>
    <w:rsid w:val="24ED564C"/>
    <w:rsid w:val="24F37E53"/>
    <w:rsid w:val="24F77639"/>
    <w:rsid w:val="24F7A006"/>
    <w:rsid w:val="24FA567B"/>
    <w:rsid w:val="24FB38BC"/>
    <w:rsid w:val="24FC019C"/>
    <w:rsid w:val="24FCE82A"/>
    <w:rsid w:val="2502FE2B"/>
    <w:rsid w:val="25035E4C"/>
    <w:rsid w:val="25044F9A"/>
    <w:rsid w:val="2505C2B6"/>
    <w:rsid w:val="2506551F"/>
    <w:rsid w:val="2507BB79"/>
    <w:rsid w:val="250BE52D"/>
    <w:rsid w:val="2515F7EB"/>
    <w:rsid w:val="2516624F"/>
    <w:rsid w:val="251813CC"/>
    <w:rsid w:val="251B275C"/>
    <w:rsid w:val="251C0834"/>
    <w:rsid w:val="25225EBE"/>
    <w:rsid w:val="25228B74"/>
    <w:rsid w:val="25236796"/>
    <w:rsid w:val="25244F57"/>
    <w:rsid w:val="252474BB"/>
    <w:rsid w:val="252910B1"/>
    <w:rsid w:val="25299DF0"/>
    <w:rsid w:val="252A4136"/>
    <w:rsid w:val="252FAE66"/>
    <w:rsid w:val="25388605"/>
    <w:rsid w:val="2538EC92"/>
    <w:rsid w:val="253C3EB3"/>
    <w:rsid w:val="25447573"/>
    <w:rsid w:val="254773A8"/>
    <w:rsid w:val="254E80DB"/>
    <w:rsid w:val="254EB1F1"/>
    <w:rsid w:val="254FD596"/>
    <w:rsid w:val="25548929"/>
    <w:rsid w:val="25558222"/>
    <w:rsid w:val="2555AFDD"/>
    <w:rsid w:val="2557EAF9"/>
    <w:rsid w:val="2558B22B"/>
    <w:rsid w:val="2559C2CA"/>
    <w:rsid w:val="255D10C6"/>
    <w:rsid w:val="2562D79D"/>
    <w:rsid w:val="2569F859"/>
    <w:rsid w:val="256C7766"/>
    <w:rsid w:val="256D33C9"/>
    <w:rsid w:val="256F0BC9"/>
    <w:rsid w:val="2570AC46"/>
    <w:rsid w:val="25724E0E"/>
    <w:rsid w:val="25757972"/>
    <w:rsid w:val="2577CDEE"/>
    <w:rsid w:val="257996B8"/>
    <w:rsid w:val="257FC9EA"/>
    <w:rsid w:val="258D0CED"/>
    <w:rsid w:val="258D2247"/>
    <w:rsid w:val="258EA01A"/>
    <w:rsid w:val="258F749C"/>
    <w:rsid w:val="2596E220"/>
    <w:rsid w:val="259888B8"/>
    <w:rsid w:val="259F9E99"/>
    <w:rsid w:val="25A184DE"/>
    <w:rsid w:val="25A2FFFA"/>
    <w:rsid w:val="25A4F92F"/>
    <w:rsid w:val="25A615C2"/>
    <w:rsid w:val="25A94CBF"/>
    <w:rsid w:val="25B1B438"/>
    <w:rsid w:val="25B32E0F"/>
    <w:rsid w:val="25B4B50A"/>
    <w:rsid w:val="25B7AEA6"/>
    <w:rsid w:val="25B84CDC"/>
    <w:rsid w:val="25BA712D"/>
    <w:rsid w:val="25BB8427"/>
    <w:rsid w:val="25BBC95D"/>
    <w:rsid w:val="25BC2A2B"/>
    <w:rsid w:val="25BCE9F9"/>
    <w:rsid w:val="25BE49F0"/>
    <w:rsid w:val="25BEAEDB"/>
    <w:rsid w:val="25BF0174"/>
    <w:rsid w:val="25BF2208"/>
    <w:rsid w:val="25C1EB60"/>
    <w:rsid w:val="25C4502B"/>
    <w:rsid w:val="25C66BAC"/>
    <w:rsid w:val="25C76391"/>
    <w:rsid w:val="25C7BB45"/>
    <w:rsid w:val="25C87598"/>
    <w:rsid w:val="25CA5A0C"/>
    <w:rsid w:val="25CE77A3"/>
    <w:rsid w:val="25CEB56F"/>
    <w:rsid w:val="25D38FCF"/>
    <w:rsid w:val="25D4E714"/>
    <w:rsid w:val="25D507BB"/>
    <w:rsid w:val="25D78996"/>
    <w:rsid w:val="25DAE2EF"/>
    <w:rsid w:val="25DAF13F"/>
    <w:rsid w:val="25DB51C8"/>
    <w:rsid w:val="25DD8807"/>
    <w:rsid w:val="25DDFB0B"/>
    <w:rsid w:val="25DF114B"/>
    <w:rsid w:val="25E5D474"/>
    <w:rsid w:val="25E61155"/>
    <w:rsid w:val="25EEAA96"/>
    <w:rsid w:val="25F040C0"/>
    <w:rsid w:val="25F1BA71"/>
    <w:rsid w:val="25F2705F"/>
    <w:rsid w:val="25FCE625"/>
    <w:rsid w:val="25FD8D15"/>
    <w:rsid w:val="25FE9110"/>
    <w:rsid w:val="25FEA9B6"/>
    <w:rsid w:val="26023939"/>
    <w:rsid w:val="2604A4A8"/>
    <w:rsid w:val="260650CD"/>
    <w:rsid w:val="2606C758"/>
    <w:rsid w:val="2608D054"/>
    <w:rsid w:val="2609762C"/>
    <w:rsid w:val="260EC7D8"/>
    <w:rsid w:val="26154DED"/>
    <w:rsid w:val="26156D25"/>
    <w:rsid w:val="262308AB"/>
    <w:rsid w:val="2623332C"/>
    <w:rsid w:val="2624B0EE"/>
    <w:rsid w:val="26267FFD"/>
    <w:rsid w:val="262736DB"/>
    <w:rsid w:val="262E741D"/>
    <w:rsid w:val="26300906"/>
    <w:rsid w:val="2630365D"/>
    <w:rsid w:val="26393A1B"/>
    <w:rsid w:val="263C2F52"/>
    <w:rsid w:val="2640F594"/>
    <w:rsid w:val="26439B7F"/>
    <w:rsid w:val="26455F99"/>
    <w:rsid w:val="26470D0A"/>
    <w:rsid w:val="2647A0F7"/>
    <w:rsid w:val="2647C57D"/>
    <w:rsid w:val="2647FFBC"/>
    <w:rsid w:val="264888EB"/>
    <w:rsid w:val="264DA7E5"/>
    <w:rsid w:val="264E1EB8"/>
    <w:rsid w:val="2650221E"/>
    <w:rsid w:val="26507BBE"/>
    <w:rsid w:val="265171EF"/>
    <w:rsid w:val="26528FBD"/>
    <w:rsid w:val="2657DE57"/>
    <w:rsid w:val="26593590"/>
    <w:rsid w:val="265B9FEF"/>
    <w:rsid w:val="265F3B5F"/>
    <w:rsid w:val="265F6502"/>
    <w:rsid w:val="266F5FCA"/>
    <w:rsid w:val="266FB324"/>
    <w:rsid w:val="2670226C"/>
    <w:rsid w:val="2676B312"/>
    <w:rsid w:val="2676DB29"/>
    <w:rsid w:val="26784CF9"/>
    <w:rsid w:val="267C820E"/>
    <w:rsid w:val="267D90A8"/>
    <w:rsid w:val="26806462"/>
    <w:rsid w:val="2681A63C"/>
    <w:rsid w:val="2684DBB9"/>
    <w:rsid w:val="2685ECA4"/>
    <w:rsid w:val="26897661"/>
    <w:rsid w:val="2689EA03"/>
    <w:rsid w:val="268A7B0F"/>
    <w:rsid w:val="268E4910"/>
    <w:rsid w:val="268EA189"/>
    <w:rsid w:val="268F71F4"/>
    <w:rsid w:val="268F8B71"/>
    <w:rsid w:val="268FD3D1"/>
    <w:rsid w:val="2691E9D0"/>
    <w:rsid w:val="2693C3C5"/>
    <w:rsid w:val="269864F9"/>
    <w:rsid w:val="26991BB5"/>
    <w:rsid w:val="269CDF00"/>
    <w:rsid w:val="269F2022"/>
    <w:rsid w:val="269FFC72"/>
    <w:rsid w:val="26A2C294"/>
    <w:rsid w:val="26A337A6"/>
    <w:rsid w:val="26A6CE0B"/>
    <w:rsid w:val="26A7294A"/>
    <w:rsid w:val="26ABA355"/>
    <w:rsid w:val="26AFFC1F"/>
    <w:rsid w:val="26B1C8DC"/>
    <w:rsid w:val="26B3C098"/>
    <w:rsid w:val="26B44993"/>
    <w:rsid w:val="26B62F79"/>
    <w:rsid w:val="26BD1831"/>
    <w:rsid w:val="26C2EF59"/>
    <w:rsid w:val="26C8CE9A"/>
    <w:rsid w:val="26C9F1A1"/>
    <w:rsid w:val="26D01303"/>
    <w:rsid w:val="26D2950C"/>
    <w:rsid w:val="26D40DDF"/>
    <w:rsid w:val="26D47B5C"/>
    <w:rsid w:val="26D6DB38"/>
    <w:rsid w:val="26D96A94"/>
    <w:rsid w:val="26DB13FA"/>
    <w:rsid w:val="26DCF067"/>
    <w:rsid w:val="26E0D430"/>
    <w:rsid w:val="26E4063A"/>
    <w:rsid w:val="26E5F20A"/>
    <w:rsid w:val="26E69532"/>
    <w:rsid w:val="26E6E6F6"/>
    <w:rsid w:val="26EB155D"/>
    <w:rsid w:val="26F318A9"/>
    <w:rsid w:val="26F4F087"/>
    <w:rsid w:val="26F5638A"/>
    <w:rsid w:val="26F56C31"/>
    <w:rsid w:val="26F8437F"/>
    <w:rsid w:val="26FB2D69"/>
    <w:rsid w:val="26FBEC00"/>
    <w:rsid w:val="2701E195"/>
    <w:rsid w:val="270D981F"/>
    <w:rsid w:val="2711FAEE"/>
    <w:rsid w:val="27150942"/>
    <w:rsid w:val="2716DD63"/>
    <w:rsid w:val="2716F6C8"/>
    <w:rsid w:val="2719F59E"/>
    <w:rsid w:val="271D57E7"/>
    <w:rsid w:val="271EF1A1"/>
    <w:rsid w:val="27263B60"/>
    <w:rsid w:val="27267D43"/>
    <w:rsid w:val="272D75DC"/>
    <w:rsid w:val="2735F3AF"/>
    <w:rsid w:val="273A8173"/>
    <w:rsid w:val="273FD7F4"/>
    <w:rsid w:val="274084E2"/>
    <w:rsid w:val="2745DEBF"/>
    <w:rsid w:val="2746FADC"/>
    <w:rsid w:val="2747AF83"/>
    <w:rsid w:val="2749BDAD"/>
    <w:rsid w:val="274B14EE"/>
    <w:rsid w:val="274B3C51"/>
    <w:rsid w:val="274D8E0D"/>
    <w:rsid w:val="274DC086"/>
    <w:rsid w:val="2750144F"/>
    <w:rsid w:val="2751B92B"/>
    <w:rsid w:val="27523CA2"/>
    <w:rsid w:val="275799BE"/>
    <w:rsid w:val="27591E32"/>
    <w:rsid w:val="275ED7D7"/>
    <w:rsid w:val="2764241A"/>
    <w:rsid w:val="2765094F"/>
    <w:rsid w:val="27662D22"/>
    <w:rsid w:val="27673174"/>
    <w:rsid w:val="276A4984"/>
    <w:rsid w:val="276ACB70"/>
    <w:rsid w:val="276CC485"/>
    <w:rsid w:val="27736EF6"/>
    <w:rsid w:val="27751E52"/>
    <w:rsid w:val="27761A87"/>
    <w:rsid w:val="277C38CA"/>
    <w:rsid w:val="2781AF63"/>
    <w:rsid w:val="27847D6E"/>
    <w:rsid w:val="27871B70"/>
    <w:rsid w:val="278A2962"/>
    <w:rsid w:val="278B5958"/>
    <w:rsid w:val="278D443D"/>
    <w:rsid w:val="278DC828"/>
    <w:rsid w:val="278FF197"/>
    <w:rsid w:val="2791C556"/>
    <w:rsid w:val="2792F5E7"/>
    <w:rsid w:val="27938EBA"/>
    <w:rsid w:val="27957650"/>
    <w:rsid w:val="2795F8FB"/>
    <w:rsid w:val="279CE3D1"/>
    <w:rsid w:val="279EA524"/>
    <w:rsid w:val="27A11085"/>
    <w:rsid w:val="27A5EA16"/>
    <w:rsid w:val="27A7BB30"/>
    <w:rsid w:val="27ABEF90"/>
    <w:rsid w:val="27AD9028"/>
    <w:rsid w:val="27B0E686"/>
    <w:rsid w:val="27B561E4"/>
    <w:rsid w:val="27BA7A89"/>
    <w:rsid w:val="27BDE2FE"/>
    <w:rsid w:val="27BE8160"/>
    <w:rsid w:val="27BF25D4"/>
    <w:rsid w:val="27C1B613"/>
    <w:rsid w:val="27C493A1"/>
    <w:rsid w:val="27C6B136"/>
    <w:rsid w:val="27CA081D"/>
    <w:rsid w:val="27CC89BD"/>
    <w:rsid w:val="27D22672"/>
    <w:rsid w:val="27D2E1B7"/>
    <w:rsid w:val="27D41ABF"/>
    <w:rsid w:val="27D4F898"/>
    <w:rsid w:val="27D885E6"/>
    <w:rsid w:val="27DC873C"/>
    <w:rsid w:val="27DCE950"/>
    <w:rsid w:val="27DED40E"/>
    <w:rsid w:val="27E0C078"/>
    <w:rsid w:val="27E41F14"/>
    <w:rsid w:val="27E9ECB5"/>
    <w:rsid w:val="27EB3BED"/>
    <w:rsid w:val="27ED4250"/>
    <w:rsid w:val="27EE6E55"/>
    <w:rsid w:val="27F42696"/>
    <w:rsid w:val="27FA80BE"/>
    <w:rsid w:val="28000C45"/>
    <w:rsid w:val="28041F98"/>
    <w:rsid w:val="28090D35"/>
    <w:rsid w:val="280938A2"/>
    <w:rsid w:val="280A2B79"/>
    <w:rsid w:val="280AB543"/>
    <w:rsid w:val="280AC313"/>
    <w:rsid w:val="280CC411"/>
    <w:rsid w:val="280EC7ED"/>
    <w:rsid w:val="2813FD83"/>
    <w:rsid w:val="2815AB82"/>
    <w:rsid w:val="281CDAC6"/>
    <w:rsid w:val="281EE1BC"/>
    <w:rsid w:val="281FE312"/>
    <w:rsid w:val="282408CE"/>
    <w:rsid w:val="282444F3"/>
    <w:rsid w:val="2827878D"/>
    <w:rsid w:val="2828D729"/>
    <w:rsid w:val="282A8427"/>
    <w:rsid w:val="2834F4CD"/>
    <w:rsid w:val="28359DA7"/>
    <w:rsid w:val="28408C26"/>
    <w:rsid w:val="2840AE3E"/>
    <w:rsid w:val="28413B62"/>
    <w:rsid w:val="2849F02E"/>
    <w:rsid w:val="284B4A76"/>
    <w:rsid w:val="284B8C85"/>
    <w:rsid w:val="284DFCE7"/>
    <w:rsid w:val="284EAAF3"/>
    <w:rsid w:val="2851F20D"/>
    <w:rsid w:val="28538158"/>
    <w:rsid w:val="2854CE72"/>
    <w:rsid w:val="2855C61E"/>
    <w:rsid w:val="285B815F"/>
    <w:rsid w:val="285D87F5"/>
    <w:rsid w:val="285E6989"/>
    <w:rsid w:val="28634E89"/>
    <w:rsid w:val="2863D540"/>
    <w:rsid w:val="2868521C"/>
    <w:rsid w:val="286B73EF"/>
    <w:rsid w:val="286E43D2"/>
    <w:rsid w:val="2873CF42"/>
    <w:rsid w:val="287638B0"/>
    <w:rsid w:val="287913E4"/>
    <w:rsid w:val="287AFF20"/>
    <w:rsid w:val="287C97DE"/>
    <w:rsid w:val="2885A8F6"/>
    <w:rsid w:val="2886B55A"/>
    <w:rsid w:val="28872029"/>
    <w:rsid w:val="2888583C"/>
    <w:rsid w:val="288A0C0C"/>
    <w:rsid w:val="288ACD42"/>
    <w:rsid w:val="288E8566"/>
    <w:rsid w:val="288F7595"/>
    <w:rsid w:val="2892313D"/>
    <w:rsid w:val="2893DE9D"/>
    <w:rsid w:val="28943957"/>
    <w:rsid w:val="289582BC"/>
    <w:rsid w:val="28990431"/>
    <w:rsid w:val="289CF02B"/>
    <w:rsid w:val="28A00DF1"/>
    <w:rsid w:val="28A1AC2E"/>
    <w:rsid w:val="28AB353D"/>
    <w:rsid w:val="28ADA394"/>
    <w:rsid w:val="28B037ED"/>
    <w:rsid w:val="28B1C7ED"/>
    <w:rsid w:val="28B6A062"/>
    <w:rsid w:val="28B9A16D"/>
    <w:rsid w:val="28BEE932"/>
    <w:rsid w:val="28C38C56"/>
    <w:rsid w:val="28C4D79B"/>
    <w:rsid w:val="28C7B05D"/>
    <w:rsid w:val="28CEF3DD"/>
    <w:rsid w:val="28D00E7D"/>
    <w:rsid w:val="28D56C8B"/>
    <w:rsid w:val="28D5C377"/>
    <w:rsid w:val="28D6E3C5"/>
    <w:rsid w:val="28DC5543"/>
    <w:rsid w:val="28E104ED"/>
    <w:rsid w:val="28E39E01"/>
    <w:rsid w:val="28E68A22"/>
    <w:rsid w:val="28E7EFDE"/>
    <w:rsid w:val="28E8A507"/>
    <w:rsid w:val="28EA52C1"/>
    <w:rsid w:val="28EB6564"/>
    <w:rsid w:val="28ED6B16"/>
    <w:rsid w:val="28EEBC09"/>
    <w:rsid w:val="28EFA543"/>
    <w:rsid w:val="28F38033"/>
    <w:rsid w:val="28F9F794"/>
    <w:rsid w:val="28FFA203"/>
    <w:rsid w:val="2901C817"/>
    <w:rsid w:val="2901D390"/>
    <w:rsid w:val="290698ED"/>
    <w:rsid w:val="2908DA85"/>
    <w:rsid w:val="290E6551"/>
    <w:rsid w:val="290FC307"/>
    <w:rsid w:val="2910BDE3"/>
    <w:rsid w:val="29139EAC"/>
    <w:rsid w:val="2914C2D2"/>
    <w:rsid w:val="291730CB"/>
    <w:rsid w:val="29182139"/>
    <w:rsid w:val="2923B0FD"/>
    <w:rsid w:val="29242AE6"/>
    <w:rsid w:val="2927ED83"/>
    <w:rsid w:val="292BB3A1"/>
    <w:rsid w:val="292E2E07"/>
    <w:rsid w:val="29300E46"/>
    <w:rsid w:val="29306D80"/>
    <w:rsid w:val="293208CE"/>
    <w:rsid w:val="2932DE36"/>
    <w:rsid w:val="29354BE5"/>
    <w:rsid w:val="2938B41F"/>
    <w:rsid w:val="293D8013"/>
    <w:rsid w:val="293E558D"/>
    <w:rsid w:val="294166ED"/>
    <w:rsid w:val="29438B91"/>
    <w:rsid w:val="29454123"/>
    <w:rsid w:val="294956D2"/>
    <w:rsid w:val="294B5E14"/>
    <w:rsid w:val="2950A46A"/>
    <w:rsid w:val="2951A604"/>
    <w:rsid w:val="29582EE4"/>
    <w:rsid w:val="296879A3"/>
    <w:rsid w:val="296BA868"/>
    <w:rsid w:val="2971565E"/>
    <w:rsid w:val="297191A6"/>
    <w:rsid w:val="297331BE"/>
    <w:rsid w:val="2973C94A"/>
    <w:rsid w:val="2974262E"/>
    <w:rsid w:val="2978194B"/>
    <w:rsid w:val="297920E4"/>
    <w:rsid w:val="297B94FF"/>
    <w:rsid w:val="297BDAD1"/>
    <w:rsid w:val="297C51B6"/>
    <w:rsid w:val="2984C9D4"/>
    <w:rsid w:val="2986D03E"/>
    <w:rsid w:val="2987FF7F"/>
    <w:rsid w:val="298A8FE4"/>
    <w:rsid w:val="298CB46A"/>
    <w:rsid w:val="2993AC86"/>
    <w:rsid w:val="2993B97F"/>
    <w:rsid w:val="29A14AED"/>
    <w:rsid w:val="29A574B6"/>
    <w:rsid w:val="29A668C4"/>
    <w:rsid w:val="29A85B05"/>
    <w:rsid w:val="29AE21E4"/>
    <w:rsid w:val="29B1C820"/>
    <w:rsid w:val="29B49A55"/>
    <w:rsid w:val="29B49AA8"/>
    <w:rsid w:val="29B80B3A"/>
    <w:rsid w:val="29BBF8B1"/>
    <w:rsid w:val="29BD4141"/>
    <w:rsid w:val="29BF5E50"/>
    <w:rsid w:val="29BF6E51"/>
    <w:rsid w:val="29C0784E"/>
    <w:rsid w:val="29C10E28"/>
    <w:rsid w:val="29C32F8A"/>
    <w:rsid w:val="29C4073C"/>
    <w:rsid w:val="29C424C1"/>
    <w:rsid w:val="29C4B9E5"/>
    <w:rsid w:val="29C5FDB8"/>
    <w:rsid w:val="29C844E9"/>
    <w:rsid w:val="29C8EAD8"/>
    <w:rsid w:val="29C9CC7B"/>
    <w:rsid w:val="29C9E16E"/>
    <w:rsid w:val="29CC9A28"/>
    <w:rsid w:val="29CE95B2"/>
    <w:rsid w:val="29D07C27"/>
    <w:rsid w:val="29D23965"/>
    <w:rsid w:val="29D367FD"/>
    <w:rsid w:val="29D8C41E"/>
    <w:rsid w:val="29DBA760"/>
    <w:rsid w:val="29DD0EFD"/>
    <w:rsid w:val="29DD863D"/>
    <w:rsid w:val="29DF122F"/>
    <w:rsid w:val="29E1EA29"/>
    <w:rsid w:val="29E62795"/>
    <w:rsid w:val="29EBB35D"/>
    <w:rsid w:val="29ECE2F2"/>
    <w:rsid w:val="29EEC4AC"/>
    <w:rsid w:val="29EF1A4C"/>
    <w:rsid w:val="29F5F238"/>
    <w:rsid w:val="29F92E53"/>
    <w:rsid w:val="29FA88D4"/>
    <w:rsid w:val="29FE1AC6"/>
    <w:rsid w:val="2A01071D"/>
    <w:rsid w:val="2A021CB8"/>
    <w:rsid w:val="2A022EA8"/>
    <w:rsid w:val="2A033ED8"/>
    <w:rsid w:val="2A0441C2"/>
    <w:rsid w:val="2A0AB07A"/>
    <w:rsid w:val="2A0DC382"/>
    <w:rsid w:val="2A10ECAE"/>
    <w:rsid w:val="2A124759"/>
    <w:rsid w:val="2A17EDF6"/>
    <w:rsid w:val="2A1975B3"/>
    <w:rsid w:val="2A1A8EA9"/>
    <w:rsid w:val="2A1AC9BF"/>
    <w:rsid w:val="2A1CC712"/>
    <w:rsid w:val="2A235F0F"/>
    <w:rsid w:val="2A23F439"/>
    <w:rsid w:val="2A25700F"/>
    <w:rsid w:val="2A25ED4C"/>
    <w:rsid w:val="2A2A2C22"/>
    <w:rsid w:val="2A2A4569"/>
    <w:rsid w:val="2A2CBAAD"/>
    <w:rsid w:val="2A2F9044"/>
    <w:rsid w:val="2A331553"/>
    <w:rsid w:val="2A36C583"/>
    <w:rsid w:val="2A370340"/>
    <w:rsid w:val="2A3AD9B2"/>
    <w:rsid w:val="2A3FAB9F"/>
    <w:rsid w:val="2A45BA21"/>
    <w:rsid w:val="2A4E06B0"/>
    <w:rsid w:val="2A51B3A6"/>
    <w:rsid w:val="2A53583E"/>
    <w:rsid w:val="2A552A30"/>
    <w:rsid w:val="2A553BAB"/>
    <w:rsid w:val="2A55FDD6"/>
    <w:rsid w:val="2A5D109C"/>
    <w:rsid w:val="2A5D9DDD"/>
    <w:rsid w:val="2A5EAAE3"/>
    <w:rsid w:val="2A6404DF"/>
    <w:rsid w:val="2A645A87"/>
    <w:rsid w:val="2A6502AC"/>
    <w:rsid w:val="2A66CF49"/>
    <w:rsid w:val="2A690CB5"/>
    <w:rsid w:val="2A6AC5BD"/>
    <w:rsid w:val="2A6B0E1A"/>
    <w:rsid w:val="2A6CAA60"/>
    <w:rsid w:val="2A6D6874"/>
    <w:rsid w:val="2A71539A"/>
    <w:rsid w:val="2A73E604"/>
    <w:rsid w:val="2A74CF33"/>
    <w:rsid w:val="2A758837"/>
    <w:rsid w:val="2A76805B"/>
    <w:rsid w:val="2A7A31A0"/>
    <w:rsid w:val="2A8041C9"/>
    <w:rsid w:val="2A8D61FD"/>
    <w:rsid w:val="2A9243A5"/>
    <w:rsid w:val="2A928365"/>
    <w:rsid w:val="2A9415D4"/>
    <w:rsid w:val="2A96F9E6"/>
    <w:rsid w:val="2AA82032"/>
    <w:rsid w:val="2AA858C9"/>
    <w:rsid w:val="2AA862DD"/>
    <w:rsid w:val="2AAB47B9"/>
    <w:rsid w:val="2AAB5C49"/>
    <w:rsid w:val="2AB1D5EF"/>
    <w:rsid w:val="2AB3DB80"/>
    <w:rsid w:val="2AB60207"/>
    <w:rsid w:val="2AB66C97"/>
    <w:rsid w:val="2AB7612D"/>
    <w:rsid w:val="2ABB1365"/>
    <w:rsid w:val="2ABB430E"/>
    <w:rsid w:val="2ABC5194"/>
    <w:rsid w:val="2ABCC5D5"/>
    <w:rsid w:val="2ABD27EE"/>
    <w:rsid w:val="2ABD6F6E"/>
    <w:rsid w:val="2ABEB189"/>
    <w:rsid w:val="2AC16ABC"/>
    <w:rsid w:val="2AC81F71"/>
    <w:rsid w:val="2ACA96A9"/>
    <w:rsid w:val="2ACC7B33"/>
    <w:rsid w:val="2ACD5078"/>
    <w:rsid w:val="2AD82B20"/>
    <w:rsid w:val="2ADD1078"/>
    <w:rsid w:val="2ADE46F5"/>
    <w:rsid w:val="2ADEA077"/>
    <w:rsid w:val="2AE59D58"/>
    <w:rsid w:val="2AE6F591"/>
    <w:rsid w:val="2AEB4245"/>
    <w:rsid w:val="2AEDB511"/>
    <w:rsid w:val="2AF25333"/>
    <w:rsid w:val="2AF36049"/>
    <w:rsid w:val="2AF6750F"/>
    <w:rsid w:val="2AF77FFC"/>
    <w:rsid w:val="2AFA92FF"/>
    <w:rsid w:val="2AFAC849"/>
    <w:rsid w:val="2B029644"/>
    <w:rsid w:val="2B034F04"/>
    <w:rsid w:val="2B03847C"/>
    <w:rsid w:val="2B03B07D"/>
    <w:rsid w:val="2B0572C2"/>
    <w:rsid w:val="2B09B09F"/>
    <w:rsid w:val="2B0B3968"/>
    <w:rsid w:val="2B0E883D"/>
    <w:rsid w:val="2B0F1FEE"/>
    <w:rsid w:val="2B11D42B"/>
    <w:rsid w:val="2B17B7BE"/>
    <w:rsid w:val="2B20EA25"/>
    <w:rsid w:val="2B2DA4E8"/>
    <w:rsid w:val="2B2DF8C1"/>
    <w:rsid w:val="2B2EF7A8"/>
    <w:rsid w:val="2B3297A9"/>
    <w:rsid w:val="2B342390"/>
    <w:rsid w:val="2B37F543"/>
    <w:rsid w:val="2B39E63C"/>
    <w:rsid w:val="2B3EAA49"/>
    <w:rsid w:val="2B3F2339"/>
    <w:rsid w:val="2B449A6F"/>
    <w:rsid w:val="2B455F30"/>
    <w:rsid w:val="2B46750A"/>
    <w:rsid w:val="2B486E0B"/>
    <w:rsid w:val="2B49BC97"/>
    <w:rsid w:val="2B4AD37B"/>
    <w:rsid w:val="2B4D1EB1"/>
    <w:rsid w:val="2B4D7E25"/>
    <w:rsid w:val="2B523B26"/>
    <w:rsid w:val="2B587837"/>
    <w:rsid w:val="2B5D01C9"/>
    <w:rsid w:val="2B5DB51B"/>
    <w:rsid w:val="2B5E13D8"/>
    <w:rsid w:val="2B6ABEA2"/>
    <w:rsid w:val="2B6C0D60"/>
    <w:rsid w:val="2B77C000"/>
    <w:rsid w:val="2B78FCF4"/>
    <w:rsid w:val="2B79EF67"/>
    <w:rsid w:val="2B7C24F1"/>
    <w:rsid w:val="2B80388E"/>
    <w:rsid w:val="2B83ABEC"/>
    <w:rsid w:val="2B857CC6"/>
    <w:rsid w:val="2B87F737"/>
    <w:rsid w:val="2B8ABB4F"/>
    <w:rsid w:val="2B8FB191"/>
    <w:rsid w:val="2B915200"/>
    <w:rsid w:val="2B91ABF9"/>
    <w:rsid w:val="2B924A2A"/>
    <w:rsid w:val="2B991A79"/>
    <w:rsid w:val="2B9ADA01"/>
    <w:rsid w:val="2B9B7A70"/>
    <w:rsid w:val="2B9F5A5C"/>
    <w:rsid w:val="2BA0A5F1"/>
    <w:rsid w:val="2BA0CE8E"/>
    <w:rsid w:val="2BA47D81"/>
    <w:rsid w:val="2BA52729"/>
    <w:rsid w:val="2BA5358B"/>
    <w:rsid w:val="2BB03F60"/>
    <w:rsid w:val="2BB3448F"/>
    <w:rsid w:val="2BB379F8"/>
    <w:rsid w:val="2BB7C8BA"/>
    <w:rsid w:val="2BBBB68C"/>
    <w:rsid w:val="2BC1134A"/>
    <w:rsid w:val="2BC30F62"/>
    <w:rsid w:val="2BC73EDC"/>
    <w:rsid w:val="2BC88D13"/>
    <w:rsid w:val="2BCA90E4"/>
    <w:rsid w:val="2BCE7F02"/>
    <w:rsid w:val="2BD11B36"/>
    <w:rsid w:val="2BD14ED7"/>
    <w:rsid w:val="2BDA8A94"/>
    <w:rsid w:val="2BDFA798"/>
    <w:rsid w:val="2BE467BB"/>
    <w:rsid w:val="2BF5DA92"/>
    <w:rsid w:val="2BF6EBB4"/>
    <w:rsid w:val="2BF7E67A"/>
    <w:rsid w:val="2BFA9E66"/>
    <w:rsid w:val="2BFE2C08"/>
    <w:rsid w:val="2BFE44EC"/>
    <w:rsid w:val="2BFF90F1"/>
    <w:rsid w:val="2C010AAE"/>
    <w:rsid w:val="2C0257F2"/>
    <w:rsid w:val="2C060DC3"/>
    <w:rsid w:val="2C08D057"/>
    <w:rsid w:val="2C098254"/>
    <w:rsid w:val="2C0A9CDE"/>
    <w:rsid w:val="2C0F0D02"/>
    <w:rsid w:val="2C14750A"/>
    <w:rsid w:val="2C148010"/>
    <w:rsid w:val="2C148D9F"/>
    <w:rsid w:val="2C15CF20"/>
    <w:rsid w:val="2C171461"/>
    <w:rsid w:val="2C18D8CE"/>
    <w:rsid w:val="2C1A5547"/>
    <w:rsid w:val="2C251436"/>
    <w:rsid w:val="2C278A8B"/>
    <w:rsid w:val="2C2B0AE1"/>
    <w:rsid w:val="2C2E0830"/>
    <w:rsid w:val="2C2E744D"/>
    <w:rsid w:val="2C2F20B5"/>
    <w:rsid w:val="2C317975"/>
    <w:rsid w:val="2C32A836"/>
    <w:rsid w:val="2C358101"/>
    <w:rsid w:val="2C371E87"/>
    <w:rsid w:val="2C389935"/>
    <w:rsid w:val="2C392836"/>
    <w:rsid w:val="2C3A3AD9"/>
    <w:rsid w:val="2C3C910B"/>
    <w:rsid w:val="2C3D5ABC"/>
    <w:rsid w:val="2C4575E2"/>
    <w:rsid w:val="2C46DADB"/>
    <w:rsid w:val="2C49A853"/>
    <w:rsid w:val="2C4A77AB"/>
    <w:rsid w:val="2C4B6FED"/>
    <w:rsid w:val="2C4B93C4"/>
    <w:rsid w:val="2C4D6601"/>
    <w:rsid w:val="2C4E7DE3"/>
    <w:rsid w:val="2C516B5E"/>
    <w:rsid w:val="2C536518"/>
    <w:rsid w:val="2C544708"/>
    <w:rsid w:val="2C56E24B"/>
    <w:rsid w:val="2C579A10"/>
    <w:rsid w:val="2C583707"/>
    <w:rsid w:val="2C5940C7"/>
    <w:rsid w:val="2C623F36"/>
    <w:rsid w:val="2C66670A"/>
    <w:rsid w:val="2C685C5D"/>
    <w:rsid w:val="2C6D7A19"/>
    <w:rsid w:val="2C718871"/>
    <w:rsid w:val="2C737B8A"/>
    <w:rsid w:val="2C763DC6"/>
    <w:rsid w:val="2C784307"/>
    <w:rsid w:val="2C7865E8"/>
    <w:rsid w:val="2C7B61C5"/>
    <w:rsid w:val="2C7E3AD5"/>
    <w:rsid w:val="2C7EC350"/>
    <w:rsid w:val="2C870B81"/>
    <w:rsid w:val="2C8766D0"/>
    <w:rsid w:val="2C8C23BA"/>
    <w:rsid w:val="2C8ED336"/>
    <w:rsid w:val="2C9837C8"/>
    <w:rsid w:val="2C9B8900"/>
    <w:rsid w:val="2C9CE233"/>
    <w:rsid w:val="2C9DF893"/>
    <w:rsid w:val="2C9FFA94"/>
    <w:rsid w:val="2CA04121"/>
    <w:rsid w:val="2CA05F1C"/>
    <w:rsid w:val="2CA0B852"/>
    <w:rsid w:val="2CA16CE0"/>
    <w:rsid w:val="2CA2D428"/>
    <w:rsid w:val="2CA407A6"/>
    <w:rsid w:val="2CA80846"/>
    <w:rsid w:val="2CAD78A5"/>
    <w:rsid w:val="2CB404FB"/>
    <w:rsid w:val="2CB4E5F3"/>
    <w:rsid w:val="2CBD2A10"/>
    <w:rsid w:val="2CBDA3A3"/>
    <w:rsid w:val="2CBE7100"/>
    <w:rsid w:val="2CBFB8B8"/>
    <w:rsid w:val="2CC067EF"/>
    <w:rsid w:val="2CC337FA"/>
    <w:rsid w:val="2CC5C34C"/>
    <w:rsid w:val="2CC75C57"/>
    <w:rsid w:val="2CC78537"/>
    <w:rsid w:val="2CCABB09"/>
    <w:rsid w:val="2CCE2C83"/>
    <w:rsid w:val="2CCEE03A"/>
    <w:rsid w:val="2CD663E1"/>
    <w:rsid w:val="2CD9491E"/>
    <w:rsid w:val="2CD96003"/>
    <w:rsid w:val="2CD9FFA2"/>
    <w:rsid w:val="2CE4260C"/>
    <w:rsid w:val="2CE49D16"/>
    <w:rsid w:val="2CE65F8D"/>
    <w:rsid w:val="2CEC5B93"/>
    <w:rsid w:val="2CED0331"/>
    <w:rsid w:val="2CEFC030"/>
    <w:rsid w:val="2CEFDBC4"/>
    <w:rsid w:val="2CF14D8E"/>
    <w:rsid w:val="2CF87A7C"/>
    <w:rsid w:val="2CF9E3BA"/>
    <w:rsid w:val="2CFA2B3C"/>
    <w:rsid w:val="2CFC834C"/>
    <w:rsid w:val="2CFD2940"/>
    <w:rsid w:val="2D00EC6F"/>
    <w:rsid w:val="2D0A4C4E"/>
    <w:rsid w:val="2D0ADB46"/>
    <w:rsid w:val="2D0B2DAC"/>
    <w:rsid w:val="2D0BE81E"/>
    <w:rsid w:val="2D0DFB94"/>
    <w:rsid w:val="2D0FA940"/>
    <w:rsid w:val="2D17DE85"/>
    <w:rsid w:val="2D1929F4"/>
    <w:rsid w:val="2D1ACE8E"/>
    <w:rsid w:val="2D1CDD9E"/>
    <w:rsid w:val="2D1DE11B"/>
    <w:rsid w:val="2D2078F1"/>
    <w:rsid w:val="2D20A23E"/>
    <w:rsid w:val="2D231FA7"/>
    <w:rsid w:val="2D25BD57"/>
    <w:rsid w:val="2D28279C"/>
    <w:rsid w:val="2D2A2F80"/>
    <w:rsid w:val="2D2CC70B"/>
    <w:rsid w:val="2D2D0DB5"/>
    <w:rsid w:val="2D2D2A93"/>
    <w:rsid w:val="2D300597"/>
    <w:rsid w:val="2D300A99"/>
    <w:rsid w:val="2D3451FC"/>
    <w:rsid w:val="2D34F918"/>
    <w:rsid w:val="2D36F3C3"/>
    <w:rsid w:val="2D372C3D"/>
    <w:rsid w:val="2D3A0792"/>
    <w:rsid w:val="2D3A391B"/>
    <w:rsid w:val="2D3DC15A"/>
    <w:rsid w:val="2D424F94"/>
    <w:rsid w:val="2D42DB09"/>
    <w:rsid w:val="2D432625"/>
    <w:rsid w:val="2D43E939"/>
    <w:rsid w:val="2D4B7E13"/>
    <w:rsid w:val="2D4DCDA7"/>
    <w:rsid w:val="2D4E0663"/>
    <w:rsid w:val="2D54FA9E"/>
    <w:rsid w:val="2D57A427"/>
    <w:rsid w:val="2D5CEAAC"/>
    <w:rsid w:val="2D5D4852"/>
    <w:rsid w:val="2D5F39CA"/>
    <w:rsid w:val="2D672B2F"/>
    <w:rsid w:val="2D688F5B"/>
    <w:rsid w:val="2D6C51B3"/>
    <w:rsid w:val="2D6D059F"/>
    <w:rsid w:val="2D716909"/>
    <w:rsid w:val="2D718EFC"/>
    <w:rsid w:val="2D76B811"/>
    <w:rsid w:val="2D77831D"/>
    <w:rsid w:val="2D778624"/>
    <w:rsid w:val="2D784432"/>
    <w:rsid w:val="2D7C322B"/>
    <w:rsid w:val="2D80A83A"/>
    <w:rsid w:val="2D890527"/>
    <w:rsid w:val="2D8F650D"/>
    <w:rsid w:val="2D8F8BFC"/>
    <w:rsid w:val="2D91AAF3"/>
    <w:rsid w:val="2D96821B"/>
    <w:rsid w:val="2D9A1EFB"/>
    <w:rsid w:val="2D9E1E64"/>
    <w:rsid w:val="2D9E464E"/>
    <w:rsid w:val="2DA0944A"/>
    <w:rsid w:val="2DA11C1D"/>
    <w:rsid w:val="2DA31A98"/>
    <w:rsid w:val="2DA71DEC"/>
    <w:rsid w:val="2DA75EAD"/>
    <w:rsid w:val="2DA76872"/>
    <w:rsid w:val="2DAF3E69"/>
    <w:rsid w:val="2DAFF95B"/>
    <w:rsid w:val="2DB0456B"/>
    <w:rsid w:val="2DB4DFD1"/>
    <w:rsid w:val="2DB55DC0"/>
    <w:rsid w:val="2DB79042"/>
    <w:rsid w:val="2DB83643"/>
    <w:rsid w:val="2DB9C42A"/>
    <w:rsid w:val="2DBAF698"/>
    <w:rsid w:val="2DBFE29F"/>
    <w:rsid w:val="2DC06179"/>
    <w:rsid w:val="2DC35480"/>
    <w:rsid w:val="2DC4DC46"/>
    <w:rsid w:val="2DC992E5"/>
    <w:rsid w:val="2DCF7A2C"/>
    <w:rsid w:val="2DD675ED"/>
    <w:rsid w:val="2DD97B45"/>
    <w:rsid w:val="2DDA38F2"/>
    <w:rsid w:val="2DDE44D1"/>
    <w:rsid w:val="2DDECF6D"/>
    <w:rsid w:val="2DE38E6F"/>
    <w:rsid w:val="2DF33B72"/>
    <w:rsid w:val="2DF3563A"/>
    <w:rsid w:val="2DFBB3CC"/>
    <w:rsid w:val="2E00DFEB"/>
    <w:rsid w:val="2E016B2D"/>
    <w:rsid w:val="2E023EAF"/>
    <w:rsid w:val="2E037916"/>
    <w:rsid w:val="2E0BC47C"/>
    <w:rsid w:val="2E0C43FD"/>
    <w:rsid w:val="2E12031D"/>
    <w:rsid w:val="2E1284EE"/>
    <w:rsid w:val="2E1A031F"/>
    <w:rsid w:val="2E1E3E0A"/>
    <w:rsid w:val="2E1E5032"/>
    <w:rsid w:val="2E1F4101"/>
    <w:rsid w:val="2E207671"/>
    <w:rsid w:val="2E21D23B"/>
    <w:rsid w:val="2E295876"/>
    <w:rsid w:val="2E29BBDA"/>
    <w:rsid w:val="2E2EBCD5"/>
    <w:rsid w:val="2E313688"/>
    <w:rsid w:val="2E313AF9"/>
    <w:rsid w:val="2E33A23D"/>
    <w:rsid w:val="2E38A4FF"/>
    <w:rsid w:val="2E3CB587"/>
    <w:rsid w:val="2E449D0B"/>
    <w:rsid w:val="2E45B01D"/>
    <w:rsid w:val="2E468371"/>
    <w:rsid w:val="2E47C943"/>
    <w:rsid w:val="2E491C91"/>
    <w:rsid w:val="2E49935D"/>
    <w:rsid w:val="2E4DDBF4"/>
    <w:rsid w:val="2E507FD0"/>
    <w:rsid w:val="2E51FCA9"/>
    <w:rsid w:val="2E520223"/>
    <w:rsid w:val="2E55880C"/>
    <w:rsid w:val="2E57700F"/>
    <w:rsid w:val="2E5A4161"/>
    <w:rsid w:val="2E5C0415"/>
    <w:rsid w:val="2E5CCA44"/>
    <w:rsid w:val="2E601075"/>
    <w:rsid w:val="2E62C7FB"/>
    <w:rsid w:val="2E63A80C"/>
    <w:rsid w:val="2E6D149C"/>
    <w:rsid w:val="2E6E4B33"/>
    <w:rsid w:val="2E6FA31F"/>
    <w:rsid w:val="2E751CF3"/>
    <w:rsid w:val="2E76BE99"/>
    <w:rsid w:val="2E76C3FB"/>
    <w:rsid w:val="2E79FD63"/>
    <w:rsid w:val="2E7A418F"/>
    <w:rsid w:val="2E7AC36E"/>
    <w:rsid w:val="2E7B6DC2"/>
    <w:rsid w:val="2E7C9B56"/>
    <w:rsid w:val="2E80AAB8"/>
    <w:rsid w:val="2E84A5D7"/>
    <w:rsid w:val="2E84E69F"/>
    <w:rsid w:val="2E8561D1"/>
    <w:rsid w:val="2E873969"/>
    <w:rsid w:val="2E90ED02"/>
    <w:rsid w:val="2E919806"/>
    <w:rsid w:val="2E9854D3"/>
    <w:rsid w:val="2E9B83B5"/>
    <w:rsid w:val="2E9E51EF"/>
    <w:rsid w:val="2E9FAF27"/>
    <w:rsid w:val="2EB0E7A3"/>
    <w:rsid w:val="2EB4ADEB"/>
    <w:rsid w:val="2EB52652"/>
    <w:rsid w:val="2EB8D9A2"/>
    <w:rsid w:val="2EB97C11"/>
    <w:rsid w:val="2EBA8BFA"/>
    <w:rsid w:val="2EBB8DD0"/>
    <w:rsid w:val="2EBE0305"/>
    <w:rsid w:val="2EBEF843"/>
    <w:rsid w:val="2EC1B4C0"/>
    <w:rsid w:val="2EC1C0F6"/>
    <w:rsid w:val="2EC59617"/>
    <w:rsid w:val="2EC779F0"/>
    <w:rsid w:val="2ECA5CC0"/>
    <w:rsid w:val="2ED00853"/>
    <w:rsid w:val="2ED042DF"/>
    <w:rsid w:val="2ED0D5B3"/>
    <w:rsid w:val="2ED56D23"/>
    <w:rsid w:val="2ED8FF7D"/>
    <w:rsid w:val="2EDB3D21"/>
    <w:rsid w:val="2EE15217"/>
    <w:rsid w:val="2EE39A4D"/>
    <w:rsid w:val="2EE40C31"/>
    <w:rsid w:val="2EE690C8"/>
    <w:rsid w:val="2EE6BC9C"/>
    <w:rsid w:val="2EE954AA"/>
    <w:rsid w:val="2EE96270"/>
    <w:rsid w:val="2EEA1BD7"/>
    <w:rsid w:val="2EEEB494"/>
    <w:rsid w:val="2EF5D2C7"/>
    <w:rsid w:val="2EF68922"/>
    <w:rsid w:val="2EF6D5E5"/>
    <w:rsid w:val="2EF95DDB"/>
    <w:rsid w:val="2EFCB988"/>
    <w:rsid w:val="2EFD23E9"/>
    <w:rsid w:val="2EFD5D49"/>
    <w:rsid w:val="2F00FE65"/>
    <w:rsid w:val="2F0345EF"/>
    <w:rsid w:val="2F08236E"/>
    <w:rsid w:val="2F0E058D"/>
    <w:rsid w:val="2F12B69A"/>
    <w:rsid w:val="2F12BF6D"/>
    <w:rsid w:val="2F1346B7"/>
    <w:rsid w:val="2F1B41BD"/>
    <w:rsid w:val="2F1E06DD"/>
    <w:rsid w:val="2F1E3732"/>
    <w:rsid w:val="2F2405BA"/>
    <w:rsid w:val="2F24FDAB"/>
    <w:rsid w:val="2F28A9DA"/>
    <w:rsid w:val="2F29DDC5"/>
    <w:rsid w:val="2F2BE091"/>
    <w:rsid w:val="2F2C51EA"/>
    <w:rsid w:val="2F2E172C"/>
    <w:rsid w:val="2F2EB3E5"/>
    <w:rsid w:val="2F31D509"/>
    <w:rsid w:val="2F31DD40"/>
    <w:rsid w:val="2F362803"/>
    <w:rsid w:val="2F37F264"/>
    <w:rsid w:val="2F3D2B9B"/>
    <w:rsid w:val="2F3FA49D"/>
    <w:rsid w:val="2F400C59"/>
    <w:rsid w:val="2F41329A"/>
    <w:rsid w:val="2F44246C"/>
    <w:rsid w:val="2F47588A"/>
    <w:rsid w:val="2F49FDAB"/>
    <w:rsid w:val="2F553F86"/>
    <w:rsid w:val="2F576870"/>
    <w:rsid w:val="2F5CC6AA"/>
    <w:rsid w:val="2F5EBEE3"/>
    <w:rsid w:val="2F5F166C"/>
    <w:rsid w:val="2F610718"/>
    <w:rsid w:val="2F615315"/>
    <w:rsid w:val="2F6413CF"/>
    <w:rsid w:val="2F6486C7"/>
    <w:rsid w:val="2F658A2D"/>
    <w:rsid w:val="2F66D6D3"/>
    <w:rsid w:val="2F6738F0"/>
    <w:rsid w:val="2F689D8E"/>
    <w:rsid w:val="2F6A73E6"/>
    <w:rsid w:val="2F6FF821"/>
    <w:rsid w:val="2F774B93"/>
    <w:rsid w:val="2F7A98DA"/>
    <w:rsid w:val="2F7EC1CF"/>
    <w:rsid w:val="2F80DAB6"/>
    <w:rsid w:val="2F8307BC"/>
    <w:rsid w:val="2F841565"/>
    <w:rsid w:val="2F863AFC"/>
    <w:rsid w:val="2F877B22"/>
    <w:rsid w:val="2F8A09FB"/>
    <w:rsid w:val="2F900E50"/>
    <w:rsid w:val="2F92FE68"/>
    <w:rsid w:val="2F949C8C"/>
    <w:rsid w:val="2F959541"/>
    <w:rsid w:val="2F9CD902"/>
    <w:rsid w:val="2FA3BE56"/>
    <w:rsid w:val="2FA8145E"/>
    <w:rsid w:val="2FA975D4"/>
    <w:rsid w:val="2FAAEA04"/>
    <w:rsid w:val="2FB255F6"/>
    <w:rsid w:val="2FB35427"/>
    <w:rsid w:val="2FB528E5"/>
    <w:rsid w:val="2FB568C1"/>
    <w:rsid w:val="2FB89FD3"/>
    <w:rsid w:val="2FB9421C"/>
    <w:rsid w:val="2FBB5535"/>
    <w:rsid w:val="2FBC386D"/>
    <w:rsid w:val="2FC083C8"/>
    <w:rsid w:val="2FC447B5"/>
    <w:rsid w:val="2FC54D23"/>
    <w:rsid w:val="2FC6CD25"/>
    <w:rsid w:val="2FC7B35F"/>
    <w:rsid w:val="2FC7D80F"/>
    <w:rsid w:val="2FCB540A"/>
    <w:rsid w:val="2FCDF861"/>
    <w:rsid w:val="2FD4FC57"/>
    <w:rsid w:val="2FD530A0"/>
    <w:rsid w:val="2FD653EE"/>
    <w:rsid w:val="2FD8F0F0"/>
    <w:rsid w:val="2FD96A89"/>
    <w:rsid w:val="2FDB9A5B"/>
    <w:rsid w:val="2FDF02F8"/>
    <w:rsid w:val="2FDF5698"/>
    <w:rsid w:val="2FE035F2"/>
    <w:rsid w:val="2FE14BCF"/>
    <w:rsid w:val="2FE23884"/>
    <w:rsid w:val="2FE5A038"/>
    <w:rsid w:val="2FE63F31"/>
    <w:rsid w:val="2FE6A290"/>
    <w:rsid w:val="2FE6B91C"/>
    <w:rsid w:val="2FE7E8F2"/>
    <w:rsid w:val="2FE8AE24"/>
    <w:rsid w:val="2FEAB579"/>
    <w:rsid w:val="2FEC4DE0"/>
    <w:rsid w:val="2FED290A"/>
    <w:rsid w:val="2FF2A7B0"/>
    <w:rsid w:val="2FFE3123"/>
    <w:rsid w:val="2FFE6C89"/>
    <w:rsid w:val="2FFFD829"/>
    <w:rsid w:val="30031465"/>
    <w:rsid w:val="3005789F"/>
    <w:rsid w:val="30078DB4"/>
    <w:rsid w:val="30153786"/>
    <w:rsid w:val="3015FB54"/>
    <w:rsid w:val="301A322F"/>
    <w:rsid w:val="3020C6AD"/>
    <w:rsid w:val="3028C287"/>
    <w:rsid w:val="302C30E7"/>
    <w:rsid w:val="302E5335"/>
    <w:rsid w:val="3033399F"/>
    <w:rsid w:val="30339997"/>
    <w:rsid w:val="30343FE8"/>
    <w:rsid w:val="30368392"/>
    <w:rsid w:val="303689C3"/>
    <w:rsid w:val="3039EC0D"/>
    <w:rsid w:val="3041CA6A"/>
    <w:rsid w:val="3042A12D"/>
    <w:rsid w:val="3044720C"/>
    <w:rsid w:val="304FAD00"/>
    <w:rsid w:val="30531C52"/>
    <w:rsid w:val="3054AA03"/>
    <w:rsid w:val="305870E3"/>
    <w:rsid w:val="30597511"/>
    <w:rsid w:val="3059849B"/>
    <w:rsid w:val="3060D330"/>
    <w:rsid w:val="30615F71"/>
    <w:rsid w:val="30673906"/>
    <w:rsid w:val="3072A1AB"/>
    <w:rsid w:val="30796AF9"/>
    <w:rsid w:val="307C9C42"/>
    <w:rsid w:val="307CDB4F"/>
    <w:rsid w:val="307F63DC"/>
    <w:rsid w:val="3082D6D4"/>
    <w:rsid w:val="3083195B"/>
    <w:rsid w:val="30850C65"/>
    <w:rsid w:val="308A1F1B"/>
    <w:rsid w:val="308AC78C"/>
    <w:rsid w:val="308AC8AD"/>
    <w:rsid w:val="308B3A9A"/>
    <w:rsid w:val="308CAA44"/>
    <w:rsid w:val="30920CA1"/>
    <w:rsid w:val="3094A19F"/>
    <w:rsid w:val="30959334"/>
    <w:rsid w:val="309774BE"/>
    <w:rsid w:val="30991C9D"/>
    <w:rsid w:val="30A4BCA4"/>
    <w:rsid w:val="30A9085A"/>
    <w:rsid w:val="30AFF2B8"/>
    <w:rsid w:val="30AFF519"/>
    <w:rsid w:val="30B3792D"/>
    <w:rsid w:val="30B4C162"/>
    <w:rsid w:val="30B4FDC5"/>
    <w:rsid w:val="30B9F05D"/>
    <w:rsid w:val="30BA9180"/>
    <w:rsid w:val="30BB13BC"/>
    <w:rsid w:val="30BC8A9A"/>
    <w:rsid w:val="30BCE2F6"/>
    <w:rsid w:val="30BDAC06"/>
    <w:rsid w:val="30C29E7A"/>
    <w:rsid w:val="30C90D9B"/>
    <w:rsid w:val="30C94BB5"/>
    <w:rsid w:val="30CEE61F"/>
    <w:rsid w:val="30CFF6BB"/>
    <w:rsid w:val="30D0F942"/>
    <w:rsid w:val="30D3702B"/>
    <w:rsid w:val="30D5DEE3"/>
    <w:rsid w:val="30D89E37"/>
    <w:rsid w:val="30DF1B22"/>
    <w:rsid w:val="30E1BC17"/>
    <w:rsid w:val="30E69AF9"/>
    <w:rsid w:val="30EB8E1D"/>
    <w:rsid w:val="30EE76FE"/>
    <w:rsid w:val="30F38B5F"/>
    <w:rsid w:val="30F97907"/>
    <w:rsid w:val="30FE822B"/>
    <w:rsid w:val="30FF87D9"/>
    <w:rsid w:val="31002F2E"/>
    <w:rsid w:val="3106274D"/>
    <w:rsid w:val="3107F7DF"/>
    <w:rsid w:val="31086589"/>
    <w:rsid w:val="310BF7A5"/>
    <w:rsid w:val="3110CBDF"/>
    <w:rsid w:val="3111AD14"/>
    <w:rsid w:val="31162339"/>
    <w:rsid w:val="31170842"/>
    <w:rsid w:val="3129E415"/>
    <w:rsid w:val="31307E96"/>
    <w:rsid w:val="3133F2C6"/>
    <w:rsid w:val="313500B7"/>
    <w:rsid w:val="3137339E"/>
    <w:rsid w:val="3141F5C8"/>
    <w:rsid w:val="314799F0"/>
    <w:rsid w:val="314AC84B"/>
    <w:rsid w:val="314C7065"/>
    <w:rsid w:val="314D8646"/>
    <w:rsid w:val="314D8EC8"/>
    <w:rsid w:val="314F8171"/>
    <w:rsid w:val="314F84FF"/>
    <w:rsid w:val="31531C02"/>
    <w:rsid w:val="3158E82B"/>
    <w:rsid w:val="31598E77"/>
    <w:rsid w:val="315F88C3"/>
    <w:rsid w:val="3160EFD7"/>
    <w:rsid w:val="31635834"/>
    <w:rsid w:val="3167DB44"/>
    <w:rsid w:val="316846E0"/>
    <w:rsid w:val="316AD7F9"/>
    <w:rsid w:val="316D6013"/>
    <w:rsid w:val="316D99F4"/>
    <w:rsid w:val="31776935"/>
    <w:rsid w:val="317DE160"/>
    <w:rsid w:val="31869506"/>
    <w:rsid w:val="31874174"/>
    <w:rsid w:val="318F6006"/>
    <w:rsid w:val="319108CC"/>
    <w:rsid w:val="319113C9"/>
    <w:rsid w:val="31947A21"/>
    <w:rsid w:val="319513DD"/>
    <w:rsid w:val="31989AD6"/>
    <w:rsid w:val="319C8C62"/>
    <w:rsid w:val="319CBF1C"/>
    <w:rsid w:val="319F6EC1"/>
    <w:rsid w:val="31A52B51"/>
    <w:rsid w:val="31A79033"/>
    <w:rsid w:val="31A7E108"/>
    <w:rsid w:val="31A9771F"/>
    <w:rsid w:val="31AD9462"/>
    <w:rsid w:val="31AEBD63"/>
    <w:rsid w:val="31AF60C0"/>
    <w:rsid w:val="31AF9803"/>
    <w:rsid w:val="31B065D4"/>
    <w:rsid w:val="31B9BB24"/>
    <w:rsid w:val="31BA2168"/>
    <w:rsid w:val="31BE7EAB"/>
    <w:rsid w:val="31C2D10C"/>
    <w:rsid w:val="31C52BE9"/>
    <w:rsid w:val="31C70C68"/>
    <w:rsid w:val="31CDE110"/>
    <w:rsid w:val="31D3A340"/>
    <w:rsid w:val="31D4D637"/>
    <w:rsid w:val="31D67194"/>
    <w:rsid w:val="31D882D6"/>
    <w:rsid w:val="31D8AF66"/>
    <w:rsid w:val="31D8F2AC"/>
    <w:rsid w:val="31E09BEB"/>
    <w:rsid w:val="31E4D2BE"/>
    <w:rsid w:val="31E4FA72"/>
    <w:rsid w:val="31E56AFE"/>
    <w:rsid w:val="31E5BC41"/>
    <w:rsid w:val="31E9878D"/>
    <w:rsid w:val="31F06137"/>
    <w:rsid w:val="31F0ABF0"/>
    <w:rsid w:val="31F2E948"/>
    <w:rsid w:val="31F3E05B"/>
    <w:rsid w:val="31F53E10"/>
    <w:rsid w:val="31F818D2"/>
    <w:rsid w:val="31FA3AF2"/>
    <w:rsid w:val="31FB3B6E"/>
    <w:rsid w:val="31FCB275"/>
    <w:rsid w:val="31FD6368"/>
    <w:rsid w:val="3201B620"/>
    <w:rsid w:val="32037E8A"/>
    <w:rsid w:val="3205C478"/>
    <w:rsid w:val="32072A3F"/>
    <w:rsid w:val="3208987E"/>
    <w:rsid w:val="320E8229"/>
    <w:rsid w:val="320EBD51"/>
    <w:rsid w:val="320F1956"/>
    <w:rsid w:val="3210EF6A"/>
    <w:rsid w:val="3212E378"/>
    <w:rsid w:val="32135808"/>
    <w:rsid w:val="321588B9"/>
    <w:rsid w:val="32158E42"/>
    <w:rsid w:val="3215E0C7"/>
    <w:rsid w:val="321EF693"/>
    <w:rsid w:val="321F947D"/>
    <w:rsid w:val="3223DD4F"/>
    <w:rsid w:val="32242623"/>
    <w:rsid w:val="322755F9"/>
    <w:rsid w:val="322B6130"/>
    <w:rsid w:val="322E899A"/>
    <w:rsid w:val="32319A22"/>
    <w:rsid w:val="323C0D49"/>
    <w:rsid w:val="323F7D49"/>
    <w:rsid w:val="32411827"/>
    <w:rsid w:val="32432625"/>
    <w:rsid w:val="3248B8D1"/>
    <w:rsid w:val="324ABA30"/>
    <w:rsid w:val="3251B9C7"/>
    <w:rsid w:val="32584F51"/>
    <w:rsid w:val="325EC9B1"/>
    <w:rsid w:val="3262054F"/>
    <w:rsid w:val="3263D0E0"/>
    <w:rsid w:val="3268D709"/>
    <w:rsid w:val="326AAF53"/>
    <w:rsid w:val="326C3B76"/>
    <w:rsid w:val="326C98C7"/>
    <w:rsid w:val="326F2100"/>
    <w:rsid w:val="3273D95B"/>
    <w:rsid w:val="32788A3D"/>
    <w:rsid w:val="327A5F0C"/>
    <w:rsid w:val="327BB055"/>
    <w:rsid w:val="327E325E"/>
    <w:rsid w:val="3283F005"/>
    <w:rsid w:val="3284D3CF"/>
    <w:rsid w:val="3289118E"/>
    <w:rsid w:val="32938EC2"/>
    <w:rsid w:val="32999EA5"/>
    <w:rsid w:val="329D68CE"/>
    <w:rsid w:val="329E83D8"/>
    <w:rsid w:val="329EE6FC"/>
    <w:rsid w:val="32A239EB"/>
    <w:rsid w:val="32A4AEBA"/>
    <w:rsid w:val="32A54A31"/>
    <w:rsid w:val="32A5C7D5"/>
    <w:rsid w:val="32A79B7C"/>
    <w:rsid w:val="32ABACD4"/>
    <w:rsid w:val="32ABE4DC"/>
    <w:rsid w:val="32AC4A81"/>
    <w:rsid w:val="32AD5B98"/>
    <w:rsid w:val="32AD876E"/>
    <w:rsid w:val="32AF40CD"/>
    <w:rsid w:val="32B0456B"/>
    <w:rsid w:val="32B1B5D6"/>
    <w:rsid w:val="32B269B3"/>
    <w:rsid w:val="32B51447"/>
    <w:rsid w:val="32B5F381"/>
    <w:rsid w:val="32C0DF34"/>
    <w:rsid w:val="32C1784B"/>
    <w:rsid w:val="32C45DAE"/>
    <w:rsid w:val="32C4AA83"/>
    <w:rsid w:val="32C7BDB2"/>
    <w:rsid w:val="32C91C6E"/>
    <w:rsid w:val="32CAEF0C"/>
    <w:rsid w:val="32CD1050"/>
    <w:rsid w:val="32CDBA3C"/>
    <w:rsid w:val="32D2EA3F"/>
    <w:rsid w:val="32D426AB"/>
    <w:rsid w:val="32D9C3F5"/>
    <w:rsid w:val="32DDE707"/>
    <w:rsid w:val="32DF4A9C"/>
    <w:rsid w:val="32DF7A58"/>
    <w:rsid w:val="32DFB520"/>
    <w:rsid w:val="32E6DFBD"/>
    <w:rsid w:val="32E7535C"/>
    <w:rsid w:val="32E7A7A0"/>
    <w:rsid w:val="32E8B451"/>
    <w:rsid w:val="32E8E26E"/>
    <w:rsid w:val="32EA05A1"/>
    <w:rsid w:val="32EC3DD8"/>
    <w:rsid w:val="32ED2622"/>
    <w:rsid w:val="32EDC535"/>
    <w:rsid w:val="32EF5ACE"/>
    <w:rsid w:val="32F4CE4C"/>
    <w:rsid w:val="32F50192"/>
    <w:rsid w:val="32F55E6F"/>
    <w:rsid w:val="32F8248A"/>
    <w:rsid w:val="32F8C37F"/>
    <w:rsid w:val="32FDBE22"/>
    <w:rsid w:val="33003553"/>
    <w:rsid w:val="33005571"/>
    <w:rsid w:val="3300FA88"/>
    <w:rsid w:val="3302493E"/>
    <w:rsid w:val="3309A3BA"/>
    <w:rsid w:val="330A4CF1"/>
    <w:rsid w:val="3310622F"/>
    <w:rsid w:val="3310895F"/>
    <w:rsid w:val="331255B9"/>
    <w:rsid w:val="33160EB0"/>
    <w:rsid w:val="3319DCD9"/>
    <w:rsid w:val="33201413"/>
    <w:rsid w:val="33235EBA"/>
    <w:rsid w:val="3323B334"/>
    <w:rsid w:val="3328681C"/>
    <w:rsid w:val="3329917E"/>
    <w:rsid w:val="332C7BE7"/>
    <w:rsid w:val="332DD00F"/>
    <w:rsid w:val="332E33D4"/>
    <w:rsid w:val="33306C3E"/>
    <w:rsid w:val="3331754A"/>
    <w:rsid w:val="3334D955"/>
    <w:rsid w:val="333FEE13"/>
    <w:rsid w:val="33418458"/>
    <w:rsid w:val="33430ADE"/>
    <w:rsid w:val="3344CBED"/>
    <w:rsid w:val="3346610E"/>
    <w:rsid w:val="334EFF1E"/>
    <w:rsid w:val="3350A4EB"/>
    <w:rsid w:val="3350D500"/>
    <w:rsid w:val="3352C67B"/>
    <w:rsid w:val="335316B4"/>
    <w:rsid w:val="3354FDEE"/>
    <w:rsid w:val="3355F9D7"/>
    <w:rsid w:val="335ABBDE"/>
    <w:rsid w:val="335BFFF3"/>
    <w:rsid w:val="335C19EF"/>
    <w:rsid w:val="335E5828"/>
    <w:rsid w:val="335ED738"/>
    <w:rsid w:val="336101FC"/>
    <w:rsid w:val="33615CDE"/>
    <w:rsid w:val="3362482E"/>
    <w:rsid w:val="3363C9A2"/>
    <w:rsid w:val="33641625"/>
    <w:rsid w:val="336589F0"/>
    <w:rsid w:val="3365A811"/>
    <w:rsid w:val="3366DE78"/>
    <w:rsid w:val="336C1800"/>
    <w:rsid w:val="336CCC18"/>
    <w:rsid w:val="336FC083"/>
    <w:rsid w:val="336FDBAD"/>
    <w:rsid w:val="3373EE2D"/>
    <w:rsid w:val="3377249D"/>
    <w:rsid w:val="3377AD51"/>
    <w:rsid w:val="337844C8"/>
    <w:rsid w:val="3379DC9D"/>
    <w:rsid w:val="337BF764"/>
    <w:rsid w:val="337CC2B4"/>
    <w:rsid w:val="337F17C0"/>
    <w:rsid w:val="337F8D44"/>
    <w:rsid w:val="33840F4B"/>
    <w:rsid w:val="3389748B"/>
    <w:rsid w:val="338C87EA"/>
    <w:rsid w:val="338E71CA"/>
    <w:rsid w:val="338F60CA"/>
    <w:rsid w:val="338FCEE6"/>
    <w:rsid w:val="338FE9E6"/>
    <w:rsid w:val="33913144"/>
    <w:rsid w:val="33929EF0"/>
    <w:rsid w:val="33966962"/>
    <w:rsid w:val="339994AE"/>
    <w:rsid w:val="339E0D58"/>
    <w:rsid w:val="33A8D6CE"/>
    <w:rsid w:val="33ACC8CD"/>
    <w:rsid w:val="33AD8763"/>
    <w:rsid w:val="33B17DE6"/>
    <w:rsid w:val="33B709E9"/>
    <w:rsid w:val="33B7725F"/>
    <w:rsid w:val="33B7B089"/>
    <w:rsid w:val="33BAC6F4"/>
    <w:rsid w:val="33BDC9A5"/>
    <w:rsid w:val="33BF757C"/>
    <w:rsid w:val="33C08366"/>
    <w:rsid w:val="33C26748"/>
    <w:rsid w:val="33C44AB7"/>
    <w:rsid w:val="33C62D5F"/>
    <w:rsid w:val="33C7C27C"/>
    <w:rsid w:val="33CC8C71"/>
    <w:rsid w:val="33CE0F52"/>
    <w:rsid w:val="33D0950C"/>
    <w:rsid w:val="33D4CB93"/>
    <w:rsid w:val="33D9E019"/>
    <w:rsid w:val="33DC8434"/>
    <w:rsid w:val="33DDBFF9"/>
    <w:rsid w:val="33DE25B8"/>
    <w:rsid w:val="33DED3CF"/>
    <w:rsid w:val="33DF3C13"/>
    <w:rsid w:val="33E0772D"/>
    <w:rsid w:val="33E18353"/>
    <w:rsid w:val="33E2F430"/>
    <w:rsid w:val="33E4F3F8"/>
    <w:rsid w:val="33E605BF"/>
    <w:rsid w:val="33E86EB4"/>
    <w:rsid w:val="33E959E2"/>
    <w:rsid w:val="33EC23EC"/>
    <w:rsid w:val="33EDF077"/>
    <w:rsid w:val="33EEFBC1"/>
    <w:rsid w:val="33EFC5E2"/>
    <w:rsid w:val="33F0A1BE"/>
    <w:rsid w:val="33F66288"/>
    <w:rsid w:val="33F8E261"/>
    <w:rsid w:val="33F9C204"/>
    <w:rsid w:val="33FAA1B2"/>
    <w:rsid w:val="33FD1141"/>
    <w:rsid w:val="340AFB6E"/>
    <w:rsid w:val="340B49C7"/>
    <w:rsid w:val="340D12EB"/>
    <w:rsid w:val="340D944F"/>
    <w:rsid w:val="340F32F5"/>
    <w:rsid w:val="34175032"/>
    <w:rsid w:val="3417958F"/>
    <w:rsid w:val="341A0378"/>
    <w:rsid w:val="341A99B8"/>
    <w:rsid w:val="341E1331"/>
    <w:rsid w:val="341F98D8"/>
    <w:rsid w:val="341FBB77"/>
    <w:rsid w:val="3425B599"/>
    <w:rsid w:val="342629F3"/>
    <w:rsid w:val="3430B15D"/>
    <w:rsid w:val="34323749"/>
    <w:rsid w:val="3432956A"/>
    <w:rsid w:val="3434BD39"/>
    <w:rsid w:val="3438505E"/>
    <w:rsid w:val="343A7536"/>
    <w:rsid w:val="343AFA82"/>
    <w:rsid w:val="343D97B4"/>
    <w:rsid w:val="3442E909"/>
    <w:rsid w:val="34452325"/>
    <w:rsid w:val="344914A3"/>
    <w:rsid w:val="344C345E"/>
    <w:rsid w:val="344C4CAB"/>
    <w:rsid w:val="34512143"/>
    <w:rsid w:val="345527CC"/>
    <w:rsid w:val="34560E84"/>
    <w:rsid w:val="34570BA9"/>
    <w:rsid w:val="34574D18"/>
    <w:rsid w:val="3459A778"/>
    <w:rsid w:val="3460993A"/>
    <w:rsid w:val="34644B69"/>
    <w:rsid w:val="3465D924"/>
    <w:rsid w:val="347A5B4D"/>
    <w:rsid w:val="347B4057"/>
    <w:rsid w:val="347CED4B"/>
    <w:rsid w:val="347DE067"/>
    <w:rsid w:val="34853ABC"/>
    <w:rsid w:val="3488483C"/>
    <w:rsid w:val="34887A10"/>
    <w:rsid w:val="348AC853"/>
    <w:rsid w:val="348B7046"/>
    <w:rsid w:val="348E73B0"/>
    <w:rsid w:val="348F0A1D"/>
    <w:rsid w:val="34939B93"/>
    <w:rsid w:val="3496F7EA"/>
    <w:rsid w:val="349BC408"/>
    <w:rsid w:val="349CC92D"/>
    <w:rsid w:val="349DF040"/>
    <w:rsid w:val="34A0F501"/>
    <w:rsid w:val="34A2EBE6"/>
    <w:rsid w:val="34A5C886"/>
    <w:rsid w:val="34A66E4C"/>
    <w:rsid w:val="34AC7172"/>
    <w:rsid w:val="34ADA599"/>
    <w:rsid w:val="34B647BE"/>
    <w:rsid w:val="34B876D6"/>
    <w:rsid w:val="34B9CDBF"/>
    <w:rsid w:val="34B9EA54"/>
    <w:rsid w:val="34BC77CF"/>
    <w:rsid w:val="34BD1B82"/>
    <w:rsid w:val="34BF5ACA"/>
    <w:rsid w:val="34C8200F"/>
    <w:rsid w:val="34CDB60E"/>
    <w:rsid w:val="34CF0D85"/>
    <w:rsid w:val="34CFF831"/>
    <w:rsid w:val="34D064C8"/>
    <w:rsid w:val="34D2F79A"/>
    <w:rsid w:val="34D711B7"/>
    <w:rsid w:val="34D7F274"/>
    <w:rsid w:val="34D98CD6"/>
    <w:rsid w:val="34DC988B"/>
    <w:rsid w:val="34DD0DF1"/>
    <w:rsid w:val="34DE9B5B"/>
    <w:rsid w:val="34DF5151"/>
    <w:rsid w:val="34E00687"/>
    <w:rsid w:val="34E49D3E"/>
    <w:rsid w:val="34EA42EA"/>
    <w:rsid w:val="34EB54A8"/>
    <w:rsid w:val="34F55F0F"/>
    <w:rsid w:val="34F6D580"/>
    <w:rsid w:val="34F82B8B"/>
    <w:rsid w:val="34FA5871"/>
    <w:rsid w:val="34FBBD47"/>
    <w:rsid w:val="350481DA"/>
    <w:rsid w:val="35087D69"/>
    <w:rsid w:val="35095CA0"/>
    <w:rsid w:val="3510F2C3"/>
    <w:rsid w:val="35114A07"/>
    <w:rsid w:val="3511CC60"/>
    <w:rsid w:val="3512C3D9"/>
    <w:rsid w:val="3514E2C5"/>
    <w:rsid w:val="3517E3AA"/>
    <w:rsid w:val="351A8BC7"/>
    <w:rsid w:val="351AE8A8"/>
    <w:rsid w:val="351D47BD"/>
    <w:rsid w:val="351D94BA"/>
    <w:rsid w:val="351DB6B7"/>
    <w:rsid w:val="35217EEA"/>
    <w:rsid w:val="3523684D"/>
    <w:rsid w:val="35242467"/>
    <w:rsid w:val="3524EC47"/>
    <w:rsid w:val="35268352"/>
    <w:rsid w:val="352786AE"/>
    <w:rsid w:val="352BD556"/>
    <w:rsid w:val="3534F551"/>
    <w:rsid w:val="3536E700"/>
    <w:rsid w:val="353A315C"/>
    <w:rsid w:val="353EFD18"/>
    <w:rsid w:val="354332E4"/>
    <w:rsid w:val="354836D6"/>
    <w:rsid w:val="354889E9"/>
    <w:rsid w:val="354A2C73"/>
    <w:rsid w:val="354D32C2"/>
    <w:rsid w:val="355106E9"/>
    <w:rsid w:val="3552B203"/>
    <w:rsid w:val="35534F3B"/>
    <w:rsid w:val="35569755"/>
    <w:rsid w:val="3558F6AE"/>
    <w:rsid w:val="355B7E11"/>
    <w:rsid w:val="355EC31E"/>
    <w:rsid w:val="355FCF73"/>
    <w:rsid w:val="35610790"/>
    <w:rsid w:val="35618E36"/>
    <w:rsid w:val="35657DC4"/>
    <w:rsid w:val="356A0D1C"/>
    <w:rsid w:val="356F26E9"/>
    <w:rsid w:val="35719F7B"/>
    <w:rsid w:val="3573BEFC"/>
    <w:rsid w:val="357725C6"/>
    <w:rsid w:val="357A0447"/>
    <w:rsid w:val="357C3FDF"/>
    <w:rsid w:val="3580FF7F"/>
    <w:rsid w:val="358470B2"/>
    <w:rsid w:val="3588D196"/>
    <w:rsid w:val="358EC465"/>
    <w:rsid w:val="35933CE8"/>
    <w:rsid w:val="3598D186"/>
    <w:rsid w:val="359DBEC1"/>
    <w:rsid w:val="359FD6E9"/>
    <w:rsid w:val="35A18A46"/>
    <w:rsid w:val="35A34940"/>
    <w:rsid w:val="35A40DBD"/>
    <w:rsid w:val="35AB5ECC"/>
    <w:rsid w:val="35AB9579"/>
    <w:rsid w:val="35ADCA25"/>
    <w:rsid w:val="35B39D8D"/>
    <w:rsid w:val="35B41D69"/>
    <w:rsid w:val="35B64563"/>
    <w:rsid w:val="35B9032F"/>
    <w:rsid w:val="35CA0558"/>
    <w:rsid w:val="35CC6DB5"/>
    <w:rsid w:val="35CD8389"/>
    <w:rsid w:val="35CE5F43"/>
    <w:rsid w:val="35D0718D"/>
    <w:rsid w:val="35D52487"/>
    <w:rsid w:val="35D724AC"/>
    <w:rsid w:val="35D8074A"/>
    <w:rsid w:val="35E36AC8"/>
    <w:rsid w:val="35E56E73"/>
    <w:rsid w:val="35E82997"/>
    <w:rsid w:val="35E9DF87"/>
    <w:rsid w:val="35EB4BE8"/>
    <w:rsid w:val="35F03F5E"/>
    <w:rsid w:val="35F53779"/>
    <w:rsid w:val="35F67680"/>
    <w:rsid w:val="3600711D"/>
    <w:rsid w:val="3600A42C"/>
    <w:rsid w:val="3603CE2A"/>
    <w:rsid w:val="3603E4DE"/>
    <w:rsid w:val="360522E4"/>
    <w:rsid w:val="36058F53"/>
    <w:rsid w:val="3608E1EF"/>
    <w:rsid w:val="360DD45D"/>
    <w:rsid w:val="3611C011"/>
    <w:rsid w:val="3612516D"/>
    <w:rsid w:val="3614299E"/>
    <w:rsid w:val="361509EC"/>
    <w:rsid w:val="3615B526"/>
    <w:rsid w:val="36188701"/>
    <w:rsid w:val="3619CA6A"/>
    <w:rsid w:val="3619E165"/>
    <w:rsid w:val="36210B1D"/>
    <w:rsid w:val="3621FA89"/>
    <w:rsid w:val="3624BA79"/>
    <w:rsid w:val="3627E586"/>
    <w:rsid w:val="3628BE05"/>
    <w:rsid w:val="362A066E"/>
    <w:rsid w:val="362AF9CA"/>
    <w:rsid w:val="362BAE2C"/>
    <w:rsid w:val="362D3528"/>
    <w:rsid w:val="363417CF"/>
    <w:rsid w:val="3635AE3D"/>
    <w:rsid w:val="363C3A9F"/>
    <w:rsid w:val="36411BB5"/>
    <w:rsid w:val="3645290A"/>
    <w:rsid w:val="364A3CDC"/>
    <w:rsid w:val="3650201D"/>
    <w:rsid w:val="36545F4D"/>
    <w:rsid w:val="3656AA99"/>
    <w:rsid w:val="3659BF76"/>
    <w:rsid w:val="365B188F"/>
    <w:rsid w:val="366089BD"/>
    <w:rsid w:val="36612EC6"/>
    <w:rsid w:val="3669853C"/>
    <w:rsid w:val="3669F36A"/>
    <w:rsid w:val="366DA606"/>
    <w:rsid w:val="366F19AD"/>
    <w:rsid w:val="367BA945"/>
    <w:rsid w:val="367C65B4"/>
    <w:rsid w:val="367D63FE"/>
    <w:rsid w:val="367EC411"/>
    <w:rsid w:val="36861D48"/>
    <w:rsid w:val="36865FC9"/>
    <w:rsid w:val="3688BD6D"/>
    <w:rsid w:val="368A7E39"/>
    <w:rsid w:val="368B3C2B"/>
    <w:rsid w:val="368E03D6"/>
    <w:rsid w:val="368E38AB"/>
    <w:rsid w:val="36911952"/>
    <w:rsid w:val="3692C777"/>
    <w:rsid w:val="3695DFDC"/>
    <w:rsid w:val="36966F6F"/>
    <w:rsid w:val="369A007E"/>
    <w:rsid w:val="369D2964"/>
    <w:rsid w:val="36A2F1E3"/>
    <w:rsid w:val="36A4AA86"/>
    <w:rsid w:val="36AA698F"/>
    <w:rsid w:val="36ABC246"/>
    <w:rsid w:val="36AD0AE0"/>
    <w:rsid w:val="36AD4A0E"/>
    <w:rsid w:val="36AE6197"/>
    <w:rsid w:val="36B23BC6"/>
    <w:rsid w:val="36B64CE1"/>
    <w:rsid w:val="36B68B57"/>
    <w:rsid w:val="36B8C7BB"/>
    <w:rsid w:val="36BFC202"/>
    <w:rsid w:val="36C29182"/>
    <w:rsid w:val="36C3C072"/>
    <w:rsid w:val="36C44F58"/>
    <w:rsid w:val="36C689B7"/>
    <w:rsid w:val="36C6E3C9"/>
    <w:rsid w:val="36C9C99B"/>
    <w:rsid w:val="36CFB87E"/>
    <w:rsid w:val="36D13363"/>
    <w:rsid w:val="36D1CB1C"/>
    <w:rsid w:val="36D54ADA"/>
    <w:rsid w:val="36DB106F"/>
    <w:rsid w:val="36DBD5B6"/>
    <w:rsid w:val="36DD1D61"/>
    <w:rsid w:val="36DD58D6"/>
    <w:rsid w:val="36E43A83"/>
    <w:rsid w:val="36E5D632"/>
    <w:rsid w:val="36E6C9BE"/>
    <w:rsid w:val="36E7A5A3"/>
    <w:rsid w:val="36E82256"/>
    <w:rsid w:val="36F267B6"/>
    <w:rsid w:val="36FA751D"/>
    <w:rsid w:val="370E85D3"/>
    <w:rsid w:val="370F51F4"/>
    <w:rsid w:val="3716C73D"/>
    <w:rsid w:val="371958BA"/>
    <w:rsid w:val="371C73E2"/>
    <w:rsid w:val="371CE71B"/>
    <w:rsid w:val="37200050"/>
    <w:rsid w:val="37221A81"/>
    <w:rsid w:val="3723CD0B"/>
    <w:rsid w:val="37249B0D"/>
    <w:rsid w:val="37289B8E"/>
    <w:rsid w:val="372B3F26"/>
    <w:rsid w:val="372B44E5"/>
    <w:rsid w:val="372F3228"/>
    <w:rsid w:val="37301257"/>
    <w:rsid w:val="37306338"/>
    <w:rsid w:val="37319E83"/>
    <w:rsid w:val="373A6BCE"/>
    <w:rsid w:val="373B6524"/>
    <w:rsid w:val="373FB57E"/>
    <w:rsid w:val="37430F4D"/>
    <w:rsid w:val="3743A0EF"/>
    <w:rsid w:val="3747D783"/>
    <w:rsid w:val="374A858E"/>
    <w:rsid w:val="374A93C3"/>
    <w:rsid w:val="374F57B6"/>
    <w:rsid w:val="375217C8"/>
    <w:rsid w:val="3756A2D4"/>
    <w:rsid w:val="375DCA26"/>
    <w:rsid w:val="375E1DD1"/>
    <w:rsid w:val="37604613"/>
    <w:rsid w:val="3766DE29"/>
    <w:rsid w:val="3768A72E"/>
    <w:rsid w:val="37694C50"/>
    <w:rsid w:val="376E5377"/>
    <w:rsid w:val="3774D0EB"/>
    <w:rsid w:val="37754542"/>
    <w:rsid w:val="37781FDD"/>
    <w:rsid w:val="377A4354"/>
    <w:rsid w:val="377F0350"/>
    <w:rsid w:val="378095A3"/>
    <w:rsid w:val="37810380"/>
    <w:rsid w:val="378171BD"/>
    <w:rsid w:val="3781A2FC"/>
    <w:rsid w:val="378561A2"/>
    <w:rsid w:val="3786E5E5"/>
    <w:rsid w:val="37899624"/>
    <w:rsid w:val="378B9587"/>
    <w:rsid w:val="378EECC5"/>
    <w:rsid w:val="37902C11"/>
    <w:rsid w:val="3793E01C"/>
    <w:rsid w:val="3793E0CC"/>
    <w:rsid w:val="379823B5"/>
    <w:rsid w:val="37A17D64"/>
    <w:rsid w:val="37A29583"/>
    <w:rsid w:val="37AA26AD"/>
    <w:rsid w:val="37AA99DF"/>
    <w:rsid w:val="37AAF803"/>
    <w:rsid w:val="37AB543F"/>
    <w:rsid w:val="37ABC8D9"/>
    <w:rsid w:val="37B072AA"/>
    <w:rsid w:val="37B9662B"/>
    <w:rsid w:val="37BA2A8D"/>
    <w:rsid w:val="37BDCAEA"/>
    <w:rsid w:val="37BE2644"/>
    <w:rsid w:val="37BEB469"/>
    <w:rsid w:val="37C04429"/>
    <w:rsid w:val="37C207BD"/>
    <w:rsid w:val="37C57DA3"/>
    <w:rsid w:val="37CA0692"/>
    <w:rsid w:val="37CA25F0"/>
    <w:rsid w:val="37CA6930"/>
    <w:rsid w:val="37CD6136"/>
    <w:rsid w:val="37CE5995"/>
    <w:rsid w:val="37CEABCD"/>
    <w:rsid w:val="37D53A74"/>
    <w:rsid w:val="37D6CC98"/>
    <w:rsid w:val="37D80EF8"/>
    <w:rsid w:val="37DF3DB9"/>
    <w:rsid w:val="37E25AC0"/>
    <w:rsid w:val="37E6955D"/>
    <w:rsid w:val="37E6A499"/>
    <w:rsid w:val="37E6BA2D"/>
    <w:rsid w:val="37EC2957"/>
    <w:rsid w:val="37ED83F2"/>
    <w:rsid w:val="37EE08BB"/>
    <w:rsid w:val="37F051E2"/>
    <w:rsid w:val="37F0D655"/>
    <w:rsid w:val="37F5B40B"/>
    <w:rsid w:val="37F5C8A7"/>
    <w:rsid w:val="37FF1CD4"/>
    <w:rsid w:val="3802E39E"/>
    <w:rsid w:val="380476F8"/>
    <w:rsid w:val="380598C4"/>
    <w:rsid w:val="3806B3CE"/>
    <w:rsid w:val="38074B58"/>
    <w:rsid w:val="380D91ED"/>
    <w:rsid w:val="380E2DA8"/>
    <w:rsid w:val="380ECE3A"/>
    <w:rsid w:val="380EFD99"/>
    <w:rsid w:val="3811BD46"/>
    <w:rsid w:val="3815D301"/>
    <w:rsid w:val="3818EDDD"/>
    <w:rsid w:val="38193744"/>
    <w:rsid w:val="381E45A1"/>
    <w:rsid w:val="38239D8B"/>
    <w:rsid w:val="382AF66C"/>
    <w:rsid w:val="382B75DA"/>
    <w:rsid w:val="382E7933"/>
    <w:rsid w:val="3835C080"/>
    <w:rsid w:val="383F5F9A"/>
    <w:rsid w:val="384065B7"/>
    <w:rsid w:val="384AC22B"/>
    <w:rsid w:val="384B78B0"/>
    <w:rsid w:val="3851CB5E"/>
    <w:rsid w:val="385319DD"/>
    <w:rsid w:val="3853586B"/>
    <w:rsid w:val="38549002"/>
    <w:rsid w:val="38654B23"/>
    <w:rsid w:val="38661394"/>
    <w:rsid w:val="38670D39"/>
    <w:rsid w:val="386AD7E0"/>
    <w:rsid w:val="38718425"/>
    <w:rsid w:val="38750352"/>
    <w:rsid w:val="38775644"/>
    <w:rsid w:val="387A0DE7"/>
    <w:rsid w:val="387A15BA"/>
    <w:rsid w:val="387B0A1A"/>
    <w:rsid w:val="387C352C"/>
    <w:rsid w:val="387C5BB4"/>
    <w:rsid w:val="387CDBD1"/>
    <w:rsid w:val="388277D8"/>
    <w:rsid w:val="38841DA7"/>
    <w:rsid w:val="388501B2"/>
    <w:rsid w:val="38896225"/>
    <w:rsid w:val="388D9B1B"/>
    <w:rsid w:val="388DEE0A"/>
    <w:rsid w:val="3891495D"/>
    <w:rsid w:val="3896A430"/>
    <w:rsid w:val="3896F86D"/>
    <w:rsid w:val="389AC2D6"/>
    <w:rsid w:val="389F5C96"/>
    <w:rsid w:val="38A01B24"/>
    <w:rsid w:val="38A03522"/>
    <w:rsid w:val="38A2B488"/>
    <w:rsid w:val="38A2E7F3"/>
    <w:rsid w:val="38A3BDA5"/>
    <w:rsid w:val="38A42E80"/>
    <w:rsid w:val="38A57834"/>
    <w:rsid w:val="38A85C2B"/>
    <w:rsid w:val="38AAC822"/>
    <w:rsid w:val="38ABA640"/>
    <w:rsid w:val="38B10083"/>
    <w:rsid w:val="38B3A8E0"/>
    <w:rsid w:val="38B4132B"/>
    <w:rsid w:val="38B47943"/>
    <w:rsid w:val="38B5DEB6"/>
    <w:rsid w:val="38BD0EEC"/>
    <w:rsid w:val="38BDCEFF"/>
    <w:rsid w:val="38C59640"/>
    <w:rsid w:val="38CC2191"/>
    <w:rsid w:val="38CF2F73"/>
    <w:rsid w:val="38D01BD0"/>
    <w:rsid w:val="38D105C1"/>
    <w:rsid w:val="38D49415"/>
    <w:rsid w:val="38D4CDD1"/>
    <w:rsid w:val="38D5574B"/>
    <w:rsid w:val="38D86C0D"/>
    <w:rsid w:val="38DA9F0C"/>
    <w:rsid w:val="38DB5037"/>
    <w:rsid w:val="38DD393A"/>
    <w:rsid w:val="38DD7AAE"/>
    <w:rsid w:val="38DDE2BA"/>
    <w:rsid w:val="38E5C6C9"/>
    <w:rsid w:val="38E5E567"/>
    <w:rsid w:val="38E70EDC"/>
    <w:rsid w:val="38EA6058"/>
    <w:rsid w:val="38EED0F2"/>
    <w:rsid w:val="38EFB2AB"/>
    <w:rsid w:val="38F67340"/>
    <w:rsid w:val="38F75B68"/>
    <w:rsid w:val="38F82666"/>
    <w:rsid w:val="38F85312"/>
    <w:rsid w:val="38F8C638"/>
    <w:rsid w:val="38FE22B0"/>
    <w:rsid w:val="39014610"/>
    <w:rsid w:val="3903515D"/>
    <w:rsid w:val="3904D7E0"/>
    <w:rsid w:val="3906B5E4"/>
    <w:rsid w:val="390D6F55"/>
    <w:rsid w:val="39117B6F"/>
    <w:rsid w:val="3914D02C"/>
    <w:rsid w:val="3917BE79"/>
    <w:rsid w:val="391C7644"/>
    <w:rsid w:val="391FC97E"/>
    <w:rsid w:val="3921D9D8"/>
    <w:rsid w:val="392B942B"/>
    <w:rsid w:val="392BF472"/>
    <w:rsid w:val="392CEBE0"/>
    <w:rsid w:val="392ED09E"/>
    <w:rsid w:val="39306609"/>
    <w:rsid w:val="39330550"/>
    <w:rsid w:val="3936317C"/>
    <w:rsid w:val="393803A2"/>
    <w:rsid w:val="3939C4A7"/>
    <w:rsid w:val="393A89AE"/>
    <w:rsid w:val="393E1793"/>
    <w:rsid w:val="394072EE"/>
    <w:rsid w:val="394285BA"/>
    <w:rsid w:val="3942B8DA"/>
    <w:rsid w:val="3947091F"/>
    <w:rsid w:val="394E40EF"/>
    <w:rsid w:val="3952E388"/>
    <w:rsid w:val="3954628D"/>
    <w:rsid w:val="3955636A"/>
    <w:rsid w:val="39561773"/>
    <w:rsid w:val="39580D31"/>
    <w:rsid w:val="395D41F4"/>
    <w:rsid w:val="395EBF4F"/>
    <w:rsid w:val="39613859"/>
    <w:rsid w:val="396329C9"/>
    <w:rsid w:val="3963A83C"/>
    <w:rsid w:val="3971D6A6"/>
    <w:rsid w:val="3973FBC5"/>
    <w:rsid w:val="39746151"/>
    <w:rsid w:val="397793BC"/>
    <w:rsid w:val="397B7487"/>
    <w:rsid w:val="397C61DD"/>
    <w:rsid w:val="397DAF6E"/>
    <w:rsid w:val="39813B72"/>
    <w:rsid w:val="39824F4C"/>
    <w:rsid w:val="398E259C"/>
    <w:rsid w:val="398FD93C"/>
    <w:rsid w:val="3997B478"/>
    <w:rsid w:val="3998D25D"/>
    <w:rsid w:val="399ADB76"/>
    <w:rsid w:val="39A5C68C"/>
    <w:rsid w:val="39AF2BF4"/>
    <w:rsid w:val="39B09890"/>
    <w:rsid w:val="39B1AA8E"/>
    <w:rsid w:val="39B7E76B"/>
    <w:rsid w:val="39B844A9"/>
    <w:rsid w:val="39B9C11D"/>
    <w:rsid w:val="39BC2F82"/>
    <w:rsid w:val="39BC64C7"/>
    <w:rsid w:val="39BF71EA"/>
    <w:rsid w:val="39C1F0B0"/>
    <w:rsid w:val="39C2529C"/>
    <w:rsid w:val="39C687CB"/>
    <w:rsid w:val="39C6EC9B"/>
    <w:rsid w:val="39CA6AFE"/>
    <w:rsid w:val="39CB6A99"/>
    <w:rsid w:val="39D39C09"/>
    <w:rsid w:val="39D4316A"/>
    <w:rsid w:val="39D5B584"/>
    <w:rsid w:val="39D6DAE0"/>
    <w:rsid w:val="39E11D70"/>
    <w:rsid w:val="39E18204"/>
    <w:rsid w:val="39E74E83"/>
    <w:rsid w:val="39EF29A6"/>
    <w:rsid w:val="39F1CAE2"/>
    <w:rsid w:val="39F20FCD"/>
    <w:rsid w:val="39F33F81"/>
    <w:rsid w:val="39F44F60"/>
    <w:rsid w:val="39F73EF3"/>
    <w:rsid w:val="39F7F8C3"/>
    <w:rsid w:val="39FB764A"/>
    <w:rsid w:val="39FC0359"/>
    <w:rsid w:val="39FD8917"/>
    <w:rsid w:val="39FDD765"/>
    <w:rsid w:val="3A00066D"/>
    <w:rsid w:val="3A045F1A"/>
    <w:rsid w:val="3A081BD5"/>
    <w:rsid w:val="3A0C0FCA"/>
    <w:rsid w:val="3A0D8529"/>
    <w:rsid w:val="3A154FDE"/>
    <w:rsid w:val="3A15D0DE"/>
    <w:rsid w:val="3A15E05E"/>
    <w:rsid w:val="3A186F43"/>
    <w:rsid w:val="3A239F35"/>
    <w:rsid w:val="3A2494DE"/>
    <w:rsid w:val="3A27B410"/>
    <w:rsid w:val="3A28DDBE"/>
    <w:rsid w:val="3A297536"/>
    <w:rsid w:val="3A29E771"/>
    <w:rsid w:val="3A2C13DA"/>
    <w:rsid w:val="3A2E2866"/>
    <w:rsid w:val="3A2EA73C"/>
    <w:rsid w:val="3A3266B8"/>
    <w:rsid w:val="3A32D9D5"/>
    <w:rsid w:val="3A391CFC"/>
    <w:rsid w:val="3A3DC773"/>
    <w:rsid w:val="3A40CD8A"/>
    <w:rsid w:val="3A40DEE2"/>
    <w:rsid w:val="3A43687B"/>
    <w:rsid w:val="3A443313"/>
    <w:rsid w:val="3A48286E"/>
    <w:rsid w:val="3A48958F"/>
    <w:rsid w:val="3A49A7B5"/>
    <w:rsid w:val="3A509ECB"/>
    <w:rsid w:val="3A57799B"/>
    <w:rsid w:val="3A5D9FAE"/>
    <w:rsid w:val="3A5E364C"/>
    <w:rsid w:val="3A622203"/>
    <w:rsid w:val="3A631AD7"/>
    <w:rsid w:val="3A63A2B2"/>
    <w:rsid w:val="3A63AAD3"/>
    <w:rsid w:val="3A63CF61"/>
    <w:rsid w:val="3A652BAE"/>
    <w:rsid w:val="3A6A83B1"/>
    <w:rsid w:val="3A6A8D54"/>
    <w:rsid w:val="3A70843A"/>
    <w:rsid w:val="3A740180"/>
    <w:rsid w:val="3A76369B"/>
    <w:rsid w:val="3A764ADD"/>
    <w:rsid w:val="3A772161"/>
    <w:rsid w:val="3A7758E9"/>
    <w:rsid w:val="3A78F540"/>
    <w:rsid w:val="3A79686E"/>
    <w:rsid w:val="3A7A2A62"/>
    <w:rsid w:val="3A7C2003"/>
    <w:rsid w:val="3A7F6E31"/>
    <w:rsid w:val="3A8202A8"/>
    <w:rsid w:val="3A842C52"/>
    <w:rsid w:val="3A890CFC"/>
    <w:rsid w:val="3A8A43F4"/>
    <w:rsid w:val="3A8A5A98"/>
    <w:rsid w:val="3A8AFC38"/>
    <w:rsid w:val="3A8C7F93"/>
    <w:rsid w:val="3A8E50F3"/>
    <w:rsid w:val="3A8F1128"/>
    <w:rsid w:val="3A9004E2"/>
    <w:rsid w:val="3A925178"/>
    <w:rsid w:val="3A935DE6"/>
    <w:rsid w:val="3A9C10FD"/>
    <w:rsid w:val="3A9EC16C"/>
    <w:rsid w:val="3A9EFACF"/>
    <w:rsid w:val="3AA21DCF"/>
    <w:rsid w:val="3AA2EBD9"/>
    <w:rsid w:val="3AAA4F8F"/>
    <w:rsid w:val="3AABF928"/>
    <w:rsid w:val="3AB0D3D5"/>
    <w:rsid w:val="3AB7814C"/>
    <w:rsid w:val="3ABFFE4F"/>
    <w:rsid w:val="3AC1F995"/>
    <w:rsid w:val="3AC2E2CE"/>
    <w:rsid w:val="3AC55E5B"/>
    <w:rsid w:val="3AC6FAF5"/>
    <w:rsid w:val="3AC9A560"/>
    <w:rsid w:val="3ACB6027"/>
    <w:rsid w:val="3ACF261D"/>
    <w:rsid w:val="3AD54BF8"/>
    <w:rsid w:val="3ADB4B04"/>
    <w:rsid w:val="3ADC1AAB"/>
    <w:rsid w:val="3ADEC79D"/>
    <w:rsid w:val="3AE02E07"/>
    <w:rsid w:val="3AE12A6A"/>
    <w:rsid w:val="3AEB61BD"/>
    <w:rsid w:val="3AEC31FC"/>
    <w:rsid w:val="3AEF2B73"/>
    <w:rsid w:val="3AF0EAEF"/>
    <w:rsid w:val="3AF47C40"/>
    <w:rsid w:val="3AF960F6"/>
    <w:rsid w:val="3AFA7821"/>
    <w:rsid w:val="3AFBF9B9"/>
    <w:rsid w:val="3AFC17AE"/>
    <w:rsid w:val="3B023DE7"/>
    <w:rsid w:val="3B081646"/>
    <w:rsid w:val="3B0EB828"/>
    <w:rsid w:val="3B1061F4"/>
    <w:rsid w:val="3B111F26"/>
    <w:rsid w:val="3B113D1A"/>
    <w:rsid w:val="3B1269E1"/>
    <w:rsid w:val="3B15966C"/>
    <w:rsid w:val="3B1781C6"/>
    <w:rsid w:val="3B19F249"/>
    <w:rsid w:val="3B1ACD08"/>
    <w:rsid w:val="3B1E754E"/>
    <w:rsid w:val="3B1FC8BC"/>
    <w:rsid w:val="3B214049"/>
    <w:rsid w:val="3B23011F"/>
    <w:rsid w:val="3B239795"/>
    <w:rsid w:val="3B2AB101"/>
    <w:rsid w:val="3B2CAA91"/>
    <w:rsid w:val="3B2F31EB"/>
    <w:rsid w:val="3B3034C6"/>
    <w:rsid w:val="3B310B74"/>
    <w:rsid w:val="3B32FDCF"/>
    <w:rsid w:val="3B372FDA"/>
    <w:rsid w:val="3B3A844F"/>
    <w:rsid w:val="3B3B5583"/>
    <w:rsid w:val="3B3CF029"/>
    <w:rsid w:val="3B3DC783"/>
    <w:rsid w:val="3B41CD7D"/>
    <w:rsid w:val="3B45E959"/>
    <w:rsid w:val="3B45FA7C"/>
    <w:rsid w:val="3B460AE5"/>
    <w:rsid w:val="3B4749D1"/>
    <w:rsid w:val="3B47E504"/>
    <w:rsid w:val="3B48A119"/>
    <w:rsid w:val="3B4FE47F"/>
    <w:rsid w:val="3B5031A8"/>
    <w:rsid w:val="3B59FE57"/>
    <w:rsid w:val="3B5B829E"/>
    <w:rsid w:val="3B6056E9"/>
    <w:rsid w:val="3B60AF04"/>
    <w:rsid w:val="3B64DAF7"/>
    <w:rsid w:val="3B65CC8C"/>
    <w:rsid w:val="3B68FC47"/>
    <w:rsid w:val="3B6D2F2E"/>
    <w:rsid w:val="3B6DB6C1"/>
    <w:rsid w:val="3B6E978A"/>
    <w:rsid w:val="3B7103D4"/>
    <w:rsid w:val="3B73037B"/>
    <w:rsid w:val="3B775A6B"/>
    <w:rsid w:val="3B843714"/>
    <w:rsid w:val="3B8B3172"/>
    <w:rsid w:val="3B8C4E88"/>
    <w:rsid w:val="3B8D255E"/>
    <w:rsid w:val="3B8EF9C9"/>
    <w:rsid w:val="3B8F7009"/>
    <w:rsid w:val="3B90F09E"/>
    <w:rsid w:val="3B9352A7"/>
    <w:rsid w:val="3B94A19C"/>
    <w:rsid w:val="3B9892FA"/>
    <w:rsid w:val="3B9BFB8A"/>
    <w:rsid w:val="3BA309BC"/>
    <w:rsid w:val="3BA38E16"/>
    <w:rsid w:val="3BA4C67D"/>
    <w:rsid w:val="3BAAB91A"/>
    <w:rsid w:val="3BAC65DB"/>
    <w:rsid w:val="3BB1BEEA"/>
    <w:rsid w:val="3BB23E50"/>
    <w:rsid w:val="3BBDD72C"/>
    <w:rsid w:val="3BBE3108"/>
    <w:rsid w:val="3BC19B87"/>
    <w:rsid w:val="3BC42AAB"/>
    <w:rsid w:val="3BC7D852"/>
    <w:rsid w:val="3BCB505F"/>
    <w:rsid w:val="3BCE49E1"/>
    <w:rsid w:val="3BD0EBD7"/>
    <w:rsid w:val="3BD166B9"/>
    <w:rsid w:val="3BD2518E"/>
    <w:rsid w:val="3BDB43BB"/>
    <w:rsid w:val="3BE06AE7"/>
    <w:rsid w:val="3BE1BE7C"/>
    <w:rsid w:val="3BE59933"/>
    <w:rsid w:val="3BE687BF"/>
    <w:rsid w:val="3BE831F9"/>
    <w:rsid w:val="3BE8D093"/>
    <w:rsid w:val="3BEB4F32"/>
    <w:rsid w:val="3BECDC5C"/>
    <w:rsid w:val="3BF5C347"/>
    <w:rsid w:val="3BFB9AF9"/>
    <w:rsid w:val="3BFC5727"/>
    <w:rsid w:val="3BFF3BBC"/>
    <w:rsid w:val="3C001E4F"/>
    <w:rsid w:val="3C00DF1F"/>
    <w:rsid w:val="3C00FC0F"/>
    <w:rsid w:val="3C06C8A2"/>
    <w:rsid w:val="3C083C8C"/>
    <w:rsid w:val="3C0F3803"/>
    <w:rsid w:val="3C16104B"/>
    <w:rsid w:val="3C18A86C"/>
    <w:rsid w:val="3C1B82F6"/>
    <w:rsid w:val="3C1DA455"/>
    <w:rsid w:val="3C1E9BC4"/>
    <w:rsid w:val="3C1F95C4"/>
    <w:rsid w:val="3C211F81"/>
    <w:rsid w:val="3C274D99"/>
    <w:rsid w:val="3C2766F5"/>
    <w:rsid w:val="3C2784D4"/>
    <w:rsid w:val="3C27F45C"/>
    <w:rsid w:val="3C29755E"/>
    <w:rsid w:val="3C2A5A7C"/>
    <w:rsid w:val="3C2FD315"/>
    <w:rsid w:val="3C30FF67"/>
    <w:rsid w:val="3C349AEE"/>
    <w:rsid w:val="3C34C348"/>
    <w:rsid w:val="3C356341"/>
    <w:rsid w:val="3C3B3800"/>
    <w:rsid w:val="3C3D13F4"/>
    <w:rsid w:val="3C3D50A4"/>
    <w:rsid w:val="3C3DC933"/>
    <w:rsid w:val="3C3E0E48"/>
    <w:rsid w:val="3C444381"/>
    <w:rsid w:val="3C4649B8"/>
    <w:rsid w:val="3C48CA80"/>
    <w:rsid w:val="3C4FCD8C"/>
    <w:rsid w:val="3C528639"/>
    <w:rsid w:val="3C53810E"/>
    <w:rsid w:val="3C5C0042"/>
    <w:rsid w:val="3C604FCE"/>
    <w:rsid w:val="3C62BAE1"/>
    <w:rsid w:val="3C62DAAE"/>
    <w:rsid w:val="3C64C9E8"/>
    <w:rsid w:val="3C656ED5"/>
    <w:rsid w:val="3C67006C"/>
    <w:rsid w:val="3C68B90A"/>
    <w:rsid w:val="3C690CFA"/>
    <w:rsid w:val="3C6BA0F0"/>
    <w:rsid w:val="3C6D9702"/>
    <w:rsid w:val="3C75A787"/>
    <w:rsid w:val="3C786221"/>
    <w:rsid w:val="3C7EB8D7"/>
    <w:rsid w:val="3C843E3F"/>
    <w:rsid w:val="3C8525EE"/>
    <w:rsid w:val="3C8525F6"/>
    <w:rsid w:val="3C8C1531"/>
    <w:rsid w:val="3C8F5069"/>
    <w:rsid w:val="3C8FA145"/>
    <w:rsid w:val="3C904D48"/>
    <w:rsid w:val="3C928CF0"/>
    <w:rsid w:val="3C952F96"/>
    <w:rsid w:val="3C9A1883"/>
    <w:rsid w:val="3C9D6545"/>
    <w:rsid w:val="3C9DA207"/>
    <w:rsid w:val="3CA0739D"/>
    <w:rsid w:val="3CA3F754"/>
    <w:rsid w:val="3CA5CD1B"/>
    <w:rsid w:val="3CA6F86F"/>
    <w:rsid w:val="3CAA8A56"/>
    <w:rsid w:val="3CAB42CE"/>
    <w:rsid w:val="3CABCD3A"/>
    <w:rsid w:val="3CADF276"/>
    <w:rsid w:val="3CAFE928"/>
    <w:rsid w:val="3CB022D0"/>
    <w:rsid w:val="3CB09A51"/>
    <w:rsid w:val="3CB5F982"/>
    <w:rsid w:val="3CB94DEF"/>
    <w:rsid w:val="3CB9EDB2"/>
    <w:rsid w:val="3CBE06F3"/>
    <w:rsid w:val="3CC0A21E"/>
    <w:rsid w:val="3CC4D312"/>
    <w:rsid w:val="3CC5B316"/>
    <w:rsid w:val="3CC5CD0D"/>
    <w:rsid w:val="3CCECDDA"/>
    <w:rsid w:val="3CD6C3E4"/>
    <w:rsid w:val="3CD6D609"/>
    <w:rsid w:val="3CDB7BAF"/>
    <w:rsid w:val="3CDBF07C"/>
    <w:rsid w:val="3CDD8596"/>
    <w:rsid w:val="3CE20133"/>
    <w:rsid w:val="3CE49E50"/>
    <w:rsid w:val="3CE68963"/>
    <w:rsid w:val="3CE77CD8"/>
    <w:rsid w:val="3CEA1398"/>
    <w:rsid w:val="3CF1279D"/>
    <w:rsid w:val="3CF138F3"/>
    <w:rsid w:val="3CF3FD10"/>
    <w:rsid w:val="3CF73034"/>
    <w:rsid w:val="3CF94544"/>
    <w:rsid w:val="3CFD8412"/>
    <w:rsid w:val="3CFDBD66"/>
    <w:rsid w:val="3CFE8B5E"/>
    <w:rsid w:val="3D09D96E"/>
    <w:rsid w:val="3D0F81DD"/>
    <w:rsid w:val="3D0FECE3"/>
    <w:rsid w:val="3D14181D"/>
    <w:rsid w:val="3D14FDA6"/>
    <w:rsid w:val="3D15DBD4"/>
    <w:rsid w:val="3D168DF5"/>
    <w:rsid w:val="3D1EF120"/>
    <w:rsid w:val="3D2B373A"/>
    <w:rsid w:val="3D2E191C"/>
    <w:rsid w:val="3D37A57E"/>
    <w:rsid w:val="3D38D580"/>
    <w:rsid w:val="3D3A1A3F"/>
    <w:rsid w:val="3D3BE327"/>
    <w:rsid w:val="3D42D836"/>
    <w:rsid w:val="3D43586B"/>
    <w:rsid w:val="3D448C81"/>
    <w:rsid w:val="3D462C75"/>
    <w:rsid w:val="3D488E16"/>
    <w:rsid w:val="3D495189"/>
    <w:rsid w:val="3D4ED9AC"/>
    <w:rsid w:val="3D530A67"/>
    <w:rsid w:val="3D54A135"/>
    <w:rsid w:val="3D56690F"/>
    <w:rsid w:val="3D5A244B"/>
    <w:rsid w:val="3D61A93A"/>
    <w:rsid w:val="3D61D01C"/>
    <w:rsid w:val="3D628D3D"/>
    <w:rsid w:val="3D639A9F"/>
    <w:rsid w:val="3D65E51B"/>
    <w:rsid w:val="3D66AF6A"/>
    <w:rsid w:val="3D6861E1"/>
    <w:rsid w:val="3D6AE0B0"/>
    <w:rsid w:val="3D6B178F"/>
    <w:rsid w:val="3D6B4619"/>
    <w:rsid w:val="3D70EEC8"/>
    <w:rsid w:val="3D73212E"/>
    <w:rsid w:val="3D819ED5"/>
    <w:rsid w:val="3D83FA9B"/>
    <w:rsid w:val="3D86150A"/>
    <w:rsid w:val="3D94B746"/>
    <w:rsid w:val="3D989330"/>
    <w:rsid w:val="3D9DCFFD"/>
    <w:rsid w:val="3D9EE956"/>
    <w:rsid w:val="3DA16575"/>
    <w:rsid w:val="3DA63911"/>
    <w:rsid w:val="3DAB04A0"/>
    <w:rsid w:val="3DB4B662"/>
    <w:rsid w:val="3DB6C355"/>
    <w:rsid w:val="3DBAAD2C"/>
    <w:rsid w:val="3DBCF8F7"/>
    <w:rsid w:val="3DBDC7F0"/>
    <w:rsid w:val="3DC0B46C"/>
    <w:rsid w:val="3DC2DC7B"/>
    <w:rsid w:val="3DC515EE"/>
    <w:rsid w:val="3DC5E2D9"/>
    <w:rsid w:val="3DC61237"/>
    <w:rsid w:val="3DC6EA5B"/>
    <w:rsid w:val="3DCA2EDF"/>
    <w:rsid w:val="3DCA58D3"/>
    <w:rsid w:val="3DCD3E75"/>
    <w:rsid w:val="3DD597F5"/>
    <w:rsid w:val="3DD5BB18"/>
    <w:rsid w:val="3DD9155B"/>
    <w:rsid w:val="3DD9BBD6"/>
    <w:rsid w:val="3DDAAABD"/>
    <w:rsid w:val="3DE16474"/>
    <w:rsid w:val="3DE228E6"/>
    <w:rsid w:val="3DE311A3"/>
    <w:rsid w:val="3DE7209C"/>
    <w:rsid w:val="3DE7D115"/>
    <w:rsid w:val="3DE99B1F"/>
    <w:rsid w:val="3DECD475"/>
    <w:rsid w:val="3DF0F30D"/>
    <w:rsid w:val="3DF3E146"/>
    <w:rsid w:val="3DF762C6"/>
    <w:rsid w:val="3DFAACDD"/>
    <w:rsid w:val="3DFAF2CD"/>
    <w:rsid w:val="3DFB1DDB"/>
    <w:rsid w:val="3DFB7A89"/>
    <w:rsid w:val="3E02D112"/>
    <w:rsid w:val="3E043DD6"/>
    <w:rsid w:val="3E04BF2D"/>
    <w:rsid w:val="3E09BA98"/>
    <w:rsid w:val="3E0F7CAE"/>
    <w:rsid w:val="3E1277E7"/>
    <w:rsid w:val="3E133BC9"/>
    <w:rsid w:val="3E144BB1"/>
    <w:rsid w:val="3E1605C3"/>
    <w:rsid w:val="3E18C00E"/>
    <w:rsid w:val="3E1C2C33"/>
    <w:rsid w:val="3E1CF84A"/>
    <w:rsid w:val="3E1DF1B0"/>
    <w:rsid w:val="3E223499"/>
    <w:rsid w:val="3E2DE7CA"/>
    <w:rsid w:val="3E326683"/>
    <w:rsid w:val="3E33EF4E"/>
    <w:rsid w:val="3E36E64D"/>
    <w:rsid w:val="3E37DA19"/>
    <w:rsid w:val="3E38355C"/>
    <w:rsid w:val="3E388D79"/>
    <w:rsid w:val="3E3A840D"/>
    <w:rsid w:val="3E3E97DC"/>
    <w:rsid w:val="3E40E09F"/>
    <w:rsid w:val="3E465AB7"/>
    <w:rsid w:val="3E481265"/>
    <w:rsid w:val="3E492142"/>
    <w:rsid w:val="3E49ADC4"/>
    <w:rsid w:val="3E4B011A"/>
    <w:rsid w:val="3E4BD7D8"/>
    <w:rsid w:val="3E4DCE1E"/>
    <w:rsid w:val="3E4FC78F"/>
    <w:rsid w:val="3E50882E"/>
    <w:rsid w:val="3E52AC8F"/>
    <w:rsid w:val="3E52D9AC"/>
    <w:rsid w:val="3E546989"/>
    <w:rsid w:val="3E565C08"/>
    <w:rsid w:val="3E5B90D4"/>
    <w:rsid w:val="3E6670E9"/>
    <w:rsid w:val="3E66B940"/>
    <w:rsid w:val="3E67E41F"/>
    <w:rsid w:val="3E696FAA"/>
    <w:rsid w:val="3E69C3D3"/>
    <w:rsid w:val="3E778584"/>
    <w:rsid w:val="3E79C8C0"/>
    <w:rsid w:val="3E7B8C45"/>
    <w:rsid w:val="3E7D26FC"/>
    <w:rsid w:val="3E7F32EA"/>
    <w:rsid w:val="3E800416"/>
    <w:rsid w:val="3E85AA80"/>
    <w:rsid w:val="3E889408"/>
    <w:rsid w:val="3E88972E"/>
    <w:rsid w:val="3E90CC20"/>
    <w:rsid w:val="3E9923A4"/>
    <w:rsid w:val="3E9BA1F3"/>
    <w:rsid w:val="3EA084C6"/>
    <w:rsid w:val="3EA26C4A"/>
    <w:rsid w:val="3EA49BD2"/>
    <w:rsid w:val="3EA5B779"/>
    <w:rsid w:val="3EA720F0"/>
    <w:rsid w:val="3EA87666"/>
    <w:rsid w:val="3EA8E014"/>
    <w:rsid w:val="3EA96039"/>
    <w:rsid w:val="3EA9E8DE"/>
    <w:rsid w:val="3EAEB4E8"/>
    <w:rsid w:val="3EB152FF"/>
    <w:rsid w:val="3EB40FA7"/>
    <w:rsid w:val="3EBF3287"/>
    <w:rsid w:val="3EC1557B"/>
    <w:rsid w:val="3ECC23B3"/>
    <w:rsid w:val="3ECD1309"/>
    <w:rsid w:val="3ECF8852"/>
    <w:rsid w:val="3ED3B494"/>
    <w:rsid w:val="3ED4B4A0"/>
    <w:rsid w:val="3ED55D90"/>
    <w:rsid w:val="3EDAC076"/>
    <w:rsid w:val="3EDCA6C8"/>
    <w:rsid w:val="3EE1FCD6"/>
    <w:rsid w:val="3EE2346F"/>
    <w:rsid w:val="3EE485C7"/>
    <w:rsid w:val="3EE4DC53"/>
    <w:rsid w:val="3EE68936"/>
    <w:rsid w:val="3EE91D45"/>
    <w:rsid w:val="3EE97619"/>
    <w:rsid w:val="3EEB2881"/>
    <w:rsid w:val="3EEEADB4"/>
    <w:rsid w:val="3EEEF112"/>
    <w:rsid w:val="3EF09563"/>
    <w:rsid w:val="3EF34717"/>
    <w:rsid w:val="3EFBF6B2"/>
    <w:rsid w:val="3EFC8424"/>
    <w:rsid w:val="3F0B2C6F"/>
    <w:rsid w:val="3F0C5E05"/>
    <w:rsid w:val="3F0E521F"/>
    <w:rsid w:val="3F11CC33"/>
    <w:rsid w:val="3F12E13B"/>
    <w:rsid w:val="3F1377EA"/>
    <w:rsid w:val="3F13B8DA"/>
    <w:rsid w:val="3F1947EA"/>
    <w:rsid w:val="3F19C769"/>
    <w:rsid w:val="3F1C5F99"/>
    <w:rsid w:val="3F1C993A"/>
    <w:rsid w:val="3F20F130"/>
    <w:rsid w:val="3F212BFC"/>
    <w:rsid w:val="3F21BB8C"/>
    <w:rsid w:val="3F24D80A"/>
    <w:rsid w:val="3F29934A"/>
    <w:rsid w:val="3F2C8B62"/>
    <w:rsid w:val="3F30F094"/>
    <w:rsid w:val="3F33F5AF"/>
    <w:rsid w:val="3F37CABB"/>
    <w:rsid w:val="3F381014"/>
    <w:rsid w:val="3F38EF27"/>
    <w:rsid w:val="3F3F6809"/>
    <w:rsid w:val="3F4467B5"/>
    <w:rsid w:val="3F448D9F"/>
    <w:rsid w:val="3F4C3D6E"/>
    <w:rsid w:val="3F52953D"/>
    <w:rsid w:val="3F53C800"/>
    <w:rsid w:val="3F5467CA"/>
    <w:rsid w:val="3F54C259"/>
    <w:rsid w:val="3F56A05A"/>
    <w:rsid w:val="3F57AFC0"/>
    <w:rsid w:val="3F5C84CD"/>
    <w:rsid w:val="3F5CA30A"/>
    <w:rsid w:val="3F5DA8F6"/>
    <w:rsid w:val="3F5EA972"/>
    <w:rsid w:val="3F60E18B"/>
    <w:rsid w:val="3F61FEF9"/>
    <w:rsid w:val="3F67D5E1"/>
    <w:rsid w:val="3F71F6EB"/>
    <w:rsid w:val="3F76D1DC"/>
    <w:rsid w:val="3F771F6B"/>
    <w:rsid w:val="3F88906F"/>
    <w:rsid w:val="3F8935BC"/>
    <w:rsid w:val="3F8AFDED"/>
    <w:rsid w:val="3F8BAD45"/>
    <w:rsid w:val="3F93BD0A"/>
    <w:rsid w:val="3F93CE6E"/>
    <w:rsid w:val="3F946165"/>
    <w:rsid w:val="3F969C1A"/>
    <w:rsid w:val="3F990AE7"/>
    <w:rsid w:val="3F9A8A55"/>
    <w:rsid w:val="3F9CD59E"/>
    <w:rsid w:val="3FA700C3"/>
    <w:rsid w:val="3FA9A435"/>
    <w:rsid w:val="3FAF6F18"/>
    <w:rsid w:val="3FAFE1D8"/>
    <w:rsid w:val="3FB49B8D"/>
    <w:rsid w:val="3FB52948"/>
    <w:rsid w:val="3FB7D3C1"/>
    <w:rsid w:val="3FB883A1"/>
    <w:rsid w:val="3FB8F0B8"/>
    <w:rsid w:val="3FBAD3BE"/>
    <w:rsid w:val="3FC6D04E"/>
    <w:rsid w:val="3FC88099"/>
    <w:rsid w:val="3FCA04BE"/>
    <w:rsid w:val="3FCC70E1"/>
    <w:rsid w:val="3FCF40D0"/>
    <w:rsid w:val="3FD07248"/>
    <w:rsid w:val="3FD1A119"/>
    <w:rsid w:val="3FD1F4D4"/>
    <w:rsid w:val="3FD309F5"/>
    <w:rsid w:val="3FD8A070"/>
    <w:rsid w:val="3FDEB095"/>
    <w:rsid w:val="3FE195E5"/>
    <w:rsid w:val="3FE24B1C"/>
    <w:rsid w:val="3FE9D23D"/>
    <w:rsid w:val="3FEA484D"/>
    <w:rsid w:val="3FEE0A24"/>
    <w:rsid w:val="3FF18126"/>
    <w:rsid w:val="3FF3593C"/>
    <w:rsid w:val="3FF50D96"/>
    <w:rsid w:val="3FF51819"/>
    <w:rsid w:val="3FF950F6"/>
    <w:rsid w:val="4001A0F0"/>
    <w:rsid w:val="4001CB6E"/>
    <w:rsid w:val="400239BF"/>
    <w:rsid w:val="4003DC88"/>
    <w:rsid w:val="400516D4"/>
    <w:rsid w:val="4008E7D3"/>
    <w:rsid w:val="400AF61A"/>
    <w:rsid w:val="400FAAC9"/>
    <w:rsid w:val="400FF4D6"/>
    <w:rsid w:val="401326F0"/>
    <w:rsid w:val="40184567"/>
    <w:rsid w:val="401E40BB"/>
    <w:rsid w:val="4021CC4A"/>
    <w:rsid w:val="4026EA4F"/>
    <w:rsid w:val="402722B1"/>
    <w:rsid w:val="402B5C00"/>
    <w:rsid w:val="402C093E"/>
    <w:rsid w:val="402F27CE"/>
    <w:rsid w:val="4040D104"/>
    <w:rsid w:val="4040D37A"/>
    <w:rsid w:val="40472E94"/>
    <w:rsid w:val="404A8549"/>
    <w:rsid w:val="404B6548"/>
    <w:rsid w:val="404D36EA"/>
    <w:rsid w:val="404E69F7"/>
    <w:rsid w:val="4050CDF8"/>
    <w:rsid w:val="40567246"/>
    <w:rsid w:val="405804BA"/>
    <w:rsid w:val="40629522"/>
    <w:rsid w:val="40634D08"/>
    <w:rsid w:val="40636A42"/>
    <w:rsid w:val="4068A588"/>
    <w:rsid w:val="406B682C"/>
    <w:rsid w:val="406D5A6B"/>
    <w:rsid w:val="406D5BF3"/>
    <w:rsid w:val="40729D68"/>
    <w:rsid w:val="4072BB53"/>
    <w:rsid w:val="4073BBE3"/>
    <w:rsid w:val="4073CBF2"/>
    <w:rsid w:val="4074BFC0"/>
    <w:rsid w:val="40769332"/>
    <w:rsid w:val="4077A4B8"/>
    <w:rsid w:val="4079409F"/>
    <w:rsid w:val="407984E4"/>
    <w:rsid w:val="407ABA78"/>
    <w:rsid w:val="407D29FF"/>
    <w:rsid w:val="407DCD37"/>
    <w:rsid w:val="407E8B67"/>
    <w:rsid w:val="40803E45"/>
    <w:rsid w:val="4084505E"/>
    <w:rsid w:val="40848FDD"/>
    <w:rsid w:val="4089446A"/>
    <w:rsid w:val="408E02EA"/>
    <w:rsid w:val="408F0609"/>
    <w:rsid w:val="409D89EF"/>
    <w:rsid w:val="40A32164"/>
    <w:rsid w:val="40A6A50E"/>
    <w:rsid w:val="40A86C1D"/>
    <w:rsid w:val="40A9A8F4"/>
    <w:rsid w:val="40AC5D7C"/>
    <w:rsid w:val="40B3AD0D"/>
    <w:rsid w:val="40B4F18A"/>
    <w:rsid w:val="40BB9CB9"/>
    <w:rsid w:val="40C143BD"/>
    <w:rsid w:val="40C1CB13"/>
    <w:rsid w:val="40C1DA3B"/>
    <w:rsid w:val="40C28D90"/>
    <w:rsid w:val="40C718D6"/>
    <w:rsid w:val="40D427AA"/>
    <w:rsid w:val="40D7C402"/>
    <w:rsid w:val="40DBAB2B"/>
    <w:rsid w:val="40DD4ED4"/>
    <w:rsid w:val="40DEF8CA"/>
    <w:rsid w:val="40E3C87A"/>
    <w:rsid w:val="40E3D128"/>
    <w:rsid w:val="40E55B65"/>
    <w:rsid w:val="40E645F9"/>
    <w:rsid w:val="40EBDA33"/>
    <w:rsid w:val="40ED5B1E"/>
    <w:rsid w:val="40EE252F"/>
    <w:rsid w:val="40EE3045"/>
    <w:rsid w:val="40F4619C"/>
    <w:rsid w:val="40F5196D"/>
    <w:rsid w:val="40F58493"/>
    <w:rsid w:val="40FA2EAC"/>
    <w:rsid w:val="40FA4A4A"/>
    <w:rsid w:val="40FABD77"/>
    <w:rsid w:val="40FECCAC"/>
    <w:rsid w:val="40FF0C98"/>
    <w:rsid w:val="4104BA03"/>
    <w:rsid w:val="4106EAB0"/>
    <w:rsid w:val="411264E5"/>
    <w:rsid w:val="4114CE16"/>
    <w:rsid w:val="4118D744"/>
    <w:rsid w:val="41197D1A"/>
    <w:rsid w:val="411A0634"/>
    <w:rsid w:val="411B858B"/>
    <w:rsid w:val="411F72A0"/>
    <w:rsid w:val="4122F4D0"/>
    <w:rsid w:val="4124E2C4"/>
    <w:rsid w:val="41256094"/>
    <w:rsid w:val="41260948"/>
    <w:rsid w:val="41261720"/>
    <w:rsid w:val="4126D832"/>
    <w:rsid w:val="4127B8F7"/>
    <w:rsid w:val="41285942"/>
    <w:rsid w:val="413E8D66"/>
    <w:rsid w:val="41419A8D"/>
    <w:rsid w:val="4142AE2B"/>
    <w:rsid w:val="41450F39"/>
    <w:rsid w:val="4147A89D"/>
    <w:rsid w:val="41493412"/>
    <w:rsid w:val="414A18A9"/>
    <w:rsid w:val="414E58C9"/>
    <w:rsid w:val="414E6F97"/>
    <w:rsid w:val="41535196"/>
    <w:rsid w:val="415980EE"/>
    <w:rsid w:val="415A0B71"/>
    <w:rsid w:val="415E2B99"/>
    <w:rsid w:val="415F0C92"/>
    <w:rsid w:val="416379E1"/>
    <w:rsid w:val="41663117"/>
    <w:rsid w:val="41698283"/>
    <w:rsid w:val="416989D9"/>
    <w:rsid w:val="416BD4CD"/>
    <w:rsid w:val="416C5551"/>
    <w:rsid w:val="416E7C67"/>
    <w:rsid w:val="416FA1B4"/>
    <w:rsid w:val="417C0BC2"/>
    <w:rsid w:val="417DA4BE"/>
    <w:rsid w:val="417E2124"/>
    <w:rsid w:val="418733F0"/>
    <w:rsid w:val="418C7081"/>
    <w:rsid w:val="41908957"/>
    <w:rsid w:val="419297D8"/>
    <w:rsid w:val="419566F1"/>
    <w:rsid w:val="4195CBBA"/>
    <w:rsid w:val="41975607"/>
    <w:rsid w:val="41A501EB"/>
    <w:rsid w:val="41A71A42"/>
    <w:rsid w:val="41A918D5"/>
    <w:rsid w:val="41AB10E5"/>
    <w:rsid w:val="41ABA8D7"/>
    <w:rsid w:val="41AEEBDC"/>
    <w:rsid w:val="41B0F3AA"/>
    <w:rsid w:val="41B1115F"/>
    <w:rsid w:val="41B86671"/>
    <w:rsid w:val="41BCD1CC"/>
    <w:rsid w:val="41BD82E3"/>
    <w:rsid w:val="41BDEF47"/>
    <w:rsid w:val="41BF0214"/>
    <w:rsid w:val="41C02E4C"/>
    <w:rsid w:val="41C191F9"/>
    <w:rsid w:val="41C2C6AE"/>
    <w:rsid w:val="41C5EAC5"/>
    <w:rsid w:val="41C760FD"/>
    <w:rsid w:val="41CA1A64"/>
    <w:rsid w:val="41CAADD9"/>
    <w:rsid w:val="41CBB382"/>
    <w:rsid w:val="41CCAD1F"/>
    <w:rsid w:val="41CE7BDB"/>
    <w:rsid w:val="41D10AFA"/>
    <w:rsid w:val="41D17741"/>
    <w:rsid w:val="41D29AE9"/>
    <w:rsid w:val="41D3C799"/>
    <w:rsid w:val="41D587A9"/>
    <w:rsid w:val="41D5C486"/>
    <w:rsid w:val="41D77884"/>
    <w:rsid w:val="41DB4240"/>
    <w:rsid w:val="41DD1BA6"/>
    <w:rsid w:val="41E24CD2"/>
    <w:rsid w:val="41E6206C"/>
    <w:rsid w:val="41E8A64E"/>
    <w:rsid w:val="41E9EA9E"/>
    <w:rsid w:val="41ECE159"/>
    <w:rsid w:val="41F971DC"/>
    <w:rsid w:val="41F99FB6"/>
    <w:rsid w:val="41FC53E7"/>
    <w:rsid w:val="4201A780"/>
    <w:rsid w:val="4204B3CB"/>
    <w:rsid w:val="4205ED10"/>
    <w:rsid w:val="420A51D9"/>
    <w:rsid w:val="420D7162"/>
    <w:rsid w:val="420E1257"/>
    <w:rsid w:val="4212CCF9"/>
    <w:rsid w:val="42149999"/>
    <w:rsid w:val="42181230"/>
    <w:rsid w:val="42189159"/>
    <w:rsid w:val="4219181C"/>
    <w:rsid w:val="42199D98"/>
    <w:rsid w:val="421A6726"/>
    <w:rsid w:val="421D1867"/>
    <w:rsid w:val="421F93CC"/>
    <w:rsid w:val="42204C54"/>
    <w:rsid w:val="4221FDB3"/>
    <w:rsid w:val="42237666"/>
    <w:rsid w:val="4224A656"/>
    <w:rsid w:val="4224FE17"/>
    <w:rsid w:val="422D6585"/>
    <w:rsid w:val="4234BE76"/>
    <w:rsid w:val="423755B5"/>
    <w:rsid w:val="423E82A6"/>
    <w:rsid w:val="423EA2CF"/>
    <w:rsid w:val="42465C1B"/>
    <w:rsid w:val="4248BC5F"/>
    <w:rsid w:val="424B4470"/>
    <w:rsid w:val="424C37D5"/>
    <w:rsid w:val="424D35AC"/>
    <w:rsid w:val="425167B7"/>
    <w:rsid w:val="42533178"/>
    <w:rsid w:val="425A9C48"/>
    <w:rsid w:val="42639FA0"/>
    <w:rsid w:val="42664014"/>
    <w:rsid w:val="426A4C27"/>
    <w:rsid w:val="426A7094"/>
    <w:rsid w:val="426E1582"/>
    <w:rsid w:val="42708370"/>
    <w:rsid w:val="4276B86C"/>
    <w:rsid w:val="427E5BF9"/>
    <w:rsid w:val="427EF7DA"/>
    <w:rsid w:val="4280983C"/>
    <w:rsid w:val="42829A29"/>
    <w:rsid w:val="42849772"/>
    <w:rsid w:val="42862214"/>
    <w:rsid w:val="42895794"/>
    <w:rsid w:val="428CA260"/>
    <w:rsid w:val="428CFCD0"/>
    <w:rsid w:val="428E20F7"/>
    <w:rsid w:val="429517FE"/>
    <w:rsid w:val="4295AECD"/>
    <w:rsid w:val="429E6FED"/>
    <w:rsid w:val="42A0ADDB"/>
    <w:rsid w:val="42A32E73"/>
    <w:rsid w:val="42A51BA1"/>
    <w:rsid w:val="42A637F6"/>
    <w:rsid w:val="42A8CE19"/>
    <w:rsid w:val="42AF3DC1"/>
    <w:rsid w:val="42AF65EA"/>
    <w:rsid w:val="42B13663"/>
    <w:rsid w:val="42B15A8E"/>
    <w:rsid w:val="42B19562"/>
    <w:rsid w:val="42B2A8D1"/>
    <w:rsid w:val="42B4F6D1"/>
    <w:rsid w:val="42BB2172"/>
    <w:rsid w:val="42BD7EBC"/>
    <w:rsid w:val="42C7D5BD"/>
    <w:rsid w:val="42CFF4A7"/>
    <w:rsid w:val="42D22B17"/>
    <w:rsid w:val="42D2E811"/>
    <w:rsid w:val="42DC3DEB"/>
    <w:rsid w:val="42DC3E94"/>
    <w:rsid w:val="42DC5E94"/>
    <w:rsid w:val="42DDBD92"/>
    <w:rsid w:val="42DE377D"/>
    <w:rsid w:val="42E12405"/>
    <w:rsid w:val="42E238C5"/>
    <w:rsid w:val="42E85BE4"/>
    <w:rsid w:val="42EB2188"/>
    <w:rsid w:val="42ED1AE9"/>
    <w:rsid w:val="42EFD331"/>
    <w:rsid w:val="42F244AC"/>
    <w:rsid w:val="42F49A69"/>
    <w:rsid w:val="42F860AB"/>
    <w:rsid w:val="42FA6DA0"/>
    <w:rsid w:val="42FBEDA1"/>
    <w:rsid w:val="42FC8778"/>
    <w:rsid w:val="43014E55"/>
    <w:rsid w:val="430860BA"/>
    <w:rsid w:val="430BE853"/>
    <w:rsid w:val="43105494"/>
    <w:rsid w:val="43109CD7"/>
    <w:rsid w:val="4311790C"/>
    <w:rsid w:val="43149BAF"/>
    <w:rsid w:val="4314AE8B"/>
    <w:rsid w:val="431AB2C1"/>
    <w:rsid w:val="431B5E21"/>
    <w:rsid w:val="431BF1EA"/>
    <w:rsid w:val="431ED8A8"/>
    <w:rsid w:val="43220713"/>
    <w:rsid w:val="432653B7"/>
    <w:rsid w:val="432798AA"/>
    <w:rsid w:val="43322ED7"/>
    <w:rsid w:val="4334EE1B"/>
    <w:rsid w:val="4336259E"/>
    <w:rsid w:val="433A39A7"/>
    <w:rsid w:val="433D016F"/>
    <w:rsid w:val="43409875"/>
    <w:rsid w:val="4341F269"/>
    <w:rsid w:val="43424810"/>
    <w:rsid w:val="4346CFC0"/>
    <w:rsid w:val="43481FFA"/>
    <w:rsid w:val="4349F424"/>
    <w:rsid w:val="434A73CA"/>
    <w:rsid w:val="434A7887"/>
    <w:rsid w:val="434FAB65"/>
    <w:rsid w:val="43528509"/>
    <w:rsid w:val="4355AA64"/>
    <w:rsid w:val="43580A5F"/>
    <w:rsid w:val="435CF339"/>
    <w:rsid w:val="435F250F"/>
    <w:rsid w:val="43609234"/>
    <w:rsid w:val="4361E98A"/>
    <w:rsid w:val="4361FFF3"/>
    <w:rsid w:val="43650E9A"/>
    <w:rsid w:val="43682005"/>
    <w:rsid w:val="4368647A"/>
    <w:rsid w:val="436A4785"/>
    <w:rsid w:val="436D9751"/>
    <w:rsid w:val="4377B7DB"/>
    <w:rsid w:val="437D568C"/>
    <w:rsid w:val="437D74EB"/>
    <w:rsid w:val="43815066"/>
    <w:rsid w:val="438387DB"/>
    <w:rsid w:val="438FC605"/>
    <w:rsid w:val="43911F4F"/>
    <w:rsid w:val="439BD640"/>
    <w:rsid w:val="439C2A98"/>
    <w:rsid w:val="439D3831"/>
    <w:rsid w:val="43A6F2A5"/>
    <w:rsid w:val="43A95BC3"/>
    <w:rsid w:val="43AA6080"/>
    <w:rsid w:val="43ADD909"/>
    <w:rsid w:val="43B00467"/>
    <w:rsid w:val="43B1F585"/>
    <w:rsid w:val="43B5BC26"/>
    <w:rsid w:val="43B6149B"/>
    <w:rsid w:val="43B6A9B5"/>
    <w:rsid w:val="43BA6C70"/>
    <w:rsid w:val="43BAED7F"/>
    <w:rsid w:val="43BB49BC"/>
    <w:rsid w:val="43BC353E"/>
    <w:rsid w:val="43BD5B7F"/>
    <w:rsid w:val="43C047B9"/>
    <w:rsid w:val="43C170AE"/>
    <w:rsid w:val="43C242BE"/>
    <w:rsid w:val="43C384BC"/>
    <w:rsid w:val="43C3F570"/>
    <w:rsid w:val="43C6A8D0"/>
    <w:rsid w:val="43C6D6E5"/>
    <w:rsid w:val="43CAA713"/>
    <w:rsid w:val="43CB7D83"/>
    <w:rsid w:val="43CD7553"/>
    <w:rsid w:val="43CE854F"/>
    <w:rsid w:val="43D2379A"/>
    <w:rsid w:val="43D2FF1F"/>
    <w:rsid w:val="43DBCDC1"/>
    <w:rsid w:val="43DC278F"/>
    <w:rsid w:val="43DF3F49"/>
    <w:rsid w:val="43DFD83A"/>
    <w:rsid w:val="43E2FD9F"/>
    <w:rsid w:val="43E3B663"/>
    <w:rsid w:val="43E602E3"/>
    <w:rsid w:val="43E9C3C3"/>
    <w:rsid w:val="43EA6A6D"/>
    <w:rsid w:val="43EC5466"/>
    <w:rsid w:val="43ED2C81"/>
    <w:rsid w:val="43EDDC9D"/>
    <w:rsid w:val="43EE5802"/>
    <w:rsid w:val="43F0C149"/>
    <w:rsid w:val="43F2E739"/>
    <w:rsid w:val="43FAF47A"/>
    <w:rsid w:val="43FB595F"/>
    <w:rsid w:val="43FCE390"/>
    <w:rsid w:val="440280BB"/>
    <w:rsid w:val="44047CC1"/>
    <w:rsid w:val="4404ACF2"/>
    <w:rsid w:val="440773F0"/>
    <w:rsid w:val="4407DA68"/>
    <w:rsid w:val="4409F3FE"/>
    <w:rsid w:val="440B5699"/>
    <w:rsid w:val="440E1C04"/>
    <w:rsid w:val="440E7C5F"/>
    <w:rsid w:val="44130DCF"/>
    <w:rsid w:val="441B3838"/>
    <w:rsid w:val="441C4E22"/>
    <w:rsid w:val="44277771"/>
    <w:rsid w:val="4429E74F"/>
    <w:rsid w:val="442AB85C"/>
    <w:rsid w:val="442F5E32"/>
    <w:rsid w:val="4432D118"/>
    <w:rsid w:val="44350F0E"/>
    <w:rsid w:val="4436BA48"/>
    <w:rsid w:val="443752A6"/>
    <w:rsid w:val="443C2CD2"/>
    <w:rsid w:val="444333B5"/>
    <w:rsid w:val="4443920D"/>
    <w:rsid w:val="4446CB2E"/>
    <w:rsid w:val="4451282C"/>
    <w:rsid w:val="4451E68B"/>
    <w:rsid w:val="44522FE5"/>
    <w:rsid w:val="4454B1F8"/>
    <w:rsid w:val="4455EFCF"/>
    <w:rsid w:val="4456A5A2"/>
    <w:rsid w:val="4456F1D3"/>
    <w:rsid w:val="4457BBD3"/>
    <w:rsid w:val="4458C574"/>
    <w:rsid w:val="445C2513"/>
    <w:rsid w:val="445E906B"/>
    <w:rsid w:val="445E9F63"/>
    <w:rsid w:val="445F59B9"/>
    <w:rsid w:val="44608D09"/>
    <w:rsid w:val="44610979"/>
    <w:rsid w:val="446263BB"/>
    <w:rsid w:val="4463D7E1"/>
    <w:rsid w:val="4467B8DC"/>
    <w:rsid w:val="4469AD07"/>
    <w:rsid w:val="446A4A0D"/>
    <w:rsid w:val="446AFE47"/>
    <w:rsid w:val="446D95A9"/>
    <w:rsid w:val="446DFB78"/>
    <w:rsid w:val="44759785"/>
    <w:rsid w:val="4475B6F9"/>
    <w:rsid w:val="4476B2D5"/>
    <w:rsid w:val="44792575"/>
    <w:rsid w:val="447DAC98"/>
    <w:rsid w:val="44877327"/>
    <w:rsid w:val="448791DB"/>
    <w:rsid w:val="4488B173"/>
    <w:rsid w:val="448944A2"/>
    <w:rsid w:val="448BEC7F"/>
    <w:rsid w:val="448F8A3F"/>
    <w:rsid w:val="4495C9E1"/>
    <w:rsid w:val="449B398D"/>
    <w:rsid w:val="44A07582"/>
    <w:rsid w:val="44A4B790"/>
    <w:rsid w:val="44A70BEB"/>
    <w:rsid w:val="44B96AF9"/>
    <w:rsid w:val="44BFFB22"/>
    <w:rsid w:val="44C077FA"/>
    <w:rsid w:val="44C77572"/>
    <w:rsid w:val="44C7D7D9"/>
    <w:rsid w:val="44C964A5"/>
    <w:rsid w:val="44CBAF70"/>
    <w:rsid w:val="44CCFF88"/>
    <w:rsid w:val="44CF7D8E"/>
    <w:rsid w:val="44CFA3E2"/>
    <w:rsid w:val="44D49CA9"/>
    <w:rsid w:val="44D7477D"/>
    <w:rsid w:val="44E07736"/>
    <w:rsid w:val="44E0ABA3"/>
    <w:rsid w:val="44E124DF"/>
    <w:rsid w:val="44E1770A"/>
    <w:rsid w:val="44E288E7"/>
    <w:rsid w:val="44E64721"/>
    <w:rsid w:val="44E682F5"/>
    <w:rsid w:val="44ED0D75"/>
    <w:rsid w:val="44EF8C0F"/>
    <w:rsid w:val="44F22523"/>
    <w:rsid w:val="44F44597"/>
    <w:rsid w:val="44F508A1"/>
    <w:rsid w:val="44F53044"/>
    <w:rsid w:val="44F98925"/>
    <w:rsid w:val="44FBCC21"/>
    <w:rsid w:val="45007AF5"/>
    <w:rsid w:val="450850DE"/>
    <w:rsid w:val="45094F65"/>
    <w:rsid w:val="450A9086"/>
    <w:rsid w:val="450CF9CA"/>
    <w:rsid w:val="45103753"/>
    <w:rsid w:val="451150BA"/>
    <w:rsid w:val="4511ADCE"/>
    <w:rsid w:val="45159A73"/>
    <w:rsid w:val="451691AC"/>
    <w:rsid w:val="4516F7B1"/>
    <w:rsid w:val="451C7599"/>
    <w:rsid w:val="4523335C"/>
    <w:rsid w:val="452521E3"/>
    <w:rsid w:val="45252C69"/>
    <w:rsid w:val="45267670"/>
    <w:rsid w:val="45276C23"/>
    <w:rsid w:val="452C1008"/>
    <w:rsid w:val="452C1B09"/>
    <w:rsid w:val="452DD149"/>
    <w:rsid w:val="45306582"/>
    <w:rsid w:val="45319833"/>
    <w:rsid w:val="4536632D"/>
    <w:rsid w:val="453CD186"/>
    <w:rsid w:val="4543165E"/>
    <w:rsid w:val="4545A517"/>
    <w:rsid w:val="4550B010"/>
    <w:rsid w:val="4552F719"/>
    <w:rsid w:val="45535DC0"/>
    <w:rsid w:val="45596A82"/>
    <w:rsid w:val="455BA72A"/>
    <w:rsid w:val="455DEF38"/>
    <w:rsid w:val="455FA95D"/>
    <w:rsid w:val="456462EB"/>
    <w:rsid w:val="456584A9"/>
    <w:rsid w:val="45714A33"/>
    <w:rsid w:val="457797E3"/>
    <w:rsid w:val="457D752C"/>
    <w:rsid w:val="4580E549"/>
    <w:rsid w:val="45841EE9"/>
    <w:rsid w:val="458D33A3"/>
    <w:rsid w:val="458EA161"/>
    <w:rsid w:val="4590FC59"/>
    <w:rsid w:val="45963E65"/>
    <w:rsid w:val="45964889"/>
    <w:rsid w:val="4597A74B"/>
    <w:rsid w:val="459A839A"/>
    <w:rsid w:val="45A5E1BC"/>
    <w:rsid w:val="45A8CEE1"/>
    <w:rsid w:val="45AAAB58"/>
    <w:rsid w:val="45AD2C8E"/>
    <w:rsid w:val="45AF342E"/>
    <w:rsid w:val="45AF7F79"/>
    <w:rsid w:val="45B13B6B"/>
    <w:rsid w:val="45B66321"/>
    <w:rsid w:val="45B6A2DF"/>
    <w:rsid w:val="45B8FBDA"/>
    <w:rsid w:val="45BC69BB"/>
    <w:rsid w:val="45C34DB2"/>
    <w:rsid w:val="45C407AC"/>
    <w:rsid w:val="45C49614"/>
    <w:rsid w:val="45C51269"/>
    <w:rsid w:val="45C72578"/>
    <w:rsid w:val="45CA4883"/>
    <w:rsid w:val="45CB3108"/>
    <w:rsid w:val="45CDA637"/>
    <w:rsid w:val="45D2DDFB"/>
    <w:rsid w:val="45D3C09B"/>
    <w:rsid w:val="45D6355D"/>
    <w:rsid w:val="45D72981"/>
    <w:rsid w:val="45DA72D8"/>
    <w:rsid w:val="45DC9C52"/>
    <w:rsid w:val="45DD3009"/>
    <w:rsid w:val="45E49E73"/>
    <w:rsid w:val="45EC4867"/>
    <w:rsid w:val="45EC61CD"/>
    <w:rsid w:val="45ECAEC7"/>
    <w:rsid w:val="45F38824"/>
    <w:rsid w:val="45F6824E"/>
    <w:rsid w:val="45F6FE50"/>
    <w:rsid w:val="45F939EB"/>
    <w:rsid w:val="45FA834E"/>
    <w:rsid w:val="45FAAC4D"/>
    <w:rsid w:val="45FADC1B"/>
    <w:rsid w:val="45FB1447"/>
    <w:rsid w:val="45FDD556"/>
    <w:rsid w:val="45FF7517"/>
    <w:rsid w:val="4609CE69"/>
    <w:rsid w:val="460E7092"/>
    <w:rsid w:val="4612995E"/>
    <w:rsid w:val="4614B920"/>
    <w:rsid w:val="4619FBF3"/>
    <w:rsid w:val="46211735"/>
    <w:rsid w:val="46229435"/>
    <w:rsid w:val="4625E245"/>
    <w:rsid w:val="46271FFB"/>
    <w:rsid w:val="4627544C"/>
    <w:rsid w:val="46277B77"/>
    <w:rsid w:val="462B5AA0"/>
    <w:rsid w:val="462B7A72"/>
    <w:rsid w:val="462F181E"/>
    <w:rsid w:val="4631EE8F"/>
    <w:rsid w:val="46346FA0"/>
    <w:rsid w:val="4638D7C4"/>
    <w:rsid w:val="4639A23A"/>
    <w:rsid w:val="463BC4CF"/>
    <w:rsid w:val="463C6662"/>
    <w:rsid w:val="464065B5"/>
    <w:rsid w:val="464509C7"/>
    <w:rsid w:val="4645878F"/>
    <w:rsid w:val="4645E38C"/>
    <w:rsid w:val="4648372F"/>
    <w:rsid w:val="4648CCBC"/>
    <w:rsid w:val="4649764B"/>
    <w:rsid w:val="4649FDF4"/>
    <w:rsid w:val="464A3C8C"/>
    <w:rsid w:val="464BD946"/>
    <w:rsid w:val="464DD69C"/>
    <w:rsid w:val="464E1786"/>
    <w:rsid w:val="4651F344"/>
    <w:rsid w:val="4652825C"/>
    <w:rsid w:val="466345D3"/>
    <w:rsid w:val="4665F06D"/>
    <w:rsid w:val="46688D80"/>
    <w:rsid w:val="4669793D"/>
    <w:rsid w:val="466B3961"/>
    <w:rsid w:val="466E8245"/>
    <w:rsid w:val="4670927E"/>
    <w:rsid w:val="46727544"/>
    <w:rsid w:val="46754EA3"/>
    <w:rsid w:val="4678545D"/>
    <w:rsid w:val="4679CC6F"/>
    <w:rsid w:val="467D4017"/>
    <w:rsid w:val="467DEDEC"/>
    <w:rsid w:val="46835D55"/>
    <w:rsid w:val="468A1F4D"/>
    <w:rsid w:val="46954114"/>
    <w:rsid w:val="46982DCE"/>
    <w:rsid w:val="469F2A5A"/>
    <w:rsid w:val="46A26CAA"/>
    <w:rsid w:val="46A4ED0F"/>
    <w:rsid w:val="46A4EE77"/>
    <w:rsid w:val="46A572BA"/>
    <w:rsid w:val="46A62B02"/>
    <w:rsid w:val="46A639C2"/>
    <w:rsid w:val="46A71B0C"/>
    <w:rsid w:val="46AD7E2F"/>
    <w:rsid w:val="46AE4BA5"/>
    <w:rsid w:val="46AFB680"/>
    <w:rsid w:val="46B383D5"/>
    <w:rsid w:val="46B64212"/>
    <w:rsid w:val="46B6DB13"/>
    <w:rsid w:val="46BEDF18"/>
    <w:rsid w:val="46BF242B"/>
    <w:rsid w:val="46C0F244"/>
    <w:rsid w:val="46C4CEFA"/>
    <w:rsid w:val="46C54038"/>
    <w:rsid w:val="46C5B1DE"/>
    <w:rsid w:val="46CB26EC"/>
    <w:rsid w:val="46CDEDCA"/>
    <w:rsid w:val="46D016DF"/>
    <w:rsid w:val="46D16F07"/>
    <w:rsid w:val="46D6BD0E"/>
    <w:rsid w:val="46DB26BD"/>
    <w:rsid w:val="46DC82D1"/>
    <w:rsid w:val="46DE7B81"/>
    <w:rsid w:val="46E0D0FC"/>
    <w:rsid w:val="46E2DB27"/>
    <w:rsid w:val="46E3BCBC"/>
    <w:rsid w:val="46E45605"/>
    <w:rsid w:val="46EE385D"/>
    <w:rsid w:val="46F58E77"/>
    <w:rsid w:val="46F88884"/>
    <w:rsid w:val="46FA8E11"/>
    <w:rsid w:val="46FCCB0E"/>
    <w:rsid w:val="46FEF0D3"/>
    <w:rsid w:val="470DF170"/>
    <w:rsid w:val="470F3CCE"/>
    <w:rsid w:val="4710F2B0"/>
    <w:rsid w:val="47129210"/>
    <w:rsid w:val="4714206F"/>
    <w:rsid w:val="4715A3A0"/>
    <w:rsid w:val="471954D9"/>
    <w:rsid w:val="471A8E90"/>
    <w:rsid w:val="471B3E6A"/>
    <w:rsid w:val="472A942F"/>
    <w:rsid w:val="47394B98"/>
    <w:rsid w:val="4739743C"/>
    <w:rsid w:val="473A7DAD"/>
    <w:rsid w:val="473A9CC9"/>
    <w:rsid w:val="473C3D25"/>
    <w:rsid w:val="473C9601"/>
    <w:rsid w:val="474C397A"/>
    <w:rsid w:val="474EAE0B"/>
    <w:rsid w:val="474F3721"/>
    <w:rsid w:val="4750AC66"/>
    <w:rsid w:val="475823FC"/>
    <w:rsid w:val="475869E6"/>
    <w:rsid w:val="4758CC1C"/>
    <w:rsid w:val="475CDA0B"/>
    <w:rsid w:val="475FD80D"/>
    <w:rsid w:val="4764040E"/>
    <w:rsid w:val="47649C84"/>
    <w:rsid w:val="476CC287"/>
    <w:rsid w:val="476DCEA4"/>
    <w:rsid w:val="47713279"/>
    <w:rsid w:val="47717074"/>
    <w:rsid w:val="4774E344"/>
    <w:rsid w:val="4778F6CB"/>
    <w:rsid w:val="47790A20"/>
    <w:rsid w:val="477D2170"/>
    <w:rsid w:val="477DF530"/>
    <w:rsid w:val="4780285B"/>
    <w:rsid w:val="47858BFE"/>
    <w:rsid w:val="4785A278"/>
    <w:rsid w:val="478C0503"/>
    <w:rsid w:val="478EB424"/>
    <w:rsid w:val="478EEFEF"/>
    <w:rsid w:val="478F2E46"/>
    <w:rsid w:val="4794AD65"/>
    <w:rsid w:val="479C3472"/>
    <w:rsid w:val="479EBA59"/>
    <w:rsid w:val="479FF9AF"/>
    <w:rsid w:val="47A97215"/>
    <w:rsid w:val="47ABEF54"/>
    <w:rsid w:val="47AF28BB"/>
    <w:rsid w:val="47B1701C"/>
    <w:rsid w:val="47B178EB"/>
    <w:rsid w:val="47B46760"/>
    <w:rsid w:val="47B713F5"/>
    <w:rsid w:val="47B741BC"/>
    <w:rsid w:val="47B7D5FE"/>
    <w:rsid w:val="47B8B51F"/>
    <w:rsid w:val="47B9820A"/>
    <w:rsid w:val="47BDA10B"/>
    <w:rsid w:val="47BE4C26"/>
    <w:rsid w:val="47BFAD72"/>
    <w:rsid w:val="47C46059"/>
    <w:rsid w:val="47C610AB"/>
    <w:rsid w:val="47C63B0C"/>
    <w:rsid w:val="47C756FA"/>
    <w:rsid w:val="47C8DBAE"/>
    <w:rsid w:val="47C94DD9"/>
    <w:rsid w:val="47C98428"/>
    <w:rsid w:val="47CA86BF"/>
    <w:rsid w:val="47D6EABA"/>
    <w:rsid w:val="47DA104A"/>
    <w:rsid w:val="47E2A192"/>
    <w:rsid w:val="47E80CD2"/>
    <w:rsid w:val="47EA1BD1"/>
    <w:rsid w:val="47ECA69F"/>
    <w:rsid w:val="47F068C2"/>
    <w:rsid w:val="47F1C4E6"/>
    <w:rsid w:val="47F32FFE"/>
    <w:rsid w:val="47F440B5"/>
    <w:rsid w:val="47F831E3"/>
    <w:rsid w:val="47F96814"/>
    <w:rsid w:val="47FA2E12"/>
    <w:rsid w:val="47FAFDE8"/>
    <w:rsid w:val="47FD74CF"/>
    <w:rsid w:val="48006179"/>
    <w:rsid w:val="4803988F"/>
    <w:rsid w:val="480547F9"/>
    <w:rsid w:val="480971C0"/>
    <w:rsid w:val="480A22E1"/>
    <w:rsid w:val="480C00E7"/>
    <w:rsid w:val="480C2709"/>
    <w:rsid w:val="480D2757"/>
    <w:rsid w:val="480F8C50"/>
    <w:rsid w:val="481362E8"/>
    <w:rsid w:val="481562A7"/>
    <w:rsid w:val="4819E0D9"/>
    <w:rsid w:val="4819E3EA"/>
    <w:rsid w:val="481AA094"/>
    <w:rsid w:val="481C4CE4"/>
    <w:rsid w:val="481C5530"/>
    <w:rsid w:val="4822ECC2"/>
    <w:rsid w:val="4823D8F2"/>
    <w:rsid w:val="48275206"/>
    <w:rsid w:val="48294B99"/>
    <w:rsid w:val="4829F2AF"/>
    <w:rsid w:val="482DC5F2"/>
    <w:rsid w:val="4831738A"/>
    <w:rsid w:val="4831D353"/>
    <w:rsid w:val="4834F4E4"/>
    <w:rsid w:val="4835282B"/>
    <w:rsid w:val="48352D32"/>
    <w:rsid w:val="48353218"/>
    <w:rsid w:val="483A7B00"/>
    <w:rsid w:val="483AA36D"/>
    <w:rsid w:val="483B4080"/>
    <w:rsid w:val="483CF789"/>
    <w:rsid w:val="483FDADC"/>
    <w:rsid w:val="48406858"/>
    <w:rsid w:val="484380E5"/>
    <w:rsid w:val="4844D09B"/>
    <w:rsid w:val="4844D9CD"/>
    <w:rsid w:val="484D4111"/>
    <w:rsid w:val="485900A4"/>
    <w:rsid w:val="4859F86D"/>
    <w:rsid w:val="485AF48C"/>
    <w:rsid w:val="485C0392"/>
    <w:rsid w:val="485EF8EE"/>
    <w:rsid w:val="4861F418"/>
    <w:rsid w:val="486694DB"/>
    <w:rsid w:val="48670A2E"/>
    <w:rsid w:val="486E78D2"/>
    <w:rsid w:val="486EBE41"/>
    <w:rsid w:val="48726170"/>
    <w:rsid w:val="48748CAA"/>
    <w:rsid w:val="4876574C"/>
    <w:rsid w:val="48821C2C"/>
    <w:rsid w:val="48866945"/>
    <w:rsid w:val="4886A168"/>
    <w:rsid w:val="4888DF1C"/>
    <w:rsid w:val="488C4121"/>
    <w:rsid w:val="488DC4B1"/>
    <w:rsid w:val="4891D074"/>
    <w:rsid w:val="489B9FF1"/>
    <w:rsid w:val="489E9FA5"/>
    <w:rsid w:val="48A53DB7"/>
    <w:rsid w:val="48A79F38"/>
    <w:rsid w:val="48ACC0F9"/>
    <w:rsid w:val="48AD59D1"/>
    <w:rsid w:val="48B0E9A9"/>
    <w:rsid w:val="48B36428"/>
    <w:rsid w:val="48BA6A83"/>
    <w:rsid w:val="48BAB30A"/>
    <w:rsid w:val="48BC7B04"/>
    <w:rsid w:val="48C616E3"/>
    <w:rsid w:val="48CD1F9F"/>
    <w:rsid w:val="48CDD594"/>
    <w:rsid w:val="48CF12F1"/>
    <w:rsid w:val="48D7A250"/>
    <w:rsid w:val="48DA7AD0"/>
    <w:rsid w:val="48E11203"/>
    <w:rsid w:val="48E3A287"/>
    <w:rsid w:val="48E47F89"/>
    <w:rsid w:val="48E71955"/>
    <w:rsid w:val="48EA55D7"/>
    <w:rsid w:val="48EF3C8E"/>
    <w:rsid w:val="48EFBE0C"/>
    <w:rsid w:val="48F00307"/>
    <w:rsid w:val="48F33F64"/>
    <w:rsid w:val="48F4D97C"/>
    <w:rsid w:val="48F76838"/>
    <w:rsid w:val="48F7C66E"/>
    <w:rsid w:val="48F9DA82"/>
    <w:rsid w:val="48FB1766"/>
    <w:rsid w:val="490829E2"/>
    <w:rsid w:val="49082D72"/>
    <w:rsid w:val="490CA9CC"/>
    <w:rsid w:val="4912B947"/>
    <w:rsid w:val="491382AA"/>
    <w:rsid w:val="49141A6B"/>
    <w:rsid w:val="49177B1D"/>
    <w:rsid w:val="49182BC6"/>
    <w:rsid w:val="491C1A12"/>
    <w:rsid w:val="491C48D5"/>
    <w:rsid w:val="49201981"/>
    <w:rsid w:val="49214DEF"/>
    <w:rsid w:val="4924101C"/>
    <w:rsid w:val="492577BD"/>
    <w:rsid w:val="49296E13"/>
    <w:rsid w:val="492C28EC"/>
    <w:rsid w:val="492F0EED"/>
    <w:rsid w:val="4931DBB3"/>
    <w:rsid w:val="4934800B"/>
    <w:rsid w:val="4934C751"/>
    <w:rsid w:val="4935C8BC"/>
    <w:rsid w:val="493BEB7B"/>
    <w:rsid w:val="493DCE57"/>
    <w:rsid w:val="493F99CF"/>
    <w:rsid w:val="4946E481"/>
    <w:rsid w:val="4947C8C5"/>
    <w:rsid w:val="49492FE4"/>
    <w:rsid w:val="494E1F15"/>
    <w:rsid w:val="4950A669"/>
    <w:rsid w:val="4952C6D4"/>
    <w:rsid w:val="495357FC"/>
    <w:rsid w:val="4955DC94"/>
    <w:rsid w:val="495A94D1"/>
    <w:rsid w:val="4960DD4A"/>
    <w:rsid w:val="49615375"/>
    <w:rsid w:val="4965F7F3"/>
    <w:rsid w:val="496BA898"/>
    <w:rsid w:val="496BFBDC"/>
    <w:rsid w:val="496CF16D"/>
    <w:rsid w:val="496F8613"/>
    <w:rsid w:val="496FE440"/>
    <w:rsid w:val="49725EBE"/>
    <w:rsid w:val="49778664"/>
    <w:rsid w:val="497B0D53"/>
    <w:rsid w:val="4980743E"/>
    <w:rsid w:val="498599C9"/>
    <w:rsid w:val="498605BE"/>
    <w:rsid w:val="498A75C4"/>
    <w:rsid w:val="498B6A8F"/>
    <w:rsid w:val="498C2A0A"/>
    <w:rsid w:val="498C6D58"/>
    <w:rsid w:val="498F2FE6"/>
    <w:rsid w:val="49929125"/>
    <w:rsid w:val="4994C48F"/>
    <w:rsid w:val="49957A4C"/>
    <w:rsid w:val="4999630A"/>
    <w:rsid w:val="499CEFF0"/>
    <w:rsid w:val="499F5DAE"/>
    <w:rsid w:val="49A0ADD9"/>
    <w:rsid w:val="49A14E12"/>
    <w:rsid w:val="49A19363"/>
    <w:rsid w:val="49AC7DEE"/>
    <w:rsid w:val="49AD8C0F"/>
    <w:rsid w:val="49AECB7D"/>
    <w:rsid w:val="49AF94E5"/>
    <w:rsid w:val="49B1CDD7"/>
    <w:rsid w:val="49B80299"/>
    <w:rsid w:val="49BCD454"/>
    <w:rsid w:val="49BD8E0E"/>
    <w:rsid w:val="49BE8124"/>
    <w:rsid w:val="49C4B1A7"/>
    <w:rsid w:val="49C4FFC3"/>
    <w:rsid w:val="49C5A461"/>
    <w:rsid w:val="49D34699"/>
    <w:rsid w:val="49D37851"/>
    <w:rsid w:val="49D70DF8"/>
    <w:rsid w:val="49D9D586"/>
    <w:rsid w:val="49DDB953"/>
    <w:rsid w:val="49DFE333"/>
    <w:rsid w:val="49DFF7AE"/>
    <w:rsid w:val="49E18381"/>
    <w:rsid w:val="49EA1E3F"/>
    <w:rsid w:val="49ECB66F"/>
    <w:rsid w:val="49F17E1F"/>
    <w:rsid w:val="49F2628A"/>
    <w:rsid w:val="49F2C8A8"/>
    <w:rsid w:val="49F373C7"/>
    <w:rsid w:val="49F5B55D"/>
    <w:rsid w:val="49F71541"/>
    <w:rsid w:val="49F8616C"/>
    <w:rsid w:val="49F896A1"/>
    <w:rsid w:val="49F8E8DA"/>
    <w:rsid w:val="49F9CE98"/>
    <w:rsid w:val="49FDF9F9"/>
    <w:rsid w:val="4A00BB34"/>
    <w:rsid w:val="4A05D1C3"/>
    <w:rsid w:val="4A0B3EB8"/>
    <w:rsid w:val="4A0DD3B7"/>
    <w:rsid w:val="4A14445A"/>
    <w:rsid w:val="4A15621F"/>
    <w:rsid w:val="4A162886"/>
    <w:rsid w:val="4A186F4F"/>
    <w:rsid w:val="4A23907A"/>
    <w:rsid w:val="4A24FAB3"/>
    <w:rsid w:val="4A270B2C"/>
    <w:rsid w:val="4A2C71BE"/>
    <w:rsid w:val="4A33A2C9"/>
    <w:rsid w:val="4A354A50"/>
    <w:rsid w:val="4A38B10B"/>
    <w:rsid w:val="4A3970B8"/>
    <w:rsid w:val="4A39AE37"/>
    <w:rsid w:val="4A3B6C76"/>
    <w:rsid w:val="4A3EBE95"/>
    <w:rsid w:val="4A3FC232"/>
    <w:rsid w:val="4A4010AE"/>
    <w:rsid w:val="4A403570"/>
    <w:rsid w:val="4A405A3E"/>
    <w:rsid w:val="4A407B17"/>
    <w:rsid w:val="4A41750F"/>
    <w:rsid w:val="4A4ACC2A"/>
    <w:rsid w:val="4A4B9E79"/>
    <w:rsid w:val="4A5B5081"/>
    <w:rsid w:val="4A5C57CA"/>
    <w:rsid w:val="4A5F82E2"/>
    <w:rsid w:val="4A614C18"/>
    <w:rsid w:val="4A6214C0"/>
    <w:rsid w:val="4A64D0AC"/>
    <w:rsid w:val="4A662AF7"/>
    <w:rsid w:val="4A677776"/>
    <w:rsid w:val="4A67C3FD"/>
    <w:rsid w:val="4A6B0B16"/>
    <w:rsid w:val="4A75BA9F"/>
    <w:rsid w:val="4A775DF7"/>
    <w:rsid w:val="4A78762A"/>
    <w:rsid w:val="4A7C971E"/>
    <w:rsid w:val="4A7F86E3"/>
    <w:rsid w:val="4A80A917"/>
    <w:rsid w:val="4A87CD1C"/>
    <w:rsid w:val="4A8DCA98"/>
    <w:rsid w:val="4A8F15BB"/>
    <w:rsid w:val="4A91B36C"/>
    <w:rsid w:val="4A940820"/>
    <w:rsid w:val="4A9778CF"/>
    <w:rsid w:val="4A97F504"/>
    <w:rsid w:val="4A98C4AA"/>
    <w:rsid w:val="4A9A0D41"/>
    <w:rsid w:val="4A9D2D37"/>
    <w:rsid w:val="4A9F845A"/>
    <w:rsid w:val="4AA0557E"/>
    <w:rsid w:val="4AA0CD55"/>
    <w:rsid w:val="4AA2F70F"/>
    <w:rsid w:val="4AA732AF"/>
    <w:rsid w:val="4AA97474"/>
    <w:rsid w:val="4AAA16A0"/>
    <w:rsid w:val="4AAA5011"/>
    <w:rsid w:val="4AB15D04"/>
    <w:rsid w:val="4AB3388C"/>
    <w:rsid w:val="4AB423CA"/>
    <w:rsid w:val="4AB8605C"/>
    <w:rsid w:val="4ABD0A17"/>
    <w:rsid w:val="4ABD57D0"/>
    <w:rsid w:val="4AC0918A"/>
    <w:rsid w:val="4AC14EE0"/>
    <w:rsid w:val="4AC17175"/>
    <w:rsid w:val="4AC4C699"/>
    <w:rsid w:val="4AC4E119"/>
    <w:rsid w:val="4AC54DE9"/>
    <w:rsid w:val="4AC6078E"/>
    <w:rsid w:val="4AC654E6"/>
    <w:rsid w:val="4AC9EC49"/>
    <w:rsid w:val="4ACB88D6"/>
    <w:rsid w:val="4AD2A174"/>
    <w:rsid w:val="4AD8F33D"/>
    <w:rsid w:val="4ADF59C6"/>
    <w:rsid w:val="4ADF736F"/>
    <w:rsid w:val="4AE595E6"/>
    <w:rsid w:val="4AE6BF39"/>
    <w:rsid w:val="4AF0459B"/>
    <w:rsid w:val="4AF1AEF7"/>
    <w:rsid w:val="4AF2FE52"/>
    <w:rsid w:val="4AF32033"/>
    <w:rsid w:val="4AF74E34"/>
    <w:rsid w:val="4AFB0516"/>
    <w:rsid w:val="4AFB5B6C"/>
    <w:rsid w:val="4AFD2895"/>
    <w:rsid w:val="4AFE94C8"/>
    <w:rsid w:val="4B0032BD"/>
    <w:rsid w:val="4B006334"/>
    <w:rsid w:val="4B088B09"/>
    <w:rsid w:val="4B0A43CF"/>
    <w:rsid w:val="4B105260"/>
    <w:rsid w:val="4B10695C"/>
    <w:rsid w:val="4B15DE1E"/>
    <w:rsid w:val="4B1E1453"/>
    <w:rsid w:val="4B1EAA76"/>
    <w:rsid w:val="4B22A401"/>
    <w:rsid w:val="4B2A11C1"/>
    <w:rsid w:val="4B2DEB0A"/>
    <w:rsid w:val="4B306143"/>
    <w:rsid w:val="4B31B078"/>
    <w:rsid w:val="4B33DF9A"/>
    <w:rsid w:val="4B356A1F"/>
    <w:rsid w:val="4B36EBE2"/>
    <w:rsid w:val="4B3859A1"/>
    <w:rsid w:val="4B39332E"/>
    <w:rsid w:val="4B3B1E6C"/>
    <w:rsid w:val="4B3F47EC"/>
    <w:rsid w:val="4B4666CF"/>
    <w:rsid w:val="4B497D57"/>
    <w:rsid w:val="4B4D0369"/>
    <w:rsid w:val="4B4F4FF2"/>
    <w:rsid w:val="4B511AFD"/>
    <w:rsid w:val="4B5620B9"/>
    <w:rsid w:val="4B57268B"/>
    <w:rsid w:val="4B5B2752"/>
    <w:rsid w:val="4B5E0F46"/>
    <w:rsid w:val="4B60ED06"/>
    <w:rsid w:val="4B613716"/>
    <w:rsid w:val="4B62EDC6"/>
    <w:rsid w:val="4B66574D"/>
    <w:rsid w:val="4B684B85"/>
    <w:rsid w:val="4B69CDCC"/>
    <w:rsid w:val="4B731894"/>
    <w:rsid w:val="4B7359B9"/>
    <w:rsid w:val="4B76ADAA"/>
    <w:rsid w:val="4B7AC878"/>
    <w:rsid w:val="4B7B4BEE"/>
    <w:rsid w:val="4B7CE6D3"/>
    <w:rsid w:val="4B7E8B5B"/>
    <w:rsid w:val="4B7F86D3"/>
    <w:rsid w:val="4B7FAB74"/>
    <w:rsid w:val="4B83EB3F"/>
    <w:rsid w:val="4B87693C"/>
    <w:rsid w:val="4B90CB68"/>
    <w:rsid w:val="4B94CE9D"/>
    <w:rsid w:val="4B954FEA"/>
    <w:rsid w:val="4B9826BE"/>
    <w:rsid w:val="4B9A0AFB"/>
    <w:rsid w:val="4B9F8600"/>
    <w:rsid w:val="4BA12BC1"/>
    <w:rsid w:val="4BA55E36"/>
    <w:rsid w:val="4BA5DC2F"/>
    <w:rsid w:val="4BA88B55"/>
    <w:rsid w:val="4BAA9431"/>
    <w:rsid w:val="4BADD530"/>
    <w:rsid w:val="4BB180B9"/>
    <w:rsid w:val="4BB44BBD"/>
    <w:rsid w:val="4BB469B4"/>
    <w:rsid w:val="4BB75322"/>
    <w:rsid w:val="4BBABE1E"/>
    <w:rsid w:val="4BBAD210"/>
    <w:rsid w:val="4BBAE75F"/>
    <w:rsid w:val="4BBBAEAC"/>
    <w:rsid w:val="4BBE9088"/>
    <w:rsid w:val="4BC30426"/>
    <w:rsid w:val="4BC323BD"/>
    <w:rsid w:val="4BC70191"/>
    <w:rsid w:val="4BC707D5"/>
    <w:rsid w:val="4BCAE8AE"/>
    <w:rsid w:val="4BCB2144"/>
    <w:rsid w:val="4BCB561B"/>
    <w:rsid w:val="4BD27929"/>
    <w:rsid w:val="4BD28D51"/>
    <w:rsid w:val="4BD3F9EA"/>
    <w:rsid w:val="4BD6595A"/>
    <w:rsid w:val="4BD86918"/>
    <w:rsid w:val="4BDC2817"/>
    <w:rsid w:val="4BDCB8D0"/>
    <w:rsid w:val="4BE02DC4"/>
    <w:rsid w:val="4BE0D5D0"/>
    <w:rsid w:val="4BEC2254"/>
    <w:rsid w:val="4BECCC83"/>
    <w:rsid w:val="4BEF1490"/>
    <w:rsid w:val="4BF4AFF1"/>
    <w:rsid w:val="4BF6B21E"/>
    <w:rsid w:val="4BFAF0D0"/>
    <w:rsid w:val="4BFE4E27"/>
    <w:rsid w:val="4BFF9126"/>
    <w:rsid w:val="4C05EFB9"/>
    <w:rsid w:val="4C0B65D8"/>
    <w:rsid w:val="4C0BD837"/>
    <w:rsid w:val="4C0C8CD7"/>
    <w:rsid w:val="4C0F6D13"/>
    <w:rsid w:val="4C12747D"/>
    <w:rsid w:val="4C147DE6"/>
    <w:rsid w:val="4C17BE24"/>
    <w:rsid w:val="4C197D4C"/>
    <w:rsid w:val="4C1A4148"/>
    <w:rsid w:val="4C249CBD"/>
    <w:rsid w:val="4C26E082"/>
    <w:rsid w:val="4C274BD6"/>
    <w:rsid w:val="4C2B2E63"/>
    <w:rsid w:val="4C2D3667"/>
    <w:rsid w:val="4C2DCF02"/>
    <w:rsid w:val="4C2E193A"/>
    <w:rsid w:val="4C325FCF"/>
    <w:rsid w:val="4C339703"/>
    <w:rsid w:val="4C36CCFD"/>
    <w:rsid w:val="4C3A2525"/>
    <w:rsid w:val="4C3BF26E"/>
    <w:rsid w:val="4C3C986F"/>
    <w:rsid w:val="4C3E5BB3"/>
    <w:rsid w:val="4C3EE487"/>
    <w:rsid w:val="4C428CF1"/>
    <w:rsid w:val="4C43B376"/>
    <w:rsid w:val="4C456A9A"/>
    <w:rsid w:val="4C45B6E7"/>
    <w:rsid w:val="4C4AE272"/>
    <w:rsid w:val="4C4DBA39"/>
    <w:rsid w:val="4C4F704E"/>
    <w:rsid w:val="4C52385C"/>
    <w:rsid w:val="4C594950"/>
    <w:rsid w:val="4C5EC969"/>
    <w:rsid w:val="4C5FF70E"/>
    <w:rsid w:val="4C604D0E"/>
    <w:rsid w:val="4C605CEA"/>
    <w:rsid w:val="4C607B58"/>
    <w:rsid w:val="4C622547"/>
    <w:rsid w:val="4C64EFA3"/>
    <w:rsid w:val="4C6839E1"/>
    <w:rsid w:val="4C6B0778"/>
    <w:rsid w:val="4C7089E3"/>
    <w:rsid w:val="4C7719FE"/>
    <w:rsid w:val="4C7AF2CC"/>
    <w:rsid w:val="4C848E26"/>
    <w:rsid w:val="4C84E443"/>
    <w:rsid w:val="4C879A1C"/>
    <w:rsid w:val="4C8EE6C8"/>
    <w:rsid w:val="4C916B0F"/>
    <w:rsid w:val="4C91A0B6"/>
    <w:rsid w:val="4C965E4A"/>
    <w:rsid w:val="4C96AEA0"/>
    <w:rsid w:val="4C96B9D0"/>
    <w:rsid w:val="4C984F89"/>
    <w:rsid w:val="4C989E8B"/>
    <w:rsid w:val="4C9A511A"/>
    <w:rsid w:val="4C9C2A79"/>
    <w:rsid w:val="4CA3FDAC"/>
    <w:rsid w:val="4CB08336"/>
    <w:rsid w:val="4CB8152B"/>
    <w:rsid w:val="4CB98CEE"/>
    <w:rsid w:val="4CBCE01F"/>
    <w:rsid w:val="4CBEABA1"/>
    <w:rsid w:val="4CC12904"/>
    <w:rsid w:val="4CC7B5B3"/>
    <w:rsid w:val="4CC905FF"/>
    <w:rsid w:val="4CCB8AA7"/>
    <w:rsid w:val="4CCD9B9B"/>
    <w:rsid w:val="4CCE824F"/>
    <w:rsid w:val="4CD103CC"/>
    <w:rsid w:val="4CD2D03D"/>
    <w:rsid w:val="4CD3E048"/>
    <w:rsid w:val="4CD4E52D"/>
    <w:rsid w:val="4CD65B2C"/>
    <w:rsid w:val="4CD7F8A5"/>
    <w:rsid w:val="4CDCB188"/>
    <w:rsid w:val="4CDD998E"/>
    <w:rsid w:val="4CE5E2DE"/>
    <w:rsid w:val="4CED2A91"/>
    <w:rsid w:val="4CF31F6B"/>
    <w:rsid w:val="4CF3A3A3"/>
    <w:rsid w:val="4CF59CEB"/>
    <w:rsid w:val="4CF80DC6"/>
    <w:rsid w:val="4CFC7A0E"/>
    <w:rsid w:val="4D02E599"/>
    <w:rsid w:val="4D039756"/>
    <w:rsid w:val="4D0A36D2"/>
    <w:rsid w:val="4D13B691"/>
    <w:rsid w:val="4D15F898"/>
    <w:rsid w:val="4D198BA6"/>
    <w:rsid w:val="4D22A58B"/>
    <w:rsid w:val="4D245731"/>
    <w:rsid w:val="4D2470CA"/>
    <w:rsid w:val="4D26E8A6"/>
    <w:rsid w:val="4D277442"/>
    <w:rsid w:val="4D2870BD"/>
    <w:rsid w:val="4D28C696"/>
    <w:rsid w:val="4D2F9F7A"/>
    <w:rsid w:val="4D306DBE"/>
    <w:rsid w:val="4D393730"/>
    <w:rsid w:val="4D398EE0"/>
    <w:rsid w:val="4D3FF479"/>
    <w:rsid w:val="4D40CC00"/>
    <w:rsid w:val="4D447BF7"/>
    <w:rsid w:val="4D461024"/>
    <w:rsid w:val="4D48F050"/>
    <w:rsid w:val="4D4C4793"/>
    <w:rsid w:val="4D4D3A9F"/>
    <w:rsid w:val="4D4E8124"/>
    <w:rsid w:val="4D4FB67E"/>
    <w:rsid w:val="4D515664"/>
    <w:rsid w:val="4D527AB9"/>
    <w:rsid w:val="4D5A2E85"/>
    <w:rsid w:val="4D5A4742"/>
    <w:rsid w:val="4D5BA84C"/>
    <w:rsid w:val="4D5D4311"/>
    <w:rsid w:val="4D61C623"/>
    <w:rsid w:val="4D62E9C1"/>
    <w:rsid w:val="4D643DC5"/>
    <w:rsid w:val="4D6A88DE"/>
    <w:rsid w:val="4D6B83AE"/>
    <w:rsid w:val="4D6E38CF"/>
    <w:rsid w:val="4D73517D"/>
    <w:rsid w:val="4D74D561"/>
    <w:rsid w:val="4D7536BA"/>
    <w:rsid w:val="4D755118"/>
    <w:rsid w:val="4D75EC97"/>
    <w:rsid w:val="4D77B8DB"/>
    <w:rsid w:val="4D7B5720"/>
    <w:rsid w:val="4D80715C"/>
    <w:rsid w:val="4D82A3C7"/>
    <w:rsid w:val="4D855E7E"/>
    <w:rsid w:val="4D855ECE"/>
    <w:rsid w:val="4D860B28"/>
    <w:rsid w:val="4D88CE8E"/>
    <w:rsid w:val="4D8961D0"/>
    <w:rsid w:val="4D8E6091"/>
    <w:rsid w:val="4D97129D"/>
    <w:rsid w:val="4DA023D1"/>
    <w:rsid w:val="4DA6DB9B"/>
    <w:rsid w:val="4DA85524"/>
    <w:rsid w:val="4DABC613"/>
    <w:rsid w:val="4DAF3174"/>
    <w:rsid w:val="4DB0D6F5"/>
    <w:rsid w:val="4DB10297"/>
    <w:rsid w:val="4DB69ED7"/>
    <w:rsid w:val="4DB72E9B"/>
    <w:rsid w:val="4DB8B83B"/>
    <w:rsid w:val="4DBCB736"/>
    <w:rsid w:val="4DBFF652"/>
    <w:rsid w:val="4DC01ACE"/>
    <w:rsid w:val="4DC0FC2E"/>
    <w:rsid w:val="4DC3B938"/>
    <w:rsid w:val="4DC7A40B"/>
    <w:rsid w:val="4DC89A99"/>
    <w:rsid w:val="4DC9B368"/>
    <w:rsid w:val="4DD0FE5D"/>
    <w:rsid w:val="4DD33CB4"/>
    <w:rsid w:val="4DD69112"/>
    <w:rsid w:val="4DD955A4"/>
    <w:rsid w:val="4DDAF77B"/>
    <w:rsid w:val="4DDCF802"/>
    <w:rsid w:val="4DDF31C6"/>
    <w:rsid w:val="4DE18748"/>
    <w:rsid w:val="4DEB477A"/>
    <w:rsid w:val="4DF32094"/>
    <w:rsid w:val="4DF5069B"/>
    <w:rsid w:val="4DF99BC3"/>
    <w:rsid w:val="4DFC4EA0"/>
    <w:rsid w:val="4DFC58BC"/>
    <w:rsid w:val="4DFCE3FA"/>
    <w:rsid w:val="4DFDAF66"/>
    <w:rsid w:val="4E011794"/>
    <w:rsid w:val="4E02CD29"/>
    <w:rsid w:val="4E043B2B"/>
    <w:rsid w:val="4E0AC184"/>
    <w:rsid w:val="4E12DE2F"/>
    <w:rsid w:val="4E14654D"/>
    <w:rsid w:val="4E167465"/>
    <w:rsid w:val="4E174028"/>
    <w:rsid w:val="4E1BCF95"/>
    <w:rsid w:val="4E1CEF0B"/>
    <w:rsid w:val="4E1FFC0E"/>
    <w:rsid w:val="4E21F57B"/>
    <w:rsid w:val="4E23CF24"/>
    <w:rsid w:val="4E28A583"/>
    <w:rsid w:val="4E2F6BCA"/>
    <w:rsid w:val="4E318258"/>
    <w:rsid w:val="4E328D63"/>
    <w:rsid w:val="4E34AF76"/>
    <w:rsid w:val="4E382019"/>
    <w:rsid w:val="4E383E74"/>
    <w:rsid w:val="4E3F05EA"/>
    <w:rsid w:val="4E416355"/>
    <w:rsid w:val="4E41CDA6"/>
    <w:rsid w:val="4E42038B"/>
    <w:rsid w:val="4E44932A"/>
    <w:rsid w:val="4E4872EA"/>
    <w:rsid w:val="4E49DBB1"/>
    <w:rsid w:val="4E4A248C"/>
    <w:rsid w:val="4E4E1C14"/>
    <w:rsid w:val="4E4E5819"/>
    <w:rsid w:val="4E53C21C"/>
    <w:rsid w:val="4E53E58C"/>
    <w:rsid w:val="4E555593"/>
    <w:rsid w:val="4E57C631"/>
    <w:rsid w:val="4E5B59EA"/>
    <w:rsid w:val="4E5C7E81"/>
    <w:rsid w:val="4E5E74E7"/>
    <w:rsid w:val="4E5ED8B1"/>
    <w:rsid w:val="4E5F3221"/>
    <w:rsid w:val="4E6079E4"/>
    <w:rsid w:val="4E6148C7"/>
    <w:rsid w:val="4E6F649A"/>
    <w:rsid w:val="4E6F9172"/>
    <w:rsid w:val="4E740CBA"/>
    <w:rsid w:val="4E74A537"/>
    <w:rsid w:val="4E75E36C"/>
    <w:rsid w:val="4E76122F"/>
    <w:rsid w:val="4E7A7DD9"/>
    <w:rsid w:val="4E7E9AE9"/>
    <w:rsid w:val="4E82453A"/>
    <w:rsid w:val="4E8693AA"/>
    <w:rsid w:val="4E88BC16"/>
    <w:rsid w:val="4E89D47D"/>
    <w:rsid w:val="4E8B4E9A"/>
    <w:rsid w:val="4E915037"/>
    <w:rsid w:val="4E924953"/>
    <w:rsid w:val="4E931A76"/>
    <w:rsid w:val="4E94656A"/>
    <w:rsid w:val="4E96B8FB"/>
    <w:rsid w:val="4E991CC7"/>
    <w:rsid w:val="4E9B27DD"/>
    <w:rsid w:val="4E9C9103"/>
    <w:rsid w:val="4E9DFB5E"/>
    <w:rsid w:val="4E9DFC69"/>
    <w:rsid w:val="4EA1B46D"/>
    <w:rsid w:val="4EA2B06D"/>
    <w:rsid w:val="4EA4C27C"/>
    <w:rsid w:val="4EA5533D"/>
    <w:rsid w:val="4EA906ED"/>
    <w:rsid w:val="4EAE0621"/>
    <w:rsid w:val="4EB1E2D7"/>
    <w:rsid w:val="4EB20E8E"/>
    <w:rsid w:val="4EB3CE91"/>
    <w:rsid w:val="4EB80557"/>
    <w:rsid w:val="4EBBC3A7"/>
    <w:rsid w:val="4EC158E4"/>
    <w:rsid w:val="4EC1D286"/>
    <w:rsid w:val="4EC4D8B2"/>
    <w:rsid w:val="4EC6E4EA"/>
    <w:rsid w:val="4EC974AC"/>
    <w:rsid w:val="4ECA48FB"/>
    <w:rsid w:val="4ECB1EDF"/>
    <w:rsid w:val="4EDBD5A2"/>
    <w:rsid w:val="4EDC0DF0"/>
    <w:rsid w:val="4EE4203A"/>
    <w:rsid w:val="4EE999A9"/>
    <w:rsid w:val="4EEF1C1E"/>
    <w:rsid w:val="4EF274B3"/>
    <w:rsid w:val="4EF3F2F3"/>
    <w:rsid w:val="4EF56A9F"/>
    <w:rsid w:val="4EF5A36D"/>
    <w:rsid w:val="4EF617A3"/>
    <w:rsid w:val="4EF8AD24"/>
    <w:rsid w:val="4EF9EA2F"/>
    <w:rsid w:val="4EFA4A88"/>
    <w:rsid w:val="4EFAD3E9"/>
    <w:rsid w:val="4EFC9B4C"/>
    <w:rsid w:val="4EFDECC4"/>
    <w:rsid w:val="4EFF801B"/>
    <w:rsid w:val="4F004B78"/>
    <w:rsid w:val="4F024B69"/>
    <w:rsid w:val="4F04CABB"/>
    <w:rsid w:val="4F099B11"/>
    <w:rsid w:val="4F0A00D5"/>
    <w:rsid w:val="4F0EFF03"/>
    <w:rsid w:val="4F11071B"/>
    <w:rsid w:val="4F1223D4"/>
    <w:rsid w:val="4F18B6B6"/>
    <w:rsid w:val="4F1A1D50"/>
    <w:rsid w:val="4F1AF3F5"/>
    <w:rsid w:val="4F1BB632"/>
    <w:rsid w:val="4F205E40"/>
    <w:rsid w:val="4F20820C"/>
    <w:rsid w:val="4F23655F"/>
    <w:rsid w:val="4F26E912"/>
    <w:rsid w:val="4F275924"/>
    <w:rsid w:val="4F312EE2"/>
    <w:rsid w:val="4F324D7E"/>
    <w:rsid w:val="4F32E4C0"/>
    <w:rsid w:val="4F343D54"/>
    <w:rsid w:val="4F35E3F7"/>
    <w:rsid w:val="4F37A214"/>
    <w:rsid w:val="4F39509A"/>
    <w:rsid w:val="4F42F92B"/>
    <w:rsid w:val="4F47F515"/>
    <w:rsid w:val="4F497648"/>
    <w:rsid w:val="4F4EA212"/>
    <w:rsid w:val="4F50E641"/>
    <w:rsid w:val="4F53A15D"/>
    <w:rsid w:val="4F55C3F2"/>
    <w:rsid w:val="4F5712C8"/>
    <w:rsid w:val="4F579D11"/>
    <w:rsid w:val="4F5E4960"/>
    <w:rsid w:val="4F614228"/>
    <w:rsid w:val="4F620281"/>
    <w:rsid w:val="4F648D10"/>
    <w:rsid w:val="4F6655B9"/>
    <w:rsid w:val="4F68A492"/>
    <w:rsid w:val="4F68F51E"/>
    <w:rsid w:val="4F6A9C69"/>
    <w:rsid w:val="4F6DC16C"/>
    <w:rsid w:val="4F77B430"/>
    <w:rsid w:val="4F790A11"/>
    <w:rsid w:val="4F7A1D0E"/>
    <w:rsid w:val="4F7C0C05"/>
    <w:rsid w:val="4F7FBABB"/>
    <w:rsid w:val="4F82E967"/>
    <w:rsid w:val="4F839290"/>
    <w:rsid w:val="4F83B277"/>
    <w:rsid w:val="4F866981"/>
    <w:rsid w:val="4F8DC8C6"/>
    <w:rsid w:val="4F8E14CD"/>
    <w:rsid w:val="4F926189"/>
    <w:rsid w:val="4F9418F4"/>
    <w:rsid w:val="4F9619F0"/>
    <w:rsid w:val="4F98B606"/>
    <w:rsid w:val="4F99C609"/>
    <w:rsid w:val="4F99D37C"/>
    <w:rsid w:val="4F9AB0B7"/>
    <w:rsid w:val="4F9BA62A"/>
    <w:rsid w:val="4F9BE57E"/>
    <w:rsid w:val="4F9CDA03"/>
    <w:rsid w:val="4F9D7C62"/>
    <w:rsid w:val="4FAA41E7"/>
    <w:rsid w:val="4FAF7EC5"/>
    <w:rsid w:val="4FB028DA"/>
    <w:rsid w:val="4FB02FFC"/>
    <w:rsid w:val="4FB0BCCB"/>
    <w:rsid w:val="4FB2905E"/>
    <w:rsid w:val="4FB4EC3D"/>
    <w:rsid w:val="4FB53560"/>
    <w:rsid w:val="4FB586B2"/>
    <w:rsid w:val="4FB772BC"/>
    <w:rsid w:val="4FBAE82E"/>
    <w:rsid w:val="4FBF5F20"/>
    <w:rsid w:val="4FC14D64"/>
    <w:rsid w:val="4FC5B3FB"/>
    <w:rsid w:val="4FCA05B7"/>
    <w:rsid w:val="4FCA950F"/>
    <w:rsid w:val="4FCABF57"/>
    <w:rsid w:val="4FCC64E0"/>
    <w:rsid w:val="4FCD2EB7"/>
    <w:rsid w:val="4FCDC7B7"/>
    <w:rsid w:val="4FD33A15"/>
    <w:rsid w:val="4FD5B582"/>
    <w:rsid w:val="4FD5EC59"/>
    <w:rsid w:val="4FDAC169"/>
    <w:rsid w:val="4FE5222F"/>
    <w:rsid w:val="4FE6C7E8"/>
    <w:rsid w:val="4FEF22B4"/>
    <w:rsid w:val="4FF18624"/>
    <w:rsid w:val="4FF4D1D3"/>
    <w:rsid w:val="4FF6A414"/>
    <w:rsid w:val="4FF8FD5F"/>
    <w:rsid w:val="4FFB4966"/>
    <w:rsid w:val="4FFB72E9"/>
    <w:rsid w:val="4FFF20C7"/>
    <w:rsid w:val="4FFF2858"/>
    <w:rsid w:val="5000422F"/>
    <w:rsid w:val="500052D6"/>
    <w:rsid w:val="5000B6F7"/>
    <w:rsid w:val="500183DC"/>
    <w:rsid w:val="50048F1E"/>
    <w:rsid w:val="50062456"/>
    <w:rsid w:val="5006CFB1"/>
    <w:rsid w:val="50075574"/>
    <w:rsid w:val="50088400"/>
    <w:rsid w:val="5008E819"/>
    <w:rsid w:val="500D6E72"/>
    <w:rsid w:val="5013A19C"/>
    <w:rsid w:val="501AC9E1"/>
    <w:rsid w:val="502124D4"/>
    <w:rsid w:val="5021CDBC"/>
    <w:rsid w:val="50256299"/>
    <w:rsid w:val="50271004"/>
    <w:rsid w:val="5027AFE4"/>
    <w:rsid w:val="502C196A"/>
    <w:rsid w:val="5035630E"/>
    <w:rsid w:val="50362440"/>
    <w:rsid w:val="503CE677"/>
    <w:rsid w:val="5040F5B4"/>
    <w:rsid w:val="504672FE"/>
    <w:rsid w:val="504D3F81"/>
    <w:rsid w:val="504E4F5B"/>
    <w:rsid w:val="504E560C"/>
    <w:rsid w:val="50552F19"/>
    <w:rsid w:val="5055ABB8"/>
    <w:rsid w:val="505893E2"/>
    <w:rsid w:val="505DA743"/>
    <w:rsid w:val="5061BA21"/>
    <w:rsid w:val="50661262"/>
    <w:rsid w:val="50663310"/>
    <w:rsid w:val="50669CC4"/>
    <w:rsid w:val="50693E91"/>
    <w:rsid w:val="506D6654"/>
    <w:rsid w:val="5071DA97"/>
    <w:rsid w:val="50779E03"/>
    <w:rsid w:val="5079C491"/>
    <w:rsid w:val="5079CB53"/>
    <w:rsid w:val="507A3CD8"/>
    <w:rsid w:val="507A9AB1"/>
    <w:rsid w:val="5080A9E2"/>
    <w:rsid w:val="50825C03"/>
    <w:rsid w:val="50833DC8"/>
    <w:rsid w:val="50841197"/>
    <w:rsid w:val="508833C2"/>
    <w:rsid w:val="508B0A5B"/>
    <w:rsid w:val="508E32AC"/>
    <w:rsid w:val="5094103F"/>
    <w:rsid w:val="5095CD74"/>
    <w:rsid w:val="50A0BBED"/>
    <w:rsid w:val="50A197C9"/>
    <w:rsid w:val="50A3813C"/>
    <w:rsid w:val="50A4EA28"/>
    <w:rsid w:val="50A73399"/>
    <w:rsid w:val="50A7A4D5"/>
    <w:rsid w:val="50A7A82D"/>
    <w:rsid w:val="50A8AD39"/>
    <w:rsid w:val="50A98FAA"/>
    <w:rsid w:val="50AAFABC"/>
    <w:rsid w:val="50ACD77C"/>
    <w:rsid w:val="50AF036E"/>
    <w:rsid w:val="50AF8B70"/>
    <w:rsid w:val="50B154C5"/>
    <w:rsid w:val="50B30EC1"/>
    <w:rsid w:val="50B3D7D1"/>
    <w:rsid w:val="50B528E0"/>
    <w:rsid w:val="50B7822E"/>
    <w:rsid w:val="50BB88DA"/>
    <w:rsid w:val="50BCBA97"/>
    <w:rsid w:val="50C537FB"/>
    <w:rsid w:val="50C6A655"/>
    <w:rsid w:val="50CAFA4F"/>
    <w:rsid w:val="50D42691"/>
    <w:rsid w:val="50D4EA24"/>
    <w:rsid w:val="50D8C271"/>
    <w:rsid w:val="50DB3A13"/>
    <w:rsid w:val="50DE7F8D"/>
    <w:rsid w:val="50E6343E"/>
    <w:rsid w:val="50E6483E"/>
    <w:rsid w:val="50E69D06"/>
    <w:rsid w:val="50E86470"/>
    <w:rsid w:val="50EC11D5"/>
    <w:rsid w:val="50ED864B"/>
    <w:rsid w:val="50EDFFEB"/>
    <w:rsid w:val="50F03CD3"/>
    <w:rsid w:val="50F0A06A"/>
    <w:rsid w:val="50F2BD79"/>
    <w:rsid w:val="50F2DC9B"/>
    <w:rsid w:val="50F70A4B"/>
    <w:rsid w:val="50FF753C"/>
    <w:rsid w:val="5103076A"/>
    <w:rsid w:val="51063662"/>
    <w:rsid w:val="510BEFEA"/>
    <w:rsid w:val="510D0FB0"/>
    <w:rsid w:val="51139216"/>
    <w:rsid w:val="511438B8"/>
    <w:rsid w:val="5115FA3D"/>
    <w:rsid w:val="5118CA21"/>
    <w:rsid w:val="511F659B"/>
    <w:rsid w:val="5120AB89"/>
    <w:rsid w:val="5121A9F6"/>
    <w:rsid w:val="5123EB16"/>
    <w:rsid w:val="5127893C"/>
    <w:rsid w:val="512A58FB"/>
    <w:rsid w:val="512BDDC1"/>
    <w:rsid w:val="512C089A"/>
    <w:rsid w:val="512C91E2"/>
    <w:rsid w:val="512FEDFD"/>
    <w:rsid w:val="513134EB"/>
    <w:rsid w:val="5133B968"/>
    <w:rsid w:val="51389CBA"/>
    <w:rsid w:val="513A3AB0"/>
    <w:rsid w:val="513B849A"/>
    <w:rsid w:val="513C2BC5"/>
    <w:rsid w:val="513F7015"/>
    <w:rsid w:val="5142783E"/>
    <w:rsid w:val="51427F6F"/>
    <w:rsid w:val="5145C06F"/>
    <w:rsid w:val="514AAA78"/>
    <w:rsid w:val="514D35FF"/>
    <w:rsid w:val="515066C5"/>
    <w:rsid w:val="5151B449"/>
    <w:rsid w:val="5152B062"/>
    <w:rsid w:val="51556883"/>
    <w:rsid w:val="51556E37"/>
    <w:rsid w:val="51571C7F"/>
    <w:rsid w:val="51592797"/>
    <w:rsid w:val="515E8937"/>
    <w:rsid w:val="515EE269"/>
    <w:rsid w:val="51624B22"/>
    <w:rsid w:val="5163D8FE"/>
    <w:rsid w:val="5165A948"/>
    <w:rsid w:val="5165ACD8"/>
    <w:rsid w:val="51668FB8"/>
    <w:rsid w:val="51687A3C"/>
    <w:rsid w:val="5168FBC7"/>
    <w:rsid w:val="516E91CB"/>
    <w:rsid w:val="516FA4B8"/>
    <w:rsid w:val="517204AC"/>
    <w:rsid w:val="517499BA"/>
    <w:rsid w:val="5175DC63"/>
    <w:rsid w:val="5178EB31"/>
    <w:rsid w:val="517955A4"/>
    <w:rsid w:val="517B153A"/>
    <w:rsid w:val="5185DDB2"/>
    <w:rsid w:val="51867D72"/>
    <w:rsid w:val="518A085C"/>
    <w:rsid w:val="518A970F"/>
    <w:rsid w:val="518C420A"/>
    <w:rsid w:val="518CCF40"/>
    <w:rsid w:val="51910CEF"/>
    <w:rsid w:val="5191E5A1"/>
    <w:rsid w:val="5193D79C"/>
    <w:rsid w:val="5194F127"/>
    <w:rsid w:val="5195CA5C"/>
    <w:rsid w:val="5196085F"/>
    <w:rsid w:val="51969D05"/>
    <w:rsid w:val="519D7A81"/>
    <w:rsid w:val="519F5C94"/>
    <w:rsid w:val="51A2124D"/>
    <w:rsid w:val="51A86AEE"/>
    <w:rsid w:val="51A9EFAD"/>
    <w:rsid w:val="51AC2F74"/>
    <w:rsid w:val="51B0F632"/>
    <w:rsid w:val="51B21728"/>
    <w:rsid w:val="51B324B7"/>
    <w:rsid w:val="51B54CB5"/>
    <w:rsid w:val="51B802B8"/>
    <w:rsid w:val="51BB4437"/>
    <w:rsid w:val="51C52B92"/>
    <w:rsid w:val="51C84313"/>
    <w:rsid w:val="51C9F320"/>
    <w:rsid w:val="51CB3D2E"/>
    <w:rsid w:val="51CBC9EF"/>
    <w:rsid w:val="51D07302"/>
    <w:rsid w:val="51D2C0C0"/>
    <w:rsid w:val="51D2C89F"/>
    <w:rsid w:val="51D66A24"/>
    <w:rsid w:val="51D67F18"/>
    <w:rsid w:val="51D693DD"/>
    <w:rsid w:val="51DA9C54"/>
    <w:rsid w:val="51DCEC3D"/>
    <w:rsid w:val="51DDC23D"/>
    <w:rsid w:val="51DFB03F"/>
    <w:rsid w:val="51E03A40"/>
    <w:rsid w:val="51E8B9FD"/>
    <w:rsid w:val="51EA15B1"/>
    <w:rsid w:val="51ECE88C"/>
    <w:rsid w:val="51ED423F"/>
    <w:rsid w:val="51EF32AA"/>
    <w:rsid w:val="51F17CF2"/>
    <w:rsid w:val="51F370E4"/>
    <w:rsid w:val="51FB2003"/>
    <w:rsid w:val="51FFA0E1"/>
    <w:rsid w:val="5200199F"/>
    <w:rsid w:val="520CDC2D"/>
    <w:rsid w:val="520CE846"/>
    <w:rsid w:val="520EE0BB"/>
    <w:rsid w:val="52128E17"/>
    <w:rsid w:val="52182803"/>
    <w:rsid w:val="521ABCF1"/>
    <w:rsid w:val="521F19D3"/>
    <w:rsid w:val="52236447"/>
    <w:rsid w:val="522577A9"/>
    <w:rsid w:val="5227BF28"/>
    <w:rsid w:val="522ACC94"/>
    <w:rsid w:val="522E20D5"/>
    <w:rsid w:val="5230656D"/>
    <w:rsid w:val="5234F7C7"/>
    <w:rsid w:val="523AE0B7"/>
    <w:rsid w:val="523BB7C5"/>
    <w:rsid w:val="523C1E3D"/>
    <w:rsid w:val="5243EAD3"/>
    <w:rsid w:val="5243F50D"/>
    <w:rsid w:val="5246D7CD"/>
    <w:rsid w:val="52485330"/>
    <w:rsid w:val="524A10C0"/>
    <w:rsid w:val="524A1F46"/>
    <w:rsid w:val="524F34C4"/>
    <w:rsid w:val="5251550B"/>
    <w:rsid w:val="525165B0"/>
    <w:rsid w:val="5251EB19"/>
    <w:rsid w:val="52555100"/>
    <w:rsid w:val="525590E2"/>
    <w:rsid w:val="5255B294"/>
    <w:rsid w:val="5255BFC7"/>
    <w:rsid w:val="52565E4D"/>
    <w:rsid w:val="52573023"/>
    <w:rsid w:val="525F47F2"/>
    <w:rsid w:val="52689E86"/>
    <w:rsid w:val="5269ABC6"/>
    <w:rsid w:val="526E0925"/>
    <w:rsid w:val="527548DC"/>
    <w:rsid w:val="5275DA08"/>
    <w:rsid w:val="52760F1E"/>
    <w:rsid w:val="527741D1"/>
    <w:rsid w:val="52797D5F"/>
    <w:rsid w:val="527A164A"/>
    <w:rsid w:val="527A3426"/>
    <w:rsid w:val="52801D40"/>
    <w:rsid w:val="5280C46C"/>
    <w:rsid w:val="5283BA1A"/>
    <w:rsid w:val="5286C730"/>
    <w:rsid w:val="52880D4E"/>
    <w:rsid w:val="528C5370"/>
    <w:rsid w:val="528D86B0"/>
    <w:rsid w:val="5292184F"/>
    <w:rsid w:val="5292F548"/>
    <w:rsid w:val="5292F612"/>
    <w:rsid w:val="52943892"/>
    <w:rsid w:val="529B4145"/>
    <w:rsid w:val="529F71E9"/>
    <w:rsid w:val="52A10A10"/>
    <w:rsid w:val="52A14981"/>
    <w:rsid w:val="52A1DD95"/>
    <w:rsid w:val="52AA2E24"/>
    <w:rsid w:val="52ABB345"/>
    <w:rsid w:val="52AD1086"/>
    <w:rsid w:val="52AF6180"/>
    <w:rsid w:val="52B01A1B"/>
    <w:rsid w:val="52B3DE0F"/>
    <w:rsid w:val="52B4026D"/>
    <w:rsid w:val="52B7D661"/>
    <w:rsid w:val="52B8365B"/>
    <w:rsid w:val="52BA214F"/>
    <w:rsid w:val="52BF35A1"/>
    <w:rsid w:val="52C17D23"/>
    <w:rsid w:val="52C1C23F"/>
    <w:rsid w:val="52C4923A"/>
    <w:rsid w:val="52C94DBE"/>
    <w:rsid w:val="52D30B32"/>
    <w:rsid w:val="52D30BE3"/>
    <w:rsid w:val="52D65ECC"/>
    <w:rsid w:val="52D77B2A"/>
    <w:rsid w:val="52D94F0F"/>
    <w:rsid w:val="52D9AD22"/>
    <w:rsid w:val="52E0057E"/>
    <w:rsid w:val="52E0E330"/>
    <w:rsid w:val="52E1F8F5"/>
    <w:rsid w:val="52EA9275"/>
    <w:rsid w:val="52EE91CB"/>
    <w:rsid w:val="52EEA484"/>
    <w:rsid w:val="52F204FC"/>
    <w:rsid w:val="52F82736"/>
    <w:rsid w:val="52FA3D31"/>
    <w:rsid w:val="52FD5129"/>
    <w:rsid w:val="52FE49C2"/>
    <w:rsid w:val="53063C69"/>
    <w:rsid w:val="53081F66"/>
    <w:rsid w:val="5308768E"/>
    <w:rsid w:val="530886B1"/>
    <w:rsid w:val="5308F66D"/>
    <w:rsid w:val="530C4F6E"/>
    <w:rsid w:val="53169B74"/>
    <w:rsid w:val="5316E38E"/>
    <w:rsid w:val="531C165D"/>
    <w:rsid w:val="531F7A37"/>
    <w:rsid w:val="53251483"/>
    <w:rsid w:val="5326DFA8"/>
    <w:rsid w:val="532ECA76"/>
    <w:rsid w:val="533429E8"/>
    <w:rsid w:val="5334B7C9"/>
    <w:rsid w:val="5336841C"/>
    <w:rsid w:val="533F01B1"/>
    <w:rsid w:val="534200A2"/>
    <w:rsid w:val="534578B1"/>
    <w:rsid w:val="534FEF54"/>
    <w:rsid w:val="534FFD46"/>
    <w:rsid w:val="53543209"/>
    <w:rsid w:val="535AA8C5"/>
    <w:rsid w:val="535C9944"/>
    <w:rsid w:val="535DDF46"/>
    <w:rsid w:val="53628670"/>
    <w:rsid w:val="5368FEC6"/>
    <w:rsid w:val="536EA9AF"/>
    <w:rsid w:val="536F22D8"/>
    <w:rsid w:val="536F7097"/>
    <w:rsid w:val="536FE2EA"/>
    <w:rsid w:val="5370876C"/>
    <w:rsid w:val="5373D44C"/>
    <w:rsid w:val="5376FA37"/>
    <w:rsid w:val="53788FDF"/>
    <w:rsid w:val="537B7BB0"/>
    <w:rsid w:val="537E0014"/>
    <w:rsid w:val="537EB6DF"/>
    <w:rsid w:val="537EFE9D"/>
    <w:rsid w:val="5384E3EF"/>
    <w:rsid w:val="53887D86"/>
    <w:rsid w:val="53899550"/>
    <w:rsid w:val="538A8018"/>
    <w:rsid w:val="538AA153"/>
    <w:rsid w:val="538EF8B6"/>
    <w:rsid w:val="538FF3B8"/>
    <w:rsid w:val="5395074E"/>
    <w:rsid w:val="53958605"/>
    <w:rsid w:val="5397742B"/>
    <w:rsid w:val="539E86A8"/>
    <w:rsid w:val="53A06FC8"/>
    <w:rsid w:val="53A421E5"/>
    <w:rsid w:val="53A53DB7"/>
    <w:rsid w:val="53A58150"/>
    <w:rsid w:val="53AD3A20"/>
    <w:rsid w:val="53B1E61E"/>
    <w:rsid w:val="53B2012E"/>
    <w:rsid w:val="53B6195E"/>
    <w:rsid w:val="53B8A44B"/>
    <w:rsid w:val="53BEA835"/>
    <w:rsid w:val="53C11A2B"/>
    <w:rsid w:val="53C14C14"/>
    <w:rsid w:val="53C69CE0"/>
    <w:rsid w:val="53C77E8C"/>
    <w:rsid w:val="53C8316F"/>
    <w:rsid w:val="53CD5476"/>
    <w:rsid w:val="53CD5D49"/>
    <w:rsid w:val="53CDBCBB"/>
    <w:rsid w:val="53CFFBE3"/>
    <w:rsid w:val="53D110D1"/>
    <w:rsid w:val="53D28086"/>
    <w:rsid w:val="53D2F76A"/>
    <w:rsid w:val="53D71074"/>
    <w:rsid w:val="53D9A465"/>
    <w:rsid w:val="53DD747E"/>
    <w:rsid w:val="53DDD851"/>
    <w:rsid w:val="53E28608"/>
    <w:rsid w:val="53E6A67A"/>
    <w:rsid w:val="53E8460D"/>
    <w:rsid w:val="53EEA6CD"/>
    <w:rsid w:val="53F080D2"/>
    <w:rsid w:val="53F48387"/>
    <w:rsid w:val="53F5C124"/>
    <w:rsid w:val="53F6454B"/>
    <w:rsid w:val="53FA146B"/>
    <w:rsid w:val="54007105"/>
    <w:rsid w:val="5401DE3D"/>
    <w:rsid w:val="540208BF"/>
    <w:rsid w:val="5408266A"/>
    <w:rsid w:val="540A01DB"/>
    <w:rsid w:val="540FFD81"/>
    <w:rsid w:val="54116D0C"/>
    <w:rsid w:val="5412F67C"/>
    <w:rsid w:val="5415CBE7"/>
    <w:rsid w:val="5418F9BA"/>
    <w:rsid w:val="54190361"/>
    <w:rsid w:val="541B6C51"/>
    <w:rsid w:val="541F0D4F"/>
    <w:rsid w:val="541FE8E5"/>
    <w:rsid w:val="5426FCBB"/>
    <w:rsid w:val="542BF9FD"/>
    <w:rsid w:val="5436D6A0"/>
    <w:rsid w:val="5437BD15"/>
    <w:rsid w:val="543858AA"/>
    <w:rsid w:val="5438EE88"/>
    <w:rsid w:val="54446BFE"/>
    <w:rsid w:val="54456BA9"/>
    <w:rsid w:val="544E02DC"/>
    <w:rsid w:val="5450DBC2"/>
    <w:rsid w:val="545B62DB"/>
    <w:rsid w:val="545C4D2F"/>
    <w:rsid w:val="545F89E9"/>
    <w:rsid w:val="5460B214"/>
    <w:rsid w:val="5461392D"/>
    <w:rsid w:val="5463940E"/>
    <w:rsid w:val="546457BA"/>
    <w:rsid w:val="5465219F"/>
    <w:rsid w:val="54697904"/>
    <w:rsid w:val="546A441B"/>
    <w:rsid w:val="546CC374"/>
    <w:rsid w:val="546E5D43"/>
    <w:rsid w:val="54757D83"/>
    <w:rsid w:val="5478AE4A"/>
    <w:rsid w:val="547A2DC3"/>
    <w:rsid w:val="547B3454"/>
    <w:rsid w:val="547CE25D"/>
    <w:rsid w:val="547F7321"/>
    <w:rsid w:val="54806024"/>
    <w:rsid w:val="54828268"/>
    <w:rsid w:val="5487F1F3"/>
    <w:rsid w:val="5488B177"/>
    <w:rsid w:val="548C9A52"/>
    <w:rsid w:val="5490EC54"/>
    <w:rsid w:val="5492F1FC"/>
    <w:rsid w:val="54995ACE"/>
    <w:rsid w:val="549BEAE6"/>
    <w:rsid w:val="549DA457"/>
    <w:rsid w:val="54A3EECC"/>
    <w:rsid w:val="54A80B4C"/>
    <w:rsid w:val="54A82334"/>
    <w:rsid w:val="54A880C1"/>
    <w:rsid w:val="54AAF7B3"/>
    <w:rsid w:val="54AB3516"/>
    <w:rsid w:val="54B813B9"/>
    <w:rsid w:val="54BC6EE1"/>
    <w:rsid w:val="54C0D2BE"/>
    <w:rsid w:val="54C1EC03"/>
    <w:rsid w:val="54C2ADE6"/>
    <w:rsid w:val="54C348FB"/>
    <w:rsid w:val="54C5E5A4"/>
    <w:rsid w:val="54C6135A"/>
    <w:rsid w:val="54CD3097"/>
    <w:rsid w:val="54CE1A35"/>
    <w:rsid w:val="54CED684"/>
    <w:rsid w:val="54CF4CD9"/>
    <w:rsid w:val="54D3AB1A"/>
    <w:rsid w:val="54D3D361"/>
    <w:rsid w:val="54D8C76B"/>
    <w:rsid w:val="54DE485E"/>
    <w:rsid w:val="54DEBAA2"/>
    <w:rsid w:val="54DF6AC0"/>
    <w:rsid w:val="54E2F5AD"/>
    <w:rsid w:val="54E53368"/>
    <w:rsid w:val="54EBADCA"/>
    <w:rsid w:val="54EC10E7"/>
    <w:rsid w:val="54ED6DEA"/>
    <w:rsid w:val="54EE8223"/>
    <w:rsid w:val="54F1269E"/>
    <w:rsid w:val="54F1C6E7"/>
    <w:rsid w:val="54FBD1B5"/>
    <w:rsid w:val="550343C6"/>
    <w:rsid w:val="55037760"/>
    <w:rsid w:val="55042DF6"/>
    <w:rsid w:val="5506CC3B"/>
    <w:rsid w:val="550A0105"/>
    <w:rsid w:val="550E905B"/>
    <w:rsid w:val="550FCB68"/>
    <w:rsid w:val="55122C3A"/>
    <w:rsid w:val="55128071"/>
    <w:rsid w:val="551491D6"/>
    <w:rsid w:val="5515BB2C"/>
    <w:rsid w:val="5515F294"/>
    <w:rsid w:val="5520B450"/>
    <w:rsid w:val="55280774"/>
    <w:rsid w:val="552927CD"/>
    <w:rsid w:val="552E3B8B"/>
    <w:rsid w:val="553400BA"/>
    <w:rsid w:val="55370592"/>
    <w:rsid w:val="5537E77E"/>
    <w:rsid w:val="55389375"/>
    <w:rsid w:val="553B44EB"/>
    <w:rsid w:val="553CA798"/>
    <w:rsid w:val="553F5C24"/>
    <w:rsid w:val="5540F181"/>
    <w:rsid w:val="5543F0DF"/>
    <w:rsid w:val="55448BBF"/>
    <w:rsid w:val="554DF7E4"/>
    <w:rsid w:val="554F3666"/>
    <w:rsid w:val="55546C6C"/>
    <w:rsid w:val="5557C8B1"/>
    <w:rsid w:val="555864A2"/>
    <w:rsid w:val="555A10C1"/>
    <w:rsid w:val="555BA4E5"/>
    <w:rsid w:val="555C9791"/>
    <w:rsid w:val="55607495"/>
    <w:rsid w:val="5560E3C7"/>
    <w:rsid w:val="55655927"/>
    <w:rsid w:val="5566CE39"/>
    <w:rsid w:val="55679A8A"/>
    <w:rsid w:val="556DFE9A"/>
    <w:rsid w:val="5573287E"/>
    <w:rsid w:val="5575E8A5"/>
    <w:rsid w:val="55761EA4"/>
    <w:rsid w:val="557F031E"/>
    <w:rsid w:val="557F5E13"/>
    <w:rsid w:val="5580919B"/>
    <w:rsid w:val="5580C923"/>
    <w:rsid w:val="558B7FE2"/>
    <w:rsid w:val="558CAD59"/>
    <w:rsid w:val="558EF2F7"/>
    <w:rsid w:val="558F5A69"/>
    <w:rsid w:val="5595DF45"/>
    <w:rsid w:val="55967D63"/>
    <w:rsid w:val="5596981D"/>
    <w:rsid w:val="559C490D"/>
    <w:rsid w:val="559D28C2"/>
    <w:rsid w:val="559E7143"/>
    <w:rsid w:val="559F1754"/>
    <w:rsid w:val="55A18BE9"/>
    <w:rsid w:val="55B05C3C"/>
    <w:rsid w:val="55B2E3CD"/>
    <w:rsid w:val="55B3C3DF"/>
    <w:rsid w:val="55B5519A"/>
    <w:rsid w:val="55B56FFC"/>
    <w:rsid w:val="55BC31E9"/>
    <w:rsid w:val="55BC930F"/>
    <w:rsid w:val="55BD326A"/>
    <w:rsid w:val="55BE2A42"/>
    <w:rsid w:val="55BF04FF"/>
    <w:rsid w:val="55BF7FD1"/>
    <w:rsid w:val="55C17FD5"/>
    <w:rsid w:val="55CB4DD4"/>
    <w:rsid w:val="55CE6372"/>
    <w:rsid w:val="55CEB211"/>
    <w:rsid w:val="55D06C5F"/>
    <w:rsid w:val="55D1E3B7"/>
    <w:rsid w:val="55D6E9D6"/>
    <w:rsid w:val="55D86DE7"/>
    <w:rsid w:val="55DE026D"/>
    <w:rsid w:val="55E524FF"/>
    <w:rsid w:val="55E54046"/>
    <w:rsid w:val="55E70339"/>
    <w:rsid w:val="55E901DB"/>
    <w:rsid w:val="55EBCBA9"/>
    <w:rsid w:val="55EE8A2F"/>
    <w:rsid w:val="55F042AE"/>
    <w:rsid w:val="55F0BC0F"/>
    <w:rsid w:val="55F9711D"/>
    <w:rsid w:val="55FD2926"/>
    <w:rsid w:val="55FD6D94"/>
    <w:rsid w:val="55FF78AA"/>
    <w:rsid w:val="560675FF"/>
    <w:rsid w:val="5606D954"/>
    <w:rsid w:val="56092DA7"/>
    <w:rsid w:val="56102C4B"/>
    <w:rsid w:val="5611956F"/>
    <w:rsid w:val="5611AECA"/>
    <w:rsid w:val="5611E2BC"/>
    <w:rsid w:val="561298A1"/>
    <w:rsid w:val="5612C8B1"/>
    <w:rsid w:val="5614A22A"/>
    <w:rsid w:val="5614B873"/>
    <w:rsid w:val="5616EDB9"/>
    <w:rsid w:val="561CE708"/>
    <w:rsid w:val="56201809"/>
    <w:rsid w:val="562DC427"/>
    <w:rsid w:val="56329E9E"/>
    <w:rsid w:val="563765C1"/>
    <w:rsid w:val="563A00DB"/>
    <w:rsid w:val="563A8FB2"/>
    <w:rsid w:val="563B6547"/>
    <w:rsid w:val="56461DBF"/>
    <w:rsid w:val="56461EA9"/>
    <w:rsid w:val="56495E20"/>
    <w:rsid w:val="564A7545"/>
    <w:rsid w:val="564E471F"/>
    <w:rsid w:val="56511D67"/>
    <w:rsid w:val="56519837"/>
    <w:rsid w:val="565AAAEA"/>
    <w:rsid w:val="56647619"/>
    <w:rsid w:val="566BE2B6"/>
    <w:rsid w:val="566BF3E8"/>
    <w:rsid w:val="5677E89D"/>
    <w:rsid w:val="567AD810"/>
    <w:rsid w:val="567C3075"/>
    <w:rsid w:val="567F00DD"/>
    <w:rsid w:val="567F4BA9"/>
    <w:rsid w:val="5680BD42"/>
    <w:rsid w:val="56826F8C"/>
    <w:rsid w:val="56843E02"/>
    <w:rsid w:val="56869074"/>
    <w:rsid w:val="568CD2BD"/>
    <w:rsid w:val="568D4576"/>
    <w:rsid w:val="568E0E7F"/>
    <w:rsid w:val="5694CF0E"/>
    <w:rsid w:val="569A433A"/>
    <w:rsid w:val="569DC14E"/>
    <w:rsid w:val="569E576D"/>
    <w:rsid w:val="56A1103F"/>
    <w:rsid w:val="56A1A765"/>
    <w:rsid w:val="56A2FEBA"/>
    <w:rsid w:val="56A347F0"/>
    <w:rsid w:val="56A456D2"/>
    <w:rsid w:val="56A56D1B"/>
    <w:rsid w:val="56A60BD1"/>
    <w:rsid w:val="56A73152"/>
    <w:rsid w:val="56A7F4C1"/>
    <w:rsid w:val="56AAD6A8"/>
    <w:rsid w:val="56B33CF9"/>
    <w:rsid w:val="56B51AD9"/>
    <w:rsid w:val="56B5C3B2"/>
    <w:rsid w:val="56B9479F"/>
    <w:rsid w:val="56BAC1E4"/>
    <w:rsid w:val="56BAD2A5"/>
    <w:rsid w:val="56BE9652"/>
    <w:rsid w:val="56CA2700"/>
    <w:rsid w:val="56D27B46"/>
    <w:rsid w:val="56D7A9F2"/>
    <w:rsid w:val="56E0BCD7"/>
    <w:rsid w:val="56E2E8B9"/>
    <w:rsid w:val="56E97F5E"/>
    <w:rsid w:val="56EB7D7A"/>
    <w:rsid w:val="56EC9FE5"/>
    <w:rsid w:val="56EECF43"/>
    <w:rsid w:val="56EF6466"/>
    <w:rsid w:val="56F055F8"/>
    <w:rsid w:val="56F275A5"/>
    <w:rsid w:val="56F4D5EF"/>
    <w:rsid w:val="56F5991C"/>
    <w:rsid w:val="56F95FDC"/>
    <w:rsid w:val="56F98EE6"/>
    <w:rsid w:val="56FB620A"/>
    <w:rsid w:val="56FD4EF3"/>
    <w:rsid w:val="5700FD4B"/>
    <w:rsid w:val="57012988"/>
    <w:rsid w:val="5705CF8C"/>
    <w:rsid w:val="5709183F"/>
    <w:rsid w:val="570B727C"/>
    <w:rsid w:val="5714735B"/>
    <w:rsid w:val="571493A1"/>
    <w:rsid w:val="571F483D"/>
    <w:rsid w:val="5722BB65"/>
    <w:rsid w:val="5726A00B"/>
    <w:rsid w:val="5726AF76"/>
    <w:rsid w:val="57282853"/>
    <w:rsid w:val="572B5AD0"/>
    <w:rsid w:val="572B969B"/>
    <w:rsid w:val="572DDDBA"/>
    <w:rsid w:val="572DE058"/>
    <w:rsid w:val="572E1EAE"/>
    <w:rsid w:val="5730CA9B"/>
    <w:rsid w:val="57320D7F"/>
    <w:rsid w:val="57330006"/>
    <w:rsid w:val="57341BC0"/>
    <w:rsid w:val="5734AE4D"/>
    <w:rsid w:val="57387740"/>
    <w:rsid w:val="573A10BF"/>
    <w:rsid w:val="573B9C10"/>
    <w:rsid w:val="5740D097"/>
    <w:rsid w:val="574388F7"/>
    <w:rsid w:val="574C63A1"/>
    <w:rsid w:val="574D0CA7"/>
    <w:rsid w:val="574F800F"/>
    <w:rsid w:val="575461AC"/>
    <w:rsid w:val="57578716"/>
    <w:rsid w:val="575799A9"/>
    <w:rsid w:val="5757D5BC"/>
    <w:rsid w:val="57590E60"/>
    <w:rsid w:val="575A232D"/>
    <w:rsid w:val="575A3DE8"/>
    <w:rsid w:val="575C6289"/>
    <w:rsid w:val="575FDEAC"/>
    <w:rsid w:val="576193DA"/>
    <w:rsid w:val="5764D940"/>
    <w:rsid w:val="57656EA3"/>
    <w:rsid w:val="5766191F"/>
    <w:rsid w:val="57680329"/>
    <w:rsid w:val="57690D01"/>
    <w:rsid w:val="57700904"/>
    <w:rsid w:val="577222CB"/>
    <w:rsid w:val="57789C3A"/>
    <w:rsid w:val="5779982F"/>
    <w:rsid w:val="577A5101"/>
    <w:rsid w:val="577A6AB4"/>
    <w:rsid w:val="577DCBE6"/>
    <w:rsid w:val="577E74A1"/>
    <w:rsid w:val="57843017"/>
    <w:rsid w:val="5786B7C0"/>
    <w:rsid w:val="57882785"/>
    <w:rsid w:val="578EF3A5"/>
    <w:rsid w:val="57914D9A"/>
    <w:rsid w:val="57987C69"/>
    <w:rsid w:val="5799331A"/>
    <w:rsid w:val="579E6C07"/>
    <w:rsid w:val="57A0E557"/>
    <w:rsid w:val="57A682AC"/>
    <w:rsid w:val="57AD1574"/>
    <w:rsid w:val="57B1EF63"/>
    <w:rsid w:val="57C13E89"/>
    <w:rsid w:val="57C1534A"/>
    <w:rsid w:val="57C54C9A"/>
    <w:rsid w:val="57C61357"/>
    <w:rsid w:val="57C959C4"/>
    <w:rsid w:val="57CAD0AE"/>
    <w:rsid w:val="57CC9244"/>
    <w:rsid w:val="57D0A152"/>
    <w:rsid w:val="57D10B59"/>
    <w:rsid w:val="57D2CD49"/>
    <w:rsid w:val="57D589E1"/>
    <w:rsid w:val="57D5D13C"/>
    <w:rsid w:val="57D837D2"/>
    <w:rsid w:val="57DB2884"/>
    <w:rsid w:val="57E2C9C2"/>
    <w:rsid w:val="57E4544C"/>
    <w:rsid w:val="57E5611C"/>
    <w:rsid w:val="57E7CDA7"/>
    <w:rsid w:val="57E81A9C"/>
    <w:rsid w:val="57E8C662"/>
    <w:rsid w:val="57E98709"/>
    <w:rsid w:val="57EB1E58"/>
    <w:rsid w:val="57EC2E7C"/>
    <w:rsid w:val="57ED9556"/>
    <w:rsid w:val="57EE05C9"/>
    <w:rsid w:val="57F2B975"/>
    <w:rsid w:val="57F80CC1"/>
    <w:rsid w:val="57FE0571"/>
    <w:rsid w:val="58010E57"/>
    <w:rsid w:val="58024AEB"/>
    <w:rsid w:val="58034646"/>
    <w:rsid w:val="5803E184"/>
    <w:rsid w:val="58094755"/>
    <w:rsid w:val="580A61C0"/>
    <w:rsid w:val="580CA4EB"/>
    <w:rsid w:val="58109F6B"/>
    <w:rsid w:val="58112897"/>
    <w:rsid w:val="5814617D"/>
    <w:rsid w:val="5814654E"/>
    <w:rsid w:val="58152AE2"/>
    <w:rsid w:val="5817D0E7"/>
    <w:rsid w:val="581B734F"/>
    <w:rsid w:val="581BE2F2"/>
    <w:rsid w:val="581C5B3C"/>
    <w:rsid w:val="5822218E"/>
    <w:rsid w:val="58311D6F"/>
    <w:rsid w:val="58319E7A"/>
    <w:rsid w:val="583BC22C"/>
    <w:rsid w:val="583E5DDF"/>
    <w:rsid w:val="5841B434"/>
    <w:rsid w:val="584301B3"/>
    <w:rsid w:val="58438F28"/>
    <w:rsid w:val="58453B4F"/>
    <w:rsid w:val="58477516"/>
    <w:rsid w:val="5847A6EC"/>
    <w:rsid w:val="584FC9AE"/>
    <w:rsid w:val="58521410"/>
    <w:rsid w:val="5852E74F"/>
    <w:rsid w:val="58533C03"/>
    <w:rsid w:val="58546518"/>
    <w:rsid w:val="5857978B"/>
    <w:rsid w:val="585A7AAE"/>
    <w:rsid w:val="585FA90C"/>
    <w:rsid w:val="5861C372"/>
    <w:rsid w:val="58628020"/>
    <w:rsid w:val="58630F88"/>
    <w:rsid w:val="586364DB"/>
    <w:rsid w:val="5865F761"/>
    <w:rsid w:val="5867B179"/>
    <w:rsid w:val="58683FDD"/>
    <w:rsid w:val="5868DDC3"/>
    <w:rsid w:val="586C38E4"/>
    <w:rsid w:val="586D9E36"/>
    <w:rsid w:val="586FC779"/>
    <w:rsid w:val="58717507"/>
    <w:rsid w:val="58755A54"/>
    <w:rsid w:val="587D379B"/>
    <w:rsid w:val="587ED599"/>
    <w:rsid w:val="58847EEC"/>
    <w:rsid w:val="58961798"/>
    <w:rsid w:val="58965654"/>
    <w:rsid w:val="5896CAFB"/>
    <w:rsid w:val="589BA597"/>
    <w:rsid w:val="589CF9E9"/>
    <w:rsid w:val="589D0804"/>
    <w:rsid w:val="58A5E048"/>
    <w:rsid w:val="58A73296"/>
    <w:rsid w:val="58A95158"/>
    <w:rsid w:val="58B0633C"/>
    <w:rsid w:val="58B1E6B6"/>
    <w:rsid w:val="58B23978"/>
    <w:rsid w:val="58B4D886"/>
    <w:rsid w:val="58BABB44"/>
    <w:rsid w:val="58C71FE5"/>
    <w:rsid w:val="58C7709A"/>
    <w:rsid w:val="58C94B9C"/>
    <w:rsid w:val="58CC937C"/>
    <w:rsid w:val="58CE4DAF"/>
    <w:rsid w:val="58CE65F8"/>
    <w:rsid w:val="58CF3117"/>
    <w:rsid w:val="58DF5958"/>
    <w:rsid w:val="58E2486A"/>
    <w:rsid w:val="58E35283"/>
    <w:rsid w:val="58E4C063"/>
    <w:rsid w:val="58EBDE69"/>
    <w:rsid w:val="58ED39C6"/>
    <w:rsid w:val="58F6F834"/>
    <w:rsid w:val="59039AA5"/>
    <w:rsid w:val="5905627B"/>
    <w:rsid w:val="59083C3C"/>
    <w:rsid w:val="590A5328"/>
    <w:rsid w:val="590B649F"/>
    <w:rsid w:val="590E2CCC"/>
    <w:rsid w:val="590ED4B5"/>
    <w:rsid w:val="590F4BDF"/>
    <w:rsid w:val="590F6E79"/>
    <w:rsid w:val="5910243A"/>
    <w:rsid w:val="59112CFB"/>
    <w:rsid w:val="5915595D"/>
    <w:rsid w:val="591A12A5"/>
    <w:rsid w:val="591A679F"/>
    <w:rsid w:val="591AE03E"/>
    <w:rsid w:val="591B231A"/>
    <w:rsid w:val="591FFC5A"/>
    <w:rsid w:val="5921AA20"/>
    <w:rsid w:val="5923479F"/>
    <w:rsid w:val="5923F1D8"/>
    <w:rsid w:val="5925F725"/>
    <w:rsid w:val="59292C43"/>
    <w:rsid w:val="592B41E3"/>
    <w:rsid w:val="59304DDC"/>
    <w:rsid w:val="59307827"/>
    <w:rsid w:val="5935B061"/>
    <w:rsid w:val="593789F6"/>
    <w:rsid w:val="5937A33D"/>
    <w:rsid w:val="593D4BCF"/>
    <w:rsid w:val="593F091A"/>
    <w:rsid w:val="5941697A"/>
    <w:rsid w:val="59423A0E"/>
    <w:rsid w:val="5943FCDC"/>
    <w:rsid w:val="594505F0"/>
    <w:rsid w:val="59464D39"/>
    <w:rsid w:val="59473DE3"/>
    <w:rsid w:val="59483450"/>
    <w:rsid w:val="594D13C8"/>
    <w:rsid w:val="594DA88B"/>
    <w:rsid w:val="59548A24"/>
    <w:rsid w:val="59559E83"/>
    <w:rsid w:val="595AC9CE"/>
    <w:rsid w:val="59614A3D"/>
    <w:rsid w:val="5962E226"/>
    <w:rsid w:val="5963855E"/>
    <w:rsid w:val="5964B3AF"/>
    <w:rsid w:val="59663633"/>
    <w:rsid w:val="59666BA0"/>
    <w:rsid w:val="5968C65F"/>
    <w:rsid w:val="5969F3CE"/>
    <w:rsid w:val="596F7536"/>
    <w:rsid w:val="59704DA4"/>
    <w:rsid w:val="597098F4"/>
    <w:rsid w:val="5971D3A2"/>
    <w:rsid w:val="5973FDFC"/>
    <w:rsid w:val="59749574"/>
    <w:rsid w:val="59756648"/>
    <w:rsid w:val="597B5494"/>
    <w:rsid w:val="597B5EA2"/>
    <w:rsid w:val="597D7F9F"/>
    <w:rsid w:val="597DE3F6"/>
    <w:rsid w:val="597E237C"/>
    <w:rsid w:val="597E2647"/>
    <w:rsid w:val="597E9A23"/>
    <w:rsid w:val="597F2F1C"/>
    <w:rsid w:val="598747A1"/>
    <w:rsid w:val="598752B1"/>
    <w:rsid w:val="59875FAD"/>
    <w:rsid w:val="598AE0D4"/>
    <w:rsid w:val="598F544C"/>
    <w:rsid w:val="59941BA9"/>
    <w:rsid w:val="5995AE68"/>
    <w:rsid w:val="599885C7"/>
    <w:rsid w:val="599D3ADB"/>
    <w:rsid w:val="59A70B28"/>
    <w:rsid w:val="59A7AFD6"/>
    <w:rsid w:val="59AA3D52"/>
    <w:rsid w:val="59AE9F51"/>
    <w:rsid w:val="59AF65FB"/>
    <w:rsid w:val="59AF9CB5"/>
    <w:rsid w:val="59B3E994"/>
    <w:rsid w:val="59B85D73"/>
    <w:rsid w:val="59BBEA08"/>
    <w:rsid w:val="59C08C7F"/>
    <w:rsid w:val="59C6B84F"/>
    <w:rsid w:val="59C72160"/>
    <w:rsid w:val="59C90C65"/>
    <w:rsid w:val="59C946D9"/>
    <w:rsid w:val="59CC761E"/>
    <w:rsid w:val="59CC85B4"/>
    <w:rsid w:val="59CEDB2E"/>
    <w:rsid w:val="59D1BF22"/>
    <w:rsid w:val="59D2B857"/>
    <w:rsid w:val="59D5705A"/>
    <w:rsid w:val="59D70265"/>
    <w:rsid w:val="59D71E9A"/>
    <w:rsid w:val="59D7EC74"/>
    <w:rsid w:val="59DC1A2A"/>
    <w:rsid w:val="59E0E7AD"/>
    <w:rsid w:val="59E59F60"/>
    <w:rsid w:val="59E6A7D0"/>
    <w:rsid w:val="59EA044A"/>
    <w:rsid w:val="59ED71C5"/>
    <w:rsid w:val="59EEC44D"/>
    <w:rsid w:val="59EEDC12"/>
    <w:rsid w:val="59EFD9F3"/>
    <w:rsid w:val="59F9D4CC"/>
    <w:rsid w:val="59F9F8A4"/>
    <w:rsid w:val="59FA0FAF"/>
    <w:rsid w:val="59FC3338"/>
    <w:rsid w:val="5A01376D"/>
    <w:rsid w:val="5A033930"/>
    <w:rsid w:val="5A03420A"/>
    <w:rsid w:val="5A0483B8"/>
    <w:rsid w:val="5A099791"/>
    <w:rsid w:val="5A0BC18B"/>
    <w:rsid w:val="5A19FE66"/>
    <w:rsid w:val="5A1BEBA8"/>
    <w:rsid w:val="5A1DD4C2"/>
    <w:rsid w:val="5A20AE94"/>
    <w:rsid w:val="5A244414"/>
    <w:rsid w:val="5A262BA7"/>
    <w:rsid w:val="5A2834F2"/>
    <w:rsid w:val="5A2A4C2F"/>
    <w:rsid w:val="5A2B163F"/>
    <w:rsid w:val="5A2C3790"/>
    <w:rsid w:val="5A2C6E25"/>
    <w:rsid w:val="5A30CA01"/>
    <w:rsid w:val="5A3722BC"/>
    <w:rsid w:val="5A38CA4A"/>
    <w:rsid w:val="5A3BD373"/>
    <w:rsid w:val="5A428837"/>
    <w:rsid w:val="5A4514D9"/>
    <w:rsid w:val="5A45B2CC"/>
    <w:rsid w:val="5A47BD01"/>
    <w:rsid w:val="5A47C84F"/>
    <w:rsid w:val="5A497374"/>
    <w:rsid w:val="5A4ADAE7"/>
    <w:rsid w:val="5A4C0659"/>
    <w:rsid w:val="5A4F1ADA"/>
    <w:rsid w:val="5A588BBE"/>
    <w:rsid w:val="5A5C5617"/>
    <w:rsid w:val="5A5E3EAF"/>
    <w:rsid w:val="5A5F6267"/>
    <w:rsid w:val="5A608750"/>
    <w:rsid w:val="5A63319A"/>
    <w:rsid w:val="5A669F0B"/>
    <w:rsid w:val="5A682500"/>
    <w:rsid w:val="5A6A3E6B"/>
    <w:rsid w:val="5A6C6F57"/>
    <w:rsid w:val="5A6F2DBC"/>
    <w:rsid w:val="5A706152"/>
    <w:rsid w:val="5A742D53"/>
    <w:rsid w:val="5A75598F"/>
    <w:rsid w:val="5A79C7B6"/>
    <w:rsid w:val="5A860C7D"/>
    <w:rsid w:val="5A875DA1"/>
    <w:rsid w:val="5A8DF1C5"/>
    <w:rsid w:val="5A95BDFB"/>
    <w:rsid w:val="5A9685DC"/>
    <w:rsid w:val="5A98121D"/>
    <w:rsid w:val="5A994064"/>
    <w:rsid w:val="5AA33BD6"/>
    <w:rsid w:val="5AA4487B"/>
    <w:rsid w:val="5AA7820A"/>
    <w:rsid w:val="5AAC4C26"/>
    <w:rsid w:val="5AAD4F79"/>
    <w:rsid w:val="5AAED481"/>
    <w:rsid w:val="5ABAC0A1"/>
    <w:rsid w:val="5AC196EA"/>
    <w:rsid w:val="5AC4E321"/>
    <w:rsid w:val="5AC7B3D4"/>
    <w:rsid w:val="5ACB8E6E"/>
    <w:rsid w:val="5ACDD3D4"/>
    <w:rsid w:val="5ACF6693"/>
    <w:rsid w:val="5AD6D599"/>
    <w:rsid w:val="5AD84CC9"/>
    <w:rsid w:val="5AE034AE"/>
    <w:rsid w:val="5AE05FFC"/>
    <w:rsid w:val="5AE1A41C"/>
    <w:rsid w:val="5AE2781D"/>
    <w:rsid w:val="5AE59EC3"/>
    <w:rsid w:val="5AEDC03A"/>
    <w:rsid w:val="5AEE58E6"/>
    <w:rsid w:val="5AF30A6A"/>
    <w:rsid w:val="5AF6351E"/>
    <w:rsid w:val="5AF99361"/>
    <w:rsid w:val="5AFA9972"/>
    <w:rsid w:val="5B003EED"/>
    <w:rsid w:val="5B0084AF"/>
    <w:rsid w:val="5B047A08"/>
    <w:rsid w:val="5B0977F1"/>
    <w:rsid w:val="5B1124FC"/>
    <w:rsid w:val="5B134109"/>
    <w:rsid w:val="5B16CF15"/>
    <w:rsid w:val="5B22201D"/>
    <w:rsid w:val="5B23A47D"/>
    <w:rsid w:val="5B26764E"/>
    <w:rsid w:val="5B27B7C9"/>
    <w:rsid w:val="5B2915E8"/>
    <w:rsid w:val="5B2A4ADB"/>
    <w:rsid w:val="5B309B24"/>
    <w:rsid w:val="5B314269"/>
    <w:rsid w:val="5B3185F6"/>
    <w:rsid w:val="5B31D754"/>
    <w:rsid w:val="5B325B81"/>
    <w:rsid w:val="5B327F0F"/>
    <w:rsid w:val="5B35F9A5"/>
    <w:rsid w:val="5B37D777"/>
    <w:rsid w:val="5B3D7522"/>
    <w:rsid w:val="5B40B67F"/>
    <w:rsid w:val="5B40F1B5"/>
    <w:rsid w:val="5B44C68F"/>
    <w:rsid w:val="5B45644C"/>
    <w:rsid w:val="5B45B5B5"/>
    <w:rsid w:val="5B4680F4"/>
    <w:rsid w:val="5B4CDAB3"/>
    <w:rsid w:val="5B4D5089"/>
    <w:rsid w:val="5B4E0527"/>
    <w:rsid w:val="5B4EE620"/>
    <w:rsid w:val="5B528577"/>
    <w:rsid w:val="5B52FF60"/>
    <w:rsid w:val="5B547385"/>
    <w:rsid w:val="5B5D4A68"/>
    <w:rsid w:val="5B648F36"/>
    <w:rsid w:val="5B6A625A"/>
    <w:rsid w:val="5B71565A"/>
    <w:rsid w:val="5B78A75A"/>
    <w:rsid w:val="5B78E4BC"/>
    <w:rsid w:val="5B7933AE"/>
    <w:rsid w:val="5B7C8808"/>
    <w:rsid w:val="5B7CDD14"/>
    <w:rsid w:val="5B7E4AA7"/>
    <w:rsid w:val="5B81B2FF"/>
    <w:rsid w:val="5B85EC8A"/>
    <w:rsid w:val="5B897EE0"/>
    <w:rsid w:val="5B8CF90E"/>
    <w:rsid w:val="5B8DB9DF"/>
    <w:rsid w:val="5B93BFF7"/>
    <w:rsid w:val="5B95B0D6"/>
    <w:rsid w:val="5B971978"/>
    <w:rsid w:val="5B98FCD1"/>
    <w:rsid w:val="5BA2BA79"/>
    <w:rsid w:val="5BA59917"/>
    <w:rsid w:val="5BA6DF0E"/>
    <w:rsid w:val="5BB216B8"/>
    <w:rsid w:val="5BB462AB"/>
    <w:rsid w:val="5BB6028E"/>
    <w:rsid w:val="5BB740D6"/>
    <w:rsid w:val="5BBA58D9"/>
    <w:rsid w:val="5BBF2881"/>
    <w:rsid w:val="5BC30FD9"/>
    <w:rsid w:val="5BC33002"/>
    <w:rsid w:val="5BC88A2F"/>
    <w:rsid w:val="5BC8C1D0"/>
    <w:rsid w:val="5BC95262"/>
    <w:rsid w:val="5BC9F868"/>
    <w:rsid w:val="5BCC9C90"/>
    <w:rsid w:val="5BCD7C31"/>
    <w:rsid w:val="5BD219AF"/>
    <w:rsid w:val="5BD24011"/>
    <w:rsid w:val="5BDA1B82"/>
    <w:rsid w:val="5BDB202B"/>
    <w:rsid w:val="5BDBD4E2"/>
    <w:rsid w:val="5BDF0A24"/>
    <w:rsid w:val="5BE0BCA1"/>
    <w:rsid w:val="5BE9E6A5"/>
    <w:rsid w:val="5BEA1D76"/>
    <w:rsid w:val="5BEC733F"/>
    <w:rsid w:val="5BEF8A23"/>
    <w:rsid w:val="5BF04DA5"/>
    <w:rsid w:val="5BF12194"/>
    <w:rsid w:val="5BF51CBB"/>
    <w:rsid w:val="5BF81C56"/>
    <w:rsid w:val="5BFAAB8A"/>
    <w:rsid w:val="5BFD1EFA"/>
    <w:rsid w:val="5BFE67D3"/>
    <w:rsid w:val="5C00FFFB"/>
    <w:rsid w:val="5C063B4E"/>
    <w:rsid w:val="5C07E7CB"/>
    <w:rsid w:val="5C0930D0"/>
    <w:rsid w:val="5C0B5FA2"/>
    <w:rsid w:val="5C10CC7B"/>
    <w:rsid w:val="5C158CF0"/>
    <w:rsid w:val="5C162F69"/>
    <w:rsid w:val="5C1A17E9"/>
    <w:rsid w:val="5C1ED13E"/>
    <w:rsid w:val="5C1F88C0"/>
    <w:rsid w:val="5C1FB769"/>
    <w:rsid w:val="5C21CC92"/>
    <w:rsid w:val="5C22F5C1"/>
    <w:rsid w:val="5C238030"/>
    <w:rsid w:val="5C23A158"/>
    <w:rsid w:val="5C25FEEE"/>
    <w:rsid w:val="5C282EEC"/>
    <w:rsid w:val="5C288135"/>
    <w:rsid w:val="5C293126"/>
    <w:rsid w:val="5C2CF6B3"/>
    <w:rsid w:val="5C30368F"/>
    <w:rsid w:val="5C38D6DC"/>
    <w:rsid w:val="5C392EEF"/>
    <w:rsid w:val="5C3DB5D8"/>
    <w:rsid w:val="5C410BD6"/>
    <w:rsid w:val="5C4301CB"/>
    <w:rsid w:val="5C44DFCF"/>
    <w:rsid w:val="5C465550"/>
    <w:rsid w:val="5C4721CE"/>
    <w:rsid w:val="5C475EA1"/>
    <w:rsid w:val="5C4DA9D1"/>
    <w:rsid w:val="5C4E816D"/>
    <w:rsid w:val="5C525F58"/>
    <w:rsid w:val="5C544BEE"/>
    <w:rsid w:val="5C5584F3"/>
    <w:rsid w:val="5C56EB00"/>
    <w:rsid w:val="5C5A0324"/>
    <w:rsid w:val="5C5C9729"/>
    <w:rsid w:val="5C608BAE"/>
    <w:rsid w:val="5C61215B"/>
    <w:rsid w:val="5C62DBA4"/>
    <w:rsid w:val="5C65E507"/>
    <w:rsid w:val="5C6E54C7"/>
    <w:rsid w:val="5C74D8BA"/>
    <w:rsid w:val="5C77A63C"/>
    <w:rsid w:val="5C7A9650"/>
    <w:rsid w:val="5C7C060C"/>
    <w:rsid w:val="5C7CDFD0"/>
    <w:rsid w:val="5C7DF650"/>
    <w:rsid w:val="5C7E523D"/>
    <w:rsid w:val="5C81B2FE"/>
    <w:rsid w:val="5C838352"/>
    <w:rsid w:val="5C864CC7"/>
    <w:rsid w:val="5C8890CA"/>
    <w:rsid w:val="5C8A6FD7"/>
    <w:rsid w:val="5C9006D4"/>
    <w:rsid w:val="5C925581"/>
    <w:rsid w:val="5C94972E"/>
    <w:rsid w:val="5C94FBCA"/>
    <w:rsid w:val="5C9BD851"/>
    <w:rsid w:val="5C9E9066"/>
    <w:rsid w:val="5CA3C371"/>
    <w:rsid w:val="5CA3E0D9"/>
    <w:rsid w:val="5CA5650E"/>
    <w:rsid w:val="5CA6D382"/>
    <w:rsid w:val="5CAC430D"/>
    <w:rsid w:val="5CAC5E87"/>
    <w:rsid w:val="5CACA0BE"/>
    <w:rsid w:val="5CB15224"/>
    <w:rsid w:val="5CB306D7"/>
    <w:rsid w:val="5CB8A625"/>
    <w:rsid w:val="5CB8D686"/>
    <w:rsid w:val="5CBC2D32"/>
    <w:rsid w:val="5CBC4808"/>
    <w:rsid w:val="5CBC6335"/>
    <w:rsid w:val="5CC261B4"/>
    <w:rsid w:val="5CC6F791"/>
    <w:rsid w:val="5CD37CD4"/>
    <w:rsid w:val="5CD53C27"/>
    <w:rsid w:val="5CD614A9"/>
    <w:rsid w:val="5CDE2B66"/>
    <w:rsid w:val="5CEF2880"/>
    <w:rsid w:val="5CF01ADB"/>
    <w:rsid w:val="5CF39312"/>
    <w:rsid w:val="5CF53F5C"/>
    <w:rsid w:val="5CF8BA02"/>
    <w:rsid w:val="5CFA5433"/>
    <w:rsid w:val="5D010AA9"/>
    <w:rsid w:val="5D05CC4D"/>
    <w:rsid w:val="5D07E8D4"/>
    <w:rsid w:val="5D09F7F6"/>
    <w:rsid w:val="5D0B1837"/>
    <w:rsid w:val="5D10FE3F"/>
    <w:rsid w:val="5D115077"/>
    <w:rsid w:val="5D13AE66"/>
    <w:rsid w:val="5D14D03B"/>
    <w:rsid w:val="5D19FA8D"/>
    <w:rsid w:val="5D1A8555"/>
    <w:rsid w:val="5D1E42ED"/>
    <w:rsid w:val="5D24B533"/>
    <w:rsid w:val="5D27255C"/>
    <w:rsid w:val="5D2790A9"/>
    <w:rsid w:val="5D287E01"/>
    <w:rsid w:val="5D2A76AF"/>
    <w:rsid w:val="5D2B7F11"/>
    <w:rsid w:val="5D2E8CAA"/>
    <w:rsid w:val="5D30C72D"/>
    <w:rsid w:val="5D31D505"/>
    <w:rsid w:val="5D3297E8"/>
    <w:rsid w:val="5D371098"/>
    <w:rsid w:val="5D3A698A"/>
    <w:rsid w:val="5D3C184F"/>
    <w:rsid w:val="5D40C4A5"/>
    <w:rsid w:val="5D4277C2"/>
    <w:rsid w:val="5D42DD43"/>
    <w:rsid w:val="5D44B7A1"/>
    <w:rsid w:val="5D474302"/>
    <w:rsid w:val="5D4976AD"/>
    <w:rsid w:val="5D4DA0C1"/>
    <w:rsid w:val="5D53A6C4"/>
    <w:rsid w:val="5D58DE71"/>
    <w:rsid w:val="5D59E11B"/>
    <w:rsid w:val="5D5DCA15"/>
    <w:rsid w:val="5D5F7662"/>
    <w:rsid w:val="5D5FC8C2"/>
    <w:rsid w:val="5D6058B4"/>
    <w:rsid w:val="5D62748F"/>
    <w:rsid w:val="5D6BEA78"/>
    <w:rsid w:val="5D6FD79E"/>
    <w:rsid w:val="5D72618B"/>
    <w:rsid w:val="5D7B83D4"/>
    <w:rsid w:val="5D822F89"/>
    <w:rsid w:val="5D82AF26"/>
    <w:rsid w:val="5D82C22E"/>
    <w:rsid w:val="5D84A436"/>
    <w:rsid w:val="5D88705A"/>
    <w:rsid w:val="5D8A00F9"/>
    <w:rsid w:val="5D8ADD49"/>
    <w:rsid w:val="5D8AFA22"/>
    <w:rsid w:val="5D8AFF66"/>
    <w:rsid w:val="5D913305"/>
    <w:rsid w:val="5D92840F"/>
    <w:rsid w:val="5D9440C2"/>
    <w:rsid w:val="5D963E26"/>
    <w:rsid w:val="5D97982E"/>
    <w:rsid w:val="5D97F12A"/>
    <w:rsid w:val="5D99D0EB"/>
    <w:rsid w:val="5D9BB962"/>
    <w:rsid w:val="5D9EEF02"/>
    <w:rsid w:val="5DA0617E"/>
    <w:rsid w:val="5DA50B53"/>
    <w:rsid w:val="5DA59E59"/>
    <w:rsid w:val="5DAAF7B2"/>
    <w:rsid w:val="5DAD6712"/>
    <w:rsid w:val="5DB06AB2"/>
    <w:rsid w:val="5DB94CD8"/>
    <w:rsid w:val="5DC6F210"/>
    <w:rsid w:val="5DC793B5"/>
    <w:rsid w:val="5DCC7E90"/>
    <w:rsid w:val="5DCCB7AD"/>
    <w:rsid w:val="5DD80684"/>
    <w:rsid w:val="5DD8B7F8"/>
    <w:rsid w:val="5DDAB045"/>
    <w:rsid w:val="5DDAD87E"/>
    <w:rsid w:val="5DDC94EF"/>
    <w:rsid w:val="5DDDFFAC"/>
    <w:rsid w:val="5DE0307D"/>
    <w:rsid w:val="5DE95B66"/>
    <w:rsid w:val="5DEF8BA4"/>
    <w:rsid w:val="5DEFF579"/>
    <w:rsid w:val="5DF2B133"/>
    <w:rsid w:val="5DF420EC"/>
    <w:rsid w:val="5DF42F9D"/>
    <w:rsid w:val="5DF434B0"/>
    <w:rsid w:val="5DF5169E"/>
    <w:rsid w:val="5DF7F94B"/>
    <w:rsid w:val="5DFB57C9"/>
    <w:rsid w:val="5DFC567D"/>
    <w:rsid w:val="5DFDDDFC"/>
    <w:rsid w:val="5E00B062"/>
    <w:rsid w:val="5E014278"/>
    <w:rsid w:val="5E02003F"/>
    <w:rsid w:val="5E045F6C"/>
    <w:rsid w:val="5E049A7B"/>
    <w:rsid w:val="5E04D898"/>
    <w:rsid w:val="5E070726"/>
    <w:rsid w:val="5E094198"/>
    <w:rsid w:val="5E0FC8B7"/>
    <w:rsid w:val="5E151591"/>
    <w:rsid w:val="5E16183D"/>
    <w:rsid w:val="5E191E56"/>
    <w:rsid w:val="5E1E20E8"/>
    <w:rsid w:val="5E1ECE60"/>
    <w:rsid w:val="5E1F23A9"/>
    <w:rsid w:val="5E1F4032"/>
    <w:rsid w:val="5E2180C9"/>
    <w:rsid w:val="5E24C255"/>
    <w:rsid w:val="5E24F57C"/>
    <w:rsid w:val="5E24FB7B"/>
    <w:rsid w:val="5E2632F8"/>
    <w:rsid w:val="5E2C3D41"/>
    <w:rsid w:val="5E2DC769"/>
    <w:rsid w:val="5E2F1E5D"/>
    <w:rsid w:val="5E355171"/>
    <w:rsid w:val="5E35B7FC"/>
    <w:rsid w:val="5E44C339"/>
    <w:rsid w:val="5E459018"/>
    <w:rsid w:val="5E45B787"/>
    <w:rsid w:val="5E4E30C9"/>
    <w:rsid w:val="5E545A82"/>
    <w:rsid w:val="5E54C189"/>
    <w:rsid w:val="5E54DCC0"/>
    <w:rsid w:val="5E60F413"/>
    <w:rsid w:val="5E65094A"/>
    <w:rsid w:val="5E6B4572"/>
    <w:rsid w:val="5E6B9096"/>
    <w:rsid w:val="5E729B8D"/>
    <w:rsid w:val="5E74C163"/>
    <w:rsid w:val="5E763309"/>
    <w:rsid w:val="5E7CDC10"/>
    <w:rsid w:val="5E7F1D48"/>
    <w:rsid w:val="5E822E8A"/>
    <w:rsid w:val="5E852392"/>
    <w:rsid w:val="5E8651B7"/>
    <w:rsid w:val="5E86FBA6"/>
    <w:rsid w:val="5E8BDA29"/>
    <w:rsid w:val="5E8C50DB"/>
    <w:rsid w:val="5E8CD162"/>
    <w:rsid w:val="5E8CFE51"/>
    <w:rsid w:val="5E8F2C49"/>
    <w:rsid w:val="5E91EAE8"/>
    <w:rsid w:val="5E95F20E"/>
    <w:rsid w:val="5E97E70D"/>
    <w:rsid w:val="5E9AA3C8"/>
    <w:rsid w:val="5EA0B2FC"/>
    <w:rsid w:val="5EA0C495"/>
    <w:rsid w:val="5EA29071"/>
    <w:rsid w:val="5EA632A9"/>
    <w:rsid w:val="5EA677C0"/>
    <w:rsid w:val="5EACBD09"/>
    <w:rsid w:val="5EB1C485"/>
    <w:rsid w:val="5EB3B0C8"/>
    <w:rsid w:val="5EB48E92"/>
    <w:rsid w:val="5EB58C59"/>
    <w:rsid w:val="5EB8A7EF"/>
    <w:rsid w:val="5EBA1C6B"/>
    <w:rsid w:val="5EC752FF"/>
    <w:rsid w:val="5EC80D8F"/>
    <w:rsid w:val="5ECA9156"/>
    <w:rsid w:val="5ECC79BA"/>
    <w:rsid w:val="5ECD7908"/>
    <w:rsid w:val="5ECDF430"/>
    <w:rsid w:val="5ED245A8"/>
    <w:rsid w:val="5ED42873"/>
    <w:rsid w:val="5ED7D0DB"/>
    <w:rsid w:val="5ED869DE"/>
    <w:rsid w:val="5EDD08B4"/>
    <w:rsid w:val="5EE1858A"/>
    <w:rsid w:val="5EE81B46"/>
    <w:rsid w:val="5EE98E19"/>
    <w:rsid w:val="5EE9E440"/>
    <w:rsid w:val="5EEAAF20"/>
    <w:rsid w:val="5EEC303D"/>
    <w:rsid w:val="5EEE2119"/>
    <w:rsid w:val="5EEEC640"/>
    <w:rsid w:val="5EF89903"/>
    <w:rsid w:val="5EF906DC"/>
    <w:rsid w:val="5EFE5B05"/>
    <w:rsid w:val="5EFE7733"/>
    <w:rsid w:val="5F056976"/>
    <w:rsid w:val="5F07A69D"/>
    <w:rsid w:val="5F09828F"/>
    <w:rsid w:val="5F0AC81F"/>
    <w:rsid w:val="5F0C2810"/>
    <w:rsid w:val="5F0D25C9"/>
    <w:rsid w:val="5F0FF3CC"/>
    <w:rsid w:val="5F1059FD"/>
    <w:rsid w:val="5F1308E8"/>
    <w:rsid w:val="5F18FDD0"/>
    <w:rsid w:val="5F1CFFD0"/>
    <w:rsid w:val="5F1EECE1"/>
    <w:rsid w:val="5F1FF437"/>
    <w:rsid w:val="5F224790"/>
    <w:rsid w:val="5F279ADC"/>
    <w:rsid w:val="5F292603"/>
    <w:rsid w:val="5F2B12FC"/>
    <w:rsid w:val="5F2C037A"/>
    <w:rsid w:val="5F2C6410"/>
    <w:rsid w:val="5F2D90ED"/>
    <w:rsid w:val="5F321107"/>
    <w:rsid w:val="5F32FE0E"/>
    <w:rsid w:val="5F333416"/>
    <w:rsid w:val="5F33D24E"/>
    <w:rsid w:val="5F34CE89"/>
    <w:rsid w:val="5F365EAB"/>
    <w:rsid w:val="5F39C218"/>
    <w:rsid w:val="5F3D8B43"/>
    <w:rsid w:val="5F3E0208"/>
    <w:rsid w:val="5F4066ED"/>
    <w:rsid w:val="5F42DA1F"/>
    <w:rsid w:val="5F43765A"/>
    <w:rsid w:val="5F45C761"/>
    <w:rsid w:val="5F4F079B"/>
    <w:rsid w:val="5F50CADE"/>
    <w:rsid w:val="5F516D47"/>
    <w:rsid w:val="5F556AC5"/>
    <w:rsid w:val="5F56457B"/>
    <w:rsid w:val="5F5CE761"/>
    <w:rsid w:val="5F5E3526"/>
    <w:rsid w:val="5F5F7D1B"/>
    <w:rsid w:val="5F5FD771"/>
    <w:rsid w:val="5F64F401"/>
    <w:rsid w:val="5F6D23FA"/>
    <w:rsid w:val="5F6DB0A6"/>
    <w:rsid w:val="5F6F14D3"/>
    <w:rsid w:val="5F6F57E6"/>
    <w:rsid w:val="5F72387D"/>
    <w:rsid w:val="5F7BBE43"/>
    <w:rsid w:val="5F81D8BD"/>
    <w:rsid w:val="5F847B46"/>
    <w:rsid w:val="5F85F961"/>
    <w:rsid w:val="5F8708B6"/>
    <w:rsid w:val="5F87291D"/>
    <w:rsid w:val="5F881FD0"/>
    <w:rsid w:val="5F8842B7"/>
    <w:rsid w:val="5F8EF222"/>
    <w:rsid w:val="5F8FBD99"/>
    <w:rsid w:val="5F91A607"/>
    <w:rsid w:val="5F96E392"/>
    <w:rsid w:val="5F986B22"/>
    <w:rsid w:val="5F9A0D52"/>
    <w:rsid w:val="5F9A31C0"/>
    <w:rsid w:val="5F9ED24A"/>
    <w:rsid w:val="5F9F7659"/>
    <w:rsid w:val="5FAA88B1"/>
    <w:rsid w:val="5FAB3DA0"/>
    <w:rsid w:val="5FAC2A64"/>
    <w:rsid w:val="5FAC71CB"/>
    <w:rsid w:val="5FB10ED1"/>
    <w:rsid w:val="5FB24683"/>
    <w:rsid w:val="5FB5A920"/>
    <w:rsid w:val="5FB6CFC8"/>
    <w:rsid w:val="5FBA8DEE"/>
    <w:rsid w:val="5FBD0BC5"/>
    <w:rsid w:val="5FBD4221"/>
    <w:rsid w:val="5FC1D244"/>
    <w:rsid w:val="5FC3985D"/>
    <w:rsid w:val="5FC3BBD0"/>
    <w:rsid w:val="5FC79DA2"/>
    <w:rsid w:val="5FC7F7CA"/>
    <w:rsid w:val="5FC88F1F"/>
    <w:rsid w:val="5FCDE9C6"/>
    <w:rsid w:val="5FCF644D"/>
    <w:rsid w:val="5FD10AB8"/>
    <w:rsid w:val="5FD3D242"/>
    <w:rsid w:val="5FD408E8"/>
    <w:rsid w:val="5FD46289"/>
    <w:rsid w:val="5FD65476"/>
    <w:rsid w:val="5FD6E771"/>
    <w:rsid w:val="5FDB1156"/>
    <w:rsid w:val="5FDEEB1B"/>
    <w:rsid w:val="5FE478EA"/>
    <w:rsid w:val="5FE66C8F"/>
    <w:rsid w:val="5FF0B088"/>
    <w:rsid w:val="5FF1255D"/>
    <w:rsid w:val="5FF33DA7"/>
    <w:rsid w:val="5FF5C92D"/>
    <w:rsid w:val="5FF699AF"/>
    <w:rsid w:val="5FF6AEED"/>
    <w:rsid w:val="5FFA8DBE"/>
    <w:rsid w:val="5FFB77F6"/>
    <w:rsid w:val="5FFC57E7"/>
    <w:rsid w:val="5FFD114B"/>
    <w:rsid w:val="6000753F"/>
    <w:rsid w:val="6000D2FB"/>
    <w:rsid w:val="6000F2C6"/>
    <w:rsid w:val="60064E8B"/>
    <w:rsid w:val="60094C0D"/>
    <w:rsid w:val="600970DC"/>
    <w:rsid w:val="600AFFFA"/>
    <w:rsid w:val="600F0F0D"/>
    <w:rsid w:val="60122C53"/>
    <w:rsid w:val="60136FC3"/>
    <w:rsid w:val="6013CC56"/>
    <w:rsid w:val="602226AF"/>
    <w:rsid w:val="602AAA87"/>
    <w:rsid w:val="602BB904"/>
    <w:rsid w:val="6033C38A"/>
    <w:rsid w:val="60366B53"/>
    <w:rsid w:val="6036AF06"/>
    <w:rsid w:val="60399E62"/>
    <w:rsid w:val="60417F7A"/>
    <w:rsid w:val="60473755"/>
    <w:rsid w:val="604A5C5B"/>
    <w:rsid w:val="604CB2A3"/>
    <w:rsid w:val="604DAC12"/>
    <w:rsid w:val="60547B9A"/>
    <w:rsid w:val="60573CA2"/>
    <w:rsid w:val="605AEA89"/>
    <w:rsid w:val="605C55F5"/>
    <w:rsid w:val="605E2BAA"/>
    <w:rsid w:val="605ECD86"/>
    <w:rsid w:val="605EDED4"/>
    <w:rsid w:val="6061FB6E"/>
    <w:rsid w:val="60625153"/>
    <w:rsid w:val="6062606D"/>
    <w:rsid w:val="6066AD2C"/>
    <w:rsid w:val="6067246C"/>
    <w:rsid w:val="606799FF"/>
    <w:rsid w:val="606C6EA8"/>
    <w:rsid w:val="60737DEB"/>
    <w:rsid w:val="6073D6D2"/>
    <w:rsid w:val="60741DCA"/>
    <w:rsid w:val="60773332"/>
    <w:rsid w:val="6077F661"/>
    <w:rsid w:val="6077F7F8"/>
    <w:rsid w:val="607A7B6B"/>
    <w:rsid w:val="607BC731"/>
    <w:rsid w:val="6080C46D"/>
    <w:rsid w:val="6080FB83"/>
    <w:rsid w:val="6082BA1D"/>
    <w:rsid w:val="608584F4"/>
    <w:rsid w:val="60895945"/>
    <w:rsid w:val="608A52FD"/>
    <w:rsid w:val="608DA09D"/>
    <w:rsid w:val="608F5F31"/>
    <w:rsid w:val="6092554C"/>
    <w:rsid w:val="6092E946"/>
    <w:rsid w:val="6099193B"/>
    <w:rsid w:val="609B72C5"/>
    <w:rsid w:val="609C108C"/>
    <w:rsid w:val="609C67FD"/>
    <w:rsid w:val="609CDF6F"/>
    <w:rsid w:val="609E44BF"/>
    <w:rsid w:val="609F0680"/>
    <w:rsid w:val="60A0637D"/>
    <w:rsid w:val="60A14541"/>
    <w:rsid w:val="60A281F3"/>
    <w:rsid w:val="60A632ED"/>
    <w:rsid w:val="60A6A8EE"/>
    <w:rsid w:val="60A894C4"/>
    <w:rsid w:val="60A9F65B"/>
    <w:rsid w:val="60B11DE2"/>
    <w:rsid w:val="60B43A50"/>
    <w:rsid w:val="60B51057"/>
    <w:rsid w:val="60B62476"/>
    <w:rsid w:val="60BA81D1"/>
    <w:rsid w:val="60BABD42"/>
    <w:rsid w:val="60BB776F"/>
    <w:rsid w:val="60BC3F29"/>
    <w:rsid w:val="60BC85A4"/>
    <w:rsid w:val="60C206BE"/>
    <w:rsid w:val="60C2B8DB"/>
    <w:rsid w:val="60C2FB46"/>
    <w:rsid w:val="60C8FFF3"/>
    <w:rsid w:val="60C9E1CE"/>
    <w:rsid w:val="60CD84D4"/>
    <w:rsid w:val="60D30C41"/>
    <w:rsid w:val="60D3834F"/>
    <w:rsid w:val="60D45F8C"/>
    <w:rsid w:val="60D97D6F"/>
    <w:rsid w:val="60DBFFFF"/>
    <w:rsid w:val="60E3EA97"/>
    <w:rsid w:val="60E5B1F4"/>
    <w:rsid w:val="60F7EA56"/>
    <w:rsid w:val="60FB9CC4"/>
    <w:rsid w:val="61032E5D"/>
    <w:rsid w:val="610503B4"/>
    <w:rsid w:val="6105C8FE"/>
    <w:rsid w:val="61089420"/>
    <w:rsid w:val="610CFD44"/>
    <w:rsid w:val="610DEB9E"/>
    <w:rsid w:val="6112D6E1"/>
    <w:rsid w:val="6114A52E"/>
    <w:rsid w:val="611D56C3"/>
    <w:rsid w:val="611E8CD1"/>
    <w:rsid w:val="61262D52"/>
    <w:rsid w:val="6128BF56"/>
    <w:rsid w:val="612C6524"/>
    <w:rsid w:val="612CC0C4"/>
    <w:rsid w:val="612CE518"/>
    <w:rsid w:val="612FF9DD"/>
    <w:rsid w:val="6132646A"/>
    <w:rsid w:val="6136749F"/>
    <w:rsid w:val="6138BF3A"/>
    <w:rsid w:val="6141E8AF"/>
    <w:rsid w:val="6142C582"/>
    <w:rsid w:val="6144B46C"/>
    <w:rsid w:val="6147B231"/>
    <w:rsid w:val="614934D4"/>
    <w:rsid w:val="6151BD52"/>
    <w:rsid w:val="6154F0F3"/>
    <w:rsid w:val="616069C6"/>
    <w:rsid w:val="61632A41"/>
    <w:rsid w:val="61693EEB"/>
    <w:rsid w:val="616C5E71"/>
    <w:rsid w:val="616F1711"/>
    <w:rsid w:val="617015C7"/>
    <w:rsid w:val="617031DB"/>
    <w:rsid w:val="617A1278"/>
    <w:rsid w:val="617E6D7E"/>
    <w:rsid w:val="61826C68"/>
    <w:rsid w:val="61863081"/>
    <w:rsid w:val="618BBAB4"/>
    <w:rsid w:val="618C0503"/>
    <w:rsid w:val="618E4108"/>
    <w:rsid w:val="619454F8"/>
    <w:rsid w:val="619644E6"/>
    <w:rsid w:val="61968A83"/>
    <w:rsid w:val="619951DF"/>
    <w:rsid w:val="619D7C30"/>
    <w:rsid w:val="619DB4E0"/>
    <w:rsid w:val="619DD7BE"/>
    <w:rsid w:val="619F9ED0"/>
    <w:rsid w:val="619FE425"/>
    <w:rsid w:val="61A12A03"/>
    <w:rsid w:val="61B0778A"/>
    <w:rsid w:val="61B07BCF"/>
    <w:rsid w:val="61B2E0D7"/>
    <w:rsid w:val="61B4730C"/>
    <w:rsid w:val="61B6BF2C"/>
    <w:rsid w:val="61BC4E25"/>
    <w:rsid w:val="61BC7A8D"/>
    <w:rsid w:val="61BDDDFC"/>
    <w:rsid w:val="61C3B02C"/>
    <w:rsid w:val="61C514FD"/>
    <w:rsid w:val="61C547CE"/>
    <w:rsid w:val="61CFF5F2"/>
    <w:rsid w:val="61D0042A"/>
    <w:rsid w:val="61D2F1F1"/>
    <w:rsid w:val="61D3E0E1"/>
    <w:rsid w:val="61D69713"/>
    <w:rsid w:val="61D6F1FB"/>
    <w:rsid w:val="61E37E0F"/>
    <w:rsid w:val="61E4402E"/>
    <w:rsid w:val="61EA17C9"/>
    <w:rsid w:val="61EA399C"/>
    <w:rsid w:val="61F1E6C6"/>
    <w:rsid w:val="61F30823"/>
    <w:rsid w:val="61F7DA7D"/>
    <w:rsid w:val="61FEBFD2"/>
    <w:rsid w:val="6200BDA0"/>
    <w:rsid w:val="62015DA9"/>
    <w:rsid w:val="6201CE3E"/>
    <w:rsid w:val="6202704E"/>
    <w:rsid w:val="620277D9"/>
    <w:rsid w:val="62067C05"/>
    <w:rsid w:val="62075487"/>
    <w:rsid w:val="6207C0A0"/>
    <w:rsid w:val="6209E66A"/>
    <w:rsid w:val="620BF10A"/>
    <w:rsid w:val="620D4DAC"/>
    <w:rsid w:val="620ECA24"/>
    <w:rsid w:val="62159DBA"/>
    <w:rsid w:val="621602A1"/>
    <w:rsid w:val="62165BE4"/>
    <w:rsid w:val="6218318A"/>
    <w:rsid w:val="62184EDF"/>
    <w:rsid w:val="621D4DC7"/>
    <w:rsid w:val="621FAFDA"/>
    <w:rsid w:val="621FE33F"/>
    <w:rsid w:val="6225AD84"/>
    <w:rsid w:val="622654CA"/>
    <w:rsid w:val="622699D3"/>
    <w:rsid w:val="62298492"/>
    <w:rsid w:val="622A004D"/>
    <w:rsid w:val="6230DD11"/>
    <w:rsid w:val="62329988"/>
    <w:rsid w:val="6234C19C"/>
    <w:rsid w:val="62361BA0"/>
    <w:rsid w:val="62383F8B"/>
    <w:rsid w:val="623B4310"/>
    <w:rsid w:val="623D3F06"/>
    <w:rsid w:val="62400ED7"/>
    <w:rsid w:val="624042E8"/>
    <w:rsid w:val="6241AB92"/>
    <w:rsid w:val="6241B086"/>
    <w:rsid w:val="62432032"/>
    <w:rsid w:val="624474AC"/>
    <w:rsid w:val="624FAFDC"/>
    <w:rsid w:val="62574E18"/>
    <w:rsid w:val="625AC935"/>
    <w:rsid w:val="625C4661"/>
    <w:rsid w:val="626002F7"/>
    <w:rsid w:val="6261C556"/>
    <w:rsid w:val="6262F206"/>
    <w:rsid w:val="6265E384"/>
    <w:rsid w:val="626A3C29"/>
    <w:rsid w:val="626AA700"/>
    <w:rsid w:val="626E0F76"/>
    <w:rsid w:val="6271441C"/>
    <w:rsid w:val="6271B0F0"/>
    <w:rsid w:val="6271F606"/>
    <w:rsid w:val="62733551"/>
    <w:rsid w:val="628147A3"/>
    <w:rsid w:val="6284F8BD"/>
    <w:rsid w:val="62877C54"/>
    <w:rsid w:val="628A43DE"/>
    <w:rsid w:val="62928D6E"/>
    <w:rsid w:val="62952690"/>
    <w:rsid w:val="629602C7"/>
    <w:rsid w:val="629628A4"/>
    <w:rsid w:val="629DC1ED"/>
    <w:rsid w:val="629E2E09"/>
    <w:rsid w:val="629F40B1"/>
    <w:rsid w:val="62A29128"/>
    <w:rsid w:val="62A85940"/>
    <w:rsid w:val="62AE5E37"/>
    <w:rsid w:val="62B190E3"/>
    <w:rsid w:val="62BF7629"/>
    <w:rsid w:val="62C03530"/>
    <w:rsid w:val="62C63642"/>
    <w:rsid w:val="62C78FCF"/>
    <w:rsid w:val="62CCCE5E"/>
    <w:rsid w:val="62D0455C"/>
    <w:rsid w:val="62D29251"/>
    <w:rsid w:val="62D299A9"/>
    <w:rsid w:val="62D64133"/>
    <w:rsid w:val="62D72860"/>
    <w:rsid w:val="62D7F425"/>
    <w:rsid w:val="62DBA6E1"/>
    <w:rsid w:val="62DFDAAA"/>
    <w:rsid w:val="62E15A9E"/>
    <w:rsid w:val="62E3FE56"/>
    <w:rsid w:val="62E40D2D"/>
    <w:rsid w:val="62E74ACB"/>
    <w:rsid w:val="62ECFB32"/>
    <w:rsid w:val="62ED9686"/>
    <w:rsid w:val="62EF559F"/>
    <w:rsid w:val="62F29532"/>
    <w:rsid w:val="62F2D2D9"/>
    <w:rsid w:val="62F3448C"/>
    <w:rsid w:val="62F60E9A"/>
    <w:rsid w:val="62F86860"/>
    <w:rsid w:val="62F8F82B"/>
    <w:rsid w:val="62F9BBFD"/>
    <w:rsid w:val="62FB0151"/>
    <w:rsid w:val="62FDE0D4"/>
    <w:rsid w:val="62FE4709"/>
    <w:rsid w:val="63031EBF"/>
    <w:rsid w:val="63034E7B"/>
    <w:rsid w:val="6308082F"/>
    <w:rsid w:val="6308AB7A"/>
    <w:rsid w:val="630931C6"/>
    <w:rsid w:val="630AADFC"/>
    <w:rsid w:val="630DD514"/>
    <w:rsid w:val="630E56C0"/>
    <w:rsid w:val="630EEF66"/>
    <w:rsid w:val="630EFD6A"/>
    <w:rsid w:val="63115C1B"/>
    <w:rsid w:val="631FED75"/>
    <w:rsid w:val="63267BB7"/>
    <w:rsid w:val="632C4FFE"/>
    <w:rsid w:val="632ECED4"/>
    <w:rsid w:val="632F33BC"/>
    <w:rsid w:val="63311128"/>
    <w:rsid w:val="63376705"/>
    <w:rsid w:val="633857C5"/>
    <w:rsid w:val="6339A81F"/>
    <w:rsid w:val="633C50D5"/>
    <w:rsid w:val="633D0DF2"/>
    <w:rsid w:val="634118B7"/>
    <w:rsid w:val="6341D53A"/>
    <w:rsid w:val="63479AF9"/>
    <w:rsid w:val="6348484C"/>
    <w:rsid w:val="634FCB4A"/>
    <w:rsid w:val="63509B42"/>
    <w:rsid w:val="6353BF49"/>
    <w:rsid w:val="6356C0CB"/>
    <w:rsid w:val="6358CE8D"/>
    <w:rsid w:val="63629FCB"/>
    <w:rsid w:val="63644A06"/>
    <w:rsid w:val="6364F890"/>
    <w:rsid w:val="6365B8D6"/>
    <w:rsid w:val="6367E4EC"/>
    <w:rsid w:val="63729E15"/>
    <w:rsid w:val="63731698"/>
    <w:rsid w:val="63758246"/>
    <w:rsid w:val="637A3B10"/>
    <w:rsid w:val="637BDCDA"/>
    <w:rsid w:val="637E287F"/>
    <w:rsid w:val="637F0D69"/>
    <w:rsid w:val="6382057A"/>
    <w:rsid w:val="6382BD19"/>
    <w:rsid w:val="638402D9"/>
    <w:rsid w:val="6387601E"/>
    <w:rsid w:val="63879BE1"/>
    <w:rsid w:val="6388A2C3"/>
    <w:rsid w:val="6389695B"/>
    <w:rsid w:val="638AB296"/>
    <w:rsid w:val="638BE3EF"/>
    <w:rsid w:val="638F5334"/>
    <w:rsid w:val="6396F1D9"/>
    <w:rsid w:val="639945FD"/>
    <w:rsid w:val="639ECC70"/>
    <w:rsid w:val="63A1C620"/>
    <w:rsid w:val="63A93283"/>
    <w:rsid w:val="63ADC299"/>
    <w:rsid w:val="63B258BA"/>
    <w:rsid w:val="63BB203A"/>
    <w:rsid w:val="63BF212E"/>
    <w:rsid w:val="63BF7302"/>
    <w:rsid w:val="63C1F3BF"/>
    <w:rsid w:val="63C64A0D"/>
    <w:rsid w:val="63C978E7"/>
    <w:rsid w:val="63CC697C"/>
    <w:rsid w:val="63CDDF40"/>
    <w:rsid w:val="63D1FB97"/>
    <w:rsid w:val="63D55AEB"/>
    <w:rsid w:val="63D72D8C"/>
    <w:rsid w:val="63D99419"/>
    <w:rsid w:val="63D9DC22"/>
    <w:rsid w:val="63E91441"/>
    <w:rsid w:val="63E9A3B3"/>
    <w:rsid w:val="63EA7BCB"/>
    <w:rsid w:val="63EFC95C"/>
    <w:rsid w:val="63EFFAEE"/>
    <w:rsid w:val="63EFFEDB"/>
    <w:rsid w:val="63F254A5"/>
    <w:rsid w:val="63F33990"/>
    <w:rsid w:val="63F4F468"/>
    <w:rsid w:val="63F971C9"/>
    <w:rsid w:val="63FB8298"/>
    <w:rsid w:val="63FCB6B2"/>
    <w:rsid w:val="6400060E"/>
    <w:rsid w:val="6401594C"/>
    <w:rsid w:val="640EAF4C"/>
    <w:rsid w:val="640F43B5"/>
    <w:rsid w:val="640FC357"/>
    <w:rsid w:val="64131300"/>
    <w:rsid w:val="641316A5"/>
    <w:rsid w:val="64168BD8"/>
    <w:rsid w:val="64171B4C"/>
    <w:rsid w:val="641B84D1"/>
    <w:rsid w:val="641E77A1"/>
    <w:rsid w:val="642445FF"/>
    <w:rsid w:val="6428396B"/>
    <w:rsid w:val="642AEE20"/>
    <w:rsid w:val="642D75C3"/>
    <w:rsid w:val="642E43B4"/>
    <w:rsid w:val="6430E760"/>
    <w:rsid w:val="6437D228"/>
    <w:rsid w:val="6438790D"/>
    <w:rsid w:val="643A0001"/>
    <w:rsid w:val="643E90F5"/>
    <w:rsid w:val="6447124E"/>
    <w:rsid w:val="64499957"/>
    <w:rsid w:val="64499ED1"/>
    <w:rsid w:val="644C29D9"/>
    <w:rsid w:val="644E3A97"/>
    <w:rsid w:val="644EB0C8"/>
    <w:rsid w:val="64594DF3"/>
    <w:rsid w:val="645A820B"/>
    <w:rsid w:val="645DCD54"/>
    <w:rsid w:val="645EF345"/>
    <w:rsid w:val="645F5760"/>
    <w:rsid w:val="645FC7B2"/>
    <w:rsid w:val="645FF198"/>
    <w:rsid w:val="64601CCD"/>
    <w:rsid w:val="6460F6EB"/>
    <w:rsid w:val="6461551C"/>
    <w:rsid w:val="646A282E"/>
    <w:rsid w:val="646FAEF3"/>
    <w:rsid w:val="6470A849"/>
    <w:rsid w:val="6473839F"/>
    <w:rsid w:val="64753B4D"/>
    <w:rsid w:val="64756433"/>
    <w:rsid w:val="64805353"/>
    <w:rsid w:val="6482D9F3"/>
    <w:rsid w:val="64831E3A"/>
    <w:rsid w:val="64845715"/>
    <w:rsid w:val="64850BF4"/>
    <w:rsid w:val="64860188"/>
    <w:rsid w:val="648D183F"/>
    <w:rsid w:val="648D88B8"/>
    <w:rsid w:val="6491005B"/>
    <w:rsid w:val="649963E0"/>
    <w:rsid w:val="649AF00E"/>
    <w:rsid w:val="649B5760"/>
    <w:rsid w:val="649FA54F"/>
    <w:rsid w:val="64A03DAE"/>
    <w:rsid w:val="64A1486A"/>
    <w:rsid w:val="64A1E8DC"/>
    <w:rsid w:val="64A6DB47"/>
    <w:rsid w:val="64ABF966"/>
    <w:rsid w:val="64B5B6B2"/>
    <w:rsid w:val="64B63210"/>
    <w:rsid w:val="64B7316A"/>
    <w:rsid w:val="64BA34EA"/>
    <w:rsid w:val="64BA585F"/>
    <w:rsid w:val="64BD676C"/>
    <w:rsid w:val="64BDA270"/>
    <w:rsid w:val="64BEF557"/>
    <w:rsid w:val="64C39A71"/>
    <w:rsid w:val="64C5A83F"/>
    <w:rsid w:val="64C72A0A"/>
    <w:rsid w:val="64CB24B4"/>
    <w:rsid w:val="64D189F9"/>
    <w:rsid w:val="64D5369E"/>
    <w:rsid w:val="64D67742"/>
    <w:rsid w:val="64D83F43"/>
    <w:rsid w:val="64D9330D"/>
    <w:rsid w:val="64DF7F56"/>
    <w:rsid w:val="64DFDA7F"/>
    <w:rsid w:val="64E07FE2"/>
    <w:rsid w:val="64E1ED24"/>
    <w:rsid w:val="64E6699B"/>
    <w:rsid w:val="64EDE4D5"/>
    <w:rsid w:val="64EE1D5F"/>
    <w:rsid w:val="64EFC180"/>
    <w:rsid w:val="64EFE7AC"/>
    <w:rsid w:val="64F0F174"/>
    <w:rsid w:val="64F1CF5B"/>
    <w:rsid w:val="64F46257"/>
    <w:rsid w:val="64F88535"/>
    <w:rsid w:val="64F8BE53"/>
    <w:rsid w:val="64F98198"/>
    <w:rsid w:val="64FB62C4"/>
    <w:rsid w:val="64FB7DF3"/>
    <w:rsid w:val="64FCACF2"/>
    <w:rsid w:val="64FCF30C"/>
    <w:rsid w:val="65001C1C"/>
    <w:rsid w:val="6500CB9B"/>
    <w:rsid w:val="6503DF40"/>
    <w:rsid w:val="6505241D"/>
    <w:rsid w:val="65060638"/>
    <w:rsid w:val="65097705"/>
    <w:rsid w:val="650AEA2B"/>
    <w:rsid w:val="650C9980"/>
    <w:rsid w:val="650F2B56"/>
    <w:rsid w:val="650FC9D9"/>
    <w:rsid w:val="65165B1D"/>
    <w:rsid w:val="65169EBB"/>
    <w:rsid w:val="6518E1A3"/>
    <w:rsid w:val="651CABC1"/>
    <w:rsid w:val="651D382E"/>
    <w:rsid w:val="651DFF3F"/>
    <w:rsid w:val="651F8EAE"/>
    <w:rsid w:val="65228B25"/>
    <w:rsid w:val="65274824"/>
    <w:rsid w:val="652831F3"/>
    <w:rsid w:val="6529F40F"/>
    <w:rsid w:val="652C3C4B"/>
    <w:rsid w:val="652C4E8A"/>
    <w:rsid w:val="652DD013"/>
    <w:rsid w:val="6530C476"/>
    <w:rsid w:val="653121C3"/>
    <w:rsid w:val="653125A4"/>
    <w:rsid w:val="65324EC5"/>
    <w:rsid w:val="653753C5"/>
    <w:rsid w:val="65384AD2"/>
    <w:rsid w:val="653AC467"/>
    <w:rsid w:val="653CCEC8"/>
    <w:rsid w:val="653E777C"/>
    <w:rsid w:val="6540D633"/>
    <w:rsid w:val="65418999"/>
    <w:rsid w:val="654AEB02"/>
    <w:rsid w:val="654C0A1B"/>
    <w:rsid w:val="654C4A38"/>
    <w:rsid w:val="654DAE39"/>
    <w:rsid w:val="654F3986"/>
    <w:rsid w:val="654F68D0"/>
    <w:rsid w:val="6552E95A"/>
    <w:rsid w:val="6553FCF5"/>
    <w:rsid w:val="65564B46"/>
    <w:rsid w:val="655677F8"/>
    <w:rsid w:val="65597E10"/>
    <w:rsid w:val="655DC420"/>
    <w:rsid w:val="655DC819"/>
    <w:rsid w:val="655DEC2A"/>
    <w:rsid w:val="655F7EBE"/>
    <w:rsid w:val="65616058"/>
    <w:rsid w:val="6561B925"/>
    <w:rsid w:val="656806E4"/>
    <w:rsid w:val="6569EB7C"/>
    <w:rsid w:val="656D02C1"/>
    <w:rsid w:val="656E0760"/>
    <w:rsid w:val="656F4391"/>
    <w:rsid w:val="65740FB7"/>
    <w:rsid w:val="65759941"/>
    <w:rsid w:val="65764A89"/>
    <w:rsid w:val="6579E943"/>
    <w:rsid w:val="657B4242"/>
    <w:rsid w:val="65807855"/>
    <w:rsid w:val="6586F7DA"/>
    <w:rsid w:val="6587509E"/>
    <w:rsid w:val="658755B3"/>
    <w:rsid w:val="658C4DBE"/>
    <w:rsid w:val="658D81FB"/>
    <w:rsid w:val="658F8649"/>
    <w:rsid w:val="65911859"/>
    <w:rsid w:val="65922C1D"/>
    <w:rsid w:val="65925B20"/>
    <w:rsid w:val="6595C180"/>
    <w:rsid w:val="6596DC60"/>
    <w:rsid w:val="659A38A6"/>
    <w:rsid w:val="659C2F41"/>
    <w:rsid w:val="659CB49C"/>
    <w:rsid w:val="659D3AF7"/>
    <w:rsid w:val="659FF160"/>
    <w:rsid w:val="65A0D0A7"/>
    <w:rsid w:val="65A1E017"/>
    <w:rsid w:val="65A3516A"/>
    <w:rsid w:val="65A41F4C"/>
    <w:rsid w:val="65A4E3F0"/>
    <w:rsid w:val="65A6148B"/>
    <w:rsid w:val="65A6D0E8"/>
    <w:rsid w:val="65A90D00"/>
    <w:rsid w:val="65AA2E36"/>
    <w:rsid w:val="65AEAD79"/>
    <w:rsid w:val="65AF2DC8"/>
    <w:rsid w:val="65B101A5"/>
    <w:rsid w:val="65B23501"/>
    <w:rsid w:val="65B60F46"/>
    <w:rsid w:val="65B6D4F6"/>
    <w:rsid w:val="65B74E3A"/>
    <w:rsid w:val="65B9A0A0"/>
    <w:rsid w:val="65BC1AEE"/>
    <w:rsid w:val="65BCA926"/>
    <w:rsid w:val="65BD77F0"/>
    <w:rsid w:val="65BDC05E"/>
    <w:rsid w:val="65BE5D51"/>
    <w:rsid w:val="65BF3C06"/>
    <w:rsid w:val="65BFBD4F"/>
    <w:rsid w:val="65BFE389"/>
    <w:rsid w:val="65C26496"/>
    <w:rsid w:val="65C7C687"/>
    <w:rsid w:val="65CB2335"/>
    <w:rsid w:val="65CCB236"/>
    <w:rsid w:val="65CE96CA"/>
    <w:rsid w:val="65CF99F3"/>
    <w:rsid w:val="65D013F5"/>
    <w:rsid w:val="65D06B1D"/>
    <w:rsid w:val="65D0D5B9"/>
    <w:rsid w:val="65D32D56"/>
    <w:rsid w:val="65D3C85F"/>
    <w:rsid w:val="65D633EE"/>
    <w:rsid w:val="65D6D6F4"/>
    <w:rsid w:val="65D74C1A"/>
    <w:rsid w:val="65DAA571"/>
    <w:rsid w:val="65DB33E6"/>
    <w:rsid w:val="65DB4A8E"/>
    <w:rsid w:val="65DC85D0"/>
    <w:rsid w:val="65DD5C0F"/>
    <w:rsid w:val="65E149F3"/>
    <w:rsid w:val="65E26B1A"/>
    <w:rsid w:val="65E5541E"/>
    <w:rsid w:val="65E6FEE7"/>
    <w:rsid w:val="65E705B0"/>
    <w:rsid w:val="65ECA385"/>
    <w:rsid w:val="65ECFD55"/>
    <w:rsid w:val="65ED1FB5"/>
    <w:rsid w:val="65F1D09C"/>
    <w:rsid w:val="65F322AA"/>
    <w:rsid w:val="65F5ECF5"/>
    <w:rsid w:val="65F75CF1"/>
    <w:rsid w:val="65F7B485"/>
    <w:rsid w:val="65FA4074"/>
    <w:rsid w:val="6601571C"/>
    <w:rsid w:val="660265DE"/>
    <w:rsid w:val="660ABE8E"/>
    <w:rsid w:val="660B79E9"/>
    <w:rsid w:val="660BB597"/>
    <w:rsid w:val="660BED7F"/>
    <w:rsid w:val="660D3FB4"/>
    <w:rsid w:val="660DCE7A"/>
    <w:rsid w:val="66164F60"/>
    <w:rsid w:val="661D5558"/>
    <w:rsid w:val="661DE943"/>
    <w:rsid w:val="661F7DB2"/>
    <w:rsid w:val="6623B605"/>
    <w:rsid w:val="662C04E4"/>
    <w:rsid w:val="662CF636"/>
    <w:rsid w:val="662ED254"/>
    <w:rsid w:val="66309B44"/>
    <w:rsid w:val="6634E7A0"/>
    <w:rsid w:val="66354EC5"/>
    <w:rsid w:val="66388C82"/>
    <w:rsid w:val="66393264"/>
    <w:rsid w:val="6639C379"/>
    <w:rsid w:val="6639CBA4"/>
    <w:rsid w:val="663B2C77"/>
    <w:rsid w:val="663D18CB"/>
    <w:rsid w:val="663E89C0"/>
    <w:rsid w:val="663EA9C0"/>
    <w:rsid w:val="66417092"/>
    <w:rsid w:val="66434634"/>
    <w:rsid w:val="66446DDE"/>
    <w:rsid w:val="6648D047"/>
    <w:rsid w:val="664CE625"/>
    <w:rsid w:val="664D19DC"/>
    <w:rsid w:val="66510205"/>
    <w:rsid w:val="66582084"/>
    <w:rsid w:val="665851BA"/>
    <w:rsid w:val="665BF2F4"/>
    <w:rsid w:val="6660351B"/>
    <w:rsid w:val="66637F29"/>
    <w:rsid w:val="66675739"/>
    <w:rsid w:val="6668078A"/>
    <w:rsid w:val="66691C0E"/>
    <w:rsid w:val="666A6A97"/>
    <w:rsid w:val="666B996B"/>
    <w:rsid w:val="666BE016"/>
    <w:rsid w:val="6672BEE5"/>
    <w:rsid w:val="66746D5A"/>
    <w:rsid w:val="66781FA9"/>
    <w:rsid w:val="667B4BEC"/>
    <w:rsid w:val="667BB1B1"/>
    <w:rsid w:val="668025AF"/>
    <w:rsid w:val="66855CB7"/>
    <w:rsid w:val="66860B4D"/>
    <w:rsid w:val="6688CCD2"/>
    <w:rsid w:val="668D1F81"/>
    <w:rsid w:val="6691F202"/>
    <w:rsid w:val="6696858F"/>
    <w:rsid w:val="669C0FD8"/>
    <w:rsid w:val="66A1A14E"/>
    <w:rsid w:val="66A66B4A"/>
    <w:rsid w:val="66A827D6"/>
    <w:rsid w:val="66AB80B9"/>
    <w:rsid w:val="66B0FF0E"/>
    <w:rsid w:val="66B35976"/>
    <w:rsid w:val="66B4CBEB"/>
    <w:rsid w:val="66B55037"/>
    <w:rsid w:val="66B997CE"/>
    <w:rsid w:val="66BDCFE5"/>
    <w:rsid w:val="66C075CA"/>
    <w:rsid w:val="66C1B509"/>
    <w:rsid w:val="66C49628"/>
    <w:rsid w:val="66C61DAB"/>
    <w:rsid w:val="66C643EA"/>
    <w:rsid w:val="66C6A3DF"/>
    <w:rsid w:val="66C83FAE"/>
    <w:rsid w:val="66CB1E7C"/>
    <w:rsid w:val="66CE4153"/>
    <w:rsid w:val="66CF2649"/>
    <w:rsid w:val="66CFB1A7"/>
    <w:rsid w:val="66D115C2"/>
    <w:rsid w:val="66D1B7C0"/>
    <w:rsid w:val="66D1BD6D"/>
    <w:rsid w:val="66D42CDC"/>
    <w:rsid w:val="66D76E85"/>
    <w:rsid w:val="66DC3D0C"/>
    <w:rsid w:val="66E2821C"/>
    <w:rsid w:val="66E46885"/>
    <w:rsid w:val="66E5938F"/>
    <w:rsid w:val="66E75AD1"/>
    <w:rsid w:val="66E8303E"/>
    <w:rsid w:val="66EB800B"/>
    <w:rsid w:val="66ECF982"/>
    <w:rsid w:val="66ED3688"/>
    <w:rsid w:val="66EEC47D"/>
    <w:rsid w:val="66F35AEE"/>
    <w:rsid w:val="66FAAE2D"/>
    <w:rsid w:val="66FC0A79"/>
    <w:rsid w:val="66FD9CA5"/>
    <w:rsid w:val="66FE0ED2"/>
    <w:rsid w:val="66FECF5D"/>
    <w:rsid w:val="6702AE81"/>
    <w:rsid w:val="670548AA"/>
    <w:rsid w:val="6705DB9B"/>
    <w:rsid w:val="6706177A"/>
    <w:rsid w:val="670D12B8"/>
    <w:rsid w:val="670D201B"/>
    <w:rsid w:val="671D64AC"/>
    <w:rsid w:val="671FC14A"/>
    <w:rsid w:val="67265D63"/>
    <w:rsid w:val="6727D956"/>
    <w:rsid w:val="672D5CA7"/>
    <w:rsid w:val="6730F555"/>
    <w:rsid w:val="6732089A"/>
    <w:rsid w:val="6733F938"/>
    <w:rsid w:val="67344F80"/>
    <w:rsid w:val="6739A810"/>
    <w:rsid w:val="673B1134"/>
    <w:rsid w:val="673DB1AC"/>
    <w:rsid w:val="674603E9"/>
    <w:rsid w:val="6746735E"/>
    <w:rsid w:val="67483948"/>
    <w:rsid w:val="6748B2E2"/>
    <w:rsid w:val="674968C4"/>
    <w:rsid w:val="6749F591"/>
    <w:rsid w:val="674AE4E9"/>
    <w:rsid w:val="674CFA05"/>
    <w:rsid w:val="674DD5E8"/>
    <w:rsid w:val="674E2EB9"/>
    <w:rsid w:val="6750047C"/>
    <w:rsid w:val="6752592D"/>
    <w:rsid w:val="6756CFBF"/>
    <w:rsid w:val="6761822F"/>
    <w:rsid w:val="67622A39"/>
    <w:rsid w:val="676A8FBA"/>
    <w:rsid w:val="676DF4C1"/>
    <w:rsid w:val="67725FE6"/>
    <w:rsid w:val="6772C686"/>
    <w:rsid w:val="6772E73F"/>
    <w:rsid w:val="67755E75"/>
    <w:rsid w:val="6776DB76"/>
    <w:rsid w:val="677A5A15"/>
    <w:rsid w:val="677BB6AE"/>
    <w:rsid w:val="677DDE83"/>
    <w:rsid w:val="678108EB"/>
    <w:rsid w:val="6784658A"/>
    <w:rsid w:val="6788021C"/>
    <w:rsid w:val="6788F7CC"/>
    <w:rsid w:val="678D7302"/>
    <w:rsid w:val="678F2642"/>
    <w:rsid w:val="679182CA"/>
    <w:rsid w:val="6793954A"/>
    <w:rsid w:val="6795E2B2"/>
    <w:rsid w:val="6799E503"/>
    <w:rsid w:val="67A0F69C"/>
    <w:rsid w:val="67A378D3"/>
    <w:rsid w:val="67A5A658"/>
    <w:rsid w:val="67AA5B67"/>
    <w:rsid w:val="67AC7E3A"/>
    <w:rsid w:val="67AD4311"/>
    <w:rsid w:val="67AF7C02"/>
    <w:rsid w:val="67B1180F"/>
    <w:rsid w:val="67B38E55"/>
    <w:rsid w:val="67B525F2"/>
    <w:rsid w:val="67B52FD2"/>
    <w:rsid w:val="67BA0CA5"/>
    <w:rsid w:val="67BACA4C"/>
    <w:rsid w:val="67C2AAB1"/>
    <w:rsid w:val="67C376E2"/>
    <w:rsid w:val="67C53038"/>
    <w:rsid w:val="67CC0F47"/>
    <w:rsid w:val="67D1A8C6"/>
    <w:rsid w:val="67D392D2"/>
    <w:rsid w:val="67D3D477"/>
    <w:rsid w:val="67D48F30"/>
    <w:rsid w:val="67D8E92C"/>
    <w:rsid w:val="67DC1C9D"/>
    <w:rsid w:val="67DC7619"/>
    <w:rsid w:val="67E6739E"/>
    <w:rsid w:val="67EC4A59"/>
    <w:rsid w:val="67ECE88F"/>
    <w:rsid w:val="67F27558"/>
    <w:rsid w:val="67FDD28D"/>
    <w:rsid w:val="67FEF95F"/>
    <w:rsid w:val="68010A5F"/>
    <w:rsid w:val="68021739"/>
    <w:rsid w:val="6802F4B9"/>
    <w:rsid w:val="6803C550"/>
    <w:rsid w:val="6807337D"/>
    <w:rsid w:val="6809038B"/>
    <w:rsid w:val="680A1120"/>
    <w:rsid w:val="680E38CE"/>
    <w:rsid w:val="680F3020"/>
    <w:rsid w:val="680FE8ED"/>
    <w:rsid w:val="68115675"/>
    <w:rsid w:val="6818EF16"/>
    <w:rsid w:val="681CA05F"/>
    <w:rsid w:val="6820965F"/>
    <w:rsid w:val="682187F7"/>
    <w:rsid w:val="6822FCDA"/>
    <w:rsid w:val="6823C917"/>
    <w:rsid w:val="68263631"/>
    <w:rsid w:val="6826E5D1"/>
    <w:rsid w:val="6827B340"/>
    <w:rsid w:val="682A4E7B"/>
    <w:rsid w:val="682F06CC"/>
    <w:rsid w:val="6833E1A0"/>
    <w:rsid w:val="6834A457"/>
    <w:rsid w:val="6835A313"/>
    <w:rsid w:val="68388F9A"/>
    <w:rsid w:val="6839C144"/>
    <w:rsid w:val="683D62BF"/>
    <w:rsid w:val="6842F575"/>
    <w:rsid w:val="6843C9C8"/>
    <w:rsid w:val="684611F4"/>
    <w:rsid w:val="684F7BDD"/>
    <w:rsid w:val="684F960F"/>
    <w:rsid w:val="684FF256"/>
    <w:rsid w:val="68543B83"/>
    <w:rsid w:val="685A1028"/>
    <w:rsid w:val="685AB7B8"/>
    <w:rsid w:val="685AF3FA"/>
    <w:rsid w:val="6865715E"/>
    <w:rsid w:val="68660D04"/>
    <w:rsid w:val="6867B4B6"/>
    <w:rsid w:val="686D72E4"/>
    <w:rsid w:val="686DFADB"/>
    <w:rsid w:val="6871F66C"/>
    <w:rsid w:val="687391FA"/>
    <w:rsid w:val="68759C27"/>
    <w:rsid w:val="688A288F"/>
    <w:rsid w:val="689282ED"/>
    <w:rsid w:val="689306B9"/>
    <w:rsid w:val="68937547"/>
    <w:rsid w:val="689729DB"/>
    <w:rsid w:val="6897D625"/>
    <w:rsid w:val="689D83D4"/>
    <w:rsid w:val="68A88CBB"/>
    <w:rsid w:val="68AA3B0B"/>
    <w:rsid w:val="68AA9EDE"/>
    <w:rsid w:val="68AAD180"/>
    <w:rsid w:val="68AF8325"/>
    <w:rsid w:val="68B0F352"/>
    <w:rsid w:val="68B336AC"/>
    <w:rsid w:val="68B5AA01"/>
    <w:rsid w:val="68B6BD88"/>
    <w:rsid w:val="68BD4AC8"/>
    <w:rsid w:val="68C24B06"/>
    <w:rsid w:val="68C2D1D6"/>
    <w:rsid w:val="68C3A6E0"/>
    <w:rsid w:val="68C47EEB"/>
    <w:rsid w:val="68C8650F"/>
    <w:rsid w:val="68C9987C"/>
    <w:rsid w:val="68CFA49C"/>
    <w:rsid w:val="68D0974A"/>
    <w:rsid w:val="68D3E705"/>
    <w:rsid w:val="68D46A4B"/>
    <w:rsid w:val="68D7004E"/>
    <w:rsid w:val="68D76FDE"/>
    <w:rsid w:val="68D8E69D"/>
    <w:rsid w:val="68DA7BD6"/>
    <w:rsid w:val="68DCFA2D"/>
    <w:rsid w:val="68DD50FA"/>
    <w:rsid w:val="68E612D7"/>
    <w:rsid w:val="68E74371"/>
    <w:rsid w:val="68ECE342"/>
    <w:rsid w:val="68EE1998"/>
    <w:rsid w:val="68F29E3C"/>
    <w:rsid w:val="68F5DB22"/>
    <w:rsid w:val="68FC45BE"/>
    <w:rsid w:val="68FD907C"/>
    <w:rsid w:val="6908DCBD"/>
    <w:rsid w:val="6909706B"/>
    <w:rsid w:val="690DF57E"/>
    <w:rsid w:val="690E06ED"/>
    <w:rsid w:val="690F7D7D"/>
    <w:rsid w:val="6912DE88"/>
    <w:rsid w:val="6913124C"/>
    <w:rsid w:val="691440E0"/>
    <w:rsid w:val="691CC096"/>
    <w:rsid w:val="691DE7BC"/>
    <w:rsid w:val="691E2430"/>
    <w:rsid w:val="691FBCB6"/>
    <w:rsid w:val="69204D2D"/>
    <w:rsid w:val="692940EA"/>
    <w:rsid w:val="692B6695"/>
    <w:rsid w:val="692B7275"/>
    <w:rsid w:val="692E62D9"/>
    <w:rsid w:val="69322EAD"/>
    <w:rsid w:val="693A96CA"/>
    <w:rsid w:val="693E5E6E"/>
    <w:rsid w:val="694C1BF8"/>
    <w:rsid w:val="694D7371"/>
    <w:rsid w:val="6951BDF5"/>
    <w:rsid w:val="6956B843"/>
    <w:rsid w:val="6962A918"/>
    <w:rsid w:val="696388CB"/>
    <w:rsid w:val="6964F3F5"/>
    <w:rsid w:val="69653043"/>
    <w:rsid w:val="69654291"/>
    <w:rsid w:val="69672936"/>
    <w:rsid w:val="69679068"/>
    <w:rsid w:val="696930E1"/>
    <w:rsid w:val="696B6358"/>
    <w:rsid w:val="696D5A53"/>
    <w:rsid w:val="696E9D0A"/>
    <w:rsid w:val="69714A50"/>
    <w:rsid w:val="6975712F"/>
    <w:rsid w:val="69759EFE"/>
    <w:rsid w:val="697697EE"/>
    <w:rsid w:val="6978B1DC"/>
    <w:rsid w:val="698033DE"/>
    <w:rsid w:val="698276C8"/>
    <w:rsid w:val="6984D2C3"/>
    <w:rsid w:val="69880B22"/>
    <w:rsid w:val="698C5761"/>
    <w:rsid w:val="6991CF85"/>
    <w:rsid w:val="6992FB23"/>
    <w:rsid w:val="69936BE4"/>
    <w:rsid w:val="6993DEE1"/>
    <w:rsid w:val="6993E388"/>
    <w:rsid w:val="6997F134"/>
    <w:rsid w:val="699E120F"/>
    <w:rsid w:val="69A0DD08"/>
    <w:rsid w:val="69A24EEF"/>
    <w:rsid w:val="69A41880"/>
    <w:rsid w:val="69A5E6B3"/>
    <w:rsid w:val="69ACC24E"/>
    <w:rsid w:val="69ACC2A1"/>
    <w:rsid w:val="69AD51A9"/>
    <w:rsid w:val="69AF817C"/>
    <w:rsid w:val="69B434C0"/>
    <w:rsid w:val="69B777D6"/>
    <w:rsid w:val="69B92A22"/>
    <w:rsid w:val="69C003F1"/>
    <w:rsid w:val="69C21389"/>
    <w:rsid w:val="69C2549C"/>
    <w:rsid w:val="69C68329"/>
    <w:rsid w:val="69C6B416"/>
    <w:rsid w:val="69C92826"/>
    <w:rsid w:val="69CA4D1F"/>
    <w:rsid w:val="69CB7C96"/>
    <w:rsid w:val="69CCD3BE"/>
    <w:rsid w:val="69CEB9BD"/>
    <w:rsid w:val="69CF4D43"/>
    <w:rsid w:val="69D0BE88"/>
    <w:rsid w:val="69D37300"/>
    <w:rsid w:val="69D3BE47"/>
    <w:rsid w:val="69D8F120"/>
    <w:rsid w:val="69DCB76B"/>
    <w:rsid w:val="69DFD243"/>
    <w:rsid w:val="69E56966"/>
    <w:rsid w:val="69EA1EAA"/>
    <w:rsid w:val="69ECCE87"/>
    <w:rsid w:val="69F9A165"/>
    <w:rsid w:val="69FB7B0E"/>
    <w:rsid w:val="69FBBD23"/>
    <w:rsid w:val="69FF0971"/>
    <w:rsid w:val="6A02F10C"/>
    <w:rsid w:val="6A0889B2"/>
    <w:rsid w:val="6A0AB903"/>
    <w:rsid w:val="6A0DF3D3"/>
    <w:rsid w:val="6A0F54A6"/>
    <w:rsid w:val="6A118624"/>
    <w:rsid w:val="6A130DFD"/>
    <w:rsid w:val="6A15780D"/>
    <w:rsid w:val="6A217219"/>
    <w:rsid w:val="6A26B975"/>
    <w:rsid w:val="6A289B9E"/>
    <w:rsid w:val="6A2A1D1A"/>
    <w:rsid w:val="6A2EC661"/>
    <w:rsid w:val="6A2F73F6"/>
    <w:rsid w:val="6A358F81"/>
    <w:rsid w:val="6A397A9F"/>
    <w:rsid w:val="6A3B69E5"/>
    <w:rsid w:val="6A3CD665"/>
    <w:rsid w:val="6A3FCB4B"/>
    <w:rsid w:val="6A40CBF7"/>
    <w:rsid w:val="6A423664"/>
    <w:rsid w:val="6A48FB32"/>
    <w:rsid w:val="6A4A012C"/>
    <w:rsid w:val="6A4A9D2C"/>
    <w:rsid w:val="6A530739"/>
    <w:rsid w:val="6A560B89"/>
    <w:rsid w:val="6A569DBB"/>
    <w:rsid w:val="6A5B1E88"/>
    <w:rsid w:val="6A6293D4"/>
    <w:rsid w:val="6A654A44"/>
    <w:rsid w:val="6A6AA75A"/>
    <w:rsid w:val="6A6D4BF2"/>
    <w:rsid w:val="6A795B61"/>
    <w:rsid w:val="6A7D70DE"/>
    <w:rsid w:val="6A7D9F59"/>
    <w:rsid w:val="6A8104B9"/>
    <w:rsid w:val="6A838439"/>
    <w:rsid w:val="6A84B05B"/>
    <w:rsid w:val="6A8B0C47"/>
    <w:rsid w:val="6A8B52F9"/>
    <w:rsid w:val="6A9027FC"/>
    <w:rsid w:val="6A9A57F2"/>
    <w:rsid w:val="6A9EEBC2"/>
    <w:rsid w:val="6AA30279"/>
    <w:rsid w:val="6AA76926"/>
    <w:rsid w:val="6AA79495"/>
    <w:rsid w:val="6AA97B3D"/>
    <w:rsid w:val="6AAA487D"/>
    <w:rsid w:val="6AB0133D"/>
    <w:rsid w:val="6AB2D44D"/>
    <w:rsid w:val="6AB76C01"/>
    <w:rsid w:val="6AB87720"/>
    <w:rsid w:val="6ABB0513"/>
    <w:rsid w:val="6ABB12E3"/>
    <w:rsid w:val="6ABCC0FD"/>
    <w:rsid w:val="6AC43024"/>
    <w:rsid w:val="6AC6BB23"/>
    <w:rsid w:val="6ACB1F29"/>
    <w:rsid w:val="6ACCAC74"/>
    <w:rsid w:val="6AD8C076"/>
    <w:rsid w:val="6AD9EB69"/>
    <w:rsid w:val="6ADC6CFF"/>
    <w:rsid w:val="6ADE0ECE"/>
    <w:rsid w:val="6AE28077"/>
    <w:rsid w:val="6AE32A8D"/>
    <w:rsid w:val="6AE4A5B7"/>
    <w:rsid w:val="6AE4E3D3"/>
    <w:rsid w:val="6AE77314"/>
    <w:rsid w:val="6AE775EA"/>
    <w:rsid w:val="6AE8708A"/>
    <w:rsid w:val="6AE99B30"/>
    <w:rsid w:val="6AE9D154"/>
    <w:rsid w:val="6AE9D250"/>
    <w:rsid w:val="6AEBDBFC"/>
    <w:rsid w:val="6AECC038"/>
    <w:rsid w:val="6AF251A0"/>
    <w:rsid w:val="6AF2A92D"/>
    <w:rsid w:val="6AF4BEB0"/>
    <w:rsid w:val="6AF5E696"/>
    <w:rsid w:val="6AF843F8"/>
    <w:rsid w:val="6AF872C1"/>
    <w:rsid w:val="6AF89AC5"/>
    <w:rsid w:val="6AFAB32F"/>
    <w:rsid w:val="6AFCD391"/>
    <w:rsid w:val="6AFD626D"/>
    <w:rsid w:val="6AFE6811"/>
    <w:rsid w:val="6B0B1160"/>
    <w:rsid w:val="6B0BD18A"/>
    <w:rsid w:val="6B0DC741"/>
    <w:rsid w:val="6B159504"/>
    <w:rsid w:val="6B15F554"/>
    <w:rsid w:val="6B1CCB62"/>
    <w:rsid w:val="6B1DDB6E"/>
    <w:rsid w:val="6B266DAD"/>
    <w:rsid w:val="6B2980A5"/>
    <w:rsid w:val="6B2EDE13"/>
    <w:rsid w:val="6B309445"/>
    <w:rsid w:val="6B33F948"/>
    <w:rsid w:val="6B387BD4"/>
    <w:rsid w:val="6B39CC48"/>
    <w:rsid w:val="6B3E29F7"/>
    <w:rsid w:val="6B3FE755"/>
    <w:rsid w:val="6B451B02"/>
    <w:rsid w:val="6B47B37B"/>
    <w:rsid w:val="6B483A5F"/>
    <w:rsid w:val="6B4CAA4B"/>
    <w:rsid w:val="6B4CEE7A"/>
    <w:rsid w:val="6B584D10"/>
    <w:rsid w:val="6B5924AA"/>
    <w:rsid w:val="6B5DD3E3"/>
    <w:rsid w:val="6B5EB254"/>
    <w:rsid w:val="6B637C7C"/>
    <w:rsid w:val="6B672E07"/>
    <w:rsid w:val="6B6AA548"/>
    <w:rsid w:val="6B6F6539"/>
    <w:rsid w:val="6B74D87F"/>
    <w:rsid w:val="6B75302D"/>
    <w:rsid w:val="6B7C9ACA"/>
    <w:rsid w:val="6B7DCBBC"/>
    <w:rsid w:val="6B7E105E"/>
    <w:rsid w:val="6B81566D"/>
    <w:rsid w:val="6B835BD8"/>
    <w:rsid w:val="6B89AE12"/>
    <w:rsid w:val="6B8A8E5A"/>
    <w:rsid w:val="6B8B20F8"/>
    <w:rsid w:val="6B8BE7E9"/>
    <w:rsid w:val="6B8C98A2"/>
    <w:rsid w:val="6B8DCDC5"/>
    <w:rsid w:val="6B919033"/>
    <w:rsid w:val="6B95C9BA"/>
    <w:rsid w:val="6B9779E1"/>
    <w:rsid w:val="6BA2B0D1"/>
    <w:rsid w:val="6BA2F97C"/>
    <w:rsid w:val="6BA459D4"/>
    <w:rsid w:val="6BA4CDFD"/>
    <w:rsid w:val="6BA89784"/>
    <w:rsid w:val="6BA9519E"/>
    <w:rsid w:val="6BAA5B69"/>
    <w:rsid w:val="6BAC5666"/>
    <w:rsid w:val="6BADC000"/>
    <w:rsid w:val="6BB3E33B"/>
    <w:rsid w:val="6BB4EC4D"/>
    <w:rsid w:val="6BB503F6"/>
    <w:rsid w:val="6BB57E11"/>
    <w:rsid w:val="6BB59CFC"/>
    <w:rsid w:val="6BB79265"/>
    <w:rsid w:val="6BB92D42"/>
    <w:rsid w:val="6BBB83E6"/>
    <w:rsid w:val="6BBBA161"/>
    <w:rsid w:val="6BBEA04E"/>
    <w:rsid w:val="6BBEDA9D"/>
    <w:rsid w:val="6BC13E87"/>
    <w:rsid w:val="6BC15941"/>
    <w:rsid w:val="6BC3B902"/>
    <w:rsid w:val="6BC3FAA2"/>
    <w:rsid w:val="6BC48E41"/>
    <w:rsid w:val="6BC6B615"/>
    <w:rsid w:val="6BC92BCD"/>
    <w:rsid w:val="6BCC8F86"/>
    <w:rsid w:val="6BCD4690"/>
    <w:rsid w:val="6BCDAE3F"/>
    <w:rsid w:val="6BD30AA2"/>
    <w:rsid w:val="6BD3C1C6"/>
    <w:rsid w:val="6BD4F643"/>
    <w:rsid w:val="6BD52496"/>
    <w:rsid w:val="6BDBC211"/>
    <w:rsid w:val="6BDD6AED"/>
    <w:rsid w:val="6BDFE657"/>
    <w:rsid w:val="6BE2F78E"/>
    <w:rsid w:val="6BE373DB"/>
    <w:rsid w:val="6BE99245"/>
    <w:rsid w:val="6BF7446A"/>
    <w:rsid w:val="6BF7EFCD"/>
    <w:rsid w:val="6BF7F52D"/>
    <w:rsid w:val="6BF985B6"/>
    <w:rsid w:val="6BFCE3E4"/>
    <w:rsid w:val="6BFFB45E"/>
    <w:rsid w:val="6C006788"/>
    <w:rsid w:val="6C024457"/>
    <w:rsid w:val="6C061DE4"/>
    <w:rsid w:val="6C06B366"/>
    <w:rsid w:val="6C0AC158"/>
    <w:rsid w:val="6C0DFEED"/>
    <w:rsid w:val="6C129D70"/>
    <w:rsid w:val="6C157718"/>
    <w:rsid w:val="6C18255C"/>
    <w:rsid w:val="6C19B1E9"/>
    <w:rsid w:val="6C211879"/>
    <w:rsid w:val="6C22813C"/>
    <w:rsid w:val="6C230C5A"/>
    <w:rsid w:val="6C2C6620"/>
    <w:rsid w:val="6C2D9C4A"/>
    <w:rsid w:val="6C31A595"/>
    <w:rsid w:val="6C3DBAD3"/>
    <w:rsid w:val="6C3E93A9"/>
    <w:rsid w:val="6C437C5D"/>
    <w:rsid w:val="6C45AECC"/>
    <w:rsid w:val="6C47C4C4"/>
    <w:rsid w:val="6C4EC91B"/>
    <w:rsid w:val="6C513453"/>
    <w:rsid w:val="6C5140E8"/>
    <w:rsid w:val="6C53B762"/>
    <w:rsid w:val="6C568498"/>
    <w:rsid w:val="6C5AD496"/>
    <w:rsid w:val="6C5D4EF0"/>
    <w:rsid w:val="6C5E1408"/>
    <w:rsid w:val="6C5F09E9"/>
    <w:rsid w:val="6C60D120"/>
    <w:rsid w:val="6C6ACFFC"/>
    <w:rsid w:val="6C6E4963"/>
    <w:rsid w:val="6C739B52"/>
    <w:rsid w:val="6C798689"/>
    <w:rsid w:val="6C7E60AE"/>
    <w:rsid w:val="6C7EDE63"/>
    <w:rsid w:val="6C810150"/>
    <w:rsid w:val="6C812194"/>
    <w:rsid w:val="6C81A924"/>
    <w:rsid w:val="6C81CB42"/>
    <w:rsid w:val="6C8369CC"/>
    <w:rsid w:val="6C839857"/>
    <w:rsid w:val="6C870BAF"/>
    <w:rsid w:val="6C88714A"/>
    <w:rsid w:val="6C8E0201"/>
    <w:rsid w:val="6C9272B9"/>
    <w:rsid w:val="6C932461"/>
    <w:rsid w:val="6C9485A2"/>
    <w:rsid w:val="6C96EE83"/>
    <w:rsid w:val="6C9CCA3E"/>
    <w:rsid w:val="6C9E04CD"/>
    <w:rsid w:val="6C9E0A3B"/>
    <w:rsid w:val="6C9F2C45"/>
    <w:rsid w:val="6CAA14FB"/>
    <w:rsid w:val="6CAD22AE"/>
    <w:rsid w:val="6CAE39D1"/>
    <w:rsid w:val="6CAECBE0"/>
    <w:rsid w:val="6CB2C9AE"/>
    <w:rsid w:val="6CB5D339"/>
    <w:rsid w:val="6CB62731"/>
    <w:rsid w:val="6CBF532F"/>
    <w:rsid w:val="6CC113AF"/>
    <w:rsid w:val="6CC4AFDB"/>
    <w:rsid w:val="6CC5E8A5"/>
    <w:rsid w:val="6CCA553F"/>
    <w:rsid w:val="6CCB43A5"/>
    <w:rsid w:val="6CCD7C62"/>
    <w:rsid w:val="6CD277D0"/>
    <w:rsid w:val="6CD5B6A1"/>
    <w:rsid w:val="6CD979F1"/>
    <w:rsid w:val="6CDA5C5C"/>
    <w:rsid w:val="6CDA9E4A"/>
    <w:rsid w:val="6CDF0481"/>
    <w:rsid w:val="6CDF09FC"/>
    <w:rsid w:val="6CE04883"/>
    <w:rsid w:val="6CE08A65"/>
    <w:rsid w:val="6CE1BF1B"/>
    <w:rsid w:val="6CE1DFF4"/>
    <w:rsid w:val="6CE291F7"/>
    <w:rsid w:val="6CE64AC2"/>
    <w:rsid w:val="6CE8A28B"/>
    <w:rsid w:val="6CED23BD"/>
    <w:rsid w:val="6CED4BB7"/>
    <w:rsid w:val="6CF105D8"/>
    <w:rsid w:val="6CF4EAB5"/>
    <w:rsid w:val="6CF7D9CF"/>
    <w:rsid w:val="6CFE920B"/>
    <w:rsid w:val="6D02E041"/>
    <w:rsid w:val="6D05C920"/>
    <w:rsid w:val="6D08C971"/>
    <w:rsid w:val="6D0956CE"/>
    <w:rsid w:val="6D09B6C3"/>
    <w:rsid w:val="6D0BA24C"/>
    <w:rsid w:val="6D0CBCAA"/>
    <w:rsid w:val="6D0CE81F"/>
    <w:rsid w:val="6D0ED141"/>
    <w:rsid w:val="6D152C7C"/>
    <w:rsid w:val="6D156943"/>
    <w:rsid w:val="6D1A6439"/>
    <w:rsid w:val="6D1DE420"/>
    <w:rsid w:val="6D2AD544"/>
    <w:rsid w:val="6D2E1E5B"/>
    <w:rsid w:val="6D2F3544"/>
    <w:rsid w:val="6D34D27A"/>
    <w:rsid w:val="6D3793D2"/>
    <w:rsid w:val="6D3B867E"/>
    <w:rsid w:val="6D3C77D2"/>
    <w:rsid w:val="6D3DD272"/>
    <w:rsid w:val="6D3DFC95"/>
    <w:rsid w:val="6D3F4BAA"/>
    <w:rsid w:val="6D454F62"/>
    <w:rsid w:val="6D46B028"/>
    <w:rsid w:val="6D47031D"/>
    <w:rsid w:val="6D48C1A1"/>
    <w:rsid w:val="6D51694E"/>
    <w:rsid w:val="6D53D481"/>
    <w:rsid w:val="6D54D513"/>
    <w:rsid w:val="6D5DFF08"/>
    <w:rsid w:val="6D5E409A"/>
    <w:rsid w:val="6D5FCA6C"/>
    <w:rsid w:val="6D63E936"/>
    <w:rsid w:val="6D6B9F90"/>
    <w:rsid w:val="6D6DFDF3"/>
    <w:rsid w:val="6D70F4F7"/>
    <w:rsid w:val="6D75FB11"/>
    <w:rsid w:val="6D77E9FA"/>
    <w:rsid w:val="6D793EB6"/>
    <w:rsid w:val="6D8A84C1"/>
    <w:rsid w:val="6D8B2C2B"/>
    <w:rsid w:val="6D8FE1DE"/>
    <w:rsid w:val="6D90946A"/>
    <w:rsid w:val="6D916B06"/>
    <w:rsid w:val="6D9312DF"/>
    <w:rsid w:val="6D960432"/>
    <w:rsid w:val="6D99C169"/>
    <w:rsid w:val="6D9D0F5C"/>
    <w:rsid w:val="6DA0CD11"/>
    <w:rsid w:val="6DA0DF1C"/>
    <w:rsid w:val="6DA208A2"/>
    <w:rsid w:val="6DA415F0"/>
    <w:rsid w:val="6DA962F3"/>
    <w:rsid w:val="6DAAB699"/>
    <w:rsid w:val="6DAC1C33"/>
    <w:rsid w:val="6DB43D56"/>
    <w:rsid w:val="6DB4F5ED"/>
    <w:rsid w:val="6DB51752"/>
    <w:rsid w:val="6DBDBA3B"/>
    <w:rsid w:val="6DBDE8C4"/>
    <w:rsid w:val="6DC05283"/>
    <w:rsid w:val="6DC0801C"/>
    <w:rsid w:val="6DC1EA71"/>
    <w:rsid w:val="6DC40D78"/>
    <w:rsid w:val="6DC4DACC"/>
    <w:rsid w:val="6DC7A891"/>
    <w:rsid w:val="6DC7C074"/>
    <w:rsid w:val="6DC871E8"/>
    <w:rsid w:val="6DC8CB0D"/>
    <w:rsid w:val="6DC8DBC7"/>
    <w:rsid w:val="6DCE3D8B"/>
    <w:rsid w:val="6DCFAC7F"/>
    <w:rsid w:val="6DD0767F"/>
    <w:rsid w:val="6DD11576"/>
    <w:rsid w:val="6DD37F41"/>
    <w:rsid w:val="6DD7D728"/>
    <w:rsid w:val="6DD81A57"/>
    <w:rsid w:val="6DDB88C2"/>
    <w:rsid w:val="6DE41F94"/>
    <w:rsid w:val="6DE76DA5"/>
    <w:rsid w:val="6DE94612"/>
    <w:rsid w:val="6DE963BE"/>
    <w:rsid w:val="6DECE916"/>
    <w:rsid w:val="6DEDABA7"/>
    <w:rsid w:val="6DF4BEC6"/>
    <w:rsid w:val="6DFA1F4A"/>
    <w:rsid w:val="6DFBE418"/>
    <w:rsid w:val="6DFF4296"/>
    <w:rsid w:val="6E01E419"/>
    <w:rsid w:val="6E0350AB"/>
    <w:rsid w:val="6E0370A7"/>
    <w:rsid w:val="6E0838E8"/>
    <w:rsid w:val="6E0A22C0"/>
    <w:rsid w:val="6E0C676C"/>
    <w:rsid w:val="6E0D7FD0"/>
    <w:rsid w:val="6E0DA6E0"/>
    <w:rsid w:val="6E0E1E80"/>
    <w:rsid w:val="6E13958B"/>
    <w:rsid w:val="6E184A93"/>
    <w:rsid w:val="6E1B9A84"/>
    <w:rsid w:val="6E1F147E"/>
    <w:rsid w:val="6E1F3352"/>
    <w:rsid w:val="6E22B767"/>
    <w:rsid w:val="6E243BD3"/>
    <w:rsid w:val="6E251EF2"/>
    <w:rsid w:val="6E2A36C5"/>
    <w:rsid w:val="6E2AA7F6"/>
    <w:rsid w:val="6E2D100A"/>
    <w:rsid w:val="6E30E376"/>
    <w:rsid w:val="6E390437"/>
    <w:rsid w:val="6E3AC610"/>
    <w:rsid w:val="6E45AE41"/>
    <w:rsid w:val="6E49A394"/>
    <w:rsid w:val="6E4B6945"/>
    <w:rsid w:val="6E51436D"/>
    <w:rsid w:val="6E51E0CB"/>
    <w:rsid w:val="6E5286E6"/>
    <w:rsid w:val="6E5488DE"/>
    <w:rsid w:val="6E576F67"/>
    <w:rsid w:val="6E5A279F"/>
    <w:rsid w:val="6E5A9C2B"/>
    <w:rsid w:val="6E5BAC85"/>
    <w:rsid w:val="6E61497F"/>
    <w:rsid w:val="6E65D648"/>
    <w:rsid w:val="6E6DFB60"/>
    <w:rsid w:val="6E731687"/>
    <w:rsid w:val="6E7A1629"/>
    <w:rsid w:val="6E7D0C2A"/>
    <w:rsid w:val="6E820E22"/>
    <w:rsid w:val="6E8256D6"/>
    <w:rsid w:val="6E8312E0"/>
    <w:rsid w:val="6E85BDD5"/>
    <w:rsid w:val="6E85D3A2"/>
    <w:rsid w:val="6E875D1F"/>
    <w:rsid w:val="6E8A1192"/>
    <w:rsid w:val="6E8A2970"/>
    <w:rsid w:val="6E967134"/>
    <w:rsid w:val="6E980E43"/>
    <w:rsid w:val="6E993F90"/>
    <w:rsid w:val="6E99BBF2"/>
    <w:rsid w:val="6EA0E5FE"/>
    <w:rsid w:val="6EA34125"/>
    <w:rsid w:val="6EA575CE"/>
    <w:rsid w:val="6EA79290"/>
    <w:rsid w:val="6EAB5ADC"/>
    <w:rsid w:val="6EABA5BD"/>
    <w:rsid w:val="6EAD9D9E"/>
    <w:rsid w:val="6EB196E9"/>
    <w:rsid w:val="6EB2D1B0"/>
    <w:rsid w:val="6EB5267C"/>
    <w:rsid w:val="6EB7218F"/>
    <w:rsid w:val="6EB99BBC"/>
    <w:rsid w:val="6EBC60FB"/>
    <w:rsid w:val="6EBD162C"/>
    <w:rsid w:val="6EBDC0AF"/>
    <w:rsid w:val="6EBFAAD0"/>
    <w:rsid w:val="6EBFC501"/>
    <w:rsid w:val="6EC1A33D"/>
    <w:rsid w:val="6EC48FDD"/>
    <w:rsid w:val="6EC68075"/>
    <w:rsid w:val="6ECB9EE9"/>
    <w:rsid w:val="6ECDD906"/>
    <w:rsid w:val="6ECFEBA5"/>
    <w:rsid w:val="6ED552EB"/>
    <w:rsid w:val="6ED5BCA9"/>
    <w:rsid w:val="6ED5BE23"/>
    <w:rsid w:val="6ED9183C"/>
    <w:rsid w:val="6EDB0A43"/>
    <w:rsid w:val="6EDF8C2C"/>
    <w:rsid w:val="6EE56AAA"/>
    <w:rsid w:val="6EE60841"/>
    <w:rsid w:val="6EE88D8E"/>
    <w:rsid w:val="6EF080D2"/>
    <w:rsid w:val="6EF255AD"/>
    <w:rsid w:val="6EF3BECB"/>
    <w:rsid w:val="6EF4732F"/>
    <w:rsid w:val="6EF5A09E"/>
    <w:rsid w:val="6EF5F158"/>
    <w:rsid w:val="6EFB15DA"/>
    <w:rsid w:val="6EFB3BCD"/>
    <w:rsid w:val="6F024D5F"/>
    <w:rsid w:val="6F03D26F"/>
    <w:rsid w:val="6F03EA33"/>
    <w:rsid w:val="6F053F4F"/>
    <w:rsid w:val="6F0587E0"/>
    <w:rsid w:val="6F05F54A"/>
    <w:rsid w:val="6F10488C"/>
    <w:rsid w:val="6F13BC9B"/>
    <w:rsid w:val="6F147C5A"/>
    <w:rsid w:val="6F1556F0"/>
    <w:rsid w:val="6F157F4E"/>
    <w:rsid w:val="6F1B1227"/>
    <w:rsid w:val="6F226AB4"/>
    <w:rsid w:val="6F247C5D"/>
    <w:rsid w:val="6F2579A8"/>
    <w:rsid w:val="6F293D47"/>
    <w:rsid w:val="6F2BFC0A"/>
    <w:rsid w:val="6F2CE0AC"/>
    <w:rsid w:val="6F2DC716"/>
    <w:rsid w:val="6F2FAA09"/>
    <w:rsid w:val="6F30B3CC"/>
    <w:rsid w:val="6F36CE63"/>
    <w:rsid w:val="6F37B3A8"/>
    <w:rsid w:val="6F387CA5"/>
    <w:rsid w:val="6F414CA7"/>
    <w:rsid w:val="6F4546D8"/>
    <w:rsid w:val="6F48EF68"/>
    <w:rsid w:val="6F494213"/>
    <w:rsid w:val="6F4A8459"/>
    <w:rsid w:val="6F4D01C9"/>
    <w:rsid w:val="6F504F7D"/>
    <w:rsid w:val="6F5459E6"/>
    <w:rsid w:val="6F5D99F9"/>
    <w:rsid w:val="6F5FC877"/>
    <w:rsid w:val="6F6762EC"/>
    <w:rsid w:val="6F68B519"/>
    <w:rsid w:val="6F6AD3B5"/>
    <w:rsid w:val="6F6AFEB5"/>
    <w:rsid w:val="6F6DEB98"/>
    <w:rsid w:val="6F6F9539"/>
    <w:rsid w:val="6F71B1E8"/>
    <w:rsid w:val="6F76DB2F"/>
    <w:rsid w:val="6F78D6BB"/>
    <w:rsid w:val="6F796778"/>
    <w:rsid w:val="6F7AD98E"/>
    <w:rsid w:val="6F81D2CB"/>
    <w:rsid w:val="6F877DA3"/>
    <w:rsid w:val="6F883BAA"/>
    <w:rsid w:val="6F8AD124"/>
    <w:rsid w:val="6F8B6FFD"/>
    <w:rsid w:val="6F8E4D3C"/>
    <w:rsid w:val="6F8E6C92"/>
    <w:rsid w:val="6F95D33F"/>
    <w:rsid w:val="6F981F1B"/>
    <w:rsid w:val="6F995852"/>
    <w:rsid w:val="6F9B9701"/>
    <w:rsid w:val="6F9F7F5F"/>
    <w:rsid w:val="6FA11C4A"/>
    <w:rsid w:val="6FA2AA81"/>
    <w:rsid w:val="6FA6CBA6"/>
    <w:rsid w:val="6FA867F4"/>
    <w:rsid w:val="6FAA0F5E"/>
    <w:rsid w:val="6FABAFE6"/>
    <w:rsid w:val="6FB1C347"/>
    <w:rsid w:val="6FBEAC71"/>
    <w:rsid w:val="6FBEEC4E"/>
    <w:rsid w:val="6FC1FCAE"/>
    <w:rsid w:val="6FC99E85"/>
    <w:rsid w:val="6FCA4DBA"/>
    <w:rsid w:val="6FCC1162"/>
    <w:rsid w:val="6FCEBEF9"/>
    <w:rsid w:val="6FD0BE01"/>
    <w:rsid w:val="6FD43FC7"/>
    <w:rsid w:val="6FD4D498"/>
    <w:rsid w:val="6FD6CE62"/>
    <w:rsid w:val="6FDBF03B"/>
    <w:rsid w:val="6FDD608B"/>
    <w:rsid w:val="6FDDDE8E"/>
    <w:rsid w:val="6FDF1511"/>
    <w:rsid w:val="6FDF7A73"/>
    <w:rsid w:val="6FE1B5BD"/>
    <w:rsid w:val="6FE44C71"/>
    <w:rsid w:val="6FE7D148"/>
    <w:rsid w:val="6FECC419"/>
    <w:rsid w:val="6FF19603"/>
    <w:rsid w:val="6FF9F95B"/>
    <w:rsid w:val="6FFCF280"/>
    <w:rsid w:val="6FFD742E"/>
    <w:rsid w:val="6FFFB4A5"/>
    <w:rsid w:val="7007AC1B"/>
    <w:rsid w:val="7009FE81"/>
    <w:rsid w:val="700D4D34"/>
    <w:rsid w:val="70115920"/>
    <w:rsid w:val="70145CE9"/>
    <w:rsid w:val="7017E945"/>
    <w:rsid w:val="70182B27"/>
    <w:rsid w:val="7018BEBB"/>
    <w:rsid w:val="701A8066"/>
    <w:rsid w:val="701F12D0"/>
    <w:rsid w:val="7026FE25"/>
    <w:rsid w:val="702E57F6"/>
    <w:rsid w:val="70373E8D"/>
    <w:rsid w:val="70391C92"/>
    <w:rsid w:val="703D28A8"/>
    <w:rsid w:val="70407418"/>
    <w:rsid w:val="70474E48"/>
    <w:rsid w:val="7048E6C5"/>
    <w:rsid w:val="704AA875"/>
    <w:rsid w:val="704D5E9D"/>
    <w:rsid w:val="704E7C9B"/>
    <w:rsid w:val="7050075E"/>
    <w:rsid w:val="70522382"/>
    <w:rsid w:val="7053B976"/>
    <w:rsid w:val="705CF925"/>
    <w:rsid w:val="70661353"/>
    <w:rsid w:val="70666290"/>
    <w:rsid w:val="7068EBAC"/>
    <w:rsid w:val="7069A69F"/>
    <w:rsid w:val="706C64EC"/>
    <w:rsid w:val="706FA2FA"/>
    <w:rsid w:val="70705F40"/>
    <w:rsid w:val="70741B24"/>
    <w:rsid w:val="707AEB91"/>
    <w:rsid w:val="707EE3DD"/>
    <w:rsid w:val="70811DE9"/>
    <w:rsid w:val="7084FC45"/>
    <w:rsid w:val="708598CE"/>
    <w:rsid w:val="708C5EAF"/>
    <w:rsid w:val="708DA62B"/>
    <w:rsid w:val="70906E48"/>
    <w:rsid w:val="709260F0"/>
    <w:rsid w:val="70969F6C"/>
    <w:rsid w:val="7096A6F9"/>
    <w:rsid w:val="7096F4B7"/>
    <w:rsid w:val="70979DFA"/>
    <w:rsid w:val="70991E1B"/>
    <w:rsid w:val="709AD720"/>
    <w:rsid w:val="709C8720"/>
    <w:rsid w:val="709E36CA"/>
    <w:rsid w:val="709E9E1D"/>
    <w:rsid w:val="70A076C7"/>
    <w:rsid w:val="70A2EC02"/>
    <w:rsid w:val="70A33055"/>
    <w:rsid w:val="70A3A77C"/>
    <w:rsid w:val="70A41BD6"/>
    <w:rsid w:val="70A59578"/>
    <w:rsid w:val="70A5F50F"/>
    <w:rsid w:val="70A895B9"/>
    <w:rsid w:val="70AABD9E"/>
    <w:rsid w:val="70B0DC10"/>
    <w:rsid w:val="70B17D1D"/>
    <w:rsid w:val="70B36E01"/>
    <w:rsid w:val="70B390BA"/>
    <w:rsid w:val="70B65804"/>
    <w:rsid w:val="70B749C2"/>
    <w:rsid w:val="70B89209"/>
    <w:rsid w:val="70BB6491"/>
    <w:rsid w:val="70BDFDAC"/>
    <w:rsid w:val="70C5B62C"/>
    <w:rsid w:val="70C6BCE4"/>
    <w:rsid w:val="70C7B892"/>
    <w:rsid w:val="70C9E7C1"/>
    <w:rsid w:val="70CFF4AD"/>
    <w:rsid w:val="70D2228F"/>
    <w:rsid w:val="70D2B353"/>
    <w:rsid w:val="70D5DD49"/>
    <w:rsid w:val="70D8B4C4"/>
    <w:rsid w:val="70D8EFB6"/>
    <w:rsid w:val="70DC1E95"/>
    <w:rsid w:val="70DC3201"/>
    <w:rsid w:val="70DDF806"/>
    <w:rsid w:val="70E4916E"/>
    <w:rsid w:val="70E5A4D1"/>
    <w:rsid w:val="70E6EDEF"/>
    <w:rsid w:val="70E89A15"/>
    <w:rsid w:val="70E953F9"/>
    <w:rsid w:val="70E9AF8D"/>
    <w:rsid w:val="70EB944B"/>
    <w:rsid w:val="70EC3BA0"/>
    <w:rsid w:val="70EE7CC1"/>
    <w:rsid w:val="70F23C0C"/>
    <w:rsid w:val="70F35D0B"/>
    <w:rsid w:val="70F3F1DF"/>
    <w:rsid w:val="70F51A25"/>
    <w:rsid w:val="70F7415A"/>
    <w:rsid w:val="70F7A26A"/>
    <w:rsid w:val="70FB20E8"/>
    <w:rsid w:val="7101ADEE"/>
    <w:rsid w:val="7102914C"/>
    <w:rsid w:val="710B1508"/>
    <w:rsid w:val="710B69D0"/>
    <w:rsid w:val="710CF9A3"/>
    <w:rsid w:val="710E6587"/>
    <w:rsid w:val="7115F4CB"/>
    <w:rsid w:val="711CE67C"/>
    <w:rsid w:val="711ED9AA"/>
    <w:rsid w:val="71221528"/>
    <w:rsid w:val="7125304E"/>
    <w:rsid w:val="7125F9B1"/>
    <w:rsid w:val="7127EDB0"/>
    <w:rsid w:val="71290495"/>
    <w:rsid w:val="712DD4E3"/>
    <w:rsid w:val="712EBBF0"/>
    <w:rsid w:val="71300721"/>
    <w:rsid w:val="713198AE"/>
    <w:rsid w:val="71320586"/>
    <w:rsid w:val="713212BF"/>
    <w:rsid w:val="7134BD68"/>
    <w:rsid w:val="7135B22A"/>
    <w:rsid w:val="7138054C"/>
    <w:rsid w:val="713854F1"/>
    <w:rsid w:val="713D5F3D"/>
    <w:rsid w:val="713E2E5F"/>
    <w:rsid w:val="713E45A0"/>
    <w:rsid w:val="71431F8F"/>
    <w:rsid w:val="7146773A"/>
    <w:rsid w:val="71477FF5"/>
    <w:rsid w:val="714F8A1E"/>
    <w:rsid w:val="71505F36"/>
    <w:rsid w:val="715131C6"/>
    <w:rsid w:val="71587FA0"/>
    <w:rsid w:val="715C1796"/>
    <w:rsid w:val="71611186"/>
    <w:rsid w:val="71627E3C"/>
    <w:rsid w:val="7164B0CC"/>
    <w:rsid w:val="71690072"/>
    <w:rsid w:val="716AD68A"/>
    <w:rsid w:val="716CE656"/>
    <w:rsid w:val="716CEE7D"/>
    <w:rsid w:val="716F78AA"/>
    <w:rsid w:val="7172F197"/>
    <w:rsid w:val="7176A43A"/>
    <w:rsid w:val="717D7AAA"/>
    <w:rsid w:val="7182728F"/>
    <w:rsid w:val="718B3514"/>
    <w:rsid w:val="718E1635"/>
    <w:rsid w:val="718ED2A7"/>
    <w:rsid w:val="71942D77"/>
    <w:rsid w:val="7196C3D3"/>
    <w:rsid w:val="71972AA9"/>
    <w:rsid w:val="719D7DC8"/>
    <w:rsid w:val="719F4430"/>
    <w:rsid w:val="71A74373"/>
    <w:rsid w:val="71AAFBFD"/>
    <w:rsid w:val="71ADEC13"/>
    <w:rsid w:val="71B3FEA3"/>
    <w:rsid w:val="71B43983"/>
    <w:rsid w:val="71BAE331"/>
    <w:rsid w:val="71BB674F"/>
    <w:rsid w:val="71C05940"/>
    <w:rsid w:val="71C10B2C"/>
    <w:rsid w:val="71C17CD3"/>
    <w:rsid w:val="71C33B7D"/>
    <w:rsid w:val="71C393C0"/>
    <w:rsid w:val="71C3A381"/>
    <w:rsid w:val="71C4777D"/>
    <w:rsid w:val="71C90038"/>
    <w:rsid w:val="71CFD834"/>
    <w:rsid w:val="71D753AE"/>
    <w:rsid w:val="71D8951B"/>
    <w:rsid w:val="71D90F72"/>
    <w:rsid w:val="71DEC3C1"/>
    <w:rsid w:val="71DF3B38"/>
    <w:rsid w:val="71DFB5E9"/>
    <w:rsid w:val="71E1728E"/>
    <w:rsid w:val="71E68F61"/>
    <w:rsid w:val="71E9067F"/>
    <w:rsid w:val="71F03C30"/>
    <w:rsid w:val="71F8FA4C"/>
    <w:rsid w:val="71FB9BCB"/>
    <w:rsid w:val="71FDACE0"/>
    <w:rsid w:val="71FF4A45"/>
    <w:rsid w:val="72010F75"/>
    <w:rsid w:val="7208B9D1"/>
    <w:rsid w:val="720A60F9"/>
    <w:rsid w:val="720A9D9E"/>
    <w:rsid w:val="720B1A87"/>
    <w:rsid w:val="72129CFE"/>
    <w:rsid w:val="72248A85"/>
    <w:rsid w:val="7225351A"/>
    <w:rsid w:val="722FB4AF"/>
    <w:rsid w:val="72336E5B"/>
    <w:rsid w:val="72377408"/>
    <w:rsid w:val="72379BAA"/>
    <w:rsid w:val="723858BF"/>
    <w:rsid w:val="723AA4AA"/>
    <w:rsid w:val="723C2981"/>
    <w:rsid w:val="723C4728"/>
    <w:rsid w:val="72402012"/>
    <w:rsid w:val="724286E8"/>
    <w:rsid w:val="7246D86B"/>
    <w:rsid w:val="7249D59D"/>
    <w:rsid w:val="724A3D50"/>
    <w:rsid w:val="724BD470"/>
    <w:rsid w:val="72502CDA"/>
    <w:rsid w:val="7251C885"/>
    <w:rsid w:val="72540D17"/>
    <w:rsid w:val="725451A0"/>
    <w:rsid w:val="72567AC0"/>
    <w:rsid w:val="7261AC69"/>
    <w:rsid w:val="726784C9"/>
    <w:rsid w:val="72700F43"/>
    <w:rsid w:val="7273631E"/>
    <w:rsid w:val="727A1522"/>
    <w:rsid w:val="727A2637"/>
    <w:rsid w:val="727C1885"/>
    <w:rsid w:val="727C6E96"/>
    <w:rsid w:val="727D52CB"/>
    <w:rsid w:val="727ED893"/>
    <w:rsid w:val="727F4AFA"/>
    <w:rsid w:val="72821E9F"/>
    <w:rsid w:val="72850887"/>
    <w:rsid w:val="728A1682"/>
    <w:rsid w:val="728C3E9A"/>
    <w:rsid w:val="728D1EEA"/>
    <w:rsid w:val="728DCD30"/>
    <w:rsid w:val="72947C3C"/>
    <w:rsid w:val="729DBEC8"/>
    <w:rsid w:val="72A4366A"/>
    <w:rsid w:val="72A67D50"/>
    <w:rsid w:val="72A6D85B"/>
    <w:rsid w:val="72A87171"/>
    <w:rsid w:val="72B1641C"/>
    <w:rsid w:val="72B18D2A"/>
    <w:rsid w:val="72B5B8DE"/>
    <w:rsid w:val="72B91649"/>
    <w:rsid w:val="72BA7834"/>
    <w:rsid w:val="72BB735B"/>
    <w:rsid w:val="72BBB40C"/>
    <w:rsid w:val="72C0385F"/>
    <w:rsid w:val="72C44DC0"/>
    <w:rsid w:val="72C7C57A"/>
    <w:rsid w:val="72C90D64"/>
    <w:rsid w:val="72CFC1D5"/>
    <w:rsid w:val="72D478C9"/>
    <w:rsid w:val="72D4BC72"/>
    <w:rsid w:val="72DDEFBF"/>
    <w:rsid w:val="72E54382"/>
    <w:rsid w:val="72E6416C"/>
    <w:rsid w:val="72EA3E34"/>
    <w:rsid w:val="72EC2047"/>
    <w:rsid w:val="72ED1489"/>
    <w:rsid w:val="72F3A5D9"/>
    <w:rsid w:val="72F8AAE0"/>
    <w:rsid w:val="72F8DB23"/>
    <w:rsid w:val="72FB9492"/>
    <w:rsid w:val="72FF7442"/>
    <w:rsid w:val="73004862"/>
    <w:rsid w:val="7302A6CA"/>
    <w:rsid w:val="730505F1"/>
    <w:rsid w:val="730A62C8"/>
    <w:rsid w:val="730DA561"/>
    <w:rsid w:val="730F8EB9"/>
    <w:rsid w:val="73154F9B"/>
    <w:rsid w:val="73169470"/>
    <w:rsid w:val="731778B8"/>
    <w:rsid w:val="731B4745"/>
    <w:rsid w:val="731BED4F"/>
    <w:rsid w:val="731C2470"/>
    <w:rsid w:val="731D3449"/>
    <w:rsid w:val="731FC5BC"/>
    <w:rsid w:val="73235DE3"/>
    <w:rsid w:val="7324C8D6"/>
    <w:rsid w:val="732A32EA"/>
    <w:rsid w:val="732F9219"/>
    <w:rsid w:val="7330629C"/>
    <w:rsid w:val="73314175"/>
    <w:rsid w:val="73328926"/>
    <w:rsid w:val="7337FDAA"/>
    <w:rsid w:val="733ED94A"/>
    <w:rsid w:val="733F303F"/>
    <w:rsid w:val="73441851"/>
    <w:rsid w:val="734455EF"/>
    <w:rsid w:val="734665B3"/>
    <w:rsid w:val="73469866"/>
    <w:rsid w:val="7348C690"/>
    <w:rsid w:val="73490A46"/>
    <w:rsid w:val="73495E63"/>
    <w:rsid w:val="7349BA29"/>
    <w:rsid w:val="734C2595"/>
    <w:rsid w:val="734E5D1D"/>
    <w:rsid w:val="734FCBE9"/>
    <w:rsid w:val="7350D1D5"/>
    <w:rsid w:val="735161A2"/>
    <w:rsid w:val="735262A5"/>
    <w:rsid w:val="73539AA7"/>
    <w:rsid w:val="73580ADD"/>
    <w:rsid w:val="7358A534"/>
    <w:rsid w:val="735ED924"/>
    <w:rsid w:val="73655900"/>
    <w:rsid w:val="73660FE9"/>
    <w:rsid w:val="73662154"/>
    <w:rsid w:val="73677DF1"/>
    <w:rsid w:val="736B6F9A"/>
    <w:rsid w:val="736CE6F1"/>
    <w:rsid w:val="73707556"/>
    <w:rsid w:val="7371E4A5"/>
    <w:rsid w:val="73723DD0"/>
    <w:rsid w:val="73727B84"/>
    <w:rsid w:val="7374522D"/>
    <w:rsid w:val="737BDD88"/>
    <w:rsid w:val="737C3F5B"/>
    <w:rsid w:val="73867A16"/>
    <w:rsid w:val="73871DA6"/>
    <w:rsid w:val="738A30F7"/>
    <w:rsid w:val="738FF87F"/>
    <w:rsid w:val="7393DA28"/>
    <w:rsid w:val="73955BA7"/>
    <w:rsid w:val="7397BDB6"/>
    <w:rsid w:val="739CC0E7"/>
    <w:rsid w:val="73A34A92"/>
    <w:rsid w:val="73A35C50"/>
    <w:rsid w:val="73A4E2E8"/>
    <w:rsid w:val="73A74DF5"/>
    <w:rsid w:val="73A74EDB"/>
    <w:rsid w:val="73AAD276"/>
    <w:rsid w:val="73ACD398"/>
    <w:rsid w:val="73B0B39E"/>
    <w:rsid w:val="73B644A1"/>
    <w:rsid w:val="73BACE5A"/>
    <w:rsid w:val="73BD7FD0"/>
    <w:rsid w:val="73BEA838"/>
    <w:rsid w:val="73BF852D"/>
    <w:rsid w:val="73BFDE16"/>
    <w:rsid w:val="73C16605"/>
    <w:rsid w:val="73C2AF27"/>
    <w:rsid w:val="73C461DB"/>
    <w:rsid w:val="73C5C0E2"/>
    <w:rsid w:val="73CCEEFA"/>
    <w:rsid w:val="73CEE70C"/>
    <w:rsid w:val="73D31D86"/>
    <w:rsid w:val="73D4CB34"/>
    <w:rsid w:val="73D631B3"/>
    <w:rsid w:val="73D74B08"/>
    <w:rsid w:val="73D81789"/>
    <w:rsid w:val="73D9FF55"/>
    <w:rsid w:val="73DAE910"/>
    <w:rsid w:val="73DC9D66"/>
    <w:rsid w:val="73ED3CBA"/>
    <w:rsid w:val="73F20E35"/>
    <w:rsid w:val="73F23848"/>
    <w:rsid w:val="73F53EAD"/>
    <w:rsid w:val="73FFA2CB"/>
    <w:rsid w:val="74006035"/>
    <w:rsid w:val="7401A27A"/>
    <w:rsid w:val="74052BEC"/>
    <w:rsid w:val="74062C3E"/>
    <w:rsid w:val="74065201"/>
    <w:rsid w:val="740841E2"/>
    <w:rsid w:val="740CD294"/>
    <w:rsid w:val="740DE863"/>
    <w:rsid w:val="740E1237"/>
    <w:rsid w:val="740FCD1E"/>
    <w:rsid w:val="74164B0A"/>
    <w:rsid w:val="7416AF4F"/>
    <w:rsid w:val="741923B7"/>
    <w:rsid w:val="741BCD6C"/>
    <w:rsid w:val="741D4CDA"/>
    <w:rsid w:val="7420121B"/>
    <w:rsid w:val="74207438"/>
    <w:rsid w:val="7427F706"/>
    <w:rsid w:val="74324EC8"/>
    <w:rsid w:val="74339663"/>
    <w:rsid w:val="74372E19"/>
    <w:rsid w:val="74381C96"/>
    <w:rsid w:val="743A628C"/>
    <w:rsid w:val="743DEB8D"/>
    <w:rsid w:val="743E3222"/>
    <w:rsid w:val="7443AD48"/>
    <w:rsid w:val="744527FA"/>
    <w:rsid w:val="744E66E8"/>
    <w:rsid w:val="74556843"/>
    <w:rsid w:val="745997BC"/>
    <w:rsid w:val="745A9EE1"/>
    <w:rsid w:val="745AC3EE"/>
    <w:rsid w:val="74606F20"/>
    <w:rsid w:val="746393D6"/>
    <w:rsid w:val="7464E4EE"/>
    <w:rsid w:val="74656D37"/>
    <w:rsid w:val="746630D2"/>
    <w:rsid w:val="74691E66"/>
    <w:rsid w:val="74748DA0"/>
    <w:rsid w:val="747686A5"/>
    <w:rsid w:val="747F1D94"/>
    <w:rsid w:val="747F226A"/>
    <w:rsid w:val="747FC1E8"/>
    <w:rsid w:val="7481F3E2"/>
    <w:rsid w:val="7482399B"/>
    <w:rsid w:val="748B24A9"/>
    <w:rsid w:val="748C6136"/>
    <w:rsid w:val="74912ABB"/>
    <w:rsid w:val="7491BFAB"/>
    <w:rsid w:val="74966161"/>
    <w:rsid w:val="74998B73"/>
    <w:rsid w:val="7499C5F8"/>
    <w:rsid w:val="749CC82D"/>
    <w:rsid w:val="749D2FD1"/>
    <w:rsid w:val="74A3D2B4"/>
    <w:rsid w:val="74A9496C"/>
    <w:rsid w:val="74AC94D8"/>
    <w:rsid w:val="74AD370B"/>
    <w:rsid w:val="74AD5417"/>
    <w:rsid w:val="74BB218D"/>
    <w:rsid w:val="74BBC2F2"/>
    <w:rsid w:val="74BBD6FF"/>
    <w:rsid w:val="74BDE8A8"/>
    <w:rsid w:val="74BFF702"/>
    <w:rsid w:val="74C33ED4"/>
    <w:rsid w:val="74C4E8B7"/>
    <w:rsid w:val="74CA780E"/>
    <w:rsid w:val="74CB61FA"/>
    <w:rsid w:val="74CE54A4"/>
    <w:rsid w:val="74CFDC47"/>
    <w:rsid w:val="74DA4083"/>
    <w:rsid w:val="74DA6F56"/>
    <w:rsid w:val="74DC15D8"/>
    <w:rsid w:val="74DD7315"/>
    <w:rsid w:val="74DDE6A0"/>
    <w:rsid w:val="74E06A13"/>
    <w:rsid w:val="74E3D22E"/>
    <w:rsid w:val="74E56B8D"/>
    <w:rsid w:val="74E8120F"/>
    <w:rsid w:val="74EC432C"/>
    <w:rsid w:val="74ED9427"/>
    <w:rsid w:val="74EE9F41"/>
    <w:rsid w:val="74F0C74A"/>
    <w:rsid w:val="74F283F3"/>
    <w:rsid w:val="74F98549"/>
    <w:rsid w:val="74F9DDC6"/>
    <w:rsid w:val="74FB4433"/>
    <w:rsid w:val="74FFEC4A"/>
    <w:rsid w:val="7501DD84"/>
    <w:rsid w:val="75078946"/>
    <w:rsid w:val="750D3AB9"/>
    <w:rsid w:val="750F1197"/>
    <w:rsid w:val="750FA2E1"/>
    <w:rsid w:val="7514E829"/>
    <w:rsid w:val="7517614F"/>
    <w:rsid w:val="75176988"/>
    <w:rsid w:val="75180EBB"/>
    <w:rsid w:val="751A7A94"/>
    <w:rsid w:val="751B95EF"/>
    <w:rsid w:val="75202575"/>
    <w:rsid w:val="75227FD3"/>
    <w:rsid w:val="7523C905"/>
    <w:rsid w:val="75269735"/>
    <w:rsid w:val="752956FD"/>
    <w:rsid w:val="752B0746"/>
    <w:rsid w:val="752C5A55"/>
    <w:rsid w:val="7530547E"/>
    <w:rsid w:val="75350190"/>
    <w:rsid w:val="7537847E"/>
    <w:rsid w:val="75379F02"/>
    <w:rsid w:val="753C23F8"/>
    <w:rsid w:val="753C86E1"/>
    <w:rsid w:val="75401B89"/>
    <w:rsid w:val="7543EFB4"/>
    <w:rsid w:val="754F606E"/>
    <w:rsid w:val="75512EE5"/>
    <w:rsid w:val="75541F08"/>
    <w:rsid w:val="7557BB95"/>
    <w:rsid w:val="7558BA57"/>
    <w:rsid w:val="755AE3EB"/>
    <w:rsid w:val="7561B6BE"/>
    <w:rsid w:val="7564C195"/>
    <w:rsid w:val="7565065A"/>
    <w:rsid w:val="7565599A"/>
    <w:rsid w:val="7568606F"/>
    <w:rsid w:val="756B3D5F"/>
    <w:rsid w:val="756CB123"/>
    <w:rsid w:val="756EEDE7"/>
    <w:rsid w:val="757A6A0F"/>
    <w:rsid w:val="757B99B0"/>
    <w:rsid w:val="75831E3B"/>
    <w:rsid w:val="758953E6"/>
    <w:rsid w:val="758B9E85"/>
    <w:rsid w:val="758CAC56"/>
    <w:rsid w:val="758CC21C"/>
    <w:rsid w:val="758D0E1E"/>
    <w:rsid w:val="758EFE38"/>
    <w:rsid w:val="758F74AE"/>
    <w:rsid w:val="75903827"/>
    <w:rsid w:val="759091DE"/>
    <w:rsid w:val="759173B5"/>
    <w:rsid w:val="7597C401"/>
    <w:rsid w:val="759A457E"/>
    <w:rsid w:val="759B27D4"/>
    <w:rsid w:val="759E16FD"/>
    <w:rsid w:val="759E8021"/>
    <w:rsid w:val="75A3A3C3"/>
    <w:rsid w:val="75A718EB"/>
    <w:rsid w:val="75A89DB4"/>
    <w:rsid w:val="75A8E9D3"/>
    <w:rsid w:val="75B1C818"/>
    <w:rsid w:val="75B657BA"/>
    <w:rsid w:val="75B8D3F2"/>
    <w:rsid w:val="75B9194A"/>
    <w:rsid w:val="75B92412"/>
    <w:rsid w:val="75C47ACA"/>
    <w:rsid w:val="75CA955A"/>
    <w:rsid w:val="75D2EFAE"/>
    <w:rsid w:val="75D66F2E"/>
    <w:rsid w:val="75DDC2E0"/>
    <w:rsid w:val="75DE2EAA"/>
    <w:rsid w:val="75DF8811"/>
    <w:rsid w:val="75E06021"/>
    <w:rsid w:val="75E1E9F4"/>
    <w:rsid w:val="75E48032"/>
    <w:rsid w:val="75EBE3E1"/>
    <w:rsid w:val="75EEE300"/>
    <w:rsid w:val="75F015C7"/>
    <w:rsid w:val="75F30FC2"/>
    <w:rsid w:val="75F45DCC"/>
    <w:rsid w:val="75F625F9"/>
    <w:rsid w:val="75F6C641"/>
    <w:rsid w:val="75FF268D"/>
    <w:rsid w:val="76036F4F"/>
    <w:rsid w:val="7607D3A6"/>
    <w:rsid w:val="76088298"/>
    <w:rsid w:val="7609F0C7"/>
    <w:rsid w:val="760C9A4D"/>
    <w:rsid w:val="7615005E"/>
    <w:rsid w:val="7615BC52"/>
    <w:rsid w:val="76160DAC"/>
    <w:rsid w:val="7617EC45"/>
    <w:rsid w:val="76184DBD"/>
    <w:rsid w:val="76192154"/>
    <w:rsid w:val="761B9167"/>
    <w:rsid w:val="76210E56"/>
    <w:rsid w:val="762B6516"/>
    <w:rsid w:val="763033B1"/>
    <w:rsid w:val="763424E8"/>
    <w:rsid w:val="7634717D"/>
    <w:rsid w:val="7635450C"/>
    <w:rsid w:val="763B6272"/>
    <w:rsid w:val="763F052A"/>
    <w:rsid w:val="7641A625"/>
    <w:rsid w:val="76430EF3"/>
    <w:rsid w:val="76454E1A"/>
    <w:rsid w:val="764A50BD"/>
    <w:rsid w:val="764EB3EC"/>
    <w:rsid w:val="764EB6DD"/>
    <w:rsid w:val="76506F92"/>
    <w:rsid w:val="76565912"/>
    <w:rsid w:val="7656E81C"/>
    <w:rsid w:val="7658948B"/>
    <w:rsid w:val="765CECB8"/>
    <w:rsid w:val="765F11FD"/>
    <w:rsid w:val="765F3CD8"/>
    <w:rsid w:val="76627B07"/>
    <w:rsid w:val="766737B9"/>
    <w:rsid w:val="766954CE"/>
    <w:rsid w:val="766D6984"/>
    <w:rsid w:val="7671AEE8"/>
    <w:rsid w:val="767428D7"/>
    <w:rsid w:val="7676A578"/>
    <w:rsid w:val="767856F6"/>
    <w:rsid w:val="767F3174"/>
    <w:rsid w:val="7689AABB"/>
    <w:rsid w:val="7690591B"/>
    <w:rsid w:val="769659F1"/>
    <w:rsid w:val="769A6225"/>
    <w:rsid w:val="769C660E"/>
    <w:rsid w:val="769F02F8"/>
    <w:rsid w:val="76A0DD09"/>
    <w:rsid w:val="76A3F335"/>
    <w:rsid w:val="76A6B098"/>
    <w:rsid w:val="76A78B9C"/>
    <w:rsid w:val="76A96930"/>
    <w:rsid w:val="76AD569F"/>
    <w:rsid w:val="76B2BD73"/>
    <w:rsid w:val="76B57A46"/>
    <w:rsid w:val="76B6BFBB"/>
    <w:rsid w:val="76B783F9"/>
    <w:rsid w:val="76B7A174"/>
    <w:rsid w:val="76BE4772"/>
    <w:rsid w:val="76C31F10"/>
    <w:rsid w:val="76CC0866"/>
    <w:rsid w:val="76CD02D7"/>
    <w:rsid w:val="76D0806C"/>
    <w:rsid w:val="76D12C21"/>
    <w:rsid w:val="76D2BF45"/>
    <w:rsid w:val="76D97813"/>
    <w:rsid w:val="76D9C097"/>
    <w:rsid w:val="76DA19E8"/>
    <w:rsid w:val="76DC024A"/>
    <w:rsid w:val="76DF80A9"/>
    <w:rsid w:val="76E0F7B9"/>
    <w:rsid w:val="76E25196"/>
    <w:rsid w:val="76E6E6A3"/>
    <w:rsid w:val="76E9954A"/>
    <w:rsid w:val="76EA46CD"/>
    <w:rsid w:val="76EA90E2"/>
    <w:rsid w:val="76F0B734"/>
    <w:rsid w:val="76F142F6"/>
    <w:rsid w:val="76F1CF7A"/>
    <w:rsid w:val="76F574BD"/>
    <w:rsid w:val="76F5C756"/>
    <w:rsid w:val="76F85C16"/>
    <w:rsid w:val="76FA8892"/>
    <w:rsid w:val="76FB9BC8"/>
    <w:rsid w:val="76FC12BA"/>
    <w:rsid w:val="76FC18C7"/>
    <w:rsid w:val="7700F854"/>
    <w:rsid w:val="77048A0F"/>
    <w:rsid w:val="77048AA5"/>
    <w:rsid w:val="7709C4FB"/>
    <w:rsid w:val="770E3ECD"/>
    <w:rsid w:val="771411FB"/>
    <w:rsid w:val="7717A5D1"/>
    <w:rsid w:val="77184897"/>
    <w:rsid w:val="771877BC"/>
    <w:rsid w:val="771BE489"/>
    <w:rsid w:val="7723EAA8"/>
    <w:rsid w:val="7729BDF3"/>
    <w:rsid w:val="772CB728"/>
    <w:rsid w:val="772FC934"/>
    <w:rsid w:val="77307C10"/>
    <w:rsid w:val="7730D031"/>
    <w:rsid w:val="7730FA78"/>
    <w:rsid w:val="7730FCE6"/>
    <w:rsid w:val="7733ED3C"/>
    <w:rsid w:val="77349621"/>
    <w:rsid w:val="77353265"/>
    <w:rsid w:val="773A8DA5"/>
    <w:rsid w:val="773AFD6A"/>
    <w:rsid w:val="773B3627"/>
    <w:rsid w:val="7744FC4F"/>
    <w:rsid w:val="7745E1C1"/>
    <w:rsid w:val="774A3478"/>
    <w:rsid w:val="7753D1CF"/>
    <w:rsid w:val="77561155"/>
    <w:rsid w:val="7759AF97"/>
    <w:rsid w:val="775A900D"/>
    <w:rsid w:val="775FEDA6"/>
    <w:rsid w:val="77662803"/>
    <w:rsid w:val="77666BE5"/>
    <w:rsid w:val="7767E57C"/>
    <w:rsid w:val="77685C9A"/>
    <w:rsid w:val="7769B789"/>
    <w:rsid w:val="77712FEB"/>
    <w:rsid w:val="77758C07"/>
    <w:rsid w:val="7775C855"/>
    <w:rsid w:val="77781DA9"/>
    <w:rsid w:val="777DCEA8"/>
    <w:rsid w:val="778014E6"/>
    <w:rsid w:val="778197E9"/>
    <w:rsid w:val="778640F5"/>
    <w:rsid w:val="778BE628"/>
    <w:rsid w:val="7791D2D1"/>
    <w:rsid w:val="779708E2"/>
    <w:rsid w:val="77974716"/>
    <w:rsid w:val="7798F87E"/>
    <w:rsid w:val="779984DA"/>
    <w:rsid w:val="779E9714"/>
    <w:rsid w:val="77A02097"/>
    <w:rsid w:val="77A036C1"/>
    <w:rsid w:val="77A08AFD"/>
    <w:rsid w:val="77A09972"/>
    <w:rsid w:val="77A18CEF"/>
    <w:rsid w:val="77A4CE65"/>
    <w:rsid w:val="77A5DB2E"/>
    <w:rsid w:val="77A7516A"/>
    <w:rsid w:val="77A83D75"/>
    <w:rsid w:val="77A99525"/>
    <w:rsid w:val="77AF3077"/>
    <w:rsid w:val="77B0978B"/>
    <w:rsid w:val="77B12551"/>
    <w:rsid w:val="77B19FF0"/>
    <w:rsid w:val="77B31ACD"/>
    <w:rsid w:val="77B72F0B"/>
    <w:rsid w:val="77BA9274"/>
    <w:rsid w:val="77BFBCA4"/>
    <w:rsid w:val="77BFE04E"/>
    <w:rsid w:val="77C2855B"/>
    <w:rsid w:val="77C3723F"/>
    <w:rsid w:val="77CB5461"/>
    <w:rsid w:val="77D1092A"/>
    <w:rsid w:val="77D34CCC"/>
    <w:rsid w:val="77D8F5B5"/>
    <w:rsid w:val="77DCB47C"/>
    <w:rsid w:val="77E16681"/>
    <w:rsid w:val="77EC92E7"/>
    <w:rsid w:val="77F06067"/>
    <w:rsid w:val="77F0F630"/>
    <w:rsid w:val="77FD343C"/>
    <w:rsid w:val="77FDD241"/>
    <w:rsid w:val="7800C75E"/>
    <w:rsid w:val="78012610"/>
    <w:rsid w:val="780539F1"/>
    <w:rsid w:val="780675D2"/>
    <w:rsid w:val="7807D05B"/>
    <w:rsid w:val="78083F68"/>
    <w:rsid w:val="780CD53F"/>
    <w:rsid w:val="780F1AC3"/>
    <w:rsid w:val="781293CC"/>
    <w:rsid w:val="7812A0A7"/>
    <w:rsid w:val="7814E043"/>
    <w:rsid w:val="7817E766"/>
    <w:rsid w:val="781A93C5"/>
    <w:rsid w:val="781B8951"/>
    <w:rsid w:val="781D2D65"/>
    <w:rsid w:val="781E1ED6"/>
    <w:rsid w:val="7822F251"/>
    <w:rsid w:val="78242AF6"/>
    <w:rsid w:val="78245E0E"/>
    <w:rsid w:val="7824E469"/>
    <w:rsid w:val="78257B1C"/>
    <w:rsid w:val="78296563"/>
    <w:rsid w:val="782AA27A"/>
    <w:rsid w:val="782C8021"/>
    <w:rsid w:val="78359B69"/>
    <w:rsid w:val="7837AC63"/>
    <w:rsid w:val="783992C7"/>
    <w:rsid w:val="7839F48E"/>
    <w:rsid w:val="783A923D"/>
    <w:rsid w:val="783DF8F0"/>
    <w:rsid w:val="78414ACA"/>
    <w:rsid w:val="78441200"/>
    <w:rsid w:val="7844FD7F"/>
    <w:rsid w:val="7846D5BE"/>
    <w:rsid w:val="7847C69B"/>
    <w:rsid w:val="78480ACF"/>
    <w:rsid w:val="784B40D2"/>
    <w:rsid w:val="78532870"/>
    <w:rsid w:val="7853D9BF"/>
    <w:rsid w:val="78548946"/>
    <w:rsid w:val="7855B39B"/>
    <w:rsid w:val="7856FA4F"/>
    <w:rsid w:val="785755E5"/>
    <w:rsid w:val="785A1C81"/>
    <w:rsid w:val="785CDDE0"/>
    <w:rsid w:val="785ED670"/>
    <w:rsid w:val="785F3943"/>
    <w:rsid w:val="78601559"/>
    <w:rsid w:val="78601F3F"/>
    <w:rsid w:val="7860A043"/>
    <w:rsid w:val="78622A1D"/>
    <w:rsid w:val="78654823"/>
    <w:rsid w:val="78669FBB"/>
    <w:rsid w:val="7866A19D"/>
    <w:rsid w:val="7867874D"/>
    <w:rsid w:val="786A82F3"/>
    <w:rsid w:val="786D1254"/>
    <w:rsid w:val="787033B6"/>
    <w:rsid w:val="78729822"/>
    <w:rsid w:val="7873F852"/>
    <w:rsid w:val="787420C3"/>
    <w:rsid w:val="787951BB"/>
    <w:rsid w:val="787B1862"/>
    <w:rsid w:val="787C6843"/>
    <w:rsid w:val="787E18B3"/>
    <w:rsid w:val="787E1EBB"/>
    <w:rsid w:val="787FEB86"/>
    <w:rsid w:val="788119AD"/>
    <w:rsid w:val="7881ACEC"/>
    <w:rsid w:val="78828159"/>
    <w:rsid w:val="7886BF6A"/>
    <w:rsid w:val="78870D05"/>
    <w:rsid w:val="788A9BAE"/>
    <w:rsid w:val="788CE194"/>
    <w:rsid w:val="7890FF1C"/>
    <w:rsid w:val="78964E48"/>
    <w:rsid w:val="7897007B"/>
    <w:rsid w:val="78982D74"/>
    <w:rsid w:val="789AD29B"/>
    <w:rsid w:val="789B1519"/>
    <w:rsid w:val="789B67EF"/>
    <w:rsid w:val="78A092F1"/>
    <w:rsid w:val="78A9163F"/>
    <w:rsid w:val="78ADE45E"/>
    <w:rsid w:val="78B053C1"/>
    <w:rsid w:val="78B2C8FF"/>
    <w:rsid w:val="78B2FBD0"/>
    <w:rsid w:val="78B4AACF"/>
    <w:rsid w:val="78B4B3A5"/>
    <w:rsid w:val="78B4D313"/>
    <w:rsid w:val="78B97C5E"/>
    <w:rsid w:val="78B9C4A8"/>
    <w:rsid w:val="78BB6115"/>
    <w:rsid w:val="78BCD38B"/>
    <w:rsid w:val="78BD537C"/>
    <w:rsid w:val="78C78864"/>
    <w:rsid w:val="78C80195"/>
    <w:rsid w:val="78CE96A4"/>
    <w:rsid w:val="78CEB34B"/>
    <w:rsid w:val="78CF16F5"/>
    <w:rsid w:val="78D09785"/>
    <w:rsid w:val="78D8F30E"/>
    <w:rsid w:val="78D908E9"/>
    <w:rsid w:val="78DC780B"/>
    <w:rsid w:val="78DDF666"/>
    <w:rsid w:val="78DEF13C"/>
    <w:rsid w:val="78E32F32"/>
    <w:rsid w:val="78E6EE7A"/>
    <w:rsid w:val="78F3D9AD"/>
    <w:rsid w:val="78F56A24"/>
    <w:rsid w:val="78F852B5"/>
    <w:rsid w:val="7902AAF4"/>
    <w:rsid w:val="790576FC"/>
    <w:rsid w:val="79064D6E"/>
    <w:rsid w:val="790AB104"/>
    <w:rsid w:val="790ABE9D"/>
    <w:rsid w:val="790B30CE"/>
    <w:rsid w:val="7918C0DF"/>
    <w:rsid w:val="7919393E"/>
    <w:rsid w:val="791C21E7"/>
    <w:rsid w:val="791F898C"/>
    <w:rsid w:val="7920D547"/>
    <w:rsid w:val="792898D5"/>
    <w:rsid w:val="7929EED4"/>
    <w:rsid w:val="792A6BC1"/>
    <w:rsid w:val="792A6F31"/>
    <w:rsid w:val="792B54A4"/>
    <w:rsid w:val="792EF051"/>
    <w:rsid w:val="7930362A"/>
    <w:rsid w:val="7933CE55"/>
    <w:rsid w:val="79345E5B"/>
    <w:rsid w:val="793719FE"/>
    <w:rsid w:val="79390F7A"/>
    <w:rsid w:val="793E1CE6"/>
    <w:rsid w:val="793EA0A4"/>
    <w:rsid w:val="79401F12"/>
    <w:rsid w:val="7940BA60"/>
    <w:rsid w:val="794133E3"/>
    <w:rsid w:val="79414C51"/>
    <w:rsid w:val="7943BAD6"/>
    <w:rsid w:val="7944A1C2"/>
    <w:rsid w:val="79488643"/>
    <w:rsid w:val="794927D2"/>
    <w:rsid w:val="794AF4E3"/>
    <w:rsid w:val="795025EF"/>
    <w:rsid w:val="79503007"/>
    <w:rsid w:val="7952A973"/>
    <w:rsid w:val="79530FB0"/>
    <w:rsid w:val="79590BA5"/>
    <w:rsid w:val="79614EC6"/>
    <w:rsid w:val="7963FEF7"/>
    <w:rsid w:val="79662DE5"/>
    <w:rsid w:val="796C49E2"/>
    <w:rsid w:val="796C9C15"/>
    <w:rsid w:val="796D2E9F"/>
    <w:rsid w:val="7974DE98"/>
    <w:rsid w:val="7976FEA4"/>
    <w:rsid w:val="797BAFB4"/>
    <w:rsid w:val="797C981F"/>
    <w:rsid w:val="797F7951"/>
    <w:rsid w:val="79836F62"/>
    <w:rsid w:val="7989827C"/>
    <w:rsid w:val="798B4A87"/>
    <w:rsid w:val="798CFD38"/>
    <w:rsid w:val="798E21F0"/>
    <w:rsid w:val="798F1E83"/>
    <w:rsid w:val="798F60BD"/>
    <w:rsid w:val="7990EA68"/>
    <w:rsid w:val="799159CB"/>
    <w:rsid w:val="79917719"/>
    <w:rsid w:val="79938B0F"/>
    <w:rsid w:val="799AC3A7"/>
    <w:rsid w:val="799E0F12"/>
    <w:rsid w:val="799F1309"/>
    <w:rsid w:val="79A17AC5"/>
    <w:rsid w:val="79A3578E"/>
    <w:rsid w:val="79A6129F"/>
    <w:rsid w:val="79A7F835"/>
    <w:rsid w:val="79AC1040"/>
    <w:rsid w:val="79AEFB7F"/>
    <w:rsid w:val="79B086F4"/>
    <w:rsid w:val="79B3A232"/>
    <w:rsid w:val="79BF962D"/>
    <w:rsid w:val="79C22048"/>
    <w:rsid w:val="79C33728"/>
    <w:rsid w:val="79C52997"/>
    <w:rsid w:val="79C8C196"/>
    <w:rsid w:val="79CBEDDF"/>
    <w:rsid w:val="79D3CD2E"/>
    <w:rsid w:val="79D6BB49"/>
    <w:rsid w:val="79D720C6"/>
    <w:rsid w:val="79DE38B1"/>
    <w:rsid w:val="79E08EBA"/>
    <w:rsid w:val="79E61A60"/>
    <w:rsid w:val="79E7D2AE"/>
    <w:rsid w:val="79E94636"/>
    <w:rsid w:val="79EB0805"/>
    <w:rsid w:val="79EE6102"/>
    <w:rsid w:val="79EEDD10"/>
    <w:rsid w:val="79F76F79"/>
    <w:rsid w:val="79FBE851"/>
    <w:rsid w:val="79FC5B16"/>
    <w:rsid w:val="7A04DC35"/>
    <w:rsid w:val="7A0A5F6E"/>
    <w:rsid w:val="7A0C4C78"/>
    <w:rsid w:val="7A14CD75"/>
    <w:rsid w:val="7A155DAF"/>
    <w:rsid w:val="7A182739"/>
    <w:rsid w:val="7A197287"/>
    <w:rsid w:val="7A1A41E2"/>
    <w:rsid w:val="7A252EE4"/>
    <w:rsid w:val="7A280805"/>
    <w:rsid w:val="7A2B0B72"/>
    <w:rsid w:val="7A30D3D0"/>
    <w:rsid w:val="7A3453D7"/>
    <w:rsid w:val="7A36C1E1"/>
    <w:rsid w:val="7A37BE48"/>
    <w:rsid w:val="7A3D1B66"/>
    <w:rsid w:val="7A3D97B5"/>
    <w:rsid w:val="7A432C05"/>
    <w:rsid w:val="7A488698"/>
    <w:rsid w:val="7A48F336"/>
    <w:rsid w:val="7A498002"/>
    <w:rsid w:val="7A49E75F"/>
    <w:rsid w:val="7A4C3096"/>
    <w:rsid w:val="7A4D3199"/>
    <w:rsid w:val="7A4E52DE"/>
    <w:rsid w:val="7A5381FA"/>
    <w:rsid w:val="7A614041"/>
    <w:rsid w:val="7A640486"/>
    <w:rsid w:val="7A641871"/>
    <w:rsid w:val="7A651CA0"/>
    <w:rsid w:val="7A6A2CD6"/>
    <w:rsid w:val="7A6EC777"/>
    <w:rsid w:val="7A73AC21"/>
    <w:rsid w:val="7A7BAAF7"/>
    <w:rsid w:val="7A7BC7C6"/>
    <w:rsid w:val="7A7D00A1"/>
    <w:rsid w:val="7A7E3227"/>
    <w:rsid w:val="7A7EDF2B"/>
    <w:rsid w:val="7A7F4B4C"/>
    <w:rsid w:val="7A7F9AC8"/>
    <w:rsid w:val="7A8196EF"/>
    <w:rsid w:val="7A830CA2"/>
    <w:rsid w:val="7A853E97"/>
    <w:rsid w:val="7A8D69D3"/>
    <w:rsid w:val="7A8DB217"/>
    <w:rsid w:val="7A8DDBEF"/>
    <w:rsid w:val="7A903CAF"/>
    <w:rsid w:val="7A90721F"/>
    <w:rsid w:val="7A9330E1"/>
    <w:rsid w:val="7A946DE4"/>
    <w:rsid w:val="7A95C54B"/>
    <w:rsid w:val="7A9673F5"/>
    <w:rsid w:val="7A9A02C3"/>
    <w:rsid w:val="7A9EC907"/>
    <w:rsid w:val="7AA21286"/>
    <w:rsid w:val="7AA3757F"/>
    <w:rsid w:val="7AA9A410"/>
    <w:rsid w:val="7AADD892"/>
    <w:rsid w:val="7AAE364D"/>
    <w:rsid w:val="7AB83C89"/>
    <w:rsid w:val="7AB9A6A4"/>
    <w:rsid w:val="7ABA96E6"/>
    <w:rsid w:val="7ABC5614"/>
    <w:rsid w:val="7ABDC128"/>
    <w:rsid w:val="7AC005F3"/>
    <w:rsid w:val="7AC065A3"/>
    <w:rsid w:val="7AC1D968"/>
    <w:rsid w:val="7AC332BE"/>
    <w:rsid w:val="7AC3C2DA"/>
    <w:rsid w:val="7AC48AC5"/>
    <w:rsid w:val="7AC7E39C"/>
    <w:rsid w:val="7ACBE148"/>
    <w:rsid w:val="7ACC90DE"/>
    <w:rsid w:val="7AD156CB"/>
    <w:rsid w:val="7AD1BB47"/>
    <w:rsid w:val="7AD3DEAE"/>
    <w:rsid w:val="7AD9FD6C"/>
    <w:rsid w:val="7ADBE853"/>
    <w:rsid w:val="7ADC5EB6"/>
    <w:rsid w:val="7ADDBA59"/>
    <w:rsid w:val="7ADE746A"/>
    <w:rsid w:val="7ADF0C95"/>
    <w:rsid w:val="7AE5B5C5"/>
    <w:rsid w:val="7AEB0F2A"/>
    <w:rsid w:val="7AF78CA4"/>
    <w:rsid w:val="7AF8BE13"/>
    <w:rsid w:val="7AF8D701"/>
    <w:rsid w:val="7AFED570"/>
    <w:rsid w:val="7B02F523"/>
    <w:rsid w:val="7B07D279"/>
    <w:rsid w:val="7B08DD53"/>
    <w:rsid w:val="7B0E59B9"/>
    <w:rsid w:val="7B0F06AE"/>
    <w:rsid w:val="7B123D58"/>
    <w:rsid w:val="7B1685B9"/>
    <w:rsid w:val="7B186741"/>
    <w:rsid w:val="7B190E45"/>
    <w:rsid w:val="7B1BDC13"/>
    <w:rsid w:val="7B1C63DF"/>
    <w:rsid w:val="7B1F143F"/>
    <w:rsid w:val="7B325AEE"/>
    <w:rsid w:val="7B35B399"/>
    <w:rsid w:val="7B35D5B9"/>
    <w:rsid w:val="7B35DC2B"/>
    <w:rsid w:val="7B39C3AC"/>
    <w:rsid w:val="7B3B6BD1"/>
    <w:rsid w:val="7B3BDE4E"/>
    <w:rsid w:val="7B3D2B78"/>
    <w:rsid w:val="7B3E7025"/>
    <w:rsid w:val="7B40E43D"/>
    <w:rsid w:val="7B41E300"/>
    <w:rsid w:val="7B428179"/>
    <w:rsid w:val="7B4491A2"/>
    <w:rsid w:val="7B458530"/>
    <w:rsid w:val="7B4BD8E2"/>
    <w:rsid w:val="7B4C9A56"/>
    <w:rsid w:val="7B4DC3B9"/>
    <w:rsid w:val="7B4F3AEA"/>
    <w:rsid w:val="7B510FE3"/>
    <w:rsid w:val="7B58D538"/>
    <w:rsid w:val="7B5B4EBE"/>
    <w:rsid w:val="7B5C335D"/>
    <w:rsid w:val="7B60CC57"/>
    <w:rsid w:val="7B6407A1"/>
    <w:rsid w:val="7B6495FF"/>
    <w:rsid w:val="7B68C362"/>
    <w:rsid w:val="7B6A6EE0"/>
    <w:rsid w:val="7B6B0A2B"/>
    <w:rsid w:val="7B6BFE8F"/>
    <w:rsid w:val="7B6DA005"/>
    <w:rsid w:val="7B6F4FC6"/>
    <w:rsid w:val="7B6FB556"/>
    <w:rsid w:val="7B727CD5"/>
    <w:rsid w:val="7B73D114"/>
    <w:rsid w:val="7B785E8E"/>
    <w:rsid w:val="7B797276"/>
    <w:rsid w:val="7B7BBF4B"/>
    <w:rsid w:val="7B7CA87A"/>
    <w:rsid w:val="7B7FDF13"/>
    <w:rsid w:val="7B806982"/>
    <w:rsid w:val="7B80A484"/>
    <w:rsid w:val="7B81EEE7"/>
    <w:rsid w:val="7B843DBB"/>
    <w:rsid w:val="7B865F1E"/>
    <w:rsid w:val="7B87889B"/>
    <w:rsid w:val="7B89B7B2"/>
    <w:rsid w:val="7B929C7B"/>
    <w:rsid w:val="7B950608"/>
    <w:rsid w:val="7B95341A"/>
    <w:rsid w:val="7B967F2E"/>
    <w:rsid w:val="7B976CD3"/>
    <w:rsid w:val="7BA3AEEC"/>
    <w:rsid w:val="7BA6E010"/>
    <w:rsid w:val="7BA77E4A"/>
    <w:rsid w:val="7BAACDA5"/>
    <w:rsid w:val="7BAFA9DA"/>
    <w:rsid w:val="7BB0E206"/>
    <w:rsid w:val="7BB15CC3"/>
    <w:rsid w:val="7BB3FD59"/>
    <w:rsid w:val="7BB42B8A"/>
    <w:rsid w:val="7BB6001F"/>
    <w:rsid w:val="7BB68412"/>
    <w:rsid w:val="7BB7B0E7"/>
    <w:rsid w:val="7BBAC25A"/>
    <w:rsid w:val="7BBCCE01"/>
    <w:rsid w:val="7BC20F13"/>
    <w:rsid w:val="7BC2A38F"/>
    <w:rsid w:val="7BC6653A"/>
    <w:rsid w:val="7BC8C69A"/>
    <w:rsid w:val="7BC9440C"/>
    <w:rsid w:val="7BC94E87"/>
    <w:rsid w:val="7BCA8627"/>
    <w:rsid w:val="7BCF34EE"/>
    <w:rsid w:val="7BD332F2"/>
    <w:rsid w:val="7BD69B63"/>
    <w:rsid w:val="7BD9E032"/>
    <w:rsid w:val="7BDADA8A"/>
    <w:rsid w:val="7BE28E36"/>
    <w:rsid w:val="7BED69CA"/>
    <w:rsid w:val="7BEE7081"/>
    <w:rsid w:val="7BF155F3"/>
    <w:rsid w:val="7BF1BFCF"/>
    <w:rsid w:val="7BF2F734"/>
    <w:rsid w:val="7BF613D5"/>
    <w:rsid w:val="7BF90696"/>
    <w:rsid w:val="7BF9ACFC"/>
    <w:rsid w:val="7BFB3102"/>
    <w:rsid w:val="7BFC4939"/>
    <w:rsid w:val="7BFCC079"/>
    <w:rsid w:val="7BFEF573"/>
    <w:rsid w:val="7C01D4CC"/>
    <w:rsid w:val="7C028945"/>
    <w:rsid w:val="7C042C79"/>
    <w:rsid w:val="7C06425B"/>
    <w:rsid w:val="7C08A388"/>
    <w:rsid w:val="7C0A6237"/>
    <w:rsid w:val="7C0D2C86"/>
    <w:rsid w:val="7C12B3DB"/>
    <w:rsid w:val="7C134BE0"/>
    <w:rsid w:val="7C15C168"/>
    <w:rsid w:val="7C178CDE"/>
    <w:rsid w:val="7C1EDA6F"/>
    <w:rsid w:val="7C1FC6BA"/>
    <w:rsid w:val="7C203088"/>
    <w:rsid w:val="7C22352F"/>
    <w:rsid w:val="7C2556AE"/>
    <w:rsid w:val="7C293A34"/>
    <w:rsid w:val="7C2970D7"/>
    <w:rsid w:val="7C301F1B"/>
    <w:rsid w:val="7C337F52"/>
    <w:rsid w:val="7C36BED5"/>
    <w:rsid w:val="7C38288C"/>
    <w:rsid w:val="7C3CF189"/>
    <w:rsid w:val="7C3DA997"/>
    <w:rsid w:val="7C413027"/>
    <w:rsid w:val="7C4165BA"/>
    <w:rsid w:val="7C492F20"/>
    <w:rsid w:val="7C4986D6"/>
    <w:rsid w:val="7C4D487A"/>
    <w:rsid w:val="7C54AFBB"/>
    <w:rsid w:val="7C5644FF"/>
    <w:rsid w:val="7C5E5A8B"/>
    <w:rsid w:val="7C5F63BB"/>
    <w:rsid w:val="7C674EB2"/>
    <w:rsid w:val="7C69A562"/>
    <w:rsid w:val="7C6C7DA6"/>
    <w:rsid w:val="7C6D0186"/>
    <w:rsid w:val="7C6DBA13"/>
    <w:rsid w:val="7C71EE62"/>
    <w:rsid w:val="7C727F61"/>
    <w:rsid w:val="7C79CAE5"/>
    <w:rsid w:val="7C7AC316"/>
    <w:rsid w:val="7C7AECDC"/>
    <w:rsid w:val="7C7C4284"/>
    <w:rsid w:val="7C80B8B1"/>
    <w:rsid w:val="7C85455F"/>
    <w:rsid w:val="7C87F55B"/>
    <w:rsid w:val="7C892712"/>
    <w:rsid w:val="7C89BF6C"/>
    <w:rsid w:val="7C8BDD0D"/>
    <w:rsid w:val="7C8CD158"/>
    <w:rsid w:val="7C8E9815"/>
    <w:rsid w:val="7C8FF783"/>
    <w:rsid w:val="7C9698B8"/>
    <w:rsid w:val="7C978E7D"/>
    <w:rsid w:val="7C98683E"/>
    <w:rsid w:val="7C9A0339"/>
    <w:rsid w:val="7C9B3EC2"/>
    <w:rsid w:val="7C9BB4AE"/>
    <w:rsid w:val="7C9D3BA6"/>
    <w:rsid w:val="7C9E19E0"/>
    <w:rsid w:val="7CA21368"/>
    <w:rsid w:val="7CA2955B"/>
    <w:rsid w:val="7CAFC2B9"/>
    <w:rsid w:val="7CB0A844"/>
    <w:rsid w:val="7CB33DFE"/>
    <w:rsid w:val="7CB3B29E"/>
    <w:rsid w:val="7CB5B55B"/>
    <w:rsid w:val="7CB788C8"/>
    <w:rsid w:val="7CB8AF8D"/>
    <w:rsid w:val="7CB8E812"/>
    <w:rsid w:val="7CBE0426"/>
    <w:rsid w:val="7CC270B2"/>
    <w:rsid w:val="7CCBE1D7"/>
    <w:rsid w:val="7CD4A9F4"/>
    <w:rsid w:val="7CD5B005"/>
    <w:rsid w:val="7CD6B222"/>
    <w:rsid w:val="7CD71BC3"/>
    <w:rsid w:val="7CD8038E"/>
    <w:rsid w:val="7CDACDDE"/>
    <w:rsid w:val="7CDF96EE"/>
    <w:rsid w:val="7CE58269"/>
    <w:rsid w:val="7CE602A0"/>
    <w:rsid w:val="7CE8D671"/>
    <w:rsid w:val="7CEB402D"/>
    <w:rsid w:val="7CEE71EB"/>
    <w:rsid w:val="7CEEE7C3"/>
    <w:rsid w:val="7CEFDC28"/>
    <w:rsid w:val="7CF429AF"/>
    <w:rsid w:val="7CF65B32"/>
    <w:rsid w:val="7CF65E9B"/>
    <w:rsid w:val="7CF8D3FC"/>
    <w:rsid w:val="7CF905FE"/>
    <w:rsid w:val="7CFA41B8"/>
    <w:rsid w:val="7CFBFB73"/>
    <w:rsid w:val="7CFE0FEC"/>
    <w:rsid w:val="7D067EC6"/>
    <w:rsid w:val="7D089448"/>
    <w:rsid w:val="7D097628"/>
    <w:rsid w:val="7D099741"/>
    <w:rsid w:val="7D0E7AFE"/>
    <w:rsid w:val="7D0ED7AB"/>
    <w:rsid w:val="7D113CC0"/>
    <w:rsid w:val="7D12A5D7"/>
    <w:rsid w:val="7D138D36"/>
    <w:rsid w:val="7D17386B"/>
    <w:rsid w:val="7D18E849"/>
    <w:rsid w:val="7D2262D5"/>
    <w:rsid w:val="7D22761E"/>
    <w:rsid w:val="7D24558B"/>
    <w:rsid w:val="7D26D6FD"/>
    <w:rsid w:val="7D27B714"/>
    <w:rsid w:val="7D2AF9B7"/>
    <w:rsid w:val="7D2E8719"/>
    <w:rsid w:val="7D2FBCB5"/>
    <w:rsid w:val="7D2FE7B2"/>
    <w:rsid w:val="7D302A4A"/>
    <w:rsid w:val="7D3372C9"/>
    <w:rsid w:val="7D3387BD"/>
    <w:rsid w:val="7D350C07"/>
    <w:rsid w:val="7D354DE6"/>
    <w:rsid w:val="7D36C485"/>
    <w:rsid w:val="7D3F18AF"/>
    <w:rsid w:val="7D40B04C"/>
    <w:rsid w:val="7D40F219"/>
    <w:rsid w:val="7D4BB55B"/>
    <w:rsid w:val="7D4EB7B3"/>
    <w:rsid w:val="7D5109BF"/>
    <w:rsid w:val="7D51AAF4"/>
    <w:rsid w:val="7D5209F7"/>
    <w:rsid w:val="7D56E6B9"/>
    <w:rsid w:val="7D573004"/>
    <w:rsid w:val="7D58636D"/>
    <w:rsid w:val="7D5937A2"/>
    <w:rsid w:val="7D5C121C"/>
    <w:rsid w:val="7D5E1485"/>
    <w:rsid w:val="7D5F5830"/>
    <w:rsid w:val="7D61D85C"/>
    <w:rsid w:val="7D66888E"/>
    <w:rsid w:val="7D669286"/>
    <w:rsid w:val="7D69CC41"/>
    <w:rsid w:val="7D6BEE54"/>
    <w:rsid w:val="7D6D24E2"/>
    <w:rsid w:val="7D6EE481"/>
    <w:rsid w:val="7D700BDC"/>
    <w:rsid w:val="7D7260DB"/>
    <w:rsid w:val="7D743F9C"/>
    <w:rsid w:val="7D782777"/>
    <w:rsid w:val="7D7CF46B"/>
    <w:rsid w:val="7D812399"/>
    <w:rsid w:val="7D8896D7"/>
    <w:rsid w:val="7D8D9968"/>
    <w:rsid w:val="7D8F604E"/>
    <w:rsid w:val="7D95366D"/>
    <w:rsid w:val="7D956AFE"/>
    <w:rsid w:val="7D96167B"/>
    <w:rsid w:val="7D98F232"/>
    <w:rsid w:val="7D9A16E8"/>
    <w:rsid w:val="7D9AA04F"/>
    <w:rsid w:val="7DA1F647"/>
    <w:rsid w:val="7DA29243"/>
    <w:rsid w:val="7DA473E9"/>
    <w:rsid w:val="7DA99141"/>
    <w:rsid w:val="7DAFC418"/>
    <w:rsid w:val="7DB10396"/>
    <w:rsid w:val="7DB6F024"/>
    <w:rsid w:val="7DBB228C"/>
    <w:rsid w:val="7DBD0D17"/>
    <w:rsid w:val="7DBD9205"/>
    <w:rsid w:val="7DBEBC0B"/>
    <w:rsid w:val="7DBFDFB8"/>
    <w:rsid w:val="7DC1AD8B"/>
    <w:rsid w:val="7DC7072D"/>
    <w:rsid w:val="7DCA4EF6"/>
    <w:rsid w:val="7DCD0249"/>
    <w:rsid w:val="7DD34F0B"/>
    <w:rsid w:val="7DE00E44"/>
    <w:rsid w:val="7DE06B66"/>
    <w:rsid w:val="7DE241EC"/>
    <w:rsid w:val="7DE3FE6C"/>
    <w:rsid w:val="7DE4B167"/>
    <w:rsid w:val="7DE7313E"/>
    <w:rsid w:val="7DEB49C4"/>
    <w:rsid w:val="7DEB8852"/>
    <w:rsid w:val="7DEC1EA5"/>
    <w:rsid w:val="7DF0D21F"/>
    <w:rsid w:val="7DF2BF8C"/>
    <w:rsid w:val="7DF3F921"/>
    <w:rsid w:val="7DF52F88"/>
    <w:rsid w:val="7DFA1F87"/>
    <w:rsid w:val="7DFABAFD"/>
    <w:rsid w:val="7DFB263F"/>
    <w:rsid w:val="7DFD02BE"/>
    <w:rsid w:val="7DFF31D2"/>
    <w:rsid w:val="7E03EFC1"/>
    <w:rsid w:val="7E04D1A7"/>
    <w:rsid w:val="7E054B2A"/>
    <w:rsid w:val="7E062ED2"/>
    <w:rsid w:val="7E065AAF"/>
    <w:rsid w:val="7E09F2B7"/>
    <w:rsid w:val="7E0A8F6F"/>
    <w:rsid w:val="7E0D46EA"/>
    <w:rsid w:val="7E0F5A15"/>
    <w:rsid w:val="7E10CEE1"/>
    <w:rsid w:val="7E11E46A"/>
    <w:rsid w:val="7E159F79"/>
    <w:rsid w:val="7E1779D2"/>
    <w:rsid w:val="7E183309"/>
    <w:rsid w:val="7E1CF045"/>
    <w:rsid w:val="7E1E5CB2"/>
    <w:rsid w:val="7E1F5DEB"/>
    <w:rsid w:val="7E205307"/>
    <w:rsid w:val="7E230E1D"/>
    <w:rsid w:val="7E23229E"/>
    <w:rsid w:val="7E2440C3"/>
    <w:rsid w:val="7E254069"/>
    <w:rsid w:val="7E2B8203"/>
    <w:rsid w:val="7E2E7AEA"/>
    <w:rsid w:val="7E307C2B"/>
    <w:rsid w:val="7E325CB5"/>
    <w:rsid w:val="7E35592D"/>
    <w:rsid w:val="7E377301"/>
    <w:rsid w:val="7E3E939C"/>
    <w:rsid w:val="7E438D22"/>
    <w:rsid w:val="7E45C095"/>
    <w:rsid w:val="7E46047F"/>
    <w:rsid w:val="7E46C248"/>
    <w:rsid w:val="7E48A1D8"/>
    <w:rsid w:val="7E504C22"/>
    <w:rsid w:val="7E539DD6"/>
    <w:rsid w:val="7E5473C6"/>
    <w:rsid w:val="7E549F08"/>
    <w:rsid w:val="7E562C10"/>
    <w:rsid w:val="7E5CDEA2"/>
    <w:rsid w:val="7E5DE6F0"/>
    <w:rsid w:val="7E607C65"/>
    <w:rsid w:val="7E674D4A"/>
    <w:rsid w:val="7E68B7A7"/>
    <w:rsid w:val="7E6A9328"/>
    <w:rsid w:val="7E6AAAEB"/>
    <w:rsid w:val="7E734CDC"/>
    <w:rsid w:val="7E764DF1"/>
    <w:rsid w:val="7E780C45"/>
    <w:rsid w:val="7E7BA30C"/>
    <w:rsid w:val="7E7C40CB"/>
    <w:rsid w:val="7E7CC40C"/>
    <w:rsid w:val="7E7D94C3"/>
    <w:rsid w:val="7E82EFC5"/>
    <w:rsid w:val="7E84778A"/>
    <w:rsid w:val="7E854D6A"/>
    <w:rsid w:val="7E85A1A9"/>
    <w:rsid w:val="7E8ABF1F"/>
    <w:rsid w:val="7E8F34DC"/>
    <w:rsid w:val="7E93D41F"/>
    <w:rsid w:val="7E93D471"/>
    <w:rsid w:val="7E979DCC"/>
    <w:rsid w:val="7E9A2B27"/>
    <w:rsid w:val="7E9A2C48"/>
    <w:rsid w:val="7E9A4CC9"/>
    <w:rsid w:val="7E9B0180"/>
    <w:rsid w:val="7E9CCC1B"/>
    <w:rsid w:val="7E9FE553"/>
    <w:rsid w:val="7EA0355C"/>
    <w:rsid w:val="7EA36F2C"/>
    <w:rsid w:val="7EA42434"/>
    <w:rsid w:val="7EA893E7"/>
    <w:rsid w:val="7EB29ABF"/>
    <w:rsid w:val="7EBA2653"/>
    <w:rsid w:val="7EBC27D4"/>
    <w:rsid w:val="7EC0905B"/>
    <w:rsid w:val="7EC13CF2"/>
    <w:rsid w:val="7EC3EAF9"/>
    <w:rsid w:val="7EC49697"/>
    <w:rsid w:val="7EC5FC61"/>
    <w:rsid w:val="7EC64D40"/>
    <w:rsid w:val="7EC71DFB"/>
    <w:rsid w:val="7ECD05AB"/>
    <w:rsid w:val="7ED20CD1"/>
    <w:rsid w:val="7ED2BEAD"/>
    <w:rsid w:val="7ED354CF"/>
    <w:rsid w:val="7ED80203"/>
    <w:rsid w:val="7ED86A50"/>
    <w:rsid w:val="7ED8E599"/>
    <w:rsid w:val="7EE2ED41"/>
    <w:rsid w:val="7EE324F2"/>
    <w:rsid w:val="7EE70168"/>
    <w:rsid w:val="7EE7A211"/>
    <w:rsid w:val="7EE9EDCE"/>
    <w:rsid w:val="7EF4CD72"/>
    <w:rsid w:val="7EF8FB5C"/>
    <w:rsid w:val="7EFB7351"/>
    <w:rsid w:val="7EFF8C1F"/>
    <w:rsid w:val="7F008E10"/>
    <w:rsid w:val="7F030552"/>
    <w:rsid w:val="7F049829"/>
    <w:rsid w:val="7F0A3036"/>
    <w:rsid w:val="7F0BE189"/>
    <w:rsid w:val="7F100EDB"/>
    <w:rsid w:val="7F128422"/>
    <w:rsid w:val="7F15946A"/>
    <w:rsid w:val="7F161D13"/>
    <w:rsid w:val="7F171FEF"/>
    <w:rsid w:val="7F186785"/>
    <w:rsid w:val="7F1971D9"/>
    <w:rsid w:val="7F1C5010"/>
    <w:rsid w:val="7F205F69"/>
    <w:rsid w:val="7F21211C"/>
    <w:rsid w:val="7F22BF97"/>
    <w:rsid w:val="7F27BD80"/>
    <w:rsid w:val="7F28CC33"/>
    <w:rsid w:val="7F296038"/>
    <w:rsid w:val="7F2B2F79"/>
    <w:rsid w:val="7F2C676C"/>
    <w:rsid w:val="7F2D7135"/>
    <w:rsid w:val="7F312D34"/>
    <w:rsid w:val="7F319E12"/>
    <w:rsid w:val="7F365C84"/>
    <w:rsid w:val="7F391AE1"/>
    <w:rsid w:val="7F3B842F"/>
    <w:rsid w:val="7F3E1DCC"/>
    <w:rsid w:val="7F3E9FF4"/>
    <w:rsid w:val="7F3F0F65"/>
    <w:rsid w:val="7F405154"/>
    <w:rsid w:val="7F41E22D"/>
    <w:rsid w:val="7F420698"/>
    <w:rsid w:val="7F4212AA"/>
    <w:rsid w:val="7F429108"/>
    <w:rsid w:val="7F42BCE7"/>
    <w:rsid w:val="7F4A5526"/>
    <w:rsid w:val="7F4BCA42"/>
    <w:rsid w:val="7F4C0E5A"/>
    <w:rsid w:val="7F4E69FF"/>
    <w:rsid w:val="7F4F8A24"/>
    <w:rsid w:val="7F50551A"/>
    <w:rsid w:val="7F5222BF"/>
    <w:rsid w:val="7F559AAF"/>
    <w:rsid w:val="7F5D1237"/>
    <w:rsid w:val="7F5DED57"/>
    <w:rsid w:val="7F60B924"/>
    <w:rsid w:val="7F612B90"/>
    <w:rsid w:val="7F645F1E"/>
    <w:rsid w:val="7F6C98C6"/>
    <w:rsid w:val="7F7E7599"/>
    <w:rsid w:val="7F800D13"/>
    <w:rsid w:val="7F802FB8"/>
    <w:rsid w:val="7F83F381"/>
    <w:rsid w:val="7F85C7BE"/>
    <w:rsid w:val="7F87BD30"/>
    <w:rsid w:val="7F8A3C1F"/>
    <w:rsid w:val="7F8B53E7"/>
    <w:rsid w:val="7F8C162A"/>
    <w:rsid w:val="7F9AE85F"/>
    <w:rsid w:val="7F9E0052"/>
    <w:rsid w:val="7FA26861"/>
    <w:rsid w:val="7FA6F2FA"/>
    <w:rsid w:val="7FAA060A"/>
    <w:rsid w:val="7FAA90C4"/>
    <w:rsid w:val="7FAAE4D2"/>
    <w:rsid w:val="7FAD23BC"/>
    <w:rsid w:val="7FAE4C07"/>
    <w:rsid w:val="7FB123F4"/>
    <w:rsid w:val="7FB1C55A"/>
    <w:rsid w:val="7FB7FFA6"/>
    <w:rsid w:val="7FBD2AE7"/>
    <w:rsid w:val="7FBD5609"/>
    <w:rsid w:val="7FC0AD93"/>
    <w:rsid w:val="7FC0DCF3"/>
    <w:rsid w:val="7FC27C5C"/>
    <w:rsid w:val="7FC9D29C"/>
    <w:rsid w:val="7FCA69D4"/>
    <w:rsid w:val="7FCF704E"/>
    <w:rsid w:val="7FD108E5"/>
    <w:rsid w:val="7FD29B72"/>
    <w:rsid w:val="7FD49D59"/>
    <w:rsid w:val="7FD75016"/>
    <w:rsid w:val="7FD92320"/>
    <w:rsid w:val="7FDE0625"/>
    <w:rsid w:val="7FDFFE69"/>
    <w:rsid w:val="7FE03FBB"/>
    <w:rsid w:val="7FE1F55C"/>
    <w:rsid w:val="7FE26254"/>
    <w:rsid w:val="7FE2F0C6"/>
    <w:rsid w:val="7FE59034"/>
    <w:rsid w:val="7FE66EDF"/>
    <w:rsid w:val="7FE7147B"/>
    <w:rsid w:val="7FE8D9B9"/>
    <w:rsid w:val="7FE942EB"/>
    <w:rsid w:val="7FF0B968"/>
    <w:rsid w:val="7FF2C6A6"/>
    <w:rsid w:val="7FF2FEA1"/>
    <w:rsid w:val="7FF354C8"/>
    <w:rsid w:val="7FF4F513"/>
    <w:rsid w:val="7FF59632"/>
    <w:rsid w:val="7FF6A61E"/>
    <w:rsid w:val="7FF9CC8D"/>
    <w:rsid w:val="7FFAE3EB"/>
    <w:rsid w:val="7FFF16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6D2E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4F3"/>
    <w:pPr>
      <w:spacing w:after="240" w:line="240" w:lineRule="auto"/>
      <w:jc w:val="both"/>
    </w:pPr>
    <w:rPr>
      <w:rFonts w:ascii="Times New Roman" w:hAnsi="Times New Roman" w:cs="Times New Roman"/>
      <w:sz w:val="24"/>
      <w:szCs w:val="24"/>
    </w:rPr>
  </w:style>
  <w:style w:type="paragraph" w:styleId="Heading1">
    <w:name w:val="heading 1"/>
    <w:basedOn w:val="ListParagraph"/>
    <w:next w:val="Text1"/>
    <w:link w:val="Heading1Char"/>
    <w:qFormat/>
    <w:rsid w:val="00E6308A"/>
    <w:pPr>
      <w:keepNext/>
      <w:numPr>
        <w:numId w:val="20"/>
      </w:numPr>
      <w:spacing w:before="240"/>
      <w:contextualSpacing w:val="0"/>
      <w:outlineLvl w:val="0"/>
    </w:pPr>
    <w:rPr>
      <w:b/>
    </w:rPr>
  </w:style>
  <w:style w:type="paragraph" w:styleId="Heading2">
    <w:name w:val="heading 2"/>
    <w:basedOn w:val="Heading1"/>
    <w:next w:val="Text2"/>
    <w:link w:val="Heading2Char"/>
    <w:qFormat/>
    <w:rsid w:val="00D24EED"/>
    <w:pPr>
      <w:numPr>
        <w:ilvl w:val="1"/>
      </w:numPr>
      <w:spacing w:after="120"/>
      <w:outlineLvl w:val="1"/>
    </w:pPr>
    <w:rPr>
      <w:bCs/>
    </w:rPr>
  </w:style>
  <w:style w:type="paragraph" w:styleId="Heading3">
    <w:name w:val="heading 3"/>
    <w:basedOn w:val="Normal"/>
    <w:next w:val="Normal"/>
    <w:link w:val="Heading3Char"/>
    <w:qFormat/>
    <w:rsid w:val="00C874F3"/>
    <w:pPr>
      <w:keepNext/>
      <w:numPr>
        <w:ilvl w:val="2"/>
        <w:numId w:val="20"/>
      </w:numPr>
      <w:outlineLvl w:val="2"/>
    </w:pPr>
    <w:rPr>
      <w:rFonts w:eastAsia="Times New Roman"/>
      <w:i/>
      <w:szCs w:val="20"/>
    </w:rPr>
  </w:style>
  <w:style w:type="paragraph" w:styleId="Heading4">
    <w:name w:val="heading 4"/>
    <w:basedOn w:val="Normal"/>
    <w:next w:val="Normal"/>
    <w:link w:val="Heading4Char"/>
    <w:uiPriority w:val="9"/>
    <w:unhideWhenUsed/>
    <w:qFormat/>
    <w:rsid w:val="00E96870"/>
    <w:pPr>
      <w:keepNext/>
      <w:keepLines/>
      <w:numPr>
        <w:ilvl w:val="3"/>
        <w:numId w:val="2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96870"/>
    <w:pPr>
      <w:keepNext/>
      <w:keepLines/>
      <w:numPr>
        <w:ilvl w:val="4"/>
        <w:numId w:val="20"/>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96870"/>
    <w:pPr>
      <w:keepNext/>
      <w:keepLines/>
      <w:numPr>
        <w:ilvl w:val="5"/>
        <w:numId w:val="2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96870"/>
    <w:pPr>
      <w:keepNext/>
      <w:keepLines/>
      <w:numPr>
        <w:ilvl w:val="6"/>
        <w:numId w:val="2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96870"/>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870"/>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C874F3"/>
    <w:pPr>
      <w:ind w:left="482"/>
    </w:pPr>
    <w:rPr>
      <w:rFonts w:eastAsia="Times New Roman"/>
      <w:szCs w:val="20"/>
    </w:rPr>
  </w:style>
  <w:style w:type="character" w:styleId="Hyperlink">
    <w:name w:val="Hyperlink"/>
    <w:basedOn w:val="DefaultParagraphFont"/>
    <w:uiPriority w:val="99"/>
    <w:unhideWhenUsed/>
    <w:rsid w:val="00C874F3"/>
    <w:rPr>
      <w:color w:val="0000FF"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C874F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C874F3"/>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C874F3"/>
    <w:rPr>
      <w:vertAlign w:val="superscript"/>
    </w:rPr>
  </w:style>
  <w:style w:type="paragraph" w:customStyle="1" w:styleId="CharCharChar1">
    <w:name w:val="Char Char Char1"/>
    <w:basedOn w:val="Normal"/>
    <w:link w:val="FootnoteReference"/>
    <w:uiPriority w:val="99"/>
    <w:rsid w:val="00C874F3"/>
    <w:pPr>
      <w:spacing w:after="160" w:line="240" w:lineRule="exact"/>
    </w:pPr>
    <w:rPr>
      <w:rFonts w:asciiTheme="minorHAnsi" w:hAnsiTheme="minorHAnsi" w:cstheme="minorBidi"/>
      <w:sz w:val="22"/>
      <w:szCs w:val="22"/>
      <w:vertAlign w:val="superscript"/>
    </w:rPr>
  </w:style>
  <w:style w:type="paragraph" w:customStyle="1" w:styleId="Text2">
    <w:name w:val="Text 2"/>
    <w:basedOn w:val="Normal"/>
    <w:rsid w:val="00C874F3"/>
    <w:pPr>
      <w:tabs>
        <w:tab w:val="left" w:pos="2302"/>
      </w:tabs>
      <w:ind w:left="1202"/>
    </w:pPr>
    <w:rPr>
      <w:rFonts w:eastAsia="Times New Roman"/>
      <w:szCs w:val="20"/>
    </w:rPr>
  </w:style>
  <w:style w:type="character" w:customStyle="1" w:styleId="Heading1Char">
    <w:name w:val="Heading 1 Char"/>
    <w:basedOn w:val="DefaultParagraphFont"/>
    <w:link w:val="Heading1"/>
    <w:rsid w:val="00E6308A"/>
    <w:rPr>
      <w:rFonts w:ascii="Times New Roman" w:hAnsi="Times New Roman" w:cs="Times New Roman"/>
      <w:b/>
      <w:sz w:val="24"/>
      <w:szCs w:val="24"/>
    </w:rPr>
  </w:style>
  <w:style w:type="character" w:customStyle="1" w:styleId="Heading2Char">
    <w:name w:val="Heading 2 Char"/>
    <w:basedOn w:val="DefaultParagraphFont"/>
    <w:link w:val="Heading2"/>
    <w:rsid w:val="00D24EED"/>
    <w:rPr>
      <w:rFonts w:ascii="Times New Roman" w:hAnsi="Times New Roman" w:cs="Times New Roman"/>
      <w:b/>
      <w:bCs/>
      <w:sz w:val="24"/>
      <w:szCs w:val="24"/>
    </w:rPr>
  </w:style>
  <w:style w:type="character" w:customStyle="1" w:styleId="Heading3Char">
    <w:name w:val="Heading 3 Char"/>
    <w:basedOn w:val="DefaultParagraphFont"/>
    <w:link w:val="Heading3"/>
    <w:rsid w:val="00C874F3"/>
    <w:rPr>
      <w:rFonts w:ascii="Times New Roman" w:eastAsia="Times New Roman" w:hAnsi="Times New Roman" w:cs="Times New Roman"/>
      <w:i/>
      <w:sz w:val="24"/>
      <w:szCs w:val="20"/>
    </w:rPr>
  </w:style>
  <w:style w:type="table" w:styleId="TableGrid">
    <w:name w:val="Table Grid"/>
    <w:aliases w:val="Document Table,CV1,TabelEcorys,HTG,Simple table,Table Grid IDEA,Deloitte"/>
    <w:basedOn w:val="TableNormal"/>
    <w:uiPriority w:val="59"/>
    <w:rsid w:val="00C874F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rsid w:val="00C874F3"/>
    <w:pPr>
      <w:spacing w:after="120"/>
    </w:pPr>
    <w:rPr>
      <w:rFonts w:eastAsia="Times New Roman" w:cs="Verdana"/>
      <w:szCs w:val="20"/>
      <w:lang w:eastAsia="nl-BE"/>
    </w:rPr>
  </w:style>
  <w:style w:type="character" w:customStyle="1" w:styleId="BodyChar">
    <w:name w:val="Body Char"/>
    <w:aliases w:val="Body Text Char,Body Text Char1 Char,Body Text Char Char Char,Body Text Char2 Char Char Char,Body Text Char1 Char Char Char Char,Body Text Char Char Char Char Char Char,Body Text Char2 Char Char Char Char Char Char,Bod Char,bt Char,b Char"/>
    <w:link w:val="Body"/>
    <w:rsid w:val="00C874F3"/>
    <w:rPr>
      <w:rFonts w:ascii="Times New Roman" w:eastAsia="Times New Roman" w:hAnsi="Times New Roman" w:cs="Verdana"/>
      <w:sz w:val="24"/>
      <w:szCs w:val="20"/>
      <w:lang w:eastAsia="nl-BE"/>
    </w:rPr>
  </w:style>
  <w:style w:type="character" w:customStyle="1" w:styleId="hwtze">
    <w:name w:val="hwtze"/>
    <w:basedOn w:val="DefaultParagraphFont"/>
    <w:rsid w:val="00C874F3"/>
  </w:style>
  <w:style w:type="character" w:customStyle="1" w:styleId="rynqvb">
    <w:name w:val="rynqvb"/>
    <w:basedOn w:val="DefaultParagraphFont"/>
    <w:rsid w:val="00C874F3"/>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C874F3"/>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874F3"/>
    <w:rPr>
      <w:rFonts w:ascii="Times New Roman" w:hAnsi="Times New Roman" w:cs="Times New Roman"/>
      <w:sz w:val="24"/>
      <w:szCs w:val="24"/>
    </w:rPr>
  </w:style>
  <w:style w:type="table" w:customStyle="1" w:styleId="TableGrid1">
    <w:name w:val="Table Grid1"/>
    <w:basedOn w:val="TableNormal"/>
    <w:next w:val="TableGrid"/>
    <w:uiPriority w:val="59"/>
    <w:rsid w:val="00C87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7B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BF1"/>
    <w:rPr>
      <w:rFonts w:ascii="Segoe UI" w:hAnsi="Segoe UI" w:cs="Segoe UI"/>
      <w:sz w:val="18"/>
      <w:szCs w:val="18"/>
    </w:rPr>
  </w:style>
  <w:style w:type="paragraph" w:styleId="Header">
    <w:name w:val="header"/>
    <w:basedOn w:val="Normal"/>
    <w:link w:val="HeaderChar"/>
    <w:uiPriority w:val="99"/>
    <w:unhideWhenUsed/>
    <w:rsid w:val="006B1BD7"/>
    <w:pPr>
      <w:tabs>
        <w:tab w:val="center" w:pos="4680"/>
        <w:tab w:val="right" w:pos="9360"/>
      </w:tabs>
      <w:spacing w:after="0"/>
    </w:pPr>
  </w:style>
  <w:style w:type="character" w:customStyle="1" w:styleId="HeaderChar">
    <w:name w:val="Header Char"/>
    <w:basedOn w:val="DefaultParagraphFont"/>
    <w:link w:val="Header"/>
    <w:uiPriority w:val="99"/>
    <w:rsid w:val="006B1BD7"/>
    <w:rPr>
      <w:rFonts w:ascii="Times New Roman" w:hAnsi="Times New Roman" w:cs="Times New Roman"/>
      <w:sz w:val="24"/>
      <w:szCs w:val="24"/>
    </w:rPr>
  </w:style>
  <w:style w:type="paragraph" w:styleId="Footer">
    <w:name w:val="footer"/>
    <w:basedOn w:val="Normal"/>
    <w:link w:val="FooterChar"/>
    <w:uiPriority w:val="99"/>
    <w:unhideWhenUsed/>
    <w:rsid w:val="006B1BD7"/>
    <w:pPr>
      <w:tabs>
        <w:tab w:val="center" w:pos="4680"/>
        <w:tab w:val="right" w:pos="9360"/>
      </w:tabs>
      <w:spacing w:after="0"/>
    </w:pPr>
  </w:style>
  <w:style w:type="character" w:customStyle="1" w:styleId="FooterChar">
    <w:name w:val="Footer Char"/>
    <w:basedOn w:val="DefaultParagraphFont"/>
    <w:link w:val="Footer"/>
    <w:uiPriority w:val="99"/>
    <w:rsid w:val="006B1BD7"/>
    <w:rPr>
      <w:rFonts w:ascii="Times New Roman" w:hAnsi="Times New Roman" w:cs="Times New Roman"/>
      <w:sz w:val="24"/>
      <w:szCs w:val="24"/>
    </w:rPr>
  </w:style>
  <w:style w:type="paragraph" w:styleId="Revision">
    <w:name w:val="Revision"/>
    <w:hidden/>
    <w:uiPriority w:val="99"/>
    <w:semiHidden/>
    <w:rsid w:val="00752524"/>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unhideWhenUsed/>
    <w:rsid w:val="00752524"/>
    <w:rPr>
      <w:sz w:val="16"/>
      <w:szCs w:val="16"/>
    </w:rPr>
  </w:style>
  <w:style w:type="paragraph" w:styleId="CommentText">
    <w:name w:val="annotation text"/>
    <w:basedOn w:val="Normal"/>
    <w:link w:val="CommentTextChar"/>
    <w:uiPriority w:val="99"/>
    <w:unhideWhenUsed/>
    <w:rsid w:val="00752524"/>
    <w:rPr>
      <w:sz w:val="20"/>
      <w:szCs w:val="20"/>
    </w:rPr>
  </w:style>
  <w:style w:type="character" w:customStyle="1" w:styleId="CommentTextChar">
    <w:name w:val="Comment Text Char"/>
    <w:basedOn w:val="DefaultParagraphFont"/>
    <w:link w:val="CommentText"/>
    <w:uiPriority w:val="99"/>
    <w:rsid w:val="0075252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2524"/>
    <w:rPr>
      <w:b/>
      <w:bCs/>
    </w:rPr>
  </w:style>
  <w:style w:type="character" w:customStyle="1" w:styleId="CommentSubjectChar">
    <w:name w:val="Comment Subject Char"/>
    <w:basedOn w:val="CommentTextChar"/>
    <w:link w:val="CommentSubject"/>
    <w:uiPriority w:val="99"/>
    <w:semiHidden/>
    <w:rsid w:val="00752524"/>
    <w:rPr>
      <w:rFonts w:ascii="Times New Roman" w:hAnsi="Times New Roman" w:cs="Times New Roman"/>
      <w:b/>
      <w:bCs/>
      <w:sz w:val="20"/>
      <w:szCs w:val="20"/>
    </w:rPr>
  </w:style>
  <w:style w:type="character" w:customStyle="1" w:styleId="normaltextrun">
    <w:name w:val="normaltextrun"/>
    <w:basedOn w:val="DefaultParagraphFont"/>
    <w:rsid w:val="00D17133"/>
  </w:style>
  <w:style w:type="character" w:customStyle="1" w:styleId="eop">
    <w:name w:val="eop"/>
    <w:basedOn w:val="DefaultParagraphFont"/>
    <w:rsid w:val="00A4030C"/>
  </w:style>
  <w:style w:type="paragraph" w:styleId="Date">
    <w:name w:val="Date"/>
    <w:basedOn w:val="Normal"/>
    <w:next w:val="References"/>
    <w:link w:val="DateChar"/>
    <w:uiPriority w:val="99"/>
    <w:rsid w:val="00B93EB5"/>
    <w:pPr>
      <w:spacing w:after="0"/>
      <w:ind w:left="5103" w:right="-567"/>
      <w:jc w:val="left"/>
    </w:pPr>
    <w:rPr>
      <w:rFonts w:eastAsia="Times New Roman"/>
      <w:szCs w:val="20"/>
    </w:rPr>
  </w:style>
  <w:style w:type="character" w:customStyle="1" w:styleId="DateChar">
    <w:name w:val="Date Char"/>
    <w:basedOn w:val="DefaultParagraphFont"/>
    <w:link w:val="Date"/>
    <w:uiPriority w:val="99"/>
    <w:rsid w:val="00B93EB5"/>
    <w:rPr>
      <w:rFonts w:ascii="Times New Roman" w:eastAsia="Times New Roman" w:hAnsi="Times New Roman" w:cs="Times New Roman"/>
      <w:sz w:val="24"/>
      <w:szCs w:val="20"/>
    </w:rPr>
  </w:style>
  <w:style w:type="paragraph" w:customStyle="1" w:styleId="References">
    <w:name w:val="References"/>
    <w:basedOn w:val="Normal"/>
    <w:next w:val="Normal"/>
    <w:uiPriority w:val="99"/>
    <w:rsid w:val="00B93EB5"/>
    <w:pPr>
      <w:ind w:left="5103"/>
      <w:jc w:val="left"/>
    </w:pPr>
    <w:rPr>
      <w:rFonts w:eastAsia="Times New Roman"/>
      <w:sz w:val="20"/>
      <w:szCs w:val="20"/>
    </w:rPr>
  </w:style>
  <w:style w:type="paragraph" w:customStyle="1" w:styleId="NoteHead">
    <w:name w:val="NoteHead"/>
    <w:basedOn w:val="Normal"/>
    <w:next w:val="Normal"/>
    <w:uiPriority w:val="99"/>
    <w:rsid w:val="00B93EB5"/>
    <w:pPr>
      <w:spacing w:before="720" w:after="720"/>
      <w:jc w:val="center"/>
    </w:pPr>
    <w:rPr>
      <w:rFonts w:eastAsia="Times New Roman"/>
      <w:b/>
      <w:smallCaps/>
      <w:szCs w:val="20"/>
    </w:rPr>
  </w:style>
  <w:style w:type="paragraph" w:customStyle="1" w:styleId="ZCom">
    <w:name w:val="Z_Com"/>
    <w:basedOn w:val="Normal"/>
    <w:next w:val="ZDGName"/>
    <w:rsid w:val="00B93EB5"/>
    <w:pPr>
      <w:widowControl w:val="0"/>
      <w:autoSpaceDE w:val="0"/>
      <w:autoSpaceDN w:val="0"/>
      <w:spacing w:after="0"/>
      <w:ind w:right="85"/>
    </w:pPr>
    <w:rPr>
      <w:rFonts w:ascii="Arial" w:eastAsia="Times New Roman" w:hAnsi="Arial" w:cs="Arial"/>
      <w:lang w:eastAsia="en-GB"/>
    </w:rPr>
  </w:style>
  <w:style w:type="paragraph" w:customStyle="1" w:styleId="ZDGName">
    <w:name w:val="Z_DGName"/>
    <w:basedOn w:val="Normal"/>
    <w:uiPriority w:val="99"/>
    <w:rsid w:val="00B93EB5"/>
    <w:pPr>
      <w:widowControl w:val="0"/>
      <w:autoSpaceDE w:val="0"/>
      <w:autoSpaceDN w:val="0"/>
      <w:spacing w:after="0"/>
      <w:ind w:right="85"/>
      <w:jc w:val="left"/>
    </w:pPr>
    <w:rPr>
      <w:rFonts w:ascii="Arial" w:eastAsia="Times New Roman" w:hAnsi="Arial" w:cs="Arial"/>
      <w:sz w:val="16"/>
      <w:szCs w:val="16"/>
      <w:lang w:eastAsia="en-GB"/>
    </w:rPr>
  </w:style>
  <w:style w:type="character" w:styleId="Emphasis">
    <w:name w:val="Emphasis"/>
    <w:uiPriority w:val="20"/>
    <w:qFormat/>
    <w:rsid w:val="00B93EB5"/>
    <w:rPr>
      <w:i/>
      <w:iCs/>
    </w:rPr>
  </w:style>
  <w:style w:type="paragraph" w:styleId="EndnoteText">
    <w:name w:val="endnote text"/>
    <w:basedOn w:val="Normal"/>
    <w:link w:val="EndnoteTextChar"/>
    <w:uiPriority w:val="99"/>
    <w:semiHidden/>
    <w:unhideWhenUsed/>
    <w:rsid w:val="000C6F6D"/>
    <w:pPr>
      <w:spacing w:after="0"/>
    </w:pPr>
    <w:rPr>
      <w:sz w:val="20"/>
      <w:szCs w:val="20"/>
    </w:rPr>
  </w:style>
  <w:style w:type="character" w:customStyle="1" w:styleId="EndnoteTextChar">
    <w:name w:val="Endnote Text Char"/>
    <w:basedOn w:val="DefaultParagraphFont"/>
    <w:link w:val="EndnoteText"/>
    <w:uiPriority w:val="99"/>
    <w:semiHidden/>
    <w:rsid w:val="000C6F6D"/>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0C6F6D"/>
    <w:rPr>
      <w:vertAlign w:val="superscript"/>
    </w:rPr>
  </w:style>
  <w:style w:type="paragraph" w:customStyle="1" w:styleId="paragraph">
    <w:name w:val="paragraph"/>
    <w:basedOn w:val="Normal"/>
    <w:rsid w:val="0089709C"/>
    <w:pPr>
      <w:spacing w:before="100" w:beforeAutospacing="1" w:after="100" w:afterAutospacing="1"/>
      <w:jc w:val="left"/>
    </w:pPr>
    <w:rPr>
      <w:rFonts w:eastAsia="Times New Roman"/>
    </w:rPr>
  </w:style>
  <w:style w:type="character" w:customStyle="1" w:styleId="superscript">
    <w:name w:val="superscript"/>
    <w:basedOn w:val="DefaultParagraphFont"/>
    <w:rsid w:val="00CE1766"/>
  </w:style>
  <w:style w:type="character" w:customStyle="1" w:styleId="markedcontent">
    <w:name w:val="markedcontent"/>
    <w:basedOn w:val="DefaultParagraphFont"/>
    <w:rsid w:val="00445E79"/>
  </w:style>
  <w:style w:type="character" w:customStyle="1" w:styleId="highlight">
    <w:name w:val="highlight"/>
    <w:basedOn w:val="DefaultParagraphFont"/>
    <w:rsid w:val="00445E79"/>
  </w:style>
  <w:style w:type="character" w:styleId="FollowedHyperlink">
    <w:name w:val="FollowedHyperlink"/>
    <w:basedOn w:val="DefaultParagraphFont"/>
    <w:uiPriority w:val="99"/>
    <w:semiHidden/>
    <w:unhideWhenUsed/>
    <w:rsid w:val="00743512"/>
    <w:rPr>
      <w:color w:val="800080" w:themeColor="followedHyperlink"/>
      <w:u w:val="single"/>
    </w:rPr>
  </w:style>
  <w:style w:type="character" w:customStyle="1" w:styleId="UnresolvedMention1">
    <w:name w:val="Unresolved Mention1"/>
    <w:basedOn w:val="DefaultParagraphFont"/>
    <w:uiPriority w:val="99"/>
    <w:semiHidden/>
    <w:unhideWhenUsed/>
    <w:rsid w:val="007405FD"/>
    <w:rPr>
      <w:color w:val="605E5C"/>
      <w:shd w:val="clear" w:color="auto" w:fill="E1DFDD"/>
    </w:rPr>
  </w:style>
  <w:style w:type="character" w:customStyle="1" w:styleId="Heading4Char">
    <w:name w:val="Heading 4 Char"/>
    <w:basedOn w:val="DefaultParagraphFont"/>
    <w:link w:val="Heading4"/>
    <w:uiPriority w:val="9"/>
    <w:rsid w:val="00E96870"/>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E9687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E9687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E9687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E968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870"/>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E96870"/>
  </w:style>
  <w:style w:type="character" w:customStyle="1" w:styleId="UnresolvedMention2">
    <w:name w:val="Unresolved Mention2"/>
    <w:basedOn w:val="DefaultParagraphFont"/>
    <w:uiPriority w:val="99"/>
    <w:semiHidden/>
    <w:unhideWhenUsed/>
    <w:rsid w:val="00AE0B37"/>
    <w:rPr>
      <w:color w:val="605E5C"/>
      <w:shd w:val="clear" w:color="auto" w:fill="E1DFDD"/>
    </w:rPr>
  </w:style>
  <w:style w:type="character" w:customStyle="1" w:styleId="Mention1">
    <w:name w:val="Mention1"/>
    <w:basedOn w:val="DefaultParagraphFont"/>
    <w:uiPriority w:val="99"/>
    <w:unhideWhenUsed/>
    <w:rsid w:val="00EF56DE"/>
    <w:rPr>
      <w:color w:val="2B579A"/>
      <w:shd w:val="clear" w:color="auto" w:fill="E6E6E6"/>
    </w:rPr>
  </w:style>
  <w:style w:type="paragraph" w:styleId="Caption">
    <w:name w:val="caption"/>
    <w:basedOn w:val="Normal"/>
    <w:next w:val="Normal"/>
    <w:uiPriority w:val="35"/>
    <w:unhideWhenUsed/>
    <w:qFormat/>
    <w:rsid w:val="0087566F"/>
    <w:pPr>
      <w:spacing w:after="200"/>
    </w:pPr>
    <w:rPr>
      <w:rFonts w:ascii="Arial" w:hAnsi="Arial"/>
      <w:iCs/>
      <w:color w:val="1F497D" w:themeColor="text2"/>
      <w:sz w:val="18"/>
      <w:szCs w:val="18"/>
    </w:rPr>
  </w:style>
  <w:style w:type="paragraph" w:customStyle="1" w:styleId="Bulletpoint1">
    <w:name w:val="Bullet point 1"/>
    <w:basedOn w:val="ListParagraph"/>
    <w:link w:val="Bulletpoint1Char"/>
    <w:qFormat/>
    <w:rsid w:val="00D62C7E"/>
    <w:pPr>
      <w:numPr>
        <w:numId w:val="2"/>
      </w:numPr>
    </w:pPr>
    <w:rPr>
      <w:rFonts w:eastAsia="Calibri"/>
      <w:color w:val="000000" w:themeColor="text1"/>
    </w:rPr>
  </w:style>
  <w:style w:type="paragraph" w:customStyle="1" w:styleId="Bulletpoint2">
    <w:name w:val="Bullet point 2"/>
    <w:basedOn w:val="ListParagraph"/>
    <w:link w:val="Bulletpoint2Char"/>
    <w:qFormat/>
    <w:rsid w:val="00857E1D"/>
    <w:pPr>
      <w:ind w:left="1134" w:hanging="357"/>
    </w:pPr>
    <w:rPr>
      <w:rFonts w:eastAsiaTheme="minorEastAsia"/>
    </w:rPr>
  </w:style>
  <w:style w:type="character" w:customStyle="1" w:styleId="Bulletpoint1Char">
    <w:name w:val="Bullet point 1 Char"/>
    <w:basedOn w:val="ListParagraphChar"/>
    <w:link w:val="Bulletpoint1"/>
    <w:rsid w:val="00D62C7E"/>
    <w:rPr>
      <w:rFonts w:ascii="Times New Roman" w:eastAsia="Calibri" w:hAnsi="Times New Roman" w:cs="Times New Roman"/>
      <w:color w:val="000000" w:themeColor="text1"/>
      <w:sz w:val="24"/>
      <w:szCs w:val="24"/>
    </w:rPr>
  </w:style>
  <w:style w:type="paragraph" w:customStyle="1" w:styleId="Bulletpoint3">
    <w:name w:val="Bullet point 3"/>
    <w:basedOn w:val="ListParagraph"/>
    <w:link w:val="Bulletpoint3Char"/>
    <w:qFormat/>
    <w:rsid w:val="00857E1D"/>
    <w:pPr>
      <w:spacing w:after="120"/>
      <w:ind w:left="2160" w:hanging="360"/>
    </w:pPr>
  </w:style>
  <w:style w:type="character" w:customStyle="1" w:styleId="Bulletpoint2Char">
    <w:name w:val="Bullet point 2 Char"/>
    <w:basedOn w:val="ListParagraphChar"/>
    <w:link w:val="Bulletpoint2"/>
    <w:rsid w:val="00857E1D"/>
    <w:rPr>
      <w:rFonts w:ascii="Times New Roman" w:eastAsiaTheme="minorEastAsia" w:hAnsi="Times New Roman" w:cs="Times New Roman"/>
      <w:sz w:val="24"/>
      <w:szCs w:val="24"/>
    </w:rPr>
  </w:style>
  <w:style w:type="paragraph" w:customStyle="1" w:styleId="Commissionwill">
    <w:name w:val="Commission will"/>
    <w:basedOn w:val="Normal"/>
    <w:link w:val="CommissionwillChar"/>
    <w:qFormat/>
    <w:rsid w:val="001C71E0"/>
    <w:pPr>
      <w:keepNext/>
    </w:pPr>
    <w:rPr>
      <w:rFonts w:eastAsia="Calibri"/>
      <w:i/>
      <w:szCs w:val="20"/>
    </w:rPr>
  </w:style>
  <w:style w:type="character" w:customStyle="1" w:styleId="Bulletpoint3Char">
    <w:name w:val="Bullet point 3 Char"/>
    <w:basedOn w:val="ListParagraphChar"/>
    <w:link w:val="Bulletpoint3"/>
    <w:rsid w:val="00857E1D"/>
    <w:rPr>
      <w:rFonts w:ascii="Times New Roman" w:hAnsi="Times New Roman" w:cs="Times New Roman"/>
      <w:sz w:val="24"/>
      <w:szCs w:val="24"/>
    </w:rPr>
  </w:style>
  <w:style w:type="paragraph" w:customStyle="1" w:styleId="iii">
    <w:name w:val="iii"/>
    <w:basedOn w:val="ListParagraph"/>
    <w:link w:val="iiiChar"/>
    <w:qFormat/>
    <w:rsid w:val="008A2B23"/>
    <w:pPr>
      <w:numPr>
        <w:numId w:val="3"/>
      </w:numPr>
    </w:pPr>
  </w:style>
  <w:style w:type="character" w:customStyle="1" w:styleId="CommissionwillChar">
    <w:name w:val="Commission will Char"/>
    <w:basedOn w:val="DefaultParagraphFont"/>
    <w:link w:val="Commissionwill"/>
    <w:rsid w:val="001C71E0"/>
    <w:rPr>
      <w:rFonts w:ascii="Times New Roman" w:eastAsia="Calibri" w:hAnsi="Times New Roman" w:cs="Times New Roman"/>
      <w:i/>
      <w:sz w:val="24"/>
      <w:szCs w:val="20"/>
    </w:rPr>
  </w:style>
  <w:style w:type="character" w:customStyle="1" w:styleId="iiiChar">
    <w:name w:val="iii Char"/>
    <w:basedOn w:val="ListParagraphChar"/>
    <w:link w:val="iii"/>
    <w:rsid w:val="008A2B23"/>
    <w:rPr>
      <w:rFonts w:ascii="Times New Roman" w:hAnsi="Times New Roman" w:cs="Times New Roman"/>
      <w:sz w:val="24"/>
      <w:szCs w:val="24"/>
    </w:rPr>
  </w:style>
  <w:style w:type="paragraph" w:customStyle="1" w:styleId="bulletpoint10">
    <w:name w:val="bulletpoint1"/>
    <w:basedOn w:val="Normal"/>
    <w:rsid w:val="00E6738E"/>
    <w:pPr>
      <w:ind w:left="714" w:hanging="357"/>
    </w:pPr>
    <w:rPr>
      <w:color w:val="000000"/>
      <w:lang w:eastAsia="en-GB"/>
    </w:rPr>
  </w:style>
  <w:style w:type="character" w:customStyle="1" w:styleId="UnresolvedMention3">
    <w:name w:val="Unresolved Mention3"/>
    <w:basedOn w:val="DefaultParagraphFont"/>
    <w:uiPriority w:val="99"/>
    <w:semiHidden/>
    <w:unhideWhenUsed/>
    <w:rsid w:val="00D15734"/>
    <w:rPr>
      <w:color w:val="605E5C"/>
      <w:shd w:val="clear" w:color="auto" w:fill="E1DFDD"/>
    </w:rPr>
  </w:style>
  <w:style w:type="character" w:customStyle="1" w:styleId="Marker">
    <w:name w:val="Marker"/>
    <w:basedOn w:val="DefaultParagraphFont"/>
    <w:rsid w:val="00657EC6"/>
    <w:rPr>
      <w:color w:val="0000FF"/>
      <w:shd w:val="clear" w:color="auto" w:fill="auto"/>
    </w:rPr>
  </w:style>
  <w:style w:type="paragraph" w:customStyle="1" w:styleId="Pagedecouverture">
    <w:name w:val="Page de couverture"/>
    <w:basedOn w:val="Normal"/>
    <w:next w:val="Normal"/>
    <w:rsid w:val="00657EC6"/>
    <w:pPr>
      <w:spacing w:after="0"/>
    </w:pPr>
    <w:rPr>
      <w:szCs w:val="22"/>
    </w:rPr>
  </w:style>
  <w:style w:type="paragraph" w:customStyle="1" w:styleId="FooterCoverPage">
    <w:name w:val="Footer Cover Page"/>
    <w:basedOn w:val="Normal"/>
    <w:link w:val="FooterCoverPageChar"/>
    <w:rsid w:val="00657EC6"/>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57EC6"/>
    <w:rPr>
      <w:rFonts w:ascii="Times New Roman" w:hAnsi="Times New Roman" w:cs="Times New Roman"/>
      <w:sz w:val="24"/>
      <w:szCs w:val="24"/>
    </w:rPr>
  </w:style>
  <w:style w:type="paragraph" w:customStyle="1" w:styleId="FooterSensitivity">
    <w:name w:val="Footer Sensitivity"/>
    <w:basedOn w:val="Normal"/>
    <w:link w:val="FooterSensitivityChar"/>
    <w:rsid w:val="00657EC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657EC6"/>
    <w:rPr>
      <w:rFonts w:ascii="Times New Roman" w:hAnsi="Times New Roman" w:cs="Times New Roman"/>
      <w:b/>
      <w:sz w:val="32"/>
      <w:szCs w:val="24"/>
    </w:rPr>
  </w:style>
  <w:style w:type="paragraph" w:customStyle="1" w:styleId="HeaderCoverPage">
    <w:name w:val="Header Cover Page"/>
    <w:basedOn w:val="Normal"/>
    <w:link w:val="HeaderCoverPageChar"/>
    <w:rsid w:val="00657EC6"/>
    <w:pPr>
      <w:tabs>
        <w:tab w:val="center" w:pos="4535"/>
        <w:tab w:val="right" w:pos="9071"/>
      </w:tabs>
      <w:spacing w:after="120"/>
    </w:pPr>
  </w:style>
  <w:style w:type="character" w:customStyle="1" w:styleId="HeaderCoverPageChar">
    <w:name w:val="Header Cover Page Char"/>
    <w:basedOn w:val="DefaultParagraphFont"/>
    <w:link w:val="HeaderCoverPage"/>
    <w:rsid w:val="00657EC6"/>
    <w:rPr>
      <w:rFonts w:ascii="Times New Roman" w:hAnsi="Times New Roman" w:cs="Times New Roman"/>
      <w:sz w:val="24"/>
      <w:szCs w:val="24"/>
    </w:rPr>
  </w:style>
  <w:style w:type="paragraph" w:customStyle="1" w:styleId="HeaderSensitivity">
    <w:name w:val="Header Sensitivity"/>
    <w:basedOn w:val="Normal"/>
    <w:link w:val="HeaderSensitivityChar"/>
    <w:rsid w:val="00657EC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657EC6"/>
    <w:rPr>
      <w:rFonts w:ascii="Times New Roman" w:hAnsi="Times New Roman" w:cs="Times New Roman"/>
      <w:b/>
      <w:sz w:val="32"/>
      <w:szCs w:val="24"/>
    </w:rPr>
  </w:style>
  <w:style w:type="paragraph" w:customStyle="1" w:styleId="HeaderSensitivityRight">
    <w:name w:val="Header Sensitivity Right"/>
    <w:basedOn w:val="Normal"/>
    <w:link w:val="HeaderSensitivityRightChar"/>
    <w:rsid w:val="00767A1C"/>
    <w:pPr>
      <w:spacing w:after="120"/>
      <w:jc w:val="right"/>
    </w:pPr>
    <w:rPr>
      <w:sz w:val="28"/>
    </w:rPr>
  </w:style>
  <w:style w:type="character" w:customStyle="1" w:styleId="HeaderSensitivityRightChar">
    <w:name w:val="Header Sensitivity Right Char"/>
    <w:basedOn w:val="DefaultParagraphFont"/>
    <w:link w:val="HeaderSensitivityRight"/>
    <w:rsid w:val="00657EC6"/>
    <w:rPr>
      <w:rFonts w:ascii="Times New Roman" w:hAnsi="Times New Roman" w:cs="Times New Roman"/>
      <w:sz w:val="28"/>
      <w:szCs w:val="24"/>
    </w:rPr>
  </w:style>
  <w:style w:type="paragraph" w:customStyle="1" w:styleId="Typedudocument">
    <w:name w:val="Type du document"/>
    <w:basedOn w:val="Normal"/>
    <w:next w:val="Normal"/>
    <w:rsid w:val="004E02E6"/>
    <w:pPr>
      <w:spacing w:before="360" w:after="0"/>
      <w:jc w:val="center"/>
    </w:pPr>
    <w:rPr>
      <w:b/>
      <w:szCs w:val="22"/>
    </w:rPr>
  </w:style>
  <w:style w:type="paragraph" w:customStyle="1" w:styleId="Titreobjet">
    <w:name w:val="Titre objet"/>
    <w:basedOn w:val="Normal"/>
    <w:next w:val="Normal"/>
    <w:rsid w:val="004E02E6"/>
    <w:pPr>
      <w:spacing w:before="360" w:after="360"/>
      <w:jc w:val="center"/>
    </w:pPr>
    <w:rPr>
      <w:b/>
      <w:szCs w:val="22"/>
    </w:rPr>
  </w:style>
  <w:style w:type="character" w:customStyle="1" w:styleId="UnresolvedMention4">
    <w:name w:val="Unresolved Mention4"/>
    <w:basedOn w:val="DefaultParagraphFont"/>
    <w:uiPriority w:val="99"/>
    <w:semiHidden/>
    <w:unhideWhenUsed/>
    <w:rsid w:val="00B86865"/>
    <w:rPr>
      <w:color w:val="605E5C"/>
      <w:shd w:val="clear" w:color="auto" w:fill="E1DFDD"/>
    </w:rPr>
  </w:style>
  <w:style w:type="character" w:customStyle="1" w:styleId="UnresolvedMention5">
    <w:name w:val="Unresolved Mention5"/>
    <w:basedOn w:val="DefaultParagraphFont"/>
    <w:uiPriority w:val="99"/>
    <w:semiHidden/>
    <w:unhideWhenUsed/>
    <w:rsid w:val="00670A6E"/>
    <w:rPr>
      <w:color w:val="605E5C"/>
      <w:shd w:val="clear" w:color="auto" w:fill="E1DFDD"/>
    </w:rPr>
  </w:style>
  <w:style w:type="character" w:customStyle="1" w:styleId="Mention2">
    <w:name w:val="Mention2"/>
    <w:basedOn w:val="DefaultParagraphFont"/>
    <w:uiPriority w:val="99"/>
    <w:unhideWhenUsed/>
    <w:rsid w:val="00C35A9D"/>
    <w:rPr>
      <w:color w:val="2B579A"/>
      <w:shd w:val="clear" w:color="auto" w:fill="E6E6E6"/>
    </w:rPr>
  </w:style>
  <w:style w:type="character" w:customStyle="1" w:styleId="UnresolvedMention6">
    <w:name w:val="Unresolved Mention6"/>
    <w:basedOn w:val="DefaultParagraphFont"/>
    <w:uiPriority w:val="99"/>
    <w:semiHidden/>
    <w:unhideWhenUsed/>
    <w:rsid w:val="00C35A9D"/>
    <w:rPr>
      <w:color w:val="605E5C"/>
      <w:shd w:val="clear" w:color="auto" w:fill="E1DFDD"/>
    </w:rPr>
  </w:style>
  <w:style w:type="character" w:customStyle="1" w:styleId="UnresolvedMention60">
    <w:name w:val="Unresolved Mention60"/>
    <w:basedOn w:val="DefaultParagraphFont"/>
    <w:uiPriority w:val="99"/>
    <w:semiHidden/>
    <w:unhideWhenUsed/>
    <w:rsid w:val="0092545B"/>
    <w:rPr>
      <w:color w:val="605E5C"/>
      <w:shd w:val="clear" w:color="auto" w:fill="E1DFDD"/>
    </w:rPr>
  </w:style>
  <w:style w:type="character" w:customStyle="1" w:styleId="UnresolvedMention600">
    <w:name w:val="Unresolved Mention600"/>
    <w:basedOn w:val="DefaultParagraphFont"/>
    <w:uiPriority w:val="99"/>
    <w:semiHidden/>
    <w:unhideWhenUsed/>
    <w:rsid w:val="00C77265"/>
    <w:rPr>
      <w:color w:val="605E5C"/>
      <w:shd w:val="clear" w:color="auto" w:fill="E1DFDD"/>
    </w:rPr>
  </w:style>
  <w:style w:type="character" w:customStyle="1" w:styleId="UnresolvedMention7">
    <w:name w:val="Unresolved Mention7"/>
    <w:basedOn w:val="DefaultParagraphFont"/>
    <w:uiPriority w:val="99"/>
    <w:semiHidden/>
    <w:unhideWhenUsed/>
    <w:rsid w:val="00270765"/>
    <w:rPr>
      <w:color w:val="605E5C"/>
      <w:shd w:val="clear" w:color="auto" w:fill="E1DFDD"/>
    </w:rPr>
  </w:style>
  <w:style w:type="character" w:customStyle="1" w:styleId="UnresolvedMention8">
    <w:name w:val="Unresolved Mention8"/>
    <w:basedOn w:val="DefaultParagraphFont"/>
    <w:uiPriority w:val="99"/>
    <w:semiHidden/>
    <w:unhideWhenUsed/>
    <w:rsid w:val="00A04F30"/>
    <w:rPr>
      <w:color w:val="605E5C"/>
      <w:shd w:val="clear" w:color="auto" w:fill="E1DFDD"/>
    </w:rPr>
  </w:style>
  <w:style w:type="character" w:customStyle="1" w:styleId="UnresolvedMention9">
    <w:name w:val="Unresolved Mention9"/>
    <w:basedOn w:val="DefaultParagraphFont"/>
    <w:uiPriority w:val="99"/>
    <w:semiHidden/>
    <w:unhideWhenUsed/>
    <w:rsid w:val="00305C64"/>
    <w:rPr>
      <w:color w:val="605E5C"/>
      <w:shd w:val="clear" w:color="auto" w:fill="E1DFDD"/>
    </w:rPr>
  </w:style>
  <w:style w:type="character" w:customStyle="1" w:styleId="UnresolvedMention10">
    <w:name w:val="Unresolved Mention10"/>
    <w:basedOn w:val="DefaultParagraphFont"/>
    <w:uiPriority w:val="99"/>
    <w:semiHidden/>
    <w:unhideWhenUsed/>
    <w:rsid w:val="0081270E"/>
    <w:rPr>
      <w:color w:val="605E5C"/>
      <w:shd w:val="clear" w:color="auto" w:fill="E1DFDD"/>
    </w:rPr>
  </w:style>
  <w:style w:type="character" w:customStyle="1" w:styleId="UnresolvedMention11">
    <w:name w:val="Unresolved Mention11"/>
    <w:basedOn w:val="DefaultParagraphFont"/>
    <w:uiPriority w:val="99"/>
    <w:semiHidden/>
    <w:unhideWhenUsed/>
    <w:rsid w:val="00CE44C7"/>
    <w:rPr>
      <w:color w:val="605E5C"/>
      <w:shd w:val="clear" w:color="auto" w:fill="E1DFDD"/>
    </w:rPr>
  </w:style>
  <w:style w:type="character" w:customStyle="1" w:styleId="UnresolvedMention12">
    <w:name w:val="Unresolved Mention12"/>
    <w:basedOn w:val="DefaultParagraphFont"/>
    <w:uiPriority w:val="99"/>
    <w:semiHidden/>
    <w:unhideWhenUsed/>
    <w:rsid w:val="00997683"/>
    <w:rPr>
      <w:color w:val="605E5C"/>
      <w:shd w:val="clear" w:color="auto" w:fill="E1DFDD"/>
    </w:rPr>
  </w:style>
  <w:style w:type="character" w:customStyle="1" w:styleId="UnresolvedMention13">
    <w:name w:val="Unresolved Mention13"/>
    <w:basedOn w:val="DefaultParagraphFont"/>
    <w:uiPriority w:val="99"/>
    <w:semiHidden/>
    <w:unhideWhenUsed/>
    <w:rsid w:val="00EB7BA8"/>
    <w:rPr>
      <w:color w:val="605E5C"/>
      <w:shd w:val="clear" w:color="auto" w:fill="E1DFDD"/>
    </w:rPr>
  </w:style>
  <w:style w:type="character" w:customStyle="1" w:styleId="UnresolvedMention14">
    <w:name w:val="Unresolved Mention14"/>
    <w:basedOn w:val="DefaultParagraphFont"/>
    <w:uiPriority w:val="99"/>
    <w:semiHidden/>
    <w:unhideWhenUsed/>
    <w:rsid w:val="005D3D4F"/>
    <w:rPr>
      <w:color w:val="605E5C"/>
      <w:shd w:val="clear" w:color="auto" w:fill="E1DFDD"/>
    </w:rPr>
  </w:style>
  <w:style w:type="character" w:customStyle="1" w:styleId="expansiontext-183">
    <w:name w:val="expansiontext-183"/>
    <w:basedOn w:val="DefaultParagraphFont"/>
    <w:rsid w:val="00FE438F"/>
  </w:style>
  <w:style w:type="character" w:customStyle="1" w:styleId="UnresolvedMention15">
    <w:name w:val="Unresolved Mention15"/>
    <w:basedOn w:val="DefaultParagraphFont"/>
    <w:uiPriority w:val="99"/>
    <w:semiHidden/>
    <w:unhideWhenUsed/>
    <w:rsid w:val="000F7F45"/>
    <w:rPr>
      <w:color w:val="605E5C"/>
      <w:shd w:val="clear" w:color="auto" w:fill="E1DFDD"/>
    </w:rPr>
  </w:style>
  <w:style w:type="character" w:customStyle="1" w:styleId="UnresolvedMention16">
    <w:name w:val="Unresolved Mention16"/>
    <w:basedOn w:val="DefaultParagraphFont"/>
    <w:uiPriority w:val="99"/>
    <w:semiHidden/>
    <w:unhideWhenUsed/>
    <w:rsid w:val="003E00AE"/>
    <w:rPr>
      <w:color w:val="605E5C"/>
      <w:shd w:val="clear" w:color="auto" w:fill="E1DFDD"/>
    </w:rPr>
  </w:style>
  <w:style w:type="character" w:customStyle="1" w:styleId="UnresolvedMention17">
    <w:name w:val="Unresolved Mention17"/>
    <w:basedOn w:val="DefaultParagraphFont"/>
    <w:uiPriority w:val="99"/>
    <w:semiHidden/>
    <w:unhideWhenUsed/>
    <w:rsid w:val="005E6CE8"/>
    <w:rPr>
      <w:color w:val="605E5C"/>
      <w:shd w:val="clear" w:color="auto" w:fill="E1DFDD"/>
    </w:rPr>
  </w:style>
  <w:style w:type="character" w:customStyle="1" w:styleId="UnresolvedMention18">
    <w:name w:val="Unresolved Mention18"/>
    <w:basedOn w:val="DefaultParagraphFont"/>
    <w:uiPriority w:val="99"/>
    <w:semiHidden/>
    <w:unhideWhenUsed/>
    <w:rsid w:val="00AE675A"/>
    <w:rPr>
      <w:color w:val="605E5C"/>
      <w:shd w:val="clear" w:color="auto" w:fill="E1DFDD"/>
    </w:rPr>
  </w:style>
  <w:style w:type="character" w:customStyle="1" w:styleId="UnresolvedMention19">
    <w:name w:val="Unresolved Mention19"/>
    <w:basedOn w:val="DefaultParagraphFont"/>
    <w:uiPriority w:val="99"/>
    <w:semiHidden/>
    <w:unhideWhenUsed/>
    <w:rsid w:val="00EF12DE"/>
    <w:rPr>
      <w:color w:val="605E5C"/>
      <w:shd w:val="clear" w:color="auto" w:fill="E1DFDD"/>
    </w:rPr>
  </w:style>
  <w:style w:type="character" w:customStyle="1" w:styleId="footnotereference0">
    <w:name w:val="footnotereference"/>
    <w:basedOn w:val="DefaultParagraphFont"/>
    <w:rsid w:val="00AD71F7"/>
  </w:style>
  <w:style w:type="paragraph" w:customStyle="1" w:styleId="Disclaimer">
    <w:name w:val="Disclaimer"/>
    <w:basedOn w:val="Normal"/>
    <w:rsid w:val="00767A1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szCs w:val="22"/>
    </w:rPr>
  </w:style>
  <w:style w:type="paragraph" w:customStyle="1" w:styleId="SecurityMarking">
    <w:name w:val="SecurityMarking"/>
    <w:basedOn w:val="Normal"/>
    <w:rsid w:val="00767A1C"/>
    <w:pPr>
      <w:spacing w:after="0" w:line="276" w:lineRule="auto"/>
      <w:ind w:left="5103"/>
      <w:jc w:val="left"/>
    </w:pPr>
    <w:rPr>
      <w:sz w:val="28"/>
      <w:szCs w:val="22"/>
    </w:rPr>
  </w:style>
  <w:style w:type="paragraph" w:customStyle="1" w:styleId="DateMarking">
    <w:name w:val="DateMarking"/>
    <w:basedOn w:val="Normal"/>
    <w:rsid w:val="00767A1C"/>
    <w:pPr>
      <w:spacing w:after="0" w:line="276" w:lineRule="auto"/>
      <w:ind w:left="5103"/>
      <w:jc w:val="left"/>
    </w:pPr>
    <w:rPr>
      <w:i/>
      <w:sz w:val="28"/>
      <w:szCs w:val="22"/>
    </w:rPr>
  </w:style>
  <w:style w:type="paragraph" w:customStyle="1" w:styleId="ReleasableTo">
    <w:name w:val="ReleasableTo"/>
    <w:basedOn w:val="Normal"/>
    <w:rsid w:val="00767A1C"/>
    <w:pPr>
      <w:spacing w:after="0" w:line="276" w:lineRule="auto"/>
      <w:ind w:left="5103"/>
      <w:jc w:val="left"/>
    </w:pPr>
    <w:rPr>
      <w: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6667">
      <w:bodyDiv w:val="1"/>
      <w:marLeft w:val="0"/>
      <w:marRight w:val="0"/>
      <w:marTop w:val="0"/>
      <w:marBottom w:val="0"/>
      <w:divBdr>
        <w:top w:val="none" w:sz="0" w:space="0" w:color="auto"/>
        <w:left w:val="none" w:sz="0" w:space="0" w:color="auto"/>
        <w:bottom w:val="none" w:sz="0" w:space="0" w:color="auto"/>
        <w:right w:val="none" w:sz="0" w:space="0" w:color="auto"/>
      </w:divBdr>
    </w:div>
    <w:div w:id="18817579">
      <w:bodyDiv w:val="1"/>
      <w:marLeft w:val="0"/>
      <w:marRight w:val="0"/>
      <w:marTop w:val="0"/>
      <w:marBottom w:val="0"/>
      <w:divBdr>
        <w:top w:val="none" w:sz="0" w:space="0" w:color="auto"/>
        <w:left w:val="none" w:sz="0" w:space="0" w:color="auto"/>
        <w:bottom w:val="none" w:sz="0" w:space="0" w:color="auto"/>
        <w:right w:val="none" w:sz="0" w:space="0" w:color="auto"/>
      </w:divBdr>
    </w:div>
    <w:div w:id="50856608">
      <w:bodyDiv w:val="1"/>
      <w:marLeft w:val="0"/>
      <w:marRight w:val="0"/>
      <w:marTop w:val="0"/>
      <w:marBottom w:val="0"/>
      <w:divBdr>
        <w:top w:val="none" w:sz="0" w:space="0" w:color="auto"/>
        <w:left w:val="none" w:sz="0" w:space="0" w:color="auto"/>
        <w:bottom w:val="none" w:sz="0" w:space="0" w:color="auto"/>
        <w:right w:val="none" w:sz="0" w:space="0" w:color="auto"/>
      </w:divBdr>
    </w:div>
    <w:div w:id="69693062">
      <w:bodyDiv w:val="1"/>
      <w:marLeft w:val="0"/>
      <w:marRight w:val="0"/>
      <w:marTop w:val="0"/>
      <w:marBottom w:val="0"/>
      <w:divBdr>
        <w:top w:val="none" w:sz="0" w:space="0" w:color="auto"/>
        <w:left w:val="none" w:sz="0" w:space="0" w:color="auto"/>
        <w:bottom w:val="none" w:sz="0" w:space="0" w:color="auto"/>
        <w:right w:val="none" w:sz="0" w:space="0" w:color="auto"/>
      </w:divBdr>
    </w:div>
    <w:div w:id="105738409">
      <w:bodyDiv w:val="1"/>
      <w:marLeft w:val="0"/>
      <w:marRight w:val="0"/>
      <w:marTop w:val="0"/>
      <w:marBottom w:val="0"/>
      <w:divBdr>
        <w:top w:val="none" w:sz="0" w:space="0" w:color="auto"/>
        <w:left w:val="none" w:sz="0" w:space="0" w:color="auto"/>
        <w:bottom w:val="none" w:sz="0" w:space="0" w:color="auto"/>
        <w:right w:val="none" w:sz="0" w:space="0" w:color="auto"/>
      </w:divBdr>
      <w:divsChild>
        <w:div w:id="1647078134">
          <w:marLeft w:val="0"/>
          <w:marRight w:val="0"/>
          <w:marTop w:val="0"/>
          <w:marBottom w:val="0"/>
          <w:divBdr>
            <w:top w:val="none" w:sz="0" w:space="0" w:color="auto"/>
            <w:left w:val="none" w:sz="0" w:space="0" w:color="auto"/>
            <w:bottom w:val="none" w:sz="0" w:space="0" w:color="auto"/>
            <w:right w:val="none" w:sz="0" w:space="0" w:color="auto"/>
          </w:divBdr>
          <w:divsChild>
            <w:div w:id="1944531684">
              <w:marLeft w:val="0"/>
              <w:marRight w:val="0"/>
              <w:marTop w:val="0"/>
              <w:marBottom w:val="0"/>
              <w:divBdr>
                <w:top w:val="none" w:sz="0" w:space="0" w:color="auto"/>
                <w:left w:val="none" w:sz="0" w:space="0" w:color="auto"/>
                <w:bottom w:val="none" w:sz="0" w:space="0" w:color="auto"/>
                <w:right w:val="none" w:sz="0" w:space="0" w:color="auto"/>
              </w:divBdr>
              <w:divsChild>
                <w:div w:id="49886905">
                  <w:marLeft w:val="0"/>
                  <w:marRight w:val="0"/>
                  <w:marTop w:val="0"/>
                  <w:marBottom w:val="0"/>
                  <w:divBdr>
                    <w:top w:val="none" w:sz="0" w:space="0" w:color="auto"/>
                    <w:left w:val="none" w:sz="0" w:space="0" w:color="auto"/>
                    <w:bottom w:val="none" w:sz="0" w:space="0" w:color="auto"/>
                    <w:right w:val="none" w:sz="0" w:space="0" w:color="auto"/>
                  </w:divBdr>
                  <w:divsChild>
                    <w:div w:id="164346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31356">
      <w:bodyDiv w:val="1"/>
      <w:marLeft w:val="0"/>
      <w:marRight w:val="0"/>
      <w:marTop w:val="0"/>
      <w:marBottom w:val="0"/>
      <w:divBdr>
        <w:top w:val="none" w:sz="0" w:space="0" w:color="auto"/>
        <w:left w:val="none" w:sz="0" w:space="0" w:color="auto"/>
        <w:bottom w:val="none" w:sz="0" w:space="0" w:color="auto"/>
        <w:right w:val="none" w:sz="0" w:space="0" w:color="auto"/>
      </w:divBdr>
    </w:div>
    <w:div w:id="148985526">
      <w:bodyDiv w:val="1"/>
      <w:marLeft w:val="0"/>
      <w:marRight w:val="0"/>
      <w:marTop w:val="0"/>
      <w:marBottom w:val="0"/>
      <w:divBdr>
        <w:top w:val="none" w:sz="0" w:space="0" w:color="auto"/>
        <w:left w:val="none" w:sz="0" w:space="0" w:color="auto"/>
        <w:bottom w:val="none" w:sz="0" w:space="0" w:color="auto"/>
        <w:right w:val="none" w:sz="0" w:space="0" w:color="auto"/>
      </w:divBdr>
      <w:divsChild>
        <w:div w:id="1471050970">
          <w:marLeft w:val="0"/>
          <w:marRight w:val="0"/>
          <w:marTop w:val="0"/>
          <w:marBottom w:val="0"/>
          <w:divBdr>
            <w:top w:val="none" w:sz="0" w:space="0" w:color="auto"/>
            <w:left w:val="none" w:sz="0" w:space="0" w:color="auto"/>
            <w:bottom w:val="none" w:sz="0" w:space="0" w:color="auto"/>
            <w:right w:val="none" w:sz="0" w:space="0" w:color="auto"/>
          </w:divBdr>
          <w:divsChild>
            <w:div w:id="285163437">
              <w:marLeft w:val="0"/>
              <w:marRight w:val="0"/>
              <w:marTop w:val="0"/>
              <w:marBottom w:val="0"/>
              <w:divBdr>
                <w:top w:val="none" w:sz="0" w:space="0" w:color="auto"/>
                <w:left w:val="none" w:sz="0" w:space="0" w:color="auto"/>
                <w:bottom w:val="none" w:sz="0" w:space="0" w:color="auto"/>
                <w:right w:val="none" w:sz="0" w:space="0" w:color="auto"/>
              </w:divBdr>
              <w:divsChild>
                <w:div w:id="1465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08818">
      <w:bodyDiv w:val="1"/>
      <w:marLeft w:val="0"/>
      <w:marRight w:val="0"/>
      <w:marTop w:val="0"/>
      <w:marBottom w:val="0"/>
      <w:divBdr>
        <w:top w:val="none" w:sz="0" w:space="0" w:color="auto"/>
        <w:left w:val="none" w:sz="0" w:space="0" w:color="auto"/>
        <w:bottom w:val="none" w:sz="0" w:space="0" w:color="auto"/>
        <w:right w:val="none" w:sz="0" w:space="0" w:color="auto"/>
      </w:divBdr>
    </w:div>
    <w:div w:id="173157619">
      <w:bodyDiv w:val="1"/>
      <w:marLeft w:val="0"/>
      <w:marRight w:val="0"/>
      <w:marTop w:val="0"/>
      <w:marBottom w:val="0"/>
      <w:divBdr>
        <w:top w:val="none" w:sz="0" w:space="0" w:color="auto"/>
        <w:left w:val="none" w:sz="0" w:space="0" w:color="auto"/>
        <w:bottom w:val="none" w:sz="0" w:space="0" w:color="auto"/>
        <w:right w:val="none" w:sz="0" w:space="0" w:color="auto"/>
      </w:divBdr>
    </w:div>
    <w:div w:id="177160413">
      <w:bodyDiv w:val="1"/>
      <w:marLeft w:val="0"/>
      <w:marRight w:val="0"/>
      <w:marTop w:val="0"/>
      <w:marBottom w:val="0"/>
      <w:divBdr>
        <w:top w:val="none" w:sz="0" w:space="0" w:color="auto"/>
        <w:left w:val="none" w:sz="0" w:space="0" w:color="auto"/>
        <w:bottom w:val="none" w:sz="0" w:space="0" w:color="auto"/>
        <w:right w:val="none" w:sz="0" w:space="0" w:color="auto"/>
      </w:divBdr>
    </w:div>
    <w:div w:id="209463862">
      <w:bodyDiv w:val="1"/>
      <w:marLeft w:val="0"/>
      <w:marRight w:val="0"/>
      <w:marTop w:val="0"/>
      <w:marBottom w:val="0"/>
      <w:divBdr>
        <w:top w:val="none" w:sz="0" w:space="0" w:color="auto"/>
        <w:left w:val="none" w:sz="0" w:space="0" w:color="auto"/>
        <w:bottom w:val="none" w:sz="0" w:space="0" w:color="auto"/>
        <w:right w:val="none" w:sz="0" w:space="0" w:color="auto"/>
      </w:divBdr>
    </w:div>
    <w:div w:id="257374103">
      <w:bodyDiv w:val="1"/>
      <w:marLeft w:val="0"/>
      <w:marRight w:val="0"/>
      <w:marTop w:val="0"/>
      <w:marBottom w:val="0"/>
      <w:divBdr>
        <w:top w:val="none" w:sz="0" w:space="0" w:color="auto"/>
        <w:left w:val="none" w:sz="0" w:space="0" w:color="auto"/>
        <w:bottom w:val="none" w:sz="0" w:space="0" w:color="auto"/>
        <w:right w:val="none" w:sz="0" w:space="0" w:color="auto"/>
      </w:divBdr>
    </w:div>
    <w:div w:id="364210049">
      <w:bodyDiv w:val="1"/>
      <w:marLeft w:val="0"/>
      <w:marRight w:val="0"/>
      <w:marTop w:val="0"/>
      <w:marBottom w:val="0"/>
      <w:divBdr>
        <w:top w:val="none" w:sz="0" w:space="0" w:color="auto"/>
        <w:left w:val="none" w:sz="0" w:space="0" w:color="auto"/>
        <w:bottom w:val="none" w:sz="0" w:space="0" w:color="auto"/>
        <w:right w:val="none" w:sz="0" w:space="0" w:color="auto"/>
      </w:divBdr>
    </w:div>
    <w:div w:id="382021751">
      <w:bodyDiv w:val="1"/>
      <w:marLeft w:val="0"/>
      <w:marRight w:val="0"/>
      <w:marTop w:val="0"/>
      <w:marBottom w:val="0"/>
      <w:divBdr>
        <w:top w:val="none" w:sz="0" w:space="0" w:color="auto"/>
        <w:left w:val="none" w:sz="0" w:space="0" w:color="auto"/>
        <w:bottom w:val="none" w:sz="0" w:space="0" w:color="auto"/>
        <w:right w:val="none" w:sz="0" w:space="0" w:color="auto"/>
      </w:divBdr>
    </w:div>
    <w:div w:id="393823570">
      <w:bodyDiv w:val="1"/>
      <w:marLeft w:val="0"/>
      <w:marRight w:val="0"/>
      <w:marTop w:val="0"/>
      <w:marBottom w:val="0"/>
      <w:divBdr>
        <w:top w:val="none" w:sz="0" w:space="0" w:color="auto"/>
        <w:left w:val="none" w:sz="0" w:space="0" w:color="auto"/>
        <w:bottom w:val="none" w:sz="0" w:space="0" w:color="auto"/>
        <w:right w:val="none" w:sz="0" w:space="0" w:color="auto"/>
      </w:divBdr>
    </w:div>
    <w:div w:id="425033461">
      <w:bodyDiv w:val="1"/>
      <w:marLeft w:val="0"/>
      <w:marRight w:val="0"/>
      <w:marTop w:val="0"/>
      <w:marBottom w:val="0"/>
      <w:divBdr>
        <w:top w:val="none" w:sz="0" w:space="0" w:color="auto"/>
        <w:left w:val="none" w:sz="0" w:space="0" w:color="auto"/>
        <w:bottom w:val="none" w:sz="0" w:space="0" w:color="auto"/>
        <w:right w:val="none" w:sz="0" w:space="0" w:color="auto"/>
      </w:divBdr>
    </w:div>
    <w:div w:id="427041126">
      <w:bodyDiv w:val="1"/>
      <w:marLeft w:val="0"/>
      <w:marRight w:val="0"/>
      <w:marTop w:val="0"/>
      <w:marBottom w:val="0"/>
      <w:divBdr>
        <w:top w:val="none" w:sz="0" w:space="0" w:color="auto"/>
        <w:left w:val="none" w:sz="0" w:space="0" w:color="auto"/>
        <w:bottom w:val="none" w:sz="0" w:space="0" w:color="auto"/>
        <w:right w:val="none" w:sz="0" w:space="0" w:color="auto"/>
      </w:divBdr>
    </w:div>
    <w:div w:id="445002247">
      <w:bodyDiv w:val="1"/>
      <w:marLeft w:val="0"/>
      <w:marRight w:val="0"/>
      <w:marTop w:val="0"/>
      <w:marBottom w:val="0"/>
      <w:divBdr>
        <w:top w:val="none" w:sz="0" w:space="0" w:color="auto"/>
        <w:left w:val="none" w:sz="0" w:space="0" w:color="auto"/>
        <w:bottom w:val="none" w:sz="0" w:space="0" w:color="auto"/>
        <w:right w:val="none" w:sz="0" w:space="0" w:color="auto"/>
      </w:divBdr>
    </w:div>
    <w:div w:id="481389999">
      <w:bodyDiv w:val="1"/>
      <w:marLeft w:val="0"/>
      <w:marRight w:val="0"/>
      <w:marTop w:val="0"/>
      <w:marBottom w:val="0"/>
      <w:divBdr>
        <w:top w:val="none" w:sz="0" w:space="0" w:color="auto"/>
        <w:left w:val="none" w:sz="0" w:space="0" w:color="auto"/>
        <w:bottom w:val="none" w:sz="0" w:space="0" w:color="auto"/>
        <w:right w:val="none" w:sz="0" w:space="0" w:color="auto"/>
      </w:divBdr>
    </w:div>
    <w:div w:id="501361473">
      <w:bodyDiv w:val="1"/>
      <w:marLeft w:val="0"/>
      <w:marRight w:val="0"/>
      <w:marTop w:val="0"/>
      <w:marBottom w:val="0"/>
      <w:divBdr>
        <w:top w:val="none" w:sz="0" w:space="0" w:color="auto"/>
        <w:left w:val="none" w:sz="0" w:space="0" w:color="auto"/>
        <w:bottom w:val="none" w:sz="0" w:space="0" w:color="auto"/>
        <w:right w:val="none" w:sz="0" w:space="0" w:color="auto"/>
      </w:divBdr>
    </w:div>
    <w:div w:id="506211894">
      <w:bodyDiv w:val="1"/>
      <w:marLeft w:val="0"/>
      <w:marRight w:val="0"/>
      <w:marTop w:val="0"/>
      <w:marBottom w:val="0"/>
      <w:divBdr>
        <w:top w:val="none" w:sz="0" w:space="0" w:color="auto"/>
        <w:left w:val="none" w:sz="0" w:space="0" w:color="auto"/>
        <w:bottom w:val="none" w:sz="0" w:space="0" w:color="auto"/>
        <w:right w:val="none" w:sz="0" w:space="0" w:color="auto"/>
      </w:divBdr>
    </w:div>
    <w:div w:id="544214914">
      <w:bodyDiv w:val="1"/>
      <w:marLeft w:val="0"/>
      <w:marRight w:val="0"/>
      <w:marTop w:val="0"/>
      <w:marBottom w:val="0"/>
      <w:divBdr>
        <w:top w:val="none" w:sz="0" w:space="0" w:color="auto"/>
        <w:left w:val="none" w:sz="0" w:space="0" w:color="auto"/>
        <w:bottom w:val="none" w:sz="0" w:space="0" w:color="auto"/>
        <w:right w:val="none" w:sz="0" w:space="0" w:color="auto"/>
      </w:divBdr>
    </w:div>
    <w:div w:id="551045496">
      <w:bodyDiv w:val="1"/>
      <w:marLeft w:val="0"/>
      <w:marRight w:val="0"/>
      <w:marTop w:val="0"/>
      <w:marBottom w:val="0"/>
      <w:divBdr>
        <w:top w:val="none" w:sz="0" w:space="0" w:color="auto"/>
        <w:left w:val="none" w:sz="0" w:space="0" w:color="auto"/>
        <w:bottom w:val="none" w:sz="0" w:space="0" w:color="auto"/>
        <w:right w:val="none" w:sz="0" w:space="0" w:color="auto"/>
      </w:divBdr>
    </w:div>
    <w:div w:id="554584768">
      <w:bodyDiv w:val="1"/>
      <w:marLeft w:val="0"/>
      <w:marRight w:val="0"/>
      <w:marTop w:val="0"/>
      <w:marBottom w:val="0"/>
      <w:divBdr>
        <w:top w:val="none" w:sz="0" w:space="0" w:color="auto"/>
        <w:left w:val="none" w:sz="0" w:space="0" w:color="auto"/>
        <w:bottom w:val="none" w:sz="0" w:space="0" w:color="auto"/>
        <w:right w:val="none" w:sz="0" w:space="0" w:color="auto"/>
      </w:divBdr>
    </w:div>
    <w:div w:id="590626386">
      <w:bodyDiv w:val="1"/>
      <w:marLeft w:val="0"/>
      <w:marRight w:val="0"/>
      <w:marTop w:val="0"/>
      <w:marBottom w:val="0"/>
      <w:divBdr>
        <w:top w:val="none" w:sz="0" w:space="0" w:color="auto"/>
        <w:left w:val="none" w:sz="0" w:space="0" w:color="auto"/>
        <w:bottom w:val="none" w:sz="0" w:space="0" w:color="auto"/>
        <w:right w:val="none" w:sz="0" w:space="0" w:color="auto"/>
      </w:divBdr>
      <w:divsChild>
        <w:div w:id="2099445921">
          <w:marLeft w:val="0"/>
          <w:marRight w:val="0"/>
          <w:marTop w:val="0"/>
          <w:marBottom w:val="0"/>
          <w:divBdr>
            <w:top w:val="none" w:sz="0" w:space="0" w:color="auto"/>
            <w:left w:val="none" w:sz="0" w:space="0" w:color="auto"/>
            <w:bottom w:val="none" w:sz="0" w:space="0" w:color="auto"/>
            <w:right w:val="none" w:sz="0" w:space="0" w:color="auto"/>
          </w:divBdr>
        </w:div>
      </w:divsChild>
    </w:div>
    <w:div w:id="612327932">
      <w:bodyDiv w:val="1"/>
      <w:marLeft w:val="0"/>
      <w:marRight w:val="0"/>
      <w:marTop w:val="0"/>
      <w:marBottom w:val="0"/>
      <w:divBdr>
        <w:top w:val="none" w:sz="0" w:space="0" w:color="auto"/>
        <w:left w:val="none" w:sz="0" w:space="0" w:color="auto"/>
        <w:bottom w:val="none" w:sz="0" w:space="0" w:color="auto"/>
        <w:right w:val="none" w:sz="0" w:space="0" w:color="auto"/>
      </w:divBdr>
    </w:div>
    <w:div w:id="639381507">
      <w:bodyDiv w:val="1"/>
      <w:marLeft w:val="0"/>
      <w:marRight w:val="0"/>
      <w:marTop w:val="0"/>
      <w:marBottom w:val="0"/>
      <w:divBdr>
        <w:top w:val="none" w:sz="0" w:space="0" w:color="auto"/>
        <w:left w:val="none" w:sz="0" w:space="0" w:color="auto"/>
        <w:bottom w:val="none" w:sz="0" w:space="0" w:color="auto"/>
        <w:right w:val="none" w:sz="0" w:space="0" w:color="auto"/>
      </w:divBdr>
    </w:div>
    <w:div w:id="699016959">
      <w:bodyDiv w:val="1"/>
      <w:marLeft w:val="0"/>
      <w:marRight w:val="0"/>
      <w:marTop w:val="0"/>
      <w:marBottom w:val="0"/>
      <w:divBdr>
        <w:top w:val="none" w:sz="0" w:space="0" w:color="auto"/>
        <w:left w:val="none" w:sz="0" w:space="0" w:color="auto"/>
        <w:bottom w:val="none" w:sz="0" w:space="0" w:color="auto"/>
        <w:right w:val="none" w:sz="0" w:space="0" w:color="auto"/>
      </w:divBdr>
    </w:div>
    <w:div w:id="870414590">
      <w:bodyDiv w:val="1"/>
      <w:marLeft w:val="0"/>
      <w:marRight w:val="0"/>
      <w:marTop w:val="0"/>
      <w:marBottom w:val="0"/>
      <w:divBdr>
        <w:top w:val="none" w:sz="0" w:space="0" w:color="auto"/>
        <w:left w:val="none" w:sz="0" w:space="0" w:color="auto"/>
        <w:bottom w:val="none" w:sz="0" w:space="0" w:color="auto"/>
        <w:right w:val="none" w:sz="0" w:space="0" w:color="auto"/>
      </w:divBdr>
    </w:div>
    <w:div w:id="881288043">
      <w:bodyDiv w:val="1"/>
      <w:marLeft w:val="0"/>
      <w:marRight w:val="0"/>
      <w:marTop w:val="0"/>
      <w:marBottom w:val="0"/>
      <w:divBdr>
        <w:top w:val="none" w:sz="0" w:space="0" w:color="auto"/>
        <w:left w:val="none" w:sz="0" w:space="0" w:color="auto"/>
        <w:bottom w:val="none" w:sz="0" w:space="0" w:color="auto"/>
        <w:right w:val="none" w:sz="0" w:space="0" w:color="auto"/>
      </w:divBdr>
    </w:div>
    <w:div w:id="946960049">
      <w:bodyDiv w:val="1"/>
      <w:marLeft w:val="0"/>
      <w:marRight w:val="0"/>
      <w:marTop w:val="0"/>
      <w:marBottom w:val="0"/>
      <w:divBdr>
        <w:top w:val="none" w:sz="0" w:space="0" w:color="auto"/>
        <w:left w:val="none" w:sz="0" w:space="0" w:color="auto"/>
        <w:bottom w:val="none" w:sz="0" w:space="0" w:color="auto"/>
        <w:right w:val="none" w:sz="0" w:space="0" w:color="auto"/>
      </w:divBdr>
    </w:div>
    <w:div w:id="951983165">
      <w:bodyDiv w:val="1"/>
      <w:marLeft w:val="0"/>
      <w:marRight w:val="0"/>
      <w:marTop w:val="0"/>
      <w:marBottom w:val="0"/>
      <w:divBdr>
        <w:top w:val="none" w:sz="0" w:space="0" w:color="auto"/>
        <w:left w:val="none" w:sz="0" w:space="0" w:color="auto"/>
        <w:bottom w:val="none" w:sz="0" w:space="0" w:color="auto"/>
        <w:right w:val="none" w:sz="0" w:space="0" w:color="auto"/>
      </w:divBdr>
    </w:div>
    <w:div w:id="959922838">
      <w:bodyDiv w:val="1"/>
      <w:marLeft w:val="0"/>
      <w:marRight w:val="0"/>
      <w:marTop w:val="0"/>
      <w:marBottom w:val="0"/>
      <w:divBdr>
        <w:top w:val="none" w:sz="0" w:space="0" w:color="auto"/>
        <w:left w:val="none" w:sz="0" w:space="0" w:color="auto"/>
        <w:bottom w:val="none" w:sz="0" w:space="0" w:color="auto"/>
        <w:right w:val="none" w:sz="0" w:space="0" w:color="auto"/>
      </w:divBdr>
    </w:div>
    <w:div w:id="968587145">
      <w:bodyDiv w:val="1"/>
      <w:marLeft w:val="0"/>
      <w:marRight w:val="0"/>
      <w:marTop w:val="0"/>
      <w:marBottom w:val="0"/>
      <w:divBdr>
        <w:top w:val="none" w:sz="0" w:space="0" w:color="auto"/>
        <w:left w:val="none" w:sz="0" w:space="0" w:color="auto"/>
        <w:bottom w:val="none" w:sz="0" w:space="0" w:color="auto"/>
        <w:right w:val="none" w:sz="0" w:space="0" w:color="auto"/>
      </w:divBdr>
    </w:div>
    <w:div w:id="977149162">
      <w:bodyDiv w:val="1"/>
      <w:marLeft w:val="0"/>
      <w:marRight w:val="0"/>
      <w:marTop w:val="0"/>
      <w:marBottom w:val="0"/>
      <w:divBdr>
        <w:top w:val="none" w:sz="0" w:space="0" w:color="auto"/>
        <w:left w:val="none" w:sz="0" w:space="0" w:color="auto"/>
        <w:bottom w:val="none" w:sz="0" w:space="0" w:color="auto"/>
        <w:right w:val="none" w:sz="0" w:space="0" w:color="auto"/>
      </w:divBdr>
    </w:div>
    <w:div w:id="1036665099">
      <w:bodyDiv w:val="1"/>
      <w:marLeft w:val="0"/>
      <w:marRight w:val="0"/>
      <w:marTop w:val="0"/>
      <w:marBottom w:val="0"/>
      <w:divBdr>
        <w:top w:val="none" w:sz="0" w:space="0" w:color="auto"/>
        <w:left w:val="none" w:sz="0" w:space="0" w:color="auto"/>
        <w:bottom w:val="none" w:sz="0" w:space="0" w:color="auto"/>
        <w:right w:val="none" w:sz="0" w:space="0" w:color="auto"/>
      </w:divBdr>
    </w:div>
    <w:div w:id="1067219537">
      <w:bodyDiv w:val="1"/>
      <w:marLeft w:val="0"/>
      <w:marRight w:val="0"/>
      <w:marTop w:val="0"/>
      <w:marBottom w:val="0"/>
      <w:divBdr>
        <w:top w:val="none" w:sz="0" w:space="0" w:color="auto"/>
        <w:left w:val="none" w:sz="0" w:space="0" w:color="auto"/>
        <w:bottom w:val="none" w:sz="0" w:space="0" w:color="auto"/>
        <w:right w:val="none" w:sz="0" w:space="0" w:color="auto"/>
      </w:divBdr>
    </w:div>
    <w:div w:id="1117335927">
      <w:bodyDiv w:val="1"/>
      <w:marLeft w:val="0"/>
      <w:marRight w:val="0"/>
      <w:marTop w:val="0"/>
      <w:marBottom w:val="0"/>
      <w:divBdr>
        <w:top w:val="none" w:sz="0" w:space="0" w:color="auto"/>
        <w:left w:val="none" w:sz="0" w:space="0" w:color="auto"/>
        <w:bottom w:val="none" w:sz="0" w:space="0" w:color="auto"/>
        <w:right w:val="none" w:sz="0" w:space="0" w:color="auto"/>
      </w:divBdr>
    </w:div>
    <w:div w:id="1118833843">
      <w:bodyDiv w:val="1"/>
      <w:marLeft w:val="0"/>
      <w:marRight w:val="0"/>
      <w:marTop w:val="0"/>
      <w:marBottom w:val="0"/>
      <w:divBdr>
        <w:top w:val="none" w:sz="0" w:space="0" w:color="auto"/>
        <w:left w:val="none" w:sz="0" w:space="0" w:color="auto"/>
        <w:bottom w:val="none" w:sz="0" w:space="0" w:color="auto"/>
        <w:right w:val="none" w:sz="0" w:space="0" w:color="auto"/>
      </w:divBdr>
    </w:div>
    <w:div w:id="1150439411">
      <w:bodyDiv w:val="1"/>
      <w:marLeft w:val="0"/>
      <w:marRight w:val="0"/>
      <w:marTop w:val="0"/>
      <w:marBottom w:val="0"/>
      <w:divBdr>
        <w:top w:val="none" w:sz="0" w:space="0" w:color="auto"/>
        <w:left w:val="none" w:sz="0" w:space="0" w:color="auto"/>
        <w:bottom w:val="none" w:sz="0" w:space="0" w:color="auto"/>
        <w:right w:val="none" w:sz="0" w:space="0" w:color="auto"/>
      </w:divBdr>
    </w:div>
    <w:div w:id="1165054168">
      <w:bodyDiv w:val="1"/>
      <w:marLeft w:val="0"/>
      <w:marRight w:val="0"/>
      <w:marTop w:val="0"/>
      <w:marBottom w:val="0"/>
      <w:divBdr>
        <w:top w:val="none" w:sz="0" w:space="0" w:color="auto"/>
        <w:left w:val="none" w:sz="0" w:space="0" w:color="auto"/>
        <w:bottom w:val="none" w:sz="0" w:space="0" w:color="auto"/>
        <w:right w:val="none" w:sz="0" w:space="0" w:color="auto"/>
      </w:divBdr>
    </w:div>
    <w:div w:id="1167012067">
      <w:bodyDiv w:val="1"/>
      <w:marLeft w:val="0"/>
      <w:marRight w:val="0"/>
      <w:marTop w:val="0"/>
      <w:marBottom w:val="0"/>
      <w:divBdr>
        <w:top w:val="none" w:sz="0" w:space="0" w:color="auto"/>
        <w:left w:val="none" w:sz="0" w:space="0" w:color="auto"/>
        <w:bottom w:val="none" w:sz="0" w:space="0" w:color="auto"/>
        <w:right w:val="none" w:sz="0" w:space="0" w:color="auto"/>
      </w:divBdr>
    </w:div>
    <w:div w:id="1185561146">
      <w:bodyDiv w:val="1"/>
      <w:marLeft w:val="0"/>
      <w:marRight w:val="0"/>
      <w:marTop w:val="0"/>
      <w:marBottom w:val="0"/>
      <w:divBdr>
        <w:top w:val="none" w:sz="0" w:space="0" w:color="auto"/>
        <w:left w:val="none" w:sz="0" w:space="0" w:color="auto"/>
        <w:bottom w:val="none" w:sz="0" w:space="0" w:color="auto"/>
        <w:right w:val="none" w:sz="0" w:space="0" w:color="auto"/>
      </w:divBdr>
    </w:div>
    <w:div w:id="1187327157">
      <w:bodyDiv w:val="1"/>
      <w:marLeft w:val="0"/>
      <w:marRight w:val="0"/>
      <w:marTop w:val="0"/>
      <w:marBottom w:val="0"/>
      <w:divBdr>
        <w:top w:val="none" w:sz="0" w:space="0" w:color="auto"/>
        <w:left w:val="none" w:sz="0" w:space="0" w:color="auto"/>
        <w:bottom w:val="none" w:sz="0" w:space="0" w:color="auto"/>
        <w:right w:val="none" w:sz="0" w:space="0" w:color="auto"/>
      </w:divBdr>
    </w:div>
    <w:div w:id="1187449283">
      <w:bodyDiv w:val="1"/>
      <w:marLeft w:val="0"/>
      <w:marRight w:val="0"/>
      <w:marTop w:val="0"/>
      <w:marBottom w:val="0"/>
      <w:divBdr>
        <w:top w:val="none" w:sz="0" w:space="0" w:color="auto"/>
        <w:left w:val="none" w:sz="0" w:space="0" w:color="auto"/>
        <w:bottom w:val="none" w:sz="0" w:space="0" w:color="auto"/>
        <w:right w:val="none" w:sz="0" w:space="0" w:color="auto"/>
      </w:divBdr>
    </w:div>
    <w:div w:id="1228688115">
      <w:bodyDiv w:val="1"/>
      <w:marLeft w:val="0"/>
      <w:marRight w:val="0"/>
      <w:marTop w:val="0"/>
      <w:marBottom w:val="0"/>
      <w:divBdr>
        <w:top w:val="none" w:sz="0" w:space="0" w:color="auto"/>
        <w:left w:val="none" w:sz="0" w:space="0" w:color="auto"/>
        <w:bottom w:val="none" w:sz="0" w:space="0" w:color="auto"/>
        <w:right w:val="none" w:sz="0" w:space="0" w:color="auto"/>
      </w:divBdr>
    </w:div>
    <w:div w:id="1228959946">
      <w:bodyDiv w:val="1"/>
      <w:marLeft w:val="0"/>
      <w:marRight w:val="0"/>
      <w:marTop w:val="0"/>
      <w:marBottom w:val="0"/>
      <w:divBdr>
        <w:top w:val="none" w:sz="0" w:space="0" w:color="auto"/>
        <w:left w:val="none" w:sz="0" w:space="0" w:color="auto"/>
        <w:bottom w:val="none" w:sz="0" w:space="0" w:color="auto"/>
        <w:right w:val="none" w:sz="0" w:space="0" w:color="auto"/>
      </w:divBdr>
    </w:div>
    <w:div w:id="1229421353">
      <w:bodyDiv w:val="1"/>
      <w:marLeft w:val="0"/>
      <w:marRight w:val="0"/>
      <w:marTop w:val="0"/>
      <w:marBottom w:val="0"/>
      <w:divBdr>
        <w:top w:val="none" w:sz="0" w:space="0" w:color="auto"/>
        <w:left w:val="none" w:sz="0" w:space="0" w:color="auto"/>
        <w:bottom w:val="none" w:sz="0" w:space="0" w:color="auto"/>
        <w:right w:val="none" w:sz="0" w:space="0" w:color="auto"/>
      </w:divBdr>
    </w:div>
    <w:div w:id="1236434113">
      <w:bodyDiv w:val="1"/>
      <w:marLeft w:val="0"/>
      <w:marRight w:val="0"/>
      <w:marTop w:val="0"/>
      <w:marBottom w:val="0"/>
      <w:divBdr>
        <w:top w:val="none" w:sz="0" w:space="0" w:color="auto"/>
        <w:left w:val="none" w:sz="0" w:space="0" w:color="auto"/>
        <w:bottom w:val="none" w:sz="0" w:space="0" w:color="auto"/>
        <w:right w:val="none" w:sz="0" w:space="0" w:color="auto"/>
      </w:divBdr>
    </w:div>
    <w:div w:id="1342775480">
      <w:bodyDiv w:val="1"/>
      <w:marLeft w:val="0"/>
      <w:marRight w:val="0"/>
      <w:marTop w:val="0"/>
      <w:marBottom w:val="0"/>
      <w:divBdr>
        <w:top w:val="none" w:sz="0" w:space="0" w:color="auto"/>
        <w:left w:val="none" w:sz="0" w:space="0" w:color="auto"/>
        <w:bottom w:val="none" w:sz="0" w:space="0" w:color="auto"/>
        <w:right w:val="none" w:sz="0" w:space="0" w:color="auto"/>
      </w:divBdr>
    </w:div>
    <w:div w:id="1353411494">
      <w:bodyDiv w:val="1"/>
      <w:marLeft w:val="0"/>
      <w:marRight w:val="0"/>
      <w:marTop w:val="0"/>
      <w:marBottom w:val="0"/>
      <w:divBdr>
        <w:top w:val="none" w:sz="0" w:space="0" w:color="auto"/>
        <w:left w:val="none" w:sz="0" w:space="0" w:color="auto"/>
        <w:bottom w:val="none" w:sz="0" w:space="0" w:color="auto"/>
        <w:right w:val="none" w:sz="0" w:space="0" w:color="auto"/>
      </w:divBdr>
    </w:div>
    <w:div w:id="1371342033">
      <w:bodyDiv w:val="1"/>
      <w:marLeft w:val="0"/>
      <w:marRight w:val="0"/>
      <w:marTop w:val="0"/>
      <w:marBottom w:val="0"/>
      <w:divBdr>
        <w:top w:val="none" w:sz="0" w:space="0" w:color="auto"/>
        <w:left w:val="none" w:sz="0" w:space="0" w:color="auto"/>
        <w:bottom w:val="none" w:sz="0" w:space="0" w:color="auto"/>
        <w:right w:val="none" w:sz="0" w:space="0" w:color="auto"/>
      </w:divBdr>
    </w:div>
    <w:div w:id="1418163094">
      <w:bodyDiv w:val="1"/>
      <w:marLeft w:val="0"/>
      <w:marRight w:val="0"/>
      <w:marTop w:val="0"/>
      <w:marBottom w:val="0"/>
      <w:divBdr>
        <w:top w:val="none" w:sz="0" w:space="0" w:color="auto"/>
        <w:left w:val="none" w:sz="0" w:space="0" w:color="auto"/>
        <w:bottom w:val="none" w:sz="0" w:space="0" w:color="auto"/>
        <w:right w:val="none" w:sz="0" w:space="0" w:color="auto"/>
      </w:divBdr>
    </w:div>
    <w:div w:id="1432429625">
      <w:bodyDiv w:val="1"/>
      <w:marLeft w:val="0"/>
      <w:marRight w:val="0"/>
      <w:marTop w:val="0"/>
      <w:marBottom w:val="0"/>
      <w:divBdr>
        <w:top w:val="none" w:sz="0" w:space="0" w:color="auto"/>
        <w:left w:val="none" w:sz="0" w:space="0" w:color="auto"/>
        <w:bottom w:val="none" w:sz="0" w:space="0" w:color="auto"/>
        <w:right w:val="none" w:sz="0" w:space="0" w:color="auto"/>
      </w:divBdr>
    </w:div>
    <w:div w:id="1448306888">
      <w:bodyDiv w:val="1"/>
      <w:marLeft w:val="0"/>
      <w:marRight w:val="0"/>
      <w:marTop w:val="0"/>
      <w:marBottom w:val="0"/>
      <w:divBdr>
        <w:top w:val="none" w:sz="0" w:space="0" w:color="auto"/>
        <w:left w:val="none" w:sz="0" w:space="0" w:color="auto"/>
        <w:bottom w:val="none" w:sz="0" w:space="0" w:color="auto"/>
        <w:right w:val="none" w:sz="0" w:space="0" w:color="auto"/>
      </w:divBdr>
    </w:div>
    <w:div w:id="1467968840">
      <w:bodyDiv w:val="1"/>
      <w:marLeft w:val="0"/>
      <w:marRight w:val="0"/>
      <w:marTop w:val="0"/>
      <w:marBottom w:val="0"/>
      <w:divBdr>
        <w:top w:val="none" w:sz="0" w:space="0" w:color="auto"/>
        <w:left w:val="none" w:sz="0" w:space="0" w:color="auto"/>
        <w:bottom w:val="none" w:sz="0" w:space="0" w:color="auto"/>
        <w:right w:val="none" w:sz="0" w:space="0" w:color="auto"/>
      </w:divBdr>
    </w:div>
    <w:div w:id="1487357822">
      <w:bodyDiv w:val="1"/>
      <w:marLeft w:val="0"/>
      <w:marRight w:val="0"/>
      <w:marTop w:val="0"/>
      <w:marBottom w:val="0"/>
      <w:divBdr>
        <w:top w:val="none" w:sz="0" w:space="0" w:color="auto"/>
        <w:left w:val="none" w:sz="0" w:space="0" w:color="auto"/>
        <w:bottom w:val="none" w:sz="0" w:space="0" w:color="auto"/>
        <w:right w:val="none" w:sz="0" w:space="0" w:color="auto"/>
      </w:divBdr>
    </w:div>
    <w:div w:id="1570653114">
      <w:bodyDiv w:val="1"/>
      <w:marLeft w:val="0"/>
      <w:marRight w:val="0"/>
      <w:marTop w:val="0"/>
      <w:marBottom w:val="0"/>
      <w:divBdr>
        <w:top w:val="none" w:sz="0" w:space="0" w:color="auto"/>
        <w:left w:val="none" w:sz="0" w:space="0" w:color="auto"/>
        <w:bottom w:val="none" w:sz="0" w:space="0" w:color="auto"/>
        <w:right w:val="none" w:sz="0" w:space="0" w:color="auto"/>
      </w:divBdr>
    </w:div>
    <w:div w:id="1575167750">
      <w:bodyDiv w:val="1"/>
      <w:marLeft w:val="0"/>
      <w:marRight w:val="0"/>
      <w:marTop w:val="0"/>
      <w:marBottom w:val="0"/>
      <w:divBdr>
        <w:top w:val="none" w:sz="0" w:space="0" w:color="auto"/>
        <w:left w:val="none" w:sz="0" w:space="0" w:color="auto"/>
        <w:bottom w:val="none" w:sz="0" w:space="0" w:color="auto"/>
        <w:right w:val="none" w:sz="0" w:space="0" w:color="auto"/>
      </w:divBdr>
    </w:div>
    <w:div w:id="1579823648">
      <w:bodyDiv w:val="1"/>
      <w:marLeft w:val="0"/>
      <w:marRight w:val="0"/>
      <w:marTop w:val="0"/>
      <w:marBottom w:val="0"/>
      <w:divBdr>
        <w:top w:val="none" w:sz="0" w:space="0" w:color="auto"/>
        <w:left w:val="none" w:sz="0" w:space="0" w:color="auto"/>
        <w:bottom w:val="none" w:sz="0" w:space="0" w:color="auto"/>
        <w:right w:val="none" w:sz="0" w:space="0" w:color="auto"/>
      </w:divBdr>
    </w:div>
    <w:div w:id="1586382635">
      <w:bodyDiv w:val="1"/>
      <w:marLeft w:val="0"/>
      <w:marRight w:val="0"/>
      <w:marTop w:val="0"/>
      <w:marBottom w:val="0"/>
      <w:divBdr>
        <w:top w:val="none" w:sz="0" w:space="0" w:color="auto"/>
        <w:left w:val="none" w:sz="0" w:space="0" w:color="auto"/>
        <w:bottom w:val="none" w:sz="0" w:space="0" w:color="auto"/>
        <w:right w:val="none" w:sz="0" w:space="0" w:color="auto"/>
      </w:divBdr>
      <w:divsChild>
        <w:div w:id="1126778317">
          <w:marLeft w:val="0"/>
          <w:marRight w:val="0"/>
          <w:marTop w:val="0"/>
          <w:marBottom w:val="0"/>
          <w:divBdr>
            <w:top w:val="none" w:sz="0" w:space="0" w:color="auto"/>
            <w:left w:val="none" w:sz="0" w:space="0" w:color="auto"/>
            <w:bottom w:val="none" w:sz="0" w:space="0" w:color="auto"/>
            <w:right w:val="none" w:sz="0" w:space="0" w:color="auto"/>
          </w:divBdr>
        </w:div>
      </w:divsChild>
    </w:div>
    <w:div w:id="1607073979">
      <w:bodyDiv w:val="1"/>
      <w:marLeft w:val="0"/>
      <w:marRight w:val="0"/>
      <w:marTop w:val="0"/>
      <w:marBottom w:val="0"/>
      <w:divBdr>
        <w:top w:val="none" w:sz="0" w:space="0" w:color="auto"/>
        <w:left w:val="none" w:sz="0" w:space="0" w:color="auto"/>
        <w:bottom w:val="none" w:sz="0" w:space="0" w:color="auto"/>
        <w:right w:val="none" w:sz="0" w:space="0" w:color="auto"/>
      </w:divBdr>
    </w:div>
    <w:div w:id="1726291890">
      <w:bodyDiv w:val="1"/>
      <w:marLeft w:val="0"/>
      <w:marRight w:val="0"/>
      <w:marTop w:val="0"/>
      <w:marBottom w:val="0"/>
      <w:divBdr>
        <w:top w:val="none" w:sz="0" w:space="0" w:color="auto"/>
        <w:left w:val="none" w:sz="0" w:space="0" w:color="auto"/>
        <w:bottom w:val="none" w:sz="0" w:space="0" w:color="auto"/>
        <w:right w:val="none" w:sz="0" w:space="0" w:color="auto"/>
      </w:divBdr>
    </w:div>
    <w:div w:id="1736855126">
      <w:bodyDiv w:val="1"/>
      <w:marLeft w:val="0"/>
      <w:marRight w:val="0"/>
      <w:marTop w:val="0"/>
      <w:marBottom w:val="0"/>
      <w:divBdr>
        <w:top w:val="none" w:sz="0" w:space="0" w:color="auto"/>
        <w:left w:val="none" w:sz="0" w:space="0" w:color="auto"/>
        <w:bottom w:val="none" w:sz="0" w:space="0" w:color="auto"/>
        <w:right w:val="none" w:sz="0" w:space="0" w:color="auto"/>
      </w:divBdr>
    </w:div>
    <w:div w:id="1739666054">
      <w:bodyDiv w:val="1"/>
      <w:marLeft w:val="0"/>
      <w:marRight w:val="0"/>
      <w:marTop w:val="0"/>
      <w:marBottom w:val="0"/>
      <w:divBdr>
        <w:top w:val="none" w:sz="0" w:space="0" w:color="auto"/>
        <w:left w:val="none" w:sz="0" w:space="0" w:color="auto"/>
        <w:bottom w:val="none" w:sz="0" w:space="0" w:color="auto"/>
        <w:right w:val="none" w:sz="0" w:space="0" w:color="auto"/>
      </w:divBdr>
    </w:div>
    <w:div w:id="1749228563">
      <w:bodyDiv w:val="1"/>
      <w:marLeft w:val="0"/>
      <w:marRight w:val="0"/>
      <w:marTop w:val="0"/>
      <w:marBottom w:val="0"/>
      <w:divBdr>
        <w:top w:val="none" w:sz="0" w:space="0" w:color="auto"/>
        <w:left w:val="none" w:sz="0" w:space="0" w:color="auto"/>
        <w:bottom w:val="none" w:sz="0" w:space="0" w:color="auto"/>
        <w:right w:val="none" w:sz="0" w:space="0" w:color="auto"/>
      </w:divBdr>
    </w:div>
    <w:div w:id="1795784679">
      <w:bodyDiv w:val="1"/>
      <w:marLeft w:val="0"/>
      <w:marRight w:val="0"/>
      <w:marTop w:val="0"/>
      <w:marBottom w:val="0"/>
      <w:divBdr>
        <w:top w:val="none" w:sz="0" w:space="0" w:color="auto"/>
        <w:left w:val="none" w:sz="0" w:space="0" w:color="auto"/>
        <w:bottom w:val="none" w:sz="0" w:space="0" w:color="auto"/>
        <w:right w:val="none" w:sz="0" w:space="0" w:color="auto"/>
      </w:divBdr>
    </w:div>
    <w:div w:id="1819371189">
      <w:bodyDiv w:val="1"/>
      <w:marLeft w:val="0"/>
      <w:marRight w:val="0"/>
      <w:marTop w:val="0"/>
      <w:marBottom w:val="0"/>
      <w:divBdr>
        <w:top w:val="none" w:sz="0" w:space="0" w:color="auto"/>
        <w:left w:val="none" w:sz="0" w:space="0" w:color="auto"/>
        <w:bottom w:val="none" w:sz="0" w:space="0" w:color="auto"/>
        <w:right w:val="none" w:sz="0" w:space="0" w:color="auto"/>
      </w:divBdr>
    </w:div>
    <w:div w:id="1880042805">
      <w:bodyDiv w:val="1"/>
      <w:marLeft w:val="0"/>
      <w:marRight w:val="0"/>
      <w:marTop w:val="0"/>
      <w:marBottom w:val="0"/>
      <w:divBdr>
        <w:top w:val="none" w:sz="0" w:space="0" w:color="auto"/>
        <w:left w:val="none" w:sz="0" w:space="0" w:color="auto"/>
        <w:bottom w:val="none" w:sz="0" w:space="0" w:color="auto"/>
        <w:right w:val="none" w:sz="0" w:space="0" w:color="auto"/>
      </w:divBdr>
      <w:divsChild>
        <w:div w:id="764305657">
          <w:marLeft w:val="0"/>
          <w:marRight w:val="0"/>
          <w:marTop w:val="0"/>
          <w:marBottom w:val="0"/>
          <w:divBdr>
            <w:top w:val="none" w:sz="0" w:space="0" w:color="auto"/>
            <w:left w:val="none" w:sz="0" w:space="0" w:color="auto"/>
            <w:bottom w:val="none" w:sz="0" w:space="0" w:color="auto"/>
            <w:right w:val="none" w:sz="0" w:space="0" w:color="auto"/>
          </w:divBdr>
        </w:div>
        <w:div w:id="854615751">
          <w:marLeft w:val="0"/>
          <w:marRight w:val="0"/>
          <w:marTop w:val="0"/>
          <w:marBottom w:val="0"/>
          <w:divBdr>
            <w:top w:val="none" w:sz="0" w:space="0" w:color="auto"/>
            <w:left w:val="none" w:sz="0" w:space="0" w:color="auto"/>
            <w:bottom w:val="none" w:sz="0" w:space="0" w:color="auto"/>
            <w:right w:val="none" w:sz="0" w:space="0" w:color="auto"/>
          </w:divBdr>
          <w:divsChild>
            <w:div w:id="1585188239">
              <w:marLeft w:val="0"/>
              <w:marRight w:val="0"/>
              <w:marTop w:val="0"/>
              <w:marBottom w:val="0"/>
              <w:divBdr>
                <w:top w:val="none" w:sz="0" w:space="0" w:color="auto"/>
                <w:left w:val="none" w:sz="0" w:space="0" w:color="auto"/>
                <w:bottom w:val="none" w:sz="0" w:space="0" w:color="auto"/>
                <w:right w:val="none" w:sz="0" w:space="0" w:color="auto"/>
              </w:divBdr>
            </w:div>
          </w:divsChild>
        </w:div>
        <w:div w:id="1050346569">
          <w:marLeft w:val="0"/>
          <w:marRight w:val="0"/>
          <w:marTop w:val="0"/>
          <w:marBottom w:val="0"/>
          <w:divBdr>
            <w:top w:val="none" w:sz="0" w:space="0" w:color="auto"/>
            <w:left w:val="none" w:sz="0" w:space="0" w:color="auto"/>
            <w:bottom w:val="none" w:sz="0" w:space="0" w:color="auto"/>
            <w:right w:val="none" w:sz="0" w:space="0" w:color="auto"/>
          </w:divBdr>
          <w:divsChild>
            <w:div w:id="1301305511">
              <w:marLeft w:val="0"/>
              <w:marRight w:val="0"/>
              <w:marTop w:val="0"/>
              <w:marBottom w:val="0"/>
              <w:divBdr>
                <w:top w:val="none" w:sz="0" w:space="0" w:color="auto"/>
                <w:left w:val="none" w:sz="0" w:space="0" w:color="auto"/>
                <w:bottom w:val="none" w:sz="0" w:space="0" w:color="auto"/>
                <w:right w:val="none" w:sz="0" w:space="0" w:color="auto"/>
              </w:divBdr>
              <w:divsChild>
                <w:div w:id="974602053">
                  <w:marLeft w:val="0"/>
                  <w:marRight w:val="0"/>
                  <w:marTop w:val="0"/>
                  <w:marBottom w:val="0"/>
                  <w:divBdr>
                    <w:top w:val="none" w:sz="0" w:space="0" w:color="auto"/>
                    <w:left w:val="none" w:sz="0" w:space="0" w:color="auto"/>
                    <w:bottom w:val="none" w:sz="0" w:space="0" w:color="auto"/>
                    <w:right w:val="none" w:sz="0" w:space="0" w:color="auto"/>
                  </w:divBdr>
                  <w:divsChild>
                    <w:div w:id="90469561">
                      <w:marLeft w:val="0"/>
                      <w:marRight w:val="0"/>
                      <w:marTop w:val="0"/>
                      <w:marBottom w:val="0"/>
                      <w:divBdr>
                        <w:top w:val="none" w:sz="0" w:space="0" w:color="auto"/>
                        <w:left w:val="none" w:sz="0" w:space="0" w:color="auto"/>
                        <w:bottom w:val="none" w:sz="0" w:space="0" w:color="auto"/>
                        <w:right w:val="none" w:sz="0" w:space="0" w:color="auto"/>
                      </w:divBdr>
                    </w:div>
                    <w:div w:id="30292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16214">
              <w:marLeft w:val="0"/>
              <w:marRight w:val="0"/>
              <w:marTop w:val="0"/>
              <w:marBottom w:val="0"/>
              <w:divBdr>
                <w:top w:val="none" w:sz="0" w:space="0" w:color="auto"/>
                <w:left w:val="none" w:sz="0" w:space="0" w:color="auto"/>
                <w:bottom w:val="none" w:sz="0" w:space="0" w:color="auto"/>
                <w:right w:val="none" w:sz="0" w:space="0" w:color="auto"/>
              </w:divBdr>
              <w:divsChild>
                <w:div w:id="19940963">
                  <w:marLeft w:val="0"/>
                  <w:marRight w:val="0"/>
                  <w:marTop w:val="0"/>
                  <w:marBottom w:val="0"/>
                  <w:divBdr>
                    <w:top w:val="none" w:sz="0" w:space="0" w:color="auto"/>
                    <w:left w:val="none" w:sz="0" w:space="0" w:color="auto"/>
                    <w:bottom w:val="none" w:sz="0" w:space="0" w:color="auto"/>
                    <w:right w:val="none" w:sz="0" w:space="0" w:color="auto"/>
                  </w:divBdr>
                  <w:divsChild>
                    <w:div w:id="12855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875891">
          <w:marLeft w:val="0"/>
          <w:marRight w:val="0"/>
          <w:marTop w:val="0"/>
          <w:marBottom w:val="0"/>
          <w:divBdr>
            <w:top w:val="none" w:sz="0" w:space="0" w:color="auto"/>
            <w:left w:val="none" w:sz="0" w:space="0" w:color="auto"/>
            <w:bottom w:val="none" w:sz="0" w:space="0" w:color="auto"/>
            <w:right w:val="none" w:sz="0" w:space="0" w:color="auto"/>
          </w:divBdr>
          <w:divsChild>
            <w:div w:id="947010162">
              <w:marLeft w:val="0"/>
              <w:marRight w:val="0"/>
              <w:marTop w:val="0"/>
              <w:marBottom w:val="0"/>
              <w:divBdr>
                <w:top w:val="none" w:sz="0" w:space="0" w:color="auto"/>
                <w:left w:val="none" w:sz="0" w:space="0" w:color="auto"/>
                <w:bottom w:val="none" w:sz="0" w:space="0" w:color="auto"/>
                <w:right w:val="none" w:sz="0" w:space="0" w:color="auto"/>
              </w:divBdr>
              <w:divsChild>
                <w:div w:id="19832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12236">
      <w:bodyDiv w:val="1"/>
      <w:marLeft w:val="0"/>
      <w:marRight w:val="0"/>
      <w:marTop w:val="0"/>
      <w:marBottom w:val="0"/>
      <w:divBdr>
        <w:top w:val="none" w:sz="0" w:space="0" w:color="auto"/>
        <w:left w:val="none" w:sz="0" w:space="0" w:color="auto"/>
        <w:bottom w:val="none" w:sz="0" w:space="0" w:color="auto"/>
        <w:right w:val="none" w:sz="0" w:space="0" w:color="auto"/>
      </w:divBdr>
    </w:div>
    <w:div w:id="1917006927">
      <w:bodyDiv w:val="1"/>
      <w:marLeft w:val="0"/>
      <w:marRight w:val="0"/>
      <w:marTop w:val="0"/>
      <w:marBottom w:val="0"/>
      <w:divBdr>
        <w:top w:val="none" w:sz="0" w:space="0" w:color="auto"/>
        <w:left w:val="none" w:sz="0" w:space="0" w:color="auto"/>
        <w:bottom w:val="none" w:sz="0" w:space="0" w:color="auto"/>
        <w:right w:val="none" w:sz="0" w:space="0" w:color="auto"/>
      </w:divBdr>
    </w:div>
    <w:div w:id="1944532466">
      <w:bodyDiv w:val="1"/>
      <w:marLeft w:val="0"/>
      <w:marRight w:val="0"/>
      <w:marTop w:val="0"/>
      <w:marBottom w:val="0"/>
      <w:divBdr>
        <w:top w:val="none" w:sz="0" w:space="0" w:color="auto"/>
        <w:left w:val="none" w:sz="0" w:space="0" w:color="auto"/>
        <w:bottom w:val="none" w:sz="0" w:space="0" w:color="auto"/>
        <w:right w:val="none" w:sz="0" w:space="0" w:color="auto"/>
      </w:divBdr>
    </w:div>
    <w:div w:id="1952515697">
      <w:bodyDiv w:val="1"/>
      <w:marLeft w:val="0"/>
      <w:marRight w:val="0"/>
      <w:marTop w:val="0"/>
      <w:marBottom w:val="0"/>
      <w:divBdr>
        <w:top w:val="none" w:sz="0" w:space="0" w:color="auto"/>
        <w:left w:val="none" w:sz="0" w:space="0" w:color="auto"/>
        <w:bottom w:val="none" w:sz="0" w:space="0" w:color="auto"/>
        <w:right w:val="none" w:sz="0" w:space="0" w:color="auto"/>
      </w:divBdr>
    </w:div>
    <w:div w:id="2008239705">
      <w:bodyDiv w:val="1"/>
      <w:marLeft w:val="0"/>
      <w:marRight w:val="0"/>
      <w:marTop w:val="0"/>
      <w:marBottom w:val="0"/>
      <w:divBdr>
        <w:top w:val="none" w:sz="0" w:space="0" w:color="auto"/>
        <w:left w:val="none" w:sz="0" w:space="0" w:color="auto"/>
        <w:bottom w:val="none" w:sz="0" w:space="0" w:color="auto"/>
        <w:right w:val="none" w:sz="0" w:space="0" w:color="auto"/>
      </w:divBdr>
    </w:div>
    <w:div w:id="2100978991">
      <w:bodyDiv w:val="1"/>
      <w:marLeft w:val="0"/>
      <w:marRight w:val="0"/>
      <w:marTop w:val="0"/>
      <w:marBottom w:val="0"/>
      <w:divBdr>
        <w:top w:val="none" w:sz="0" w:space="0" w:color="auto"/>
        <w:left w:val="none" w:sz="0" w:space="0" w:color="auto"/>
        <w:bottom w:val="none" w:sz="0" w:space="0" w:color="auto"/>
        <w:right w:val="none" w:sz="0" w:space="0" w:color="auto"/>
      </w:divBdr>
    </w:div>
    <w:div w:id="2118866718">
      <w:bodyDiv w:val="1"/>
      <w:marLeft w:val="0"/>
      <w:marRight w:val="0"/>
      <w:marTop w:val="0"/>
      <w:marBottom w:val="0"/>
      <w:divBdr>
        <w:top w:val="none" w:sz="0" w:space="0" w:color="auto"/>
        <w:left w:val="none" w:sz="0" w:space="0" w:color="auto"/>
        <w:bottom w:val="none" w:sz="0" w:space="0" w:color="auto"/>
        <w:right w:val="none" w:sz="0" w:space="0" w:color="auto"/>
      </w:divBdr>
    </w:div>
    <w:div w:id="2122190382">
      <w:bodyDiv w:val="1"/>
      <w:marLeft w:val="0"/>
      <w:marRight w:val="0"/>
      <w:marTop w:val="0"/>
      <w:marBottom w:val="0"/>
      <w:divBdr>
        <w:top w:val="none" w:sz="0" w:space="0" w:color="auto"/>
        <w:left w:val="none" w:sz="0" w:space="0" w:color="auto"/>
        <w:bottom w:val="none" w:sz="0" w:space="0" w:color="auto"/>
        <w:right w:val="none" w:sz="0" w:space="0" w:color="auto"/>
      </w:divBdr>
      <w:divsChild>
        <w:div w:id="231546949">
          <w:marLeft w:val="0"/>
          <w:marRight w:val="0"/>
          <w:marTop w:val="0"/>
          <w:marBottom w:val="0"/>
          <w:divBdr>
            <w:top w:val="none" w:sz="0" w:space="0" w:color="auto"/>
            <w:left w:val="none" w:sz="0" w:space="0" w:color="auto"/>
            <w:bottom w:val="none" w:sz="0" w:space="0" w:color="auto"/>
            <w:right w:val="none" w:sz="0" w:space="0" w:color="auto"/>
          </w:divBdr>
        </w:div>
        <w:div w:id="1869096795">
          <w:marLeft w:val="0"/>
          <w:marRight w:val="0"/>
          <w:marTop w:val="0"/>
          <w:marBottom w:val="0"/>
          <w:divBdr>
            <w:top w:val="none" w:sz="0" w:space="0" w:color="auto"/>
            <w:left w:val="none" w:sz="0" w:space="0" w:color="auto"/>
            <w:bottom w:val="none" w:sz="0" w:space="0" w:color="auto"/>
            <w:right w:val="none" w:sz="0" w:space="0" w:color="auto"/>
          </w:divBdr>
        </w:div>
      </w:divsChild>
    </w:div>
    <w:div w:id="2135323165">
      <w:bodyDiv w:val="1"/>
      <w:marLeft w:val="0"/>
      <w:marRight w:val="0"/>
      <w:marTop w:val="0"/>
      <w:marBottom w:val="0"/>
      <w:divBdr>
        <w:top w:val="none" w:sz="0" w:space="0" w:color="auto"/>
        <w:left w:val="none" w:sz="0" w:space="0" w:color="auto"/>
        <w:bottom w:val="none" w:sz="0" w:space="0" w:color="auto"/>
        <w:right w:val="none" w:sz="0" w:space="0" w:color="auto"/>
      </w:divBdr>
    </w:div>
    <w:div w:id="2136756782">
      <w:bodyDiv w:val="1"/>
      <w:marLeft w:val="0"/>
      <w:marRight w:val="0"/>
      <w:marTop w:val="0"/>
      <w:marBottom w:val="0"/>
      <w:divBdr>
        <w:top w:val="none" w:sz="0" w:space="0" w:color="auto"/>
        <w:left w:val="none" w:sz="0" w:space="0" w:color="auto"/>
        <w:bottom w:val="none" w:sz="0" w:space="0" w:color="auto"/>
        <w:right w:val="none" w:sz="0" w:space="0" w:color="auto"/>
      </w:divBdr>
    </w:div>
    <w:div w:id="214238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c.europa.eu/social/main.jsp?catId=1501"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https://single-market-economy.ec.europa.eu/access-finance/data-and-surveys-safe_fr" TargetMode="External"/><Relationship Id="rId18" Type="http://schemas.openxmlformats.org/officeDocument/2006/relationships/hyperlink" Target="https://eur-lex.europa.eu/legal-content/FR/TXT/HTML/?uri=CELEX:52008DC0394" TargetMode="External"/><Relationship Id="rId26" Type="http://schemas.openxmlformats.org/officeDocument/2006/relationships/hyperlink" Target="https://single-market-economy.ec.europa.eu/publications/com2023217-proposal-regulation-detergents-and-surfactants_en" TargetMode="External"/><Relationship Id="rId39" Type="http://schemas.openxmlformats.org/officeDocument/2006/relationships/hyperlink" Target="https://ec.europa.eu/docsroom/documents/54254" TargetMode="External"/><Relationship Id="rId3" Type="http://schemas.openxmlformats.org/officeDocument/2006/relationships/hyperlink" Target="https://europa.eu/eurobarometer/surveys/detail/2244" TargetMode="External"/><Relationship Id="rId21" Type="http://schemas.openxmlformats.org/officeDocument/2006/relationships/hyperlink" Target="https://ec.europa.eu/solvit/what-is-solvit/index_fr.htm" TargetMode="External"/><Relationship Id="rId34" Type="http://schemas.openxmlformats.org/officeDocument/2006/relationships/hyperlink" Target="https://single-market-economy.ec.europa.eu/access-finance/investeu/investeu-fund-sme-window_fr" TargetMode="External"/><Relationship Id="rId42" Type="http://schemas.openxmlformats.org/officeDocument/2006/relationships/hyperlink" Target="https://ec.europa.eu/social/main.jsp?catId=1607&amp;langId=fr" TargetMode="External"/><Relationship Id="rId47" Type="http://schemas.openxmlformats.org/officeDocument/2006/relationships/hyperlink" Target="https://op.europa.eu/fr/publication-detail/-/publication/ad5fdad5-6a33-11ed-b14f-01aa75ed71a1" TargetMode="External"/><Relationship Id="rId50" Type="http://schemas.openxmlformats.org/officeDocument/2006/relationships/hyperlink" Target="https://www.earlywarningeurope.eu/mentor-academy" TargetMode="External"/><Relationship Id="rId7" Type="http://schemas.openxmlformats.org/officeDocument/2006/relationships/hyperlink" Target="https://single-market-economy.ec.europa.eu/industry/transition-pathways_fr" TargetMode="External"/><Relationship Id="rId12" Type="http://schemas.openxmlformats.org/officeDocument/2006/relationships/hyperlink" Target="https://europa.eu/eurobarometer/surveys/detail/2244" TargetMode="External"/><Relationship Id="rId17" Type="http://schemas.openxmlformats.org/officeDocument/2006/relationships/hyperlink" Target="https://single-market-economy.ec.europa.eu/smes/sme-strategy/sme-envoys-network_fr" TargetMode="External"/><Relationship Id="rId25" Type="http://schemas.openxmlformats.org/officeDocument/2006/relationships/hyperlink" Target="https://economy-finance.ec.europa.eu/economic-and-fiscal-governance/economic-governance-review_en" TargetMode="External"/><Relationship Id="rId33" Type="http://schemas.openxmlformats.org/officeDocument/2006/relationships/hyperlink" Target="https://ec.europa.eu/commission/presscorner/detail/fr/inf_23_1808" TargetMode="External"/><Relationship Id="rId38" Type="http://schemas.openxmlformats.org/officeDocument/2006/relationships/hyperlink" Target="https://ec.europa.eu/docsroom/documents/46111/attachments/1/translations/en/renditions/native" TargetMode="External"/><Relationship Id="rId46" Type="http://schemas.openxmlformats.org/officeDocument/2006/relationships/hyperlink" Target="https://startupnationsstandard.eu/files/SNS-declaration.pdf" TargetMode="External"/><Relationship Id="rId2" Type="http://schemas.openxmlformats.org/officeDocument/2006/relationships/hyperlink" Target="https://www.oecd-ilibrary.org/sites/54337c24-en/index.html?itemId=/content/component/54337c24-en" TargetMode="External"/><Relationship Id="rId16" Type="http://schemas.openxmlformats.org/officeDocument/2006/relationships/hyperlink" Target="https://ec.europa.eu/docsroom/documents/53934." TargetMode="External"/><Relationship Id="rId20" Type="http://schemas.openxmlformats.org/officeDocument/2006/relationships/hyperlink" Target="https://europa.eu/youreurope/" TargetMode="External"/><Relationship Id="rId29" Type="http://schemas.openxmlformats.org/officeDocument/2006/relationships/hyperlink" Target="https://ec.europa.eu/info/law/better-regulation/have-your-say/initiatives/13010-Sustainable-transport-revision-of-Combined-Transport-Directive_fr" TargetMode="External"/><Relationship Id="rId41" Type="http://schemas.openxmlformats.org/officeDocument/2006/relationships/hyperlink" Target="https://www.oecd.org/cfe/smes/SME%20activity-report-2023.pdf" TargetMode="External"/><Relationship Id="rId1" Type="http://schemas.openxmlformats.org/officeDocument/2006/relationships/hyperlink" Target="https://single-market-economy.ec.europa.eu/smes/sme-strategy/sme-performance-review_fr" TargetMode="External"/><Relationship Id="rId6" Type="http://schemas.openxmlformats.org/officeDocument/2006/relationships/hyperlink" Target="https://competition-policy.ec.europa.eu/public-consultations/2022-de-minimis_fr" TargetMode="External"/><Relationship Id="rId11" Type="http://schemas.openxmlformats.org/officeDocument/2006/relationships/hyperlink" Target="https://single-market-economy.ec.europa.eu/industry/transition-pathways_fr" TargetMode="External"/><Relationship Id="rId24" Type="http://schemas.openxmlformats.org/officeDocument/2006/relationships/hyperlink" Target="https://eur-lex.europa.eu/legal-content/FR/TXT/HTML/?uri=CELEX:52023PC0402" TargetMode="External"/><Relationship Id="rId32" Type="http://schemas.openxmlformats.org/officeDocument/2006/relationships/hyperlink" Target="https://ec.europa.eu/info/law/better-regulation/have-your-say/initiatives/12641-Port-State-control-Further-improving-safety-security-and-sustainability-of-maritime-transport_fr" TargetMode="External"/><Relationship Id="rId37" Type="http://schemas.openxmlformats.org/officeDocument/2006/relationships/hyperlink" Target="https://op.europa.eu/fr/publication-detail/-/publication/eec8227c-ecc4-11ea-b3c6-01aa75ed71a1" TargetMode="External"/><Relationship Id="rId40" Type="http://schemas.openxmlformats.org/officeDocument/2006/relationships/hyperlink" Target="https://ec.europa.eu/docsroom/documents/54276" TargetMode="External"/><Relationship Id="rId45" Type="http://schemas.openxmlformats.org/officeDocument/2006/relationships/hyperlink" Target="https://pact-for-skills.ec.europa.eu/index_fr" TargetMode="External"/><Relationship Id="rId5" Type="http://schemas.openxmlformats.org/officeDocument/2006/relationships/hyperlink" Target="https://ec.europa.eu/economy_finance/recovery-and-resilience-scoreboard/smart.html" TargetMode="External"/><Relationship Id="rId15" Type="http://schemas.openxmlformats.org/officeDocument/2006/relationships/hyperlink" Target="https://commission.europa.eu/law/law-making-process/evaluating-and-improving-existing-laws/refit-making-eu-law-simpler-less-costly-and-future-proof/fit-future-platform-f4f_fr" TargetMode="External"/><Relationship Id="rId23" Type="http://schemas.openxmlformats.org/officeDocument/2006/relationships/hyperlink" Target="https://eur-lex.europa.eu/legal-content/FR/TXT/HTML/?uri=CELEX:32023R0895" TargetMode="External"/><Relationship Id="rId28" Type="http://schemas.openxmlformats.org/officeDocument/2006/relationships/hyperlink" Target="https://health.ec.europa.eu/medicinal-products/pharmaceutical-strategy-europe/reform-eu-pharmaceutical-legislation_en" TargetMode="External"/><Relationship Id="rId36" Type="http://schemas.openxmlformats.org/officeDocument/2006/relationships/hyperlink" Target="https://ec.europa.eu/commission/presscorner/detail/fr/ip_22_7348" TargetMode="External"/><Relationship Id="rId49" Type="http://schemas.openxmlformats.org/officeDocument/2006/relationships/hyperlink" Target="https://op.europa.eu/en/publication-detail/-/publication/fdfae129-69bb-11eb-aeb5-01aa75ed71a1/language-fr/format-PDF/source-190448642" TargetMode="External"/><Relationship Id="rId10" Type="http://schemas.openxmlformats.org/officeDocument/2006/relationships/hyperlink" Target="https://single-market-economy.ec.europa.eu/smes/sme-strategy/sme-performance-review_fr" TargetMode="External"/><Relationship Id="rId19" Type="http://schemas.openxmlformats.org/officeDocument/2006/relationships/hyperlink" Target="https://eur-lex.europa.eu/legal-content/FR/TXT/HTML/?uri=CELEX:52011DC0078" TargetMode="External"/><Relationship Id="rId31" Type="http://schemas.openxmlformats.org/officeDocument/2006/relationships/hyperlink" Target="https://ec.europa.eu/commission/presscorner/detail/fr/ip_23_3767" TargetMode="External"/><Relationship Id="rId44" Type="http://schemas.openxmlformats.org/officeDocument/2006/relationships/hyperlink" Target="https://ec.europa.eu/social/main.jsp?catId=1501" TargetMode="External"/><Relationship Id="rId4" Type="http://schemas.openxmlformats.org/officeDocument/2006/relationships/hyperlink" Target="https://europa.eu/eurobarometer/surveys/detail/2287" TargetMode="External"/><Relationship Id="rId9" Type="http://schemas.openxmlformats.org/officeDocument/2006/relationships/hyperlink" Target="https://commission.europa.eu/strategy-and-policy/priorities-2019-2024/stronger-europe-world/global-gateway_fr" TargetMode="External"/><Relationship Id="rId14" Type="http://schemas.openxmlformats.org/officeDocument/2006/relationships/hyperlink" Target="https://commission.europa.eu/law/law-making-process/planning-and-proposing-law/better-regulation/better-regulation-guidelines-and-toolbox_fr" TargetMode="External"/><Relationship Id="rId22" Type="http://schemas.openxmlformats.org/officeDocument/2006/relationships/hyperlink" Target="https://ec.europa.eu/info/law/better-regulation/have-your-say/initiatives/12737-Union-bancaire-reforme-du-cadre-pour-la-gestion-des-crises-et-lassurance-des-depots-revision-de-la-BRRD-_fr" TargetMode="External"/><Relationship Id="rId27" Type="http://schemas.openxmlformats.org/officeDocument/2006/relationships/hyperlink" Target="https://ec.europa.eu/info/law/better-regulation/have-your-say/initiatives/13316-Revision-of-the-Union-Customs-Code_fr" TargetMode="External"/><Relationship Id="rId30" Type="http://schemas.openxmlformats.org/officeDocument/2006/relationships/hyperlink" Target="https://transport.ec.europa.eu/system/files/2023-07/COM_2023_443_0.pdf" TargetMode="External"/><Relationship Id="rId35" Type="http://schemas.openxmlformats.org/officeDocument/2006/relationships/hyperlink" Target="https://www.fi-compass.eu" TargetMode="External"/><Relationship Id="rId43" Type="http://schemas.openxmlformats.org/officeDocument/2006/relationships/hyperlink" Target="%20https://education.ec.europa.eu/fr/focus-topics/digital-education/action-plan/action-9" TargetMode="External"/><Relationship Id="rId48" Type="http://schemas.openxmlformats.org/officeDocument/2006/relationships/hyperlink" Target="https://single-market-economy.ec.europa.eu/smes/supporting-entrepreneurship/transfer-businesses_fr" TargetMode="External"/><Relationship Id="rId8" Type="http://schemas.openxmlformats.org/officeDocument/2006/relationships/hyperlink" Target="https://trade.ec.europa.eu/access-to-markets/fr/content/single-entry-point-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GROW\A\2\Common\A2\42%20-%20%20SME%20STRATEGY\SME%20Relief%20Package\Data%20and%20graphs\figures_ALL180523_draft2v3_09062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EC Square Sans Pro" panose="020B0506040000020004" pitchFamily="34" charset="0"/>
                <a:ea typeface="+mn-ea"/>
                <a:cs typeface="+mn-cs"/>
              </a:defRPr>
            </a:pPr>
            <a:r>
              <a:rPr lang="en-GB" sz="1200" b="1">
                <a:latin typeface="Times New Roman" panose="02020603050405020304" pitchFamily="18" charset="0"/>
                <a:cs typeface="Times New Roman" panose="02020603050405020304" pitchFamily="18" charset="0"/>
              </a:rPr>
              <a:t>Regulatory obstacles or administrative burden and payment delays come out on top when SMEs report the biggest problems they face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EC Square Sans Pro" panose="020B0506040000020004" pitchFamily="34" charset="0"/>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EB!$B$3:$B$6</c:f>
              <c:strCache>
                <c:ptCount val="4"/>
                <c:pt idx="0">
                  <c:v>Regulatory obstacles or administrative burden </c:v>
                </c:pt>
                <c:pt idx="1">
                  <c:v>Payment delays</c:v>
                </c:pt>
                <c:pt idx="2">
                  <c:v>Access to finance</c:v>
                </c:pt>
                <c:pt idx="3">
                  <c:v>Skills, including managerial skills</c:v>
                </c:pt>
              </c:strCache>
            </c:strRef>
          </c:cat>
          <c:val>
            <c:numRef>
              <c:f>EB!$C$3:$C$6</c:f>
              <c:numCache>
                <c:formatCode>0%</c:formatCode>
                <c:ptCount val="4"/>
                <c:pt idx="0">
                  <c:v>0.55000000000000004</c:v>
                </c:pt>
                <c:pt idx="1">
                  <c:v>0.35</c:v>
                </c:pt>
                <c:pt idx="2">
                  <c:v>0.21</c:v>
                </c:pt>
                <c:pt idx="3">
                  <c:v>0.17</c:v>
                </c:pt>
              </c:numCache>
            </c:numRef>
          </c:val>
          <c:extLst>
            <c:ext xmlns:c16="http://schemas.microsoft.com/office/drawing/2014/chart" uri="{C3380CC4-5D6E-409C-BE32-E72D297353CC}">
              <c16:uniqueId val="{00000000-BAE4-4410-AC84-BC0A30978AC2}"/>
            </c:ext>
          </c:extLst>
        </c:ser>
        <c:dLbls>
          <c:showLegendKey val="0"/>
          <c:showVal val="0"/>
          <c:showCatName val="0"/>
          <c:showSerName val="0"/>
          <c:showPercent val="0"/>
          <c:showBubbleSize val="0"/>
        </c:dLbls>
        <c:gapWidth val="47"/>
        <c:axId val="1056505279"/>
        <c:axId val="1056514015"/>
      </c:barChart>
      <c:catAx>
        <c:axId val="105650527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0"/>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56514015"/>
        <c:crossesAt val="0"/>
        <c:auto val="1"/>
        <c:lblAlgn val="ctr"/>
        <c:lblOffset val="100"/>
        <c:noMultiLvlLbl val="0"/>
      </c:catAx>
      <c:valAx>
        <c:axId val="1056514015"/>
        <c:scaling>
          <c:orientation val="minMax"/>
          <c:max val="0.60000000000000009"/>
        </c:scaling>
        <c:delete val="0"/>
        <c:axPos val="t"/>
        <c:majorGridlines>
          <c:spPr>
            <a:ln w="9525" cap="flat" cmpd="sng" algn="ctr">
              <a:noFill/>
              <a:round/>
            </a:ln>
            <a:effectLst/>
          </c:spPr>
        </c:majorGridlines>
        <c:numFmt formatCode="#,##0.0\ &quot;€&quot;" sourceLinked="0"/>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EC Square Sans Pro" panose="020B0506040000020004" pitchFamily="34" charset="0"/>
                <a:ea typeface="+mn-ea"/>
                <a:cs typeface="+mn-cs"/>
              </a:defRPr>
            </a:pPr>
            <a:endParaRPr lang="en-US"/>
          </a:p>
        </c:txPr>
        <c:crossAx val="1056505279"/>
        <c:crosses val="autoZero"/>
        <c:crossBetween val="between"/>
        <c:majorUnit val="0.60000000000000009"/>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E7CAA-8452-48E6-9777-B58B6D658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10423</Words>
  <Characters>58265</Characters>
  <Application>Microsoft Office Word</Application>
  <DocSecurity>0</DocSecurity>
  <Lines>856</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68513</CharactersWithSpaces>
  <SharedDoc>false</SharedDoc>
  <HLinks>
    <vt:vector size="330" baseType="variant">
      <vt:variant>
        <vt:i4>4653136</vt:i4>
      </vt:variant>
      <vt:variant>
        <vt:i4>6</vt:i4>
      </vt:variant>
      <vt:variant>
        <vt:i4>0</vt:i4>
      </vt:variant>
      <vt:variant>
        <vt:i4>5</vt:i4>
      </vt:variant>
      <vt:variant>
        <vt:lpwstr>https://ec.europa.eu/social/main.jsp?catId=1501</vt:lpwstr>
      </vt:variant>
      <vt:variant>
        <vt:lpwstr>:~:text=Centres%20of%20Vocational%20Excellence%20(CoVEs,specialisation%20strategies%20and%20social%20inclusion.</vt:lpwstr>
      </vt:variant>
      <vt:variant>
        <vt:i4>262232</vt:i4>
      </vt:variant>
      <vt:variant>
        <vt:i4>285</vt:i4>
      </vt:variant>
      <vt:variant>
        <vt:i4>0</vt:i4>
      </vt:variant>
      <vt:variant>
        <vt:i4>5</vt:i4>
      </vt:variant>
      <vt:variant>
        <vt:lpwstr>https://www.earlywarningeurope.eu/mentor-academy</vt:lpwstr>
      </vt:variant>
      <vt:variant>
        <vt:lpwstr/>
      </vt:variant>
      <vt:variant>
        <vt:i4>4980859</vt:i4>
      </vt:variant>
      <vt:variant>
        <vt:i4>282</vt:i4>
      </vt:variant>
      <vt:variant>
        <vt:i4>0</vt:i4>
      </vt:variant>
      <vt:variant>
        <vt:i4>5</vt:i4>
      </vt:variant>
      <vt:variant>
        <vt:lpwstr>https://single-market-economy.ec.europa.eu/smes/sme-strategy/european-sme-week_en</vt:lpwstr>
      </vt:variant>
      <vt:variant>
        <vt:lpwstr/>
      </vt:variant>
      <vt:variant>
        <vt:i4>7864345</vt:i4>
      </vt:variant>
      <vt:variant>
        <vt:i4>279</vt:i4>
      </vt:variant>
      <vt:variant>
        <vt:i4>0</vt:i4>
      </vt:variant>
      <vt:variant>
        <vt:i4>5</vt:i4>
      </vt:variant>
      <vt:variant>
        <vt:lpwstr>https://single-market-economy.ec.europa.eu/smes/sme-strategy/sme-assembly_en</vt:lpwstr>
      </vt:variant>
      <vt:variant>
        <vt:lpwstr/>
      </vt:variant>
      <vt:variant>
        <vt:i4>1048647</vt:i4>
      </vt:variant>
      <vt:variant>
        <vt:i4>276</vt:i4>
      </vt:variant>
      <vt:variant>
        <vt:i4>0</vt:i4>
      </vt:variant>
      <vt:variant>
        <vt:i4>5</vt:i4>
      </vt:variant>
      <vt:variant>
        <vt:lpwstr>https://op.europa.eu/en/publication-detail/-/publication/fdfae129-69bb-11eb-aeb5-01aa75ed71a1/language-en/format-PDF/source-190448642</vt:lpwstr>
      </vt:variant>
      <vt:variant>
        <vt:lpwstr/>
      </vt:variant>
      <vt:variant>
        <vt:i4>262261</vt:i4>
      </vt:variant>
      <vt:variant>
        <vt:i4>273</vt:i4>
      </vt:variant>
      <vt:variant>
        <vt:i4>0</vt:i4>
      </vt:variant>
      <vt:variant>
        <vt:i4>5</vt:i4>
      </vt:variant>
      <vt:variant>
        <vt:lpwstr>https://single-market-economy.ec.europa.eu/smes/supporting-entrepreneurship/transfer-businesses_en</vt:lpwstr>
      </vt:variant>
      <vt:variant>
        <vt:lpwstr/>
      </vt:variant>
      <vt:variant>
        <vt:i4>983099</vt:i4>
      </vt:variant>
      <vt:variant>
        <vt:i4>261</vt:i4>
      </vt:variant>
      <vt:variant>
        <vt:i4>0</vt:i4>
      </vt:variant>
      <vt:variant>
        <vt:i4>5</vt:i4>
      </vt:variant>
      <vt:variant>
        <vt:lpwstr>https://eur-lex.europa.eu/legal-content/EN/TXT/?uri=uriserv%3AOJ.C_.2021.508.01.0001.01.ENG&amp;toc=OJ%3AC%3A2021%3A508%3ATOC</vt:lpwstr>
      </vt:variant>
      <vt:variant>
        <vt:lpwstr/>
      </vt:variant>
      <vt:variant>
        <vt:i4>1572885</vt:i4>
      </vt:variant>
      <vt:variant>
        <vt:i4>258</vt:i4>
      </vt:variant>
      <vt:variant>
        <vt:i4>0</vt:i4>
      </vt:variant>
      <vt:variant>
        <vt:i4>5</vt:i4>
      </vt:variant>
      <vt:variant>
        <vt:lpwstr>https://op.europa.eu/en/publication-detail/-/publication/ad5fdad5-6a33-11ed-b14f-01aa75ed71a1/language-en/format-PDF/source-277396461</vt:lpwstr>
      </vt:variant>
      <vt:variant>
        <vt:lpwstr/>
      </vt:variant>
      <vt:variant>
        <vt:i4>3342382</vt:i4>
      </vt:variant>
      <vt:variant>
        <vt:i4>252</vt:i4>
      </vt:variant>
      <vt:variant>
        <vt:i4>0</vt:i4>
      </vt:variant>
      <vt:variant>
        <vt:i4>5</vt:i4>
      </vt:variant>
      <vt:variant>
        <vt:lpwstr>https://europa.eu/youreurope/business/finance-funding/getting-funding/access-finance/search/en</vt:lpwstr>
      </vt:variant>
      <vt:variant>
        <vt:lpwstr/>
      </vt:variant>
      <vt:variant>
        <vt:i4>8061030</vt:i4>
      </vt:variant>
      <vt:variant>
        <vt:i4>249</vt:i4>
      </vt:variant>
      <vt:variant>
        <vt:i4>0</vt:i4>
      </vt:variant>
      <vt:variant>
        <vt:i4>5</vt:i4>
      </vt:variant>
      <vt:variant>
        <vt:lpwstr>https://startupnationsstandard.eu/files/SNS-declaration.pdf</vt:lpwstr>
      </vt:variant>
      <vt:variant>
        <vt:lpwstr/>
      </vt:variant>
      <vt:variant>
        <vt:i4>458854</vt:i4>
      </vt:variant>
      <vt:variant>
        <vt:i4>240</vt:i4>
      </vt:variant>
      <vt:variant>
        <vt:i4>0</vt:i4>
      </vt:variant>
      <vt:variant>
        <vt:i4>5</vt:i4>
      </vt:variant>
      <vt:variant>
        <vt:lpwstr>https://pact-for-skills.ec.europa.eu/index_en</vt:lpwstr>
      </vt:variant>
      <vt:variant>
        <vt:lpwstr/>
      </vt:variant>
      <vt:variant>
        <vt:i4>7798838</vt:i4>
      </vt:variant>
      <vt:variant>
        <vt:i4>237</vt:i4>
      </vt:variant>
      <vt:variant>
        <vt:i4>0</vt:i4>
      </vt:variant>
      <vt:variant>
        <vt:i4>5</vt:i4>
      </vt:variant>
      <vt:variant>
        <vt:lpwstr>https://ec.europa.eu/social/main.jsp?catId=1501</vt:lpwstr>
      </vt:variant>
      <vt:variant>
        <vt:lpwstr/>
      </vt:variant>
      <vt:variant>
        <vt:i4>5636180</vt:i4>
      </vt:variant>
      <vt:variant>
        <vt:i4>234</vt:i4>
      </vt:variant>
      <vt:variant>
        <vt:i4>0</vt:i4>
      </vt:variant>
      <vt:variant>
        <vt:i4>5</vt:i4>
      </vt:variant>
      <vt:variant>
        <vt:lpwstr>https://ec.europa.eu/social/main.jsp?catId=1607&amp;langId=en</vt:lpwstr>
      </vt:variant>
      <vt:variant>
        <vt:lpwstr/>
      </vt:variant>
      <vt:variant>
        <vt:i4>7798844</vt:i4>
      </vt:variant>
      <vt:variant>
        <vt:i4>231</vt:i4>
      </vt:variant>
      <vt:variant>
        <vt:i4>0</vt:i4>
      </vt:variant>
      <vt:variant>
        <vt:i4>5</vt:i4>
      </vt:variant>
      <vt:variant>
        <vt:lpwstr>https://www.fi-compass.eu/</vt:lpwstr>
      </vt:variant>
      <vt:variant>
        <vt:lpwstr/>
      </vt:variant>
      <vt:variant>
        <vt:i4>4849700</vt:i4>
      </vt:variant>
      <vt:variant>
        <vt:i4>228</vt:i4>
      </vt:variant>
      <vt:variant>
        <vt:i4>0</vt:i4>
      </vt:variant>
      <vt:variant>
        <vt:i4>5</vt:i4>
      </vt:variant>
      <vt:variant>
        <vt:lpwstr>https://single-market-economy.ec.europa.eu/access-finance/investeu/investeu-fund-sme-window_en</vt:lpwstr>
      </vt:variant>
      <vt:variant>
        <vt:lpwstr/>
      </vt:variant>
      <vt:variant>
        <vt:i4>7143467</vt:i4>
      </vt:variant>
      <vt:variant>
        <vt:i4>222</vt:i4>
      </vt:variant>
      <vt:variant>
        <vt:i4>0</vt:i4>
      </vt:variant>
      <vt:variant>
        <vt:i4>5</vt:i4>
      </vt:variant>
      <vt:variant>
        <vt:lpwstr>https://www.eba.europa.eu/sites/default/documents/files/document_library/About Us/Missions and tasks/Call for Advice/2022/CfA on green loans and mortgages/1043881/EBA Call for Advice Green Loans and Mortgages_Clean.pdf</vt:lpwstr>
      </vt:variant>
      <vt:variant>
        <vt:lpwstr/>
      </vt:variant>
      <vt:variant>
        <vt:i4>6357104</vt:i4>
      </vt:variant>
      <vt:variant>
        <vt:i4>219</vt:i4>
      </vt:variant>
      <vt:variant>
        <vt:i4>0</vt:i4>
      </vt:variant>
      <vt:variant>
        <vt:i4>5</vt:i4>
      </vt:variant>
      <vt:variant>
        <vt:lpwstr>https://www.oecd.org/cfe/smes/SME activity-report-2023.pdf</vt:lpwstr>
      </vt:variant>
      <vt:variant>
        <vt:lpwstr/>
      </vt:variant>
      <vt:variant>
        <vt:i4>524296</vt:i4>
      </vt:variant>
      <vt:variant>
        <vt:i4>216</vt:i4>
      </vt:variant>
      <vt:variant>
        <vt:i4>0</vt:i4>
      </vt:variant>
      <vt:variant>
        <vt:i4>5</vt:i4>
      </vt:variant>
      <vt:variant>
        <vt:lpwstr>https://link.springer.com/article/10.1007/s11187-021-00488-3</vt:lpwstr>
      </vt:variant>
      <vt:variant>
        <vt:lpwstr/>
      </vt:variant>
      <vt:variant>
        <vt:i4>327764</vt:i4>
      </vt:variant>
      <vt:variant>
        <vt:i4>213</vt:i4>
      </vt:variant>
      <vt:variant>
        <vt:i4>0</vt:i4>
      </vt:variant>
      <vt:variant>
        <vt:i4>5</vt:i4>
      </vt:variant>
      <vt:variant>
        <vt:lpwstr>https://www.intrum.com/publications/european-payment-report/european-payment-report-2022/</vt:lpwstr>
      </vt:variant>
      <vt:variant>
        <vt:lpwstr/>
      </vt:variant>
      <vt:variant>
        <vt:i4>7602278</vt:i4>
      </vt:variant>
      <vt:variant>
        <vt:i4>207</vt:i4>
      </vt:variant>
      <vt:variant>
        <vt:i4>0</vt:i4>
      </vt:variant>
      <vt:variant>
        <vt:i4>5</vt:i4>
      </vt:variant>
      <vt:variant>
        <vt:lpwstr>https://ec.europa.eu/commission/presscorner/detail/en/ip_22_7348</vt:lpwstr>
      </vt:variant>
      <vt:variant>
        <vt:lpwstr/>
      </vt:variant>
      <vt:variant>
        <vt:i4>6750297</vt:i4>
      </vt:variant>
      <vt:variant>
        <vt:i4>204</vt:i4>
      </vt:variant>
      <vt:variant>
        <vt:i4>0</vt:i4>
      </vt:variant>
      <vt:variant>
        <vt:i4>5</vt:i4>
      </vt:variant>
      <vt:variant>
        <vt:lpwstr>https://competition-policy.ec.europa.eu/public-consultations/2022-de-minimis_en</vt:lpwstr>
      </vt:variant>
      <vt:variant>
        <vt:lpwstr/>
      </vt:variant>
      <vt:variant>
        <vt:i4>2490369</vt:i4>
      </vt:variant>
      <vt:variant>
        <vt:i4>201</vt:i4>
      </vt:variant>
      <vt:variant>
        <vt:i4>0</vt:i4>
      </vt:variant>
      <vt:variant>
        <vt:i4>5</vt:i4>
      </vt:variant>
      <vt:variant>
        <vt:lpwstr>https://ec.europa.eu/economy_finance/recovery-and-resilience-scoreboard/smart.html</vt:lpwstr>
      </vt:variant>
      <vt:variant>
        <vt:lpwstr/>
      </vt:variant>
      <vt:variant>
        <vt:i4>4849700</vt:i4>
      </vt:variant>
      <vt:variant>
        <vt:i4>198</vt:i4>
      </vt:variant>
      <vt:variant>
        <vt:i4>0</vt:i4>
      </vt:variant>
      <vt:variant>
        <vt:i4>5</vt:i4>
      </vt:variant>
      <vt:variant>
        <vt:lpwstr>https://single-market-economy.ec.europa.eu/access-finance/investeu/investeu-fund-sme-window_en</vt:lpwstr>
      </vt:variant>
      <vt:variant>
        <vt:lpwstr/>
      </vt:variant>
      <vt:variant>
        <vt:i4>4325412</vt:i4>
      </vt:variant>
      <vt:variant>
        <vt:i4>195</vt:i4>
      </vt:variant>
      <vt:variant>
        <vt:i4>0</vt:i4>
      </vt:variant>
      <vt:variant>
        <vt:i4>5</vt:i4>
      </vt:variant>
      <vt:variant>
        <vt:lpwstr>https://single-market-economy.ec.europa.eu/smes/sme-definition_en</vt:lpwstr>
      </vt:variant>
      <vt:variant>
        <vt:lpwstr/>
      </vt:variant>
      <vt:variant>
        <vt:i4>7077905</vt:i4>
      </vt:variant>
      <vt:variant>
        <vt:i4>192</vt:i4>
      </vt:variant>
      <vt:variant>
        <vt:i4>0</vt:i4>
      </vt:variant>
      <vt:variant>
        <vt:i4>5</vt:i4>
      </vt:variant>
      <vt:variant>
        <vt:lpwstr>https://ec.europa.eu/info/law/better-regulation/have-your-say/initiatives/12641-Port-State-control-Further-improving-safety-security-and-sustainability-of-maritime-transport_en</vt:lpwstr>
      </vt:variant>
      <vt:variant>
        <vt:lpwstr/>
      </vt:variant>
      <vt:variant>
        <vt:i4>8323169</vt:i4>
      </vt:variant>
      <vt:variant>
        <vt:i4>189</vt:i4>
      </vt:variant>
      <vt:variant>
        <vt:i4>0</vt:i4>
      </vt:variant>
      <vt:variant>
        <vt:i4>5</vt:i4>
      </vt:variant>
      <vt:variant>
        <vt:lpwstr>https://ec.europa.eu/commission/presscorner/detail/en/ip_23_3767</vt:lpwstr>
      </vt:variant>
      <vt:variant>
        <vt:lpwstr/>
      </vt:variant>
      <vt:variant>
        <vt:i4>1638452</vt:i4>
      </vt:variant>
      <vt:variant>
        <vt:i4>186</vt:i4>
      </vt:variant>
      <vt:variant>
        <vt:i4>0</vt:i4>
      </vt:variant>
      <vt:variant>
        <vt:i4>5</vt:i4>
      </vt:variant>
      <vt:variant>
        <vt:lpwstr>https://transport.ec.europa.eu/system/files/2023-07/COM_2023_443_0.pdf</vt:lpwstr>
      </vt:variant>
      <vt:variant>
        <vt:lpwstr/>
      </vt:variant>
      <vt:variant>
        <vt:i4>4587630</vt:i4>
      </vt:variant>
      <vt:variant>
        <vt:i4>183</vt:i4>
      </vt:variant>
      <vt:variant>
        <vt:i4>0</vt:i4>
      </vt:variant>
      <vt:variant>
        <vt:i4>5</vt:i4>
      </vt:variant>
      <vt:variant>
        <vt:lpwstr>https://ec.europa.eu/info/law/better-regulation/have-your-say/initiatives/13010-Sustainable-transport-revision-of-Combined-Transport-Directive_en</vt:lpwstr>
      </vt:variant>
      <vt:variant>
        <vt:lpwstr/>
      </vt:variant>
      <vt:variant>
        <vt:i4>1704037</vt:i4>
      </vt:variant>
      <vt:variant>
        <vt:i4>180</vt:i4>
      </vt:variant>
      <vt:variant>
        <vt:i4>0</vt:i4>
      </vt:variant>
      <vt:variant>
        <vt:i4>5</vt:i4>
      </vt:variant>
      <vt:variant>
        <vt:lpwstr>https://health.ec.europa.eu/medicinal-products/pharmaceutical-strategy-europe/reform-eu-pharmaceutical-legislation_en</vt:lpwstr>
      </vt:variant>
      <vt:variant>
        <vt:lpwstr/>
      </vt:variant>
      <vt:variant>
        <vt:i4>1835108</vt:i4>
      </vt:variant>
      <vt:variant>
        <vt:i4>177</vt:i4>
      </vt:variant>
      <vt:variant>
        <vt:i4>0</vt:i4>
      </vt:variant>
      <vt:variant>
        <vt:i4>5</vt:i4>
      </vt:variant>
      <vt:variant>
        <vt:lpwstr>https://ec.europa.eu/info/law/better-regulation/have-your-say/initiatives/13316-Revision-of-the-Union-Customs-Code_en</vt:lpwstr>
      </vt:variant>
      <vt:variant>
        <vt:lpwstr/>
      </vt:variant>
      <vt:variant>
        <vt:i4>6750278</vt:i4>
      </vt:variant>
      <vt:variant>
        <vt:i4>174</vt:i4>
      </vt:variant>
      <vt:variant>
        <vt:i4>0</vt:i4>
      </vt:variant>
      <vt:variant>
        <vt:i4>5</vt:i4>
      </vt:variant>
      <vt:variant>
        <vt:lpwstr>https://single-market-economy.ec.europa.eu/publications/com2023217-proposal-regulation-detergents-and-surfactants_en</vt:lpwstr>
      </vt:variant>
      <vt:variant>
        <vt:lpwstr/>
      </vt:variant>
      <vt:variant>
        <vt:i4>6094949</vt:i4>
      </vt:variant>
      <vt:variant>
        <vt:i4>171</vt:i4>
      </vt:variant>
      <vt:variant>
        <vt:i4>0</vt:i4>
      </vt:variant>
      <vt:variant>
        <vt:i4>5</vt:i4>
      </vt:variant>
      <vt:variant>
        <vt:lpwstr>https://economy-finance.ec.europa.eu/economic-and-fiscal-governance/economic-governance-review_en</vt:lpwstr>
      </vt:variant>
      <vt:variant>
        <vt:lpwstr/>
      </vt:variant>
      <vt:variant>
        <vt:i4>1310739</vt:i4>
      </vt:variant>
      <vt:variant>
        <vt:i4>168</vt:i4>
      </vt:variant>
      <vt:variant>
        <vt:i4>0</vt:i4>
      </vt:variant>
      <vt:variant>
        <vt:i4>5</vt:i4>
      </vt:variant>
      <vt:variant>
        <vt:lpwstr>https://eur-lex.europa.eu/legal-content/EN/TXT/?uri=CELEX:52023PC0402</vt:lpwstr>
      </vt:variant>
      <vt:variant>
        <vt:lpwstr/>
      </vt:variant>
      <vt:variant>
        <vt:i4>6619256</vt:i4>
      </vt:variant>
      <vt:variant>
        <vt:i4>165</vt:i4>
      </vt:variant>
      <vt:variant>
        <vt:i4>0</vt:i4>
      </vt:variant>
      <vt:variant>
        <vt:i4>5</vt:i4>
      </vt:variant>
      <vt:variant>
        <vt:lpwstr>https://eur-lex.europa.eu/legal-content/EN/TXT/?uri=CELEX%3A32023R0895</vt:lpwstr>
      </vt:variant>
      <vt:variant>
        <vt:lpwstr/>
      </vt:variant>
      <vt:variant>
        <vt:i4>65662</vt:i4>
      </vt:variant>
      <vt:variant>
        <vt:i4>162</vt:i4>
      </vt:variant>
      <vt:variant>
        <vt:i4>0</vt:i4>
      </vt:variant>
      <vt:variant>
        <vt:i4>5</vt:i4>
      </vt:variant>
      <vt:variant>
        <vt:lpwstr>https://ec.europa.eu/info/law/better-regulation/have-your-say/initiatives/12737-Banking-Union-Review-of-the-crisis-management-and-deposit-insurance-framework-BRRD-review-_en</vt:lpwstr>
      </vt:variant>
      <vt:variant>
        <vt:lpwstr/>
      </vt:variant>
      <vt:variant>
        <vt:i4>6815764</vt:i4>
      </vt:variant>
      <vt:variant>
        <vt:i4>156</vt:i4>
      </vt:variant>
      <vt:variant>
        <vt:i4>0</vt:i4>
      </vt:variant>
      <vt:variant>
        <vt:i4>5</vt:i4>
      </vt:variant>
      <vt:variant>
        <vt:lpwstr>https://ec.europa.eu/solvit/what-is-solvit/index_en.htm</vt:lpwstr>
      </vt:variant>
      <vt:variant>
        <vt:lpwstr/>
      </vt:variant>
      <vt:variant>
        <vt:i4>4325399</vt:i4>
      </vt:variant>
      <vt:variant>
        <vt:i4>153</vt:i4>
      </vt:variant>
      <vt:variant>
        <vt:i4>0</vt:i4>
      </vt:variant>
      <vt:variant>
        <vt:i4>5</vt:i4>
      </vt:variant>
      <vt:variant>
        <vt:lpwstr>https://europa.eu/youreurope/</vt:lpwstr>
      </vt:variant>
      <vt:variant>
        <vt:lpwstr/>
      </vt:variant>
      <vt:variant>
        <vt:i4>6160477</vt:i4>
      </vt:variant>
      <vt:variant>
        <vt:i4>150</vt:i4>
      </vt:variant>
      <vt:variant>
        <vt:i4>0</vt:i4>
      </vt:variant>
      <vt:variant>
        <vt:i4>5</vt:i4>
      </vt:variant>
      <vt:variant>
        <vt:lpwstr>https://eur-lex.europa.eu/eli/dir/2020/285/oj</vt:lpwstr>
      </vt:variant>
      <vt:variant>
        <vt:lpwstr/>
      </vt:variant>
      <vt:variant>
        <vt:i4>262249</vt:i4>
      </vt:variant>
      <vt:variant>
        <vt:i4>147</vt:i4>
      </vt:variant>
      <vt:variant>
        <vt:i4>0</vt:i4>
      </vt:variant>
      <vt:variant>
        <vt:i4>5</vt:i4>
      </vt:variant>
      <vt:variant>
        <vt:lpwstr>https://commission.europa.eu/law/law-making-process/planning-and-proposing-law/better-regulation/better-regulation-guidelines-and-toolbox/better-regulation-toolbox_en</vt:lpwstr>
      </vt:variant>
      <vt:variant>
        <vt:lpwstr/>
      </vt:variant>
      <vt:variant>
        <vt:i4>2031741</vt:i4>
      </vt:variant>
      <vt:variant>
        <vt:i4>144</vt:i4>
      </vt:variant>
      <vt:variant>
        <vt:i4>0</vt:i4>
      </vt:variant>
      <vt:variant>
        <vt:i4>5</vt:i4>
      </vt:variant>
      <vt:variant>
        <vt:lpwstr>https://commission.europa.eu/law/law-making-process/evaluating-and-improving-existing-laws/refit-making-eu-law-simpler-less-costly-and-future-proof/fit-future-platform-f4f_en</vt:lpwstr>
      </vt:variant>
      <vt:variant>
        <vt:lpwstr/>
      </vt:variant>
      <vt:variant>
        <vt:i4>8061001</vt:i4>
      </vt:variant>
      <vt:variant>
        <vt:i4>141</vt:i4>
      </vt:variant>
      <vt:variant>
        <vt:i4>0</vt:i4>
      </vt:variant>
      <vt:variant>
        <vt:i4>5</vt:i4>
      </vt:variant>
      <vt:variant>
        <vt:lpwstr>https://ec.europa.eu/info/law/better-regulation/have-your-say_en</vt:lpwstr>
      </vt:variant>
      <vt:variant>
        <vt:lpwstr/>
      </vt:variant>
      <vt:variant>
        <vt:i4>4980856</vt:i4>
      </vt:variant>
      <vt:variant>
        <vt:i4>138</vt:i4>
      </vt:variant>
      <vt:variant>
        <vt:i4>0</vt:i4>
      </vt:variant>
      <vt:variant>
        <vt:i4>5</vt:i4>
      </vt:variant>
      <vt:variant>
        <vt:lpwstr>https://single-market-economy.ec.europa.eu/smes/sme-strategy/sme-envoys-network_en</vt:lpwstr>
      </vt:variant>
      <vt:variant>
        <vt:lpwstr/>
      </vt:variant>
      <vt:variant>
        <vt:i4>6226015</vt:i4>
      </vt:variant>
      <vt:variant>
        <vt:i4>135</vt:i4>
      </vt:variant>
      <vt:variant>
        <vt:i4>0</vt:i4>
      </vt:variant>
      <vt:variant>
        <vt:i4>5</vt:i4>
      </vt:variant>
      <vt:variant>
        <vt:lpwstr>https://ec.europa.eu/docsroom/documents/53934</vt:lpwstr>
      </vt:variant>
      <vt:variant>
        <vt:lpwstr/>
      </vt:variant>
      <vt:variant>
        <vt:i4>7012416</vt:i4>
      </vt:variant>
      <vt:variant>
        <vt:i4>132</vt:i4>
      </vt:variant>
      <vt:variant>
        <vt:i4>0</vt:i4>
      </vt:variant>
      <vt:variant>
        <vt:i4>5</vt:i4>
      </vt:variant>
      <vt:variant>
        <vt:lpwstr>https://commission.europa.eu/law/law-making-process/planning-and-proposing-law/better-regulation/better-regulation-guidelines-and-toolbox_en</vt:lpwstr>
      </vt:variant>
      <vt:variant>
        <vt:lpwstr/>
      </vt:variant>
      <vt:variant>
        <vt:i4>1179706</vt:i4>
      </vt:variant>
      <vt:variant>
        <vt:i4>126</vt:i4>
      </vt:variant>
      <vt:variant>
        <vt:i4>0</vt:i4>
      </vt:variant>
      <vt:variant>
        <vt:i4>5</vt:i4>
      </vt:variant>
      <vt:variant>
        <vt:lpwstr>https://single-market-economy.ec.europa.eu/access-finance/data-and-surveys-safe_en</vt:lpwstr>
      </vt:variant>
      <vt:variant>
        <vt:lpwstr/>
      </vt:variant>
      <vt:variant>
        <vt:i4>2097251</vt:i4>
      </vt:variant>
      <vt:variant>
        <vt:i4>123</vt:i4>
      </vt:variant>
      <vt:variant>
        <vt:i4>0</vt:i4>
      </vt:variant>
      <vt:variant>
        <vt:i4>5</vt:i4>
      </vt:variant>
      <vt:variant>
        <vt:lpwstr>https://europa.eu/eurobarometer/surveys/detail/2244</vt:lpwstr>
      </vt:variant>
      <vt:variant>
        <vt:lpwstr/>
      </vt:variant>
      <vt:variant>
        <vt:i4>65585</vt:i4>
      </vt:variant>
      <vt:variant>
        <vt:i4>120</vt:i4>
      </vt:variant>
      <vt:variant>
        <vt:i4>0</vt:i4>
      </vt:variant>
      <vt:variant>
        <vt:i4>5</vt:i4>
      </vt:variant>
      <vt:variant>
        <vt:lpwstr>https://single-market-economy.ec.europa.eu/smes/sme-strategy/sme-performance-review_en</vt:lpwstr>
      </vt:variant>
      <vt:variant>
        <vt:lpwstr/>
      </vt:variant>
      <vt:variant>
        <vt:i4>131076</vt:i4>
      </vt:variant>
      <vt:variant>
        <vt:i4>54</vt:i4>
      </vt:variant>
      <vt:variant>
        <vt:i4>0</vt:i4>
      </vt:variant>
      <vt:variant>
        <vt:i4>5</vt:i4>
      </vt:variant>
      <vt:variant>
        <vt:lpwstr>https://trade.ec.europa.eu/access-to-markets/en/content/single-entry-point-0</vt:lpwstr>
      </vt:variant>
      <vt:variant>
        <vt:lpwstr/>
      </vt:variant>
      <vt:variant>
        <vt:i4>5636156</vt:i4>
      </vt:variant>
      <vt:variant>
        <vt:i4>48</vt:i4>
      </vt:variant>
      <vt:variant>
        <vt:i4>0</vt:i4>
      </vt:variant>
      <vt:variant>
        <vt:i4>5</vt:i4>
      </vt:variant>
      <vt:variant>
        <vt:lpwstr>https://single-market-economy.ec.europa.eu/industry/transition-pathways_en</vt:lpwstr>
      </vt:variant>
      <vt:variant>
        <vt:lpwstr/>
      </vt:variant>
      <vt:variant>
        <vt:i4>131166</vt:i4>
      </vt:variant>
      <vt:variant>
        <vt:i4>18</vt:i4>
      </vt:variant>
      <vt:variant>
        <vt:i4>0</vt:i4>
      </vt:variant>
      <vt:variant>
        <vt:i4>5</vt:i4>
      </vt:variant>
      <vt:variant>
        <vt:lpwstr>https://single-market-economy.ec.europa.eu/system/files/2023-01/ASMR 2023.pdf</vt:lpwstr>
      </vt:variant>
      <vt:variant>
        <vt:lpwstr/>
      </vt:variant>
      <vt:variant>
        <vt:i4>2883683</vt:i4>
      </vt:variant>
      <vt:variant>
        <vt:i4>12</vt:i4>
      </vt:variant>
      <vt:variant>
        <vt:i4>0</vt:i4>
      </vt:variant>
      <vt:variant>
        <vt:i4>5</vt:i4>
      </vt:variant>
      <vt:variant>
        <vt:lpwstr>https://europa.eu/eurobarometer/surveys/detail/2287</vt:lpwstr>
      </vt:variant>
      <vt:variant>
        <vt:lpwstr/>
      </vt:variant>
      <vt:variant>
        <vt:i4>2097251</vt:i4>
      </vt:variant>
      <vt:variant>
        <vt:i4>9</vt:i4>
      </vt:variant>
      <vt:variant>
        <vt:i4>0</vt:i4>
      </vt:variant>
      <vt:variant>
        <vt:i4>5</vt:i4>
      </vt:variant>
      <vt:variant>
        <vt:lpwstr>https://europa.eu/eurobarometer/surveys/detail/2244</vt:lpwstr>
      </vt:variant>
      <vt:variant>
        <vt:lpwstr/>
      </vt:variant>
      <vt:variant>
        <vt:i4>4849673</vt:i4>
      </vt:variant>
      <vt:variant>
        <vt:i4>6</vt:i4>
      </vt:variant>
      <vt:variant>
        <vt:i4>0</vt:i4>
      </vt:variant>
      <vt:variant>
        <vt:i4>5</vt:i4>
      </vt:variant>
      <vt:variant>
        <vt:lpwstr>https://www.oecd-ilibrary.org/sites/54337c24-en/index.html?itemId=/content/component/54337c24-en</vt:lpwstr>
      </vt:variant>
      <vt:variant>
        <vt:lpwstr/>
      </vt:variant>
      <vt:variant>
        <vt:i4>2097251</vt:i4>
      </vt:variant>
      <vt:variant>
        <vt:i4>3</vt:i4>
      </vt:variant>
      <vt:variant>
        <vt:i4>0</vt:i4>
      </vt:variant>
      <vt:variant>
        <vt:i4>5</vt:i4>
      </vt:variant>
      <vt:variant>
        <vt:lpwstr>https://europa.eu/eurobarometer/surveys/detail/2244</vt:lpwstr>
      </vt:variant>
      <vt:variant>
        <vt:lpwstr/>
      </vt:variant>
      <vt:variant>
        <vt:i4>65585</vt:i4>
      </vt:variant>
      <vt:variant>
        <vt:i4>0</vt:i4>
      </vt:variant>
      <vt:variant>
        <vt:i4>0</vt:i4>
      </vt:variant>
      <vt:variant>
        <vt:i4>5</vt:i4>
      </vt:variant>
      <vt:variant>
        <vt:lpwstr>https://single-market-economy.ec.europa.eu/smes/sme-strategy/sme-performance-review_en.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2023-09-12T07:26:00Z</dcterms:created>
  <dcterms:modified xsi:type="dcterms:W3CDTF">2023-09-12T13:54:00Z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2023-09-11T15:32:27Z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003c43de-d505-46d2-869a-09f2a7d3455b</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