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2A2FA9" w14:textId="4587EABB" w:rsidR="00657EC6" w:rsidRPr="00182C98" w:rsidRDefault="0001743B" w:rsidP="0001743B">
      <w:pPr>
        <w:pStyle w:val="Pagedecouverture"/>
        <w:rPr>
          <w:noProof/>
        </w:rPr>
      </w:pPr>
      <w:bookmarkStart w:id="0" w:name="LW_BM_COVERPAGE"/>
      <w:r>
        <w:rPr>
          <w:noProof/>
        </w:rPr>
        <w:pict w14:anchorId="539F4B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28C11D54-A3CB-4AD1-A51A-4AA8773DE807" style="width:455.25pt;height:324pt">
            <v:imagedata r:id="rId8" o:title=""/>
          </v:shape>
        </w:pict>
      </w:r>
    </w:p>
    <w:bookmarkEnd w:id="0"/>
    <w:p w14:paraId="714F17A2" w14:textId="77777777" w:rsidR="00657EC6" w:rsidRPr="00182C98" w:rsidRDefault="00657EC6" w:rsidP="00837960">
      <w:pPr>
        <w:rPr>
          <w:noProof/>
        </w:rPr>
        <w:sectPr w:rsidR="00657EC6" w:rsidRPr="00182C98" w:rsidSect="0001743B">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21AD803" w14:textId="3F4A2AAD" w:rsidR="00C369D3" w:rsidRPr="00C369D3" w:rsidRDefault="00C369D3" w:rsidP="00C369D3">
      <w:pPr>
        <w:pStyle w:val="Typedudocument"/>
        <w:rPr>
          <w:noProof/>
        </w:rPr>
      </w:pPr>
      <w:bookmarkStart w:id="1" w:name="_GoBack"/>
      <w:bookmarkEnd w:id="1"/>
      <w:r w:rsidRPr="00C369D3">
        <w:rPr>
          <w:noProof/>
        </w:rPr>
        <w:lastRenderedPageBreak/>
        <w:t>COMUNICARE A COMISIEI CĂTRE PARLAMENTUL EUROPEAN, CONSILIU, COMITETUL ECONOMIC ȘI SOCIAL EUROPEAN ȘI COMITETUL REGIUNILOR</w:t>
      </w:r>
    </w:p>
    <w:p w14:paraId="058BFF13" w14:textId="36CFE18D" w:rsidR="00C369D3" w:rsidRPr="00C369D3" w:rsidRDefault="00C369D3" w:rsidP="00C369D3">
      <w:pPr>
        <w:pStyle w:val="Titreobjet"/>
        <w:rPr>
          <w:noProof/>
        </w:rPr>
      </w:pPr>
      <w:r w:rsidRPr="00C369D3">
        <w:rPr>
          <w:noProof/>
        </w:rPr>
        <w:t>Pachetul de măsuri de ajutorare a IMM-urilor</w:t>
      </w:r>
    </w:p>
    <w:p w14:paraId="0F15A9EC" w14:textId="66F5FA30" w:rsidR="00923093" w:rsidRPr="00182C98" w:rsidRDefault="00A44DD1" w:rsidP="00D71213">
      <w:pPr>
        <w:pStyle w:val="Heading1"/>
        <w:rPr>
          <w:noProof/>
        </w:rPr>
      </w:pPr>
      <w:r w:rsidRPr="00182C98">
        <w:rPr>
          <w:noProof/>
        </w:rPr>
        <w:t>Întreprinderile mici contează</w:t>
      </w:r>
    </w:p>
    <w:p w14:paraId="1A67FAC5" w14:textId="59D7E0F5" w:rsidR="007C48E0" w:rsidRPr="00182C98" w:rsidRDefault="212E1CED" w:rsidP="007C48E0">
      <w:pPr>
        <w:rPr>
          <w:b/>
          <w:bCs/>
          <w:noProof/>
        </w:rPr>
      </w:pPr>
      <w:r w:rsidRPr="00182C98">
        <w:rPr>
          <w:b/>
          <w:noProof/>
        </w:rPr>
        <w:t>Întreprinderile mici și mijlocii (IMM-urile) sunt esențiale pentru structura economică și socială a Europei.</w:t>
      </w:r>
      <w:r w:rsidRPr="00182C98">
        <w:rPr>
          <w:noProof/>
        </w:rPr>
        <w:t xml:space="preserve"> Cele 24 de milioane de IMM-uri europene reprezintă 99 % din totalul întreprinderilor din UE, asigură două treimi din locurile de muncă din sectorul privat din UE</w:t>
      </w:r>
      <w:r w:rsidRPr="00182C98">
        <w:rPr>
          <w:rFonts w:eastAsiaTheme="minorEastAsia"/>
          <w:noProof/>
          <w:vertAlign w:val="superscript"/>
        </w:rPr>
        <w:footnoteReference w:id="2"/>
      </w:r>
      <w:r w:rsidRPr="00182C98">
        <w:rPr>
          <w:noProof/>
        </w:rPr>
        <w:t xml:space="preserve"> și sunt adânc înrădăcinate în comunitățile locale, în special în zonele rurale</w:t>
      </w:r>
      <w:r w:rsidRPr="00182C98">
        <w:rPr>
          <w:rStyle w:val="FootnoteReference"/>
          <w:noProof/>
        </w:rPr>
        <w:footnoteReference w:id="3"/>
      </w:r>
      <w:r w:rsidRPr="00182C98">
        <w:rPr>
          <w:noProof/>
        </w:rPr>
        <w:t>. Ele reprezintă mai mult de jumătate din valoarea adăugată în sectorul întreprinderilor nefinanciare din UE și constituie terenul fertil al Europei pentru inovare</w:t>
      </w:r>
      <w:r w:rsidRPr="00182C98">
        <w:rPr>
          <w:rStyle w:val="FootnoteReference"/>
          <w:rFonts w:eastAsia="Times"/>
          <w:noProof/>
          <w:color w:val="000000" w:themeColor="text1"/>
        </w:rPr>
        <w:footnoteReference w:id="4"/>
      </w:r>
      <w:r w:rsidRPr="00182C98">
        <w:rPr>
          <w:noProof/>
        </w:rPr>
        <w:t>, diversitate și egalitate</w:t>
      </w:r>
      <w:r w:rsidRPr="00182C98">
        <w:rPr>
          <w:rStyle w:val="FootnoteReference"/>
          <w:rFonts w:eastAsia="Times"/>
          <w:noProof/>
        </w:rPr>
        <w:footnoteReference w:id="5"/>
      </w:r>
      <w:r w:rsidRPr="00182C98">
        <w:rPr>
          <w:noProof/>
        </w:rPr>
        <w:t>. IMM-urile sunt esențiale pentru dubla tranziție verde și digitală a Europei</w:t>
      </w:r>
      <w:r w:rsidRPr="00182C98">
        <w:rPr>
          <w:rFonts w:eastAsia="Times New Roman"/>
          <w:noProof/>
          <w:color w:val="000000" w:themeColor="text1"/>
          <w:vertAlign w:val="superscript"/>
        </w:rPr>
        <w:footnoteReference w:id="6"/>
      </w:r>
      <w:r w:rsidRPr="00182C98">
        <w:rPr>
          <w:noProof/>
          <w:vertAlign w:val="superscript"/>
        </w:rPr>
        <w:t xml:space="preserve"> </w:t>
      </w:r>
      <w:r w:rsidRPr="00182C98">
        <w:rPr>
          <w:noProof/>
        </w:rPr>
        <w:t>și pentru prosperitatea sa pe termen lung.</w:t>
      </w:r>
      <w:r w:rsidRPr="00182C98">
        <w:rPr>
          <w:b/>
          <w:noProof/>
        </w:rPr>
        <w:t xml:space="preserve"> </w:t>
      </w:r>
    </w:p>
    <w:p w14:paraId="324F2C2A" w14:textId="7917D60D" w:rsidR="00804C4A" w:rsidRPr="00182C98" w:rsidRDefault="00747BEA" w:rsidP="00837960">
      <w:pPr>
        <w:rPr>
          <w:noProof/>
        </w:rPr>
      </w:pPr>
      <w:r w:rsidRPr="00182C98">
        <w:rPr>
          <w:b/>
          <w:noProof/>
        </w:rPr>
        <w:t>Ca atare, IMM-urile au reprezentat o prioritate constantă în cadrul politicii Comisiei, cu atât mai mult de la lansarea Strategiei pentru IMM-uri din 2020</w:t>
      </w:r>
      <w:r w:rsidRPr="00182C98">
        <w:rPr>
          <w:rStyle w:val="FootnoteReference"/>
          <w:b/>
          <w:bCs/>
          <w:noProof/>
        </w:rPr>
        <w:footnoteReference w:id="7"/>
      </w:r>
      <w:r w:rsidRPr="00182C98">
        <w:rPr>
          <w:b/>
          <w:noProof/>
        </w:rPr>
        <w:t>.</w:t>
      </w:r>
      <w:r w:rsidRPr="00182C98">
        <w:rPr>
          <w:noProof/>
        </w:rPr>
        <w:t xml:space="preserve"> Prin cadrul financiar multianual actual (2021-2027) și prin Next Generation EU</w:t>
      </w:r>
      <w:r w:rsidRPr="00182C98">
        <w:rPr>
          <w:rStyle w:val="FootnoteReference"/>
          <w:noProof/>
        </w:rPr>
        <w:footnoteReference w:id="8"/>
      </w:r>
      <w:r w:rsidRPr="00182C98">
        <w:rPr>
          <w:noProof/>
        </w:rPr>
        <w:t>, Comisia preconizează să pună la dispoziția IMM-urilor peste 200 de miliarde EUR în cadrul diferitelor sale programe de finanțare. Într-o perioadă de crize succesive, redresarea susținută și reziliența IMM-urilor au reprezentat o prioritate-cheie. Mecanismul de redresare și reziliență (MRR)</w:t>
      </w:r>
      <w:r w:rsidRPr="00182C98">
        <w:rPr>
          <w:rStyle w:val="FootnoteReference"/>
          <w:noProof/>
        </w:rPr>
        <w:footnoteReference w:id="9"/>
      </w:r>
      <w:r w:rsidRPr="00182C98">
        <w:rPr>
          <w:noProof/>
        </w:rPr>
        <w:t xml:space="preserve"> oferă IMM-urilor un sprijin fără precedent în valoare de până la 45 de miliarde EUR</w:t>
      </w:r>
      <w:r w:rsidRPr="00182C98">
        <w:rPr>
          <w:rStyle w:val="FootnoteReference"/>
          <w:rFonts w:eastAsiaTheme="minorEastAsia"/>
          <w:noProof/>
          <w:color w:val="000000" w:themeColor="text1"/>
        </w:rPr>
        <w:footnoteReference w:id="10"/>
      </w:r>
      <w:r w:rsidRPr="00182C98">
        <w:rPr>
          <w:noProof/>
        </w:rPr>
        <w:t>, pe lângă un total de 65 de miliarde EUR din fondurile politicii de coeziune</w:t>
      </w:r>
      <w:r w:rsidRPr="00182C98">
        <w:rPr>
          <w:rStyle w:val="FootnoteReference"/>
          <w:noProof/>
        </w:rPr>
        <w:footnoteReference w:id="11"/>
      </w:r>
      <w:r w:rsidRPr="00182C98">
        <w:rPr>
          <w:noProof/>
        </w:rPr>
        <w:t>. IMM-urile au fost, de asemenea, principalii beneficiari ai Instrumentului european de sprijin temporar pentru atenuarea riscurilor de șomaj într-o situație de urgență (SURE), conceput pentru a proteja locurile de muncă și veniturile afectate de pandemia de COVID-19. În plus, interesele IMM-urilor s-au aflat în centrul cadrului temporar al Comisiei privind ajutoarele de stat</w:t>
      </w:r>
      <w:r w:rsidRPr="00182C98">
        <w:rPr>
          <w:rStyle w:val="FootnoteReference"/>
          <w:noProof/>
        </w:rPr>
        <w:footnoteReference w:id="12"/>
      </w:r>
      <w:r w:rsidRPr="00182C98">
        <w:rPr>
          <w:noProof/>
        </w:rPr>
        <w:t>, ceea ce a permis statelor membre să ofere sprijinul necesar întreprinderilor aflate în dificultate, asigurând în același timp egalitatea de tratament și limitând denaturările nejustificate ale concurenței care ar submina piața unică.</w:t>
      </w:r>
    </w:p>
    <w:p w14:paraId="06AACC4E" w14:textId="6F9BF513" w:rsidR="009F72CB" w:rsidRPr="00182C98" w:rsidRDefault="00A913CA" w:rsidP="00837960">
      <w:pPr>
        <w:rPr>
          <w:noProof/>
        </w:rPr>
      </w:pPr>
      <w:r w:rsidRPr="00182C98">
        <w:rPr>
          <w:b/>
          <w:noProof/>
        </w:rPr>
        <w:t>O serie de acțiuni au ajutat IMM-urile europene să profite de noile oportunități de piață oferite de tranziția verde și cea digitală și de cooperarea transsectorială și transfrontalieră.</w:t>
      </w:r>
      <w:r w:rsidRPr="00182C98">
        <w:rPr>
          <w:noProof/>
        </w:rPr>
        <w:t xml:space="preserve"> De la crearea unui număr de 150 de centre de inovare digitală pe întregul continent până la instituirea unei rețele de consilieri în materie de durabilitate pentru IMM-uri</w:t>
      </w:r>
      <w:r w:rsidRPr="00182C98">
        <w:rPr>
          <w:rStyle w:val="FootnoteReference"/>
          <w:noProof/>
        </w:rPr>
        <w:footnoteReference w:id="13"/>
      </w:r>
      <w:r w:rsidRPr="00182C98">
        <w:rPr>
          <w:noProof/>
        </w:rPr>
        <w:t>, de la lansarea unor căi de tranziție pentru ecosistemele industriale ale Europei</w:t>
      </w:r>
      <w:r w:rsidRPr="00182C98">
        <w:rPr>
          <w:rStyle w:val="FootnoteReference"/>
          <w:noProof/>
        </w:rPr>
        <w:footnoteReference w:id="14"/>
      </w:r>
      <w:r w:rsidRPr="00182C98">
        <w:rPr>
          <w:noProof/>
        </w:rPr>
        <w:t xml:space="preserve"> până la reformarea organizării pieței energiei electrice</w:t>
      </w:r>
      <w:r w:rsidRPr="00182C98">
        <w:rPr>
          <w:rStyle w:val="FootnoteReference"/>
          <w:noProof/>
        </w:rPr>
        <w:footnoteReference w:id="15"/>
      </w:r>
      <w:r w:rsidRPr="00182C98">
        <w:rPr>
          <w:noProof/>
        </w:rPr>
        <w:t>, de la sprijinirea accesului IMM-urilor la date în condiții echitabile</w:t>
      </w:r>
      <w:r w:rsidRPr="00182C98">
        <w:rPr>
          <w:rStyle w:val="FootnoteReference"/>
          <w:noProof/>
        </w:rPr>
        <w:footnoteReference w:id="16"/>
      </w:r>
      <w:r w:rsidRPr="00182C98">
        <w:rPr>
          <w:noProof/>
        </w:rPr>
        <w:t xml:space="preserve"> până la mobilizarea capitalului de risc pentru întreprinderile nou-înființate și pentru IMM-urile din domenii strategice precum spațiul</w:t>
      </w:r>
      <w:r w:rsidRPr="00182C98">
        <w:rPr>
          <w:rStyle w:val="FootnoteReference"/>
          <w:noProof/>
        </w:rPr>
        <w:footnoteReference w:id="17"/>
      </w:r>
      <w:r w:rsidRPr="00182C98">
        <w:rPr>
          <w:noProof/>
        </w:rPr>
        <w:t xml:space="preserve"> și de la consolidarea internaționalizării</w:t>
      </w:r>
      <w:r w:rsidRPr="00182C98">
        <w:rPr>
          <w:rStyle w:val="FootnoteReference"/>
          <w:noProof/>
        </w:rPr>
        <w:footnoteReference w:id="18"/>
      </w:r>
      <w:r w:rsidRPr="00182C98">
        <w:rPr>
          <w:noProof/>
        </w:rPr>
        <w:t xml:space="preserve"> și a comerțului</w:t>
      </w:r>
      <w:r w:rsidRPr="00182C98">
        <w:rPr>
          <w:rStyle w:val="FootnoteReference"/>
          <w:noProof/>
        </w:rPr>
        <w:footnoteReference w:id="19"/>
      </w:r>
      <w:r w:rsidRPr="00182C98">
        <w:rPr>
          <w:noProof/>
        </w:rPr>
        <w:t>, sporind oportunitățile de afaceri prin intermediul inițiativei Global Gateway</w:t>
      </w:r>
      <w:r w:rsidRPr="00182C98">
        <w:rPr>
          <w:rStyle w:val="FootnoteReference"/>
          <w:noProof/>
        </w:rPr>
        <w:footnoteReference w:id="20"/>
      </w:r>
      <w:r w:rsidRPr="00182C98">
        <w:rPr>
          <w:noProof/>
        </w:rPr>
        <w:t>, până la protejarea activelor de proprietate intelectuală</w:t>
      </w:r>
      <w:r w:rsidRPr="00182C98">
        <w:rPr>
          <w:rStyle w:val="FootnoteReference"/>
          <w:noProof/>
        </w:rPr>
        <w:footnoteReference w:id="21"/>
      </w:r>
      <w:r w:rsidRPr="00182C98">
        <w:rPr>
          <w:noProof/>
        </w:rPr>
        <w:t>, nevoile IMM-urilor au fost în prim-planul activităților desfășurate de Comisie.</w:t>
      </w:r>
    </w:p>
    <w:p w14:paraId="319053DF" w14:textId="39DC2058" w:rsidR="004E1EA7" w:rsidRPr="00182C98" w:rsidRDefault="00471AE3" w:rsidP="004E1EA7">
      <w:pPr>
        <w:rPr>
          <w:noProof/>
        </w:rPr>
      </w:pPr>
      <w:r w:rsidRPr="00182C98">
        <w:rPr>
          <w:b/>
          <w:noProof/>
        </w:rPr>
        <w:t xml:space="preserve">Cu toate acestea, IMM-urile se confruntă cu incertitudini majore, cu constrângeri în materie de aprovizionare, cu deficite de forță de muncă și cu o concurență nu întotdeauna loială. </w:t>
      </w:r>
      <w:r w:rsidRPr="00182C98">
        <w:rPr>
          <w:noProof/>
        </w:rPr>
        <w:t>Volatilitatea și imprevizibilitatea în contextul economic actual au îngreunat activitatea IMM-urilor. În anumite perioade din 2021 și 2022, IMM-urile s-au confruntat cu dificultăți în ceea ce privește angajarea de personal nou pentru a face față unei creșteri puternice a cererii. În plus, ele s-au confruntat cu costuri mai mari ale energiei, cauzate de războiul de agresiune al Rusiei împotriva Ucrainei, în timp ce creșterea rapidă a prețurilor materiilor prime a exercitat o presiune și mai mare asupra întreprinderilor mici. Creșterea ratelor dobânzii a îngreunat, de asemenea, accesul IMM-urilor la finanțare.</w:t>
      </w:r>
    </w:p>
    <w:p w14:paraId="08EE5274" w14:textId="4CD1A610" w:rsidR="004E1EA7" w:rsidRPr="00182C98" w:rsidRDefault="004E1EA7" w:rsidP="004E1EA7">
      <w:pPr>
        <w:rPr>
          <w:noProof/>
        </w:rPr>
      </w:pPr>
      <w:r w:rsidRPr="00182C98">
        <w:rPr>
          <w:b/>
          <w:noProof/>
        </w:rPr>
        <w:t>Este posibil ca aceste dificultăți să persiste.</w:t>
      </w:r>
      <w:r w:rsidRPr="00182C98">
        <w:rPr>
          <w:noProof/>
        </w:rPr>
        <w:t xml:space="preserve"> Este extrem de important ca UE și statele membre să continue să sprijine IMM-urile fără întrerupere, să le ajute să își consolideze redresarea și să își valorifice întregul potențial, astfel încât toate acestea – de la magazinul de la colțul străzii și hotelul administrat în familie și până la întreprinderea nou-înființată din domeniul tehnologiei – să poată contribui în continuare la prosperitatea pe termen lung a Europei. </w:t>
      </w:r>
    </w:p>
    <w:p w14:paraId="0C8268BC" w14:textId="3FB06EC6" w:rsidR="00011D5A" w:rsidRPr="00182C98" w:rsidRDefault="00DE6824" w:rsidP="00837960">
      <w:pPr>
        <w:rPr>
          <w:noProof/>
        </w:rPr>
      </w:pPr>
      <w:r w:rsidRPr="00182C98">
        <w:rPr>
          <w:b/>
          <w:noProof/>
        </w:rPr>
        <w:t>Prin acest pachet de măsuri de ajutorare a IMM-urilor, Comisia urmărește să ofere ajutor pe termen scurt, să stimuleze competitivitatea și reziliența IMM-urilor pe termen lung și să promoveze un mediu de afaceri echitabil și favorabil IMM-urilor</w:t>
      </w:r>
      <w:r w:rsidRPr="00182C98">
        <w:rPr>
          <w:noProof/>
        </w:rPr>
        <w:t xml:space="preserve">. Acesta include: </w:t>
      </w:r>
    </w:p>
    <w:p w14:paraId="475163D9" w14:textId="2324D903" w:rsidR="009011FE" w:rsidRPr="00182C98" w:rsidRDefault="009578D9" w:rsidP="005F23A1">
      <w:pPr>
        <w:pStyle w:val="ListParagraph"/>
        <w:numPr>
          <w:ilvl w:val="0"/>
          <w:numId w:val="16"/>
        </w:numPr>
        <w:ind w:left="567" w:hanging="425"/>
        <w:rPr>
          <w:rFonts w:eastAsia="Calibri"/>
          <w:noProof/>
          <w:color w:val="000000" w:themeColor="text1"/>
        </w:rPr>
      </w:pPr>
      <w:r w:rsidRPr="00182C98">
        <w:rPr>
          <w:noProof/>
          <w:color w:val="000000" w:themeColor="text1"/>
        </w:rPr>
        <w:t xml:space="preserve">o propunere de regulament </w:t>
      </w:r>
      <w:r w:rsidRPr="00182C98">
        <w:rPr>
          <w:b/>
          <w:noProof/>
          <w:color w:val="000000" w:themeColor="text1"/>
        </w:rPr>
        <w:t>privind întârzierea în efectuarea plăților</w:t>
      </w:r>
      <w:r w:rsidRPr="00182C98">
        <w:rPr>
          <w:noProof/>
          <w:color w:val="000000" w:themeColor="text1"/>
        </w:rPr>
        <w:t xml:space="preserve">; </w:t>
      </w:r>
    </w:p>
    <w:p w14:paraId="33D912AD" w14:textId="77777777" w:rsidR="00537B7F" w:rsidRPr="00182C98" w:rsidRDefault="009578D9" w:rsidP="005F23A1">
      <w:pPr>
        <w:pStyle w:val="ListParagraph"/>
        <w:numPr>
          <w:ilvl w:val="0"/>
          <w:numId w:val="16"/>
        </w:numPr>
        <w:ind w:left="567" w:hanging="425"/>
        <w:rPr>
          <w:noProof/>
        </w:rPr>
      </w:pPr>
      <w:r w:rsidRPr="00182C98">
        <w:rPr>
          <w:noProof/>
        </w:rPr>
        <w:t xml:space="preserve">o propunere de </w:t>
      </w:r>
      <w:r w:rsidRPr="00182C98">
        <w:rPr>
          <w:b/>
          <w:noProof/>
        </w:rPr>
        <w:t>directivă privind simplificarea fiscală pentru IMM-uri</w:t>
      </w:r>
      <w:r w:rsidRPr="00182C98">
        <w:rPr>
          <w:noProof/>
        </w:rPr>
        <w:t xml:space="preserve">; </w:t>
      </w:r>
    </w:p>
    <w:p w14:paraId="1E83E0F0" w14:textId="6AAD25B7" w:rsidR="009011FE" w:rsidRPr="00182C98" w:rsidRDefault="009011FE" w:rsidP="005F23A1">
      <w:pPr>
        <w:pStyle w:val="ListParagraph"/>
        <w:numPr>
          <w:ilvl w:val="0"/>
          <w:numId w:val="16"/>
        </w:numPr>
        <w:ind w:left="567" w:hanging="425"/>
        <w:rPr>
          <w:noProof/>
        </w:rPr>
      </w:pPr>
      <w:r w:rsidRPr="00182C98">
        <w:rPr>
          <w:noProof/>
        </w:rPr>
        <w:t xml:space="preserve">un set de </w:t>
      </w:r>
      <w:r w:rsidRPr="00182C98">
        <w:rPr>
          <w:b/>
          <w:noProof/>
        </w:rPr>
        <w:t>măsuri</w:t>
      </w:r>
      <w:r w:rsidRPr="00182C98">
        <w:rPr>
          <w:noProof/>
        </w:rPr>
        <w:t xml:space="preserve"> menite să faciliteze activitatea IMM-urilor, să îmbunătățească accesul acestora la finanțare și la forță de muncă calificată și să le sprijine pe tot parcursul ciclului lor de viață.</w:t>
      </w:r>
    </w:p>
    <w:p w14:paraId="3EEEE845" w14:textId="4E5D66DA" w:rsidR="00D06C52" w:rsidRPr="00182C98" w:rsidRDefault="009011FE" w:rsidP="00FB2FB5">
      <w:pPr>
        <w:keepNext/>
        <w:keepLines/>
        <w:rPr>
          <w:noProof/>
        </w:rPr>
      </w:pPr>
      <w:r w:rsidRPr="00182C98">
        <w:rPr>
          <w:noProof/>
        </w:rPr>
        <w:t xml:space="preserve">Prezenta comunicare este însoțită de primul raport privind punerea în aplicare a </w:t>
      </w:r>
      <w:r w:rsidRPr="00182C98">
        <w:rPr>
          <w:b/>
          <w:noProof/>
        </w:rPr>
        <w:t>portalului digital unic</w:t>
      </w:r>
      <w:r w:rsidRPr="00182C98">
        <w:rPr>
          <w:noProof/>
        </w:rPr>
        <w:t xml:space="preserve"> și de o primă revizuire preliminară a Regulamentului privind relațiile dintre platforme și întreprinderi („</w:t>
      </w:r>
      <w:r w:rsidRPr="00182C98">
        <w:rPr>
          <w:b/>
          <w:noProof/>
        </w:rPr>
        <w:t>Regulamentul P2B</w:t>
      </w:r>
      <w:r w:rsidRPr="00182C98">
        <w:rPr>
          <w:noProof/>
        </w:rPr>
        <w:t>”)</w:t>
      </w:r>
      <w:r w:rsidRPr="00182C98">
        <w:rPr>
          <w:noProof/>
          <w:vertAlign w:val="superscript"/>
        </w:rPr>
        <w:footnoteReference w:id="22"/>
      </w:r>
      <w:r w:rsidRPr="00182C98">
        <w:rPr>
          <w:noProof/>
        </w:rPr>
        <w:t xml:space="preserve">. </w:t>
      </w:r>
    </w:p>
    <w:p w14:paraId="6701DF41" w14:textId="3AC3F460" w:rsidR="00131A40" w:rsidRPr="00182C98" w:rsidRDefault="00131A40" w:rsidP="00D71213">
      <w:pPr>
        <w:pStyle w:val="Heading1"/>
        <w:rPr>
          <w:noProof/>
        </w:rPr>
      </w:pPr>
      <w:r w:rsidRPr="00182C98">
        <w:rPr>
          <w:noProof/>
        </w:rPr>
        <w:t>Provocări: IMM-urile și redresarea lor susținută</w:t>
      </w:r>
    </w:p>
    <w:p w14:paraId="58F9E5F0" w14:textId="7596D020" w:rsidR="003F6F7E" w:rsidRPr="00182C98" w:rsidRDefault="00131A40" w:rsidP="00837960">
      <w:pPr>
        <w:rPr>
          <w:noProof/>
        </w:rPr>
      </w:pPr>
      <w:r w:rsidRPr="00182C98">
        <w:rPr>
          <w:b/>
          <w:noProof/>
        </w:rPr>
        <w:t>IMM-urile nu au revenit încă la nivelurile lor de performanță anterioare pandemiei.</w:t>
      </w:r>
      <w:r w:rsidRPr="00182C98">
        <w:rPr>
          <w:noProof/>
        </w:rPr>
        <w:t xml:space="preserve"> Atunci când este ajustată în funcție de inflație, se preconizează că valoarea adăugată a IMM-urilor pentru 2023 va rămâne cu 3,6 % (față de 1,8 % pentru întreprinderile mari) sub nivelul din 2019, în timp ce gradul de ocupare a forței de muncă în cadrul IMM-urilor abia a revenit la nivelurile anterioare crizei</w:t>
      </w:r>
      <w:r w:rsidRPr="00182C98">
        <w:rPr>
          <w:rStyle w:val="FootnoteReference"/>
          <w:noProof/>
        </w:rPr>
        <w:footnoteReference w:id="23"/>
      </w:r>
      <w:r w:rsidRPr="00182C98">
        <w:rPr>
          <w:noProof/>
        </w:rPr>
        <w:t>. În termeni reali, în 2022, IMM-urile din 12 dintre cele 14 ecosisteme industriale</w:t>
      </w:r>
      <w:r w:rsidRPr="00182C98">
        <w:rPr>
          <w:rStyle w:val="FootnoteReference"/>
          <w:noProof/>
        </w:rPr>
        <w:footnoteReference w:id="24"/>
      </w:r>
      <w:r w:rsidRPr="00182C98">
        <w:rPr>
          <w:noProof/>
        </w:rPr>
        <w:t xml:space="preserve"> au înregistrat o scădere a valorii adăugate, iar pentru 2023 se preconizează o scădere a valorii adăugate pentru IMM-urile din toate ecosistemele. </w:t>
      </w:r>
    </w:p>
    <w:p w14:paraId="2BC6C6D3" w14:textId="416E06EC" w:rsidR="003F6F7E" w:rsidRPr="00182C98" w:rsidRDefault="003F6F7E" w:rsidP="003F6F7E">
      <w:pPr>
        <w:pStyle w:val="Caption"/>
        <w:keepNext/>
        <w:rPr>
          <w:rFonts w:ascii="Times New Roman" w:hAnsi="Times New Roman"/>
          <w:noProof/>
        </w:rPr>
      </w:pPr>
      <w:r w:rsidRPr="00182C98">
        <w:rPr>
          <w:rFonts w:ascii="Times New Roman" w:hAnsi="Times New Roman"/>
          <w:noProof/>
        </w:rPr>
        <w:t xml:space="preserve">Figura </w:t>
      </w:r>
      <w:r w:rsidRPr="00182C98">
        <w:rPr>
          <w:rFonts w:ascii="Times New Roman" w:hAnsi="Times New Roman"/>
          <w:noProof/>
          <w:color w:val="2B579A"/>
        </w:rPr>
        <w:fldChar w:fldCharType="begin" w:fldLock="1"/>
      </w:r>
      <w:r w:rsidRPr="00182C98">
        <w:rPr>
          <w:rFonts w:ascii="Times New Roman" w:hAnsi="Times New Roman"/>
          <w:noProof/>
        </w:rPr>
        <w:instrText>SEQ Figure \* ARABIC</w:instrText>
      </w:r>
      <w:r w:rsidRPr="00182C98">
        <w:rPr>
          <w:rFonts w:ascii="Times New Roman" w:hAnsi="Times New Roman"/>
          <w:noProof/>
          <w:color w:val="2B579A"/>
        </w:rPr>
        <w:fldChar w:fldCharType="separate"/>
      </w:r>
      <w:r w:rsidRPr="00182C98">
        <w:rPr>
          <w:rFonts w:ascii="Times New Roman" w:hAnsi="Times New Roman"/>
          <w:noProof/>
        </w:rPr>
        <w:t>1</w:t>
      </w:r>
      <w:r w:rsidRPr="00182C98">
        <w:rPr>
          <w:rFonts w:ascii="Times New Roman" w:hAnsi="Times New Roman"/>
          <w:noProof/>
          <w:color w:val="2B579A"/>
        </w:rPr>
        <w:fldChar w:fldCharType="end"/>
      </w:r>
      <w:r w:rsidRPr="00182C98">
        <w:rPr>
          <w:rFonts w:ascii="Times New Roman" w:hAnsi="Times New Roman"/>
          <w:noProof/>
        </w:rPr>
        <w:t>: Principalele provocări pentru IMM-uri; sursa: Sondajul Eurobarometru Flash 486</w:t>
      </w:r>
    </w:p>
    <w:p w14:paraId="74E5AB9D" w14:textId="6F0E22EA" w:rsidR="00131A40" w:rsidRPr="00182C98" w:rsidRDefault="00B0206F" w:rsidP="00837960">
      <w:pPr>
        <w:rPr>
          <w:noProof/>
        </w:rPr>
      </w:pPr>
      <w:r w:rsidRPr="00B0206F">
        <w:rPr>
          <w:noProof/>
          <w:lang w:val="en-GB" w:eastAsia="en-GB"/>
        </w:rPr>
        <w:drawing>
          <wp:inline distT="0" distB="0" distL="0" distR="0" wp14:anchorId="5E63DD87" wp14:editId="1570655D">
            <wp:extent cx="5760720" cy="25006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2500674"/>
                    </a:xfrm>
                    <a:prstGeom prst="rect">
                      <a:avLst/>
                    </a:prstGeom>
                    <a:noFill/>
                    <a:ln>
                      <a:noFill/>
                    </a:ln>
                  </pic:spPr>
                </pic:pic>
              </a:graphicData>
            </a:graphic>
          </wp:inline>
        </w:drawing>
      </w:r>
    </w:p>
    <w:p w14:paraId="350B73B0" w14:textId="42197E01" w:rsidR="00131A40" w:rsidRPr="00182C98" w:rsidRDefault="002E04FA" w:rsidP="00837960">
      <w:pPr>
        <w:rPr>
          <w:noProof/>
        </w:rPr>
      </w:pPr>
      <w:r w:rsidRPr="00182C98">
        <w:rPr>
          <w:rStyle w:val="normaltextrun"/>
          <w:b/>
          <w:noProof/>
        </w:rPr>
        <w:t xml:space="preserve">Sarcina administrativă sau obstacolele de reglementare se numără printre cele mai mari probleme cu care se confruntă 55 % dintre </w:t>
      </w:r>
      <w:r w:rsidRPr="00182C98">
        <w:rPr>
          <w:b/>
          <w:noProof/>
        </w:rPr>
        <w:t>IMM-uri</w:t>
      </w:r>
      <w:r w:rsidRPr="00182C98">
        <w:rPr>
          <w:rStyle w:val="FootnoteReference"/>
          <w:noProof/>
        </w:rPr>
        <w:footnoteReference w:id="25"/>
      </w:r>
      <w:r w:rsidRPr="00182C98">
        <w:rPr>
          <w:noProof/>
        </w:rPr>
        <w:t>. Un mediu de reglementare previzibil, o bună guvernanță și un cadru instituțional eficient contribuie la consolidarea competitivității, la asigurarea echității și la acordarea de ajutor.</w:t>
      </w:r>
    </w:p>
    <w:p w14:paraId="7189D1F8" w14:textId="77777777" w:rsidR="00EA24F6" w:rsidRPr="00182C98" w:rsidRDefault="002E04FA" w:rsidP="00837960">
      <w:pPr>
        <w:rPr>
          <w:noProof/>
        </w:rPr>
      </w:pPr>
      <w:r w:rsidRPr="00182C98">
        <w:rPr>
          <w:b/>
          <w:noProof/>
        </w:rPr>
        <w:t>Întârzierile în efectuarea plăților cu care se confruntă IMM-urile împiedică competitivitatea, sporesc incertitudinea și, în cazul achizițiilor publice, descurajează participarea.</w:t>
      </w:r>
      <w:r w:rsidRPr="00182C98">
        <w:rPr>
          <w:noProof/>
        </w:rPr>
        <w:t xml:space="preserve"> În orice întreprindere afectată, ele sporesc nevoile de capital circulant și costurile de finanțare, determină creșterea costurilor din cauza timpului petrecut pentru urmărirea debitorilor și, prin urmare, reduc capacitatea de a investi. </w:t>
      </w:r>
    </w:p>
    <w:p w14:paraId="30F2CD68" w14:textId="3A051F2D" w:rsidR="00131A40" w:rsidRPr="00182C98" w:rsidRDefault="00EB2C4F" w:rsidP="00837960">
      <w:pPr>
        <w:rPr>
          <w:noProof/>
        </w:rPr>
      </w:pPr>
      <w:r w:rsidRPr="00182C98">
        <w:rPr>
          <w:b/>
          <w:noProof/>
        </w:rPr>
        <w:t>Accesul la finanțare</w:t>
      </w:r>
      <w:r w:rsidRPr="00182C98">
        <w:rPr>
          <w:noProof/>
        </w:rPr>
        <w:t xml:space="preserve"> necesită mai multe eforturi din partea întreprinderilor mici decât din partea întreprinderilor mari. Incertitudinea sporită și costurile mai mari de finanțare reduc capacitatea IMM-urilor de a investi. La sfârșitul anului 2022, IMM-urile se așteptau la o deteriorare iminentă a disponibilității tuturor tipurilor de finanțare</w:t>
      </w:r>
      <w:r w:rsidRPr="00182C98">
        <w:rPr>
          <w:rStyle w:val="FootnoteReference"/>
          <w:noProof/>
        </w:rPr>
        <w:footnoteReference w:id="26"/>
      </w:r>
      <w:r w:rsidRPr="00182C98">
        <w:rPr>
          <w:noProof/>
        </w:rPr>
        <w:t>.</w:t>
      </w:r>
    </w:p>
    <w:p w14:paraId="6DBEE219" w14:textId="2436881F" w:rsidR="00131A40" w:rsidRPr="00182C98" w:rsidRDefault="00131A40" w:rsidP="00837960">
      <w:pPr>
        <w:rPr>
          <w:noProof/>
        </w:rPr>
      </w:pPr>
      <w:r w:rsidRPr="00182C98">
        <w:rPr>
          <w:b/>
          <w:noProof/>
        </w:rPr>
        <w:t>Disponibilitatea personalului calificat sau a cadrelor de conducere cu experiență a ajuns recent să reprezinte cea mai importantă problemă pentru 27 % dintre IMM-urile din UE</w:t>
      </w:r>
      <w:r w:rsidRPr="00182C98">
        <w:rPr>
          <w:rStyle w:val="FootnoteReference"/>
          <w:noProof/>
        </w:rPr>
        <w:footnoteReference w:id="27"/>
      </w:r>
      <w:r w:rsidRPr="00182C98">
        <w:rPr>
          <w:noProof/>
        </w:rPr>
        <w:t>, iar 70 % dintre IMM-uri raportează o creștere a costurilor cu forța de muncă</w:t>
      </w:r>
      <w:r w:rsidRPr="00182C98">
        <w:rPr>
          <w:rStyle w:val="FootnoteReference"/>
          <w:noProof/>
        </w:rPr>
        <w:footnoteReference w:id="28"/>
      </w:r>
      <w:r w:rsidRPr="00182C98">
        <w:rPr>
          <w:noProof/>
        </w:rPr>
        <w:t>. Rezultatele Eurobarometrului privind competențele</w:t>
      </w:r>
      <w:r w:rsidRPr="00182C98">
        <w:rPr>
          <w:noProof/>
          <w:vertAlign w:val="superscript"/>
        </w:rPr>
        <w:footnoteReference w:id="29"/>
      </w:r>
      <w:r w:rsidRPr="00182C98">
        <w:rPr>
          <w:noProof/>
        </w:rPr>
        <w:t>, prezentat în paralel cu prezenta comunicare, arată că deficitul de competențe frânează activitățile comerciale pentru 63 % dintre IMM-uri și, de asemenea, împiedică eforturile acestora de digitalizare (pentru 45 % dintre IMM-uri) și de înverzire (pentru 39 % dintre IMM-uri).</w:t>
      </w:r>
    </w:p>
    <w:p w14:paraId="4C4F5FB9" w14:textId="16139BEC" w:rsidR="00083043" w:rsidRPr="00182C98" w:rsidRDefault="00083043" w:rsidP="00837960">
      <w:pPr>
        <w:rPr>
          <w:noProof/>
        </w:rPr>
      </w:pPr>
      <w:r w:rsidRPr="00182C98">
        <w:rPr>
          <w:noProof/>
        </w:rPr>
        <w:t>Aceste provocări vor face obiectul acțiunilor prezentate în prezentul pachet de măsuri de ajutorare a IMM-urilor, astfel cum sunt descrise mai jos.</w:t>
      </w:r>
    </w:p>
    <w:p w14:paraId="2D6B6BD2" w14:textId="19449D1C" w:rsidR="007C742F" w:rsidRPr="00182C98" w:rsidRDefault="00356744" w:rsidP="00242478">
      <w:pPr>
        <w:pStyle w:val="Heading1"/>
        <w:rPr>
          <w:noProof/>
        </w:rPr>
      </w:pPr>
      <w:r w:rsidRPr="00182C98">
        <w:rPr>
          <w:noProof/>
        </w:rPr>
        <w:t>Ajutor pentru IMM-uri: sprijinirea IMM-urilor pentru a-și putea desfășura activitatea în vremuri dificile</w:t>
      </w:r>
    </w:p>
    <w:p w14:paraId="665F7B6C" w14:textId="77777777" w:rsidR="00356744" w:rsidRPr="00182C98" w:rsidRDefault="00356744" w:rsidP="00240DD4">
      <w:pPr>
        <w:pStyle w:val="Heading2"/>
        <w:spacing w:after="240"/>
        <w:rPr>
          <w:noProof/>
        </w:rPr>
      </w:pPr>
      <w:r w:rsidRPr="00182C98">
        <w:rPr>
          <w:noProof/>
        </w:rPr>
        <w:t>Facilități pentru IMM-uri</w:t>
      </w:r>
    </w:p>
    <w:p w14:paraId="671B9E50" w14:textId="77777777" w:rsidR="00FD25A4" w:rsidRPr="00182C98" w:rsidRDefault="00FD25A4" w:rsidP="00240DD4">
      <w:pPr>
        <w:pStyle w:val="Heading3"/>
        <w:spacing w:before="240"/>
        <w:ind w:left="861"/>
        <w:rPr>
          <w:noProof/>
        </w:rPr>
      </w:pPr>
      <w:r w:rsidRPr="00182C98">
        <w:rPr>
          <w:noProof/>
        </w:rPr>
        <w:t xml:space="preserve">Simplificarea impozitelor </w:t>
      </w:r>
    </w:p>
    <w:p w14:paraId="6F3F662F" w14:textId="6440021F" w:rsidR="00FB2FB5" w:rsidRPr="00182C98" w:rsidRDefault="00FD25A4" w:rsidP="00FD25A4">
      <w:pPr>
        <w:rPr>
          <w:noProof/>
        </w:rPr>
      </w:pPr>
      <w:r w:rsidRPr="00182C98">
        <w:rPr>
          <w:b/>
          <w:noProof/>
        </w:rPr>
        <w:t xml:space="preserve">Întreprinderile, în special cele care desfășoară activități transfrontaliere, se confruntă cu un mediu complex și costuri de conformare ridicate ca urmare a faptului că trebuie să respecte </w:t>
      </w:r>
      <w:r w:rsidRPr="00182C98">
        <w:rPr>
          <w:noProof/>
        </w:rPr>
        <w:t>sisteme</w:t>
      </w:r>
      <w:r w:rsidRPr="00182C98">
        <w:rPr>
          <w:b/>
          <w:noProof/>
        </w:rPr>
        <w:t xml:space="preserve"> diferite de impozitare a societăților atunci când desfășoară activități în mai multe state membre.</w:t>
      </w:r>
      <w:r w:rsidRPr="00182C98">
        <w:rPr>
          <w:noProof/>
        </w:rPr>
        <w:t xml:space="preserve"> Prin urmare, în cadrul prezentului pachet de măsuri de ajutorare a IMM-urilor, Comisia propune o simplificare importantă în domeniul impozitării directe pentru IMM-urile care au creat o prezență fiscală într-un alt stat membru prin intermediul unui sediu permanent. Acestor IMM-uri li se va permite să calculeze baza de impozitare pentru sediile lor permanente din alte state membre în conformitate cu normele din statul membru în care își mențin sediul central și cu care sunt cel mai familiarizate. Normele avute în vedere vor aduce beneficii în special IMM-urilor aflate într-un stadiu incipient al extinderii internaționale. În evaluarea impactului care însoțește propunerea se estimează că aceasta ar putea reduce costurile de conformare fiscală suportate de IMM-uri cu 32 %, ceea ce ar duce la economii în valoare totală de până la 3,4 miliarde EUR pe an. </w:t>
      </w:r>
    </w:p>
    <w:p w14:paraId="602E1A7B" w14:textId="79AFFB0F" w:rsidR="00FD25A4" w:rsidRPr="00182C98" w:rsidRDefault="00FD25A4" w:rsidP="00FD25A4">
      <w:pPr>
        <w:rPr>
          <w:noProof/>
        </w:rPr>
      </w:pPr>
      <w:r w:rsidRPr="00182C98">
        <w:rPr>
          <w:b/>
          <w:noProof/>
        </w:rPr>
        <w:t>În plus, pentru a reduce sarcina cu care se confruntă întreprinderile mici care desfășoară activități transfrontaliere în ceea ce privește TVA pe întregul teritoriu al UE, începând cu 1 ianuarie 2025 se vor aplica noi norme în materie de TVA</w:t>
      </w:r>
      <w:r w:rsidRPr="00182C98">
        <w:rPr>
          <w:rStyle w:val="FootnoteReference"/>
          <w:noProof/>
        </w:rPr>
        <w:footnoteReference w:id="30"/>
      </w:r>
      <w:r w:rsidRPr="00182C98">
        <w:rPr>
          <w:noProof/>
        </w:rPr>
        <w:t xml:space="preserve">. Întreprinderile mici eligibile vor avea opțiunea de a scuti de TVA livrările de bunuri și prestările de servicii efectuate în oricare alt stat membru al UE, în plus față de cele din statul membru de stabilire. </w:t>
      </w:r>
    </w:p>
    <w:tbl>
      <w:tblPr>
        <w:tblStyle w:val="TableGrid"/>
        <w:tblW w:w="0" w:type="auto"/>
        <w:tblLook w:val="04A0" w:firstRow="1" w:lastRow="0" w:firstColumn="1" w:lastColumn="0" w:noHBand="0" w:noVBand="1"/>
      </w:tblPr>
      <w:tblGrid>
        <w:gridCol w:w="9288"/>
      </w:tblGrid>
      <w:tr w:rsidR="00FD25A4" w:rsidRPr="00182C98" w14:paraId="77E356BF" w14:textId="77777777" w:rsidTr="007B0A4D">
        <w:tc>
          <w:tcPr>
            <w:tcW w:w="9288" w:type="dxa"/>
          </w:tcPr>
          <w:p w14:paraId="63BACD41" w14:textId="77777777" w:rsidR="00FD25A4" w:rsidRPr="00182C98" w:rsidRDefault="00FD25A4" w:rsidP="007B0A4D">
            <w:pPr>
              <w:rPr>
                <w:noProof/>
              </w:rPr>
            </w:pPr>
            <w:r w:rsidRPr="00182C98">
              <w:rPr>
                <w:i/>
                <w:noProof/>
              </w:rPr>
              <w:t>Comisia:</w:t>
            </w:r>
          </w:p>
          <w:p w14:paraId="10611806" w14:textId="27A49A82" w:rsidR="00FD25A4" w:rsidRPr="00182C98" w:rsidRDefault="00FD25A4" w:rsidP="007B0A4D">
            <w:pPr>
              <w:pStyle w:val="ListParagraph"/>
              <w:numPr>
                <w:ilvl w:val="0"/>
                <w:numId w:val="31"/>
              </w:numPr>
              <w:spacing w:after="120"/>
              <w:rPr>
                <w:noProof/>
              </w:rPr>
            </w:pPr>
            <w:r w:rsidRPr="00182C98">
              <w:rPr>
                <w:b/>
                <w:noProof/>
              </w:rPr>
              <w:t>Acțiunea 1</w:t>
            </w:r>
            <w:r w:rsidRPr="00182C98">
              <w:rPr>
                <w:noProof/>
              </w:rPr>
              <w:t xml:space="preserve">: va propune o directivă privind simplificarea fiscală care să instituie un sistem fiscal pentru sediile centrale ale IMM-urilor. </w:t>
            </w:r>
          </w:p>
        </w:tc>
      </w:tr>
    </w:tbl>
    <w:p w14:paraId="6783E2E8" w14:textId="77777777" w:rsidR="00FD25A4" w:rsidRPr="00182C98" w:rsidRDefault="00FD25A4" w:rsidP="00FD25A4">
      <w:pPr>
        <w:rPr>
          <w:noProof/>
        </w:rPr>
      </w:pPr>
    </w:p>
    <w:p w14:paraId="780ECA81" w14:textId="7C8F89DF" w:rsidR="00356744" w:rsidRPr="00182C98" w:rsidRDefault="00356744" w:rsidP="00837960">
      <w:pPr>
        <w:pStyle w:val="Heading3"/>
        <w:spacing w:before="240" w:after="120"/>
        <w:ind w:left="861"/>
        <w:rPr>
          <w:noProof/>
        </w:rPr>
      </w:pPr>
      <w:r w:rsidRPr="00182C98">
        <w:rPr>
          <w:noProof/>
        </w:rPr>
        <w:t>O mai bună legiferare pentru IMM-uri</w:t>
      </w:r>
    </w:p>
    <w:p w14:paraId="1F3BCD63" w14:textId="227BA89C" w:rsidR="00730FF2" w:rsidRPr="00182C98" w:rsidRDefault="003F4145" w:rsidP="00730FF2">
      <w:pPr>
        <w:rPr>
          <w:noProof/>
        </w:rPr>
      </w:pPr>
      <w:r w:rsidRPr="00182C98">
        <w:rPr>
          <w:b/>
          <w:noProof/>
        </w:rPr>
        <w:t>Comisia se angajează să asigure un mediu de reglementare favorabil întreprinderilor</w:t>
      </w:r>
      <w:r w:rsidRPr="00182C98">
        <w:rPr>
          <w:noProof/>
        </w:rPr>
        <w:t>, care să ajute IMM-urile să fie productive, competitive și reziliente. În 2021, Comisia a consolidat și mai mult testul IMM, un instrument care analizează impactul propunerilor asupra IMM-urilor, pentru a-și îmbunătăți în continuare analiza, precum și pentru a îmbunătăți raportarea cu privire la aceste impacturi</w:t>
      </w:r>
      <w:r w:rsidRPr="00182C98">
        <w:rPr>
          <w:rStyle w:val="FootnoteReference"/>
          <w:rFonts w:eastAsiaTheme="minorEastAsia"/>
          <w:noProof/>
        </w:rPr>
        <w:footnoteReference w:id="31"/>
      </w:r>
      <w:r w:rsidRPr="00182C98">
        <w:rPr>
          <w:noProof/>
        </w:rPr>
        <w:t>. În prezent, testul IMM trebuie efectuat și raportat într-un mod mai sistematic în toate rapoartele de evaluare a impactului, atunci când este proporțional cu relevanța unei inițiative pentru IMM-uri. Cu toate acestea, îmbunătățirea în continuare a aplicării testului IMM este atât fezabilă, cât și necesară: prin urmare, Comisia va da curs recomandărilor pe care platforma „Pregătiți pentru viitor”</w:t>
      </w:r>
      <w:r w:rsidRPr="00182C98">
        <w:rPr>
          <w:noProof/>
          <w:vertAlign w:val="superscript"/>
        </w:rPr>
        <w:footnoteReference w:id="32"/>
      </w:r>
      <w:r w:rsidRPr="00182C98">
        <w:rPr>
          <w:noProof/>
        </w:rPr>
        <w:t xml:space="preserve"> le va publica în cursul anului 2023 cu privire la aplicarea testului IMM pentru a asigura evaluări și mai detaliate și mai coerente ale impactului propunerilor sale legislative asupra IMM-urilor</w:t>
      </w:r>
      <w:r w:rsidRPr="00182C98">
        <w:rPr>
          <w:rStyle w:val="FootnoteReference"/>
          <w:noProof/>
        </w:rPr>
        <w:footnoteReference w:id="33"/>
      </w:r>
      <w:r w:rsidRPr="00182C98">
        <w:rPr>
          <w:noProof/>
        </w:rPr>
        <w:t xml:space="preserve">. </w:t>
      </w:r>
    </w:p>
    <w:p w14:paraId="0DF6FE41" w14:textId="22EEF795" w:rsidR="00DE0003" w:rsidRPr="00182C98" w:rsidRDefault="005E0ED8" w:rsidP="00837960">
      <w:pPr>
        <w:rPr>
          <w:rFonts w:eastAsia="Times New Roman"/>
          <w:noProof/>
        </w:rPr>
      </w:pPr>
      <w:r w:rsidRPr="00182C98">
        <w:rPr>
          <w:b/>
          <w:noProof/>
        </w:rPr>
        <w:t>80 % din totalul inițiativelor legislative ale UE sunt considerate relevante pentru IMM-uri, pe baza filtrului pentru IMM-uri</w:t>
      </w:r>
      <w:r w:rsidRPr="00182C98">
        <w:rPr>
          <w:noProof/>
          <w:vertAlign w:val="superscript"/>
        </w:rPr>
        <w:footnoteReference w:id="34"/>
      </w:r>
      <w:r w:rsidRPr="00182C98">
        <w:rPr>
          <w:noProof/>
        </w:rPr>
        <w:t>, un instrument utilizat în primele etape ale procesului de elaborare a politicilor și care reprezintă o parte esențială a testului IMM. Începând din ianuarie 2022, acest instrument a adus în prim-plan interesele IMM-urilor, în strânsă cooperare cu rețeaua reprezentanților pentru IMM-uri</w:t>
      </w:r>
      <w:r w:rsidRPr="00182C98">
        <w:rPr>
          <w:rStyle w:val="FootnoteReference"/>
          <w:rFonts w:eastAsiaTheme="minorEastAsia"/>
          <w:noProof/>
        </w:rPr>
        <w:footnoteReference w:id="35"/>
      </w:r>
      <w:r w:rsidRPr="00182C98">
        <w:rPr>
          <w:noProof/>
        </w:rPr>
        <w:t>. Acesta a fost consolidat și mai mult din martie 2023 odată cu noua verificare din perspectiva competitivității, care implică o raportare integrată în cadrul tuturor evaluărilor impactului cu privire la impactul competitivității asupra întreprinderilor, inclusiv asupra competitivității IMM-urilor. Comitetul de control normativ, organismul independent de supraveghere al Comisiei pentru controlul calității proiectelor de evaluări ale impactului și de evaluări, a fost extins prin alăturarea a doi membri, iar mandatul său a fost consolidat pentru a spori atenția acordată de acesta competitivității. Comitetul are acum obligația, pe lângă aplicarea principiului numărului constant (</w:t>
      </w:r>
      <w:r w:rsidRPr="00182C98">
        <w:rPr>
          <w:i/>
          <w:noProof/>
        </w:rPr>
        <w:t>one-in, one-out</w:t>
      </w:r>
      <w:r w:rsidRPr="00182C98">
        <w:rPr>
          <w:noProof/>
        </w:rPr>
        <w:t>) și integrarea dimensiunii prospective în evaluările impactului și evaluările Comisiei, să acorde o atenție deosebită impactului asupra competitivității. În acest sens, Comisia evaluează calitatea estimărilor de costuri și dacă rapoartele explorează suficient potențialul de simplificare a legislației și de reducere a sarcinii inutile pentru întreprinderi și cetățeni. În cadrul următoarei sale reuniuni anuale cu organismele de supraveghere, comitetul va aprofunda discuțiile privind impactul asupra competitivității și impactul asupra IMM-urilor, făcând schimb de bune practici cu alți controlori ai UE</w:t>
      </w:r>
      <w:r w:rsidRPr="00182C98">
        <w:rPr>
          <w:rStyle w:val="FootnoteReference"/>
          <w:rFonts w:eastAsia="Times New Roman"/>
          <w:noProof/>
        </w:rPr>
        <w:footnoteReference w:id="36"/>
      </w:r>
      <w:r w:rsidRPr="00182C98">
        <w:rPr>
          <w:noProof/>
        </w:rPr>
        <w:t>.</w:t>
      </w:r>
      <w:r w:rsidR="00182C98">
        <w:rPr>
          <w:noProof/>
        </w:rPr>
        <w:t xml:space="preserve"> </w:t>
      </w:r>
    </w:p>
    <w:p w14:paraId="497787C8" w14:textId="1F4D4D9F" w:rsidR="00B92F36" w:rsidRPr="00182C98" w:rsidRDefault="00AC5AD5" w:rsidP="00B92F36">
      <w:pPr>
        <w:rPr>
          <w:rFonts w:eastAsia="Times New Roman"/>
          <w:noProof/>
        </w:rPr>
      </w:pPr>
      <w:r w:rsidRPr="00182C98">
        <w:rPr>
          <w:b/>
          <w:noProof/>
        </w:rPr>
        <w:t>Comisia va numi un reprezentant special al UE pentru IMM-uri</w:t>
      </w:r>
      <w:r w:rsidRPr="00182C98">
        <w:rPr>
          <w:noProof/>
        </w:rPr>
        <w:t xml:space="preserve"> care va raporta direct președintei, raportând totodată comisarului pentru piața internă cu privire la toate activitățile legate de IMM-uri desfășurate în colaborare cu serviciile Direcției Generale Piață Internă, Industrie, Antreprenoriat și IMM-uri (DG GROW), care va sprijini activitatea reprezentantului respectiv. Pe lângă activitatea mai amplă de promovare și coordonare în cadrul Comisiei, cu rețeaua reprezentanților pentru IMM-uri și pe plan extern, și pe baza evoluțiilor de mai sus, reprezentantul UE pentru IMM-uri va putea participa de acum înainte la audierile Comitetului de control normativ cu direcțiile generale cu privire la inițiativele care au un impact ridicat asupra IMM-urilor. </w:t>
      </w:r>
      <w:bookmarkStart w:id="3" w:name="_Hlk145178830"/>
      <w:r w:rsidRPr="00182C98">
        <w:rPr>
          <w:noProof/>
        </w:rPr>
        <w:t>În acest context și fără a aduce atingere funcționării și independenței comitetului, reprezentantul UE pentru IMM-uri va fi în măsură să ridice probleme și să alerteze comitetul cu privire la efectele negative semnificative asupra IMM-urilor, la eventualele măsuri suplimentare de atenuare a acestora, la fiabilitatea analizelor cost-beneficiu și ale competitivității și la activitățile de consultare</w:t>
      </w:r>
      <w:bookmarkEnd w:id="3"/>
      <w:r w:rsidRPr="00182C98">
        <w:rPr>
          <w:noProof/>
        </w:rPr>
        <w:t>. În plus, reprezentantul UE pentru IMM-uri, pe baza filtrului pentru IMM-uri, va furniza Comisiei lista inițiativelor cu cel mai mare impact pentru IMM-uri, cu privire la care Comisia va efectua integral testul IMM.</w:t>
      </w:r>
    </w:p>
    <w:p w14:paraId="37A09D98" w14:textId="057C5F84" w:rsidR="00A04F30" w:rsidRPr="00182C98" w:rsidRDefault="00356744" w:rsidP="00837960">
      <w:pPr>
        <w:rPr>
          <w:noProof/>
        </w:rPr>
      </w:pPr>
      <w:r w:rsidRPr="00182C98">
        <w:rPr>
          <w:b/>
          <w:noProof/>
        </w:rPr>
        <w:t>Deși sistemul își îndeplinește în general obiectivele</w:t>
      </w:r>
      <w:r w:rsidRPr="00182C98">
        <w:rPr>
          <w:rStyle w:val="FootnoteReference"/>
          <w:b/>
          <w:bCs/>
          <w:noProof/>
        </w:rPr>
        <w:footnoteReference w:id="37"/>
      </w:r>
      <w:r w:rsidRPr="00182C98">
        <w:rPr>
          <w:b/>
          <w:noProof/>
        </w:rPr>
        <w:t>, Comisia depune eforturi pentru a reduce în continuare sarcinile impuse de legislația UE.</w:t>
      </w:r>
      <w:r w:rsidRPr="00182C98">
        <w:rPr>
          <w:noProof/>
        </w:rPr>
        <w:t xml:space="preserve"> În cadrul Programului privind o reglementare adecvată și funcțională (REFIT), fiecare evaluare și revizuire a legislației implică o examinare sistematică a potențialului de reducere a sarcinii administrative. Platforma „Pregătiți pentru viitor” contribuie la acest proces. Pentru toate propunerile semnificative, evaluările cuprinzătoare ale impactului asigură faptul că beneficiile depășesc costurile. Începând din ianuarie 2022, prin abordarea sa bazată pe </w:t>
      </w:r>
      <w:r w:rsidRPr="00182C98">
        <w:rPr>
          <w:b/>
          <w:noProof/>
        </w:rPr>
        <w:t>principiul numărului constant</w:t>
      </w:r>
      <w:r w:rsidRPr="00182C98">
        <w:rPr>
          <w:noProof/>
        </w:rPr>
        <w:t>, Comisia a introdus o „întrerupere a costurilor”, cu scopul de a asigura compensarea în cea mai mare măsură posibilă a costurilor administrative dintr-un anumit domeniu de politică și a costurilor de ajustare. Primul an de aplicare integrală a acestui principiu a condus la o reducere substanțială a costurilor administrative, prin intermediul unor propuneri care vor asigura economii nete de 7,3 miliarde EUR</w:t>
      </w:r>
      <w:r w:rsidRPr="00182C98">
        <w:rPr>
          <w:rStyle w:val="FootnoteReference"/>
          <w:noProof/>
        </w:rPr>
        <w:footnoteReference w:id="38"/>
      </w:r>
      <w:r w:rsidRPr="00182C98">
        <w:rPr>
          <w:noProof/>
        </w:rPr>
        <w:t xml:space="preserve">. Comisia se angajează pe deplin să valorifice potențialul acestui instrument în următorii ani. </w:t>
      </w:r>
    </w:p>
    <w:p w14:paraId="49DA5056" w14:textId="030E0D30" w:rsidR="00AA4BFC" w:rsidRPr="00182C98" w:rsidRDefault="005F5EBF" w:rsidP="00CE70A7">
      <w:pPr>
        <w:rPr>
          <w:noProof/>
        </w:rPr>
      </w:pPr>
      <w:r w:rsidRPr="00182C98">
        <w:rPr>
          <w:b/>
          <w:noProof/>
        </w:rPr>
        <w:t>Pentru a permite un cadru de reglementare mai favorabil inovării și mai bine adaptat exigențelor viitorului</w:t>
      </w:r>
      <w:r w:rsidRPr="00182C98">
        <w:rPr>
          <w:rStyle w:val="FootnoteReference"/>
          <w:b/>
          <w:noProof/>
        </w:rPr>
        <w:footnoteReference w:id="39"/>
      </w:r>
      <w:r w:rsidRPr="00182C98">
        <w:rPr>
          <w:b/>
          <w:noProof/>
        </w:rPr>
        <w:t>, Comisia promovează utilizarea spațiilor de testare în materie de reglementare</w:t>
      </w:r>
      <w:r w:rsidRPr="00182C98">
        <w:rPr>
          <w:rStyle w:val="FootnoteReference"/>
          <w:b/>
          <w:noProof/>
        </w:rPr>
        <w:footnoteReference w:id="40"/>
      </w:r>
      <w:r w:rsidRPr="00182C98">
        <w:rPr>
          <w:b/>
          <w:noProof/>
        </w:rPr>
        <w:t xml:space="preserve"> într-o serie de domenii inovatoare, cum ar fi inteligența artificială</w:t>
      </w:r>
      <w:r w:rsidRPr="00182C98">
        <w:rPr>
          <w:rStyle w:val="FootnoteReference"/>
          <w:b/>
          <w:noProof/>
        </w:rPr>
        <w:footnoteReference w:id="41"/>
      </w:r>
      <w:r w:rsidRPr="00182C98">
        <w:rPr>
          <w:b/>
          <w:noProof/>
        </w:rPr>
        <w:t xml:space="preserve"> și lumile virtuale</w:t>
      </w:r>
      <w:r w:rsidRPr="00182C98">
        <w:rPr>
          <w:rStyle w:val="FootnoteReference"/>
          <w:b/>
          <w:bCs/>
          <w:noProof/>
        </w:rPr>
        <w:footnoteReference w:id="42"/>
      </w:r>
      <w:r w:rsidRPr="00182C98">
        <w:rPr>
          <w:b/>
          <w:noProof/>
        </w:rPr>
        <w:t>.</w:t>
      </w:r>
      <w:r w:rsidRPr="00182C98">
        <w:rPr>
          <w:noProof/>
        </w:rPr>
        <w:t xml:space="preserve"> Astfel de instrumente ar trebui aplicate la o scară mai mare, pentru a permite întreprinderilor din UE, în special IMM-urilor și întreprinderilor nou-înființate, să experimenteze noi tehnologii, practici, servicii, aplicații și modele de afaceri într-un mediu real controlat, în special în cazurile în care insecuritatea juridică sau lacunele și barierele în materie de reglementare le împiedică dezvoltarea. </w:t>
      </w:r>
    </w:p>
    <w:p w14:paraId="2795D07E" w14:textId="55B3DAFF" w:rsidR="00DE0003" w:rsidRPr="00182C98" w:rsidRDefault="000E5E3E" w:rsidP="00A54AC2">
      <w:pPr>
        <w:rPr>
          <w:noProof/>
        </w:rPr>
      </w:pPr>
      <w:r w:rsidRPr="00182C98">
        <w:rPr>
          <w:b/>
          <w:noProof/>
        </w:rPr>
        <w:t>Pentru a ține seama mai bine de interesele IMM-urilor atunci când pregătește noi propuneri legislative, Comisia va lua în considerare în mod sistematic anumite tipuri de dispoziții favorabile IMM-urilor.</w:t>
      </w:r>
      <w:r w:rsidRPr="00182C98">
        <w:rPr>
          <w:noProof/>
        </w:rPr>
        <w:t xml:space="preserve"> Acestea includ, ori de câte ori acest lucru este oportun și justificat: </w:t>
      </w:r>
    </w:p>
    <w:p w14:paraId="649DDCB3" w14:textId="6FE54791" w:rsidR="00DE0003" w:rsidRPr="00182C98" w:rsidRDefault="00A54AC2" w:rsidP="00E9387D">
      <w:pPr>
        <w:pStyle w:val="ListParagraph"/>
        <w:numPr>
          <w:ilvl w:val="0"/>
          <w:numId w:val="38"/>
        </w:numPr>
        <w:rPr>
          <w:noProof/>
        </w:rPr>
      </w:pPr>
      <w:r w:rsidRPr="00182C98">
        <w:rPr>
          <w:noProof/>
        </w:rPr>
        <w:t xml:space="preserve">posibilitatea de a acorda IMM-urilor perioade de tranziție mai lungi pentru a asigura previzibilitatea și a facilita respectarea de către IMM-uri a noilor dispoziții legislative; </w:t>
      </w:r>
    </w:p>
    <w:p w14:paraId="4620FD29" w14:textId="49F78B33" w:rsidR="00DE0003" w:rsidRPr="00182C98" w:rsidRDefault="00A54AC2" w:rsidP="00E9387D">
      <w:pPr>
        <w:pStyle w:val="ListParagraph"/>
        <w:numPr>
          <w:ilvl w:val="0"/>
          <w:numId w:val="38"/>
        </w:numPr>
        <w:rPr>
          <w:noProof/>
        </w:rPr>
      </w:pPr>
      <w:r w:rsidRPr="00182C98">
        <w:rPr>
          <w:noProof/>
        </w:rPr>
        <w:t xml:space="preserve">dacă este necesar, cerințe privind punerea la dispoziție de către Comisie și/sau de către statele membre a unor orientări specifice pentru IMM-uri cu privire la punerea în aplicare a actelor legislative propuse (de exemplu, rezumatul actelor legislative, materiale de formare online); </w:t>
      </w:r>
    </w:p>
    <w:p w14:paraId="30731D2D" w14:textId="38A3F161" w:rsidR="00DE0003" w:rsidRPr="00182C98" w:rsidRDefault="00A54AC2" w:rsidP="00E9387D">
      <w:pPr>
        <w:pStyle w:val="ListParagraph"/>
        <w:numPr>
          <w:ilvl w:val="0"/>
          <w:numId w:val="38"/>
        </w:numPr>
        <w:rPr>
          <w:noProof/>
        </w:rPr>
      </w:pPr>
      <w:r w:rsidRPr="00182C98">
        <w:rPr>
          <w:noProof/>
        </w:rPr>
        <w:t xml:space="preserve">o cerință prin care se solicită Comisiei să acorde o atenție deosebită impactului actelor delegate și de punere în aplicare asupra IMM-urilor, care definesc adesea nivelul costurilor pentru IMM-uri, și să încurajeze părțile interesate să ofere feedbackuri prin intermediul portalului „Exprimați-vă părerea: Simplificați!” </w:t>
      </w:r>
      <w:r w:rsidRPr="00182C98">
        <w:rPr>
          <w:rStyle w:val="FootnoteReference"/>
          <w:noProof/>
        </w:rPr>
        <w:footnoteReference w:id="43"/>
      </w:r>
      <w:r w:rsidRPr="00182C98">
        <w:rPr>
          <w:noProof/>
        </w:rPr>
        <w:t xml:space="preserve">; sau </w:t>
      </w:r>
    </w:p>
    <w:p w14:paraId="7948FD26" w14:textId="53C4B32C" w:rsidR="00A54AC2" w:rsidRPr="00182C98" w:rsidRDefault="00A54AC2" w:rsidP="00E9387D">
      <w:pPr>
        <w:pStyle w:val="ListParagraph"/>
        <w:numPr>
          <w:ilvl w:val="0"/>
          <w:numId w:val="38"/>
        </w:numPr>
        <w:rPr>
          <w:noProof/>
        </w:rPr>
      </w:pPr>
      <w:r w:rsidRPr="00182C98">
        <w:rPr>
          <w:noProof/>
        </w:rPr>
        <w:t xml:space="preserve">o clauză de revizuire sau o clauză de încetare a efectelor în cadrul legislației secundare, cu un calendar stabilit în concordanță cu procesul de evaluare </w:t>
      </w:r>
      <w:r w:rsidRPr="00182C98">
        <w:rPr>
          <w:i/>
          <w:noProof/>
        </w:rPr>
        <w:t>ex post</w:t>
      </w:r>
      <w:r w:rsidRPr="00182C98">
        <w:rPr>
          <w:noProof/>
        </w:rPr>
        <w:t>, cu scopul de a reduce la minimum cerințele de raportare și alte cerințe de conformitate și de a asigura o evaluare pertinentă pentru a stabili dacă legislația este în continuare adecvată scopului său și dacă dispozițiile sale continuă să funcționeze corespunzător pentru IMM-uri.</w:t>
      </w:r>
    </w:p>
    <w:p w14:paraId="64353ABB" w14:textId="38A46BE2" w:rsidR="00A54AC2" w:rsidRPr="00182C98" w:rsidRDefault="00CE70A7" w:rsidP="00837960">
      <w:pPr>
        <w:rPr>
          <w:noProof/>
        </w:rPr>
      </w:pPr>
      <w:r w:rsidRPr="00182C98">
        <w:rPr>
          <w:b/>
          <w:noProof/>
        </w:rPr>
        <w:t>Comisia va continua să își îmbunătățească procesele pentru o mai bună legiferare</w:t>
      </w:r>
      <w:r w:rsidRPr="00182C98">
        <w:rPr>
          <w:noProof/>
        </w:rPr>
        <w:t>, inclusiv vizibilitatea activităților sale privind o mai bună legiferare în ceea ce privește IMM-urile și competitivitatea, pentru a se asigura că legislația și politicile UE funcționează mai bine pentru IMM-uri. Toate acțiunile descrise în prezenta comunicare vor permite Comisiei să îmbunătățească calitatea evaluării impactului propunerilor legislative asupra IMM-urilor și să accelereze aplicarea principiului „a gândi mai întâi la scară mică”</w:t>
      </w:r>
      <w:r w:rsidRPr="00182C98">
        <w:rPr>
          <w:rStyle w:val="FootnoteReference"/>
          <w:noProof/>
        </w:rPr>
        <w:footnoteReference w:id="44"/>
      </w:r>
      <w:r w:rsidRPr="00182C98">
        <w:rPr>
          <w:noProof/>
        </w:rPr>
        <w:t xml:space="preserve"> în cadrul tuturor politicilor UE. </w:t>
      </w:r>
    </w:p>
    <w:p w14:paraId="624B0AA1" w14:textId="5F605F66" w:rsidR="00306540" w:rsidRPr="00182C98" w:rsidRDefault="00A54AC2" w:rsidP="00A54AC2">
      <w:pPr>
        <w:rPr>
          <w:noProof/>
        </w:rPr>
      </w:pPr>
      <w:r w:rsidRPr="00182C98">
        <w:rPr>
          <w:b/>
          <w:noProof/>
        </w:rPr>
        <w:t>Comisia nu acționează în mod izolat, iar angajamentul colegiuitorilor și al autorităților naționale și regionale, care acționează în limitele competențelor lor, este, de asemenea, important.</w:t>
      </w:r>
      <w:r w:rsidRPr="00182C98">
        <w:rPr>
          <w:noProof/>
        </w:rPr>
        <w:t xml:space="preserve"> Acțiunile propuse vor permite includerea dimensiunii IMM-urilor în procesul legislativ interinstituțional, deoarece asigurarea unui nivel înalt de calitate a legislației UE pe baza unei evaluări aprofundate a impactului este o responsabilitate comună a colegiuitorilor. În plus, statele membre joacă un rol esențial în asigurarea faptului că legislația națională, inclusiv măsurile de transpunere a legislației UE, sprijină principiul „a gândi mai întâi la scară mică” și că sarcina administrativă pentru IMM-uri este redusă. </w:t>
      </w:r>
    </w:p>
    <w:p w14:paraId="014CD3D6" w14:textId="7C59723D" w:rsidR="007C48E0" w:rsidRPr="00182C98" w:rsidRDefault="00A54AC2" w:rsidP="00A54AC2">
      <w:pPr>
        <w:rPr>
          <w:noProof/>
        </w:rPr>
      </w:pPr>
      <w:r w:rsidRPr="00182C98">
        <w:rPr>
          <w:noProof/>
        </w:rPr>
        <w:t>În cele din urmă, agențiile executive, agențiile descentralizate și alte organisme ale UE</w:t>
      </w:r>
      <w:r w:rsidRPr="00182C98">
        <w:rPr>
          <w:rStyle w:val="FootnoteReference"/>
          <w:noProof/>
        </w:rPr>
        <w:footnoteReference w:id="45"/>
      </w:r>
      <w:r w:rsidRPr="00182C98">
        <w:rPr>
          <w:noProof/>
        </w:rPr>
        <w:t xml:space="preserve"> ar trebui să stimuleze punerea în aplicare în favoarea IMM-urilor a politicilor UE, în special prin intermediul serviciilor de asistență pentru IMM-uri sau al punctelor de contact pentru IMM-uri, al orientărilor relevante pentru IMM-uri în toate limbile UE sau al instrumentelor online favorabile IMM-urilor</w:t>
      </w:r>
      <w:r w:rsidRPr="00182C98">
        <w:rPr>
          <w:rStyle w:val="FootnoteReference"/>
          <w:noProof/>
        </w:rPr>
        <w:footnoteReference w:id="46"/>
      </w:r>
      <w:r w:rsidRPr="00182C98">
        <w:rPr>
          <w:noProof/>
        </w:rPr>
        <w:t xml:space="preserve">. </w:t>
      </w:r>
    </w:p>
    <w:tbl>
      <w:tblPr>
        <w:tblStyle w:val="TableGrid"/>
        <w:tblpPr w:leftFromText="141" w:rightFromText="141" w:vertAnchor="text" w:tblpY="1"/>
        <w:tblOverlap w:val="never"/>
        <w:tblW w:w="0" w:type="auto"/>
        <w:tblLook w:val="0620" w:firstRow="1" w:lastRow="0" w:firstColumn="0" w:lastColumn="0" w:noHBand="1" w:noVBand="1"/>
      </w:tblPr>
      <w:tblGrid>
        <w:gridCol w:w="9288"/>
      </w:tblGrid>
      <w:tr w:rsidR="00A851AC" w:rsidRPr="00182C98" w14:paraId="021E4C45" w14:textId="77777777" w:rsidTr="0039014E">
        <w:tc>
          <w:tcPr>
            <w:tcW w:w="5000" w:type="pct"/>
          </w:tcPr>
          <w:p w14:paraId="5DEDE781" w14:textId="32C579C2" w:rsidR="00A851AC" w:rsidRPr="00182C98" w:rsidRDefault="000C152F" w:rsidP="0039014E">
            <w:pPr>
              <w:pStyle w:val="Bulletpoint1"/>
              <w:numPr>
                <w:ilvl w:val="0"/>
                <w:numId w:val="0"/>
              </w:numPr>
              <w:ind w:right="170"/>
              <w:rPr>
                <w:i/>
                <w:iCs/>
                <w:noProof/>
              </w:rPr>
            </w:pPr>
            <w:r w:rsidRPr="00182C98">
              <w:rPr>
                <w:i/>
                <w:noProof/>
              </w:rPr>
              <w:t xml:space="preserve">Comisia: </w:t>
            </w:r>
          </w:p>
          <w:p w14:paraId="0AD72DB6" w14:textId="77777777" w:rsidR="00A851AC" w:rsidRPr="00182C98" w:rsidRDefault="00A851AC" w:rsidP="0039014E">
            <w:pPr>
              <w:pStyle w:val="Bulletpoint1"/>
              <w:numPr>
                <w:ilvl w:val="0"/>
                <w:numId w:val="0"/>
              </w:numPr>
              <w:ind w:left="360" w:right="170" w:hanging="360"/>
              <w:rPr>
                <w:noProof/>
              </w:rPr>
            </w:pPr>
          </w:p>
          <w:p w14:paraId="2FB1F087" w14:textId="0E910DB7" w:rsidR="00A851AC" w:rsidRPr="00182C98" w:rsidRDefault="00A851AC" w:rsidP="00F52967">
            <w:pPr>
              <w:pStyle w:val="Bulletpoint1"/>
              <w:rPr>
                <w:noProof/>
              </w:rPr>
            </w:pPr>
            <w:r w:rsidRPr="00182C98">
              <w:rPr>
                <w:b/>
                <w:noProof/>
              </w:rPr>
              <w:t>Acțiunea 2</w:t>
            </w:r>
            <w:r w:rsidRPr="00182C98">
              <w:rPr>
                <w:noProof/>
              </w:rPr>
              <w:t>: va lua în considerare în mod sistematic includerea unor dispoziții specifice favorabile IMM-urilor în noile propuneri legislative, ori de câte ori acest lucru este oportun, justificat și conform cu obiectivele de politică ale Uniunii.</w:t>
            </w:r>
          </w:p>
          <w:p w14:paraId="433D4AF8" w14:textId="4252FA07" w:rsidR="007712B8" w:rsidRPr="00182C98" w:rsidRDefault="00F461FA" w:rsidP="00F52967">
            <w:pPr>
              <w:pStyle w:val="Bulletpoint1"/>
              <w:rPr>
                <w:noProof/>
              </w:rPr>
            </w:pPr>
            <w:r w:rsidRPr="00182C98">
              <w:rPr>
                <w:b/>
                <w:noProof/>
              </w:rPr>
              <w:t>Acțiunea 3</w:t>
            </w:r>
            <w:r w:rsidRPr="00182C98">
              <w:rPr>
                <w:noProof/>
              </w:rPr>
              <w:t>: va numi un reprezentant special al UE pentru IMM-uri pentru a oferi orientări și consiliere Comisiei cu privire la aspecte legate de IMM-uri și pentru a susține interesele IMM-urilor pe plan extern. Reprezentantul va raporta direct președintei, raportând totodată comisarului pentru piața internă cu privire la toate activitățile legate de IMM-uri desfășurate în colaborare cu serviciile DG GROW, care va sprijini activitatea reprezentantului respectiv.</w:t>
            </w:r>
          </w:p>
          <w:p w14:paraId="3B9D36BE" w14:textId="77A3FC25" w:rsidR="00F461FA" w:rsidRPr="00182C98" w:rsidRDefault="00B92F36" w:rsidP="00F52967">
            <w:pPr>
              <w:pStyle w:val="Bulletpoint1"/>
              <w:rPr>
                <w:noProof/>
              </w:rPr>
            </w:pPr>
            <w:r w:rsidRPr="00182C98">
              <w:rPr>
                <w:b/>
                <w:noProof/>
              </w:rPr>
              <w:t>Acțiunea 4:</w:t>
            </w:r>
            <w:r w:rsidRPr="00182C98">
              <w:rPr>
                <w:noProof/>
              </w:rPr>
              <w:t xml:space="preserve"> se va asigura că reprezentantul UE pentru IMM-uri va participa la audierile Comitetului de control normativ cu direcțiile generale cu privire la inițiativele care au un impact ridicat asupra IMM-urilor.</w:t>
            </w:r>
          </w:p>
          <w:p w14:paraId="6EA8162A" w14:textId="6DC7E46B" w:rsidR="000C152F" w:rsidRPr="00182C98" w:rsidRDefault="000C152F" w:rsidP="000C152F">
            <w:pPr>
              <w:pStyle w:val="Bulletpoint1"/>
              <w:rPr>
                <w:noProof/>
              </w:rPr>
            </w:pPr>
            <w:r w:rsidRPr="00182C98">
              <w:rPr>
                <w:b/>
                <w:noProof/>
              </w:rPr>
              <w:t>Acțiunea 5</w:t>
            </w:r>
            <w:r w:rsidRPr="00182C98">
              <w:rPr>
                <w:noProof/>
              </w:rPr>
              <w:t>: va promova, împreună cu Parlamentul European și Consiliul, punerea în aplicare a unei evaluări „la fața locului” a impactului asupra IMM-urilor și asupra competitivității al modificărilor substanțiale propuse aduse propunerilor Comisiei pe parcursul procesului colegislativ.</w:t>
            </w:r>
          </w:p>
          <w:p w14:paraId="36F1C817" w14:textId="2892CCE4" w:rsidR="00745568" w:rsidRPr="00182C98" w:rsidRDefault="000C152F" w:rsidP="009B5900">
            <w:pPr>
              <w:pStyle w:val="Bulletpoint1"/>
              <w:spacing w:after="120"/>
              <w:ind w:right="170"/>
              <w:rPr>
                <w:noProof/>
              </w:rPr>
            </w:pPr>
            <w:r w:rsidRPr="00182C98">
              <w:rPr>
                <w:b/>
                <w:noProof/>
              </w:rPr>
              <w:t>Acțiunea 6</w:t>
            </w:r>
            <w:r w:rsidRPr="00182C98">
              <w:rPr>
                <w:noProof/>
              </w:rPr>
              <w:t>: va colabora cu agențiile executive și descentralizate</w:t>
            </w:r>
            <w:r w:rsidRPr="00182C98">
              <w:rPr>
                <w:noProof/>
                <w:vertAlign w:val="superscript"/>
              </w:rPr>
              <w:t xml:space="preserve"> </w:t>
            </w:r>
            <w:r w:rsidRPr="00182C98">
              <w:rPr>
                <w:noProof/>
              </w:rPr>
              <w:t xml:space="preserve">pentru a identifica și a promova bunele practici în materie de sprijin pentru IMM-uri, cu scopul de a facilita utilizarea de către IMM-uri a serviciilor oferite de agenții. </w:t>
            </w:r>
          </w:p>
          <w:p w14:paraId="63B06BA4" w14:textId="22CB0F96" w:rsidR="00A851AC" w:rsidRPr="00182C98" w:rsidRDefault="00745568" w:rsidP="009B5900">
            <w:pPr>
              <w:pStyle w:val="Bulletpoint1"/>
              <w:spacing w:after="120"/>
              <w:ind w:right="170"/>
              <w:rPr>
                <w:noProof/>
              </w:rPr>
            </w:pPr>
            <w:r w:rsidRPr="00182C98">
              <w:rPr>
                <w:b/>
                <w:noProof/>
              </w:rPr>
              <w:t>Acțiunea 7</w:t>
            </w:r>
            <w:r w:rsidRPr="00182C98">
              <w:rPr>
                <w:noProof/>
              </w:rPr>
              <w:t>: va colabora cu statele membre pentru a promova experimentarea și inovarea pentru întreprinderile nou-înființate prin intermediul spațiilor de testare în materie de reglementare.</w:t>
            </w:r>
          </w:p>
        </w:tc>
      </w:tr>
    </w:tbl>
    <w:p w14:paraId="74D22943" w14:textId="6DB01DC9" w:rsidR="005C7FD0" w:rsidRPr="00182C98" w:rsidRDefault="00E143FA" w:rsidP="00240DD4">
      <w:pPr>
        <w:pStyle w:val="Heading3"/>
        <w:spacing w:before="240"/>
        <w:ind w:left="862"/>
        <w:rPr>
          <w:noProof/>
        </w:rPr>
      </w:pPr>
      <w:bookmarkStart w:id="4" w:name="_Toc130395604"/>
      <w:bookmarkStart w:id="5" w:name="_Toc130403522"/>
      <w:bookmarkStart w:id="6" w:name="_Toc130395607"/>
      <w:bookmarkStart w:id="7" w:name="_Toc130403525"/>
      <w:bookmarkStart w:id="8" w:name="_Toc130395610"/>
      <w:bookmarkStart w:id="9" w:name="_Toc130403528"/>
      <w:bookmarkStart w:id="10" w:name="_Toc130395612"/>
      <w:bookmarkStart w:id="11" w:name="_Toc130403530"/>
      <w:bookmarkStart w:id="12" w:name="_Toc130395616"/>
      <w:bookmarkStart w:id="13" w:name="_Toc130403534"/>
      <w:bookmarkStart w:id="14" w:name="_Toc130395617"/>
      <w:bookmarkStart w:id="15" w:name="_Toc130403535"/>
      <w:bookmarkStart w:id="16" w:name="_Toc130395618"/>
      <w:bookmarkStart w:id="17" w:name="_Toc130403536"/>
      <w:bookmarkStart w:id="18" w:name="_Toc130395651"/>
      <w:bookmarkStart w:id="19" w:name="_Toc130403569"/>
      <w:bookmarkStart w:id="20" w:name="_Toc130395652"/>
      <w:bookmarkStart w:id="21" w:name="_Toc130403570"/>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sidRPr="00182C98">
        <w:rPr>
          <w:noProof/>
        </w:rPr>
        <w:t>Utilizarea tehnologiilor digitale în scopul reducerii sarcini și al îmbunătățirii rezilienței</w:t>
      </w:r>
    </w:p>
    <w:p w14:paraId="736E4242" w14:textId="67BF67D9" w:rsidR="00FB2FB5" w:rsidRPr="00182C98" w:rsidRDefault="00AE150C" w:rsidP="00837960">
      <w:pPr>
        <w:rPr>
          <w:i/>
          <w:iCs/>
          <w:noProof/>
        </w:rPr>
      </w:pPr>
      <w:bookmarkStart w:id="22" w:name="_Hlk144892898"/>
      <w:r w:rsidRPr="00182C98">
        <w:rPr>
          <w:b/>
          <w:noProof/>
        </w:rPr>
        <w:t>Sporirea nivelului de digitalizare poate reduce în mod semnificativ sarcina și costurile pentru IMM-uri</w:t>
      </w:r>
      <w:r w:rsidRPr="00182C98">
        <w:rPr>
          <w:noProof/>
        </w:rPr>
        <w:t>. Portalul digital unic</w:t>
      </w:r>
      <w:r w:rsidRPr="00182C98">
        <w:rPr>
          <w:rStyle w:val="FootnoteReference"/>
          <w:rFonts w:eastAsia="Times New Roman"/>
          <w:noProof/>
        </w:rPr>
        <w:footnoteReference w:id="47"/>
      </w:r>
      <w:bookmarkStart w:id="23" w:name="_Hlk141979170"/>
      <w:r w:rsidRPr="00182C98">
        <w:rPr>
          <w:noProof/>
        </w:rPr>
        <w:t xml:space="preserve"> oferă un ghișeu unic pentru informații fiabile administrative și în materie de reglementare, proceduri online și asistență la toate nivelurile administrației publice. Portalul furnizează asistență IMM-urilor pentru ca acestea să profite mai bine de oportunitățile oferite de piața unică și le reduce în mod semnificativ sarcina administrativă prin intermediul unor proceduri online în domenii-cheie.</w:t>
      </w:r>
      <w:r w:rsidRPr="00182C98">
        <w:rPr>
          <w:noProof/>
          <w:color w:val="000000" w:themeColor="text1"/>
        </w:rPr>
        <w:t xml:space="preserve"> </w:t>
      </w:r>
      <w:r w:rsidRPr="00182C98">
        <w:rPr>
          <w:noProof/>
        </w:rPr>
        <w:t>Primul raport privind punerea în aplicare a portalului digital unic, prezentat ca parte a pachetului de măsuri de ajutorare a IMM-urilor, arată că portalul a facilitat accesul IMM-urilor la informații de înaltă calitate cu privire la normele și procedurile aplicabile pe piața unică, ceea ce este deosebit de benefic pentru întreprinderile mici cu capacități administrative limitate.</w:t>
      </w:r>
      <w:r w:rsidRPr="00182C98">
        <w:rPr>
          <w:i/>
          <w:noProof/>
        </w:rPr>
        <w:t xml:space="preserve"> </w:t>
      </w:r>
    </w:p>
    <w:p w14:paraId="005F87A0" w14:textId="77777777" w:rsidR="008913B2" w:rsidRPr="00182C98" w:rsidRDefault="00FB2FB5" w:rsidP="008913B2">
      <w:pPr>
        <w:rPr>
          <w:noProof/>
        </w:rPr>
      </w:pPr>
      <w:r w:rsidRPr="00182C98">
        <w:rPr>
          <w:b/>
          <w:noProof/>
        </w:rPr>
        <w:t>Astfel cum s-a subliniat în raport, Comisia colaborează cu statele membre în vederea instituirii unor proceduri online și a lansării sistemului tehnic bazat pe principiul „doar o singură dată” (OOTS)</w:t>
      </w:r>
      <w:r w:rsidRPr="00182C98">
        <w:rPr>
          <w:noProof/>
        </w:rPr>
        <w:t xml:space="preserve">, care se preconizează că va fi pe deplin operațional până în decembrie 2023. Acesta va permite schimbul transfrontalier de documente esențiale între autoritățile publice, evitându-se astfel necesitatea ca IMM-urile să prezinte din nou documente în diferite state membre. El va reduce costul asociat liberei circulații pe piața unică, fricțiunile și obstacolele administrative, fără a impune obligații suplimentare întreprinderilor. </w:t>
      </w:r>
    </w:p>
    <w:p w14:paraId="7F671BDE" w14:textId="062C7092" w:rsidR="008913B2" w:rsidRPr="00182C98" w:rsidRDefault="008913B2" w:rsidP="00837960">
      <w:pPr>
        <w:rPr>
          <w:noProof/>
        </w:rPr>
      </w:pPr>
      <w:r w:rsidRPr="00182C98">
        <w:rPr>
          <w:noProof/>
        </w:rPr>
        <w:t xml:space="preserve">Un exemplu în acest sens este dificultatea cu care se confruntă multe IMM-uri în ceea ce privește </w:t>
      </w:r>
      <w:r w:rsidRPr="00182C98">
        <w:rPr>
          <w:b/>
          <w:noProof/>
        </w:rPr>
        <w:t>documentul portabil A1</w:t>
      </w:r>
      <w:r w:rsidRPr="00182C98">
        <w:rPr>
          <w:noProof/>
        </w:rPr>
        <w:t xml:space="preserve"> (pentru a </w:t>
      </w:r>
      <w:r w:rsidRPr="00182C98">
        <w:rPr>
          <w:noProof/>
          <w:color w:val="000000"/>
          <w:bdr w:val="none" w:sz="0" w:space="0" w:color="auto" w:frame="1"/>
          <w:shd w:val="clear" w:color="auto" w:fill="FFFFFF"/>
        </w:rPr>
        <w:t xml:space="preserve">stabili ce legislație în materie de securitate socială se aplică titularului). </w:t>
      </w:r>
      <w:r w:rsidRPr="00182C98">
        <w:rPr>
          <w:noProof/>
        </w:rPr>
        <w:t xml:space="preserve">De la sfârșitul acestui an, OOTS va facilita cererile recurente pentru documentul A1 </w:t>
      </w:r>
      <w:r w:rsidRPr="00182C98">
        <w:rPr>
          <w:noProof/>
          <w:color w:val="000000"/>
          <w:bdr w:val="none" w:sz="0" w:space="0" w:color="auto" w:frame="1"/>
          <w:shd w:val="clear" w:color="auto" w:fill="FFFFFF"/>
        </w:rPr>
        <w:t xml:space="preserve">și va permite primirea rezultatelor pe cale electronică. </w:t>
      </w:r>
      <w:r w:rsidRPr="00182C98">
        <w:rPr>
          <w:noProof/>
        </w:rPr>
        <w:t xml:space="preserve">În plus, recenta comunicare a Comisiei privind digitalizarea în coordonarea sistemelor de securitate socială prezintă măsuri suplimentare de facilitare a interacțiunii dintre cetățenii mobili și întreprinderile care își desfășoară activitatea în străinătate, în special IMM-urile, cu autoritățile naționale din domeniul securității sociale, cum ar fi </w:t>
      </w:r>
      <w:r w:rsidRPr="00182C98">
        <w:rPr>
          <w:b/>
          <w:noProof/>
          <w:color w:val="000000"/>
          <w:bdr w:val="none" w:sz="0" w:space="0" w:color="auto" w:frame="1"/>
          <w:shd w:val="clear" w:color="auto" w:fill="FFFFFF"/>
        </w:rPr>
        <w:t>proiectul-pilot privind pașaportul european de securitate socială (ESSPASS)</w:t>
      </w:r>
      <w:r w:rsidRPr="00182C98">
        <w:rPr>
          <w:noProof/>
          <w:color w:val="000000"/>
          <w:bdr w:val="none" w:sz="0" w:space="0" w:color="auto" w:frame="1"/>
          <w:shd w:val="clear" w:color="auto" w:fill="FFFFFF"/>
        </w:rPr>
        <w:t xml:space="preserve"> în ceea ce privește documentul portabil A1</w:t>
      </w:r>
      <w:r w:rsidRPr="00182C98">
        <w:rPr>
          <w:noProof/>
          <w:vertAlign w:val="superscript"/>
        </w:rPr>
        <w:footnoteReference w:id="48"/>
      </w:r>
      <w:r w:rsidRPr="00182C98">
        <w:rPr>
          <w:noProof/>
        </w:rPr>
        <w:t xml:space="preserve">. În aceeași ordine de idei, în contextul inițiativei de reducere a raportării și de simplificare (secțiunea 3.1.4 de mai jos), crearea </w:t>
      </w:r>
      <w:r w:rsidRPr="00182C98">
        <w:rPr>
          <w:b/>
          <w:noProof/>
        </w:rPr>
        <w:t>unui format electronic (e-Declarație) pentru declarația privind detașarea lucrătorilor</w:t>
      </w:r>
      <w:r w:rsidRPr="00182C98">
        <w:rPr>
          <w:noProof/>
        </w:rPr>
        <w:t xml:space="preserve"> va reduce în mod semnificativ sarcina administrativă și costurile de asigurare a conformității pentru angajatori, permițându-le să utilizeze o declarație simplificată într-un format unic în propria limbă în toate statele membre participante. </w:t>
      </w:r>
    </w:p>
    <w:bookmarkEnd w:id="23"/>
    <w:p w14:paraId="4A1A3CC8" w14:textId="71E7396C" w:rsidR="009631B0" w:rsidRPr="00182C98" w:rsidRDefault="00E143FA" w:rsidP="009631B0">
      <w:pPr>
        <w:rPr>
          <w:rFonts w:eastAsiaTheme="minorEastAsia"/>
          <w:noProof/>
          <w:color w:val="000000" w:themeColor="text1"/>
        </w:rPr>
      </w:pPr>
      <w:r w:rsidRPr="00182C98">
        <w:rPr>
          <w:b/>
          <w:noProof/>
        </w:rPr>
        <w:t xml:space="preserve">Recenta propunere privind extinderea utilizării instrumentelor și proceselor digitale în domeniul dreptului UE al societăților comerciale reprezintă un pas înainte important în digitalizarea în domeniul dreptului societăților comerciale, oferind sprijin </w:t>
      </w:r>
      <w:r w:rsidRPr="00182C98">
        <w:rPr>
          <w:b/>
          <w:noProof/>
          <w:color w:val="000000"/>
        </w:rPr>
        <w:t>IMM-urilor pentru a-și desfășura activitatea în UE</w:t>
      </w:r>
      <w:r w:rsidRPr="00182C98">
        <w:rPr>
          <w:rStyle w:val="FootnoteReference"/>
          <w:b/>
          <w:bCs/>
          <w:noProof/>
        </w:rPr>
        <w:footnoteReference w:id="49"/>
      </w:r>
      <w:r w:rsidRPr="00182C98">
        <w:rPr>
          <w:b/>
          <w:noProof/>
          <w:color w:val="000000"/>
        </w:rPr>
        <w:t>.</w:t>
      </w:r>
      <w:r w:rsidRPr="00182C98">
        <w:rPr>
          <w:noProof/>
          <w:color w:val="000000"/>
        </w:rPr>
        <w:t xml:space="preserve"> Propunerea</w:t>
      </w:r>
      <w:r w:rsidRPr="00182C98">
        <w:rPr>
          <w:noProof/>
        </w:rPr>
        <w:t xml:space="preserve"> va reduce în mod semnificativ sarcina administrativă pentru societăți </w:t>
      </w:r>
      <w:r w:rsidRPr="00182C98">
        <w:rPr>
          <w:noProof/>
          <w:color w:val="000000"/>
        </w:rPr>
        <w:t>cu aproximativ 437 de milioane EUR pe an</w:t>
      </w:r>
      <w:r w:rsidRPr="00182C98">
        <w:rPr>
          <w:noProof/>
        </w:rPr>
        <w:t xml:space="preserve">, </w:t>
      </w:r>
      <w:r w:rsidRPr="00182C98">
        <w:rPr>
          <w:noProof/>
          <w:color w:val="000000"/>
        </w:rPr>
        <w:t>datorită introducerii unui certificat al societăților din UE și aplicării principiului „doar o singură dată” atunci când societățile înființează filiale și sucursale în alte state membre</w:t>
      </w:r>
      <w:r w:rsidRPr="00182C98">
        <w:rPr>
          <w:rStyle w:val="FootnoteReference"/>
          <w:noProof/>
          <w:color w:val="000000"/>
        </w:rPr>
        <w:footnoteReference w:id="50"/>
      </w:r>
      <w:r w:rsidRPr="00182C98">
        <w:rPr>
          <w:noProof/>
        </w:rPr>
        <w:t>. Întreprinderile pot beneficia, de asemenea, de pe urma faptului că informațiile lor sunt vizibile prin intermediul sistemului de interconectare a registrelor comerțului (BRIS)</w:t>
      </w:r>
      <w:r w:rsidRPr="00182C98">
        <w:rPr>
          <w:rStyle w:val="FootnoteReference"/>
          <w:noProof/>
        </w:rPr>
        <w:footnoteReference w:id="51"/>
      </w:r>
      <w:r w:rsidRPr="00182C98">
        <w:rPr>
          <w:noProof/>
        </w:rPr>
        <w:t xml:space="preserve"> pe piața unică. </w:t>
      </w:r>
      <w:r w:rsidRPr="00182C98">
        <w:rPr>
          <w:noProof/>
          <w:color w:val="000000" w:themeColor="text1"/>
        </w:rPr>
        <w:t>În plus, IMM-urile afectate de încălcări ale legislației UE se pot baza pe SOLVIT</w:t>
      </w:r>
      <w:r w:rsidRPr="00182C98">
        <w:rPr>
          <w:rStyle w:val="FootnoteReference"/>
          <w:rFonts w:eastAsiaTheme="minorEastAsia"/>
          <w:noProof/>
          <w:color w:val="000000" w:themeColor="text1"/>
        </w:rPr>
        <w:footnoteReference w:id="52"/>
      </w:r>
      <w:r w:rsidRPr="00182C98">
        <w:rPr>
          <w:noProof/>
          <w:color w:val="000000" w:themeColor="text1"/>
        </w:rPr>
        <w:t xml:space="preserve"> pentru a soluționa litigiile și a obține reparații extrajudiciare. </w:t>
      </w:r>
    </w:p>
    <w:p w14:paraId="3F5D1467" w14:textId="3D7A44AB" w:rsidR="002979D2" w:rsidRPr="00182C98" w:rsidRDefault="002979D2" w:rsidP="002979D2">
      <w:pPr>
        <w:rPr>
          <w:noProof/>
        </w:rPr>
      </w:pPr>
      <w:r w:rsidRPr="00182C98">
        <w:rPr>
          <w:b/>
          <w:noProof/>
        </w:rPr>
        <w:t xml:space="preserve">Continuarea digitalizării IMM-urilor este esențială pentru competitivitatea, reziliența și capacitatea lor de inovare. </w:t>
      </w:r>
      <w:r w:rsidRPr="00182C98">
        <w:rPr>
          <w:noProof/>
        </w:rPr>
        <w:t>Programul de politică privind deceniul digital</w:t>
      </w:r>
      <w:r w:rsidRPr="00182C98">
        <w:rPr>
          <w:rStyle w:val="FootnoteReference"/>
          <w:noProof/>
        </w:rPr>
        <w:footnoteReference w:id="53"/>
      </w:r>
      <w:r w:rsidRPr="00182C98">
        <w:rPr>
          <w:noProof/>
        </w:rPr>
        <w:t xml:space="preserve"> urmărește ca, până în 2030, peste 90 % dintre IMM-uri să aibă cel puțin un nivel de bază al intensității digitale. Principalul mijloc de sprijinire a acestui obiectiv este reprezentat de centrele europene de inovare digitală, cofinanțate prin programul Europa digitală. Acestea sprijină întreprinderile, în special IMM-urile, în procesul lor de digitalizare. Prin evaluarea maturității digitale a IMM-urilor (evaluarea nivelului de maturitate digitală), centrele europene de inovare digitală oferă asistență specifică, de la expertiză tehnică și testare („testare înainte de a investi”) până la servicii de inovare, cum ar fi consilierea financiară, formarea și dezvoltarea competențelor. În prezent, există 151 de centre europene de inovare digitală în 30 de țări europene diferite. Până la sfârșitul anului 2025, centrele europene de inovare digitală ar trebui să ajute aproximativ 100 000 de întreprinderi și entități din sectorul public din Europa. Unitățile sectoriale de testare și experimentare (</w:t>
      </w:r>
      <w:r w:rsidRPr="00182C98">
        <w:rPr>
          <w:i/>
          <w:noProof/>
        </w:rPr>
        <w:t>Testing and Experimentations Facilities</w:t>
      </w:r>
      <w:r w:rsidRPr="00182C98">
        <w:rPr>
          <w:noProof/>
        </w:rPr>
        <w:t xml:space="preserve"> – TEF) sprijină dezvoltatorii de IA să aducă IA de încredere pe piață într-un mod mai eficient, facilitând adoptarea acesteia în rândul întreprinderilor mici din Europa</w:t>
      </w:r>
      <w:r w:rsidRPr="00182C98">
        <w:rPr>
          <w:rStyle w:val="FootnoteReference"/>
          <w:noProof/>
        </w:rPr>
        <w:footnoteReference w:id="54"/>
      </w:r>
      <w:r w:rsidRPr="00182C98">
        <w:rPr>
          <w:noProof/>
        </w:rPr>
        <w:t xml:space="preserve">. </w:t>
      </w:r>
    </w:p>
    <w:tbl>
      <w:tblPr>
        <w:tblStyle w:val="TableGrid"/>
        <w:tblW w:w="0" w:type="auto"/>
        <w:tblLook w:val="04A0" w:firstRow="1" w:lastRow="0" w:firstColumn="1" w:lastColumn="0" w:noHBand="0" w:noVBand="1"/>
      </w:tblPr>
      <w:tblGrid>
        <w:gridCol w:w="9288"/>
      </w:tblGrid>
      <w:tr w:rsidR="00E143FA" w:rsidRPr="00182C98" w14:paraId="762D8F36" w14:textId="77777777" w:rsidTr="00E143FA">
        <w:tc>
          <w:tcPr>
            <w:tcW w:w="0" w:type="auto"/>
          </w:tcPr>
          <w:p w14:paraId="1EB68D53" w14:textId="77777777" w:rsidR="00E143FA" w:rsidRPr="00182C98" w:rsidRDefault="00E143FA" w:rsidP="00E143FA">
            <w:pPr>
              <w:pStyle w:val="Commissionwill"/>
              <w:rPr>
                <w:rStyle w:val="Strong"/>
                <w:noProof/>
              </w:rPr>
            </w:pPr>
            <w:r w:rsidRPr="00182C98">
              <w:rPr>
                <w:rStyle w:val="Strong"/>
                <w:noProof/>
              </w:rPr>
              <w:t>Comisia:</w:t>
            </w:r>
          </w:p>
          <w:p w14:paraId="5EF849A1" w14:textId="16A91FBA" w:rsidR="00E143FA" w:rsidRPr="00182C98" w:rsidRDefault="00E143FA" w:rsidP="002F4BB8">
            <w:pPr>
              <w:pStyle w:val="Bulletpoint1"/>
              <w:spacing w:after="120"/>
              <w:rPr>
                <w:rStyle w:val="Strong"/>
                <w:noProof/>
              </w:rPr>
            </w:pPr>
            <w:r w:rsidRPr="00182C98">
              <w:rPr>
                <w:b/>
                <w:noProof/>
              </w:rPr>
              <w:t>Acțiunea 8</w:t>
            </w:r>
            <w:r w:rsidRPr="00182C98">
              <w:rPr>
                <w:noProof/>
              </w:rPr>
              <w:t>: va lansa, până la finalul anului 2023, în cooperare cu statele membre, sistemul tehnic bazat pe principiul „doar o singură dată” și va continua extinderea domeniului de aplicare al portalului digital unic pentru a acoperi noi proceduri, ținând seama de nevoile IMM-urilor.</w:t>
            </w:r>
          </w:p>
        </w:tc>
      </w:tr>
    </w:tbl>
    <w:bookmarkEnd w:id="22"/>
    <w:p w14:paraId="1B1C8535" w14:textId="1B4E896A" w:rsidR="00E143FA" w:rsidRPr="00182C98" w:rsidRDefault="00E143FA" w:rsidP="00240DD4">
      <w:pPr>
        <w:pStyle w:val="Heading3"/>
        <w:spacing w:before="240"/>
        <w:rPr>
          <w:noProof/>
        </w:rPr>
      </w:pPr>
      <w:r w:rsidRPr="00182C98">
        <w:rPr>
          <w:noProof/>
        </w:rPr>
        <w:t xml:space="preserve">Simplificarea procedurilor și a cerințelor de raportare </w:t>
      </w:r>
    </w:p>
    <w:p w14:paraId="626CA9EA" w14:textId="7132E09C" w:rsidR="00E05B43" w:rsidRPr="00182C98" w:rsidRDefault="001D62E2" w:rsidP="005F23A1">
      <w:pPr>
        <w:rPr>
          <w:noProof/>
        </w:rPr>
      </w:pPr>
      <w:r w:rsidRPr="00182C98">
        <w:rPr>
          <w:b/>
          <w:noProof/>
        </w:rPr>
        <w:t>În contextul îmbunătățirii competitivității pe termen lung a întreprinderilor sale</w:t>
      </w:r>
      <w:r w:rsidRPr="00182C98">
        <w:rPr>
          <w:rStyle w:val="FootnoteReference"/>
          <w:b/>
          <w:bCs/>
          <w:noProof/>
        </w:rPr>
        <w:footnoteReference w:id="55"/>
      </w:r>
      <w:r w:rsidRPr="00182C98">
        <w:rPr>
          <w:b/>
          <w:noProof/>
        </w:rPr>
        <w:t>, Comisia depune eforturi pentru raționalizarea cerințelor de raportare care decurg din legislația UE</w:t>
      </w:r>
      <w:r w:rsidRPr="00182C98">
        <w:rPr>
          <w:noProof/>
        </w:rPr>
        <w:t>, cu scopul de a reduce aceste sarcini cu 25 %, fără a submina obiectivele de politică aferente. Această ambiție se referă la reducerea sarcinii de reglementare pentru întreprinderile de toate dimensiunile, dar este deosebit de relevantă pentru IMM-uri. Cerințele de raportare sunt importante pentru a monitoriza și a asigura respectarea corespunzătoare a legislației, însă pentru multe societăți, în special pentru IMM-uri, acestea pot fi împovărătoare, pot genera costuri și le pot afecta capacitatea de creștere. Acumularea lor în timp poate duce la obligații redundante, duplicate sau caduce, la o frecvență și un calendar ineficiente sau la metode inadecvate de colectare</w:t>
      </w:r>
      <w:r w:rsidRPr="00182C98">
        <w:rPr>
          <w:rStyle w:val="FootnoteReference"/>
          <w:noProof/>
        </w:rPr>
        <w:footnoteReference w:id="56"/>
      </w:r>
      <w:r w:rsidRPr="00182C98">
        <w:rPr>
          <w:noProof/>
        </w:rPr>
        <w:t>. În astfel de cazuri, simplificarea obligațiilor de raportare sau abordarea nevoilor unor grupuri specifice de întreprinderi, cum ar fi IMM-urile, poate fi o oportunitate de a reduce sarcina asupra întreprinderilor.</w:t>
      </w:r>
    </w:p>
    <w:p w14:paraId="10A62380" w14:textId="0EB6B230" w:rsidR="009B10BF" w:rsidRPr="00182C98" w:rsidRDefault="005F5984" w:rsidP="009B10BF">
      <w:pPr>
        <w:rPr>
          <w:b/>
          <w:bCs/>
          <w:noProof/>
        </w:rPr>
      </w:pPr>
      <w:r w:rsidRPr="00182C98">
        <w:rPr>
          <w:b/>
          <w:noProof/>
        </w:rPr>
        <w:t>Primele acte legislative semnificative care simplifică obligațiile de raportare au fost deja propuse de Comisie începând din martie 2023</w:t>
      </w:r>
      <w:r w:rsidRPr="00182C98">
        <w:rPr>
          <w:rStyle w:val="FootnoteReference"/>
          <w:b/>
          <w:bCs/>
          <w:noProof/>
        </w:rPr>
        <w:footnoteReference w:id="57"/>
      </w:r>
      <w:r w:rsidRPr="00182C98">
        <w:rPr>
          <w:b/>
          <w:noProof/>
        </w:rPr>
        <w:t xml:space="preserve">, iar alte măsuri vor fi prezentate împreună cu programul de lucru al Comisiei. </w:t>
      </w:r>
      <w:r w:rsidRPr="00182C98">
        <w:rPr>
          <w:noProof/>
        </w:rPr>
        <w:t>În special, o metodologie voluntară, simplă și standardizată de raportare cu privire la aspectele MSG (de mediu, sociale, de guvernanță) va reduce sarcina și va facilita accesul IMM-urilor la finanțare durabilă (pentru detalii suplimentare, a se vedea secțiunea 3.2.4 de mai jos). În plus, propunerea Comisiei de a amâna termenul pentru adoptarea standardelor europene sectoriale de raportare privind durabilitatea</w:t>
      </w:r>
      <w:r w:rsidRPr="00182C98">
        <w:rPr>
          <w:rStyle w:val="FootnoteReference"/>
          <w:noProof/>
        </w:rPr>
        <w:footnoteReference w:id="58"/>
      </w:r>
      <w:r w:rsidRPr="00182C98">
        <w:rPr>
          <w:noProof/>
        </w:rPr>
        <w:t xml:space="preserve"> va aduce beneficii societăților care intră în domeniul de aplicare al Directivei privind raportarea de către întreprinderi de informații privind durabilitatea (CSRD), inclusiv IMM-urilor cotate la bursă. Această amânare le permite să se concentreze asupra punerii în aplicare a primului set de standarde. Ajustările pragurilor care definesc un IMM în temeiul Directivei contabile vor reduce numărul de societăți care fac în prezent obiectul cerințelor de raportare privind durabilitatea în temeiul Directivei privind raportarea de către întreprinderi de informații privind durabilitatea (CSRD) și al Regulamentului privind taxonomia</w:t>
      </w:r>
      <w:r w:rsidRPr="00182C98">
        <w:rPr>
          <w:rStyle w:val="FootnoteReference"/>
          <w:noProof/>
          <w:lang w:eastAsia="en-IE"/>
        </w:rPr>
        <w:footnoteReference w:id="59"/>
      </w:r>
      <w:r w:rsidRPr="00182C98">
        <w:rPr>
          <w:noProof/>
        </w:rPr>
        <w:t>.</w:t>
      </w:r>
    </w:p>
    <w:p w14:paraId="20A79BBC" w14:textId="08BFBC7E" w:rsidR="00233A68" w:rsidRPr="00182C98" w:rsidRDefault="005C7FD0" w:rsidP="005F23A1">
      <w:pPr>
        <w:rPr>
          <w:rFonts w:eastAsia="Calibri"/>
          <w:noProof/>
          <w:color w:val="000000" w:themeColor="text1"/>
        </w:rPr>
      </w:pPr>
      <w:r w:rsidRPr="00182C98">
        <w:rPr>
          <w:noProof/>
          <w:color w:val="000000" w:themeColor="text1"/>
        </w:rPr>
        <w:t xml:space="preserve">În plus, în cadrul de monitorizare și raportare a emisiilor de gaze cu efect de seră, o reducere a frecvenței cu care operatorii din sectorul energetic, industriile energointensive și sectorul aviației trebuie să raporteze cu privire la îmbunătățirile aduse metodologiilor lor va reduce sarcina pentru societăți, fără a afecta eficacitatea monitorizării. </w:t>
      </w:r>
      <w:r w:rsidRPr="00182C98">
        <w:rPr>
          <w:noProof/>
        </w:rPr>
        <w:t xml:space="preserve">În plus, simplificarea </w:t>
      </w:r>
      <w:r w:rsidRPr="00182C98">
        <w:rPr>
          <w:noProof/>
          <w:color w:val="000000" w:themeColor="text1"/>
        </w:rPr>
        <w:t xml:space="preserve">obligațiilor de raportare prevăzute de legislația UE cu privire la soluționarea alternativă a litigiilor în materie de consum va consolida cerințele de raportare și va reduce frecvența de raportare, fără a afecta transparența sau calitatea datelor. </w:t>
      </w:r>
    </w:p>
    <w:p w14:paraId="59290CDE" w14:textId="5A0AA6D8" w:rsidR="00712370" w:rsidRPr="00182C98" w:rsidRDefault="006D7112" w:rsidP="005F23A1">
      <w:pPr>
        <w:rPr>
          <w:noProof/>
        </w:rPr>
      </w:pPr>
      <w:r w:rsidRPr="00182C98">
        <w:rPr>
          <w:b/>
          <w:noProof/>
        </w:rPr>
        <w:t>În săptămânile următoare, Comisia va prezenta într-un mod mai cuprinzător măsurile adoptate și care urmează să fie adoptate pentru a raționaliza obligațiile de raportare pentru toate întreprinderile.</w:t>
      </w:r>
      <w:r w:rsidRPr="00182C98">
        <w:rPr>
          <w:noProof/>
        </w:rPr>
        <w:t xml:space="preserve"> Comisia intenționează să facă din raționalizare o caracteristică importantă a programului său de lucru pentru 2024, care va fi însoțit de un pachet de propuneri și de o planificare a evaluărilor. </w:t>
      </w:r>
      <w:r w:rsidRPr="00182C98">
        <w:rPr>
          <w:b/>
          <w:noProof/>
        </w:rPr>
        <w:t>Această activitate va fi sistematizată până la sfârșitul anului 2023</w:t>
      </w:r>
      <w:r w:rsidRPr="00182C98">
        <w:rPr>
          <w:noProof/>
        </w:rPr>
        <w:t xml:space="preserve">, pentru ciclurile următoare, prin: </w:t>
      </w:r>
    </w:p>
    <w:p w14:paraId="54AD3FD6" w14:textId="77777777" w:rsidR="00712370" w:rsidRPr="00182C98" w:rsidRDefault="00D3347D" w:rsidP="00712370">
      <w:pPr>
        <w:pStyle w:val="ListParagraph"/>
        <w:numPr>
          <w:ilvl w:val="0"/>
          <w:numId w:val="37"/>
        </w:numPr>
        <w:rPr>
          <w:noProof/>
        </w:rPr>
      </w:pPr>
      <w:r w:rsidRPr="00182C98">
        <w:rPr>
          <w:noProof/>
        </w:rPr>
        <w:t xml:space="preserve">instituirea, la nivelul serviciilor Comisiei, a unor mijloace standardizate de cartografiere a cerințelor de raportare în legislația sau acordurile administrative existente și în noile propuneri; </w:t>
      </w:r>
    </w:p>
    <w:p w14:paraId="0D55C922" w14:textId="34E66965" w:rsidR="001D62E2" w:rsidRPr="00182C98" w:rsidRDefault="00712370" w:rsidP="00712370">
      <w:pPr>
        <w:pStyle w:val="ListParagraph"/>
        <w:numPr>
          <w:ilvl w:val="0"/>
          <w:numId w:val="37"/>
        </w:numPr>
        <w:rPr>
          <w:noProof/>
        </w:rPr>
      </w:pPr>
      <w:r w:rsidRPr="00182C98">
        <w:rPr>
          <w:noProof/>
        </w:rPr>
        <w:t>identificarea domeniilor prioritare în cooperare cu un set reprezentativ de societăți, asociații sectoriale și autorități naționale (care servesc adesea ca interfață pentru o astfel de raportare);</w:t>
      </w:r>
    </w:p>
    <w:p w14:paraId="06661805" w14:textId="6D03DB07" w:rsidR="00712370" w:rsidRPr="00182C98" w:rsidRDefault="00712370" w:rsidP="00E9387D">
      <w:pPr>
        <w:pStyle w:val="ListParagraph"/>
        <w:numPr>
          <w:ilvl w:val="0"/>
          <w:numId w:val="37"/>
        </w:numPr>
        <w:rPr>
          <w:noProof/>
        </w:rPr>
      </w:pPr>
      <w:r w:rsidRPr="00182C98">
        <w:rPr>
          <w:noProof/>
        </w:rPr>
        <w:t>elaborarea de planuri specifice de raționalizare de către fiecare serviciu al Comisiei pentru 2024 și ulterior.</w:t>
      </w:r>
    </w:p>
    <w:p w14:paraId="43335E83" w14:textId="590E3EE2" w:rsidR="00CF4C74" w:rsidRPr="00182C98" w:rsidRDefault="001D62E2" w:rsidP="00233A68">
      <w:pPr>
        <w:rPr>
          <w:noProof/>
        </w:rPr>
      </w:pPr>
      <w:r w:rsidRPr="00182C98">
        <w:rPr>
          <w:b/>
          <w:noProof/>
        </w:rPr>
        <w:t>Contribuția IMM-urilor și a altor părți interesate are un rol important în asigurarea succesului acestui exercițiu global de reducere a sarcinilor.</w:t>
      </w:r>
      <w:r w:rsidRPr="00182C98">
        <w:rPr>
          <w:noProof/>
        </w:rPr>
        <w:t xml:space="preserve"> Portalul „Exprimați-vă părerea: Simplificați!” permite colectarea contribuțiilor acestora cu privire la obligațiile de raportare. Platforma „Pregătiți pentru viitor” a fost, de asemenea, invitată să acorde o atenție deosebită obligațiilor de raportare și să dedice unul sau mai multe avize acestui aspect în cadrul programului său anual de lucru pentru 2024.</w:t>
      </w:r>
    </w:p>
    <w:tbl>
      <w:tblPr>
        <w:tblStyle w:val="TableGrid"/>
        <w:tblpPr w:leftFromText="181" w:rightFromText="181" w:vertAnchor="text" w:horzAnchor="margin" w:tblpY="1"/>
        <w:tblW w:w="0" w:type="auto"/>
        <w:tblLook w:val="04A0" w:firstRow="1" w:lastRow="0" w:firstColumn="1" w:lastColumn="0" w:noHBand="0" w:noVBand="1"/>
      </w:tblPr>
      <w:tblGrid>
        <w:gridCol w:w="9288"/>
      </w:tblGrid>
      <w:tr w:rsidR="00AC4894" w:rsidRPr="00182C98" w14:paraId="0FD2FCDD" w14:textId="77777777" w:rsidTr="00FC691B">
        <w:tc>
          <w:tcPr>
            <w:tcW w:w="0" w:type="auto"/>
          </w:tcPr>
          <w:p w14:paraId="2B2B635A" w14:textId="3E9AA547" w:rsidR="005F5984" w:rsidRPr="00182C98" w:rsidRDefault="006D7112" w:rsidP="00FC691B">
            <w:pPr>
              <w:pStyle w:val="Commissionwill"/>
              <w:rPr>
                <w:rStyle w:val="Strong"/>
                <w:noProof/>
              </w:rPr>
            </w:pPr>
            <w:r w:rsidRPr="00182C98">
              <w:rPr>
                <w:rStyle w:val="Strong"/>
                <w:noProof/>
              </w:rPr>
              <w:t>Comisia:</w:t>
            </w:r>
          </w:p>
          <w:p w14:paraId="4EA44AB6" w14:textId="6EB2BA75" w:rsidR="00B146D0" w:rsidRPr="00182C98" w:rsidRDefault="00444A92" w:rsidP="00E143FA">
            <w:pPr>
              <w:pStyle w:val="Bulletpoint1"/>
              <w:spacing w:after="120"/>
              <w:rPr>
                <w:noProof/>
              </w:rPr>
            </w:pPr>
            <w:r w:rsidRPr="00182C98">
              <w:rPr>
                <w:b/>
                <w:noProof/>
              </w:rPr>
              <w:t>Acțiunea 9</w:t>
            </w:r>
            <w:r w:rsidRPr="00182C98">
              <w:rPr>
                <w:noProof/>
              </w:rPr>
              <w:t>: va prezenta, în octombrie 2023, următorul set de propuneri de raționalizare a cerințelor de raportare împreună cu programul de lucru, inclusiv măsurile menționate mai sus, ca parte a unui ciclu sistematic și recurent de îndeplinire a obiectivului de reducere cu 25 % a raportării.</w:t>
            </w:r>
          </w:p>
        </w:tc>
      </w:tr>
    </w:tbl>
    <w:p w14:paraId="5C619492" w14:textId="667D92A9" w:rsidR="00643573" w:rsidRPr="00182C98" w:rsidRDefault="003D3DAF" w:rsidP="00240DD4">
      <w:pPr>
        <w:pStyle w:val="Heading2"/>
        <w:spacing w:after="240"/>
        <w:ind w:left="578" w:hanging="578"/>
        <w:rPr>
          <w:noProof/>
        </w:rPr>
      </w:pPr>
      <w:r w:rsidRPr="00182C98">
        <w:rPr>
          <w:noProof/>
        </w:rPr>
        <w:t>Îmbunătățirea lichidității și a accesului la finanțare</w:t>
      </w:r>
    </w:p>
    <w:p w14:paraId="5C6210F4" w14:textId="6CC5C40F" w:rsidR="00B96668" w:rsidRPr="00182C98" w:rsidRDefault="000C577E" w:rsidP="00242478">
      <w:pPr>
        <w:pStyle w:val="Heading3"/>
        <w:rPr>
          <w:noProof/>
        </w:rPr>
      </w:pPr>
      <w:r w:rsidRPr="00182C98">
        <w:rPr>
          <w:noProof/>
        </w:rPr>
        <w:t>Combaterea întârzierilor în efectuarea plăților</w:t>
      </w:r>
    </w:p>
    <w:p w14:paraId="6535D195" w14:textId="21715F5D" w:rsidR="006E3C46" w:rsidRPr="00182C98" w:rsidRDefault="21E12B7F" w:rsidP="00837960">
      <w:pPr>
        <w:rPr>
          <w:noProof/>
        </w:rPr>
      </w:pPr>
      <w:r w:rsidRPr="00182C98">
        <w:rPr>
          <w:b/>
          <w:noProof/>
        </w:rPr>
        <w:t>Întârzierea în efectuarea plăților facturilor afectează societățile din toate sectoarele în toate statele membre ale UE. Această problemă are un impact negativ în special asupra IMM-urilor</w:t>
      </w:r>
      <w:r w:rsidRPr="00182C98">
        <w:rPr>
          <w:noProof/>
        </w:rPr>
        <w:t>, care se bazează pe fluxuri de numerar regulate și previzibile</w:t>
      </w:r>
      <w:r w:rsidRPr="00182C98">
        <w:rPr>
          <w:rStyle w:val="FootnoteReference"/>
          <w:noProof/>
        </w:rPr>
        <w:footnoteReference w:id="60"/>
      </w:r>
      <w:r w:rsidRPr="00182C98">
        <w:rPr>
          <w:noProof/>
        </w:rPr>
        <w:t xml:space="preserve"> și care au un acces mai limitat la lichidități decât întreprinderile mari. IMM-urile care sunt plătite cu întârziere trebuie să acopere deficitul de lichidități rezultat prin împrumuturi pe termen scurt, ceea ce duce la creșterea costurilor lor de finanțare. Reducerea întârzierilor în efectuarea plăților reprezintă un element-cheie pentru a le oferi IMM-urilor lichiditățile atât de necesare pentru a investi în inovare sau pentru a transfera reducerile costurilor către consumatori</w:t>
      </w:r>
      <w:r w:rsidRPr="00182C98">
        <w:rPr>
          <w:rStyle w:val="FootnoteReference"/>
          <w:noProof/>
        </w:rPr>
        <w:footnoteReference w:id="61"/>
      </w:r>
      <w:r w:rsidRPr="00182C98">
        <w:rPr>
          <w:noProof/>
        </w:rPr>
        <w:t>.</w:t>
      </w:r>
    </w:p>
    <w:p w14:paraId="1993FCBE" w14:textId="2BC56014" w:rsidR="00A851AC" w:rsidRPr="00182C98" w:rsidRDefault="00CE0E51" w:rsidP="00CE0E51">
      <w:pPr>
        <w:rPr>
          <w:noProof/>
        </w:rPr>
      </w:pPr>
      <w:r w:rsidRPr="00182C98">
        <w:rPr>
          <w:b/>
          <w:noProof/>
        </w:rPr>
        <w:t>În cadrul prezentului pachet de măsuri de ajutorare a IMM-urilor, Comisia propune o revizuire a normelor privind întârzierea în efectuarea plăților</w:t>
      </w:r>
      <w:r w:rsidRPr="00182C98">
        <w:rPr>
          <w:noProof/>
        </w:rPr>
        <w:t>, prin înlocuirea actualei Directive privind întârzierea în efectuarea plăților cu un regulament care să prevadă termene de plată maxime obligatorii de 30 de zile pentru toate tranzacțiile comerciale. Regulamentul va prevedea plata automată a taxelor compensatorii și a dobânzilor în cazul unei întârzieri în efectuarea plăților și va însoți aceste măsuri noi cu un cadru solid de punere în aplicare. De asemenea, el va facilita exercitarea de către societăți a drepturilor lor prin reducerea sarcinii legate de măsurile reparatorii eficiente și facilitarea accesului la acestea prin mediere.</w:t>
      </w:r>
    </w:p>
    <w:p w14:paraId="39314F4F" w14:textId="42529984" w:rsidR="00B96668" w:rsidRPr="00182C98" w:rsidRDefault="00764983" w:rsidP="00837960">
      <w:pPr>
        <w:rPr>
          <w:noProof/>
        </w:rPr>
      </w:pPr>
      <w:r w:rsidRPr="00182C98">
        <w:rPr>
          <w:noProof/>
        </w:rPr>
        <w:t xml:space="preserve">Având în vedere faptul că o întârziere de o zi în efectuarea plății generează costuri de finanțare suplimentare de 158 de milioane EUR pentru societățile europene, aceste norme noi vizează reducerea cu 35 % a întârzierilor în efectuarea plăților. În plus, timpul alocat de societăți pentru a-și urmări debitorii va fi redus în mod semnificativ, ceea ce va permite întreprinderilor europene să economisească 340 de milioane de ore/persoană, echivalentul a 8,7 miliarde EUR. Dincolo de beneficiile monetare directe, prin aceste norme lichiditățile ar trebui să fie redistribuite într-un mod mai echitabil în economie, iar dependența IMM-urilor de finanțarea externă ar trebui să se reducă. </w:t>
      </w:r>
    </w:p>
    <w:p w14:paraId="57D69965" w14:textId="77777777" w:rsidR="00E036FE" w:rsidRPr="00182C98" w:rsidRDefault="00E036FE" w:rsidP="00E036FE">
      <w:pPr>
        <w:rPr>
          <w:rFonts w:eastAsia="Times New Roman"/>
          <w:noProof/>
        </w:rPr>
      </w:pPr>
      <w:r w:rsidRPr="00182C98">
        <w:rPr>
          <w:noProof/>
        </w:rPr>
        <w:t>Instrumentul ales pentru revizuire este un regulament care abrogă și înlocuiește actuala Directivă privind întârzierea în efectuarea plăților. Un regulament prezintă numeroase avantaje, în special în ceea ce privește necesitatea de a aborda aspectul transfrontalier al întârzierii în efectuarea plăților. Aceasta permite introducerea acelorași soluții în întreaga UE în ceea ce privește aspectele-cheie, cum ar fi termenul maxim pentru efectuarea plăților și procedurile de verificare, rata dobânzii pentru plățile întârziate și valoarea despăgubirilor forfetare. În același timp, statelor membre li se va permite să adopte dispoziții mai stricte cu privire la anumite aspecte.</w:t>
      </w:r>
    </w:p>
    <w:tbl>
      <w:tblPr>
        <w:tblStyle w:val="TableGrid"/>
        <w:tblW w:w="0" w:type="auto"/>
        <w:tblLook w:val="04A0" w:firstRow="1" w:lastRow="0" w:firstColumn="1" w:lastColumn="0" w:noHBand="0" w:noVBand="1"/>
      </w:tblPr>
      <w:tblGrid>
        <w:gridCol w:w="9288"/>
      </w:tblGrid>
      <w:tr w:rsidR="00DC4F21" w:rsidRPr="00182C98" w14:paraId="3D9A0F86" w14:textId="77777777" w:rsidTr="00DC4F21">
        <w:tc>
          <w:tcPr>
            <w:tcW w:w="9288" w:type="dxa"/>
          </w:tcPr>
          <w:p w14:paraId="411A52EC" w14:textId="77777777" w:rsidR="00DC4F21" w:rsidRPr="00182C98" w:rsidRDefault="00DC4F21" w:rsidP="00DC4F21">
            <w:pPr>
              <w:rPr>
                <w:noProof/>
              </w:rPr>
            </w:pPr>
            <w:r w:rsidRPr="00182C98">
              <w:rPr>
                <w:i/>
                <w:noProof/>
              </w:rPr>
              <w:t>Comisia:</w:t>
            </w:r>
          </w:p>
          <w:p w14:paraId="39FD184D" w14:textId="75D82B7A" w:rsidR="00DC4F21" w:rsidRPr="00182C98" w:rsidRDefault="00DC4F21" w:rsidP="00837960">
            <w:pPr>
              <w:pStyle w:val="ListParagraph"/>
              <w:numPr>
                <w:ilvl w:val="0"/>
                <w:numId w:val="31"/>
              </w:numPr>
              <w:spacing w:after="120"/>
              <w:rPr>
                <w:noProof/>
              </w:rPr>
            </w:pPr>
            <w:r w:rsidRPr="00182C98">
              <w:rPr>
                <w:b/>
                <w:noProof/>
              </w:rPr>
              <w:t>Acțiunea 10</w:t>
            </w:r>
            <w:r w:rsidRPr="00182C98">
              <w:rPr>
                <w:noProof/>
              </w:rPr>
              <w:t xml:space="preserve">: propune un nou regulament privind întârzierea în efectuarea plăților, care să consolideze în mod substanțial normele UE pentru combaterea întârzierilor în efectuarea plăților în tranzacțiile comerciale. </w:t>
            </w:r>
          </w:p>
        </w:tc>
      </w:tr>
    </w:tbl>
    <w:p w14:paraId="02FBF13A" w14:textId="77777777" w:rsidR="00CE0E51" w:rsidRPr="00182C98" w:rsidRDefault="00CE0E51" w:rsidP="00240DD4">
      <w:pPr>
        <w:pStyle w:val="Heading3"/>
        <w:spacing w:before="240"/>
        <w:rPr>
          <w:noProof/>
        </w:rPr>
      </w:pPr>
      <w:r w:rsidRPr="00182C98">
        <w:rPr>
          <w:noProof/>
        </w:rPr>
        <w:t>Valorificarea întregului potențial oferit IMM-urilor de programele UE</w:t>
      </w:r>
    </w:p>
    <w:p w14:paraId="420575AB" w14:textId="0108CEF3" w:rsidR="00471AE3" w:rsidRPr="00182C98" w:rsidRDefault="00F847FC" w:rsidP="00471AE3">
      <w:pPr>
        <w:rPr>
          <w:noProof/>
        </w:rPr>
      </w:pPr>
      <w:r w:rsidRPr="00182C98">
        <w:rPr>
          <w:b/>
          <w:noProof/>
        </w:rPr>
        <w:t>Ca urmare a sprijinului acordat IMM-urilor în cadrul programelor de finanțare ale UE, a cărui valoare se preconizează că va depăși 200 de miliarde EUR până în 2027</w:t>
      </w:r>
      <w:r w:rsidRPr="00182C98">
        <w:rPr>
          <w:b/>
          <w:bCs/>
          <w:noProof/>
          <w:vertAlign w:val="superscript"/>
        </w:rPr>
        <w:footnoteReference w:id="62"/>
      </w:r>
      <w:r w:rsidRPr="00182C98">
        <w:rPr>
          <w:b/>
          <w:noProof/>
        </w:rPr>
        <w:t>, IMM-urile au acces la o gamă largă de tipuri de sprijin financiar.</w:t>
      </w:r>
      <w:r w:rsidRPr="00182C98">
        <w:rPr>
          <w:noProof/>
        </w:rPr>
        <w:t xml:space="preserve"> În special, au fost puse în aplicare mai multe măsuri pentru a remedia dificultățile tot mai mari cu care se confruntă IMM-urile în ceea ce privește accesul la finanțare</w:t>
      </w:r>
      <w:r w:rsidRPr="00182C98">
        <w:rPr>
          <w:rStyle w:val="FootnoteReference"/>
          <w:noProof/>
        </w:rPr>
        <w:footnoteReference w:id="63"/>
      </w:r>
      <w:r w:rsidRPr="00182C98">
        <w:rPr>
          <w:noProof/>
        </w:rPr>
        <w:t>, începând cu componenta pentru IMM-uri a programului InvestEU</w:t>
      </w:r>
      <w:r w:rsidRPr="00182C98">
        <w:rPr>
          <w:rStyle w:val="FootnoteReference"/>
          <w:rFonts w:eastAsiaTheme="minorEastAsia"/>
          <w:noProof/>
        </w:rPr>
        <w:footnoteReference w:id="64"/>
      </w:r>
      <w:r w:rsidRPr="00182C98">
        <w:rPr>
          <w:noProof/>
        </w:rPr>
        <w:t xml:space="preserve">, care oferă IMM-urilor un acces mai bun la finanțare în condiții de finanțare mai avantajoase. Componenta pentru IMM-uri ajută, de asemenea, IMM-urile să se adapteze la practicile comerciale durabile și finanțează întreprinderile nou-înființate care dezvoltă tehnologii noi în materie de durabilitate. </w:t>
      </w:r>
    </w:p>
    <w:p w14:paraId="3173C733" w14:textId="1A389655" w:rsidR="00471AE3" w:rsidRPr="00182C98" w:rsidRDefault="00471AE3" w:rsidP="00471AE3">
      <w:pPr>
        <w:rPr>
          <w:rFonts w:eastAsia="Times New Roman"/>
          <w:noProof/>
        </w:rPr>
      </w:pPr>
      <w:r w:rsidRPr="00182C98">
        <w:rPr>
          <w:b/>
          <w:noProof/>
        </w:rPr>
        <w:t>Rolul componentei pentru IMM-uri a InvestEU în furnizarea de sprijin sub formă de împrumuturi și capitaluri proprii IMM-urilor europene în următorii ani va fi substanțial.</w:t>
      </w:r>
      <w:r w:rsidRPr="00182C98">
        <w:rPr>
          <w:noProof/>
        </w:rPr>
        <w:t xml:space="preserve"> Cererea din partea băncilor, a instituțiilor de garantare și a altor intermediari financiari a fost una remarcabilă demonstrată de numărul de cereri depuse la Fondul european de investiții (FEI), care au depășit de trei ori capacitatea totală alocată garanțiilor pentru perioada 2021-2027. Cererea de investiții de capital de pe piață se află deja la capacitatea maximă pentru perioada 2021-2027 pentru multe domenii tematice, inclusiv tehnologia curată, științele vieții și transformarea digitală, precum și antreprenoriatul social. Se preconizează că această suprasubscriere a componentei pentru IMM-uri a InvestEU va împiedica FEI să încheie noi acorduri de garantare cu intermediari financiari începând din 2025, întrucât resursele alocate garanțiilor vor fi fost utilizate integral până atunci. </w:t>
      </w:r>
    </w:p>
    <w:p w14:paraId="41ADAE78" w14:textId="49F7FBD8" w:rsidR="00471AE3" w:rsidRPr="00182C98" w:rsidRDefault="00172EF9" w:rsidP="00471AE3">
      <w:pPr>
        <w:rPr>
          <w:rFonts w:eastAsia="Times New Roman"/>
          <w:noProof/>
        </w:rPr>
      </w:pPr>
      <w:r w:rsidRPr="00182C98">
        <w:rPr>
          <w:b/>
          <w:noProof/>
        </w:rPr>
        <w:t>Comisia a propus, ca parte a platformei „Tehnologii strategice pentru Europa” (STEP)</w:t>
      </w:r>
      <w:r w:rsidRPr="00182C98">
        <w:rPr>
          <w:rFonts w:eastAsia="Times New Roman"/>
          <w:b/>
          <w:bCs/>
          <w:noProof/>
          <w:vertAlign w:val="superscript"/>
        </w:rPr>
        <w:footnoteReference w:id="65"/>
      </w:r>
      <w:r w:rsidRPr="00182C98">
        <w:rPr>
          <w:b/>
          <w:noProof/>
        </w:rPr>
        <w:t>, majorarea cu 7,5 miliarde EUR a garanției UE disponibile prin intermediul unei componente dedicate platformei STEP în cadrul programului InvestEU.</w:t>
      </w:r>
      <w:r w:rsidRPr="00182C98">
        <w:rPr>
          <w:noProof/>
        </w:rPr>
        <w:t xml:space="preserve"> După aprobarea STEP de către colegiuitori, Comisia va depune eforturi pentru punerea rapidă în aplicare a resurselor suplimentare alocate pentru programul InvestEU, în beneficiul IMM-urilor.</w:t>
      </w:r>
    </w:p>
    <w:p w14:paraId="2CE7E8C7" w14:textId="0A9D1C7F" w:rsidR="00A96456" w:rsidRPr="00182C98" w:rsidRDefault="00471AE3" w:rsidP="00A96456">
      <w:pPr>
        <w:rPr>
          <w:noProof/>
          <w:sz w:val="22"/>
          <w:szCs w:val="22"/>
        </w:rPr>
      </w:pPr>
      <w:r w:rsidRPr="00182C98">
        <w:rPr>
          <w:b/>
          <w:noProof/>
        </w:rPr>
        <w:t>Statele membre pot juca un rol esențial prin alocarea de resurse suplimentare către InvestEU din Mecanismul de redresare și reziliență (MRR) sau din bugetele naționale, precum și pentru a utiliza posibilitățile de transfer existente în cadrul fondurilor cu gestiune partajată</w:t>
      </w:r>
      <w:r w:rsidRPr="00182C98">
        <w:rPr>
          <w:noProof/>
        </w:rPr>
        <w:t>,</w:t>
      </w:r>
      <w:r w:rsidRPr="00182C98">
        <w:rPr>
          <w:b/>
          <w:noProof/>
        </w:rPr>
        <w:t xml:space="preserve"> pentru a stimula investițiile în țara lor. </w:t>
      </w:r>
    </w:p>
    <w:p w14:paraId="3F0AFB40" w14:textId="58091438" w:rsidR="00471AE3" w:rsidRPr="00182C98" w:rsidRDefault="00471AE3" w:rsidP="00471AE3">
      <w:pPr>
        <w:rPr>
          <w:rFonts w:eastAsiaTheme="minorEastAsia"/>
          <w:noProof/>
        </w:rPr>
      </w:pPr>
      <w:r w:rsidRPr="00182C98">
        <w:rPr>
          <w:noProof/>
        </w:rPr>
        <w:t>În cadrul propunerii privind STEP, Comisia a prezentat o serie de modalități de utilizare a unor astfel de resurse pentru statele membre și de creștere a valorii finanțării asigurate prin intermediul InvestEU pentru IMM-uri, în special prin clarificarea aspectelor legate de ajutoarele de stat în ceea ce privește toate transferurile de resurse, precum și prin aplicarea aspectelor bazate pe principiul de „a nu aduce prejudicii semnificative”</w:t>
      </w:r>
      <w:r w:rsidRPr="00182C98">
        <w:rPr>
          <w:rStyle w:val="FootnoteReference"/>
          <w:rFonts w:eastAsiaTheme="minorEastAsia"/>
          <w:noProof/>
        </w:rPr>
        <w:footnoteReference w:id="66"/>
      </w:r>
      <w:r w:rsidRPr="00182C98">
        <w:rPr>
          <w:noProof/>
        </w:rPr>
        <w:t xml:space="preserve">. </w:t>
      </w:r>
    </w:p>
    <w:p w14:paraId="23558EEF" w14:textId="39B99F51" w:rsidR="00471AE3" w:rsidRPr="00182C98" w:rsidRDefault="00471AE3" w:rsidP="00471AE3">
      <w:pPr>
        <w:rPr>
          <w:rFonts w:eastAsiaTheme="minorEastAsia"/>
          <w:noProof/>
        </w:rPr>
      </w:pPr>
      <w:r w:rsidRPr="00182C98">
        <w:rPr>
          <w:noProof/>
        </w:rPr>
        <w:t>Dacă un stat membru ia decizia să aloce resurse către compartimentul pentru statele membre al InvestEU pentru implementarea unui produs financiar InvestEU existent dezvoltat pentru compartimentul pentru Uniune de către o instituție financiară internațională în calitate de partener de implementare, cum ar fi Grupul BEI sau Banca Europeană pentru Reconstrucție și Dezvoltare (BERD), decizia respectivă nu implică în sine ajutoare de stat, astfel cum a explicat Comisia în detaliu în propunerea privind STEP</w:t>
      </w:r>
      <w:r w:rsidRPr="00182C98">
        <w:rPr>
          <w:rStyle w:val="FootnoteReference"/>
          <w:rFonts w:eastAsiaTheme="minorEastAsia"/>
          <w:noProof/>
        </w:rPr>
        <w:footnoteReference w:id="67"/>
      </w:r>
      <w:r w:rsidRPr="00182C98">
        <w:rPr>
          <w:noProof/>
        </w:rPr>
        <w:t xml:space="preserve">. Astfel de transferuri posibile de resurse (din cadrul gestiunii partajate, din MRR sau din bugetele naționale) constituie, prin urmare, un mecanism rapid, ușor și opțional pus la dispoziția statelor membre pentru canalizarea finanțării atât de necesare către IMM-uri, fără sarcini de raportare suplimentare față de cele impuse în cadrul InvestEU. Până în prezent, o serie de state membre au utilizat această posibilitate de transfer. Având în vedere cererea ridicată de pe piață, statele membre care nu au contribuit încă sunt încurajate să contribuie prin intermediul compartimentului pentru statele membre al InvestEU pentru a sprijini implementarea produselor financiare pentru IMM-uri în statele lor membre. </w:t>
      </w:r>
      <w:bookmarkStart w:id="24" w:name="_Hlk145162951"/>
      <w:r w:rsidRPr="00182C98">
        <w:rPr>
          <w:noProof/>
        </w:rPr>
        <w:t>Comisia va monitoriza progresele în materie de implementare în cadrul componentei pentru IMM-uri împreună cu rețeaua reprezentanților pentru IMM-uri.</w:t>
      </w:r>
    </w:p>
    <w:bookmarkEnd w:id="24"/>
    <w:p w14:paraId="585A34DF" w14:textId="7B745E82" w:rsidR="00471AE3" w:rsidRPr="00182C98" w:rsidRDefault="00B67F58" w:rsidP="00471AE3">
      <w:pPr>
        <w:rPr>
          <w:rFonts w:eastAsia="Times New Roman"/>
          <w:noProof/>
        </w:rPr>
      </w:pPr>
      <w:r w:rsidRPr="00182C98">
        <w:rPr>
          <w:b/>
          <w:noProof/>
        </w:rPr>
        <w:t>În plus, statele membre și regiunile pot institui instrumente financiare cofinanțate prin programele cu gestiune partajată ale UE pentru a canaliza resursele UE către diverse produse financiare, inclusiv împrumuturi, garanții, capitaluri proprii și alte mecanisme de asumare a riscurilor.</w:t>
      </w:r>
      <w:r w:rsidRPr="00182C98">
        <w:rPr>
          <w:noProof/>
        </w:rPr>
        <w:t xml:space="preserve"> Un astfel de sprijin poate ajuta în mod direct IMM-urile. Pentru a facilita acest proces, platforma fi-compass</w:t>
      </w:r>
      <w:r w:rsidRPr="00182C98">
        <w:rPr>
          <w:rStyle w:val="FootnoteReference"/>
          <w:rFonts w:eastAsiaTheme="minorEastAsia"/>
          <w:noProof/>
        </w:rPr>
        <w:footnoteReference w:id="68"/>
      </w:r>
      <w:r w:rsidRPr="00182C98">
        <w:rPr>
          <w:noProof/>
        </w:rPr>
        <w:t xml:space="preserve"> a Comisiei oferă resurse, inclusiv informații generale, orientări, instrumente practice și oportunități de învățare, îndrumând autoritățile de management cu privire la utilizarea instrumentelor financiare în cadrul fiecăruia dintre fondurile UE cu gestiune partajată.</w:t>
      </w:r>
    </w:p>
    <w:tbl>
      <w:tblPr>
        <w:tblStyle w:val="TableGrid"/>
        <w:tblW w:w="0" w:type="auto"/>
        <w:tblLook w:val="04A0" w:firstRow="1" w:lastRow="0" w:firstColumn="1" w:lastColumn="0" w:noHBand="0" w:noVBand="1"/>
      </w:tblPr>
      <w:tblGrid>
        <w:gridCol w:w="9288"/>
      </w:tblGrid>
      <w:tr w:rsidR="00B67F58" w:rsidRPr="00182C98" w14:paraId="2C0F6475" w14:textId="77777777" w:rsidTr="0039014E">
        <w:tc>
          <w:tcPr>
            <w:tcW w:w="0" w:type="auto"/>
          </w:tcPr>
          <w:p w14:paraId="1ECC43AC" w14:textId="77777777" w:rsidR="00B67F58" w:rsidRPr="00182C98" w:rsidRDefault="00B67F58" w:rsidP="0039014E">
            <w:pPr>
              <w:pStyle w:val="Commissionwill"/>
              <w:ind w:right="170"/>
              <w:rPr>
                <w:rStyle w:val="Strong"/>
                <w:noProof/>
              </w:rPr>
            </w:pPr>
            <w:r w:rsidRPr="00182C98">
              <w:rPr>
                <w:rStyle w:val="Strong"/>
                <w:noProof/>
              </w:rPr>
              <w:t>Comisia:</w:t>
            </w:r>
          </w:p>
          <w:p w14:paraId="1D4CF2E8" w14:textId="4DE44FE6" w:rsidR="00B67F58" w:rsidRPr="00182C98" w:rsidRDefault="00B67F58" w:rsidP="0039014E">
            <w:pPr>
              <w:pStyle w:val="Bulletpoint1"/>
              <w:numPr>
                <w:ilvl w:val="0"/>
                <w:numId w:val="6"/>
              </w:numPr>
              <w:spacing w:after="120"/>
              <w:ind w:left="426" w:right="170" w:hanging="426"/>
              <w:rPr>
                <w:noProof/>
              </w:rPr>
            </w:pPr>
            <w:r w:rsidRPr="00182C98">
              <w:rPr>
                <w:b/>
                <w:noProof/>
              </w:rPr>
              <w:t>Acțiunea 11</w:t>
            </w:r>
            <w:r w:rsidRPr="00182C98">
              <w:rPr>
                <w:noProof/>
              </w:rPr>
              <w:t xml:space="preserve">: va încuraja statele membre, prin intermediul structurii de guvernanță relevante a InvestEU, să aloce resurse suplimentare către compartimentele naționale ale InvestEU și va facilita contribuțiile din MRR către InvestEU, prin oferirea de orientări suplimentare cu privire la aplicarea principiului de „a nu aduce prejudicii semnificative” până în octombrie 2023. </w:t>
            </w:r>
          </w:p>
        </w:tc>
      </w:tr>
    </w:tbl>
    <w:p w14:paraId="13D154E4" w14:textId="77777777" w:rsidR="00B67F58" w:rsidRPr="00182C98" w:rsidRDefault="00B67F58" w:rsidP="00891D22">
      <w:pPr>
        <w:spacing w:after="0"/>
        <w:rPr>
          <w:rFonts w:eastAsiaTheme="minorEastAsia"/>
          <w:b/>
          <w:bCs/>
          <w:noProof/>
        </w:rPr>
      </w:pPr>
      <w:r w:rsidRPr="00182C98">
        <w:rPr>
          <w:b/>
          <w:noProof/>
        </w:rPr>
        <w:t xml:space="preserve"> </w:t>
      </w:r>
    </w:p>
    <w:p w14:paraId="4C1A27CA" w14:textId="044EA940" w:rsidR="00083043" w:rsidRPr="00182C98" w:rsidRDefault="00471AE3" w:rsidP="00471AE3">
      <w:pPr>
        <w:rPr>
          <w:rFonts w:eastAsiaTheme="minorEastAsia"/>
          <w:noProof/>
        </w:rPr>
      </w:pPr>
      <w:r w:rsidRPr="00182C98">
        <w:rPr>
          <w:b/>
          <w:noProof/>
        </w:rPr>
        <w:t>Agențiile de creditare a exporturilor (ACE) joacă un rol fundamental în sprijinirea întreprinderilor în cadrul schimburilor comerciale internaționale.</w:t>
      </w:r>
      <w:r w:rsidRPr="00182C98">
        <w:rPr>
          <w:noProof/>
        </w:rPr>
        <w:t xml:space="preserve"> </w:t>
      </w:r>
      <w:bookmarkStart w:id="25" w:name="_Hlk145326626"/>
      <w:r w:rsidRPr="00182C98">
        <w:rPr>
          <w:noProof/>
        </w:rPr>
        <w:t xml:space="preserve">Între creditele la export ale statelor membre ale UE și instrumentele de finanțare de la nivelul UE începe să aibă loc o abordare mai coordonată, care ar trebui consolidată în continuare. </w:t>
      </w:r>
      <w:bookmarkEnd w:id="25"/>
      <w:r w:rsidRPr="00182C98">
        <w:rPr>
          <w:noProof/>
        </w:rPr>
        <w:t>Ca urmare a războiului de agresiune al Rusiei împotriva Ucrainei, majoritatea ACE din UE și-au suspendat acoperirea riscurilor pentru Ucraina, ceea ce a avut un impact negativ asupra capacității întreprinderilor din UE de a exporta în Ucraina. O facilitate-pilot de aproximativ 300 de milioane EUR în cursul anului 2024 în cadrul componentei pentru IMM-uri a InvestEU va permite agențiilor de creditare a exporturilor să își reia activitatea în ceea ce privește Ucraina. Se preconizează că facilitatea-pilot va îmbunătăți competitivitatea IMM-urilor europene prin stabilirea unor legături mai strânse cu Ucraina, permițând oferirea de sprijin pentru exporturi noi în valoare de câteva sute de milioane EUR.</w:t>
      </w:r>
    </w:p>
    <w:tbl>
      <w:tblPr>
        <w:tblStyle w:val="TableGrid"/>
        <w:tblW w:w="0" w:type="auto"/>
        <w:tblLook w:val="04A0" w:firstRow="1" w:lastRow="0" w:firstColumn="1" w:lastColumn="0" w:noHBand="0" w:noVBand="1"/>
      </w:tblPr>
      <w:tblGrid>
        <w:gridCol w:w="9288"/>
      </w:tblGrid>
      <w:tr w:rsidR="00471AE3" w:rsidRPr="00182C98" w14:paraId="50DBEDC6" w14:textId="77777777" w:rsidTr="0039014E">
        <w:tc>
          <w:tcPr>
            <w:tcW w:w="0" w:type="auto"/>
          </w:tcPr>
          <w:p w14:paraId="1E648CB0" w14:textId="08DF187F" w:rsidR="00471AE3" w:rsidRPr="00182C98" w:rsidRDefault="00083043" w:rsidP="0039014E">
            <w:pPr>
              <w:pStyle w:val="Commissionwill"/>
              <w:ind w:right="170"/>
              <w:rPr>
                <w:rStyle w:val="Strong"/>
                <w:noProof/>
              </w:rPr>
            </w:pPr>
            <w:r w:rsidRPr="00182C98">
              <w:rPr>
                <w:rStyle w:val="Strong"/>
                <w:noProof/>
              </w:rPr>
              <w:t>Comisia:</w:t>
            </w:r>
          </w:p>
          <w:p w14:paraId="1275EB98" w14:textId="2A150CFC" w:rsidR="00471AE3" w:rsidRPr="00182C98" w:rsidRDefault="00B146D0" w:rsidP="00C15711">
            <w:pPr>
              <w:pStyle w:val="Bulletpoint1"/>
              <w:numPr>
                <w:ilvl w:val="0"/>
                <w:numId w:val="6"/>
              </w:numPr>
              <w:spacing w:after="120"/>
              <w:ind w:left="426" w:right="170" w:hanging="426"/>
              <w:rPr>
                <w:rFonts w:eastAsiaTheme="minorEastAsia"/>
                <w:noProof/>
              </w:rPr>
            </w:pPr>
            <w:r w:rsidRPr="00182C98">
              <w:rPr>
                <w:b/>
                <w:noProof/>
              </w:rPr>
              <w:t>Acțiunea 12</w:t>
            </w:r>
            <w:r w:rsidRPr="00182C98">
              <w:rPr>
                <w:noProof/>
              </w:rPr>
              <w:t xml:space="preserve">: va colabora cu FEI în vederea instituirii în cursul anului 2024 a unei facilități-pilot care să permită agențiilor de creditare a exporturilor să sprijine IMM-urile în cadrul schimburilor comerciale cu Ucraina. </w:t>
            </w:r>
          </w:p>
        </w:tc>
      </w:tr>
    </w:tbl>
    <w:p w14:paraId="203DB0AE" w14:textId="77777777" w:rsidR="00471AE3" w:rsidRPr="00182C98" w:rsidRDefault="00471AE3" w:rsidP="00471AE3">
      <w:pPr>
        <w:spacing w:after="0"/>
        <w:rPr>
          <w:rFonts w:eastAsiaTheme="minorEastAsia"/>
          <w:noProof/>
        </w:rPr>
      </w:pPr>
    </w:p>
    <w:p w14:paraId="11857C05" w14:textId="6A0185B8" w:rsidR="00E6747A" w:rsidRPr="00182C98" w:rsidRDefault="008D7386" w:rsidP="00E6747A">
      <w:pPr>
        <w:rPr>
          <w:noProof/>
        </w:rPr>
      </w:pPr>
      <w:r w:rsidRPr="00182C98">
        <w:rPr>
          <w:b/>
          <w:noProof/>
          <w:color w:val="000000"/>
        </w:rPr>
        <w:t>Ca parte a inițiativei mai ample privind uniunea piețelor de capital (UPC)</w:t>
      </w:r>
      <w:r w:rsidRPr="00182C98">
        <w:rPr>
          <w:rStyle w:val="FootnoteReference"/>
          <w:rFonts w:eastAsiaTheme="minorEastAsia"/>
          <w:b/>
          <w:bCs/>
          <w:noProof/>
          <w:color w:val="000000" w:themeColor="text1"/>
        </w:rPr>
        <w:footnoteReference w:id="69"/>
      </w:r>
      <w:r w:rsidRPr="00182C98">
        <w:rPr>
          <w:b/>
          <w:noProof/>
          <w:color w:val="000000"/>
        </w:rPr>
        <w:t>,</w:t>
      </w:r>
      <w:r w:rsidRPr="00182C98">
        <w:rPr>
          <w:b/>
          <w:noProof/>
        </w:rPr>
        <w:t xml:space="preserve"> crearea unor piețe de creștere pentru IMM-uri, a unor fonduri paneuropene cu capital de risc și a unei finanțări participative a </w:t>
      </w:r>
      <w:r w:rsidRPr="00182C98">
        <w:rPr>
          <w:b/>
          <w:noProof/>
          <w:color w:val="000000"/>
        </w:rPr>
        <w:t xml:space="preserve">îmbunătățit accesul IMM-urilor la finanțare. </w:t>
      </w:r>
      <w:r w:rsidRPr="00182C98">
        <w:rPr>
          <w:noProof/>
          <w:color w:val="000000"/>
        </w:rPr>
        <w:t>Recentul acord politic privind punctul unic de acces european va spori vizibilitatea atât a întreprinderilor mari, cât și a celor mici pentru investitori, iar normele revizuite referitoare la Regulamentul privind fondurile europene de investiții pe termen lung și fondurile de investiții alternative vor extinde rezerva de finanțare disponibilă pentru IMM-uri. Propunerile de acte legislative privind cotarea</w:t>
      </w:r>
      <w:r w:rsidRPr="00182C98">
        <w:rPr>
          <w:rStyle w:val="FootnoteReference"/>
          <w:noProof/>
          <w:color w:val="000000"/>
        </w:rPr>
        <w:footnoteReference w:id="70"/>
      </w:r>
      <w:r w:rsidRPr="00182C98">
        <w:rPr>
          <w:noProof/>
          <w:color w:val="000000"/>
        </w:rPr>
        <w:t xml:space="preserve"> urmăresc să promoveze accesul la finanțare pe piețele publice al societăților, inclusiv al IMM-urilor, prin reducerea birocrației și simplificarea normelor și permițându-le proprietarilor de întreprinderi să își păstreze competențele decizionale după cotarea societăților lor.</w:t>
      </w:r>
      <w:r w:rsidRPr="00182C98">
        <w:rPr>
          <w:noProof/>
        </w:rPr>
        <w:t xml:space="preserve"> Sporirea nivelului de ambiție pentru propunerile de acte legislative privind cotarea este esențial pentru a se asigura că întreprinderile cu creștere puternică continuă să se dezvolte și să creeze locuri de muncă în UE.</w:t>
      </w:r>
      <w:r w:rsidRPr="00182C98">
        <w:rPr>
          <w:noProof/>
          <w:color w:val="000000"/>
        </w:rPr>
        <w:t xml:space="preserve"> </w:t>
      </w:r>
      <w:bookmarkStart w:id="26" w:name="_Hlk144896200"/>
      <w:r w:rsidRPr="00182C98">
        <w:rPr>
          <w:noProof/>
        </w:rPr>
        <w:t xml:space="preserve">Pentru a oferi IMM-urilor un acces mai bun la surse de finanțare și capitaluri proprii bazate pe piață, vor fi importante adoptarea rapidă a propunerilor legislative din cadrul Planului de acțiune privind uniunea piețelor de capital din 2020 și continuarea discuțiilor privind dezvoltarea în viitor a uniunii piețelor de capital, în special în cadrul Eurogrupului. </w:t>
      </w:r>
      <w:bookmarkEnd w:id="26"/>
    </w:p>
    <w:p w14:paraId="6625826B" w14:textId="053B9B38" w:rsidR="00471AE3" w:rsidRPr="00182C98" w:rsidRDefault="00471AE3" w:rsidP="00471AE3">
      <w:pPr>
        <w:rPr>
          <w:rFonts w:eastAsiaTheme="minorEastAsia"/>
          <w:noProof/>
        </w:rPr>
      </w:pPr>
      <w:r w:rsidRPr="00182C98">
        <w:rPr>
          <w:b/>
          <w:noProof/>
        </w:rPr>
        <w:t>O altă cale de sprijinire a IMM-urilor este Consiliul European pentru Inovare (CEI), care este principalul instrument al UE pentru furnizarea de finanțare mixtă (granturi și capital propriu sau cvasicapital) întreprinderilor nou-înființate cu creștere rapidă și IMM-urilor care urmăresc inovații revoluționare.</w:t>
      </w:r>
      <w:r w:rsidRPr="00182C98">
        <w:rPr>
          <w:noProof/>
        </w:rPr>
        <w:t xml:space="preserve"> Fondul CEI oferă acestor întreprinderi o finanțare sub formă de capitaluri proprii cu o valoare cuprinsă între 0,5 milioane și 15 milioane EUR, mobilizând un buget de 10 miliarde EUR pentru a atrage între 30 de miliarde EUR și 50 de miliarde EUR de la investitori privați. Pentru întreprinderile care au nevoie de runde de finanțare ulterioară sau de cuantumuri mai mari pentru investiții, propunerea Comisiei privind STEP prevede un buget suplimentar de 2,63 miliarde EUR care să permită Fondului CEI să asigure investiții de capital fără precedent cuprinse între 15 milioane EUR și 50 de milioane EUR în tehnologii de importanță strategică pentru Europa. Prin generarea de investiții private suplimentare, acestea ar putea duce la un sprijin nou sub formă de capitaluri proprii în valoare de 13 miliarde EUR pentru IMM-urile care nu sunt eligibile pentru finanțare bancară și pentru întreprinderile mici cu capitalizare medie.</w:t>
      </w:r>
    </w:p>
    <w:p w14:paraId="48091DE9" w14:textId="5ABE598E" w:rsidR="00471AE3" w:rsidRPr="00182C98" w:rsidRDefault="00471AE3" w:rsidP="00471AE3">
      <w:pPr>
        <w:rPr>
          <w:rFonts w:eastAsiaTheme="minorEastAsia"/>
          <w:noProof/>
        </w:rPr>
      </w:pPr>
      <w:r w:rsidRPr="00182C98">
        <w:rPr>
          <w:b/>
          <w:noProof/>
        </w:rPr>
        <w:t>De asemenea, Comisia va sprijini IMM-urile cu măsuri în materie de eficiență energetică</w:t>
      </w:r>
      <w:r w:rsidRPr="00182C98">
        <w:rPr>
          <w:noProof/>
        </w:rPr>
        <w:t xml:space="preserve"> (de la audituri energetice la tehnologii și cursuri de formare), punând la dispoziție, prin intermediul unor cereri de propuneri deschise, 10 milioane EUR din Programul privind piața unică prin Rețeaua întreprinderilor europene.</w:t>
      </w:r>
    </w:p>
    <w:p w14:paraId="7CC1620B" w14:textId="77777777" w:rsidR="00CE0E51" w:rsidRPr="00182C98" w:rsidRDefault="00CE0E51" w:rsidP="00CE0E51">
      <w:pPr>
        <w:pStyle w:val="Heading3"/>
        <w:rPr>
          <w:noProof/>
        </w:rPr>
      </w:pPr>
      <w:r w:rsidRPr="00182C98">
        <w:rPr>
          <w:noProof/>
        </w:rPr>
        <w:t>Achizițiile publice</w:t>
      </w:r>
    </w:p>
    <w:p w14:paraId="5F3B55A9" w14:textId="537E8EDA" w:rsidR="00F4457A" w:rsidRPr="00182C98" w:rsidRDefault="00CE0E51" w:rsidP="00CE0E51">
      <w:pPr>
        <w:rPr>
          <w:rStyle w:val="Strong"/>
          <w:iCs/>
          <w:noProof/>
        </w:rPr>
      </w:pPr>
      <w:r w:rsidRPr="00182C98">
        <w:rPr>
          <w:b/>
          <w:noProof/>
        </w:rPr>
        <w:t>Facilitarea accesului pe piețele de achiziții publice poate ajuta IMM-urile să își deblocheze potențialul, cu un impact pozitiv asupra creșterii și redresării economice</w:t>
      </w:r>
      <w:r w:rsidRPr="00182C98">
        <w:rPr>
          <w:noProof/>
        </w:rPr>
        <w:t>. O parte substanțială a investițiilor publice este cheltuită prin intermediul achizițiilor publice, reprezentând 14 % din PIB-ul UE. Cu toate acestea, IMM-urile întâmpină dificultăți în ceea ce privește accesul la achizițiile publice. Comisia a prezentat inițiative care facilitează accesul întreprinderilor, inclusiv al IMM-urilor, la achizițiile publice, inclusiv la cele transfrontaliere</w:t>
      </w:r>
      <w:r w:rsidRPr="00182C98">
        <w:rPr>
          <w:rStyle w:val="FootnoteReference"/>
          <w:noProof/>
        </w:rPr>
        <w:footnoteReference w:id="71"/>
      </w:r>
      <w:r w:rsidRPr="00182C98">
        <w:rPr>
          <w:noProof/>
        </w:rPr>
        <w:t xml:space="preserve">. Obiectivul este de a crește proporția de contracte de achiziții publice atribuite IMM-urilor, în conformitate cu ponderea lor globală în economie. </w:t>
      </w:r>
      <w:r w:rsidRPr="00182C98">
        <w:rPr>
          <w:rStyle w:val="Strong"/>
          <w:noProof/>
        </w:rPr>
        <w:t xml:space="preserve">Pentru a îmbunătăți participarea IMM-urilor la achizițiile publice, va fi importantă </w:t>
      </w:r>
      <w:r w:rsidRPr="00182C98">
        <w:rPr>
          <w:noProof/>
        </w:rPr>
        <w:t xml:space="preserve">promovarea utilizării unor dispoziții și clauze standardizate în documentele de achiziții, în special pentru contractele cu risc scăzut sau cu valoare scăzută, facilitând gestionarea documentelor de licitație de către IMM-uri. Ar trebui promovate practici care să îmbunătățească implicarea IMM-urilor, cum ar fi utilizarea unor condiții adecvate pentru IMM-uri (calificări financiare și termene de plată mai favorabile). </w:t>
      </w:r>
    </w:p>
    <w:tbl>
      <w:tblPr>
        <w:tblStyle w:val="TableGrid"/>
        <w:tblW w:w="0" w:type="auto"/>
        <w:tblLook w:val="04A0" w:firstRow="1" w:lastRow="0" w:firstColumn="1" w:lastColumn="0" w:noHBand="0" w:noVBand="1"/>
      </w:tblPr>
      <w:tblGrid>
        <w:gridCol w:w="9288"/>
      </w:tblGrid>
      <w:tr w:rsidR="00F4457A" w:rsidRPr="00182C98" w14:paraId="65CE8ACD" w14:textId="77777777" w:rsidTr="00F4457A">
        <w:tc>
          <w:tcPr>
            <w:tcW w:w="9288" w:type="dxa"/>
          </w:tcPr>
          <w:p w14:paraId="1A4D2DA8" w14:textId="2C29829B" w:rsidR="00F4457A" w:rsidRPr="00182C98" w:rsidRDefault="00F4457A" w:rsidP="00F4457A">
            <w:pPr>
              <w:rPr>
                <w:rStyle w:val="Strong"/>
                <w:i/>
                <w:noProof/>
              </w:rPr>
            </w:pPr>
            <w:r w:rsidRPr="00182C98">
              <w:rPr>
                <w:rStyle w:val="Strong"/>
                <w:i/>
                <w:noProof/>
              </w:rPr>
              <w:t>Comisia:</w:t>
            </w:r>
          </w:p>
          <w:p w14:paraId="258E7941" w14:textId="2B8BD9D0" w:rsidR="00F4457A" w:rsidRPr="00182C98" w:rsidRDefault="00B146D0" w:rsidP="00BC268B">
            <w:pPr>
              <w:pStyle w:val="ListParagraph"/>
              <w:numPr>
                <w:ilvl w:val="0"/>
                <w:numId w:val="26"/>
              </w:numPr>
              <w:spacing w:after="120"/>
              <w:rPr>
                <w:rStyle w:val="Strong"/>
                <w:iCs/>
                <w:noProof/>
              </w:rPr>
            </w:pPr>
            <w:bookmarkStart w:id="27" w:name="_Hlk144894490"/>
            <w:r w:rsidRPr="00182C98">
              <w:rPr>
                <w:rStyle w:val="Strong"/>
                <w:b/>
                <w:noProof/>
              </w:rPr>
              <w:t>Acțiunea 13</w:t>
            </w:r>
            <w:r w:rsidRPr="00182C98">
              <w:rPr>
                <w:rStyle w:val="Strong"/>
                <w:noProof/>
              </w:rPr>
              <w:t>: va promova utilizarea unor dispoziții standardizate privind achizițiile publice și a unor condiții adecvate pentru IMM-uri, pentru a îmbunătăți participarea IMM-urilor la achizițiile publice.</w:t>
            </w:r>
            <w:bookmarkEnd w:id="27"/>
          </w:p>
        </w:tc>
      </w:tr>
    </w:tbl>
    <w:p w14:paraId="3016EE21" w14:textId="0EE58BAE" w:rsidR="6B266DAD" w:rsidRPr="00182C98" w:rsidRDefault="00261920" w:rsidP="00240DD4">
      <w:pPr>
        <w:pStyle w:val="Heading3"/>
        <w:spacing w:before="240"/>
        <w:rPr>
          <w:noProof/>
        </w:rPr>
      </w:pPr>
      <w:bookmarkStart w:id="28" w:name="_Ref144585996"/>
      <w:r w:rsidRPr="00182C98">
        <w:rPr>
          <w:noProof/>
        </w:rPr>
        <w:t>Facilitarea accesului IMM-urilor la finanțare durabilă</w:t>
      </w:r>
      <w:bookmarkEnd w:id="28"/>
      <w:r w:rsidRPr="00182C98">
        <w:rPr>
          <w:noProof/>
        </w:rPr>
        <w:t xml:space="preserve"> </w:t>
      </w:r>
    </w:p>
    <w:p w14:paraId="1776D0C0" w14:textId="79C26BCB" w:rsidR="00340766" w:rsidRPr="00182C98" w:rsidRDefault="00985F6C" w:rsidP="00891D22">
      <w:pPr>
        <w:rPr>
          <w:noProof/>
        </w:rPr>
      </w:pPr>
      <w:r w:rsidRPr="00182C98">
        <w:rPr>
          <w:b/>
          <w:noProof/>
        </w:rPr>
        <w:t>IMM-urile joacă un rol important în sprijinirea Europei pentru atingerea obiectivelor sale de neutralitate climatică și a altor obiective de mediu</w:t>
      </w:r>
      <w:r w:rsidRPr="00182C98">
        <w:rPr>
          <w:rStyle w:val="FootnoteReference"/>
          <w:b/>
          <w:bCs/>
          <w:noProof/>
        </w:rPr>
        <w:footnoteReference w:id="72"/>
      </w:r>
      <w:r w:rsidRPr="00182C98">
        <w:rPr>
          <w:b/>
          <w:noProof/>
        </w:rPr>
        <w:t>. Prin urmare, este esențială o creștere a finanțării pentru tranziția către durabilitate a IMM-urilor, reducând în același timp la minimum sarcina administrativă.</w:t>
      </w:r>
      <w:r w:rsidRPr="00182C98">
        <w:rPr>
          <w:noProof/>
        </w:rPr>
        <w:t xml:space="preserve"> Pentru a-și valorifica întregul potențial în vederea tranziției către o economie durabilă, IMM-urile au nevoie în special (1) de un cadru simplu și standardizat de raportare cu privire la aspectele MSG (de mediu, sociale și de guvernanță) și (2) de instituții financiare care să le sprijine în eforturile lor de tranziție către întreprinderi durabile.</w:t>
      </w:r>
    </w:p>
    <w:p w14:paraId="0CBD9999" w14:textId="4E7F0515" w:rsidR="00DB31D4" w:rsidRPr="00182C98" w:rsidRDefault="00A97A70" w:rsidP="00580B42">
      <w:pPr>
        <w:rPr>
          <w:noProof/>
        </w:rPr>
      </w:pPr>
      <w:r w:rsidRPr="00182C98">
        <w:rPr>
          <w:b/>
          <w:noProof/>
        </w:rPr>
        <w:t>În pofida măsurilor deja puse în aplicare pentru a răspunde nevoilor lor</w:t>
      </w:r>
      <w:r w:rsidRPr="00182C98">
        <w:rPr>
          <w:rStyle w:val="FootnoteReference"/>
          <w:b/>
          <w:bCs/>
          <w:noProof/>
        </w:rPr>
        <w:footnoteReference w:id="73"/>
      </w:r>
      <w:r w:rsidRPr="00182C98">
        <w:rPr>
          <w:b/>
          <w:noProof/>
        </w:rPr>
        <w:t>, IMM-urile întâmpină dificultăți în a obține finanțare pentru proiectele lor ecologice.</w:t>
      </w:r>
      <w:r w:rsidRPr="00182C98">
        <w:rPr>
          <w:noProof/>
        </w:rPr>
        <w:t xml:space="preserve"> IMM-urile, cu excepția IMM-urilor cotate, nu fac în mod oficial obiectul cerințelor cadrului UE privind finanțarea durabilă. Cu toate acestea, Comisia este conștientă de faptul că aceste IMM-uri se confruntă cu cereri din ce în ce mai mari de informații privind durabilitatea, adesea într-un format nestandardizat, din partea partenerilor lor financiari și din lanțul valoric. În acest context, Comisia este conștientă de preocupările exprimate de IMM-uri cu privire la efectele de propagare a acestor noi norme de raportare privind durabilitatea. </w:t>
      </w:r>
    </w:p>
    <w:p w14:paraId="4E619D71" w14:textId="4F078277" w:rsidR="0024709B" w:rsidRPr="00182C98" w:rsidRDefault="000A4C9C" w:rsidP="00307B9C">
      <w:pPr>
        <w:rPr>
          <w:noProof/>
        </w:rPr>
      </w:pPr>
      <w:r w:rsidRPr="00182C98">
        <w:rPr>
          <w:b/>
          <w:noProof/>
        </w:rPr>
        <w:t>Comisia ia măsuri pentru a răspunde acestor preocupări.</w:t>
      </w:r>
      <w:r w:rsidRPr="00182C98">
        <w:rPr>
          <w:noProof/>
        </w:rPr>
        <w:t xml:space="preserve"> În primul rând, Comisia a încurajat</w:t>
      </w:r>
      <w:r w:rsidRPr="00182C98">
        <w:rPr>
          <w:rStyle w:val="FootnoteReference"/>
          <w:noProof/>
        </w:rPr>
        <w:footnoteReference w:id="74"/>
      </w:r>
      <w:r w:rsidRPr="00182C98">
        <w:rPr>
          <w:noProof/>
        </w:rPr>
        <w:t xml:space="preserve"> intermediarii corporativi și financiari de mari dimensiuni să aplice principiul proporționalității atunci când colaborează cu IMM-uri și să dea dovadă de moderație atunci când solicită informații de la IMM-urile partenere din lanțul valoric. Aceasta prezintă, de asemenea, orientări specifice, inclusiv instrumente voluntare pe care IMM-urile le pot utiliza pentru a accesa finanțare pentru tranziție. </w:t>
      </w:r>
    </w:p>
    <w:p w14:paraId="14329B88" w14:textId="64DEDA5B" w:rsidR="00307B9C" w:rsidRPr="00182C98" w:rsidRDefault="000A4C9C" w:rsidP="00307B9C">
      <w:pPr>
        <w:rPr>
          <w:noProof/>
        </w:rPr>
      </w:pPr>
      <w:r w:rsidRPr="00182C98">
        <w:rPr>
          <w:b/>
          <w:noProof/>
        </w:rPr>
        <w:t>Standarde de raportare simplificate pentru IMM-urile cotate la bursă sunt în curs de elaborare de către Grupul Consultativ European pentru Raportare Financiară (EFRAG).</w:t>
      </w:r>
      <w:r w:rsidRPr="00182C98">
        <w:rPr>
          <w:noProof/>
        </w:rPr>
        <w:t xml:space="preserve"> Comisia se va asigura că aceste standarde pentru IMM-urile cotate la bursă sunt proporționale. Standardele vor limita informațiile pe care trebuie să le raporteze IMM-urile cotate la bursă care intră în domeniul de aplicare al CSRD. De asemenea, ele vor stabili o limită legală în ceea ce privește informațiile pe care întreprinderile mari ar putea fi obligate să le obțină de la IMM-urile din lanțul lor valoric în temeiul standardelor europene de raportare privind durabilitatea și, astfel, vor limita efectele de propagare. Aceasta reprezintă o garanție importantă prevăzută în CSRD pentru a limita impactul indirect asupra IMM-urilor al cerințelor de raportare în cadrul lanțului valoric impuse întreprinderilor mari. În cadrul negocierilor în curs referitoare la Directiva privind diligența necesară în materie de durabilitate a întreprinderilor, Comisia va încerca să se asigure că aceste garanții sunt menținute în acest context. În plus, EFRAG va elabora un standard voluntar pentru IMM-urile necotate la bursă pe care IMM-urile îl pot utiliza pentru a standardiza informațiile privind durabilitatea pe care doresc să le raporteze, creând oportunități mai bune de a obține finanțare verde și facilitând astfel tranziția către o economie durabilă. </w:t>
      </w:r>
    </w:p>
    <w:p w14:paraId="4C57B1DC" w14:textId="6B3C95C9" w:rsidR="00DD3231" w:rsidRPr="00182C98" w:rsidRDefault="00DD3231" w:rsidP="00DD3231">
      <w:pPr>
        <w:rPr>
          <w:noProof/>
        </w:rPr>
      </w:pPr>
      <w:r w:rsidRPr="00182C98">
        <w:rPr>
          <w:b/>
          <w:noProof/>
        </w:rPr>
        <w:t>Instrumentele ușor de utilizat, informațiile și schimbul de cunoștințe, în cooperare cu părțile interesate din industrie, vor ajuta IMM-urile să navigheze prin cadrul de finanțare durabilă al UE</w:t>
      </w:r>
      <w:r w:rsidRPr="00182C98">
        <w:rPr>
          <w:noProof/>
        </w:rPr>
        <w:t>. În special, abordările simplificate, dezvoltate împreună cu Platforma privind finanțarea durabilă, ar trebui să permită IMM-urilor necotate la bursă să beneficieze de pe urma utilizării taxonomiei.</w:t>
      </w:r>
    </w:p>
    <w:p w14:paraId="6BAA64C0" w14:textId="4143B47A" w:rsidR="001B1521" w:rsidRPr="00182C98" w:rsidRDefault="001B1521" w:rsidP="003A160A">
      <w:pPr>
        <w:rPr>
          <w:rFonts w:ascii="Calibri" w:hAnsi="Calibri" w:cs="Calibri"/>
          <w:noProof/>
        </w:rPr>
      </w:pPr>
      <w:r w:rsidRPr="00182C98">
        <w:rPr>
          <w:b/>
          <w:noProof/>
        </w:rPr>
        <w:t>În plus, instituțiile financiare trebuie să sprijine IMM-urile în eforturile lor de tranziție către întreprinderi durabile.</w:t>
      </w:r>
      <w:r w:rsidRPr="00182C98">
        <w:rPr>
          <w:noProof/>
        </w:rPr>
        <w:t xml:space="preserve"> Pentru aceasta este nevoie de o mai bună integrare a finanțării verzi pentru IMM-uri în modelele de afaceri ale băncilor. Sunt necesare definirea conceptului de împrumuturi verzi și stabilirea unor standarde pentru împrumuturile verzi la nivelul UE pentru a spori gradul de utilizare a acestora. Includerea unor astfel de împrumuturi acordate IMM-urilor în numărătorul ratei activelor verzi al băncilor ar trebui, de exemplu, să confere mai multă vizibilitate împrumuturilor verzi pentru IMM-uri și să încurajeze instituțiile financiare să ofere finanțare durabilă IMM-urilor.</w:t>
      </w:r>
    </w:p>
    <w:tbl>
      <w:tblPr>
        <w:tblStyle w:val="TableGrid"/>
        <w:tblpPr w:leftFromText="180" w:rightFromText="180" w:vertAnchor="text" w:horzAnchor="margin" w:tblpY="43"/>
        <w:tblW w:w="0" w:type="auto"/>
        <w:tblLook w:val="0600" w:firstRow="0" w:lastRow="0" w:firstColumn="0" w:lastColumn="0" w:noHBand="1" w:noVBand="1"/>
      </w:tblPr>
      <w:tblGrid>
        <w:gridCol w:w="9288"/>
      </w:tblGrid>
      <w:tr w:rsidR="00434033" w:rsidRPr="00182C98" w14:paraId="31D8AFEE" w14:textId="77777777" w:rsidTr="00434033">
        <w:tc>
          <w:tcPr>
            <w:tcW w:w="0" w:type="auto"/>
          </w:tcPr>
          <w:p w14:paraId="21F38FF8" w14:textId="1D6250CF" w:rsidR="00434033" w:rsidRPr="00182C98" w:rsidRDefault="00870980" w:rsidP="00434033">
            <w:pPr>
              <w:pStyle w:val="Commissionwill"/>
              <w:ind w:right="170"/>
              <w:rPr>
                <w:rStyle w:val="Strong"/>
                <w:noProof/>
              </w:rPr>
            </w:pPr>
            <w:r w:rsidRPr="00182C98">
              <w:rPr>
                <w:rStyle w:val="Strong"/>
                <w:noProof/>
              </w:rPr>
              <w:t>Pe baza rezultatelor diferitelor studii în curs ale Comisiei privind IMM-urile și a rapoartelor privind taxonomia/finanțarea durabilă, Comisia:</w:t>
            </w:r>
          </w:p>
          <w:p w14:paraId="782197F1" w14:textId="1A8A772A" w:rsidR="00444A92" w:rsidRPr="00182C98" w:rsidRDefault="00B146D0" w:rsidP="00307B9C">
            <w:pPr>
              <w:pStyle w:val="Bulletpoint1"/>
              <w:numPr>
                <w:ilvl w:val="0"/>
                <w:numId w:val="5"/>
              </w:numPr>
              <w:rPr>
                <w:noProof/>
                <w:color w:val="auto"/>
              </w:rPr>
            </w:pPr>
            <w:r w:rsidRPr="00182C98">
              <w:rPr>
                <w:b/>
                <w:noProof/>
              </w:rPr>
              <w:t>Acțiunea 14</w:t>
            </w:r>
            <w:r w:rsidRPr="00182C98">
              <w:rPr>
                <w:noProof/>
              </w:rPr>
              <w:t>: se va asigura că IMM-urile dispun de un cadru simplu și standardizat de raportare cu privire la aspectele MSG, prin limitarea riscului ca cerințele de publicare a informațiilor să se aplice IMM-urilor necotate la bursă din lanțul valoric al întreprinderilor care intră în domeniul de aplicare al CSRD și prin asigurarea furnizării rapide de standarde voluntare pentru IMM-urile necotate la bursă.</w:t>
            </w:r>
          </w:p>
          <w:p w14:paraId="40F665B6" w14:textId="4D0A353D" w:rsidR="001B1521" w:rsidRPr="00182C98" w:rsidRDefault="00B146D0" w:rsidP="00BC7CF0">
            <w:pPr>
              <w:pStyle w:val="Bulletpoint1"/>
              <w:numPr>
                <w:ilvl w:val="0"/>
                <w:numId w:val="5"/>
              </w:numPr>
              <w:ind w:right="170"/>
              <w:rPr>
                <w:noProof/>
              </w:rPr>
            </w:pPr>
            <w:r w:rsidRPr="00182C98">
              <w:rPr>
                <w:b/>
                <w:noProof/>
                <w:color w:val="auto"/>
              </w:rPr>
              <w:t>Acțiunea 15</w:t>
            </w:r>
            <w:r w:rsidRPr="00182C98">
              <w:rPr>
                <w:noProof/>
                <w:color w:val="auto"/>
              </w:rPr>
              <w:t>: va încuraja instituțiile financiare să includă în modelele lor de afaceri finanțarea verde pentru IMM-uri prin:</w:t>
            </w:r>
          </w:p>
          <w:p w14:paraId="4C8CDF12" w14:textId="7425AE5D" w:rsidR="001B1521" w:rsidRPr="00182C98" w:rsidRDefault="001B1521" w:rsidP="00891D22">
            <w:pPr>
              <w:pStyle w:val="Bulletpoint1"/>
              <w:numPr>
                <w:ilvl w:val="1"/>
                <w:numId w:val="5"/>
              </w:numPr>
              <w:ind w:right="170"/>
              <w:rPr>
                <w:noProof/>
              </w:rPr>
            </w:pPr>
            <w:r w:rsidRPr="00182C98">
              <w:rPr>
                <w:noProof/>
                <w:color w:val="auto"/>
              </w:rPr>
              <w:t>depunerea de eforturi în vederea elaborării unui standard sau a unei definiții a împrumuturilor verzi, în special pentru IMM-uri, pe baza recomandărilor viitoare ale Autorității Bancare Europene</w:t>
            </w:r>
            <w:r w:rsidRPr="00182C98">
              <w:rPr>
                <w:rStyle w:val="FootnoteReference"/>
                <w:noProof/>
                <w:color w:val="auto"/>
              </w:rPr>
              <w:footnoteReference w:id="75"/>
            </w:r>
            <w:r w:rsidRPr="00182C98">
              <w:rPr>
                <w:noProof/>
                <w:color w:val="auto"/>
              </w:rPr>
              <w:t>;</w:t>
            </w:r>
          </w:p>
          <w:p w14:paraId="4BD1272C" w14:textId="77837E50" w:rsidR="00BB35CC" w:rsidRPr="00182C98" w:rsidRDefault="001B1521" w:rsidP="00891D22">
            <w:pPr>
              <w:pStyle w:val="Bulletpoint1"/>
              <w:numPr>
                <w:ilvl w:val="1"/>
                <w:numId w:val="5"/>
              </w:numPr>
              <w:ind w:right="170"/>
              <w:rPr>
                <w:rFonts w:ascii="Calibri" w:hAnsi="Calibri" w:cs="Calibri"/>
                <w:noProof/>
              </w:rPr>
            </w:pPr>
            <w:r w:rsidRPr="00182C98">
              <w:rPr>
                <w:noProof/>
                <w:color w:val="auto"/>
              </w:rPr>
              <w:t>evaluarea unei adaptări favorabile IMM-urilor a ratei activelor verzi</w:t>
            </w:r>
            <w:r w:rsidRPr="00182C98">
              <w:rPr>
                <w:noProof/>
              </w:rPr>
              <w:t xml:space="preserve"> </w:t>
            </w:r>
            <w:r w:rsidRPr="00182C98">
              <w:rPr>
                <w:noProof/>
                <w:color w:val="auto"/>
              </w:rPr>
              <w:t xml:space="preserve">care trebuie luată în considerare în cadrul unei viitoare actualizări a Actului delegat privind obligația furnizării de informații privind taxonomia. </w:t>
            </w:r>
          </w:p>
        </w:tc>
      </w:tr>
    </w:tbl>
    <w:p w14:paraId="1E3875D3" w14:textId="6E2FAEB4" w:rsidR="00BF0D28" w:rsidRPr="00182C98" w:rsidRDefault="00BF0D28" w:rsidP="00240DD4">
      <w:pPr>
        <w:pStyle w:val="Heading2"/>
        <w:spacing w:after="240"/>
        <w:ind w:left="578" w:hanging="578"/>
        <w:rPr>
          <w:noProof/>
        </w:rPr>
      </w:pPr>
      <w:r w:rsidRPr="00182C98">
        <w:rPr>
          <w:noProof/>
        </w:rPr>
        <w:t>Facilitarea accesului la personal calificat</w:t>
      </w:r>
    </w:p>
    <w:p w14:paraId="770CE6FB" w14:textId="3A232D6B" w:rsidR="00BF0D28" w:rsidRPr="00182C98" w:rsidRDefault="00BF0D28" w:rsidP="00837960">
      <w:pPr>
        <w:rPr>
          <w:noProof/>
        </w:rPr>
      </w:pPr>
      <w:r w:rsidRPr="00182C98">
        <w:rPr>
          <w:b/>
          <w:noProof/>
        </w:rPr>
        <w:t>Modul în care IMM-urile și lucrătorii lor învață, participă în societate și își gestionează activitățile cotidiene se schimbă odată cu evoluțiile tehnologice, cu provocările globale și demografice.</w:t>
      </w:r>
      <w:r w:rsidRPr="00182C98">
        <w:rPr>
          <w:noProof/>
        </w:rPr>
        <w:t xml:space="preserve"> IMM-urile au nevoie de acces la forță de muncă calificată pentru a face față acestor schimbări și pentru a-și asigura reziliența, contribuind în același timp la societate, productivitate și inovare.</w:t>
      </w:r>
    </w:p>
    <w:p w14:paraId="787338AF" w14:textId="1BA93ABB" w:rsidR="00411C9E" w:rsidRPr="00182C98" w:rsidRDefault="00BF0D28" w:rsidP="00837960">
      <w:pPr>
        <w:rPr>
          <w:noProof/>
        </w:rPr>
      </w:pPr>
      <w:r w:rsidRPr="00182C98">
        <w:rPr>
          <w:noProof/>
        </w:rPr>
        <w:t>Comisia se bazează pe Agenda europeană pentru competențe</w:t>
      </w:r>
      <w:r w:rsidRPr="00182C98">
        <w:rPr>
          <w:noProof/>
          <w:vertAlign w:val="superscript"/>
        </w:rPr>
        <w:footnoteReference w:id="76"/>
      </w:r>
      <w:r w:rsidRPr="00182C98">
        <w:rPr>
          <w:noProof/>
        </w:rPr>
        <w:t xml:space="preserve"> pentru a ajuta statele membre să se asigure că 60 % din totalul adulților în vârstă de muncă participă la programe de formare în fiecare an, în conformitate cu obiectivul stabilit în Planul de acțiune privind Pilonul european al drepturilor sociale</w:t>
      </w:r>
      <w:r w:rsidRPr="00182C98">
        <w:rPr>
          <w:noProof/>
          <w:vertAlign w:val="superscript"/>
        </w:rPr>
        <w:footnoteReference w:id="77"/>
      </w:r>
      <w:r w:rsidRPr="00182C98">
        <w:rPr>
          <w:noProof/>
        </w:rPr>
        <w:t>. Anul european al competențelor și resursele financiare fără precedent ale UE disponibile pentru dezvoltarea competențelor în cursul perioadei de programare a CFM 2021-27, în special o sumă estimată la 65 de miliarde EUR din Mecanismul de redresare și reziliență și din Fondul social european Plus, reprezintă, de asemenea, o oportunitate unică de a accelera acțiunile care pot favoriza accesul IMM-urilor la o rezervă profundă și diversă de competențe, cum ar fi propunerile privind educația și competențele digitale</w:t>
      </w:r>
      <w:r w:rsidRPr="00182C98">
        <w:rPr>
          <w:rStyle w:val="FootnoteReference"/>
          <w:noProof/>
        </w:rPr>
        <w:footnoteReference w:id="78"/>
      </w:r>
      <w:r w:rsidRPr="00182C98">
        <w:rPr>
          <w:noProof/>
        </w:rPr>
        <w:t>. În acest sens, proiectul-pilot privind Certificatul european de competențe digitale</w:t>
      </w:r>
      <w:r w:rsidRPr="00182C98">
        <w:rPr>
          <w:rStyle w:val="FootnoteReference"/>
          <w:noProof/>
        </w:rPr>
        <w:footnoteReference w:id="79"/>
      </w:r>
      <w:r w:rsidRPr="00182C98">
        <w:rPr>
          <w:noProof/>
        </w:rPr>
        <w:t xml:space="preserve">, în cooperare cu statele membre și cu părțile interesate, va contribui la sporirea transparenței și a recunoașterii competențelor digitale, facilitând accesul IMM-urilor la talentele de care au nevoie pentru tranziția digitală. </w:t>
      </w:r>
    </w:p>
    <w:p w14:paraId="5D6665F2" w14:textId="463EDC0B" w:rsidR="004B6370" w:rsidRPr="00182C98" w:rsidRDefault="005C43C1" w:rsidP="00837960">
      <w:pPr>
        <w:rPr>
          <w:rStyle w:val="normaltextrun"/>
          <w:noProof/>
        </w:rPr>
      </w:pPr>
      <w:r w:rsidRPr="00182C98">
        <w:rPr>
          <w:b/>
          <w:noProof/>
        </w:rPr>
        <w:t>Ca parte a modernizării sistemelor de educație și formare profesională (EFP)</w:t>
      </w:r>
      <w:r w:rsidRPr="00182C98">
        <w:rPr>
          <w:rStyle w:val="FootnoteReference"/>
          <w:b/>
          <w:bCs/>
          <w:noProof/>
        </w:rPr>
        <w:footnoteReference w:id="80"/>
      </w:r>
      <w:r w:rsidRPr="00182C98">
        <w:rPr>
          <w:b/>
          <w:noProof/>
        </w:rPr>
        <w:t xml:space="preserve">, </w:t>
      </w:r>
      <w:r w:rsidRPr="00182C98">
        <w:rPr>
          <w:rStyle w:val="eop"/>
          <w:b/>
          <w:noProof/>
        </w:rPr>
        <w:t>UE sprijină, de asemenea,</w:t>
      </w:r>
      <w:hyperlink r:id="rId16" w:anchor=":~:text=Centres%20of%20Vocational%20Excellence%20(CoVEs,specialisation%20strategies%20and%20social%20inclusion." w:tgtFrame="_blank" w:history="1">
        <w:r w:rsidRPr="00182C98">
          <w:rPr>
            <w:b/>
            <w:noProof/>
          </w:rPr>
          <w:t xml:space="preserve"> centrele de excelență profesională</w:t>
        </w:r>
        <w:r w:rsidRPr="00182C98">
          <w:rPr>
            <w:rStyle w:val="FootnoteReference"/>
            <w:b/>
            <w:bCs/>
            <w:noProof/>
          </w:rPr>
          <w:footnoteReference w:id="81"/>
        </w:r>
      </w:hyperlink>
      <w:r w:rsidRPr="00182C98">
        <w:rPr>
          <w:rStyle w:val="normaltextrun"/>
          <w:b/>
          <w:noProof/>
        </w:rPr>
        <w:t xml:space="preserve"> pentru a dezvolta „ecosisteme de competențe”</w:t>
      </w:r>
      <w:r w:rsidRPr="00182C98">
        <w:rPr>
          <w:rStyle w:val="normaltextrun"/>
          <w:noProof/>
        </w:rPr>
        <w:t xml:space="preserve"> locale, de la producția avansată la inteligența artificială, la tehnologia apei și la înverzirea urbană. Aceste centre colaborează îndeaproape cu întreprinderile, inclusiv cu IMM-urile, și contribuie la dezvoltarea regională, la antreprenoriat, la inovare și la strategiile de specializare inteligentă. </w:t>
      </w:r>
      <w:r w:rsidRPr="00182C98">
        <w:rPr>
          <w:noProof/>
        </w:rPr>
        <w:t>Alianța europeană pentru ucenicii sprijină promovarea de programe de ucenicie mai multe și mai bune în întreaga UE, ca parcursuri de învățare eficace pentru a atrage lucrătorii calificați de care au nevoie întreprinderile, în special IMM-urile.</w:t>
      </w:r>
    </w:p>
    <w:p w14:paraId="56753EDE" w14:textId="5660BB50" w:rsidR="00FC691B" w:rsidRPr="00182C98" w:rsidRDefault="00BF0D28" w:rsidP="00411C9E">
      <w:pPr>
        <w:rPr>
          <w:rFonts w:eastAsia="Times New Roman"/>
          <w:noProof/>
        </w:rPr>
      </w:pPr>
      <w:r w:rsidRPr="00182C98">
        <w:rPr>
          <w:b/>
          <w:noProof/>
        </w:rPr>
        <w:t>În cadrul Pactului UE pentru competențe</w:t>
      </w:r>
      <w:r w:rsidRPr="00182C98">
        <w:rPr>
          <w:bCs/>
          <w:noProof/>
          <w:vertAlign w:val="superscript"/>
        </w:rPr>
        <w:footnoteReference w:id="82"/>
      </w:r>
      <w:r w:rsidRPr="00182C98">
        <w:rPr>
          <w:b/>
          <w:noProof/>
        </w:rPr>
        <w:t>, 18 parteneriate la scară largă pentru competențe (LSP), care acoperă toate ecosistemele industriale, colaborează pentru identificarea nevoilor în materie de competențe și pentru introducerea de cursuri de formare în întreprinderi și în lanțurile lor de aprovizionare pentru perfecționarea și recalificarea unui număr de 10 milioane de lucrători până în 2030.</w:t>
      </w:r>
      <w:r w:rsidRPr="00182C98">
        <w:rPr>
          <w:noProof/>
        </w:rPr>
        <w:t xml:space="preserve"> IMM-urile sunt implicate activ în toate parteneriatele la scară largă pentru competențe în mod direct, în calitate de membri individuali, și indirect prin intermediul organizațiilor de rețele sectoriale. Parteneriatul cu alți actori, cum ar fi partenerii sociali, și rețele în cadrul parteneriatelor la scară largă pentru competențe le oferă acestora acces la programe de formare, la conținut și la materiale care, în caz contrar, nu le-ar fi fost accesibile având în vedere dimensiunea și resursele lor limitate. </w:t>
      </w:r>
    </w:p>
    <w:p w14:paraId="5671DD4C" w14:textId="2D5196F8" w:rsidR="00D91E89" w:rsidRPr="00182C98" w:rsidRDefault="00D91E89" w:rsidP="00411C9E">
      <w:pPr>
        <w:rPr>
          <w:noProof/>
        </w:rPr>
      </w:pPr>
      <w:r w:rsidRPr="00182C98">
        <w:rPr>
          <w:b/>
          <w:noProof/>
        </w:rPr>
        <w:t>Rețeaua întreprinderilor europene joacă un rol important în oferirea de formare IMM</w:t>
      </w:r>
      <w:r w:rsidR="0061781A" w:rsidRPr="00182C98">
        <w:rPr>
          <w:b/>
          <w:noProof/>
        </w:rPr>
        <w:noBreakHyphen/>
      </w:r>
      <w:r w:rsidRPr="00182C98">
        <w:rPr>
          <w:b/>
          <w:noProof/>
        </w:rPr>
        <w:t>urilor</w:t>
      </w:r>
      <w:r w:rsidRPr="00182C98">
        <w:rPr>
          <w:noProof/>
        </w:rPr>
        <w:t xml:space="preserve"> pentru a le ajuta să se conformeze noilor cerințe, să profite de oportunitățile oferite de măsuri precum Regulamentul privind industria care contribuie la obiectivul zero emisii nete sau Actul privind materiile prime critice și să abordeze implicațiile Pactului verde și ale legislației în materie de durabilitate, cum ar fi Directiva privind diligența necesară în materie de durabilitate a întreprinderilor.</w:t>
      </w:r>
    </w:p>
    <w:p w14:paraId="2C27410B" w14:textId="768D4235" w:rsidR="00C15711" w:rsidRPr="00182C98" w:rsidRDefault="00C15711" w:rsidP="00411C9E">
      <w:pPr>
        <w:rPr>
          <w:noProof/>
        </w:rPr>
      </w:pPr>
      <w:r w:rsidRPr="00182C98">
        <w:rPr>
          <w:b/>
          <w:noProof/>
        </w:rPr>
        <w:t xml:space="preserve">Competențele antreprenoriale sunt esențiale pentru a-i ajuta pe antreprenorii existenți să își dezvolte afacerea și pentru a încuraja un număr mai mare de persoane să urmeze o carieră antreprenorială. </w:t>
      </w:r>
      <w:r w:rsidRPr="00182C98">
        <w:rPr>
          <w:noProof/>
        </w:rPr>
        <w:t>Pentru a sprijini femeile să devină antreprenoare, Comisia a desfășurat activități de sensibilizare combinate cu activități de formare, mentorat și îndrumare și cu îmbunătățirea accesului antreprenoarelor la finanțare și la rețele de întreprinderi. De exemplu, Erasmus pentru tineri antreprenori</w:t>
      </w:r>
      <w:r w:rsidRPr="00182C98">
        <w:rPr>
          <w:rStyle w:val="FootnoteReference"/>
          <w:noProof/>
        </w:rPr>
        <w:footnoteReference w:id="83"/>
      </w:r>
      <w:r w:rsidRPr="00182C98">
        <w:rPr>
          <w:noProof/>
        </w:rPr>
        <w:t xml:space="preserve"> a sprijinit peste 9 000 de femei antreprenoare, iar inițiativa Women TechEU</w:t>
      </w:r>
      <w:r w:rsidRPr="00182C98">
        <w:rPr>
          <w:rStyle w:val="FootnoteReference"/>
          <w:noProof/>
        </w:rPr>
        <w:footnoteReference w:id="84"/>
      </w:r>
      <w:r w:rsidRPr="00182C98">
        <w:rPr>
          <w:noProof/>
        </w:rPr>
        <w:t xml:space="preserve"> a oferit finanțare întreprinderilor înființate de femei, cu un buget de peste 10 milioane EUR. Cu toate acestea, sunt necesare eforturi suplimentare pentru a debloca întregul potențial antreprenorial al femeilor, tinerilor și grupurilor expuse riscului de excludere. </w:t>
      </w:r>
    </w:p>
    <w:p w14:paraId="045076C8" w14:textId="12A3DED8" w:rsidR="001D2265" w:rsidRPr="00182C98" w:rsidRDefault="00C15711" w:rsidP="00411C9E">
      <w:pPr>
        <w:rPr>
          <w:rFonts w:cstheme="minorHAnsi"/>
          <w:noProof/>
          <w:color w:val="000000" w:themeColor="text1"/>
        </w:rPr>
      </w:pPr>
      <w:r w:rsidRPr="00182C98">
        <w:rPr>
          <w:b/>
          <w:noProof/>
          <w:color w:val="000000" w:themeColor="text1"/>
        </w:rPr>
        <w:t>În final, este nevoie și de simplificarea proceselor pentru ca IMM-urile să atragă talente din străinătate.</w:t>
      </w:r>
      <w:r w:rsidRPr="00182C98">
        <w:rPr>
          <w:noProof/>
          <w:color w:val="000000" w:themeColor="text1"/>
        </w:rPr>
        <w:t xml:space="preserve"> Comisia va propune mai târziu în cursul acestui an un pachet privind maximizarea potențialului mobilității talentelor, care va include o propunere legislativă privind instituirea unei rezerve de talente la nivelul UE și o inițiativă de colaborare cu statele membre pentru a facilita recunoașterea mai rapidă a calificărilor profesionale ale resortisanților țărilor terțe, inclusiv prin parteneriate cu țările terțe, pentru a îmbunătăți recrutarea și corelarea cererii cu oferta de locuri de muncă. </w:t>
      </w:r>
    </w:p>
    <w:tbl>
      <w:tblPr>
        <w:tblStyle w:val="TableGrid"/>
        <w:tblpPr w:leftFromText="181" w:rightFromText="181" w:vertAnchor="text" w:tblpY="1"/>
        <w:tblW w:w="0" w:type="auto"/>
        <w:tblLook w:val="04A0" w:firstRow="1" w:lastRow="0" w:firstColumn="1" w:lastColumn="0" w:noHBand="0" w:noVBand="1"/>
      </w:tblPr>
      <w:tblGrid>
        <w:gridCol w:w="9288"/>
      </w:tblGrid>
      <w:tr w:rsidR="00CE741B" w:rsidRPr="00182C98" w14:paraId="692F84D4" w14:textId="77777777" w:rsidTr="00FC691B">
        <w:tc>
          <w:tcPr>
            <w:tcW w:w="9288" w:type="dxa"/>
          </w:tcPr>
          <w:p w14:paraId="09AEE30B" w14:textId="5D8040EF" w:rsidR="00CE741B" w:rsidRPr="00182C98" w:rsidRDefault="00D91E89" w:rsidP="00FC691B">
            <w:pPr>
              <w:pStyle w:val="Commissionwill"/>
              <w:ind w:right="170"/>
              <w:rPr>
                <w:noProof/>
              </w:rPr>
            </w:pPr>
            <w:r w:rsidRPr="00182C98">
              <w:rPr>
                <w:noProof/>
              </w:rPr>
              <w:t xml:space="preserve">Comisia: </w:t>
            </w:r>
          </w:p>
          <w:p w14:paraId="1548E05C" w14:textId="07CD60D9" w:rsidR="00CE741B" w:rsidRPr="00182C98" w:rsidRDefault="00B146D0" w:rsidP="00FC691B">
            <w:pPr>
              <w:pStyle w:val="Bulletpoint1"/>
              <w:ind w:right="170"/>
              <w:rPr>
                <w:noProof/>
              </w:rPr>
            </w:pPr>
            <w:r w:rsidRPr="00182C98">
              <w:rPr>
                <w:b/>
                <w:noProof/>
              </w:rPr>
              <w:t>Acțiunea 16</w:t>
            </w:r>
            <w:r w:rsidRPr="00182C98">
              <w:rPr>
                <w:noProof/>
              </w:rPr>
              <w:t>: va prezenta o propunere de instituire a unei rezerve de talente la nivelul UE și o inițiativă de îmbunătățire a recunoașterii calificărilor și a competențelor resortisanților țărilor terțe în vederea abordării lacunelor în materie de competențe de pe piața muncii din UE – până în T4 din 2023.</w:t>
            </w:r>
          </w:p>
          <w:p w14:paraId="19082992" w14:textId="2E7A4B1E" w:rsidR="00CE741B" w:rsidRPr="00182C98" w:rsidRDefault="00D91E89" w:rsidP="00C15711">
            <w:pPr>
              <w:pStyle w:val="Bulletpoint1"/>
              <w:spacing w:after="120"/>
              <w:ind w:right="170"/>
              <w:rPr>
                <w:noProof/>
              </w:rPr>
            </w:pPr>
            <w:r w:rsidRPr="00182C98">
              <w:rPr>
                <w:b/>
                <w:noProof/>
              </w:rPr>
              <w:t>Acțiunea 17</w:t>
            </w:r>
            <w:r w:rsidRPr="00182C98">
              <w:rPr>
                <w:noProof/>
              </w:rPr>
              <w:t>: va colabora cu grupuri al căror potențial antreprenorial neexploatat rămâne ridicat, cum ar fi femeile, tinerii și persoanele cu dizabilități, prin campanii de sensibilizare, mentorat și îndrumare.</w:t>
            </w:r>
          </w:p>
        </w:tc>
      </w:tr>
    </w:tbl>
    <w:p w14:paraId="1457DBBA" w14:textId="78ABD02C" w:rsidR="00356744" w:rsidRPr="00182C98" w:rsidRDefault="00356744" w:rsidP="00240DD4">
      <w:pPr>
        <w:pStyle w:val="Heading2"/>
        <w:spacing w:after="240"/>
        <w:ind w:left="578" w:hanging="578"/>
        <w:rPr>
          <w:noProof/>
        </w:rPr>
      </w:pPr>
      <w:bookmarkStart w:id="29" w:name="_Hlk140582438"/>
      <w:r w:rsidRPr="00182C98">
        <w:rPr>
          <w:noProof/>
        </w:rPr>
        <w:t>Sprijinirea IMM-urilor pe parcursul întregului ciclu de viață al acestora</w:t>
      </w:r>
    </w:p>
    <w:bookmarkEnd w:id="29"/>
    <w:p w14:paraId="3C9F49EB" w14:textId="39D82FD4" w:rsidR="00356744" w:rsidRPr="00182C98" w:rsidRDefault="00356744" w:rsidP="00837960">
      <w:pPr>
        <w:pStyle w:val="Heading3"/>
        <w:rPr>
          <w:noProof/>
        </w:rPr>
      </w:pPr>
      <w:r w:rsidRPr="00182C98">
        <w:rPr>
          <w:noProof/>
        </w:rPr>
        <w:t>Înființarea unei noi întreprinderi</w:t>
      </w:r>
    </w:p>
    <w:p w14:paraId="51DE91A5" w14:textId="492951AD" w:rsidR="00356744" w:rsidRPr="00182C98" w:rsidRDefault="00356744" w:rsidP="00E00E9D">
      <w:pPr>
        <w:rPr>
          <w:noProof/>
        </w:rPr>
      </w:pPr>
      <w:r w:rsidRPr="00182C98">
        <w:rPr>
          <w:b/>
          <w:noProof/>
        </w:rPr>
        <w:t>De la revizuirea „Small Business Act”</w:t>
      </w:r>
      <w:r w:rsidRPr="00182C98">
        <w:rPr>
          <w:b/>
          <w:bCs/>
          <w:noProof/>
          <w:vertAlign w:val="superscript"/>
        </w:rPr>
        <w:footnoteReference w:id="85"/>
      </w:r>
      <w:r w:rsidRPr="00182C98">
        <w:rPr>
          <w:b/>
          <w:noProof/>
        </w:rPr>
        <w:t>, Comisia a colaborat cu statele membre pentru a reduce timpul necesar pentru înființarea de noi întreprinderi.</w:t>
      </w:r>
      <w:r w:rsidRPr="00182C98">
        <w:rPr>
          <w:noProof/>
        </w:rPr>
        <w:t xml:space="preserve"> Inițiativa din 2016 privind întreprinderile nou-înființate și extinderea acestora</w:t>
      </w:r>
      <w:r w:rsidRPr="00182C98">
        <w:rPr>
          <w:noProof/>
          <w:vertAlign w:val="superscript"/>
        </w:rPr>
        <w:footnoteReference w:id="86"/>
      </w:r>
      <w:r w:rsidRPr="00182C98">
        <w:rPr>
          <w:noProof/>
        </w:rPr>
        <w:t xml:space="preserve"> a inclus o serie de acțiuni menite să sporească atractivitatea pentru antreprenori a înființării și extinderii unei întreprinderi în Europa. Comisia încurajează, de asemenea, statele membre să stimuleze crearea de întreprinderi noi prin punerea în aplicare a principiilor și a celor mai bune practici prezentate în Declarația privind standardul de excelență „Startup Nations” al UE</w:t>
      </w:r>
      <w:r w:rsidRPr="00182C98">
        <w:rPr>
          <w:noProof/>
          <w:vertAlign w:val="superscript"/>
        </w:rPr>
        <w:footnoteReference w:id="87"/>
      </w:r>
      <w:r w:rsidRPr="00182C98">
        <w:rPr>
          <w:noProof/>
        </w:rPr>
        <w:t>, cum ar fi:</w:t>
      </w:r>
    </w:p>
    <w:p w14:paraId="5500881A" w14:textId="3D54DD14" w:rsidR="00BC64B7" w:rsidRPr="00182C98" w:rsidRDefault="00BC64B7" w:rsidP="00BC64B7">
      <w:pPr>
        <w:pStyle w:val="Bulletpoint1"/>
        <w:ind w:left="567" w:hanging="425"/>
        <w:rPr>
          <w:noProof/>
        </w:rPr>
      </w:pPr>
      <w:r w:rsidRPr="00182C98">
        <w:rPr>
          <w:noProof/>
        </w:rPr>
        <w:t>facilitarea creării de noi entități juridice pentru întreprinderile nou-înființate, atât online, cât și offline, într-un interval de timp minim și cu costuri minime, inclusiv făcând posibilă depunerea online a documentelor administrative pentru înființarea unei întreprinderi noi sau a unei filiale în alte state membre</w:t>
      </w:r>
      <w:r w:rsidRPr="00182C98">
        <w:rPr>
          <w:rStyle w:val="FootnoteReference"/>
          <w:noProof/>
        </w:rPr>
        <w:footnoteReference w:id="88"/>
      </w:r>
      <w:r w:rsidRPr="00182C98">
        <w:rPr>
          <w:noProof/>
        </w:rPr>
        <w:t>;</w:t>
      </w:r>
    </w:p>
    <w:p w14:paraId="2CAE781F" w14:textId="7BB2166A" w:rsidR="006861B3" w:rsidRPr="00182C98" w:rsidRDefault="00356744" w:rsidP="006861B3">
      <w:pPr>
        <w:pStyle w:val="Bulletpoint1"/>
        <w:ind w:left="567" w:hanging="425"/>
        <w:rPr>
          <w:noProof/>
        </w:rPr>
      </w:pPr>
      <w:r w:rsidRPr="00182C98">
        <w:rPr>
          <w:noProof/>
        </w:rPr>
        <w:t>crearea unei căi rapide pentru întreprinderile nou-înființate (inclusiv a unui serviciu de asistență privind accesul pe piață) prin intermediul unui ghișeu unic online care să ofere informații complete cu privire la cerințele administrative naționale și la oportunitățile de finanțare, care să fie conectat la portalul digital unic;</w:t>
      </w:r>
    </w:p>
    <w:p w14:paraId="40E47F62" w14:textId="78E2A723" w:rsidR="00507A9C" w:rsidRPr="00182C98" w:rsidRDefault="006861B3" w:rsidP="006861B3">
      <w:pPr>
        <w:pStyle w:val="Bulletpoint1"/>
        <w:ind w:left="567" w:hanging="425"/>
        <w:rPr>
          <w:noProof/>
        </w:rPr>
      </w:pPr>
      <w:r w:rsidRPr="00182C98">
        <w:rPr>
          <w:noProof/>
        </w:rPr>
        <w:t>sprijinirea diversității și a incluziunii, în conformitate, de asemenea, cu planul de acțiune pentru economia socială</w:t>
      </w:r>
      <w:r w:rsidRPr="00182C98">
        <w:rPr>
          <w:rStyle w:val="FootnoteReference"/>
          <w:noProof/>
        </w:rPr>
        <w:footnoteReference w:id="89"/>
      </w:r>
      <w:r w:rsidRPr="00182C98">
        <w:rPr>
          <w:noProof/>
        </w:rPr>
        <w:t xml:space="preserve">. </w:t>
      </w:r>
    </w:p>
    <w:p w14:paraId="4BD5CA63" w14:textId="5F8290DD" w:rsidR="00356744" w:rsidRPr="00182C98" w:rsidRDefault="00356744" w:rsidP="00345D12">
      <w:pPr>
        <w:pStyle w:val="Heading3"/>
        <w:rPr>
          <w:noProof/>
        </w:rPr>
      </w:pPr>
      <w:r w:rsidRPr="00182C98">
        <w:rPr>
          <w:noProof/>
        </w:rPr>
        <w:t>Dezvoltarea întreprinderii</w:t>
      </w:r>
    </w:p>
    <w:p w14:paraId="1FA8320D" w14:textId="7A12CBA7" w:rsidR="00747296" w:rsidRPr="00182C98" w:rsidRDefault="00F70D83" w:rsidP="00747296">
      <w:pPr>
        <w:rPr>
          <w:noProof/>
        </w:rPr>
      </w:pPr>
      <w:r w:rsidRPr="00182C98">
        <w:rPr>
          <w:b/>
          <w:noProof/>
        </w:rPr>
        <w:t>Măsurile din prezenta comunicare vor permite IMM-urilor să devină competitive și să se dezvolte.</w:t>
      </w:r>
      <w:r w:rsidRPr="00182C98">
        <w:rPr>
          <w:noProof/>
        </w:rPr>
        <w:t xml:space="preserve"> IMM-urile sunt definite în prezent ca întreprinderi cu mai puțin de 250 de angajați și cu o cifră de afaceri anuală de până la 50 de milioane EUR sau cu un bilanț total de până la 43 de milioane EUR. Aceste praguri au fost stabilite în 2003. Cu toate că, douăzeci de ani mai târziu, marea majoritate a întreprinderilor se încadrează în continuare în definiția IMM-urilor, unele întreprinderi depășesc caracteristicile prevăzute în definiție și devin așa-numitele întreprinderi cu capitalizare medie.</w:t>
      </w:r>
    </w:p>
    <w:p w14:paraId="6D545777" w14:textId="4CF0184C" w:rsidR="00F70D83" w:rsidRPr="00182C98" w:rsidRDefault="00747296" w:rsidP="00747296">
      <w:pPr>
        <w:rPr>
          <w:noProof/>
        </w:rPr>
      </w:pPr>
      <w:r w:rsidRPr="00182C98">
        <w:rPr>
          <w:b/>
          <w:noProof/>
        </w:rPr>
        <w:t>În 2021, Comisia a evaluat definiția IMM-urilor și a ajuns la concluzia că aceasta este în continuare relevantă</w:t>
      </w:r>
      <w:r w:rsidRPr="00182C98">
        <w:rPr>
          <w:noProof/>
        </w:rPr>
        <w:t xml:space="preserve"> (cifra de afaceri medie a IMM-urilor din UE rămânând cu mult sub pragul stabilit)</w:t>
      </w:r>
      <w:r w:rsidRPr="00182C98">
        <w:rPr>
          <w:rStyle w:val="FootnoteReference"/>
          <w:noProof/>
        </w:rPr>
        <w:footnoteReference w:id="90"/>
      </w:r>
      <w:r w:rsidRPr="00182C98">
        <w:rPr>
          <w:noProof/>
        </w:rPr>
        <w:t xml:space="preserve">. Această evaluare a fost efectuată pe baza datelor din 2018 și nu a putut reflecta impactul pandemiei, al războiului din Ucraina și al crizei energetice, care au zdruncinat de atunci economia UE și, în special, au determinat o creștere semnificativă a inflației, care se reduce doar treptat. În plus, având în vedere provocările economice actuale și viitoare – de la digitalizare la schimbările demografice –, ar trebui să se acorde o mai mare recunoaștere creșterii productivității din ultimele două decenii și să se țină seama de aceasta atunci când sunt definite limitele superioare ale statutului de IMM. </w:t>
      </w:r>
    </w:p>
    <w:p w14:paraId="1F175259" w14:textId="2FAE71FB" w:rsidR="00F70D83" w:rsidRPr="00182C98" w:rsidRDefault="00F70D83" w:rsidP="00747296">
      <w:pPr>
        <w:rPr>
          <w:noProof/>
        </w:rPr>
      </w:pPr>
      <w:r w:rsidRPr="00182C98">
        <w:rPr>
          <w:b/>
          <w:noProof/>
        </w:rPr>
        <w:t>În evaluarea din 2021 a fost, de asemenea, recunoscută necesitatea de a „examina provocările cu care se confruntă întreprinderile odată ce au depășit etapa de IMM”</w:t>
      </w:r>
      <w:r w:rsidRPr="00182C98">
        <w:rPr>
          <w:rStyle w:val="FootnoteReference"/>
          <w:noProof/>
        </w:rPr>
        <w:footnoteReference w:id="91"/>
      </w:r>
      <w:r w:rsidRPr="00182C98">
        <w:rPr>
          <w:noProof/>
        </w:rPr>
        <w:t>. De exemplu, pot exista efecte de plafon în cazul în care beneficiile diferitelor măsuri luate în favoarea IMM-urilor se pierd atunci când o întreprindere aflată în creștere depășește unul dintre acești parametri.</w:t>
      </w:r>
    </w:p>
    <w:p w14:paraId="7268AD2C" w14:textId="5773E060" w:rsidR="00747296" w:rsidRPr="00182C98" w:rsidRDefault="0071322B" w:rsidP="00747296">
      <w:pPr>
        <w:rPr>
          <w:noProof/>
        </w:rPr>
      </w:pPr>
      <w:r w:rsidRPr="00182C98">
        <w:rPr>
          <w:b/>
          <w:noProof/>
        </w:rPr>
        <w:t>Un studiu recent al Comisiei a evidențiat rolul esențial pe care îl au întreprinderile cu capitalizare medie în cadrul economiei UE</w:t>
      </w:r>
      <w:r w:rsidRPr="00182C98">
        <w:rPr>
          <w:rStyle w:val="FootnoteReference"/>
          <w:b/>
          <w:bCs/>
          <w:noProof/>
        </w:rPr>
        <w:footnoteReference w:id="92"/>
      </w:r>
      <w:r w:rsidRPr="00182C98">
        <w:rPr>
          <w:noProof/>
        </w:rPr>
        <w:t xml:space="preserve">: întreprinderile mici cu capitalizare medie (între 250 și 499 de angajați) și întreprinderile mari cu capitalizare medie (între 500 și 1 499 de angajați) reprezintă împreună peste 13 % din totalul locurilor de muncă din sectorul întreprinderilor nefinanciare europene. Ponderea întreprinderilor cu capitalizare medie este deosebit de ridicată în cadrul ecosistemelor industriale care sunt esențiale pentru competitivitatea și suveranitatea tehnologică a UE: sectoarele produselor electronice, aerospațial și al apărării, al energiei, al industriilor energointensive și al sănătății. </w:t>
      </w:r>
    </w:p>
    <w:p w14:paraId="0E00C841" w14:textId="015ED9F5" w:rsidR="00F70D83" w:rsidRPr="00182C98" w:rsidRDefault="00F70D83" w:rsidP="00747296">
      <w:pPr>
        <w:rPr>
          <w:noProof/>
        </w:rPr>
      </w:pPr>
      <w:r w:rsidRPr="00182C98">
        <w:rPr>
          <w:b/>
          <w:noProof/>
        </w:rPr>
        <w:t>Sunt disponibile diverse scheme de finanțare pentru finanțarea de risc și pentru extindere aprobate de Comisia Europeană în vederea sprijinirii procesului de dezvoltare dinamică a acestor întreprinderi și a abordării deficitului de finanțare cu care se confruntă acestea.</w:t>
      </w:r>
      <w:r w:rsidRPr="00182C98">
        <w:rPr>
          <w:noProof/>
        </w:rPr>
        <w:t xml:space="preserve"> Orientările privind ajutoarele de stat pentru promovarea investițiilor de finanțare de risc conțin o definiție a întreprinderilor mici cu capitalizare medie și permit acordarea de sprijin, în anumite condiții, acestor întreprinderi. De asemenea, Comisia oferă statelor membre posibilitatea de a sprijini întreprinderile cu capitalizare medie în temeiul cadrului temporar de criză și de tranziție</w:t>
      </w:r>
      <w:r w:rsidRPr="00182C98">
        <w:rPr>
          <w:rStyle w:val="FootnoteReference"/>
          <w:noProof/>
        </w:rPr>
        <w:footnoteReference w:id="93"/>
      </w:r>
      <w:r w:rsidRPr="00182C98">
        <w:rPr>
          <w:noProof/>
        </w:rPr>
        <w:t xml:space="preserve"> și al Regulamentului general de exceptare pe categorii de ajutoare revizuit</w:t>
      </w:r>
      <w:r w:rsidRPr="00182C98">
        <w:rPr>
          <w:rStyle w:val="FootnoteReference"/>
          <w:noProof/>
        </w:rPr>
        <w:footnoteReference w:id="94"/>
      </w:r>
      <w:r w:rsidRPr="00182C98">
        <w:rPr>
          <w:noProof/>
        </w:rPr>
        <w:t xml:space="preserve">. </w:t>
      </w:r>
    </w:p>
    <w:p w14:paraId="244B464B" w14:textId="7AE06EBB" w:rsidR="00747296" w:rsidRPr="00182C98" w:rsidRDefault="00F70D83" w:rsidP="00747296">
      <w:pPr>
        <w:rPr>
          <w:noProof/>
        </w:rPr>
      </w:pPr>
      <w:r w:rsidRPr="00182C98">
        <w:rPr>
          <w:b/>
          <w:noProof/>
        </w:rPr>
        <w:t>Întreprinderile mici cu capitalizare medie se dezvoltă, de obicei, mai rapid, sunt mai inovatoare și abordează mai bine aspectul digitalizării în comparație cu IMM-urile, însă se confruntă în continuare cu anumite provocări, cum ar fi deficitul de angajați calificați sau sarcina administrativă.</w:t>
      </w:r>
      <w:r w:rsidRPr="00182C98">
        <w:rPr>
          <w:noProof/>
        </w:rPr>
        <w:t xml:space="preserve"> Datele statistice privind întreprinderile mici cu capitalizare medie sunt limitate și nu există o abordare coerentă pentru sprijinirea dezvoltării acestor întreprinderi.</w:t>
      </w:r>
    </w:p>
    <w:tbl>
      <w:tblPr>
        <w:tblStyle w:val="TableGrid"/>
        <w:tblW w:w="0" w:type="auto"/>
        <w:tblLook w:val="04A0" w:firstRow="1" w:lastRow="0" w:firstColumn="1" w:lastColumn="0" w:noHBand="0" w:noVBand="1"/>
      </w:tblPr>
      <w:tblGrid>
        <w:gridCol w:w="9288"/>
      </w:tblGrid>
      <w:tr w:rsidR="00345D12" w:rsidRPr="00182C98" w14:paraId="5D89FE43" w14:textId="77777777" w:rsidTr="00345D12">
        <w:tc>
          <w:tcPr>
            <w:tcW w:w="9288" w:type="dxa"/>
          </w:tcPr>
          <w:p w14:paraId="1E1F34CF" w14:textId="77777777" w:rsidR="00D91E89" w:rsidRPr="00182C98" w:rsidRDefault="00345D12" w:rsidP="00345D12">
            <w:pPr>
              <w:rPr>
                <w:i/>
                <w:iCs/>
                <w:noProof/>
                <w:color w:val="000000" w:themeColor="text1"/>
              </w:rPr>
            </w:pPr>
            <w:r w:rsidRPr="00182C98">
              <w:rPr>
                <w:i/>
                <w:noProof/>
                <w:color w:val="000000" w:themeColor="text1"/>
              </w:rPr>
              <w:t>Comisia:</w:t>
            </w:r>
          </w:p>
          <w:p w14:paraId="595CE63F" w14:textId="3E1BBC48" w:rsidR="00D91E89" w:rsidRPr="00182C98" w:rsidRDefault="00B146D0" w:rsidP="0039014E">
            <w:pPr>
              <w:pStyle w:val="ListParagraph"/>
              <w:numPr>
                <w:ilvl w:val="0"/>
                <w:numId w:val="18"/>
              </w:numPr>
              <w:rPr>
                <w:noProof/>
                <w:color w:val="000000" w:themeColor="text1"/>
              </w:rPr>
            </w:pPr>
            <w:r w:rsidRPr="00182C98">
              <w:rPr>
                <w:b/>
                <w:noProof/>
                <w:color w:val="000000" w:themeColor="text1"/>
              </w:rPr>
              <w:t>Acțiunea 18</w:t>
            </w:r>
            <w:r w:rsidRPr="00182C98">
              <w:rPr>
                <w:noProof/>
                <w:color w:val="000000" w:themeColor="text1"/>
              </w:rPr>
              <w:t xml:space="preserve">: va acorda atenție nevoilor întreprinderilor care depășesc pragurile din definiția IMM-ului, precum și ale gamei mai largi de întreprinderi mici cu capitalizare medie și, </w:t>
            </w:r>
            <w:r w:rsidRPr="00182C98">
              <w:rPr>
                <w:b/>
                <w:noProof/>
                <w:color w:val="000000" w:themeColor="text1"/>
              </w:rPr>
              <w:t>până la finalul anului 2023</w:t>
            </w:r>
            <w:r w:rsidRPr="00182C98">
              <w:rPr>
                <w:noProof/>
                <w:color w:val="000000" w:themeColor="text1"/>
              </w:rPr>
              <w:t xml:space="preserve">: </w:t>
            </w:r>
          </w:p>
          <w:p w14:paraId="472264C0" w14:textId="7CD976F9" w:rsidR="00A96456" w:rsidRPr="00182C98" w:rsidRDefault="00A96456" w:rsidP="00D91E89">
            <w:pPr>
              <w:pStyle w:val="ListParagraph"/>
              <w:numPr>
                <w:ilvl w:val="1"/>
                <w:numId w:val="27"/>
              </w:numPr>
              <w:rPr>
                <w:noProof/>
                <w:color w:val="000000" w:themeColor="text1"/>
              </w:rPr>
            </w:pPr>
            <w:r w:rsidRPr="00182C98">
              <w:rPr>
                <w:noProof/>
                <w:color w:val="000000" w:themeColor="text1"/>
              </w:rPr>
              <w:t>va analiza impactul inflației ridicate și al creșterii pe termen lung a productivității, precum și interacțiunea cu posibile măsuri suplimentare pentru întreprinderile cu capitalizare medie, pentru a crește pragurile financiare prevăzute în definiția actuală a IMM-ului, atunci când o astfel de creștere se justifică;</w:t>
            </w:r>
          </w:p>
          <w:p w14:paraId="2399FA98" w14:textId="1D52FA47" w:rsidR="00A96456" w:rsidRPr="00182C98" w:rsidRDefault="00345D12" w:rsidP="00D91E89">
            <w:pPr>
              <w:pStyle w:val="ListParagraph"/>
              <w:numPr>
                <w:ilvl w:val="1"/>
                <w:numId w:val="27"/>
              </w:numPr>
              <w:rPr>
                <w:noProof/>
                <w:color w:val="000000" w:themeColor="text1"/>
              </w:rPr>
            </w:pPr>
            <w:r w:rsidRPr="00182C98">
              <w:rPr>
                <w:noProof/>
                <w:color w:val="000000" w:themeColor="text1"/>
              </w:rPr>
              <w:t>va elabora o definiție armonizată pentru întreprinderile mici cu capitalizare medie;</w:t>
            </w:r>
          </w:p>
          <w:p w14:paraId="709CDAEB" w14:textId="4912DE50" w:rsidR="00EA29B2" w:rsidRPr="00182C98" w:rsidRDefault="00A96456" w:rsidP="00D91E89">
            <w:pPr>
              <w:pStyle w:val="ListParagraph"/>
              <w:numPr>
                <w:ilvl w:val="1"/>
                <w:numId w:val="27"/>
              </w:numPr>
              <w:rPr>
                <w:noProof/>
                <w:color w:val="000000" w:themeColor="text1"/>
              </w:rPr>
            </w:pPr>
            <w:r w:rsidRPr="00182C98">
              <w:rPr>
                <w:b/>
                <w:noProof/>
                <w:color w:val="000000" w:themeColor="text1"/>
              </w:rPr>
              <w:t>ulterior,</w:t>
            </w:r>
            <w:r w:rsidRPr="00182C98">
              <w:rPr>
                <w:noProof/>
                <w:color w:val="000000" w:themeColor="text1"/>
              </w:rPr>
              <w:t xml:space="preserve"> va lua măsurile necesare pentru a reflecta o definiție revizuită a IMM-urilor în actele legislative relevante și</w:t>
            </w:r>
          </w:p>
          <w:p w14:paraId="11988246" w14:textId="5AD71559" w:rsidR="00345D12" w:rsidRPr="00182C98" w:rsidRDefault="00345D12" w:rsidP="00C8660E">
            <w:pPr>
              <w:pStyle w:val="ListParagraph"/>
              <w:numPr>
                <w:ilvl w:val="1"/>
                <w:numId w:val="27"/>
              </w:numPr>
              <w:rPr>
                <w:noProof/>
                <w:color w:val="000000" w:themeColor="text1"/>
              </w:rPr>
            </w:pPr>
            <w:r w:rsidRPr="00182C98">
              <w:rPr>
                <w:noProof/>
                <w:color w:val="000000" w:themeColor="text1"/>
              </w:rPr>
              <w:t>va crea un set de date pe baza definiției întreprinderilor mici cu capitalizare medie și va evalua posibilele măsuri de sprijinire a acestor întreprinderi pe parcursul procesului lor de dezvoltare (</w:t>
            </w:r>
            <w:r w:rsidRPr="00182C98">
              <w:rPr>
                <w:noProof/>
              </w:rPr>
              <w:t>inclusiv eventuala aplicare sub formă adaptată a anumitor măsuri în favoarea IMM-urilor)</w:t>
            </w:r>
            <w:r w:rsidRPr="00182C98">
              <w:rPr>
                <w:noProof/>
                <w:color w:val="000000" w:themeColor="text1"/>
              </w:rPr>
              <w:t xml:space="preserve">. </w:t>
            </w:r>
          </w:p>
          <w:p w14:paraId="48B83304" w14:textId="712014AF" w:rsidR="00345D12" w:rsidRPr="00182C98" w:rsidRDefault="00345D12" w:rsidP="00C94F93">
            <w:pPr>
              <w:pStyle w:val="ListParagraph"/>
              <w:spacing w:after="120"/>
              <w:ind w:left="1069"/>
              <w:rPr>
                <w:noProof/>
              </w:rPr>
            </w:pPr>
          </w:p>
        </w:tc>
      </w:tr>
    </w:tbl>
    <w:p w14:paraId="1A95AC9B" w14:textId="1523ECD5" w:rsidR="00356744" w:rsidRPr="00182C98" w:rsidRDefault="00356744" w:rsidP="00240DD4">
      <w:pPr>
        <w:pStyle w:val="Heading3"/>
        <w:spacing w:before="240"/>
        <w:rPr>
          <w:noProof/>
        </w:rPr>
      </w:pPr>
      <w:r w:rsidRPr="00182C98">
        <w:rPr>
          <w:noProof/>
        </w:rPr>
        <w:t>Transferul întreprinderii, prevenirea insolvenței și acordarea unei a doua șanse antreprenorilor</w:t>
      </w:r>
    </w:p>
    <w:p w14:paraId="545B9707" w14:textId="7F4296C5" w:rsidR="00356744" w:rsidRPr="00182C98" w:rsidRDefault="00356744" w:rsidP="00837960">
      <w:pPr>
        <w:rPr>
          <w:rFonts w:eastAsia="Times New Roman"/>
          <w:noProof/>
          <w:color w:val="000000" w:themeColor="text1"/>
        </w:rPr>
      </w:pPr>
      <w:r w:rsidRPr="00182C98">
        <w:rPr>
          <w:b/>
          <w:noProof/>
        </w:rPr>
        <w:t>Transferurile reușite de întreprinderi aduc beneficii economiei și structurii sociale a Europei, și anume evitarea pierderii de locuri de muncă și protejarea activității economice.</w:t>
      </w:r>
      <w:r w:rsidRPr="00182C98">
        <w:rPr>
          <w:noProof/>
        </w:rPr>
        <w:t xml:space="preserve"> Recomandarea Comisiei privind transferurile de activitate, care abordează principalele aspecte juridice, fiscale și administrative ale transferurilor de întreprinderi, rămâne valabilă în prezent</w:t>
      </w:r>
      <w:r w:rsidRPr="00182C98">
        <w:rPr>
          <w:noProof/>
          <w:vertAlign w:val="superscript"/>
        </w:rPr>
        <w:footnoteReference w:id="95"/>
      </w:r>
      <w:r w:rsidRPr="00182C98">
        <w:rPr>
          <w:noProof/>
        </w:rPr>
        <w:t>. Comisia a promovat cele mai bune practici în materie de transferuri de întreprinderi dezvoltate fie în cadrul mai multor proiecte finanțate de UE</w:t>
      </w:r>
      <w:r w:rsidRPr="00182C98">
        <w:rPr>
          <w:noProof/>
          <w:vertAlign w:val="superscript"/>
        </w:rPr>
        <w:footnoteReference w:id="96"/>
      </w:r>
      <w:r w:rsidRPr="00182C98">
        <w:rPr>
          <w:noProof/>
        </w:rPr>
        <w:t>, fie de către alte părți interesate care desfășoară activități în domeniu. În 2021, Comisia a efectuat un studiu privind îmbunătățirea bazei de date privind transferurile de întreprinderi</w:t>
      </w:r>
      <w:r w:rsidRPr="00182C98">
        <w:rPr>
          <w:noProof/>
          <w:vertAlign w:val="superscript"/>
        </w:rPr>
        <w:footnoteReference w:id="97"/>
      </w:r>
      <w:r w:rsidRPr="00182C98">
        <w:rPr>
          <w:noProof/>
        </w:rPr>
        <w:t>. În plus, în propunerea sa de recomandare a Consiliului privind dezvoltarea condițiilor-cadru ale economiei sociale</w:t>
      </w:r>
      <w:r w:rsidRPr="00182C98">
        <w:rPr>
          <w:noProof/>
          <w:vertAlign w:val="superscript"/>
        </w:rPr>
        <w:footnoteReference w:id="98"/>
      </w:r>
      <w:r w:rsidRPr="00182C98">
        <w:rPr>
          <w:noProof/>
        </w:rPr>
        <w:t>, Comisia</w:t>
      </w:r>
      <w:r w:rsidRPr="00182C98">
        <w:rPr>
          <w:noProof/>
          <w:color w:val="000000" w:themeColor="text1"/>
        </w:rPr>
        <w:t xml:space="preserve"> a recomandat statelor membre să asigure un cadru favorabil pentru transferurile de întreprinderi către angajați pentru a forma cooperative de lucrători. Având în vedere importanța transferurilor de întreprinderi, Comisia este pregătită să facă un bilanț al evoluțiilor recente din statele membre. </w:t>
      </w:r>
    </w:p>
    <w:p w14:paraId="23FDC646" w14:textId="79203CF8" w:rsidR="000A7CA6" w:rsidRPr="00182C98" w:rsidRDefault="000A7CA6" w:rsidP="00837960">
      <w:pPr>
        <w:rPr>
          <w:noProof/>
        </w:rPr>
      </w:pPr>
      <w:r w:rsidRPr="00182C98">
        <w:rPr>
          <w:noProof/>
        </w:rPr>
        <w:t>Academia „Early Warning Europe Mentor”</w:t>
      </w:r>
      <w:r w:rsidRPr="00182C98">
        <w:rPr>
          <w:rStyle w:val="FootnoteReference"/>
          <w:rFonts w:eastAsiaTheme="minorEastAsia"/>
          <w:noProof/>
        </w:rPr>
        <w:footnoteReference w:id="99"/>
      </w:r>
      <w:r w:rsidRPr="00182C98">
        <w:rPr>
          <w:noProof/>
        </w:rPr>
        <w:t xml:space="preserve"> va elabora un program de învățare online pentru mentori, care vor fi în măsură să sprijine mai bine întreprinderile expuse riscului de insolvență și să îi ajute pe proprietarii de întreprinderi să își transfere întreprinderile către generația următoare. </w:t>
      </w:r>
    </w:p>
    <w:p w14:paraId="02C35AF0" w14:textId="5D5C3449" w:rsidR="000A7CA6" w:rsidRPr="00182C98" w:rsidRDefault="000A7CA6" w:rsidP="00837960">
      <w:pPr>
        <w:rPr>
          <w:rFonts w:eastAsia="Times New Roman"/>
          <w:noProof/>
        </w:rPr>
      </w:pPr>
      <w:r w:rsidRPr="00182C98">
        <w:rPr>
          <w:b/>
          <w:noProof/>
        </w:rPr>
        <w:t>În final, având în vedere că aproximativ 50 % dintre întreprinderile noi au dat faliment în primii cinci ani</w:t>
      </w:r>
      <w:r w:rsidRPr="00182C98">
        <w:rPr>
          <w:b/>
          <w:bCs/>
          <w:noProof/>
          <w:vertAlign w:val="superscript"/>
        </w:rPr>
        <w:footnoteReference w:id="100"/>
      </w:r>
      <w:r w:rsidRPr="00182C98">
        <w:rPr>
          <w:b/>
          <w:noProof/>
        </w:rPr>
        <w:t>, prin politica în materie de insolvență, Comisia oferă sprijin antreprenorilor care s-au confruntat cu falimentul pentru a se asigura că aceștia pot beneficia rapid de o a doua șansă.</w:t>
      </w:r>
      <w:r w:rsidRPr="00182C98">
        <w:rPr>
          <w:noProof/>
        </w:rPr>
        <w:t xml:space="preserve"> Directiva privind restructurarea și insolvența urmărește să prevină falimentul și să ajute întreprinderile insolvabile să se redreseze. Până la jumătatea anului 2026, Comisia va prezenta un raport privind aplicarea și impactul dispozițiilor directivei. În plus, în 2022, ca parte a uniunii piețelor de capital, Comisia a propus o directivă privind armonizarea anumitor aspecte ale normelor de drept în materie de insolvență</w:t>
      </w:r>
      <w:r w:rsidRPr="00182C98">
        <w:rPr>
          <w:rStyle w:val="FootnoteReference"/>
          <w:noProof/>
        </w:rPr>
        <w:footnoteReference w:id="101"/>
      </w:r>
      <w:r w:rsidRPr="00182C98">
        <w:rPr>
          <w:noProof/>
        </w:rPr>
        <w:t>. Cea mai inovatoare caracteristică a sa se referă la introducerea unei proceduri de lichidare simplificate, rapide și eficiente din punctul de vedere al costurilor pentru microîntreprinderi. Comisia încurajează colegiuitorul să accelereze adoptarea de urgență a acestei propuneri. Adoptarea sa este esențială pentru a asigura proceduri de insolvență mai eficiente și, prin urmare, un număr tot mai mare de investiții transfrontaliere, inclusiv pentru IMM-uri.</w:t>
      </w:r>
    </w:p>
    <w:tbl>
      <w:tblPr>
        <w:tblStyle w:val="TableGrid"/>
        <w:tblW w:w="0" w:type="auto"/>
        <w:tblLook w:val="04A0" w:firstRow="1" w:lastRow="0" w:firstColumn="1" w:lastColumn="0" w:noHBand="0" w:noVBand="1"/>
      </w:tblPr>
      <w:tblGrid>
        <w:gridCol w:w="9288"/>
      </w:tblGrid>
      <w:tr w:rsidR="00F70D83" w:rsidRPr="00182C98" w14:paraId="77FF5A1D" w14:textId="77777777" w:rsidTr="00F70D83">
        <w:tc>
          <w:tcPr>
            <w:tcW w:w="9288" w:type="dxa"/>
          </w:tcPr>
          <w:p w14:paraId="5785168C" w14:textId="77777777" w:rsidR="00F70D83" w:rsidRPr="00182C98" w:rsidRDefault="00F70D83" w:rsidP="00837960">
            <w:pPr>
              <w:rPr>
                <w:i/>
                <w:iCs/>
                <w:noProof/>
                <w:color w:val="000000" w:themeColor="text1"/>
              </w:rPr>
            </w:pPr>
            <w:r w:rsidRPr="00182C98">
              <w:rPr>
                <w:i/>
                <w:noProof/>
                <w:color w:val="000000" w:themeColor="text1"/>
              </w:rPr>
              <w:t>Comisia:</w:t>
            </w:r>
          </w:p>
          <w:p w14:paraId="17000CFF" w14:textId="64CFF492" w:rsidR="00F70D83" w:rsidRPr="00182C98" w:rsidRDefault="00B146D0" w:rsidP="00C15711">
            <w:pPr>
              <w:pStyle w:val="ListParagraph"/>
              <w:numPr>
                <w:ilvl w:val="0"/>
                <w:numId w:val="26"/>
              </w:numPr>
              <w:spacing w:after="120"/>
              <w:rPr>
                <w:noProof/>
                <w:color w:val="000000" w:themeColor="text1"/>
              </w:rPr>
            </w:pPr>
            <w:r w:rsidRPr="00182C98">
              <w:rPr>
                <w:b/>
                <w:noProof/>
              </w:rPr>
              <w:t>Acțiunea 19</w:t>
            </w:r>
            <w:r w:rsidRPr="00182C98">
              <w:rPr>
                <w:noProof/>
              </w:rPr>
              <w:t>: va evalua condițiile-cadru pentru transferurile de întreprinderi în statele membre, împreună cu rețeaua reprezentanților pentru IMM-uri – până în T2 din 2024.</w:t>
            </w:r>
          </w:p>
        </w:tc>
      </w:tr>
    </w:tbl>
    <w:p w14:paraId="084F5D16" w14:textId="522D030B" w:rsidR="00BF0D28" w:rsidRPr="00182C98" w:rsidRDefault="00BF0D28" w:rsidP="00D71213">
      <w:pPr>
        <w:pStyle w:val="Heading1"/>
        <w:rPr>
          <w:noProof/>
        </w:rPr>
      </w:pPr>
      <w:r w:rsidRPr="00182C98">
        <w:rPr>
          <w:noProof/>
        </w:rPr>
        <w:t>Concluzii</w:t>
      </w:r>
    </w:p>
    <w:p w14:paraId="75C19BE1" w14:textId="6557DE6A" w:rsidR="009A37F6" w:rsidRPr="00182C98" w:rsidRDefault="00BF0D28" w:rsidP="00837960">
      <w:pPr>
        <w:rPr>
          <w:rFonts w:eastAsia="Times New Roman"/>
          <w:noProof/>
        </w:rPr>
      </w:pPr>
      <w:r w:rsidRPr="00182C98">
        <w:rPr>
          <w:noProof/>
        </w:rPr>
        <w:t xml:space="preserve">IMM-urile continuă să își desfășoare activitatea într-un mediu economic foarte nesigur. Nivelurile inflației în scădere, dar persistente, vor continua să exercite presiuni asupra valorii adăugate și a ocupării forței de muncă, în timp ce incertitudinea geopolitică va menține multe dintre lanțurile de aprovizionare în stare de tensiune. </w:t>
      </w:r>
    </w:p>
    <w:p w14:paraId="7162C86E" w14:textId="18E67642" w:rsidR="00C73935" w:rsidRPr="00182C98" w:rsidRDefault="00C73935" w:rsidP="00581FC3">
      <w:pPr>
        <w:rPr>
          <w:rFonts w:eastAsia="Times New Roman"/>
          <w:noProof/>
        </w:rPr>
      </w:pPr>
      <w:r w:rsidRPr="00182C98">
        <w:rPr>
          <w:noProof/>
        </w:rPr>
        <w:t xml:space="preserve">Prin urmare, pe lângă sprijinul financiar, inclusiv efortul masiv din partea Comisiei, însumând în total aproximativ 200 de miliarde EUR până în 2027, este necesară intensificarea sprijinului politic pentru IMM-uri, pe baza acțiunilor descrise în prezenta comunicare. Toate aceste acțiuni se axează pe cele trei provocări operaționale principale pentru IMM-uri – sarcina administrativă, finanțare și competențe – cu scopul de a atinge obiective foarte concrete: asigurarea unui cadru de reglementare favorabil, reducerea cerințelor de raportare, simplificarea impozitelor, stimularea lichidității, îmbunătățirea accesului la finanțare, asigurarea competențelor adecvate pentru IMM-uri și sprijinirea acestora pe parcursul întregului lor ciclu de viață. </w:t>
      </w:r>
    </w:p>
    <w:p w14:paraId="487C7988" w14:textId="63F95D88" w:rsidR="00C73935" w:rsidRPr="00182C98" w:rsidRDefault="00732FC6" w:rsidP="00F614BD">
      <w:pPr>
        <w:rPr>
          <w:noProof/>
        </w:rPr>
      </w:pPr>
      <w:r w:rsidRPr="00182C98">
        <w:rPr>
          <w:noProof/>
        </w:rPr>
        <w:t>Astfel cum se reamintește în Strategia Comisiei pentru IMM-uri</w:t>
      </w:r>
      <w:r w:rsidRPr="00182C98">
        <w:rPr>
          <w:rStyle w:val="FootnoteReference"/>
          <w:rFonts w:eastAsia="Times New Roman"/>
          <w:noProof/>
        </w:rPr>
        <w:footnoteReference w:id="102"/>
      </w:r>
      <w:r w:rsidRPr="00182C98">
        <w:rPr>
          <w:noProof/>
        </w:rPr>
        <w:t>, asistența și sprijinul eficace pentru IMM-uri depind de un efort concertat și de un parteneriat solid între toți actorii – instituțiile UE, autoritățile naționale, regionale și locale, IMM-urile, întreprinderile mari, partenerii sociali, societatea civilă și investitorii. În special, Comisia invită statele membre să aplice principiul „a gândi mai întâi la scară mică” la nivel național, regional și local.</w:t>
      </w:r>
    </w:p>
    <w:p w14:paraId="6E04DFAF" w14:textId="539366B3" w:rsidR="00F26F2C" w:rsidRPr="00182C98" w:rsidRDefault="009A37F6" w:rsidP="00837960">
      <w:pPr>
        <w:rPr>
          <w:rFonts w:eastAsia="Times New Roman"/>
          <w:noProof/>
        </w:rPr>
      </w:pPr>
      <w:r w:rsidRPr="00182C98">
        <w:rPr>
          <w:noProof/>
        </w:rPr>
        <w:t xml:space="preserve">În ceea ce privește Comisia, trebuie activate toate pârghiile posibile care pot facilita și oferi o mai mare claritate activităților desfășurate de IMM-uri. Oferirea de ajutor pe termen scurt, punerea bazelor pentru asigurarea competitivității și rezilienței lor pe termen lung și promovarea unui mediu de afaceri echitabil și favorabil IMM-urilor se află în centrul abordării Comisiei. </w:t>
      </w:r>
    </w:p>
    <w:sectPr w:rsidR="00F26F2C" w:rsidRPr="00182C98" w:rsidSect="00657EC6">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CB4268" w14:textId="77777777" w:rsidR="008E3BA5" w:rsidRDefault="008E3BA5" w:rsidP="00C874F3">
      <w:pPr>
        <w:spacing w:after="0"/>
      </w:pPr>
      <w:r>
        <w:separator/>
      </w:r>
    </w:p>
  </w:endnote>
  <w:endnote w:type="continuationSeparator" w:id="0">
    <w:p w14:paraId="6A0F335C" w14:textId="77777777" w:rsidR="008E3BA5" w:rsidRDefault="008E3BA5" w:rsidP="00C874F3">
      <w:pPr>
        <w:spacing w:after="0"/>
      </w:pPr>
      <w:r>
        <w:continuationSeparator/>
      </w:r>
    </w:p>
  </w:endnote>
  <w:endnote w:type="continuationNotice" w:id="1">
    <w:p w14:paraId="76521E11" w14:textId="77777777" w:rsidR="008E3BA5" w:rsidRDefault="008E3BA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77FE1" w14:textId="36E64643" w:rsidR="00C369D3" w:rsidRPr="0001743B" w:rsidRDefault="00C369D3" w:rsidP="000174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5AA18" w14:textId="06BD326F" w:rsidR="00C369D3" w:rsidRPr="0001743B" w:rsidRDefault="0001743B" w:rsidP="0001743B">
    <w:pPr>
      <w:pStyle w:val="FooterCoverPage"/>
      <w:rPr>
        <w:rFonts w:ascii="Arial" w:hAnsi="Arial" w:cs="Arial"/>
        <w:b/>
        <w:sz w:val="48"/>
      </w:rPr>
    </w:pPr>
    <w:r w:rsidRPr="0001743B">
      <w:rPr>
        <w:rFonts w:ascii="Arial" w:hAnsi="Arial" w:cs="Arial"/>
        <w:b/>
        <w:sz w:val="48"/>
      </w:rPr>
      <w:t>RO</w:t>
    </w:r>
    <w:r w:rsidRPr="0001743B">
      <w:rPr>
        <w:rFonts w:ascii="Arial" w:hAnsi="Arial" w:cs="Arial"/>
        <w:b/>
        <w:sz w:val="48"/>
      </w:rPr>
      <w:tab/>
    </w:r>
    <w:r w:rsidRPr="0001743B">
      <w:rPr>
        <w:rFonts w:ascii="Arial" w:hAnsi="Arial" w:cs="Arial"/>
        <w:b/>
        <w:sz w:val="48"/>
      </w:rPr>
      <w:tab/>
    </w:r>
    <w:r w:rsidRPr="0001743B">
      <w:tab/>
    </w:r>
    <w:r w:rsidRPr="0001743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82249" w14:textId="77777777" w:rsidR="0001743B" w:rsidRPr="0001743B" w:rsidRDefault="0001743B" w:rsidP="0001743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5027C" w14:textId="77777777" w:rsidR="007B0A4D" w:rsidRDefault="007B0A4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000000" w:themeColor="text1"/>
      </w:rPr>
      <w:id w:val="1362169362"/>
      <w:docPartObj>
        <w:docPartGallery w:val="Page Numbers (Bottom of Page)"/>
        <w:docPartUnique/>
      </w:docPartObj>
    </w:sdtPr>
    <w:sdtEndPr>
      <w:rPr>
        <w:noProof/>
      </w:rPr>
    </w:sdtEndPr>
    <w:sdtContent>
      <w:p w14:paraId="10FAC244" w14:textId="2CF5073D" w:rsidR="007B0A4D" w:rsidRPr="00A10BAA" w:rsidRDefault="007B0A4D">
        <w:pPr>
          <w:pStyle w:val="Footer"/>
          <w:jc w:val="center"/>
          <w:rPr>
            <w:color w:val="000000" w:themeColor="text1"/>
          </w:rPr>
        </w:pPr>
        <w:r>
          <w:rPr>
            <w:color w:val="000000" w:themeColor="text1"/>
            <w:shd w:val="clear" w:color="auto" w:fill="E6E6E6"/>
          </w:rPr>
          <w:fldChar w:fldCharType="begin"/>
        </w:r>
        <w:r>
          <w:rPr>
            <w:color w:val="000000" w:themeColor="text1"/>
          </w:rPr>
          <w:instrText xml:space="preserve"> PAGE   \* MERGEFORMAT </w:instrText>
        </w:r>
        <w:r>
          <w:rPr>
            <w:color w:val="000000" w:themeColor="text1"/>
            <w:shd w:val="clear" w:color="auto" w:fill="E6E6E6"/>
          </w:rPr>
          <w:fldChar w:fldCharType="separate"/>
        </w:r>
        <w:r w:rsidR="0001743B">
          <w:rPr>
            <w:noProof/>
            <w:color w:val="000000" w:themeColor="text1"/>
          </w:rPr>
          <w:t>1</w:t>
        </w:r>
        <w:r>
          <w:rPr>
            <w:color w:val="000000" w:themeColor="text1"/>
            <w:shd w:val="clear" w:color="auto" w:fill="E6E6E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72010" w14:textId="77777777" w:rsidR="007B0A4D" w:rsidRDefault="007B0A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9728AA" w14:textId="77777777" w:rsidR="008E3BA5" w:rsidRDefault="008E3BA5" w:rsidP="00C874F3">
      <w:pPr>
        <w:spacing w:after="0"/>
      </w:pPr>
      <w:r>
        <w:separator/>
      </w:r>
    </w:p>
  </w:footnote>
  <w:footnote w:type="continuationSeparator" w:id="0">
    <w:p w14:paraId="00DA1443" w14:textId="77777777" w:rsidR="008E3BA5" w:rsidRDefault="008E3BA5" w:rsidP="00C874F3">
      <w:pPr>
        <w:spacing w:after="0"/>
      </w:pPr>
      <w:r>
        <w:continuationSeparator/>
      </w:r>
    </w:p>
  </w:footnote>
  <w:footnote w:type="continuationNotice" w:id="1">
    <w:p w14:paraId="6CC4E637" w14:textId="77777777" w:rsidR="008E3BA5" w:rsidRDefault="008E3BA5">
      <w:pPr>
        <w:spacing w:after="0"/>
      </w:pPr>
    </w:p>
  </w:footnote>
  <w:footnote w:id="2">
    <w:p w14:paraId="0EB28945" w14:textId="6C1812EF" w:rsidR="007B0A4D" w:rsidRPr="00634D49" w:rsidRDefault="007B0A4D" w:rsidP="005E494F">
      <w:pPr>
        <w:spacing w:after="0"/>
        <w:jc w:val="left"/>
        <w:rPr>
          <w:rFonts w:eastAsiaTheme="minorEastAsia"/>
          <w:sz w:val="20"/>
          <w:szCs w:val="20"/>
        </w:rPr>
      </w:pPr>
      <w:r>
        <w:rPr>
          <w:sz w:val="20"/>
          <w:szCs w:val="20"/>
          <w:vertAlign w:val="superscript"/>
        </w:rPr>
        <w:footnoteRef/>
      </w:r>
      <w:r>
        <w:rPr>
          <w:sz w:val="20"/>
        </w:rPr>
        <w:t xml:space="preserve"> </w:t>
      </w:r>
      <w:r w:rsidRPr="00182C98">
        <w:rPr>
          <w:i/>
          <w:iCs/>
          <w:sz w:val="20"/>
        </w:rPr>
        <w:t>SME Performance Review 2023</w:t>
      </w:r>
      <w:r>
        <w:rPr>
          <w:sz w:val="20"/>
        </w:rPr>
        <w:t xml:space="preserve"> (Evaluarea performanțelor IMM-urilor în 2023), </w:t>
      </w:r>
      <w:hyperlink r:id="rId1" w:history="1">
        <w:r>
          <w:rPr>
            <w:rStyle w:val="Hyperlink"/>
            <w:sz w:val="20"/>
          </w:rPr>
          <w:t>https://single-market-economy.ec.europa.eu/smes/sme-strategy/sme-performance-review_en.</w:t>
        </w:r>
      </w:hyperlink>
      <w:r>
        <w:rPr>
          <w:sz w:val="20"/>
        </w:rPr>
        <w:t xml:space="preserve"> </w:t>
      </w:r>
    </w:p>
  </w:footnote>
  <w:footnote w:id="3">
    <w:p w14:paraId="762FA175" w14:textId="100922EC" w:rsidR="007B0A4D" w:rsidRPr="00996F1C" w:rsidRDefault="007B0A4D" w:rsidP="005E494F">
      <w:pPr>
        <w:pStyle w:val="FootnoteText"/>
        <w:jc w:val="left"/>
      </w:pPr>
      <w:r>
        <w:rPr>
          <w:rStyle w:val="FootnoteReference"/>
        </w:rPr>
        <w:footnoteRef/>
      </w:r>
      <w:r>
        <w:t xml:space="preserve"> Sondajul Eurobarometru Flash 486, IMM-uri, întreprinderi nou-înființate, întreprinderi în curs de extindere și antreprenoriat, septembrie 2020</w:t>
      </w:r>
      <w:bookmarkStart w:id="2" w:name="_Int_4YpsIlvK"/>
      <w:r>
        <w:t xml:space="preserve">, </w:t>
      </w:r>
      <w:bookmarkEnd w:id="2"/>
      <w:r>
        <w:fldChar w:fldCharType="begin"/>
      </w:r>
      <w:r>
        <w:instrText xml:space="preserve">HYPERLINK "https://europa.eu/eurobarometer/surveys/detail/2244" </w:instrText>
      </w:r>
      <w:r>
        <w:fldChar w:fldCharType="separate"/>
      </w:r>
      <w:r>
        <w:rPr>
          <w:rStyle w:val="Hyperlink"/>
        </w:rPr>
        <w:t>https://europa.eu/eurobarometer/surveys/detail/2244.</w:t>
      </w:r>
      <w:r>
        <w:fldChar w:fldCharType="end"/>
      </w:r>
    </w:p>
  </w:footnote>
  <w:footnote w:id="4">
    <w:p w14:paraId="1958F71B" w14:textId="74DCC6BF" w:rsidR="007B0A4D" w:rsidRPr="00EB797F" w:rsidRDefault="007B0A4D" w:rsidP="005E494F">
      <w:pPr>
        <w:pStyle w:val="FootnoteText"/>
        <w:jc w:val="left"/>
        <w:rPr>
          <w:rFonts w:eastAsia="Times New Roman"/>
          <w:color w:val="0000FF" w:themeColor="hyperlink"/>
          <w:u w:val="single"/>
        </w:rPr>
      </w:pPr>
      <w:r>
        <w:rPr>
          <w:rFonts w:eastAsia="Times New Roman"/>
          <w:vertAlign w:val="superscript"/>
        </w:rPr>
        <w:footnoteRef/>
      </w:r>
      <w:r>
        <w:t xml:space="preserve"> </w:t>
      </w:r>
      <w:r w:rsidRPr="00182C98">
        <w:rPr>
          <w:i/>
        </w:rPr>
        <w:t>Productivity in SMEs and large firms</w:t>
      </w:r>
      <w:r>
        <w:t xml:space="preserve"> (Productivitatea IMM-urilor și a întreprinderilor mari), OCDE, 2021, </w:t>
      </w:r>
      <w:hyperlink r:id="rId2" w:history="1">
        <w:r>
          <w:rPr>
            <w:rStyle w:val="Hyperlink"/>
          </w:rPr>
          <w:t>https://www.oecd-ilibrary.org/sites/54337c24-en/index.html?itemId=/content/component/54337c24-en</w:t>
        </w:r>
      </w:hyperlink>
      <w:r>
        <w:rPr>
          <w:rStyle w:val="Hyperlink"/>
          <w:u w:val="none"/>
        </w:rPr>
        <w:t>.</w:t>
      </w:r>
    </w:p>
  </w:footnote>
  <w:footnote w:id="5">
    <w:p w14:paraId="3C5B0BDD" w14:textId="77777777" w:rsidR="007B0A4D" w:rsidRPr="00296A18" w:rsidRDefault="007B0A4D" w:rsidP="005E494F">
      <w:pPr>
        <w:spacing w:after="0"/>
        <w:jc w:val="left"/>
        <w:rPr>
          <w:rFonts w:eastAsia="Times New Roman"/>
          <w:sz w:val="20"/>
          <w:szCs w:val="20"/>
        </w:rPr>
      </w:pPr>
      <w:r>
        <w:rPr>
          <w:rFonts w:eastAsia="Times New Roman"/>
          <w:sz w:val="20"/>
          <w:szCs w:val="20"/>
          <w:vertAlign w:val="superscript"/>
        </w:rPr>
        <w:footnoteRef/>
      </w:r>
      <w:r>
        <w:rPr>
          <w:sz w:val="20"/>
        </w:rPr>
        <w:t xml:space="preserve"> Sondajul Eurobarometru Flash 486, IMM-uri, întreprinderi nou-înființate, întreprinderi în curs de extindere și antreprenoriat, septembrie 2020, </w:t>
      </w:r>
      <w:hyperlink r:id="rId3" w:history="1">
        <w:r>
          <w:rPr>
            <w:rStyle w:val="Hyperlink"/>
            <w:sz w:val="20"/>
          </w:rPr>
          <w:t>https://europa.eu/eurobarometer/surveys/detail/2244</w:t>
        </w:r>
      </w:hyperlink>
      <w:r>
        <w:rPr>
          <w:sz w:val="20"/>
        </w:rPr>
        <w:t xml:space="preserve">. </w:t>
      </w:r>
    </w:p>
  </w:footnote>
  <w:footnote w:id="6">
    <w:p w14:paraId="220C1A7B" w14:textId="77777777" w:rsidR="007B0A4D" w:rsidRDefault="007B0A4D" w:rsidP="007C48E0">
      <w:pPr>
        <w:spacing w:after="0"/>
        <w:rPr>
          <w:rFonts w:eastAsia="Times New Roman"/>
          <w:sz w:val="20"/>
          <w:szCs w:val="20"/>
        </w:rPr>
      </w:pPr>
      <w:r>
        <w:rPr>
          <w:sz w:val="20"/>
          <w:szCs w:val="20"/>
          <w:vertAlign w:val="superscript"/>
        </w:rPr>
        <w:footnoteRef/>
      </w:r>
      <w:r>
        <w:rPr>
          <w:sz w:val="20"/>
        </w:rPr>
        <w:t xml:space="preserve"> Aproximativ 89 % dintre IMM-uri iau deja măsuri pentru a fi mai eficiente din punctul de vedere al utilizării resurselor, Sondajul Eurobarometru Flash 498, IMM-urile, eficiența resurselor și piețele ecologice, martie 2022, </w:t>
      </w:r>
      <w:hyperlink r:id="rId4" w:history="1">
        <w:r>
          <w:rPr>
            <w:rStyle w:val="Hyperlink"/>
            <w:sz w:val="20"/>
          </w:rPr>
          <w:t>https://europa.eu/eurobarometer/surveys/detail/2287.</w:t>
        </w:r>
      </w:hyperlink>
      <w:r>
        <w:t xml:space="preserve"> </w:t>
      </w:r>
    </w:p>
  </w:footnote>
  <w:footnote w:id="7">
    <w:p w14:paraId="41F0851B" w14:textId="1BC4C192" w:rsidR="007B0A4D" w:rsidRPr="00D22B0E" w:rsidRDefault="007B0A4D" w:rsidP="005E494F">
      <w:pPr>
        <w:pStyle w:val="FootnoteText"/>
        <w:jc w:val="left"/>
      </w:pPr>
      <w:r>
        <w:rPr>
          <w:rStyle w:val="FootnoteReference"/>
        </w:rPr>
        <w:footnoteRef/>
      </w:r>
      <w:r>
        <w:t xml:space="preserve"> COM(2020) 103 final.</w:t>
      </w:r>
    </w:p>
  </w:footnote>
  <w:footnote w:id="8">
    <w:p w14:paraId="51A6D8A9" w14:textId="76B51C48" w:rsidR="007B0A4D" w:rsidRPr="00BC268B" w:rsidRDefault="007B0A4D">
      <w:pPr>
        <w:pStyle w:val="FootnoteText"/>
      </w:pPr>
      <w:r>
        <w:rPr>
          <w:rStyle w:val="FootnoteReference"/>
        </w:rPr>
        <w:footnoteRef/>
      </w:r>
      <w:r>
        <w:t xml:space="preserve"> COM(2021) 250 final.</w:t>
      </w:r>
    </w:p>
  </w:footnote>
  <w:footnote w:id="9">
    <w:p w14:paraId="4AFD8582" w14:textId="77777777" w:rsidR="007B0A4D" w:rsidRPr="003912F9" w:rsidRDefault="007B0A4D" w:rsidP="005E494F">
      <w:pPr>
        <w:pStyle w:val="FootnoteText"/>
        <w:jc w:val="left"/>
        <w:rPr>
          <w:rFonts w:eastAsia="Times New Roman"/>
        </w:rPr>
      </w:pPr>
      <w:r>
        <w:rPr>
          <w:rStyle w:val="FootnoteReference"/>
          <w:rFonts w:eastAsia="Times New Roman"/>
        </w:rPr>
        <w:footnoteRef/>
      </w:r>
      <w:r>
        <w:t xml:space="preserve"> </w:t>
      </w:r>
      <w:hyperlink r:id="rId5" w:history="1">
        <w:r>
          <w:rPr>
            <w:rStyle w:val="Hyperlink"/>
          </w:rPr>
          <w:t>https://ec.europa.eu/economy_finance/recovery-and-resilience-scoreboard/smart.html</w:t>
        </w:r>
      </w:hyperlink>
      <w:r>
        <w:t>.</w:t>
      </w:r>
    </w:p>
  </w:footnote>
  <w:footnote w:id="10">
    <w:p w14:paraId="7AF7AD08" w14:textId="77777777" w:rsidR="007B0A4D" w:rsidRPr="003912F9" w:rsidRDefault="007B0A4D" w:rsidP="005E494F">
      <w:pPr>
        <w:pStyle w:val="FootnoteText"/>
        <w:jc w:val="left"/>
        <w:rPr>
          <w:rFonts w:eastAsia="Times New Roman"/>
        </w:rPr>
      </w:pPr>
      <w:r>
        <w:rPr>
          <w:rStyle w:val="FootnoteReference"/>
          <w:rFonts w:eastAsia="Times New Roman"/>
        </w:rPr>
        <w:footnoteRef/>
      </w:r>
      <w:r>
        <w:t xml:space="preserve"> Tabloul de bord al MRR, metodologia de marcare a pilonilor, „Sprijin pentru IMM-uri” ca domeniu de politică primar sau secundar.</w:t>
      </w:r>
    </w:p>
  </w:footnote>
  <w:footnote w:id="11">
    <w:p w14:paraId="56D46AF8" w14:textId="4C0E8972" w:rsidR="00EF12DE" w:rsidRPr="00664A4A" w:rsidRDefault="00EF12DE" w:rsidP="00EF12DE">
      <w:pPr>
        <w:pStyle w:val="FootnoteText"/>
        <w:jc w:val="left"/>
      </w:pPr>
      <w:r>
        <w:rPr>
          <w:rStyle w:val="FootnoteReference"/>
        </w:rPr>
        <w:footnoteRef/>
      </w:r>
      <w:r>
        <w:t xml:space="preserve"> Aceasta include 43 de miliarde EUR în temeiul cadrului financiar multianual 2021-2027 și un total de 22 de miliarde EUR în cadrul inițiativelor pentru investiții ca reacție la coronavirus ale politicii de coeziune și al REACT-EU. </w:t>
      </w:r>
    </w:p>
  </w:footnote>
  <w:footnote w:id="12">
    <w:p w14:paraId="64E1BB72" w14:textId="76FC80C4" w:rsidR="007B0A4D" w:rsidRPr="000F554E" w:rsidRDefault="007B0A4D" w:rsidP="005E494F">
      <w:pPr>
        <w:pStyle w:val="FootnoteText"/>
        <w:jc w:val="left"/>
        <w:rPr>
          <w:rFonts w:eastAsia="Times New Roman"/>
        </w:rPr>
      </w:pPr>
      <w:r>
        <w:rPr>
          <w:rStyle w:val="FootnoteReference"/>
        </w:rPr>
        <w:footnoteRef/>
      </w:r>
      <w:r>
        <w:t xml:space="preserve"> Cadrul temporar privind ajutoarele de stat în contextul pandemiei de COVID-19; cadrul temporar de criză al Comisiei pentru măsuri de ajutor de stat de sprijinire a economiei ca urmare a agresiunii Rusiei împotriva Ucrainei; normele generale de exceptare pe categorii modificate [Regulamentul (UE) 2023/1315 al Comisiei]; propunerea de revizuire a Regulamentului privind ajutoarele </w:t>
      </w:r>
      <w:r w:rsidRPr="00182C98">
        <w:rPr>
          <w:i/>
        </w:rPr>
        <w:t>de minimis</w:t>
      </w:r>
      <w:r>
        <w:t xml:space="preserve">, </w:t>
      </w:r>
      <w:hyperlink r:id="rId6" w:history="1">
        <w:r>
          <w:rPr>
            <w:rStyle w:val="Hyperlink"/>
          </w:rPr>
          <w:t>https://competition-policy.ec.europa.eu/public-consultations/2022-de-minimis_en</w:t>
        </w:r>
      </w:hyperlink>
      <w:r>
        <w:t>.</w:t>
      </w:r>
    </w:p>
  </w:footnote>
  <w:footnote w:id="13">
    <w:p w14:paraId="4898750F" w14:textId="5EF0E1EA" w:rsidR="007B0A4D" w:rsidRPr="00A370D8" w:rsidRDefault="007B0A4D" w:rsidP="005E494F">
      <w:pPr>
        <w:pStyle w:val="FootnoteText"/>
        <w:jc w:val="left"/>
      </w:pPr>
      <w:r>
        <w:rPr>
          <w:rStyle w:val="FootnoteReference"/>
        </w:rPr>
        <w:footnoteRef/>
      </w:r>
      <w:r>
        <w:t xml:space="preserve"> În cadrul Rețelei întreprinderilor europene.</w:t>
      </w:r>
    </w:p>
  </w:footnote>
  <w:footnote w:id="14">
    <w:p w14:paraId="5B6B2503" w14:textId="77777777" w:rsidR="007B0A4D" w:rsidRPr="00A2326C" w:rsidRDefault="007B0A4D" w:rsidP="005E494F">
      <w:pPr>
        <w:pStyle w:val="FootnoteText"/>
        <w:jc w:val="left"/>
      </w:pPr>
      <w:r>
        <w:rPr>
          <w:rStyle w:val="FootnoteReference"/>
        </w:rPr>
        <w:footnoteRef/>
      </w:r>
      <w:r>
        <w:t xml:space="preserve"> </w:t>
      </w:r>
      <w:hyperlink r:id="rId7" w:history="1">
        <w:r>
          <w:rPr>
            <w:rStyle w:val="Hyperlink"/>
          </w:rPr>
          <w:t>https://single-market-economy.ec.europa.eu/industry/transition-pathways_en</w:t>
        </w:r>
      </w:hyperlink>
      <w:r>
        <w:rPr>
          <w:rStyle w:val="Hyperlink"/>
          <w:u w:val="none"/>
        </w:rPr>
        <w:t>.</w:t>
      </w:r>
    </w:p>
  </w:footnote>
  <w:footnote w:id="15">
    <w:p w14:paraId="1D9219EE" w14:textId="5D1B1C7E" w:rsidR="007B0A4D" w:rsidRPr="00A370D8" w:rsidRDefault="007B0A4D" w:rsidP="005E494F">
      <w:pPr>
        <w:pStyle w:val="FootnoteText"/>
        <w:jc w:val="left"/>
      </w:pPr>
      <w:r>
        <w:rPr>
          <w:rStyle w:val="FootnoteReference"/>
        </w:rPr>
        <w:footnoteRef/>
      </w:r>
      <w:r>
        <w:t xml:space="preserve"> COM(2023) 148 final. Propunerea de regulament ar permite statelor membre să aplice controale asupra prețurilor atât pentru IMM-uri, cât și pentru consumatori în timpul crizelor energetice. </w:t>
      </w:r>
    </w:p>
  </w:footnote>
  <w:footnote w:id="16">
    <w:p w14:paraId="4186D604" w14:textId="05BD21DC" w:rsidR="007B0A4D" w:rsidRPr="00804C4A" w:rsidRDefault="007B0A4D" w:rsidP="005E494F">
      <w:pPr>
        <w:pStyle w:val="FootnoteText"/>
        <w:jc w:val="left"/>
      </w:pPr>
      <w:r>
        <w:rPr>
          <w:rStyle w:val="FootnoteReference"/>
        </w:rPr>
        <w:footnoteRef/>
      </w:r>
      <w:r>
        <w:t xml:space="preserve"> COM(2022) 68 final. </w:t>
      </w:r>
    </w:p>
  </w:footnote>
  <w:footnote w:id="17">
    <w:p w14:paraId="7BEB1CE4" w14:textId="0B71366D" w:rsidR="007B0A4D" w:rsidRPr="00A92EE4" w:rsidRDefault="007B0A4D" w:rsidP="005E494F">
      <w:pPr>
        <w:pStyle w:val="FootnoteText"/>
        <w:jc w:val="left"/>
      </w:pPr>
      <w:r>
        <w:rPr>
          <w:rStyle w:val="FootnoteReference"/>
        </w:rPr>
        <w:footnoteRef/>
      </w:r>
      <w:r>
        <w:t xml:space="preserve"> Facilitatea de investiții a inițiativei CASSINI injectează aproape 700 de milioane EUR în fonduri cu capital de risc care investesc în spațiu, mobilizând capital de risc în valoare totală de cel puțin 1,5 miliarde EUR pentru întreprinderile nou-înființate și IMM-uri.</w:t>
      </w:r>
    </w:p>
  </w:footnote>
  <w:footnote w:id="18">
    <w:p w14:paraId="3A477A25" w14:textId="113F12EC" w:rsidR="007B0A4D" w:rsidRPr="00A370D8" w:rsidRDefault="007B0A4D" w:rsidP="005E494F">
      <w:pPr>
        <w:pStyle w:val="FootnoteText"/>
        <w:jc w:val="left"/>
      </w:pPr>
      <w:r>
        <w:rPr>
          <w:rStyle w:val="FootnoteReference"/>
        </w:rPr>
        <w:footnoteRef/>
      </w:r>
      <w:r>
        <w:t xml:space="preserve"> </w:t>
      </w:r>
      <w:r>
        <w:rPr>
          <w:color w:val="000000" w:themeColor="text1"/>
        </w:rPr>
        <w:t>IMM-urile beneficiază, de asemenea, de o finanțare în valoare de 1 miliard EUR în cadrul Programului privind piața unică, alocată pentru a sprijini consolidarea competitivității IMM-urilor și internaționalizarea acestora și pentru canalizarea sprijinului către IMM-uri prin intermediarii IMM-urilor, de exemplu prin intermediul Rețelei întreprinderilor europene și al euroclusterelor, facilitate de platforma de cooperare a clusterelor europene.</w:t>
      </w:r>
    </w:p>
  </w:footnote>
  <w:footnote w:id="19">
    <w:p w14:paraId="638A2082" w14:textId="68CE4314" w:rsidR="007B0A4D" w:rsidRPr="00A370D8" w:rsidRDefault="007B0A4D" w:rsidP="005E494F">
      <w:pPr>
        <w:pStyle w:val="FootnoteText"/>
        <w:jc w:val="left"/>
      </w:pPr>
      <w:r>
        <w:rPr>
          <w:rStyle w:val="FootnoteReference"/>
        </w:rPr>
        <w:footnoteRef/>
      </w:r>
      <w:r>
        <w:t xml:space="preserve"> </w:t>
      </w:r>
      <w:r>
        <w:rPr>
          <w:color w:val="000000"/>
        </w:rPr>
        <w:t>Toate noile acorduri comerciale ale UE includ capitole dedicate IMM-urilor, care cuprind dispoziții menite să ajute IMM-urile să își dezvolte afacerile cu piețele străine și pe aceste piețe. Un mecanism specific de tratare a plângerilor (</w:t>
      </w:r>
      <w:hyperlink r:id="rId8" w:history="1">
        <w:r>
          <w:rPr>
            <w:rStyle w:val="Hyperlink"/>
          </w:rPr>
          <w:t>https://trade.ec.europa.eu/access-to-markets/en/content/single-entry-point-0)</w:t>
        </w:r>
      </w:hyperlink>
      <w:r>
        <w:rPr>
          <w:color w:val="000000"/>
        </w:rPr>
        <w:t xml:space="preserve"> permite IMM-urilor să raporteze obstacolele în calea accesului lor pe piețe străine.</w:t>
      </w:r>
    </w:p>
  </w:footnote>
  <w:footnote w:id="20">
    <w:p w14:paraId="1EF83132" w14:textId="6A3C04ED" w:rsidR="00A65854" w:rsidRPr="0029778F" w:rsidRDefault="00A65854" w:rsidP="00A65854">
      <w:pPr>
        <w:pStyle w:val="FootnoteText"/>
        <w:jc w:val="left"/>
      </w:pPr>
      <w:r>
        <w:rPr>
          <w:rStyle w:val="FootnoteReference"/>
        </w:rPr>
        <w:footnoteRef/>
      </w:r>
      <w:r>
        <w:t xml:space="preserve"> </w:t>
      </w:r>
      <w:hyperlink r:id="rId9" w:history="1">
        <w:r>
          <w:rPr>
            <w:rStyle w:val="Hyperlink"/>
          </w:rPr>
          <w:t>https://commission.europa.eu/strategy-and-policy/priorities-2019-2024/stronger-europe-world/global-gateway_ro</w:t>
        </w:r>
      </w:hyperlink>
      <w:r>
        <w:t>.</w:t>
      </w:r>
    </w:p>
  </w:footnote>
  <w:footnote w:id="21">
    <w:p w14:paraId="063F7C52" w14:textId="3CB06D3A" w:rsidR="007B0A4D" w:rsidRPr="00823354" w:rsidRDefault="007B0A4D" w:rsidP="005E494F">
      <w:pPr>
        <w:pStyle w:val="FootnoteText"/>
        <w:jc w:val="left"/>
      </w:pPr>
      <w:r>
        <w:rPr>
          <w:rStyle w:val="FootnoteReference"/>
        </w:rPr>
        <w:footnoteRef/>
      </w:r>
      <w:r>
        <w:t xml:space="preserve"> COM(2020) 760. Planul de acțiune ajută societățile, în special IMM-urile, să profite la maximum de invențiile și creațiile lor. </w:t>
      </w:r>
    </w:p>
  </w:footnote>
  <w:footnote w:id="22">
    <w:p w14:paraId="2C19B275" w14:textId="11419D43" w:rsidR="007B0A4D" w:rsidRPr="002E210D" w:rsidRDefault="007B0A4D" w:rsidP="005E494F">
      <w:pPr>
        <w:pStyle w:val="FootnoteText"/>
        <w:jc w:val="left"/>
      </w:pPr>
      <w:r>
        <w:rPr>
          <w:rStyle w:val="FootnoteReference"/>
        </w:rPr>
        <w:footnoteRef/>
      </w:r>
      <w:r>
        <w:t xml:space="preserve"> Regulamentul (UE) 2019/1150 („Regulamentul P2B”) stabilește norme pentru crearea unui mediu de afaceri echitabil, transparent și previzibil pe platformele online, în special pentru întreprinderile și comercianții mai mici. </w:t>
      </w:r>
    </w:p>
  </w:footnote>
  <w:footnote w:id="23">
    <w:p w14:paraId="50F4E90C" w14:textId="77777777" w:rsidR="007B0A4D" w:rsidRPr="00AC26EC" w:rsidRDefault="007B0A4D" w:rsidP="005E494F">
      <w:pPr>
        <w:pStyle w:val="FootnoteText"/>
        <w:jc w:val="left"/>
        <w:rPr>
          <w:rFonts w:eastAsia="Times New Roman"/>
        </w:rPr>
      </w:pPr>
      <w:r>
        <w:rPr>
          <w:rStyle w:val="FootnoteReference"/>
          <w:rFonts w:eastAsia="Times New Roman"/>
        </w:rPr>
        <w:footnoteRef/>
      </w:r>
      <w:r>
        <w:t xml:space="preserve"> </w:t>
      </w:r>
      <w:r w:rsidRPr="00182C98">
        <w:rPr>
          <w:i/>
          <w:iCs/>
        </w:rPr>
        <w:t>SME Performance Review 2023</w:t>
      </w:r>
      <w:r>
        <w:t xml:space="preserve"> (Evaluarea performanțelor IMM-urilor în 2023), </w:t>
      </w:r>
      <w:hyperlink r:id="rId10" w:history="1">
        <w:r>
          <w:rPr>
            <w:rStyle w:val="Hyperlink"/>
          </w:rPr>
          <w:t>https://single-market-economy.ec.europa.eu/smes/sme-strategy/sme-performance-review_en</w:t>
        </w:r>
      </w:hyperlink>
      <w:r>
        <w:t>.</w:t>
      </w:r>
    </w:p>
  </w:footnote>
  <w:footnote w:id="24">
    <w:p w14:paraId="35BB481F" w14:textId="27D6795E" w:rsidR="007B0A4D" w:rsidRPr="00EA24F6" w:rsidRDefault="007B0A4D">
      <w:pPr>
        <w:pStyle w:val="FootnoteText"/>
      </w:pPr>
      <w:r>
        <w:rPr>
          <w:rStyle w:val="FootnoteReference"/>
        </w:rPr>
        <w:footnoteRef/>
      </w:r>
      <w:r>
        <w:t xml:space="preserve"> </w:t>
      </w:r>
      <w:hyperlink r:id="rId11" w:history="1">
        <w:r>
          <w:rPr>
            <w:rStyle w:val="Hyperlink"/>
          </w:rPr>
          <w:t>https://single-market-economy.ec.europa.eu/industry/transition-pathways_en</w:t>
        </w:r>
      </w:hyperlink>
      <w:r>
        <w:t xml:space="preserve">. </w:t>
      </w:r>
    </w:p>
  </w:footnote>
  <w:footnote w:id="25">
    <w:p w14:paraId="62D6B713" w14:textId="77777777" w:rsidR="007B0A4D" w:rsidRPr="00511799" w:rsidRDefault="007B0A4D" w:rsidP="005E494F">
      <w:pPr>
        <w:pStyle w:val="FootnoteText"/>
        <w:jc w:val="left"/>
        <w:rPr>
          <w:rFonts w:eastAsia="Times New Roman"/>
        </w:rPr>
      </w:pPr>
      <w:r>
        <w:rPr>
          <w:rStyle w:val="FootnoteReference"/>
          <w:rFonts w:eastAsia="Times New Roman"/>
        </w:rPr>
        <w:footnoteRef/>
      </w:r>
      <w:r>
        <w:t xml:space="preserve"> Sondajul Eurobarometru Flash 486, IMM-uri, întreprinderi nou-înființate, întreprinderi în curs de extindere și antreprenoriat, septembrie 2020, </w:t>
      </w:r>
      <w:hyperlink r:id="rId12" w:history="1">
        <w:r>
          <w:rPr>
            <w:rStyle w:val="Hyperlink"/>
          </w:rPr>
          <w:t>https://europa.eu/eurobarometer/surveys/detail/2244</w:t>
        </w:r>
      </w:hyperlink>
      <w:r>
        <w:t>.</w:t>
      </w:r>
    </w:p>
  </w:footnote>
  <w:footnote w:id="26">
    <w:p w14:paraId="55577E4F" w14:textId="67DA7F27" w:rsidR="007B0A4D" w:rsidRPr="0039069F" w:rsidRDefault="007B0A4D" w:rsidP="005E494F">
      <w:pPr>
        <w:pStyle w:val="FootnoteText"/>
        <w:jc w:val="left"/>
      </w:pPr>
      <w:r>
        <w:rPr>
          <w:rStyle w:val="FootnoteReference"/>
          <w:rFonts w:eastAsia="Times New Roman"/>
        </w:rPr>
        <w:footnoteRef/>
      </w:r>
      <w:r>
        <w:t xml:space="preserve"> </w:t>
      </w:r>
      <w:r w:rsidRPr="00182C98">
        <w:rPr>
          <w:i/>
        </w:rPr>
        <w:t>Survey on the Access to Finance of Enterprises, SAFE</w:t>
      </w:r>
      <w:r>
        <w:t xml:space="preserve">, (Sondaj privind accesul la finanțare al întreprinderilor, SAFE), decembrie 2022, </w:t>
      </w:r>
      <w:hyperlink r:id="rId13" w:history="1">
        <w:r>
          <w:rPr>
            <w:rStyle w:val="Hyperlink"/>
          </w:rPr>
          <w:t>https://single-market-economy.ec.europa.eu/access-finance/data-and-surveys-safe_en</w:t>
        </w:r>
      </w:hyperlink>
      <w:r>
        <w:t>.</w:t>
      </w:r>
    </w:p>
  </w:footnote>
  <w:footnote w:id="27">
    <w:p w14:paraId="18957591" w14:textId="78A1DBEB" w:rsidR="007B0A4D" w:rsidRPr="0039069F" w:rsidRDefault="007B0A4D" w:rsidP="005E494F">
      <w:pPr>
        <w:pStyle w:val="FootnoteText"/>
        <w:jc w:val="left"/>
        <w:rPr>
          <w:rFonts w:eastAsia="Times New Roman"/>
        </w:rPr>
      </w:pPr>
      <w:r>
        <w:rPr>
          <w:rStyle w:val="FootnoteReference"/>
          <w:rFonts w:eastAsia="Times New Roman"/>
        </w:rPr>
        <w:footnoteRef/>
      </w:r>
      <w:r>
        <w:t xml:space="preserve"> Ibidem.</w:t>
      </w:r>
    </w:p>
  </w:footnote>
  <w:footnote w:id="28">
    <w:p w14:paraId="38CBFF7D" w14:textId="7A937EB6" w:rsidR="007B0A4D" w:rsidRPr="0039069F" w:rsidRDefault="007B0A4D" w:rsidP="005E494F">
      <w:pPr>
        <w:spacing w:after="0"/>
        <w:jc w:val="left"/>
        <w:rPr>
          <w:rFonts w:eastAsia="Calibri"/>
          <w:sz w:val="20"/>
          <w:szCs w:val="20"/>
        </w:rPr>
      </w:pPr>
      <w:r>
        <w:rPr>
          <w:rStyle w:val="FootnoteReference"/>
          <w:rFonts w:eastAsia="Times New Roman"/>
          <w:sz w:val="20"/>
          <w:szCs w:val="20"/>
        </w:rPr>
        <w:footnoteRef/>
      </w:r>
      <w:r>
        <w:rPr>
          <w:sz w:val="20"/>
        </w:rPr>
        <w:t xml:space="preserve"> Ibidem. </w:t>
      </w:r>
    </w:p>
  </w:footnote>
  <w:footnote w:id="29">
    <w:p w14:paraId="051520A7" w14:textId="77777777" w:rsidR="007B0A4D" w:rsidRPr="00EB797F" w:rsidRDefault="007B0A4D" w:rsidP="005E494F">
      <w:pPr>
        <w:spacing w:after="0"/>
        <w:jc w:val="left"/>
        <w:rPr>
          <w:rFonts w:eastAsia="Times New Roman"/>
          <w:sz w:val="20"/>
          <w:szCs w:val="20"/>
        </w:rPr>
      </w:pPr>
      <w:r>
        <w:rPr>
          <w:rFonts w:eastAsia="Times New Roman"/>
          <w:sz w:val="20"/>
          <w:szCs w:val="20"/>
          <w:vertAlign w:val="superscript"/>
        </w:rPr>
        <w:footnoteRef/>
      </w:r>
      <w:r>
        <w:rPr>
          <w:sz w:val="20"/>
        </w:rPr>
        <w:t xml:space="preserve"> Sondajul Eurobarometru Flash 529 privind Anul European al Competențelor: deficitul de competențe, strategiile de recrutare și de reținere a personalului în întreprinderile mici și mijlocii (publicat în septembrie 2023).</w:t>
      </w:r>
    </w:p>
  </w:footnote>
  <w:footnote w:id="30">
    <w:p w14:paraId="49A4D27F" w14:textId="77777777" w:rsidR="007B0A4D" w:rsidRPr="00242478" w:rsidRDefault="007B0A4D" w:rsidP="00FD25A4">
      <w:pPr>
        <w:pStyle w:val="FootnoteText"/>
        <w:jc w:val="left"/>
      </w:pPr>
      <w:r>
        <w:rPr>
          <w:rStyle w:val="FootnoteReference"/>
        </w:rPr>
        <w:footnoteRef/>
      </w:r>
      <w:r>
        <w:rPr>
          <w:color w:val="2B579A"/>
        </w:rPr>
        <w:t xml:space="preserve"> </w:t>
      </w:r>
      <w:r>
        <w:t>Directiva (UE) 2020/285 a Consiliului</w:t>
      </w:r>
      <w:r>
        <w:rPr>
          <w:rStyle w:val="Hyperlink"/>
          <w:u w:val="none"/>
        </w:rPr>
        <w:t>.</w:t>
      </w:r>
    </w:p>
  </w:footnote>
  <w:footnote w:id="31">
    <w:p w14:paraId="2BA8BC58" w14:textId="14AFBD99" w:rsidR="007B0A4D" w:rsidRPr="00305C64" w:rsidRDefault="007B0A4D" w:rsidP="005E494F">
      <w:pPr>
        <w:spacing w:after="0"/>
        <w:jc w:val="left"/>
        <w:rPr>
          <w:rFonts w:eastAsia="Times New Roman"/>
          <w:sz w:val="20"/>
          <w:szCs w:val="20"/>
        </w:rPr>
      </w:pPr>
      <w:r>
        <w:rPr>
          <w:rFonts w:eastAsia="Times New Roman"/>
          <w:sz w:val="20"/>
          <w:szCs w:val="20"/>
          <w:vertAlign w:val="superscript"/>
        </w:rPr>
        <w:footnoteRef/>
      </w:r>
      <w:r>
        <w:rPr>
          <w:sz w:val="20"/>
        </w:rPr>
        <w:t xml:space="preserve"> COM(2021) 219 final</w:t>
      </w:r>
      <w:r>
        <w:rPr>
          <w:rStyle w:val="Hyperlink"/>
          <w:sz w:val="20"/>
          <w:u w:val="none"/>
        </w:rPr>
        <w:t xml:space="preserve"> </w:t>
      </w:r>
      <w:r>
        <w:rPr>
          <w:rStyle w:val="Hyperlink"/>
          <w:color w:val="000000" w:themeColor="text1"/>
          <w:sz w:val="20"/>
          <w:u w:val="none"/>
        </w:rPr>
        <w:t xml:space="preserve">și </w:t>
      </w:r>
      <w:hyperlink r:id="rId14" w:history="1">
        <w:r>
          <w:rPr>
            <w:rStyle w:val="Hyperlink"/>
            <w:sz w:val="20"/>
          </w:rPr>
          <w:t>https://commission.europa.eu/law/law-making-process/planning-and-proposing-law/better-regulation/better-regulation-guidelines-and-toolbox_en</w:t>
        </w:r>
      </w:hyperlink>
      <w:r>
        <w:rPr>
          <w:rStyle w:val="Hyperlink"/>
          <w:color w:val="000000" w:themeColor="text1"/>
          <w:sz w:val="20"/>
          <w:u w:val="none"/>
        </w:rPr>
        <w:t>.</w:t>
      </w:r>
    </w:p>
  </w:footnote>
  <w:footnote w:id="32">
    <w:p w14:paraId="36453C61" w14:textId="77777777" w:rsidR="007B0A4D" w:rsidRPr="0016159B" w:rsidRDefault="007B0A4D" w:rsidP="005E494F">
      <w:pPr>
        <w:spacing w:after="0"/>
        <w:jc w:val="left"/>
        <w:rPr>
          <w:rFonts w:eastAsia="Calibri"/>
          <w:sz w:val="20"/>
          <w:szCs w:val="20"/>
        </w:rPr>
      </w:pPr>
      <w:r>
        <w:rPr>
          <w:rFonts w:eastAsia="Times New Roman"/>
          <w:sz w:val="20"/>
          <w:szCs w:val="20"/>
          <w:vertAlign w:val="superscript"/>
        </w:rPr>
        <w:footnoteRef/>
      </w:r>
      <w:r>
        <w:rPr>
          <w:sz w:val="20"/>
        </w:rPr>
        <w:t xml:space="preserve"> Platforma „Pregătiți pentru viitor” este un grup de experți la nivel înalt care sprijină Comisia în eforturile sale de simplificare a legislației UE și de reducere a costurilor inutile aferente, </w:t>
      </w:r>
      <w:hyperlink r:id="rId15" w:history="1">
        <w:r>
          <w:rPr>
            <w:rStyle w:val="Hyperlink"/>
            <w:sz w:val="20"/>
          </w:rPr>
          <w:t>https://commission.europa.eu/law/law-making-process/evaluating-and-improving-existing-laws/refit-making-eu-law-simpler-less-costly-and-future-proof/fit-future-platform-f4f_ro</w:t>
        </w:r>
      </w:hyperlink>
      <w:r>
        <w:rPr>
          <w:sz w:val="20"/>
        </w:rPr>
        <w:t>.</w:t>
      </w:r>
    </w:p>
  </w:footnote>
  <w:footnote w:id="33">
    <w:p w14:paraId="52F55B9F" w14:textId="46CCBF3A" w:rsidR="00675874" w:rsidRPr="00675874" w:rsidRDefault="00675874">
      <w:pPr>
        <w:pStyle w:val="FootnoteText"/>
      </w:pPr>
      <w:r>
        <w:rPr>
          <w:rStyle w:val="FootnoteReference"/>
        </w:rPr>
        <w:footnoteRef/>
      </w:r>
      <w:r>
        <w:t xml:space="preserve"> Acest lucru vine, de asemenea, în continuarea propunerilor Conferinței privind viitorul Europei din 2022 de a stimula competitivitatea IMM-urilor și de a consolida testul IMM (propunerile 12, 17 și 35).</w:t>
      </w:r>
    </w:p>
  </w:footnote>
  <w:footnote w:id="34">
    <w:p w14:paraId="0EB51299" w14:textId="77777777" w:rsidR="007B0A4D" w:rsidRPr="0076281A" w:rsidRDefault="007B0A4D" w:rsidP="005E494F">
      <w:pPr>
        <w:spacing w:after="0"/>
        <w:jc w:val="left"/>
        <w:rPr>
          <w:rStyle w:val="Hyperlink"/>
          <w:rFonts w:eastAsia="Times New Roman"/>
          <w:color w:val="auto"/>
          <w:sz w:val="20"/>
          <w:szCs w:val="20"/>
          <w:u w:val="none"/>
        </w:rPr>
      </w:pPr>
      <w:r>
        <w:rPr>
          <w:rFonts w:eastAsia="Times New Roman"/>
          <w:sz w:val="20"/>
          <w:szCs w:val="20"/>
          <w:vertAlign w:val="superscript"/>
        </w:rPr>
        <w:footnoteRef/>
      </w:r>
      <w:r>
        <w:rPr>
          <w:sz w:val="20"/>
        </w:rPr>
        <w:t xml:space="preserve"> </w:t>
      </w:r>
      <w:hyperlink r:id="rId16" w:history="1">
        <w:r>
          <w:rPr>
            <w:rStyle w:val="Hyperlink"/>
            <w:sz w:val="20"/>
          </w:rPr>
          <w:t>https://ec.europa.eu/docsroom/documents/55594?locale=ro</w:t>
        </w:r>
      </w:hyperlink>
      <w:r>
        <w:rPr>
          <w:sz w:val="20"/>
        </w:rPr>
        <w:t>.</w:t>
      </w:r>
    </w:p>
  </w:footnote>
  <w:footnote w:id="35">
    <w:p w14:paraId="4C8BA0DD" w14:textId="40C5091C" w:rsidR="007B0A4D" w:rsidRPr="0016159B" w:rsidRDefault="007B0A4D" w:rsidP="00CD403B">
      <w:pPr>
        <w:spacing w:after="0"/>
        <w:rPr>
          <w:rFonts w:eastAsia="Calibri"/>
          <w:sz w:val="20"/>
          <w:szCs w:val="20"/>
        </w:rPr>
      </w:pPr>
      <w:r>
        <w:rPr>
          <w:rFonts w:eastAsia="Times New Roman"/>
          <w:sz w:val="20"/>
          <w:szCs w:val="20"/>
          <w:vertAlign w:val="superscript"/>
        </w:rPr>
        <w:footnoteRef/>
      </w:r>
      <w:r>
        <w:rPr>
          <w:sz w:val="20"/>
        </w:rPr>
        <w:t xml:space="preserve"> Un grup de experți la nivel înalt din statele membre care oferă consiliere Comisiei cu privire la toate aspectele politicii privind IMM-urile, </w:t>
      </w:r>
      <w:hyperlink r:id="rId17" w:history="1">
        <w:r>
          <w:rPr>
            <w:rStyle w:val="Hyperlink"/>
            <w:sz w:val="20"/>
          </w:rPr>
          <w:t>https://single-market-economy.ec.europa.eu/smes/sme-strategy/sme-envoys-network_en</w:t>
        </w:r>
      </w:hyperlink>
      <w:r>
        <w:rPr>
          <w:sz w:val="20"/>
        </w:rPr>
        <w:t>.</w:t>
      </w:r>
    </w:p>
  </w:footnote>
  <w:footnote w:id="36">
    <w:p w14:paraId="5CAABA92" w14:textId="65B79959" w:rsidR="0028574A" w:rsidRPr="00E9387D" w:rsidRDefault="0028574A">
      <w:pPr>
        <w:pStyle w:val="FootnoteText"/>
      </w:pPr>
      <w:r>
        <w:rPr>
          <w:rStyle w:val="FootnoteReference"/>
        </w:rPr>
        <w:footnoteRef/>
      </w:r>
      <w:r>
        <w:t xml:space="preserve"> Printre aceștia se numără și membri ai RegWatchEurope, care cuprinde organisme de supraveghere din Țările de Jos, Finlanda, Suedia, Germania, Danemarca, Norvegia, Republica Cehă și Regatul Unit. </w:t>
      </w:r>
    </w:p>
  </w:footnote>
  <w:footnote w:id="37">
    <w:p w14:paraId="441E3390" w14:textId="7DC367F4" w:rsidR="007B0A4D" w:rsidRPr="00931D78" w:rsidRDefault="007B0A4D" w:rsidP="00CD403B">
      <w:pPr>
        <w:pStyle w:val="FootnoteText"/>
      </w:pPr>
      <w:r>
        <w:rPr>
          <w:rStyle w:val="FootnoteReference"/>
        </w:rPr>
        <w:footnoteRef/>
      </w:r>
      <w:r>
        <w:t xml:space="preserve"> Raportul OCDE privind politica de reglementare din 2021 clasifică sistemul pentru o mai bună legiferare al Comisiei Europene ca fiind cel mai avansat în ceea ce privește consultările și evaluările părților interesate și pe locul al treilea în ceea ce privește evaluările impactului.</w:t>
      </w:r>
    </w:p>
  </w:footnote>
  <w:footnote w:id="38">
    <w:p w14:paraId="7A68A874" w14:textId="16D4D1C8" w:rsidR="007B0A4D" w:rsidRPr="00FE25F3" w:rsidRDefault="007B0A4D">
      <w:pPr>
        <w:pStyle w:val="FootnoteText"/>
      </w:pPr>
      <w:r>
        <w:rPr>
          <w:rStyle w:val="FootnoteReference"/>
        </w:rPr>
        <w:footnoteRef/>
      </w:r>
      <w:r>
        <w:t xml:space="preserve"> Analiza anuală a sarcinii de reglementare pentru 2022 – Eforturile Uniunii Europene de simplificare a legislației, septembrie 2023.</w:t>
      </w:r>
    </w:p>
  </w:footnote>
  <w:footnote w:id="39">
    <w:p w14:paraId="1964CE82" w14:textId="20BBF9F9" w:rsidR="007B0A4D" w:rsidRPr="00715C34" w:rsidRDefault="007B0A4D" w:rsidP="005E494F">
      <w:pPr>
        <w:pStyle w:val="FootnoteText"/>
        <w:jc w:val="left"/>
      </w:pPr>
      <w:r>
        <w:rPr>
          <w:rStyle w:val="FootnoteReference"/>
        </w:rPr>
        <w:footnoteRef/>
      </w:r>
      <w:r>
        <w:t xml:space="preserve"> 2020/C 447/01.</w:t>
      </w:r>
    </w:p>
  </w:footnote>
  <w:footnote w:id="40">
    <w:p w14:paraId="76165708" w14:textId="04451C9D" w:rsidR="007B0A4D" w:rsidRPr="00FE25F3" w:rsidRDefault="007B0A4D">
      <w:pPr>
        <w:pStyle w:val="FootnoteText"/>
      </w:pPr>
      <w:r>
        <w:rPr>
          <w:rStyle w:val="FootnoteReference"/>
        </w:rPr>
        <w:footnoteRef/>
      </w:r>
      <w:r>
        <w:t xml:space="preserve"> SWD(2023) 277 final. </w:t>
      </w:r>
    </w:p>
  </w:footnote>
  <w:footnote w:id="41">
    <w:p w14:paraId="421B0E7A" w14:textId="6F16A5A8" w:rsidR="007B0A4D" w:rsidRPr="00A54AC2" w:rsidRDefault="007B0A4D" w:rsidP="005E494F">
      <w:pPr>
        <w:pStyle w:val="FootnoteText"/>
        <w:jc w:val="left"/>
      </w:pPr>
      <w:r>
        <w:rPr>
          <w:rStyle w:val="FootnoteReference"/>
        </w:rPr>
        <w:footnoteRef/>
      </w:r>
      <w:r>
        <w:t xml:space="preserve"> COM(2021) 206 final.</w:t>
      </w:r>
    </w:p>
  </w:footnote>
  <w:footnote w:id="42">
    <w:p w14:paraId="4B5319E8" w14:textId="1D3AC685" w:rsidR="007B0A4D" w:rsidRPr="0079381E" w:rsidRDefault="007B0A4D" w:rsidP="005E494F">
      <w:pPr>
        <w:pStyle w:val="FootnoteText"/>
        <w:jc w:val="left"/>
      </w:pPr>
      <w:r>
        <w:rPr>
          <w:rStyle w:val="FootnoteReference"/>
        </w:rPr>
        <w:footnoteRef/>
      </w:r>
      <w:r>
        <w:t xml:space="preserve"> COM(2023) 442 final. </w:t>
      </w:r>
    </w:p>
  </w:footnote>
  <w:footnote w:id="43">
    <w:p w14:paraId="65F6405A" w14:textId="3FF62C1C" w:rsidR="007B0A4D" w:rsidRPr="00122D05" w:rsidRDefault="007B0A4D" w:rsidP="00FE25F3">
      <w:pPr>
        <w:pStyle w:val="FootnoteText"/>
      </w:pPr>
      <w:r>
        <w:rPr>
          <w:rStyle w:val="FootnoteReference"/>
        </w:rPr>
        <w:footnoteRef/>
      </w:r>
      <w:r>
        <w:t xml:space="preserve"> </w:t>
      </w:r>
      <w:r w:rsidR="00182C98" w:rsidRPr="00182C98">
        <w:t>https://ec.europa.eu/info/law/better-regulation/have-your-say-simplify_ro</w:t>
      </w:r>
      <w:r>
        <w:t>.</w:t>
      </w:r>
    </w:p>
  </w:footnote>
  <w:footnote w:id="44">
    <w:p w14:paraId="16CB8CAE" w14:textId="6D0F3D2C" w:rsidR="007B0A4D" w:rsidRPr="0064518C" w:rsidRDefault="007B0A4D">
      <w:pPr>
        <w:pStyle w:val="FootnoteText"/>
      </w:pPr>
      <w:r>
        <w:rPr>
          <w:rStyle w:val="FootnoteReference"/>
        </w:rPr>
        <w:footnoteRef/>
      </w:r>
      <w:r>
        <w:t xml:space="preserve"> </w:t>
      </w:r>
      <w:r>
        <w:rPr>
          <w:color w:val="000000" w:themeColor="text1"/>
        </w:rPr>
        <w:t>Principiul „a gândi mai întâi la scară mică” a fost</w:t>
      </w:r>
      <w:r>
        <w:t xml:space="preserve"> definit în „Small Business Act” (SBA) </w:t>
      </w:r>
      <w:hyperlink r:id="rId18" w:history="1">
        <w:r>
          <w:t>https://eur-lex.europa.eu/legal-content/RO/TXT/?uri=CELEX:52008DC0394</w:t>
        </w:r>
      </w:hyperlink>
      <w:r>
        <w:t xml:space="preserve"> și dezvoltat ulterior în revizuirea SBA </w:t>
      </w:r>
      <w:hyperlink r:id="rId19" w:history="1">
        <w:r>
          <w:t>https://eur-lex.europa.eu/legal-content/RO/TXT/?uri=celex%3A52011DC0078</w:t>
        </w:r>
      </w:hyperlink>
      <w:r>
        <w:rPr>
          <w:rFonts w:ascii="Segoe UI" w:hAnsi="Segoe UI"/>
        </w:rPr>
        <w:t xml:space="preserve">. </w:t>
      </w:r>
    </w:p>
  </w:footnote>
  <w:footnote w:id="45">
    <w:p w14:paraId="16D93FA2" w14:textId="4535A759" w:rsidR="007B0A4D" w:rsidRPr="000D5827" w:rsidRDefault="007B0A4D" w:rsidP="005E494F">
      <w:pPr>
        <w:pStyle w:val="FootnoteText"/>
        <w:jc w:val="left"/>
      </w:pPr>
      <w:r>
        <w:rPr>
          <w:rStyle w:val="FootnoteReference"/>
        </w:rPr>
        <w:footnoteRef/>
      </w:r>
      <w:r>
        <w:t xml:space="preserve"> Alte organisme relevante pentru IMM-uri, cum ar fi Institutul European de Inovare și Tehnologie.</w:t>
      </w:r>
    </w:p>
  </w:footnote>
  <w:footnote w:id="46">
    <w:p w14:paraId="63D44594" w14:textId="3C5DD195" w:rsidR="00BD0070" w:rsidRPr="00BD0070" w:rsidRDefault="00BD0070">
      <w:pPr>
        <w:pStyle w:val="FootnoteText"/>
      </w:pPr>
      <w:r>
        <w:rPr>
          <w:rStyle w:val="FootnoteReference"/>
        </w:rPr>
        <w:footnoteRef/>
      </w:r>
      <w:r>
        <w:t xml:space="preserve"> Printre bunele practici se numără instrumentul digital de evaluare a riscurilor elaborat de Agenția Europeană pentru Securitate și Sănătate în Muncă, instrumentul de evaluare a nivelului de maturitate a securității cibernetice pentru IMM-uri al Agenției Uniunii Europene pentru Securitate Cibernetică sau portalul dedicat antreprenorilor al Oficiului Uniunii Europene pentru Proprietate Intelectuală. </w:t>
      </w:r>
    </w:p>
  </w:footnote>
  <w:footnote w:id="47">
    <w:p w14:paraId="2A9BE824" w14:textId="05F15669" w:rsidR="007B0A4D" w:rsidRPr="00B35961" w:rsidRDefault="007B0A4D" w:rsidP="005E494F">
      <w:pPr>
        <w:spacing w:after="0"/>
        <w:jc w:val="left"/>
        <w:rPr>
          <w:rFonts w:eastAsia="Times New Roman"/>
          <w:sz w:val="20"/>
          <w:szCs w:val="20"/>
        </w:rPr>
      </w:pPr>
      <w:r>
        <w:rPr>
          <w:rStyle w:val="FootnoteReference"/>
          <w:rFonts w:eastAsia="Times New Roman"/>
          <w:sz w:val="20"/>
          <w:szCs w:val="20"/>
        </w:rPr>
        <w:footnoteRef/>
      </w:r>
      <w:r>
        <w:rPr>
          <w:sz w:val="20"/>
        </w:rPr>
        <w:t xml:space="preserve"> COM(2018) 1724. Accesibil prin intermediul portalului web „Your Europe”: </w:t>
      </w:r>
      <w:hyperlink r:id="rId20" w:history="1">
        <w:r>
          <w:rPr>
            <w:rStyle w:val="Hyperlink"/>
            <w:sz w:val="20"/>
          </w:rPr>
          <w:t>https://europa.eu/youreurope/</w:t>
        </w:r>
      </w:hyperlink>
      <w:r>
        <w:rPr>
          <w:rStyle w:val="Hyperlink"/>
          <w:sz w:val="20"/>
        </w:rPr>
        <w:t xml:space="preserve">. </w:t>
      </w:r>
    </w:p>
  </w:footnote>
  <w:footnote w:id="48">
    <w:p w14:paraId="26CB8D63" w14:textId="0D5F7E78" w:rsidR="008913B2" w:rsidRPr="00DE0003" w:rsidRDefault="008913B2" w:rsidP="008913B2">
      <w:pPr>
        <w:pStyle w:val="FootnoteText"/>
      </w:pPr>
      <w:r>
        <w:rPr>
          <w:rStyle w:val="FootnoteReference"/>
        </w:rPr>
        <w:footnoteRef/>
      </w:r>
      <w:r>
        <w:t xml:space="preserve"> COM(2023) 501 final. </w:t>
      </w:r>
    </w:p>
  </w:footnote>
  <w:footnote w:id="49">
    <w:p w14:paraId="5BC02BB9" w14:textId="77777777" w:rsidR="00E143FA" w:rsidRPr="009B1BE2" w:rsidRDefault="00E143FA" w:rsidP="00E143FA">
      <w:pPr>
        <w:pStyle w:val="FootnoteText"/>
        <w:jc w:val="left"/>
        <w:rPr>
          <w:rFonts w:eastAsia="Times New Roman"/>
        </w:rPr>
      </w:pPr>
      <w:r>
        <w:rPr>
          <w:rStyle w:val="FootnoteReference"/>
        </w:rPr>
        <w:footnoteRef/>
      </w:r>
      <w:r>
        <w:t xml:space="preserve"> COM(2023) 177 final.</w:t>
      </w:r>
    </w:p>
  </w:footnote>
  <w:footnote w:id="50">
    <w:p w14:paraId="21D28579" w14:textId="30F1C0E3" w:rsidR="005C7FD0" w:rsidRPr="007974D5" w:rsidRDefault="005C7FD0" w:rsidP="005C7FD0">
      <w:pPr>
        <w:pStyle w:val="FootnoteText"/>
      </w:pPr>
      <w:r>
        <w:rPr>
          <w:rStyle w:val="FootnoteReference"/>
        </w:rPr>
        <w:footnoteRef/>
      </w:r>
      <w:r>
        <w:t xml:space="preserve"> </w:t>
      </w:r>
      <w:r>
        <w:rPr>
          <w:color w:val="000000"/>
        </w:rPr>
        <w:t xml:space="preserve">A se vedea evaluarea impactului aferentă, </w:t>
      </w:r>
      <w:r>
        <w:t>SWD(2023) 178 final</w:t>
      </w:r>
      <w:r>
        <w:rPr>
          <w:color w:val="000000"/>
        </w:rPr>
        <w:t xml:space="preserve">. </w:t>
      </w:r>
    </w:p>
  </w:footnote>
  <w:footnote w:id="51">
    <w:p w14:paraId="4EAAB907" w14:textId="77777777" w:rsidR="00F41956" w:rsidRPr="00DB71A0" w:rsidRDefault="00F41956" w:rsidP="00F41956">
      <w:pPr>
        <w:pStyle w:val="FootnoteText"/>
      </w:pPr>
      <w:r>
        <w:rPr>
          <w:rStyle w:val="FootnoteReference"/>
        </w:rPr>
        <w:footnoteRef/>
      </w:r>
      <w:r>
        <w:t xml:space="preserve"> BRIS conectează toate registrele naționale și pune la dispoziția publicului informații cu privire la 20 de milioane de societăți și sucursale.</w:t>
      </w:r>
    </w:p>
  </w:footnote>
  <w:footnote w:id="52">
    <w:p w14:paraId="24385166" w14:textId="77777777" w:rsidR="009631B0" w:rsidRPr="00AC26EC" w:rsidRDefault="009631B0" w:rsidP="009631B0">
      <w:pPr>
        <w:pStyle w:val="FootnoteText"/>
      </w:pPr>
      <w:r>
        <w:rPr>
          <w:rStyle w:val="FootnoteReference"/>
        </w:rPr>
        <w:footnoteRef/>
      </w:r>
      <w:r>
        <w:t xml:space="preserve"> </w:t>
      </w:r>
      <w:hyperlink r:id="rId21" w:history="1">
        <w:r>
          <w:rPr>
            <w:rStyle w:val="Hyperlink"/>
          </w:rPr>
          <w:t>https://ec.europa.eu/solvit/what-is-solvit/index_ro.htm</w:t>
        </w:r>
      </w:hyperlink>
      <w:r>
        <w:t>; în martie 2023, Comisia a propus un criteriu de referință pentru SOLVIT pentru a soluționa cel puțin 90 % dintre cazuri în termen de 12 luni în fiecare stat membru.</w:t>
      </w:r>
    </w:p>
  </w:footnote>
  <w:footnote w:id="53">
    <w:p w14:paraId="595D6E68" w14:textId="0288EB11" w:rsidR="00E143FA" w:rsidRPr="00DE0003" w:rsidRDefault="00E143FA" w:rsidP="00E143FA">
      <w:pPr>
        <w:pStyle w:val="FootnoteText"/>
      </w:pPr>
      <w:r>
        <w:rPr>
          <w:rStyle w:val="FootnoteReference"/>
        </w:rPr>
        <w:footnoteRef/>
      </w:r>
      <w:r>
        <w:t xml:space="preserve"> Decizia (UE) 2022/2481 de instituire a programului de politică pentru 2030 privind deceniul digital.</w:t>
      </w:r>
    </w:p>
  </w:footnote>
  <w:footnote w:id="54">
    <w:p w14:paraId="6630951C" w14:textId="7780D663" w:rsidR="00A97541" w:rsidRPr="00DE0003" w:rsidRDefault="00A97541" w:rsidP="00A97541">
      <w:pPr>
        <w:pStyle w:val="FootnoteText"/>
      </w:pPr>
      <w:r>
        <w:rPr>
          <w:rStyle w:val="FootnoteReference"/>
        </w:rPr>
        <w:footnoteRef/>
      </w:r>
      <w:r>
        <w:t xml:space="preserve"> https://digital-strategy.ec.europa.eu/en/activities/testing-and-experimentation-facilities.</w:t>
      </w:r>
    </w:p>
  </w:footnote>
  <w:footnote w:id="55">
    <w:p w14:paraId="790BBD98" w14:textId="3739A303" w:rsidR="00E143FA" w:rsidRPr="00DE0003" w:rsidRDefault="00E143FA" w:rsidP="00E143FA">
      <w:pPr>
        <w:pStyle w:val="FootnoteText"/>
      </w:pPr>
      <w:r>
        <w:rPr>
          <w:rStyle w:val="FootnoteReference"/>
        </w:rPr>
        <w:footnoteRef/>
      </w:r>
      <w:r>
        <w:t xml:space="preserve"> COM(2023) 168 final.</w:t>
      </w:r>
    </w:p>
  </w:footnote>
  <w:footnote w:id="56">
    <w:p w14:paraId="73B356E9" w14:textId="1186A33D" w:rsidR="00F41956" w:rsidRPr="00F41956" w:rsidRDefault="00F41956">
      <w:pPr>
        <w:pStyle w:val="FootnoteText"/>
      </w:pPr>
      <w:r>
        <w:rPr>
          <w:rStyle w:val="FootnoteReference"/>
        </w:rPr>
        <w:footnoteRef/>
      </w:r>
      <w:r>
        <w:t xml:space="preserve"> Dacă sunt bine concepute, costurile cerințelor de raportare sunt compensate în mare măsură de beneficiile pe care le aduc, de exemplu, prin monitorizarea poluării aerului sau prin supravegherea sectorului financiar și prin menținerea stabilității financiare. Astfel de cerințe nu sunt incluse numai în legislația primară, ci și în actele de punere în aplicare sau în actele delegate sau chiar în acordurile operaționale.</w:t>
      </w:r>
    </w:p>
  </w:footnote>
  <w:footnote w:id="57">
    <w:p w14:paraId="666C0108" w14:textId="0621CB5D" w:rsidR="007B0A4D" w:rsidRPr="00EE5111" w:rsidRDefault="007B0A4D" w:rsidP="00EE5111">
      <w:pPr>
        <w:spacing w:after="0"/>
        <w:rPr>
          <w:rFonts w:eastAsia="Times New Roman"/>
          <w:sz w:val="2"/>
          <w:szCs w:val="2"/>
        </w:rPr>
      </w:pPr>
      <w:r>
        <w:rPr>
          <w:rStyle w:val="FootnoteReference"/>
        </w:rPr>
        <w:footnoteRef/>
      </w:r>
      <w:r>
        <w:t xml:space="preserve"> </w:t>
      </w:r>
      <w:hyperlink r:id="rId22" w:history="1">
        <w:r>
          <w:rPr>
            <w:sz w:val="20"/>
          </w:rPr>
          <w:t>Revizuirea cadrului UE de gestionare a crizelor bancare și de asigurare a depozitelor</w:t>
        </w:r>
      </w:hyperlink>
      <w:r>
        <w:rPr>
          <w:sz w:val="20"/>
        </w:rPr>
        <w:t xml:space="preserve">; </w:t>
      </w:r>
      <w:hyperlink r:id="rId23" w:history="1">
        <w:r>
          <w:rPr>
            <w:sz w:val="20"/>
          </w:rPr>
          <w:t>standarde tehnice de punere în aplicare privind raportarea și prezentarea de informații de către întreprinderile de asigurare și de reasigurare</w:t>
        </w:r>
      </w:hyperlink>
      <w:r>
        <w:rPr>
          <w:sz w:val="20"/>
        </w:rPr>
        <w:t xml:space="preserve">; </w:t>
      </w:r>
      <w:hyperlink r:id="rId24" w:history="1">
        <w:r>
          <w:rPr>
            <w:sz w:val="20"/>
          </w:rPr>
          <w:t>Propunere de regulament al Parlamentului European și al Consiliului de modificare a Regulamentului (CE) nr. 223/2009 privind statisticile europene</w:t>
        </w:r>
      </w:hyperlink>
      <w:r>
        <w:rPr>
          <w:sz w:val="20"/>
        </w:rPr>
        <w:t xml:space="preserve">; </w:t>
      </w:r>
      <w:hyperlink r:id="rId25" w:history="1">
        <w:r>
          <w:rPr>
            <w:sz w:val="20"/>
          </w:rPr>
          <w:t>revizuirea guvernanței economice – simplificarea raportării</w:t>
        </w:r>
      </w:hyperlink>
      <w:r>
        <w:rPr>
          <w:sz w:val="20"/>
        </w:rPr>
        <w:t xml:space="preserve">; </w:t>
      </w:r>
      <w:hyperlink r:id="rId26" w:history="1">
        <w:r>
          <w:rPr>
            <w:sz w:val="20"/>
          </w:rPr>
          <w:t>Propunere de regulament al Parlamentului European și al Consiliului privind detergenții și agenții tensioactivi</w:t>
        </w:r>
      </w:hyperlink>
      <w:r>
        <w:rPr>
          <w:sz w:val="20"/>
        </w:rPr>
        <w:t xml:space="preserve">; </w:t>
      </w:r>
      <w:hyperlink r:id="rId27" w:history="1">
        <w:r>
          <w:rPr>
            <w:sz w:val="20"/>
          </w:rPr>
          <w:t>Codul vamal al Uniunii</w:t>
        </w:r>
      </w:hyperlink>
      <w:r>
        <w:rPr>
          <w:sz w:val="20"/>
        </w:rPr>
        <w:t xml:space="preserve">; </w:t>
      </w:r>
      <w:hyperlink r:id="rId28" w:history="1">
        <w:r>
          <w:rPr>
            <w:sz w:val="20"/>
          </w:rPr>
          <w:t>cadrul juridic general în domeniul farmaceutic</w:t>
        </w:r>
      </w:hyperlink>
      <w:r>
        <w:t>;</w:t>
      </w:r>
      <w:r>
        <w:rPr>
          <w:sz w:val="20"/>
        </w:rPr>
        <w:t xml:space="preserve"> mai multe inițiative în curs de pregătire sau propuse în domeniul transporturilor, cum ar fi </w:t>
      </w:r>
      <w:hyperlink r:id="rId29" w:history="1">
        <w:r>
          <w:rPr>
            <w:sz w:val="20"/>
          </w:rPr>
          <w:t>Directiva privind transporturile combinate</w:t>
        </w:r>
      </w:hyperlink>
      <w:r>
        <w:rPr>
          <w:sz w:val="20"/>
        </w:rPr>
        <w:t xml:space="preserve">, un </w:t>
      </w:r>
      <w:hyperlink r:id="rId30" w:history="1">
        <w:r>
          <w:rPr>
            <w:sz w:val="20"/>
          </w:rPr>
          <w:t>cadru juridic armonizat pentru capacitatea feroviară și gestionarea traficului</w:t>
        </w:r>
      </w:hyperlink>
      <w:r>
        <w:rPr>
          <w:sz w:val="20"/>
        </w:rPr>
        <w:t xml:space="preserve"> și eliminarea coridoarelor de transport feroviar de mărfuri ca parte a </w:t>
      </w:r>
      <w:hyperlink r:id="rId31" w:history="1">
        <w:r>
          <w:rPr>
            <w:sz w:val="20"/>
          </w:rPr>
          <w:t>pachetului privind înverzirea transportului de mărfuri</w:t>
        </w:r>
      </w:hyperlink>
      <w:r>
        <w:rPr>
          <w:sz w:val="20"/>
        </w:rPr>
        <w:t xml:space="preserve">, revizuirile greutăților și dimensiunilor (a se vedea pachetul privind înverzirea transportului de mărfuri), precum și </w:t>
      </w:r>
      <w:hyperlink r:id="rId32" w:history="1">
        <w:r>
          <w:rPr>
            <w:sz w:val="20"/>
          </w:rPr>
          <w:t xml:space="preserve">directivele privind controlul statului portului </w:t>
        </w:r>
      </w:hyperlink>
      <w:r>
        <w:rPr>
          <w:sz w:val="20"/>
        </w:rPr>
        <w:t>etc.</w:t>
      </w:r>
    </w:p>
  </w:footnote>
  <w:footnote w:id="58">
    <w:p w14:paraId="41699FD6" w14:textId="77777777" w:rsidR="007B0A4D" w:rsidRPr="00D66CF2" w:rsidRDefault="007B0A4D" w:rsidP="003A160A">
      <w:pPr>
        <w:pStyle w:val="FootnoteText"/>
      </w:pPr>
      <w:r>
        <w:rPr>
          <w:rStyle w:val="FootnoteReference"/>
        </w:rPr>
        <w:footnoteRef/>
      </w:r>
      <w:r>
        <w:t xml:space="preserve"> Primul set de standarde europene de raportare privind durabilitatea [COM(2023) 5303 final] a redus în mod semnificativ sarcina de raportare în comparație cu avizul tehnic primit din partea EFRAG. Comisia a extins principiul raportării doar a informațiilor semnificative, a introdus o serie de măsuri cu introducere treptată și a atribuit un caracter voluntar anumitor cerințe de prezentare de informații. </w:t>
      </w:r>
    </w:p>
  </w:footnote>
  <w:footnote w:id="59">
    <w:p w14:paraId="080285AB" w14:textId="6407DF24" w:rsidR="007B0A4D" w:rsidRPr="005C04E3" w:rsidRDefault="007B0A4D" w:rsidP="009B10BF">
      <w:pPr>
        <w:pStyle w:val="FootnoteText"/>
      </w:pPr>
      <w:r>
        <w:rPr>
          <w:rStyle w:val="FootnoteReference"/>
        </w:rPr>
        <w:footnoteRef/>
      </w:r>
      <w:r>
        <w:t xml:space="preserve"> Articolul 8 din Regulamentul (UE) 2020/852 al Parlamentului European și al Consiliului din 18 iunie 2020 privind instituirea unui cadru care să faciliteze investițiile durabile și de modificare a Regulamentului (UE) 2019/2088 (JO L 198, 22.6.2020, p. 13).</w:t>
      </w:r>
    </w:p>
  </w:footnote>
  <w:footnote w:id="60">
    <w:p w14:paraId="2FDEF014" w14:textId="77777777" w:rsidR="007B0A4D" w:rsidRPr="00DF10F6" w:rsidRDefault="007B0A4D" w:rsidP="00AE675A">
      <w:pPr>
        <w:pStyle w:val="FootnoteText"/>
      </w:pPr>
      <w:r>
        <w:rPr>
          <w:rStyle w:val="FootnoteReference"/>
        </w:rPr>
        <w:footnoteRef/>
      </w:r>
      <w:r>
        <w:t xml:space="preserve"> Pentru mai multe detalii, a se vedea raportul de evaluare a impactului privind întârzierile în efectuarea plăților, publicat în paralel cu prezenta comunicare. </w:t>
      </w:r>
    </w:p>
  </w:footnote>
  <w:footnote w:id="61">
    <w:p w14:paraId="14648CF9" w14:textId="77BD4647" w:rsidR="007B0A4D" w:rsidRPr="003F4F24" w:rsidRDefault="007B0A4D">
      <w:pPr>
        <w:pStyle w:val="FootnoteText"/>
      </w:pPr>
      <w:r>
        <w:rPr>
          <w:rStyle w:val="FootnoteReference"/>
        </w:rPr>
        <w:footnoteRef/>
      </w:r>
      <w:r>
        <w:t xml:space="preserve"> Având în vedere aceste obiective, Comisia a lansat recent o serie de proceduri de constatare a neîndeplinirii obligațiilor în ceea ce privește întârzierile în efectuarea plăților, </w:t>
      </w:r>
      <w:hyperlink r:id="rId33" w:history="1">
        <w:r>
          <w:rPr>
            <w:rStyle w:val="Hyperlink"/>
          </w:rPr>
          <w:t>https://ec.europa.eu/commission/presscorner/detail/ro/inf_23_1808</w:t>
        </w:r>
      </w:hyperlink>
      <w:r>
        <w:t>.</w:t>
      </w:r>
    </w:p>
  </w:footnote>
  <w:footnote w:id="62">
    <w:p w14:paraId="6A7B6EB2" w14:textId="3FFD9C87" w:rsidR="007B0A4D" w:rsidRPr="00EC0630" w:rsidRDefault="007B0A4D" w:rsidP="00AE675A">
      <w:pPr>
        <w:spacing w:after="0"/>
        <w:rPr>
          <w:sz w:val="20"/>
          <w:szCs w:val="20"/>
        </w:rPr>
      </w:pPr>
      <w:r>
        <w:rPr>
          <w:rFonts w:eastAsia="Times New Roman"/>
          <w:sz w:val="20"/>
          <w:szCs w:val="20"/>
          <w:vertAlign w:val="superscript"/>
        </w:rPr>
        <w:footnoteRef/>
      </w:r>
      <w:r>
        <w:rPr>
          <w:sz w:val="20"/>
        </w:rPr>
        <w:t xml:space="preserve"> Acesta ar include finanțarea disponibilă pentru IMM-uri prin intermediul următoarelor instrumente (estimări ale serviciilor Comisiei): InvestEU (6,9 miliarde EUR din componenta dedicată IMM-urilor și o sumă suplimentară de 0,82 miliarde EUR prin intermediul componentei de politică pentru investiții sociale și competențe), Mecanismul de redresare și reziliență (MRR) (45,2 miliarde EUR), CEI (10 miliarde EUR), inițiativa CASSINI (0,7 miliarde EUR), pilonul destinat IMM-urilor al Programului privind piața unică (1 miliard EUR), Fondul pentru IMM-uri în domeniul proprietății intelectuale (0,08 miliarde EUR), programul „Europa digitală” (0,7 miliarde EUR), Fondul european de apărare (peste 0,2 miliarde EUR), Programul spațial european (1 miliard EUR), Programul privind conectivitatea securizată – IRIS2 (0,72 miliarde EUR), Orizont Europa (15 miliarde EUR), Fondul pentru o tranziție justă (4,8 miliarde EUR), programul „Europa creativă” (2,3 miliarde EUR), Fondul european de dezvoltare regională (38,71 miliarde EUR), Inițiativele pentru investiții ca reacție la coronavirus în cadrul politicii de coeziune și al REACT-EU (22 de miliarde EUR), Fondul european agricol pentru dezvoltare rurală (30 de miliarde EUR), Fondul de coeziune (0,05 miliarde EUR), Fondul european pentru afaceri maritime, pescuit și acvacultură (2,52 miliarde EUR), Programul LIFE (0,13 miliarde EUR), Mecanismul pentru interconectarea Europei (0,2 miliarde EUR), Fondul pentru inovare (0,17 miliarde EUR), Fondul social european Plus (0,82 miliarde EUR), Noua agendă europeană de inovare în domeniul accesului la finanțare (45 de miliarde EUR) pentru întreprinderile nou-înființate, IMM-uri și întreprinderi mici cu capitalizare medie din domeniul tehnologiei profunde.</w:t>
      </w:r>
    </w:p>
  </w:footnote>
  <w:footnote w:id="63">
    <w:p w14:paraId="1C52A484" w14:textId="77777777" w:rsidR="007B0A4D" w:rsidRPr="00C2650E" w:rsidRDefault="007B0A4D" w:rsidP="00AE675A">
      <w:pPr>
        <w:pStyle w:val="FootnoteText"/>
      </w:pPr>
      <w:r>
        <w:rPr>
          <w:rStyle w:val="FootnoteReference"/>
        </w:rPr>
        <w:footnoteRef/>
      </w:r>
      <w:r>
        <w:t xml:space="preserve"> Dintre diferitele instrumente financiare disponibile pentru IMM-uri în cursul cadrului financiar multianual anterior (perioada 2014-2020), numai Mecanismul de garantare a împrumuturilor din cadrul COSME a mobilizat o finanțare în valoare de 68 de miliarde EUR pentru aproape 900 000 de IMM-uri, contribuind la crearea sau menținerea a peste 4 milioane de locuri de muncă.</w:t>
      </w:r>
    </w:p>
  </w:footnote>
  <w:footnote w:id="64">
    <w:p w14:paraId="788927FF" w14:textId="77777777" w:rsidR="007B0A4D" w:rsidRPr="00D87F3F" w:rsidRDefault="007B0A4D" w:rsidP="005E494F">
      <w:pPr>
        <w:pStyle w:val="FootnoteText"/>
        <w:jc w:val="left"/>
        <w:rPr>
          <w:rFonts w:eastAsia="Times New Roman"/>
        </w:rPr>
      </w:pPr>
      <w:r>
        <w:rPr>
          <w:rStyle w:val="FootnoteReference"/>
          <w:sz w:val="16"/>
          <w:szCs w:val="16"/>
        </w:rPr>
        <w:footnoteRef/>
      </w:r>
      <w:r>
        <w:rPr>
          <w:rStyle w:val="FootnoteReference"/>
          <w:sz w:val="16"/>
        </w:rPr>
        <w:t xml:space="preserve"> </w:t>
      </w:r>
      <w:hyperlink r:id="rId34" w:history="1">
        <w:r>
          <w:rPr>
            <w:rStyle w:val="Hyperlink"/>
          </w:rPr>
          <w:t>https://single-market-economy.ec.europa.eu/access-finance/investeu/investeu-fund-sme-window_en</w:t>
        </w:r>
      </w:hyperlink>
      <w:r>
        <w:t>.</w:t>
      </w:r>
    </w:p>
  </w:footnote>
  <w:footnote w:id="65">
    <w:p w14:paraId="7D5F1405" w14:textId="77777777" w:rsidR="007B0A4D" w:rsidRPr="00D87F3F" w:rsidRDefault="007B0A4D" w:rsidP="005E494F">
      <w:pPr>
        <w:pStyle w:val="FootnoteText"/>
        <w:jc w:val="left"/>
        <w:rPr>
          <w:rFonts w:eastAsia="Times New Roman"/>
        </w:rPr>
      </w:pPr>
      <w:r>
        <w:rPr>
          <w:rStyle w:val="FootnoteReference"/>
          <w:sz w:val="16"/>
          <w:szCs w:val="16"/>
        </w:rPr>
        <w:footnoteRef/>
      </w:r>
      <w:r>
        <w:t xml:space="preserve"> COM(2023) 335 final.</w:t>
      </w:r>
    </w:p>
  </w:footnote>
  <w:footnote w:id="66">
    <w:p w14:paraId="50C00A69" w14:textId="25CAE98E" w:rsidR="00D33231" w:rsidRPr="00D33231" w:rsidRDefault="00D33231">
      <w:pPr>
        <w:pStyle w:val="FootnoteText"/>
      </w:pPr>
      <w:r>
        <w:rPr>
          <w:rStyle w:val="FootnoteReference"/>
        </w:rPr>
        <w:footnoteRef/>
      </w:r>
      <w:r>
        <w:t xml:space="preserve"> Printr-o modificare a orientărilor tehnice privind aplicarea principiului de „a nu aduce prejudicii semnificative” în cadrul Regulamentului (UE) 2021/241. Acest lucru va facilita, de asemenea, alocarea de resurse din MRR pentru InvestEU.</w:t>
      </w:r>
    </w:p>
  </w:footnote>
  <w:footnote w:id="67">
    <w:p w14:paraId="438FFE66" w14:textId="77777777" w:rsidR="007B0A4D" w:rsidRPr="00D87F3F" w:rsidRDefault="007B0A4D" w:rsidP="00AE675A">
      <w:pPr>
        <w:pStyle w:val="FootnoteText"/>
        <w:rPr>
          <w:rFonts w:eastAsia="Times New Roman"/>
        </w:rPr>
      </w:pPr>
      <w:r>
        <w:rPr>
          <w:rStyle w:val="FootnoteReference"/>
          <w:sz w:val="16"/>
          <w:szCs w:val="16"/>
        </w:rPr>
        <w:footnoteRef/>
      </w:r>
      <w:r>
        <w:rPr>
          <w:rStyle w:val="FootnoteReference"/>
          <w:sz w:val="16"/>
        </w:rPr>
        <w:t xml:space="preserve"> </w:t>
      </w:r>
      <w:r>
        <w:t>Acest lucru nu aduce atingere obligației aplicabile instrumentelor financiare și garanțiilor bugetare ale UE de a respecta normele privind ajutoarele de stat în temeiul articolului 209 alineatul (2) litera (c) din Regulamentul financiar.</w:t>
      </w:r>
    </w:p>
  </w:footnote>
  <w:footnote w:id="68">
    <w:p w14:paraId="061F6F31" w14:textId="77777777" w:rsidR="007B0A4D" w:rsidRPr="00BB48C7" w:rsidRDefault="007B0A4D" w:rsidP="005E494F">
      <w:pPr>
        <w:pStyle w:val="References"/>
        <w:spacing w:after="0"/>
        <w:ind w:left="0"/>
        <w:rPr>
          <w:sz w:val="2"/>
          <w:szCs w:val="2"/>
        </w:rPr>
      </w:pPr>
      <w:r>
        <w:rPr>
          <w:rStyle w:val="FootnoteReference"/>
          <w:rFonts w:eastAsiaTheme="minorEastAsia"/>
        </w:rPr>
        <w:footnoteRef/>
      </w:r>
      <w:r>
        <w:rPr>
          <w:rStyle w:val="FootnoteReference"/>
        </w:rPr>
        <w:t xml:space="preserve"> </w:t>
      </w:r>
      <w:hyperlink r:id="rId35" w:history="1">
        <w:r>
          <w:rPr>
            <w:rStyle w:val="Hyperlink"/>
          </w:rPr>
          <w:t>https://www.fi-compass.eu</w:t>
        </w:r>
        <w:r>
          <w:rPr>
            <w:rStyle w:val="Hyperlink"/>
            <w:u w:val="none"/>
          </w:rPr>
          <w:t>.</w:t>
        </w:r>
      </w:hyperlink>
    </w:p>
  </w:footnote>
  <w:footnote w:id="69">
    <w:p w14:paraId="528B0779" w14:textId="77777777" w:rsidR="007B0A4D" w:rsidRPr="0039069F" w:rsidRDefault="007B0A4D" w:rsidP="005E494F">
      <w:pPr>
        <w:pStyle w:val="FootnoteText"/>
        <w:jc w:val="left"/>
        <w:rPr>
          <w:rFonts w:eastAsia="Times New Roman"/>
        </w:rPr>
      </w:pPr>
      <w:r>
        <w:rPr>
          <w:rStyle w:val="FootnoteReference"/>
          <w:rFonts w:eastAsia="Times New Roman"/>
        </w:rPr>
        <w:footnoteRef/>
      </w:r>
      <w:r>
        <w:t xml:space="preserve"> </w:t>
      </w:r>
      <w:hyperlink r:id="rId36" w:history="1">
        <w:r>
          <w:rPr>
            <w:rStyle w:val="Hyperlink"/>
          </w:rPr>
          <w:t>https://ec.europa.eu/commission/presscorner/detail/ro/ip_22_7348</w:t>
        </w:r>
      </w:hyperlink>
      <w:r>
        <w:t>.</w:t>
      </w:r>
    </w:p>
  </w:footnote>
  <w:footnote w:id="70">
    <w:p w14:paraId="3AAA958F" w14:textId="77777777" w:rsidR="007B0A4D" w:rsidRPr="00EA44AF" w:rsidRDefault="007B0A4D" w:rsidP="005E494F">
      <w:pPr>
        <w:pStyle w:val="FootnoteText"/>
        <w:jc w:val="left"/>
      </w:pPr>
      <w:r>
        <w:rPr>
          <w:rStyle w:val="FootnoteReference"/>
        </w:rPr>
        <w:footnoteRef/>
      </w:r>
      <w:r>
        <w:t xml:space="preserve"> COM(2022) 760 final.</w:t>
      </w:r>
    </w:p>
  </w:footnote>
  <w:footnote w:id="71">
    <w:p w14:paraId="4C6BFE1A" w14:textId="1BC97520" w:rsidR="007B0A4D" w:rsidRPr="00BB6F70" w:rsidRDefault="007B0A4D" w:rsidP="005E494F">
      <w:pPr>
        <w:pStyle w:val="FootnoteText"/>
        <w:jc w:val="left"/>
      </w:pPr>
      <w:r>
        <w:rPr>
          <w:rStyle w:val="FootnoteReference"/>
        </w:rPr>
        <w:footnoteRef/>
      </w:r>
      <w:r>
        <w:t xml:space="preserve"> COM(2017) 572 final. În perioada 2020-2021, Comisia a publicat două studii privind participarea IMM-urilor la achiziții publice: </w:t>
      </w:r>
      <w:hyperlink r:id="rId37" w:history="1">
        <w:r>
          <w:rPr>
            <w:rStyle w:val="Hyperlink"/>
          </w:rPr>
          <w:t>https://op.europa.eu/en/publication-detail/-/publication/eec8227c-ecc4-11ea-b3c6-01aa75ed71a1</w:t>
        </w:r>
      </w:hyperlink>
      <w:r>
        <w:t xml:space="preserve"> și </w:t>
      </w:r>
      <w:hyperlink r:id="rId38" w:history="1">
        <w:r>
          <w:rPr>
            <w:rStyle w:val="Hyperlink"/>
          </w:rPr>
          <w:t>https://ec.europa.eu/docsroom/documents/46111/attachments/1/translations/en/renditions/native</w:t>
        </w:r>
      </w:hyperlink>
      <w:r>
        <w:t xml:space="preserve">. În 2023, au fost publicate două broșuri pentru a încuraja participarea întreprinderilor nou-înființate la achiziții publice: </w:t>
      </w:r>
      <w:hyperlink r:id="rId39" w:history="1">
        <w:r>
          <w:rPr>
            <w:rStyle w:val="Hyperlink"/>
          </w:rPr>
          <w:t>https://ec.europa.eu/docsroom/documents/54254?locale=ro</w:t>
        </w:r>
      </w:hyperlink>
      <w:r>
        <w:t xml:space="preserve">, </w:t>
      </w:r>
      <w:hyperlink r:id="rId40" w:history="1">
        <w:r>
          <w:rPr>
            <w:rStyle w:val="Hyperlink"/>
          </w:rPr>
          <w:t>https://ec.europa.eu/docsroom/documents/54276?locale=ro</w:t>
        </w:r>
      </w:hyperlink>
      <w:r>
        <w:t>.</w:t>
      </w:r>
    </w:p>
  </w:footnote>
  <w:footnote w:id="72">
    <w:p w14:paraId="1645160C" w14:textId="22ABA90B" w:rsidR="007B0A4D" w:rsidRPr="00AB03BF" w:rsidRDefault="007B0A4D" w:rsidP="005E494F">
      <w:pPr>
        <w:pStyle w:val="FootnoteText"/>
        <w:jc w:val="left"/>
        <w:rPr>
          <w:rFonts w:eastAsia="Times New Roman"/>
        </w:rPr>
      </w:pPr>
      <w:r>
        <w:rPr>
          <w:rStyle w:val="FootnoteReference"/>
        </w:rPr>
        <w:footnoteRef/>
      </w:r>
      <w:r>
        <w:rPr>
          <w:color w:val="2B579A"/>
        </w:rPr>
        <w:t xml:space="preserve"> </w:t>
      </w:r>
      <w:r w:rsidRPr="00182C98">
        <w:rPr>
          <w:i/>
        </w:rPr>
        <w:t>Activity Report 2023 of the OECD Platform on Financing SMEs for Sustainability</w:t>
      </w:r>
      <w:r>
        <w:t xml:space="preserve"> (Raportul de activitate pe 2023 al Platformei OCDE privind finanțarea IMM-urilor pentru durabilitate) (pagina 6), </w:t>
      </w:r>
      <w:hyperlink r:id="rId41" w:history="1">
        <w:r>
          <w:rPr>
            <w:rStyle w:val="Hyperlink"/>
          </w:rPr>
          <w:t>https://www.oecd.org/cfe/smes/SME%20activity-report-2023.pdf</w:t>
        </w:r>
      </w:hyperlink>
      <w:r>
        <w:rPr>
          <w:color w:val="2B579A"/>
        </w:rPr>
        <w:t>.</w:t>
      </w:r>
    </w:p>
  </w:footnote>
  <w:footnote w:id="73">
    <w:p w14:paraId="0F8B72F3" w14:textId="4F0D4CBD" w:rsidR="007B0A4D" w:rsidRPr="00A04F30" w:rsidRDefault="007B0A4D" w:rsidP="005E494F">
      <w:pPr>
        <w:pStyle w:val="FootnoteText"/>
        <w:jc w:val="left"/>
      </w:pPr>
      <w:r>
        <w:rPr>
          <w:rStyle w:val="FootnoteReference"/>
        </w:rPr>
        <w:footnoteRef/>
      </w:r>
      <w:r>
        <w:t xml:space="preserve"> Cel mai recent, prin Comunicarea Comisiei intitulată „Un cadru privind finanțarea durabilă care funcționează în practică” din iunie 2023, COM(2023) 317 final, care pledează în special pentru caracterul incluziv, ușurința utilizării și proporționalitatea unui astfel de cadru pentru a permite IMM-urilor să atragă finanțare pentru tranziția lor către durabilitate.</w:t>
      </w:r>
    </w:p>
  </w:footnote>
  <w:footnote w:id="74">
    <w:p w14:paraId="40FB5368" w14:textId="5CF7C69A" w:rsidR="007B0A4D" w:rsidRPr="00E35286" w:rsidRDefault="007B0A4D" w:rsidP="005E494F">
      <w:pPr>
        <w:pStyle w:val="FootnoteText"/>
        <w:jc w:val="left"/>
      </w:pPr>
      <w:r>
        <w:rPr>
          <w:rStyle w:val="FootnoteReference"/>
        </w:rPr>
        <w:footnoteRef/>
      </w:r>
      <w:r>
        <w:t xml:space="preserve"> Recomandarea (UE) 2023/1425 a Comisiei privind facilitarea finanțării tranziției către o economie durabilă.</w:t>
      </w:r>
    </w:p>
  </w:footnote>
  <w:footnote w:id="75">
    <w:p w14:paraId="13784F0B" w14:textId="42316C9D" w:rsidR="007B0A4D" w:rsidRPr="00D67EF4" w:rsidRDefault="007B0A4D" w:rsidP="001B1521">
      <w:pPr>
        <w:pStyle w:val="FootnoteText"/>
      </w:pPr>
      <w:r>
        <w:rPr>
          <w:rStyle w:val="FootnoteReference"/>
        </w:rPr>
        <w:footnoteRef/>
      </w:r>
      <w:r>
        <w:t xml:space="preserve"> Cererea Comisiei privind emiterea unui aviz de către ABE cu privire la împrumuturile și creditele ipotecare verzi din noiembrie 2022. </w:t>
      </w:r>
    </w:p>
  </w:footnote>
  <w:footnote w:id="76">
    <w:p w14:paraId="1E690818" w14:textId="260F87C7" w:rsidR="007B0A4D" w:rsidRPr="00733AA8" w:rsidRDefault="007B0A4D" w:rsidP="005E494F">
      <w:pPr>
        <w:spacing w:after="0"/>
        <w:jc w:val="left"/>
        <w:rPr>
          <w:rFonts w:eastAsiaTheme="minorEastAsia"/>
          <w:sz w:val="20"/>
          <w:szCs w:val="20"/>
        </w:rPr>
      </w:pPr>
      <w:r>
        <w:rPr>
          <w:rFonts w:eastAsia="Times New Roman"/>
          <w:sz w:val="20"/>
          <w:szCs w:val="20"/>
          <w:vertAlign w:val="superscript"/>
        </w:rPr>
        <w:footnoteRef/>
      </w:r>
      <w:r>
        <w:rPr>
          <w:sz w:val="20"/>
        </w:rPr>
        <w:t xml:space="preserve"> COM(2020) 274 final. </w:t>
      </w:r>
    </w:p>
  </w:footnote>
  <w:footnote w:id="77">
    <w:p w14:paraId="53BA9A00" w14:textId="525C4355" w:rsidR="007B0A4D" w:rsidRPr="0013757D" w:rsidRDefault="007B0A4D" w:rsidP="005E494F">
      <w:pPr>
        <w:spacing w:after="0"/>
        <w:jc w:val="left"/>
        <w:rPr>
          <w:rFonts w:eastAsia="Times New Roman"/>
          <w:sz w:val="20"/>
          <w:szCs w:val="20"/>
        </w:rPr>
      </w:pPr>
      <w:r>
        <w:rPr>
          <w:rFonts w:eastAsia="Times New Roman"/>
          <w:sz w:val="20"/>
          <w:szCs w:val="20"/>
          <w:vertAlign w:val="superscript"/>
        </w:rPr>
        <w:footnoteRef/>
      </w:r>
      <w:r>
        <w:rPr>
          <w:sz w:val="20"/>
        </w:rPr>
        <w:t xml:space="preserve"> Planul de acțiune privind Pilonul european al drepturilor sociale, aprobat de șefii de stat și de guvern în 2020, </w:t>
      </w:r>
      <w:hyperlink r:id="rId42" w:history="1">
        <w:r w:rsidR="00C369D3" w:rsidRPr="003F0312">
          <w:rPr>
            <w:rStyle w:val="Hyperlink"/>
            <w:rFonts w:eastAsia="Times New Roman"/>
            <w:sz w:val="20"/>
            <w:szCs w:val="20"/>
          </w:rPr>
          <w:t>https://ec.europa.eu/social/main.jsp?catId=1607&amp;langId=en</w:t>
        </w:r>
      </w:hyperlink>
    </w:p>
  </w:footnote>
  <w:footnote w:id="78">
    <w:p w14:paraId="36287049" w14:textId="34356BBC" w:rsidR="007B0A4D" w:rsidRPr="00EB7BA8" w:rsidRDefault="007B0A4D" w:rsidP="005E494F">
      <w:pPr>
        <w:pStyle w:val="FootnoteText"/>
        <w:jc w:val="left"/>
      </w:pPr>
      <w:r>
        <w:rPr>
          <w:rStyle w:val="FootnoteReference"/>
        </w:rPr>
        <w:footnoteRef/>
      </w:r>
      <w:r>
        <w:t xml:space="preserve"> COM(2023) 205 final și COM(2023) 206 final.</w:t>
      </w:r>
    </w:p>
  </w:footnote>
  <w:footnote w:id="79">
    <w:p w14:paraId="41F1736A" w14:textId="49B546D2" w:rsidR="005E6CE8" w:rsidRPr="005E6CE8" w:rsidRDefault="0001743B">
      <w:pPr>
        <w:pStyle w:val="FootnoteText"/>
      </w:pPr>
      <w:hyperlink r:id="rId43" w:history="1">
        <w:r w:rsidR="0061781A" w:rsidRPr="00C369D3">
          <w:rPr>
            <w:rStyle w:val="Hyperlink"/>
            <w:u w:val="none"/>
            <w:vertAlign w:val="superscript"/>
          </w:rPr>
          <w:footnoteRef/>
        </w:r>
        <w:r w:rsidR="0061781A">
          <w:rPr>
            <w:rStyle w:val="Hyperlink"/>
          </w:rPr>
          <w:t xml:space="preserve"> https://education.ec.europa.eu/ro/focus-topics/digital-education/action-plan/action-9</w:t>
        </w:r>
      </w:hyperlink>
      <w:r w:rsidR="0061781A">
        <w:rPr>
          <w:rStyle w:val="Hyperlink"/>
        </w:rPr>
        <w:t>.</w:t>
      </w:r>
    </w:p>
  </w:footnote>
  <w:footnote w:id="80">
    <w:p w14:paraId="6AB81393" w14:textId="79D195B9" w:rsidR="005C43C1" w:rsidRPr="005C43C1" w:rsidRDefault="005C43C1">
      <w:pPr>
        <w:pStyle w:val="FootnoteText"/>
      </w:pPr>
      <w:r>
        <w:rPr>
          <w:rStyle w:val="FootnoteReference"/>
        </w:rPr>
        <w:footnoteRef/>
      </w:r>
      <w:r>
        <w:t xml:space="preserve"> Recomandarea Consiliului 2020/C 417/01.</w:t>
      </w:r>
    </w:p>
  </w:footnote>
  <w:footnote w:id="81">
    <w:p w14:paraId="1D80F7AE" w14:textId="7FCB3BE5" w:rsidR="007B0A4D" w:rsidRPr="00C05818" w:rsidRDefault="007B0A4D" w:rsidP="005E494F">
      <w:pPr>
        <w:pStyle w:val="FootnoteText"/>
        <w:jc w:val="left"/>
      </w:pPr>
      <w:r>
        <w:rPr>
          <w:rStyle w:val="FootnoteReference"/>
        </w:rPr>
        <w:footnoteRef/>
      </w:r>
      <w:r>
        <w:t xml:space="preserve"> </w:t>
      </w:r>
      <w:hyperlink r:id="rId44" w:history="1">
        <w:r w:rsidR="00C369D3" w:rsidRPr="00A8682D">
          <w:rPr>
            <w:rStyle w:val="Hyperlink"/>
          </w:rPr>
          <w:t>https://ec.europa.eu/social/main.jsp?catId=1501</w:t>
        </w:r>
      </w:hyperlink>
      <w:r w:rsidR="00C369D3">
        <w:t>.</w:t>
      </w:r>
    </w:p>
  </w:footnote>
  <w:footnote w:id="82">
    <w:p w14:paraId="56B43035" w14:textId="4386183B" w:rsidR="007B0A4D" w:rsidRPr="00733AA8" w:rsidRDefault="007B0A4D" w:rsidP="001C3B4A">
      <w:pPr>
        <w:spacing w:after="0"/>
        <w:jc w:val="left"/>
        <w:rPr>
          <w:rFonts w:eastAsiaTheme="minorEastAsia"/>
          <w:sz w:val="20"/>
          <w:szCs w:val="20"/>
        </w:rPr>
      </w:pPr>
      <w:r>
        <w:rPr>
          <w:rFonts w:eastAsia="Times New Roman"/>
          <w:sz w:val="20"/>
          <w:szCs w:val="20"/>
          <w:vertAlign w:val="superscript"/>
        </w:rPr>
        <w:footnoteRef/>
      </w:r>
      <w:r>
        <w:rPr>
          <w:sz w:val="20"/>
        </w:rPr>
        <w:t xml:space="preserve"> Pactul încurajează, de asemenea, parteneriatele la nivel regional pentru a sprijini perfecționarea și recalificarea forței de muncă, inclusiv a celei din IMM-uri. Potrivit rezultatelor sondajului, de la lansarea sa în 2020, aproape două milioane de persoane au beneficiat de eforturile concertate ale membrilor pactului. În plus, membrii au realizat o investiție agregată de aproape 160 de milioane EUR în activități de perfecționare și recalificare. </w:t>
      </w:r>
      <w:hyperlink r:id="rId45" w:history="1">
        <w:r>
          <w:rPr>
            <w:rStyle w:val="Hyperlink"/>
            <w:sz w:val="20"/>
          </w:rPr>
          <w:t>https://pact-for-skills.ec.europa.eu/index_en</w:t>
        </w:r>
      </w:hyperlink>
      <w:r>
        <w:rPr>
          <w:sz w:val="20"/>
        </w:rPr>
        <w:t>.</w:t>
      </w:r>
      <w:r>
        <w:t xml:space="preserve"> </w:t>
      </w:r>
    </w:p>
  </w:footnote>
  <w:footnote w:id="83">
    <w:p w14:paraId="24591791" w14:textId="66BEE448" w:rsidR="007B0A4D" w:rsidRPr="0039014E" w:rsidRDefault="007B0A4D">
      <w:pPr>
        <w:pStyle w:val="FootnoteText"/>
      </w:pPr>
      <w:r>
        <w:rPr>
          <w:rStyle w:val="FootnoteReference"/>
        </w:rPr>
        <w:footnoteRef/>
      </w:r>
      <w:r>
        <w:t xml:space="preserve"> https://www.erasmus-entrepreneurs.eu/index.php?lan=ro.</w:t>
      </w:r>
    </w:p>
  </w:footnote>
  <w:footnote w:id="84">
    <w:p w14:paraId="1CABC7CC" w14:textId="772391FF" w:rsidR="007B0A4D" w:rsidRPr="0039014E" w:rsidRDefault="007B0A4D">
      <w:pPr>
        <w:pStyle w:val="FootnoteText"/>
      </w:pPr>
      <w:r>
        <w:rPr>
          <w:rStyle w:val="FootnoteReference"/>
        </w:rPr>
        <w:footnoteRef/>
      </w:r>
      <w:r>
        <w:t xml:space="preserve"> https://eismea.ec.europa.eu/programmes/european-innovation-ecosystems/women-techeu_en.</w:t>
      </w:r>
    </w:p>
  </w:footnote>
  <w:footnote w:id="85">
    <w:p w14:paraId="412B01A6" w14:textId="77777777" w:rsidR="007B0A4D" w:rsidRPr="00733909" w:rsidRDefault="007B0A4D" w:rsidP="005E494F">
      <w:pPr>
        <w:pStyle w:val="FootnoteText"/>
        <w:jc w:val="left"/>
      </w:pPr>
      <w:r>
        <w:rPr>
          <w:rStyle w:val="FootnoteReference"/>
          <w:rFonts w:eastAsia="Times New Roman"/>
        </w:rPr>
        <w:footnoteRef/>
      </w:r>
      <w:r>
        <w:t xml:space="preserve"> COM(2011) 78 final.</w:t>
      </w:r>
    </w:p>
  </w:footnote>
  <w:footnote w:id="86">
    <w:p w14:paraId="29EB1426" w14:textId="0B1543BC" w:rsidR="007B0A4D" w:rsidRPr="00FF06D3" w:rsidRDefault="007B0A4D" w:rsidP="005E494F">
      <w:pPr>
        <w:pStyle w:val="FootnoteText"/>
        <w:jc w:val="left"/>
        <w:rPr>
          <w:rFonts w:eastAsia="Times New Roman"/>
        </w:rPr>
      </w:pPr>
      <w:r>
        <w:rPr>
          <w:rStyle w:val="FootnoteReference"/>
          <w:rFonts w:eastAsia="Times New Roman"/>
        </w:rPr>
        <w:footnoteRef/>
      </w:r>
      <w:r>
        <w:t xml:space="preserve"> COM(2016) 733 final.</w:t>
      </w:r>
    </w:p>
  </w:footnote>
  <w:footnote w:id="87">
    <w:p w14:paraId="3A70BD49" w14:textId="77777777" w:rsidR="007B0A4D" w:rsidRDefault="007B0A4D" w:rsidP="005E494F">
      <w:pPr>
        <w:pStyle w:val="FootnoteText"/>
        <w:jc w:val="left"/>
      </w:pPr>
      <w:r>
        <w:rPr>
          <w:rStyle w:val="FootnoteReference"/>
          <w:rFonts w:eastAsia="Times New Roman"/>
        </w:rPr>
        <w:footnoteRef/>
      </w:r>
      <w:r>
        <w:t xml:space="preserve"> </w:t>
      </w:r>
      <w:hyperlink r:id="rId46" w:history="1">
        <w:r>
          <w:rPr>
            <w:rStyle w:val="Hyperlink"/>
          </w:rPr>
          <w:t>https://startupnationsstandard.eu/files/SNS-declaration.pdf</w:t>
        </w:r>
      </w:hyperlink>
      <w:r>
        <w:t>.</w:t>
      </w:r>
    </w:p>
  </w:footnote>
  <w:footnote w:id="88">
    <w:p w14:paraId="6635E777" w14:textId="77777777" w:rsidR="00DA0482" w:rsidRPr="00BB7D46" w:rsidRDefault="00DA0482" w:rsidP="00DA0482">
      <w:pPr>
        <w:pStyle w:val="FootnoteText"/>
      </w:pPr>
      <w:r>
        <w:rPr>
          <w:rStyle w:val="FootnoteReference"/>
        </w:rPr>
        <w:footnoteRef/>
      </w:r>
      <w:r>
        <w:t xml:space="preserve"> În conformitate cu Directiva (UE) 2019/1151 și cu propunerea COM(2023) 177 final. </w:t>
      </w:r>
    </w:p>
  </w:footnote>
  <w:footnote w:id="89">
    <w:p w14:paraId="012CFD6F" w14:textId="77777777" w:rsidR="006861B3" w:rsidRPr="006E1070" w:rsidRDefault="006861B3" w:rsidP="006861B3">
      <w:pPr>
        <w:pStyle w:val="FootnoteText"/>
      </w:pPr>
      <w:r>
        <w:rPr>
          <w:rStyle w:val="FootnoteReference"/>
        </w:rPr>
        <w:footnoteRef/>
      </w:r>
      <w:r>
        <w:t xml:space="preserve"> COM(2021) 778 final.</w:t>
      </w:r>
    </w:p>
  </w:footnote>
  <w:footnote w:id="90">
    <w:p w14:paraId="3B62293C" w14:textId="00ED04EA" w:rsidR="007B0A4D" w:rsidRPr="00F81072" w:rsidRDefault="007B0A4D" w:rsidP="005E494F">
      <w:pPr>
        <w:pStyle w:val="FootnoteText"/>
        <w:jc w:val="left"/>
      </w:pPr>
      <w:r>
        <w:rPr>
          <w:rStyle w:val="FootnoteReference"/>
        </w:rPr>
        <w:footnoteRef/>
      </w:r>
      <w:r>
        <w:t xml:space="preserve"> Cea mai recentă evaluare este documentul COM SWD(2021) 280 final.</w:t>
      </w:r>
    </w:p>
  </w:footnote>
  <w:footnote w:id="91">
    <w:p w14:paraId="188CA9F0" w14:textId="0D71C2CC" w:rsidR="007B0A4D" w:rsidRPr="00B10622" w:rsidRDefault="007B0A4D" w:rsidP="005E494F">
      <w:pPr>
        <w:pStyle w:val="FootnoteText"/>
        <w:jc w:val="left"/>
      </w:pPr>
      <w:r>
        <w:rPr>
          <w:rStyle w:val="FootnoteReference"/>
        </w:rPr>
        <w:footnoteRef/>
      </w:r>
      <w:r>
        <w:t xml:space="preserve"> SWD(2021) 280 final. </w:t>
      </w:r>
    </w:p>
  </w:footnote>
  <w:footnote w:id="92">
    <w:p w14:paraId="7DB85D27" w14:textId="1A9F12E9" w:rsidR="007B0A4D" w:rsidRPr="00F81072" w:rsidRDefault="007B0A4D" w:rsidP="005E494F">
      <w:pPr>
        <w:pStyle w:val="FootnoteText"/>
        <w:jc w:val="left"/>
      </w:pPr>
      <w:r>
        <w:rPr>
          <w:rStyle w:val="FootnoteReference"/>
        </w:rPr>
        <w:footnoteRef/>
      </w:r>
      <w:r>
        <w:t xml:space="preserve"> </w:t>
      </w:r>
      <w:r w:rsidRPr="00182C98">
        <w:rPr>
          <w:i/>
        </w:rPr>
        <w:t>Study to map, measure and portray the EU mid-cap landscape</w:t>
      </w:r>
      <w:r>
        <w:t xml:space="preserve"> (Studiu pentru cartografierea, măsurarea și prezentarea peisajului întreprinderilor cu capitalizare medie din UE), 2022, </w:t>
      </w:r>
      <w:hyperlink r:id="rId47" w:history="1">
        <w:r>
          <w:rPr>
            <w:rStyle w:val="Hyperlink"/>
          </w:rPr>
          <w:t>https://op.europa.eu/en/publication- detail/-/publication/ad5fdad5-6a33-11ed-b14f-01aa75ed71a1/language-en/format-PDF/source-277396461</w:t>
        </w:r>
      </w:hyperlink>
      <w:r>
        <w:rPr>
          <w:rStyle w:val="Hyperlink"/>
        </w:rPr>
        <w:t>.</w:t>
      </w:r>
    </w:p>
  </w:footnote>
  <w:footnote w:id="93">
    <w:p w14:paraId="0D38D110" w14:textId="77777777" w:rsidR="007B0A4D" w:rsidRPr="00D0415E" w:rsidRDefault="007B0A4D" w:rsidP="005E494F">
      <w:pPr>
        <w:pStyle w:val="FootnoteText"/>
        <w:jc w:val="left"/>
      </w:pPr>
      <w:r>
        <w:rPr>
          <w:rStyle w:val="FootnoteReference"/>
        </w:rPr>
        <w:footnoteRef/>
      </w:r>
      <w:r>
        <w:t xml:space="preserve"> COM(2023) 1711.</w:t>
      </w:r>
    </w:p>
  </w:footnote>
  <w:footnote w:id="94">
    <w:p w14:paraId="57B8FEA5" w14:textId="77777777" w:rsidR="007B0A4D" w:rsidRPr="009109C1" w:rsidRDefault="007B0A4D" w:rsidP="005E494F">
      <w:pPr>
        <w:pStyle w:val="FootnoteText"/>
        <w:jc w:val="left"/>
      </w:pPr>
      <w:r>
        <w:rPr>
          <w:rStyle w:val="FootnoteReference"/>
        </w:rPr>
        <w:footnoteRef/>
      </w:r>
      <w:r>
        <w:t xml:space="preserve"> Regulamentul (UE) 2023/1315 al Comisiei. </w:t>
      </w:r>
    </w:p>
  </w:footnote>
  <w:footnote w:id="95">
    <w:p w14:paraId="5ED9DACD" w14:textId="77777777" w:rsidR="007B0A4D" w:rsidRPr="00242478" w:rsidRDefault="007B0A4D" w:rsidP="009B10BF">
      <w:pPr>
        <w:pStyle w:val="FootnoteText"/>
      </w:pPr>
      <w:r>
        <w:rPr>
          <w:rStyle w:val="FootnoteReference"/>
        </w:rPr>
        <w:footnoteRef/>
      </w:r>
      <w:r>
        <w:t xml:space="preserve"> COM 94/1069/CE. În special, Comisia a propus stimulente fiscale specifice, cum ar fi reducerea condiționată a impozitelor pe succesiune și donații în cazul succesiunilor familiale, amânări condiționate la plata impozitului sau scutiri fiscale pentru reinvestiții sau stimulente fiscale specifice pentru a încuraja transferul întreprinderii către angajați, cu scopul de a se asigura că impozitele pe transfer nu pun în pericol supraviețuirea întreprinderii.</w:t>
      </w:r>
    </w:p>
  </w:footnote>
  <w:footnote w:id="96">
    <w:p w14:paraId="0D9154AF" w14:textId="6B6730A4" w:rsidR="007B0A4D" w:rsidRPr="0074058B" w:rsidRDefault="007B0A4D" w:rsidP="005E494F">
      <w:pPr>
        <w:pStyle w:val="FootnoteText"/>
        <w:jc w:val="left"/>
      </w:pPr>
      <w:r>
        <w:rPr>
          <w:rStyle w:val="FootnoteReference"/>
          <w:rFonts w:eastAsia="Times New Roman"/>
        </w:rPr>
        <w:footnoteRef/>
      </w:r>
      <w:r>
        <w:t xml:space="preserve"> </w:t>
      </w:r>
      <w:hyperlink r:id="rId48" w:history="1">
        <w:r>
          <w:rPr>
            <w:rStyle w:val="Hyperlink"/>
          </w:rPr>
          <w:t>https://single-market-economy.ec.europa.eu/smes/supporting-entrepreneurship/transfer-businesses_en</w:t>
        </w:r>
      </w:hyperlink>
      <w:r>
        <w:rPr>
          <w:rStyle w:val="Hyperlink"/>
        </w:rPr>
        <w:t>.</w:t>
      </w:r>
    </w:p>
  </w:footnote>
  <w:footnote w:id="97">
    <w:p w14:paraId="1B6A7985" w14:textId="04B77A90" w:rsidR="007B0A4D" w:rsidRPr="00432A9D" w:rsidRDefault="007B0A4D" w:rsidP="001C3B4A">
      <w:pPr>
        <w:pStyle w:val="FootnoteText"/>
        <w:jc w:val="left"/>
        <w:rPr>
          <w:rStyle w:val="Hyperlink"/>
          <w:rFonts w:eastAsia="Times New Roman"/>
          <w:sz w:val="24"/>
          <w:szCs w:val="24"/>
        </w:rPr>
      </w:pPr>
      <w:r>
        <w:rPr>
          <w:rStyle w:val="FootnoteReference"/>
          <w:rFonts w:eastAsia="Times New Roman"/>
        </w:rPr>
        <w:footnoteRef/>
      </w:r>
      <w:r>
        <w:t xml:space="preserve"> </w:t>
      </w:r>
      <w:hyperlink r:id="rId49" w:history="1">
        <w:r>
          <w:rPr>
            <w:rStyle w:val="Hyperlink"/>
          </w:rPr>
          <w:t>https://op.europa.eu/en/publication-detail/-/publication/fdfae129-69bb-11eb-aeb5-01aa75ed71a1/language-en/format-PDF/source-190448642</w:t>
        </w:r>
      </w:hyperlink>
      <w:r>
        <w:rPr>
          <w:rStyle w:val="Hyperlink"/>
        </w:rPr>
        <w:t>.</w:t>
      </w:r>
    </w:p>
  </w:footnote>
  <w:footnote w:id="98">
    <w:p w14:paraId="5EC4A2C7" w14:textId="1B55E2D6" w:rsidR="007B0A4D" w:rsidRPr="00432A9D" w:rsidRDefault="007B0A4D" w:rsidP="001C3B4A">
      <w:pPr>
        <w:pStyle w:val="FootnoteText"/>
        <w:jc w:val="left"/>
        <w:rPr>
          <w:rFonts w:eastAsia="Times New Roman"/>
        </w:rPr>
      </w:pPr>
      <w:r>
        <w:rPr>
          <w:rStyle w:val="FootnoteReference"/>
        </w:rPr>
        <w:footnoteRef/>
      </w:r>
      <w:r>
        <w:rPr>
          <w:rStyle w:val="FootnoteReference"/>
        </w:rPr>
        <w:t xml:space="preserve"> </w:t>
      </w:r>
      <w:r>
        <w:t>COM(2023) 316 final</w:t>
      </w:r>
      <w:bookmarkStart w:id="30" w:name="_Hlk141817452"/>
      <w:r>
        <w:t>.</w:t>
      </w:r>
      <w:bookmarkEnd w:id="30"/>
    </w:p>
  </w:footnote>
  <w:footnote w:id="99">
    <w:p w14:paraId="7111CDFF" w14:textId="028F867D" w:rsidR="007B0A4D" w:rsidRPr="00CE1BB7" w:rsidRDefault="007B0A4D" w:rsidP="001C3B4A">
      <w:pPr>
        <w:pStyle w:val="FootnoteText"/>
        <w:jc w:val="left"/>
        <w:rPr>
          <w:rStyle w:val="Hyperlink"/>
          <w:rFonts w:eastAsia="Times New Roman"/>
          <w:sz w:val="24"/>
          <w:szCs w:val="24"/>
          <w:shd w:val="clear" w:color="auto" w:fill="E6E6E6"/>
        </w:rPr>
      </w:pPr>
      <w:r>
        <w:rPr>
          <w:rStyle w:val="FootnoteReference"/>
        </w:rPr>
        <w:footnoteRef/>
      </w:r>
      <w:r>
        <w:rPr>
          <w:rStyle w:val="FootnoteReference"/>
        </w:rPr>
        <w:t xml:space="preserve"> </w:t>
      </w:r>
      <w:hyperlink r:id="rId50" w:history="1">
        <w:r>
          <w:rPr>
            <w:rStyle w:val="Hyperlink"/>
          </w:rPr>
          <w:t>https://www.earlywarningeurope.eu/mentor-academy</w:t>
        </w:r>
      </w:hyperlink>
      <w:r>
        <w:rPr>
          <w:rStyle w:val="Hyperlink"/>
        </w:rPr>
        <w:t>.</w:t>
      </w:r>
    </w:p>
  </w:footnote>
  <w:footnote w:id="100">
    <w:p w14:paraId="4139C80B" w14:textId="77777777" w:rsidR="007B0A4D" w:rsidRPr="0039069F" w:rsidRDefault="007B0A4D" w:rsidP="001C3B4A">
      <w:pPr>
        <w:pStyle w:val="FootnoteText"/>
        <w:jc w:val="left"/>
        <w:rPr>
          <w:rFonts w:eastAsia="Times New Roman"/>
        </w:rPr>
      </w:pPr>
      <w:r>
        <w:rPr>
          <w:rStyle w:val="FootnoteReference"/>
          <w:rFonts w:eastAsia="Times New Roman"/>
        </w:rPr>
        <w:footnoteRef/>
      </w:r>
      <w:r>
        <w:t xml:space="preserve"> COM(2012) 795 final.</w:t>
      </w:r>
    </w:p>
  </w:footnote>
  <w:footnote w:id="101">
    <w:p w14:paraId="60BC2057" w14:textId="77777777" w:rsidR="007B0A4D" w:rsidRPr="0039069F" w:rsidRDefault="007B0A4D" w:rsidP="001C3B4A">
      <w:pPr>
        <w:pStyle w:val="FootnoteText"/>
        <w:jc w:val="left"/>
        <w:rPr>
          <w:rFonts w:eastAsia="Times New Roman"/>
        </w:rPr>
      </w:pPr>
      <w:r>
        <w:rPr>
          <w:rStyle w:val="FootnoteReference"/>
          <w:rFonts w:eastAsia="Times New Roman"/>
        </w:rPr>
        <w:footnoteRef/>
      </w:r>
      <w:r>
        <w:t xml:space="preserve"> COM(2022) 702 final.</w:t>
      </w:r>
    </w:p>
  </w:footnote>
  <w:footnote w:id="102">
    <w:p w14:paraId="7DF70D4D" w14:textId="66D3F625" w:rsidR="007B0A4D" w:rsidRPr="00322588" w:rsidRDefault="007B0A4D" w:rsidP="001C3B4A">
      <w:pPr>
        <w:pStyle w:val="FootnoteText"/>
        <w:jc w:val="left"/>
      </w:pPr>
      <w:r>
        <w:rPr>
          <w:rStyle w:val="FootnoteReference"/>
        </w:rPr>
        <w:footnoteRef/>
      </w:r>
      <w:r>
        <w:t xml:space="preserve"> COM(2020) 103 final.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1C47D" w14:textId="77777777" w:rsidR="0001743B" w:rsidRPr="0001743B" w:rsidRDefault="0001743B" w:rsidP="000174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3E723" w14:textId="77777777" w:rsidR="0001743B" w:rsidRPr="0001743B" w:rsidRDefault="0001743B" w:rsidP="0001743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11277" w14:textId="77777777" w:rsidR="0001743B" w:rsidRPr="0001743B" w:rsidRDefault="0001743B" w:rsidP="0001743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B740A" w14:textId="77777777" w:rsidR="007B0A4D" w:rsidRDefault="007B0A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E8644" w14:textId="77777777" w:rsidR="007B0A4D" w:rsidRDefault="007B0A4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8CB79" w14:textId="77777777" w:rsidR="007B0A4D" w:rsidRDefault="007B0A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07550"/>
    <w:multiLevelType w:val="hybridMultilevel"/>
    <w:tmpl w:val="C0B2E4DE"/>
    <w:lvl w:ilvl="0" w:tplc="78802C7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99712A"/>
    <w:multiLevelType w:val="hybridMultilevel"/>
    <w:tmpl w:val="403E103E"/>
    <w:lvl w:ilvl="0" w:tplc="FFFFFFFF">
      <w:start w:val="1"/>
      <w:numFmt w:val="bullet"/>
      <w:lvlText w:val=""/>
      <w:lvlJc w:val="left"/>
      <w:pPr>
        <w:ind w:left="360" w:hanging="360"/>
      </w:pPr>
      <w:rPr>
        <w:rFonts w:ascii="Symbol" w:hAnsi="Symbol" w:hint="default"/>
      </w:rPr>
    </w:lvl>
    <w:lvl w:ilvl="1" w:tplc="18090019">
      <w:start w:val="1"/>
      <w:numFmt w:val="lowerLetter"/>
      <w:lvlText w:val="%2."/>
      <w:lvlJc w:val="left"/>
      <w:pPr>
        <w:ind w:left="1069"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7171AF8"/>
    <w:multiLevelType w:val="hybridMultilevel"/>
    <w:tmpl w:val="9920E51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9374EDE"/>
    <w:multiLevelType w:val="hybridMultilevel"/>
    <w:tmpl w:val="FFFFFFFF"/>
    <w:lvl w:ilvl="0" w:tplc="1B747374">
      <w:start w:val="1"/>
      <w:numFmt w:val="bullet"/>
      <w:lvlText w:val="·"/>
      <w:lvlJc w:val="left"/>
      <w:pPr>
        <w:ind w:left="720" w:hanging="360"/>
      </w:pPr>
      <w:rPr>
        <w:rFonts w:ascii="Symbol" w:hAnsi="Symbol" w:hint="default"/>
      </w:rPr>
    </w:lvl>
    <w:lvl w:ilvl="1" w:tplc="BBB22C16">
      <w:start w:val="1"/>
      <w:numFmt w:val="bullet"/>
      <w:lvlText w:val="o"/>
      <w:lvlJc w:val="left"/>
      <w:pPr>
        <w:ind w:left="1440" w:hanging="360"/>
      </w:pPr>
      <w:rPr>
        <w:rFonts w:ascii="Courier New" w:hAnsi="Courier New" w:hint="default"/>
      </w:rPr>
    </w:lvl>
    <w:lvl w:ilvl="2" w:tplc="B024F50C">
      <w:start w:val="1"/>
      <w:numFmt w:val="bullet"/>
      <w:lvlText w:val=""/>
      <w:lvlJc w:val="left"/>
      <w:pPr>
        <w:ind w:left="2160" w:hanging="360"/>
      </w:pPr>
      <w:rPr>
        <w:rFonts w:ascii="Wingdings" w:hAnsi="Wingdings" w:hint="default"/>
      </w:rPr>
    </w:lvl>
    <w:lvl w:ilvl="3" w:tplc="8A1CFD0E">
      <w:start w:val="1"/>
      <w:numFmt w:val="bullet"/>
      <w:lvlText w:val=""/>
      <w:lvlJc w:val="left"/>
      <w:pPr>
        <w:ind w:left="2880" w:hanging="360"/>
      </w:pPr>
      <w:rPr>
        <w:rFonts w:ascii="Symbol" w:hAnsi="Symbol" w:hint="default"/>
      </w:rPr>
    </w:lvl>
    <w:lvl w:ilvl="4" w:tplc="AB64AD56">
      <w:start w:val="1"/>
      <w:numFmt w:val="bullet"/>
      <w:lvlText w:val="o"/>
      <w:lvlJc w:val="left"/>
      <w:pPr>
        <w:ind w:left="3600" w:hanging="360"/>
      </w:pPr>
      <w:rPr>
        <w:rFonts w:ascii="Courier New" w:hAnsi="Courier New" w:hint="default"/>
      </w:rPr>
    </w:lvl>
    <w:lvl w:ilvl="5" w:tplc="4A1A4C8C">
      <w:start w:val="1"/>
      <w:numFmt w:val="bullet"/>
      <w:lvlText w:val=""/>
      <w:lvlJc w:val="left"/>
      <w:pPr>
        <w:ind w:left="4320" w:hanging="360"/>
      </w:pPr>
      <w:rPr>
        <w:rFonts w:ascii="Wingdings" w:hAnsi="Wingdings" w:hint="default"/>
      </w:rPr>
    </w:lvl>
    <w:lvl w:ilvl="6" w:tplc="E83607A8">
      <w:start w:val="1"/>
      <w:numFmt w:val="bullet"/>
      <w:lvlText w:val=""/>
      <w:lvlJc w:val="left"/>
      <w:pPr>
        <w:ind w:left="5040" w:hanging="360"/>
      </w:pPr>
      <w:rPr>
        <w:rFonts w:ascii="Symbol" w:hAnsi="Symbol" w:hint="default"/>
      </w:rPr>
    </w:lvl>
    <w:lvl w:ilvl="7" w:tplc="F9DE8412">
      <w:start w:val="1"/>
      <w:numFmt w:val="bullet"/>
      <w:lvlText w:val="o"/>
      <w:lvlJc w:val="left"/>
      <w:pPr>
        <w:ind w:left="5760" w:hanging="360"/>
      </w:pPr>
      <w:rPr>
        <w:rFonts w:ascii="Courier New" w:hAnsi="Courier New" w:hint="default"/>
      </w:rPr>
    </w:lvl>
    <w:lvl w:ilvl="8" w:tplc="1C6A80A6">
      <w:start w:val="1"/>
      <w:numFmt w:val="bullet"/>
      <w:lvlText w:val=""/>
      <w:lvlJc w:val="left"/>
      <w:pPr>
        <w:ind w:left="6480" w:hanging="360"/>
      </w:pPr>
      <w:rPr>
        <w:rFonts w:ascii="Wingdings" w:hAnsi="Wingdings" w:hint="default"/>
      </w:rPr>
    </w:lvl>
  </w:abstractNum>
  <w:abstractNum w:abstractNumId="4" w15:restartNumberingAfterBreak="0">
    <w:nsid w:val="098D0E28"/>
    <w:multiLevelType w:val="hybridMultilevel"/>
    <w:tmpl w:val="ED628D66"/>
    <w:lvl w:ilvl="0" w:tplc="FFFFFFFF">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0C9B4989"/>
    <w:multiLevelType w:val="hybridMultilevel"/>
    <w:tmpl w:val="6AB299D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E7C6B00"/>
    <w:multiLevelType w:val="hybridMultilevel"/>
    <w:tmpl w:val="ECB09CCA"/>
    <w:lvl w:ilvl="0" w:tplc="B8C6169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B500684"/>
    <w:multiLevelType w:val="hybridMultilevel"/>
    <w:tmpl w:val="96166F7E"/>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F291E42"/>
    <w:multiLevelType w:val="hybridMultilevel"/>
    <w:tmpl w:val="F6DE513A"/>
    <w:lvl w:ilvl="0" w:tplc="04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1B013CF"/>
    <w:multiLevelType w:val="hybridMultilevel"/>
    <w:tmpl w:val="26F4A9C4"/>
    <w:lvl w:ilvl="0" w:tplc="F258A61E">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1C77ECA"/>
    <w:multiLevelType w:val="hybridMultilevel"/>
    <w:tmpl w:val="6D8038B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2C6221D"/>
    <w:multiLevelType w:val="hybridMultilevel"/>
    <w:tmpl w:val="EFB82D1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33D959FA"/>
    <w:multiLevelType w:val="hybridMultilevel"/>
    <w:tmpl w:val="6DFE3B3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36B87D7F"/>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38974579"/>
    <w:multiLevelType w:val="hybridMultilevel"/>
    <w:tmpl w:val="F48C58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8DF0A97"/>
    <w:multiLevelType w:val="hybridMultilevel"/>
    <w:tmpl w:val="E72C2D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93A2BC4"/>
    <w:multiLevelType w:val="multilevel"/>
    <w:tmpl w:val="0AF016B4"/>
    <w:lvl w:ilvl="0">
      <w:start w:val="1"/>
      <w:numFmt w:val="decimal"/>
      <w:lvlText w:val="%1"/>
      <w:lvlJc w:val="left"/>
      <w:pPr>
        <w:ind w:left="432" w:hanging="432"/>
      </w:pPr>
      <w:rPr>
        <w:rFonts w:hint="default"/>
      </w:rPr>
    </w:lvl>
    <w:lvl w:ilvl="1">
      <w:start w:val="1"/>
      <w:numFmt w:val="decimal"/>
      <w:lvlText w:val="%1.%2"/>
      <w:lvlJc w:val="left"/>
      <w:pPr>
        <w:ind w:left="860"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3D620DFB"/>
    <w:multiLevelType w:val="hybridMultilevel"/>
    <w:tmpl w:val="421CA5F4"/>
    <w:lvl w:ilvl="0" w:tplc="04090001">
      <w:start w:val="1"/>
      <w:numFmt w:val="bullet"/>
      <w:lvlText w:val=""/>
      <w:lvlJc w:val="left"/>
      <w:pPr>
        <w:ind w:left="360" w:hanging="360"/>
      </w:pPr>
      <w:rPr>
        <w:rFonts w:ascii="Symbol" w:hAnsi="Symbol" w:hint="default"/>
      </w:rPr>
    </w:lvl>
    <w:lvl w:ilvl="1" w:tplc="18090019">
      <w:start w:val="1"/>
      <w:numFmt w:val="lowerLetter"/>
      <w:lvlText w:val="%2."/>
      <w:lvlJc w:val="left"/>
      <w:pPr>
        <w:ind w:left="1080" w:hanging="360"/>
      </w:p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4704D51"/>
    <w:multiLevelType w:val="hybridMultilevel"/>
    <w:tmpl w:val="AD0062BE"/>
    <w:lvl w:ilvl="0" w:tplc="04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B360DF1"/>
    <w:multiLevelType w:val="hybridMultilevel"/>
    <w:tmpl w:val="1766E7EE"/>
    <w:lvl w:ilvl="0" w:tplc="FFFFFFFF">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4CBC18A0"/>
    <w:multiLevelType w:val="hybridMultilevel"/>
    <w:tmpl w:val="265CE8A6"/>
    <w:lvl w:ilvl="0" w:tplc="9C5C1B78">
      <w:start w:val="1"/>
      <w:numFmt w:val="decimal"/>
      <w:lvlText w:val="(%1)"/>
      <w:lvlJc w:val="left"/>
      <w:pPr>
        <w:ind w:left="780" w:hanging="4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CBD613C"/>
    <w:multiLevelType w:val="hybridMultilevel"/>
    <w:tmpl w:val="FFFFFFFF"/>
    <w:lvl w:ilvl="0" w:tplc="0E808922">
      <w:start w:val="1"/>
      <w:numFmt w:val="bullet"/>
      <w:lvlText w:val="·"/>
      <w:lvlJc w:val="left"/>
      <w:pPr>
        <w:ind w:left="720" w:hanging="360"/>
      </w:pPr>
      <w:rPr>
        <w:rFonts w:ascii="Symbol" w:hAnsi="Symbol" w:hint="default"/>
      </w:rPr>
    </w:lvl>
    <w:lvl w:ilvl="1" w:tplc="3CAE4220">
      <w:start w:val="1"/>
      <w:numFmt w:val="bullet"/>
      <w:lvlText w:val="o"/>
      <w:lvlJc w:val="left"/>
      <w:pPr>
        <w:ind w:left="1440" w:hanging="360"/>
      </w:pPr>
      <w:rPr>
        <w:rFonts w:ascii="Courier New" w:hAnsi="Courier New" w:hint="default"/>
      </w:rPr>
    </w:lvl>
    <w:lvl w:ilvl="2" w:tplc="1A9AEAC6">
      <w:start w:val="1"/>
      <w:numFmt w:val="bullet"/>
      <w:lvlText w:val=""/>
      <w:lvlJc w:val="left"/>
      <w:pPr>
        <w:ind w:left="2160" w:hanging="360"/>
      </w:pPr>
      <w:rPr>
        <w:rFonts w:ascii="Wingdings" w:hAnsi="Wingdings" w:hint="default"/>
      </w:rPr>
    </w:lvl>
    <w:lvl w:ilvl="3" w:tplc="34D4FB4A">
      <w:start w:val="1"/>
      <w:numFmt w:val="bullet"/>
      <w:lvlText w:val=""/>
      <w:lvlJc w:val="left"/>
      <w:pPr>
        <w:ind w:left="2880" w:hanging="360"/>
      </w:pPr>
      <w:rPr>
        <w:rFonts w:ascii="Symbol" w:hAnsi="Symbol" w:hint="default"/>
      </w:rPr>
    </w:lvl>
    <w:lvl w:ilvl="4" w:tplc="D12C1B8C">
      <w:start w:val="1"/>
      <w:numFmt w:val="bullet"/>
      <w:lvlText w:val="o"/>
      <w:lvlJc w:val="left"/>
      <w:pPr>
        <w:ind w:left="3600" w:hanging="360"/>
      </w:pPr>
      <w:rPr>
        <w:rFonts w:ascii="Courier New" w:hAnsi="Courier New" w:hint="default"/>
      </w:rPr>
    </w:lvl>
    <w:lvl w:ilvl="5" w:tplc="182C95BC">
      <w:start w:val="1"/>
      <w:numFmt w:val="bullet"/>
      <w:lvlText w:val=""/>
      <w:lvlJc w:val="left"/>
      <w:pPr>
        <w:ind w:left="4320" w:hanging="360"/>
      </w:pPr>
      <w:rPr>
        <w:rFonts w:ascii="Wingdings" w:hAnsi="Wingdings" w:hint="default"/>
      </w:rPr>
    </w:lvl>
    <w:lvl w:ilvl="6" w:tplc="D220B8E6">
      <w:start w:val="1"/>
      <w:numFmt w:val="bullet"/>
      <w:lvlText w:val=""/>
      <w:lvlJc w:val="left"/>
      <w:pPr>
        <w:ind w:left="5040" w:hanging="360"/>
      </w:pPr>
      <w:rPr>
        <w:rFonts w:ascii="Symbol" w:hAnsi="Symbol" w:hint="default"/>
      </w:rPr>
    </w:lvl>
    <w:lvl w:ilvl="7" w:tplc="0652BA28">
      <w:start w:val="1"/>
      <w:numFmt w:val="bullet"/>
      <w:lvlText w:val="o"/>
      <w:lvlJc w:val="left"/>
      <w:pPr>
        <w:ind w:left="5760" w:hanging="360"/>
      </w:pPr>
      <w:rPr>
        <w:rFonts w:ascii="Courier New" w:hAnsi="Courier New" w:hint="default"/>
      </w:rPr>
    </w:lvl>
    <w:lvl w:ilvl="8" w:tplc="16CE25DC">
      <w:start w:val="1"/>
      <w:numFmt w:val="bullet"/>
      <w:lvlText w:val=""/>
      <w:lvlJc w:val="left"/>
      <w:pPr>
        <w:ind w:left="6480" w:hanging="360"/>
      </w:pPr>
      <w:rPr>
        <w:rFonts w:ascii="Wingdings" w:hAnsi="Wingdings" w:hint="default"/>
      </w:rPr>
    </w:lvl>
  </w:abstractNum>
  <w:abstractNum w:abstractNumId="22" w15:restartNumberingAfterBreak="0">
    <w:nsid w:val="63DB00D8"/>
    <w:multiLevelType w:val="hybridMultilevel"/>
    <w:tmpl w:val="FFFFFFFF"/>
    <w:lvl w:ilvl="0" w:tplc="C0B69B7C">
      <w:start w:val="1"/>
      <w:numFmt w:val="bullet"/>
      <w:lvlText w:val="·"/>
      <w:lvlJc w:val="left"/>
      <w:pPr>
        <w:ind w:left="720" w:hanging="360"/>
      </w:pPr>
      <w:rPr>
        <w:rFonts w:ascii="Symbol" w:hAnsi="Symbol" w:hint="default"/>
      </w:rPr>
    </w:lvl>
    <w:lvl w:ilvl="1" w:tplc="4A22734E">
      <w:start w:val="1"/>
      <w:numFmt w:val="bullet"/>
      <w:lvlText w:val="o"/>
      <w:lvlJc w:val="left"/>
      <w:pPr>
        <w:ind w:left="1440" w:hanging="360"/>
      </w:pPr>
      <w:rPr>
        <w:rFonts w:ascii="Courier New" w:hAnsi="Courier New" w:hint="default"/>
      </w:rPr>
    </w:lvl>
    <w:lvl w:ilvl="2" w:tplc="10D65DA4">
      <w:start w:val="1"/>
      <w:numFmt w:val="bullet"/>
      <w:lvlText w:val=""/>
      <w:lvlJc w:val="left"/>
      <w:pPr>
        <w:ind w:left="2160" w:hanging="360"/>
      </w:pPr>
      <w:rPr>
        <w:rFonts w:ascii="Wingdings" w:hAnsi="Wingdings" w:hint="default"/>
      </w:rPr>
    </w:lvl>
    <w:lvl w:ilvl="3" w:tplc="EF10C4A2">
      <w:start w:val="1"/>
      <w:numFmt w:val="bullet"/>
      <w:lvlText w:val=""/>
      <w:lvlJc w:val="left"/>
      <w:pPr>
        <w:ind w:left="2880" w:hanging="360"/>
      </w:pPr>
      <w:rPr>
        <w:rFonts w:ascii="Symbol" w:hAnsi="Symbol" w:hint="default"/>
      </w:rPr>
    </w:lvl>
    <w:lvl w:ilvl="4" w:tplc="2716E38A">
      <w:start w:val="1"/>
      <w:numFmt w:val="bullet"/>
      <w:lvlText w:val="o"/>
      <w:lvlJc w:val="left"/>
      <w:pPr>
        <w:ind w:left="3600" w:hanging="360"/>
      </w:pPr>
      <w:rPr>
        <w:rFonts w:ascii="Courier New" w:hAnsi="Courier New" w:hint="default"/>
      </w:rPr>
    </w:lvl>
    <w:lvl w:ilvl="5" w:tplc="B09AA212">
      <w:start w:val="1"/>
      <w:numFmt w:val="bullet"/>
      <w:lvlText w:val=""/>
      <w:lvlJc w:val="left"/>
      <w:pPr>
        <w:ind w:left="4320" w:hanging="360"/>
      </w:pPr>
      <w:rPr>
        <w:rFonts w:ascii="Wingdings" w:hAnsi="Wingdings" w:hint="default"/>
      </w:rPr>
    </w:lvl>
    <w:lvl w:ilvl="6" w:tplc="3B408AC0">
      <w:start w:val="1"/>
      <w:numFmt w:val="bullet"/>
      <w:lvlText w:val=""/>
      <w:lvlJc w:val="left"/>
      <w:pPr>
        <w:ind w:left="5040" w:hanging="360"/>
      </w:pPr>
      <w:rPr>
        <w:rFonts w:ascii="Symbol" w:hAnsi="Symbol" w:hint="default"/>
      </w:rPr>
    </w:lvl>
    <w:lvl w:ilvl="7" w:tplc="823A939C">
      <w:start w:val="1"/>
      <w:numFmt w:val="bullet"/>
      <w:lvlText w:val="o"/>
      <w:lvlJc w:val="left"/>
      <w:pPr>
        <w:ind w:left="5760" w:hanging="360"/>
      </w:pPr>
      <w:rPr>
        <w:rFonts w:ascii="Courier New" w:hAnsi="Courier New" w:hint="default"/>
      </w:rPr>
    </w:lvl>
    <w:lvl w:ilvl="8" w:tplc="76A62F0A">
      <w:start w:val="1"/>
      <w:numFmt w:val="bullet"/>
      <w:lvlText w:val=""/>
      <w:lvlJc w:val="left"/>
      <w:pPr>
        <w:ind w:left="6480" w:hanging="360"/>
      </w:pPr>
      <w:rPr>
        <w:rFonts w:ascii="Wingdings" w:hAnsi="Wingdings" w:hint="default"/>
      </w:rPr>
    </w:lvl>
  </w:abstractNum>
  <w:abstractNum w:abstractNumId="23" w15:restartNumberingAfterBreak="0">
    <w:nsid w:val="69541C4A"/>
    <w:multiLevelType w:val="hybridMultilevel"/>
    <w:tmpl w:val="92566F52"/>
    <w:lvl w:ilvl="0" w:tplc="1A42D52E">
      <w:start w:val="1"/>
      <w:numFmt w:val="lowerRoman"/>
      <w:pStyle w:val="iii"/>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CF3D26"/>
    <w:multiLevelType w:val="hybridMultilevel"/>
    <w:tmpl w:val="F3DA9C80"/>
    <w:lvl w:ilvl="0" w:tplc="AA506D56">
      <w:start w:val="1"/>
      <w:numFmt w:val="bullet"/>
      <w:pStyle w:val="Bulletpoint1"/>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EA9159A"/>
    <w:multiLevelType w:val="hybridMultilevel"/>
    <w:tmpl w:val="140A1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F9517C"/>
    <w:multiLevelType w:val="hybridMultilevel"/>
    <w:tmpl w:val="3D94B516"/>
    <w:lvl w:ilvl="0" w:tplc="E5A237C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81C235E"/>
    <w:multiLevelType w:val="hybridMultilevel"/>
    <w:tmpl w:val="28AA7C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E3F1D4B"/>
    <w:multiLevelType w:val="hybridMultilevel"/>
    <w:tmpl w:val="0BFAF2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6"/>
  </w:num>
  <w:num w:numId="2">
    <w:abstractNumId w:val="24"/>
  </w:num>
  <w:num w:numId="3">
    <w:abstractNumId w:val="23"/>
  </w:num>
  <w:num w:numId="4">
    <w:abstractNumId w:val="5"/>
  </w:num>
  <w:num w:numId="5">
    <w:abstractNumId w:val="17"/>
  </w:num>
  <w:num w:numId="6">
    <w:abstractNumId w:val="25"/>
  </w:num>
  <w:num w:numId="7">
    <w:abstractNumId w:val="4"/>
  </w:num>
  <w:num w:numId="8">
    <w:abstractNumId w:val="19"/>
  </w:num>
  <w:num w:numId="9">
    <w:abstractNumId w:val="28"/>
  </w:num>
  <w:num w:numId="10">
    <w:abstractNumId w:val="16"/>
  </w:num>
  <w:num w:numId="11">
    <w:abstractNumId w:val="16"/>
  </w:num>
  <w:num w:numId="12">
    <w:abstractNumId w:val="27"/>
  </w:num>
  <w:num w:numId="13">
    <w:abstractNumId w:val="3"/>
  </w:num>
  <w:num w:numId="14">
    <w:abstractNumId w:val="21"/>
  </w:num>
  <w:num w:numId="15">
    <w:abstractNumId w:val="22"/>
  </w:num>
  <w:num w:numId="16">
    <w:abstractNumId w:val="15"/>
  </w:num>
  <w:num w:numId="17">
    <w:abstractNumId w:val="14"/>
  </w:num>
  <w:num w:numId="18">
    <w:abstractNumId w:val="10"/>
  </w:num>
  <w:num w:numId="19">
    <w:abstractNumId w:val="0"/>
  </w:num>
  <w:num w:numId="20">
    <w:abstractNumId w:val="13"/>
  </w:num>
  <w:num w:numId="21">
    <w:abstractNumId w:val="24"/>
  </w:num>
  <w:num w:numId="22">
    <w:abstractNumId w:val="2"/>
  </w:num>
  <w:num w:numId="23">
    <w:abstractNumId w:val="8"/>
  </w:num>
  <w:num w:numId="24">
    <w:abstractNumId w:val="18"/>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1"/>
  </w:num>
  <w:num w:numId="28">
    <w:abstractNumId w:val="24"/>
  </w:num>
  <w:num w:numId="29">
    <w:abstractNumId w:val="24"/>
  </w:num>
  <w:num w:numId="30">
    <w:abstractNumId w:val="24"/>
  </w:num>
  <w:num w:numId="31">
    <w:abstractNumId w:val="11"/>
  </w:num>
  <w:num w:numId="32">
    <w:abstractNumId w:val="7"/>
  </w:num>
  <w:num w:numId="33">
    <w:abstractNumId w:val="6"/>
  </w:num>
  <w:num w:numId="34">
    <w:abstractNumId w:val="24"/>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num>
  <w:num w:numId="37">
    <w:abstractNumId w:val="26"/>
  </w:num>
  <w:num w:numId="38">
    <w:abstractNumId w:val="9"/>
  </w:num>
  <w:num w:numId="39">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nl-NL" w:vendorID="64" w:dllVersion="6" w:nlCheck="1" w:checkStyle="0"/>
  <w:activeWritingStyle w:appName="MSWord" w:lang="es-ES" w:vendorID="64" w:dllVersion="6"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pl-PL" w:vendorID="64" w:dllVersion="0" w:nlCheck="1" w:checkStyle="0"/>
  <w:activeWritingStyle w:appName="MSWord" w:lang="fr-BE" w:vendorID="64" w:dllVersion="0" w:nlCheck="1" w:checkStyle="0"/>
  <w:activeWritingStyle w:appName="MSWord" w:lang="fr-FR" w:vendorID="64" w:dllVersion="0" w:nlCheck="1" w:checkStyle="0"/>
  <w:activeWritingStyle w:appName="MSWord" w:lang="nl-NL" w:vendorID="64" w:dllVersion="0" w:nlCheck="1" w:checkStyle="0"/>
  <w:activeWritingStyle w:appName="MSWord" w:lang="pt-PT" w:vendorID="64" w:dllVersion="0" w:nlCheck="1" w:checkStyle="0"/>
  <w:activeWritingStyle w:appName="MSWord" w:lang="de-AT" w:vendorID="64" w:dllVersion="0" w:nlCheck="1" w:checkStyle="0"/>
  <w:activeWritingStyle w:appName="MSWord" w:lang="es-ES"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8C11D54-A3CB-4AD1-A51A-4AA8773DE807"/>
    <w:docVar w:name="LW_COVERPAGE_TYPE" w:val="1"/>
    <w:docVar w:name="LW_CROSSREFERENCE" w:val="&lt;UNUSED&gt;"/>
    <w:docVar w:name="LW_DocType" w:val="NORMAL"/>
    <w:docVar w:name="LW_EMISSION" w:val="12.9.2023"/>
    <w:docVar w:name="LW_EMISSION_ISODATE" w:val="2023-09-12"/>
    <w:docVar w:name="LW_EMISSION_LOCATION" w:val="STR"/>
    <w:docVar w:name="LW_EMISSION_PREFIX" w:val="Strasbourg,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53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achetul de măsuri de ajutorare a IMM-urilor"/>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C874F3"/>
    <w:rsid w:val="000002CA"/>
    <w:rsid w:val="0000080E"/>
    <w:rsid w:val="0000085E"/>
    <w:rsid w:val="00000CBD"/>
    <w:rsid w:val="00001024"/>
    <w:rsid w:val="000013AB"/>
    <w:rsid w:val="00001A17"/>
    <w:rsid w:val="00001AFE"/>
    <w:rsid w:val="00001F2E"/>
    <w:rsid w:val="00002435"/>
    <w:rsid w:val="000026B2"/>
    <w:rsid w:val="000029B2"/>
    <w:rsid w:val="00002A2D"/>
    <w:rsid w:val="00002E7B"/>
    <w:rsid w:val="0000302A"/>
    <w:rsid w:val="0000316C"/>
    <w:rsid w:val="00003608"/>
    <w:rsid w:val="00003759"/>
    <w:rsid w:val="00003B36"/>
    <w:rsid w:val="00003DED"/>
    <w:rsid w:val="00003ED5"/>
    <w:rsid w:val="0000408A"/>
    <w:rsid w:val="00004383"/>
    <w:rsid w:val="00004651"/>
    <w:rsid w:val="0000474E"/>
    <w:rsid w:val="00004792"/>
    <w:rsid w:val="00005237"/>
    <w:rsid w:val="00005238"/>
    <w:rsid w:val="000056E4"/>
    <w:rsid w:val="00005807"/>
    <w:rsid w:val="00005BC3"/>
    <w:rsid w:val="00005C99"/>
    <w:rsid w:val="00005F39"/>
    <w:rsid w:val="0000642B"/>
    <w:rsid w:val="000065EC"/>
    <w:rsid w:val="00006905"/>
    <w:rsid w:val="000074E0"/>
    <w:rsid w:val="00007781"/>
    <w:rsid w:val="00007A33"/>
    <w:rsid w:val="000103E6"/>
    <w:rsid w:val="0001086A"/>
    <w:rsid w:val="00010F2C"/>
    <w:rsid w:val="00011128"/>
    <w:rsid w:val="0001120A"/>
    <w:rsid w:val="00011510"/>
    <w:rsid w:val="00011980"/>
    <w:rsid w:val="00011A94"/>
    <w:rsid w:val="00011D5A"/>
    <w:rsid w:val="00011DC8"/>
    <w:rsid w:val="00012435"/>
    <w:rsid w:val="00012703"/>
    <w:rsid w:val="0001302A"/>
    <w:rsid w:val="00013105"/>
    <w:rsid w:val="0001347B"/>
    <w:rsid w:val="000135BE"/>
    <w:rsid w:val="00013865"/>
    <w:rsid w:val="0001401E"/>
    <w:rsid w:val="00014890"/>
    <w:rsid w:val="0001560F"/>
    <w:rsid w:val="00015632"/>
    <w:rsid w:val="00015E14"/>
    <w:rsid w:val="00015F1D"/>
    <w:rsid w:val="00016041"/>
    <w:rsid w:val="00016173"/>
    <w:rsid w:val="000166B1"/>
    <w:rsid w:val="000168C0"/>
    <w:rsid w:val="00016E0A"/>
    <w:rsid w:val="0001743B"/>
    <w:rsid w:val="00017664"/>
    <w:rsid w:val="000176C3"/>
    <w:rsid w:val="0001770C"/>
    <w:rsid w:val="000179B8"/>
    <w:rsid w:val="0001A7B2"/>
    <w:rsid w:val="000204D6"/>
    <w:rsid w:val="00020647"/>
    <w:rsid w:val="00020850"/>
    <w:rsid w:val="00020928"/>
    <w:rsid w:val="00020B30"/>
    <w:rsid w:val="00020DB4"/>
    <w:rsid w:val="00020E01"/>
    <w:rsid w:val="00021525"/>
    <w:rsid w:val="0002197B"/>
    <w:rsid w:val="00021F27"/>
    <w:rsid w:val="00021F71"/>
    <w:rsid w:val="00022379"/>
    <w:rsid w:val="00022537"/>
    <w:rsid w:val="0002276E"/>
    <w:rsid w:val="000228E6"/>
    <w:rsid w:val="000229E5"/>
    <w:rsid w:val="00022CF9"/>
    <w:rsid w:val="000238B8"/>
    <w:rsid w:val="00024B0C"/>
    <w:rsid w:val="0002502C"/>
    <w:rsid w:val="00025159"/>
    <w:rsid w:val="0002537A"/>
    <w:rsid w:val="0002559F"/>
    <w:rsid w:val="000259C9"/>
    <w:rsid w:val="00026666"/>
    <w:rsid w:val="00027051"/>
    <w:rsid w:val="00027283"/>
    <w:rsid w:val="0002751A"/>
    <w:rsid w:val="00027591"/>
    <w:rsid w:val="000278F3"/>
    <w:rsid w:val="00027A0A"/>
    <w:rsid w:val="00027A54"/>
    <w:rsid w:val="00030387"/>
    <w:rsid w:val="00031510"/>
    <w:rsid w:val="00031585"/>
    <w:rsid w:val="0003166B"/>
    <w:rsid w:val="00031726"/>
    <w:rsid w:val="00031D2A"/>
    <w:rsid w:val="00031D3B"/>
    <w:rsid w:val="00032275"/>
    <w:rsid w:val="00032325"/>
    <w:rsid w:val="00032757"/>
    <w:rsid w:val="00032BE2"/>
    <w:rsid w:val="00032FB6"/>
    <w:rsid w:val="000332CF"/>
    <w:rsid w:val="00033620"/>
    <w:rsid w:val="00033997"/>
    <w:rsid w:val="00033BFA"/>
    <w:rsid w:val="00033D33"/>
    <w:rsid w:val="00033EAC"/>
    <w:rsid w:val="000342C2"/>
    <w:rsid w:val="00034778"/>
    <w:rsid w:val="000349A3"/>
    <w:rsid w:val="00034A6F"/>
    <w:rsid w:val="00034DB4"/>
    <w:rsid w:val="00035899"/>
    <w:rsid w:val="00035A45"/>
    <w:rsid w:val="00035FCC"/>
    <w:rsid w:val="00036038"/>
    <w:rsid w:val="000362E4"/>
    <w:rsid w:val="000364AF"/>
    <w:rsid w:val="000365DB"/>
    <w:rsid w:val="00036733"/>
    <w:rsid w:val="00036814"/>
    <w:rsid w:val="00036DBE"/>
    <w:rsid w:val="00036E5F"/>
    <w:rsid w:val="000370E0"/>
    <w:rsid w:val="0003795B"/>
    <w:rsid w:val="000402F0"/>
    <w:rsid w:val="00040619"/>
    <w:rsid w:val="000409DD"/>
    <w:rsid w:val="00040AFC"/>
    <w:rsid w:val="00040B99"/>
    <w:rsid w:val="00040C88"/>
    <w:rsid w:val="00040E6B"/>
    <w:rsid w:val="0004104D"/>
    <w:rsid w:val="000418BF"/>
    <w:rsid w:val="000418E3"/>
    <w:rsid w:val="00041E8E"/>
    <w:rsid w:val="00041F74"/>
    <w:rsid w:val="00042277"/>
    <w:rsid w:val="000425A9"/>
    <w:rsid w:val="00042DD3"/>
    <w:rsid w:val="0004331C"/>
    <w:rsid w:val="0004383E"/>
    <w:rsid w:val="000439F1"/>
    <w:rsid w:val="0004460E"/>
    <w:rsid w:val="0004488B"/>
    <w:rsid w:val="00045081"/>
    <w:rsid w:val="000454BD"/>
    <w:rsid w:val="000456C5"/>
    <w:rsid w:val="000457D0"/>
    <w:rsid w:val="0004597C"/>
    <w:rsid w:val="00045CF4"/>
    <w:rsid w:val="00045E96"/>
    <w:rsid w:val="00046319"/>
    <w:rsid w:val="00046CE3"/>
    <w:rsid w:val="00046CE8"/>
    <w:rsid w:val="00046E74"/>
    <w:rsid w:val="00046F3D"/>
    <w:rsid w:val="00047066"/>
    <w:rsid w:val="00047150"/>
    <w:rsid w:val="000472E6"/>
    <w:rsid w:val="000474E0"/>
    <w:rsid w:val="000478D5"/>
    <w:rsid w:val="000479A9"/>
    <w:rsid w:val="00047F1D"/>
    <w:rsid w:val="0005030A"/>
    <w:rsid w:val="00051368"/>
    <w:rsid w:val="00051385"/>
    <w:rsid w:val="0005148F"/>
    <w:rsid w:val="000515E8"/>
    <w:rsid w:val="0005172E"/>
    <w:rsid w:val="00051A07"/>
    <w:rsid w:val="00051F28"/>
    <w:rsid w:val="000526CE"/>
    <w:rsid w:val="00052811"/>
    <w:rsid w:val="00052E80"/>
    <w:rsid w:val="0005301A"/>
    <w:rsid w:val="00053347"/>
    <w:rsid w:val="000533EC"/>
    <w:rsid w:val="000536BC"/>
    <w:rsid w:val="000537E0"/>
    <w:rsid w:val="00053B6F"/>
    <w:rsid w:val="00053C16"/>
    <w:rsid w:val="0005403B"/>
    <w:rsid w:val="000544C8"/>
    <w:rsid w:val="000549C5"/>
    <w:rsid w:val="00054B28"/>
    <w:rsid w:val="00054CDF"/>
    <w:rsid w:val="00054DDA"/>
    <w:rsid w:val="000559BE"/>
    <w:rsid w:val="00055E59"/>
    <w:rsid w:val="00056735"/>
    <w:rsid w:val="000568F7"/>
    <w:rsid w:val="0005692B"/>
    <w:rsid w:val="00056930"/>
    <w:rsid w:val="00056947"/>
    <w:rsid w:val="00056A06"/>
    <w:rsid w:val="00056FCF"/>
    <w:rsid w:val="00057052"/>
    <w:rsid w:val="00057552"/>
    <w:rsid w:val="0005A5C8"/>
    <w:rsid w:val="000602C4"/>
    <w:rsid w:val="00060B8D"/>
    <w:rsid w:val="00060BB6"/>
    <w:rsid w:val="00060F19"/>
    <w:rsid w:val="00060FCE"/>
    <w:rsid w:val="00061830"/>
    <w:rsid w:val="00061B2C"/>
    <w:rsid w:val="00061BFF"/>
    <w:rsid w:val="00061D4E"/>
    <w:rsid w:val="00061D65"/>
    <w:rsid w:val="00061DEF"/>
    <w:rsid w:val="00062181"/>
    <w:rsid w:val="0006242B"/>
    <w:rsid w:val="00062773"/>
    <w:rsid w:val="00062827"/>
    <w:rsid w:val="00062E9C"/>
    <w:rsid w:val="0006309E"/>
    <w:rsid w:val="00063133"/>
    <w:rsid w:val="000631D5"/>
    <w:rsid w:val="000634E5"/>
    <w:rsid w:val="00063585"/>
    <w:rsid w:val="000636C4"/>
    <w:rsid w:val="000638EA"/>
    <w:rsid w:val="00063D1B"/>
    <w:rsid w:val="00063E6C"/>
    <w:rsid w:val="000641F8"/>
    <w:rsid w:val="000645C1"/>
    <w:rsid w:val="0006465B"/>
    <w:rsid w:val="00064699"/>
    <w:rsid w:val="00064CB6"/>
    <w:rsid w:val="00064FF5"/>
    <w:rsid w:val="000650B1"/>
    <w:rsid w:val="0006517D"/>
    <w:rsid w:val="0006524C"/>
    <w:rsid w:val="000654D0"/>
    <w:rsid w:val="000658F5"/>
    <w:rsid w:val="00065AA6"/>
    <w:rsid w:val="00065BBB"/>
    <w:rsid w:val="00065C0D"/>
    <w:rsid w:val="00066081"/>
    <w:rsid w:val="00066128"/>
    <w:rsid w:val="0006635E"/>
    <w:rsid w:val="00066848"/>
    <w:rsid w:val="0006697C"/>
    <w:rsid w:val="00066CD3"/>
    <w:rsid w:val="000671F7"/>
    <w:rsid w:val="000675C8"/>
    <w:rsid w:val="0006785B"/>
    <w:rsid w:val="000678DD"/>
    <w:rsid w:val="00067B12"/>
    <w:rsid w:val="00067C97"/>
    <w:rsid w:val="00067E85"/>
    <w:rsid w:val="00070501"/>
    <w:rsid w:val="0007051E"/>
    <w:rsid w:val="000707A5"/>
    <w:rsid w:val="000707C4"/>
    <w:rsid w:val="00070A5C"/>
    <w:rsid w:val="00070D0D"/>
    <w:rsid w:val="00071759"/>
    <w:rsid w:val="00071CBC"/>
    <w:rsid w:val="000721B2"/>
    <w:rsid w:val="00072724"/>
    <w:rsid w:val="00072803"/>
    <w:rsid w:val="0007290A"/>
    <w:rsid w:val="00072B42"/>
    <w:rsid w:val="0007306C"/>
    <w:rsid w:val="000733A1"/>
    <w:rsid w:val="00073E0E"/>
    <w:rsid w:val="00074376"/>
    <w:rsid w:val="000743AE"/>
    <w:rsid w:val="000745D5"/>
    <w:rsid w:val="000747E4"/>
    <w:rsid w:val="000749F8"/>
    <w:rsid w:val="00074AA6"/>
    <w:rsid w:val="000751B6"/>
    <w:rsid w:val="00075772"/>
    <w:rsid w:val="0007593B"/>
    <w:rsid w:val="00076053"/>
    <w:rsid w:val="0007619D"/>
    <w:rsid w:val="000761E9"/>
    <w:rsid w:val="00076389"/>
    <w:rsid w:val="00076449"/>
    <w:rsid w:val="00076729"/>
    <w:rsid w:val="00076AF3"/>
    <w:rsid w:val="00077186"/>
    <w:rsid w:val="000772E7"/>
    <w:rsid w:val="000774D9"/>
    <w:rsid w:val="00077B4C"/>
    <w:rsid w:val="00080676"/>
    <w:rsid w:val="00080863"/>
    <w:rsid w:val="000808BA"/>
    <w:rsid w:val="000811E3"/>
    <w:rsid w:val="00081388"/>
    <w:rsid w:val="000813C7"/>
    <w:rsid w:val="00081726"/>
    <w:rsid w:val="0008173E"/>
    <w:rsid w:val="00081CA1"/>
    <w:rsid w:val="00081CAA"/>
    <w:rsid w:val="00081D96"/>
    <w:rsid w:val="000827CF"/>
    <w:rsid w:val="00082B60"/>
    <w:rsid w:val="00083043"/>
    <w:rsid w:val="000830C0"/>
    <w:rsid w:val="0008345E"/>
    <w:rsid w:val="000847C2"/>
    <w:rsid w:val="00084A81"/>
    <w:rsid w:val="00084BF3"/>
    <w:rsid w:val="00084D81"/>
    <w:rsid w:val="00084FC2"/>
    <w:rsid w:val="00084FE5"/>
    <w:rsid w:val="000854E9"/>
    <w:rsid w:val="00085A35"/>
    <w:rsid w:val="00085AA3"/>
    <w:rsid w:val="00086360"/>
    <w:rsid w:val="00086561"/>
    <w:rsid w:val="00086796"/>
    <w:rsid w:val="00086F82"/>
    <w:rsid w:val="00087078"/>
    <w:rsid w:val="00087110"/>
    <w:rsid w:val="00087D9C"/>
    <w:rsid w:val="0009026D"/>
    <w:rsid w:val="00090379"/>
    <w:rsid w:val="00090762"/>
    <w:rsid w:val="00090B94"/>
    <w:rsid w:val="00090DAB"/>
    <w:rsid w:val="00090E26"/>
    <w:rsid w:val="0009124C"/>
    <w:rsid w:val="000914FE"/>
    <w:rsid w:val="000916CB"/>
    <w:rsid w:val="00091D49"/>
    <w:rsid w:val="00091E08"/>
    <w:rsid w:val="0009226F"/>
    <w:rsid w:val="0009234D"/>
    <w:rsid w:val="00092824"/>
    <w:rsid w:val="000928BC"/>
    <w:rsid w:val="00092F2D"/>
    <w:rsid w:val="00093324"/>
    <w:rsid w:val="000936F6"/>
    <w:rsid w:val="0009370F"/>
    <w:rsid w:val="00093C2D"/>
    <w:rsid w:val="00094391"/>
    <w:rsid w:val="000947B4"/>
    <w:rsid w:val="00094A06"/>
    <w:rsid w:val="00094BB0"/>
    <w:rsid w:val="00094D54"/>
    <w:rsid w:val="00094EB2"/>
    <w:rsid w:val="00094ECF"/>
    <w:rsid w:val="00094ED3"/>
    <w:rsid w:val="00094F41"/>
    <w:rsid w:val="00095497"/>
    <w:rsid w:val="0009580C"/>
    <w:rsid w:val="00095A8F"/>
    <w:rsid w:val="00095D14"/>
    <w:rsid w:val="000963D0"/>
    <w:rsid w:val="000967C1"/>
    <w:rsid w:val="00096B34"/>
    <w:rsid w:val="00096E0E"/>
    <w:rsid w:val="00097030"/>
    <w:rsid w:val="000973FC"/>
    <w:rsid w:val="00097418"/>
    <w:rsid w:val="000974BB"/>
    <w:rsid w:val="000979D5"/>
    <w:rsid w:val="00097D60"/>
    <w:rsid w:val="00097EB9"/>
    <w:rsid w:val="00097FF4"/>
    <w:rsid w:val="0009F197"/>
    <w:rsid w:val="000A001B"/>
    <w:rsid w:val="000A0478"/>
    <w:rsid w:val="000A06CD"/>
    <w:rsid w:val="000A06D2"/>
    <w:rsid w:val="000A0879"/>
    <w:rsid w:val="000A0A10"/>
    <w:rsid w:val="000A0A9B"/>
    <w:rsid w:val="000A0CE6"/>
    <w:rsid w:val="000A0D42"/>
    <w:rsid w:val="000A115F"/>
    <w:rsid w:val="000A1565"/>
    <w:rsid w:val="000A18A7"/>
    <w:rsid w:val="000A1993"/>
    <w:rsid w:val="000A19A8"/>
    <w:rsid w:val="000A1C2A"/>
    <w:rsid w:val="000A1C59"/>
    <w:rsid w:val="000A1C6B"/>
    <w:rsid w:val="000A210F"/>
    <w:rsid w:val="000A26D9"/>
    <w:rsid w:val="000A29CB"/>
    <w:rsid w:val="000A2AB6"/>
    <w:rsid w:val="000A2F2B"/>
    <w:rsid w:val="000A304D"/>
    <w:rsid w:val="000A363A"/>
    <w:rsid w:val="000A37D1"/>
    <w:rsid w:val="000A3895"/>
    <w:rsid w:val="000A3A3E"/>
    <w:rsid w:val="000A4028"/>
    <w:rsid w:val="000A42E9"/>
    <w:rsid w:val="000A4388"/>
    <w:rsid w:val="000A4B90"/>
    <w:rsid w:val="000A4C9C"/>
    <w:rsid w:val="000A4CCF"/>
    <w:rsid w:val="000A5D6D"/>
    <w:rsid w:val="000A6028"/>
    <w:rsid w:val="000A663E"/>
    <w:rsid w:val="000A6D7B"/>
    <w:rsid w:val="000A73C7"/>
    <w:rsid w:val="000A76EA"/>
    <w:rsid w:val="000A7B4C"/>
    <w:rsid w:val="000A7CA6"/>
    <w:rsid w:val="000A7ED5"/>
    <w:rsid w:val="000A7FA2"/>
    <w:rsid w:val="000A7FD9"/>
    <w:rsid w:val="000B0341"/>
    <w:rsid w:val="000B0896"/>
    <w:rsid w:val="000B0CE6"/>
    <w:rsid w:val="000B13BD"/>
    <w:rsid w:val="000B159B"/>
    <w:rsid w:val="000B18C3"/>
    <w:rsid w:val="000B1BC6"/>
    <w:rsid w:val="000B1C6C"/>
    <w:rsid w:val="000B1DC0"/>
    <w:rsid w:val="000B1E8F"/>
    <w:rsid w:val="000B26CA"/>
    <w:rsid w:val="000B2745"/>
    <w:rsid w:val="000B2903"/>
    <w:rsid w:val="000B2995"/>
    <w:rsid w:val="000B2D66"/>
    <w:rsid w:val="000B3495"/>
    <w:rsid w:val="000B3674"/>
    <w:rsid w:val="000B367E"/>
    <w:rsid w:val="000B37B7"/>
    <w:rsid w:val="000B38F7"/>
    <w:rsid w:val="000B3F0F"/>
    <w:rsid w:val="000B4177"/>
    <w:rsid w:val="000B41BE"/>
    <w:rsid w:val="000B4553"/>
    <w:rsid w:val="000B4C38"/>
    <w:rsid w:val="000B510E"/>
    <w:rsid w:val="000B5165"/>
    <w:rsid w:val="000B52B0"/>
    <w:rsid w:val="000B5B10"/>
    <w:rsid w:val="000B5EEA"/>
    <w:rsid w:val="000B602D"/>
    <w:rsid w:val="000B644B"/>
    <w:rsid w:val="000B6708"/>
    <w:rsid w:val="000B6AAB"/>
    <w:rsid w:val="000B6AFD"/>
    <w:rsid w:val="000B6E20"/>
    <w:rsid w:val="000B6E94"/>
    <w:rsid w:val="000B74FD"/>
    <w:rsid w:val="000B7B0D"/>
    <w:rsid w:val="000B7B62"/>
    <w:rsid w:val="000B7BD6"/>
    <w:rsid w:val="000B7BFF"/>
    <w:rsid w:val="000B7D36"/>
    <w:rsid w:val="000C0034"/>
    <w:rsid w:val="000C009A"/>
    <w:rsid w:val="000C00CA"/>
    <w:rsid w:val="000C0C6F"/>
    <w:rsid w:val="000C0CF5"/>
    <w:rsid w:val="000C0FD4"/>
    <w:rsid w:val="000C152F"/>
    <w:rsid w:val="000C187C"/>
    <w:rsid w:val="000C1B76"/>
    <w:rsid w:val="000C2159"/>
    <w:rsid w:val="000C22AE"/>
    <w:rsid w:val="000C2DD2"/>
    <w:rsid w:val="000C2F4B"/>
    <w:rsid w:val="000C311A"/>
    <w:rsid w:val="000C353A"/>
    <w:rsid w:val="000C3663"/>
    <w:rsid w:val="000C3E22"/>
    <w:rsid w:val="000C4654"/>
    <w:rsid w:val="000C4DCC"/>
    <w:rsid w:val="000C4F62"/>
    <w:rsid w:val="000C536B"/>
    <w:rsid w:val="000C53DD"/>
    <w:rsid w:val="000C56E7"/>
    <w:rsid w:val="000C577E"/>
    <w:rsid w:val="000C5878"/>
    <w:rsid w:val="000C68FD"/>
    <w:rsid w:val="000C6A6C"/>
    <w:rsid w:val="000C6C1C"/>
    <w:rsid w:val="000C6F6D"/>
    <w:rsid w:val="000C72B9"/>
    <w:rsid w:val="000D01C5"/>
    <w:rsid w:val="000D079F"/>
    <w:rsid w:val="000D07AD"/>
    <w:rsid w:val="000D09AB"/>
    <w:rsid w:val="000D0CD8"/>
    <w:rsid w:val="000D1071"/>
    <w:rsid w:val="000D13F6"/>
    <w:rsid w:val="000D14B9"/>
    <w:rsid w:val="000D1B07"/>
    <w:rsid w:val="000D1B38"/>
    <w:rsid w:val="000D1CAB"/>
    <w:rsid w:val="000D33B2"/>
    <w:rsid w:val="000D372C"/>
    <w:rsid w:val="000D45E2"/>
    <w:rsid w:val="000D4621"/>
    <w:rsid w:val="000D46B4"/>
    <w:rsid w:val="000D480F"/>
    <w:rsid w:val="000D4B08"/>
    <w:rsid w:val="000D4B59"/>
    <w:rsid w:val="000D4EFD"/>
    <w:rsid w:val="000D546F"/>
    <w:rsid w:val="000D548B"/>
    <w:rsid w:val="000D5827"/>
    <w:rsid w:val="000D59CD"/>
    <w:rsid w:val="000D5C2D"/>
    <w:rsid w:val="000D5E15"/>
    <w:rsid w:val="000D6098"/>
    <w:rsid w:val="000D62CF"/>
    <w:rsid w:val="000D6329"/>
    <w:rsid w:val="000D672B"/>
    <w:rsid w:val="000D680C"/>
    <w:rsid w:val="000D69C0"/>
    <w:rsid w:val="000D6B42"/>
    <w:rsid w:val="000D6D0F"/>
    <w:rsid w:val="000D6E68"/>
    <w:rsid w:val="000D701E"/>
    <w:rsid w:val="000D70D8"/>
    <w:rsid w:val="000D7409"/>
    <w:rsid w:val="000D7F1C"/>
    <w:rsid w:val="000E05A0"/>
    <w:rsid w:val="000E0893"/>
    <w:rsid w:val="000E0A5F"/>
    <w:rsid w:val="000E0CE4"/>
    <w:rsid w:val="000E192C"/>
    <w:rsid w:val="000E1A20"/>
    <w:rsid w:val="000E1B22"/>
    <w:rsid w:val="000E1F15"/>
    <w:rsid w:val="000E2506"/>
    <w:rsid w:val="000E294E"/>
    <w:rsid w:val="000E2B4E"/>
    <w:rsid w:val="000E2CA1"/>
    <w:rsid w:val="000E32CB"/>
    <w:rsid w:val="000E3C5E"/>
    <w:rsid w:val="000E3F32"/>
    <w:rsid w:val="000E3F3E"/>
    <w:rsid w:val="000E4A48"/>
    <w:rsid w:val="000E4BC3"/>
    <w:rsid w:val="000E4D14"/>
    <w:rsid w:val="000E4F9C"/>
    <w:rsid w:val="000E5E3E"/>
    <w:rsid w:val="000E621B"/>
    <w:rsid w:val="000E624D"/>
    <w:rsid w:val="000E62C1"/>
    <w:rsid w:val="000E670A"/>
    <w:rsid w:val="000E68F7"/>
    <w:rsid w:val="000E6BE6"/>
    <w:rsid w:val="000E6CA0"/>
    <w:rsid w:val="000E6E08"/>
    <w:rsid w:val="000E6E4E"/>
    <w:rsid w:val="000E7652"/>
    <w:rsid w:val="000E76E4"/>
    <w:rsid w:val="000E7CD3"/>
    <w:rsid w:val="000F0395"/>
    <w:rsid w:val="000F06AD"/>
    <w:rsid w:val="000F0759"/>
    <w:rsid w:val="000F0EF0"/>
    <w:rsid w:val="000F12F9"/>
    <w:rsid w:val="000F1A7B"/>
    <w:rsid w:val="000F1EC7"/>
    <w:rsid w:val="000F2716"/>
    <w:rsid w:val="000F2985"/>
    <w:rsid w:val="000F2CAF"/>
    <w:rsid w:val="000F2F2B"/>
    <w:rsid w:val="000F31D1"/>
    <w:rsid w:val="000F31F8"/>
    <w:rsid w:val="000F3575"/>
    <w:rsid w:val="000F3A6B"/>
    <w:rsid w:val="000F4131"/>
    <w:rsid w:val="000F44BD"/>
    <w:rsid w:val="000F4722"/>
    <w:rsid w:val="000F49AA"/>
    <w:rsid w:val="000F4F2F"/>
    <w:rsid w:val="000F5490"/>
    <w:rsid w:val="000F554E"/>
    <w:rsid w:val="000F5731"/>
    <w:rsid w:val="000F583C"/>
    <w:rsid w:val="000F5B1B"/>
    <w:rsid w:val="000F5D58"/>
    <w:rsid w:val="000F645D"/>
    <w:rsid w:val="000F6E97"/>
    <w:rsid w:val="000F6EA6"/>
    <w:rsid w:val="000F7081"/>
    <w:rsid w:val="000F7131"/>
    <w:rsid w:val="000F74EA"/>
    <w:rsid w:val="000F7608"/>
    <w:rsid w:val="000F76C2"/>
    <w:rsid w:val="000F772B"/>
    <w:rsid w:val="000F7F45"/>
    <w:rsid w:val="0010003D"/>
    <w:rsid w:val="00100172"/>
    <w:rsid w:val="001003AA"/>
    <w:rsid w:val="0010042B"/>
    <w:rsid w:val="00100508"/>
    <w:rsid w:val="001008BA"/>
    <w:rsid w:val="001009EC"/>
    <w:rsid w:val="00100D21"/>
    <w:rsid w:val="00100DE1"/>
    <w:rsid w:val="00101862"/>
    <w:rsid w:val="00101F0B"/>
    <w:rsid w:val="0010216D"/>
    <w:rsid w:val="00102BA7"/>
    <w:rsid w:val="00102C55"/>
    <w:rsid w:val="00103097"/>
    <w:rsid w:val="001036E7"/>
    <w:rsid w:val="00103955"/>
    <w:rsid w:val="00103CFB"/>
    <w:rsid w:val="00103D5F"/>
    <w:rsid w:val="00103F3D"/>
    <w:rsid w:val="001042FD"/>
    <w:rsid w:val="00104618"/>
    <w:rsid w:val="00104D9B"/>
    <w:rsid w:val="00104DC6"/>
    <w:rsid w:val="001054A6"/>
    <w:rsid w:val="0010584B"/>
    <w:rsid w:val="001059AC"/>
    <w:rsid w:val="0010639B"/>
    <w:rsid w:val="0010652C"/>
    <w:rsid w:val="001067E0"/>
    <w:rsid w:val="00106E8D"/>
    <w:rsid w:val="00106F5C"/>
    <w:rsid w:val="0010755A"/>
    <w:rsid w:val="001076F4"/>
    <w:rsid w:val="00107958"/>
    <w:rsid w:val="00107D57"/>
    <w:rsid w:val="00109C9C"/>
    <w:rsid w:val="001101C2"/>
    <w:rsid w:val="0011033F"/>
    <w:rsid w:val="00110C32"/>
    <w:rsid w:val="001111A0"/>
    <w:rsid w:val="001115AD"/>
    <w:rsid w:val="0011191E"/>
    <w:rsid w:val="00111DA2"/>
    <w:rsid w:val="00112024"/>
    <w:rsid w:val="001122C3"/>
    <w:rsid w:val="0011269A"/>
    <w:rsid w:val="00112810"/>
    <w:rsid w:val="001138A2"/>
    <w:rsid w:val="001144D5"/>
    <w:rsid w:val="001146B5"/>
    <w:rsid w:val="001147A5"/>
    <w:rsid w:val="001148E2"/>
    <w:rsid w:val="00114AB9"/>
    <w:rsid w:val="00114D20"/>
    <w:rsid w:val="001150FE"/>
    <w:rsid w:val="001154EE"/>
    <w:rsid w:val="00115656"/>
    <w:rsid w:val="001156DC"/>
    <w:rsid w:val="00115AFF"/>
    <w:rsid w:val="00115BBE"/>
    <w:rsid w:val="00116179"/>
    <w:rsid w:val="00116405"/>
    <w:rsid w:val="00116559"/>
    <w:rsid w:val="00117098"/>
    <w:rsid w:val="0011738F"/>
    <w:rsid w:val="001177D1"/>
    <w:rsid w:val="00117AB4"/>
    <w:rsid w:val="00117B57"/>
    <w:rsid w:val="00117B7A"/>
    <w:rsid w:val="00117C9C"/>
    <w:rsid w:val="00117FBE"/>
    <w:rsid w:val="001202BD"/>
    <w:rsid w:val="00120736"/>
    <w:rsid w:val="00120FB3"/>
    <w:rsid w:val="00121204"/>
    <w:rsid w:val="001221A6"/>
    <w:rsid w:val="001223EF"/>
    <w:rsid w:val="00122815"/>
    <w:rsid w:val="0012296D"/>
    <w:rsid w:val="00123294"/>
    <w:rsid w:val="001232F1"/>
    <w:rsid w:val="00123443"/>
    <w:rsid w:val="0012345A"/>
    <w:rsid w:val="0012374E"/>
    <w:rsid w:val="00123A0A"/>
    <w:rsid w:val="00123B2A"/>
    <w:rsid w:val="00123E26"/>
    <w:rsid w:val="00123FF5"/>
    <w:rsid w:val="001244E2"/>
    <w:rsid w:val="00124764"/>
    <w:rsid w:val="00124787"/>
    <w:rsid w:val="0012518D"/>
    <w:rsid w:val="001252A1"/>
    <w:rsid w:val="001255C2"/>
    <w:rsid w:val="001260AC"/>
    <w:rsid w:val="00126333"/>
    <w:rsid w:val="0012663C"/>
    <w:rsid w:val="0012693B"/>
    <w:rsid w:val="001271A6"/>
    <w:rsid w:val="00127E16"/>
    <w:rsid w:val="00127E5C"/>
    <w:rsid w:val="00130A6D"/>
    <w:rsid w:val="00130AC4"/>
    <w:rsid w:val="0013170F"/>
    <w:rsid w:val="00131A40"/>
    <w:rsid w:val="001323FD"/>
    <w:rsid w:val="00132413"/>
    <w:rsid w:val="0013270D"/>
    <w:rsid w:val="00132897"/>
    <w:rsid w:val="00132B94"/>
    <w:rsid w:val="00132BA9"/>
    <w:rsid w:val="0013308B"/>
    <w:rsid w:val="00133383"/>
    <w:rsid w:val="001335D3"/>
    <w:rsid w:val="00133712"/>
    <w:rsid w:val="00134162"/>
    <w:rsid w:val="001342B3"/>
    <w:rsid w:val="001343AE"/>
    <w:rsid w:val="0013450B"/>
    <w:rsid w:val="001345C7"/>
    <w:rsid w:val="001345EB"/>
    <w:rsid w:val="0013470A"/>
    <w:rsid w:val="001347E1"/>
    <w:rsid w:val="00134EED"/>
    <w:rsid w:val="00135A5C"/>
    <w:rsid w:val="00135A74"/>
    <w:rsid w:val="00135F2C"/>
    <w:rsid w:val="00135F37"/>
    <w:rsid w:val="001362DA"/>
    <w:rsid w:val="0013642B"/>
    <w:rsid w:val="001365E5"/>
    <w:rsid w:val="0013757D"/>
    <w:rsid w:val="0013762C"/>
    <w:rsid w:val="001377C3"/>
    <w:rsid w:val="00137AED"/>
    <w:rsid w:val="00137BBF"/>
    <w:rsid w:val="001400F1"/>
    <w:rsid w:val="00140270"/>
    <w:rsid w:val="00140322"/>
    <w:rsid w:val="001405AD"/>
    <w:rsid w:val="0014088F"/>
    <w:rsid w:val="00140F5A"/>
    <w:rsid w:val="0014121A"/>
    <w:rsid w:val="001414AC"/>
    <w:rsid w:val="001415EA"/>
    <w:rsid w:val="00141BF7"/>
    <w:rsid w:val="00141DE0"/>
    <w:rsid w:val="001426E2"/>
    <w:rsid w:val="0014351B"/>
    <w:rsid w:val="001436C3"/>
    <w:rsid w:val="00143DE8"/>
    <w:rsid w:val="001442A5"/>
    <w:rsid w:val="00144F9F"/>
    <w:rsid w:val="001450EC"/>
    <w:rsid w:val="00145613"/>
    <w:rsid w:val="001458FC"/>
    <w:rsid w:val="0014632C"/>
    <w:rsid w:val="001464CE"/>
    <w:rsid w:val="00146557"/>
    <w:rsid w:val="00146DB6"/>
    <w:rsid w:val="001474A0"/>
    <w:rsid w:val="001475D8"/>
    <w:rsid w:val="00147CBF"/>
    <w:rsid w:val="00147CC8"/>
    <w:rsid w:val="00147E52"/>
    <w:rsid w:val="00150179"/>
    <w:rsid w:val="00150227"/>
    <w:rsid w:val="001502EB"/>
    <w:rsid w:val="00150350"/>
    <w:rsid w:val="0015037D"/>
    <w:rsid w:val="0015068A"/>
    <w:rsid w:val="0015076E"/>
    <w:rsid w:val="00150A7F"/>
    <w:rsid w:val="001510CA"/>
    <w:rsid w:val="001511BC"/>
    <w:rsid w:val="0015161A"/>
    <w:rsid w:val="001516E0"/>
    <w:rsid w:val="00151702"/>
    <w:rsid w:val="001518CE"/>
    <w:rsid w:val="00151AC5"/>
    <w:rsid w:val="00151B80"/>
    <w:rsid w:val="00151BF6"/>
    <w:rsid w:val="001523B9"/>
    <w:rsid w:val="00152414"/>
    <w:rsid w:val="00152E51"/>
    <w:rsid w:val="00153531"/>
    <w:rsid w:val="001535A9"/>
    <w:rsid w:val="00153813"/>
    <w:rsid w:val="001538A9"/>
    <w:rsid w:val="00153B51"/>
    <w:rsid w:val="00153C2F"/>
    <w:rsid w:val="00154127"/>
    <w:rsid w:val="00154BD7"/>
    <w:rsid w:val="00154FCD"/>
    <w:rsid w:val="00155CA9"/>
    <w:rsid w:val="00155D79"/>
    <w:rsid w:val="00155D93"/>
    <w:rsid w:val="0015603E"/>
    <w:rsid w:val="00156084"/>
    <w:rsid w:val="00156275"/>
    <w:rsid w:val="0015667E"/>
    <w:rsid w:val="00156712"/>
    <w:rsid w:val="00156781"/>
    <w:rsid w:val="001568C8"/>
    <w:rsid w:val="00156B78"/>
    <w:rsid w:val="00156EF9"/>
    <w:rsid w:val="001571AC"/>
    <w:rsid w:val="0015721B"/>
    <w:rsid w:val="001574F4"/>
    <w:rsid w:val="00157641"/>
    <w:rsid w:val="00157666"/>
    <w:rsid w:val="00157674"/>
    <w:rsid w:val="00157679"/>
    <w:rsid w:val="00157B35"/>
    <w:rsid w:val="00157F5B"/>
    <w:rsid w:val="00157FBC"/>
    <w:rsid w:val="0016079B"/>
    <w:rsid w:val="001608E7"/>
    <w:rsid w:val="00160E51"/>
    <w:rsid w:val="0016159B"/>
    <w:rsid w:val="00161855"/>
    <w:rsid w:val="00161933"/>
    <w:rsid w:val="00161A94"/>
    <w:rsid w:val="00161AF7"/>
    <w:rsid w:val="00162375"/>
    <w:rsid w:val="00162429"/>
    <w:rsid w:val="00162A04"/>
    <w:rsid w:val="001630A4"/>
    <w:rsid w:val="0016327C"/>
    <w:rsid w:val="0016332A"/>
    <w:rsid w:val="00163878"/>
    <w:rsid w:val="00163A3C"/>
    <w:rsid w:val="00163B06"/>
    <w:rsid w:val="0016455A"/>
    <w:rsid w:val="0016493D"/>
    <w:rsid w:val="00164F74"/>
    <w:rsid w:val="001650B8"/>
    <w:rsid w:val="00165461"/>
    <w:rsid w:val="0016575D"/>
    <w:rsid w:val="00165A00"/>
    <w:rsid w:val="00165C17"/>
    <w:rsid w:val="00165D88"/>
    <w:rsid w:val="00165DB7"/>
    <w:rsid w:val="00165DDC"/>
    <w:rsid w:val="00166340"/>
    <w:rsid w:val="00166365"/>
    <w:rsid w:val="0016646B"/>
    <w:rsid w:val="00166931"/>
    <w:rsid w:val="00166CC8"/>
    <w:rsid w:val="00167385"/>
    <w:rsid w:val="001677D9"/>
    <w:rsid w:val="001677FA"/>
    <w:rsid w:val="00167ADC"/>
    <w:rsid w:val="00167BFA"/>
    <w:rsid w:val="00167C30"/>
    <w:rsid w:val="00167F5B"/>
    <w:rsid w:val="001705AB"/>
    <w:rsid w:val="001712F6"/>
    <w:rsid w:val="001714B3"/>
    <w:rsid w:val="00171AD5"/>
    <w:rsid w:val="00171B00"/>
    <w:rsid w:val="00171B7C"/>
    <w:rsid w:val="00171F11"/>
    <w:rsid w:val="00172007"/>
    <w:rsid w:val="001722FE"/>
    <w:rsid w:val="001728AD"/>
    <w:rsid w:val="00172EF9"/>
    <w:rsid w:val="00173016"/>
    <w:rsid w:val="0017322E"/>
    <w:rsid w:val="001732A5"/>
    <w:rsid w:val="0017348A"/>
    <w:rsid w:val="001735B8"/>
    <w:rsid w:val="0017400C"/>
    <w:rsid w:val="001749F7"/>
    <w:rsid w:val="00174AEE"/>
    <w:rsid w:val="00174BFA"/>
    <w:rsid w:val="00174EAC"/>
    <w:rsid w:val="001750DB"/>
    <w:rsid w:val="00175155"/>
    <w:rsid w:val="00175302"/>
    <w:rsid w:val="00175361"/>
    <w:rsid w:val="0017541A"/>
    <w:rsid w:val="00175ECC"/>
    <w:rsid w:val="00175F47"/>
    <w:rsid w:val="00176010"/>
    <w:rsid w:val="00176ABE"/>
    <w:rsid w:val="00176B64"/>
    <w:rsid w:val="00176C52"/>
    <w:rsid w:val="00176D26"/>
    <w:rsid w:val="00177393"/>
    <w:rsid w:val="0017786D"/>
    <w:rsid w:val="0017795D"/>
    <w:rsid w:val="00180649"/>
    <w:rsid w:val="00180B83"/>
    <w:rsid w:val="00181015"/>
    <w:rsid w:val="00181692"/>
    <w:rsid w:val="001817F7"/>
    <w:rsid w:val="00181CB9"/>
    <w:rsid w:val="00181D5F"/>
    <w:rsid w:val="0018280F"/>
    <w:rsid w:val="00182957"/>
    <w:rsid w:val="00182A7F"/>
    <w:rsid w:val="00182C98"/>
    <w:rsid w:val="001831B3"/>
    <w:rsid w:val="001834ED"/>
    <w:rsid w:val="00183760"/>
    <w:rsid w:val="00183872"/>
    <w:rsid w:val="0018397B"/>
    <w:rsid w:val="00183ED2"/>
    <w:rsid w:val="0018476A"/>
    <w:rsid w:val="00184872"/>
    <w:rsid w:val="00184E2D"/>
    <w:rsid w:val="001859DB"/>
    <w:rsid w:val="00185C2F"/>
    <w:rsid w:val="00185F9D"/>
    <w:rsid w:val="00186203"/>
    <w:rsid w:val="00186470"/>
    <w:rsid w:val="00186796"/>
    <w:rsid w:val="0018687D"/>
    <w:rsid w:val="00186CA2"/>
    <w:rsid w:val="001873D1"/>
    <w:rsid w:val="001875EC"/>
    <w:rsid w:val="001879C1"/>
    <w:rsid w:val="001903D3"/>
    <w:rsid w:val="0019070A"/>
    <w:rsid w:val="00190AFC"/>
    <w:rsid w:val="00190E18"/>
    <w:rsid w:val="0019126D"/>
    <w:rsid w:val="00191415"/>
    <w:rsid w:val="001914FB"/>
    <w:rsid w:val="00191A23"/>
    <w:rsid w:val="00191C80"/>
    <w:rsid w:val="0019200F"/>
    <w:rsid w:val="00192051"/>
    <w:rsid w:val="001920CC"/>
    <w:rsid w:val="001926ED"/>
    <w:rsid w:val="001927CD"/>
    <w:rsid w:val="00192A89"/>
    <w:rsid w:val="00192CD5"/>
    <w:rsid w:val="001936B3"/>
    <w:rsid w:val="001936D5"/>
    <w:rsid w:val="0019379D"/>
    <w:rsid w:val="00194604"/>
    <w:rsid w:val="00194787"/>
    <w:rsid w:val="0019499C"/>
    <w:rsid w:val="001949B0"/>
    <w:rsid w:val="00194F9D"/>
    <w:rsid w:val="00195046"/>
    <w:rsid w:val="001951BA"/>
    <w:rsid w:val="00195755"/>
    <w:rsid w:val="00195A94"/>
    <w:rsid w:val="001961F6"/>
    <w:rsid w:val="00196AF5"/>
    <w:rsid w:val="00197134"/>
    <w:rsid w:val="0019795A"/>
    <w:rsid w:val="00197AB7"/>
    <w:rsid w:val="00197E2B"/>
    <w:rsid w:val="00197FA3"/>
    <w:rsid w:val="0019B37B"/>
    <w:rsid w:val="001A00B9"/>
    <w:rsid w:val="001A02EF"/>
    <w:rsid w:val="001A0402"/>
    <w:rsid w:val="001A1105"/>
    <w:rsid w:val="001A1426"/>
    <w:rsid w:val="001A1952"/>
    <w:rsid w:val="001A1B27"/>
    <w:rsid w:val="001A1CCF"/>
    <w:rsid w:val="001A2046"/>
    <w:rsid w:val="001A233A"/>
    <w:rsid w:val="001A2891"/>
    <w:rsid w:val="001A2D15"/>
    <w:rsid w:val="001A3016"/>
    <w:rsid w:val="001A38F4"/>
    <w:rsid w:val="001A3DFF"/>
    <w:rsid w:val="001A4204"/>
    <w:rsid w:val="001A42A1"/>
    <w:rsid w:val="001A465B"/>
    <w:rsid w:val="001A49AB"/>
    <w:rsid w:val="001A4F6C"/>
    <w:rsid w:val="001A58D8"/>
    <w:rsid w:val="001A59D7"/>
    <w:rsid w:val="001A5C67"/>
    <w:rsid w:val="001A61E0"/>
    <w:rsid w:val="001A65F3"/>
    <w:rsid w:val="001A6E57"/>
    <w:rsid w:val="001A6F25"/>
    <w:rsid w:val="001A702C"/>
    <w:rsid w:val="001A70DD"/>
    <w:rsid w:val="001A746E"/>
    <w:rsid w:val="001A75F6"/>
    <w:rsid w:val="001A7E06"/>
    <w:rsid w:val="001B050C"/>
    <w:rsid w:val="001B053A"/>
    <w:rsid w:val="001B0559"/>
    <w:rsid w:val="001B1521"/>
    <w:rsid w:val="001B172F"/>
    <w:rsid w:val="001B1732"/>
    <w:rsid w:val="001B1AC4"/>
    <w:rsid w:val="001B1AE5"/>
    <w:rsid w:val="001B1AEA"/>
    <w:rsid w:val="001B1BD6"/>
    <w:rsid w:val="001B1BFC"/>
    <w:rsid w:val="001B1CB7"/>
    <w:rsid w:val="001B1D1C"/>
    <w:rsid w:val="001B1D41"/>
    <w:rsid w:val="001B1E03"/>
    <w:rsid w:val="001B1E45"/>
    <w:rsid w:val="001B2A10"/>
    <w:rsid w:val="001B2A76"/>
    <w:rsid w:val="001B2AE1"/>
    <w:rsid w:val="001B32F7"/>
    <w:rsid w:val="001B3410"/>
    <w:rsid w:val="001B3795"/>
    <w:rsid w:val="001B3866"/>
    <w:rsid w:val="001B3B53"/>
    <w:rsid w:val="001B406A"/>
    <w:rsid w:val="001B426D"/>
    <w:rsid w:val="001B439B"/>
    <w:rsid w:val="001B48F1"/>
    <w:rsid w:val="001B4D7C"/>
    <w:rsid w:val="001B5293"/>
    <w:rsid w:val="001B55A7"/>
    <w:rsid w:val="001B561B"/>
    <w:rsid w:val="001B5A63"/>
    <w:rsid w:val="001B5AAE"/>
    <w:rsid w:val="001B608F"/>
    <w:rsid w:val="001B65BE"/>
    <w:rsid w:val="001B682D"/>
    <w:rsid w:val="001B6BBE"/>
    <w:rsid w:val="001B6FAC"/>
    <w:rsid w:val="001B6FF4"/>
    <w:rsid w:val="001B70B5"/>
    <w:rsid w:val="001B71C3"/>
    <w:rsid w:val="001B71C9"/>
    <w:rsid w:val="001B746E"/>
    <w:rsid w:val="001B7908"/>
    <w:rsid w:val="001B7942"/>
    <w:rsid w:val="001B79D1"/>
    <w:rsid w:val="001B7D3A"/>
    <w:rsid w:val="001B7EBD"/>
    <w:rsid w:val="001C060B"/>
    <w:rsid w:val="001C0829"/>
    <w:rsid w:val="001C0B4F"/>
    <w:rsid w:val="001C0C48"/>
    <w:rsid w:val="001C149F"/>
    <w:rsid w:val="001C1503"/>
    <w:rsid w:val="001C154D"/>
    <w:rsid w:val="001C16CC"/>
    <w:rsid w:val="001C1790"/>
    <w:rsid w:val="001C17D2"/>
    <w:rsid w:val="001C186D"/>
    <w:rsid w:val="001C2440"/>
    <w:rsid w:val="001C2816"/>
    <w:rsid w:val="001C2A1D"/>
    <w:rsid w:val="001C2B5F"/>
    <w:rsid w:val="001C3074"/>
    <w:rsid w:val="001C32ED"/>
    <w:rsid w:val="001C33F0"/>
    <w:rsid w:val="001C390E"/>
    <w:rsid w:val="001C39F9"/>
    <w:rsid w:val="001C3B4A"/>
    <w:rsid w:val="001C3F4D"/>
    <w:rsid w:val="001C49EC"/>
    <w:rsid w:val="001C4ACE"/>
    <w:rsid w:val="001C5A3A"/>
    <w:rsid w:val="001C5F77"/>
    <w:rsid w:val="001C62D0"/>
    <w:rsid w:val="001C63C7"/>
    <w:rsid w:val="001C64C6"/>
    <w:rsid w:val="001C64DE"/>
    <w:rsid w:val="001C6739"/>
    <w:rsid w:val="001C67FF"/>
    <w:rsid w:val="001C6DC7"/>
    <w:rsid w:val="001C6E88"/>
    <w:rsid w:val="001C6FE2"/>
    <w:rsid w:val="001C71E0"/>
    <w:rsid w:val="001C75BF"/>
    <w:rsid w:val="001C7782"/>
    <w:rsid w:val="001C7D14"/>
    <w:rsid w:val="001D004A"/>
    <w:rsid w:val="001D0302"/>
    <w:rsid w:val="001D054B"/>
    <w:rsid w:val="001D0BB3"/>
    <w:rsid w:val="001D0F95"/>
    <w:rsid w:val="001D0FE3"/>
    <w:rsid w:val="001D101B"/>
    <w:rsid w:val="001D1233"/>
    <w:rsid w:val="001D1509"/>
    <w:rsid w:val="001D1613"/>
    <w:rsid w:val="001D1803"/>
    <w:rsid w:val="001D1861"/>
    <w:rsid w:val="001D1AE2"/>
    <w:rsid w:val="001D20C1"/>
    <w:rsid w:val="001D2265"/>
    <w:rsid w:val="001D2279"/>
    <w:rsid w:val="001D2DDC"/>
    <w:rsid w:val="001D3274"/>
    <w:rsid w:val="001D33DE"/>
    <w:rsid w:val="001D3557"/>
    <w:rsid w:val="001D3719"/>
    <w:rsid w:val="001D3C74"/>
    <w:rsid w:val="001D3E77"/>
    <w:rsid w:val="001D3F10"/>
    <w:rsid w:val="001D3F91"/>
    <w:rsid w:val="001D4727"/>
    <w:rsid w:val="001D4762"/>
    <w:rsid w:val="001D5562"/>
    <w:rsid w:val="001D57D3"/>
    <w:rsid w:val="001D58B7"/>
    <w:rsid w:val="001D5CDE"/>
    <w:rsid w:val="001D60C5"/>
    <w:rsid w:val="001D617E"/>
    <w:rsid w:val="001D6238"/>
    <w:rsid w:val="001D62E2"/>
    <w:rsid w:val="001D62FF"/>
    <w:rsid w:val="001D6AC8"/>
    <w:rsid w:val="001D6B3A"/>
    <w:rsid w:val="001D6B3E"/>
    <w:rsid w:val="001D6E63"/>
    <w:rsid w:val="001D6E67"/>
    <w:rsid w:val="001D701D"/>
    <w:rsid w:val="001D73BB"/>
    <w:rsid w:val="001D7EB2"/>
    <w:rsid w:val="001E0344"/>
    <w:rsid w:val="001E036F"/>
    <w:rsid w:val="001E0488"/>
    <w:rsid w:val="001E09C8"/>
    <w:rsid w:val="001E0A60"/>
    <w:rsid w:val="001E0A94"/>
    <w:rsid w:val="001E0E54"/>
    <w:rsid w:val="001E0FAF"/>
    <w:rsid w:val="001E1643"/>
    <w:rsid w:val="001E178D"/>
    <w:rsid w:val="001E1D23"/>
    <w:rsid w:val="001E1F1C"/>
    <w:rsid w:val="001E1F32"/>
    <w:rsid w:val="001E206F"/>
    <w:rsid w:val="001E29A0"/>
    <w:rsid w:val="001E2A8F"/>
    <w:rsid w:val="001E2B05"/>
    <w:rsid w:val="001E2ED3"/>
    <w:rsid w:val="001E2ED6"/>
    <w:rsid w:val="001E2EF3"/>
    <w:rsid w:val="001E2FB6"/>
    <w:rsid w:val="001E3F1A"/>
    <w:rsid w:val="001E40A6"/>
    <w:rsid w:val="001E4200"/>
    <w:rsid w:val="001E45BC"/>
    <w:rsid w:val="001E4CF8"/>
    <w:rsid w:val="001E4FA5"/>
    <w:rsid w:val="001E54AF"/>
    <w:rsid w:val="001E56AD"/>
    <w:rsid w:val="001E58F1"/>
    <w:rsid w:val="001E58FE"/>
    <w:rsid w:val="001E5A0B"/>
    <w:rsid w:val="001E5B0F"/>
    <w:rsid w:val="001E69AA"/>
    <w:rsid w:val="001E6ABC"/>
    <w:rsid w:val="001E6CF3"/>
    <w:rsid w:val="001E71B7"/>
    <w:rsid w:val="001E7494"/>
    <w:rsid w:val="001E78A8"/>
    <w:rsid w:val="001F000A"/>
    <w:rsid w:val="001F0085"/>
    <w:rsid w:val="001F08E2"/>
    <w:rsid w:val="001F14F8"/>
    <w:rsid w:val="001F150C"/>
    <w:rsid w:val="001F15BC"/>
    <w:rsid w:val="001F17DC"/>
    <w:rsid w:val="001F1908"/>
    <w:rsid w:val="001F243D"/>
    <w:rsid w:val="001F2527"/>
    <w:rsid w:val="001F261D"/>
    <w:rsid w:val="001F2C56"/>
    <w:rsid w:val="001F2DAE"/>
    <w:rsid w:val="001F2EFA"/>
    <w:rsid w:val="001F2F39"/>
    <w:rsid w:val="001F30C0"/>
    <w:rsid w:val="001F330E"/>
    <w:rsid w:val="001F332F"/>
    <w:rsid w:val="001F3351"/>
    <w:rsid w:val="001F33BC"/>
    <w:rsid w:val="001F37C3"/>
    <w:rsid w:val="001F3C21"/>
    <w:rsid w:val="001F3FAB"/>
    <w:rsid w:val="001F4241"/>
    <w:rsid w:val="001F4657"/>
    <w:rsid w:val="001F465C"/>
    <w:rsid w:val="001F495F"/>
    <w:rsid w:val="001F55BA"/>
    <w:rsid w:val="001F563E"/>
    <w:rsid w:val="001F5AB1"/>
    <w:rsid w:val="001F5DC5"/>
    <w:rsid w:val="001F5F3C"/>
    <w:rsid w:val="001F60D5"/>
    <w:rsid w:val="001F64E7"/>
    <w:rsid w:val="001F7052"/>
    <w:rsid w:val="001F7243"/>
    <w:rsid w:val="001F736A"/>
    <w:rsid w:val="001F756D"/>
    <w:rsid w:val="001F7DE5"/>
    <w:rsid w:val="001F7FFC"/>
    <w:rsid w:val="00200016"/>
    <w:rsid w:val="002001BA"/>
    <w:rsid w:val="002003C3"/>
    <w:rsid w:val="002006D3"/>
    <w:rsid w:val="002007B7"/>
    <w:rsid w:val="002008A1"/>
    <w:rsid w:val="00200B1A"/>
    <w:rsid w:val="0020116A"/>
    <w:rsid w:val="002011E1"/>
    <w:rsid w:val="0020193B"/>
    <w:rsid w:val="0020201A"/>
    <w:rsid w:val="002020B7"/>
    <w:rsid w:val="00202157"/>
    <w:rsid w:val="002022EF"/>
    <w:rsid w:val="00202319"/>
    <w:rsid w:val="002023C8"/>
    <w:rsid w:val="002024BF"/>
    <w:rsid w:val="002027C1"/>
    <w:rsid w:val="00202B30"/>
    <w:rsid w:val="0020301F"/>
    <w:rsid w:val="0020302E"/>
    <w:rsid w:val="002030D9"/>
    <w:rsid w:val="0020339C"/>
    <w:rsid w:val="002033F1"/>
    <w:rsid w:val="002034DD"/>
    <w:rsid w:val="0020353A"/>
    <w:rsid w:val="00203551"/>
    <w:rsid w:val="002035A0"/>
    <w:rsid w:val="00203759"/>
    <w:rsid w:val="002037D7"/>
    <w:rsid w:val="002043B5"/>
    <w:rsid w:val="002044E6"/>
    <w:rsid w:val="00204569"/>
    <w:rsid w:val="00204986"/>
    <w:rsid w:val="002057FA"/>
    <w:rsid w:val="002059BA"/>
    <w:rsid w:val="002063EB"/>
    <w:rsid w:val="0020652D"/>
    <w:rsid w:val="0020664A"/>
    <w:rsid w:val="00206720"/>
    <w:rsid w:val="00206870"/>
    <w:rsid w:val="002068F5"/>
    <w:rsid w:val="00206F9E"/>
    <w:rsid w:val="002102CC"/>
    <w:rsid w:val="00210325"/>
    <w:rsid w:val="002104A4"/>
    <w:rsid w:val="00210D4A"/>
    <w:rsid w:val="00210E8D"/>
    <w:rsid w:val="00211054"/>
    <w:rsid w:val="0021143B"/>
    <w:rsid w:val="00211502"/>
    <w:rsid w:val="00211A89"/>
    <w:rsid w:val="002124FD"/>
    <w:rsid w:val="00212502"/>
    <w:rsid w:val="00212899"/>
    <w:rsid w:val="002132A1"/>
    <w:rsid w:val="00213547"/>
    <w:rsid w:val="002137FE"/>
    <w:rsid w:val="0021387E"/>
    <w:rsid w:val="00213A0A"/>
    <w:rsid w:val="00213A5A"/>
    <w:rsid w:val="00213ABC"/>
    <w:rsid w:val="00213B45"/>
    <w:rsid w:val="00213CB1"/>
    <w:rsid w:val="002142C7"/>
    <w:rsid w:val="002143BC"/>
    <w:rsid w:val="0021462C"/>
    <w:rsid w:val="00214A9F"/>
    <w:rsid w:val="00214ADA"/>
    <w:rsid w:val="00214B6B"/>
    <w:rsid w:val="00215364"/>
    <w:rsid w:val="00215370"/>
    <w:rsid w:val="00215B1F"/>
    <w:rsid w:val="00216378"/>
    <w:rsid w:val="00216496"/>
    <w:rsid w:val="002168DC"/>
    <w:rsid w:val="00217222"/>
    <w:rsid w:val="002172B6"/>
    <w:rsid w:val="0021740C"/>
    <w:rsid w:val="00217892"/>
    <w:rsid w:val="00217BE1"/>
    <w:rsid w:val="002208AA"/>
    <w:rsid w:val="00220A38"/>
    <w:rsid w:val="00220A56"/>
    <w:rsid w:val="00220B8D"/>
    <w:rsid w:val="00220DB2"/>
    <w:rsid w:val="00220DCC"/>
    <w:rsid w:val="00221120"/>
    <w:rsid w:val="00221635"/>
    <w:rsid w:val="002218EC"/>
    <w:rsid w:val="002218FD"/>
    <w:rsid w:val="002219F4"/>
    <w:rsid w:val="00222082"/>
    <w:rsid w:val="0022245C"/>
    <w:rsid w:val="002227A7"/>
    <w:rsid w:val="00222AE8"/>
    <w:rsid w:val="00222C86"/>
    <w:rsid w:val="002233C5"/>
    <w:rsid w:val="00223A27"/>
    <w:rsid w:val="00223B82"/>
    <w:rsid w:val="00223C4D"/>
    <w:rsid w:val="002240F4"/>
    <w:rsid w:val="00224567"/>
    <w:rsid w:val="00224BEF"/>
    <w:rsid w:val="00225063"/>
    <w:rsid w:val="00225526"/>
    <w:rsid w:val="00225720"/>
    <w:rsid w:val="00225B9E"/>
    <w:rsid w:val="00225D52"/>
    <w:rsid w:val="00225F64"/>
    <w:rsid w:val="0022613A"/>
    <w:rsid w:val="00226267"/>
    <w:rsid w:val="002267EB"/>
    <w:rsid w:val="00226B22"/>
    <w:rsid w:val="00226B5B"/>
    <w:rsid w:val="002276C6"/>
    <w:rsid w:val="00227805"/>
    <w:rsid w:val="00227943"/>
    <w:rsid w:val="00227D1D"/>
    <w:rsid w:val="00227E04"/>
    <w:rsid w:val="00227F27"/>
    <w:rsid w:val="00230700"/>
    <w:rsid w:val="002307FD"/>
    <w:rsid w:val="00231116"/>
    <w:rsid w:val="002311D6"/>
    <w:rsid w:val="0023127A"/>
    <w:rsid w:val="00231335"/>
    <w:rsid w:val="00231B06"/>
    <w:rsid w:val="00231D8E"/>
    <w:rsid w:val="00231E0F"/>
    <w:rsid w:val="0023252B"/>
    <w:rsid w:val="002327EB"/>
    <w:rsid w:val="002329DA"/>
    <w:rsid w:val="00232D41"/>
    <w:rsid w:val="00232DA1"/>
    <w:rsid w:val="00233423"/>
    <w:rsid w:val="00233482"/>
    <w:rsid w:val="00233592"/>
    <w:rsid w:val="00233A38"/>
    <w:rsid w:val="00233A51"/>
    <w:rsid w:val="00233A68"/>
    <w:rsid w:val="00233DAB"/>
    <w:rsid w:val="00233F07"/>
    <w:rsid w:val="002341D1"/>
    <w:rsid w:val="002343DB"/>
    <w:rsid w:val="00234912"/>
    <w:rsid w:val="00234AF6"/>
    <w:rsid w:val="0023582B"/>
    <w:rsid w:val="0023599C"/>
    <w:rsid w:val="00235B34"/>
    <w:rsid w:val="00235BD9"/>
    <w:rsid w:val="00235D42"/>
    <w:rsid w:val="0023616A"/>
    <w:rsid w:val="00236173"/>
    <w:rsid w:val="002361B3"/>
    <w:rsid w:val="00236952"/>
    <w:rsid w:val="002369ED"/>
    <w:rsid w:val="002371CB"/>
    <w:rsid w:val="0023776A"/>
    <w:rsid w:val="002377E6"/>
    <w:rsid w:val="002378E2"/>
    <w:rsid w:val="00237A0D"/>
    <w:rsid w:val="00237EFA"/>
    <w:rsid w:val="0024013A"/>
    <w:rsid w:val="0024025A"/>
    <w:rsid w:val="00240889"/>
    <w:rsid w:val="00240A3E"/>
    <w:rsid w:val="00240DD4"/>
    <w:rsid w:val="00241651"/>
    <w:rsid w:val="002417DE"/>
    <w:rsid w:val="00241840"/>
    <w:rsid w:val="002419DC"/>
    <w:rsid w:val="00241C59"/>
    <w:rsid w:val="00241D06"/>
    <w:rsid w:val="00241D49"/>
    <w:rsid w:val="00241F0B"/>
    <w:rsid w:val="00242478"/>
    <w:rsid w:val="0024297F"/>
    <w:rsid w:val="00242B23"/>
    <w:rsid w:val="00242D35"/>
    <w:rsid w:val="002430C5"/>
    <w:rsid w:val="00243244"/>
    <w:rsid w:val="00243820"/>
    <w:rsid w:val="00243992"/>
    <w:rsid w:val="00243ACE"/>
    <w:rsid w:val="00243B7E"/>
    <w:rsid w:val="00243B81"/>
    <w:rsid w:val="00243D4F"/>
    <w:rsid w:val="002444C7"/>
    <w:rsid w:val="00244750"/>
    <w:rsid w:val="002448D0"/>
    <w:rsid w:val="00244A1B"/>
    <w:rsid w:val="00244CFC"/>
    <w:rsid w:val="00244E3A"/>
    <w:rsid w:val="0024597F"/>
    <w:rsid w:val="00246417"/>
    <w:rsid w:val="00246E60"/>
    <w:rsid w:val="0024709B"/>
    <w:rsid w:val="00247167"/>
    <w:rsid w:val="00247341"/>
    <w:rsid w:val="002475BE"/>
    <w:rsid w:val="002475E6"/>
    <w:rsid w:val="002477F8"/>
    <w:rsid w:val="00247959"/>
    <w:rsid w:val="00247A57"/>
    <w:rsid w:val="00247F91"/>
    <w:rsid w:val="0024BDFB"/>
    <w:rsid w:val="00250055"/>
    <w:rsid w:val="0025071E"/>
    <w:rsid w:val="00250984"/>
    <w:rsid w:val="00250A43"/>
    <w:rsid w:val="00250A85"/>
    <w:rsid w:val="00250EDB"/>
    <w:rsid w:val="00251659"/>
    <w:rsid w:val="002519F0"/>
    <w:rsid w:val="002529BC"/>
    <w:rsid w:val="00252C97"/>
    <w:rsid w:val="00252D60"/>
    <w:rsid w:val="002533FA"/>
    <w:rsid w:val="002536D5"/>
    <w:rsid w:val="0025374D"/>
    <w:rsid w:val="00253C26"/>
    <w:rsid w:val="00253F4C"/>
    <w:rsid w:val="00253FBB"/>
    <w:rsid w:val="00254263"/>
    <w:rsid w:val="00254A1D"/>
    <w:rsid w:val="00254D4C"/>
    <w:rsid w:val="00254E2F"/>
    <w:rsid w:val="002552CE"/>
    <w:rsid w:val="002554DB"/>
    <w:rsid w:val="002555C1"/>
    <w:rsid w:val="00255750"/>
    <w:rsid w:val="002558CF"/>
    <w:rsid w:val="00255B95"/>
    <w:rsid w:val="00255C98"/>
    <w:rsid w:val="00255DD1"/>
    <w:rsid w:val="00256107"/>
    <w:rsid w:val="00256114"/>
    <w:rsid w:val="00256421"/>
    <w:rsid w:val="00256AC0"/>
    <w:rsid w:val="00256CEB"/>
    <w:rsid w:val="00256FA3"/>
    <w:rsid w:val="002571BE"/>
    <w:rsid w:val="00257565"/>
    <w:rsid w:val="00257DB8"/>
    <w:rsid w:val="00257DDC"/>
    <w:rsid w:val="00260612"/>
    <w:rsid w:val="00260E3D"/>
    <w:rsid w:val="00260E42"/>
    <w:rsid w:val="002610BB"/>
    <w:rsid w:val="002611C3"/>
    <w:rsid w:val="0026131B"/>
    <w:rsid w:val="002614CD"/>
    <w:rsid w:val="00261795"/>
    <w:rsid w:val="00261920"/>
    <w:rsid w:val="00261DE8"/>
    <w:rsid w:val="00261F0B"/>
    <w:rsid w:val="00262163"/>
    <w:rsid w:val="00262286"/>
    <w:rsid w:val="0026238D"/>
    <w:rsid w:val="00262439"/>
    <w:rsid w:val="0026263F"/>
    <w:rsid w:val="00262C27"/>
    <w:rsid w:val="002634CE"/>
    <w:rsid w:val="00263DC9"/>
    <w:rsid w:val="00263EF6"/>
    <w:rsid w:val="00263F8D"/>
    <w:rsid w:val="00264792"/>
    <w:rsid w:val="002647AE"/>
    <w:rsid w:val="002649BC"/>
    <w:rsid w:val="00264AB3"/>
    <w:rsid w:val="00264B6E"/>
    <w:rsid w:val="00264C5F"/>
    <w:rsid w:val="002654D8"/>
    <w:rsid w:val="002656AD"/>
    <w:rsid w:val="002657D3"/>
    <w:rsid w:val="00265A3C"/>
    <w:rsid w:val="00265B42"/>
    <w:rsid w:val="00266063"/>
    <w:rsid w:val="002662DE"/>
    <w:rsid w:val="00266746"/>
    <w:rsid w:val="00266758"/>
    <w:rsid w:val="0026684E"/>
    <w:rsid w:val="002668C4"/>
    <w:rsid w:val="00266AF4"/>
    <w:rsid w:val="0026794B"/>
    <w:rsid w:val="00267D42"/>
    <w:rsid w:val="002704E6"/>
    <w:rsid w:val="00270717"/>
    <w:rsid w:val="00270765"/>
    <w:rsid w:val="002707F2"/>
    <w:rsid w:val="00270885"/>
    <w:rsid w:val="00270970"/>
    <w:rsid w:val="002715E5"/>
    <w:rsid w:val="00271F98"/>
    <w:rsid w:val="002721CC"/>
    <w:rsid w:val="00272604"/>
    <w:rsid w:val="00272B5A"/>
    <w:rsid w:val="00272BC3"/>
    <w:rsid w:val="002730E0"/>
    <w:rsid w:val="00273580"/>
    <w:rsid w:val="00273A4B"/>
    <w:rsid w:val="00273D27"/>
    <w:rsid w:val="00273F65"/>
    <w:rsid w:val="0027410F"/>
    <w:rsid w:val="0027476A"/>
    <w:rsid w:val="00274835"/>
    <w:rsid w:val="002748CE"/>
    <w:rsid w:val="00274B0A"/>
    <w:rsid w:val="00274B86"/>
    <w:rsid w:val="00274E31"/>
    <w:rsid w:val="00274F16"/>
    <w:rsid w:val="0027548A"/>
    <w:rsid w:val="00275540"/>
    <w:rsid w:val="00275F21"/>
    <w:rsid w:val="00276009"/>
    <w:rsid w:val="00276652"/>
    <w:rsid w:val="0027665F"/>
    <w:rsid w:val="002769D5"/>
    <w:rsid w:val="002769ED"/>
    <w:rsid w:val="00276A9E"/>
    <w:rsid w:val="00276AE9"/>
    <w:rsid w:val="002772EF"/>
    <w:rsid w:val="002774C4"/>
    <w:rsid w:val="00277610"/>
    <w:rsid w:val="00280B3D"/>
    <w:rsid w:val="00280B4D"/>
    <w:rsid w:val="00280BE2"/>
    <w:rsid w:val="002810EA"/>
    <w:rsid w:val="00282BDF"/>
    <w:rsid w:val="002834D9"/>
    <w:rsid w:val="002838B0"/>
    <w:rsid w:val="002839D1"/>
    <w:rsid w:val="00283D8B"/>
    <w:rsid w:val="00284050"/>
    <w:rsid w:val="0028422E"/>
    <w:rsid w:val="0028448F"/>
    <w:rsid w:val="00284D81"/>
    <w:rsid w:val="0028526D"/>
    <w:rsid w:val="002854E5"/>
    <w:rsid w:val="002855B5"/>
    <w:rsid w:val="0028574A"/>
    <w:rsid w:val="00285C8B"/>
    <w:rsid w:val="00286242"/>
    <w:rsid w:val="002863F6"/>
    <w:rsid w:val="00286B12"/>
    <w:rsid w:val="00286F75"/>
    <w:rsid w:val="0028703D"/>
    <w:rsid w:val="00287920"/>
    <w:rsid w:val="00287A1A"/>
    <w:rsid w:val="00287CB6"/>
    <w:rsid w:val="00290750"/>
    <w:rsid w:val="00290754"/>
    <w:rsid w:val="00290762"/>
    <w:rsid w:val="00290DF8"/>
    <w:rsid w:val="00291113"/>
    <w:rsid w:val="002914CB"/>
    <w:rsid w:val="00291CB2"/>
    <w:rsid w:val="00291CD5"/>
    <w:rsid w:val="00292036"/>
    <w:rsid w:val="0029245B"/>
    <w:rsid w:val="00292AE5"/>
    <w:rsid w:val="00292CB7"/>
    <w:rsid w:val="00292DF6"/>
    <w:rsid w:val="00293810"/>
    <w:rsid w:val="00293C45"/>
    <w:rsid w:val="0029415B"/>
    <w:rsid w:val="00294261"/>
    <w:rsid w:val="0029462F"/>
    <w:rsid w:val="00294902"/>
    <w:rsid w:val="00294A8B"/>
    <w:rsid w:val="00294B78"/>
    <w:rsid w:val="00294B94"/>
    <w:rsid w:val="00295725"/>
    <w:rsid w:val="002958D1"/>
    <w:rsid w:val="00295CF8"/>
    <w:rsid w:val="0029607D"/>
    <w:rsid w:val="00296173"/>
    <w:rsid w:val="00296A18"/>
    <w:rsid w:val="00296AAE"/>
    <w:rsid w:val="00296D1C"/>
    <w:rsid w:val="00296E51"/>
    <w:rsid w:val="00296F29"/>
    <w:rsid w:val="00297372"/>
    <w:rsid w:val="00297694"/>
    <w:rsid w:val="00297714"/>
    <w:rsid w:val="0029778F"/>
    <w:rsid w:val="002979D2"/>
    <w:rsid w:val="00297D4D"/>
    <w:rsid w:val="002A0166"/>
    <w:rsid w:val="002A01D8"/>
    <w:rsid w:val="002A0215"/>
    <w:rsid w:val="002A0827"/>
    <w:rsid w:val="002A08D5"/>
    <w:rsid w:val="002A0EEF"/>
    <w:rsid w:val="002A0F5D"/>
    <w:rsid w:val="002A1499"/>
    <w:rsid w:val="002A181D"/>
    <w:rsid w:val="002A19BF"/>
    <w:rsid w:val="002A1A01"/>
    <w:rsid w:val="002A1A9E"/>
    <w:rsid w:val="002A2542"/>
    <w:rsid w:val="002A2D90"/>
    <w:rsid w:val="002A2E0A"/>
    <w:rsid w:val="002A2EBB"/>
    <w:rsid w:val="002A3060"/>
    <w:rsid w:val="002A3159"/>
    <w:rsid w:val="002A371A"/>
    <w:rsid w:val="002A42BD"/>
    <w:rsid w:val="002A478F"/>
    <w:rsid w:val="002A479A"/>
    <w:rsid w:val="002A49CD"/>
    <w:rsid w:val="002A4A92"/>
    <w:rsid w:val="002A4AB4"/>
    <w:rsid w:val="002A4C4F"/>
    <w:rsid w:val="002A5201"/>
    <w:rsid w:val="002A59E1"/>
    <w:rsid w:val="002A5C54"/>
    <w:rsid w:val="002A5E34"/>
    <w:rsid w:val="002A5FDA"/>
    <w:rsid w:val="002A6257"/>
    <w:rsid w:val="002A65B5"/>
    <w:rsid w:val="002A6A0E"/>
    <w:rsid w:val="002A743C"/>
    <w:rsid w:val="002A756B"/>
    <w:rsid w:val="002A79E7"/>
    <w:rsid w:val="002A7C50"/>
    <w:rsid w:val="002B008D"/>
    <w:rsid w:val="002B04A0"/>
    <w:rsid w:val="002B1045"/>
    <w:rsid w:val="002B1322"/>
    <w:rsid w:val="002B164A"/>
    <w:rsid w:val="002B1733"/>
    <w:rsid w:val="002B264D"/>
    <w:rsid w:val="002B2743"/>
    <w:rsid w:val="002B2BF7"/>
    <w:rsid w:val="002B308F"/>
    <w:rsid w:val="002B309B"/>
    <w:rsid w:val="002B30D0"/>
    <w:rsid w:val="002B3180"/>
    <w:rsid w:val="002B321C"/>
    <w:rsid w:val="002B38D2"/>
    <w:rsid w:val="002B4BCA"/>
    <w:rsid w:val="002B576B"/>
    <w:rsid w:val="002B5A5F"/>
    <w:rsid w:val="002B5F2C"/>
    <w:rsid w:val="002B62FD"/>
    <w:rsid w:val="002B6573"/>
    <w:rsid w:val="002B664A"/>
    <w:rsid w:val="002B66AA"/>
    <w:rsid w:val="002B69D2"/>
    <w:rsid w:val="002B6BEB"/>
    <w:rsid w:val="002B6C0D"/>
    <w:rsid w:val="002B715E"/>
    <w:rsid w:val="002B71C1"/>
    <w:rsid w:val="002B7B07"/>
    <w:rsid w:val="002B7C8A"/>
    <w:rsid w:val="002B7EDD"/>
    <w:rsid w:val="002C00B7"/>
    <w:rsid w:val="002C0206"/>
    <w:rsid w:val="002C03E3"/>
    <w:rsid w:val="002C0533"/>
    <w:rsid w:val="002C063C"/>
    <w:rsid w:val="002C09E5"/>
    <w:rsid w:val="002C0B77"/>
    <w:rsid w:val="002C103B"/>
    <w:rsid w:val="002C15AA"/>
    <w:rsid w:val="002C17E7"/>
    <w:rsid w:val="002C1D0E"/>
    <w:rsid w:val="002C2030"/>
    <w:rsid w:val="002C2157"/>
    <w:rsid w:val="002C24B9"/>
    <w:rsid w:val="002C27FE"/>
    <w:rsid w:val="002C2904"/>
    <w:rsid w:val="002C2D20"/>
    <w:rsid w:val="002C3382"/>
    <w:rsid w:val="002C34A0"/>
    <w:rsid w:val="002C3AEB"/>
    <w:rsid w:val="002C3BC4"/>
    <w:rsid w:val="002C4726"/>
    <w:rsid w:val="002C48B0"/>
    <w:rsid w:val="002C4B8E"/>
    <w:rsid w:val="002C5043"/>
    <w:rsid w:val="002C515D"/>
    <w:rsid w:val="002C5277"/>
    <w:rsid w:val="002C531C"/>
    <w:rsid w:val="002C5712"/>
    <w:rsid w:val="002C57EF"/>
    <w:rsid w:val="002C5923"/>
    <w:rsid w:val="002C597D"/>
    <w:rsid w:val="002C61EA"/>
    <w:rsid w:val="002C6258"/>
    <w:rsid w:val="002C69AB"/>
    <w:rsid w:val="002C69B0"/>
    <w:rsid w:val="002C69FE"/>
    <w:rsid w:val="002C6AC6"/>
    <w:rsid w:val="002C79FA"/>
    <w:rsid w:val="002C7F0F"/>
    <w:rsid w:val="002D0350"/>
    <w:rsid w:val="002D0556"/>
    <w:rsid w:val="002D0C74"/>
    <w:rsid w:val="002D168B"/>
    <w:rsid w:val="002D1772"/>
    <w:rsid w:val="002D185A"/>
    <w:rsid w:val="002D1E16"/>
    <w:rsid w:val="002D1F41"/>
    <w:rsid w:val="002D2388"/>
    <w:rsid w:val="002D2580"/>
    <w:rsid w:val="002D2914"/>
    <w:rsid w:val="002D2924"/>
    <w:rsid w:val="002D2CE5"/>
    <w:rsid w:val="002D2E9F"/>
    <w:rsid w:val="002D37F6"/>
    <w:rsid w:val="002D3AE3"/>
    <w:rsid w:val="002D3BFF"/>
    <w:rsid w:val="002D43C5"/>
    <w:rsid w:val="002D443E"/>
    <w:rsid w:val="002D4803"/>
    <w:rsid w:val="002D4879"/>
    <w:rsid w:val="002D4A7D"/>
    <w:rsid w:val="002D5A25"/>
    <w:rsid w:val="002D5A9A"/>
    <w:rsid w:val="002D5B24"/>
    <w:rsid w:val="002D7742"/>
    <w:rsid w:val="002D79FE"/>
    <w:rsid w:val="002D7C89"/>
    <w:rsid w:val="002D7FBA"/>
    <w:rsid w:val="002D7FC1"/>
    <w:rsid w:val="002E01CF"/>
    <w:rsid w:val="002E01FF"/>
    <w:rsid w:val="002E04FA"/>
    <w:rsid w:val="002E0539"/>
    <w:rsid w:val="002E06A9"/>
    <w:rsid w:val="002E06E0"/>
    <w:rsid w:val="002E095B"/>
    <w:rsid w:val="002E0AC8"/>
    <w:rsid w:val="002E0C19"/>
    <w:rsid w:val="002E0CCE"/>
    <w:rsid w:val="002E0EC1"/>
    <w:rsid w:val="002E197E"/>
    <w:rsid w:val="002E210D"/>
    <w:rsid w:val="002E22AA"/>
    <w:rsid w:val="002E235C"/>
    <w:rsid w:val="002E2B67"/>
    <w:rsid w:val="002E2C93"/>
    <w:rsid w:val="002E2FA9"/>
    <w:rsid w:val="002E3596"/>
    <w:rsid w:val="002E367F"/>
    <w:rsid w:val="002E368F"/>
    <w:rsid w:val="002E3AAA"/>
    <w:rsid w:val="002E41A9"/>
    <w:rsid w:val="002E4491"/>
    <w:rsid w:val="002E465B"/>
    <w:rsid w:val="002E495E"/>
    <w:rsid w:val="002E4995"/>
    <w:rsid w:val="002E4A9A"/>
    <w:rsid w:val="002E523A"/>
    <w:rsid w:val="002E52E9"/>
    <w:rsid w:val="002E59C1"/>
    <w:rsid w:val="002E5E96"/>
    <w:rsid w:val="002E5F35"/>
    <w:rsid w:val="002E66A5"/>
    <w:rsid w:val="002E6713"/>
    <w:rsid w:val="002E6763"/>
    <w:rsid w:val="002E68BC"/>
    <w:rsid w:val="002E6E83"/>
    <w:rsid w:val="002E6EA5"/>
    <w:rsid w:val="002E77CB"/>
    <w:rsid w:val="002E782B"/>
    <w:rsid w:val="002E78E4"/>
    <w:rsid w:val="002E7A8A"/>
    <w:rsid w:val="002E7C7F"/>
    <w:rsid w:val="002E7DE5"/>
    <w:rsid w:val="002F01B9"/>
    <w:rsid w:val="002F03AF"/>
    <w:rsid w:val="002F07D6"/>
    <w:rsid w:val="002F0DE1"/>
    <w:rsid w:val="002F0ED4"/>
    <w:rsid w:val="002F0F16"/>
    <w:rsid w:val="002F1045"/>
    <w:rsid w:val="002F1103"/>
    <w:rsid w:val="002F13CD"/>
    <w:rsid w:val="002F14FE"/>
    <w:rsid w:val="002F1B7E"/>
    <w:rsid w:val="002F1D7B"/>
    <w:rsid w:val="002F278B"/>
    <w:rsid w:val="002F287A"/>
    <w:rsid w:val="002F2B68"/>
    <w:rsid w:val="002F2B98"/>
    <w:rsid w:val="002F2BBC"/>
    <w:rsid w:val="002F2C13"/>
    <w:rsid w:val="002F2C90"/>
    <w:rsid w:val="002F32B4"/>
    <w:rsid w:val="002F32F7"/>
    <w:rsid w:val="002F3314"/>
    <w:rsid w:val="002F40AA"/>
    <w:rsid w:val="002F414D"/>
    <w:rsid w:val="002F4368"/>
    <w:rsid w:val="002F447D"/>
    <w:rsid w:val="002F4492"/>
    <w:rsid w:val="002F44E8"/>
    <w:rsid w:val="002F4737"/>
    <w:rsid w:val="002F479A"/>
    <w:rsid w:val="002F47C9"/>
    <w:rsid w:val="002F48F3"/>
    <w:rsid w:val="002F49C4"/>
    <w:rsid w:val="002F4BB8"/>
    <w:rsid w:val="002F4CFA"/>
    <w:rsid w:val="002F521A"/>
    <w:rsid w:val="002F531D"/>
    <w:rsid w:val="002F55A5"/>
    <w:rsid w:val="002F5F7F"/>
    <w:rsid w:val="002F6043"/>
    <w:rsid w:val="002F6264"/>
    <w:rsid w:val="002F66B8"/>
    <w:rsid w:val="002F6AA7"/>
    <w:rsid w:val="002F6C2F"/>
    <w:rsid w:val="002F6D73"/>
    <w:rsid w:val="002F6DAF"/>
    <w:rsid w:val="002F6FEB"/>
    <w:rsid w:val="002F71A7"/>
    <w:rsid w:val="002F7407"/>
    <w:rsid w:val="002F7432"/>
    <w:rsid w:val="002F7723"/>
    <w:rsid w:val="002F777A"/>
    <w:rsid w:val="002F7880"/>
    <w:rsid w:val="002F78AE"/>
    <w:rsid w:val="002F7B93"/>
    <w:rsid w:val="003000D7"/>
    <w:rsid w:val="003000E1"/>
    <w:rsid w:val="00300220"/>
    <w:rsid w:val="003006FD"/>
    <w:rsid w:val="003008A2"/>
    <w:rsid w:val="00300CB1"/>
    <w:rsid w:val="00300CD1"/>
    <w:rsid w:val="00300CDC"/>
    <w:rsid w:val="00300E1D"/>
    <w:rsid w:val="00300F37"/>
    <w:rsid w:val="0030172F"/>
    <w:rsid w:val="00301E10"/>
    <w:rsid w:val="00302290"/>
    <w:rsid w:val="003028BC"/>
    <w:rsid w:val="0030295B"/>
    <w:rsid w:val="00302CDB"/>
    <w:rsid w:val="00302E65"/>
    <w:rsid w:val="003036CE"/>
    <w:rsid w:val="00304A54"/>
    <w:rsid w:val="00304BA4"/>
    <w:rsid w:val="00305020"/>
    <w:rsid w:val="003052F9"/>
    <w:rsid w:val="003057AB"/>
    <w:rsid w:val="00305B07"/>
    <w:rsid w:val="00305C64"/>
    <w:rsid w:val="00305C71"/>
    <w:rsid w:val="00305DA7"/>
    <w:rsid w:val="00306118"/>
    <w:rsid w:val="003062C7"/>
    <w:rsid w:val="00306323"/>
    <w:rsid w:val="00306540"/>
    <w:rsid w:val="0030655B"/>
    <w:rsid w:val="00306569"/>
    <w:rsid w:val="00306B65"/>
    <w:rsid w:val="00306CBD"/>
    <w:rsid w:val="00306FCC"/>
    <w:rsid w:val="00307B9C"/>
    <w:rsid w:val="00307E53"/>
    <w:rsid w:val="00310181"/>
    <w:rsid w:val="00310359"/>
    <w:rsid w:val="00310C15"/>
    <w:rsid w:val="00310C79"/>
    <w:rsid w:val="00310F5A"/>
    <w:rsid w:val="003128A5"/>
    <w:rsid w:val="00312A29"/>
    <w:rsid w:val="00312BEE"/>
    <w:rsid w:val="00312E65"/>
    <w:rsid w:val="003130B7"/>
    <w:rsid w:val="003130F9"/>
    <w:rsid w:val="0031370B"/>
    <w:rsid w:val="00313ABD"/>
    <w:rsid w:val="00313E7F"/>
    <w:rsid w:val="00313EB7"/>
    <w:rsid w:val="0031406A"/>
    <w:rsid w:val="0031411F"/>
    <w:rsid w:val="003144BA"/>
    <w:rsid w:val="00314609"/>
    <w:rsid w:val="00314676"/>
    <w:rsid w:val="00314700"/>
    <w:rsid w:val="00314EFC"/>
    <w:rsid w:val="00315572"/>
    <w:rsid w:val="0031674B"/>
    <w:rsid w:val="00316947"/>
    <w:rsid w:val="00316ED9"/>
    <w:rsid w:val="0031707B"/>
    <w:rsid w:val="003177D7"/>
    <w:rsid w:val="00317993"/>
    <w:rsid w:val="00317DC0"/>
    <w:rsid w:val="00317E2C"/>
    <w:rsid w:val="00320292"/>
    <w:rsid w:val="0032050B"/>
    <w:rsid w:val="00320732"/>
    <w:rsid w:val="003209B9"/>
    <w:rsid w:val="0032112B"/>
    <w:rsid w:val="00321489"/>
    <w:rsid w:val="00321FAC"/>
    <w:rsid w:val="003222CB"/>
    <w:rsid w:val="00322588"/>
    <w:rsid w:val="00322AAD"/>
    <w:rsid w:val="00322FAE"/>
    <w:rsid w:val="003230A3"/>
    <w:rsid w:val="00323100"/>
    <w:rsid w:val="0032388F"/>
    <w:rsid w:val="00323A81"/>
    <w:rsid w:val="00323D07"/>
    <w:rsid w:val="003240F0"/>
    <w:rsid w:val="0032438E"/>
    <w:rsid w:val="00324F60"/>
    <w:rsid w:val="003254E1"/>
    <w:rsid w:val="0032596F"/>
    <w:rsid w:val="00325975"/>
    <w:rsid w:val="00325F7D"/>
    <w:rsid w:val="00326324"/>
    <w:rsid w:val="003264CF"/>
    <w:rsid w:val="003269A7"/>
    <w:rsid w:val="00327D01"/>
    <w:rsid w:val="00327E0E"/>
    <w:rsid w:val="00330523"/>
    <w:rsid w:val="003308CC"/>
    <w:rsid w:val="00331258"/>
    <w:rsid w:val="00331427"/>
    <w:rsid w:val="00331934"/>
    <w:rsid w:val="00331A26"/>
    <w:rsid w:val="00331DD0"/>
    <w:rsid w:val="0033203C"/>
    <w:rsid w:val="00332085"/>
    <w:rsid w:val="00332380"/>
    <w:rsid w:val="00332E16"/>
    <w:rsid w:val="00333DA5"/>
    <w:rsid w:val="0033415F"/>
    <w:rsid w:val="00334424"/>
    <w:rsid w:val="0033458C"/>
    <w:rsid w:val="003348F2"/>
    <w:rsid w:val="00335718"/>
    <w:rsid w:val="003357E3"/>
    <w:rsid w:val="0033585F"/>
    <w:rsid w:val="0033600D"/>
    <w:rsid w:val="0033658F"/>
    <w:rsid w:val="00336987"/>
    <w:rsid w:val="00336D35"/>
    <w:rsid w:val="00337559"/>
    <w:rsid w:val="00337EFB"/>
    <w:rsid w:val="00337F36"/>
    <w:rsid w:val="00340117"/>
    <w:rsid w:val="0034052C"/>
    <w:rsid w:val="003405B3"/>
    <w:rsid w:val="00340766"/>
    <w:rsid w:val="003414E1"/>
    <w:rsid w:val="00341A65"/>
    <w:rsid w:val="00341DEE"/>
    <w:rsid w:val="00342278"/>
    <w:rsid w:val="00342EEA"/>
    <w:rsid w:val="00342F4F"/>
    <w:rsid w:val="00343129"/>
    <w:rsid w:val="003431F5"/>
    <w:rsid w:val="00343632"/>
    <w:rsid w:val="003437E3"/>
    <w:rsid w:val="0034383D"/>
    <w:rsid w:val="003438D1"/>
    <w:rsid w:val="00343C20"/>
    <w:rsid w:val="00343DB4"/>
    <w:rsid w:val="00343ED8"/>
    <w:rsid w:val="003446D8"/>
    <w:rsid w:val="003447BA"/>
    <w:rsid w:val="003449C0"/>
    <w:rsid w:val="00344FC7"/>
    <w:rsid w:val="0034507E"/>
    <w:rsid w:val="0034525A"/>
    <w:rsid w:val="00345396"/>
    <w:rsid w:val="0034592C"/>
    <w:rsid w:val="00345AE4"/>
    <w:rsid w:val="00345D12"/>
    <w:rsid w:val="00345D90"/>
    <w:rsid w:val="00345FE4"/>
    <w:rsid w:val="00346A75"/>
    <w:rsid w:val="00346AE1"/>
    <w:rsid w:val="00346BB2"/>
    <w:rsid w:val="00346D6C"/>
    <w:rsid w:val="0034743F"/>
    <w:rsid w:val="0034769A"/>
    <w:rsid w:val="00347BA3"/>
    <w:rsid w:val="003501CD"/>
    <w:rsid w:val="00350938"/>
    <w:rsid w:val="00350C35"/>
    <w:rsid w:val="00351096"/>
    <w:rsid w:val="0035135A"/>
    <w:rsid w:val="0035143B"/>
    <w:rsid w:val="0035146C"/>
    <w:rsid w:val="00351F0D"/>
    <w:rsid w:val="003521FB"/>
    <w:rsid w:val="003522EC"/>
    <w:rsid w:val="0035255F"/>
    <w:rsid w:val="00352755"/>
    <w:rsid w:val="00352AA7"/>
    <w:rsid w:val="00352B21"/>
    <w:rsid w:val="00352C4C"/>
    <w:rsid w:val="00352D57"/>
    <w:rsid w:val="00353382"/>
    <w:rsid w:val="003535E0"/>
    <w:rsid w:val="00353BA3"/>
    <w:rsid w:val="00354155"/>
    <w:rsid w:val="0035424A"/>
    <w:rsid w:val="0035430E"/>
    <w:rsid w:val="003544EF"/>
    <w:rsid w:val="003550D9"/>
    <w:rsid w:val="00355280"/>
    <w:rsid w:val="0035573F"/>
    <w:rsid w:val="003559C0"/>
    <w:rsid w:val="00355D09"/>
    <w:rsid w:val="00355D3E"/>
    <w:rsid w:val="00355F2C"/>
    <w:rsid w:val="00356106"/>
    <w:rsid w:val="0035611D"/>
    <w:rsid w:val="003564AE"/>
    <w:rsid w:val="00356714"/>
    <w:rsid w:val="00356744"/>
    <w:rsid w:val="00356764"/>
    <w:rsid w:val="00356953"/>
    <w:rsid w:val="00356CE9"/>
    <w:rsid w:val="00357060"/>
    <w:rsid w:val="00357449"/>
    <w:rsid w:val="0035745E"/>
    <w:rsid w:val="00357800"/>
    <w:rsid w:val="00357FD2"/>
    <w:rsid w:val="003600F8"/>
    <w:rsid w:val="00360CF0"/>
    <w:rsid w:val="00360CFA"/>
    <w:rsid w:val="00360D1A"/>
    <w:rsid w:val="00360D61"/>
    <w:rsid w:val="00361102"/>
    <w:rsid w:val="00361318"/>
    <w:rsid w:val="003616C8"/>
    <w:rsid w:val="00361A28"/>
    <w:rsid w:val="00361E8B"/>
    <w:rsid w:val="00362123"/>
    <w:rsid w:val="00362186"/>
    <w:rsid w:val="00362301"/>
    <w:rsid w:val="0036253C"/>
    <w:rsid w:val="0036277D"/>
    <w:rsid w:val="00362A9B"/>
    <w:rsid w:val="00363340"/>
    <w:rsid w:val="003633B5"/>
    <w:rsid w:val="0036395E"/>
    <w:rsid w:val="00363D22"/>
    <w:rsid w:val="00364063"/>
    <w:rsid w:val="003642C7"/>
    <w:rsid w:val="00364363"/>
    <w:rsid w:val="0036450D"/>
    <w:rsid w:val="003646FE"/>
    <w:rsid w:val="0036495F"/>
    <w:rsid w:val="00364ECE"/>
    <w:rsid w:val="003653C4"/>
    <w:rsid w:val="00365F3B"/>
    <w:rsid w:val="003665A7"/>
    <w:rsid w:val="003669AC"/>
    <w:rsid w:val="00366B3F"/>
    <w:rsid w:val="00367609"/>
    <w:rsid w:val="003678AC"/>
    <w:rsid w:val="003678D8"/>
    <w:rsid w:val="00367968"/>
    <w:rsid w:val="0037024F"/>
    <w:rsid w:val="0037063D"/>
    <w:rsid w:val="00370C76"/>
    <w:rsid w:val="00371128"/>
    <w:rsid w:val="003718DB"/>
    <w:rsid w:val="0037226E"/>
    <w:rsid w:val="00372894"/>
    <w:rsid w:val="00372BF4"/>
    <w:rsid w:val="00372D74"/>
    <w:rsid w:val="00372DAE"/>
    <w:rsid w:val="00372F83"/>
    <w:rsid w:val="0037314E"/>
    <w:rsid w:val="00373397"/>
    <w:rsid w:val="0037364F"/>
    <w:rsid w:val="00373738"/>
    <w:rsid w:val="00373BBE"/>
    <w:rsid w:val="00373D93"/>
    <w:rsid w:val="00373DBE"/>
    <w:rsid w:val="003743A3"/>
    <w:rsid w:val="00374457"/>
    <w:rsid w:val="00374684"/>
    <w:rsid w:val="00374B47"/>
    <w:rsid w:val="00374C4B"/>
    <w:rsid w:val="00374F6D"/>
    <w:rsid w:val="003757D8"/>
    <w:rsid w:val="00375B73"/>
    <w:rsid w:val="00375ED1"/>
    <w:rsid w:val="00375F4B"/>
    <w:rsid w:val="00376937"/>
    <w:rsid w:val="003775A7"/>
    <w:rsid w:val="0037786B"/>
    <w:rsid w:val="00377AAA"/>
    <w:rsid w:val="00377D7D"/>
    <w:rsid w:val="0038039F"/>
    <w:rsid w:val="0038040D"/>
    <w:rsid w:val="003804EC"/>
    <w:rsid w:val="0038099C"/>
    <w:rsid w:val="0038102B"/>
    <w:rsid w:val="003816F9"/>
    <w:rsid w:val="00381AE6"/>
    <w:rsid w:val="00381E2D"/>
    <w:rsid w:val="0038269B"/>
    <w:rsid w:val="00382D16"/>
    <w:rsid w:val="00382EFD"/>
    <w:rsid w:val="003831D9"/>
    <w:rsid w:val="003832DF"/>
    <w:rsid w:val="0038338E"/>
    <w:rsid w:val="00383A66"/>
    <w:rsid w:val="00384257"/>
    <w:rsid w:val="003846DB"/>
    <w:rsid w:val="0038481F"/>
    <w:rsid w:val="003852B8"/>
    <w:rsid w:val="003858D4"/>
    <w:rsid w:val="00385D1E"/>
    <w:rsid w:val="00385DCE"/>
    <w:rsid w:val="003860B9"/>
    <w:rsid w:val="003860EB"/>
    <w:rsid w:val="0038611B"/>
    <w:rsid w:val="00386391"/>
    <w:rsid w:val="0038659C"/>
    <w:rsid w:val="00386771"/>
    <w:rsid w:val="003868D9"/>
    <w:rsid w:val="00386A98"/>
    <w:rsid w:val="00386C37"/>
    <w:rsid w:val="00386C97"/>
    <w:rsid w:val="00387087"/>
    <w:rsid w:val="0038718D"/>
    <w:rsid w:val="003875FA"/>
    <w:rsid w:val="00387832"/>
    <w:rsid w:val="00387B5E"/>
    <w:rsid w:val="00387F03"/>
    <w:rsid w:val="00390143"/>
    <w:rsid w:val="0039014E"/>
    <w:rsid w:val="0039057F"/>
    <w:rsid w:val="003905D3"/>
    <w:rsid w:val="0039069F"/>
    <w:rsid w:val="0039079A"/>
    <w:rsid w:val="00390C36"/>
    <w:rsid w:val="00390EB9"/>
    <w:rsid w:val="00391080"/>
    <w:rsid w:val="003912F9"/>
    <w:rsid w:val="00391764"/>
    <w:rsid w:val="00391930"/>
    <w:rsid w:val="00391E19"/>
    <w:rsid w:val="00392238"/>
    <w:rsid w:val="00392E86"/>
    <w:rsid w:val="00393B4D"/>
    <w:rsid w:val="00393C4B"/>
    <w:rsid w:val="00394502"/>
    <w:rsid w:val="0039463A"/>
    <w:rsid w:val="00394711"/>
    <w:rsid w:val="003948BF"/>
    <w:rsid w:val="0039495D"/>
    <w:rsid w:val="00394AD0"/>
    <w:rsid w:val="003950FA"/>
    <w:rsid w:val="0039524F"/>
    <w:rsid w:val="00395811"/>
    <w:rsid w:val="003958E0"/>
    <w:rsid w:val="00395973"/>
    <w:rsid w:val="00395D2C"/>
    <w:rsid w:val="00395D35"/>
    <w:rsid w:val="00395E79"/>
    <w:rsid w:val="00396207"/>
    <w:rsid w:val="00396698"/>
    <w:rsid w:val="003967A7"/>
    <w:rsid w:val="00396A56"/>
    <w:rsid w:val="0039704E"/>
    <w:rsid w:val="00397316"/>
    <w:rsid w:val="0039732A"/>
    <w:rsid w:val="003977D4"/>
    <w:rsid w:val="00397821"/>
    <w:rsid w:val="003A04C0"/>
    <w:rsid w:val="003A07C8"/>
    <w:rsid w:val="003A084E"/>
    <w:rsid w:val="003A0F35"/>
    <w:rsid w:val="003A160A"/>
    <w:rsid w:val="003A1EA0"/>
    <w:rsid w:val="003A217D"/>
    <w:rsid w:val="003A2669"/>
    <w:rsid w:val="003A2B14"/>
    <w:rsid w:val="003A2D30"/>
    <w:rsid w:val="003A2D9C"/>
    <w:rsid w:val="003A30B2"/>
    <w:rsid w:val="003A311D"/>
    <w:rsid w:val="003A3329"/>
    <w:rsid w:val="003A384C"/>
    <w:rsid w:val="003A3991"/>
    <w:rsid w:val="003A3B54"/>
    <w:rsid w:val="003A3E41"/>
    <w:rsid w:val="003A3E8F"/>
    <w:rsid w:val="003A40E0"/>
    <w:rsid w:val="003A41C6"/>
    <w:rsid w:val="003A429E"/>
    <w:rsid w:val="003A42A7"/>
    <w:rsid w:val="003A4455"/>
    <w:rsid w:val="003A44E7"/>
    <w:rsid w:val="003A4809"/>
    <w:rsid w:val="003A51A7"/>
    <w:rsid w:val="003A545A"/>
    <w:rsid w:val="003A590C"/>
    <w:rsid w:val="003A5A6C"/>
    <w:rsid w:val="003A5C10"/>
    <w:rsid w:val="003A5C65"/>
    <w:rsid w:val="003A6006"/>
    <w:rsid w:val="003A604C"/>
    <w:rsid w:val="003A617B"/>
    <w:rsid w:val="003A63B9"/>
    <w:rsid w:val="003A6626"/>
    <w:rsid w:val="003A7388"/>
    <w:rsid w:val="003A7DCC"/>
    <w:rsid w:val="003B03B0"/>
    <w:rsid w:val="003B066C"/>
    <w:rsid w:val="003B0DDD"/>
    <w:rsid w:val="003B14CE"/>
    <w:rsid w:val="003B1A5F"/>
    <w:rsid w:val="003B1C3A"/>
    <w:rsid w:val="003B1D60"/>
    <w:rsid w:val="003B1EA4"/>
    <w:rsid w:val="003B20B9"/>
    <w:rsid w:val="003B22DD"/>
    <w:rsid w:val="003B294D"/>
    <w:rsid w:val="003B2AB0"/>
    <w:rsid w:val="003B2B2F"/>
    <w:rsid w:val="003B3612"/>
    <w:rsid w:val="003B3728"/>
    <w:rsid w:val="003B39BF"/>
    <w:rsid w:val="003B479D"/>
    <w:rsid w:val="003B4C61"/>
    <w:rsid w:val="003B4E96"/>
    <w:rsid w:val="003B5109"/>
    <w:rsid w:val="003B5590"/>
    <w:rsid w:val="003B5B2D"/>
    <w:rsid w:val="003B5E58"/>
    <w:rsid w:val="003B5E6D"/>
    <w:rsid w:val="003B5E7F"/>
    <w:rsid w:val="003B5EEA"/>
    <w:rsid w:val="003B6002"/>
    <w:rsid w:val="003B6B8A"/>
    <w:rsid w:val="003B7205"/>
    <w:rsid w:val="003B76D7"/>
    <w:rsid w:val="003B770B"/>
    <w:rsid w:val="003B7769"/>
    <w:rsid w:val="003B7860"/>
    <w:rsid w:val="003B78D2"/>
    <w:rsid w:val="003B790E"/>
    <w:rsid w:val="003B797C"/>
    <w:rsid w:val="003B7BB9"/>
    <w:rsid w:val="003C0465"/>
    <w:rsid w:val="003C0733"/>
    <w:rsid w:val="003C0CF1"/>
    <w:rsid w:val="003C1202"/>
    <w:rsid w:val="003C193B"/>
    <w:rsid w:val="003C1C5E"/>
    <w:rsid w:val="003C1DF0"/>
    <w:rsid w:val="003C1E26"/>
    <w:rsid w:val="003C1FF6"/>
    <w:rsid w:val="003C245C"/>
    <w:rsid w:val="003C2748"/>
    <w:rsid w:val="003C291A"/>
    <w:rsid w:val="003C2A0A"/>
    <w:rsid w:val="003C2D8E"/>
    <w:rsid w:val="003C3680"/>
    <w:rsid w:val="003C3A6D"/>
    <w:rsid w:val="003C3DC0"/>
    <w:rsid w:val="003C3E67"/>
    <w:rsid w:val="003C4B57"/>
    <w:rsid w:val="003C4C59"/>
    <w:rsid w:val="003C5751"/>
    <w:rsid w:val="003C57F3"/>
    <w:rsid w:val="003C58E4"/>
    <w:rsid w:val="003C5F40"/>
    <w:rsid w:val="003C60EE"/>
    <w:rsid w:val="003C60FB"/>
    <w:rsid w:val="003C61D0"/>
    <w:rsid w:val="003C6803"/>
    <w:rsid w:val="003C6887"/>
    <w:rsid w:val="003C6A90"/>
    <w:rsid w:val="003C7793"/>
    <w:rsid w:val="003C7969"/>
    <w:rsid w:val="003C7B59"/>
    <w:rsid w:val="003D0067"/>
    <w:rsid w:val="003D0597"/>
    <w:rsid w:val="003D0DFD"/>
    <w:rsid w:val="003D0E6E"/>
    <w:rsid w:val="003D101C"/>
    <w:rsid w:val="003D1050"/>
    <w:rsid w:val="003D1CE9"/>
    <w:rsid w:val="003D202B"/>
    <w:rsid w:val="003D209F"/>
    <w:rsid w:val="003D217A"/>
    <w:rsid w:val="003D21AC"/>
    <w:rsid w:val="003D25FD"/>
    <w:rsid w:val="003D26B7"/>
    <w:rsid w:val="003D27D4"/>
    <w:rsid w:val="003D27DB"/>
    <w:rsid w:val="003D2A0E"/>
    <w:rsid w:val="003D2A3A"/>
    <w:rsid w:val="003D2F5D"/>
    <w:rsid w:val="003D341A"/>
    <w:rsid w:val="003D34BD"/>
    <w:rsid w:val="003D363A"/>
    <w:rsid w:val="003D36B0"/>
    <w:rsid w:val="003D3959"/>
    <w:rsid w:val="003D3DAF"/>
    <w:rsid w:val="003D3EDC"/>
    <w:rsid w:val="003D42DE"/>
    <w:rsid w:val="003D43E6"/>
    <w:rsid w:val="003D447C"/>
    <w:rsid w:val="003D45F2"/>
    <w:rsid w:val="003D4674"/>
    <w:rsid w:val="003D4F0C"/>
    <w:rsid w:val="003D4FA3"/>
    <w:rsid w:val="003D51E5"/>
    <w:rsid w:val="003D52FA"/>
    <w:rsid w:val="003D53D2"/>
    <w:rsid w:val="003D5498"/>
    <w:rsid w:val="003D5504"/>
    <w:rsid w:val="003D5AED"/>
    <w:rsid w:val="003D5CB3"/>
    <w:rsid w:val="003D5F54"/>
    <w:rsid w:val="003D60E2"/>
    <w:rsid w:val="003D62B9"/>
    <w:rsid w:val="003D6813"/>
    <w:rsid w:val="003D6A52"/>
    <w:rsid w:val="003D6B88"/>
    <w:rsid w:val="003D707A"/>
    <w:rsid w:val="003D7327"/>
    <w:rsid w:val="003D739F"/>
    <w:rsid w:val="003D7C7C"/>
    <w:rsid w:val="003E00AE"/>
    <w:rsid w:val="003E00F2"/>
    <w:rsid w:val="003E04AA"/>
    <w:rsid w:val="003E055E"/>
    <w:rsid w:val="003E06E6"/>
    <w:rsid w:val="003E09D3"/>
    <w:rsid w:val="003E0D8C"/>
    <w:rsid w:val="003E13BB"/>
    <w:rsid w:val="003E162D"/>
    <w:rsid w:val="003E1BF3"/>
    <w:rsid w:val="003E1CD4"/>
    <w:rsid w:val="003E1E87"/>
    <w:rsid w:val="003E205A"/>
    <w:rsid w:val="003E2178"/>
    <w:rsid w:val="003E2707"/>
    <w:rsid w:val="003E281C"/>
    <w:rsid w:val="003E2DBF"/>
    <w:rsid w:val="003E38EC"/>
    <w:rsid w:val="003E3B7A"/>
    <w:rsid w:val="003E3BD3"/>
    <w:rsid w:val="003E3DE6"/>
    <w:rsid w:val="003E3F6D"/>
    <w:rsid w:val="003E3F9C"/>
    <w:rsid w:val="003E40AF"/>
    <w:rsid w:val="003E4183"/>
    <w:rsid w:val="003E454F"/>
    <w:rsid w:val="003E49AE"/>
    <w:rsid w:val="003E4A37"/>
    <w:rsid w:val="003E4AFF"/>
    <w:rsid w:val="003E4B3E"/>
    <w:rsid w:val="003E4DE2"/>
    <w:rsid w:val="003E511D"/>
    <w:rsid w:val="003E5775"/>
    <w:rsid w:val="003E5F95"/>
    <w:rsid w:val="003E6013"/>
    <w:rsid w:val="003E60BB"/>
    <w:rsid w:val="003E6605"/>
    <w:rsid w:val="003E68F6"/>
    <w:rsid w:val="003E6999"/>
    <w:rsid w:val="003E6B01"/>
    <w:rsid w:val="003E6C86"/>
    <w:rsid w:val="003E725D"/>
    <w:rsid w:val="003E738E"/>
    <w:rsid w:val="003E74A2"/>
    <w:rsid w:val="003E7E42"/>
    <w:rsid w:val="003F004A"/>
    <w:rsid w:val="003F0170"/>
    <w:rsid w:val="003F01A0"/>
    <w:rsid w:val="003F0294"/>
    <w:rsid w:val="003F0312"/>
    <w:rsid w:val="003F08E3"/>
    <w:rsid w:val="003F0D6B"/>
    <w:rsid w:val="003F0FA2"/>
    <w:rsid w:val="003F1421"/>
    <w:rsid w:val="003F1BE1"/>
    <w:rsid w:val="003F1D56"/>
    <w:rsid w:val="003F1D62"/>
    <w:rsid w:val="003F1D9D"/>
    <w:rsid w:val="003F1E89"/>
    <w:rsid w:val="003F23EC"/>
    <w:rsid w:val="003F28CA"/>
    <w:rsid w:val="003F28FA"/>
    <w:rsid w:val="003F2C48"/>
    <w:rsid w:val="003F3322"/>
    <w:rsid w:val="003F3456"/>
    <w:rsid w:val="003F3684"/>
    <w:rsid w:val="003F3749"/>
    <w:rsid w:val="003F3C41"/>
    <w:rsid w:val="003F3C5D"/>
    <w:rsid w:val="003F3D05"/>
    <w:rsid w:val="003F3F1B"/>
    <w:rsid w:val="003F4145"/>
    <w:rsid w:val="003F41AE"/>
    <w:rsid w:val="003F41D9"/>
    <w:rsid w:val="003F447F"/>
    <w:rsid w:val="003F4864"/>
    <w:rsid w:val="003F4C9A"/>
    <w:rsid w:val="003F4ED6"/>
    <w:rsid w:val="003F4F24"/>
    <w:rsid w:val="003F5005"/>
    <w:rsid w:val="003F510F"/>
    <w:rsid w:val="003F56FC"/>
    <w:rsid w:val="003F5B8C"/>
    <w:rsid w:val="003F5DEA"/>
    <w:rsid w:val="003F5F11"/>
    <w:rsid w:val="003F69FE"/>
    <w:rsid w:val="003F6BD6"/>
    <w:rsid w:val="003F6C6F"/>
    <w:rsid w:val="003F6C98"/>
    <w:rsid w:val="003F6F7E"/>
    <w:rsid w:val="003F775B"/>
    <w:rsid w:val="003F7D75"/>
    <w:rsid w:val="003F7F72"/>
    <w:rsid w:val="00400D13"/>
    <w:rsid w:val="0040141D"/>
    <w:rsid w:val="004014C1"/>
    <w:rsid w:val="004015F8"/>
    <w:rsid w:val="0040171A"/>
    <w:rsid w:val="00401DF3"/>
    <w:rsid w:val="00402041"/>
    <w:rsid w:val="00402060"/>
    <w:rsid w:val="004023CF"/>
    <w:rsid w:val="00402427"/>
    <w:rsid w:val="004025FD"/>
    <w:rsid w:val="00402B9D"/>
    <w:rsid w:val="00403182"/>
    <w:rsid w:val="00403990"/>
    <w:rsid w:val="00403C5F"/>
    <w:rsid w:val="004040A0"/>
    <w:rsid w:val="004041A5"/>
    <w:rsid w:val="00404218"/>
    <w:rsid w:val="00404775"/>
    <w:rsid w:val="00404A9C"/>
    <w:rsid w:val="00404F50"/>
    <w:rsid w:val="004055B3"/>
    <w:rsid w:val="0040577C"/>
    <w:rsid w:val="00405A71"/>
    <w:rsid w:val="00405EC6"/>
    <w:rsid w:val="0040604F"/>
    <w:rsid w:val="004060CD"/>
    <w:rsid w:val="00406105"/>
    <w:rsid w:val="004061F8"/>
    <w:rsid w:val="00406690"/>
    <w:rsid w:val="0040683C"/>
    <w:rsid w:val="004069D8"/>
    <w:rsid w:val="00407247"/>
    <w:rsid w:val="0040763C"/>
    <w:rsid w:val="004079D4"/>
    <w:rsid w:val="00407B68"/>
    <w:rsid w:val="00407CF6"/>
    <w:rsid w:val="004101CF"/>
    <w:rsid w:val="004102C1"/>
    <w:rsid w:val="0041051C"/>
    <w:rsid w:val="00410687"/>
    <w:rsid w:val="00410964"/>
    <w:rsid w:val="00410B3E"/>
    <w:rsid w:val="00410B8B"/>
    <w:rsid w:val="00410B8C"/>
    <w:rsid w:val="00411317"/>
    <w:rsid w:val="00411424"/>
    <w:rsid w:val="0041163C"/>
    <w:rsid w:val="0041190D"/>
    <w:rsid w:val="00411C9E"/>
    <w:rsid w:val="00411D80"/>
    <w:rsid w:val="00411FF5"/>
    <w:rsid w:val="00412A09"/>
    <w:rsid w:val="0041352B"/>
    <w:rsid w:val="0041375B"/>
    <w:rsid w:val="00413C53"/>
    <w:rsid w:val="00413D5C"/>
    <w:rsid w:val="00414231"/>
    <w:rsid w:val="00414289"/>
    <w:rsid w:val="0041462A"/>
    <w:rsid w:val="00414A49"/>
    <w:rsid w:val="00415336"/>
    <w:rsid w:val="004154CC"/>
    <w:rsid w:val="00415621"/>
    <w:rsid w:val="0041563C"/>
    <w:rsid w:val="004156D7"/>
    <w:rsid w:val="004157D1"/>
    <w:rsid w:val="00415B69"/>
    <w:rsid w:val="00415E9C"/>
    <w:rsid w:val="004162E4"/>
    <w:rsid w:val="004164F3"/>
    <w:rsid w:val="004168C8"/>
    <w:rsid w:val="00416D10"/>
    <w:rsid w:val="00416D1E"/>
    <w:rsid w:val="004172CE"/>
    <w:rsid w:val="00417748"/>
    <w:rsid w:val="00417763"/>
    <w:rsid w:val="00417A0D"/>
    <w:rsid w:val="00417BDB"/>
    <w:rsid w:val="00417F0B"/>
    <w:rsid w:val="0042050F"/>
    <w:rsid w:val="0042072D"/>
    <w:rsid w:val="004208A5"/>
    <w:rsid w:val="00420A10"/>
    <w:rsid w:val="00420CD5"/>
    <w:rsid w:val="00421530"/>
    <w:rsid w:val="00421A1F"/>
    <w:rsid w:val="00421A90"/>
    <w:rsid w:val="00421DB5"/>
    <w:rsid w:val="00422096"/>
    <w:rsid w:val="00422A4F"/>
    <w:rsid w:val="00422B0C"/>
    <w:rsid w:val="00422FBC"/>
    <w:rsid w:val="00423249"/>
    <w:rsid w:val="00423999"/>
    <w:rsid w:val="00423C02"/>
    <w:rsid w:val="004242BF"/>
    <w:rsid w:val="004248F9"/>
    <w:rsid w:val="00424993"/>
    <w:rsid w:val="00424C06"/>
    <w:rsid w:val="00424ED3"/>
    <w:rsid w:val="00424FB7"/>
    <w:rsid w:val="00425099"/>
    <w:rsid w:val="004255CF"/>
    <w:rsid w:val="004256F2"/>
    <w:rsid w:val="00425766"/>
    <w:rsid w:val="0042596B"/>
    <w:rsid w:val="00425B0A"/>
    <w:rsid w:val="00425DD7"/>
    <w:rsid w:val="00426052"/>
    <w:rsid w:val="00426071"/>
    <w:rsid w:val="004262CB"/>
    <w:rsid w:val="00426B5E"/>
    <w:rsid w:val="00426E4A"/>
    <w:rsid w:val="00427066"/>
    <w:rsid w:val="0042718F"/>
    <w:rsid w:val="00427197"/>
    <w:rsid w:val="0042742A"/>
    <w:rsid w:val="00427449"/>
    <w:rsid w:val="004274AA"/>
    <w:rsid w:val="00427935"/>
    <w:rsid w:val="00427A25"/>
    <w:rsid w:val="004306B4"/>
    <w:rsid w:val="004309AD"/>
    <w:rsid w:val="00430B15"/>
    <w:rsid w:val="004313A0"/>
    <w:rsid w:val="004314E4"/>
    <w:rsid w:val="00431672"/>
    <w:rsid w:val="0043169E"/>
    <w:rsid w:val="004318E0"/>
    <w:rsid w:val="004319F3"/>
    <w:rsid w:val="00431AD8"/>
    <w:rsid w:val="00431CB6"/>
    <w:rsid w:val="00432815"/>
    <w:rsid w:val="00432B6E"/>
    <w:rsid w:val="00432D8E"/>
    <w:rsid w:val="00433046"/>
    <w:rsid w:val="0043307C"/>
    <w:rsid w:val="004334BE"/>
    <w:rsid w:val="004336EE"/>
    <w:rsid w:val="00433F32"/>
    <w:rsid w:val="00434033"/>
    <w:rsid w:val="00434561"/>
    <w:rsid w:val="0043486B"/>
    <w:rsid w:val="00434CF2"/>
    <w:rsid w:val="00434D78"/>
    <w:rsid w:val="00434E21"/>
    <w:rsid w:val="00435881"/>
    <w:rsid w:val="00435B71"/>
    <w:rsid w:val="00435B7A"/>
    <w:rsid w:val="00435FB4"/>
    <w:rsid w:val="0043641A"/>
    <w:rsid w:val="004366E6"/>
    <w:rsid w:val="00436965"/>
    <w:rsid w:val="00436C59"/>
    <w:rsid w:val="00436D18"/>
    <w:rsid w:val="00436EBF"/>
    <w:rsid w:val="004373AB"/>
    <w:rsid w:val="00437CF3"/>
    <w:rsid w:val="0043D11D"/>
    <w:rsid w:val="004400FA"/>
    <w:rsid w:val="00440280"/>
    <w:rsid w:val="004405CE"/>
    <w:rsid w:val="00440708"/>
    <w:rsid w:val="004407D6"/>
    <w:rsid w:val="00440840"/>
    <w:rsid w:val="00440EFD"/>
    <w:rsid w:val="0044199D"/>
    <w:rsid w:val="004419B0"/>
    <w:rsid w:val="00442322"/>
    <w:rsid w:val="004425C8"/>
    <w:rsid w:val="004425F0"/>
    <w:rsid w:val="00442DE9"/>
    <w:rsid w:val="00442EAC"/>
    <w:rsid w:val="00443501"/>
    <w:rsid w:val="00443A5E"/>
    <w:rsid w:val="004444A5"/>
    <w:rsid w:val="004444C1"/>
    <w:rsid w:val="00444A82"/>
    <w:rsid w:val="00444A92"/>
    <w:rsid w:val="00444C2C"/>
    <w:rsid w:val="00444C89"/>
    <w:rsid w:val="00444FD8"/>
    <w:rsid w:val="0044521C"/>
    <w:rsid w:val="00445632"/>
    <w:rsid w:val="0044589D"/>
    <w:rsid w:val="00445C7F"/>
    <w:rsid w:val="00445E2E"/>
    <w:rsid w:val="00445E79"/>
    <w:rsid w:val="00446849"/>
    <w:rsid w:val="00446F6F"/>
    <w:rsid w:val="00447014"/>
    <w:rsid w:val="00447705"/>
    <w:rsid w:val="00447A45"/>
    <w:rsid w:val="00447BE6"/>
    <w:rsid w:val="004502C0"/>
    <w:rsid w:val="004505B6"/>
    <w:rsid w:val="0045062C"/>
    <w:rsid w:val="004507BE"/>
    <w:rsid w:val="00450BC0"/>
    <w:rsid w:val="00451224"/>
    <w:rsid w:val="00451609"/>
    <w:rsid w:val="004517B6"/>
    <w:rsid w:val="004517D6"/>
    <w:rsid w:val="004517FF"/>
    <w:rsid w:val="0045180D"/>
    <w:rsid w:val="00451997"/>
    <w:rsid w:val="004519F2"/>
    <w:rsid w:val="00451B8C"/>
    <w:rsid w:val="00451CA6"/>
    <w:rsid w:val="00451D0E"/>
    <w:rsid w:val="00451DE8"/>
    <w:rsid w:val="00451E5A"/>
    <w:rsid w:val="004521DA"/>
    <w:rsid w:val="004524B6"/>
    <w:rsid w:val="004524EC"/>
    <w:rsid w:val="00452643"/>
    <w:rsid w:val="00452725"/>
    <w:rsid w:val="00452ACD"/>
    <w:rsid w:val="00452EE7"/>
    <w:rsid w:val="00452F98"/>
    <w:rsid w:val="004530AF"/>
    <w:rsid w:val="0045335B"/>
    <w:rsid w:val="004533EB"/>
    <w:rsid w:val="004537FF"/>
    <w:rsid w:val="00453ABE"/>
    <w:rsid w:val="00453E0F"/>
    <w:rsid w:val="00454233"/>
    <w:rsid w:val="00454694"/>
    <w:rsid w:val="004548E9"/>
    <w:rsid w:val="00454ADE"/>
    <w:rsid w:val="004552F0"/>
    <w:rsid w:val="0045608C"/>
    <w:rsid w:val="004560F1"/>
    <w:rsid w:val="00456308"/>
    <w:rsid w:val="004563F8"/>
    <w:rsid w:val="004564B7"/>
    <w:rsid w:val="0045661F"/>
    <w:rsid w:val="00456931"/>
    <w:rsid w:val="0045697B"/>
    <w:rsid w:val="00456CD7"/>
    <w:rsid w:val="00457763"/>
    <w:rsid w:val="00457C35"/>
    <w:rsid w:val="004608AF"/>
    <w:rsid w:val="00460A73"/>
    <w:rsid w:val="00460E16"/>
    <w:rsid w:val="0046164D"/>
    <w:rsid w:val="0046178A"/>
    <w:rsid w:val="004619B9"/>
    <w:rsid w:val="0046221C"/>
    <w:rsid w:val="00462299"/>
    <w:rsid w:val="004623F4"/>
    <w:rsid w:val="0046245E"/>
    <w:rsid w:val="00462C83"/>
    <w:rsid w:val="00462D7D"/>
    <w:rsid w:val="00463244"/>
    <w:rsid w:val="0046343D"/>
    <w:rsid w:val="004638CF"/>
    <w:rsid w:val="00463B78"/>
    <w:rsid w:val="00463D8A"/>
    <w:rsid w:val="00464107"/>
    <w:rsid w:val="004641A7"/>
    <w:rsid w:val="00464275"/>
    <w:rsid w:val="004647E6"/>
    <w:rsid w:val="00464A2C"/>
    <w:rsid w:val="00464DC2"/>
    <w:rsid w:val="00464E41"/>
    <w:rsid w:val="00465048"/>
    <w:rsid w:val="0046586A"/>
    <w:rsid w:val="00465A19"/>
    <w:rsid w:val="00465B61"/>
    <w:rsid w:val="00465B70"/>
    <w:rsid w:val="00465B9A"/>
    <w:rsid w:val="00465C2D"/>
    <w:rsid w:val="00465E1A"/>
    <w:rsid w:val="00466562"/>
    <w:rsid w:val="0046672D"/>
    <w:rsid w:val="00466892"/>
    <w:rsid w:val="00466A45"/>
    <w:rsid w:val="00467E61"/>
    <w:rsid w:val="0046E9E0"/>
    <w:rsid w:val="0047025F"/>
    <w:rsid w:val="00470780"/>
    <w:rsid w:val="0047084D"/>
    <w:rsid w:val="00470A23"/>
    <w:rsid w:val="00470CAB"/>
    <w:rsid w:val="00470F52"/>
    <w:rsid w:val="0047109A"/>
    <w:rsid w:val="00471298"/>
    <w:rsid w:val="00471428"/>
    <w:rsid w:val="004715BD"/>
    <w:rsid w:val="00471641"/>
    <w:rsid w:val="00471AE3"/>
    <w:rsid w:val="00471FE5"/>
    <w:rsid w:val="004722FE"/>
    <w:rsid w:val="00473092"/>
    <w:rsid w:val="004730D3"/>
    <w:rsid w:val="004735F6"/>
    <w:rsid w:val="00473D63"/>
    <w:rsid w:val="00473D74"/>
    <w:rsid w:val="00473F78"/>
    <w:rsid w:val="00474173"/>
    <w:rsid w:val="004741E4"/>
    <w:rsid w:val="004742A8"/>
    <w:rsid w:val="0047451E"/>
    <w:rsid w:val="00474A47"/>
    <w:rsid w:val="00475122"/>
    <w:rsid w:val="004754B9"/>
    <w:rsid w:val="00475E0A"/>
    <w:rsid w:val="004760A6"/>
    <w:rsid w:val="004768FB"/>
    <w:rsid w:val="00477849"/>
    <w:rsid w:val="004779E6"/>
    <w:rsid w:val="00477A0A"/>
    <w:rsid w:val="00480089"/>
    <w:rsid w:val="00480138"/>
    <w:rsid w:val="00480550"/>
    <w:rsid w:val="0048060D"/>
    <w:rsid w:val="004813E2"/>
    <w:rsid w:val="0048147A"/>
    <w:rsid w:val="00481972"/>
    <w:rsid w:val="00482158"/>
    <w:rsid w:val="00482294"/>
    <w:rsid w:val="00482718"/>
    <w:rsid w:val="00482C8B"/>
    <w:rsid w:val="00482DE7"/>
    <w:rsid w:val="0048312A"/>
    <w:rsid w:val="004832A3"/>
    <w:rsid w:val="004834BC"/>
    <w:rsid w:val="00483518"/>
    <w:rsid w:val="0048446A"/>
    <w:rsid w:val="00484C81"/>
    <w:rsid w:val="00485043"/>
    <w:rsid w:val="004851D9"/>
    <w:rsid w:val="0048534C"/>
    <w:rsid w:val="0048538D"/>
    <w:rsid w:val="00485C54"/>
    <w:rsid w:val="004860AC"/>
    <w:rsid w:val="004862B5"/>
    <w:rsid w:val="004863D9"/>
    <w:rsid w:val="00486609"/>
    <w:rsid w:val="00486675"/>
    <w:rsid w:val="004866AF"/>
    <w:rsid w:val="00486D2F"/>
    <w:rsid w:val="00486F2C"/>
    <w:rsid w:val="00487696"/>
    <w:rsid w:val="00487C0C"/>
    <w:rsid w:val="00490696"/>
    <w:rsid w:val="004906B4"/>
    <w:rsid w:val="00490AFD"/>
    <w:rsid w:val="004912C0"/>
    <w:rsid w:val="004915AC"/>
    <w:rsid w:val="004915EC"/>
    <w:rsid w:val="00491DF7"/>
    <w:rsid w:val="004920A7"/>
    <w:rsid w:val="004922BD"/>
    <w:rsid w:val="004923B2"/>
    <w:rsid w:val="00492679"/>
    <w:rsid w:val="004926F5"/>
    <w:rsid w:val="004927F5"/>
    <w:rsid w:val="00492C37"/>
    <w:rsid w:val="00492FE0"/>
    <w:rsid w:val="004932B4"/>
    <w:rsid w:val="0049338C"/>
    <w:rsid w:val="0049371A"/>
    <w:rsid w:val="0049399A"/>
    <w:rsid w:val="00494026"/>
    <w:rsid w:val="004941D4"/>
    <w:rsid w:val="004946F4"/>
    <w:rsid w:val="00494809"/>
    <w:rsid w:val="0049493B"/>
    <w:rsid w:val="00494D36"/>
    <w:rsid w:val="00494E11"/>
    <w:rsid w:val="00494E48"/>
    <w:rsid w:val="00494E76"/>
    <w:rsid w:val="004952A0"/>
    <w:rsid w:val="004956F8"/>
    <w:rsid w:val="00495814"/>
    <w:rsid w:val="00495B75"/>
    <w:rsid w:val="00495CA6"/>
    <w:rsid w:val="004966BA"/>
    <w:rsid w:val="004967FC"/>
    <w:rsid w:val="004968F0"/>
    <w:rsid w:val="00497559"/>
    <w:rsid w:val="00497618"/>
    <w:rsid w:val="00497D2E"/>
    <w:rsid w:val="00497EBA"/>
    <w:rsid w:val="00497F29"/>
    <w:rsid w:val="004A0B6B"/>
    <w:rsid w:val="004A0B7A"/>
    <w:rsid w:val="004A0F49"/>
    <w:rsid w:val="004A13FD"/>
    <w:rsid w:val="004A17BC"/>
    <w:rsid w:val="004A1A26"/>
    <w:rsid w:val="004A1A92"/>
    <w:rsid w:val="004A1F11"/>
    <w:rsid w:val="004A210B"/>
    <w:rsid w:val="004A242E"/>
    <w:rsid w:val="004A278C"/>
    <w:rsid w:val="004A281D"/>
    <w:rsid w:val="004A34A8"/>
    <w:rsid w:val="004A36AF"/>
    <w:rsid w:val="004A4988"/>
    <w:rsid w:val="004A49CB"/>
    <w:rsid w:val="004A4B04"/>
    <w:rsid w:val="004A4C09"/>
    <w:rsid w:val="004A4DC8"/>
    <w:rsid w:val="004A4E4B"/>
    <w:rsid w:val="004A5089"/>
    <w:rsid w:val="004A528D"/>
    <w:rsid w:val="004A55E5"/>
    <w:rsid w:val="004A5702"/>
    <w:rsid w:val="004A57C9"/>
    <w:rsid w:val="004A5936"/>
    <w:rsid w:val="004A593B"/>
    <w:rsid w:val="004A61DF"/>
    <w:rsid w:val="004A6255"/>
    <w:rsid w:val="004A62A1"/>
    <w:rsid w:val="004A62B2"/>
    <w:rsid w:val="004A6868"/>
    <w:rsid w:val="004A6913"/>
    <w:rsid w:val="004A6F59"/>
    <w:rsid w:val="004A776A"/>
    <w:rsid w:val="004A7859"/>
    <w:rsid w:val="004A7BD2"/>
    <w:rsid w:val="004B0204"/>
    <w:rsid w:val="004B04E1"/>
    <w:rsid w:val="004B0700"/>
    <w:rsid w:val="004B08B1"/>
    <w:rsid w:val="004B0C8E"/>
    <w:rsid w:val="004B145D"/>
    <w:rsid w:val="004B14E9"/>
    <w:rsid w:val="004B1645"/>
    <w:rsid w:val="004B1B8A"/>
    <w:rsid w:val="004B24E4"/>
    <w:rsid w:val="004B2DD5"/>
    <w:rsid w:val="004B2EC3"/>
    <w:rsid w:val="004B35F0"/>
    <w:rsid w:val="004B3677"/>
    <w:rsid w:val="004B39DF"/>
    <w:rsid w:val="004B3D81"/>
    <w:rsid w:val="004B3FE0"/>
    <w:rsid w:val="004B41AB"/>
    <w:rsid w:val="004B4833"/>
    <w:rsid w:val="004B4A5A"/>
    <w:rsid w:val="004B4A83"/>
    <w:rsid w:val="004B51E1"/>
    <w:rsid w:val="004B5B1C"/>
    <w:rsid w:val="004B5C71"/>
    <w:rsid w:val="004B6370"/>
    <w:rsid w:val="004B6B5D"/>
    <w:rsid w:val="004B7204"/>
    <w:rsid w:val="004C0336"/>
    <w:rsid w:val="004C0C15"/>
    <w:rsid w:val="004C0E17"/>
    <w:rsid w:val="004C10F0"/>
    <w:rsid w:val="004C1C65"/>
    <w:rsid w:val="004C1D38"/>
    <w:rsid w:val="004C1D9E"/>
    <w:rsid w:val="004C1EE4"/>
    <w:rsid w:val="004C20A3"/>
    <w:rsid w:val="004C218D"/>
    <w:rsid w:val="004C2280"/>
    <w:rsid w:val="004C29A7"/>
    <w:rsid w:val="004C2BA9"/>
    <w:rsid w:val="004C2BF5"/>
    <w:rsid w:val="004C2FEF"/>
    <w:rsid w:val="004C34C4"/>
    <w:rsid w:val="004C3CEA"/>
    <w:rsid w:val="004C3E23"/>
    <w:rsid w:val="004C41D2"/>
    <w:rsid w:val="004C43BB"/>
    <w:rsid w:val="004C4C00"/>
    <w:rsid w:val="004C4E06"/>
    <w:rsid w:val="004C5124"/>
    <w:rsid w:val="004C5373"/>
    <w:rsid w:val="004C5B5F"/>
    <w:rsid w:val="004C5D18"/>
    <w:rsid w:val="004C5EE8"/>
    <w:rsid w:val="004C60E3"/>
    <w:rsid w:val="004C63FF"/>
    <w:rsid w:val="004C668A"/>
    <w:rsid w:val="004C68E2"/>
    <w:rsid w:val="004C6E60"/>
    <w:rsid w:val="004C7233"/>
    <w:rsid w:val="004C7548"/>
    <w:rsid w:val="004C7DA5"/>
    <w:rsid w:val="004C7F4B"/>
    <w:rsid w:val="004D00D2"/>
    <w:rsid w:val="004D0D8C"/>
    <w:rsid w:val="004D1515"/>
    <w:rsid w:val="004D15FE"/>
    <w:rsid w:val="004D19FF"/>
    <w:rsid w:val="004D22B2"/>
    <w:rsid w:val="004D3334"/>
    <w:rsid w:val="004D34A4"/>
    <w:rsid w:val="004D35EB"/>
    <w:rsid w:val="004D365C"/>
    <w:rsid w:val="004D458B"/>
    <w:rsid w:val="004D49F9"/>
    <w:rsid w:val="004D4B71"/>
    <w:rsid w:val="004D5281"/>
    <w:rsid w:val="004D54A9"/>
    <w:rsid w:val="004D562B"/>
    <w:rsid w:val="004D5E31"/>
    <w:rsid w:val="004D62AE"/>
    <w:rsid w:val="004D64E0"/>
    <w:rsid w:val="004D6E70"/>
    <w:rsid w:val="004D6F56"/>
    <w:rsid w:val="004D72DB"/>
    <w:rsid w:val="004D73AE"/>
    <w:rsid w:val="004D7CA9"/>
    <w:rsid w:val="004E02E6"/>
    <w:rsid w:val="004E099E"/>
    <w:rsid w:val="004E0A6F"/>
    <w:rsid w:val="004E0ED6"/>
    <w:rsid w:val="004E0FA5"/>
    <w:rsid w:val="004E0FF1"/>
    <w:rsid w:val="004E105A"/>
    <w:rsid w:val="004E1128"/>
    <w:rsid w:val="004E1486"/>
    <w:rsid w:val="004E17CB"/>
    <w:rsid w:val="004E1EA7"/>
    <w:rsid w:val="004E1F32"/>
    <w:rsid w:val="004E1F35"/>
    <w:rsid w:val="004E2106"/>
    <w:rsid w:val="004E26ED"/>
    <w:rsid w:val="004E2833"/>
    <w:rsid w:val="004E28C7"/>
    <w:rsid w:val="004E2991"/>
    <w:rsid w:val="004E2C9A"/>
    <w:rsid w:val="004E2FD4"/>
    <w:rsid w:val="004E3399"/>
    <w:rsid w:val="004E34CE"/>
    <w:rsid w:val="004E3571"/>
    <w:rsid w:val="004E3AB4"/>
    <w:rsid w:val="004E470A"/>
    <w:rsid w:val="004E485D"/>
    <w:rsid w:val="004E4869"/>
    <w:rsid w:val="004E4AF5"/>
    <w:rsid w:val="004E4C0E"/>
    <w:rsid w:val="004E4EFA"/>
    <w:rsid w:val="004E5341"/>
    <w:rsid w:val="004E580B"/>
    <w:rsid w:val="004E58E2"/>
    <w:rsid w:val="004E5929"/>
    <w:rsid w:val="004E5CEF"/>
    <w:rsid w:val="004E5F1A"/>
    <w:rsid w:val="004E6199"/>
    <w:rsid w:val="004E6254"/>
    <w:rsid w:val="004E6582"/>
    <w:rsid w:val="004E6908"/>
    <w:rsid w:val="004E6C1B"/>
    <w:rsid w:val="004E6CD4"/>
    <w:rsid w:val="004E6F3D"/>
    <w:rsid w:val="004E7AAE"/>
    <w:rsid w:val="004E7F99"/>
    <w:rsid w:val="004E7FE9"/>
    <w:rsid w:val="004F081B"/>
    <w:rsid w:val="004F0AE6"/>
    <w:rsid w:val="004F0D14"/>
    <w:rsid w:val="004F13D5"/>
    <w:rsid w:val="004F19CB"/>
    <w:rsid w:val="004F2358"/>
    <w:rsid w:val="004F28C7"/>
    <w:rsid w:val="004F2A1B"/>
    <w:rsid w:val="004F2D95"/>
    <w:rsid w:val="004F3275"/>
    <w:rsid w:val="004F32B2"/>
    <w:rsid w:val="004F32F4"/>
    <w:rsid w:val="004F33CE"/>
    <w:rsid w:val="004F3559"/>
    <w:rsid w:val="004F3671"/>
    <w:rsid w:val="004F3A04"/>
    <w:rsid w:val="004F47DA"/>
    <w:rsid w:val="004F48F0"/>
    <w:rsid w:val="004F4D0F"/>
    <w:rsid w:val="004F5187"/>
    <w:rsid w:val="004F527D"/>
    <w:rsid w:val="004F590C"/>
    <w:rsid w:val="004F5A74"/>
    <w:rsid w:val="004F5B4C"/>
    <w:rsid w:val="004F5F58"/>
    <w:rsid w:val="004F6137"/>
    <w:rsid w:val="004F6182"/>
    <w:rsid w:val="004F61A9"/>
    <w:rsid w:val="004F6645"/>
    <w:rsid w:val="004F7255"/>
    <w:rsid w:val="004F72D7"/>
    <w:rsid w:val="004F78E3"/>
    <w:rsid w:val="004F7936"/>
    <w:rsid w:val="004F79BA"/>
    <w:rsid w:val="004F7E84"/>
    <w:rsid w:val="005000BB"/>
    <w:rsid w:val="00500478"/>
    <w:rsid w:val="00500732"/>
    <w:rsid w:val="00500C5B"/>
    <w:rsid w:val="00500FD9"/>
    <w:rsid w:val="00501453"/>
    <w:rsid w:val="0050165F"/>
    <w:rsid w:val="005016CE"/>
    <w:rsid w:val="005017E5"/>
    <w:rsid w:val="00501976"/>
    <w:rsid w:val="00501977"/>
    <w:rsid w:val="005019CF"/>
    <w:rsid w:val="00501C42"/>
    <w:rsid w:val="00501CD0"/>
    <w:rsid w:val="00501F74"/>
    <w:rsid w:val="00502143"/>
    <w:rsid w:val="00502276"/>
    <w:rsid w:val="005022F1"/>
    <w:rsid w:val="0050266F"/>
    <w:rsid w:val="00502774"/>
    <w:rsid w:val="0050284D"/>
    <w:rsid w:val="005029AF"/>
    <w:rsid w:val="00502A34"/>
    <w:rsid w:val="00502B5E"/>
    <w:rsid w:val="00502CD3"/>
    <w:rsid w:val="005031BB"/>
    <w:rsid w:val="00503244"/>
    <w:rsid w:val="00503B6C"/>
    <w:rsid w:val="00503CA3"/>
    <w:rsid w:val="00504898"/>
    <w:rsid w:val="005048B8"/>
    <w:rsid w:val="00504B74"/>
    <w:rsid w:val="0050553C"/>
    <w:rsid w:val="00505E60"/>
    <w:rsid w:val="005061DF"/>
    <w:rsid w:val="00506208"/>
    <w:rsid w:val="00506251"/>
    <w:rsid w:val="005062B8"/>
    <w:rsid w:val="0050668D"/>
    <w:rsid w:val="00506775"/>
    <w:rsid w:val="00507451"/>
    <w:rsid w:val="005079E8"/>
    <w:rsid w:val="00507A9C"/>
    <w:rsid w:val="00507F74"/>
    <w:rsid w:val="005102BB"/>
    <w:rsid w:val="0051062D"/>
    <w:rsid w:val="005109F1"/>
    <w:rsid w:val="00510C7E"/>
    <w:rsid w:val="00510EBE"/>
    <w:rsid w:val="00511142"/>
    <w:rsid w:val="00511799"/>
    <w:rsid w:val="00511A83"/>
    <w:rsid w:val="0051207B"/>
    <w:rsid w:val="00512276"/>
    <w:rsid w:val="00512DB1"/>
    <w:rsid w:val="0051372A"/>
    <w:rsid w:val="00513C66"/>
    <w:rsid w:val="00513E8B"/>
    <w:rsid w:val="005144CA"/>
    <w:rsid w:val="0051453C"/>
    <w:rsid w:val="005145A5"/>
    <w:rsid w:val="0051474D"/>
    <w:rsid w:val="0051480F"/>
    <w:rsid w:val="0051495C"/>
    <w:rsid w:val="00514B58"/>
    <w:rsid w:val="00514D2F"/>
    <w:rsid w:val="005151FF"/>
    <w:rsid w:val="0051530D"/>
    <w:rsid w:val="00515411"/>
    <w:rsid w:val="005154CC"/>
    <w:rsid w:val="0051562C"/>
    <w:rsid w:val="00515A0F"/>
    <w:rsid w:val="00516076"/>
    <w:rsid w:val="005161DC"/>
    <w:rsid w:val="00516382"/>
    <w:rsid w:val="005169D6"/>
    <w:rsid w:val="00516DAF"/>
    <w:rsid w:val="00516F5E"/>
    <w:rsid w:val="005170A0"/>
    <w:rsid w:val="0051726F"/>
    <w:rsid w:val="005177E6"/>
    <w:rsid w:val="005178F7"/>
    <w:rsid w:val="00517A2C"/>
    <w:rsid w:val="00517BB0"/>
    <w:rsid w:val="00517E10"/>
    <w:rsid w:val="00517E35"/>
    <w:rsid w:val="005200B6"/>
    <w:rsid w:val="00520171"/>
    <w:rsid w:val="005204B5"/>
    <w:rsid w:val="005207D3"/>
    <w:rsid w:val="00520935"/>
    <w:rsid w:val="00520AB3"/>
    <w:rsid w:val="00520BF3"/>
    <w:rsid w:val="0052109B"/>
    <w:rsid w:val="005212CA"/>
    <w:rsid w:val="005212F4"/>
    <w:rsid w:val="0052181E"/>
    <w:rsid w:val="005219A6"/>
    <w:rsid w:val="00521C2B"/>
    <w:rsid w:val="00521FF0"/>
    <w:rsid w:val="00522068"/>
    <w:rsid w:val="0052224A"/>
    <w:rsid w:val="0052285D"/>
    <w:rsid w:val="0052308B"/>
    <w:rsid w:val="0052325B"/>
    <w:rsid w:val="00523857"/>
    <w:rsid w:val="0052394D"/>
    <w:rsid w:val="00523A51"/>
    <w:rsid w:val="0052432F"/>
    <w:rsid w:val="00524A78"/>
    <w:rsid w:val="00524D11"/>
    <w:rsid w:val="005256C8"/>
    <w:rsid w:val="0052598A"/>
    <w:rsid w:val="005261CD"/>
    <w:rsid w:val="005266AB"/>
    <w:rsid w:val="00526966"/>
    <w:rsid w:val="00526A42"/>
    <w:rsid w:val="00526A74"/>
    <w:rsid w:val="00526D6D"/>
    <w:rsid w:val="00526D99"/>
    <w:rsid w:val="00526EFF"/>
    <w:rsid w:val="00530595"/>
    <w:rsid w:val="00530857"/>
    <w:rsid w:val="00531880"/>
    <w:rsid w:val="00531A81"/>
    <w:rsid w:val="00531BD6"/>
    <w:rsid w:val="00531BF5"/>
    <w:rsid w:val="00531D3B"/>
    <w:rsid w:val="0053253A"/>
    <w:rsid w:val="00532931"/>
    <w:rsid w:val="00532B36"/>
    <w:rsid w:val="00532D9E"/>
    <w:rsid w:val="00532F8A"/>
    <w:rsid w:val="00533175"/>
    <w:rsid w:val="00533180"/>
    <w:rsid w:val="00533606"/>
    <w:rsid w:val="00533946"/>
    <w:rsid w:val="00533D1F"/>
    <w:rsid w:val="00533F07"/>
    <w:rsid w:val="0053424B"/>
    <w:rsid w:val="005347FE"/>
    <w:rsid w:val="00534ACB"/>
    <w:rsid w:val="005350AC"/>
    <w:rsid w:val="005355AB"/>
    <w:rsid w:val="005355CC"/>
    <w:rsid w:val="00535A30"/>
    <w:rsid w:val="00535D4B"/>
    <w:rsid w:val="0053653E"/>
    <w:rsid w:val="005365E6"/>
    <w:rsid w:val="005367D9"/>
    <w:rsid w:val="0053698B"/>
    <w:rsid w:val="00536C09"/>
    <w:rsid w:val="00537232"/>
    <w:rsid w:val="00537346"/>
    <w:rsid w:val="0053735E"/>
    <w:rsid w:val="00537449"/>
    <w:rsid w:val="005375F3"/>
    <w:rsid w:val="005378BF"/>
    <w:rsid w:val="00537B18"/>
    <w:rsid w:val="00537B7F"/>
    <w:rsid w:val="00537D65"/>
    <w:rsid w:val="005408FE"/>
    <w:rsid w:val="00540BC5"/>
    <w:rsid w:val="00540DB9"/>
    <w:rsid w:val="0054100A"/>
    <w:rsid w:val="0054172A"/>
    <w:rsid w:val="0054175B"/>
    <w:rsid w:val="0054183F"/>
    <w:rsid w:val="00542103"/>
    <w:rsid w:val="00542841"/>
    <w:rsid w:val="00542936"/>
    <w:rsid w:val="00542C49"/>
    <w:rsid w:val="00542EAA"/>
    <w:rsid w:val="00543350"/>
    <w:rsid w:val="0054337F"/>
    <w:rsid w:val="005433FF"/>
    <w:rsid w:val="0054358D"/>
    <w:rsid w:val="00543659"/>
    <w:rsid w:val="0054387E"/>
    <w:rsid w:val="00543961"/>
    <w:rsid w:val="00543C03"/>
    <w:rsid w:val="00543C9A"/>
    <w:rsid w:val="00543D72"/>
    <w:rsid w:val="00543DF3"/>
    <w:rsid w:val="00544421"/>
    <w:rsid w:val="005445BF"/>
    <w:rsid w:val="00544752"/>
    <w:rsid w:val="00544EBA"/>
    <w:rsid w:val="005450F9"/>
    <w:rsid w:val="00545104"/>
    <w:rsid w:val="0054521E"/>
    <w:rsid w:val="00545498"/>
    <w:rsid w:val="00545541"/>
    <w:rsid w:val="00545C13"/>
    <w:rsid w:val="00546023"/>
    <w:rsid w:val="0054610B"/>
    <w:rsid w:val="005461C2"/>
    <w:rsid w:val="005467DA"/>
    <w:rsid w:val="00546C28"/>
    <w:rsid w:val="005473A9"/>
    <w:rsid w:val="005474BF"/>
    <w:rsid w:val="005476C9"/>
    <w:rsid w:val="005479EF"/>
    <w:rsid w:val="00547BC4"/>
    <w:rsid w:val="00547BEE"/>
    <w:rsid w:val="00547D01"/>
    <w:rsid w:val="00547D82"/>
    <w:rsid w:val="00547FE6"/>
    <w:rsid w:val="00550604"/>
    <w:rsid w:val="00550641"/>
    <w:rsid w:val="005508AE"/>
    <w:rsid w:val="00550B9B"/>
    <w:rsid w:val="00550E69"/>
    <w:rsid w:val="005511EC"/>
    <w:rsid w:val="00551353"/>
    <w:rsid w:val="00551F83"/>
    <w:rsid w:val="00552014"/>
    <w:rsid w:val="005522FB"/>
    <w:rsid w:val="00552315"/>
    <w:rsid w:val="00552646"/>
    <w:rsid w:val="00552B76"/>
    <w:rsid w:val="005532E6"/>
    <w:rsid w:val="0055369A"/>
    <w:rsid w:val="00554099"/>
    <w:rsid w:val="00554256"/>
    <w:rsid w:val="005542A5"/>
    <w:rsid w:val="0055484E"/>
    <w:rsid w:val="005549B7"/>
    <w:rsid w:val="00554A9B"/>
    <w:rsid w:val="00554DFA"/>
    <w:rsid w:val="00555578"/>
    <w:rsid w:val="00555A39"/>
    <w:rsid w:val="00556B4A"/>
    <w:rsid w:val="00556DC4"/>
    <w:rsid w:val="00556F6B"/>
    <w:rsid w:val="00556FF1"/>
    <w:rsid w:val="00557188"/>
    <w:rsid w:val="00557676"/>
    <w:rsid w:val="00557801"/>
    <w:rsid w:val="00557A67"/>
    <w:rsid w:val="00557D9B"/>
    <w:rsid w:val="005603FD"/>
    <w:rsid w:val="0056060E"/>
    <w:rsid w:val="0056061D"/>
    <w:rsid w:val="005607CC"/>
    <w:rsid w:val="00560864"/>
    <w:rsid w:val="0056090B"/>
    <w:rsid w:val="005609BA"/>
    <w:rsid w:val="00560A26"/>
    <w:rsid w:val="00560F26"/>
    <w:rsid w:val="005610B5"/>
    <w:rsid w:val="00561B31"/>
    <w:rsid w:val="00561F4A"/>
    <w:rsid w:val="0056202A"/>
    <w:rsid w:val="0056267E"/>
    <w:rsid w:val="005626B0"/>
    <w:rsid w:val="00562A1C"/>
    <w:rsid w:val="00562E49"/>
    <w:rsid w:val="0056344F"/>
    <w:rsid w:val="0056350B"/>
    <w:rsid w:val="00563820"/>
    <w:rsid w:val="0056412D"/>
    <w:rsid w:val="00564192"/>
    <w:rsid w:val="00564294"/>
    <w:rsid w:val="00564956"/>
    <w:rsid w:val="0056498B"/>
    <w:rsid w:val="00564B3A"/>
    <w:rsid w:val="00564EAD"/>
    <w:rsid w:val="00564F42"/>
    <w:rsid w:val="0056585A"/>
    <w:rsid w:val="005658B1"/>
    <w:rsid w:val="00565BFE"/>
    <w:rsid w:val="00565D63"/>
    <w:rsid w:val="005669E5"/>
    <w:rsid w:val="005671A9"/>
    <w:rsid w:val="00567377"/>
    <w:rsid w:val="0056782F"/>
    <w:rsid w:val="00567962"/>
    <w:rsid w:val="00567B4D"/>
    <w:rsid w:val="00567BBA"/>
    <w:rsid w:val="00567BD1"/>
    <w:rsid w:val="00567CB8"/>
    <w:rsid w:val="00570093"/>
    <w:rsid w:val="0057065B"/>
    <w:rsid w:val="00570AC1"/>
    <w:rsid w:val="00570EE4"/>
    <w:rsid w:val="00571321"/>
    <w:rsid w:val="00571485"/>
    <w:rsid w:val="005716CA"/>
    <w:rsid w:val="005717C8"/>
    <w:rsid w:val="00571BA4"/>
    <w:rsid w:val="00572369"/>
    <w:rsid w:val="00572437"/>
    <w:rsid w:val="0057274C"/>
    <w:rsid w:val="00572A31"/>
    <w:rsid w:val="00572A9E"/>
    <w:rsid w:val="00572C26"/>
    <w:rsid w:val="00572C4F"/>
    <w:rsid w:val="00572DCA"/>
    <w:rsid w:val="00573076"/>
    <w:rsid w:val="005733BC"/>
    <w:rsid w:val="0057383E"/>
    <w:rsid w:val="00573C3D"/>
    <w:rsid w:val="00573E39"/>
    <w:rsid w:val="00573EAC"/>
    <w:rsid w:val="00573EEA"/>
    <w:rsid w:val="00574593"/>
    <w:rsid w:val="0057506C"/>
    <w:rsid w:val="0057517B"/>
    <w:rsid w:val="00575282"/>
    <w:rsid w:val="00575387"/>
    <w:rsid w:val="00575A55"/>
    <w:rsid w:val="00575DFB"/>
    <w:rsid w:val="00575F05"/>
    <w:rsid w:val="0057610E"/>
    <w:rsid w:val="0057626F"/>
    <w:rsid w:val="00576305"/>
    <w:rsid w:val="0057684E"/>
    <w:rsid w:val="00576B21"/>
    <w:rsid w:val="00576E49"/>
    <w:rsid w:val="00576EBE"/>
    <w:rsid w:val="00577008"/>
    <w:rsid w:val="00577471"/>
    <w:rsid w:val="005775CF"/>
    <w:rsid w:val="0057770C"/>
    <w:rsid w:val="00577CBD"/>
    <w:rsid w:val="00580043"/>
    <w:rsid w:val="005803AC"/>
    <w:rsid w:val="00580B42"/>
    <w:rsid w:val="005814A4"/>
    <w:rsid w:val="00581649"/>
    <w:rsid w:val="005818F1"/>
    <w:rsid w:val="00581AB7"/>
    <w:rsid w:val="00581AC1"/>
    <w:rsid w:val="00581B03"/>
    <w:rsid w:val="00581C10"/>
    <w:rsid w:val="00581D11"/>
    <w:rsid w:val="00581FC3"/>
    <w:rsid w:val="0058214D"/>
    <w:rsid w:val="005821F1"/>
    <w:rsid w:val="005823E4"/>
    <w:rsid w:val="0058264F"/>
    <w:rsid w:val="0058363C"/>
    <w:rsid w:val="00583B39"/>
    <w:rsid w:val="00583D9B"/>
    <w:rsid w:val="00583EA7"/>
    <w:rsid w:val="00583FBF"/>
    <w:rsid w:val="00583FC7"/>
    <w:rsid w:val="005841B6"/>
    <w:rsid w:val="005841E1"/>
    <w:rsid w:val="0058448F"/>
    <w:rsid w:val="005849E9"/>
    <w:rsid w:val="00584A27"/>
    <w:rsid w:val="00584D50"/>
    <w:rsid w:val="00584E62"/>
    <w:rsid w:val="005859C9"/>
    <w:rsid w:val="00586375"/>
    <w:rsid w:val="00586376"/>
    <w:rsid w:val="00586566"/>
    <w:rsid w:val="00586D55"/>
    <w:rsid w:val="00586F19"/>
    <w:rsid w:val="0058733A"/>
    <w:rsid w:val="005875B6"/>
    <w:rsid w:val="0058D2B1"/>
    <w:rsid w:val="0059093D"/>
    <w:rsid w:val="00590B98"/>
    <w:rsid w:val="00590CBB"/>
    <w:rsid w:val="00590DB1"/>
    <w:rsid w:val="00590E67"/>
    <w:rsid w:val="00590EAA"/>
    <w:rsid w:val="00591072"/>
    <w:rsid w:val="005917A3"/>
    <w:rsid w:val="005919F5"/>
    <w:rsid w:val="00591E75"/>
    <w:rsid w:val="005930C5"/>
    <w:rsid w:val="00593154"/>
    <w:rsid w:val="0059316E"/>
    <w:rsid w:val="00593177"/>
    <w:rsid w:val="00593439"/>
    <w:rsid w:val="005935CE"/>
    <w:rsid w:val="0059361A"/>
    <w:rsid w:val="00594F16"/>
    <w:rsid w:val="005950F8"/>
    <w:rsid w:val="005952BB"/>
    <w:rsid w:val="00595C2F"/>
    <w:rsid w:val="00595DD1"/>
    <w:rsid w:val="00596161"/>
    <w:rsid w:val="00596307"/>
    <w:rsid w:val="0059646D"/>
    <w:rsid w:val="005964FF"/>
    <w:rsid w:val="00596B65"/>
    <w:rsid w:val="00596CB8"/>
    <w:rsid w:val="00596E79"/>
    <w:rsid w:val="005972C9"/>
    <w:rsid w:val="00597593"/>
    <w:rsid w:val="00597728"/>
    <w:rsid w:val="005978C2"/>
    <w:rsid w:val="00597A81"/>
    <w:rsid w:val="00597AC2"/>
    <w:rsid w:val="005A01C8"/>
    <w:rsid w:val="005A0398"/>
    <w:rsid w:val="005A0939"/>
    <w:rsid w:val="005A0D47"/>
    <w:rsid w:val="005A10EE"/>
    <w:rsid w:val="005A1107"/>
    <w:rsid w:val="005A12CE"/>
    <w:rsid w:val="005A17AC"/>
    <w:rsid w:val="005A1A94"/>
    <w:rsid w:val="005A1B8C"/>
    <w:rsid w:val="005A1DDA"/>
    <w:rsid w:val="005A1E9E"/>
    <w:rsid w:val="005A2617"/>
    <w:rsid w:val="005A27CE"/>
    <w:rsid w:val="005A27F9"/>
    <w:rsid w:val="005A2990"/>
    <w:rsid w:val="005A2AA9"/>
    <w:rsid w:val="005A2E90"/>
    <w:rsid w:val="005A2EC2"/>
    <w:rsid w:val="005A30C1"/>
    <w:rsid w:val="005A3200"/>
    <w:rsid w:val="005A36C7"/>
    <w:rsid w:val="005A3B12"/>
    <w:rsid w:val="005A3B2C"/>
    <w:rsid w:val="005A3DF8"/>
    <w:rsid w:val="005A492C"/>
    <w:rsid w:val="005A4C9A"/>
    <w:rsid w:val="005A4CA7"/>
    <w:rsid w:val="005A579B"/>
    <w:rsid w:val="005A5E0E"/>
    <w:rsid w:val="005A6587"/>
    <w:rsid w:val="005A68BF"/>
    <w:rsid w:val="005A6CE3"/>
    <w:rsid w:val="005A6F75"/>
    <w:rsid w:val="005A71DD"/>
    <w:rsid w:val="005A72A7"/>
    <w:rsid w:val="005A78BE"/>
    <w:rsid w:val="005A7C34"/>
    <w:rsid w:val="005A7DEF"/>
    <w:rsid w:val="005A7EEB"/>
    <w:rsid w:val="005A7FA9"/>
    <w:rsid w:val="005B02AC"/>
    <w:rsid w:val="005B040F"/>
    <w:rsid w:val="005B0813"/>
    <w:rsid w:val="005B0B79"/>
    <w:rsid w:val="005B0F66"/>
    <w:rsid w:val="005B1220"/>
    <w:rsid w:val="005B1478"/>
    <w:rsid w:val="005B1540"/>
    <w:rsid w:val="005B1828"/>
    <w:rsid w:val="005B1B6E"/>
    <w:rsid w:val="005B1BEE"/>
    <w:rsid w:val="005B1CF8"/>
    <w:rsid w:val="005B1E18"/>
    <w:rsid w:val="005B2001"/>
    <w:rsid w:val="005B2696"/>
    <w:rsid w:val="005B2D7C"/>
    <w:rsid w:val="005B31AA"/>
    <w:rsid w:val="005B31D6"/>
    <w:rsid w:val="005B3A77"/>
    <w:rsid w:val="005B3F31"/>
    <w:rsid w:val="005B3FCE"/>
    <w:rsid w:val="005B41CC"/>
    <w:rsid w:val="005B49FE"/>
    <w:rsid w:val="005B4EA0"/>
    <w:rsid w:val="005B52AE"/>
    <w:rsid w:val="005B53CE"/>
    <w:rsid w:val="005B60CC"/>
    <w:rsid w:val="005B63FA"/>
    <w:rsid w:val="005B652D"/>
    <w:rsid w:val="005B6FFB"/>
    <w:rsid w:val="005B758E"/>
    <w:rsid w:val="005B7D7E"/>
    <w:rsid w:val="005B7ED8"/>
    <w:rsid w:val="005B8BE9"/>
    <w:rsid w:val="005C02B9"/>
    <w:rsid w:val="005C037B"/>
    <w:rsid w:val="005C0730"/>
    <w:rsid w:val="005C0A0D"/>
    <w:rsid w:val="005C12A9"/>
    <w:rsid w:val="005C138B"/>
    <w:rsid w:val="005C1BA7"/>
    <w:rsid w:val="005C1CFB"/>
    <w:rsid w:val="005C22BC"/>
    <w:rsid w:val="005C23D1"/>
    <w:rsid w:val="005C26CD"/>
    <w:rsid w:val="005C2911"/>
    <w:rsid w:val="005C2E4C"/>
    <w:rsid w:val="005C315C"/>
    <w:rsid w:val="005C34C4"/>
    <w:rsid w:val="005C3826"/>
    <w:rsid w:val="005C39BB"/>
    <w:rsid w:val="005C3C48"/>
    <w:rsid w:val="005C41A4"/>
    <w:rsid w:val="005C43C1"/>
    <w:rsid w:val="005C445B"/>
    <w:rsid w:val="005C44E2"/>
    <w:rsid w:val="005C492A"/>
    <w:rsid w:val="005C4998"/>
    <w:rsid w:val="005C4D4F"/>
    <w:rsid w:val="005C4E00"/>
    <w:rsid w:val="005C4F93"/>
    <w:rsid w:val="005C530E"/>
    <w:rsid w:val="005C57F6"/>
    <w:rsid w:val="005C5E61"/>
    <w:rsid w:val="005C5FD0"/>
    <w:rsid w:val="005C6535"/>
    <w:rsid w:val="005C6569"/>
    <w:rsid w:val="005C66A3"/>
    <w:rsid w:val="005C6710"/>
    <w:rsid w:val="005C6DBF"/>
    <w:rsid w:val="005C6DEC"/>
    <w:rsid w:val="005C74E4"/>
    <w:rsid w:val="005C7D75"/>
    <w:rsid w:val="005C7D9B"/>
    <w:rsid w:val="005C7FD0"/>
    <w:rsid w:val="005D0837"/>
    <w:rsid w:val="005D0DF7"/>
    <w:rsid w:val="005D118C"/>
    <w:rsid w:val="005D119A"/>
    <w:rsid w:val="005D124E"/>
    <w:rsid w:val="005D1585"/>
    <w:rsid w:val="005D18EB"/>
    <w:rsid w:val="005D2246"/>
    <w:rsid w:val="005D22E6"/>
    <w:rsid w:val="005D23C4"/>
    <w:rsid w:val="005D24C3"/>
    <w:rsid w:val="005D2542"/>
    <w:rsid w:val="005D25FA"/>
    <w:rsid w:val="005D28EC"/>
    <w:rsid w:val="005D2C43"/>
    <w:rsid w:val="005D31B6"/>
    <w:rsid w:val="005D33E2"/>
    <w:rsid w:val="005D3478"/>
    <w:rsid w:val="005D3B6C"/>
    <w:rsid w:val="005D3CAA"/>
    <w:rsid w:val="005D3D4F"/>
    <w:rsid w:val="005D3DD6"/>
    <w:rsid w:val="005D3EAC"/>
    <w:rsid w:val="005D3F26"/>
    <w:rsid w:val="005D46B8"/>
    <w:rsid w:val="005D47AB"/>
    <w:rsid w:val="005D5059"/>
    <w:rsid w:val="005D52D8"/>
    <w:rsid w:val="005D5438"/>
    <w:rsid w:val="005D55C1"/>
    <w:rsid w:val="005D5814"/>
    <w:rsid w:val="005D58DD"/>
    <w:rsid w:val="005D5C18"/>
    <w:rsid w:val="005D5C8B"/>
    <w:rsid w:val="005D5CC9"/>
    <w:rsid w:val="005D5D9B"/>
    <w:rsid w:val="005D6054"/>
    <w:rsid w:val="005D65E9"/>
    <w:rsid w:val="005D6971"/>
    <w:rsid w:val="005D6FFC"/>
    <w:rsid w:val="005D7031"/>
    <w:rsid w:val="005D7258"/>
    <w:rsid w:val="005D760B"/>
    <w:rsid w:val="005D7655"/>
    <w:rsid w:val="005D77DF"/>
    <w:rsid w:val="005D7940"/>
    <w:rsid w:val="005D797A"/>
    <w:rsid w:val="005D79DF"/>
    <w:rsid w:val="005E07C8"/>
    <w:rsid w:val="005E0ED8"/>
    <w:rsid w:val="005E0F9F"/>
    <w:rsid w:val="005E1536"/>
    <w:rsid w:val="005E160C"/>
    <w:rsid w:val="005E1987"/>
    <w:rsid w:val="005E2046"/>
    <w:rsid w:val="005E22CE"/>
    <w:rsid w:val="005E23D7"/>
    <w:rsid w:val="005E249D"/>
    <w:rsid w:val="005E2DB8"/>
    <w:rsid w:val="005E2E0D"/>
    <w:rsid w:val="005E307E"/>
    <w:rsid w:val="005E3747"/>
    <w:rsid w:val="005E3A03"/>
    <w:rsid w:val="005E412A"/>
    <w:rsid w:val="005E413D"/>
    <w:rsid w:val="005E438F"/>
    <w:rsid w:val="005E44E8"/>
    <w:rsid w:val="005E477D"/>
    <w:rsid w:val="005E494F"/>
    <w:rsid w:val="005E49BF"/>
    <w:rsid w:val="005E4C79"/>
    <w:rsid w:val="005E4D53"/>
    <w:rsid w:val="005E5168"/>
    <w:rsid w:val="005E527A"/>
    <w:rsid w:val="005E5747"/>
    <w:rsid w:val="005E58BB"/>
    <w:rsid w:val="005E5A6A"/>
    <w:rsid w:val="005E5A73"/>
    <w:rsid w:val="005E5AA9"/>
    <w:rsid w:val="005E5C91"/>
    <w:rsid w:val="005E62E5"/>
    <w:rsid w:val="005E62ED"/>
    <w:rsid w:val="005E6393"/>
    <w:rsid w:val="005E6518"/>
    <w:rsid w:val="005E6636"/>
    <w:rsid w:val="005E6CE8"/>
    <w:rsid w:val="005E77BE"/>
    <w:rsid w:val="005E7BBE"/>
    <w:rsid w:val="005E7BC5"/>
    <w:rsid w:val="005E7D1A"/>
    <w:rsid w:val="005E7EE6"/>
    <w:rsid w:val="005F094D"/>
    <w:rsid w:val="005F0CCA"/>
    <w:rsid w:val="005F0E98"/>
    <w:rsid w:val="005F1037"/>
    <w:rsid w:val="005F1365"/>
    <w:rsid w:val="005F138B"/>
    <w:rsid w:val="005F13F3"/>
    <w:rsid w:val="005F160B"/>
    <w:rsid w:val="005F186D"/>
    <w:rsid w:val="005F197B"/>
    <w:rsid w:val="005F1DF2"/>
    <w:rsid w:val="005F1E28"/>
    <w:rsid w:val="005F1E58"/>
    <w:rsid w:val="005F21CB"/>
    <w:rsid w:val="005F22D4"/>
    <w:rsid w:val="005F23A1"/>
    <w:rsid w:val="005F2549"/>
    <w:rsid w:val="005F2700"/>
    <w:rsid w:val="005F2750"/>
    <w:rsid w:val="005F2EC0"/>
    <w:rsid w:val="005F2F0A"/>
    <w:rsid w:val="005F302B"/>
    <w:rsid w:val="005F3042"/>
    <w:rsid w:val="005F3428"/>
    <w:rsid w:val="005F36A2"/>
    <w:rsid w:val="005F385A"/>
    <w:rsid w:val="005F3CE2"/>
    <w:rsid w:val="005F3D69"/>
    <w:rsid w:val="005F4029"/>
    <w:rsid w:val="005F4FC0"/>
    <w:rsid w:val="005F5041"/>
    <w:rsid w:val="005F50FF"/>
    <w:rsid w:val="005F5587"/>
    <w:rsid w:val="005F5956"/>
    <w:rsid w:val="005F5984"/>
    <w:rsid w:val="005F5E6C"/>
    <w:rsid w:val="005F5EBF"/>
    <w:rsid w:val="005F5F99"/>
    <w:rsid w:val="005F5FCC"/>
    <w:rsid w:val="005F6100"/>
    <w:rsid w:val="005F6314"/>
    <w:rsid w:val="005F674B"/>
    <w:rsid w:val="005F686D"/>
    <w:rsid w:val="005F693D"/>
    <w:rsid w:val="005F712A"/>
    <w:rsid w:val="005F73B3"/>
    <w:rsid w:val="005F77FB"/>
    <w:rsid w:val="005F794F"/>
    <w:rsid w:val="005F7A21"/>
    <w:rsid w:val="005F7BA0"/>
    <w:rsid w:val="00600089"/>
    <w:rsid w:val="00600496"/>
    <w:rsid w:val="00600876"/>
    <w:rsid w:val="00600BC2"/>
    <w:rsid w:val="0060117C"/>
    <w:rsid w:val="006014AD"/>
    <w:rsid w:val="006014C9"/>
    <w:rsid w:val="006015B0"/>
    <w:rsid w:val="0060160C"/>
    <w:rsid w:val="006018E2"/>
    <w:rsid w:val="0060209D"/>
    <w:rsid w:val="006021DB"/>
    <w:rsid w:val="0060263E"/>
    <w:rsid w:val="00602A08"/>
    <w:rsid w:val="00602B84"/>
    <w:rsid w:val="00603009"/>
    <w:rsid w:val="006036BD"/>
    <w:rsid w:val="006038E5"/>
    <w:rsid w:val="00603B43"/>
    <w:rsid w:val="00603DBC"/>
    <w:rsid w:val="00603E63"/>
    <w:rsid w:val="006040FC"/>
    <w:rsid w:val="00604A78"/>
    <w:rsid w:val="00604AE2"/>
    <w:rsid w:val="00605A32"/>
    <w:rsid w:val="00605FC1"/>
    <w:rsid w:val="00606266"/>
    <w:rsid w:val="00606701"/>
    <w:rsid w:val="00606A1F"/>
    <w:rsid w:val="00606A41"/>
    <w:rsid w:val="006071A0"/>
    <w:rsid w:val="00607694"/>
    <w:rsid w:val="006077A1"/>
    <w:rsid w:val="00607B95"/>
    <w:rsid w:val="00607C88"/>
    <w:rsid w:val="00607ED1"/>
    <w:rsid w:val="006102C2"/>
    <w:rsid w:val="006104B6"/>
    <w:rsid w:val="00610814"/>
    <w:rsid w:val="00610F47"/>
    <w:rsid w:val="00610FF1"/>
    <w:rsid w:val="006112A5"/>
    <w:rsid w:val="00611996"/>
    <w:rsid w:val="00611A65"/>
    <w:rsid w:val="00611E54"/>
    <w:rsid w:val="00611F73"/>
    <w:rsid w:val="00612663"/>
    <w:rsid w:val="00612698"/>
    <w:rsid w:val="00612713"/>
    <w:rsid w:val="00612719"/>
    <w:rsid w:val="00612CAF"/>
    <w:rsid w:val="00612CFD"/>
    <w:rsid w:val="00612D1A"/>
    <w:rsid w:val="00613343"/>
    <w:rsid w:val="006135EE"/>
    <w:rsid w:val="006138B2"/>
    <w:rsid w:val="00613A81"/>
    <w:rsid w:val="00613BF7"/>
    <w:rsid w:val="00613D78"/>
    <w:rsid w:val="006142C0"/>
    <w:rsid w:val="0061454F"/>
    <w:rsid w:val="00614BB8"/>
    <w:rsid w:val="00615105"/>
    <w:rsid w:val="006151BB"/>
    <w:rsid w:val="0061524E"/>
    <w:rsid w:val="00615425"/>
    <w:rsid w:val="00615796"/>
    <w:rsid w:val="00615846"/>
    <w:rsid w:val="00615D85"/>
    <w:rsid w:val="00615F5A"/>
    <w:rsid w:val="0061620A"/>
    <w:rsid w:val="006167A3"/>
    <w:rsid w:val="00616F8D"/>
    <w:rsid w:val="00617467"/>
    <w:rsid w:val="0061781A"/>
    <w:rsid w:val="0061785F"/>
    <w:rsid w:val="00617D12"/>
    <w:rsid w:val="006202A0"/>
    <w:rsid w:val="006202DC"/>
    <w:rsid w:val="006208D8"/>
    <w:rsid w:val="00620F0E"/>
    <w:rsid w:val="00621485"/>
    <w:rsid w:val="00621509"/>
    <w:rsid w:val="00621731"/>
    <w:rsid w:val="00621AD9"/>
    <w:rsid w:val="00621B57"/>
    <w:rsid w:val="00621DDB"/>
    <w:rsid w:val="00621FB7"/>
    <w:rsid w:val="006224F8"/>
    <w:rsid w:val="006228BE"/>
    <w:rsid w:val="006231A7"/>
    <w:rsid w:val="006232E5"/>
    <w:rsid w:val="006234EF"/>
    <w:rsid w:val="00623E36"/>
    <w:rsid w:val="0062407D"/>
    <w:rsid w:val="006240C0"/>
    <w:rsid w:val="0062447F"/>
    <w:rsid w:val="00624716"/>
    <w:rsid w:val="00624E89"/>
    <w:rsid w:val="00625D9F"/>
    <w:rsid w:val="00626321"/>
    <w:rsid w:val="00626734"/>
    <w:rsid w:val="00626A0E"/>
    <w:rsid w:val="00626E2A"/>
    <w:rsid w:val="00627039"/>
    <w:rsid w:val="00627175"/>
    <w:rsid w:val="0062765D"/>
    <w:rsid w:val="00627755"/>
    <w:rsid w:val="00630792"/>
    <w:rsid w:val="0063090D"/>
    <w:rsid w:val="006309A8"/>
    <w:rsid w:val="00630A06"/>
    <w:rsid w:val="00630C20"/>
    <w:rsid w:val="00630CF3"/>
    <w:rsid w:val="006312F8"/>
    <w:rsid w:val="00631AD2"/>
    <w:rsid w:val="00631C01"/>
    <w:rsid w:val="00631F0A"/>
    <w:rsid w:val="006320B9"/>
    <w:rsid w:val="00632161"/>
    <w:rsid w:val="00632465"/>
    <w:rsid w:val="0063259F"/>
    <w:rsid w:val="00632742"/>
    <w:rsid w:val="0063325A"/>
    <w:rsid w:val="006332DB"/>
    <w:rsid w:val="006334D5"/>
    <w:rsid w:val="0063351B"/>
    <w:rsid w:val="00633BED"/>
    <w:rsid w:val="00634242"/>
    <w:rsid w:val="006344AC"/>
    <w:rsid w:val="00634D49"/>
    <w:rsid w:val="0063552E"/>
    <w:rsid w:val="00635551"/>
    <w:rsid w:val="00635965"/>
    <w:rsid w:val="00635F42"/>
    <w:rsid w:val="00636250"/>
    <w:rsid w:val="0063641F"/>
    <w:rsid w:val="00636657"/>
    <w:rsid w:val="00636CDF"/>
    <w:rsid w:val="00636EFC"/>
    <w:rsid w:val="0063730D"/>
    <w:rsid w:val="0063776C"/>
    <w:rsid w:val="0063784A"/>
    <w:rsid w:val="00637866"/>
    <w:rsid w:val="00637A5B"/>
    <w:rsid w:val="00637E83"/>
    <w:rsid w:val="0064022D"/>
    <w:rsid w:val="00640DAB"/>
    <w:rsid w:val="00640DF4"/>
    <w:rsid w:val="00640EBC"/>
    <w:rsid w:val="00640EF2"/>
    <w:rsid w:val="00641B79"/>
    <w:rsid w:val="00641F68"/>
    <w:rsid w:val="00642614"/>
    <w:rsid w:val="006426E9"/>
    <w:rsid w:val="006427D4"/>
    <w:rsid w:val="00643573"/>
    <w:rsid w:val="00643A59"/>
    <w:rsid w:val="00643B00"/>
    <w:rsid w:val="00643C4C"/>
    <w:rsid w:val="006440EE"/>
    <w:rsid w:val="0064518C"/>
    <w:rsid w:val="00645CFA"/>
    <w:rsid w:val="0064611E"/>
    <w:rsid w:val="00646501"/>
    <w:rsid w:val="00646E39"/>
    <w:rsid w:val="0064714C"/>
    <w:rsid w:val="0064714E"/>
    <w:rsid w:val="006471E4"/>
    <w:rsid w:val="00647B4A"/>
    <w:rsid w:val="006502C5"/>
    <w:rsid w:val="00650464"/>
    <w:rsid w:val="0065077B"/>
    <w:rsid w:val="006508B4"/>
    <w:rsid w:val="00650BAB"/>
    <w:rsid w:val="00650BB6"/>
    <w:rsid w:val="00650C17"/>
    <w:rsid w:val="00650E83"/>
    <w:rsid w:val="00650E9F"/>
    <w:rsid w:val="00651072"/>
    <w:rsid w:val="00651150"/>
    <w:rsid w:val="00651285"/>
    <w:rsid w:val="006512E1"/>
    <w:rsid w:val="0065130D"/>
    <w:rsid w:val="00651B95"/>
    <w:rsid w:val="00651D62"/>
    <w:rsid w:val="006522AE"/>
    <w:rsid w:val="006523BB"/>
    <w:rsid w:val="00652496"/>
    <w:rsid w:val="0065278E"/>
    <w:rsid w:val="006528DC"/>
    <w:rsid w:val="00652F6A"/>
    <w:rsid w:val="00653856"/>
    <w:rsid w:val="00653858"/>
    <w:rsid w:val="0065390D"/>
    <w:rsid w:val="006539A3"/>
    <w:rsid w:val="00653B2B"/>
    <w:rsid w:val="00653BA5"/>
    <w:rsid w:val="00653C2A"/>
    <w:rsid w:val="00653D68"/>
    <w:rsid w:val="006543F3"/>
    <w:rsid w:val="00654517"/>
    <w:rsid w:val="00654AF0"/>
    <w:rsid w:val="00654C72"/>
    <w:rsid w:val="00654D92"/>
    <w:rsid w:val="00654FE9"/>
    <w:rsid w:val="006551BF"/>
    <w:rsid w:val="006552DD"/>
    <w:rsid w:val="00655F0F"/>
    <w:rsid w:val="00656248"/>
    <w:rsid w:val="006562C7"/>
    <w:rsid w:val="00656312"/>
    <w:rsid w:val="0065661E"/>
    <w:rsid w:val="00656743"/>
    <w:rsid w:val="00656AD7"/>
    <w:rsid w:val="00656E30"/>
    <w:rsid w:val="00656E88"/>
    <w:rsid w:val="006571A6"/>
    <w:rsid w:val="00657291"/>
    <w:rsid w:val="006572A9"/>
    <w:rsid w:val="00657EC6"/>
    <w:rsid w:val="00657F48"/>
    <w:rsid w:val="0066049B"/>
    <w:rsid w:val="0066056D"/>
    <w:rsid w:val="006606FA"/>
    <w:rsid w:val="006608CB"/>
    <w:rsid w:val="00660C15"/>
    <w:rsid w:val="00661001"/>
    <w:rsid w:val="0066180B"/>
    <w:rsid w:val="006619DE"/>
    <w:rsid w:val="0066237E"/>
    <w:rsid w:val="006625F3"/>
    <w:rsid w:val="00662ECE"/>
    <w:rsid w:val="00662FA7"/>
    <w:rsid w:val="00663E8E"/>
    <w:rsid w:val="006641D0"/>
    <w:rsid w:val="00664479"/>
    <w:rsid w:val="006644F5"/>
    <w:rsid w:val="00664883"/>
    <w:rsid w:val="00664955"/>
    <w:rsid w:val="00664A88"/>
    <w:rsid w:val="00665141"/>
    <w:rsid w:val="00665217"/>
    <w:rsid w:val="006656ED"/>
    <w:rsid w:val="00665791"/>
    <w:rsid w:val="00665860"/>
    <w:rsid w:val="006658E3"/>
    <w:rsid w:val="00665BBA"/>
    <w:rsid w:val="00665F24"/>
    <w:rsid w:val="006661D9"/>
    <w:rsid w:val="0066620B"/>
    <w:rsid w:val="0066650A"/>
    <w:rsid w:val="00666992"/>
    <w:rsid w:val="00666C70"/>
    <w:rsid w:val="00666EFF"/>
    <w:rsid w:val="006670D7"/>
    <w:rsid w:val="006673BC"/>
    <w:rsid w:val="00667439"/>
    <w:rsid w:val="006675A4"/>
    <w:rsid w:val="00667837"/>
    <w:rsid w:val="00667D11"/>
    <w:rsid w:val="00670780"/>
    <w:rsid w:val="00670A6E"/>
    <w:rsid w:val="00670ACA"/>
    <w:rsid w:val="00670BB5"/>
    <w:rsid w:val="00670BCD"/>
    <w:rsid w:val="006711FE"/>
    <w:rsid w:val="006713D5"/>
    <w:rsid w:val="00671A25"/>
    <w:rsid w:val="00671B74"/>
    <w:rsid w:val="006724A7"/>
    <w:rsid w:val="00672695"/>
    <w:rsid w:val="0067299F"/>
    <w:rsid w:val="00672DA0"/>
    <w:rsid w:val="006730B3"/>
    <w:rsid w:val="00673377"/>
    <w:rsid w:val="006733EA"/>
    <w:rsid w:val="00673DE8"/>
    <w:rsid w:val="00674195"/>
    <w:rsid w:val="0067428E"/>
    <w:rsid w:val="00674515"/>
    <w:rsid w:val="00674819"/>
    <w:rsid w:val="00674C0C"/>
    <w:rsid w:val="00675874"/>
    <w:rsid w:val="0067599E"/>
    <w:rsid w:val="00675B9C"/>
    <w:rsid w:val="00675C75"/>
    <w:rsid w:val="00675F71"/>
    <w:rsid w:val="00676232"/>
    <w:rsid w:val="00676751"/>
    <w:rsid w:val="0067694F"/>
    <w:rsid w:val="00676E97"/>
    <w:rsid w:val="00676EB4"/>
    <w:rsid w:val="006770D6"/>
    <w:rsid w:val="0067729A"/>
    <w:rsid w:val="006779C1"/>
    <w:rsid w:val="00677AF9"/>
    <w:rsid w:val="00677B54"/>
    <w:rsid w:val="00677C6E"/>
    <w:rsid w:val="006796F9"/>
    <w:rsid w:val="006803FF"/>
    <w:rsid w:val="00680408"/>
    <w:rsid w:val="00680553"/>
    <w:rsid w:val="00680640"/>
    <w:rsid w:val="0068093B"/>
    <w:rsid w:val="00680CAE"/>
    <w:rsid w:val="0068139A"/>
    <w:rsid w:val="00681A76"/>
    <w:rsid w:val="00681B19"/>
    <w:rsid w:val="00681C1B"/>
    <w:rsid w:val="00681C6D"/>
    <w:rsid w:val="00681E83"/>
    <w:rsid w:val="00682079"/>
    <w:rsid w:val="0068226B"/>
    <w:rsid w:val="0068238E"/>
    <w:rsid w:val="00682689"/>
    <w:rsid w:val="00682A4C"/>
    <w:rsid w:val="00682DE9"/>
    <w:rsid w:val="00683837"/>
    <w:rsid w:val="00683BFA"/>
    <w:rsid w:val="00683CC6"/>
    <w:rsid w:val="006845CA"/>
    <w:rsid w:val="006847FB"/>
    <w:rsid w:val="00684821"/>
    <w:rsid w:val="0068485F"/>
    <w:rsid w:val="00684B06"/>
    <w:rsid w:val="00685562"/>
    <w:rsid w:val="00685910"/>
    <w:rsid w:val="00685B59"/>
    <w:rsid w:val="00685BA6"/>
    <w:rsid w:val="00685DF1"/>
    <w:rsid w:val="00685F8E"/>
    <w:rsid w:val="006861B3"/>
    <w:rsid w:val="0068673A"/>
    <w:rsid w:val="00686BBF"/>
    <w:rsid w:val="00686C15"/>
    <w:rsid w:val="0068761E"/>
    <w:rsid w:val="00687AB5"/>
    <w:rsid w:val="00687E94"/>
    <w:rsid w:val="00690124"/>
    <w:rsid w:val="00690774"/>
    <w:rsid w:val="006907EB"/>
    <w:rsid w:val="00690891"/>
    <w:rsid w:val="00690BE0"/>
    <w:rsid w:val="0069106C"/>
    <w:rsid w:val="0069127B"/>
    <w:rsid w:val="00691CA5"/>
    <w:rsid w:val="00692414"/>
    <w:rsid w:val="00692718"/>
    <w:rsid w:val="00692A91"/>
    <w:rsid w:val="00692AC8"/>
    <w:rsid w:val="00692CB3"/>
    <w:rsid w:val="006932C5"/>
    <w:rsid w:val="006938A7"/>
    <w:rsid w:val="0069391A"/>
    <w:rsid w:val="00693929"/>
    <w:rsid w:val="00693975"/>
    <w:rsid w:val="00693A2A"/>
    <w:rsid w:val="00693AF6"/>
    <w:rsid w:val="00693C22"/>
    <w:rsid w:val="0069494F"/>
    <w:rsid w:val="00695047"/>
    <w:rsid w:val="006950B8"/>
    <w:rsid w:val="006950BB"/>
    <w:rsid w:val="00695105"/>
    <w:rsid w:val="006951DB"/>
    <w:rsid w:val="0069566E"/>
    <w:rsid w:val="006957F7"/>
    <w:rsid w:val="00695A79"/>
    <w:rsid w:val="00695BB6"/>
    <w:rsid w:val="00695F39"/>
    <w:rsid w:val="0069609A"/>
    <w:rsid w:val="0069631A"/>
    <w:rsid w:val="00696484"/>
    <w:rsid w:val="00696560"/>
    <w:rsid w:val="0069667F"/>
    <w:rsid w:val="00696938"/>
    <w:rsid w:val="00696969"/>
    <w:rsid w:val="006975F9"/>
    <w:rsid w:val="00697F7A"/>
    <w:rsid w:val="006A0421"/>
    <w:rsid w:val="006A04D9"/>
    <w:rsid w:val="006A0835"/>
    <w:rsid w:val="006A0E24"/>
    <w:rsid w:val="006A292B"/>
    <w:rsid w:val="006A2962"/>
    <w:rsid w:val="006A296C"/>
    <w:rsid w:val="006A2A3F"/>
    <w:rsid w:val="006A2B2B"/>
    <w:rsid w:val="006A3A78"/>
    <w:rsid w:val="006A3A90"/>
    <w:rsid w:val="006A3CA2"/>
    <w:rsid w:val="006A4DA6"/>
    <w:rsid w:val="006A4FA6"/>
    <w:rsid w:val="006A513E"/>
    <w:rsid w:val="006A54B6"/>
    <w:rsid w:val="006A54C7"/>
    <w:rsid w:val="006A58CB"/>
    <w:rsid w:val="006A5AE0"/>
    <w:rsid w:val="006A5C9B"/>
    <w:rsid w:val="006A6720"/>
    <w:rsid w:val="006A69E5"/>
    <w:rsid w:val="006A6D88"/>
    <w:rsid w:val="006A7BFF"/>
    <w:rsid w:val="006A7E74"/>
    <w:rsid w:val="006A7EC6"/>
    <w:rsid w:val="006A7ED0"/>
    <w:rsid w:val="006B0120"/>
    <w:rsid w:val="006B03F5"/>
    <w:rsid w:val="006B09BA"/>
    <w:rsid w:val="006B0FA1"/>
    <w:rsid w:val="006B0FE7"/>
    <w:rsid w:val="006B1020"/>
    <w:rsid w:val="006B112D"/>
    <w:rsid w:val="006B11E0"/>
    <w:rsid w:val="006B1254"/>
    <w:rsid w:val="006B1410"/>
    <w:rsid w:val="006B155A"/>
    <w:rsid w:val="006B157C"/>
    <w:rsid w:val="006B1BD7"/>
    <w:rsid w:val="006B1CA5"/>
    <w:rsid w:val="006B1CF8"/>
    <w:rsid w:val="006B1D80"/>
    <w:rsid w:val="006B2148"/>
    <w:rsid w:val="006B298F"/>
    <w:rsid w:val="006B2CD5"/>
    <w:rsid w:val="006B2EDA"/>
    <w:rsid w:val="006B2EE3"/>
    <w:rsid w:val="006B2FCE"/>
    <w:rsid w:val="006B33B0"/>
    <w:rsid w:val="006B34EE"/>
    <w:rsid w:val="006B3C40"/>
    <w:rsid w:val="006B3C64"/>
    <w:rsid w:val="006B3F59"/>
    <w:rsid w:val="006B3FD9"/>
    <w:rsid w:val="006B41F8"/>
    <w:rsid w:val="006B4322"/>
    <w:rsid w:val="006B440E"/>
    <w:rsid w:val="006B4B1E"/>
    <w:rsid w:val="006B4D82"/>
    <w:rsid w:val="006B5163"/>
    <w:rsid w:val="006B55D1"/>
    <w:rsid w:val="006B56B5"/>
    <w:rsid w:val="006B5DA4"/>
    <w:rsid w:val="006B6EF7"/>
    <w:rsid w:val="006B6FA6"/>
    <w:rsid w:val="006B7227"/>
    <w:rsid w:val="006B7B4B"/>
    <w:rsid w:val="006C0490"/>
    <w:rsid w:val="006C08FE"/>
    <w:rsid w:val="006C093C"/>
    <w:rsid w:val="006C0A18"/>
    <w:rsid w:val="006C0A94"/>
    <w:rsid w:val="006C0C69"/>
    <w:rsid w:val="006C189E"/>
    <w:rsid w:val="006C1CAA"/>
    <w:rsid w:val="006C1CD3"/>
    <w:rsid w:val="006C1CFF"/>
    <w:rsid w:val="006C236A"/>
    <w:rsid w:val="006C26DD"/>
    <w:rsid w:val="006C26E1"/>
    <w:rsid w:val="006C30A2"/>
    <w:rsid w:val="006C31E9"/>
    <w:rsid w:val="006C35D0"/>
    <w:rsid w:val="006C3878"/>
    <w:rsid w:val="006C3CC9"/>
    <w:rsid w:val="006C40F9"/>
    <w:rsid w:val="006C4200"/>
    <w:rsid w:val="006C459C"/>
    <w:rsid w:val="006C45C2"/>
    <w:rsid w:val="006C478C"/>
    <w:rsid w:val="006C5677"/>
    <w:rsid w:val="006C633D"/>
    <w:rsid w:val="006C669D"/>
    <w:rsid w:val="006C6B18"/>
    <w:rsid w:val="006C6BC5"/>
    <w:rsid w:val="006C6BCE"/>
    <w:rsid w:val="006C71DB"/>
    <w:rsid w:val="006C71DD"/>
    <w:rsid w:val="006C73DA"/>
    <w:rsid w:val="006C74FA"/>
    <w:rsid w:val="006C775E"/>
    <w:rsid w:val="006C7760"/>
    <w:rsid w:val="006D0402"/>
    <w:rsid w:val="006D0799"/>
    <w:rsid w:val="006D1F01"/>
    <w:rsid w:val="006D1F1A"/>
    <w:rsid w:val="006D1FAA"/>
    <w:rsid w:val="006D2106"/>
    <w:rsid w:val="006D2603"/>
    <w:rsid w:val="006D2ECB"/>
    <w:rsid w:val="006D30B0"/>
    <w:rsid w:val="006D30B8"/>
    <w:rsid w:val="006D339B"/>
    <w:rsid w:val="006D3BC2"/>
    <w:rsid w:val="006D3CD9"/>
    <w:rsid w:val="006D3CF2"/>
    <w:rsid w:val="006D3E2E"/>
    <w:rsid w:val="006D4591"/>
    <w:rsid w:val="006D4A2E"/>
    <w:rsid w:val="006D4F99"/>
    <w:rsid w:val="006D537A"/>
    <w:rsid w:val="006D54FA"/>
    <w:rsid w:val="006D556D"/>
    <w:rsid w:val="006D55E0"/>
    <w:rsid w:val="006D56D0"/>
    <w:rsid w:val="006D573A"/>
    <w:rsid w:val="006D576F"/>
    <w:rsid w:val="006D5C1E"/>
    <w:rsid w:val="006D5D14"/>
    <w:rsid w:val="006D6069"/>
    <w:rsid w:val="006D60A1"/>
    <w:rsid w:val="006D60D8"/>
    <w:rsid w:val="006D6149"/>
    <w:rsid w:val="006D6272"/>
    <w:rsid w:val="006D6940"/>
    <w:rsid w:val="006D6E62"/>
    <w:rsid w:val="006D7112"/>
    <w:rsid w:val="006D717E"/>
    <w:rsid w:val="006D71DF"/>
    <w:rsid w:val="006D79D8"/>
    <w:rsid w:val="006E0BD3"/>
    <w:rsid w:val="006E1C21"/>
    <w:rsid w:val="006E1F40"/>
    <w:rsid w:val="006E2109"/>
    <w:rsid w:val="006E2390"/>
    <w:rsid w:val="006E3481"/>
    <w:rsid w:val="006E396E"/>
    <w:rsid w:val="006E3C46"/>
    <w:rsid w:val="006E3D5B"/>
    <w:rsid w:val="006E3E6B"/>
    <w:rsid w:val="006E4386"/>
    <w:rsid w:val="006E43D5"/>
    <w:rsid w:val="006E4922"/>
    <w:rsid w:val="006E4BB6"/>
    <w:rsid w:val="006E52DF"/>
    <w:rsid w:val="006E65D0"/>
    <w:rsid w:val="006E6945"/>
    <w:rsid w:val="006E6D7C"/>
    <w:rsid w:val="006E6E10"/>
    <w:rsid w:val="006E6F1E"/>
    <w:rsid w:val="006E6F51"/>
    <w:rsid w:val="006E7039"/>
    <w:rsid w:val="006E769C"/>
    <w:rsid w:val="006E796A"/>
    <w:rsid w:val="006E7C1E"/>
    <w:rsid w:val="006E7D5D"/>
    <w:rsid w:val="006E7D6F"/>
    <w:rsid w:val="006E8186"/>
    <w:rsid w:val="006F0042"/>
    <w:rsid w:val="006F0303"/>
    <w:rsid w:val="006F03B9"/>
    <w:rsid w:val="006F0721"/>
    <w:rsid w:val="006F095C"/>
    <w:rsid w:val="006F0DA1"/>
    <w:rsid w:val="006F0EC2"/>
    <w:rsid w:val="006F105B"/>
    <w:rsid w:val="006F117D"/>
    <w:rsid w:val="006F15BC"/>
    <w:rsid w:val="006F1833"/>
    <w:rsid w:val="006F1951"/>
    <w:rsid w:val="006F1A49"/>
    <w:rsid w:val="006F1FF2"/>
    <w:rsid w:val="006F225A"/>
    <w:rsid w:val="006F2608"/>
    <w:rsid w:val="006F2B40"/>
    <w:rsid w:val="006F2E00"/>
    <w:rsid w:val="006F2E98"/>
    <w:rsid w:val="006F2ECF"/>
    <w:rsid w:val="006F2EE3"/>
    <w:rsid w:val="006F32E5"/>
    <w:rsid w:val="006F34CE"/>
    <w:rsid w:val="006F37DC"/>
    <w:rsid w:val="006F3EB4"/>
    <w:rsid w:val="006F40FF"/>
    <w:rsid w:val="006F4569"/>
    <w:rsid w:val="006F4BB6"/>
    <w:rsid w:val="006F4BE6"/>
    <w:rsid w:val="006F5431"/>
    <w:rsid w:val="006F56B1"/>
    <w:rsid w:val="006F577C"/>
    <w:rsid w:val="006F5968"/>
    <w:rsid w:val="006F596D"/>
    <w:rsid w:val="006F62C9"/>
    <w:rsid w:val="006F65AC"/>
    <w:rsid w:val="006F680D"/>
    <w:rsid w:val="006F6F64"/>
    <w:rsid w:val="006F732F"/>
    <w:rsid w:val="006F734C"/>
    <w:rsid w:val="006F774E"/>
    <w:rsid w:val="006F789E"/>
    <w:rsid w:val="006F7CE1"/>
    <w:rsid w:val="00700154"/>
    <w:rsid w:val="0070021B"/>
    <w:rsid w:val="0070032C"/>
    <w:rsid w:val="00700A98"/>
    <w:rsid w:val="00701454"/>
    <w:rsid w:val="00701476"/>
    <w:rsid w:val="00701682"/>
    <w:rsid w:val="0070168B"/>
    <w:rsid w:val="007016CC"/>
    <w:rsid w:val="007020AF"/>
    <w:rsid w:val="0070243A"/>
    <w:rsid w:val="007024E4"/>
    <w:rsid w:val="0070259E"/>
    <w:rsid w:val="007027FC"/>
    <w:rsid w:val="00702D87"/>
    <w:rsid w:val="00702F0E"/>
    <w:rsid w:val="00702F37"/>
    <w:rsid w:val="0070305F"/>
    <w:rsid w:val="007030BA"/>
    <w:rsid w:val="00703420"/>
    <w:rsid w:val="0070344F"/>
    <w:rsid w:val="00703511"/>
    <w:rsid w:val="007035B7"/>
    <w:rsid w:val="00703BA4"/>
    <w:rsid w:val="00703D1E"/>
    <w:rsid w:val="00703F26"/>
    <w:rsid w:val="00703FA1"/>
    <w:rsid w:val="007040CC"/>
    <w:rsid w:val="007047C3"/>
    <w:rsid w:val="007047EA"/>
    <w:rsid w:val="00704812"/>
    <w:rsid w:val="00704870"/>
    <w:rsid w:val="007056D2"/>
    <w:rsid w:val="007057CF"/>
    <w:rsid w:val="0070589F"/>
    <w:rsid w:val="00705A6C"/>
    <w:rsid w:val="00705C3C"/>
    <w:rsid w:val="00705E39"/>
    <w:rsid w:val="007064B0"/>
    <w:rsid w:val="00707A4D"/>
    <w:rsid w:val="00707AEF"/>
    <w:rsid w:val="00710222"/>
    <w:rsid w:val="007102DA"/>
    <w:rsid w:val="007102EE"/>
    <w:rsid w:val="007104EB"/>
    <w:rsid w:val="007110C8"/>
    <w:rsid w:val="00711193"/>
    <w:rsid w:val="007114B8"/>
    <w:rsid w:val="00711940"/>
    <w:rsid w:val="00711C47"/>
    <w:rsid w:val="00711EFB"/>
    <w:rsid w:val="0071222C"/>
    <w:rsid w:val="00712253"/>
    <w:rsid w:val="00712370"/>
    <w:rsid w:val="0071254E"/>
    <w:rsid w:val="00712A49"/>
    <w:rsid w:val="00712A98"/>
    <w:rsid w:val="00712E38"/>
    <w:rsid w:val="00712FC5"/>
    <w:rsid w:val="0071322B"/>
    <w:rsid w:val="007134E4"/>
    <w:rsid w:val="00713626"/>
    <w:rsid w:val="00713957"/>
    <w:rsid w:val="00713A4A"/>
    <w:rsid w:val="00713C6E"/>
    <w:rsid w:val="00713F95"/>
    <w:rsid w:val="007143C0"/>
    <w:rsid w:val="007143C3"/>
    <w:rsid w:val="0071454E"/>
    <w:rsid w:val="0071477D"/>
    <w:rsid w:val="00714A56"/>
    <w:rsid w:val="00714B5C"/>
    <w:rsid w:val="0071542C"/>
    <w:rsid w:val="00715802"/>
    <w:rsid w:val="00715893"/>
    <w:rsid w:val="007159E6"/>
    <w:rsid w:val="00715BDF"/>
    <w:rsid w:val="0071627C"/>
    <w:rsid w:val="00716298"/>
    <w:rsid w:val="0071676E"/>
    <w:rsid w:val="0071690E"/>
    <w:rsid w:val="00716B08"/>
    <w:rsid w:val="00716BA1"/>
    <w:rsid w:val="0071707B"/>
    <w:rsid w:val="0071742B"/>
    <w:rsid w:val="0071752F"/>
    <w:rsid w:val="007176CE"/>
    <w:rsid w:val="007177DC"/>
    <w:rsid w:val="00717850"/>
    <w:rsid w:val="00717863"/>
    <w:rsid w:val="00717A02"/>
    <w:rsid w:val="00717C3A"/>
    <w:rsid w:val="00717F12"/>
    <w:rsid w:val="007201DD"/>
    <w:rsid w:val="0072024F"/>
    <w:rsid w:val="00720520"/>
    <w:rsid w:val="007207CB"/>
    <w:rsid w:val="0072083C"/>
    <w:rsid w:val="00720D1B"/>
    <w:rsid w:val="00720D40"/>
    <w:rsid w:val="00720E0E"/>
    <w:rsid w:val="00720E28"/>
    <w:rsid w:val="00720F47"/>
    <w:rsid w:val="00720F61"/>
    <w:rsid w:val="007213CA"/>
    <w:rsid w:val="007214B1"/>
    <w:rsid w:val="007219E4"/>
    <w:rsid w:val="00721A46"/>
    <w:rsid w:val="00721DCF"/>
    <w:rsid w:val="00721EB5"/>
    <w:rsid w:val="00721F53"/>
    <w:rsid w:val="00722193"/>
    <w:rsid w:val="007221A3"/>
    <w:rsid w:val="007233C2"/>
    <w:rsid w:val="00723D02"/>
    <w:rsid w:val="00724550"/>
    <w:rsid w:val="0072478C"/>
    <w:rsid w:val="00724BAF"/>
    <w:rsid w:val="00724DF3"/>
    <w:rsid w:val="00724E48"/>
    <w:rsid w:val="00724FC7"/>
    <w:rsid w:val="0072536D"/>
    <w:rsid w:val="0072543A"/>
    <w:rsid w:val="0072554E"/>
    <w:rsid w:val="0072558A"/>
    <w:rsid w:val="00725D92"/>
    <w:rsid w:val="007260FA"/>
    <w:rsid w:val="0072641F"/>
    <w:rsid w:val="00726429"/>
    <w:rsid w:val="007269B8"/>
    <w:rsid w:val="00726A95"/>
    <w:rsid w:val="007270A2"/>
    <w:rsid w:val="0072714C"/>
    <w:rsid w:val="0072732A"/>
    <w:rsid w:val="00727B82"/>
    <w:rsid w:val="007301BF"/>
    <w:rsid w:val="00730EB7"/>
    <w:rsid w:val="00730FCA"/>
    <w:rsid w:val="00730FF2"/>
    <w:rsid w:val="007315DE"/>
    <w:rsid w:val="007316F4"/>
    <w:rsid w:val="00731ED4"/>
    <w:rsid w:val="00731F4A"/>
    <w:rsid w:val="00732745"/>
    <w:rsid w:val="0073294D"/>
    <w:rsid w:val="00732DCC"/>
    <w:rsid w:val="00732FC6"/>
    <w:rsid w:val="0073377E"/>
    <w:rsid w:val="0073383A"/>
    <w:rsid w:val="007338CC"/>
    <w:rsid w:val="00733909"/>
    <w:rsid w:val="00733AA8"/>
    <w:rsid w:val="00733B8C"/>
    <w:rsid w:val="0073402C"/>
    <w:rsid w:val="0073409F"/>
    <w:rsid w:val="007347C3"/>
    <w:rsid w:val="00734C3C"/>
    <w:rsid w:val="00734C96"/>
    <w:rsid w:val="00734D46"/>
    <w:rsid w:val="007351C0"/>
    <w:rsid w:val="0073552C"/>
    <w:rsid w:val="00735856"/>
    <w:rsid w:val="0073589F"/>
    <w:rsid w:val="007358A0"/>
    <w:rsid w:val="007364C4"/>
    <w:rsid w:val="00736609"/>
    <w:rsid w:val="007369B7"/>
    <w:rsid w:val="00736AB0"/>
    <w:rsid w:val="007370BA"/>
    <w:rsid w:val="00737420"/>
    <w:rsid w:val="00737C3E"/>
    <w:rsid w:val="0074057A"/>
    <w:rsid w:val="0074058B"/>
    <w:rsid w:val="007405FD"/>
    <w:rsid w:val="0074078D"/>
    <w:rsid w:val="00740C83"/>
    <w:rsid w:val="007413B1"/>
    <w:rsid w:val="007416C7"/>
    <w:rsid w:val="0074171B"/>
    <w:rsid w:val="007418CC"/>
    <w:rsid w:val="00742629"/>
    <w:rsid w:val="0074294C"/>
    <w:rsid w:val="00742C84"/>
    <w:rsid w:val="0074314D"/>
    <w:rsid w:val="007431D1"/>
    <w:rsid w:val="00743512"/>
    <w:rsid w:val="00743595"/>
    <w:rsid w:val="007435CB"/>
    <w:rsid w:val="007435F4"/>
    <w:rsid w:val="00743A4D"/>
    <w:rsid w:val="00743F41"/>
    <w:rsid w:val="00743FF2"/>
    <w:rsid w:val="0074421F"/>
    <w:rsid w:val="00744373"/>
    <w:rsid w:val="0074480E"/>
    <w:rsid w:val="00744D41"/>
    <w:rsid w:val="00744E4B"/>
    <w:rsid w:val="00744F93"/>
    <w:rsid w:val="00745568"/>
    <w:rsid w:val="0074580B"/>
    <w:rsid w:val="007458A5"/>
    <w:rsid w:val="00745A97"/>
    <w:rsid w:val="00746036"/>
    <w:rsid w:val="00746096"/>
    <w:rsid w:val="00746639"/>
    <w:rsid w:val="00747296"/>
    <w:rsid w:val="0074783C"/>
    <w:rsid w:val="0074797D"/>
    <w:rsid w:val="00747A0A"/>
    <w:rsid w:val="00747B77"/>
    <w:rsid w:val="00747BEA"/>
    <w:rsid w:val="007500D8"/>
    <w:rsid w:val="0075069F"/>
    <w:rsid w:val="00750C47"/>
    <w:rsid w:val="00750FFB"/>
    <w:rsid w:val="00751167"/>
    <w:rsid w:val="00751671"/>
    <w:rsid w:val="0075182E"/>
    <w:rsid w:val="007519B3"/>
    <w:rsid w:val="00751E34"/>
    <w:rsid w:val="00751EBF"/>
    <w:rsid w:val="00752117"/>
    <w:rsid w:val="007524D2"/>
    <w:rsid w:val="00752524"/>
    <w:rsid w:val="007525CC"/>
    <w:rsid w:val="00752836"/>
    <w:rsid w:val="00752B5C"/>
    <w:rsid w:val="00752CA8"/>
    <w:rsid w:val="00752FE2"/>
    <w:rsid w:val="0075320B"/>
    <w:rsid w:val="007537F8"/>
    <w:rsid w:val="00753835"/>
    <w:rsid w:val="0075393C"/>
    <w:rsid w:val="00753DA2"/>
    <w:rsid w:val="00753EA1"/>
    <w:rsid w:val="00753F4C"/>
    <w:rsid w:val="00753F60"/>
    <w:rsid w:val="0075458E"/>
    <w:rsid w:val="00755127"/>
    <w:rsid w:val="007556BE"/>
    <w:rsid w:val="00755838"/>
    <w:rsid w:val="00755C2E"/>
    <w:rsid w:val="00755E65"/>
    <w:rsid w:val="007562D1"/>
    <w:rsid w:val="007564F5"/>
    <w:rsid w:val="00756A4C"/>
    <w:rsid w:val="00756F9B"/>
    <w:rsid w:val="0075701F"/>
    <w:rsid w:val="00757344"/>
    <w:rsid w:val="0075770A"/>
    <w:rsid w:val="00757765"/>
    <w:rsid w:val="00757864"/>
    <w:rsid w:val="00757A7D"/>
    <w:rsid w:val="00757C6B"/>
    <w:rsid w:val="007604FA"/>
    <w:rsid w:val="007608D8"/>
    <w:rsid w:val="007608E0"/>
    <w:rsid w:val="00760C0A"/>
    <w:rsid w:val="00760C9C"/>
    <w:rsid w:val="00760F8E"/>
    <w:rsid w:val="00761445"/>
    <w:rsid w:val="00761618"/>
    <w:rsid w:val="00761689"/>
    <w:rsid w:val="007616D9"/>
    <w:rsid w:val="00761825"/>
    <w:rsid w:val="00761B8B"/>
    <w:rsid w:val="00762384"/>
    <w:rsid w:val="0076261A"/>
    <w:rsid w:val="007626C4"/>
    <w:rsid w:val="0076281A"/>
    <w:rsid w:val="0076281D"/>
    <w:rsid w:val="00762866"/>
    <w:rsid w:val="00762D55"/>
    <w:rsid w:val="00762F01"/>
    <w:rsid w:val="00762F91"/>
    <w:rsid w:val="00763672"/>
    <w:rsid w:val="00763B02"/>
    <w:rsid w:val="0076430D"/>
    <w:rsid w:val="0076437B"/>
    <w:rsid w:val="007644DC"/>
    <w:rsid w:val="00764983"/>
    <w:rsid w:val="00764B50"/>
    <w:rsid w:val="00764FB8"/>
    <w:rsid w:val="0076513A"/>
    <w:rsid w:val="0076519D"/>
    <w:rsid w:val="00765256"/>
    <w:rsid w:val="007654A8"/>
    <w:rsid w:val="0076560C"/>
    <w:rsid w:val="007656DD"/>
    <w:rsid w:val="007659C6"/>
    <w:rsid w:val="00765A84"/>
    <w:rsid w:val="00765BE9"/>
    <w:rsid w:val="00765F2A"/>
    <w:rsid w:val="007667FB"/>
    <w:rsid w:val="00766BB4"/>
    <w:rsid w:val="00766C66"/>
    <w:rsid w:val="00767152"/>
    <w:rsid w:val="007671A7"/>
    <w:rsid w:val="007675FF"/>
    <w:rsid w:val="00767A1C"/>
    <w:rsid w:val="00767BD7"/>
    <w:rsid w:val="00767C54"/>
    <w:rsid w:val="00767C80"/>
    <w:rsid w:val="007700E7"/>
    <w:rsid w:val="00770A28"/>
    <w:rsid w:val="00770AB8"/>
    <w:rsid w:val="00770BA6"/>
    <w:rsid w:val="007712B8"/>
    <w:rsid w:val="00771372"/>
    <w:rsid w:val="0077162F"/>
    <w:rsid w:val="00771648"/>
    <w:rsid w:val="0077173D"/>
    <w:rsid w:val="00771836"/>
    <w:rsid w:val="007718F2"/>
    <w:rsid w:val="007719DB"/>
    <w:rsid w:val="00771FE2"/>
    <w:rsid w:val="00771FEC"/>
    <w:rsid w:val="00772220"/>
    <w:rsid w:val="0077275F"/>
    <w:rsid w:val="00772AEE"/>
    <w:rsid w:val="00772DF1"/>
    <w:rsid w:val="007734E9"/>
    <w:rsid w:val="00773F70"/>
    <w:rsid w:val="007741FD"/>
    <w:rsid w:val="007743B1"/>
    <w:rsid w:val="0077455E"/>
    <w:rsid w:val="0077471A"/>
    <w:rsid w:val="00774903"/>
    <w:rsid w:val="007749B6"/>
    <w:rsid w:val="00774C35"/>
    <w:rsid w:val="00774DB5"/>
    <w:rsid w:val="00775078"/>
    <w:rsid w:val="00775083"/>
    <w:rsid w:val="00775957"/>
    <w:rsid w:val="00775CA9"/>
    <w:rsid w:val="007763FC"/>
    <w:rsid w:val="00776B0B"/>
    <w:rsid w:val="00776BE0"/>
    <w:rsid w:val="00776E02"/>
    <w:rsid w:val="00776FCF"/>
    <w:rsid w:val="007771AA"/>
    <w:rsid w:val="00777546"/>
    <w:rsid w:val="007779EE"/>
    <w:rsid w:val="00777CC6"/>
    <w:rsid w:val="00780192"/>
    <w:rsid w:val="00780C40"/>
    <w:rsid w:val="007814BE"/>
    <w:rsid w:val="00781AD6"/>
    <w:rsid w:val="00781DEC"/>
    <w:rsid w:val="00782657"/>
    <w:rsid w:val="0078278E"/>
    <w:rsid w:val="007830BA"/>
    <w:rsid w:val="00783240"/>
    <w:rsid w:val="00783642"/>
    <w:rsid w:val="007836E0"/>
    <w:rsid w:val="00783CE9"/>
    <w:rsid w:val="00783D59"/>
    <w:rsid w:val="00783EAC"/>
    <w:rsid w:val="00784292"/>
    <w:rsid w:val="00784605"/>
    <w:rsid w:val="0078463C"/>
    <w:rsid w:val="00784AC2"/>
    <w:rsid w:val="00784BFB"/>
    <w:rsid w:val="0078541D"/>
    <w:rsid w:val="00785615"/>
    <w:rsid w:val="00785D37"/>
    <w:rsid w:val="0078646E"/>
    <w:rsid w:val="007867F2"/>
    <w:rsid w:val="00786999"/>
    <w:rsid w:val="00786CBC"/>
    <w:rsid w:val="00786DF3"/>
    <w:rsid w:val="007875AA"/>
    <w:rsid w:val="00787968"/>
    <w:rsid w:val="00787A3A"/>
    <w:rsid w:val="00787D46"/>
    <w:rsid w:val="0079007D"/>
    <w:rsid w:val="00790184"/>
    <w:rsid w:val="007903CF"/>
    <w:rsid w:val="007906BE"/>
    <w:rsid w:val="007921E0"/>
    <w:rsid w:val="007926AC"/>
    <w:rsid w:val="00792C72"/>
    <w:rsid w:val="00792EC2"/>
    <w:rsid w:val="00793220"/>
    <w:rsid w:val="0079341A"/>
    <w:rsid w:val="00793EF5"/>
    <w:rsid w:val="00794D20"/>
    <w:rsid w:val="00794E08"/>
    <w:rsid w:val="00794F3A"/>
    <w:rsid w:val="00794FA3"/>
    <w:rsid w:val="0079515A"/>
    <w:rsid w:val="007959D9"/>
    <w:rsid w:val="00795ACC"/>
    <w:rsid w:val="00795AE4"/>
    <w:rsid w:val="00795C6D"/>
    <w:rsid w:val="00795E16"/>
    <w:rsid w:val="00796209"/>
    <w:rsid w:val="00796613"/>
    <w:rsid w:val="007968AC"/>
    <w:rsid w:val="00797818"/>
    <w:rsid w:val="007A09F6"/>
    <w:rsid w:val="007A0D89"/>
    <w:rsid w:val="007A0E79"/>
    <w:rsid w:val="007A101A"/>
    <w:rsid w:val="007A11E0"/>
    <w:rsid w:val="007A1516"/>
    <w:rsid w:val="007A1668"/>
    <w:rsid w:val="007A1C2C"/>
    <w:rsid w:val="007A1F89"/>
    <w:rsid w:val="007A2114"/>
    <w:rsid w:val="007A2355"/>
    <w:rsid w:val="007A2434"/>
    <w:rsid w:val="007A24B2"/>
    <w:rsid w:val="007A2AA5"/>
    <w:rsid w:val="007A2C0A"/>
    <w:rsid w:val="007A2EB2"/>
    <w:rsid w:val="007A324D"/>
    <w:rsid w:val="007A3373"/>
    <w:rsid w:val="007A424B"/>
    <w:rsid w:val="007A4691"/>
    <w:rsid w:val="007A4877"/>
    <w:rsid w:val="007A489D"/>
    <w:rsid w:val="007A4B22"/>
    <w:rsid w:val="007A4E73"/>
    <w:rsid w:val="007A5084"/>
    <w:rsid w:val="007A511B"/>
    <w:rsid w:val="007A51C2"/>
    <w:rsid w:val="007A539F"/>
    <w:rsid w:val="007A5416"/>
    <w:rsid w:val="007A55F3"/>
    <w:rsid w:val="007A578F"/>
    <w:rsid w:val="007A5908"/>
    <w:rsid w:val="007A5C9D"/>
    <w:rsid w:val="007A62D7"/>
    <w:rsid w:val="007A6397"/>
    <w:rsid w:val="007A6757"/>
    <w:rsid w:val="007A6862"/>
    <w:rsid w:val="007A6AA6"/>
    <w:rsid w:val="007A6DF6"/>
    <w:rsid w:val="007A7353"/>
    <w:rsid w:val="007A74CC"/>
    <w:rsid w:val="007A7866"/>
    <w:rsid w:val="007A7C31"/>
    <w:rsid w:val="007B00D4"/>
    <w:rsid w:val="007B08E2"/>
    <w:rsid w:val="007B0A4D"/>
    <w:rsid w:val="007B0B36"/>
    <w:rsid w:val="007B0B8B"/>
    <w:rsid w:val="007B0B8C"/>
    <w:rsid w:val="007B1206"/>
    <w:rsid w:val="007B1291"/>
    <w:rsid w:val="007B176C"/>
    <w:rsid w:val="007B17D8"/>
    <w:rsid w:val="007B180C"/>
    <w:rsid w:val="007B1888"/>
    <w:rsid w:val="007B1AA8"/>
    <w:rsid w:val="007B1C92"/>
    <w:rsid w:val="007B1EFF"/>
    <w:rsid w:val="007B2242"/>
    <w:rsid w:val="007B2579"/>
    <w:rsid w:val="007B25F8"/>
    <w:rsid w:val="007B2B1F"/>
    <w:rsid w:val="007B2CC8"/>
    <w:rsid w:val="007B2DAF"/>
    <w:rsid w:val="007B325D"/>
    <w:rsid w:val="007B3282"/>
    <w:rsid w:val="007B3316"/>
    <w:rsid w:val="007B3762"/>
    <w:rsid w:val="007B3910"/>
    <w:rsid w:val="007B3A4A"/>
    <w:rsid w:val="007B3B0A"/>
    <w:rsid w:val="007B3DA0"/>
    <w:rsid w:val="007B452D"/>
    <w:rsid w:val="007B4645"/>
    <w:rsid w:val="007B46CF"/>
    <w:rsid w:val="007B4C67"/>
    <w:rsid w:val="007B4E40"/>
    <w:rsid w:val="007B4E7A"/>
    <w:rsid w:val="007B4F65"/>
    <w:rsid w:val="007B512C"/>
    <w:rsid w:val="007B5299"/>
    <w:rsid w:val="007B5316"/>
    <w:rsid w:val="007B531F"/>
    <w:rsid w:val="007B57F9"/>
    <w:rsid w:val="007B599E"/>
    <w:rsid w:val="007B5D6E"/>
    <w:rsid w:val="007B5FD1"/>
    <w:rsid w:val="007B6B68"/>
    <w:rsid w:val="007B6E37"/>
    <w:rsid w:val="007B6E55"/>
    <w:rsid w:val="007B6FC9"/>
    <w:rsid w:val="007B72AA"/>
    <w:rsid w:val="007B7373"/>
    <w:rsid w:val="007B7563"/>
    <w:rsid w:val="007B7630"/>
    <w:rsid w:val="007B76C6"/>
    <w:rsid w:val="007B7A4D"/>
    <w:rsid w:val="007B7ADF"/>
    <w:rsid w:val="007C044F"/>
    <w:rsid w:val="007C054E"/>
    <w:rsid w:val="007C0557"/>
    <w:rsid w:val="007C0B76"/>
    <w:rsid w:val="007C0B85"/>
    <w:rsid w:val="007C0E28"/>
    <w:rsid w:val="007C154C"/>
    <w:rsid w:val="007C162B"/>
    <w:rsid w:val="007C1654"/>
    <w:rsid w:val="007C1A74"/>
    <w:rsid w:val="007C1ADC"/>
    <w:rsid w:val="007C1FA6"/>
    <w:rsid w:val="007C25D1"/>
    <w:rsid w:val="007C270D"/>
    <w:rsid w:val="007C29B9"/>
    <w:rsid w:val="007C2B2F"/>
    <w:rsid w:val="007C2B3D"/>
    <w:rsid w:val="007C2F62"/>
    <w:rsid w:val="007C31DD"/>
    <w:rsid w:val="007C3344"/>
    <w:rsid w:val="007C3443"/>
    <w:rsid w:val="007C404B"/>
    <w:rsid w:val="007C41B1"/>
    <w:rsid w:val="007C420B"/>
    <w:rsid w:val="007C488C"/>
    <w:rsid w:val="007C48E0"/>
    <w:rsid w:val="007C4B79"/>
    <w:rsid w:val="007C546A"/>
    <w:rsid w:val="007C55FE"/>
    <w:rsid w:val="007C5F38"/>
    <w:rsid w:val="007C6343"/>
    <w:rsid w:val="007C64C8"/>
    <w:rsid w:val="007C667C"/>
    <w:rsid w:val="007C69E0"/>
    <w:rsid w:val="007C73F9"/>
    <w:rsid w:val="007C742F"/>
    <w:rsid w:val="007C74BE"/>
    <w:rsid w:val="007C759B"/>
    <w:rsid w:val="007C7BAD"/>
    <w:rsid w:val="007C7D51"/>
    <w:rsid w:val="007D0031"/>
    <w:rsid w:val="007D01C4"/>
    <w:rsid w:val="007D01D9"/>
    <w:rsid w:val="007D03C2"/>
    <w:rsid w:val="007D08B7"/>
    <w:rsid w:val="007D0909"/>
    <w:rsid w:val="007D0A42"/>
    <w:rsid w:val="007D1109"/>
    <w:rsid w:val="007D1395"/>
    <w:rsid w:val="007D1488"/>
    <w:rsid w:val="007D1765"/>
    <w:rsid w:val="007D20A5"/>
    <w:rsid w:val="007D2528"/>
    <w:rsid w:val="007D28F5"/>
    <w:rsid w:val="007D2A5B"/>
    <w:rsid w:val="007D2BC1"/>
    <w:rsid w:val="007D2C04"/>
    <w:rsid w:val="007D2C9D"/>
    <w:rsid w:val="007D2D69"/>
    <w:rsid w:val="007D2D84"/>
    <w:rsid w:val="007D30B0"/>
    <w:rsid w:val="007D31F1"/>
    <w:rsid w:val="007D3397"/>
    <w:rsid w:val="007D350D"/>
    <w:rsid w:val="007D4002"/>
    <w:rsid w:val="007D43E2"/>
    <w:rsid w:val="007D46A2"/>
    <w:rsid w:val="007D47D9"/>
    <w:rsid w:val="007D490D"/>
    <w:rsid w:val="007D51FF"/>
    <w:rsid w:val="007D537E"/>
    <w:rsid w:val="007D5C22"/>
    <w:rsid w:val="007D5C4F"/>
    <w:rsid w:val="007D6793"/>
    <w:rsid w:val="007D67E2"/>
    <w:rsid w:val="007D68AB"/>
    <w:rsid w:val="007D6CCC"/>
    <w:rsid w:val="007D7A42"/>
    <w:rsid w:val="007E01E0"/>
    <w:rsid w:val="007E0277"/>
    <w:rsid w:val="007E03F7"/>
    <w:rsid w:val="007E04CF"/>
    <w:rsid w:val="007E0561"/>
    <w:rsid w:val="007E05E1"/>
    <w:rsid w:val="007E0BBB"/>
    <w:rsid w:val="007E13AF"/>
    <w:rsid w:val="007E161C"/>
    <w:rsid w:val="007E173F"/>
    <w:rsid w:val="007E1884"/>
    <w:rsid w:val="007E284F"/>
    <w:rsid w:val="007E2A2A"/>
    <w:rsid w:val="007E356D"/>
    <w:rsid w:val="007E3B45"/>
    <w:rsid w:val="007E3DD2"/>
    <w:rsid w:val="007E3E69"/>
    <w:rsid w:val="007E4064"/>
    <w:rsid w:val="007E40D0"/>
    <w:rsid w:val="007E4735"/>
    <w:rsid w:val="007E4DBF"/>
    <w:rsid w:val="007E5085"/>
    <w:rsid w:val="007E577F"/>
    <w:rsid w:val="007E624F"/>
    <w:rsid w:val="007E628E"/>
    <w:rsid w:val="007E6724"/>
    <w:rsid w:val="007E6BAA"/>
    <w:rsid w:val="007E6E19"/>
    <w:rsid w:val="007E7BFF"/>
    <w:rsid w:val="007E7D0C"/>
    <w:rsid w:val="007E7EC4"/>
    <w:rsid w:val="007F0200"/>
    <w:rsid w:val="007F02B5"/>
    <w:rsid w:val="007F0459"/>
    <w:rsid w:val="007F0745"/>
    <w:rsid w:val="007F0764"/>
    <w:rsid w:val="007F0859"/>
    <w:rsid w:val="007F085E"/>
    <w:rsid w:val="007F19BD"/>
    <w:rsid w:val="007F1FFB"/>
    <w:rsid w:val="007F2102"/>
    <w:rsid w:val="007F2118"/>
    <w:rsid w:val="007F233E"/>
    <w:rsid w:val="007F27DF"/>
    <w:rsid w:val="007F27FA"/>
    <w:rsid w:val="007F2C25"/>
    <w:rsid w:val="007F3194"/>
    <w:rsid w:val="007F338A"/>
    <w:rsid w:val="007F39BC"/>
    <w:rsid w:val="007F3B84"/>
    <w:rsid w:val="007F3C40"/>
    <w:rsid w:val="007F3CF1"/>
    <w:rsid w:val="007F3F2F"/>
    <w:rsid w:val="007F3F71"/>
    <w:rsid w:val="007F3F72"/>
    <w:rsid w:val="007F498F"/>
    <w:rsid w:val="007F4C54"/>
    <w:rsid w:val="007F4DDD"/>
    <w:rsid w:val="007F4EFE"/>
    <w:rsid w:val="007F517F"/>
    <w:rsid w:val="007F51D1"/>
    <w:rsid w:val="007F52EA"/>
    <w:rsid w:val="007F5319"/>
    <w:rsid w:val="007F55A0"/>
    <w:rsid w:val="007F58AD"/>
    <w:rsid w:val="007F594D"/>
    <w:rsid w:val="007F5E1F"/>
    <w:rsid w:val="007F61CF"/>
    <w:rsid w:val="007F6283"/>
    <w:rsid w:val="007F6476"/>
    <w:rsid w:val="007F6CC5"/>
    <w:rsid w:val="007F6D31"/>
    <w:rsid w:val="007F72A5"/>
    <w:rsid w:val="007F7DAD"/>
    <w:rsid w:val="007F7EFF"/>
    <w:rsid w:val="00800241"/>
    <w:rsid w:val="008003B5"/>
    <w:rsid w:val="00800548"/>
    <w:rsid w:val="0080085A"/>
    <w:rsid w:val="008009A6"/>
    <w:rsid w:val="00800A9B"/>
    <w:rsid w:val="00800B62"/>
    <w:rsid w:val="00801103"/>
    <w:rsid w:val="008015E4"/>
    <w:rsid w:val="00801CE6"/>
    <w:rsid w:val="008021BC"/>
    <w:rsid w:val="008029D3"/>
    <w:rsid w:val="00802ED2"/>
    <w:rsid w:val="00802F11"/>
    <w:rsid w:val="00803342"/>
    <w:rsid w:val="00803867"/>
    <w:rsid w:val="008038B4"/>
    <w:rsid w:val="00803B1E"/>
    <w:rsid w:val="008040E1"/>
    <w:rsid w:val="00804265"/>
    <w:rsid w:val="0080456D"/>
    <w:rsid w:val="0080465F"/>
    <w:rsid w:val="00804AD0"/>
    <w:rsid w:val="00804C4A"/>
    <w:rsid w:val="00804C58"/>
    <w:rsid w:val="00805448"/>
    <w:rsid w:val="00805507"/>
    <w:rsid w:val="00805668"/>
    <w:rsid w:val="00805768"/>
    <w:rsid w:val="00806192"/>
    <w:rsid w:val="008064A6"/>
    <w:rsid w:val="008065B2"/>
    <w:rsid w:val="0080692A"/>
    <w:rsid w:val="00807360"/>
    <w:rsid w:val="00807768"/>
    <w:rsid w:val="00807813"/>
    <w:rsid w:val="008078BF"/>
    <w:rsid w:val="0080E9EF"/>
    <w:rsid w:val="00810381"/>
    <w:rsid w:val="0081089C"/>
    <w:rsid w:val="00810FA1"/>
    <w:rsid w:val="00811200"/>
    <w:rsid w:val="008117BB"/>
    <w:rsid w:val="0081192C"/>
    <w:rsid w:val="008119B5"/>
    <w:rsid w:val="00811B98"/>
    <w:rsid w:val="00812441"/>
    <w:rsid w:val="0081256F"/>
    <w:rsid w:val="008126F3"/>
    <w:rsid w:val="0081270E"/>
    <w:rsid w:val="00812779"/>
    <w:rsid w:val="00812E5E"/>
    <w:rsid w:val="00812E8C"/>
    <w:rsid w:val="00812F51"/>
    <w:rsid w:val="00813031"/>
    <w:rsid w:val="00813316"/>
    <w:rsid w:val="008136DD"/>
    <w:rsid w:val="00813BBF"/>
    <w:rsid w:val="008143CF"/>
    <w:rsid w:val="00814615"/>
    <w:rsid w:val="008146F2"/>
    <w:rsid w:val="008147C2"/>
    <w:rsid w:val="00814810"/>
    <w:rsid w:val="008149C4"/>
    <w:rsid w:val="00814AB7"/>
    <w:rsid w:val="00814D95"/>
    <w:rsid w:val="00814E4E"/>
    <w:rsid w:val="00814E56"/>
    <w:rsid w:val="00814F2E"/>
    <w:rsid w:val="008152BC"/>
    <w:rsid w:val="008153E0"/>
    <w:rsid w:val="00815615"/>
    <w:rsid w:val="00816133"/>
    <w:rsid w:val="00816435"/>
    <w:rsid w:val="0081686B"/>
    <w:rsid w:val="00816948"/>
    <w:rsid w:val="00816A19"/>
    <w:rsid w:val="00816D00"/>
    <w:rsid w:val="00816D35"/>
    <w:rsid w:val="00816D7B"/>
    <w:rsid w:val="00817154"/>
    <w:rsid w:val="00817458"/>
    <w:rsid w:val="00817722"/>
    <w:rsid w:val="00817EB5"/>
    <w:rsid w:val="0082036C"/>
    <w:rsid w:val="008203D8"/>
    <w:rsid w:val="008203E6"/>
    <w:rsid w:val="00820987"/>
    <w:rsid w:val="00821205"/>
    <w:rsid w:val="0082132D"/>
    <w:rsid w:val="00821501"/>
    <w:rsid w:val="00821628"/>
    <w:rsid w:val="0082166E"/>
    <w:rsid w:val="008216E0"/>
    <w:rsid w:val="00821A73"/>
    <w:rsid w:val="0082278B"/>
    <w:rsid w:val="00822894"/>
    <w:rsid w:val="008228E2"/>
    <w:rsid w:val="00823250"/>
    <w:rsid w:val="00823354"/>
    <w:rsid w:val="008234A0"/>
    <w:rsid w:val="00823572"/>
    <w:rsid w:val="0082376E"/>
    <w:rsid w:val="00823F0C"/>
    <w:rsid w:val="0082460D"/>
    <w:rsid w:val="008246F0"/>
    <w:rsid w:val="00824B7A"/>
    <w:rsid w:val="00824D09"/>
    <w:rsid w:val="00824FB3"/>
    <w:rsid w:val="00825435"/>
    <w:rsid w:val="00825530"/>
    <w:rsid w:val="00825826"/>
    <w:rsid w:val="00825AD1"/>
    <w:rsid w:val="00826383"/>
    <w:rsid w:val="00826689"/>
    <w:rsid w:val="008266F6"/>
    <w:rsid w:val="00826781"/>
    <w:rsid w:val="00826909"/>
    <w:rsid w:val="00826A7E"/>
    <w:rsid w:val="00826ACA"/>
    <w:rsid w:val="00826B5D"/>
    <w:rsid w:val="00826BEB"/>
    <w:rsid w:val="00826BF7"/>
    <w:rsid w:val="00826C70"/>
    <w:rsid w:val="00827066"/>
    <w:rsid w:val="00827556"/>
    <w:rsid w:val="0082762A"/>
    <w:rsid w:val="00827713"/>
    <w:rsid w:val="00827907"/>
    <w:rsid w:val="008300AD"/>
    <w:rsid w:val="008304B0"/>
    <w:rsid w:val="0083056F"/>
    <w:rsid w:val="008308A4"/>
    <w:rsid w:val="00831054"/>
    <w:rsid w:val="0083113F"/>
    <w:rsid w:val="008312BD"/>
    <w:rsid w:val="008318FF"/>
    <w:rsid w:val="00831BC4"/>
    <w:rsid w:val="00831C52"/>
    <w:rsid w:val="00831CE7"/>
    <w:rsid w:val="008323A6"/>
    <w:rsid w:val="008327E6"/>
    <w:rsid w:val="00833225"/>
    <w:rsid w:val="0083363A"/>
    <w:rsid w:val="0083380A"/>
    <w:rsid w:val="00833840"/>
    <w:rsid w:val="00833841"/>
    <w:rsid w:val="008339E3"/>
    <w:rsid w:val="00833B3C"/>
    <w:rsid w:val="00833D84"/>
    <w:rsid w:val="00833DCD"/>
    <w:rsid w:val="00833E0A"/>
    <w:rsid w:val="00834038"/>
    <w:rsid w:val="00834418"/>
    <w:rsid w:val="00834467"/>
    <w:rsid w:val="0083525B"/>
    <w:rsid w:val="00835F6C"/>
    <w:rsid w:val="0083603C"/>
    <w:rsid w:val="0083667D"/>
    <w:rsid w:val="00836981"/>
    <w:rsid w:val="00836A3F"/>
    <w:rsid w:val="00836C66"/>
    <w:rsid w:val="008370ED"/>
    <w:rsid w:val="0083764A"/>
    <w:rsid w:val="00837824"/>
    <w:rsid w:val="00837960"/>
    <w:rsid w:val="00837983"/>
    <w:rsid w:val="00837CF9"/>
    <w:rsid w:val="00837E4D"/>
    <w:rsid w:val="00837FE6"/>
    <w:rsid w:val="00838B3B"/>
    <w:rsid w:val="00840077"/>
    <w:rsid w:val="008401C9"/>
    <w:rsid w:val="00840805"/>
    <w:rsid w:val="00840CD9"/>
    <w:rsid w:val="00840DFD"/>
    <w:rsid w:val="00840EF1"/>
    <w:rsid w:val="008410A9"/>
    <w:rsid w:val="00841186"/>
    <w:rsid w:val="0084137B"/>
    <w:rsid w:val="00841709"/>
    <w:rsid w:val="00841AA8"/>
    <w:rsid w:val="00841E86"/>
    <w:rsid w:val="00841F65"/>
    <w:rsid w:val="008422C1"/>
    <w:rsid w:val="008429B8"/>
    <w:rsid w:val="00842D3D"/>
    <w:rsid w:val="00843075"/>
    <w:rsid w:val="008432A4"/>
    <w:rsid w:val="00843705"/>
    <w:rsid w:val="00843D3B"/>
    <w:rsid w:val="00843D5C"/>
    <w:rsid w:val="00843E1B"/>
    <w:rsid w:val="0084403D"/>
    <w:rsid w:val="00844052"/>
    <w:rsid w:val="008442CC"/>
    <w:rsid w:val="0084434C"/>
    <w:rsid w:val="00844856"/>
    <w:rsid w:val="008449F6"/>
    <w:rsid w:val="00845151"/>
    <w:rsid w:val="0084566C"/>
    <w:rsid w:val="00845790"/>
    <w:rsid w:val="0084584C"/>
    <w:rsid w:val="00845956"/>
    <w:rsid w:val="00845DCA"/>
    <w:rsid w:val="008462CF"/>
    <w:rsid w:val="008465CC"/>
    <w:rsid w:val="00846A4C"/>
    <w:rsid w:val="00846C23"/>
    <w:rsid w:val="00846DD0"/>
    <w:rsid w:val="008474C7"/>
    <w:rsid w:val="00847FFB"/>
    <w:rsid w:val="00850497"/>
    <w:rsid w:val="008508DA"/>
    <w:rsid w:val="0085128B"/>
    <w:rsid w:val="008512D3"/>
    <w:rsid w:val="00851620"/>
    <w:rsid w:val="00851A46"/>
    <w:rsid w:val="008522D7"/>
    <w:rsid w:val="00852B22"/>
    <w:rsid w:val="00852B63"/>
    <w:rsid w:val="00852C6D"/>
    <w:rsid w:val="00852D26"/>
    <w:rsid w:val="00852DA0"/>
    <w:rsid w:val="00853BA6"/>
    <w:rsid w:val="00853D3D"/>
    <w:rsid w:val="00853DA3"/>
    <w:rsid w:val="0085415E"/>
    <w:rsid w:val="00854A77"/>
    <w:rsid w:val="00854B0D"/>
    <w:rsid w:val="00854B90"/>
    <w:rsid w:val="00854FB9"/>
    <w:rsid w:val="008552F6"/>
    <w:rsid w:val="0085551E"/>
    <w:rsid w:val="0085557D"/>
    <w:rsid w:val="0085564C"/>
    <w:rsid w:val="008556FA"/>
    <w:rsid w:val="0085579C"/>
    <w:rsid w:val="00855A6F"/>
    <w:rsid w:val="00855BB6"/>
    <w:rsid w:val="00855D49"/>
    <w:rsid w:val="00855FA4"/>
    <w:rsid w:val="00856152"/>
    <w:rsid w:val="00856285"/>
    <w:rsid w:val="008562CF"/>
    <w:rsid w:val="0085647C"/>
    <w:rsid w:val="008567AD"/>
    <w:rsid w:val="008569DA"/>
    <w:rsid w:val="00856CE6"/>
    <w:rsid w:val="008570A3"/>
    <w:rsid w:val="008579E2"/>
    <w:rsid w:val="00857D46"/>
    <w:rsid w:val="00857E1D"/>
    <w:rsid w:val="00857EC2"/>
    <w:rsid w:val="008600E6"/>
    <w:rsid w:val="008603E5"/>
    <w:rsid w:val="008607DF"/>
    <w:rsid w:val="008609F0"/>
    <w:rsid w:val="00860F96"/>
    <w:rsid w:val="008617B7"/>
    <w:rsid w:val="008621D9"/>
    <w:rsid w:val="008621FC"/>
    <w:rsid w:val="0086235E"/>
    <w:rsid w:val="0086252C"/>
    <w:rsid w:val="008625C0"/>
    <w:rsid w:val="00862F17"/>
    <w:rsid w:val="008630C1"/>
    <w:rsid w:val="00863482"/>
    <w:rsid w:val="00863966"/>
    <w:rsid w:val="00863A85"/>
    <w:rsid w:val="008640F8"/>
    <w:rsid w:val="008641B4"/>
    <w:rsid w:val="0086459F"/>
    <w:rsid w:val="00864A45"/>
    <w:rsid w:val="00864F30"/>
    <w:rsid w:val="00865387"/>
    <w:rsid w:val="008653AF"/>
    <w:rsid w:val="00865B03"/>
    <w:rsid w:val="00865B8F"/>
    <w:rsid w:val="00865D4C"/>
    <w:rsid w:val="0086604F"/>
    <w:rsid w:val="00866165"/>
    <w:rsid w:val="0086651C"/>
    <w:rsid w:val="00866821"/>
    <w:rsid w:val="00866A9C"/>
    <w:rsid w:val="008679A3"/>
    <w:rsid w:val="00867BBC"/>
    <w:rsid w:val="00867BC9"/>
    <w:rsid w:val="00867EB3"/>
    <w:rsid w:val="00867FEC"/>
    <w:rsid w:val="00870586"/>
    <w:rsid w:val="0087088D"/>
    <w:rsid w:val="00870980"/>
    <w:rsid w:val="00870DE1"/>
    <w:rsid w:val="00870E16"/>
    <w:rsid w:val="00871002"/>
    <w:rsid w:val="00871303"/>
    <w:rsid w:val="00871524"/>
    <w:rsid w:val="008716D3"/>
    <w:rsid w:val="0087188C"/>
    <w:rsid w:val="0087215A"/>
    <w:rsid w:val="00872981"/>
    <w:rsid w:val="008736BC"/>
    <w:rsid w:val="0087374E"/>
    <w:rsid w:val="00873A90"/>
    <w:rsid w:val="00873E48"/>
    <w:rsid w:val="00873EC3"/>
    <w:rsid w:val="00874162"/>
    <w:rsid w:val="00874166"/>
    <w:rsid w:val="0087421E"/>
    <w:rsid w:val="00874660"/>
    <w:rsid w:val="0087481A"/>
    <w:rsid w:val="00874B46"/>
    <w:rsid w:val="00874DD8"/>
    <w:rsid w:val="00874E20"/>
    <w:rsid w:val="00875448"/>
    <w:rsid w:val="0087566F"/>
    <w:rsid w:val="00875D19"/>
    <w:rsid w:val="008763C5"/>
    <w:rsid w:val="00876533"/>
    <w:rsid w:val="008766E5"/>
    <w:rsid w:val="00876941"/>
    <w:rsid w:val="00876B0A"/>
    <w:rsid w:val="00876B0C"/>
    <w:rsid w:val="00876E9A"/>
    <w:rsid w:val="00876FAE"/>
    <w:rsid w:val="0087700F"/>
    <w:rsid w:val="008776AB"/>
    <w:rsid w:val="00877F14"/>
    <w:rsid w:val="00880006"/>
    <w:rsid w:val="008800C4"/>
    <w:rsid w:val="0088025D"/>
    <w:rsid w:val="008802D7"/>
    <w:rsid w:val="008804AD"/>
    <w:rsid w:val="00880E88"/>
    <w:rsid w:val="00881160"/>
    <w:rsid w:val="0088131A"/>
    <w:rsid w:val="00882159"/>
    <w:rsid w:val="00882919"/>
    <w:rsid w:val="00882F59"/>
    <w:rsid w:val="008833BF"/>
    <w:rsid w:val="008837A3"/>
    <w:rsid w:val="008837DC"/>
    <w:rsid w:val="00883B7C"/>
    <w:rsid w:val="00883B84"/>
    <w:rsid w:val="00883F4E"/>
    <w:rsid w:val="00883FB3"/>
    <w:rsid w:val="008841F5"/>
    <w:rsid w:val="008843DA"/>
    <w:rsid w:val="00884AC7"/>
    <w:rsid w:val="0088519E"/>
    <w:rsid w:val="00885446"/>
    <w:rsid w:val="00885C28"/>
    <w:rsid w:val="00885C86"/>
    <w:rsid w:val="00885D00"/>
    <w:rsid w:val="00885D49"/>
    <w:rsid w:val="00885EF3"/>
    <w:rsid w:val="00885FB5"/>
    <w:rsid w:val="0088651A"/>
    <w:rsid w:val="0088670A"/>
    <w:rsid w:val="0088681E"/>
    <w:rsid w:val="00886A70"/>
    <w:rsid w:val="00886AB8"/>
    <w:rsid w:val="00886ADD"/>
    <w:rsid w:val="0088705E"/>
    <w:rsid w:val="008874F4"/>
    <w:rsid w:val="008875E4"/>
    <w:rsid w:val="00887708"/>
    <w:rsid w:val="008878F2"/>
    <w:rsid w:val="00890339"/>
    <w:rsid w:val="008903E0"/>
    <w:rsid w:val="0089049F"/>
    <w:rsid w:val="008904F9"/>
    <w:rsid w:val="00890654"/>
    <w:rsid w:val="00890755"/>
    <w:rsid w:val="00890929"/>
    <w:rsid w:val="00890B9B"/>
    <w:rsid w:val="00890EB1"/>
    <w:rsid w:val="00890F74"/>
    <w:rsid w:val="008913B2"/>
    <w:rsid w:val="008919EA"/>
    <w:rsid w:val="00891D22"/>
    <w:rsid w:val="00891F7C"/>
    <w:rsid w:val="008923E2"/>
    <w:rsid w:val="0089242C"/>
    <w:rsid w:val="008926BD"/>
    <w:rsid w:val="00892905"/>
    <w:rsid w:val="008929D0"/>
    <w:rsid w:val="00892BF2"/>
    <w:rsid w:val="00892DD3"/>
    <w:rsid w:val="00892FC2"/>
    <w:rsid w:val="0089370B"/>
    <w:rsid w:val="00893E76"/>
    <w:rsid w:val="00893F57"/>
    <w:rsid w:val="0089416F"/>
    <w:rsid w:val="0089435F"/>
    <w:rsid w:val="008943EC"/>
    <w:rsid w:val="008944CD"/>
    <w:rsid w:val="0089451B"/>
    <w:rsid w:val="0089481E"/>
    <w:rsid w:val="00894BD5"/>
    <w:rsid w:val="00894D08"/>
    <w:rsid w:val="00894FFF"/>
    <w:rsid w:val="00895242"/>
    <w:rsid w:val="00895686"/>
    <w:rsid w:val="0089572C"/>
    <w:rsid w:val="0089644B"/>
    <w:rsid w:val="008964B1"/>
    <w:rsid w:val="00896A8B"/>
    <w:rsid w:val="00896B90"/>
    <w:rsid w:val="00896D3B"/>
    <w:rsid w:val="00896F5D"/>
    <w:rsid w:val="0089709C"/>
    <w:rsid w:val="008971F6"/>
    <w:rsid w:val="008976F5"/>
    <w:rsid w:val="0089773A"/>
    <w:rsid w:val="00897AD7"/>
    <w:rsid w:val="00897F70"/>
    <w:rsid w:val="008A00A6"/>
    <w:rsid w:val="008A050C"/>
    <w:rsid w:val="008A060F"/>
    <w:rsid w:val="008A0A6E"/>
    <w:rsid w:val="008A0AB9"/>
    <w:rsid w:val="008A0ADA"/>
    <w:rsid w:val="008A0C02"/>
    <w:rsid w:val="008A0E69"/>
    <w:rsid w:val="008A0EB3"/>
    <w:rsid w:val="008A141B"/>
    <w:rsid w:val="008A171D"/>
    <w:rsid w:val="008A17B5"/>
    <w:rsid w:val="008A1B6D"/>
    <w:rsid w:val="008A1EED"/>
    <w:rsid w:val="008A214F"/>
    <w:rsid w:val="008A235C"/>
    <w:rsid w:val="008A2405"/>
    <w:rsid w:val="008A253D"/>
    <w:rsid w:val="008A27F3"/>
    <w:rsid w:val="008A2B1F"/>
    <w:rsid w:val="008A2B23"/>
    <w:rsid w:val="008A2B76"/>
    <w:rsid w:val="008A2D16"/>
    <w:rsid w:val="008A37A0"/>
    <w:rsid w:val="008A3985"/>
    <w:rsid w:val="008A3B34"/>
    <w:rsid w:val="008A3CB0"/>
    <w:rsid w:val="008A3E91"/>
    <w:rsid w:val="008A4FFD"/>
    <w:rsid w:val="008A57D4"/>
    <w:rsid w:val="008A5E6E"/>
    <w:rsid w:val="008A5FA2"/>
    <w:rsid w:val="008A660E"/>
    <w:rsid w:val="008A6641"/>
    <w:rsid w:val="008A6749"/>
    <w:rsid w:val="008A6B6E"/>
    <w:rsid w:val="008A6F16"/>
    <w:rsid w:val="008A6F3A"/>
    <w:rsid w:val="008A724D"/>
    <w:rsid w:val="008A73AE"/>
    <w:rsid w:val="008A74A1"/>
    <w:rsid w:val="008A74F4"/>
    <w:rsid w:val="008A7D90"/>
    <w:rsid w:val="008A7FFD"/>
    <w:rsid w:val="008B00B3"/>
    <w:rsid w:val="008B00C2"/>
    <w:rsid w:val="008B0752"/>
    <w:rsid w:val="008B0AD2"/>
    <w:rsid w:val="008B0DAF"/>
    <w:rsid w:val="008B1543"/>
    <w:rsid w:val="008B1BB1"/>
    <w:rsid w:val="008B1CA3"/>
    <w:rsid w:val="008B1F4D"/>
    <w:rsid w:val="008B207E"/>
    <w:rsid w:val="008B221E"/>
    <w:rsid w:val="008B2673"/>
    <w:rsid w:val="008B2723"/>
    <w:rsid w:val="008B2819"/>
    <w:rsid w:val="008B30BE"/>
    <w:rsid w:val="008B323C"/>
    <w:rsid w:val="008B345F"/>
    <w:rsid w:val="008B3A60"/>
    <w:rsid w:val="008B4031"/>
    <w:rsid w:val="008B40E8"/>
    <w:rsid w:val="008B4389"/>
    <w:rsid w:val="008B46DD"/>
    <w:rsid w:val="008B4905"/>
    <w:rsid w:val="008B4934"/>
    <w:rsid w:val="008B49E1"/>
    <w:rsid w:val="008B4FFD"/>
    <w:rsid w:val="008B50CF"/>
    <w:rsid w:val="008B538E"/>
    <w:rsid w:val="008B5BB6"/>
    <w:rsid w:val="008B5FB5"/>
    <w:rsid w:val="008B6332"/>
    <w:rsid w:val="008B6532"/>
    <w:rsid w:val="008B66CB"/>
    <w:rsid w:val="008B69DC"/>
    <w:rsid w:val="008B6AA9"/>
    <w:rsid w:val="008B6AF4"/>
    <w:rsid w:val="008B6B2A"/>
    <w:rsid w:val="008B7B8B"/>
    <w:rsid w:val="008B7CBD"/>
    <w:rsid w:val="008C02F3"/>
    <w:rsid w:val="008C0AA4"/>
    <w:rsid w:val="008C0AF5"/>
    <w:rsid w:val="008C0FC3"/>
    <w:rsid w:val="008C1628"/>
    <w:rsid w:val="008C1F5E"/>
    <w:rsid w:val="008C2137"/>
    <w:rsid w:val="008C21D7"/>
    <w:rsid w:val="008C266B"/>
    <w:rsid w:val="008C2943"/>
    <w:rsid w:val="008C2E79"/>
    <w:rsid w:val="008C3232"/>
    <w:rsid w:val="008C36AA"/>
    <w:rsid w:val="008C4246"/>
    <w:rsid w:val="008C481C"/>
    <w:rsid w:val="008C4AFA"/>
    <w:rsid w:val="008C4E7E"/>
    <w:rsid w:val="008C51A6"/>
    <w:rsid w:val="008C5636"/>
    <w:rsid w:val="008C5BA1"/>
    <w:rsid w:val="008C5D66"/>
    <w:rsid w:val="008C6214"/>
    <w:rsid w:val="008C624C"/>
    <w:rsid w:val="008C6A97"/>
    <w:rsid w:val="008C6BB0"/>
    <w:rsid w:val="008C6BC3"/>
    <w:rsid w:val="008C6D00"/>
    <w:rsid w:val="008C7088"/>
    <w:rsid w:val="008C71E8"/>
    <w:rsid w:val="008C763A"/>
    <w:rsid w:val="008C76A1"/>
    <w:rsid w:val="008C7A66"/>
    <w:rsid w:val="008C7AE9"/>
    <w:rsid w:val="008C7D56"/>
    <w:rsid w:val="008CD51D"/>
    <w:rsid w:val="008D003E"/>
    <w:rsid w:val="008D01B0"/>
    <w:rsid w:val="008D0449"/>
    <w:rsid w:val="008D0B15"/>
    <w:rsid w:val="008D167A"/>
    <w:rsid w:val="008D17DE"/>
    <w:rsid w:val="008D1D0D"/>
    <w:rsid w:val="008D2B23"/>
    <w:rsid w:val="008D2D72"/>
    <w:rsid w:val="008D2FE0"/>
    <w:rsid w:val="008D313F"/>
    <w:rsid w:val="008D34A5"/>
    <w:rsid w:val="008D34F4"/>
    <w:rsid w:val="008D37F5"/>
    <w:rsid w:val="008D3DAF"/>
    <w:rsid w:val="008D3DE7"/>
    <w:rsid w:val="008D435A"/>
    <w:rsid w:val="008D481B"/>
    <w:rsid w:val="008D48FC"/>
    <w:rsid w:val="008D497D"/>
    <w:rsid w:val="008D4CE6"/>
    <w:rsid w:val="008D4F93"/>
    <w:rsid w:val="008D500F"/>
    <w:rsid w:val="008D5561"/>
    <w:rsid w:val="008D57E2"/>
    <w:rsid w:val="008D5BE8"/>
    <w:rsid w:val="008D5D6B"/>
    <w:rsid w:val="008D5E3E"/>
    <w:rsid w:val="008D641E"/>
    <w:rsid w:val="008D643C"/>
    <w:rsid w:val="008D656D"/>
    <w:rsid w:val="008D66A7"/>
    <w:rsid w:val="008D6853"/>
    <w:rsid w:val="008D6FAF"/>
    <w:rsid w:val="008D71B2"/>
    <w:rsid w:val="008D7386"/>
    <w:rsid w:val="008D73DB"/>
    <w:rsid w:val="008D74D0"/>
    <w:rsid w:val="008D7C7A"/>
    <w:rsid w:val="008E0442"/>
    <w:rsid w:val="008E089D"/>
    <w:rsid w:val="008E0DE1"/>
    <w:rsid w:val="008E1178"/>
    <w:rsid w:val="008E17E7"/>
    <w:rsid w:val="008E1FCA"/>
    <w:rsid w:val="008E2549"/>
    <w:rsid w:val="008E284D"/>
    <w:rsid w:val="008E2947"/>
    <w:rsid w:val="008E2BB1"/>
    <w:rsid w:val="008E2EED"/>
    <w:rsid w:val="008E3188"/>
    <w:rsid w:val="008E31BB"/>
    <w:rsid w:val="008E3BA5"/>
    <w:rsid w:val="008E3FEC"/>
    <w:rsid w:val="008E4005"/>
    <w:rsid w:val="008E41F2"/>
    <w:rsid w:val="008E451E"/>
    <w:rsid w:val="008E4761"/>
    <w:rsid w:val="008E4988"/>
    <w:rsid w:val="008E4D4A"/>
    <w:rsid w:val="008E4D8C"/>
    <w:rsid w:val="008E4F5F"/>
    <w:rsid w:val="008E502C"/>
    <w:rsid w:val="008E502E"/>
    <w:rsid w:val="008E509F"/>
    <w:rsid w:val="008E5183"/>
    <w:rsid w:val="008E54EE"/>
    <w:rsid w:val="008E5C98"/>
    <w:rsid w:val="008E5FAE"/>
    <w:rsid w:val="008E67F2"/>
    <w:rsid w:val="008E6DE2"/>
    <w:rsid w:val="008E7240"/>
    <w:rsid w:val="008E764F"/>
    <w:rsid w:val="008E766E"/>
    <w:rsid w:val="008E7877"/>
    <w:rsid w:val="008E7DF6"/>
    <w:rsid w:val="008F0350"/>
    <w:rsid w:val="008F03C0"/>
    <w:rsid w:val="008F0463"/>
    <w:rsid w:val="008F081D"/>
    <w:rsid w:val="008F0FE5"/>
    <w:rsid w:val="008F1066"/>
    <w:rsid w:val="008F10FD"/>
    <w:rsid w:val="008F142B"/>
    <w:rsid w:val="008F190D"/>
    <w:rsid w:val="008F19F5"/>
    <w:rsid w:val="008F1C45"/>
    <w:rsid w:val="008F1C75"/>
    <w:rsid w:val="008F1E68"/>
    <w:rsid w:val="008F2258"/>
    <w:rsid w:val="008F22DE"/>
    <w:rsid w:val="008F23B3"/>
    <w:rsid w:val="008F2406"/>
    <w:rsid w:val="008F2D73"/>
    <w:rsid w:val="008F2E1A"/>
    <w:rsid w:val="008F2F15"/>
    <w:rsid w:val="008F303D"/>
    <w:rsid w:val="008F32C8"/>
    <w:rsid w:val="008F42A6"/>
    <w:rsid w:val="008F4472"/>
    <w:rsid w:val="008F4BAD"/>
    <w:rsid w:val="008F4F76"/>
    <w:rsid w:val="008F4FCE"/>
    <w:rsid w:val="008F53C6"/>
    <w:rsid w:val="008F578B"/>
    <w:rsid w:val="008F598F"/>
    <w:rsid w:val="008F5C86"/>
    <w:rsid w:val="008F5D97"/>
    <w:rsid w:val="008F5FA8"/>
    <w:rsid w:val="008F628D"/>
    <w:rsid w:val="008F62EE"/>
    <w:rsid w:val="008F69D6"/>
    <w:rsid w:val="008F6A8A"/>
    <w:rsid w:val="008F6FED"/>
    <w:rsid w:val="008F71E7"/>
    <w:rsid w:val="009001B7"/>
    <w:rsid w:val="009002F3"/>
    <w:rsid w:val="009011FE"/>
    <w:rsid w:val="00901577"/>
    <w:rsid w:val="00901E49"/>
    <w:rsid w:val="00902124"/>
    <w:rsid w:val="0090226D"/>
    <w:rsid w:val="00902883"/>
    <w:rsid w:val="00902A27"/>
    <w:rsid w:val="00902B2A"/>
    <w:rsid w:val="00902D73"/>
    <w:rsid w:val="00902D7A"/>
    <w:rsid w:val="00902E76"/>
    <w:rsid w:val="00903C10"/>
    <w:rsid w:val="00903CBD"/>
    <w:rsid w:val="00903CD7"/>
    <w:rsid w:val="00904586"/>
    <w:rsid w:val="0090458F"/>
    <w:rsid w:val="009045F0"/>
    <w:rsid w:val="00904688"/>
    <w:rsid w:val="009047E9"/>
    <w:rsid w:val="00904815"/>
    <w:rsid w:val="009048FF"/>
    <w:rsid w:val="00904B2F"/>
    <w:rsid w:val="00904C83"/>
    <w:rsid w:val="0090510B"/>
    <w:rsid w:val="00905664"/>
    <w:rsid w:val="009056DB"/>
    <w:rsid w:val="00905806"/>
    <w:rsid w:val="00905881"/>
    <w:rsid w:val="00906615"/>
    <w:rsid w:val="00906BA3"/>
    <w:rsid w:val="00907140"/>
    <w:rsid w:val="00907183"/>
    <w:rsid w:val="009071AE"/>
    <w:rsid w:val="009078E8"/>
    <w:rsid w:val="00907E6E"/>
    <w:rsid w:val="009100AF"/>
    <w:rsid w:val="00910121"/>
    <w:rsid w:val="009102F0"/>
    <w:rsid w:val="00910471"/>
    <w:rsid w:val="00910676"/>
    <w:rsid w:val="009109C1"/>
    <w:rsid w:val="00911341"/>
    <w:rsid w:val="0091162E"/>
    <w:rsid w:val="0091182F"/>
    <w:rsid w:val="00911A81"/>
    <w:rsid w:val="00911AD7"/>
    <w:rsid w:val="00911B74"/>
    <w:rsid w:val="00911C0D"/>
    <w:rsid w:val="00911C1C"/>
    <w:rsid w:val="00911DE0"/>
    <w:rsid w:val="009125F7"/>
    <w:rsid w:val="00912A2C"/>
    <w:rsid w:val="00912CD7"/>
    <w:rsid w:val="00912D0E"/>
    <w:rsid w:val="00912DD0"/>
    <w:rsid w:val="00913032"/>
    <w:rsid w:val="00913272"/>
    <w:rsid w:val="00913C8E"/>
    <w:rsid w:val="00913D5E"/>
    <w:rsid w:val="00913E1C"/>
    <w:rsid w:val="00913E57"/>
    <w:rsid w:val="00913F6B"/>
    <w:rsid w:val="00914173"/>
    <w:rsid w:val="00914776"/>
    <w:rsid w:val="009148AC"/>
    <w:rsid w:val="009149C3"/>
    <w:rsid w:val="00914AAA"/>
    <w:rsid w:val="00914B4E"/>
    <w:rsid w:val="00914D8E"/>
    <w:rsid w:val="00915519"/>
    <w:rsid w:val="00915E2B"/>
    <w:rsid w:val="00916198"/>
    <w:rsid w:val="00916308"/>
    <w:rsid w:val="009163BD"/>
    <w:rsid w:val="00916474"/>
    <w:rsid w:val="0091674A"/>
    <w:rsid w:val="00916ECE"/>
    <w:rsid w:val="00916F39"/>
    <w:rsid w:val="009172A3"/>
    <w:rsid w:val="009174FC"/>
    <w:rsid w:val="00917A9E"/>
    <w:rsid w:val="00917D37"/>
    <w:rsid w:val="00917EE1"/>
    <w:rsid w:val="00917F49"/>
    <w:rsid w:val="00920041"/>
    <w:rsid w:val="0092049E"/>
    <w:rsid w:val="009206BA"/>
    <w:rsid w:val="009209A4"/>
    <w:rsid w:val="00921911"/>
    <w:rsid w:val="00921929"/>
    <w:rsid w:val="0092216E"/>
    <w:rsid w:val="00922CF5"/>
    <w:rsid w:val="00922E74"/>
    <w:rsid w:val="00923093"/>
    <w:rsid w:val="00923246"/>
    <w:rsid w:val="009235BB"/>
    <w:rsid w:val="00924664"/>
    <w:rsid w:val="00924AD8"/>
    <w:rsid w:val="00924FAC"/>
    <w:rsid w:val="00925343"/>
    <w:rsid w:val="0092545B"/>
    <w:rsid w:val="00925576"/>
    <w:rsid w:val="00925808"/>
    <w:rsid w:val="0092587A"/>
    <w:rsid w:val="00925C60"/>
    <w:rsid w:val="00925E9C"/>
    <w:rsid w:val="00926D54"/>
    <w:rsid w:val="00926E00"/>
    <w:rsid w:val="0092728A"/>
    <w:rsid w:val="009272AA"/>
    <w:rsid w:val="0092765B"/>
    <w:rsid w:val="009278D1"/>
    <w:rsid w:val="0093035B"/>
    <w:rsid w:val="0093045E"/>
    <w:rsid w:val="00930800"/>
    <w:rsid w:val="00930BBD"/>
    <w:rsid w:val="00930BD2"/>
    <w:rsid w:val="00930CCB"/>
    <w:rsid w:val="00930E3B"/>
    <w:rsid w:val="00931229"/>
    <w:rsid w:val="00931A8A"/>
    <w:rsid w:val="00931B4C"/>
    <w:rsid w:val="00931D22"/>
    <w:rsid w:val="00931D78"/>
    <w:rsid w:val="00932321"/>
    <w:rsid w:val="00932747"/>
    <w:rsid w:val="00932B31"/>
    <w:rsid w:val="00932D2E"/>
    <w:rsid w:val="00932DEB"/>
    <w:rsid w:val="009335F8"/>
    <w:rsid w:val="00933995"/>
    <w:rsid w:val="00933B77"/>
    <w:rsid w:val="00933C5D"/>
    <w:rsid w:val="00933F05"/>
    <w:rsid w:val="009342DA"/>
    <w:rsid w:val="009344E2"/>
    <w:rsid w:val="0093463B"/>
    <w:rsid w:val="0093479D"/>
    <w:rsid w:val="009348D1"/>
    <w:rsid w:val="00934989"/>
    <w:rsid w:val="00934FE8"/>
    <w:rsid w:val="00935228"/>
    <w:rsid w:val="00935293"/>
    <w:rsid w:val="00935888"/>
    <w:rsid w:val="00935CFE"/>
    <w:rsid w:val="00935D93"/>
    <w:rsid w:val="009360F2"/>
    <w:rsid w:val="00936640"/>
    <w:rsid w:val="009366AD"/>
    <w:rsid w:val="0093678F"/>
    <w:rsid w:val="00936A6F"/>
    <w:rsid w:val="00936FB4"/>
    <w:rsid w:val="009373AD"/>
    <w:rsid w:val="00937781"/>
    <w:rsid w:val="00937936"/>
    <w:rsid w:val="00937E65"/>
    <w:rsid w:val="00937FC6"/>
    <w:rsid w:val="0093D01D"/>
    <w:rsid w:val="009400EA"/>
    <w:rsid w:val="0094033D"/>
    <w:rsid w:val="00940434"/>
    <w:rsid w:val="009407C2"/>
    <w:rsid w:val="00940BEF"/>
    <w:rsid w:val="00940EA2"/>
    <w:rsid w:val="00941428"/>
    <w:rsid w:val="009414D8"/>
    <w:rsid w:val="00941D79"/>
    <w:rsid w:val="009420E5"/>
    <w:rsid w:val="009421BE"/>
    <w:rsid w:val="00942ACA"/>
    <w:rsid w:val="00942EAA"/>
    <w:rsid w:val="009432C7"/>
    <w:rsid w:val="00943566"/>
    <w:rsid w:val="009436FD"/>
    <w:rsid w:val="00944079"/>
    <w:rsid w:val="009442F7"/>
    <w:rsid w:val="00944BC2"/>
    <w:rsid w:val="00944FCF"/>
    <w:rsid w:val="00945020"/>
    <w:rsid w:val="00945376"/>
    <w:rsid w:val="0094556A"/>
    <w:rsid w:val="009456A0"/>
    <w:rsid w:val="009458CB"/>
    <w:rsid w:val="009459E0"/>
    <w:rsid w:val="009459E9"/>
    <w:rsid w:val="00945DCD"/>
    <w:rsid w:val="009461D6"/>
    <w:rsid w:val="00946946"/>
    <w:rsid w:val="0094698E"/>
    <w:rsid w:val="00946D0D"/>
    <w:rsid w:val="00946D6B"/>
    <w:rsid w:val="00946E4C"/>
    <w:rsid w:val="00946E4F"/>
    <w:rsid w:val="00947049"/>
    <w:rsid w:val="0094738E"/>
    <w:rsid w:val="009473C6"/>
    <w:rsid w:val="0094768A"/>
    <w:rsid w:val="0094792B"/>
    <w:rsid w:val="00947A35"/>
    <w:rsid w:val="00947B6B"/>
    <w:rsid w:val="00947F8A"/>
    <w:rsid w:val="0095031D"/>
    <w:rsid w:val="00950838"/>
    <w:rsid w:val="00950F27"/>
    <w:rsid w:val="0095109E"/>
    <w:rsid w:val="009515F6"/>
    <w:rsid w:val="00951B3C"/>
    <w:rsid w:val="00951CA8"/>
    <w:rsid w:val="0095287B"/>
    <w:rsid w:val="009532F2"/>
    <w:rsid w:val="0095330E"/>
    <w:rsid w:val="009537CF"/>
    <w:rsid w:val="0095385E"/>
    <w:rsid w:val="0095406F"/>
    <w:rsid w:val="00954906"/>
    <w:rsid w:val="00954DE7"/>
    <w:rsid w:val="00954E1C"/>
    <w:rsid w:val="00954E40"/>
    <w:rsid w:val="009553A9"/>
    <w:rsid w:val="00955527"/>
    <w:rsid w:val="00955944"/>
    <w:rsid w:val="00955EEA"/>
    <w:rsid w:val="00955F55"/>
    <w:rsid w:val="0095663F"/>
    <w:rsid w:val="009568B5"/>
    <w:rsid w:val="00956AEF"/>
    <w:rsid w:val="00956E2D"/>
    <w:rsid w:val="00956EF0"/>
    <w:rsid w:val="0095727A"/>
    <w:rsid w:val="009578D9"/>
    <w:rsid w:val="00957B9E"/>
    <w:rsid w:val="00957C5D"/>
    <w:rsid w:val="00957C5E"/>
    <w:rsid w:val="00957DD5"/>
    <w:rsid w:val="00957E50"/>
    <w:rsid w:val="00957E72"/>
    <w:rsid w:val="00960344"/>
    <w:rsid w:val="00960A6D"/>
    <w:rsid w:val="00960AF4"/>
    <w:rsid w:val="00960DE2"/>
    <w:rsid w:val="009611C1"/>
    <w:rsid w:val="00961217"/>
    <w:rsid w:val="00961967"/>
    <w:rsid w:val="00961A8C"/>
    <w:rsid w:val="00962438"/>
    <w:rsid w:val="00962467"/>
    <w:rsid w:val="00962F0A"/>
    <w:rsid w:val="009631B0"/>
    <w:rsid w:val="00963565"/>
    <w:rsid w:val="0096358F"/>
    <w:rsid w:val="00963B67"/>
    <w:rsid w:val="00963C73"/>
    <w:rsid w:val="00964033"/>
    <w:rsid w:val="0096446D"/>
    <w:rsid w:val="009647A0"/>
    <w:rsid w:val="00964CB8"/>
    <w:rsid w:val="00965313"/>
    <w:rsid w:val="0096545C"/>
    <w:rsid w:val="00965E5D"/>
    <w:rsid w:val="009665ED"/>
    <w:rsid w:val="00966AC0"/>
    <w:rsid w:val="009673E9"/>
    <w:rsid w:val="00967522"/>
    <w:rsid w:val="009678BF"/>
    <w:rsid w:val="00967CDE"/>
    <w:rsid w:val="00967EF7"/>
    <w:rsid w:val="00970505"/>
    <w:rsid w:val="0097059F"/>
    <w:rsid w:val="00970FA8"/>
    <w:rsid w:val="0097105F"/>
    <w:rsid w:val="009714C4"/>
    <w:rsid w:val="0097189D"/>
    <w:rsid w:val="009718B8"/>
    <w:rsid w:val="00971B5C"/>
    <w:rsid w:val="00972224"/>
    <w:rsid w:val="0097262B"/>
    <w:rsid w:val="00972A2A"/>
    <w:rsid w:val="00972A8E"/>
    <w:rsid w:val="00972D04"/>
    <w:rsid w:val="00972FCA"/>
    <w:rsid w:val="009730BE"/>
    <w:rsid w:val="009732F5"/>
    <w:rsid w:val="00973374"/>
    <w:rsid w:val="0097349B"/>
    <w:rsid w:val="009737DD"/>
    <w:rsid w:val="00973AA9"/>
    <w:rsid w:val="00973C2A"/>
    <w:rsid w:val="009741A7"/>
    <w:rsid w:val="009742E7"/>
    <w:rsid w:val="0097440D"/>
    <w:rsid w:val="0097492C"/>
    <w:rsid w:val="00974CF7"/>
    <w:rsid w:val="00974D40"/>
    <w:rsid w:val="00974EC8"/>
    <w:rsid w:val="0097504A"/>
    <w:rsid w:val="009750BF"/>
    <w:rsid w:val="009754C6"/>
    <w:rsid w:val="009758DA"/>
    <w:rsid w:val="0097610C"/>
    <w:rsid w:val="0097627A"/>
    <w:rsid w:val="009765B4"/>
    <w:rsid w:val="009766E1"/>
    <w:rsid w:val="00976ADC"/>
    <w:rsid w:val="00976CAB"/>
    <w:rsid w:val="00976D76"/>
    <w:rsid w:val="009777AD"/>
    <w:rsid w:val="00977AC5"/>
    <w:rsid w:val="00977D85"/>
    <w:rsid w:val="0097B7BD"/>
    <w:rsid w:val="009806BB"/>
    <w:rsid w:val="009813F3"/>
    <w:rsid w:val="00981634"/>
    <w:rsid w:val="00981767"/>
    <w:rsid w:val="00981981"/>
    <w:rsid w:val="00981C4A"/>
    <w:rsid w:val="00982531"/>
    <w:rsid w:val="00982555"/>
    <w:rsid w:val="009826FA"/>
    <w:rsid w:val="009827DD"/>
    <w:rsid w:val="009828F9"/>
    <w:rsid w:val="00982908"/>
    <w:rsid w:val="00982CF1"/>
    <w:rsid w:val="00982CFE"/>
    <w:rsid w:val="00982DFA"/>
    <w:rsid w:val="00982E0B"/>
    <w:rsid w:val="00983A99"/>
    <w:rsid w:val="00983F96"/>
    <w:rsid w:val="009842C6"/>
    <w:rsid w:val="00984576"/>
    <w:rsid w:val="00984ABF"/>
    <w:rsid w:val="00984C82"/>
    <w:rsid w:val="00984D00"/>
    <w:rsid w:val="00984E18"/>
    <w:rsid w:val="009850C2"/>
    <w:rsid w:val="0098512D"/>
    <w:rsid w:val="009854E7"/>
    <w:rsid w:val="00985F6C"/>
    <w:rsid w:val="009866C7"/>
    <w:rsid w:val="00986708"/>
    <w:rsid w:val="00986722"/>
    <w:rsid w:val="00986EBD"/>
    <w:rsid w:val="00986F3B"/>
    <w:rsid w:val="00986FD6"/>
    <w:rsid w:val="00987434"/>
    <w:rsid w:val="0098781E"/>
    <w:rsid w:val="00987CD7"/>
    <w:rsid w:val="00990692"/>
    <w:rsid w:val="009907E6"/>
    <w:rsid w:val="009908CD"/>
    <w:rsid w:val="00990B96"/>
    <w:rsid w:val="009910A0"/>
    <w:rsid w:val="009914D5"/>
    <w:rsid w:val="0099191C"/>
    <w:rsid w:val="00991B5A"/>
    <w:rsid w:val="00991DA7"/>
    <w:rsid w:val="00992276"/>
    <w:rsid w:val="0099249F"/>
    <w:rsid w:val="00993A1C"/>
    <w:rsid w:val="00994722"/>
    <w:rsid w:val="00994787"/>
    <w:rsid w:val="00994964"/>
    <w:rsid w:val="00994C8C"/>
    <w:rsid w:val="00994D46"/>
    <w:rsid w:val="00994E19"/>
    <w:rsid w:val="00994E2F"/>
    <w:rsid w:val="009951E3"/>
    <w:rsid w:val="009953F8"/>
    <w:rsid w:val="00995710"/>
    <w:rsid w:val="009958A1"/>
    <w:rsid w:val="00995A6F"/>
    <w:rsid w:val="00995C20"/>
    <w:rsid w:val="00995C3A"/>
    <w:rsid w:val="00995C55"/>
    <w:rsid w:val="00995DAA"/>
    <w:rsid w:val="009962E6"/>
    <w:rsid w:val="009965E0"/>
    <w:rsid w:val="00996688"/>
    <w:rsid w:val="0099676E"/>
    <w:rsid w:val="0099684D"/>
    <w:rsid w:val="00996894"/>
    <w:rsid w:val="00996AE7"/>
    <w:rsid w:val="00996AF1"/>
    <w:rsid w:val="00996F1C"/>
    <w:rsid w:val="00996FC5"/>
    <w:rsid w:val="0099722C"/>
    <w:rsid w:val="0099743B"/>
    <w:rsid w:val="009974BE"/>
    <w:rsid w:val="00997646"/>
    <w:rsid w:val="00997683"/>
    <w:rsid w:val="009977F4"/>
    <w:rsid w:val="00997960"/>
    <w:rsid w:val="00997983"/>
    <w:rsid w:val="00997A62"/>
    <w:rsid w:val="00997C78"/>
    <w:rsid w:val="009A0490"/>
    <w:rsid w:val="009A0A10"/>
    <w:rsid w:val="009A14FB"/>
    <w:rsid w:val="009A18D1"/>
    <w:rsid w:val="009A1F69"/>
    <w:rsid w:val="009A1FDD"/>
    <w:rsid w:val="009A2091"/>
    <w:rsid w:val="009A2519"/>
    <w:rsid w:val="009A2B16"/>
    <w:rsid w:val="009A2BA8"/>
    <w:rsid w:val="009A2BF8"/>
    <w:rsid w:val="009A2D86"/>
    <w:rsid w:val="009A2FF7"/>
    <w:rsid w:val="009A32FF"/>
    <w:rsid w:val="009A36B5"/>
    <w:rsid w:val="009A37F6"/>
    <w:rsid w:val="009A422F"/>
    <w:rsid w:val="009A44F5"/>
    <w:rsid w:val="009A4807"/>
    <w:rsid w:val="009A5602"/>
    <w:rsid w:val="009A598F"/>
    <w:rsid w:val="009A5BB5"/>
    <w:rsid w:val="009A5C57"/>
    <w:rsid w:val="009A61B4"/>
    <w:rsid w:val="009A6490"/>
    <w:rsid w:val="009A6B03"/>
    <w:rsid w:val="009A6BF9"/>
    <w:rsid w:val="009A762E"/>
    <w:rsid w:val="009A769B"/>
    <w:rsid w:val="009A775E"/>
    <w:rsid w:val="009A77D1"/>
    <w:rsid w:val="009A7C67"/>
    <w:rsid w:val="009A7F29"/>
    <w:rsid w:val="009B0579"/>
    <w:rsid w:val="009B0975"/>
    <w:rsid w:val="009B0B8A"/>
    <w:rsid w:val="009B105B"/>
    <w:rsid w:val="009B10BF"/>
    <w:rsid w:val="009B1307"/>
    <w:rsid w:val="009B15A5"/>
    <w:rsid w:val="009B1BE2"/>
    <w:rsid w:val="009B1D25"/>
    <w:rsid w:val="009B1EFD"/>
    <w:rsid w:val="009B1FA7"/>
    <w:rsid w:val="009B2550"/>
    <w:rsid w:val="009B289C"/>
    <w:rsid w:val="009B2DC3"/>
    <w:rsid w:val="009B2EED"/>
    <w:rsid w:val="009B37AA"/>
    <w:rsid w:val="009B39F5"/>
    <w:rsid w:val="009B3D33"/>
    <w:rsid w:val="009B3E34"/>
    <w:rsid w:val="009B4128"/>
    <w:rsid w:val="009B4241"/>
    <w:rsid w:val="009B485D"/>
    <w:rsid w:val="009B4A2A"/>
    <w:rsid w:val="009B4BBD"/>
    <w:rsid w:val="009B4BD6"/>
    <w:rsid w:val="009B4EB6"/>
    <w:rsid w:val="009B4F04"/>
    <w:rsid w:val="009B51C4"/>
    <w:rsid w:val="009B52C7"/>
    <w:rsid w:val="009B5365"/>
    <w:rsid w:val="009B57A7"/>
    <w:rsid w:val="009B5900"/>
    <w:rsid w:val="009B5A86"/>
    <w:rsid w:val="009B5C9E"/>
    <w:rsid w:val="009B5DCA"/>
    <w:rsid w:val="009B63B6"/>
    <w:rsid w:val="009B6467"/>
    <w:rsid w:val="009B64B4"/>
    <w:rsid w:val="009B6720"/>
    <w:rsid w:val="009B742E"/>
    <w:rsid w:val="009B7761"/>
    <w:rsid w:val="009B7811"/>
    <w:rsid w:val="009B78D8"/>
    <w:rsid w:val="009B796D"/>
    <w:rsid w:val="009B7E3E"/>
    <w:rsid w:val="009BA0A1"/>
    <w:rsid w:val="009C036F"/>
    <w:rsid w:val="009C0A64"/>
    <w:rsid w:val="009C0B05"/>
    <w:rsid w:val="009C0C96"/>
    <w:rsid w:val="009C10CF"/>
    <w:rsid w:val="009C12F0"/>
    <w:rsid w:val="009C1725"/>
    <w:rsid w:val="009C1F72"/>
    <w:rsid w:val="009C1F74"/>
    <w:rsid w:val="009C2154"/>
    <w:rsid w:val="009C2652"/>
    <w:rsid w:val="009C2BEC"/>
    <w:rsid w:val="009C2C74"/>
    <w:rsid w:val="009C2D3E"/>
    <w:rsid w:val="009C2D44"/>
    <w:rsid w:val="009C30F7"/>
    <w:rsid w:val="009C34D5"/>
    <w:rsid w:val="009C3A43"/>
    <w:rsid w:val="009C3A96"/>
    <w:rsid w:val="009C4223"/>
    <w:rsid w:val="009C4252"/>
    <w:rsid w:val="009C43D3"/>
    <w:rsid w:val="009C4455"/>
    <w:rsid w:val="009C44F4"/>
    <w:rsid w:val="009C4843"/>
    <w:rsid w:val="009C492D"/>
    <w:rsid w:val="009C50C2"/>
    <w:rsid w:val="009C5158"/>
    <w:rsid w:val="009C516B"/>
    <w:rsid w:val="009C584C"/>
    <w:rsid w:val="009C5A22"/>
    <w:rsid w:val="009C5ABC"/>
    <w:rsid w:val="009C5EB6"/>
    <w:rsid w:val="009C6714"/>
    <w:rsid w:val="009C6B1E"/>
    <w:rsid w:val="009C75FE"/>
    <w:rsid w:val="009C764E"/>
    <w:rsid w:val="009C7739"/>
    <w:rsid w:val="009C7820"/>
    <w:rsid w:val="009D0970"/>
    <w:rsid w:val="009D0BC2"/>
    <w:rsid w:val="009D0CBE"/>
    <w:rsid w:val="009D0E4A"/>
    <w:rsid w:val="009D105D"/>
    <w:rsid w:val="009D10FF"/>
    <w:rsid w:val="009D1478"/>
    <w:rsid w:val="009D1998"/>
    <w:rsid w:val="009D19EC"/>
    <w:rsid w:val="009D1F3E"/>
    <w:rsid w:val="009D2018"/>
    <w:rsid w:val="009D2088"/>
    <w:rsid w:val="009D3279"/>
    <w:rsid w:val="009D32DD"/>
    <w:rsid w:val="009D3614"/>
    <w:rsid w:val="009D362C"/>
    <w:rsid w:val="009D38D9"/>
    <w:rsid w:val="009D39D9"/>
    <w:rsid w:val="009D3C63"/>
    <w:rsid w:val="009D3D7D"/>
    <w:rsid w:val="009D41D8"/>
    <w:rsid w:val="009D43BB"/>
    <w:rsid w:val="009D44DF"/>
    <w:rsid w:val="009D4AB9"/>
    <w:rsid w:val="009D4C79"/>
    <w:rsid w:val="009D4CA9"/>
    <w:rsid w:val="009D4CCD"/>
    <w:rsid w:val="009D4E50"/>
    <w:rsid w:val="009D4FC6"/>
    <w:rsid w:val="009D52BF"/>
    <w:rsid w:val="009D5352"/>
    <w:rsid w:val="009D591D"/>
    <w:rsid w:val="009D5CFC"/>
    <w:rsid w:val="009D5F97"/>
    <w:rsid w:val="009D63CF"/>
    <w:rsid w:val="009D64B6"/>
    <w:rsid w:val="009D6632"/>
    <w:rsid w:val="009D6B4C"/>
    <w:rsid w:val="009D7068"/>
    <w:rsid w:val="009D7182"/>
    <w:rsid w:val="009D76AB"/>
    <w:rsid w:val="009D76F1"/>
    <w:rsid w:val="009D776A"/>
    <w:rsid w:val="009D7A80"/>
    <w:rsid w:val="009D7BDC"/>
    <w:rsid w:val="009D7F1C"/>
    <w:rsid w:val="009D7F83"/>
    <w:rsid w:val="009DA138"/>
    <w:rsid w:val="009E0297"/>
    <w:rsid w:val="009E063E"/>
    <w:rsid w:val="009E0CF5"/>
    <w:rsid w:val="009E11EE"/>
    <w:rsid w:val="009E14B0"/>
    <w:rsid w:val="009E152B"/>
    <w:rsid w:val="009E1B28"/>
    <w:rsid w:val="009E1C22"/>
    <w:rsid w:val="009E210B"/>
    <w:rsid w:val="009E25DE"/>
    <w:rsid w:val="009E299B"/>
    <w:rsid w:val="009E2BC2"/>
    <w:rsid w:val="009E2BE1"/>
    <w:rsid w:val="009E3443"/>
    <w:rsid w:val="009E39C2"/>
    <w:rsid w:val="009E3A1C"/>
    <w:rsid w:val="009E3C40"/>
    <w:rsid w:val="009E3C91"/>
    <w:rsid w:val="009E3CB0"/>
    <w:rsid w:val="009E3DAA"/>
    <w:rsid w:val="009E3F87"/>
    <w:rsid w:val="009E3FF8"/>
    <w:rsid w:val="009E40C5"/>
    <w:rsid w:val="009E46BD"/>
    <w:rsid w:val="009E4945"/>
    <w:rsid w:val="009E4AD8"/>
    <w:rsid w:val="009E4B17"/>
    <w:rsid w:val="009E4EC1"/>
    <w:rsid w:val="009E4F52"/>
    <w:rsid w:val="009E5083"/>
    <w:rsid w:val="009E5381"/>
    <w:rsid w:val="009E5CC7"/>
    <w:rsid w:val="009E5E94"/>
    <w:rsid w:val="009E6211"/>
    <w:rsid w:val="009E6408"/>
    <w:rsid w:val="009E6797"/>
    <w:rsid w:val="009E6E26"/>
    <w:rsid w:val="009E70DB"/>
    <w:rsid w:val="009E72D8"/>
    <w:rsid w:val="009E73B9"/>
    <w:rsid w:val="009E74A6"/>
    <w:rsid w:val="009E7E2B"/>
    <w:rsid w:val="009F0980"/>
    <w:rsid w:val="009F0B02"/>
    <w:rsid w:val="009F123C"/>
    <w:rsid w:val="009F147D"/>
    <w:rsid w:val="009F1665"/>
    <w:rsid w:val="009F1857"/>
    <w:rsid w:val="009F19DB"/>
    <w:rsid w:val="009F2617"/>
    <w:rsid w:val="009F2690"/>
    <w:rsid w:val="009F3710"/>
    <w:rsid w:val="009F37B0"/>
    <w:rsid w:val="009F3CCA"/>
    <w:rsid w:val="009F4098"/>
    <w:rsid w:val="009F41DF"/>
    <w:rsid w:val="009F434A"/>
    <w:rsid w:val="009F43A6"/>
    <w:rsid w:val="009F4441"/>
    <w:rsid w:val="009F4785"/>
    <w:rsid w:val="009F4803"/>
    <w:rsid w:val="009F4AF8"/>
    <w:rsid w:val="009F5115"/>
    <w:rsid w:val="009F5129"/>
    <w:rsid w:val="009F5546"/>
    <w:rsid w:val="009F5860"/>
    <w:rsid w:val="009F58D7"/>
    <w:rsid w:val="009F5FC1"/>
    <w:rsid w:val="009F60D7"/>
    <w:rsid w:val="009F61CA"/>
    <w:rsid w:val="009F6422"/>
    <w:rsid w:val="009F6481"/>
    <w:rsid w:val="009F7287"/>
    <w:rsid w:val="009F72CB"/>
    <w:rsid w:val="00A001FF"/>
    <w:rsid w:val="00A003E3"/>
    <w:rsid w:val="00A004AF"/>
    <w:rsid w:val="00A007A6"/>
    <w:rsid w:val="00A01089"/>
    <w:rsid w:val="00A01E96"/>
    <w:rsid w:val="00A02219"/>
    <w:rsid w:val="00A025F8"/>
    <w:rsid w:val="00A02DAC"/>
    <w:rsid w:val="00A0319F"/>
    <w:rsid w:val="00A03332"/>
    <w:rsid w:val="00A040BB"/>
    <w:rsid w:val="00A04210"/>
    <w:rsid w:val="00A0469F"/>
    <w:rsid w:val="00A04F21"/>
    <w:rsid w:val="00A04F30"/>
    <w:rsid w:val="00A05257"/>
    <w:rsid w:val="00A05682"/>
    <w:rsid w:val="00A0592E"/>
    <w:rsid w:val="00A05AE4"/>
    <w:rsid w:val="00A05BA6"/>
    <w:rsid w:val="00A05C02"/>
    <w:rsid w:val="00A05C69"/>
    <w:rsid w:val="00A0610D"/>
    <w:rsid w:val="00A06260"/>
    <w:rsid w:val="00A065C3"/>
    <w:rsid w:val="00A066C5"/>
    <w:rsid w:val="00A0688A"/>
    <w:rsid w:val="00A069F3"/>
    <w:rsid w:val="00A06A22"/>
    <w:rsid w:val="00A06EBA"/>
    <w:rsid w:val="00A07490"/>
    <w:rsid w:val="00A074EA"/>
    <w:rsid w:val="00A07839"/>
    <w:rsid w:val="00A1003D"/>
    <w:rsid w:val="00A103AB"/>
    <w:rsid w:val="00A10572"/>
    <w:rsid w:val="00A10728"/>
    <w:rsid w:val="00A10769"/>
    <w:rsid w:val="00A10BAA"/>
    <w:rsid w:val="00A10BBF"/>
    <w:rsid w:val="00A114F4"/>
    <w:rsid w:val="00A11E84"/>
    <w:rsid w:val="00A121D8"/>
    <w:rsid w:val="00A12354"/>
    <w:rsid w:val="00A123D9"/>
    <w:rsid w:val="00A133A1"/>
    <w:rsid w:val="00A13423"/>
    <w:rsid w:val="00A13B78"/>
    <w:rsid w:val="00A13FCA"/>
    <w:rsid w:val="00A14B2D"/>
    <w:rsid w:val="00A14EC9"/>
    <w:rsid w:val="00A1532C"/>
    <w:rsid w:val="00A15A32"/>
    <w:rsid w:val="00A15B30"/>
    <w:rsid w:val="00A1603E"/>
    <w:rsid w:val="00A16347"/>
    <w:rsid w:val="00A163A3"/>
    <w:rsid w:val="00A163E8"/>
    <w:rsid w:val="00A16448"/>
    <w:rsid w:val="00A165FB"/>
    <w:rsid w:val="00A16798"/>
    <w:rsid w:val="00A16AF5"/>
    <w:rsid w:val="00A16B39"/>
    <w:rsid w:val="00A16CF5"/>
    <w:rsid w:val="00A16D96"/>
    <w:rsid w:val="00A16E91"/>
    <w:rsid w:val="00A17424"/>
    <w:rsid w:val="00A17A01"/>
    <w:rsid w:val="00A17EBF"/>
    <w:rsid w:val="00A20294"/>
    <w:rsid w:val="00A20A95"/>
    <w:rsid w:val="00A20F59"/>
    <w:rsid w:val="00A2175F"/>
    <w:rsid w:val="00A21788"/>
    <w:rsid w:val="00A220DC"/>
    <w:rsid w:val="00A222FA"/>
    <w:rsid w:val="00A223D6"/>
    <w:rsid w:val="00A22499"/>
    <w:rsid w:val="00A224B3"/>
    <w:rsid w:val="00A22795"/>
    <w:rsid w:val="00A22B24"/>
    <w:rsid w:val="00A22B37"/>
    <w:rsid w:val="00A22CF8"/>
    <w:rsid w:val="00A2326C"/>
    <w:rsid w:val="00A23499"/>
    <w:rsid w:val="00A23587"/>
    <w:rsid w:val="00A23E9D"/>
    <w:rsid w:val="00A24047"/>
    <w:rsid w:val="00A2404C"/>
    <w:rsid w:val="00A24174"/>
    <w:rsid w:val="00A251EC"/>
    <w:rsid w:val="00A25341"/>
    <w:rsid w:val="00A25453"/>
    <w:rsid w:val="00A2554E"/>
    <w:rsid w:val="00A25644"/>
    <w:rsid w:val="00A25F88"/>
    <w:rsid w:val="00A263D8"/>
    <w:rsid w:val="00A268CC"/>
    <w:rsid w:val="00A26B6C"/>
    <w:rsid w:val="00A27294"/>
    <w:rsid w:val="00A27A92"/>
    <w:rsid w:val="00A27D55"/>
    <w:rsid w:val="00A302B3"/>
    <w:rsid w:val="00A303CF"/>
    <w:rsid w:val="00A30802"/>
    <w:rsid w:val="00A30C54"/>
    <w:rsid w:val="00A30FB2"/>
    <w:rsid w:val="00A3109C"/>
    <w:rsid w:val="00A3186C"/>
    <w:rsid w:val="00A31A97"/>
    <w:rsid w:val="00A3257B"/>
    <w:rsid w:val="00A327EB"/>
    <w:rsid w:val="00A329F8"/>
    <w:rsid w:val="00A32DC3"/>
    <w:rsid w:val="00A3384C"/>
    <w:rsid w:val="00A33AE6"/>
    <w:rsid w:val="00A33E6B"/>
    <w:rsid w:val="00A34059"/>
    <w:rsid w:val="00A34749"/>
    <w:rsid w:val="00A34EFB"/>
    <w:rsid w:val="00A352BA"/>
    <w:rsid w:val="00A35360"/>
    <w:rsid w:val="00A35475"/>
    <w:rsid w:val="00A356A8"/>
    <w:rsid w:val="00A35DFA"/>
    <w:rsid w:val="00A35E08"/>
    <w:rsid w:val="00A36267"/>
    <w:rsid w:val="00A370D8"/>
    <w:rsid w:val="00A3747A"/>
    <w:rsid w:val="00A37993"/>
    <w:rsid w:val="00A37BA3"/>
    <w:rsid w:val="00A40291"/>
    <w:rsid w:val="00A4030C"/>
    <w:rsid w:val="00A40730"/>
    <w:rsid w:val="00A40969"/>
    <w:rsid w:val="00A40C53"/>
    <w:rsid w:val="00A40F03"/>
    <w:rsid w:val="00A41A6A"/>
    <w:rsid w:val="00A41B9B"/>
    <w:rsid w:val="00A41D31"/>
    <w:rsid w:val="00A4235B"/>
    <w:rsid w:val="00A42489"/>
    <w:rsid w:val="00A42535"/>
    <w:rsid w:val="00A42DE5"/>
    <w:rsid w:val="00A42E2F"/>
    <w:rsid w:val="00A4352E"/>
    <w:rsid w:val="00A43CCB"/>
    <w:rsid w:val="00A43D13"/>
    <w:rsid w:val="00A44DD1"/>
    <w:rsid w:val="00A44F2F"/>
    <w:rsid w:val="00A45099"/>
    <w:rsid w:val="00A450E1"/>
    <w:rsid w:val="00A4559C"/>
    <w:rsid w:val="00A45D04"/>
    <w:rsid w:val="00A45DE7"/>
    <w:rsid w:val="00A46AE0"/>
    <w:rsid w:val="00A46D4D"/>
    <w:rsid w:val="00A46EFF"/>
    <w:rsid w:val="00A4704B"/>
    <w:rsid w:val="00A47A43"/>
    <w:rsid w:val="00A47A8F"/>
    <w:rsid w:val="00A47CA7"/>
    <w:rsid w:val="00A47E1C"/>
    <w:rsid w:val="00A4E180"/>
    <w:rsid w:val="00A4E836"/>
    <w:rsid w:val="00A50253"/>
    <w:rsid w:val="00A50D08"/>
    <w:rsid w:val="00A50D1C"/>
    <w:rsid w:val="00A516FF"/>
    <w:rsid w:val="00A518C6"/>
    <w:rsid w:val="00A51DC5"/>
    <w:rsid w:val="00A51E27"/>
    <w:rsid w:val="00A521DC"/>
    <w:rsid w:val="00A522DB"/>
    <w:rsid w:val="00A52399"/>
    <w:rsid w:val="00A5249F"/>
    <w:rsid w:val="00A527D0"/>
    <w:rsid w:val="00A52951"/>
    <w:rsid w:val="00A529FF"/>
    <w:rsid w:val="00A52B26"/>
    <w:rsid w:val="00A52CE0"/>
    <w:rsid w:val="00A52D4F"/>
    <w:rsid w:val="00A531F4"/>
    <w:rsid w:val="00A53888"/>
    <w:rsid w:val="00A53983"/>
    <w:rsid w:val="00A53C83"/>
    <w:rsid w:val="00A5437D"/>
    <w:rsid w:val="00A54412"/>
    <w:rsid w:val="00A54427"/>
    <w:rsid w:val="00A5455B"/>
    <w:rsid w:val="00A54AC2"/>
    <w:rsid w:val="00A54C03"/>
    <w:rsid w:val="00A54CC4"/>
    <w:rsid w:val="00A55081"/>
    <w:rsid w:val="00A552AB"/>
    <w:rsid w:val="00A5545F"/>
    <w:rsid w:val="00A5575D"/>
    <w:rsid w:val="00A55D45"/>
    <w:rsid w:val="00A55E9F"/>
    <w:rsid w:val="00A55FF6"/>
    <w:rsid w:val="00A5621F"/>
    <w:rsid w:val="00A57010"/>
    <w:rsid w:val="00A5711E"/>
    <w:rsid w:val="00A57321"/>
    <w:rsid w:val="00A57325"/>
    <w:rsid w:val="00A5764C"/>
    <w:rsid w:val="00A57B77"/>
    <w:rsid w:val="00A57CA2"/>
    <w:rsid w:val="00A57D25"/>
    <w:rsid w:val="00A60171"/>
    <w:rsid w:val="00A60438"/>
    <w:rsid w:val="00A60733"/>
    <w:rsid w:val="00A609EE"/>
    <w:rsid w:val="00A60E3C"/>
    <w:rsid w:val="00A61115"/>
    <w:rsid w:val="00A612E9"/>
    <w:rsid w:val="00A615CD"/>
    <w:rsid w:val="00A6187B"/>
    <w:rsid w:val="00A62336"/>
    <w:rsid w:val="00A6237D"/>
    <w:rsid w:val="00A62A9A"/>
    <w:rsid w:val="00A63306"/>
    <w:rsid w:val="00A63352"/>
    <w:rsid w:val="00A63413"/>
    <w:rsid w:val="00A6353A"/>
    <w:rsid w:val="00A63633"/>
    <w:rsid w:val="00A638E5"/>
    <w:rsid w:val="00A63EA9"/>
    <w:rsid w:val="00A63FC4"/>
    <w:rsid w:val="00A64069"/>
    <w:rsid w:val="00A641E0"/>
    <w:rsid w:val="00A646F4"/>
    <w:rsid w:val="00A647A7"/>
    <w:rsid w:val="00A648A1"/>
    <w:rsid w:val="00A64D47"/>
    <w:rsid w:val="00A65263"/>
    <w:rsid w:val="00A652C7"/>
    <w:rsid w:val="00A6581B"/>
    <w:rsid w:val="00A65854"/>
    <w:rsid w:val="00A66023"/>
    <w:rsid w:val="00A660E1"/>
    <w:rsid w:val="00A661C6"/>
    <w:rsid w:val="00A6633B"/>
    <w:rsid w:val="00A6696E"/>
    <w:rsid w:val="00A669F8"/>
    <w:rsid w:val="00A66D11"/>
    <w:rsid w:val="00A670E2"/>
    <w:rsid w:val="00A671FD"/>
    <w:rsid w:val="00A672E8"/>
    <w:rsid w:val="00A67399"/>
    <w:rsid w:val="00A67FBB"/>
    <w:rsid w:val="00A700FB"/>
    <w:rsid w:val="00A70957"/>
    <w:rsid w:val="00A70B85"/>
    <w:rsid w:val="00A70B90"/>
    <w:rsid w:val="00A70EE0"/>
    <w:rsid w:val="00A7151A"/>
    <w:rsid w:val="00A71884"/>
    <w:rsid w:val="00A71A7A"/>
    <w:rsid w:val="00A71C3C"/>
    <w:rsid w:val="00A71ED9"/>
    <w:rsid w:val="00A721B2"/>
    <w:rsid w:val="00A7257B"/>
    <w:rsid w:val="00A727C2"/>
    <w:rsid w:val="00A7297C"/>
    <w:rsid w:val="00A730B6"/>
    <w:rsid w:val="00A737F4"/>
    <w:rsid w:val="00A73C82"/>
    <w:rsid w:val="00A73D31"/>
    <w:rsid w:val="00A73F61"/>
    <w:rsid w:val="00A74027"/>
    <w:rsid w:val="00A742F9"/>
    <w:rsid w:val="00A74751"/>
    <w:rsid w:val="00A7498D"/>
    <w:rsid w:val="00A74B3D"/>
    <w:rsid w:val="00A74B95"/>
    <w:rsid w:val="00A754C0"/>
    <w:rsid w:val="00A75558"/>
    <w:rsid w:val="00A758C3"/>
    <w:rsid w:val="00A75E78"/>
    <w:rsid w:val="00A76409"/>
    <w:rsid w:val="00A76609"/>
    <w:rsid w:val="00A76AE0"/>
    <w:rsid w:val="00A76B01"/>
    <w:rsid w:val="00A76C50"/>
    <w:rsid w:val="00A76CB3"/>
    <w:rsid w:val="00A76D8C"/>
    <w:rsid w:val="00A7727E"/>
    <w:rsid w:val="00A773ED"/>
    <w:rsid w:val="00A773FE"/>
    <w:rsid w:val="00A77755"/>
    <w:rsid w:val="00A77CCB"/>
    <w:rsid w:val="00A77CE7"/>
    <w:rsid w:val="00A77F69"/>
    <w:rsid w:val="00A77FFB"/>
    <w:rsid w:val="00A802FC"/>
    <w:rsid w:val="00A80805"/>
    <w:rsid w:val="00A80970"/>
    <w:rsid w:val="00A80F24"/>
    <w:rsid w:val="00A8160B"/>
    <w:rsid w:val="00A8179F"/>
    <w:rsid w:val="00A8225D"/>
    <w:rsid w:val="00A82E5F"/>
    <w:rsid w:val="00A837C7"/>
    <w:rsid w:val="00A83852"/>
    <w:rsid w:val="00A840AB"/>
    <w:rsid w:val="00A845B9"/>
    <w:rsid w:val="00A84A79"/>
    <w:rsid w:val="00A851AC"/>
    <w:rsid w:val="00A85304"/>
    <w:rsid w:val="00A858BA"/>
    <w:rsid w:val="00A85EF9"/>
    <w:rsid w:val="00A85FE4"/>
    <w:rsid w:val="00A864ED"/>
    <w:rsid w:val="00A86633"/>
    <w:rsid w:val="00A86990"/>
    <w:rsid w:val="00A86ADD"/>
    <w:rsid w:val="00A87327"/>
    <w:rsid w:val="00A87536"/>
    <w:rsid w:val="00A8758C"/>
    <w:rsid w:val="00A87B9F"/>
    <w:rsid w:val="00A87D40"/>
    <w:rsid w:val="00A87EF5"/>
    <w:rsid w:val="00A87FE4"/>
    <w:rsid w:val="00A90324"/>
    <w:rsid w:val="00A903F1"/>
    <w:rsid w:val="00A9052B"/>
    <w:rsid w:val="00A906FA"/>
    <w:rsid w:val="00A908F2"/>
    <w:rsid w:val="00A909AC"/>
    <w:rsid w:val="00A90B4E"/>
    <w:rsid w:val="00A90DE6"/>
    <w:rsid w:val="00A91154"/>
    <w:rsid w:val="00A91235"/>
    <w:rsid w:val="00A913CA"/>
    <w:rsid w:val="00A917DE"/>
    <w:rsid w:val="00A91DE1"/>
    <w:rsid w:val="00A92773"/>
    <w:rsid w:val="00A9286F"/>
    <w:rsid w:val="00A92B9B"/>
    <w:rsid w:val="00A92E4E"/>
    <w:rsid w:val="00A92EE4"/>
    <w:rsid w:val="00A93453"/>
    <w:rsid w:val="00A935E9"/>
    <w:rsid w:val="00A93654"/>
    <w:rsid w:val="00A93804"/>
    <w:rsid w:val="00A93814"/>
    <w:rsid w:val="00A93937"/>
    <w:rsid w:val="00A93D98"/>
    <w:rsid w:val="00A94185"/>
    <w:rsid w:val="00A94281"/>
    <w:rsid w:val="00A94A86"/>
    <w:rsid w:val="00A94B18"/>
    <w:rsid w:val="00A94C10"/>
    <w:rsid w:val="00A95674"/>
    <w:rsid w:val="00A95919"/>
    <w:rsid w:val="00A95BD1"/>
    <w:rsid w:val="00A960AD"/>
    <w:rsid w:val="00A961DB"/>
    <w:rsid w:val="00A96230"/>
    <w:rsid w:val="00A96318"/>
    <w:rsid w:val="00A96456"/>
    <w:rsid w:val="00A966A2"/>
    <w:rsid w:val="00A96752"/>
    <w:rsid w:val="00A96847"/>
    <w:rsid w:val="00A968CA"/>
    <w:rsid w:val="00A9690E"/>
    <w:rsid w:val="00A96989"/>
    <w:rsid w:val="00A969F2"/>
    <w:rsid w:val="00A96E8E"/>
    <w:rsid w:val="00A96F65"/>
    <w:rsid w:val="00A9705F"/>
    <w:rsid w:val="00A9707C"/>
    <w:rsid w:val="00A97541"/>
    <w:rsid w:val="00A97708"/>
    <w:rsid w:val="00A97A3A"/>
    <w:rsid w:val="00A97A70"/>
    <w:rsid w:val="00A97A9D"/>
    <w:rsid w:val="00A97E93"/>
    <w:rsid w:val="00AA070B"/>
    <w:rsid w:val="00AA0782"/>
    <w:rsid w:val="00AA0FE0"/>
    <w:rsid w:val="00AA1281"/>
    <w:rsid w:val="00AA13F1"/>
    <w:rsid w:val="00AA14F2"/>
    <w:rsid w:val="00AA1762"/>
    <w:rsid w:val="00AA1D91"/>
    <w:rsid w:val="00AA1FFA"/>
    <w:rsid w:val="00AA2164"/>
    <w:rsid w:val="00AA24CD"/>
    <w:rsid w:val="00AA2902"/>
    <w:rsid w:val="00AA2975"/>
    <w:rsid w:val="00AA32D3"/>
    <w:rsid w:val="00AA3377"/>
    <w:rsid w:val="00AA36D3"/>
    <w:rsid w:val="00AA379B"/>
    <w:rsid w:val="00AA4567"/>
    <w:rsid w:val="00AA4992"/>
    <w:rsid w:val="00AA4BFC"/>
    <w:rsid w:val="00AA4F43"/>
    <w:rsid w:val="00AA505C"/>
    <w:rsid w:val="00AA511B"/>
    <w:rsid w:val="00AA602B"/>
    <w:rsid w:val="00AA6105"/>
    <w:rsid w:val="00AA6204"/>
    <w:rsid w:val="00AA66EA"/>
    <w:rsid w:val="00AA68C2"/>
    <w:rsid w:val="00AA68CE"/>
    <w:rsid w:val="00AA6A1A"/>
    <w:rsid w:val="00AA7338"/>
    <w:rsid w:val="00AA7371"/>
    <w:rsid w:val="00AA76DE"/>
    <w:rsid w:val="00AA7DFF"/>
    <w:rsid w:val="00AA7E14"/>
    <w:rsid w:val="00AA7E4E"/>
    <w:rsid w:val="00AA9352"/>
    <w:rsid w:val="00AA945D"/>
    <w:rsid w:val="00AA984A"/>
    <w:rsid w:val="00AB005E"/>
    <w:rsid w:val="00AB05BA"/>
    <w:rsid w:val="00AB05BD"/>
    <w:rsid w:val="00AB0733"/>
    <w:rsid w:val="00AB0C06"/>
    <w:rsid w:val="00AB0DDC"/>
    <w:rsid w:val="00AB1413"/>
    <w:rsid w:val="00AB1900"/>
    <w:rsid w:val="00AB1F8E"/>
    <w:rsid w:val="00AB2731"/>
    <w:rsid w:val="00AB2925"/>
    <w:rsid w:val="00AB29AA"/>
    <w:rsid w:val="00AB2A3D"/>
    <w:rsid w:val="00AB2B74"/>
    <w:rsid w:val="00AB3575"/>
    <w:rsid w:val="00AB35AD"/>
    <w:rsid w:val="00AB366C"/>
    <w:rsid w:val="00AB3882"/>
    <w:rsid w:val="00AB3943"/>
    <w:rsid w:val="00AB3D7B"/>
    <w:rsid w:val="00AB3E44"/>
    <w:rsid w:val="00AB41CC"/>
    <w:rsid w:val="00AB429A"/>
    <w:rsid w:val="00AB4967"/>
    <w:rsid w:val="00AB4CB9"/>
    <w:rsid w:val="00AB54BD"/>
    <w:rsid w:val="00AB5655"/>
    <w:rsid w:val="00AB5B2F"/>
    <w:rsid w:val="00AB654C"/>
    <w:rsid w:val="00AB65C9"/>
    <w:rsid w:val="00AB6AE8"/>
    <w:rsid w:val="00AB6AED"/>
    <w:rsid w:val="00AB6B08"/>
    <w:rsid w:val="00AB6D69"/>
    <w:rsid w:val="00AB70A7"/>
    <w:rsid w:val="00AB70BF"/>
    <w:rsid w:val="00AB715A"/>
    <w:rsid w:val="00AB7926"/>
    <w:rsid w:val="00AB79C3"/>
    <w:rsid w:val="00AB7B03"/>
    <w:rsid w:val="00AB7DC8"/>
    <w:rsid w:val="00AC0290"/>
    <w:rsid w:val="00AC04E0"/>
    <w:rsid w:val="00AC0832"/>
    <w:rsid w:val="00AC0ED7"/>
    <w:rsid w:val="00AC0F1A"/>
    <w:rsid w:val="00AC1691"/>
    <w:rsid w:val="00AC1A14"/>
    <w:rsid w:val="00AC1F79"/>
    <w:rsid w:val="00AC1FCC"/>
    <w:rsid w:val="00AC20BC"/>
    <w:rsid w:val="00AC267E"/>
    <w:rsid w:val="00AC26EC"/>
    <w:rsid w:val="00AC2B67"/>
    <w:rsid w:val="00AC2E36"/>
    <w:rsid w:val="00AC2F9F"/>
    <w:rsid w:val="00AC30F1"/>
    <w:rsid w:val="00AC3BD1"/>
    <w:rsid w:val="00AC3D8E"/>
    <w:rsid w:val="00AC3F0E"/>
    <w:rsid w:val="00AC4221"/>
    <w:rsid w:val="00AC4894"/>
    <w:rsid w:val="00AC4C1F"/>
    <w:rsid w:val="00AC4C4C"/>
    <w:rsid w:val="00AC51C9"/>
    <w:rsid w:val="00AC521D"/>
    <w:rsid w:val="00AC5343"/>
    <w:rsid w:val="00AC58EB"/>
    <w:rsid w:val="00AC5A4E"/>
    <w:rsid w:val="00AC5AD5"/>
    <w:rsid w:val="00AC5BD6"/>
    <w:rsid w:val="00AC6044"/>
    <w:rsid w:val="00AC63FA"/>
    <w:rsid w:val="00AC68EB"/>
    <w:rsid w:val="00AC6E01"/>
    <w:rsid w:val="00AC728C"/>
    <w:rsid w:val="00AC72EE"/>
    <w:rsid w:val="00AC76D5"/>
    <w:rsid w:val="00AC773C"/>
    <w:rsid w:val="00AD0101"/>
    <w:rsid w:val="00AD087B"/>
    <w:rsid w:val="00AD0D8E"/>
    <w:rsid w:val="00AD0FBF"/>
    <w:rsid w:val="00AD11DA"/>
    <w:rsid w:val="00AD15E7"/>
    <w:rsid w:val="00AD18B7"/>
    <w:rsid w:val="00AD24B9"/>
    <w:rsid w:val="00AD2C73"/>
    <w:rsid w:val="00AD2FC1"/>
    <w:rsid w:val="00AD361B"/>
    <w:rsid w:val="00AD39B3"/>
    <w:rsid w:val="00AD3B1F"/>
    <w:rsid w:val="00AD3C4B"/>
    <w:rsid w:val="00AD3D11"/>
    <w:rsid w:val="00AD3D8D"/>
    <w:rsid w:val="00AD43DA"/>
    <w:rsid w:val="00AD4547"/>
    <w:rsid w:val="00AD45A0"/>
    <w:rsid w:val="00AD4D2B"/>
    <w:rsid w:val="00AD5179"/>
    <w:rsid w:val="00AD53C3"/>
    <w:rsid w:val="00AD5489"/>
    <w:rsid w:val="00AD5B89"/>
    <w:rsid w:val="00AD5BEC"/>
    <w:rsid w:val="00AD6257"/>
    <w:rsid w:val="00AD62D2"/>
    <w:rsid w:val="00AD66A4"/>
    <w:rsid w:val="00AD6F1A"/>
    <w:rsid w:val="00AD700E"/>
    <w:rsid w:val="00AD7046"/>
    <w:rsid w:val="00AD71F7"/>
    <w:rsid w:val="00AD7881"/>
    <w:rsid w:val="00AD7A8C"/>
    <w:rsid w:val="00AD7BA5"/>
    <w:rsid w:val="00AD7BE2"/>
    <w:rsid w:val="00AE02D9"/>
    <w:rsid w:val="00AE080F"/>
    <w:rsid w:val="00AE0876"/>
    <w:rsid w:val="00AE0AE4"/>
    <w:rsid w:val="00AE0B37"/>
    <w:rsid w:val="00AE14B2"/>
    <w:rsid w:val="00AE150C"/>
    <w:rsid w:val="00AE1649"/>
    <w:rsid w:val="00AE1894"/>
    <w:rsid w:val="00AE2704"/>
    <w:rsid w:val="00AE2793"/>
    <w:rsid w:val="00AE2DE6"/>
    <w:rsid w:val="00AE2F73"/>
    <w:rsid w:val="00AE2F86"/>
    <w:rsid w:val="00AE3012"/>
    <w:rsid w:val="00AE3049"/>
    <w:rsid w:val="00AE31E1"/>
    <w:rsid w:val="00AE3552"/>
    <w:rsid w:val="00AE3772"/>
    <w:rsid w:val="00AE37AB"/>
    <w:rsid w:val="00AE3E49"/>
    <w:rsid w:val="00AE413C"/>
    <w:rsid w:val="00AE4150"/>
    <w:rsid w:val="00AE41F8"/>
    <w:rsid w:val="00AE4205"/>
    <w:rsid w:val="00AE4468"/>
    <w:rsid w:val="00AE4517"/>
    <w:rsid w:val="00AE4569"/>
    <w:rsid w:val="00AE492E"/>
    <w:rsid w:val="00AE4A14"/>
    <w:rsid w:val="00AE50B1"/>
    <w:rsid w:val="00AE5587"/>
    <w:rsid w:val="00AE56A9"/>
    <w:rsid w:val="00AE5C74"/>
    <w:rsid w:val="00AE5F3C"/>
    <w:rsid w:val="00AE624C"/>
    <w:rsid w:val="00AE675A"/>
    <w:rsid w:val="00AE6903"/>
    <w:rsid w:val="00AE693B"/>
    <w:rsid w:val="00AE6E28"/>
    <w:rsid w:val="00AE7814"/>
    <w:rsid w:val="00AE78EE"/>
    <w:rsid w:val="00AE79B1"/>
    <w:rsid w:val="00AE7A2C"/>
    <w:rsid w:val="00AE7F20"/>
    <w:rsid w:val="00AE7FFA"/>
    <w:rsid w:val="00AF0619"/>
    <w:rsid w:val="00AF07B4"/>
    <w:rsid w:val="00AF09A8"/>
    <w:rsid w:val="00AF0E4B"/>
    <w:rsid w:val="00AF1B2F"/>
    <w:rsid w:val="00AF1B89"/>
    <w:rsid w:val="00AF21CF"/>
    <w:rsid w:val="00AF2580"/>
    <w:rsid w:val="00AF2599"/>
    <w:rsid w:val="00AF266D"/>
    <w:rsid w:val="00AF27E1"/>
    <w:rsid w:val="00AF2A5A"/>
    <w:rsid w:val="00AF2B42"/>
    <w:rsid w:val="00AF2CE7"/>
    <w:rsid w:val="00AF2F4D"/>
    <w:rsid w:val="00AF2FBB"/>
    <w:rsid w:val="00AF320C"/>
    <w:rsid w:val="00AF3365"/>
    <w:rsid w:val="00AF3431"/>
    <w:rsid w:val="00AF3921"/>
    <w:rsid w:val="00AF3A62"/>
    <w:rsid w:val="00AF3A63"/>
    <w:rsid w:val="00AF3A7B"/>
    <w:rsid w:val="00AF3E50"/>
    <w:rsid w:val="00AF3F74"/>
    <w:rsid w:val="00AF406F"/>
    <w:rsid w:val="00AF437D"/>
    <w:rsid w:val="00AF4670"/>
    <w:rsid w:val="00AF4914"/>
    <w:rsid w:val="00AF4B97"/>
    <w:rsid w:val="00AF4E84"/>
    <w:rsid w:val="00AF4FC3"/>
    <w:rsid w:val="00AF500C"/>
    <w:rsid w:val="00AF51B3"/>
    <w:rsid w:val="00AF546A"/>
    <w:rsid w:val="00AF54A5"/>
    <w:rsid w:val="00AF54CF"/>
    <w:rsid w:val="00AF5840"/>
    <w:rsid w:val="00AF5B5D"/>
    <w:rsid w:val="00AF60A3"/>
    <w:rsid w:val="00AF64BA"/>
    <w:rsid w:val="00AF6647"/>
    <w:rsid w:val="00AF685A"/>
    <w:rsid w:val="00AF6C37"/>
    <w:rsid w:val="00AF6CB9"/>
    <w:rsid w:val="00AF6EBB"/>
    <w:rsid w:val="00AF7236"/>
    <w:rsid w:val="00AF7545"/>
    <w:rsid w:val="00AF794B"/>
    <w:rsid w:val="00AF79CB"/>
    <w:rsid w:val="00AF7C22"/>
    <w:rsid w:val="00B000EC"/>
    <w:rsid w:val="00B00777"/>
    <w:rsid w:val="00B009E4"/>
    <w:rsid w:val="00B009F8"/>
    <w:rsid w:val="00B00D55"/>
    <w:rsid w:val="00B00DC6"/>
    <w:rsid w:val="00B00EEF"/>
    <w:rsid w:val="00B00F26"/>
    <w:rsid w:val="00B01298"/>
    <w:rsid w:val="00B015B3"/>
    <w:rsid w:val="00B015CB"/>
    <w:rsid w:val="00B01989"/>
    <w:rsid w:val="00B01B25"/>
    <w:rsid w:val="00B01EBF"/>
    <w:rsid w:val="00B01F77"/>
    <w:rsid w:val="00B02042"/>
    <w:rsid w:val="00B0206F"/>
    <w:rsid w:val="00B02695"/>
    <w:rsid w:val="00B02AD7"/>
    <w:rsid w:val="00B03455"/>
    <w:rsid w:val="00B038F2"/>
    <w:rsid w:val="00B048A2"/>
    <w:rsid w:val="00B04A86"/>
    <w:rsid w:val="00B04C55"/>
    <w:rsid w:val="00B04C57"/>
    <w:rsid w:val="00B04D99"/>
    <w:rsid w:val="00B04E35"/>
    <w:rsid w:val="00B05217"/>
    <w:rsid w:val="00B0538D"/>
    <w:rsid w:val="00B058C1"/>
    <w:rsid w:val="00B05C3A"/>
    <w:rsid w:val="00B05D36"/>
    <w:rsid w:val="00B06114"/>
    <w:rsid w:val="00B06178"/>
    <w:rsid w:val="00B061D3"/>
    <w:rsid w:val="00B06319"/>
    <w:rsid w:val="00B0658D"/>
    <w:rsid w:val="00B067C1"/>
    <w:rsid w:val="00B06B4E"/>
    <w:rsid w:val="00B06BFB"/>
    <w:rsid w:val="00B07086"/>
    <w:rsid w:val="00B075B9"/>
    <w:rsid w:val="00B07951"/>
    <w:rsid w:val="00B07B46"/>
    <w:rsid w:val="00B07B49"/>
    <w:rsid w:val="00B07C9F"/>
    <w:rsid w:val="00B07DB4"/>
    <w:rsid w:val="00B1061B"/>
    <w:rsid w:val="00B10947"/>
    <w:rsid w:val="00B10ADD"/>
    <w:rsid w:val="00B10DF4"/>
    <w:rsid w:val="00B111B0"/>
    <w:rsid w:val="00B112D0"/>
    <w:rsid w:val="00B11498"/>
    <w:rsid w:val="00B11819"/>
    <w:rsid w:val="00B11D07"/>
    <w:rsid w:val="00B11E25"/>
    <w:rsid w:val="00B126FA"/>
    <w:rsid w:val="00B12AD5"/>
    <w:rsid w:val="00B12CD1"/>
    <w:rsid w:val="00B12DE9"/>
    <w:rsid w:val="00B13033"/>
    <w:rsid w:val="00B1333F"/>
    <w:rsid w:val="00B13609"/>
    <w:rsid w:val="00B13A72"/>
    <w:rsid w:val="00B13E72"/>
    <w:rsid w:val="00B14329"/>
    <w:rsid w:val="00B14640"/>
    <w:rsid w:val="00B146D0"/>
    <w:rsid w:val="00B14825"/>
    <w:rsid w:val="00B14A85"/>
    <w:rsid w:val="00B14BA7"/>
    <w:rsid w:val="00B14C29"/>
    <w:rsid w:val="00B14D6A"/>
    <w:rsid w:val="00B14EF0"/>
    <w:rsid w:val="00B15212"/>
    <w:rsid w:val="00B152DA"/>
    <w:rsid w:val="00B156DC"/>
    <w:rsid w:val="00B1578D"/>
    <w:rsid w:val="00B158A2"/>
    <w:rsid w:val="00B15A5E"/>
    <w:rsid w:val="00B15E5B"/>
    <w:rsid w:val="00B16363"/>
    <w:rsid w:val="00B1641C"/>
    <w:rsid w:val="00B167A5"/>
    <w:rsid w:val="00B16874"/>
    <w:rsid w:val="00B1733F"/>
    <w:rsid w:val="00B1793A"/>
    <w:rsid w:val="00B17994"/>
    <w:rsid w:val="00B17A06"/>
    <w:rsid w:val="00B17AA0"/>
    <w:rsid w:val="00B20136"/>
    <w:rsid w:val="00B20237"/>
    <w:rsid w:val="00B204B1"/>
    <w:rsid w:val="00B206E0"/>
    <w:rsid w:val="00B20BB6"/>
    <w:rsid w:val="00B20EB1"/>
    <w:rsid w:val="00B21301"/>
    <w:rsid w:val="00B21305"/>
    <w:rsid w:val="00B21358"/>
    <w:rsid w:val="00B22863"/>
    <w:rsid w:val="00B22A0B"/>
    <w:rsid w:val="00B22BBA"/>
    <w:rsid w:val="00B23339"/>
    <w:rsid w:val="00B235F8"/>
    <w:rsid w:val="00B23E27"/>
    <w:rsid w:val="00B23E66"/>
    <w:rsid w:val="00B2410A"/>
    <w:rsid w:val="00B24BB3"/>
    <w:rsid w:val="00B24D8A"/>
    <w:rsid w:val="00B25077"/>
    <w:rsid w:val="00B250E2"/>
    <w:rsid w:val="00B254E6"/>
    <w:rsid w:val="00B25A01"/>
    <w:rsid w:val="00B25D9D"/>
    <w:rsid w:val="00B25DC8"/>
    <w:rsid w:val="00B26337"/>
    <w:rsid w:val="00B26474"/>
    <w:rsid w:val="00B267F4"/>
    <w:rsid w:val="00B267FC"/>
    <w:rsid w:val="00B269CC"/>
    <w:rsid w:val="00B273FF"/>
    <w:rsid w:val="00B2746F"/>
    <w:rsid w:val="00B27620"/>
    <w:rsid w:val="00B27999"/>
    <w:rsid w:val="00B27B3A"/>
    <w:rsid w:val="00B27B80"/>
    <w:rsid w:val="00B27CDD"/>
    <w:rsid w:val="00B27F37"/>
    <w:rsid w:val="00B304AE"/>
    <w:rsid w:val="00B308CA"/>
    <w:rsid w:val="00B30CA6"/>
    <w:rsid w:val="00B30CCA"/>
    <w:rsid w:val="00B30E4B"/>
    <w:rsid w:val="00B31144"/>
    <w:rsid w:val="00B31514"/>
    <w:rsid w:val="00B31902"/>
    <w:rsid w:val="00B3196A"/>
    <w:rsid w:val="00B31E08"/>
    <w:rsid w:val="00B321B1"/>
    <w:rsid w:val="00B32746"/>
    <w:rsid w:val="00B32886"/>
    <w:rsid w:val="00B3293B"/>
    <w:rsid w:val="00B33167"/>
    <w:rsid w:val="00B33943"/>
    <w:rsid w:val="00B33B6B"/>
    <w:rsid w:val="00B33F46"/>
    <w:rsid w:val="00B34012"/>
    <w:rsid w:val="00B34042"/>
    <w:rsid w:val="00B340C9"/>
    <w:rsid w:val="00B34631"/>
    <w:rsid w:val="00B34884"/>
    <w:rsid w:val="00B352C1"/>
    <w:rsid w:val="00B357FA"/>
    <w:rsid w:val="00B35961"/>
    <w:rsid w:val="00B35F85"/>
    <w:rsid w:val="00B361D8"/>
    <w:rsid w:val="00B3653B"/>
    <w:rsid w:val="00B367F4"/>
    <w:rsid w:val="00B369C6"/>
    <w:rsid w:val="00B36E5F"/>
    <w:rsid w:val="00B36F30"/>
    <w:rsid w:val="00B36F39"/>
    <w:rsid w:val="00B3711A"/>
    <w:rsid w:val="00B3716D"/>
    <w:rsid w:val="00B3745B"/>
    <w:rsid w:val="00B40E79"/>
    <w:rsid w:val="00B40F86"/>
    <w:rsid w:val="00B4169F"/>
    <w:rsid w:val="00B42229"/>
    <w:rsid w:val="00B42378"/>
    <w:rsid w:val="00B423DB"/>
    <w:rsid w:val="00B42491"/>
    <w:rsid w:val="00B42969"/>
    <w:rsid w:val="00B42B1B"/>
    <w:rsid w:val="00B42F3A"/>
    <w:rsid w:val="00B42F58"/>
    <w:rsid w:val="00B4317A"/>
    <w:rsid w:val="00B432BE"/>
    <w:rsid w:val="00B43AF9"/>
    <w:rsid w:val="00B43BCB"/>
    <w:rsid w:val="00B44303"/>
    <w:rsid w:val="00B4434E"/>
    <w:rsid w:val="00B44506"/>
    <w:rsid w:val="00B445D9"/>
    <w:rsid w:val="00B44BAC"/>
    <w:rsid w:val="00B44CFB"/>
    <w:rsid w:val="00B44EB8"/>
    <w:rsid w:val="00B454D6"/>
    <w:rsid w:val="00B455A1"/>
    <w:rsid w:val="00B45642"/>
    <w:rsid w:val="00B45B32"/>
    <w:rsid w:val="00B45D41"/>
    <w:rsid w:val="00B45EBF"/>
    <w:rsid w:val="00B46371"/>
    <w:rsid w:val="00B46A8C"/>
    <w:rsid w:val="00B46F0B"/>
    <w:rsid w:val="00B4739C"/>
    <w:rsid w:val="00B4798D"/>
    <w:rsid w:val="00B47D23"/>
    <w:rsid w:val="00B4DD8F"/>
    <w:rsid w:val="00B5064F"/>
    <w:rsid w:val="00B50842"/>
    <w:rsid w:val="00B508B9"/>
    <w:rsid w:val="00B508BA"/>
    <w:rsid w:val="00B50BCF"/>
    <w:rsid w:val="00B50F4D"/>
    <w:rsid w:val="00B51234"/>
    <w:rsid w:val="00B51442"/>
    <w:rsid w:val="00B5178B"/>
    <w:rsid w:val="00B5186F"/>
    <w:rsid w:val="00B51882"/>
    <w:rsid w:val="00B51AFF"/>
    <w:rsid w:val="00B52254"/>
    <w:rsid w:val="00B52429"/>
    <w:rsid w:val="00B5264C"/>
    <w:rsid w:val="00B5285E"/>
    <w:rsid w:val="00B528E7"/>
    <w:rsid w:val="00B52C10"/>
    <w:rsid w:val="00B52C76"/>
    <w:rsid w:val="00B52E2C"/>
    <w:rsid w:val="00B53106"/>
    <w:rsid w:val="00B532EF"/>
    <w:rsid w:val="00B53917"/>
    <w:rsid w:val="00B53A63"/>
    <w:rsid w:val="00B53E39"/>
    <w:rsid w:val="00B54499"/>
    <w:rsid w:val="00B54AF1"/>
    <w:rsid w:val="00B54EFA"/>
    <w:rsid w:val="00B551EA"/>
    <w:rsid w:val="00B554DE"/>
    <w:rsid w:val="00B555BF"/>
    <w:rsid w:val="00B55605"/>
    <w:rsid w:val="00B5567D"/>
    <w:rsid w:val="00B557A5"/>
    <w:rsid w:val="00B55F62"/>
    <w:rsid w:val="00B564D5"/>
    <w:rsid w:val="00B56B46"/>
    <w:rsid w:val="00B56E61"/>
    <w:rsid w:val="00B57463"/>
    <w:rsid w:val="00B57495"/>
    <w:rsid w:val="00B5776B"/>
    <w:rsid w:val="00B57A27"/>
    <w:rsid w:val="00B57A87"/>
    <w:rsid w:val="00B57B9B"/>
    <w:rsid w:val="00B57D83"/>
    <w:rsid w:val="00B57E67"/>
    <w:rsid w:val="00B57EAB"/>
    <w:rsid w:val="00B57FB1"/>
    <w:rsid w:val="00B60180"/>
    <w:rsid w:val="00B6027A"/>
    <w:rsid w:val="00B60679"/>
    <w:rsid w:val="00B60829"/>
    <w:rsid w:val="00B60C85"/>
    <w:rsid w:val="00B611AD"/>
    <w:rsid w:val="00B618EA"/>
    <w:rsid w:val="00B61EB0"/>
    <w:rsid w:val="00B62063"/>
    <w:rsid w:val="00B620F3"/>
    <w:rsid w:val="00B62108"/>
    <w:rsid w:val="00B62121"/>
    <w:rsid w:val="00B6256A"/>
    <w:rsid w:val="00B628D5"/>
    <w:rsid w:val="00B628E9"/>
    <w:rsid w:val="00B63152"/>
    <w:rsid w:val="00B63209"/>
    <w:rsid w:val="00B6358F"/>
    <w:rsid w:val="00B63840"/>
    <w:rsid w:val="00B63864"/>
    <w:rsid w:val="00B638A0"/>
    <w:rsid w:val="00B638BB"/>
    <w:rsid w:val="00B63BC2"/>
    <w:rsid w:val="00B64647"/>
    <w:rsid w:val="00B64711"/>
    <w:rsid w:val="00B64726"/>
    <w:rsid w:val="00B649B2"/>
    <w:rsid w:val="00B6572F"/>
    <w:rsid w:val="00B662A6"/>
    <w:rsid w:val="00B6636B"/>
    <w:rsid w:val="00B6656D"/>
    <w:rsid w:val="00B6688D"/>
    <w:rsid w:val="00B6699E"/>
    <w:rsid w:val="00B67231"/>
    <w:rsid w:val="00B6766E"/>
    <w:rsid w:val="00B67E35"/>
    <w:rsid w:val="00B67E4E"/>
    <w:rsid w:val="00B67F38"/>
    <w:rsid w:val="00B67F58"/>
    <w:rsid w:val="00B703BB"/>
    <w:rsid w:val="00B70A0D"/>
    <w:rsid w:val="00B70DC7"/>
    <w:rsid w:val="00B71203"/>
    <w:rsid w:val="00B7183D"/>
    <w:rsid w:val="00B7193E"/>
    <w:rsid w:val="00B71965"/>
    <w:rsid w:val="00B71D51"/>
    <w:rsid w:val="00B720B4"/>
    <w:rsid w:val="00B723FB"/>
    <w:rsid w:val="00B725E7"/>
    <w:rsid w:val="00B728A0"/>
    <w:rsid w:val="00B731D4"/>
    <w:rsid w:val="00B732C3"/>
    <w:rsid w:val="00B7407A"/>
    <w:rsid w:val="00B743C8"/>
    <w:rsid w:val="00B744A8"/>
    <w:rsid w:val="00B7460C"/>
    <w:rsid w:val="00B747F5"/>
    <w:rsid w:val="00B74E84"/>
    <w:rsid w:val="00B75050"/>
    <w:rsid w:val="00B753B7"/>
    <w:rsid w:val="00B75872"/>
    <w:rsid w:val="00B75C53"/>
    <w:rsid w:val="00B769C6"/>
    <w:rsid w:val="00B76B59"/>
    <w:rsid w:val="00B76C02"/>
    <w:rsid w:val="00B774A2"/>
    <w:rsid w:val="00B7759E"/>
    <w:rsid w:val="00B775EB"/>
    <w:rsid w:val="00B8017E"/>
    <w:rsid w:val="00B804BA"/>
    <w:rsid w:val="00B806BA"/>
    <w:rsid w:val="00B80798"/>
    <w:rsid w:val="00B8093A"/>
    <w:rsid w:val="00B80D47"/>
    <w:rsid w:val="00B80F37"/>
    <w:rsid w:val="00B8157E"/>
    <w:rsid w:val="00B816B5"/>
    <w:rsid w:val="00B81C9F"/>
    <w:rsid w:val="00B82122"/>
    <w:rsid w:val="00B822C4"/>
    <w:rsid w:val="00B82806"/>
    <w:rsid w:val="00B82884"/>
    <w:rsid w:val="00B8328D"/>
    <w:rsid w:val="00B83444"/>
    <w:rsid w:val="00B83D37"/>
    <w:rsid w:val="00B83E93"/>
    <w:rsid w:val="00B84227"/>
    <w:rsid w:val="00B84499"/>
    <w:rsid w:val="00B848D9"/>
    <w:rsid w:val="00B84F3C"/>
    <w:rsid w:val="00B85133"/>
    <w:rsid w:val="00B853F8"/>
    <w:rsid w:val="00B85489"/>
    <w:rsid w:val="00B85B03"/>
    <w:rsid w:val="00B85D5E"/>
    <w:rsid w:val="00B85DDC"/>
    <w:rsid w:val="00B85EC5"/>
    <w:rsid w:val="00B86393"/>
    <w:rsid w:val="00B8643A"/>
    <w:rsid w:val="00B866EE"/>
    <w:rsid w:val="00B86865"/>
    <w:rsid w:val="00B86885"/>
    <w:rsid w:val="00B8738B"/>
    <w:rsid w:val="00B87A9F"/>
    <w:rsid w:val="00B87FB3"/>
    <w:rsid w:val="00B901ED"/>
    <w:rsid w:val="00B907BA"/>
    <w:rsid w:val="00B90EA6"/>
    <w:rsid w:val="00B91487"/>
    <w:rsid w:val="00B916B2"/>
    <w:rsid w:val="00B916E9"/>
    <w:rsid w:val="00B9236E"/>
    <w:rsid w:val="00B923BA"/>
    <w:rsid w:val="00B92508"/>
    <w:rsid w:val="00B927AC"/>
    <w:rsid w:val="00B92F36"/>
    <w:rsid w:val="00B9321B"/>
    <w:rsid w:val="00B9326A"/>
    <w:rsid w:val="00B93C04"/>
    <w:rsid w:val="00B93D44"/>
    <w:rsid w:val="00B93EB5"/>
    <w:rsid w:val="00B93F6B"/>
    <w:rsid w:val="00B9423E"/>
    <w:rsid w:val="00B9443A"/>
    <w:rsid w:val="00B94910"/>
    <w:rsid w:val="00B9532D"/>
    <w:rsid w:val="00B95789"/>
    <w:rsid w:val="00B960AA"/>
    <w:rsid w:val="00B9616E"/>
    <w:rsid w:val="00B96668"/>
    <w:rsid w:val="00B9666A"/>
    <w:rsid w:val="00B968C3"/>
    <w:rsid w:val="00B96A02"/>
    <w:rsid w:val="00B96D6D"/>
    <w:rsid w:val="00B96EAA"/>
    <w:rsid w:val="00B971AA"/>
    <w:rsid w:val="00B972B5"/>
    <w:rsid w:val="00B9778B"/>
    <w:rsid w:val="00B978D7"/>
    <w:rsid w:val="00B979BB"/>
    <w:rsid w:val="00BA0077"/>
    <w:rsid w:val="00BA020D"/>
    <w:rsid w:val="00BA033A"/>
    <w:rsid w:val="00BA06C9"/>
    <w:rsid w:val="00BA0EEB"/>
    <w:rsid w:val="00BA131F"/>
    <w:rsid w:val="00BA1321"/>
    <w:rsid w:val="00BA1371"/>
    <w:rsid w:val="00BA1833"/>
    <w:rsid w:val="00BA1ECE"/>
    <w:rsid w:val="00BA1F1F"/>
    <w:rsid w:val="00BA23CD"/>
    <w:rsid w:val="00BA2EA7"/>
    <w:rsid w:val="00BA347A"/>
    <w:rsid w:val="00BA44CF"/>
    <w:rsid w:val="00BA4A82"/>
    <w:rsid w:val="00BA540F"/>
    <w:rsid w:val="00BA5613"/>
    <w:rsid w:val="00BA56CF"/>
    <w:rsid w:val="00BA60EC"/>
    <w:rsid w:val="00BA6207"/>
    <w:rsid w:val="00BA675E"/>
    <w:rsid w:val="00BA6854"/>
    <w:rsid w:val="00BA686D"/>
    <w:rsid w:val="00BA68B7"/>
    <w:rsid w:val="00BA6AA1"/>
    <w:rsid w:val="00BA6E39"/>
    <w:rsid w:val="00BA701B"/>
    <w:rsid w:val="00BA7098"/>
    <w:rsid w:val="00BA7559"/>
    <w:rsid w:val="00BA7598"/>
    <w:rsid w:val="00BA7707"/>
    <w:rsid w:val="00BAF15A"/>
    <w:rsid w:val="00BB0CB1"/>
    <w:rsid w:val="00BB0EF6"/>
    <w:rsid w:val="00BB15C2"/>
    <w:rsid w:val="00BB1671"/>
    <w:rsid w:val="00BB1E46"/>
    <w:rsid w:val="00BB1ED1"/>
    <w:rsid w:val="00BB1F13"/>
    <w:rsid w:val="00BB1F5E"/>
    <w:rsid w:val="00BB2303"/>
    <w:rsid w:val="00BB2730"/>
    <w:rsid w:val="00BB2750"/>
    <w:rsid w:val="00BB27F9"/>
    <w:rsid w:val="00BB2868"/>
    <w:rsid w:val="00BB2C29"/>
    <w:rsid w:val="00BB2DE5"/>
    <w:rsid w:val="00BB2F2C"/>
    <w:rsid w:val="00BB35CC"/>
    <w:rsid w:val="00BB394D"/>
    <w:rsid w:val="00BB3C74"/>
    <w:rsid w:val="00BB42B0"/>
    <w:rsid w:val="00BB47E4"/>
    <w:rsid w:val="00BB48FC"/>
    <w:rsid w:val="00BB4B93"/>
    <w:rsid w:val="00BB4CA7"/>
    <w:rsid w:val="00BB4CB3"/>
    <w:rsid w:val="00BB4EE2"/>
    <w:rsid w:val="00BB513F"/>
    <w:rsid w:val="00BB55EA"/>
    <w:rsid w:val="00BB5763"/>
    <w:rsid w:val="00BB5C6C"/>
    <w:rsid w:val="00BB6105"/>
    <w:rsid w:val="00BB62A7"/>
    <w:rsid w:val="00BB63B2"/>
    <w:rsid w:val="00BB6F3A"/>
    <w:rsid w:val="00BB6F58"/>
    <w:rsid w:val="00BB6F70"/>
    <w:rsid w:val="00BB7050"/>
    <w:rsid w:val="00BB72D2"/>
    <w:rsid w:val="00BB76BE"/>
    <w:rsid w:val="00BB77A4"/>
    <w:rsid w:val="00BB79B4"/>
    <w:rsid w:val="00BB7ADB"/>
    <w:rsid w:val="00BB7B07"/>
    <w:rsid w:val="00BB7D46"/>
    <w:rsid w:val="00BB7D6E"/>
    <w:rsid w:val="00BC013D"/>
    <w:rsid w:val="00BC0567"/>
    <w:rsid w:val="00BC096C"/>
    <w:rsid w:val="00BC0BCC"/>
    <w:rsid w:val="00BC0C9E"/>
    <w:rsid w:val="00BC0DE1"/>
    <w:rsid w:val="00BC0F1A"/>
    <w:rsid w:val="00BC0FFF"/>
    <w:rsid w:val="00BC131E"/>
    <w:rsid w:val="00BC1620"/>
    <w:rsid w:val="00BC167A"/>
    <w:rsid w:val="00BC1988"/>
    <w:rsid w:val="00BC1EAE"/>
    <w:rsid w:val="00BC268B"/>
    <w:rsid w:val="00BC2918"/>
    <w:rsid w:val="00BC298C"/>
    <w:rsid w:val="00BC2ADC"/>
    <w:rsid w:val="00BC2D68"/>
    <w:rsid w:val="00BC2E22"/>
    <w:rsid w:val="00BC2F25"/>
    <w:rsid w:val="00BC3137"/>
    <w:rsid w:val="00BC33DB"/>
    <w:rsid w:val="00BC3509"/>
    <w:rsid w:val="00BC374B"/>
    <w:rsid w:val="00BC37B3"/>
    <w:rsid w:val="00BC3922"/>
    <w:rsid w:val="00BC39DE"/>
    <w:rsid w:val="00BC3BAB"/>
    <w:rsid w:val="00BC3CC8"/>
    <w:rsid w:val="00BC40BD"/>
    <w:rsid w:val="00BC4570"/>
    <w:rsid w:val="00BC4906"/>
    <w:rsid w:val="00BC4A4E"/>
    <w:rsid w:val="00BC4B7C"/>
    <w:rsid w:val="00BC4C95"/>
    <w:rsid w:val="00BC4D89"/>
    <w:rsid w:val="00BC4EF6"/>
    <w:rsid w:val="00BC52B1"/>
    <w:rsid w:val="00BC54B5"/>
    <w:rsid w:val="00BC585C"/>
    <w:rsid w:val="00BC5E9D"/>
    <w:rsid w:val="00BC620B"/>
    <w:rsid w:val="00BC62D7"/>
    <w:rsid w:val="00BC64B7"/>
    <w:rsid w:val="00BC6D39"/>
    <w:rsid w:val="00BC7CF0"/>
    <w:rsid w:val="00BC7E35"/>
    <w:rsid w:val="00BCF2A7"/>
    <w:rsid w:val="00BD0070"/>
    <w:rsid w:val="00BD02AE"/>
    <w:rsid w:val="00BD0339"/>
    <w:rsid w:val="00BD065A"/>
    <w:rsid w:val="00BD0736"/>
    <w:rsid w:val="00BD0AB4"/>
    <w:rsid w:val="00BD0B67"/>
    <w:rsid w:val="00BD15CB"/>
    <w:rsid w:val="00BD1BD1"/>
    <w:rsid w:val="00BD24E8"/>
    <w:rsid w:val="00BD2588"/>
    <w:rsid w:val="00BD2A05"/>
    <w:rsid w:val="00BD2A7C"/>
    <w:rsid w:val="00BD31E8"/>
    <w:rsid w:val="00BD3A8B"/>
    <w:rsid w:val="00BD3C65"/>
    <w:rsid w:val="00BD42B7"/>
    <w:rsid w:val="00BD45D4"/>
    <w:rsid w:val="00BD4830"/>
    <w:rsid w:val="00BD4B22"/>
    <w:rsid w:val="00BD4CA7"/>
    <w:rsid w:val="00BD4D36"/>
    <w:rsid w:val="00BD537D"/>
    <w:rsid w:val="00BD5452"/>
    <w:rsid w:val="00BD57DE"/>
    <w:rsid w:val="00BD5CAC"/>
    <w:rsid w:val="00BD5F12"/>
    <w:rsid w:val="00BD6426"/>
    <w:rsid w:val="00BD6AA7"/>
    <w:rsid w:val="00BD6B74"/>
    <w:rsid w:val="00BD6BB5"/>
    <w:rsid w:val="00BD6C3A"/>
    <w:rsid w:val="00BD7510"/>
    <w:rsid w:val="00BD7601"/>
    <w:rsid w:val="00BD77BC"/>
    <w:rsid w:val="00BD7FEF"/>
    <w:rsid w:val="00BE0685"/>
    <w:rsid w:val="00BE0742"/>
    <w:rsid w:val="00BE0899"/>
    <w:rsid w:val="00BE0C49"/>
    <w:rsid w:val="00BE1179"/>
    <w:rsid w:val="00BE1332"/>
    <w:rsid w:val="00BE231F"/>
    <w:rsid w:val="00BE2496"/>
    <w:rsid w:val="00BE270E"/>
    <w:rsid w:val="00BE34B5"/>
    <w:rsid w:val="00BE3607"/>
    <w:rsid w:val="00BE3AF4"/>
    <w:rsid w:val="00BE3C5C"/>
    <w:rsid w:val="00BE4204"/>
    <w:rsid w:val="00BE45A3"/>
    <w:rsid w:val="00BE48B4"/>
    <w:rsid w:val="00BE4FE1"/>
    <w:rsid w:val="00BE5376"/>
    <w:rsid w:val="00BE5EC7"/>
    <w:rsid w:val="00BE6074"/>
    <w:rsid w:val="00BE6191"/>
    <w:rsid w:val="00BE6374"/>
    <w:rsid w:val="00BE650C"/>
    <w:rsid w:val="00BE6591"/>
    <w:rsid w:val="00BE68E0"/>
    <w:rsid w:val="00BE6C1E"/>
    <w:rsid w:val="00BE6FA1"/>
    <w:rsid w:val="00BE73DB"/>
    <w:rsid w:val="00BE742E"/>
    <w:rsid w:val="00BE78FC"/>
    <w:rsid w:val="00BE7943"/>
    <w:rsid w:val="00BE7F79"/>
    <w:rsid w:val="00BE8818"/>
    <w:rsid w:val="00BEE0E5"/>
    <w:rsid w:val="00BF0330"/>
    <w:rsid w:val="00BF038D"/>
    <w:rsid w:val="00BF04AC"/>
    <w:rsid w:val="00BF0D28"/>
    <w:rsid w:val="00BF0D5D"/>
    <w:rsid w:val="00BF0DA7"/>
    <w:rsid w:val="00BF0EA1"/>
    <w:rsid w:val="00BF0F44"/>
    <w:rsid w:val="00BF1046"/>
    <w:rsid w:val="00BF154C"/>
    <w:rsid w:val="00BF1AA0"/>
    <w:rsid w:val="00BF249B"/>
    <w:rsid w:val="00BF25E8"/>
    <w:rsid w:val="00BF282A"/>
    <w:rsid w:val="00BF283E"/>
    <w:rsid w:val="00BF32A7"/>
    <w:rsid w:val="00BF3679"/>
    <w:rsid w:val="00BF3766"/>
    <w:rsid w:val="00BF3854"/>
    <w:rsid w:val="00BF3BA2"/>
    <w:rsid w:val="00BF40A3"/>
    <w:rsid w:val="00BF415F"/>
    <w:rsid w:val="00BF4326"/>
    <w:rsid w:val="00BF4A92"/>
    <w:rsid w:val="00BF4B25"/>
    <w:rsid w:val="00BF4BFA"/>
    <w:rsid w:val="00BF4E80"/>
    <w:rsid w:val="00BF5000"/>
    <w:rsid w:val="00BF504A"/>
    <w:rsid w:val="00BF5593"/>
    <w:rsid w:val="00BF5753"/>
    <w:rsid w:val="00BF577B"/>
    <w:rsid w:val="00BF580F"/>
    <w:rsid w:val="00BF5916"/>
    <w:rsid w:val="00BF599A"/>
    <w:rsid w:val="00BF684C"/>
    <w:rsid w:val="00BF690A"/>
    <w:rsid w:val="00BF6A52"/>
    <w:rsid w:val="00BF6C73"/>
    <w:rsid w:val="00BF6EEC"/>
    <w:rsid w:val="00BF72C1"/>
    <w:rsid w:val="00BF72EB"/>
    <w:rsid w:val="00BF7449"/>
    <w:rsid w:val="00BF768C"/>
    <w:rsid w:val="00BF7766"/>
    <w:rsid w:val="00BF7864"/>
    <w:rsid w:val="00BF7A3E"/>
    <w:rsid w:val="00C0011A"/>
    <w:rsid w:val="00C001AD"/>
    <w:rsid w:val="00C00204"/>
    <w:rsid w:val="00C004AB"/>
    <w:rsid w:val="00C008FB"/>
    <w:rsid w:val="00C009CA"/>
    <w:rsid w:val="00C00ABD"/>
    <w:rsid w:val="00C00B14"/>
    <w:rsid w:val="00C00CD2"/>
    <w:rsid w:val="00C010FC"/>
    <w:rsid w:val="00C012C6"/>
    <w:rsid w:val="00C01672"/>
    <w:rsid w:val="00C019FF"/>
    <w:rsid w:val="00C01B3E"/>
    <w:rsid w:val="00C01D4E"/>
    <w:rsid w:val="00C01E47"/>
    <w:rsid w:val="00C021FB"/>
    <w:rsid w:val="00C022A0"/>
    <w:rsid w:val="00C025E4"/>
    <w:rsid w:val="00C0266C"/>
    <w:rsid w:val="00C02AD7"/>
    <w:rsid w:val="00C02B54"/>
    <w:rsid w:val="00C02BAE"/>
    <w:rsid w:val="00C02C71"/>
    <w:rsid w:val="00C031D7"/>
    <w:rsid w:val="00C0345D"/>
    <w:rsid w:val="00C03A0B"/>
    <w:rsid w:val="00C03B09"/>
    <w:rsid w:val="00C04162"/>
    <w:rsid w:val="00C044A8"/>
    <w:rsid w:val="00C044E3"/>
    <w:rsid w:val="00C047AE"/>
    <w:rsid w:val="00C048E7"/>
    <w:rsid w:val="00C04BA4"/>
    <w:rsid w:val="00C04E11"/>
    <w:rsid w:val="00C050B0"/>
    <w:rsid w:val="00C0535E"/>
    <w:rsid w:val="00C058E7"/>
    <w:rsid w:val="00C05A96"/>
    <w:rsid w:val="00C05ACF"/>
    <w:rsid w:val="00C05E9E"/>
    <w:rsid w:val="00C05FBD"/>
    <w:rsid w:val="00C0613D"/>
    <w:rsid w:val="00C065B6"/>
    <w:rsid w:val="00C067C5"/>
    <w:rsid w:val="00C06ABD"/>
    <w:rsid w:val="00C06F84"/>
    <w:rsid w:val="00C075B6"/>
    <w:rsid w:val="00C07F4F"/>
    <w:rsid w:val="00C092C9"/>
    <w:rsid w:val="00C101D7"/>
    <w:rsid w:val="00C10E5C"/>
    <w:rsid w:val="00C11731"/>
    <w:rsid w:val="00C11BB3"/>
    <w:rsid w:val="00C11EA9"/>
    <w:rsid w:val="00C12194"/>
    <w:rsid w:val="00C123A2"/>
    <w:rsid w:val="00C125C9"/>
    <w:rsid w:val="00C126FB"/>
    <w:rsid w:val="00C12A6E"/>
    <w:rsid w:val="00C12B1F"/>
    <w:rsid w:val="00C12CD1"/>
    <w:rsid w:val="00C12EE8"/>
    <w:rsid w:val="00C130CF"/>
    <w:rsid w:val="00C13D9D"/>
    <w:rsid w:val="00C13F5F"/>
    <w:rsid w:val="00C14050"/>
    <w:rsid w:val="00C14091"/>
    <w:rsid w:val="00C1413B"/>
    <w:rsid w:val="00C142D7"/>
    <w:rsid w:val="00C14F4A"/>
    <w:rsid w:val="00C154C2"/>
    <w:rsid w:val="00C154C8"/>
    <w:rsid w:val="00C15711"/>
    <w:rsid w:val="00C160C8"/>
    <w:rsid w:val="00C16341"/>
    <w:rsid w:val="00C169CE"/>
    <w:rsid w:val="00C16BA8"/>
    <w:rsid w:val="00C16BFF"/>
    <w:rsid w:val="00C1743A"/>
    <w:rsid w:val="00C17F23"/>
    <w:rsid w:val="00C202AA"/>
    <w:rsid w:val="00C20869"/>
    <w:rsid w:val="00C20897"/>
    <w:rsid w:val="00C20BA7"/>
    <w:rsid w:val="00C20C3A"/>
    <w:rsid w:val="00C2132E"/>
    <w:rsid w:val="00C214D8"/>
    <w:rsid w:val="00C216B7"/>
    <w:rsid w:val="00C219F5"/>
    <w:rsid w:val="00C21D49"/>
    <w:rsid w:val="00C21F9A"/>
    <w:rsid w:val="00C2235D"/>
    <w:rsid w:val="00C225FF"/>
    <w:rsid w:val="00C22642"/>
    <w:rsid w:val="00C23084"/>
    <w:rsid w:val="00C2315E"/>
    <w:rsid w:val="00C231B0"/>
    <w:rsid w:val="00C2331E"/>
    <w:rsid w:val="00C23593"/>
    <w:rsid w:val="00C235DD"/>
    <w:rsid w:val="00C238D3"/>
    <w:rsid w:val="00C239C0"/>
    <w:rsid w:val="00C249D4"/>
    <w:rsid w:val="00C24C77"/>
    <w:rsid w:val="00C24DD4"/>
    <w:rsid w:val="00C25520"/>
    <w:rsid w:val="00C25787"/>
    <w:rsid w:val="00C25A5A"/>
    <w:rsid w:val="00C26227"/>
    <w:rsid w:val="00C2625F"/>
    <w:rsid w:val="00C26328"/>
    <w:rsid w:val="00C2650E"/>
    <w:rsid w:val="00C2659E"/>
    <w:rsid w:val="00C26744"/>
    <w:rsid w:val="00C26879"/>
    <w:rsid w:val="00C26B76"/>
    <w:rsid w:val="00C26B7E"/>
    <w:rsid w:val="00C26DED"/>
    <w:rsid w:val="00C26EA5"/>
    <w:rsid w:val="00C2769A"/>
    <w:rsid w:val="00C27708"/>
    <w:rsid w:val="00C27D24"/>
    <w:rsid w:val="00C27E3D"/>
    <w:rsid w:val="00C27F22"/>
    <w:rsid w:val="00C303C0"/>
    <w:rsid w:val="00C30A0D"/>
    <w:rsid w:val="00C30A8B"/>
    <w:rsid w:val="00C30E29"/>
    <w:rsid w:val="00C30F62"/>
    <w:rsid w:val="00C31396"/>
    <w:rsid w:val="00C3175A"/>
    <w:rsid w:val="00C31A81"/>
    <w:rsid w:val="00C32182"/>
    <w:rsid w:val="00C32334"/>
    <w:rsid w:val="00C325A9"/>
    <w:rsid w:val="00C32768"/>
    <w:rsid w:val="00C32B2D"/>
    <w:rsid w:val="00C32C23"/>
    <w:rsid w:val="00C32D3E"/>
    <w:rsid w:val="00C32D65"/>
    <w:rsid w:val="00C32E22"/>
    <w:rsid w:val="00C33174"/>
    <w:rsid w:val="00C33499"/>
    <w:rsid w:val="00C3360A"/>
    <w:rsid w:val="00C33DA2"/>
    <w:rsid w:val="00C33E19"/>
    <w:rsid w:val="00C33FF9"/>
    <w:rsid w:val="00C34221"/>
    <w:rsid w:val="00C347A8"/>
    <w:rsid w:val="00C34E03"/>
    <w:rsid w:val="00C34F00"/>
    <w:rsid w:val="00C34FF4"/>
    <w:rsid w:val="00C35450"/>
    <w:rsid w:val="00C354E4"/>
    <w:rsid w:val="00C3566C"/>
    <w:rsid w:val="00C3597F"/>
    <w:rsid w:val="00C35A9D"/>
    <w:rsid w:val="00C35E23"/>
    <w:rsid w:val="00C35F5C"/>
    <w:rsid w:val="00C36049"/>
    <w:rsid w:val="00C36237"/>
    <w:rsid w:val="00C3627F"/>
    <w:rsid w:val="00C363FE"/>
    <w:rsid w:val="00C36401"/>
    <w:rsid w:val="00C366CB"/>
    <w:rsid w:val="00C369D3"/>
    <w:rsid w:val="00C36B25"/>
    <w:rsid w:val="00C36C25"/>
    <w:rsid w:val="00C36CA6"/>
    <w:rsid w:val="00C36E1D"/>
    <w:rsid w:val="00C37113"/>
    <w:rsid w:val="00C37804"/>
    <w:rsid w:val="00C37957"/>
    <w:rsid w:val="00C387D0"/>
    <w:rsid w:val="00C40875"/>
    <w:rsid w:val="00C41728"/>
    <w:rsid w:val="00C418D4"/>
    <w:rsid w:val="00C419FC"/>
    <w:rsid w:val="00C41E0C"/>
    <w:rsid w:val="00C42141"/>
    <w:rsid w:val="00C4226F"/>
    <w:rsid w:val="00C42407"/>
    <w:rsid w:val="00C42875"/>
    <w:rsid w:val="00C42AD7"/>
    <w:rsid w:val="00C42AE9"/>
    <w:rsid w:val="00C42D5D"/>
    <w:rsid w:val="00C43637"/>
    <w:rsid w:val="00C4367E"/>
    <w:rsid w:val="00C4368D"/>
    <w:rsid w:val="00C43F26"/>
    <w:rsid w:val="00C44109"/>
    <w:rsid w:val="00C443D7"/>
    <w:rsid w:val="00C445CB"/>
    <w:rsid w:val="00C44702"/>
    <w:rsid w:val="00C453E1"/>
    <w:rsid w:val="00C454A5"/>
    <w:rsid w:val="00C455B8"/>
    <w:rsid w:val="00C4566D"/>
    <w:rsid w:val="00C456F9"/>
    <w:rsid w:val="00C45A34"/>
    <w:rsid w:val="00C45CC9"/>
    <w:rsid w:val="00C45D52"/>
    <w:rsid w:val="00C46024"/>
    <w:rsid w:val="00C4627A"/>
    <w:rsid w:val="00C46781"/>
    <w:rsid w:val="00C46872"/>
    <w:rsid w:val="00C46C2C"/>
    <w:rsid w:val="00C46C7C"/>
    <w:rsid w:val="00C47342"/>
    <w:rsid w:val="00C474F5"/>
    <w:rsid w:val="00C47A4E"/>
    <w:rsid w:val="00C47FA6"/>
    <w:rsid w:val="00C506A9"/>
    <w:rsid w:val="00C51317"/>
    <w:rsid w:val="00C515B6"/>
    <w:rsid w:val="00C51671"/>
    <w:rsid w:val="00C51944"/>
    <w:rsid w:val="00C51E70"/>
    <w:rsid w:val="00C52479"/>
    <w:rsid w:val="00C52D63"/>
    <w:rsid w:val="00C532F1"/>
    <w:rsid w:val="00C5340D"/>
    <w:rsid w:val="00C53739"/>
    <w:rsid w:val="00C53741"/>
    <w:rsid w:val="00C539A9"/>
    <w:rsid w:val="00C53C99"/>
    <w:rsid w:val="00C53DDB"/>
    <w:rsid w:val="00C53E03"/>
    <w:rsid w:val="00C5458E"/>
    <w:rsid w:val="00C5459D"/>
    <w:rsid w:val="00C5476F"/>
    <w:rsid w:val="00C54907"/>
    <w:rsid w:val="00C54AC1"/>
    <w:rsid w:val="00C54BB9"/>
    <w:rsid w:val="00C5570F"/>
    <w:rsid w:val="00C55F12"/>
    <w:rsid w:val="00C56199"/>
    <w:rsid w:val="00C56274"/>
    <w:rsid w:val="00C56687"/>
    <w:rsid w:val="00C56B39"/>
    <w:rsid w:val="00C56C04"/>
    <w:rsid w:val="00C56FBF"/>
    <w:rsid w:val="00C57204"/>
    <w:rsid w:val="00C572FA"/>
    <w:rsid w:val="00C573B3"/>
    <w:rsid w:val="00C57A3F"/>
    <w:rsid w:val="00C57CEA"/>
    <w:rsid w:val="00C57DA7"/>
    <w:rsid w:val="00C60851"/>
    <w:rsid w:val="00C60A1C"/>
    <w:rsid w:val="00C60EEF"/>
    <w:rsid w:val="00C6105E"/>
    <w:rsid w:val="00C61414"/>
    <w:rsid w:val="00C614E4"/>
    <w:rsid w:val="00C6177B"/>
    <w:rsid w:val="00C61BCB"/>
    <w:rsid w:val="00C62231"/>
    <w:rsid w:val="00C6251E"/>
    <w:rsid w:val="00C62BF1"/>
    <w:rsid w:val="00C63328"/>
    <w:rsid w:val="00C63849"/>
    <w:rsid w:val="00C638FA"/>
    <w:rsid w:val="00C63C81"/>
    <w:rsid w:val="00C63DD2"/>
    <w:rsid w:val="00C63F63"/>
    <w:rsid w:val="00C64056"/>
    <w:rsid w:val="00C64057"/>
    <w:rsid w:val="00C64842"/>
    <w:rsid w:val="00C64922"/>
    <w:rsid w:val="00C64942"/>
    <w:rsid w:val="00C64F8B"/>
    <w:rsid w:val="00C656D6"/>
    <w:rsid w:val="00C657C5"/>
    <w:rsid w:val="00C658A4"/>
    <w:rsid w:val="00C665D4"/>
    <w:rsid w:val="00C67009"/>
    <w:rsid w:val="00C67038"/>
    <w:rsid w:val="00C671D5"/>
    <w:rsid w:val="00C671ED"/>
    <w:rsid w:val="00C7017F"/>
    <w:rsid w:val="00C701EB"/>
    <w:rsid w:val="00C70224"/>
    <w:rsid w:val="00C70619"/>
    <w:rsid w:val="00C70D29"/>
    <w:rsid w:val="00C70F59"/>
    <w:rsid w:val="00C71348"/>
    <w:rsid w:val="00C715A4"/>
    <w:rsid w:val="00C71F58"/>
    <w:rsid w:val="00C729F6"/>
    <w:rsid w:val="00C72EF2"/>
    <w:rsid w:val="00C7304C"/>
    <w:rsid w:val="00C732A5"/>
    <w:rsid w:val="00C73312"/>
    <w:rsid w:val="00C73324"/>
    <w:rsid w:val="00C73386"/>
    <w:rsid w:val="00C73455"/>
    <w:rsid w:val="00C73935"/>
    <w:rsid w:val="00C73C16"/>
    <w:rsid w:val="00C73C42"/>
    <w:rsid w:val="00C73CE9"/>
    <w:rsid w:val="00C74152"/>
    <w:rsid w:val="00C74356"/>
    <w:rsid w:val="00C7446A"/>
    <w:rsid w:val="00C74779"/>
    <w:rsid w:val="00C74C30"/>
    <w:rsid w:val="00C74D79"/>
    <w:rsid w:val="00C74F3F"/>
    <w:rsid w:val="00C753A7"/>
    <w:rsid w:val="00C75903"/>
    <w:rsid w:val="00C75D9B"/>
    <w:rsid w:val="00C75DB6"/>
    <w:rsid w:val="00C75EAB"/>
    <w:rsid w:val="00C75EF6"/>
    <w:rsid w:val="00C76237"/>
    <w:rsid w:val="00C763A0"/>
    <w:rsid w:val="00C76402"/>
    <w:rsid w:val="00C76A37"/>
    <w:rsid w:val="00C76BF0"/>
    <w:rsid w:val="00C76EC7"/>
    <w:rsid w:val="00C76FE4"/>
    <w:rsid w:val="00C77265"/>
    <w:rsid w:val="00C772AA"/>
    <w:rsid w:val="00C776CE"/>
    <w:rsid w:val="00C777E9"/>
    <w:rsid w:val="00C777EB"/>
    <w:rsid w:val="00C77DA4"/>
    <w:rsid w:val="00C77F19"/>
    <w:rsid w:val="00C80552"/>
    <w:rsid w:val="00C80B92"/>
    <w:rsid w:val="00C80CD2"/>
    <w:rsid w:val="00C80D39"/>
    <w:rsid w:val="00C80DB9"/>
    <w:rsid w:val="00C81434"/>
    <w:rsid w:val="00C81675"/>
    <w:rsid w:val="00C8172B"/>
    <w:rsid w:val="00C81A38"/>
    <w:rsid w:val="00C821C9"/>
    <w:rsid w:val="00C82506"/>
    <w:rsid w:val="00C82620"/>
    <w:rsid w:val="00C827B8"/>
    <w:rsid w:val="00C82BCF"/>
    <w:rsid w:val="00C82C39"/>
    <w:rsid w:val="00C82F09"/>
    <w:rsid w:val="00C83B4B"/>
    <w:rsid w:val="00C83B8E"/>
    <w:rsid w:val="00C83C5F"/>
    <w:rsid w:val="00C8447C"/>
    <w:rsid w:val="00C849BF"/>
    <w:rsid w:val="00C84B8E"/>
    <w:rsid w:val="00C84EBA"/>
    <w:rsid w:val="00C85724"/>
    <w:rsid w:val="00C85769"/>
    <w:rsid w:val="00C85DCA"/>
    <w:rsid w:val="00C85DDB"/>
    <w:rsid w:val="00C85EBA"/>
    <w:rsid w:val="00C8623E"/>
    <w:rsid w:val="00C8660E"/>
    <w:rsid w:val="00C86911"/>
    <w:rsid w:val="00C86BA0"/>
    <w:rsid w:val="00C86C6E"/>
    <w:rsid w:val="00C86D35"/>
    <w:rsid w:val="00C8719B"/>
    <w:rsid w:val="00C872BA"/>
    <w:rsid w:val="00C874F3"/>
    <w:rsid w:val="00C87CD4"/>
    <w:rsid w:val="00C8932F"/>
    <w:rsid w:val="00C90305"/>
    <w:rsid w:val="00C90446"/>
    <w:rsid w:val="00C9044B"/>
    <w:rsid w:val="00C905B4"/>
    <w:rsid w:val="00C90822"/>
    <w:rsid w:val="00C9163C"/>
    <w:rsid w:val="00C9174C"/>
    <w:rsid w:val="00C91910"/>
    <w:rsid w:val="00C91A6B"/>
    <w:rsid w:val="00C91DC7"/>
    <w:rsid w:val="00C921B9"/>
    <w:rsid w:val="00C92345"/>
    <w:rsid w:val="00C92882"/>
    <w:rsid w:val="00C930E6"/>
    <w:rsid w:val="00C93228"/>
    <w:rsid w:val="00C9356A"/>
    <w:rsid w:val="00C93770"/>
    <w:rsid w:val="00C93D9B"/>
    <w:rsid w:val="00C9412D"/>
    <w:rsid w:val="00C9419F"/>
    <w:rsid w:val="00C94277"/>
    <w:rsid w:val="00C943A6"/>
    <w:rsid w:val="00C944B6"/>
    <w:rsid w:val="00C9482B"/>
    <w:rsid w:val="00C94BB2"/>
    <w:rsid w:val="00C94CA2"/>
    <w:rsid w:val="00C94CE0"/>
    <w:rsid w:val="00C94F93"/>
    <w:rsid w:val="00C95004"/>
    <w:rsid w:val="00C9576B"/>
    <w:rsid w:val="00C95ED1"/>
    <w:rsid w:val="00C960DF"/>
    <w:rsid w:val="00C96479"/>
    <w:rsid w:val="00C96D9D"/>
    <w:rsid w:val="00C96E0B"/>
    <w:rsid w:val="00C9721D"/>
    <w:rsid w:val="00C97982"/>
    <w:rsid w:val="00C97BDA"/>
    <w:rsid w:val="00C97F4C"/>
    <w:rsid w:val="00C97F68"/>
    <w:rsid w:val="00CA004A"/>
    <w:rsid w:val="00CA048D"/>
    <w:rsid w:val="00CA0810"/>
    <w:rsid w:val="00CA1051"/>
    <w:rsid w:val="00CA1412"/>
    <w:rsid w:val="00CA1689"/>
    <w:rsid w:val="00CA1778"/>
    <w:rsid w:val="00CA1877"/>
    <w:rsid w:val="00CA1E73"/>
    <w:rsid w:val="00CA24A8"/>
    <w:rsid w:val="00CA2B75"/>
    <w:rsid w:val="00CA2CF3"/>
    <w:rsid w:val="00CA306F"/>
    <w:rsid w:val="00CA33E2"/>
    <w:rsid w:val="00CA37DB"/>
    <w:rsid w:val="00CA382E"/>
    <w:rsid w:val="00CA3A8B"/>
    <w:rsid w:val="00CA41D6"/>
    <w:rsid w:val="00CA44B0"/>
    <w:rsid w:val="00CA4BEB"/>
    <w:rsid w:val="00CA4E1C"/>
    <w:rsid w:val="00CA528F"/>
    <w:rsid w:val="00CA5698"/>
    <w:rsid w:val="00CA5911"/>
    <w:rsid w:val="00CA5BC9"/>
    <w:rsid w:val="00CA5E09"/>
    <w:rsid w:val="00CA71CB"/>
    <w:rsid w:val="00CA72DA"/>
    <w:rsid w:val="00CA7341"/>
    <w:rsid w:val="00CA749E"/>
    <w:rsid w:val="00CA7C4F"/>
    <w:rsid w:val="00CADF34"/>
    <w:rsid w:val="00CB00EA"/>
    <w:rsid w:val="00CB07E1"/>
    <w:rsid w:val="00CB0E32"/>
    <w:rsid w:val="00CB1131"/>
    <w:rsid w:val="00CB146B"/>
    <w:rsid w:val="00CB1C79"/>
    <w:rsid w:val="00CB1D6A"/>
    <w:rsid w:val="00CB1E54"/>
    <w:rsid w:val="00CB1F90"/>
    <w:rsid w:val="00CB1FBE"/>
    <w:rsid w:val="00CB2432"/>
    <w:rsid w:val="00CB2678"/>
    <w:rsid w:val="00CB29E2"/>
    <w:rsid w:val="00CB2CB3"/>
    <w:rsid w:val="00CB2CD6"/>
    <w:rsid w:val="00CB300D"/>
    <w:rsid w:val="00CB30E6"/>
    <w:rsid w:val="00CB319D"/>
    <w:rsid w:val="00CB3F46"/>
    <w:rsid w:val="00CB4333"/>
    <w:rsid w:val="00CB4652"/>
    <w:rsid w:val="00CB4754"/>
    <w:rsid w:val="00CB4880"/>
    <w:rsid w:val="00CB499D"/>
    <w:rsid w:val="00CB4B25"/>
    <w:rsid w:val="00CB4F79"/>
    <w:rsid w:val="00CB56A7"/>
    <w:rsid w:val="00CB5C54"/>
    <w:rsid w:val="00CB6161"/>
    <w:rsid w:val="00CB69F8"/>
    <w:rsid w:val="00CB7295"/>
    <w:rsid w:val="00CB778C"/>
    <w:rsid w:val="00CC02E4"/>
    <w:rsid w:val="00CC0414"/>
    <w:rsid w:val="00CC0837"/>
    <w:rsid w:val="00CC0BFE"/>
    <w:rsid w:val="00CC1AD9"/>
    <w:rsid w:val="00CC1B0B"/>
    <w:rsid w:val="00CC1C1D"/>
    <w:rsid w:val="00CC20AE"/>
    <w:rsid w:val="00CC23EE"/>
    <w:rsid w:val="00CC258D"/>
    <w:rsid w:val="00CC2786"/>
    <w:rsid w:val="00CC2ECC"/>
    <w:rsid w:val="00CC350B"/>
    <w:rsid w:val="00CC369D"/>
    <w:rsid w:val="00CC37C0"/>
    <w:rsid w:val="00CC39A0"/>
    <w:rsid w:val="00CC3D71"/>
    <w:rsid w:val="00CC4187"/>
    <w:rsid w:val="00CC4293"/>
    <w:rsid w:val="00CC4556"/>
    <w:rsid w:val="00CC466E"/>
    <w:rsid w:val="00CC47CE"/>
    <w:rsid w:val="00CC498B"/>
    <w:rsid w:val="00CC4F3B"/>
    <w:rsid w:val="00CC541D"/>
    <w:rsid w:val="00CC54B0"/>
    <w:rsid w:val="00CC561C"/>
    <w:rsid w:val="00CC5ED8"/>
    <w:rsid w:val="00CC6156"/>
    <w:rsid w:val="00CC61B2"/>
    <w:rsid w:val="00CC660A"/>
    <w:rsid w:val="00CC6789"/>
    <w:rsid w:val="00CC67C4"/>
    <w:rsid w:val="00CC68D1"/>
    <w:rsid w:val="00CC6B18"/>
    <w:rsid w:val="00CC6E22"/>
    <w:rsid w:val="00CC710E"/>
    <w:rsid w:val="00CC7236"/>
    <w:rsid w:val="00CC72D2"/>
    <w:rsid w:val="00CC77EF"/>
    <w:rsid w:val="00CC790B"/>
    <w:rsid w:val="00CC79D7"/>
    <w:rsid w:val="00CD0271"/>
    <w:rsid w:val="00CD0D80"/>
    <w:rsid w:val="00CD0EDE"/>
    <w:rsid w:val="00CD1124"/>
    <w:rsid w:val="00CD1609"/>
    <w:rsid w:val="00CD1619"/>
    <w:rsid w:val="00CD16A2"/>
    <w:rsid w:val="00CD181D"/>
    <w:rsid w:val="00CD1901"/>
    <w:rsid w:val="00CD1F74"/>
    <w:rsid w:val="00CD21D0"/>
    <w:rsid w:val="00CD269B"/>
    <w:rsid w:val="00CD2762"/>
    <w:rsid w:val="00CD278F"/>
    <w:rsid w:val="00CD359C"/>
    <w:rsid w:val="00CD39FE"/>
    <w:rsid w:val="00CD3CA2"/>
    <w:rsid w:val="00CD3D49"/>
    <w:rsid w:val="00CD403B"/>
    <w:rsid w:val="00CD4336"/>
    <w:rsid w:val="00CD48AE"/>
    <w:rsid w:val="00CD510D"/>
    <w:rsid w:val="00CD52B3"/>
    <w:rsid w:val="00CD532B"/>
    <w:rsid w:val="00CD57F3"/>
    <w:rsid w:val="00CD5A26"/>
    <w:rsid w:val="00CD5A46"/>
    <w:rsid w:val="00CD5EA6"/>
    <w:rsid w:val="00CD658B"/>
    <w:rsid w:val="00CD696D"/>
    <w:rsid w:val="00CD69E0"/>
    <w:rsid w:val="00CD72D7"/>
    <w:rsid w:val="00CD7721"/>
    <w:rsid w:val="00CD780E"/>
    <w:rsid w:val="00CD7847"/>
    <w:rsid w:val="00CD7BE1"/>
    <w:rsid w:val="00CD7BFD"/>
    <w:rsid w:val="00CD7DE6"/>
    <w:rsid w:val="00CE01F4"/>
    <w:rsid w:val="00CE02F1"/>
    <w:rsid w:val="00CE0684"/>
    <w:rsid w:val="00CE09BD"/>
    <w:rsid w:val="00CE0E51"/>
    <w:rsid w:val="00CE0F49"/>
    <w:rsid w:val="00CE14BE"/>
    <w:rsid w:val="00CE16D1"/>
    <w:rsid w:val="00CE1766"/>
    <w:rsid w:val="00CE1A80"/>
    <w:rsid w:val="00CE1BB7"/>
    <w:rsid w:val="00CE20A7"/>
    <w:rsid w:val="00CE2202"/>
    <w:rsid w:val="00CE2DC2"/>
    <w:rsid w:val="00CE2ED0"/>
    <w:rsid w:val="00CE3483"/>
    <w:rsid w:val="00CE3716"/>
    <w:rsid w:val="00CE37EF"/>
    <w:rsid w:val="00CE3988"/>
    <w:rsid w:val="00CE3BD8"/>
    <w:rsid w:val="00CE3C23"/>
    <w:rsid w:val="00CE3E5A"/>
    <w:rsid w:val="00CE44C7"/>
    <w:rsid w:val="00CE477A"/>
    <w:rsid w:val="00CE4E16"/>
    <w:rsid w:val="00CE5591"/>
    <w:rsid w:val="00CE5778"/>
    <w:rsid w:val="00CE5A81"/>
    <w:rsid w:val="00CE5CA1"/>
    <w:rsid w:val="00CE5CD1"/>
    <w:rsid w:val="00CE5D16"/>
    <w:rsid w:val="00CE5DF0"/>
    <w:rsid w:val="00CE6166"/>
    <w:rsid w:val="00CE636F"/>
    <w:rsid w:val="00CE6B30"/>
    <w:rsid w:val="00CE6EAA"/>
    <w:rsid w:val="00CE6FD4"/>
    <w:rsid w:val="00CE70A7"/>
    <w:rsid w:val="00CE7223"/>
    <w:rsid w:val="00CE7339"/>
    <w:rsid w:val="00CE741B"/>
    <w:rsid w:val="00CE741D"/>
    <w:rsid w:val="00CE7579"/>
    <w:rsid w:val="00CE789E"/>
    <w:rsid w:val="00CE7929"/>
    <w:rsid w:val="00CE795A"/>
    <w:rsid w:val="00CE7A5F"/>
    <w:rsid w:val="00CE7C78"/>
    <w:rsid w:val="00CF0194"/>
    <w:rsid w:val="00CF01C1"/>
    <w:rsid w:val="00CF0BB0"/>
    <w:rsid w:val="00CF0BE6"/>
    <w:rsid w:val="00CF0F8F"/>
    <w:rsid w:val="00CF1004"/>
    <w:rsid w:val="00CF1253"/>
    <w:rsid w:val="00CF17EF"/>
    <w:rsid w:val="00CF1820"/>
    <w:rsid w:val="00CF1EBA"/>
    <w:rsid w:val="00CF23D2"/>
    <w:rsid w:val="00CF2B67"/>
    <w:rsid w:val="00CF2FFA"/>
    <w:rsid w:val="00CF3061"/>
    <w:rsid w:val="00CF3209"/>
    <w:rsid w:val="00CF3347"/>
    <w:rsid w:val="00CF38D3"/>
    <w:rsid w:val="00CF3940"/>
    <w:rsid w:val="00CF3AAA"/>
    <w:rsid w:val="00CF3C1C"/>
    <w:rsid w:val="00CF4390"/>
    <w:rsid w:val="00CF4C74"/>
    <w:rsid w:val="00CF4D2B"/>
    <w:rsid w:val="00CF5072"/>
    <w:rsid w:val="00CF52EF"/>
    <w:rsid w:val="00CF5549"/>
    <w:rsid w:val="00CF5599"/>
    <w:rsid w:val="00CF5C3E"/>
    <w:rsid w:val="00CF67B4"/>
    <w:rsid w:val="00CF6DC7"/>
    <w:rsid w:val="00CF6F43"/>
    <w:rsid w:val="00CF7496"/>
    <w:rsid w:val="00CF7569"/>
    <w:rsid w:val="00CF7623"/>
    <w:rsid w:val="00CF766A"/>
    <w:rsid w:val="00CF76D7"/>
    <w:rsid w:val="00CF78F1"/>
    <w:rsid w:val="00CF7CF2"/>
    <w:rsid w:val="00D004B8"/>
    <w:rsid w:val="00D00B71"/>
    <w:rsid w:val="00D01855"/>
    <w:rsid w:val="00D01E09"/>
    <w:rsid w:val="00D0249D"/>
    <w:rsid w:val="00D0370A"/>
    <w:rsid w:val="00D03BE7"/>
    <w:rsid w:val="00D040E3"/>
    <w:rsid w:val="00D04154"/>
    <w:rsid w:val="00D0415E"/>
    <w:rsid w:val="00D048B0"/>
    <w:rsid w:val="00D04A97"/>
    <w:rsid w:val="00D04CF6"/>
    <w:rsid w:val="00D050F0"/>
    <w:rsid w:val="00D05188"/>
    <w:rsid w:val="00D0528E"/>
    <w:rsid w:val="00D05784"/>
    <w:rsid w:val="00D062D1"/>
    <w:rsid w:val="00D06C52"/>
    <w:rsid w:val="00D06D15"/>
    <w:rsid w:val="00D0727A"/>
    <w:rsid w:val="00D072F8"/>
    <w:rsid w:val="00D07549"/>
    <w:rsid w:val="00D0764F"/>
    <w:rsid w:val="00D079B7"/>
    <w:rsid w:val="00D07C03"/>
    <w:rsid w:val="00D07D42"/>
    <w:rsid w:val="00D07E5B"/>
    <w:rsid w:val="00D07F1E"/>
    <w:rsid w:val="00D109E6"/>
    <w:rsid w:val="00D10BB5"/>
    <w:rsid w:val="00D10F6B"/>
    <w:rsid w:val="00D10FAC"/>
    <w:rsid w:val="00D110C2"/>
    <w:rsid w:val="00D11748"/>
    <w:rsid w:val="00D11FAF"/>
    <w:rsid w:val="00D12AF9"/>
    <w:rsid w:val="00D12C8B"/>
    <w:rsid w:val="00D12D37"/>
    <w:rsid w:val="00D13023"/>
    <w:rsid w:val="00D13943"/>
    <w:rsid w:val="00D14102"/>
    <w:rsid w:val="00D14A15"/>
    <w:rsid w:val="00D14F56"/>
    <w:rsid w:val="00D15734"/>
    <w:rsid w:val="00D15A58"/>
    <w:rsid w:val="00D15BD2"/>
    <w:rsid w:val="00D15C60"/>
    <w:rsid w:val="00D1615A"/>
    <w:rsid w:val="00D16558"/>
    <w:rsid w:val="00D16B20"/>
    <w:rsid w:val="00D16B7D"/>
    <w:rsid w:val="00D1700A"/>
    <w:rsid w:val="00D17012"/>
    <w:rsid w:val="00D17133"/>
    <w:rsid w:val="00D17378"/>
    <w:rsid w:val="00D173BF"/>
    <w:rsid w:val="00D174D1"/>
    <w:rsid w:val="00D17828"/>
    <w:rsid w:val="00D17F7D"/>
    <w:rsid w:val="00D2014A"/>
    <w:rsid w:val="00D20521"/>
    <w:rsid w:val="00D20641"/>
    <w:rsid w:val="00D20BAF"/>
    <w:rsid w:val="00D20C28"/>
    <w:rsid w:val="00D213B0"/>
    <w:rsid w:val="00D21429"/>
    <w:rsid w:val="00D214FF"/>
    <w:rsid w:val="00D219F4"/>
    <w:rsid w:val="00D224A5"/>
    <w:rsid w:val="00D22B0E"/>
    <w:rsid w:val="00D22F08"/>
    <w:rsid w:val="00D23347"/>
    <w:rsid w:val="00D2366C"/>
    <w:rsid w:val="00D2393A"/>
    <w:rsid w:val="00D23A4D"/>
    <w:rsid w:val="00D2400E"/>
    <w:rsid w:val="00D24A0C"/>
    <w:rsid w:val="00D24C55"/>
    <w:rsid w:val="00D24EED"/>
    <w:rsid w:val="00D25839"/>
    <w:rsid w:val="00D25CD0"/>
    <w:rsid w:val="00D26573"/>
    <w:rsid w:val="00D26641"/>
    <w:rsid w:val="00D2680E"/>
    <w:rsid w:val="00D26AB2"/>
    <w:rsid w:val="00D2713F"/>
    <w:rsid w:val="00D274A0"/>
    <w:rsid w:val="00D277BF"/>
    <w:rsid w:val="00D278E2"/>
    <w:rsid w:val="00D27BC7"/>
    <w:rsid w:val="00D27D35"/>
    <w:rsid w:val="00D302BA"/>
    <w:rsid w:val="00D3050C"/>
    <w:rsid w:val="00D31DEB"/>
    <w:rsid w:val="00D31E11"/>
    <w:rsid w:val="00D32180"/>
    <w:rsid w:val="00D32493"/>
    <w:rsid w:val="00D32856"/>
    <w:rsid w:val="00D32AB6"/>
    <w:rsid w:val="00D32F1B"/>
    <w:rsid w:val="00D33231"/>
    <w:rsid w:val="00D3347D"/>
    <w:rsid w:val="00D335DE"/>
    <w:rsid w:val="00D3373D"/>
    <w:rsid w:val="00D33F17"/>
    <w:rsid w:val="00D33FF4"/>
    <w:rsid w:val="00D345BC"/>
    <w:rsid w:val="00D3495D"/>
    <w:rsid w:val="00D349A2"/>
    <w:rsid w:val="00D350B3"/>
    <w:rsid w:val="00D35229"/>
    <w:rsid w:val="00D359EF"/>
    <w:rsid w:val="00D35A85"/>
    <w:rsid w:val="00D35CD3"/>
    <w:rsid w:val="00D3645C"/>
    <w:rsid w:val="00D364B7"/>
    <w:rsid w:val="00D364F4"/>
    <w:rsid w:val="00D36566"/>
    <w:rsid w:val="00D36DA6"/>
    <w:rsid w:val="00D36E93"/>
    <w:rsid w:val="00D37140"/>
    <w:rsid w:val="00D375D4"/>
    <w:rsid w:val="00D4042F"/>
    <w:rsid w:val="00D407CC"/>
    <w:rsid w:val="00D4095E"/>
    <w:rsid w:val="00D40EEB"/>
    <w:rsid w:val="00D4138D"/>
    <w:rsid w:val="00D419A7"/>
    <w:rsid w:val="00D419D8"/>
    <w:rsid w:val="00D41A64"/>
    <w:rsid w:val="00D41BE8"/>
    <w:rsid w:val="00D41C2A"/>
    <w:rsid w:val="00D41D79"/>
    <w:rsid w:val="00D41FF8"/>
    <w:rsid w:val="00D4212F"/>
    <w:rsid w:val="00D422FD"/>
    <w:rsid w:val="00D423DA"/>
    <w:rsid w:val="00D42406"/>
    <w:rsid w:val="00D42423"/>
    <w:rsid w:val="00D42436"/>
    <w:rsid w:val="00D4258F"/>
    <w:rsid w:val="00D427B9"/>
    <w:rsid w:val="00D42E2F"/>
    <w:rsid w:val="00D43354"/>
    <w:rsid w:val="00D43786"/>
    <w:rsid w:val="00D43A26"/>
    <w:rsid w:val="00D43C1A"/>
    <w:rsid w:val="00D43DE8"/>
    <w:rsid w:val="00D440EA"/>
    <w:rsid w:val="00D44431"/>
    <w:rsid w:val="00D44490"/>
    <w:rsid w:val="00D4452F"/>
    <w:rsid w:val="00D448FC"/>
    <w:rsid w:val="00D44B16"/>
    <w:rsid w:val="00D44BB3"/>
    <w:rsid w:val="00D44CF6"/>
    <w:rsid w:val="00D44EEC"/>
    <w:rsid w:val="00D4527A"/>
    <w:rsid w:val="00D458F9"/>
    <w:rsid w:val="00D45C4B"/>
    <w:rsid w:val="00D45C7F"/>
    <w:rsid w:val="00D45D18"/>
    <w:rsid w:val="00D45FD6"/>
    <w:rsid w:val="00D46239"/>
    <w:rsid w:val="00D464F5"/>
    <w:rsid w:val="00D46A6B"/>
    <w:rsid w:val="00D46BEA"/>
    <w:rsid w:val="00D46C3E"/>
    <w:rsid w:val="00D471C7"/>
    <w:rsid w:val="00D479A8"/>
    <w:rsid w:val="00D47A59"/>
    <w:rsid w:val="00D47B23"/>
    <w:rsid w:val="00D47C2B"/>
    <w:rsid w:val="00D47D9F"/>
    <w:rsid w:val="00D47E45"/>
    <w:rsid w:val="00D47FC0"/>
    <w:rsid w:val="00D505A0"/>
    <w:rsid w:val="00D5083C"/>
    <w:rsid w:val="00D50F59"/>
    <w:rsid w:val="00D51093"/>
    <w:rsid w:val="00D5119D"/>
    <w:rsid w:val="00D513CA"/>
    <w:rsid w:val="00D514D4"/>
    <w:rsid w:val="00D518B6"/>
    <w:rsid w:val="00D51B16"/>
    <w:rsid w:val="00D522BF"/>
    <w:rsid w:val="00D527B1"/>
    <w:rsid w:val="00D529CA"/>
    <w:rsid w:val="00D52AFA"/>
    <w:rsid w:val="00D52E38"/>
    <w:rsid w:val="00D53312"/>
    <w:rsid w:val="00D5355E"/>
    <w:rsid w:val="00D53B8C"/>
    <w:rsid w:val="00D54115"/>
    <w:rsid w:val="00D542E5"/>
    <w:rsid w:val="00D5440E"/>
    <w:rsid w:val="00D5473F"/>
    <w:rsid w:val="00D54B63"/>
    <w:rsid w:val="00D55335"/>
    <w:rsid w:val="00D556E3"/>
    <w:rsid w:val="00D55922"/>
    <w:rsid w:val="00D55AB7"/>
    <w:rsid w:val="00D55C28"/>
    <w:rsid w:val="00D56445"/>
    <w:rsid w:val="00D5668F"/>
    <w:rsid w:val="00D56969"/>
    <w:rsid w:val="00D56AA0"/>
    <w:rsid w:val="00D56D09"/>
    <w:rsid w:val="00D56DF4"/>
    <w:rsid w:val="00D56ED7"/>
    <w:rsid w:val="00D57AB0"/>
    <w:rsid w:val="00D6000C"/>
    <w:rsid w:val="00D6008C"/>
    <w:rsid w:val="00D6034F"/>
    <w:rsid w:val="00D6036F"/>
    <w:rsid w:val="00D6039C"/>
    <w:rsid w:val="00D60D08"/>
    <w:rsid w:val="00D60FA0"/>
    <w:rsid w:val="00D61EA4"/>
    <w:rsid w:val="00D61FFD"/>
    <w:rsid w:val="00D62371"/>
    <w:rsid w:val="00D628C1"/>
    <w:rsid w:val="00D62C7E"/>
    <w:rsid w:val="00D62E1E"/>
    <w:rsid w:val="00D62EA7"/>
    <w:rsid w:val="00D62EAF"/>
    <w:rsid w:val="00D63429"/>
    <w:rsid w:val="00D6416D"/>
    <w:rsid w:val="00D643E2"/>
    <w:rsid w:val="00D64939"/>
    <w:rsid w:val="00D649DE"/>
    <w:rsid w:val="00D64D20"/>
    <w:rsid w:val="00D65228"/>
    <w:rsid w:val="00D6573D"/>
    <w:rsid w:val="00D657D0"/>
    <w:rsid w:val="00D65984"/>
    <w:rsid w:val="00D65B5B"/>
    <w:rsid w:val="00D662B8"/>
    <w:rsid w:val="00D66518"/>
    <w:rsid w:val="00D665C8"/>
    <w:rsid w:val="00D66CF2"/>
    <w:rsid w:val="00D67944"/>
    <w:rsid w:val="00D67C80"/>
    <w:rsid w:val="00D706C9"/>
    <w:rsid w:val="00D707AB"/>
    <w:rsid w:val="00D70902"/>
    <w:rsid w:val="00D70E21"/>
    <w:rsid w:val="00D71213"/>
    <w:rsid w:val="00D71293"/>
    <w:rsid w:val="00D712AD"/>
    <w:rsid w:val="00D71510"/>
    <w:rsid w:val="00D717E7"/>
    <w:rsid w:val="00D71C9F"/>
    <w:rsid w:val="00D722FD"/>
    <w:rsid w:val="00D72B2C"/>
    <w:rsid w:val="00D72C18"/>
    <w:rsid w:val="00D72DE5"/>
    <w:rsid w:val="00D72DF8"/>
    <w:rsid w:val="00D7333B"/>
    <w:rsid w:val="00D735F2"/>
    <w:rsid w:val="00D738DC"/>
    <w:rsid w:val="00D738F4"/>
    <w:rsid w:val="00D73A93"/>
    <w:rsid w:val="00D741C7"/>
    <w:rsid w:val="00D7425E"/>
    <w:rsid w:val="00D74716"/>
    <w:rsid w:val="00D747BA"/>
    <w:rsid w:val="00D74D5D"/>
    <w:rsid w:val="00D74E5D"/>
    <w:rsid w:val="00D753BD"/>
    <w:rsid w:val="00D75487"/>
    <w:rsid w:val="00D754AE"/>
    <w:rsid w:val="00D75A01"/>
    <w:rsid w:val="00D75CF0"/>
    <w:rsid w:val="00D76371"/>
    <w:rsid w:val="00D76443"/>
    <w:rsid w:val="00D7692E"/>
    <w:rsid w:val="00D76DA5"/>
    <w:rsid w:val="00D76F33"/>
    <w:rsid w:val="00D77041"/>
    <w:rsid w:val="00D775F2"/>
    <w:rsid w:val="00D77946"/>
    <w:rsid w:val="00D77A31"/>
    <w:rsid w:val="00D77EC6"/>
    <w:rsid w:val="00D80066"/>
    <w:rsid w:val="00D808BF"/>
    <w:rsid w:val="00D80AF0"/>
    <w:rsid w:val="00D811D4"/>
    <w:rsid w:val="00D81781"/>
    <w:rsid w:val="00D8180B"/>
    <w:rsid w:val="00D8199B"/>
    <w:rsid w:val="00D81E55"/>
    <w:rsid w:val="00D823B5"/>
    <w:rsid w:val="00D82C38"/>
    <w:rsid w:val="00D83334"/>
    <w:rsid w:val="00D83348"/>
    <w:rsid w:val="00D8372A"/>
    <w:rsid w:val="00D83930"/>
    <w:rsid w:val="00D83C8F"/>
    <w:rsid w:val="00D83D6B"/>
    <w:rsid w:val="00D83DAD"/>
    <w:rsid w:val="00D840CD"/>
    <w:rsid w:val="00D8441E"/>
    <w:rsid w:val="00D8448A"/>
    <w:rsid w:val="00D845A4"/>
    <w:rsid w:val="00D84B94"/>
    <w:rsid w:val="00D84FAB"/>
    <w:rsid w:val="00D85375"/>
    <w:rsid w:val="00D857C6"/>
    <w:rsid w:val="00D8583E"/>
    <w:rsid w:val="00D85BD3"/>
    <w:rsid w:val="00D85C6A"/>
    <w:rsid w:val="00D85F70"/>
    <w:rsid w:val="00D87689"/>
    <w:rsid w:val="00D8778E"/>
    <w:rsid w:val="00D87916"/>
    <w:rsid w:val="00D903B0"/>
    <w:rsid w:val="00D90538"/>
    <w:rsid w:val="00D90762"/>
    <w:rsid w:val="00D90782"/>
    <w:rsid w:val="00D9095C"/>
    <w:rsid w:val="00D90A2E"/>
    <w:rsid w:val="00D90C08"/>
    <w:rsid w:val="00D90E76"/>
    <w:rsid w:val="00D9172E"/>
    <w:rsid w:val="00D91C3C"/>
    <w:rsid w:val="00D91E89"/>
    <w:rsid w:val="00D92A6F"/>
    <w:rsid w:val="00D92B75"/>
    <w:rsid w:val="00D92C61"/>
    <w:rsid w:val="00D932C7"/>
    <w:rsid w:val="00D93614"/>
    <w:rsid w:val="00D93AD6"/>
    <w:rsid w:val="00D943DB"/>
    <w:rsid w:val="00D948F4"/>
    <w:rsid w:val="00D94B68"/>
    <w:rsid w:val="00D94D14"/>
    <w:rsid w:val="00D950C9"/>
    <w:rsid w:val="00D9520F"/>
    <w:rsid w:val="00D953CB"/>
    <w:rsid w:val="00D95631"/>
    <w:rsid w:val="00D96251"/>
    <w:rsid w:val="00D964BA"/>
    <w:rsid w:val="00D967D1"/>
    <w:rsid w:val="00D96878"/>
    <w:rsid w:val="00D96D71"/>
    <w:rsid w:val="00D96D94"/>
    <w:rsid w:val="00D97509"/>
    <w:rsid w:val="00D975C7"/>
    <w:rsid w:val="00D97783"/>
    <w:rsid w:val="00DA03DA"/>
    <w:rsid w:val="00DA0482"/>
    <w:rsid w:val="00DA078A"/>
    <w:rsid w:val="00DA0AD1"/>
    <w:rsid w:val="00DA0C4E"/>
    <w:rsid w:val="00DA0D1D"/>
    <w:rsid w:val="00DA150A"/>
    <w:rsid w:val="00DA1659"/>
    <w:rsid w:val="00DA169B"/>
    <w:rsid w:val="00DA19D0"/>
    <w:rsid w:val="00DA1C5F"/>
    <w:rsid w:val="00DA1FF3"/>
    <w:rsid w:val="00DA2585"/>
    <w:rsid w:val="00DA2732"/>
    <w:rsid w:val="00DA2B02"/>
    <w:rsid w:val="00DA2DE3"/>
    <w:rsid w:val="00DA3A90"/>
    <w:rsid w:val="00DA3E97"/>
    <w:rsid w:val="00DA3EB8"/>
    <w:rsid w:val="00DA404A"/>
    <w:rsid w:val="00DA4092"/>
    <w:rsid w:val="00DA45E5"/>
    <w:rsid w:val="00DA4604"/>
    <w:rsid w:val="00DA53AE"/>
    <w:rsid w:val="00DA546B"/>
    <w:rsid w:val="00DA5ECC"/>
    <w:rsid w:val="00DA610C"/>
    <w:rsid w:val="00DA627B"/>
    <w:rsid w:val="00DA6310"/>
    <w:rsid w:val="00DA6659"/>
    <w:rsid w:val="00DA68E8"/>
    <w:rsid w:val="00DA6CB1"/>
    <w:rsid w:val="00DA7372"/>
    <w:rsid w:val="00DA73BA"/>
    <w:rsid w:val="00DA757C"/>
    <w:rsid w:val="00DA75CB"/>
    <w:rsid w:val="00DA799C"/>
    <w:rsid w:val="00DA7C5A"/>
    <w:rsid w:val="00DA7CAE"/>
    <w:rsid w:val="00DA7E9B"/>
    <w:rsid w:val="00DB0550"/>
    <w:rsid w:val="00DB14F1"/>
    <w:rsid w:val="00DB17FB"/>
    <w:rsid w:val="00DB1C8E"/>
    <w:rsid w:val="00DB1D06"/>
    <w:rsid w:val="00DB222C"/>
    <w:rsid w:val="00DB2830"/>
    <w:rsid w:val="00DB2BE6"/>
    <w:rsid w:val="00DB2BE8"/>
    <w:rsid w:val="00DB31CC"/>
    <w:rsid w:val="00DB31D4"/>
    <w:rsid w:val="00DB334B"/>
    <w:rsid w:val="00DB37D0"/>
    <w:rsid w:val="00DB3BA7"/>
    <w:rsid w:val="00DB3DBE"/>
    <w:rsid w:val="00DB4243"/>
    <w:rsid w:val="00DB4358"/>
    <w:rsid w:val="00DB4857"/>
    <w:rsid w:val="00DB4BAF"/>
    <w:rsid w:val="00DB4DD1"/>
    <w:rsid w:val="00DB4F31"/>
    <w:rsid w:val="00DB54B8"/>
    <w:rsid w:val="00DB57BB"/>
    <w:rsid w:val="00DB5A72"/>
    <w:rsid w:val="00DB5DD6"/>
    <w:rsid w:val="00DB6484"/>
    <w:rsid w:val="00DB6AF1"/>
    <w:rsid w:val="00DB6D50"/>
    <w:rsid w:val="00DB6D6E"/>
    <w:rsid w:val="00DB741C"/>
    <w:rsid w:val="00DB78FC"/>
    <w:rsid w:val="00DB7959"/>
    <w:rsid w:val="00DB7A6E"/>
    <w:rsid w:val="00DBA547"/>
    <w:rsid w:val="00DC06E6"/>
    <w:rsid w:val="00DC09C7"/>
    <w:rsid w:val="00DC0BD4"/>
    <w:rsid w:val="00DC0CAB"/>
    <w:rsid w:val="00DC0CE0"/>
    <w:rsid w:val="00DC105F"/>
    <w:rsid w:val="00DC13BD"/>
    <w:rsid w:val="00DC1DF5"/>
    <w:rsid w:val="00DC2701"/>
    <w:rsid w:val="00DC2895"/>
    <w:rsid w:val="00DC2927"/>
    <w:rsid w:val="00DC30F9"/>
    <w:rsid w:val="00DC3301"/>
    <w:rsid w:val="00DC3ADE"/>
    <w:rsid w:val="00DC3B5A"/>
    <w:rsid w:val="00DC3C48"/>
    <w:rsid w:val="00DC3EA2"/>
    <w:rsid w:val="00DC3F06"/>
    <w:rsid w:val="00DC4D7F"/>
    <w:rsid w:val="00DC4F21"/>
    <w:rsid w:val="00DC5304"/>
    <w:rsid w:val="00DC53F7"/>
    <w:rsid w:val="00DC5846"/>
    <w:rsid w:val="00DC5A1A"/>
    <w:rsid w:val="00DC5EC3"/>
    <w:rsid w:val="00DC6685"/>
    <w:rsid w:val="00DC6962"/>
    <w:rsid w:val="00DC6CC1"/>
    <w:rsid w:val="00DC6DF9"/>
    <w:rsid w:val="00DC6EBF"/>
    <w:rsid w:val="00DC797E"/>
    <w:rsid w:val="00DC7EFE"/>
    <w:rsid w:val="00DD07FA"/>
    <w:rsid w:val="00DD0927"/>
    <w:rsid w:val="00DD0A0A"/>
    <w:rsid w:val="00DD0C52"/>
    <w:rsid w:val="00DD0C82"/>
    <w:rsid w:val="00DD1457"/>
    <w:rsid w:val="00DD156E"/>
    <w:rsid w:val="00DD1DCE"/>
    <w:rsid w:val="00DD1DFA"/>
    <w:rsid w:val="00DD2190"/>
    <w:rsid w:val="00DD26FE"/>
    <w:rsid w:val="00DD2C0D"/>
    <w:rsid w:val="00DD3231"/>
    <w:rsid w:val="00DD32A1"/>
    <w:rsid w:val="00DD337B"/>
    <w:rsid w:val="00DD3566"/>
    <w:rsid w:val="00DD37B6"/>
    <w:rsid w:val="00DD38BA"/>
    <w:rsid w:val="00DD398C"/>
    <w:rsid w:val="00DD45EA"/>
    <w:rsid w:val="00DD47EB"/>
    <w:rsid w:val="00DD47FC"/>
    <w:rsid w:val="00DD4A05"/>
    <w:rsid w:val="00DD4B16"/>
    <w:rsid w:val="00DD4CC3"/>
    <w:rsid w:val="00DD524F"/>
    <w:rsid w:val="00DD53E3"/>
    <w:rsid w:val="00DD53ED"/>
    <w:rsid w:val="00DD55D1"/>
    <w:rsid w:val="00DD5620"/>
    <w:rsid w:val="00DD58DA"/>
    <w:rsid w:val="00DD5A57"/>
    <w:rsid w:val="00DD5E91"/>
    <w:rsid w:val="00DD60DE"/>
    <w:rsid w:val="00DD627D"/>
    <w:rsid w:val="00DD62DD"/>
    <w:rsid w:val="00DD643D"/>
    <w:rsid w:val="00DD6F46"/>
    <w:rsid w:val="00DD6FB4"/>
    <w:rsid w:val="00DD7734"/>
    <w:rsid w:val="00DD7FD1"/>
    <w:rsid w:val="00DE0003"/>
    <w:rsid w:val="00DE0112"/>
    <w:rsid w:val="00DE0179"/>
    <w:rsid w:val="00DE01EE"/>
    <w:rsid w:val="00DE0286"/>
    <w:rsid w:val="00DE0853"/>
    <w:rsid w:val="00DE0941"/>
    <w:rsid w:val="00DE0AC0"/>
    <w:rsid w:val="00DE0B24"/>
    <w:rsid w:val="00DE0E89"/>
    <w:rsid w:val="00DE0EA4"/>
    <w:rsid w:val="00DE17FB"/>
    <w:rsid w:val="00DE1C51"/>
    <w:rsid w:val="00DE1D94"/>
    <w:rsid w:val="00DE2303"/>
    <w:rsid w:val="00DE24AC"/>
    <w:rsid w:val="00DE25EE"/>
    <w:rsid w:val="00DE2DB3"/>
    <w:rsid w:val="00DE2F00"/>
    <w:rsid w:val="00DE2F09"/>
    <w:rsid w:val="00DE2F31"/>
    <w:rsid w:val="00DE3081"/>
    <w:rsid w:val="00DE30DB"/>
    <w:rsid w:val="00DE38C1"/>
    <w:rsid w:val="00DE3D3F"/>
    <w:rsid w:val="00DE3EF3"/>
    <w:rsid w:val="00DE3F07"/>
    <w:rsid w:val="00DE438F"/>
    <w:rsid w:val="00DE4BC2"/>
    <w:rsid w:val="00DE5306"/>
    <w:rsid w:val="00DE53F8"/>
    <w:rsid w:val="00DE542B"/>
    <w:rsid w:val="00DE556D"/>
    <w:rsid w:val="00DE5688"/>
    <w:rsid w:val="00DE5AB8"/>
    <w:rsid w:val="00DE5B5F"/>
    <w:rsid w:val="00DE5B76"/>
    <w:rsid w:val="00DE5E1F"/>
    <w:rsid w:val="00DE5F02"/>
    <w:rsid w:val="00DE63D1"/>
    <w:rsid w:val="00DE640A"/>
    <w:rsid w:val="00DE642C"/>
    <w:rsid w:val="00DE6627"/>
    <w:rsid w:val="00DE6642"/>
    <w:rsid w:val="00DE6727"/>
    <w:rsid w:val="00DE67C5"/>
    <w:rsid w:val="00DE6824"/>
    <w:rsid w:val="00DE68AC"/>
    <w:rsid w:val="00DE6D9D"/>
    <w:rsid w:val="00DE6E5E"/>
    <w:rsid w:val="00DE6FC6"/>
    <w:rsid w:val="00DE70FA"/>
    <w:rsid w:val="00DE7306"/>
    <w:rsid w:val="00DE770C"/>
    <w:rsid w:val="00DE7927"/>
    <w:rsid w:val="00DE7DAF"/>
    <w:rsid w:val="00DE942C"/>
    <w:rsid w:val="00DF0285"/>
    <w:rsid w:val="00DF0AA6"/>
    <w:rsid w:val="00DF0D9E"/>
    <w:rsid w:val="00DF10F6"/>
    <w:rsid w:val="00DF158C"/>
    <w:rsid w:val="00DF17A6"/>
    <w:rsid w:val="00DF19E6"/>
    <w:rsid w:val="00DF1B8F"/>
    <w:rsid w:val="00DF1CA6"/>
    <w:rsid w:val="00DF1D47"/>
    <w:rsid w:val="00DF1EFC"/>
    <w:rsid w:val="00DF237C"/>
    <w:rsid w:val="00DF284C"/>
    <w:rsid w:val="00DF2B85"/>
    <w:rsid w:val="00DF2DBB"/>
    <w:rsid w:val="00DF3447"/>
    <w:rsid w:val="00DF35E2"/>
    <w:rsid w:val="00DF3A23"/>
    <w:rsid w:val="00DF3FF7"/>
    <w:rsid w:val="00DF4646"/>
    <w:rsid w:val="00DF4C9F"/>
    <w:rsid w:val="00DF4E7B"/>
    <w:rsid w:val="00DF4F78"/>
    <w:rsid w:val="00DF523E"/>
    <w:rsid w:val="00DF5394"/>
    <w:rsid w:val="00DF5A94"/>
    <w:rsid w:val="00DF5AE7"/>
    <w:rsid w:val="00DF6687"/>
    <w:rsid w:val="00DF6A9D"/>
    <w:rsid w:val="00DF6D30"/>
    <w:rsid w:val="00DF6FD8"/>
    <w:rsid w:val="00DF71D1"/>
    <w:rsid w:val="00DF721F"/>
    <w:rsid w:val="00DF761D"/>
    <w:rsid w:val="00DF7E17"/>
    <w:rsid w:val="00E00237"/>
    <w:rsid w:val="00E00478"/>
    <w:rsid w:val="00E007AF"/>
    <w:rsid w:val="00E00D8C"/>
    <w:rsid w:val="00E00E9D"/>
    <w:rsid w:val="00E00FBC"/>
    <w:rsid w:val="00E0163A"/>
    <w:rsid w:val="00E01F0E"/>
    <w:rsid w:val="00E021BC"/>
    <w:rsid w:val="00E02414"/>
    <w:rsid w:val="00E02773"/>
    <w:rsid w:val="00E02C3C"/>
    <w:rsid w:val="00E02C62"/>
    <w:rsid w:val="00E02C74"/>
    <w:rsid w:val="00E02D61"/>
    <w:rsid w:val="00E02D9F"/>
    <w:rsid w:val="00E02EE1"/>
    <w:rsid w:val="00E03020"/>
    <w:rsid w:val="00E03349"/>
    <w:rsid w:val="00E03501"/>
    <w:rsid w:val="00E035BF"/>
    <w:rsid w:val="00E036FE"/>
    <w:rsid w:val="00E03D54"/>
    <w:rsid w:val="00E0401D"/>
    <w:rsid w:val="00E044FB"/>
    <w:rsid w:val="00E046FF"/>
    <w:rsid w:val="00E047AB"/>
    <w:rsid w:val="00E048A1"/>
    <w:rsid w:val="00E04D16"/>
    <w:rsid w:val="00E04F57"/>
    <w:rsid w:val="00E05B43"/>
    <w:rsid w:val="00E0607B"/>
    <w:rsid w:val="00E06400"/>
    <w:rsid w:val="00E06626"/>
    <w:rsid w:val="00E07081"/>
    <w:rsid w:val="00E070A7"/>
    <w:rsid w:val="00E07293"/>
    <w:rsid w:val="00E105DE"/>
    <w:rsid w:val="00E1071F"/>
    <w:rsid w:val="00E108E3"/>
    <w:rsid w:val="00E109C7"/>
    <w:rsid w:val="00E10AC7"/>
    <w:rsid w:val="00E10E0E"/>
    <w:rsid w:val="00E1102E"/>
    <w:rsid w:val="00E11172"/>
    <w:rsid w:val="00E11867"/>
    <w:rsid w:val="00E11A89"/>
    <w:rsid w:val="00E11BDB"/>
    <w:rsid w:val="00E11BE4"/>
    <w:rsid w:val="00E11DDD"/>
    <w:rsid w:val="00E12973"/>
    <w:rsid w:val="00E132CF"/>
    <w:rsid w:val="00E13B71"/>
    <w:rsid w:val="00E13E21"/>
    <w:rsid w:val="00E14280"/>
    <w:rsid w:val="00E143F0"/>
    <w:rsid w:val="00E143FA"/>
    <w:rsid w:val="00E148F6"/>
    <w:rsid w:val="00E14CB9"/>
    <w:rsid w:val="00E14FC2"/>
    <w:rsid w:val="00E15092"/>
    <w:rsid w:val="00E1519B"/>
    <w:rsid w:val="00E15219"/>
    <w:rsid w:val="00E1545B"/>
    <w:rsid w:val="00E15466"/>
    <w:rsid w:val="00E15492"/>
    <w:rsid w:val="00E15557"/>
    <w:rsid w:val="00E15B53"/>
    <w:rsid w:val="00E15CAA"/>
    <w:rsid w:val="00E15DC4"/>
    <w:rsid w:val="00E15DF7"/>
    <w:rsid w:val="00E161E7"/>
    <w:rsid w:val="00E16253"/>
    <w:rsid w:val="00E16631"/>
    <w:rsid w:val="00E1684A"/>
    <w:rsid w:val="00E16CCC"/>
    <w:rsid w:val="00E1773B"/>
    <w:rsid w:val="00E178CB"/>
    <w:rsid w:val="00E179B6"/>
    <w:rsid w:val="00E17D3A"/>
    <w:rsid w:val="00E1E9FA"/>
    <w:rsid w:val="00E20F35"/>
    <w:rsid w:val="00E21086"/>
    <w:rsid w:val="00E2167A"/>
    <w:rsid w:val="00E21B41"/>
    <w:rsid w:val="00E22027"/>
    <w:rsid w:val="00E220BE"/>
    <w:rsid w:val="00E2226F"/>
    <w:rsid w:val="00E226AF"/>
    <w:rsid w:val="00E22771"/>
    <w:rsid w:val="00E22A0C"/>
    <w:rsid w:val="00E22B53"/>
    <w:rsid w:val="00E22F1D"/>
    <w:rsid w:val="00E23264"/>
    <w:rsid w:val="00E232AA"/>
    <w:rsid w:val="00E23306"/>
    <w:rsid w:val="00E235FD"/>
    <w:rsid w:val="00E23BEF"/>
    <w:rsid w:val="00E23DFE"/>
    <w:rsid w:val="00E23E04"/>
    <w:rsid w:val="00E23E59"/>
    <w:rsid w:val="00E242BB"/>
    <w:rsid w:val="00E24938"/>
    <w:rsid w:val="00E24A55"/>
    <w:rsid w:val="00E24A7B"/>
    <w:rsid w:val="00E24BAB"/>
    <w:rsid w:val="00E24C8D"/>
    <w:rsid w:val="00E252CC"/>
    <w:rsid w:val="00E2570B"/>
    <w:rsid w:val="00E25B35"/>
    <w:rsid w:val="00E25D7A"/>
    <w:rsid w:val="00E25E60"/>
    <w:rsid w:val="00E26420"/>
    <w:rsid w:val="00E266EF"/>
    <w:rsid w:val="00E270B4"/>
    <w:rsid w:val="00E2715F"/>
    <w:rsid w:val="00E27255"/>
    <w:rsid w:val="00E2784C"/>
    <w:rsid w:val="00E2797B"/>
    <w:rsid w:val="00E27DBC"/>
    <w:rsid w:val="00E27E13"/>
    <w:rsid w:val="00E27FD7"/>
    <w:rsid w:val="00E300D7"/>
    <w:rsid w:val="00E30176"/>
    <w:rsid w:val="00E301EB"/>
    <w:rsid w:val="00E3047D"/>
    <w:rsid w:val="00E30646"/>
    <w:rsid w:val="00E309FE"/>
    <w:rsid w:val="00E31030"/>
    <w:rsid w:val="00E3103A"/>
    <w:rsid w:val="00E31341"/>
    <w:rsid w:val="00E3196A"/>
    <w:rsid w:val="00E31AAA"/>
    <w:rsid w:val="00E31B6D"/>
    <w:rsid w:val="00E31D6C"/>
    <w:rsid w:val="00E31E4A"/>
    <w:rsid w:val="00E326E1"/>
    <w:rsid w:val="00E32E15"/>
    <w:rsid w:val="00E32E45"/>
    <w:rsid w:val="00E333F7"/>
    <w:rsid w:val="00E33877"/>
    <w:rsid w:val="00E33C5A"/>
    <w:rsid w:val="00E33CC6"/>
    <w:rsid w:val="00E33EDE"/>
    <w:rsid w:val="00E3415C"/>
    <w:rsid w:val="00E346F2"/>
    <w:rsid w:val="00E348E7"/>
    <w:rsid w:val="00E34A11"/>
    <w:rsid w:val="00E34AD4"/>
    <w:rsid w:val="00E34C50"/>
    <w:rsid w:val="00E3514F"/>
    <w:rsid w:val="00E35195"/>
    <w:rsid w:val="00E35286"/>
    <w:rsid w:val="00E352EC"/>
    <w:rsid w:val="00E3583B"/>
    <w:rsid w:val="00E35A87"/>
    <w:rsid w:val="00E35B0E"/>
    <w:rsid w:val="00E35F17"/>
    <w:rsid w:val="00E35F3E"/>
    <w:rsid w:val="00E35FC8"/>
    <w:rsid w:val="00E362EA"/>
    <w:rsid w:val="00E3644A"/>
    <w:rsid w:val="00E369D8"/>
    <w:rsid w:val="00E36ACD"/>
    <w:rsid w:val="00E36C36"/>
    <w:rsid w:val="00E371E8"/>
    <w:rsid w:val="00E37282"/>
    <w:rsid w:val="00E37953"/>
    <w:rsid w:val="00E37B6B"/>
    <w:rsid w:val="00E37BEF"/>
    <w:rsid w:val="00E403C8"/>
    <w:rsid w:val="00E405AC"/>
    <w:rsid w:val="00E409D3"/>
    <w:rsid w:val="00E40F5F"/>
    <w:rsid w:val="00E4104E"/>
    <w:rsid w:val="00E412C5"/>
    <w:rsid w:val="00E41380"/>
    <w:rsid w:val="00E41609"/>
    <w:rsid w:val="00E41B55"/>
    <w:rsid w:val="00E42018"/>
    <w:rsid w:val="00E42166"/>
    <w:rsid w:val="00E42319"/>
    <w:rsid w:val="00E42632"/>
    <w:rsid w:val="00E42671"/>
    <w:rsid w:val="00E4286E"/>
    <w:rsid w:val="00E42A4B"/>
    <w:rsid w:val="00E42B6A"/>
    <w:rsid w:val="00E42E95"/>
    <w:rsid w:val="00E439AD"/>
    <w:rsid w:val="00E43A5B"/>
    <w:rsid w:val="00E44308"/>
    <w:rsid w:val="00E444A5"/>
    <w:rsid w:val="00E445A3"/>
    <w:rsid w:val="00E445D5"/>
    <w:rsid w:val="00E449C8"/>
    <w:rsid w:val="00E44C82"/>
    <w:rsid w:val="00E44CF3"/>
    <w:rsid w:val="00E4555A"/>
    <w:rsid w:val="00E455F8"/>
    <w:rsid w:val="00E456CD"/>
    <w:rsid w:val="00E45942"/>
    <w:rsid w:val="00E45D73"/>
    <w:rsid w:val="00E45E3D"/>
    <w:rsid w:val="00E45F74"/>
    <w:rsid w:val="00E46676"/>
    <w:rsid w:val="00E46EC6"/>
    <w:rsid w:val="00E473E5"/>
    <w:rsid w:val="00E476ED"/>
    <w:rsid w:val="00E4781E"/>
    <w:rsid w:val="00E47D1B"/>
    <w:rsid w:val="00E5067B"/>
    <w:rsid w:val="00E5071E"/>
    <w:rsid w:val="00E50906"/>
    <w:rsid w:val="00E50A36"/>
    <w:rsid w:val="00E50A4E"/>
    <w:rsid w:val="00E50CF5"/>
    <w:rsid w:val="00E515B8"/>
    <w:rsid w:val="00E5166B"/>
    <w:rsid w:val="00E518D8"/>
    <w:rsid w:val="00E51A73"/>
    <w:rsid w:val="00E51B55"/>
    <w:rsid w:val="00E520A3"/>
    <w:rsid w:val="00E526C3"/>
    <w:rsid w:val="00E52843"/>
    <w:rsid w:val="00E52AA3"/>
    <w:rsid w:val="00E52B17"/>
    <w:rsid w:val="00E52BA3"/>
    <w:rsid w:val="00E53018"/>
    <w:rsid w:val="00E53635"/>
    <w:rsid w:val="00E5364D"/>
    <w:rsid w:val="00E53927"/>
    <w:rsid w:val="00E53D46"/>
    <w:rsid w:val="00E547D6"/>
    <w:rsid w:val="00E54BA9"/>
    <w:rsid w:val="00E54CC6"/>
    <w:rsid w:val="00E54D46"/>
    <w:rsid w:val="00E55496"/>
    <w:rsid w:val="00E5587E"/>
    <w:rsid w:val="00E558CD"/>
    <w:rsid w:val="00E55D3E"/>
    <w:rsid w:val="00E55FC3"/>
    <w:rsid w:val="00E5635D"/>
    <w:rsid w:val="00E5640F"/>
    <w:rsid w:val="00E569E9"/>
    <w:rsid w:val="00E56B0A"/>
    <w:rsid w:val="00E57199"/>
    <w:rsid w:val="00E57327"/>
    <w:rsid w:val="00E57453"/>
    <w:rsid w:val="00E57498"/>
    <w:rsid w:val="00E57743"/>
    <w:rsid w:val="00E57FD3"/>
    <w:rsid w:val="00E57FF3"/>
    <w:rsid w:val="00E603D1"/>
    <w:rsid w:val="00E6055E"/>
    <w:rsid w:val="00E60673"/>
    <w:rsid w:val="00E60736"/>
    <w:rsid w:val="00E60789"/>
    <w:rsid w:val="00E60A6F"/>
    <w:rsid w:val="00E60C27"/>
    <w:rsid w:val="00E61257"/>
    <w:rsid w:val="00E61447"/>
    <w:rsid w:val="00E619F9"/>
    <w:rsid w:val="00E620AF"/>
    <w:rsid w:val="00E62226"/>
    <w:rsid w:val="00E62613"/>
    <w:rsid w:val="00E6297B"/>
    <w:rsid w:val="00E62BCC"/>
    <w:rsid w:val="00E62D2E"/>
    <w:rsid w:val="00E62D3E"/>
    <w:rsid w:val="00E6308A"/>
    <w:rsid w:val="00E632FF"/>
    <w:rsid w:val="00E633EF"/>
    <w:rsid w:val="00E63629"/>
    <w:rsid w:val="00E63C96"/>
    <w:rsid w:val="00E63D26"/>
    <w:rsid w:val="00E6412E"/>
    <w:rsid w:val="00E646DE"/>
    <w:rsid w:val="00E648DE"/>
    <w:rsid w:val="00E64995"/>
    <w:rsid w:val="00E64A2A"/>
    <w:rsid w:val="00E651AA"/>
    <w:rsid w:val="00E6556A"/>
    <w:rsid w:val="00E66026"/>
    <w:rsid w:val="00E66513"/>
    <w:rsid w:val="00E666A8"/>
    <w:rsid w:val="00E66818"/>
    <w:rsid w:val="00E66A5E"/>
    <w:rsid w:val="00E66C5E"/>
    <w:rsid w:val="00E67081"/>
    <w:rsid w:val="00E6738E"/>
    <w:rsid w:val="00E6747A"/>
    <w:rsid w:val="00E67A0E"/>
    <w:rsid w:val="00E67A13"/>
    <w:rsid w:val="00E67B27"/>
    <w:rsid w:val="00E70352"/>
    <w:rsid w:val="00E7079B"/>
    <w:rsid w:val="00E70850"/>
    <w:rsid w:val="00E70B33"/>
    <w:rsid w:val="00E70EEC"/>
    <w:rsid w:val="00E7114D"/>
    <w:rsid w:val="00E7199F"/>
    <w:rsid w:val="00E71CC2"/>
    <w:rsid w:val="00E71D7D"/>
    <w:rsid w:val="00E71F75"/>
    <w:rsid w:val="00E721F9"/>
    <w:rsid w:val="00E7286D"/>
    <w:rsid w:val="00E73064"/>
    <w:rsid w:val="00E73185"/>
    <w:rsid w:val="00E74AC8"/>
    <w:rsid w:val="00E74CC5"/>
    <w:rsid w:val="00E74D76"/>
    <w:rsid w:val="00E75000"/>
    <w:rsid w:val="00E75390"/>
    <w:rsid w:val="00E758ED"/>
    <w:rsid w:val="00E762A6"/>
    <w:rsid w:val="00E76440"/>
    <w:rsid w:val="00E7669C"/>
    <w:rsid w:val="00E76820"/>
    <w:rsid w:val="00E7688D"/>
    <w:rsid w:val="00E76941"/>
    <w:rsid w:val="00E76BC5"/>
    <w:rsid w:val="00E76C14"/>
    <w:rsid w:val="00E76E29"/>
    <w:rsid w:val="00E76ED9"/>
    <w:rsid w:val="00E77129"/>
    <w:rsid w:val="00E77259"/>
    <w:rsid w:val="00E77323"/>
    <w:rsid w:val="00E77767"/>
    <w:rsid w:val="00E77B47"/>
    <w:rsid w:val="00E77E9B"/>
    <w:rsid w:val="00E803CF"/>
    <w:rsid w:val="00E80794"/>
    <w:rsid w:val="00E807F7"/>
    <w:rsid w:val="00E80E40"/>
    <w:rsid w:val="00E8188E"/>
    <w:rsid w:val="00E81891"/>
    <w:rsid w:val="00E8196A"/>
    <w:rsid w:val="00E819EC"/>
    <w:rsid w:val="00E81A77"/>
    <w:rsid w:val="00E81B60"/>
    <w:rsid w:val="00E820A1"/>
    <w:rsid w:val="00E8228A"/>
    <w:rsid w:val="00E822D1"/>
    <w:rsid w:val="00E82CD3"/>
    <w:rsid w:val="00E82D0A"/>
    <w:rsid w:val="00E82F85"/>
    <w:rsid w:val="00E831D7"/>
    <w:rsid w:val="00E8352C"/>
    <w:rsid w:val="00E838DB"/>
    <w:rsid w:val="00E838E1"/>
    <w:rsid w:val="00E83976"/>
    <w:rsid w:val="00E83C18"/>
    <w:rsid w:val="00E8407F"/>
    <w:rsid w:val="00E8427B"/>
    <w:rsid w:val="00E84966"/>
    <w:rsid w:val="00E84D29"/>
    <w:rsid w:val="00E84F7E"/>
    <w:rsid w:val="00E85073"/>
    <w:rsid w:val="00E863C9"/>
    <w:rsid w:val="00E863F0"/>
    <w:rsid w:val="00E86748"/>
    <w:rsid w:val="00E86801"/>
    <w:rsid w:val="00E868FA"/>
    <w:rsid w:val="00E869B3"/>
    <w:rsid w:val="00E86B6A"/>
    <w:rsid w:val="00E86CE2"/>
    <w:rsid w:val="00E8738C"/>
    <w:rsid w:val="00E873B5"/>
    <w:rsid w:val="00E87455"/>
    <w:rsid w:val="00E87713"/>
    <w:rsid w:val="00E879B2"/>
    <w:rsid w:val="00E87A3C"/>
    <w:rsid w:val="00E87D67"/>
    <w:rsid w:val="00E87EDB"/>
    <w:rsid w:val="00E9014C"/>
    <w:rsid w:val="00E90204"/>
    <w:rsid w:val="00E90320"/>
    <w:rsid w:val="00E90339"/>
    <w:rsid w:val="00E9047D"/>
    <w:rsid w:val="00E9072E"/>
    <w:rsid w:val="00E908BD"/>
    <w:rsid w:val="00E90B55"/>
    <w:rsid w:val="00E90ECE"/>
    <w:rsid w:val="00E90FD5"/>
    <w:rsid w:val="00E9110E"/>
    <w:rsid w:val="00E9162C"/>
    <w:rsid w:val="00E9186D"/>
    <w:rsid w:val="00E91A43"/>
    <w:rsid w:val="00E91ACF"/>
    <w:rsid w:val="00E91EEB"/>
    <w:rsid w:val="00E9249A"/>
    <w:rsid w:val="00E926ED"/>
    <w:rsid w:val="00E92872"/>
    <w:rsid w:val="00E92E77"/>
    <w:rsid w:val="00E9383D"/>
    <w:rsid w:val="00E9387D"/>
    <w:rsid w:val="00E93A37"/>
    <w:rsid w:val="00E93CBC"/>
    <w:rsid w:val="00E950B7"/>
    <w:rsid w:val="00E95152"/>
    <w:rsid w:val="00E9537C"/>
    <w:rsid w:val="00E959B6"/>
    <w:rsid w:val="00E95E04"/>
    <w:rsid w:val="00E962ED"/>
    <w:rsid w:val="00E96821"/>
    <w:rsid w:val="00E96829"/>
    <w:rsid w:val="00E96870"/>
    <w:rsid w:val="00E96AAA"/>
    <w:rsid w:val="00E96C04"/>
    <w:rsid w:val="00E96C8E"/>
    <w:rsid w:val="00E96E28"/>
    <w:rsid w:val="00E96E67"/>
    <w:rsid w:val="00E9761E"/>
    <w:rsid w:val="00E97E64"/>
    <w:rsid w:val="00EA04E7"/>
    <w:rsid w:val="00EA09BE"/>
    <w:rsid w:val="00EA0EC9"/>
    <w:rsid w:val="00EA1209"/>
    <w:rsid w:val="00EA199A"/>
    <w:rsid w:val="00EA1B53"/>
    <w:rsid w:val="00EA1FCD"/>
    <w:rsid w:val="00EA21D2"/>
    <w:rsid w:val="00EA23DD"/>
    <w:rsid w:val="00EA24F6"/>
    <w:rsid w:val="00EA25B3"/>
    <w:rsid w:val="00EA2807"/>
    <w:rsid w:val="00EA29B2"/>
    <w:rsid w:val="00EA2B42"/>
    <w:rsid w:val="00EA3121"/>
    <w:rsid w:val="00EA33F5"/>
    <w:rsid w:val="00EA3971"/>
    <w:rsid w:val="00EA44AF"/>
    <w:rsid w:val="00EA454C"/>
    <w:rsid w:val="00EA470B"/>
    <w:rsid w:val="00EA4802"/>
    <w:rsid w:val="00EA4A37"/>
    <w:rsid w:val="00EA4A76"/>
    <w:rsid w:val="00EA4FB1"/>
    <w:rsid w:val="00EA54F0"/>
    <w:rsid w:val="00EA5697"/>
    <w:rsid w:val="00EA5884"/>
    <w:rsid w:val="00EA59E7"/>
    <w:rsid w:val="00EA5B1E"/>
    <w:rsid w:val="00EA5D73"/>
    <w:rsid w:val="00EA5F1F"/>
    <w:rsid w:val="00EA6DF0"/>
    <w:rsid w:val="00EA7192"/>
    <w:rsid w:val="00EA7761"/>
    <w:rsid w:val="00EA77C6"/>
    <w:rsid w:val="00EA7D7A"/>
    <w:rsid w:val="00EA7F39"/>
    <w:rsid w:val="00EB00A8"/>
    <w:rsid w:val="00EB046A"/>
    <w:rsid w:val="00EB09CA"/>
    <w:rsid w:val="00EB0AE6"/>
    <w:rsid w:val="00EB0BA1"/>
    <w:rsid w:val="00EB12AE"/>
    <w:rsid w:val="00EB18A1"/>
    <w:rsid w:val="00EB1B1A"/>
    <w:rsid w:val="00EB1BFA"/>
    <w:rsid w:val="00EB1CA0"/>
    <w:rsid w:val="00EB1E46"/>
    <w:rsid w:val="00EB20D6"/>
    <w:rsid w:val="00EB2A6E"/>
    <w:rsid w:val="00EB2C4F"/>
    <w:rsid w:val="00EB2CEB"/>
    <w:rsid w:val="00EB30A0"/>
    <w:rsid w:val="00EB31D8"/>
    <w:rsid w:val="00EB373A"/>
    <w:rsid w:val="00EB3848"/>
    <w:rsid w:val="00EB38CE"/>
    <w:rsid w:val="00EB3B0B"/>
    <w:rsid w:val="00EB3D13"/>
    <w:rsid w:val="00EB3F6C"/>
    <w:rsid w:val="00EB4136"/>
    <w:rsid w:val="00EB416F"/>
    <w:rsid w:val="00EB41DF"/>
    <w:rsid w:val="00EB4465"/>
    <w:rsid w:val="00EB47D7"/>
    <w:rsid w:val="00EB4CF1"/>
    <w:rsid w:val="00EB4FE9"/>
    <w:rsid w:val="00EB5258"/>
    <w:rsid w:val="00EB55B7"/>
    <w:rsid w:val="00EB58C1"/>
    <w:rsid w:val="00EB6041"/>
    <w:rsid w:val="00EB62D7"/>
    <w:rsid w:val="00EB6384"/>
    <w:rsid w:val="00EB6471"/>
    <w:rsid w:val="00EB6B43"/>
    <w:rsid w:val="00EB745C"/>
    <w:rsid w:val="00EB797F"/>
    <w:rsid w:val="00EB7BA8"/>
    <w:rsid w:val="00EC033C"/>
    <w:rsid w:val="00EC0464"/>
    <w:rsid w:val="00EC0576"/>
    <w:rsid w:val="00EC0601"/>
    <w:rsid w:val="00EC0630"/>
    <w:rsid w:val="00EC099B"/>
    <w:rsid w:val="00EC0D10"/>
    <w:rsid w:val="00EC166F"/>
    <w:rsid w:val="00EC1A60"/>
    <w:rsid w:val="00EC1B68"/>
    <w:rsid w:val="00EC233F"/>
    <w:rsid w:val="00EC26A8"/>
    <w:rsid w:val="00EC2704"/>
    <w:rsid w:val="00EC27F6"/>
    <w:rsid w:val="00EC2887"/>
    <w:rsid w:val="00EC28E6"/>
    <w:rsid w:val="00EC32FA"/>
    <w:rsid w:val="00EC3B4E"/>
    <w:rsid w:val="00EC3B7C"/>
    <w:rsid w:val="00EC4144"/>
    <w:rsid w:val="00EC4423"/>
    <w:rsid w:val="00EC484C"/>
    <w:rsid w:val="00EC4C62"/>
    <w:rsid w:val="00EC6597"/>
    <w:rsid w:val="00EC6BB9"/>
    <w:rsid w:val="00EC6CB0"/>
    <w:rsid w:val="00EC73E7"/>
    <w:rsid w:val="00EC7805"/>
    <w:rsid w:val="00ED0D04"/>
    <w:rsid w:val="00ED0F93"/>
    <w:rsid w:val="00ED122A"/>
    <w:rsid w:val="00ED204A"/>
    <w:rsid w:val="00ED24EE"/>
    <w:rsid w:val="00ED2507"/>
    <w:rsid w:val="00ED252D"/>
    <w:rsid w:val="00ED2831"/>
    <w:rsid w:val="00ED2D5B"/>
    <w:rsid w:val="00ED2EA4"/>
    <w:rsid w:val="00ED2FDD"/>
    <w:rsid w:val="00ED307B"/>
    <w:rsid w:val="00ED35E5"/>
    <w:rsid w:val="00ED35FC"/>
    <w:rsid w:val="00ED3A76"/>
    <w:rsid w:val="00ED4012"/>
    <w:rsid w:val="00ED41FB"/>
    <w:rsid w:val="00ED48D0"/>
    <w:rsid w:val="00ED4C6D"/>
    <w:rsid w:val="00ED4E61"/>
    <w:rsid w:val="00ED523A"/>
    <w:rsid w:val="00ED572A"/>
    <w:rsid w:val="00ED58A9"/>
    <w:rsid w:val="00ED5A74"/>
    <w:rsid w:val="00ED6B17"/>
    <w:rsid w:val="00ED6E9C"/>
    <w:rsid w:val="00ED73B4"/>
    <w:rsid w:val="00ED73E9"/>
    <w:rsid w:val="00ED75C6"/>
    <w:rsid w:val="00ED7BF1"/>
    <w:rsid w:val="00ED7E6D"/>
    <w:rsid w:val="00ED7F29"/>
    <w:rsid w:val="00EE0070"/>
    <w:rsid w:val="00EE00EC"/>
    <w:rsid w:val="00EE013A"/>
    <w:rsid w:val="00EE0603"/>
    <w:rsid w:val="00EE061F"/>
    <w:rsid w:val="00EE06C4"/>
    <w:rsid w:val="00EE0730"/>
    <w:rsid w:val="00EE0BA1"/>
    <w:rsid w:val="00EE0CF7"/>
    <w:rsid w:val="00EE1007"/>
    <w:rsid w:val="00EE105F"/>
    <w:rsid w:val="00EE11FB"/>
    <w:rsid w:val="00EE1723"/>
    <w:rsid w:val="00EE1789"/>
    <w:rsid w:val="00EE195C"/>
    <w:rsid w:val="00EE1FD4"/>
    <w:rsid w:val="00EE22DF"/>
    <w:rsid w:val="00EE248E"/>
    <w:rsid w:val="00EE256E"/>
    <w:rsid w:val="00EE2631"/>
    <w:rsid w:val="00EE2B0E"/>
    <w:rsid w:val="00EE30C8"/>
    <w:rsid w:val="00EE3A4C"/>
    <w:rsid w:val="00EE3A69"/>
    <w:rsid w:val="00EE401B"/>
    <w:rsid w:val="00EE422A"/>
    <w:rsid w:val="00EE43D9"/>
    <w:rsid w:val="00EE47A1"/>
    <w:rsid w:val="00EE4C04"/>
    <w:rsid w:val="00EE4DE2"/>
    <w:rsid w:val="00EE4FD6"/>
    <w:rsid w:val="00EE5111"/>
    <w:rsid w:val="00EE5697"/>
    <w:rsid w:val="00EE5AA7"/>
    <w:rsid w:val="00EE5CF8"/>
    <w:rsid w:val="00EE5F8C"/>
    <w:rsid w:val="00EE5FA4"/>
    <w:rsid w:val="00EE622D"/>
    <w:rsid w:val="00EE6495"/>
    <w:rsid w:val="00EE6CC5"/>
    <w:rsid w:val="00EE712A"/>
    <w:rsid w:val="00EE721F"/>
    <w:rsid w:val="00EE75B0"/>
    <w:rsid w:val="00EE7A96"/>
    <w:rsid w:val="00EF0286"/>
    <w:rsid w:val="00EF0C55"/>
    <w:rsid w:val="00EF0C8F"/>
    <w:rsid w:val="00EF11DD"/>
    <w:rsid w:val="00EF12DE"/>
    <w:rsid w:val="00EF1659"/>
    <w:rsid w:val="00EF17A5"/>
    <w:rsid w:val="00EF1AA0"/>
    <w:rsid w:val="00EF216A"/>
    <w:rsid w:val="00EF2259"/>
    <w:rsid w:val="00EF314D"/>
    <w:rsid w:val="00EF3647"/>
    <w:rsid w:val="00EF3754"/>
    <w:rsid w:val="00EF3B98"/>
    <w:rsid w:val="00EF3DA3"/>
    <w:rsid w:val="00EF4098"/>
    <w:rsid w:val="00EF4D73"/>
    <w:rsid w:val="00EF4EFA"/>
    <w:rsid w:val="00EF52DA"/>
    <w:rsid w:val="00EF56DE"/>
    <w:rsid w:val="00EF5B67"/>
    <w:rsid w:val="00EF5F0B"/>
    <w:rsid w:val="00EF6446"/>
    <w:rsid w:val="00EF64A1"/>
    <w:rsid w:val="00EF6694"/>
    <w:rsid w:val="00EF688A"/>
    <w:rsid w:val="00EF69BA"/>
    <w:rsid w:val="00EF6EAD"/>
    <w:rsid w:val="00EF71EA"/>
    <w:rsid w:val="00EF7200"/>
    <w:rsid w:val="00EF723D"/>
    <w:rsid w:val="00EF756A"/>
    <w:rsid w:val="00EF78E2"/>
    <w:rsid w:val="00EF7B36"/>
    <w:rsid w:val="00F00497"/>
    <w:rsid w:val="00F00620"/>
    <w:rsid w:val="00F011E7"/>
    <w:rsid w:val="00F01994"/>
    <w:rsid w:val="00F019AD"/>
    <w:rsid w:val="00F01CEC"/>
    <w:rsid w:val="00F01E4E"/>
    <w:rsid w:val="00F020AE"/>
    <w:rsid w:val="00F02863"/>
    <w:rsid w:val="00F02CC0"/>
    <w:rsid w:val="00F02D41"/>
    <w:rsid w:val="00F02DF4"/>
    <w:rsid w:val="00F03404"/>
    <w:rsid w:val="00F035CC"/>
    <w:rsid w:val="00F03694"/>
    <w:rsid w:val="00F03D4F"/>
    <w:rsid w:val="00F03D85"/>
    <w:rsid w:val="00F04653"/>
    <w:rsid w:val="00F04BAF"/>
    <w:rsid w:val="00F05152"/>
    <w:rsid w:val="00F05337"/>
    <w:rsid w:val="00F05904"/>
    <w:rsid w:val="00F059D7"/>
    <w:rsid w:val="00F05CB8"/>
    <w:rsid w:val="00F06974"/>
    <w:rsid w:val="00F069C4"/>
    <w:rsid w:val="00F06A10"/>
    <w:rsid w:val="00F06A25"/>
    <w:rsid w:val="00F06D5B"/>
    <w:rsid w:val="00F06DA1"/>
    <w:rsid w:val="00F072F6"/>
    <w:rsid w:val="00F07B43"/>
    <w:rsid w:val="00F1026F"/>
    <w:rsid w:val="00F1041E"/>
    <w:rsid w:val="00F10E45"/>
    <w:rsid w:val="00F11900"/>
    <w:rsid w:val="00F1192C"/>
    <w:rsid w:val="00F119BD"/>
    <w:rsid w:val="00F11AD0"/>
    <w:rsid w:val="00F11BDF"/>
    <w:rsid w:val="00F11FA5"/>
    <w:rsid w:val="00F12211"/>
    <w:rsid w:val="00F12442"/>
    <w:rsid w:val="00F12687"/>
    <w:rsid w:val="00F1279E"/>
    <w:rsid w:val="00F12BDD"/>
    <w:rsid w:val="00F12C02"/>
    <w:rsid w:val="00F12DE0"/>
    <w:rsid w:val="00F13084"/>
    <w:rsid w:val="00F1315B"/>
    <w:rsid w:val="00F131AD"/>
    <w:rsid w:val="00F135C4"/>
    <w:rsid w:val="00F13C11"/>
    <w:rsid w:val="00F14174"/>
    <w:rsid w:val="00F143BD"/>
    <w:rsid w:val="00F1450B"/>
    <w:rsid w:val="00F146F1"/>
    <w:rsid w:val="00F148D8"/>
    <w:rsid w:val="00F14E35"/>
    <w:rsid w:val="00F14EEA"/>
    <w:rsid w:val="00F15185"/>
    <w:rsid w:val="00F15D13"/>
    <w:rsid w:val="00F16046"/>
    <w:rsid w:val="00F1645E"/>
    <w:rsid w:val="00F16FC7"/>
    <w:rsid w:val="00F1726E"/>
    <w:rsid w:val="00F17277"/>
    <w:rsid w:val="00F1745E"/>
    <w:rsid w:val="00F1758E"/>
    <w:rsid w:val="00F17958"/>
    <w:rsid w:val="00F17B4B"/>
    <w:rsid w:val="00F17C5D"/>
    <w:rsid w:val="00F209A7"/>
    <w:rsid w:val="00F20EAF"/>
    <w:rsid w:val="00F21109"/>
    <w:rsid w:val="00F211BC"/>
    <w:rsid w:val="00F21434"/>
    <w:rsid w:val="00F2166F"/>
    <w:rsid w:val="00F216B3"/>
    <w:rsid w:val="00F2187E"/>
    <w:rsid w:val="00F219E4"/>
    <w:rsid w:val="00F21C6E"/>
    <w:rsid w:val="00F21D7A"/>
    <w:rsid w:val="00F21DAC"/>
    <w:rsid w:val="00F222A7"/>
    <w:rsid w:val="00F222DF"/>
    <w:rsid w:val="00F22385"/>
    <w:rsid w:val="00F223AC"/>
    <w:rsid w:val="00F2281F"/>
    <w:rsid w:val="00F2286C"/>
    <w:rsid w:val="00F22AD5"/>
    <w:rsid w:val="00F22D77"/>
    <w:rsid w:val="00F232E7"/>
    <w:rsid w:val="00F23BE8"/>
    <w:rsid w:val="00F23C86"/>
    <w:rsid w:val="00F23CB6"/>
    <w:rsid w:val="00F23E4C"/>
    <w:rsid w:val="00F24060"/>
    <w:rsid w:val="00F2458F"/>
    <w:rsid w:val="00F24839"/>
    <w:rsid w:val="00F24A12"/>
    <w:rsid w:val="00F24BEC"/>
    <w:rsid w:val="00F24C0C"/>
    <w:rsid w:val="00F25E8A"/>
    <w:rsid w:val="00F26266"/>
    <w:rsid w:val="00F26B9E"/>
    <w:rsid w:val="00F26BF8"/>
    <w:rsid w:val="00F26F2C"/>
    <w:rsid w:val="00F27152"/>
    <w:rsid w:val="00F273F7"/>
    <w:rsid w:val="00F2752F"/>
    <w:rsid w:val="00F27537"/>
    <w:rsid w:val="00F27779"/>
    <w:rsid w:val="00F278C0"/>
    <w:rsid w:val="00F27A24"/>
    <w:rsid w:val="00F27DF6"/>
    <w:rsid w:val="00F30374"/>
    <w:rsid w:val="00F308E7"/>
    <w:rsid w:val="00F30C5F"/>
    <w:rsid w:val="00F30F5D"/>
    <w:rsid w:val="00F31412"/>
    <w:rsid w:val="00F314B4"/>
    <w:rsid w:val="00F31E1B"/>
    <w:rsid w:val="00F31E46"/>
    <w:rsid w:val="00F31F1A"/>
    <w:rsid w:val="00F32243"/>
    <w:rsid w:val="00F331BA"/>
    <w:rsid w:val="00F334B4"/>
    <w:rsid w:val="00F334F2"/>
    <w:rsid w:val="00F336F7"/>
    <w:rsid w:val="00F33701"/>
    <w:rsid w:val="00F339F3"/>
    <w:rsid w:val="00F33F38"/>
    <w:rsid w:val="00F34005"/>
    <w:rsid w:val="00F341AB"/>
    <w:rsid w:val="00F348E0"/>
    <w:rsid w:val="00F34EF8"/>
    <w:rsid w:val="00F350D4"/>
    <w:rsid w:val="00F3512E"/>
    <w:rsid w:val="00F35130"/>
    <w:rsid w:val="00F353DD"/>
    <w:rsid w:val="00F357A6"/>
    <w:rsid w:val="00F3596B"/>
    <w:rsid w:val="00F35C59"/>
    <w:rsid w:val="00F35D72"/>
    <w:rsid w:val="00F36239"/>
    <w:rsid w:val="00F364BC"/>
    <w:rsid w:val="00F365DB"/>
    <w:rsid w:val="00F36762"/>
    <w:rsid w:val="00F36F9C"/>
    <w:rsid w:val="00F372BB"/>
    <w:rsid w:val="00F3788D"/>
    <w:rsid w:val="00F37BEC"/>
    <w:rsid w:val="00F37D57"/>
    <w:rsid w:val="00F37D65"/>
    <w:rsid w:val="00F37F84"/>
    <w:rsid w:val="00F400F2"/>
    <w:rsid w:val="00F40239"/>
    <w:rsid w:val="00F40DCE"/>
    <w:rsid w:val="00F40F58"/>
    <w:rsid w:val="00F41956"/>
    <w:rsid w:val="00F422F1"/>
    <w:rsid w:val="00F42552"/>
    <w:rsid w:val="00F42709"/>
    <w:rsid w:val="00F42D28"/>
    <w:rsid w:val="00F4343E"/>
    <w:rsid w:val="00F43A82"/>
    <w:rsid w:val="00F43BA2"/>
    <w:rsid w:val="00F43BC9"/>
    <w:rsid w:val="00F43C93"/>
    <w:rsid w:val="00F43DC2"/>
    <w:rsid w:val="00F43F6C"/>
    <w:rsid w:val="00F44120"/>
    <w:rsid w:val="00F44137"/>
    <w:rsid w:val="00F44276"/>
    <w:rsid w:val="00F4457A"/>
    <w:rsid w:val="00F4501E"/>
    <w:rsid w:val="00F4512B"/>
    <w:rsid w:val="00F45308"/>
    <w:rsid w:val="00F454E9"/>
    <w:rsid w:val="00F45AEE"/>
    <w:rsid w:val="00F461FA"/>
    <w:rsid w:val="00F46365"/>
    <w:rsid w:val="00F464D5"/>
    <w:rsid w:val="00F466E8"/>
    <w:rsid w:val="00F4691A"/>
    <w:rsid w:val="00F46ACC"/>
    <w:rsid w:val="00F46BC1"/>
    <w:rsid w:val="00F47366"/>
    <w:rsid w:val="00F47398"/>
    <w:rsid w:val="00F47436"/>
    <w:rsid w:val="00F4747A"/>
    <w:rsid w:val="00F4773B"/>
    <w:rsid w:val="00F4789B"/>
    <w:rsid w:val="00F47CAB"/>
    <w:rsid w:val="00F500DA"/>
    <w:rsid w:val="00F50778"/>
    <w:rsid w:val="00F509FF"/>
    <w:rsid w:val="00F50A82"/>
    <w:rsid w:val="00F50ED8"/>
    <w:rsid w:val="00F51071"/>
    <w:rsid w:val="00F51201"/>
    <w:rsid w:val="00F515DB"/>
    <w:rsid w:val="00F51BE1"/>
    <w:rsid w:val="00F51E79"/>
    <w:rsid w:val="00F521E8"/>
    <w:rsid w:val="00F5246A"/>
    <w:rsid w:val="00F524F6"/>
    <w:rsid w:val="00F52636"/>
    <w:rsid w:val="00F52967"/>
    <w:rsid w:val="00F52E24"/>
    <w:rsid w:val="00F52F2E"/>
    <w:rsid w:val="00F53943"/>
    <w:rsid w:val="00F53F98"/>
    <w:rsid w:val="00F5497F"/>
    <w:rsid w:val="00F54A5B"/>
    <w:rsid w:val="00F55249"/>
    <w:rsid w:val="00F5543D"/>
    <w:rsid w:val="00F55482"/>
    <w:rsid w:val="00F55484"/>
    <w:rsid w:val="00F5552F"/>
    <w:rsid w:val="00F556D6"/>
    <w:rsid w:val="00F55B32"/>
    <w:rsid w:val="00F56015"/>
    <w:rsid w:val="00F560A5"/>
    <w:rsid w:val="00F5626F"/>
    <w:rsid w:val="00F56292"/>
    <w:rsid w:val="00F56E0A"/>
    <w:rsid w:val="00F56F60"/>
    <w:rsid w:val="00F56F9D"/>
    <w:rsid w:val="00F5748B"/>
    <w:rsid w:val="00F575D6"/>
    <w:rsid w:val="00F5784C"/>
    <w:rsid w:val="00F57BBE"/>
    <w:rsid w:val="00F57BC1"/>
    <w:rsid w:val="00F57D2B"/>
    <w:rsid w:val="00F57E05"/>
    <w:rsid w:val="00F57E91"/>
    <w:rsid w:val="00F57F5A"/>
    <w:rsid w:val="00F57F92"/>
    <w:rsid w:val="00F6031D"/>
    <w:rsid w:val="00F60825"/>
    <w:rsid w:val="00F60AC7"/>
    <w:rsid w:val="00F6111A"/>
    <w:rsid w:val="00F61207"/>
    <w:rsid w:val="00F612D4"/>
    <w:rsid w:val="00F61308"/>
    <w:rsid w:val="00F614BD"/>
    <w:rsid w:val="00F615A0"/>
    <w:rsid w:val="00F61A75"/>
    <w:rsid w:val="00F6248E"/>
    <w:rsid w:val="00F624BB"/>
    <w:rsid w:val="00F629FC"/>
    <w:rsid w:val="00F6318E"/>
    <w:rsid w:val="00F635F4"/>
    <w:rsid w:val="00F63693"/>
    <w:rsid w:val="00F63840"/>
    <w:rsid w:val="00F639DA"/>
    <w:rsid w:val="00F63EE3"/>
    <w:rsid w:val="00F643AB"/>
    <w:rsid w:val="00F6453A"/>
    <w:rsid w:val="00F64754"/>
    <w:rsid w:val="00F648CC"/>
    <w:rsid w:val="00F649C6"/>
    <w:rsid w:val="00F64DB6"/>
    <w:rsid w:val="00F64EB7"/>
    <w:rsid w:val="00F652B4"/>
    <w:rsid w:val="00F65803"/>
    <w:rsid w:val="00F6638E"/>
    <w:rsid w:val="00F6643C"/>
    <w:rsid w:val="00F6650D"/>
    <w:rsid w:val="00F668D0"/>
    <w:rsid w:val="00F66CDD"/>
    <w:rsid w:val="00F67051"/>
    <w:rsid w:val="00F6730F"/>
    <w:rsid w:val="00F6749B"/>
    <w:rsid w:val="00F675E2"/>
    <w:rsid w:val="00F67648"/>
    <w:rsid w:val="00F67C1E"/>
    <w:rsid w:val="00F67E2F"/>
    <w:rsid w:val="00F703D3"/>
    <w:rsid w:val="00F705E7"/>
    <w:rsid w:val="00F70654"/>
    <w:rsid w:val="00F7092E"/>
    <w:rsid w:val="00F70CD3"/>
    <w:rsid w:val="00F70D83"/>
    <w:rsid w:val="00F71040"/>
    <w:rsid w:val="00F7180E"/>
    <w:rsid w:val="00F72093"/>
    <w:rsid w:val="00F72096"/>
    <w:rsid w:val="00F720BB"/>
    <w:rsid w:val="00F72155"/>
    <w:rsid w:val="00F72692"/>
    <w:rsid w:val="00F726FD"/>
    <w:rsid w:val="00F727BF"/>
    <w:rsid w:val="00F7288C"/>
    <w:rsid w:val="00F729C7"/>
    <w:rsid w:val="00F73087"/>
    <w:rsid w:val="00F7353A"/>
    <w:rsid w:val="00F73593"/>
    <w:rsid w:val="00F738B1"/>
    <w:rsid w:val="00F74271"/>
    <w:rsid w:val="00F74310"/>
    <w:rsid w:val="00F74942"/>
    <w:rsid w:val="00F74F7E"/>
    <w:rsid w:val="00F7546D"/>
    <w:rsid w:val="00F756E8"/>
    <w:rsid w:val="00F75F31"/>
    <w:rsid w:val="00F763C4"/>
    <w:rsid w:val="00F7643F"/>
    <w:rsid w:val="00F7659E"/>
    <w:rsid w:val="00F765D0"/>
    <w:rsid w:val="00F766B6"/>
    <w:rsid w:val="00F766CB"/>
    <w:rsid w:val="00F7673A"/>
    <w:rsid w:val="00F76D81"/>
    <w:rsid w:val="00F76E6C"/>
    <w:rsid w:val="00F77198"/>
    <w:rsid w:val="00F77301"/>
    <w:rsid w:val="00F773D7"/>
    <w:rsid w:val="00F779D0"/>
    <w:rsid w:val="00F77F53"/>
    <w:rsid w:val="00F77FE8"/>
    <w:rsid w:val="00F7D758"/>
    <w:rsid w:val="00F7FEFA"/>
    <w:rsid w:val="00F8065B"/>
    <w:rsid w:val="00F80784"/>
    <w:rsid w:val="00F80CB4"/>
    <w:rsid w:val="00F81072"/>
    <w:rsid w:val="00F81087"/>
    <w:rsid w:val="00F81301"/>
    <w:rsid w:val="00F81366"/>
    <w:rsid w:val="00F8163D"/>
    <w:rsid w:val="00F8168B"/>
    <w:rsid w:val="00F81F72"/>
    <w:rsid w:val="00F82269"/>
    <w:rsid w:val="00F82697"/>
    <w:rsid w:val="00F827AD"/>
    <w:rsid w:val="00F82BF7"/>
    <w:rsid w:val="00F82E1C"/>
    <w:rsid w:val="00F831F8"/>
    <w:rsid w:val="00F8328C"/>
    <w:rsid w:val="00F8332D"/>
    <w:rsid w:val="00F834A1"/>
    <w:rsid w:val="00F839B1"/>
    <w:rsid w:val="00F83B4A"/>
    <w:rsid w:val="00F83FFB"/>
    <w:rsid w:val="00F847FC"/>
    <w:rsid w:val="00F848C0"/>
    <w:rsid w:val="00F84EB3"/>
    <w:rsid w:val="00F8512A"/>
    <w:rsid w:val="00F854E1"/>
    <w:rsid w:val="00F85579"/>
    <w:rsid w:val="00F85718"/>
    <w:rsid w:val="00F8573A"/>
    <w:rsid w:val="00F85762"/>
    <w:rsid w:val="00F857FB"/>
    <w:rsid w:val="00F85FC4"/>
    <w:rsid w:val="00F860A5"/>
    <w:rsid w:val="00F8656B"/>
    <w:rsid w:val="00F872B0"/>
    <w:rsid w:val="00F87303"/>
    <w:rsid w:val="00F87784"/>
    <w:rsid w:val="00F87874"/>
    <w:rsid w:val="00F879EC"/>
    <w:rsid w:val="00F87ADE"/>
    <w:rsid w:val="00F87C71"/>
    <w:rsid w:val="00F87D13"/>
    <w:rsid w:val="00F87D86"/>
    <w:rsid w:val="00F8C7D2"/>
    <w:rsid w:val="00F8E9FC"/>
    <w:rsid w:val="00F90164"/>
    <w:rsid w:val="00F905BA"/>
    <w:rsid w:val="00F909D4"/>
    <w:rsid w:val="00F90AEF"/>
    <w:rsid w:val="00F91210"/>
    <w:rsid w:val="00F91227"/>
    <w:rsid w:val="00F9179F"/>
    <w:rsid w:val="00F91A23"/>
    <w:rsid w:val="00F91C15"/>
    <w:rsid w:val="00F926FE"/>
    <w:rsid w:val="00F92BE1"/>
    <w:rsid w:val="00F92C3E"/>
    <w:rsid w:val="00F92D57"/>
    <w:rsid w:val="00F92DF7"/>
    <w:rsid w:val="00F9311C"/>
    <w:rsid w:val="00F93426"/>
    <w:rsid w:val="00F93703"/>
    <w:rsid w:val="00F93DBD"/>
    <w:rsid w:val="00F94081"/>
    <w:rsid w:val="00F943F1"/>
    <w:rsid w:val="00F94497"/>
    <w:rsid w:val="00F94D26"/>
    <w:rsid w:val="00F95404"/>
    <w:rsid w:val="00F9553A"/>
    <w:rsid w:val="00F95606"/>
    <w:rsid w:val="00F957A3"/>
    <w:rsid w:val="00F95BCE"/>
    <w:rsid w:val="00F9621A"/>
    <w:rsid w:val="00F96821"/>
    <w:rsid w:val="00F96BF3"/>
    <w:rsid w:val="00F96E67"/>
    <w:rsid w:val="00F96F23"/>
    <w:rsid w:val="00F97061"/>
    <w:rsid w:val="00F972B4"/>
    <w:rsid w:val="00F9749F"/>
    <w:rsid w:val="00F97545"/>
    <w:rsid w:val="00F978C0"/>
    <w:rsid w:val="00F97990"/>
    <w:rsid w:val="00F97A82"/>
    <w:rsid w:val="00FA0211"/>
    <w:rsid w:val="00FA04FC"/>
    <w:rsid w:val="00FA0A59"/>
    <w:rsid w:val="00FA0D9D"/>
    <w:rsid w:val="00FA0DB8"/>
    <w:rsid w:val="00FA11B0"/>
    <w:rsid w:val="00FA2AC6"/>
    <w:rsid w:val="00FA2B06"/>
    <w:rsid w:val="00FA30B9"/>
    <w:rsid w:val="00FA3F34"/>
    <w:rsid w:val="00FA3F36"/>
    <w:rsid w:val="00FA431A"/>
    <w:rsid w:val="00FA4462"/>
    <w:rsid w:val="00FA4700"/>
    <w:rsid w:val="00FA54E6"/>
    <w:rsid w:val="00FA566D"/>
    <w:rsid w:val="00FA5DA5"/>
    <w:rsid w:val="00FA5E7D"/>
    <w:rsid w:val="00FA653E"/>
    <w:rsid w:val="00FA65E3"/>
    <w:rsid w:val="00FA6D82"/>
    <w:rsid w:val="00FA6ECB"/>
    <w:rsid w:val="00FA74BE"/>
    <w:rsid w:val="00FA75D7"/>
    <w:rsid w:val="00FA7E0A"/>
    <w:rsid w:val="00FA7E3E"/>
    <w:rsid w:val="00FA7ED2"/>
    <w:rsid w:val="00FB0D8A"/>
    <w:rsid w:val="00FB15A5"/>
    <w:rsid w:val="00FB1892"/>
    <w:rsid w:val="00FB1954"/>
    <w:rsid w:val="00FB1BA3"/>
    <w:rsid w:val="00FB1DF3"/>
    <w:rsid w:val="00FB24A7"/>
    <w:rsid w:val="00FB2969"/>
    <w:rsid w:val="00FB2D63"/>
    <w:rsid w:val="00FB2FB5"/>
    <w:rsid w:val="00FB34D1"/>
    <w:rsid w:val="00FB3861"/>
    <w:rsid w:val="00FB3CE7"/>
    <w:rsid w:val="00FB3E21"/>
    <w:rsid w:val="00FB4087"/>
    <w:rsid w:val="00FB413E"/>
    <w:rsid w:val="00FB4302"/>
    <w:rsid w:val="00FB4643"/>
    <w:rsid w:val="00FB4E52"/>
    <w:rsid w:val="00FB50D2"/>
    <w:rsid w:val="00FB5175"/>
    <w:rsid w:val="00FB587B"/>
    <w:rsid w:val="00FB5B7C"/>
    <w:rsid w:val="00FB5C02"/>
    <w:rsid w:val="00FB5E85"/>
    <w:rsid w:val="00FB5EF6"/>
    <w:rsid w:val="00FB66DB"/>
    <w:rsid w:val="00FB6785"/>
    <w:rsid w:val="00FB6CA8"/>
    <w:rsid w:val="00FB776D"/>
    <w:rsid w:val="00FC0044"/>
    <w:rsid w:val="00FC0069"/>
    <w:rsid w:val="00FC03E6"/>
    <w:rsid w:val="00FC0633"/>
    <w:rsid w:val="00FC08C2"/>
    <w:rsid w:val="00FC0A45"/>
    <w:rsid w:val="00FC0E00"/>
    <w:rsid w:val="00FC0F75"/>
    <w:rsid w:val="00FC12A6"/>
    <w:rsid w:val="00FC12FD"/>
    <w:rsid w:val="00FC1320"/>
    <w:rsid w:val="00FC13E4"/>
    <w:rsid w:val="00FC146E"/>
    <w:rsid w:val="00FC16AB"/>
    <w:rsid w:val="00FC1C8E"/>
    <w:rsid w:val="00FC1DAF"/>
    <w:rsid w:val="00FC1FDF"/>
    <w:rsid w:val="00FC25AB"/>
    <w:rsid w:val="00FC279D"/>
    <w:rsid w:val="00FC2939"/>
    <w:rsid w:val="00FC2AD2"/>
    <w:rsid w:val="00FC2BE7"/>
    <w:rsid w:val="00FC359F"/>
    <w:rsid w:val="00FC37AB"/>
    <w:rsid w:val="00FC3B6C"/>
    <w:rsid w:val="00FC3E57"/>
    <w:rsid w:val="00FC3E7D"/>
    <w:rsid w:val="00FC3EE1"/>
    <w:rsid w:val="00FC3F7D"/>
    <w:rsid w:val="00FC457E"/>
    <w:rsid w:val="00FC464B"/>
    <w:rsid w:val="00FC4757"/>
    <w:rsid w:val="00FC47C3"/>
    <w:rsid w:val="00FC48F2"/>
    <w:rsid w:val="00FC4BC5"/>
    <w:rsid w:val="00FC52E5"/>
    <w:rsid w:val="00FC5335"/>
    <w:rsid w:val="00FC5416"/>
    <w:rsid w:val="00FC55EC"/>
    <w:rsid w:val="00FC5A4F"/>
    <w:rsid w:val="00FC5C6C"/>
    <w:rsid w:val="00FC5FD0"/>
    <w:rsid w:val="00FC6495"/>
    <w:rsid w:val="00FC691B"/>
    <w:rsid w:val="00FC6C13"/>
    <w:rsid w:val="00FC6CBF"/>
    <w:rsid w:val="00FC6FE9"/>
    <w:rsid w:val="00FD01DC"/>
    <w:rsid w:val="00FD041A"/>
    <w:rsid w:val="00FD1114"/>
    <w:rsid w:val="00FD12A2"/>
    <w:rsid w:val="00FD149E"/>
    <w:rsid w:val="00FD1812"/>
    <w:rsid w:val="00FD1B7A"/>
    <w:rsid w:val="00FD1C6A"/>
    <w:rsid w:val="00FD1E6D"/>
    <w:rsid w:val="00FD1F4B"/>
    <w:rsid w:val="00FD20C1"/>
    <w:rsid w:val="00FD217F"/>
    <w:rsid w:val="00FD25A4"/>
    <w:rsid w:val="00FD31FA"/>
    <w:rsid w:val="00FD37F5"/>
    <w:rsid w:val="00FD4150"/>
    <w:rsid w:val="00FD4752"/>
    <w:rsid w:val="00FD4D69"/>
    <w:rsid w:val="00FD5097"/>
    <w:rsid w:val="00FD509E"/>
    <w:rsid w:val="00FD518F"/>
    <w:rsid w:val="00FD5342"/>
    <w:rsid w:val="00FD53BF"/>
    <w:rsid w:val="00FD58D7"/>
    <w:rsid w:val="00FD5AC8"/>
    <w:rsid w:val="00FD5DB7"/>
    <w:rsid w:val="00FD6269"/>
    <w:rsid w:val="00FD66D5"/>
    <w:rsid w:val="00FD6863"/>
    <w:rsid w:val="00FD6894"/>
    <w:rsid w:val="00FD6A27"/>
    <w:rsid w:val="00FD6D15"/>
    <w:rsid w:val="00FD6D6B"/>
    <w:rsid w:val="00FD6E3C"/>
    <w:rsid w:val="00FD6E6E"/>
    <w:rsid w:val="00FD6F8D"/>
    <w:rsid w:val="00FD70D8"/>
    <w:rsid w:val="00FD781F"/>
    <w:rsid w:val="00FD7B35"/>
    <w:rsid w:val="00FD7CF4"/>
    <w:rsid w:val="00FD7EB5"/>
    <w:rsid w:val="00FD7ED3"/>
    <w:rsid w:val="00FE0320"/>
    <w:rsid w:val="00FE03EE"/>
    <w:rsid w:val="00FE07D5"/>
    <w:rsid w:val="00FE110B"/>
    <w:rsid w:val="00FE12E7"/>
    <w:rsid w:val="00FE163E"/>
    <w:rsid w:val="00FE16B9"/>
    <w:rsid w:val="00FE17A6"/>
    <w:rsid w:val="00FE1847"/>
    <w:rsid w:val="00FE1D20"/>
    <w:rsid w:val="00FE1FEE"/>
    <w:rsid w:val="00FE2041"/>
    <w:rsid w:val="00FE20C6"/>
    <w:rsid w:val="00FE25F3"/>
    <w:rsid w:val="00FE2A1D"/>
    <w:rsid w:val="00FE30B5"/>
    <w:rsid w:val="00FE33D3"/>
    <w:rsid w:val="00FE34DA"/>
    <w:rsid w:val="00FE392E"/>
    <w:rsid w:val="00FE3FF1"/>
    <w:rsid w:val="00FE42D7"/>
    <w:rsid w:val="00FE438F"/>
    <w:rsid w:val="00FE43F3"/>
    <w:rsid w:val="00FE4679"/>
    <w:rsid w:val="00FE47F4"/>
    <w:rsid w:val="00FE50F1"/>
    <w:rsid w:val="00FE58EE"/>
    <w:rsid w:val="00FE59BC"/>
    <w:rsid w:val="00FE5E72"/>
    <w:rsid w:val="00FE5ED6"/>
    <w:rsid w:val="00FE64EB"/>
    <w:rsid w:val="00FE6623"/>
    <w:rsid w:val="00FE69CA"/>
    <w:rsid w:val="00FE6E7C"/>
    <w:rsid w:val="00FE73F9"/>
    <w:rsid w:val="00FE789E"/>
    <w:rsid w:val="00FF03A1"/>
    <w:rsid w:val="00FF06D3"/>
    <w:rsid w:val="00FF07AB"/>
    <w:rsid w:val="00FF0D3A"/>
    <w:rsid w:val="00FF0DBE"/>
    <w:rsid w:val="00FF10ED"/>
    <w:rsid w:val="00FF1199"/>
    <w:rsid w:val="00FF133C"/>
    <w:rsid w:val="00FF1659"/>
    <w:rsid w:val="00FF183A"/>
    <w:rsid w:val="00FF194F"/>
    <w:rsid w:val="00FF1E49"/>
    <w:rsid w:val="00FF2096"/>
    <w:rsid w:val="00FF20A7"/>
    <w:rsid w:val="00FF239B"/>
    <w:rsid w:val="00FF23CF"/>
    <w:rsid w:val="00FF2891"/>
    <w:rsid w:val="00FF2F5D"/>
    <w:rsid w:val="00FF37E3"/>
    <w:rsid w:val="00FF3DED"/>
    <w:rsid w:val="00FF3E04"/>
    <w:rsid w:val="00FF3EFF"/>
    <w:rsid w:val="00FF3F41"/>
    <w:rsid w:val="00FF417D"/>
    <w:rsid w:val="00FF4331"/>
    <w:rsid w:val="00FF53C8"/>
    <w:rsid w:val="00FF58C3"/>
    <w:rsid w:val="00FF58F0"/>
    <w:rsid w:val="00FF5B93"/>
    <w:rsid w:val="00FF62E3"/>
    <w:rsid w:val="00FF63A3"/>
    <w:rsid w:val="00FF6853"/>
    <w:rsid w:val="00FF6965"/>
    <w:rsid w:val="00FF6FB2"/>
    <w:rsid w:val="00FF77B1"/>
    <w:rsid w:val="00FF7848"/>
    <w:rsid w:val="00FF78AD"/>
    <w:rsid w:val="00FF7B64"/>
    <w:rsid w:val="00FF7C76"/>
    <w:rsid w:val="00FF7E2D"/>
    <w:rsid w:val="00FF7F66"/>
    <w:rsid w:val="01041937"/>
    <w:rsid w:val="01068A11"/>
    <w:rsid w:val="01098F20"/>
    <w:rsid w:val="0110153C"/>
    <w:rsid w:val="0111C9CB"/>
    <w:rsid w:val="01135258"/>
    <w:rsid w:val="01146FAC"/>
    <w:rsid w:val="0116438B"/>
    <w:rsid w:val="011656CF"/>
    <w:rsid w:val="0116D9CA"/>
    <w:rsid w:val="0119015C"/>
    <w:rsid w:val="01215596"/>
    <w:rsid w:val="012328AB"/>
    <w:rsid w:val="01274E6C"/>
    <w:rsid w:val="0133B63E"/>
    <w:rsid w:val="0134B173"/>
    <w:rsid w:val="01393118"/>
    <w:rsid w:val="01393F41"/>
    <w:rsid w:val="013EA342"/>
    <w:rsid w:val="013EA657"/>
    <w:rsid w:val="013F826C"/>
    <w:rsid w:val="01405648"/>
    <w:rsid w:val="0141B06B"/>
    <w:rsid w:val="0149DE50"/>
    <w:rsid w:val="014A268D"/>
    <w:rsid w:val="014AD7AB"/>
    <w:rsid w:val="014D05FE"/>
    <w:rsid w:val="01541445"/>
    <w:rsid w:val="01567A94"/>
    <w:rsid w:val="0156973B"/>
    <w:rsid w:val="01570D21"/>
    <w:rsid w:val="01586633"/>
    <w:rsid w:val="01593655"/>
    <w:rsid w:val="015CA0D5"/>
    <w:rsid w:val="0161AE5C"/>
    <w:rsid w:val="0161C094"/>
    <w:rsid w:val="016511CF"/>
    <w:rsid w:val="01677F2D"/>
    <w:rsid w:val="016FD62E"/>
    <w:rsid w:val="0177CE62"/>
    <w:rsid w:val="017AC1C6"/>
    <w:rsid w:val="017F5393"/>
    <w:rsid w:val="017FD0E5"/>
    <w:rsid w:val="0185F3E3"/>
    <w:rsid w:val="018617F5"/>
    <w:rsid w:val="01877E97"/>
    <w:rsid w:val="018799B0"/>
    <w:rsid w:val="018AF94A"/>
    <w:rsid w:val="018B1079"/>
    <w:rsid w:val="018F464F"/>
    <w:rsid w:val="0191BF25"/>
    <w:rsid w:val="0197C59B"/>
    <w:rsid w:val="01994483"/>
    <w:rsid w:val="019C6952"/>
    <w:rsid w:val="019CC21A"/>
    <w:rsid w:val="019D7167"/>
    <w:rsid w:val="019E0606"/>
    <w:rsid w:val="019FCB30"/>
    <w:rsid w:val="01A1F698"/>
    <w:rsid w:val="01A20A25"/>
    <w:rsid w:val="01A36009"/>
    <w:rsid w:val="01A8FB17"/>
    <w:rsid w:val="01B04E3E"/>
    <w:rsid w:val="01B39616"/>
    <w:rsid w:val="01B3ABFD"/>
    <w:rsid w:val="01B4E78F"/>
    <w:rsid w:val="01BD79D8"/>
    <w:rsid w:val="01C3A014"/>
    <w:rsid w:val="01C5664D"/>
    <w:rsid w:val="01C918AE"/>
    <w:rsid w:val="01CE7FF8"/>
    <w:rsid w:val="01CE930D"/>
    <w:rsid w:val="01D2DDCB"/>
    <w:rsid w:val="01D50105"/>
    <w:rsid w:val="01DE551B"/>
    <w:rsid w:val="01DF9CE0"/>
    <w:rsid w:val="01E38FB1"/>
    <w:rsid w:val="01E52953"/>
    <w:rsid w:val="01F6CE31"/>
    <w:rsid w:val="01F8010A"/>
    <w:rsid w:val="01F9FFF8"/>
    <w:rsid w:val="01FA34E7"/>
    <w:rsid w:val="01FB4078"/>
    <w:rsid w:val="01FC763E"/>
    <w:rsid w:val="01FE69EA"/>
    <w:rsid w:val="01FF4ABA"/>
    <w:rsid w:val="02065376"/>
    <w:rsid w:val="020788D8"/>
    <w:rsid w:val="0207FBBF"/>
    <w:rsid w:val="0209405A"/>
    <w:rsid w:val="020E321E"/>
    <w:rsid w:val="02189515"/>
    <w:rsid w:val="021C1C13"/>
    <w:rsid w:val="021FF1EE"/>
    <w:rsid w:val="0221D443"/>
    <w:rsid w:val="022F92E0"/>
    <w:rsid w:val="022FDE51"/>
    <w:rsid w:val="0230A595"/>
    <w:rsid w:val="02324A75"/>
    <w:rsid w:val="023D10D3"/>
    <w:rsid w:val="02410FCA"/>
    <w:rsid w:val="0244BE83"/>
    <w:rsid w:val="0244CBB3"/>
    <w:rsid w:val="0245C829"/>
    <w:rsid w:val="02492335"/>
    <w:rsid w:val="024B13B2"/>
    <w:rsid w:val="024E4C23"/>
    <w:rsid w:val="02526A70"/>
    <w:rsid w:val="025A5879"/>
    <w:rsid w:val="025AA1A5"/>
    <w:rsid w:val="025B4CB4"/>
    <w:rsid w:val="025FC4CA"/>
    <w:rsid w:val="02646408"/>
    <w:rsid w:val="0266C2D3"/>
    <w:rsid w:val="0266C447"/>
    <w:rsid w:val="026D14A4"/>
    <w:rsid w:val="0272A7FC"/>
    <w:rsid w:val="02749FD1"/>
    <w:rsid w:val="0277E50D"/>
    <w:rsid w:val="027A37CA"/>
    <w:rsid w:val="027AD9AB"/>
    <w:rsid w:val="027F52CA"/>
    <w:rsid w:val="0281F471"/>
    <w:rsid w:val="0284A58A"/>
    <w:rsid w:val="02851ACD"/>
    <w:rsid w:val="0286789D"/>
    <w:rsid w:val="02888B7C"/>
    <w:rsid w:val="0288F360"/>
    <w:rsid w:val="028A4CC2"/>
    <w:rsid w:val="028E81A2"/>
    <w:rsid w:val="028FC53E"/>
    <w:rsid w:val="02965D1A"/>
    <w:rsid w:val="0299B584"/>
    <w:rsid w:val="029A570B"/>
    <w:rsid w:val="029B404B"/>
    <w:rsid w:val="029C0AA1"/>
    <w:rsid w:val="029DF323"/>
    <w:rsid w:val="029E2078"/>
    <w:rsid w:val="029E5DA0"/>
    <w:rsid w:val="02A5D00C"/>
    <w:rsid w:val="02A83912"/>
    <w:rsid w:val="02AD7DF5"/>
    <w:rsid w:val="02AEF08D"/>
    <w:rsid w:val="02B5EE18"/>
    <w:rsid w:val="02BD9371"/>
    <w:rsid w:val="02BDA663"/>
    <w:rsid w:val="02BE51CC"/>
    <w:rsid w:val="02BF91FD"/>
    <w:rsid w:val="02C1D4B6"/>
    <w:rsid w:val="02C6DE66"/>
    <w:rsid w:val="02CA108F"/>
    <w:rsid w:val="02CA5FAC"/>
    <w:rsid w:val="02D23A74"/>
    <w:rsid w:val="02D24EB9"/>
    <w:rsid w:val="02D3B136"/>
    <w:rsid w:val="02D71378"/>
    <w:rsid w:val="02DBC7BD"/>
    <w:rsid w:val="02DC94D5"/>
    <w:rsid w:val="02EAE230"/>
    <w:rsid w:val="02EDC6D3"/>
    <w:rsid w:val="02F96689"/>
    <w:rsid w:val="02FB2F35"/>
    <w:rsid w:val="02FD985F"/>
    <w:rsid w:val="0300FAE3"/>
    <w:rsid w:val="03035A7D"/>
    <w:rsid w:val="0304D4A0"/>
    <w:rsid w:val="03055B47"/>
    <w:rsid w:val="030A8FDB"/>
    <w:rsid w:val="030A9598"/>
    <w:rsid w:val="030E4C53"/>
    <w:rsid w:val="030ECBE8"/>
    <w:rsid w:val="030F8F0D"/>
    <w:rsid w:val="03103B54"/>
    <w:rsid w:val="03103CB5"/>
    <w:rsid w:val="03108A39"/>
    <w:rsid w:val="03163B91"/>
    <w:rsid w:val="03179A89"/>
    <w:rsid w:val="0317D5A7"/>
    <w:rsid w:val="031BA146"/>
    <w:rsid w:val="031EE38D"/>
    <w:rsid w:val="03203488"/>
    <w:rsid w:val="032102F9"/>
    <w:rsid w:val="03241454"/>
    <w:rsid w:val="03264901"/>
    <w:rsid w:val="0326DCD5"/>
    <w:rsid w:val="03272BF3"/>
    <w:rsid w:val="03318BD1"/>
    <w:rsid w:val="0339C5ED"/>
    <w:rsid w:val="033B2805"/>
    <w:rsid w:val="033E1CC1"/>
    <w:rsid w:val="0342853A"/>
    <w:rsid w:val="0342BDA2"/>
    <w:rsid w:val="0344D58A"/>
    <w:rsid w:val="03483D5E"/>
    <w:rsid w:val="034A3D86"/>
    <w:rsid w:val="034EA36C"/>
    <w:rsid w:val="034ED6F1"/>
    <w:rsid w:val="0350AC86"/>
    <w:rsid w:val="03518E40"/>
    <w:rsid w:val="03569207"/>
    <w:rsid w:val="035E74A8"/>
    <w:rsid w:val="035FAA2D"/>
    <w:rsid w:val="0365004D"/>
    <w:rsid w:val="03655D2C"/>
    <w:rsid w:val="03681B30"/>
    <w:rsid w:val="0368A18B"/>
    <w:rsid w:val="036B6F80"/>
    <w:rsid w:val="036F1DC1"/>
    <w:rsid w:val="0373A680"/>
    <w:rsid w:val="0375798E"/>
    <w:rsid w:val="0375E0F8"/>
    <w:rsid w:val="037B2C4B"/>
    <w:rsid w:val="037E4FA5"/>
    <w:rsid w:val="037E9A85"/>
    <w:rsid w:val="03833C5A"/>
    <w:rsid w:val="03890979"/>
    <w:rsid w:val="038AA656"/>
    <w:rsid w:val="038ADC94"/>
    <w:rsid w:val="038BF788"/>
    <w:rsid w:val="038E3EFB"/>
    <w:rsid w:val="0390E4D8"/>
    <w:rsid w:val="0391E974"/>
    <w:rsid w:val="0393C6D3"/>
    <w:rsid w:val="0395A06A"/>
    <w:rsid w:val="039E09DE"/>
    <w:rsid w:val="039F8525"/>
    <w:rsid w:val="03A0411A"/>
    <w:rsid w:val="03A3397E"/>
    <w:rsid w:val="03A746B1"/>
    <w:rsid w:val="03A85231"/>
    <w:rsid w:val="03A88AF4"/>
    <w:rsid w:val="03A8C55D"/>
    <w:rsid w:val="03A8D5F7"/>
    <w:rsid w:val="03A95032"/>
    <w:rsid w:val="03A9940A"/>
    <w:rsid w:val="03AE3497"/>
    <w:rsid w:val="03BA3713"/>
    <w:rsid w:val="03BBAFF0"/>
    <w:rsid w:val="03BBC3FC"/>
    <w:rsid w:val="03BBD472"/>
    <w:rsid w:val="03BBD494"/>
    <w:rsid w:val="03BC2339"/>
    <w:rsid w:val="03BD67BB"/>
    <w:rsid w:val="03BDDD4A"/>
    <w:rsid w:val="03BEDF39"/>
    <w:rsid w:val="03BF2D34"/>
    <w:rsid w:val="03C00D33"/>
    <w:rsid w:val="03C0D89F"/>
    <w:rsid w:val="03C25020"/>
    <w:rsid w:val="03C634BF"/>
    <w:rsid w:val="03C6F2BD"/>
    <w:rsid w:val="03C7B296"/>
    <w:rsid w:val="03CF23BC"/>
    <w:rsid w:val="03D072FD"/>
    <w:rsid w:val="03D13EA2"/>
    <w:rsid w:val="03D41952"/>
    <w:rsid w:val="03D5A9ED"/>
    <w:rsid w:val="03DE58DC"/>
    <w:rsid w:val="03E25E0F"/>
    <w:rsid w:val="03E37122"/>
    <w:rsid w:val="03E53B30"/>
    <w:rsid w:val="03E6E991"/>
    <w:rsid w:val="03E751EC"/>
    <w:rsid w:val="03EC04CE"/>
    <w:rsid w:val="03EE067E"/>
    <w:rsid w:val="03F7DD4C"/>
    <w:rsid w:val="03FA57D5"/>
    <w:rsid w:val="03FC82A4"/>
    <w:rsid w:val="0402A6BE"/>
    <w:rsid w:val="040612E4"/>
    <w:rsid w:val="04072BCD"/>
    <w:rsid w:val="040803EA"/>
    <w:rsid w:val="04081612"/>
    <w:rsid w:val="040B757E"/>
    <w:rsid w:val="040B989A"/>
    <w:rsid w:val="040E2211"/>
    <w:rsid w:val="04113A62"/>
    <w:rsid w:val="0411743A"/>
    <w:rsid w:val="041715B8"/>
    <w:rsid w:val="0419DD7B"/>
    <w:rsid w:val="041F1562"/>
    <w:rsid w:val="041FECE9"/>
    <w:rsid w:val="0421CC01"/>
    <w:rsid w:val="04259E4C"/>
    <w:rsid w:val="042D354F"/>
    <w:rsid w:val="042D3EEF"/>
    <w:rsid w:val="042EA6EA"/>
    <w:rsid w:val="042EDD88"/>
    <w:rsid w:val="04338DA7"/>
    <w:rsid w:val="04343D4C"/>
    <w:rsid w:val="0436C6F4"/>
    <w:rsid w:val="0439D86F"/>
    <w:rsid w:val="043DC192"/>
    <w:rsid w:val="043F4BF1"/>
    <w:rsid w:val="044083BD"/>
    <w:rsid w:val="044206EC"/>
    <w:rsid w:val="044534E4"/>
    <w:rsid w:val="044771F3"/>
    <w:rsid w:val="04490454"/>
    <w:rsid w:val="044AE144"/>
    <w:rsid w:val="044B633F"/>
    <w:rsid w:val="044D250C"/>
    <w:rsid w:val="044E319C"/>
    <w:rsid w:val="044EF321"/>
    <w:rsid w:val="04548CB5"/>
    <w:rsid w:val="0456C484"/>
    <w:rsid w:val="0456EB64"/>
    <w:rsid w:val="04576193"/>
    <w:rsid w:val="0457B3EC"/>
    <w:rsid w:val="0458CAEC"/>
    <w:rsid w:val="045ACA47"/>
    <w:rsid w:val="045EFFA2"/>
    <w:rsid w:val="04617EFD"/>
    <w:rsid w:val="0463F426"/>
    <w:rsid w:val="0468B823"/>
    <w:rsid w:val="0469D975"/>
    <w:rsid w:val="0470C828"/>
    <w:rsid w:val="04716ACA"/>
    <w:rsid w:val="0476502A"/>
    <w:rsid w:val="0478DCE1"/>
    <w:rsid w:val="047A14F9"/>
    <w:rsid w:val="047B6CA1"/>
    <w:rsid w:val="047BAE63"/>
    <w:rsid w:val="047EE38F"/>
    <w:rsid w:val="047FCB3F"/>
    <w:rsid w:val="047FF3C7"/>
    <w:rsid w:val="04805A64"/>
    <w:rsid w:val="048096AE"/>
    <w:rsid w:val="0485FA0D"/>
    <w:rsid w:val="048A3897"/>
    <w:rsid w:val="048C845B"/>
    <w:rsid w:val="0495D27D"/>
    <w:rsid w:val="04966B48"/>
    <w:rsid w:val="049D2786"/>
    <w:rsid w:val="049F5C73"/>
    <w:rsid w:val="04A194DF"/>
    <w:rsid w:val="04A4DFD7"/>
    <w:rsid w:val="04AB1753"/>
    <w:rsid w:val="04AF2B1A"/>
    <w:rsid w:val="04B4C0A5"/>
    <w:rsid w:val="04B4D4F8"/>
    <w:rsid w:val="04B62AAF"/>
    <w:rsid w:val="04B95A34"/>
    <w:rsid w:val="04B9EEDD"/>
    <w:rsid w:val="04BBB308"/>
    <w:rsid w:val="04BC5021"/>
    <w:rsid w:val="04BEF479"/>
    <w:rsid w:val="04C03A6D"/>
    <w:rsid w:val="04C03C45"/>
    <w:rsid w:val="04C44546"/>
    <w:rsid w:val="04D348E8"/>
    <w:rsid w:val="04D4F22F"/>
    <w:rsid w:val="04D9623C"/>
    <w:rsid w:val="04DD73BB"/>
    <w:rsid w:val="04E18A0D"/>
    <w:rsid w:val="04E390B3"/>
    <w:rsid w:val="04E4C300"/>
    <w:rsid w:val="04E58EAD"/>
    <w:rsid w:val="04EAD5C8"/>
    <w:rsid w:val="04EB4CED"/>
    <w:rsid w:val="04EFC2C7"/>
    <w:rsid w:val="04F68062"/>
    <w:rsid w:val="04FA8D72"/>
    <w:rsid w:val="04FC3B05"/>
    <w:rsid w:val="04FEDE8A"/>
    <w:rsid w:val="05061B89"/>
    <w:rsid w:val="0507ACD7"/>
    <w:rsid w:val="0507F9A4"/>
    <w:rsid w:val="050AD881"/>
    <w:rsid w:val="050B032A"/>
    <w:rsid w:val="050E090F"/>
    <w:rsid w:val="0510841E"/>
    <w:rsid w:val="05127178"/>
    <w:rsid w:val="051EF20B"/>
    <w:rsid w:val="05219125"/>
    <w:rsid w:val="05242E6C"/>
    <w:rsid w:val="0524DA70"/>
    <w:rsid w:val="05306B31"/>
    <w:rsid w:val="0530BAC5"/>
    <w:rsid w:val="0531F8C0"/>
    <w:rsid w:val="0533672D"/>
    <w:rsid w:val="05352E7A"/>
    <w:rsid w:val="05361173"/>
    <w:rsid w:val="05361C3B"/>
    <w:rsid w:val="05374E7D"/>
    <w:rsid w:val="05385340"/>
    <w:rsid w:val="05387D56"/>
    <w:rsid w:val="053D1E7C"/>
    <w:rsid w:val="053E98A8"/>
    <w:rsid w:val="0541CF5E"/>
    <w:rsid w:val="0545D68F"/>
    <w:rsid w:val="054AAEDB"/>
    <w:rsid w:val="054C225C"/>
    <w:rsid w:val="055440A7"/>
    <w:rsid w:val="05549BB2"/>
    <w:rsid w:val="05569525"/>
    <w:rsid w:val="055ADD92"/>
    <w:rsid w:val="05611B15"/>
    <w:rsid w:val="05611FD1"/>
    <w:rsid w:val="0568C74B"/>
    <w:rsid w:val="056C6751"/>
    <w:rsid w:val="056DDA25"/>
    <w:rsid w:val="0572BF91"/>
    <w:rsid w:val="0578CB79"/>
    <w:rsid w:val="057CC8F0"/>
    <w:rsid w:val="057DC98E"/>
    <w:rsid w:val="057DE9D9"/>
    <w:rsid w:val="05806240"/>
    <w:rsid w:val="058062BC"/>
    <w:rsid w:val="05817D74"/>
    <w:rsid w:val="0585933E"/>
    <w:rsid w:val="0588AF2F"/>
    <w:rsid w:val="05894846"/>
    <w:rsid w:val="05927608"/>
    <w:rsid w:val="0592DC55"/>
    <w:rsid w:val="05957F40"/>
    <w:rsid w:val="05979CCE"/>
    <w:rsid w:val="05982D75"/>
    <w:rsid w:val="059CA1C0"/>
    <w:rsid w:val="059EB5A2"/>
    <w:rsid w:val="05A1CAB6"/>
    <w:rsid w:val="05A30EC0"/>
    <w:rsid w:val="05A642E7"/>
    <w:rsid w:val="05B626DE"/>
    <w:rsid w:val="05B658BD"/>
    <w:rsid w:val="05BB78EE"/>
    <w:rsid w:val="05C0C8C7"/>
    <w:rsid w:val="05C402A6"/>
    <w:rsid w:val="05C41407"/>
    <w:rsid w:val="05C725F9"/>
    <w:rsid w:val="05C93C0B"/>
    <w:rsid w:val="05CA2B5B"/>
    <w:rsid w:val="05CA7DB3"/>
    <w:rsid w:val="05CF2B68"/>
    <w:rsid w:val="05CF736A"/>
    <w:rsid w:val="05D01E74"/>
    <w:rsid w:val="05D590F7"/>
    <w:rsid w:val="05D5C381"/>
    <w:rsid w:val="05DECA7E"/>
    <w:rsid w:val="05E4D4A6"/>
    <w:rsid w:val="05E9C9E6"/>
    <w:rsid w:val="05EBD749"/>
    <w:rsid w:val="05ED3D55"/>
    <w:rsid w:val="05EFD7F5"/>
    <w:rsid w:val="05F49EF0"/>
    <w:rsid w:val="05F58308"/>
    <w:rsid w:val="05F8C80F"/>
    <w:rsid w:val="0602CE0C"/>
    <w:rsid w:val="060BDDFE"/>
    <w:rsid w:val="061000B1"/>
    <w:rsid w:val="06170AC4"/>
    <w:rsid w:val="06191330"/>
    <w:rsid w:val="06213363"/>
    <w:rsid w:val="06246CCA"/>
    <w:rsid w:val="062722A0"/>
    <w:rsid w:val="062F79A1"/>
    <w:rsid w:val="06348542"/>
    <w:rsid w:val="063712BF"/>
    <w:rsid w:val="063E05C7"/>
    <w:rsid w:val="064139C6"/>
    <w:rsid w:val="06459B8E"/>
    <w:rsid w:val="0649C869"/>
    <w:rsid w:val="064C9C9A"/>
    <w:rsid w:val="06540F7B"/>
    <w:rsid w:val="065561A3"/>
    <w:rsid w:val="06588984"/>
    <w:rsid w:val="065F537B"/>
    <w:rsid w:val="06600F37"/>
    <w:rsid w:val="06606E28"/>
    <w:rsid w:val="06613051"/>
    <w:rsid w:val="06695BB6"/>
    <w:rsid w:val="066A8206"/>
    <w:rsid w:val="0670476D"/>
    <w:rsid w:val="0671B673"/>
    <w:rsid w:val="06744246"/>
    <w:rsid w:val="067876D1"/>
    <w:rsid w:val="067B41AA"/>
    <w:rsid w:val="067BE833"/>
    <w:rsid w:val="067C6C3A"/>
    <w:rsid w:val="067D6BC1"/>
    <w:rsid w:val="067E7E9E"/>
    <w:rsid w:val="068055D7"/>
    <w:rsid w:val="06823970"/>
    <w:rsid w:val="068368FC"/>
    <w:rsid w:val="068458C2"/>
    <w:rsid w:val="068AB4B8"/>
    <w:rsid w:val="068DBB4C"/>
    <w:rsid w:val="068DE9A1"/>
    <w:rsid w:val="0691ADEB"/>
    <w:rsid w:val="0697AB7D"/>
    <w:rsid w:val="0697E0D6"/>
    <w:rsid w:val="0698D770"/>
    <w:rsid w:val="069C2369"/>
    <w:rsid w:val="069E3AC0"/>
    <w:rsid w:val="069EB214"/>
    <w:rsid w:val="06A002E0"/>
    <w:rsid w:val="06A222A6"/>
    <w:rsid w:val="06A35B93"/>
    <w:rsid w:val="06A53B61"/>
    <w:rsid w:val="06A6D38B"/>
    <w:rsid w:val="06AB3792"/>
    <w:rsid w:val="06B008B4"/>
    <w:rsid w:val="06B0FA13"/>
    <w:rsid w:val="06B6237A"/>
    <w:rsid w:val="06B9A19C"/>
    <w:rsid w:val="06BAD966"/>
    <w:rsid w:val="06BBF407"/>
    <w:rsid w:val="06BCE369"/>
    <w:rsid w:val="06BE5885"/>
    <w:rsid w:val="06BEE6C2"/>
    <w:rsid w:val="06BFCBC1"/>
    <w:rsid w:val="06C07EB4"/>
    <w:rsid w:val="06C20727"/>
    <w:rsid w:val="06C21D08"/>
    <w:rsid w:val="06C45368"/>
    <w:rsid w:val="06C4BC80"/>
    <w:rsid w:val="06C4FBF4"/>
    <w:rsid w:val="06C604DF"/>
    <w:rsid w:val="06CA5CEE"/>
    <w:rsid w:val="06CF9A59"/>
    <w:rsid w:val="06CFE435"/>
    <w:rsid w:val="06D8A75E"/>
    <w:rsid w:val="06DA833C"/>
    <w:rsid w:val="06DC3B13"/>
    <w:rsid w:val="06DCB17D"/>
    <w:rsid w:val="06DCE638"/>
    <w:rsid w:val="06DCFB99"/>
    <w:rsid w:val="06DD9554"/>
    <w:rsid w:val="06E05140"/>
    <w:rsid w:val="06E23601"/>
    <w:rsid w:val="06E4DC8F"/>
    <w:rsid w:val="06E8380D"/>
    <w:rsid w:val="06EB6D11"/>
    <w:rsid w:val="06EC5FD7"/>
    <w:rsid w:val="06EE4E45"/>
    <w:rsid w:val="06EE6309"/>
    <w:rsid w:val="06F1EC80"/>
    <w:rsid w:val="06F5AD28"/>
    <w:rsid w:val="06F5E77D"/>
    <w:rsid w:val="06F81DAE"/>
    <w:rsid w:val="06FECABF"/>
    <w:rsid w:val="0708DECB"/>
    <w:rsid w:val="070C75EB"/>
    <w:rsid w:val="070CAE82"/>
    <w:rsid w:val="070EFC80"/>
    <w:rsid w:val="07138020"/>
    <w:rsid w:val="0716555A"/>
    <w:rsid w:val="071826B0"/>
    <w:rsid w:val="071EFC56"/>
    <w:rsid w:val="07212884"/>
    <w:rsid w:val="0721E1D5"/>
    <w:rsid w:val="0721EF1B"/>
    <w:rsid w:val="072B31BC"/>
    <w:rsid w:val="0731189E"/>
    <w:rsid w:val="0735B47F"/>
    <w:rsid w:val="0737211B"/>
    <w:rsid w:val="073A6423"/>
    <w:rsid w:val="073AF00B"/>
    <w:rsid w:val="0740F309"/>
    <w:rsid w:val="0741AC8D"/>
    <w:rsid w:val="0745CBF9"/>
    <w:rsid w:val="0749AD07"/>
    <w:rsid w:val="074AE126"/>
    <w:rsid w:val="074B4BEF"/>
    <w:rsid w:val="074C7783"/>
    <w:rsid w:val="074CE85F"/>
    <w:rsid w:val="074E6894"/>
    <w:rsid w:val="07510C38"/>
    <w:rsid w:val="07551142"/>
    <w:rsid w:val="0759D810"/>
    <w:rsid w:val="075AECBC"/>
    <w:rsid w:val="075C11CD"/>
    <w:rsid w:val="075C1324"/>
    <w:rsid w:val="075F6A10"/>
    <w:rsid w:val="0761EC7D"/>
    <w:rsid w:val="07620D31"/>
    <w:rsid w:val="076518EE"/>
    <w:rsid w:val="076BD079"/>
    <w:rsid w:val="076D52CC"/>
    <w:rsid w:val="07701CCA"/>
    <w:rsid w:val="0774666D"/>
    <w:rsid w:val="07793075"/>
    <w:rsid w:val="07795474"/>
    <w:rsid w:val="077A3B26"/>
    <w:rsid w:val="077A7102"/>
    <w:rsid w:val="077C4667"/>
    <w:rsid w:val="077F12B5"/>
    <w:rsid w:val="077FBA4C"/>
    <w:rsid w:val="07820A89"/>
    <w:rsid w:val="0783EA37"/>
    <w:rsid w:val="07865CAC"/>
    <w:rsid w:val="0788C0EC"/>
    <w:rsid w:val="078B7231"/>
    <w:rsid w:val="078D5CB0"/>
    <w:rsid w:val="078DCF5E"/>
    <w:rsid w:val="079110E7"/>
    <w:rsid w:val="0792B061"/>
    <w:rsid w:val="0796E448"/>
    <w:rsid w:val="0796F2D1"/>
    <w:rsid w:val="0798A983"/>
    <w:rsid w:val="0798B28E"/>
    <w:rsid w:val="079A6192"/>
    <w:rsid w:val="079CFE6D"/>
    <w:rsid w:val="079D8C21"/>
    <w:rsid w:val="07A00BD2"/>
    <w:rsid w:val="07A06D91"/>
    <w:rsid w:val="07A2BA7B"/>
    <w:rsid w:val="07A6C25D"/>
    <w:rsid w:val="07A8AE2A"/>
    <w:rsid w:val="07AB6AE0"/>
    <w:rsid w:val="07B325E2"/>
    <w:rsid w:val="07B4108B"/>
    <w:rsid w:val="07BF8A03"/>
    <w:rsid w:val="07C14949"/>
    <w:rsid w:val="07C578F8"/>
    <w:rsid w:val="07CE00BE"/>
    <w:rsid w:val="07D0D79B"/>
    <w:rsid w:val="07D2F8A6"/>
    <w:rsid w:val="07D40F5C"/>
    <w:rsid w:val="07D4A616"/>
    <w:rsid w:val="07D6D701"/>
    <w:rsid w:val="07DC0823"/>
    <w:rsid w:val="07DEF6F6"/>
    <w:rsid w:val="07E3DE46"/>
    <w:rsid w:val="07EA05FE"/>
    <w:rsid w:val="07F9A1B1"/>
    <w:rsid w:val="07FFB39A"/>
    <w:rsid w:val="08004882"/>
    <w:rsid w:val="0802C982"/>
    <w:rsid w:val="08044DC3"/>
    <w:rsid w:val="0806F534"/>
    <w:rsid w:val="08086432"/>
    <w:rsid w:val="0815B386"/>
    <w:rsid w:val="0816ACAE"/>
    <w:rsid w:val="0818A8C9"/>
    <w:rsid w:val="08193F91"/>
    <w:rsid w:val="081B5088"/>
    <w:rsid w:val="081E8938"/>
    <w:rsid w:val="081F4F52"/>
    <w:rsid w:val="081F89B7"/>
    <w:rsid w:val="0820D522"/>
    <w:rsid w:val="0821628D"/>
    <w:rsid w:val="0822A278"/>
    <w:rsid w:val="082339B9"/>
    <w:rsid w:val="08256310"/>
    <w:rsid w:val="0827CDFF"/>
    <w:rsid w:val="082C599F"/>
    <w:rsid w:val="083372AB"/>
    <w:rsid w:val="083896AE"/>
    <w:rsid w:val="0839A8D8"/>
    <w:rsid w:val="083D7D7C"/>
    <w:rsid w:val="083DA195"/>
    <w:rsid w:val="08423D2A"/>
    <w:rsid w:val="08444125"/>
    <w:rsid w:val="084C4115"/>
    <w:rsid w:val="0854073B"/>
    <w:rsid w:val="08541A88"/>
    <w:rsid w:val="0854967A"/>
    <w:rsid w:val="085657F2"/>
    <w:rsid w:val="085CCE17"/>
    <w:rsid w:val="08605E11"/>
    <w:rsid w:val="08607C6E"/>
    <w:rsid w:val="08695065"/>
    <w:rsid w:val="086D210C"/>
    <w:rsid w:val="086D6D69"/>
    <w:rsid w:val="08707946"/>
    <w:rsid w:val="0870BE26"/>
    <w:rsid w:val="08722291"/>
    <w:rsid w:val="08722471"/>
    <w:rsid w:val="0872AF2A"/>
    <w:rsid w:val="08748FAE"/>
    <w:rsid w:val="08765256"/>
    <w:rsid w:val="087C027C"/>
    <w:rsid w:val="0882497D"/>
    <w:rsid w:val="088ACFF2"/>
    <w:rsid w:val="088BA396"/>
    <w:rsid w:val="088C33D7"/>
    <w:rsid w:val="088C973E"/>
    <w:rsid w:val="088CAA6A"/>
    <w:rsid w:val="088CDF6A"/>
    <w:rsid w:val="0894CCF0"/>
    <w:rsid w:val="0895D4E3"/>
    <w:rsid w:val="08968722"/>
    <w:rsid w:val="089B5C18"/>
    <w:rsid w:val="089D3F56"/>
    <w:rsid w:val="08A20558"/>
    <w:rsid w:val="08A2EB92"/>
    <w:rsid w:val="08A53B89"/>
    <w:rsid w:val="08A93570"/>
    <w:rsid w:val="08A97B49"/>
    <w:rsid w:val="08AAE63D"/>
    <w:rsid w:val="08AD50E6"/>
    <w:rsid w:val="08AE49F6"/>
    <w:rsid w:val="08B17D9C"/>
    <w:rsid w:val="08B202CD"/>
    <w:rsid w:val="08B235CC"/>
    <w:rsid w:val="08B5205E"/>
    <w:rsid w:val="08B7751E"/>
    <w:rsid w:val="08BBEC72"/>
    <w:rsid w:val="08C0A965"/>
    <w:rsid w:val="08C34A70"/>
    <w:rsid w:val="08C3FAB9"/>
    <w:rsid w:val="08C4CC39"/>
    <w:rsid w:val="08CD4783"/>
    <w:rsid w:val="08D0D116"/>
    <w:rsid w:val="08D184E0"/>
    <w:rsid w:val="08D22765"/>
    <w:rsid w:val="08D2A4E0"/>
    <w:rsid w:val="08D64781"/>
    <w:rsid w:val="08D6A41F"/>
    <w:rsid w:val="08DB15B5"/>
    <w:rsid w:val="08DB3F83"/>
    <w:rsid w:val="08DC28C6"/>
    <w:rsid w:val="08DD609E"/>
    <w:rsid w:val="08DE8D67"/>
    <w:rsid w:val="08DF7D72"/>
    <w:rsid w:val="08E1F7AA"/>
    <w:rsid w:val="08E3903E"/>
    <w:rsid w:val="08E4A609"/>
    <w:rsid w:val="08E52863"/>
    <w:rsid w:val="08E77CC3"/>
    <w:rsid w:val="08E7AFC9"/>
    <w:rsid w:val="08E82DC8"/>
    <w:rsid w:val="08EC328B"/>
    <w:rsid w:val="08ED1B4B"/>
    <w:rsid w:val="08F13F8D"/>
    <w:rsid w:val="08F17500"/>
    <w:rsid w:val="08F32B50"/>
    <w:rsid w:val="08F916B7"/>
    <w:rsid w:val="08FE632C"/>
    <w:rsid w:val="08FEAA3F"/>
    <w:rsid w:val="09001CB2"/>
    <w:rsid w:val="0901592F"/>
    <w:rsid w:val="09036762"/>
    <w:rsid w:val="09089390"/>
    <w:rsid w:val="090BBB60"/>
    <w:rsid w:val="0910F838"/>
    <w:rsid w:val="091258D2"/>
    <w:rsid w:val="0912D478"/>
    <w:rsid w:val="0914DFE2"/>
    <w:rsid w:val="091B004C"/>
    <w:rsid w:val="091BAB24"/>
    <w:rsid w:val="091D75A5"/>
    <w:rsid w:val="0921D31F"/>
    <w:rsid w:val="0922A577"/>
    <w:rsid w:val="092E44B1"/>
    <w:rsid w:val="092EBFB8"/>
    <w:rsid w:val="09300C3A"/>
    <w:rsid w:val="09354B9E"/>
    <w:rsid w:val="09371A45"/>
    <w:rsid w:val="09386143"/>
    <w:rsid w:val="0939FC0F"/>
    <w:rsid w:val="093B0F1F"/>
    <w:rsid w:val="093DD261"/>
    <w:rsid w:val="09423C29"/>
    <w:rsid w:val="0946FC29"/>
    <w:rsid w:val="0946FF60"/>
    <w:rsid w:val="094A772D"/>
    <w:rsid w:val="094D93ED"/>
    <w:rsid w:val="094DD541"/>
    <w:rsid w:val="09528B3D"/>
    <w:rsid w:val="0955CE73"/>
    <w:rsid w:val="09582CCF"/>
    <w:rsid w:val="0960E11B"/>
    <w:rsid w:val="09612D8B"/>
    <w:rsid w:val="09618A88"/>
    <w:rsid w:val="096302F5"/>
    <w:rsid w:val="096795F7"/>
    <w:rsid w:val="096DFCAC"/>
    <w:rsid w:val="097066D6"/>
    <w:rsid w:val="0970B642"/>
    <w:rsid w:val="09745AE1"/>
    <w:rsid w:val="097560A5"/>
    <w:rsid w:val="0978E316"/>
    <w:rsid w:val="097AC286"/>
    <w:rsid w:val="097B8DDB"/>
    <w:rsid w:val="097BF0B3"/>
    <w:rsid w:val="097C64AE"/>
    <w:rsid w:val="097D551E"/>
    <w:rsid w:val="097D8B9A"/>
    <w:rsid w:val="097E731E"/>
    <w:rsid w:val="0980B481"/>
    <w:rsid w:val="09832F7B"/>
    <w:rsid w:val="09862D01"/>
    <w:rsid w:val="0992BAAB"/>
    <w:rsid w:val="099A6F4B"/>
    <w:rsid w:val="099BC5E2"/>
    <w:rsid w:val="099DAE5A"/>
    <w:rsid w:val="099F738D"/>
    <w:rsid w:val="09A180B3"/>
    <w:rsid w:val="09A87828"/>
    <w:rsid w:val="09A99F15"/>
    <w:rsid w:val="09AA227C"/>
    <w:rsid w:val="09AADD15"/>
    <w:rsid w:val="09B12191"/>
    <w:rsid w:val="09B3F6E7"/>
    <w:rsid w:val="09B40A69"/>
    <w:rsid w:val="09B4DED7"/>
    <w:rsid w:val="09B55096"/>
    <w:rsid w:val="09B6FDD3"/>
    <w:rsid w:val="09BA9851"/>
    <w:rsid w:val="09BBCC05"/>
    <w:rsid w:val="09BCAFA7"/>
    <w:rsid w:val="09C045D6"/>
    <w:rsid w:val="09C1ED64"/>
    <w:rsid w:val="09CA11D9"/>
    <w:rsid w:val="09CBE842"/>
    <w:rsid w:val="09CD33A9"/>
    <w:rsid w:val="09CF0C08"/>
    <w:rsid w:val="09D33B1C"/>
    <w:rsid w:val="09D344CB"/>
    <w:rsid w:val="09D90154"/>
    <w:rsid w:val="09DA56AC"/>
    <w:rsid w:val="09DED494"/>
    <w:rsid w:val="09DFD060"/>
    <w:rsid w:val="09E1648E"/>
    <w:rsid w:val="09E29F9B"/>
    <w:rsid w:val="09E79BF0"/>
    <w:rsid w:val="09EA6621"/>
    <w:rsid w:val="09EF2328"/>
    <w:rsid w:val="09EF25E6"/>
    <w:rsid w:val="09F267A3"/>
    <w:rsid w:val="09F7AAF1"/>
    <w:rsid w:val="09F814B1"/>
    <w:rsid w:val="09F9846C"/>
    <w:rsid w:val="09FA7312"/>
    <w:rsid w:val="09FC4CCF"/>
    <w:rsid w:val="09FCFD47"/>
    <w:rsid w:val="0A0025D4"/>
    <w:rsid w:val="0A014668"/>
    <w:rsid w:val="0A04A9A0"/>
    <w:rsid w:val="0A08A49E"/>
    <w:rsid w:val="0A0CBB9C"/>
    <w:rsid w:val="0A13E71D"/>
    <w:rsid w:val="0A1859F2"/>
    <w:rsid w:val="0A1AD75F"/>
    <w:rsid w:val="0A1B10C1"/>
    <w:rsid w:val="0A1B49C5"/>
    <w:rsid w:val="0A203261"/>
    <w:rsid w:val="0A2144A4"/>
    <w:rsid w:val="0A24939D"/>
    <w:rsid w:val="0A24DCA0"/>
    <w:rsid w:val="0A263E87"/>
    <w:rsid w:val="0A2FAE9D"/>
    <w:rsid w:val="0A307614"/>
    <w:rsid w:val="0A30DABA"/>
    <w:rsid w:val="0A3240C0"/>
    <w:rsid w:val="0A337508"/>
    <w:rsid w:val="0A34E0F9"/>
    <w:rsid w:val="0A38410F"/>
    <w:rsid w:val="0A39FCC8"/>
    <w:rsid w:val="0A3B072A"/>
    <w:rsid w:val="0A3CC7F3"/>
    <w:rsid w:val="0A3D0D85"/>
    <w:rsid w:val="0A413BF4"/>
    <w:rsid w:val="0A41C938"/>
    <w:rsid w:val="0A446C14"/>
    <w:rsid w:val="0A4498B4"/>
    <w:rsid w:val="0A449C37"/>
    <w:rsid w:val="0A47D29B"/>
    <w:rsid w:val="0A4D4E64"/>
    <w:rsid w:val="0A4F2F79"/>
    <w:rsid w:val="0A5C029D"/>
    <w:rsid w:val="0A5F03BA"/>
    <w:rsid w:val="0A5FC759"/>
    <w:rsid w:val="0A62E312"/>
    <w:rsid w:val="0A658BD4"/>
    <w:rsid w:val="0A670EAF"/>
    <w:rsid w:val="0A68708F"/>
    <w:rsid w:val="0A69836D"/>
    <w:rsid w:val="0A6B30A2"/>
    <w:rsid w:val="0A6EDA86"/>
    <w:rsid w:val="0A712C97"/>
    <w:rsid w:val="0A7182CF"/>
    <w:rsid w:val="0A74D928"/>
    <w:rsid w:val="0A759B16"/>
    <w:rsid w:val="0A75F8FF"/>
    <w:rsid w:val="0A795664"/>
    <w:rsid w:val="0A7A23B9"/>
    <w:rsid w:val="0A7E7405"/>
    <w:rsid w:val="0A80561B"/>
    <w:rsid w:val="0A82ECB1"/>
    <w:rsid w:val="0A87E95B"/>
    <w:rsid w:val="0A8F050D"/>
    <w:rsid w:val="0A933DD5"/>
    <w:rsid w:val="0A93AC57"/>
    <w:rsid w:val="0A93B063"/>
    <w:rsid w:val="0A945C6F"/>
    <w:rsid w:val="0A94C940"/>
    <w:rsid w:val="0A9A1517"/>
    <w:rsid w:val="0A9AF35F"/>
    <w:rsid w:val="0AA05A86"/>
    <w:rsid w:val="0AA12E75"/>
    <w:rsid w:val="0AA45663"/>
    <w:rsid w:val="0AA4756A"/>
    <w:rsid w:val="0AA5BA52"/>
    <w:rsid w:val="0AA61DAB"/>
    <w:rsid w:val="0AA7EFF8"/>
    <w:rsid w:val="0AACD8A7"/>
    <w:rsid w:val="0AAEDD6D"/>
    <w:rsid w:val="0AB0E422"/>
    <w:rsid w:val="0AB24EB8"/>
    <w:rsid w:val="0AB2B84D"/>
    <w:rsid w:val="0AB33CDD"/>
    <w:rsid w:val="0AB94548"/>
    <w:rsid w:val="0AB9A69E"/>
    <w:rsid w:val="0ABA5FBB"/>
    <w:rsid w:val="0ABCB979"/>
    <w:rsid w:val="0ABFD81D"/>
    <w:rsid w:val="0AC1C14D"/>
    <w:rsid w:val="0AC57020"/>
    <w:rsid w:val="0AC6BBF3"/>
    <w:rsid w:val="0AC7AF49"/>
    <w:rsid w:val="0ACA6227"/>
    <w:rsid w:val="0ACD1C61"/>
    <w:rsid w:val="0ACDD16B"/>
    <w:rsid w:val="0ACE07BB"/>
    <w:rsid w:val="0ACE5427"/>
    <w:rsid w:val="0ACF1BB5"/>
    <w:rsid w:val="0AD06027"/>
    <w:rsid w:val="0AD12D73"/>
    <w:rsid w:val="0ADF6001"/>
    <w:rsid w:val="0AE14E77"/>
    <w:rsid w:val="0AE5813B"/>
    <w:rsid w:val="0AE611C7"/>
    <w:rsid w:val="0AE8F812"/>
    <w:rsid w:val="0AEFFB3A"/>
    <w:rsid w:val="0AF00150"/>
    <w:rsid w:val="0AF8923D"/>
    <w:rsid w:val="0AFC0AEB"/>
    <w:rsid w:val="0AFF9C42"/>
    <w:rsid w:val="0B02059C"/>
    <w:rsid w:val="0B059639"/>
    <w:rsid w:val="0B075ECF"/>
    <w:rsid w:val="0B07749D"/>
    <w:rsid w:val="0B0BCBDC"/>
    <w:rsid w:val="0B0BCE8A"/>
    <w:rsid w:val="0B10625D"/>
    <w:rsid w:val="0B115A49"/>
    <w:rsid w:val="0B116CEC"/>
    <w:rsid w:val="0B12DC37"/>
    <w:rsid w:val="0B14DAF8"/>
    <w:rsid w:val="0B19E108"/>
    <w:rsid w:val="0B1F9B0B"/>
    <w:rsid w:val="0B27978E"/>
    <w:rsid w:val="0B2880B6"/>
    <w:rsid w:val="0B2CF5EE"/>
    <w:rsid w:val="0B2E8B0C"/>
    <w:rsid w:val="0B36B500"/>
    <w:rsid w:val="0B38012B"/>
    <w:rsid w:val="0B381E72"/>
    <w:rsid w:val="0B3832E1"/>
    <w:rsid w:val="0B38E62A"/>
    <w:rsid w:val="0B3BDC9D"/>
    <w:rsid w:val="0B4778A1"/>
    <w:rsid w:val="0B49B61D"/>
    <w:rsid w:val="0B4D8AB3"/>
    <w:rsid w:val="0B4F4464"/>
    <w:rsid w:val="0B5191B5"/>
    <w:rsid w:val="0B52B3EF"/>
    <w:rsid w:val="0B540377"/>
    <w:rsid w:val="0B55B062"/>
    <w:rsid w:val="0B5812CD"/>
    <w:rsid w:val="0B586D8D"/>
    <w:rsid w:val="0B59C63E"/>
    <w:rsid w:val="0B5B674E"/>
    <w:rsid w:val="0B5B7189"/>
    <w:rsid w:val="0B5DDDD8"/>
    <w:rsid w:val="0B6711DF"/>
    <w:rsid w:val="0B6B4573"/>
    <w:rsid w:val="0B6CEB18"/>
    <w:rsid w:val="0B6E8A0E"/>
    <w:rsid w:val="0B739C7B"/>
    <w:rsid w:val="0B75158F"/>
    <w:rsid w:val="0B82B0C2"/>
    <w:rsid w:val="0B83EC0E"/>
    <w:rsid w:val="0B843D98"/>
    <w:rsid w:val="0B851505"/>
    <w:rsid w:val="0B86E8A5"/>
    <w:rsid w:val="0B8ADDC5"/>
    <w:rsid w:val="0B8C807E"/>
    <w:rsid w:val="0B9373DC"/>
    <w:rsid w:val="0B96D0EA"/>
    <w:rsid w:val="0B97DA38"/>
    <w:rsid w:val="0B9D43E7"/>
    <w:rsid w:val="0B9F04C6"/>
    <w:rsid w:val="0BA036B0"/>
    <w:rsid w:val="0BA1539B"/>
    <w:rsid w:val="0BA90840"/>
    <w:rsid w:val="0BAA0AB5"/>
    <w:rsid w:val="0BAA3D16"/>
    <w:rsid w:val="0BAFB77E"/>
    <w:rsid w:val="0BB081AB"/>
    <w:rsid w:val="0BB37777"/>
    <w:rsid w:val="0BB8B28C"/>
    <w:rsid w:val="0BBD1AF1"/>
    <w:rsid w:val="0BC15774"/>
    <w:rsid w:val="0BC21375"/>
    <w:rsid w:val="0BC4378C"/>
    <w:rsid w:val="0BC71ECB"/>
    <w:rsid w:val="0BC7C45C"/>
    <w:rsid w:val="0BCA1101"/>
    <w:rsid w:val="0BDB3DE7"/>
    <w:rsid w:val="0BDB5E86"/>
    <w:rsid w:val="0BDE9013"/>
    <w:rsid w:val="0BDF67D7"/>
    <w:rsid w:val="0BE002CE"/>
    <w:rsid w:val="0BE1ADC9"/>
    <w:rsid w:val="0BE4AC33"/>
    <w:rsid w:val="0BE56B81"/>
    <w:rsid w:val="0BE65949"/>
    <w:rsid w:val="0BEB7580"/>
    <w:rsid w:val="0BEB7DDF"/>
    <w:rsid w:val="0BF25CE2"/>
    <w:rsid w:val="0BFAFFE5"/>
    <w:rsid w:val="0BFB037F"/>
    <w:rsid w:val="0BFF0DDB"/>
    <w:rsid w:val="0BFFCFBB"/>
    <w:rsid w:val="0BFFFEB0"/>
    <w:rsid w:val="0C00CB96"/>
    <w:rsid w:val="0C00D8D8"/>
    <w:rsid w:val="0C0557A8"/>
    <w:rsid w:val="0C055AC9"/>
    <w:rsid w:val="0C0597F4"/>
    <w:rsid w:val="0C07196A"/>
    <w:rsid w:val="0C07F94D"/>
    <w:rsid w:val="0C0B7AA9"/>
    <w:rsid w:val="0C0F6E3C"/>
    <w:rsid w:val="0C0F6FE1"/>
    <w:rsid w:val="0C14E063"/>
    <w:rsid w:val="0C16D087"/>
    <w:rsid w:val="0C18CEB4"/>
    <w:rsid w:val="0C192AE7"/>
    <w:rsid w:val="0C1A1C7E"/>
    <w:rsid w:val="0C20374B"/>
    <w:rsid w:val="0C23BEF0"/>
    <w:rsid w:val="0C257F3F"/>
    <w:rsid w:val="0C2694DB"/>
    <w:rsid w:val="0C277124"/>
    <w:rsid w:val="0C2879CE"/>
    <w:rsid w:val="0C2A8300"/>
    <w:rsid w:val="0C341254"/>
    <w:rsid w:val="0C3A5CE3"/>
    <w:rsid w:val="0C3BB5FF"/>
    <w:rsid w:val="0C3C7E99"/>
    <w:rsid w:val="0C457EE5"/>
    <w:rsid w:val="0C468DEE"/>
    <w:rsid w:val="0C482D14"/>
    <w:rsid w:val="0C526971"/>
    <w:rsid w:val="0C5283D8"/>
    <w:rsid w:val="0C551F40"/>
    <w:rsid w:val="0C55B756"/>
    <w:rsid w:val="0C5B52DC"/>
    <w:rsid w:val="0C5BFE31"/>
    <w:rsid w:val="0C5D8C43"/>
    <w:rsid w:val="0C5DFFB3"/>
    <w:rsid w:val="0C622871"/>
    <w:rsid w:val="0C650C8D"/>
    <w:rsid w:val="0C7259D8"/>
    <w:rsid w:val="0C72E044"/>
    <w:rsid w:val="0C759B29"/>
    <w:rsid w:val="0C763A3E"/>
    <w:rsid w:val="0C8317E0"/>
    <w:rsid w:val="0C88B148"/>
    <w:rsid w:val="0C8C7770"/>
    <w:rsid w:val="0C914521"/>
    <w:rsid w:val="0C92D33B"/>
    <w:rsid w:val="0C958D04"/>
    <w:rsid w:val="0C9C8E8F"/>
    <w:rsid w:val="0CA04B23"/>
    <w:rsid w:val="0CA2DCE9"/>
    <w:rsid w:val="0CA34427"/>
    <w:rsid w:val="0CA57A29"/>
    <w:rsid w:val="0CA8B776"/>
    <w:rsid w:val="0CAA3904"/>
    <w:rsid w:val="0CAD0356"/>
    <w:rsid w:val="0CB944DA"/>
    <w:rsid w:val="0CBB711C"/>
    <w:rsid w:val="0CBB76D9"/>
    <w:rsid w:val="0CBDC6D5"/>
    <w:rsid w:val="0CC22A50"/>
    <w:rsid w:val="0CC2A011"/>
    <w:rsid w:val="0CC3433D"/>
    <w:rsid w:val="0CC479CB"/>
    <w:rsid w:val="0CC55C68"/>
    <w:rsid w:val="0CC6A59B"/>
    <w:rsid w:val="0CC97381"/>
    <w:rsid w:val="0CCA58D0"/>
    <w:rsid w:val="0CCDB387"/>
    <w:rsid w:val="0CD53894"/>
    <w:rsid w:val="0CDA0F90"/>
    <w:rsid w:val="0CDB1247"/>
    <w:rsid w:val="0CE27DD7"/>
    <w:rsid w:val="0CE30222"/>
    <w:rsid w:val="0CE5C138"/>
    <w:rsid w:val="0CE6365E"/>
    <w:rsid w:val="0CE7AAD0"/>
    <w:rsid w:val="0CEDF392"/>
    <w:rsid w:val="0CEEF346"/>
    <w:rsid w:val="0CEFF60B"/>
    <w:rsid w:val="0CF196C4"/>
    <w:rsid w:val="0CF3D4F0"/>
    <w:rsid w:val="0CF6AF97"/>
    <w:rsid w:val="0CF6D5CD"/>
    <w:rsid w:val="0CF7A174"/>
    <w:rsid w:val="0CFFDDAB"/>
    <w:rsid w:val="0D025773"/>
    <w:rsid w:val="0D059305"/>
    <w:rsid w:val="0D0C853A"/>
    <w:rsid w:val="0D0E4344"/>
    <w:rsid w:val="0D109DF2"/>
    <w:rsid w:val="0D12074B"/>
    <w:rsid w:val="0D128A46"/>
    <w:rsid w:val="0D14C6EB"/>
    <w:rsid w:val="0D150781"/>
    <w:rsid w:val="0D1B5A24"/>
    <w:rsid w:val="0D1B6C36"/>
    <w:rsid w:val="0D1E73A9"/>
    <w:rsid w:val="0D2097E2"/>
    <w:rsid w:val="0D215C97"/>
    <w:rsid w:val="0D21673D"/>
    <w:rsid w:val="0D2C9D3F"/>
    <w:rsid w:val="0D2EBB31"/>
    <w:rsid w:val="0D368A2C"/>
    <w:rsid w:val="0D37ED93"/>
    <w:rsid w:val="0D3886A2"/>
    <w:rsid w:val="0D38E2C7"/>
    <w:rsid w:val="0D450062"/>
    <w:rsid w:val="0D486705"/>
    <w:rsid w:val="0D4E3BCB"/>
    <w:rsid w:val="0D4F2C04"/>
    <w:rsid w:val="0D53F27C"/>
    <w:rsid w:val="0D54C85E"/>
    <w:rsid w:val="0D554CDA"/>
    <w:rsid w:val="0D568FD8"/>
    <w:rsid w:val="0D5DD182"/>
    <w:rsid w:val="0D5F26E1"/>
    <w:rsid w:val="0D644EED"/>
    <w:rsid w:val="0D65B2CC"/>
    <w:rsid w:val="0D65C313"/>
    <w:rsid w:val="0D697DB7"/>
    <w:rsid w:val="0D69CDE2"/>
    <w:rsid w:val="0D6BB350"/>
    <w:rsid w:val="0D6D886F"/>
    <w:rsid w:val="0D70BD70"/>
    <w:rsid w:val="0D77DDF4"/>
    <w:rsid w:val="0D8154E3"/>
    <w:rsid w:val="0D82E2A4"/>
    <w:rsid w:val="0D839530"/>
    <w:rsid w:val="0D83D9B1"/>
    <w:rsid w:val="0D83DBAD"/>
    <w:rsid w:val="0D8432AA"/>
    <w:rsid w:val="0D8539E9"/>
    <w:rsid w:val="0D87CCDE"/>
    <w:rsid w:val="0D8CE13F"/>
    <w:rsid w:val="0D8DF70C"/>
    <w:rsid w:val="0D9164A7"/>
    <w:rsid w:val="0D9388D0"/>
    <w:rsid w:val="0D949D03"/>
    <w:rsid w:val="0D959C88"/>
    <w:rsid w:val="0D9A04CC"/>
    <w:rsid w:val="0D9DB6E6"/>
    <w:rsid w:val="0DA18B68"/>
    <w:rsid w:val="0DA48735"/>
    <w:rsid w:val="0DA93787"/>
    <w:rsid w:val="0DAC12AB"/>
    <w:rsid w:val="0DADC94C"/>
    <w:rsid w:val="0DB2A7E2"/>
    <w:rsid w:val="0DB422E8"/>
    <w:rsid w:val="0DB50D7D"/>
    <w:rsid w:val="0DB5C793"/>
    <w:rsid w:val="0DBA8B4E"/>
    <w:rsid w:val="0DBACD1D"/>
    <w:rsid w:val="0DBDF3C9"/>
    <w:rsid w:val="0DC16ED3"/>
    <w:rsid w:val="0DC52F8F"/>
    <w:rsid w:val="0DC7FE9E"/>
    <w:rsid w:val="0DC910CD"/>
    <w:rsid w:val="0DCA3D46"/>
    <w:rsid w:val="0DCB97DD"/>
    <w:rsid w:val="0DD43A04"/>
    <w:rsid w:val="0DD5A095"/>
    <w:rsid w:val="0DD631B9"/>
    <w:rsid w:val="0DD666DF"/>
    <w:rsid w:val="0DD74902"/>
    <w:rsid w:val="0DD88621"/>
    <w:rsid w:val="0DD906BB"/>
    <w:rsid w:val="0DE76C90"/>
    <w:rsid w:val="0DEB475B"/>
    <w:rsid w:val="0DF5B443"/>
    <w:rsid w:val="0DF5CB73"/>
    <w:rsid w:val="0DF74C43"/>
    <w:rsid w:val="0DFAA973"/>
    <w:rsid w:val="0DFCE641"/>
    <w:rsid w:val="0E00C616"/>
    <w:rsid w:val="0E040555"/>
    <w:rsid w:val="0E084184"/>
    <w:rsid w:val="0E098DF4"/>
    <w:rsid w:val="0E0BA22D"/>
    <w:rsid w:val="0E0D2D8E"/>
    <w:rsid w:val="0E0F96DA"/>
    <w:rsid w:val="0E100272"/>
    <w:rsid w:val="0E1877AD"/>
    <w:rsid w:val="0E18A69E"/>
    <w:rsid w:val="0E1A8A48"/>
    <w:rsid w:val="0E1D5A7B"/>
    <w:rsid w:val="0E1EE4BE"/>
    <w:rsid w:val="0E1FC1A2"/>
    <w:rsid w:val="0E220B38"/>
    <w:rsid w:val="0E24826C"/>
    <w:rsid w:val="0E298DC0"/>
    <w:rsid w:val="0E2B4B2A"/>
    <w:rsid w:val="0E2DBD35"/>
    <w:rsid w:val="0E3135D9"/>
    <w:rsid w:val="0E31D5E7"/>
    <w:rsid w:val="0E33CA49"/>
    <w:rsid w:val="0E3D01D8"/>
    <w:rsid w:val="0E3E84D8"/>
    <w:rsid w:val="0E4059CD"/>
    <w:rsid w:val="0E414FC6"/>
    <w:rsid w:val="0E44682D"/>
    <w:rsid w:val="0E4C88E0"/>
    <w:rsid w:val="0E4E8AB1"/>
    <w:rsid w:val="0E54442E"/>
    <w:rsid w:val="0E58547C"/>
    <w:rsid w:val="0E5B6092"/>
    <w:rsid w:val="0E5CAA17"/>
    <w:rsid w:val="0E5DB014"/>
    <w:rsid w:val="0E5EAEC5"/>
    <w:rsid w:val="0E62EB4E"/>
    <w:rsid w:val="0E647B1A"/>
    <w:rsid w:val="0E662BCE"/>
    <w:rsid w:val="0E68141E"/>
    <w:rsid w:val="0E6A83B7"/>
    <w:rsid w:val="0E6E1E4C"/>
    <w:rsid w:val="0E74E716"/>
    <w:rsid w:val="0E75870F"/>
    <w:rsid w:val="0E7A3C70"/>
    <w:rsid w:val="0E7A8FDE"/>
    <w:rsid w:val="0E7BB4D7"/>
    <w:rsid w:val="0E7C173F"/>
    <w:rsid w:val="0E7C2932"/>
    <w:rsid w:val="0E7E1452"/>
    <w:rsid w:val="0E7F72D9"/>
    <w:rsid w:val="0E848D56"/>
    <w:rsid w:val="0E8E7469"/>
    <w:rsid w:val="0E8FA813"/>
    <w:rsid w:val="0E91D61E"/>
    <w:rsid w:val="0E92D1CA"/>
    <w:rsid w:val="0E958932"/>
    <w:rsid w:val="0E9753F5"/>
    <w:rsid w:val="0E9A686D"/>
    <w:rsid w:val="0E9AC228"/>
    <w:rsid w:val="0E9CF1E8"/>
    <w:rsid w:val="0E9CFB1A"/>
    <w:rsid w:val="0E9D2B31"/>
    <w:rsid w:val="0E9D3675"/>
    <w:rsid w:val="0EA1D4B4"/>
    <w:rsid w:val="0EA21AFB"/>
    <w:rsid w:val="0EA24D3D"/>
    <w:rsid w:val="0EA7F6FA"/>
    <w:rsid w:val="0EAE387B"/>
    <w:rsid w:val="0EB32AE8"/>
    <w:rsid w:val="0EB54FFC"/>
    <w:rsid w:val="0EC64D8A"/>
    <w:rsid w:val="0ECBEADB"/>
    <w:rsid w:val="0ED583B3"/>
    <w:rsid w:val="0ED6F2DB"/>
    <w:rsid w:val="0ED7B4E4"/>
    <w:rsid w:val="0EDB3F9D"/>
    <w:rsid w:val="0EDBE279"/>
    <w:rsid w:val="0EDE5C0D"/>
    <w:rsid w:val="0EDE5F1A"/>
    <w:rsid w:val="0EDF662B"/>
    <w:rsid w:val="0EE26A98"/>
    <w:rsid w:val="0EE4C5E2"/>
    <w:rsid w:val="0EED0A68"/>
    <w:rsid w:val="0EEE555F"/>
    <w:rsid w:val="0EF0DA7A"/>
    <w:rsid w:val="0EF43630"/>
    <w:rsid w:val="0EF9D381"/>
    <w:rsid w:val="0EFAF767"/>
    <w:rsid w:val="0EFDC775"/>
    <w:rsid w:val="0EFF1ED3"/>
    <w:rsid w:val="0EFF56A2"/>
    <w:rsid w:val="0F0564A7"/>
    <w:rsid w:val="0F07EADD"/>
    <w:rsid w:val="0F0983A4"/>
    <w:rsid w:val="0F0C045C"/>
    <w:rsid w:val="0F0E4EE1"/>
    <w:rsid w:val="0F0F5395"/>
    <w:rsid w:val="0F156A5D"/>
    <w:rsid w:val="0F16F955"/>
    <w:rsid w:val="0F174D24"/>
    <w:rsid w:val="0F1A9EBD"/>
    <w:rsid w:val="0F1EA678"/>
    <w:rsid w:val="0F2080A7"/>
    <w:rsid w:val="0F2254C1"/>
    <w:rsid w:val="0F23B3BA"/>
    <w:rsid w:val="0F25245E"/>
    <w:rsid w:val="0F2E4738"/>
    <w:rsid w:val="0F2F437A"/>
    <w:rsid w:val="0F31090F"/>
    <w:rsid w:val="0F34969E"/>
    <w:rsid w:val="0F398A77"/>
    <w:rsid w:val="0F39EB84"/>
    <w:rsid w:val="0F3AFC52"/>
    <w:rsid w:val="0F3C1D19"/>
    <w:rsid w:val="0F421330"/>
    <w:rsid w:val="0F440149"/>
    <w:rsid w:val="0F452935"/>
    <w:rsid w:val="0F4839BD"/>
    <w:rsid w:val="0F4A8671"/>
    <w:rsid w:val="0F4B944D"/>
    <w:rsid w:val="0F4CBF7E"/>
    <w:rsid w:val="0F509598"/>
    <w:rsid w:val="0F513F74"/>
    <w:rsid w:val="0F57F42F"/>
    <w:rsid w:val="0F623351"/>
    <w:rsid w:val="0F64C9D5"/>
    <w:rsid w:val="0F64E12E"/>
    <w:rsid w:val="0F6A104D"/>
    <w:rsid w:val="0F6CBDAA"/>
    <w:rsid w:val="0F6E04A8"/>
    <w:rsid w:val="0F73F28B"/>
    <w:rsid w:val="0F761EBF"/>
    <w:rsid w:val="0F7B9F34"/>
    <w:rsid w:val="0F7F1633"/>
    <w:rsid w:val="0F833CF1"/>
    <w:rsid w:val="0F868D09"/>
    <w:rsid w:val="0F86C6CB"/>
    <w:rsid w:val="0F888DE4"/>
    <w:rsid w:val="0F8AE04F"/>
    <w:rsid w:val="0F8D438C"/>
    <w:rsid w:val="0F8EC318"/>
    <w:rsid w:val="0F8FDC06"/>
    <w:rsid w:val="0F90D45D"/>
    <w:rsid w:val="0F931A15"/>
    <w:rsid w:val="0F9A16D8"/>
    <w:rsid w:val="0FA1BD9C"/>
    <w:rsid w:val="0FA253D5"/>
    <w:rsid w:val="0FA4801F"/>
    <w:rsid w:val="0FA82C96"/>
    <w:rsid w:val="0FACEA9E"/>
    <w:rsid w:val="0FB3401B"/>
    <w:rsid w:val="0FB38B3F"/>
    <w:rsid w:val="0FB391D1"/>
    <w:rsid w:val="0FB880AB"/>
    <w:rsid w:val="0FB8F5D9"/>
    <w:rsid w:val="0FB99369"/>
    <w:rsid w:val="0FBAA15F"/>
    <w:rsid w:val="0FBE7358"/>
    <w:rsid w:val="0FBEC291"/>
    <w:rsid w:val="0FC11239"/>
    <w:rsid w:val="0FC2061A"/>
    <w:rsid w:val="0FC93326"/>
    <w:rsid w:val="0FD3B0D1"/>
    <w:rsid w:val="0FDD35F2"/>
    <w:rsid w:val="0FE1537F"/>
    <w:rsid w:val="0FE230AF"/>
    <w:rsid w:val="0FE4F022"/>
    <w:rsid w:val="0FE5B804"/>
    <w:rsid w:val="0FE96696"/>
    <w:rsid w:val="0FEBBED5"/>
    <w:rsid w:val="0FF60238"/>
    <w:rsid w:val="0FF73183"/>
    <w:rsid w:val="0FF8B3A3"/>
    <w:rsid w:val="0FF9D817"/>
    <w:rsid w:val="0FFD4F49"/>
    <w:rsid w:val="0FFEACD5"/>
    <w:rsid w:val="100075E6"/>
    <w:rsid w:val="1001FC2F"/>
    <w:rsid w:val="10033282"/>
    <w:rsid w:val="100987A5"/>
    <w:rsid w:val="10099D2B"/>
    <w:rsid w:val="100B5C99"/>
    <w:rsid w:val="100B9CFE"/>
    <w:rsid w:val="10116D0B"/>
    <w:rsid w:val="10157FDA"/>
    <w:rsid w:val="101729B3"/>
    <w:rsid w:val="101BFE84"/>
    <w:rsid w:val="101D812E"/>
    <w:rsid w:val="101D876B"/>
    <w:rsid w:val="101E5B3A"/>
    <w:rsid w:val="102085D2"/>
    <w:rsid w:val="1024EF0D"/>
    <w:rsid w:val="1026BB3D"/>
    <w:rsid w:val="102A568B"/>
    <w:rsid w:val="102AB7CF"/>
    <w:rsid w:val="102B5AAE"/>
    <w:rsid w:val="1032185F"/>
    <w:rsid w:val="1032560E"/>
    <w:rsid w:val="103BE678"/>
    <w:rsid w:val="103ECA4A"/>
    <w:rsid w:val="1040EAA8"/>
    <w:rsid w:val="104425FC"/>
    <w:rsid w:val="104C1E60"/>
    <w:rsid w:val="10508732"/>
    <w:rsid w:val="10519957"/>
    <w:rsid w:val="10521C25"/>
    <w:rsid w:val="1053C4A3"/>
    <w:rsid w:val="10557BE3"/>
    <w:rsid w:val="105BD717"/>
    <w:rsid w:val="1063FEF2"/>
    <w:rsid w:val="1065CC3E"/>
    <w:rsid w:val="1068C447"/>
    <w:rsid w:val="10697BE6"/>
    <w:rsid w:val="1069E318"/>
    <w:rsid w:val="106A81B6"/>
    <w:rsid w:val="106B50A1"/>
    <w:rsid w:val="106EC071"/>
    <w:rsid w:val="1075B237"/>
    <w:rsid w:val="1078960C"/>
    <w:rsid w:val="107C454D"/>
    <w:rsid w:val="107D6546"/>
    <w:rsid w:val="10809B26"/>
    <w:rsid w:val="1080A209"/>
    <w:rsid w:val="1080F4FC"/>
    <w:rsid w:val="1082A34B"/>
    <w:rsid w:val="108328A1"/>
    <w:rsid w:val="108C0820"/>
    <w:rsid w:val="10931591"/>
    <w:rsid w:val="1093CE74"/>
    <w:rsid w:val="109A3B4C"/>
    <w:rsid w:val="109B357F"/>
    <w:rsid w:val="10A10400"/>
    <w:rsid w:val="10A26DBF"/>
    <w:rsid w:val="10A2ABB1"/>
    <w:rsid w:val="10A34795"/>
    <w:rsid w:val="10A42851"/>
    <w:rsid w:val="10A5EA21"/>
    <w:rsid w:val="10AAE30D"/>
    <w:rsid w:val="10AD56EB"/>
    <w:rsid w:val="10B1B382"/>
    <w:rsid w:val="10B1B43A"/>
    <w:rsid w:val="10B9620E"/>
    <w:rsid w:val="10C17C01"/>
    <w:rsid w:val="10CA921A"/>
    <w:rsid w:val="10CBBC05"/>
    <w:rsid w:val="10CF58BC"/>
    <w:rsid w:val="10D041CB"/>
    <w:rsid w:val="10D797CC"/>
    <w:rsid w:val="10DBC4E1"/>
    <w:rsid w:val="10DDD52F"/>
    <w:rsid w:val="10DE9106"/>
    <w:rsid w:val="10E04BEF"/>
    <w:rsid w:val="10E08204"/>
    <w:rsid w:val="10E0F996"/>
    <w:rsid w:val="10E2E0B7"/>
    <w:rsid w:val="10E36F1A"/>
    <w:rsid w:val="10E3B14E"/>
    <w:rsid w:val="10E8A590"/>
    <w:rsid w:val="10E8F62A"/>
    <w:rsid w:val="10EC263E"/>
    <w:rsid w:val="10EDC906"/>
    <w:rsid w:val="10F00C85"/>
    <w:rsid w:val="10F25C3F"/>
    <w:rsid w:val="10F3FBB7"/>
    <w:rsid w:val="10F4EFC2"/>
    <w:rsid w:val="10F621AE"/>
    <w:rsid w:val="10F7820A"/>
    <w:rsid w:val="10FAB481"/>
    <w:rsid w:val="10FACD51"/>
    <w:rsid w:val="10FBA5A4"/>
    <w:rsid w:val="10FBB0F8"/>
    <w:rsid w:val="10FCCCA1"/>
    <w:rsid w:val="10FDBB77"/>
    <w:rsid w:val="1105E2F0"/>
    <w:rsid w:val="110615E0"/>
    <w:rsid w:val="110AD2B7"/>
    <w:rsid w:val="110B65A1"/>
    <w:rsid w:val="11100E10"/>
    <w:rsid w:val="1110A46C"/>
    <w:rsid w:val="11174BB2"/>
    <w:rsid w:val="111AD94B"/>
    <w:rsid w:val="11220A2E"/>
    <w:rsid w:val="112518C8"/>
    <w:rsid w:val="1127036E"/>
    <w:rsid w:val="1127ADCE"/>
    <w:rsid w:val="1129618F"/>
    <w:rsid w:val="112C9351"/>
    <w:rsid w:val="112CBD35"/>
    <w:rsid w:val="112F097C"/>
    <w:rsid w:val="1137DB44"/>
    <w:rsid w:val="113821F4"/>
    <w:rsid w:val="1144E56C"/>
    <w:rsid w:val="1145137E"/>
    <w:rsid w:val="11468AE3"/>
    <w:rsid w:val="1147E478"/>
    <w:rsid w:val="1147F6DB"/>
    <w:rsid w:val="114B4A19"/>
    <w:rsid w:val="114B5C2A"/>
    <w:rsid w:val="114E688E"/>
    <w:rsid w:val="1151449A"/>
    <w:rsid w:val="1151A60D"/>
    <w:rsid w:val="11530037"/>
    <w:rsid w:val="115B63F3"/>
    <w:rsid w:val="115C07DC"/>
    <w:rsid w:val="115D7010"/>
    <w:rsid w:val="1160D4C0"/>
    <w:rsid w:val="11615CA1"/>
    <w:rsid w:val="1166E904"/>
    <w:rsid w:val="116772CA"/>
    <w:rsid w:val="11682113"/>
    <w:rsid w:val="116A7B9D"/>
    <w:rsid w:val="116C4D6D"/>
    <w:rsid w:val="116DECA0"/>
    <w:rsid w:val="116E3B13"/>
    <w:rsid w:val="116E496A"/>
    <w:rsid w:val="116E6C1B"/>
    <w:rsid w:val="1170240D"/>
    <w:rsid w:val="11727EC5"/>
    <w:rsid w:val="1172BF55"/>
    <w:rsid w:val="1177F4B9"/>
    <w:rsid w:val="117C555F"/>
    <w:rsid w:val="117F3DF4"/>
    <w:rsid w:val="117F5424"/>
    <w:rsid w:val="11856AF8"/>
    <w:rsid w:val="11875D3A"/>
    <w:rsid w:val="118AC9AB"/>
    <w:rsid w:val="118BC842"/>
    <w:rsid w:val="118F8ACD"/>
    <w:rsid w:val="119268EB"/>
    <w:rsid w:val="11930984"/>
    <w:rsid w:val="11936A3B"/>
    <w:rsid w:val="1194FBF0"/>
    <w:rsid w:val="119808E6"/>
    <w:rsid w:val="1198D0A6"/>
    <w:rsid w:val="119D229E"/>
    <w:rsid w:val="11A6D593"/>
    <w:rsid w:val="11AE221C"/>
    <w:rsid w:val="11B0F949"/>
    <w:rsid w:val="11B214E9"/>
    <w:rsid w:val="11BA129F"/>
    <w:rsid w:val="11BAF2FE"/>
    <w:rsid w:val="11BB7690"/>
    <w:rsid w:val="11BECAD2"/>
    <w:rsid w:val="11C27947"/>
    <w:rsid w:val="11C2F894"/>
    <w:rsid w:val="11C4B8BB"/>
    <w:rsid w:val="11CBA731"/>
    <w:rsid w:val="11CCEFEB"/>
    <w:rsid w:val="11D4D916"/>
    <w:rsid w:val="11D5A303"/>
    <w:rsid w:val="11D704E9"/>
    <w:rsid w:val="11D8D2F6"/>
    <w:rsid w:val="11DA8B31"/>
    <w:rsid w:val="11DC19ED"/>
    <w:rsid w:val="11E3126D"/>
    <w:rsid w:val="11E6A546"/>
    <w:rsid w:val="11F1B5AC"/>
    <w:rsid w:val="11F27D83"/>
    <w:rsid w:val="11F63BBC"/>
    <w:rsid w:val="11FA4236"/>
    <w:rsid w:val="11FC022C"/>
    <w:rsid w:val="11FD922A"/>
    <w:rsid w:val="11FE7061"/>
    <w:rsid w:val="11FFF632"/>
    <w:rsid w:val="1202DE54"/>
    <w:rsid w:val="1203602F"/>
    <w:rsid w:val="1203B514"/>
    <w:rsid w:val="12042D17"/>
    <w:rsid w:val="1209A04A"/>
    <w:rsid w:val="120E623D"/>
    <w:rsid w:val="1210EAE1"/>
    <w:rsid w:val="1211D58F"/>
    <w:rsid w:val="12132482"/>
    <w:rsid w:val="1213F691"/>
    <w:rsid w:val="1216B361"/>
    <w:rsid w:val="1216CDE7"/>
    <w:rsid w:val="1216F37E"/>
    <w:rsid w:val="12172F43"/>
    <w:rsid w:val="121AA54A"/>
    <w:rsid w:val="12211AFA"/>
    <w:rsid w:val="1222D36B"/>
    <w:rsid w:val="122729CA"/>
    <w:rsid w:val="1228BD1E"/>
    <w:rsid w:val="1228C749"/>
    <w:rsid w:val="1229F002"/>
    <w:rsid w:val="122AD235"/>
    <w:rsid w:val="122E0F38"/>
    <w:rsid w:val="1239A395"/>
    <w:rsid w:val="123CA4A2"/>
    <w:rsid w:val="123F1D7E"/>
    <w:rsid w:val="123F3DCA"/>
    <w:rsid w:val="123FC0BE"/>
    <w:rsid w:val="12414A41"/>
    <w:rsid w:val="124B03C6"/>
    <w:rsid w:val="124EA95B"/>
    <w:rsid w:val="1253401B"/>
    <w:rsid w:val="1253B3BC"/>
    <w:rsid w:val="1256FD96"/>
    <w:rsid w:val="125F8CD7"/>
    <w:rsid w:val="1263021F"/>
    <w:rsid w:val="126925BC"/>
    <w:rsid w:val="126B46F0"/>
    <w:rsid w:val="126DBCB7"/>
    <w:rsid w:val="1273F73D"/>
    <w:rsid w:val="1274B67D"/>
    <w:rsid w:val="12769265"/>
    <w:rsid w:val="1276BA15"/>
    <w:rsid w:val="12786726"/>
    <w:rsid w:val="12804056"/>
    <w:rsid w:val="12854355"/>
    <w:rsid w:val="1291D54B"/>
    <w:rsid w:val="1296F66D"/>
    <w:rsid w:val="1297C4CD"/>
    <w:rsid w:val="129C7E5E"/>
    <w:rsid w:val="129FFF24"/>
    <w:rsid w:val="12A3E377"/>
    <w:rsid w:val="12AAF6EC"/>
    <w:rsid w:val="12AB17CB"/>
    <w:rsid w:val="12ACC2B6"/>
    <w:rsid w:val="12AD2322"/>
    <w:rsid w:val="12B41832"/>
    <w:rsid w:val="12B5BF7D"/>
    <w:rsid w:val="12BBB08F"/>
    <w:rsid w:val="12BBD239"/>
    <w:rsid w:val="12BD8D7F"/>
    <w:rsid w:val="12BEF3D4"/>
    <w:rsid w:val="12BFAAF3"/>
    <w:rsid w:val="12C58258"/>
    <w:rsid w:val="12C784D9"/>
    <w:rsid w:val="12C80491"/>
    <w:rsid w:val="12CFB0CF"/>
    <w:rsid w:val="12D1868F"/>
    <w:rsid w:val="12D49E2C"/>
    <w:rsid w:val="12D60D20"/>
    <w:rsid w:val="12D6D72A"/>
    <w:rsid w:val="12DB57FC"/>
    <w:rsid w:val="12DD05EA"/>
    <w:rsid w:val="12DD951E"/>
    <w:rsid w:val="12E1FB4D"/>
    <w:rsid w:val="12E3F209"/>
    <w:rsid w:val="12EAD821"/>
    <w:rsid w:val="12F0DE33"/>
    <w:rsid w:val="12F49AEE"/>
    <w:rsid w:val="12F75010"/>
    <w:rsid w:val="12F772BE"/>
    <w:rsid w:val="12F8A66C"/>
    <w:rsid w:val="1303703C"/>
    <w:rsid w:val="13044BD7"/>
    <w:rsid w:val="13077EF6"/>
    <w:rsid w:val="1307832D"/>
    <w:rsid w:val="130A05C9"/>
    <w:rsid w:val="130CD46D"/>
    <w:rsid w:val="1311C12A"/>
    <w:rsid w:val="1311FE8F"/>
    <w:rsid w:val="13126B8D"/>
    <w:rsid w:val="13166AD5"/>
    <w:rsid w:val="1317AAC5"/>
    <w:rsid w:val="131C94DE"/>
    <w:rsid w:val="131DAF4E"/>
    <w:rsid w:val="1322BDA0"/>
    <w:rsid w:val="13255052"/>
    <w:rsid w:val="13279C15"/>
    <w:rsid w:val="132B6FB7"/>
    <w:rsid w:val="132C875E"/>
    <w:rsid w:val="1342A421"/>
    <w:rsid w:val="134B84E5"/>
    <w:rsid w:val="134C62DF"/>
    <w:rsid w:val="134D2651"/>
    <w:rsid w:val="134D69AF"/>
    <w:rsid w:val="13537E01"/>
    <w:rsid w:val="1353E259"/>
    <w:rsid w:val="135A1B2A"/>
    <w:rsid w:val="135A2EC9"/>
    <w:rsid w:val="135A3DEA"/>
    <w:rsid w:val="135AC86E"/>
    <w:rsid w:val="135C43A0"/>
    <w:rsid w:val="135D734A"/>
    <w:rsid w:val="136295E4"/>
    <w:rsid w:val="13698B0F"/>
    <w:rsid w:val="136A7539"/>
    <w:rsid w:val="136F4695"/>
    <w:rsid w:val="137469E3"/>
    <w:rsid w:val="1376D4FC"/>
    <w:rsid w:val="13777E73"/>
    <w:rsid w:val="137844FE"/>
    <w:rsid w:val="13854E2E"/>
    <w:rsid w:val="1386AF8C"/>
    <w:rsid w:val="138714D2"/>
    <w:rsid w:val="13874785"/>
    <w:rsid w:val="138A8401"/>
    <w:rsid w:val="138C9B7A"/>
    <w:rsid w:val="13914B7D"/>
    <w:rsid w:val="13944B15"/>
    <w:rsid w:val="139ABE3E"/>
    <w:rsid w:val="139F36EB"/>
    <w:rsid w:val="13A3FA7C"/>
    <w:rsid w:val="13A8DF1F"/>
    <w:rsid w:val="13A8EDCA"/>
    <w:rsid w:val="13A96BF0"/>
    <w:rsid w:val="13ACF043"/>
    <w:rsid w:val="13AE4651"/>
    <w:rsid w:val="13B4EF6C"/>
    <w:rsid w:val="13B738AC"/>
    <w:rsid w:val="13BF790B"/>
    <w:rsid w:val="13C29CD6"/>
    <w:rsid w:val="13C388EB"/>
    <w:rsid w:val="13C8CA5C"/>
    <w:rsid w:val="13C9C526"/>
    <w:rsid w:val="13CAA7D4"/>
    <w:rsid w:val="13CB7BC9"/>
    <w:rsid w:val="13CCC26A"/>
    <w:rsid w:val="13D1D523"/>
    <w:rsid w:val="13D2D641"/>
    <w:rsid w:val="13D50F6D"/>
    <w:rsid w:val="13DC4CEC"/>
    <w:rsid w:val="13DDED56"/>
    <w:rsid w:val="13E57EAA"/>
    <w:rsid w:val="13E87D61"/>
    <w:rsid w:val="13E9A8D9"/>
    <w:rsid w:val="13EA3E55"/>
    <w:rsid w:val="13EABBC8"/>
    <w:rsid w:val="13EBAA52"/>
    <w:rsid w:val="13EC6520"/>
    <w:rsid w:val="13F8000A"/>
    <w:rsid w:val="13FD0F3C"/>
    <w:rsid w:val="13FDF154"/>
    <w:rsid w:val="13FEFC23"/>
    <w:rsid w:val="1402E1CC"/>
    <w:rsid w:val="14033708"/>
    <w:rsid w:val="1404B3B9"/>
    <w:rsid w:val="1404F376"/>
    <w:rsid w:val="1406E9F5"/>
    <w:rsid w:val="140A8194"/>
    <w:rsid w:val="140C9773"/>
    <w:rsid w:val="1411987D"/>
    <w:rsid w:val="1411A5EA"/>
    <w:rsid w:val="1416B290"/>
    <w:rsid w:val="141757AB"/>
    <w:rsid w:val="14188E19"/>
    <w:rsid w:val="141B1009"/>
    <w:rsid w:val="1421B4DD"/>
    <w:rsid w:val="14228AC7"/>
    <w:rsid w:val="14274B2D"/>
    <w:rsid w:val="14290AE8"/>
    <w:rsid w:val="142A8835"/>
    <w:rsid w:val="142B6C0C"/>
    <w:rsid w:val="142B893E"/>
    <w:rsid w:val="14314D07"/>
    <w:rsid w:val="143274B8"/>
    <w:rsid w:val="1432E7C6"/>
    <w:rsid w:val="14358E67"/>
    <w:rsid w:val="14367C65"/>
    <w:rsid w:val="143D83B2"/>
    <w:rsid w:val="143F3A4B"/>
    <w:rsid w:val="1441A98C"/>
    <w:rsid w:val="14468A86"/>
    <w:rsid w:val="14481C4C"/>
    <w:rsid w:val="144CEBEA"/>
    <w:rsid w:val="144D1A4B"/>
    <w:rsid w:val="144FDC0D"/>
    <w:rsid w:val="14518FDE"/>
    <w:rsid w:val="1454C2A2"/>
    <w:rsid w:val="1454E8FD"/>
    <w:rsid w:val="1459F606"/>
    <w:rsid w:val="145AC5AA"/>
    <w:rsid w:val="145C979C"/>
    <w:rsid w:val="145D372B"/>
    <w:rsid w:val="1462172B"/>
    <w:rsid w:val="1463F55E"/>
    <w:rsid w:val="14644C78"/>
    <w:rsid w:val="146A7523"/>
    <w:rsid w:val="146A8678"/>
    <w:rsid w:val="146ACA7D"/>
    <w:rsid w:val="146C2840"/>
    <w:rsid w:val="14702E21"/>
    <w:rsid w:val="1470F581"/>
    <w:rsid w:val="1477438B"/>
    <w:rsid w:val="1479A13E"/>
    <w:rsid w:val="1479C695"/>
    <w:rsid w:val="147FCCD2"/>
    <w:rsid w:val="14805073"/>
    <w:rsid w:val="14806899"/>
    <w:rsid w:val="1485A7D5"/>
    <w:rsid w:val="14885B6E"/>
    <w:rsid w:val="1488E9E9"/>
    <w:rsid w:val="148AB2CC"/>
    <w:rsid w:val="148C9108"/>
    <w:rsid w:val="148F2DEA"/>
    <w:rsid w:val="14925270"/>
    <w:rsid w:val="149523AC"/>
    <w:rsid w:val="1497A9D4"/>
    <w:rsid w:val="14988C6C"/>
    <w:rsid w:val="149BF1B5"/>
    <w:rsid w:val="149F8888"/>
    <w:rsid w:val="149FC6AF"/>
    <w:rsid w:val="149FD956"/>
    <w:rsid w:val="14A026A0"/>
    <w:rsid w:val="14A02A40"/>
    <w:rsid w:val="14A2F4DB"/>
    <w:rsid w:val="14A8CC68"/>
    <w:rsid w:val="14A98239"/>
    <w:rsid w:val="14AD5ED1"/>
    <w:rsid w:val="14B00B87"/>
    <w:rsid w:val="14B1BC01"/>
    <w:rsid w:val="14BDBC7D"/>
    <w:rsid w:val="14C11C73"/>
    <w:rsid w:val="14C2C425"/>
    <w:rsid w:val="14C825F4"/>
    <w:rsid w:val="14CDC08E"/>
    <w:rsid w:val="14CE736B"/>
    <w:rsid w:val="14CEF732"/>
    <w:rsid w:val="14D11044"/>
    <w:rsid w:val="14D19E3B"/>
    <w:rsid w:val="14D4CE55"/>
    <w:rsid w:val="14D4E127"/>
    <w:rsid w:val="14D56D52"/>
    <w:rsid w:val="14D5F19C"/>
    <w:rsid w:val="14D6657E"/>
    <w:rsid w:val="14DA2BF7"/>
    <w:rsid w:val="14E1A57C"/>
    <w:rsid w:val="14E41570"/>
    <w:rsid w:val="14E70F44"/>
    <w:rsid w:val="14EA45C5"/>
    <w:rsid w:val="14EB0887"/>
    <w:rsid w:val="14F0EA2C"/>
    <w:rsid w:val="14F0ECF9"/>
    <w:rsid w:val="14F0F251"/>
    <w:rsid w:val="14F7BB5D"/>
    <w:rsid w:val="14F83F63"/>
    <w:rsid w:val="14F94CB6"/>
    <w:rsid w:val="14FE1FC3"/>
    <w:rsid w:val="15030BDD"/>
    <w:rsid w:val="150502D7"/>
    <w:rsid w:val="15078204"/>
    <w:rsid w:val="1509A49D"/>
    <w:rsid w:val="1510FD32"/>
    <w:rsid w:val="1515BB01"/>
    <w:rsid w:val="151610DA"/>
    <w:rsid w:val="1518666D"/>
    <w:rsid w:val="151EC7E1"/>
    <w:rsid w:val="151EF162"/>
    <w:rsid w:val="151FB280"/>
    <w:rsid w:val="1526257F"/>
    <w:rsid w:val="15264E8A"/>
    <w:rsid w:val="152A9BCD"/>
    <w:rsid w:val="15368402"/>
    <w:rsid w:val="15374C1E"/>
    <w:rsid w:val="153E1DBB"/>
    <w:rsid w:val="1542A678"/>
    <w:rsid w:val="1543A17E"/>
    <w:rsid w:val="1545417B"/>
    <w:rsid w:val="15485833"/>
    <w:rsid w:val="154AE256"/>
    <w:rsid w:val="1551C1D3"/>
    <w:rsid w:val="1553BD75"/>
    <w:rsid w:val="1555D979"/>
    <w:rsid w:val="15564FAE"/>
    <w:rsid w:val="1558D04E"/>
    <w:rsid w:val="15599342"/>
    <w:rsid w:val="1559F8D3"/>
    <w:rsid w:val="155DC3B0"/>
    <w:rsid w:val="155DEE51"/>
    <w:rsid w:val="1561ED8D"/>
    <w:rsid w:val="156232E7"/>
    <w:rsid w:val="15642892"/>
    <w:rsid w:val="156679B1"/>
    <w:rsid w:val="156901D1"/>
    <w:rsid w:val="156AA526"/>
    <w:rsid w:val="157054A5"/>
    <w:rsid w:val="15759F5E"/>
    <w:rsid w:val="157DBB86"/>
    <w:rsid w:val="157DFB0D"/>
    <w:rsid w:val="1581197F"/>
    <w:rsid w:val="1583F0DE"/>
    <w:rsid w:val="1586CC24"/>
    <w:rsid w:val="15876379"/>
    <w:rsid w:val="158CE140"/>
    <w:rsid w:val="158DE0E5"/>
    <w:rsid w:val="15901556"/>
    <w:rsid w:val="1590DC39"/>
    <w:rsid w:val="159505B3"/>
    <w:rsid w:val="1595F792"/>
    <w:rsid w:val="159950CA"/>
    <w:rsid w:val="159A5BE7"/>
    <w:rsid w:val="15A06D9E"/>
    <w:rsid w:val="15A12727"/>
    <w:rsid w:val="15A14A9A"/>
    <w:rsid w:val="15A21804"/>
    <w:rsid w:val="15B03541"/>
    <w:rsid w:val="15B35A94"/>
    <w:rsid w:val="15B401D9"/>
    <w:rsid w:val="15B5D2FA"/>
    <w:rsid w:val="15B7F56E"/>
    <w:rsid w:val="15B8D336"/>
    <w:rsid w:val="15C96EE5"/>
    <w:rsid w:val="15CA41D9"/>
    <w:rsid w:val="15CBF5A7"/>
    <w:rsid w:val="15D03747"/>
    <w:rsid w:val="15D0FB36"/>
    <w:rsid w:val="15D2BC0F"/>
    <w:rsid w:val="15D3C32A"/>
    <w:rsid w:val="15D40064"/>
    <w:rsid w:val="15D53882"/>
    <w:rsid w:val="15D56A58"/>
    <w:rsid w:val="15D646FA"/>
    <w:rsid w:val="15D7FB11"/>
    <w:rsid w:val="15D9AB2F"/>
    <w:rsid w:val="15DDE8D9"/>
    <w:rsid w:val="15E2E69F"/>
    <w:rsid w:val="15EFED99"/>
    <w:rsid w:val="15F2CB1D"/>
    <w:rsid w:val="15F378D2"/>
    <w:rsid w:val="15FBBCE7"/>
    <w:rsid w:val="15FC0095"/>
    <w:rsid w:val="15FD5DFA"/>
    <w:rsid w:val="15FE1E69"/>
    <w:rsid w:val="15FE3D3D"/>
    <w:rsid w:val="16000745"/>
    <w:rsid w:val="16068392"/>
    <w:rsid w:val="160887D2"/>
    <w:rsid w:val="160A5646"/>
    <w:rsid w:val="160D76BB"/>
    <w:rsid w:val="160EEBC6"/>
    <w:rsid w:val="1611FFAC"/>
    <w:rsid w:val="1614C042"/>
    <w:rsid w:val="1615BB21"/>
    <w:rsid w:val="1615D897"/>
    <w:rsid w:val="1617817C"/>
    <w:rsid w:val="1617A1E7"/>
    <w:rsid w:val="1618D0DE"/>
    <w:rsid w:val="16199D6F"/>
    <w:rsid w:val="161D2B5B"/>
    <w:rsid w:val="161DAB81"/>
    <w:rsid w:val="1622E5AA"/>
    <w:rsid w:val="162319B6"/>
    <w:rsid w:val="16232CA3"/>
    <w:rsid w:val="1628CB9F"/>
    <w:rsid w:val="162D375B"/>
    <w:rsid w:val="163007E1"/>
    <w:rsid w:val="1632A43B"/>
    <w:rsid w:val="1635B9A3"/>
    <w:rsid w:val="16368F8E"/>
    <w:rsid w:val="16371950"/>
    <w:rsid w:val="163864D9"/>
    <w:rsid w:val="163A5C64"/>
    <w:rsid w:val="163DE88E"/>
    <w:rsid w:val="163E5BD2"/>
    <w:rsid w:val="164401FC"/>
    <w:rsid w:val="1646BB15"/>
    <w:rsid w:val="164CEE1D"/>
    <w:rsid w:val="165360B2"/>
    <w:rsid w:val="165D93D3"/>
    <w:rsid w:val="1661FE17"/>
    <w:rsid w:val="166379EE"/>
    <w:rsid w:val="1664CC71"/>
    <w:rsid w:val="166A8831"/>
    <w:rsid w:val="166D91B9"/>
    <w:rsid w:val="166DBA56"/>
    <w:rsid w:val="1674C4FC"/>
    <w:rsid w:val="1675311E"/>
    <w:rsid w:val="1675DD82"/>
    <w:rsid w:val="167651FE"/>
    <w:rsid w:val="1679339D"/>
    <w:rsid w:val="167C719E"/>
    <w:rsid w:val="167CAE8E"/>
    <w:rsid w:val="167F6B1E"/>
    <w:rsid w:val="1682CBD6"/>
    <w:rsid w:val="168B88B1"/>
    <w:rsid w:val="168D32A9"/>
    <w:rsid w:val="168D5F05"/>
    <w:rsid w:val="168F22D7"/>
    <w:rsid w:val="168FDFF8"/>
    <w:rsid w:val="16902820"/>
    <w:rsid w:val="1691672F"/>
    <w:rsid w:val="1691B059"/>
    <w:rsid w:val="1691D0C8"/>
    <w:rsid w:val="16929004"/>
    <w:rsid w:val="1694CC16"/>
    <w:rsid w:val="169958AC"/>
    <w:rsid w:val="1699F3F7"/>
    <w:rsid w:val="169AF0DB"/>
    <w:rsid w:val="169BDA8B"/>
    <w:rsid w:val="169C1C66"/>
    <w:rsid w:val="169C2DD8"/>
    <w:rsid w:val="169CA37C"/>
    <w:rsid w:val="169CE780"/>
    <w:rsid w:val="16A2698F"/>
    <w:rsid w:val="16A9F659"/>
    <w:rsid w:val="16AA29BF"/>
    <w:rsid w:val="16ABBC6B"/>
    <w:rsid w:val="16B00AF9"/>
    <w:rsid w:val="16B1D307"/>
    <w:rsid w:val="16B51CD0"/>
    <w:rsid w:val="16B7ED89"/>
    <w:rsid w:val="16BC98A3"/>
    <w:rsid w:val="16C7851E"/>
    <w:rsid w:val="16C8A06E"/>
    <w:rsid w:val="16CBA9C2"/>
    <w:rsid w:val="16CBE0E5"/>
    <w:rsid w:val="16CF09A3"/>
    <w:rsid w:val="16D4A9AB"/>
    <w:rsid w:val="16D80A6E"/>
    <w:rsid w:val="16DB4FAB"/>
    <w:rsid w:val="16DB6FFA"/>
    <w:rsid w:val="16DC41B5"/>
    <w:rsid w:val="16E17F33"/>
    <w:rsid w:val="16E525AE"/>
    <w:rsid w:val="16E5CA2B"/>
    <w:rsid w:val="16E6FA5D"/>
    <w:rsid w:val="16EABD05"/>
    <w:rsid w:val="16EFE960"/>
    <w:rsid w:val="16F1ECAF"/>
    <w:rsid w:val="16F4E7E1"/>
    <w:rsid w:val="16F96B00"/>
    <w:rsid w:val="16FE79A4"/>
    <w:rsid w:val="170146F6"/>
    <w:rsid w:val="1704F2F1"/>
    <w:rsid w:val="170D7785"/>
    <w:rsid w:val="17149F1F"/>
    <w:rsid w:val="17165628"/>
    <w:rsid w:val="171839FC"/>
    <w:rsid w:val="1719822D"/>
    <w:rsid w:val="1719EB8E"/>
    <w:rsid w:val="171EC899"/>
    <w:rsid w:val="1725784F"/>
    <w:rsid w:val="1726075D"/>
    <w:rsid w:val="172800AD"/>
    <w:rsid w:val="1728A654"/>
    <w:rsid w:val="17296CAD"/>
    <w:rsid w:val="172A748B"/>
    <w:rsid w:val="172E0885"/>
    <w:rsid w:val="172E2D48"/>
    <w:rsid w:val="172EB53E"/>
    <w:rsid w:val="172FE88B"/>
    <w:rsid w:val="17330466"/>
    <w:rsid w:val="173DEEDB"/>
    <w:rsid w:val="173E01A8"/>
    <w:rsid w:val="173EB1D9"/>
    <w:rsid w:val="17438975"/>
    <w:rsid w:val="1743ED66"/>
    <w:rsid w:val="17505371"/>
    <w:rsid w:val="1752B0CB"/>
    <w:rsid w:val="17563ECD"/>
    <w:rsid w:val="1757406A"/>
    <w:rsid w:val="175D4D66"/>
    <w:rsid w:val="1769A600"/>
    <w:rsid w:val="176DD082"/>
    <w:rsid w:val="17732C5E"/>
    <w:rsid w:val="17751820"/>
    <w:rsid w:val="1776C9DA"/>
    <w:rsid w:val="177D13FF"/>
    <w:rsid w:val="177DE209"/>
    <w:rsid w:val="17814BC1"/>
    <w:rsid w:val="178FC16A"/>
    <w:rsid w:val="17920752"/>
    <w:rsid w:val="17932264"/>
    <w:rsid w:val="17940967"/>
    <w:rsid w:val="179E2DA3"/>
    <w:rsid w:val="17ABC2FC"/>
    <w:rsid w:val="17AC9D76"/>
    <w:rsid w:val="17AD65F8"/>
    <w:rsid w:val="17B50CDB"/>
    <w:rsid w:val="17B77007"/>
    <w:rsid w:val="17BA4E49"/>
    <w:rsid w:val="17BC90FF"/>
    <w:rsid w:val="17BFBE02"/>
    <w:rsid w:val="17BFD690"/>
    <w:rsid w:val="17C3E970"/>
    <w:rsid w:val="17CE7F3D"/>
    <w:rsid w:val="17DA3674"/>
    <w:rsid w:val="17DD87D9"/>
    <w:rsid w:val="17DE5C41"/>
    <w:rsid w:val="17E0DB4C"/>
    <w:rsid w:val="17E5DF22"/>
    <w:rsid w:val="17ED7829"/>
    <w:rsid w:val="17EE50FE"/>
    <w:rsid w:val="17EEA767"/>
    <w:rsid w:val="17EF22D3"/>
    <w:rsid w:val="17F1B392"/>
    <w:rsid w:val="17F7BE30"/>
    <w:rsid w:val="17FDC7F2"/>
    <w:rsid w:val="17FF6A1F"/>
    <w:rsid w:val="17FFB08B"/>
    <w:rsid w:val="18005A9C"/>
    <w:rsid w:val="18006386"/>
    <w:rsid w:val="18056150"/>
    <w:rsid w:val="1805910B"/>
    <w:rsid w:val="18074018"/>
    <w:rsid w:val="180B4111"/>
    <w:rsid w:val="180FFEB0"/>
    <w:rsid w:val="1817FD03"/>
    <w:rsid w:val="1818A4C5"/>
    <w:rsid w:val="181E358E"/>
    <w:rsid w:val="181FFC36"/>
    <w:rsid w:val="1820C109"/>
    <w:rsid w:val="182195CA"/>
    <w:rsid w:val="18263671"/>
    <w:rsid w:val="182723ED"/>
    <w:rsid w:val="1827E47F"/>
    <w:rsid w:val="182AADBA"/>
    <w:rsid w:val="1832FE84"/>
    <w:rsid w:val="18368CFE"/>
    <w:rsid w:val="1837E2F2"/>
    <w:rsid w:val="183EFD00"/>
    <w:rsid w:val="183F9F59"/>
    <w:rsid w:val="18411801"/>
    <w:rsid w:val="1849099F"/>
    <w:rsid w:val="184C8DBC"/>
    <w:rsid w:val="184CB240"/>
    <w:rsid w:val="1851EBF4"/>
    <w:rsid w:val="185421FA"/>
    <w:rsid w:val="1854DED2"/>
    <w:rsid w:val="18550F4D"/>
    <w:rsid w:val="1858428C"/>
    <w:rsid w:val="185B1608"/>
    <w:rsid w:val="185B2C32"/>
    <w:rsid w:val="185C8550"/>
    <w:rsid w:val="185E42FE"/>
    <w:rsid w:val="18678D4C"/>
    <w:rsid w:val="186F8580"/>
    <w:rsid w:val="187226EE"/>
    <w:rsid w:val="1876B1CD"/>
    <w:rsid w:val="1876E4E2"/>
    <w:rsid w:val="18773639"/>
    <w:rsid w:val="18779E9D"/>
    <w:rsid w:val="187BC9B2"/>
    <w:rsid w:val="187BDCB1"/>
    <w:rsid w:val="187E40E8"/>
    <w:rsid w:val="187EF3BE"/>
    <w:rsid w:val="1882F797"/>
    <w:rsid w:val="18832ACE"/>
    <w:rsid w:val="1883F426"/>
    <w:rsid w:val="188B482B"/>
    <w:rsid w:val="188DCCB1"/>
    <w:rsid w:val="188F27C8"/>
    <w:rsid w:val="1893BEDE"/>
    <w:rsid w:val="18989AF3"/>
    <w:rsid w:val="1898E602"/>
    <w:rsid w:val="189CF4D7"/>
    <w:rsid w:val="18A3B999"/>
    <w:rsid w:val="18A5EE11"/>
    <w:rsid w:val="18A7A03B"/>
    <w:rsid w:val="18A82E69"/>
    <w:rsid w:val="18A83F46"/>
    <w:rsid w:val="18A92784"/>
    <w:rsid w:val="18AA8845"/>
    <w:rsid w:val="18ACF9B3"/>
    <w:rsid w:val="18AFF2BE"/>
    <w:rsid w:val="18B1EFD9"/>
    <w:rsid w:val="18B25E70"/>
    <w:rsid w:val="18B4BEA7"/>
    <w:rsid w:val="18B52B3F"/>
    <w:rsid w:val="18B727DD"/>
    <w:rsid w:val="18B87E44"/>
    <w:rsid w:val="18B8D294"/>
    <w:rsid w:val="18BA4049"/>
    <w:rsid w:val="18BB044F"/>
    <w:rsid w:val="18BDE7FB"/>
    <w:rsid w:val="18BF2622"/>
    <w:rsid w:val="18C1ADB3"/>
    <w:rsid w:val="18C35DCD"/>
    <w:rsid w:val="18C60505"/>
    <w:rsid w:val="18C65298"/>
    <w:rsid w:val="18C7C2F5"/>
    <w:rsid w:val="18CBE34A"/>
    <w:rsid w:val="18D0C9F5"/>
    <w:rsid w:val="18D1883B"/>
    <w:rsid w:val="18D35FA1"/>
    <w:rsid w:val="18D8D2F9"/>
    <w:rsid w:val="18D8F888"/>
    <w:rsid w:val="18D94E36"/>
    <w:rsid w:val="18DFE206"/>
    <w:rsid w:val="18E01D7D"/>
    <w:rsid w:val="18E0E542"/>
    <w:rsid w:val="18E340B6"/>
    <w:rsid w:val="18E84ADE"/>
    <w:rsid w:val="18ED93E9"/>
    <w:rsid w:val="18EF206B"/>
    <w:rsid w:val="18EF9630"/>
    <w:rsid w:val="18F2E12A"/>
    <w:rsid w:val="18F2FB2D"/>
    <w:rsid w:val="18F471EB"/>
    <w:rsid w:val="18F5716E"/>
    <w:rsid w:val="18FAD90A"/>
    <w:rsid w:val="18FCE83C"/>
    <w:rsid w:val="18FE81D4"/>
    <w:rsid w:val="18FF0679"/>
    <w:rsid w:val="1905F031"/>
    <w:rsid w:val="1906C239"/>
    <w:rsid w:val="190CC1FC"/>
    <w:rsid w:val="190E0BFA"/>
    <w:rsid w:val="19117E78"/>
    <w:rsid w:val="19123FAD"/>
    <w:rsid w:val="19129E9A"/>
    <w:rsid w:val="19134CFE"/>
    <w:rsid w:val="1918BFA0"/>
    <w:rsid w:val="191C4AC4"/>
    <w:rsid w:val="191C7427"/>
    <w:rsid w:val="19257ACD"/>
    <w:rsid w:val="192CA984"/>
    <w:rsid w:val="192E241F"/>
    <w:rsid w:val="1930DB42"/>
    <w:rsid w:val="1935BE11"/>
    <w:rsid w:val="19369106"/>
    <w:rsid w:val="19370940"/>
    <w:rsid w:val="193AA69B"/>
    <w:rsid w:val="193B5BCB"/>
    <w:rsid w:val="193CB515"/>
    <w:rsid w:val="193D0849"/>
    <w:rsid w:val="193D9F22"/>
    <w:rsid w:val="19403565"/>
    <w:rsid w:val="1940C9D5"/>
    <w:rsid w:val="19484F19"/>
    <w:rsid w:val="1957DCD7"/>
    <w:rsid w:val="19584730"/>
    <w:rsid w:val="195874F2"/>
    <w:rsid w:val="1958D808"/>
    <w:rsid w:val="19598354"/>
    <w:rsid w:val="195AD08D"/>
    <w:rsid w:val="19603F93"/>
    <w:rsid w:val="19610C9F"/>
    <w:rsid w:val="1961F821"/>
    <w:rsid w:val="19657749"/>
    <w:rsid w:val="19682078"/>
    <w:rsid w:val="197098D4"/>
    <w:rsid w:val="197103D2"/>
    <w:rsid w:val="1973C4F7"/>
    <w:rsid w:val="1978A7CF"/>
    <w:rsid w:val="197912C6"/>
    <w:rsid w:val="197E45C7"/>
    <w:rsid w:val="197E5EB7"/>
    <w:rsid w:val="1982EB8A"/>
    <w:rsid w:val="19871332"/>
    <w:rsid w:val="198BADB2"/>
    <w:rsid w:val="19920070"/>
    <w:rsid w:val="1993D5A4"/>
    <w:rsid w:val="19984704"/>
    <w:rsid w:val="19991C18"/>
    <w:rsid w:val="199AF4C4"/>
    <w:rsid w:val="199CD471"/>
    <w:rsid w:val="19A04824"/>
    <w:rsid w:val="19A4EECD"/>
    <w:rsid w:val="19B10869"/>
    <w:rsid w:val="19B408B3"/>
    <w:rsid w:val="19B59019"/>
    <w:rsid w:val="19B5A24B"/>
    <w:rsid w:val="19B9D774"/>
    <w:rsid w:val="19BA088F"/>
    <w:rsid w:val="19BFA6C1"/>
    <w:rsid w:val="19C6C2B7"/>
    <w:rsid w:val="19C8245F"/>
    <w:rsid w:val="19C88A01"/>
    <w:rsid w:val="19CC6EA9"/>
    <w:rsid w:val="19D0DF66"/>
    <w:rsid w:val="19DD093C"/>
    <w:rsid w:val="19DE690D"/>
    <w:rsid w:val="19DF91E7"/>
    <w:rsid w:val="19E32149"/>
    <w:rsid w:val="19EB744A"/>
    <w:rsid w:val="19F3EDB6"/>
    <w:rsid w:val="19F4BA53"/>
    <w:rsid w:val="19F99FDB"/>
    <w:rsid w:val="19FCEE3D"/>
    <w:rsid w:val="19FDE7C6"/>
    <w:rsid w:val="1A003CE4"/>
    <w:rsid w:val="1A0451C0"/>
    <w:rsid w:val="1A061D93"/>
    <w:rsid w:val="1A08C0E3"/>
    <w:rsid w:val="1A0AA192"/>
    <w:rsid w:val="1A0AF03F"/>
    <w:rsid w:val="1A0F2F3C"/>
    <w:rsid w:val="1A0F4B7E"/>
    <w:rsid w:val="1A12DFDE"/>
    <w:rsid w:val="1A16BA06"/>
    <w:rsid w:val="1A187A1D"/>
    <w:rsid w:val="1A1A5E1F"/>
    <w:rsid w:val="1A1B46FE"/>
    <w:rsid w:val="1A205922"/>
    <w:rsid w:val="1A278262"/>
    <w:rsid w:val="1A278DDD"/>
    <w:rsid w:val="1A2E8F19"/>
    <w:rsid w:val="1A2EA070"/>
    <w:rsid w:val="1A33177E"/>
    <w:rsid w:val="1A43A4AB"/>
    <w:rsid w:val="1A44F02A"/>
    <w:rsid w:val="1A4B8597"/>
    <w:rsid w:val="1A4DA0CB"/>
    <w:rsid w:val="1A511463"/>
    <w:rsid w:val="1A5406EC"/>
    <w:rsid w:val="1A55E67A"/>
    <w:rsid w:val="1A5B11DC"/>
    <w:rsid w:val="1A66A887"/>
    <w:rsid w:val="1A684476"/>
    <w:rsid w:val="1A68A328"/>
    <w:rsid w:val="1A68EA91"/>
    <w:rsid w:val="1A6B1A71"/>
    <w:rsid w:val="1A6C88DD"/>
    <w:rsid w:val="1A6CE9B2"/>
    <w:rsid w:val="1A7B8E28"/>
    <w:rsid w:val="1A7C0F25"/>
    <w:rsid w:val="1A7DC695"/>
    <w:rsid w:val="1A8732F5"/>
    <w:rsid w:val="1A8ACFC0"/>
    <w:rsid w:val="1A8BFD83"/>
    <w:rsid w:val="1A8ED2D9"/>
    <w:rsid w:val="1A8F075F"/>
    <w:rsid w:val="1A8FE608"/>
    <w:rsid w:val="1A9052B7"/>
    <w:rsid w:val="1A96A0AF"/>
    <w:rsid w:val="1A98EB6E"/>
    <w:rsid w:val="1A9979B4"/>
    <w:rsid w:val="1A9A63FF"/>
    <w:rsid w:val="1A9B40BB"/>
    <w:rsid w:val="1A9BB3A0"/>
    <w:rsid w:val="1A9EE6F7"/>
    <w:rsid w:val="1AA83D42"/>
    <w:rsid w:val="1AACC536"/>
    <w:rsid w:val="1AAF3465"/>
    <w:rsid w:val="1AB149EE"/>
    <w:rsid w:val="1AB15AE6"/>
    <w:rsid w:val="1AB7B417"/>
    <w:rsid w:val="1ABF1D91"/>
    <w:rsid w:val="1ABFE45D"/>
    <w:rsid w:val="1AC18405"/>
    <w:rsid w:val="1AC496DF"/>
    <w:rsid w:val="1AC82B2B"/>
    <w:rsid w:val="1ACC7458"/>
    <w:rsid w:val="1AD07C28"/>
    <w:rsid w:val="1AD3A664"/>
    <w:rsid w:val="1AD3E333"/>
    <w:rsid w:val="1AD4E020"/>
    <w:rsid w:val="1AD570D3"/>
    <w:rsid w:val="1AD64934"/>
    <w:rsid w:val="1AD90094"/>
    <w:rsid w:val="1AD9D5D5"/>
    <w:rsid w:val="1ADBAED7"/>
    <w:rsid w:val="1ADC2952"/>
    <w:rsid w:val="1ADD9840"/>
    <w:rsid w:val="1AE50D31"/>
    <w:rsid w:val="1AE5560E"/>
    <w:rsid w:val="1AEA9FA9"/>
    <w:rsid w:val="1AEB86CF"/>
    <w:rsid w:val="1AEE79DE"/>
    <w:rsid w:val="1AEFB121"/>
    <w:rsid w:val="1AEFD6AD"/>
    <w:rsid w:val="1AF7579C"/>
    <w:rsid w:val="1AF88853"/>
    <w:rsid w:val="1B02949B"/>
    <w:rsid w:val="1B02A62F"/>
    <w:rsid w:val="1B03B261"/>
    <w:rsid w:val="1B051977"/>
    <w:rsid w:val="1B0960E4"/>
    <w:rsid w:val="1B0A1818"/>
    <w:rsid w:val="1B0ADBE2"/>
    <w:rsid w:val="1B0D2832"/>
    <w:rsid w:val="1B120E34"/>
    <w:rsid w:val="1B128FDC"/>
    <w:rsid w:val="1B1ADC16"/>
    <w:rsid w:val="1B1AF10B"/>
    <w:rsid w:val="1B1F16E7"/>
    <w:rsid w:val="1B225BA7"/>
    <w:rsid w:val="1B257FEB"/>
    <w:rsid w:val="1B27E1B0"/>
    <w:rsid w:val="1B281B71"/>
    <w:rsid w:val="1B295231"/>
    <w:rsid w:val="1B2A3E96"/>
    <w:rsid w:val="1B2ABCA5"/>
    <w:rsid w:val="1B2AE9E5"/>
    <w:rsid w:val="1B301167"/>
    <w:rsid w:val="1B325E78"/>
    <w:rsid w:val="1B367E01"/>
    <w:rsid w:val="1B39D8F2"/>
    <w:rsid w:val="1B3D286B"/>
    <w:rsid w:val="1B3DEBA2"/>
    <w:rsid w:val="1B3E1ED3"/>
    <w:rsid w:val="1B3FCC0F"/>
    <w:rsid w:val="1B414006"/>
    <w:rsid w:val="1B42279A"/>
    <w:rsid w:val="1B435012"/>
    <w:rsid w:val="1B44C18E"/>
    <w:rsid w:val="1B44C47B"/>
    <w:rsid w:val="1B453B14"/>
    <w:rsid w:val="1B4839FF"/>
    <w:rsid w:val="1B4864FC"/>
    <w:rsid w:val="1B4F2E0B"/>
    <w:rsid w:val="1B5374DE"/>
    <w:rsid w:val="1B5602FC"/>
    <w:rsid w:val="1B575028"/>
    <w:rsid w:val="1B57AF0C"/>
    <w:rsid w:val="1B587B94"/>
    <w:rsid w:val="1B5C0F1B"/>
    <w:rsid w:val="1B5CF4C2"/>
    <w:rsid w:val="1B62BF17"/>
    <w:rsid w:val="1B656E23"/>
    <w:rsid w:val="1B69AFDC"/>
    <w:rsid w:val="1B7101B2"/>
    <w:rsid w:val="1B74B614"/>
    <w:rsid w:val="1B759C1F"/>
    <w:rsid w:val="1B75D46C"/>
    <w:rsid w:val="1B75E21B"/>
    <w:rsid w:val="1B76574F"/>
    <w:rsid w:val="1B7786FC"/>
    <w:rsid w:val="1B78C141"/>
    <w:rsid w:val="1B797A1A"/>
    <w:rsid w:val="1B7A0DAC"/>
    <w:rsid w:val="1B7A3BE8"/>
    <w:rsid w:val="1B7B74BC"/>
    <w:rsid w:val="1B808608"/>
    <w:rsid w:val="1B83A7FA"/>
    <w:rsid w:val="1B882580"/>
    <w:rsid w:val="1B8A3DD5"/>
    <w:rsid w:val="1B8D7343"/>
    <w:rsid w:val="1B8E18A8"/>
    <w:rsid w:val="1B91CE60"/>
    <w:rsid w:val="1B92B87D"/>
    <w:rsid w:val="1B9459EE"/>
    <w:rsid w:val="1B97EDD7"/>
    <w:rsid w:val="1B98D0F5"/>
    <w:rsid w:val="1B9B9434"/>
    <w:rsid w:val="1B9FC120"/>
    <w:rsid w:val="1BA08D4A"/>
    <w:rsid w:val="1BA391E8"/>
    <w:rsid w:val="1BAD0022"/>
    <w:rsid w:val="1BAD91EB"/>
    <w:rsid w:val="1BADE13D"/>
    <w:rsid w:val="1BB28A0C"/>
    <w:rsid w:val="1BB2FB55"/>
    <w:rsid w:val="1BB4711E"/>
    <w:rsid w:val="1BB47D6F"/>
    <w:rsid w:val="1BBAF267"/>
    <w:rsid w:val="1BBB559D"/>
    <w:rsid w:val="1BBCC1CF"/>
    <w:rsid w:val="1BBF1831"/>
    <w:rsid w:val="1BC3574A"/>
    <w:rsid w:val="1BC5E38B"/>
    <w:rsid w:val="1BCB319E"/>
    <w:rsid w:val="1BCF377A"/>
    <w:rsid w:val="1BCF710F"/>
    <w:rsid w:val="1BD1B333"/>
    <w:rsid w:val="1BD2569B"/>
    <w:rsid w:val="1BD5931D"/>
    <w:rsid w:val="1BD5EE9D"/>
    <w:rsid w:val="1BD8A951"/>
    <w:rsid w:val="1BD9625A"/>
    <w:rsid w:val="1BDA6402"/>
    <w:rsid w:val="1BDA9015"/>
    <w:rsid w:val="1BDACB63"/>
    <w:rsid w:val="1BDBFD57"/>
    <w:rsid w:val="1BE0A17F"/>
    <w:rsid w:val="1BE20A10"/>
    <w:rsid w:val="1BE6C569"/>
    <w:rsid w:val="1BE8A506"/>
    <w:rsid w:val="1BECA3DB"/>
    <w:rsid w:val="1BECF505"/>
    <w:rsid w:val="1BEDF257"/>
    <w:rsid w:val="1BEE3CE9"/>
    <w:rsid w:val="1C0A7310"/>
    <w:rsid w:val="1C0B82A6"/>
    <w:rsid w:val="1C0E5D22"/>
    <w:rsid w:val="1C11B09C"/>
    <w:rsid w:val="1C17E1D9"/>
    <w:rsid w:val="1C181C0C"/>
    <w:rsid w:val="1C186420"/>
    <w:rsid w:val="1C1EC286"/>
    <w:rsid w:val="1C206906"/>
    <w:rsid w:val="1C245E40"/>
    <w:rsid w:val="1C25A66C"/>
    <w:rsid w:val="1C25F07D"/>
    <w:rsid w:val="1C260D29"/>
    <w:rsid w:val="1C2695B1"/>
    <w:rsid w:val="1C289F46"/>
    <w:rsid w:val="1C29A804"/>
    <w:rsid w:val="1C2CDC73"/>
    <w:rsid w:val="1C304F87"/>
    <w:rsid w:val="1C32DD67"/>
    <w:rsid w:val="1C36EBCB"/>
    <w:rsid w:val="1C3828C6"/>
    <w:rsid w:val="1C42CD5D"/>
    <w:rsid w:val="1C4A7989"/>
    <w:rsid w:val="1C4BFE40"/>
    <w:rsid w:val="1C526660"/>
    <w:rsid w:val="1C53E1D6"/>
    <w:rsid w:val="1C54C3BF"/>
    <w:rsid w:val="1C5C15BA"/>
    <w:rsid w:val="1C6234D5"/>
    <w:rsid w:val="1C62E703"/>
    <w:rsid w:val="1C6739CB"/>
    <w:rsid w:val="1C675AC8"/>
    <w:rsid w:val="1C68515E"/>
    <w:rsid w:val="1C695248"/>
    <w:rsid w:val="1C69FBD1"/>
    <w:rsid w:val="1C6A920B"/>
    <w:rsid w:val="1C6B4221"/>
    <w:rsid w:val="1C6DC050"/>
    <w:rsid w:val="1C6EEBAC"/>
    <w:rsid w:val="1C7EC236"/>
    <w:rsid w:val="1C83BD4C"/>
    <w:rsid w:val="1C85687A"/>
    <w:rsid w:val="1C85E333"/>
    <w:rsid w:val="1C8A84D4"/>
    <w:rsid w:val="1C8ACBDA"/>
    <w:rsid w:val="1C8DEEEB"/>
    <w:rsid w:val="1C8EF9B0"/>
    <w:rsid w:val="1C8F2901"/>
    <w:rsid w:val="1C933DA6"/>
    <w:rsid w:val="1C939FFB"/>
    <w:rsid w:val="1C9771AE"/>
    <w:rsid w:val="1C9998E3"/>
    <w:rsid w:val="1C9F2F47"/>
    <w:rsid w:val="1CA04A76"/>
    <w:rsid w:val="1CA085F0"/>
    <w:rsid w:val="1CA0E100"/>
    <w:rsid w:val="1CA1C4C6"/>
    <w:rsid w:val="1CACAC11"/>
    <w:rsid w:val="1CAE1710"/>
    <w:rsid w:val="1CAE2A3C"/>
    <w:rsid w:val="1CAFBD77"/>
    <w:rsid w:val="1CB18371"/>
    <w:rsid w:val="1CB3F64F"/>
    <w:rsid w:val="1CB6D3EB"/>
    <w:rsid w:val="1CB88435"/>
    <w:rsid w:val="1CBA7D7F"/>
    <w:rsid w:val="1CC20775"/>
    <w:rsid w:val="1CC83B73"/>
    <w:rsid w:val="1CC90F26"/>
    <w:rsid w:val="1CCE9689"/>
    <w:rsid w:val="1CD4AFBF"/>
    <w:rsid w:val="1CD8F8CC"/>
    <w:rsid w:val="1CDAB971"/>
    <w:rsid w:val="1CE07F37"/>
    <w:rsid w:val="1CE3F370"/>
    <w:rsid w:val="1CE50FDD"/>
    <w:rsid w:val="1CE6E6CE"/>
    <w:rsid w:val="1CEA04B1"/>
    <w:rsid w:val="1CEC15E8"/>
    <w:rsid w:val="1CED94A6"/>
    <w:rsid w:val="1CF0D865"/>
    <w:rsid w:val="1CF70F01"/>
    <w:rsid w:val="1CF84EE3"/>
    <w:rsid w:val="1CF8B7C9"/>
    <w:rsid w:val="1CFC98C3"/>
    <w:rsid w:val="1CFE7E2A"/>
    <w:rsid w:val="1D00A683"/>
    <w:rsid w:val="1D0199BA"/>
    <w:rsid w:val="1D07FA99"/>
    <w:rsid w:val="1D096F4B"/>
    <w:rsid w:val="1D0E0B9B"/>
    <w:rsid w:val="1D0F85B3"/>
    <w:rsid w:val="1D114C1A"/>
    <w:rsid w:val="1D13D9B6"/>
    <w:rsid w:val="1D1655EE"/>
    <w:rsid w:val="1D16C025"/>
    <w:rsid w:val="1D199627"/>
    <w:rsid w:val="1D1F4711"/>
    <w:rsid w:val="1D294BCF"/>
    <w:rsid w:val="1D295E0C"/>
    <w:rsid w:val="1D2C5B45"/>
    <w:rsid w:val="1D2F754B"/>
    <w:rsid w:val="1D32FB8F"/>
    <w:rsid w:val="1D37D096"/>
    <w:rsid w:val="1D3EB19A"/>
    <w:rsid w:val="1D3F04CA"/>
    <w:rsid w:val="1D40A391"/>
    <w:rsid w:val="1D4496C8"/>
    <w:rsid w:val="1D47E0B3"/>
    <w:rsid w:val="1D4890AF"/>
    <w:rsid w:val="1D4CF5BE"/>
    <w:rsid w:val="1D4D8952"/>
    <w:rsid w:val="1D4F4579"/>
    <w:rsid w:val="1D506FCA"/>
    <w:rsid w:val="1D51A357"/>
    <w:rsid w:val="1D5475CC"/>
    <w:rsid w:val="1D572F29"/>
    <w:rsid w:val="1D57DF54"/>
    <w:rsid w:val="1D618F27"/>
    <w:rsid w:val="1D653BDE"/>
    <w:rsid w:val="1D6C9140"/>
    <w:rsid w:val="1D6D55A3"/>
    <w:rsid w:val="1D72E9DD"/>
    <w:rsid w:val="1D7A31BE"/>
    <w:rsid w:val="1D7B6084"/>
    <w:rsid w:val="1D7DCE96"/>
    <w:rsid w:val="1D7FEE14"/>
    <w:rsid w:val="1D82F407"/>
    <w:rsid w:val="1D839D3B"/>
    <w:rsid w:val="1D860439"/>
    <w:rsid w:val="1D863B4E"/>
    <w:rsid w:val="1D881B91"/>
    <w:rsid w:val="1D8987A4"/>
    <w:rsid w:val="1D8C5F4D"/>
    <w:rsid w:val="1D8C7F52"/>
    <w:rsid w:val="1D8EE597"/>
    <w:rsid w:val="1D915C02"/>
    <w:rsid w:val="1D927916"/>
    <w:rsid w:val="1D94926C"/>
    <w:rsid w:val="1D95ADAF"/>
    <w:rsid w:val="1D96E1B9"/>
    <w:rsid w:val="1D9D3261"/>
    <w:rsid w:val="1DA2464F"/>
    <w:rsid w:val="1DA4A65F"/>
    <w:rsid w:val="1DA55A96"/>
    <w:rsid w:val="1DA6529B"/>
    <w:rsid w:val="1DA7A270"/>
    <w:rsid w:val="1DACDD67"/>
    <w:rsid w:val="1DB25B74"/>
    <w:rsid w:val="1DB36D09"/>
    <w:rsid w:val="1DB7F90C"/>
    <w:rsid w:val="1DBAB2DE"/>
    <w:rsid w:val="1DC02EA1"/>
    <w:rsid w:val="1DC0E65C"/>
    <w:rsid w:val="1DC1F24F"/>
    <w:rsid w:val="1DCF3FD1"/>
    <w:rsid w:val="1DCFD426"/>
    <w:rsid w:val="1DD285DA"/>
    <w:rsid w:val="1DD597D2"/>
    <w:rsid w:val="1DD6AA1C"/>
    <w:rsid w:val="1DD74DE8"/>
    <w:rsid w:val="1DD93AA0"/>
    <w:rsid w:val="1DDA285C"/>
    <w:rsid w:val="1DDB9339"/>
    <w:rsid w:val="1DDC6C1E"/>
    <w:rsid w:val="1DDCBA0B"/>
    <w:rsid w:val="1DE33535"/>
    <w:rsid w:val="1DE37382"/>
    <w:rsid w:val="1DE97D5E"/>
    <w:rsid w:val="1DF120B1"/>
    <w:rsid w:val="1DF66E42"/>
    <w:rsid w:val="1DF6BE53"/>
    <w:rsid w:val="1DF80EF5"/>
    <w:rsid w:val="1E09ED8E"/>
    <w:rsid w:val="1E11C570"/>
    <w:rsid w:val="1E1208B0"/>
    <w:rsid w:val="1E125661"/>
    <w:rsid w:val="1E133071"/>
    <w:rsid w:val="1E134806"/>
    <w:rsid w:val="1E162E9D"/>
    <w:rsid w:val="1E16EA50"/>
    <w:rsid w:val="1E177D4B"/>
    <w:rsid w:val="1E182DE7"/>
    <w:rsid w:val="1E184381"/>
    <w:rsid w:val="1E1B3AFF"/>
    <w:rsid w:val="1E1F8690"/>
    <w:rsid w:val="1E204130"/>
    <w:rsid w:val="1E2C3755"/>
    <w:rsid w:val="1E2FECE5"/>
    <w:rsid w:val="1E302915"/>
    <w:rsid w:val="1E315A24"/>
    <w:rsid w:val="1E343571"/>
    <w:rsid w:val="1E346EA1"/>
    <w:rsid w:val="1E35624A"/>
    <w:rsid w:val="1E377D1E"/>
    <w:rsid w:val="1E384A46"/>
    <w:rsid w:val="1E3B74B0"/>
    <w:rsid w:val="1E3E3EC2"/>
    <w:rsid w:val="1E43DBB3"/>
    <w:rsid w:val="1E45F678"/>
    <w:rsid w:val="1E5373A4"/>
    <w:rsid w:val="1E58C2A3"/>
    <w:rsid w:val="1E595282"/>
    <w:rsid w:val="1E5B22E7"/>
    <w:rsid w:val="1E5FC4C6"/>
    <w:rsid w:val="1E60A59B"/>
    <w:rsid w:val="1E632A93"/>
    <w:rsid w:val="1E6696DF"/>
    <w:rsid w:val="1E681460"/>
    <w:rsid w:val="1E6B5C3C"/>
    <w:rsid w:val="1E6FB30B"/>
    <w:rsid w:val="1E6FBC3B"/>
    <w:rsid w:val="1E7BF503"/>
    <w:rsid w:val="1E828186"/>
    <w:rsid w:val="1E84E6DF"/>
    <w:rsid w:val="1E8AE0D4"/>
    <w:rsid w:val="1E8AE1AA"/>
    <w:rsid w:val="1E95599E"/>
    <w:rsid w:val="1E967939"/>
    <w:rsid w:val="1E97941A"/>
    <w:rsid w:val="1E9983A2"/>
    <w:rsid w:val="1E9AD6CC"/>
    <w:rsid w:val="1E9F3F57"/>
    <w:rsid w:val="1EA0B40F"/>
    <w:rsid w:val="1EA2AE26"/>
    <w:rsid w:val="1EAD0C40"/>
    <w:rsid w:val="1EAE17EF"/>
    <w:rsid w:val="1EAE51DE"/>
    <w:rsid w:val="1EAFA2E9"/>
    <w:rsid w:val="1EB6AF6F"/>
    <w:rsid w:val="1EB9024B"/>
    <w:rsid w:val="1EC02EB5"/>
    <w:rsid w:val="1ECC9A81"/>
    <w:rsid w:val="1ECECE92"/>
    <w:rsid w:val="1ECFBF7B"/>
    <w:rsid w:val="1ED2E1EC"/>
    <w:rsid w:val="1ED3C34F"/>
    <w:rsid w:val="1ED5B598"/>
    <w:rsid w:val="1ED877B1"/>
    <w:rsid w:val="1ED96D2D"/>
    <w:rsid w:val="1EDCA6E9"/>
    <w:rsid w:val="1EE1F981"/>
    <w:rsid w:val="1EE4F1D5"/>
    <w:rsid w:val="1EE71C10"/>
    <w:rsid w:val="1EE959B3"/>
    <w:rsid w:val="1EE99356"/>
    <w:rsid w:val="1EEA3D14"/>
    <w:rsid w:val="1EEF1F37"/>
    <w:rsid w:val="1EF31DD8"/>
    <w:rsid w:val="1EF37647"/>
    <w:rsid w:val="1EF37D34"/>
    <w:rsid w:val="1EF7C997"/>
    <w:rsid w:val="1EFD92C7"/>
    <w:rsid w:val="1F034684"/>
    <w:rsid w:val="1F0BFCCD"/>
    <w:rsid w:val="1F0E1350"/>
    <w:rsid w:val="1F1244A7"/>
    <w:rsid w:val="1F1392AA"/>
    <w:rsid w:val="1F144E3E"/>
    <w:rsid w:val="1F167772"/>
    <w:rsid w:val="1F1A9FCB"/>
    <w:rsid w:val="1F1B70A8"/>
    <w:rsid w:val="1F1BDE7C"/>
    <w:rsid w:val="1F1BEC5F"/>
    <w:rsid w:val="1F1C6DDA"/>
    <w:rsid w:val="1F2372EB"/>
    <w:rsid w:val="1F26E6AA"/>
    <w:rsid w:val="1F2712D6"/>
    <w:rsid w:val="1F2BC95F"/>
    <w:rsid w:val="1F2D7EF8"/>
    <w:rsid w:val="1F2D9BC5"/>
    <w:rsid w:val="1F2E3312"/>
    <w:rsid w:val="1F2F480E"/>
    <w:rsid w:val="1F2F938A"/>
    <w:rsid w:val="1F30C762"/>
    <w:rsid w:val="1F319F61"/>
    <w:rsid w:val="1F345BA8"/>
    <w:rsid w:val="1F35243C"/>
    <w:rsid w:val="1F3B9AB4"/>
    <w:rsid w:val="1F3BA847"/>
    <w:rsid w:val="1F3BE936"/>
    <w:rsid w:val="1F3C9A4D"/>
    <w:rsid w:val="1F3E85F1"/>
    <w:rsid w:val="1F3FB274"/>
    <w:rsid w:val="1F458348"/>
    <w:rsid w:val="1F470A0C"/>
    <w:rsid w:val="1F486BA6"/>
    <w:rsid w:val="1F4C71D8"/>
    <w:rsid w:val="1F4D9447"/>
    <w:rsid w:val="1F4E02B7"/>
    <w:rsid w:val="1F4F1284"/>
    <w:rsid w:val="1F504991"/>
    <w:rsid w:val="1F512ABB"/>
    <w:rsid w:val="1F551BAD"/>
    <w:rsid w:val="1F560863"/>
    <w:rsid w:val="1F5BC023"/>
    <w:rsid w:val="1F5F78BD"/>
    <w:rsid w:val="1F62EB56"/>
    <w:rsid w:val="1F6D02DC"/>
    <w:rsid w:val="1F6E1652"/>
    <w:rsid w:val="1F7324C4"/>
    <w:rsid w:val="1F737F9B"/>
    <w:rsid w:val="1F7585EA"/>
    <w:rsid w:val="1F765081"/>
    <w:rsid w:val="1F78266A"/>
    <w:rsid w:val="1F7E73C7"/>
    <w:rsid w:val="1F82401F"/>
    <w:rsid w:val="1F850636"/>
    <w:rsid w:val="1F859509"/>
    <w:rsid w:val="1F8BF053"/>
    <w:rsid w:val="1F8D9886"/>
    <w:rsid w:val="1F8EE896"/>
    <w:rsid w:val="1F924F3B"/>
    <w:rsid w:val="1F961662"/>
    <w:rsid w:val="1F965134"/>
    <w:rsid w:val="1F9A1B71"/>
    <w:rsid w:val="1F9C6FFF"/>
    <w:rsid w:val="1F9CAAD9"/>
    <w:rsid w:val="1F9DD946"/>
    <w:rsid w:val="1F9F231F"/>
    <w:rsid w:val="1FA2C48A"/>
    <w:rsid w:val="1FA77262"/>
    <w:rsid w:val="1FAA14CF"/>
    <w:rsid w:val="1FACF916"/>
    <w:rsid w:val="1FB08BB9"/>
    <w:rsid w:val="1FB454D4"/>
    <w:rsid w:val="1FBD7C6C"/>
    <w:rsid w:val="1FBF76E5"/>
    <w:rsid w:val="1FC05228"/>
    <w:rsid w:val="1FC6B8EE"/>
    <w:rsid w:val="1FC7666F"/>
    <w:rsid w:val="1FCBF976"/>
    <w:rsid w:val="1FCFE592"/>
    <w:rsid w:val="1FD2BE6E"/>
    <w:rsid w:val="1FD32788"/>
    <w:rsid w:val="1FD5586B"/>
    <w:rsid w:val="1FD681B7"/>
    <w:rsid w:val="1FD83A44"/>
    <w:rsid w:val="1FD95F00"/>
    <w:rsid w:val="1FDB43AA"/>
    <w:rsid w:val="1FDBC338"/>
    <w:rsid w:val="1FDC84F2"/>
    <w:rsid w:val="1FED1986"/>
    <w:rsid w:val="1FED72DE"/>
    <w:rsid w:val="1FEDD031"/>
    <w:rsid w:val="1FEEAC90"/>
    <w:rsid w:val="1FF01B92"/>
    <w:rsid w:val="1FF852A0"/>
    <w:rsid w:val="1FF8C8E3"/>
    <w:rsid w:val="1FF9D917"/>
    <w:rsid w:val="1FFD36C4"/>
    <w:rsid w:val="1FFF22DE"/>
    <w:rsid w:val="1FFFC8E8"/>
    <w:rsid w:val="2004AEFB"/>
    <w:rsid w:val="200D76B5"/>
    <w:rsid w:val="201069AF"/>
    <w:rsid w:val="20181FF9"/>
    <w:rsid w:val="201CE7A3"/>
    <w:rsid w:val="201D550A"/>
    <w:rsid w:val="2024B92B"/>
    <w:rsid w:val="2026EAAA"/>
    <w:rsid w:val="202AE928"/>
    <w:rsid w:val="202C1D7E"/>
    <w:rsid w:val="2032B605"/>
    <w:rsid w:val="20370B87"/>
    <w:rsid w:val="2037B164"/>
    <w:rsid w:val="20382FE9"/>
    <w:rsid w:val="2042CA1F"/>
    <w:rsid w:val="204B1E2C"/>
    <w:rsid w:val="204D05CC"/>
    <w:rsid w:val="204D84BF"/>
    <w:rsid w:val="204DC931"/>
    <w:rsid w:val="205016E6"/>
    <w:rsid w:val="20539E24"/>
    <w:rsid w:val="2058C05E"/>
    <w:rsid w:val="205AD09E"/>
    <w:rsid w:val="205ADDAC"/>
    <w:rsid w:val="205F9246"/>
    <w:rsid w:val="206760E1"/>
    <w:rsid w:val="20676FDC"/>
    <w:rsid w:val="206AA240"/>
    <w:rsid w:val="206D7F52"/>
    <w:rsid w:val="206E97D4"/>
    <w:rsid w:val="206EFF2A"/>
    <w:rsid w:val="20705279"/>
    <w:rsid w:val="2070A709"/>
    <w:rsid w:val="207406CA"/>
    <w:rsid w:val="207A56AE"/>
    <w:rsid w:val="207AC93B"/>
    <w:rsid w:val="207D95F8"/>
    <w:rsid w:val="20867FFF"/>
    <w:rsid w:val="2086F9EB"/>
    <w:rsid w:val="208D23AE"/>
    <w:rsid w:val="208D8AB2"/>
    <w:rsid w:val="208E39E8"/>
    <w:rsid w:val="208FE0F3"/>
    <w:rsid w:val="20902001"/>
    <w:rsid w:val="209670D2"/>
    <w:rsid w:val="20976F41"/>
    <w:rsid w:val="209780B1"/>
    <w:rsid w:val="209906AD"/>
    <w:rsid w:val="209983B8"/>
    <w:rsid w:val="209AD5EC"/>
    <w:rsid w:val="20A0AC01"/>
    <w:rsid w:val="20A81259"/>
    <w:rsid w:val="20AB89A3"/>
    <w:rsid w:val="20ACE0AE"/>
    <w:rsid w:val="20AD2822"/>
    <w:rsid w:val="20AEEE5A"/>
    <w:rsid w:val="20B09E37"/>
    <w:rsid w:val="20B0F802"/>
    <w:rsid w:val="20C335A0"/>
    <w:rsid w:val="20C6D88C"/>
    <w:rsid w:val="20CC4C0C"/>
    <w:rsid w:val="20CE5FE7"/>
    <w:rsid w:val="20D186F8"/>
    <w:rsid w:val="20D46739"/>
    <w:rsid w:val="20DF7E4F"/>
    <w:rsid w:val="20E506EB"/>
    <w:rsid w:val="20E720D1"/>
    <w:rsid w:val="20E926EC"/>
    <w:rsid w:val="20EB338D"/>
    <w:rsid w:val="20F6B213"/>
    <w:rsid w:val="20F8CA3E"/>
    <w:rsid w:val="210057D4"/>
    <w:rsid w:val="21018FEB"/>
    <w:rsid w:val="210626A6"/>
    <w:rsid w:val="2107E8DF"/>
    <w:rsid w:val="2108A700"/>
    <w:rsid w:val="210CB929"/>
    <w:rsid w:val="210CEB80"/>
    <w:rsid w:val="2112BB6E"/>
    <w:rsid w:val="211846B1"/>
    <w:rsid w:val="211E5579"/>
    <w:rsid w:val="2120107C"/>
    <w:rsid w:val="2123F61B"/>
    <w:rsid w:val="212D9D79"/>
    <w:rsid w:val="212E1CED"/>
    <w:rsid w:val="212EBBFE"/>
    <w:rsid w:val="212FCFCE"/>
    <w:rsid w:val="2133F00F"/>
    <w:rsid w:val="2135C1A9"/>
    <w:rsid w:val="213756E4"/>
    <w:rsid w:val="213832E5"/>
    <w:rsid w:val="2139712D"/>
    <w:rsid w:val="213E0506"/>
    <w:rsid w:val="21473ECF"/>
    <w:rsid w:val="21476996"/>
    <w:rsid w:val="2148375A"/>
    <w:rsid w:val="21556CD7"/>
    <w:rsid w:val="2155E6B3"/>
    <w:rsid w:val="2156D77E"/>
    <w:rsid w:val="2162EEBC"/>
    <w:rsid w:val="2163E96B"/>
    <w:rsid w:val="2166F68B"/>
    <w:rsid w:val="2167506A"/>
    <w:rsid w:val="216AB7B1"/>
    <w:rsid w:val="216DB52F"/>
    <w:rsid w:val="216E2787"/>
    <w:rsid w:val="217223E9"/>
    <w:rsid w:val="2177EDBA"/>
    <w:rsid w:val="217B2B27"/>
    <w:rsid w:val="217EF901"/>
    <w:rsid w:val="218603AF"/>
    <w:rsid w:val="218ADE0D"/>
    <w:rsid w:val="218CD440"/>
    <w:rsid w:val="218CFC41"/>
    <w:rsid w:val="218FE42E"/>
    <w:rsid w:val="21952695"/>
    <w:rsid w:val="219A0D09"/>
    <w:rsid w:val="219A5177"/>
    <w:rsid w:val="21A47B0A"/>
    <w:rsid w:val="21A4B8CE"/>
    <w:rsid w:val="21A84C97"/>
    <w:rsid w:val="21A84E95"/>
    <w:rsid w:val="21AAE38C"/>
    <w:rsid w:val="21ACACCD"/>
    <w:rsid w:val="21B06C40"/>
    <w:rsid w:val="21B2D491"/>
    <w:rsid w:val="21B3CFF5"/>
    <w:rsid w:val="21B4D231"/>
    <w:rsid w:val="21B56728"/>
    <w:rsid w:val="21B82F08"/>
    <w:rsid w:val="21BB9200"/>
    <w:rsid w:val="21BD4233"/>
    <w:rsid w:val="21BDE51A"/>
    <w:rsid w:val="21BF3B92"/>
    <w:rsid w:val="21C07BDC"/>
    <w:rsid w:val="21C6219C"/>
    <w:rsid w:val="21CB48ED"/>
    <w:rsid w:val="21CD31FF"/>
    <w:rsid w:val="21CE1B1E"/>
    <w:rsid w:val="21D081A3"/>
    <w:rsid w:val="21D7AEB7"/>
    <w:rsid w:val="21D8392A"/>
    <w:rsid w:val="21DD1905"/>
    <w:rsid w:val="21DE24B9"/>
    <w:rsid w:val="21DF3F1B"/>
    <w:rsid w:val="21E12B7F"/>
    <w:rsid w:val="21E3334B"/>
    <w:rsid w:val="21E98FED"/>
    <w:rsid w:val="21EACF83"/>
    <w:rsid w:val="21F21E0C"/>
    <w:rsid w:val="21F694FC"/>
    <w:rsid w:val="21FAF7D4"/>
    <w:rsid w:val="2202CD48"/>
    <w:rsid w:val="2206FCF4"/>
    <w:rsid w:val="2214B247"/>
    <w:rsid w:val="22162EBD"/>
    <w:rsid w:val="221B0004"/>
    <w:rsid w:val="221E4976"/>
    <w:rsid w:val="2223E56B"/>
    <w:rsid w:val="2226181A"/>
    <w:rsid w:val="222AEEA4"/>
    <w:rsid w:val="222CD9E3"/>
    <w:rsid w:val="22328FEC"/>
    <w:rsid w:val="22348246"/>
    <w:rsid w:val="223D80E6"/>
    <w:rsid w:val="22409B97"/>
    <w:rsid w:val="22412344"/>
    <w:rsid w:val="22420499"/>
    <w:rsid w:val="22486D93"/>
    <w:rsid w:val="22498663"/>
    <w:rsid w:val="224A3DAB"/>
    <w:rsid w:val="224E063F"/>
    <w:rsid w:val="22564723"/>
    <w:rsid w:val="225C0F32"/>
    <w:rsid w:val="225D618B"/>
    <w:rsid w:val="225FFB2E"/>
    <w:rsid w:val="2261147D"/>
    <w:rsid w:val="2262DF3C"/>
    <w:rsid w:val="2262F6EA"/>
    <w:rsid w:val="2263B599"/>
    <w:rsid w:val="22665A9D"/>
    <w:rsid w:val="226B25BD"/>
    <w:rsid w:val="22706CC4"/>
    <w:rsid w:val="2270CB27"/>
    <w:rsid w:val="227104DA"/>
    <w:rsid w:val="22736869"/>
    <w:rsid w:val="22751468"/>
    <w:rsid w:val="22788A27"/>
    <w:rsid w:val="22793221"/>
    <w:rsid w:val="22833987"/>
    <w:rsid w:val="2284F4EF"/>
    <w:rsid w:val="22877C39"/>
    <w:rsid w:val="228BA02A"/>
    <w:rsid w:val="228D3018"/>
    <w:rsid w:val="229282E5"/>
    <w:rsid w:val="22980CD6"/>
    <w:rsid w:val="229870D2"/>
    <w:rsid w:val="229B02CA"/>
    <w:rsid w:val="229C292F"/>
    <w:rsid w:val="229F3E89"/>
    <w:rsid w:val="22A2394C"/>
    <w:rsid w:val="22A68C26"/>
    <w:rsid w:val="22A8986A"/>
    <w:rsid w:val="22AF6491"/>
    <w:rsid w:val="22AF9A96"/>
    <w:rsid w:val="22B09BE0"/>
    <w:rsid w:val="22B1EFEF"/>
    <w:rsid w:val="22B43B0E"/>
    <w:rsid w:val="22B629DE"/>
    <w:rsid w:val="22B77C30"/>
    <w:rsid w:val="22BB0910"/>
    <w:rsid w:val="22C05D2A"/>
    <w:rsid w:val="22C0777E"/>
    <w:rsid w:val="22C4EBC7"/>
    <w:rsid w:val="22C66142"/>
    <w:rsid w:val="22CBE99D"/>
    <w:rsid w:val="22D30E97"/>
    <w:rsid w:val="22D38A48"/>
    <w:rsid w:val="22D4E4E5"/>
    <w:rsid w:val="22D68E3F"/>
    <w:rsid w:val="22D7B606"/>
    <w:rsid w:val="22D9CD1F"/>
    <w:rsid w:val="22E1D233"/>
    <w:rsid w:val="22E3A806"/>
    <w:rsid w:val="22E4E101"/>
    <w:rsid w:val="22E6DE3C"/>
    <w:rsid w:val="22E9B342"/>
    <w:rsid w:val="22EBA91E"/>
    <w:rsid w:val="22ED8B70"/>
    <w:rsid w:val="22F1EC64"/>
    <w:rsid w:val="22F4D885"/>
    <w:rsid w:val="22F53851"/>
    <w:rsid w:val="22FE3325"/>
    <w:rsid w:val="22FE89D0"/>
    <w:rsid w:val="22FF1142"/>
    <w:rsid w:val="23033952"/>
    <w:rsid w:val="23041029"/>
    <w:rsid w:val="2307D1ED"/>
    <w:rsid w:val="23083517"/>
    <w:rsid w:val="23114803"/>
    <w:rsid w:val="2312DF43"/>
    <w:rsid w:val="23167CDE"/>
    <w:rsid w:val="23185524"/>
    <w:rsid w:val="232328D2"/>
    <w:rsid w:val="2324719F"/>
    <w:rsid w:val="232522A1"/>
    <w:rsid w:val="2326A550"/>
    <w:rsid w:val="2327F4E8"/>
    <w:rsid w:val="232C9A83"/>
    <w:rsid w:val="232D10D3"/>
    <w:rsid w:val="232FE2C9"/>
    <w:rsid w:val="23306BC6"/>
    <w:rsid w:val="23329F0D"/>
    <w:rsid w:val="2333AF0E"/>
    <w:rsid w:val="23343D7B"/>
    <w:rsid w:val="2334E8A9"/>
    <w:rsid w:val="2335A675"/>
    <w:rsid w:val="23360678"/>
    <w:rsid w:val="23399539"/>
    <w:rsid w:val="233CF1FD"/>
    <w:rsid w:val="233EB3B5"/>
    <w:rsid w:val="233F3A37"/>
    <w:rsid w:val="234215CE"/>
    <w:rsid w:val="2342DC69"/>
    <w:rsid w:val="2345603D"/>
    <w:rsid w:val="2347799B"/>
    <w:rsid w:val="234D309C"/>
    <w:rsid w:val="2352CEAC"/>
    <w:rsid w:val="23565071"/>
    <w:rsid w:val="2356F31F"/>
    <w:rsid w:val="23575E44"/>
    <w:rsid w:val="2357EAAF"/>
    <w:rsid w:val="23581263"/>
    <w:rsid w:val="235CC517"/>
    <w:rsid w:val="235E1F35"/>
    <w:rsid w:val="23637533"/>
    <w:rsid w:val="2363D0F9"/>
    <w:rsid w:val="2369EC1F"/>
    <w:rsid w:val="2369ED10"/>
    <w:rsid w:val="236EFBEB"/>
    <w:rsid w:val="237112C1"/>
    <w:rsid w:val="23713200"/>
    <w:rsid w:val="2371D297"/>
    <w:rsid w:val="237DF73F"/>
    <w:rsid w:val="237E39C0"/>
    <w:rsid w:val="237EA4E9"/>
    <w:rsid w:val="23829E18"/>
    <w:rsid w:val="23858C45"/>
    <w:rsid w:val="238863BC"/>
    <w:rsid w:val="23898DC1"/>
    <w:rsid w:val="238C44B1"/>
    <w:rsid w:val="238D5AB6"/>
    <w:rsid w:val="2399F753"/>
    <w:rsid w:val="239FC4FF"/>
    <w:rsid w:val="23A06753"/>
    <w:rsid w:val="23A7121A"/>
    <w:rsid w:val="23AE6E8D"/>
    <w:rsid w:val="23AF4CB0"/>
    <w:rsid w:val="23B0180C"/>
    <w:rsid w:val="23B1FF1E"/>
    <w:rsid w:val="23B47CBA"/>
    <w:rsid w:val="23B73055"/>
    <w:rsid w:val="23B75FF3"/>
    <w:rsid w:val="23B929FF"/>
    <w:rsid w:val="23BB52C0"/>
    <w:rsid w:val="23BC7477"/>
    <w:rsid w:val="23BDC9E3"/>
    <w:rsid w:val="23C06A20"/>
    <w:rsid w:val="23C2E6BD"/>
    <w:rsid w:val="23C43DE3"/>
    <w:rsid w:val="23C864F2"/>
    <w:rsid w:val="23CC5BA8"/>
    <w:rsid w:val="23CC966E"/>
    <w:rsid w:val="23CEB5F7"/>
    <w:rsid w:val="23D0D5E3"/>
    <w:rsid w:val="23D186AF"/>
    <w:rsid w:val="23D19047"/>
    <w:rsid w:val="23D4B589"/>
    <w:rsid w:val="23D95F88"/>
    <w:rsid w:val="23DF7D7F"/>
    <w:rsid w:val="23E3E388"/>
    <w:rsid w:val="23E9FEBE"/>
    <w:rsid w:val="23EA1C1A"/>
    <w:rsid w:val="23ECCBF5"/>
    <w:rsid w:val="23EE7582"/>
    <w:rsid w:val="23EF7C49"/>
    <w:rsid w:val="23F01155"/>
    <w:rsid w:val="23F09EB8"/>
    <w:rsid w:val="23F26CB0"/>
    <w:rsid w:val="23F42969"/>
    <w:rsid w:val="23F7F152"/>
    <w:rsid w:val="23FA6B15"/>
    <w:rsid w:val="24039F7F"/>
    <w:rsid w:val="24084C70"/>
    <w:rsid w:val="2408B875"/>
    <w:rsid w:val="2409CAB3"/>
    <w:rsid w:val="240DD6B7"/>
    <w:rsid w:val="2413D45B"/>
    <w:rsid w:val="24184E96"/>
    <w:rsid w:val="2418A259"/>
    <w:rsid w:val="241CA92E"/>
    <w:rsid w:val="241D81CB"/>
    <w:rsid w:val="241E3FB9"/>
    <w:rsid w:val="2422784F"/>
    <w:rsid w:val="2427D6A8"/>
    <w:rsid w:val="242B6858"/>
    <w:rsid w:val="242C669E"/>
    <w:rsid w:val="242D0C6B"/>
    <w:rsid w:val="243133D3"/>
    <w:rsid w:val="243249A7"/>
    <w:rsid w:val="2434B3F9"/>
    <w:rsid w:val="243EB626"/>
    <w:rsid w:val="243EBFB4"/>
    <w:rsid w:val="24422369"/>
    <w:rsid w:val="24426CED"/>
    <w:rsid w:val="24436B77"/>
    <w:rsid w:val="24465315"/>
    <w:rsid w:val="244CE29C"/>
    <w:rsid w:val="244F42A6"/>
    <w:rsid w:val="24520AE1"/>
    <w:rsid w:val="24567BC2"/>
    <w:rsid w:val="245B5525"/>
    <w:rsid w:val="245D6164"/>
    <w:rsid w:val="246462B9"/>
    <w:rsid w:val="246903AD"/>
    <w:rsid w:val="24705488"/>
    <w:rsid w:val="2470D9F7"/>
    <w:rsid w:val="24746269"/>
    <w:rsid w:val="24761D77"/>
    <w:rsid w:val="247762C3"/>
    <w:rsid w:val="2477712B"/>
    <w:rsid w:val="247998DA"/>
    <w:rsid w:val="247B0844"/>
    <w:rsid w:val="2481D732"/>
    <w:rsid w:val="24879C22"/>
    <w:rsid w:val="2489A82C"/>
    <w:rsid w:val="2489DF6D"/>
    <w:rsid w:val="248C89AB"/>
    <w:rsid w:val="248DC068"/>
    <w:rsid w:val="2491D844"/>
    <w:rsid w:val="24949EB9"/>
    <w:rsid w:val="249544BE"/>
    <w:rsid w:val="24965DD3"/>
    <w:rsid w:val="2496C577"/>
    <w:rsid w:val="24984B1D"/>
    <w:rsid w:val="249879D3"/>
    <w:rsid w:val="2498A52C"/>
    <w:rsid w:val="24A7B8D3"/>
    <w:rsid w:val="24A8B918"/>
    <w:rsid w:val="24AA0770"/>
    <w:rsid w:val="24AC0685"/>
    <w:rsid w:val="24AD3729"/>
    <w:rsid w:val="24B022FC"/>
    <w:rsid w:val="24B28E61"/>
    <w:rsid w:val="24BA3D98"/>
    <w:rsid w:val="24BD9E43"/>
    <w:rsid w:val="24C08115"/>
    <w:rsid w:val="24C6ED92"/>
    <w:rsid w:val="24C72D42"/>
    <w:rsid w:val="24C86AE4"/>
    <w:rsid w:val="24CC3F03"/>
    <w:rsid w:val="24CC706E"/>
    <w:rsid w:val="24CE017D"/>
    <w:rsid w:val="24CE96EB"/>
    <w:rsid w:val="24CF49B1"/>
    <w:rsid w:val="24D0B7B1"/>
    <w:rsid w:val="24D21633"/>
    <w:rsid w:val="24D2346B"/>
    <w:rsid w:val="24D50E5A"/>
    <w:rsid w:val="24D69719"/>
    <w:rsid w:val="24DC01CC"/>
    <w:rsid w:val="24DF5AB3"/>
    <w:rsid w:val="24E0CF08"/>
    <w:rsid w:val="24E237B2"/>
    <w:rsid w:val="24E3122F"/>
    <w:rsid w:val="24E91F42"/>
    <w:rsid w:val="24ED564C"/>
    <w:rsid w:val="24F37E53"/>
    <w:rsid w:val="24F77639"/>
    <w:rsid w:val="24F7A006"/>
    <w:rsid w:val="24FA567B"/>
    <w:rsid w:val="24FB38BC"/>
    <w:rsid w:val="24FC019C"/>
    <w:rsid w:val="24FCE82A"/>
    <w:rsid w:val="2502FE2B"/>
    <w:rsid w:val="25035E4C"/>
    <w:rsid w:val="25044F9A"/>
    <w:rsid w:val="2505C2B6"/>
    <w:rsid w:val="2506551F"/>
    <w:rsid w:val="2507BB79"/>
    <w:rsid w:val="250BE52D"/>
    <w:rsid w:val="2515F7EB"/>
    <w:rsid w:val="2516624F"/>
    <w:rsid w:val="251813CC"/>
    <w:rsid w:val="251B275C"/>
    <w:rsid w:val="251C0834"/>
    <w:rsid w:val="25225EBE"/>
    <w:rsid w:val="25228B74"/>
    <w:rsid w:val="25236796"/>
    <w:rsid w:val="25244F57"/>
    <w:rsid w:val="252474BB"/>
    <w:rsid w:val="252910B1"/>
    <w:rsid w:val="25299DF0"/>
    <w:rsid w:val="252A4136"/>
    <w:rsid w:val="252FAE66"/>
    <w:rsid w:val="25388605"/>
    <w:rsid w:val="2538EC92"/>
    <w:rsid w:val="253C3EB3"/>
    <w:rsid w:val="25447573"/>
    <w:rsid w:val="254773A8"/>
    <w:rsid w:val="254E80DB"/>
    <w:rsid w:val="254EB1F1"/>
    <w:rsid w:val="254FD596"/>
    <w:rsid w:val="25548929"/>
    <w:rsid w:val="25558222"/>
    <w:rsid w:val="2555AFDD"/>
    <w:rsid w:val="2557EAF9"/>
    <w:rsid w:val="2558B22B"/>
    <w:rsid w:val="2559C2CA"/>
    <w:rsid w:val="255D10C6"/>
    <w:rsid w:val="2562D79D"/>
    <w:rsid w:val="2569F859"/>
    <w:rsid w:val="256C7766"/>
    <w:rsid w:val="256D33C9"/>
    <w:rsid w:val="256F0BC9"/>
    <w:rsid w:val="2570AC46"/>
    <w:rsid w:val="25724E0E"/>
    <w:rsid w:val="25757972"/>
    <w:rsid w:val="2577CDEE"/>
    <w:rsid w:val="257996B8"/>
    <w:rsid w:val="257FC9EA"/>
    <w:rsid w:val="258D0CED"/>
    <w:rsid w:val="258D2247"/>
    <w:rsid w:val="258EA01A"/>
    <w:rsid w:val="258F749C"/>
    <w:rsid w:val="2596E220"/>
    <w:rsid w:val="259888B8"/>
    <w:rsid w:val="259F9E99"/>
    <w:rsid w:val="25A184DE"/>
    <w:rsid w:val="25A2FFFA"/>
    <w:rsid w:val="25A4F92F"/>
    <w:rsid w:val="25A615C2"/>
    <w:rsid w:val="25A94CBF"/>
    <w:rsid w:val="25B1B438"/>
    <w:rsid w:val="25B32E0F"/>
    <w:rsid w:val="25B4B50A"/>
    <w:rsid w:val="25B7AEA6"/>
    <w:rsid w:val="25B84CDC"/>
    <w:rsid w:val="25BA712D"/>
    <w:rsid w:val="25BB8427"/>
    <w:rsid w:val="25BBC95D"/>
    <w:rsid w:val="25BC2A2B"/>
    <w:rsid w:val="25BCE9F9"/>
    <w:rsid w:val="25BE49F0"/>
    <w:rsid w:val="25BEAEDB"/>
    <w:rsid w:val="25BF0174"/>
    <w:rsid w:val="25BF2208"/>
    <w:rsid w:val="25C1EB60"/>
    <w:rsid w:val="25C4502B"/>
    <w:rsid w:val="25C66BAC"/>
    <w:rsid w:val="25C76391"/>
    <w:rsid w:val="25C7BB45"/>
    <w:rsid w:val="25C87598"/>
    <w:rsid w:val="25CA5A0C"/>
    <w:rsid w:val="25CE77A3"/>
    <w:rsid w:val="25CEB56F"/>
    <w:rsid w:val="25D38FCF"/>
    <w:rsid w:val="25D4E714"/>
    <w:rsid w:val="25D507BB"/>
    <w:rsid w:val="25D78996"/>
    <w:rsid w:val="25DAE2EF"/>
    <w:rsid w:val="25DAF13F"/>
    <w:rsid w:val="25DB51C8"/>
    <w:rsid w:val="25DD8807"/>
    <w:rsid w:val="25DDFB0B"/>
    <w:rsid w:val="25DF114B"/>
    <w:rsid w:val="25E5D474"/>
    <w:rsid w:val="25E61155"/>
    <w:rsid w:val="25EEAA96"/>
    <w:rsid w:val="25F040C0"/>
    <w:rsid w:val="25F1BA71"/>
    <w:rsid w:val="25F2705F"/>
    <w:rsid w:val="25FCE625"/>
    <w:rsid w:val="25FD8D15"/>
    <w:rsid w:val="25FE9110"/>
    <w:rsid w:val="25FEA9B6"/>
    <w:rsid w:val="26023939"/>
    <w:rsid w:val="2604A4A8"/>
    <w:rsid w:val="260650CD"/>
    <w:rsid w:val="2606C758"/>
    <w:rsid w:val="2608D054"/>
    <w:rsid w:val="2609762C"/>
    <w:rsid w:val="260EC7D8"/>
    <w:rsid w:val="26154DED"/>
    <w:rsid w:val="26156D25"/>
    <w:rsid w:val="262308AB"/>
    <w:rsid w:val="2623332C"/>
    <w:rsid w:val="2624B0EE"/>
    <w:rsid w:val="26267FFD"/>
    <w:rsid w:val="262736DB"/>
    <w:rsid w:val="262E741D"/>
    <w:rsid w:val="26300906"/>
    <w:rsid w:val="2630365D"/>
    <w:rsid w:val="26393A1B"/>
    <w:rsid w:val="263C2F52"/>
    <w:rsid w:val="2640F594"/>
    <w:rsid w:val="26439B7F"/>
    <w:rsid w:val="26455F99"/>
    <w:rsid w:val="26470D0A"/>
    <w:rsid w:val="2647A0F7"/>
    <w:rsid w:val="2647C57D"/>
    <w:rsid w:val="2647FFBC"/>
    <w:rsid w:val="264888EB"/>
    <w:rsid w:val="264DA7E5"/>
    <w:rsid w:val="264E1EB8"/>
    <w:rsid w:val="2650221E"/>
    <w:rsid w:val="26507BBE"/>
    <w:rsid w:val="265171EF"/>
    <w:rsid w:val="26528FBD"/>
    <w:rsid w:val="2657DE57"/>
    <w:rsid w:val="26593590"/>
    <w:rsid w:val="265B9FEF"/>
    <w:rsid w:val="265F3B5F"/>
    <w:rsid w:val="265F6502"/>
    <w:rsid w:val="266F5FCA"/>
    <w:rsid w:val="266FB324"/>
    <w:rsid w:val="2670226C"/>
    <w:rsid w:val="2676B312"/>
    <w:rsid w:val="2676DB29"/>
    <w:rsid w:val="26784CF9"/>
    <w:rsid w:val="267C820E"/>
    <w:rsid w:val="267D90A8"/>
    <w:rsid w:val="26806462"/>
    <w:rsid w:val="2681A63C"/>
    <w:rsid w:val="2684DBB9"/>
    <w:rsid w:val="2685ECA4"/>
    <w:rsid w:val="26897661"/>
    <w:rsid w:val="2689EA03"/>
    <w:rsid w:val="268A7B0F"/>
    <w:rsid w:val="268E4910"/>
    <w:rsid w:val="268EA189"/>
    <w:rsid w:val="268F71F4"/>
    <w:rsid w:val="268F8B71"/>
    <w:rsid w:val="268FD3D1"/>
    <w:rsid w:val="2691E9D0"/>
    <w:rsid w:val="2693C3C5"/>
    <w:rsid w:val="269864F9"/>
    <w:rsid w:val="26991BB5"/>
    <w:rsid w:val="269CDF00"/>
    <w:rsid w:val="269F2022"/>
    <w:rsid w:val="269FFC72"/>
    <w:rsid w:val="26A2C294"/>
    <w:rsid w:val="26A337A6"/>
    <w:rsid w:val="26A6CE0B"/>
    <w:rsid w:val="26A7294A"/>
    <w:rsid w:val="26ABA355"/>
    <w:rsid w:val="26AFFC1F"/>
    <w:rsid w:val="26B1C8DC"/>
    <w:rsid w:val="26B3C098"/>
    <w:rsid w:val="26B44993"/>
    <w:rsid w:val="26B62F79"/>
    <w:rsid w:val="26BD1831"/>
    <w:rsid w:val="26C2EF59"/>
    <w:rsid w:val="26C8CE9A"/>
    <w:rsid w:val="26C9F1A1"/>
    <w:rsid w:val="26D01303"/>
    <w:rsid w:val="26D2950C"/>
    <w:rsid w:val="26D40DDF"/>
    <w:rsid w:val="26D47B5C"/>
    <w:rsid w:val="26D6DB38"/>
    <w:rsid w:val="26D96A94"/>
    <w:rsid w:val="26DB13FA"/>
    <w:rsid w:val="26DCF067"/>
    <w:rsid w:val="26E0D430"/>
    <w:rsid w:val="26E4063A"/>
    <w:rsid w:val="26E5F20A"/>
    <w:rsid w:val="26E69532"/>
    <w:rsid w:val="26E6E6F6"/>
    <w:rsid w:val="26EB155D"/>
    <w:rsid w:val="26F318A9"/>
    <w:rsid w:val="26F4F087"/>
    <w:rsid w:val="26F5638A"/>
    <w:rsid w:val="26F56C31"/>
    <w:rsid w:val="26F8437F"/>
    <w:rsid w:val="26FB2D69"/>
    <w:rsid w:val="26FBEC00"/>
    <w:rsid w:val="2701E195"/>
    <w:rsid w:val="270D981F"/>
    <w:rsid w:val="2711FAEE"/>
    <w:rsid w:val="27150942"/>
    <w:rsid w:val="2716DD63"/>
    <w:rsid w:val="2716F6C8"/>
    <w:rsid w:val="2719F59E"/>
    <w:rsid w:val="271D57E7"/>
    <w:rsid w:val="271EF1A1"/>
    <w:rsid w:val="27263B60"/>
    <w:rsid w:val="27267D43"/>
    <w:rsid w:val="272D75DC"/>
    <w:rsid w:val="2735F3AF"/>
    <w:rsid w:val="273A8173"/>
    <w:rsid w:val="273FD7F4"/>
    <w:rsid w:val="274084E2"/>
    <w:rsid w:val="2745DEBF"/>
    <w:rsid w:val="2746FADC"/>
    <w:rsid w:val="2747AF83"/>
    <w:rsid w:val="2749BDAD"/>
    <w:rsid w:val="274B14EE"/>
    <w:rsid w:val="274B3C51"/>
    <w:rsid w:val="274D8E0D"/>
    <w:rsid w:val="274DC086"/>
    <w:rsid w:val="2750144F"/>
    <w:rsid w:val="2751B92B"/>
    <w:rsid w:val="27523CA2"/>
    <w:rsid w:val="275799BE"/>
    <w:rsid w:val="27591E32"/>
    <w:rsid w:val="275ED7D7"/>
    <w:rsid w:val="2764241A"/>
    <w:rsid w:val="2765094F"/>
    <w:rsid w:val="27662D22"/>
    <w:rsid w:val="27673174"/>
    <w:rsid w:val="276A4984"/>
    <w:rsid w:val="276ACB70"/>
    <w:rsid w:val="276CC485"/>
    <w:rsid w:val="27736EF6"/>
    <w:rsid w:val="27751E52"/>
    <w:rsid w:val="27761A87"/>
    <w:rsid w:val="277C38CA"/>
    <w:rsid w:val="2781AF63"/>
    <w:rsid w:val="27847D6E"/>
    <w:rsid w:val="27871B70"/>
    <w:rsid w:val="278A2962"/>
    <w:rsid w:val="278B5958"/>
    <w:rsid w:val="278D443D"/>
    <w:rsid w:val="278DC828"/>
    <w:rsid w:val="278FF197"/>
    <w:rsid w:val="2791C556"/>
    <w:rsid w:val="2792F5E7"/>
    <w:rsid w:val="27938EBA"/>
    <w:rsid w:val="27957650"/>
    <w:rsid w:val="2795F8FB"/>
    <w:rsid w:val="279CE3D1"/>
    <w:rsid w:val="279EA524"/>
    <w:rsid w:val="27A11085"/>
    <w:rsid w:val="27A5EA16"/>
    <w:rsid w:val="27A7BB30"/>
    <w:rsid w:val="27ABEF90"/>
    <w:rsid w:val="27AD9028"/>
    <w:rsid w:val="27B0E686"/>
    <w:rsid w:val="27B561E4"/>
    <w:rsid w:val="27BA7A89"/>
    <w:rsid w:val="27BDE2FE"/>
    <w:rsid w:val="27BE8160"/>
    <w:rsid w:val="27BF25D4"/>
    <w:rsid w:val="27C1B613"/>
    <w:rsid w:val="27C493A1"/>
    <w:rsid w:val="27C6B136"/>
    <w:rsid w:val="27CA081D"/>
    <w:rsid w:val="27CC89BD"/>
    <w:rsid w:val="27D22672"/>
    <w:rsid w:val="27D2E1B7"/>
    <w:rsid w:val="27D41ABF"/>
    <w:rsid w:val="27D4F898"/>
    <w:rsid w:val="27D885E6"/>
    <w:rsid w:val="27DC873C"/>
    <w:rsid w:val="27DCE950"/>
    <w:rsid w:val="27DED40E"/>
    <w:rsid w:val="27E0C078"/>
    <w:rsid w:val="27E41F14"/>
    <w:rsid w:val="27E9ECB5"/>
    <w:rsid w:val="27EB3BED"/>
    <w:rsid w:val="27ED4250"/>
    <w:rsid w:val="27EE6E55"/>
    <w:rsid w:val="27F42696"/>
    <w:rsid w:val="27FA80BE"/>
    <w:rsid w:val="28000C45"/>
    <w:rsid w:val="28041F98"/>
    <w:rsid w:val="28090D35"/>
    <w:rsid w:val="280938A2"/>
    <w:rsid w:val="280A2B79"/>
    <w:rsid w:val="280AB543"/>
    <w:rsid w:val="280AC313"/>
    <w:rsid w:val="280CC411"/>
    <w:rsid w:val="280EC7ED"/>
    <w:rsid w:val="2813FD83"/>
    <w:rsid w:val="2815AB82"/>
    <w:rsid w:val="281CDAC6"/>
    <w:rsid w:val="281EE1BC"/>
    <w:rsid w:val="281FE312"/>
    <w:rsid w:val="282408CE"/>
    <w:rsid w:val="282444F3"/>
    <w:rsid w:val="2827878D"/>
    <w:rsid w:val="2828D729"/>
    <w:rsid w:val="282A8427"/>
    <w:rsid w:val="2834F4CD"/>
    <w:rsid w:val="28359DA7"/>
    <w:rsid w:val="28408C26"/>
    <w:rsid w:val="2840AE3E"/>
    <w:rsid w:val="28413B62"/>
    <w:rsid w:val="2849F02E"/>
    <w:rsid w:val="284B4A76"/>
    <w:rsid w:val="284B8C85"/>
    <w:rsid w:val="284DFCE7"/>
    <w:rsid w:val="284EAAF3"/>
    <w:rsid w:val="2851F20D"/>
    <w:rsid w:val="28538158"/>
    <w:rsid w:val="2854CE72"/>
    <w:rsid w:val="2855C61E"/>
    <w:rsid w:val="285B815F"/>
    <w:rsid w:val="285D87F5"/>
    <w:rsid w:val="285E6989"/>
    <w:rsid w:val="28634E89"/>
    <w:rsid w:val="2863D540"/>
    <w:rsid w:val="2868521C"/>
    <w:rsid w:val="286B73EF"/>
    <w:rsid w:val="286E43D2"/>
    <w:rsid w:val="2873CF42"/>
    <w:rsid w:val="287638B0"/>
    <w:rsid w:val="287913E4"/>
    <w:rsid w:val="287AFF20"/>
    <w:rsid w:val="287C97DE"/>
    <w:rsid w:val="2885A8F6"/>
    <w:rsid w:val="2886B55A"/>
    <w:rsid w:val="28872029"/>
    <w:rsid w:val="2888583C"/>
    <w:rsid w:val="288A0C0C"/>
    <w:rsid w:val="288ACD42"/>
    <w:rsid w:val="288E8566"/>
    <w:rsid w:val="288F7595"/>
    <w:rsid w:val="2892313D"/>
    <w:rsid w:val="2893DE9D"/>
    <w:rsid w:val="28943957"/>
    <w:rsid w:val="289582BC"/>
    <w:rsid w:val="28990431"/>
    <w:rsid w:val="289CF02B"/>
    <w:rsid w:val="28A00DF1"/>
    <w:rsid w:val="28A1AC2E"/>
    <w:rsid w:val="28AB353D"/>
    <w:rsid w:val="28ADA394"/>
    <w:rsid w:val="28B037ED"/>
    <w:rsid w:val="28B1C7ED"/>
    <w:rsid w:val="28B6A062"/>
    <w:rsid w:val="28B9A16D"/>
    <w:rsid w:val="28BEE932"/>
    <w:rsid w:val="28C38C56"/>
    <w:rsid w:val="28C4D79B"/>
    <w:rsid w:val="28C7B05D"/>
    <w:rsid w:val="28CEF3DD"/>
    <w:rsid w:val="28D00E7D"/>
    <w:rsid w:val="28D56C8B"/>
    <w:rsid w:val="28D5C377"/>
    <w:rsid w:val="28D6E3C5"/>
    <w:rsid w:val="28DC5543"/>
    <w:rsid w:val="28E104ED"/>
    <w:rsid w:val="28E39E01"/>
    <w:rsid w:val="28E68A22"/>
    <w:rsid w:val="28E7EFDE"/>
    <w:rsid w:val="28E8A507"/>
    <w:rsid w:val="28EA52C1"/>
    <w:rsid w:val="28EB6564"/>
    <w:rsid w:val="28ED6B16"/>
    <w:rsid w:val="28EEBC09"/>
    <w:rsid w:val="28EFA543"/>
    <w:rsid w:val="28F38033"/>
    <w:rsid w:val="28F9F794"/>
    <w:rsid w:val="28FFA203"/>
    <w:rsid w:val="2901C817"/>
    <w:rsid w:val="2901D390"/>
    <w:rsid w:val="290698ED"/>
    <w:rsid w:val="2908DA85"/>
    <w:rsid w:val="290E6551"/>
    <w:rsid w:val="290FC307"/>
    <w:rsid w:val="2910BDE3"/>
    <w:rsid w:val="29139EAC"/>
    <w:rsid w:val="2914C2D2"/>
    <w:rsid w:val="291730CB"/>
    <w:rsid w:val="29182139"/>
    <w:rsid w:val="2923B0FD"/>
    <w:rsid w:val="29242AE6"/>
    <w:rsid w:val="2927ED83"/>
    <w:rsid w:val="292BB3A1"/>
    <w:rsid w:val="292E2E07"/>
    <w:rsid w:val="29300E46"/>
    <w:rsid w:val="29306D80"/>
    <w:rsid w:val="293208CE"/>
    <w:rsid w:val="2932DE36"/>
    <w:rsid w:val="29354BE5"/>
    <w:rsid w:val="2938B41F"/>
    <w:rsid w:val="293D8013"/>
    <w:rsid w:val="293E558D"/>
    <w:rsid w:val="294166ED"/>
    <w:rsid w:val="29438B91"/>
    <w:rsid w:val="29454123"/>
    <w:rsid w:val="294956D2"/>
    <w:rsid w:val="294B5E14"/>
    <w:rsid w:val="2950A46A"/>
    <w:rsid w:val="2951A604"/>
    <w:rsid w:val="29582EE4"/>
    <w:rsid w:val="296879A3"/>
    <w:rsid w:val="296BA868"/>
    <w:rsid w:val="2971565E"/>
    <w:rsid w:val="297191A6"/>
    <w:rsid w:val="297331BE"/>
    <w:rsid w:val="2973C94A"/>
    <w:rsid w:val="2974262E"/>
    <w:rsid w:val="2978194B"/>
    <w:rsid w:val="297920E4"/>
    <w:rsid w:val="297B94FF"/>
    <w:rsid w:val="297BDAD1"/>
    <w:rsid w:val="297C51B6"/>
    <w:rsid w:val="2984C9D4"/>
    <w:rsid w:val="2986D03E"/>
    <w:rsid w:val="2987FF7F"/>
    <w:rsid w:val="298A8FE4"/>
    <w:rsid w:val="298CB46A"/>
    <w:rsid w:val="2993AC86"/>
    <w:rsid w:val="2993B97F"/>
    <w:rsid w:val="29A14AED"/>
    <w:rsid w:val="29A574B6"/>
    <w:rsid w:val="29A668C4"/>
    <w:rsid w:val="29A85B05"/>
    <w:rsid w:val="29AE21E4"/>
    <w:rsid w:val="29B1C820"/>
    <w:rsid w:val="29B49A55"/>
    <w:rsid w:val="29B49AA8"/>
    <w:rsid w:val="29B80B3A"/>
    <w:rsid w:val="29BBF8B1"/>
    <w:rsid w:val="29BD4141"/>
    <w:rsid w:val="29BF5E50"/>
    <w:rsid w:val="29BF6E51"/>
    <w:rsid w:val="29C0784E"/>
    <w:rsid w:val="29C10E28"/>
    <w:rsid w:val="29C32F8A"/>
    <w:rsid w:val="29C4073C"/>
    <w:rsid w:val="29C424C1"/>
    <w:rsid w:val="29C4B9E5"/>
    <w:rsid w:val="29C5FDB8"/>
    <w:rsid w:val="29C844E9"/>
    <w:rsid w:val="29C8EAD8"/>
    <w:rsid w:val="29C9CC7B"/>
    <w:rsid w:val="29C9E16E"/>
    <w:rsid w:val="29CC9A28"/>
    <w:rsid w:val="29CE95B2"/>
    <w:rsid w:val="29D07C27"/>
    <w:rsid w:val="29D23965"/>
    <w:rsid w:val="29D367FD"/>
    <w:rsid w:val="29D8C41E"/>
    <w:rsid w:val="29DBA760"/>
    <w:rsid w:val="29DD0EFD"/>
    <w:rsid w:val="29DD863D"/>
    <w:rsid w:val="29DF122F"/>
    <w:rsid w:val="29E1EA29"/>
    <w:rsid w:val="29E62795"/>
    <w:rsid w:val="29EBB35D"/>
    <w:rsid w:val="29ECE2F2"/>
    <w:rsid w:val="29EEC4AC"/>
    <w:rsid w:val="29EF1A4C"/>
    <w:rsid w:val="29F5F238"/>
    <w:rsid w:val="29F92E53"/>
    <w:rsid w:val="29FA88D4"/>
    <w:rsid w:val="29FE1AC6"/>
    <w:rsid w:val="2A01071D"/>
    <w:rsid w:val="2A021CB8"/>
    <w:rsid w:val="2A022EA8"/>
    <w:rsid w:val="2A033ED8"/>
    <w:rsid w:val="2A0441C2"/>
    <w:rsid w:val="2A0AB07A"/>
    <w:rsid w:val="2A0DC382"/>
    <w:rsid w:val="2A10ECAE"/>
    <w:rsid w:val="2A124759"/>
    <w:rsid w:val="2A17EDF6"/>
    <w:rsid w:val="2A1975B3"/>
    <w:rsid w:val="2A1A8EA9"/>
    <w:rsid w:val="2A1AC9BF"/>
    <w:rsid w:val="2A1CC712"/>
    <w:rsid w:val="2A235F0F"/>
    <w:rsid w:val="2A23F439"/>
    <w:rsid w:val="2A25700F"/>
    <w:rsid w:val="2A25ED4C"/>
    <w:rsid w:val="2A2A2C22"/>
    <w:rsid w:val="2A2A4569"/>
    <w:rsid w:val="2A2CBAAD"/>
    <w:rsid w:val="2A2F9044"/>
    <w:rsid w:val="2A331553"/>
    <w:rsid w:val="2A36C583"/>
    <w:rsid w:val="2A370340"/>
    <w:rsid w:val="2A3AD9B2"/>
    <w:rsid w:val="2A3FAB9F"/>
    <w:rsid w:val="2A45BA21"/>
    <w:rsid w:val="2A4E06B0"/>
    <w:rsid w:val="2A51B3A6"/>
    <w:rsid w:val="2A53583E"/>
    <w:rsid w:val="2A552A30"/>
    <w:rsid w:val="2A553BAB"/>
    <w:rsid w:val="2A55FDD6"/>
    <w:rsid w:val="2A5D109C"/>
    <w:rsid w:val="2A5D9DDD"/>
    <w:rsid w:val="2A5EAAE3"/>
    <w:rsid w:val="2A6404DF"/>
    <w:rsid w:val="2A645A87"/>
    <w:rsid w:val="2A6502AC"/>
    <w:rsid w:val="2A66CF49"/>
    <w:rsid w:val="2A690CB5"/>
    <w:rsid w:val="2A6AC5BD"/>
    <w:rsid w:val="2A6B0E1A"/>
    <w:rsid w:val="2A6CAA60"/>
    <w:rsid w:val="2A6D6874"/>
    <w:rsid w:val="2A71539A"/>
    <w:rsid w:val="2A73E604"/>
    <w:rsid w:val="2A74CF33"/>
    <w:rsid w:val="2A758837"/>
    <w:rsid w:val="2A76805B"/>
    <w:rsid w:val="2A7A31A0"/>
    <w:rsid w:val="2A8041C9"/>
    <w:rsid w:val="2A8D61FD"/>
    <w:rsid w:val="2A9243A5"/>
    <w:rsid w:val="2A928365"/>
    <w:rsid w:val="2A9415D4"/>
    <w:rsid w:val="2A96F9E6"/>
    <w:rsid w:val="2AA82032"/>
    <w:rsid w:val="2AA858C9"/>
    <w:rsid w:val="2AA862DD"/>
    <w:rsid w:val="2AAB47B9"/>
    <w:rsid w:val="2AAB5C49"/>
    <w:rsid w:val="2AB1D5EF"/>
    <w:rsid w:val="2AB3DB80"/>
    <w:rsid w:val="2AB60207"/>
    <w:rsid w:val="2AB66C97"/>
    <w:rsid w:val="2AB7612D"/>
    <w:rsid w:val="2ABB1365"/>
    <w:rsid w:val="2ABB430E"/>
    <w:rsid w:val="2ABC5194"/>
    <w:rsid w:val="2ABCC5D5"/>
    <w:rsid w:val="2ABD27EE"/>
    <w:rsid w:val="2ABD6F6E"/>
    <w:rsid w:val="2ABEB189"/>
    <w:rsid w:val="2AC16ABC"/>
    <w:rsid w:val="2AC81F71"/>
    <w:rsid w:val="2ACA96A9"/>
    <w:rsid w:val="2ACC7B33"/>
    <w:rsid w:val="2ACD5078"/>
    <w:rsid w:val="2AD82B20"/>
    <w:rsid w:val="2ADD1078"/>
    <w:rsid w:val="2ADE46F5"/>
    <w:rsid w:val="2ADEA077"/>
    <w:rsid w:val="2AE59D58"/>
    <w:rsid w:val="2AE6F591"/>
    <w:rsid w:val="2AEB4245"/>
    <w:rsid w:val="2AEDB511"/>
    <w:rsid w:val="2AF25333"/>
    <w:rsid w:val="2AF36049"/>
    <w:rsid w:val="2AF6750F"/>
    <w:rsid w:val="2AF77FFC"/>
    <w:rsid w:val="2AFA92FF"/>
    <w:rsid w:val="2AFAC849"/>
    <w:rsid w:val="2B029644"/>
    <w:rsid w:val="2B034F04"/>
    <w:rsid w:val="2B03847C"/>
    <w:rsid w:val="2B03B07D"/>
    <w:rsid w:val="2B0572C2"/>
    <w:rsid w:val="2B09B09F"/>
    <w:rsid w:val="2B0B3968"/>
    <w:rsid w:val="2B0E883D"/>
    <w:rsid w:val="2B0F1FEE"/>
    <w:rsid w:val="2B11D42B"/>
    <w:rsid w:val="2B17B7BE"/>
    <w:rsid w:val="2B20EA25"/>
    <w:rsid w:val="2B2DA4E8"/>
    <w:rsid w:val="2B2DF8C1"/>
    <w:rsid w:val="2B2EF7A8"/>
    <w:rsid w:val="2B3297A9"/>
    <w:rsid w:val="2B342390"/>
    <w:rsid w:val="2B37F543"/>
    <w:rsid w:val="2B39E63C"/>
    <w:rsid w:val="2B3EAA49"/>
    <w:rsid w:val="2B3F2339"/>
    <w:rsid w:val="2B449A6F"/>
    <w:rsid w:val="2B455F30"/>
    <w:rsid w:val="2B46750A"/>
    <w:rsid w:val="2B486E0B"/>
    <w:rsid w:val="2B49BC97"/>
    <w:rsid w:val="2B4AD37B"/>
    <w:rsid w:val="2B4D1EB1"/>
    <w:rsid w:val="2B4D7E25"/>
    <w:rsid w:val="2B523B26"/>
    <w:rsid w:val="2B587837"/>
    <w:rsid w:val="2B5D01C9"/>
    <w:rsid w:val="2B5DB51B"/>
    <w:rsid w:val="2B5E13D8"/>
    <w:rsid w:val="2B6ABEA2"/>
    <w:rsid w:val="2B6C0D60"/>
    <w:rsid w:val="2B77C000"/>
    <w:rsid w:val="2B78FCF4"/>
    <w:rsid w:val="2B79EF67"/>
    <w:rsid w:val="2B7C24F1"/>
    <w:rsid w:val="2B80388E"/>
    <w:rsid w:val="2B83ABEC"/>
    <w:rsid w:val="2B857CC6"/>
    <w:rsid w:val="2B87F737"/>
    <w:rsid w:val="2B8ABB4F"/>
    <w:rsid w:val="2B8FB191"/>
    <w:rsid w:val="2B915200"/>
    <w:rsid w:val="2B91ABF9"/>
    <w:rsid w:val="2B924A2A"/>
    <w:rsid w:val="2B991A79"/>
    <w:rsid w:val="2B9ADA01"/>
    <w:rsid w:val="2B9B7A70"/>
    <w:rsid w:val="2B9F5A5C"/>
    <w:rsid w:val="2BA0A5F1"/>
    <w:rsid w:val="2BA0CE8E"/>
    <w:rsid w:val="2BA47D81"/>
    <w:rsid w:val="2BA52729"/>
    <w:rsid w:val="2BA5358B"/>
    <w:rsid w:val="2BB03F60"/>
    <w:rsid w:val="2BB3448F"/>
    <w:rsid w:val="2BB379F8"/>
    <w:rsid w:val="2BB7C8BA"/>
    <w:rsid w:val="2BBBB68C"/>
    <w:rsid w:val="2BC1134A"/>
    <w:rsid w:val="2BC30F62"/>
    <w:rsid w:val="2BC73EDC"/>
    <w:rsid w:val="2BC88D13"/>
    <w:rsid w:val="2BCA90E4"/>
    <w:rsid w:val="2BCE7F02"/>
    <w:rsid w:val="2BD11B36"/>
    <w:rsid w:val="2BD14ED7"/>
    <w:rsid w:val="2BDA8A94"/>
    <w:rsid w:val="2BDFA798"/>
    <w:rsid w:val="2BE467BB"/>
    <w:rsid w:val="2BF5DA92"/>
    <w:rsid w:val="2BF6EBB4"/>
    <w:rsid w:val="2BF7E67A"/>
    <w:rsid w:val="2BFA9E66"/>
    <w:rsid w:val="2BFE2C08"/>
    <w:rsid w:val="2BFE44EC"/>
    <w:rsid w:val="2BFF90F1"/>
    <w:rsid w:val="2C010AAE"/>
    <w:rsid w:val="2C0257F2"/>
    <w:rsid w:val="2C060DC3"/>
    <w:rsid w:val="2C08D057"/>
    <w:rsid w:val="2C098254"/>
    <w:rsid w:val="2C0A9CDE"/>
    <w:rsid w:val="2C0F0D02"/>
    <w:rsid w:val="2C14750A"/>
    <w:rsid w:val="2C148010"/>
    <w:rsid w:val="2C148D9F"/>
    <w:rsid w:val="2C15CF20"/>
    <w:rsid w:val="2C171461"/>
    <w:rsid w:val="2C18D8CE"/>
    <w:rsid w:val="2C1A5547"/>
    <w:rsid w:val="2C251436"/>
    <w:rsid w:val="2C278A8B"/>
    <w:rsid w:val="2C2B0AE1"/>
    <w:rsid w:val="2C2E0830"/>
    <w:rsid w:val="2C2E744D"/>
    <w:rsid w:val="2C2F20B5"/>
    <w:rsid w:val="2C317975"/>
    <w:rsid w:val="2C32A836"/>
    <w:rsid w:val="2C358101"/>
    <w:rsid w:val="2C371E87"/>
    <w:rsid w:val="2C389935"/>
    <w:rsid w:val="2C392836"/>
    <w:rsid w:val="2C3A3AD9"/>
    <w:rsid w:val="2C3C910B"/>
    <w:rsid w:val="2C3D5ABC"/>
    <w:rsid w:val="2C4575E2"/>
    <w:rsid w:val="2C46DADB"/>
    <w:rsid w:val="2C49A853"/>
    <w:rsid w:val="2C4A77AB"/>
    <w:rsid w:val="2C4B6FED"/>
    <w:rsid w:val="2C4B93C4"/>
    <w:rsid w:val="2C4D6601"/>
    <w:rsid w:val="2C4E7DE3"/>
    <w:rsid w:val="2C516B5E"/>
    <w:rsid w:val="2C536518"/>
    <w:rsid w:val="2C544708"/>
    <w:rsid w:val="2C56E24B"/>
    <w:rsid w:val="2C579A10"/>
    <w:rsid w:val="2C583707"/>
    <w:rsid w:val="2C5940C7"/>
    <w:rsid w:val="2C623F36"/>
    <w:rsid w:val="2C66670A"/>
    <w:rsid w:val="2C685C5D"/>
    <w:rsid w:val="2C6D7A19"/>
    <w:rsid w:val="2C718871"/>
    <w:rsid w:val="2C737B8A"/>
    <w:rsid w:val="2C763DC6"/>
    <w:rsid w:val="2C784307"/>
    <w:rsid w:val="2C7865E8"/>
    <w:rsid w:val="2C7B61C5"/>
    <w:rsid w:val="2C7E3AD5"/>
    <w:rsid w:val="2C7EC350"/>
    <w:rsid w:val="2C870B81"/>
    <w:rsid w:val="2C8766D0"/>
    <w:rsid w:val="2C8C23BA"/>
    <w:rsid w:val="2C8ED336"/>
    <w:rsid w:val="2C9837C8"/>
    <w:rsid w:val="2C9B8900"/>
    <w:rsid w:val="2C9CE233"/>
    <w:rsid w:val="2C9DF893"/>
    <w:rsid w:val="2C9FFA94"/>
    <w:rsid w:val="2CA04121"/>
    <w:rsid w:val="2CA05F1C"/>
    <w:rsid w:val="2CA0B852"/>
    <w:rsid w:val="2CA16CE0"/>
    <w:rsid w:val="2CA2D428"/>
    <w:rsid w:val="2CA407A6"/>
    <w:rsid w:val="2CA80846"/>
    <w:rsid w:val="2CAD78A5"/>
    <w:rsid w:val="2CB404FB"/>
    <w:rsid w:val="2CB4E5F3"/>
    <w:rsid w:val="2CBD2A10"/>
    <w:rsid w:val="2CBDA3A3"/>
    <w:rsid w:val="2CBE7100"/>
    <w:rsid w:val="2CBFB8B8"/>
    <w:rsid w:val="2CC067EF"/>
    <w:rsid w:val="2CC337FA"/>
    <w:rsid w:val="2CC5C34C"/>
    <w:rsid w:val="2CC75C57"/>
    <w:rsid w:val="2CC78537"/>
    <w:rsid w:val="2CCABB09"/>
    <w:rsid w:val="2CCE2C83"/>
    <w:rsid w:val="2CCEE03A"/>
    <w:rsid w:val="2CD663E1"/>
    <w:rsid w:val="2CD9491E"/>
    <w:rsid w:val="2CD96003"/>
    <w:rsid w:val="2CD9FFA2"/>
    <w:rsid w:val="2CE4260C"/>
    <w:rsid w:val="2CE49D16"/>
    <w:rsid w:val="2CE65F8D"/>
    <w:rsid w:val="2CEC5B93"/>
    <w:rsid w:val="2CED0331"/>
    <w:rsid w:val="2CEFC030"/>
    <w:rsid w:val="2CEFDBC4"/>
    <w:rsid w:val="2CF14D8E"/>
    <w:rsid w:val="2CF87A7C"/>
    <w:rsid w:val="2CF9E3BA"/>
    <w:rsid w:val="2CFA2B3C"/>
    <w:rsid w:val="2CFC834C"/>
    <w:rsid w:val="2CFD2940"/>
    <w:rsid w:val="2D00EC6F"/>
    <w:rsid w:val="2D0A4C4E"/>
    <w:rsid w:val="2D0ADB46"/>
    <w:rsid w:val="2D0B2DAC"/>
    <w:rsid w:val="2D0BE81E"/>
    <w:rsid w:val="2D0DFB94"/>
    <w:rsid w:val="2D0FA940"/>
    <w:rsid w:val="2D17DE85"/>
    <w:rsid w:val="2D1929F4"/>
    <w:rsid w:val="2D1ACE8E"/>
    <w:rsid w:val="2D1CDD9E"/>
    <w:rsid w:val="2D1DE11B"/>
    <w:rsid w:val="2D2078F1"/>
    <w:rsid w:val="2D20A23E"/>
    <w:rsid w:val="2D231FA7"/>
    <w:rsid w:val="2D25BD57"/>
    <w:rsid w:val="2D28279C"/>
    <w:rsid w:val="2D2A2F80"/>
    <w:rsid w:val="2D2CC70B"/>
    <w:rsid w:val="2D2D0DB5"/>
    <w:rsid w:val="2D2D2A93"/>
    <w:rsid w:val="2D300597"/>
    <w:rsid w:val="2D300A99"/>
    <w:rsid w:val="2D3451FC"/>
    <w:rsid w:val="2D34F918"/>
    <w:rsid w:val="2D36F3C3"/>
    <w:rsid w:val="2D372C3D"/>
    <w:rsid w:val="2D3A0792"/>
    <w:rsid w:val="2D3A391B"/>
    <w:rsid w:val="2D3DC15A"/>
    <w:rsid w:val="2D424F94"/>
    <w:rsid w:val="2D42DB09"/>
    <w:rsid w:val="2D432625"/>
    <w:rsid w:val="2D43E939"/>
    <w:rsid w:val="2D4B7E13"/>
    <w:rsid w:val="2D4DCDA7"/>
    <w:rsid w:val="2D4E0663"/>
    <w:rsid w:val="2D54FA9E"/>
    <w:rsid w:val="2D57A427"/>
    <w:rsid w:val="2D5CEAAC"/>
    <w:rsid w:val="2D5D4852"/>
    <w:rsid w:val="2D5F39CA"/>
    <w:rsid w:val="2D672B2F"/>
    <w:rsid w:val="2D688F5B"/>
    <w:rsid w:val="2D6C51B3"/>
    <w:rsid w:val="2D6D059F"/>
    <w:rsid w:val="2D716909"/>
    <w:rsid w:val="2D718EFC"/>
    <w:rsid w:val="2D76B811"/>
    <w:rsid w:val="2D77831D"/>
    <w:rsid w:val="2D778624"/>
    <w:rsid w:val="2D784432"/>
    <w:rsid w:val="2D7C322B"/>
    <w:rsid w:val="2D80A83A"/>
    <w:rsid w:val="2D890527"/>
    <w:rsid w:val="2D8F650D"/>
    <w:rsid w:val="2D8F8BFC"/>
    <w:rsid w:val="2D91AAF3"/>
    <w:rsid w:val="2D96821B"/>
    <w:rsid w:val="2D9A1EFB"/>
    <w:rsid w:val="2D9E1E64"/>
    <w:rsid w:val="2D9E464E"/>
    <w:rsid w:val="2DA0944A"/>
    <w:rsid w:val="2DA11C1D"/>
    <w:rsid w:val="2DA31A98"/>
    <w:rsid w:val="2DA71DEC"/>
    <w:rsid w:val="2DA75EAD"/>
    <w:rsid w:val="2DA76872"/>
    <w:rsid w:val="2DAF3E69"/>
    <w:rsid w:val="2DAFF95B"/>
    <w:rsid w:val="2DB0456B"/>
    <w:rsid w:val="2DB4DFD1"/>
    <w:rsid w:val="2DB55DC0"/>
    <w:rsid w:val="2DB79042"/>
    <w:rsid w:val="2DB83643"/>
    <w:rsid w:val="2DB9C42A"/>
    <w:rsid w:val="2DBAF698"/>
    <w:rsid w:val="2DBFE29F"/>
    <w:rsid w:val="2DC06179"/>
    <w:rsid w:val="2DC35480"/>
    <w:rsid w:val="2DC4DC46"/>
    <w:rsid w:val="2DC992E5"/>
    <w:rsid w:val="2DCF7A2C"/>
    <w:rsid w:val="2DD675ED"/>
    <w:rsid w:val="2DD97B45"/>
    <w:rsid w:val="2DDA38F2"/>
    <w:rsid w:val="2DDE44D1"/>
    <w:rsid w:val="2DDECF6D"/>
    <w:rsid w:val="2DE38E6F"/>
    <w:rsid w:val="2DF33B72"/>
    <w:rsid w:val="2DF3563A"/>
    <w:rsid w:val="2DFBB3CC"/>
    <w:rsid w:val="2E00DFEB"/>
    <w:rsid w:val="2E016B2D"/>
    <w:rsid w:val="2E023EAF"/>
    <w:rsid w:val="2E037916"/>
    <w:rsid w:val="2E0BC47C"/>
    <w:rsid w:val="2E0C43FD"/>
    <w:rsid w:val="2E12031D"/>
    <w:rsid w:val="2E1284EE"/>
    <w:rsid w:val="2E1A031F"/>
    <w:rsid w:val="2E1E3E0A"/>
    <w:rsid w:val="2E1E5032"/>
    <w:rsid w:val="2E1F4101"/>
    <w:rsid w:val="2E207671"/>
    <w:rsid w:val="2E21D23B"/>
    <w:rsid w:val="2E295876"/>
    <w:rsid w:val="2E29BBDA"/>
    <w:rsid w:val="2E2EBCD5"/>
    <w:rsid w:val="2E313688"/>
    <w:rsid w:val="2E313AF9"/>
    <w:rsid w:val="2E33A23D"/>
    <w:rsid w:val="2E38A4FF"/>
    <w:rsid w:val="2E3CB587"/>
    <w:rsid w:val="2E449D0B"/>
    <w:rsid w:val="2E45B01D"/>
    <w:rsid w:val="2E468371"/>
    <w:rsid w:val="2E47C943"/>
    <w:rsid w:val="2E491C91"/>
    <w:rsid w:val="2E49935D"/>
    <w:rsid w:val="2E4DDBF4"/>
    <w:rsid w:val="2E507FD0"/>
    <w:rsid w:val="2E51FCA9"/>
    <w:rsid w:val="2E520223"/>
    <w:rsid w:val="2E55880C"/>
    <w:rsid w:val="2E57700F"/>
    <w:rsid w:val="2E5A4161"/>
    <w:rsid w:val="2E5C0415"/>
    <w:rsid w:val="2E5CCA44"/>
    <w:rsid w:val="2E601075"/>
    <w:rsid w:val="2E62C7FB"/>
    <w:rsid w:val="2E63A80C"/>
    <w:rsid w:val="2E6D149C"/>
    <w:rsid w:val="2E6E4B33"/>
    <w:rsid w:val="2E6FA31F"/>
    <w:rsid w:val="2E751CF3"/>
    <w:rsid w:val="2E76BE99"/>
    <w:rsid w:val="2E76C3FB"/>
    <w:rsid w:val="2E79FD63"/>
    <w:rsid w:val="2E7A418F"/>
    <w:rsid w:val="2E7AC36E"/>
    <w:rsid w:val="2E7B6DC2"/>
    <w:rsid w:val="2E7C9B56"/>
    <w:rsid w:val="2E80AAB8"/>
    <w:rsid w:val="2E84A5D7"/>
    <w:rsid w:val="2E84E69F"/>
    <w:rsid w:val="2E8561D1"/>
    <w:rsid w:val="2E873969"/>
    <w:rsid w:val="2E90ED02"/>
    <w:rsid w:val="2E919806"/>
    <w:rsid w:val="2E9854D3"/>
    <w:rsid w:val="2E9B83B5"/>
    <w:rsid w:val="2E9E51EF"/>
    <w:rsid w:val="2E9FAF27"/>
    <w:rsid w:val="2EB0E7A3"/>
    <w:rsid w:val="2EB4ADEB"/>
    <w:rsid w:val="2EB52652"/>
    <w:rsid w:val="2EB8D9A2"/>
    <w:rsid w:val="2EB97C11"/>
    <w:rsid w:val="2EBA8BFA"/>
    <w:rsid w:val="2EBB8DD0"/>
    <w:rsid w:val="2EBE0305"/>
    <w:rsid w:val="2EBEF843"/>
    <w:rsid w:val="2EC1B4C0"/>
    <w:rsid w:val="2EC1C0F6"/>
    <w:rsid w:val="2EC59617"/>
    <w:rsid w:val="2EC779F0"/>
    <w:rsid w:val="2ECA5CC0"/>
    <w:rsid w:val="2ED00853"/>
    <w:rsid w:val="2ED042DF"/>
    <w:rsid w:val="2ED0D5B3"/>
    <w:rsid w:val="2ED56D23"/>
    <w:rsid w:val="2ED8FF7D"/>
    <w:rsid w:val="2EDB3D21"/>
    <w:rsid w:val="2EE15217"/>
    <w:rsid w:val="2EE39A4D"/>
    <w:rsid w:val="2EE40C31"/>
    <w:rsid w:val="2EE690C8"/>
    <w:rsid w:val="2EE6BC9C"/>
    <w:rsid w:val="2EE954AA"/>
    <w:rsid w:val="2EE96270"/>
    <w:rsid w:val="2EEA1BD7"/>
    <w:rsid w:val="2EEEB494"/>
    <w:rsid w:val="2EF5D2C7"/>
    <w:rsid w:val="2EF68922"/>
    <w:rsid w:val="2EF6D5E5"/>
    <w:rsid w:val="2EF95DDB"/>
    <w:rsid w:val="2EFCB988"/>
    <w:rsid w:val="2EFD23E9"/>
    <w:rsid w:val="2EFD5D49"/>
    <w:rsid w:val="2F00FE65"/>
    <w:rsid w:val="2F0345EF"/>
    <w:rsid w:val="2F08236E"/>
    <w:rsid w:val="2F0E058D"/>
    <w:rsid w:val="2F12B69A"/>
    <w:rsid w:val="2F12BF6D"/>
    <w:rsid w:val="2F1346B7"/>
    <w:rsid w:val="2F1B41BD"/>
    <w:rsid w:val="2F1E06DD"/>
    <w:rsid w:val="2F1E3732"/>
    <w:rsid w:val="2F2405BA"/>
    <w:rsid w:val="2F24FDAB"/>
    <w:rsid w:val="2F28A9DA"/>
    <w:rsid w:val="2F29DDC5"/>
    <w:rsid w:val="2F2BE091"/>
    <w:rsid w:val="2F2C51EA"/>
    <w:rsid w:val="2F2E172C"/>
    <w:rsid w:val="2F2EB3E5"/>
    <w:rsid w:val="2F31D509"/>
    <w:rsid w:val="2F31DD40"/>
    <w:rsid w:val="2F362803"/>
    <w:rsid w:val="2F37F264"/>
    <w:rsid w:val="2F3D2B9B"/>
    <w:rsid w:val="2F3FA49D"/>
    <w:rsid w:val="2F400C59"/>
    <w:rsid w:val="2F41329A"/>
    <w:rsid w:val="2F44246C"/>
    <w:rsid w:val="2F47588A"/>
    <w:rsid w:val="2F49FDAB"/>
    <w:rsid w:val="2F553F86"/>
    <w:rsid w:val="2F576870"/>
    <w:rsid w:val="2F5CC6AA"/>
    <w:rsid w:val="2F5EBEE3"/>
    <w:rsid w:val="2F5F166C"/>
    <w:rsid w:val="2F610718"/>
    <w:rsid w:val="2F615315"/>
    <w:rsid w:val="2F6413CF"/>
    <w:rsid w:val="2F6486C7"/>
    <w:rsid w:val="2F658A2D"/>
    <w:rsid w:val="2F66D6D3"/>
    <w:rsid w:val="2F6738F0"/>
    <w:rsid w:val="2F689D8E"/>
    <w:rsid w:val="2F6A73E6"/>
    <w:rsid w:val="2F6FF821"/>
    <w:rsid w:val="2F774B93"/>
    <w:rsid w:val="2F7A98DA"/>
    <w:rsid w:val="2F7EC1CF"/>
    <w:rsid w:val="2F80DAB6"/>
    <w:rsid w:val="2F8307BC"/>
    <w:rsid w:val="2F841565"/>
    <w:rsid w:val="2F863AFC"/>
    <w:rsid w:val="2F877B22"/>
    <w:rsid w:val="2F8A09FB"/>
    <w:rsid w:val="2F900E50"/>
    <w:rsid w:val="2F92FE68"/>
    <w:rsid w:val="2F949C8C"/>
    <w:rsid w:val="2F959541"/>
    <w:rsid w:val="2F9CD902"/>
    <w:rsid w:val="2FA3BE56"/>
    <w:rsid w:val="2FA8145E"/>
    <w:rsid w:val="2FA975D4"/>
    <w:rsid w:val="2FAAEA04"/>
    <w:rsid w:val="2FB255F6"/>
    <w:rsid w:val="2FB35427"/>
    <w:rsid w:val="2FB528E5"/>
    <w:rsid w:val="2FB568C1"/>
    <w:rsid w:val="2FB89FD3"/>
    <w:rsid w:val="2FB9421C"/>
    <w:rsid w:val="2FBB5535"/>
    <w:rsid w:val="2FBC386D"/>
    <w:rsid w:val="2FC083C8"/>
    <w:rsid w:val="2FC447B5"/>
    <w:rsid w:val="2FC54D23"/>
    <w:rsid w:val="2FC6CD25"/>
    <w:rsid w:val="2FC7B35F"/>
    <w:rsid w:val="2FC7D80F"/>
    <w:rsid w:val="2FCB540A"/>
    <w:rsid w:val="2FCDF861"/>
    <w:rsid w:val="2FD4FC57"/>
    <w:rsid w:val="2FD530A0"/>
    <w:rsid w:val="2FD653EE"/>
    <w:rsid w:val="2FD8F0F0"/>
    <w:rsid w:val="2FD96A89"/>
    <w:rsid w:val="2FDB9A5B"/>
    <w:rsid w:val="2FDF02F8"/>
    <w:rsid w:val="2FDF5698"/>
    <w:rsid w:val="2FE035F2"/>
    <w:rsid w:val="2FE14BCF"/>
    <w:rsid w:val="2FE23884"/>
    <w:rsid w:val="2FE5A038"/>
    <w:rsid w:val="2FE63F31"/>
    <w:rsid w:val="2FE6A290"/>
    <w:rsid w:val="2FE6B91C"/>
    <w:rsid w:val="2FE7E8F2"/>
    <w:rsid w:val="2FE8AE24"/>
    <w:rsid w:val="2FEAB579"/>
    <w:rsid w:val="2FEC4DE0"/>
    <w:rsid w:val="2FED290A"/>
    <w:rsid w:val="2FF2A7B0"/>
    <w:rsid w:val="2FFE3123"/>
    <w:rsid w:val="2FFE6C89"/>
    <w:rsid w:val="2FFFD829"/>
    <w:rsid w:val="30031465"/>
    <w:rsid w:val="3005789F"/>
    <w:rsid w:val="30078DB4"/>
    <w:rsid w:val="30153786"/>
    <w:rsid w:val="3015FB54"/>
    <w:rsid w:val="301A322F"/>
    <w:rsid w:val="3020C6AD"/>
    <w:rsid w:val="3028C287"/>
    <w:rsid w:val="302C30E7"/>
    <w:rsid w:val="302E5335"/>
    <w:rsid w:val="3033399F"/>
    <w:rsid w:val="30339997"/>
    <w:rsid w:val="30343FE8"/>
    <w:rsid w:val="30368392"/>
    <w:rsid w:val="303689C3"/>
    <w:rsid w:val="3039EC0D"/>
    <w:rsid w:val="3041CA6A"/>
    <w:rsid w:val="3042A12D"/>
    <w:rsid w:val="3044720C"/>
    <w:rsid w:val="304FAD00"/>
    <w:rsid w:val="30531C52"/>
    <w:rsid w:val="3054AA03"/>
    <w:rsid w:val="305870E3"/>
    <w:rsid w:val="30597511"/>
    <w:rsid w:val="3059849B"/>
    <w:rsid w:val="3060D330"/>
    <w:rsid w:val="30615F71"/>
    <w:rsid w:val="30673906"/>
    <w:rsid w:val="3072A1AB"/>
    <w:rsid w:val="30796AF9"/>
    <w:rsid w:val="307C9C42"/>
    <w:rsid w:val="307CDB4F"/>
    <w:rsid w:val="307F63DC"/>
    <w:rsid w:val="3082D6D4"/>
    <w:rsid w:val="3083195B"/>
    <w:rsid w:val="30850C65"/>
    <w:rsid w:val="308A1F1B"/>
    <w:rsid w:val="308AC78C"/>
    <w:rsid w:val="308AC8AD"/>
    <w:rsid w:val="308B3A9A"/>
    <w:rsid w:val="308CAA44"/>
    <w:rsid w:val="30920CA1"/>
    <w:rsid w:val="3094A19F"/>
    <w:rsid w:val="30959334"/>
    <w:rsid w:val="309774BE"/>
    <w:rsid w:val="30991C9D"/>
    <w:rsid w:val="30A4BCA4"/>
    <w:rsid w:val="30A9085A"/>
    <w:rsid w:val="30AFF2B8"/>
    <w:rsid w:val="30AFF519"/>
    <w:rsid w:val="30B3792D"/>
    <w:rsid w:val="30B4C162"/>
    <w:rsid w:val="30B4FDC5"/>
    <w:rsid w:val="30B9F05D"/>
    <w:rsid w:val="30BA9180"/>
    <w:rsid w:val="30BB13BC"/>
    <w:rsid w:val="30BC8A9A"/>
    <w:rsid w:val="30BCE2F6"/>
    <w:rsid w:val="30BDAC06"/>
    <w:rsid w:val="30C29E7A"/>
    <w:rsid w:val="30C90D9B"/>
    <w:rsid w:val="30C94BB5"/>
    <w:rsid w:val="30CEE61F"/>
    <w:rsid w:val="30CFF6BB"/>
    <w:rsid w:val="30D0F942"/>
    <w:rsid w:val="30D3702B"/>
    <w:rsid w:val="30D5DEE3"/>
    <w:rsid w:val="30D89E37"/>
    <w:rsid w:val="30DF1B22"/>
    <w:rsid w:val="30E1BC17"/>
    <w:rsid w:val="30E69AF9"/>
    <w:rsid w:val="30EB8E1D"/>
    <w:rsid w:val="30EE76FE"/>
    <w:rsid w:val="30F38B5F"/>
    <w:rsid w:val="30F97907"/>
    <w:rsid w:val="30FE822B"/>
    <w:rsid w:val="30FF87D9"/>
    <w:rsid w:val="31002F2E"/>
    <w:rsid w:val="3106274D"/>
    <w:rsid w:val="3107F7DF"/>
    <w:rsid w:val="31086589"/>
    <w:rsid w:val="310BF7A5"/>
    <w:rsid w:val="3110CBDF"/>
    <w:rsid w:val="3111AD14"/>
    <w:rsid w:val="31162339"/>
    <w:rsid w:val="31170842"/>
    <w:rsid w:val="3129E415"/>
    <w:rsid w:val="31307E96"/>
    <w:rsid w:val="3133F2C6"/>
    <w:rsid w:val="313500B7"/>
    <w:rsid w:val="3137339E"/>
    <w:rsid w:val="3141F5C8"/>
    <w:rsid w:val="314799F0"/>
    <w:rsid w:val="314AC84B"/>
    <w:rsid w:val="314C7065"/>
    <w:rsid w:val="314D8646"/>
    <w:rsid w:val="314D8EC8"/>
    <w:rsid w:val="314F8171"/>
    <w:rsid w:val="314F84FF"/>
    <w:rsid w:val="31531C02"/>
    <w:rsid w:val="3158E82B"/>
    <w:rsid w:val="31598E77"/>
    <w:rsid w:val="315F88C3"/>
    <w:rsid w:val="3160EFD7"/>
    <w:rsid w:val="31635834"/>
    <w:rsid w:val="3167DB44"/>
    <w:rsid w:val="316846E0"/>
    <w:rsid w:val="316AD7F9"/>
    <w:rsid w:val="316D6013"/>
    <w:rsid w:val="316D99F4"/>
    <w:rsid w:val="31776935"/>
    <w:rsid w:val="317DE160"/>
    <w:rsid w:val="31869506"/>
    <w:rsid w:val="31874174"/>
    <w:rsid w:val="318F6006"/>
    <w:rsid w:val="319108CC"/>
    <w:rsid w:val="319113C9"/>
    <w:rsid w:val="31947A21"/>
    <w:rsid w:val="319513DD"/>
    <w:rsid w:val="31989AD6"/>
    <w:rsid w:val="319C8C62"/>
    <w:rsid w:val="319CBF1C"/>
    <w:rsid w:val="319F6EC1"/>
    <w:rsid w:val="31A52B51"/>
    <w:rsid w:val="31A79033"/>
    <w:rsid w:val="31A7E108"/>
    <w:rsid w:val="31A9771F"/>
    <w:rsid w:val="31AD9462"/>
    <w:rsid w:val="31AEBD63"/>
    <w:rsid w:val="31AF60C0"/>
    <w:rsid w:val="31AF9803"/>
    <w:rsid w:val="31B065D4"/>
    <w:rsid w:val="31B9BB24"/>
    <w:rsid w:val="31BA2168"/>
    <w:rsid w:val="31BE7EAB"/>
    <w:rsid w:val="31C2D10C"/>
    <w:rsid w:val="31C52BE9"/>
    <w:rsid w:val="31C70C68"/>
    <w:rsid w:val="31CDE110"/>
    <w:rsid w:val="31D3A340"/>
    <w:rsid w:val="31D4D637"/>
    <w:rsid w:val="31D67194"/>
    <w:rsid w:val="31D882D6"/>
    <w:rsid w:val="31D8AF66"/>
    <w:rsid w:val="31D8F2AC"/>
    <w:rsid w:val="31E09BEB"/>
    <w:rsid w:val="31E4D2BE"/>
    <w:rsid w:val="31E4FA72"/>
    <w:rsid w:val="31E56AFE"/>
    <w:rsid w:val="31E5BC41"/>
    <w:rsid w:val="31E9878D"/>
    <w:rsid w:val="31F06137"/>
    <w:rsid w:val="31F0ABF0"/>
    <w:rsid w:val="31F2E948"/>
    <w:rsid w:val="31F3E05B"/>
    <w:rsid w:val="31F53E10"/>
    <w:rsid w:val="31F818D2"/>
    <w:rsid w:val="31FA3AF2"/>
    <w:rsid w:val="31FB3B6E"/>
    <w:rsid w:val="31FCB275"/>
    <w:rsid w:val="31FD6368"/>
    <w:rsid w:val="3201B620"/>
    <w:rsid w:val="32037E8A"/>
    <w:rsid w:val="3205C478"/>
    <w:rsid w:val="32072A3F"/>
    <w:rsid w:val="3208987E"/>
    <w:rsid w:val="320E8229"/>
    <w:rsid w:val="320EBD51"/>
    <w:rsid w:val="320F1956"/>
    <w:rsid w:val="3210EF6A"/>
    <w:rsid w:val="3212E378"/>
    <w:rsid w:val="32135808"/>
    <w:rsid w:val="321588B9"/>
    <w:rsid w:val="32158E42"/>
    <w:rsid w:val="3215E0C7"/>
    <w:rsid w:val="321EF693"/>
    <w:rsid w:val="321F947D"/>
    <w:rsid w:val="3223DD4F"/>
    <w:rsid w:val="32242623"/>
    <w:rsid w:val="322755F9"/>
    <w:rsid w:val="322B6130"/>
    <w:rsid w:val="322E899A"/>
    <w:rsid w:val="32319A22"/>
    <w:rsid w:val="323C0D49"/>
    <w:rsid w:val="323F7D49"/>
    <w:rsid w:val="32411827"/>
    <w:rsid w:val="32432625"/>
    <w:rsid w:val="3248B8D1"/>
    <w:rsid w:val="324ABA30"/>
    <w:rsid w:val="3251B9C7"/>
    <w:rsid w:val="32584F51"/>
    <w:rsid w:val="325EC9B1"/>
    <w:rsid w:val="3262054F"/>
    <w:rsid w:val="3263D0E0"/>
    <w:rsid w:val="3268D709"/>
    <w:rsid w:val="326AAF53"/>
    <w:rsid w:val="326C3B76"/>
    <w:rsid w:val="326C98C7"/>
    <w:rsid w:val="326F2100"/>
    <w:rsid w:val="3273D95B"/>
    <w:rsid w:val="32788A3D"/>
    <w:rsid w:val="327A5F0C"/>
    <w:rsid w:val="327BB055"/>
    <w:rsid w:val="327E325E"/>
    <w:rsid w:val="3283F005"/>
    <w:rsid w:val="3284D3CF"/>
    <w:rsid w:val="3289118E"/>
    <w:rsid w:val="32938EC2"/>
    <w:rsid w:val="32999EA5"/>
    <w:rsid w:val="329D68CE"/>
    <w:rsid w:val="329E83D8"/>
    <w:rsid w:val="329EE6FC"/>
    <w:rsid w:val="32A239EB"/>
    <w:rsid w:val="32A4AEBA"/>
    <w:rsid w:val="32A54A31"/>
    <w:rsid w:val="32A5C7D5"/>
    <w:rsid w:val="32A79B7C"/>
    <w:rsid w:val="32ABACD4"/>
    <w:rsid w:val="32ABE4DC"/>
    <w:rsid w:val="32AC4A81"/>
    <w:rsid w:val="32AD5B98"/>
    <w:rsid w:val="32AD876E"/>
    <w:rsid w:val="32AF40CD"/>
    <w:rsid w:val="32B0456B"/>
    <w:rsid w:val="32B1B5D6"/>
    <w:rsid w:val="32B269B3"/>
    <w:rsid w:val="32B51447"/>
    <w:rsid w:val="32B5F381"/>
    <w:rsid w:val="32C0DF34"/>
    <w:rsid w:val="32C1784B"/>
    <w:rsid w:val="32C45DAE"/>
    <w:rsid w:val="32C4AA83"/>
    <w:rsid w:val="32C7BDB2"/>
    <w:rsid w:val="32C91C6E"/>
    <w:rsid w:val="32CAEF0C"/>
    <w:rsid w:val="32CD1050"/>
    <w:rsid w:val="32CDBA3C"/>
    <w:rsid w:val="32D2EA3F"/>
    <w:rsid w:val="32D426AB"/>
    <w:rsid w:val="32D9C3F5"/>
    <w:rsid w:val="32DDE707"/>
    <w:rsid w:val="32DF4A9C"/>
    <w:rsid w:val="32DF7A58"/>
    <w:rsid w:val="32DFB520"/>
    <w:rsid w:val="32E6DFBD"/>
    <w:rsid w:val="32E7535C"/>
    <w:rsid w:val="32E7A7A0"/>
    <w:rsid w:val="32E8B451"/>
    <w:rsid w:val="32E8E26E"/>
    <w:rsid w:val="32EA05A1"/>
    <w:rsid w:val="32EC3DD8"/>
    <w:rsid w:val="32ED2622"/>
    <w:rsid w:val="32EDC535"/>
    <w:rsid w:val="32EF5ACE"/>
    <w:rsid w:val="32F4CE4C"/>
    <w:rsid w:val="32F50192"/>
    <w:rsid w:val="32F55E6F"/>
    <w:rsid w:val="32F8248A"/>
    <w:rsid w:val="32F8C37F"/>
    <w:rsid w:val="32FDBE22"/>
    <w:rsid w:val="33003553"/>
    <w:rsid w:val="33005571"/>
    <w:rsid w:val="3300FA88"/>
    <w:rsid w:val="3302493E"/>
    <w:rsid w:val="3309A3BA"/>
    <w:rsid w:val="330A4CF1"/>
    <w:rsid w:val="3310622F"/>
    <w:rsid w:val="3310895F"/>
    <w:rsid w:val="331255B9"/>
    <w:rsid w:val="33160EB0"/>
    <w:rsid w:val="3319DCD9"/>
    <w:rsid w:val="33201413"/>
    <w:rsid w:val="33235EBA"/>
    <w:rsid w:val="3323B334"/>
    <w:rsid w:val="3328681C"/>
    <w:rsid w:val="3329917E"/>
    <w:rsid w:val="332C7BE7"/>
    <w:rsid w:val="332DD00F"/>
    <w:rsid w:val="332E33D4"/>
    <w:rsid w:val="33306C3E"/>
    <w:rsid w:val="3331754A"/>
    <w:rsid w:val="3334D955"/>
    <w:rsid w:val="333FEE13"/>
    <w:rsid w:val="33418458"/>
    <w:rsid w:val="33430ADE"/>
    <w:rsid w:val="3344CBED"/>
    <w:rsid w:val="3346610E"/>
    <w:rsid w:val="334EFF1E"/>
    <w:rsid w:val="3350A4EB"/>
    <w:rsid w:val="3350D500"/>
    <w:rsid w:val="3352C67B"/>
    <w:rsid w:val="335316B4"/>
    <w:rsid w:val="3354FDEE"/>
    <w:rsid w:val="3355F9D7"/>
    <w:rsid w:val="335ABBDE"/>
    <w:rsid w:val="335BFFF3"/>
    <w:rsid w:val="335C19EF"/>
    <w:rsid w:val="335E5828"/>
    <w:rsid w:val="335ED738"/>
    <w:rsid w:val="336101FC"/>
    <w:rsid w:val="33615CDE"/>
    <w:rsid w:val="3362482E"/>
    <w:rsid w:val="3363C9A2"/>
    <w:rsid w:val="33641625"/>
    <w:rsid w:val="336589F0"/>
    <w:rsid w:val="3365A811"/>
    <w:rsid w:val="3366DE78"/>
    <w:rsid w:val="336C1800"/>
    <w:rsid w:val="336CCC18"/>
    <w:rsid w:val="336FC083"/>
    <w:rsid w:val="336FDBAD"/>
    <w:rsid w:val="3373EE2D"/>
    <w:rsid w:val="3377249D"/>
    <w:rsid w:val="3377AD51"/>
    <w:rsid w:val="337844C8"/>
    <w:rsid w:val="3379DC9D"/>
    <w:rsid w:val="337BF764"/>
    <w:rsid w:val="337CC2B4"/>
    <w:rsid w:val="337F17C0"/>
    <w:rsid w:val="337F8D44"/>
    <w:rsid w:val="33840F4B"/>
    <w:rsid w:val="3389748B"/>
    <w:rsid w:val="338C87EA"/>
    <w:rsid w:val="338E71CA"/>
    <w:rsid w:val="338F60CA"/>
    <w:rsid w:val="338FCEE6"/>
    <w:rsid w:val="338FE9E6"/>
    <w:rsid w:val="33913144"/>
    <w:rsid w:val="33929EF0"/>
    <w:rsid w:val="33966962"/>
    <w:rsid w:val="339994AE"/>
    <w:rsid w:val="339E0D58"/>
    <w:rsid w:val="33A8D6CE"/>
    <w:rsid w:val="33ACC8CD"/>
    <w:rsid w:val="33AD8763"/>
    <w:rsid w:val="33B17DE6"/>
    <w:rsid w:val="33B709E9"/>
    <w:rsid w:val="33B7725F"/>
    <w:rsid w:val="33B7B089"/>
    <w:rsid w:val="33BAC6F4"/>
    <w:rsid w:val="33BDC9A5"/>
    <w:rsid w:val="33BF757C"/>
    <w:rsid w:val="33C08366"/>
    <w:rsid w:val="33C26748"/>
    <w:rsid w:val="33C44AB7"/>
    <w:rsid w:val="33C62D5F"/>
    <w:rsid w:val="33C7C27C"/>
    <w:rsid w:val="33CC8C71"/>
    <w:rsid w:val="33CE0F52"/>
    <w:rsid w:val="33D0950C"/>
    <w:rsid w:val="33D4CB93"/>
    <w:rsid w:val="33D9E019"/>
    <w:rsid w:val="33DC8434"/>
    <w:rsid w:val="33DDBFF9"/>
    <w:rsid w:val="33DE25B8"/>
    <w:rsid w:val="33DED3CF"/>
    <w:rsid w:val="33DF3C13"/>
    <w:rsid w:val="33E0772D"/>
    <w:rsid w:val="33E18353"/>
    <w:rsid w:val="33E2F430"/>
    <w:rsid w:val="33E4F3F8"/>
    <w:rsid w:val="33E605BF"/>
    <w:rsid w:val="33E86EB4"/>
    <w:rsid w:val="33E959E2"/>
    <w:rsid w:val="33EC23EC"/>
    <w:rsid w:val="33EDF077"/>
    <w:rsid w:val="33EEFBC1"/>
    <w:rsid w:val="33EFC5E2"/>
    <w:rsid w:val="33F0A1BE"/>
    <w:rsid w:val="33F66288"/>
    <w:rsid w:val="33F8E261"/>
    <w:rsid w:val="33F9C204"/>
    <w:rsid w:val="33FAA1B2"/>
    <w:rsid w:val="33FD1141"/>
    <w:rsid w:val="340AFB6E"/>
    <w:rsid w:val="340B49C7"/>
    <w:rsid w:val="340D12EB"/>
    <w:rsid w:val="340D944F"/>
    <w:rsid w:val="340F32F5"/>
    <w:rsid w:val="34175032"/>
    <w:rsid w:val="3417958F"/>
    <w:rsid w:val="341A0378"/>
    <w:rsid w:val="341A99B8"/>
    <w:rsid w:val="341E1331"/>
    <w:rsid w:val="341F98D8"/>
    <w:rsid w:val="341FBB77"/>
    <w:rsid w:val="3425B599"/>
    <w:rsid w:val="342629F3"/>
    <w:rsid w:val="3430B15D"/>
    <w:rsid w:val="34323749"/>
    <w:rsid w:val="3432956A"/>
    <w:rsid w:val="3434BD39"/>
    <w:rsid w:val="3438505E"/>
    <w:rsid w:val="343A7536"/>
    <w:rsid w:val="343AFA82"/>
    <w:rsid w:val="343D97B4"/>
    <w:rsid w:val="3442E909"/>
    <w:rsid w:val="34452325"/>
    <w:rsid w:val="344914A3"/>
    <w:rsid w:val="344C345E"/>
    <w:rsid w:val="344C4CAB"/>
    <w:rsid w:val="34512143"/>
    <w:rsid w:val="345527CC"/>
    <w:rsid w:val="34560E84"/>
    <w:rsid w:val="34570BA9"/>
    <w:rsid w:val="34574D18"/>
    <w:rsid w:val="3459A778"/>
    <w:rsid w:val="3460993A"/>
    <w:rsid w:val="34644B69"/>
    <w:rsid w:val="3465D924"/>
    <w:rsid w:val="347A5B4D"/>
    <w:rsid w:val="347B4057"/>
    <w:rsid w:val="347CED4B"/>
    <w:rsid w:val="347DE067"/>
    <w:rsid w:val="34853ABC"/>
    <w:rsid w:val="3488483C"/>
    <w:rsid w:val="34887A10"/>
    <w:rsid w:val="348AC853"/>
    <w:rsid w:val="348B7046"/>
    <w:rsid w:val="348E73B0"/>
    <w:rsid w:val="348F0A1D"/>
    <w:rsid w:val="34939B93"/>
    <w:rsid w:val="3496F7EA"/>
    <w:rsid w:val="349BC408"/>
    <w:rsid w:val="349CC92D"/>
    <w:rsid w:val="349DF040"/>
    <w:rsid w:val="34A0F501"/>
    <w:rsid w:val="34A2EBE6"/>
    <w:rsid w:val="34A5C886"/>
    <w:rsid w:val="34A66E4C"/>
    <w:rsid w:val="34AC7172"/>
    <w:rsid w:val="34ADA599"/>
    <w:rsid w:val="34B647BE"/>
    <w:rsid w:val="34B876D6"/>
    <w:rsid w:val="34B9CDBF"/>
    <w:rsid w:val="34B9EA54"/>
    <w:rsid w:val="34BC77CF"/>
    <w:rsid w:val="34BD1B82"/>
    <w:rsid w:val="34BF5ACA"/>
    <w:rsid w:val="34C8200F"/>
    <w:rsid w:val="34CDB60E"/>
    <w:rsid w:val="34CF0D85"/>
    <w:rsid w:val="34CFF831"/>
    <w:rsid w:val="34D064C8"/>
    <w:rsid w:val="34D2F79A"/>
    <w:rsid w:val="34D711B7"/>
    <w:rsid w:val="34D7F274"/>
    <w:rsid w:val="34D98CD6"/>
    <w:rsid w:val="34DC988B"/>
    <w:rsid w:val="34DD0DF1"/>
    <w:rsid w:val="34DE9B5B"/>
    <w:rsid w:val="34DF5151"/>
    <w:rsid w:val="34E00687"/>
    <w:rsid w:val="34E49D3E"/>
    <w:rsid w:val="34EA42EA"/>
    <w:rsid w:val="34EB54A8"/>
    <w:rsid w:val="34F55F0F"/>
    <w:rsid w:val="34F6D580"/>
    <w:rsid w:val="34F82B8B"/>
    <w:rsid w:val="34FA5871"/>
    <w:rsid w:val="34FBBD47"/>
    <w:rsid w:val="350481DA"/>
    <w:rsid w:val="35087D69"/>
    <w:rsid w:val="35095CA0"/>
    <w:rsid w:val="3510F2C3"/>
    <w:rsid w:val="35114A07"/>
    <w:rsid w:val="3511CC60"/>
    <w:rsid w:val="3512C3D9"/>
    <w:rsid w:val="3514E2C5"/>
    <w:rsid w:val="3517E3AA"/>
    <w:rsid w:val="351A8BC7"/>
    <w:rsid w:val="351AE8A8"/>
    <w:rsid w:val="351D47BD"/>
    <w:rsid w:val="351D94BA"/>
    <w:rsid w:val="351DB6B7"/>
    <w:rsid w:val="35217EEA"/>
    <w:rsid w:val="3523684D"/>
    <w:rsid w:val="35242467"/>
    <w:rsid w:val="3524EC47"/>
    <w:rsid w:val="35268352"/>
    <w:rsid w:val="352786AE"/>
    <w:rsid w:val="352BD556"/>
    <w:rsid w:val="3534F551"/>
    <w:rsid w:val="3536E700"/>
    <w:rsid w:val="353A315C"/>
    <w:rsid w:val="353EFD18"/>
    <w:rsid w:val="354332E4"/>
    <w:rsid w:val="354836D6"/>
    <w:rsid w:val="354889E9"/>
    <w:rsid w:val="354A2C73"/>
    <w:rsid w:val="354D32C2"/>
    <w:rsid w:val="355106E9"/>
    <w:rsid w:val="3552B203"/>
    <w:rsid w:val="35534F3B"/>
    <w:rsid w:val="35569755"/>
    <w:rsid w:val="3558F6AE"/>
    <w:rsid w:val="355B7E11"/>
    <w:rsid w:val="355EC31E"/>
    <w:rsid w:val="355FCF73"/>
    <w:rsid w:val="35610790"/>
    <w:rsid w:val="35618E36"/>
    <w:rsid w:val="35657DC4"/>
    <w:rsid w:val="356A0D1C"/>
    <w:rsid w:val="356F26E9"/>
    <w:rsid w:val="35719F7B"/>
    <w:rsid w:val="3573BEFC"/>
    <w:rsid w:val="357725C6"/>
    <w:rsid w:val="357A0447"/>
    <w:rsid w:val="357C3FDF"/>
    <w:rsid w:val="3580FF7F"/>
    <w:rsid w:val="358470B2"/>
    <w:rsid w:val="3588D196"/>
    <w:rsid w:val="358EC465"/>
    <w:rsid w:val="35933CE8"/>
    <w:rsid w:val="3598D186"/>
    <w:rsid w:val="359DBEC1"/>
    <w:rsid w:val="359FD6E9"/>
    <w:rsid w:val="35A18A46"/>
    <w:rsid w:val="35A34940"/>
    <w:rsid w:val="35A40DBD"/>
    <w:rsid w:val="35AB5ECC"/>
    <w:rsid w:val="35AB9579"/>
    <w:rsid w:val="35ADCA25"/>
    <w:rsid w:val="35B39D8D"/>
    <w:rsid w:val="35B41D69"/>
    <w:rsid w:val="35B64563"/>
    <w:rsid w:val="35B9032F"/>
    <w:rsid w:val="35CA0558"/>
    <w:rsid w:val="35CC6DB5"/>
    <w:rsid w:val="35CD8389"/>
    <w:rsid w:val="35CE5F43"/>
    <w:rsid w:val="35D0718D"/>
    <w:rsid w:val="35D52487"/>
    <w:rsid w:val="35D724AC"/>
    <w:rsid w:val="35D8074A"/>
    <w:rsid w:val="35E36AC8"/>
    <w:rsid w:val="35E56E73"/>
    <w:rsid w:val="35E82997"/>
    <w:rsid w:val="35E9DF87"/>
    <w:rsid w:val="35EB4BE8"/>
    <w:rsid w:val="35F03F5E"/>
    <w:rsid w:val="35F53779"/>
    <w:rsid w:val="35F67680"/>
    <w:rsid w:val="3600711D"/>
    <w:rsid w:val="3600A42C"/>
    <w:rsid w:val="3603CE2A"/>
    <w:rsid w:val="3603E4DE"/>
    <w:rsid w:val="360522E4"/>
    <w:rsid w:val="36058F53"/>
    <w:rsid w:val="3608E1EF"/>
    <w:rsid w:val="360DD45D"/>
    <w:rsid w:val="3611C011"/>
    <w:rsid w:val="3612516D"/>
    <w:rsid w:val="3614299E"/>
    <w:rsid w:val="361509EC"/>
    <w:rsid w:val="3615B526"/>
    <w:rsid w:val="36188701"/>
    <w:rsid w:val="3619CA6A"/>
    <w:rsid w:val="3619E165"/>
    <w:rsid w:val="36210B1D"/>
    <w:rsid w:val="3621FA89"/>
    <w:rsid w:val="3624BA79"/>
    <w:rsid w:val="3627E586"/>
    <w:rsid w:val="3628BE05"/>
    <w:rsid w:val="362A066E"/>
    <w:rsid w:val="362AF9CA"/>
    <w:rsid w:val="362BAE2C"/>
    <w:rsid w:val="362D3528"/>
    <w:rsid w:val="363417CF"/>
    <w:rsid w:val="3635AE3D"/>
    <w:rsid w:val="363C3A9F"/>
    <w:rsid w:val="36411BB5"/>
    <w:rsid w:val="3645290A"/>
    <w:rsid w:val="364A3CDC"/>
    <w:rsid w:val="3650201D"/>
    <w:rsid w:val="36545F4D"/>
    <w:rsid w:val="3656AA99"/>
    <w:rsid w:val="3659BF76"/>
    <w:rsid w:val="365B188F"/>
    <w:rsid w:val="366089BD"/>
    <w:rsid w:val="36612EC6"/>
    <w:rsid w:val="3669853C"/>
    <w:rsid w:val="3669F36A"/>
    <w:rsid w:val="366DA606"/>
    <w:rsid w:val="366F19AD"/>
    <w:rsid w:val="367BA945"/>
    <w:rsid w:val="367C65B4"/>
    <w:rsid w:val="367D63FE"/>
    <w:rsid w:val="367EC411"/>
    <w:rsid w:val="36861D48"/>
    <w:rsid w:val="36865FC9"/>
    <w:rsid w:val="3688BD6D"/>
    <w:rsid w:val="368A7E39"/>
    <w:rsid w:val="368B3C2B"/>
    <w:rsid w:val="368E03D6"/>
    <w:rsid w:val="368E38AB"/>
    <w:rsid w:val="36911952"/>
    <w:rsid w:val="3692C777"/>
    <w:rsid w:val="3695DFDC"/>
    <w:rsid w:val="36966F6F"/>
    <w:rsid w:val="369A007E"/>
    <w:rsid w:val="369D2964"/>
    <w:rsid w:val="36A2F1E3"/>
    <w:rsid w:val="36A4AA86"/>
    <w:rsid w:val="36AA698F"/>
    <w:rsid w:val="36ABC246"/>
    <w:rsid w:val="36AD0AE0"/>
    <w:rsid w:val="36AD4A0E"/>
    <w:rsid w:val="36AE6197"/>
    <w:rsid w:val="36B23BC6"/>
    <w:rsid w:val="36B64CE1"/>
    <w:rsid w:val="36B68B57"/>
    <w:rsid w:val="36B8C7BB"/>
    <w:rsid w:val="36BFC202"/>
    <w:rsid w:val="36C29182"/>
    <w:rsid w:val="36C3C072"/>
    <w:rsid w:val="36C44F58"/>
    <w:rsid w:val="36C689B7"/>
    <w:rsid w:val="36C6E3C9"/>
    <w:rsid w:val="36C9C99B"/>
    <w:rsid w:val="36CFB87E"/>
    <w:rsid w:val="36D13363"/>
    <w:rsid w:val="36D1CB1C"/>
    <w:rsid w:val="36D54ADA"/>
    <w:rsid w:val="36DB106F"/>
    <w:rsid w:val="36DBD5B6"/>
    <w:rsid w:val="36DD1D61"/>
    <w:rsid w:val="36DD58D6"/>
    <w:rsid w:val="36E43A83"/>
    <w:rsid w:val="36E5D632"/>
    <w:rsid w:val="36E6C9BE"/>
    <w:rsid w:val="36E7A5A3"/>
    <w:rsid w:val="36E82256"/>
    <w:rsid w:val="36F267B6"/>
    <w:rsid w:val="36FA751D"/>
    <w:rsid w:val="370E85D3"/>
    <w:rsid w:val="370F51F4"/>
    <w:rsid w:val="3716C73D"/>
    <w:rsid w:val="371958BA"/>
    <w:rsid w:val="371C73E2"/>
    <w:rsid w:val="371CE71B"/>
    <w:rsid w:val="37200050"/>
    <w:rsid w:val="37221A81"/>
    <w:rsid w:val="3723CD0B"/>
    <w:rsid w:val="37249B0D"/>
    <w:rsid w:val="37289B8E"/>
    <w:rsid w:val="372B3F26"/>
    <w:rsid w:val="372B44E5"/>
    <w:rsid w:val="372F3228"/>
    <w:rsid w:val="37301257"/>
    <w:rsid w:val="37306338"/>
    <w:rsid w:val="37319E83"/>
    <w:rsid w:val="373A6BCE"/>
    <w:rsid w:val="373B6524"/>
    <w:rsid w:val="373FB57E"/>
    <w:rsid w:val="37430F4D"/>
    <w:rsid w:val="3743A0EF"/>
    <w:rsid w:val="3747D783"/>
    <w:rsid w:val="374A858E"/>
    <w:rsid w:val="374A93C3"/>
    <w:rsid w:val="374F57B6"/>
    <w:rsid w:val="375217C8"/>
    <w:rsid w:val="3756A2D4"/>
    <w:rsid w:val="375DCA26"/>
    <w:rsid w:val="375E1DD1"/>
    <w:rsid w:val="37604613"/>
    <w:rsid w:val="3766DE29"/>
    <w:rsid w:val="3768A72E"/>
    <w:rsid w:val="37694C50"/>
    <w:rsid w:val="376E5377"/>
    <w:rsid w:val="3774D0EB"/>
    <w:rsid w:val="37754542"/>
    <w:rsid w:val="37781FDD"/>
    <w:rsid w:val="377A4354"/>
    <w:rsid w:val="377F0350"/>
    <w:rsid w:val="378095A3"/>
    <w:rsid w:val="37810380"/>
    <w:rsid w:val="378171BD"/>
    <w:rsid w:val="3781A2FC"/>
    <w:rsid w:val="378561A2"/>
    <w:rsid w:val="3786E5E5"/>
    <w:rsid w:val="37899624"/>
    <w:rsid w:val="378B9587"/>
    <w:rsid w:val="378EECC5"/>
    <w:rsid w:val="37902C11"/>
    <w:rsid w:val="3793E01C"/>
    <w:rsid w:val="3793E0CC"/>
    <w:rsid w:val="379823B5"/>
    <w:rsid w:val="37A17D64"/>
    <w:rsid w:val="37A29583"/>
    <w:rsid w:val="37AA26AD"/>
    <w:rsid w:val="37AA99DF"/>
    <w:rsid w:val="37AAF803"/>
    <w:rsid w:val="37AB543F"/>
    <w:rsid w:val="37ABC8D9"/>
    <w:rsid w:val="37B072AA"/>
    <w:rsid w:val="37B9662B"/>
    <w:rsid w:val="37BA2A8D"/>
    <w:rsid w:val="37BDCAEA"/>
    <w:rsid w:val="37BE2644"/>
    <w:rsid w:val="37BEB469"/>
    <w:rsid w:val="37C04429"/>
    <w:rsid w:val="37C207BD"/>
    <w:rsid w:val="37C57DA3"/>
    <w:rsid w:val="37CA0692"/>
    <w:rsid w:val="37CA25F0"/>
    <w:rsid w:val="37CA6930"/>
    <w:rsid w:val="37CD6136"/>
    <w:rsid w:val="37CE5995"/>
    <w:rsid w:val="37CEABCD"/>
    <w:rsid w:val="37D53A74"/>
    <w:rsid w:val="37D6CC98"/>
    <w:rsid w:val="37D80EF8"/>
    <w:rsid w:val="37DF3DB9"/>
    <w:rsid w:val="37E25AC0"/>
    <w:rsid w:val="37E6955D"/>
    <w:rsid w:val="37E6A499"/>
    <w:rsid w:val="37E6BA2D"/>
    <w:rsid w:val="37EC2957"/>
    <w:rsid w:val="37ED83F2"/>
    <w:rsid w:val="37EE08BB"/>
    <w:rsid w:val="37F051E2"/>
    <w:rsid w:val="37F0D655"/>
    <w:rsid w:val="37F5B40B"/>
    <w:rsid w:val="37F5C8A7"/>
    <w:rsid w:val="37FF1CD4"/>
    <w:rsid w:val="3802E39E"/>
    <w:rsid w:val="380476F8"/>
    <w:rsid w:val="380598C4"/>
    <w:rsid w:val="3806B3CE"/>
    <w:rsid w:val="38074B58"/>
    <w:rsid w:val="380D91ED"/>
    <w:rsid w:val="380E2DA8"/>
    <w:rsid w:val="380ECE3A"/>
    <w:rsid w:val="380EFD99"/>
    <w:rsid w:val="3811BD46"/>
    <w:rsid w:val="3815D301"/>
    <w:rsid w:val="3818EDDD"/>
    <w:rsid w:val="38193744"/>
    <w:rsid w:val="381E45A1"/>
    <w:rsid w:val="38239D8B"/>
    <w:rsid w:val="382AF66C"/>
    <w:rsid w:val="382B75DA"/>
    <w:rsid w:val="382E7933"/>
    <w:rsid w:val="3835C080"/>
    <w:rsid w:val="383F5F9A"/>
    <w:rsid w:val="384065B7"/>
    <w:rsid w:val="384AC22B"/>
    <w:rsid w:val="384B78B0"/>
    <w:rsid w:val="3851CB5E"/>
    <w:rsid w:val="385319DD"/>
    <w:rsid w:val="3853586B"/>
    <w:rsid w:val="38549002"/>
    <w:rsid w:val="38654B23"/>
    <w:rsid w:val="38661394"/>
    <w:rsid w:val="38670D39"/>
    <w:rsid w:val="386AD7E0"/>
    <w:rsid w:val="38718425"/>
    <w:rsid w:val="38750352"/>
    <w:rsid w:val="38775644"/>
    <w:rsid w:val="387A0DE7"/>
    <w:rsid w:val="387A15BA"/>
    <w:rsid w:val="387B0A1A"/>
    <w:rsid w:val="387C352C"/>
    <w:rsid w:val="387C5BB4"/>
    <w:rsid w:val="387CDBD1"/>
    <w:rsid w:val="388277D8"/>
    <w:rsid w:val="38841DA7"/>
    <w:rsid w:val="388501B2"/>
    <w:rsid w:val="38896225"/>
    <w:rsid w:val="388D9B1B"/>
    <w:rsid w:val="388DEE0A"/>
    <w:rsid w:val="3891495D"/>
    <w:rsid w:val="3896A430"/>
    <w:rsid w:val="3896F86D"/>
    <w:rsid w:val="389AC2D6"/>
    <w:rsid w:val="389F5C96"/>
    <w:rsid w:val="38A01B24"/>
    <w:rsid w:val="38A03522"/>
    <w:rsid w:val="38A2B488"/>
    <w:rsid w:val="38A2E7F3"/>
    <w:rsid w:val="38A3BDA5"/>
    <w:rsid w:val="38A42E80"/>
    <w:rsid w:val="38A57834"/>
    <w:rsid w:val="38A85C2B"/>
    <w:rsid w:val="38AAC822"/>
    <w:rsid w:val="38ABA640"/>
    <w:rsid w:val="38B10083"/>
    <w:rsid w:val="38B3A8E0"/>
    <w:rsid w:val="38B4132B"/>
    <w:rsid w:val="38B47943"/>
    <w:rsid w:val="38B5DEB6"/>
    <w:rsid w:val="38BD0EEC"/>
    <w:rsid w:val="38BDCEFF"/>
    <w:rsid w:val="38C59640"/>
    <w:rsid w:val="38CC2191"/>
    <w:rsid w:val="38CF2F73"/>
    <w:rsid w:val="38D01BD0"/>
    <w:rsid w:val="38D105C1"/>
    <w:rsid w:val="38D49415"/>
    <w:rsid w:val="38D4CDD1"/>
    <w:rsid w:val="38D5574B"/>
    <w:rsid w:val="38D86C0D"/>
    <w:rsid w:val="38DA9F0C"/>
    <w:rsid w:val="38DB5037"/>
    <w:rsid w:val="38DD393A"/>
    <w:rsid w:val="38DD7AAE"/>
    <w:rsid w:val="38DDE2BA"/>
    <w:rsid w:val="38E5C6C9"/>
    <w:rsid w:val="38E5E567"/>
    <w:rsid w:val="38E70EDC"/>
    <w:rsid w:val="38EA6058"/>
    <w:rsid w:val="38EED0F2"/>
    <w:rsid w:val="38EFB2AB"/>
    <w:rsid w:val="38F67340"/>
    <w:rsid w:val="38F75B68"/>
    <w:rsid w:val="38F82666"/>
    <w:rsid w:val="38F85312"/>
    <w:rsid w:val="38F8C638"/>
    <w:rsid w:val="38FE22B0"/>
    <w:rsid w:val="39014610"/>
    <w:rsid w:val="3903515D"/>
    <w:rsid w:val="3904D7E0"/>
    <w:rsid w:val="3906B5E4"/>
    <w:rsid w:val="390D6F55"/>
    <w:rsid w:val="39117B6F"/>
    <w:rsid w:val="3914D02C"/>
    <w:rsid w:val="3917BE79"/>
    <w:rsid w:val="391C7644"/>
    <w:rsid w:val="391FC97E"/>
    <w:rsid w:val="3921D9D8"/>
    <w:rsid w:val="392B942B"/>
    <w:rsid w:val="392BF472"/>
    <w:rsid w:val="392CEBE0"/>
    <w:rsid w:val="392ED09E"/>
    <w:rsid w:val="39306609"/>
    <w:rsid w:val="39330550"/>
    <w:rsid w:val="3936317C"/>
    <w:rsid w:val="393803A2"/>
    <w:rsid w:val="3939C4A7"/>
    <w:rsid w:val="393A89AE"/>
    <w:rsid w:val="393E1793"/>
    <w:rsid w:val="394072EE"/>
    <w:rsid w:val="394285BA"/>
    <w:rsid w:val="3942B8DA"/>
    <w:rsid w:val="3947091F"/>
    <w:rsid w:val="394E40EF"/>
    <w:rsid w:val="3952E388"/>
    <w:rsid w:val="3954628D"/>
    <w:rsid w:val="3955636A"/>
    <w:rsid w:val="39561773"/>
    <w:rsid w:val="39580D31"/>
    <w:rsid w:val="395D41F4"/>
    <w:rsid w:val="395EBF4F"/>
    <w:rsid w:val="39613859"/>
    <w:rsid w:val="396329C9"/>
    <w:rsid w:val="3963A83C"/>
    <w:rsid w:val="3971D6A6"/>
    <w:rsid w:val="3973FBC5"/>
    <w:rsid w:val="39746151"/>
    <w:rsid w:val="397793BC"/>
    <w:rsid w:val="397B7487"/>
    <w:rsid w:val="397C61DD"/>
    <w:rsid w:val="397DAF6E"/>
    <w:rsid w:val="39813B72"/>
    <w:rsid w:val="39824F4C"/>
    <w:rsid w:val="398E259C"/>
    <w:rsid w:val="398FD93C"/>
    <w:rsid w:val="3997B478"/>
    <w:rsid w:val="3998D25D"/>
    <w:rsid w:val="399ADB76"/>
    <w:rsid w:val="39A5C68C"/>
    <w:rsid w:val="39AF2BF4"/>
    <w:rsid w:val="39B09890"/>
    <w:rsid w:val="39B1AA8E"/>
    <w:rsid w:val="39B7E76B"/>
    <w:rsid w:val="39B844A9"/>
    <w:rsid w:val="39B9C11D"/>
    <w:rsid w:val="39BC2F82"/>
    <w:rsid w:val="39BC64C7"/>
    <w:rsid w:val="39BF71EA"/>
    <w:rsid w:val="39C1F0B0"/>
    <w:rsid w:val="39C2529C"/>
    <w:rsid w:val="39C687CB"/>
    <w:rsid w:val="39C6EC9B"/>
    <w:rsid w:val="39CA6AFE"/>
    <w:rsid w:val="39CB6A99"/>
    <w:rsid w:val="39D39C09"/>
    <w:rsid w:val="39D4316A"/>
    <w:rsid w:val="39D5B584"/>
    <w:rsid w:val="39D6DAE0"/>
    <w:rsid w:val="39E11D70"/>
    <w:rsid w:val="39E18204"/>
    <w:rsid w:val="39E74E83"/>
    <w:rsid w:val="39EF29A6"/>
    <w:rsid w:val="39F1CAE2"/>
    <w:rsid w:val="39F20FCD"/>
    <w:rsid w:val="39F33F81"/>
    <w:rsid w:val="39F44F60"/>
    <w:rsid w:val="39F73EF3"/>
    <w:rsid w:val="39F7F8C3"/>
    <w:rsid w:val="39FB764A"/>
    <w:rsid w:val="39FC0359"/>
    <w:rsid w:val="39FD8917"/>
    <w:rsid w:val="39FDD765"/>
    <w:rsid w:val="3A00066D"/>
    <w:rsid w:val="3A045F1A"/>
    <w:rsid w:val="3A081BD5"/>
    <w:rsid w:val="3A0C0FCA"/>
    <w:rsid w:val="3A0D8529"/>
    <w:rsid w:val="3A154FDE"/>
    <w:rsid w:val="3A15D0DE"/>
    <w:rsid w:val="3A15E05E"/>
    <w:rsid w:val="3A186F43"/>
    <w:rsid w:val="3A239F35"/>
    <w:rsid w:val="3A2494DE"/>
    <w:rsid w:val="3A27B410"/>
    <w:rsid w:val="3A28DDBE"/>
    <w:rsid w:val="3A297536"/>
    <w:rsid w:val="3A29E771"/>
    <w:rsid w:val="3A2C13DA"/>
    <w:rsid w:val="3A2E2866"/>
    <w:rsid w:val="3A2EA73C"/>
    <w:rsid w:val="3A3266B8"/>
    <w:rsid w:val="3A32D9D5"/>
    <w:rsid w:val="3A391CFC"/>
    <w:rsid w:val="3A3DC773"/>
    <w:rsid w:val="3A40CD8A"/>
    <w:rsid w:val="3A40DEE2"/>
    <w:rsid w:val="3A43687B"/>
    <w:rsid w:val="3A443313"/>
    <w:rsid w:val="3A48286E"/>
    <w:rsid w:val="3A48958F"/>
    <w:rsid w:val="3A49A7B5"/>
    <w:rsid w:val="3A509ECB"/>
    <w:rsid w:val="3A57799B"/>
    <w:rsid w:val="3A5D9FAE"/>
    <w:rsid w:val="3A5E364C"/>
    <w:rsid w:val="3A622203"/>
    <w:rsid w:val="3A631AD7"/>
    <w:rsid w:val="3A63A2B2"/>
    <w:rsid w:val="3A63AAD3"/>
    <w:rsid w:val="3A63CF61"/>
    <w:rsid w:val="3A652BAE"/>
    <w:rsid w:val="3A6A83B1"/>
    <w:rsid w:val="3A6A8D54"/>
    <w:rsid w:val="3A70843A"/>
    <w:rsid w:val="3A740180"/>
    <w:rsid w:val="3A76369B"/>
    <w:rsid w:val="3A764ADD"/>
    <w:rsid w:val="3A772161"/>
    <w:rsid w:val="3A7758E9"/>
    <w:rsid w:val="3A78F540"/>
    <w:rsid w:val="3A79686E"/>
    <w:rsid w:val="3A7A2A62"/>
    <w:rsid w:val="3A7C2003"/>
    <w:rsid w:val="3A7F6E31"/>
    <w:rsid w:val="3A8202A8"/>
    <w:rsid w:val="3A842C52"/>
    <w:rsid w:val="3A890CFC"/>
    <w:rsid w:val="3A8A43F4"/>
    <w:rsid w:val="3A8A5A98"/>
    <w:rsid w:val="3A8AFC38"/>
    <w:rsid w:val="3A8C7F93"/>
    <w:rsid w:val="3A8E50F3"/>
    <w:rsid w:val="3A8F1128"/>
    <w:rsid w:val="3A9004E2"/>
    <w:rsid w:val="3A925178"/>
    <w:rsid w:val="3A935DE6"/>
    <w:rsid w:val="3A9C10FD"/>
    <w:rsid w:val="3A9EC16C"/>
    <w:rsid w:val="3A9EFACF"/>
    <w:rsid w:val="3AA21DCF"/>
    <w:rsid w:val="3AA2EBD9"/>
    <w:rsid w:val="3AAA4F8F"/>
    <w:rsid w:val="3AABF928"/>
    <w:rsid w:val="3AB0D3D5"/>
    <w:rsid w:val="3AB7814C"/>
    <w:rsid w:val="3ABFFE4F"/>
    <w:rsid w:val="3AC1F995"/>
    <w:rsid w:val="3AC2E2CE"/>
    <w:rsid w:val="3AC55E5B"/>
    <w:rsid w:val="3AC6FAF5"/>
    <w:rsid w:val="3AC9A560"/>
    <w:rsid w:val="3ACB6027"/>
    <w:rsid w:val="3ACF261D"/>
    <w:rsid w:val="3AD54BF8"/>
    <w:rsid w:val="3ADB4B04"/>
    <w:rsid w:val="3ADC1AAB"/>
    <w:rsid w:val="3ADEC79D"/>
    <w:rsid w:val="3AE02E07"/>
    <w:rsid w:val="3AE12A6A"/>
    <w:rsid w:val="3AEB61BD"/>
    <w:rsid w:val="3AEC31FC"/>
    <w:rsid w:val="3AEF2B73"/>
    <w:rsid w:val="3AF0EAEF"/>
    <w:rsid w:val="3AF47C40"/>
    <w:rsid w:val="3AF960F6"/>
    <w:rsid w:val="3AFA7821"/>
    <w:rsid w:val="3AFBF9B9"/>
    <w:rsid w:val="3AFC17AE"/>
    <w:rsid w:val="3B023DE7"/>
    <w:rsid w:val="3B081646"/>
    <w:rsid w:val="3B0EB828"/>
    <w:rsid w:val="3B1061F4"/>
    <w:rsid w:val="3B111F26"/>
    <w:rsid w:val="3B113D1A"/>
    <w:rsid w:val="3B1269E1"/>
    <w:rsid w:val="3B15966C"/>
    <w:rsid w:val="3B1781C6"/>
    <w:rsid w:val="3B19F249"/>
    <w:rsid w:val="3B1ACD08"/>
    <w:rsid w:val="3B1E754E"/>
    <w:rsid w:val="3B1FC8BC"/>
    <w:rsid w:val="3B214049"/>
    <w:rsid w:val="3B23011F"/>
    <w:rsid w:val="3B239795"/>
    <w:rsid w:val="3B2AB101"/>
    <w:rsid w:val="3B2CAA91"/>
    <w:rsid w:val="3B2F31EB"/>
    <w:rsid w:val="3B3034C6"/>
    <w:rsid w:val="3B310B74"/>
    <w:rsid w:val="3B32FDCF"/>
    <w:rsid w:val="3B372FDA"/>
    <w:rsid w:val="3B3A844F"/>
    <w:rsid w:val="3B3B5583"/>
    <w:rsid w:val="3B3CF029"/>
    <w:rsid w:val="3B3DC783"/>
    <w:rsid w:val="3B41CD7D"/>
    <w:rsid w:val="3B45E959"/>
    <w:rsid w:val="3B45FA7C"/>
    <w:rsid w:val="3B460AE5"/>
    <w:rsid w:val="3B4749D1"/>
    <w:rsid w:val="3B47E504"/>
    <w:rsid w:val="3B48A119"/>
    <w:rsid w:val="3B4FE47F"/>
    <w:rsid w:val="3B5031A8"/>
    <w:rsid w:val="3B59FE57"/>
    <w:rsid w:val="3B5B829E"/>
    <w:rsid w:val="3B6056E9"/>
    <w:rsid w:val="3B60AF04"/>
    <w:rsid w:val="3B64DAF7"/>
    <w:rsid w:val="3B65CC8C"/>
    <w:rsid w:val="3B68FC47"/>
    <w:rsid w:val="3B6D2F2E"/>
    <w:rsid w:val="3B6DB6C1"/>
    <w:rsid w:val="3B6E978A"/>
    <w:rsid w:val="3B7103D4"/>
    <w:rsid w:val="3B73037B"/>
    <w:rsid w:val="3B775A6B"/>
    <w:rsid w:val="3B843714"/>
    <w:rsid w:val="3B8B3172"/>
    <w:rsid w:val="3B8C4E88"/>
    <w:rsid w:val="3B8D255E"/>
    <w:rsid w:val="3B8EF9C9"/>
    <w:rsid w:val="3B8F7009"/>
    <w:rsid w:val="3B90F09E"/>
    <w:rsid w:val="3B9352A7"/>
    <w:rsid w:val="3B94A19C"/>
    <w:rsid w:val="3B9892FA"/>
    <w:rsid w:val="3B9BFB8A"/>
    <w:rsid w:val="3BA309BC"/>
    <w:rsid w:val="3BA38E16"/>
    <w:rsid w:val="3BA4C67D"/>
    <w:rsid w:val="3BAAB91A"/>
    <w:rsid w:val="3BAC65DB"/>
    <w:rsid w:val="3BB1BEEA"/>
    <w:rsid w:val="3BB23E50"/>
    <w:rsid w:val="3BBDD72C"/>
    <w:rsid w:val="3BBE3108"/>
    <w:rsid w:val="3BC19B87"/>
    <w:rsid w:val="3BC42AAB"/>
    <w:rsid w:val="3BC7D852"/>
    <w:rsid w:val="3BCB505F"/>
    <w:rsid w:val="3BCE49E1"/>
    <w:rsid w:val="3BD0EBD7"/>
    <w:rsid w:val="3BD166B9"/>
    <w:rsid w:val="3BD2518E"/>
    <w:rsid w:val="3BDB43BB"/>
    <w:rsid w:val="3BE06AE7"/>
    <w:rsid w:val="3BE1BE7C"/>
    <w:rsid w:val="3BE59933"/>
    <w:rsid w:val="3BE687BF"/>
    <w:rsid w:val="3BE831F9"/>
    <w:rsid w:val="3BE8D093"/>
    <w:rsid w:val="3BEB4F32"/>
    <w:rsid w:val="3BECDC5C"/>
    <w:rsid w:val="3BF5C347"/>
    <w:rsid w:val="3BFB9AF9"/>
    <w:rsid w:val="3BFC5727"/>
    <w:rsid w:val="3BFF3BBC"/>
    <w:rsid w:val="3C001E4F"/>
    <w:rsid w:val="3C00DF1F"/>
    <w:rsid w:val="3C00FC0F"/>
    <w:rsid w:val="3C06C8A2"/>
    <w:rsid w:val="3C083C8C"/>
    <w:rsid w:val="3C0F3803"/>
    <w:rsid w:val="3C16104B"/>
    <w:rsid w:val="3C18A86C"/>
    <w:rsid w:val="3C1B82F6"/>
    <w:rsid w:val="3C1DA455"/>
    <w:rsid w:val="3C1E9BC4"/>
    <w:rsid w:val="3C1F95C4"/>
    <w:rsid w:val="3C211F81"/>
    <w:rsid w:val="3C274D99"/>
    <w:rsid w:val="3C2766F5"/>
    <w:rsid w:val="3C2784D4"/>
    <w:rsid w:val="3C27F45C"/>
    <w:rsid w:val="3C29755E"/>
    <w:rsid w:val="3C2A5A7C"/>
    <w:rsid w:val="3C2FD315"/>
    <w:rsid w:val="3C30FF67"/>
    <w:rsid w:val="3C349AEE"/>
    <w:rsid w:val="3C34C348"/>
    <w:rsid w:val="3C356341"/>
    <w:rsid w:val="3C3B3800"/>
    <w:rsid w:val="3C3D13F4"/>
    <w:rsid w:val="3C3D50A4"/>
    <w:rsid w:val="3C3DC933"/>
    <w:rsid w:val="3C3E0E48"/>
    <w:rsid w:val="3C444381"/>
    <w:rsid w:val="3C4649B8"/>
    <w:rsid w:val="3C48CA80"/>
    <w:rsid w:val="3C4FCD8C"/>
    <w:rsid w:val="3C528639"/>
    <w:rsid w:val="3C53810E"/>
    <w:rsid w:val="3C5C0042"/>
    <w:rsid w:val="3C604FCE"/>
    <w:rsid w:val="3C62BAE1"/>
    <w:rsid w:val="3C62DAAE"/>
    <w:rsid w:val="3C64C9E8"/>
    <w:rsid w:val="3C656ED5"/>
    <w:rsid w:val="3C67006C"/>
    <w:rsid w:val="3C68B90A"/>
    <w:rsid w:val="3C690CFA"/>
    <w:rsid w:val="3C6BA0F0"/>
    <w:rsid w:val="3C6D9702"/>
    <w:rsid w:val="3C75A787"/>
    <w:rsid w:val="3C786221"/>
    <w:rsid w:val="3C7EB8D7"/>
    <w:rsid w:val="3C843E3F"/>
    <w:rsid w:val="3C8525EE"/>
    <w:rsid w:val="3C8525F6"/>
    <w:rsid w:val="3C8C1531"/>
    <w:rsid w:val="3C8F5069"/>
    <w:rsid w:val="3C8FA145"/>
    <w:rsid w:val="3C904D48"/>
    <w:rsid w:val="3C928CF0"/>
    <w:rsid w:val="3C952F96"/>
    <w:rsid w:val="3C9A1883"/>
    <w:rsid w:val="3C9D6545"/>
    <w:rsid w:val="3C9DA207"/>
    <w:rsid w:val="3CA0739D"/>
    <w:rsid w:val="3CA3F754"/>
    <w:rsid w:val="3CA5CD1B"/>
    <w:rsid w:val="3CA6F86F"/>
    <w:rsid w:val="3CAA8A56"/>
    <w:rsid w:val="3CAB42CE"/>
    <w:rsid w:val="3CABCD3A"/>
    <w:rsid w:val="3CADF276"/>
    <w:rsid w:val="3CAFE928"/>
    <w:rsid w:val="3CB022D0"/>
    <w:rsid w:val="3CB09A51"/>
    <w:rsid w:val="3CB5F982"/>
    <w:rsid w:val="3CB94DEF"/>
    <w:rsid w:val="3CB9EDB2"/>
    <w:rsid w:val="3CBE06F3"/>
    <w:rsid w:val="3CC0A21E"/>
    <w:rsid w:val="3CC4D312"/>
    <w:rsid w:val="3CC5B316"/>
    <w:rsid w:val="3CC5CD0D"/>
    <w:rsid w:val="3CCECDDA"/>
    <w:rsid w:val="3CD6C3E4"/>
    <w:rsid w:val="3CD6D609"/>
    <w:rsid w:val="3CDB7BAF"/>
    <w:rsid w:val="3CDBF07C"/>
    <w:rsid w:val="3CDD8596"/>
    <w:rsid w:val="3CE20133"/>
    <w:rsid w:val="3CE49E50"/>
    <w:rsid w:val="3CE68963"/>
    <w:rsid w:val="3CE77CD8"/>
    <w:rsid w:val="3CEA1398"/>
    <w:rsid w:val="3CF1279D"/>
    <w:rsid w:val="3CF138F3"/>
    <w:rsid w:val="3CF3FD10"/>
    <w:rsid w:val="3CF73034"/>
    <w:rsid w:val="3CF94544"/>
    <w:rsid w:val="3CFD8412"/>
    <w:rsid w:val="3CFDBD66"/>
    <w:rsid w:val="3CFE8B5E"/>
    <w:rsid w:val="3D09D96E"/>
    <w:rsid w:val="3D0F81DD"/>
    <w:rsid w:val="3D0FECE3"/>
    <w:rsid w:val="3D14181D"/>
    <w:rsid w:val="3D14FDA6"/>
    <w:rsid w:val="3D15DBD4"/>
    <w:rsid w:val="3D168DF5"/>
    <w:rsid w:val="3D1EF120"/>
    <w:rsid w:val="3D2B373A"/>
    <w:rsid w:val="3D2E191C"/>
    <w:rsid w:val="3D37A57E"/>
    <w:rsid w:val="3D38D580"/>
    <w:rsid w:val="3D3A1A3F"/>
    <w:rsid w:val="3D3BE327"/>
    <w:rsid w:val="3D42D836"/>
    <w:rsid w:val="3D43586B"/>
    <w:rsid w:val="3D448C81"/>
    <w:rsid w:val="3D462C75"/>
    <w:rsid w:val="3D488E16"/>
    <w:rsid w:val="3D495189"/>
    <w:rsid w:val="3D4ED9AC"/>
    <w:rsid w:val="3D530A67"/>
    <w:rsid w:val="3D54A135"/>
    <w:rsid w:val="3D56690F"/>
    <w:rsid w:val="3D5A244B"/>
    <w:rsid w:val="3D61A93A"/>
    <w:rsid w:val="3D61D01C"/>
    <w:rsid w:val="3D628D3D"/>
    <w:rsid w:val="3D639A9F"/>
    <w:rsid w:val="3D65E51B"/>
    <w:rsid w:val="3D66AF6A"/>
    <w:rsid w:val="3D6861E1"/>
    <w:rsid w:val="3D6AE0B0"/>
    <w:rsid w:val="3D6B178F"/>
    <w:rsid w:val="3D6B4619"/>
    <w:rsid w:val="3D70EEC8"/>
    <w:rsid w:val="3D73212E"/>
    <w:rsid w:val="3D819ED5"/>
    <w:rsid w:val="3D83FA9B"/>
    <w:rsid w:val="3D86150A"/>
    <w:rsid w:val="3D94B746"/>
    <w:rsid w:val="3D989330"/>
    <w:rsid w:val="3D9DCFFD"/>
    <w:rsid w:val="3D9EE956"/>
    <w:rsid w:val="3DA16575"/>
    <w:rsid w:val="3DA63911"/>
    <w:rsid w:val="3DAB04A0"/>
    <w:rsid w:val="3DB4B662"/>
    <w:rsid w:val="3DB6C355"/>
    <w:rsid w:val="3DBAAD2C"/>
    <w:rsid w:val="3DBCF8F7"/>
    <w:rsid w:val="3DBDC7F0"/>
    <w:rsid w:val="3DC0B46C"/>
    <w:rsid w:val="3DC2DC7B"/>
    <w:rsid w:val="3DC515EE"/>
    <w:rsid w:val="3DC5E2D9"/>
    <w:rsid w:val="3DC61237"/>
    <w:rsid w:val="3DC6EA5B"/>
    <w:rsid w:val="3DCA2EDF"/>
    <w:rsid w:val="3DCA58D3"/>
    <w:rsid w:val="3DCD3E75"/>
    <w:rsid w:val="3DD597F5"/>
    <w:rsid w:val="3DD5BB18"/>
    <w:rsid w:val="3DD9155B"/>
    <w:rsid w:val="3DD9BBD6"/>
    <w:rsid w:val="3DDAAABD"/>
    <w:rsid w:val="3DE16474"/>
    <w:rsid w:val="3DE228E6"/>
    <w:rsid w:val="3DE311A3"/>
    <w:rsid w:val="3DE7209C"/>
    <w:rsid w:val="3DE7D115"/>
    <w:rsid w:val="3DE99B1F"/>
    <w:rsid w:val="3DECD475"/>
    <w:rsid w:val="3DF0F30D"/>
    <w:rsid w:val="3DF3E146"/>
    <w:rsid w:val="3DF762C6"/>
    <w:rsid w:val="3DFAACDD"/>
    <w:rsid w:val="3DFAF2CD"/>
    <w:rsid w:val="3DFB1DDB"/>
    <w:rsid w:val="3DFB7A89"/>
    <w:rsid w:val="3E02D112"/>
    <w:rsid w:val="3E043DD6"/>
    <w:rsid w:val="3E04BF2D"/>
    <w:rsid w:val="3E09BA98"/>
    <w:rsid w:val="3E0F7CAE"/>
    <w:rsid w:val="3E1277E7"/>
    <w:rsid w:val="3E133BC9"/>
    <w:rsid w:val="3E144BB1"/>
    <w:rsid w:val="3E1605C3"/>
    <w:rsid w:val="3E18C00E"/>
    <w:rsid w:val="3E1C2C33"/>
    <w:rsid w:val="3E1CF84A"/>
    <w:rsid w:val="3E1DF1B0"/>
    <w:rsid w:val="3E223499"/>
    <w:rsid w:val="3E2DE7CA"/>
    <w:rsid w:val="3E326683"/>
    <w:rsid w:val="3E33EF4E"/>
    <w:rsid w:val="3E36E64D"/>
    <w:rsid w:val="3E37DA19"/>
    <w:rsid w:val="3E38355C"/>
    <w:rsid w:val="3E388D79"/>
    <w:rsid w:val="3E3A840D"/>
    <w:rsid w:val="3E3E97DC"/>
    <w:rsid w:val="3E40E09F"/>
    <w:rsid w:val="3E465AB7"/>
    <w:rsid w:val="3E481265"/>
    <w:rsid w:val="3E492142"/>
    <w:rsid w:val="3E49ADC4"/>
    <w:rsid w:val="3E4B011A"/>
    <w:rsid w:val="3E4BD7D8"/>
    <w:rsid w:val="3E4DCE1E"/>
    <w:rsid w:val="3E4FC78F"/>
    <w:rsid w:val="3E50882E"/>
    <w:rsid w:val="3E52AC8F"/>
    <w:rsid w:val="3E52D9AC"/>
    <w:rsid w:val="3E546989"/>
    <w:rsid w:val="3E565C08"/>
    <w:rsid w:val="3E5B90D4"/>
    <w:rsid w:val="3E6670E9"/>
    <w:rsid w:val="3E66B940"/>
    <w:rsid w:val="3E67E41F"/>
    <w:rsid w:val="3E696FAA"/>
    <w:rsid w:val="3E69C3D3"/>
    <w:rsid w:val="3E778584"/>
    <w:rsid w:val="3E79C8C0"/>
    <w:rsid w:val="3E7B8C45"/>
    <w:rsid w:val="3E7D26FC"/>
    <w:rsid w:val="3E7F32EA"/>
    <w:rsid w:val="3E800416"/>
    <w:rsid w:val="3E85AA80"/>
    <w:rsid w:val="3E889408"/>
    <w:rsid w:val="3E88972E"/>
    <w:rsid w:val="3E90CC20"/>
    <w:rsid w:val="3E9923A4"/>
    <w:rsid w:val="3E9BA1F3"/>
    <w:rsid w:val="3EA084C6"/>
    <w:rsid w:val="3EA26C4A"/>
    <w:rsid w:val="3EA49BD2"/>
    <w:rsid w:val="3EA5B779"/>
    <w:rsid w:val="3EA720F0"/>
    <w:rsid w:val="3EA87666"/>
    <w:rsid w:val="3EA8E014"/>
    <w:rsid w:val="3EA96039"/>
    <w:rsid w:val="3EA9E8DE"/>
    <w:rsid w:val="3EAEB4E8"/>
    <w:rsid w:val="3EB152FF"/>
    <w:rsid w:val="3EB40FA7"/>
    <w:rsid w:val="3EBF3287"/>
    <w:rsid w:val="3EC1557B"/>
    <w:rsid w:val="3ECC23B3"/>
    <w:rsid w:val="3ECD1309"/>
    <w:rsid w:val="3ECF8852"/>
    <w:rsid w:val="3ED3B494"/>
    <w:rsid w:val="3ED4B4A0"/>
    <w:rsid w:val="3ED55D90"/>
    <w:rsid w:val="3EDAC076"/>
    <w:rsid w:val="3EDCA6C8"/>
    <w:rsid w:val="3EE1FCD6"/>
    <w:rsid w:val="3EE2346F"/>
    <w:rsid w:val="3EE485C7"/>
    <w:rsid w:val="3EE4DC53"/>
    <w:rsid w:val="3EE68936"/>
    <w:rsid w:val="3EE91D45"/>
    <w:rsid w:val="3EE97619"/>
    <w:rsid w:val="3EEB2881"/>
    <w:rsid w:val="3EEEADB4"/>
    <w:rsid w:val="3EEEF112"/>
    <w:rsid w:val="3EF09563"/>
    <w:rsid w:val="3EF34717"/>
    <w:rsid w:val="3EFBF6B2"/>
    <w:rsid w:val="3EFC8424"/>
    <w:rsid w:val="3F0B2C6F"/>
    <w:rsid w:val="3F0C5E05"/>
    <w:rsid w:val="3F0E521F"/>
    <w:rsid w:val="3F11CC33"/>
    <w:rsid w:val="3F12E13B"/>
    <w:rsid w:val="3F1377EA"/>
    <w:rsid w:val="3F13B8DA"/>
    <w:rsid w:val="3F1947EA"/>
    <w:rsid w:val="3F19C769"/>
    <w:rsid w:val="3F1C5F99"/>
    <w:rsid w:val="3F1C993A"/>
    <w:rsid w:val="3F20F130"/>
    <w:rsid w:val="3F212BFC"/>
    <w:rsid w:val="3F21BB8C"/>
    <w:rsid w:val="3F24D80A"/>
    <w:rsid w:val="3F29934A"/>
    <w:rsid w:val="3F2C8B62"/>
    <w:rsid w:val="3F30F094"/>
    <w:rsid w:val="3F33F5AF"/>
    <w:rsid w:val="3F37CABB"/>
    <w:rsid w:val="3F381014"/>
    <w:rsid w:val="3F38EF27"/>
    <w:rsid w:val="3F3F6809"/>
    <w:rsid w:val="3F4467B5"/>
    <w:rsid w:val="3F448D9F"/>
    <w:rsid w:val="3F4C3D6E"/>
    <w:rsid w:val="3F52953D"/>
    <w:rsid w:val="3F53C800"/>
    <w:rsid w:val="3F5467CA"/>
    <w:rsid w:val="3F54C259"/>
    <w:rsid w:val="3F56A05A"/>
    <w:rsid w:val="3F57AFC0"/>
    <w:rsid w:val="3F5C84CD"/>
    <w:rsid w:val="3F5CA30A"/>
    <w:rsid w:val="3F5DA8F6"/>
    <w:rsid w:val="3F5EA972"/>
    <w:rsid w:val="3F60E18B"/>
    <w:rsid w:val="3F61FEF9"/>
    <w:rsid w:val="3F67D5E1"/>
    <w:rsid w:val="3F71F6EB"/>
    <w:rsid w:val="3F76D1DC"/>
    <w:rsid w:val="3F771F6B"/>
    <w:rsid w:val="3F88906F"/>
    <w:rsid w:val="3F8935BC"/>
    <w:rsid w:val="3F8AFDED"/>
    <w:rsid w:val="3F8BAD45"/>
    <w:rsid w:val="3F93BD0A"/>
    <w:rsid w:val="3F93CE6E"/>
    <w:rsid w:val="3F946165"/>
    <w:rsid w:val="3F969C1A"/>
    <w:rsid w:val="3F990AE7"/>
    <w:rsid w:val="3F9A8A55"/>
    <w:rsid w:val="3F9CD59E"/>
    <w:rsid w:val="3FA700C3"/>
    <w:rsid w:val="3FA9A435"/>
    <w:rsid w:val="3FAF6F18"/>
    <w:rsid w:val="3FAFE1D8"/>
    <w:rsid w:val="3FB49B8D"/>
    <w:rsid w:val="3FB52948"/>
    <w:rsid w:val="3FB7D3C1"/>
    <w:rsid w:val="3FB883A1"/>
    <w:rsid w:val="3FB8F0B8"/>
    <w:rsid w:val="3FBAD3BE"/>
    <w:rsid w:val="3FC6D04E"/>
    <w:rsid w:val="3FC88099"/>
    <w:rsid w:val="3FCA04BE"/>
    <w:rsid w:val="3FCC70E1"/>
    <w:rsid w:val="3FCF40D0"/>
    <w:rsid w:val="3FD07248"/>
    <w:rsid w:val="3FD1A119"/>
    <w:rsid w:val="3FD1F4D4"/>
    <w:rsid w:val="3FD309F5"/>
    <w:rsid w:val="3FD8A070"/>
    <w:rsid w:val="3FDEB095"/>
    <w:rsid w:val="3FE195E5"/>
    <w:rsid w:val="3FE24B1C"/>
    <w:rsid w:val="3FE9D23D"/>
    <w:rsid w:val="3FEA484D"/>
    <w:rsid w:val="3FEE0A24"/>
    <w:rsid w:val="3FF18126"/>
    <w:rsid w:val="3FF3593C"/>
    <w:rsid w:val="3FF50D96"/>
    <w:rsid w:val="3FF51819"/>
    <w:rsid w:val="3FF950F6"/>
    <w:rsid w:val="4001A0F0"/>
    <w:rsid w:val="4001CB6E"/>
    <w:rsid w:val="400239BF"/>
    <w:rsid w:val="4003DC88"/>
    <w:rsid w:val="400516D4"/>
    <w:rsid w:val="4008E7D3"/>
    <w:rsid w:val="400AF61A"/>
    <w:rsid w:val="400FAAC9"/>
    <w:rsid w:val="400FF4D6"/>
    <w:rsid w:val="401326F0"/>
    <w:rsid w:val="40184567"/>
    <w:rsid w:val="401E40BB"/>
    <w:rsid w:val="4021CC4A"/>
    <w:rsid w:val="4026EA4F"/>
    <w:rsid w:val="402722B1"/>
    <w:rsid w:val="402B5C00"/>
    <w:rsid w:val="402C093E"/>
    <w:rsid w:val="402F27CE"/>
    <w:rsid w:val="4040D104"/>
    <w:rsid w:val="4040D37A"/>
    <w:rsid w:val="40472E94"/>
    <w:rsid w:val="404A8549"/>
    <w:rsid w:val="404B6548"/>
    <w:rsid w:val="404D36EA"/>
    <w:rsid w:val="404E69F7"/>
    <w:rsid w:val="4050CDF8"/>
    <w:rsid w:val="40567246"/>
    <w:rsid w:val="405804BA"/>
    <w:rsid w:val="40629522"/>
    <w:rsid w:val="40634D08"/>
    <w:rsid w:val="40636A42"/>
    <w:rsid w:val="4068A588"/>
    <w:rsid w:val="406B682C"/>
    <w:rsid w:val="406D5A6B"/>
    <w:rsid w:val="406D5BF3"/>
    <w:rsid w:val="40729D68"/>
    <w:rsid w:val="4072BB53"/>
    <w:rsid w:val="4073BBE3"/>
    <w:rsid w:val="4073CBF2"/>
    <w:rsid w:val="4074BFC0"/>
    <w:rsid w:val="40769332"/>
    <w:rsid w:val="4077A4B8"/>
    <w:rsid w:val="4079409F"/>
    <w:rsid w:val="407984E4"/>
    <w:rsid w:val="407ABA78"/>
    <w:rsid w:val="407D29FF"/>
    <w:rsid w:val="407DCD37"/>
    <w:rsid w:val="407E8B67"/>
    <w:rsid w:val="40803E45"/>
    <w:rsid w:val="4084505E"/>
    <w:rsid w:val="40848FDD"/>
    <w:rsid w:val="4089446A"/>
    <w:rsid w:val="408E02EA"/>
    <w:rsid w:val="408F0609"/>
    <w:rsid w:val="409D89EF"/>
    <w:rsid w:val="40A32164"/>
    <w:rsid w:val="40A6A50E"/>
    <w:rsid w:val="40A86C1D"/>
    <w:rsid w:val="40A9A8F4"/>
    <w:rsid w:val="40AC5D7C"/>
    <w:rsid w:val="40B3AD0D"/>
    <w:rsid w:val="40B4F18A"/>
    <w:rsid w:val="40BB9CB9"/>
    <w:rsid w:val="40C143BD"/>
    <w:rsid w:val="40C1CB13"/>
    <w:rsid w:val="40C1DA3B"/>
    <w:rsid w:val="40C28D90"/>
    <w:rsid w:val="40C718D6"/>
    <w:rsid w:val="40D427AA"/>
    <w:rsid w:val="40D7C402"/>
    <w:rsid w:val="40DBAB2B"/>
    <w:rsid w:val="40DD4ED4"/>
    <w:rsid w:val="40DEF8CA"/>
    <w:rsid w:val="40E3C87A"/>
    <w:rsid w:val="40E3D128"/>
    <w:rsid w:val="40E55B65"/>
    <w:rsid w:val="40E645F9"/>
    <w:rsid w:val="40EBDA33"/>
    <w:rsid w:val="40ED5B1E"/>
    <w:rsid w:val="40EE252F"/>
    <w:rsid w:val="40EE3045"/>
    <w:rsid w:val="40F4619C"/>
    <w:rsid w:val="40F5196D"/>
    <w:rsid w:val="40F58493"/>
    <w:rsid w:val="40FA2EAC"/>
    <w:rsid w:val="40FA4A4A"/>
    <w:rsid w:val="40FABD77"/>
    <w:rsid w:val="40FECCAC"/>
    <w:rsid w:val="40FF0C98"/>
    <w:rsid w:val="4104BA03"/>
    <w:rsid w:val="4106EAB0"/>
    <w:rsid w:val="411264E5"/>
    <w:rsid w:val="4114CE16"/>
    <w:rsid w:val="4118D744"/>
    <w:rsid w:val="41197D1A"/>
    <w:rsid w:val="411A0634"/>
    <w:rsid w:val="411B858B"/>
    <w:rsid w:val="411F72A0"/>
    <w:rsid w:val="4122F4D0"/>
    <w:rsid w:val="4124E2C4"/>
    <w:rsid w:val="41256094"/>
    <w:rsid w:val="41260948"/>
    <w:rsid w:val="41261720"/>
    <w:rsid w:val="4126D832"/>
    <w:rsid w:val="4127B8F7"/>
    <w:rsid w:val="41285942"/>
    <w:rsid w:val="413E8D66"/>
    <w:rsid w:val="41419A8D"/>
    <w:rsid w:val="4142AE2B"/>
    <w:rsid w:val="41450F39"/>
    <w:rsid w:val="4147A89D"/>
    <w:rsid w:val="41493412"/>
    <w:rsid w:val="414A18A9"/>
    <w:rsid w:val="414E58C9"/>
    <w:rsid w:val="414E6F97"/>
    <w:rsid w:val="41535196"/>
    <w:rsid w:val="415980EE"/>
    <w:rsid w:val="415A0B71"/>
    <w:rsid w:val="415E2B99"/>
    <w:rsid w:val="415F0C92"/>
    <w:rsid w:val="416379E1"/>
    <w:rsid w:val="41663117"/>
    <w:rsid w:val="41698283"/>
    <w:rsid w:val="416989D9"/>
    <w:rsid w:val="416BD4CD"/>
    <w:rsid w:val="416C5551"/>
    <w:rsid w:val="416E7C67"/>
    <w:rsid w:val="416FA1B4"/>
    <w:rsid w:val="417C0BC2"/>
    <w:rsid w:val="417DA4BE"/>
    <w:rsid w:val="417E2124"/>
    <w:rsid w:val="418733F0"/>
    <w:rsid w:val="418C7081"/>
    <w:rsid w:val="41908957"/>
    <w:rsid w:val="419297D8"/>
    <w:rsid w:val="419566F1"/>
    <w:rsid w:val="4195CBBA"/>
    <w:rsid w:val="41975607"/>
    <w:rsid w:val="41A501EB"/>
    <w:rsid w:val="41A71A42"/>
    <w:rsid w:val="41A918D5"/>
    <w:rsid w:val="41AB10E5"/>
    <w:rsid w:val="41ABA8D7"/>
    <w:rsid w:val="41AEEBDC"/>
    <w:rsid w:val="41B0F3AA"/>
    <w:rsid w:val="41B1115F"/>
    <w:rsid w:val="41B86671"/>
    <w:rsid w:val="41BCD1CC"/>
    <w:rsid w:val="41BD82E3"/>
    <w:rsid w:val="41BDEF47"/>
    <w:rsid w:val="41BF0214"/>
    <w:rsid w:val="41C02E4C"/>
    <w:rsid w:val="41C191F9"/>
    <w:rsid w:val="41C2C6AE"/>
    <w:rsid w:val="41C5EAC5"/>
    <w:rsid w:val="41C760FD"/>
    <w:rsid w:val="41CA1A64"/>
    <w:rsid w:val="41CAADD9"/>
    <w:rsid w:val="41CBB382"/>
    <w:rsid w:val="41CCAD1F"/>
    <w:rsid w:val="41CE7BDB"/>
    <w:rsid w:val="41D10AFA"/>
    <w:rsid w:val="41D17741"/>
    <w:rsid w:val="41D29AE9"/>
    <w:rsid w:val="41D3C799"/>
    <w:rsid w:val="41D587A9"/>
    <w:rsid w:val="41D5C486"/>
    <w:rsid w:val="41D77884"/>
    <w:rsid w:val="41DB4240"/>
    <w:rsid w:val="41DD1BA6"/>
    <w:rsid w:val="41E24CD2"/>
    <w:rsid w:val="41E6206C"/>
    <w:rsid w:val="41E8A64E"/>
    <w:rsid w:val="41E9EA9E"/>
    <w:rsid w:val="41ECE159"/>
    <w:rsid w:val="41F971DC"/>
    <w:rsid w:val="41F99FB6"/>
    <w:rsid w:val="41FC53E7"/>
    <w:rsid w:val="4201A780"/>
    <w:rsid w:val="4204B3CB"/>
    <w:rsid w:val="4205ED10"/>
    <w:rsid w:val="420A51D9"/>
    <w:rsid w:val="420D7162"/>
    <w:rsid w:val="420E1257"/>
    <w:rsid w:val="4212CCF9"/>
    <w:rsid w:val="42149999"/>
    <w:rsid w:val="42181230"/>
    <w:rsid w:val="42189159"/>
    <w:rsid w:val="4219181C"/>
    <w:rsid w:val="42199D98"/>
    <w:rsid w:val="421A6726"/>
    <w:rsid w:val="421D1867"/>
    <w:rsid w:val="421F93CC"/>
    <w:rsid w:val="42204C54"/>
    <w:rsid w:val="4221FDB3"/>
    <w:rsid w:val="42237666"/>
    <w:rsid w:val="4224A656"/>
    <w:rsid w:val="4224FE17"/>
    <w:rsid w:val="422D6585"/>
    <w:rsid w:val="4234BE76"/>
    <w:rsid w:val="423755B5"/>
    <w:rsid w:val="423E82A6"/>
    <w:rsid w:val="423EA2CF"/>
    <w:rsid w:val="42465C1B"/>
    <w:rsid w:val="4248BC5F"/>
    <w:rsid w:val="424B4470"/>
    <w:rsid w:val="424C37D5"/>
    <w:rsid w:val="424D35AC"/>
    <w:rsid w:val="425167B7"/>
    <w:rsid w:val="42533178"/>
    <w:rsid w:val="425A9C48"/>
    <w:rsid w:val="42639FA0"/>
    <w:rsid w:val="42664014"/>
    <w:rsid w:val="426A4C27"/>
    <w:rsid w:val="426A7094"/>
    <w:rsid w:val="426E1582"/>
    <w:rsid w:val="42708370"/>
    <w:rsid w:val="4276B86C"/>
    <w:rsid w:val="427E5BF9"/>
    <w:rsid w:val="427EF7DA"/>
    <w:rsid w:val="4280983C"/>
    <w:rsid w:val="42829A29"/>
    <w:rsid w:val="42849772"/>
    <w:rsid w:val="42862214"/>
    <w:rsid w:val="42895794"/>
    <w:rsid w:val="428CA260"/>
    <w:rsid w:val="428CFCD0"/>
    <w:rsid w:val="428E20F7"/>
    <w:rsid w:val="429517FE"/>
    <w:rsid w:val="4295AECD"/>
    <w:rsid w:val="429E6FED"/>
    <w:rsid w:val="42A0ADDB"/>
    <w:rsid w:val="42A32E73"/>
    <w:rsid w:val="42A51BA1"/>
    <w:rsid w:val="42A637F6"/>
    <w:rsid w:val="42A8CE19"/>
    <w:rsid w:val="42AF3DC1"/>
    <w:rsid w:val="42AF65EA"/>
    <w:rsid w:val="42B13663"/>
    <w:rsid w:val="42B15A8E"/>
    <w:rsid w:val="42B19562"/>
    <w:rsid w:val="42B2A8D1"/>
    <w:rsid w:val="42B4F6D1"/>
    <w:rsid w:val="42BB2172"/>
    <w:rsid w:val="42BD7EBC"/>
    <w:rsid w:val="42C7D5BD"/>
    <w:rsid w:val="42CFF4A7"/>
    <w:rsid w:val="42D22B17"/>
    <w:rsid w:val="42D2E811"/>
    <w:rsid w:val="42DC3DEB"/>
    <w:rsid w:val="42DC3E94"/>
    <w:rsid w:val="42DC5E94"/>
    <w:rsid w:val="42DDBD92"/>
    <w:rsid w:val="42DE377D"/>
    <w:rsid w:val="42E12405"/>
    <w:rsid w:val="42E238C5"/>
    <w:rsid w:val="42E85BE4"/>
    <w:rsid w:val="42EB2188"/>
    <w:rsid w:val="42ED1AE9"/>
    <w:rsid w:val="42EFD331"/>
    <w:rsid w:val="42F244AC"/>
    <w:rsid w:val="42F49A69"/>
    <w:rsid w:val="42F860AB"/>
    <w:rsid w:val="42FA6DA0"/>
    <w:rsid w:val="42FBEDA1"/>
    <w:rsid w:val="42FC8778"/>
    <w:rsid w:val="43014E55"/>
    <w:rsid w:val="430860BA"/>
    <w:rsid w:val="430BE853"/>
    <w:rsid w:val="43105494"/>
    <w:rsid w:val="43109CD7"/>
    <w:rsid w:val="4311790C"/>
    <w:rsid w:val="43149BAF"/>
    <w:rsid w:val="4314AE8B"/>
    <w:rsid w:val="431AB2C1"/>
    <w:rsid w:val="431B5E21"/>
    <w:rsid w:val="431BF1EA"/>
    <w:rsid w:val="431ED8A8"/>
    <w:rsid w:val="43220713"/>
    <w:rsid w:val="432653B7"/>
    <w:rsid w:val="432798AA"/>
    <w:rsid w:val="43322ED7"/>
    <w:rsid w:val="4334EE1B"/>
    <w:rsid w:val="4336259E"/>
    <w:rsid w:val="433A39A7"/>
    <w:rsid w:val="433D016F"/>
    <w:rsid w:val="43409875"/>
    <w:rsid w:val="4341F269"/>
    <w:rsid w:val="43424810"/>
    <w:rsid w:val="4346CFC0"/>
    <w:rsid w:val="43481FFA"/>
    <w:rsid w:val="4349F424"/>
    <w:rsid w:val="434A73CA"/>
    <w:rsid w:val="434A7887"/>
    <w:rsid w:val="434FAB65"/>
    <w:rsid w:val="43528509"/>
    <w:rsid w:val="4355AA64"/>
    <w:rsid w:val="43580A5F"/>
    <w:rsid w:val="435CF339"/>
    <w:rsid w:val="435F250F"/>
    <w:rsid w:val="43609234"/>
    <w:rsid w:val="4361E98A"/>
    <w:rsid w:val="4361FFF3"/>
    <w:rsid w:val="43650E9A"/>
    <w:rsid w:val="43682005"/>
    <w:rsid w:val="4368647A"/>
    <w:rsid w:val="436A4785"/>
    <w:rsid w:val="436D9751"/>
    <w:rsid w:val="4377B7DB"/>
    <w:rsid w:val="437D568C"/>
    <w:rsid w:val="437D74EB"/>
    <w:rsid w:val="43815066"/>
    <w:rsid w:val="438387DB"/>
    <w:rsid w:val="438FC605"/>
    <w:rsid w:val="43911F4F"/>
    <w:rsid w:val="439BD640"/>
    <w:rsid w:val="439C2A98"/>
    <w:rsid w:val="439D3831"/>
    <w:rsid w:val="43A6F2A5"/>
    <w:rsid w:val="43A95BC3"/>
    <w:rsid w:val="43AA6080"/>
    <w:rsid w:val="43ADD909"/>
    <w:rsid w:val="43B00467"/>
    <w:rsid w:val="43B1F585"/>
    <w:rsid w:val="43B5BC26"/>
    <w:rsid w:val="43B6149B"/>
    <w:rsid w:val="43B6A9B5"/>
    <w:rsid w:val="43BA6C70"/>
    <w:rsid w:val="43BAED7F"/>
    <w:rsid w:val="43BB49BC"/>
    <w:rsid w:val="43BC353E"/>
    <w:rsid w:val="43BD5B7F"/>
    <w:rsid w:val="43C047B9"/>
    <w:rsid w:val="43C170AE"/>
    <w:rsid w:val="43C242BE"/>
    <w:rsid w:val="43C384BC"/>
    <w:rsid w:val="43C3F570"/>
    <w:rsid w:val="43C6A8D0"/>
    <w:rsid w:val="43C6D6E5"/>
    <w:rsid w:val="43CAA713"/>
    <w:rsid w:val="43CB7D83"/>
    <w:rsid w:val="43CD7553"/>
    <w:rsid w:val="43CE854F"/>
    <w:rsid w:val="43D2379A"/>
    <w:rsid w:val="43D2FF1F"/>
    <w:rsid w:val="43DBCDC1"/>
    <w:rsid w:val="43DC278F"/>
    <w:rsid w:val="43DF3F49"/>
    <w:rsid w:val="43DFD83A"/>
    <w:rsid w:val="43E2FD9F"/>
    <w:rsid w:val="43E3B663"/>
    <w:rsid w:val="43E602E3"/>
    <w:rsid w:val="43E9C3C3"/>
    <w:rsid w:val="43EA6A6D"/>
    <w:rsid w:val="43EC5466"/>
    <w:rsid w:val="43ED2C81"/>
    <w:rsid w:val="43EDDC9D"/>
    <w:rsid w:val="43EE5802"/>
    <w:rsid w:val="43F0C149"/>
    <w:rsid w:val="43F2E739"/>
    <w:rsid w:val="43FAF47A"/>
    <w:rsid w:val="43FB595F"/>
    <w:rsid w:val="43FCE390"/>
    <w:rsid w:val="440280BB"/>
    <w:rsid w:val="44047CC1"/>
    <w:rsid w:val="4404ACF2"/>
    <w:rsid w:val="440773F0"/>
    <w:rsid w:val="4407DA68"/>
    <w:rsid w:val="4409F3FE"/>
    <w:rsid w:val="440B5699"/>
    <w:rsid w:val="440E1C04"/>
    <w:rsid w:val="440E7C5F"/>
    <w:rsid w:val="44130DCF"/>
    <w:rsid w:val="441B3838"/>
    <w:rsid w:val="441C4E22"/>
    <w:rsid w:val="44277771"/>
    <w:rsid w:val="4429E74F"/>
    <w:rsid w:val="442AB85C"/>
    <w:rsid w:val="442F5E32"/>
    <w:rsid w:val="4432D118"/>
    <w:rsid w:val="44350F0E"/>
    <w:rsid w:val="4436BA48"/>
    <w:rsid w:val="443752A6"/>
    <w:rsid w:val="443C2CD2"/>
    <w:rsid w:val="444333B5"/>
    <w:rsid w:val="4443920D"/>
    <w:rsid w:val="4446CB2E"/>
    <w:rsid w:val="4451282C"/>
    <w:rsid w:val="4451E68B"/>
    <w:rsid w:val="44522FE5"/>
    <w:rsid w:val="4454B1F8"/>
    <w:rsid w:val="4455EFCF"/>
    <w:rsid w:val="4456A5A2"/>
    <w:rsid w:val="4456F1D3"/>
    <w:rsid w:val="4457BBD3"/>
    <w:rsid w:val="4458C574"/>
    <w:rsid w:val="445C2513"/>
    <w:rsid w:val="445E906B"/>
    <w:rsid w:val="445E9F63"/>
    <w:rsid w:val="445F59B9"/>
    <w:rsid w:val="44608D09"/>
    <w:rsid w:val="44610979"/>
    <w:rsid w:val="446263BB"/>
    <w:rsid w:val="4463D7E1"/>
    <w:rsid w:val="4467B8DC"/>
    <w:rsid w:val="4469AD07"/>
    <w:rsid w:val="446A4A0D"/>
    <w:rsid w:val="446AFE47"/>
    <w:rsid w:val="446D95A9"/>
    <w:rsid w:val="446DFB78"/>
    <w:rsid w:val="44759785"/>
    <w:rsid w:val="4475B6F9"/>
    <w:rsid w:val="4476B2D5"/>
    <w:rsid w:val="44792575"/>
    <w:rsid w:val="447DAC98"/>
    <w:rsid w:val="44877327"/>
    <w:rsid w:val="448791DB"/>
    <w:rsid w:val="4488B173"/>
    <w:rsid w:val="448944A2"/>
    <w:rsid w:val="448BEC7F"/>
    <w:rsid w:val="448F8A3F"/>
    <w:rsid w:val="4495C9E1"/>
    <w:rsid w:val="449B398D"/>
    <w:rsid w:val="44A07582"/>
    <w:rsid w:val="44A4B790"/>
    <w:rsid w:val="44A70BEB"/>
    <w:rsid w:val="44B96AF9"/>
    <w:rsid w:val="44BFFB22"/>
    <w:rsid w:val="44C077FA"/>
    <w:rsid w:val="44C77572"/>
    <w:rsid w:val="44C7D7D9"/>
    <w:rsid w:val="44C964A5"/>
    <w:rsid w:val="44CBAF70"/>
    <w:rsid w:val="44CCFF88"/>
    <w:rsid w:val="44CF7D8E"/>
    <w:rsid w:val="44CFA3E2"/>
    <w:rsid w:val="44D49CA9"/>
    <w:rsid w:val="44D7477D"/>
    <w:rsid w:val="44E07736"/>
    <w:rsid w:val="44E0ABA3"/>
    <w:rsid w:val="44E124DF"/>
    <w:rsid w:val="44E1770A"/>
    <w:rsid w:val="44E288E7"/>
    <w:rsid w:val="44E64721"/>
    <w:rsid w:val="44E682F5"/>
    <w:rsid w:val="44ED0D75"/>
    <w:rsid w:val="44EF8C0F"/>
    <w:rsid w:val="44F22523"/>
    <w:rsid w:val="44F44597"/>
    <w:rsid w:val="44F508A1"/>
    <w:rsid w:val="44F53044"/>
    <w:rsid w:val="44F98925"/>
    <w:rsid w:val="44FBCC21"/>
    <w:rsid w:val="45007AF5"/>
    <w:rsid w:val="450850DE"/>
    <w:rsid w:val="45094F65"/>
    <w:rsid w:val="450A9086"/>
    <w:rsid w:val="450CF9CA"/>
    <w:rsid w:val="45103753"/>
    <w:rsid w:val="451150BA"/>
    <w:rsid w:val="4511ADCE"/>
    <w:rsid w:val="45159A73"/>
    <w:rsid w:val="451691AC"/>
    <w:rsid w:val="4516F7B1"/>
    <w:rsid w:val="451C7599"/>
    <w:rsid w:val="4523335C"/>
    <w:rsid w:val="452521E3"/>
    <w:rsid w:val="45252C69"/>
    <w:rsid w:val="45267670"/>
    <w:rsid w:val="45276C23"/>
    <w:rsid w:val="452C1008"/>
    <w:rsid w:val="452C1B09"/>
    <w:rsid w:val="452DD149"/>
    <w:rsid w:val="45306582"/>
    <w:rsid w:val="45319833"/>
    <w:rsid w:val="4536632D"/>
    <w:rsid w:val="453CD186"/>
    <w:rsid w:val="4543165E"/>
    <w:rsid w:val="4545A517"/>
    <w:rsid w:val="4550B010"/>
    <w:rsid w:val="4552F719"/>
    <w:rsid w:val="45535DC0"/>
    <w:rsid w:val="45596A82"/>
    <w:rsid w:val="455BA72A"/>
    <w:rsid w:val="455DEF38"/>
    <w:rsid w:val="455FA95D"/>
    <w:rsid w:val="456462EB"/>
    <w:rsid w:val="456584A9"/>
    <w:rsid w:val="45714A33"/>
    <w:rsid w:val="457797E3"/>
    <w:rsid w:val="457D752C"/>
    <w:rsid w:val="4580E549"/>
    <w:rsid w:val="45841EE9"/>
    <w:rsid w:val="458D33A3"/>
    <w:rsid w:val="458EA161"/>
    <w:rsid w:val="4590FC59"/>
    <w:rsid w:val="45963E65"/>
    <w:rsid w:val="45964889"/>
    <w:rsid w:val="4597A74B"/>
    <w:rsid w:val="459A839A"/>
    <w:rsid w:val="45A5E1BC"/>
    <w:rsid w:val="45A8CEE1"/>
    <w:rsid w:val="45AAAB58"/>
    <w:rsid w:val="45AD2C8E"/>
    <w:rsid w:val="45AF342E"/>
    <w:rsid w:val="45AF7F79"/>
    <w:rsid w:val="45B13B6B"/>
    <w:rsid w:val="45B66321"/>
    <w:rsid w:val="45B6A2DF"/>
    <w:rsid w:val="45B8FBDA"/>
    <w:rsid w:val="45BC69BB"/>
    <w:rsid w:val="45C34DB2"/>
    <w:rsid w:val="45C407AC"/>
    <w:rsid w:val="45C49614"/>
    <w:rsid w:val="45C51269"/>
    <w:rsid w:val="45C72578"/>
    <w:rsid w:val="45CA4883"/>
    <w:rsid w:val="45CB3108"/>
    <w:rsid w:val="45CDA637"/>
    <w:rsid w:val="45D2DDFB"/>
    <w:rsid w:val="45D3C09B"/>
    <w:rsid w:val="45D6355D"/>
    <w:rsid w:val="45D72981"/>
    <w:rsid w:val="45DA72D8"/>
    <w:rsid w:val="45DC9C52"/>
    <w:rsid w:val="45DD3009"/>
    <w:rsid w:val="45E49E73"/>
    <w:rsid w:val="45EC4867"/>
    <w:rsid w:val="45EC61CD"/>
    <w:rsid w:val="45ECAEC7"/>
    <w:rsid w:val="45F38824"/>
    <w:rsid w:val="45F6824E"/>
    <w:rsid w:val="45F6FE50"/>
    <w:rsid w:val="45F939EB"/>
    <w:rsid w:val="45FA834E"/>
    <w:rsid w:val="45FAAC4D"/>
    <w:rsid w:val="45FADC1B"/>
    <w:rsid w:val="45FB1447"/>
    <w:rsid w:val="45FDD556"/>
    <w:rsid w:val="45FF7517"/>
    <w:rsid w:val="4609CE69"/>
    <w:rsid w:val="460E7092"/>
    <w:rsid w:val="4612995E"/>
    <w:rsid w:val="4614B920"/>
    <w:rsid w:val="4619FBF3"/>
    <w:rsid w:val="46211735"/>
    <w:rsid w:val="46229435"/>
    <w:rsid w:val="4625E245"/>
    <w:rsid w:val="46271FFB"/>
    <w:rsid w:val="4627544C"/>
    <w:rsid w:val="46277B77"/>
    <w:rsid w:val="462B5AA0"/>
    <w:rsid w:val="462B7A72"/>
    <w:rsid w:val="462F181E"/>
    <w:rsid w:val="4631EE8F"/>
    <w:rsid w:val="46346FA0"/>
    <w:rsid w:val="4638D7C4"/>
    <w:rsid w:val="4639A23A"/>
    <w:rsid w:val="463BC4CF"/>
    <w:rsid w:val="463C6662"/>
    <w:rsid w:val="464065B5"/>
    <w:rsid w:val="464509C7"/>
    <w:rsid w:val="4645878F"/>
    <w:rsid w:val="4645E38C"/>
    <w:rsid w:val="4648372F"/>
    <w:rsid w:val="4648CCBC"/>
    <w:rsid w:val="4649764B"/>
    <w:rsid w:val="4649FDF4"/>
    <w:rsid w:val="464A3C8C"/>
    <w:rsid w:val="464BD946"/>
    <w:rsid w:val="464DD69C"/>
    <w:rsid w:val="464E1786"/>
    <w:rsid w:val="4651F344"/>
    <w:rsid w:val="4652825C"/>
    <w:rsid w:val="466345D3"/>
    <w:rsid w:val="4665F06D"/>
    <w:rsid w:val="46688D80"/>
    <w:rsid w:val="4669793D"/>
    <w:rsid w:val="466B3961"/>
    <w:rsid w:val="466E8245"/>
    <w:rsid w:val="4670927E"/>
    <w:rsid w:val="46727544"/>
    <w:rsid w:val="46754EA3"/>
    <w:rsid w:val="4678545D"/>
    <w:rsid w:val="4679CC6F"/>
    <w:rsid w:val="467D4017"/>
    <w:rsid w:val="467DEDEC"/>
    <w:rsid w:val="46835D55"/>
    <w:rsid w:val="468A1F4D"/>
    <w:rsid w:val="46954114"/>
    <w:rsid w:val="46982DCE"/>
    <w:rsid w:val="469F2A5A"/>
    <w:rsid w:val="46A26CAA"/>
    <w:rsid w:val="46A4ED0F"/>
    <w:rsid w:val="46A4EE77"/>
    <w:rsid w:val="46A572BA"/>
    <w:rsid w:val="46A62B02"/>
    <w:rsid w:val="46A639C2"/>
    <w:rsid w:val="46A71B0C"/>
    <w:rsid w:val="46AD7E2F"/>
    <w:rsid w:val="46AE4BA5"/>
    <w:rsid w:val="46AFB680"/>
    <w:rsid w:val="46B383D5"/>
    <w:rsid w:val="46B64212"/>
    <w:rsid w:val="46B6DB13"/>
    <w:rsid w:val="46BEDF18"/>
    <w:rsid w:val="46BF242B"/>
    <w:rsid w:val="46C0F244"/>
    <w:rsid w:val="46C4CEFA"/>
    <w:rsid w:val="46C54038"/>
    <w:rsid w:val="46C5B1DE"/>
    <w:rsid w:val="46CB26EC"/>
    <w:rsid w:val="46CDEDCA"/>
    <w:rsid w:val="46D016DF"/>
    <w:rsid w:val="46D16F07"/>
    <w:rsid w:val="46D6BD0E"/>
    <w:rsid w:val="46DB26BD"/>
    <w:rsid w:val="46DC82D1"/>
    <w:rsid w:val="46DE7B81"/>
    <w:rsid w:val="46E0D0FC"/>
    <w:rsid w:val="46E2DB27"/>
    <w:rsid w:val="46E3BCBC"/>
    <w:rsid w:val="46E45605"/>
    <w:rsid w:val="46EE385D"/>
    <w:rsid w:val="46F58E77"/>
    <w:rsid w:val="46F88884"/>
    <w:rsid w:val="46FA8E11"/>
    <w:rsid w:val="46FCCB0E"/>
    <w:rsid w:val="46FEF0D3"/>
    <w:rsid w:val="470DF170"/>
    <w:rsid w:val="470F3CCE"/>
    <w:rsid w:val="4710F2B0"/>
    <w:rsid w:val="47129210"/>
    <w:rsid w:val="4714206F"/>
    <w:rsid w:val="4715A3A0"/>
    <w:rsid w:val="471954D9"/>
    <w:rsid w:val="471A8E90"/>
    <w:rsid w:val="471B3E6A"/>
    <w:rsid w:val="472A942F"/>
    <w:rsid w:val="47394B98"/>
    <w:rsid w:val="4739743C"/>
    <w:rsid w:val="473A7DAD"/>
    <w:rsid w:val="473A9CC9"/>
    <w:rsid w:val="473C3D25"/>
    <w:rsid w:val="473C9601"/>
    <w:rsid w:val="474C397A"/>
    <w:rsid w:val="474EAE0B"/>
    <w:rsid w:val="474F3721"/>
    <w:rsid w:val="4750AC66"/>
    <w:rsid w:val="475823FC"/>
    <w:rsid w:val="475869E6"/>
    <w:rsid w:val="4758CC1C"/>
    <w:rsid w:val="475CDA0B"/>
    <w:rsid w:val="475FD80D"/>
    <w:rsid w:val="4764040E"/>
    <w:rsid w:val="47649C84"/>
    <w:rsid w:val="476CC287"/>
    <w:rsid w:val="476DCEA4"/>
    <w:rsid w:val="47713279"/>
    <w:rsid w:val="47717074"/>
    <w:rsid w:val="4774E344"/>
    <w:rsid w:val="4778F6CB"/>
    <w:rsid w:val="47790A20"/>
    <w:rsid w:val="477D2170"/>
    <w:rsid w:val="477DF530"/>
    <w:rsid w:val="4780285B"/>
    <w:rsid w:val="47858BFE"/>
    <w:rsid w:val="4785A278"/>
    <w:rsid w:val="478C0503"/>
    <w:rsid w:val="478EB424"/>
    <w:rsid w:val="478EEFEF"/>
    <w:rsid w:val="478F2E46"/>
    <w:rsid w:val="4794AD65"/>
    <w:rsid w:val="479C3472"/>
    <w:rsid w:val="479EBA59"/>
    <w:rsid w:val="479FF9AF"/>
    <w:rsid w:val="47A97215"/>
    <w:rsid w:val="47ABEF54"/>
    <w:rsid w:val="47AF28BB"/>
    <w:rsid w:val="47B1701C"/>
    <w:rsid w:val="47B178EB"/>
    <w:rsid w:val="47B46760"/>
    <w:rsid w:val="47B713F5"/>
    <w:rsid w:val="47B741BC"/>
    <w:rsid w:val="47B7D5FE"/>
    <w:rsid w:val="47B8B51F"/>
    <w:rsid w:val="47B9820A"/>
    <w:rsid w:val="47BDA10B"/>
    <w:rsid w:val="47BE4C26"/>
    <w:rsid w:val="47BFAD72"/>
    <w:rsid w:val="47C46059"/>
    <w:rsid w:val="47C610AB"/>
    <w:rsid w:val="47C63B0C"/>
    <w:rsid w:val="47C756FA"/>
    <w:rsid w:val="47C8DBAE"/>
    <w:rsid w:val="47C94DD9"/>
    <w:rsid w:val="47C98428"/>
    <w:rsid w:val="47CA86BF"/>
    <w:rsid w:val="47D6EABA"/>
    <w:rsid w:val="47DA104A"/>
    <w:rsid w:val="47E2A192"/>
    <w:rsid w:val="47E80CD2"/>
    <w:rsid w:val="47EA1BD1"/>
    <w:rsid w:val="47ECA69F"/>
    <w:rsid w:val="47F068C2"/>
    <w:rsid w:val="47F1C4E6"/>
    <w:rsid w:val="47F32FFE"/>
    <w:rsid w:val="47F440B5"/>
    <w:rsid w:val="47F831E3"/>
    <w:rsid w:val="47F96814"/>
    <w:rsid w:val="47FA2E12"/>
    <w:rsid w:val="47FAFDE8"/>
    <w:rsid w:val="47FD74CF"/>
    <w:rsid w:val="48006179"/>
    <w:rsid w:val="4803988F"/>
    <w:rsid w:val="480547F9"/>
    <w:rsid w:val="480971C0"/>
    <w:rsid w:val="480A22E1"/>
    <w:rsid w:val="480C00E7"/>
    <w:rsid w:val="480C2709"/>
    <w:rsid w:val="480D2757"/>
    <w:rsid w:val="480F8C50"/>
    <w:rsid w:val="481362E8"/>
    <w:rsid w:val="481562A7"/>
    <w:rsid w:val="4819E0D9"/>
    <w:rsid w:val="4819E3EA"/>
    <w:rsid w:val="481AA094"/>
    <w:rsid w:val="481C4CE4"/>
    <w:rsid w:val="481C5530"/>
    <w:rsid w:val="4822ECC2"/>
    <w:rsid w:val="4823D8F2"/>
    <w:rsid w:val="48275206"/>
    <w:rsid w:val="48294B99"/>
    <w:rsid w:val="4829F2AF"/>
    <w:rsid w:val="482DC5F2"/>
    <w:rsid w:val="4831738A"/>
    <w:rsid w:val="4831D353"/>
    <w:rsid w:val="4834F4E4"/>
    <w:rsid w:val="4835282B"/>
    <w:rsid w:val="48352D32"/>
    <w:rsid w:val="48353218"/>
    <w:rsid w:val="483A7B00"/>
    <w:rsid w:val="483AA36D"/>
    <w:rsid w:val="483B4080"/>
    <w:rsid w:val="483CF789"/>
    <w:rsid w:val="483FDADC"/>
    <w:rsid w:val="48406858"/>
    <w:rsid w:val="484380E5"/>
    <w:rsid w:val="4844D09B"/>
    <w:rsid w:val="4844D9CD"/>
    <w:rsid w:val="484D4111"/>
    <w:rsid w:val="485900A4"/>
    <w:rsid w:val="4859F86D"/>
    <w:rsid w:val="485AF48C"/>
    <w:rsid w:val="485C0392"/>
    <w:rsid w:val="485EF8EE"/>
    <w:rsid w:val="4861F418"/>
    <w:rsid w:val="486694DB"/>
    <w:rsid w:val="48670A2E"/>
    <w:rsid w:val="486E78D2"/>
    <w:rsid w:val="486EBE41"/>
    <w:rsid w:val="48726170"/>
    <w:rsid w:val="48748CAA"/>
    <w:rsid w:val="4876574C"/>
    <w:rsid w:val="48821C2C"/>
    <w:rsid w:val="48866945"/>
    <w:rsid w:val="4886A168"/>
    <w:rsid w:val="4888DF1C"/>
    <w:rsid w:val="488C4121"/>
    <w:rsid w:val="488DC4B1"/>
    <w:rsid w:val="4891D074"/>
    <w:rsid w:val="489B9FF1"/>
    <w:rsid w:val="489E9FA5"/>
    <w:rsid w:val="48A53DB7"/>
    <w:rsid w:val="48A79F38"/>
    <w:rsid w:val="48ACC0F9"/>
    <w:rsid w:val="48AD59D1"/>
    <w:rsid w:val="48B0E9A9"/>
    <w:rsid w:val="48B36428"/>
    <w:rsid w:val="48BA6A83"/>
    <w:rsid w:val="48BAB30A"/>
    <w:rsid w:val="48BC7B04"/>
    <w:rsid w:val="48C616E3"/>
    <w:rsid w:val="48CD1F9F"/>
    <w:rsid w:val="48CDD594"/>
    <w:rsid w:val="48CF12F1"/>
    <w:rsid w:val="48D7A250"/>
    <w:rsid w:val="48DA7AD0"/>
    <w:rsid w:val="48E11203"/>
    <w:rsid w:val="48E3A287"/>
    <w:rsid w:val="48E47F89"/>
    <w:rsid w:val="48E71955"/>
    <w:rsid w:val="48EA55D7"/>
    <w:rsid w:val="48EF3C8E"/>
    <w:rsid w:val="48EFBE0C"/>
    <w:rsid w:val="48F00307"/>
    <w:rsid w:val="48F33F64"/>
    <w:rsid w:val="48F4D97C"/>
    <w:rsid w:val="48F76838"/>
    <w:rsid w:val="48F7C66E"/>
    <w:rsid w:val="48F9DA82"/>
    <w:rsid w:val="48FB1766"/>
    <w:rsid w:val="490829E2"/>
    <w:rsid w:val="49082D72"/>
    <w:rsid w:val="490CA9CC"/>
    <w:rsid w:val="4912B947"/>
    <w:rsid w:val="491382AA"/>
    <w:rsid w:val="49141A6B"/>
    <w:rsid w:val="49177B1D"/>
    <w:rsid w:val="49182BC6"/>
    <w:rsid w:val="491C1A12"/>
    <w:rsid w:val="491C48D5"/>
    <w:rsid w:val="49201981"/>
    <w:rsid w:val="49214DEF"/>
    <w:rsid w:val="4924101C"/>
    <w:rsid w:val="492577BD"/>
    <w:rsid w:val="49296E13"/>
    <w:rsid w:val="492C28EC"/>
    <w:rsid w:val="492F0EED"/>
    <w:rsid w:val="4931DBB3"/>
    <w:rsid w:val="4934800B"/>
    <w:rsid w:val="4934C751"/>
    <w:rsid w:val="4935C8BC"/>
    <w:rsid w:val="493BEB7B"/>
    <w:rsid w:val="493DCE57"/>
    <w:rsid w:val="493F99CF"/>
    <w:rsid w:val="4946E481"/>
    <w:rsid w:val="4947C8C5"/>
    <w:rsid w:val="49492FE4"/>
    <w:rsid w:val="494E1F15"/>
    <w:rsid w:val="4950A669"/>
    <w:rsid w:val="4952C6D4"/>
    <w:rsid w:val="495357FC"/>
    <w:rsid w:val="4955DC94"/>
    <w:rsid w:val="495A94D1"/>
    <w:rsid w:val="4960DD4A"/>
    <w:rsid w:val="49615375"/>
    <w:rsid w:val="4965F7F3"/>
    <w:rsid w:val="496BA898"/>
    <w:rsid w:val="496BFBDC"/>
    <w:rsid w:val="496CF16D"/>
    <w:rsid w:val="496F8613"/>
    <w:rsid w:val="496FE440"/>
    <w:rsid w:val="49725EBE"/>
    <w:rsid w:val="49778664"/>
    <w:rsid w:val="497B0D53"/>
    <w:rsid w:val="4980743E"/>
    <w:rsid w:val="498599C9"/>
    <w:rsid w:val="498605BE"/>
    <w:rsid w:val="498A75C4"/>
    <w:rsid w:val="498B6A8F"/>
    <w:rsid w:val="498C2A0A"/>
    <w:rsid w:val="498C6D58"/>
    <w:rsid w:val="498F2FE6"/>
    <w:rsid w:val="49929125"/>
    <w:rsid w:val="4994C48F"/>
    <w:rsid w:val="49957A4C"/>
    <w:rsid w:val="4999630A"/>
    <w:rsid w:val="499CEFF0"/>
    <w:rsid w:val="499F5DAE"/>
    <w:rsid w:val="49A0ADD9"/>
    <w:rsid w:val="49A14E12"/>
    <w:rsid w:val="49A19363"/>
    <w:rsid w:val="49AC7DEE"/>
    <w:rsid w:val="49AD8C0F"/>
    <w:rsid w:val="49AECB7D"/>
    <w:rsid w:val="49AF94E5"/>
    <w:rsid w:val="49B1CDD7"/>
    <w:rsid w:val="49B80299"/>
    <w:rsid w:val="49BCD454"/>
    <w:rsid w:val="49BD8E0E"/>
    <w:rsid w:val="49BE8124"/>
    <w:rsid w:val="49C4B1A7"/>
    <w:rsid w:val="49C4FFC3"/>
    <w:rsid w:val="49C5A461"/>
    <w:rsid w:val="49D34699"/>
    <w:rsid w:val="49D37851"/>
    <w:rsid w:val="49D70DF8"/>
    <w:rsid w:val="49D9D586"/>
    <w:rsid w:val="49DDB953"/>
    <w:rsid w:val="49DFE333"/>
    <w:rsid w:val="49DFF7AE"/>
    <w:rsid w:val="49E18381"/>
    <w:rsid w:val="49EA1E3F"/>
    <w:rsid w:val="49ECB66F"/>
    <w:rsid w:val="49F17E1F"/>
    <w:rsid w:val="49F2628A"/>
    <w:rsid w:val="49F2C8A8"/>
    <w:rsid w:val="49F373C7"/>
    <w:rsid w:val="49F5B55D"/>
    <w:rsid w:val="49F71541"/>
    <w:rsid w:val="49F8616C"/>
    <w:rsid w:val="49F896A1"/>
    <w:rsid w:val="49F8E8DA"/>
    <w:rsid w:val="49F9CE98"/>
    <w:rsid w:val="49FDF9F9"/>
    <w:rsid w:val="4A00BB34"/>
    <w:rsid w:val="4A05D1C3"/>
    <w:rsid w:val="4A0B3EB8"/>
    <w:rsid w:val="4A0DD3B7"/>
    <w:rsid w:val="4A14445A"/>
    <w:rsid w:val="4A15621F"/>
    <w:rsid w:val="4A162886"/>
    <w:rsid w:val="4A186F4F"/>
    <w:rsid w:val="4A23907A"/>
    <w:rsid w:val="4A24FAB3"/>
    <w:rsid w:val="4A270B2C"/>
    <w:rsid w:val="4A2C71BE"/>
    <w:rsid w:val="4A33A2C9"/>
    <w:rsid w:val="4A354A50"/>
    <w:rsid w:val="4A38B10B"/>
    <w:rsid w:val="4A3970B8"/>
    <w:rsid w:val="4A39AE37"/>
    <w:rsid w:val="4A3B6C76"/>
    <w:rsid w:val="4A3EBE95"/>
    <w:rsid w:val="4A3FC232"/>
    <w:rsid w:val="4A4010AE"/>
    <w:rsid w:val="4A403570"/>
    <w:rsid w:val="4A405A3E"/>
    <w:rsid w:val="4A407B17"/>
    <w:rsid w:val="4A41750F"/>
    <w:rsid w:val="4A4ACC2A"/>
    <w:rsid w:val="4A4B9E79"/>
    <w:rsid w:val="4A5B5081"/>
    <w:rsid w:val="4A5C57CA"/>
    <w:rsid w:val="4A5F82E2"/>
    <w:rsid w:val="4A614C18"/>
    <w:rsid w:val="4A6214C0"/>
    <w:rsid w:val="4A64D0AC"/>
    <w:rsid w:val="4A662AF7"/>
    <w:rsid w:val="4A677776"/>
    <w:rsid w:val="4A67C3FD"/>
    <w:rsid w:val="4A6B0B16"/>
    <w:rsid w:val="4A75BA9F"/>
    <w:rsid w:val="4A775DF7"/>
    <w:rsid w:val="4A78762A"/>
    <w:rsid w:val="4A7C971E"/>
    <w:rsid w:val="4A7F86E3"/>
    <w:rsid w:val="4A80A917"/>
    <w:rsid w:val="4A87CD1C"/>
    <w:rsid w:val="4A8DCA98"/>
    <w:rsid w:val="4A8F15BB"/>
    <w:rsid w:val="4A91B36C"/>
    <w:rsid w:val="4A940820"/>
    <w:rsid w:val="4A9778CF"/>
    <w:rsid w:val="4A97F504"/>
    <w:rsid w:val="4A98C4AA"/>
    <w:rsid w:val="4A9A0D41"/>
    <w:rsid w:val="4A9D2D37"/>
    <w:rsid w:val="4A9F845A"/>
    <w:rsid w:val="4AA0557E"/>
    <w:rsid w:val="4AA0CD55"/>
    <w:rsid w:val="4AA2F70F"/>
    <w:rsid w:val="4AA732AF"/>
    <w:rsid w:val="4AA97474"/>
    <w:rsid w:val="4AAA16A0"/>
    <w:rsid w:val="4AAA5011"/>
    <w:rsid w:val="4AB15D04"/>
    <w:rsid w:val="4AB3388C"/>
    <w:rsid w:val="4AB423CA"/>
    <w:rsid w:val="4AB8605C"/>
    <w:rsid w:val="4ABD0A17"/>
    <w:rsid w:val="4ABD57D0"/>
    <w:rsid w:val="4AC0918A"/>
    <w:rsid w:val="4AC14EE0"/>
    <w:rsid w:val="4AC17175"/>
    <w:rsid w:val="4AC4C699"/>
    <w:rsid w:val="4AC4E119"/>
    <w:rsid w:val="4AC54DE9"/>
    <w:rsid w:val="4AC6078E"/>
    <w:rsid w:val="4AC654E6"/>
    <w:rsid w:val="4AC9EC49"/>
    <w:rsid w:val="4ACB88D6"/>
    <w:rsid w:val="4AD2A174"/>
    <w:rsid w:val="4AD8F33D"/>
    <w:rsid w:val="4ADF59C6"/>
    <w:rsid w:val="4ADF736F"/>
    <w:rsid w:val="4AE595E6"/>
    <w:rsid w:val="4AE6BF39"/>
    <w:rsid w:val="4AF0459B"/>
    <w:rsid w:val="4AF1AEF7"/>
    <w:rsid w:val="4AF2FE52"/>
    <w:rsid w:val="4AF32033"/>
    <w:rsid w:val="4AF74E34"/>
    <w:rsid w:val="4AFB0516"/>
    <w:rsid w:val="4AFB5B6C"/>
    <w:rsid w:val="4AFD2895"/>
    <w:rsid w:val="4AFE94C8"/>
    <w:rsid w:val="4B0032BD"/>
    <w:rsid w:val="4B006334"/>
    <w:rsid w:val="4B088B09"/>
    <w:rsid w:val="4B0A43CF"/>
    <w:rsid w:val="4B105260"/>
    <w:rsid w:val="4B10695C"/>
    <w:rsid w:val="4B15DE1E"/>
    <w:rsid w:val="4B1E1453"/>
    <w:rsid w:val="4B1EAA76"/>
    <w:rsid w:val="4B22A401"/>
    <w:rsid w:val="4B2A11C1"/>
    <w:rsid w:val="4B2DEB0A"/>
    <w:rsid w:val="4B306143"/>
    <w:rsid w:val="4B31B078"/>
    <w:rsid w:val="4B33DF9A"/>
    <w:rsid w:val="4B356A1F"/>
    <w:rsid w:val="4B36EBE2"/>
    <w:rsid w:val="4B3859A1"/>
    <w:rsid w:val="4B39332E"/>
    <w:rsid w:val="4B3B1E6C"/>
    <w:rsid w:val="4B3F47EC"/>
    <w:rsid w:val="4B4666CF"/>
    <w:rsid w:val="4B497D57"/>
    <w:rsid w:val="4B4D0369"/>
    <w:rsid w:val="4B4F4FF2"/>
    <w:rsid w:val="4B511AFD"/>
    <w:rsid w:val="4B5620B9"/>
    <w:rsid w:val="4B57268B"/>
    <w:rsid w:val="4B5B2752"/>
    <w:rsid w:val="4B5E0F46"/>
    <w:rsid w:val="4B60ED06"/>
    <w:rsid w:val="4B613716"/>
    <w:rsid w:val="4B62EDC6"/>
    <w:rsid w:val="4B66574D"/>
    <w:rsid w:val="4B684B85"/>
    <w:rsid w:val="4B69CDCC"/>
    <w:rsid w:val="4B731894"/>
    <w:rsid w:val="4B7359B9"/>
    <w:rsid w:val="4B76ADAA"/>
    <w:rsid w:val="4B7AC878"/>
    <w:rsid w:val="4B7B4BEE"/>
    <w:rsid w:val="4B7CE6D3"/>
    <w:rsid w:val="4B7E8B5B"/>
    <w:rsid w:val="4B7F86D3"/>
    <w:rsid w:val="4B7FAB74"/>
    <w:rsid w:val="4B83EB3F"/>
    <w:rsid w:val="4B87693C"/>
    <w:rsid w:val="4B90CB68"/>
    <w:rsid w:val="4B94CE9D"/>
    <w:rsid w:val="4B954FEA"/>
    <w:rsid w:val="4B9826BE"/>
    <w:rsid w:val="4B9A0AFB"/>
    <w:rsid w:val="4B9F8600"/>
    <w:rsid w:val="4BA12BC1"/>
    <w:rsid w:val="4BA55E36"/>
    <w:rsid w:val="4BA5DC2F"/>
    <w:rsid w:val="4BA88B55"/>
    <w:rsid w:val="4BAA9431"/>
    <w:rsid w:val="4BADD530"/>
    <w:rsid w:val="4BB180B9"/>
    <w:rsid w:val="4BB44BBD"/>
    <w:rsid w:val="4BB469B4"/>
    <w:rsid w:val="4BB75322"/>
    <w:rsid w:val="4BBABE1E"/>
    <w:rsid w:val="4BBAD210"/>
    <w:rsid w:val="4BBAE75F"/>
    <w:rsid w:val="4BBBAEAC"/>
    <w:rsid w:val="4BBE9088"/>
    <w:rsid w:val="4BC30426"/>
    <w:rsid w:val="4BC323BD"/>
    <w:rsid w:val="4BC70191"/>
    <w:rsid w:val="4BC707D5"/>
    <w:rsid w:val="4BCAE8AE"/>
    <w:rsid w:val="4BCB2144"/>
    <w:rsid w:val="4BCB561B"/>
    <w:rsid w:val="4BD27929"/>
    <w:rsid w:val="4BD28D51"/>
    <w:rsid w:val="4BD3F9EA"/>
    <w:rsid w:val="4BD6595A"/>
    <w:rsid w:val="4BD86918"/>
    <w:rsid w:val="4BDC2817"/>
    <w:rsid w:val="4BDCB8D0"/>
    <w:rsid w:val="4BE02DC4"/>
    <w:rsid w:val="4BE0D5D0"/>
    <w:rsid w:val="4BEC2254"/>
    <w:rsid w:val="4BECCC83"/>
    <w:rsid w:val="4BEF1490"/>
    <w:rsid w:val="4BF4AFF1"/>
    <w:rsid w:val="4BF6B21E"/>
    <w:rsid w:val="4BFAF0D0"/>
    <w:rsid w:val="4BFE4E27"/>
    <w:rsid w:val="4BFF9126"/>
    <w:rsid w:val="4C05EFB9"/>
    <w:rsid w:val="4C0B65D8"/>
    <w:rsid w:val="4C0BD837"/>
    <w:rsid w:val="4C0C8CD7"/>
    <w:rsid w:val="4C0F6D13"/>
    <w:rsid w:val="4C12747D"/>
    <w:rsid w:val="4C147DE6"/>
    <w:rsid w:val="4C17BE24"/>
    <w:rsid w:val="4C197D4C"/>
    <w:rsid w:val="4C1A4148"/>
    <w:rsid w:val="4C249CBD"/>
    <w:rsid w:val="4C26E082"/>
    <w:rsid w:val="4C274BD6"/>
    <w:rsid w:val="4C2B2E63"/>
    <w:rsid w:val="4C2D3667"/>
    <w:rsid w:val="4C2DCF02"/>
    <w:rsid w:val="4C2E193A"/>
    <w:rsid w:val="4C325FCF"/>
    <w:rsid w:val="4C339703"/>
    <w:rsid w:val="4C36CCFD"/>
    <w:rsid w:val="4C3A2525"/>
    <w:rsid w:val="4C3BF26E"/>
    <w:rsid w:val="4C3C986F"/>
    <w:rsid w:val="4C3E5BB3"/>
    <w:rsid w:val="4C3EE487"/>
    <w:rsid w:val="4C428CF1"/>
    <w:rsid w:val="4C43B376"/>
    <w:rsid w:val="4C456A9A"/>
    <w:rsid w:val="4C45B6E7"/>
    <w:rsid w:val="4C4AE272"/>
    <w:rsid w:val="4C4DBA39"/>
    <w:rsid w:val="4C4F704E"/>
    <w:rsid w:val="4C52385C"/>
    <w:rsid w:val="4C594950"/>
    <w:rsid w:val="4C5EC969"/>
    <w:rsid w:val="4C5FF70E"/>
    <w:rsid w:val="4C604D0E"/>
    <w:rsid w:val="4C605CEA"/>
    <w:rsid w:val="4C607B58"/>
    <w:rsid w:val="4C622547"/>
    <w:rsid w:val="4C64EFA3"/>
    <w:rsid w:val="4C6839E1"/>
    <w:rsid w:val="4C6B0778"/>
    <w:rsid w:val="4C7089E3"/>
    <w:rsid w:val="4C7719FE"/>
    <w:rsid w:val="4C7AF2CC"/>
    <w:rsid w:val="4C848E26"/>
    <w:rsid w:val="4C84E443"/>
    <w:rsid w:val="4C879A1C"/>
    <w:rsid w:val="4C8EE6C8"/>
    <w:rsid w:val="4C916B0F"/>
    <w:rsid w:val="4C91A0B6"/>
    <w:rsid w:val="4C965E4A"/>
    <w:rsid w:val="4C96AEA0"/>
    <w:rsid w:val="4C96B9D0"/>
    <w:rsid w:val="4C984F89"/>
    <w:rsid w:val="4C989E8B"/>
    <w:rsid w:val="4C9A511A"/>
    <w:rsid w:val="4C9C2A79"/>
    <w:rsid w:val="4CA3FDAC"/>
    <w:rsid w:val="4CB08336"/>
    <w:rsid w:val="4CB8152B"/>
    <w:rsid w:val="4CB98CEE"/>
    <w:rsid w:val="4CBCE01F"/>
    <w:rsid w:val="4CBEABA1"/>
    <w:rsid w:val="4CC12904"/>
    <w:rsid w:val="4CC7B5B3"/>
    <w:rsid w:val="4CC905FF"/>
    <w:rsid w:val="4CCB8AA7"/>
    <w:rsid w:val="4CCD9B9B"/>
    <w:rsid w:val="4CCE824F"/>
    <w:rsid w:val="4CD103CC"/>
    <w:rsid w:val="4CD2D03D"/>
    <w:rsid w:val="4CD3E048"/>
    <w:rsid w:val="4CD4E52D"/>
    <w:rsid w:val="4CD65B2C"/>
    <w:rsid w:val="4CD7F8A5"/>
    <w:rsid w:val="4CDCB188"/>
    <w:rsid w:val="4CDD998E"/>
    <w:rsid w:val="4CE5E2DE"/>
    <w:rsid w:val="4CED2A91"/>
    <w:rsid w:val="4CF31F6B"/>
    <w:rsid w:val="4CF3A3A3"/>
    <w:rsid w:val="4CF59CEB"/>
    <w:rsid w:val="4CF80DC6"/>
    <w:rsid w:val="4CFC7A0E"/>
    <w:rsid w:val="4D02E599"/>
    <w:rsid w:val="4D039756"/>
    <w:rsid w:val="4D0A36D2"/>
    <w:rsid w:val="4D13B691"/>
    <w:rsid w:val="4D15F898"/>
    <w:rsid w:val="4D198BA6"/>
    <w:rsid w:val="4D22A58B"/>
    <w:rsid w:val="4D245731"/>
    <w:rsid w:val="4D2470CA"/>
    <w:rsid w:val="4D26E8A6"/>
    <w:rsid w:val="4D277442"/>
    <w:rsid w:val="4D2870BD"/>
    <w:rsid w:val="4D28C696"/>
    <w:rsid w:val="4D2F9F7A"/>
    <w:rsid w:val="4D306DBE"/>
    <w:rsid w:val="4D393730"/>
    <w:rsid w:val="4D398EE0"/>
    <w:rsid w:val="4D3FF479"/>
    <w:rsid w:val="4D40CC00"/>
    <w:rsid w:val="4D447BF7"/>
    <w:rsid w:val="4D461024"/>
    <w:rsid w:val="4D48F050"/>
    <w:rsid w:val="4D4C4793"/>
    <w:rsid w:val="4D4D3A9F"/>
    <w:rsid w:val="4D4E8124"/>
    <w:rsid w:val="4D4FB67E"/>
    <w:rsid w:val="4D515664"/>
    <w:rsid w:val="4D527AB9"/>
    <w:rsid w:val="4D5A2E85"/>
    <w:rsid w:val="4D5A4742"/>
    <w:rsid w:val="4D5BA84C"/>
    <w:rsid w:val="4D5D4311"/>
    <w:rsid w:val="4D61C623"/>
    <w:rsid w:val="4D62E9C1"/>
    <w:rsid w:val="4D643DC5"/>
    <w:rsid w:val="4D6A88DE"/>
    <w:rsid w:val="4D6B83AE"/>
    <w:rsid w:val="4D6E38CF"/>
    <w:rsid w:val="4D73517D"/>
    <w:rsid w:val="4D74D561"/>
    <w:rsid w:val="4D7536BA"/>
    <w:rsid w:val="4D755118"/>
    <w:rsid w:val="4D75EC97"/>
    <w:rsid w:val="4D77B8DB"/>
    <w:rsid w:val="4D7B5720"/>
    <w:rsid w:val="4D80715C"/>
    <w:rsid w:val="4D82A3C7"/>
    <w:rsid w:val="4D855E7E"/>
    <w:rsid w:val="4D855ECE"/>
    <w:rsid w:val="4D860B28"/>
    <w:rsid w:val="4D88CE8E"/>
    <w:rsid w:val="4D8961D0"/>
    <w:rsid w:val="4D8E6091"/>
    <w:rsid w:val="4D97129D"/>
    <w:rsid w:val="4DA023D1"/>
    <w:rsid w:val="4DA6DB9B"/>
    <w:rsid w:val="4DA85524"/>
    <w:rsid w:val="4DABC613"/>
    <w:rsid w:val="4DAF3174"/>
    <w:rsid w:val="4DB0D6F5"/>
    <w:rsid w:val="4DB10297"/>
    <w:rsid w:val="4DB69ED7"/>
    <w:rsid w:val="4DB72E9B"/>
    <w:rsid w:val="4DB8B83B"/>
    <w:rsid w:val="4DBCB736"/>
    <w:rsid w:val="4DBFF652"/>
    <w:rsid w:val="4DC01ACE"/>
    <w:rsid w:val="4DC0FC2E"/>
    <w:rsid w:val="4DC3B938"/>
    <w:rsid w:val="4DC7A40B"/>
    <w:rsid w:val="4DC89A99"/>
    <w:rsid w:val="4DC9B368"/>
    <w:rsid w:val="4DD0FE5D"/>
    <w:rsid w:val="4DD33CB4"/>
    <w:rsid w:val="4DD69112"/>
    <w:rsid w:val="4DD955A4"/>
    <w:rsid w:val="4DDAF77B"/>
    <w:rsid w:val="4DDCF802"/>
    <w:rsid w:val="4DDF31C6"/>
    <w:rsid w:val="4DE18748"/>
    <w:rsid w:val="4DEB477A"/>
    <w:rsid w:val="4DF32094"/>
    <w:rsid w:val="4DF5069B"/>
    <w:rsid w:val="4DF99BC3"/>
    <w:rsid w:val="4DFC4EA0"/>
    <w:rsid w:val="4DFC58BC"/>
    <w:rsid w:val="4DFCE3FA"/>
    <w:rsid w:val="4DFDAF66"/>
    <w:rsid w:val="4E011794"/>
    <w:rsid w:val="4E02CD29"/>
    <w:rsid w:val="4E043B2B"/>
    <w:rsid w:val="4E0AC184"/>
    <w:rsid w:val="4E12DE2F"/>
    <w:rsid w:val="4E14654D"/>
    <w:rsid w:val="4E167465"/>
    <w:rsid w:val="4E174028"/>
    <w:rsid w:val="4E1BCF95"/>
    <w:rsid w:val="4E1CEF0B"/>
    <w:rsid w:val="4E1FFC0E"/>
    <w:rsid w:val="4E21F57B"/>
    <w:rsid w:val="4E23CF24"/>
    <w:rsid w:val="4E28A583"/>
    <w:rsid w:val="4E2F6BCA"/>
    <w:rsid w:val="4E318258"/>
    <w:rsid w:val="4E328D63"/>
    <w:rsid w:val="4E34AF76"/>
    <w:rsid w:val="4E382019"/>
    <w:rsid w:val="4E383E74"/>
    <w:rsid w:val="4E3F05EA"/>
    <w:rsid w:val="4E416355"/>
    <w:rsid w:val="4E41CDA6"/>
    <w:rsid w:val="4E42038B"/>
    <w:rsid w:val="4E44932A"/>
    <w:rsid w:val="4E4872EA"/>
    <w:rsid w:val="4E49DBB1"/>
    <w:rsid w:val="4E4A248C"/>
    <w:rsid w:val="4E4E1C14"/>
    <w:rsid w:val="4E4E5819"/>
    <w:rsid w:val="4E53C21C"/>
    <w:rsid w:val="4E53E58C"/>
    <w:rsid w:val="4E555593"/>
    <w:rsid w:val="4E57C631"/>
    <w:rsid w:val="4E5B59EA"/>
    <w:rsid w:val="4E5C7E81"/>
    <w:rsid w:val="4E5E74E7"/>
    <w:rsid w:val="4E5ED8B1"/>
    <w:rsid w:val="4E5F3221"/>
    <w:rsid w:val="4E6079E4"/>
    <w:rsid w:val="4E6148C7"/>
    <w:rsid w:val="4E6F649A"/>
    <w:rsid w:val="4E6F9172"/>
    <w:rsid w:val="4E740CBA"/>
    <w:rsid w:val="4E74A537"/>
    <w:rsid w:val="4E75E36C"/>
    <w:rsid w:val="4E76122F"/>
    <w:rsid w:val="4E7A7DD9"/>
    <w:rsid w:val="4E7E9AE9"/>
    <w:rsid w:val="4E82453A"/>
    <w:rsid w:val="4E8693AA"/>
    <w:rsid w:val="4E88BC16"/>
    <w:rsid w:val="4E89D47D"/>
    <w:rsid w:val="4E8B4E9A"/>
    <w:rsid w:val="4E915037"/>
    <w:rsid w:val="4E924953"/>
    <w:rsid w:val="4E931A76"/>
    <w:rsid w:val="4E94656A"/>
    <w:rsid w:val="4E96B8FB"/>
    <w:rsid w:val="4E991CC7"/>
    <w:rsid w:val="4E9B27DD"/>
    <w:rsid w:val="4E9C9103"/>
    <w:rsid w:val="4E9DFB5E"/>
    <w:rsid w:val="4E9DFC69"/>
    <w:rsid w:val="4EA1B46D"/>
    <w:rsid w:val="4EA2B06D"/>
    <w:rsid w:val="4EA4C27C"/>
    <w:rsid w:val="4EA5533D"/>
    <w:rsid w:val="4EA906ED"/>
    <w:rsid w:val="4EAE0621"/>
    <w:rsid w:val="4EB1E2D7"/>
    <w:rsid w:val="4EB20E8E"/>
    <w:rsid w:val="4EB3CE91"/>
    <w:rsid w:val="4EB80557"/>
    <w:rsid w:val="4EBBC3A7"/>
    <w:rsid w:val="4EC158E4"/>
    <w:rsid w:val="4EC1D286"/>
    <w:rsid w:val="4EC4D8B2"/>
    <w:rsid w:val="4EC6E4EA"/>
    <w:rsid w:val="4EC974AC"/>
    <w:rsid w:val="4ECA48FB"/>
    <w:rsid w:val="4ECB1EDF"/>
    <w:rsid w:val="4EDBD5A2"/>
    <w:rsid w:val="4EDC0DF0"/>
    <w:rsid w:val="4EE4203A"/>
    <w:rsid w:val="4EE999A9"/>
    <w:rsid w:val="4EEF1C1E"/>
    <w:rsid w:val="4EF274B3"/>
    <w:rsid w:val="4EF3F2F3"/>
    <w:rsid w:val="4EF56A9F"/>
    <w:rsid w:val="4EF5A36D"/>
    <w:rsid w:val="4EF617A3"/>
    <w:rsid w:val="4EF8AD24"/>
    <w:rsid w:val="4EF9EA2F"/>
    <w:rsid w:val="4EFA4A88"/>
    <w:rsid w:val="4EFAD3E9"/>
    <w:rsid w:val="4EFC9B4C"/>
    <w:rsid w:val="4EFDECC4"/>
    <w:rsid w:val="4EFF801B"/>
    <w:rsid w:val="4F004B78"/>
    <w:rsid w:val="4F024B69"/>
    <w:rsid w:val="4F04CABB"/>
    <w:rsid w:val="4F099B11"/>
    <w:rsid w:val="4F0A00D5"/>
    <w:rsid w:val="4F0EFF03"/>
    <w:rsid w:val="4F11071B"/>
    <w:rsid w:val="4F1223D4"/>
    <w:rsid w:val="4F18B6B6"/>
    <w:rsid w:val="4F1A1D50"/>
    <w:rsid w:val="4F1AF3F5"/>
    <w:rsid w:val="4F1BB632"/>
    <w:rsid w:val="4F205E40"/>
    <w:rsid w:val="4F20820C"/>
    <w:rsid w:val="4F23655F"/>
    <w:rsid w:val="4F26E912"/>
    <w:rsid w:val="4F275924"/>
    <w:rsid w:val="4F312EE2"/>
    <w:rsid w:val="4F324D7E"/>
    <w:rsid w:val="4F32E4C0"/>
    <w:rsid w:val="4F343D54"/>
    <w:rsid w:val="4F35E3F7"/>
    <w:rsid w:val="4F37A214"/>
    <w:rsid w:val="4F39509A"/>
    <w:rsid w:val="4F42F92B"/>
    <w:rsid w:val="4F47F515"/>
    <w:rsid w:val="4F497648"/>
    <w:rsid w:val="4F4EA212"/>
    <w:rsid w:val="4F50E641"/>
    <w:rsid w:val="4F53A15D"/>
    <w:rsid w:val="4F55C3F2"/>
    <w:rsid w:val="4F5712C8"/>
    <w:rsid w:val="4F579D11"/>
    <w:rsid w:val="4F5E4960"/>
    <w:rsid w:val="4F614228"/>
    <w:rsid w:val="4F620281"/>
    <w:rsid w:val="4F648D10"/>
    <w:rsid w:val="4F6655B9"/>
    <w:rsid w:val="4F68A492"/>
    <w:rsid w:val="4F68F51E"/>
    <w:rsid w:val="4F6A9C69"/>
    <w:rsid w:val="4F6DC16C"/>
    <w:rsid w:val="4F77B430"/>
    <w:rsid w:val="4F790A11"/>
    <w:rsid w:val="4F7A1D0E"/>
    <w:rsid w:val="4F7C0C05"/>
    <w:rsid w:val="4F7FBABB"/>
    <w:rsid w:val="4F82E967"/>
    <w:rsid w:val="4F839290"/>
    <w:rsid w:val="4F83B277"/>
    <w:rsid w:val="4F866981"/>
    <w:rsid w:val="4F8DC8C6"/>
    <w:rsid w:val="4F8E14CD"/>
    <w:rsid w:val="4F926189"/>
    <w:rsid w:val="4F9418F4"/>
    <w:rsid w:val="4F9619F0"/>
    <w:rsid w:val="4F98B606"/>
    <w:rsid w:val="4F99C609"/>
    <w:rsid w:val="4F99D37C"/>
    <w:rsid w:val="4F9AB0B7"/>
    <w:rsid w:val="4F9BA62A"/>
    <w:rsid w:val="4F9BE57E"/>
    <w:rsid w:val="4F9CDA03"/>
    <w:rsid w:val="4F9D7C62"/>
    <w:rsid w:val="4FAA41E7"/>
    <w:rsid w:val="4FAF7EC5"/>
    <w:rsid w:val="4FB028DA"/>
    <w:rsid w:val="4FB02FFC"/>
    <w:rsid w:val="4FB0BCCB"/>
    <w:rsid w:val="4FB2905E"/>
    <w:rsid w:val="4FB4EC3D"/>
    <w:rsid w:val="4FB53560"/>
    <w:rsid w:val="4FB586B2"/>
    <w:rsid w:val="4FB772BC"/>
    <w:rsid w:val="4FBAE82E"/>
    <w:rsid w:val="4FBF5F20"/>
    <w:rsid w:val="4FC14D64"/>
    <w:rsid w:val="4FC5B3FB"/>
    <w:rsid w:val="4FCA05B7"/>
    <w:rsid w:val="4FCA950F"/>
    <w:rsid w:val="4FCABF57"/>
    <w:rsid w:val="4FCC64E0"/>
    <w:rsid w:val="4FCD2EB7"/>
    <w:rsid w:val="4FCDC7B7"/>
    <w:rsid w:val="4FD33A15"/>
    <w:rsid w:val="4FD5B582"/>
    <w:rsid w:val="4FD5EC59"/>
    <w:rsid w:val="4FDAC169"/>
    <w:rsid w:val="4FE5222F"/>
    <w:rsid w:val="4FE6C7E8"/>
    <w:rsid w:val="4FEF22B4"/>
    <w:rsid w:val="4FF18624"/>
    <w:rsid w:val="4FF4D1D3"/>
    <w:rsid w:val="4FF6A414"/>
    <w:rsid w:val="4FF8FD5F"/>
    <w:rsid w:val="4FFB4966"/>
    <w:rsid w:val="4FFB72E9"/>
    <w:rsid w:val="4FFF20C7"/>
    <w:rsid w:val="4FFF2858"/>
    <w:rsid w:val="5000422F"/>
    <w:rsid w:val="500052D6"/>
    <w:rsid w:val="5000B6F7"/>
    <w:rsid w:val="500183DC"/>
    <w:rsid w:val="50048F1E"/>
    <w:rsid w:val="50062456"/>
    <w:rsid w:val="5006CFB1"/>
    <w:rsid w:val="50075574"/>
    <w:rsid w:val="50088400"/>
    <w:rsid w:val="5008E819"/>
    <w:rsid w:val="500D6E72"/>
    <w:rsid w:val="5013A19C"/>
    <w:rsid w:val="501AC9E1"/>
    <w:rsid w:val="502124D4"/>
    <w:rsid w:val="5021CDBC"/>
    <w:rsid w:val="50256299"/>
    <w:rsid w:val="50271004"/>
    <w:rsid w:val="5027AFE4"/>
    <w:rsid w:val="502C196A"/>
    <w:rsid w:val="5035630E"/>
    <w:rsid w:val="50362440"/>
    <w:rsid w:val="503CE677"/>
    <w:rsid w:val="5040F5B4"/>
    <w:rsid w:val="504672FE"/>
    <w:rsid w:val="504D3F81"/>
    <w:rsid w:val="504E4F5B"/>
    <w:rsid w:val="504E560C"/>
    <w:rsid w:val="50552F19"/>
    <w:rsid w:val="5055ABB8"/>
    <w:rsid w:val="505893E2"/>
    <w:rsid w:val="505DA743"/>
    <w:rsid w:val="5061BA21"/>
    <w:rsid w:val="50661262"/>
    <w:rsid w:val="50663310"/>
    <w:rsid w:val="50669CC4"/>
    <w:rsid w:val="50693E91"/>
    <w:rsid w:val="506D6654"/>
    <w:rsid w:val="5071DA97"/>
    <w:rsid w:val="50779E03"/>
    <w:rsid w:val="5079C491"/>
    <w:rsid w:val="5079CB53"/>
    <w:rsid w:val="507A3CD8"/>
    <w:rsid w:val="507A9AB1"/>
    <w:rsid w:val="5080A9E2"/>
    <w:rsid w:val="50825C03"/>
    <w:rsid w:val="50833DC8"/>
    <w:rsid w:val="50841197"/>
    <w:rsid w:val="508833C2"/>
    <w:rsid w:val="508B0A5B"/>
    <w:rsid w:val="508E32AC"/>
    <w:rsid w:val="5094103F"/>
    <w:rsid w:val="5095CD74"/>
    <w:rsid w:val="50A0BBED"/>
    <w:rsid w:val="50A197C9"/>
    <w:rsid w:val="50A3813C"/>
    <w:rsid w:val="50A4EA28"/>
    <w:rsid w:val="50A73399"/>
    <w:rsid w:val="50A7A4D5"/>
    <w:rsid w:val="50A7A82D"/>
    <w:rsid w:val="50A8AD39"/>
    <w:rsid w:val="50A98FAA"/>
    <w:rsid w:val="50AAFABC"/>
    <w:rsid w:val="50ACD77C"/>
    <w:rsid w:val="50AF036E"/>
    <w:rsid w:val="50AF8B70"/>
    <w:rsid w:val="50B154C5"/>
    <w:rsid w:val="50B30EC1"/>
    <w:rsid w:val="50B3D7D1"/>
    <w:rsid w:val="50B528E0"/>
    <w:rsid w:val="50B7822E"/>
    <w:rsid w:val="50BB88DA"/>
    <w:rsid w:val="50BCBA97"/>
    <w:rsid w:val="50C537FB"/>
    <w:rsid w:val="50C6A655"/>
    <w:rsid w:val="50CAFA4F"/>
    <w:rsid w:val="50D42691"/>
    <w:rsid w:val="50D4EA24"/>
    <w:rsid w:val="50D8C271"/>
    <w:rsid w:val="50DB3A13"/>
    <w:rsid w:val="50DE7F8D"/>
    <w:rsid w:val="50E6343E"/>
    <w:rsid w:val="50E6483E"/>
    <w:rsid w:val="50E69D06"/>
    <w:rsid w:val="50E86470"/>
    <w:rsid w:val="50EC11D5"/>
    <w:rsid w:val="50ED864B"/>
    <w:rsid w:val="50EDFFEB"/>
    <w:rsid w:val="50F03CD3"/>
    <w:rsid w:val="50F0A06A"/>
    <w:rsid w:val="50F2BD79"/>
    <w:rsid w:val="50F2DC9B"/>
    <w:rsid w:val="50F70A4B"/>
    <w:rsid w:val="50FF753C"/>
    <w:rsid w:val="5103076A"/>
    <w:rsid w:val="51063662"/>
    <w:rsid w:val="510BEFEA"/>
    <w:rsid w:val="510D0FB0"/>
    <w:rsid w:val="51139216"/>
    <w:rsid w:val="511438B8"/>
    <w:rsid w:val="5115FA3D"/>
    <w:rsid w:val="5118CA21"/>
    <w:rsid w:val="511F659B"/>
    <w:rsid w:val="5120AB89"/>
    <w:rsid w:val="5121A9F6"/>
    <w:rsid w:val="5123EB16"/>
    <w:rsid w:val="5127893C"/>
    <w:rsid w:val="512A58FB"/>
    <w:rsid w:val="512BDDC1"/>
    <w:rsid w:val="512C089A"/>
    <w:rsid w:val="512C91E2"/>
    <w:rsid w:val="512FEDFD"/>
    <w:rsid w:val="513134EB"/>
    <w:rsid w:val="5133B968"/>
    <w:rsid w:val="51389CBA"/>
    <w:rsid w:val="513A3AB0"/>
    <w:rsid w:val="513B849A"/>
    <w:rsid w:val="513C2BC5"/>
    <w:rsid w:val="513F7015"/>
    <w:rsid w:val="5142783E"/>
    <w:rsid w:val="51427F6F"/>
    <w:rsid w:val="5145C06F"/>
    <w:rsid w:val="514AAA78"/>
    <w:rsid w:val="514D35FF"/>
    <w:rsid w:val="515066C5"/>
    <w:rsid w:val="5151B449"/>
    <w:rsid w:val="5152B062"/>
    <w:rsid w:val="51556883"/>
    <w:rsid w:val="51556E37"/>
    <w:rsid w:val="51571C7F"/>
    <w:rsid w:val="51592797"/>
    <w:rsid w:val="515E8937"/>
    <w:rsid w:val="515EE269"/>
    <w:rsid w:val="51624B22"/>
    <w:rsid w:val="5163D8FE"/>
    <w:rsid w:val="5165A948"/>
    <w:rsid w:val="5165ACD8"/>
    <w:rsid w:val="51668FB8"/>
    <w:rsid w:val="51687A3C"/>
    <w:rsid w:val="5168FBC7"/>
    <w:rsid w:val="516E91CB"/>
    <w:rsid w:val="516FA4B8"/>
    <w:rsid w:val="517204AC"/>
    <w:rsid w:val="517499BA"/>
    <w:rsid w:val="5175DC63"/>
    <w:rsid w:val="5178EB31"/>
    <w:rsid w:val="517955A4"/>
    <w:rsid w:val="517B153A"/>
    <w:rsid w:val="5185DDB2"/>
    <w:rsid w:val="51867D72"/>
    <w:rsid w:val="518A085C"/>
    <w:rsid w:val="518A970F"/>
    <w:rsid w:val="518C420A"/>
    <w:rsid w:val="518CCF40"/>
    <w:rsid w:val="51910CEF"/>
    <w:rsid w:val="5191E5A1"/>
    <w:rsid w:val="5193D79C"/>
    <w:rsid w:val="5194F127"/>
    <w:rsid w:val="5195CA5C"/>
    <w:rsid w:val="5196085F"/>
    <w:rsid w:val="51969D05"/>
    <w:rsid w:val="519D7A81"/>
    <w:rsid w:val="519F5C94"/>
    <w:rsid w:val="51A2124D"/>
    <w:rsid w:val="51A86AEE"/>
    <w:rsid w:val="51A9EFAD"/>
    <w:rsid w:val="51AC2F74"/>
    <w:rsid w:val="51B0F632"/>
    <w:rsid w:val="51B21728"/>
    <w:rsid w:val="51B324B7"/>
    <w:rsid w:val="51B54CB5"/>
    <w:rsid w:val="51B802B8"/>
    <w:rsid w:val="51BB4437"/>
    <w:rsid w:val="51C52B92"/>
    <w:rsid w:val="51C84313"/>
    <w:rsid w:val="51C9F320"/>
    <w:rsid w:val="51CB3D2E"/>
    <w:rsid w:val="51CBC9EF"/>
    <w:rsid w:val="51D07302"/>
    <w:rsid w:val="51D2C0C0"/>
    <w:rsid w:val="51D2C89F"/>
    <w:rsid w:val="51D66A24"/>
    <w:rsid w:val="51D67F18"/>
    <w:rsid w:val="51D693DD"/>
    <w:rsid w:val="51DA9C54"/>
    <w:rsid w:val="51DCEC3D"/>
    <w:rsid w:val="51DDC23D"/>
    <w:rsid w:val="51DFB03F"/>
    <w:rsid w:val="51E03A40"/>
    <w:rsid w:val="51E8B9FD"/>
    <w:rsid w:val="51EA15B1"/>
    <w:rsid w:val="51ECE88C"/>
    <w:rsid w:val="51ED423F"/>
    <w:rsid w:val="51EF32AA"/>
    <w:rsid w:val="51F17CF2"/>
    <w:rsid w:val="51F370E4"/>
    <w:rsid w:val="51FB2003"/>
    <w:rsid w:val="51FFA0E1"/>
    <w:rsid w:val="5200199F"/>
    <w:rsid w:val="520CDC2D"/>
    <w:rsid w:val="520CE846"/>
    <w:rsid w:val="520EE0BB"/>
    <w:rsid w:val="52128E17"/>
    <w:rsid w:val="52182803"/>
    <w:rsid w:val="521ABCF1"/>
    <w:rsid w:val="521F19D3"/>
    <w:rsid w:val="52236447"/>
    <w:rsid w:val="522577A9"/>
    <w:rsid w:val="5227BF28"/>
    <w:rsid w:val="522ACC94"/>
    <w:rsid w:val="522E20D5"/>
    <w:rsid w:val="5230656D"/>
    <w:rsid w:val="5234F7C7"/>
    <w:rsid w:val="523AE0B7"/>
    <w:rsid w:val="523BB7C5"/>
    <w:rsid w:val="523C1E3D"/>
    <w:rsid w:val="5243EAD3"/>
    <w:rsid w:val="5243F50D"/>
    <w:rsid w:val="5246D7CD"/>
    <w:rsid w:val="52485330"/>
    <w:rsid w:val="524A10C0"/>
    <w:rsid w:val="524A1F46"/>
    <w:rsid w:val="524F34C4"/>
    <w:rsid w:val="5251550B"/>
    <w:rsid w:val="525165B0"/>
    <w:rsid w:val="5251EB19"/>
    <w:rsid w:val="52555100"/>
    <w:rsid w:val="525590E2"/>
    <w:rsid w:val="5255B294"/>
    <w:rsid w:val="5255BFC7"/>
    <w:rsid w:val="52565E4D"/>
    <w:rsid w:val="52573023"/>
    <w:rsid w:val="525F47F2"/>
    <w:rsid w:val="52689E86"/>
    <w:rsid w:val="5269ABC6"/>
    <w:rsid w:val="526E0925"/>
    <w:rsid w:val="527548DC"/>
    <w:rsid w:val="5275DA08"/>
    <w:rsid w:val="52760F1E"/>
    <w:rsid w:val="527741D1"/>
    <w:rsid w:val="52797D5F"/>
    <w:rsid w:val="527A164A"/>
    <w:rsid w:val="527A3426"/>
    <w:rsid w:val="52801D40"/>
    <w:rsid w:val="5280C46C"/>
    <w:rsid w:val="5283BA1A"/>
    <w:rsid w:val="5286C730"/>
    <w:rsid w:val="52880D4E"/>
    <w:rsid w:val="528C5370"/>
    <w:rsid w:val="528D86B0"/>
    <w:rsid w:val="5292184F"/>
    <w:rsid w:val="5292F548"/>
    <w:rsid w:val="5292F612"/>
    <w:rsid w:val="52943892"/>
    <w:rsid w:val="529B4145"/>
    <w:rsid w:val="529F71E9"/>
    <w:rsid w:val="52A10A10"/>
    <w:rsid w:val="52A14981"/>
    <w:rsid w:val="52A1DD95"/>
    <w:rsid w:val="52AA2E24"/>
    <w:rsid w:val="52ABB345"/>
    <w:rsid w:val="52AD1086"/>
    <w:rsid w:val="52AF6180"/>
    <w:rsid w:val="52B01A1B"/>
    <w:rsid w:val="52B3DE0F"/>
    <w:rsid w:val="52B4026D"/>
    <w:rsid w:val="52B7D661"/>
    <w:rsid w:val="52B8365B"/>
    <w:rsid w:val="52BA214F"/>
    <w:rsid w:val="52BF35A1"/>
    <w:rsid w:val="52C17D23"/>
    <w:rsid w:val="52C1C23F"/>
    <w:rsid w:val="52C4923A"/>
    <w:rsid w:val="52C94DBE"/>
    <w:rsid w:val="52D30B32"/>
    <w:rsid w:val="52D30BE3"/>
    <w:rsid w:val="52D65ECC"/>
    <w:rsid w:val="52D77B2A"/>
    <w:rsid w:val="52D94F0F"/>
    <w:rsid w:val="52D9AD22"/>
    <w:rsid w:val="52E0057E"/>
    <w:rsid w:val="52E0E330"/>
    <w:rsid w:val="52E1F8F5"/>
    <w:rsid w:val="52EA9275"/>
    <w:rsid w:val="52EE91CB"/>
    <w:rsid w:val="52EEA484"/>
    <w:rsid w:val="52F204FC"/>
    <w:rsid w:val="52F82736"/>
    <w:rsid w:val="52FA3D31"/>
    <w:rsid w:val="52FD5129"/>
    <w:rsid w:val="52FE49C2"/>
    <w:rsid w:val="53063C69"/>
    <w:rsid w:val="53081F66"/>
    <w:rsid w:val="5308768E"/>
    <w:rsid w:val="530886B1"/>
    <w:rsid w:val="5308F66D"/>
    <w:rsid w:val="530C4F6E"/>
    <w:rsid w:val="53169B74"/>
    <w:rsid w:val="5316E38E"/>
    <w:rsid w:val="531C165D"/>
    <w:rsid w:val="531F7A37"/>
    <w:rsid w:val="53251483"/>
    <w:rsid w:val="5326DFA8"/>
    <w:rsid w:val="532ECA76"/>
    <w:rsid w:val="533429E8"/>
    <w:rsid w:val="5334B7C9"/>
    <w:rsid w:val="5336841C"/>
    <w:rsid w:val="533F01B1"/>
    <w:rsid w:val="534200A2"/>
    <w:rsid w:val="534578B1"/>
    <w:rsid w:val="534FEF54"/>
    <w:rsid w:val="534FFD46"/>
    <w:rsid w:val="53543209"/>
    <w:rsid w:val="535AA8C5"/>
    <w:rsid w:val="535C9944"/>
    <w:rsid w:val="535DDF46"/>
    <w:rsid w:val="53628670"/>
    <w:rsid w:val="5368FEC6"/>
    <w:rsid w:val="536EA9AF"/>
    <w:rsid w:val="536F22D8"/>
    <w:rsid w:val="536F7097"/>
    <w:rsid w:val="536FE2EA"/>
    <w:rsid w:val="5370876C"/>
    <w:rsid w:val="5373D44C"/>
    <w:rsid w:val="5376FA37"/>
    <w:rsid w:val="53788FDF"/>
    <w:rsid w:val="537B7BB0"/>
    <w:rsid w:val="537E0014"/>
    <w:rsid w:val="537EB6DF"/>
    <w:rsid w:val="537EFE9D"/>
    <w:rsid w:val="5384E3EF"/>
    <w:rsid w:val="53887D86"/>
    <w:rsid w:val="53899550"/>
    <w:rsid w:val="538A8018"/>
    <w:rsid w:val="538AA153"/>
    <w:rsid w:val="538EF8B6"/>
    <w:rsid w:val="538FF3B8"/>
    <w:rsid w:val="5395074E"/>
    <w:rsid w:val="53958605"/>
    <w:rsid w:val="5397742B"/>
    <w:rsid w:val="539E86A8"/>
    <w:rsid w:val="53A06FC8"/>
    <w:rsid w:val="53A421E5"/>
    <w:rsid w:val="53A53DB7"/>
    <w:rsid w:val="53A58150"/>
    <w:rsid w:val="53AD3A20"/>
    <w:rsid w:val="53B1E61E"/>
    <w:rsid w:val="53B2012E"/>
    <w:rsid w:val="53B6195E"/>
    <w:rsid w:val="53B8A44B"/>
    <w:rsid w:val="53BEA835"/>
    <w:rsid w:val="53C11A2B"/>
    <w:rsid w:val="53C14C14"/>
    <w:rsid w:val="53C69CE0"/>
    <w:rsid w:val="53C77E8C"/>
    <w:rsid w:val="53C8316F"/>
    <w:rsid w:val="53CD5476"/>
    <w:rsid w:val="53CD5D49"/>
    <w:rsid w:val="53CDBCBB"/>
    <w:rsid w:val="53CFFBE3"/>
    <w:rsid w:val="53D110D1"/>
    <w:rsid w:val="53D28086"/>
    <w:rsid w:val="53D2F76A"/>
    <w:rsid w:val="53D71074"/>
    <w:rsid w:val="53D9A465"/>
    <w:rsid w:val="53DD747E"/>
    <w:rsid w:val="53DDD851"/>
    <w:rsid w:val="53E28608"/>
    <w:rsid w:val="53E6A67A"/>
    <w:rsid w:val="53E8460D"/>
    <w:rsid w:val="53EEA6CD"/>
    <w:rsid w:val="53F080D2"/>
    <w:rsid w:val="53F48387"/>
    <w:rsid w:val="53F5C124"/>
    <w:rsid w:val="53F6454B"/>
    <w:rsid w:val="53FA146B"/>
    <w:rsid w:val="54007105"/>
    <w:rsid w:val="5401DE3D"/>
    <w:rsid w:val="540208BF"/>
    <w:rsid w:val="5408266A"/>
    <w:rsid w:val="540A01DB"/>
    <w:rsid w:val="540FFD81"/>
    <w:rsid w:val="54116D0C"/>
    <w:rsid w:val="5412F67C"/>
    <w:rsid w:val="5415CBE7"/>
    <w:rsid w:val="5418F9BA"/>
    <w:rsid w:val="54190361"/>
    <w:rsid w:val="541B6C51"/>
    <w:rsid w:val="541F0D4F"/>
    <w:rsid w:val="541FE8E5"/>
    <w:rsid w:val="5426FCBB"/>
    <w:rsid w:val="542BF9FD"/>
    <w:rsid w:val="5436D6A0"/>
    <w:rsid w:val="5437BD15"/>
    <w:rsid w:val="543858AA"/>
    <w:rsid w:val="5438EE88"/>
    <w:rsid w:val="54446BFE"/>
    <w:rsid w:val="54456BA9"/>
    <w:rsid w:val="544E02DC"/>
    <w:rsid w:val="5450DBC2"/>
    <w:rsid w:val="545B62DB"/>
    <w:rsid w:val="545C4D2F"/>
    <w:rsid w:val="545F89E9"/>
    <w:rsid w:val="5460B214"/>
    <w:rsid w:val="5461392D"/>
    <w:rsid w:val="5463940E"/>
    <w:rsid w:val="546457BA"/>
    <w:rsid w:val="5465219F"/>
    <w:rsid w:val="54697904"/>
    <w:rsid w:val="546A441B"/>
    <w:rsid w:val="546CC374"/>
    <w:rsid w:val="546E5D43"/>
    <w:rsid w:val="54757D83"/>
    <w:rsid w:val="5478AE4A"/>
    <w:rsid w:val="547A2DC3"/>
    <w:rsid w:val="547B3454"/>
    <w:rsid w:val="547CE25D"/>
    <w:rsid w:val="547F7321"/>
    <w:rsid w:val="54806024"/>
    <w:rsid w:val="54828268"/>
    <w:rsid w:val="5487F1F3"/>
    <w:rsid w:val="5488B177"/>
    <w:rsid w:val="548C9A52"/>
    <w:rsid w:val="5490EC54"/>
    <w:rsid w:val="5492F1FC"/>
    <w:rsid w:val="54995ACE"/>
    <w:rsid w:val="549BEAE6"/>
    <w:rsid w:val="549DA457"/>
    <w:rsid w:val="54A3EECC"/>
    <w:rsid w:val="54A80B4C"/>
    <w:rsid w:val="54A82334"/>
    <w:rsid w:val="54A880C1"/>
    <w:rsid w:val="54AAF7B3"/>
    <w:rsid w:val="54AB3516"/>
    <w:rsid w:val="54B813B9"/>
    <w:rsid w:val="54BC6EE1"/>
    <w:rsid w:val="54C0D2BE"/>
    <w:rsid w:val="54C1EC03"/>
    <w:rsid w:val="54C2ADE6"/>
    <w:rsid w:val="54C348FB"/>
    <w:rsid w:val="54C5E5A4"/>
    <w:rsid w:val="54C6135A"/>
    <w:rsid w:val="54CD3097"/>
    <w:rsid w:val="54CE1A35"/>
    <w:rsid w:val="54CED684"/>
    <w:rsid w:val="54CF4CD9"/>
    <w:rsid w:val="54D3AB1A"/>
    <w:rsid w:val="54D3D361"/>
    <w:rsid w:val="54D8C76B"/>
    <w:rsid w:val="54DE485E"/>
    <w:rsid w:val="54DEBAA2"/>
    <w:rsid w:val="54DF6AC0"/>
    <w:rsid w:val="54E2F5AD"/>
    <w:rsid w:val="54E53368"/>
    <w:rsid w:val="54EBADCA"/>
    <w:rsid w:val="54EC10E7"/>
    <w:rsid w:val="54ED6DEA"/>
    <w:rsid w:val="54EE8223"/>
    <w:rsid w:val="54F1269E"/>
    <w:rsid w:val="54F1C6E7"/>
    <w:rsid w:val="54FBD1B5"/>
    <w:rsid w:val="550343C6"/>
    <w:rsid w:val="55037760"/>
    <w:rsid w:val="55042DF6"/>
    <w:rsid w:val="5506CC3B"/>
    <w:rsid w:val="550A0105"/>
    <w:rsid w:val="550E905B"/>
    <w:rsid w:val="550FCB68"/>
    <w:rsid w:val="55122C3A"/>
    <w:rsid w:val="55128071"/>
    <w:rsid w:val="551491D6"/>
    <w:rsid w:val="5515BB2C"/>
    <w:rsid w:val="5515F294"/>
    <w:rsid w:val="5520B450"/>
    <w:rsid w:val="55280774"/>
    <w:rsid w:val="552927CD"/>
    <w:rsid w:val="552E3B8B"/>
    <w:rsid w:val="553400BA"/>
    <w:rsid w:val="55370592"/>
    <w:rsid w:val="5537E77E"/>
    <w:rsid w:val="55389375"/>
    <w:rsid w:val="553B44EB"/>
    <w:rsid w:val="553CA798"/>
    <w:rsid w:val="553F5C24"/>
    <w:rsid w:val="5540F181"/>
    <w:rsid w:val="5543F0DF"/>
    <w:rsid w:val="55448BBF"/>
    <w:rsid w:val="554DF7E4"/>
    <w:rsid w:val="554F3666"/>
    <w:rsid w:val="55546C6C"/>
    <w:rsid w:val="5557C8B1"/>
    <w:rsid w:val="555864A2"/>
    <w:rsid w:val="555A10C1"/>
    <w:rsid w:val="555BA4E5"/>
    <w:rsid w:val="555C9791"/>
    <w:rsid w:val="55607495"/>
    <w:rsid w:val="5560E3C7"/>
    <w:rsid w:val="55655927"/>
    <w:rsid w:val="5566CE39"/>
    <w:rsid w:val="55679A8A"/>
    <w:rsid w:val="556DFE9A"/>
    <w:rsid w:val="5573287E"/>
    <w:rsid w:val="5575E8A5"/>
    <w:rsid w:val="55761EA4"/>
    <w:rsid w:val="557F031E"/>
    <w:rsid w:val="557F5E13"/>
    <w:rsid w:val="5580919B"/>
    <w:rsid w:val="5580C923"/>
    <w:rsid w:val="558B7FE2"/>
    <w:rsid w:val="558CAD59"/>
    <w:rsid w:val="558EF2F7"/>
    <w:rsid w:val="558F5A69"/>
    <w:rsid w:val="5595DF45"/>
    <w:rsid w:val="55967D63"/>
    <w:rsid w:val="5596981D"/>
    <w:rsid w:val="559C490D"/>
    <w:rsid w:val="559D28C2"/>
    <w:rsid w:val="559E7143"/>
    <w:rsid w:val="559F1754"/>
    <w:rsid w:val="55A18BE9"/>
    <w:rsid w:val="55B05C3C"/>
    <w:rsid w:val="55B2E3CD"/>
    <w:rsid w:val="55B3C3DF"/>
    <w:rsid w:val="55B5519A"/>
    <w:rsid w:val="55B56FFC"/>
    <w:rsid w:val="55BC31E9"/>
    <w:rsid w:val="55BC930F"/>
    <w:rsid w:val="55BD326A"/>
    <w:rsid w:val="55BE2A42"/>
    <w:rsid w:val="55BF04FF"/>
    <w:rsid w:val="55BF7FD1"/>
    <w:rsid w:val="55C17FD5"/>
    <w:rsid w:val="55CB4DD4"/>
    <w:rsid w:val="55CE6372"/>
    <w:rsid w:val="55CEB211"/>
    <w:rsid w:val="55D06C5F"/>
    <w:rsid w:val="55D1E3B7"/>
    <w:rsid w:val="55D6E9D6"/>
    <w:rsid w:val="55D86DE7"/>
    <w:rsid w:val="55DE026D"/>
    <w:rsid w:val="55E524FF"/>
    <w:rsid w:val="55E54046"/>
    <w:rsid w:val="55E70339"/>
    <w:rsid w:val="55E901DB"/>
    <w:rsid w:val="55EBCBA9"/>
    <w:rsid w:val="55EE8A2F"/>
    <w:rsid w:val="55F042AE"/>
    <w:rsid w:val="55F0BC0F"/>
    <w:rsid w:val="55F9711D"/>
    <w:rsid w:val="55FD2926"/>
    <w:rsid w:val="55FD6D94"/>
    <w:rsid w:val="55FF78AA"/>
    <w:rsid w:val="560675FF"/>
    <w:rsid w:val="5606D954"/>
    <w:rsid w:val="56092DA7"/>
    <w:rsid w:val="56102C4B"/>
    <w:rsid w:val="5611956F"/>
    <w:rsid w:val="5611AECA"/>
    <w:rsid w:val="5611E2BC"/>
    <w:rsid w:val="561298A1"/>
    <w:rsid w:val="5612C8B1"/>
    <w:rsid w:val="5614A22A"/>
    <w:rsid w:val="5614B873"/>
    <w:rsid w:val="5616EDB9"/>
    <w:rsid w:val="561CE708"/>
    <w:rsid w:val="56201809"/>
    <w:rsid w:val="562DC427"/>
    <w:rsid w:val="56329E9E"/>
    <w:rsid w:val="563765C1"/>
    <w:rsid w:val="563A00DB"/>
    <w:rsid w:val="563A8FB2"/>
    <w:rsid w:val="563B6547"/>
    <w:rsid w:val="56461DBF"/>
    <w:rsid w:val="56461EA9"/>
    <w:rsid w:val="56495E20"/>
    <w:rsid w:val="564A7545"/>
    <w:rsid w:val="564E471F"/>
    <w:rsid w:val="56511D67"/>
    <w:rsid w:val="56519837"/>
    <w:rsid w:val="565AAAEA"/>
    <w:rsid w:val="56647619"/>
    <w:rsid w:val="566BE2B6"/>
    <w:rsid w:val="566BF3E8"/>
    <w:rsid w:val="5677E89D"/>
    <w:rsid w:val="567AD810"/>
    <w:rsid w:val="567C3075"/>
    <w:rsid w:val="567F00DD"/>
    <w:rsid w:val="567F4BA9"/>
    <w:rsid w:val="5680BD42"/>
    <w:rsid w:val="56826F8C"/>
    <w:rsid w:val="56843E02"/>
    <w:rsid w:val="56869074"/>
    <w:rsid w:val="568CD2BD"/>
    <w:rsid w:val="568D4576"/>
    <w:rsid w:val="568E0E7F"/>
    <w:rsid w:val="5694CF0E"/>
    <w:rsid w:val="569A433A"/>
    <w:rsid w:val="569DC14E"/>
    <w:rsid w:val="569E576D"/>
    <w:rsid w:val="56A1103F"/>
    <w:rsid w:val="56A1A765"/>
    <w:rsid w:val="56A2FEBA"/>
    <w:rsid w:val="56A347F0"/>
    <w:rsid w:val="56A456D2"/>
    <w:rsid w:val="56A56D1B"/>
    <w:rsid w:val="56A60BD1"/>
    <w:rsid w:val="56A73152"/>
    <w:rsid w:val="56A7F4C1"/>
    <w:rsid w:val="56AAD6A8"/>
    <w:rsid w:val="56B33CF9"/>
    <w:rsid w:val="56B51AD9"/>
    <w:rsid w:val="56B5C3B2"/>
    <w:rsid w:val="56B9479F"/>
    <w:rsid w:val="56BAC1E4"/>
    <w:rsid w:val="56BAD2A5"/>
    <w:rsid w:val="56BE9652"/>
    <w:rsid w:val="56CA2700"/>
    <w:rsid w:val="56D27B46"/>
    <w:rsid w:val="56D7A9F2"/>
    <w:rsid w:val="56E0BCD7"/>
    <w:rsid w:val="56E2E8B9"/>
    <w:rsid w:val="56E97F5E"/>
    <w:rsid w:val="56EB7D7A"/>
    <w:rsid w:val="56EC9FE5"/>
    <w:rsid w:val="56EECF43"/>
    <w:rsid w:val="56EF6466"/>
    <w:rsid w:val="56F055F8"/>
    <w:rsid w:val="56F275A5"/>
    <w:rsid w:val="56F4D5EF"/>
    <w:rsid w:val="56F5991C"/>
    <w:rsid w:val="56F95FDC"/>
    <w:rsid w:val="56F98EE6"/>
    <w:rsid w:val="56FB620A"/>
    <w:rsid w:val="56FD4EF3"/>
    <w:rsid w:val="5700FD4B"/>
    <w:rsid w:val="57012988"/>
    <w:rsid w:val="5705CF8C"/>
    <w:rsid w:val="5709183F"/>
    <w:rsid w:val="570B727C"/>
    <w:rsid w:val="5714735B"/>
    <w:rsid w:val="571493A1"/>
    <w:rsid w:val="571F483D"/>
    <w:rsid w:val="5722BB65"/>
    <w:rsid w:val="5726A00B"/>
    <w:rsid w:val="5726AF76"/>
    <w:rsid w:val="57282853"/>
    <w:rsid w:val="572B5AD0"/>
    <w:rsid w:val="572B969B"/>
    <w:rsid w:val="572DDDBA"/>
    <w:rsid w:val="572DE058"/>
    <w:rsid w:val="572E1EAE"/>
    <w:rsid w:val="5730CA9B"/>
    <w:rsid w:val="57320D7F"/>
    <w:rsid w:val="57330006"/>
    <w:rsid w:val="57341BC0"/>
    <w:rsid w:val="5734AE4D"/>
    <w:rsid w:val="57387740"/>
    <w:rsid w:val="573A10BF"/>
    <w:rsid w:val="573B9C10"/>
    <w:rsid w:val="5740D097"/>
    <w:rsid w:val="574388F7"/>
    <w:rsid w:val="574C63A1"/>
    <w:rsid w:val="574D0CA7"/>
    <w:rsid w:val="574F800F"/>
    <w:rsid w:val="575461AC"/>
    <w:rsid w:val="57578716"/>
    <w:rsid w:val="575799A9"/>
    <w:rsid w:val="5757D5BC"/>
    <w:rsid w:val="57590E60"/>
    <w:rsid w:val="575A232D"/>
    <w:rsid w:val="575A3DE8"/>
    <w:rsid w:val="575C6289"/>
    <w:rsid w:val="575FDEAC"/>
    <w:rsid w:val="576193DA"/>
    <w:rsid w:val="5764D940"/>
    <w:rsid w:val="57656EA3"/>
    <w:rsid w:val="5766191F"/>
    <w:rsid w:val="57680329"/>
    <w:rsid w:val="57690D01"/>
    <w:rsid w:val="57700904"/>
    <w:rsid w:val="577222CB"/>
    <w:rsid w:val="57789C3A"/>
    <w:rsid w:val="5779982F"/>
    <w:rsid w:val="577A5101"/>
    <w:rsid w:val="577A6AB4"/>
    <w:rsid w:val="577DCBE6"/>
    <w:rsid w:val="577E74A1"/>
    <w:rsid w:val="57843017"/>
    <w:rsid w:val="5786B7C0"/>
    <w:rsid w:val="57882785"/>
    <w:rsid w:val="578EF3A5"/>
    <w:rsid w:val="57914D9A"/>
    <w:rsid w:val="57987C69"/>
    <w:rsid w:val="5799331A"/>
    <w:rsid w:val="579E6C07"/>
    <w:rsid w:val="57A0E557"/>
    <w:rsid w:val="57A682AC"/>
    <w:rsid w:val="57AD1574"/>
    <w:rsid w:val="57B1EF63"/>
    <w:rsid w:val="57C13E89"/>
    <w:rsid w:val="57C1534A"/>
    <w:rsid w:val="57C54C9A"/>
    <w:rsid w:val="57C61357"/>
    <w:rsid w:val="57C959C4"/>
    <w:rsid w:val="57CAD0AE"/>
    <w:rsid w:val="57CC9244"/>
    <w:rsid w:val="57D0A152"/>
    <w:rsid w:val="57D10B59"/>
    <w:rsid w:val="57D2CD49"/>
    <w:rsid w:val="57D589E1"/>
    <w:rsid w:val="57D5D13C"/>
    <w:rsid w:val="57D837D2"/>
    <w:rsid w:val="57DB2884"/>
    <w:rsid w:val="57E2C9C2"/>
    <w:rsid w:val="57E4544C"/>
    <w:rsid w:val="57E5611C"/>
    <w:rsid w:val="57E7CDA7"/>
    <w:rsid w:val="57E81A9C"/>
    <w:rsid w:val="57E8C662"/>
    <w:rsid w:val="57E98709"/>
    <w:rsid w:val="57EB1E58"/>
    <w:rsid w:val="57EC2E7C"/>
    <w:rsid w:val="57ED9556"/>
    <w:rsid w:val="57EE05C9"/>
    <w:rsid w:val="57F2B975"/>
    <w:rsid w:val="57F80CC1"/>
    <w:rsid w:val="57FE0571"/>
    <w:rsid w:val="58010E57"/>
    <w:rsid w:val="58024AEB"/>
    <w:rsid w:val="58034646"/>
    <w:rsid w:val="5803E184"/>
    <w:rsid w:val="58094755"/>
    <w:rsid w:val="580A61C0"/>
    <w:rsid w:val="580CA4EB"/>
    <w:rsid w:val="58109F6B"/>
    <w:rsid w:val="58112897"/>
    <w:rsid w:val="5814617D"/>
    <w:rsid w:val="5814654E"/>
    <w:rsid w:val="58152AE2"/>
    <w:rsid w:val="5817D0E7"/>
    <w:rsid w:val="581B734F"/>
    <w:rsid w:val="581BE2F2"/>
    <w:rsid w:val="581C5B3C"/>
    <w:rsid w:val="5822218E"/>
    <w:rsid w:val="58311D6F"/>
    <w:rsid w:val="58319E7A"/>
    <w:rsid w:val="583BC22C"/>
    <w:rsid w:val="583E5DDF"/>
    <w:rsid w:val="5841B434"/>
    <w:rsid w:val="584301B3"/>
    <w:rsid w:val="58438F28"/>
    <w:rsid w:val="58453B4F"/>
    <w:rsid w:val="58477516"/>
    <w:rsid w:val="5847A6EC"/>
    <w:rsid w:val="584FC9AE"/>
    <w:rsid w:val="58521410"/>
    <w:rsid w:val="5852E74F"/>
    <w:rsid w:val="58533C03"/>
    <w:rsid w:val="58546518"/>
    <w:rsid w:val="5857978B"/>
    <w:rsid w:val="585A7AAE"/>
    <w:rsid w:val="585FA90C"/>
    <w:rsid w:val="5861C372"/>
    <w:rsid w:val="58628020"/>
    <w:rsid w:val="58630F88"/>
    <w:rsid w:val="586364DB"/>
    <w:rsid w:val="5865F761"/>
    <w:rsid w:val="5867B179"/>
    <w:rsid w:val="58683FDD"/>
    <w:rsid w:val="5868DDC3"/>
    <w:rsid w:val="586C38E4"/>
    <w:rsid w:val="586D9E36"/>
    <w:rsid w:val="586FC779"/>
    <w:rsid w:val="58717507"/>
    <w:rsid w:val="58755A54"/>
    <w:rsid w:val="587D379B"/>
    <w:rsid w:val="587ED599"/>
    <w:rsid w:val="58847EEC"/>
    <w:rsid w:val="58961798"/>
    <w:rsid w:val="58965654"/>
    <w:rsid w:val="5896CAFB"/>
    <w:rsid w:val="589BA597"/>
    <w:rsid w:val="589CF9E9"/>
    <w:rsid w:val="589D0804"/>
    <w:rsid w:val="58A5E048"/>
    <w:rsid w:val="58A73296"/>
    <w:rsid w:val="58A95158"/>
    <w:rsid w:val="58B0633C"/>
    <w:rsid w:val="58B1E6B6"/>
    <w:rsid w:val="58B23978"/>
    <w:rsid w:val="58B4D886"/>
    <w:rsid w:val="58BABB44"/>
    <w:rsid w:val="58C71FE5"/>
    <w:rsid w:val="58C7709A"/>
    <w:rsid w:val="58C94B9C"/>
    <w:rsid w:val="58CC937C"/>
    <w:rsid w:val="58CE4DAF"/>
    <w:rsid w:val="58CE65F8"/>
    <w:rsid w:val="58CF3117"/>
    <w:rsid w:val="58DF5958"/>
    <w:rsid w:val="58E2486A"/>
    <w:rsid w:val="58E35283"/>
    <w:rsid w:val="58E4C063"/>
    <w:rsid w:val="58EBDE69"/>
    <w:rsid w:val="58ED39C6"/>
    <w:rsid w:val="58F6F834"/>
    <w:rsid w:val="59039AA5"/>
    <w:rsid w:val="5905627B"/>
    <w:rsid w:val="59083C3C"/>
    <w:rsid w:val="590A5328"/>
    <w:rsid w:val="590B649F"/>
    <w:rsid w:val="590E2CCC"/>
    <w:rsid w:val="590ED4B5"/>
    <w:rsid w:val="590F4BDF"/>
    <w:rsid w:val="590F6E79"/>
    <w:rsid w:val="5910243A"/>
    <w:rsid w:val="59112CFB"/>
    <w:rsid w:val="5915595D"/>
    <w:rsid w:val="591A12A5"/>
    <w:rsid w:val="591A679F"/>
    <w:rsid w:val="591AE03E"/>
    <w:rsid w:val="591B231A"/>
    <w:rsid w:val="591FFC5A"/>
    <w:rsid w:val="5921AA20"/>
    <w:rsid w:val="5923479F"/>
    <w:rsid w:val="5923F1D8"/>
    <w:rsid w:val="5925F725"/>
    <w:rsid w:val="59292C43"/>
    <w:rsid w:val="592B41E3"/>
    <w:rsid w:val="59304DDC"/>
    <w:rsid w:val="59307827"/>
    <w:rsid w:val="5935B061"/>
    <w:rsid w:val="593789F6"/>
    <w:rsid w:val="5937A33D"/>
    <w:rsid w:val="593D4BCF"/>
    <w:rsid w:val="593F091A"/>
    <w:rsid w:val="5941697A"/>
    <w:rsid w:val="59423A0E"/>
    <w:rsid w:val="5943FCDC"/>
    <w:rsid w:val="594505F0"/>
    <w:rsid w:val="59464D39"/>
    <w:rsid w:val="59473DE3"/>
    <w:rsid w:val="59483450"/>
    <w:rsid w:val="594D13C8"/>
    <w:rsid w:val="594DA88B"/>
    <w:rsid w:val="59548A24"/>
    <w:rsid w:val="59559E83"/>
    <w:rsid w:val="595AC9CE"/>
    <w:rsid w:val="59614A3D"/>
    <w:rsid w:val="5962E226"/>
    <w:rsid w:val="5963855E"/>
    <w:rsid w:val="5964B3AF"/>
    <w:rsid w:val="59663633"/>
    <w:rsid w:val="59666BA0"/>
    <w:rsid w:val="5968C65F"/>
    <w:rsid w:val="5969F3CE"/>
    <w:rsid w:val="596F7536"/>
    <w:rsid w:val="59704DA4"/>
    <w:rsid w:val="597098F4"/>
    <w:rsid w:val="5971D3A2"/>
    <w:rsid w:val="5973FDFC"/>
    <w:rsid w:val="59749574"/>
    <w:rsid w:val="59756648"/>
    <w:rsid w:val="597B5494"/>
    <w:rsid w:val="597B5EA2"/>
    <w:rsid w:val="597D7F9F"/>
    <w:rsid w:val="597DE3F6"/>
    <w:rsid w:val="597E237C"/>
    <w:rsid w:val="597E2647"/>
    <w:rsid w:val="597E9A23"/>
    <w:rsid w:val="597F2F1C"/>
    <w:rsid w:val="598747A1"/>
    <w:rsid w:val="598752B1"/>
    <w:rsid w:val="59875FAD"/>
    <w:rsid w:val="598AE0D4"/>
    <w:rsid w:val="598F544C"/>
    <w:rsid w:val="59941BA9"/>
    <w:rsid w:val="5995AE68"/>
    <w:rsid w:val="599885C7"/>
    <w:rsid w:val="599D3ADB"/>
    <w:rsid w:val="59A70B28"/>
    <w:rsid w:val="59A7AFD6"/>
    <w:rsid w:val="59AA3D52"/>
    <w:rsid w:val="59AE9F51"/>
    <w:rsid w:val="59AF65FB"/>
    <w:rsid w:val="59AF9CB5"/>
    <w:rsid w:val="59B3E994"/>
    <w:rsid w:val="59B85D73"/>
    <w:rsid w:val="59BBEA08"/>
    <w:rsid w:val="59C08C7F"/>
    <w:rsid w:val="59C6B84F"/>
    <w:rsid w:val="59C72160"/>
    <w:rsid w:val="59C90C65"/>
    <w:rsid w:val="59C946D9"/>
    <w:rsid w:val="59CC761E"/>
    <w:rsid w:val="59CC85B4"/>
    <w:rsid w:val="59CEDB2E"/>
    <w:rsid w:val="59D1BF22"/>
    <w:rsid w:val="59D2B857"/>
    <w:rsid w:val="59D5705A"/>
    <w:rsid w:val="59D70265"/>
    <w:rsid w:val="59D71E9A"/>
    <w:rsid w:val="59D7EC74"/>
    <w:rsid w:val="59DC1A2A"/>
    <w:rsid w:val="59E0E7AD"/>
    <w:rsid w:val="59E59F60"/>
    <w:rsid w:val="59E6A7D0"/>
    <w:rsid w:val="59EA044A"/>
    <w:rsid w:val="59ED71C5"/>
    <w:rsid w:val="59EEC44D"/>
    <w:rsid w:val="59EEDC12"/>
    <w:rsid w:val="59EFD9F3"/>
    <w:rsid w:val="59F9D4CC"/>
    <w:rsid w:val="59F9F8A4"/>
    <w:rsid w:val="59FA0FAF"/>
    <w:rsid w:val="59FC3338"/>
    <w:rsid w:val="5A01376D"/>
    <w:rsid w:val="5A033930"/>
    <w:rsid w:val="5A03420A"/>
    <w:rsid w:val="5A0483B8"/>
    <w:rsid w:val="5A099791"/>
    <w:rsid w:val="5A0BC18B"/>
    <w:rsid w:val="5A19FE66"/>
    <w:rsid w:val="5A1BEBA8"/>
    <w:rsid w:val="5A1DD4C2"/>
    <w:rsid w:val="5A20AE94"/>
    <w:rsid w:val="5A244414"/>
    <w:rsid w:val="5A262BA7"/>
    <w:rsid w:val="5A2834F2"/>
    <w:rsid w:val="5A2A4C2F"/>
    <w:rsid w:val="5A2B163F"/>
    <w:rsid w:val="5A2C3790"/>
    <w:rsid w:val="5A2C6E25"/>
    <w:rsid w:val="5A30CA01"/>
    <w:rsid w:val="5A3722BC"/>
    <w:rsid w:val="5A38CA4A"/>
    <w:rsid w:val="5A3BD373"/>
    <w:rsid w:val="5A428837"/>
    <w:rsid w:val="5A4514D9"/>
    <w:rsid w:val="5A45B2CC"/>
    <w:rsid w:val="5A47BD01"/>
    <w:rsid w:val="5A47C84F"/>
    <w:rsid w:val="5A497374"/>
    <w:rsid w:val="5A4ADAE7"/>
    <w:rsid w:val="5A4C0659"/>
    <w:rsid w:val="5A4F1ADA"/>
    <w:rsid w:val="5A588BBE"/>
    <w:rsid w:val="5A5C5617"/>
    <w:rsid w:val="5A5E3EAF"/>
    <w:rsid w:val="5A5F6267"/>
    <w:rsid w:val="5A608750"/>
    <w:rsid w:val="5A63319A"/>
    <w:rsid w:val="5A669F0B"/>
    <w:rsid w:val="5A682500"/>
    <w:rsid w:val="5A6A3E6B"/>
    <w:rsid w:val="5A6C6F57"/>
    <w:rsid w:val="5A6F2DBC"/>
    <w:rsid w:val="5A706152"/>
    <w:rsid w:val="5A742D53"/>
    <w:rsid w:val="5A75598F"/>
    <w:rsid w:val="5A79C7B6"/>
    <w:rsid w:val="5A860C7D"/>
    <w:rsid w:val="5A875DA1"/>
    <w:rsid w:val="5A8DF1C5"/>
    <w:rsid w:val="5A95BDFB"/>
    <w:rsid w:val="5A9685DC"/>
    <w:rsid w:val="5A98121D"/>
    <w:rsid w:val="5A994064"/>
    <w:rsid w:val="5AA33BD6"/>
    <w:rsid w:val="5AA4487B"/>
    <w:rsid w:val="5AA7820A"/>
    <w:rsid w:val="5AAC4C26"/>
    <w:rsid w:val="5AAD4F79"/>
    <w:rsid w:val="5AAED481"/>
    <w:rsid w:val="5ABAC0A1"/>
    <w:rsid w:val="5AC196EA"/>
    <w:rsid w:val="5AC4E321"/>
    <w:rsid w:val="5AC7B3D4"/>
    <w:rsid w:val="5ACB8E6E"/>
    <w:rsid w:val="5ACDD3D4"/>
    <w:rsid w:val="5ACF6693"/>
    <w:rsid w:val="5AD6D599"/>
    <w:rsid w:val="5AD84CC9"/>
    <w:rsid w:val="5AE034AE"/>
    <w:rsid w:val="5AE05FFC"/>
    <w:rsid w:val="5AE1A41C"/>
    <w:rsid w:val="5AE2781D"/>
    <w:rsid w:val="5AE59EC3"/>
    <w:rsid w:val="5AEDC03A"/>
    <w:rsid w:val="5AEE58E6"/>
    <w:rsid w:val="5AF30A6A"/>
    <w:rsid w:val="5AF6351E"/>
    <w:rsid w:val="5AF99361"/>
    <w:rsid w:val="5AFA9972"/>
    <w:rsid w:val="5B003EED"/>
    <w:rsid w:val="5B0084AF"/>
    <w:rsid w:val="5B047A08"/>
    <w:rsid w:val="5B0977F1"/>
    <w:rsid w:val="5B1124FC"/>
    <w:rsid w:val="5B134109"/>
    <w:rsid w:val="5B16CF15"/>
    <w:rsid w:val="5B22201D"/>
    <w:rsid w:val="5B23A47D"/>
    <w:rsid w:val="5B26764E"/>
    <w:rsid w:val="5B27B7C9"/>
    <w:rsid w:val="5B2915E8"/>
    <w:rsid w:val="5B2A4ADB"/>
    <w:rsid w:val="5B309B24"/>
    <w:rsid w:val="5B314269"/>
    <w:rsid w:val="5B3185F6"/>
    <w:rsid w:val="5B31D754"/>
    <w:rsid w:val="5B325B81"/>
    <w:rsid w:val="5B327F0F"/>
    <w:rsid w:val="5B35F9A5"/>
    <w:rsid w:val="5B37D777"/>
    <w:rsid w:val="5B3D7522"/>
    <w:rsid w:val="5B40B67F"/>
    <w:rsid w:val="5B40F1B5"/>
    <w:rsid w:val="5B44C68F"/>
    <w:rsid w:val="5B45644C"/>
    <w:rsid w:val="5B45B5B5"/>
    <w:rsid w:val="5B4680F4"/>
    <w:rsid w:val="5B4CDAB3"/>
    <w:rsid w:val="5B4D5089"/>
    <w:rsid w:val="5B4E0527"/>
    <w:rsid w:val="5B4EE620"/>
    <w:rsid w:val="5B528577"/>
    <w:rsid w:val="5B52FF60"/>
    <w:rsid w:val="5B547385"/>
    <w:rsid w:val="5B5D4A68"/>
    <w:rsid w:val="5B648F36"/>
    <w:rsid w:val="5B6A625A"/>
    <w:rsid w:val="5B71565A"/>
    <w:rsid w:val="5B78A75A"/>
    <w:rsid w:val="5B78E4BC"/>
    <w:rsid w:val="5B7933AE"/>
    <w:rsid w:val="5B7C8808"/>
    <w:rsid w:val="5B7CDD14"/>
    <w:rsid w:val="5B7E4AA7"/>
    <w:rsid w:val="5B81B2FF"/>
    <w:rsid w:val="5B85EC8A"/>
    <w:rsid w:val="5B897EE0"/>
    <w:rsid w:val="5B8CF90E"/>
    <w:rsid w:val="5B8DB9DF"/>
    <w:rsid w:val="5B93BFF7"/>
    <w:rsid w:val="5B95B0D6"/>
    <w:rsid w:val="5B971978"/>
    <w:rsid w:val="5B98FCD1"/>
    <w:rsid w:val="5BA2BA79"/>
    <w:rsid w:val="5BA59917"/>
    <w:rsid w:val="5BA6DF0E"/>
    <w:rsid w:val="5BB216B8"/>
    <w:rsid w:val="5BB462AB"/>
    <w:rsid w:val="5BB6028E"/>
    <w:rsid w:val="5BB740D6"/>
    <w:rsid w:val="5BBA58D9"/>
    <w:rsid w:val="5BBF2881"/>
    <w:rsid w:val="5BC30FD9"/>
    <w:rsid w:val="5BC33002"/>
    <w:rsid w:val="5BC88A2F"/>
    <w:rsid w:val="5BC8C1D0"/>
    <w:rsid w:val="5BC95262"/>
    <w:rsid w:val="5BC9F868"/>
    <w:rsid w:val="5BCC9C90"/>
    <w:rsid w:val="5BCD7C31"/>
    <w:rsid w:val="5BD219AF"/>
    <w:rsid w:val="5BD24011"/>
    <w:rsid w:val="5BDA1B82"/>
    <w:rsid w:val="5BDB202B"/>
    <w:rsid w:val="5BDBD4E2"/>
    <w:rsid w:val="5BDF0A24"/>
    <w:rsid w:val="5BE0BCA1"/>
    <w:rsid w:val="5BE9E6A5"/>
    <w:rsid w:val="5BEA1D76"/>
    <w:rsid w:val="5BEC733F"/>
    <w:rsid w:val="5BEF8A23"/>
    <w:rsid w:val="5BF04DA5"/>
    <w:rsid w:val="5BF12194"/>
    <w:rsid w:val="5BF51CBB"/>
    <w:rsid w:val="5BF81C56"/>
    <w:rsid w:val="5BFAAB8A"/>
    <w:rsid w:val="5BFD1EFA"/>
    <w:rsid w:val="5BFE67D3"/>
    <w:rsid w:val="5C00FFFB"/>
    <w:rsid w:val="5C063B4E"/>
    <w:rsid w:val="5C07E7CB"/>
    <w:rsid w:val="5C0930D0"/>
    <w:rsid w:val="5C0B5FA2"/>
    <w:rsid w:val="5C10CC7B"/>
    <w:rsid w:val="5C158CF0"/>
    <w:rsid w:val="5C162F69"/>
    <w:rsid w:val="5C1A17E9"/>
    <w:rsid w:val="5C1ED13E"/>
    <w:rsid w:val="5C1F88C0"/>
    <w:rsid w:val="5C1FB769"/>
    <w:rsid w:val="5C21CC92"/>
    <w:rsid w:val="5C22F5C1"/>
    <w:rsid w:val="5C238030"/>
    <w:rsid w:val="5C23A158"/>
    <w:rsid w:val="5C25FEEE"/>
    <w:rsid w:val="5C282EEC"/>
    <w:rsid w:val="5C288135"/>
    <w:rsid w:val="5C293126"/>
    <w:rsid w:val="5C2CF6B3"/>
    <w:rsid w:val="5C30368F"/>
    <w:rsid w:val="5C38D6DC"/>
    <w:rsid w:val="5C392EEF"/>
    <w:rsid w:val="5C3DB5D8"/>
    <w:rsid w:val="5C410BD6"/>
    <w:rsid w:val="5C4301CB"/>
    <w:rsid w:val="5C44DFCF"/>
    <w:rsid w:val="5C465550"/>
    <w:rsid w:val="5C4721CE"/>
    <w:rsid w:val="5C475EA1"/>
    <w:rsid w:val="5C4DA9D1"/>
    <w:rsid w:val="5C4E816D"/>
    <w:rsid w:val="5C525F58"/>
    <w:rsid w:val="5C544BEE"/>
    <w:rsid w:val="5C5584F3"/>
    <w:rsid w:val="5C56EB00"/>
    <w:rsid w:val="5C5A0324"/>
    <w:rsid w:val="5C5C9729"/>
    <w:rsid w:val="5C608BAE"/>
    <w:rsid w:val="5C61215B"/>
    <w:rsid w:val="5C62DBA4"/>
    <w:rsid w:val="5C65E507"/>
    <w:rsid w:val="5C6E54C7"/>
    <w:rsid w:val="5C74D8BA"/>
    <w:rsid w:val="5C77A63C"/>
    <w:rsid w:val="5C7A9650"/>
    <w:rsid w:val="5C7C060C"/>
    <w:rsid w:val="5C7CDFD0"/>
    <w:rsid w:val="5C7DF650"/>
    <w:rsid w:val="5C7E523D"/>
    <w:rsid w:val="5C81B2FE"/>
    <w:rsid w:val="5C838352"/>
    <w:rsid w:val="5C864CC7"/>
    <w:rsid w:val="5C8890CA"/>
    <w:rsid w:val="5C8A6FD7"/>
    <w:rsid w:val="5C9006D4"/>
    <w:rsid w:val="5C925581"/>
    <w:rsid w:val="5C94972E"/>
    <w:rsid w:val="5C94FBCA"/>
    <w:rsid w:val="5C9BD851"/>
    <w:rsid w:val="5C9E9066"/>
    <w:rsid w:val="5CA3C371"/>
    <w:rsid w:val="5CA3E0D9"/>
    <w:rsid w:val="5CA5650E"/>
    <w:rsid w:val="5CA6D382"/>
    <w:rsid w:val="5CAC430D"/>
    <w:rsid w:val="5CAC5E87"/>
    <w:rsid w:val="5CACA0BE"/>
    <w:rsid w:val="5CB15224"/>
    <w:rsid w:val="5CB306D7"/>
    <w:rsid w:val="5CB8A625"/>
    <w:rsid w:val="5CB8D686"/>
    <w:rsid w:val="5CBC2D32"/>
    <w:rsid w:val="5CBC4808"/>
    <w:rsid w:val="5CBC6335"/>
    <w:rsid w:val="5CC261B4"/>
    <w:rsid w:val="5CC6F791"/>
    <w:rsid w:val="5CD37CD4"/>
    <w:rsid w:val="5CD53C27"/>
    <w:rsid w:val="5CD614A9"/>
    <w:rsid w:val="5CDE2B66"/>
    <w:rsid w:val="5CEF2880"/>
    <w:rsid w:val="5CF01ADB"/>
    <w:rsid w:val="5CF39312"/>
    <w:rsid w:val="5CF53F5C"/>
    <w:rsid w:val="5CF8BA02"/>
    <w:rsid w:val="5CFA5433"/>
    <w:rsid w:val="5D010AA9"/>
    <w:rsid w:val="5D05CC4D"/>
    <w:rsid w:val="5D07E8D4"/>
    <w:rsid w:val="5D09F7F6"/>
    <w:rsid w:val="5D0B1837"/>
    <w:rsid w:val="5D10FE3F"/>
    <w:rsid w:val="5D115077"/>
    <w:rsid w:val="5D13AE66"/>
    <w:rsid w:val="5D14D03B"/>
    <w:rsid w:val="5D19FA8D"/>
    <w:rsid w:val="5D1A8555"/>
    <w:rsid w:val="5D1E42ED"/>
    <w:rsid w:val="5D24B533"/>
    <w:rsid w:val="5D27255C"/>
    <w:rsid w:val="5D2790A9"/>
    <w:rsid w:val="5D287E01"/>
    <w:rsid w:val="5D2A76AF"/>
    <w:rsid w:val="5D2B7F11"/>
    <w:rsid w:val="5D2E8CAA"/>
    <w:rsid w:val="5D30C72D"/>
    <w:rsid w:val="5D31D505"/>
    <w:rsid w:val="5D3297E8"/>
    <w:rsid w:val="5D371098"/>
    <w:rsid w:val="5D3A698A"/>
    <w:rsid w:val="5D3C184F"/>
    <w:rsid w:val="5D40C4A5"/>
    <w:rsid w:val="5D4277C2"/>
    <w:rsid w:val="5D42DD43"/>
    <w:rsid w:val="5D44B7A1"/>
    <w:rsid w:val="5D474302"/>
    <w:rsid w:val="5D4976AD"/>
    <w:rsid w:val="5D4DA0C1"/>
    <w:rsid w:val="5D53A6C4"/>
    <w:rsid w:val="5D58DE71"/>
    <w:rsid w:val="5D59E11B"/>
    <w:rsid w:val="5D5DCA15"/>
    <w:rsid w:val="5D5F7662"/>
    <w:rsid w:val="5D5FC8C2"/>
    <w:rsid w:val="5D6058B4"/>
    <w:rsid w:val="5D62748F"/>
    <w:rsid w:val="5D6BEA78"/>
    <w:rsid w:val="5D6FD79E"/>
    <w:rsid w:val="5D72618B"/>
    <w:rsid w:val="5D7B83D4"/>
    <w:rsid w:val="5D822F89"/>
    <w:rsid w:val="5D82AF26"/>
    <w:rsid w:val="5D82C22E"/>
    <w:rsid w:val="5D84A436"/>
    <w:rsid w:val="5D88705A"/>
    <w:rsid w:val="5D8A00F9"/>
    <w:rsid w:val="5D8ADD49"/>
    <w:rsid w:val="5D8AFA22"/>
    <w:rsid w:val="5D8AFF66"/>
    <w:rsid w:val="5D913305"/>
    <w:rsid w:val="5D92840F"/>
    <w:rsid w:val="5D9440C2"/>
    <w:rsid w:val="5D963E26"/>
    <w:rsid w:val="5D97982E"/>
    <w:rsid w:val="5D97F12A"/>
    <w:rsid w:val="5D99D0EB"/>
    <w:rsid w:val="5D9BB962"/>
    <w:rsid w:val="5D9EEF02"/>
    <w:rsid w:val="5DA0617E"/>
    <w:rsid w:val="5DA50B53"/>
    <w:rsid w:val="5DA59E59"/>
    <w:rsid w:val="5DAAF7B2"/>
    <w:rsid w:val="5DAD6712"/>
    <w:rsid w:val="5DB06AB2"/>
    <w:rsid w:val="5DB94CD8"/>
    <w:rsid w:val="5DC6F210"/>
    <w:rsid w:val="5DC793B5"/>
    <w:rsid w:val="5DCC7E90"/>
    <w:rsid w:val="5DCCB7AD"/>
    <w:rsid w:val="5DD80684"/>
    <w:rsid w:val="5DD8B7F8"/>
    <w:rsid w:val="5DDAB045"/>
    <w:rsid w:val="5DDAD87E"/>
    <w:rsid w:val="5DDC94EF"/>
    <w:rsid w:val="5DDDFFAC"/>
    <w:rsid w:val="5DE0307D"/>
    <w:rsid w:val="5DE95B66"/>
    <w:rsid w:val="5DEF8BA4"/>
    <w:rsid w:val="5DEFF579"/>
    <w:rsid w:val="5DF2B133"/>
    <w:rsid w:val="5DF420EC"/>
    <w:rsid w:val="5DF42F9D"/>
    <w:rsid w:val="5DF434B0"/>
    <w:rsid w:val="5DF5169E"/>
    <w:rsid w:val="5DF7F94B"/>
    <w:rsid w:val="5DFB57C9"/>
    <w:rsid w:val="5DFC567D"/>
    <w:rsid w:val="5DFDDDFC"/>
    <w:rsid w:val="5E00B062"/>
    <w:rsid w:val="5E014278"/>
    <w:rsid w:val="5E02003F"/>
    <w:rsid w:val="5E045F6C"/>
    <w:rsid w:val="5E049A7B"/>
    <w:rsid w:val="5E04D898"/>
    <w:rsid w:val="5E070726"/>
    <w:rsid w:val="5E094198"/>
    <w:rsid w:val="5E0FC8B7"/>
    <w:rsid w:val="5E151591"/>
    <w:rsid w:val="5E16183D"/>
    <w:rsid w:val="5E191E56"/>
    <w:rsid w:val="5E1E20E8"/>
    <w:rsid w:val="5E1ECE60"/>
    <w:rsid w:val="5E1F23A9"/>
    <w:rsid w:val="5E1F4032"/>
    <w:rsid w:val="5E2180C9"/>
    <w:rsid w:val="5E24C255"/>
    <w:rsid w:val="5E24F57C"/>
    <w:rsid w:val="5E24FB7B"/>
    <w:rsid w:val="5E2632F8"/>
    <w:rsid w:val="5E2C3D41"/>
    <w:rsid w:val="5E2DC769"/>
    <w:rsid w:val="5E2F1E5D"/>
    <w:rsid w:val="5E355171"/>
    <w:rsid w:val="5E35B7FC"/>
    <w:rsid w:val="5E44C339"/>
    <w:rsid w:val="5E459018"/>
    <w:rsid w:val="5E45B787"/>
    <w:rsid w:val="5E4E30C9"/>
    <w:rsid w:val="5E545A82"/>
    <w:rsid w:val="5E54C189"/>
    <w:rsid w:val="5E54DCC0"/>
    <w:rsid w:val="5E60F413"/>
    <w:rsid w:val="5E65094A"/>
    <w:rsid w:val="5E6B4572"/>
    <w:rsid w:val="5E6B9096"/>
    <w:rsid w:val="5E729B8D"/>
    <w:rsid w:val="5E74C163"/>
    <w:rsid w:val="5E763309"/>
    <w:rsid w:val="5E7CDC10"/>
    <w:rsid w:val="5E7F1D48"/>
    <w:rsid w:val="5E822E8A"/>
    <w:rsid w:val="5E852392"/>
    <w:rsid w:val="5E8651B7"/>
    <w:rsid w:val="5E86FBA6"/>
    <w:rsid w:val="5E8BDA29"/>
    <w:rsid w:val="5E8C50DB"/>
    <w:rsid w:val="5E8CD162"/>
    <w:rsid w:val="5E8CFE51"/>
    <w:rsid w:val="5E8F2C49"/>
    <w:rsid w:val="5E91EAE8"/>
    <w:rsid w:val="5E95F20E"/>
    <w:rsid w:val="5E97E70D"/>
    <w:rsid w:val="5E9AA3C8"/>
    <w:rsid w:val="5EA0B2FC"/>
    <w:rsid w:val="5EA0C495"/>
    <w:rsid w:val="5EA29071"/>
    <w:rsid w:val="5EA632A9"/>
    <w:rsid w:val="5EA677C0"/>
    <w:rsid w:val="5EACBD09"/>
    <w:rsid w:val="5EB1C485"/>
    <w:rsid w:val="5EB3B0C8"/>
    <w:rsid w:val="5EB48E92"/>
    <w:rsid w:val="5EB58C59"/>
    <w:rsid w:val="5EB8A7EF"/>
    <w:rsid w:val="5EBA1C6B"/>
    <w:rsid w:val="5EC752FF"/>
    <w:rsid w:val="5EC80D8F"/>
    <w:rsid w:val="5ECA9156"/>
    <w:rsid w:val="5ECC79BA"/>
    <w:rsid w:val="5ECD7908"/>
    <w:rsid w:val="5ECDF430"/>
    <w:rsid w:val="5ED245A8"/>
    <w:rsid w:val="5ED42873"/>
    <w:rsid w:val="5ED7D0DB"/>
    <w:rsid w:val="5ED869DE"/>
    <w:rsid w:val="5EDD08B4"/>
    <w:rsid w:val="5EE1858A"/>
    <w:rsid w:val="5EE81B46"/>
    <w:rsid w:val="5EE98E19"/>
    <w:rsid w:val="5EE9E440"/>
    <w:rsid w:val="5EEAAF20"/>
    <w:rsid w:val="5EEC303D"/>
    <w:rsid w:val="5EEE2119"/>
    <w:rsid w:val="5EEEC640"/>
    <w:rsid w:val="5EF89903"/>
    <w:rsid w:val="5EF906DC"/>
    <w:rsid w:val="5EFE5B05"/>
    <w:rsid w:val="5EFE7733"/>
    <w:rsid w:val="5F056976"/>
    <w:rsid w:val="5F07A69D"/>
    <w:rsid w:val="5F09828F"/>
    <w:rsid w:val="5F0AC81F"/>
    <w:rsid w:val="5F0C2810"/>
    <w:rsid w:val="5F0D25C9"/>
    <w:rsid w:val="5F0FF3CC"/>
    <w:rsid w:val="5F1059FD"/>
    <w:rsid w:val="5F1308E8"/>
    <w:rsid w:val="5F18FDD0"/>
    <w:rsid w:val="5F1CFFD0"/>
    <w:rsid w:val="5F1EECE1"/>
    <w:rsid w:val="5F1FF437"/>
    <w:rsid w:val="5F224790"/>
    <w:rsid w:val="5F279ADC"/>
    <w:rsid w:val="5F292603"/>
    <w:rsid w:val="5F2B12FC"/>
    <w:rsid w:val="5F2C037A"/>
    <w:rsid w:val="5F2C6410"/>
    <w:rsid w:val="5F2D90ED"/>
    <w:rsid w:val="5F321107"/>
    <w:rsid w:val="5F32FE0E"/>
    <w:rsid w:val="5F333416"/>
    <w:rsid w:val="5F33D24E"/>
    <w:rsid w:val="5F34CE89"/>
    <w:rsid w:val="5F365EAB"/>
    <w:rsid w:val="5F39C218"/>
    <w:rsid w:val="5F3D8B43"/>
    <w:rsid w:val="5F3E0208"/>
    <w:rsid w:val="5F4066ED"/>
    <w:rsid w:val="5F42DA1F"/>
    <w:rsid w:val="5F43765A"/>
    <w:rsid w:val="5F45C761"/>
    <w:rsid w:val="5F4F079B"/>
    <w:rsid w:val="5F50CADE"/>
    <w:rsid w:val="5F516D47"/>
    <w:rsid w:val="5F556AC5"/>
    <w:rsid w:val="5F56457B"/>
    <w:rsid w:val="5F5CE761"/>
    <w:rsid w:val="5F5E3526"/>
    <w:rsid w:val="5F5F7D1B"/>
    <w:rsid w:val="5F5FD771"/>
    <w:rsid w:val="5F64F401"/>
    <w:rsid w:val="5F6D23FA"/>
    <w:rsid w:val="5F6DB0A6"/>
    <w:rsid w:val="5F6F14D3"/>
    <w:rsid w:val="5F6F57E6"/>
    <w:rsid w:val="5F72387D"/>
    <w:rsid w:val="5F7BBE43"/>
    <w:rsid w:val="5F81D8BD"/>
    <w:rsid w:val="5F847B46"/>
    <w:rsid w:val="5F85F961"/>
    <w:rsid w:val="5F8708B6"/>
    <w:rsid w:val="5F87291D"/>
    <w:rsid w:val="5F881FD0"/>
    <w:rsid w:val="5F8842B7"/>
    <w:rsid w:val="5F8EF222"/>
    <w:rsid w:val="5F8FBD99"/>
    <w:rsid w:val="5F91A607"/>
    <w:rsid w:val="5F96E392"/>
    <w:rsid w:val="5F986B22"/>
    <w:rsid w:val="5F9A0D52"/>
    <w:rsid w:val="5F9A31C0"/>
    <w:rsid w:val="5F9ED24A"/>
    <w:rsid w:val="5F9F7659"/>
    <w:rsid w:val="5FAA88B1"/>
    <w:rsid w:val="5FAB3DA0"/>
    <w:rsid w:val="5FAC2A64"/>
    <w:rsid w:val="5FAC71CB"/>
    <w:rsid w:val="5FB10ED1"/>
    <w:rsid w:val="5FB24683"/>
    <w:rsid w:val="5FB5A920"/>
    <w:rsid w:val="5FB6CFC8"/>
    <w:rsid w:val="5FBA8DEE"/>
    <w:rsid w:val="5FBD0BC5"/>
    <w:rsid w:val="5FBD4221"/>
    <w:rsid w:val="5FC1D244"/>
    <w:rsid w:val="5FC3985D"/>
    <w:rsid w:val="5FC3BBD0"/>
    <w:rsid w:val="5FC79DA2"/>
    <w:rsid w:val="5FC7F7CA"/>
    <w:rsid w:val="5FC88F1F"/>
    <w:rsid w:val="5FCDE9C6"/>
    <w:rsid w:val="5FCF644D"/>
    <w:rsid w:val="5FD10AB8"/>
    <w:rsid w:val="5FD3D242"/>
    <w:rsid w:val="5FD408E8"/>
    <w:rsid w:val="5FD46289"/>
    <w:rsid w:val="5FD65476"/>
    <w:rsid w:val="5FD6E771"/>
    <w:rsid w:val="5FDB1156"/>
    <w:rsid w:val="5FDEEB1B"/>
    <w:rsid w:val="5FE478EA"/>
    <w:rsid w:val="5FE66C8F"/>
    <w:rsid w:val="5FF0B088"/>
    <w:rsid w:val="5FF1255D"/>
    <w:rsid w:val="5FF33DA7"/>
    <w:rsid w:val="5FF5C92D"/>
    <w:rsid w:val="5FF699AF"/>
    <w:rsid w:val="5FF6AEED"/>
    <w:rsid w:val="5FFA8DBE"/>
    <w:rsid w:val="5FFB77F6"/>
    <w:rsid w:val="5FFC57E7"/>
    <w:rsid w:val="5FFD114B"/>
    <w:rsid w:val="6000753F"/>
    <w:rsid w:val="6000D2FB"/>
    <w:rsid w:val="6000F2C6"/>
    <w:rsid w:val="60064E8B"/>
    <w:rsid w:val="60094C0D"/>
    <w:rsid w:val="600970DC"/>
    <w:rsid w:val="600AFFFA"/>
    <w:rsid w:val="600F0F0D"/>
    <w:rsid w:val="60122C53"/>
    <w:rsid w:val="60136FC3"/>
    <w:rsid w:val="6013CC56"/>
    <w:rsid w:val="602226AF"/>
    <w:rsid w:val="602AAA87"/>
    <w:rsid w:val="602BB904"/>
    <w:rsid w:val="6033C38A"/>
    <w:rsid w:val="60366B53"/>
    <w:rsid w:val="6036AF06"/>
    <w:rsid w:val="60399E62"/>
    <w:rsid w:val="60417F7A"/>
    <w:rsid w:val="60473755"/>
    <w:rsid w:val="604A5C5B"/>
    <w:rsid w:val="604CB2A3"/>
    <w:rsid w:val="604DAC12"/>
    <w:rsid w:val="60547B9A"/>
    <w:rsid w:val="60573CA2"/>
    <w:rsid w:val="605AEA89"/>
    <w:rsid w:val="605C55F5"/>
    <w:rsid w:val="605E2BAA"/>
    <w:rsid w:val="605ECD86"/>
    <w:rsid w:val="605EDED4"/>
    <w:rsid w:val="6061FB6E"/>
    <w:rsid w:val="60625153"/>
    <w:rsid w:val="6062606D"/>
    <w:rsid w:val="6066AD2C"/>
    <w:rsid w:val="6067246C"/>
    <w:rsid w:val="606799FF"/>
    <w:rsid w:val="606C6EA8"/>
    <w:rsid w:val="60737DEB"/>
    <w:rsid w:val="6073D6D2"/>
    <w:rsid w:val="60741DCA"/>
    <w:rsid w:val="60773332"/>
    <w:rsid w:val="6077F661"/>
    <w:rsid w:val="6077F7F8"/>
    <w:rsid w:val="607A7B6B"/>
    <w:rsid w:val="607BC731"/>
    <w:rsid w:val="6080C46D"/>
    <w:rsid w:val="6080FB83"/>
    <w:rsid w:val="6082BA1D"/>
    <w:rsid w:val="608584F4"/>
    <w:rsid w:val="60895945"/>
    <w:rsid w:val="608A52FD"/>
    <w:rsid w:val="608DA09D"/>
    <w:rsid w:val="608F5F31"/>
    <w:rsid w:val="6092554C"/>
    <w:rsid w:val="6092E946"/>
    <w:rsid w:val="6099193B"/>
    <w:rsid w:val="609B72C5"/>
    <w:rsid w:val="609C108C"/>
    <w:rsid w:val="609C67FD"/>
    <w:rsid w:val="609CDF6F"/>
    <w:rsid w:val="609E44BF"/>
    <w:rsid w:val="609F0680"/>
    <w:rsid w:val="60A0637D"/>
    <w:rsid w:val="60A14541"/>
    <w:rsid w:val="60A281F3"/>
    <w:rsid w:val="60A632ED"/>
    <w:rsid w:val="60A6A8EE"/>
    <w:rsid w:val="60A894C4"/>
    <w:rsid w:val="60A9F65B"/>
    <w:rsid w:val="60B11DE2"/>
    <w:rsid w:val="60B43A50"/>
    <w:rsid w:val="60B51057"/>
    <w:rsid w:val="60B62476"/>
    <w:rsid w:val="60BA81D1"/>
    <w:rsid w:val="60BABD42"/>
    <w:rsid w:val="60BB776F"/>
    <w:rsid w:val="60BC3F29"/>
    <w:rsid w:val="60BC85A4"/>
    <w:rsid w:val="60C206BE"/>
    <w:rsid w:val="60C2B8DB"/>
    <w:rsid w:val="60C2FB46"/>
    <w:rsid w:val="60C8FFF3"/>
    <w:rsid w:val="60C9E1CE"/>
    <w:rsid w:val="60CD84D4"/>
    <w:rsid w:val="60D30C41"/>
    <w:rsid w:val="60D3834F"/>
    <w:rsid w:val="60D45F8C"/>
    <w:rsid w:val="60D97D6F"/>
    <w:rsid w:val="60DBFFFF"/>
    <w:rsid w:val="60E3EA97"/>
    <w:rsid w:val="60E5B1F4"/>
    <w:rsid w:val="60F7EA56"/>
    <w:rsid w:val="60FB9CC4"/>
    <w:rsid w:val="61032E5D"/>
    <w:rsid w:val="610503B4"/>
    <w:rsid w:val="6105C8FE"/>
    <w:rsid w:val="61089420"/>
    <w:rsid w:val="610CFD44"/>
    <w:rsid w:val="610DEB9E"/>
    <w:rsid w:val="6112D6E1"/>
    <w:rsid w:val="6114A52E"/>
    <w:rsid w:val="611D56C3"/>
    <w:rsid w:val="611E8CD1"/>
    <w:rsid w:val="61262D52"/>
    <w:rsid w:val="6128BF56"/>
    <w:rsid w:val="612C6524"/>
    <w:rsid w:val="612CC0C4"/>
    <w:rsid w:val="612CE518"/>
    <w:rsid w:val="612FF9DD"/>
    <w:rsid w:val="6132646A"/>
    <w:rsid w:val="6136749F"/>
    <w:rsid w:val="6138BF3A"/>
    <w:rsid w:val="6141E8AF"/>
    <w:rsid w:val="6142C582"/>
    <w:rsid w:val="6144B46C"/>
    <w:rsid w:val="6147B231"/>
    <w:rsid w:val="614934D4"/>
    <w:rsid w:val="6151BD52"/>
    <w:rsid w:val="6154F0F3"/>
    <w:rsid w:val="616069C6"/>
    <w:rsid w:val="61632A41"/>
    <w:rsid w:val="61693EEB"/>
    <w:rsid w:val="616C5E71"/>
    <w:rsid w:val="616F1711"/>
    <w:rsid w:val="617015C7"/>
    <w:rsid w:val="617031DB"/>
    <w:rsid w:val="617A1278"/>
    <w:rsid w:val="617E6D7E"/>
    <w:rsid w:val="61826C68"/>
    <w:rsid w:val="61863081"/>
    <w:rsid w:val="618BBAB4"/>
    <w:rsid w:val="618C0503"/>
    <w:rsid w:val="618E4108"/>
    <w:rsid w:val="619454F8"/>
    <w:rsid w:val="619644E6"/>
    <w:rsid w:val="61968A83"/>
    <w:rsid w:val="619951DF"/>
    <w:rsid w:val="619D7C30"/>
    <w:rsid w:val="619DB4E0"/>
    <w:rsid w:val="619DD7BE"/>
    <w:rsid w:val="619F9ED0"/>
    <w:rsid w:val="619FE425"/>
    <w:rsid w:val="61A12A03"/>
    <w:rsid w:val="61B0778A"/>
    <w:rsid w:val="61B07BCF"/>
    <w:rsid w:val="61B2E0D7"/>
    <w:rsid w:val="61B4730C"/>
    <w:rsid w:val="61B6BF2C"/>
    <w:rsid w:val="61BC4E25"/>
    <w:rsid w:val="61BC7A8D"/>
    <w:rsid w:val="61BDDDFC"/>
    <w:rsid w:val="61C3B02C"/>
    <w:rsid w:val="61C514FD"/>
    <w:rsid w:val="61C547CE"/>
    <w:rsid w:val="61CFF5F2"/>
    <w:rsid w:val="61D0042A"/>
    <w:rsid w:val="61D2F1F1"/>
    <w:rsid w:val="61D3E0E1"/>
    <w:rsid w:val="61D69713"/>
    <w:rsid w:val="61D6F1FB"/>
    <w:rsid w:val="61E37E0F"/>
    <w:rsid w:val="61E4402E"/>
    <w:rsid w:val="61EA17C9"/>
    <w:rsid w:val="61EA399C"/>
    <w:rsid w:val="61F1E6C6"/>
    <w:rsid w:val="61F30823"/>
    <w:rsid w:val="61F7DA7D"/>
    <w:rsid w:val="61FEBFD2"/>
    <w:rsid w:val="6200BDA0"/>
    <w:rsid w:val="62015DA9"/>
    <w:rsid w:val="6201CE3E"/>
    <w:rsid w:val="6202704E"/>
    <w:rsid w:val="620277D9"/>
    <w:rsid w:val="62067C05"/>
    <w:rsid w:val="62075487"/>
    <w:rsid w:val="6207C0A0"/>
    <w:rsid w:val="6209E66A"/>
    <w:rsid w:val="620BF10A"/>
    <w:rsid w:val="620D4DAC"/>
    <w:rsid w:val="620ECA24"/>
    <w:rsid w:val="62159DBA"/>
    <w:rsid w:val="621602A1"/>
    <w:rsid w:val="62165BE4"/>
    <w:rsid w:val="6218318A"/>
    <w:rsid w:val="62184EDF"/>
    <w:rsid w:val="621D4DC7"/>
    <w:rsid w:val="621FAFDA"/>
    <w:rsid w:val="621FE33F"/>
    <w:rsid w:val="6225AD84"/>
    <w:rsid w:val="622654CA"/>
    <w:rsid w:val="622699D3"/>
    <w:rsid w:val="62298492"/>
    <w:rsid w:val="622A004D"/>
    <w:rsid w:val="6230DD11"/>
    <w:rsid w:val="62329988"/>
    <w:rsid w:val="6234C19C"/>
    <w:rsid w:val="62361BA0"/>
    <w:rsid w:val="62383F8B"/>
    <w:rsid w:val="623B4310"/>
    <w:rsid w:val="623D3F06"/>
    <w:rsid w:val="62400ED7"/>
    <w:rsid w:val="624042E8"/>
    <w:rsid w:val="6241AB92"/>
    <w:rsid w:val="6241B086"/>
    <w:rsid w:val="62432032"/>
    <w:rsid w:val="624474AC"/>
    <w:rsid w:val="624FAFDC"/>
    <w:rsid w:val="62574E18"/>
    <w:rsid w:val="625AC935"/>
    <w:rsid w:val="625C4661"/>
    <w:rsid w:val="626002F7"/>
    <w:rsid w:val="6261C556"/>
    <w:rsid w:val="6262F206"/>
    <w:rsid w:val="6265E384"/>
    <w:rsid w:val="626A3C29"/>
    <w:rsid w:val="626AA700"/>
    <w:rsid w:val="626E0F76"/>
    <w:rsid w:val="6271441C"/>
    <w:rsid w:val="6271B0F0"/>
    <w:rsid w:val="6271F606"/>
    <w:rsid w:val="62733551"/>
    <w:rsid w:val="628147A3"/>
    <w:rsid w:val="6284F8BD"/>
    <w:rsid w:val="62877C54"/>
    <w:rsid w:val="628A43DE"/>
    <w:rsid w:val="62928D6E"/>
    <w:rsid w:val="62952690"/>
    <w:rsid w:val="629602C7"/>
    <w:rsid w:val="629628A4"/>
    <w:rsid w:val="629DC1ED"/>
    <w:rsid w:val="629E2E09"/>
    <w:rsid w:val="629F40B1"/>
    <w:rsid w:val="62A29128"/>
    <w:rsid w:val="62A85940"/>
    <w:rsid w:val="62AE5E37"/>
    <w:rsid w:val="62B190E3"/>
    <w:rsid w:val="62BF7629"/>
    <w:rsid w:val="62C03530"/>
    <w:rsid w:val="62C63642"/>
    <w:rsid w:val="62C78FCF"/>
    <w:rsid w:val="62CCCE5E"/>
    <w:rsid w:val="62D0455C"/>
    <w:rsid w:val="62D29251"/>
    <w:rsid w:val="62D299A9"/>
    <w:rsid w:val="62D64133"/>
    <w:rsid w:val="62D72860"/>
    <w:rsid w:val="62D7F425"/>
    <w:rsid w:val="62DBA6E1"/>
    <w:rsid w:val="62DFDAAA"/>
    <w:rsid w:val="62E15A9E"/>
    <w:rsid w:val="62E3FE56"/>
    <w:rsid w:val="62E40D2D"/>
    <w:rsid w:val="62E74ACB"/>
    <w:rsid w:val="62ECFB32"/>
    <w:rsid w:val="62ED9686"/>
    <w:rsid w:val="62EF559F"/>
    <w:rsid w:val="62F29532"/>
    <w:rsid w:val="62F2D2D9"/>
    <w:rsid w:val="62F3448C"/>
    <w:rsid w:val="62F60E9A"/>
    <w:rsid w:val="62F86860"/>
    <w:rsid w:val="62F8F82B"/>
    <w:rsid w:val="62F9BBFD"/>
    <w:rsid w:val="62FB0151"/>
    <w:rsid w:val="62FDE0D4"/>
    <w:rsid w:val="62FE4709"/>
    <w:rsid w:val="63031EBF"/>
    <w:rsid w:val="63034E7B"/>
    <w:rsid w:val="6308082F"/>
    <w:rsid w:val="6308AB7A"/>
    <w:rsid w:val="630931C6"/>
    <w:rsid w:val="630AADFC"/>
    <w:rsid w:val="630DD514"/>
    <w:rsid w:val="630E56C0"/>
    <w:rsid w:val="630EEF66"/>
    <w:rsid w:val="630EFD6A"/>
    <w:rsid w:val="63115C1B"/>
    <w:rsid w:val="631FED75"/>
    <w:rsid w:val="63267BB7"/>
    <w:rsid w:val="632C4FFE"/>
    <w:rsid w:val="632ECED4"/>
    <w:rsid w:val="632F33BC"/>
    <w:rsid w:val="63311128"/>
    <w:rsid w:val="63376705"/>
    <w:rsid w:val="633857C5"/>
    <w:rsid w:val="6339A81F"/>
    <w:rsid w:val="633C50D5"/>
    <w:rsid w:val="633D0DF2"/>
    <w:rsid w:val="634118B7"/>
    <w:rsid w:val="6341D53A"/>
    <w:rsid w:val="63479AF9"/>
    <w:rsid w:val="6348484C"/>
    <w:rsid w:val="634FCB4A"/>
    <w:rsid w:val="63509B42"/>
    <w:rsid w:val="6353BF49"/>
    <w:rsid w:val="6356C0CB"/>
    <w:rsid w:val="6358CE8D"/>
    <w:rsid w:val="63629FCB"/>
    <w:rsid w:val="63644A06"/>
    <w:rsid w:val="6364F890"/>
    <w:rsid w:val="6365B8D6"/>
    <w:rsid w:val="6367E4EC"/>
    <w:rsid w:val="63729E15"/>
    <w:rsid w:val="63731698"/>
    <w:rsid w:val="63758246"/>
    <w:rsid w:val="637A3B10"/>
    <w:rsid w:val="637BDCDA"/>
    <w:rsid w:val="637E287F"/>
    <w:rsid w:val="637F0D69"/>
    <w:rsid w:val="6382057A"/>
    <w:rsid w:val="6382BD19"/>
    <w:rsid w:val="638402D9"/>
    <w:rsid w:val="6387601E"/>
    <w:rsid w:val="63879BE1"/>
    <w:rsid w:val="6388A2C3"/>
    <w:rsid w:val="6389695B"/>
    <w:rsid w:val="638AB296"/>
    <w:rsid w:val="638BE3EF"/>
    <w:rsid w:val="638F5334"/>
    <w:rsid w:val="6396F1D9"/>
    <w:rsid w:val="639945FD"/>
    <w:rsid w:val="639ECC70"/>
    <w:rsid w:val="63A1C620"/>
    <w:rsid w:val="63A93283"/>
    <w:rsid w:val="63ADC299"/>
    <w:rsid w:val="63B258BA"/>
    <w:rsid w:val="63BB203A"/>
    <w:rsid w:val="63BF212E"/>
    <w:rsid w:val="63BF7302"/>
    <w:rsid w:val="63C1F3BF"/>
    <w:rsid w:val="63C64A0D"/>
    <w:rsid w:val="63C978E7"/>
    <w:rsid w:val="63CC697C"/>
    <w:rsid w:val="63CDDF40"/>
    <w:rsid w:val="63D1FB97"/>
    <w:rsid w:val="63D55AEB"/>
    <w:rsid w:val="63D72D8C"/>
    <w:rsid w:val="63D99419"/>
    <w:rsid w:val="63D9DC22"/>
    <w:rsid w:val="63E91441"/>
    <w:rsid w:val="63E9A3B3"/>
    <w:rsid w:val="63EA7BCB"/>
    <w:rsid w:val="63EFC95C"/>
    <w:rsid w:val="63EFFAEE"/>
    <w:rsid w:val="63EFFEDB"/>
    <w:rsid w:val="63F254A5"/>
    <w:rsid w:val="63F33990"/>
    <w:rsid w:val="63F4F468"/>
    <w:rsid w:val="63F971C9"/>
    <w:rsid w:val="63FB8298"/>
    <w:rsid w:val="63FCB6B2"/>
    <w:rsid w:val="6400060E"/>
    <w:rsid w:val="6401594C"/>
    <w:rsid w:val="640EAF4C"/>
    <w:rsid w:val="640F43B5"/>
    <w:rsid w:val="640FC357"/>
    <w:rsid w:val="64131300"/>
    <w:rsid w:val="641316A5"/>
    <w:rsid w:val="64168BD8"/>
    <w:rsid w:val="64171B4C"/>
    <w:rsid w:val="641B84D1"/>
    <w:rsid w:val="641E77A1"/>
    <w:rsid w:val="642445FF"/>
    <w:rsid w:val="6428396B"/>
    <w:rsid w:val="642AEE20"/>
    <w:rsid w:val="642D75C3"/>
    <w:rsid w:val="642E43B4"/>
    <w:rsid w:val="6430E760"/>
    <w:rsid w:val="6437D228"/>
    <w:rsid w:val="6438790D"/>
    <w:rsid w:val="643A0001"/>
    <w:rsid w:val="643E90F5"/>
    <w:rsid w:val="6447124E"/>
    <w:rsid w:val="64499957"/>
    <w:rsid w:val="64499ED1"/>
    <w:rsid w:val="644C29D9"/>
    <w:rsid w:val="644E3A97"/>
    <w:rsid w:val="644EB0C8"/>
    <w:rsid w:val="64594DF3"/>
    <w:rsid w:val="645A820B"/>
    <w:rsid w:val="645DCD54"/>
    <w:rsid w:val="645EF345"/>
    <w:rsid w:val="645F5760"/>
    <w:rsid w:val="645FC7B2"/>
    <w:rsid w:val="645FF198"/>
    <w:rsid w:val="64601CCD"/>
    <w:rsid w:val="6460F6EB"/>
    <w:rsid w:val="6461551C"/>
    <w:rsid w:val="646A282E"/>
    <w:rsid w:val="646FAEF3"/>
    <w:rsid w:val="6470A849"/>
    <w:rsid w:val="6473839F"/>
    <w:rsid w:val="64753B4D"/>
    <w:rsid w:val="64756433"/>
    <w:rsid w:val="64805353"/>
    <w:rsid w:val="6482D9F3"/>
    <w:rsid w:val="64831E3A"/>
    <w:rsid w:val="64845715"/>
    <w:rsid w:val="64850BF4"/>
    <w:rsid w:val="64860188"/>
    <w:rsid w:val="648D183F"/>
    <w:rsid w:val="648D88B8"/>
    <w:rsid w:val="6491005B"/>
    <w:rsid w:val="649963E0"/>
    <w:rsid w:val="649AF00E"/>
    <w:rsid w:val="649B5760"/>
    <w:rsid w:val="649FA54F"/>
    <w:rsid w:val="64A03DAE"/>
    <w:rsid w:val="64A1486A"/>
    <w:rsid w:val="64A1E8DC"/>
    <w:rsid w:val="64A6DB47"/>
    <w:rsid w:val="64ABF966"/>
    <w:rsid w:val="64B5B6B2"/>
    <w:rsid w:val="64B63210"/>
    <w:rsid w:val="64B7316A"/>
    <w:rsid w:val="64BA34EA"/>
    <w:rsid w:val="64BA585F"/>
    <w:rsid w:val="64BD676C"/>
    <w:rsid w:val="64BDA270"/>
    <w:rsid w:val="64BEF557"/>
    <w:rsid w:val="64C39A71"/>
    <w:rsid w:val="64C5A83F"/>
    <w:rsid w:val="64C72A0A"/>
    <w:rsid w:val="64CB24B4"/>
    <w:rsid w:val="64D189F9"/>
    <w:rsid w:val="64D5369E"/>
    <w:rsid w:val="64D67742"/>
    <w:rsid w:val="64D83F43"/>
    <w:rsid w:val="64D9330D"/>
    <w:rsid w:val="64DF7F56"/>
    <w:rsid w:val="64DFDA7F"/>
    <w:rsid w:val="64E07FE2"/>
    <w:rsid w:val="64E1ED24"/>
    <w:rsid w:val="64E6699B"/>
    <w:rsid w:val="64EDE4D5"/>
    <w:rsid w:val="64EE1D5F"/>
    <w:rsid w:val="64EFC180"/>
    <w:rsid w:val="64EFE7AC"/>
    <w:rsid w:val="64F0F174"/>
    <w:rsid w:val="64F1CF5B"/>
    <w:rsid w:val="64F46257"/>
    <w:rsid w:val="64F88535"/>
    <w:rsid w:val="64F8BE53"/>
    <w:rsid w:val="64F98198"/>
    <w:rsid w:val="64FB62C4"/>
    <w:rsid w:val="64FB7DF3"/>
    <w:rsid w:val="64FCACF2"/>
    <w:rsid w:val="64FCF30C"/>
    <w:rsid w:val="65001C1C"/>
    <w:rsid w:val="6500CB9B"/>
    <w:rsid w:val="6503DF40"/>
    <w:rsid w:val="6505241D"/>
    <w:rsid w:val="65060638"/>
    <w:rsid w:val="65097705"/>
    <w:rsid w:val="650AEA2B"/>
    <w:rsid w:val="650C9980"/>
    <w:rsid w:val="650F2B56"/>
    <w:rsid w:val="650FC9D9"/>
    <w:rsid w:val="65165B1D"/>
    <w:rsid w:val="65169EBB"/>
    <w:rsid w:val="6518E1A3"/>
    <w:rsid w:val="651CABC1"/>
    <w:rsid w:val="651D382E"/>
    <w:rsid w:val="651DFF3F"/>
    <w:rsid w:val="651F8EAE"/>
    <w:rsid w:val="65228B25"/>
    <w:rsid w:val="65274824"/>
    <w:rsid w:val="652831F3"/>
    <w:rsid w:val="6529F40F"/>
    <w:rsid w:val="652C3C4B"/>
    <w:rsid w:val="652C4E8A"/>
    <w:rsid w:val="652DD013"/>
    <w:rsid w:val="6530C476"/>
    <w:rsid w:val="653121C3"/>
    <w:rsid w:val="653125A4"/>
    <w:rsid w:val="65324EC5"/>
    <w:rsid w:val="653753C5"/>
    <w:rsid w:val="65384AD2"/>
    <w:rsid w:val="653AC467"/>
    <w:rsid w:val="653CCEC8"/>
    <w:rsid w:val="653E777C"/>
    <w:rsid w:val="6540D633"/>
    <w:rsid w:val="65418999"/>
    <w:rsid w:val="654AEB02"/>
    <w:rsid w:val="654C0A1B"/>
    <w:rsid w:val="654C4A38"/>
    <w:rsid w:val="654DAE39"/>
    <w:rsid w:val="654F3986"/>
    <w:rsid w:val="654F68D0"/>
    <w:rsid w:val="6552E95A"/>
    <w:rsid w:val="6553FCF5"/>
    <w:rsid w:val="65564B46"/>
    <w:rsid w:val="655677F8"/>
    <w:rsid w:val="65597E10"/>
    <w:rsid w:val="655DC420"/>
    <w:rsid w:val="655DC819"/>
    <w:rsid w:val="655DEC2A"/>
    <w:rsid w:val="655F7EBE"/>
    <w:rsid w:val="65616058"/>
    <w:rsid w:val="6561B925"/>
    <w:rsid w:val="656806E4"/>
    <w:rsid w:val="6569EB7C"/>
    <w:rsid w:val="656D02C1"/>
    <w:rsid w:val="656E0760"/>
    <w:rsid w:val="656F4391"/>
    <w:rsid w:val="65740FB7"/>
    <w:rsid w:val="65759941"/>
    <w:rsid w:val="65764A89"/>
    <w:rsid w:val="6579E943"/>
    <w:rsid w:val="657B4242"/>
    <w:rsid w:val="65807855"/>
    <w:rsid w:val="6586F7DA"/>
    <w:rsid w:val="6587509E"/>
    <w:rsid w:val="658755B3"/>
    <w:rsid w:val="658C4DBE"/>
    <w:rsid w:val="658D81FB"/>
    <w:rsid w:val="658F8649"/>
    <w:rsid w:val="65911859"/>
    <w:rsid w:val="65922C1D"/>
    <w:rsid w:val="65925B20"/>
    <w:rsid w:val="6595C180"/>
    <w:rsid w:val="6596DC60"/>
    <w:rsid w:val="659A38A6"/>
    <w:rsid w:val="659C2F41"/>
    <w:rsid w:val="659CB49C"/>
    <w:rsid w:val="659D3AF7"/>
    <w:rsid w:val="659FF160"/>
    <w:rsid w:val="65A0D0A7"/>
    <w:rsid w:val="65A1E017"/>
    <w:rsid w:val="65A3516A"/>
    <w:rsid w:val="65A41F4C"/>
    <w:rsid w:val="65A4E3F0"/>
    <w:rsid w:val="65A6148B"/>
    <w:rsid w:val="65A6D0E8"/>
    <w:rsid w:val="65A90D00"/>
    <w:rsid w:val="65AA2E36"/>
    <w:rsid w:val="65AEAD79"/>
    <w:rsid w:val="65AF2DC8"/>
    <w:rsid w:val="65B101A5"/>
    <w:rsid w:val="65B23501"/>
    <w:rsid w:val="65B60F46"/>
    <w:rsid w:val="65B6D4F6"/>
    <w:rsid w:val="65B74E3A"/>
    <w:rsid w:val="65B9A0A0"/>
    <w:rsid w:val="65BC1AEE"/>
    <w:rsid w:val="65BCA926"/>
    <w:rsid w:val="65BD77F0"/>
    <w:rsid w:val="65BDC05E"/>
    <w:rsid w:val="65BE5D51"/>
    <w:rsid w:val="65BF3C06"/>
    <w:rsid w:val="65BFBD4F"/>
    <w:rsid w:val="65BFE389"/>
    <w:rsid w:val="65C26496"/>
    <w:rsid w:val="65C7C687"/>
    <w:rsid w:val="65CB2335"/>
    <w:rsid w:val="65CCB236"/>
    <w:rsid w:val="65CE96CA"/>
    <w:rsid w:val="65CF99F3"/>
    <w:rsid w:val="65D013F5"/>
    <w:rsid w:val="65D06B1D"/>
    <w:rsid w:val="65D0D5B9"/>
    <w:rsid w:val="65D32D56"/>
    <w:rsid w:val="65D3C85F"/>
    <w:rsid w:val="65D633EE"/>
    <w:rsid w:val="65D6D6F4"/>
    <w:rsid w:val="65D74C1A"/>
    <w:rsid w:val="65DAA571"/>
    <w:rsid w:val="65DB33E6"/>
    <w:rsid w:val="65DB4A8E"/>
    <w:rsid w:val="65DC85D0"/>
    <w:rsid w:val="65DD5C0F"/>
    <w:rsid w:val="65E149F3"/>
    <w:rsid w:val="65E26B1A"/>
    <w:rsid w:val="65E5541E"/>
    <w:rsid w:val="65E6FEE7"/>
    <w:rsid w:val="65E705B0"/>
    <w:rsid w:val="65ECA385"/>
    <w:rsid w:val="65ECFD55"/>
    <w:rsid w:val="65ED1FB5"/>
    <w:rsid w:val="65F1D09C"/>
    <w:rsid w:val="65F322AA"/>
    <w:rsid w:val="65F5ECF5"/>
    <w:rsid w:val="65F75CF1"/>
    <w:rsid w:val="65F7B485"/>
    <w:rsid w:val="65FA4074"/>
    <w:rsid w:val="6601571C"/>
    <w:rsid w:val="660265DE"/>
    <w:rsid w:val="660ABE8E"/>
    <w:rsid w:val="660B79E9"/>
    <w:rsid w:val="660BB597"/>
    <w:rsid w:val="660BED7F"/>
    <w:rsid w:val="660D3FB4"/>
    <w:rsid w:val="660DCE7A"/>
    <w:rsid w:val="66164F60"/>
    <w:rsid w:val="661D5558"/>
    <w:rsid w:val="661DE943"/>
    <w:rsid w:val="661F7DB2"/>
    <w:rsid w:val="6623B605"/>
    <w:rsid w:val="662C04E4"/>
    <w:rsid w:val="662CF636"/>
    <w:rsid w:val="662ED254"/>
    <w:rsid w:val="66309B44"/>
    <w:rsid w:val="6634E7A0"/>
    <w:rsid w:val="66354EC5"/>
    <w:rsid w:val="66388C82"/>
    <w:rsid w:val="66393264"/>
    <w:rsid w:val="6639C379"/>
    <w:rsid w:val="6639CBA4"/>
    <w:rsid w:val="663B2C77"/>
    <w:rsid w:val="663D18CB"/>
    <w:rsid w:val="663E89C0"/>
    <w:rsid w:val="663EA9C0"/>
    <w:rsid w:val="66417092"/>
    <w:rsid w:val="66434634"/>
    <w:rsid w:val="66446DDE"/>
    <w:rsid w:val="6648D047"/>
    <w:rsid w:val="664CE625"/>
    <w:rsid w:val="664D19DC"/>
    <w:rsid w:val="66510205"/>
    <w:rsid w:val="66582084"/>
    <w:rsid w:val="665851BA"/>
    <w:rsid w:val="665BF2F4"/>
    <w:rsid w:val="6660351B"/>
    <w:rsid w:val="66637F29"/>
    <w:rsid w:val="66675739"/>
    <w:rsid w:val="6668078A"/>
    <w:rsid w:val="66691C0E"/>
    <w:rsid w:val="666A6A97"/>
    <w:rsid w:val="666B996B"/>
    <w:rsid w:val="666BE016"/>
    <w:rsid w:val="6672BEE5"/>
    <w:rsid w:val="66746D5A"/>
    <w:rsid w:val="66781FA9"/>
    <w:rsid w:val="667B4BEC"/>
    <w:rsid w:val="667BB1B1"/>
    <w:rsid w:val="668025AF"/>
    <w:rsid w:val="66855CB7"/>
    <w:rsid w:val="66860B4D"/>
    <w:rsid w:val="6688CCD2"/>
    <w:rsid w:val="668D1F81"/>
    <w:rsid w:val="6691F202"/>
    <w:rsid w:val="6696858F"/>
    <w:rsid w:val="669C0FD8"/>
    <w:rsid w:val="66A1A14E"/>
    <w:rsid w:val="66A66B4A"/>
    <w:rsid w:val="66A827D6"/>
    <w:rsid w:val="66AB80B9"/>
    <w:rsid w:val="66B0FF0E"/>
    <w:rsid w:val="66B35976"/>
    <w:rsid w:val="66B4CBEB"/>
    <w:rsid w:val="66B55037"/>
    <w:rsid w:val="66B997CE"/>
    <w:rsid w:val="66BDCFE5"/>
    <w:rsid w:val="66C075CA"/>
    <w:rsid w:val="66C1B509"/>
    <w:rsid w:val="66C49628"/>
    <w:rsid w:val="66C61DAB"/>
    <w:rsid w:val="66C643EA"/>
    <w:rsid w:val="66C6A3DF"/>
    <w:rsid w:val="66C83FAE"/>
    <w:rsid w:val="66CB1E7C"/>
    <w:rsid w:val="66CE4153"/>
    <w:rsid w:val="66CF2649"/>
    <w:rsid w:val="66CFB1A7"/>
    <w:rsid w:val="66D115C2"/>
    <w:rsid w:val="66D1B7C0"/>
    <w:rsid w:val="66D1BD6D"/>
    <w:rsid w:val="66D42CDC"/>
    <w:rsid w:val="66D76E85"/>
    <w:rsid w:val="66DC3D0C"/>
    <w:rsid w:val="66E2821C"/>
    <w:rsid w:val="66E46885"/>
    <w:rsid w:val="66E5938F"/>
    <w:rsid w:val="66E75AD1"/>
    <w:rsid w:val="66E8303E"/>
    <w:rsid w:val="66EB800B"/>
    <w:rsid w:val="66ECF982"/>
    <w:rsid w:val="66ED3688"/>
    <w:rsid w:val="66EEC47D"/>
    <w:rsid w:val="66F35AEE"/>
    <w:rsid w:val="66FAAE2D"/>
    <w:rsid w:val="66FC0A79"/>
    <w:rsid w:val="66FD9CA5"/>
    <w:rsid w:val="66FE0ED2"/>
    <w:rsid w:val="66FECF5D"/>
    <w:rsid w:val="6702AE81"/>
    <w:rsid w:val="670548AA"/>
    <w:rsid w:val="6705DB9B"/>
    <w:rsid w:val="6706177A"/>
    <w:rsid w:val="670D12B8"/>
    <w:rsid w:val="670D201B"/>
    <w:rsid w:val="671D64AC"/>
    <w:rsid w:val="671FC14A"/>
    <w:rsid w:val="67265D63"/>
    <w:rsid w:val="6727D956"/>
    <w:rsid w:val="672D5CA7"/>
    <w:rsid w:val="6730F555"/>
    <w:rsid w:val="6732089A"/>
    <w:rsid w:val="6733F938"/>
    <w:rsid w:val="67344F80"/>
    <w:rsid w:val="6739A810"/>
    <w:rsid w:val="673B1134"/>
    <w:rsid w:val="673DB1AC"/>
    <w:rsid w:val="674603E9"/>
    <w:rsid w:val="6746735E"/>
    <w:rsid w:val="67483948"/>
    <w:rsid w:val="6748B2E2"/>
    <w:rsid w:val="674968C4"/>
    <w:rsid w:val="6749F591"/>
    <w:rsid w:val="674AE4E9"/>
    <w:rsid w:val="674CFA05"/>
    <w:rsid w:val="674DD5E8"/>
    <w:rsid w:val="674E2EB9"/>
    <w:rsid w:val="6750047C"/>
    <w:rsid w:val="6752592D"/>
    <w:rsid w:val="6756CFBF"/>
    <w:rsid w:val="6761822F"/>
    <w:rsid w:val="67622A39"/>
    <w:rsid w:val="676A8FBA"/>
    <w:rsid w:val="676DF4C1"/>
    <w:rsid w:val="67725FE6"/>
    <w:rsid w:val="6772C686"/>
    <w:rsid w:val="6772E73F"/>
    <w:rsid w:val="67755E75"/>
    <w:rsid w:val="6776DB76"/>
    <w:rsid w:val="677A5A15"/>
    <w:rsid w:val="677BB6AE"/>
    <w:rsid w:val="677DDE83"/>
    <w:rsid w:val="678108EB"/>
    <w:rsid w:val="6784658A"/>
    <w:rsid w:val="6788021C"/>
    <w:rsid w:val="6788F7CC"/>
    <w:rsid w:val="678D7302"/>
    <w:rsid w:val="678F2642"/>
    <w:rsid w:val="679182CA"/>
    <w:rsid w:val="6793954A"/>
    <w:rsid w:val="6795E2B2"/>
    <w:rsid w:val="6799E503"/>
    <w:rsid w:val="67A0F69C"/>
    <w:rsid w:val="67A378D3"/>
    <w:rsid w:val="67A5A658"/>
    <w:rsid w:val="67AA5B67"/>
    <w:rsid w:val="67AC7E3A"/>
    <w:rsid w:val="67AD4311"/>
    <w:rsid w:val="67AF7C02"/>
    <w:rsid w:val="67B1180F"/>
    <w:rsid w:val="67B38E55"/>
    <w:rsid w:val="67B525F2"/>
    <w:rsid w:val="67B52FD2"/>
    <w:rsid w:val="67BA0CA5"/>
    <w:rsid w:val="67BACA4C"/>
    <w:rsid w:val="67C2AAB1"/>
    <w:rsid w:val="67C376E2"/>
    <w:rsid w:val="67C53038"/>
    <w:rsid w:val="67CC0F47"/>
    <w:rsid w:val="67D1A8C6"/>
    <w:rsid w:val="67D392D2"/>
    <w:rsid w:val="67D3D477"/>
    <w:rsid w:val="67D48F30"/>
    <w:rsid w:val="67D8E92C"/>
    <w:rsid w:val="67DC1C9D"/>
    <w:rsid w:val="67DC7619"/>
    <w:rsid w:val="67E6739E"/>
    <w:rsid w:val="67EC4A59"/>
    <w:rsid w:val="67ECE88F"/>
    <w:rsid w:val="67F27558"/>
    <w:rsid w:val="67FDD28D"/>
    <w:rsid w:val="67FEF95F"/>
    <w:rsid w:val="68010A5F"/>
    <w:rsid w:val="68021739"/>
    <w:rsid w:val="6802F4B9"/>
    <w:rsid w:val="6803C550"/>
    <w:rsid w:val="6807337D"/>
    <w:rsid w:val="6809038B"/>
    <w:rsid w:val="680A1120"/>
    <w:rsid w:val="680E38CE"/>
    <w:rsid w:val="680F3020"/>
    <w:rsid w:val="680FE8ED"/>
    <w:rsid w:val="68115675"/>
    <w:rsid w:val="6818EF16"/>
    <w:rsid w:val="681CA05F"/>
    <w:rsid w:val="6820965F"/>
    <w:rsid w:val="682187F7"/>
    <w:rsid w:val="6822FCDA"/>
    <w:rsid w:val="6823C917"/>
    <w:rsid w:val="68263631"/>
    <w:rsid w:val="6826E5D1"/>
    <w:rsid w:val="6827B340"/>
    <w:rsid w:val="682A4E7B"/>
    <w:rsid w:val="682F06CC"/>
    <w:rsid w:val="6833E1A0"/>
    <w:rsid w:val="6834A457"/>
    <w:rsid w:val="6835A313"/>
    <w:rsid w:val="68388F9A"/>
    <w:rsid w:val="6839C144"/>
    <w:rsid w:val="683D62BF"/>
    <w:rsid w:val="6842F575"/>
    <w:rsid w:val="6843C9C8"/>
    <w:rsid w:val="684611F4"/>
    <w:rsid w:val="684F7BDD"/>
    <w:rsid w:val="684F960F"/>
    <w:rsid w:val="684FF256"/>
    <w:rsid w:val="68543B83"/>
    <w:rsid w:val="685A1028"/>
    <w:rsid w:val="685AB7B8"/>
    <w:rsid w:val="685AF3FA"/>
    <w:rsid w:val="6865715E"/>
    <w:rsid w:val="68660D04"/>
    <w:rsid w:val="6867B4B6"/>
    <w:rsid w:val="686D72E4"/>
    <w:rsid w:val="686DFADB"/>
    <w:rsid w:val="6871F66C"/>
    <w:rsid w:val="687391FA"/>
    <w:rsid w:val="68759C27"/>
    <w:rsid w:val="688A288F"/>
    <w:rsid w:val="689282ED"/>
    <w:rsid w:val="689306B9"/>
    <w:rsid w:val="68937547"/>
    <w:rsid w:val="689729DB"/>
    <w:rsid w:val="6897D625"/>
    <w:rsid w:val="689D83D4"/>
    <w:rsid w:val="68A88CBB"/>
    <w:rsid w:val="68AA3B0B"/>
    <w:rsid w:val="68AA9EDE"/>
    <w:rsid w:val="68AAD180"/>
    <w:rsid w:val="68AF8325"/>
    <w:rsid w:val="68B0F352"/>
    <w:rsid w:val="68B336AC"/>
    <w:rsid w:val="68B5AA01"/>
    <w:rsid w:val="68B6BD88"/>
    <w:rsid w:val="68BD4AC8"/>
    <w:rsid w:val="68C24B06"/>
    <w:rsid w:val="68C2D1D6"/>
    <w:rsid w:val="68C3A6E0"/>
    <w:rsid w:val="68C47EEB"/>
    <w:rsid w:val="68C8650F"/>
    <w:rsid w:val="68C9987C"/>
    <w:rsid w:val="68CFA49C"/>
    <w:rsid w:val="68D0974A"/>
    <w:rsid w:val="68D3E705"/>
    <w:rsid w:val="68D46A4B"/>
    <w:rsid w:val="68D7004E"/>
    <w:rsid w:val="68D76FDE"/>
    <w:rsid w:val="68D8E69D"/>
    <w:rsid w:val="68DA7BD6"/>
    <w:rsid w:val="68DCFA2D"/>
    <w:rsid w:val="68DD50FA"/>
    <w:rsid w:val="68E612D7"/>
    <w:rsid w:val="68E74371"/>
    <w:rsid w:val="68ECE342"/>
    <w:rsid w:val="68EE1998"/>
    <w:rsid w:val="68F29E3C"/>
    <w:rsid w:val="68F5DB22"/>
    <w:rsid w:val="68FC45BE"/>
    <w:rsid w:val="68FD907C"/>
    <w:rsid w:val="6908DCBD"/>
    <w:rsid w:val="6909706B"/>
    <w:rsid w:val="690DF57E"/>
    <w:rsid w:val="690E06ED"/>
    <w:rsid w:val="690F7D7D"/>
    <w:rsid w:val="6912DE88"/>
    <w:rsid w:val="6913124C"/>
    <w:rsid w:val="691440E0"/>
    <w:rsid w:val="691CC096"/>
    <w:rsid w:val="691DE7BC"/>
    <w:rsid w:val="691E2430"/>
    <w:rsid w:val="691FBCB6"/>
    <w:rsid w:val="69204D2D"/>
    <w:rsid w:val="692940EA"/>
    <w:rsid w:val="692B6695"/>
    <w:rsid w:val="692B7275"/>
    <w:rsid w:val="692E62D9"/>
    <w:rsid w:val="69322EAD"/>
    <w:rsid w:val="693A96CA"/>
    <w:rsid w:val="693E5E6E"/>
    <w:rsid w:val="694C1BF8"/>
    <w:rsid w:val="694D7371"/>
    <w:rsid w:val="6951BDF5"/>
    <w:rsid w:val="6956B843"/>
    <w:rsid w:val="6962A918"/>
    <w:rsid w:val="696388CB"/>
    <w:rsid w:val="6964F3F5"/>
    <w:rsid w:val="69653043"/>
    <w:rsid w:val="69654291"/>
    <w:rsid w:val="69672936"/>
    <w:rsid w:val="69679068"/>
    <w:rsid w:val="696930E1"/>
    <w:rsid w:val="696B6358"/>
    <w:rsid w:val="696D5A53"/>
    <w:rsid w:val="696E9D0A"/>
    <w:rsid w:val="69714A50"/>
    <w:rsid w:val="6975712F"/>
    <w:rsid w:val="69759EFE"/>
    <w:rsid w:val="697697EE"/>
    <w:rsid w:val="6978B1DC"/>
    <w:rsid w:val="698033DE"/>
    <w:rsid w:val="698276C8"/>
    <w:rsid w:val="6984D2C3"/>
    <w:rsid w:val="69880B22"/>
    <w:rsid w:val="698C5761"/>
    <w:rsid w:val="6991CF85"/>
    <w:rsid w:val="6992FB23"/>
    <w:rsid w:val="69936BE4"/>
    <w:rsid w:val="6993DEE1"/>
    <w:rsid w:val="6993E388"/>
    <w:rsid w:val="6997F134"/>
    <w:rsid w:val="699E120F"/>
    <w:rsid w:val="69A0DD08"/>
    <w:rsid w:val="69A24EEF"/>
    <w:rsid w:val="69A41880"/>
    <w:rsid w:val="69A5E6B3"/>
    <w:rsid w:val="69ACC24E"/>
    <w:rsid w:val="69ACC2A1"/>
    <w:rsid w:val="69AD51A9"/>
    <w:rsid w:val="69AF817C"/>
    <w:rsid w:val="69B434C0"/>
    <w:rsid w:val="69B777D6"/>
    <w:rsid w:val="69B92A22"/>
    <w:rsid w:val="69C003F1"/>
    <w:rsid w:val="69C21389"/>
    <w:rsid w:val="69C2549C"/>
    <w:rsid w:val="69C68329"/>
    <w:rsid w:val="69C6B416"/>
    <w:rsid w:val="69C92826"/>
    <w:rsid w:val="69CA4D1F"/>
    <w:rsid w:val="69CB7C96"/>
    <w:rsid w:val="69CCD3BE"/>
    <w:rsid w:val="69CEB9BD"/>
    <w:rsid w:val="69CF4D43"/>
    <w:rsid w:val="69D0BE88"/>
    <w:rsid w:val="69D37300"/>
    <w:rsid w:val="69D3BE47"/>
    <w:rsid w:val="69D8F120"/>
    <w:rsid w:val="69DCB76B"/>
    <w:rsid w:val="69DFD243"/>
    <w:rsid w:val="69E56966"/>
    <w:rsid w:val="69EA1EAA"/>
    <w:rsid w:val="69ECCE87"/>
    <w:rsid w:val="69F9A165"/>
    <w:rsid w:val="69FB7B0E"/>
    <w:rsid w:val="69FBBD23"/>
    <w:rsid w:val="69FF0971"/>
    <w:rsid w:val="6A02F10C"/>
    <w:rsid w:val="6A0889B2"/>
    <w:rsid w:val="6A0AB903"/>
    <w:rsid w:val="6A0DF3D3"/>
    <w:rsid w:val="6A0F54A6"/>
    <w:rsid w:val="6A118624"/>
    <w:rsid w:val="6A130DFD"/>
    <w:rsid w:val="6A15780D"/>
    <w:rsid w:val="6A217219"/>
    <w:rsid w:val="6A26B975"/>
    <w:rsid w:val="6A289B9E"/>
    <w:rsid w:val="6A2A1D1A"/>
    <w:rsid w:val="6A2EC661"/>
    <w:rsid w:val="6A2F73F6"/>
    <w:rsid w:val="6A358F81"/>
    <w:rsid w:val="6A397A9F"/>
    <w:rsid w:val="6A3B69E5"/>
    <w:rsid w:val="6A3CD665"/>
    <w:rsid w:val="6A3FCB4B"/>
    <w:rsid w:val="6A40CBF7"/>
    <w:rsid w:val="6A423664"/>
    <w:rsid w:val="6A48FB32"/>
    <w:rsid w:val="6A4A012C"/>
    <w:rsid w:val="6A4A9D2C"/>
    <w:rsid w:val="6A530739"/>
    <w:rsid w:val="6A560B89"/>
    <w:rsid w:val="6A569DBB"/>
    <w:rsid w:val="6A5B1E88"/>
    <w:rsid w:val="6A6293D4"/>
    <w:rsid w:val="6A654A44"/>
    <w:rsid w:val="6A6AA75A"/>
    <w:rsid w:val="6A6D4BF2"/>
    <w:rsid w:val="6A795B61"/>
    <w:rsid w:val="6A7D70DE"/>
    <w:rsid w:val="6A7D9F59"/>
    <w:rsid w:val="6A8104B9"/>
    <w:rsid w:val="6A838439"/>
    <w:rsid w:val="6A84B05B"/>
    <w:rsid w:val="6A8B0C47"/>
    <w:rsid w:val="6A8B52F9"/>
    <w:rsid w:val="6A9027FC"/>
    <w:rsid w:val="6A9A57F2"/>
    <w:rsid w:val="6A9EEBC2"/>
    <w:rsid w:val="6AA30279"/>
    <w:rsid w:val="6AA76926"/>
    <w:rsid w:val="6AA79495"/>
    <w:rsid w:val="6AA97B3D"/>
    <w:rsid w:val="6AAA487D"/>
    <w:rsid w:val="6AB0133D"/>
    <w:rsid w:val="6AB2D44D"/>
    <w:rsid w:val="6AB76C01"/>
    <w:rsid w:val="6AB87720"/>
    <w:rsid w:val="6ABB0513"/>
    <w:rsid w:val="6ABB12E3"/>
    <w:rsid w:val="6ABCC0FD"/>
    <w:rsid w:val="6AC43024"/>
    <w:rsid w:val="6AC6BB23"/>
    <w:rsid w:val="6ACB1F29"/>
    <w:rsid w:val="6ACCAC74"/>
    <w:rsid w:val="6AD8C076"/>
    <w:rsid w:val="6AD9EB69"/>
    <w:rsid w:val="6ADC6CFF"/>
    <w:rsid w:val="6ADE0ECE"/>
    <w:rsid w:val="6AE28077"/>
    <w:rsid w:val="6AE32A8D"/>
    <w:rsid w:val="6AE4A5B7"/>
    <w:rsid w:val="6AE4E3D3"/>
    <w:rsid w:val="6AE77314"/>
    <w:rsid w:val="6AE775EA"/>
    <w:rsid w:val="6AE8708A"/>
    <w:rsid w:val="6AE99B30"/>
    <w:rsid w:val="6AE9D154"/>
    <w:rsid w:val="6AE9D250"/>
    <w:rsid w:val="6AEBDBFC"/>
    <w:rsid w:val="6AECC038"/>
    <w:rsid w:val="6AF251A0"/>
    <w:rsid w:val="6AF2A92D"/>
    <w:rsid w:val="6AF4BEB0"/>
    <w:rsid w:val="6AF5E696"/>
    <w:rsid w:val="6AF843F8"/>
    <w:rsid w:val="6AF872C1"/>
    <w:rsid w:val="6AF89AC5"/>
    <w:rsid w:val="6AFAB32F"/>
    <w:rsid w:val="6AFCD391"/>
    <w:rsid w:val="6AFD626D"/>
    <w:rsid w:val="6AFE6811"/>
    <w:rsid w:val="6B0B1160"/>
    <w:rsid w:val="6B0BD18A"/>
    <w:rsid w:val="6B0DC741"/>
    <w:rsid w:val="6B159504"/>
    <w:rsid w:val="6B15F554"/>
    <w:rsid w:val="6B1CCB62"/>
    <w:rsid w:val="6B1DDB6E"/>
    <w:rsid w:val="6B266DAD"/>
    <w:rsid w:val="6B2980A5"/>
    <w:rsid w:val="6B2EDE13"/>
    <w:rsid w:val="6B309445"/>
    <w:rsid w:val="6B33F948"/>
    <w:rsid w:val="6B387BD4"/>
    <w:rsid w:val="6B39CC48"/>
    <w:rsid w:val="6B3E29F7"/>
    <w:rsid w:val="6B3FE755"/>
    <w:rsid w:val="6B451B02"/>
    <w:rsid w:val="6B47B37B"/>
    <w:rsid w:val="6B483A5F"/>
    <w:rsid w:val="6B4CAA4B"/>
    <w:rsid w:val="6B4CEE7A"/>
    <w:rsid w:val="6B584D10"/>
    <w:rsid w:val="6B5924AA"/>
    <w:rsid w:val="6B5DD3E3"/>
    <w:rsid w:val="6B5EB254"/>
    <w:rsid w:val="6B637C7C"/>
    <w:rsid w:val="6B672E07"/>
    <w:rsid w:val="6B6AA548"/>
    <w:rsid w:val="6B6F6539"/>
    <w:rsid w:val="6B74D87F"/>
    <w:rsid w:val="6B75302D"/>
    <w:rsid w:val="6B7C9ACA"/>
    <w:rsid w:val="6B7DCBBC"/>
    <w:rsid w:val="6B7E105E"/>
    <w:rsid w:val="6B81566D"/>
    <w:rsid w:val="6B835BD8"/>
    <w:rsid w:val="6B89AE12"/>
    <w:rsid w:val="6B8A8E5A"/>
    <w:rsid w:val="6B8B20F8"/>
    <w:rsid w:val="6B8BE7E9"/>
    <w:rsid w:val="6B8C98A2"/>
    <w:rsid w:val="6B8DCDC5"/>
    <w:rsid w:val="6B919033"/>
    <w:rsid w:val="6B95C9BA"/>
    <w:rsid w:val="6B9779E1"/>
    <w:rsid w:val="6BA2B0D1"/>
    <w:rsid w:val="6BA2F97C"/>
    <w:rsid w:val="6BA459D4"/>
    <w:rsid w:val="6BA4CDFD"/>
    <w:rsid w:val="6BA89784"/>
    <w:rsid w:val="6BA9519E"/>
    <w:rsid w:val="6BAA5B69"/>
    <w:rsid w:val="6BAC5666"/>
    <w:rsid w:val="6BADC000"/>
    <w:rsid w:val="6BB3E33B"/>
    <w:rsid w:val="6BB4EC4D"/>
    <w:rsid w:val="6BB503F6"/>
    <w:rsid w:val="6BB57E11"/>
    <w:rsid w:val="6BB59CFC"/>
    <w:rsid w:val="6BB79265"/>
    <w:rsid w:val="6BB92D42"/>
    <w:rsid w:val="6BBB83E6"/>
    <w:rsid w:val="6BBBA161"/>
    <w:rsid w:val="6BBEA04E"/>
    <w:rsid w:val="6BBEDA9D"/>
    <w:rsid w:val="6BC13E87"/>
    <w:rsid w:val="6BC15941"/>
    <w:rsid w:val="6BC3B902"/>
    <w:rsid w:val="6BC3FAA2"/>
    <w:rsid w:val="6BC48E41"/>
    <w:rsid w:val="6BC6B615"/>
    <w:rsid w:val="6BC92BCD"/>
    <w:rsid w:val="6BCC8F86"/>
    <w:rsid w:val="6BCD4690"/>
    <w:rsid w:val="6BCDAE3F"/>
    <w:rsid w:val="6BD30AA2"/>
    <w:rsid w:val="6BD3C1C6"/>
    <w:rsid w:val="6BD4F643"/>
    <w:rsid w:val="6BD52496"/>
    <w:rsid w:val="6BDBC211"/>
    <w:rsid w:val="6BDD6AED"/>
    <w:rsid w:val="6BDFE657"/>
    <w:rsid w:val="6BE2F78E"/>
    <w:rsid w:val="6BE373DB"/>
    <w:rsid w:val="6BE99245"/>
    <w:rsid w:val="6BF7446A"/>
    <w:rsid w:val="6BF7EFCD"/>
    <w:rsid w:val="6BF7F52D"/>
    <w:rsid w:val="6BF985B6"/>
    <w:rsid w:val="6BFCE3E4"/>
    <w:rsid w:val="6BFFB45E"/>
    <w:rsid w:val="6C006788"/>
    <w:rsid w:val="6C024457"/>
    <w:rsid w:val="6C061DE4"/>
    <w:rsid w:val="6C06B366"/>
    <w:rsid w:val="6C0AC158"/>
    <w:rsid w:val="6C0DFEED"/>
    <w:rsid w:val="6C129D70"/>
    <w:rsid w:val="6C157718"/>
    <w:rsid w:val="6C18255C"/>
    <w:rsid w:val="6C19B1E9"/>
    <w:rsid w:val="6C211879"/>
    <w:rsid w:val="6C22813C"/>
    <w:rsid w:val="6C230C5A"/>
    <w:rsid w:val="6C2C6620"/>
    <w:rsid w:val="6C2D9C4A"/>
    <w:rsid w:val="6C31A595"/>
    <w:rsid w:val="6C3DBAD3"/>
    <w:rsid w:val="6C3E93A9"/>
    <w:rsid w:val="6C437C5D"/>
    <w:rsid w:val="6C45AECC"/>
    <w:rsid w:val="6C47C4C4"/>
    <w:rsid w:val="6C4EC91B"/>
    <w:rsid w:val="6C513453"/>
    <w:rsid w:val="6C5140E8"/>
    <w:rsid w:val="6C53B762"/>
    <w:rsid w:val="6C568498"/>
    <w:rsid w:val="6C5AD496"/>
    <w:rsid w:val="6C5D4EF0"/>
    <w:rsid w:val="6C5E1408"/>
    <w:rsid w:val="6C5F09E9"/>
    <w:rsid w:val="6C60D120"/>
    <w:rsid w:val="6C6ACFFC"/>
    <w:rsid w:val="6C6E4963"/>
    <w:rsid w:val="6C739B52"/>
    <w:rsid w:val="6C798689"/>
    <w:rsid w:val="6C7E60AE"/>
    <w:rsid w:val="6C7EDE63"/>
    <w:rsid w:val="6C810150"/>
    <w:rsid w:val="6C812194"/>
    <w:rsid w:val="6C81A924"/>
    <w:rsid w:val="6C81CB42"/>
    <w:rsid w:val="6C8369CC"/>
    <w:rsid w:val="6C839857"/>
    <w:rsid w:val="6C870BAF"/>
    <w:rsid w:val="6C88714A"/>
    <w:rsid w:val="6C8E0201"/>
    <w:rsid w:val="6C9272B9"/>
    <w:rsid w:val="6C932461"/>
    <w:rsid w:val="6C9485A2"/>
    <w:rsid w:val="6C96EE83"/>
    <w:rsid w:val="6C9CCA3E"/>
    <w:rsid w:val="6C9E04CD"/>
    <w:rsid w:val="6C9E0A3B"/>
    <w:rsid w:val="6C9F2C45"/>
    <w:rsid w:val="6CAA14FB"/>
    <w:rsid w:val="6CAD22AE"/>
    <w:rsid w:val="6CAE39D1"/>
    <w:rsid w:val="6CAECBE0"/>
    <w:rsid w:val="6CB2C9AE"/>
    <w:rsid w:val="6CB5D339"/>
    <w:rsid w:val="6CB62731"/>
    <w:rsid w:val="6CBF532F"/>
    <w:rsid w:val="6CC113AF"/>
    <w:rsid w:val="6CC4AFDB"/>
    <w:rsid w:val="6CC5E8A5"/>
    <w:rsid w:val="6CCA553F"/>
    <w:rsid w:val="6CCB43A5"/>
    <w:rsid w:val="6CCD7C62"/>
    <w:rsid w:val="6CD277D0"/>
    <w:rsid w:val="6CD5B6A1"/>
    <w:rsid w:val="6CD979F1"/>
    <w:rsid w:val="6CDA5C5C"/>
    <w:rsid w:val="6CDA9E4A"/>
    <w:rsid w:val="6CDF0481"/>
    <w:rsid w:val="6CDF09FC"/>
    <w:rsid w:val="6CE04883"/>
    <w:rsid w:val="6CE08A65"/>
    <w:rsid w:val="6CE1BF1B"/>
    <w:rsid w:val="6CE1DFF4"/>
    <w:rsid w:val="6CE291F7"/>
    <w:rsid w:val="6CE64AC2"/>
    <w:rsid w:val="6CE8A28B"/>
    <w:rsid w:val="6CED23BD"/>
    <w:rsid w:val="6CED4BB7"/>
    <w:rsid w:val="6CF105D8"/>
    <w:rsid w:val="6CF4EAB5"/>
    <w:rsid w:val="6CF7D9CF"/>
    <w:rsid w:val="6CFE920B"/>
    <w:rsid w:val="6D02E041"/>
    <w:rsid w:val="6D05C920"/>
    <w:rsid w:val="6D08C971"/>
    <w:rsid w:val="6D0956CE"/>
    <w:rsid w:val="6D09B6C3"/>
    <w:rsid w:val="6D0BA24C"/>
    <w:rsid w:val="6D0CBCAA"/>
    <w:rsid w:val="6D0CE81F"/>
    <w:rsid w:val="6D0ED141"/>
    <w:rsid w:val="6D152C7C"/>
    <w:rsid w:val="6D156943"/>
    <w:rsid w:val="6D1A6439"/>
    <w:rsid w:val="6D1DE420"/>
    <w:rsid w:val="6D2AD544"/>
    <w:rsid w:val="6D2E1E5B"/>
    <w:rsid w:val="6D2F3544"/>
    <w:rsid w:val="6D34D27A"/>
    <w:rsid w:val="6D3793D2"/>
    <w:rsid w:val="6D3B867E"/>
    <w:rsid w:val="6D3C77D2"/>
    <w:rsid w:val="6D3DD272"/>
    <w:rsid w:val="6D3DFC95"/>
    <w:rsid w:val="6D3F4BAA"/>
    <w:rsid w:val="6D454F62"/>
    <w:rsid w:val="6D46B028"/>
    <w:rsid w:val="6D47031D"/>
    <w:rsid w:val="6D48C1A1"/>
    <w:rsid w:val="6D51694E"/>
    <w:rsid w:val="6D53D481"/>
    <w:rsid w:val="6D54D513"/>
    <w:rsid w:val="6D5DFF08"/>
    <w:rsid w:val="6D5E409A"/>
    <w:rsid w:val="6D5FCA6C"/>
    <w:rsid w:val="6D63E936"/>
    <w:rsid w:val="6D6B9F90"/>
    <w:rsid w:val="6D6DFDF3"/>
    <w:rsid w:val="6D70F4F7"/>
    <w:rsid w:val="6D75FB11"/>
    <w:rsid w:val="6D77E9FA"/>
    <w:rsid w:val="6D793EB6"/>
    <w:rsid w:val="6D8A84C1"/>
    <w:rsid w:val="6D8B2C2B"/>
    <w:rsid w:val="6D8FE1DE"/>
    <w:rsid w:val="6D90946A"/>
    <w:rsid w:val="6D916B06"/>
    <w:rsid w:val="6D9312DF"/>
    <w:rsid w:val="6D960432"/>
    <w:rsid w:val="6D99C169"/>
    <w:rsid w:val="6D9D0F5C"/>
    <w:rsid w:val="6DA0CD11"/>
    <w:rsid w:val="6DA0DF1C"/>
    <w:rsid w:val="6DA208A2"/>
    <w:rsid w:val="6DA415F0"/>
    <w:rsid w:val="6DA962F3"/>
    <w:rsid w:val="6DAAB699"/>
    <w:rsid w:val="6DAC1C33"/>
    <w:rsid w:val="6DB43D56"/>
    <w:rsid w:val="6DB4F5ED"/>
    <w:rsid w:val="6DB51752"/>
    <w:rsid w:val="6DBDBA3B"/>
    <w:rsid w:val="6DBDE8C4"/>
    <w:rsid w:val="6DC05283"/>
    <w:rsid w:val="6DC0801C"/>
    <w:rsid w:val="6DC1EA71"/>
    <w:rsid w:val="6DC40D78"/>
    <w:rsid w:val="6DC4DACC"/>
    <w:rsid w:val="6DC7A891"/>
    <w:rsid w:val="6DC7C074"/>
    <w:rsid w:val="6DC871E8"/>
    <w:rsid w:val="6DC8CB0D"/>
    <w:rsid w:val="6DC8DBC7"/>
    <w:rsid w:val="6DCE3D8B"/>
    <w:rsid w:val="6DCFAC7F"/>
    <w:rsid w:val="6DD0767F"/>
    <w:rsid w:val="6DD11576"/>
    <w:rsid w:val="6DD37F41"/>
    <w:rsid w:val="6DD7D728"/>
    <w:rsid w:val="6DD81A57"/>
    <w:rsid w:val="6DDB88C2"/>
    <w:rsid w:val="6DE41F94"/>
    <w:rsid w:val="6DE76DA5"/>
    <w:rsid w:val="6DE94612"/>
    <w:rsid w:val="6DE963BE"/>
    <w:rsid w:val="6DECE916"/>
    <w:rsid w:val="6DEDABA7"/>
    <w:rsid w:val="6DF4BEC6"/>
    <w:rsid w:val="6DFA1F4A"/>
    <w:rsid w:val="6DFBE418"/>
    <w:rsid w:val="6DFF4296"/>
    <w:rsid w:val="6E01E419"/>
    <w:rsid w:val="6E0350AB"/>
    <w:rsid w:val="6E0370A7"/>
    <w:rsid w:val="6E0838E8"/>
    <w:rsid w:val="6E0A22C0"/>
    <w:rsid w:val="6E0C676C"/>
    <w:rsid w:val="6E0D7FD0"/>
    <w:rsid w:val="6E0DA6E0"/>
    <w:rsid w:val="6E0E1E80"/>
    <w:rsid w:val="6E13958B"/>
    <w:rsid w:val="6E184A93"/>
    <w:rsid w:val="6E1B9A84"/>
    <w:rsid w:val="6E1F147E"/>
    <w:rsid w:val="6E1F3352"/>
    <w:rsid w:val="6E22B767"/>
    <w:rsid w:val="6E243BD3"/>
    <w:rsid w:val="6E251EF2"/>
    <w:rsid w:val="6E2A36C5"/>
    <w:rsid w:val="6E2AA7F6"/>
    <w:rsid w:val="6E2D100A"/>
    <w:rsid w:val="6E30E376"/>
    <w:rsid w:val="6E390437"/>
    <w:rsid w:val="6E3AC610"/>
    <w:rsid w:val="6E45AE41"/>
    <w:rsid w:val="6E49A394"/>
    <w:rsid w:val="6E4B6945"/>
    <w:rsid w:val="6E51436D"/>
    <w:rsid w:val="6E51E0CB"/>
    <w:rsid w:val="6E5286E6"/>
    <w:rsid w:val="6E5488DE"/>
    <w:rsid w:val="6E576F67"/>
    <w:rsid w:val="6E5A279F"/>
    <w:rsid w:val="6E5A9C2B"/>
    <w:rsid w:val="6E5BAC85"/>
    <w:rsid w:val="6E61497F"/>
    <w:rsid w:val="6E65D648"/>
    <w:rsid w:val="6E6DFB60"/>
    <w:rsid w:val="6E731687"/>
    <w:rsid w:val="6E7A1629"/>
    <w:rsid w:val="6E7D0C2A"/>
    <w:rsid w:val="6E820E22"/>
    <w:rsid w:val="6E8256D6"/>
    <w:rsid w:val="6E8312E0"/>
    <w:rsid w:val="6E85BDD5"/>
    <w:rsid w:val="6E85D3A2"/>
    <w:rsid w:val="6E875D1F"/>
    <w:rsid w:val="6E8A1192"/>
    <w:rsid w:val="6E8A2970"/>
    <w:rsid w:val="6E967134"/>
    <w:rsid w:val="6E980E43"/>
    <w:rsid w:val="6E993F90"/>
    <w:rsid w:val="6E99BBF2"/>
    <w:rsid w:val="6EA0E5FE"/>
    <w:rsid w:val="6EA34125"/>
    <w:rsid w:val="6EA575CE"/>
    <w:rsid w:val="6EA79290"/>
    <w:rsid w:val="6EAB5ADC"/>
    <w:rsid w:val="6EABA5BD"/>
    <w:rsid w:val="6EAD9D9E"/>
    <w:rsid w:val="6EB196E9"/>
    <w:rsid w:val="6EB2D1B0"/>
    <w:rsid w:val="6EB5267C"/>
    <w:rsid w:val="6EB7218F"/>
    <w:rsid w:val="6EB99BBC"/>
    <w:rsid w:val="6EBC60FB"/>
    <w:rsid w:val="6EBD162C"/>
    <w:rsid w:val="6EBDC0AF"/>
    <w:rsid w:val="6EBFAAD0"/>
    <w:rsid w:val="6EBFC501"/>
    <w:rsid w:val="6EC1A33D"/>
    <w:rsid w:val="6EC48FDD"/>
    <w:rsid w:val="6EC68075"/>
    <w:rsid w:val="6ECB9EE9"/>
    <w:rsid w:val="6ECDD906"/>
    <w:rsid w:val="6ECFEBA5"/>
    <w:rsid w:val="6ED552EB"/>
    <w:rsid w:val="6ED5BCA9"/>
    <w:rsid w:val="6ED5BE23"/>
    <w:rsid w:val="6ED9183C"/>
    <w:rsid w:val="6EDB0A43"/>
    <w:rsid w:val="6EDF8C2C"/>
    <w:rsid w:val="6EE56AAA"/>
    <w:rsid w:val="6EE60841"/>
    <w:rsid w:val="6EE88D8E"/>
    <w:rsid w:val="6EF080D2"/>
    <w:rsid w:val="6EF255AD"/>
    <w:rsid w:val="6EF3BECB"/>
    <w:rsid w:val="6EF4732F"/>
    <w:rsid w:val="6EF5A09E"/>
    <w:rsid w:val="6EF5F158"/>
    <w:rsid w:val="6EFB15DA"/>
    <w:rsid w:val="6EFB3BCD"/>
    <w:rsid w:val="6F024D5F"/>
    <w:rsid w:val="6F03D26F"/>
    <w:rsid w:val="6F03EA33"/>
    <w:rsid w:val="6F053F4F"/>
    <w:rsid w:val="6F0587E0"/>
    <w:rsid w:val="6F05F54A"/>
    <w:rsid w:val="6F10488C"/>
    <w:rsid w:val="6F13BC9B"/>
    <w:rsid w:val="6F147C5A"/>
    <w:rsid w:val="6F1556F0"/>
    <w:rsid w:val="6F157F4E"/>
    <w:rsid w:val="6F1B1227"/>
    <w:rsid w:val="6F226AB4"/>
    <w:rsid w:val="6F247C5D"/>
    <w:rsid w:val="6F2579A8"/>
    <w:rsid w:val="6F293D47"/>
    <w:rsid w:val="6F2BFC0A"/>
    <w:rsid w:val="6F2CE0AC"/>
    <w:rsid w:val="6F2DC716"/>
    <w:rsid w:val="6F2FAA09"/>
    <w:rsid w:val="6F30B3CC"/>
    <w:rsid w:val="6F36CE63"/>
    <w:rsid w:val="6F37B3A8"/>
    <w:rsid w:val="6F387CA5"/>
    <w:rsid w:val="6F414CA7"/>
    <w:rsid w:val="6F4546D8"/>
    <w:rsid w:val="6F48EF68"/>
    <w:rsid w:val="6F494213"/>
    <w:rsid w:val="6F4A8459"/>
    <w:rsid w:val="6F4D01C9"/>
    <w:rsid w:val="6F504F7D"/>
    <w:rsid w:val="6F5459E6"/>
    <w:rsid w:val="6F5D99F9"/>
    <w:rsid w:val="6F5FC877"/>
    <w:rsid w:val="6F6762EC"/>
    <w:rsid w:val="6F68B519"/>
    <w:rsid w:val="6F6AD3B5"/>
    <w:rsid w:val="6F6AFEB5"/>
    <w:rsid w:val="6F6DEB98"/>
    <w:rsid w:val="6F6F9539"/>
    <w:rsid w:val="6F71B1E8"/>
    <w:rsid w:val="6F76DB2F"/>
    <w:rsid w:val="6F78D6BB"/>
    <w:rsid w:val="6F796778"/>
    <w:rsid w:val="6F7AD98E"/>
    <w:rsid w:val="6F81D2CB"/>
    <w:rsid w:val="6F877DA3"/>
    <w:rsid w:val="6F883BAA"/>
    <w:rsid w:val="6F8AD124"/>
    <w:rsid w:val="6F8B6FFD"/>
    <w:rsid w:val="6F8E4D3C"/>
    <w:rsid w:val="6F8E6C92"/>
    <w:rsid w:val="6F95D33F"/>
    <w:rsid w:val="6F981F1B"/>
    <w:rsid w:val="6F995852"/>
    <w:rsid w:val="6F9B9701"/>
    <w:rsid w:val="6F9F7F5F"/>
    <w:rsid w:val="6FA11C4A"/>
    <w:rsid w:val="6FA2AA81"/>
    <w:rsid w:val="6FA6CBA6"/>
    <w:rsid w:val="6FA867F4"/>
    <w:rsid w:val="6FAA0F5E"/>
    <w:rsid w:val="6FABAFE6"/>
    <w:rsid w:val="6FB1C347"/>
    <w:rsid w:val="6FBEAC71"/>
    <w:rsid w:val="6FBEEC4E"/>
    <w:rsid w:val="6FC1FCAE"/>
    <w:rsid w:val="6FC99E85"/>
    <w:rsid w:val="6FCA4DBA"/>
    <w:rsid w:val="6FCC1162"/>
    <w:rsid w:val="6FCEBEF9"/>
    <w:rsid w:val="6FD0BE01"/>
    <w:rsid w:val="6FD43FC7"/>
    <w:rsid w:val="6FD4D498"/>
    <w:rsid w:val="6FD6CE62"/>
    <w:rsid w:val="6FDBF03B"/>
    <w:rsid w:val="6FDD608B"/>
    <w:rsid w:val="6FDDDE8E"/>
    <w:rsid w:val="6FDF1511"/>
    <w:rsid w:val="6FDF7A73"/>
    <w:rsid w:val="6FE1B5BD"/>
    <w:rsid w:val="6FE44C71"/>
    <w:rsid w:val="6FE7D148"/>
    <w:rsid w:val="6FECC419"/>
    <w:rsid w:val="6FF19603"/>
    <w:rsid w:val="6FF9F95B"/>
    <w:rsid w:val="6FFCF280"/>
    <w:rsid w:val="6FFD742E"/>
    <w:rsid w:val="6FFFB4A5"/>
    <w:rsid w:val="7007AC1B"/>
    <w:rsid w:val="7009FE81"/>
    <w:rsid w:val="700D4D34"/>
    <w:rsid w:val="70115920"/>
    <w:rsid w:val="70145CE9"/>
    <w:rsid w:val="7017E945"/>
    <w:rsid w:val="70182B27"/>
    <w:rsid w:val="7018BEBB"/>
    <w:rsid w:val="701A8066"/>
    <w:rsid w:val="701F12D0"/>
    <w:rsid w:val="7026FE25"/>
    <w:rsid w:val="702E57F6"/>
    <w:rsid w:val="70373E8D"/>
    <w:rsid w:val="70391C92"/>
    <w:rsid w:val="703D28A8"/>
    <w:rsid w:val="70407418"/>
    <w:rsid w:val="70474E48"/>
    <w:rsid w:val="7048E6C5"/>
    <w:rsid w:val="704AA875"/>
    <w:rsid w:val="704D5E9D"/>
    <w:rsid w:val="704E7C9B"/>
    <w:rsid w:val="7050075E"/>
    <w:rsid w:val="70522382"/>
    <w:rsid w:val="7053B976"/>
    <w:rsid w:val="705CF925"/>
    <w:rsid w:val="70661353"/>
    <w:rsid w:val="70666290"/>
    <w:rsid w:val="7068EBAC"/>
    <w:rsid w:val="7069A69F"/>
    <w:rsid w:val="706C64EC"/>
    <w:rsid w:val="706FA2FA"/>
    <w:rsid w:val="70705F40"/>
    <w:rsid w:val="70741B24"/>
    <w:rsid w:val="707AEB91"/>
    <w:rsid w:val="707EE3DD"/>
    <w:rsid w:val="70811DE9"/>
    <w:rsid w:val="7084FC45"/>
    <w:rsid w:val="708598CE"/>
    <w:rsid w:val="708C5EAF"/>
    <w:rsid w:val="708DA62B"/>
    <w:rsid w:val="70906E48"/>
    <w:rsid w:val="709260F0"/>
    <w:rsid w:val="70969F6C"/>
    <w:rsid w:val="7096A6F9"/>
    <w:rsid w:val="7096F4B7"/>
    <w:rsid w:val="70979DFA"/>
    <w:rsid w:val="70991E1B"/>
    <w:rsid w:val="709AD720"/>
    <w:rsid w:val="709C8720"/>
    <w:rsid w:val="709E36CA"/>
    <w:rsid w:val="709E9E1D"/>
    <w:rsid w:val="70A076C7"/>
    <w:rsid w:val="70A2EC02"/>
    <w:rsid w:val="70A33055"/>
    <w:rsid w:val="70A3A77C"/>
    <w:rsid w:val="70A41BD6"/>
    <w:rsid w:val="70A59578"/>
    <w:rsid w:val="70A5F50F"/>
    <w:rsid w:val="70A895B9"/>
    <w:rsid w:val="70AABD9E"/>
    <w:rsid w:val="70B0DC10"/>
    <w:rsid w:val="70B17D1D"/>
    <w:rsid w:val="70B36E01"/>
    <w:rsid w:val="70B390BA"/>
    <w:rsid w:val="70B65804"/>
    <w:rsid w:val="70B749C2"/>
    <w:rsid w:val="70B89209"/>
    <w:rsid w:val="70BB6491"/>
    <w:rsid w:val="70BDFDAC"/>
    <w:rsid w:val="70C5B62C"/>
    <w:rsid w:val="70C6BCE4"/>
    <w:rsid w:val="70C7B892"/>
    <w:rsid w:val="70C9E7C1"/>
    <w:rsid w:val="70CFF4AD"/>
    <w:rsid w:val="70D2228F"/>
    <w:rsid w:val="70D2B353"/>
    <w:rsid w:val="70D5DD49"/>
    <w:rsid w:val="70D8B4C4"/>
    <w:rsid w:val="70D8EFB6"/>
    <w:rsid w:val="70DC1E95"/>
    <w:rsid w:val="70DC3201"/>
    <w:rsid w:val="70DDF806"/>
    <w:rsid w:val="70E4916E"/>
    <w:rsid w:val="70E5A4D1"/>
    <w:rsid w:val="70E6EDEF"/>
    <w:rsid w:val="70E89A15"/>
    <w:rsid w:val="70E953F9"/>
    <w:rsid w:val="70E9AF8D"/>
    <w:rsid w:val="70EB944B"/>
    <w:rsid w:val="70EC3BA0"/>
    <w:rsid w:val="70EE7CC1"/>
    <w:rsid w:val="70F23C0C"/>
    <w:rsid w:val="70F35D0B"/>
    <w:rsid w:val="70F3F1DF"/>
    <w:rsid w:val="70F51A25"/>
    <w:rsid w:val="70F7415A"/>
    <w:rsid w:val="70F7A26A"/>
    <w:rsid w:val="70FB20E8"/>
    <w:rsid w:val="7101ADEE"/>
    <w:rsid w:val="7102914C"/>
    <w:rsid w:val="710B1508"/>
    <w:rsid w:val="710B69D0"/>
    <w:rsid w:val="710CF9A3"/>
    <w:rsid w:val="710E6587"/>
    <w:rsid w:val="7115F4CB"/>
    <w:rsid w:val="711CE67C"/>
    <w:rsid w:val="711ED9AA"/>
    <w:rsid w:val="71221528"/>
    <w:rsid w:val="7125304E"/>
    <w:rsid w:val="7125F9B1"/>
    <w:rsid w:val="7127EDB0"/>
    <w:rsid w:val="71290495"/>
    <w:rsid w:val="712DD4E3"/>
    <w:rsid w:val="712EBBF0"/>
    <w:rsid w:val="71300721"/>
    <w:rsid w:val="713198AE"/>
    <w:rsid w:val="71320586"/>
    <w:rsid w:val="713212BF"/>
    <w:rsid w:val="7134BD68"/>
    <w:rsid w:val="7135B22A"/>
    <w:rsid w:val="7138054C"/>
    <w:rsid w:val="713854F1"/>
    <w:rsid w:val="713D5F3D"/>
    <w:rsid w:val="713E2E5F"/>
    <w:rsid w:val="713E45A0"/>
    <w:rsid w:val="71431F8F"/>
    <w:rsid w:val="7146773A"/>
    <w:rsid w:val="71477FF5"/>
    <w:rsid w:val="714F8A1E"/>
    <w:rsid w:val="71505F36"/>
    <w:rsid w:val="715131C6"/>
    <w:rsid w:val="71587FA0"/>
    <w:rsid w:val="715C1796"/>
    <w:rsid w:val="71611186"/>
    <w:rsid w:val="71627E3C"/>
    <w:rsid w:val="7164B0CC"/>
    <w:rsid w:val="71690072"/>
    <w:rsid w:val="716AD68A"/>
    <w:rsid w:val="716CE656"/>
    <w:rsid w:val="716CEE7D"/>
    <w:rsid w:val="716F78AA"/>
    <w:rsid w:val="7172F197"/>
    <w:rsid w:val="7176A43A"/>
    <w:rsid w:val="717D7AAA"/>
    <w:rsid w:val="7182728F"/>
    <w:rsid w:val="718B3514"/>
    <w:rsid w:val="718E1635"/>
    <w:rsid w:val="718ED2A7"/>
    <w:rsid w:val="71942D77"/>
    <w:rsid w:val="7196C3D3"/>
    <w:rsid w:val="71972AA9"/>
    <w:rsid w:val="719D7DC8"/>
    <w:rsid w:val="719F4430"/>
    <w:rsid w:val="71A74373"/>
    <w:rsid w:val="71AAFBFD"/>
    <w:rsid w:val="71ADEC13"/>
    <w:rsid w:val="71B3FEA3"/>
    <w:rsid w:val="71B43983"/>
    <w:rsid w:val="71BAE331"/>
    <w:rsid w:val="71BB674F"/>
    <w:rsid w:val="71C05940"/>
    <w:rsid w:val="71C10B2C"/>
    <w:rsid w:val="71C17CD3"/>
    <w:rsid w:val="71C33B7D"/>
    <w:rsid w:val="71C393C0"/>
    <w:rsid w:val="71C3A381"/>
    <w:rsid w:val="71C4777D"/>
    <w:rsid w:val="71C90038"/>
    <w:rsid w:val="71CFD834"/>
    <w:rsid w:val="71D753AE"/>
    <w:rsid w:val="71D8951B"/>
    <w:rsid w:val="71D90F72"/>
    <w:rsid w:val="71DEC3C1"/>
    <w:rsid w:val="71DF3B38"/>
    <w:rsid w:val="71DFB5E9"/>
    <w:rsid w:val="71E1728E"/>
    <w:rsid w:val="71E68F61"/>
    <w:rsid w:val="71E9067F"/>
    <w:rsid w:val="71F03C30"/>
    <w:rsid w:val="71F8FA4C"/>
    <w:rsid w:val="71FB9BCB"/>
    <w:rsid w:val="71FDACE0"/>
    <w:rsid w:val="71FF4A45"/>
    <w:rsid w:val="72010F75"/>
    <w:rsid w:val="7208B9D1"/>
    <w:rsid w:val="720A60F9"/>
    <w:rsid w:val="720A9D9E"/>
    <w:rsid w:val="720B1A87"/>
    <w:rsid w:val="72129CFE"/>
    <w:rsid w:val="72248A85"/>
    <w:rsid w:val="7225351A"/>
    <w:rsid w:val="722FB4AF"/>
    <w:rsid w:val="72336E5B"/>
    <w:rsid w:val="72377408"/>
    <w:rsid w:val="72379BAA"/>
    <w:rsid w:val="723858BF"/>
    <w:rsid w:val="723AA4AA"/>
    <w:rsid w:val="723C2981"/>
    <w:rsid w:val="723C4728"/>
    <w:rsid w:val="72402012"/>
    <w:rsid w:val="724286E8"/>
    <w:rsid w:val="7246D86B"/>
    <w:rsid w:val="7249D59D"/>
    <w:rsid w:val="724A3D50"/>
    <w:rsid w:val="724BD470"/>
    <w:rsid w:val="72502CDA"/>
    <w:rsid w:val="7251C885"/>
    <w:rsid w:val="72540D17"/>
    <w:rsid w:val="725451A0"/>
    <w:rsid w:val="72567AC0"/>
    <w:rsid w:val="7261AC69"/>
    <w:rsid w:val="726784C9"/>
    <w:rsid w:val="72700F43"/>
    <w:rsid w:val="7273631E"/>
    <w:rsid w:val="727A1522"/>
    <w:rsid w:val="727A2637"/>
    <w:rsid w:val="727C1885"/>
    <w:rsid w:val="727C6E96"/>
    <w:rsid w:val="727D52CB"/>
    <w:rsid w:val="727ED893"/>
    <w:rsid w:val="727F4AFA"/>
    <w:rsid w:val="72821E9F"/>
    <w:rsid w:val="72850887"/>
    <w:rsid w:val="728A1682"/>
    <w:rsid w:val="728C3E9A"/>
    <w:rsid w:val="728D1EEA"/>
    <w:rsid w:val="728DCD30"/>
    <w:rsid w:val="72947C3C"/>
    <w:rsid w:val="729DBEC8"/>
    <w:rsid w:val="72A4366A"/>
    <w:rsid w:val="72A67D50"/>
    <w:rsid w:val="72A6D85B"/>
    <w:rsid w:val="72A87171"/>
    <w:rsid w:val="72B1641C"/>
    <w:rsid w:val="72B18D2A"/>
    <w:rsid w:val="72B5B8DE"/>
    <w:rsid w:val="72B91649"/>
    <w:rsid w:val="72BA7834"/>
    <w:rsid w:val="72BB735B"/>
    <w:rsid w:val="72BBB40C"/>
    <w:rsid w:val="72C0385F"/>
    <w:rsid w:val="72C44DC0"/>
    <w:rsid w:val="72C7C57A"/>
    <w:rsid w:val="72C90D64"/>
    <w:rsid w:val="72CFC1D5"/>
    <w:rsid w:val="72D478C9"/>
    <w:rsid w:val="72D4BC72"/>
    <w:rsid w:val="72DDEFBF"/>
    <w:rsid w:val="72E54382"/>
    <w:rsid w:val="72E6416C"/>
    <w:rsid w:val="72EA3E34"/>
    <w:rsid w:val="72EC2047"/>
    <w:rsid w:val="72ED1489"/>
    <w:rsid w:val="72F3A5D9"/>
    <w:rsid w:val="72F8AAE0"/>
    <w:rsid w:val="72F8DB23"/>
    <w:rsid w:val="72FB9492"/>
    <w:rsid w:val="72FF7442"/>
    <w:rsid w:val="73004862"/>
    <w:rsid w:val="7302A6CA"/>
    <w:rsid w:val="730505F1"/>
    <w:rsid w:val="730A62C8"/>
    <w:rsid w:val="730DA561"/>
    <w:rsid w:val="730F8EB9"/>
    <w:rsid w:val="73154F9B"/>
    <w:rsid w:val="73169470"/>
    <w:rsid w:val="731778B8"/>
    <w:rsid w:val="731B4745"/>
    <w:rsid w:val="731BED4F"/>
    <w:rsid w:val="731C2470"/>
    <w:rsid w:val="731D3449"/>
    <w:rsid w:val="731FC5BC"/>
    <w:rsid w:val="73235DE3"/>
    <w:rsid w:val="7324C8D6"/>
    <w:rsid w:val="732A32EA"/>
    <w:rsid w:val="732F9219"/>
    <w:rsid w:val="7330629C"/>
    <w:rsid w:val="73314175"/>
    <w:rsid w:val="73328926"/>
    <w:rsid w:val="7337FDAA"/>
    <w:rsid w:val="733ED94A"/>
    <w:rsid w:val="733F303F"/>
    <w:rsid w:val="73441851"/>
    <w:rsid w:val="734455EF"/>
    <w:rsid w:val="734665B3"/>
    <w:rsid w:val="73469866"/>
    <w:rsid w:val="7348C690"/>
    <w:rsid w:val="73490A46"/>
    <w:rsid w:val="73495E63"/>
    <w:rsid w:val="7349BA29"/>
    <w:rsid w:val="734C2595"/>
    <w:rsid w:val="734E5D1D"/>
    <w:rsid w:val="734FCBE9"/>
    <w:rsid w:val="7350D1D5"/>
    <w:rsid w:val="735161A2"/>
    <w:rsid w:val="735262A5"/>
    <w:rsid w:val="73539AA7"/>
    <w:rsid w:val="73580ADD"/>
    <w:rsid w:val="7358A534"/>
    <w:rsid w:val="735ED924"/>
    <w:rsid w:val="73655900"/>
    <w:rsid w:val="73660FE9"/>
    <w:rsid w:val="73662154"/>
    <w:rsid w:val="73677DF1"/>
    <w:rsid w:val="736B6F9A"/>
    <w:rsid w:val="736CE6F1"/>
    <w:rsid w:val="73707556"/>
    <w:rsid w:val="7371E4A5"/>
    <w:rsid w:val="73723DD0"/>
    <w:rsid w:val="73727B84"/>
    <w:rsid w:val="7374522D"/>
    <w:rsid w:val="737BDD88"/>
    <w:rsid w:val="737C3F5B"/>
    <w:rsid w:val="73867A16"/>
    <w:rsid w:val="73871DA6"/>
    <w:rsid w:val="738A30F7"/>
    <w:rsid w:val="738FF87F"/>
    <w:rsid w:val="7393DA28"/>
    <w:rsid w:val="73955BA7"/>
    <w:rsid w:val="7397BDB6"/>
    <w:rsid w:val="739CC0E7"/>
    <w:rsid w:val="73A34A92"/>
    <w:rsid w:val="73A35C50"/>
    <w:rsid w:val="73A4E2E8"/>
    <w:rsid w:val="73A74DF5"/>
    <w:rsid w:val="73A74EDB"/>
    <w:rsid w:val="73AAD276"/>
    <w:rsid w:val="73ACD398"/>
    <w:rsid w:val="73B0B39E"/>
    <w:rsid w:val="73B644A1"/>
    <w:rsid w:val="73BACE5A"/>
    <w:rsid w:val="73BD7FD0"/>
    <w:rsid w:val="73BEA838"/>
    <w:rsid w:val="73BF852D"/>
    <w:rsid w:val="73BFDE16"/>
    <w:rsid w:val="73C16605"/>
    <w:rsid w:val="73C2AF27"/>
    <w:rsid w:val="73C461DB"/>
    <w:rsid w:val="73C5C0E2"/>
    <w:rsid w:val="73CCEEFA"/>
    <w:rsid w:val="73CEE70C"/>
    <w:rsid w:val="73D31D86"/>
    <w:rsid w:val="73D4CB34"/>
    <w:rsid w:val="73D631B3"/>
    <w:rsid w:val="73D74B08"/>
    <w:rsid w:val="73D81789"/>
    <w:rsid w:val="73D9FF55"/>
    <w:rsid w:val="73DAE910"/>
    <w:rsid w:val="73DC9D66"/>
    <w:rsid w:val="73ED3CBA"/>
    <w:rsid w:val="73F20E35"/>
    <w:rsid w:val="73F23848"/>
    <w:rsid w:val="73F53EAD"/>
    <w:rsid w:val="73FFA2CB"/>
    <w:rsid w:val="74006035"/>
    <w:rsid w:val="7401A27A"/>
    <w:rsid w:val="74052BEC"/>
    <w:rsid w:val="74062C3E"/>
    <w:rsid w:val="74065201"/>
    <w:rsid w:val="740841E2"/>
    <w:rsid w:val="740CD294"/>
    <w:rsid w:val="740DE863"/>
    <w:rsid w:val="740E1237"/>
    <w:rsid w:val="740FCD1E"/>
    <w:rsid w:val="74164B0A"/>
    <w:rsid w:val="7416AF4F"/>
    <w:rsid w:val="741923B7"/>
    <w:rsid w:val="741BCD6C"/>
    <w:rsid w:val="741D4CDA"/>
    <w:rsid w:val="7420121B"/>
    <w:rsid w:val="74207438"/>
    <w:rsid w:val="7427F706"/>
    <w:rsid w:val="74324EC8"/>
    <w:rsid w:val="74339663"/>
    <w:rsid w:val="74372E19"/>
    <w:rsid w:val="74381C96"/>
    <w:rsid w:val="743A628C"/>
    <w:rsid w:val="743DEB8D"/>
    <w:rsid w:val="743E3222"/>
    <w:rsid w:val="7443AD48"/>
    <w:rsid w:val="744527FA"/>
    <w:rsid w:val="744E66E8"/>
    <w:rsid w:val="74556843"/>
    <w:rsid w:val="745997BC"/>
    <w:rsid w:val="745A9EE1"/>
    <w:rsid w:val="745AC3EE"/>
    <w:rsid w:val="74606F20"/>
    <w:rsid w:val="746393D6"/>
    <w:rsid w:val="7464E4EE"/>
    <w:rsid w:val="74656D37"/>
    <w:rsid w:val="746630D2"/>
    <w:rsid w:val="74691E66"/>
    <w:rsid w:val="74748DA0"/>
    <w:rsid w:val="747686A5"/>
    <w:rsid w:val="747F1D94"/>
    <w:rsid w:val="747F226A"/>
    <w:rsid w:val="747FC1E8"/>
    <w:rsid w:val="7481F3E2"/>
    <w:rsid w:val="7482399B"/>
    <w:rsid w:val="748B24A9"/>
    <w:rsid w:val="748C6136"/>
    <w:rsid w:val="74912ABB"/>
    <w:rsid w:val="7491BFAB"/>
    <w:rsid w:val="74966161"/>
    <w:rsid w:val="74998B73"/>
    <w:rsid w:val="7499C5F8"/>
    <w:rsid w:val="749CC82D"/>
    <w:rsid w:val="749D2FD1"/>
    <w:rsid w:val="74A3D2B4"/>
    <w:rsid w:val="74A9496C"/>
    <w:rsid w:val="74AC94D8"/>
    <w:rsid w:val="74AD370B"/>
    <w:rsid w:val="74AD5417"/>
    <w:rsid w:val="74BB218D"/>
    <w:rsid w:val="74BBC2F2"/>
    <w:rsid w:val="74BBD6FF"/>
    <w:rsid w:val="74BDE8A8"/>
    <w:rsid w:val="74BFF702"/>
    <w:rsid w:val="74C33ED4"/>
    <w:rsid w:val="74C4E8B7"/>
    <w:rsid w:val="74CA780E"/>
    <w:rsid w:val="74CB61FA"/>
    <w:rsid w:val="74CE54A4"/>
    <w:rsid w:val="74CFDC47"/>
    <w:rsid w:val="74DA4083"/>
    <w:rsid w:val="74DA6F56"/>
    <w:rsid w:val="74DC15D8"/>
    <w:rsid w:val="74DD7315"/>
    <w:rsid w:val="74DDE6A0"/>
    <w:rsid w:val="74E06A13"/>
    <w:rsid w:val="74E3D22E"/>
    <w:rsid w:val="74E56B8D"/>
    <w:rsid w:val="74E8120F"/>
    <w:rsid w:val="74EC432C"/>
    <w:rsid w:val="74ED9427"/>
    <w:rsid w:val="74EE9F41"/>
    <w:rsid w:val="74F0C74A"/>
    <w:rsid w:val="74F283F3"/>
    <w:rsid w:val="74F98549"/>
    <w:rsid w:val="74F9DDC6"/>
    <w:rsid w:val="74FB4433"/>
    <w:rsid w:val="74FFEC4A"/>
    <w:rsid w:val="7501DD84"/>
    <w:rsid w:val="75078946"/>
    <w:rsid w:val="750D3AB9"/>
    <w:rsid w:val="750F1197"/>
    <w:rsid w:val="750FA2E1"/>
    <w:rsid w:val="7514E829"/>
    <w:rsid w:val="7517614F"/>
    <w:rsid w:val="75176988"/>
    <w:rsid w:val="75180EBB"/>
    <w:rsid w:val="751A7A94"/>
    <w:rsid w:val="751B95EF"/>
    <w:rsid w:val="75202575"/>
    <w:rsid w:val="75227FD3"/>
    <w:rsid w:val="7523C905"/>
    <w:rsid w:val="75269735"/>
    <w:rsid w:val="752956FD"/>
    <w:rsid w:val="752B0746"/>
    <w:rsid w:val="752C5A55"/>
    <w:rsid w:val="7530547E"/>
    <w:rsid w:val="75350190"/>
    <w:rsid w:val="7537847E"/>
    <w:rsid w:val="75379F02"/>
    <w:rsid w:val="753C23F8"/>
    <w:rsid w:val="753C86E1"/>
    <w:rsid w:val="75401B89"/>
    <w:rsid w:val="7543EFB4"/>
    <w:rsid w:val="754F606E"/>
    <w:rsid w:val="75512EE5"/>
    <w:rsid w:val="75541F08"/>
    <w:rsid w:val="7557BB95"/>
    <w:rsid w:val="7558BA57"/>
    <w:rsid w:val="755AE3EB"/>
    <w:rsid w:val="7561B6BE"/>
    <w:rsid w:val="7564C195"/>
    <w:rsid w:val="7565065A"/>
    <w:rsid w:val="7565599A"/>
    <w:rsid w:val="7568606F"/>
    <w:rsid w:val="756B3D5F"/>
    <w:rsid w:val="756CB123"/>
    <w:rsid w:val="756EEDE7"/>
    <w:rsid w:val="757A6A0F"/>
    <w:rsid w:val="757B99B0"/>
    <w:rsid w:val="75831E3B"/>
    <w:rsid w:val="758953E6"/>
    <w:rsid w:val="758B9E85"/>
    <w:rsid w:val="758CAC56"/>
    <w:rsid w:val="758CC21C"/>
    <w:rsid w:val="758D0E1E"/>
    <w:rsid w:val="758EFE38"/>
    <w:rsid w:val="758F74AE"/>
    <w:rsid w:val="75903827"/>
    <w:rsid w:val="759091DE"/>
    <w:rsid w:val="759173B5"/>
    <w:rsid w:val="7597C401"/>
    <w:rsid w:val="759A457E"/>
    <w:rsid w:val="759B27D4"/>
    <w:rsid w:val="759E16FD"/>
    <w:rsid w:val="759E8021"/>
    <w:rsid w:val="75A3A3C3"/>
    <w:rsid w:val="75A718EB"/>
    <w:rsid w:val="75A89DB4"/>
    <w:rsid w:val="75A8E9D3"/>
    <w:rsid w:val="75B1C818"/>
    <w:rsid w:val="75B657BA"/>
    <w:rsid w:val="75B8D3F2"/>
    <w:rsid w:val="75B9194A"/>
    <w:rsid w:val="75B92412"/>
    <w:rsid w:val="75C47ACA"/>
    <w:rsid w:val="75CA955A"/>
    <w:rsid w:val="75D2EFAE"/>
    <w:rsid w:val="75D66F2E"/>
    <w:rsid w:val="75DDC2E0"/>
    <w:rsid w:val="75DE2EAA"/>
    <w:rsid w:val="75DF8811"/>
    <w:rsid w:val="75E06021"/>
    <w:rsid w:val="75E1E9F4"/>
    <w:rsid w:val="75E48032"/>
    <w:rsid w:val="75EBE3E1"/>
    <w:rsid w:val="75EEE300"/>
    <w:rsid w:val="75F015C7"/>
    <w:rsid w:val="75F30FC2"/>
    <w:rsid w:val="75F45DCC"/>
    <w:rsid w:val="75F625F9"/>
    <w:rsid w:val="75F6C641"/>
    <w:rsid w:val="75FF268D"/>
    <w:rsid w:val="76036F4F"/>
    <w:rsid w:val="7607D3A6"/>
    <w:rsid w:val="76088298"/>
    <w:rsid w:val="7609F0C7"/>
    <w:rsid w:val="760C9A4D"/>
    <w:rsid w:val="7615005E"/>
    <w:rsid w:val="7615BC52"/>
    <w:rsid w:val="76160DAC"/>
    <w:rsid w:val="7617EC45"/>
    <w:rsid w:val="76184DBD"/>
    <w:rsid w:val="76192154"/>
    <w:rsid w:val="761B9167"/>
    <w:rsid w:val="76210E56"/>
    <w:rsid w:val="762B6516"/>
    <w:rsid w:val="763033B1"/>
    <w:rsid w:val="763424E8"/>
    <w:rsid w:val="7634717D"/>
    <w:rsid w:val="7635450C"/>
    <w:rsid w:val="763B6272"/>
    <w:rsid w:val="763F052A"/>
    <w:rsid w:val="7641A625"/>
    <w:rsid w:val="76430EF3"/>
    <w:rsid w:val="76454E1A"/>
    <w:rsid w:val="764A50BD"/>
    <w:rsid w:val="764EB3EC"/>
    <w:rsid w:val="764EB6DD"/>
    <w:rsid w:val="76506F92"/>
    <w:rsid w:val="76565912"/>
    <w:rsid w:val="7656E81C"/>
    <w:rsid w:val="7658948B"/>
    <w:rsid w:val="765CECB8"/>
    <w:rsid w:val="765F11FD"/>
    <w:rsid w:val="765F3CD8"/>
    <w:rsid w:val="76627B07"/>
    <w:rsid w:val="766737B9"/>
    <w:rsid w:val="766954CE"/>
    <w:rsid w:val="766D6984"/>
    <w:rsid w:val="7671AEE8"/>
    <w:rsid w:val="767428D7"/>
    <w:rsid w:val="7676A578"/>
    <w:rsid w:val="767856F6"/>
    <w:rsid w:val="767F3174"/>
    <w:rsid w:val="7689AABB"/>
    <w:rsid w:val="7690591B"/>
    <w:rsid w:val="769659F1"/>
    <w:rsid w:val="769A6225"/>
    <w:rsid w:val="769C660E"/>
    <w:rsid w:val="769F02F8"/>
    <w:rsid w:val="76A0DD09"/>
    <w:rsid w:val="76A3F335"/>
    <w:rsid w:val="76A6B098"/>
    <w:rsid w:val="76A78B9C"/>
    <w:rsid w:val="76A96930"/>
    <w:rsid w:val="76AD569F"/>
    <w:rsid w:val="76B2BD73"/>
    <w:rsid w:val="76B57A46"/>
    <w:rsid w:val="76B6BFBB"/>
    <w:rsid w:val="76B783F9"/>
    <w:rsid w:val="76B7A174"/>
    <w:rsid w:val="76BE4772"/>
    <w:rsid w:val="76C31F10"/>
    <w:rsid w:val="76CC0866"/>
    <w:rsid w:val="76CD02D7"/>
    <w:rsid w:val="76D0806C"/>
    <w:rsid w:val="76D12C21"/>
    <w:rsid w:val="76D2BF45"/>
    <w:rsid w:val="76D97813"/>
    <w:rsid w:val="76D9C097"/>
    <w:rsid w:val="76DA19E8"/>
    <w:rsid w:val="76DC024A"/>
    <w:rsid w:val="76DF80A9"/>
    <w:rsid w:val="76E0F7B9"/>
    <w:rsid w:val="76E25196"/>
    <w:rsid w:val="76E6E6A3"/>
    <w:rsid w:val="76E9954A"/>
    <w:rsid w:val="76EA46CD"/>
    <w:rsid w:val="76EA90E2"/>
    <w:rsid w:val="76F0B734"/>
    <w:rsid w:val="76F142F6"/>
    <w:rsid w:val="76F1CF7A"/>
    <w:rsid w:val="76F574BD"/>
    <w:rsid w:val="76F5C756"/>
    <w:rsid w:val="76F85C16"/>
    <w:rsid w:val="76FA8892"/>
    <w:rsid w:val="76FB9BC8"/>
    <w:rsid w:val="76FC12BA"/>
    <w:rsid w:val="76FC18C7"/>
    <w:rsid w:val="7700F854"/>
    <w:rsid w:val="77048A0F"/>
    <w:rsid w:val="77048AA5"/>
    <w:rsid w:val="7709C4FB"/>
    <w:rsid w:val="770E3ECD"/>
    <w:rsid w:val="771411FB"/>
    <w:rsid w:val="7717A5D1"/>
    <w:rsid w:val="77184897"/>
    <w:rsid w:val="771877BC"/>
    <w:rsid w:val="771BE489"/>
    <w:rsid w:val="7723EAA8"/>
    <w:rsid w:val="7729BDF3"/>
    <w:rsid w:val="772CB728"/>
    <w:rsid w:val="772FC934"/>
    <w:rsid w:val="77307C10"/>
    <w:rsid w:val="7730D031"/>
    <w:rsid w:val="7730FA78"/>
    <w:rsid w:val="7730FCE6"/>
    <w:rsid w:val="7733ED3C"/>
    <w:rsid w:val="77349621"/>
    <w:rsid w:val="77353265"/>
    <w:rsid w:val="773A8DA5"/>
    <w:rsid w:val="773AFD6A"/>
    <w:rsid w:val="773B3627"/>
    <w:rsid w:val="7744FC4F"/>
    <w:rsid w:val="7745E1C1"/>
    <w:rsid w:val="774A3478"/>
    <w:rsid w:val="7753D1CF"/>
    <w:rsid w:val="77561155"/>
    <w:rsid w:val="7759AF97"/>
    <w:rsid w:val="775A900D"/>
    <w:rsid w:val="775FEDA6"/>
    <w:rsid w:val="77662803"/>
    <w:rsid w:val="77666BE5"/>
    <w:rsid w:val="7767E57C"/>
    <w:rsid w:val="77685C9A"/>
    <w:rsid w:val="7769B789"/>
    <w:rsid w:val="77712FEB"/>
    <w:rsid w:val="77758C07"/>
    <w:rsid w:val="7775C855"/>
    <w:rsid w:val="77781DA9"/>
    <w:rsid w:val="777DCEA8"/>
    <w:rsid w:val="778014E6"/>
    <w:rsid w:val="778197E9"/>
    <w:rsid w:val="778640F5"/>
    <w:rsid w:val="778BE628"/>
    <w:rsid w:val="7791D2D1"/>
    <w:rsid w:val="779708E2"/>
    <w:rsid w:val="77974716"/>
    <w:rsid w:val="7798F87E"/>
    <w:rsid w:val="779984DA"/>
    <w:rsid w:val="779E9714"/>
    <w:rsid w:val="77A02097"/>
    <w:rsid w:val="77A036C1"/>
    <w:rsid w:val="77A08AFD"/>
    <w:rsid w:val="77A09972"/>
    <w:rsid w:val="77A18CEF"/>
    <w:rsid w:val="77A4CE65"/>
    <w:rsid w:val="77A5DB2E"/>
    <w:rsid w:val="77A7516A"/>
    <w:rsid w:val="77A83D75"/>
    <w:rsid w:val="77A99525"/>
    <w:rsid w:val="77AF3077"/>
    <w:rsid w:val="77B0978B"/>
    <w:rsid w:val="77B12551"/>
    <w:rsid w:val="77B19FF0"/>
    <w:rsid w:val="77B31ACD"/>
    <w:rsid w:val="77B72F0B"/>
    <w:rsid w:val="77BA9274"/>
    <w:rsid w:val="77BFBCA4"/>
    <w:rsid w:val="77BFE04E"/>
    <w:rsid w:val="77C2855B"/>
    <w:rsid w:val="77C3723F"/>
    <w:rsid w:val="77CB5461"/>
    <w:rsid w:val="77D1092A"/>
    <w:rsid w:val="77D34CCC"/>
    <w:rsid w:val="77D8F5B5"/>
    <w:rsid w:val="77DCB47C"/>
    <w:rsid w:val="77E16681"/>
    <w:rsid w:val="77EC92E7"/>
    <w:rsid w:val="77F06067"/>
    <w:rsid w:val="77F0F630"/>
    <w:rsid w:val="77FD343C"/>
    <w:rsid w:val="77FDD241"/>
    <w:rsid w:val="7800C75E"/>
    <w:rsid w:val="78012610"/>
    <w:rsid w:val="780539F1"/>
    <w:rsid w:val="780675D2"/>
    <w:rsid w:val="7807D05B"/>
    <w:rsid w:val="78083F68"/>
    <w:rsid w:val="780CD53F"/>
    <w:rsid w:val="780F1AC3"/>
    <w:rsid w:val="781293CC"/>
    <w:rsid w:val="7812A0A7"/>
    <w:rsid w:val="7814E043"/>
    <w:rsid w:val="7817E766"/>
    <w:rsid w:val="781A93C5"/>
    <w:rsid w:val="781B8951"/>
    <w:rsid w:val="781D2D65"/>
    <w:rsid w:val="781E1ED6"/>
    <w:rsid w:val="7822F251"/>
    <w:rsid w:val="78242AF6"/>
    <w:rsid w:val="78245E0E"/>
    <w:rsid w:val="7824E469"/>
    <w:rsid w:val="78257B1C"/>
    <w:rsid w:val="78296563"/>
    <w:rsid w:val="782AA27A"/>
    <w:rsid w:val="782C8021"/>
    <w:rsid w:val="78359B69"/>
    <w:rsid w:val="7837AC63"/>
    <w:rsid w:val="783992C7"/>
    <w:rsid w:val="7839F48E"/>
    <w:rsid w:val="783A923D"/>
    <w:rsid w:val="783DF8F0"/>
    <w:rsid w:val="78414ACA"/>
    <w:rsid w:val="78441200"/>
    <w:rsid w:val="7844FD7F"/>
    <w:rsid w:val="7846D5BE"/>
    <w:rsid w:val="7847C69B"/>
    <w:rsid w:val="78480ACF"/>
    <w:rsid w:val="784B40D2"/>
    <w:rsid w:val="78532870"/>
    <w:rsid w:val="7853D9BF"/>
    <w:rsid w:val="78548946"/>
    <w:rsid w:val="7855B39B"/>
    <w:rsid w:val="7856FA4F"/>
    <w:rsid w:val="785755E5"/>
    <w:rsid w:val="785A1C81"/>
    <w:rsid w:val="785CDDE0"/>
    <w:rsid w:val="785ED670"/>
    <w:rsid w:val="785F3943"/>
    <w:rsid w:val="78601559"/>
    <w:rsid w:val="78601F3F"/>
    <w:rsid w:val="7860A043"/>
    <w:rsid w:val="78622A1D"/>
    <w:rsid w:val="78654823"/>
    <w:rsid w:val="78669FBB"/>
    <w:rsid w:val="7866A19D"/>
    <w:rsid w:val="7867874D"/>
    <w:rsid w:val="786A82F3"/>
    <w:rsid w:val="786D1254"/>
    <w:rsid w:val="787033B6"/>
    <w:rsid w:val="78729822"/>
    <w:rsid w:val="7873F852"/>
    <w:rsid w:val="787420C3"/>
    <w:rsid w:val="787951BB"/>
    <w:rsid w:val="787B1862"/>
    <w:rsid w:val="787C6843"/>
    <w:rsid w:val="787E18B3"/>
    <w:rsid w:val="787E1EBB"/>
    <w:rsid w:val="787FEB86"/>
    <w:rsid w:val="788119AD"/>
    <w:rsid w:val="7881ACEC"/>
    <w:rsid w:val="78828159"/>
    <w:rsid w:val="7886BF6A"/>
    <w:rsid w:val="78870D05"/>
    <w:rsid w:val="788A9BAE"/>
    <w:rsid w:val="788CE194"/>
    <w:rsid w:val="7890FF1C"/>
    <w:rsid w:val="78964E48"/>
    <w:rsid w:val="7897007B"/>
    <w:rsid w:val="78982D74"/>
    <w:rsid w:val="789AD29B"/>
    <w:rsid w:val="789B1519"/>
    <w:rsid w:val="789B67EF"/>
    <w:rsid w:val="78A092F1"/>
    <w:rsid w:val="78A9163F"/>
    <w:rsid w:val="78ADE45E"/>
    <w:rsid w:val="78B053C1"/>
    <w:rsid w:val="78B2C8FF"/>
    <w:rsid w:val="78B2FBD0"/>
    <w:rsid w:val="78B4AACF"/>
    <w:rsid w:val="78B4B3A5"/>
    <w:rsid w:val="78B4D313"/>
    <w:rsid w:val="78B97C5E"/>
    <w:rsid w:val="78B9C4A8"/>
    <w:rsid w:val="78BB6115"/>
    <w:rsid w:val="78BCD38B"/>
    <w:rsid w:val="78BD537C"/>
    <w:rsid w:val="78C78864"/>
    <w:rsid w:val="78C80195"/>
    <w:rsid w:val="78CE96A4"/>
    <w:rsid w:val="78CEB34B"/>
    <w:rsid w:val="78CF16F5"/>
    <w:rsid w:val="78D09785"/>
    <w:rsid w:val="78D8F30E"/>
    <w:rsid w:val="78D908E9"/>
    <w:rsid w:val="78DC780B"/>
    <w:rsid w:val="78DDF666"/>
    <w:rsid w:val="78DEF13C"/>
    <w:rsid w:val="78E32F32"/>
    <w:rsid w:val="78E6EE7A"/>
    <w:rsid w:val="78F3D9AD"/>
    <w:rsid w:val="78F56A24"/>
    <w:rsid w:val="78F852B5"/>
    <w:rsid w:val="7902AAF4"/>
    <w:rsid w:val="790576FC"/>
    <w:rsid w:val="79064D6E"/>
    <w:rsid w:val="790AB104"/>
    <w:rsid w:val="790ABE9D"/>
    <w:rsid w:val="790B30CE"/>
    <w:rsid w:val="7918C0DF"/>
    <w:rsid w:val="7919393E"/>
    <w:rsid w:val="791C21E7"/>
    <w:rsid w:val="791F898C"/>
    <w:rsid w:val="7920D547"/>
    <w:rsid w:val="792898D5"/>
    <w:rsid w:val="7929EED4"/>
    <w:rsid w:val="792A6BC1"/>
    <w:rsid w:val="792A6F31"/>
    <w:rsid w:val="792B54A4"/>
    <w:rsid w:val="792EF051"/>
    <w:rsid w:val="7930362A"/>
    <w:rsid w:val="7933CE55"/>
    <w:rsid w:val="79345E5B"/>
    <w:rsid w:val="793719FE"/>
    <w:rsid w:val="79390F7A"/>
    <w:rsid w:val="793E1CE6"/>
    <w:rsid w:val="793EA0A4"/>
    <w:rsid w:val="79401F12"/>
    <w:rsid w:val="7940BA60"/>
    <w:rsid w:val="794133E3"/>
    <w:rsid w:val="79414C51"/>
    <w:rsid w:val="7943BAD6"/>
    <w:rsid w:val="7944A1C2"/>
    <w:rsid w:val="79488643"/>
    <w:rsid w:val="794927D2"/>
    <w:rsid w:val="794AF4E3"/>
    <w:rsid w:val="795025EF"/>
    <w:rsid w:val="79503007"/>
    <w:rsid w:val="7952A973"/>
    <w:rsid w:val="79530FB0"/>
    <w:rsid w:val="79590BA5"/>
    <w:rsid w:val="79614EC6"/>
    <w:rsid w:val="7963FEF7"/>
    <w:rsid w:val="79662DE5"/>
    <w:rsid w:val="796C49E2"/>
    <w:rsid w:val="796C9C15"/>
    <w:rsid w:val="796D2E9F"/>
    <w:rsid w:val="7974DE98"/>
    <w:rsid w:val="7976FEA4"/>
    <w:rsid w:val="797BAFB4"/>
    <w:rsid w:val="797C981F"/>
    <w:rsid w:val="797F7951"/>
    <w:rsid w:val="79836F62"/>
    <w:rsid w:val="7989827C"/>
    <w:rsid w:val="798B4A87"/>
    <w:rsid w:val="798CFD38"/>
    <w:rsid w:val="798E21F0"/>
    <w:rsid w:val="798F1E83"/>
    <w:rsid w:val="798F60BD"/>
    <w:rsid w:val="7990EA68"/>
    <w:rsid w:val="799159CB"/>
    <w:rsid w:val="79917719"/>
    <w:rsid w:val="79938B0F"/>
    <w:rsid w:val="799AC3A7"/>
    <w:rsid w:val="799E0F12"/>
    <w:rsid w:val="799F1309"/>
    <w:rsid w:val="79A17AC5"/>
    <w:rsid w:val="79A3578E"/>
    <w:rsid w:val="79A6129F"/>
    <w:rsid w:val="79A7F835"/>
    <w:rsid w:val="79AC1040"/>
    <w:rsid w:val="79AEFB7F"/>
    <w:rsid w:val="79B086F4"/>
    <w:rsid w:val="79B3A232"/>
    <w:rsid w:val="79BF962D"/>
    <w:rsid w:val="79C22048"/>
    <w:rsid w:val="79C33728"/>
    <w:rsid w:val="79C52997"/>
    <w:rsid w:val="79C8C196"/>
    <w:rsid w:val="79CBEDDF"/>
    <w:rsid w:val="79D3CD2E"/>
    <w:rsid w:val="79D6BB49"/>
    <w:rsid w:val="79D720C6"/>
    <w:rsid w:val="79DE38B1"/>
    <w:rsid w:val="79E08EBA"/>
    <w:rsid w:val="79E61A60"/>
    <w:rsid w:val="79E7D2AE"/>
    <w:rsid w:val="79E94636"/>
    <w:rsid w:val="79EB0805"/>
    <w:rsid w:val="79EE6102"/>
    <w:rsid w:val="79EEDD10"/>
    <w:rsid w:val="79F76F79"/>
    <w:rsid w:val="79FBE851"/>
    <w:rsid w:val="79FC5B16"/>
    <w:rsid w:val="7A04DC35"/>
    <w:rsid w:val="7A0A5F6E"/>
    <w:rsid w:val="7A0C4C78"/>
    <w:rsid w:val="7A14CD75"/>
    <w:rsid w:val="7A155DAF"/>
    <w:rsid w:val="7A182739"/>
    <w:rsid w:val="7A197287"/>
    <w:rsid w:val="7A1A41E2"/>
    <w:rsid w:val="7A252EE4"/>
    <w:rsid w:val="7A280805"/>
    <w:rsid w:val="7A2B0B72"/>
    <w:rsid w:val="7A30D3D0"/>
    <w:rsid w:val="7A3453D7"/>
    <w:rsid w:val="7A36C1E1"/>
    <w:rsid w:val="7A37BE48"/>
    <w:rsid w:val="7A3D1B66"/>
    <w:rsid w:val="7A3D97B5"/>
    <w:rsid w:val="7A432C05"/>
    <w:rsid w:val="7A488698"/>
    <w:rsid w:val="7A48F336"/>
    <w:rsid w:val="7A498002"/>
    <w:rsid w:val="7A49E75F"/>
    <w:rsid w:val="7A4C3096"/>
    <w:rsid w:val="7A4D3199"/>
    <w:rsid w:val="7A4E52DE"/>
    <w:rsid w:val="7A5381FA"/>
    <w:rsid w:val="7A614041"/>
    <w:rsid w:val="7A640486"/>
    <w:rsid w:val="7A641871"/>
    <w:rsid w:val="7A651CA0"/>
    <w:rsid w:val="7A6A2CD6"/>
    <w:rsid w:val="7A6EC777"/>
    <w:rsid w:val="7A73AC21"/>
    <w:rsid w:val="7A7BAAF7"/>
    <w:rsid w:val="7A7BC7C6"/>
    <w:rsid w:val="7A7D00A1"/>
    <w:rsid w:val="7A7E3227"/>
    <w:rsid w:val="7A7EDF2B"/>
    <w:rsid w:val="7A7F4B4C"/>
    <w:rsid w:val="7A7F9AC8"/>
    <w:rsid w:val="7A8196EF"/>
    <w:rsid w:val="7A830CA2"/>
    <w:rsid w:val="7A853E97"/>
    <w:rsid w:val="7A8D69D3"/>
    <w:rsid w:val="7A8DB217"/>
    <w:rsid w:val="7A8DDBEF"/>
    <w:rsid w:val="7A903CAF"/>
    <w:rsid w:val="7A90721F"/>
    <w:rsid w:val="7A9330E1"/>
    <w:rsid w:val="7A946DE4"/>
    <w:rsid w:val="7A95C54B"/>
    <w:rsid w:val="7A9673F5"/>
    <w:rsid w:val="7A9A02C3"/>
    <w:rsid w:val="7A9EC907"/>
    <w:rsid w:val="7AA21286"/>
    <w:rsid w:val="7AA3757F"/>
    <w:rsid w:val="7AA9A410"/>
    <w:rsid w:val="7AADD892"/>
    <w:rsid w:val="7AAE364D"/>
    <w:rsid w:val="7AB83C89"/>
    <w:rsid w:val="7AB9A6A4"/>
    <w:rsid w:val="7ABA96E6"/>
    <w:rsid w:val="7ABC5614"/>
    <w:rsid w:val="7ABDC128"/>
    <w:rsid w:val="7AC005F3"/>
    <w:rsid w:val="7AC065A3"/>
    <w:rsid w:val="7AC1D968"/>
    <w:rsid w:val="7AC332BE"/>
    <w:rsid w:val="7AC3C2DA"/>
    <w:rsid w:val="7AC48AC5"/>
    <w:rsid w:val="7AC7E39C"/>
    <w:rsid w:val="7ACBE148"/>
    <w:rsid w:val="7ACC90DE"/>
    <w:rsid w:val="7AD156CB"/>
    <w:rsid w:val="7AD1BB47"/>
    <w:rsid w:val="7AD3DEAE"/>
    <w:rsid w:val="7AD9FD6C"/>
    <w:rsid w:val="7ADBE853"/>
    <w:rsid w:val="7ADC5EB6"/>
    <w:rsid w:val="7ADDBA59"/>
    <w:rsid w:val="7ADE746A"/>
    <w:rsid w:val="7ADF0C95"/>
    <w:rsid w:val="7AE5B5C5"/>
    <w:rsid w:val="7AEB0F2A"/>
    <w:rsid w:val="7AF78CA4"/>
    <w:rsid w:val="7AF8BE13"/>
    <w:rsid w:val="7AF8D701"/>
    <w:rsid w:val="7AFED570"/>
    <w:rsid w:val="7B02F523"/>
    <w:rsid w:val="7B07D279"/>
    <w:rsid w:val="7B08DD53"/>
    <w:rsid w:val="7B0E59B9"/>
    <w:rsid w:val="7B0F06AE"/>
    <w:rsid w:val="7B123D58"/>
    <w:rsid w:val="7B1685B9"/>
    <w:rsid w:val="7B186741"/>
    <w:rsid w:val="7B190E45"/>
    <w:rsid w:val="7B1BDC13"/>
    <w:rsid w:val="7B1C63DF"/>
    <w:rsid w:val="7B1F143F"/>
    <w:rsid w:val="7B325AEE"/>
    <w:rsid w:val="7B35B399"/>
    <w:rsid w:val="7B35D5B9"/>
    <w:rsid w:val="7B35DC2B"/>
    <w:rsid w:val="7B39C3AC"/>
    <w:rsid w:val="7B3B6BD1"/>
    <w:rsid w:val="7B3BDE4E"/>
    <w:rsid w:val="7B3D2B78"/>
    <w:rsid w:val="7B3E7025"/>
    <w:rsid w:val="7B40E43D"/>
    <w:rsid w:val="7B41E300"/>
    <w:rsid w:val="7B428179"/>
    <w:rsid w:val="7B4491A2"/>
    <w:rsid w:val="7B458530"/>
    <w:rsid w:val="7B4BD8E2"/>
    <w:rsid w:val="7B4C9A56"/>
    <w:rsid w:val="7B4DC3B9"/>
    <w:rsid w:val="7B4F3AEA"/>
    <w:rsid w:val="7B510FE3"/>
    <w:rsid w:val="7B58D538"/>
    <w:rsid w:val="7B5B4EBE"/>
    <w:rsid w:val="7B5C335D"/>
    <w:rsid w:val="7B60CC57"/>
    <w:rsid w:val="7B6407A1"/>
    <w:rsid w:val="7B6495FF"/>
    <w:rsid w:val="7B68C362"/>
    <w:rsid w:val="7B6A6EE0"/>
    <w:rsid w:val="7B6B0A2B"/>
    <w:rsid w:val="7B6BFE8F"/>
    <w:rsid w:val="7B6DA005"/>
    <w:rsid w:val="7B6F4FC6"/>
    <w:rsid w:val="7B6FB556"/>
    <w:rsid w:val="7B727CD5"/>
    <w:rsid w:val="7B73D114"/>
    <w:rsid w:val="7B785E8E"/>
    <w:rsid w:val="7B797276"/>
    <w:rsid w:val="7B7BBF4B"/>
    <w:rsid w:val="7B7CA87A"/>
    <w:rsid w:val="7B7FDF13"/>
    <w:rsid w:val="7B806982"/>
    <w:rsid w:val="7B80A484"/>
    <w:rsid w:val="7B81EEE7"/>
    <w:rsid w:val="7B843DBB"/>
    <w:rsid w:val="7B865F1E"/>
    <w:rsid w:val="7B87889B"/>
    <w:rsid w:val="7B89B7B2"/>
    <w:rsid w:val="7B929C7B"/>
    <w:rsid w:val="7B950608"/>
    <w:rsid w:val="7B95341A"/>
    <w:rsid w:val="7B967F2E"/>
    <w:rsid w:val="7B976CD3"/>
    <w:rsid w:val="7BA3AEEC"/>
    <w:rsid w:val="7BA6E010"/>
    <w:rsid w:val="7BA77E4A"/>
    <w:rsid w:val="7BAACDA5"/>
    <w:rsid w:val="7BAFA9DA"/>
    <w:rsid w:val="7BB0E206"/>
    <w:rsid w:val="7BB15CC3"/>
    <w:rsid w:val="7BB3FD59"/>
    <w:rsid w:val="7BB42B8A"/>
    <w:rsid w:val="7BB6001F"/>
    <w:rsid w:val="7BB68412"/>
    <w:rsid w:val="7BB7B0E7"/>
    <w:rsid w:val="7BBAC25A"/>
    <w:rsid w:val="7BBCCE01"/>
    <w:rsid w:val="7BC20F13"/>
    <w:rsid w:val="7BC2A38F"/>
    <w:rsid w:val="7BC6653A"/>
    <w:rsid w:val="7BC8C69A"/>
    <w:rsid w:val="7BC9440C"/>
    <w:rsid w:val="7BC94E87"/>
    <w:rsid w:val="7BCA8627"/>
    <w:rsid w:val="7BCF34EE"/>
    <w:rsid w:val="7BD332F2"/>
    <w:rsid w:val="7BD69B63"/>
    <w:rsid w:val="7BD9E032"/>
    <w:rsid w:val="7BDADA8A"/>
    <w:rsid w:val="7BE28E36"/>
    <w:rsid w:val="7BED69CA"/>
    <w:rsid w:val="7BEE7081"/>
    <w:rsid w:val="7BF155F3"/>
    <w:rsid w:val="7BF1BFCF"/>
    <w:rsid w:val="7BF2F734"/>
    <w:rsid w:val="7BF613D5"/>
    <w:rsid w:val="7BF90696"/>
    <w:rsid w:val="7BF9ACFC"/>
    <w:rsid w:val="7BFB3102"/>
    <w:rsid w:val="7BFC4939"/>
    <w:rsid w:val="7BFCC079"/>
    <w:rsid w:val="7BFEF573"/>
    <w:rsid w:val="7C01D4CC"/>
    <w:rsid w:val="7C028945"/>
    <w:rsid w:val="7C042C79"/>
    <w:rsid w:val="7C06425B"/>
    <w:rsid w:val="7C08A388"/>
    <w:rsid w:val="7C0A6237"/>
    <w:rsid w:val="7C0D2C86"/>
    <w:rsid w:val="7C12B3DB"/>
    <w:rsid w:val="7C134BE0"/>
    <w:rsid w:val="7C15C168"/>
    <w:rsid w:val="7C178CDE"/>
    <w:rsid w:val="7C1EDA6F"/>
    <w:rsid w:val="7C1FC6BA"/>
    <w:rsid w:val="7C203088"/>
    <w:rsid w:val="7C22352F"/>
    <w:rsid w:val="7C2556AE"/>
    <w:rsid w:val="7C293A34"/>
    <w:rsid w:val="7C2970D7"/>
    <w:rsid w:val="7C301F1B"/>
    <w:rsid w:val="7C337F52"/>
    <w:rsid w:val="7C36BED5"/>
    <w:rsid w:val="7C38288C"/>
    <w:rsid w:val="7C3CF189"/>
    <w:rsid w:val="7C3DA997"/>
    <w:rsid w:val="7C413027"/>
    <w:rsid w:val="7C4165BA"/>
    <w:rsid w:val="7C492F20"/>
    <w:rsid w:val="7C4986D6"/>
    <w:rsid w:val="7C4D487A"/>
    <w:rsid w:val="7C54AFBB"/>
    <w:rsid w:val="7C5644FF"/>
    <w:rsid w:val="7C5E5A8B"/>
    <w:rsid w:val="7C5F63BB"/>
    <w:rsid w:val="7C674EB2"/>
    <w:rsid w:val="7C69A562"/>
    <w:rsid w:val="7C6C7DA6"/>
    <w:rsid w:val="7C6D0186"/>
    <w:rsid w:val="7C6DBA13"/>
    <w:rsid w:val="7C71EE62"/>
    <w:rsid w:val="7C727F61"/>
    <w:rsid w:val="7C79CAE5"/>
    <w:rsid w:val="7C7AC316"/>
    <w:rsid w:val="7C7AECDC"/>
    <w:rsid w:val="7C7C4284"/>
    <w:rsid w:val="7C80B8B1"/>
    <w:rsid w:val="7C85455F"/>
    <w:rsid w:val="7C87F55B"/>
    <w:rsid w:val="7C892712"/>
    <w:rsid w:val="7C89BF6C"/>
    <w:rsid w:val="7C8BDD0D"/>
    <w:rsid w:val="7C8CD158"/>
    <w:rsid w:val="7C8E9815"/>
    <w:rsid w:val="7C8FF783"/>
    <w:rsid w:val="7C9698B8"/>
    <w:rsid w:val="7C978E7D"/>
    <w:rsid w:val="7C98683E"/>
    <w:rsid w:val="7C9A0339"/>
    <w:rsid w:val="7C9B3EC2"/>
    <w:rsid w:val="7C9BB4AE"/>
    <w:rsid w:val="7C9D3BA6"/>
    <w:rsid w:val="7C9E19E0"/>
    <w:rsid w:val="7CA21368"/>
    <w:rsid w:val="7CA2955B"/>
    <w:rsid w:val="7CAFC2B9"/>
    <w:rsid w:val="7CB0A844"/>
    <w:rsid w:val="7CB33DFE"/>
    <w:rsid w:val="7CB3B29E"/>
    <w:rsid w:val="7CB5B55B"/>
    <w:rsid w:val="7CB788C8"/>
    <w:rsid w:val="7CB8AF8D"/>
    <w:rsid w:val="7CB8E812"/>
    <w:rsid w:val="7CBE0426"/>
    <w:rsid w:val="7CC270B2"/>
    <w:rsid w:val="7CCBE1D7"/>
    <w:rsid w:val="7CD4A9F4"/>
    <w:rsid w:val="7CD5B005"/>
    <w:rsid w:val="7CD6B222"/>
    <w:rsid w:val="7CD71BC3"/>
    <w:rsid w:val="7CD8038E"/>
    <w:rsid w:val="7CDACDDE"/>
    <w:rsid w:val="7CDF96EE"/>
    <w:rsid w:val="7CE58269"/>
    <w:rsid w:val="7CE602A0"/>
    <w:rsid w:val="7CE8D671"/>
    <w:rsid w:val="7CEB402D"/>
    <w:rsid w:val="7CEE71EB"/>
    <w:rsid w:val="7CEEE7C3"/>
    <w:rsid w:val="7CEFDC28"/>
    <w:rsid w:val="7CF429AF"/>
    <w:rsid w:val="7CF65B32"/>
    <w:rsid w:val="7CF65E9B"/>
    <w:rsid w:val="7CF8D3FC"/>
    <w:rsid w:val="7CF905FE"/>
    <w:rsid w:val="7CFA41B8"/>
    <w:rsid w:val="7CFBFB73"/>
    <w:rsid w:val="7CFE0FEC"/>
    <w:rsid w:val="7D067EC6"/>
    <w:rsid w:val="7D089448"/>
    <w:rsid w:val="7D097628"/>
    <w:rsid w:val="7D099741"/>
    <w:rsid w:val="7D0E7AFE"/>
    <w:rsid w:val="7D0ED7AB"/>
    <w:rsid w:val="7D113CC0"/>
    <w:rsid w:val="7D12A5D7"/>
    <w:rsid w:val="7D138D36"/>
    <w:rsid w:val="7D17386B"/>
    <w:rsid w:val="7D18E849"/>
    <w:rsid w:val="7D2262D5"/>
    <w:rsid w:val="7D22761E"/>
    <w:rsid w:val="7D24558B"/>
    <w:rsid w:val="7D26D6FD"/>
    <w:rsid w:val="7D27B714"/>
    <w:rsid w:val="7D2AF9B7"/>
    <w:rsid w:val="7D2E8719"/>
    <w:rsid w:val="7D2FBCB5"/>
    <w:rsid w:val="7D2FE7B2"/>
    <w:rsid w:val="7D302A4A"/>
    <w:rsid w:val="7D3372C9"/>
    <w:rsid w:val="7D3387BD"/>
    <w:rsid w:val="7D350C07"/>
    <w:rsid w:val="7D354DE6"/>
    <w:rsid w:val="7D36C485"/>
    <w:rsid w:val="7D3F18AF"/>
    <w:rsid w:val="7D40B04C"/>
    <w:rsid w:val="7D40F219"/>
    <w:rsid w:val="7D4BB55B"/>
    <w:rsid w:val="7D4EB7B3"/>
    <w:rsid w:val="7D5109BF"/>
    <w:rsid w:val="7D51AAF4"/>
    <w:rsid w:val="7D5209F7"/>
    <w:rsid w:val="7D56E6B9"/>
    <w:rsid w:val="7D573004"/>
    <w:rsid w:val="7D58636D"/>
    <w:rsid w:val="7D5937A2"/>
    <w:rsid w:val="7D5C121C"/>
    <w:rsid w:val="7D5E1485"/>
    <w:rsid w:val="7D5F5830"/>
    <w:rsid w:val="7D61D85C"/>
    <w:rsid w:val="7D66888E"/>
    <w:rsid w:val="7D669286"/>
    <w:rsid w:val="7D69CC41"/>
    <w:rsid w:val="7D6BEE54"/>
    <w:rsid w:val="7D6D24E2"/>
    <w:rsid w:val="7D6EE481"/>
    <w:rsid w:val="7D700BDC"/>
    <w:rsid w:val="7D7260DB"/>
    <w:rsid w:val="7D743F9C"/>
    <w:rsid w:val="7D782777"/>
    <w:rsid w:val="7D7CF46B"/>
    <w:rsid w:val="7D812399"/>
    <w:rsid w:val="7D8896D7"/>
    <w:rsid w:val="7D8D9968"/>
    <w:rsid w:val="7D8F604E"/>
    <w:rsid w:val="7D95366D"/>
    <w:rsid w:val="7D956AFE"/>
    <w:rsid w:val="7D96167B"/>
    <w:rsid w:val="7D98F232"/>
    <w:rsid w:val="7D9A16E8"/>
    <w:rsid w:val="7D9AA04F"/>
    <w:rsid w:val="7DA1F647"/>
    <w:rsid w:val="7DA29243"/>
    <w:rsid w:val="7DA473E9"/>
    <w:rsid w:val="7DA99141"/>
    <w:rsid w:val="7DAFC418"/>
    <w:rsid w:val="7DB10396"/>
    <w:rsid w:val="7DB6F024"/>
    <w:rsid w:val="7DBB228C"/>
    <w:rsid w:val="7DBD0D17"/>
    <w:rsid w:val="7DBD9205"/>
    <w:rsid w:val="7DBEBC0B"/>
    <w:rsid w:val="7DBFDFB8"/>
    <w:rsid w:val="7DC1AD8B"/>
    <w:rsid w:val="7DC7072D"/>
    <w:rsid w:val="7DCA4EF6"/>
    <w:rsid w:val="7DCD0249"/>
    <w:rsid w:val="7DD34F0B"/>
    <w:rsid w:val="7DE00E44"/>
    <w:rsid w:val="7DE06B66"/>
    <w:rsid w:val="7DE241EC"/>
    <w:rsid w:val="7DE3FE6C"/>
    <w:rsid w:val="7DE4B167"/>
    <w:rsid w:val="7DE7313E"/>
    <w:rsid w:val="7DEB49C4"/>
    <w:rsid w:val="7DEB8852"/>
    <w:rsid w:val="7DEC1EA5"/>
    <w:rsid w:val="7DF0D21F"/>
    <w:rsid w:val="7DF2BF8C"/>
    <w:rsid w:val="7DF3F921"/>
    <w:rsid w:val="7DF52F88"/>
    <w:rsid w:val="7DFA1F87"/>
    <w:rsid w:val="7DFABAFD"/>
    <w:rsid w:val="7DFB263F"/>
    <w:rsid w:val="7DFD02BE"/>
    <w:rsid w:val="7DFF31D2"/>
    <w:rsid w:val="7E03EFC1"/>
    <w:rsid w:val="7E04D1A7"/>
    <w:rsid w:val="7E054B2A"/>
    <w:rsid w:val="7E062ED2"/>
    <w:rsid w:val="7E065AAF"/>
    <w:rsid w:val="7E09F2B7"/>
    <w:rsid w:val="7E0A8F6F"/>
    <w:rsid w:val="7E0D46EA"/>
    <w:rsid w:val="7E0F5A15"/>
    <w:rsid w:val="7E10CEE1"/>
    <w:rsid w:val="7E11E46A"/>
    <w:rsid w:val="7E159F79"/>
    <w:rsid w:val="7E1779D2"/>
    <w:rsid w:val="7E183309"/>
    <w:rsid w:val="7E1CF045"/>
    <w:rsid w:val="7E1E5CB2"/>
    <w:rsid w:val="7E1F5DEB"/>
    <w:rsid w:val="7E205307"/>
    <w:rsid w:val="7E230E1D"/>
    <w:rsid w:val="7E23229E"/>
    <w:rsid w:val="7E2440C3"/>
    <w:rsid w:val="7E254069"/>
    <w:rsid w:val="7E2B8203"/>
    <w:rsid w:val="7E2E7AEA"/>
    <w:rsid w:val="7E307C2B"/>
    <w:rsid w:val="7E325CB5"/>
    <w:rsid w:val="7E35592D"/>
    <w:rsid w:val="7E377301"/>
    <w:rsid w:val="7E3E939C"/>
    <w:rsid w:val="7E438D22"/>
    <w:rsid w:val="7E45C095"/>
    <w:rsid w:val="7E46047F"/>
    <w:rsid w:val="7E46C248"/>
    <w:rsid w:val="7E48A1D8"/>
    <w:rsid w:val="7E504C22"/>
    <w:rsid w:val="7E539DD6"/>
    <w:rsid w:val="7E5473C6"/>
    <w:rsid w:val="7E549F08"/>
    <w:rsid w:val="7E562C10"/>
    <w:rsid w:val="7E5CDEA2"/>
    <w:rsid w:val="7E5DE6F0"/>
    <w:rsid w:val="7E607C65"/>
    <w:rsid w:val="7E674D4A"/>
    <w:rsid w:val="7E68B7A7"/>
    <w:rsid w:val="7E6A9328"/>
    <w:rsid w:val="7E6AAAEB"/>
    <w:rsid w:val="7E734CDC"/>
    <w:rsid w:val="7E764DF1"/>
    <w:rsid w:val="7E780C45"/>
    <w:rsid w:val="7E7BA30C"/>
    <w:rsid w:val="7E7C40CB"/>
    <w:rsid w:val="7E7CC40C"/>
    <w:rsid w:val="7E7D94C3"/>
    <w:rsid w:val="7E82EFC5"/>
    <w:rsid w:val="7E84778A"/>
    <w:rsid w:val="7E854D6A"/>
    <w:rsid w:val="7E85A1A9"/>
    <w:rsid w:val="7E8ABF1F"/>
    <w:rsid w:val="7E8F34DC"/>
    <w:rsid w:val="7E93D41F"/>
    <w:rsid w:val="7E93D471"/>
    <w:rsid w:val="7E979DCC"/>
    <w:rsid w:val="7E9A2B27"/>
    <w:rsid w:val="7E9A2C48"/>
    <w:rsid w:val="7E9A4CC9"/>
    <w:rsid w:val="7E9B0180"/>
    <w:rsid w:val="7E9CCC1B"/>
    <w:rsid w:val="7E9FE553"/>
    <w:rsid w:val="7EA0355C"/>
    <w:rsid w:val="7EA36F2C"/>
    <w:rsid w:val="7EA42434"/>
    <w:rsid w:val="7EA893E7"/>
    <w:rsid w:val="7EB29ABF"/>
    <w:rsid w:val="7EBA2653"/>
    <w:rsid w:val="7EBC27D4"/>
    <w:rsid w:val="7EC0905B"/>
    <w:rsid w:val="7EC13CF2"/>
    <w:rsid w:val="7EC3EAF9"/>
    <w:rsid w:val="7EC49697"/>
    <w:rsid w:val="7EC5FC61"/>
    <w:rsid w:val="7EC64D40"/>
    <w:rsid w:val="7EC71DFB"/>
    <w:rsid w:val="7ECD05AB"/>
    <w:rsid w:val="7ED20CD1"/>
    <w:rsid w:val="7ED2BEAD"/>
    <w:rsid w:val="7ED354CF"/>
    <w:rsid w:val="7ED80203"/>
    <w:rsid w:val="7ED86A50"/>
    <w:rsid w:val="7ED8E599"/>
    <w:rsid w:val="7EE2ED41"/>
    <w:rsid w:val="7EE324F2"/>
    <w:rsid w:val="7EE70168"/>
    <w:rsid w:val="7EE7A211"/>
    <w:rsid w:val="7EE9EDCE"/>
    <w:rsid w:val="7EF4CD72"/>
    <w:rsid w:val="7EF8FB5C"/>
    <w:rsid w:val="7EFB7351"/>
    <w:rsid w:val="7EFF8C1F"/>
    <w:rsid w:val="7F008E10"/>
    <w:rsid w:val="7F030552"/>
    <w:rsid w:val="7F049829"/>
    <w:rsid w:val="7F0A3036"/>
    <w:rsid w:val="7F0BE189"/>
    <w:rsid w:val="7F100EDB"/>
    <w:rsid w:val="7F128422"/>
    <w:rsid w:val="7F15946A"/>
    <w:rsid w:val="7F161D13"/>
    <w:rsid w:val="7F171FEF"/>
    <w:rsid w:val="7F186785"/>
    <w:rsid w:val="7F1971D9"/>
    <w:rsid w:val="7F1C5010"/>
    <w:rsid w:val="7F205F69"/>
    <w:rsid w:val="7F21211C"/>
    <w:rsid w:val="7F22BF97"/>
    <w:rsid w:val="7F27BD80"/>
    <w:rsid w:val="7F28CC33"/>
    <w:rsid w:val="7F296038"/>
    <w:rsid w:val="7F2B2F79"/>
    <w:rsid w:val="7F2C676C"/>
    <w:rsid w:val="7F2D7135"/>
    <w:rsid w:val="7F312D34"/>
    <w:rsid w:val="7F319E12"/>
    <w:rsid w:val="7F365C84"/>
    <w:rsid w:val="7F391AE1"/>
    <w:rsid w:val="7F3B842F"/>
    <w:rsid w:val="7F3E1DCC"/>
    <w:rsid w:val="7F3E9FF4"/>
    <w:rsid w:val="7F3F0F65"/>
    <w:rsid w:val="7F405154"/>
    <w:rsid w:val="7F41E22D"/>
    <w:rsid w:val="7F420698"/>
    <w:rsid w:val="7F4212AA"/>
    <w:rsid w:val="7F429108"/>
    <w:rsid w:val="7F42BCE7"/>
    <w:rsid w:val="7F4A5526"/>
    <w:rsid w:val="7F4BCA42"/>
    <w:rsid w:val="7F4C0E5A"/>
    <w:rsid w:val="7F4E69FF"/>
    <w:rsid w:val="7F4F8A24"/>
    <w:rsid w:val="7F50551A"/>
    <w:rsid w:val="7F5222BF"/>
    <w:rsid w:val="7F559AAF"/>
    <w:rsid w:val="7F5D1237"/>
    <w:rsid w:val="7F5DED57"/>
    <w:rsid w:val="7F60B924"/>
    <w:rsid w:val="7F612B90"/>
    <w:rsid w:val="7F645F1E"/>
    <w:rsid w:val="7F6C98C6"/>
    <w:rsid w:val="7F7E7599"/>
    <w:rsid w:val="7F800D13"/>
    <w:rsid w:val="7F802FB8"/>
    <w:rsid w:val="7F83F381"/>
    <w:rsid w:val="7F85C7BE"/>
    <w:rsid w:val="7F87BD30"/>
    <w:rsid w:val="7F8A3C1F"/>
    <w:rsid w:val="7F8B53E7"/>
    <w:rsid w:val="7F8C162A"/>
    <w:rsid w:val="7F9AE85F"/>
    <w:rsid w:val="7F9E0052"/>
    <w:rsid w:val="7FA26861"/>
    <w:rsid w:val="7FA6F2FA"/>
    <w:rsid w:val="7FAA060A"/>
    <w:rsid w:val="7FAA90C4"/>
    <w:rsid w:val="7FAAE4D2"/>
    <w:rsid w:val="7FAD23BC"/>
    <w:rsid w:val="7FAE4C07"/>
    <w:rsid w:val="7FB123F4"/>
    <w:rsid w:val="7FB1C55A"/>
    <w:rsid w:val="7FB7FFA6"/>
    <w:rsid w:val="7FBD2AE7"/>
    <w:rsid w:val="7FBD5609"/>
    <w:rsid w:val="7FC0AD93"/>
    <w:rsid w:val="7FC0DCF3"/>
    <w:rsid w:val="7FC27C5C"/>
    <w:rsid w:val="7FC9D29C"/>
    <w:rsid w:val="7FCA69D4"/>
    <w:rsid w:val="7FCF704E"/>
    <w:rsid w:val="7FD108E5"/>
    <w:rsid w:val="7FD29B72"/>
    <w:rsid w:val="7FD49D59"/>
    <w:rsid w:val="7FD75016"/>
    <w:rsid w:val="7FD92320"/>
    <w:rsid w:val="7FDE0625"/>
    <w:rsid w:val="7FDFFE69"/>
    <w:rsid w:val="7FE03FBB"/>
    <w:rsid w:val="7FE1F55C"/>
    <w:rsid w:val="7FE26254"/>
    <w:rsid w:val="7FE2F0C6"/>
    <w:rsid w:val="7FE59034"/>
    <w:rsid w:val="7FE66EDF"/>
    <w:rsid w:val="7FE7147B"/>
    <w:rsid w:val="7FE8D9B9"/>
    <w:rsid w:val="7FE942EB"/>
    <w:rsid w:val="7FF0B968"/>
    <w:rsid w:val="7FF2C6A6"/>
    <w:rsid w:val="7FF2FEA1"/>
    <w:rsid w:val="7FF354C8"/>
    <w:rsid w:val="7FF4F513"/>
    <w:rsid w:val="7FF59632"/>
    <w:rsid w:val="7FF6A61E"/>
    <w:rsid w:val="7FF9CC8D"/>
    <w:rsid w:val="7FFAE3EB"/>
    <w:rsid w:val="7FFF16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D6D2E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4F3"/>
    <w:pPr>
      <w:spacing w:after="240" w:line="240" w:lineRule="auto"/>
      <w:jc w:val="both"/>
    </w:pPr>
    <w:rPr>
      <w:rFonts w:ascii="Times New Roman" w:hAnsi="Times New Roman" w:cs="Times New Roman"/>
      <w:sz w:val="24"/>
      <w:szCs w:val="24"/>
    </w:rPr>
  </w:style>
  <w:style w:type="paragraph" w:styleId="Heading1">
    <w:name w:val="heading 1"/>
    <w:basedOn w:val="ListParagraph"/>
    <w:next w:val="Text1"/>
    <w:link w:val="Heading1Char"/>
    <w:qFormat/>
    <w:rsid w:val="00E6308A"/>
    <w:pPr>
      <w:keepNext/>
      <w:numPr>
        <w:numId w:val="20"/>
      </w:numPr>
      <w:spacing w:before="240"/>
      <w:contextualSpacing w:val="0"/>
      <w:outlineLvl w:val="0"/>
    </w:pPr>
    <w:rPr>
      <w:b/>
    </w:rPr>
  </w:style>
  <w:style w:type="paragraph" w:styleId="Heading2">
    <w:name w:val="heading 2"/>
    <w:basedOn w:val="Heading1"/>
    <w:next w:val="Text2"/>
    <w:link w:val="Heading2Char"/>
    <w:qFormat/>
    <w:rsid w:val="00D24EED"/>
    <w:pPr>
      <w:numPr>
        <w:ilvl w:val="1"/>
      </w:numPr>
      <w:spacing w:after="120"/>
      <w:outlineLvl w:val="1"/>
    </w:pPr>
    <w:rPr>
      <w:bCs/>
    </w:rPr>
  </w:style>
  <w:style w:type="paragraph" w:styleId="Heading3">
    <w:name w:val="heading 3"/>
    <w:basedOn w:val="Normal"/>
    <w:next w:val="Normal"/>
    <w:link w:val="Heading3Char"/>
    <w:qFormat/>
    <w:rsid w:val="00C874F3"/>
    <w:pPr>
      <w:keepNext/>
      <w:numPr>
        <w:ilvl w:val="2"/>
        <w:numId w:val="20"/>
      </w:numPr>
      <w:outlineLvl w:val="2"/>
    </w:pPr>
    <w:rPr>
      <w:rFonts w:eastAsia="Times New Roman"/>
      <w:i/>
      <w:szCs w:val="20"/>
    </w:rPr>
  </w:style>
  <w:style w:type="paragraph" w:styleId="Heading4">
    <w:name w:val="heading 4"/>
    <w:basedOn w:val="Normal"/>
    <w:next w:val="Normal"/>
    <w:link w:val="Heading4Char"/>
    <w:uiPriority w:val="9"/>
    <w:unhideWhenUsed/>
    <w:qFormat/>
    <w:rsid w:val="00E96870"/>
    <w:pPr>
      <w:keepNext/>
      <w:keepLines/>
      <w:numPr>
        <w:ilvl w:val="3"/>
        <w:numId w:val="20"/>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96870"/>
    <w:pPr>
      <w:keepNext/>
      <w:keepLines/>
      <w:numPr>
        <w:ilvl w:val="4"/>
        <w:numId w:val="20"/>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E96870"/>
    <w:pPr>
      <w:keepNext/>
      <w:keepLines/>
      <w:numPr>
        <w:ilvl w:val="5"/>
        <w:numId w:val="20"/>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E96870"/>
    <w:pPr>
      <w:keepNext/>
      <w:keepLines/>
      <w:numPr>
        <w:ilvl w:val="6"/>
        <w:numId w:val="20"/>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E96870"/>
    <w:pPr>
      <w:keepNext/>
      <w:keepLines/>
      <w:numPr>
        <w:ilvl w:val="7"/>
        <w:numId w:val="2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96870"/>
    <w:pPr>
      <w:keepNext/>
      <w:keepLines/>
      <w:numPr>
        <w:ilvl w:val="8"/>
        <w:numId w:val="2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C874F3"/>
    <w:pPr>
      <w:ind w:left="482"/>
    </w:pPr>
    <w:rPr>
      <w:rFonts w:eastAsia="Times New Roman"/>
      <w:szCs w:val="20"/>
    </w:rPr>
  </w:style>
  <w:style w:type="character" w:styleId="Hyperlink">
    <w:name w:val="Hyperlink"/>
    <w:basedOn w:val="DefaultParagraphFont"/>
    <w:uiPriority w:val="99"/>
    <w:unhideWhenUsed/>
    <w:rsid w:val="00C874F3"/>
    <w:rPr>
      <w:color w:val="0000FF" w:themeColor="hyperlink"/>
      <w:u w:val="single"/>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nhideWhenUsed/>
    <w:qFormat/>
    <w:rsid w:val="00C874F3"/>
    <w:pPr>
      <w:spacing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qFormat/>
    <w:rsid w:val="00C874F3"/>
    <w:rPr>
      <w:rFonts w:ascii="Times New Roman" w:eastAsiaTheme="minorEastAsia" w:hAnsi="Times New Roman" w:cs="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C874F3"/>
    <w:rPr>
      <w:vertAlign w:val="superscript"/>
    </w:rPr>
  </w:style>
  <w:style w:type="paragraph" w:customStyle="1" w:styleId="CharCharChar1">
    <w:name w:val="Char Char Char1"/>
    <w:basedOn w:val="Normal"/>
    <w:link w:val="FootnoteReference"/>
    <w:uiPriority w:val="99"/>
    <w:rsid w:val="00C874F3"/>
    <w:pPr>
      <w:spacing w:after="160" w:line="240" w:lineRule="exact"/>
    </w:pPr>
    <w:rPr>
      <w:rFonts w:asciiTheme="minorHAnsi" w:hAnsiTheme="minorHAnsi" w:cstheme="minorBidi"/>
      <w:sz w:val="22"/>
      <w:szCs w:val="22"/>
      <w:vertAlign w:val="superscript"/>
    </w:rPr>
  </w:style>
  <w:style w:type="paragraph" w:customStyle="1" w:styleId="Text2">
    <w:name w:val="Text 2"/>
    <w:basedOn w:val="Normal"/>
    <w:rsid w:val="00C874F3"/>
    <w:pPr>
      <w:tabs>
        <w:tab w:val="left" w:pos="2302"/>
      </w:tabs>
      <w:ind w:left="1202"/>
    </w:pPr>
    <w:rPr>
      <w:rFonts w:eastAsia="Times New Roman"/>
      <w:szCs w:val="20"/>
    </w:rPr>
  </w:style>
  <w:style w:type="character" w:customStyle="1" w:styleId="Heading1Char">
    <w:name w:val="Heading 1 Char"/>
    <w:basedOn w:val="DefaultParagraphFont"/>
    <w:link w:val="Heading1"/>
    <w:rsid w:val="00E6308A"/>
    <w:rPr>
      <w:rFonts w:ascii="Times New Roman" w:hAnsi="Times New Roman" w:cs="Times New Roman"/>
      <w:b/>
      <w:sz w:val="24"/>
      <w:szCs w:val="24"/>
    </w:rPr>
  </w:style>
  <w:style w:type="character" w:customStyle="1" w:styleId="Heading2Char">
    <w:name w:val="Heading 2 Char"/>
    <w:basedOn w:val="DefaultParagraphFont"/>
    <w:link w:val="Heading2"/>
    <w:rsid w:val="00D24EED"/>
    <w:rPr>
      <w:rFonts w:ascii="Times New Roman" w:hAnsi="Times New Roman" w:cs="Times New Roman"/>
      <w:b/>
      <w:bCs/>
      <w:sz w:val="24"/>
      <w:szCs w:val="24"/>
    </w:rPr>
  </w:style>
  <w:style w:type="character" w:customStyle="1" w:styleId="Heading3Char">
    <w:name w:val="Heading 3 Char"/>
    <w:basedOn w:val="DefaultParagraphFont"/>
    <w:link w:val="Heading3"/>
    <w:rsid w:val="00C874F3"/>
    <w:rPr>
      <w:rFonts w:ascii="Times New Roman" w:eastAsia="Times New Roman" w:hAnsi="Times New Roman" w:cs="Times New Roman"/>
      <w:i/>
      <w:sz w:val="24"/>
      <w:szCs w:val="20"/>
    </w:rPr>
  </w:style>
  <w:style w:type="table" w:styleId="TableGrid">
    <w:name w:val="Table Grid"/>
    <w:aliases w:val="Document Table,CV1,TabelEcorys,HTG,Simple table,Table Grid IDEA,Deloitte"/>
    <w:basedOn w:val="TableNormal"/>
    <w:uiPriority w:val="59"/>
    <w:rsid w:val="00C874F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link w:val="BodyChar"/>
    <w:qFormat/>
    <w:rsid w:val="00C874F3"/>
    <w:pPr>
      <w:spacing w:after="120"/>
    </w:pPr>
    <w:rPr>
      <w:rFonts w:eastAsia="Times New Roman" w:cs="Verdana"/>
      <w:szCs w:val="20"/>
      <w:lang w:eastAsia="nl-BE"/>
    </w:rPr>
  </w:style>
  <w:style w:type="character" w:customStyle="1" w:styleId="BodyChar">
    <w:name w:val="Body Char"/>
    <w:aliases w:val="Body Text Char,Body Text Char1 Char,Body Text Char Char Char,Body Text Char2 Char Char Char,Body Text Char1 Char Char Char Char,Body Text Char Char Char Char Char Char,Body Text Char2 Char Char Char Char Char Char,Bod Char,bt Char,b Char"/>
    <w:link w:val="Body"/>
    <w:rsid w:val="00C874F3"/>
    <w:rPr>
      <w:rFonts w:ascii="Times New Roman" w:eastAsia="Times New Roman" w:hAnsi="Times New Roman" w:cs="Verdana"/>
      <w:sz w:val="24"/>
      <w:szCs w:val="20"/>
      <w:lang w:eastAsia="nl-BE"/>
    </w:rPr>
  </w:style>
  <w:style w:type="character" w:customStyle="1" w:styleId="hwtze">
    <w:name w:val="hwtze"/>
    <w:basedOn w:val="DefaultParagraphFont"/>
    <w:rsid w:val="00C874F3"/>
  </w:style>
  <w:style w:type="character" w:customStyle="1" w:styleId="rynqvb">
    <w:name w:val="rynqvb"/>
    <w:basedOn w:val="DefaultParagraphFont"/>
    <w:rsid w:val="00C874F3"/>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C874F3"/>
    <w:pPr>
      <w:ind w:left="720"/>
      <w:contextualSpacing/>
    </w:p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C874F3"/>
    <w:rPr>
      <w:rFonts w:ascii="Times New Roman" w:hAnsi="Times New Roman" w:cs="Times New Roman"/>
      <w:sz w:val="24"/>
      <w:szCs w:val="24"/>
    </w:rPr>
  </w:style>
  <w:style w:type="table" w:customStyle="1" w:styleId="TableGrid1">
    <w:name w:val="Table Grid1"/>
    <w:basedOn w:val="TableNormal"/>
    <w:next w:val="TableGrid"/>
    <w:uiPriority w:val="59"/>
    <w:rsid w:val="00C874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D7B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BF1"/>
    <w:rPr>
      <w:rFonts w:ascii="Segoe UI" w:hAnsi="Segoe UI" w:cs="Segoe UI"/>
      <w:sz w:val="18"/>
      <w:szCs w:val="18"/>
    </w:rPr>
  </w:style>
  <w:style w:type="paragraph" w:styleId="Header">
    <w:name w:val="header"/>
    <w:basedOn w:val="Normal"/>
    <w:link w:val="HeaderChar"/>
    <w:uiPriority w:val="99"/>
    <w:unhideWhenUsed/>
    <w:rsid w:val="006B1BD7"/>
    <w:pPr>
      <w:tabs>
        <w:tab w:val="center" w:pos="4680"/>
        <w:tab w:val="right" w:pos="9360"/>
      </w:tabs>
      <w:spacing w:after="0"/>
    </w:pPr>
  </w:style>
  <w:style w:type="character" w:customStyle="1" w:styleId="HeaderChar">
    <w:name w:val="Header Char"/>
    <w:basedOn w:val="DefaultParagraphFont"/>
    <w:link w:val="Header"/>
    <w:uiPriority w:val="99"/>
    <w:rsid w:val="006B1BD7"/>
    <w:rPr>
      <w:rFonts w:ascii="Times New Roman" w:hAnsi="Times New Roman" w:cs="Times New Roman"/>
      <w:sz w:val="24"/>
      <w:szCs w:val="24"/>
    </w:rPr>
  </w:style>
  <w:style w:type="paragraph" w:styleId="Footer">
    <w:name w:val="footer"/>
    <w:basedOn w:val="Normal"/>
    <w:link w:val="FooterChar"/>
    <w:uiPriority w:val="99"/>
    <w:unhideWhenUsed/>
    <w:rsid w:val="006B1BD7"/>
    <w:pPr>
      <w:tabs>
        <w:tab w:val="center" w:pos="4680"/>
        <w:tab w:val="right" w:pos="9360"/>
      </w:tabs>
      <w:spacing w:after="0"/>
    </w:pPr>
  </w:style>
  <w:style w:type="character" w:customStyle="1" w:styleId="FooterChar">
    <w:name w:val="Footer Char"/>
    <w:basedOn w:val="DefaultParagraphFont"/>
    <w:link w:val="Footer"/>
    <w:uiPriority w:val="99"/>
    <w:rsid w:val="006B1BD7"/>
    <w:rPr>
      <w:rFonts w:ascii="Times New Roman" w:hAnsi="Times New Roman" w:cs="Times New Roman"/>
      <w:sz w:val="24"/>
      <w:szCs w:val="24"/>
    </w:rPr>
  </w:style>
  <w:style w:type="paragraph" w:styleId="Revision">
    <w:name w:val="Revision"/>
    <w:hidden/>
    <w:uiPriority w:val="99"/>
    <w:semiHidden/>
    <w:rsid w:val="00752524"/>
    <w:pPr>
      <w:spacing w:after="0" w:line="240" w:lineRule="auto"/>
    </w:pPr>
    <w:rPr>
      <w:rFonts w:ascii="Times New Roman" w:hAnsi="Times New Roman" w:cs="Times New Roman"/>
      <w:sz w:val="24"/>
      <w:szCs w:val="24"/>
    </w:rPr>
  </w:style>
  <w:style w:type="character" w:styleId="CommentReference">
    <w:name w:val="annotation reference"/>
    <w:basedOn w:val="DefaultParagraphFont"/>
    <w:uiPriority w:val="99"/>
    <w:unhideWhenUsed/>
    <w:rsid w:val="00752524"/>
    <w:rPr>
      <w:sz w:val="16"/>
      <w:szCs w:val="16"/>
    </w:rPr>
  </w:style>
  <w:style w:type="paragraph" w:styleId="CommentText">
    <w:name w:val="annotation text"/>
    <w:basedOn w:val="Normal"/>
    <w:link w:val="CommentTextChar"/>
    <w:uiPriority w:val="99"/>
    <w:unhideWhenUsed/>
    <w:rsid w:val="00752524"/>
    <w:rPr>
      <w:sz w:val="20"/>
      <w:szCs w:val="20"/>
    </w:rPr>
  </w:style>
  <w:style w:type="character" w:customStyle="1" w:styleId="CommentTextChar">
    <w:name w:val="Comment Text Char"/>
    <w:basedOn w:val="DefaultParagraphFont"/>
    <w:link w:val="CommentText"/>
    <w:uiPriority w:val="99"/>
    <w:rsid w:val="0075252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52524"/>
    <w:rPr>
      <w:b/>
      <w:bCs/>
    </w:rPr>
  </w:style>
  <w:style w:type="character" w:customStyle="1" w:styleId="CommentSubjectChar">
    <w:name w:val="Comment Subject Char"/>
    <w:basedOn w:val="CommentTextChar"/>
    <w:link w:val="CommentSubject"/>
    <w:uiPriority w:val="99"/>
    <w:semiHidden/>
    <w:rsid w:val="00752524"/>
    <w:rPr>
      <w:rFonts w:ascii="Times New Roman" w:hAnsi="Times New Roman" w:cs="Times New Roman"/>
      <w:b/>
      <w:bCs/>
      <w:sz w:val="20"/>
      <w:szCs w:val="20"/>
    </w:rPr>
  </w:style>
  <w:style w:type="character" w:customStyle="1" w:styleId="normaltextrun">
    <w:name w:val="normaltextrun"/>
    <w:basedOn w:val="DefaultParagraphFont"/>
    <w:rsid w:val="00D17133"/>
  </w:style>
  <w:style w:type="character" w:customStyle="1" w:styleId="eop">
    <w:name w:val="eop"/>
    <w:basedOn w:val="DefaultParagraphFont"/>
    <w:rsid w:val="00A4030C"/>
  </w:style>
  <w:style w:type="paragraph" w:styleId="Date">
    <w:name w:val="Date"/>
    <w:basedOn w:val="Normal"/>
    <w:next w:val="References"/>
    <w:link w:val="DateChar"/>
    <w:uiPriority w:val="99"/>
    <w:rsid w:val="00B93EB5"/>
    <w:pPr>
      <w:spacing w:after="0"/>
      <w:ind w:left="5103" w:right="-567"/>
      <w:jc w:val="left"/>
    </w:pPr>
    <w:rPr>
      <w:rFonts w:eastAsia="Times New Roman"/>
      <w:szCs w:val="20"/>
    </w:rPr>
  </w:style>
  <w:style w:type="character" w:customStyle="1" w:styleId="DateChar">
    <w:name w:val="Date Char"/>
    <w:basedOn w:val="DefaultParagraphFont"/>
    <w:link w:val="Date"/>
    <w:uiPriority w:val="99"/>
    <w:rsid w:val="00B93EB5"/>
    <w:rPr>
      <w:rFonts w:ascii="Times New Roman" w:eastAsia="Times New Roman" w:hAnsi="Times New Roman" w:cs="Times New Roman"/>
      <w:sz w:val="24"/>
      <w:szCs w:val="20"/>
    </w:rPr>
  </w:style>
  <w:style w:type="paragraph" w:customStyle="1" w:styleId="References">
    <w:name w:val="References"/>
    <w:basedOn w:val="Normal"/>
    <w:next w:val="Normal"/>
    <w:uiPriority w:val="99"/>
    <w:rsid w:val="00B93EB5"/>
    <w:pPr>
      <w:ind w:left="5103"/>
      <w:jc w:val="left"/>
    </w:pPr>
    <w:rPr>
      <w:rFonts w:eastAsia="Times New Roman"/>
      <w:sz w:val="20"/>
      <w:szCs w:val="20"/>
    </w:rPr>
  </w:style>
  <w:style w:type="paragraph" w:customStyle="1" w:styleId="NoteHead">
    <w:name w:val="NoteHead"/>
    <w:basedOn w:val="Normal"/>
    <w:next w:val="Normal"/>
    <w:uiPriority w:val="99"/>
    <w:rsid w:val="00B93EB5"/>
    <w:pPr>
      <w:spacing w:before="720" w:after="720"/>
      <w:jc w:val="center"/>
    </w:pPr>
    <w:rPr>
      <w:rFonts w:eastAsia="Times New Roman"/>
      <w:b/>
      <w:smallCaps/>
      <w:szCs w:val="20"/>
    </w:rPr>
  </w:style>
  <w:style w:type="paragraph" w:customStyle="1" w:styleId="ZCom">
    <w:name w:val="Z_Com"/>
    <w:basedOn w:val="Normal"/>
    <w:next w:val="ZDGName"/>
    <w:rsid w:val="00B93EB5"/>
    <w:pPr>
      <w:widowControl w:val="0"/>
      <w:autoSpaceDE w:val="0"/>
      <w:autoSpaceDN w:val="0"/>
      <w:spacing w:after="0"/>
      <w:ind w:right="85"/>
    </w:pPr>
    <w:rPr>
      <w:rFonts w:ascii="Arial" w:eastAsia="Times New Roman" w:hAnsi="Arial" w:cs="Arial"/>
      <w:lang w:eastAsia="en-GB"/>
    </w:rPr>
  </w:style>
  <w:style w:type="paragraph" w:customStyle="1" w:styleId="ZDGName">
    <w:name w:val="Z_DGName"/>
    <w:basedOn w:val="Normal"/>
    <w:uiPriority w:val="99"/>
    <w:rsid w:val="00B93EB5"/>
    <w:pPr>
      <w:widowControl w:val="0"/>
      <w:autoSpaceDE w:val="0"/>
      <w:autoSpaceDN w:val="0"/>
      <w:spacing w:after="0"/>
      <w:ind w:right="85"/>
      <w:jc w:val="left"/>
    </w:pPr>
    <w:rPr>
      <w:rFonts w:ascii="Arial" w:eastAsia="Times New Roman" w:hAnsi="Arial" w:cs="Arial"/>
      <w:sz w:val="16"/>
      <w:szCs w:val="16"/>
      <w:lang w:eastAsia="en-GB"/>
    </w:rPr>
  </w:style>
  <w:style w:type="character" w:styleId="Emphasis">
    <w:name w:val="Emphasis"/>
    <w:uiPriority w:val="20"/>
    <w:qFormat/>
    <w:rsid w:val="00B93EB5"/>
    <w:rPr>
      <w:i/>
      <w:iCs/>
    </w:rPr>
  </w:style>
  <w:style w:type="paragraph" w:styleId="EndnoteText">
    <w:name w:val="endnote text"/>
    <w:basedOn w:val="Normal"/>
    <w:link w:val="EndnoteTextChar"/>
    <w:uiPriority w:val="99"/>
    <w:semiHidden/>
    <w:unhideWhenUsed/>
    <w:rsid w:val="000C6F6D"/>
    <w:pPr>
      <w:spacing w:after="0"/>
    </w:pPr>
    <w:rPr>
      <w:sz w:val="20"/>
      <w:szCs w:val="20"/>
    </w:rPr>
  </w:style>
  <w:style w:type="character" w:customStyle="1" w:styleId="EndnoteTextChar">
    <w:name w:val="Endnote Text Char"/>
    <w:basedOn w:val="DefaultParagraphFont"/>
    <w:link w:val="EndnoteText"/>
    <w:uiPriority w:val="99"/>
    <w:semiHidden/>
    <w:rsid w:val="000C6F6D"/>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0C6F6D"/>
    <w:rPr>
      <w:vertAlign w:val="superscript"/>
    </w:rPr>
  </w:style>
  <w:style w:type="paragraph" w:customStyle="1" w:styleId="paragraph">
    <w:name w:val="paragraph"/>
    <w:basedOn w:val="Normal"/>
    <w:rsid w:val="0089709C"/>
    <w:pPr>
      <w:spacing w:before="100" w:beforeAutospacing="1" w:after="100" w:afterAutospacing="1"/>
      <w:jc w:val="left"/>
    </w:pPr>
    <w:rPr>
      <w:rFonts w:eastAsia="Times New Roman"/>
    </w:rPr>
  </w:style>
  <w:style w:type="character" w:customStyle="1" w:styleId="superscript">
    <w:name w:val="superscript"/>
    <w:basedOn w:val="DefaultParagraphFont"/>
    <w:rsid w:val="00CE1766"/>
  </w:style>
  <w:style w:type="character" w:customStyle="1" w:styleId="markedcontent">
    <w:name w:val="markedcontent"/>
    <w:basedOn w:val="DefaultParagraphFont"/>
    <w:rsid w:val="00445E79"/>
  </w:style>
  <w:style w:type="character" w:customStyle="1" w:styleId="highlight">
    <w:name w:val="highlight"/>
    <w:basedOn w:val="DefaultParagraphFont"/>
    <w:rsid w:val="00445E79"/>
  </w:style>
  <w:style w:type="character" w:styleId="FollowedHyperlink">
    <w:name w:val="FollowedHyperlink"/>
    <w:basedOn w:val="DefaultParagraphFont"/>
    <w:uiPriority w:val="99"/>
    <w:semiHidden/>
    <w:unhideWhenUsed/>
    <w:rsid w:val="00743512"/>
    <w:rPr>
      <w:color w:val="800080" w:themeColor="followedHyperlink"/>
      <w:u w:val="single"/>
    </w:rPr>
  </w:style>
  <w:style w:type="character" w:customStyle="1" w:styleId="UnresolvedMention1">
    <w:name w:val="Unresolved Mention1"/>
    <w:basedOn w:val="DefaultParagraphFont"/>
    <w:uiPriority w:val="99"/>
    <w:semiHidden/>
    <w:unhideWhenUsed/>
    <w:rsid w:val="007405FD"/>
    <w:rPr>
      <w:color w:val="605E5C"/>
      <w:shd w:val="clear" w:color="auto" w:fill="E1DFDD"/>
    </w:rPr>
  </w:style>
  <w:style w:type="character" w:customStyle="1" w:styleId="Heading4Char">
    <w:name w:val="Heading 4 Char"/>
    <w:basedOn w:val="DefaultParagraphFont"/>
    <w:link w:val="Heading4"/>
    <w:uiPriority w:val="9"/>
    <w:rsid w:val="00E96870"/>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E96870"/>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E96870"/>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E96870"/>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E9687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96870"/>
    <w:rPr>
      <w:rFonts w:asciiTheme="majorHAnsi" w:eastAsiaTheme="majorEastAsia" w:hAnsiTheme="majorHAnsi" w:cstheme="majorBidi"/>
      <w:i/>
      <w:iCs/>
      <w:color w:val="272727" w:themeColor="text1" w:themeTint="D8"/>
      <w:sz w:val="21"/>
      <w:szCs w:val="21"/>
    </w:rPr>
  </w:style>
  <w:style w:type="character" w:styleId="Strong">
    <w:name w:val="Strong"/>
    <w:basedOn w:val="DefaultParagraphFont"/>
    <w:uiPriority w:val="22"/>
    <w:qFormat/>
    <w:rsid w:val="00E96870"/>
  </w:style>
  <w:style w:type="character" w:customStyle="1" w:styleId="UnresolvedMention2">
    <w:name w:val="Unresolved Mention2"/>
    <w:basedOn w:val="DefaultParagraphFont"/>
    <w:uiPriority w:val="99"/>
    <w:semiHidden/>
    <w:unhideWhenUsed/>
    <w:rsid w:val="00AE0B37"/>
    <w:rPr>
      <w:color w:val="605E5C"/>
      <w:shd w:val="clear" w:color="auto" w:fill="E1DFDD"/>
    </w:rPr>
  </w:style>
  <w:style w:type="character" w:customStyle="1" w:styleId="Mention1">
    <w:name w:val="Mention1"/>
    <w:basedOn w:val="DefaultParagraphFont"/>
    <w:uiPriority w:val="99"/>
    <w:unhideWhenUsed/>
    <w:rsid w:val="00EF56DE"/>
    <w:rPr>
      <w:color w:val="2B579A"/>
      <w:shd w:val="clear" w:color="auto" w:fill="E6E6E6"/>
    </w:rPr>
  </w:style>
  <w:style w:type="paragraph" w:styleId="Caption">
    <w:name w:val="caption"/>
    <w:basedOn w:val="Normal"/>
    <w:next w:val="Normal"/>
    <w:uiPriority w:val="35"/>
    <w:unhideWhenUsed/>
    <w:qFormat/>
    <w:rsid w:val="0087566F"/>
    <w:pPr>
      <w:spacing w:after="200"/>
    </w:pPr>
    <w:rPr>
      <w:rFonts w:ascii="Arial" w:hAnsi="Arial"/>
      <w:iCs/>
      <w:color w:val="1F497D" w:themeColor="text2"/>
      <w:sz w:val="18"/>
      <w:szCs w:val="18"/>
    </w:rPr>
  </w:style>
  <w:style w:type="paragraph" w:customStyle="1" w:styleId="Bulletpoint1">
    <w:name w:val="Bullet point 1"/>
    <w:basedOn w:val="ListParagraph"/>
    <w:link w:val="Bulletpoint1Char"/>
    <w:qFormat/>
    <w:rsid w:val="00D62C7E"/>
    <w:pPr>
      <w:numPr>
        <w:numId w:val="2"/>
      </w:numPr>
    </w:pPr>
    <w:rPr>
      <w:rFonts w:eastAsia="Calibri"/>
      <w:color w:val="000000" w:themeColor="text1"/>
    </w:rPr>
  </w:style>
  <w:style w:type="paragraph" w:customStyle="1" w:styleId="Bulletpoint2">
    <w:name w:val="Bullet point 2"/>
    <w:basedOn w:val="ListParagraph"/>
    <w:link w:val="Bulletpoint2Char"/>
    <w:qFormat/>
    <w:rsid w:val="00857E1D"/>
    <w:pPr>
      <w:ind w:left="1134" w:hanging="357"/>
    </w:pPr>
    <w:rPr>
      <w:rFonts w:eastAsiaTheme="minorEastAsia"/>
    </w:rPr>
  </w:style>
  <w:style w:type="character" w:customStyle="1" w:styleId="Bulletpoint1Char">
    <w:name w:val="Bullet point 1 Char"/>
    <w:basedOn w:val="ListParagraphChar"/>
    <w:link w:val="Bulletpoint1"/>
    <w:rsid w:val="00D62C7E"/>
    <w:rPr>
      <w:rFonts w:ascii="Times New Roman" w:eastAsia="Calibri" w:hAnsi="Times New Roman" w:cs="Times New Roman"/>
      <w:color w:val="000000" w:themeColor="text1"/>
      <w:sz w:val="24"/>
      <w:szCs w:val="24"/>
    </w:rPr>
  </w:style>
  <w:style w:type="paragraph" w:customStyle="1" w:styleId="Bulletpoint3">
    <w:name w:val="Bullet point 3"/>
    <w:basedOn w:val="ListParagraph"/>
    <w:link w:val="Bulletpoint3Char"/>
    <w:qFormat/>
    <w:rsid w:val="00857E1D"/>
    <w:pPr>
      <w:spacing w:after="120"/>
      <w:ind w:left="2160" w:hanging="360"/>
    </w:pPr>
  </w:style>
  <w:style w:type="character" w:customStyle="1" w:styleId="Bulletpoint2Char">
    <w:name w:val="Bullet point 2 Char"/>
    <w:basedOn w:val="ListParagraphChar"/>
    <w:link w:val="Bulletpoint2"/>
    <w:rsid w:val="00857E1D"/>
    <w:rPr>
      <w:rFonts w:ascii="Times New Roman" w:eastAsiaTheme="minorEastAsia" w:hAnsi="Times New Roman" w:cs="Times New Roman"/>
      <w:sz w:val="24"/>
      <w:szCs w:val="24"/>
    </w:rPr>
  </w:style>
  <w:style w:type="paragraph" w:customStyle="1" w:styleId="Commissionwill">
    <w:name w:val="Commission will"/>
    <w:basedOn w:val="Normal"/>
    <w:link w:val="CommissionwillChar"/>
    <w:qFormat/>
    <w:rsid w:val="001C71E0"/>
    <w:pPr>
      <w:keepNext/>
    </w:pPr>
    <w:rPr>
      <w:rFonts w:eastAsia="Calibri"/>
      <w:i/>
      <w:szCs w:val="20"/>
    </w:rPr>
  </w:style>
  <w:style w:type="character" w:customStyle="1" w:styleId="Bulletpoint3Char">
    <w:name w:val="Bullet point 3 Char"/>
    <w:basedOn w:val="ListParagraphChar"/>
    <w:link w:val="Bulletpoint3"/>
    <w:rsid w:val="00857E1D"/>
    <w:rPr>
      <w:rFonts w:ascii="Times New Roman" w:hAnsi="Times New Roman" w:cs="Times New Roman"/>
      <w:sz w:val="24"/>
      <w:szCs w:val="24"/>
    </w:rPr>
  </w:style>
  <w:style w:type="paragraph" w:customStyle="1" w:styleId="iii">
    <w:name w:val="iii"/>
    <w:basedOn w:val="ListParagraph"/>
    <w:link w:val="iiiChar"/>
    <w:qFormat/>
    <w:rsid w:val="008A2B23"/>
    <w:pPr>
      <w:numPr>
        <w:numId w:val="3"/>
      </w:numPr>
    </w:pPr>
  </w:style>
  <w:style w:type="character" w:customStyle="1" w:styleId="CommissionwillChar">
    <w:name w:val="Commission will Char"/>
    <w:basedOn w:val="DefaultParagraphFont"/>
    <w:link w:val="Commissionwill"/>
    <w:rsid w:val="001C71E0"/>
    <w:rPr>
      <w:rFonts w:ascii="Times New Roman" w:eastAsia="Calibri" w:hAnsi="Times New Roman" w:cs="Times New Roman"/>
      <w:i/>
      <w:sz w:val="24"/>
      <w:szCs w:val="20"/>
    </w:rPr>
  </w:style>
  <w:style w:type="character" w:customStyle="1" w:styleId="iiiChar">
    <w:name w:val="iii Char"/>
    <w:basedOn w:val="ListParagraphChar"/>
    <w:link w:val="iii"/>
    <w:rsid w:val="008A2B23"/>
    <w:rPr>
      <w:rFonts w:ascii="Times New Roman" w:hAnsi="Times New Roman" w:cs="Times New Roman"/>
      <w:sz w:val="24"/>
      <w:szCs w:val="24"/>
    </w:rPr>
  </w:style>
  <w:style w:type="paragraph" w:customStyle="1" w:styleId="bulletpoint10">
    <w:name w:val="bulletpoint1"/>
    <w:basedOn w:val="Normal"/>
    <w:rsid w:val="00E6738E"/>
    <w:pPr>
      <w:ind w:left="714" w:hanging="357"/>
    </w:pPr>
    <w:rPr>
      <w:color w:val="000000"/>
      <w:lang w:eastAsia="en-GB"/>
    </w:rPr>
  </w:style>
  <w:style w:type="character" w:customStyle="1" w:styleId="UnresolvedMention3">
    <w:name w:val="Unresolved Mention3"/>
    <w:basedOn w:val="DefaultParagraphFont"/>
    <w:uiPriority w:val="99"/>
    <w:semiHidden/>
    <w:unhideWhenUsed/>
    <w:rsid w:val="00D15734"/>
    <w:rPr>
      <w:color w:val="605E5C"/>
      <w:shd w:val="clear" w:color="auto" w:fill="E1DFDD"/>
    </w:rPr>
  </w:style>
  <w:style w:type="character" w:customStyle="1" w:styleId="Marker">
    <w:name w:val="Marker"/>
    <w:basedOn w:val="DefaultParagraphFont"/>
    <w:rsid w:val="00657EC6"/>
    <w:rPr>
      <w:color w:val="0000FF"/>
      <w:shd w:val="clear" w:color="auto" w:fill="auto"/>
    </w:rPr>
  </w:style>
  <w:style w:type="paragraph" w:customStyle="1" w:styleId="Pagedecouverture">
    <w:name w:val="Page de couverture"/>
    <w:basedOn w:val="Normal"/>
    <w:next w:val="Normal"/>
    <w:rsid w:val="00657EC6"/>
    <w:pPr>
      <w:spacing w:after="0"/>
    </w:pPr>
    <w:rPr>
      <w:szCs w:val="22"/>
    </w:rPr>
  </w:style>
  <w:style w:type="paragraph" w:customStyle="1" w:styleId="FooterCoverPage">
    <w:name w:val="Footer Cover Page"/>
    <w:basedOn w:val="Normal"/>
    <w:link w:val="FooterCoverPageChar"/>
    <w:rsid w:val="00657EC6"/>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657EC6"/>
    <w:rPr>
      <w:rFonts w:ascii="Times New Roman" w:hAnsi="Times New Roman" w:cs="Times New Roman"/>
      <w:sz w:val="24"/>
      <w:szCs w:val="24"/>
    </w:rPr>
  </w:style>
  <w:style w:type="paragraph" w:customStyle="1" w:styleId="FooterSensitivity">
    <w:name w:val="Footer Sensitivity"/>
    <w:basedOn w:val="Normal"/>
    <w:link w:val="FooterSensitivityChar"/>
    <w:rsid w:val="00657EC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657EC6"/>
    <w:rPr>
      <w:rFonts w:ascii="Times New Roman" w:hAnsi="Times New Roman" w:cs="Times New Roman"/>
      <w:b/>
      <w:sz w:val="32"/>
      <w:szCs w:val="24"/>
    </w:rPr>
  </w:style>
  <w:style w:type="paragraph" w:customStyle="1" w:styleId="HeaderCoverPage">
    <w:name w:val="Header Cover Page"/>
    <w:basedOn w:val="Normal"/>
    <w:link w:val="HeaderCoverPageChar"/>
    <w:rsid w:val="00657EC6"/>
    <w:pPr>
      <w:tabs>
        <w:tab w:val="center" w:pos="4535"/>
        <w:tab w:val="right" w:pos="9071"/>
      </w:tabs>
      <w:spacing w:after="120"/>
    </w:pPr>
  </w:style>
  <w:style w:type="character" w:customStyle="1" w:styleId="HeaderCoverPageChar">
    <w:name w:val="Header Cover Page Char"/>
    <w:basedOn w:val="DefaultParagraphFont"/>
    <w:link w:val="HeaderCoverPage"/>
    <w:rsid w:val="00657EC6"/>
    <w:rPr>
      <w:rFonts w:ascii="Times New Roman" w:hAnsi="Times New Roman" w:cs="Times New Roman"/>
      <w:sz w:val="24"/>
      <w:szCs w:val="24"/>
    </w:rPr>
  </w:style>
  <w:style w:type="paragraph" w:customStyle="1" w:styleId="HeaderSensitivity">
    <w:name w:val="Header Sensitivity"/>
    <w:basedOn w:val="Normal"/>
    <w:link w:val="HeaderSensitivityChar"/>
    <w:rsid w:val="00657EC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657EC6"/>
    <w:rPr>
      <w:rFonts w:ascii="Times New Roman" w:hAnsi="Times New Roman" w:cs="Times New Roman"/>
      <w:b/>
      <w:sz w:val="32"/>
      <w:szCs w:val="24"/>
    </w:rPr>
  </w:style>
  <w:style w:type="paragraph" w:customStyle="1" w:styleId="HeaderSensitivityRight">
    <w:name w:val="Header Sensitivity Right"/>
    <w:basedOn w:val="Normal"/>
    <w:link w:val="HeaderSensitivityRightChar"/>
    <w:rsid w:val="00767A1C"/>
    <w:pPr>
      <w:spacing w:after="120"/>
      <w:jc w:val="right"/>
    </w:pPr>
    <w:rPr>
      <w:sz w:val="28"/>
    </w:rPr>
  </w:style>
  <w:style w:type="character" w:customStyle="1" w:styleId="HeaderSensitivityRightChar">
    <w:name w:val="Header Sensitivity Right Char"/>
    <w:basedOn w:val="DefaultParagraphFont"/>
    <w:link w:val="HeaderSensitivityRight"/>
    <w:rsid w:val="00657EC6"/>
    <w:rPr>
      <w:rFonts w:ascii="Times New Roman" w:hAnsi="Times New Roman" w:cs="Times New Roman"/>
      <w:sz w:val="28"/>
      <w:szCs w:val="24"/>
    </w:rPr>
  </w:style>
  <w:style w:type="paragraph" w:customStyle="1" w:styleId="Typedudocument">
    <w:name w:val="Type du document"/>
    <w:basedOn w:val="Normal"/>
    <w:next w:val="Normal"/>
    <w:rsid w:val="004E02E6"/>
    <w:pPr>
      <w:spacing w:before="360" w:after="0"/>
      <w:jc w:val="center"/>
    </w:pPr>
    <w:rPr>
      <w:b/>
      <w:szCs w:val="22"/>
    </w:rPr>
  </w:style>
  <w:style w:type="paragraph" w:customStyle="1" w:styleId="Titreobjet">
    <w:name w:val="Titre objet"/>
    <w:basedOn w:val="Normal"/>
    <w:next w:val="Normal"/>
    <w:rsid w:val="004E02E6"/>
    <w:pPr>
      <w:spacing w:before="360" w:after="360"/>
      <w:jc w:val="center"/>
    </w:pPr>
    <w:rPr>
      <w:b/>
      <w:szCs w:val="22"/>
    </w:rPr>
  </w:style>
  <w:style w:type="character" w:customStyle="1" w:styleId="UnresolvedMention4">
    <w:name w:val="Unresolved Mention4"/>
    <w:basedOn w:val="DefaultParagraphFont"/>
    <w:uiPriority w:val="99"/>
    <w:semiHidden/>
    <w:unhideWhenUsed/>
    <w:rsid w:val="00B86865"/>
    <w:rPr>
      <w:color w:val="605E5C"/>
      <w:shd w:val="clear" w:color="auto" w:fill="E1DFDD"/>
    </w:rPr>
  </w:style>
  <w:style w:type="character" w:customStyle="1" w:styleId="UnresolvedMention5">
    <w:name w:val="Unresolved Mention5"/>
    <w:basedOn w:val="DefaultParagraphFont"/>
    <w:uiPriority w:val="99"/>
    <w:semiHidden/>
    <w:unhideWhenUsed/>
    <w:rsid w:val="00670A6E"/>
    <w:rPr>
      <w:color w:val="605E5C"/>
      <w:shd w:val="clear" w:color="auto" w:fill="E1DFDD"/>
    </w:rPr>
  </w:style>
  <w:style w:type="character" w:customStyle="1" w:styleId="Mention2">
    <w:name w:val="Mention2"/>
    <w:basedOn w:val="DefaultParagraphFont"/>
    <w:uiPriority w:val="99"/>
    <w:unhideWhenUsed/>
    <w:rsid w:val="00C35A9D"/>
    <w:rPr>
      <w:color w:val="2B579A"/>
      <w:shd w:val="clear" w:color="auto" w:fill="E6E6E6"/>
    </w:rPr>
  </w:style>
  <w:style w:type="character" w:customStyle="1" w:styleId="UnresolvedMention6">
    <w:name w:val="Unresolved Mention6"/>
    <w:basedOn w:val="DefaultParagraphFont"/>
    <w:uiPriority w:val="99"/>
    <w:semiHidden/>
    <w:unhideWhenUsed/>
    <w:rsid w:val="00C35A9D"/>
    <w:rPr>
      <w:color w:val="605E5C"/>
      <w:shd w:val="clear" w:color="auto" w:fill="E1DFDD"/>
    </w:rPr>
  </w:style>
  <w:style w:type="character" w:customStyle="1" w:styleId="UnresolvedMention60">
    <w:name w:val="Unresolved Mention60"/>
    <w:basedOn w:val="DefaultParagraphFont"/>
    <w:uiPriority w:val="99"/>
    <w:semiHidden/>
    <w:unhideWhenUsed/>
    <w:rsid w:val="0092545B"/>
    <w:rPr>
      <w:color w:val="605E5C"/>
      <w:shd w:val="clear" w:color="auto" w:fill="E1DFDD"/>
    </w:rPr>
  </w:style>
  <w:style w:type="character" w:customStyle="1" w:styleId="UnresolvedMention600">
    <w:name w:val="Unresolved Mention600"/>
    <w:basedOn w:val="DefaultParagraphFont"/>
    <w:uiPriority w:val="99"/>
    <w:semiHidden/>
    <w:unhideWhenUsed/>
    <w:rsid w:val="00C77265"/>
    <w:rPr>
      <w:color w:val="605E5C"/>
      <w:shd w:val="clear" w:color="auto" w:fill="E1DFDD"/>
    </w:rPr>
  </w:style>
  <w:style w:type="character" w:customStyle="1" w:styleId="UnresolvedMention7">
    <w:name w:val="Unresolved Mention7"/>
    <w:basedOn w:val="DefaultParagraphFont"/>
    <w:uiPriority w:val="99"/>
    <w:semiHidden/>
    <w:unhideWhenUsed/>
    <w:rsid w:val="00270765"/>
    <w:rPr>
      <w:color w:val="605E5C"/>
      <w:shd w:val="clear" w:color="auto" w:fill="E1DFDD"/>
    </w:rPr>
  </w:style>
  <w:style w:type="character" w:customStyle="1" w:styleId="UnresolvedMention8">
    <w:name w:val="Unresolved Mention8"/>
    <w:basedOn w:val="DefaultParagraphFont"/>
    <w:uiPriority w:val="99"/>
    <w:semiHidden/>
    <w:unhideWhenUsed/>
    <w:rsid w:val="00A04F30"/>
    <w:rPr>
      <w:color w:val="605E5C"/>
      <w:shd w:val="clear" w:color="auto" w:fill="E1DFDD"/>
    </w:rPr>
  </w:style>
  <w:style w:type="character" w:customStyle="1" w:styleId="UnresolvedMention9">
    <w:name w:val="Unresolved Mention9"/>
    <w:basedOn w:val="DefaultParagraphFont"/>
    <w:uiPriority w:val="99"/>
    <w:semiHidden/>
    <w:unhideWhenUsed/>
    <w:rsid w:val="00305C64"/>
    <w:rPr>
      <w:color w:val="605E5C"/>
      <w:shd w:val="clear" w:color="auto" w:fill="E1DFDD"/>
    </w:rPr>
  </w:style>
  <w:style w:type="character" w:customStyle="1" w:styleId="UnresolvedMention10">
    <w:name w:val="Unresolved Mention10"/>
    <w:basedOn w:val="DefaultParagraphFont"/>
    <w:uiPriority w:val="99"/>
    <w:semiHidden/>
    <w:unhideWhenUsed/>
    <w:rsid w:val="0081270E"/>
    <w:rPr>
      <w:color w:val="605E5C"/>
      <w:shd w:val="clear" w:color="auto" w:fill="E1DFDD"/>
    </w:rPr>
  </w:style>
  <w:style w:type="character" w:customStyle="1" w:styleId="UnresolvedMention11">
    <w:name w:val="Unresolved Mention11"/>
    <w:basedOn w:val="DefaultParagraphFont"/>
    <w:uiPriority w:val="99"/>
    <w:semiHidden/>
    <w:unhideWhenUsed/>
    <w:rsid w:val="00CE44C7"/>
    <w:rPr>
      <w:color w:val="605E5C"/>
      <w:shd w:val="clear" w:color="auto" w:fill="E1DFDD"/>
    </w:rPr>
  </w:style>
  <w:style w:type="character" w:customStyle="1" w:styleId="UnresolvedMention12">
    <w:name w:val="Unresolved Mention12"/>
    <w:basedOn w:val="DefaultParagraphFont"/>
    <w:uiPriority w:val="99"/>
    <w:semiHidden/>
    <w:unhideWhenUsed/>
    <w:rsid w:val="00997683"/>
    <w:rPr>
      <w:color w:val="605E5C"/>
      <w:shd w:val="clear" w:color="auto" w:fill="E1DFDD"/>
    </w:rPr>
  </w:style>
  <w:style w:type="character" w:customStyle="1" w:styleId="UnresolvedMention13">
    <w:name w:val="Unresolved Mention13"/>
    <w:basedOn w:val="DefaultParagraphFont"/>
    <w:uiPriority w:val="99"/>
    <w:semiHidden/>
    <w:unhideWhenUsed/>
    <w:rsid w:val="00EB7BA8"/>
    <w:rPr>
      <w:color w:val="605E5C"/>
      <w:shd w:val="clear" w:color="auto" w:fill="E1DFDD"/>
    </w:rPr>
  </w:style>
  <w:style w:type="character" w:customStyle="1" w:styleId="UnresolvedMention14">
    <w:name w:val="Unresolved Mention14"/>
    <w:basedOn w:val="DefaultParagraphFont"/>
    <w:uiPriority w:val="99"/>
    <w:semiHidden/>
    <w:unhideWhenUsed/>
    <w:rsid w:val="005D3D4F"/>
    <w:rPr>
      <w:color w:val="605E5C"/>
      <w:shd w:val="clear" w:color="auto" w:fill="E1DFDD"/>
    </w:rPr>
  </w:style>
  <w:style w:type="character" w:customStyle="1" w:styleId="expansiontext-183">
    <w:name w:val="expansiontext-183"/>
    <w:basedOn w:val="DefaultParagraphFont"/>
    <w:rsid w:val="00FE438F"/>
  </w:style>
  <w:style w:type="character" w:customStyle="1" w:styleId="UnresolvedMention15">
    <w:name w:val="Unresolved Mention15"/>
    <w:basedOn w:val="DefaultParagraphFont"/>
    <w:uiPriority w:val="99"/>
    <w:semiHidden/>
    <w:unhideWhenUsed/>
    <w:rsid w:val="000F7F45"/>
    <w:rPr>
      <w:color w:val="605E5C"/>
      <w:shd w:val="clear" w:color="auto" w:fill="E1DFDD"/>
    </w:rPr>
  </w:style>
  <w:style w:type="character" w:customStyle="1" w:styleId="UnresolvedMention16">
    <w:name w:val="Unresolved Mention16"/>
    <w:basedOn w:val="DefaultParagraphFont"/>
    <w:uiPriority w:val="99"/>
    <w:semiHidden/>
    <w:unhideWhenUsed/>
    <w:rsid w:val="003E00AE"/>
    <w:rPr>
      <w:color w:val="605E5C"/>
      <w:shd w:val="clear" w:color="auto" w:fill="E1DFDD"/>
    </w:rPr>
  </w:style>
  <w:style w:type="character" w:customStyle="1" w:styleId="UnresolvedMention17">
    <w:name w:val="Unresolved Mention17"/>
    <w:basedOn w:val="DefaultParagraphFont"/>
    <w:uiPriority w:val="99"/>
    <w:semiHidden/>
    <w:unhideWhenUsed/>
    <w:rsid w:val="005E6CE8"/>
    <w:rPr>
      <w:color w:val="605E5C"/>
      <w:shd w:val="clear" w:color="auto" w:fill="E1DFDD"/>
    </w:rPr>
  </w:style>
  <w:style w:type="character" w:customStyle="1" w:styleId="UnresolvedMention18">
    <w:name w:val="Unresolved Mention18"/>
    <w:basedOn w:val="DefaultParagraphFont"/>
    <w:uiPriority w:val="99"/>
    <w:semiHidden/>
    <w:unhideWhenUsed/>
    <w:rsid w:val="00AE675A"/>
    <w:rPr>
      <w:color w:val="605E5C"/>
      <w:shd w:val="clear" w:color="auto" w:fill="E1DFDD"/>
    </w:rPr>
  </w:style>
  <w:style w:type="character" w:customStyle="1" w:styleId="UnresolvedMention19">
    <w:name w:val="Unresolved Mention19"/>
    <w:basedOn w:val="DefaultParagraphFont"/>
    <w:uiPriority w:val="99"/>
    <w:semiHidden/>
    <w:unhideWhenUsed/>
    <w:rsid w:val="00EF12DE"/>
    <w:rPr>
      <w:color w:val="605E5C"/>
      <w:shd w:val="clear" w:color="auto" w:fill="E1DFDD"/>
    </w:rPr>
  </w:style>
  <w:style w:type="character" w:customStyle="1" w:styleId="footnotereference0">
    <w:name w:val="footnotereference"/>
    <w:basedOn w:val="DefaultParagraphFont"/>
    <w:rsid w:val="00AD71F7"/>
  </w:style>
  <w:style w:type="paragraph" w:customStyle="1" w:styleId="Disclaimer">
    <w:name w:val="Disclaimer"/>
    <w:basedOn w:val="Normal"/>
    <w:rsid w:val="00767A1C"/>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szCs w:val="22"/>
    </w:rPr>
  </w:style>
  <w:style w:type="paragraph" w:customStyle="1" w:styleId="SecurityMarking">
    <w:name w:val="SecurityMarking"/>
    <w:basedOn w:val="Normal"/>
    <w:rsid w:val="00767A1C"/>
    <w:pPr>
      <w:spacing w:after="0" w:line="276" w:lineRule="auto"/>
      <w:ind w:left="5103"/>
      <w:jc w:val="left"/>
    </w:pPr>
    <w:rPr>
      <w:sz w:val="28"/>
      <w:szCs w:val="22"/>
    </w:rPr>
  </w:style>
  <w:style w:type="paragraph" w:customStyle="1" w:styleId="DateMarking">
    <w:name w:val="DateMarking"/>
    <w:basedOn w:val="Normal"/>
    <w:rsid w:val="00767A1C"/>
    <w:pPr>
      <w:spacing w:after="0" w:line="276" w:lineRule="auto"/>
      <w:ind w:left="5103"/>
      <w:jc w:val="left"/>
    </w:pPr>
    <w:rPr>
      <w:i/>
      <w:sz w:val="28"/>
      <w:szCs w:val="22"/>
    </w:rPr>
  </w:style>
  <w:style w:type="paragraph" w:customStyle="1" w:styleId="ReleasableTo">
    <w:name w:val="ReleasableTo"/>
    <w:basedOn w:val="Normal"/>
    <w:rsid w:val="00767A1C"/>
    <w:pPr>
      <w:spacing w:after="0" w:line="276" w:lineRule="auto"/>
      <w:ind w:left="5103"/>
      <w:jc w:val="left"/>
    </w:pPr>
    <w:rPr>
      <w:i/>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6667">
      <w:bodyDiv w:val="1"/>
      <w:marLeft w:val="0"/>
      <w:marRight w:val="0"/>
      <w:marTop w:val="0"/>
      <w:marBottom w:val="0"/>
      <w:divBdr>
        <w:top w:val="none" w:sz="0" w:space="0" w:color="auto"/>
        <w:left w:val="none" w:sz="0" w:space="0" w:color="auto"/>
        <w:bottom w:val="none" w:sz="0" w:space="0" w:color="auto"/>
        <w:right w:val="none" w:sz="0" w:space="0" w:color="auto"/>
      </w:divBdr>
    </w:div>
    <w:div w:id="18817579">
      <w:bodyDiv w:val="1"/>
      <w:marLeft w:val="0"/>
      <w:marRight w:val="0"/>
      <w:marTop w:val="0"/>
      <w:marBottom w:val="0"/>
      <w:divBdr>
        <w:top w:val="none" w:sz="0" w:space="0" w:color="auto"/>
        <w:left w:val="none" w:sz="0" w:space="0" w:color="auto"/>
        <w:bottom w:val="none" w:sz="0" w:space="0" w:color="auto"/>
        <w:right w:val="none" w:sz="0" w:space="0" w:color="auto"/>
      </w:divBdr>
    </w:div>
    <w:div w:id="50856608">
      <w:bodyDiv w:val="1"/>
      <w:marLeft w:val="0"/>
      <w:marRight w:val="0"/>
      <w:marTop w:val="0"/>
      <w:marBottom w:val="0"/>
      <w:divBdr>
        <w:top w:val="none" w:sz="0" w:space="0" w:color="auto"/>
        <w:left w:val="none" w:sz="0" w:space="0" w:color="auto"/>
        <w:bottom w:val="none" w:sz="0" w:space="0" w:color="auto"/>
        <w:right w:val="none" w:sz="0" w:space="0" w:color="auto"/>
      </w:divBdr>
    </w:div>
    <w:div w:id="69693062">
      <w:bodyDiv w:val="1"/>
      <w:marLeft w:val="0"/>
      <w:marRight w:val="0"/>
      <w:marTop w:val="0"/>
      <w:marBottom w:val="0"/>
      <w:divBdr>
        <w:top w:val="none" w:sz="0" w:space="0" w:color="auto"/>
        <w:left w:val="none" w:sz="0" w:space="0" w:color="auto"/>
        <w:bottom w:val="none" w:sz="0" w:space="0" w:color="auto"/>
        <w:right w:val="none" w:sz="0" w:space="0" w:color="auto"/>
      </w:divBdr>
    </w:div>
    <w:div w:id="105738409">
      <w:bodyDiv w:val="1"/>
      <w:marLeft w:val="0"/>
      <w:marRight w:val="0"/>
      <w:marTop w:val="0"/>
      <w:marBottom w:val="0"/>
      <w:divBdr>
        <w:top w:val="none" w:sz="0" w:space="0" w:color="auto"/>
        <w:left w:val="none" w:sz="0" w:space="0" w:color="auto"/>
        <w:bottom w:val="none" w:sz="0" w:space="0" w:color="auto"/>
        <w:right w:val="none" w:sz="0" w:space="0" w:color="auto"/>
      </w:divBdr>
      <w:divsChild>
        <w:div w:id="1647078134">
          <w:marLeft w:val="0"/>
          <w:marRight w:val="0"/>
          <w:marTop w:val="0"/>
          <w:marBottom w:val="0"/>
          <w:divBdr>
            <w:top w:val="none" w:sz="0" w:space="0" w:color="auto"/>
            <w:left w:val="none" w:sz="0" w:space="0" w:color="auto"/>
            <w:bottom w:val="none" w:sz="0" w:space="0" w:color="auto"/>
            <w:right w:val="none" w:sz="0" w:space="0" w:color="auto"/>
          </w:divBdr>
          <w:divsChild>
            <w:div w:id="1944531684">
              <w:marLeft w:val="0"/>
              <w:marRight w:val="0"/>
              <w:marTop w:val="0"/>
              <w:marBottom w:val="0"/>
              <w:divBdr>
                <w:top w:val="none" w:sz="0" w:space="0" w:color="auto"/>
                <w:left w:val="none" w:sz="0" w:space="0" w:color="auto"/>
                <w:bottom w:val="none" w:sz="0" w:space="0" w:color="auto"/>
                <w:right w:val="none" w:sz="0" w:space="0" w:color="auto"/>
              </w:divBdr>
              <w:divsChild>
                <w:div w:id="49886905">
                  <w:marLeft w:val="0"/>
                  <w:marRight w:val="0"/>
                  <w:marTop w:val="0"/>
                  <w:marBottom w:val="0"/>
                  <w:divBdr>
                    <w:top w:val="none" w:sz="0" w:space="0" w:color="auto"/>
                    <w:left w:val="none" w:sz="0" w:space="0" w:color="auto"/>
                    <w:bottom w:val="none" w:sz="0" w:space="0" w:color="auto"/>
                    <w:right w:val="none" w:sz="0" w:space="0" w:color="auto"/>
                  </w:divBdr>
                  <w:divsChild>
                    <w:div w:id="164346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31356">
      <w:bodyDiv w:val="1"/>
      <w:marLeft w:val="0"/>
      <w:marRight w:val="0"/>
      <w:marTop w:val="0"/>
      <w:marBottom w:val="0"/>
      <w:divBdr>
        <w:top w:val="none" w:sz="0" w:space="0" w:color="auto"/>
        <w:left w:val="none" w:sz="0" w:space="0" w:color="auto"/>
        <w:bottom w:val="none" w:sz="0" w:space="0" w:color="auto"/>
        <w:right w:val="none" w:sz="0" w:space="0" w:color="auto"/>
      </w:divBdr>
    </w:div>
    <w:div w:id="148985526">
      <w:bodyDiv w:val="1"/>
      <w:marLeft w:val="0"/>
      <w:marRight w:val="0"/>
      <w:marTop w:val="0"/>
      <w:marBottom w:val="0"/>
      <w:divBdr>
        <w:top w:val="none" w:sz="0" w:space="0" w:color="auto"/>
        <w:left w:val="none" w:sz="0" w:space="0" w:color="auto"/>
        <w:bottom w:val="none" w:sz="0" w:space="0" w:color="auto"/>
        <w:right w:val="none" w:sz="0" w:space="0" w:color="auto"/>
      </w:divBdr>
      <w:divsChild>
        <w:div w:id="1471050970">
          <w:marLeft w:val="0"/>
          <w:marRight w:val="0"/>
          <w:marTop w:val="0"/>
          <w:marBottom w:val="0"/>
          <w:divBdr>
            <w:top w:val="none" w:sz="0" w:space="0" w:color="auto"/>
            <w:left w:val="none" w:sz="0" w:space="0" w:color="auto"/>
            <w:bottom w:val="none" w:sz="0" w:space="0" w:color="auto"/>
            <w:right w:val="none" w:sz="0" w:space="0" w:color="auto"/>
          </w:divBdr>
          <w:divsChild>
            <w:div w:id="285163437">
              <w:marLeft w:val="0"/>
              <w:marRight w:val="0"/>
              <w:marTop w:val="0"/>
              <w:marBottom w:val="0"/>
              <w:divBdr>
                <w:top w:val="none" w:sz="0" w:space="0" w:color="auto"/>
                <w:left w:val="none" w:sz="0" w:space="0" w:color="auto"/>
                <w:bottom w:val="none" w:sz="0" w:space="0" w:color="auto"/>
                <w:right w:val="none" w:sz="0" w:space="0" w:color="auto"/>
              </w:divBdr>
              <w:divsChild>
                <w:div w:id="146565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08818">
      <w:bodyDiv w:val="1"/>
      <w:marLeft w:val="0"/>
      <w:marRight w:val="0"/>
      <w:marTop w:val="0"/>
      <w:marBottom w:val="0"/>
      <w:divBdr>
        <w:top w:val="none" w:sz="0" w:space="0" w:color="auto"/>
        <w:left w:val="none" w:sz="0" w:space="0" w:color="auto"/>
        <w:bottom w:val="none" w:sz="0" w:space="0" w:color="auto"/>
        <w:right w:val="none" w:sz="0" w:space="0" w:color="auto"/>
      </w:divBdr>
    </w:div>
    <w:div w:id="173157619">
      <w:bodyDiv w:val="1"/>
      <w:marLeft w:val="0"/>
      <w:marRight w:val="0"/>
      <w:marTop w:val="0"/>
      <w:marBottom w:val="0"/>
      <w:divBdr>
        <w:top w:val="none" w:sz="0" w:space="0" w:color="auto"/>
        <w:left w:val="none" w:sz="0" w:space="0" w:color="auto"/>
        <w:bottom w:val="none" w:sz="0" w:space="0" w:color="auto"/>
        <w:right w:val="none" w:sz="0" w:space="0" w:color="auto"/>
      </w:divBdr>
    </w:div>
    <w:div w:id="177160413">
      <w:bodyDiv w:val="1"/>
      <w:marLeft w:val="0"/>
      <w:marRight w:val="0"/>
      <w:marTop w:val="0"/>
      <w:marBottom w:val="0"/>
      <w:divBdr>
        <w:top w:val="none" w:sz="0" w:space="0" w:color="auto"/>
        <w:left w:val="none" w:sz="0" w:space="0" w:color="auto"/>
        <w:bottom w:val="none" w:sz="0" w:space="0" w:color="auto"/>
        <w:right w:val="none" w:sz="0" w:space="0" w:color="auto"/>
      </w:divBdr>
    </w:div>
    <w:div w:id="209463862">
      <w:bodyDiv w:val="1"/>
      <w:marLeft w:val="0"/>
      <w:marRight w:val="0"/>
      <w:marTop w:val="0"/>
      <w:marBottom w:val="0"/>
      <w:divBdr>
        <w:top w:val="none" w:sz="0" w:space="0" w:color="auto"/>
        <w:left w:val="none" w:sz="0" w:space="0" w:color="auto"/>
        <w:bottom w:val="none" w:sz="0" w:space="0" w:color="auto"/>
        <w:right w:val="none" w:sz="0" w:space="0" w:color="auto"/>
      </w:divBdr>
    </w:div>
    <w:div w:id="257374103">
      <w:bodyDiv w:val="1"/>
      <w:marLeft w:val="0"/>
      <w:marRight w:val="0"/>
      <w:marTop w:val="0"/>
      <w:marBottom w:val="0"/>
      <w:divBdr>
        <w:top w:val="none" w:sz="0" w:space="0" w:color="auto"/>
        <w:left w:val="none" w:sz="0" w:space="0" w:color="auto"/>
        <w:bottom w:val="none" w:sz="0" w:space="0" w:color="auto"/>
        <w:right w:val="none" w:sz="0" w:space="0" w:color="auto"/>
      </w:divBdr>
    </w:div>
    <w:div w:id="364210049">
      <w:bodyDiv w:val="1"/>
      <w:marLeft w:val="0"/>
      <w:marRight w:val="0"/>
      <w:marTop w:val="0"/>
      <w:marBottom w:val="0"/>
      <w:divBdr>
        <w:top w:val="none" w:sz="0" w:space="0" w:color="auto"/>
        <w:left w:val="none" w:sz="0" w:space="0" w:color="auto"/>
        <w:bottom w:val="none" w:sz="0" w:space="0" w:color="auto"/>
        <w:right w:val="none" w:sz="0" w:space="0" w:color="auto"/>
      </w:divBdr>
    </w:div>
    <w:div w:id="382021751">
      <w:bodyDiv w:val="1"/>
      <w:marLeft w:val="0"/>
      <w:marRight w:val="0"/>
      <w:marTop w:val="0"/>
      <w:marBottom w:val="0"/>
      <w:divBdr>
        <w:top w:val="none" w:sz="0" w:space="0" w:color="auto"/>
        <w:left w:val="none" w:sz="0" w:space="0" w:color="auto"/>
        <w:bottom w:val="none" w:sz="0" w:space="0" w:color="auto"/>
        <w:right w:val="none" w:sz="0" w:space="0" w:color="auto"/>
      </w:divBdr>
    </w:div>
    <w:div w:id="393823570">
      <w:bodyDiv w:val="1"/>
      <w:marLeft w:val="0"/>
      <w:marRight w:val="0"/>
      <w:marTop w:val="0"/>
      <w:marBottom w:val="0"/>
      <w:divBdr>
        <w:top w:val="none" w:sz="0" w:space="0" w:color="auto"/>
        <w:left w:val="none" w:sz="0" w:space="0" w:color="auto"/>
        <w:bottom w:val="none" w:sz="0" w:space="0" w:color="auto"/>
        <w:right w:val="none" w:sz="0" w:space="0" w:color="auto"/>
      </w:divBdr>
    </w:div>
    <w:div w:id="425033461">
      <w:bodyDiv w:val="1"/>
      <w:marLeft w:val="0"/>
      <w:marRight w:val="0"/>
      <w:marTop w:val="0"/>
      <w:marBottom w:val="0"/>
      <w:divBdr>
        <w:top w:val="none" w:sz="0" w:space="0" w:color="auto"/>
        <w:left w:val="none" w:sz="0" w:space="0" w:color="auto"/>
        <w:bottom w:val="none" w:sz="0" w:space="0" w:color="auto"/>
        <w:right w:val="none" w:sz="0" w:space="0" w:color="auto"/>
      </w:divBdr>
    </w:div>
    <w:div w:id="427041126">
      <w:bodyDiv w:val="1"/>
      <w:marLeft w:val="0"/>
      <w:marRight w:val="0"/>
      <w:marTop w:val="0"/>
      <w:marBottom w:val="0"/>
      <w:divBdr>
        <w:top w:val="none" w:sz="0" w:space="0" w:color="auto"/>
        <w:left w:val="none" w:sz="0" w:space="0" w:color="auto"/>
        <w:bottom w:val="none" w:sz="0" w:space="0" w:color="auto"/>
        <w:right w:val="none" w:sz="0" w:space="0" w:color="auto"/>
      </w:divBdr>
    </w:div>
    <w:div w:id="445002247">
      <w:bodyDiv w:val="1"/>
      <w:marLeft w:val="0"/>
      <w:marRight w:val="0"/>
      <w:marTop w:val="0"/>
      <w:marBottom w:val="0"/>
      <w:divBdr>
        <w:top w:val="none" w:sz="0" w:space="0" w:color="auto"/>
        <w:left w:val="none" w:sz="0" w:space="0" w:color="auto"/>
        <w:bottom w:val="none" w:sz="0" w:space="0" w:color="auto"/>
        <w:right w:val="none" w:sz="0" w:space="0" w:color="auto"/>
      </w:divBdr>
    </w:div>
    <w:div w:id="481389999">
      <w:bodyDiv w:val="1"/>
      <w:marLeft w:val="0"/>
      <w:marRight w:val="0"/>
      <w:marTop w:val="0"/>
      <w:marBottom w:val="0"/>
      <w:divBdr>
        <w:top w:val="none" w:sz="0" w:space="0" w:color="auto"/>
        <w:left w:val="none" w:sz="0" w:space="0" w:color="auto"/>
        <w:bottom w:val="none" w:sz="0" w:space="0" w:color="auto"/>
        <w:right w:val="none" w:sz="0" w:space="0" w:color="auto"/>
      </w:divBdr>
    </w:div>
    <w:div w:id="501361473">
      <w:bodyDiv w:val="1"/>
      <w:marLeft w:val="0"/>
      <w:marRight w:val="0"/>
      <w:marTop w:val="0"/>
      <w:marBottom w:val="0"/>
      <w:divBdr>
        <w:top w:val="none" w:sz="0" w:space="0" w:color="auto"/>
        <w:left w:val="none" w:sz="0" w:space="0" w:color="auto"/>
        <w:bottom w:val="none" w:sz="0" w:space="0" w:color="auto"/>
        <w:right w:val="none" w:sz="0" w:space="0" w:color="auto"/>
      </w:divBdr>
    </w:div>
    <w:div w:id="506211894">
      <w:bodyDiv w:val="1"/>
      <w:marLeft w:val="0"/>
      <w:marRight w:val="0"/>
      <w:marTop w:val="0"/>
      <w:marBottom w:val="0"/>
      <w:divBdr>
        <w:top w:val="none" w:sz="0" w:space="0" w:color="auto"/>
        <w:left w:val="none" w:sz="0" w:space="0" w:color="auto"/>
        <w:bottom w:val="none" w:sz="0" w:space="0" w:color="auto"/>
        <w:right w:val="none" w:sz="0" w:space="0" w:color="auto"/>
      </w:divBdr>
    </w:div>
    <w:div w:id="544214914">
      <w:bodyDiv w:val="1"/>
      <w:marLeft w:val="0"/>
      <w:marRight w:val="0"/>
      <w:marTop w:val="0"/>
      <w:marBottom w:val="0"/>
      <w:divBdr>
        <w:top w:val="none" w:sz="0" w:space="0" w:color="auto"/>
        <w:left w:val="none" w:sz="0" w:space="0" w:color="auto"/>
        <w:bottom w:val="none" w:sz="0" w:space="0" w:color="auto"/>
        <w:right w:val="none" w:sz="0" w:space="0" w:color="auto"/>
      </w:divBdr>
    </w:div>
    <w:div w:id="551045496">
      <w:bodyDiv w:val="1"/>
      <w:marLeft w:val="0"/>
      <w:marRight w:val="0"/>
      <w:marTop w:val="0"/>
      <w:marBottom w:val="0"/>
      <w:divBdr>
        <w:top w:val="none" w:sz="0" w:space="0" w:color="auto"/>
        <w:left w:val="none" w:sz="0" w:space="0" w:color="auto"/>
        <w:bottom w:val="none" w:sz="0" w:space="0" w:color="auto"/>
        <w:right w:val="none" w:sz="0" w:space="0" w:color="auto"/>
      </w:divBdr>
    </w:div>
    <w:div w:id="554584768">
      <w:bodyDiv w:val="1"/>
      <w:marLeft w:val="0"/>
      <w:marRight w:val="0"/>
      <w:marTop w:val="0"/>
      <w:marBottom w:val="0"/>
      <w:divBdr>
        <w:top w:val="none" w:sz="0" w:space="0" w:color="auto"/>
        <w:left w:val="none" w:sz="0" w:space="0" w:color="auto"/>
        <w:bottom w:val="none" w:sz="0" w:space="0" w:color="auto"/>
        <w:right w:val="none" w:sz="0" w:space="0" w:color="auto"/>
      </w:divBdr>
    </w:div>
    <w:div w:id="590626386">
      <w:bodyDiv w:val="1"/>
      <w:marLeft w:val="0"/>
      <w:marRight w:val="0"/>
      <w:marTop w:val="0"/>
      <w:marBottom w:val="0"/>
      <w:divBdr>
        <w:top w:val="none" w:sz="0" w:space="0" w:color="auto"/>
        <w:left w:val="none" w:sz="0" w:space="0" w:color="auto"/>
        <w:bottom w:val="none" w:sz="0" w:space="0" w:color="auto"/>
        <w:right w:val="none" w:sz="0" w:space="0" w:color="auto"/>
      </w:divBdr>
      <w:divsChild>
        <w:div w:id="2099445921">
          <w:marLeft w:val="0"/>
          <w:marRight w:val="0"/>
          <w:marTop w:val="0"/>
          <w:marBottom w:val="0"/>
          <w:divBdr>
            <w:top w:val="none" w:sz="0" w:space="0" w:color="auto"/>
            <w:left w:val="none" w:sz="0" w:space="0" w:color="auto"/>
            <w:bottom w:val="none" w:sz="0" w:space="0" w:color="auto"/>
            <w:right w:val="none" w:sz="0" w:space="0" w:color="auto"/>
          </w:divBdr>
        </w:div>
      </w:divsChild>
    </w:div>
    <w:div w:id="612327932">
      <w:bodyDiv w:val="1"/>
      <w:marLeft w:val="0"/>
      <w:marRight w:val="0"/>
      <w:marTop w:val="0"/>
      <w:marBottom w:val="0"/>
      <w:divBdr>
        <w:top w:val="none" w:sz="0" w:space="0" w:color="auto"/>
        <w:left w:val="none" w:sz="0" w:space="0" w:color="auto"/>
        <w:bottom w:val="none" w:sz="0" w:space="0" w:color="auto"/>
        <w:right w:val="none" w:sz="0" w:space="0" w:color="auto"/>
      </w:divBdr>
    </w:div>
    <w:div w:id="639381507">
      <w:bodyDiv w:val="1"/>
      <w:marLeft w:val="0"/>
      <w:marRight w:val="0"/>
      <w:marTop w:val="0"/>
      <w:marBottom w:val="0"/>
      <w:divBdr>
        <w:top w:val="none" w:sz="0" w:space="0" w:color="auto"/>
        <w:left w:val="none" w:sz="0" w:space="0" w:color="auto"/>
        <w:bottom w:val="none" w:sz="0" w:space="0" w:color="auto"/>
        <w:right w:val="none" w:sz="0" w:space="0" w:color="auto"/>
      </w:divBdr>
    </w:div>
    <w:div w:id="699016959">
      <w:bodyDiv w:val="1"/>
      <w:marLeft w:val="0"/>
      <w:marRight w:val="0"/>
      <w:marTop w:val="0"/>
      <w:marBottom w:val="0"/>
      <w:divBdr>
        <w:top w:val="none" w:sz="0" w:space="0" w:color="auto"/>
        <w:left w:val="none" w:sz="0" w:space="0" w:color="auto"/>
        <w:bottom w:val="none" w:sz="0" w:space="0" w:color="auto"/>
        <w:right w:val="none" w:sz="0" w:space="0" w:color="auto"/>
      </w:divBdr>
    </w:div>
    <w:div w:id="870414590">
      <w:bodyDiv w:val="1"/>
      <w:marLeft w:val="0"/>
      <w:marRight w:val="0"/>
      <w:marTop w:val="0"/>
      <w:marBottom w:val="0"/>
      <w:divBdr>
        <w:top w:val="none" w:sz="0" w:space="0" w:color="auto"/>
        <w:left w:val="none" w:sz="0" w:space="0" w:color="auto"/>
        <w:bottom w:val="none" w:sz="0" w:space="0" w:color="auto"/>
        <w:right w:val="none" w:sz="0" w:space="0" w:color="auto"/>
      </w:divBdr>
    </w:div>
    <w:div w:id="881288043">
      <w:bodyDiv w:val="1"/>
      <w:marLeft w:val="0"/>
      <w:marRight w:val="0"/>
      <w:marTop w:val="0"/>
      <w:marBottom w:val="0"/>
      <w:divBdr>
        <w:top w:val="none" w:sz="0" w:space="0" w:color="auto"/>
        <w:left w:val="none" w:sz="0" w:space="0" w:color="auto"/>
        <w:bottom w:val="none" w:sz="0" w:space="0" w:color="auto"/>
        <w:right w:val="none" w:sz="0" w:space="0" w:color="auto"/>
      </w:divBdr>
    </w:div>
    <w:div w:id="946960049">
      <w:bodyDiv w:val="1"/>
      <w:marLeft w:val="0"/>
      <w:marRight w:val="0"/>
      <w:marTop w:val="0"/>
      <w:marBottom w:val="0"/>
      <w:divBdr>
        <w:top w:val="none" w:sz="0" w:space="0" w:color="auto"/>
        <w:left w:val="none" w:sz="0" w:space="0" w:color="auto"/>
        <w:bottom w:val="none" w:sz="0" w:space="0" w:color="auto"/>
        <w:right w:val="none" w:sz="0" w:space="0" w:color="auto"/>
      </w:divBdr>
    </w:div>
    <w:div w:id="951983165">
      <w:bodyDiv w:val="1"/>
      <w:marLeft w:val="0"/>
      <w:marRight w:val="0"/>
      <w:marTop w:val="0"/>
      <w:marBottom w:val="0"/>
      <w:divBdr>
        <w:top w:val="none" w:sz="0" w:space="0" w:color="auto"/>
        <w:left w:val="none" w:sz="0" w:space="0" w:color="auto"/>
        <w:bottom w:val="none" w:sz="0" w:space="0" w:color="auto"/>
        <w:right w:val="none" w:sz="0" w:space="0" w:color="auto"/>
      </w:divBdr>
    </w:div>
    <w:div w:id="959922838">
      <w:bodyDiv w:val="1"/>
      <w:marLeft w:val="0"/>
      <w:marRight w:val="0"/>
      <w:marTop w:val="0"/>
      <w:marBottom w:val="0"/>
      <w:divBdr>
        <w:top w:val="none" w:sz="0" w:space="0" w:color="auto"/>
        <w:left w:val="none" w:sz="0" w:space="0" w:color="auto"/>
        <w:bottom w:val="none" w:sz="0" w:space="0" w:color="auto"/>
        <w:right w:val="none" w:sz="0" w:space="0" w:color="auto"/>
      </w:divBdr>
    </w:div>
    <w:div w:id="968587145">
      <w:bodyDiv w:val="1"/>
      <w:marLeft w:val="0"/>
      <w:marRight w:val="0"/>
      <w:marTop w:val="0"/>
      <w:marBottom w:val="0"/>
      <w:divBdr>
        <w:top w:val="none" w:sz="0" w:space="0" w:color="auto"/>
        <w:left w:val="none" w:sz="0" w:space="0" w:color="auto"/>
        <w:bottom w:val="none" w:sz="0" w:space="0" w:color="auto"/>
        <w:right w:val="none" w:sz="0" w:space="0" w:color="auto"/>
      </w:divBdr>
    </w:div>
    <w:div w:id="977149162">
      <w:bodyDiv w:val="1"/>
      <w:marLeft w:val="0"/>
      <w:marRight w:val="0"/>
      <w:marTop w:val="0"/>
      <w:marBottom w:val="0"/>
      <w:divBdr>
        <w:top w:val="none" w:sz="0" w:space="0" w:color="auto"/>
        <w:left w:val="none" w:sz="0" w:space="0" w:color="auto"/>
        <w:bottom w:val="none" w:sz="0" w:space="0" w:color="auto"/>
        <w:right w:val="none" w:sz="0" w:space="0" w:color="auto"/>
      </w:divBdr>
    </w:div>
    <w:div w:id="1036665099">
      <w:bodyDiv w:val="1"/>
      <w:marLeft w:val="0"/>
      <w:marRight w:val="0"/>
      <w:marTop w:val="0"/>
      <w:marBottom w:val="0"/>
      <w:divBdr>
        <w:top w:val="none" w:sz="0" w:space="0" w:color="auto"/>
        <w:left w:val="none" w:sz="0" w:space="0" w:color="auto"/>
        <w:bottom w:val="none" w:sz="0" w:space="0" w:color="auto"/>
        <w:right w:val="none" w:sz="0" w:space="0" w:color="auto"/>
      </w:divBdr>
    </w:div>
    <w:div w:id="1067219537">
      <w:bodyDiv w:val="1"/>
      <w:marLeft w:val="0"/>
      <w:marRight w:val="0"/>
      <w:marTop w:val="0"/>
      <w:marBottom w:val="0"/>
      <w:divBdr>
        <w:top w:val="none" w:sz="0" w:space="0" w:color="auto"/>
        <w:left w:val="none" w:sz="0" w:space="0" w:color="auto"/>
        <w:bottom w:val="none" w:sz="0" w:space="0" w:color="auto"/>
        <w:right w:val="none" w:sz="0" w:space="0" w:color="auto"/>
      </w:divBdr>
    </w:div>
    <w:div w:id="1117335927">
      <w:bodyDiv w:val="1"/>
      <w:marLeft w:val="0"/>
      <w:marRight w:val="0"/>
      <w:marTop w:val="0"/>
      <w:marBottom w:val="0"/>
      <w:divBdr>
        <w:top w:val="none" w:sz="0" w:space="0" w:color="auto"/>
        <w:left w:val="none" w:sz="0" w:space="0" w:color="auto"/>
        <w:bottom w:val="none" w:sz="0" w:space="0" w:color="auto"/>
        <w:right w:val="none" w:sz="0" w:space="0" w:color="auto"/>
      </w:divBdr>
    </w:div>
    <w:div w:id="1118833843">
      <w:bodyDiv w:val="1"/>
      <w:marLeft w:val="0"/>
      <w:marRight w:val="0"/>
      <w:marTop w:val="0"/>
      <w:marBottom w:val="0"/>
      <w:divBdr>
        <w:top w:val="none" w:sz="0" w:space="0" w:color="auto"/>
        <w:left w:val="none" w:sz="0" w:space="0" w:color="auto"/>
        <w:bottom w:val="none" w:sz="0" w:space="0" w:color="auto"/>
        <w:right w:val="none" w:sz="0" w:space="0" w:color="auto"/>
      </w:divBdr>
    </w:div>
    <w:div w:id="1150439411">
      <w:bodyDiv w:val="1"/>
      <w:marLeft w:val="0"/>
      <w:marRight w:val="0"/>
      <w:marTop w:val="0"/>
      <w:marBottom w:val="0"/>
      <w:divBdr>
        <w:top w:val="none" w:sz="0" w:space="0" w:color="auto"/>
        <w:left w:val="none" w:sz="0" w:space="0" w:color="auto"/>
        <w:bottom w:val="none" w:sz="0" w:space="0" w:color="auto"/>
        <w:right w:val="none" w:sz="0" w:space="0" w:color="auto"/>
      </w:divBdr>
    </w:div>
    <w:div w:id="1165054168">
      <w:bodyDiv w:val="1"/>
      <w:marLeft w:val="0"/>
      <w:marRight w:val="0"/>
      <w:marTop w:val="0"/>
      <w:marBottom w:val="0"/>
      <w:divBdr>
        <w:top w:val="none" w:sz="0" w:space="0" w:color="auto"/>
        <w:left w:val="none" w:sz="0" w:space="0" w:color="auto"/>
        <w:bottom w:val="none" w:sz="0" w:space="0" w:color="auto"/>
        <w:right w:val="none" w:sz="0" w:space="0" w:color="auto"/>
      </w:divBdr>
    </w:div>
    <w:div w:id="1167012067">
      <w:bodyDiv w:val="1"/>
      <w:marLeft w:val="0"/>
      <w:marRight w:val="0"/>
      <w:marTop w:val="0"/>
      <w:marBottom w:val="0"/>
      <w:divBdr>
        <w:top w:val="none" w:sz="0" w:space="0" w:color="auto"/>
        <w:left w:val="none" w:sz="0" w:space="0" w:color="auto"/>
        <w:bottom w:val="none" w:sz="0" w:space="0" w:color="auto"/>
        <w:right w:val="none" w:sz="0" w:space="0" w:color="auto"/>
      </w:divBdr>
    </w:div>
    <w:div w:id="1185561146">
      <w:bodyDiv w:val="1"/>
      <w:marLeft w:val="0"/>
      <w:marRight w:val="0"/>
      <w:marTop w:val="0"/>
      <w:marBottom w:val="0"/>
      <w:divBdr>
        <w:top w:val="none" w:sz="0" w:space="0" w:color="auto"/>
        <w:left w:val="none" w:sz="0" w:space="0" w:color="auto"/>
        <w:bottom w:val="none" w:sz="0" w:space="0" w:color="auto"/>
        <w:right w:val="none" w:sz="0" w:space="0" w:color="auto"/>
      </w:divBdr>
    </w:div>
    <w:div w:id="1187327157">
      <w:bodyDiv w:val="1"/>
      <w:marLeft w:val="0"/>
      <w:marRight w:val="0"/>
      <w:marTop w:val="0"/>
      <w:marBottom w:val="0"/>
      <w:divBdr>
        <w:top w:val="none" w:sz="0" w:space="0" w:color="auto"/>
        <w:left w:val="none" w:sz="0" w:space="0" w:color="auto"/>
        <w:bottom w:val="none" w:sz="0" w:space="0" w:color="auto"/>
        <w:right w:val="none" w:sz="0" w:space="0" w:color="auto"/>
      </w:divBdr>
    </w:div>
    <w:div w:id="1187449283">
      <w:bodyDiv w:val="1"/>
      <w:marLeft w:val="0"/>
      <w:marRight w:val="0"/>
      <w:marTop w:val="0"/>
      <w:marBottom w:val="0"/>
      <w:divBdr>
        <w:top w:val="none" w:sz="0" w:space="0" w:color="auto"/>
        <w:left w:val="none" w:sz="0" w:space="0" w:color="auto"/>
        <w:bottom w:val="none" w:sz="0" w:space="0" w:color="auto"/>
        <w:right w:val="none" w:sz="0" w:space="0" w:color="auto"/>
      </w:divBdr>
    </w:div>
    <w:div w:id="1228688115">
      <w:bodyDiv w:val="1"/>
      <w:marLeft w:val="0"/>
      <w:marRight w:val="0"/>
      <w:marTop w:val="0"/>
      <w:marBottom w:val="0"/>
      <w:divBdr>
        <w:top w:val="none" w:sz="0" w:space="0" w:color="auto"/>
        <w:left w:val="none" w:sz="0" w:space="0" w:color="auto"/>
        <w:bottom w:val="none" w:sz="0" w:space="0" w:color="auto"/>
        <w:right w:val="none" w:sz="0" w:space="0" w:color="auto"/>
      </w:divBdr>
    </w:div>
    <w:div w:id="1228959946">
      <w:bodyDiv w:val="1"/>
      <w:marLeft w:val="0"/>
      <w:marRight w:val="0"/>
      <w:marTop w:val="0"/>
      <w:marBottom w:val="0"/>
      <w:divBdr>
        <w:top w:val="none" w:sz="0" w:space="0" w:color="auto"/>
        <w:left w:val="none" w:sz="0" w:space="0" w:color="auto"/>
        <w:bottom w:val="none" w:sz="0" w:space="0" w:color="auto"/>
        <w:right w:val="none" w:sz="0" w:space="0" w:color="auto"/>
      </w:divBdr>
    </w:div>
    <w:div w:id="1229421353">
      <w:bodyDiv w:val="1"/>
      <w:marLeft w:val="0"/>
      <w:marRight w:val="0"/>
      <w:marTop w:val="0"/>
      <w:marBottom w:val="0"/>
      <w:divBdr>
        <w:top w:val="none" w:sz="0" w:space="0" w:color="auto"/>
        <w:left w:val="none" w:sz="0" w:space="0" w:color="auto"/>
        <w:bottom w:val="none" w:sz="0" w:space="0" w:color="auto"/>
        <w:right w:val="none" w:sz="0" w:space="0" w:color="auto"/>
      </w:divBdr>
    </w:div>
    <w:div w:id="1236434113">
      <w:bodyDiv w:val="1"/>
      <w:marLeft w:val="0"/>
      <w:marRight w:val="0"/>
      <w:marTop w:val="0"/>
      <w:marBottom w:val="0"/>
      <w:divBdr>
        <w:top w:val="none" w:sz="0" w:space="0" w:color="auto"/>
        <w:left w:val="none" w:sz="0" w:space="0" w:color="auto"/>
        <w:bottom w:val="none" w:sz="0" w:space="0" w:color="auto"/>
        <w:right w:val="none" w:sz="0" w:space="0" w:color="auto"/>
      </w:divBdr>
    </w:div>
    <w:div w:id="1342775480">
      <w:bodyDiv w:val="1"/>
      <w:marLeft w:val="0"/>
      <w:marRight w:val="0"/>
      <w:marTop w:val="0"/>
      <w:marBottom w:val="0"/>
      <w:divBdr>
        <w:top w:val="none" w:sz="0" w:space="0" w:color="auto"/>
        <w:left w:val="none" w:sz="0" w:space="0" w:color="auto"/>
        <w:bottom w:val="none" w:sz="0" w:space="0" w:color="auto"/>
        <w:right w:val="none" w:sz="0" w:space="0" w:color="auto"/>
      </w:divBdr>
    </w:div>
    <w:div w:id="1353411494">
      <w:bodyDiv w:val="1"/>
      <w:marLeft w:val="0"/>
      <w:marRight w:val="0"/>
      <w:marTop w:val="0"/>
      <w:marBottom w:val="0"/>
      <w:divBdr>
        <w:top w:val="none" w:sz="0" w:space="0" w:color="auto"/>
        <w:left w:val="none" w:sz="0" w:space="0" w:color="auto"/>
        <w:bottom w:val="none" w:sz="0" w:space="0" w:color="auto"/>
        <w:right w:val="none" w:sz="0" w:space="0" w:color="auto"/>
      </w:divBdr>
    </w:div>
    <w:div w:id="1371342033">
      <w:bodyDiv w:val="1"/>
      <w:marLeft w:val="0"/>
      <w:marRight w:val="0"/>
      <w:marTop w:val="0"/>
      <w:marBottom w:val="0"/>
      <w:divBdr>
        <w:top w:val="none" w:sz="0" w:space="0" w:color="auto"/>
        <w:left w:val="none" w:sz="0" w:space="0" w:color="auto"/>
        <w:bottom w:val="none" w:sz="0" w:space="0" w:color="auto"/>
        <w:right w:val="none" w:sz="0" w:space="0" w:color="auto"/>
      </w:divBdr>
    </w:div>
    <w:div w:id="1418163094">
      <w:bodyDiv w:val="1"/>
      <w:marLeft w:val="0"/>
      <w:marRight w:val="0"/>
      <w:marTop w:val="0"/>
      <w:marBottom w:val="0"/>
      <w:divBdr>
        <w:top w:val="none" w:sz="0" w:space="0" w:color="auto"/>
        <w:left w:val="none" w:sz="0" w:space="0" w:color="auto"/>
        <w:bottom w:val="none" w:sz="0" w:space="0" w:color="auto"/>
        <w:right w:val="none" w:sz="0" w:space="0" w:color="auto"/>
      </w:divBdr>
    </w:div>
    <w:div w:id="1432429625">
      <w:bodyDiv w:val="1"/>
      <w:marLeft w:val="0"/>
      <w:marRight w:val="0"/>
      <w:marTop w:val="0"/>
      <w:marBottom w:val="0"/>
      <w:divBdr>
        <w:top w:val="none" w:sz="0" w:space="0" w:color="auto"/>
        <w:left w:val="none" w:sz="0" w:space="0" w:color="auto"/>
        <w:bottom w:val="none" w:sz="0" w:space="0" w:color="auto"/>
        <w:right w:val="none" w:sz="0" w:space="0" w:color="auto"/>
      </w:divBdr>
    </w:div>
    <w:div w:id="1448306888">
      <w:bodyDiv w:val="1"/>
      <w:marLeft w:val="0"/>
      <w:marRight w:val="0"/>
      <w:marTop w:val="0"/>
      <w:marBottom w:val="0"/>
      <w:divBdr>
        <w:top w:val="none" w:sz="0" w:space="0" w:color="auto"/>
        <w:left w:val="none" w:sz="0" w:space="0" w:color="auto"/>
        <w:bottom w:val="none" w:sz="0" w:space="0" w:color="auto"/>
        <w:right w:val="none" w:sz="0" w:space="0" w:color="auto"/>
      </w:divBdr>
    </w:div>
    <w:div w:id="1467968840">
      <w:bodyDiv w:val="1"/>
      <w:marLeft w:val="0"/>
      <w:marRight w:val="0"/>
      <w:marTop w:val="0"/>
      <w:marBottom w:val="0"/>
      <w:divBdr>
        <w:top w:val="none" w:sz="0" w:space="0" w:color="auto"/>
        <w:left w:val="none" w:sz="0" w:space="0" w:color="auto"/>
        <w:bottom w:val="none" w:sz="0" w:space="0" w:color="auto"/>
        <w:right w:val="none" w:sz="0" w:space="0" w:color="auto"/>
      </w:divBdr>
    </w:div>
    <w:div w:id="1487357822">
      <w:bodyDiv w:val="1"/>
      <w:marLeft w:val="0"/>
      <w:marRight w:val="0"/>
      <w:marTop w:val="0"/>
      <w:marBottom w:val="0"/>
      <w:divBdr>
        <w:top w:val="none" w:sz="0" w:space="0" w:color="auto"/>
        <w:left w:val="none" w:sz="0" w:space="0" w:color="auto"/>
        <w:bottom w:val="none" w:sz="0" w:space="0" w:color="auto"/>
        <w:right w:val="none" w:sz="0" w:space="0" w:color="auto"/>
      </w:divBdr>
    </w:div>
    <w:div w:id="1570653114">
      <w:bodyDiv w:val="1"/>
      <w:marLeft w:val="0"/>
      <w:marRight w:val="0"/>
      <w:marTop w:val="0"/>
      <w:marBottom w:val="0"/>
      <w:divBdr>
        <w:top w:val="none" w:sz="0" w:space="0" w:color="auto"/>
        <w:left w:val="none" w:sz="0" w:space="0" w:color="auto"/>
        <w:bottom w:val="none" w:sz="0" w:space="0" w:color="auto"/>
        <w:right w:val="none" w:sz="0" w:space="0" w:color="auto"/>
      </w:divBdr>
    </w:div>
    <w:div w:id="1575167750">
      <w:bodyDiv w:val="1"/>
      <w:marLeft w:val="0"/>
      <w:marRight w:val="0"/>
      <w:marTop w:val="0"/>
      <w:marBottom w:val="0"/>
      <w:divBdr>
        <w:top w:val="none" w:sz="0" w:space="0" w:color="auto"/>
        <w:left w:val="none" w:sz="0" w:space="0" w:color="auto"/>
        <w:bottom w:val="none" w:sz="0" w:space="0" w:color="auto"/>
        <w:right w:val="none" w:sz="0" w:space="0" w:color="auto"/>
      </w:divBdr>
    </w:div>
    <w:div w:id="1579823648">
      <w:bodyDiv w:val="1"/>
      <w:marLeft w:val="0"/>
      <w:marRight w:val="0"/>
      <w:marTop w:val="0"/>
      <w:marBottom w:val="0"/>
      <w:divBdr>
        <w:top w:val="none" w:sz="0" w:space="0" w:color="auto"/>
        <w:left w:val="none" w:sz="0" w:space="0" w:color="auto"/>
        <w:bottom w:val="none" w:sz="0" w:space="0" w:color="auto"/>
        <w:right w:val="none" w:sz="0" w:space="0" w:color="auto"/>
      </w:divBdr>
    </w:div>
    <w:div w:id="1586382635">
      <w:bodyDiv w:val="1"/>
      <w:marLeft w:val="0"/>
      <w:marRight w:val="0"/>
      <w:marTop w:val="0"/>
      <w:marBottom w:val="0"/>
      <w:divBdr>
        <w:top w:val="none" w:sz="0" w:space="0" w:color="auto"/>
        <w:left w:val="none" w:sz="0" w:space="0" w:color="auto"/>
        <w:bottom w:val="none" w:sz="0" w:space="0" w:color="auto"/>
        <w:right w:val="none" w:sz="0" w:space="0" w:color="auto"/>
      </w:divBdr>
      <w:divsChild>
        <w:div w:id="1126778317">
          <w:marLeft w:val="0"/>
          <w:marRight w:val="0"/>
          <w:marTop w:val="0"/>
          <w:marBottom w:val="0"/>
          <w:divBdr>
            <w:top w:val="none" w:sz="0" w:space="0" w:color="auto"/>
            <w:left w:val="none" w:sz="0" w:space="0" w:color="auto"/>
            <w:bottom w:val="none" w:sz="0" w:space="0" w:color="auto"/>
            <w:right w:val="none" w:sz="0" w:space="0" w:color="auto"/>
          </w:divBdr>
        </w:div>
      </w:divsChild>
    </w:div>
    <w:div w:id="1607073979">
      <w:bodyDiv w:val="1"/>
      <w:marLeft w:val="0"/>
      <w:marRight w:val="0"/>
      <w:marTop w:val="0"/>
      <w:marBottom w:val="0"/>
      <w:divBdr>
        <w:top w:val="none" w:sz="0" w:space="0" w:color="auto"/>
        <w:left w:val="none" w:sz="0" w:space="0" w:color="auto"/>
        <w:bottom w:val="none" w:sz="0" w:space="0" w:color="auto"/>
        <w:right w:val="none" w:sz="0" w:space="0" w:color="auto"/>
      </w:divBdr>
    </w:div>
    <w:div w:id="1726291890">
      <w:bodyDiv w:val="1"/>
      <w:marLeft w:val="0"/>
      <w:marRight w:val="0"/>
      <w:marTop w:val="0"/>
      <w:marBottom w:val="0"/>
      <w:divBdr>
        <w:top w:val="none" w:sz="0" w:space="0" w:color="auto"/>
        <w:left w:val="none" w:sz="0" w:space="0" w:color="auto"/>
        <w:bottom w:val="none" w:sz="0" w:space="0" w:color="auto"/>
        <w:right w:val="none" w:sz="0" w:space="0" w:color="auto"/>
      </w:divBdr>
    </w:div>
    <w:div w:id="1736855126">
      <w:bodyDiv w:val="1"/>
      <w:marLeft w:val="0"/>
      <w:marRight w:val="0"/>
      <w:marTop w:val="0"/>
      <w:marBottom w:val="0"/>
      <w:divBdr>
        <w:top w:val="none" w:sz="0" w:space="0" w:color="auto"/>
        <w:left w:val="none" w:sz="0" w:space="0" w:color="auto"/>
        <w:bottom w:val="none" w:sz="0" w:space="0" w:color="auto"/>
        <w:right w:val="none" w:sz="0" w:space="0" w:color="auto"/>
      </w:divBdr>
    </w:div>
    <w:div w:id="1739666054">
      <w:bodyDiv w:val="1"/>
      <w:marLeft w:val="0"/>
      <w:marRight w:val="0"/>
      <w:marTop w:val="0"/>
      <w:marBottom w:val="0"/>
      <w:divBdr>
        <w:top w:val="none" w:sz="0" w:space="0" w:color="auto"/>
        <w:left w:val="none" w:sz="0" w:space="0" w:color="auto"/>
        <w:bottom w:val="none" w:sz="0" w:space="0" w:color="auto"/>
        <w:right w:val="none" w:sz="0" w:space="0" w:color="auto"/>
      </w:divBdr>
    </w:div>
    <w:div w:id="1749228563">
      <w:bodyDiv w:val="1"/>
      <w:marLeft w:val="0"/>
      <w:marRight w:val="0"/>
      <w:marTop w:val="0"/>
      <w:marBottom w:val="0"/>
      <w:divBdr>
        <w:top w:val="none" w:sz="0" w:space="0" w:color="auto"/>
        <w:left w:val="none" w:sz="0" w:space="0" w:color="auto"/>
        <w:bottom w:val="none" w:sz="0" w:space="0" w:color="auto"/>
        <w:right w:val="none" w:sz="0" w:space="0" w:color="auto"/>
      </w:divBdr>
    </w:div>
    <w:div w:id="1795784679">
      <w:bodyDiv w:val="1"/>
      <w:marLeft w:val="0"/>
      <w:marRight w:val="0"/>
      <w:marTop w:val="0"/>
      <w:marBottom w:val="0"/>
      <w:divBdr>
        <w:top w:val="none" w:sz="0" w:space="0" w:color="auto"/>
        <w:left w:val="none" w:sz="0" w:space="0" w:color="auto"/>
        <w:bottom w:val="none" w:sz="0" w:space="0" w:color="auto"/>
        <w:right w:val="none" w:sz="0" w:space="0" w:color="auto"/>
      </w:divBdr>
    </w:div>
    <w:div w:id="1819371189">
      <w:bodyDiv w:val="1"/>
      <w:marLeft w:val="0"/>
      <w:marRight w:val="0"/>
      <w:marTop w:val="0"/>
      <w:marBottom w:val="0"/>
      <w:divBdr>
        <w:top w:val="none" w:sz="0" w:space="0" w:color="auto"/>
        <w:left w:val="none" w:sz="0" w:space="0" w:color="auto"/>
        <w:bottom w:val="none" w:sz="0" w:space="0" w:color="auto"/>
        <w:right w:val="none" w:sz="0" w:space="0" w:color="auto"/>
      </w:divBdr>
    </w:div>
    <w:div w:id="1880042805">
      <w:bodyDiv w:val="1"/>
      <w:marLeft w:val="0"/>
      <w:marRight w:val="0"/>
      <w:marTop w:val="0"/>
      <w:marBottom w:val="0"/>
      <w:divBdr>
        <w:top w:val="none" w:sz="0" w:space="0" w:color="auto"/>
        <w:left w:val="none" w:sz="0" w:space="0" w:color="auto"/>
        <w:bottom w:val="none" w:sz="0" w:space="0" w:color="auto"/>
        <w:right w:val="none" w:sz="0" w:space="0" w:color="auto"/>
      </w:divBdr>
      <w:divsChild>
        <w:div w:id="764305657">
          <w:marLeft w:val="0"/>
          <w:marRight w:val="0"/>
          <w:marTop w:val="0"/>
          <w:marBottom w:val="0"/>
          <w:divBdr>
            <w:top w:val="none" w:sz="0" w:space="0" w:color="auto"/>
            <w:left w:val="none" w:sz="0" w:space="0" w:color="auto"/>
            <w:bottom w:val="none" w:sz="0" w:space="0" w:color="auto"/>
            <w:right w:val="none" w:sz="0" w:space="0" w:color="auto"/>
          </w:divBdr>
        </w:div>
        <w:div w:id="854615751">
          <w:marLeft w:val="0"/>
          <w:marRight w:val="0"/>
          <w:marTop w:val="0"/>
          <w:marBottom w:val="0"/>
          <w:divBdr>
            <w:top w:val="none" w:sz="0" w:space="0" w:color="auto"/>
            <w:left w:val="none" w:sz="0" w:space="0" w:color="auto"/>
            <w:bottom w:val="none" w:sz="0" w:space="0" w:color="auto"/>
            <w:right w:val="none" w:sz="0" w:space="0" w:color="auto"/>
          </w:divBdr>
          <w:divsChild>
            <w:div w:id="1585188239">
              <w:marLeft w:val="0"/>
              <w:marRight w:val="0"/>
              <w:marTop w:val="0"/>
              <w:marBottom w:val="0"/>
              <w:divBdr>
                <w:top w:val="none" w:sz="0" w:space="0" w:color="auto"/>
                <w:left w:val="none" w:sz="0" w:space="0" w:color="auto"/>
                <w:bottom w:val="none" w:sz="0" w:space="0" w:color="auto"/>
                <w:right w:val="none" w:sz="0" w:space="0" w:color="auto"/>
              </w:divBdr>
            </w:div>
          </w:divsChild>
        </w:div>
        <w:div w:id="1050346569">
          <w:marLeft w:val="0"/>
          <w:marRight w:val="0"/>
          <w:marTop w:val="0"/>
          <w:marBottom w:val="0"/>
          <w:divBdr>
            <w:top w:val="none" w:sz="0" w:space="0" w:color="auto"/>
            <w:left w:val="none" w:sz="0" w:space="0" w:color="auto"/>
            <w:bottom w:val="none" w:sz="0" w:space="0" w:color="auto"/>
            <w:right w:val="none" w:sz="0" w:space="0" w:color="auto"/>
          </w:divBdr>
          <w:divsChild>
            <w:div w:id="1301305511">
              <w:marLeft w:val="0"/>
              <w:marRight w:val="0"/>
              <w:marTop w:val="0"/>
              <w:marBottom w:val="0"/>
              <w:divBdr>
                <w:top w:val="none" w:sz="0" w:space="0" w:color="auto"/>
                <w:left w:val="none" w:sz="0" w:space="0" w:color="auto"/>
                <w:bottom w:val="none" w:sz="0" w:space="0" w:color="auto"/>
                <w:right w:val="none" w:sz="0" w:space="0" w:color="auto"/>
              </w:divBdr>
              <w:divsChild>
                <w:div w:id="974602053">
                  <w:marLeft w:val="0"/>
                  <w:marRight w:val="0"/>
                  <w:marTop w:val="0"/>
                  <w:marBottom w:val="0"/>
                  <w:divBdr>
                    <w:top w:val="none" w:sz="0" w:space="0" w:color="auto"/>
                    <w:left w:val="none" w:sz="0" w:space="0" w:color="auto"/>
                    <w:bottom w:val="none" w:sz="0" w:space="0" w:color="auto"/>
                    <w:right w:val="none" w:sz="0" w:space="0" w:color="auto"/>
                  </w:divBdr>
                  <w:divsChild>
                    <w:div w:id="90469561">
                      <w:marLeft w:val="0"/>
                      <w:marRight w:val="0"/>
                      <w:marTop w:val="0"/>
                      <w:marBottom w:val="0"/>
                      <w:divBdr>
                        <w:top w:val="none" w:sz="0" w:space="0" w:color="auto"/>
                        <w:left w:val="none" w:sz="0" w:space="0" w:color="auto"/>
                        <w:bottom w:val="none" w:sz="0" w:space="0" w:color="auto"/>
                        <w:right w:val="none" w:sz="0" w:space="0" w:color="auto"/>
                      </w:divBdr>
                    </w:div>
                    <w:div w:id="30292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116214">
              <w:marLeft w:val="0"/>
              <w:marRight w:val="0"/>
              <w:marTop w:val="0"/>
              <w:marBottom w:val="0"/>
              <w:divBdr>
                <w:top w:val="none" w:sz="0" w:space="0" w:color="auto"/>
                <w:left w:val="none" w:sz="0" w:space="0" w:color="auto"/>
                <w:bottom w:val="none" w:sz="0" w:space="0" w:color="auto"/>
                <w:right w:val="none" w:sz="0" w:space="0" w:color="auto"/>
              </w:divBdr>
              <w:divsChild>
                <w:div w:id="19940963">
                  <w:marLeft w:val="0"/>
                  <w:marRight w:val="0"/>
                  <w:marTop w:val="0"/>
                  <w:marBottom w:val="0"/>
                  <w:divBdr>
                    <w:top w:val="none" w:sz="0" w:space="0" w:color="auto"/>
                    <w:left w:val="none" w:sz="0" w:space="0" w:color="auto"/>
                    <w:bottom w:val="none" w:sz="0" w:space="0" w:color="auto"/>
                    <w:right w:val="none" w:sz="0" w:space="0" w:color="auto"/>
                  </w:divBdr>
                  <w:divsChild>
                    <w:div w:id="128550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875891">
          <w:marLeft w:val="0"/>
          <w:marRight w:val="0"/>
          <w:marTop w:val="0"/>
          <w:marBottom w:val="0"/>
          <w:divBdr>
            <w:top w:val="none" w:sz="0" w:space="0" w:color="auto"/>
            <w:left w:val="none" w:sz="0" w:space="0" w:color="auto"/>
            <w:bottom w:val="none" w:sz="0" w:space="0" w:color="auto"/>
            <w:right w:val="none" w:sz="0" w:space="0" w:color="auto"/>
          </w:divBdr>
          <w:divsChild>
            <w:div w:id="947010162">
              <w:marLeft w:val="0"/>
              <w:marRight w:val="0"/>
              <w:marTop w:val="0"/>
              <w:marBottom w:val="0"/>
              <w:divBdr>
                <w:top w:val="none" w:sz="0" w:space="0" w:color="auto"/>
                <w:left w:val="none" w:sz="0" w:space="0" w:color="auto"/>
                <w:bottom w:val="none" w:sz="0" w:space="0" w:color="auto"/>
                <w:right w:val="none" w:sz="0" w:space="0" w:color="auto"/>
              </w:divBdr>
              <w:divsChild>
                <w:div w:id="19832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212236">
      <w:bodyDiv w:val="1"/>
      <w:marLeft w:val="0"/>
      <w:marRight w:val="0"/>
      <w:marTop w:val="0"/>
      <w:marBottom w:val="0"/>
      <w:divBdr>
        <w:top w:val="none" w:sz="0" w:space="0" w:color="auto"/>
        <w:left w:val="none" w:sz="0" w:space="0" w:color="auto"/>
        <w:bottom w:val="none" w:sz="0" w:space="0" w:color="auto"/>
        <w:right w:val="none" w:sz="0" w:space="0" w:color="auto"/>
      </w:divBdr>
    </w:div>
    <w:div w:id="1917006927">
      <w:bodyDiv w:val="1"/>
      <w:marLeft w:val="0"/>
      <w:marRight w:val="0"/>
      <w:marTop w:val="0"/>
      <w:marBottom w:val="0"/>
      <w:divBdr>
        <w:top w:val="none" w:sz="0" w:space="0" w:color="auto"/>
        <w:left w:val="none" w:sz="0" w:space="0" w:color="auto"/>
        <w:bottom w:val="none" w:sz="0" w:space="0" w:color="auto"/>
        <w:right w:val="none" w:sz="0" w:space="0" w:color="auto"/>
      </w:divBdr>
    </w:div>
    <w:div w:id="1944532466">
      <w:bodyDiv w:val="1"/>
      <w:marLeft w:val="0"/>
      <w:marRight w:val="0"/>
      <w:marTop w:val="0"/>
      <w:marBottom w:val="0"/>
      <w:divBdr>
        <w:top w:val="none" w:sz="0" w:space="0" w:color="auto"/>
        <w:left w:val="none" w:sz="0" w:space="0" w:color="auto"/>
        <w:bottom w:val="none" w:sz="0" w:space="0" w:color="auto"/>
        <w:right w:val="none" w:sz="0" w:space="0" w:color="auto"/>
      </w:divBdr>
    </w:div>
    <w:div w:id="1952515697">
      <w:bodyDiv w:val="1"/>
      <w:marLeft w:val="0"/>
      <w:marRight w:val="0"/>
      <w:marTop w:val="0"/>
      <w:marBottom w:val="0"/>
      <w:divBdr>
        <w:top w:val="none" w:sz="0" w:space="0" w:color="auto"/>
        <w:left w:val="none" w:sz="0" w:space="0" w:color="auto"/>
        <w:bottom w:val="none" w:sz="0" w:space="0" w:color="auto"/>
        <w:right w:val="none" w:sz="0" w:space="0" w:color="auto"/>
      </w:divBdr>
    </w:div>
    <w:div w:id="2008239705">
      <w:bodyDiv w:val="1"/>
      <w:marLeft w:val="0"/>
      <w:marRight w:val="0"/>
      <w:marTop w:val="0"/>
      <w:marBottom w:val="0"/>
      <w:divBdr>
        <w:top w:val="none" w:sz="0" w:space="0" w:color="auto"/>
        <w:left w:val="none" w:sz="0" w:space="0" w:color="auto"/>
        <w:bottom w:val="none" w:sz="0" w:space="0" w:color="auto"/>
        <w:right w:val="none" w:sz="0" w:space="0" w:color="auto"/>
      </w:divBdr>
    </w:div>
    <w:div w:id="2100978991">
      <w:bodyDiv w:val="1"/>
      <w:marLeft w:val="0"/>
      <w:marRight w:val="0"/>
      <w:marTop w:val="0"/>
      <w:marBottom w:val="0"/>
      <w:divBdr>
        <w:top w:val="none" w:sz="0" w:space="0" w:color="auto"/>
        <w:left w:val="none" w:sz="0" w:space="0" w:color="auto"/>
        <w:bottom w:val="none" w:sz="0" w:space="0" w:color="auto"/>
        <w:right w:val="none" w:sz="0" w:space="0" w:color="auto"/>
      </w:divBdr>
    </w:div>
    <w:div w:id="2118866718">
      <w:bodyDiv w:val="1"/>
      <w:marLeft w:val="0"/>
      <w:marRight w:val="0"/>
      <w:marTop w:val="0"/>
      <w:marBottom w:val="0"/>
      <w:divBdr>
        <w:top w:val="none" w:sz="0" w:space="0" w:color="auto"/>
        <w:left w:val="none" w:sz="0" w:space="0" w:color="auto"/>
        <w:bottom w:val="none" w:sz="0" w:space="0" w:color="auto"/>
        <w:right w:val="none" w:sz="0" w:space="0" w:color="auto"/>
      </w:divBdr>
    </w:div>
    <w:div w:id="2122190382">
      <w:bodyDiv w:val="1"/>
      <w:marLeft w:val="0"/>
      <w:marRight w:val="0"/>
      <w:marTop w:val="0"/>
      <w:marBottom w:val="0"/>
      <w:divBdr>
        <w:top w:val="none" w:sz="0" w:space="0" w:color="auto"/>
        <w:left w:val="none" w:sz="0" w:space="0" w:color="auto"/>
        <w:bottom w:val="none" w:sz="0" w:space="0" w:color="auto"/>
        <w:right w:val="none" w:sz="0" w:space="0" w:color="auto"/>
      </w:divBdr>
      <w:divsChild>
        <w:div w:id="231546949">
          <w:marLeft w:val="0"/>
          <w:marRight w:val="0"/>
          <w:marTop w:val="0"/>
          <w:marBottom w:val="0"/>
          <w:divBdr>
            <w:top w:val="none" w:sz="0" w:space="0" w:color="auto"/>
            <w:left w:val="none" w:sz="0" w:space="0" w:color="auto"/>
            <w:bottom w:val="none" w:sz="0" w:space="0" w:color="auto"/>
            <w:right w:val="none" w:sz="0" w:space="0" w:color="auto"/>
          </w:divBdr>
        </w:div>
        <w:div w:id="1869096795">
          <w:marLeft w:val="0"/>
          <w:marRight w:val="0"/>
          <w:marTop w:val="0"/>
          <w:marBottom w:val="0"/>
          <w:divBdr>
            <w:top w:val="none" w:sz="0" w:space="0" w:color="auto"/>
            <w:left w:val="none" w:sz="0" w:space="0" w:color="auto"/>
            <w:bottom w:val="none" w:sz="0" w:space="0" w:color="auto"/>
            <w:right w:val="none" w:sz="0" w:space="0" w:color="auto"/>
          </w:divBdr>
        </w:div>
      </w:divsChild>
    </w:div>
    <w:div w:id="2135323165">
      <w:bodyDiv w:val="1"/>
      <w:marLeft w:val="0"/>
      <w:marRight w:val="0"/>
      <w:marTop w:val="0"/>
      <w:marBottom w:val="0"/>
      <w:divBdr>
        <w:top w:val="none" w:sz="0" w:space="0" w:color="auto"/>
        <w:left w:val="none" w:sz="0" w:space="0" w:color="auto"/>
        <w:bottom w:val="none" w:sz="0" w:space="0" w:color="auto"/>
        <w:right w:val="none" w:sz="0" w:space="0" w:color="auto"/>
      </w:divBdr>
    </w:div>
    <w:div w:id="2136756782">
      <w:bodyDiv w:val="1"/>
      <w:marLeft w:val="0"/>
      <w:marRight w:val="0"/>
      <w:marTop w:val="0"/>
      <w:marBottom w:val="0"/>
      <w:divBdr>
        <w:top w:val="none" w:sz="0" w:space="0" w:color="auto"/>
        <w:left w:val="none" w:sz="0" w:space="0" w:color="auto"/>
        <w:bottom w:val="none" w:sz="0" w:space="0" w:color="auto"/>
        <w:right w:val="none" w:sz="0" w:space="0" w:color="auto"/>
      </w:divBdr>
    </w:div>
    <w:div w:id="214238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ec.europa.eu/social/main.jsp?catId=1501&amp;langId=ro"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3" Type="http://schemas.openxmlformats.org/officeDocument/2006/relationships/hyperlink" Target="https://single-market-economy.ec.europa.eu/access-finance/data-and-surveys-safe_en" TargetMode="External"/><Relationship Id="rId18" Type="http://schemas.openxmlformats.org/officeDocument/2006/relationships/hyperlink" Target="https://eur-lex.europa.eu/legal-content/RO/TXT/?uri=CELEX:52008DC0394" TargetMode="External"/><Relationship Id="rId26" Type="http://schemas.openxmlformats.org/officeDocument/2006/relationships/hyperlink" Target="https://single-market-economy.ec.europa.eu/publications/com2023217-proposal-regulation-detergents-and-surfactants_en" TargetMode="External"/><Relationship Id="rId39" Type="http://schemas.openxmlformats.org/officeDocument/2006/relationships/hyperlink" Target="https://ec.europa.eu/docsroom/documents/54254?locale=ro" TargetMode="External"/><Relationship Id="rId3" Type="http://schemas.openxmlformats.org/officeDocument/2006/relationships/hyperlink" Target="https://europa.eu/eurobarometer/surveys/detail/2244" TargetMode="External"/><Relationship Id="rId21" Type="http://schemas.openxmlformats.org/officeDocument/2006/relationships/hyperlink" Target="https://ec.europa.eu/solvit/what-is-solvit/index_ro.htm" TargetMode="External"/><Relationship Id="rId34" Type="http://schemas.openxmlformats.org/officeDocument/2006/relationships/hyperlink" Target="https://single-market-economy.ec.europa.eu/access-finance/investeu/investeu-fund-sme-window_en" TargetMode="External"/><Relationship Id="rId42" Type="http://schemas.openxmlformats.org/officeDocument/2006/relationships/hyperlink" Target="https://ec.europa.eu/social/main.jsp?catId=1607&amp;langId=en" TargetMode="External"/><Relationship Id="rId47" Type="http://schemas.openxmlformats.org/officeDocument/2006/relationships/hyperlink" Target="https://op.europa.eu/en/publication-%20%20detail/-/publication/ad5fdad5-6a33-11ed-b14f-01aa75ed71a1/language-en/format-PDF/source-277396461" TargetMode="External"/><Relationship Id="rId50" Type="http://schemas.openxmlformats.org/officeDocument/2006/relationships/hyperlink" Target="https://www.earlywarningeurope.eu/mentor-academy" TargetMode="External"/><Relationship Id="rId7" Type="http://schemas.openxmlformats.org/officeDocument/2006/relationships/hyperlink" Target="https://single-market-economy.ec.europa.eu/industry/transition-pathways_en" TargetMode="External"/><Relationship Id="rId12" Type="http://schemas.openxmlformats.org/officeDocument/2006/relationships/hyperlink" Target="https://europa.eu/eurobarometer/surveys/detail/2244" TargetMode="External"/><Relationship Id="rId17" Type="http://schemas.openxmlformats.org/officeDocument/2006/relationships/hyperlink" Target="https://single-market-economy.ec.europa.eu/smes/sme-strategy/sme-envoys-network_en" TargetMode="External"/><Relationship Id="rId25" Type="http://schemas.openxmlformats.org/officeDocument/2006/relationships/hyperlink" Target="https://economy-finance.ec.europa.eu/economic-and-fiscal-governance/economic-governance-review_en" TargetMode="External"/><Relationship Id="rId33" Type="http://schemas.openxmlformats.org/officeDocument/2006/relationships/hyperlink" Target="https://ec.europa.eu/commission/presscorner/detail/ro/inf_23_1808" TargetMode="External"/><Relationship Id="rId38" Type="http://schemas.openxmlformats.org/officeDocument/2006/relationships/hyperlink" Target="https://ec.europa.eu/docsroom/documents/46111/attachments/1/translations/en/renditions/native" TargetMode="External"/><Relationship Id="rId46" Type="http://schemas.openxmlformats.org/officeDocument/2006/relationships/hyperlink" Target="https://startupnationsstandard.eu/files/SNS-declaration.pdf" TargetMode="External"/><Relationship Id="rId2" Type="http://schemas.openxmlformats.org/officeDocument/2006/relationships/hyperlink" Target="https://www.oecd-ilibrary.org/sites/54337c24-en/index.html?itemId=/content/component/54337c24-en" TargetMode="External"/><Relationship Id="rId16" Type="http://schemas.openxmlformats.org/officeDocument/2006/relationships/hyperlink" Target="https://ec.europa.eu/docsroom/documents/55594?locale=ro" TargetMode="External"/><Relationship Id="rId20" Type="http://schemas.openxmlformats.org/officeDocument/2006/relationships/hyperlink" Target="https://europa.eu/youreurope/" TargetMode="External"/><Relationship Id="rId29" Type="http://schemas.openxmlformats.org/officeDocument/2006/relationships/hyperlink" Target="https://ec.europa.eu/info/law/better-regulation/have-your-say/initiatives/13010-Transport-durabil-revizuirea-Directivei-privind-transporturile-combinate_ro" TargetMode="External"/><Relationship Id="rId41" Type="http://schemas.openxmlformats.org/officeDocument/2006/relationships/hyperlink" Target="https://www.oecd.org/cfe/smes/SME%20activity-report-2023.pdf" TargetMode="External"/><Relationship Id="rId1" Type="http://schemas.openxmlformats.org/officeDocument/2006/relationships/hyperlink" Target="https://single-market-economy.ec.europa.eu/smes/sme-strategy/sme-performance-review_en." TargetMode="External"/><Relationship Id="rId6" Type="http://schemas.openxmlformats.org/officeDocument/2006/relationships/hyperlink" Target="https://competition-policy.ec.europa.eu/public-consultations/2022-de-minimis_en" TargetMode="External"/><Relationship Id="rId11" Type="http://schemas.openxmlformats.org/officeDocument/2006/relationships/hyperlink" Target="https://single-market-economy.ec.europa.eu/industry/transition-pathways_en" TargetMode="External"/><Relationship Id="rId24" Type="http://schemas.openxmlformats.org/officeDocument/2006/relationships/hyperlink" Target="https://eur-lex.europa.eu/legal-content/RO/TXT/?uri=CELEX:52023PC0402" TargetMode="External"/><Relationship Id="rId32" Type="http://schemas.openxmlformats.org/officeDocument/2006/relationships/hyperlink" Target="https://ec.europa.eu/info/law/better-regulation/have-your-say/initiatives/12641-Port-State-control-Further-improving-safety-security-and-sustainability-of-maritime-transport_ro" TargetMode="External"/><Relationship Id="rId37" Type="http://schemas.openxmlformats.org/officeDocument/2006/relationships/hyperlink" Target="https://op.europa.eu/ro/publication-detail/-/publication/eec8227c-ecc4-11ea-b3c6-01aa75ed71a1" TargetMode="External"/><Relationship Id="rId40" Type="http://schemas.openxmlformats.org/officeDocument/2006/relationships/hyperlink" Target="https://ec.europa.eu/docsroom/documents/54276?locale=ro" TargetMode="External"/><Relationship Id="rId45" Type="http://schemas.openxmlformats.org/officeDocument/2006/relationships/hyperlink" Target="https://pact-for-skills.ec.europa.eu/index_en" TargetMode="External"/><Relationship Id="rId5" Type="http://schemas.openxmlformats.org/officeDocument/2006/relationships/hyperlink" Target="https://ec.europa.eu/economy_finance/recovery-and-resilience-scoreboard/smart.html" TargetMode="External"/><Relationship Id="rId15" Type="http://schemas.openxmlformats.org/officeDocument/2006/relationships/hyperlink" Target="https://commission.europa.eu/law/law-making-process/evaluating-and-improving-existing-laws/refit-making-eu-law-simpler-less-costly-and-future-proof/fit-future-platform-f4f_ro" TargetMode="External"/><Relationship Id="rId23" Type="http://schemas.openxmlformats.org/officeDocument/2006/relationships/hyperlink" Target="https://eur-lex.europa.eu/legal-content/RO/TXT/?uri=CELEX%3A32023R0895" TargetMode="External"/><Relationship Id="rId28" Type="http://schemas.openxmlformats.org/officeDocument/2006/relationships/hyperlink" Target="https://health.ec.europa.eu/medicinal-products/pharmaceutical-strategy-europe/reform-eu-pharmaceutical-legislation_en" TargetMode="External"/><Relationship Id="rId36" Type="http://schemas.openxmlformats.org/officeDocument/2006/relationships/hyperlink" Target="https://ec.europa.eu/commission/presscorner/detail/ro/ip_22_7348" TargetMode="External"/><Relationship Id="rId49" Type="http://schemas.openxmlformats.org/officeDocument/2006/relationships/hyperlink" Target="https://op.europa.eu/en/publication-detail/-/publication/fdfae129-69bb-11eb-aeb5-01aa75ed71a1/language-en/format-PDF/source-190448642" TargetMode="External"/><Relationship Id="rId10" Type="http://schemas.openxmlformats.org/officeDocument/2006/relationships/hyperlink" Target="https://single-market-economy.ec.europa.eu/smes/sme-strategy/sme-performance-review_en" TargetMode="External"/><Relationship Id="rId19" Type="http://schemas.openxmlformats.org/officeDocument/2006/relationships/hyperlink" Target="https://eur-lex.europa.eu/legal-content/RO/TXT/?uri=celex%3A52011DC0078" TargetMode="External"/><Relationship Id="rId31" Type="http://schemas.openxmlformats.org/officeDocument/2006/relationships/hyperlink" Target="https://ec.europa.eu/commission/presscorner/detail/ro/ip_23_3767" TargetMode="External"/><Relationship Id="rId44" Type="http://schemas.openxmlformats.org/officeDocument/2006/relationships/hyperlink" Target="https://ec.europa.eu/social/main.jsp?catId=1501" TargetMode="External"/><Relationship Id="rId4" Type="http://schemas.openxmlformats.org/officeDocument/2006/relationships/hyperlink" Target="https://europa.eu/eurobarometer/surveys/detail/2287" TargetMode="External"/><Relationship Id="rId9" Type="http://schemas.openxmlformats.org/officeDocument/2006/relationships/hyperlink" Target="https://commission.europa.eu/strategy-and-policy/priorities-2019-2024/stronger-europe-world/global-gateway_ro" TargetMode="External"/><Relationship Id="rId14" Type="http://schemas.openxmlformats.org/officeDocument/2006/relationships/hyperlink" Target="https://commission.europa.eu/law/law-making-process/planning-and-proposing-law/better-regulation/better-regulation-guidelines-and-toolbox_en" TargetMode="External"/><Relationship Id="rId22" Type="http://schemas.openxmlformats.org/officeDocument/2006/relationships/hyperlink" Target="https://ec.europa.eu/info/law/better-regulation/have-your-say/initiatives/12737-Uniunea-bancara-revizuirea-cadrului-de-gestionare-a-crizelor-bancare-si-de-asigurare-a-depozitelor-revizuirea-BRRD-_ro" TargetMode="External"/><Relationship Id="rId27" Type="http://schemas.openxmlformats.org/officeDocument/2006/relationships/hyperlink" Target="https://ec.europa.eu/info/law/better-regulation/have-your-say/initiatives/13316-Revizuirea-codului-vamal-al-Uniunii_ro" TargetMode="External"/><Relationship Id="rId30" Type="http://schemas.openxmlformats.org/officeDocument/2006/relationships/hyperlink" Target="https://transport.ec.europa.eu/system/files/2023-07/COM_2023_443_0.pdf" TargetMode="External"/><Relationship Id="rId35" Type="http://schemas.openxmlformats.org/officeDocument/2006/relationships/hyperlink" Target="https://www.fi-compass.eu" TargetMode="External"/><Relationship Id="rId43" Type="http://schemas.openxmlformats.org/officeDocument/2006/relationships/hyperlink" Target="%20https://education.ec.europa.eu/ro/focus-topics/digital-education/action-plan/action-9" TargetMode="External"/><Relationship Id="rId48" Type="http://schemas.openxmlformats.org/officeDocument/2006/relationships/hyperlink" Target="https://single-market-economy.ec.europa.eu/smes/supporting-entrepreneurship/transfer-businesses_en" TargetMode="External"/><Relationship Id="rId8" Type="http://schemas.openxmlformats.org/officeDocument/2006/relationships/hyperlink" Target="https://trade.ec.europa.eu/access-to-markets/en/content/single-entry-poin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91FBA-80E4-4DCC-A2B8-1C41519FD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9728</Words>
  <Characters>58369</Characters>
  <Application>Microsoft Office Word</Application>
  <DocSecurity>0</DocSecurity>
  <Lines>845</Lines>
  <Paragraphs>173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67924</CharactersWithSpaces>
  <SharedDoc>false</SharedDoc>
  <HLinks>
    <vt:vector size="330" baseType="variant">
      <vt:variant>
        <vt:i4>4653136</vt:i4>
      </vt:variant>
      <vt:variant>
        <vt:i4>6</vt:i4>
      </vt:variant>
      <vt:variant>
        <vt:i4>0</vt:i4>
      </vt:variant>
      <vt:variant>
        <vt:i4>5</vt:i4>
      </vt:variant>
      <vt:variant>
        <vt:lpwstr>https://ec.europa.eu/social/main.jsp?catId=1501</vt:lpwstr>
      </vt:variant>
      <vt:variant>
        <vt:lpwstr>:~:text=Centres%20of%20Vocational%20Excellence%20(CoVEs,specialisation%20strategies%20and%20social%20inclusion.</vt:lpwstr>
      </vt:variant>
      <vt:variant>
        <vt:i4>262232</vt:i4>
      </vt:variant>
      <vt:variant>
        <vt:i4>285</vt:i4>
      </vt:variant>
      <vt:variant>
        <vt:i4>0</vt:i4>
      </vt:variant>
      <vt:variant>
        <vt:i4>5</vt:i4>
      </vt:variant>
      <vt:variant>
        <vt:lpwstr>https://www.earlywarningeurope.eu/mentor-academy</vt:lpwstr>
      </vt:variant>
      <vt:variant>
        <vt:lpwstr/>
      </vt:variant>
      <vt:variant>
        <vt:i4>4980859</vt:i4>
      </vt:variant>
      <vt:variant>
        <vt:i4>282</vt:i4>
      </vt:variant>
      <vt:variant>
        <vt:i4>0</vt:i4>
      </vt:variant>
      <vt:variant>
        <vt:i4>5</vt:i4>
      </vt:variant>
      <vt:variant>
        <vt:lpwstr>https://single-market-economy.ec.europa.eu/smes/sme-strategy/european-sme-week_en</vt:lpwstr>
      </vt:variant>
      <vt:variant>
        <vt:lpwstr/>
      </vt:variant>
      <vt:variant>
        <vt:i4>7864345</vt:i4>
      </vt:variant>
      <vt:variant>
        <vt:i4>279</vt:i4>
      </vt:variant>
      <vt:variant>
        <vt:i4>0</vt:i4>
      </vt:variant>
      <vt:variant>
        <vt:i4>5</vt:i4>
      </vt:variant>
      <vt:variant>
        <vt:lpwstr>https://single-market-economy.ec.europa.eu/smes/sme-strategy/sme-assembly_en</vt:lpwstr>
      </vt:variant>
      <vt:variant>
        <vt:lpwstr/>
      </vt:variant>
      <vt:variant>
        <vt:i4>1048647</vt:i4>
      </vt:variant>
      <vt:variant>
        <vt:i4>276</vt:i4>
      </vt:variant>
      <vt:variant>
        <vt:i4>0</vt:i4>
      </vt:variant>
      <vt:variant>
        <vt:i4>5</vt:i4>
      </vt:variant>
      <vt:variant>
        <vt:lpwstr>https://op.europa.eu/en/publication-detail/-/publication/fdfae129-69bb-11eb-aeb5-01aa75ed71a1/language-en/format-PDF/source-190448642</vt:lpwstr>
      </vt:variant>
      <vt:variant>
        <vt:lpwstr/>
      </vt:variant>
      <vt:variant>
        <vt:i4>262261</vt:i4>
      </vt:variant>
      <vt:variant>
        <vt:i4>273</vt:i4>
      </vt:variant>
      <vt:variant>
        <vt:i4>0</vt:i4>
      </vt:variant>
      <vt:variant>
        <vt:i4>5</vt:i4>
      </vt:variant>
      <vt:variant>
        <vt:lpwstr>https://single-market-economy.ec.europa.eu/smes/supporting-entrepreneurship/transfer-businesses_en</vt:lpwstr>
      </vt:variant>
      <vt:variant>
        <vt:lpwstr/>
      </vt:variant>
      <vt:variant>
        <vt:i4>983099</vt:i4>
      </vt:variant>
      <vt:variant>
        <vt:i4>261</vt:i4>
      </vt:variant>
      <vt:variant>
        <vt:i4>0</vt:i4>
      </vt:variant>
      <vt:variant>
        <vt:i4>5</vt:i4>
      </vt:variant>
      <vt:variant>
        <vt:lpwstr>https://eur-lex.europa.eu/legal-content/EN/TXT/?uri=uriserv%3AOJ.C_.2021.508.01.0001.01.ENG&amp;toc=OJ%3AC%3A2021%3A508%3ATOC</vt:lpwstr>
      </vt:variant>
      <vt:variant>
        <vt:lpwstr/>
      </vt:variant>
      <vt:variant>
        <vt:i4>1572885</vt:i4>
      </vt:variant>
      <vt:variant>
        <vt:i4>258</vt:i4>
      </vt:variant>
      <vt:variant>
        <vt:i4>0</vt:i4>
      </vt:variant>
      <vt:variant>
        <vt:i4>5</vt:i4>
      </vt:variant>
      <vt:variant>
        <vt:lpwstr>https://op.europa.eu/en/publication-detail/-/publication/ad5fdad5-6a33-11ed-b14f-01aa75ed71a1/language-en/format-PDF/source-277396461</vt:lpwstr>
      </vt:variant>
      <vt:variant>
        <vt:lpwstr/>
      </vt:variant>
      <vt:variant>
        <vt:i4>3342382</vt:i4>
      </vt:variant>
      <vt:variant>
        <vt:i4>252</vt:i4>
      </vt:variant>
      <vt:variant>
        <vt:i4>0</vt:i4>
      </vt:variant>
      <vt:variant>
        <vt:i4>5</vt:i4>
      </vt:variant>
      <vt:variant>
        <vt:lpwstr>https://europa.eu/youreurope/business/finance-funding/getting-funding/access-finance/search/en</vt:lpwstr>
      </vt:variant>
      <vt:variant>
        <vt:lpwstr/>
      </vt:variant>
      <vt:variant>
        <vt:i4>8061030</vt:i4>
      </vt:variant>
      <vt:variant>
        <vt:i4>249</vt:i4>
      </vt:variant>
      <vt:variant>
        <vt:i4>0</vt:i4>
      </vt:variant>
      <vt:variant>
        <vt:i4>5</vt:i4>
      </vt:variant>
      <vt:variant>
        <vt:lpwstr>https://startupnationsstandard.eu/files/SNS-declaration.pdf</vt:lpwstr>
      </vt:variant>
      <vt:variant>
        <vt:lpwstr/>
      </vt:variant>
      <vt:variant>
        <vt:i4>458854</vt:i4>
      </vt:variant>
      <vt:variant>
        <vt:i4>240</vt:i4>
      </vt:variant>
      <vt:variant>
        <vt:i4>0</vt:i4>
      </vt:variant>
      <vt:variant>
        <vt:i4>5</vt:i4>
      </vt:variant>
      <vt:variant>
        <vt:lpwstr>https://pact-for-skills.ec.europa.eu/index_en</vt:lpwstr>
      </vt:variant>
      <vt:variant>
        <vt:lpwstr/>
      </vt:variant>
      <vt:variant>
        <vt:i4>7798838</vt:i4>
      </vt:variant>
      <vt:variant>
        <vt:i4>237</vt:i4>
      </vt:variant>
      <vt:variant>
        <vt:i4>0</vt:i4>
      </vt:variant>
      <vt:variant>
        <vt:i4>5</vt:i4>
      </vt:variant>
      <vt:variant>
        <vt:lpwstr>https://ec.europa.eu/social/main.jsp?catId=1501</vt:lpwstr>
      </vt:variant>
      <vt:variant>
        <vt:lpwstr/>
      </vt:variant>
      <vt:variant>
        <vt:i4>5636180</vt:i4>
      </vt:variant>
      <vt:variant>
        <vt:i4>234</vt:i4>
      </vt:variant>
      <vt:variant>
        <vt:i4>0</vt:i4>
      </vt:variant>
      <vt:variant>
        <vt:i4>5</vt:i4>
      </vt:variant>
      <vt:variant>
        <vt:lpwstr>https://ec.europa.eu/social/main.jsp?catId=1607&amp;langId=en</vt:lpwstr>
      </vt:variant>
      <vt:variant>
        <vt:lpwstr/>
      </vt:variant>
      <vt:variant>
        <vt:i4>7798844</vt:i4>
      </vt:variant>
      <vt:variant>
        <vt:i4>231</vt:i4>
      </vt:variant>
      <vt:variant>
        <vt:i4>0</vt:i4>
      </vt:variant>
      <vt:variant>
        <vt:i4>5</vt:i4>
      </vt:variant>
      <vt:variant>
        <vt:lpwstr>https://www.fi-compass.eu/</vt:lpwstr>
      </vt:variant>
      <vt:variant>
        <vt:lpwstr/>
      </vt:variant>
      <vt:variant>
        <vt:i4>4849700</vt:i4>
      </vt:variant>
      <vt:variant>
        <vt:i4>228</vt:i4>
      </vt:variant>
      <vt:variant>
        <vt:i4>0</vt:i4>
      </vt:variant>
      <vt:variant>
        <vt:i4>5</vt:i4>
      </vt:variant>
      <vt:variant>
        <vt:lpwstr>https://single-market-economy.ec.europa.eu/access-finance/investeu/investeu-fund-sme-window_en</vt:lpwstr>
      </vt:variant>
      <vt:variant>
        <vt:lpwstr/>
      </vt:variant>
      <vt:variant>
        <vt:i4>7143467</vt:i4>
      </vt:variant>
      <vt:variant>
        <vt:i4>222</vt:i4>
      </vt:variant>
      <vt:variant>
        <vt:i4>0</vt:i4>
      </vt:variant>
      <vt:variant>
        <vt:i4>5</vt:i4>
      </vt:variant>
      <vt:variant>
        <vt:lpwstr>https://www.eba.europa.eu/sites/default/documents/files/document_library/About Us/Missions and tasks/Call for Advice/2022/CfA on green loans and mortgages/1043881/EBA Call for Advice Green Loans and Mortgages_Clean.pdf</vt:lpwstr>
      </vt:variant>
      <vt:variant>
        <vt:lpwstr/>
      </vt:variant>
      <vt:variant>
        <vt:i4>6357104</vt:i4>
      </vt:variant>
      <vt:variant>
        <vt:i4>219</vt:i4>
      </vt:variant>
      <vt:variant>
        <vt:i4>0</vt:i4>
      </vt:variant>
      <vt:variant>
        <vt:i4>5</vt:i4>
      </vt:variant>
      <vt:variant>
        <vt:lpwstr>https://www.oecd.org/cfe/smes/SME activity-report-2023.pdf</vt:lpwstr>
      </vt:variant>
      <vt:variant>
        <vt:lpwstr/>
      </vt:variant>
      <vt:variant>
        <vt:i4>524296</vt:i4>
      </vt:variant>
      <vt:variant>
        <vt:i4>216</vt:i4>
      </vt:variant>
      <vt:variant>
        <vt:i4>0</vt:i4>
      </vt:variant>
      <vt:variant>
        <vt:i4>5</vt:i4>
      </vt:variant>
      <vt:variant>
        <vt:lpwstr>https://link.springer.com/article/10.1007/s11187-021-00488-3</vt:lpwstr>
      </vt:variant>
      <vt:variant>
        <vt:lpwstr/>
      </vt:variant>
      <vt:variant>
        <vt:i4>327764</vt:i4>
      </vt:variant>
      <vt:variant>
        <vt:i4>213</vt:i4>
      </vt:variant>
      <vt:variant>
        <vt:i4>0</vt:i4>
      </vt:variant>
      <vt:variant>
        <vt:i4>5</vt:i4>
      </vt:variant>
      <vt:variant>
        <vt:lpwstr>https://www.intrum.com/publications/european-payment-report/european-payment-report-2022/</vt:lpwstr>
      </vt:variant>
      <vt:variant>
        <vt:lpwstr/>
      </vt:variant>
      <vt:variant>
        <vt:i4>7602278</vt:i4>
      </vt:variant>
      <vt:variant>
        <vt:i4>207</vt:i4>
      </vt:variant>
      <vt:variant>
        <vt:i4>0</vt:i4>
      </vt:variant>
      <vt:variant>
        <vt:i4>5</vt:i4>
      </vt:variant>
      <vt:variant>
        <vt:lpwstr>https://ec.europa.eu/commission/presscorner/detail/en/ip_22_7348</vt:lpwstr>
      </vt:variant>
      <vt:variant>
        <vt:lpwstr/>
      </vt:variant>
      <vt:variant>
        <vt:i4>6750297</vt:i4>
      </vt:variant>
      <vt:variant>
        <vt:i4>204</vt:i4>
      </vt:variant>
      <vt:variant>
        <vt:i4>0</vt:i4>
      </vt:variant>
      <vt:variant>
        <vt:i4>5</vt:i4>
      </vt:variant>
      <vt:variant>
        <vt:lpwstr>https://competition-policy.ec.europa.eu/public-consultations/2022-de-minimis_en</vt:lpwstr>
      </vt:variant>
      <vt:variant>
        <vt:lpwstr/>
      </vt:variant>
      <vt:variant>
        <vt:i4>2490369</vt:i4>
      </vt:variant>
      <vt:variant>
        <vt:i4>201</vt:i4>
      </vt:variant>
      <vt:variant>
        <vt:i4>0</vt:i4>
      </vt:variant>
      <vt:variant>
        <vt:i4>5</vt:i4>
      </vt:variant>
      <vt:variant>
        <vt:lpwstr>https://ec.europa.eu/economy_finance/recovery-and-resilience-scoreboard/smart.html</vt:lpwstr>
      </vt:variant>
      <vt:variant>
        <vt:lpwstr/>
      </vt:variant>
      <vt:variant>
        <vt:i4>4849700</vt:i4>
      </vt:variant>
      <vt:variant>
        <vt:i4>198</vt:i4>
      </vt:variant>
      <vt:variant>
        <vt:i4>0</vt:i4>
      </vt:variant>
      <vt:variant>
        <vt:i4>5</vt:i4>
      </vt:variant>
      <vt:variant>
        <vt:lpwstr>https://single-market-economy.ec.europa.eu/access-finance/investeu/investeu-fund-sme-window_en</vt:lpwstr>
      </vt:variant>
      <vt:variant>
        <vt:lpwstr/>
      </vt:variant>
      <vt:variant>
        <vt:i4>4325412</vt:i4>
      </vt:variant>
      <vt:variant>
        <vt:i4>195</vt:i4>
      </vt:variant>
      <vt:variant>
        <vt:i4>0</vt:i4>
      </vt:variant>
      <vt:variant>
        <vt:i4>5</vt:i4>
      </vt:variant>
      <vt:variant>
        <vt:lpwstr>https://single-market-economy.ec.europa.eu/smes/sme-definition_en</vt:lpwstr>
      </vt:variant>
      <vt:variant>
        <vt:lpwstr/>
      </vt:variant>
      <vt:variant>
        <vt:i4>7077905</vt:i4>
      </vt:variant>
      <vt:variant>
        <vt:i4>192</vt:i4>
      </vt:variant>
      <vt:variant>
        <vt:i4>0</vt:i4>
      </vt:variant>
      <vt:variant>
        <vt:i4>5</vt:i4>
      </vt:variant>
      <vt:variant>
        <vt:lpwstr>https://ec.europa.eu/info/law/better-regulation/have-your-say/initiatives/12641-Port-State-control-Further-improving-safety-security-and-sustainability-of-maritime-transport_en</vt:lpwstr>
      </vt:variant>
      <vt:variant>
        <vt:lpwstr/>
      </vt:variant>
      <vt:variant>
        <vt:i4>8323169</vt:i4>
      </vt:variant>
      <vt:variant>
        <vt:i4>189</vt:i4>
      </vt:variant>
      <vt:variant>
        <vt:i4>0</vt:i4>
      </vt:variant>
      <vt:variant>
        <vt:i4>5</vt:i4>
      </vt:variant>
      <vt:variant>
        <vt:lpwstr>https://ec.europa.eu/commission/presscorner/detail/en/ip_23_3767</vt:lpwstr>
      </vt:variant>
      <vt:variant>
        <vt:lpwstr/>
      </vt:variant>
      <vt:variant>
        <vt:i4>1638452</vt:i4>
      </vt:variant>
      <vt:variant>
        <vt:i4>186</vt:i4>
      </vt:variant>
      <vt:variant>
        <vt:i4>0</vt:i4>
      </vt:variant>
      <vt:variant>
        <vt:i4>5</vt:i4>
      </vt:variant>
      <vt:variant>
        <vt:lpwstr>https://transport.ec.europa.eu/system/files/2023-07/COM_2023_443_0.pdf</vt:lpwstr>
      </vt:variant>
      <vt:variant>
        <vt:lpwstr/>
      </vt:variant>
      <vt:variant>
        <vt:i4>4587630</vt:i4>
      </vt:variant>
      <vt:variant>
        <vt:i4>183</vt:i4>
      </vt:variant>
      <vt:variant>
        <vt:i4>0</vt:i4>
      </vt:variant>
      <vt:variant>
        <vt:i4>5</vt:i4>
      </vt:variant>
      <vt:variant>
        <vt:lpwstr>https://ec.europa.eu/info/law/better-regulation/have-your-say/initiatives/13010-Sustainable-transport-revision-of-Combined-Transport-Directive_en</vt:lpwstr>
      </vt:variant>
      <vt:variant>
        <vt:lpwstr/>
      </vt:variant>
      <vt:variant>
        <vt:i4>1704037</vt:i4>
      </vt:variant>
      <vt:variant>
        <vt:i4>180</vt:i4>
      </vt:variant>
      <vt:variant>
        <vt:i4>0</vt:i4>
      </vt:variant>
      <vt:variant>
        <vt:i4>5</vt:i4>
      </vt:variant>
      <vt:variant>
        <vt:lpwstr>https://health.ec.europa.eu/medicinal-products/pharmaceutical-strategy-europe/reform-eu-pharmaceutical-legislation_en</vt:lpwstr>
      </vt:variant>
      <vt:variant>
        <vt:lpwstr/>
      </vt:variant>
      <vt:variant>
        <vt:i4>1835108</vt:i4>
      </vt:variant>
      <vt:variant>
        <vt:i4>177</vt:i4>
      </vt:variant>
      <vt:variant>
        <vt:i4>0</vt:i4>
      </vt:variant>
      <vt:variant>
        <vt:i4>5</vt:i4>
      </vt:variant>
      <vt:variant>
        <vt:lpwstr>https://ec.europa.eu/info/law/better-regulation/have-your-say/initiatives/13316-Revision-of-the-Union-Customs-Code_en</vt:lpwstr>
      </vt:variant>
      <vt:variant>
        <vt:lpwstr/>
      </vt:variant>
      <vt:variant>
        <vt:i4>6750278</vt:i4>
      </vt:variant>
      <vt:variant>
        <vt:i4>174</vt:i4>
      </vt:variant>
      <vt:variant>
        <vt:i4>0</vt:i4>
      </vt:variant>
      <vt:variant>
        <vt:i4>5</vt:i4>
      </vt:variant>
      <vt:variant>
        <vt:lpwstr>https://single-market-economy.ec.europa.eu/publications/com2023217-proposal-regulation-detergents-and-surfactants_en</vt:lpwstr>
      </vt:variant>
      <vt:variant>
        <vt:lpwstr/>
      </vt:variant>
      <vt:variant>
        <vt:i4>6094949</vt:i4>
      </vt:variant>
      <vt:variant>
        <vt:i4>171</vt:i4>
      </vt:variant>
      <vt:variant>
        <vt:i4>0</vt:i4>
      </vt:variant>
      <vt:variant>
        <vt:i4>5</vt:i4>
      </vt:variant>
      <vt:variant>
        <vt:lpwstr>https://economy-finance.ec.europa.eu/economic-and-fiscal-governance/economic-governance-review_en</vt:lpwstr>
      </vt:variant>
      <vt:variant>
        <vt:lpwstr/>
      </vt:variant>
      <vt:variant>
        <vt:i4>1310739</vt:i4>
      </vt:variant>
      <vt:variant>
        <vt:i4>168</vt:i4>
      </vt:variant>
      <vt:variant>
        <vt:i4>0</vt:i4>
      </vt:variant>
      <vt:variant>
        <vt:i4>5</vt:i4>
      </vt:variant>
      <vt:variant>
        <vt:lpwstr>https://eur-lex.europa.eu/legal-content/EN/TXT/?uri=CELEX:52023PC0402</vt:lpwstr>
      </vt:variant>
      <vt:variant>
        <vt:lpwstr/>
      </vt:variant>
      <vt:variant>
        <vt:i4>6619256</vt:i4>
      </vt:variant>
      <vt:variant>
        <vt:i4>165</vt:i4>
      </vt:variant>
      <vt:variant>
        <vt:i4>0</vt:i4>
      </vt:variant>
      <vt:variant>
        <vt:i4>5</vt:i4>
      </vt:variant>
      <vt:variant>
        <vt:lpwstr>https://eur-lex.europa.eu/legal-content/EN/TXT/?uri=CELEX%3A32023R0895</vt:lpwstr>
      </vt:variant>
      <vt:variant>
        <vt:lpwstr/>
      </vt:variant>
      <vt:variant>
        <vt:i4>65662</vt:i4>
      </vt:variant>
      <vt:variant>
        <vt:i4>162</vt:i4>
      </vt:variant>
      <vt:variant>
        <vt:i4>0</vt:i4>
      </vt:variant>
      <vt:variant>
        <vt:i4>5</vt:i4>
      </vt:variant>
      <vt:variant>
        <vt:lpwstr>https://ec.europa.eu/info/law/better-regulation/have-your-say/initiatives/12737-Banking-Union-Review-of-the-crisis-management-and-deposit-insurance-framework-BRRD-review-_en</vt:lpwstr>
      </vt:variant>
      <vt:variant>
        <vt:lpwstr/>
      </vt:variant>
      <vt:variant>
        <vt:i4>6815764</vt:i4>
      </vt:variant>
      <vt:variant>
        <vt:i4>156</vt:i4>
      </vt:variant>
      <vt:variant>
        <vt:i4>0</vt:i4>
      </vt:variant>
      <vt:variant>
        <vt:i4>5</vt:i4>
      </vt:variant>
      <vt:variant>
        <vt:lpwstr>https://ec.europa.eu/solvit/what-is-solvit/index_en.htm</vt:lpwstr>
      </vt:variant>
      <vt:variant>
        <vt:lpwstr/>
      </vt:variant>
      <vt:variant>
        <vt:i4>4325399</vt:i4>
      </vt:variant>
      <vt:variant>
        <vt:i4>153</vt:i4>
      </vt:variant>
      <vt:variant>
        <vt:i4>0</vt:i4>
      </vt:variant>
      <vt:variant>
        <vt:i4>5</vt:i4>
      </vt:variant>
      <vt:variant>
        <vt:lpwstr>https://europa.eu/youreurope/</vt:lpwstr>
      </vt:variant>
      <vt:variant>
        <vt:lpwstr/>
      </vt:variant>
      <vt:variant>
        <vt:i4>6160477</vt:i4>
      </vt:variant>
      <vt:variant>
        <vt:i4>150</vt:i4>
      </vt:variant>
      <vt:variant>
        <vt:i4>0</vt:i4>
      </vt:variant>
      <vt:variant>
        <vt:i4>5</vt:i4>
      </vt:variant>
      <vt:variant>
        <vt:lpwstr>https://eur-lex.europa.eu/eli/dir/2020/285/oj</vt:lpwstr>
      </vt:variant>
      <vt:variant>
        <vt:lpwstr/>
      </vt:variant>
      <vt:variant>
        <vt:i4>262249</vt:i4>
      </vt:variant>
      <vt:variant>
        <vt:i4>147</vt:i4>
      </vt:variant>
      <vt:variant>
        <vt:i4>0</vt:i4>
      </vt:variant>
      <vt:variant>
        <vt:i4>5</vt:i4>
      </vt:variant>
      <vt:variant>
        <vt:lpwstr>https://commission.europa.eu/law/law-making-process/planning-and-proposing-law/better-regulation/better-regulation-guidelines-and-toolbox/better-regulation-toolbox_en</vt:lpwstr>
      </vt:variant>
      <vt:variant>
        <vt:lpwstr/>
      </vt:variant>
      <vt:variant>
        <vt:i4>2031741</vt:i4>
      </vt:variant>
      <vt:variant>
        <vt:i4>144</vt:i4>
      </vt:variant>
      <vt:variant>
        <vt:i4>0</vt:i4>
      </vt:variant>
      <vt:variant>
        <vt:i4>5</vt:i4>
      </vt:variant>
      <vt:variant>
        <vt:lpwstr>https://commission.europa.eu/law/law-making-process/evaluating-and-improving-existing-laws/refit-making-eu-law-simpler-less-costly-and-future-proof/fit-future-platform-f4f_en</vt:lpwstr>
      </vt:variant>
      <vt:variant>
        <vt:lpwstr/>
      </vt:variant>
      <vt:variant>
        <vt:i4>8061001</vt:i4>
      </vt:variant>
      <vt:variant>
        <vt:i4>141</vt:i4>
      </vt:variant>
      <vt:variant>
        <vt:i4>0</vt:i4>
      </vt:variant>
      <vt:variant>
        <vt:i4>5</vt:i4>
      </vt:variant>
      <vt:variant>
        <vt:lpwstr>https://ec.europa.eu/info/law/better-regulation/have-your-say_en</vt:lpwstr>
      </vt:variant>
      <vt:variant>
        <vt:lpwstr/>
      </vt:variant>
      <vt:variant>
        <vt:i4>4980856</vt:i4>
      </vt:variant>
      <vt:variant>
        <vt:i4>138</vt:i4>
      </vt:variant>
      <vt:variant>
        <vt:i4>0</vt:i4>
      </vt:variant>
      <vt:variant>
        <vt:i4>5</vt:i4>
      </vt:variant>
      <vt:variant>
        <vt:lpwstr>https://single-market-economy.ec.europa.eu/smes/sme-strategy/sme-envoys-network_en</vt:lpwstr>
      </vt:variant>
      <vt:variant>
        <vt:lpwstr/>
      </vt:variant>
      <vt:variant>
        <vt:i4>6226015</vt:i4>
      </vt:variant>
      <vt:variant>
        <vt:i4>135</vt:i4>
      </vt:variant>
      <vt:variant>
        <vt:i4>0</vt:i4>
      </vt:variant>
      <vt:variant>
        <vt:i4>5</vt:i4>
      </vt:variant>
      <vt:variant>
        <vt:lpwstr>https://ec.europa.eu/docsroom/documents/53934</vt:lpwstr>
      </vt:variant>
      <vt:variant>
        <vt:lpwstr/>
      </vt:variant>
      <vt:variant>
        <vt:i4>7012416</vt:i4>
      </vt:variant>
      <vt:variant>
        <vt:i4>132</vt:i4>
      </vt:variant>
      <vt:variant>
        <vt:i4>0</vt:i4>
      </vt:variant>
      <vt:variant>
        <vt:i4>5</vt:i4>
      </vt:variant>
      <vt:variant>
        <vt:lpwstr>https://commission.europa.eu/law/law-making-process/planning-and-proposing-law/better-regulation/better-regulation-guidelines-and-toolbox_en</vt:lpwstr>
      </vt:variant>
      <vt:variant>
        <vt:lpwstr/>
      </vt:variant>
      <vt:variant>
        <vt:i4>1179706</vt:i4>
      </vt:variant>
      <vt:variant>
        <vt:i4>126</vt:i4>
      </vt:variant>
      <vt:variant>
        <vt:i4>0</vt:i4>
      </vt:variant>
      <vt:variant>
        <vt:i4>5</vt:i4>
      </vt:variant>
      <vt:variant>
        <vt:lpwstr>https://single-market-economy.ec.europa.eu/access-finance/data-and-surveys-safe_en</vt:lpwstr>
      </vt:variant>
      <vt:variant>
        <vt:lpwstr/>
      </vt:variant>
      <vt:variant>
        <vt:i4>2097251</vt:i4>
      </vt:variant>
      <vt:variant>
        <vt:i4>123</vt:i4>
      </vt:variant>
      <vt:variant>
        <vt:i4>0</vt:i4>
      </vt:variant>
      <vt:variant>
        <vt:i4>5</vt:i4>
      </vt:variant>
      <vt:variant>
        <vt:lpwstr>https://europa.eu/eurobarometer/surveys/detail/2244</vt:lpwstr>
      </vt:variant>
      <vt:variant>
        <vt:lpwstr/>
      </vt:variant>
      <vt:variant>
        <vt:i4>65585</vt:i4>
      </vt:variant>
      <vt:variant>
        <vt:i4>120</vt:i4>
      </vt:variant>
      <vt:variant>
        <vt:i4>0</vt:i4>
      </vt:variant>
      <vt:variant>
        <vt:i4>5</vt:i4>
      </vt:variant>
      <vt:variant>
        <vt:lpwstr>https://single-market-economy.ec.europa.eu/smes/sme-strategy/sme-performance-review_en</vt:lpwstr>
      </vt:variant>
      <vt:variant>
        <vt:lpwstr/>
      </vt:variant>
      <vt:variant>
        <vt:i4>131076</vt:i4>
      </vt:variant>
      <vt:variant>
        <vt:i4>54</vt:i4>
      </vt:variant>
      <vt:variant>
        <vt:i4>0</vt:i4>
      </vt:variant>
      <vt:variant>
        <vt:i4>5</vt:i4>
      </vt:variant>
      <vt:variant>
        <vt:lpwstr>https://trade.ec.europa.eu/access-to-markets/en/content/single-entry-point-0</vt:lpwstr>
      </vt:variant>
      <vt:variant>
        <vt:lpwstr/>
      </vt:variant>
      <vt:variant>
        <vt:i4>5636156</vt:i4>
      </vt:variant>
      <vt:variant>
        <vt:i4>48</vt:i4>
      </vt:variant>
      <vt:variant>
        <vt:i4>0</vt:i4>
      </vt:variant>
      <vt:variant>
        <vt:i4>5</vt:i4>
      </vt:variant>
      <vt:variant>
        <vt:lpwstr>https://single-market-economy.ec.europa.eu/industry/transition-pathways_en</vt:lpwstr>
      </vt:variant>
      <vt:variant>
        <vt:lpwstr/>
      </vt:variant>
      <vt:variant>
        <vt:i4>131166</vt:i4>
      </vt:variant>
      <vt:variant>
        <vt:i4>18</vt:i4>
      </vt:variant>
      <vt:variant>
        <vt:i4>0</vt:i4>
      </vt:variant>
      <vt:variant>
        <vt:i4>5</vt:i4>
      </vt:variant>
      <vt:variant>
        <vt:lpwstr>https://single-market-economy.ec.europa.eu/system/files/2023-01/ASMR 2023.pdf</vt:lpwstr>
      </vt:variant>
      <vt:variant>
        <vt:lpwstr/>
      </vt:variant>
      <vt:variant>
        <vt:i4>2883683</vt:i4>
      </vt:variant>
      <vt:variant>
        <vt:i4>12</vt:i4>
      </vt:variant>
      <vt:variant>
        <vt:i4>0</vt:i4>
      </vt:variant>
      <vt:variant>
        <vt:i4>5</vt:i4>
      </vt:variant>
      <vt:variant>
        <vt:lpwstr>https://europa.eu/eurobarometer/surveys/detail/2287</vt:lpwstr>
      </vt:variant>
      <vt:variant>
        <vt:lpwstr/>
      </vt:variant>
      <vt:variant>
        <vt:i4>2097251</vt:i4>
      </vt:variant>
      <vt:variant>
        <vt:i4>9</vt:i4>
      </vt:variant>
      <vt:variant>
        <vt:i4>0</vt:i4>
      </vt:variant>
      <vt:variant>
        <vt:i4>5</vt:i4>
      </vt:variant>
      <vt:variant>
        <vt:lpwstr>https://europa.eu/eurobarometer/surveys/detail/2244</vt:lpwstr>
      </vt:variant>
      <vt:variant>
        <vt:lpwstr/>
      </vt:variant>
      <vt:variant>
        <vt:i4>4849673</vt:i4>
      </vt:variant>
      <vt:variant>
        <vt:i4>6</vt:i4>
      </vt:variant>
      <vt:variant>
        <vt:i4>0</vt:i4>
      </vt:variant>
      <vt:variant>
        <vt:i4>5</vt:i4>
      </vt:variant>
      <vt:variant>
        <vt:lpwstr>https://www.oecd-ilibrary.org/sites/54337c24-en/index.html?itemId=/content/component/54337c24-en</vt:lpwstr>
      </vt:variant>
      <vt:variant>
        <vt:lpwstr/>
      </vt:variant>
      <vt:variant>
        <vt:i4>2097251</vt:i4>
      </vt:variant>
      <vt:variant>
        <vt:i4>3</vt:i4>
      </vt:variant>
      <vt:variant>
        <vt:i4>0</vt:i4>
      </vt:variant>
      <vt:variant>
        <vt:i4>5</vt:i4>
      </vt:variant>
      <vt:variant>
        <vt:lpwstr>https://europa.eu/eurobarometer/surveys/detail/2244</vt:lpwstr>
      </vt:variant>
      <vt:variant>
        <vt:lpwstr/>
      </vt:variant>
      <vt:variant>
        <vt:i4>65585</vt:i4>
      </vt:variant>
      <vt:variant>
        <vt:i4>0</vt:i4>
      </vt:variant>
      <vt:variant>
        <vt:i4>0</vt:i4>
      </vt:variant>
      <vt:variant>
        <vt:i4>5</vt:i4>
      </vt:variant>
      <vt:variant>
        <vt:lpwstr>https://single-market-economy.ec.europa.eu/smes/sme-strategy/sme-performance-review_en.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2023-09-12T07:26:00Z</dcterms:created>
  <dcterms:modified xsi:type="dcterms:W3CDTF">2023-09-18T15:32:00Z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2023-09-11T15:32:27Z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003c43de-d505-46d2-869a-09f2a7d3455b</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ies>
</file>