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00D02" w14:textId="3935176F" w:rsidR="00520813" w:rsidRDefault="000E38CB" w:rsidP="000E38CB">
      <w:pPr>
        <w:pStyle w:val="Pagedecouverture"/>
        <w:rPr>
          <w:noProof/>
        </w:rPr>
      </w:pPr>
      <w:bookmarkStart w:id="0" w:name="LW_BM_COVERPAGE"/>
      <w:r>
        <w:rPr>
          <w:noProof/>
        </w:rPr>
        <w:pict w14:anchorId="1F555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BE0DB9A-1A01-4854-808E-835DFBF2B00D" style="width:455.25pt;height:324pt">
            <v:imagedata r:id="rId12" o:title=""/>
          </v:shape>
        </w:pict>
      </w:r>
    </w:p>
    <w:bookmarkEnd w:id="0"/>
    <w:p w14:paraId="7CCFDAB1" w14:textId="77777777" w:rsidR="00520813" w:rsidRDefault="00520813" w:rsidP="00520813">
      <w:pPr>
        <w:rPr>
          <w:noProof/>
        </w:rPr>
        <w:sectPr w:rsidR="00520813" w:rsidSect="000E38CB">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1C04EBD" w14:textId="77777777" w:rsidR="00E93CFA" w:rsidRPr="00E93CFA" w:rsidRDefault="00E93CFA" w:rsidP="00E93CFA">
      <w:pPr>
        <w:pStyle w:val="Heading1"/>
        <w:spacing w:before="120"/>
        <w:rPr>
          <w:bCs/>
          <w:noProof/>
          <w:szCs w:val="24"/>
          <w:lang w:val="fr-BE"/>
        </w:rPr>
      </w:pPr>
      <w:bookmarkStart w:id="1" w:name="_GoBack"/>
      <w:bookmarkEnd w:id="1"/>
      <w:r w:rsidRPr="00E93CFA">
        <w:rPr>
          <w:noProof/>
          <w:lang w:val="fr-BE"/>
        </w:rPr>
        <w:lastRenderedPageBreak/>
        <w:t>Introduction: Un plan industriel du pacte vert pour l’ère du zéro émission nette</w:t>
      </w:r>
    </w:p>
    <w:p w14:paraId="7999A82F" w14:textId="77777777" w:rsidR="00E93CFA" w:rsidRPr="00E93CFA" w:rsidRDefault="00E93CFA" w:rsidP="00E93CFA">
      <w:pPr>
        <w:spacing w:before="120" w:after="120" w:line="240" w:lineRule="auto"/>
        <w:rPr>
          <w:noProof/>
          <w:sz w:val="24"/>
          <w:szCs w:val="24"/>
          <w:lang w:val="fr-BE"/>
        </w:rPr>
      </w:pPr>
      <w:r w:rsidRPr="00E93CFA">
        <w:rPr>
          <w:b/>
          <w:noProof/>
          <w:sz w:val="24"/>
          <w:lang w:val="fr-BE"/>
        </w:rPr>
        <w:t>La présente décennie sera décisive pour permettre au monde de limiter le réchauffement de la planète et de prendre les mesures nécessaires pour atteindre le zéro émission nette.</w:t>
      </w:r>
      <w:r w:rsidRPr="00E93CFA">
        <w:rPr>
          <w:noProof/>
          <w:sz w:val="24"/>
          <w:lang w:val="fr-BE"/>
        </w:rPr>
        <w:t xml:space="preserve"> Les enjeux sont élevés et les défis complexes, mais une occasion unique se présente d’utiliser cet impératif comme catalyseur pour investir dans l’économie des énergies propres et dans l’industrie de l’ère du zéro émission nette. </w:t>
      </w:r>
    </w:p>
    <w:p w14:paraId="16D61946" w14:textId="77777777" w:rsidR="00E93CFA" w:rsidRPr="00E93CFA" w:rsidRDefault="00E93CFA" w:rsidP="00E93CFA">
      <w:pPr>
        <w:spacing w:line="240" w:lineRule="auto"/>
        <w:rPr>
          <w:noProof/>
          <w:sz w:val="24"/>
          <w:szCs w:val="24"/>
          <w:lang w:val="fr-BE"/>
        </w:rPr>
      </w:pPr>
      <w:r w:rsidRPr="00E93CFA">
        <w:rPr>
          <w:b/>
          <w:noProof/>
          <w:sz w:val="24"/>
          <w:lang w:val="fr-BE"/>
        </w:rPr>
        <w:t xml:space="preserve">Le pacte vert pour l’Europe grave dans le marbre nos ambitions en matière de transition écologique, y compris nos objectifs climatiques vers le zéro émission nette à l’horizon 2050. </w:t>
      </w:r>
      <w:r w:rsidRPr="00E93CFA">
        <w:rPr>
          <w:noProof/>
          <w:sz w:val="24"/>
          <w:lang w:val="fr-BE"/>
        </w:rPr>
        <w:t>Le paquet «Ajustement à l’objectif 55» prévoit un plan concret pour placer fermement l’économie européenne sur la bonne trajectoire, tandis que le plan REPowerEU accélère l’abandon des combustibles fossiles. Avec le plan d’action pour une économie circulaire, ils fixent le cadre de la transformation de l’industrie de l’UE en vue de l’ère du zéro émission nette.</w:t>
      </w:r>
    </w:p>
    <w:p w14:paraId="2E945232" w14:textId="77777777" w:rsidR="00E93CFA" w:rsidRPr="00E93CFA" w:rsidRDefault="00E93CFA" w:rsidP="00E93CFA">
      <w:pPr>
        <w:spacing w:before="120" w:after="120" w:line="240" w:lineRule="auto"/>
        <w:rPr>
          <w:noProof/>
          <w:sz w:val="24"/>
          <w:szCs w:val="24"/>
          <w:lang w:val="fr-BE"/>
        </w:rPr>
      </w:pPr>
      <w:r w:rsidRPr="00E93CFA">
        <w:rPr>
          <w:b/>
          <w:noProof/>
          <w:sz w:val="24"/>
          <w:lang w:val="fr-BE"/>
        </w:rPr>
        <w:t>La forme que prendra l’économie à l’ère du zéro émission nette va s’affirmer au cours des prochaines années.</w:t>
      </w:r>
      <w:r w:rsidRPr="00E93CFA">
        <w:rPr>
          <w:noProof/>
          <w:sz w:val="24"/>
          <w:lang w:val="fr-BE"/>
        </w:rPr>
        <w:t xml:space="preserve"> De nouveaux marchés auront été créés, des technologies propres innovantes auront été mises au point, développées et commercialisées, et nos systèmes énergétiques auront été transformés. Par conséquent, ceux qui, aujourd’hui, investissent les premiers et le plus rapidement s'assureront une place dans cette nouvelle économie, créeront des emplois pour une main-d’œuvre dotée de nouvelles compétences, moderniseront les sites de production industrielle, réduiront les coûts pour les particuliers et les entreprises et seront idéalement placés pour aider d’autres parties du monde à décarboner leur économie. </w:t>
      </w:r>
    </w:p>
    <w:p w14:paraId="0B2211BF" w14:textId="77777777" w:rsidR="00E93CFA" w:rsidRPr="00E93CFA" w:rsidRDefault="00E93CFA" w:rsidP="00E93CFA">
      <w:pPr>
        <w:spacing w:before="120" w:after="120" w:line="240" w:lineRule="auto"/>
        <w:rPr>
          <w:noProof/>
          <w:sz w:val="24"/>
          <w:szCs w:val="24"/>
          <w:lang w:val="fr-BE"/>
        </w:rPr>
      </w:pPr>
      <w:r w:rsidRPr="00E93CFA">
        <w:rPr>
          <w:noProof/>
          <w:sz w:val="24"/>
          <w:lang w:val="fr-BE"/>
        </w:rPr>
        <w:t>L’ampleur des possibilités qui s’offrent à l’industrie européenne met clairement en évidence la nécessité de décarboner l’économie. L’Agence internationale de l’énergie estime que, d’ici à 2030, le marché mondial des technologies clés en matière d’énergie propre fabriquées à grande échelle pèsera quelque 650 milliards d’USD par an (environ 600 milliards d’EUR) – soit plus du triple d’aujourd’hui. Le nombre d’emplois correspondants dans le secteur de la production d’énergie pourrait plus que doubler au cours de la même période</w:t>
      </w:r>
      <w:r>
        <w:rPr>
          <w:rStyle w:val="FootnoteReference"/>
          <w:noProof/>
          <w:sz w:val="24"/>
          <w:szCs w:val="24"/>
        </w:rPr>
        <w:footnoteReference w:id="2"/>
      </w:r>
      <w:r w:rsidRPr="00E93CFA">
        <w:rPr>
          <w:noProof/>
          <w:sz w:val="24"/>
          <w:lang w:val="fr-BE"/>
        </w:rPr>
        <w:t>. L’industrie à zéro émission nette connaît une forte croissance à l’échelle mondiale, à tel point que la demande dépasse parfois l’offre.</w:t>
      </w:r>
    </w:p>
    <w:p w14:paraId="350F8E1A" w14:textId="77777777" w:rsidR="00E93CFA" w:rsidRPr="00E93CFA" w:rsidRDefault="00E93CFA" w:rsidP="00E93CFA">
      <w:pPr>
        <w:spacing w:before="120" w:after="120" w:line="240" w:lineRule="auto"/>
        <w:rPr>
          <w:noProof/>
          <w:sz w:val="24"/>
          <w:szCs w:val="24"/>
          <w:lang w:val="fr-BE"/>
        </w:rPr>
      </w:pPr>
      <w:r w:rsidRPr="00E93CFA">
        <w:rPr>
          <w:b/>
          <w:noProof/>
          <w:sz w:val="24"/>
          <w:lang w:val="fr-BE"/>
        </w:rPr>
        <w:t>L’UE est bien équipée pour aller de l’avant et saisir la chance d'atteindre le zéro émission nette.</w:t>
      </w:r>
      <w:r w:rsidRPr="00E93CFA">
        <w:rPr>
          <w:noProof/>
          <w:sz w:val="24"/>
          <w:lang w:val="fr-BE"/>
        </w:rPr>
        <w:t xml:space="preserve"> Le modèle économique de l’Europe, fondé sur son marché unique, a été source d’une prospérité croissante ces dernières décennies. L’Europe est un acteur de premier plan dans les domaines de l’innovation, du capital-risque ainsi que du déploiement de technologies à zéro émission nette et de produits durables. Elle dispose d’une base solide, à savoir une industrie qui a fait ses preuves pour ce qui est de donner le ton en matière de tendances et de normes, affiche des niveaux croissants de numérisation et fabrique des produits innovants et de haute qualité utilisés dans le monde entier. Elle compte des scientifiques et des chercheurs de renommée mondiale, qui mettent constamment au point des solutions innovantes ou affinent les technologies existantes. </w:t>
      </w:r>
    </w:p>
    <w:p w14:paraId="30CB3A63"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L’UE a également montré comment </w:t>
      </w:r>
      <w:r w:rsidRPr="00E93CFA">
        <w:rPr>
          <w:b/>
          <w:noProof/>
          <w:sz w:val="24"/>
          <w:lang w:val="fr-BE"/>
        </w:rPr>
        <w:t>la transition écologique peut renforcer la compétitivité</w:t>
      </w:r>
      <w:r w:rsidRPr="00E93CFA">
        <w:rPr>
          <w:noProof/>
          <w:sz w:val="24"/>
          <w:lang w:val="fr-BE"/>
        </w:rPr>
        <w:t>. L’abandon progressif des combustibles fossiles russes a donné un coup d’accélérateur à une nouvelle révolution industrielle visant à mettre fin à l’ère des combustibles fossiles. Un large éventail de nouvelles technologies à zéro émission nette est en cours de développement et de déploiement dans l’ensemble de notre économie, dans les secteurs des transports, de la construction, de l’industrie manufacturière et de l’énergie, allant jusqu’à générer la création de marchés entièrement nouveaux. Notre écosystème du zéro émission nette représentait plus de 100 milliards d’EUR en 2021, soit deux fois plus qu’en 2020</w:t>
      </w:r>
      <w:r>
        <w:rPr>
          <w:rStyle w:val="FootnoteReference"/>
          <w:noProof/>
          <w:sz w:val="24"/>
          <w:szCs w:val="24"/>
        </w:rPr>
        <w:footnoteReference w:id="3"/>
      </w:r>
      <w:r w:rsidRPr="00E93CFA">
        <w:rPr>
          <w:noProof/>
          <w:sz w:val="24"/>
          <w:lang w:val="fr-BE"/>
        </w:rPr>
        <w:t xml:space="preserve">. </w:t>
      </w:r>
    </w:p>
    <w:p w14:paraId="7F8BB19E" w14:textId="77777777" w:rsidR="00E93CFA" w:rsidRPr="00E93CFA" w:rsidRDefault="00E93CFA" w:rsidP="00E93CFA">
      <w:pPr>
        <w:spacing w:before="120" w:after="120" w:line="240" w:lineRule="auto"/>
        <w:rPr>
          <w:noProof/>
          <w:sz w:val="24"/>
          <w:szCs w:val="24"/>
          <w:lang w:val="fr-BE"/>
        </w:rPr>
      </w:pPr>
      <w:r w:rsidRPr="00E93CFA">
        <w:rPr>
          <w:b/>
          <w:noProof/>
          <w:sz w:val="24"/>
          <w:lang w:val="fr-BE"/>
        </w:rPr>
        <w:t>L’UE a également fait la preuve de sa résilience intrinsèque face aux défis et aux changements permanents.</w:t>
      </w:r>
      <w:r w:rsidRPr="00E93CFA">
        <w:rPr>
          <w:noProof/>
          <w:sz w:val="24"/>
          <w:lang w:val="fr-BE"/>
        </w:rPr>
        <w:t xml:space="preserve"> L’industrie se heurte à des difficultés sur tous les plans, qu’il s'agisse de l’inflation élevée, des pénuries de main-d’œuvre, de l’évolution démographique, des perturbations des chaînes d’approvisionnement post-COVID, de la hausse des taux d’intérêt ou des flambées des coûts de l’énergie et des prix des intrants. Ces difficultés s’accompagnent d’une forte concurrence, parfois déloyale, sur un marché mondial fragmenté. En dépit de ces vents contraires, l’économie de l’UE a remarquablement bien résisté jusqu’ici et l’unité politique porte ses fruits. Les prix du gaz et du pétrole sont retombés à des niveaux inférieurs à ceux d’avant la guerre. L’inflation a chuté dans toute l’Europe pour le deuxième mois consécutif et de manière significative en décembre 2022. Le chômage est plus bas qu’avant la crise financière de 2008 et les marchés du travail continuent de bien se porter. </w:t>
      </w:r>
    </w:p>
    <w:p w14:paraId="2D29E972" w14:textId="77777777" w:rsidR="00E93CFA" w:rsidRPr="00E93CFA" w:rsidRDefault="00E93CFA" w:rsidP="00E93CFA">
      <w:pPr>
        <w:spacing w:before="120" w:after="120" w:line="240" w:lineRule="auto"/>
        <w:rPr>
          <w:noProof/>
          <w:sz w:val="24"/>
          <w:szCs w:val="24"/>
          <w:lang w:val="fr-BE"/>
        </w:rPr>
      </w:pPr>
      <w:r w:rsidRPr="00E93CFA">
        <w:rPr>
          <w:b/>
          <w:noProof/>
          <w:sz w:val="24"/>
          <w:lang w:val="fr-BE"/>
        </w:rPr>
        <w:t>L’UE est déterminée à accélérer la transformation industrielle vers le zéro émission nette sur son territoire et a la conviction de pouvoir y parvenir. En plus de répondre aux besoins qui surgissent et de saisir les possibilités qui s’offrent à elle, en matière, par exemple, de déploiement des énergies renouvelables, de transformation des infrastructures d’énergie et de transport, telles que les réseaux, et de passage massif à l’hydrogène non fossile en tant que support de stockage, combustible et matière première, l’UE peut également jouer un rôle de premier plan dans le développement des industries à zéro émission nette de demain. Nous pouvons également mettre en place de nouvelles formes de coopération dans le domaine des technologies propres avec nos partenaires à l’étranger.</w:t>
      </w:r>
      <w:r w:rsidRPr="00E93CFA">
        <w:rPr>
          <w:noProof/>
          <w:sz w:val="24"/>
          <w:lang w:val="fr-BE"/>
        </w:rPr>
        <w:t xml:space="preserve"> En collaborant avec nos partenaires au développement de technologies à zéro émission nette, en diversifiant et en renforçant les chaînes d’approvisionnement et en aidant les autres dans leur transition écologique, nous pouvons faire en sorte que la course au zéro émission nette soit bénéfique pour la planète et pour les entreprises. </w:t>
      </w:r>
    </w:p>
    <w:p w14:paraId="3BED7562" w14:textId="77777777" w:rsidR="00E93CFA" w:rsidRPr="00E93CFA" w:rsidRDefault="00E93CFA" w:rsidP="00E93CFA">
      <w:pPr>
        <w:spacing w:before="120" w:after="120" w:line="240" w:lineRule="auto"/>
        <w:rPr>
          <w:noProof/>
          <w:sz w:val="24"/>
          <w:szCs w:val="24"/>
          <w:lang w:val="fr-BE"/>
        </w:rPr>
      </w:pPr>
      <w:r w:rsidRPr="00E93CFA">
        <w:rPr>
          <w:b/>
          <w:noProof/>
          <w:sz w:val="24"/>
          <w:lang w:val="fr-BE"/>
        </w:rPr>
        <w:t>Signe encourageant, les partenaires de l’Europe commencent également à saisir les possibilités industrielles qu’offre le zéro émission nette.</w:t>
      </w:r>
      <w:r w:rsidRPr="00E93CFA">
        <w:rPr>
          <w:noProof/>
          <w:sz w:val="24"/>
          <w:lang w:val="fr-BE"/>
        </w:rPr>
        <w:t xml:space="preserve"> La loi sur la réduction de l’inflation adoptée par les États-Unis mobilisera plus de 360 milliards d’USD d’ici à 2032 (environ 330 milliards d’EUR). Les plans de transformation verte du Japon visent à mobiliser jusqu’à 20 000 milliards de JPY (environ 140 milliards d’EUR), au moyen d’obligations de «transition écologique». L’Inde a présenté son régime d’incitations liées à la production afin de renforcer la compétitivité dans des secteurs tels que le solaire photovoltaïque et les batteries solaires. Le Royaume-Uni, le Canada et de nombreux autres pays ont également présenté leurs plans d’investissement dans les technologies propres. L’Europe est déterminée à travailler avec tous ces partenaires pour le bien commun. </w:t>
      </w:r>
    </w:p>
    <w:p w14:paraId="1FBD0892" w14:textId="77777777" w:rsidR="00E93CFA" w:rsidRPr="00E93CFA" w:rsidRDefault="00E93CFA" w:rsidP="00E93CFA">
      <w:pPr>
        <w:spacing w:before="120" w:after="120" w:line="240" w:lineRule="auto"/>
        <w:rPr>
          <w:noProof/>
          <w:sz w:val="24"/>
          <w:szCs w:val="24"/>
          <w:lang w:val="fr-BE"/>
        </w:rPr>
      </w:pPr>
      <w:r w:rsidRPr="00E93CFA">
        <w:rPr>
          <w:b/>
          <w:noProof/>
          <w:sz w:val="24"/>
          <w:lang w:val="fr-BE"/>
        </w:rPr>
        <w:t>Toutefois, les échanges commerciaux et la concurrence dans l’industrie à zéro émission nette doivent être équitables.</w:t>
      </w:r>
      <w:r w:rsidRPr="00E93CFA">
        <w:rPr>
          <w:noProof/>
          <w:sz w:val="24"/>
          <w:lang w:val="fr-BE"/>
        </w:rPr>
        <w:t xml:space="preserve"> Certaines parmi les initiatives de nos partenaires peuvent avoir des effets collatéraux indésirables sur nos propres industries à zéro émission nette. Plus fondamentalement, les subventions chinoises sont, depuis longtemps, deux fois plus élevées que celles de l’Union européenne par rapport au PIB</w:t>
      </w:r>
      <w:r>
        <w:rPr>
          <w:rStyle w:val="FootnoteReference"/>
          <w:noProof/>
          <w:sz w:val="24"/>
          <w:szCs w:val="24"/>
        </w:rPr>
        <w:footnoteReference w:id="4"/>
      </w:r>
      <w:r w:rsidRPr="00E93CFA">
        <w:rPr>
          <w:noProof/>
          <w:sz w:val="24"/>
          <w:lang w:val="fr-BE"/>
        </w:rPr>
        <w:t xml:space="preserve">. Le marché s’en trouve faussé et la production d’un certain nombre de technologies à zéro émission nette est actuellement dominée par la Chine, qui a fait des subventions à l’innovation et à la production dans le domaine des technologies propres une priorité de son plan quinquennal. La réserve d’investissements dans les technologies propres annoncés par la Chine dépasse les 280 milliards d’USD (environ 260 milliards d’EUR). L’Europe et ses partenaires doivent redoubler d’efforts pour lutter contre les effets de ces subventions déloyales et des distorsions prolongées du marché. Lorsque l’empreinte publique sur les marchés privés est trop importante, les distorsions créent des conditions inégales et une concurrence déloyale apparaît. La Commission continuera de faire pleinement usage des instruments de défense commerciale (IDC) pour défendre le marché unique et le commerce international fondé sur des règles contre les pratiques commerciales déloyales telles que le dumping et les subventions génératrices de distorsions. </w:t>
      </w:r>
    </w:p>
    <w:p w14:paraId="31FE85F5"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Pour ce qui concerne l’avenir, des défis subsistent en matière de compétitivité. L’ère des combustibles fossiles à bas prix est désormais révolue, ce qui appelle à donner un coup d’accélérateur à la transition écologique afin de garantir l’accès de l’industrie à une énergie propre abondante et abordable. L’UE doit tirer parti de son principal atout, à savoir le marché unique, et éviter la fragmentation. C’est pourquoi la Commission est déterminée à proposer une approche européenne globale, fondée sur des priorités stratégiques communes et une évaluation des besoins d’investissement. Pour ce faire, il conviendra d’explorer différentes options pour garantir une réponse commune de l’UE, y compris sous la forme de financements. Des efforts supplémentaires doivent également être consentis pour faciliter l’accès des entreprises au financement privé, notamment en achevant l’union des marchés des capitaux. Une compétitivité accrue doit aller de pair avec des emplois de qualité bien rémunérés et des investissements dans le capital humain. </w:t>
      </w:r>
    </w:p>
    <w:p w14:paraId="0C65D555" w14:textId="77777777" w:rsidR="00E93CFA" w:rsidRPr="00E93CFA" w:rsidRDefault="00E93CFA" w:rsidP="00E93CFA">
      <w:pPr>
        <w:spacing w:before="120" w:after="120" w:line="240" w:lineRule="auto"/>
        <w:rPr>
          <w:b/>
          <w:bCs/>
          <w:noProof/>
          <w:sz w:val="24"/>
          <w:szCs w:val="24"/>
          <w:lang w:val="fr-BE"/>
        </w:rPr>
      </w:pPr>
      <w:r w:rsidRPr="00E93CFA">
        <w:rPr>
          <w:b/>
          <w:noProof/>
          <w:sz w:val="24"/>
          <w:lang w:val="fr-BE"/>
        </w:rPr>
        <w:t>Les contours de l’ère industrielle du zéro émission nette seront définis par les décisions prises aujourd’hui. L’UE doit être prête à montrer la voie à suivre, en agissant rapidement, en faisant preuve d’ambition et en affichant une vision commune. Une réponse commune, s’inscrivant dans les politiques de l’UE et reposant sur les instruments dont celle-ci dispose, sera beaucoup plus efficace que la somme de 27 démarches nationales.</w:t>
      </w:r>
    </w:p>
    <w:p w14:paraId="39B5E2BD" w14:textId="77777777" w:rsidR="00E93CFA" w:rsidRPr="00E93CFA" w:rsidRDefault="00E93CFA" w:rsidP="00E93CFA">
      <w:pPr>
        <w:pStyle w:val="Heading1"/>
        <w:spacing w:before="120" w:after="120"/>
        <w:rPr>
          <w:noProof/>
          <w:szCs w:val="24"/>
          <w:lang w:val="fr-BE"/>
        </w:rPr>
      </w:pPr>
      <w:r w:rsidRPr="00E93CFA">
        <w:rPr>
          <w:noProof/>
          <w:lang w:val="fr-BE"/>
        </w:rPr>
        <w:t xml:space="preserve">Un plan industriel du pacte vert – garder une longueur d’avance </w:t>
      </w:r>
    </w:p>
    <w:p w14:paraId="11C843BB" w14:textId="77777777" w:rsidR="00E93CFA" w:rsidRPr="00E93CFA" w:rsidRDefault="00E93CFA" w:rsidP="00E93CFA">
      <w:pPr>
        <w:spacing w:before="120" w:after="120" w:line="240" w:lineRule="auto"/>
        <w:rPr>
          <w:rFonts w:eastAsia="Calibri"/>
          <w:b/>
          <w:bCs/>
          <w:noProof/>
          <w:sz w:val="24"/>
          <w:szCs w:val="24"/>
          <w:lang w:val="fr-BE"/>
        </w:rPr>
      </w:pPr>
      <w:r w:rsidRPr="00E93CFA">
        <w:rPr>
          <w:b/>
          <w:noProof/>
          <w:sz w:val="24"/>
          <w:lang w:val="fr-BE"/>
        </w:rPr>
        <w:t xml:space="preserve">Dans ce contexte de possibilités et de défis considérables, l’Europe a besoin d’un nouveau plan industriel du pacte vert. Le plan fera partie du pacte vert pour l’Europe, qui trace la voie vers la neutralité climatique, et permettra à l’UE de jouer un rôle moteur dans le monde à l’ère industrielle du zéro émission nette. </w:t>
      </w:r>
    </w:p>
    <w:p w14:paraId="4ADB12F5" w14:textId="472A37A0" w:rsidR="00E93CFA" w:rsidRPr="00E93CFA" w:rsidRDefault="00E93CFA" w:rsidP="00E93CFA">
      <w:pPr>
        <w:spacing w:before="120" w:after="120" w:line="240" w:lineRule="auto"/>
        <w:rPr>
          <w:noProof/>
          <w:sz w:val="24"/>
          <w:szCs w:val="24"/>
          <w:lang w:val="fr-BE"/>
        </w:rPr>
      </w:pPr>
      <w:r w:rsidRPr="00E93CFA">
        <w:rPr>
          <w:noProof/>
          <w:sz w:val="24"/>
          <w:lang w:val="fr-BE"/>
        </w:rPr>
        <w:t>Le plan a pour points de départ la nécessité d’accroître massivement le développement technologique, la fabrication et l’installation de produits à zéro émission nette ainsi que l’approvisionnement énergétique à zéro émission nette</w:t>
      </w:r>
      <w:bookmarkStart w:id="2" w:name="_Hlk125812141"/>
      <w:r w:rsidRPr="00E93CFA">
        <w:rPr>
          <w:noProof/>
          <w:sz w:val="24"/>
          <w:lang w:val="fr-BE"/>
        </w:rPr>
        <w:t xml:space="preserve"> au cours de la prochaine décennie, ainsi que la valeur ajoutée d’une approche à l’échelle de l’UE pour relever ensemble ce défi. </w:t>
      </w:r>
      <w:bookmarkEnd w:id="2"/>
      <w:r w:rsidRPr="00E93CFA">
        <w:rPr>
          <w:noProof/>
          <w:sz w:val="24"/>
          <w:lang w:val="fr-BE"/>
        </w:rPr>
        <w:t>L'entreprise est d'autant plus difficile qu’il règne une concurrence mondiale pour les matières premières et le personnel qualifié. Le plan vise à répondre à cette dichotomie en se concentrant sur les domaines dans lesquels l’Europe peut faire la plus grande différence. Il vise également à éviter de remplacer notre dépendance à l’égard des combustibles fossiles russes par d’autres dépendances stratégiques qui pourraient entraver notre accès aux technologies et intrants essentiels pour la transition écologique, en combinant diversification et dévelo</w:t>
      </w:r>
      <w:r w:rsidR="0034243A">
        <w:rPr>
          <w:noProof/>
          <w:sz w:val="24"/>
          <w:lang w:val="fr-BE"/>
        </w:rPr>
        <w:t xml:space="preserve">ppement et production propres. </w:t>
      </w:r>
      <w:r w:rsidRPr="00E93CFA">
        <w:rPr>
          <w:noProof/>
          <w:sz w:val="24"/>
          <w:lang w:val="fr-BE"/>
        </w:rPr>
        <w:t>Le plan complétera les efforts actuellement déployés pour transformer l’industrie à la lumière du pacte vert pour l’Europe et de la stratégie industrielle de l’UE, en particulier du plan d’action pour une économie circulaire. La modernisation et la décarbonation des industries à forte intensité énergétique restent également une priorité absolue, tout comme le fait de garantir des transitions professionnelles et la création d’emplois de qualité grâce à la formation et à l’éducation.</w:t>
      </w:r>
    </w:p>
    <w:p w14:paraId="5173196B" w14:textId="77777777" w:rsidR="00E93CFA" w:rsidRPr="00E93CFA" w:rsidRDefault="00E93CFA" w:rsidP="00E93CFA">
      <w:pPr>
        <w:spacing w:before="120" w:after="120" w:line="240" w:lineRule="auto"/>
        <w:rPr>
          <w:noProof/>
          <w:sz w:val="24"/>
          <w:szCs w:val="24"/>
          <w:lang w:val="fr-BE"/>
        </w:rPr>
      </w:pPr>
      <w:r w:rsidRPr="00E93CFA">
        <w:rPr>
          <w:noProof/>
          <w:sz w:val="24"/>
          <w:lang w:val="fr-BE"/>
        </w:rPr>
        <w:t>C’est la raison pour laquelle une réponse européenne commune forte s’impose pour stimuler l’industrie à zéro émission nette. Le plan industriel du pacte vert misera sur nos points forts: l'ouverture, l’innovation, l’inclusion et la durabilité. Si les conditions sont réunies, l’industrie européenne à zéro émission nette jouera un rôle capital dans la transformation du continent en une économie verte, qui sera source de prospérité dans l’UE et occupera la première place, au niveau mondial, dans les domaines tant de la technologie que de la lutte contre le changement climatique et la pollution de l’environnement.</w:t>
      </w:r>
    </w:p>
    <w:p w14:paraId="47A30499" w14:textId="77777777" w:rsidR="00E93CFA" w:rsidRPr="00E93CFA" w:rsidRDefault="00E93CFA" w:rsidP="00E93CFA">
      <w:pPr>
        <w:spacing w:before="120" w:after="120" w:line="240" w:lineRule="auto"/>
        <w:rPr>
          <w:rFonts w:eastAsia="Calibri"/>
          <w:b/>
          <w:noProof/>
          <w:sz w:val="24"/>
          <w:szCs w:val="24"/>
          <w:lang w:val="fr-BE"/>
        </w:rPr>
      </w:pPr>
      <w:r w:rsidRPr="00E93CFA">
        <w:rPr>
          <w:noProof/>
          <w:sz w:val="24"/>
          <w:lang w:val="fr-BE"/>
        </w:rPr>
        <w:t xml:space="preserve">La présente ébauche d’un nouveau </w:t>
      </w:r>
      <w:r w:rsidRPr="00E93CFA">
        <w:rPr>
          <w:b/>
          <w:noProof/>
          <w:sz w:val="24"/>
          <w:lang w:val="fr-BE"/>
        </w:rPr>
        <w:t>plan industriel du pacte vert repose sur quatre piliers</w:t>
      </w:r>
      <w:r w:rsidRPr="00E93CFA">
        <w:rPr>
          <w:noProof/>
          <w:sz w:val="24"/>
          <w:lang w:val="fr-BE"/>
        </w:rPr>
        <w:t>:</w:t>
      </w:r>
      <w:r w:rsidRPr="00E93CFA">
        <w:rPr>
          <w:b/>
          <w:noProof/>
          <w:sz w:val="24"/>
          <w:lang w:val="fr-BE"/>
        </w:rPr>
        <w:t xml:space="preserve"> </w:t>
      </w:r>
    </w:p>
    <w:p w14:paraId="53F43C8B" w14:textId="77777777" w:rsidR="00E93CFA" w:rsidRPr="00E93CFA" w:rsidRDefault="00E93CFA" w:rsidP="00E93CFA">
      <w:pPr>
        <w:pStyle w:val="FootnoteText"/>
        <w:numPr>
          <w:ilvl w:val="0"/>
          <w:numId w:val="24"/>
        </w:numPr>
        <w:spacing w:before="120" w:after="120"/>
        <w:rPr>
          <w:rFonts w:eastAsia="Calibri"/>
          <w:b/>
          <w:noProof/>
          <w:sz w:val="24"/>
          <w:szCs w:val="24"/>
          <w:lang w:val="fr-BE"/>
        </w:rPr>
      </w:pPr>
      <w:r w:rsidRPr="00E93CFA">
        <w:rPr>
          <w:b/>
          <w:noProof/>
          <w:sz w:val="24"/>
          <w:lang w:val="fr-BE"/>
        </w:rPr>
        <w:t xml:space="preserve">un environnement réglementaire prévisible et simplifié; </w:t>
      </w:r>
    </w:p>
    <w:p w14:paraId="5BC38DF7" w14:textId="77777777" w:rsidR="00E93CFA" w:rsidRPr="00E93CFA" w:rsidRDefault="00E93CFA" w:rsidP="00E93CFA">
      <w:pPr>
        <w:pStyle w:val="FootnoteText"/>
        <w:numPr>
          <w:ilvl w:val="0"/>
          <w:numId w:val="24"/>
        </w:numPr>
        <w:spacing w:before="120" w:after="120"/>
        <w:rPr>
          <w:rFonts w:eastAsia="Calibri"/>
          <w:b/>
          <w:noProof/>
          <w:sz w:val="24"/>
          <w:szCs w:val="24"/>
          <w:lang w:val="fr-BE"/>
        </w:rPr>
      </w:pPr>
      <w:r w:rsidRPr="00E93CFA">
        <w:rPr>
          <w:b/>
          <w:noProof/>
          <w:sz w:val="24"/>
          <w:lang w:val="fr-BE"/>
        </w:rPr>
        <w:t xml:space="preserve">un accès plus rapide à un financement suffisant; </w:t>
      </w:r>
    </w:p>
    <w:p w14:paraId="782A2507" w14:textId="77777777" w:rsidR="00E93CFA" w:rsidRPr="00F27D9F" w:rsidRDefault="00E93CFA" w:rsidP="00E93CFA">
      <w:pPr>
        <w:pStyle w:val="FootnoteText"/>
        <w:numPr>
          <w:ilvl w:val="0"/>
          <w:numId w:val="24"/>
        </w:numPr>
        <w:spacing w:before="120" w:after="120"/>
        <w:rPr>
          <w:rFonts w:eastAsia="Calibri"/>
          <w:b/>
          <w:bCs/>
          <w:noProof/>
          <w:sz w:val="24"/>
          <w:szCs w:val="24"/>
        </w:rPr>
      </w:pPr>
      <w:r>
        <w:rPr>
          <w:b/>
          <w:noProof/>
          <w:sz w:val="24"/>
        </w:rPr>
        <w:t>les compétences; et</w:t>
      </w:r>
    </w:p>
    <w:p w14:paraId="03DB77C1" w14:textId="77777777" w:rsidR="00E93CFA" w:rsidRPr="00E93CFA" w:rsidRDefault="00E93CFA" w:rsidP="00E93CFA">
      <w:pPr>
        <w:pStyle w:val="FootnoteText"/>
        <w:numPr>
          <w:ilvl w:val="0"/>
          <w:numId w:val="24"/>
        </w:numPr>
        <w:spacing w:before="120" w:after="120"/>
        <w:rPr>
          <w:rFonts w:eastAsia="Calibri"/>
          <w:b/>
          <w:noProof/>
          <w:sz w:val="24"/>
          <w:szCs w:val="24"/>
          <w:lang w:val="fr-BE"/>
        </w:rPr>
      </w:pPr>
      <w:r w:rsidRPr="00E93CFA">
        <w:rPr>
          <w:b/>
          <w:noProof/>
          <w:sz w:val="24"/>
          <w:lang w:val="fr-BE"/>
        </w:rPr>
        <w:t xml:space="preserve">des échanges commerciaux ouverts pour des chaînes d’approvisionnement résilientes. </w:t>
      </w:r>
    </w:p>
    <w:p w14:paraId="158DE47C" w14:textId="77777777" w:rsidR="00E93CFA" w:rsidRPr="00E93CFA" w:rsidRDefault="00E93CFA" w:rsidP="00E93CFA">
      <w:pPr>
        <w:pStyle w:val="FootnoteText"/>
        <w:spacing w:before="120" w:after="120"/>
        <w:ind w:left="720"/>
        <w:rPr>
          <w:rFonts w:eastAsia="Calibri"/>
          <w:b/>
          <w:noProof/>
          <w:sz w:val="24"/>
          <w:szCs w:val="24"/>
          <w:lang w:val="fr-BE"/>
        </w:rPr>
      </w:pPr>
    </w:p>
    <w:p w14:paraId="7F831374" w14:textId="77777777" w:rsidR="00E93CFA" w:rsidRPr="00E93CFA" w:rsidRDefault="00E93CFA" w:rsidP="00E93CFA">
      <w:pPr>
        <w:pStyle w:val="Heading2"/>
        <w:rPr>
          <w:noProof/>
          <w:lang w:val="fr-BE"/>
        </w:rPr>
      </w:pPr>
      <w:r w:rsidRPr="00E93CFA">
        <w:rPr>
          <w:noProof/>
          <w:lang w:val="fr-BE"/>
        </w:rPr>
        <w:t xml:space="preserve">Un environnement réglementaire prévisible, cohérent et simplifié </w:t>
      </w:r>
    </w:p>
    <w:p w14:paraId="628E4200"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L’UE s'appuie depuis toujours sur un environnement réglementaire solide pour créer des conditions favorables aux entreprises, fournir des emplois de qualité à notre main-d’œuvre et garantir un niveau élevé de protection de notre environnement. Ces trois dimensions peuvent se renforcer mutuellement si la réglementation est équilibrée et intelligemment conçue, ce qui exige une attention constante. C’est la raison pour laquelle la Commission a introduit cette année un «contrôle de compétitivité» supplémentaire pour toutes les nouvelles réglementations, afin de tenir compte de l’ensemble des incidences potentielles sur la compétitivité et d’éviter les charges inutiles. Un environnement réglementaire simple, prévisible et clair est essentiel pour promouvoir les investissements. Une action au niveau de l’UE permet d’éviter la fragmentation entre 27 approches réglementaires.</w:t>
      </w:r>
    </w:p>
    <w:p w14:paraId="0686D365" w14:textId="77777777" w:rsidR="00E93CFA" w:rsidRPr="00E93CFA" w:rsidRDefault="00E93CFA" w:rsidP="00E93CFA">
      <w:pPr>
        <w:spacing w:before="120" w:after="120" w:line="240" w:lineRule="auto"/>
        <w:rPr>
          <w:noProof/>
          <w:sz w:val="24"/>
          <w:szCs w:val="24"/>
          <w:lang w:val="fr-BE"/>
        </w:rPr>
      </w:pPr>
      <w:r w:rsidRPr="00E93CFA">
        <w:rPr>
          <w:noProof/>
          <w:sz w:val="24"/>
          <w:lang w:val="fr-BE"/>
        </w:rPr>
        <w:t>Ce printemps, la Commission présentera trois propositions clés en faveur la compétitivité industrielle, fondées sur la nécessité d’une réforme.</w:t>
      </w:r>
    </w:p>
    <w:p w14:paraId="7D68718D" w14:textId="77777777" w:rsidR="00E93CFA" w:rsidRDefault="00E93CFA" w:rsidP="00E93CFA">
      <w:pPr>
        <w:spacing w:before="120" w:after="120" w:line="240" w:lineRule="auto"/>
        <w:rPr>
          <w:rFonts w:eastAsia="Calibri"/>
          <w:noProof/>
          <w:sz w:val="24"/>
          <w:szCs w:val="24"/>
        </w:rPr>
      </w:pPr>
      <w:r w:rsidRPr="00E93CFA">
        <w:rPr>
          <w:noProof/>
          <w:sz w:val="24"/>
          <w:lang w:val="fr-BE"/>
        </w:rPr>
        <w:t xml:space="preserve">Premièrement, </w:t>
      </w:r>
      <w:r w:rsidRPr="00E93CFA">
        <w:rPr>
          <w:b/>
          <w:noProof/>
          <w:sz w:val="24"/>
          <w:lang w:val="fr-BE"/>
        </w:rPr>
        <w:t>dans le cadre du plan industriel du pacte vert, la Commission propose de présenter un règlement «zéro émission nette» afin de soutenir la production industrielle de technologies clés</w:t>
      </w:r>
      <w:r w:rsidRPr="00E93CFA">
        <w:rPr>
          <w:noProof/>
          <w:sz w:val="24"/>
          <w:lang w:val="fr-BE"/>
        </w:rPr>
        <w:t xml:space="preserve"> dans l’UE. Ce règlement prévoirait un </w:t>
      </w:r>
      <w:r w:rsidRPr="00E93CFA">
        <w:rPr>
          <w:b/>
          <w:noProof/>
          <w:sz w:val="24"/>
          <w:lang w:val="fr-BE"/>
        </w:rPr>
        <w:t>cadre réglementaire simplifié, applicable aux capacités de production</w:t>
      </w:r>
      <w:r w:rsidRPr="00E93CFA">
        <w:rPr>
          <w:noProof/>
          <w:sz w:val="24"/>
          <w:lang w:val="fr-BE"/>
        </w:rPr>
        <w:t xml:space="preserve"> des produits qui sont essentiels pour atteindre nos objectifs de neutralité climatique, tels que les batteries, les éoliennes, les pompes à chaleur, les produits liés à l’énergie solaire, les électrolyseurs et les technologies de captage et de stockage du carbone</w:t>
      </w:r>
      <w:r>
        <w:rPr>
          <w:rStyle w:val="FootnoteReference"/>
          <w:rFonts w:eastAsia="Calibri"/>
          <w:noProof/>
          <w:sz w:val="24"/>
          <w:szCs w:val="24"/>
        </w:rPr>
        <w:footnoteReference w:id="5"/>
      </w:r>
      <w:r w:rsidRPr="00E93CFA">
        <w:rPr>
          <w:noProof/>
          <w:sz w:val="24"/>
          <w:lang w:val="fr-BE"/>
        </w:rPr>
        <w:t xml:space="preserve">. </w:t>
      </w:r>
      <w:r>
        <w:rPr>
          <w:noProof/>
          <w:sz w:val="24"/>
        </w:rPr>
        <w:t>Plus précisément, le règlement «zéro émission nette»:</w:t>
      </w:r>
    </w:p>
    <w:p w14:paraId="2AD92057" w14:textId="77777777" w:rsidR="00E93CFA" w:rsidRPr="00E93CFA" w:rsidRDefault="00E93CFA" w:rsidP="00E93CFA">
      <w:pPr>
        <w:pStyle w:val="ListParagraph"/>
        <w:numPr>
          <w:ilvl w:val="0"/>
          <w:numId w:val="23"/>
        </w:numPr>
        <w:spacing w:before="120" w:after="120" w:line="240" w:lineRule="auto"/>
        <w:rPr>
          <w:rFonts w:eastAsia="Calibri"/>
          <w:noProof/>
          <w:sz w:val="24"/>
          <w:szCs w:val="24"/>
          <w:lang w:val="fr-BE"/>
        </w:rPr>
      </w:pPr>
      <w:r w:rsidRPr="00E93CFA">
        <w:rPr>
          <w:noProof/>
          <w:sz w:val="24"/>
          <w:lang w:val="fr-BE"/>
        </w:rPr>
        <w:t xml:space="preserve">définirait, à la suite d’une analyse sectorielle, des </w:t>
      </w:r>
      <w:r w:rsidRPr="00E93CFA">
        <w:rPr>
          <w:b/>
          <w:noProof/>
          <w:sz w:val="24"/>
          <w:lang w:val="fr-BE"/>
        </w:rPr>
        <w:t>objectifs en matière de capacités industrielles à l’horizon 2030</w:t>
      </w:r>
      <w:r w:rsidRPr="00E93CFA">
        <w:rPr>
          <w:noProof/>
          <w:sz w:val="24"/>
          <w:lang w:val="fr-BE"/>
        </w:rPr>
        <w:t>, lorsque cela est nécessaire pour éviter que des dépendances stratégiques mettent la transition écologique en péril. Il tiendrait compte de l’ensemble de la chaîne d’approvisionnement et de valeur par-delà les frontières, de sorte que les approvisionnements ne deviennent pas un goulet d’étranglement;</w:t>
      </w:r>
    </w:p>
    <w:p w14:paraId="66BA75A8" w14:textId="77777777" w:rsidR="00E93CFA" w:rsidRPr="00E93CFA" w:rsidRDefault="00E93CFA" w:rsidP="00E93CFA">
      <w:pPr>
        <w:pStyle w:val="ListParagraph"/>
        <w:numPr>
          <w:ilvl w:val="0"/>
          <w:numId w:val="23"/>
        </w:numPr>
        <w:spacing w:before="120" w:after="120" w:line="240" w:lineRule="auto"/>
        <w:rPr>
          <w:rFonts w:eastAsia="Calibri"/>
          <w:noProof/>
          <w:sz w:val="24"/>
          <w:szCs w:val="24"/>
          <w:lang w:val="fr-BE"/>
        </w:rPr>
      </w:pPr>
      <w:r w:rsidRPr="00E93CFA">
        <w:rPr>
          <w:noProof/>
          <w:sz w:val="24"/>
          <w:lang w:val="fr-BE"/>
        </w:rPr>
        <w:t>réduirait la durée des procédures d’</w:t>
      </w:r>
      <w:r w:rsidRPr="00E93CFA">
        <w:rPr>
          <w:b/>
          <w:noProof/>
          <w:sz w:val="24"/>
          <w:lang w:val="fr-BE"/>
        </w:rPr>
        <w:t>autorisation</w:t>
      </w:r>
      <w:r w:rsidRPr="00E93CFA">
        <w:rPr>
          <w:noProof/>
          <w:sz w:val="24"/>
          <w:lang w:val="fr-BE"/>
        </w:rPr>
        <w:t xml:space="preserve"> et les rendrait plus prévisibles, en fixant des délais spécifiques pour les différentes étapes de l’octroi des autorisations, et renforcerait considérablement la capacité administrative des États membres, par exemple en mettant en place un «</w:t>
      </w:r>
      <w:r w:rsidRPr="00E93CFA">
        <w:rPr>
          <w:b/>
          <w:noProof/>
          <w:sz w:val="24"/>
          <w:lang w:val="fr-BE"/>
        </w:rPr>
        <w:t>guichet unique</w:t>
      </w:r>
      <w:r w:rsidRPr="00E93CFA">
        <w:rPr>
          <w:noProof/>
          <w:sz w:val="24"/>
          <w:lang w:val="fr-BE"/>
        </w:rPr>
        <w:t>», soit un seul point de contact pour les investisseurs et les acteurs industriels tout au long du processus administratif.</w:t>
      </w:r>
    </w:p>
    <w:p w14:paraId="1A4095E2"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 xml:space="preserve">Les chaînes de valeur européennes étant très intégrées et interconnectées dans le marché unique (voir figure 1), le règlement «zéro émission nette» définirait des critères simples et opérationnels pour identifier les projets relatifs aux chaînes d’approvisionnement à zéro émission nette qui présentent un intérêt stratégique. Cela devrait permettre à tous les États membres de continuer à bénéficier d’un déploiement industriel innovant en promouvant </w:t>
      </w:r>
      <w:r w:rsidRPr="00E93CFA">
        <w:rPr>
          <w:b/>
          <w:noProof/>
          <w:sz w:val="24"/>
          <w:lang w:val="fr-BE"/>
        </w:rPr>
        <w:t>des projets stratégiques, y compris multinationaux, accessibles aux régions tant développées que moins développées</w:t>
      </w:r>
      <w:r w:rsidRPr="00E93CFA">
        <w:rPr>
          <w:noProof/>
          <w:sz w:val="24"/>
          <w:lang w:val="fr-BE"/>
        </w:rPr>
        <w:t>. Ces projets pourraient bénéficier d’une accélération des procédures d’autorisation et attirer des financements privés ainsi que des financements publics nationaux et européens</w:t>
      </w:r>
      <w:r>
        <w:rPr>
          <w:rStyle w:val="FootnoteReference"/>
          <w:rFonts w:eastAsia="Calibri"/>
          <w:noProof/>
          <w:sz w:val="24"/>
          <w:szCs w:val="24"/>
        </w:rPr>
        <w:footnoteReference w:id="6"/>
      </w:r>
      <w:r w:rsidRPr="00E93CFA">
        <w:rPr>
          <w:noProof/>
          <w:sz w:val="24"/>
          <w:lang w:val="fr-BE"/>
        </w:rPr>
        <w:t>.</w:t>
      </w:r>
    </w:p>
    <w:p w14:paraId="3AC2CF80" w14:textId="67D392AF"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 xml:space="preserve">Les normes européennes peuvent contribuer à la promotion du déploiement de technologies propres et numériques. Pour les nouvelles chaînes de valeur industrielles, en particulier, l’anticipation et l’élaboration de normes européennes de qualité pourraient conférer aux industries de l’UE un avantage concurrentiel important, y compris au niveau mondial. Elles pourraient démontrer leur «valeur marchande» et attirer des investissements dans les entreprises qui y adhèrent. Les normes européennes permettraient aux industries de l’UE de développer leurs technologies dans l’ensemble du marché unique, ce qui est très important pour les jeunes pousses et les PME. </w:t>
      </w:r>
    </w:p>
    <w:p w14:paraId="5E9F3784" w14:textId="77777777" w:rsidR="00E93CFA" w:rsidRPr="00E93CFA" w:rsidRDefault="00E93CFA" w:rsidP="00E93CFA">
      <w:pPr>
        <w:pStyle w:val="ListParagraph"/>
        <w:numPr>
          <w:ilvl w:val="0"/>
          <w:numId w:val="41"/>
        </w:numPr>
        <w:spacing w:before="120" w:after="120" w:line="240" w:lineRule="auto"/>
        <w:rPr>
          <w:rFonts w:eastAsia="Calibri"/>
          <w:noProof/>
          <w:sz w:val="24"/>
          <w:szCs w:val="24"/>
          <w:lang w:val="fr-BE"/>
        </w:rPr>
      </w:pPr>
      <w:r w:rsidRPr="00E93CFA">
        <w:rPr>
          <w:noProof/>
          <w:sz w:val="24"/>
          <w:lang w:val="fr-BE"/>
        </w:rPr>
        <w:t xml:space="preserve">Le règlement pourrait permettre à la Commission de demander des </w:t>
      </w:r>
      <w:r w:rsidRPr="00E93CFA">
        <w:rPr>
          <w:b/>
          <w:noProof/>
          <w:sz w:val="24"/>
          <w:lang w:val="fr-BE"/>
        </w:rPr>
        <w:t>normes européennes</w:t>
      </w:r>
      <w:r w:rsidRPr="00E93CFA">
        <w:rPr>
          <w:noProof/>
          <w:sz w:val="24"/>
          <w:lang w:val="fr-BE"/>
        </w:rPr>
        <w:t xml:space="preserve"> favorisant le déploiement rapide de technologies clés</w:t>
      </w:r>
      <w:r>
        <w:rPr>
          <w:rStyle w:val="FootnoteReference"/>
          <w:noProof/>
          <w:sz w:val="24"/>
          <w:szCs w:val="24"/>
        </w:rPr>
        <w:footnoteReference w:id="7"/>
      </w:r>
      <w:r w:rsidRPr="00E93CFA">
        <w:rPr>
          <w:noProof/>
          <w:sz w:val="24"/>
          <w:lang w:val="fr-BE"/>
        </w:rPr>
        <w:t>.</w:t>
      </w:r>
    </w:p>
    <w:p w14:paraId="5C732F12" w14:textId="14D3432E" w:rsidR="00A2691C" w:rsidRDefault="00A2691C" w:rsidP="00E93CFA">
      <w:pPr>
        <w:spacing w:before="120" w:after="120" w:line="240" w:lineRule="auto"/>
        <w:rPr>
          <w:rFonts w:eastAsia="Calibri"/>
          <w:noProof/>
          <w:sz w:val="24"/>
          <w:szCs w:val="24"/>
          <w:lang w:val="fr-BE"/>
        </w:rPr>
      </w:pPr>
    </w:p>
    <w:p w14:paraId="07C4E586" w14:textId="26740D48" w:rsidR="00A2691C" w:rsidRDefault="00A2691C" w:rsidP="00E93CFA">
      <w:pPr>
        <w:spacing w:before="120" w:after="120" w:line="240" w:lineRule="auto"/>
        <w:rPr>
          <w:rFonts w:eastAsia="Calibri"/>
          <w:noProof/>
          <w:sz w:val="24"/>
          <w:szCs w:val="24"/>
          <w:lang w:val="fr-BE"/>
        </w:rPr>
      </w:pPr>
    </w:p>
    <w:p w14:paraId="4D2E45B1" w14:textId="6CE08F8D" w:rsidR="00A2691C" w:rsidRDefault="00A2691C" w:rsidP="00E93CFA">
      <w:pPr>
        <w:spacing w:before="120" w:after="120" w:line="240" w:lineRule="auto"/>
        <w:rPr>
          <w:rFonts w:eastAsia="Calibri"/>
          <w:noProof/>
          <w:sz w:val="24"/>
          <w:szCs w:val="24"/>
          <w:lang w:val="fr-BE"/>
        </w:rPr>
      </w:pPr>
    </w:p>
    <w:p w14:paraId="7DEFF746" w14:textId="0FF9CEDE" w:rsidR="00A2691C" w:rsidRDefault="00A2691C" w:rsidP="00E93CFA">
      <w:pPr>
        <w:spacing w:before="120" w:after="120" w:line="240" w:lineRule="auto"/>
        <w:rPr>
          <w:rFonts w:eastAsia="Calibri"/>
          <w:noProof/>
          <w:sz w:val="24"/>
          <w:szCs w:val="24"/>
          <w:lang w:val="fr-BE"/>
        </w:rPr>
      </w:pPr>
    </w:p>
    <w:p w14:paraId="7D81DA1C" w14:textId="58E7F4DC" w:rsidR="00A2691C" w:rsidRDefault="00A2691C" w:rsidP="00E93CFA">
      <w:pPr>
        <w:spacing w:before="120" w:after="120" w:line="240" w:lineRule="auto"/>
        <w:rPr>
          <w:rFonts w:eastAsia="Calibri"/>
          <w:noProof/>
          <w:sz w:val="24"/>
          <w:szCs w:val="24"/>
          <w:lang w:val="fr-BE"/>
        </w:rPr>
      </w:pPr>
    </w:p>
    <w:p w14:paraId="55A98DD0" w14:textId="5497BB97" w:rsidR="00A2691C" w:rsidRDefault="00A2691C" w:rsidP="00E93CFA">
      <w:pPr>
        <w:spacing w:before="120" w:after="120" w:line="240" w:lineRule="auto"/>
        <w:rPr>
          <w:rFonts w:eastAsia="Calibri"/>
          <w:noProof/>
          <w:sz w:val="24"/>
          <w:szCs w:val="24"/>
          <w:lang w:val="fr-BE"/>
        </w:rPr>
      </w:pPr>
    </w:p>
    <w:p w14:paraId="5C04735C" w14:textId="5D460BB9" w:rsidR="00A2691C" w:rsidRDefault="00A2691C" w:rsidP="00E93CFA">
      <w:pPr>
        <w:spacing w:before="120" w:after="120" w:line="240" w:lineRule="auto"/>
        <w:rPr>
          <w:rFonts w:eastAsia="Calibri"/>
          <w:noProof/>
          <w:sz w:val="24"/>
          <w:szCs w:val="24"/>
          <w:lang w:val="fr-BE"/>
        </w:rPr>
      </w:pPr>
    </w:p>
    <w:p w14:paraId="633C957E" w14:textId="66CA32A8" w:rsidR="00A2691C" w:rsidRDefault="00A2691C" w:rsidP="00E93CFA">
      <w:pPr>
        <w:spacing w:before="120" w:after="120" w:line="240" w:lineRule="auto"/>
        <w:rPr>
          <w:rFonts w:eastAsia="Calibri"/>
          <w:noProof/>
          <w:sz w:val="24"/>
          <w:szCs w:val="24"/>
          <w:lang w:val="fr-BE"/>
        </w:rPr>
      </w:pPr>
    </w:p>
    <w:p w14:paraId="7606324A" w14:textId="52C9B2B6" w:rsidR="00A2691C" w:rsidRDefault="00A2691C" w:rsidP="00E93CFA">
      <w:pPr>
        <w:spacing w:before="120" w:after="120" w:line="240" w:lineRule="auto"/>
        <w:rPr>
          <w:rFonts w:eastAsia="Calibri"/>
          <w:noProof/>
          <w:sz w:val="24"/>
          <w:szCs w:val="24"/>
          <w:lang w:val="fr-BE"/>
        </w:rPr>
      </w:pPr>
    </w:p>
    <w:p w14:paraId="1ED9D2CD" w14:textId="4E43D1D8" w:rsidR="00A2691C" w:rsidRDefault="00A2691C" w:rsidP="00E93CFA">
      <w:pPr>
        <w:spacing w:before="120" w:after="120" w:line="240" w:lineRule="auto"/>
        <w:rPr>
          <w:rFonts w:eastAsia="Calibri"/>
          <w:noProof/>
          <w:sz w:val="24"/>
          <w:szCs w:val="24"/>
          <w:lang w:val="fr-BE"/>
        </w:rPr>
      </w:pPr>
    </w:p>
    <w:p w14:paraId="1AD62443" w14:textId="126C242C" w:rsidR="00A2691C" w:rsidRDefault="00A2691C" w:rsidP="00E93CFA">
      <w:pPr>
        <w:spacing w:before="120" w:after="120" w:line="240" w:lineRule="auto"/>
        <w:rPr>
          <w:rFonts w:eastAsia="Calibri"/>
          <w:noProof/>
          <w:sz w:val="24"/>
          <w:szCs w:val="24"/>
          <w:lang w:val="fr-BE"/>
        </w:rPr>
      </w:pPr>
    </w:p>
    <w:p w14:paraId="59B47377" w14:textId="2B68DB70" w:rsidR="00A2691C" w:rsidRDefault="00A2691C" w:rsidP="00E93CFA">
      <w:pPr>
        <w:spacing w:before="120" w:after="120" w:line="240" w:lineRule="auto"/>
        <w:rPr>
          <w:rFonts w:eastAsia="Calibri"/>
          <w:noProof/>
          <w:sz w:val="24"/>
          <w:szCs w:val="24"/>
          <w:lang w:val="fr-BE"/>
        </w:rPr>
      </w:pPr>
    </w:p>
    <w:p w14:paraId="70B72D68" w14:textId="75666659" w:rsidR="00A2691C" w:rsidRDefault="00A2691C" w:rsidP="00E93CFA">
      <w:pPr>
        <w:spacing w:before="120" w:after="120" w:line="240" w:lineRule="auto"/>
        <w:rPr>
          <w:rFonts w:eastAsia="Calibri"/>
          <w:noProof/>
          <w:sz w:val="24"/>
          <w:szCs w:val="24"/>
          <w:lang w:val="fr-BE"/>
        </w:rPr>
      </w:pPr>
    </w:p>
    <w:p w14:paraId="74714DE7" w14:textId="77777777" w:rsidR="00A2691C" w:rsidRPr="00E93CFA" w:rsidRDefault="00A2691C" w:rsidP="00E93CFA">
      <w:pPr>
        <w:spacing w:before="120" w:after="120" w:line="240" w:lineRule="auto"/>
        <w:rPr>
          <w:rFonts w:eastAsia="Calibri"/>
          <w:noProof/>
          <w:sz w:val="24"/>
          <w:szCs w:val="24"/>
          <w:lang w:val="fr-BE"/>
        </w:rPr>
      </w:pPr>
    </w:p>
    <w:tbl>
      <w:tblPr>
        <w:tblStyle w:val="TableGrid"/>
        <w:tblW w:w="9360" w:type="dxa"/>
        <w:tblLayout w:type="fixed"/>
        <w:tblLook w:val="06A0" w:firstRow="1" w:lastRow="0" w:firstColumn="1" w:lastColumn="0" w:noHBand="1" w:noVBand="1"/>
      </w:tblPr>
      <w:tblGrid>
        <w:gridCol w:w="9360"/>
      </w:tblGrid>
      <w:tr w:rsidR="00E93CFA" w:rsidRPr="00E93CFA" w14:paraId="3FE7D616" w14:textId="77777777" w:rsidTr="00E41522">
        <w:trPr>
          <w:trHeight w:val="300"/>
        </w:trPr>
        <w:tc>
          <w:tcPr>
            <w:tcW w:w="9360" w:type="dxa"/>
            <w:tcBorders>
              <w:left w:val="none" w:sz="4" w:space="0" w:color="000000" w:themeColor="text1"/>
              <w:right w:val="none" w:sz="4" w:space="0" w:color="000000" w:themeColor="text1"/>
            </w:tcBorders>
          </w:tcPr>
          <w:p w14:paraId="79D6C8F2" w14:textId="77777777" w:rsidR="00E93CFA" w:rsidRPr="00E93CFA" w:rsidRDefault="00E93CFA" w:rsidP="00E41522">
            <w:pPr>
              <w:spacing w:line="240" w:lineRule="auto"/>
              <w:rPr>
                <w:b/>
                <w:bCs/>
                <w:noProof/>
                <w:sz w:val="24"/>
                <w:szCs w:val="24"/>
                <w:lang w:val="fr-BE"/>
              </w:rPr>
            </w:pPr>
            <w:r w:rsidRPr="00E93CFA">
              <w:rPr>
                <w:b/>
                <w:noProof/>
                <w:sz w:val="24"/>
                <w:lang w:val="fr-BE"/>
              </w:rPr>
              <w:t>Figure 1 Les chaînes d’approvisionnement de l'éolien et les emplois dans ce secteur sont fortement intégrés dans l’UE et en Europe</w:t>
            </w:r>
          </w:p>
        </w:tc>
      </w:tr>
    </w:tbl>
    <w:p w14:paraId="3C0CF2AB" w14:textId="77777777" w:rsidR="00E93CFA" w:rsidRPr="00B91A9E" w:rsidRDefault="00E93CFA" w:rsidP="00E93CFA">
      <w:pPr>
        <w:ind w:left="360"/>
        <w:jc w:val="center"/>
        <w:rPr>
          <w:noProof/>
          <w:sz w:val="24"/>
          <w:szCs w:val="24"/>
        </w:rPr>
      </w:pPr>
      <w:r>
        <w:rPr>
          <w:noProof/>
          <w:lang w:val="en-GB" w:eastAsia="en-GB"/>
        </w:rPr>
        <w:drawing>
          <wp:inline distT="0" distB="0" distL="0" distR="0" wp14:anchorId="236C5945" wp14:editId="32F6B228">
            <wp:extent cx="4610500" cy="3741744"/>
            <wp:effectExtent l="0" t="0" r="0" b="0"/>
            <wp:docPr id="4" name="Picture 4" descr="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610500" cy="3741744"/>
                    </a:xfrm>
                    <a:prstGeom prst="rect">
                      <a:avLst/>
                    </a:prstGeom>
                  </pic:spPr>
                </pic:pic>
              </a:graphicData>
            </a:graphic>
          </wp:inline>
        </w:drawing>
      </w:r>
    </w:p>
    <w:p w14:paraId="57C65A71" w14:textId="77777777" w:rsidR="00E93CFA" w:rsidRPr="00C61CA8" w:rsidRDefault="00E93CFA" w:rsidP="00E93CFA">
      <w:pPr>
        <w:ind w:left="360"/>
        <w:jc w:val="center"/>
        <w:rPr>
          <w:noProof/>
          <w:sz w:val="24"/>
          <w:szCs w:val="24"/>
        </w:rPr>
      </w:pPr>
    </w:p>
    <w:p w14:paraId="6F889676" w14:textId="77777777" w:rsidR="00E93CFA" w:rsidRPr="00C61CA8" w:rsidRDefault="00E93CFA" w:rsidP="00E93CFA">
      <w:pPr>
        <w:spacing w:line="240" w:lineRule="auto"/>
        <w:ind w:left="360"/>
        <w:rPr>
          <w:noProof/>
          <w:sz w:val="24"/>
          <w:szCs w:val="24"/>
        </w:rPr>
      </w:pPr>
    </w:p>
    <w:tbl>
      <w:tblPr>
        <w:tblStyle w:val="TableGrid"/>
        <w:tblW w:w="9360" w:type="dxa"/>
        <w:tblLayout w:type="fixed"/>
        <w:tblLook w:val="06A0" w:firstRow="1" w:lastRow="0" w:firstColumn="1" w:lastColumn="0" w:noHBand="1" w:noVBand="1"/>
      </w:tblPr>
      <w:tblGrid>
        <w:gridCol w:w="9360"/>
      </w:tblGrid>
      <w:tr w:rsidR="00E93CFA" w:rsidRPr="00E93CFA" w14:paraId="2A74CA69" w14:textId="77777777" w:rsidTr="00E41522">
        <w:trPr>
          <w:trHeight w:val="300"/>
        </w:trPr>
        <w:tc>
          <w:tcPr>
            <w:tcW w:w="9360" w:type="dxa"/>
            <w:tcBorders>
              <w:left w:val="none" w:sz="4" w:space="0" w:color="000000" w:themeColor="text1"/>
              <w:right w:val="none" w:sz="4" w:space="0" w:color="000000" w:themeColor="text1"/>
            </w:tcBorders>
          </w:tcPr>
          <w:p w14:paraId="66011EE8" w14:textId="77777777" w:rsidR="00E93CFA" w:rsidRPr="00E93CFA" w:rsidRDefault="00E93CFA" w:rsidP="00E41522">
            <w:pPr>
              <w:spacing w:line="240" w:lineRule="auto"/>
              <w:rPr>
                <w:i/>
                <w:noProof/>
                <w:lang w:val="fr-BE"/>
              </w:rPr>
            </w:pPr>
            <w:r w:rsidRPr="00E93CFA">
              <w:rPr>
                <w:i/>
                <w:noProof/>
                <w:lang w:val="fr-BE"/>
              </w:rPr>
              <w:t xml:space="preserve">Source: Wind Europe. La carte présente les installations de production éolienne de l’UE tous segments confondus. </w:t>
            </w:r>
          </w:p>
          <w:p w14:paraId="540B95CD" w14:textId="77777777" w:rsidR="00E93CFA" w:rsidRPr="00E93CFA" w:rsidRDefault="00E93CFA" w:rsidP="00E41522">
            <w:pPr>
              <w:spacing w:line="240" w:lineRule="auto"/>
              <w:rPr>
                <w:i/>
                <w:noProof/>
                <w:lang w:val="fr-BE"/>
              </w:rPr>
            </w:pPr>
            <w:r w:rsidRPr="00E93CFA">
              <w:rPr>
                <w:i/>
                <w:noProof/>
                <w:lang w:val="fr-BE"/>
              </w:rPr>
              <w:t xml:space="preserve">La taille des cercles est proportionnelle au nombre d’emplois par installation (petits cercles: de 10 à 50 salariés; grands cercles: plus de 1 000 salariés). </w:t>
            </w:r>
          </w:p>
          <w:p w14:paraId="5B7ECC69" w14:textId="77777777" w:rsidR="00E93CFA" w:rsidRPr="007D392D" w:rsidRDefault="00E93CFA" w:rsidP="00E41522">
            <w:pPr>
              <w:spacing w:line="240" w:lineRule="auto"/>
              <w:rPr>
                <w:noProof/>
                <w:sz w:val="24"/>
                <w:szCs w:val="24"/>
                <w:lang w:val="fr-BE"/>
              </w:rPr>
            </w:pPr>
          </w:p>
        </w:tc>
      </w:tr>
    </w:tbl>
    <w:p w14:paraId="5D85F80F"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 xml:space="preserve">Afin de favoriser l’innovation, la Commission évaluera la possibilité de mettre en place des </w:t>
      </w:r>
      <w:r w:rsidRPr="00E93CFA">
        <w:rPr>
          <w:b/>
          <w:noProof/>
          <w:sz w:val="24"/>
          <w:lang w:val="fr-BE"/>
        </w:rPr>
        <w:t>sas réglementaires</w:t>
      </w:r>
      <w:r w:rsidRPr="00E93CFA">
        <w:rPr>
          <w:noProof/>
          <w:sz w:val="24"/>
          <w:lang w:val="fr-BE"/>
        </w:rPr>
        <w:t xml:space="preserve"> pour permettre l’expérimentation rapide et l’innovation de rupture et pour tester de nouvelles technologies</w:t>
      </w:r>
      <w:r>
        <w:rPr>
          <w:rStyle w:val="FootnoteReference"/>
          <w:rFonts w:eastAsia="Calibri"/>
          <w:noProof/>
          <w:sz w:val="24"/>
          <w:szCs w:val="24"/>
        </w:rPr>
        <w:footnoteReference w:id="8"/>
      </w:r>
      <w:r w:rsidRPr="00E93CFA">
        <w:rPr>
          <w:noProof/>
          <w:sz w:val="24"/>
          <w:lang w:val="fr-BE"/>
        </w:rPr>
        <w:t xml:space="preserve">. Ces sas réglementaires peuvent également ouvrir la voie à une simplification du processus d’autorisation/de certification pour la mise sur le marché des produits. Actuellement, ces procédures peuvent être longues, ce qui ralentit l’introduction de produits innovants et représente une charge importante, surtout pour les PME et les jeunes pousses. La Commission continuera de financer des installations d’essai, ce financement étant important pour la mise sur le marché de la technologie. </w:t>
      </w:r>
    </w:p>
    <w:p w14:paraId="778A3016" w14:textId="013A087C" w:rsidR="00E93CFA" w:rsidRPr="00E93CFA" w:rsidRDefault="00E93CFA" w:rsidP="00E93CFA">
      <w:pPr>
        <w:spacing w:before="120" w:after="120" w:line="240" w:lineRule="auto"/>
        <w:rPr>
          <w:noProof/>
          <w:sz w:val="24"/>
          <w:szCs w:val="24"/>
          <w:lang w:val="fr-BE"/>
        </w:rPr>
      </w:pPr>
      <w:r w:rsidRPr="00E93CFA">
        <w:rPr>
          <w:noProof/>
          <w:sz w:val="24"/>
          <w:lang w:val="fr-BE"/>
        </w:rPr>
        <w:t xml:space="preserve">Pour stimuler davantage la demande à grande échelle de produits à zéro émission nette, diverses formes </w:t>
      </w:r>
      <w:r w:rsidRPr="00E93CFA">
        <w:rPr>
          <w:b/>
          <w:noProof/>
          <w:sz w:val="24"/>
          <w:lang w:val="fr-BE"/>
        </w:rPr>
        <w:t>d’action publique telles que les marchés publics, les concessions et les mesures destinées à inciter les entreprises et les utilisateurs finaux à utiliser des technologies à zéro émission nette reposant sur la durabilité et la circularité peuvent jouer un rôle important</w:t>
      </w:r>
      <w:r w:rsidRPr="00E93CFA">
        <w:rPr>
          <w:noProof/>
          <w:sz w:val="24"/>
          <w:lang w:val="fr-BE"/>
        </w:rPr>
        <w:t>.</w:t>
      </w:r>
      <w:r w:rsidRPr="00E93CFA">
        <w:rPr>
          <w:b/>
          <w:noProof/>
          <w:sz w:val="24"/>
          <w:lang w:val="fr-BE"/>
        </w:rPr>
        <w:t xml:space="preserve"> </w:t>
      </w:r>
      <w:r w:rsidRPr="00E93CFA">
        <w:rPr>
          <w:noProof/>
          <w:sz w:val="24"/>
          <w:lang w:val="fr-BE"/>
        </w:rPr>
        <w:t>Les pouvoirs publics de l’UE consacrent environ 14 % du PIB (soit quelque 2 000 milliards d’EUR par an) à l’achat de services, de travaux et de produits. La politique en matière de marchés publics et d'autres soutiens publics peuvent contribuer à maximiser le rendement des deniers publics en terme</w:t>
      </w:r>
      <w:r>
        <w:rPr>
          <w:noProof/>
          <w:sz w:val="24"/>
          <w:lang w:val="fr-BE"/>
        </w:rPr>
        <w:t>s</w:t>
      </w:r>
      <w:r w:rsidRPr="00E93CFA">
        <w:rPr>
          <w:noProof/>
          <w:sz w:val="24"/>
          <w:lang w:val="fr-BE"/>
        </w:rPr>
        <w:t xml:space="preserve"> d’intérêt public tout en favorisant la sécurité de l’approvisionnement grâce à la diversification des sources. À cette fin, la Commission définirait des caractéristiques de durabilité et des exigences pouvant être imposées pour les produits à zéro émission nette, en utilisant les instruments juridiques disponibles et les normes de l’UE existantes. Elle encouragerait une demande plus prévisible et plus uniforme de solutions «zéro émission nette» et autoriserait les pouvoirs publics à fixer des exigences ambitieuses en matière de durabilité.</w:t>
      </w:r>
    </w:p>
    <w:p w14:paraId="0B63B7A1"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 xml:space="preserve">Deuxièmement, la Commission proposera une </w:t>
      </w:r>
      <w:r w:rsidRPr="00E93CFA">
        <w:rPr>
          <w:b/>
          <w:noProof/>
          <w:sz w:val="24"/>
          <w:lang w:val="fr-BE"/>
        </w:rPr>
        <w:t>réglementation sur les matières premières critiques</w:t>
      </w:r>
      <w:r w:rsidRPr="00E93CFA">
        <w:rPr>
          <w:noProof/>
          <w:sz w:val="24"/>
          <w:lang w:val="fr-BE"/>
        </w:rPr>
        <w:t>.</w:t>
      </w:r>
      <w:r w:rsidRPr="00E93CFA">
        <w:rPr>
          <w:b/>
          <w:noProof/>
          <w:sz w:val="24"/>
          <w:lang w:val="fr-BE"/>
        </w:rPr>
        <w:t xml:space="preserve"> </w:t>
      </w:r>
      <w:r w:rsidRPr="00E93CFA">
        <w:rPr>
          <w:noProof/>
          <w:sz w:val="24"/>
          <w:lang w:val="fr-BE"/>
        </w:rPr>
        <w:t>La fabrication de technologies à zéro émission nette dans l’UE n’est possible que si l’accès aux matières premières critiques nécessaires est garanti, y compris en diversifiant les sources d'approvisionnement et en recyclant les matières premières pour réduire la dépendance de l’UE à l’égard d'approvisionnements étrangers très concentrés ainsi que pour favoriser les emplois de qualité et stimuler la croissance dans l’économie circulaire. Cette réglementation visera à assurer la sécurité de l’approvisionnement de l’UE, notamment en renforçant le dialogue international et en facilitant l’extraction (s’il y a lieu), la transformation et le recyclage des matières premières, tout en garantissant le respect de normes environnementales élevées ainsi que la poursuite de la recherche et de l’innovation en vue, par exemple, de réduire l’utilisation de matières premières et de mettre au point des substituts biosourcés. Des résultats tangibles ont déjà été constatés: aujourd’hui, certaines entreprises de l’UE utilisent de la lignine issue du bois dans les batteries, plutôt que du graphite.</w:t>
      </w:r>
    </w:p>
    <w:p w14:paraId="0B8843E1"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Troisièmement, l’</w:t>
      </w:r>
      <w:r w:rsidRPr="00E93CFA">
        <w:rPr>
          <w:b/>
          <w:noProof/>
          <w:sz w:val="24"/>
          <w:lang w:val="fr-BE"/>
        </w:rPr>
        <w:t>énergie</w:t>
      </w:r>
      <w:r w:rsidRPr="00E93CFA">
        <w:rPr>
          <w:noProof/>
          <w:sz w:val="24"/>
          <w:lang w:val="fr-BE"/>
        </w:rPr>
        <w:t>. L’instrumentalisation belliqueuse de l’énergie par la Russie a constitué un signal d'alarme fort appelant à agir pour garantir la sécurité de l’approvisionnement et mettre un terme aux dépendances. La compétitivité de nombreuses entreprises a été fortement affaiblie par les prix élevés de l’énergie et la perturbation de plusieurs chaînes d’approvisionnement. Cela a notamment été le cas des industries à forte intensité énergétique</w:t>
      </w:r>
      <w:r>
        <w:rPr>
          <w:rStyle w:val="FootnoteReference"/>
          <w:rFonts w:eastAsia="Calibri"/>
          <w:noProof/>
          <w:sz w:val="24"/>
          <w:szCs w:val="24"/>
        </w:rPr>
        <w:footnoteReference w:id="9"/>
      </w:r>
      <w:r w:rsidRPr="00E93CFA">
        <w:rPr>
          <w:noProof/>
          <w:sz w:val="24"/>
          <w:lang w:val="fr-BE"/>
        </w:rPr>
        <w:t>. Pour faire face aux coûts élevés de l’énergie et remplacer les combustibles fossiles coûteux par des énergies renouvelables moins chères, des mesures importantes ont été prises conformément au plan REPowerEU. En 2022, par exemple, la capacité de production d’énergie éolienne et solaire renouvelable dans l’UE a dépassé les 400 GW, soit une augmentation de plus de 25 % par rapport à 2020</w:t>
      </w:r>
      <w:r>
        <w:rPr>
          <w:rStyle w:val="FootnoteReference"/>
          <w:rFonts w:eastAsia="Calibri"/>
          <w:noProof/>
          <w:sz w:val="24"/>
          <w:szCs w:val="24"/>
        </w:rPr>
        <w:footnoteReference w:id="10"/>
      </w:r>
      <w:r w:rsidRPr="00E93CFA">
        <w:rPr>
          <w:noProof/>
          <w:sz w:val="24"/>
          <w:lang w:val="fr-BE"/>
        </w:rPr>
        <w:t xml:space="preserve">. Nous avons mis en place la plateforme énergétique de l’UE afin d'agréger la demande de gaz, de coordonner l’utilisation des infrastructures et de négocier avec les partenaires internationaux et nous avons réalisé des économies, rempli les installations de stockage et plafonné les prix sur les marchés à court terme. Plusieurs projets d’infrastructure et plusieurs interconnexions ont été achevés tant dans le secteur de l’électricité que dans celui du gaz. </w:t>
      </w:r>
      <w:r w:rsidRPr="00E93CFA">
        <w:rPr>
          <w:b/>
          <w:noProof/>
          <w:sz w:val="24"/>
          <w:lang w:val="fr-BE"/>
        </w:rPr>
        <w:t>En mars, la Commission présentera une réforme de l’organisation du marché de l’électricité</w:t>
      </w:r>
      <w:r w:rsidRPr="00E93CFA">
        <w:rPr>
          <w:noProof/>
          <w:sz w:val="24"/>
          <w:lang w:val="fr-BE"/>
        </w:rPr>
        <w:t>, pour laquelle une consultation publique est en cours. Les contrats de prix à long terme pourraient jouer un rôle important pour permettre à tous les utilisateurs d’électricité de bénéficier de prix plus prévisibles et moins élevés pour l’électricité produite à partir de sources renouvelables. Comme indiqué dans le plan REPowerEU, pour stimuler la compétitivité industrielle, il faudra à la fois transformer les processus industriels, donner un grand coup d’accélérateur aux énergies renouvelables et les développer massivement, intensifier les efforts en faveur de l’efficacité énergétique et de la réduction de la demande d’énergie, et veiller à la reconversion et au perfectionnement professionnels de la main-d’œuvre.</w:t>
      </w:r>
    </w:p>
    <w:p w14:paraId="05A0BE8C" w14:textId="77777777" w:rsidR="00E93CFA" w:rsidRPr="00E93CFA" w:rsidRDefault="00E93CFA" w:rsidP="00E93CFA">
      <w:pPr>
        <w:spacing w:line="240" w:lineRule="auto"/>
        <w:rPr>
          <w:noProof/>
          <w:sz w:val="24"/>
          <w:szCs w:val="24"/>
          <w:lang w:val="fr-BE"/>
        </w:rPr>
      </w:pPr>
      <w:r w:rsidRPr="00E93CFA">
        <w:rPr>
          <w:noProof/>
          <w:sz w:val="24"/>
          <w:lang w:val="fr-BE"/>
        </w:rPr>
        <w:t xml:space="preserve">Le nouveau </w:t>
      </w:r>
      <w:r w:rsidRPr="00E93CFA">
        <w:rPr>
          <w:b/>
          <w:noProof/>
          <w:sz w:val="24"/>
          <w:lang w:val="fr-BE"/>
        </w:rPr>
        <w:t>cadre réglementaire de l’UE pour les batteries</w:t>
      </w:r>
      <w:r w:rsidRPr="00E93CFA">
        <w:rPr>
          <w:noProof/>
          <w:sz w:val="24"/>
          <w:lang w:val="fr-BE"/>
        </w:rPr>
        <w:t xml:space="preserve"> est un élément essentiel de la transition de l’UE vers une économie neutre pour le climat, en ce qu’il garantit la compétitivité et la résilience des chaînes de valeur pour la production, la réutilisation et le recyclage des batteries dans l’UE. Pour ce qui est de l’avenir, le </w:t>
      </w:r>
      <w:r w:rsidRPr="00E93CFA">
        <w:rPr>
          <w:b/>
          <w:noProof/>
          <w:sz w:val="24"/>
          <w:lang w:val="fr-BE"/>
        </w:rPr>
        <w:t>règlement sur l’écoconception pour des produits durables</w:t>
      </w:r>
      <w:r>
        <w:rPr>
          <w:rStyle w:val="FootnoteReference"/>
          <w:noProof/>
          <w:sz w:val="24"/>
          <w:szCs w:val="24"/>
        </w:rPr>
        <w:footnoteReference w:id="11"/>
      </w:r>
      <w:r w:rsidRPr="00E93CFA">
        <w:rPr>
          <w:noProof/>
          <w:sz w:val="24"/>
          <w:lang w:val="fr-BE"/>
        </w:rPr>
        <w:t xml:space="preserve"> s’appliquera à un éventail plus large de produits et élargira encore le champ des exigences en matière de durabilité, domaine dans lequel l’industrie de l’UE excelle. La Commission accordera une priorité élevée aux travaux sur les technologies à zéro émission nette dans le cadre des plans de travail actuels et futurs en matière d’écoconception.  </w:t>
      </w:r>
    </w:p>
    <w:p w14:paraId="02BAAFFE"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En outre, il est essentiel que les consommateurs puissent fonder leurs choix sur des informations transparentes et fiables concernant la durabilité, la résistance à l’usure et l’empreinte carbone des produits. La transparence du marché est un outil qui permet de faciliter l’adoption de produits à zéro émission nette plus performants sur les plans technologique et environnemental. Par exemple, la Commission proposera, d’ici la fin de cette année, une </w:t>
      </w:r>
      <w:r w:rsidRPr="00E93CFA">
        <w:rPr>
          <w:b/>
          <w:noProof/>
          <w:sz w:val="24"/>
          <w:lang w:val="fr-BE"/>
        </w:rPr>
        <w:t>étiquette énergétique unifiée</w:t>
      </w:r>
      <w:r w:rsidRPr="00E93CFA">
        <w:rPr>
          <w:noProof/>
          <w:sz w:val="24"/>
          <w:lang w:val="fr-BE"/>
        </w:rPr>
        <w:t xml:space="preserve"> pour les pompes à chaleur afin de permettre aux utilisateurs de comparer les différentes technologies</w:t>
      </w:r>
      <w:r>
        <w:rPr>
          <w:rStyle w:val="FootnoteReference"/>
          <w:noProof/>
          <w:sz w:val="24"/>
          <w:szCs w:val="24"/>
          <w:lang w:val="en-GB"/>
        </w:rPr>
        <w:footnoteReference w:id="12"/>
      </w:r>
      <w:r w:rsidRPr="00E93CFA">
        <w:rPr>
          <w:noProof/>
          <w:sz w:val="24"/>
          <w:lang w:val="fr-BE"/>
        </w:rPr>
        <w:t>. La proposition de la Commission visant à donner aux consommateurs les moyens d’agir en faveur de la transition écologique va également dans ce sens.</w:t>
      </w:r>
    </w:p>
    <w:p w14:paraId="4EFE606A" w14:textId="2B353FEB" w:rsidR="00E93CFA" w:rsidRPr="00E93CFA" w:rsidRDefault="00E93CFA" w:rsidP="00E93CFA">
      <w:pPr>
        <w:spacing w:before="120" w:after="120" w:line="240" w:lineRule="auto"/>
        <w:rPr>
          <w:rFonts w:eastAsia="Calibri"/>
          <w:noProof/>
          <w:sz w:val="24"/>
          <w:szCs w:val="24"/>
          <w:highlight w:val="cyan"/>
          <w:lang w:val="fr-BE"/>
        </w:rPr>
      </w:pPr>
      <w:r w:rsidRPr="00E93CFA">
        <w:rPr>
          <w:noProof/>
          <w:sz w:val="24"/>
          <w:lang w:val="fr-BE"/>
        </w:rPr>
        <w:t xml:space="preserve">Enfin, les </w:t>
      </w:r>
      <w:r w:rsidRPr="00E93CFA">
        <w:rPr>
          <w:b/>
          <w:noProof/>
          <w:sz w:val="24"/>
          <w:lang w:val="fr-BE"/>
        </w:rPr>
        <w:t>infrastructures</w:t>
      </w:r>
      <w:r w:rsidRPr="00E93CFA">
        <w:rPr>
          <w:noProof/>
          <w:sz w:val="24"/>
          <w:lang w:val="fr-BE"/>
        </w:rPr>
        <w:t xml:space="preserve"> sont essentielles pour créer l’environnement économique favorable au zéro émission nette que le plan industriel du pacte vert vise à mettre en place. La couverture complète des réseaux RTE-T par des infrastructures de recharge et de ravitaillement, le développement et le renforcement d’une infrastructure européenne de base pour l’hydrogène ainsi que l’extension et le renforcement des réseaux électriques intelligents de manière que le réseau RTE-E puisse accueillir de grandes quantités d’énergie renouvelable nécessitent des investissements importants</w:t>
      </w:r>
      <w:r>
        <w:rPr>
          <w:rStyle w:val="FootnoteReference"/>
          <w:rFonts w:eastAsia="Calibri"/>
          <w:noProof/>
          <w:sz w:val="24"/>
          <w:szCs w:val="24"/>
        </w:rPr>
        <w:footnoteReference w:id="13"/>
      </w:r>
      <w:r w:rsidRPr="00E93CFA">
        <w:rPr>
          <w:noProof/>
          <w:sz w:val="24"/>
          <w:lang w:val="fr-BE"/>
        </w:rPr>
        <w:t>, mais aussi un renforcement de notre cadre réglementaire. Le moment est venu de cartographier les infrastructures nécessaires en se plaçant dans une perspective européenne. La Commission invite instamment les colégislateurs à adopter dès que possible le règlement sur le déploiement d’une infrastructure pour carburants alternatifs (AFIR) afin de contribuer à la mise en place d’un réseau de recharge et de ravitaillement adapté aux évolutions futures. Dans le but de développer et de renforcer les infrastructures d’hydrogène et d’électricité, la Commission évaluera plus avant les besoins en ressources du mécanisme pour l’interconnexion en Europe et utilisera tout le champ du règlement RTE-E révisé pour accélérer la planification, le financement et le déploiement d’infrastructures (transfrontières) cruciales. Le développement et la mise en place d’infrastructures transfrontières, notamment, doivent être accé</w:t>
      </w:r>
      <w:r w:rsidR="0034243A">
        <w:rPr>
          <w:noProof/>
          <w:sz w:val="24"/>
          <w:lang w:val="fr-BE"/>
        </w:rPr>
        <w:t xml:space="preserve">lérés dans les années à venir. </w:t>
      </w:r>
      <w:r w:rsidRPr="00E93CFA">
        <w:rPr>
          <w:noProof/>
          <w:sz w:val="24"/>
          <w:lang w:val="fr-BE"/>
        </w:rPr>
        <w:t>La Commission envisagera également d’autres moyens, dont des mesures législatives, de garantir que les États membres fournissent des infrastructures énergétiques transfrontières, afin d’éviter tout retard injustifié dans le déploiement des infrastructures stratégiques.</w:t>
      </w:r>
    </w:p>
    <w:p w14:paraId="0FC5A4BF" w14:textId="77777777" w:rsidR="00E93CFA" w:rsidRPr="00E93CFA" w:rsidRDefault="00E93CFA" w:rsidP="00E93CFA">
      <w:pPr>
        <w:spacing w:before="120" w:after="120" w:line="240" w:lineRule="auto"/>
        <w:rPr>
          <w:noProof/>
          <w:sz w:val="24"/>
          <w:szCs w:val="24"/>
          <w:lang w:val="fr-BE"/>
        </w:rPr>
      </w:pPr>
      <w:r w:rsidRPr="00E93CFA">
        <w:rPr>
          <w:noProof/>
          <w:sz w:val="24"/>
          <w:lang w:val="fr-BE"/>
        </w:rPr>
        <w:t>Le plan industriel du pacte vert réussira à stimuler la compétitivité si tous les acteurs (autorités, partenaires sociaux, investisseurs et consommateurs) unissent leurs forces pour atteindre les mêmes objectifs. La plateforme Clean Tech Europe nouvellement créée, le forum industriel sur l’énergie propre, ainsi que d’autres parties prenantes soutiendraient le plan, coordonneraient les actions visant à atteindre les objectifs en matière d’investissement et de production et promouvraient davantage les possibilités de mise en relation. La Commission continuera à dialoguer étroitement avec le Parlement européen pour garantir le succès du plan industriel du pacte vert.</w:t>
      </w:r>
    </w:p>
    <w:p w14:paraId="2C4DDC86" w14:textId="77777777" w:rsidR="00E93CFA" w:rsidRPr="007D392D" w:rsidRDefault="00E93CFA" w:rsidP="00E93CFA">
      <w:pPr>
        <w:spacing w:line="240" w:lineRule="auto"/>
        <w:rPr>
          <w:rFonts w:eastAsia="Calibri"/>
          <w:noProof/>
          <w:sz w:val="24"/>
          <w:szCs w:val="24"/>
          <w:lang w:val="fr-BE"/>
        </w:rPr>
      </w:pPr>
    </w:p>
    <w:p w14:paraId="4211CFCE" w14:textId="77777777" w:rsidR="00E93CFA" w:rsidRPr="000D17F2" w:rsidRDefault="00E93CFA" w:rsidP="00E93CFA">
      <w:pPr>
        <w:pStyle w:val="Heading2"/>
        <w:rPr>
          <w:noProof/>
          <w:szCs w:val="24"/>
        </w:rPr>
      </w:pPr>
      <w:r>
        <w:rPr>
          <w:noProof/>
        </w:rPr>
        <w:t>Accélérer l’accès au financement</w:t>
      </w:r>
    </w:p>
    <w:p w14:paraId="405DE47B" w14:textId="72EE7258" w:rsidR="00E93CFA" w:rsidRPr="00E93CFA" w:rsidRDefault="00E93CFA" w:rsidP="00E93CFA">
      <w:pPr>
        <w:spacing w:before="120" w:after="120" w:line="240" w:lineRule="auto"/>
        <w:rPr>
          <w:noProof/>
          <w:sz w:val="24"/>
          <w:szCs w:val="24"/>
          <w:lang w:val="fr-BE"/>
        </w:rPr>
      </w:pPr>
      <w:r w:rsidRPr="00E93CFA">
        <w:rPr>
          <w:noProof/>
          <w:sz w:val="24"/>
          <w:lang w:val="fr-BE"/>
        </w:rPr>
        <w:t>L’industrie mondiale à zéro émission nette a connu une forte croissance, les investissements dans les énergies propres ayant augmenté de 10 % en 2022 par rapport à l’année précédente. L’industrie européenne à zéro émission nette est compétitive dans un certain nombre de secteurs, tels que ceux de l’énergie éolienne ou des pompes à chaleur, même dans le contexte actuel caractérisé par des prix de l’énergie relativement élevés, alors qu’elle n'a pris pied que de manière limitée dans d’autres segments, comme celui des panneaux solaires photovoltaïques.</w:t>
      </w:r>
      <w:r w:rsidRPr="00E93CFA">
        <w:rPr>
          <w:b/>
          <w:noProof/>
          <w:sz w:val="24"/>
          <w:lang w:val="fr-BE"/>
        </w:rPr>
        <w:t xml:space="preserve"> </w:t>
      </w:r>
      <w:r w:rsidRPr="00E93CFA">
        <w:rPr>
          <w:noProof/>
          <w:sz w:val="24"/>
          <w:lang w:val="fr-BE"/>
        </w:rPr>
        <w:t>En outre, pour que la transition vers une économie à zéro émission nette se fasse en temps utile, il est nécessaire de développer plus rapidement ces segments.</w:t>
      </w:r>
      <w:r w:rsidRPr="00E93CFA">
        <w:rPr>
          <w:b/>
          <w:noProof/>
          <w:sz w:val="24"/>
          <w:lang w:val="fr-BE"/>
        </w:rPr>
        <w:t xml:space="preserve"> Les parts de marché de l’industrie de l’UE sont soumises à une forte pression s’expliquant, dans une large mesure, par les subventions accordées à l'étranger, qui faussent les conditions de concurrence.  Il est donc nécessaire d’élargir et d’accélérer l’accès de l’industrie à zéro</w:t>
      </w:r>
      <w:r w:rsidR="0034243A">
        <w:rPr>
          <w:b/>
          <w:noProof/>
          <w:sz w:val="24"/>
          <w:lang w:val="fr-BE"/>
        </w:rPr>
        <w:t xml:space="preserve"> émission nette au financement.</w:t>
      </w:r>
      <w:r w:rsidRPr="00E93CFA">
        <w:rPr>
          <w:noProof/>
          <w:sz w:val="24"/>
          <w:lang w:val="fr-BE"/>
        </w:rPr>
        <w:t xml:space="preserve"> Il s’agit là du deuxième pilier du plan industriel du pacte vert. </w:t>
      </w:r>
    </w:p>
    <w:p w14:paraId="6D1329EF" w14:textId="77777777" w:rsidR="00E93CFA" w:rsidRPr="00E93CFA" w:rsidRDefault="00E93CFA" w:rsidP="00E93CFA">
      <w:pPr>
        <w:spacing w:before="120" w:after="120" w:line="240" w:lineRule="auto"/>
        <w:rPr>
          <w:bCs/>
          <w:noProof/>
          <w:sz w:val="24"/>
          <w:szCs w:val="24"/>
          <w:lang w:val="fr-BE"/>
        </w:rPr>
      </w:pPr>
      <w:r w:rsidRPr="00E93CFA">
        <w:rPr>
          <w:noProof/>
          <w:sz w:val="24"/>
          <w:lang w:val="fr-BE"/>
        </w:rPr>
        <w:t xml:space="preserve">Les financements publics ciblés doivent également remplir leur rôle. Aujourd’hui déjà, les financements européens et nationaux jouent un rôle important dans la promotion du zéro émission nette dans l’innovation, ainsi que dans la fabrication, le déploiement et le renforcement connexe de réseaux et d’infrastructures. Les financements privés seront essentiels pour mobiliser des investissements dans l’industrie à zéro émission nette. </w:t>
      </w:r>
    </w:p>
    <w:p w14:paraId="133C9B35"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Dans le cadre de NextGenerationEU, les 27 plans nationaux pour la reprise et la résilience financés par la facilité pour la reprise et la résilience (FRR) mettent déjà 250 milliards d’EUR à disposition pour financer des mesures écologiques, y compris des investissements à l'appui de la décarbonation de l’industrie. Horizon Europe consacre 40 milliards d’EUR à la recherche et à l’innovation dans le cadre du pacte vert, y compris en partenariat avec l’industrie. </w:t>
      </w:r>
    </w:p>
    <w:p w14:paraId="171AEA97"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Les </w:t>
      </w:r>
      <w:r w:rsidRPr="00E93CFA">
        <w:rPr>
          <w:b/>
          <w:noProof/>
          <w:sz w:val="24"/>
          <w:lang w:val="fr-BE"/>
        </w:rPr>
        <w:t>politiques de cohésion</w:t>
      </w:r>
      <w:r w:rsidRPr="00E93CFA">
        <w:rPr>
          <w:noProof/>
          <w:sz w:val="24"/>
          <w:lang w:val="fr-BE"/>
        </w:rPr>
        <w:t xml:space="preserve"> mettent quelque 100 milliards d’EUR à disposition pour la transition écologique, notamment au titre du Fonds pour une transition juste. La Commission facilitera encore la mobilisation rapide d’investissements au titre de la cohésion à l’appui du plan industriel en faveur du zéro émission nette, notamment en accélérant la conception et le remboursement des projets dans le domaine de l’efficacité énergétique et des énergies renouvelables au moyen de régimes de remboursement standard. </w:t>
      </w:r>
    </w:p>
    <w:p w14:paraId="7EA66E61" w14:textId="77777777" w:rsidR="00E93CFA" w:rsidRPr="00E93CFA" w:rsidRDefault="00E93CFA" w:rsidP="00E93CFA">
      <w:pPr>
        <w:spacing w:before="120" w:after="120" w:line="240" w:lineRule="auto"/>
        <w:rPr>
          <w:noProof/>
          <w:sz w:val="24"/>
          <w:szCs w:val="24"/>
          <w:lang w:val="fr-BE"/>
        </w:rPr>
      </w:pPr>
      <w:r w:rsidRPr="00E93CFA">
        <w:rPr>
          <w:noProof/>
          <w:sz w:val="24"/>
          <w:lang w:val="fr-BE"/>
        </w:rPr>
        <w:t>À ce jour, ces sources de financement de l’UE ont plus largement profité à la recherche et à l’innovation et au déploiement des énergies renouvelables et des infrastructures connexes que ciblé les capacités de production dans le secteur.</w:t>
      </w:r>
    </w:p>
    <w:p w14:paraId="51E58309" w14:textId="77777777" w:rsidR="00E93CFA" w:rsidRPr="00E93CFA" w:rsidRDefault="00E93CFA" w:rsidP="00E93CFA">
      <w:pPr>
        <w:spacing w:before="120" w:after="120" w:line="240" w:lineRule="auto"/>
        <w:rPr>
          <w:b/>
          <w:noProof/>
          <w:sz w:val="24"/>
          <w:szCs w:val="24"/>
          <w:lang w:val="fr-BE"/>
        </w:rPr>
      </w:pPr>
      <w:r w:rsidRPr="00E93CFA">
        <w:rPr>
          <w:noProof/>
          <w:sz w:val="24"/>
          <w:lang w:val="fr-BE"/>
        </w:rPr>
        <w:t xml:space="preserve">Le financement des chaînes de valeur industrielles à zéro émission nette peut être amplifié et accéléré grâce à des aides d’État ciblées. Toutefois, pour éviter une fragmentation du marché unique due à la diversité des niveaux de soutien national – et des capacités d’octroi d’un tel soutien – , il est également nécessaire de prévoir des financements adéquats au niveau de l’UE pour faciliter l’essor de ces chaînes de valeur industrielles dans l’ensemble de l’Union. </w:t>
      </w:r>
    </w:p>
    <w:p w14:paraId="6CE0DD96" w14:textId="77777777" w:rsidR="00E93CFA" w:rsidRPr="00E93CFA" w:rsidRDefault="00E93CFA" w:rsidP="00E93CFA">
      <w:pPr>
        <w:spacing w:before="120" w:after="120" w:line="240" w:lineRule="auto"/>
        <w:rPr>
          <w:noProof/>
          <w:sz w:val="24"/>
          <w:szCs w:val="24"/>
          <w:lang w:val="fr-BE"/>
        </w:rPr>
      </w:pPr>
      <w:r w:rsidRPr="00E93CFA">
        <w:rPr>
          <w:noProof/>
          <w:sz w:val="24"/>
          <w:lang w:val="fr-BE"/>
        </w:rPr>
        <w:t>2.2.1 Financements nationaux</w:t>
      </w:r>
    </w:p>
    <w:p w14:paraId="09A1C439" w14:textId="5686AEA6" w:rsidR="00E93CFA" w:rsidRPr="00E93CFA" w:rsidRDefault="00E93CFA" w:rsidP="00E93CFA">
      <w:pPr>
        <w:spacing w:before="120" w:after="120" w:line="240" w:lineRule="auto"/>
        <w:rPr>
          <w:noProof/>
          <w:sz w:val="24"/>
          <w:szCs w:val="24"/>
          <w:lang w:val="fr-BE"/>
        </w:rPr>
      </w:pPr>
      <w:r w:rsidRPr="00E93CFA">
        <w:rPr>
          <w:b/>
          <w:noProof/>
          <w:sz w:val="24"/>
          <w:lang w:val="fr-BE"/>
        </w:rPr>
        <w:t>Pou</w:t>
      </w:r>
      <w:r w:rsidR="0034243A">
        <w:rPr>
          <w:b/>
          <w:noProof/>
          <w:sz w:val="24"/>
          <w:lang w:val="fr-BE"/>
        </w:rPr>
        <w:t xml:space="preserve">r commencer, les aides d’État: </w:t>
      </w:r>
      <w:r w:rsidRPr="00E93CFA">
        <w:rPr>
          <w:noProof/>
          <w:sz w:val="24"/>
          <w:lang w:val="fr-BE"/>
        </w:rPr>
        <w:t xml:space="preserve">la </w:t>
      </w:r>
      <w:r w:rsidRPr="00E93CFA">
        <w:rPr>
          <w:b/>
          <w:noProof/>
          <w:sz w:val="24"/>
          <w:lang w:val="fr-BE"/>
        </w:rPr>
        <w:t>politique de concurrence de l’UE</w:t>
      </w:r>
      <w:r w:rsidRPr="00E93CFA">
        <w:rPr>
          <w:noProof/>
          <w:sz w:val="24"/>
          <w:lang w:val="fr-BE"/>
        </w:rPr>
        <w:t xml:space="preserve"> fournit des outils permettant de soutenir le développement et le déploiement de technologies de pointe clés revêtant une importance stratégique pour les transitions écologique et numérique, tout en préservant l’intégrité du marché unique et en respectant les obligations internationales de l’UE. Rien qu’en 2022, la Commission a autorisé des régimes d’aides représentant un budget total de 51 milliards d’EUR en faveur du déploiement de nouvelles capacités de production d’énergie renouvelable et de la décarbonation de la production industrielle dans l’ensemble de l’Union. Dès mars 2022, à la suite de l’agression de l’Ukraine par la Russie, la Commission a adopté un encadrement temporaire de crise qui fournit aux États membres un outil leur permettant de remédier aux effets économiques négatifs engendrés par la guerre et de faciliter les ajustements structurels nécessaires pour mieux faire face à la situation économique qui en résulte. Cet encadrement a été modifié à deux reprises et comporte déjà des dispositions spécifiques relatives à la simplification des aides en faveur des énergies renouvelables, des technologies de décarbonation et des mesures d’efficacité énergétique.  </w:t>
      </w:r>
    </w:p>
    <w:p w14:paraId="1DF17495" w14:textId="77777777" w:rsidR="00E93CFA" w:rsidRPr="00E93CFA" w:rsidRDefault="00E93CFA" w:rsidP="00E93CFA">
      <w:pPr>
        <w:spacing w:before="120" w:after="120" w:line="240" w:lineRule="auto"/>
        <w:rPr>
          <w:noProof/>
          <w:sz w:val="24"/>
          <w:szCs w:val="24"/>
          <w:lang w:val="fr-BE"/>
        </w:rPr>
      </w:pPr>
      <w:r w:rsidRPr="00E93CFA">
        <w:rPr>
          <w:b/>
          <w:noProof/>
          <w:sz w:val="24"/>
          <w:lang w:val="fr-BE"/>
        </w:rPr>
        <w:t>La Commission a maintenant l’intention d’accorder une plus grande souplesse aux États membres pour l’octroi d’aides</w:t>
      </w:r>
      <w:r w:rsidRPr="00E93CFA">
        <w:rPr>
          <w:noProof/>
          <w:sz w:val="24"/>
          <w:lang w:val="fr-BE"/>
        </w:rPr>
        <w:t xml:space="preserve"> temporaires et limitées à des secteurs soigneusement définis. Elle consultera les États membres sur une proposition visant à adapter temporairement, jusqu’à la fin de 2025, les règles en matière d’aides d’État afin d’encore accélérer et simplifier les choses, en facilitant les calculs, en simplifiant les procédures et en accélérant les autorisations. Ces modifications aideront également les États membres à mettre en œuvre des projets spécifiques, relevant de leur champ d'application, qui figurent dans les plans de relance nationaux. </w:t>
      </w:r>
    </w:p>
    <w:p w14:paraId="5312429B" w14:textId="77777777" w:rsidR="00E93CFA" w:rsidRPr="00E93CFA" w:rsidRDefault="00E93CFA" w:rsidP="00E93CFA">
      <w:pPr>
        <w:spacing w:before="120" w:after="120" w:line="240" w:lineRule="auto"/>
        <w:rPr>
          <w:noProof/>
          <w:sz w:val="24"/>
          <w:szCs w:val="24"/>
          <w:lang w:val="fr-BE"/>
        </w:rPr>
      </w:pPr>
      <w:r w:rsidRPr="00E93CFA">
        <w:rPr>
          <w:noProof/>
          <w:sz w:val="24"/>
          <w:lang w:val="fr-BE"/>
        </w:rPr>
        <w:t>La Commission a l’intention d’</w:t>
      </w:r>
      <w:r w:rsidRPr="00E93CFA">
        <w:rPr>
          <w:b/>
          <w:noProof/>
          <w:sz w:val="24"/>
          <w:lang w:val="fr-BE"/>
        </w:rPr>
        <w:t>adapter les règles en matière d’aides d’État selon cinq axes</w:t>
      </w:r>
      <w:r w:rsidRPr="00E93CFA">
        <w:rPr>
          <w:noProof/>
          <w:sz w:val="24"/>
          <w:lang w:val="fr-BE"/>
        </w:rPr>
        <w:t xml:space="preserve">, sous réserve des conditions nécessaires pour limiter les distorsions dans le marché unique, éviter des disparités régionales plus importantes et garantir le respect des obligations internationales. Quatre de ces axes seront mis en œuvre au moyen de la modification proposée de l’encadrement temporaire de crise, qui sera transformé en un </w:t>
      </w:r>
      <w:r w:rsidRPr="00E93CFA">
        <w:rPr>
          <w:b/>
          <w:noProof/>
          <w:sz w:val="24"/>
          <w:lang w:val="fr-BE"/>
        </w:rPr>
        <w:t>encadrement temporaire de crise et de transition</w:t>
      </w:r>
      <w:r w:rsidRPr="00E93CFA">
        <w:rPr>
          <w:noProof/>
          <w:sz w:val="24"/>
          <w:lang w:val="fr-BE"/>
        </w:rPr>
        <w:t xml:space="preserve"> en matière d'aides d’État:</w:t>
      </w:r>
    </w:p>
    <w:p w14:paraId="7E922346" w14:textId="77777777" w:rsidR="00E93CFA" w:rsidRPr="00E93CFA" w:rsidRDefault="00E93CFA" w:rsidP="00E93CFA">
      <w:pPr>
        <w:pStyle w:val="ListParagraph"/>
        <w:numPr>
          <w:ilvl w:val="0"/>
          <w:numId w:val="28"/>
        </w:numPr>
        <w:spacing w:before="120" w:after="120" w:line="240" w:lineRule="auto"/>
        <w:rPr>
          <w:i/>
          <w:iCs/>
          <w:noProof/>
          <w:sz w:val="24"/>
          <w:szCs w:val="24"/>
          <w:lang w:val="fr-BE"/>
        </w:rPr>
      </w:pPr>
      <w:r w:rsidRPr="00E93CFA">
        <w:rPr>
          <w:i/>
          <w:noProof/>
          <w:sz w:val="24"/>
          <w:lang w:val="fr-BE"/>
        </w:rPr>
        <w:t xml:space="preserve">Simplification des aides au déploiement des énergies renouvelables; </w:t>
      </w:r>
    </w:p>
    <w:p w14:paraId="47603502" w14:textId="77777777" w:rsidR="00E93CFA" w:rsidRPr="00E93CFA" w:rsidRDefault="00E93CFA" w:rsidP="00E93CFA">
      <w:pPr>
        <w:spacing w:line="240" w:lineRule="auto"/>
        <w:rPr>
          <w:rFonts w:eastAsia="Calibri"/>
          <w:noProof/>
          <w:sz w:val="24"/>
          <w:szCs w:val="24"/>
          <w:lang w:val="fr-BE"/>
        </w:rPr>
      </w:pPr>
      <w:r w:rsidRPr="00E93CFA">
        <w:rPr>
          <w:noProof/>
          <w:sz w:val="24"/>
          <w:lang w:val="fr-BE"/>
        </w:rPr>
        <w:t>L’encadrement temporaire de crise a déjà simplifié les aides aux déploiements des énergies renouvelables. Le projet d’encadrement temporaire de crise et de transition irait plus loin:</w:t>
      </w:r>
    </w:p>
    <w:p w14:paraId="50DE5BE0" w14:textId="77777777" w:rsidR="00E93CFA" w:rsidRPr="00E93CFA" w:rsidRDefault="00E93CFA" w:rsidP="00E93CFA">
      <w:pPr>
        <w:pStyle w:val="ListParagraph"/>
        <w:numPr>
          <w:ilvl w:val="0"/>
          <w:numId w:val="31"/>
        </w:numPr>
        <w:spacing w:before="120" w:after="120" w:line="240" w:lineRule="auto"/>
        <w:rPr>
          <w:noProof/>
          <w:sz w:val="24"/>
          <w:szCs w:val="24"/>
          <w:lang w:val="fr-BE"/>
        </w:rPr>
      </w:pPr>
      <w:r w:rsidRPr="00E93CFA">
        <w:rPr>
          <w:noProof/>
          <w:sz w:val="24"/>
          <w:lang w:val="fr-BE"/>
        </w:rPr>
        <w:t xml:space="preserve">en étendant les dispositions à </w:t>
      </w:r>
      <w:r w:rsidRPr="00E93CFA">
        <w:rPr>
          <w:b/>
          <w:noProof/>
          <w:sz w:val="24"/>
          <w:lang w:val="fr-BE"/>
        </w:rPr>
        <w:t>toutes les technologies renouvelables</w:t>
      </w:r>
      <w:r w:rsidRPr="00E93CFA">
        <w:rPr>
          <w:noProof/>
          <w:sz w:val="24"/>
          <w:lang w:val="fr-BE"/>
        </w:rPr>
        <w:t xml:space="preserve"> (dans le cadre de la directive RED II) ainsi qu’au </w:t>
      </w:r>
      <w:r w:rsidRPr="00E93CFA">
        <w:rPr>
          <w:b/>
          <w:bCs/>
          <w:noProof/>
          <w:sz w:val="24"/>
          <w:lang w:val="fr-BE"/>
        </w:rPr>
        <w:t>stockage</w:t>
      </w:r>
      <w:r w:rsidRPr="00E93CFA">
        <w:rPr>
          <w:noProof/>
          <w:sz w:val="24"/>
          <w:lang w:val="fr-BE"/>
        </w:rPr>
        <w:t xml:space="preserve"> de l’hydrogène d’origine renouvelable et des biocarburants; </w:t>
      </w:r>
    </w:p>
    <w:p w14:paraId="7D778B85" w14:textId="77777777" w:rsidR="00E93CFA" w:rsidRPr="00E93CFA" w:rsidRDefault="00E93CFA" w:rsidP="00E93CFA">
      <w:pPr>
        <w:pStyle w:val="ListParagraph"/>
        <w:numPr>
          <w:ilvl w:val="0"/>
          <w:numId w:val="31"/>
        </w:numPr>
        <w:spacing w:before="120" w:after="120" w:line="240" w:lineRule="auto"/>
        <w:rPr>
          <w:noProof/>
          <w:sz w:val="24"/>
          <w:szCs w:val="24"/>
          <w:lang w:val="fr-BE"/>
        </w:rPr>
      </w:pPr>
      <w:r w:rsidRPr="00E93CFA">
        <w:rPr>
          <w:noProof/>
          <w:sz w:val="24"/>
          <w:lang w:val="fr-BE"/>
        </w:rPr>
        <w:t xml:space="preserve">en supprimant l’obligation de recourir à des appels d’offres ouverts pour les </w:t>
      </w:r>
      <w:r w:rsidRPr="00E93CFA">
        <w:rPr>
          <w:b/>
          <w:noProof/>
          <w:sz w:val="24"/>
          <w:lang w:val="fr-BE"/>
        </w:rPr>
        <w:t>technologies moins matures</w:t>
      </w:r>
      <w:r w:rsidRPr="00E93CFA">
        <w:rPr>
          <w:noProof/>
          <w:sz w:val="24"/>
          <w:lang w:val="fr-BE"/>
        </w:rPr>
        <w:t xml:space="preserve"> (pour lesquelles les appels d’offres peuvent s’avérer moins efficaces); et </w:t>
      </w:r>
    </w:p>
    <w:p w14:paraId="6E3063C7" w14:textId="77777777" w:rsidR="00E93CFA" w:rsidRPr="00E93CFA" w:rsidRDefault="00E93CFA" w:rsidP="00E93CFA">
      <w:pPr>
        <w:pStyle w:val="ListParagraph"/>
        <w:numPr>
          <w:ilvl w:val="0"/>
          <w:numId w:val="31"/>
        </w:numPr>
        <w:spacing w:before="120" w:after="120" w:line="240" w:lineRule="auto"/>
        <w:rPr>
          <w:noProof/>
          <w:sz w:val="24"/>
          <w:szCs w:val="24"/>
          <w:lang w:val="fr-BE"/>
        </w:rPr>
      </w:pPr>
      <w:r w:rsidRPr="00E93CFA">
        <w:rPr>
          <w:noProof/>
          <w:sz w:val="24"/>
          <w:lang w:val="fr-BE"/>
        </w:rPr>
        <w:t xml:space="preserve">en </w:t>
      </w:r>
      <w:r w:rsidRPr="00E93CFA">
        <w:rPr>
          <w:b/>
          <w:noProof/>
          <w:sz w:val="24"/>
          <w:lang w:val="fr-BE"/>
        </w:rPr>
        <w:t>prolongeant les délais pour l'achèvement des projets</w:t>
      </w:r>
      <w:r w:rsidRPr="00E93CFA">
        <w:rPr>
          <w:noProof/>
          <w:sz w:val="24"/>
          <w:lang w:val="fr-BE"/>
        </w:rPr>
        <w:t>.</w:t>
      </w:r>
    </w:p>
    <w:p w14:paraId="5170A9E0" w14:textId="77777777" w:rsidR="00E93CFA" w:rsidRPr="00E93CFA" w:rsidRDefault="00E93CFA" w:rsidP="00E93CFA">
      <w:pPr>
        <w:pStyle w:val="ListParagraph"/>
        <w:spacing w:before="120" w:after="120" w:line="240" w:lineRule="auto"/>
        <w:rPr>
          <w:noProof/>
          <w:sz w:val="24"/>
          <w:szCs w:val="24"/>
          <w:lang w:val="fr-BE"/>
        </w:rPr>
      </w:pPr>
    </w:p>
    <w:p w14:paraId="6A31D575" w14:textId="77777777" w:rsidR="00E93CFA" w:rsidRPr="00E93CFA" w:rsidRDefault="00E93CFA" w:rsidP="00E93CFA">
      <w:pPr>
        <w:pStyle w:val="ListParagraph"/>
        <w:numPr>
          <w:ilvl w:val="0"/>
          <w:numId w:val="28"/>
        </w:numPr>
        <w:spacing w:before="120" w:after="120" w:line="240" w:lineRule="auto"/>
        <w:rPr>
          <w:i/>
          <w:iCs/>
          <w:noProof/>
          <w:sz w:val="24"/>
          <w:szCs w:val="24"/>
          <w:lang w:val="fr-BE"/>
        </w:rPr>
      </w:pPr>
      <w:r w:rsidRPr="00E93CFA">
        <w:rPr>
          <w:i/>
          <w:noProof/>
          <w:sz w:val="24"/>
          <w:lang w:val="fr-BE"/>
        </w:rPr>
        <w:t xml:space="preserve">Simplification des aides à la décarbonation des processus industriels; </w:t>
      </w:r>
    </w:p>
    <w:p w14:paraId="14D6D69A"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Les aides à la décarbonation en faveur de l’industrie avaient déjà été simplifiées par l’encadrement temporaire de crise. L’encadrement temporaire de crise et de transition irait plus loin en introduisant un certain nombre de dispositions, telles que:</w:t>
      </w:r>
    </w:p>
    <w:p w14:paraId="10F39768" w14:textId="77777777" w:rsidR="00E93CFA" w:rsidRPr="00E93CFA" w:rsidRDefault="00E93CFA" w:rsidP="00E93CFA">
      <w:pPr>
        <w:pStyle w:val="ListParagraph"/>
        <w:numPr>
          <w:ilvl w:val="0"/>
          <w:numId w:val="35"/>
        </w:numPr>
        <w:spacing w:before="120" w:after="120" w:line="240" w:lineRule="auto"/>
        <w:rPr>
          <w:noProof/>
          <w:sz w:val="24"/>
          <w:szCs w:val="24"/>
          <w:lang w:val="fr-BE"/>
        </w:rPr>
      </w:pPr>
      <w:r w:rsidRPr="00E93CFA">
        <w:rPr>
          <w:noProof/>
          <w:sz w:val="24"/>
          <w:lang w:val="fr-BE"/>
        </w:rPr>
        <w:t xml:space="preserve">la possibilité d'octroyer des aides correspondant à </w:t>
      </w:r>
      <w:r w:rsidRPr="00E93CFA">
        <w:rPr>
          <w:b/>
          <w:noProof/>
          <w:sz w:val="24"/>
          <w:lang w:val="fr-BE"/>
        </w:rPr>
        <w:t>des pourcentages standard des coûts d’investissement</w:t>
      </w:r>
      <w:r w:rsidRPr="00E93CFA">
        <w:rPr>
          <w:noProof/>
          <w:sz w:val="24"/>
          <w:lang w:val="fr-BE"/>
        </w:rPr>
        <w:t>, sur la base de l’expérience pratique – pour l’utilisation de l’hydrogène, l’efficacité énergétique et l’électrification;</w:t>
      </w:r>
    </w:p>
    <w:p w14:paraId="6C0432DE" w14:textId="24921871" w:rsidR="00E93CFA" w:rsidRPr="00B63D8D" w:rsidRDefault="00E93CFA" w:rsidP="00E93CFA">
      <w:pPr>
        <w:pStyle w:val="ListParagraph"/>
        <w:numPr>
          <w:ilvl w:val="0"/>
          <w:numId w:val="33"/>
        </w:numPr>
        <w:spacing w:before="120" w:after="120" w:line="240" w:lineRule="auto"/>
        <w:rPr>
          <w:rFonts w:eastAsia="Calibri"/>
          <w:noProof/>
          <w:sz w:val="24"/>
          <w:szCs w:val="24"/>
          <w:lang w:val="fr-BE"/>
        </w:rPr>
      </w:pPr>
      <w:r w:rsidRPr="00E93CFA">
        <w:rPr>
          <w:noProof/>
          <w:sz w:val="24"/>
          <w:lang w:val="fr-BE"/>
        </w:rPr>
        <w:t xml:space="preserve">la fixation de </w:t>
      </w:r>
      <w:r w:rsidRPr="00E93CFA">
        <w:rPr>
          <w:b/>
          <w:noProof/>
          <w:sz w:val="24"/>
          <w:lang w:val="fr-BE"/>
        </w:rPr>
        <w:t>plafonds d’aide plus souples</w:t>
      </w:r>
      <w:r w:rsidRPr="00E93CFA">
        <w:rPr>
          <w:noProof/>
          <w:sz w:val="24"/>
          <w:lang w:val="fr-BE"/>
        </w:rPr>
        <w:t xml:space="preserve"> par bénéficiaire pour les régimes remplissant des conditions spécifiques.</w:t>
      </w:r>
      <w:r w:rsidRPr="00E93CFA">
        <w:rPr>
          <w:noProof/>
          <w:lang w:val="fr-BE"/>
        </w:rPr>
        <w:t xml:space="preserve"> </w:t>
      </w:r>
    </w:p>
    <w:p w14:paraId="13C05F2D" w14:textId="77777777" w:rsidR="00B63D8D" w:rsidRPr="00E93CFA" w:rsidRDefault="00B63D8D" w:rsidP="00B63D8D">
      <w:pPr>
        <w:pStyle w:val="ListParagraph"/>
        <w:spacing w:before="120" w:after="120" w:line="240" w:lineRule="auto"/>
        <w:rPr>
          <w:rFonts w:eastAsia="Calibri"/>
          <w:noProof/>
          <w:sz w:val="24"/>
          <w:szCs w:val="24"/>
          <w:lang w:val="fr-BE"/>
        </w:rPr>
      </w:pPr>
    </w:p>
    <w:p w14:paraId="7820506D" w14:textId="77777777" w:rsidR="00E93CFA" w:rsidRPr="00E93CFA" w:rsidRDefault="00E93CFA" w:rsidP="00E93CFA">
      <w:pPr>
        <w:pStyle w:val="ListParagraph"/>
        <w:numPr>
          <w:ilvl w:val="0"/>
          <w:numId w:val="28"/>
        </w:numPr>
        <w:spacing w:before="120" w:after="120" w:line="240" w:lineRule="auto"/>
        <w:rPr>
          <w:i/>
          <w:iCs/>
          <w:noProof/>
          <w:sz w:val="24"/>
          <w:szCs w:val="24"/>
          <w:lang w:val="fr-BE"/>
        </w:rPr>
      </w:pPr>
      <w:r w:rsidRPr="00E93CFA">
        <w:rPr>
          <w:i/>
          <w:noProof/>
          <w:sz w:val="24"/>
          <w:lang w:val="fr-BE"/>
        </w:rPr>
        <w:t>Régimes renforcés d'aides à l’investissement en faveur de la production de technologies stratégiques à zéro émission nette, prévoyant notamment la possibilité d’accorder des aides plus élevées de manière qu’elles correspondent aux aides reçues pour des projets similaires par des concurrents établis en dehors de l’UE, tout en garantissant la proportionnalité de telles aides;</w:t>
      </w:r>
    </w:p>
    <w:p w14:paraId="0ABA6774" w14:textId="77777777" w:rsidR="00E93CFA" w:rsidRPr="00E93CFA" w:rsidRDefault="00E93CFA" w:rsidP="00E93CFA">
      <w:pPr>
        <w:numPr>
          <w:ilvl w:val="0"/>
          <w:numId w:val="28"/>
        </w:numPr>
        <w:spacing w:before="120" w:after="120" w:line="240" w:lineRule="auto"/>
        <w:rPr>
          <w:i/>
          <w:iCs/>
          <w:noProof/>
          <w:sz w:val="24"/>
          <w:szCs w:val="24"/>
          <w:lang w:val="fr-BE"/>
        </w:rPr>
      </w:pPr>
      <w:r w:rsidRPr="00E93CFA">
        <w:rPr>
          <w:i/>
          <w:noProof/>
          <w:sz w:val="24"/>
          <w:lang w:val="fr-BE"/>
        </w:rPr>
        <w:t>Des aides plus ciblées en faveur de nouveaux projets de production importants dans les chaînes de valeur à zéro émission nette stratégiques, tenant compte des déficits de financement mondiaux.</w:t>
      </w:r>
    </w:p>
    <w:p w14:paraId="2C1F7860" w14:textId="77777777" w:rsidR="00E93CFA" w:rsidRPr="00E93CFA" w:rsidRDefault="00E93CFA" w:rsidP="00E93CFA">
      <w:pPr>
        <w:spacing w:line="240" w:lineRule="auto"/>
        <w:rPr>
          <w:rFonts w:eastAsia="Calibri"/>
          <w:noProof/>
          <w:sz w:val="24"/>
          <w:szCs w:val="24"/>
          <w:lang w:val="fr-BE"/>
        </w:rPr>
      </w:pPr>
      <w:r w:rsidRPr="00E93CFA">
        <w:rPr>
          <w:noProof/>
          <w:sz w:val="24"/>
          <w:lang w:val="fr-BE"/>
        </w:rPr>
        <w:t xml:space="preserve">Le projet d’encadrement temporaire de crise et de transition viserait à garantir l’égalité des conditions de concurrence avec les autres juridictions et dans le marché intérieur. Il ciblerait les secteurs dans lesquels il existe un risque de délocalisation vers des pays tiers et veillerait au caractère proportionné des montants d'aide. Il permettrait aux États membres de mettre en place des régimes destinés à </w:t>
      </w:r>
      <w:r w:rsidRPr="00E93CFA">
        <w:rPr>
          <w:b/>
          <w:noProof/>
          <w:sz w:val="24"/>
          <w:lang w:val="fr-BE"/>
        </w:rPr>
        <w:t>soutenir, y compris par des avantages fiscaux, de nouveaux investissements dans les installations de production de certains secteurs à zéro émission nette stratégiques</w:t>
      </w:r>
      <w:r w:rsidRPr="00E93CFA">
        <w:rPr>
          <w:noProof/>
          <w:sz w:val="24"/>
          <w:lang w:val="fr-BE"/>
        </w:rPr>
        <w:t xml:space="preserve">. Pour les investissements réalisés dans des régions assistées, le montant d’aide autorisé serait modulé avec des intensités et des plafonds d'aide plus élevés, afin de contribuer à l’objectif de convergence entre les États membres et les régions. Des conditions appropriées devraient être imposées pour vérifier s’il existe des risques concrets de détournement de l’investissement en dehors de l’EEE et s'assurer de l’absence de risque de délocalisation au sein de l’EEE. Les États membres pourraient </w:t>
      </w:r>
      <w:r w:rsidRPr="00E93CFA">
        <w:rPr>
          <w:b/>
          <w:noProof/>
          <w:sz w:val="24"/>
          <w:lang w:val="fr-BE"/>
        </w:rPr>
        <w:t>aligner leurs incitants fiscaux nationaux</w:t>
      </w:r>
      <w:r w:rsidRPr="00E93CFA">
        <w:rPr>
          <w:noProof/>
          <w:sz w:val="24"/>
          <w:lang w:val="fr-BE"/>
        </w:rPr>
        <w:t xml:space="preserve"> sur un régime commun que la Commission est disposée à élaborer et créer ainsi un </w:t>
      </w:r>
      <w:r w:rsidRPr="00E93CFA">
        <w:rPr>
          <w:b/>
          <w:noProof/>
          <w:sz w:val="24"/>
          <w:lang w:val="fr-BE"/>
        </w:rPr>
        <w:t>régime commun</w:t>
      </w:r>
      <w:r w:rsidRPr="00E93CFA">
        <w:rPr>
          <w:noProof/>
          <w:sz w:val="24"/>
          <w:lang w:val="fr-BE"/>
        </w:rPr>
        <w:t xml:space="preserve"> offrant davantage de transparence et de prévisibilité aux entreprises dans l’ensemble de l’UE.</w:t>
      </w:r>
    </w:p>
    <w:p w14:paraId="4E59CD4C" w14:textId="77777777" w:rsidR="00E93CFA" w:rsidRPr="00E93CFA" w:rsidRDefault="00E93CFA" w:rsidP="00E93CFA">
      <w:pPr>
        <w:spacing w:line="240" w:lineRule="auto"/>
        <w:rPr>
          <w:noProof/>
          <w:sz w:val="24"/>
          <w:szCs w:val="24"/>
          <w:lang w:val="fr-BE"/>
        </w:rPr>
      </w:pPr>
    </w:p>
    <w:p w14:paraId="6625AEF4" w14:textId="77777777" w:rsidR="00E93CFA" w:rsidRPr="00E93CFA" w:rsidRDefault="00E93CFA" w:rsidP="00E93CFA">
      <w:pPr>
        <w:spacing w:line="240" w:lineRule="auto"/>
        <w:rPr>
          <w:noProof/>
          <w:sz w:val="24"/>
          <w:szCs w:val="24"/>
          <w:lang w:val="fr-BE"/>
        </w:rPr>
      </w:pPr>
      <w:r w:rsidRPr="00E93CFA">
        <w:rPr>
          <w:noProof/>
          <w:sz w:val="24"/>
          <w:lang w:val="fr-BE"/>
        </w:rPr>
        <w:t>De plus, les États membres pourraient également faire correspondre leurs aides à celles accordées par un pays tiers pour les investissements initiaux individuels dans les mêmes secteurs cibles importants pour le leadership dans le domaine des technologies à zéro émission nette, sous réserve du respect de conditions, telles que la participation à une coopération plurinationale, avec des retombées positives significatives sur l’ensemble des États membres et une attention particulière aux régions assistées. Ces aides devraient tenir compte des risques avérés de détournement de certains investissements vers des pays tiers hors EEE et ne devraient pas faciliter la délocalisation d’activités de production d’un État membre vers un autre. Elles seraient limitées à ce qui est nécessaire pour que le projet soit réalisé dans l’EEE.</w:t>
      </w:r>
    </w:p>
    <w:p w14:paraId="4EB5B862"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La Commission restera résolument en faveur des procédures rapides dans le cadre de l’encadrement de crise et de transition, comme c’est déjà le cas pour les aides autorisées au titre de l’encadrement temporaire de crise, pour lesquelles le délai moyen d’autorisation était de 19 jours. </w:t>
      </w:r>
    </w:p>
    <w:p w14:paraId="2C6F571A" w14:textId="77777777" w:rsidR="00E93CFA" w:rsidRPr="00E93CFA" w:rsidRDefault="00E93CFA" w:rsidP="00E93CFA">
      <w:pPr>
        <w:pStyle w:val="ListParagraph"/>
        <w:numPr>
          <w:ilvl w:val="0"/>
          <w:numId w:val="28"/>
        </w:numPr>
        <w:spacing w:before="120" w:after="120" w:line="240" w:lineRule="auto"/>
        <w:rPr>
          <w:rFonts w:eastAsia="Calibri"/>
          <w:noProof/>
          <w:lang w:val="fr-BE"/>
        </w:rPr>
      </w:pPr>
      <w:r w:rsidRPr="00E93CFA">
        <w:rPr>
          <w:i/>
          <w:noProof/>
          <w:sz w:val="24"/>
          <w:lang w:val="fr-BE"/>
        </w:rPr>
        <w:t>Relèvement significatif des seuils de notification pour les aides d’État dans ces domaines</w:t>
      </w:r>
    </w:p>
    <w:p w14:paraId="466D4F92"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La Commission adaptera les règles en matière d’aides d’État selon ce cinquième axe en procédant à une nouvelle révision du </w:t>
      </w:r>
      <w:r w:rsidRPr="00E93CFA">
        <w:rPr>
          <w:b/>
          <w:noProof/>
          <w:sz w:val="24"/>
          <w:lang w:val="fr-BE"/>
        </w:rPr>
        <w:t>règlement général d’exemption par catégorie à la lumière du pacte vert</w:t>
      </w:r>
      <w:r w:rsidRPr="00E93CFA">
        <w:rPr>
          <w:noProof/>
          <w:sz w:val="24"/>
          <w:lang w:val="fr-BE"/>
        </w:rPr>
        <w:t>. Outre les dispositions liées aux projets PIIEC (voir ci-dessous), les États membres disposeraient d’une plus grande souplesse:</w:t>
      </w:r>
    </w:p>
    <w:p w14:paraId="6A9266AF" w14:textId="77777777" w:rsidR="00E93CFA" w:rsidRPr="00E93CFA" w:rsidRDefault="00E93CFA" w:rsidP="00E93CFA">
      <w:pPr>
        <w:pStyle w:val="ListParagraph"/>
        <w:numPr>
          <w:ilvl w:val="0"/>
          <w:numId w:val="40"/>
        </w:numPr>
        <w:spacing w:before="120" w:after="120" w:line="240" w:lineRule="auto"/>
        <w:rPr>
          <w:noProof/>
          <w:sz w:val="24"/>
          <w:szCs w:val="24"/>
          <w:lang w:val="fr-BE"/>
        </w:rPr>
      </w:pPr>
      <w:r w:rsidRPr="00E93CFA">
        <w:rPr>
          <w:noProof/>
          <w:sz w:val="24"/>
          <w:lang w:val="fr-BE"/>
        </w:rPr>
        <w:t>pour soutenir des mesures dans des secteurs clés, tels que l’hydrogène, le captage et le stockage du carbone, les véhicules à émissions nulles et la performance énergétique des bâtiments, en relevant encore les seuils déclenchant la notification à la Commission,</w:t>
      </w:r>
      <w:r w:rsidRPr="00E93CFA">
        <w:rPr>
          <w:noProof/>
          <w:color w:val="2B579A"/>
          <w:sz w:val="24"/>
          <w:lang w:val="fr-BE"/>
        </w:rPr>
        <w:t xml:space="preserve"> </w:t>
      </w:r>
    </w:p>
    <w:p w14:paraId="0D7A2ED4" w14:textId="77777777" w:rsidR="00E93CFA" w:rsidRPr="00E93CFA" w:rsidRDefault="00E93CFA" w:rsidP="00E93CFA">
      <w:pPr>
        <w:pStyle w:val="ListParagraph"/>
        <w:numPr>
          <w:ilvl w:val="0"/>
          <w:numId w:val="40"/>
        </w:numPr>
        <w:spacing w:before="120" w:after="120" w:line="240" w:lineRule="auto"/>
        <w:rPr>
          <w:noProof/>
          <w:sz w:val="24"/>
          <w:szCs w:val="24"/>
          <w:lang w:val="fr-BE"/>
        </w:rPr>
      </w:pPr>
      <w:r w:rsidRPr="00E93CFA">
        <w:rPr>
          <w:noProof/>
          <w:sz w:val="24"/>
          <w:lang w:val="fr-BE"/>
        </w:rPr>
        <w:t xml:space="preserve">pour élargir le champ d’application des aides à l’investissement en faveur des infrastructures de recharge et de ravitaillement, </w:t>
      </w:r>
    </w:p>
    <w:p w14:paraId="23633A08" w14:textId="77777777" w:rsidR="00E93CFA" w:rsidRPr="00E93CFA" w:rsidRDefault="00E93CFA" w:rsidP="00E93CFA">
      <w:pPr>
        <w:pStyle w:val="ListParagraph"/>
        <w:numPr>
          <w:ilvl w:val="0"/>
          <w:numId w:val="40"/>
        </w:numPr>
        <w:spacing w:before="120" w:after="120" w:line="240" w:lineRule="auto"/>
        <w:rPr>
          <w:rFonts w:eastAsia="Calibri"/>
          <w:noProof/>
          <w:sz w:val="24"/>
          <w:szCs w:val="24"/>
          <w:lang w:val="fr-BE"/>
        </w:rPr>
      </w:pPr>
      <w:r w:rsidRPr="00E93CFA">
        <w:rPr>
          <w:noProof/>
          <w:sz w:val="24"/>
          <w:lang w:val="fr-BE"/>
        </w:rPr>
        <w:t xml:space="preserve">pour continuer à faciliter l’aide à la formation en vue de l’acquisition de compétences. </w:t>
      </w:r>
    </w:p>
    <w:p w14:paraId="30B61588"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Aujourd’hui, l’UE compte </w:t>
      </w:r>
      <w:r w:rsidRPr="00E93CFA">
        <w:rPr>
          <w:b/>
          <w:noProof/>
          <w:sz w:val="24"/>
          <w:lang w:val="fr-BE"/>
        </w:rPr>
        <w:t>cinq projets importants d’intérêt européen commun (PIIEC)</w:t>
      </w:r>
      <w:r w:rsidRPr="00E93CFA">
        <w:rPr>
          <w:noProof/>
          <w:sz w:val="24"/>
          <w:lang w:val="fr-BE"/>
        </w:rPr>
        <w:t>, qui sont de grands projets de développement entrepris par plusieurs États membres pour financer de nouvelles technologies dans des domaines stratégiques, avec de fortes retombées positives par-delà les frontières pour l’innovation, les travailleurs et les clients: un dans le secteur de la microélectronique, deux dans celui des batteries et deux dans celui de l’hydrogène. D'autres projets sont en préparation</w:t>
      </w:r>
      <w:r>
        <w:rPr>
          <w:rStyle w:val="FootnoteReference"/>
          <w:noProof/>
          <w:sz w:val="24"/>
          <w:szCs w:val="24"/>
        </w:rPr>
        <w:footnoteReference w:id="14"/>
      </w:r>
      <w:r w:rsidRPr="00E93CFA">
        <w:rPr>
          <w:noProof/>
          <w:sz w:val="24"/>
          <w:lang w:val="fr-BE"/>
        </w:rPr>
        <w:t xml:space="preserve">. Un soutien public de 18 milliards d’EUR en faveur des PIIEC approuvés devrait permettre de débloquer 36 milliards d’EUR supplémentaires d’investissements privés, ce qui correspond à un facteur multiplicateur de 2. </w:t>
      </w:r>
    </w:p>
    <w:p w14:paraId="5464C6F7" w14:textId="77777777" w:rsidR="00E93CFA" w:rsidRPr="00E93CFA" w:rsidRDefault="00E93CFA" w:rsidP="00E93CFA">
      <w:pPr>
        <w:spacing w:before="120" w:after="120" w:line="240" w:lineRule="auto"/>
        <w:rPr>
          <w:b/>
          <w:bCs/>
          <w:noProof/>
          <w:sz w:val="24"/>
          <w:szCs w:val="24"/>
          <w:lang w:val="fr-BE"/>
        </w:rPr>
      </w:pPr>
      <w:r w:rsidRPr="00E93CFA">
        <w:rPr>
          <w:b/>
          <w:noProof/>
          <w:sz w:val="24"/>
          <w:lang w:val="fr-BE"/>
        </w:rPr>
        <w:t>La procédure d’autorisation des projets liés aux PIIEC sera encore rationalisée et simplifiée pour accélérer le déploiement de nouveaux projets;</w:t>
      </w:r>
    </w:p>
    <w:p w14:paraId="3931D34A" w14:textId="77777777" w:rsidR="00E93CFA" w:rsidRPr="00E93CFA" w:rsidRDefault="00E93CFA" w:rsidP="00E93CFA">
      <w:pPr>
        <w:pStyle w:val="ListParagraph"/>
        <w:numPr>
          <w:ilvl w:val="0"/>
          <w:numId w:val="14"/>
        </w:numPr>
        <w:spacing w:before="120" w:after="120" w:line="240" w:lineRule="auto"/>
        <w:rPr>
          <w:rFonts w:eastAsia="Calibri"/>
          <w:noProof/>
          <w:sz w:val="24"/>
          <w:szCs w:val="24"/>
          <w:lang w:val="fr-BE"/>
        </w:rPr>
      </w:pPr>
      <w:r w:rsidRPr="00E93CFA">
        <w:rPr>
          <w:noProof/>
          <w:sz w:val="24"/>
          <w:lang w:val="fr-BE"/>
        </w:rPr>
        <w:t xml:space="preserve">un code de bonnes pratiques pour une conception transparente, inclusive et plus rapide des PIIEC, qui permettra de procéder à une évaluation rationalisée, doit être approuvé par les États membres et la Commission au printemps prochain; </w:t>
      </w:r>
    </w:p>
    <w:p w14:paraId="47838464" w14:textId="77777777" w:rsidR="00E93CFA" w:rsidRPr="00E93CFA" w:rsidRDefault="00E93CFA" w:rsidP="00E93CFA">
      <w:pPr>
        <w:pStyle w:val="ListParagraph"/>
        <w:numPr>
          <w:ilvl w:val="0"/>
          <w:numId w:val="14"/>
        </w:numPr>
        <w:spacing w:before="120" w:after="120" w:line="240" w:lineRule="auto"/>
        <w:rPr>
          <w:rFonts w:eastAsia="Calibri"/>
          <w:noProof/>
          <w:sz w:val="24"/>
          <w:szCs w:val="24"/>
          <w:lang w:val="fr-BE"/>
        </w:rPr>
      </w:pPr>
      <w:r w:rsidRPr="00E93CFA">
        <w:rPr>
          <w:noProof/>
          <w:sz w:val="24"/>
          <w:lang w:val="fr-BE"/>
        </w:rPr>
        <w:t xml:space="preserve">la Commission se prépare également à </w:t>
      </w:r>
      <w:r w:rsidRPr="00E93CFA">
        <w:rPr>
          <w:b/>
          <w:noProof/>
          <w:sz w:val="24"/>
          <w:lang w:val="fr-BE"/>
        </w:rPr>
        <w:t>accélérer l’exécution de projets innovants de plus petite taille liés au PIIEC</w:t>
      </w:r>
      <w:r w:rsidRPr="00E93CFA">
        <w:rPr>
          <w:noProof/>
          <w:sz w:val="24"/>
          <w:lang w:val="fr-BE"/>
        </w:rPr>
        <w:t xml:space="preserve">, mis en œuvre, en particulier, par des petites et moyennes entreprises, grâce au relèvement des seuils de notification et des intensités d’aide dans le cadre du règlement général d’exemption par catégorie.  </w:t>
      </w:r>
    </w:p>
    <w:p w14:paraId="1B7AC73F" w14:textId="77777777" w:rsidR="00E93CFA" w:rsidRPr="00E93CFA" w:rsidRDefault="00E93CFA" w:rsidP="00E93CFA">
      <w:pPr>
        <w:spacing w:before="120" w:after="120" w:line="240" w:lineRule="auto"/>
        <w:rPr>
          <w:rFonts w:eastAsia="Calibri"/>
          <w:bCs/>
          <w:noProof/>
          <w:sz w:val="24"/>
          <w:lang w:val="fr-BE"/>
        </w:rPr>
      </w:pPr>
    </w:p>
    <w:p w14:paraId="503A8A56" w14:textId="77777777" w:rsidR="00E93CFA" w:rsidRPr="00E93CFA" w:rsidRDefault="00E93CFA" w:rsidP="00E93CFA">
      <w:pPr>
        <w:spacing w:before="120" w:after="120" w:line="240" w:lineRule="auto"/>
        <w:rPr>
          <w:rFonts w:eastAsia="Calibri"/>
          <w:bCs/>
          <w:noProof/>
          <w:sz w:val="24"/>
          <w:lang w:val="fr-BE"/>
        </w:rPr>
      </w:pPr>
      <w:r w:rsidRPr="00E93CFA">
        <w:rPr>
          <w:noProof/>
          <w:sz w:val="24"/>
          <w:lang w:val="fr-BE"/>
        </w:rPr>
        <w:t>2.2.2 Financements européens</w:t>
      </w:r>
    </w:p>
    <w:p w14:paraId="70D9E5E6" w14:textId="77777777" w:rsidR="00E93CFA" w:rsidRPr="00E93CFA" w:rsidRDefault="00E93CFA" w:rsidP="00E93CFA">
      <w:pPr>
        <w:spacing w:before="120" w:after="120" w:line="240" w:lineRule="auto"/>
        <w:rPr>
          <w:noProof/>
          <w:sz w:val="24"/>
          <w:szCs w:val="24"/>
          <w:lang w:val="fr-BE"/>
        </w:rPr>
      </w:pPr>
      <w:r w:rsidRPr="00E93CFA">
        <w:rPr>
          <w:noProof/>
          <w:sz w:val="24"/>
          <w:lang w:val="fr-BE"/>
        </w:rPr>
        <w:t>Pour soutenir la transition qui permettra d'atteindre les objectifs de zéro émission nette de l’UE ainsi que les objectifs du plan REPowerEU grâce à des sources diversifiées et à des approvisionnements sûrs, l’UE devra continuer de s'appuyer sur une industrie à zéro émission nette compétitive. D’ici à 2030, il faudra investir davantage dans la fabrication de technologies à zéro émission nette, compte tenu des objectifs ambitieux de l’UE et de la concurrence internationale.</w:t>
      </w:r>
    </w:p>
    <w:p w14:paraId="72558E88" w14:textId="77777777" w:rsidR="00E93CFA" w:rsidRPr="00E93CFA" w:rsidRDefault="00E93CFA" w:rsidP="00E93CFA">
      <w:pPr>
        <w:spacing w:before="120" w:after="120" w:line="240" w:lineRule="auto"/>
        <w:rPr>
          <w:noProof/>
          <w:sz w:val="24"/>
          <w:szCs w:val="24"/>
          <w:lang w:val="fr-BE"/>
        </w:rPr>
      </w:pPr>
      <w:r w:rsidRPr="00E93CFA">
        <w:rPr>
          <w:noProof/>
          <w:sz w:val="24"/>
          <w:lang w:val="fr-BE"/>
        </w:rPr>
        <w:t>Il existe d’importantes disparités au sein de l’UE en ce qui concerne le soutien apporté par les États membres. Par exemple, alors qu’en 2020, 0,57 % du PIB de l’UE était affecté au soutien des sources d’énergie renouvelables, un pays y a consacré près de 1 % de son PIB et dix autres ont dépensé moins de la moitié de la moyenne de l’UE</w:t>
      </w:r>
      <w:r>
        <w:rPr>
          <w:rStyle w:val="FootnoteReference"/>
          <w:noProof/>
          <w:sz w:val="24"/>
          <w:szCs w:val="24"/>
        </w:rPr>
        <w:footnoteReference w:id="15"/>
      </w:r>
      <w:r w:rsidRPr="00E93CFA">
        <w:rPr>
          <w:noProof/>
          <w:sz w:val="24"/>
          <w:lang w:val="fr-BE"/>
        </w:rPr>
        <w:t xml:space="preserve">.  </w:t>
      </w:r>
    </w:p>
    <w:p w14:paraId="5749D97C" w14:textId="77777777" w:rsidR="00E93CFA" w:rsidRPr="00E93CFA" w:rsidRDefault="00E93CFA" w:rsidP="00E93CFA">
      <w:pPr>
        <w:spacing w:before="120" w:after="120" w:line="240" w:lineRule="auto"/>
        <w:rPr>
          <w:rFonts w:eastAsia="Calibri"/>
          <w:noProof/>
          <w:sz w:val="24"/>
          <w:szCs w:val="24"/>
          <w:lang w:val="fr-BE"/>
        </w:rPr>
      </w:pPr>
      <w:r w:rsidRPr="00E93CFA">
        <w:rPr>
          <w:b/>
          <w:noProof/>
          <w:sz w:val="24"/>
          <w:lang w:val="fr-BE"/>
        </w:rPr>
        <w:t xml:space="preserve">Afin d’éviter une fragmentation du marché unique due à la diversité des niveaux de soutien national, de faciliter la transition écologique dans l’ensemble de l’Union, d’éviter d’exacerber les disparités régionales et de combler l’écart entre les fonds actuellement disponibles et les fonds nécessaires au développement de l’industrie à zéro émission nette, nous devons également accroître les financements européens. </w:t>
      </w:r>
      <w:r w:rsidRPr="00E93CFA">
        <w:rPr>
          <w:noProof/>
          <w:sz w:val="24"/>
          <w:lang w:val="fr-BE"/>
        </w:rPr>
        <w:t>Accompagnant le plan industriel du pacte vert, le budget de l’UE continuera de contribuer au financement ciblé et rapide de l’industrie à zéro émission nette dans l’UE. REPowerEU, notre instrument dédié, est alimenté par d’autres fonds de l’UE.</w:t>
      </w:r>
    </w:p>
    <w:p w14:paraId="47296168" w14:textId="77777777" w:rsidR="00E93CFA" w:rsidRPr="00E93CFA" w:rsidRDefault="00E93CFA" w:rsidP="00E93CFA">
      <w:pPr>
        <w:spacing w:before="120" w:after="120" w:line="240" w:lineRule="auto"/>
        <w:rPr>
          <w:rFonts w:eastAsia="Calibri"/>
          <w:noProof/>
          <w:sz w:val="24"/>
          <w:szCs w:val="24"/>
          <w:lang w:val="fr-BE"/>
        </w:rPr>
      </w:pPr>
      <w:r w:rsidRPr="00E93CFA">
        <w:rPr>
          <w:noProof/>
          <w:sz w:val="24"/>
          <w:lang w:val="fr-BE"/>
        </w:rPr>
        <w:t xml:space="preserve">La Commission continuera d’aider les États membres à concevoir, à élaborer et à mettre en œuvre des réformes, ainsi qu’à renforcer leur capacité administrative en vue de garantir l’exécution efficace des financements. </w:t>
      </w:r>
    </w:p>
    <w:p w14:paraId="198ABA2F" w14:textId="77777777" w:rsidR="00E93CFA" w:rsidRPr="00A65A7B" w:rsidRDefault="00E93CFA" w:rsidP="00E93CFA">
      <w:pPr>
        <w:spacing w:before="120" w:after="120" w:line="240" w:lineRule="auto"/>
        <w:rPr>
          <w:b/>
          <w:noProof/>
          <w:sz w:val="24"/>
          <w:szCs w:val="24"/>
        </w:rPr>
      </w:pPr>
      <w:r>
        <w:rPr>
          <w:b/>
          <w:noProof/>
          <w:sz w:val="24"/>
        </w:rPr>
        <w:t>REPowerEU</w:t>
      </w:r>
    </w:p>
    <w:p w14:paraId="7A156A06" w14:textId="77777777" w:rsidR="00E93CFA" w:rsidRPr="00E93CFA" w:rsidRDefault="00E93CFA" w:rsidP="00E93CFA">
      <w:pPr>
        <w:spacing w:before="120" w:after="120" w:line="240" w:lineRule="auto"/>
        <w:rPr>
          <w:bCs/>
          <w:noProof/>
          <w:sz w:val="24"/>
          <w:szCs w:val="24"/>
          <w:lang w:val="fr-BE"/>
        </w:rPr>
      </w:pPr>
      <w:r w:rsidRPr="00E93CFA">
        <w:rPr>
          <w:noProof/>
          <w:sz w:val="24"/>
          <w:lang w:val="fr-BE"/>
        </w:rPr>
        <w:t>Grâce à l’accord conclu à la fin de 2022, le soutien de l’UE à la transition va être augmenté grâce aux fonds supplémentaires apportés à la FRR par l’initiative REPowerEU: des subventions supplémentaires au titre de la FRR (20 milliards d’EUR) seront mises à la disposition des États membres pour promouvoir l’écologisation de l’industrie, soutenir les projets industriels à zéro émission nette dans l’UE et aider les industries à forte intensité énergétique à faire face aux prix élevés de l’énergie. Les États membres pourront également consacrer des subventions au titre de la réserve d’ajustement au Brexit (5,4 milliards d’EUR) à ces objectifs. Ils pourront en outre utiliser les prêts restants au titre de la FRR (225 milliards d’EUR), assortis d’un préfinancement substantiel, pour ces investissements et ces réformes</w:t>
      </w:r>
      <w:r>
        <w:rPr>
          <w:bCs/>
          <w:noProof/>
          <w:vertAlign w:val="superscript"/>
        </w:rPr>
        <w:footnoteReference w:id="16"/>
      </w:r>
      <w:r w:rsidRPr="00E93CFA">
        <w:rPr>
          <w:noProof/>
          <w:sz w:val="24"/>
          <w:lang w:val="fr-BE"/>
        </w:rPr>
        <w:t>.</w:t>
      </w:r>
    </w:p>
    <w:p w14:paraId="229156ED" w14:textId="77777777" w:rsidR="00E93CFA" w:rsidRPr="00E93CFA" w:rsidRDefault="00E93CFA" w:rsidP="00E93CFA">
      <w:pPr>
        <w:spacing w:before="120" w:after="120" w:line="240" w:lineRule="auto"/>
        <w:rPr>
          <w:noProof/>
          <w:sz w:val="24"/>
          <w:szCs w:val="24"/>
          <w:lang w:val="fr-BE"/>
        </w:rPr>
      </w:pPr>
      <w:r w:rsidRPr="00E93CFA">
        <w:rPr>
          <w:noProof/>
          <w:sz w:val="24"/>
          <w:lang w:val="fr-BE"/>
        </w:rPr>
        <w:t xml:space="preserve">Afin d’aider les États membres à mettre en œuvre la FRR et sa composante REPowerEU, la Commission a publié aujourd’hui les </w:t>
      </w:r>
      <w:r w:rsidRPr="00E93CFA">
        <w:rPr>
          <w:b/>
          <w:noProof/>
          <w:sz w:val="24"/>
          <w:lang w:val="fr-BE"/>
        </w:rPr>
        <w:t>orientations sur les plans pour la reprise et la résilience</w:t>
      </w:r>
      <w:r w:rsidRPr="00E93CFA">
        <w:rPr>
          <w:noProof/>
          <w:sz w:val="24"/>
          <w:lang w:val="fr-BE"/>
        </w:rPr>
        <w:t xml:space="preserve">. Ces orientations offrent une certaine souplesse pour adapter les plans au contexte actuel et pour élaborer les chapitres REPowerEU. Elles prennent bonne note des problèmes découlant de la perturbation des chaînes d’approvisionnement, des prix de l’énergie et de l’inflation et proposent aux États membres des solutions efficaces pour maintenir l’ambition affichée par les plans initiaux. La Commission encourage vivement les États membres à inclure dans leurs PRR modifiés des mesures simples et efficaces pour apporter un soutien immédiat aux entreprises et stimuler leur compétitivité: </w:t>
      </w:r>
    </w:p>
    <w:p w14:paraId="3CC0878F" w14:textId="77777777" w:rsidR="00E93CFA" w:rsidRPr="00E93CFA" w:rsidRDefault="00E93CFA" w:rsidP="00E93CFA">
      <w:pPr>
        <w:pStyle w:val="ListParagraph"/>
        <w:numPr>
          <w:ilvl w:val="0"/>
          <w:numId w:val="20"/>
        </w:numPr>
        <w:spacing w:line="240" w:lineRule="auto"/>
        <w:rPr>
          <w:noProof/>
          <w:lang w:val="fr-BE"/>
        </w:rPr>
      </w:pPr>
      <w:r w:rsidRPr="00E93CFA">
        <w:rPr>
          <w:noProof/>
          <w:sz w:val="24"/>
          <w:lang w:val="fr-BE"/>
        </w:rPr>
        <w:t xml:space="preserve">i) des </w:t>
      </w:r>
      <w:r w:rsidRPr="00E93CFA">
        <w:rPr>
          <w:b/>
          <w:noProof/>
          <w:sz w:val="24"/>
          <w:lang w:val="fr-BE"/>
        </w:rPr>
        <w:t>guichets uniques</w:t>
      </w:r>
      <w:r w:rsidRPr="00E93CFA">
        <w:rPr>
          <w:noProof/>
          <w:sz w:val="24"/>
          <w:lang w:val="fr-BE"/>
        </w:rPr>
        <w:t xml:space="preserve"> pour l’autorisation des projets relatifs aux énergies renouvelables et au zéro émission nette afin d’accélérer, de numériser et de rationaliser les démarches à accomplir pour obtenir les autorisations et permis nécessaires à la construction et à l’exploitation de projets portant sur des technologies à zéro émission nette, associés à un renforcement spécifique de la capacité administrative en vue d’éliminer les goulets d’étranglement dans l’obtention des autorisations; ii) des </w:t>
      </w:r>
      <w:r w:rsidRPr="00E93CFA">
        <w:rPr>
          <w:b/>
          <w:noProof/>
          <w:sz w:val="24"/>
          <w:lang w:val="fr-BE"/>
        </w:rPr>
        <w:t>allégements fiscaux</w:t>
      </w:r>
      <w:r w:rsidRPr="00E93CFA">
        <w:rPr>
          <w:noProof/>
          <w:sz w:val="24"/>
          <w:lang w:val="fr-BE"/>
        </w:rPr>
        <w:t xml:space="preserve"> ou d’autres types d'aide aux investissements dans les technologies vertes à zéro émission nette réalisés par les entreprises, prenant la forme d’un crédit d’impôt, d’un amortissement accéléré ou d’une subvention liée à l’acquisition ou à l’amélioration d’actifs d’investissement verts; et </w:t>
      </w:r>
    </w:p>
    <w:p w14:paraId="411D3B09" w14:textId="77777777" w:rsidR="00E93CFA" w:rsidRPr="00E93CFA" w:rsidRDefault="00E93CFA" w:rsidP="00E93CFA">
      <w:pPr>
        <w:pStyle w:val="ListParagraph"/>
        <w:numPr>
          <w:ilvl w:val="0"/>
          <w:numId w:val="20"/>
        </w:numPr>
        <w:spacing w:line="240" w:lineRule="auto"/>
        <w:rPr>
          <w:noProof/>
          <w:sz w:val="24"/>
          <w:lang w:val="fr-BE"/>
        </w:rPr>
      </w:pPr>
      <w:r w:rsidRPr="00E93CFA">
        <w:rPr>
          <w:noProof/>
          <w:sz w:val="24"/>
          <w:lang w:val="fr-BE"/>
        </w:rPr>
        <w:t xml:space="preserve">iii) des investissements destinés à doter la main-d’œuvre des </w:t>
      </w:r>
      <w:r w:rsidRPr="00E93CFA">
        <w:rPr>
          <w:b/>
          <w:noProof/>
          <w:sz w:val="24"/>
          <w:lang w:val="fr-BE"/>
        </w:rPr>
        <w:t>compétences</w:t>
      </w:r>
      <w:r w:rsidRPr="00E93CFA">
        <w:rPr>
          <w:noProof/>
          <w:sz w:val="24"/>
          <w:lang w:val="fr-BE"/>
        </w:rPr>
        <w:t xml:space="preserve"> nécessaires à cette transition industrielle. </w:t>
      </w:r>
    </w:p>
    <w:p w14:paraId="196EAA0E" w14:textId="77777777" w:rsidR="00E93CFA" w:rsidRPr="007D392D" w:rsidRDefault="00E93CFA" w:rsidP="00E93CFA">
      <w:pPr>
        <w:spacing w:line="240" w:lineRule="auto"/>
        <w:rPr>
          <w:noProof/>
          <w:sz w:val="24"/>
          <w:lang w:val="fr-BE"/>
        </w:rPr>
      </w:pPr>
    </w:p>
    <w:p w14:paraId="457E9023" w14:textId="2ACBE0BE" w:rsidR="00E93CFA" w:rsidRDefault="00E93CFA" w:rsidP="00E93CFA">
      <w:pPr>
        <w:spacing w:line="240" w:lineRule="auto"/>
        <w:rPr>
          <w:noProof/>
          <w:sz w:val="24"/>
          <w:lang w:val="fr-BE"/>
        </w:rPr>
      </w:pPr>
      <w:r w:rsidRPr="00E93CFA">
        <w:rPr>
          <w:noProof/>
          <w:sz w:val="24"/>
          <w:lang w:val="fr-BE"/>
        </w:rPr>
        <w:t xml:space="preserve">Le groupe Banque européenne d’investissement (BEI) soutiendra la réalisation de tous les objectifs du </w:t>
      </w:r>
      <w:hyperlink r:id="rId20">
        <w:r w:rsidRPr="00E93CFA">
          <w:rPr>
            <w:rStyle w:val="Hyperlink"/>
            <w:noProof/>
            <w:sz w:val="24"/>
            <w:lang w:val="fr-BE"/>
          </w:rPr>
          <w:t>plan RePowerEU</w:t>
        </w:r>
      </w:hyperlink>
      <w:r w:rsidRPr="00E93CFA">
        <w:rPr>
          <w:noProof/>
          <w:sz w:val="24"/>
          <w:lang w:val="fr-BE"/>
        </w:rPr>
        <w:t xml:space="preserve"> au moyen de prêts et de fonds propres supplémentaires</w:t>
      </w:r>
      <w:r>
        <w:rPr>
          <w:rStyle w:val="FootnoteReference"/>
          <w:noProof/>
        </w:rPr>
        <w:footnoteReference w:id="17"/>
      </w:r>
      <w:r w:rsidRPr="00E93CFA">
        <w:rPr>
          <w:noProof/>
          <w:sz w:val="24"/>
          <w:lang w:val="fr-BE"/>
        </w:rPr>
        <w:t xml:space="preserve">. La Commission continuera à travailler avec le groupe BEI pour étudier la manière dont celui-ci pourrait intensifier ses activités dans le domaine des technologies propres ainsi que ses autres activités contribuant au pacte vert. </w:t>
      </w:r>
    </w:p>
    <w:p w14:paraId="6A7996C3" w14:textId="77777777" w:rsidR="00B63D8D" w:rsidRPr="00E93CFA" w:rsidRDefault="00B63D8D" w:rsidP="00E93CFA">
      <w:pPr>
        <w:spacing w:line="240" w:lineRule="auto"/>
        <w:rPr>
          <w:noProof/>
          <w:sz w:val="24"/>
          <w:szCs w:val="24"/>
          <w:lang w:val="fr-BE"/>
        </w:rPr>
      </w:pPr>
    </w:p>
    <w:p w14:paraId="7B8E0CD5" w14:textId="77777777" w:rsidR="006B04AC" w:rsidRPr="006B04AC" w:rsidRDefault="006B04AC" w:rsidP="006B04AC">
      <w:pPr>
        <w:spacing w:before="120" w:after="120" w:line="240" w:lineRule="auto"/>
        <w:rPr>
          <w:b/>
          <w:noProof/>
          <w:sz w:val="24"/>
          <w:szCs w:val="24"/>
          <w:lang w:val="fr-BE"/>
        </w:rPr>
      </w:pPr>
      <w:r w:rsidRPr="006B04AC">
        <w:rPr>
          <w:b/>
          <w:noProof/>
          <w:sz w:val="24"/>
          <w:lang w:val="fr-BE"/>
        </w:rPr>
        <w:t>Le programme InvestEU</w:t>
      </w:r>
    </w:p>
    <w:p w14:paraId="138F35AD"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Le programme InvestEU est bien placé pour stimuler les investissements dans le zéro émission nette dans l’UE: c’est l’instrument de l’Union destiné à catalyser les investissements privés dans les domaines prioritaires de l’UE. Par l’intermédiaire de la BEI, du FEI, de la BERD et de 14 autres partenaires chargés de la mise en œuvre, l’UE soutient les investissements publics et privés dans les technologies et l’innovation industrielle à zéro émission nette. Parmi les projets pouvant bénéficier d’un appui figurent la recherche, le développement et l’innovation (RDI) dans les technologies de batteries, le recyclage des matières premières critiques, les installations de démonstration pour la fabrication de matériaux dans la chaîne d’approvisionnement des batteries de véhicules électriques, les technologies de propulsion par l’hydrogène, les installations innovantes de production de biocarburants avancés et les équipements de technologies de fabrication avancées pour le traitement de l’acier. InvestEU peut mobiliser plus de 372 milliards d’EUR de financements, principalement privés, grâce au soutien du mécanisme de garantie budgétaire de l’UE, de 26,2 milliards d’EUR.  </w:t>
      </w:r>
    </w:p>
    <w:p w14:paraId="780AEFB5" w14:textId="77777777" w:rsidR="006B04AC" w:rsidRPr="006B04AC" w:rsidRDefault="006B04AC" w:rsidP="006B04AC">
      <w:pPr>
        <w:spacing w:before="120" w:after="120" w:line="240" w:lineRule="auto"/>
        <w:rPr>
          <w:noProof/>
          <w:lang w:val="fr-BE"/>
        </w:rPr>
      </w:pPr>
      <w:r w:rsidRPr="006B04AC">
        <w:rPr>
          <w:noProof/>
          <w:sz w:val="24"/>
          <w:lang w:val="fr-BE"/>
        </w:rPr>
        <w:t>À ce jour, la Commission a signé des accords de garantie InvestEU pour une valeur totale de 21 milliards d’EUR. À la faveur de ces accords, le FEI a déjà signé des accords de garantie InvestEU avec 48 intermédiaires financiers de 19 États membres, pour des prêts de 2,3 milliards d’EUR aux PME et petites entreprises à moyenne capitalisation européennes, et 54 accords avec des fonds de 14 États membres, pour des investissements en fonds propres d’une valeur de 1,9 milliard d’EUR</w:t>
      </w:r>
      <w:r>
        <w:rPr>
          <w:rStyle w:val="FootnoteReference"/>
          <w:noProof/>
          <w:sz w:val="24"/>
          <w:szCs w:val="24"/>
          <w:lang w:val="en-GB"/>
        </w:rPr>
        <w:footnoteReference w:id="18"/>
      </w:r>
      <w:r w:rsidRPr="006B04AC">
        <w:rPr>
          <w:noProof/>
          <w:sz w:val="24"/>
          <w:lang w:val="fr-BE"/>
        </w:rPr>
        <w:t xml:space="preserve">. </w:t>
      </w:r>
    </w:p>
    <w:p w14:paraId="569AE5FE" w14:textId="77777777" w:rsidR="006B04AC" w:rsidRPr="006B04AC" w:rsidRDefault="006B04AC" w:rsidP="006B04AC">
      <w:pPr>
        <w:pBdr>
          <w:top w:val="single" w:sz="4" w:space="1" w:color="auto"/>
          <w:left w:val="single" w:sz="4" w:space="4" w:color="auto"/>
          <w:bottom w:val="single" w:sz="4" w:space="1" w:color="auto"/>
          <w:right w:val="single" w:sz="4" w:space="4" w:color="auto"/>
        </w:pBdr>
        <w:spacing w:line="240" w:lineRule="auto"/>
        <w:ind w:left="360"/>
        <w:rPr>
          <w:i/>
          <w:iCs/>
          <w:noProof/>
          <w:sz w:val="24"/>
          <w:szCs w:val="24"/>
          <w:lang w:val="fr-BE"/>
        </w:rPr>
      </w:pPr>
      <w:r w:rsidRPr="006B04AC">
        <w:rPr>
          <w:i/>
          <w:noProof/>
          <w:sz w:val="24"/>
          <w:lang w:val="fr-BE"/>
        </w:rPr>
        <w:t>Exemples d’investissements InvestEU soutenus par la BEI et le FEI dans le domaine des technologies propres:</w:t>
      </w:r>
    </w:p>
    <w:p w14:paraId="0F762934" w14:textId="77777777" w:rsidR="006B04AC" w:rsidRPr="006B04AC" w:rsidRDefault="006B04AC" w:rsidP="006B04AC">
      <w:pPr>
        <w:pBdr>
          <w:top w:val="single" w:sz="4" w:space="1" w:color="auto"/>
          <w:left w:val="single" w:sz="4" w:space="4" w:color="auto"/>
          <w:bottom w:val="single" w:sz="4" w:space="1" w:color="auto"/>
          <w:right w:val="single" w:sz="4" w:space="4" w:color="auto"/>
        </w:pBdr>
        <w:spacing w:line="240" w:lineRule="auto"/>
        <w:ind w:left="360"/>
        <w:rPr>
          <w:noProof/>
          <w:lang w:val="fr-BE"/>
        </w:rPr>
      </w:pPr>
    </w:p>
    <w:p w14:paraId="431760E5" w14:textId="77777777" w:rsidR="006B04AC" w:rsidRPr="006B04AC" w:rsidRDefault="006B04AC" w:rsidP="006B04AC">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fr-BE"/>
        </w:rPr>
      </w:pPr>
      <w:r w:rsidRPr="006B04AC">
        <w:rPr>
          <w:i/>
          <w:noProof/>
          <w:sz w:val="24"/>
          <w:lang w:val="fr-BE"/>
        </w:rPr>
        <w:t>un investissement de 37 millions d’EUR de la BEI dans une installation de démonstration pour la production commerciale de précurseurs de matériaux actifs pour cathodes (p</w:t>
      </w:r>
      <w:r w:rsidRPr="006B04AC">
        <w:rPr>
          <w:i/>
          <w:noProof/>
          <w:sz w:val="24"/>
          <w:lang w:val="fr-BE"/>
        </w:rPr>
        <w:noBreakHyphen/>
        <w:t>CAM). Les p</w:t>
      </w:r>
      <w:r w:rsidRPr="006B04AC">
        <w:rPr>
          <w:i/>
          <w:noProof/>
          <w:sz w:val="24"/>
          <w:lang w:val="fr-BE"/>
        </w:rPr>
        <w:noBreakHyphen/>
        <w:t>CAM sont utilisés dans la chaîne d’approvisionnement des batteries de véhicules électriques (cellules de batteries lithium-ion de haute technologie);</w:t>
      </w:r>
    </w:p>
    <w:p w14:paraId="72ED0316" w14:textId="77777777" w:rsidR="006B04AC" w:rsidRPr="006B04AC" w:rsidRDefault="006B04AC" w:rsidP="006B04AC">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fr-BE"/>
        </w:rPr>
      </w:pPr>
      <w:r w:rsidRPr="006B04AC">
        <w:rPr>
          <w:i/>
          <w:noProof/>
          <w:sz w:val="24"/>
          <w:lang w:val="fr-BE"/>
        </w:rPr>
        <w:t xml:space="preserve">un prêt de 315 millions d’EUR accordé par la BEI à une entreprise commune pour le développement de technologies et de produits dans le domaine des technologies de propulsion automobile par l’hydrogène et des systèmes de sécurité active; </w:t>
      </w:r>
    </w:p>
    <w:p w14:paraId="099C514A" w14:textId="77777777" w:rsidR="006B04AC" w:rsidRPr="006B04AC" w:rsidRDefault="006B04AC" w:rsidP="006B04AC">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fr-BE"/>
        </w:rPr>
      </w:pPr>
      <w:r w:rsidRPr="006B04AC">
        <w:rPr>
          <w:i/>
          <w:noProof/>
          <w:sz w:val="24"/>
          <w:lang w:val="fr-BE"/>
        </w:rPr>
        <w:t>un investissement de 32 millions d’EUR de la BEI en faveur de projets de recherche et développement (R&amp;D) d’une entreprise manufacturière dans le domaine des technologies d’électrification des machines agricoles et des systèmes de transmission de puissance pour tracteurs et véhicules tout</w:t>
      </w:r>
      <w:r w:rsidRPr="006B04AC">
        <w:rPr>
          <w:i/>
          <w:noProof/>
          <w:sz w:val="24"/>
          <w:lang w:val="fr-BE"/>
        </w:rPr>
        <w:noBreakHyphen/>
        <w:t xml:space="preserve">terrain; </w:t>
      </w:r>
    </w:p>
    <w:p w14:paraId="4CE745BF" w14:textId="77777777" w:rsidR="006B04AC" w:rsidRPr="006B04AC" w:rsidRDefault="006B04AC" w:rsidP="006B04AC">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fr-BE"/>
        </w:rPr>
      </w:pPr>
      <w:r w:rsidRPr="006B04AC">
        <w:rPr>
          <w:i/>
          <w:noProof/>
          <w:sz w:val="24"/>
          <w:lang w:val="fr-BE"/>
        </w:rPr>
        <w:t>une garantie de 101 millions d’EUR accordée par le FEI à un fonds destiné à soutenir les entreprises technologiques en phase de démarrage (capital-risque), les entreprises industrielles à fort potentiel de croissance et les entreprises du secteur de la décarbonation (projets dans le domaine des énergies renouvelables et entreprises engagées en faveur de la durabilité);</w:t>
      </w:r>
    </w:p>
    <w:p w14:paraId="5F6B7D43" w14:textId="77777777" w:rsidR="006B04AC" w:rsidRPr="006B04AC" w:rsidRDefault="006B04AC" w:rsidP="006B04AC">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fr-BE"/>
        </w:rPr>
      </w:pPr>
      <w:r w:rsidRPr="006B04AC">
        <w:rPr>
          <w:i/>
          <w:noProof/>
          <w:sz w:val="24"/>
          <w:lang w:val="fr-BE"/>
        </w:rPr>
        <w:t>un prêt de 125 millions d’EUR en faveur d’une usine de production innovante de matériaux pour cathodes. Ces matériaux seront fournis aux fabricants de batteries lithium-ion de haute technologie, qui sont principalement utilisées dans les véhicules électriques.</w:t>
      </w:r>
    </w:p>
    <w:p w14:paraId="39B15B1E" w14:textId="77777777" w:rsidR="006B04AC" w:rsidRPr="006B04AC" w:rsidRDefault="006B04AC" w:rsidP="006B04AC">
      <w:pPr>
        <w:spacing w:before="120" w:after="120" w:line="240" w:lineRule="auto"/>
        <w:rPr>
          <w:noProof/>
          <w:lang w:val="fr-BE"/>
        </w:rPr>
      </w:pPr>
      <w:r w:rsidRPr="006B04AC">
        <w:rPr>
          <w:b/>
          <w:noProof/>
          <w:sz w:val="24"/>
          <w:lang w:val="fr-BE"/>
        </w:rPr>
        <w:t>Afin de garantir la réalisation en temps utile des objectifs du plan industriel du pacte vert, les procédures InvestEU devraient être simplifiées et ses produits adaptés aux besoins actuels.</w:t>
      </w:r>
      <w:r w:rsidRPr="006B04AC">
        <w:rPr>
          <w:noProof/>
          <w:sz w:val="24"/>
          <w:lang w:val="fr-BE"/>
        </w:rPr>
        <w:t xml:space="preserve"> Les accords de garantie et les produits financiers doivent être harmonisés par rapport au cadre révisé des aides d’État, tandis que des dispositions spécifiques du RGEC simplifieront considérablement les aspects relatifs aux règles en matière d’aides d’État pour les compartiments nationaux d’InvestEU. La Commission continuera de collaborer avec la BEI, la banque de l’UE, et d’autres partenaires pour répondre efficacement et en temps utile aux besoins de financement des projets prioritaires tels que les PIIEC.</w:t>
      </w:r>
    </w:p>
    <w:p w14:paraId="64015754" w14:textId="77777777" w:rsidR="006B04AC" w:rsidRPr="006B04AC" w:rsidRDefault="006B04AC" w:rsidP="006B04AC">
      <w:pPr>
        <w:spacing w:before="120" w:after="120" w:line="240" w:lineRule="auto"/>
        <w:rPr>
          <w:noProof/>
          <w:lang w:val="fr-BE"/>
        </w:rPr>
      </w:pPr>
      <w:r w:rsidRPr="006B04AC">
        <w:rPr>
          <w:b/>
          <w:noProof/>
          <w:sz w:val="24"/>
          <w:lang w:val="fr-BE"/>
        </w:rPr>
        <w:t>Le financement par l’intermédiaire d’InvestEU est fortement concentré en début de période, étant donné que la majeure partie du financement provient de NextGenerationEU.</w:t>
      </w:r>
      <w:r w:rsidRPr="006B04AC">
        <w:rPr>
          <w:noProof/>
          <w:sz w:val="24"/>
          <w:lang w:val="fr-BE"/>
        </w:rPr>
        <w:t xml:space="preserve"> D’ici la fin de 2023, 14,83 milliards d’EUR de la garantie de l’Union doivent être engagés, ce qui ne laisse que 11,37 milliards d’EUR pour la période 2024-2027. Dans le même temps, on peut s’attendre à une augmentation significative de la demande d’appui au titre d’InvestEU, compte tenu des conditions d’éligibilité révisées prévues dans le prochain encadrement temporaire de crise et de transition. En particulier, la levée des limitations de financement actuelles pour les projets de fabrication dans les domaines couverts par l’encadrement temporaire de crise et de transition devrait entraîner une augmentation de la demande et de l’utilisation de la garantie de l’Union par les partenaires chargés de la mise en œuvre. Par conséquent, la Commission évalue actuellement comment le financement global d’InvestEU pourrait être augmenté, en particulier pour la période allant de 2024 à 2027. </w:t>
      </w:r>
    </w:p>
    <w:p w14:paraId="22800BA8" w14:textId="77777777" w:rsidR="006B04AC" w:rsidRPr="006B04AC" w:rsidRDefault="006B04AC" w:rsidP="006B04AC">
      <w:pPr>
        <w:spacing w:before="120" w:after="120" w:line="240" w:lineRule="auto"/>
        <w:rPr>
          <w:noProof/>
          <w:sz w:val="22"/>
          <w:szCs w:val="22"/>
          <w:lang w:val="fr-BE"/>
        </w:rPr>
      </w:pPr>
      <w:r w:rsidRPr="006B04AC">
        <w:rPr>
          <w:noProof/>
          <w:sz w:val="24"/>
          <w:lang w:val="fr-BE"/>
        </w:rPr>
        <w:t xml:space="preserve"> </w:t>
      </w:r>
    </w:p>
    <w:p w14:paraId="254BF337" w14:textId="77777777" w:rsidR="006B04AC" w:rsidRPr="006B04AC" w:rsidRDefault="006B04AC" w:rsidP="006B04AC">
      <w:pPr>
        <w:spacing w:line="240" w:lineRule="auto"/>
        <w:rPr>
          <w:noProof/>
          <w:lang w:val="fr-BE"/>
        </w:rPr>
      </w:pPr>
      <w:r w:rsidRPr="006B04AC">
        <w:rPr>
          <w:b/>
          <w:noProof/>
          <w:sz w:val="24"/>
          <w:lang w:val="fr-BE"/>
        </w:rPr>
        <w:t>Le Fonds pour l’innovation</w:t>
      </w:r>
    </w:p>
    <w:p w14:paraId="6DBE4DE2" w14:textId="77777777" w:rsidR="006B04AC" w:rsidRPr="006B04AC" w:rsidRDefault="006B04AC" w:rsidP="006B04AC">
      <w:pPr>
        <w:spacing w:before="120" w:after="120" w:line="240" w:lineRule="auto"/>
        <w:rPr>
          <w:noProof/>
          <w:lang w:val="fr-BE"/>
        </w:rPr>
      </w:pPr>
      <w:r w:rsidRPr="006B04AC">
        <w:rPr>
          <w:noProof/>
          <w:sz w:val="24"/>
          <w:lang w:val="fr-BE"/>
        </w:rPr>
        <w:t xml:space="preserve">Le Fonds pour l’innovation soutient le développement et le déploiement novateur de technologies et de solutions qui décarbonent les industries à forte intensité énergétique, stimulent les énergies renouvelables et le stockage d’énergie (y compris les batteries et l’hydrogène) et renforcent les chaînes d’approvisionnement à zéro émission nette, en soutenant la fabrication de composants critiques pour les batteries, l’énergie éolienne et solaire, les électrolyseurs, les piles à combustible et les pompes à chaleur. Au cours de la prochaine décennie, on estime que 40 milliards d’EUR seront disponibles au titre du Fonds pour l’innovation. </w:t>
      </w:r>
    </w:p>
    <w:p w14:paraId="38BECD30"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La directive révisée et mise à jour relative au système d’échange de quotas d’émission (SEQE), adoptée à la fin de 2022 dans le cadre du paquet «Ajustement à l’objectif 55», permet au Fonds pour l’innovation de subventionner, au moyen de procédures de mise en concurrence, 100 % du déficit de financement pour l’intensification du déploiement et de la fabrication de technologies propres. Le Fonds pour l’innovation peut donc servir de guichet unique européen pour ce type de soutien, ce qui réduit les difficultés rencontrées par les investisseurs pour cumuler différentes sources de revenus et de financement. </w:t>
      </w:r>
    </w:p>
    <w:p w14:paraId="0AD28E78" w14:textId="77777777" w:rsidR="006B04AC" w:rsidRPr="006B04AC" w:rsidRDefault="006B04AC" w:rsidP="006B04AC">
      <w:pPr>
        <w:spacing w:before="120" w:after="120" w:line="240" w:lineRule="auto"/>
        <w:rPr>
          <w:noProof/>
          <w:lang w:val="fr-BE"/>
        </w:rPr>
      </w:pPr>
      <w:r w:rsidRPr="006B04AC">
        <w:rPr>
          <w:b/>
          <w:noProof/>
          <w:sz w:val="24"/>
          <w:lang w:val="fr-BE"/>
        </w:rPr>
        <w:t>La Commission lancera à l’automne 2023 un premier appel d’offres (procédure de mise en concurrence) pour soutenir la production d’hydrogène renouvelable.</w:t>
      </w:r>
      <w:r w:rsidRPr="006B04AC">
        <w:rPr>
          <w:noProof/>
          <w:sz w:val="24"/>
          <w:lang w:val="fr-BE"/>
        </w:rPr>
        <w:t xml:space="preserve"> Les attributaires de cet appel d’offres recevront une prime fixe pour chaque kg d’hydrogène renouvelable produit pendant une période de 10 ans. Cette prime aura une incidence similaire à celle du crédit d’impôt à la production de la loi américaine sur la réduction de l’inflation (US Inflation Reduction Act), avec la différence qu’elle est fondée sur les offres reçues et qu’elle rendra le soutien de l’UE rentable, rapide et administrativement léger. Les modalités de ce premier appel d’offres pilote, doté d’un budget indicatif de 800 millions d’EUR, seront annoncées en juin 2023. Cet appel pilote sera suivi d’autres appels d’offres ou d’autres formes de soutien à la production et à l’utilisation de l’hydrogène contribuant à la réalisation des objectifs REPowerEU en matière d’hydrogène, couvrant ainsi la partie interne à l’UE de la Banque européenne de l’hydrogène. </w:t>
      </w:r>
    </w:p>
    <w:p w14:paraId="4AB057E0"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Sur la base de cette expérience, la Commission envisage d’étendre le nouveau mécanisme de mise en concurrence afin d’accroître la fabrication de composants pour l’énergie solaire et éolienne, les batteries et les électrolyseurs, sur la base d’une analyse des besoins du secteur du zéro émission nette de l’UE, de la taille du marché et de la réserve de projets potentielle. Ici encore, le soutien au titre du Fonds pour l’innovation prendrait la forme d’une subvention à la production, au lieu de la part de 60 % des coûts pertinents qui constitue la pratique actuelle du Fonds. </w:t>
      </w:r>
    </w:p>
    <w:p w14:paraId="6A2814BF" w14:textId="77777777" w:rsidR="006B04AC" w:rsidRPr="006B04AC" w:rsidRDefault="006B04AC" w:rsidP="006B04AC">
      <w:pPr>
        <w:spacing w:before="120" w:after="120" w:line="240" w:lineRule="auto"/>
        <w:rPr>
          <w:noProof/>
          <w:sz w:val="24"/>
          <w:szCs w:val="24"/>
          <w:lang w:val="fr-BE"/>
        </w:rPr>
      </w:pPr>
      <w:r w:rsidRPr="006B04AC">
        <w:rPr>
          <w:noProof/>
          <w:sz w:val="24"/>
          <w:lang w:val="fr-BE"/>
        </w:rPr>
        <w:t>Les recettes du système d’échange de quotas d’émission de l’UE augmenteront dans les années à venir. La majeure partie de ce montant constituera des recettes nationales, que les États membres devront affecter à l’action pour le climat. La Commission encourage les États membres à consacrer une part de ces recettes à l’essor de la fabrication de technologies à zéro émission nette. Une part de l’augmentation des recettes du SEQE pourrait également soutenir le renforcement d’un instrument efficace d’investissement européen dans le zéro émission nette tel que le Fonds pour l’innovation</w:t>
      </w:r>
      <w:r>
        <w:rPr>
          <w:rStyle w:val="FootnoteReference"/>
          <w:noProof/>
          <w:sz w:val="24"/>
          <w:szCs w:val="24"/>
          <w:lang w:val="en-GB"/>
        </w:rPr>
        <w:footnoteReference w:id="19"/>
      </w:r>
      <w:r w:rsidRPr="006B04AC">
        <w:rPr>
          <w:noProof/>
          <w:sz w:val="24"/>
          <w:lang w:val="fr-BE"/>
        </w:rPr>
        <w:t>.</w:t>
      </w:r>
    </w:p>
    <w:p w14:paraId="1EB0E491" w14:textId="77777777" w:rsidR="006B04AC" w:rsidRPr="006B04AC" w:rsidRDefault="006B04AC" w:rsidP="006B04AC">
      <w:pPr>
        <w:spacing w:before="120" w:after="120" w:line="240" w:lineRule="auto"/>
        <w:rPr>
          <w:noProof/>
          <w:sz w:val="24"/>
          <w:szCs w:val="24"/>
          <w:highlight w:val="yellow"/>
          <w:lang w:val="fr-BE"/>
        </w:rPr>
      </w:pPr>
      <w:r w:rsidRPr="006B04AC">
        <w:rPr>
          <w:b/>
          <w:bCs/>
          <w:noProof/>
          <w:sz w:val="24"/>
          <w:lang w:val="fr-BE"/>
        </w:rPr>
        <w:t>De nombreux fonds sont donc disponibles, principalement axés sur l’innovation et le déploiement.</w:t>
      </w:r>
      <w:r w:rsidRPr="006B04AC">
        <w:rPr>
          <w:noProof/>
          <w:sz w:val="24"/>
          <w:lang w:val="fr-BE"/>
        </w:rPr>
        <w:t xml:space="preserve"> La Commission étudie les moyens de parvenir à un financement commun plus important au niveau de l’UE pour soutenir les investissements dans la fabrication de technologies à zéro émission nette, sur la base d’une évaluation des besoins d’investissement actuellement en cours. Il sera essentiel de proposer une approche européenne globale afin de préserver le marché unique de la fragmentation et de réaliser un maximum de synergies et de gains d’échelle. À court terme, la Commission élaborera avec les États membres, en mettant l’accent sur les instruments susmentionnés (REPowerEU, InvestEU et le Fonds pour l’innovation), une solution de transition pour offrir un soutien rapide et ciblé là où il est le plus nécessaire, en complément des modifications temporaires et ciblées en matière d’aides d’État décrites ci</w:t>
      </w:r>
      <w:r w:rsidRPr="006B04AC">
        <w:rPr>
          <w:noProof/>
          <w:sz w:val="24"/>
          <w:lang w:val="fr-BE"/>
        </w:rPr>
        <w:noBreakHyphen/>
        <w:t>dessus. Même si la mise en œuvre de ces différents éléments ne pourra sans doute pas se faire en même temps, nous sommes déterminés à mettre en œuvre cette approche européenne globale.</w:t>
      </w:r>
    </w:p>
    <w:p w14:paraId="033D47DA" w14:textId="77777777" w:rsidR="006B04AC" w:rsidRPr="006B04AC" w:rsidRDefault="006B04AC" w:rsidP="006B04AC">
      <w:pPr>
        <w:spacing w:before="120" w:after="120" w:line="240" w:lineRule="auto"/>
        <w:rPr>
          <w:noProof/>
          <w:sz w:val="24"/>
          <w:szCs w:val="24"/>
          <w:lang w:val="fr-BE"/>
        </w:rPr>
      </w:pPr>
      <w:r w:rsidRPr="006B04AC">
        <w:rPr>
          <w:b/>
          <w:noProof/>
          <w:sz w:val="24"/>
          <w:lang w:val="fr-BE"/>
        </w:rPr>
        <w:t>À moyen terme</w:t>
      </w:r>
      <w:r w:rsidRPr="006B04AC">
        <w:rPr>
          <w:noProof/>
          <w:sz w:val="24"/>
          <w:lang w:val="fr-BE"/>
        </w:rPr>
        <w:t xml:space="preserve">, la Commission entend apporter une réponse structurelle aux besoins d’investissement, en proposant un </w:t>
      </w:r>
      <w:r w:rsidRPr="006B04AC">
        <w:rPr>
          <w:b/>
          <w:noProof/>
          <w:sz w:val="24"/>
          <w:lang w:val="fr-BE"/>
        </w:rPr>
        <w:t>Fonds européen de souveraineté</w:t>
      </w:r>
      <w:r w:rsidRPr="006B04AC">
        <w:rPr>
          <w:noProof/>
          <w:sz w:val="24"/>
          <w:lang w:val="fr-BE"/>
        </w:rPr>
        <w:t xml:space="preserve"> dans le cadre du réexamen du cadre financier pluriannuel, avant l’été 2023. L’objectif est de préserver un avantage européen en ce qui concerne les technologies critiques et émergentes présentant un intérêt pour la double transition écologique et numérique, depuis les technologies informatiques, y compris la microélectronique, l’informatique quantique et l’intelligence artificielle, jusqu’aux biotechnologies, à la production de produits biologiques et aux technologies à zéro émission nette. Cet instrument structurel s’appuiera sur l’expérience acquise dans le cadre de projets multinationaux coordonnés dans le cadre des PIIEC et visera à améliorer l’accès de tous les États membres à ces projets, préservant ainsi la cohésion et le marché unique contre les risques que pose la disponibilité inégale des aides d’État. La Commission collaborera avec les États membres à la conception du Fonds de souveraineté, afin de veiller à ce qu’il réponde à leurs besoins respectifs.</w:t>
      </w:r>
    </w:p>
    <w:p w14:paraId="60FA1A02" w14:textId="77777777" w:rsidR="006B04AC" w:rsidRPr="00BC482C" w:rsidRDefault="006B04AC" w:rsidP="006B04AC">
      <w:pPr>
        <w:spacing w:before="120" w:after="120" w:line="240" w:lineRule="auto"/>
        <w:rPr>
          <w:noProof/>
          <w:sz w:val="24"/>
          <w:szCs w:val="24"/>
          <w:lang w:val="fr-BE"/>
        </w:rPr>
      </w:pPr>
    </w:p>
    <w:p w14:paraId="75C4B82F" w14:textId="77777777" w:rsidR="006B04AC" w:rsidRPr="006B04AC" w:rsidRDefault="006B04AC" w:rsidP="006B04AC">
      <w:pPr>
        <w:keepNext/>
        <w:spacing w:line="240" w:lineRule="auto"/>
        <w:rPr>
          <w:noProof/>
          <w:sz w:val="24"/>
          <w:szCs w:val="24"/>
          <w:lang w:val="fr-BE"/>
        </w:rPr>
      </w:pPr>
      <w:r w:rsidRPr="006B04AC">
        <w:rPr>
          <w:noProof/>
          <w:sz w:val="24"/>
          <w:lang w:val="fr-BE"/>
        </w:rPr>
        <w:t>2.2.3 Le financement privé</w:t>
      </w:r>
    </w:p>
    <w:p w14:paraId="16DAE4C7" w14:textId="77777777" w:rsidR="006B04AC" w:rsidRPr="006B04AC" w:rsidRDefault="006B04AC" w:rsidP="006B04AC">
      <w:pPr>
        <w:keepLines/>
        <w:suppressAutoHyphens/>
        <w:spacing w:before="120" w:line="240" w:lineRule="auto"/>
        <w:rPr>
          <w:noProof/>
          <w:sz w:val="24"/>
          <w:szCs w:val="24"/>
          <w:lang w:val="fr-BE"/>
        </w:rPr>
      </w:pPr>
      <w:r w:rsidRPr="006B04AC">
        <w:rPr>
          <w:b/>
          <w:noProof/>
          <w:sz w:val="24"/>
          <w:lang w:val="fr-BE"/>
        </w:rPr>
        <w:t xml:space="preserve">La majeure partie, de loin, des investissements nécessaires à la transition vers le zéro émission nette devra provenir de financements privés. Le financement public peut certes attirer des investissements privés, mais il ne suffira pas à combler le déficit d’investissement. </w:t>
      </w:r>
      <w:r w:rsidRPr="006B04AC">
        <w:rPr>
          <w:noProof/>
          <w:sz w:val="24"/>
          <w:lang w:val="fr-BE"/>
        </w:rPr>
        <w:t xml:space="preserve">Pour réussir cette transition vers le zéro émission nette, nous avons besoin de financements considérables du secteur privé, en particulier de financements levés sur les marchés des capitaux auprès d’un large éventail d’investisseurs, y compris les petits investisseurs de détail et les grands investisseurs institutionnels. </w:t>
      </w:r>
      <w:r w:rsidRPr="006B04AC">
        <w:rPr>
          <w:b/>
          <w:noProof/>
          <w:sz w:val="24"/>
          <w:lang w:val="fr-BE"/>
        </w:rPr>
        <w:t>Il est donc essentiel que les marchés des capitaux et le cadre pour la finance durable fonctionnent bien.</w:t>
      </w:r>
      <w:r w:rsidRPr="006B04AC">
        <w:rPr>
          <w:noProof/>
          <w:sz w:val="24"/>
          <w:lang w:val="fr-BE"/>
        </w:rPr>
        <w:t xml:space="preserve"> L’UE doit veiller à ce que ses marchés des capitaux puissent soutenir le volume et la variété de financements nécessaires à ses entreprises, en particulier dans les segments industriels stratégiques. </w:t>
      </w:r>
    </w:p>
    <w:p w14:paraId="668769F4" w14:textId="77777777" w:rsidR="006B04AC" w:rsidRPr="00BC482C" w:rsidRDefault="006B04AC" w:rsidP="006B04AC">
      <w:pPr>
        <w:spacing w:line="240" w:lineRule="auto"/>
        <w:rPr>
          <w:b/>
          <w:noProof/>
          <w:sz w:val="24"/>
          <w:szCs w:val="24"/>
          <w:lang w:val="fr-BE"/>
        </w:rPr>
      </w:pPr>
    </w:p>
    <w:p w14:paraId="73F8904D" w14:textId="77777777" w:rsidR="006B04AC" w:rsidRPr="006B04AC" w:rsidRDefault="006B04AC" w:rsidP="006B04AC">
      <w:pPr>
        <w:spacing w:line="240" w:lineRule="auto"/>
        <w:rPr>
          <w:b/>
          <w:noProof/>
          <w:sz w:val="24"/>
          <w:szCs w:val="24"/>
          <w:lang w:val="fr-BE"/>
        </w:rPr>
      </w:pPr>
      <w:r w:rsidRPr="006B04AC">
        <w:rPr>
          <w:b/>
          <w:noProof/>
          <w:sz w:val="24"/>
          <w:lang w:val="fr-BE"/>
        </w:rPr>
        <w:t xml:space="preserve">L’UE doit intensifier ses efforts pour créer une union des marchés des capitaux (UMC) pleinement développée. </w:t>
      </w:r>
      <w:r w:rsidRPr="006B04AC">
        <w:rPr>
          <w:noProof/>
          <w:sz w:val="24"/>
          <w:lang w:val="fr-BE"/>
        </w:rPr>
        <w:t>L’UMC vise à accroître la taille des marchés des capitaux individuels et leur intégration transfrontière afin d’améliorer les possibilités de financement et d’investissement pour les particuliers et les entreprises, y compris celles qui opèrent dans le secteur des technologies propres.</w:t>
      </w:r>
      <w:r w:rsidRPr="006B04AC">
        <w:rPr>
          <w:b/>
          <w:noProof/>
          <w:sz w:val="24"/>
          <w:lang w:val="fr-BE"/>
        </w:rPr>
        <w:t xml:space="preserve"> </w:t>
      </w:r>
    </w:p>
    <w:p w14:paraId="21C4D1EF" w14:textId="77777777" w:rsidR="006B04AC" w:rsidRPr="00BC482C" w:rsidRDefault="006B04AC" w:rsidP="006B04AC">
      <w:pPr>
        <w:spacing w:line="240" w:lineRule="auto"/>
        <w:rPr>
          <w:b/>
          <w:noProof/>
          <w:sz w:val="24"/>
          <w:szCs w:val="24"/>
          <w:lang w:val="fr-BE"/>
        </w:rPr>
      </w:pPr>
    </w:p>
    <w:p w14:paraId="16B69053" w14:textId="77777777" w:rsidR="006B04AC" w:rsidRPr="006B04AC" w:rsidRDefault="006B04AC" w:rsidP="006B04AC">
      <w:pPr>
        <w:spacing w:line="240" w:lineRule="auto"/>
        <w:rPr>
          <w:noProof/>
          <w:sz w:val="24"/>
          <w:szCs w:val="24"/>
          <w:lang w:val="fr-BE"/>
        </w:rPr>
      </w:pPr>
      <w:r w:rsidRPr="006B04AC">
        <w:rPr>
          <w:noProof/>
          <w:sz w:val="24"/>
          <w:lang w:val="fr-BE"/>
        </w:rPr>
        <w:t xml:space="preserve">Un marché unique des capitaux approfondi et véritablement intégré fournirait aux entreprises de l’UE les moyens de se financer, de se développer et de devenir moins dépendantes du financement bancaire, et d’obtenir des financements pour gérer la transition écologique. Faire progresser l’union des marchés des capitaux est donc une contribution essentielle aux objectifs politiques de la Commission relatifs à la compétitivité mondiale verte et numérique des entreprises européennes et à l’autonomie stratégique ouverte de l’UE. </w:t>
      </w:r>
    </w:p>
    <w:p w14:paraId="74CB731A" w14:textId="77777777" w:rsidR="006B04AC" w:rsidRPr="00BC482C" w:rsidRDefault="006B04AC" w:rsidP="006B04AC">
      <w:pPr>
        <w:spacing w:line="240" w:lineRule="auto"/>
        <w:rPr>
          <w:noProof/>
          <w:sz w:val="24"/>
          <w:szCs w:val="24"/>
          <w:lang w:val="fr-BE"/>
        </w:rPr>
      </w:pPr>
    </w:p>
    <w:p w14:paraId="3C0B9A11" w14:textId="77777777" w:rsidR="006B04AC" w:rsidRPr="006B04AC" w:rsidRDefault="006B04AC" w:rsidP="006B04AC">
      <w:pPr>
        <w:spacing w:line="240" w:lineRule="auto"/>
        <w:rPr>
          <w:noProof/>
          <w:sz w:val="24"/>
          <w:szCs w:val="24"/>
          <w:lang w:val="fr-BE"/>
        </w:rPr>
      </w:pPr>
      <w:r w:rsidRPr="006B04AC">
        <w:rPr>
          <w:noProof/>
          <w:sz w:val="24"/>
          <w:lang w:val="fr-BE"/>
        </w:rPr>
        <w:t xml:space="preserve">Pour parvenir à un marché des capitaux de l’UE pleinement intégré, les principales parties prenantes doivent toutes faire preuve d’une plus grande ambition et s’engager à </w:t>
      </w:r>
      <w:r w:rsidRPr="006B04AC">
        <w:rPr>
          <w:b/>
          <w:noProof/>
          <w:sz w:val="24"/>
          <w:lang w:val="fr-BE"/>
        </w:rPr>
        <w:t>parvenir rapidement à un accord sur les propositions législatives de la Commission mettant en œuvre le plan d’action de 2020 pour l’UMC</w:t>
      </w:r>
      <w:r w:rsidRPr="006B04AC">
        <w:rPr>
          <w:noProof/>
          <w:sz w:val="24"/>
          <w:lang w:val="fr-BE"/>
        </w:rPr>
        <w:t xml:space="preserve">. </w:t>
      </w:r>
    </w:p>
    <w:p w14:paraId="24224E20" w14:textId="77777777" w:rsidR="006B04AC" w:rsidRPr="00BC482C" w:rsidRDefault="006B04AC" w:rsidP="006B04AC">
      <w:pPr>
        <w:spacing w:line="240" w:lineRule="auto"/>
        <w:rPr>
          <w:b/>
          <w:bCs/>
          <w:noProof/>
          <w:sz w:val="24"/>
          <w:szCs w:val="24"/>
          <w:lang w:val="fr-BE"/>
        </w:rPr>
      </w:pPr>
    </w:p>
    <w:p w14:paraId="531BF432" w14:textId="77777777" w:rsidR="006B04AC" w:rsidRPr="006B04AC" w:rsidRDefault="006B04AC" w:rsidP="006B04AC">
      <w:pPr>
        <w:spacing w:line="240" w:lineRule="auto"/>
        <w:rPr>
          <w:noProof/>
          <w:sz w:val="24"/>
          <w:szCs w:val="24"/>
          <w:lang w:val="fr-BE"/>
        </w:rPr>
      </w:pPr>
      <w:r w:rsidRPr="006B04AC">
        <w:rPr>
          <w:b/>
          <w:noProof/>
          <w:sz w:val="24"/>
          <w:lang w:val="fr-BE"/>
        </w:rPr>
        <w:t xml:space="preserve">Le cadre de l’UE pour la finance durable soutient les efforts déployés par les investisseurs et les entreprises pour accroître leurs investissements harmonisés par rapport aux objectifs du pacte vert pour l’Europe. </w:t>
      </w:r>
      <w:r w:rsidRPr="006B04AC">
        <w:rPr>
          <w:noProof/>
          <w:sz w:val="24"/>
          <w:lang w:val="fr-BE"/>
        </w:rPr>
        <w:t>Les politiques de l’UE en matière de financement durable soutiendront la transition écologique en rendant le financement privé de projets et d’entreprises écologiques plus facile à obtenir et plus attrayant, comme le rappelle la stratégie renouvelée pour le financement de la transition vers une économie durable</w:t>
      </w:r>
      <w:r>
        <w:rPr>
          <w:noProof/>
          <w:sz w:val="24"/>
          <w:szCs w:val="24"/>
          <w:vertAlign w:val="superscript"/>
          <w:lang w:val="en-IE"/>
        </w:rPr>
        <w:footnoteReference w:id="20"/>
      </w:r>
      <w:r w:rsidRPr="006B04AC">
        <w:rPr>
          <w:noProof/>
          <w:sz w:val="24"/>
          <w:lang w:val="fr-BE"/>
        </w:rPr>
        <w:t>.</w:t>
      </w:r>
    </w:p>
    <w:p w14:paraId="72740272" w14:textId="77777777" w:rsidR="006B04AC" w:rsidRPr="006B04AC" w:rsidRDefault="006B04AC" w:rsidP="006B04AC">
      <w:pPr>
        <w:spacing w:line="257" w:lineRule="auto"/>
        <w:rPr>
          <w:rFonts w:eastAsia="Calibri"/>
          <w:noProof/>
          <w:sz w:val="24"/>
          <w:szCs w:val="24"/>
          <w:highlight w:val="cyan"/>
          <w:lang w:val="fr-BE"/>
        </w:rPr>
      </w:pPr>
    </w:p>
    <w:p w14:paraId="678EB8E9" w14:textId="77777777" w:rsidR="006B04AC" w:rsidRPr="00CA5CFF" w:rsidRDefault="006B04AC" w:rsidP="006B04AC">
      <w:pPr>
        <w:pStyle w:val="Heading2"/>
        <w:rPr>
          <w:noProof/>
          <w:szCs w:val="24"/>
        </w:rPr>
      </w:pPr>
      <w:r>
        <w:rPr>
          <w:noProof/>
        </w:rPr>
        <w:t>L’amélioration des compétences</w:t>
      </w:r>
    </w:p>
    <w:p w14:paraId="6958B941" w14:textId="77777777" w:rsidR="006B04AC" w:rsidRPr="006B04AC" w:rsidRDefault="006B04AC" w:rsidP="006B04AC">
      <w:pPr>
        <w:spacing w:before="120" w:after="120" w:line="240" w:lineRule="auto"/>
        <w:rPr>
          <w:noProof/>
          <w:sz w:val="24"/>
          <w:szCs w:val="24"/>
          <w:lang w:val="fr-BE"/>
        </w:rPr>
      </w:pPr>
      <w:r w:rsidRPr="006B04AC">
        <w:rPr>
          <w:b/>
          <w:noProof/>
          <w:sz w:val="24"/>
          <w:lang w:val="fr-BE"/>
        </w:rPr>
        <w:t>La transition écologique doit être centrée sur les personnes</w:t>
      </w:r>
      <w:r w:rsidRPr="006B04AC">
        <w:rPr>
          <w:noProof/>
          <w:sz w:val="24"/>
          <w:lang w:val="fr-BE"/>
        </w:rPr>
        <w:t xml:space="preserve"> et inclusive afin de garantir des résultats équitables et justes, de créer des emplois de qualité et de ne laisser personne sur le côté. L’économie européenne comptait 4,5 millions d’emplois verts en 2019</w:t>
      </w:r>
      <w:r>
        <w:rPr>
          <w:rStyle w:val="FootnoteReference"/>
          <w:noProof/>
          <w:sz w:val="24"/>
          <w:szCs w:val="24"/>
        </w:rPr>
        <w:footnoteReference w:id="21"/>
      </w:r>
      <w:r w:rsidRPr="006B04AC">
        <w:rPr>
          <w:noProof/>
          <w:sz w:val="24"/>
          <w:lang w:val="fr-BE"/>
        </w:rPr>
        <w:t xml:space="preserve">, par rapport à 3,2 millions en 2000. La transition écologique amplifiera la demande de nouvelles compétences à tous les niveaux, ce qui nécessitera de recourir massivement au perfectionnement professionnel et à la reconversion des travailleurs. L’industrie des batteries estime qu’elle aura, à elle seule, besoin de 800 000 travailleurs supplémentaires d’ici à 2025. Au cours de la prochaine décennie, la concurrence sera féroce pour attirer les talents. La productivité de notre industrie, la prospérité de notre société et notre capacité à atteindre les objectifs du zéro émission nette dépendront de notre capacité à retenir et à attirer les travailleurs. </w:t>
      </w:r>
      <w:r w:rsidRPr="006B04AC">
        <w:rPr>
          <w:b/>
          <w:noProof/>
          <w:sz w:val="24"/>
          <w:lang w:val="fr-BE"/>
        </w:rPr>
        <w:t>C’est pourquoi le troisième pilier du plan industriel du pacte vert doit se concentrer sur les compétences, écologiques et numériques, à tous les niveaux et pour tous, l’inclusion des femmes</w:t>
      </w:r>
      <w:r>
        <w:rPr>
          <w:rStyle w:val="FootnoteReference"/>
          <w:b/>
          <w:bCs/>
          <w:noProof/>
          <w:sz w:val="24"/>
          <w:szCs w:val="24"/>
        </w:rPr>
        <w:footnoteReference w:id="22"/>
      </w:r>
      <w:r w:rsidRPr="006B04AC">
        <w:rPr>
          <w:b/>
          <w:noProof/>
          <w:sz w:val="24"/>
          <w:lang w:val="fr-BE"/>
        </w:rPr>
        <w:t xml:space="preserve"> et des jeunes</w:t>
      </w:r>
      <w:r>
        <w:rPr>
          <w:rStyle w:val="FootnoteReference"/>
          <w:b/>
          <w:bCs/>
          <w:noProof/>
          <w:sz w:val="24"/>
          <w:szCs w:val="24"/>
        </w:rPr>
        <w:footnoteReference w:id="23"/>
      </w:r>
      <w:r w:rsidRPr="006B04AC">
        <w:rPr>
          <w:b/>
          <w:noProof/>
          <w:sz w:val="24"/>
          <w:lang w:val="fr-BE"/>
        </w:rPr>
        <w:t xml:space="preserve"> étant au cœur</w:t>
      </w:r>
      <w:r w:rsidRPr="006B04AC">
        <w:rPr>
          <w:noProof/>
          <w:sz w:val="24"/>
          <w:lang w:val="fr-BE"/>
        </w:rPr>
        <w:t xml:space="preserve"> du plan.</w:t>
      </w:r>
    </w:p>
    <w:p w14:paraId="0BC7E110" w14:textId="77777777" w:rsidR="006B04AC" w:rsidRPr="006B04AC" w:rsidRDefault="006B04AC" w:rsidP="006B04AC">
      <w:pPr>
        <w:spacing w:before="120" w:after="120" w:line="240" w:lineRule="auto"/>
        <w:rPr>
          <w:noProof/>
          <w:sz w:val="24"/>
          <w:szCs w:val="24"/>
          <w:lang w:val="fr-BE"/>
        </w:rPr>
      </w:pPr>
      <w:r w:rsidRPr="006B04AC">
        <w:rPr>
          <w:noProof/>
          <w:sz w:val="24"/>
          <w:lang w:val="fr-BE"/>
        </w:rPr>
        <w:t>La demande de talents est très forte. Les pénuries de main</w:t>
      </w:r>
      <w:r w:rsidRPr="006B04AC">
        <w:rPr>
          <w:noProof/>
          <w:sz w:val="24"/>
          <w:lang w:val="fr-BE"/>
        </w:rPr>
        <w:noBreakHyphen/>
        <w:t>d’œuvre, que l’on peut déduire des taux de vacance d’emploi</w:t>
      </w:r>
      <w:r>
        <w:rPr>
          <w:rStyle w:val="FootnoteReference"/>
          <w:noProof/>
          <w:sz w:val="24"/>
          <w:szCs w:val="24"/>
        </w:rPr>
        <w:footnoteReference w:id="24"/>
      </w:r>
      <w:r w:rsidRPr="006B04AC">
        <w:rPr>
          <w:noProof/>
          <w:sz w:val="24"/>
          <w:lang w:val="fr-BE"/>
        </w:rPr>
        <w:t>, ont doublé dans des secteurs considérés comme essentiels à la réalisation de la transition écologique</w:t>
      </w:r>
      <w:r>
        <w:rPr>
          <w:rStyle w:val="FootnoteReference"/>
          <w:noProof/>
          <w:sz w:val="24"/>
          <w:szCs w:val="24"/>
        </w:rPr>
        <w:footnoteReference w:id="25"/>
      </w:r>
      <w:r w:rsidRPr="006B04AC">
        <w:rPr>
          <w:noProof/>
          <w:sz w:val="24"/>
          <w:lang w:val="fr-BE"/>
        </w:rPr>
        <w:t xml:space="preserve"> entre 2015 et 2021, et les compétences techniques en matière de transition écologique sont de plus en plus recherchées</w:t>
      </w:r>
      <w:r>
        <w:rPr>
          <w:rStyle w:val="FootnoteReference"/>
          <w:noProof/>
          <w:sz w:val="24"/>
          <w:szCs w:val="24"/>
        </w:rPr>
        <w:footnoteReference w:id="26"/>
      </w:r>
      <w:r w:rsidRPr="006B04AC">
        <w:rPr>
          <w:noProof/>
          <w:sz w:val="24"/>
          <w:lang w:val="fr-BE"/>
        </w:rPr>
        <w:t>. Puisque, selon les estimations, entre 35 % et 40 % de l’ensemble des emplois contribueraient à la double transition, les exigences en matière de compétences techniques, y compris numériques, et les niveaux d’éducation dans l’économie verte sont supérieurs à ce qu’ils sont dans l’économie en général</w:t>
      </w:r>
      <w:r>
        <w:rPr>
          <w:rStyle w:val="FootnoteReference"/>
          <w:noProof/>
          <w:sz w:val="24"/>
          <w:szCs w:val="24"/>
        </w:rPr>
        <w:footnoteReference w:id="27"/>
      </w:r>
      <w:r w:rsidRPr="006B04AC">
        <w:rPr>
          <w:noProof/>
          <w:sz w:val="24"/>
          <w:lang w:val="fr-BE"/>
        </w:rPr>
        <w:t>. La productivité globale de la main</w:t>
      </w:r>
      <w:r w:rsidRPr="006B04AC">
        <w:rPr>
          <w:noProof/>
          <w:sz w:val="24"/>
          <w:lang w:val="fr-BE"/>
        </w:rPr>
        <w:noBreakHyphen/>
        <w:t xml:space="preserve">d’œuvre est plus élevée dans les secteurs verts, </w:t>
      </w:r>
      <w:r w:rsidRPr="006B04AC">
        <w:rPr>
          <w:b/>
          <w:noProof/>
          <w:sz w:val="24"/>
          <w:lang w:val="fr-BE"/>
        </w:rPr>
        <w:t>la productivité dans le secteur de l’énergie propre étant par exemple supérieure d’environ 20 % à la moyenne de l’ensemble de l’économie</w:t>
      </w:r>
      <w:r w:rsidRPr="006B04AC">
        <w:rPr>
          <w:noProof/>
          <w:sz w:val="24"/>
          <w:lang w:val="fr-BE"/>
        </w:rPr>
        <w:t>, ce qui rend les compétences vertes encore plus importantes pour la prospérité future</w:t>
      </w:r>
      <w:r>
        <w:rPr>
          <w:rStyle w:val="FootnoteReference"/>
          <w:noProof/>
          <w:sz w:val="24"/>
          <w:szCs w:val="24"/>
        </w:rPr>
        <w:footnoteReference w:id="28"/>
      </w:r>
      <w:r w:rsidRPr="006B04AC">
        <w:rPr>
          <w:noProof/>
          <w:sz w:val="24"/>
          <w:lang w:val="fr-BE"/>
        </w:rPr>
        <w:t>.</w:t>
      </w:r>
    </w:p>
    <w:p w14:paraId="0E11CC40"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L’UE prend des mesures pour relever les défis liés aux compétences posés par la double transition écologique et numérique dans le cadre général établi par la </w:t>
      </w:r>
      <w:r w:rsidRPr="006B04AC">
        <w:rPr>
          <w:b/>
          <w:noProof/>
          <w:sz w:val="24"/>
          <w:lang w:val="fr-BE"/>
        </w:rPr>
        <w:t>stratégie européenne en matière de compétences</w:t>
      </w:r>
      <w:r w:rsidRPr="006B04AC">
        <w:rPr>
          <w:noProof/>
          <w:sz w:val="24"/>
          <w:lang w:val="fr-BE"/>
        </w:rPr>
        <w:t>, qui fonctionne en synergie avec l’</w:t>
      </w:r>
      <w:r w:rsidRPr="006B04AC">
        <w:rPr>
          <w:b/>
          <w:noProof/>
          <w:sz w:val="24"/>
          <w:lang w:val="fr-BE"/>
        </w:rPr>
        <w:t>espace européen de l’éducation</w:t>
      </w:r>
      <w:r>
        <w:rPr>
          <w:rStyle w:val="FootnoteReference"/>
          <w:noProof/>
          <w:sz w:val="24"/>
          <w:szCs w:val="24"/>
        </w:rPr>
        <w:footnoteReference w:id="29"/>
      </w:r>
      <w:r w:rsidRPr="006B04AC">
        <w:rPr>
          <w:noProof/>
          <w:sz w:val="24"/>
          <w:lang w:val="fr-BE"/>
        </w:rPr>
        <w:t xml:space="preserve">. Le </w:t>
      </w:r>
      <w:r w:rsidRPr="006B04AC">
        <w:rPr>
          <w:b/>
          <w:bCs/>
          <w:noProof/>
          <w:sz w:val="24"/>
          <w:lang w:val="fr-BE"/>
        </w:rPr>
        <w:t>pacte européen pour les compétences</w:t>
      </w:r>
      <w:r w:rsidRPr="006B04AC">
        <w:rPr>
          <w:noProof/>
          <w:sz w:val="24"/>
          <w:lang w:val="fr-BE"/>
        </w:rPr>
        <w:t xml:space="preserve">, qui vient de fêter son deuxième anniversaire, soutient 14 partenariats à grande échelle dans des écosystèmes industriels européens où il les aide à doter les travailleurs des compétences nécessaires à la transition vers une économie neutre en carbone et numérique. Ces partenariats favorisent l’action coordonnée des entreprises, des travailleurs, des pouvoirs publics, des partenaires sociaux, des prestataires d’enseignement et de formation et des services de l’emploi. À ce jour, plus de 1 000 membres y ont adhéré, dont de grandes entreprises multinationales, des PME, des prestataires de formation locaux et des chambres de commerce. Collectivement, </w:t>
      </w:r>
      <w:r w:rsidRPr="006B04AC">
        <w:rPr>
          <w:b/>
          <w:noProof/>
          <w:sz w:val="24"/>
          <w:lang w:val="fr-BE"/>
        </w:rPr>
        <w:t>ils se sont engagés à contribuer au perfectionnement et à la reconversion professionnels de 6 millions de personnes.</w:t>
      </w:r>
      <w:r w:rsidRPr="006B04AC">
        <w:rPr>
          <w:noProof/>
          <w:sz w:val="24"/>
          <w:lang w:val="fr-BE"/>
        </w:rPr>
        <w:t xml:space="preserve"> En outre, le forum industriel sur l’énergie propre s’engage à intensifier les efforts et les investissements dans le développement des compétences. </w:t>
      </w:r>
    </w:p>
    <w:p w14:paraId="5BD577E2" w14:textId="77777777" w:rsidR="006B04AC" w:rsidRPr="006B04AC" w:rsidRDefault="006B04AC" w:rsidP="006B04AC">
      <w:pPr>
        <w:spacing w:before="120" w:after="120" w:line="240" w:lineRule="auto"/>
        <w:rPr>
          <w:noProof/>
          <w:sz w:val="24"/>
          <w:szCs w:val="24"/>
          <w:lang w:val="fr-BE"/>
        </w:rPr>
      </w:pPr>
      <w:r w:rsidRPr="006B04AC">
        <w:rPr>
          <w:noProof/>
          <w:sz w:val="24"/>
          <w:lang w:val="fr-BE"/>
        </w:rPr>
        <w:t>Le plan d’action en matière d’éducation numérique, la décennie numérique et le dialogue structuré sur l’éducation et les compétences numériques qui a eu lieu en 2022 ont préparé le terrain pour accélérer les actions visant à réformer les systèmes éducatifs et à offrir des compétences numériques de base et avancées dans l’ensemble de l’économie et à tout âge. Il s’agit d’un point de départ solide pour faire en sorte que la société comme les entreprises puissent utiliser les compétences numériques en faveur d’une exploitation plus précise et plus efficace des ressources naturelles, afin d’avoir une incidence plus positive sur l’environnement.</w:t>
      </w:r>
    </w:p>
    <w:p w14:paraId="276501A1"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La communication récente sur </w:t>
      </w:r>
      <w:r w:rsidRPr="006B04AC">
        <w:rPr>
          <w:b/>
          <w:noProof/>
          <w:sz w:val="24"/>
          <w:lang w:val="fr-BE"/>
        </w:rPr>
        <w:t>l’exploitation des talents dans les régions d’Europe</w:t>
      </w:r>
      <w:r w:rsidRPr="006B04AC">
        <w:rPr>
          <w:noProof/>
          <w:sz w:val="24"/>
          <w:lang w:val="fr-BE"/>
        </w:rPr>
        <w:t xml:space="preserve"> soutient les politiques visant à contribuer à l’acquisition et au développement des compétences nécessaires à la transition écologique dans toutes les régions de l’UE</w:t>
      </w:r>
      <w:r>
        <w:rPr>
          <w:rStyle w:val="FootnoteReference"/>
          <w:noProof/>
          <w:sz w:val="24"/>
          <w:szCs w:val="24"/>
        </w:rPr>
        <w:footnoteReference w:id="30"/>
      </w:r>
      <w:r w:rsidRPr="006B04AC">
        <w:rPr>
          <w:noProof/>
          <w:sz w:val="24"/>
          <w:lang w:val="fr-BE"/>
        </w:rPr>
        <w:t>.</w:t>
      </w:r>
    </w:p>
    <w:p w14:paraId="68FC3FDF" w14:textId="77777777" w:rsidR="006B04AC" w:rsidRPr="006B04AC" w:rsidRDefault="006B04AC" w:rsidP="006B04AC">
      <w:pPr>
        <w:spacing w:before="120" w:after="120" w:line="240" w:lineRule="auto"/>
        <w:rPr>
          <w:noProof/>
          <w:sz w:val="24"/>
          <w:szCs w:val="24"/>
          <w:lang w:val="fr-BE"/>
        </w:rPr>
      </w:pPr>
      <w:r w:rsidRPr="006B04AC">
        <w:rPr>
          <w:b/>
          <w:noProof/>
          <w:sz w:val="24"/>
          <w:lang w:val="fr-BE"/>
        </w:rPr>
        <w:t>L’Année européenne des compétences 2023 est une occasion unique de développer les compétences nécessaires</w:t>
      </w:r>
      <w:r w:rsidRPr="006B04AC">
        <w:rPr>
          <w:noProof/>
          <w:sz w:val="24"/>
          <w:lang w:val="fr-BE"/>
        </w:rPr>
        <w:t xml:space="preserve"> pour prospérer dans une économie en mutation rapide et d’intensifier les efforts. Il est temps que l’UE et ses États membres soient plus audacieux et plus ambitieux, en apportant des changements radicaux à la stratégie en matière d’éducation et de compétences, et qu’ils mettent en œuvre les possibilités offertes par le cadre de l’UE</w:t>
      </w:r>
      <w:r>
        <w:rPr>
          <w:rStyle w:val="FootnoteReference"/>
          <w:noProof/>
          <w:sz w:val="24"/>
          <w:szCs w:val="24"/>
        </w:rPr>
        <w:footnoteReference w:id="31"/>
      </w:r>
      <w:r w:rsidRPr="006B04AC">
        <w:rPr>
          <w:noProof/>
          <w:sz w:val="24"/>
          <w:lang w:val="fr-BE"/>
        </w:rPr>
        <w:t>:</w:t>
      </w:r>
    </w:p>
    <w:p w14:paraId="302B4BAB" w14:textId="77777777" w:rsidR="006B04AC" w:rsidRPr="006B04AC" w:rsidRDefault="006B04AC" w:rsidP="006B04AC">
      <w:pPr>
        <w:pStyle w:val="ListParagraph"/>
        <w:numPr>
          <w:ilvl w:val="0"/>
          <w:numId w:val="20"/>
        </w:numPr>
        <w:spacing w:before="120" w:after="120" w:line="240" w:lineRule="auto"/>
        <w:rPr>
          <w:noProof/>
          <w:sz w:val="24"/>
          <w:szCs w:val="24"/>
          <w:lang w:val="fr-BE"/>
        </w:rPr>
      </w:pPr>
      <w:r w:rsidRPr="006B04AC">
        <w:rPr>
          <w:noProof/>
          <w:sz w:val="24"/>
          <w:lang w:val="fr-BE"/>
        </w:rPr>
        <w:t xml:space="preserve">la Commission s’emploie actuellement, avec les États membres, à fixer des objectifs et des indicateurs permettant de </w:t>
      </w:r>
      <w:r w:rsidRPr="006B04AC">
        <w:rPr>
          <w:b/>
          <w:bCs/>
          <w:noProof/>
          <w:sz w:val="24"/>
          <w:lang w:val="fr-BE"/>
        </w:rPr>
        <w:t>suivre l’offre et la demande</w:t>
      </w:r>
      <w:r w:rsidRPr="006B04AC">
        <w:rPr>
          <w:noProof/>
          <w:sz w:val="24"/>
          <w:lang w:val="fr-BE"/>
        </w:rPr>
        <w:t xml:space="preserve"> en matière de compétences et d’emplois dans </w:t>
      </w:r>
      <w:r w:rsidRPr="006B04AC">
        <w:rPr>
          <w:b/>
          <w:bCs/>
          <w:noProof/>
          <w:sz w:val="24"/>
          <w:lang w:val="fr-BE"/>
        </w:rPr>
        <w:t>les secteurs présentant un intérêt pour la transition écologique</w:t>
      </w:r>
      <w:r w:rsidRPr="006B04AC">
        <w:rPr>
          <w:noProof/>
          <w:sz w:val="24"/>
          <w:lang w:val="fr-BE"/>
        </w:rPr>
        <w:t>.</w:t>
      </w:r>
      <w:r w:rsidRPr="006B04AC">
        <w:rPr>
          <w:b/>
          <w:noProof/>
          <w:sz w:val="24"/>
          <w:lang w:val="fr-BE"/>
        </w:rPr>
        <w:t xml:space="preserve"> </w:t>
      </w:r>
      <w:r w:rsidRPr="006B04AC">
        <w:rPr>
          <w:noProof/>
          <w:sz w:val="24"/>
          <w:lang w:val="fr-BE"/>
        </w:rPr>
        <w:t>Un écart persiste entre les hommes et les femmes dans le secteur des technologies à zéro émission nette. Par exemple, les femmes sont sous</w:t>
      </w:r>
      <w:r w:rsidRPr="006B04AC">
        <w:rPr>
          <w:noProof/>
          <w:sz w:val="24"/>
          <w:lang w:val="fr-BE"/>
        </w:rPr>
        <w:noBreakHyphen/>
        <w:t>représentées dans l’enseignement professionnel et supérieur dans les sous</w:t>
      </w:r>
      <w:r w:rsidRPr="006B04AC">
        <w:rPr>
          <w:noProof/>
          <w:sz w:val="24"/>
          <w:lang w:val="fr-BE"/>
        </w:rPr>
        <w:noBreakHyphen/>
        <w:t>domaines des sciences, de la technologie, de l’ingénierie et des mathématiques (STIM) qui sont particulièrement pertinents pour le secteur de l’énergie</w:t>
      </w:r>
      <w:r>
        <w:rPr>
          <w:rStyle w:val="FootnoteReference"/>
          <w:noProof/>
          <w:sz w:val="24"/>
          <w:szCs w:val="24"/>
        </w:rPr>
        <w:footnoteReference w:id="32"/>
      </w:r>
      <w:r w:rsidRPr="006B04AC">
        <w:rPr>
          <w:noProof/>
          <w:sz w:val="24"/>
          <w:lang w:val="fr-BE"/>
        </w:rPr>
        <w:t>. Dans le secteur des énergies renouvelables, les femmes ne représentent qu’un tiers des travailleurs</w:t>
      </w:r>
      <w:r>
        <w:rPr>
          <w:rStyle w:val="FootnoteReference"/>
          <w:noProof/>
          <w:sz w:val="24"/>
          <w:szCs w:val="24"/>
        </w:rPr>
        <w:footnoteReference w:id="33"/>
      </w:r>
      <w:r w:rsidRPr="006B04AC">
        <w:rPr>
          <w:noProof/>
          <w:sz w:val="24"/>
          <w:lang w:val="fr-BE"/>
        </w:rPr>
        <w:t xml:space="preserve">: il est donc clairement possible de mettre à profit les talents féminins dans ce secteur; </w:t>
      </w:r>
    </w:p>
    <w:p w14:paraId="0802AA0E" w14:textId="77777777" w:rsidR="006B04AC" w:rsidRPr="006B04AC" w:rsidRDefault="006B04AC" w:rsidP="006B04AC">
      <w:pPr>
        <w:pStyle w:val="ListParagraph"/>
        <w:numPr>
          <w:ilvl w:val="0"/>
          <w:numId w:val="20"/>
        </w:numPr>
        <w:spacing w:before="120" w:after="120" w:line="240" w:lineRule="auto"/>
        <w:rPr>
          <w:noProof/>
          <w:sz w:val="24"/>
          <w:szCs w:val="24"/>
          <w:lang w:val="fr-BE"/>
        </w:rPr>
      </w:pPr>
      <w:r w:rsidRPr="006B04AC">
        <w:rPr>
          <w:noProof/>
          <w:sz w:val="24"/>
          <w:lang w:val="fr-BE"/>
        </w:rPr>
        <w:t xml:space="preserve">la Commission œuvre en ce moment, avec les États membres et le secteur de l’enseignement supérieur, à la mise en place de la </w:t>
      </w:r>
      <w:r w:rsidRPr="006B04AC">
        <w:rPr>
          <w:b/>
          <w:bCs/>
          <w:noProof/>
          <w:sz w:val="24"/>
          <w:lang w:val="fr-BE"/>
        </w:rPr>
        <w:t>stratégie européenne en faveur des universités</w:t>
      </w:r>
      <w:r>
        <w:rPr>
          <w:rStyle w:val="FootnoteReference"/>
          <w:noProof/>
          <w:sz w:val="24"/>
          <w:szCs w:val="24"/>
        </w:rPr>
        <w:footnoteReference w:id="34"/>
      </w:r>
      <w:r w:rsidRPr="006B04AC">
        <w:rPr>
          <w:noProof/>
          <w:sz w:val="24"/>
          <w:lang w:val="fr-BE"/>
        </w:rPr>
        <w:t>, qui joue un rôle fondamental pour garantir la pérennité des compétences enseignées. L’UE apporte un soutien financier considérable à cette fin, notamment par l’intermédiaire de l’initiative «universités européennes» d’Erasmus+ (1,1 milliard d’EUR);</w:t>
      </w:r>
    </w:p>
    <w:p w14:paraId="694280C6" w14:textId="77777777" w:rsidR="006B04AC" w:rsidRPr="006B04AC" w:rsidRDefault="006B04AC" w:rsidP="006B04AC">
      <w:pPr>
        <w:pStyle w:val="ListParagraph"/>
        <w:numPr>
          <w:ilvl w:val="0"/>
          <w:numId w:val="20"/>
        </w:numPr>
        <w:spacing w:before="120" w:after="120" w:line="240" w:lineRule="auto"/>
        <w:rPr>
          <w:noProof/>
          <w:sz w:val="24"/>
          <w:szCs w:val="24"/>
          <w:lang w:val="fr-BE"/>
        </w:rPr>
      </w:pPr>
      <w:r w:rsidRPr="006B04AC">
        <w:rPr>
          <w:noProof/>
          <w:sz w:val="24"/>
          <w:lang w:val="fr-BE"/>
        </w:rPr>
        <w:t>en outre, nous devons attirer et retenir les meilleurs talents en Europe, en particulier dans les domaines des sciences, de la technologie, de l’ingénierie et des mathématiques (STIM). Nous devons ouvrir des voies nouvelles pour faire venir en Europe les étudiants et les chercheurs internationaux actifs dans ces disciplines;</w:t>
      </w:r>
    </w:p>
    <w:p w14:paraId="375313C8" w14:textId="77777777" w:rsidR="006B04AC" w:rsidRPr="006B04AC" w:rsidRDefault="006B04AC" w:rsidP="006B04AC">
      <w:pPr>
        <w:pStyle w:val="ListParagraph"/>
        <w:numPr>
          <w:ilvl w:val="0"/>
          <w:numId w:val="20"/>
        </w:numPr>
        <w:spacing w:before="120" w:after="120" w:line="240" w:lineRule="auto"/>
        <w:rPr>
          <w:rFonts w:eastAsia="Calibri"/>
          <w:noProof/>
          <w:sz w:val="24"/>
          <w:szCs w:val="24"/>
          <w:lang w:val="fr-BE"/>
        </w:rPr>
      </w:pPr>
      <w:r w:rsidRPr="006B04AC">
        <w:rPr>
          <w:noProof/>
          <w:sz w:val="24"/>
          <w:lang w:val="fr-BE"/>
        </w:rPr>
        <w:t xml:space="preserve">un </w:t>
      </w:r>
      <w:r w:rsidRPr="006B04AC">
        <w:rPr>
          <w:b/>
          <w:bCs/>
          <w:noProof/>
          <w:sz w:val="24"/>
          <w:lang w:val="fr-BE"/>
        </w:rPr>
        <w:t>partenariat à grande échelle pour les compétences dans le domaine des énergies renouvelables terrestres</w:t>
      </w:r>
      <w:r w:rsidRPr="006B04AC">
        <w:rPr>
          <w:noProof/>
          <w:sz w:val="24"/>
          <w:lang w:val="fr-BE"/>
        </w:rPr>
        <w:t xml:space="preserve"> sera mis en place d’ici février 2023 dans le cadre du pacte pour les compétences. Il définira des engagements et des objectifs et établira une vision des besoins concrets en matière de perfectionnement et de reconversion professionnels pour le secteur des énergies renouvelables en Europe; </w:t>
      </w:r>
    </w:p>
    <w:p w14:paraId="092AB00F" w14:textId="77777777" w:rsidR="006B04AC" w:rsidRPr="006B04AC" w:rsidRDefault="006B04AC" w:rsidP="006B04AC">
      <w:pPr>
        <w:pStyle w:val="ListParagraph"/>
        <w:numPr>
          <w:ilvl w:val="0"/>
          <w:numId w:val="20"/>
        </w:numPr>
        <w:spacing w:before="120" w:after="120" w:line="240" w:lineRule="auto"/>
        <w:rPr>
          <w:rFonts w:eastAsia="Calibri"/>
          <w:noProof/>
          <w:sz w:val="24"/>
          <w:szCs w:val="24"/>
          <w:lang w:val="fr-BE"/>
        </w:rPr>
      </w:pPr>
      <w:r w:rsidRPr="006B04AC">
        <w:rPr>
          <w:noProof/>
          <w:sz w:val="24"/>
          <w:lang w:val="fr-BE"/>
        </w:rPr>
        <w:t xml:space="preserve">un </w:t>
      </w:r>
      <w:r w:rsidRPr="006B04AC">
        <w:rPr>
          <w:b/>
          <w:bCs/>
          <w:noProof/>
          <w:sz w:val="24"/>
          <w:lang w:val="fr-BE"/>
        </w:rPr>
        <w:t>partenariat pour les compétences dans le domaine des pompes à chaleur</w:t>
      </w:r>
      <w:r w:rsidRPr="006B04AC">
        <w:rPr>
          <w:noProof/>
          <w:sz w:val="24"/>
          <w:lang w:val="fr-BE"/>
        </w:rPr>
        <w:t xml:space="preserve"> sera mis en place d’ici la fin de cette année et des efforts sont menés en vue de créer un partenariat pour les compétences dans le domaine de l’efficacité énergétique;</w:t>
      </w:r>
    </w:p>
    <w:p w14:paraId="45B0DF1B" w14:textId="77777777" w:rsidR="006B04AC" w:rsidRPr="006B04AC" w:rsidRDefault="006B04AC" w:rsidP="006B04AC">
      <w:pPr>
        <w:pStyle w:val="ListParagraph"/>
        <w:numPr>
          <w:ilvl w:val="0"/>
          <w:numId w:val="20"/>
        </w:numPr>
        <w:spacing w:before="120" w:after="120" w:line="256" w:lineRule="auto"/>
        <w:textAlignment w:val="auto"/>
        <w:rPr>
          <w:noProof/>
          <w:sz w:val="24"/>
          <w:szCs w:val="24"/>
          <w:lang w:val="fr-BE"/>
        </w:rPr>
      </w:pPr>
      <w:r w:rsidRPr="006B04AC">
        <w:rPr>
          <w:noProof/>
          <w:sz w:val="24"/>
          <w:lang w:val="fr-BE"/>
        </w:rPr>
        <w:t>sur le modèle de l’Académie européenne de l’alliance européenne pour les batteries</w:t>
      </w:r>
      <w:r>
        <w:rPr>
          <w:rStyle w:val="CommentReference"/>
          <w:rFonts w:eastAsia="Calibri"/>
          <w:noProof/>
          <w:sz w:val="24"/>
          <w:szCs w:val="24"/>
        </w:rPr>
        <w:footnoteReference w:id="35"/>
      </w:r>
      <w:r w:rsidRPr="006B04AC">
        <w:rPr>
          <w:noProof/>
          <w:sz w:val="24"/>
          <w:lang w:val="fr-BE"/>
        </w:rPr>
        <w:t xml:space="preserve">, la Commission proposera de créer des </w:t>
      </w:r>
      <w:r w:rsidRPr="006B04AC">
        <w:rPr>
          <w:b/>
          <w:bCs/>
          <w:noProof/>
          <w:sz w:val="24"/>
          <w:lang w:val="fr-BE"/>
        </w:rPr>
        <w:t>académies des industries à zéro émission nette</w:t>
      </w:r>
      <w:r w:rsidRPr="006B04AC">
        <w:rPr>
          <w:noProof/>
          <w:sz w:val="24"/>
          <w:lang w:val="fr-BE"/>
        </w:rPr>
        <w:t xml:space="preserve"> afin de déployer des programmes de perfectionnement et de reconversion professionnels dans des industries stratégiques pour la transition écologique, telles que les matières premières, l’hydrogène et les technologies solaires. La Commission lancera une académie pour proposer des formations en ligne et hors ligne afin de favoriser la construction durable, en mettant l’accent sur l’utilisation de matériaux biologiques, la circularité et les technologies numériques. </w:t>
      </w:r>
    </w:p>
    <w:p w14:paraId="2D6BD65E" w14:textId="77777777" w:rsidR="006B04AC" w:rsidRPr="006B04AC" w:rsidRDefault="006B04AC" w:rsidP="006B04AC">
      <w:pPr>
        <w:spacing w:line="240" w:lineRule="auto"/>
        <w:rPr>
          <w:noProof/>
          <w:sz w:val="24"/>
          <w:szCs w:val="24"/>
          <w:lang w:val="fr-BE"/>
        </w:rPr>
      </w:pPr>
      <w:r w:rsidRPr="006B04AC">
        <w:rPr>
          <w:noProof/>
          <w:sz w:val="24"/>
          <w:lang w:val="fr-BE"/>
        </w:rPr>
        <w:t xml:space="preserve">La </w:t>
      </w:r>
      <w:r w:rsidRPr="006B04AC">
        <w:rPr>
          <w:b/>
          <w:bCs/>
          <w:noProof/>
          <w:sz w:val="24"/>
          <w:lang w:val="fr-BE"/>
        </w:rPr>
        <w:t>validation des compétences</w:t>
      </w:r>
      <w:r w:rsidRPr="006B04AC">
        <w:rPr>
          <w:noProof/>
          <w:sz w:val="24"/>
          <w:lang w:val="fr-BE"/>
        </w:rPr>
        <w:t>, parallèlement aux efforts visant à soutenir la reconnaissance des qualifications dans les États membres et dans les pays tiers, ainsi que les politiques de mobilité de la main</w:t>
      </w:r>
      <w:r w:rsidRPr="006B04AC">
        <w:rPr>
          <w:noProof/>
          <w:sz w:val="24"/>
          <w:lang w:val="fr-BE"/>
        </w:rPr>
        <w:noBreakHyphen/>
        <w:t>d’œuvre peuvent faciliter la mise en adéquation des compétences des travailleurs avec les besoins des employeurs. Étant donné que les personnes apprennent de multiples manières et dans différents contextes en dehors des structures formelles d’éducation et de formation,</w:t>
      </w:r>
    </w:p>
    <w:p w14:paraId="1D0B9989" w14:textId="77777777" w:rsidR="006B04AC" w:rsidRPr="006B04AC" w:rsidRDefault="006B04AC" w:rsidP="006B04AC">
      <w:pPr>
        <w:pStyle w:val="ListParagraph"/>
        <w:numPr>
          <w:ilvl w:val="0"/>
          <w:numId w:val="20"/>
        </w:numPr>
        <w:spacing w:before="120" w:after="120" w:line="240" w:lineRule="auto"/>
        <w:rPr>
          <w:rFonts w:eastAsia="Calibri"/>
          <w:noProof/>
          <w:sz w:val="24"/>
          <w:szCs w:val="24"/>
          <w:lang w:val="fr-BE"/>
        </w:rPr>
      </w:pPr>
      <w:r w:rsidRPr="006B04AC">
        <w:rPr>
          <w:noProof/>
          <w:sz w:val="24"/>
          <w:lang w:val="fr-BE"/>
        </w:rPr>
        <w:t xml:space="preserve">dans le cadre de la stratégie de l’UE en matière de compétences, la Commission </w:t>
      </w:r>
      <w:r w:rsidRPr="006B04AC">
        <w:rPr>
          <w:b/>
          <w:bCs/>
          <w:noProof/>
          <w:sz w:val="24"/>
          <w:lang w:val="fr-BE"/>
        </w:rPr>
        <w:t>facilitera la reconnaissance des qualifications</w:t>
      </w:r>
      <w:r w:rsidRPr="006B04AC">
        <w:rPr>
          <w:noProof/>
          <w:sz w:val="24"/>
          <w:lang w:val="fr-BE"/>
        </w:rPr>
        <w:t xml:space="preserve">. Cela permettrait d’accélérer la reconnaissance et de réduire les formalités administratives, en favorisant une authentification rapide des qualifications par les employeurs et par les prestataires de formation;  </w:t>
      </w:r>
    </w:p>
    <w:p w14:paraId="610DD7E3" w14:textId="77777777" w:rsidR="006B04AC" w:rsidRPr="006B04AC" w:rsidRDefault="006B04AC" w:rsidP="006B04AC">
      <w:pPr>
        <w:pStyle w:val="ListParagraph"/>
        <w:numPr>
          <w:ilvl w:val="0"/>
          <w:numId w:val="20"/>
        </w:numPr>
        <w:spacing w:before="120" w:after="120" w:line="240" w:lineRule="auto"/>
        <w:rPr>
          <w:rFonts w:eastAsia="Calibri"/>
          <w:noProof/>
          <w:sz w:val="24"/>
          <w:szCs w:val="24"/>
          <w:lang w:val="fr-BE"/>
        </w:rPr>
      </w:pPr>
      <w:r w:rsidRPr="006B04AC">
        <w:rPr>
          <w:noProof/>
          <w:sz w:val="24"/>
          <w:lang w:val="fr-BE"/>
        </w:rPr>
        <w:t xml:space="preserve">la Commission étudiera en outre la manière de </w:t>
      </w:r>
      <w:r w:rsidRPr="006B04AC">
        <w:rPr>
          <w:b/>
          <w:bCs/>
          <w:noProof/>
          <w:sz w:val="24"/>
          <w:lang w:val="fr-BE"/>
        </w:rPr>
        <w:t>combiner l’approche donnant la priorité aux compétences réelles avec les approches existantes fondées sur les qualifications</w:t>
      </w:r>
      <w:r w:rsidRPr="006B04AC">
        <w:rPr>
          <w:noProof/>
          <w:sz w:val="24"/>
          <w:lang w:val="fr-BE"/>
        </w:rPr>
        <w:t>, dans l’intérêt des citoyens mobiles de l’UE et des ressortissants de pays tiers;</w:t>
      </w:r>
    </w:p>
    <w:p w14:paraId="6B20055D" w14:textId="77777777" w:rsidR="006B04AC" w:rsidRPr="006B04AC" w:rsidRDefault="006B04AC" w:rsidP="006B04AC">
      <w:pPr>
        <w:pStyle w:val="ListParagraph"/>
        <w:numPr>
          <w:ilvl w:val="0"/>
          <w:numId w:val="20"/>
        </w:numPr>
        <w:spacing w:before="120" w:after="120" w:line="257" w:lineRule="auto"/>
        <w:rPr>
          <w:noProof/>
          <w:sz w:val="24"/>
          <w:szCs w:val="24"/>
          <w:lang w:val="fr-BE"/>
        </w:rPr>
      </w:pPr>
      <w:r w:rsidRPr="006B04AC">
        <w:rPr>
          <w:noProof/>
          <w:sz w:val="24"/>
          <w:lang w:val="fr-BE"/>
        </w:rPr>
        <w:t>afin d’attirer des talents provenant de pays tiers, la Commission envisage en particulier une approche fondée sur les compétences afin de faciliter l’accès des ressortissants de pays tiers aux marchés du travail de l’UE dans les secteurs prioritaires, grâce à la création d’</w:t>
      </w:r>
      <w:r w:rsidRPr="006B04AC">
        <w:rPr>
          <w:b/>
          <w:bCs/>
          <w:noProof/>
          <w:sz w:val="24"/>
          <w:lang w:val="fr-BE"/>
        </w:rPr>
        <w:t>un réservoir de talents de l’UE</w:t>
      </w:r>
      <w:r w:rsidRPr="006B04AC">
        <w:rPr>
          <w:noProof/>
          <w:sz w:val="24"/>
          <w:lang w:val="fr-BE"/>
        </w:rPr>
        <w:t>, et elle présentera une proposition sur la reconnaissance des qualifications des ressortissants de pays tiers.</w:t>
      </w:r>
    </w:p>
    <w:p w14:paraId="467AC230" w14:textId="77777777" w:rsidR="006B04AC" w:rsidRPr="00BC482C" w:rsidRDefault="006B04AC" w:rsidP="006B04AC">
      <w:pPr>
        <w:pStyle w:val="ListParagraph"/>
        <w:spacing w:line="240" w:lineRule="auto"/>
        <w:ind w:left="0"/>
        <w:rPr>
          <w:noProof/>
          <w:sz w:val="24"/>
          <w:szCs w:val="24"/>
          <w:lang w:val="fr-BE"/>
        </w:rPr>
      </w:pPr>
    </w:p>
    <w:p w14:paraId="6E787996" w14:textId="77777777" w:rsidR="006B04AC" w:rsidRPr="006B04AC" w:rsidRDefault="006B04AC" w:rsidP="006B04AC">
      <w:pPr>
        <w:pStyle w:val="ListParagraph"/>
        <w:spacing w:line="240" w:lineRule="auto"/>
        <w:ind w:left="0"/>
        <w:rPr>
          <w:noProof/>
          <w:sz w:val="24"/>
          <w:szCs w:val="24"/>
          <w:lang w:val="fr-BE"/>
        </w:rPr>
      </w:pPr>
      <w:r w:rsidRPr="006B04AC">
        <w:rPr>
          <w:noProof/>
          <w:sz w:val="24"/>
          <w:lang w:val="fr-BE"/>
        </w:rPr>
        <w:t xml:space="preserve">Des efforts supplémentaires peuvent être fournis pour aider les citoyens à acquérir de nouvelles compétences. L’UE dispose de cadres d’action solides pour </w:t>
      </w:r>
      <w:r w:rsidRPr="006B04AC">
        <w:rPr>
          <w:b/>
          <w:bCs/>
          <w:noProof/>
          <w:sz w:val="24"/>
          <w:lang w:val="fr-BE"/>
        </w:rPr>
        <w:t>soutenir financièrement le développement des compétences</w:t>
      </w:r>
      <w:r w:rsidRPr="006B04AC">
        <w:rPr>
          <w:noProof/>
          <w:sz w:val="24"/>
          <w:lang w:val="fr-BE"/>
        </w:rPr>
        <w:t xml:space="preserve">, les recommandations du Conseil soutenant un certain nombre de réformes des compétences dans les domaines des comptes de formation individuels et des microcertifications, ainsi que des apprentissages et de l’enseignement et de la formation professionnels efficaces et de qualité. Pour que ces réformes produisent des résultats concrets de manière coordonnée dans toute l’Europe, </w:t>
      </w:r>
      <w:r w:rsidRPr="006B04AC">
        <w:rPr>
          <w:b/>
          <w:bCs/>
          <w:noProof/>
          <w:sz w:val="24"/>
          <w:lang w:val="fr-BE"/>
        </w:rPr>
        <w:t>les financements publics et les financements privés doivent s’aligner, ce qui pourrait nécessiter les mesures suivantes</w:t>
      </w:r>
      <w:r w:rsidRPr="006B04AC">
        <w:rPr>
          <w:noProof/>
          <w:sz w:val="24"/>
          <w:lang w:val="fr-BE"/>
        </w:rPr>
        <w:t>:</w:t>
      </w:r>
    </w:p>
    <w:p w14:paraId="1EDD5AA4" w14:textId="77777777" w:rsidR="006B04AC" w:rsidRPr="00BC482C" w:rsidRDefault="006B04AC" w:rsidP="006B04AC">
      <w:pPr>
        <w:pStyle w:val="ListParagraph"/>
        <w:spacing w:line="240" w:lineRule="auto"/>
        <w:ind w:left="0"/>
        <w:rPr>
          <w:noProof/>
          <w:sz w:val="24"/>
          <w:szCs w:val="24"/>
          <w:lang w:val="fr-BE"/>
        </w:rPr>
      </w:pPr>
    </w:p>
    <w:p w14:paraId="2CEB15D4" w14:textId="77777777" w:rsidR="006B04AC" w:rsidRPr="006B04AC" w:rsidRDefault="006B04AC" w:rsidP="006B04AC">
      <w:pPr>
        <w:pStyle w:val="ListParagraph"/>
        <w:numPr>
          <w:ilvl w:val="0"/>
          <w:numId w:val="20"/>
        </w:numPr>
        <w:spacing w:line="240" w:lineRule="auto"/>
        <w:rPr>
          <w:noProof/>
          <w:sz w:val="24"/>
          <w:szCs w:val="24"/>
          <w:lang w:val="fr-BE"/>
        </w:rPr>
      </w:pPr>
      <w:r w:rsidRPr="006B04AC">
        <w:rPr>
          <w:noProof/>
          <w:sz w:val="24"/>
          <w:lang w:val="fr-BE"/>
        </w:rPr>
        <w:t>le plafond du règlement général d’exemption par catégorie pour les aides à la formation en faveur des PME passera de 2 millions d’EUR à 3 millions d’EUR;</w:t>
      </w:r>
    </w:p>
    <w:p w14:paraId="51B12E19" w14:textId="77777777" w:rsidR="006B04AC" w:rsidRPr="006B04AC" w:rsidRDefault="006B04AC" w:rsidP="006B04AC">
      <w:pPr>
        <w:pStyle w:val="ListParagraph"/>
        <w:numPr>
          <w:ilvl w:val="0"/>
          <w:numId w:val="20"/>
        </w:numPr>
        <w:spacing w:line="240" w:lineRule="auto"/>
        <w:rPr>
          <w:noProof/>
          <w:sz w:val="24"/>
          <w:szCs w:val="24"/>
          <w:lang w:val="fr-BE"/>
        </w:rPr>
      </w:pPr>
      <w:r w:rsidRPr="006B04AC">
        <w:rPr>
          <w:noProof/>
          <w:sz w:val="24"/>
          <w:lang w:val="fr-BE"/>
        </w:rPr>
        <w:t>les mesures offrant des possibilités de former des travailleurs dans le cadre d’un PIIEC seront prises en compte lors de l’appréciation de la conformité de ces projets avec les règles en matière d’aides d’État</w:t>
      </w:r>
      <w:r>
        <w:rPr>
          <w:rFonts w:eastAsia="Calibri"/>
          <w:noProof/>
          <w:sz w:val="24"/>
          <w:szCs w:val="24"/>
          <w:vertAlign w:val="superscript"/>
        </w:rPr>
        <w:footnoteReference w:id="36"/>
      </w:r>
      <w:r w:rsidRPr="006B04AC">
        <w:rPr>
          <w:noProof/>
          <w:sz w:val="24"/>
          <w:lang w:val="fr-BE"/>
        </w:rPr>
        <w:t xml:space="preserve">; </w:t>
      </w:r>
    </w:p>
    <w:p w14:paraId="154244E2" w14:textId="77777777" w:rsidR="006B04AC" w:rsidRPr="006B04AC" w:rsidRDefault="006B04AC" w:rsidP="006B04AC">
      <w:pPr>
        <w:pStyle w:val="ListParagraph"/>
        <w:numPr>
          <w:ilvl w:val="0"/>
          <w:numId w:val="20"/>
        </w:numPr>
        <w:spacing w:line="240" w:lineRule="auto"/>
        <w:rPr>
          <w:noProof/>
          <w:sz w:val="24"/>
          <w:szCs w:val="24"/>
          <w:lang w:val="fr-BE"/>
        </w:rPr>
      </w:pPr>
      <w:r w:rsidRPr="006B04AC">
        <w:rPr>
          <w:noProof/>
          <w:sz w:val="24"/>
          <w:lang w:val="fr-BE"/>
        </w:rPr>
        <w:t xml:space="preserve">afin de stimuler la hausse des investissements dans la formation aux nouvelles technologies et aux nouveaux processus de production à zéro émission nette, la Commission étudiera les possibilités de traiter les dépenses de formation des entreprises comme un investissement plutôt que comme une dépense ou un coût d’exploitation. </w:t>
      </w:r>
    </w:p>
    <w:p w14:paraId="2A5956BD" w14:textId="77777777" w:rsidR="006B04AC" w:rsidRPr="006B04AC" w:rsidRDefault="006B04AC" w:rsidP="006B04AC">
      <w:pPr>
        <w:spacing w:before="120" w:after="120" w:line="240" w:lineRule="auto"/>
        <w:rPr>
          <w:noProof/>
          <w:sz w:val="24"/>
          <w:szCs w:val="24"/>
          <w:lang w:val="fr-BE"/>
        </w:rPr>
      </w:pPr>
      <w:r w:rsidRPr="006B04AC">
        <w:rPr>
          <w:noProof/>
          <w:sz w:val="24"/>
          <w:lang w:val="fr-BE"/>
        </w:rPr>
        <w:t>Un financement de l’UE est également disponible. Le cadre financier pluriannuel 2021-2027 et NextGenerationEU soutiennent des investissements d’environ 64,8 milliards d’EUR dans les domaines des compétences et du perfectionnement et de la reconversion professionnels</w:t>
      </w:r>
      <w:r>
        <w:rPr>
          <w:rStyle w:val="FootnoteReference"/>
          <w:noProof/>
          <w:sz w:val="24"/>
          <w:szCs w:val="24"/>
        </w:rPr>
        <w:footnoteReference w:id="37"/>
      </w:r>
      <w:r w:rsidRPr="006B04AC">
        <w:rPr>
          <w:noProof/>
          <w:sz w:val="24"/>
          <w:lang w:val="fr-BE"/>
        </w:rPr>
        <w:t xml:space="preserve">. Sur ces 64,8 milliards d’EUR, la politique de cohésion, par l’intermédiaire du </w:t>
      </w:r>
      <w:r w:rsidRPr="006B04AC">
        <w:rPr>
          <w:b/>
          <w:noProof/>
          <w:sz w:val="24"/>
          <w:lang w:val="fr-BE"/>
        </w:rPr>
        <w:t>Fonds social européen +</w:t>
      </w:r>
      <w:r w:rsidRPr="006B04AC">
        <w:rPr>
          <w:noProof/>
          <w:sz w:val="24"/>
          <w:lang w:val="fr-BE"/>
        </w:rPr>
        <w:t xml:space="preserve"> (FSE+), est le principal instrument de l’UE pour soutenir les investissements dans les compétences: il met 5,8 milliards d’EUR à disposition pour les compétences vertes et les emplois verts. Le </w:t>
      </w:r>
      <w:r w:rsidRPr="006B04AC">
        <w:rPr>
          <w:b/>
          <w:noProof/>
          <w:sz w:val="24"/>
          <w:lang w:val="fr-BE"/>
        </w:rPr>
        <w:t>Fonds européen de développement régional (FEDER)</w:t>
      </w:r>
      <w:r w:rsidRPr="006B04AC">
        <w:rPr>
          <w:noProof/>
          <w:sz w:val="24"/>
          <w:lang w:val="fr-BE"/>
        </w:rPr>
        <w:t xml:space="preserve"> complète le FSE+ par des investissements dans les compétences, l’éducation et la formation, y compris les infrastructures. Le </w:t>
      </w:r>
      <w:r w:rsidRPr="006B04AC">
        <w:rPr>
          <w:b/>
          <w:bCs/>
          <w:noProof/>
          <w:sz w:val="24"/>
          <w:lang w:val="fr-BE"/>
        </w:rPr>
        <w:t>mécanisme pour une transition juste (MTJ)</w:t>
      </w:r>
      <w:r w:rsidRPr="006B04AC">
        <w:rPr>
          <w:noProof/>
          <w:sz w:val="24"/>
          <w:lang w:val="fr-BE"/>
        </w:rPr>
        <w:t xml:space="preserve"> soutient la formation et le développement des compétences des travailleurs à hauteur de 3 milliards d’EUR afin de s’adapter à la transition écologique.</w:t>
      </w:r>
    </w:p>
    <w:p w14:paraId="406152D2" w14:textId="77777777" w:rsidR="006B04AC" w:rsidRPr="006B04AC" w:rsidRDefault="006B04AC" w:rsidP="006B04AC">
      <w:pPr>
        <w:spacing w:before="120" w:after="120" w:line="240" w:lineRule="auto"/>
        <w:rPr>
          <w:rFonts w:eastAsia="Calibri"/>
          <w:noProof/>
          <w:sz w:val="24"/>
          <w:szCs w:val="24"/>
          <w:lang w:val="fr-BE"/>
        </w:rPr>
      </w:pPr>
      <w:r w:rsidRPr="006B04AC">
        <w:rPr>
          <w:noProof/>
          <w:sz w:val="24"/>
          <w:lang w:val="fr-BE"/>
        </w:rPr>
        <w:t xml:space="preserve">La </w:t>
      </w:r>
      <w:r w:rsidRPr="006B04AC">
        <w:rPr>
          <w:b/>
          <w:bCs/>
          <w:noProof/>
          <w:sz w:val="24"/>
          <w:lang w:val="fr-BE"/>
        </w:rPr>
        <w:t>facilité pour la reprise et la résilience</w:t>
      </w:r>
      <w:r w:rsidRPr="006B04AC">
        <w:rPr>
          <w:noProof/>
          <w:sz w:val="24"/>
          <w:lang w:val="fr-BE"/>
        </w:rPr>
        <w:t xml:space="preserve"> apporte un soutien financier important: 14 États membres prévoient des mesures en faveur de la formation aux compétences vertes et aux emplois verts dans leurs plans nationaux pour la reprise et la résilience, pour un montant cumulé d’environ 1,5 milliard d’EUR.</w:t>
      </w:r>
    </w:p>
    <w:p w14:paraId="70B32B09" w14:textId="77777777" w:rsidR="006B04AC" w:rsidRPr="00BC482C" w:rsidRDefault="006B04AC" w:rsidP="006B04AC">
      <w:pPr>
        <w:spacing w:before="120" w:after="120" w:line="240" w:lineRule="auto"/>
        <w:rPr>
          <w:rFonts w:eastAsia="Calibri"/>
          <w:noProof/>
          <w:sz w:val="24"/>
          <w:szCs w:val="24"/>
          <w:lang w:val="fr-BE"/>
        </w:rPr>
      </w:pPr>
    </w:p>
    <w:p w14:paraId="2486F5ED" w14:textId="77777777" w:rsidR="006B04AC" w:rsidRPr="006B04AC" w:rsidRDefault="006B04AC" w:rsidP="006B04AC">
      <w:pPr>
        <w:pStyle w:val="Heading2"/>
        <w:rPr>
          <w:noProof/>
          <w:szCs w:val="24"/>
          <w:lang w:val="fr-BE"/>
        </w:rPr>
      </w:pPr>
      <w:r w:rsidRPr="006B04AC">
        <w:rPr>
          <w:noProof/>
          <w:lang w:val="fr-BE"/>
        </w:rPr>
        <w:t>Les échanges et les chaînes d’approvisionnement résilientes</w:t>
      </w:r>
    </w:p>
    <w:p w14:paraId="68955019"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L’UE salue les initiatives menées dans le monde entier sur la voie de la neutralité climatique et de la durabilité environnementale. Le meilleur moyen d’atteindre l’objectif de zéro émission nette est d’encourager les technologies à zéro émission nette en s’appuyant sur les principes de concurrence loyale et d’ouverture des échanges commerciaux. </w:t>
      </w:r>
      <w:r w:rsidRPr="006B04AC">
        <w:rPr>
          <w:b/>
          <w:noProof/>
          <w:sz w:val="24"/>
          <w:lang w:val="fr-BE"/>
        </w:rPr>
        <w:t>Le quatrième pilier du plan industriel du pacte vert porte sur la coopération mondiale et sur un commerce propice à la transition écologique.</w:t>
      </w:r>
      <w:r w:rsidRPr="006B04AC">
        <w:rPr>
          <w:noProof/>
          <w:sz w:val="24"/>
          <w:lang w:val="fr-BE"/>
        </w:rPr>
        <w:t xml:space="preserve"> </w:t>
      </w:r>
    </w:p>
    <w:p w14:paraId="432EC877" w14:textId="77777777" w:rsidR="006B04AC" w:rsidRPr="006B04AC" w:rsidRDefault="006B04AC" w:rsidP="006B04AC">
      <w:pPr>
        <w:spacing w:before="120" w:after="120" w:line="240" w:lineRule="auto"/>
        <w:rPr>
          <w:noProof/>
          <w:sz w:val="24"/>
          <w:szCs w:val="24"/>
          <w:lang w:val="fr-BE"/>
        </w:rPr>
      </w:pPr>
      <w:r w:rsidRPr="006B04AC">
        <w:rPr>
          <w:noProof/>
          <w:sz w:val="24"/>
          <w:lang w:val="fr-BE"/>
        </w:rPr>
        <w:t>L’UE tire sa force concurrentielle et politique de son statut de puissance commerciale. Elle reste une destination attrayante pour les investissements mondiaux. Nous n’aurions pas pu atteindre notre niveau de résilience et nous n’aurions pas pu surmonter les défis de ces dernières années sans les gains d’efficacité que le commerce permet et les partenariats gagnant</w:t>
      </w:r>
      <w:r w:rsidRPr="006B04AC">
        <w:rPr>
          <w:noProof/>
          <w:sz w:val="24"/>
          <w:lang w:val="fr-BE"/>
        </w:rPr>
        <w:noBreakHyphen/>
        <w:t>gagnant que nous avons mis en place avec des pays tiers. Dans le même temps, la multiplication des pratiques déloyales et coercitives nous a obligés à mettre au point de nouveaux outils et à faire respecter nos droits, afin de maintenir l’égalité des conditions de concurrence</w:t>
      </w:r>
      <w:r>
        <w:rPr>
          <w:rFonts w:eastAsia="Calibri"/>
          <w:noProof/>
          <w:sz w:val="24"/>
          <w:szCs w:val="24"/>
          <w:vertAlign w:val="superscript"/>
        </w:rPr>
        <w:footnoteReference w:id="38"/>
      </w:r>
      <w:r w:rsidRPr="006B04AC">
        <w:rPr>
          <w:noProof/>
          <w:sz w:val="24"/>
          <w:lang w:val="fr-BE"/>
        </w:rPr>
        <w:t>. Tous ces efforts visent à mener l’UE à une autonomie stratégique ouverte.</w:t>
      </w:r>
    </w:p>
    <w:p w14:paraId="74CD60F5" w14:textId="77777777" w:rsidR="006B04AC" w:rsidRPr="006B04AC" w:rsidRDefault="006B04AC" w:rsidP="006B04AC">
      <w:pPr>
        <w:spacing w:before="120" w:after="120" w:line="240" w:lineRule="auto"/>
        <w:rPr>
          <w:noProof/>
          <w:sz w:val="24"/>
          <w:szCs w:val="24"/>
          <w:lang w:val="fr-BE"/>
        </w:rPr>
      </w:pPr>
      <w:r w:rsidRPr="006B04AC">
        <w:rPr>
          <w:b/>
          <w:bCs/>
          <w:noProof/>
          <w:sz w:val="24"/>
          <w:lang w:val="fr-BE"/>
        </w:rPr>
        <w:t>L’ouverture des échanges commerciaux est un élément essentiel de notre stratégie</w:t>
      </w:r>
      <w:r w:rsidRPr="006B04AC">
        <w:rPr>
          <w:noProof/>
          <w:sz w:val="24"/>
          <w:lang w:val="fr-BE"/>
        </w:rPr>
        <w:t xml:space="preserve"> visant à maintenir la position de cheffe de file de l’UE dans le domaine des technologies à zéro émission nette. La politique commerciale permet au marché unique de rester connecté aux pôles de croissance en dehors de notre continent, tout en garantissant l’accès aux intrants essentiels à la transition écologique. D’une part, l’ouverture des échanges commerciaux crée des opportunités pour notre industrie, en ouvrant de nouveaux marchés d’exportation et en permettant de réaliser des économies d’échelle. D’autre part, elle donne accès aux matières premières, aux pièces détachées, aux composants ainsi qu’aux services dont notre industrie a besoin, étant donné que les deux tiers de nos importations sont des produits intermédiaires. </w:t>
      </w:r>
    </w:p>
    <w:p w14:paraId="060D8E25"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L’UE collaborera avec ses partenaires pour promouvoir la stabilité du commerce international et renforcer la sécurité juridique pour les investisseurs et les entreprises, en continuant de </w:t>
      </w:r>
      <w:r w:rsidRPr="006B04AC">
        <w:rPr>
          <w:b/>
          <w:bCs/>
          <w:noProof/>
          <w:sz w:val="24"/>
          <w:lang w:val="fr-BE"/>
        </w:rPr>
        <w:t>soutenir l’Organisation mondiale du commerce (OMC)</w:t>
      </w:r>
      <w:r w:rsidRPr="006B04AC">
        <w:rPr>
          <w:noProof/>
          <w:sz w:val="24"/>
          <w:lang w:val="fr-BE"/>
        </w:rPr>
        <w:t xml:space="preserve">, y compris en participant à sa réforme. L’OMC a un rôle à jouer dans le soutien à la neutralité climatique en offrant un forum de réflexion sur les aspects commerciaux de la transition écologique, en clarifiant la manière de promouvoir les investissements verts tout en limitant le plus possible les distorsions commerciales, ainsi qu’en renforçant les disciplines en matière de subventions qui ont une incidence négative tant sur le commerce que sur le climat. </w:t>
      </w:r>
    </w:p>
    <w:p w14:paraId="5112CDB9" w14:textId="77777777" w:rsidR="006B04AC" w:rsidRPr="006B04AC" w:rsidRDefault="006B04AC" w:rsidP="006B04AC">
      <w:pPr>
        <w:spacing w:before="120" w:after="120" w:line="240" w:lineRule="auto"/>
        <w:rPr>
          <w:noProof/>
          <w:sz w:val="24"/>
          <w:szCs w:val="24"/>
          <w:lang w:val="fr-BE"/>
        </w:rPr>
      </w:pPr>
      <w:r w:rsidRPr="006B04AC">
        <w:rPr>
          <w:noProof/>
          <w:sz w:val="24"/>
          <w:lang w:val="fr-BE"/>
        </w:rPr>
        <w:t>La Commission continuera par ailleurs à développer le réseau d’</w:t>
      </w:r>
      <w:r w:rsidRPr="006B04AC">
        <w:rPr>
          <w:b/>
          <w:bCs/>
          <w:noProof/>
          <w:sz w:val="24"/>
          <w:lang w:val="fr-BE"/>
        </w:rPr>
        <w:t>accords de libre-échange</w:t>
      </w:r>
      <w:r w:rsidRPr="006B04AC">
        <w:rPr>
          <w:noProof/>
          <w:sz w:val="24"/>
          <w:lang w:val="fr-BE"/>
        </w:rPr>
        <w:t xml:space="preserve"> de l’UE, tout en tirant le meilleur parti de ceux qui sont déjà en vigueur au moyen d’une mise en œuvre et d’une application effectives. En particulier, la Commission s’emploiera à conclure les négociations avec l’Australie d’ici l’été 2023 et à réaliser des progrès significatifs avec l’Inde et l’Indonésie, tout en explorant les possibilités avec d’autres partenaires dans la région indo-pacifique. La Commission proposera également la ratification des accords conclus avec le Chili, le Mexique et la Nouvelle-Zélande, et s’efforcera d’engranger des avancées avec le Mercosur. Elle s’efforcera également de finaliser son accord de partenariat économique avec le Kenya.</w:t>
      </w:r>
    </w:p>
    <w:p w14:paraId="596B1975" w14:textId="77777777" w:rsidR="006B04AC" w:rsidRPr="006B04AC" w:rsidRDefault="006B04AC" w:rsidP="006B04AC">
      <w:pPr>
        <w:spacing w:before="120" w:after="120" w:line="240" w:lineRule="auto"/>
        <w:rPr>
          <w:noProof/>
          <w:sz w:val="24"/>
          <w:szCs w:val="24"/>
          <w:lang w:val="fr-BE"/>
        </w:rPr>
      </w:pPr>
      <w:r w:rsidRPr="006B04AC">
        <w:rPr>
          <w:noProof/>
          <w:sz w:val="24"/>
          <w:lang w:val="fr-BE"/>
        </w:rPr>
        <w:t>La Commission soutiendra la transition propre en continuant à développer d’autres formes de coopération avec les partenaires, au</w:t>
      </w:r>
      <w:r w:rsidRPr="006B04AC">
        <w:rPr>
          <w:noProof/>
          <w:sz w:val="24"/>
          <w:lang w:val="fr-BE"/>
        </w:rPr>
        <w:noBreakHyphen/>
        <w:t>delà des accords commerciaux traditionnels. Le Conseil du commerce et des technologies UE</w:t>
      </w:r>
      <w:r w:rsidRPr="006B04AC">
        <w:rPr>
          <w:noProof/>
          <w:sz w:val="24"/>
          <w:lang w:val="fr-BE"/>
        </w:rPr>
        <w:noBreakHyphen/>
        <w:t xml:space="preserve">États-Unis et celui qui est en préparation avec l’Inde mettent en place un nouvel outil de coopération. Grâce aux travaux du </w:t>
      </w:r>
      <w:r w:rsidRPr="006B04AC">
        <w:rPr>
          <w:b/>
          <w:noProof/>
          <w:sz w:val="24"/>
          <w:lang w:val="fr-BE"/>
        </w:rPr>
        <w:t>groupe de travail UE-États-Unis concernant la loi sur la réduction de l’inflation</w:t>
      </w:r>
      <w:r w:rsidRPr="006B04AC">
        <w:rPr>
          <w:noProof/>
          <w:sz w:val="24"/>
          <w:lang w:val="fr-BE"/>
        </w:rPr>
        <w:t xml:space="preserve">, l’UE et les États-Unis s’emploient à trouver des solutions pragmatiques aux préoccupations de l’UE, en vue de maintenir et de renforcer les chaînes de valeur transatlantiques et d’assurer une coopération positive, dans l’intérêt commun de parvenir au zéro émission nette. </w:t>
      </w:r>
    </w:p>
    <w:p w14:paraId="7CBC82E1"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L’UE a élaboré des </w:t>
      </w:r>
      <w:r w:rsidRPr="006B04AC">
        <w:rPr>
          <w:b/>
          <w:noProof/>
          <w:sz w:val="24"/>
          <w:lang w:val="fr-BE"/>
        </w:rPr>
        <w:t>accords de facilitation des investissements durables (AFID)</w:t>
      </w:r>
      <w:r w:rsidRPr="006B04AC">
        <w:rPr>
          <w:noProof/>
          <w:sz w:val="24"/>
          <w:lang w:val="fr-BE"/>
        </w:rPr>
        <w:t xml:space="preserve">, en particulier avec des partenaires africains, afin de faciliter l’attraction et l’expansion des investissements tout en intégrant des engagements en matière d’environnement et de droit du travail. Le climat et l’énergie sont des domaines clés pour les partenariats dans le cadre de la </w:t>
      </w:r>
      <w:r w:rsidRPr="006B04AC">
        <w:rPr>
          <w:b/>
          <w:noProof/>
          <w:sz w:val="24"/>
          <w:lang w:val="fr-BE"/>
        </w:rPr>
        <w:t>stratégie «Global Gateway»</w:t>
      </w:r>
      <w:r w:rsidRPr="006B04AC">
        <w:rPr>
          <w:noProof/>
          <w:sz w:val="24"/>
          <w:lang w:val="fr-BE"/>
        </w:rPr>
        <w:t>, qui est la contribution de l’UE à la réduction du déficit d’investissement mondial dans le monde. En outre, l’UE soutiendra les pays en développement dans les efforts qu’ils déploient pour s’adapter et se conformer à ses exigences autonomes en matière de durabilité. L’UE développera encore son dialogue politique et ses actions concrètes en matière de recherche et d’innovation avec l’Union pour la Méditerranée et l’Union africaine, afin de promouvoir la coopération dans le domaine des énergies renouvelables et de l’hydrogène vert</w:t>
      </w:r>
      <w:r>
        <w:rPr>
          <w:rStyle w:val="FootnoteReference"/>
          <w:noProof/>
          <w:sz w:val="24"/>
          <w:szCs w:val="24"/>
        </w:rPr>
        <w:footnoteReference w:id="39"/>
      </w:r>
      <w:r w:rsidRPr="006B04AC">
        <w:rPr>
          <w:noProof/>
          <w:sz w:val="24"/>
          <w:lang w:val="fr-BE"/>
        </w:rPr>
        <w:t>. La Commission propose que les investissements dans d’autres domaines de partenariat clés, tels que le numérique ou les transports, soient davantage alignés sur l’objectif de zéro émission nette. La Commission continuera de soutenir les investissements durables dans l’énergie, les transports et la connectivité numérique par la mise en œuvre de plans économiques et d’investissement pour les Balkans occidentaux et les pays du Partenariat oriental et du voisinage méridional.</w:t>
      </w:r>
    </w:p>
    <w:p w14:paraId="66F5E8B9" w14:textId="77777777" w:rsidR="006B04AC" w:rsidRPr="006B04AC" w:rsidRDefault="006B04AC" w:rsidP="006B04AC">
      <w:pPr>
        <w:rPr>
          <w:noProof/>
          <w:sz w:val="24"/>
          <w:szCs w:val="24"/>
          <w:lang w:val="fr-BE"/>
        </w:rPr>
      </w:pPr>
      <w:r w:rsidRPr="006B04AC">
        <w:rPr>
          <w:noProof/>
          <w:sz w:val="24"/>
          <w:lang w:val="fr-BE"/>
        </w:rPr>
        <w:t xml:space="preserve">Un certain nombre de </w:t>
      </w:r>
      <w:r w:rsidRPr="006B04AC">
        <w:rPr>
          <w:b/>
          <w:bCs/>
          <w:noProof/>
          <w:sz w:val="24"/>
          <w:lang w:val="fr-BE"/>
        </w:rPr>
        <w:t>nouvelles initiatives</w:t>
      </w:r>
      <w:r w:rsidRPr="006B04AC">
        <w:rPr>
          <w:noProof/>
          <w:sz w:val="24"/>
          <w:lang w:val="fr-BE"/>
        </w:rPr>
        <w:t xml:space="preserve"> seront également développées:</w:t>
      </w:r>
    </w:p>
    <w:p w14:paraId="02EDEC22" w14:textId="77777777" w:rsidR="006B04AC" w:rsidRPr="006B04AC" w:rsidRDefault="006B04AC" w:rsidP="006B04AC">
      <w:pPr>
        <w:pStyle w:val="ListParagraph"/>
        <w:numPr>
          <w:ilvl w:val="0"/>
          <w:numId w:val="4"/>
        </w:numPr>
        <w:spacing w:line="240" w:lineRule="auto"/>
        <w:ind w:left="714" w:hanging="357"/>
        <w:rPr>
          <w:noProof/>
          <w:sz w:val="24"/>
          <w:szCs w:val="24"/>
          <w:lang w:val="fr-BE"/>
        </w:rPr>
      </w:pPr>
      <w:r w:rsidRPr="006B04AC">
        <w:rPr>
          <w:noProof/>
          <w:sz w:val="24"/>
          <w:lang w:val="fr-BE"/>
        </w:rPr>
        <w:t xml:space="preserve">nous travaillerons avec des partenaires partageant les mêmes valeurs à la mise en place d’un </w:t>
      </w:r>
      <w:r w:rsidRPr="006B04AC">
        <w:rPr>
          <w:b/>
          <w:noProof/>
          <w:sz w:val="24"/>
          <w:lang w:val="fr-BE"/>
        </w:rPr>
        <w:t>club des matières premières critiques</w:t>
      </w:r>
      <w:r w:rsidRPr="006B04AC">
        <w:rPr>
          <w:noProof/>
          <w:sz w:val="24"/>
          <w:lang w:val="fr-BE"/>
        </w:rPr>
        <w:t xml:space="preserve"> afin de garantir un approvisionnement mondial sûr, durable et abordable en matières premières essentielles à notre transition écologique et numérique, avec une base industrielle compétitive et diversifiée. En s’appuyant sur les initiatives internationales existantes, ce club élaborera des principes pour réunir les pays «consommateurs» de matières premières et les pays riches en ressources, et favorisera la coopération afin de permettre aux pays en développement riches en ressources de progresser dans la chaîne de valeur; </w:t>
      </w:r>
    </w:p>
    <w:p w14:paraId="7C888F8B" w14:textId="77777777" w:rsidR="006B04AC" w:rsidRPr="006B04AC" w:rsidRDefault="006B04AC" w:rsidP="006B04AC">
      <w:pPr>
        <w:pStyle w:val="ListParagraph"/>
        <w:numPr>
          <w:ilvl w:val="0"/>
          <w:numId w:val="4"/>
        </w:numPr>
        <w:spacing w:line="240" w:lineRule="auto"/>
        <w:ind w:left="714" w:hanging="357"/>
        <w:rPr>
          <w:noProof/>
          <w:sz w:val="24"/>
          <w:szCs w:val="24"/>
          <w:lang w:val="fr-BE"/>
        </w:rPr>
      </w:pPr>
      <w:r w:rsidRPr="006B04AC">
        <w:rPr>
          <w:noProof/>
          <w:sz w:val="24"/>
          <w:lang w:val="fr-BE"/>
        </w:rPr>
        <w:t xml:space="preserve">nous concevrons des </w:t>
      </w:r>
      <w:r w:rsidRPr="006B04AC">
        <w:rPr>
          <w:b/>
          <w:noProof/>
          <w:sz w:val="24"/>
          <w:lang w:val="fr-BE"/>
        </w:rPr>
        <w:t>partenariats industriels de technologies propres/à zéro émission nette</w:t>
      </w:r>
      <w:r>
        <w:rPr>
          <w:rStyle w:val="FootnoteReference"/>
          <w:b/>
          <w:bCs/>
          <w:noProof/>
          <w:sz w:val="24"/>
          <w:szCs w:val="24"/>
        </w:rPr>
        <w:footnoteReference w:id="40"/>
      </w:r>
      <w:r w:rsidRPr="006B04AC">
        <w:rPr>
          <w:noProof/>
          <w:sz w:val="24"/>
          <w:lang w:val="fr-BE"/>
        </w:rPr>
        <w:t xml:space="preserve"> afin de promouvoir l’adoption de technologies propres dans le monde et de soutenir les capacités industrielles de l’UE en vue de rendre possible la transition mondiale vers des énergies propres; </w:t>
      </w:r>
    </w:p>
    <w:p w14:paraId="1DF7B45F" w14:textId="77777777" w:rsidR="006B04AC" w:rsidRPr="006B04AC" w:rsidRDefault="006B04AC" w:rsidP="006B04AC">
      <w:pPr>
        <w:pStyle w:val="ListParagraph"/>
        <w:numPr>
          <w:ilvl w:val="0"/>
          <w:numId w:val="4"/>
        </w:numPr>
        <w:spacing w:line="240" w:lineRule="auto"/>
        <w:ind w:left="714" w:hanging="357"/>
        <w:rPr>
          <w:noProof/>
          <w:sz w:val="24"/>
          <w:szCs w:val="24"/>
          <w:lang w:val="fr-BE"/>
        </w:rPr>
      </w:pPr>
      <w:r w:rsidRPr="006B04AC">
        <w:rPr>
          <w:noProof/>
          <w:sz w:val="24"/>
          <w:lang w:val="fr-BE"/>
        </w:rPr>
        <w:t xml:space="preserve">nous élaborerons une </w:t>
      </w:r>
      <w:r w:rsidRPr="006B04AC">
        <w:rPr>
          <w:b/>
          <w:bCs/>
          <w:noProof/>
          <w:sz w:val="24"/>
          <w:lang w:val="fr-BE"/>
        </w:rPr>
        <w:t>stratégie en matière de crédits à l’exportation</w:t>
      </w:r>
      <w:r w:rsidRPr="006B04AC">
        <w:rPr>
          <w:noProof/>
          <w:sz w:val="24"/>
          <w:lang w:val="fr-BE"/>
        </w:rPr>
        <w:t xml:space="preserve"> comprenant une </w:t>
      </w:r>
      <w:r w:rsidRPr="006B04AC">
        <w:rPr>
          <w:b/>
          <w:bCs/>
          <w:noProof/>
          <w:sz w:val="24"/>
          <w:lang w:val="fr-BE"/>
        </w:rPr>
        <w:t>facilité de crédit à l’exportation de l’UE</w:t>
      </w:r>
      <w:r w:rsidRPr="006B04AC">
        <w:rPr>
          <w:noProof/>
          <w:sz w:val="24"/>
          <w:lang w:val="fr-BE"/>
        </w:rPr>
        <w:t xml:space="preserve"> et une </w:t>
      </w:r>
      <w:r w:rsidRPr="006B04AC">
        <w:rPr>
          <w:b/>
          <w:bCs/>
          <w:noProof/>
          <w:sz w:val="24"/>
          <w:lang w:val="fr-BE"/>
        </w:rPr>
        <w:t>coordination renforcée des instruments financiers de l’UE</w:t>
      </w:r>
      <w:r w:rsidRPr="006B04AC">
        <w:rPr>
          <w:noProof/>
          <w:sz w:val="24"/>
          <w:lang w:val="fr-BE"/>
        </w:rPr>
        <w:t>.</w:t>
      </w:r>
      <w:r w:rsidRPr="006B04AC">
        <w:rPr>
          <w:b/>
          <w:noProof/>
          <w:sz w:val="24"/>
          <w:lang w:val="fr-BE"/>
        </w:rPr>
        <w:t xml:space="preserve"> </w:t>
      </w:r>
      <w:r w:rsidRPr="006B04AC">
        <w:rPr>
          <w:noProof/>
          <w:sz w:val="24"/>
          <w:lang w:val="fr-BE"/>
        </w:rPr>
        <w:t>Nous pourrons ainsi favoriser la cohérence avec les politiques de l’UE telles que le pacte vert pour l’Europe ou la stratégie «Global Gateway», qui comportent des engagements à investir dans des infrastructures correspondant à des trajectoires menant à un niveau de zéro émission nette.</w:t>
      </w:r>
    </w:p>
    <w:p w14:paraId="42CF6812" w14:textId="77777777" w:rsidR="006B04AC" w:rsidRPr="006B04AC" w:rsidRDefault="006B04AC" w:rsidP="006B04AC">
      <w:pPr>
        <w:spacing w:before="120" w:after="120" w:line="240" w:lineRule="auto"/>
        <w:rPr>
          <w:noProof/>
          <w:sz w:val="24"/>
          <w:szCs w:val="24"/>
          <w:lang w:val="fr-BE"/>
        </w:rPr>
      </w:pPr>
      <w:r w:rsidRPr="006B04AC">
        <w:rPr>
          <w:b/>
          <w:noProof/>
          <w:sz w:val="24"/>
          <w:lang w:val="fr-BE"/>
        </w:rPr>
        <w:t>L’ouverture n’est vertueuse que si l’équité est garantie.</w:t>
      </w:r>
      <w:r w:rsidRPr="006B04AC">
        <w:rPr>
          <w:noProof/>
          <w:sz w:val="24"/>
          <w:lang w:val="fr-BE"/>
        </w:rPr>
        <w:t xml:space="preserve"> Les pays du monde entier ont mis au point de nouvelles initiatives pour soutenir la transition écologique. Lorsque l’empreinte publique sur les marchés privés est trop importante, les distorsions créent des conditions de concurrence inégales et une concurrence déloyale apparaît. La question se pose avec une acuité particulière dans les pays sans économie de marché. L’UE souhaite apporter une réponse énergique pour faire face à ces tendances. </w:t>
      </w:r>
    </w:p>
    <w:p w14:paraId="29D83FED"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En premier lieu, la Commission continuera d’utiliser pleinement les </w:t>
      </w:r>
      <w:r w:rsidRPr="006B04AC">
        <w:rPr>
          <w:b/>
          <w:bCs/>
          <w:noProof/>
          <w:sz w:val="24"/>
          <w:lang w:val="fr-BE"/>
        </w:rPr>
        <w:t>instruments de défense commerciale (IDC)</w:t>
      </w:r>
      <w:r w:rsidRPr="006B04AC">
        <w:rPr>
          <w:noProof/>
          <w:sz w:val="24"/>
          <w:lang w:val="fr-BE"/>
        </w:rPr>
        <w:t xml:space="preserve"> pour défendre le marché unique contre les pratiques commerciales déloyales telles que le dumping et les subventions générant des distorsions, en mettant l’accent sur les secteurs essentiels pour atteindre l’objectif de zéro émission nette de l’UE. Nous prendrons également de nouvelles initiatives pour veiller à ce que nos mesures ne soient pas contournées.</w:t>
      </w:r>
    </w:p>
    <w:p w14:paraId="68192237"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Alors que les incitations écologiques se multiplient dans le monde entier, la Commission veillera à ce que les subventions étrangères ne nuisent pas injustement à la compétitivité de l’industrie européenne. Le </w:t>
      </w:r>
      <w:r w:rsidRPr="006B04AC">
        <w:rPr>
          <w:b/>
          <w:bCs/>
          <w:noProof/>
          <w:sz w:val="24"/>
          <w:lang w:val="fr-BE"/>
        </w:rPr>
        <w:t>règlement relatif aux subventions étrangères</w:t>
      </w:r>
      <w:r w:rsidRPr="006B04AC">
        <w:rPr>
          <w:noProof/>
          <w:sz w:val="24"/>
          <w:lang w:val="fr-BE"/>
        </w:rPr>
        <w:t xml:space="preserve"> est entré en vigueur le 12 janvier 2023; il fournit un outil supplémentaire pour enquêter sur les subventions accordées par des pays tiers, en tenant compte de leur incidence spécifique sur le marché intérieur. L’UE collaborera également avec ses partenaires pour recenser les subventions générant des distorsions ou les pratiques commerciales déloyales liées au vol de propriété intellectuelle ou au transfert forcé de technologies dans des pays sans économie de marché, comme la Chine, et pour y remédier.</w:t>
      </w:r>
    </w:p>
    <w:p w14:paraId="27427DE3" w14:textId="77777777" w:rsidR="006B04AC" w:rsidRPr="006B04AC" w:rsidRDefault="006B04AC" w:rsidP="006B04AC">
      <w:pPr>
        <w:spacing w:before="120" w:after="120" w:line="240" w:lineRule="auto"/>
        <w:rPr>
          <w:noProof/>
          <w:sz w:val="24"/>
          <w:szCs w:val="24"/>
          <w:lang w:val="fr-BE"/>
        </w:rPr>
      </w:pPr>
      <w:r w:rsidRPr="006B04AC">
        <w:rPr>
          <w:noProof/>
          <w:sz w:val="24"/>
          <w:lang w:val="fr-BE"/>
        </w:rPr>
        <w:t>La Commission encouragera également la réciprocité en ce qui concerne l’accès aux marchés publics. La Commission est prête à déployer l’</w:t>
      </w:r>
      <w:r w:rsidRPr="006B04AC">
        <w:rPr>
          <w:b/>
          <w:bCs/>
          <w:noProof/>
          <w:sz w:val="24"/>
          <w:lang w:val="fr-BE"/>
        </w:rPr>
        <w:t>instrument relatif aux marchés publics internationaux</w:t>
      </w:r>
      <w:r w:rsidRPr="006B04AC">
        <w:rPr>
          <w:noProof/>
          <w:sz w:val="24"/>
          <w:lang w:val="fr-BE"/>
        </w:rPr>
        <w:t xml:space="preserve"> pour la première fois en 2023, afin de plaider pour que les entreprises de l’UE bénéficient d’un accès égal aux marchés publics dans les pays tiers.</w:t>
      </w:r>
    </w:p>
    <w:p w14:paraId="3CE42224" w14:textId="77777777" w:rsidR="006B04AC" w:rsidRPr="006B04AC" w:rsidRDefault="006B04AC" w:rsidP="006B04AC">
      <w:pPr>
        <w:spacing w:before="120" w:after="120" w:line="240" w:lineRule="auto"/>
        <w:rPr>
          <w:noProof/>
          <w:sz w:val="24"/>
          <w:szCs w:val="24"/>
          <w:lang w:val="fr-BE"/>
        </w:rPr>
      </w:pPr>
      <w:r w:rsidRPr="006B04AC">
        <w:rPr>
          <w:noProof/>
          <w:sz w:val="24"/>
          <w:lang w:val="fr-BE"/>
        </w:rPr>
        <w:t xml:space="preserve">Enfin, en cette période de tensions géopolitiques grandissantes, l’UE et ses États membres devraient agir de concert pour défendre leurs intérêts. Le </w:t>
      </w:r>
      <w:r w:rsidRPr="006B04AC">
        <w:rPr>
          <w:b/>
          <w:noProof/>
          <w:sz w:val="24"/>
          <w:lang w:val="fr-BE"/>
        </w:rPr>
        <w:t>cadre de l’UE pour le filtrage des investissements directs étrangers (IDE) dans l’Union</w:t>
      </w:r>
      <w:r w:rsidRPr="006B04AC">
        <w:rPr>
          <w:noProof/>
          <w:sz w:val="24"/>
          <w:lang w:val="fr-BE"/>
        </w:rPr>
        <w:t xml:space="preserve"> permet une coordination efficace pour préserver les principaux actifs européens et protéger la sécurité collective. Nous sommes actuellement en train d’examiner le fonctionnement du mécanisme et d’évaluer la manière dont son efficacité pourrait encore être améliorée sans compromettre notre ouverture aux IDE. Dans le même temps, nous coordonnerons notre action avec nos alliés, y compris dans le programme de travail sur la sécurité économique présenté par le Japon, qui exerce la présidence du G7. Une fois adopté, l’</w:t>
      </w:r>
      <w:r w:rsidRPr="006B04AC">
        <w:rPr>
          <w:b/>
          <w:bCs/>
          <w:noProof/>
          <w:sz w:val="24"/>
          <w:lang w:val="fr-BE"/>
        </w:rPr>
        <w:t>instrument anticoercitif</w:t>
      </w:r>
      <w:r w:rsidRPr="006B04AC">
        <w:rPr>
          <w:noProof/>
          <w:sz w:val="24"/>
          <w:lang w:val="fr-BE"/>
        </w:rPr>
        <w:t xml:space="preserve"> de l’UE fournira les outils appropriés pour réagir rapidement aux intimidations économiques.</w:t>
      </w:r>
    </w:p>
    <w:p w14:paraId="16FE8D28" w14:textId="77777777" w:rsidR="006B04AC" w:rsidRPr="006B04AC" w:rsidRDefault="006B04AC" w:rsidP="006B04AC">
      <w:pPr>
        <w:spacing w:before="120" w:after="120" w:line="240" w:lineRule="auto"/>
        <w:rPr>
          <w:noProof/>
          <w:sz w:val="24"/>
          <w:szCs w:val="24"/>
          <w:lang w:val="fr-BE"/>
        </w:rPr>
      </w:pPr>
    </w:p>
    <w:p w14:paraId="3E79F559" w14:textId="77777777" w:rsidR="006B04AC" w:rsidRPr="003F1D58" w:rsidRDefault="006B04AC" w:rsidP="006B04AC">
      <w:pPr>
        <w:pStyle w:val="Heading1"/>
        <w:spacing w:before="120" w:after="120"/>
        <w:rPr>
          <w:rFonts w:eastAsia="Calibri"/>
          <w:noProof/>
          <w:szCs w:val="24"/>
        </w:rPr>
      </w:pPr>
      <w:r>
        <w:rPr>
          <w:noProof/>
        </w:rPr>
        <w:t>Conclusions</w:t>
      </w:r>
    </w:p>
    <w:p w14:paraId="67C62B8D" w14:textId="77777777" w:rsidR="006B04AC" w:rsidRPr="006B04AC" w:rsidRDefault="006B04AC" w:rsidP="006B04AC">
      <w:pPr>
        <w:spacing w:before="120" w:after="120" w:line="240" w:lineRule="auto"/>
        <w:rPr>
          <w:rFonts w:eastAsia="Calibri"/>
          <w:noProof/>
          <w:sz w:val="24"/>
          <w:szCs w:val="24"/>
          <w:lang w:val="fr-BE"/>
        </w:rPr>
      </w:pPr>
      <w:r w:rsidRPr="006B04AC">
        <w:rPr>
          <w:b/>
          <w:noProof/>
          <w:sz w:val="24"/>
          <w:lang w:val="fr-BE"/>
        </w:rPr>
        <w:t>L’UE reste une destination attrayante pour les investissements durables.</w:t>
      </w:r>
      <w:r w:rsidRPr="006B04AC">
        <w:rPr>
          <w:noProof/>
          <w:sz w:val="24"/>
          <w:lang w:val="fr-BE"/>
        </w:rPr>
        <w:t xml:space="preserve"> Au cours des 30 dernières années, le marché unique européen a généré des avantages économiques très importants, en rehaussant le PIB annuel de l’UE de 8-9 % en moyenne</w:t>
      </w:r>
      <w:r>
        <w:rPr>
          <w:rStyle w:val="FootnoteReference"/>
          <w:noProof/>
          <w:sz w:val="24"/>
          <w:szCs w:val="24"/>
        </w:rPr>
        <w:footnoteReference w:id="41"/>
      </w:r>
      <w:r w:rsidRPr="006B04AC">
        <w:rPr>
          <w:noProof/>
          <w:sz w:val="24"/>
          <w:lang w:val="fr-BE"/>
        </w:rPr>
        <w:t xml:space="preserve">. Le modèle économique de l’UE repose sur l’ouverture et le modèle social européen garantit l’éducation, la protection sociale des travailleurs, ainsi que la protection de la santé et de l’environnement. Nous offrons un environnement favorable aux entreprises (notamment grâce à la qualité des infrastructures et à l’état de droit). Conjugué à une concurrence loyale et à un cadre réglementaire unique axé sur la double transition numérique et écologique, cet environnement assure la prévisibilité nécessaire aux investisseurs. </w:t>
      </w:r>
    </w:p>
    <w:p w14:paraId="3881A05B" w14:textId="77777777" w:rsidR="006B04AC" w:rsidRPr="006B04AC" w:rsidRDefault="006B04AC" w:rsidP="006B04AC">
      <w:pPr>
        <w:spacing w:before="120" w:after="120" w:line="240" w:lineRule="auto"/>
        <w:rPr>
          <w:rFonts w:eastAsia="Calibri"/>
          <w:b/>
          <w:bCs/>
          <w:noProof/>
          <w:sz w:val="24"/>
          <w:szCs w:val="24"/>
          <w:lang w:val="fr-BE"/>
        </w:rPr>
      </w:pPr>
      <w:r w:rsidRPr="006B04AC">
        <w:rPr>
          <w:b/>
          <w:noProof/>
          <w:sz w:val="24"/>
          <w:lang w:val="fr-BE"/>
        </w:rPr>
        <w:t>Le plan industriel du pacte vert vise à simplifier, accélérer et harmoniser les incitations afin de préserver la compétitivité et l’attractivité de l’UE en tant qu’espace d’investissement pour l’industrie à zéro émission nette. Ensemble, l’UE et ses États membres peuvent adresser un signal fort aux entreprises, tout en accélérant la double transition.</w:t>
      </w:r>
    </w:p>
    <w:p w14:paraId="5FF19E9F" w14:textId="77777777" w:rsidR="006B04AC" w:rsidRPr="006B04AC" w:rsidRDefault="006B04AC" w:rsidP="006B04AC">
      <w:pPr>
        <w:spacing w:before="120" w:after="120" w:line="240" w:lineRule="auto"/>
        <w:rPr>
          <w:rFonts w:eastAsia="Calibri"/>
          <w:noProof/>
          <w:sz w:val="24"/>
          <w:szCs w:val="24"/>
          <w:lang w:val="fr-BE"/>
        </w:rPr>
      </w:pPr>
      <w:r w:rsidRPr="006B04AC">
        <w:rPr>
          <w:noProof/>
          <w:sz w:val="24"/>
          <w:lang w:val="fr-BE"/>
        </w:rPr>
        <w:t xml:space="preserve">À court terme, et en particulier pour faire face à la concurrence déloyale dans un contexte de prix de l’énergie élevés, des mesures supplémentaires temporaires et ciblées sont justifiées pour soutenir l’industrie européenne. Il convient d’adapter l’environnement réglementaire à une réalité nouvelle. Il devrait être plus simple et plus rapide de mieux servir les objectifs de l’UE en faveur d’une économie et d’une société durables à zéro émission nette. </w:t>
      </w:r>
    </w:p>
    <w:p w14:paraId="535F1240" w14:textId="77777777" w:rsidR="006B04AC" w:rsidRPr="006B04AC" w:rsidRDefault="006B04AC" w:rsidP="006B04AC">
      <w:pPr>
        <w:spacing w:before="120" w:after="120" w:line="240" w:lineRule="auto"/>
        <w:rPr>
          <w:rFonts w:eastAsia="Calibri"/>
          <w:noProof/>
          <w:sz w:val="24"/>
          <w:szCs w:val="24"/>
          <w:lang w:val="fr-BE"/>
        </w:rPr>
      </w:pPr>
      <w:r w:rsidRPr="006B04AC">
        <w:rPr>
          <w:noProof/>
          <w:sz w:val="24"/>
          <w:lang w:val="fr-BE"/>
        </w:rPr>
        <w:t>La présente communication constitue une nouvelle étape dans la mise en œuvre du programme de Versailles</w:t>
      </w:r>
      <w:r>
        <w:rPr>
          <w:rStyle w:val="FootnoteReference"/>
          <w:noProof/>
        </w:rPr>
        <w:footnoteReference w:id="42"/>
      </w:r>
      <w:r w:rsidRPr="006B04AC">
        <w:rPr>
          <w:noProof/>
          <w:sz w:val="24"/>
          <w:lang w:val="fr-BE"/>
        </w:rPr>
        <w:t>. Elle présente la réponse de la Commission aux défis à court terme auxquels l’industrie européenne est confrontée. La Commission tiendra également compte de l’appel du Conseil européen à présenter, avant sa réunion de mars, une stratégie plus large visant à stimuler la compétitivité à long terme au sein du marché unique, dont on célèbre le 30</w:t>
      </w:r>
      <w:r w:rsidRPr="006B04AC">
        <w:rPr>
          <w:noProof/>
          <w:sz w:val="24"/>
          <w:vertAlign w:val="superscript"/>
          <w:lang w:val="fr-BE"/>
        </w:rPr>
        <w:t>e</w:t>
      </w:r>
      <w:r w:rsidRPr="006B04AC">
        <w:rPr>
          <w:noProof/>
          <w:sz w:val="24"/>
          <w:lang w:val="fr-BE"/>
        </w:rPr>
        <w:t> anniversaire. La Commission invite également les États membres à parvenir à un accord sur le réexamen de la gouvernance économique.</w:t>
      </w:r>
    </w:p>
    <w:p w14:paraId="014C0EF3" w14:textId="77777777" w:rsidR="006B04AC" w:rsidRPr="006B04AC" w:rsidRDefault="006B04AC" w:rsidP="006B04AC">
      <w:pPr>
        <w:spacing w:before="120" w:after="120" w:line="240" w:lineRule="auto"/>
        <w:rPr>
          <w:rFonts w:eastAsia="Calibri"/>
          <w:noProof/>
          <w:sz w:val="24"/>
          <w:szCs w:val="24"/>
          <w:lang w:val="fr-BE"/>
        </w:rPr>
      </w:pPr>
      <w:r w:rsidRPr="006B04AC">
        <w:rPr>
          <w:noProof/>
          <w:sz w:val="24"/>
          <w:lang w:val="fr-BE"/>
        </w:rPr>
        <w:t>La Commission est prête à soutenir l’industrie et la société dans leur transition vers la durabilité, en encourageant les investissements dans les nouvelles technologies et en fournissant des financements lorsque cela est possible et nécessaire. Pour que la population de l’UE soit dotée des compétences requises, la formation et l’éducation doivent être un élément essentiel de notre avenir. Parce que nous vivons dans un monde interconnecté et que la transition écologique est une réalité au</w:t>
      </w:r>
      <w:r w:rsidRPr="006B04AC">
        <w:rPr>
          <w:noProof/>
          <w:sz w:val="24"/>
          <w:lang w:val="fr-BE"/>
        </w:rPr>
        <w:noBreakHyphen/>
        <w:t xml:space="preserve">delà des frontières de l’UE, la Commission continuera à dialoguer et à travailler avec nos partenaires commerciaux, dans une approche ouverte mais résolue. </w:t>
      </w:r>
    </w:p>
    <w:p w14:paraId="5DE630C1" w14:textId="77777777" w:rsidR="006B04AC" w:rsidRPr="006B04AC" w:rsidRDefault="006B04AC" w:rsidP="006B04AC">
      <w:pPr>
        <w:spacing w:before="120" w:after="120" w:line="240" w:lineRule="auto"/>
        <w:rPr>
          <w:noProof/>
          <w:sz w:val="24"/>
          <w:szCs w:val="24"/>
          <w:lang w:val="fr-BE"/>
        </w:rPr>
      </w:pPr>
      <w:r w:rsidRPr="006B04AC">
        <w:rPr>
          <w:b/>
          <w:noProof/>
          <w:sz w:val="24"/>
          <w:lang w:val="fr-BE"/>
        </w:rPr>
        <w:t>La Commission invite les dirigeants, les gouvernements, les législateurs et les partenaires sociaux à soutenir la mise en œuvre du présent plan et est prête à le traduire en propositions concrètes fondées sur l’évaluation des besoins en cours avant le Conseil européen de mars.</w:t>
      </w:r>
    </w:p>
    <w:sectPr w:rsidR="006B04AC" w:rsidRPr="006B04AC" w:rsidSect="00520813">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35CBF" w14:textId="77777777" w:rsidR="00C40898" w:rsidRDefault="00C40898" w:rsidP="002A63DC">
      <w:pPr>
        <w:spacing w:line="240" w:lineRule="auto"/>
      </w:pPr>
      <w:r>
        <w:separator/>
      </w:r>
    </w:p>
  </w:endnote>
  <w:endnote w:type="continuationSeparator" w:id="0">
    <w:p w14:paraId="3FEC97B2" w14:textId="77777777" w:rsidR="00C40898" w:rsidRDefault="00C40898" w:rsidP="002A63DC">
      <w:pPr>
        <w:spacing w:line="240" w:lineRule="auto"/>
      </w:pPr>
      <w:r>
        <w:continuationSeparator/>
      </w:r>
    </w:p>
  </w:endnote>
  <w:endnote w:type="continuationNotice" w:id="1">
    <w:p w14:paraId="5AC2ED5D" w14:textId="77777777" w:rsidR="00C40898" w:rsidRDefault="00C408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35394" w14:textId="77777777" w:rsidR="000E38CB" w:rsidRPr="000E38CB" w:rsidRDefault="000E38CB" w:rsidP="000E3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84DF5" w14:textId="589D9F08" w:rsidR="00E93CFA" w:rsidRPr="000E38CB" w:rsidRDefault="000E38CB" w:rsidP="000E38CB">
    <w:pPr>
      <w:pStyle w:val="FooterCoverPage"/>
      <w:rPr>
        <w:rFonts w:ascii="Arial" w:hAnsi="Arial" w:cs="Arial"/>
        <w:b/>
        <w:sz w:val="48"/>
      </w:rPr>
    </w:pPr>
    <w:r w:rsidRPr="000E38CB">
      <w:rPr>
        <w:rFonts w:ascii="Arial" w:hAnsi="Arial" w:cs="Arial"/>
        <w:b/>
        <w:sz w:val="48"/>
      </w:rPr>
      <w:t>FR</w:t>
    </w:r>
    <w:r w:rsidRPr="000E38CB">
      <w:rPr>
        <w:rFonts w:ascii="Arial" w:hAnsi="Arial" w:cs="Arial"/>
        <w:b/>
        <w:sz w:val="48"/>
      </w:rPr>
      <w:tab/>
    </w:r>
    <w:r w:rsidRPr="000E38CB">
      <w:rPr>
        <w:rFonts w:ascii="Arial" w:hAnsi="Arial" w:cs="Arial"/>
        <w:b/>
        <w:sz w:val="48"/>
      </w:rPr>
      <w:tab/>
    </w:r>
    <w:r w:rsidRPr="000E38CB">
      <w:tab/>
    </w:r>
    <w:r w:rsidRPr="000E38C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AE314" w14:textId="77777777" w:rsidR="000E38CB" w:rsidRPr="000E38CB" w:rsidRDefault="000E38CB" w:rsidP="000E38C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0923D" w14:textId="77777777" w:rsidR="00E36658" w:rsidRDefault="00E366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772771"/>
      <w:docPartObj>
        <w:docPartGallery w:val="Page Numbers (Bottom of Page)"/>
        <w:docPartUnique/>
      </w:docPartObj>
    </w:sdtPr>
    <w:sdtEndPr>
      <w:rPr>
        <w:noProof/>
      </w:rPr>
    </w:sdtEndPr>
    <w:sdtContent>
      <w:p w14:paraId="3666D47C" w14:textId="638125C9" w:rsidR="0038190E" w:rsidRDefault="0038190E">
        <w:pPr>
          <w:pStyle w:val="Footer"/>
          <w:jc w:val="center"/>
        </w:pPr>
        <w:r>
          <w:fldChar w:fldCharType="begin"/>
        </w:r>
        <w:r>
          <w:instrText xml:space="preserve"> PAGE   \* MERGEFORMAT </w:instrText>
        </w:r>
        <w:r>
          <w:fldChar w:fldCharType="separate"/>
        </w:r>
        <w:r w:rsidR="000E38CB">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35C84" w14:textId="77777777" w:rsidR="00E36658" w:rsidRDefault="00E36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15E84" w14:textId="77777777" w:rsidR="00C40898" w:rsidRDefault="00C40898" w:rsidP="002A63DC">
      <w:pPr>
        <w:spacing w:line="240" w:lineRule="auto"/>
      </w:pPr>
      <w:r>
        <w:separator/>
      </w:r>
    </w:p>
  </w:footnote>
  <w:footnote w:type="continuationSeparator" w:id="0">
    <w:p w14:paraId="5E014720" w14:textId="77777777" w:rsidR="00C40898" w:rsidRDefault="00C40898" w:rsidP="002A63DC">
      <w:pPr>
        <w:spacing w:line="240" w:lineRule="auto"/>
      </w:pPr>
      <w:r>
        <w:continuationSeparator/>
      </w:r>
    </w:p>
  </w:footnote>
  <w:footnote w:type="continuationNotice" w:id="1">
    <w:p w14:paraId="47F2DC98" w14:textId="77777777" w:rsidR="00C40898" w:rsidRDefault="00C40898">
      <w:pPr>
        <w:spacing w:line="240" w:lineRule="auto"/>
      </w:pPr>
    </w:p>
  </w:footnote>
  <w:footnote w:id="2">
    <w:p w14:paraId="16F918AC" w14:textId="77777777" w:rsidR="00E93CFA" w:rsidRPr="00E93CFA" w:rsidRDefault="00E93CFA" w:rsidP="00E93CFA">
      <w:pPr>
        <w:pStyle w:val="FootnoteText"/>
        <w:rPr>
          <w:lang w:val="fr-BE"/>
        </w:rPr>
      </w:pPr>
      <w:r>
        <w:rPr>
          <w:rStyle w:val="FootnoteReference"/>
        </w:rPr>
        <w:footnoteRef/>
      </w:r>
      <w:r w:rsidRPr="00E93CFA">
        <w:rPr>
          <w:lang w:val="fr-BE"/>
        </w:rPr>
        <w:t xml:space="preserve"> Energy Technology Perspectives 2023 de l’Agence internationale de l’énergie.</w:t>
      </w:r>
    </w:p>
  </w:footnote>
  <w:footnote w:id="3">
    <w:p w14:paraId="6D344D02" w14:textId="77777777" w:rsidR="00E93CFA" w:rsidRPr="007D392D" w:rsidRDefault="00E93CFA" w:rsidP="00E93CFA">
      <w:pPr>
        <w:pStyle w:val="FootnoteText"/>
      </w:pPr>
      <w:r>
        <w:rPr>
          <w:rStyle w:val="FootnoteReference"/>
        </w:rPr>
        <w:footnoteRef/>
      </w:r>
      <w:r w:rsidRPr="007D392D">
        <w:t xml:space="preserve"> </w:t>
      </w:r>
      <w:hyperlink r:id="rId1" w:history="1">
        <w:r w:rsidRPr="007D392D">
          <w:rPr>
            <w:rStyle w:val="Hyperlink"/>
          </w:rPr>
          <w:t>The rise of European Clean Tech – Report</w:t>
        </w:r>
      </w:hyperlink>
      <w:r w:rsidRPr="007D392D">
        <w:t>, https://dealroom.co/uploaded/2022/04/Dealroom-Talis-Climate-Tech-Europe-2022.pdf</w:t>
      </w:r>
    </w:p>
  </w:footnote>
  <w:footnote w:id="4">
    <w:p w14:paraId="0A7B2D5B" w14:textId="77777777" w:rsidR="00E93CFA" w:rsidRPr="00E93CFA" w:rsidRDefault="00E93CFA" w:rsidP="00E93CFA">
      <w:pPr>
        <w:pStyle w:val="FootnoteText"/>
        <w:rPr>
          <w:lang w:val="fr-BE"/>
        </w:rPr>
      </w:pPr>
      <w:r>
        <w:rPr>
          <w:rStyle w:val="FootnoteReference"/>
        </w:rPr>
        <w:footnoteRef/>
      </w:r>
      <w:r w:rsidRPr="00E93CFA">
        <w:rPr>
          <w:lang w:val="fr-BE"/>
        </w:rPr>
        <w:t xml:space="preserve"> </w:t>
      </w:r>
      <w:hyperlink r:id="rId2" w:history="1">
        <w:r w:rsidRPr="00E93CFA">
          <w:rPr>
            <w:rStyle w:val="Hyperlink"/>
            <w:lang w:val="fr-BE"/>
          </w:rPr>
          <w:t>Chinesische Subventionspolitik:</w:t>
        </w:r>
      </w:hyperlink>
      <w:hyperlink r:id="rId3" w:history="1">
        <w:r w:rsidRPr="00E93CFA">
          <w:rPr>
            <w:rStyle w:val="Hyperlink"/>
            <w:lang w:val="fr-BE"/>
          </w:rPr>
          <w:t xml:space="preserve"> Effekte auf deutsche Unternehmen (vbw-bayern.de)</w:t>
        </w:r>
      </w:hyperlink>
    </w:p>
  </w:footnote>
  <w:footnote w:id="5">
    <w:p w14:paraId="3287B7A1" w14:textId="77777777" w:rsidR="00E93CFA" w:rsidRPr="00E93CFA" w:rsidRDefault="00E93CFA" w:rsidP="00E93CFA">
      <w:pPr>
        <w:pStyle w:val="FootnoteText"/>
        <w:rPr>
          <w:rFonts w:eastAsia="Calibri"/>
          <w:sz w:val="24"/>
          <w:szCs w:val="24"/>
          <w:lang w:val="fr-BE"/>
        </w:rPr>
      </w:pPr>
      <w:r>
        <w:rPr>
          <w:rStyle w:val="FootnoteReference"/>
        </w:rPr>
        <w:footnoteRef/>
      </w:r>
      <w:r w:rsidRPr="00E93CFA">
        <w:rPr>
          <w:lang w:val="fr-BE"/>
        </w:rPr>
        <w:t xml:space="preserve"> La liste des produits couverts doit encore être établie. Prenant comme point de départ la neutralité technologique, le règlement s’appuierait sur une évaluation de l’importance stratégique des investissements dans la fabrication de différents types de produits à zéro émission nette ainsi que sur le recensement des besoins en la matière. Les technologies concernées pourraient comprendre des technologies autres que les technologies à zéro émission nette stratégiques qui pourront prétendre au soutien spécifique disponible au titre de l’encadrement temporaire de crise et de transition en matière d’aides d’État. </w:t>
      </w:r>
    </w:p>
  </w:footnote>
  <w:footnote w:id="6">
    <w:p w14:paraId="1B9C5E7A" w14:textId="77777777" w:rsidR="00E93CFA" w:rsidRPr="00E93CFA" w:rsidRDefault="00E93CFA" w:rsidP="00E93CFA">
      <w:pPr>
        <w:pStyle w:val="FootnoteText"/>
        <w:rPr>
          <w:lang w:val="fr-BE"/>
        </w:rPr>
      </w:pPr>
      <w:r>
        <w:rPr>
          <w:rStyle w:val="FootnoteReference"/>
        </w:rPr>
        <w:footnoteRef/>
      </w:r>
      <w:r w:rsidRPr="00E93CFA">
        <w:rPr>
          <w:lang w:val="fr-BE"/>
        </w:rPr>
        <w:t xml:space="preserve"> Les financements publics nationaux constituant des aides d’État seront conformes à l’encadrement temporaire de crise et de transition.</w:t>
      </w:r>
    </w:p>
  </w:footnote>
  <w:footnote w:id="7">
    <w:p w14:paraId="58E130A1" w14:textId="77777777" w:rsidR="00E93CFA" w:rsidRPr="00E93CFA" w:rsidRDefault="00E93CFA" w:rsidP="00E93CFA">
      <w:pPr>
        <w:pStyle w:val="FootnoteText"/>
        <w:rPr>
          <w:lang w:val="fr-BE"/>
        </w:rPr>
      </w:pPr>
      <w:r>
        <w:rPr>
          <w:rStyle w:val="FootnoteReference"/>
          <w:rFonts w:ascii="Times" w:hAnsi="Times"/>
        </w:rPr>
        <w:footnoteRef/>
      </w:r>
      <w:r w:rsidRPr="00E93CFA">
        <w:rPr>
          <w:lang w:val="fr-BE"/>
        </w:rPr>
        <w:t xml:space="preserve"> Par exemple, le recyclage des matières premières pour les panneaux solaires ou l’installation d’éoliennes pourraient être facilités par le respect de normes européennes élaborées dans ces domaines.</w:t>
      </w:r>
      <w:r w:rsidRPr="00E93CFA">
        <w:rPr>
          <w:rFonts w:ascii="Times" w:hAnsi="Times"/>
          <w:lang w:val="fr-BE"/>
        </w:rPr>
        <w:t xml:space="preserve"> Il est déjà possible d’élaborer une norme pour la collecte, le transport et le traitement des batteries qui permettrait d'accélérer et de simplifier la procédure pour les installations de recyclage conformes à cette norme.</w:t>
      </w:r>
    </w:p>
  </w:footnote>
  <w:footnote w:id="8">
    <w:p w14:paraId="5213872D" w14:textId="77777777" w:rsidR="00E93CFA" w:rsidRPr="00E93CFA" w:rsidRDefault="00E93CFA" w:rsidP="00E93CFA">
      <w:pPr>
        <w:pStyle w:val="FootnoteText"/>
        <w:rPr>
          <w:lang w:val="fr-BE"/>
        </w:rPr>
      </w:pPr>
      <w:r>
        <w:rPr>
          <w:rStyle w:val="FootnoteReference"/>
        </w:rPr>
        <w:footnoteRef/>
      </w:r>
      <w:r w:rsidRPr="00E93CFA">
        <w:rPr>
          <w:lang w:val="fr-BE"/>
        </w:rPr>
        <w:t xml:space="preserve"> La Commission a l’intention de publier, d’ici l’été 2023, des orientations présentant les cas dans lesquels il serait pertinent de recourir aux sas réglementaires, aux bancs d’essai et aux laboratoires vivants afin d’aider les décideurs politiques et les innovateurs à élaborer leur approche à l’égard de l’expérimentation dans l’UE.</w:t>
      </w:r>
    </w:p>
  </w:footnote>
  <w:footnote w:id="9">
    <w:p w14:paraId="52359865" w14:textId="77777777" w:rsidR="00E93CFA" w:rsidRPr="00E93CFA" w:rsidRDefault="00E93CFA" w:rsidP="00E93CFA">
      <w:pPr>
        <w:pStyle w:val="FootnoteText"/>
        <w:rPr>
          <w:lang w:val="fr-BE"/>
        </w:rPr>
      </w:pPr>
      <w:r>
        <w:rPr>
          <w:rStyle w:val="FootnoteReference"/>
        </w:rPr>
        <w:footnoteRef/>
      </w:r>
      <w:r w:rsidRPr="00E93CFA">
        <w:rPr>
          <w:lang w:val="fr-BE"/>
        </w:rPr>
        <w:t xml:space="preserve"> Comme, par exemple, les producteurs de silicium polycristallin utilisé dans le photovoltaïque solaire ou les fabricants de cellules de batteries.</w:t>
      </w:r>
    </w:p>
  </w:footnote>
  <w:footnote w:id="10">
    <w:p w14:paraId="6D244CBB" w14:textId="77777777" w:rsidR="00E93CFA" w:rsidRPr="00E93CFA" w:rsidRDefault="00E93CFA" w:rsidP="00E93CFA">
      <w:pPr>
        <w:pStyle w:val="FootnoteText"/>
        <w:rPr>
          <w:lang w:val="fr-BE"/>
        </w:rPr>
      </w:pPr>
      <w:r>
        <w:rPr>
          <w:rStyle w:val="FootnoteReference"/>
        </w:rPr>
        <w:footnoteRef/>
      </w:r>
      <w:r w:rsidRPr="00E93CFA">
        <w:rPr>
          <w:lang w:val="fr-BE"/>
        </w:rPr>
        <w:t xml:space="preserve"> Estimations de la Commission fondées sur les données de l’Agence internationale pour les énergies renouvelables (Irena) et des acteurs du secteur.</w:t>
      </w:r>
    </w:p>
  </w:footnote>
  <w:footnote w:id="11">
    <w:p w14:paraId="24A08D4F" w14:textId="77777777" w:rsidR="00E93CFA" w:rsidRPr="00E93CFA" w:rsidRDefault="00E93CFA" w:rsidP="00E93CFA">
      <w:pPr>
        <w:pStyle w:val="FootnoteText"/>
        <w:rPr>
          <w:lang w:val="fr-BE"/>
        </w:rPr>
      </w:pPr>
      <w:r>
        <w:rPr>
          <w:rStyle w:val="FootnoteReference"/>
        </w:rPr>
        <w:footnoteRef/>
      </w:r>
      <w:r w:rsidRPr="00E93CFA">
        <w:rPr>
          <w:lang w:val="fr-BE"/>
        </w:rPr>
        <w:t xml:space="preserve"> Dans le cadre de sa politique d’écoconception, l’UE fixe des règles harmonisées applicables aux produits liés à l’énergie et concernant des aspects tels que la consommation d’énergie, la consommation d’eau, les niveaux d’émission et l’efficacité matérielle, afin de stimuler à la fois l’offre et la demande de produits plus durables.</w:t>
      </w:r>
    </w:p>
  </w:footnote>
  <w:footnote w:id="12">
    <w:p w14:paraId="3E59CE6A" w14:textId="77777777" w:rsidR="00E93CFA" w:rsidRPr="00E93CFA" w:rsidRDefault="00E93CFA" w:rsidP="00E93CFA">
      <w:pPr>
        <w:pStyle w:val="FootnoteText"/>
        <w:rPr>
          <w:lang w:val="fr-BE"/>
        </w:rPr>
      </w:pPr>
      <w:r>
        <w:rPr>
          <w:rStyle w:val="FootnoteReference"/>
        </w:rPr>
        <w:footnoteRef/>
      </w:r>
      <w:r w:rsidRPr="00E93CFA">
        <w:rPr>
          <w:lang w:val="fr-BE"/>
        </w:rPr>
        <w:t xml:space="preserve"> Pour les pompes à chaleur, grâce à la base de données EPREL sur l’étiquetage énergétique </w:t>
      </w:r>
      <w:hyperlink r:id="rId4" w:history="1">
        <w:r w:rsidRPr="00E93CFA">
          <w:rPr>
            <w:rStyle w:val="Hyperlink"/>
            <w:lang w:val="fr-BE"/>
          </w:rPr>
          <w:t>https://eprel.ec.europa.eu/screen/home</w:t>
        </w:r>
      </w:hyperlink>
      <w:r w:rsidRPr="00E93CFA">
        <w:rPr>
          <w:lang w:val="fr-BE"/>
        </w:rPr>
        <w:t xml:space="preserve"> </w:t>
      </w:r>
    </w:p>
  </w:footnote>
  <w:footnote w:id="13">
    <w:p w14:paraId="165093A0" w14:textId="77777777" w:rsidR="00E93CFA" w:rsidRPr="00E93CFA" w:rsidRDefault="00E93CFA" w:rsidP="00E93CFA">
      <w:pPr>
        <w:pStyle w:val="FootnoteText"/>
        <w:rPr>
          <w:lang w:val="fr-BE"/>
        </w:rPr>
      </w:pPr>
      <w:r>
        <w:rPr>
          <w:rStyle w:val="FootnoteReference"/>
        </w:rPr>
        <w:footnoteRef/>
      </w:r>
      <w:r w:rsidRPr="00E93CFA">
        <w:rPr>
          <w:lang w:val="fr-BE"/>
        </w:rPr>
        <w:t xml:space="preserve"> En ce qui concerne les besoins d’investissement, voir le document de travail des services de la Commission relatif à REPowerEU </w:t>
      </w:r>
      <w:hyperlink r:id="rId5" w:history="1">
        <w:r w:rsidRPr="00E93CFA">
          <w:rPr>
            <w:rStyle w:val="Hyperlink"/>
            <w:lang w:val="fr-BE"/>
          </w:rPr>
          <w:t>https://eur-lex.europa.eu/legal-content/EN/TXT/PDF/?uri=CELEX:52022SC0230&amp;from=EN</w:t>
        </w:r>
      </w:hyperlink>
      <w:r w:rsidRPr="00E93CFA">
        <w:rPr>
          <w:lang w:val="fr-BE"/>
        </w:rPr>
        <w:t xml:space="preserve">  </w:t>
      </w:r>
    </w:p>
  </w:footnote>
  <w:footnote w:id="14">
    <w:p w14:paraId="2C3C0FCF" w14:textId="77777777" w:rsidR="00E93CFA" w:rsidRPr="00E93CFA" w:rsidRDefault="00E93CFA" w:rsidP="00E93CFA">
      <w:pPr>
        <w:pStyle w:val="FootnoteText"/>
        <w:rPr>
          <w:lang w:val="fr-BE"/>
        </w:rPr>
      </w:pPr>
      <w:r>
        <w:rPr>
          <w:rStyle w:val="FootnoteReference"/>
        </w:rPr>
        <w:footnoteRef/>
      </w:r>
      <w:r w:rsidRPr="00E93CFA">
        <w:rPr>
          <w:lang w:val="fr-BE"/>
        </w:rPr>
        <w:t xml:space="preserve"> Tels que d'autres projets concernant les batteries et l’hydrogène, ou éventuellement des projets portant sur les pompes solaires ou à chaleur.</w:t>
      </w:r>
    </w:p>
  </w:footnote>
  <w:footnote w:id="15">
    <w:p w14:paraId="173731E6" w14:textId="77777777" w:rsidR="00E93CFA" w:rsidRPr="00E93CFA" w:rsidRDefault="00E93CFA" w:rsidP="00E93CFA">
      <w:pPr>
        <w:pStyle w:val="FootnoteText"/>
        <w:rPr>
          <w:lang w:val="fr-BE"/>
        </w:rPr>
      </w:pPr>
      <w:r>
        <w:rPr>
          <w:rStyle w:val="FootnoteReference"/>
        </w:rPr>
        <w:footnoteRef/>
      </w:r>
      <w:r w:rsidRPr="007D392D">
        <w:t xml:space="preserve"> </w:t>
      </w:r>
      <w:hyperlink r:id="rId6" w:history="1">
        <w:r w:rsidRPr="007D392D">
          <w:rPr>
            <w:rStyle w:val="Hyperlink"/>
          </w:rPr>
          <w:t>Study on energy subsidies and other government interventions in the European Union - Office des publications de l’UE (europa.eu)</w:t>
        </w:r>
      </w:hyperlink>
      <w:r w:rsidRPr="007D392D">
        <w:t xml:space="preserve">. </w:t>
      </w:r>
      <w:r w:rsidRPr="00E93CFA">
        <w:rPr>
          <w:lang w:val="fr-BE"/>
        </w:rPr>
        <w:t>Les mesures de soutien public comprennent des transferts directs aux entreprises et aux consommateurs, des dépenses fiscales (par exemple, crédits d’impôt, réduction de la TVA), un soutien des revenus ou des prix, un soutien à la recherche et au développement (R&amp;D).</w:t>
      </w:r>
    </w:p>
  </w:footnote>
  <w:footnote w:id="16">
    <w:p w14:paraId="3B81F2C9" w14:textId="77777777" w:rsidR="00E93CFA" w:rsidRPr="00E93CFA" w:rsidRDefault="00E93CFA" w:rsidP="00E93CFA">
      <w:pPr>
        <w:pStyle w:val="FootnoteText"/>
        <w:rPr>
          <w:lang w:val="fr-BE"/>
        </w:rPr>
      </w:pPr>
      <w:r>
        <w:rPr>
          <w:rStyle w:val="FootnoteReference"/>
          <w:rFonts w:eastAsia="Arial"/>
        </w:rPr>
        <w:footnoteRef/>
      </w:r>
      <w:r w:rsidRPr="00E93CFA">
        <w:rPr>
          <w:lang w:val="fr-BE"/>
        </w:rPr>
        <w:t xml:space="preserve"> </w:t>
      </w:r>
      <w:r w:rsidRPr="00E93CFA">
        <w:rPr>
          <w:color w:val="000000" w:themeColor="text1"/>
          <w:lang w:val="fr-BE"/>
        </w:rPr>
        <w:t>Ce montant vient s’ajouter aux possibilités de transfert existantes de 5 % des fonds de la politique de cohésion (jusqu’à 17,9 milliards d’EUR).</w:t>
      </w:r>
    </w:p>
  </w:footnote>
  <w:footnote w:id="17">
    <w:p w14:paraId="034BE5A3" w14:textId="77777777" w:rsidR="00E93CFA" w:rsidRPr="00E93CFA" w:rsidRDefault="00E93CFA" w:rsidP="00E93CFA">
      <w:pPr>
        <w:pStyle w:val="FootnoteText"/>
        <w:rPr>
          <w:lang w:val="fr-BE"/>
        </w:rPr>
      </w:pPr>
      <w:r>
        <w:footnoteRef/>
      </w:r>
      <w:r w:rsidRPr="00E93CFA">
        <w:rPr>
          <w:lang w:val="fr-BE"/>
        </w:rPr>
        <w:t xml:space="preserve"> La BEI renforce le financement des énergies propres dans le cadre du plan REPowerEU. Communiqué de presse disponible à l’adresse suivante:</w:t>
      </w:r>
    </w:p>
    <w:p w14:paraId="11B53ED0" w14:textId="77777777" w:rsidR="00E93CFA" w:rsidRPr="00E93CFA" w:rsidRDefault="00E93CFA" w:rsidP="00E93CFA">
      <w:pPr>
        <w:pStyle w:val="FootnoteText"/>
        <w:rPr>
          <w:lang w:val="fr-BE"/>
        </w:rPr>
      </w:pPr>
      <w:r w:rsidRPr="00E93CFA">
        <w:rPr>
          <w:lang w:val="fr-BE"/>
        </w:rPr>
        <w:t xml:space="preserve"> </w:t>
      </w:r>
      <w:hyperlink r:id="rId7" w:history="1">
        <w:r w:rsidRPr="00E93CFA">
          <w:rPr>
            <w:rStyle w:val="Hyperlink"/>
            <w:lang w:val="fr-BE"/>
          </w:rPr>
          <w:t>https://www.eib.org/fr/press/all/2022-450-eib-boosts-clean-energy-financing-in-support-of-repowereu-plan</w:t>
        </w:r>
      </w:hyperlink>
      <w:r w:rsidRPr="00E93CFA">
        <w:rPr>
          <w:lang w:val="fr-BE"/>
        </w:rPr>
        <w:t xml:space="preserve"> </w:t>
      </w:r>
    </w:p>
  </w:footnote>
  <w:footnote w:id="18">
    <w:p w14:paraId="62E949F5" w14:textId="77777777" w:rsidR="006B04AC" w:rsidRPr="006B04AC" w:rsidRDefault="006B04AC" w:rsidP="006B04AC">
      <w:pPr>
        <w:pStyle w:val="FootnoteText"/>
        <w:rPr>
          <w:lang w:val="fr-BE"/>
        </w:rPr>
      </w:pPr>
      <w:r>
        <w:rPr>
          <w:rStyle w:val="FootnoteReference"/>
        </w:rPr>
        <w:footnoteRef/>
      </w:r>
      <w:r w:rsidRPr="006B04AC">
        <w:rPr>
          <w:lang w:val="fr-BE"/>
        </w:rPr>
        <w:t xml:space="preserve"> En outre, en décembre 2022, la BEI avait signé des accords pour 29 opérations dans 9 États membres, pour un montant de 2,3 milliards d’EUR au titre d’InvestEU, en vue du financement de projets dans la recherche et l’innovation, dans les infrastructures durables, dans les investissements sociaux et dans les compétences.</w:t>
      </w:r>
    </w:p>
  </w:footnote>
  <w:footnote w:id="19">
    <w:p w14:paraId="2AC72C40" w14:textId="77777777" w:rsidR="006B04AC" w:rsidRPr="006B04AC" w:rsidRDefault="006B04AC" w:rsidP="006B04AC">
      <w:pPr>
        <w:pStyle w:val="FootnoteText"/>
        <w:rPr>
          <w:lang w:val="fr-BE"/>
        </w:rPr>
      </w:pPr>
      <w:r>
        <w:rPr>
          <w:rStyle w:val="FootnoteReference"/>
        </w:rPr>
        <w:footnoteRef/>
      </w:r>
      <w:r w:rsidRPr="006B04AC">
        <w:rPr>
          <w:lang w:val="fr-BE"/>
        </w:rPr>
        <w:t xml:space="preserve"> Sans compromettre les recettes globales du SEQE disponibles pour le remboursement de la dette contractée au titre de NextGenerationEU.</w:t>
      </w:r>
    </w:p>
  </w:footnote>
  <w:footnote w:id="20">
    <w:p w14:paraId="35F94A79" w14:textId="77777777" w:rsidR="006B04AC" w:rsidRPr="006B04AC" w:rsidRDefault="006B04AC" w:rsidP="006B04AC">
      <w:pPr>
        <w:pStyle w:val="FootnoteText"/>
        <w:contextualSpacing/>
        <w:rPr>
          <w:lang w:val="fr-BE"/>
        </w:rPr>
      </w:pPr>
      <w:r>
        <w:rPr>
          <w:rStyle w:val="FootnoteReference"/>
        </w:rPr>
        <w:footnoteRef/>
      </w:r>
      <w:r w:rsidRPr="006B04AC">
        <w:rPr>
          <w:lang w:val="fr-BE"/>
        </w:rPr>
        <w:t xml:space="preserve"> </w:t>
      </w:r>
      <w:hyperlink r:id="rId8" w:history="1">
        <w:r w:rsidRPr="006B04AC">
          <w:rPr>
            <w:rStyle w:val="Hyperlink"/>
            <w:lang w:val="fr-BE"/>
          </w:rPr>
          <w:t>https://eur-lex.europa.eu/legal-content/FR/TXT/?uri=CELEX:52021DC0390</w:t>
        </w:r>
      </w:hyperlink>
      <w:r w:rsidRPr="006B04AC">
        <w:rPr>
          <w:lang w:val="fr-BE"/>
        </w:rPr>
        <w:t xml:space="preserve"> </w:t>
      </w:r>
    </w:p>
  </w:footnote>
  <w:footnote w:id="21">
    <w:p w14:paraId="37AAD8C7" w14:textId="77777777" w:rsidR="006B04AC" w:rsidRPr="006B04AC" w:rsidRDefault="006B04AC" w:rsidP="006B04AC">
      <w:pPr>
        <w:pStyle w:val="FootnoteText"/>
        <w:rPr>
          <w:lang w:val="fr-BE"/>
        </w:rPr>
      </w:pPr>
      <w:r>
        <w:rPr>
          <w:rStyle w:val="FootnoteReference"/>
        </w:rPr>
        <w:footnoteRef/>
      </w:r>
      <w:r w:rsidRPr="006B04AC">
        <w:rPr>
          <w:lang w:val="fr-BE"/>
        </w:rPr>
        <w:t xml:space="preserve"> Sur la base de la définition des emplois verts donnée par Eurostat: emplois dans le secteur des biens et services environnementaux (source: Eurostat, économie environnementale, statistiques sur l’emploi et la croissance, données,</w:t>
      </w:r>
      <w:r w:rsidRPr="006B04AC">
        <w:rPr>
          <w:lang w:val="fr-BE"/>
        </w:rPr>
        <w:tab/>
        <w:t xml:space="preserve"> </w:t>
      </w:r>
      <w:hyperlink r:id="rId9" w:anchor="Development_of_key_indicators_for_the_environmental_economy" w:history="1">
        <w:r w:rsidRPr="006B04AC">
          <w:rPr>
            <w:rStyle w:val="Hyperlink"/>
            <w:lang w:val="fr-BE"/>
          </w:rPr>
          <w:t>https://ec.europa.eu/eurostat/statistics-explained/index.php?title=Environmental_economy_%E2%80%93_statistics_on_employment_and_growth&amp;oldid=583805#Development_of_key_indicators_for_the_environmental_economy</w:t>
        </w:r>
      </w:hyperlink>
      <w:r w:rsidRPr="006B04AC">
        <w:rPr>
          <w:lang w:val="fr-BE"/>
        </w:rPr>
        <w:t xml:space="preserve">). </w:t>
      </w:r>
    </w:p>
  </w:footnote>
  <w:footnote w:id="22">
    <w:p w14:paraId="304B1573" w14:textId="77777777" w:rsidR="006B04AC" w:rsidRPr="006B04AC" w:rsidRDefault="006B04AC" w:rsidP="006B04AC">
      <w:pPr>
        <w:pStyle w:val="FootnoteText"/>
        <w:rPr>
          <w:lang w:val="fr-BE"/>
        </w:rPr>
      </w:pPr>
      <w:r>
        <w:rPr>
          <w:rStyle w:val="FootnoteReference"/>
        </w:rPr>
        <w:footnoteRef/>
      </w:r>
      <w:r w:rsidRPr="006B04AC">
        <w:rPr>
          <w:lang w:val="fr-BE"/>
        </w:rPr>
        <w:t xml:space="preserve"> Le taux d’emploi des femmes était de 69,5 % au T2 2022, par rapport à 80,2 % pour les hommes et à 74,9 % en moyenne pour les deux sexes. Le taux d’emploi des personnes âgées de 60 à 64 ans était de 48,2 %, par rapport à 74,9 % en moyenne pour la tranche d’âge des 20</w:t>
      </w:r>
      <w:r w:rsidRPr="006B04AC">
        <w:rPr>
          <w:lang w:val="fr-BE"/>
        </w:rPr>
        <w:noBreakHyphen/>
        <w:t>64 ans.</w:t>
      </w:r>
    </w:p>
  </w:footnote>
  <w:footnote w:id="23">
    <w:p w14:paraId="4B82975F" w14:textId="77777777" w:rsidR="006B04AC" w:rsidRPr="006B04AC" w:rsidRDefault="006B04AC" w:rsidP="006B04AC">
      <w:pPr>
        <w:pStyle w:val="FootnoteText"/>
        <w:rPr>
          <w:lang w:val="fr-BE"/>
        </w:rPr>
      </w:pPr>
      <w:r>
        <w:rPr>
          <w:rStyle w:val="FootnoteReference"/>
        </w:rPr>
        <w:footnoteRef/>
      </w:r>
      <w:r w:rsidRPr="006B04AC">
        <w:rPr>
          <w:lang w:val="fr-BE"/>
        </w:rPr>
        <w:t xml:space="preserve"> Alors que le taux de chômage a diminué pour atteindre un niveau record de 6,0 % en novembre 2022, le chômage des jeunes (moins de 25 ans) est 2,5 fois plus élevé que dans la population générale. </w:t>
      </w:r>
    </w:p>
  </w:footnote>
  <w:footnote w:id="24">
    <w:p w14:paraId="6BF5F2FF" w14:textId="77777777" w:rsidR="006B04AC" w:rsidRPr="006B04AC" w:rsidRDefault="006B04AC" w:rsidP="006B04AC">
      <w:pPr>
        <w:pStyle w:val="FootnoteText"/>
        <w:rPr>
          <w:lang w:val="fr-BE"/>
        </w:rPr>
      </w:pPr>
      <w:r>
        <w:rPr>
          <w:rStyle w:val="FootnoteReference"/>
        </w:rPr>
        <w:footnoteRef/>
      </w:r>
      <w:r w:rsidRPr="006B04AC">
        <w:rPr>
          <w:lang w:val="fr-BE"/>
        </w:rPr>
        <w:t xml:space="preserve"> Le taux de vacance d’emploi est le rapport entre le nombre de postes vacants et le nombre total d’emplois occupés et vacants. Il est considéré comme l’une des meilleures mesures possibles pour indiquer une pénurie de main</w:t>
      </w:r>
      <w:r w:rsidRPr="006B04AC">
        <w:rPr>
          <w:lang w:val="fr-BE"/>
        </w:rPr>
        <w:noBreakHyphen/>
        <w:t xml:space="preserve">d’œuvre dans un secteur donné. </w:t>
      </w:r>
    </w:p>
  </w:footnote>
  <w:footnote w:id="25">
    <w:p w14:paraId="55781885" w14:textId="77777777" w:rsidR="006B04AC" w:rsidRPr="006B04AC" w:rsidRDefault="006B04AC" w:rsidP="006B04AC">
      <w:pPr>
        <w:pStyle w:val="FootnoteText"/>
        <w:rPr>
          <w:lang w:val="fr-BE"/>
        </w:rPr>
      </w:pPr>
      <w:r>
        <w:rPr>
          <w:rStyle w:val="FootnoteReference"/>
        </w:rPr>
        <w:footnoteRef/>
      </w:r>
      <w:r w:rsidRPr="006B04AC">
        <w:rPr>
          <w:rStyle w:val="FootnoteReference"/>
          <w:lang w:val="fr-BE"/>
        </w:rPr>
        <w:t xml:space="preserve"> </w:t>
      </w:r>
      <w:r w:rsidRPr="006B04AC">
        <w:rPr>
          <w:lang w:val="fr-BE"/>
        </w:rPr>
        <w:t>Ces secteurs comprennent les secteurs de l’électricité, de la vapeur, du gaz et de la climatisation, des transports, de la construction et de l’industrie manufacturière. Les données relatives au secteur de l’approvisionnement en eau, de l’assainissement, de la gestion des déchets et de la dépollution, qui est également considéré comme essentiel pour la transition, ne sont malheureusement pas disponibles au niveau de l’UE.</w:t>
      </w:r>
    </w:p>
  </w:footnote>
  <w:footnote w:id="26">
    <w:p w14:paraId="7B519821" w14:textId="77777777" w:rsidR="006B04AC" w:rsidRPr="006B04AC" w:rsidRDefault="006B04AC" w:rsidP="006B04AC">
      <w:pPr>
        <w:pStyle w:val="FootnoteText"/>
        <w:rPr>
          <w:lang w:val="fr-BE"/>
        </w:rPr>
      </w:pPr>
      <w:r>
        <w:rPr>
          <w:rStyle w:val="FootnoteReference"/>
        </w:rPr>
        <w:footnoteRef/>
      </w:r>
      <w:r w:rsidRPr="006B04AC">
        <w:rPr>
          <w:lang w:val="fr-BE"/>
        </w:rPr>
        <w:t xml:space="preserve"> Sur la base de la définition étroite des emplois verts donnée par Eurostat: emplois dans le secteur des biens et services environnementaux. Les pénuries de main</w:t>
      </w:r>
      <w:r w:rsidRPr="006B04AC">
        <w:rPr>
          <w:lang w:val="fr-BE"/>
        </w:rPr>
        <w:noBreakHyphen/>
        <w:t>d’œuvre, que l’on peut déduire des taux de vacance d’emploi, ont doublé dans des secteurs considérés comme essentiels à la réalisation de la transition écologique entre 2015 et 2021.</w:t>
      </w:r>
    </w:p>
  </w:footnote>
  <w:footnote w:id="27">
    <w:p w14:paraId="044626D3" w14:textId="77777777" w:rsidR="006B04AC" w:rsidRPr="006B04AC" w:rsidRDefault="006B04AC" w:rsidP="006B04AC">
      <w:pPr>
        <w:pStyle w:val="FootnoteText"/>
        <w:rPr>
          <w:lang w:val="fr-BE"/>
        </w:rPr>
      </w:pPr>
      <w:r>
        <w:rPr>
          <w:rStyle w:val="FootnoteReference"/>
        </w:rPr>
        <w:footnoteRef/>
      </w:r>
      <w:r w:rsidRPr="006B04AC">
        <w:rPr>
          <w:lang w:val="fr-BE"/>
        </w:rPr>
        <w:t xml:space="preserve"> Rapport 2019 de l’OIT: Des compétences pour un avenir plus respectueux de l’environnement – Principales conclusions, disponible à l’adresse suivante: </w:t>
      </w:r>
      <w:hyperlink r:id="rId10" w:history="1">
        <w:r w:rsidRPr="006B04AC">
          <w:rPr>
            <w:rStyle w:val="Hyperlink"/>
            <w:lang w:val="fr-BE"/>
          </w:rPr>
          <w:t>https://www.ilo.org/wcmsp5/groups/public/---ed_emp/---ifp_skills/documents/publication/wcms_709124.pdf</w:t>
        </w:r>
      </w:hyperlink>
      <w:r w:rsidRPr="006B04AC">
        <w:rPr>
          <w:lang w:val="fr-BE"/>
        </w:rPr>
        <w:t xml:space="preserve">. </w:t>
      </w:r>
    </w:p>
  </w:footnote>
  <w:footnote w:id="28">
    <w:p w14:paraId="124C1172" w14:textId="77777777" w:rsidR="006B04AC" w:rsidRPr="006B04AC" w:rsidRDefault="006B04AC" w:rsidP="006B04AC">
      <w:pPr>
        <w:pStyle w:val="FootnoteText"/>
        <w:rPr>
          <w:lang w:val="fr-BE"/>
        </w:rPr>
      </w:pPr>
      <w:r>
        <w:rPr>
          <w:rStyle w:val="FootnoteReference"/>
        </w:rPr>
        <w:footnoteRef/>
      </w:r>
      <w:r w:rsidRPr="006B04AC">
        <w:rPr>
          <w:lang w:val="fr-BE"/>
        </w:rPr>
        <w:t xml:space="preserve"> Observatoire des technologies énergétiques propres (CETO) du JRC: Overall Strategic Analysis of Clean Energy Technology (Analyse stratégique globale des technologies énergétiques propres), rapport 2022 sur l’état d’avancement: </w:t>
      </w:r>
      <w:hyperlink r:id="rId11" w:history="1">
        <w:r w:rsidRPr="006B04AC">
          <w:rPr>
            <w:rStyle w:val="Hyperlink"/>
            <w:lang w:val="fr-BE"/>
          </w:rPr>
          <w:t>https://publications.jrc.ec.europa.eu/repository/bitstream/JRC131001/2022.5375.pdf</w:t>
        </w:r>
      </w:hyperlink>
      <w:r w:rsidRPr="006B04AC">
        <w:rPr>
          <w:lang w:val="fr-BE"/>
        </w:rPr>
        <w:t>.</w:t>
      </w:r>
    </w:p>
  </w:footnote>
  <w:footnote w:id="29">
    <w:p w14:paraId="0B45FD03" w14:textId="77777777" w:rsidR="006B04AC" w:rsidRPr="006B04AC" w:rsidRDefault="006B04AC" w:rsidP="006B04AC">
      <w:pPr>
        <w:pStyle w:val="FootnoteText"/>
        <w:rPr>
          <w:lang w:val="fr-BE"/>
        </w:rPr>
      </w:pPr>
      <w:r>
        <w:rPr>
          <w:rStyle w:val="FootnoteReference"/>
        </w:rPr>
        <w:footnoteRef/>
      </w:r>
      <w:r w:rsidRPr="006B04AC">
        <w:rPr>
          <w:lang w:val="fr-BE"/>
        </w:rPr>
        <w:t xml:space="preserve"> COM (2022) 625.</w:t>
      </w:r>
    </w:p>
  </w:footnote>
  <w:footnote w:id="30">
    <w:p w14:paraId="17081138" w14:textId="77777777" w:rsidR="006B04AC" w:rsidRPr="006B04AC" w:rsidRDefault="006B04AC" w:rsidP="006B04AC">
      <w:pPr>
        <w:pStyle w:val="FootnoteText"/>
        <w:rPr>
          <w:lang w:val="fr-BE"/>
        </w:rPr>
      </w:pPr>
      <w:r>
        <w:rPr>
          <w:rStyle w:val="FootnoteReference"/>
        </w:rPr>
        <w:footnoteRef/>
      </w:r>
      <w:r w:rsidRPr="006B04AC">
        <w:rPr>
          <w:lang w:val="fr-BE"/>
        </w:rPr>
        <w:t xml:space="preserve"> Communication de la Commission au Parlement européen, au Conseil, au Comité économique et social européen et au Comité des régions, «Mettre à profit les talents dans les régions européennes», COM(2023) 32 final.</w:t>
      </w:r>
    </w:p>
  </w:footnote>
  <w:footnote w:id="31">
    <w:p w14:paraId="2B893C81" w14:textId="77777777" w:rsidR="006B04AC" w:rsidRPr="006B04AC" w:rsidRDefault="006B04AC" w:rsidP="006B04AC">
      <w:pPr>
        <w:pStyle w:val="FootnoteText"/>
        <w:rPr>
          <w:lang w:val="fr-BE"/>
        </w:rPr>
      </w:pPr>
      <w:r>
        <w:rPr>
          <w:rStyle w:val="FootnoteReference"/>
        </w:rPr>
        <w:footnoteRef/>
      </w:r>
      <w:r w:rsidRPr="006B04AC">
        <w:rPr>
          <w:lang w:val="fr-BE"/>
        </w:rPr>
        <w:t xml:space="preserve"> Microcertifications, comptes de formation individuels, compétences numériques et recommandations éducatives, par exemple.</w:t>
      </w:r>
    </w:p>
  </w:footnote>
  <w:footnote w:id="32">
    <w:p w14:paraId="4AE2EC51" w14:textId="77777777" w:rsidR="006B04AC" w:rsidRPr="006B04AC" w:rsidRDefault="006B04AC" w:rsidP="006B04AC">
      <w:pPr>
        <w:pStyle w:val="FootnoteText"/>
        <w:rPr>
          <w:lang w:val="fr-BE"/>
        </w:rPr>
      </w:pPr>
      <w:r>
        <w:rPr>
          <w:rStyle w:val="FootnoteReference"/>
        </w:rPr>
        <w:footnoteRef/>
      </w:r>
      <w:r w:rsidRPr="006B04AC">
        <w:rPr>
          <w:lang w:val="fr-BE"/>
        </w:rPr>
        <w:t xml:space="preserve"> Cela se traduit par une proportion inférieure de demandes de brevets déposées par des inventrices (seulement 20 % dans toutes les classes de brevets en 2021 et un peu plus de 15 % pour les technologies d’atténuation du changement climatique), une proportion inférieure de jeunes entreprises créées ou cofondées par des femmes (moins de 15 % dans l’UE en 2021) et des capitaux moins importants investis dans les entreprises dirigées par des femmes (seulement 2 % dans les jeunes pousses dirigées exclusivement par des femmes et 9 % dans les équipes mixtes dans l’UE en 2021). Source: CETO: Overall Strategic Analysis of Clean Energy Technology in the European Union (Analyse stratégique globale des technologies énergétiques propres dans l’Union européenne), rapport 2022 sur l’état d’avancement.  </w:t>
      </w:r>
    </w:p>
  </w:footnote>
  <w:footnote w:id="33">
    <w:p w14:paraId="7E90B5E4" w14:textId="77777777" w:rsidR="006B04AC" w:rsidRPr="006B04AC" w:rsidRDefault="006B04AC" w:rsidP="006B04AC">
      <w:pPr>
        <w:pStyle w:val="FootnoteText"/>
        <w:rPr>
          <w:lang w:val="fr-BE"/>
        </w:rPr>
      </w:pPr>
      <w:r>
        <w:rPr>
          <w:rStyle w:val="FootnoteReference"/>
        </w:rPr>
        <w:footnoteRef/>
      </w:r>
      <w:r w:rsidRPr="006B04AC">
        <w:rPr>
          <w:lang w:val="fr-BE"/>
        </w:rPr>
        <w:t xml:space="preserve"> 32 % en 2019, selon le forum industriel sur l’énergie propre, déclaration conjointe sur les compétences dans le secteur des technologies propres, https://commission.europa.eu/system/files/2022-06/ceif_joint_statement_on_skills.pdf.</w:t>
      </w:r>
    </w:p>
  </w:footnote>
  <w:footnote w:id="34">
    <w:p w14:paraId="109EDD33" w14:textId="77777777" w:rsidR="006B04AC" w:rsidRPr="006B04AC" w:rsidRDefault="006B04AC" w:rsidP="006B04AC">
      <w:pPr>
        <w:pStyle w:val="FootnoteText"/>
        <w:rPr>
          <w:lang w:val="fr-BE"/>
        </w:rPr>
      </w:pPr>
      <w:r>
        <w:rPr>
          <w:rStyle w:val="FootnoteReference"/>
        </w:rPr>
        <w:footnoteRef/>
      </w:r>
      <w:r w:rsidRPr="006B04AC">
        <w:rPr>
          <w:lang w:val="fr-BE"/>
        </w:rPr>
        <w:t xml:space="preserve"> COM (2022) 16.</w:t>
      </w:r>
    </w:p>
  </w:footnote>
  <w:footnote w:id="35">
    <w:p w14:paraId="39989A43" w14:textId="77777777" w:rsidR="006B04AC" w:rsidRPr="006B04AC" w:rsidRDefault="006B04AC" w:rsidP="006B04AC">
      <w:pPr>
        <w:pStyle w:val="FootnoteText"/>
        <w:rPr>
          <w:lang w:val="fr-BE"/>
        </w:rPr>
      </w:pPr>
      <w:r>
        <w:rPr>
          <w:rStyle w:val="FootnoteReference"/>
        </w:rPr>
        <w:footnoteRef/>
      </w:r>
      <w:r w:rsidRPr="006B04AC">
        <w:rPr>
          <w:lang w:val="fr-BE"/>
        </w:rPr>
        <w:t xml:space="preserve"> L’Académie européenne des batteries va former, reconvertir et perfectionner quelque 800 000 travailleurs d’ici à 2025.</w:t>
      </w:r>
    </w:p>
  </w:footnote>
  <w:footnote w:id="36">
    <w:p w14:paraId="2E62C0AD" w14:textId="77777777" w:rsidR="006B04AC" w:rsidRPr="006B04AC" w:rsidRDefault="006B04AC" w:rsidP="006B04AC">
      <w:pPr>
        <w:pStyle w:val="FootnoteText"/>
        <w:rPr>
          <w:lang w:val="fr-BE"/>
        </w:rPr>
      </w:pPr>
      <w:r>
        <w:rPr>
          <w:rStyle w:val="FootnoteReference"/>
        </w:rPr>
        <w:footnoteRef/>
      </w:r>
      <w:r w:rsidRPr="006B04AC">
        <w:rPr>
          <w:lang w:val="fr-BE"/>
        </w:rPr>
        <w:t xml:space="preserve"> Point 18 des lignes directrices concernant les PIIEC: Communication de la Commission – Critères relatifs à l’analyse de la compatibilité avec le marché intérieur des aides d’État destinées à promouvoir la réalisation de projets importants d’intérêt européen commun, JO C 528 du 30.12.2021, p. 10.  </w:t>
      </w:r>
    </w:p>
  </w:footnote>
  <w:footnote w:id="37">
    <w:p w14:paraId="1D867980" w14:textId="77777777" w:rsidR="006B04AC" w:rsidRPr="006B04AC" w:rsidRDefault="006B04AC" w:rsidP="006B04AC">
      <w:pPr>
        <w:pStyle w:val="FootnoteText"/>
        <w:rPr>
          <w:lang w:val="fr-BE"/>
        </w:rPr>
      </w:pPr>
      <w:r>
        <w:rPr>
          <w:rStyle w:val="FootnoteReference"/>
        </w:rPr>
        <w:footnoteRef/>
      </w:r>
      <w:r w:rsidRPr="006B04AC">
        <w:rPr>
          <w:lang w:val="fr-BE"/>
        </w:rPr>
        <w:t xml:space="preserve"> Le Fonds social européen+, Erasmus+, Horizon Europe, le Fonds européen de développement régional, le programme pour une Europe numérique, la facilité pour la reprise et la résilience et le Fonds pour une transition juste.</w:t>
      </w:r>
    </w:p>
  </w:footnote>
  <w:footnote w:id="38">
    <w:p w14:paraId="4AEFF65F" w14:textId="77777777" w:rsidR="006B04AC" w:rsidRPr="006B04AC" w:rsidRDefault="006B04AC" w:rsidP="006B04AC">
      <w:pPr>
        <w:pStyle w:val="FootnoteText"/>
        <w:rPr>
          <w:sz w:val="24"/>
          <w:szCs w:val="24"/>
          <w:lang w:val="fr-BE"/>
        </w:rPr>
      </w:pPr>
      <w:r>
        <w:rPr>
          <w:rStyle w:val="FootnoteReference"/>
        </w:rPr>
        <w:footnoteRef/>
      </w:r>
      <w:r w:rsidRPr="006B04AC">
        <w:rPr>
          <w:rStyle w:val="FootnoteReference"/>
          <w:lang w:val="fr-BE"/>
        </w:rPr>
        <w:t xml:space="preserve"> </w:t>
      </w:r>
      <w:r w:rsidRPr="006B04AC">
        <w:rPr>
          <w:lang w:val="fr-BE"/>
        </w:rPr>
        <w:t>Cela nécessite, entre autres, de renforcer la capacité de l’UE à contrôler et à protéger ses frontières, ce qui est un objectif clé de la réforme douanière à venir.</w:t>
      </w:r>
    </w:p>
  </w:footnote>
  <w:footnote w:id="39">
    <w:p w14:paraId="72CB704D" w14:textId="77777777" w:rsidR="006B04AC" w:rsidRPr="006B04AC" w:rsidRDefault="006B04AC" w:rsidP="006B04AC">
      <w:pPr>
        <w:pStyle w:val="FootnoteText"/>
        <w:rPr>
          <w:lang w:val="fr-BE"/>
        </w:rPr>
      </w:pPr>
      <w:r>
        <w:rPr>
          <w:rStyle w:val="FootnoteReference"/>
        </w:rPr>
        <w:footnoteRef/>
      </w:r>
      <w:r w:rsidRPr="006B04AC">
        <w:rPr>
          <w:lang w:val="fr-BE"/>
        </w:rPr>
        <w:t xml:space="preserve"> L’UE a lancé une «initiative africaine» et une «initiative méditerranéenne» dans le cadre d’Horizon Europe, chacune dotée d’un investissement total d’environ 300 millions d’EUR.</w:t>
      </w:r>
    </w:p>
  </w:footnote>
  <w:footnote w:id="40">
    <w:p w14:paraId="01A0395B" w14:textId="77777777" w:rsidR="006B04AC" w:rsidRPr="006B04AC" w:rsidRDefault="006B04AC" w:rsidP="006B04AC">
      <w:pPr>
        <w:pStyle w:val="FootnoteText"/>
        <w:rPr>
          <w:rFonts w:eastAsia="Segoe UI"/>
          <w:lang w:val="fr-BE"/>
        </w:rPr>
      </w:pPr>
      <w:r>
        <w:rPr>
          <w:rStyle w:val="FootnoteReference"/>
        </w:rPr>
        <w:footnoteRef/>
      </w:r>
      <w:r w:rsidRPr="006B04AC">
        <w:rPr>
          <w:lang w:val="fr-BE"/>
        </w:rPr>
        <w:t xml:space="preserve"> Tels qu’élaborés par la coalition des ministres du commerce pour le climat:</w:t>
      </w:r>
    </w:p>
    <w:p w14:paraId="7AC50370" w14:textId="77777777" w:rsidR="006B04AC" w:rsidRPr="006B04AC" w:rsidRDefault="006B04AC" w:rsidP="006B04AC">
      <w:pPr>
        <w:pStyle w:val="FootnoteText"/>
        <w:rPr>
          <w:rFonts w:ascii="Segoe UI" w:eastAsia="Segoe UI" w:hAnsi="Segoe UI" w:cs="Segoe UI"/>
          <w:color w:val="333333"/>
          <w:sz w:val="18"/>
          <w:szCs w:val="18"/>
          <w:lang w:val="fr-BE"/>
        </w:rPr>
      </w:pPr>
      <w:r w:rsidRPr="006B04AC">
        <w:rPr>
          <w:rFonts w:ascii="Segoe UI" w:hAnsi="Segoe UI"/>
          <w:color w:val="333333"/>
          <w:sz w:val="18"/>
          <w:lang w:val="fr-BE"/>
        </w:rPr>
        <w:t xml:space="preserve"> </w:t>
      </w:r>
      <w:r w:rsidRPr="006B04AC">
        <w:rPr>
          <w:lang w:val="fr-BE"/>
        </w:rPr>
        <w:t xml:space="preserve"> </w:t>
      </w:r>
      <w:hyperlink r:id="rId12" w:history="1">
        <w:r w:rsidRPr="006B04AC">
          <w:rPr>
            <w:rStyle w:val="Hyperlink"/>
            <w:rFonts w:ascii="Segoe UI" w:hAnsi="Segoe UI"/>
            <w:sz w:val="18"/>
            <w:lang w:val="fr-BE"/>
          </w:rPr>
          <w:t>https://ec.europa.eu/commission/presscorner/detail/fr/IP_23_248</w:t>
        </w:r>
      </w:hyperlink>
      <w:r w:rsidRPr="006B04AC">
        <w:rPr>
          <w:lang w:val="fr-BE"/>
        </w:rPr>
        <w:t>.</w:t>
      </w:r>
    </w:p>
  </w:footnote>
  <w:footnote w:id="41">
    <w:p w14:paraId="7321E668" w14:textId="77777777" w:rsidR="006B04AC" w:rsidRPr="001A29CF" w:rsidRDefault="006B04AC" w:rsidP="006B04AC">
      <w:pPr>
        <w:pStyle w:val="Footnote"/>
      </w:pPr>
      <w:r>
        <w:rPr>
          <w:rStyle w:val="FootnoteReference"/>
        </w:rPr>
        <w:footnoteRef/>
      </w:r>
      <w:r>
        <w:t xml:space="preserve"> Document de réflexion 094:</w:t>
      </w:r>
      <w:r>
        <w:rPr>
          <w:sz w:val="16"/>
        </w:rPr>
        <w:t xml:space="preserve"> </w:t>
      </w:r>
      <w:hyperlink r:id="rId13" w:history="1">
        <w:r>
          <w:rPr>
            <w:rStyle w:val="Hyperlink"/>
          </w:rPr>
          <w:t>Quantifying the Economic Effects of the Single Market in a Structural Macromodel (europa.eu)</w:t>
        </w:r>
      </w:hyperlink>
      <w:r>
        <w:t xml:space="preserve"> (Quantifier les effets économiques du marché unique dans un macromodèle structurel), Jan in’t Veld, 2019.</w:t>
      </w:r>
    </w:p>
  </w:footnote>
  <w:footnote w:id="42">
    <w:p w14:paraId="76911FC9" w14:textId="77777777" w:rsidR="006B04AC" w:rsidRPr="006B04AC" w:rsidRDefault="006B04AC" w:rsidP="006B04AC">
      <w:pPr>
        <w:pStyle w:val="FootnoteText"/>
        <w:rPr>
          <w:lang w:val="fr-BE"/>
        </w:rPr>
      </w:pPr>
      <w:r>
        <w:footnoteRef/>
      </w:r>
      <w:r w:rsidRPr="006B04AC">
        <w:rPr>
          <w:lang w:val="fr-BE"/>
        </w:rPr>
        <w:t xml:space="preserve"> Réunion informelle des chefs d’État ou de gouvernement, déclaration de Versailles du 11 mars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3E819" w14:textId="77777777" w:rsidR="000E38CB" w:rsidRPr="000E38CB" w:rsidRDefault="000E38CB" w:rsidP="000E3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51614" w14:textId="77777777" w:rsidR="000E38CB" w:rsidRPr="000E38CB" w:rsidRDefault="000E38CB" w:rsidP="000E38C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0718B" w14:textId="77777777" w:rsidR="000E38CB" w:rsidRPr="000E38CB" w:rsidRDefault="000E38CB" w:rsidP="000E38C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5DDD" w14:textId="77777777" w:rsidR="00E36658" w:rsidRDefault="00E366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19A7" w14:textId="77777777" w:rsidR="00E36658" w:rsidRPr="00520813" w:rsidRDefault="00E36658" w:rsidP="005208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DAAC9" w14:textId="77777777" w:rsidR="00E36658" w:rsidRDefault="00E36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FBC"/>
    <w:multiLevelType w:val="hybridMultilevel"/>
    <w:tmpl w:val="C9461AD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0EB953"/>
    <w:multiLevelType w:val="hybridMultilevel"/>
    <w:tmpl w:val="FFFFFFFF"/>
    <w:lvl w:ilvl="0" w:tplc="73E0D6CA">
      <w:start w:val="1"/>
      <w:numFmt w:val="bullet"/>
      <w:lvlText w:val="·"/>
      <w:lvlJc w:val="left"/>
      <w:pPr>
        <w:ind w:left="720" w:hanging="360"/>
      </w:pPr>
      <w:rPr>
        <w:rFonts w:ascii="Symbol" w:hAnsi="Symbol" w:hint="default"/>
      </w:rPr>
    </w:lvl>
    <w:lvl w:ilvl="1" w:tplc="85F0DAC0">
      <w:start w:val="1"/>
      <w:numFmt w:val="bullet"/>
      <w:lvlText w:val="o"/>
      <w:lvlJc w:val="left"/>
      <w:pPr>
        <w:ind w:left="1440" w:hanging="360"/>
      </w:pPr>
      <w:rPr>
        <w:rFonts w:ascii="Courier New" w:hAnsi="Courier New" w:hint="default"/>
      </w:rPr>
    </w:lvl>
    <w:lvl w:ilvl="2" w:tplc="895E6970">
      <w:start w:val="1"/>
      <w:numFmt w:val="bullet"/>
      <w:lvlText w:val=""/>
      <w:lvlJc w:val="left"/>
      <w:pPr>
        <w:ind w:left="2160" w:hanging="360"/>
      </w:pPr>
      <w:rPr>
        <w:rFonts w:ascii="Wingdings" w:hAnsi="Wingdings" w:hint="default"/>
      </w:rPr>
    </w:lvl>
    <w:lvl w:ilvl="3" w:tplc="59186738">
      <w:start w:val="1"/>
      <w:numFmt w:val="bullet"/>
      <w:lvlText w:val=""/>
      <w:lvlJc w:val="left"/>
      <w:pPr>
        <w:ind w:left="2880" w:hanging="360"/>
      </w:pPr>
      <w:rPr>
        <w:rFonts w:ascii="Symbol" w:hAnsi="Symbol" w:hint="default"/>
      </w:rPr>
    </w:lvl>
    <w:lvl w:ilvl="4" w:tplc="3F6A1A14">
      <w:start w:val="1"/>
      <w:numFmt w:val="bullet"/>
      <w:lvlText w:val="o"/>
      <w:lvlJc w:val="left"/>
      <w:pPr>
        <w:ind w:left="3600" w:hanging="360"/>
      </w:pPr>
      <w:rPr>
        <w:rFonts w:ascii="Courier New" w:hAnsi="Courier New" w:hint="default"/>
      </w:rPr>
    </w:lvl>
    <w:lvl w:ilvl="5" w:tplc="EDB86068">
      <w:start w:val="1"/>
      <w:numFmt w:val="bullet"/>
      <w:lvlText w:val=""/>
      <w:lvlJc w:val="left"/>
      <w:pPr>
        <w:ind w:left="4320" w:hanging="360"/>
      </w:pPr>
      <w:rPr>
        <w:rFonts w:ascii="Wingdings" w:hAnsi="Wingdings" w:hint="default"/>
      </w:rPr>
    </w:lvl>
    <w:lvl w:ilvl="6" w:tplc="E9A61E2C">
      <w:start w:val="1"/>
      <w:numFmt w:val="bullet"/>
      <w:lvlText w:val=""/>
      <w:lvlJc w:val="left"/>
      <w:pPr>
        <w:ind w:left="5040" w:hanging="360"/>
      </w:pPr>
      <w:rPr>
        <w:rFonts w:ascii="Symbol" w:hAnsi="Symbol" w:hint="default"/>
      </w:rPr>
    </w:lvl>
    <w:lvl w:ilvl="7" w:tplc="FAD0C2A8">
      <w:start w:val="1"/>
      <w:numFmt w:val="bullet"/>
      <w:lvlText w:val="o"/>
      <w:lvlJc w:val="left"/>
      <w:pPr>
        <w:ind w:left="5760" w:hanging="360"/>
      </w:pPr>
      <w:rPr>
        <w:rFonts w:ascii="Courier New" w:hAnsi="Courier New" w:hint="default"/>
      </w:rPr>
    </w:lvl>
    <w:lvl w:ilvl="8" w:tplc="26D2B134">
      <w:start w:val="1"/>
      <w:numFmt w:val="bullet"/>
      <w:lvlText w:val=""/>
      <w:lvlJc w:val="left"/>
      <w:pPr>
        <w:ind w:left="6480" w:hanging="360"/>
      </w:pPr>
      <w:rPr>
        <w:rFonts w:ascii="Wingdings" w:hAnsi="Wingdings" w:hint="default"/>
      </w:rPr>
    </w:lvl>
  </w:abstractNum>
  <w:abstractNum w:abstractNumId="2" w15:restartNumberingAfterBreak="0">
    <w:nsid w:val="059D1040"/>
    <w:multiLevelType w:val="hybridMultilevel"/>
    <w:tmpl w:val="D66C6F2E"/>
    <w:lvl w:ilvl="0" w:tplc="93800930">
      <w:start w:val="1"/>
      <w:numFmt w:val="bullet"/>
      <w:lvlText w:val=""/>
      <w:lvlJc w:val="left"/>
      <w:pPr>
        <w:ind w:left="720" w:hanging="360"/>
      </w:pPr>
      <w:rPr>
        <w:rFonts w:ascii="Symbol" w:hAnsi="Symbol" w:hint="default"/>
      </w:rPr>
    </w:lvl>
    <w:lvl w:ilvl="1" w:tplc="D4E2A2FE">
      <w:start w:val="1"/>
      <w:numFmt w:val="bullet"/>
      <w:lvlText w:val="o"/>
      <w:lvlJc w:val="left"/>
      <w:pPr>
        <w:ind w:left="1440" w:hanging="360"/>
      </w:pPr>
      <w:rPr>
        <w:rFonts w:ascii="Courier New" w:hAnsi="Courier New" w:hint="default"/>
      </w:rPr>
    </w:lvl>
    <w:lvl w:ilvl="2" w:tplc="562423B6">
      <w:start w:val="1"/>
      <w:numFmt w:val="bullet"/>
      <w:lvlText w:val=""/>
      <w:lvlJc w:val="left"/>
      <w:pPr>
        <w:ind w:left="2160" w:hanging="360"/>
      </w:pPr>
      <w:rPr>
        <w:rFonts w:ascii="Wingdings" w:hAnsi="Wingdings" w:hint="default"/>
      </w:rPr>
    </w:lvl>
    <w:lvl w:ilvl="3" w:tplc="640A6184">
      <w:start w:val="1"/>
      <w:numFmt w:val="bullet"/>
      <w:lvlText w:val=""/>
      <w:lvlJc w:val="left"/>
      <w:pPr>
        <w:ind w:left="2880" w:hanging="360"/>
      </w:pPr>
      <w:rPr>
        <w:rFonts w:ascii="Symbol" w:hAnsi="Symbol" w:hint="default"/>
      </w:rPr>
    </w:lvl>
    <w:lvl w:ilvl="4" w:tplc="6C6A822E">
      <w:start w:val="1"/>
      <w:numFmt w:val="bullet"/>
      <w:lvlText w:val="o"/>
      <w:lvlJc w:val="left"/>
      <w:pPr>
        <w:ind w:left="3600" w:hanging="360"/>
      </w:pPr>
      <w:rPr>
        <w:rFonts w:ascii="Courier New" w:hAnsi="Courier New" w:hint="default"/>
      </w:rPr>
    </w:lvl>
    <w:lvl w:ilvl="5" w:tplc="B4A6BBB4">
      <w:start w:val="1"/>
      <w:numFmt w:val="bullet"/>
      <w:lvlText w:val=""/>
      <w:lvlJc w:val="left"/>
      <w:pPr>
        <w:ind w:left="4320" w:hanging="360"/>
      </w:pPr>
      <w:rPr>
        <w:rFonts w:ascii="Wingdings" w:hAnsi="Wingdings" w:hint="default"/>
      </w:rPr>
    </w:lvl>
    <w:lvl w:ilvl="6" w:tplc="99F49C4E">
      <w:start w:val="1"/>
      <w:numFmt w:val="bullet"/>
      <w:lvlText w:val=""/>
      <w:lvlJc w:val="left"/>
      <w:pPr>
        <w:ind w:left="5040" w:hanging="360"/>
      </w:pPr>
      <w:rPr>
        <w:rFonts w:ascii="Symbol" w:hAnsi="Symbol" w:hint="default"/>
      </w:rPr>
    </w:lvl>
    <w:lvl w:ilvl="7" w:tplc="F2D20732">
      <w:start w:val="1"/>
      <w:numFmt w:val="bullet"/>
      <w:lvlText w:val="o"/>
      <w:lvlJc w:val="left"/>
      <w:pPr>
        <w:ind w:left="5760" w:hanging="360"/>
      </w:pPr>
      <w:rPr>
        <w:rFonts w:ascii="Courier New" w:hAnsi="Courier New" w:hint="default"/>
      </w:rPr>
    </w:lvl>
    <w:lvl w:ilvl="8" w:tplc="53AC5C24">
      <w:start w:val="1"/>
      <w:numFmt w:val="bullet"/>
      <w:lvlText w:val=""/>
      <w:lvlJc w:val="left"/>
      <w:pPr>
        <w:ind w:left="6480" w:hanging="360"/>
      </w:pPr>
      <w:rPr>
        <w:rFonts w:ascii="Wingdings" w:hAnsi="Wingdings" w:hint="default"/>
      </w:rPr>
    </w:lvl>
  </w:abstractNum>
  <w:abstractNum w:abstractNumId="3" w15:restartNumberingAfterBreak="0">
    <w:nsid w:val="0CE0913B"/>
    <w:multiLevelType w:val="hybridMultilevel"/>
    <w:tmpl w:val="FFFFFFFF"/>
    <w:lvl w:ilvl="0" w:tplc="1DC6A296">
      <w:start w:val="1"/>
      <w:numFmt w:val="bullet"/>
      <w:lvlText w:val="-"/>
      <w:lvlJc w:val="left"/>
      <w:pPr>
        <w:ind w:left="720" w:hanging="360"/>
      </w:pPr>
      <w:rPr>
        <w:rFonts w:ascii="Calibri" w:hAnsi="Calibri" w:hint="default"/>
      </w:rPr>
    </w:lvl>
    <w:lvl w:ilvl="1" w:tplc="F93E5AF8">
      <w:start w:val="1"/>
      <w:numFmt w:val="bullet"/>
      <w:lvlText w:val="o"/>
      <w:lvlJc w:val="left"/>
      <w:pPr>
        <w:ind w:left="1440" w:hanging="360"/>
      </w:pPr>
      <w:rPr>
        <w:rFonts w:ascii="Courier New" w:hAnsi="Courier New" w:hint="default"/>
      </w:rPr>
    </w:lvl>
    <w:lvl w:ilvl="2" w:tplc="33ACBD06">
      <w:start w:val="1"/>
      <w:numFmt w:val="bullet"/>
      <w:lvlText w:val=""/>
      <w:lvlJc w:val="left"/>
      <w:pPr>
        <w:ind w:left="2160" w:hanging="360"/>
      </w:pPr>
      <w:rPr>
        <w:rFonts w:ascii="Wingdings" w:hAnsi="Wingdings" w:hint="default"/>
      </w:rPr>
    </w:lvl>
    <w:lvl w:ilvl="3" w:tplc="330C9CB8">
      <w:start w:val="1"/>
      <w:numFmt w:val="bullet"/>
      <w:lvlText w:val=""/>
      <w:lvlJc w:val="left"/>
      <w:pPr>
        <w:ind w:left="2880" w:hanging="360"/>
      </w:pPr>
      <w:rPr>
        <w:rFonts w:ascii="Symbol" w:hAnsi="Symbol" w:hint="default"/>
      </w:rPr>
    </w:lvl>
    <w:lvl w:ilvl="4" w:tplc="AA4A6BC2">
      <w:start w:val="1"/>
      <w:numFmt w:val="bullet"/>
      <w:lvlText w:val="o"/>
      <w:lvlJc w:val="left"/>
      <w:pPr>
        <w:ind w:left="3600" w:hanging="360"/>
      </w:pPr>
      <w:rPr>
        <w:rFonts w:ascii="Courier New" w:hAnsi="Courier New" w:hint="default"/>
      </w:rPr>
    </w:lvl>
    <w:lvl w:ilvl="5" w:tplc="6EE83868">
      <w:start w:val="1"/>
      <w:numFmt w:val="bullet"/>
      <w:lvlText w:val=""/>
      <w:lvlJc w:val="left"/>
      <w:pPr>
        <w:ind w:left="4320" w:hanging="360"/>
      </w:pPr>
      <w:rPr>
        <w:rFonts w:ascii="Wingdings" w:hAnsi="Wingdings" w:hint="default"/>
      </w:rPr>
    </w:lvl>
    <w:lvl w:ilvl="6" w:tplc="6956891C">
      <w:start w:val="1"/>
      <w:numFmt w:val="bullet"/>
      <w:lvlText w:val=""/>
      <w:lvlJc w:val="left"/>
      <w:pPr>
        <w:ind w:left="5040" w:hanging="360"/>
      </w:pPr>
      <w:rPr>
        <w:rFonts w:ascii="Symbol" w:hAnsi="Symbol" w:hint="default"/>
      </w:rPr>
    </w:lvl>
    <w:lvl w:ilvl="7" w:tplc="6D2482E2">
      <w:start w:val="1"/>
      <w:numFmt w:val="bullet"/>
      <w:lvlText w:val="o"/>
      <w:lvlJc w:val="left"/>
      <w:pPr>
        <w:ind w:left="5760" w:hanging="360"/>
      </w:pPr>
      <w:rPr>
        <w:rFonts w:ascii="Courier New" w:hAnsi="Courier New" w:hint="default"/>
      </w:rPr>
    </w:lvl>
    <w:lvl w:ilvl="8" w:tplc="7ABE658C">
      <w:start w:val="1"/>
      <w:numFmt w:val="bullet"/>
      <w:lvlText w:val=""/>
      <w:lvlJc w:val="left"/>
      <w:pPr>
        <w:ind w:left="6480" w:hanging="360"/>
      </w:pPr>
      <w:rPr>
        <w:rFonts w:ascii="Wingdings" w:hAnsi="Wingdings" w:hint="default"/>
      </w:rPr>
    </w:lvl>
  </w:abstractNum>
  <w:abstractNum w:abstractNumId="4" w15:restartNumberingAfterBreak="0">
    <w:nsid w:val="0ED5367E"/>
    <w:multiLevelType w:val="hybridMultilevel"/>
    <w:tmpl w:val="8B68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B34D3"/>
    <w:multiLevelType w:val="hybridMultilevel"/>
    <w:tmpl w:val="FFFFFFFF"/>
    <w:lvl w:ilvl="0" w:tplc="67E40E4E">
      <w:start w:val="1"/>
      <w:numFmt w:val="bullet"/>
      <w:lvlText w:val="-"/>
      <w:lvlJc w:val="left"/>
      <w:pPr>
        <w:ind w:left="720" w:hanging="360"/>
      </w:pPr>
      <w:rPr>
        <w:rFonts w:ascii="Symbol" w:hAnsi="Symbol" w:hint="default"/>
      </w:rPr>
    </w:lvl>
    <w:lvl w:ilvl="1" w:tplc="48C4F41E">
      <w:start w:val="1"/>
      <w:numFmt w:val="bullet"/>
      <w:lvlText w:val="o"/>
      <w:lvlJc w:val="left"/>
      <w:pPr>
        <w:ind w:left="1440" w:hanging="360"/>
      </w:pPr>
      <w:rPr>
        <w:rFonts w:ascii="Courier New" w:hAnsi="Courier New" w:hint="default"/>
      </w:rPr>
    </w:lvl>
    <w:lvl w:ilvl="2" w:tplc="C4D240B0">
      <w:start w:val="1"/>
      <w:numFmt w:val="bullet"/>
      <w:lvlText w:val=""/>
      <w:lvlJc w:val="left"/>
      <w:pPr>
        <w:ind w:left="2160" w:hanging="360"/>
      </w:pPr>
      <w:rPr>
        <w:rFonts w:ascii="Wingdings" w:hAnsi="Wingdings" w:hint="default"/>
      </w:rPr>
    </w:lvl>
    <w:lvl w:ilvl="3" w:tplc="11EAADD4">
      <w:start w:val="1"/>
      <w:numFmt w:val="bullet"/>
      <w:lvlText w:val=""/>
      <w:lvlJc w:val="left"/>
      <w:pPr>
        <w:ind w:left="2880" w:hanging="360"/>
      </w:pPr>
      <w:rPr>
        <w:rFonts w:ascii="Symbol" w:hAnsi="Symbol" w:hint="default"/>
      </w:rPr>
    </w:lvl>
    <w:lvl w:ilvl="4" w:tplc="2D34A348">
      <w:start w:val="1"/>
      <w:numFmt w:val="bullet"/>
      <w:lvlText w:val="o"/>
      <w:lvlJc w:val="left"/>
      <w:pPr>
        <w:ind w:left="3600" w:hanging="360"/>
      </w:pPr>
      <w:rPr>
        <w:rFonts w:ascii="Courier New" w:hAnsi="Courier New" w:hint="default"/>
      </w:rPr>
    </w:lvl>
    <w:lvl w:ilvl="5" w:tplc="88EC45C4">
      <w:start w:val="1"/>
      <w:numFmt w:val="bullet"/>
      <w:lvlText w:val=""/>
      <w:lvlJc w:val="left"/>
      <w:pPr>
        <w:ind w:left="4320" w:hanging="360"/>
      </w:pPr>
      <w:rPr>
        <w:rFonts w:ascii="Wingdings" w:hAnsi="Wingdings" w:hint="default"/>
      </w:rPr>
    </w:lvl>
    <w:lvl w:ilvl="6" w:tplc="CC5441E6">
      <w:start w:val="1"/>
      <w:numFmt w:val="bullet"/>
      <w:lvlText w:val=""/>
      <w:lvlJc w:val="left"/>
      <w:pPr>
        <w:ind w:left="5040" w:hanging="360"/>
      </w:pPr>
      <w:rPr>
        <w:rFonts w:ascii="Symbol" w:hAnsi="Symbol" w:hint="default"/>
      </w:rPr>
    </w:lvl>
    <w:lvl w:ilvl="7" w:tplc="62746456">
      <w:start w:val="1"/>
      <w:numFmt w:val="bullet"/>
      <w:lvlText w:val="o"/>
      <w:lvlJc w:val="left"/>
      <w:pPr>
        <w:ind w:left="5760" w:hanging="360"/>
      </w:pPr>
      <w:rPr>
        <w:rFonts w:ascii="Courier New" w:hAnsi="Courier New" w:hint="default"/>
      </w:rPr>
    </w:lvl>
    <w:lvl w:ilvl="8" w:tplc="B876FD7C">
      <w:start w:val="1"/>
      <w:numFmt w:val="bullet"/>
      <w:lvlText w:val=""/>
      <w:lvlJc w:val="left"/>
      <w:pPr>
        <w:ind w:left="6480" w:hanging="360"/>
      </w:pPr>
      <w:rPr>
        <w:rFonts w:ascii="Wingdings" w:hAnsi="Wingdings" w:hint="default"/>
      </w:rPr>
    </w:lvl>
  </w:abstractNum>
  <w:abstractNum w:abstractNumId="6" w15:restartNumberingAfterBreak="0">
    <w:nsid w:val="13EFB75F"/>
    <w:multiLevelType w:val="hybridMultilevel"/>
    <w:tmpl w:val="FFFFFFFF"/>
    <w:lvl w:ilvl="0" w:tplc="31585528">
      <w:start w:val="1"/>
      <w:numFmt w:val="bullet"/>
      <w:lvlText w:val="-"/>
      <w:lvlJc w:val="left"/>
      <w:pPr>
        <w:ind w:left="720" w:hanging="360"/>
      </w:pPr>
      <w:rPr>
        <w:rFonts w:ascii="Calibri" w:hAnsi="Calibri" w:hint="default"/>
      </w:rPr>
    </w:lvl>
    <w:lvl w:ilvl="1" w:tplc="786663C0">
      <w:start w:val="1"/>
      <w:numFmt w:val="bullet"/>
      <w:lvlText w:val="o"/>
      <w:lvlJc w:val="left"/>
      <w:pPr>
        <w:ind w:left="1440" w:hanging="360"/>
      </w:pPr>
      <w:rPr>
        <w:rFonts w:ascii="Courier New" w:hAnsi="Courier New" w:hint="default"/>
      </w:rPr>
    </w:lvl>
    <w:lvl w:ilvl="2" w:tplc="47C6F38E">
      <w:start w:val="1"/>
      <w:numFmt w:val="bullet"/>
      <w:lvlText w:val=""/>
      <w:lvlJc w:val="left"/>
      <w:pPr>
        <w:ind w:left="2160" w:hanging="360"/>
      </w:pPr>
      <w:rPr>
        <w:rFonts w:ascii="Wingdings" w:hAnsi="Wingdings" w:hint="default"/>
      </w:rPr>
    </w:lvl>
    <w:lvl w:ilvl="3" w:tplc="347ABBAA">
      <w:start w:val="1"/>
      <w:numFmt w:val="bullet"/>
      <w:lvlText w:val=""/>
      <w:lvlJc w:val="left"/>
      <w:pPr>
        <w:ind w:left="2880" w:hanging="360"/>
      </w:pPr>
      <w:rPr>
        <w:rFonts w:ascii="Symbol" w:hAnsi="Symbol" w:hint="default"/>
      </w:rPr>
    </w:lvl>
    <w:lvl w:ilvl="4" w:tplc="F25C7E58">
      <w:start w:val="1"/>
      <w:numFmt w:val="bullet"/>
      <w:lvlText w:val="o"/>
      <w:lvlJc w:val="left"/>
      <w:pPr>
        <w:ind w:left="3600" w:hanging="360"/>
      </w:pPr>
      <w:rPr>
        <w:rFonts w:ascii="Courier New" w:hAnsi="Courier New" w:hint="default"/>
      </w:rPr>
    </w:lvl>
    <w:lvl w:ilvl="5" w:tplc="61EE63E4">
      <w:start w:val="1"/>
      <w:numFmt w:val="bullet"/>
      <w:lvlText w:val=""/>
      <w:lvlJc w:val="left"/>
      <w:pPr>
        <w:ind w:left="4320" w:hanging="360"/>
      </w:pPr>
      <w:rPr>
        <w:rFonts w:ascii="Wingdings" w:hAnsi="Wingdings" w:hint="default"/>
      </w:rPr>
    </w:lvl>
    <w:lvl w:ilvl="6" w:tplc="7FBE4002">
      <w:start w:val="1"/>
      <w:numFmt w:val="bullet"/>
      <w:lvlText w:val=""/>
      <w:lvlJc w:val="left"/>
      <w:pPr>
        <w:ind w:left="5040" w:hanging="360"/>
      </w:pPr>
      <w:rPr>
        <w:rFonts w:ascii="Symbol" w:hAnsi="Symbol" w:hint="default"/>
      </w:rPr>
    </w:lvl>
    <w:lvl w:ilvl="7" w:tplc="F9F82B5E">
      <w:start w:val="1"/>
      <w:numFmt w:val="bullet"/>
      <w:lvlText w:val="o"/>
      <w:lvlJc w:val="left"/>
      <w:pPr>
        <w:ind w:left="5760" w:hanging="360"/>
      </w:pPr>
      <w:rPr>
        <w:rFonts w:ascii="Courier New" w:hAnsi="Courier New" w:hint="default"/>
      </w:rPr>
    </w:lvl>
    <w:lvl w:ilvl="8" w:tplc="193C6D62">
      <w:start w:val="1"/>
      <w:numFmt w:val="bullet"/>
      <w:lvlText w:val=""/>
      <w:lvlJc w:val="left"/>
      <w:pPr>
        <w:ind w:left="6480" w:hanging="360"/>
      </w:pPr>
      <w:rPr>
        <w:rFonts w:ascii="Wingdings" w:hAnsi="Wingdings" w:hint="default"/>
      </w:rPr>
    </w:lvl>
  </w:abstractNum>
  <w:abstractNum w:abstractNumId="7" w15:restartNumberingAfterBreak="0">
    <w:nsid w:val="142CC78E"/>
    <w:multiLevelType w:val="hybridMultilevel"/>
    <w:tmpl w:val="FFFFFFFF"/>
    <w:lvl w:ilvl="0" w:tplc="61962108">
      <w:start w:val="1"/>
      <w:numFmt w:val="bullet"/>
      <w:lvlText w:val="·"/>
      <w:lvlJc w:val="left"/>
      <w:pPr>
        <w:ind w:left="720" w:hanging="360"/>
      </w:pPr>
      <w:rPr>
        <w:rFonts w:ascii="Symbol" w:hAnsi="Symbol" w:hint="default"/>
      </w:rPr>
    </w:lvl>
    <w:lvl w:ilvl="1" w:tplc="A66E4028">
      <w:start w:val="1"/>
      <w:numFmt w:val="bullet"/>
      <w:lvlText w:val="o"/>
      <w:lvlJc w:val="left"/>
      <w:pPr>
        <w:ind w:left="1440" w:hanging="360"/>
      </w:pPr>
      <w:rPr>
        <w:rFonts w:ascii="Courier New" w:hAnsi="Courier New" w:hint="default"/>
      </w:rPr>
    </w:lvl>
    <w:lvl w:ilvl="2" w:tplc="9086FE1C">
      <w:start w:val="1"/>
      <w:numFmt w:val="bullet"/>
      <w:lvlText w:val=""/>
      <w:lvlJc w:val="left"/>
      <w:pPr>
        <w:ind w:left="2160" w:hanging="360"/>
      </w:pPr>
      <w:rPr>
        <w:rFonts w:ascii="Wingdings" w:hAnsi="Wingdings" w:hint="default"/>
      </w:rPr>
    </w:lvl>
    <w:lvl w:ilvl="3" w:tplc="00C02832">
      <w:start w:val="1"/>
      <w:numFmt w:val="bullet"/>
      <w:lvlText w:val=""/>
      <w:lvlJc w:val="left"/>
      <w:pPr>
        <w:ind w:left="2880" w:hanging="360"/>
      </w:pPr>
      <w:rPr>
        <w:rFonts w:ascii="Symbol" w:hAnsi="Symbol" w:hint="default"/>
      </w:rPr>
    </w:lvl>
    <w:lvl w:ilvl="4" w:tplc="65281AD6">
      <w:start w:val="1"/>
      <w:numFmt w:val="bullet"/>
      <w:lvlText w:val="o"/>
      <w:lvlJc w:val="left"/>
      <w:pPr>
        <w:ind w:left="3600" w:hanging="360"/>
      </w:pPr>
      <w:rPr>
        <w:rFonts w:ascii="Courier New" w:hAnsi="Courier New" w:hint="default"/>
      </w:rPr>
    </w:lvl>
    <w:lvl w:ilvl="5" w:tplc="059C9A88">
      <w:start w:val="1"/>
      <w:numFmt w:val="bullet"/>
      <w:lvlText w:val=""/>
      <w:lvlJc w:val="left"/>
      <w:pPr>
        <w:ind w:left="4320" w:hanging="360"/>
      </w:pPr>
      <w:rPr>
        <w:rFonts w:ascii="Wingdings" w:hAnsi="Wingdings" w:hint="default"/>
      </w:rPr>
    </w:lvl>
    <w:lvl w:ilvl="6" w:tplc="C474222E">
      <w:start w:val="1"/>
      <w:numFmt w:val="bullet"/>
      <w:lvlText w:val=""/>
      <w:lvlJc w:val="left"/>
      <w:pPr>
        <w:ind w:left="5040" w:hanging="360"/>
      </w:pPr>
      <w:rPr>
        <w:rFonts w:ascii="Symbol" w:hAnsi="Symbol" w:hint="default"/>
      </w:rPr>
    </w:lvl>
    <w:lvl w:ilvl="7" w:tplc="B8B0C54C">
      <w:start w:val="1"/>
      <w:numFmt w:val="bullet"/>
      <w:lvlText w:val="o"/>
      <w:lvlJc w:val="left"/>
      <w:pPr>
        <w:ind w:left="5760" w:hanging="360"/>
      </w:pPr>
      <w:rPr>
        <w:rFonts w:ascii="Courier New" w:hAnsi="Courier New" w:hint="default"/>
      </w:rPr>
    </w:lvl>
    <w:lvl w:ilvl="8" w:tplc="6A329974">
      <w:start w:val="1"/>
      <w:numFmt w:val="bullet"/>
      <w:lvlText w:val=""/>
      <w:lvlJc w:val="left"/>
      <w:pPr>
        <w:ind w:left="6480" w:hanging="360"/>
      </w:pPr>
      <w:rPr>
        <w:rFonts w:ascii="Wingdings" w:hAnsi="Wingdings" w:hint="default"/>
      </w:rPr>
    </w:lvl>
  </w:abstractNum>
  <w:abstractNum w:abstractNumId="8" w15:restartNumberingAfterBreak="0">
    <w:nsid w:val="16ABB238"/>
    <w:multiLevelType w:val="hybridMultilevel"/>
    <w:tmpl w:val="FFFFFFFF"/>
    <w:lvl w:ilvl="0" w:tplc="A000B2AE">
      <w:start w:val="1"/>
      <w:numFmt w:val="bullet"/>
      <w:lvlText w:val="-"/>
      <w:lvlJc w:val="left"/>
      <w:pPr>
        <w:ind w:left="720" w:hanging="360"/>
      </w:pPr>
      <w:rPr>
        <w:rFonts w:ascii="Calibri" w:hAnsi="Calibri" w:hint="default"/>
      </w:rPr>
    </w:lvl>
    <w:lvl w:ilvl="1" w:tplc="508A21F8">
      <w:start w:val="1"/>
      <w:numFmt w:val="bullet"/>
      <w:lvlText w:val="o"/>
      <w:lvlJc w:val="left"/>
      <w:pPr>
        <w:ind w:left="1440" w:hanging="360"/>
      </w:pPr>
      <w:rPr>
        <w:rFonts w:ascii="Courier New" w:hAnsi="Courier New" w:hint="default"/>
      </w:rPr>
    </w:lvl>
    <w:lvl w:ilvl="2" w:tplc="8600119E">
      <w:start w:val="1"/>
      <w:numFmt w:val="bullet"/>
      <w:lvlText w:val=""/>
      <w:lvlJc w:val="left"/>
      <w:pPr>
        <w:ind w:left="2160" w:hanging="360"/>
      </w:pPr>
      <w:rPr>
        <w:rFonts w:ascii="Wingdings" w:hAnsi="Wingdings" w:hint="default"/>
      </w:rPr>
    </w:lvl>
    <w:lvl w:ilvl="3" w:tplc="4762CBE4">
      <w:start w:val="1"/>
      <w:numFmt w:val="bullet"/>
      <w:lvlText w:val=""/>
      <w:lvlJc w:val="left"/>
      <w:pPr>
        <w:ind w:left="2880" w:hanging="360"/>
      </w:pPr>
      <w:rPr>
        <w:rFonts w:ascii="Symbol" w:hAnsi="Symbol" w:hint="default"/>
      </w:rPr>
    </w:lvl>
    <w:lvl w:ilvl="4" w:tplc="9D4A8C00">
      <w:start w:val="1"/>
      <w:numFmt w:val="bullet"/>
      <w:lvlText w:val="o"/>
      <w:lvlJc w:val="left"/>
      <w:pPr>
        <w:ind w:left="3600" w:hanging="360"/>
      </w:pPr>
      <w:rPr>
        <w:rFonts w:ascii="Courier New" w:hAnsi="Courier New" w:hint="default"/>
      </w:rPr>
    </w:lvl>
    <w:lvl w:ilvl="5" w:tplc="3E5A95AE">
      <w:start w:val="1"/>
      <w:numFmt w:val="bullet"/>
      <w:lvlText w:val=""/>
      <w:lvlJc w:val="left"/>
      <w:pPr>
        <w:ind w:left="4320" w:hanging="360"/>
      </w:pPr>
      <w:rPr>
        <w:rFonts w:ascii="Wingdings" w:hAnsi="Wingdings" w:hint="default"/>
      </w:rPr>
    </w:lvl>
    <w:lvl w:ilvl="6" w:tplc="A2C4B13E">
      <w:start w:val="1"/>
      <w:numFmt w:val="bullet"/>
      <w:lvlText w:val=""/>
      <w:lvlJc w:val="left"/>
      <w:pPr>
        <w:ind w:left="5040" w:hanging="360"/>
      </w:pPr>
      <w:rPr>
        <w:rFonts w:ascii="Symbol" w:hAnsi="Symbol" w:hint="default"/>
      </w:rPr>
    </w:lvl>
    <w:lvl w:ilvl="7" w:tplc="210AFC72">
      <w:start w:val="1"/>
      <w:numFmt w:val="bullet"/>
      <w:lvlText w:val="o"/>
      <w:lvlJc w:val="left"/>
      <w:pPr>
        <w:ind w:left="5760" w:hanging="360"/>
      </w:pPr>
      <w:rPr>
        <w:rFonts w:ascii="Courier New" w:hAnsi="Courier New" w:hint="default"/>
      </w:rPr>
    </w:lvl>
    <w:lvl w:ilvl="8" w:tplc="379CE31C">
      <w:start w:val="1"/>
      <w:numFmt w:val="bullet"/>
      <w:lvlText w:val=""/>
      <w:lvlJc w:val="left"/>
      <w:pPr>
        <w:ind w:left="6480" w:hanging="360"/>
      </w:pPr>
      <w:rPr>
        <w:rFonts w:ascii="Wingdings" w:hAnsi="Wingdings" w:hint="default"/>
      </w:rPr>
    </w:lvl>
  </w:abstractNum>
  <w:abstractNum w:abstractNumId="9" w15:restartNumberingAfterBreak="0">
    <w:nsid w:val="1AF57B8E"/>
    <w:multiLevelType w:val="hybridMultilevel"/>
    <w:tmpl w:val="AB14A8FC"/>
    <w:lvl w:ilvl="0" w:tplc="745C5F22">
      <w:start w:val="1"/>
      <w:numFmt w:val="decimal"/>
      <w:lvlText w:val="%1."/>
      <w:lvlJc w:val="left"/>
      <w:pPr>
        <w:ind w:left="720" w:hanging="360"/>
      </w:pPr>
    </w:lvl>
    <w:lvl w:ilvl="1" w:tplc="266C8844">
      <w:start w:val="1"/>
      <w:numFmt w:val="lowerLetter"/>
      <w:lvlText w:val="%2."/>
      <w:lvlJc w:val="left"/>
      <w:pPr>
        <w:ind w:left="1440" w:hanging="360"/>
      </w:pPr>
    </w:lvl>
    <w:lvl w:ilvl="2" w:tplc="27321EE4">
      <w:start w:val="1"/>
      <w:numFmt w:val="lowerRoman"/>
      <w:lvlText w:val="%3."/>
      <w:lvlJc w:val="right"/>
      <w:pPr>
        <w:ind w:left="2160" w:hanging="180"/>
      </w:pPr>
    </w:lvl>
    <w:lvl w:ilvl="3" w:tplc="65469842">
      <w:start w:val="1"/>
      <w:numFmt w:val="decimal"/>
      <w:lvlText w:val="%4."/>
      <w:lvlJc w:val="left"/>
      <w:pPr>
        <w:ind w:left="2880" w:hanging="360"/>
      </w:pPr>
    </w:lvl>
    <w:lvl w:ilvl="4" w:tplc="C9A08A44">
      <w:start w:val="1"/>
      <w:numFmt w:val="lowerLetter"/>
      <w:lvlText w:val="%5."/>
      <w:lvlJc w:val="left"/>
      <w:pPr>
        <w:ind w:left="3600" w:hanging="360"/>
      </w:pPr>
    </w:lvl>
    <w:lvl w:ilvl="5" w:tplc="E09AF14A">
      <w:start w:val="1"/>
      <w:numFmt w:val="lowerRoman"/>
      <w:lvlText w:val="%6."/>
      <w:lvlJc w:val="right"/>
      <w:pPr>
        <w:ind w:left="4320" w:hanging="180"/>
      </w:pPr>
    </w:lvl>
    <w:lvl w:ilvl="6" w:tplc="588C6F22">
      <w:start w:val="1"/>
      <w:numFmt w:val="decimal"/>
      <w:lvlText w:val="%7."/>
      <w:lvlJc w:val="left"/>
      <w:pPr>
        <w:ind w:left="5040" w:hanging="360"/>
      </w:pPr>
    </w:lvl>
    <w:lvl w:ilvl="7" w:tplc="E74AB6B4">
      <w:start w:val="1"/>
      <w:numFmt w:val="lowerLetter"/>
      <w:lvlText w:val="%8."/>
      <w:lvlJc w:val="left"/>
      <w:pPr>
        <w:ind w:left="5760" w:hanging="360"/>
      </w:pPr>
    </w:lvl>
    <w:lvl w:ilvl="8" w:tplc="AAB44796">
      <w:start w:val="1"/>
      <w:numFmt w:val="lowerRoman"/>
      <w:lvlText w:val="%9."/>
      <w:lvlJc w:val="right"/>
      <w:pPr>
        <w:ind w:left="6480" w:hanging="180"/>
      </w:pPr>
    </w:lvl>
  </w:abstractNum>
  <w:abstractNum w:abstractNumId="10" w15:restartNumberingAfterBreak="0">
    <w:nsid w:val="1C7B624F"/>
    <w:multiLevelType w:val="multilevel"/>
    <w:tmpl w:val="CC8459D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D07667D"/>
    <w:multiLevelType w:val="hybridMultilevel"/>
    <w:tmpl w:val="2D322202"/>
    <w:lvl w:ilvl="0" w:tplc="19845E3C">
      <w:start w:val="1"/>
      <w:numFmt w:val="decimal"/>
      <w:lvlText w:val="%1."/>
      <w:lvlJc w:val="left"/>
      <w:pPr>
        <w:ind w:left="720" w:hanging="360"/>
      </w:pPr>
    </w:lvl>
    <w:lvl w:ilvl="1" w:tplc="BAF01994">
      <w:start w:val="1"/>
      <w:numFmt w:val="lowerLetter"/>
      <w:lvlText w:val="%2."/>
      <w:lvlJc w:val="left"/>
      <w:pPr>
        <w:ind w:left="1440" w:hanging="360"/>
      </w:pPr>
    </w:lvl>
    <w:lvl w:ilvl="2" w:tplc="A858B83E">
      <w:start w:val="1"/>
      <w:numFmt w:val="lowerRoman"/>
      <w:lvlText w:val="%3."/>
      <w:lvlJc w:val="right"/>
      <w:pPr>
        <w:ind w:left="2160" w:hanging="180"/>
      </w:pPr>
    </w:lvl>
    <w:lvl w:ilvl="3" w:tplc="C78830A2">
      <w:start w:val="1"/>
      <w:numFmt w:val="decimal"/>
      <w:lvlText w:val="%4."/>
      <w:lvlJc w:val="left"/>
      <w:pPr>
        <w:ind w:left="2880" w:hanging="360"/>
      </w:pPr>
    </w:lvl>
    <w:lvl w:ilvl="4" w:tplc="268E7AC8">
      <w:start w:val="1"/>
      <w:numFmt w:val="lowerLetter"/>
      <w:lvlText w:val="%5."/>
      <w:lvlJc w:val="left"/>
      <w:pPr>
        <w:ind w:left="3600" w:hanging="360"/>
      </w:pPr>
    </w:lvl>
    <w:lvl w:ilvl="5" w:tplc="B3C4F5B8">
      <w:start w:val="1"/>
      <w:numFmt w:val="lowerRoman"/>
      <w:lvlText w:val="%6."/>
      <w:lvlJc w:val="right"/>
      <w:pPr>
        <w:ind w:left="4320" w:hanging="180"/>
      </w:pPr>
    </w:lvl>
    <w:lvl w:ilvl="6" w:tplc="263C16A4">
      <w:start w:val="1"/>
      <w:numFmt w:val="decimal"/>
      <w:lvlText w:val="%7."/>
      <w:lvlJc w:val="left"/>
      <w:pPr>
        <w:ind w:left="5040" w:hanging="360"/>
      </w:pPr>
    </w:lvl>
    <w:lvl w:ilvl="7" w:tplc="E1A620F8">
      <w:start w:val="1"/>
      <w:numFmt w:val="lowerLetter"/>
      <w:lvlText w:val="%8."/>
      <w:lvlJc w:val="left"/>
      <w:pPr>
        <w:ind w:left="5760" w:hanging="360"/>
      </w:pPr>
    </w:lvl>
    <w:lvl w:ilvl="8" w:tplc="3C62F130">
      <w:start w:val="1"/>
      <w:numFmt w:val="lowerRoman"/>
      <w:lvlText w:val="%9."/>
      <w:lvlJc w:val="right"/>
      <w:pPr>
        <w:ind w:left="6480" w:hanging="180"/>
      </w:pPr>
    </w:lvl>
  </w:abstractNum>
  <w:abstractNum w:abstractNumId="12" w15:restartNumberingAfterBreak="0">
    <w:nsid w:val="262D3E09"/>
    <w:multiLevelType w:val="hybridMultilevel"/>
    <w:tmpl w:val="47248C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94171C"/>
    <w:multiLevelType w:val="hybridMultilevel"/>
    <w:tmpl w:val="582C0D20"/>
    <w:lvl w:ilvl="0" w:tplc="0038D014">
      <w:start w:val="1"/>
      <w:numFmt w:val="decimal"/>
      <w:lvlText w:val="%1."/>
      <w:lvlJc w:val="left"/>
      <w:pPr>
        <w:ind w:left="720" w:hanging="360"/>
      </w:pPr>
    </w:lvl>
    <w:lvl w:ilvl="1" w:tplc="0C8E20EC">
      <w:start w:val="1"/>
      <w:numFmt w:val="lowerLetter"/>
      <w:lvlText w:val="%2."/>
      <w:lvlJc w:val="left"/>
      <w:pPr>
        <w:ind w:left="1440" w:hanging="360"/>
      </w:pPr>
    </w:lvl>
    <w:lvl w:ilvl="2" w:tplc="70FE5540">
      <w:start w:val="1"/>
      <w:numFmt w:val="lowerRoman"/>
      <w:lvlText w:val="%3."/>
      <w:lvlJc w:val="right"/>
      <w:pPr>
        <w:ind w:left="2160" w:hanging="180"/>
      </w:pPr>
    </w:lvl>
    <w:lvl w:ilvl="3" w:tplc="0598F79A">
      <w:start w:val="1"/>
      <w:numFmt w:val="decimal"/>
      <w:lvlText w:val="%4."/>
      <w:lvlJc w:val="left"/>
      <w:pPr>
        <w:ind w:left="2880" w:hanging="360"/>
      </w:pPr>
    </w:lvl>
    <w:lvl w:ilvl="4" w:tplc="5156C880">
      <w:start w:val="1"/>
      <w:numFmt w:val="lowerLetter"/>
      <w:lvlText w:val="%5."/>
      <w:lvlJc w:val="left"/>
      <w:pPr>
        <w:ind w:left="3600" w:hanging="360"/>
      </w:pPr>
    </w:lvl>
    <w:lvl w:ilvl="5" w:tplc="628AA0DA">
      <w:start w:val="1"/>
      <w:numFmt w:val="lowerRoman"/>
      <w:lvlText w:val="%6."/>
      <w:lvlJc w:val="right"/>
      <w:pPr>
        <w:ind w:left="4320" w:hanging="180"/>
      </w:pPr>
    </w:lvl>
    <w:lvl w:ilvl="6" w:tplc="4ED26306">
      <w:start w:val="1"/>
      <w:numFmt w:val="decimal"/>
      <w:lvlText w:val="%7."/>
      <w:lvlJc w:val="left"/>
      <w:pPr>
        <w:ind w:left="5040" w:hanging="360"/>
      </w:pPr>
    </w:lvl>
    <w:lvl w:ilvl="7" w:tplc="77940860">
      <w:start w:val="1"/>
      <w:numFmt w:val="lowerLetter"/>
      <w:lvlText w:val="%8."/>
      <w:lvlJc w:val="left"/>
      <w:pPr>
        <w:ind w:left="5760" w:hanging="360"/>
      </w:pPr>
    </w:lvl>
    <w:lvl w:ilvl="8" w:tplc="AA225336">
      <w:start w:val="1"/>
      <w:numFmt w:val="lowerRoman"/>
      <w:lvlText w:val="%9."/>
      <w:lvlJc w:val="right"/>
      <w:pPr>
        <w:ind w:left="6480" w:hanging="180"/>
      </w:pPr>
    </w:lvl>
  </w:abstractNum>
  <w:abstractNum w:abstractNumId="14" w15:restartNumberingAfterBreak="0">
    <w:nsid w:val="2C231C4F"/>
    <w:multiLevelType w:val="hybridMultilevel"/>
    <w:tmpl w:val="FFFFFFFF"/>
    <w:lvl w:ilvl="0" w:tplc="D33E946A">
      <w:start w:val="1"/>
      <w:numFmt w:val="bullet"/>
      <w:lvlText w:val="-"/>
      <w:lvlJc w:val="left"/>
      <w:pPr>
        <w:ind w:left="720" w:hanging="360"/>
      </w:pPr>
      <w:rPr>
        <w:rFonts w:ascii="Symbol" w:hAnsi="Symbol" w:hint="default"/>
      </w:rPr>
    </w:lvl>
    <w:lvl w:ilvl="1" w:tplc="2A0EC1F6">
      <w:start w:val="1"/>
      <w:numFmt w:val="bullet"/>
      <w:lvlText w:val="o"/>
      <w:lvlJc w:val="left"/>
      <w:pPr>
        <w:ind w:left="1440" w:hanging="360"/>
      </w:pPr>
      <w:rPr>
        <w:rFonts w:ascii="Courier New" w:hAnsi="Courier New" w:hint="default"/>
      </w:rPr>
    </w:lvl>
    <w:lvl w:ilvl="2" w:tplc="AB22DDCE">
      <w:start w:val="1"/>
      <w:numFmt w:val="bullet"/>
      <w:lvlText w:val=""/>
      <w:lvlJc w:val="left"/>
      <w:pPr>
        <w:ind w:left="2160" w:hanging="360"/>
      </w:pPr>
      <w:rPr>
        <w:rFonts w:ascii="Wingdings" w:hAnsi="Wingdings" w:hint="default"/>
      </w:rPr>
    </w:lvl>
    <w:lvl w:ilvl="3" w:tplc="EC761D18">
      <w:start w:val="1"/>
      <w:numFmt w:val="bullet"/>
      <w:lvlText w:val=""/>
      <w:lvlJc w:val="left"/>
      <w:pPr>
        <w:ind w:left="2880" w:hanging="360"/>
      </w:pPr>
      <w:rPr>
        <w:rFonts w:ascii="Symbol" w:hAnsi="Symbol" w:hint="default"/>
      </w:rPr>
    </w:lvl>
    <w:lvl w:ilvl="4" w:tplc="9A065BC8">
      <w:start w:val="1"/>
      <w:numFmt w:val="bullet"/>
      <w:lvlText w:val="o"/>
      <w:lvlJc w:val="left"/>
      <w:pPr>
        <w:ind w:left="3600" w:hanging="360"/>
      </w:pPr>
      <w:rPr>
        <w:rFonts w:ascii="Courier New" w:hAnsi="Courier New" w:hint="default"/>
      </w:rPr>
    </w:lvl>
    <w:lvl w:ilvl="5" w:tplc="79FC3C16">
      <w:start w:val="1"/>
      <w:numFmt w:val="bullet"/>
      <w:lvlText w:val=""/>
      <w:lvlJc w:val="left"/>
      <w:pPr>
        <w:ind w:left="4320" w:hanging="360"/>
      </w:pPr>
      <w:rPr>
        <w:rFonts w:ascii="Wingdings" w:hAnsi="Wingdings" w:hint="default"/>
      </w:rPr>
    </w:lvl>
    <w:lvl w:ilvl="6" w:tplc="94E48AEE">
      <w:start w:val="1"/>
      <w:numFmt w:val="bullet"/>
      <w:lvlText w:val=""/>
      <w:lvlJc w:val="left"/>
      <w:pPr>
        <w:ind w:left="5040" w:hanging="360"/>
      </w:pPr>
      <w:rPr>
        <w:rFonts w:ascii="Symbol" w:hAnsi="Symbol" w:hint="default"/>
      </w:rPr>
    </w:lvl>
    <w:lvl w:ilvl="7" w:tplc="43AC879E">
      <w:start w:val="1"/>
      <w:numFmt w:val="bullet"/>
      <w:lvlText w:val="o"/>
      <w:lvlJc w:val="left"/>
      <w:pPr>
        <w:ind w:left="5760" w:hanging="360"/>
      </w:pPr>
      <w:rPr>
        <w:rFonts w:ascii="Courier New" w:hAnsi="Courier New" w:hint="default"/>
      </w:rPr>
    </w:lvl>
    <w:lvl w:ilvl="8" w:tplc="4E301A18">
      <w:start w:val="1"/>
      <w:numFmt w:val="bullet"/>
      <w:lvlText w:val=""/>
      <w:lvlJc w:val="left"/>
      <w:pPr>
        <w:ind w:left="6480" w:hanging="360"/>
      </w:pPr>
      <w:rPr>
        <w:rFonts w:ascii="Wingdings" w:hAnsi="Wingdings" w:hint="default"/>
      </w:rPr>
    </w:lvl>
  </w:abstractNum>
  <w:abstractNum w:abstractNumId="15" w15:restartNumberingAfterBreak="0">
    <w:nsid w:val="2D74EC87"/>
    <w:multiLevelType w:val="hybridMultilevel"/>
    <w:tmpl w:val="FFFFFFFF"/>
    <w:lvl w:ilvl="0" w:tplc="94CE2134">
      <w:start w:val="1"/>
      <w:numFmt w:val="bullet"/>
      <w:lvlText w:val="-"/>
      <w:lvlJc w:val="left"/>
      <w:pPr>
        <w:ind w:left="720" w:hanging="360"/>
      </w:pPr>
      <w:rPr>
        <w:rFonts w:ascii="Calibri" w:hAnsi="Calibri" w:hint="default"/>
      </w:rPr>
    </w:lvl>
    <w:lvl w:ilvl="1" w:tplc="1D6AD740">
      <w:start w:val="1"/>
      <w:numFmt w:val="bullet"/>
      <w:lvlText w:val="o"/>
      <w:lvlJc w:val="left"/>
      <w:pPr>
        <w:ind w:left="1440" w:hanging="360"/>
      </w:pPr>
      <w:rPr>
        <w:rFonts w:ascii="Courier New" w:hAnsi="Courier New" w:hint="default"/>
      </w:rPr>
    </w:lvl>
    <w:lvl w:ilvl="2" w:tplc="4E3A6E0E">
      <w:start w:val="1"/>
      <w:numFmt w:val="bullet"/>
      <w:lvlText w:val=""/>
      <w:lvlJc w:val="left"/>
      <w:pPr>
        <w:ind w:left="2160" w:hanging="360"/>
      </w:pPr>
      <w:rPr>
        <w:rFonts w:ascii="Wingdings" w:hAnsi="Wingdings" w:hint="default"/>
      </w:rPr>
    </w:lvl>
    <w:lvl w:ilvl="3" w:tplc="9E281236">
      <w:start w:val="1"/>
      <w:numFmt w:val="bullet"/>
      <w:lvlText w:val=""/>
      <w:lvlJc w:val="left"/>
      <w:pPr>
        <w:ind w:left="2880" w:hanging="360"/>
      </w:pPr>
      <w:rPr>
        <w:rFonts w:ascii="Symbol" w:hAnsi="Symbol" w:hint="default"/>
      </w:rPr>
    </w:lvl>
    <w:lvl w:ilvl="4" w:tplc="F76A255A">
      <w:start w:val="1"/>
      <w:numFmt w:val="bullet"/>
      <w:lvlText w:val="o"/>
      <w:lvlJc w:val="left"/>
      <w:pPr>
        <w:ind w:left="3600" w:hanging="360"/>
      </w:pPr>
      <w:rPr>
        <w:rFonts w:ascii="Courier New" w:hAnsi="Courier New" w:hint="default"/>
      </w:rPr>
    </w:lvl>
    <w:lvl w:ilvl="5" w:tplc="39BC6676">
      <w:start w:val="1"/>
      <w:numFmt w:val="bullet"/>
      <w:lvlText w:val=""/>
      <w:lvlJc w:val="left"/>
      <w:pPr>
        <w:ind w:left="4320" w:hanging="360"/>
      </w:pPr>
      <w:rPr>
        <w:rFonts w:ascii="Wingdings" w:hAnsi="Wingdings" w:hint="default"/>
      </w:rPr>
    </w:lvl>
    <w:lvl w:ilvl="6" w:tplc="2BB29F9E">
      <w:start w:val="1"/>
      <w:numFmt w:val="bullet"/>
      <w:lvlText w:val=""/>
      <w:lvlJc w:val="left"/>
      <w:pPr>
        <w:ind w:left="5040" w:hanging="360"/>
      </w:pPr>
      <w:rPr>
        <w:rFonts w:ascii="Symbol" w:hAnsi="Symbol" w:hint="default"/>
      </w:rPr>
    </w:lvl>
    <w:lvl w:ilvl="7" w:tplc="DF36AB8A">
      <w:start w:val="1"/>
      <w:numFmt w:val="bullet"/>
      <w:lvlText w:val="o"/>
      <w:lvlJc w:val="left"/>
      <w:pPr>
        <w:ind w:left="5760" w:hanging="360"/>
      </w:pPr>
      <w:rPr>
        <w:rFonts w:ascii="Courier New" w:hAnsi="Courier New" w:hint="default"/>
      </w:rPr>
    </w:lvl>
    <w:lvl w:ilvl="8" w:tplc="7BA8521A">
      <w:start w:val="1"/>
      <w:numFmt w:val="bullet"/>
      <w:lvlText w:val=""/>
      <w:lvlJc w:val="left"/>
      <w:pPr>
        <w:ind w:left="6480" w:hanging="360"/>
      </w:pPr>
      <w:rPr>
        <w:rFonts w:ascii="Wingdings" w:hAnsi="Wingdings" w:hint="default"/>
      </w:rPr>
    </w:lvl>
  </w:abstractNum>
  <w:abstractNum w:abstractNumId="16" w15:restartNumberingAfterBreak="0">
    <w:nsid w:val="32D27922"/>
    <w:multiLevelType w:val="hybridMultilevel"/>
    <w:tmpl w:val="C9462056"/>
    <w:lvl w:ilvl="0" w:tplc="FD4E4EBA">
      <w:start w:val="1"/>
      <w:numFmt w:val="decimal"/>
      <w:lvlText w:val="%1."/>
      <w:lvlJc w:val="left"/>
      <w:pPr>
        <w:ind w:left="720" w:hanging="360"/>
      </w:pPr>
    </w:lvl>
    <w:lvl w:ilvl="1" w:tplc="83EC7B7A">
      <w:start w:val="1"/>
      <w:numFmt w:val="lowerLetter"/>
      <w:lvlText w:val="%2."/>
      <w:lvlJc w:val="left"/>
      <w:pPr>
        <w:ind w:left="1440" w:hanging="360"/>
      </w:pPr>
    </w:lvl>
    <w:lvl w:ilvl="2" w:tplc="6B82BFB2">
      <w:start w:val="1"/>
      <w:numFmt w:val="lowerRoman"/>
      <w:lvlText w:val="%3."/>
      <w:lvlJc w:val="right"/>
      <w:pPr>
        <w:ind w:left="2160" w:hanging="180"/>
      </w:pPr>
    </w:lvl>
    <w:lvl w:ilvl="3" w:tplc="AA72819C">
      <w:start w:val="1"/>
      <w:numFmt w:val="decimal"/>
      <w:lvlText w:val="%4."/>
      <w:lvlJc w:val="left"/>
      <w:pPr>
        <w:ind w:left="2880" w:hanging="360"/>
      </w:pPr>
    </w:lvl>
    <w:lvl w:ilvl="4" w:tplc="C820FA44">
      <w:start w:val="1"/>
      <w:numFmt w:val="lowerLetter"/>
      <w:lvlText w:val="%5."/>
      <w:lvlJc w:val="left"/>
      <w:pPr>
        <w:ind w:left="3600" w:hanging="360"/>
      </w:pPr>
    </w:lvl>
    <w:lvl w:ilvl="5" w:tplc="83F4AB58">
      <w:start w:val="1"/>
      <w:numFmt w:val="lowerRoman"/>
      <w:lvlText w:val="%6."/>
      <w:lvlJc w:val="right"/>
      <w:pPr>
        <w:ind w:left="4320" w:hanging="180"/>
      </w:pPr>
    </w:lvl>
    <w:lvl w:ilvl="6" w:tplc="D332D1B2">
      <w:start w:val="1"/>
      <w:numFmt w:val="decimal"/>
      <w:lvlText w:val="%7."/>
      <w:lvlJc w:val="left"/>
      <w:pPr>
        <w:ind w:left="5040" w:hanging="360"/>
      </w:pPr>
    </w:lvl>
    <w:lvl w:ilvl="7" w:tplc="4C142DAE">
      <w:start w:val="1"/>
      <w:numFmt w:val="lowerLetter"/>
      <w:lvlText w:val="%8."/>
      <w:lvlJc w:val="left"/>
      <w:pPr>
        <w:ind w:left="5760" w:hanging="360"/>
      </w:pPr>
    </w:lvl>
    <w:lvl w:ilvl="8" w:tplc="E556A9CE">
      <w:start w:val="1"/>
      <w:numFmt w:val="lowerRoman"/>
      <w:lvlText w:val="%9."/>
      <w:lvlJc w:val="right"/>
      <w:pPr>
        <w:ind w:left="6480" w:hanging="180"/>
      </w:pPr>
    </w:lvl>
  </w:abstractNum>
  <w:abstractNum w:abstractNumId="17" w15:restartNumberingAfterBreak="0">
    <w:nsid w:val="36378508"/>
    <w:multiLevelType w:val="hybridMultilevel"/>
    <w:tmpl w:val="FFFFFFFF"/>
    <w:lvl w:ilvl="0" w:tplc="837A70CE">
      <w:start w:val="1"/>
      <w:numFmt w:val="bullet"/>
      <w:lvlText w:val="-"/>
      <w:lvlJc w:val="left"/>
      <w:pPr>
        <w:ind w:left="720" w:hanging="360"/>
      </w:pPr>
      <w:rPr>
        <w:rFonts w:ascii="Calibri" w:hAnsi="Calibri" w:hint="default"/>
      </w:rPr>
    </w:lvl>
    <w:lvl w:ilvl="1" w:tplc="F0A23FAE">
      <w:start w:val="1"/>
      <w:numFmt w:val="bullet"/>
      <w:lvlText w:val="o"/>
      <w:lvlJc w:val="left"/>
      <w:pPr>
        <w:ind w:left="1440" w:hanging="360"/>
      </w:pPr>
      <w:rPr>
        <w:rFonts w:ascii="Courier New" w:hAnsi="Courier New" w:hint="default"/>
      </w:rPr>
    </w:lvl>
    <w:lvl w:ilvl="2" w:tplc="61A8C61C">
      <w:start w:val="1"/>
      <w:numFmt w:val="bullet"/>
      <w:lvlText w:val=""/>
      <w:lvlJc w:val="left"/>
      <w:pPr>
        <w:ind w:left="2160" w:hanging="360"/>
      </w:pPr>
      <w:rPr>
        <w:rFonts w:ascii="Wingdings" w:hAnsi="Wingdings" w:hint="default"/>
      </w:rPr>
    </w:lvl>
    <w:lvl w:ilvl="3" w:tplc="AF725E86">
      <w:start w:val="1"/>
      <w:numFmt w:val="bullet"/>
      <w:lvlText w:val=""/>
      <w:lvlJc w:val="left"/>
      <w:pPr>
        <w:ind w:left="2880" w:hanging="360"/>
      </w:pPr>
      <w:rPr>
        <w:rFonts w:ascii="Symbol" w:hAnsi="Symbol" w:hint="default"/>
      </w:rPr>
    </w:lvl>
    <w:lvl w:ilvl="4" w:tplc="950A35C6">
      <w:start w:val="1"/>
      <w:numFmt w:val="bullet"/>
      <w:lvlText w:val="o"/>
      <w:lvlJc w:val="left"/>
      <w:pPr>
        <w:ind w:left="3600" w:hanging="360"/>
      </w:pPr>
      <w:rPr>
        <w:rFonts w:ascii="Courier New" w:hAnsi="Courier New" w:hint="default"/>
      </w:rPr>
    </w:lvl>
    <w:lvl w:ilvl="5" w:tplc="79C4B4C6">
      <w:start w:val="1"/>
      <w:numFmt w:val="bullet"/>
      <w:lvlText w:val=""/>
      <w:lvlJc w:val="left"/>
      <w:pPr>
        <w:ind w:left="4320" w:hanging="360"/>
      </w:pPr>
      <w:rPr>
        <w:rFonts w:ascii="Wingdings" w:hAnsi="Wingdings" w:hint="default"/>
      </w:rPr>
    </w:lvl>
    <w:lvl w:ilvl="6" w:tplc="B2003088">
      <w:start w:val="1"/>
      <w:numFmt w:val="bullet"/>
      <w:lvlText w:val=""/>
      <w:lvlJc w:val="left"/>
      <w:pPr>
        <w:ind w:left="5040" w:hanging="360"/>
      </w:pPr>
      <w:rPr>
        <w:rFonts w:ascii="Symbol" w:hAnsi="Symbol" w:hint="default"/>
      </w:rPr>
    </w:lvl>
    <w:lvl w:ilvl="7" w:tplc="57EC6CC0">
      <w:start w:val="1"/>
      <w:numFmt w:val="bullet"/>
      <w:lvlText w:val="o"/>
      <w:lvlJc w:val="left"/>
      <w:pPr>
        <w:ind w:left="5760" w:hanging="360"/>
      </w:pPr>
      <w:rPr>
        <w:rFonts w:ascii="Courier New" w:hAnsi="Courier New" w:hint="default"/>
      </w:rPr>
    </w:lvl>
    <w:lvl w:ilvl="8" w:tplc="753E2F30">
      <w:start w:val="1"/>
      <w:numFmt w:val="bullet"/>
      <w:lvlText w:val=""/>
      <w:lvlJc w:val="left"/>
      <w:pPr>
        <w:ind w:left="6480" w:hanging="360"/>
      </w:pPr>
      <w:rPr>
        <w:rFonts w:ascii="Wingdings" w:hAnsi="Wingdings" w:hint="default"/>
      </w:rPr>
    </w:lvl>
  </w:abstractNum>
  <w:abstractNum w:abstractNumId="18" w15:restartNumberingAfterBreak="0">
    <w:nsid w:val="37AB6784"/>
    <w:multiLevelType w:val="hybridMultilevel"/>
    <w:tmpl w:val="FFFFFFFF"/>
    <w:lvl w:ilvl="0" w:tplc="ACD856E2">
      <w:start w:val="1"/>
      <w:numFmt w:val="bullet"/>
      <w:lvlText w:val="·"/>
      <w:lvlJc w:val="left"/>
      <w:pPr>
        <w:ind w:left="720" w:hanging="360"/>
      </w:pPr>
      <w:rPr>
        <w:rFonts w:ascii="Symbol" w:hAnsi="Symbol" w:hint="default"/>
      </w:rPr>
    </w:lvl>
    <w:lvl w:ilvl="1" w:tplc="7A84AFCC">
      <w:start w:val="1"/>
      <w:numFmt w:val="bullet"/>
      <w:lvlText w:val="o"/>
      <w:lvlJc w:val="left"/>
      <w:pPr>
        <w:ind w:left="1440" w:hanging="360"/>
      </w:pPr>
      <w:rPr>
        <w:rFonts w:ascii="Courier New" w:hAnsi="Courier New" w:hint="default"/>
      </w:rPr>
    </w:lvl>
    <w:lvl w:ilvl="2" w:tplc="CA4EAB7A">
      <w:start w:val="1"/>
      <w:numFmt w:val="bullet"/>
      <w:lvlText w:val=""/>
      <w:lvlJc w:val="left"/>
      <w:pPr>
        <w:ind w:left="2160" w:hanging="360"/>
      </w:pPr>
      <w:rPr>
        <w:rFonts w:ascii="Wingdings" w:hAnsi="Wingdings" w:hint="default"/>
      </w:rPr>
    </w:lvl>
    <w:lvl w:ilvl="3" w:tplc="18AA8660">
      <w:start w:val="1"/>
      <w:numFmt w:val="bullet"/>
      <w:lvlText w:val=""/>
      <w:lvlJc w:val="left"/>
      <w:pPr>
        <w:ind w:left="2880" w:hanging="360"/>
      </w:pPr>
      <w:rPr>
        <w:rFonts w:ascii="Symbol" w:hAnsi="Symbol" w:hint="default"/>
      </w:rPr>
    </w:lvl>
    <w:lvl w:ilvl="4" w:tplc="91CA70C2">
      <w:start w:val="1"/>
      <w:numFmt w:val="bullet"/>
      <w:lvlText w:val="o"/>
      <w:lvlJc w:val="left"/>
      <w:pPr>
        <w:ind w:left="3600" w:hanging="360"/>
      </w:pPr>
      <w:rPr>
        <w:rFonts w:ascii="Courier New" w:hAnsi="Courier New" w:hint="default"/>
      </w:rPr>
    </w:lvl>
    <w:lvl w:ilvl="5" w:tplc="57000EF0">
      <w:start w:val="1"/>
      <w:numFmt w:val="bullet"/>
      <w:lvlText w:val=""/>
      <w:lvlJc w:val="left"/>
      <w:pPr>
        <w:ind w:left="4320" w:hanging="360"/>
      </w:pPr>
      <w:rPr>
        <w:rFonts w:ascii="Wingdings" w:hAnsi="Wingdings" w:hint="default"/>
      </w:rPr>
    </w:lvl>
    <w:lvl w:ilvl="6" w:tplc="8D80E5BE">
      <w:start w:val="1"/>
      <w:numFmt w:val="bullet"/>
      <w:lvlText w:val=""/>
      <w:lvlJc w:val="left"/>
      <w:pPr>
        <w:ind w:left="5040" w:hanging="360"/>
      </w:pPr>
      <w:rPr>
        <w:rFonts w:ascii="Symbol" w:hAnsi="Symbol" w:hint="default"/>
      </w:rPr>
    </w:lvl>
    <w:lvl w:ilvl="7" w:tplc="5D96C274">
      <w:start w:val="1"/>
      <w:numFmt w:val="bullet"/>
      <w:lvlText w:val="o"/>
      <w:lvlJc w:val="left"/>
      <w:pPr>
        <w:ind w:left="5760" w:hanging="360"/>
      </w:pPr>
      <w:rPr>
        <w:rFonts w:ascii="Courier New" w:hAnsi="Courier New" w:hint="default"/>
      </w:rPr>
    </w:lvl>
    <w:lvl w:ilvl="8" w:tplc="52BA2EAE">
      <w:start w:val="1"/>
      <w:numFmt w:val="bullet"/>
      <w:lvlText w:val=""/>
      <w:lvlJc w:val="left"/>
      <w:pPr>
        <w:ind w:left="6480" w:hanging="360"/>
      </w:pPr>
      <w:rPr>
        <w:rFonts w:ascii="Wingdings" w:hAnsi="Wingdings" w:hint="default"/>
      </w:rPr>
    </w:lvl>
  </w:abstractNum>
  <w:abstractNum w:abstractNumId="19" w15:restartNumberingAfterBreak="0">
    <w:nsid w:val="389FEE90"/>
    <w:multiLevelType w:val="hybridMultilevel"/>
    <w:tmpl w:val="FFFFFFFF"/>
    <w:lvl w:ilvl="0" w:tplc="AB3A84FA">
      <w:start w:val="1"/>
      <w:numFmt w:val="bullet"/>
      <w:lvlText w:val="-"/>
      <w:lvlJc w:val="left"/>
      <w:pPr>
        <w:ind w:left="720" w:hanging="360"/>
      </w:pPr>
      <w:rPr>
        <w:rFonts w:ascii="Calibri" w:hAnsi="Calibri" w:hint="default"/>
      </w:rPr>
    </w:lvl>
    <w:lvl w:ilvl="1" w:tplc="CA5A955A">
      <w:start w:val="1"/>
      <w:numFmt w:val="bullet"/>
      <w:lvlText w:val="o"/>
      <w:lvlJc w:val="left"/>
      <w:pPr>
        <w:ind w:left="1440" w:hanging="360"/>
      </w:pPr>
      <w:rPr>
        <w:rFonts w:ascii="Courier New" w:hAnsi="Courier New" w:hint="default"/>
      </w:rPr>
    </w:lvl>
    <w:lvl w:ilvl="2" w:tplc="483A64C4">
      <w:start w:val="1"/>
      <w:numFmt w:val="bullet"/>
      <w:lvlText w:val=""/>
      <w:lvlJc w:val="left"/>
      <w:pPr>
        <w:ind w:left="2160" w:hanging="360"/>
      </w:pPr>
      <w:rPr>
        <w:rFonts w:ascii="Wingdings" w:hAnsi="Wingdings" w:hint="default"/>
      </w:rPr>
    </w:lvl>
    <w:lvl w:ilvl="3" w:tplc="1D687FEC">
      <w:start w:val="1"/>
      <w:numFmt w:val="bullet"/>
      <w:lvlText w:val=""/>
      <w:lvlJc w:val="left"/>
      <w:pPr>
        <w:ind w:left="2880" w:hanging="360"/>
      </w:pPr>
      <w:rPr>
        <w:rFonts w:ascii="Symbol" w:hAnsi="Symbol" w:hint="default"/>
      </w:rPr>
    </w:lvl>
    <w:lvl w:ilvl="4" w:tplc="1556FBD6">
      <w:start w:val="1"/>
      <w:numFmt w:val="bullet"/>
      <w:lvlText w:val="o"/>
      <w:lvlJc w:val="left"/>
      <w:pPr>
        <w:ind w:left="3600" w:hanging="360"/>
      </w:pPr>
      <w:rPr>
        <w:rFonts w:ascii="Courier New" w:hAnsi="Courier New" w:hint="default"/>
      </w:rPr>
    </w:lvl>
    <w:lvl w:ilvl="5" w:tplc="E9ECB5E6">
      <w:start w:val="1"/>
      <w:numFmt w:val="bullet"/>
      <w:lvlText w:val=""/>
      <w:lvlJc w:val="left"/>
      <w:pPr>
        <w:ind w:left="4320" w:hanging="360"/>
      </w:pPr>
      <w:rPr>
        <w:rFonts w:ascii="Wingdings" w:hAnsi="Wingdings" w:hint="default"/>
      </w:rPr>
    </w:lvl>
    <w:lvl w:ilvl="6" w:tplc="EC5E6C24">
      <w:start w:val="1"/>
      <w:numFmt w:val="bullet"/>
      <w:lvlText w:val=""/>
      <w:lvlJc w:val="left"/>
      <w:pPr>
        <w:ind w:left="5040" w:hanging="360"/>
      </w:pPr>
      <w:rPr>
        <w:rFonts w:ascii="Symbol" w:hAnsi="Symbol" w:hint="default"/>
      </w:rPr>
    </w:lvl>
    <w:lvl w:ilvl="7" w:tplc="2D7E94EE">
      <w:start w:val="1"/>
      <w:numFmt w:val="bullet"/>
      <w:lvlText w:val="o"/>
      <w:lvlJc w:val="left"/>
      <w:pPr>
        <w:ind w:left="5760" w:hanging="360"/>
      </w:pPr>
      <w:rPr>
        <w:rFonts w:ascii="Courier New" w:hAnsi="Courier New" w:hint="default"/>
      </w:rPr>
    </w:lvl>
    <w:lvl w:ilvl="8" w:tplc="180E3AB2">
      <w:start w:val="1"/>
      <w:numFmt w:val="bullet"/>
      <w:lvlText w:val=""/>
      <w:lvlJc w:val="left"/>
      <w:pPr>
        <w:ind w:left="6480" w:hanging="360"/>
      </w:pPr>
      <w:rPr>
        <w:rFonts w:ascii="Wingdings" w:hAnsi="Wingdings" w:hint="default"/>
      </w:rPr>
    </w:lvl>
  </w:abstractNum>
  <w:abstractNum w:abstractNumId="20" w15:restartNumberingAfterBreak="0">
    <w:nsid w:val="39E6EACE"/>
    <w:multiLevelType w:val="hybridMultilevel"/>
    <w:tmpl w:val="FFFFFFFF"/>
    <w:lvl w:ilvl="0" w:tplc="85546288">
      <w:start w:val="1"/>
      <w:numFmt w:val="bullet"/>
      <w:lvlText w:val="-"/>
      <w:lvlJc w:val="left"/>
      <w:pPr>
        <w:ind w:left="720" w:hanging="360"/>
      </w:pPr>
      <w:rPr>
        <w:rFonts w:ascii="Symbol" w:hAnsi="Symbol" w:hint="default"/>
      </w:rPr>
    </w:lvl>
    <w:lvl w:ilvl="1" w:tplc="5ADE6A54">
      <w:start w:val="1"/>
      <w:numFmt w:val="bullet"/>
      <w:lvlText w:val="o"/>
      <w:lvlJc w:val="left"/>
      <w:pPr>
        <w:ind w:left="1440" w:hanging="360"/>
      </w:pPr>
      <w:rPr>
        <w:rFonts w:ascii="Courier New" w:hAnsi="Courier New" w:hint="default"/>
      </w:rPr>
    </w:lvl>
    <w:lvl w:ilvl="2" w:tplc="9FCE40C2">
      <w:start w:val="1"/>
      <w:numFmt w:val="bullet"/>
      <w:lvlText w:val=""/>
      <w:lvlJc w:val="left"/>
      <w:pPr>
        <w:ind w:left="2160" w:hanging="360"/>
      </w:pPr>
      <w:rPr>
        <w:rFonts w:ascii="Wingdings" w:hAnsi="Wingdings" w:hint="default"/>
      </w:rPr>
    </w:lvl>
    <w:lvl w:ilvl="3" w:tplc="BF28FDBA">
      <w:start w:val="1"/>
      <w:numFmt w:val="bullet"/>
      <w:lvlText w:val=""/>
      <w:lvlJc w:val="left"/>
      <w:pPr>
        <w:ind w:left="2880" w:hanging="360"/>
      </w:pPr>
      <w:rPr>
        <w:rFonts w:ascii="Symbol" w:hAnsi="Symbol" w:hint="default"/>
      </w:rPr>
    </w:lvl>
    <w:lvl w:ilvl="4" w:tplc="5F8E272C">
      <w:start w:val="1"/>
      <w:numFmt w:val="bullet"/>
      <w:lvlText w:val="o"/>
      <w:lvlJc w:val="left"/>
      <w:pPr>
        <w:ind w:left="3600" w:hanging="360"/>
      </w:pPr>
      <w:rPr>
        <w:rFonts w:ascii="Courier New" w:hAnsi="Courier New" w:hint="default"/>
      </w:rPr>
    </w:lvl>
    <w:lvl w:ilvl="5" w:tplc="06DC5FDC">
      <w:start w:val="1"/>
      <w:numFmt w:val="bullet"/>
      <w:lvlText w:val=""/>
      <w:lvlJc w:val="left"/>
      <w:pPr>
        <w:ind w:left="4320" w:hanging="360"/>
      </w:pPr>
      <w:rPr>
        <w:rFonts w:ascii="Wingdings" w:hAnsi="Wingdings" w:hint="default"/>
      </w:rPr>
    </w:lvl>
    <w:lvl w:ilvl="6" w:tplc="0EC04E82">
      <w:start w:val="1"/>
      <w:numFmt w:val="bullet"/>
      <w:lvlText w:val=""/>
      <w:lvlJc w:val="left"/>
      <w:pPr>
        <w:ind w:left="5040" w:hanging="360"/>
      </w:pPr>
      <w:rPr>
        <w:rFonts w:ascii="Symbol" w:hAnsi="Symbol" w:hint="default"/>
      </w:rPr>
    </w:lvl>
    <w:lvl w:ilvl="7" w:tplc="491C3A66">
      <w:start w:val="1"/>
      <w:numFmt w:val="bullet"/>
      <w:lvlText w:val="o"/>
      <w:lvlJc w:val="left"/>
      <w:pPr>
        <w:ind w:left="5760" w:hanging="360"/>
      </w:pPr>
      <w:rPr>
        <w:rFonts w:ascii="Courier New" w:hAnsi="Courier New" w:hint="default"/>
      </w:rPr>
    </w:lvl>
    <w:lvl w:ilvl="8" w:tplc="E73EFD6A">
      <w:start w:val="1"/>
      <w:numFmt w:val="bullet"/>
      <w:lvlText w:val=""/>
      <w:lvlJc w:val="left"/>
      <w:pPr>
        <w:ind w:left="6480" w:hanging="360"/>
      </w:pPr>
      <w:rPr>
        <w:rFonts w:ascii="Wingdings" w:hAnsi="Wingdings" w:hint="default"/>
      </w:rPr>
    </w:lvl>
  </w:abstractNum>
  <w:abstractNum w:abstractNumId="21" w15:restartNumberingAfterBreak="0">
    <w:nsid w:val="3ACCF047"/>
    <w:multiLevelType w:val="hybridMultilevel"/>
    <w:tmpl w:val="94063A5C"/>
    <w:lvl w:ilvl="0" w:tplc="3046759E">
      <w:start w:val="1"/>
      <w:numFmt w:val="bullet"/>
      <w:lvlText w:val="-"/>
      <w:lvlJc w:val="left"/>
      <w:pPr>
        <w:ind w:left="720" w:hanging="360"/>
      </w:pPr>
      <w:rPr>
        <w:rFonts w:ascii="Calibri" w:hAnsi="Calibri" w:hint="default"/>
      </w:rPr>
    </w:lvl>
    <w:lvl w:ilvl="1" w:tplc="C44AD18C">
      <w:start w:val="1"/>
      <w:numFmt w:val="bullet"/>
      <w:lvlText w:val="o"/>
      <w:lvlJc w:val="left"/>
      <w:pPr>
        <w:ind w:left="1440" w:hanging="360"/>
      </w:pPr>
      <w:rPr>
        <w:rFonts w:ascii="Courier New" w:hAnsi="Courier New" w:hint="default"/>
      </w:rPr>
    </w:lvl>
    <w:lvl w:ilvl="2" w:tplc="7408BA1C">
      <w:start w:val="1"/>
      <w:numFmt w:val="bullet"/>
      <w:lvlText w:val=""/>
      <w:lvlJc w:val="left"/>
      <w:pPr>
        <w:ind w:left="2160" w:hanging="360"/>
      </w:pPr>
      <w:rPr>
        <w:rFonts w:ascii="Wingdings" w:hAnsi="Wingdings" w:hint="default"/>
      </w:rPr>
    </w:lvl>
    <w:lvl w:ilvl="3" w:tplc="383E329A">
      <w:start w:val="1"/>
      <w:numFmt w:val="bullet"/>
      <w:lvlText w:val=""/>
      <w:lvlJc w:val="left"/>
      <w:pPr>
        <w:ind w:left="2880" w:hanging="360"/>
      </w:pPr>
      <w:rPr>
        <w:rFonts w:ascii="Symbol" w:hAnsi="Symbol" w:hint="default"/>
      </w:rPr>
    </w:lvl>
    <w:lvl w:ilvl="4" w:tplc="86C23254">
      <w:start w:val="1"/>
      <w:numFmt w:val="bullet"/>
      <w:lvlText w:val="o"/>
      <w:lvlJc w:val="left"/>
      <w:pPr>
        <w:ind w:left="3600" w:hanging="360"/>
      </w:pPr>
      <w:rPr>
        <w:rFonts w:ascii="Courier New" w:hAnsi="Courier New" w:hint="default"/>
      </w:rPr>
    </w:lvl>
    <w:lvl w:ilvl="5" w:tplc="1DBC33F2">
      <w:start w:val="1"/>
      <w:numFmt w:val="bullet"/>
      <w:lvlText w:val=""/>
      <w:lvlJc w:val="left"/>
      <w:pPr>
        <w:ind w:left="4320" w:hanging="360"/>
      </w:pPr>
      <w:rPr>
        <w:rFonts w:ascii="Wingdings" w:hAnsi="Wingdings" w:hint="default"/>
      </w:rPr>
    </w:lvl>
    <w:lvl w:ilvl="6" w:tplc="3498F358">
      <w:start w:val="1"/>
      <w:numFmt w:val="bullet"/>
      <w:lvlText w:val=""/>
      <w:lvlJc w:val="left"/>
      <w:pPr>
        <w:ind w:left="5040" w:hanging="360"/>
      </w:pPr>
      <w:rPr>
        <w:rFonts w:ascii="Symbol" w:hAnsi="Symbol" w:hint="default"/>
      </w:rPr>
    </w:lvl>
    <w:lvl w:ilvl="7" w:tplc="2E6EB172">
      <w:start w:val="1"/>
      <w:numFmt w:val="bullet"/>
      <w:lvlText w:val="o"/>
      <w:lvlJc w:val="left"/>
      <w:pPr>
        <w:ind w:left="5760" w:hanging="360"/>
      </w:pPr>
      <w:rPr>
        <w:rFonts w:ascii="Courier New" w:hAnsi="Courier New" w:hint="default"/>
      </w:rPr>
    </w:lvl>
    <w:lvl w:ilvl="8" w:tplc="F32EB24E">
      <w:start w:val="1"/>
      <w:numFmt w:val="bullet"/>
      <w:lvlText w:val=""/>
      <w:lvlJc w:val="left"/>
      <w:pPr>
        <w:ind w:left="6480" w:hanging="360"/>
      </w:pPr>
      <w:rPr>
        <w:rFonts w:ascii="Wingdings" w:hAnsi="Wingdings" w:hint="default"/>
      </w:rPr>
    </w:lvl>
  </w:abstractNum>
  <w:abstractNum w:abstractNumId="22" w15:restartNumberingAfterBreak="0">
    <w:nsid w:val="3AEED988"/>
    <w:multiLevelType w:val="hybridMultilevel"/>
    <w:tmpl w:val="FFFFFFFF"/>
    <w:lvl w:ilvl="0" w:tplc="4FB06222">
      <w:start w:val="1"/>
      <w:numFmt w:val="bullet"/>
      <w:lvlText w:val="-"/>
      <w:lvlJc w:val="left"/>
      <w:pPr>
        <w:ind w:left="720" w:hanging="360"/>
      </w:pPr>
      <w:rPr>
        <w:rFonts w:ascii="Calibri" w:hAnsi="Calibri" w:hint="default"/>
      </w:rPr>
    </w:lvl>
    <w:lvl w:ilvl="1" w:tplc="1C0A15EE">
      <w:start w:val="1"/>
      <w:numFmt w:val="bullet"/>
      <w:lvlText w:val="o"/>
      <w:lvlJc w:val="left"/>
      <w:pPr>
        <w:ind w:left="1440" w:hanging="360"/>
      </w:pPr>
      <w:rPr>
        <w:rFonts w:ascii="Courier New" w:hAnsi="Courier New" w:hint="default"/>
      </w:rPr>
    </w:lvl>
    <w:lvl w:ilvl="2" w:tplc="C9CAF2A8">
      <w:start w:val="1"/>
      <w:numFmt w:val="bullet"/>
      <w:lvlText w:val=""/>
      <w:lvlJc w:val="left"/>
      <w:pPr>
        <w:ind w:left="2160" w:hanging="360"/>
      </w:pPr>
      <w:rPr>
        <w:rFonts w:ascii="Wingdings" w:hAnsi="Wingdings" w:hint="default"/>
      </w:rPr>
    </w:lvl>
    <w:lvl w:ilvl="3" w:tplc="AA8C617E">
      <w:start w:val="1"/>
      <w:numFmt w:val="bullet"/>
      <w:lvlText w:val=""/>
      <w:lvlJc w:val="left"/>
      <w:pPr>
        <w:ind w:left="2880" w:hanging="360"/>
      </w:pPr>
      <w:rPr>
        <w:rFonts w:ascii="Symbol" w:hAnsi="Symbol" w:hint="default"/>
      </w:rPr>
    </w:lvl>
    <w:lvl w:ilvl="4" w:tplc="AD24E6E6">
      <w:start w:val="1"/>
      <w:numFmt w:val="bullet"/>
      <w:lvlText w:val="o"/>
      <w:lvlJc w:val="left"/>
      <w:pPr>
        <w:ind w:left="3600" w:hanging="360"/>
      </w:pPr>
      <w:rPr>
        <w:rFonts w:ascii="Courier New" w:hAnsi="Courier New" w:hint="default"/>
      </w:rPr>
    </w:lvl>
    <w:lvl w:ilvl="5" w:tplc="B7525FD2">
      <w:start w:val="1"/>
      <w:numFmt w:val="bullet"/>
      <w:lvlText w:val=""/>
      <w:lvlJc w:val="left"/>
      <w:pPr>
        <w:ind w:left="4320" w:hanging="360"/>
      </w:pPr>
      <w:rPr>
        <w:rFonts w:ascii="Wingdings" w:hAnsi="Wingdings" w:hint="default"/>
      </w:rPr>
    </w:lvl>
    <w:lvl w:ilvl="6" w:tplc="8C88BAC6">
      <w:start w:val="1"/>
      <w:numFmt w:val="bullet"/>
      <w:lvlText w:val=""/>
      <w:lvlJc w:val="left"/>
      <w:pPr>
        <w:ind w:left="5040" w:hanging="360"/>
      </w:pPr>
      <w:rPr>
        <w:rFonts w:ascii="Symbol" w:hAnsi="Symbol" w:hint="default"/>
      </w:rPr>
    </w:lvl>
    <w:lvl w:ilvl="7" w:tplc="F464455C">
      <w:start w:val="1"/>
      <w:numFmt w:val="bullet"/>
      <w:lvlText w:val="o"/>
      <w:lvlJc w:val="left"/>
      <w:pPr>
        <w:ind w:left="5760" w:hanging="360"/>
      </w:pPr>
      <w:rPr>
        <w:rFonts w:ascii="Courier New" w:hAnsi="Courier New" w:hint="default"/>
      </w:rPr>
    </w:lvl>
    <w:lvl w:ilvl="8" w:tplc="54C0B350">
      <w:start w:val="1"/>
      <w:numFmt w:val="bullet"/>
      <w:lvlText w:val=""/>
      <w:lvlJc w:val="left"/>
      <w:pPr>
        <w:ind w:left="6480" w:hanging="360"/>
      </w:pPr>
      <w:rPr>
        <w:rFonts w:ascii="Wingdings" w:hAnsi="Wingdings" w:hint="default"/>
      </w:rPr>
    </w:lvl>
  </w:abstractNum>
  <w:abstractNum w:abstractNumId="23" w15:restartNumberingAfterBreak="0">
    <w:nsid w:val="3BE1725F"/>
    <w:multiLevelType w:val="hybridMultilevel"/>
    <w:tmpl w:val="FFFFFFFF"/>
    <w:lvl w:ilvl="0" w:tplc="DC2C09A4">
      <w:start w:val="1"/>
      <w:numFmt w:val="bullet"/>
      <w:lvlText w:val="·"/>
      <w:lvlJc w:val="left"/>
      <w:pPr>
        <w:ind w:left="720" w:hanging="360"/>
      </w:pPr>
      <w:rPr>
        <w:rFonts w:ascii="Symbol" w:hAnsi="Symbol" w:hint="default"/>
      </w:rPr>
    </w:lvl>
    <w:lvl w:ilvl="1" w:tplc="597C62E4">
      <w:start w:val="1"/>
      <w:numFmt w:val="bullet"/>
      <w:lvlText w:val="o"/>
      <w:lvlJc w:val="left"/>
      <w:pPr>
        <w:ind w:left="1440" w:hanging="360"/>
      </w:pPr>
      <w:rPr>
        <w:rFonts w:ascii="Courier New" w:hAnsi="Courier New" w:hint="default"/>
      </w:rPr>
    </w:lvl>
    <w:lvl w:ilvl="2" w:tplc="444A3396">
      <w:start w:val="1"/>
      <w:numFmt w:val="bullet"/>
      <w:lvlText w:val=""/>
      <w:lvlJc w:val="left"/>
      <w:pPr>
        <w:ind w:left="2160" w:hanging="360"/>
      </w:pPr>
      <w:rPr>
        <w:rFonts w:ascii="Wingdings" w:hAnsi="Wingdings" w:hint="default"/>
      </w:rPr>
    </w:lvl>
    <w:lvl w:ilvl="3" w:tplc="54A018F6">
      <w:start w:val="1"/>
      <w:numFmt w:val="bullet"/>
      <w:lvlText w:val=""/>
      <w:lvlJc w:val="left"/>
      <w:pPr>
        <w:ind w:left="2880" w:hanging="360"/>
      </w:pPr>
      <w:rPr>
        <w:rFonts w:ascii="Symbol" w:hAnsi="Symbol" w:hint="default"/>
      </w:rPr>
    </w:lvl>
    <w:lvl w:ilvl="4" w:tplc="E256A5A0">
      <w:start w:val="1"/>
      <w:numFmt w:val="bullet"/>
      <w:lvlText w:val="o"/>
      <w:lvlJc w:val="left"/>
      <w:pPr>
        <w:ind w:left="3600" w:hanging="360"/>
      </w:pPr>
      <w:rPr>
        <w:rFonts w:ascii="Courier New" w:hAnsi="Courier New" w:hint="default"/>
      </w:rPr>
    </w:lvl>
    <w:lvl w:ilvl="5" w:tplc="986AAC7E">
      <w:start w:val="1"/>
      <w:numFmt w:val="bullet"/>
      <w:lvlText w:val=""/>
      <w:lvlJc w:val="left"/>
      <w:pPr>
        <w:ind w:left="4320" w:hanging="360"/>
      </w:pPr>
      <w:rPr>
        <w:rFonts w:ascii="Wingdings" w:hAnsi="Wingdings" w:hint="default"/>
      </w:rPr>
    </w:lvl>
    <w:lvl w:ilvl="6" w:tplc="CE46FC12">
      <w:start w:val="1"/>
      <w:numFmt w:val="bullet"/>
      <w:lvlText w:val=""/>
      <w:lvlJc w:val="left"/>
      <w:pPr>
        <w:ind w:left="5040" w:hanging="360"/>
      </w:pPr>
      <w:rPr>
        <w:rFonts w:ascii="Symbol" w:hAnsi="Symbol" w:hint="default"/>
      </w:rPr>
    </w:lvl>
    <w:lvl w:ilvl="7" w:tplc="0BDC6800">
      <w:start w:val="1"/>
      <w:numFmt w:val="bullet"/>
      <w:lvlText w:val="o"/>
      <w:lvlJc w:val="left"/>
      <w:pPr>
        <w:ind w:left="5760" w:hanging="360"/>
      </w:pPr>
      <w:rPr>
        <w:rFonts w:ascii="Courier New" w:hAnsi="Courier New" w:hint="default"/>
      </w:rPr>
    </w:lvl>
    <w:lvl w:ilvl="8" w:tplc="1E68CC88">
      <w:start w:val="1"/>
      <w:numFmt w:val="bullet"/>
      <w:lvlText w:val=""/>
      <w:lvlJc w:val="left"/>
      <w:pPr>
        <w:ind w:left="6480" w:hanging="360"/>
      </w:pPr>
      <w:rPr>
        <w:rFonts w:ascii="Wingdings" w:hAnsi="Wingdings" w:hint="default"/>
      </w:rPr>
    </w:lvl>
  </w:abstractNum>
  <w:abstractNum w:abstractNumId="24" w15:restartNumberingAfterBreak="0">
    <w:nsid w:val="3C5F46A5"/>
    <w:multiLevelType w:val="hybridMultilevel"/>
    <w:tmpl w:val="861418A4"/>
    <w:lvl w:ilvl="0" w:tplc="C270CC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FAF9C24"/>
    <w:multiLevelType w:val="hybridMultilevel"/>
    <w:tmpl w:val="FFFFFFFF"/>
    <w:lvl w:ilvl="0" w:tplc="39864E02">
      <w:start w:val="1"/>
      <w:numFmt w:val="bullet"/>
      <w:lvlText w:val="-"/>
      <w:lvlJc w:val="left"/>
      <w:pPr>
        <w:ind w:left="720" w:hanging="360"/>
      </w:pPr>
      <w:rPr>
        <w:rFonts w:ascii="Symbol" w:hAnsi="Symbol" w:hint="default"/>
      </w:rPr>
    </w:lvl>
    <w:lvl w:ilvl="1" w:tplc="01E88164">
      <w:start w:val="1"/>
      <w:numFmt w:val="bullet"/>
      <w:lvlText w:val="o"/>
      <w:lvlJc w:val="left"/>
      <w:pPr>
        <w:ind w:left="1440" w:hanging="360"/>
      </w:pPr>
      <w:rPr>
        <w:rFonts w:ascii="Courier New" w:hAnsi="Courier New" w:hint="default"/>
      </w:rPr>
    </w:lvl>
    <w:lvl w:ilvl="2" w:tplc="700CECF4">
      <w:start w:val="1"/>
      <w:numFmt w:val="bullet"/>
      <w:lvlText w:val=""/>
      <w:lvlJc w:val="left"/>
      <w:pPr>
        <w:ind w:left="2160" w:hanging="360"/>
      </w:pPr>
      <w:rPr>
        <w:rFonts w:ascii="Wingdings" w:hAnsi="Wingdings" w:hint="default"/>
      </w:rPr>
    </w:lvl>
    <w:lvl w:ilvl="3" w:tplc="FC260BC8">
      <w:start w:val="1"/>
      <w:numFmt w:val="bullet"/>
      <w:lvlText w:val=""/>
      <w:lvlJc w:val="left"/>
      <w:pPr>
        <w:ind w:left="2880" w:hanging="360"/>
      </w:pPr>
      <w:rPr>
        <w:rFonts w:ascii="Symbol" w:hAnsi="Symbol" w:hint="default"/>
      </w:rPr>
    </w:lvl>
    <w:lvl w:ilvl="4" w:tplc="78E43824">
      <w:start w:val="1"/>
      <w:numFmt w:val="bullet"/>
      <w:lvlText w:val="o"/>
      <w:lvlJc w:val="left"/>
      <w:pPr>
        <w:ind w:left="3600" w:hanging="360"/>
      </w:pPr>
      <w:rPr>
        <w:rFonts w:ascii="Courier New" w:hAnsi="Courier New" w:hint="default"/>
      </w:rPr>
    </w:lvl>
    <w:lvl w:ilvl="5" w:tplc="4342C9EE">
      <w:start w:val="1"/>
      <w:numFmt w:val="bullet"/>
      <w:lvlText w:val=""/>
      <w:lvlJc w:val="left"/>
      <w:pPr>
        <w:ind w:left="4320" w:hanging="360"/>
      </w:pPr>
      <w:rPr>
        <w:rFonts w:ascii="Wingdings" w:hAnsi="Wingdings" w:hint="default"/>
      </w:rPr>
    </w:lvl>
    <w:lvl w:ilvl="6" w:tplc="6510A336">
      <w:start w:val="1"/>
      <w:numFmt w:val="bullet"/>
      <w:lvlText w:val=""/>
      <w:lvlJc w:val="left"/>
      <w:pPr>
        <w:ind w:left="5040" w:hanging="360"/>
      </w:pPr>
      <w:rPr>
        <w:rFonts w:ascii="Symbol" w:hAnsi="Symbol" w:hint="default"/>
      </w:rPr>
    </w:lvl>
    <w:lvl w:ilvl="7" w:tplc="B8BA385C">
      <w:start w:val="1"/>
      <w:numFmt w:val="bullet"/>
      <w:lvlText w:val="o"/>
      <w:lvlJc w:val="left"/>
      <w:pPr>
        <w:ind w:left="5760" w:hanging="360"/>
      </w:pPr>
      <w:rPr>
        <w:rFonts w:ascii="Courier New" w:hAnsi="Courier New" w:hint="default"/>
      </w:rPr>
    </w:lvl>
    <w:lvl w:ilvl="8" w:tplc="A2D8BD72">
      <w:start w:val="1"/>
      <w:numFmt w:val="bullet"/>
      <w:lvlText w:val=""/>
      <w:lvlJc w:val="left"/>
      <w:pPr>
        <w:ind w:left="6480" w:hanging="360"/>
      </w:pPr>
      <w:rPr>
        <w:rFonts w:ascii="Wingdings" w:hAnsi="Wingdings" w:hint="default"/>
      </w:rPr>
    </w:lvl>
  </w:abstractNum>
  <w:abstractNum w:abstractNumId="26" w15:restartNumberingAfterBreak="0">
    <w:nsid w:val="42662B48"/>
    <w:multiLevelType w:val="hybridMultilevel"/>
    <w:tmpl w:val="FFFFFFFF"/>
    <w:lvl w:ilvl="0" w:tplc="00AC45B4">
      <w:start w:val="1"/>
      <w:numFmt w:val="bullet"/>
      <w:lvlText w:val="o"/>
      <w:lvlJc w:val="left"/>
      <w:pPr>
        <w:ind w:left="1440" w:hanging="360"/>
      </w:pPr>
      <w:rPr>
        <w:rFonts w:ascii="Courier New" w:hAnsi="Courier New" w:hint="default"/>
      </w:rPr>
    </w:lvl>
    <w:lvl w:ilvl="1" w:tplc="59DCDF3A">
      <w:start w:val="1"/>
      <w:numFmt w:val="bullet"/>
      <w:lvlText w:val="o"/>
      <w:lvlJc w:val="left"/>
      <w:pPr>
        <w:ind w:left="1440" w:hanging="360"/>
      </w:pPr>
      <w:rPr>
        <w:rFonts w:ascii="Courier New" w:hAnsi="Courier New" w:hint="default"/>
      </w:rPr>
    </w:lvl>
    <w:lvl w:ilvl="2" w:tplc="69C0711A">
      <w:start w:val="1"/>
      <w:numFmt w:val="bullet"/>
      <w:lvlText w:val=""/>
      <w:lvlJc w:val="left"/>
      <w:pPr>
        <w:ind w:left="2160" w:hanging="360"/>
      </w:pPr>
      <w:rPr>
        <w:rFonts w:ascii="Wingdings" w:hAnsi="Wingdings" w:hint="default"/>
      </w:rPr>
    </w:lvl>
    <w:lvl w:ilvl="3" w:tplc="96384FD2">
      <w:start w:val="1"/>
      <w:numFmt w:val="bullet"/>
      <w:lvlText w:val=""/>
      <w:lvlJc w:val="left"/>
      <w:pPr>
        <w:ind w:left="2880" w:hanging="360"/>
      </w:pPr>
      <w:rPr>
        <w:rFonts w:ascii="Symbol" w:hAnsi="Symbol" w:hint="default"/>
      </w:rPr>
    </w:lvl>
    <w:lvl w:ilvl="4" w:tplc="85708544">
      <w:start w:val="1"/>
      <w:numFmt w:val="bullet"/>
      <w:lvlText w:val="o"/>
      <w:lvlJc w:val="left"/>
      <w:pPr>
        <w:ind w:left="3600" w:hanging="360"/>
      </w:pPr>
      <w:rPr>
        <w:rFonts w:ascii="Courier New" w:hAnsi="Courier New" w:hint="default"/>
      </w:rPr>
    </w:lvl>
    <w:lvl w:ilvl="5" w:tplc="07C6B03A">
      <w:start w:val="1"/>
      <w:numFmt w:val="bullet"/>
      <w:lvlText w:val=""/>
      <w:lvlJc w:val="left"/>
      <w:pPr>
        <w:ind w:left="4320" w:hanging="360"/>
      </w:pPr>
      <w:rPr>
        <w:rFonts w:ascii="Wingdings" w:hAnsi="Wingdings" w:hint="default"/>
      </w:rPr>
    </w:lvl>
    <w:lvl w:ilvl="6" w:tplc="1F2427AE">
      <w:start w:val="1"/>
      <w:numFmt w:val="bullet"/>
      <w:lvlText w:val=""/>
      <w:lvlJc w:val="left"/>
      <w:pPr>
        <w:ind w:left="5040" w:hanging="360"/>
      </w:pPr>
      <w:rPr>
        <w:rFonts w:ascii="Symbol" w:hAnsi="Symbol" w:hint="default"/>
      </w:rPr>
    </w:lvl>
    <w:lvl w:ilvl="7" w:tplc="BE6227BE">
      <w:start w:val="1"/>
      <w:numFmt w:val="bullet"/>
      <w:lvlText w:val="o"/>
      <w:lvlJc w:val="left"/>
      <w:pPr>
        <w:ind w:left="5760" w:hanging="360"/>
      </w:pPr>
      <w:rPr>
        <w:rFonts w:ascii="Courier New" w:hAnsi="Courier New" w:hint="default"/>
      </w:rPr>
    </w:lvl>
    <w:lvl w:ilvl="8" w:tplc="11CAE8A8">
      <w:start w:val="1"/>
      <w:numFmt w:val="bullet"/>
      <w:lvlText w:val=""/>
      <w:lvlJc w:val="left"/>
      <w:pPr>
        <w:ind w:left="6480" w:hanging="360"/>
      </w:pPr>
      <w:rPr>
        <w:rFonts w:ascii="Wingdings" w:hAnsi="Wingdings" w:hint="default"/>
      </w:rPr>
    </w:lvl>
  </w:abstractNum>
  <w:abstractNum w:abstractNumId="27" w15:restartNumberingAfterBreak="0">
    <w:nsid w:val="455538B1"/>
    <w:multiLevelType w:val="hybridMultilevel"/>
    <w:tmpl w:val="E65297AA"/>
    <w:lvl w:ilvl="0" w:tplc="FFFFFFFF">
      <w:start w:val="1"/>
      <w:numFmt w:val="bullet"/>
      <w:lvlText w:val=""/>
      <w:lvlJc w:val="left"/>
      <w:pPr>
        <w:ind w:left="720" w:hanging="360"/>
      </w:pPr>
      <w:rPr>
        <w:rFonts w:ascii="Symbol" w:hAnsi="Symbol" w:hint="default"/>
      </w:rPr>
    </w:lvl>
    <w:lvl w:ilvl="1" w:tplc="3E80498C">
      <w:start w:val="1"/>
      <w:numFmt w:val="bullet"/>
      <w:lvlText w:val="o"/>
      <w:lvlJc w:val="left"/>
      <w:pPr>
        <w:ind w:left="1440" w:hanging="360"/>
      </w:pPr>
      <w:rPr>
        <w:rFonts w:ascii="Courier New" w:hAnsi="Courier New" w:hint="default"/>
      </w:rPr>
    </w:lvl>
    <w:lvl w:ilvl="2" w:tplc="F3F80C9A">
      <w:start w:val="1"/>
      <w:numFmt w:val="bullet"/>
      <w:lvlText w:val=""/>
      <w:lvlJc w:val="left"/>
      <w:pPr>
        <w:ind w:left="2160" w:hanging="360"/>
      </w:pPr>
      <w:rPr>
        <w:rFonts w:ascii="Wingdings" w:hAnsi="Wingdings" w:hint="default"/>
      </w:rPr>
    </w:lvl>
    <w:lvl w:ilvl="3" w:tplc="C16AA512">
      <w:start w:val="1"/>
      <w:numFmt w:val="bullet"/>
      <w:lvlText w:val=""/>
      <w:lvlJc w:val="left"/>
      <w:pPr>
        <w:ind w:left="2880" w:hanging="360"/>
      </w:pPr>
      <w:rPr>
        <w:rFonts w:ascii="Symbol" w:hAnsi="Symbol" w:hint="default"/>
      </w:rPr>
    </w:lvl>
    <w:lvl w:ilvl="4" w:tplc="220C9C6C">
      <w:start w:val="1"/>
      <w:numFmt w:val="bullet"/>
      <w:lvlText w:val="o"/>
      <w:lvlJc w:val="left"/>
      <w:pPr>
        <w:ind w:left="3600" w:hanging="360"/>
      </w:pPr>
      <w:rPr>
        <w:rFonts w:ascii="Courier New" w:hAnsi="Courier New" w:hint="default"/>
      </w:rPr>
    </w:lvl>
    <w:lvl w:ilvl="5" w:tplc="7CB0E32E">
      <w:start w:val="1"/>
      <w:numFmt w:val="bullet"/>
      <w:lvlText w:val=""/>
      <w:lvlJc w:val="left"/>
      <w:pPr>
        <w:ind w:left="4320" w:hanging="360"/>
      </w:pPr>
      <w:rPr>
        <w:rFonts w:ascii="Wingdings" w:hAnsi="Wingdings" w:hint="default"/>
      </w:rPr>
    </w:lvl>
    <w:lvl w:ilvl="6" w:tplc="17BE26FA">
      <w:start w:val="1"/>
      <w:numFmt w:val="bullet"/>
      <w:lvlText w:val=""/>
      <w:lvlJc w:val="left"/>
      <w:pPr>
        <w:ind w:left="5040" w:hanging="360"/>
      </w:pPr>
      <w:rPr>
        <w:rFonts w:ascii="Symbol" w:hAnsi="Symbol" w:hint="default"/>
      </w:rPr>
    </w:lvl>
    <w:lvl w:ilvl="7" w:tplc="9F761672">
      <w:start w:val="1"/>
      <w:numFmt w:val="bullet"/>
      <w:lvlText w:val="o"/>
      <w:lvlJc w:val="left"/>
      <w:pPr>
        <w:ind w:left="5760" w:hanging="360"/>
      </w:pPr>
      <w:rPr>
        <w:rFonts w:ascii="Courier New" w:hAnsi="Courier New" w:hint="default"/>
      </w:rPr>
    </w:lvl>
    <w:lvl w:ilvl="8" w:tplc="97F4F22C">
      <w:start w:val="1"/>
      <w:numFmt w:val="bullet"/>
      <w:lvlText w:val=""/>
      <w:lvlJc w:val="left"/>
      <w:pPr>
        <w:ind w:left="6480" w:hanging="360"/>
      </w:pPr>
      <w:rPr>
        <w:rFonts w:ascii="Wingdings" w:hAnsi="Wingdings" w:hint="default"/>
      </w:rPr>
    </w:lvl>
  </w:abstractNum>
  <w:abstractNum w:abstractNumId="28" w15:restartNumberingAfterBreak="0">
    <w:nsid w:val="488556CE"/>
    <w:multiLevelType w:val="hybridMultilevel"/>
    <w:tmpl w:val="D2A46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BA096A"/>
    <w:multiLevelType w:val="hybridMultilevel"/>
    <w:tmpl w:val="BF8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94FB81"/>
    <w:multiLevelType w:val="hybridMultilevel"/>
    <w:tmpl w:val="FFFFFFFF"/>
    <w:lvl w:ilvl="0" w:tplc="B07028CA">
      <w:start w:val="1"/>
      <w:numFmt w:val="bullet"/>
      <w:lvlText w:val="·"/>
      <w:lvlJc w:val="left"/>
      <w:pPr>
        <w:ind w:left="720" w:hanging="360"/>
      </w:pPr>
      <w:rPr>
        <w:rFonts w:ascii="Symbol" w:hAnsi="Symbol" w:hint="default"/>
      </w:rPr>
    </w:lvl>
    <w:lvl w:ilvl="1" w:tplc="1B920558">
      <w:start w:val="1"/>
      <w:numFmt w:val="bullet"/>
      <w:lvlText w:val="o"/>
      <w:lvlJc w:val="left"/>
      <w:pPr>
        <w:ind w:left="1440" w:hanging="360"/>
      </w:pPr>
      <w:rPr>
        <w:rFonts w:ascii="Courier New" w:hAnsi="Courier New" w:hint="default"/>
      </w:rPr>
    </w:lvl>
    <w:lvl w:ilvl="2" w:tplc="7D70C9F2">
      <w:start w:val="1"/>
      <w:numFmt w:val="bullet"/>
      <w:lvlText w:val=""/>
      <w:lvlJc w:val="left"/>
      <w:pPr>
        <w:ind w:left="2160" w:hanging="360"/>
      </w:pPr>
      <w:rPr>
        <w:rFonts w:ascii="Wingdings" w:hAnsi="Wingdings" w:hint="default"/>
      </w:rPr>
    </w:lvl>
    <w:lvl w:ilvl="3" w:tplc="E7B82C2C">
      <w:start w:val="1"/>
      <w:numFmt w:val="bullet"/>
      <w:lvlText w:val=""/>
      <w:lvlJc w:val="left"/>
      <w:pPr>
        <w:ind w:left="2880" w:hanging="360"/>
      </w:pPr>
      <w:rPr>
        <w:rFonts w:ascii="Symbol" w:hAnsi="Symbol" w:hint="default"/>
      </w:rPr>
    </w:lvl>
    <w:lvl w:ilvl="4" w:tplc="EFFA1320">
      <w:start w:val="1"/>
      <w:numFmt w:val="bullet"/>
      <w:lvlText w:val="o"/>
      <w:lvlJc w:val="left"/>
      <w:pPr>
        <w:ind w:left="3600" w:hanging="360"/>
      </w:pPr>
      <w:rPr>
        <w:rFonts w:ascii="Courier New" w:hAnsi="Courier New" w:hint="default"/>
      </w:rPr>
    </w:lvl>
    <w:lvl w:ilvl="5" w:tplc="F9EA3A88">
      <w:start w:val="1"/>
      <w:numFmt w:val="bullet"/>
      <w:lvlText w:val=""/>
      <w:lvlJc w:val="left"/>
      <w:pPr>
        <w:ind w:left="4320" w:hanging="360"/>
      </w:pPr>
      <w:rPr>
        <w:rFonts w:ascii="Wingdings" w:hAnsi="Wingdings" w:hint="default"/>
      </w:rPr>
    </w:lvl>
    <w:lvl w:ilvl="6" w:tplc="FC4A649A">
      <w:start w:val="1"/>
      <w:numFmt w:val="bullet"/>
      <w:lvlText w:val=""/>
      <w:lvlJc w:val="left"/>
      <w:pPr>
        <w:ind w:left="5040" w:hanging="360"/>
      </w:pPr>
      <w:rPr>
        <w:rFonts w:ascii="Symbol" w:hAnsi="Symbol" w:hint="default"/>
      </w:rPr>
    </w:lvl>
    <w:lvl w:ilvl="7" w:tplc="DD62A5B6">
      <w:start w:val="1"/>
      <w:numFmt w:val="bullet"/>
      <w:lvlText w:val="o"/>
      <w:lvlJc w:val="left"/>
      <w:pPr>
        <w:ind w:left="5760" w:hanging="360"/>
      </w:pPr>
      <w:rPr>
        <w:rFonts w:ascii="Courier New" w:hAnsi="Courier New" w:hint="default"/>
      </w:rPr>
    </w:lvl>
    <w:lvl w:ilvl="8" w:tplc="A9F241A4">
      <w:start w:val="1"/>
      <w:numFmt w:val="bullet"/>
      <w:lvlText w:val=""/>
      <w:lvlJc w:val="left"/>
      <w:pPr>
        <w:ind w:left="6480" w:hanging="360"/>
      </w:pPr>
      <w:rPr>
        <w:rFonts w:ascii="Wingdings" w:hAnsi="Wingdings" w:hint="default"/>
      </w:rPr>
    </w:lvl>
  </w:abstractNum>
  <w:abstractNum w:abstractNumId="31" w15:restartNumberingAfterBreak="0">
    <w:nsid w:val="5853B3C9"/>
    <w:multiLevelType w:val="hybridMultilevel"/>
    <w:tmpl w:val="AC444348"/>
    <w:lvl w:ilvl="0" w:tplc="7796473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8FDE9B8A">
      <w:start w:val="1"/>
      <w:numFmt w:val="bullet"/>
      <w:lvlText w:val=""/>
      <w:lvlJc w:val="left"/>
      <w:pPr>
        <w:ind w:left="2160" w:hanging="360"/>
      </w:pPr>
      <w:rPr>
        <w:rFonts w:ascii="Wingdings" w:hAnsi="Wingdings" w:hint="default"/>
      </w:rPr>
    </w:lvl>
    <w:lvl w:ilvl="3" w:tplc="6406D670">
      <w:start w:val="1"/>
      <w:numFmt w:val="bullet"/>
      <w:lvlText w:val=""/>
      <w:lvlJc w:val="left"/>
      <w:pPr>
        <w:ind w:left="2880" w:hanging="360"/>
      </w:pPr>
      <w:rPr>
        <w:rFonts w:ascii="Symbol" w:hAnsi="Symbol" w:hint="default"/>
      </w:rPr>
    </w:lvl>
    <w:lvl w:ilvl="4" w:tplc="2DDE0032">
      <w:start w:val="1"/>
      <w:numFmt w:val="bullet"/>
      <w:lvlText w:val="o"/>
      <w:lvlJc w:val="left"/>
      <w:pPr>
        <w:ind w:left="3600" w:hanging="360"/>
      </w:pPr>
      <w:rPr>
        <w:rFonts w:ascii="Courier New" w:hAnsi="Courier New" w:hint="default"/>
      </w:rPr>
    </w:lvl>
    <w:lvl w:ilvl="5" w:tplc="CBD2C544">
      <w:start w:val="1"/>
      <w:numFmt w:val="bullet"/>
      <w:lvlText w:val=""/>
      <w:lvlJc w:val="left"/>
      <w:pPr>
        <w:ind w:left="4320" w:hanging="360"/>
      </w:pPr>
      <w:rPr>
        <w:rFonts w:ascii="Wingdings" w:hAnsi="Wingdings" w:hint="default"/>
      </w:rPr>
    </w:lvl>
    <w:lvl w:ilvl="6" w:tplc="753E42C2">
      <w:start w:val="1"/>
      <w:numFmt w:val="bullet"/>
      <w:lvlText w:val=""/>
      <w:lvlJc w:val="left"/>
      <w:pPr>
        <w:ind w:left="5040" w:hanging="360"/>
      </w:pPr>
      <w:rPr>
        <w:rFonts w:ascii="Symbol" w:hAnsi="Symbol" w:hint="default"/>
      </w:rPr>
    </w:lvl>
    <w:lvl w:ilvl="7" w:tplc="6478E3DA">
      <w:start w:val="1"/>
      <w:numFmt w:val="bullet"/>
      <w:lvlText w:val="o"/>
      <w:lvlJc w:val="left"/>
      <w:pPr>
        <w:ind w:left="5760" w:hanging="360"/>
      </w:pPr>
      <w:rPr>
        <w:rFonts w:ascii="Courier New" w:hAnsi="Courier New" w:hint="default"/>
      </w:rPr>
    </w:lvl>
    <w:lvl w:ilvl="8" w:tplc="DEB206E0">
      <w:start w:val="1"/>
      <w:numFmt w:val="bullet"/>
      <w:lvlText w:val=""/>
      <w:lvlJc w:val="left"/>
      <w:pPr>
        <w:ind w:left="6480" w:hanging="360"/>
      </w:pPr>
      <w:rPr>
        <w:rFonts w:ascii="Wingdings" w:hAnsi="Wingdings" w:hint="default"/>
      </w:rPr>
    </w:lvl>
  </w:abstractNum>
  <w:abstractNum w:abstractNumId="32" w15:restartNumberingAfterBreak="0">
    <w:nsid w:val="58B8B1CA"/>
    <w:multiLevelType w:val="hybridMultilevel"/>
    <w:tmpl w:val="FFFFFFFF"/>
    <w:lvl w:ilvl="0" w:tplc="A372FF1C">
      <w:start w:val="1"/>
      <w:numFmt w:val="bullet"/>
      <w:lvlText w:val=""/>
      <w:lvlJc w:val="left"/>
      <w:pPr>
        <w:ind w:left="720" w:hanging="360"/>
      </w:pPr>
      <w:rPr>
        <w:rFonts w:ascii="Symbol" w:hAnsi="Symbol" w:hint="default"/>
      </w:rPr>
    </w:lvl>
    <w:lvl w:ilvl="1" w:tplc="768C7A76">
      <w:start w:val="1"/>
      <w:numFmt w:val="bullet"/>
      <w:lvlText w:val="o"/>
      <w:lvlJc w:val="left"/>
      <w:pPr>
        <w:ind w:left="1440" w:hanging="360"/>
      </w:pPr>
      <w:rPr>
        <w:rFonts w:ascii="Courier New" w:hAnsi="Courier New" w:hint="default"/>
      </w:rPr>
    </w:lvl>
    <w:lvl w:ilvl="2" w:tplc="87C2A7F4">
      <w:start w:val="1"/>
      <w:numFmt w:val="bullet"/>
      <w:lvlText w:val=""/>
      <w:lvlJc w:val="left"/>
      <w:pPr>
        <w:ind w:left="2160" w:hanging="360"/>
      </w:pPr>
      <w:rPr>
        <w:rFonts w:ascii="Wingdings" w:hAnsi="Wingdings" w:hint="default"/>
      </w:rPr>
    </w:lvl>
    <w:lvl w:ilvl="3" w:tplc="B0D0AD4E">
      <w:start w:val="1"/>
      <w:numFmt w:val="bullet"/>
      <w:lvlText w:val=""/>
      <w:lvlJc w:val="left"/>
      <w:pPr>
        <w:ind w:left="2880" w:hanging="360"/>
      </w:pPr>
      <w:rPr>
        <w:rFonts w:ascii="Symbol" w:hAnsi="Symbol" w:hint="default"/>
      </w:rPr>
    </w:lvl>
    <w:lvl w:ilvl="4" w:tplc="098EEA9C">
      <w:start w:val="1"/>
      <w:numFmt w:val="bullet"/>
      <w:lvlText w:val="o"/>
      <w:lvlJc w:val="left"/>
      <w:pPr>
        <w:ind w:left="3600" w:hanging="360"/>
      </w:pPr>
      <w:rPr>
        <w:rFonts w:ascii="Courier New" w:hAnsi="Courier New" w:hint="default"/>
      </w:rPr>
    </w:lvl>
    <w:lvl w:ilvl="5" w:tplc="FE328026">
      <w:start w:val="1"/>
      <w:numFmt w:val="bullet"/>
      <w:lvlText w:val=""/>
      <w:lvlJc w:val="left"/>
      <w:pPr>
        <w:ind w:left="4320" w:hanging="360"/>
      </w:pPr>
      <w:rPr>
        <w:rFonts w:ascii="Wingdings" w:hAnsi="Wingdings" w:hint="default"/>
      </w:rPr>
    </w:lvl>
    <w:lvl w:ilvl="6" w:tplc="964EBF8A">
      <w:start w:val="1"/>
      <w:numFmt w:val="bullet"/>
      <w:lvlText w:val=""/>
      <w:lvlJc w:val="left"/>
      <w:pPr>
        <w:ind w:left="5040" w:hanging="360"/>
      </w:pPr>
      <w:rPr>
        <w:rFonts w:ascii="Symbol" w:hAnsi="Symbol" w:hint="default"/>
      </w:rPr>
    </w:lvl>
    <w:lvl w:ilvl="7" w:tplc="B0E27990">
      <w:start w:val="1"/>
      <w:numFmt w:val="bullet"/>
      <w:lvlText w:val="o"/>
      <w:lvlJc w:val="left"/>
      <w:pPr>
        <w:ind w:left="5760" w:hanging="360"/>
      </w:pPr>
      <w:rPr>
        <w:rFonts w:ascii="Courier New" w:hAnsi="Courier New" w:hint="default"/>
      </w:rPr>
    </w:lvl>
    <w:lvl w:ilvl="8" w:tplc="EC867F54">
      <w:start w:val="1"/>
      <w:numFmt w:val="bullet"/>
      <w:lvlText w:val=""/>
      <w:lvlJc w:val="left"/>
      <w:pPr>
        <w:ind w:left="6480" w:hanging="360"/>
      </w:pPr>
      <w:rPr>
        <w:rFonts w:ascii="Wingdings" w:hAnsi="Wingdings" w:hint="default"/>
      </w:rPr>
    </w:lvl>
  </w:abstractNum>
  <w:abstractNum w:abstractNumId="33" w15:restartNumberingAfterBreak="0">
    <w:nsid w:val="5B30CD16"/>
    <w:multiLevelType w:val="hybridMultilevel"/>
    <w:tmpl w:val="A0D69922"/>
    <w:lvl w:ilvl="0" w:tplc="5360F678">
      <w:start w:val="1"/>
      <w:numFmt w:val="decimal"/>
      <w:lvlText w:val="%1."/>
      <w:lvlJc w:val="left"/>
      <w:pPr>
        <w:ind w:left="720" w:hanging="360"/>
      </w:pPr>
    </w:lvl>
    <w:lvl w:ilvl="1" w:tplc="0E820FA8">
      <w:start w:val="1"/>
      <w:numFmt w:val="lowerLetter"/>
      <w:lvlText w:val="%2."/>
      <w:lvlJc w:val="left"/>
      <w:pPr>
        <w:ind w:left="1440" w:hanging="360"/>
      </w:pPr>
    </w:lvl>
    <w:lvl w:ilvl="2" w:tplc="E9B8D9EC">
      <w:start w:val="1"/>
      <w:numFmt w:val="lowerRoman"/>
      <w:lvlText w:val="%3."/>
      <w:lvlJc w:val="right"/>
      <w:pPr>
        <w:ind w:left="2160" w:hanging="180"/>
      </w:pPr>
    </w:lvl>
    <w:lvl w:ilvl="3" w:tplc="C7D86568">
      <w:start w:val="1"/>
      <w:numFmt w:val="decimal"/>
      <w:lvlText w:val="%4."/>
      <w:lvlJc w:val="left"/>
      <w:pPr>
        <w:ind w:left="2880" w:hanging="360"/>
      </w:pPr>
    </w:lvl>
    <w:lvl w:ilvl="4" w:tplc="A508A1A6">
      <w:start w:val="1"/>
      <w:numFmt w:val="lowerLetter"/>
      <w:lvlText w:val="%5."/>
      <w:lvlJc w:val="left"/>
      <w:pPr>
        <w:ind w:left="3600" w:hanging="360"/>
      </w:pPr>
    </w:lvl>
    <w:lvl w:ilvl="5" w:tplc="DF101494">
      <w:start w:val="1"/>
      <w:numFmt w:val="lowerRoman"/>
      <w:lvlText w:val="%6."/>
      <w:lvlJc w:val="right"/>
      <w:pPr>
        <w:ind w:left="4320" w:hanging="180"/>
      </w:pPr>
    </w:lvl>
    <w:lvl w:ilvl="6" w:tplc="F8962EC4">
      <w:start w:val="1"/>
      <w:numFmt w:val="decimal"/>
      <w:lvlText w:val="%7."/>
      <w:lvlJc w:val="left"/>
      <w:pPr>
        <w:ind w:left="5040" w:hanging="360"/>
      </w:pPr>
    </w:lvl>
    <w:lvl w:ilvl="7" w:tplc="77DCAF80">
      <w:start w:val="1"/>
      <w:numFmt w:val="lowerLetter"/>
      <w:lvlText w:val="%8."/>
      <w:lvlJc w:val="left"/>
      <w:pPr>
        <w:ind w:left="5760" w:hanging="360"/>
      </w:pPr>
    </w:lvl>
    <w:lvl w:ilvl="8" w:tplc="782E0A64">
      <w:start w:val="1"/>
      <w:numFmt w:val="lowerRoman"/>
      <w:lvlText w:val="%9."/>
      <w:lvlJc w:val="right"/>
      <w:pPr>
        <w:ind w:left="6480" w:hanging="180"/>
      </w:pPr>
    </w:lvl>
  </w:abstractNum>
  <w:abstractNum w:abstractNumId="34" w15:restartNumberingAfterBreak="0">
    <w:nsid w:val="5DF328DB"/>
    <w:multiLevelType w:val="hybridMultilevel"/>
    <w:tmpl w:val="FFFFFFFF"/>
    <w:lvl w:ilvl="0" w:tplc="927AB954">
      <w:start w:val="1"/>
      <w:numFmt w:val="bullet"/>
      <w:lvlText w:val=""/>
      <w:lvlJc w:val="left"/>
      <w:pPr>
        <w:ind w:left="720" w:hanging="360"/>
      </w:pPr>
      <w:rPr>
        <w:rFonts w:ascii="Symbol" w:hAnsi="Symbol" w:hint="default"/>
      </w:rPr>
    </w:lvl>
    <w:lvl w:ilvl="1" w:tplc="57245956">
      <w:start w:val="1"/>
      <w:numFmt w:val="bullet"/>
      <w:lvlText w:val="o"/>
      <w:lvlJc w:val="left"/>
      <w:pPr>
        <w:ind w:left="1440" w:hanging="360"/>
      </w:pPr>
      <w:rPr>
        <w:rFonts w:ascii="Courier New" w:hAnsi="Courier New" w:hint="default"/>
      </w:rPr>
    </w:lvl>
    <w:lvl w:ilvl="2" w:tplc="92E022F4">
      <w:start w:val="1"/>
      <w:numFmt w:val="bullet"/>
      <w:lvlText w:val=""/>
      <w:lvlJc w:val="left"/>
      <w:pPr>
        <w:ind w:left="2160" w:hanging="360"/>
      </w:pPr>
      <w:rPr>
        <w:rFonts w:ascii="Wingdings" w:hAnsi="Wingdings" w:hint="default"/>
      </w:rPr>
    </w:lvl>
    <w:lvl w:ilvl="3" w:tplc="65DAC464">
      <w:start w:val="1"/>
      <w:numFmt w:val="bullet"/>
      <w:lvlText w:val=""/>
      <w:lvlJc w:val="left"/>
      <w:pPr>
        <w:ind w:left="2880" w:hanging="360"/>
      </w:pPr>
      <w:rPr>
        <w:rFonts w:ascii="Symbol" w:hAnsi="Symbol" w:hint="default"/>
      </w:rPr>
    </w:lvl>
    <w:lvl w:ilvl="4" w:tplc="AFCA8B92">
      <w:start w:val="1"/>
      <w:numFmt w:val="bullet"/>
      <w:lvlText w:val="o"/>
      <w:lvlJc w:val="left"/>
      <w:pPr>
        <w:ind w:left="3600" w:hanging="360"/>
      </w:pPr>
      <w:rPr>
        <w:rFonts w:ascii="Courier New" w:hAnsi="Courier New" w:hint="default"/>
      </w:rPr>
    </w:lvl>
    <w:lvl w:ilvl="5" w:tplc="E8D4AA0A">
      <w:start w:val="1"/>
      <w:numFmt w:val="bullet"/>
      <w:lvlText w:val=""/>
      <w:lvlJc w:val="left"/>
      <w:pPr>
        <w:ind w:left="4320" w:hanging="360"/>
      </w:pPr>
      <w:rPr>
        <w:rFonts w:ascii="Wingdings" w:hAnsi="Wingdings" w:hint="default"/>
      </w:rPr>
    </w:lvl>
    <w:lvl w:ilvl="6" w:tplc="E9E4552A">
      <w:start w:val="1"/>
      <w:numFmt w:val="bullet"/>
      <w:lvlText w:val=""/>
      <w:lvlJc w:val="left"/>
      <w:pPr>
        <w:ind w:left="5040" w:hanging="360"/>
      </w:pPr>
      <w:rPr>
        <w:rFonts w:ascii="Symbol" w:hAnsi="Symbol" w:hint="default"/>
      </w:rPr>
    </w:lvl>
    <w:lvl w:ilvl="7" w:tplc="7C3228C2">
      <w:start w:val="1"/>
      <w:numFmt w:val="bullet"/>
      <w:lvlText w:val="o"/>
      <w:lvlJc w:val="left"/>
      <w:pPr>
        <w:ind w:left="5760" w:hanging="360"/>
      </w:pPr>
      <w:rPr>
        <w:rFonts w:ascii="Courier New" w:hAnsi="Courier New" w:hint="default"/>
      </w:rPr>
    </w:lvl>
    <w:lvl w:ilvl="8" w:tplc="154A3B10">
      <w:start w:val="1"/>
      <w:numFmt w:val="bullet"/>
      <w:lvlText w:val=""/>
      <w:lvlJc w:val="left"/>
      <w:pPr>
        <w:ind w:left="6480" w:hanging="360"/>
      </w:pPr>
      <w:rPr>
        <w:rFonts w:ascii="Wingdings" w:hAnsi="Wingdings" w:hint="default"/>
      </w:rPr>
    </w:lvl>
  </w:abstractNum>
  <w:abstractNum w:abstractNumId="35" w15:restartNumberingAfterBreak="0">
    <w:nsid w:val="5E3A1CB6"/>
    <w:multiLevelType w:val="hybridMultilevel"/>
    <w:tmpl w:val="FFFFFFFF"/>
    <w:lvl w:ilvl="0" w:tplc="EA542478">
      <w:start w:val="1"/>
      <w:numFmt w:val="bullet"/>
      <w:lvlText w:val=""/>
      <w:lvlJc w:val="left"/>
      <w:pPr>
        <w:ind w:left="720" w:hanging="360"/>
      </w:pPr>
      <w:rPr>
        <w:rFonts w:ascii="Symbol" w:hAnsi="Symbol" w:hint="default"/>
      </w:rPr>
    </w:lvl>
    <w:lvl w:ilvl="1" w:tplc="97FAF53A">
      <w:start w:val="1"/>
      <w:numFmt w:val="bullet"/>
      <w:lvlText w:val="-"/>
      <w:lvlJc w:val="left"/>
      <w:pPr>
        <w:ind w:left="1440" w:hanging="360"/>
      </w:pPr>
      <w:rPr>
        <w:rFonts w:ascii="Calibri" w:hAnsi="Calibri" w:hint="default"/>
      </w:rPr>
    </w:lvl>
    <w:lvl w:ilvl="2" w:tplc="590A47FA">
      <w:start w:val="1"/>
      <w:numFmt w:val="bullet"/>
      <w:lvlText w:val=""/>
      <w:lvlJc w:val="left"/>
      <w:pPr>
        <w:ind w:left="2160" w:hanging="360"/>
      </w:pPr>
      <w:rPr>
        <w:rFonts w:ascii="Wingdings" w:hAnsi="Wingdings" w:hint="default"/>
      </w:rPr>
    </w:lvl>
    <w:lvl w:ilvl="3" w:tplc="C7048E1A">
      <w:start w:val="1"/>
      <w:numFmt w:val="bullet"/>
      <w:lvlText w:val=""/>
      <w:lvlJc w:val="left"/>
      <w:pPr>
        <w:ind w:left="2880" w:hanging="360"/>
      </w:pPr>
      <w:rPr>
        <w:rFonts w:ascii="Symbol" w:hAnsi="Symbol" w:hint="default"/>
      </w:rPr>
    </w:lvl>
    <w:lvl w:ilvl="4" w:tplc="1DDE1382">
      <w:start w:val="1"/>
      <w:numFmt w:val="bullet"/>
      <w:lvlText w:val="o"/>
      <w:lvlJc w:val="left"/>
      <w:pPr>
        <w:ind w:left="3600" w:hanging="360"/>
      </w:pPr>
      <w:rPr>
        <w:rFonts w:ascii="Courier New" w:hAnsi="Courier New" w:hint="default"/>
      </w:rPr>
    </w:lvl>
    <w:lvl w:ilvl="5" w:tplc="BB7CF2DE">
      <w:start w:val="1"/>
      <w:numFmt w:val="bullet"/>
      <w:lvlText w:val=""/>
      <w:lvlJc w:val="left"/>
      <w:pPr>
        <w:ind w:left="4320" w:hanging="360"/>
      </w:pPr>
      <w:rPr>
        <w:rFonts w:ascii="Wingdings" w:hAnsi="Wingdings" w:hint="default"/>
      </w:rPr>
    </w:lvl>
    <w:lvl w:ilvl="6" w:tplc="C3542A94">
      <w:start w:val="1"/>
      <w:numFmt w:val="bullet"/>
      <w:lvlText w:val=""/>
      <w:lvlJc w:val="left"/>
      <w:pPr>
        <w:ind w:left="5040" w:hanging="360"/>
      </w:pPr>
      <w:rPr>
        <w:rFonts w:ascii="Symbol" w:hAnsi="Symbol" w:hint="default"/>
      </w:rPr>
    </w:lvl>
    <w:lvl w:ilvl="7" w:tplc="BD1EAC4C">
      <w:start w:val="1"/>
      <w:numFmt w:val="bullet"/>
      <w:lvlText w:val="o"/>
      <w:lvlJc w:val="left"/>
      <w:pPr>
        <w:ind w:left="5760" w:hanging="360"/>
      </w:pPr>
      <w:rPr>
        <w:rFonts w:ascii="Courier New" w:hAnsi="Courier New" w:hint="default"/>
      </w:rPr>
    </w:lvl>
    <w:lvl w:ilvl="8" w:tplc="8236FA8E">
      <w:start w:val="1"/>
      <w:numFmt w:val="bullet"/>
      <w:lvlText w:val=""/>
      <w:lvlJc w:val="left"/>
      <w:pPr>
        <w:ind w:left="6480" w:hanging="360"/>
      </w:pPr>
      <w:rPr>
        <w:rFonts w:ascii="Wingdings" w:hAnsi="Wingdings" w:hint="default"/>
      </w:rPr>
    </w:lvl>
  </w:abstractNum>
  <w:abstractNum w:abstractNumId="36" w15:restartNumberingAfterBreak="0">
    <w:nsid w:val="67BF3EE9"/>
    <w:multiLevelType w:val="hybridMultilevel"/>
    <w:tmpl w:val="7152D468"/>
    <w:lvl w:ilvl="0" w:tplc="FFFFFFFF">
      <w:start w:val="1"/>
      <w:numFmt w:val="bullet"/>
      <w:lvlText w:val=""/>
      <w:lvlJc w:val="left"/>
      <w:pPr>
        <w:ind w:left="720" w:hanging="360"/>
      </w:pPr>
      <w:rPr>
        <w:rFonts w:ascii="Symbol" w:hAnsi="Symbol" w:hint="default"/>
      </w:rPr>
    </w:lvl>
    <w:lvl w:ilvl="1" w:tplc="D88C1226">
      <w:start w:val="1"/>
      <w:numFmt w:val="bullet"/>
      <w:lvlText w:val="o"/>
      <w:lvlJc w:val="left"/>
      <w:pPr>
        <w:ind w:left="1440" w:hanging="360"/>
      </w:pPr>
      <w:rPr>
        <w:rFonts w:ascii="Courier New" w:hAnsi="Courier New" w:hint="default"/>
      </w:rPr>
    </w:lvl>
    <w:lvl w:ilvl="2" w:tplc="787EF5FC">
      <w:start w:val="1"/>
      <w:numFmt w:val="bullet"/>
      <w:lvlText w:val=""/>
      <w:lvlJc w:val="left"/>
      <w:pPr>
        <w:ind w:left="2160" w:hanging="360"/>
      </w:pPr>
      <w:rPr>
        <w:rFonts w:ascii="Wingdings" w:hAnsi="Wingdings" w:hint="default"/>
      </w:rPr>
    </w:lvl>
    <w:lvl w:ilvl="3" w:tplc="828EF8C8">
      <w:start w:val="1"/>
      <w:numFmt w:val="bullet"/>
      <w:lvlText w:val=""/>
      <w:lvlJc w:val="left"/>
      <w:pPr>
        <w:ind w:left="2880" w:hanging="360"/>
      </w:pPr>
      <w:rPr>
        <w:rFonts w:ascii="Symbol" w:hAnsi="Symbol" w:hint="default"/>
      </w:rPr>
    </w:lvl>
    <w:lvl w:ilvl="4" w:tplc="A5706216">
      <w:start w:val="1"/>
      <w:numFmt w:val="bullet"/>
      <w:lvlText w:val="o"/>
      <w:lvlJc w:val="left"/>
      <w:pPr>
        <w:ind w:left="3600" w:hanging="360"/>
      </w:pPr>
      <w:rPr>
        <w:rFonts w:ascii="Courier New" w:hAnsi="Courier New" w:hint="default"/>
      </w:rPr>
    </w:lvl>
    <w:lvl w:ilvl="5" w:tplc="821E628C">
      <w:start w:val="1"/>
      <w:numFmt w:val="bullet"/>
      <w:lvlText w:val=""/>
      <w:lvlJc w:val="left"/>
      <w:pPr>
        <w:ind w:left="4320" w:hanging="360"/>
      </w:pPr>
      <w:rPr>
        <w:rFonts w:ascii="Wingdings" w:hAnsi="Wingdings" w:hint="default"/>
      </w:rPr>
    </w:lvl>
    <w:lvl w:ilvl="6" w:tplc="33BAEC18">
      <w:start w:val="1"/>
      <w:numFmt w:val="bullet"/>
      <w:lvlText w:val=""/>
      <w:lvlJc w:val="left"/>
      <w:pPr>
        <w:ind w:left="5040" w:hanging="360"/>
      </w:pPr>
      <w:rPr>
        <w:rFonts w:ascii="Symbol" w:hAnsi="Symbol" w:hint="default"/>
      </w:rPr>
    </w:lvl>
    <w:lvl w:ilvl="7" w:tplc="DF821368">
      <w:start w:val="1"/>
      <w:numFmt w:val="bullet"/>
      <w:lvlText w:val="o"/>
      <w:lvlJc w:val="left"/>
      <w:pPr>
        <w:ind w:left="5760" w:hanging="360"/>
      </w:pPr>
      <w:rPr>
        <w:rFonts w:ascii="Courier New" w:hAnsi="Courier New" w:hint="default"/>
      </w:rPr>
    </w:lvl>
    <w:lvl w:ilvl="8" w:tplc="CAB05538">
      <w:start w:val="1"/>
      <w:numFmt w:val="bullet"/>
      <w:lvlText w:val=""/>
      <w:lvlJc w:val="left"/>
      <w:pPr>
        <w:ind w:left="6480" w:hanging="360"/>
      </w:pPr>
      <w:rPr>
        <w:rFonts w:ascii="Wingdings" w:hAnsi="Wingdings" w:hint="default"/>
      </w:rPr>
    </w:lvl>
  </w:abstractNum>
  <w:abstractNum w:abstractNumId="37" w15:restartNumberingAfterBreak="0">
    <w:nsid w:val="6AC97F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E6C0306"/>
    <w:multiLevelType w:val="hybridMultilevel"/>
    <w:tmpl w:val="D68A1EFE"/>
    <w:lvl w:ilvl="0" w:tplc="80CCAB8A">
      <w:start w:val="1"/>
      <w:numFmt w:val="bullet"/>
      <w:lvlText w:val="-"/>
      <w:lvlJc w:val="left"/>
      <w:pPr>
        <w:ind w:left="720" w:hanging="360"/>
      </w:pPr>
      <w:rPr>
        <w:rFonts w:ascii="Calibri" w:hAnsi="Calibri" w:hint="default"/>
      </w:rPr>
    </w:lvl>
    <w:lvl w:ilvl="1" w:tplc="3E8871DA">
      <w:start w:val="1"/>
      <w:numFmt w:val="bullet"/>
      <w:lvlText w:val="o"/>
      <w:lvlJc w:val="left"/>
      <w:pPr>
        <w:ind w:left="1440" w:hanging="360"/>
      </w:pPr>
      <w:rPr>
        <w:rFonts w:ascii="Courier New" w:hAnsi="Courier New" w:hint="default"/>
      </w:rPr>
    </w:lvl>
    <w:lvl w:ilvl="2" w:tplc="2102A64E">
      <w:start w:val="1"/>
      <w:numFmt w:val="bullet"/>
      <w:lvlText w:val=""/>
      <w:lvlJc w:val="left"/>
      <w:pPr>
        <w:ind w:left="2160" w:hanging="360"/>
      </w:pPr>
      <w:rPr>
        <w:rFonts w:ascii="Wingdings" w:hAnsi="Wingdings" w:hint="default"/>
      </w:rPr>
    </w:lvl>
    <w:lvl w:ilvl="3" w:tplc="990E533A">
      <w:start w:val="1"/>
      <w:numFmt w:val="bullet"/>
      <w:lvlText w:val=""/>
      <w:lvlJc w:val="left"/>
      <w:pPr>
        <w:ind w:left="2880" w:hanging="360"/>
      </w:pPr>
      <w:rPr>
        <w:rFonts w:ascii="Symbol" w:hAnsi="Symbol" w:hint="default"/>
      </w:rPr>
    </w:lvl>
    <w:lvl w:ilvl="4" w:tplc="4956F19C">
      <w:start w:val="1"/>
      <w:numFmt w:val="bullet"/>
      <w:lvlText w:val="o"/>
      <w:lvlJc w:val="left"/>
      <w:pPr>
        <w:ind w:left="3600" w:hanging="360"/>
      </w:pPr>
      <w:rPr>
        <w:rFonts w:ascii="Courier New" w:hAnsi="Courier New" w:hint="default"/>
      </w:rPr>
    </w:lvl>
    <w:lvl w:ilvl="5" w:tplc="85C09008">
      <w:start w:val="1"/>
      <w:numFmt w:val="bullet"/>
      <w:lvlText w:val=""/>
      <w:lvlJc w:val="left"/>
      <w:pPr>
        <w:ind w:left="4320" w:hanging="360"/>
      </w:pPr>
      <w:rPr>
        <w:rFonts w:ascii="Wingdings" w:hAnsi="Wingdings" w:hint="default"/>
      </w:rPr>
    </w:lvl>
    <w:lvl w:ilvl="6" w:tplc="EA7406EE">
      <w:start w:val="1"/>
      <w:numFmt w:val="bullet"/>
      <w:lvlText w:val=""/>
      <w:lvlJc w:val="left"/>
      <w:pPr>
        <w:ind w:left="5040" w:hanging="360"/>
      </w:pPr>
      <w:rPr>
        <w:rFonts w:ascii="Symbol" w:hAnsi="Symbol" w:hint="default"/>
      </w:rPr>
    </w:lvl>
    <w:lvl w:ilvl="7" w:tplc="45AE99B4">
      <w:start w:val="1"/>
      <w:numFmt w:val="bullet"/>
      <w:lvlText w:val="o"/>
      <w:lvlJc w:val="left"/>
      <w:pPr>
        <w:ind w:left="5760" w:hanging="360"/>
      </w:pPr>
      <w:rPr>
        <w:rFonts w:ascii="Courier New" w:hAnsi="Courier New" w:hint="default"/>
      </w:rPr>
    </w:lvl>
    <w:lvl w:ilvl="8" w:tplc="27728C70">
      <w:start w:val="1"/>
      <w:numFmt w:val="bullet"/>
      <w:lvlText w:val=""/>
      <w:lvlJc w:val="left"/>
      <w:pPr>
        <w:ind w:left="6480" w:hanging="360"/>
      </w:pPr>
      <w:rPr>
        <w:rFonts w:ascii="Wingdings" w:hAnsi="Wingdings" w:hint="default"/>
      </w:rPr>
    </w:lvl>
  </w:abstractNum>
  <w:abstractNum w:abstractNumId="39" w15:restartNumberingAfterBreak="0">
    <w:nsid w:val="6EB73B4B"/>
    <w:multiLevelType w:val="hybridMultilevel"/>
    <w:tmpl w:val="D42C123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0BF43E8"/>
    <w:multiLevelType w:val="hybridMultilevel"/>
    <w:tmpl w:val="10E438E6"/>
    <w:lvl w:ilvl="0" w:tplc="1809000F">
      <w:start w:val="1"/>
      <w:numFmt w:val="decimal"/>
      <w:lvlText w:val="%1."/>
      <w:lvlJc w:val="left"/>
      <w:pPr>
        <w:ind w:left="720" w:hanging="360"/>
      </w:pPr>
      <w:rPr>
        <w:rFonts w:hint="default"/>
      </w:rPr>
    </w:lvl>
    <w:lvl w:ilvl="1" w:tplc="789EACEA">
      <w:start w:val="1"/>
      <w:numFmt w:val="bullet"/>
      <w:lvlText w:val="o"/>
      <w:lvlJc w:val="left"/>
      <w:pPr>
        <w:ind w:left="1440" w:hanging="360"/>
      </w:pPr>
      <w:rPr>
        <w:rFonts w:ascii="Courier New" w:hAnsi="Courier New" w:hint="default"/>
      </w:rPr>
    </w:lvl>
    <w:lvl w:ilvl="2" w:tplc="394ED78C">
      <w:start w:val="1"/>
      <w:numFmt w:val="bullet"/>
      <w:lvlText w:val=""/>
      <w:lvlJc w:val="left"/>
      <w:pPr>
        <w:ind w:left="2160" w:hanging="360"/>
      </w:pPr>
      <w:rPr>
        <w:rFonts w:ascii="Wingdings" w:hAnsi="Wingdings" w:hint="default"/>
      </w:rPr>
    </w:lvl>
    <w:lvl w:ilvl="3" w:tplc="9CB200F8">
      <w:start w:val="1"/>
      <w:numFmt w:val="bullet"/>
      <w:lvlText w:val=""/>
      <w:lvlJc w:val="left"/>
      <w:pPr>
        <w:ind w:left="2880" w:hanging="360"/>
      </w:pPr>
      <w:rPr>
        <w:rFonts w:ascii="Symbol" w:hAnsi="Symbol" w:hint="default"/>
      </w:rPr>
    </w:lvl>
    <w:lvl w:ilvl="4" w:tplc="987C3C74">
      <w:start w:val="1"/>
      <w:numFmt w:val="bullet"/>
      <w:lvlText w:val="o"/>
      <w:lvlJc w:val="left"/>
      <w:pPr>
        <w:ind w:left="3600" w:hanging="360"/>
      </w:pPr>
      <w:rPr>
        <w:rFonts w:ascii="Courier New" w:hAnsi="Courier New" w:hint="default"/>
      </w:rPr>
    </w:lvl>
    <w:lvl w:ilvl="5" w:tplc="BCA6C1C6">
      <w:start w:val="1"/>
      <w:numFmt w:val="bullet"/>
      <w:lvlText w:val=""/>
      <w:lvlJc w:val="left"/>
      <w:pPr>
        <w:ind w:left="4320" w:hanging="360"/>
      </w:pPr>
      <w:rPr>
        <w:rFonts w:ascii="Wingdings" w:hAnsi="Wingdings" w:hint="default"/>
      </w:rPr>
    </w:lvl>
    <w:lvl w:ilvl="6" w:tplc="66F0824A">
      <w:start w:val="1"/>
      <w:numFmt w:val="bullet"/>
      <w:lvlText w:val=""/>
      <w:lvlJc w:val="left"/>
      <w:pPr>
        <w:ind w:left="5040" w:hanging="360"/>
      </w:pPr>
      <w:rPr>
        <w:rFonts w:ascii="Symbol" w:hAnsi="Symbol" w:hint="default"/>
      </w:rPr>
    </w:lvl>
    <w:lvl w:ilvl="7" w:tplc="E904CF9E">
      <w:start w:val="1"/>
      <w:numFmt w:val="bullet"/>
      <w:lvlText w:val="o"/>
      <w:lvlJc w:val="left"/>
      <w:pPr>
        <w:ind w:left="5760" w:hanging="360"/>
      </w:pPr>
      <w:rPr>
        <w:rFonts w:ascii="Courier New" w:hAnsi="Courier New" w:hint="default"/>
      </w:rPr>
    </w:lvl>
    <w:lvl w:ilvl="8" w:tplc="8B7EEF72">
      <w:start w:val="1"/>
      <w:numFmt w:val="bullet"/>
      <w:lvlText w:val=""/>
      <w:lvlJc w:val="left"/>
      <w:pPr>
        <w:ind w:left="6480" w:hanging="360"/>
      </w:pPr>
      <w:rPr>
        <w:rFonts w:ascii="Wingdings" w:hAnsi="Wingdings" w:hint="default"/>
      </w:rPr>
    </w:lvl>
  </w:abstractNum>
  <w:abstractNum w:abstractNumId="41" w15:restartNumberingAfterBreak="0">
    <w:nsid w:val="720D2B7B"/>
    <w:multiLevelType w:val="hybridMultilevel"/>
    <w:tmpl w:val="FFFFFFFF"/>
    <w:lvl w:ilvl="0" w:tplc="1714BD56">
      <w:start w:val="1"/>
      <w:numFmt w:val="bullet"/>
      <w:lvlText w:val="·"/>
      <w:lvlJc w:val="left"/>
      <w:pPr>
        <w:ind w:left="720" w:hanging="360"/>
      </w:pPr>
      <w:rPr>
        <w:rFonts w:ascii="Symbol" w:hAnsi="Symbol" w:hint="default"/>
      </w:rPr>
    </w:lvl>
    <w:lvl w:ilvl="1" w:tplc="4274EA9A">
      <w:start w:val="1"/>
      <w:numFmt w:val="bullet"/>
      <w:lvlText w:val="o"/>
      <w:lvlJc w:val="left"/>
      <w:pPr>
        <w:ind w:left="1440" w:hanging="360"/>
      </w:pPr>
      <w:rPr>
        <w:rFonts w:ascii="Courier New" w:hAnsi="Courier New" w:hint="default"/>
      </w:rPr>
    </w:lvl>
    <w:lvl w:ilvl="2" w:tplc="C902C4CA">
      <w:start w:val="1"/>
      <w:numFmt w:val="bullet"/>
      <w:lvlText w:val=""/>
      <w:lvlJc w:val="left"/>
      <w:pPr>
        <w:ind w:left="2160" w:hanging="360"/>
      </w:pPr>
      <w:rPr>
        <w:rFonts w:ascii="Wingdings" w:hAnsi="Wingdings" w:hint="default"/>
      </w:rPr>
    </w:lvl>
    <w:lvl w:ilvl="3" w:tplc="2814E08A">
      <w:start w:val="1"/>
      <w:numFmt w:val="bullet"/>
      <w:lvlText w:val=""/>
      <w:lvlJc w:val="left"/>
      <w:pPr>
        <w:ind w:left="2880" w:hanging="360"/>
      </w:pPr>
      <w:rPr>
        <w:rFonts w:ascii="Symbol" w:hAnsi="Symbol" w:hint="default"/>
      </w:rPr>
    </w:lvl>
    <w:lvl w:ilvl="4" w:tplc="B5FE4A56">
      <w:start w:val="1"/>
      <w:numFmt w:val="bullet"/>
      <w:lvlText w:val="o"/>
      <w:lvlJc w:val="left"/>
      <w:pPr>
        <w:ind w:left="3600" w:hanging="360"/>
      </w:pPr>
      <w:rPr>
        <w:rFonts w:ascii="Courier New" w:hAnsi="Courier New" w:hint="default"/>
      </w:rPr>
    </w:lvl>
    <w:lvl w:ilvl="5" w:tplc="35EE5E18">
      <w:start w:val="1"/>
      <w:numFmt w:val="bullet"/>
      <w:lvlText w:val=""/>
      <w:lvlJc w:val="left"/>
      <w:pPr>
        <w:ind w:left="4320" w:hanging="360"/>
      </w:pPr>
      <w:rPr>
        <w:rFonts w:ascii="Wingdings" w:hAnsi="Wingdings" w:hint="default"/>
      </w:rPr>
    </w:lvl>
    <w:lvl w:ilvl="6" w:tplc="25B60080">
      <w:start w:val="1"/>
      <w:numFmt w:val="bullet"/>
      <w:lvlText w:val=""/>
      <w:lvlJc w:val="left"/>
      <w:pPr>
        <w:ind w:left="5040" w:hanging="360"/>
      </w:pPr>
      <w:rPr>
        <w:rFonts w:ascii="Symbol" w:hAnsi="Symbol" w:hint="default"/>
      </w:rPr>
    </w:lvl>
    <w:lvl w:ilvl="7" w:tplc="79BA4E44">
      <w:start w:val="1"/>
      <w:numFmt w:val="bullet"/>
      <w:lvlText w:val="o"/>
      <w:lvlJc w:val="left"/>
      <w:pPr>
        <w:ind w:left="5760" w:hanging="360"/>
      </w:pPr>
      <w:rPr>
        <w:rFonts w:ascii="Courier New" w:hAnsi="Courier New" w:hint="default"/>
      </w:rPr>
    </w:lvl>
    <w:lvl w:ilvl="8" w:tplc="132E34CA">
      <w:start w:val="1"/>
      <w:numFmt w:val="bullet"/>
      <w:lvlText w:val=""/>
      <w:lvlJc w:val="left"/>
      <w:pPr>
        <w:ind w:left="6480" w:hanging="360"/>
      </w:pPr>
      <w:rPr>
        <w:rFonts w:ascii="Wingdings" w:hAnsi="Wingdings" w:hint="default"/>
      </w:rPr>
    </w:lvl>
  </w:abstractNum>
  <w:abstractNum w:abstractNumId="42" w15:restartNumberingAfterBreak="0">
    <w:nsid w:val="7C65145E"/>
    <w:multiLevelType w:val="multilevel"/>
    <w:tmpl w:val="AD6ECDCC"/>
    <w:lvl w:ilvl="0">
      <w:start w:val="1"/>
      <w:numFmt w:val="decimal"/>
      <w:pStyle w:val="Heading1"/>
      <w:lvlText w:val="%1."/>
      <w:lvlJc w:val="left"/>
      <w:pPr>
        <w:tabs>
          <w:tab w:val="num" w:pos="482"/>
        </w:tabs>
        <w:ind w:left="482" w:hanging="482"/>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2."/>
      <w:lvlJc w:val="left"/>
      <w:pPr>
        <w:tabs>
          <w:tab w:val="num" w:pos="1922"/>
        </w:tabs>
        <w:ind w:left="1922" w:hanging="720"/>
      </w:pPr>
      <w:rPr>
        <w:rFonts w:hint="default"/>
      </w:rPr>
    </w:lvl>
    <w:lvl w:ilvl="4">
      <w:start w:val="1"/>
      <w:numFmt w:val="decimal"/>
      <w:pStyle w:val="Heading5"/>
      <w:lvlText w:val="2.%2.%3.1."/>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43" w15:restartNumberingAfterBreak="0">
    <w:nsid w:val="7C87B8AE"/>
    <w:multiLevelType w:val="hybridMultilevel"/>
    <w:tmpl w:val="4AC6E5D4"/>
    <w:lvl w:ilvl="0" w:tplc="ABA8C26A">
      <w:start w:val="1"/>
      <w:numFmt w:val="decimal"/>
      <w:lvlText w:val="%1."/>
      <w:lvlJc w:val="left"/>
      <w:pPr>
        <w:ind w:left="720" w:hanging="360"/>
      </w:pPr>
    </w:lvl>
    <w:lvl w:ilvl="1" w:tplc="129673B4">
      <w:start w:val="1"/>
      <w:numFmt w:val="lowerLetter"/>
      <w:lvlText w:val="%2."/>
      <w:lvlJc w:val="left"/>
      <w:pPr>
        <w:ind w:left="1440" w:hanging="360"/>
      </w:pPr>
    </w:lvl>
    <w:lvl w:ilvl="2" w:tplc="3D5E87DE">
      <w:start w:val="1"/>
      <w:numFmt w:val="lowerRoman"/>
      <w:lvlText w:val="%3."/>
      <w:lvlJc w:val="right"/>
      <w:pPr>
        <w:ind w:left="2160" w:hanging="180"/>
      </w:pPr>
    </w:lvl>
    <w:lvl w:ilvl="3" w:tplc="C6262B9E">
      <w:start w:val="1"/>
      <w:numFmt w:val="decimal"/>
      <w:lvlText w:val="%4."/>
      <w:lvlJc w:val="left"/>
      <w:pPr>
        <w:ind w:left="2880" w:hanging="360"/>
      </w:pPr>
    </w:lvl>
    <w:lvl w:ilvl="4" w:tplc="C9DEC1EE">
      <w:start w:val="1"/>
      <w:numFmt w:val="lowerLetter"/>
      <w:lvlText w:val="%5."/>
      <w:lvlJc w:val="left"/>
      <w:pPr>
        <w:ind w:left="3600" w:hanging="360"/>
      </w:pPr>
    </w:lvl>
    <w:lvl w:ilvl="5" w:tplc="7314278E">
      <w:start w:val="1"/>
      <w:numFmt w:val="lowerRoman"/>
      <w:lvlText w:val="%6."/>
      <w:lvlJc w:val="right"/>
      <w:pPr>
        <w:ind w:left="4320" w:hanging="180"/>
      </w:pPr>
    </w:lvl>
    <w:lvl w:ilvl="6" w:tplc="C3226F8A">
      <w:start w:val="1"/>
      <w:numFmt w:val="decimal"/>
      <w:lvlText w:val="%7."/>
      <w:lvlJc w:val="left"/>
      <w:pPr>
        <w:ind w:left="5040" w:hanging="360"/>
      </w:pPr>
    </w:lvl>
    <w:lvl w:ilvl="7" w:tplc="9D0AF520">
      <w:start w:val="1"/>
      <w:numFmt w:val="lowerLetter"/>
      <w:lvlText w:val="%8."/>
      <w:lvlJc w:val="left"/>
      <w:pPr>
        <w:ind w:left="5760" w:hanging="360"/>
      </w:pPr>
    </w:lvl>
    <w:lvl w:ilvl="8" w:tplc="7B1C791C">
      <w:start w:val="1"/>
      <w:numFmt w:val="lowerRoman"/>
      <w:lvlText w:val="%9."/>
      <w:lvlJc w:val="right"/>
      <w:pPr>
        <w:ind w:left="6480" w:hanging="180"/>
      </w:pPr>
    </w:lvl>
  </w:abstractNum>
  <w:num w:numId="1">
    <w:abstractNumId w:val="26"/>
  </w:num>
  <w:num w:numId="2">
    <w:abstractNumId w:val="23"/>
  </w:num>
  <w:num w:numId="3">
    <w:abstractNumId w:val="41"/>
  </w:num>
  <w:num w:numId="4">
    <w:abstractNumId w:val="18"/>
  </w:num>
  <w:num w:numId="5">
    <w:abstractNumId w:val="32"/>
  </w:num>
  <w:num w:numId="6">
    <w:abstractNumId w:val="11"/>
  </w:num>
  <w:num w:numId="7">
    <w:abstractNumId w:val="43"/>
  </w:num>
  <w:num w:numId="8">
    <w:abstractNumId w:val="9"/>
  </w:num>
  <w:num w:numId="9">
    <w:abstractNumId w:val="33"/>
  </w:num>
  <w:num w:numId="10">
    <w:abstractNumId w:val="16"/>
  </w:num>
  <w:num w:numId="11">
    <w:abstractNumId w:val="13"/>
  </w:num>
  <w:num w:numId="12">
    <w:abstractNumId w:val="38"/>
  </w:num>
  <w:num w:numId="13">
    <w:abstractNumId w:val="21"/>
  </w:num>
  <w:num w:numId="14">
    <w:abstractNumId w:val="2"/>
  </w:num>
  <w:num w:numId="15">
    <w:abstractNumId w:val="31"/>
  </w:num>
  <w:num w:numId="16">
    <w:abstractNumId w:val="27"/>
  </w:num>
  <w:num w:numId="17">
    <w:abstractNumId w:val="34"/>
  </w:num>
  <w:num w:numId="18">
    <w:abstractNumId w:val="42"/>
  </w:num>
  <w:num w:numId="19">
    <w:abstractNumId w:val="10"/>
  </w:num>
  <w:num w:numId="20">
    <w:abstractNumId w:val="36"/>
  </w:num>
  <w:num w:numId="21">
    <w:abstractNumId w:val="0"/>
  </w:num>
  <w:num w:numId="22">
    <w:abstractNumId w:val="24"/>
  </w:num>
  <w:num w:numId="23">
    <w:abstractNumId w:val="12"/>
  </w:num>
  <w:num w:numId="24">
    <w:abstractNumId w:val="4"/>
  </w:num>
  <w:num w:numId="25">
    <w:abstractNumId w:val="30"/>
  </w:num>
  <w:num w:numId="26">
    <w:abstractNumId w:val="1"/>
  </w:num>
  <w:num w:numId="27">
    <w:abstractNumId w:val="7"/>
  </w:num>
  <w:num w:numId="28">
    <w:abstractNumId w:val="40"/>
  </w:num>
  <w:num w:numId="29">
    <w:abstractNumId w:val="5"/>
  </w:num>
  <w:num w:numId="30">
    <w:abstractNumId w:val="14"/>
  </w:num>
  <w:num w:numId="31">
    <w:abstractNumId w:val="20"/>
  </w:num>
  <w:num w:numId="32">
    <w:abstractNumId w:val="37"/>
  </w:num>
  <w:num w:numId="33">
    <w:abstractNumId w:val="15"/>
  </w:num>
  <w:num w:numId="34">
    <w:abstractNumId w:val="35"/>
  </w:num>
  <w:num w:numId="35">
    <w:abstractNumId w:val="8"/>
  </w:num>
  <w:num w:numId="36">
    <w:abstractNumId w:val="17"/>
  </w:num>
  <w:num w:numId="37">
    <w:abstractNumId w:val="6"/>
  </w:num>
  <w:num w:numId="38">
    <w:abstractNumId w:val="19"/>
  </w:num>
  <w:num w:numId="39">
    <w:abstractNumId w:val="22"/>
  </w:num>
  <w:num w:numId="40">
    <w:abstractNumId w:val="3"/>
  </w:num>
  <w:num w:numId="41">
    <w:abstractNumId w:val="28"/>
  </w:num>
  <w:num w:numId="42">
    <w:abstractNumId w:val="39"/>
  </w:num>
  <w:num w:numId="43">
    <w:abstractNumId w:val="25"/>
  </w:num>
  <w:num w:numId="44">
    <w:abstractNumId w:val="36"/>
  </w:num>
  <w:num w:numId="45">
    <w:abstractNumId w:val="29"/>
  </w:num>
  <w:num w:numId="46">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0"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BE0DB9A-1A01-4854-808E-835DFBF2B00D"/>
    <w:docVar w:name="LW_COVERPAGE_TYPE" w:val="1"/>
    <w:docVar w:name="LW_CROSSREFERENCE" w:val="&lt;UNUSED&gt;"/>
    <w:docVar w:name="LW_DocType" w:val="NORMAL"/>
    <w:docVar w:name="LW_EMISSION" w:val="1.2.2023"/>
    <w:docVar w:name="LW_EMISSION_ISODATE" w:val="2023-02-01"/>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lan industriel du pacte vert pour l’ère du zéro émission nette"/>
    <w:docVar w:name="LW_TYPE.DOC.CP" w:val="COMMUNICATION DE LA COMMISSION"/>
    <w:docVar w:name="LW_TYPE.DOC.CP.USERTEXT" w:val="AU PARLEMENT EUROPÉEN, AU CONSEIL EUROPÉEN, AU CONSEIL, AU COMITÉ ÉCONOMIQUE ET SOCIAL EUROPÉEN ET AU COMITÉ DES RÉGIONS"/>
    <w:docVar w:name="LwApiVersions" w:val="LW4CoDe 1.23.2.0; LW 8.0, Build 20211117"/>
  </w:docVars>
  <w:rsids>
    <w:rsidRoot w:val="00270C60"/>
    <w:rsid w:val="000000C2"/>
    <w:rsid w:val="000002A5"/>
    <w:rsid w:val="00000548"/>
    <w:rsid w:val="000005B6"/>
    <w:rsid w:val="0000097B"/>
    <w:rsid w:val="00001423"/>
    <w:rsid w:val="0000143C"/>
    <w:rsid w:val="000014E9"/>
    <w:rsid w:val="00001BF6"/>
    <w:rsid w:val="00001D3C"/>
    <w:rsid w:val="000024B9"/>
    <w:rsid w:val="00002AB3"/>
    <w:rsid w:val="00002E31"/>
    <w:rsid w:val="00002FAB"/>
    <w:rsid w:val="00003062"/>
    <w:rsid w:val="000030BE"/>
    <w:rsid w:val="00003161"/>
    <w:rsid w:val="0000338B"/>
    <w:rsid w:val="000039D4"/>
    <w:rsid w:val="00003A35"/>
    <w:rsid w:val="000040F6"/>
    <w:rsid w:val="00004124"/>
    <w:rsid w:val="00004229"/>
    <w:rsid w:val="0000437E"/>
    <w:rsid w:val="00004D10"/>
    <w:rsid w:val="00004E82"/>
    <w:rsid w:val="0000547E"/>
    <w:rsid w:val="0000563E"/>
    <w:rsid w:val="00005DDD"/>
    <w:rsid w:val="00006056"/>
    <w:rsid w:val="00006679"/>
    <w:rsid w:val="00006842"/>
    <w:rsid w:val="00006991"/>
    <w:rsid w:val="0000699E"/>
    <w:rsid w:val="00006A63"/>
    <w:rsid w:val="00007109"/>
    <w:rsid w:val="000075B3"/>
    <w:rsid w:val="000077EC"/>
    <w:rsid w:val="00007925"/>
    <w:rsid w:val="00007E86"/>
    <w:rsid w:val="0001000D"/>
    <w:rsid w:val="000107A5"/>
    <w:rsid w:val="000107F0"/>
    <w:rsid w:val="0001089D"/>
    <w:rsid w:val="00010F69"/>
    <w:rsid w:val="00011401"/>
    <w:rsid w:val="0001143C"/>
    <w:rsid w:val="0001146B"/>
    <w:rsid w:val="00011481"/>
    <w:rsid w:val="00011715"/>
    <w:rsid w:val="00011914"/>
    <w:rsid w:val="00011BE1"/>
    <w:rsid w:val="00011C09"/>
    <w:rsid w:val="00011C5D"/>
    <w:rsid w:val="00011DEE"/>
    <w:rsid w:val="0001208E"/>
    <w:rsid w:val="00012482"/>
    <w:rsid w:val="00012BAA"/>
    <w:rsid w:val="00012DF6"/>
    <w:rsid w:val="00012F54"/>
    <w:rsid w:val="00012F97"/>
    <w:rsid w:val="00013011"/>
    <w:rsid w:val="00013206"/>
    <w:rsid w:val="00013247"/>
    <w:rsid w:val="0001351D"/>
    <w:rsid w:val="0001371C"/>
    <w:rsid w:val="0001393A"/>
    <w:rsid w:val="00014096"/>
    <w:rsid w:val="0001417B"/>
    <w:rsid w:val="000141FE"/>
    <w:rsid w:val="00014424"/>
    <w:rsid w:val="00014600"/>
    <w:rsid w:val="000147B9"/>
    <w:rsid w:val="00014A71"/>
    <w:rsid w:val="00014BBC"/>
    <w:rsid w:val="00015291"/>
    <w:rsid w:val="0001581C"/>
    <w:rsid w:val="00015985"/>
    <w:rsid w:val="00015A3C"/>
    <w:rsid w:val="00015A50"/>
    <w:rsid w:val="00015CC1"/>
    <w:rsid w:val="00015DD5"/>
    <w:rsid w:val="0001625C"/>
    <w:rsid w:val="00016276"/>
    <w:rsid w:val="0001633E"/>
    <w:rsid w:val="00016AAE"/>
    <w:rsid w:val="00016ABA"/>
    <w:rsid w:val="0001705C"/>
    <w:rsid w:val="0001773F"/>
    <w:rsid w:val="00017C9C"/>
    <w:rsid w:val="00017CC8"/>
    <w:rsid w:val="0001E5A8"/>
    <w:rsid w:val="00020776"/>
    <w:rsid w:val="00020E54"/>
    <w:rsid w:val="000212B3"/>
    <w:rsid w:val="000225BE"/>
    <w:rsid w:val="0002264C"/>
    <w:rsid w:val="00022BF2"/>
    <w:rsid w:val="00022C61"/>
    <w:rsid w:val="00023025"/>
    <w:rsid w:val="00023118"/>
    <w:rsid w:val="000236FA"/>
    <w:rsid w:val="000238BF"/>
    <w:rsid w:val="00023AE8"/>
    <w:rsid w:val="00023B38"/>
    <w:rsid w:val="000241A3"/>
    <w:rsid w:val="0002488D"/>
    <w:rsid w:val="00024D96"/>
    <w:rsid w:val="00024DCC"/>
    <w:rsid w:val="00024E39"/>
    <w:rsid w:val="0002519E"/>
    <w:rsid w:val="0002535B"/>
    <w:rsid w:val="00025584"/>
    <w:rsid w:val="0002572B"/>
    <w:rsid w:val="00026377"/>
    <w:rsid w:val="00027116"/>
    <w:rsid w:val="000273C0"/>
    <w:rsid w:val="00027506"/>
    <w:rsid w:val="00027679"/>
    <w:rsid w:val="0002770E"/>
    <w:rsid w:val="00027C42"/>
    <w:rsid w:val="00030128"/>
    <w:rsid w:val="000303FC"/>
    <w:rsid w:val="00030865"/>
    <w:rsid w:val="00030D24"/>
    <w:rsid w:val="000314FE"/>
    <w:rsid w:val="00031525"/>
    <w:rsid w:val="00031786"/>
    <w:rsid w:val="000317C5"/>
    <w:rsid w:val="000318A7"/>
    <w:rsid w:val="00031EC4"/>
    <w:rsid w:val="00031F28"/>
    <w:rsid w:val="00031F9B"/>
    <w:rsid w:val="000321D0"/>
    <w:rsid w:val="00032961"/>
    <w:rsid w:val="00032AE6"/>
    <w:rsid w:val="00032C03"/>
    <w:rsid w:val="00032DFB"/>
    <w:rsid w:val="000332EA"/>
    <w:rsid w:val="0003379E"/>
    <w:rsid w:val="0003382F"/>
    <w:rsid w:val="00033989"/>
    <w:rsid w:val="00033B3B"/>
    <w:rsid w:val="00033C12"/>
    <w:rsid w:val="00033C62"/>
    <w:rsid w:val="00033D05"/>
    <w:rsid w:val="00034531"/>
    <w:rsid w:val="00034A8C"/>
    <w:rsid w:val="00034AAF"/>
    <w:rsid w:val="00034BCF"/>
    <w:rsid w:val="00034BD9"/>
    <w:rsid w:val="00034D43"/>
    <w:rsid w:val="00034F46"/>
    <w:rsid w:val="000351A4"/>
    <w:rsid w:val="000351CB"/>
    <w:rsid w:val="00035516"/>
    <w:rsid w:val="00035A0B"/>
    <w:rsid w:val="000363B4"/>
    <w:rsid w:val="0003645A"/>
    <w:rsid w:val="000368E4"/>
    <w:rsid w:val="00037415"/>
    <w:rsid w:val="00037508"/>
    <w:rsid w:val="00037977"/>
    <w:rsid w:val="00037B1D"/>
    <w:rsid w:val="00037C00"/>
    <w:rsid w:val="00040225"/>
    <w:rsid w:val="000402D9"/>
    <w:rsid w:val="00040650"/>
    <w:rsid w:val="00040869"/>
    <w:rsid w:val="00040C25"/>
    <w:rsid w:val="00040CC9"/>
    <w:rsid w:val="00040EE5"/>
    <w:rsid w:val="00040FA5"/>
    <w:rsid w:val="00041234"/>
    <w:rsid w:val="000415E3"/>
    <w:rsid w:val="00041A33"/>
    <w:rsid w:val="00041F56"/>
    <w:rsid w:val="0004245E"/>
    <w:rsid w:val="0004249C"/>
    <w:rsid w:val="0004276E"/>
    <w:rsid w:val="00042A60"/>
    <w:rsid w:val="00043283"/>
    <w:rsid w:val="00043391"/>
    <w:rsid w:val="0004369A"/>
    <w:rsid w:val="00043E8E"/>
    <w:rsid w:val="00043EDC"/>
    <w:rsid w:val="000441E9"/>
    <w:rsid w:val="00044364"/>
    <w:rsid w:val="0004444C"/>
    <w:rsid w:val="00044E53"/>
    <w:rsid w:val="00045040"/>
    <w:rsid w:val="00045424"/>
    <w:rsid w:val="0004583E"/>
    <w:rsid w:val="000459BD"/>
    <w:rsid w:val="00045A02"/>
    <w:rsid w:val="00046060"/>
    <w:rsid w:val="00046151"/>
    <w:rsid w:val="000465A2"/>
    <w:rsid w:val="000467DE"/>
    <w:rsid w:val="00046BFE"/>
    <w:rsid w:val="0004716B"/>
    <w:rsid w:val="0004719A"/>
    <w:rsid w:val="000471A9"/>
    <w:rsid w:val="00050621"/>
    <w:rsid w:val="000508F8"/>
    <w:rsid w:val="00051087"/>
    <w:rsid w:val="000511C1"/>
    <w:rsid w:val="000516F4"/>
    <w:rsid w:val="00051804"/>
    <w:rsid w:val="00051EC4"/>
    <w:rsid w:val="000526A3"/>
    <w:rsid w:val="00052BCB"/>
    <w:rsid w:val="00052C30"/>
    <w:rsid w:val="00052F5B"/>
    <w:rsid w:val="000530C8"/>
    <w:rsid w:val="00053376"/>
    <w:rsid w:val="000537A1"/>
    <w:rsid w:val="00053AB6"/>
    <w:rsid w:val="00053AC9"/>
    <w:rsid w:val="00053DBA"/>
    <w:rsid w:val="00053E86"/>
    <w:rsid w:val="0005499D"/>
    <w:rsid w:val="000549D7"/>
    <w:rsid w:val="00054B1C"/>
    <w:rsid w:val="00054EBC"/>
    <w:rsid w:val="000550AA"/>
    <w:rsid w:val="00055252"/>
    <w:rsid w:val="00055772"/>
    <w:rsid w:val="00055D06"/>
    <w:rsid w:val="000562E3"/>
    <w:rsid w:val="000564E1"/>
    <w:rsid w:val="00056556"/>
    <w:rsid w:val="0005663C"/>
    <w:rsid w:val="000567FA"/>
    <w:rsid w:val="00056959"/>
    <w:rsid w:val="00056965"/>
    <w:rsid w:val="00057153"/>
    <w:rsid w:val="00057270"/>
    <w:rsid w:val="000573DA"/>
    <w:rsid w:val="00057FE8"/>
    <w:rsid w:val="000588B4"/>
    <w:rsid w:val="00060470"/>
    <w:rsid w:val="000608B1"/>
    <w:rsid w:val="00061041"/>
    <w:rsid w:val="00061350"/>
    <w:rsid w:val="000616C7"/>
    <w:rsid w:val="00061DF3"/>
    <w:rsid w:val="00062B24"/>
    <w:rsid w:val="00062B71"/>
    <w:rsid w:val="00063510"/>
    <w:rsid w:val="000635A6"/>
    <w:rsid w:val="00064712"/>
    <w:rsid w:val="00064AE2"/>
    <w:rsid w:val="00064B22"/>
    <w:rsid w:val="00064B5B"/>
    <w:rsid w:val="00064B99"/>
    <w:rsid w:val="00064CC6"/>
    <w:rsid w:val="00065C03"/>
    <w:rsid w:val="00065FC3"/>
    <w:rsid w:val="00066483"/>
    <w:rsid w:val="00066B7E"/>
    <w:rsid w:val="00067578"/>
    <w:rsid w:val="0006DDE9"/>
    <w:rsid w:val="0007083A"/>
    <w:rsid w:val="00070CFE"/>
    <w:rsid w:val="00071035"/>
    <w:rsid w:val="000716B8"/>
    <w:rsid w:val="000716DF"/>
    <w:rsid w:val="00071717"/>
    <w:rsid w:val="000717E3"/>
    <w:rsid w:val="000720F9"/>
    <w:rsid w:val="00072307"/>
    <w:rsid w:val="000728A4"/>
    <w:rsid w:val="00072938"/>
    <w:rsid w:val="00073203"/>
    <w:rsid w:val="00073328"/>
    <w:rsid w:val="000740F4"/>
    <w:rsid w:val="0007456D"/>
    <w:rsid w:val="00074885"/>
    <w:rsid w:val="00074A4E"/>
    <w:rsid w:val="0007504F"/>
    <w:rsid w:val="000757C8"/>
    <w:rsid w:val="0007592B"/>
    <w:rsid w:val="000759A6"/>
    <w:rsid w:val="000759B5"/>
    <w:rsid w:val="00075AD4"/>
    <w:rsid w:val="00075B00"/>
    <w:rsid w:val="00075E3A"/>
    <w:rsid w:val="0007634D"/>
    <w:rsid w:val="000764F7"/>
    <w:rsid w:val="00076606"/>
    <w:rsid w:val="00076649"/>
    <w:rsid w:val="00076F6E"/>
    <w:rsid w:val="0007706A"/>
    <w:rsid w:val="0007733C"/>
    <w:rsid w:val="000773B1"/>
    <w:rsid w:val="000773B4"/>
    <w:rsid w:val="000776CA"/>
    <w:rsid w:val="00077834"/>
    <w:rsid w:val="000778DD"/>
    <w:rsid w:val="00077936"/>
    <w:rsid w:val="000803B4"/>
    <w:rsid w:val="000810B6"/>
    <w:rsid w:val="000810D7"/>
    <w:rsid w:val="0008148A"/>
    <w:rsid w:val="000814B5"/>
    <w:rsid w:val="00081980"/>
    <w:rsid w:val="0008268A"/>
    <w:rsid w:val="00082A66"/>
    <w:rsid w:val="00082B57"/>
    <w:rsid w:val="00082B8D"/>
    <w:rsid w:val="00082BB2"/>
    <w:rsid w:val="00082D7C"/>
    <w:rsid w:val="0008352A"/>
    <w:rsid w:val="00083532"/>
    <w:rsid w:val="0008376E"/>
    <w:rsid w:val="00083959"/>
    <w:rsid w:val="0008397F"/>
    <w:rsid w:val="00083FBD"/>
    <w:rsid w:val="000840D3"/>
    <w:rsid w:val="0008413E"/>
    <w:rsid w:val="00084554"/>
    <w:rsid w:val="000846D9"/>
    <w:rsid w:val="00084E8F"/>
    <w:rsid w:val="00085020"/>
    <w:rsid w:val="00085108"/>
    <w:rsid w:val="000854EC"/>
    <w:rsid w:val="000858CB"/>
    <w:rsid w:val="00085FC3"/>
    <w:rsid w:val="0008692E"/>
    <w:rsid w:val="00086A4D"/>
    <w:rsid w:val="00086BF3"/>
    <w:rsid w:val="0008715E"/>
    <w:rsid w:val="000873EA"/>
    <w:rsid w:val="0008747E"/>
    <w:rsid w:val="00087542"/>
    <w:rsid w:val="00087B71"/>
    <w:rsid w:val="00087C13"/>
    <w:rsid w:val="000900FD"/>
    <w:rsid w:val="00090236"/>
    <w:rsid w:val="0009039C"/>
    <w:rsid w:val="0009096F"/>
    <w:rsid w:val="00090B8C"/>
    <w:rsid w:val="00091451"/>
    <w:rsid w:val="000918FE"/>
    <w:rsid w:val="000921EA"/>
    <w:rsid w:val="0009230A"/>
    <w:rsid w:val="000923E2"/>
    <w:rsid w:val="00092412"/>
    <w:rsid w:val="00092417"/>
    <w:rsid w:val="0009326C"/>
    <w:rsid w:val="00093591"/>
    <w:rsid w:val="0009371A"/>
    <w:rsid w:val="00093999"/>
    <w:rsid w:val="00094CB4"/>
    <w:rsid w:val="0009539F"/>
    <w:rsid w:val="000957CD"/>
    <w:rsid w:val="00095811"/>
    <w:rsid w:val="00095EED"/>
    <w:rsid w:val="00095FA8"/>
    <w:rsid w:val="0009675E"/>
    <w:rsid w:val="000969C4"/>
    <w:rsid w:val="00096ADD"/>
    <w:rsid w:val="00096D71"/>
    <w:rsid w:val="00097591"/>
    <w:rsid w:val="000977F4"/>
    <w:rsid w:val="000979C2"/>
    <w:rsid w:val="000A0A3A"/>
    <w:rsid w:val="000A0B75"/>
    <w:rsid w:val="000A0B93"/>
    <w:rsid w:val="000A1070"/>
    <w:rsid w:val="000A13D8"/>
    <w:rsid w:val="000A16E9"/>
    <w:rsid w:val="000A1757"/>
    <w:rsid w:val="000A205F"/>
    <w:rsid w:val="000A23AB"/>
    <w:rsid w:val="000A23DB"/>
    <w:rsid w:val="000A269F"/>
    <w:rsid w:val="000A27D5"/>
    <w:rsid w:val="000A2B64"/>
    <w:rsid w:val="000A2BF6"/>
    <w:rsid w:val="000A2D59"/>
    <w:rsid w:val="000A2DD9"/>
    <w:rsid w:val="000A2E6D"/>
    <w:rsid w:val="000A3143"/>
    <w:rsid w:val="000A3201"/>
    <w:rsid w:val="000A37A4"/>
    <w:rsid w:val="000A3EDB"/>
    <w:rsid w:val="000A4044"/>
    <w:rsid w:val="000A4138"/>
    <w:rsid w:val="000A4CD7"/>
    <w:rsid w:val="000A4DDC"/>
    <w:rsid w:val="000A515A"/>
    <w:rsid w:val="000A5173"/>
    <w:rsid w:val="000A51E5"/>
    <w:rsid w:val="000A5436"/>
    <w:rsid w:val="000A5896"/>
    <w:rsid w:val="000A58AD"/>
    <w:rsid w:val="000A597F"/>
    <w:rsid w:val="000A59A7"/>
    <w:rsid w:val="000A5CFB"/>
    <w:rsid w:val="000A5D2D"/>
    <w:rsid w:val="000A61A7"/>
    <w:rsid w:val="000A6290"/>
    <w:rsid w:val="000A637D"/>
    <w:rsid w:val="000A69CA"/>
    <w:rsid w:val="000A6E12"/>
    <w:rsid w:val="000A7100"/>
    <w:rsid w:val="000A73F8"/>
    <w:rsid w:val="000A78BF"/>
    <w:rsid w:val="000A7965"/>
    <w:rsid w:val="000A7A93"/>
    <w:rsid w:val="000A7E77"/>
    <w:rsid w:val="000B0643"/>
    <w:rsid w:val="000B0679"/>
    <w:rsid w:val="000B0AC7"/>
    <w:rsid w:val="000B0D65"/>
    <w:rsid w:val="000B12B4"/>
    <w:rsid w:val="000B1340"/>
    <w:rsid w:val="000B16C9"/>
    <w:rsid w:val="000B199C"/>
    <w:rsid w:val="000B1B94"/>
    <w:rsid w:val="000B1CAF"/>
    <w:rsid w:val="000B1DE1"/>
    <w:rsid w:val="000B2076"/>
    <w:rsid w:val="000B2288"/>
    <w:rsid w:val="000B26A3"/>
    <w:rsid w:val="000B26EE"/>
    <w:rsid w:val="000B2807"/>
    <w:rsid w:val="000B2D66"/>
    <w:rsid w:val="000B30F3"/>
    <w:rsid w:val="000B3E1F"/>
    <w:rsid w:val="000B442E"/>
    <w:rsid w:val="000B4830"/>
    <w:rsid w:val="000B48CD"/>
    <w:rsid w:val="000B4B3A"/>
    <w:rsid w:val="000B5010"/>
    <w:rsid w:val="000B502D"/>
    <w:rsid w:val="000B50D2"/>
    <w:rsid w:val="000B5969"/>
    <w:rsid w:val="000B62D6"/>
    <w:rsid w:val="000B63F9"/>
    <w:rsid w:val="000B6500"/>
    <w:rsid w:val="000B66BE"/>
    <w:rsid w:val="000B753D"/>
    <w:rsid w:val="000B774F"/>
    <w:rsid w:val="000B7DC9"/>
    <w:rsid w:val="000C0D1C"/>
    <w:rsid w:val="000C0EEC"/>
    <w:rsid w:val="000C1122"/>
    <w:rsid w:val="000C1396"/>
    <w:rsid w:val="000C14A9"/>
    <w:rsid w:val="000C14FF"/>
    <w:rsid w:val="000C19D9"/>
    <w:rsid w:val="000C1A49"/>
    <w:rsid w:val="000C209F"/>
    <w:rsid w:val="000C2822"/>
    <w:rsid w:val="000C2A6D"/>
    <w:rsid w:val="000C2E30"/>
    <w:rsid w:val="000C311E"/>
    <w:rsid w:val="000C35A5"/>
    <w:rsid w:val="000C3757"/>
    <w:rsid w:val="000C383C"/>
    <w:rsid w:val="000C3B62"/>
    <w:rsid w:val="000C3FFC"/>
    <w:rsid w:val="000C42AE"/>
    <w:rsid w:val="000C490C"/>
    <w:rsid w:val="000C49BD"/>
    <w:rsid w:val="000C56D5"/>
    <w:rsid w:val="000C59AC"/>
    <w:rsid w:val="000C5AFE"/>
    <w:rsid w:val="000C5C8A"/>
    <w:rsid w:val="000C5CC2"/>
    <w:rsid w:val="000C5E3F"/>
    <w:rsid w:val="000C6265"/>
    <w:rsid w:val="000C65E9"/>
    <w:rsid w:val="000C6BE8"/>
    <w:rsid w:val="000C7571"/>
    <w:rsid w:val="000C7B60"/>
    <w:rsid w:val="000C7B9F"/>
    <w:rsid w:val="000D0083"/>
    <w:rsid w:val="000D038B"/>
    <w:rsid w:val="000D0524"/>
    <w:rsid w:val="000D0687"/>
    <w:rsid w:val="000D0964"/>
    <w:rsid w:val="000D14C8"/>
    <w:rsid w:val="000D15A0"/>
    <w:rsid w:val="000D17F2"/>
    <w:rsid w:val="000D1A0D"/>
    <w:rsid w:val="000D24C9"/>
    <w:rsid w:val="000D2A1F"/>
    <w:rsid w:val="000D2A9C"/>
    <w:rsid w:val="000D2B55"/>
    <w:rsid w:val="000D2C97"/>
    <w:rsid w:val="000D2D94"/>
    <w:rsid w:val="000D3063"/>
    <w:rsid w:val="000D33D1"/>
    <w:rsid w:val="000D34A4"/>
    <w:rsid w:val="000D399E"/>
    <w:rsid w:val="000D39F0"/>
    <w:rsid w:val="000D3B09"/>
    <w:rsid w:val="000D3D45"/>
    <w:rsid w:val="000D3DD7"/>
    <w:rsid w:val="000D3E5F"/>
    <w:rsid w:val="000D3E86"/>
    <w:rsid w:val="000D42AA"/>
    <w:rsid w:val="000D4484"/>
    <w:rsid w:val="000D482F"/>
    <w:rsid w:val="000D49BB"/>
    <w:rsid w:val="000D49E9"/>
    <w:rsid w:val="000D4DF4"/>
    <w:rsid w:val="000D5067"/>
    <w:rsid w:val="000D5979"/>
    <w:rsid w:val="000D5A3A"/>
    <w:rsid w:val="000D5AD5"/>
    <w:rsid w:val="000D5D20"/>
    <w:rsid w:val="000D5DA7"/>
    <w:rsid w:val="000D6242"/>
    <w:rsid w:val="000D649C"/>
    <w:rsid w:val="000D6A2E"/>
    <w:rsid w:val="000D6F9A"/>
    <w:rsid w:val="000D750C"/>
    <w:rsid w:val="000D79BB"/>
    <w:rsid w:val="000D7AB6"/>
    <w:rsid w:val="000D7EFE"/>
    <w:rsid w:val="000DA66D"/>
    <w:rsid w:val="000DFC6C"/>
    <w:rsid w:val="000E00B6"/>
    <w:rsid w:val="000E044D"/>
    <w:rsid w:val="000E04EA"/>
    <w:rsid w:val="000E062D"/>
    <w:rsid w:val="000E068F"/>
    <w:rsid w:val="000E08DA"/>
    <w:rsid w:val="000E0FDD"/>
    <w:rsid w:val="000E1E99"/>
    <w:rsid w:val="000E27F1"/>
    <w:rsid w:val="000E28F1"/>
    <w:rsid w:val="000E291C"/>
    <w:rsid w:val="000E35CC"/>
    <w:rsid w:val="000E3849"/>
    <w:rsid w:val="000E38CB"/>
    <w:rsid w:val="000E3AF8"/>
    <w:rsid w:val="000E3B0D"/>
    <w:rsid w:val="000E4013"/>
    <w:rsid w:val="000E4523"/>
    <w:rsid w:val="000E473E"/>
    <w:rsid w:val="000E48A3"/>
    <w:rsid w:val="000E4999"/>
    <w:rsid w:val="000E4C70"/>
    <w:rsid w:val="000E4FFC"/>
    <w:rsid w:val="000E52A4"/>
    <w:rsid w:val="000E5FBF"/>
    <w:rsid w:val="000E621A"/>
    <w:rsid w:val="000E6286"/>
    <w:rsid w:val="000E7281"/>
    <w:rsid w:val="000E7286"/>
    <w:rsid w:val="000E72DD"/>
    <w:rsid w:val="000E73BF"/>
    <w:rsid w:val="000E7E86"/>
    <w:rsid w:val="000F098A"/>
    <w:rsid w:val="000F0A10"/>
    <w:rsid w:val="000F0C62"/>
    <w:rsid w:val="000F1020"/>
    <w:rsid w:val="000F1130"/>
    <w:rsid w:val="000F12A7"/>
    <w:rsid w:val="000F1894"/>
    <w:rsid w:val="000F1DFC"/>
    <w:rsid w:val="000F1F97"/>
    <w:rsid w:val="000F27C5"/>
    <w:rsid w:val="000F28CE"/>
    <w:rsid w:val="000F2996"/>
    <w:rsid w:val="000F3201"/>
    <w:rsid w:val="000F38CA"/>
    <w:rsid w:val="000F3DD4"/>
    <w:rsid w:val="000F3E5F"/>
    <w:rsid w:val="000F535F"/>
    <w:rsid w:val="000F54B9"/>
    <w:rsid w:val="000F5D45"/>
    <w:rsid w:val="000F66D8"/>
    <w:rsid w:val="000F6ABE"/>
    <w:rsid w:val="000F6C4D"/>
    <w:rsid w:val="000F6C7B"/>
    <w:rsid w:val="000F6EFC"/>
    <w:rsid w:val="000F78DF"/>
    <w:rsid w:val="000F7961"/>
    <w:rsid w:val="00100297"/>
    <w:rsid w:val="001004D7"/>
    <w:rsid w:val="00100A2D"/>
    <w:rsid w:val="00100B53"/>
    <w:rsid w:val="00100EF3"/>
    <w:rsid w:val="0010161A"/>
    <w:rsid w:val="0010162D"/>
    <w:rsid w:val="001016D6"/>
    <w:rsid w:val="001016FD"/>
    <w:rsid w:val="00101B5A"/>
    <w:rsid w:val="00101B5E"/>
    <w:rsid w:val="00101DAD"/>
    <w:rsid w:val="001020A2"/>
    <w:rsid w:val="001024E0"/>
    <w:rsid w:val="001029FB"/>
    <w:rsid w:val="00102A8E"/>
    <w:rsid w:val="00102B0A"/>
    <w:rsid w:val="00102C0C"/>
    <w:rsid w:val="00102CE9"/>
    <w:rsid w:val="00103454"/>
    <w:rsid w:val="0010412B"/>
    <w:rsid w:val="001046C5"/>
    <w:rsid w:val="001046F0"/>
    <w:rsid w:val="00105179"/>
    <w:rsid w:val="001051B2"/>
    <w:rsid w:val="00105429"/>
    <w:rsid w:val="00105B8B"/>
    <w:rsid w:val="00106222"/>
    <w:rsid w:val="0010677F"/>
    <w:rsid w:val="001068D4"/>
    <w:rsid w:val="00106CD7"/>
    <w:rsid w:val="00106FC7"/>
    <w:rsid w:val="00106FDE"/>
    <w:rsid w:val="0010724A"/>
    <w:rsid w:val="0010724C"/>
    <w:rsid w:val="001073BA"/>
    <w:rsid w:val="0010764B"/>
    <w:rsid w:val="00107862"/>
    <w:rsid w:val="001078D3"/>
    <w:rsid w:val="0011162D"/>
    <w:rsid w:val="001116D5"/>
    <w:rsid w:val="00111924"/>
    <w:rsid w:val="001119F6"/>
    <w:rsid w:val="001122B9"/>
    <w:rsid w:val="0011280B"/>
    <w:rsid w:val="00112815"/>
    <w:rsid w:val="00112A10"/>
    <w:rsid w:val="00112EA4"/>
    <w:rsid w:val="00112F01"/>
    <w:rsid w:val="00113286"/>
    <w:rsid w:val="00114181"/>
    <w:rsid w:val="00114398"/>
    <w:rsid w:val="001145F4"/>
    <w:rsid w:val="0011482E"/>
    <w:rsid w:val="00114AAE"/>
    <w:rsid w:val="00115088"/>
    <w:rsid w:val="0011519A"/>
    <w:rsid w:val="001154B9"/>
    <w:rsid w:val="0011622D"/>
    <w:rsid w:val="00116A65"/>
    <w:rsid w:val="00116ADA"/>
    <w:rsid w:val="00116CBD"/>
    <w:rsid w:val="00117017"/>
    <w:rsid w:val="001172FF"/>
    <w:rsid w:val="001174A2"/>
    <w:rsid w:val="0011776B"/>
    <w:rsid w:val="00117865"/>
    <w:rsid w:val="001179B6"/>
    <w:rsid w:val="00117B1C"/>
    <w:rsid w:val="00117F77"/>
    <w:rsid w:val="0012004B"/>
    <w:rsid w:val="0012012F"/>
    <w:rsid w:val="001202C1"/>
    <w:rsid w:val="001205ED"/>
    <w:rsid w:val="00120DC3"/>
    <w:rsid w:val="001212AB"/>
    <w:rsid w:val="00121A44"/>
    <w:rsid w:val="00121AB2"/>
    <w:rsid w:val="0012208B"/>
    <w:rsid w:val="00122279"/>
    <w:rsid w:val="00122368"/>
    <w:rsid w:val="001223EA"/>
    <w:rsid w:val="0012283D"/>
    <w:rsid w:val="001228D3"/>
    <w:rsid w:val="00122A46"/>
    <w:rsid w:val="00122D6A"/>
    <w:rsid w:val="001233C6"/>
    <w:rsid w:val="001239C0"/>
    <w:rsid w:val="00123C70"/>
    <w:rsid w:val="00123E7D"/>
    <w:rsid w:val="00124961"/>
    <w:rsid w:val="00124DBF"/>
    <w:rsid w:val="001251C7"/>
    <w:rsid w:val="00125816"/>
    <w:rsid w:val="00125A9E"/>
    <w:rsid w:val="001261CE"/>
    <w:rsid w:val="00126206"/>
    <w:rsid w:val="00126841"/>
    <w:rsid w:val="001273F7"/>
    <w:rsid w:val="0012767D"/>
    <w:rsid w:val="001277A4"/>
    <w:rsid w:val="00127807"/>
    <w:rsid w:val="00127C13"/>
    <w:rsid w:val="0012C8FA"/>
    <w:rsid w:val="001310EF"/>
    <w:rsid w:val="00131263"/>
    <w:rsid w:val="00132133"/>
    <w:rsid w:val="0013220A"/>
    <w:rsid w:val="00132D13"/>
    <w:rsid w:val="00132D44"/>
    <w:rsid w:val="00132FED"/>
    <w:rsid w:val="00133524"/>
    <w:rsid w:val="00133929"/>
    <w:rsid w:val="00133B2B"/>
    <w:rsid w:val="001346A3"/>
    <w:rsid w:val="00134B7F"/>
    <w:rsid w:val="00134C06"/>
    <w:rsid w:val="00134F0D"/>
    <w:rsid w:val="001350ED"/>
    <w:rsid w:val="00135249"/>
    <w:rsid w:val="00135C3A"/>
    <w:rsid w:val="00135CB8"/>
    <w:rsid w:val="00135CFE"/>
    <w:rsid w:val="00135D14"/>
    <w:rsid w:val="00136888"/>
    <w:rsid w:val="001369FD"/>
    <w:rsid w:val="00136EEA"/>
    <w:rsid w:val="00136FFC"/>
    <w:rsid w:val="00137A46"/>
    <w:rsid w:val="00137DFE"/>
    <w:rsid w:val="00137E58"/>
    <w:rsid w:val="0013CA3A"/>
    <w:rsid w:val="00140448"/>
    <w:rsid w:val="0014046F"/>
    <w:rsid w:val="001404D6"/>
    <w:rsid w:val="001406B4"/>
    <w:rsid w:val="00140D96"/>
    <w:rsid w:val="0014111C"/>
    <w:rsid w:val="00141AB6"/>
    <w:rsid w:val="00141AFC"/>
    <w:rsid w:val="0014209C"/>
    <w:rsid w:val="00142527"/>
    <w:rsid w:val="00142A73"/>
    <w:rsid w:val="00142DBF"/>
    <w:rsid w:val="001432B6"/>
    <w:rsid w:val="001433A5"/>
    <w:rsid w:val="0014377A"/>
    <w:rsid w:val="00143849"/>
    <w:rsid w:val="00143D5F"/>
    <w:rsid w:val="0014414E"/>
    <w:rsid w:val="00144EC2"/>
    <w:rsid w:val="00144FBB"/>
    <w:rsid w:val="00144FD1"/>
    <w:rsid w:val="00144FD9"/>
    <w:rsid w:val="001455B1"/>
    <w:rsid w:val="0014567F"/>
    <w:rsid w:val="00145916"/>
    <w:rsid w:val="0014759C"/>
    <w:rsid w:val="001507B2"/>
    <w:rsid w:val="00150CAB"/>
    <w:rsid w:val="001512A2"/>
    <w:rsid w:val="00151C65"/>
    <w:rsid w:val="00151DC8"/>
    <w:rsid w:val="00151F1C"/>
    <w:rsid w:val="0015241C"/>
    <w:rsid w:val="0015255C"/>
    <w:rsid w:val="00152726"/>
    <w:rsid w:val="00152BFF"/>
    <w:rsid w:val="00152D39"/>
    <w:rsid w:val="001531CB"/>
    <w:rsid w:val="00153917"/>
    <w:rsid w:val="001539F8"/>
    <w:rsid w:val="00153CDC"/>
    <w:rsid w:val="001540E5"/>
    <w:rsid w:val="0015437D"/>
    <w:rsid w:val="0015496B"/>
    <w:rsid w:val="00154B3A"/>
    <w:rsid w:val="00154B93"/>
    <w:rsid w:val="00155652"/>
    <w:rsid w:val="00155854"/>
    <w:rsid w:val="00155AF4"/>
    <w:rsid w:val="00155C83"/>
    <w:rsid w:val="00155FE6"/>
    <w:rsid w:val="0015625C"/>
    <w:rsid w:val="001565F2"/>
    <w:rsid w:val="00156BAD"/>
    <w:rsid w:val="00157746"/>
    <w:rsid w:val="00157A60"/>
    <w:rsid w:val="00160041"/>
    <w:rsid w:val="001601F7"/>
    <w:rsid w:val="00160284"/>
    <w:rsid w:val="001603A9"/>
    <w:rsid w:val="001606D9"/>
    <w:rsid w:val="00160B72"/>
    <w:rsid w:val="00160C1C"/>
    <w:rsid w:val="00160D55"/>
    <w:rsid w:val="00161763"/>
    <w:rsid w:val="00161827"/>
    <w:rsid w:val="0016197F"/>
    <w:rsid w:val="00161A6B"/>
    <w:rsid w:val="001621A7"/>
    <w:rsid w:val="001621FE"/>
    <w:rsid w:val="0016221B"/>
    <w:rsid w:val="001623D1"/>
    <w:rsid w:val="001623EA"/>
    <w:rsid w:val="00162632"/>
    <w:rsid w:val="00162C01"/>
    <w:rsid w:val="00162CA8"/>
    <w:rsid w:val="001633E8"/>
    <w:rsid w:val="0016375C"/>
    <w:rsid w:val="001637B9"/>
    <w:rsid w:val="001638EE"/>
    <w:rsid w:val="00164126"/>
    <w:rsid w:val="0016468F"/>
    <w:rsid w:val="0016489B"/>
    <w:rsid w:val="00164B59"/>
    <w:rsid w:val="00164D93"/>
    <w:rsid w:val="00164E99"/>
    <w:rsid w:val="00165A70"/>
    <w:rsid w:val="00165DB7"/>
    <w:rsid w:val="00166148"/>
    <w:rsid w:val="00166ACF"/>
    <w:rsid w:val="00166AF7"/>
    <w:rsid w:val="00166BDA"/>
    <w:rsid w:val="00166D8C"/>
    <w:rsid w:val="00166E65"/>
    <w:rsid w:val="00166FFB"/>
    <w:rsid w:val="0016710A"/>
    <w:rsid w:val="00167169"/>
    <w:rsid w:val="0016752E"/>
    <w:rsid w:val="001678C7"/>
    <w:rsid w:val="00167E96"/>
    <w:rsid w:val="001700C3"/>
    <w:rsid w:val="001702CE"/>
    <w:rsid w:val="0017048B"/>
    <w:rsid w:val="0017066D"/>
    <w:rsid w:val="00170771"/>
    <w:rsid w:val="001707FB"/>
    <w:rsid w:val="00171097"/>
    <w:rsid w:val="001710C2"/>
    <w:rsid w:val="00171F1F"/>
    <w:rsid w:val="00171F4B"/>
    <w:rsid w:val="0017205B"/>
    <w:rsid w:val="00172194"/>
    <w:rsid w:val="001721BF"/>
    <w:rsid w:val="00172511"/>
    <w:rsid w:val="001730BA"/>
    <w:rsid w:val="001731E3"/>
    <w:rsid w:val="0017329D"/>
    <w:rsid w:val="00173BBC"/>
    <w:rsid w:val="00173BF1"/>
    <w:rsid w:val="00173C78"/>
    <w:rsid w:val="0017415D"/>
    <w:rsid w:val="0017447D"/>
    <w:rsid w:val="0017464A"/>
    <w:rsid w:val="001747F0"/>
    <w:rsid w:val="00174C79"/>
    <w:rsid w:val="001750BA"/>
    <w:rsid w:val="001752E9"/>
    <w:rsid w:val="0017550E"/>
    <w:rsid w:val="001755F9"/>
    <w:rsid w:val="00175B8C"/>
    <w:rsid w:val="001763D8"/>
    <w:rsid w:val="001764F3"/>
    <w:rsid w:val="00176CF8"/>
    <w:rsid w:val="00176DAE"/>
    <w:rsid w:val="00176FE6"/>
    <w:rsid w:val="00177093"/>
    <w:rsid w:val="001772A8"/>
    <w:rsid w:val="001772EE"/>
    <w:rsid w:val="00177379"/>
    <w:rsid w:val="001776C8"/>
    <w:rsid w:val="001779C0"/>
    <w:rsid w:val="00177C34"/>
    <w:rsid w:val="00177FAF"/>
    <w:rsid w:val="001805CE"/>
    <w:rsid w:val="0018099C"/>
    <w:rsid w:val="001811FB"/>
    <w:rsid w:val="00181AE0"/>
    <w:rsid w:val="00181FFC"/>
    <w:rsid w:val="001820CF"/>
    <w:rsid w:val="00182203"/>
    <w:rsid w:val="0018231E"/>
    <w:rsid w:val="0018254E"/>
    <w:rsid w:val="00182606"/>
    <w:rsid w:val="00182E66"/>
    <w:rsid w:val="00183192"/>
    <w:rsid w:val="00183A47"/>
    <w:rsid w:val="00183B66"/>
    <w:rsid w:val="0018403B"/>
    <w:rsid w:val="001849F0"/>
    <w:rsid w:val="00184ADA"/>
    <w:rsid w:val="00184AF7"/>
    <w:rsid w:val="00184F87"/>
    <w:rsid w:val="0018536E"/>
    <w:rsid w:val="00185A46"/>
    <w:rsid w:val="00185DD0"/>
    <w:rsid w:val="00186004"/>
    <w:rsid w:val="00186105"/>
    <w:rsid w:val="00186651"/>
    <w:rsid w:val="001866C2"/>
    <w:rsid w:val="001869A3"/>
    <w:rsid w:val="00186A3E"/>
    <w:rsid w:val="00186A57"/>
    <w:rsid w:val="00186ABA"/>
    <w:rsid w:val="00186CFD"/>
    <w:rsid w:val="00186F2F"/>
    <w:rsid w:val="00187026"/>
    <w:rsid w:val="001873AC"/>
    <w:rsid w:val="00187663"/>
    <w:rsid w:val="00187A90"/>
    <w:rsid w:val="00187EB3"/>
    <w:rsid w:val="00190192"/>
    <w:rsid w:val="001902F6"/>
    <w:rsid w:val="001907D7"/>
    <w:rsid w:val="00190B4B"/>
    <w:rsid w:val="001913D7"/>
    <w:rsid w:val="001916BC"/>
    <w:rsid w:val="001919DD"/>
    <w:rsid w:val="00191B21"/>
    <w:rsid w:val="00191B85"/>
    <w:rsid w:val="00191C07"/>
    <w:rsid w:val="00191CE0"/>
    <w:rsid w:val="00191D16"/>
    <w:rsid w:val="00191D7C"/>
    <w:rsid w:val="0019291A"/>
    <w:rsid w:val="00192DCD"/>
    <w:rsid w:val="00193793"/>
    <w:rsid w:val="001938B0"/>
    <w:rsid w:val="00193D75"/>
    <w:rsid w:val="001941E8"/>
    <w:rsid w:val="00194BAA"/>
    <w:rsid w:val="00194CE7"/>
    <w:rsid w:val="00194DD6"/>
    <w:rsid w:val="00194E4F"/>
    <w:rsid w:val="00194EDF"/>
    <w:rsid w:val="00194FD1"/>
    <w:rsid w:val="001951A4"/>
    <w:rsid w:val="00195232"/>
    <w:rsid w:val="0019530A"/>
    <w:rsid w:val="0019582F"/>
    <w:rsid w:val="00195AC5"/>
    <w:rsid w:val="00195F1A"/>
    <w:rsid w:val="00195FF7"/>
    <w:rsid w:val="0019648E"/>
    <w:rsid w:val="00196981"/>
    <w:rsid w:val="00196B11"/>
    <w:rsid w:val="00196B50"/>
    <w:rsid w:val="00196EC5"/>
    <w:rsid w:val="00197F2D"/>
    <w:rsid w:val="001A0441"/>
    <w:rsid w:val="001A0BAA"/>
    <w:rsid w:val="001A10B0"/>
    <w:rsid w:val="001A1332"/>
    <w:rsid w:val="001A1D17"/>
    <w:rsid w:val="001A1E64"/>
    <w:rsid w:val="001A2378"/>
    <w:rsid w:val="001A24E6"/>
    <w:rsid w:val="001A2AB2"/>
    <w:rsid w:val="001A38F8"/>
    <w:rsid w:val="001A3940"/>
    <w:rsid w:val="001A3C33"/>
    <w:rsid w:val="001A436A"/>
    <w:rsid w:val="001A436E"/>
    <w:rsid w:val="001A48EF"/>
    <w:rsid w:val="001A49A7"/>
    <w:rsid w:val="001A49CC"/>
    <w:rsid w:val="001A548E"/>
    <w:rsid w:val="001A5661"/>
    <w:rsid w:val="001A57FD"/>
    <w:rsid w:val="001A5805"/>
    <w:rsid w:val="001A5885"/>
    <w:rsid w:val="001A5E95"/>
    <w:rsid w:val="001A604E"/>
    <w:rsid w:val="001A60B2"/>
    <w:rsid w:val="001A62A3"/>
    <w:rsid w:val="001A62AE"/>
    <w:rsid w:val="001A6D72"/>
    <w:rsid w:val="001A7055"/>
    <w:rsid w:val="001A713C"/>
    <w:rsid w:val="001A727F"/>
    <w:rsid w:val="001A7323"/>
    <w:rsid w:val="001A73AC"/>
    <w:rsid w:val="001A73C1"/>
    <w:rsid w:val="001A7816"/>
    <w:rsid w:val="001A795F"/>
    <w:rsid w:val="001A7C25"/>
    <w:rsid w:val="001A7EEC"/>
    <w:rsid w:val="001B0021"/>
    <w:rsid w:val="001B04B1"/>
    <w:rsid w:val="001B0C4F"/>
    <w:rsid w:val="001B0D7B"/>
    <w:rsid w:val="001B1452"/>
    <w:rsid w:val="001B1540"/>
    <w:rsid w:val="001B1813"/>
    <w:rsid w:val="001B1D82"/>
    <w:rsid w:val="001B1E98"/>
    <w:rsid w:val="001B222C"/>
    <w:rsid w:val="001B2333"/>
    <w:rsid w:val="001B23BF"/>
    <w:rsid w:val="001B2671"/>
    <w:rsid w:val="001B294F"/>
    <w:rsid w:val="001B2A53"/>
    <w:rsid w:val="001B2C3B"/>
    <w:rsid w:val="001B30BD"/>
    <w:rsid w:val="001B3139"/>
    <w:rsid w:val="001B3361"/>
    <w:rsid w:val="001B33EA"/>
    <w:rsid w:val="001B3696"/>
    <w:rsid w:val="001B3784"/>
    <w:rsid w:val="001B3E44"/>
    <w:rsid w:val="001B40C2"/>
    <w:rsid w:val="001B49AB"/>
    <w:rsid w:val="001B4E36"/>
    <w:rsid w:val="001B5064"/>
    <w:rsid w:val="001B51DA"/>
    <w:rsid w:val="001B566F"/>
    <w:rsid w:val="001B56E2"/>
    <w:rsid w:val="001B573F"/>
    <w:rsid w:val="001B5D23"/>
    <w:rsid w:val="001B5EE7"/>
    <w:rsid w:val="001B5F9F"/>
    <w:rsid w:val="001B5FC1"/>
    <w:rsid w:val="001B621B"/>
    <w:rsid w:val="001B68DA"/>
    <w:rsid w:val="001B68DC"/>
    <w:rsid w:val="001B6D39"/>
    <w:rsid w:val="001B71E5"/>
    <w:rsid w:val="001B795C"/>
    <w:rsid w:val="001B7A6D"/>
    <w:rsid w:val="001B7C1C"/>
    <w:rsid w:val="001B7FB8"/>
    <w:rsid w:val="001C06CB"/>
    <w:rsid w:val="001C0730"/>
    <w:rsid w:val="001C0E2A"/>
    <w:rsid w:val="001C0E3B"/>
    <w:rsid w:val="001C1133"/>
    <w:rsid w:val="001C132B"/>
    <w:rsid w:val="001C13B3"/>
    <w:rsid w:val="001C16A3"/>
    <w:rsid w:val="001C1BA3"/>
    <w:rsid w:val="001C1CB3"/>
    <w:rsid w:val="001C1D38"/>
    <w:rsid w:val="001C1D62"/>
    <w:rsid w:val="001C1F5F"/>
    <w:rsid w:val="001C284E"/>
    <w:rsid w:val="001C2A33"/>
    <w:rsid w:val="001C2F2C"/>
    <w:rsid w:val="001C326B"/>
    <w:rsid w:val="001C3BC6"/>
    <w:rsid w:val="001C3DAE"/>
    <w:rsid w:val="001C3DD1"/>
    <w:rsid w:val="001C4585"/>
    <w:rsid w:val="001C4B87"/>
    <w:rsid w:val="001C4CD8"/>
    <w:rsid w:val="001C51DB"/>
    <w:rsid w:val="001C5321"/>
    <w:rsid w:val="001C5C2D"/>
    <w:rsid w:val="001C6057"/>
    <w:rsid w:val="001C60EF"/>
    <w:rsid w:val="001C62FC"/>
    <w:rsid w:val="001C6E42"/>
    <w:rsid w:val="001C726C"/>
    <w:rsid w:val="001C740F"/>
    <w:rsid w:val="001C78B8"/>
    <w:rsid w:val="001C7A1D"/>
    <w:rsid w:val="001C7CB9"/>
    <w:rsid w:val="001C7FB1"/>
    <w:rsid w:val="001D01E7"/>
    <w:rsid w:val="001D033B"/>
    <w:rsid w:val="001D0ACB"/>
    <w:rsid w:val="001D10AB"/>
    <w:rsid w:val="001D175B"/>
    <w:rsid w:val="001D1B2B"/>
    <w:rsid w:val="001D1F48"/>
    <w:rsid w:val="001D21C4"/>
    <w:rsid w:val="001D21FB"/>
    <w:rsid w:val="001D24E2"/>
    <w:rsid w:val="001D255F"/>
    <w:rsid w:val="001D278C"/>
    <w:rsid w:val="001D28BF"/>
    <w:rsid w:val="001D2A71"/>
    <w:rsid w:val="001D2FF6"/>
    <w:rsid w:val="001D302B"/>
    <w:rsid w:val="001D3056"/>
    <w:rsid w:val="001D316D"/>
    <w:rsid w:val="001D3299"/>
    <w:rsid w:val="001D33B5"/>
    <w:rsid w:val="001D3947"/>
    <w:rsid w:val="001D3A2E"/>
    <w:rsid w:val="001D3A45"/>
    <w:rsid w:val="001D3AF3"/>
    <w:rsid w:val="001D3C1D"/>
    <w:rsid w:val="001D4287"/>
    <w:rsid w:val="001D4B11"/>
    <w:rsid w:val="001D4B2D"/>
    <w:rsid w:val="001D4F89"/>
    <w:rsid w:val="001D51B8"/>
    <w:rsid w:val="001D5437"/>
    <w:rsid w:val="001D579D"/>
    <w:rsid w:val="001D5865"/>
    <w:rsid w:val="001D59AF"/>
    <w:rsid w:val="001D6144"/>
    <w:rsid w:val="001D6221"/>
    <w:rsid w:val="001D68E2"/>
    <w:rsid w:val="001D6A57"/>
    <w:rsid w:val="001D6E4F"/>
    <w:rsid w:val="001D71F0"/>
    <w:rsid w:val="001D7365"/>
    <w:rsid w:val="001D7A3D"/>
    <w:rsid w:val="001D7CFB"/>
    <w:rsid w:val="001E0A8B"/>
    <w:rsid w:val="001E0F49"/>
    <w:rsid w:val="001E1741"/>
    <w:rsid w:val="001E187C"/>
    <w:rsid w:val="001E1B4F"/>
    <w:rsid w:val="001E1EB0"/>
    <w:rsid w:val="001E1FFB"/>
    <w:rsid w:val="001E2194"/>
    <w:rsid w:val="001E2A2B"/>
    <w:rsid w:val="001E30F8"/>
    <w:rsid w:val="001E323F"/>
    <w:rsid w:val="001E3811"/>
    <w:rsid w:val="001E39E2"/>
    <w:rsid w:val="001E3C49"/>
    <w:rsid w:val="001E3C52"/>
    <w:rsid w:val="001E3DEF"/>
    <w:rsid w:val="001E49EB"/>
    <w:rsid w:val="001E4A98"/>
    <w:rsid w:val="001E4BEA"/>
    <w:rsid w:val="001E4C9A"/>
    <w:rsid w:val="001E4DE3"/>
    <w:rsid w:val="001E577B"/>
    <w:rsid w:val="001E5F04"/>
    <w:rsid w:val="001E6205"/>
    <w:rsid w:val="001E65D6"/>
    <w:rsid w:val="001E6708"/>
    <w:rsid w:val="001E674E"/>
    <w:rsid w:val="001E67BC"/>
    <w:rsid w:val="001E67F1"/>
    <w:rsid w:val="001E69BD"/>
    <w:rsid w:val="001E6CC4"/>
    <w:rsid w:val="001E700F"/>
    <w:rsid w:val="001E7068"/>
    <w:rsid w:val="001E7106"/>
    <w:rsid w:val="001E72CF"/>
    <w:rsid w:val="001E741F"/>
    <w:rsid w:val="001E747B"/>
    <w:rsid w:val="001E782D"/>
    <w:rsid w:val="001E7C8D"/>
    <w:rsid w:val="001F02AB"/>
    <w:rsid w:val="001F0682"/>
    <w:rsid w:val="001F08C0"/>
    <w:rsid w:val="001F09A6"/>
    <w:rsid w:val="001F16B7"/>
    <w:rsid w:val="001F1A64"/>
    <w:rsid w:val="001F1B70"/>
    <w:rsid w:val="001F1BC5"/>
    <w:rsid w:val="001F1E85"/>
    <w:rsid w:val="001F1F47"/>
    <w:rsid w:val="001F21DA"/>
    <w:rsid w:val="001F251B"/>
    <w:rsid w:val="001F25AD"/>
    <w:rsid w:val="001F26F4"/>
    <w:rsid w:val="001F2D63"/>
    <w:rsid w:val="001F2F62"/>
    <w:rsid w:val="001F32F5"/>
    <w:rsid w:val="001F34E0"/>
    <w:rsid w:val="001F376B"/>
    <w:rsid w:val="001F3E53"/>
    <w:rsid w:val="001F4153"/>
    <w:rsid w:val="001F4411"/>
    <w:rsid w:val="001F4681"/>
    <w:rsid w:val="001F472F"/>
    <w:rsid w:val="001F4764"/>
    <w:rsid w:val="001F4D77"/>
    <w:rsid w:val="001F4EDE"/>
    <w:rsid w:val="001F4FC1"/>
    <w:rsid w:val="001F5059"/>
    <w:rsid w:val="001F50F3"/>
    <w:rsid w:val="001F57FC"/>
    <w:rsid w:val="001F582F"/>
    <w:rsid w:val="001F5968"/>
    <w:rsid w:val="001F6688"/>
    <w:rsid w:val="001F6874"/>
    <w:rsid w:val="001F7409"/>
    <w:rsid w:val="001F75EA"/>
    <w:rsid w:val="001F7D7C"/>
    <w:rsid w:val="001F7F72"/>
    <w:rsid w:val="001FC916"/>
    <w:rsid w:val="0020016A"/>
    <w:rsid w:val="0020052F"/>
    <w:rsid w:val="00200784"/>
    <w:rsid w:val="00200FFA"/>
    <w:rsid w:val="002016B1"/>
    <w:rsid w:val="002017B8"/>
    <w:rsid w:val="00201CB7"/>
    <w:rsid w:val="002021C1"/>
    <w:rsid w:val="002023AF"/>
    <w:rsid w:val="00202482"/>
    <w:rsid w:val="00202764"/>
    <w:rsid w:val="002028BC"/>
    <w:rsid w:val="00202A74"/>
    <w:rsid w:val="00202C2A"/>
    <w:rsid w:val="00202CFA"/>
    <w:rsid w:val="00202F38"/>
    <w:rsid w:val="0020325E"/>
    <w:rsid w:val="00203925"/>
    <w:rsid w:val="00203BB6"/>
    <w:rsid w:val="00203CD2"/>
    <w:rsid w:val="00203F2F"/>
    <w:rsid w:val="002040D0"/>
    <w:rsid w:val="00204282"/>
    <w:rsid w:val="002050CF"/>
    <w:rsid w:val="00205538"/>
    <w:rsid w:val="00205545"/>
    <w:rsid w:val="00205555"/>
    <w:rsid w:val="00205858"/>
    <w:rsid w:val="0020593D"/>
    <w:rsid w:val="00205970"/>
    <w:rsid w:val="00205EFE"/>
    <w:rsid w:val="002062AA"/>
    <w:rsid w:val="00206986"/>
    <w:rsid w:val="00206A41"/>
    <w:rsid w:val="00206B62"/>
    <w:rsid w:val="00206D1E"/>
    <w:rsid w:val="00206F1C"/>
    <w:rsid w:val="00207841"/>
    <w:rsid w:val="00207951"/>
    <w:rsid w:val="00207981"/>
    <w:rsid w:val="00207B9D"/>
    <w:rsid w:val="00207F7C"/>
    <w:rsid w:val="00207FA6"/>
    <w:rsid w:val="00207FED"/>
    <w:rsid w:val="002102E2"/>
    <w:rsid w:val="00210BD2"/>
    <w:rsid w:val="00211381"/>
    <w:rsid w:val="0021141C"/>
    <w:rsid w:val="002120D9"/>
    <w:rsid w:val="002121E8"/>
    <w:rsid w:val="0021254C"/>
    <w:rsid w:val="0021295F"/>
    <w:rsid w:val="002132E4"/>
    <w:rsid w:val="00213412"/>
    <w:rsid w:val="002139F6"/>
    <w:rsid w:val="00213F3B"/>
    <w:rsid w:val="00214100"/>
    <w:rsid w:val="00214559"/>
    <w:rsid w:val="00214CD7"/>
    <w:rsid w:val="00215302"/>
    <w:rsid w:val="002153D9"/>
    <w:rsid w:val="002158DB"/>
    <w:rsid w:val="0021593B"/>
    <w:rsid w:val="00215CE2"/>
    <w:rsid w:val="00215DE0"/>
    <w:rsid w:val="00216BD1"/>
    <w:rsid w:val="00217213"/>
    <w:rsid w:val="00217310"/>
    <w:rsid w:val="00217699"/>
    <w:rsid w:val="00219B40"/>
    <w:rsid w:val="0021B1F9"/>
    <w:rsid w:val="00220144"/>
    <w:rsid w:val="00220313"/>
    <w:rsid w:val="00220373"/>
    <w:rsid w:val="002205E3"/>
    <w:rsid w:val="00221935"/>
    <w:rsid w:val="00221AA8"/>
    <w:rsid w:val="00221EA0"/>
    <w:rsid w:val="002223AD"/>
    <w:rsid w:val="00222957"/>
    <w:rsid w:val="00222B71"/>
    <w:rsid w:val="002237D7"/>
    <w:rsid w:val="0022383B"/>
    <w:rsid w:val="00223925"/>
    <w:rsid w:val="00223B9A"/>
    <w:rsid w:val="00223BA4"/>
    <w:rsid w:val="002243B6"/>
    <w:rsid w:val="0022483B"/>
    <w:rsid w:val="00224948"/>
    <w:rsid w:val="00224969"/>
    <w:rsid w:val="00224CA2"/>
    <w:rsid w:val="00224CF2"/>
    <w:rsid w:val="00224DA0"/>
    <w:rsid w:val="0022542F"/>
    <w:rsid w:val="00225F22"/>
    <w:rsid w:val="002264BD"/>
    <w:rsid w:val="002265F0"/>
    <w:rsid w:val="0022689A"/>
    <w:rsid w:val="00226BA5"/>
    <w:rsid w:val="00226D49"/>
    <w:rsid w:val="00226DE5"/>
    <w:rsid w:val="00226E2B"/>
    <w:rsid w:val="00227474"/>
    <w:rsid w:val="0022753C"/>
    <w:rsid w:val="00227667"/>
    <w:rsid w:val="002276D8"/>
    <w:rsid w:val="002276EF"/>
    <w:rsid w:val="002278D2"/>
    <w:rsid w:val="00227A3E"/>
    <w:rsid w:val="00227B78"/>
    <w:rsid w:val="00227E25"/>
    <w:rsid w:val="002304B0"/>
    <w:rsid w:val="0023068C"/>
    <w:rsid w:val="00230714"/>
    <w:rsid w:val="002307E2"/>
    <w:rsid w:val="002308CC"/>
    <w:rsid w:val="0023091B"/>
    <w:rsid w:val="00230A67"/>
    <w:rsid w:val="00230B37"/>
    <w:rsid w:val="00230C75"/>
    <w:rsid w:val="00231748"/>
    <w:rsid w:val="00231C13"/>
    <w:rsid w:val="00232002"/>
    <w:rsid w:val="00232A46"/>
    <w:rsid w:val="00232B9F"/>
    <w:rsid w:val="00232CA2"/>
    <w:rsid w:val="00232FF9"/>
    <w:rsid w:val="00233016"/>
    <w:rsid w:val="0023304F"/>
    <w:rsid w:val="00233437"/>
    <w:rsid w:val="002337B1"/>
    <w:rsid w:val="00233D20"/>
    <w:rsid w:val="00234974"/>
    <w:rsid w:val="002357D5"/>
    <w:rsid w:val="00235F7F"/>
    <w:rsid w:val="00236031"/>
    <w:rsid w:val="00236039"/>
    <w:rsid w:val="002361F2"/>
    <w:rsid w:val="0023629C"/>
    <w:rsid w:val="00236373"/>
    <w:rsid w:val="002365B0"/>
    <w:rsid w:val="00236912"/>
    <w:rsid w:val="00236E6F"/>
    <w:rsid w:val="00237171"/>
    <w:rsid w:val="002372DF"/>
    <w:rsid w:val="00237706"/>
    <w:rsid w:val="00237768"/>
    <w:rsid w:val="002379C9"/>
    <w:rsid w:val="00237FB1"/>
    <w:rsid w:val="0023D15F"/>
    <w:rsid w:val="0024069B"/>
    <w:rsid w:val="00240779"/>
    <w:rsid w:val="002407F0"/>
    <w:rsid w:val="00240A99"/>
    <w:rsid w:val="00241126"/>
    <w:rsid w:val="002412C2"/>
    <w:rsid w:val="00241E01"/>
    <w:rsid w:val="002420A4"/>
    <w:rsid w:val="002422CD"/>
    <w:rsid w:val="00242763"/>
    <w:rsid w:val="00242F1A"/>
    <w:rsid w:val="00243222"/>
    <w:rsid w:val="0024349F"/>
    <w:rsid w:val="002434C5"/>
    <w:rsid w:val="00243551"/>
    <w:rsid w:val="00243B23"/>
    <w:rsid w:val="00243D57"/>
    <w:rsid w:val="00243DE5"/>
    <w:rsid w:val="00244644"/>
    <w:rsid w:val="00244799"/>
    <w:rsid w:val="00244994"/>
    <w:rsid w:val="002449C2"/>
    <w:rsid w:val="00244A77"/>
    <w:rsid w:val="00244B39"/>
    <w:rsid w:val="00244D85"/>
    <w:rsid w:val="00244F71"/>
    <w:rsid w:val="0024542A"/>
    <w:rsid w:val="00245620"/>
    <w:rsid w:val="00245883"/>
    <w:rsid w:val="00245ED7"/>
    <w:rsid w:val="00246185"/>
    <w:rsid w:val="002468BF"/>
    <w:rsid w:val="00246CBB"/>
    <w:rsid w:val="00246E29"/>
    <w:rsid w:val="00247051"/>
    <w:rsid w:val="00247483"/>
    <w:rsid w:val="0024776C"/>
    <w:rsid w:val="002477D2"/>
    <w:rsid w:val="00247F8D"/>
    <w:rsid w:val="00248FEC"/>
    <w:rsid w:val="002500C2"/>
    <w:rsid w:val="002502A4"/>
    <w:rsid w:val="0025098F"/>
    <w:rsid w:val="002513AC"/>
    <w:rsid w:val="00251466"/>
    <w:rsid w:val="00251782"/>
    <w:rsid w:val="00251FF5"/>
    <w:rsid w:val="00252568"/>
    <w:rsid w:val="0025273B"/>
    <w:rsid w:val="0025284A"/>
    <w:rsid w:val="0025297F"/>
    <w:rsid w:val="00252AC1"/>
    <w:rsid w:val="002533EE"/>
    <w:rsid w:val="00253542"/>
    <w:rsid w:val="002538B5"/>
    <w:rsid w:val="00253DE3"/>
    <w:rsid w:val="00253FE9"/>
    <w:rsid w:val="0025410B"/>
    <w:rsid w:val="0025482E"/>
    <w:rsid w:val="00254973"/>
    <w:rsid w:val="002549A7"/>
    <w:rsid w:val="00254A47"/>
    <w:rsid w:val="00254EBB"/>
    <w:rsid w:val="00254F06"/>
    <w:rsid w:val="002554D4"/>
    <w:rsid w:val="002555A0"/>
    <w:rsid w:val="00255907"/>
    <w:rsid w:val="00255B6A"/>
    <w:rsid w:val="00255FB4"/>
    <w:rsid w:val="00255FBD"/>
    <w:rsid w:val="00255FFE"/>
    <w:rsid w:val="00256586"/>
    <w:rsid w:val="002565ED"/>
    <w:rsid w:val="002571E9"/>
    <w:rsid w:val="0025725E"/>
    <w:rsid w:val="002573E0"/>
    <w:rsid w:val="00257B65"/>
    <w:rsid w:val="00260178"/>
    <w:rsid w:val="00260F4C"/>
    <w:rsid w:val="00260FE1"/>
    <w:rsid w:val="00261056"/>
    <w:rsid w:val="002611D8"/>
    <w:rsid w:val="00261390"/>
    <w:rsid w:val="002614EB"/>
    <w:rsid w:val="00261755"/>
    <w:rsid w:val="002618D9"/>
    <w:rsid w:val="00261904"/>
    <w:rsid w:val="00261D89"/>
    <w:rsid w:val="002620E5"/>
    <w:rsid w:val="00262195"/>
    <w:rsid w:val="0026291C"/>
    <w:rsid w:val="00262D26"/>
    <w:rsid w:val="002631B4"/>
    <w:rsid w:val="00263DEC"/>
    <w:rsid w:val="002640F5"/>
    <w:rsid w:val="00264297"/>
    <w:rsid w:val="002642F4"/>
    <w:rsid w:val="002644D6"/>
    <w:rsid w:val="00264630"/>
    <w:rsid w:val="0026489C"/>
    <w:rsid w:val="00264C1A"/>
    <w:rsid w:val="00265084"/>
    <w:rsid w:val="002650B3"/>
    <w:rsid w:val="002650EA"/>
    <w:rsid w:val="002657B6"/>
    <w:rsid w:val="002659CA"/>
    <w:rsid w:val="00265C9F"/>
    <w:rsid w:val="00265DCB"/>
    <w:rsid w:val="00266021"/>
    <w:rsid w:val="0026627A"/>
    <w:rsid w:val="002663B4"/>
    <w:rsid w:val="00266697"/>
    <w:rsid w:val="002668AD"/>
    <w:rsid w:val="00266989"/>
    <w:rsid w:val="00266CE5"/>
    <w:rsid w:val="00266F34"/>
    <w:rsid w:val="00267300"/>
    <w:rsid w:val="002673CC"/>
    <w:rsid w:val="002678B7"/>
    <w:rsid w:val="00267B87"/>
    <w:rsid w:val="00267C68"/>
    <w:rsid w:val="00267EC8"/>
    <w:rsid w:val="00270054"/>
    <w:rsid w:val="002700F5"/>
    <w:rsid w:val="00270286"/>
    <w:rsid w:val="0027044B"/>
    <w:rsid w:val="00270695"/>
    <w:rsid w:val="002706B9"/>
    <w:rsid w:val="00270B58"/>
    <w:rsid w:val="00270B65"/>
    <w:rsid w:val="00270C60"/>
    <w:rsid w:val="00270DDE"/>
    <w:rsid w:val="00271450"/>
    <w:rsid w:val="00271608"/>
    <w:rsid w:val="0027165D"/>
    <w:rsid w:val="00271766"/>
    <w:rsid w:val="00271AEF"/>
    <w:rsid w:val="0027240F"/>
    <w:rsid w:val="00272522"/>
    <w:rsid w:val="00272544"/>
    <w:rsid w:val="002725B6"/>
    <w:rsid w:val="002725C9"/>
    <w:rsid w:val="002729B4"/>
    <w:rsid w:val="00272E8B"/>
    <w:rsid w:val="00272FF7"/>
    <w:rsid w:val="00273232"/>
    <w:rsid w:val="002739D2"/>
    <w:rsid w:val="00274054"/>
    <w:rsid w:val="0027436A"/>
    <w:rsid w:val="00274564"/>
    <w:rsid w:val="0027496C"/>
    <w:rsid w:val="00274ACF"/>
    <w:rsid w:val="002752AC"/>
    <w:rsid w:val="0027569C"/>
    <w:rsid w:val="002757A9"/>
    <w:rsid w:val="00275971"/>
    <w:rsid w:val="00275D66"/>
    <w:rsid w:val="00275E37"/>
    <w:rsid w:val="002761F2"/>
    <w:rsid w:val="002765D8"/>
    <w:rsid w:val="00276E0A"/>
    <w:rsid w:val="00276F97"/>
    <w:rsid w:val="0027747B"/>
    <w:rsid w:val="00277953"/>
    <w:rsid w:val="002800CD"/>
    <w:rsid w:val="0028064F"/>
    <w:rsid w:val="00280793"/>
    <w:rsid w:val="00280AE1"/>
    <w:rsid w:val="00280B48"/>
    <w:rsid w:val="00280D38"/>
    <w:rsid w:val="00280E98"/>
    <w:rsid w:val="00280F6A"/>
    <w:rsid w:val="00281081"/>
    <w:rsid w:val="002819CF"/>
    <w:rsid w:val="002820EC"/>
    <w:rsid w:val="00282388"/>
    <w:rsid w:val="002823E6"/>
    <w:rsid w:val="0028257E"/>
    <w:rsid w:val="00282BEB"/>
    <w:rsid w:val="00282FD0"/>
    <w:rsid w:val="0028323B"/>
    <w:rsid w:val="002833EF"/>
    <w:rsid w:val="002836A2"/>
    <w:rsid w:val="002837E1"/>
    <w:rsid w:val="0028389C"/>
    <w:rsid w:val="00283C02"/>
    <w:rsid w:val="00283E9B"/>
    <w:rsid w:val="00284394"/>
    <w:rsid w:val="00284396"/>
    <w:rsid w:val="002848EC"/>
    <w:rsid w:val="00284D4B"/>
    <w:rsid w:val="00284D5F"/>
    <w:rsid w:val="00284D6A"/>
    <w:rsid w:val="002853C3"/>
    <w:rsid w:val="002854A2"/>
    <w:rsid w:val="0028554F"/>
    <w:rsid w:val="0028596F"/>
    <w:rsid w:val="00285AA0"/>
    <w:rsid w:val="00285B85"/>
    <w:rsid w:val="00285EE2"/>
    <w:rsid w:val="00286997"/>
    <w:rsid w:val="00286F17"/>
    <w:rsid w:val="0028722C"/>
    <w:rsid w:val="00287914"/>
    <w:rsid w:val="00287997"/>
    <w:rsid w:val="00287B01"/>
    <w:rsid w:val="00287E55"/>
    <w:rsid w:val="002906E0"/>
    <w:rsid w:val="00290813"/>
    <w:rsid w:val="00290836"/>
    <w:rsid w:val="00290F52"/>
    <w:rsid w:val="00290F58"/>
    <w:rsid w:val="0029116A"/>
    <w:rsid w:val="0029125B"/>
    <w:rsid w:val="00291726"/>
    <w:rsid w:val="0029186B"/>
    <w:rsid w:val="00291F96"/>
    <w:rsid w:val="00291FC5"/>
    <w:rsid w:val="0029283F"/>
    <w:rsid w:val="002929D4"/>
    <w:rsid w:val="00292FAE"/>
    <w:rsid w:val="00293CF9"/>
    <w:rsid w:val="00293D05"/>
    <w:rsid w:val="00293D24"/>
    <w:rsid w:val="002941F9"/>
    <w:rsid w:val="002943DC"/>
    <w:rsid w:val="002946DD"/>
    <w:rsid w:val="00294916"/>
    <w:rsid w:val="002955C3"/>
    <w:rsid w:val="00295730"/>
    <w:rsid w:val="00295913"/>
    <w:rsid w:val="00296044"/>
    <w:rsid w:val="00296409"/>
    <w:rsid w:val="00296540"/>
    <w:rsid w:val="00296803"/>
    <w:rsid w:val="00296828"/>
    <w:rsid w:val="002968F6"/>
    <w:rsid w:val="00296A9E"/>
    <w:rsid w:val="00296D4C"/>
    <w:rsid w:val="00297077"/>
    <w:rsid w:val="002971A3"/>
    <w:rsid w:val="002972F5"/>
    <w:rsid w:val="002973D1"/>
    <w:rsid w:val="0029762B"/>
    <w:rsid w:val="00297A10"/>
    <w:rsid w:val="00297ABF"/>
    <w:rsid w:val="002A0093"/>
    <w:rsid w:val="002A0544"/>
    <w:rsid w:val="002A0B3B"/>
    <w:rsid w:val="002A0C9F"/>
    <w:rsid w:val="002A0CDD"/>
    <w:rsid w:val="002A1066"/>
    <w:rsid w:val="002A1D0D"/>
    <w:rsid w:val="002A27D7"/>
    <w:rsid w:val="002A2BE9"/>
    <w:rsid w:val="002A2D72"/>
    <w:rsid w:val="002A2EEB"/>
    <w:rsid w:val="002A3253"/>
    <w:rsid w:val="002A3506"/>
    <w:rsid w:val="002A3785"/>
    <w:rsid w:val="002A3A90"/>
    <w:rsid w:val="002A3AE5"/>
    <w:rsid w:val="002A41C0"/>
    <w:rsid w:val="002A428D"/>
    <w:rsid w:val="002A473F"/>
    <w:rsid w:val="002A4DEA"/>
    <w:rsid w:val="002A4E7B"/>
    <w:rsid w:val="002A502B"/>
    <w:rsid w:val="002A5AB6"/>
    <w:rsid w:val="002A62CA"/>
    <w:rsid w:val="002A63DC"/>
    <w:rsid w:val="002A64A8"/>
    <w:rsid w:val="002A65B7"/>
    <w:rsid w:val="002A66B7"/>
    <w:rsid w:val="002A6958"/>
    <w:rsid w:val="002A6C89"/>
    <w:rsid w:val="002A6E4E"/>
    <w:rsid w:val="002A6E82"/>
    <w:rsid w:val="002A6F24"/>
    <w:rsid w:val="002A76E7"/>
    <w:rsid w:val="002A7752"/>
    <w:rsid w:val="002A77D5"/>
    <w:rsid w:val="002A7C76"/>
    <w:rsid w:val="002A7D50"/>
    <w:rsid w:val="002B0247"/>
    <w:rsid w:val="002B0E8B"/>
    <w:rsid w:val="002B0F93"/>
    <w:rsid w:val="002B0F98"/>
    <w:rsid w:val="002B1065"/>
    <w:rsid w:val="002B156D"/>
    <w:rsid w:val="002B1595"/>
    <w:rsid w:val="002B15B9"/>
    <w:rsid w:val="002B1640"/>
    <w:rsid w:val="002B1893"/>
    <w:rsid w:val="002B198F"/>
    <w:rsid w:val="002B2268"/>
    <w:rsid w:val="002B25D5"/>
    <w:rsid w:val="002B27A6"/>
    <w:rsid w:val="002B2846"/>
    <w:rsid w:val="002B298F"/>
    <w:rsid w:val="002B29FB"/>
    <w:rsid w:val="002B2C05"/>
    <w:rsid w:val="002B2C7E"/>
    <w:rsid w:val="002B2D01"/>
    <w:rsid w:val="002B2FDE"/>
    <w:rsid w:val="002B3107"/>
    <w:rsid w:val="002B3894"/>
    <w:rsid w:val="002B3ECE"/>
    <w:rsid w:val="002B4512"/>
    <w:rsid w:val="002B47D1"/>
    <w:rsid w:val="002B48B7"/>
    <w:rsid w:val="002B4A20"/>
    <w:rsid w:val="002B4C12"/>
    <w:rsid w:val="002B4D33"/>
    <w:rsid w:val="002B4FD4"/>
    <w:rsid w:val="002B5033"/>
    <w:rsid w:val="002B57AB"/>
    <w:rsid w:val="002B63D6"/>
    <w:rsid w:val="002B7053"/>
    <w:rsid w:val="002B74C3"/>
    <w:rsid w:val="002B7937"/>
    <w:rsid w:val="002B7EBC"/>
    <w:rsid w:val="002B94BE"/>
    <w:rsid w:val="002C020C"/>
    <w:rsid w:val="002C0434"/>
    <w:rsid w:val="002C07A5"/>
    <w:rsid w:val="002C0A06"/>
    <w:rsid w:val="002C0BAC"/>
    <w:rsid w:val="002C0C3F"/>
    <w:rsid w:val="002C0F1E"/>
    <w:rsid w:val="002C0F8D"/>
    <w:rsid w:val="002C12FE"/>
    <w:rsid w:val="002C1412"/>
    <w:rsid w:val="002C144C"/>
    <w:rsid w:val="002C1536"/>
    <w:rsid w:val="002C18AB"/>
    <w:rsid w:val="002C19E7"/>
    <w:rsid w:val="002C1ABF"/>
    <w:rsid w:val="002C1B0F"/>
    <w:rsid w:val="002C1C0E"/>
    <w:rsid w:val="002C1F95"/>
    <w:rsid w:val="002C2174"/>
    <w:rsid w:val="002C2D48"/>
    <w:rsid w:val="002C2D65"/>
    <w:rsid w:val="002C309E"/>
    <w:rsid w:val="002C35BF"/>
    <w:rsid w:val="002C3AAE"/>
    <w:rsid w:val="002C43EF"/>
    <w:rsid w:val="002C498A"/>
    <w:rsid w:val="002C4C7D"/>
    <w:rsid w:val="002C4ED4"/>
    <w:rsid w:val="002C53DD"/>
    <w:rsid w:val="002C571E"/>
    <w:rsid w:val="002C57E8"/>
    <w:rsid w:val="002C5922"/>
    <w:rsid w:val="002C5ADF"/>
    <w:rsid w:val="002C5EB3"/>
    <w:rsid w:val="002C61E0"/>
    <w:rsid w:val="002C6922"/>
    <w:rsid w:val="002C6934"/>
    <w:rsid w:val="002C6A29"/>
    <w:rsid w:val="002C6C16"/>
    <w:rsid w:val="002C7208"/>
    <w:rsid w:val="002C7D37"/>
    <w:rsid w:val="002D04A3"/>
    <w:rsid w:val="002D07F2"/>
    <w:rsid w:val="002D1346"/>
    <w:rsid w:val="002D1809"/>
    <w:rsid w:val="002D1A34"/>
    <w:rsid w:val="002D1BC8"/>
    <w:rsid w:val="002D1CDE"/>
    <w:rsid w:val="002D22D0"/>
    <w:rsid w:val="002D28C8"/>
    <w:rsid w:val="002D29B9"/>
    <w:rsid w:val="002D2BB2"/>
    <w:rsid w:val="002D2C30"/>
    <w:rsid w:val="002D31BF"/>
    <w:rsid w:val="002D3345"/>
    <w:rsid w:val="002D36EF"/>
    <w:rsid w:val="002D402E"/>
    <w:rsid w:val="002D4099"/>
    <w:rsid w:val="002D4152"/>
    <w:rsid w:val="002D45DE"/>
    <w:rsid w:val="002D4E4D"/>
    <w:rsid w:val="002D5391"/>
    <w:rsid w:val="002D58AA"/>
    <w:rsid w:val="002D5B1D"/>
    <w:rsid w:val="002D5C7B"/>
    <w:rsid w:val="002D5D0A"/>
    <w:rsid w:val="002D5DDB"/>
    <w:rsid w:val="002D6066"/>
    <w:rsid w:val="002D6664"/>
    <w:rsid w:val="002D66B3"/>
    <w:rsid w:val="002D6E55"/>
    <w:rsid w:val="002D6F95"/>
    <w:rsid w:val="002D7A9D"/>
    <w:rsid w:val="002D7EA7"/>
    <w:rsid w:val="002D7FDA"/>
    <w:rsid w:val="002E022F"/>
    <w:rsid w:val="002E0758"/>
    <w:rsid w:val="002E10F7"/>
    <w:rsid w:val="002E15C2"/>
    <w:rsid w:val="002E1C43"/>
    <w:rsid w:val="002E1CE1"/>
    <w:rsid w:val="002E1CF1"/>
    <w:rsid w:val="002E1DF2"/>
    <w:rsid w:val="002E2E30"/>
    <w:rsid w:val="002E303D"/>
    <w:rsid w:val="002E365C"/>
    <w:rsid w:val="002E3B09"/>
    <w:rsid w:val="002E3D26"/>
    <w:rsid w:val="002E42A9"/>
    <w:rsid w:val="002E44C1"/>
    <w:rsid w:val="002E4597"/>
    <w:rsid w:val="002E48E4"/>
    <w:rsid w:val="002E51F7"/>
    <w:rsid w:val="002E53A1"/>
    <w:rsid w:val="002E57C8"/>
    <w:rsid w:val="002E5954"/>
    <w:rsid w:val="002E5D14"/>
    <w:rsid w:val="002E5D33"/>
    <w:rsid w:val="002E5FAC"/>
    <w:rsid w:val="002E62BF"/>
    <w:rsid w:val="002E66CC"/>
    <w:rsid w:val="002E67F3"/>
    <w:rsid w:val="002E69AC"/>
    <w:rsid w:val="002E7335"/>
    <w:rsid w:val="002E7339"/>
    <w:rsid w:val="002E7377"/>
    <w:rsid w:val="002E7498"/>
    <w:rsid w:val="002E7960"/>
    <w:rsid w:val="002E7E61"/>
    <w:rsid w:val="002E7F26"/>
    <w:rsid w:val="002E7F2C"/>
    <w:rsid w:val="002EC070"/>
    <w:rsid w:val="002F0105"/>
    <w:rsid w:val="002F0485"/>
    <w:rsid w:val="002F07AC"/>
    <w:rsid w:val="002F09FE"/>
    <w:rsid w:val="002F0A2E"/>
    <w:rsid w:val="002F0DEA"/>
    <w:rsid w:val="002F197E"/>
    <w:rsid w:val="002F1C23"/>
    <w:rsid w:val="002F1FAA"/>
    <w:rsid w:val="002F20EB"/>
    <w:rsid w:val="002F2174"/>
    <w:rsid w:val="002F2262"/>
    <w:rsid w:val="002F271F"/>
    <w:rsid w:val="002F2B00"/>
    <w:rsid w:val="002F2B79"/>
    <w:rsid w:val="002F2DF0"/>
    <w:rsid w:val="002F3514"/>
    <w:rsid w:val="002F37B5"/>
    <w:rsid w:val="002F3D04"/>
    <w:rsid w:val="002F3DB3"/>
    <w:rsid w:val="002F3F51"/>
    <w:rsid w:val="002F4277"/>
    <w:rsid w:val="002F475F"/>
    <w:rsid w:val="002F47D4"/>
    <w:rsid w:val="002F4856"/>
    <w:rsid w:val="002F4E1A"/>
    <w:rsid w:val="002F5134"/>
    <w:rsid w:val="002F542B"/>
    <w:rsid w:val="002F558C"/>
    <w:rsid w:val="002F5B50"/>
    <w:rsid w:val="002F625A"/>
    <w:rsid w:val="002F6322"/>
    <w:rsid w:val="002F646B"/>
    <w:rsid w:val="002F6561"/>
    <w:rsid w:val="002F699E"/>
    <w:rsid w:val="002F6BAC"/>
    <w:rsid w:val="002F6EA3"/>
    <w:rsid w:val="002F708C"/>
    <w:rsid w:val="002F7246"/>
    <w:rsid w:val="002F79B2"/>
    <w:rsid w:val="002F7C0F"/>
    <w:rsid w:val="002F7D0B"/>
    <w:rsid w:val="002F7F58"/>
    <w:rsid w:val="00300354"/>
    <w:rsid w:val="003005BC"/>
    <w:rsid w:val="0030070D"/>
    <w:rsid w:val="00300D22"/>
    <w:rsid w:val="00300D38"/>
    <w:rsid w:val="00300E33"/>
    <w:rsid w:val="003010ED"/>
    <w:rsid w:val="0030117E"/>
    <w:rsid w:val="00301591"/>
    <w:rsid w:val="00301C6F"/>
    <w:rsid w:val="003023AC"/>
    <w:rsid w:val="00302805"/>
    <w:rsid w:val="00302DAC"/>
    <w:rsid w:val="00302E49"/>
    <w:rsid w:val="0030336B"/>
    <w:rsid w:val="00303BC6"/>
    <w:rsid w:val="00303EC4"/>
    <w:rsid w:val="00304228"/>
    <w:rsid w:val="00304884"/>
    <w:rsid w:val="003063EF"/>
    <w:rsid w:val="00306445"/>
    <w:rsid w:val="003064F6"/>
    <w:rsid w:val="00306902"/>
    <w:rsid w:val="00306A14"/>
    <w:rsid w:val="00306EF4"/>
    <w:rsid w:val="00307251"/>
    <w:rsid w:val="003073C0"/>
    <w:rsid w:val="00307C33"/>
    <w:rsid w:val="00307F64"/>
    <w:rsid w:val="0031071A"/>
    <w:rsid w:val="0031092E"/>
    <w:rsid w:val="00310DD2"/>
    <w:rsid w:val="00310E85"/>
    <w:rsid w:val="0031108B"/>
    <w:rsid w:val="0031120E"/>
    <w:rsid w:val="0031135B"/>
    <w:rsid w:val="003116DF"/>
    <w:rsid w:val="00311BFF"/>
    <w:rsid w:val="00311D88"/>
    <w:rsid w:val="003121D8"/>
    <w:rsid w:val="0031238A"/>
    <w:rsid w:val="00312824"/>
    <w:rsid w:val="00312DC5"/>
    <w:rsid w:val="00312DF8"/>
    <w:rsid w:val="00312E73"/>
    <w:rsid w:val="00313090"/>
    <w:rsid w:val="00313BC9"/>
    <w:rsid w:val="003146DA"/>
    <w:rsid w:val="00314A5C"/>
    <w:rsid w:val="00314A7D"/>
    <w:rsid w:val="00314B7A"/>
    <w:rsid w:val="00314DC2"/>
    <w:rsid w:val="00314DC6"/>
    <w:rsid w:val="00314F29"/>
    <w:rsid w:val="003151BC"/>
    <w:rsid w:val="0031568F"/>
    <w:rsid w:val="00315A37"/>
    <w:rsid w:val="00315D1C"/>
    <w:rsid w:val="00315EA4"/>
    <w:rsid w:val="0031635C"/>
    <w:rsid w:val="00316D28"/>
    <w:rsid w:val="00317019"/>
    <w:rsid w:val="00317324"/>
    <w:rsid w:val="003173C6"/>
    <w:rsid w:val="00317681"/>
    <w:rsid w:val="003177FC"/>
    <w:rsid w:val="00317C69"/>
    <w:rsid w:val="00317EB9"/>
    <w:rsid w:val="0031949E"/>
    <w:rsid w:val="0032005B"/>
    <w:rsid w:val="003201BA"/>
    <w:rsid w:val="00320550"/>
    <w:rsid w:val="00320831"/>
    <w:rsid w:val="0032092A"/>
    <w:rsid w:val="003214EA"/>
    <w:rsid w:val="003215B5"/>
    <w:rsid w:val="003217AB"/>
    <w:rsid w:val="0032180C"/>
    <w:rsid w:val="00321F36"/>
    <w:rsid w:val="00321FCF"/>
    <w:rsid w:val="00322301"/>
    <w:rsid w:val="003223F6"/>
    <w:rsid w:val="003225ED"/>
    <w:rsid w:val="003229A1"/>
    <w:rsid w:val="00322A00"/>
    <w:rsid w:val="0032337D"/>
    <w:rsid w:val="00323949"/>
    <w:rsid w:val="00323C95"/>
    <w:rsid w:val="003249CD"/>
    <w:rsid w:val="00324A7D"/>
    <w:rsid w:val="00324B86"/>
    <w:rsid w:val="00324E0A"/>
    <w:rsid w:val="00324F5E"/>
    <w:rsid w:val="003250CA"/>
    <w:rsid w:val="00325AA9"/>
    <w:rsid w:val="00325ACE"/>
    <w:rsid w:val="0032608A"/>
    <w:rsid w:val="0032612B"/>
    <w:rsid w:val="00326405"/>
    <w:rsid w:val="003267B8"/>
    <w:rsid w:val="00326A2A"/>
    <w:rsid w:val="00326B98"/>
    <w:rsid w:val="00326C45"/>
    <w:rsid w:val="003271A6"/>
    <w:rsid w:val="0032723F"/>
    <w:rsid w:val="00327376"/>
    <w:rsid w:val="00327573"/>
    <w:rsid w:val="0032769C"/>
    <w:rsid w:val="0032791E"/>
    <w:rsid w:val="00327AB2"/>
    <w:rsid w:val="00327AEF"/>
    <w:rsid w:val="00327BFB"/>
    <w:rsid w:val="00327C50"/>
    <w:rsid w:val="00327E2C"/>
    <w:rsid w:val="00327E6E"/>
    <w:rsid w:val="00327EBC"/>
    <w:rsid w:val="00327F46"/>
    <w:rsid w:val="00328636"/>
    <w:rsid w:val="00330789"/>
    <w:rsid w:val="003309C9"/>
    <w:rsid w:val="00330AFC"/>
    <w:rsid w:val="0033148E"/>
    <w:rsid w:val="0033159B"/>
    <w:rsid w:val="00331788"/>
    <w:rsid w:val="00331885"/>
    <w:rsid w:val="00331BFB"/>
    <w:rsid w:val="00331C68"/>
    <w:rsid w:val="00331C80"/>
    <w:rsid w:val="00331CCA"/>
    <w:rsid w:val="0033238E"/>
    <w:rsid w:val="00332AD4"/>
    <w:rsid w:val="00332ADF"/>
    <w:rsid w:val="00332DC9"/>
    <w:rsid w:val="00333434"/>
    <w:rsid w:val="00333538"/>
    <w:rsid w:val="00333805"/>
    <w:rsid w:val="00333A91"/>
    <w:rsid w:val="00334316"/>
    <w:rsid w:val="00334998"/>
    <w:rsid w:val="00334D63"/>
    <w:rsid w:val="0033527E"/>
    <w:rsid w:val="00335286"/>
    <w:rsid w:val="003354D6"/>
    <w:rsid w:val="00335706"/>
    <w:rsid w:val="00335771"/>
    <w:rsid w:val="00335C2A"/>
    <w:rsid w:val="00335CD6"/>
    <w:rsid w:val="0033698D"/>
    <w:rsid w:val="00336A5D"/>
    <w:rsid w:val="00336DA5"/>
    <w:rsid w:val="00337257"/>
    <w:rsid w:val="0033755F"/>
    <w:rsid w:val="00337743"/>
    <w:rsid w:val="003378C4"/>
    <w:rsid w:val="003378D7"/>
    <w:rsid w:val="00337CA5"/>
    <w:rsid w:val="00337CB3"/>
    <w:rsid w:val="00337D8A"/>
    <w:rsid w:val="00340262"/>
    <w:rsid w:val="00340346"/>
    <w:rsid w:val="00340735"/>
    <w:rsid w:val="003407C3"/>
    <w:rsid w:val="00340815"/>
    <w:rsid w:val="00340E32"/>
    <w:rsid w:val="003419A4"/>
    <w:rsid w:val="00341D89"/>
    <w:rsid w:val="00342329"/>
    <w:rsid w:val="003423D0"/>
    <w:rsid w:val="0034243A"/>
    <w:rsid w:val="003428A2"/>
    <w:rsid w:val="00342993"/>
    <w:rsid w:val="00343518"/>
    <w:rsid w:val="00343658"/>
    <w:rsid w:val="003443A2"/>
    <w:rsid w:val="0034448D"/>
    <w:rsid w:val="00344521"/>
    <w:rsid w:val="00344566"/>
    <w:rsid w:val="003445F8"/>
    <w:rsid w:val="00344889"/>
    <w:rsid w:val="00344ECC"/>
    <w:rsid w:val="00345074"/>
    <w:rsid w:val="00345CF7"/>
    <w:rsid w:val="00345CF8"/>
    <w:rsid w:val="00345EC8"/>
    <w:rsid w:val="0034600E"/>
    <w:rsid w:val="0034695A"/>
    <w:rsid w:val="00346F7E"/>
    <w:rsid w:val="00346F8E"/>
    <w:rsid w:val="0034724C"/>
    <w:rsid w:val="0034726F"/>
    <w:rsid w:val="00347298"/>
    <w:rsid w:val="0034779A"/>
    <w:rsid w:val="00347977"/>
    <w:rsid w:val="00347AB6"/>
    <w:rsid w:val="00350066"/>
    <w:rsid w:val="00350194"/>
    <w:rsid w:val="003507A2"/>
    <w:rsid w:val="00350B52"/>
    <w:rsid w:val="00350EC3"/>
    <w:rsid w:val="00351063"/>
    <w:rsid w:val="003514F7"/>
    <w:rsid w:val="003517A7"/>
    <w:rsid w:val="00351808"/>
    <w:rsid w:val="00351AEC"/>
    <w:rsid w:val="00351E17"/>
    <w:rsid w:val="003525B9"/>
    <w:rsid w:val="00352645"/>
    <w:rsid w:val="00352800"/>
    <w:rsid w:val="0035311F"/>
    <w:rsid w:val="0035361D"/>
    <w:rsid w:val="003538E4"/>
    <w:rsid w:val="00353BE0"/>
    <w:rsid w:val="00353E56"/>
    <w:rsid w:val="00354087"/>
    <w:rsid w:val="0035427F"/>
    <w:rsid w:val="00354766"/>
    <w:rsid w:val="00354A02"/>
    <w:rsid w:val="003550EF"/>
    <w:rsid w:val="00355350"/>
    <w:rsid w:val="00355673"/>
    <w:rsid w:val="00355875"/>
    <w:rsid w:val="00355968"/>
    <w:rsid w:val="00355981"/>
    <w:rsid w:val="0035629B"/>
    <w:rsid w:val="003563A9"/>
    <w:rsid w:val="003565F2"/>
    <w:rsid w:val="00356CBC"/>
    <w:rsid w:val="00357288"/>
    <w:rsid w:val="003576CA"/>
    <w:rsid w:val="00357A6B"/>
    <w:rsid w:val="00357E2F"/>
    <w:rsid w:val="00357E64"/>
    <w:rsid w:val="003604FC"/>
    <w:rsid w:val="00360AC6"/>
    <w:rsid w:val="00360BE9"/>
    <w:rsid w:val="00361CA1"/>
    <w:rsid w:val="00362937"/>
    <w:rsid w:val="003640B7"/>
    <w:rsid w:val="0036438F"/>
    <w:rsid w:val="00364420"/>
    <w:rsid w:val="0036481F"/>
    <w:rsid w:val="00364BD2"/>
    <w:rsid w:val="00364C25"/>
    <w:rsid w:val="00364E4A"/>
    <w:rsid w:val="00365183"/>
    <w:rsid w:val="003651D4"/>
    <w:rsid w:val="00365331"/>
    <w:rsid w:val="00365634"/>
    <w:rsid w:val="003662D8"/>
    <w:rsid w:val="0036665B"/>
    <w:rsid w:val="003667EC"/>
    <w:rsid w:val="0036695E"/>
    <w:rsid w:val="00366AC1"/>
    <w:rsid w:val="00366D2D"/>
    <w:rsid w:val="00366DEF"/>
    <w:rsid w:val="0036720E"/>
    <w:rsid w:val="003674A0"/>
    <w:rsid w:val="00367C2C"/>
    <w:rsid w:val="00367E6E"/>
    <w:rsid w:val="00370065"/>
    <w:rsid w:val="0037019E"/>
    <w:rsid w:val="003707A0"/>
    <w:rsid w:val="003708A0"/>
    <w:rsid w:val="00370B9C"/>
    <w:rsid w:val="00370BB1"/>
    <w:rsid w:val="00370BC4"/>
    <w:rsid w:val="003711BC"/>
    <w:rsid w:val="00371296"/>
    <w:rsid w:val="00371585"/>
    <w:rsid w:val="0037226C"/>
    <w:rsid w:val="003728E6"/>
    <w:rsid w:val="00372A32"/>
    <w:rsid w:val="00372AA7"/>
    <w:rsid w:val="0037302B"/>
    <w:rsid w:val="003734F4"/>
    <w:rsid w:val="00373798"/>
    <w:rsid w:val="003739A4"/>
    <w:rsid w:val="00373EB7"/>
    <w:rsid w:val="0037406B"/>
    <w:rsid w:val="00374216"/>
    <w:rsid w:val="00374452"/>
    <w:rsid w:val="003744DF"/>
    <w:rsid w:val="00375319"/>
    <w:rsid w:val="00375617"/>
    <w:rsid w:val="003758DB"/>
    <w:rsid w:val="00375B5B"/>
    <w:rsid w:val="0037605C"/>
    <w:rsid w:val="00376242"/>
    <w:rsid w:val="00376577"/>
    <w:rsid w:val="003768F0"/>
    <w:rsid w:val="00376D9E"/>
    <w:rsid w:val="003772EC"/>
    <w:rsid w:val="00377418"/>
    <w:rsid w:val="00377606"/>
    <w:rsid w:val="00377790"/>
    <w:rsid w:val="00377AA7"/>
    <w:rsid w:val="00377BDF"/>
    <w:rsid w:val="00380442"/>
    <w:rsid w:val="003804AA"/>
    <w:rsid w:val="00380518"/>
    <w:rsid w:val="0038061D"/>
    <w:rsid w:val="003807E1"/>
    <w:rsid w:val="00380956"/>
    <w:rsid w:val="00380A32"/>
    <w:rsid w:val="00380A84"/>
    <w:rsid w:val="00380B3E"/>
    <w:rsid w:val="00380CF6"/>
    <w:rsid w:val="0038190E"/>
    <w:rsid w:val="00381AFF"/>
    <w:rsid w:val="00381B2C"/>
    <w:rsid w:val="0038219B"/>
    <w:rsid w:val="00382BF7"/>
    <w:rsid w:val="00382DA3"/>
    <w:rsid w:val="00382EA1"/>
    <w:rsid w:val="00383410"/>
    <w:rsid w:val="00383621"/>
    <w:rsid w:val="00383CE3"/>
    <w:rsid w:val="0038427A"/>
    <w:rsid w:val="00384A5C"/>
    <w:rsid w:val="00384B5B"/>
    <w:rsid w:val="0038566B"/>
    <w:rsid w:val="003857AA"/>
    <w:rsid w:val="00385D9B"/>
    <w:rsid w:val="00385E8F"/>
    <w:rsid w:val="0038602D"/>
    <w:rsid w:val="003861F1"/>
    <w:rsid w:val="0038632B"/>
    <w:rsid w:val="0038669F"/>
    <w:rsid w:val="00386AA7"/>
    <w:rsid w:val="00386C25"/>
    <w:rsid w:val="00386CE7"/>
    <w:rsid w:val="00386EBA"/>
    <w:rsid w:val="00387036"/>
    <w:rsid w:val="00387099"/>
    <w:rsid w:val="003876B0"/>
    <w:rsid w:val="00387BD8"/>
    <w:rsid w:val="0039018B"/>
    <w:rsid w:val="00390A61"/>
    <w:rsid w:val="00390A65"/>
    <w:rsid w:val="00390A96"/>
    <w:rsid w:val="0039107F"/>
    <w:rsid w:val="003911C9"/>
    <w:rsid w:val="0039122D"/>
    <w:rsid w:val="003914AB"/>
    <w:rsid w:val="0039166A"/>
    <w:rsid w:val="00391821"/>
    <w:rsid w:val="0039234D"/>
    <w:rsid w:val="0039298D"/>
    <w:rsid w:val="00392B79"/>
    <w:rsid w:val="00392FC0"/>
    <w:rsid w:val="0039361C"/>
    <w:rsid w:val="003936F8"/>
    <w:rsid w:val="00393769"/>
    <w:rsid w:val="0039395C"/>
    <w:rsid w:val="00393C21"/>
    <w:rsid w:val="00393C30"/>
    <w:rsid w:val="00393CB9"/>
    <w:rsid w:val="00393F2E"/>
    <w:rsid w:val="003942DC"/>
    <w:rsid w:val="00394390"/>
    <w:rsid w:val="00394523"/>
    <w:rsid w:val="00394F7E"/>
    <w:rsid w:val="003950EA"/>
    <w:rsid w:val="0039667F"/>
    <w:rsid w:val="003966E7"/>
    <w:rsid w:val="00396DC1"/>
    <w:rsid w:val="00396F48"/>
    <w:rsid w:val="00397153"/>
    <w:rsid w:val="003972D9"/>
    <w:rsid w:val="00397316"/>
    <w:rsid w:val="0039733B"/>
    <w:rsid w:val="0039737B"/>
    <w:rsid w:val="003973E8"/>
    <w:rsid w:val="00397521"/>
    <w:rsid w:val="0039CA2A"/>
    <w:rsid w:val="0039F375"/>
    <w:rsid w:val="003A0041"/>
    <w:rsid w:val="003A00A8"/>
    <w:rsid w:val="003A015E"/>
    <w:rsid w:val="003A0233"/>
    <w:rsid w:val="003A0ED4"/>
    <w:rsid w:val="003A1101"/>
    <w:rsid w:val="003A159F"/>
    <w:rsid w:val="003A176B"/>
    <w:rsid w:val="003A1A8E"/>
    <w:rsid w:val="003A1ED5"/>
    <w:rsid w:val="003A20F9"/>
    <w:rsid w:val="003A2108"/>
    <w:rsid w:val="003A23D2"/>
    <w:rsid w:val="003A26CB"/>
    <w:rsid w:val="003A26CF"/>
    <w:rsid w:val="003A2E5E"/>
    <w:rsid w:val="003A2E78"/>
    <w:rsid w:val="003A312E"/>
    <w:rsid w:val="003A36A5"/>
    <w:rsid w:val="003A3904"/>
    <w:rsid w:val="003A39AC"/>
    <w:rsid w:val="003A3A7B"/>
    <w:rsid w:val="003A3B51"/>
    <w:rsid w:val="003A3DDC"/>
    <w:rsid w:val="003A4075"/>
    <w:rsid w:val="003A4418"/>
    <w:rsid w:val="003A465E"/>
    <w:rsid w:val="003A481C"/>
    <w:rsid w:val="003A4D62"/>
    <w:rsid w:val="003A53DA"/>
    <w:rsid w:val="003A5838"/>
    <w:rsid w:val="003A5CCF"/>
    <w:rsid w:val="003A5EE5"/>
    <w:rsid w:val="003A60E9"/>
    <w:rsid w:val="003A67D5"/>
    <w:rsid w:val="003A6D4C"/>
    <w:rsid w:val="003A6D6B"/>
    <w:rsid w:val="003A6F3D"/>
    <w:rsid w:val="003A7042"/>
    <w:rsid w:val="003A7053"/>
    <w:rsid w:val="003A711C"/>
    <w:rsid w:val="003A7742"/>
    <w:rsid w:val="003A77FB"/>
    <w:rsid w:val="003A7C37"/>
    <w:rsid w:val="003A7D31"/>
    <w:rsid w:val="003AE351"/>
    <w:rsid w:val="003B0498"/>
    <w:rsid w:val="003B0860"/>
    <w:rsid w:val="003B13DB"/>
    <w:rsid w:val="003B15FB"/>
    <w:rsid w:val="003B1707"/>
    <w:rsid w:val="003B17E8"/>
    <w:rsid w:val="003B184A"/>
    <w:rsid w:val="003B1F87"/>
    <w:rsid w:val="003B2503"/>
    <w:rsid w:val="003B26AE"/>
    <w:rsid w:val="003B29F4"/>
    <w:rsid w:val="003B2F17"/>
    <w:rsid w:val="003B322A"/>
    <w:rsid w:val="003B3A4D"/>
    <w:rsid w:val="003B3C59"/>
    <w:rsid w:val="003B431C"/>
    <w:rsid w:val="003B43C5"/>
    <w:rsid w:val="003B4654"/>
    <w:rsid w:val="003B4FDD"/>
    <w:rsid w:val="003B52BA"/>
    <w:rsid w:val="003B52BC"/>
    <w:rsid w:val="003B585D"/>
    <w:rsid w:val="003B593B"/>
    <w:rsid w:val="003B59A6"/>
    <w:rsid w:val="003B5CE5"/>
    <w:rsid w:val="003B5EAA"/>
    <w:rsid w:val="003B67F8"/>
    <w:rsid w:val="003B6C83"/>
    <w:rsid w:val="003B6C94"/>
    <w:rsid w:val="003B6E54"/>
    <w:rsid w:val="003B72CE"/>
    <w:rsid w:val="003B734F"/>
    <w:rsid w:val="003B7E09"/>
    <w:rsid w:val="003B7FC6"/>
    <w:rsid w:val="003C0631"/>
    <w:rsid w:val="003C06EB"/>
    <w:rsid w:val="003C0A80"/>
    <w:rsid w:val="003C0A9B"/>
    <w:rsid w:val="003C0B19"/>
    <w:rsid w:val="003C1263"/>
    <w:rsid w:val="003C16E6"/>
    <w:rsid w:val="003C17CF"/>
    <w:rsid w:val="003C1AA2"/>
    <w:rsid w:val="003C2012"/>
    <w:rsid w:val="003C22F8"/>
    <w:rsid w:val="003C236F"/>
    <w:rsid w:val="003C2567"/>
    <w:rsid w:val="003C25BD"/>
    <w:rsid w:val="003C25D8"/>
    <w:rsid w:val="003C268A"/>
    <w:rsid w:val="003C2BAB"/>
    <w:rsid w:val="003C2D1C"/>
    <w:rsid w:val="003C3217"/>
    <w:rsid w:val="003C39D3"/>
    <w:rsid w:val="003C3D87"/>
    <w:rsid w:val="003C3ECA"/>
    <w:rsid w:val="003C3FBA"/>
    <w:rsid w:val="003C4461"/>
    <w:rsid w:val="003C48EE"/>
    <w:rsid w:val="003C4E76"/>
    <w:rsid w:val="003C504A"/>
    <w:rsid w:val="003C504C"/>
    <w:rsid w:val="003C5093"/>
    <w:rsid w:val="003C50B9"/>
    <w:rsid w:val="003C5533"/>
    <w:rsid w:val="003C56FA"/>
    <w:rsid w:val="003C5D9E"/>
    <w:rsid w:val="003C5F25"/>
    <w:rsid w:val="003C608C"/>
    <w:rsid w:val="003C63DB"/>
    <w:rsid w:val="003C651A"/>
    <w:rsid w:val="003C668D"/>
    <w:rsid w:val="003C680D"/>
    <w:rsid w:val="003C6C87"/>
    <w:rsid w:val="003C6D59"/>
    <w:rsid w:val="003C79B5"/>
    <w:rsid w:val="003D0057"/>
    <w:rsid w:val="003D017E"/>
    <w:rsid w:val="003D01FE"/>
    <w:rsid w:val="003D03F2"/>
    <w:rsid w:val="003D05F0"/>
    <w:rsid w:val="003D0785"/>
    <w:rsid w:val="003D0E0C"/>
    <w:rsid w:val="003D106F"/>
    <w:rsid w:val="003D1C4E"/>
    <w:rsid w:val="003D2110"/>
    <w:rsid w:val="003D2165"/>
    <w:rsid w:val="003D23B3"/>
    <w:rsid w:val="003D31A5"/>
    <w:rsid w:val="003D3240"/>
    <w:rsid w:val="003D3628"/>
    <w:rsid w:val="003D38D4"/>
    <w:rsid w:val="003D3A99"/>
    <w:rsid w:val="003D3FDC"/>
    <w:rsid w:val="003D3FFA"/>
    <w:rsid w:val="003D4242"/>
    <w:rsid w:val="003D4700"/>
    <w:rsid w:val="003D49A6"/>
    <w:rsid w:val="003D4EAC"/>
    <w:rsid w:val="003D529F"/>
    <w:rsid w:val="003D5461"/>
    <w:rsid w:val="003D54A8"/>
    <w:rsid w:val="003D5A0E"/>
    <w:rsid w:val="003D5BF0"/>
    <w:rsid w:val="003D614D"/>
    <w:rsid w:val="003D64E2"/>
    <w:rsid w:val="003D68C9"/>
    <w:rsid w:val="003D6C4F"/>
    <w:rsid w:val="003D6D61"/>
    <w:rsid w:val="003D6DAF"/>
    <w:rsid w:val="003D6FB0"/>
    <w:rsid w:val="003D7630"/>
    <w:rsid w:val="003D7743"/>
    <w:rsid w:val="003D7808"/>
    <w:rsid w:val="003D7C44"/>
    <w:rsid w:val="003D7CE7"/>
    <w:rsid w:val="003E0075"/>
    <w:rsid w:val="003E0195"/>
    <w:rsid w:val="003E0423"/>
    <w:rsid w:val="003E078C"/>
    <w:rsid w:val="003E08DC"/>
    <w:rsid w:val="003E1540"/>
    <w:rsid w:val="003E15EF"/>
    <w:rsid w:val="003E17E0"/>
    <w:rsid w:val="003E18E3"/>
    <w:rsid w:val="003E1B62"/>
    <w:rsid w:val="003E1CDB"/>
    <w:rsid w:val="003E1F47"/>
    <w:rsid w:val="003E2043"/>
    <w:rsid w:val="003E2294"/>
    <w:rsid w:val="003E22D4"/>
    <w:rsid w:val="003E2450"/>
    <w:rsid w:val="003E24D8"/>
    <w:rsid w:val="003E26CB"/>
    <w:rsid w:val="003E2928"/>
    <w:rsid w:val="003E2E7F"/>
    <w:rsid w:val="003E2F54"/>
    <w:rsid w:val="003E2FF3"/>
    <w:rsid w:val="003E37A8"/>
    <w:rsid w:val="003E389A"/>
    <w:rsid w:val="003E3AA7"/>
    <w:rsid w:val="003E40A7"/>
    <w:rsid w:val="003E42B5"/>
    <w:rsid w:val="003E4318"/>
    <w:rsid w:val="003E477E"/>
    <w:rsid w:val="003E47F5"/>
    <w:rsid w:val="003E4AE0"/>
    <w:rsid w:val="003E4F51"/>
    <w:rsid w:val="003E5845"/>
    <w:rsid w:val="003E5B4E"/>
    <w:rsid w:val="003E5E11"/>
    <w:rsid w:val="003E6534"/>
    <w:rsid w:val="003E658F"/>
    <w:rsid w:val="003E6AFE"/>
    <w:rsid w:val="003E6D76"/>
    <w:rsid w:val="003E6FAE"/>
    <w:rsid w:val="003E7043"/>
    <w:rsid w:val="003E708D"/>
    <w:rsid w:val="003E73F8"/>
    <w:rsid w:val="003E7416"/>
    <w:rsid w:val="003E7535"/>
    <w:rsid w:val="003ECDB9"/>
    <w:rsid w:val="003F0688"/>
    <w:rsid w:val="003F06F1"/>
    <w:rsid w:val="003F080D"/>
    <w:rsid w:val="003F11D7"/>
    <w:rsid w:val="003F1811"/>
    <w:rsid w:val="003F19C7"/>
    <w:rsid w:val="003F1CE5"/>
    <w:rsid w:val="003F1D58"/>
    <w:rsid w:val="003F1FDF"/>
    <w:rsid w:val="003F200E"/>
    <w:rsid w:val="003F22A1"/>
    <w:rsid w:val="003F24E2"/>
    <w:rsid w:val="003F2A6B"/>
    <w:rsid w:val="003F2D0B"/>
    <w:rsid w:val="003F3098"/>
    <w:rsid w:val="003F311C"/>
    <w:rsid w:val="003F326D"/>
    <w:rsid w:val="003F33BE"/>
    <w:rsid w:val="003F33D3"/>
    <w:rsid w:val="003F3715"/>
    <w:rsid w:val="003F3806"/>
    <w:rsid w:val="003F453E"/>
    <w:rsid w:val="003F4AB5"/>
    <w:rsid w:val="003F4EB5"/>
    <w:rsid w:val="003F4EC2"/>
    <w:rsid w:val="003F5469"/>
    <w:rsid w:val="003F59CA"/>
    <w:rsid w:val="003F6242"/>
    <w:rsid w:val="003F6246"/>
    <w:rsid w:val="003F6471"/>
    <w:rsid w:val="003F6584"/>
    <w:rsid w:val="003F6CA5"/>
    <w:rsid w:val="003F6D2C"/>
    <w:rsid w:val="003F6FC7"/>
    <w:rsid w:val="003F77EA"/>
    <w:rsid w:val="003F790D"/>
    <w:rsid w:val="003F7D2F"/>
    <w:rsid w:val="003F7F8F"/>
    <w:rsid w:val="00400150"/>
    <w:rsid w:val="0040022D"/>
    <w:rsid w:val="0040034C"/>
    <w:rsid w:val="004004A8"/>
    <w:rsid w:val="00400593"/>
    <w:rsid w:val="0040073C"/>
    <w:rsid w:val="00400A3D"/>
    <w:rsid w:val="00400F0D"/>
    <w:rsid w:val="00401A67"/>
    <w:rsid w:val="00401B30"/>
    <w:rsid w:val="00401B4C"/>
    <w:rsid w:val="004024A4"/>
    <w:rsid w:val="004029C3"/>
    <w:rsid w:val="00402CAB"/>
    <w:rsid w:val="00402D5D"/>
    <w:rsid w:val="004030CC"/>
    <w:rsid w:val="004030E6"/>
    <w:rsid w:val="00403503"/>
    <w:rsid w:val="00403D4C"/>
    <w:rsid w:val="00404126"/>
    <w:rsid w:val="004041E5"/>
    <w:rsid w:val="00404201"/>
    <w:rsid w:val="00404297"/>
    <w:rsid w:val="004047EA"/>
    <w:rsid w:val="00404865"/>
    <w:rsid w:val="00404B4F"/>
    <w:rsid w:val="00404F8A"/>
    <w:rsid w:val="0040516A"/>
    <w:rsid w:val="004057F0"/>
    <w:rsid w:val="004059CF"/>
    <w:rsid w:val="00405DE8"/>
    <w:rsid w:val="004061D6"/>
    <w:rsid w:val="004062DB"/>
    <w:rsid w:val="0040682D"/>
    <w:rsid w:val="0040699A"/>
    <w:rsid w:val="00407852"/>
    <w:rsid w:val="00407FC4"/>
    <w:rsid w:val="004100ED"/>
    <w:rsid w:val="004102F7"/>
    <w:rsid w:val="004104D1"/>
    <w:rsid w:val="0041054E"/>
    <w:rsid w:val="00410AD6"/>
    <w:rsid w:val="00410ED2"/>
    <w:rsid w:val="004117C3"/>
    <w:rsid w:val="00411ACF"/>
    <w:rsid w:val="00411B47"/>
    <w:rsid w:val="00411BE6"/>
    <w:rsid w:val="0041208A"/>
    <w:rsid w:val="0041227A"/>
    <w:rsid w:val="004123DB"/>
    <w:rsid w:val="00412408"/>
    <w:rsid w:val="004124A6"/>
    <w:rsid w:val="00412C07"/>
    <w:rsid w:val="00412CB9"/>
    <w:rsid w:val="0041309C"/>
    <w:rsid w:val="00413309"/>
    <w:rsid w:val="0041372A"/>
    <w:rsid w:val="0041397B"/>
    <w:rsid w:val="00414398"/>
    <w:rsid w:val="004146E8"/>
    <w:rsid w:val="00414E61"/>
    <w:rsid w:val="00414F82"/>
    <w:rsid w:val="004150C2"/>
    <w:rsid w:val="00415103"/>
    <w:rsid w:val="00415191"/>
    <w:rsid w:val="00415287"/>
    <w:rsid w:val="00415D2D"/>
    <w:rsid w:val="00416277"/>
    <w:rsid w:val="0041675E"/>
    <w:rsid w:val="00416991"/>
    <w:rsid w:val="00416DAD"/>
    <w:rsid w:val="0041750F"/>
    <w:rsid w:val="00417D19"/>
    <w:rsid w:val="00417DE9"/>
    <w:rsid w:val="00417E4B"/>
    <w:rsid w:val="0042090F"/>
    <w:rsid w:val="00420E80"/>
    <w:rsid w:val="00420EC9"/>
    <w:rsid w:val="004214F5"/>
    <w:rsid w:val="0042154B"/>
    <w:rsid w:val="00421920"/>
    <w:rsid w:val="00421926"/>
    <w:rsid w:val="0042204E"/>
    <w:rsid w:val="004224B8"/>
    <w:rsid w:val="0042262A"/>
    <w:rsid w:val="004229B3"/>
    <w:rsid w:val="00422C4E"/>
    <w:rsid w:val="00422D3F"/>
    <w:rsid w:val="004230E1"/>
    <w:rsid w:val="004233AE"/>
    <w:rsid w:val="00423598"/>
    <w:rsid w:val="004238B1"/>
    <w:rsid w:val="004239B2"/>
    <w:rsid w:val="00423ACD"/>
    <w:rsid w:val="00423BC1"/>
    <w:rsid w:val="00424367"/>
    <w:rsid w:val="0042454C"/>
    <w:rsid w:val="00424AB8"/>
    <w:rsid w:val="004250C4"/>
    <w:rsid w:val="0042543C"/>
    <w:rsid w:val="00425464"/>
    <w:rsid w:val="004259C8"/>
    <w:rsid w:val="00425FD1"/>
    <w:rsid w:val="0042603A"/>
    <w:rsid w:val="004264C7"/>
    <w:rsid w:val="0042654A"/>
    <w:rsid w:val="00426674"/>
    <w:rsid w:val="0042685E"/>
    <w:rsid w:val="00426B2D"/>
    <w:rsid w:val="00426B9A"/>
    <w:rsid w:val="00426F13"/>
    <w:rsid w:val="0042729A"/>
    <w:rsid w:val="004277CA"/>
    <w:rsid w:val="00427907"/>
    <w:rsid w:val="00427A02"/>
    <w:rsid w:val="00427A8F"/>
    <w:rsid w:val="00427CBE"/>
    <w:rsid w:val="0042C018"/>
    <w:rsid w:val="00430203"/>
    <w:rsid w:val="004304E6"/>
    <w:rsid w:val="00430C4A"/>
    <w:rsid w:val="00431032"/>
    <w:rsid w:val="00431DEC"/>
    <w:rsid w:val="00431FB0"/>
    <w:rsid w:val="00431FE6"/>
    <w:rsid w:val="0043266D"/>
    <w:rsid w:val="0043270B"/>
    <w:rsid w:val="0043290C"/>
    <w:rsid w:val="00432DD3"/>
    <w:rsid w:val="00432F12"/>
    <w:rsid w:val="00433A7B"/>
    <w:rsid w:val="00433EA0"/>
    <w:rsid w:val="00433F5C"/>
    <w:rsid w:val="00434072"/>
    <w:rsid w:val="0043443A"/>
    <w:rsid w:val="00435640"/>
    <w:rsid w:val="00435D5C"/>
    <w:rsid w:val="004363BE"/>
    <w:rsid w:val="00436655"/>
    <w:rsid w:val="00436FF4"/>
    <w:rsid w:val="004370D6"/>
    <w:rsid w:val="00437D4F"/>
    <w:rsid w:val="00437FED"/>
    <w:rsid w:val="004401DA"/>
    <w:rsid w:val="004406FB"/>
    <w:rsid w:val="00440902"/>
    <w:rsid w:val="00440CDD"/>
    <w:rsid w:val="00440F9E"/>
    <w:rsid w:val="004415F5"/>
    <w:rsid w:val="00441E7B"/>
    <w:rsid w:val="004422FA"/>
    <w:rsid w:val="004424B9"/>
    <w:rsid w:val="004427AE"/>
    <w:rsid w:val="004429EF"/>
    <w:rsid w:val="00442A35"/>
    <w:rsid w:val="00442A8D"/>
    <w:rsid w:val="00443147"/>
    <w:rsid w:val="0044315F"/>
    <w:rsid w:val="00443259"/>
    <w:rsid w:val="004433F6"/>
    <w:rsid w:val="00443748"/>
    <w:rsid w:val="004437D9"/>
    <w:rsid w:val="004438FB"/>
    <w:rsid w:val="004439F2"/>
    <w:rsid w:val="00443A32"/>
    <w:rsid w:val="00443BAE"/>
    <w:rsid w:val="00443F0B"/>
    <w:rsid w:val="00443F38"/>
    <w:rsid w:val="0044418A"/>
    <w:rsid w:val="00444484"/>
    <w:rsid w:val="00444DAE"/>
    <w:rsid w:val="0044580B"/>
    <w:rsid w:val="00445857"/>
    <w:rsid w:val="00445B72"/>
    <w:rsid w:val="0044601F"/>
    <w:rsid w:val="004461D3"/>
    <w:rsid w:val="0044656D"/>
    <w:rsid w:val="00446775"/>
    <w:rsid w:val="004469F9"/>
    <w:rsid w:val="00446E2E"/>
    <w:rsid w:val="00446FC0"/>
    <w:rsid w:val="0044732B"/>
    <w:rsid w:val="00447C4B"/>
    <w:rsid w:val="00447DF9"/>
    <w:rsid w:val="00447FCA"/>
    <w:rsid w:val="00450009"/>
    <w:rsid w:val="00450105"/>
    <w:rsid w:val="00450438"/>
    <w:rsid w:val="004508A2"/>
    <w:rsid w:val="0045094E"/>
    <w:rsid w:val="004509EE"/>
    <w:rsid w:val="00450CF5"/>
    <w:rsid w:val="004511E9"/>
    <w:rsid w:val="0045126E"/>
    <w:rsid w:val="00451451"/>
    <w:rsid w:val="0045168E"/>
    <w:rsid w:val="004516E1"/>
    <w:rsid w:val="00451743"/>
    <w:rsid w:val="00451749"/>
    <w:rsid w:val="004517AB"/>
    <w:rsid w:val="004518CD"/>
    <w:rsid w:val="00451B8C"/>
    <w:rsid w:val="00451CF2"/>
    <w:rsid w:val="00452260"/>
    <w:rsid w:val="004527EC"/>
    <w:rsid w:val="00452D45"/>
    <w:rsid w:val="00452D63"/>
    <w:rsid w:val="00452EC5"/>
    <w:rsid w:val="004530CB"/>
    <w:rsid w:val="004530FA"/>
    <w:rsid w:val="00453129"/>
    <w:rsid w:val="00453255"/>
    <w:rsid w:val="0045353D"/>
    <w:rsid w:val="00453A47"/>
    <w:rsid w:val="00453BE0"/>
    <w:rsid w:val="00453D3F"/>
    <w:rsid w:val="00453E7C"/>
    <w:rsid w:val="00454808"/>
    <w:rsid w:val="00455345"/>
    <w:rsid w:val="004554AA"/>
    <w:rsid w:val="004556B3"/>
    <w:rsid w:val="00455890"/>
    <w:rsid w:val="004558D6"/>
    <w:rsid w:val="00455AA2"/>
    <w:rsid w:val="00455AD5"/>
    <w:rsid w:val="00455B6F"/>
    <w:rsid w:val="00455E77"/>
    <w:rsid w:val="00455F5B"/>
    <w:rsid w:val="004574B7"/>
    <w:rsid w:val="00457A97"/>
    <w:rsid w:val="00457F0D"/>
    <w:rsid w:val="00457FFC"/>
    <w:rsid w:val="00460253"/>
    <w:rsid w:val="00460254"/>
    <w:rsid w:val="00460603"/>
    <w:rsid w:val="004606AB"/>
    <w:rsid w:val="00460AA1"/>
    <w:rsid w:val="00460F54"/>
    <w:rsid w:val="00461077"/>
    <w:rsid w:val="00461431"/>
    <w:rsid w:val="004617F5"/>
    <w:rsid w:val="00461E92"/>
    <w:rsid w:val="004620A6"/>
    <w:rsid w:val="0046217B"/>
    <w:rsid w:val="00462390"/>
    <w:rsid w:val="004625FB"/>
    <w:rsid w:val="00462627"/>
    <w:rsid w:val="00462A84"/>
    <w:rsid w:val="00462BC2"/>
    <w:rsid w:val="00462E94"/>
    <w:rsid w:val="00463020"/>
    <w:rsid w:val="00463606"/>
    <w:rsid w:val="004636F9"/>
    <w:rsid w:val="00463926"/>
    <w:rsid w:val="00463C1F"/>
    <w:rsid w:val="00463D98"/>
    <w:rsid w:val="00463ECF"/>
    <w:rsid w:val="00463F93"/>
    <w:rsid w:val="0046404C"/>
    <w:rsid w:val="004641DA"/>
    <w:rsid w:val="004641E4"/>
    <w:rsid w:val="00464696"/>
    <w:rsid w:val="00464AD7"/>
    <w:rsid w:val="00466451"/>
    <w:rsid w:val="00466535"/>
    <w:rsid w:val="00466766"/>
    <w:rsid w:val="00466F63"/>
    <w:rsid w:val="00466FD9"/>
    <w:rsid w:val="00467047"/>
    <w:rsid w:val="0046747E"/>
    <w:rsid w:val="00467524"/>
    <w:rsid w:val="00467ABF"/>
    <w:rsid w:val="00467B47"/>
    <w:rsid w:val="00467DDF"/>
    <w:rsid w:val="00467ED9"/>
    <w:rsid w:val="004706C3"/>
    <w:rsid w:val="00470D00"/>
    <w:rsid w:val="00470D47"/>
    <w:rsid w:val="0047129D"/>
    <w:rsid w:val="00471433"/>
    <w:rsid w:val="00471DBA"/>
    <w:rsid w:val="004726FD"/>
    <w:rsid w:val="00472701"/>
    <w:rsid w:val="004728FE"/>
    <w:rsid w:val="00473096"/>
    <w:rsid w:val="0047347C"/>
    <w:rsid w:val="00473700"/>
    <w:rsid w:val="004737EA"/>
    <w:rsid w:val="00473C4C"/>
    <w:rsid w:val="004741BB"/>
    <w:rsid w:val="004745AB"/>
    <w:rsid w:val="004746FD"/>
    <w:rsid w:val="004748BA"/>
    <w:rsid w:val="00474A87"/>
    <w:rsid w:val="00474D6E"/>
    <w:rsid w:val="00474F10"/>
    <w:rsid w:val="00475448"/>
    <w:rsid w:val="0047544C"/>
    <w:rsid w:val="004755D3"/>
    <w:rsid w:val="00475669"/>
    <w:rsid w:val="004757A1"/>
    <w:rsid w:val="00476254"/>
    <w:rsid w:val="00476638"/>
    <w:rsid w:val="0047676B"/>
    <w:rsid w:val="00476CB0"/>
    <w:rsid w:val="00476D2C"/>
    <w:rsid w:val="004772AA"/>
    <w:rsid w:val="0047734B"/>
    <w:rsid w:val="004776C4"/>
    <w:rsid w:val="0047786F"/>
    <w:rsid w:val="00477906"/>
    <w:rsid w:val="00477985"/>
    <w:rsid w:val="0047FD82"/>
    <w:rsid w:val="004807CA"/>
    <w:rsid w:val="004809B5"/>
    <w:rsid w:val="00480C2D"/>
    <w:rsid w:val="00480FEF"/>
    <w:rsid w:val="00481011"/>
    <w:rsid w:val="00481245"/>
    <w:rsid w:val="00481EE9"/>
    <w:rsid w:val="00481FB9"/>
    <w:rsid w:val="00482498"/>
    <w:rsid w:val="004824CA"/>
    <w:rsid w:val="00482C6B"/>
    <w:rsid w:val="00482F51"/>
    <w:rsid w:val="00483225"/>
    <w:rsid w:val="0048342A"/>
    <w:rsid w:val="00483713"/>
    <w:rsid w:val="0048399C"/>
    <w:rsid w:val="00483DFD"/>
    <w:rsid w:val="00483F18"/>
    <w:rsid w:val="00484A49"/>
    <w:rsid w:val="00484E8F"/>
    <w:rsid w:val="00485256"/>
    <w:rsid w:val="004852C5"/>
    <w:rsid w:val="0048583B"/>
    <w:rsid w:val="0048589B"/>
    <w:rsid w:val="00485A7A"/>
    <w:rsid w:val="00485C1E"/>
    <w:rsid w:val="004860C9"/>
    <w:rsid w:val="00486162"/>
    <w:rsid w:val="00486262"/>
    <w:rsid w:val="004864C4"/>
    <w:rsid w:val="00486531"/>
    <w:rsid w:val="0048668E"/>
    <w:rsid w:val="00486922"/>
    <w:rsid w:val="00486DCE"/>
    <w:rsid w:val="004873BD"/>
    <w:rsid w:val="0048768D"/>
    <w:rsid w:val="00490BEB"/>
    <w:rsid w:val="00490C3D"/>
    <w:rsid w:val="0049145B"/>
    <w:rsid w:val="00491516"/>
    <w:rsid w:val="00491938"/>
    <w:rsid w:val="00491CD4"/>
    <w:rsid w:val="00491E70"/>
    <w:rsid w:val="00491F01"/>
    <w:rsid w:val="00492020"/>
    <w:rsid w:val="00493050"/>
    <w:rsid w:val="00493A35"/>
    <w:rsid w:val="0049478A"/>
    <w:rsid w:val="00494902"/>
    <w:rsid w:val="004950E6"/>
    <w:rsid w:val="00495243"/>
    <w:rsid w:val="00495318"/>
    <w:rsid w:val="004956D0"/>
    <w:rsid w:val="00495AA9"/>
    <w:rsid w:val="00495C13"/>
    <w:rsid w:val="00495D10"/>
    <w:rsid w:val="00495EB7"/>
    <w:rsid w:val="00496186"/>
    <w:rsid w:val="00496532"/>
    <w:rsid w:val="00496547"/>
    <w:rsid w:val="00496795"/>
    <w:rsid w:val="00496AE2"/>
    <w:rsid w:val="00496DFB"/>
    <w:rsid w:val="00496E59"/>
    <w:rsid w:val="00497060"/>
    <w:rsid w:val="0049723F"/>
    <w:rsid w:val="004972C1"/>
    <w:rsid w:val="004978E5"/>
    <w:rsid w:val="00497A92"/>
    <w:rsid w:val="00497B12"/>
    <w:rsid w:val="00497BAA"/>
    <w:rsid w:val="00497CB8"/>
    <w:rsid w:val="00497FAF"/>
    <w:rsid w:val="004A0561"/>
    <w:rsid w:val="004A05D6"/>
    <w:rsid w:val="004A0630"/>
    <w:rsid w:val="004A0D61"/>
    <w:rsid w:val="004A15F1"/>
    <w:rsid w:val="004A1E17"/>
    <w:rsid w:val="004A1E75"/>
    <w:rsid w:val="004A1EAC"/>
    <w:rsid w:val="004A2045"/>
    <w:rsid w:val="004A221C"/>
    <w:rsid w:val="004A2580"/>
    <w:rsid w:val="004A29FE"/>
    <w:rsid w:val="004A2BF4"/>
    <w:rsid w:val="004A2D96"/>
    <w:rsid w:val="004A2DCD"/>
    <w:rsid w:val="004A30FD"/>
    <w:rsid w:val="004A31D3"/>
    <w:rsid w:val="004A32B1"/>
    <w:rsid w:val="004A3622"/>
    <w:rsid w:val="004A39D4"/>
    <w:rsid w:val="004A429B"/>
    <w:rsid w:val="004A53D7"/>
    <w:rsid w:val="004A563D"/>
    <w:rsid w:val="004A5A24"/>
    <w:rsid w:val="004A5DDE"/>
    <w:rsid w:val="004A5E1E"/>
    <w:rsid w:val="004A5F7C"/>
    <w:rsid w:val="004A645C"/>
    <w:rsid w:val="004A6B69"/>
    <w:rsid w:val="004A70CE"/>
    <w:rsid w:val="004A74CC"/>
    <w:rsid w:val="004A7666"/>
    <w:rsid w:val="004A7A93"/>
    <w:rsid w:val="004A7C73"/>
    <w:rsid w:val="004A9B10"/>
    <w:rsid w:val="004B005A"/>
    <w:rsid w:val="004B0186"/>
    <w:rsid w:val="004B04F0"/>
    <w:rsid w:val="004B051C"/>
    <w:rsid w:val="004B0BC2"/>
    <w:rsid w:val="004B0E29"/>
    <w:rsid w:val="004B146B"/>
    <w:rsid w:val="004B18DF"/>
    <w:rsid w:val="004B1A5A"/>
    <w:rsid w:val="004B1C7C"/>
    <w:rsid w:val="004B1CD8"/>
    <w:rsid w:val="004B1FEB"/>
    <w:rsid w:val="004B255F"/>
    <w:rsid w:val="004B264B"/>
    <w:rsid w:val="004B2A38"/>
    <w:rsid w:val="004B349B"/>
    <w:rsid w:val="004B3511"/>
    <w:rsid w:val="004B3908"/>
    <w:rsid w:val="004B3B58"/>
    <w:rsid w:val="004B3BD7"/>
    <w:rsid w:val="004B4414"/>
    <w:rsid w:val="004B4889"/>
    <w:rsid w:val="004B4969"/>
    <w:rsid w:val="004B5184"/>
    <w:rsid w:val="004B5444"/>
    <w:rsid w:val="004B57B4"/>
    <w:rsid w:val="004B57E2"/>
    <w:rsid w:val="004B5D3A"/>
    <w:rsid w:val="004B5F16"/>
    <w:rsid w:val="004B5F3C"/>
    <w:rsid w:val="004B604C"/>
    <w:rsid w:val="004B6545"/>
    <w:rsid w:val="004B65ED"/>
    <w:rsid w:val="004B6D79"/>
    <w:rsid w:val="004B6F86"/>
    <w:rsid w:val="004B6F8E"/>
    <w:rsid w:val="004B76D0"/>
    <w:rsid w:val="004B7B10"/>
    <w:rsid w:val="004B7BC5"/>
    <w:rsid w:val="004C00B9"/>
    <w:rsid w:val="004C01CD"/>
    <w:rsid w:val="004C02E1"/>
    <w:rsid w:val="004C060A"/>
    <w:rsid w:val="004C0A3B"/>
    <w:rsid w:val="004C10A5"/>
    <w:rsid w:val="004C1746"/>
    <w:rsid w:val="004C1934"/>
    <w:rsid w:val="004C1B57"/>
    <w:rsid w:val="004C1DE7"/>
    <w:rsid w:val="004C1E23"/>
    <w:rsid w:val="004C250C"/>
    <w:rsid w:val="004C2738"/>
    <w:rsid w:val="004C2AAF"/>
    <w:rsid w:val="004C2D74"/>
    <w:rsid w:val="004C2E62"/>
    <w:rsid w:val="004C3419"/>
    <w:rsid w:val="004C3467"/>
    <w:rsid w:val="004C3726"/>
    <w:rsid w:val="004C3A62"/>
    <w:rsid w:val="004C3E27"/>
    <w:rsid w:val="004C3E90"/>
    <w:rsid w:val="004C3F98"/>
    <w:rsid w:val="004C4121"/>
    <w:rsid w:val="004C4876"/>
    <w:rsid w:val="004C4A8B"/>
    <w:rsid w:val="004C4E54"/>
    <w:rsid w:val="004C4F08"/>
    <w:rsid w:val="004C505A"/>
    <w:rsid w:val="004C54DD"/>
    <w:rsid w:val="004C575E"/>
    <w:rsid w:val="004C5CB0"/>
    <w:rsid w:val="004C6538"/>
    <w:rsid w:val="004C66E1"/>
    <w:rsid w:val="004C66E2"/>
    <w:rsid w:val="004C69DF"/>
    <w:rsid w:val="004C6DB5"/>
    <w:rsid w:val="004C6F49"/>
    <w:rsid w:val="004C73AD"/>
    <w:rsid w:val="004C7568"/>
    <w:rsid w:val="004C763E"/>
    <w:rsid w:val="004C7972"/>
    <w:rsid w:val="004C7A35"/>
    <w:rsid w:val="004C7EB1"/>
    <w:rsid w:val="004C7F87"/>
    <w:rsid w:val="004D0BB1"/>
    <w:rsid w:val="004D0DD6"/>
    <w:rsid w:val="004D0DF4"/>
    <w:rsid w:val="004D11E5"/>
    <w:rsid w:val="004D1700"/>
    <w:rsid w:val="004D26BC"/>
    <w:rsid w:val="004D275C"/>
    <w:rsid w:val="004D27A6"/>
    <w:rsid w:val="004D2D35"/>
    <w:rsid w:val="004D2FFB"/>
    <w:rsid w:val="004D31AD"/>
    <w:rsid w:val="004D3333"/>
    <w:rsid w:val="004D341F"/>
    <w:rsid w:val="004D35E8"/>
    <w:rsid w:val="004D363F"/>
    <w:rsid w:val="004D3794"/>
    <w:rsid w:val="004D3C10"/>
    <w:rsid w:val="004D3D8A"/>
    <w:rsid w:val="004D48CC"/>
    <w:rsid w:val="004D48E9"/>
    <w:rsid w:val="004D4DB9"/>
    <w:rsid w:val="004D5127"/>
    <w:rsid w:val="004D56D7"/>
    <w:rsid w:val="004D588F"/>
    <w:rsid w:val="004D5BC9"/>
    <w:rsid w:val="004D5C7F"/>
    <w:rsid w:val="004D6346"/>
    <w:rsid w:val="004D6925"/>
    <w:rsid w:val="004D69C7"/>
    <w:rsid w:val="004D6B72"/>
    <w:rsid w:val="004D6BD1"/>
    <w:rsid w:val="004D6BD6"/>
    <w:rsid w:val="004D6CEB"/>
    <w:rsid w:val="004D6D17"/>
    <w:rsid w:val="004D7109"/>
    <w:rsid w:val="004D7147"/>
    <w:rsid w:val="004D717B"/>
    <w:rsid w:val="004D777B"/>
    <w:rsid w:val="004D7821"/>
    <w:rsid w:val="004D7898"/>
    <w:rsid w:val="004E0E5E"/>
    <w:rsid w:val="004E1B18"/>
    <w:rsid w:val="004E1F3A"/>
    <w:rsid w:val="004E2020"/>
    <w:rsid w:val="004E24A4"/>
    <w:rsid w:val="004E2897"/>
    <w:rsid w:val="004E2A9C"/>
    <w:rsid w:val="004E2AA6"/>
    <w:rsid w:val="004E2E26"/>
    <w:rsid w:val="004E30A2"/>
    <w:rsid w:val="004E30F1"/>
    <w:rsid w:val="004E327E"/>
    <w:rsid w:val="004E3322"/>
    <w:rsid w:val="004E39D5"/>
    <w:rsid w:val="004E3B6F"/>
    <w:rsid w:val="004E3E6F"/>
    <w:rsid w:val="004E4332"/>
    <w:rsid w:val="004E456D"/>
    <w:rsid w:val="004E4737"/>
    <w:rsid w:val="004E477D"/>
    <w:rsid w:val="004E48A9"/>
    <w:rsid w:val="004E49A0"/>
    <w:rsid w:val="004E4A3A"/>
    <w:rsid w:val="004E4C90"/>
    <w:rsid w:val="004E551A"/>
    <w:rsid w:val="004E557B"/>
    <w:rsid w:val="004E5697"/>
    <w:rsid w:val="004E5D54"/>
    <w:rsid w:val="004E6397"/>
    <w:rsid w:val="004E6582"/>
    <w:rsid w:val="004E6838"/>
    <w:rsid w:val="004E6922"/>
    <w:rsid w:val="004E6923"/>
    <w:rsid w:val="004E6A64"/>
    <w:rsid w:val="004E6DFE"/>
    <w:rsid w:val="004E712D"/>
    <w:rsid w:val="004E7284"/>
    <w:rsid w:val="004E780D"/>
    <w:rsid w:val="004E784D"/>
    <w:rsid w:val="004E7B1D"/>
    <w:rsid w:val="004E7F47"/>
    <w:rsid w:val="004F0074"/>
    <w:rsid w:val="004F007F"/>
    <w:rsid w:val="004F01A9"/>
    <w:rsid w:val="004F07DE"/>
    <w:rsid w:val="004F09A1"/>
    <w:rsid w:val="004F1785"/>
    <w:rsid w:val="004F203C"/>
    <w:rsid w:val="004F2681"/>
    <w:rsid w:val="004F2734"/>
    <w:rsid w:val="004F27C7"/>
    <w:rsid w:val="004F2CF9"/>
    <w:rsid w:val="004F3A20"/>
    <w:rsid w:val="004F3A63"/>
    <w:rsid w:val="004F3EAA"/>
    <w:rsid w:val="004F439C"/>
    <w:rsid w:val="004F43E4"/>
    <w:rsid w:val="004F4541"/>
    <w:rsid w:val="004F4886"/>
    <w:rsid w:val="004F488B"/>
    <w:rsid w:val="004F4B6C"/>
    <w:rsid w:val="004F4C8B"/>
    <w:rsid w:val="004F594E"/>
    <w:rsid w:val="004F5CC8"/>
    <w:rsid w:val="004F5F3D"/>
    <w:rsid w:val="004F5F48"/>
    <w:rsid w:val="004F6104"/>
    <w:rsid w:val="004F7843"/>
    <w:rsid w:val="004F785E"/>
    <w:rsid w:val="004F78DB"/>
    <w:rsid w:val="004F7A00"/>
    <w:rsid w:val="004F9084"/>
    <w:rsid w:val="0050012F"/>
    <w:rsid w:val="005005D3"/>
    <w:rsid w:val="00500F12"/>
    <w:rsid w:val="00501D77"/>
    <w:rsid w:val="005020B6"/>
    <w:rsid w:val="00502194"/>
    <w:rsid w:val="005022BE"/>
    <w:rsid w:val="0050243D"/>
    <w:rsid w:val="00502966"/>
    <w:rsid w:val="00502DAD"/>
    <w:rsid w:val="00502DD7"/>
    <w:rsid w:val="00502F38"/>
    <w:rsid w:val="00503103"/>
    <w:rsid w:val="005031F3"/>
    <w:rsid w:val="00503252"/>
    <w:rsid w:val="0050398A"/>
    <w:rsid w:val="00503C5E"/>
    <w:rsid w:val="0050492D"/>
    <w:rsid w:val="00504CE6"/>
    <w:rsid w:val="00504D58"/>
    <w:rsid w:val="00504DB8"/>
    <w:rsid w:val="00505068"/>
    <w:rsid w:val="005052BB"/>
    <w:rsid w:val="0050543D"/>
    <w:rsid w:val="005054CC"/>
    <w:rsid w:val="0050567C"/>
    <w:rsid w:val="00505A6B"/>
    <w:rsid w:val="00505D2D"/>
    <w:rsid w:val="00506152"/>
    <w:rsid w:val="00506263"/>
    <w:rsid w:val="005064FA"/>
    <w:rsid w:val="0050677D"/>
    <w:rsid w:val="00506A2F"/>
    <w:rsid w:val="00506CDE"/>
    <w:rsid w:val="00506DF3"/>
    <w:rsid w:val="00506F9A"/>
    <w:rsid w:val="005070E2"/>
    <w:rsid w:val="0050711F"/>
    <w:rsid w:val="005074A6"/>
    <w:rsid w:val="00507D08"/>
    <w:rsid w:val="00507EAA"/>
    <w:rsid w:val="00507F5D"/>
    <w:rsid w:val="00507F87"/>
    <w:rsid w:val="0051030C"/>
    <w:rsid w:val="00510574"/>
    <w:rsid w:val="005105E7"/>
    <w:rsid w:val="00510647"/>
    <w:rsid w:val="0051095D"/>
    <w:rsid w:val="00510ADE"/>
    <w:rsid w:val="00510EFC"/>
    <w:rsid w:val="00510FDF"/>
    <w:rsid w:val="005120DA"/>
    <w:rsid w:val="005122D2"/>
    <w:rsid w:val="00512A02"/>
    <w:rsid w:val="00512A49"/>
    <w:rsid w:val="00512B47"/>
    <w:rsid w:val="00513210"/>
    <w:rsid w:val="0051353D"/>
    <w:rsid w:val="00513740"/>
    <w:rsid w:val="005137D9"/>
    <w:rsid w:val="0051381B"/>
    <w:rsid w:val="0051383C"/>
    <w:rsid w:val="00513843"/>
    <w:rsid w:val="005139EC"/>
    <w:rsid w:val="00514A1D"/>
    <w:rsid w:val="00514CA6"/>
    <w:rsid w:val="00514DBF"/>
    <w:rsid w:val="00515054"/>
    <w:rsid w:val="00515763"/>
    <w:rsid w:val="00515B70"/>
    <w:rsid w:val="005161B8"/>
    <w:rsid w:val="005163C4"/>
    <w:rsid w:val="0051647D"/>
    <w:rsid w:val="0051652B"/>
    <w:rsid w:val="0051672E"/>
    <w:rsid w:val="00516CAD"/>
    <w:rsid w:val="005170E3"/>
    <w:rsid w:val="005170EE"/>
    <w:rsid w:val="00517155"/>
    <w:rsid w:val="00517A2E"/>
    <w:rsid w:val="00517ED0"/>
    <w:rsid w:val="0052005B"/>
    <w:rsid w:val="0052012E"/>
    <w:rsid w:val="005206ED"/>
    <w:rsid w:val="00520813"/>
    <w:rsid w:val="005208F8"/>
    <w:rsid w:val="00520A7A"/>
    <w:rsid w:val="00521194"/>
    <w:rsid w:val="0052143F"/>
    <w:rsid w:val="005214E9"/>
    <w:rsid w:val="00521F07"/>
    <w:rsid w:val="005229C8"/>
    <w:rsid w:val="005229D4"/>
    <w:rsid w:val="00522DCE"/>
    <w:rsid w:val="0052324F"/>
    <w:rsid w:val="005234D9"/>
    <w:rsid w:val="005237D8"/>
    <w:rsid w:val="0052395F"/>
    <w:rsid w:val="00523A36"/>
    <w:rsid w:val="00523B6D"/>
    <w:rsid w:val="00523EE9"/>
    <w:rsid w:val="00523FDD"/>
    <w:rsid w:val="00524379"/>
    <w:rsid w:val="00524462"/>
    <w:rsid w:val="0052472A"/>
    <w:rsid w:val="00524A47"/>
    <w:rsid w:val="00524BDC"/>
    <w:rsid w:val="00524F65"/>
    <w:rsid w:val="005252CC"/>
    <w:rsid w:val="00525432"/>
    <w:rsid w:val="0052579E"/>
    <w:rsid w:val="005259FC"/>
    <w:rsid w:val="005263C7"/>
    <w:rsid w:val="005263C9"/>
    <w:rsid w:val="00526466"/>
    <w:rsid w:val="005264BF"/>
    <w:rsid w:val="005264EC"/>
    <w:rsid w:val="00526570"/>
    <w:rsid w:val="00526815"/>
    <w:rsid w:val="00526C0E"/>
    <w:rsid w:val="0052784B"/>
    <w:rsid w:val="00527A95"/>
    <w:rsid w:val="00527C1C"/>
    <w:rsid w:val="00527D81"/>
    <w:rsid w:val="00530125"/>
    <w:rsid w:val="0053026A"/>
    <w:rsid w:val="0053032C"/>
    <w:rsid w:val="00530405"/>
    <w:rsid w:val="00530606"/>
    <w:rsid w:val="00530BE1"/>
    <w:rsid w:val="00530D3F"/>
    <w:rsid w:val="00531529"/>
    <w:rsid w:val="00531608"/>
    <w:rsid w:val="0053170D"/>
    <w:rsid w:val="00531779"/>
    <w:rsid w:val="00531D16"/>
    <w:rsid w:val="005322B5"/>
    <w:rsid w:val="005328A3"/>
    <w:rsid w:val="00532C76"/>
    <w:rsid w:val="00532EB3"/>
    <w:rsid w:val="00533780"/>
    <w:rsid w:val="005337F9"/>
    <w:rsid w:val="00533B91"/>
    <w:rsid w:val="0053445B"/>
    <w:rsid w:val="0053455A"/>
    <w:rsid w:val="005346A1"/>
    <w:rsid w:val="0053472D"/>
    <w:rsid w:val="0053480B"/>
    <w:rsid w:val="0053493A"/>
    <w:rsid w:val="00534FC1"/>
    <w:rsid w:val="0053524F"/>
    <w:rsid w:val="00535332"/>
    <w:rsid w:val="0053540D"/>
    <w:rsid w:val="0053593B"/>
    <w:rsid w:val="00535BC1"/>
    <w:rsid w:val="00535F07"/>
    <w:rsid w:val="005360D4"/>
    <w:rsid w:val="005361DC"/>
    <w:rsid w:val="0053623D"/>
    <w:rsid w:val="0053674B"/>
    <w:rsid w:val="00536987"/>
    <w:rsid w:val="00536B23"/>
    <w:rsid w:val="00536C45"/>
    <w:rsid w:val="00537097"/>
    <w:rsid w:val="00537216"/>
    <w:rsid w:val="0053728A"/>
    <w:rsid w:val="00537998"/>
    <w:rsid w:val="00537AE8"/>
    <w:rsid w:val="00537C15"/>
    <w:rsid w:val="00537C51"/>
    <w:rsid w:val="00537CA7"/>
    <w:rsid w:val="00537FF2"/>
    <w:rsid w:val="00540006"/>
    <w:rsid w:val="005404BC"/>
    <w:rsid w:val="005407D9"/>
    <w:rsid w:val="00540DB8"/>
    <w:rsid w:val="00540EBC"/>
    <w:rsid w:val="0054106C"/>
    <w:rsid w:val="005412E0"/>
    <w:rsid w:val="005418F4"/>
    <w:rsid w:val="00541CF9"/>
    <w:rsid w:val="00541DC0"/>
    <w:rsid w:val="00542091"/>
    <w:rsid w:val="00542685"/>
    <w:rsid w:val="005426C0"/>
    <w:rsid w:val="005428CA"/>
    <w:rsid w:val="00542EB0"/>
    <w:rsid w:val="00543570"/>
    <w:rsid w:val="00544139"/>
    <w:rsid w:val="00544579"/>
    <w:rsid w:val="00544ABC"/>
    <w:rsid w:val="00544CB9"/>
    <w:rsid w:val="00545528"/>
    <w:rsid w:val="005456B3"/>
    <w:rsid w:val="00545920"/>
    <w:rsid w:val="00545C81"/>
    <w:rsid w:val="00545F85"/>
    <w:rsid w:val="00545FF4"/>
    <w:rsid w:val="005466EF"/>
    <w:rsid w:val="005467CF"/>
    <w:rsid w:val="00546B6D"/>
    <w:rsid w:val="00546DE5"/>
    <w:rsid w:val="005474FD"/>
    <w:rsid w:val="00547736"/>
    <w:rsid w:val="0054778C"/>
    <w:rsid w:val="00547AC0"/>
    <w:rsid w:val="00550C8E"/>
    <w:rsid w:val="00550CC9"/>
    <w:rsid w:val="00550DDC"/>
    <w:rsid w:val="00551102"/>
    <w:rsid w:val="0055123A"/>
    <w:rsid w:val="0055132C"/>
    <w:rsid w:val="005513F3"/>
    <w:rsid w:val="005515B0"/>
    <w:rsid w:val="0055172A"/>
    <w:rsid w:val="00551EF1"/>
    <w:rsid w:val="00551F4B"/>
    <w:rsid w:val="00552726"/>
    <w:rsid w:val="00552833"/>
    <w:rsid w:val="00552E96"/>
    <w:rsid w:val="00553977"/>
    <w:rsid w:val="00553A89"/>
    <w:rsid w:val="005540F9"/>
    <w:rsid w:val="00554382"/>
    <w:rsid w:val="005544F3"/>
    <w:rsid w:val="005547C3"/>
    <w:rsid w:val="0055515D"/>
    <w:rsid w:val="0055532E"/>
    <w:rsid w:val="0055534B"/>
    <w:rsid w:val="0055536C"/>
    <w:rsid w:val="005557FC"/>
    <w:rsid w:val="005559C6"/>
    <w:rsid w:val="00555A1F"/>
    <w:rsid w:val="00555ADB"/>
    <w:rsid w:val="005565E5"/>
    <w:rsid w:val="0055672F"/>
    <w:rsid w:val="00556A32"/>
    <w:rsid w:val="00556DD0"/>
    <w:rsid w:val="00557209"/>
    <w:rsid w:val="005574D4"/>
    <w:rsid w:val="00557A0A"/>
    <w:rsid w:val="00557A1A"/>
    <w:rsid w:val="00557B67"/>
    <w:rsid w:val="00557C50"/>
    <w:rsid w:val="005605D9"/>
    <w:rsid w:val="00560BB3"/>
    <w:rsid w:val="00560C06"/>
    <w:rsid w:val="00560E0B"/>
    <w:rsid w:val="00560E1A"/>
    <w:rsid w:val="00560FD9"/>
    <w:rsid w:val="005611A8"/>
    <w:rsid w:val="005613E1"/>
    <w:rsid w:val="0056188C"/>
    <w:rsid w:val="0056191E"/>
    <w:rsid w:val="00561EEA"/>
    <w:rsid w:val="00562045"/>
    <w:rsid w:val="00562724"/>
    <w:rsid w:val="00562B2D"/>
    <w:rsid w:val="00562B52"/>
    <w:rsid w:val="00562B76"/>
    <w:rsid w:val="00562F6C"/>
    <w:rsid w:val="005630D4"/>
    <w:rsid w:val="00563528"/>
    <w:rsid w:val="005636F4"/>
    <w:rsid w:val="00563760"/>
    <w:rsid w:val="00563E15"/>
    <w:rsid w:val="00564C33"/>
    <w:rsid w:val="00564EAD"/>
    <w:rsid w:val="00565A4E"/>
    <w:rsid w:val="00565B28"/>
    <w:rsid w:val="00566604"/>
    <w:rsid w:val="005666D8"/>
    <w:rsid w:val="00566BCA"/>
    <w:rsid w:val="00566DD8"/>
    <w:rsid w:val="00567A11"/>
    <w:rsid w:val="00567E96"/>
    <w:rsid w:val="0056971B"/>
    <w:rsid w:val="0057097D"/>
    <w:rsid w:val="005709DE"/>
    <w:rsid w:val="00570BC0"/>
    <w:rsid w:val="00570C03"/>
    <w:rsid w:val="00570FC9"/>
    <w:rsid w:val="00571845"/>
    <w:rsid w:val="0057226C"/>
    <w:rsid w:val="0057242C"/>
    <w:rsid w:val="0057254F"/>
    <w:rsid w:val="00572636"/>
    <w:rsid w:val="005728FD"/>
    <w:rsid w:val="00572A07"/>
    <w:rsid w:val="00572A2E"/>
    <w:rsid w:val="00572BCF"/>
    <w:rsid w:val="00572E9E"/>
    <w:rsid w:val="0057311A"/>
    <w:rsid w:val="005733B2"/>
    <w:rsid w:val="005735D1"/>
    <w:rsid w:val="0057372B"/>
    <w:rsid w:val="00573B0A"/>
    <w:rsid w:val="00573DD0"/>
    <w:rsid w:val="00574169"/>
    <w:rsid w:val="005743F1"/>
    <w:rsid w:val="00574A40"/>
    <w:rsid w:val="00574E52"/>
    <w:rsid w:val="0057537E"/>
    <w:rsid w:val="005753AC"/>
    <w:rsid w:val="005757E6"/>
    <w:rsid w:val="00575A4F"/>
    <w:rsid w:val="00575A9F"/>
    <w:rsid w:val="00575BD3"/>
    <w:rsid w:val="00575CEB"/>
    <w:rsid w:val="005761FA"/>
    <w:rsid w:val="005766E5"/>
    <w:rsid w:val="005767F0"/>
    <w:rsid w:val="005768AE"/>
    <w:rsid w:val="005772A8"/>
    <w:rsid w:val="005773B2"/>
    <w:rsid w:val="0057764F"/>
    <w:rsid w:val="00577658"/>
    <w:rsid w:val="005776A6"/>
    <w:rsid w:val="00577A14"/>
    <w:rsid w:val="00577EB0"/>
    <w:rsid w:val="00580115"/>
    <w:rsid w:val="0058087F"/>
    <w:rsid w:val="00580A45"/>
    <w:rsid w:val="00580C00"/>
    <w:rsid w:val="00580D7E"/>
    <w:rsid w:val="0058130C"/>
    <w:rsid w:val="00581512"/>
    <w:rsid w:val="00581743"/>
    <w:rsid w:val="00581DF7"/>
    <w:rsid w:val="00582089"/>
    <w:rsid w:val="00582430"/>
    <w:rsid w:val="00582656"/>
    <w:rsid w:val="005829E0"/>
    <w:rsid w:val="00582C75"/>
    <w:rsid w:val="00582D3C"/>
    <w:rsid w:val="00582E75"/>
    <w:rsid w:val="00583099"/>
    <w:rsid w:val="0058318F"/>
    <w:rsid w:val="00583212"/>
    <w:rsid w:val="005834F9"/>
    <w:rsid w:val="00583983"/>
    <w:rsid w:val="00583D01"/>
    <w:rsid w:val="00583D4C"/>
    <w:rsid w:val="00583E2D"/>
    <w:rsid w:val="00583E5C"/>
    <w:rsid w:val="00584996"/>
    <w:rsid w:val="00584B3A"/>
    <w:rsid w:val="00584CD4"/>
    <w:rsid w:val="00585138"/>
    <w:rsid w:val="00585A3C"/>
    <w:rsid w:val="00585F97"/>
    <w:rsid w:val="00585FF6"/>
    <w:rsid w:val="005863FC"/>
    <w:rsid w:val="00586541"/>
    <w:rsid w:val="00586932"/>
    <w:rsid w:val="00586EE1"/>
    <w:rsid w:val="00587035"/>
    <w:rsid w:val="005876A5"/>
    <w:rsid w:val="005877D1"/>
    <w:rsid w:val="005879EF"/>
    <w:rsid w:val="00587BB5"/>
    <w:rsid w:val="00587DEC"/>
    <w:rsid w:val="00590340"/>
    <w:rsid w:val="00590472"/>
    <w:rsid w:val="005904F9"/>
    <w:rsid w:val="00590D99"/>
    <w:rsid w:val="00590E98"/>
    <w:rsid w:val="005911F7"/>
    <w:rsid w:val="00591578"/>
    <w:rsid w:val="00591774"/>
    <w:rsid w:val="00591A4E"/>
    <w:rsid w:val="00591CA5"/>
    <w:rsid w:val="0059235C"/>
    <w:rsid w:val="0059257D"/>
    <w:rsid w:val="00592DEF"/>
    <w:rsid w:val="00592E54"/>
    <w:rsid w:val="00592F94"/>
    <w:rsid w:val="00592FF4"/>
    <w:rsid w:val="0059312A"/>
    <w:rsid w:val="005933CA"/>
    <w:rsid w:val="0059342C"/>
    <w:rsid w:val="0059373D"/>
    <w:rsid w:val="00593E60"/>
    <w:rsid w:val="005946F3"/>
    <w:rsid w:val="0059496E"/>
    <w:rsid w:val="00594CFB"/>
    <w:rsid w:val="0059523A"/>
    <w:rsid w:val="00595945"/>
    <w:rsid w:val="00595965"/>
    <w:rsid w:val="00595CDD"/>
    <w:rsid w:val="00596232"/>
    <w:rsid w:val="0059640C"/>
    <w:rsid w:val="00596CE1"/>
    <w:rsid w:val="005971BC"/>
    <w:rsid w:val="005974B0"/>
    <w:rsid w:val="00597943"/>
    <w:rsid w:val="00597B82"/>
    <w:rsid w:val="005A014E"/>
    <w:rsid w:val="005A05EA"/>
    <w:rsid w:val="005A1504"/>
    <w:rsid w:val="005A1A6E"/>
    <w:rsid w:val="005A1CB5"/>
    <w:rsid w:val="005A2112"/>
    <w:rsid w:val="005A2325"/>
    <w:rsid w:val="005A23E1"/>
    <w:rsid w:val="005A2F5E"/>
    <w:rsid w:val="005A2F9D"/>
    <w:rsid w:val="005A3027"/>
    <w:rsid w:val="005A307D"/>
    <w:rsid w:val="005A392B"/>
    <w:rsid w:val="005A3DF4"/>
    <w:rsid w:val="005A3EF0"/>
    <w:rsid w:val="005A3F99"/>
    <w:rsid w:val="005A43BA"/>
    <w:rsid w:val="005A4F54"/>
    <w:rsid w:val="005A5226"/>
    <w:rsid w:val="005A5B5A"/>
    <w:rsid w:val="005A5C88"/>
    <w:rsid w:val="005A5D74"/>
    <w:rsid w:val="005A6104"/>
    <w:rsid w:val="005A61B2"/>
    <w:rsid w:val="005A6211"/>
    <w:rsid w:val="005A6301"/>
    <w:rsid w:val="005A64B4"/>
    <w:rsid w:val="005A6768"/>
    <w:rsid w:val="005A67A7"/>
    <w:rsid w:val="005A6F41"/>
    <w:rsid w:val="005A7697"/>
    <w:rsid w:val="005A7D86"/>
    <w:rsid w:val="005B0711"/>
    <w:rsid w:val="005B0819"/>
    <w:rsid w:val="005B0CB9"/>
    <w:rsid w:val="005B0F5E"/>
    <w:rsid w:val="005B1032"/>
    <w:rsid w:val="005B13C8"/>
    <w:rsid w:val="005B1492"/>
    <w:rsid w:val="005B1751"/>
    <w:rsid w:val="005B1F23"/>
    <w:rsid w:val="005B2300"/>
    <w:rsid w:val="005B23D6"/>
    <w:rsid w:val="005B243C"/>
    <w:rsid w:val="005B2829"/>
    <w:rsid w:val="005B2B0F"/>
    <w:rsid w:val="005B2D45"/>
    <w:rsid w:val="005B2F3C"/>
    <w:rsid w:val="005B3291"/>
    <w:rsid w:val="005B343A"/>
    <w:rsid w:val="005B35BE"/>
    <w:rsid w:val="005B35CD"/>
    <w:rsid w:val="005B37CF"/>
    <w:rsid w:val="005B380E"/>
    <w:rsid w:val="005B3956"/>
    <w:rsid w:val="005B3C67"/>
    <w:rsid w:val="005B3F78"/>
    <w:rsid w:val="005B3FC3"/>
    <w:rsid w:val="005B3FEC"/>
    <w:rsid w:val="005B4113"/>
    <w:rsid w:val="005B44F6"/>
    <w:rsid w:val="005B451A"/>
    <w:rsid w:val="005B451C"/>
    <w:rsid w:val="005B45FD"/>
    <w:rsid w:val="005B4902"/>
    <w:rsid w:val="005B50FF"/>
    <w:rsid w:val="005B5832"/>
    <w:rsid w:val="005B58D8"/>
    <w:rsid w:val="005B594C"/>
    <w:rsid w:val="005B6140"/>
    <w:rsid w:val="005B63F2"/>
    <w:rsid w:val="005B644C"/>
    <w:rsid w:val="005B64BC"/>
    <w:rsid w:val="005B6622"/>
    <w:rsid w:val="005B6742"/>
    <w:rsid w:val="005B69EE"/>
    <w:rsid w:val="005B6CD2"/>
    <w:rsid w:val="005B6DF2"/>
    <w:rsid w:val="005B6E86"/>
    <w:rsid w:val="005B6F20"/>
    <w:rsid w:val="005B7273"/>
    <w:rsid w:val="005B72D4"/>
    <w:rsid w:val="005B7A7D"/>
    <w:rsid w:val="005B7B04"/>
    <w:rsid w:val="005B7FFA"/>
    <w:rsid w:val="005C0000"/>
    <w:rsid w:val="005C00B4"/>
    <w:rsid w:val="005C05F3"/>
    <w:rsid w:val="005C0669"/>
    <w:rsid w:val="005C0715"/>
    <w:rsid w:val="005C0828"/>
    <w:rsid w:val="005C0C97"/>
    <w:rsid w:val="005C0CB7"/>
    <w:rsid w:val="005C18B0"/>
    <w:rsid w:val="005C1BD3"/>
    <w:rsid w:val="005C1CF4"/>
    <w:rsid w:val="005C250A"/>
    <w:rsid w:val="005C28FD"/>
    <w:rsid w:val="005C2E6F"/>
    <w:rsid w:val="005C322C"/>
    <w:rsid w:val="005C3264"/>
    <w:rsid w:val="005C32F0"/>
    <w:rsid w:val="005C3940"/>
    <w:rsid w:val="005C3E19"/>
    <w:rsid w:val="005C3E42"/>
    <w:rsid w:val="005C4081"/>
    <w:rsid w:val="005C40E3"/>
    <w:rsid w:val="005C4174"/>
    <w:rsid w:val="005C4AD4"/>
    <w:rsid w:val="005C4C37"/>
    <w:rsid w:val="005C50A3"/>
    <w:rsid w:val="005C5328"/>
    <w:rsid w:val="005C58E9"/>
    <w:rsid w:val="005C6279"/>
    <w:rsid w:val="005C63F7"/>
    <w:rsid w:val="005C69DE"/>
    <w:rsid w:val="005C6B87"/>
    <w:rsid w:val="005C6D37"/>
    <w:rsid w:val="005C6E58"/>
    <w:rsid w:val="005C6F05"/>
    <w:rsid w:val="005C782C"/>
    <w:rsid w:val="005C7B5D"/>
    <w:rsid w:val="005C7CEE"/>
    <w:rsid w:val="005C7D91"/>
    <w:rsid w:val="005D0315"/>
    <w:rsid w:val="005D04FB"/>
    <w:rsid w:val="005D0506"/>
    <w:rsid w:val="005D05B9"/>
    <w:rsid w:val="005D1462"/>
    <w:rsid w:val="005D163D"/>
    <w:rsid w:val="005D1889"/>
    <w:rsid w:val="005D1925"/>
    <w:rsid w:val="005D1AF9"/>
    <w:rsid w:val="005D1E42"/>
    <w:rsid w:val="005D1E64"/>
    <w:rsid w:val="005D2A4F"/>
    <w:rsid w:val="005D3F5D"/>
    <w:rsid w:val="005D43FC"/>
    <w:rsid w:val="005D447D"/>
    <w:rsid w:val="005D46FD"/>
    <w:rsid w:val="005D4A6E"/>
    <w:rsid w:val="005D4E6E"/>
    <w:rsid w:val="005D59FD"/>
    <w:rsid w:val="005D5D86"/>
    <w:rsid w:val="005D6156"/>
    <w:rsid w:val="005D6709"/>
    <w:rsid w:val="005D67DA"/>
    <w:rsid w:val="005D693B"/>
    <w:rsid w:val="005D69B0"/>
    <w:rsid w:val="005D6EC6"/>
    <w:rsid w:val="005D6F6F"/>
    <w:rsid w:val="005D7353"/>
    <w:rsid w:val="005D737B"/>
    <w:rsid w:val="005D7902"/>
    <w:rsid w:val="005D7979"/>
    <w:rsid w:val="005D79C5"/>
    <w:rsid w:val="005E02BC"/>
    <w:rsid w:val="005E077E"/>
    <w:rsid w:val="005E09B4"/>
    <w:rsid w:val="005E0A35"/>
    <w:rsid w:val="005E1054"/>
    <w:rsid w:val="005E1212"/>
    <w:rsid w:val="005E1583"/>
    <w:rsid w:val="005E17C2"/>
    <w:rsid w:val="005E1CF0"/>
    <w:rsid w:val="005E2967"/>
    <w:rsid w:val="005E2AFA"/>
    <w:rsid w:val="005E300F"/>
    <w:rsid w:val="005E3753"/>
    <w:rsid w:val="005E3A87"/>
    <w:rsid w:val="005E3C0B"/>
    <w:rsid w:val="005E47D4"/>
    <w:rsid w:val="005E4B7B"/>
    <w:rsid w:val="005E56C5"/>
    <w:rsid w:val="005E56C8"/>
    <w:rsid w:val="005E5A30"/>
    <w:rsid w:val="005E5B47"/>
    <w:rsid w:val="005E5EDD"/>
    <w:rsid w:val="005E634F"/>
    <w:rsid w:val="005E690C"/>
    <w:rsid w:val="005E6A5F"/>
    <w:rsid w:val="005E6B2D"/>
    <w:rsid w:val="005E6B77"/>
    <w:rsid w:val="005E6BF9"/>
    <w:rsid w:val="005E6FAC"/>
    <w:rsid w:val="005E71AB"/>
    <w:rsid w:val="005E7DC6"/>
    <w:rsid w:val="005E7EAB"/>
    <w:rsid w:val="005F017F"/>
    <w:rsid w:val="005F035F"/>
    <w:rsid w:val="005F0A20"/>
    <w:rsid w:val="005F0A5B"/>
    <w:rsid w:val="005F0A66"/>
    <w:rsid w:val="005F0E6B"/>
    <w:rsid w:val="005F107E"/>
    <w:rsid w:val="005F12B8"/>
    <w:rsid w:val="005F1889"/>
    <w:rsid w:val="005F1954"/>
    <w:rsid w:val="005F1C77"/>
    <w:rsid w:val="005F2171"/>
    <w:rsid w:val="005F2213"/>
    <w:rsid w:val="005F2BAC"/>
    <w:rsid w:val="005F2E2C"/>
    <w:rsid w:val="005F3282"/>
    <w:rsid w:val="005F3C33"/>
    <w:rsid w:val="005F43C5"/>
    <w:rsid w:val="005F46BD"/>
    <w:rsid w:val="005F485E"/>
    <w:rsid w:val="005F4919"/>
    <w:rsid w:val="005F4A61"/>
    <w:rsid w:val="005F4FDB"/>
    <w:rsid w:val="005F5027"/>
    <w:rsid w:val="005F577A"/>
    <w:rsid w:val="005F59E3"/>
    <w:rsid w:val="005F5B27"/>
    <w:rsid w:val="005F5C55"/>
    <w:rsid w:val="005F5E7D"/>
    <w:rsid w:val="005F6572"/>
    <w:rsid w:val="005F6E60"/>
    <w:rsid w:val="005F756F"/>
    <w:rsid w:val="005F82C5"/>
    <w:rsid w:val="006000CA"/>
    <w:rsid w:val="006004F9"/>
    <w:rsid w:val="00600517"/>
    <w:rsid w:val="0060076F"/>
    <w:rsid w:val="00600B90"/>
    <w:rsid w:val="00600CD5"/>
    <w:rsid w:val="00600DAD"/>
    <w:rsid w:val="006010D8"/>
    <w:rsid w:val="00601B94"/>
    <w:rsid w:val="00601F4D"/>
    <w:rsid w:val="00602981"/>
    <w:rsid w:val="00602E6B"/>
    <w:rsid w:val="00603523"/>
    <w:rsid w:val="00603600"/>
    <w:rsid w:val="006037A8"/>
    <w:rsid w:val="006037CD"/>
    <w:rsid w:val="006038B4"/>
    <w:rsid w:val="00603C70"/>
    <w:rsid w:val="00603E35"/>
    <w:rsid w:val="00603E67"/>
    <w:rsid w:val="00603F72"/>
    <w:rsid w:val="006048C2"/>
    <w:rsid w:val="00604CC9"/>
    <w:rsid w:val="00604E57"/>
    <w:rsid w:val="00605093"/>
    <w:rsid w:val="006053BA"/>
    <w:rsid w:val="00605922"/>
    <w:rsid w:val="00605927"/>
    <w:rsid w:val="00605997"/>
    <w:rsid w:val="00605B28"/>
    <w:rsid w:val="00605D7B"/>
    <w:rsid w:val="006064F1"/>
    <w:rsid w:val="00606B35"/>
    <w:rsid w:val="006071AD"/>
    <w:rsid w:val="006073A1"/>
    <w:rsid w:val="006073AB"/>
    <w:rsid w:val="00607E3E"/>
    <w:rsid w:val="00610257"/>
    <w:rsid w:val="006104E6"/>
    <w:rsid w:val="006107AD"/>
    <w:rsid w:val="00610880"/>
    <w:rsid w:val="00610BAC"/>
    <w:rsid w:val="00611007"/>
    <w:rsid w:val="0061125A"/>
    <w:rsid w:val="006112A3"/>
    <w:rsid w:val="00611D61"/>
    <w:rsid w:val="006129D0"/>
    <w:rsid w:val="00612A35"/>
    <w:rsid w:val="00612EEB"/>
    <w:rsid w:val="0061336E"/>
    <w:rsid w:val="0061396B"/>
    <w:rsid w:val="00613F81"/>
    <w:rsid w:val="0061429B"/>
    <w:rsid w:val="0061437D"/>
    <w:rsid w:val="00614394"/>
    <w:rsid w:val="00614BB5"/>
    <w:rsid w:val="00615778"/>
    <w:rsid w:val="00615C4D"/>
    <w:rsid w:val="006166B8"/>
    <w:rsid w:val="00616733"/>
    <w:rsid w:val="00616B95"/>
    <w:rsid w:val="00616BE1"/>
    <w:rsid w:val="00616BF0"/>
    <w:rsid w:val="00616D8C"/>
    <w:rsid w:val="00616F9F"/>
    <w:rsid w:val="00617156"/>
    <w:rsid w:val="00617286"/>
    <w:rsid w:val="006177E0"/>
    <w:rsid w:val="00617B0C"/>
    <w:rsid w:val="00617E9A"/>
    <w:rsid w:val="00617F9B"/>
    <w:rsid w:val="006202EA"/>
    <w:rsid w:val="00620700"/>
    <w:rsid w:val="00620AA2"/>
    <w:rsid w:val="006211E1"/>
    <w:rsid w:val="00621237"/>
    <w:rsid w:val="006214A0"/>
    <w:rsid w:val="00621976"/>
    <w:rsid w:val="00621981"/>
    <w:rsid w:val="00621C08"/>
    <w:rsid w:val="00621C0A"/>
    <w:rsid w:val="00621F93"/>
    <w:rsid w:val="00622316"/>
    <w:rsid w:val="006224FA"/>
    <w:rsid w:val="00622CD2"/>
    <w:rsid w:val="00623587"/>
    <w:rsid w:val="00623628"/>
    <w:rsid w:val="00623E40"/>
    <w:rsid w:val="00623F6E"/>
    <w:rsid w:val="0062462F"/>
    <w:rsid w:val="006249CE"/>
    <w:rsid w:val="00624CA5"/>
    <w:rsid w:val="0062521F"/>
    <w:rsid w:val="0062532C"/>
    <w:rsid w:val="0062566E"/>
    <w:rsid w:val="00625878"/>
    <w:rsid w:val="00626672"/>
    <w:rsid w:val="006266DB"/>
    <w:rsid w:val="00626703"/>
    <w:rsid w:val="00626F1F"/>
    <w:rsid w:val="006272B6"/>
    <w:rsid w:val="0062755F"/>
    <w:rsid w:val="006279C0"/>
    <w:rsid w:val="00627DEE"/>
    <w:rsid w:val="00630084"/>
    <w:rsid w:val="006301B4"/>
    <w:rsid w:val="006301E7"/>
    <w:rsid w:val="006305FD"/>
    <w:rsid w:val="006308E9"/>
    <w:rsid w:val="00630B15"/>
    <w:rsid w:val="0063100E"/>
    <w:rsid w:val="0063144B"/>
    <w:rsid w:val="00631DD0"/>
    <w:rsid w:val="00631F07"/>
    <w:rsid w:val="006321EE"/>
    <w:rsid w:val="006322A0"/>
    <w:rsid w:val="0063242B"/>
    <w:rsid w:val="006324F1"/>
    <w:rsid w:val="006328EF"/>
    <w:rsid w:val="00632D45"/>
    <w:rsid w:val="00633516"/>
    <w:rsid w:val="006337CC"/>
    <w:rsid w:val="0063396C"/>
    <w:rsid w:val="0063401F"/>
    <w:rsid w:val="00634110"/>
    <w:rsid w:val="0063429A"/>
    <w:rsid w:val="006344C4"/>
    <w:rsid w:val="006347D3"/>
    <w:rsid w:val="006347E4"/>
    <w:rsid w:val="00634B19"/>
    <w:rsid w:val="0063535D"/>
    <w:rsid w:val="00635C3C"/>
    <w:rsid w:val="00635F1C"/>
    <w:rsid w:val="00635F94"/>
    <w:rsid w:val="006360BD"/>
    <w:rsid w:val="006362BA"/>
    <w:rsid w:val="00636B3D"/>
    <w:rsid w:val="00636DEB"/>
    <w:rsid w:val="00636EDE"/>
    <w:rsid w:val="0063725D"/>
    <w:rsid w:val="006376D9"/>
    <w:rsid w:val="00637802"/>
    <w:rsid w:val="00637958"/>
    <w:rsid w:val="006379CA"/>
    <w:rsid w:val="00637ED8"/>
    <w:rsid w:val="0063E790"/>
    <w:rsid w:val="0064002C"/>
    <w:rsid w:val="006403CA"/>
    <w:rsid w:val="0064056B"/>
    <w:rsid w:val="00640E4C"/>
    <w:rsid w:val="00640E86"/>
    <w:rsid w:val="006416BB"/>
    <w:rsid w:val="00641B0B"/>
    <w:rsid w:val="00642256"/>
    <w:rsid w:val="006422CE"/>
    <w:rsid w:val="0064231B"/>
    <w:rsid w:val="006424DB"/>
    <w:rsid w:val="00642BC4"/>
    <w:rsid w:val="00642D3F"/>
    <w:rsid w:val="00643132"/>
    <w:rsid w:val="006432ED"/>
    <w:rsid w:val="00643369"/>
    <w:rsid w:val="006437CC"/>
    <w:rsid w:val="00643B07"/>
    <w:rsid w:val="00643CE2"/>
    <w:rsid w:val="006447C7"/>
    <w:rsid w:val="00644F01"/>
    <w:rsid w:val="0064513D"/>
    <w:rsid w:val="00645653"/>
    <w:rsid w:val="00645CF3"/>
    <w:rsid w:val="00645D74"/>
    <w:rsid w:val="006460A5"/>
    <w:rsid w:val="00646CF5"/>
    <w:rsid w:val="00646FC3"/>
    <w:rsid w:val="00647024"/>
    <w:rsid w:val="006470C3"/>
    <w:rsid w:val="006474C5"/>
    <w:rsid w:val="0064752E"/>
    <w:rsid w:val="006502EE"/>
    <w:rsid w:val="006503B5"/>
    <w:rsid w:val="006507DA"/>
    <w:rsid w:val="00650965"/>
    <w:rsid w:val="00650D3A"/>
    <w:rsid w:val="0065104B"/>
    <w:rsid w:val="006519DB"/>
    <w:rsid w:val="0065253A"/>
    <w:rsid w:val="00652CB0"/>
    <w:rsid w:val="00652F66"/>
    <w:rsid w:val="0065312A"/>
    <w:rsid w:val="006532B6"/>
    <w:rsid w:val="006537A7"/>
    <w:rsid w:val="00653807"/>
    <w:rsid w:val="0065396F"/>
    <w:rsid w:val="00653C47"/>
    <w:rsid w:val="00653D27"/>
    <w:rsid w:val="00653EBA"/>
    <w:rsid w:val="0065401E"/>
    <w:rsid w:val="00654360"/>
    <w:rsid w:val="00654B6F"/>
    <w:rsid w:val="006550CC"/>
    <w:rsid w:val="006555C2"/>
    <w:rsid w:val="00655857"/>
    <w:rsid w:val="00655CF1"/>
    <w:rsid w:val="00655D69"/>
    <w:rsid w:val="00655F40"/>
    <w:rsid w:val="006565B2"/>
    <w:rsid w:val="00657165"/>
    <w:rsid w:val="00660186"/>
    <w:rsid w:val="00660305"/>
    <w:rsid w:val="0066031A"/>
    <w:rsid w:val="00660334"/>
    <w:rsid w:val="0066049E"/>
    <w:rsid w:val="006605F5"/>
    <w:rsid w:val="0066084B"/>
    <w:rsid w:val="00660BE4"/>
    <w:rsid w:val="00661252"/>
    <w:rsid w:val="00661380"/>
    <w:rsid w:val="00661831"/>
    <w:rsid w:val="00661D1C"/>
    <w:rsid w:val="00661D73"/>
    <w:rsid w:val="006623D4"/>
    <w:rsid w:val="00662486"/>
    <w:rsid w:val="006626EE"/>
    <w:rsid w:val="00662F1E"/>
    <w:rsid w:val="006633F3"/>
    <w:rsid w:val="0066344C"/>
    <w:rsid w:val="00663A72"/>
    <w:rsid w:val="00663FC7"/>
    <w:rsid w:val="006642B4"/>
    <w:rsid w:val="006649FB"/>
    <w:rsid w:val="00664AC6"/>
    <w:rsid w:val="00664DD0"/>
    <w:rsid w:val="00665E1A"/>
    <w:rsid w:val="00665EBE"/>
    <w:rsid w:val="00666138"/>
    <w:rsid w:val="00666687"/>
    <w:rsid w:val="00666838"/>
    <w:rsid w:val="0066693E"/>
    <w:rsid w:val="00666980"/>
    <w:rsid w:val="00666A88"/>
    <w:rsid w:val="00666C7A"/>
    <w:rsid w:val="00667629"/>
    <w:rsid w:val="006705C4"/>
    <w:rsid w:val="006706E1"/>
    <w:rsid w:val="0067095A"/>
    <w:rsid w:val="00670A1B"/>
    <w:rsid w:val="00670BA9"/>
    <w:rsid w:val="00670D23"/>
    <w:rsid w:val="00671715"/>
    <w:rsid w:val="00671AE4"/>
    <w:rsid w:val="00672055"/>
    <w:rsid w:val="006721A8"/>
    <w:rsid w:val="006721F1"/>
    <w:rsid w:val="00672244"/>
    <w:rsid w:val="0067251F"/>
    <w:rsid w:val="006729FD"/>
    <w:rsid w:val="00672ACD"/>
    <w:rsid w:val="00672DBB"/>
    <w:rsid w:val="00672DC2"/>
    <w:rsid w:val="00672DE1"/>
    <w:rsid w:val="00673790"/>
    <w:rsid w:val="00673BED"/>
    <w:rsid w:val="00673D36"/>
    <w:rsid w:val="00673E56"/>
    <w:rsid w:val="0067422B"/>
    <w:rsid w:val="0067444A"/>
    <w:rsid w:val="00674922"/>
    <w:rsid w:val="00674BB1"/>
    <w:rsid w:val="00674D96"/>
    <w:rsid w:val="00674E69"/>
    <w:rsid w:val="00675988"/>
    <w:rsid w:val="00675F5E"/>
    <w:rsid w:val="00675F88"/>
    <w:rsid w:val="00675FCE"/>
    <w:rsid w:val="00676059"/>
    <w:rsid w:val="006760D1"/>
    <w:rsid w:val="00676169"/>
    <w:rsid w:val="0067628C"/>
    <w:rsid w:val="006767AA"/>
    <w:rsid w:val="006768CD"/>
    <w:rsid w:val="006768CE"/>
    <w:rsid w:val="00677112"/>
    <w:rsid w:val="006772F6"/>
    <w:rsid w:val="00677D27"/>
    <w:rsid w:val="00677D95"/>
    <w:rsid w:val="00677ED4"/>
    <w:rsid w:val="00680681"/>
    <w:rsid w:val="006808AD"/>
    <w:rsid w:val="00680B76"/>
    <w:rsid w:val="00680D1A"/>
    <w:rsid w:val="006814BF"/>
    <w:rsid w:val="0068156D"/>
    <w:rsid w:val="0068169E"/>
    <w:rsid w:val="00681978"/>
    <w:rsid w:val="00681B19"/>
    <w:rsid w:val="00681E35"/>
    <w:rsid w:val="0068212D"/>
    <w:rsid w:val="006827D9"/>
    <w:rsid w:val="006827E3"/>
    <w:rsid w:val="00682A5D"/>
    <w:rsid w:val="00682C3F"/>
    <w:rsid w:val="00682EAB"/>
    <w:rsid w:val="00682FCD"/>
    <w:rsid w:val="0068305F"/>
    <w:rsid w:val="00683280"/>
    <w:rsid w:val="0068351F"/>
    <w:rsid w:val="00683684"/>
    <w:rsid w:val="006838E3"/>
    <w:rsid w:val="006838FF"/>
    <w:rsid w:val="0068396F"/>
    <w:rsid w:val="00683F0D"/>
    <w:rsid w:val="006845AF"/>
    <w:rsid w:val="00684668"/>
    <w:rsid w:val="0068487B"/>
    <w:rsid w:val="00684AF8"/>
    <w:rsid w:val="00684D8E"/>
    <w:rsid w:val="0068516C"/>
    <w:rsid w:val="0068516F"/>
    <w:rsid w:val="006853BD"/>
    <w:rsid w:val="00685451"/>
    <w:rsid w:val="006854EF"/>
    <w:rsid w:val="0068552C"/>
    <w:rsid w:val="006857C5"/>
    <w:rsid w:val="006860D2"/>
    <w:rsid w:val="0068617A"/>
    <w:rsid w:val="006861B7"/>
    <w:rsid w:val="006863FA"/>
    <w:rsid w:val="006863FB"/>
    <w:rsid w:val="006869C8"/>
    <w:rsid w:val="00686A76"/>
    <w:rsid w:val="00686BB1"/>
    <w:rsid w:val="00687162"/>
    <w:rsid w:val="00687224"/>
    <w:rsid w:val="00687ABB"/>
    <w:rsid w:val="00687D7B"/>
    <w:rsid w:val="0068E711"/>
    <w:rsid w:val="00690091"/>
    <w:rsid w:val="00690337"/>
    <w:rsid w:val="006904F3"/>
    <w:rsid w:val="0069053F"/>
    <w:rsid w:val="00691161"/>
    <w:rsid w:val="0069118B"/>
    <w:rsid w:val="006912F3"/>
    <w:rsid w:val="00691650"/>
    <w:rsid w:val="00691857"/>
    <w:rsid w:val="006919B1"/>
    <w:rsid w:val="00691BD4"/>
    <w:rsid w:val="00691F43"/>
    <w:rsid w:val="006920C1"/>
    <w:rsid w:val="006923A4"/>
    <w:rsid w:val="006928B0"/>
    <w:rsid w:val="00692BBB"/>
    <w:rsid w:val="00692DD4"/>
    <w:rsid w:val="00692F50"/>
    <w:rsid w:val="00693DAC"/>
    <w:rsid w:val="006941D7"/>
    <w:rsid w:val="006942AD"/>
    <w:rsid w:val="006943BF"/>
    <w:rsid w:val="0069455D"/>
    <w:rsid w:val="0069466D"/>
    <w:rsid w:val="00694708"/>
    <w:rsid w:val="0069477D"/>
    <w:rsid w:val="00694980"/>
    <w:rsid w:val="00694B70"/>
    <w:rsid w:val="00694C60"/>
    <w:rsid w:val="0069529C"/>
    <w:rsid w:val="006954C3"/>
    <w:rsid w:val="0069568E"/>
    <w:rsid w:val="0069673A"/>
    <w:rsid w:val="006967B9"/>
    <w:rsid w:val="00696AB7"/>
    <w:rsid w:val="00696B84"/>
    <w:rsid w:val="00696BC3"/>
    <w:rsid w:val="00696CA1"/>
    <w:rsid w:val="00697632"/>
    <w:rsid w:val="0069785F"/>
    <w:rsid w:val="006A0104"/>
    <w:rsid w:val="006A021D"/>
    <w:rsid w:val="006A03EE"/>
    <w:rsid w:val="006A0A75"/>
    <w:rsid w:val="006A0A98"/>
    <w:rsid w:val="006A0C09"/>
    <w:rsid w:val="006A162D"/>
    <w:rsid w:val="006A24A6"/>
    <w:rsid w:val="006A3901"/>
    <w:rsid w:val="006A3CB8"/>
    <w:rsid w:val="006A3DA6"/>
    <w:rsid w:val="006A4042"/>
    <w:rsid w:val="006A42D5"/>
    <w:rsid w:val="006A43A3"/>
    <w:rsid w:val="006A45C0"/>
    <w:rsid w:val="006A45CF"/>
    <w:rsid w:val="006A4A20"/>
    <w:rsid w:val="006A4D24"/>
    <w:rsid w:val="006A4DFA"/>
    <w:rsid w:val="006A5497"/>
    <w:rsid w:val="006A5732"/>
    <w:rsid w:val="006A577D"/>
    <w:rsid w:val="006A5ADA"/>
    <w:rsid w:val="006A5C0D"/>
    <w:rsid w:val="006A60BB"/>
    <w:rsid w:val="006A60D6"/>
    <w:rsid w:val="006A62EE"/>
    <w:rsid w:val="006A63EE"/>
    <w:rsid w:val="006A7AF4"/>
    <w:rsid w:val="006A7B07"/>
    <w:rsid w:val="006A7B1E"/>
    <w:rsid w:val="006B010C"/>
    <w:rsid w:val="006B020F"/>
    <w:rsid w:val="006B0293"/>
    <w:rsid w:val="006B04AC"/>
    <w:rsid w:val="006B085B"/>
    <w:rsid w:val="006B097C"/>
    <w:rsid w:val="006B10DA"/>
    <w:rsid w:val="006B1151"/>
    <w:rsid w:val="006B1602"/>
    <w:rsid w:val="006B178E"/>
    <w:rsid w:val="006B1BAF"/>
    <w:rsid w:val="006B1F9C"/>
    <w:rsid w:val="006B2088"/>
    <w:rsid w:val="006B23B9"/>
    <w:rsid w:val="006B25BD"/>
    <w:rsid w:val="006B2B22"/>
    <w:rsid w:val="006B3155"/>
    <w:rsid w:val="006B34AA"/>
    <w:rsid w:val="006B37E7"/>
    <w:rsid w:val="006B3A28"/>
    <w:rsid w:val="006B3A62"/>
    <w:rsid w:val="006B3E7E"/>
    <w:rsid w:val="006B401F"/>
    <w:rsid w:val="006B4051"/>
    <w:rsid w:val="006B4106"/>
    <w:rsid w:val="006B4218"/>
    <w:rsid w:val="006B421E"/>
    <w:rsid w:val="006B487B"/>
    <w:rsid w:val="006B49A6"/>
    <w:rsid w:val="006B4E3B"/>
    <w:rsid w:val="006B5CE2"/>
    <w:rsid w:val="006B5D5A"/>
    <w:rsid w:val="006B5F0A"/>
    <w:rsid w:val="006B629A"/>
    <w:rsid w:val="006B6493"/>
    <w:rsid w:val="006B683A"/>
    <w:rsid w:val="006B6E2F"/>
    <w:rsid w:val="006B6EA6"/>
    <w:rsid w:val="006B73A3"/>
    <w:rsid w:val="006B7DF2"/>
    <w:rsid w:val="006C00E0"/>
    <w:rsid w:val="006C0674"/>
    <w:rsid w:val="006C0F7B"/>
    <w:rsid w:val="006C108C"/>
    <w:rsid w:val="006C125F"/>
    <w:rsid w:val="006C1279"/>
    <w:rsid w:val="006C1508"/>
    <w:rsid w:val="006C1703"/>
    <w:rsid w:val="006C2328"/>
    <w:rsid w:val="006C24F2"/>
    <w:rsid w:val="006C2657"/>
    <w:rsid w:val="006C2681"/>
    <w:rsid w:val="006C30BB"/>
    <w:rsid w:val="006C31C4"/>
    <w:rsid w:val="006C31C5"/>
    <w:rsid w:val="006C349B"/>
    <w:rsid w:val="006C35DB"/>
    <w:rsid w:val="006C37BE"/>
    <w:rsid w:val="006C39E2"/>
    <w:rsid w:val="006C3B8F"/>
    <w:rsid w:val="006C3C60"/>
    <w:rsid w:val="006C4920"/>
    <w:rsid w:val="006C4986"/>
    <w:rsid w:val="006C49F6"/>
    <w:rsid w:val="006C4A28"/>
    <w:rsid w:val="006C4F52"/>
    <w:rsid w:val="006C51DD"/>
    <w:rsid w:val="006C5585"/>
    <w:rsid w:val="006C563A"/>
    <w:rsid w:val="006C56B5"/>
    <w:rsid w:val="006C5982"/>
    <w:rsid w:val="006C5A8E"/>
    <w:rsid w:val="006C5B4F"/>
    <w:rsid w:val="006C5E00"/>
    <w:rsid w:val="006C60CC"/>
    <w:rsid w:val="006C610F"/>
    <w:rsid w:val="006C6595"/>
    <w:rsid w:val="006C65C6"/>
    <w:rsid w:val="006C675C"/>
    <w:rsid w:val="006C6FA4"/>
    <w:rsid w:val="006C71E7"/>
    <w:rsid w:val="006C7B2A"/>
    <w:rsid w:val="006C7B57"/>
    <w:rsid w:val="006C7D01"/>
    <w:rsid w:val="006C7E45"/>
    <w:rsid w:val="006D01C1"/>
    <w:rsid w:val="006D0429"/>
    <w:rsid w:val="006D0990"/>
    <w:rsid w:val="006D09B6"/>
    <w:rsid w:val="006D0AAB"/>
    <w:rsid w:val="006D0AF6"/>
    <w:rsid w:val="006D0D21"/>
    <w:rsid w:val="006D10EC"/>
    <w:rsid w:val="006D128F"/>
    <w:rsid w:val="006D14ED"/>
    <w:rsid w:val="006D1919"/>
    <w:rsid w:val="006D1A84"/>
    <w:rsid w:val="006D1C78"/>
    <w:rsid w:val="006D1EEE"/>
    <w:rsid w:val="006D2159"/>
    <w:rsid w:val="006D2167"/>
    <w:rsid w:val="006D22F3"/>
    <w:rsid w:val="006D2411"/>
    <w:rsid w:val="006D2459"/>
    <w:rsid w:val="006D2B41"/>
    <w:rsid w:val="006D2C54"/>
    <w:rsid w:val="006D2E65"/>
    <w:rsid w:val="006D33BF"/>
    <w:rsid w:val="006D34F8"/>
    <w:rsid w:val="006D3616"/>
    <w:rsid w:val="006D3D31"/>
    <w:rsid w:val="006D3E33"/>
    <w:rsid w:val="006D3EDB"/>
    <w:rsid w:val="006D438A"/>
    <w:rsid w:val="006D470B"/>
    <w:rsid w:val="006D4AB0"/>
    <w:rsid w:val="006D501F"/>
    <w:rsid w:val="006D5030"/>
    <w:rsid w:val="006D5149"/>
    <w:rsid w:val="006D51C6"/>
    <w:rsid w:val="006D5262"/>
    <w:rsid w:val="006D5347"/>
    <w:rsid w:val="006D5413"/>
    <w:rsid w:val="006D5739"/>
    <w:rsid w:val="006D5788"/>
    <w:rsid w:val="006D5857"/>
    <w:rsid w:val="006D5BF9"/>
    <w:rsid w:val="006D5CE5"/>
    <w:rsid w:val="006D5F05"/>
    <w:rsid w:val="006D61F5"/>
    <w:rsid w:val="006D6205"/>
    <w:rsid w:val="006D6257"/>
    <w:rsid w:val="006D63C9"/>
    <w:rsid w:val="006D63D1"/>
    <w:rsid w:val="006D66B6"/>
    <w:rsid w:val="006D6859"/>
    <w:rsid w:val="006D7A54"/>
    <w:rsid w:val="006E0088"/>
    <w:rsid w:val="006E056D"/>
    <w:rsid w:val="006E0670"/>
    <w:rsid w:val="006E0F32"/>
    <w:rsid w:val="006E0F96"/>
    <w:rsid w:val="006E103C"/>
    <w:rsid w:val="006E1490"/>
    <w:rsid w:val="006E14A6"/>
    <w:rsid w:val="006E1812"/>
    <w:rsid w:val="006E1C37"/>
    <w:rsid w:val="006E1C4A"/>
    <w:rsid w:val="006E1D0B"/>
    <w:rsid w:val="006E2044"/>
    <w:rsid w:val="006E2158"/>
    <w:rsid w:val="006E231B"/>
    <w:rsid w:val="006E2A12"/>
    <w:rsid w:val="006E2A77"/>
    <w:rsid w:val="006E2C75"/>
    <w:rsid w:val="006E2D6A"/>
    <w:rsid w:val="006E3407"/>
    <w:rsid w:val="006E3502"/>
    <w:rsid w:val="006E3AA7"/>
    <w:rsid w:val="006E3DFD"/>
    <w:rsid w:val="006E3E1C"/>
    <w:rsid w:val="006E40B3"/>
    <w:rsid w:val="006E4227"/>
    <w:rsid w:val="006E46E6"/>
    <w:rsid w:val="006E47E7"/>
    <w:rsid w:val="006E5CD5"/>
    <w:rsid w:val="006E6628"/>
    <w:rsid w:val="006E696E"/>
    <w:rsid w:val="006E6A87"/>
    <w:rsid w:val="006E6B93"/>
    <w:rsid w:val="006E6E4D"/>
    <w:rsid w:val="006E715D"/>
    <w:rsid w:val="006E77CD"/>
    <w:rsid w:val="006E7A8A"/>
    <w:rsid w:val="006E7B76"/>
    <w:rsid w:val="006E7B8D"/>
    <w:rsid w:val="006E7FDC"/>
    <w:rsid w:val="006EA1D1"/>
    <w:rsid w:val="006F0484"/>
    <w:rsid w:val="006F056E"/>
    <w:rsid w:val="006F0F5E"/>
    <w:rsid w:val="006F0F7E"/>
    <w:rsid w:val="006F1060"/>
    <w:rsid w:val="006F11AE"/>
    <w:rsid w:val="006F12FE"/>
    <w:rsid w:val="006F13C4"/>
    <w:rsid w:val="006F14F2"/>
    <w:rsid w:val="006F1733"/>
    <w:rsid w:val="006F211D"/>
    <w:rsid w:val="006F2140"/>
    <w:rsid w:val="006F2176"/>
    <w:rsid w:val="006F2443"/>
    <w:rsid w:val="006F246C"/>
    <w:rsid w:val="006F280B"/>
    <w:rsid w:val="006F2C55"/>
    <w:rsid w:val="006F322B"/>
    <w:rsid w:val="006F328E"/>
    <w:rsid w:val="006F3457"/>
    <w:rsid w:val="006F3A01"/>
    <w:rsid w:val="006F3E12"/>
    <w:rsid w:val="006F4380"/>
    <w:rsid w:val="006F4715"/>
    <w:rsid w:val="006F4B03"/>
    <w:rsid w:val="006F4B04"/>
    <w:rsid w:val="006F4EEB"/>
    <w:rsid w:val="006F53BB"/>
    <w:rsid w:val="006F66B5"/>
    <w:rsid w:val="006F66B9"/>
    <w:rsid w:val="006F6D9C"/>
    <w:rsid w:val="006F6F32"/>
    <w:rsid w:val="006F70C8"/>
    <w:rsid w:val="006F73B4"/>
    <w:rsid w:val="006F7405"/>
    <w:rsid w:val="006F7664"/>
    <w:rsid w:val="006F78C8"/>
    <w:rsid w:val="006F7F1B"/>
    <w:rsid w:val="006F7F37"/>
    <w:rsid w:val="006F7F71"/>
    <w:rsid w:val="006F9BEA"/>
    <w:rsid w:val="00700356"/>
    <w:rsid w:val="007004D3"/>
    <w:rsid w:val="007005F4"/>
    <w:rsid w:val="007006EB"/>
    <w:rsid w:val="00700784"/>
    <w:rsid w:val="00701716"/>
    <w:rsid w:val="00701943"/>
    <w:rsid w:val="00701B6B"/>
    <w:rsid w:val="0070216D"/>
    <w:rsid w:val="00702526"/>
    <w:rsid w:val="00702A12"/>
    <w:rsid w:val="00702C14"/>
    <w:rsid w:val="00702D9E"/>
    <w:rsid w:val="0070309D"/>
    <w:rsid w:val="0070370F"/>
    <w:rsid w:val="00703B51"/>
    <w:rsid w:val="00703D28"/>
    <w:rsid w:val="007040FE"/>
    <w:rsid w:val="00704665"/>
    <w:rsid w:val="0070493D"/>
    <w:rsid w:val="00704B2D"/>
    <w:rsid w:val="0070500B"/>
    <w:rsid w:val="00705152"/>
    <w:rsid w:val="00705699"/>
    <w:rsid w:val="0070572C"/>
    <w:rsid w:val="00705C2C"/>
    <w:rsid w:val="00705C57"/>
    <w:rsid w:val="00705D0C"/>
    <w:rsid w:val="00705D4D"/>
    <w:rsid w:val="0070611B"/>
    <w:rsid w:val="007068BE"/>
    <w:rsid w:val="00706C83"/>
    <w:rsid w:val="00706FDC"/>
    <w:rsid w:val="00707724"/>
    <w:rsid w:val="00707B0F"/>
    <w:rsid w:val="00707FF5"/>
    <w:rsid w:val="007108AD"/>
    <w:rsid w:val="00710ADF"/>
    <w:rsid w:val="00711426"/>
    <w:rsid w:val="007115AE"/>
    <w:rsid w:val="007116E1"/>
    <w:rsid w:val="007117AA"/>
    <w:rsid w:val="007118F7"/>
    <w:rsid w:val="00711989"/>
    <w:rsid w:val="00711A94"/>
    <w:rsid w:val="00711B02"/>
    <w:rsid w:val="00711D08"/>
    <w:rsid w:val="00711E15"/>
    <w:rsid w:val="00712191"/>
    <w:rsid w:val="00712603"/>
    <w:rsid w:val="007126B7"/>
    <w:rsid w:val="007128C3"/>
    <w:rsid w:val="00712D49"/>
    <w:rsid w:val="00712E8B"/>
    <w:rsid w:val="0071316A"/>
    <w:rsid w:val="00713E08"/>
    <w:rsid w:val="00714854"/>
    <w:rsid w:val="00714932"/>
    <w:rsid w:val="00714CE3"/>
    <w:rsid w:val="007157D5"/>
    <w:rsid w:val="0071586D"/>
    <w:rsid w:val="00715A32"/>
    <w:rsid w:val="00716846"/>
    <w:rsid w:val="007168BB"/>
    <w:rsid w:val="00716A91"/>
    <w:rsid w:val="00716BAB"/>
    <w:rsid w:val="00716BCE"/>
    <w:rsid w:val="00716BF7"/>
    <w:rsid w:val="00716C1B"/>
    <w:rsid w:val="00716CF5"/>
    <w:rsid w:val="00717A09"/>
    <w:rsid w:val="00717D36"/>
    <w:rsid w:val="00717E88"/>
    <w:rsid w:val="007203F3"/>
    <w:rsid w:val="00720A98"/>
    <w:rsid w:val="00720CD3"/>
    <w:rsid w:val="00720F8B"/>
    <w:rsid w:val="00721102"/>
    <w:rsid w:val="00721185"/>
    <w:rsid w:val="007211AB"/>
    <w:rsid w:val="0072133A"/>
    <w:rsid w:val="007214CE"/>
    <w:rsid w:val="00721695"/>
    <w:rsid w:val="00721F39"/>
    <w:rsid w:val="00722116"/>
    <w:rsid w:val="007227E1"/>
    <w:rsid w:val="00722DFD"/>
    <w:rsid w:val="00723074"/>
    <w:rsid w:val="007232CF"/>
    <w:rsid w:val="0072379D"/>
    <w:rsid w:val="0072384C"/>
    <w:rsid w:val="0072385B"/>
    <w:rsid w:val="007238F8"/>
    <w:rsid w:val="00723CAD"/>
    <w:rsid w:val="00723ED4"/>
    <w:rsid w:val="00723F40"/>
    <w:rsid w:val="007242C9"/>
    <w:rsid w:val="0072477D"/>
    <w:rsid w:val="0072490F"/>
    <w:rsid w:val="00724D12"/>
    <w:rsid w:val="007251AB"/>
    <w:rsid w:val="0072563B"/>
    <w:rsid w:val="00725A58"/>
    <w:rsid w:val="00725B78"/>
    <w:rsid w:val="00725D4F"/>
    <w:rsid w:val="00725EE7"/>
    <w:rsid w:val="007260E8"/>
    <w:rsid w:val="007262CF"/>
    <w:rsid w:val="00726464"/>
    <w:rsid w:val="007265EA"/>
    <w:rsid w:val="00726A03"/>
    <w:rsid w:val="00726B8A"/>
    <w:rsid w:val="007302CA"/>
    <w:rsid w:val="0073082F"/>
    <w:rsid w:val="00731255"/>
    <w:rsid w:val="00731B8B"/>
    <w:rsid w:val="00732203"/>
    <w:rsid w:val="00732654"/>
    <w:rsid w:val="007327FF"/>
    <w:rsid w:val="00732D3E"/>
    <w:rsid w:val="00732E50"/>
    <w:rsid w:val="007332A8"/>
    <w:rsid w:val="00733401"/>
    <w:rsid w:val="007335AC"/>
    <w:rsid w:val="0073361E"/>
    <w:rsid w:val="00733768"/>
    <w:rsid w:val="0073376E"/>
    <w:rsid w:val="00733789"/>
    <w:rsid w:val="00733A32"/>
    <w:rsid w:val="00733D5A"/>
    <w:rsid w:val="00733E55"/>
    <w:rsid w:val="007340AF"/>
    <w:rsid w:val="00734101"/>
    <w:rsid w:val="0073469C"/>
    <w:rsid w:val="007348F1"/>
    <w:rsid w:val="00734C6D"/>
    <w:rsid w:val="00734CBD"/>
    <w:rsid w:val="00734CC6"/>
    <w:rsid w:val="00734F48"/>
    <w:rsid w:val="00734FB7"/>
    <w:rsid w:val="007350AE"/>
    <w:rsid w:val="00735694"/>
    <w:rsid w:val="00735767"/>
    <w:rsid w:val="00735E10"/>
    <w:rsid w:val="00736026"/>
    <w:rsid w:val="007363C7"/>
    <w:rsid w:val="00736716"/>
    <w:rsid w:val="00736880"/>
    <w:rsid w:val="00736DAB"/>
    <w:rsid w:val="00736E3D"/>
    <w:rsid w:val="00736E5E"/>
    <w:rsid w:val="00736FEA"/>
    <w:rsid w:val="00737623"/>
    <w:rsid w:val="00737870"/>
    <w:rsid w:val="00740038"/>
    <w:rsid w:val="0074035F"/>
    <w:rsid w:val="00740469"/>
    <w:rsid w:val="007409DA"/>
    <w:rsid w:val="00741290"/>
    <w:rsid w:val="007413D9"/>
    <w:rsid w:val="00741586"/>
    <w:rsid w:val="00741A55"/>
    <w:rsid w:val="00741C23"/>
    <w:rsid w:val="00741FA2"/>
    <w:rsid w:val="00741FC0"/>
    <w:rsid w:val="007430CB"/>
    <w:rsid w:val="00743354"/>
    <w:rsid w:val="007438B0"/>
    <w:rsid w:val="00743939"/>
    <w:rsid w:val="00743D3D"/>
    <w:rsid w:val="007446A3"/>
    <w:rsid w:val="007446A5"/>
    <w:rsid w:val="007446AE"/>
    <w:rsid w:val="00744908"/>
    <w:rsid w:val="0074496D"/>
    <w:rsid w:val="00744C8F"/>
    <w:rsid w:val="00744EA2"/>
    <w:rsid w:val="00744EAC"/>
    <w:rsid w:val="00745D47"/>
    <w:rsid w:val="0074609D"/>
    <w:rsid w:val="00746136"/>
    <w:rsid w:val="0074692D"/>
    <w:rsid w:val="007469A7"/>
    <w:rsid w:val="00746A38"/>
    <w:rsid w:val="00746E32"/>
    <w:rsid w:val="007478EC"/>
    <w:rsid w:val="00747B81"/>
    <w:rsid w:val="00747DE2"/>
    <w:rsid w:val="007508E9"/>
    <w:rsid w:val="00750AD2"/>
    <w:rsid w:val="00750BA4"/>
    <w:rsid w:val="00750FD3"/>
    <w:rsid w:val="00751001"/>
    <w:rsid w:val="00751A55"/>
    <w:rsid w:val="00751CCF"/>
    <w:rsid w:val="00751DA9"/>
    <w:rsid w:val="00751E97"/>
    <w:rsid w:val="00751EB3"/>
    <w:rsid w:val="00751FB3"/>
    <w:rsid w:val="00752072"/>
    <w:rsid w:val="00752125"/>
    <w:rsid w:val="0075225E"/>
    <w:rsid w:val="00752705"/>
    <w:rsid w:val="0075273B"/>
    <w:rsid w:val="00752A25"/>
    <w:rsid w:val="00752D02"/>
    <w:rsid w:val="00752DC1"/>
    <w:rsid w:val="00753297"/>
    <w:rsid w:val="00753711"/>
    <w:rsid w:val="00753B8A"/>
    <w:rsid w:val="00753BAB"/>
    <w:rsid w:val="00754689"/>
    <w:rsid w:val="0075494F"/>
    <w:rsid w:val="00754BA5"/>
    <w:rsid w:val="00754E9E"/>
    <w:rsid w:val="00754FA1"/>
    <w:rsid w:val="00755098"/>
    <w:rsid w:val="00755511"/>
    <w:rsid w:val="0075566A"/>
    <w:rsid w:val="00755AE3"/>
    <w:rsid w:val="00755D9D"/>
    <w:rsid w:val="00755E18"/>
    <w:rsid w:val="007561F8"/>
    <w:rsid w:val="0075671D"/>
    <w:rsid w:val="00756B90"/>
    <w:rsid w:val="00756D3E"/>
    <w:rsid w:val="00756EAF"/>
    <w:rsid w:val="00757C40"/>
    <w:rsid w:val="00757E31"/>
    <w:rsid w:val="00757EDB"/>
    <w:rsid w:val="00758A38"/>
    <w:rsid w:val="00760194"/>
    <w:rsid w:val="0076045B"/>
    <w:rsid w:val="007606CE"/>
    <w:rsid w:val="00760E9E"/>
    <w:rsid w:val="00761073"/>
    <w:rsid w:val="007613E2"/>
    <w:rsid w:val="007614E2"/>
    <w:rsid w:val="00761FC4"/>
    <w:rsid w:val="0076219D"/>
    <w:rsid w:val="00762444"/>
    <w:rsid w:val="007628DC"/>
    <w:rsid w:val="007630EC"/>
    <w:rsid w:val="00763251"/>
    <w:rsid w:val="0076368C"/>
    <w:rsid w:val="00763934"/>
    <w:rsid w:val="00763D66"/>
    <w:rsid w:val="00763F23"/>
    <w:rsid w:val="00763FD2"/>
    <w:rsid w:val="0076493E"/>
    <w:rsid w:val="00764A5B"/>
    <w:rsid w:val="00764D9D"/>
    <w:rsid w:val="00764FCF"/>
    <w:rsid w:val="00765286"/>
    <w:rsid w:val="00765BD4"/>
    <w:rsid w:val="00765E41"/>
    <w:rsid w:val="0076601E"/>
    <w:rsid w:val="0076617C"/>
    <w:rsid w:val="00766186"/>
    <w:rsid w:val="007661B9"/>
    <w:rsid w:val="007663C8"/>
    <w:rsid w:val="0076647F"/>
    <w:rsid w:val="00766B06"/>
    <w:rsid w:val="00767204"/>
    <w:rsid w:val="00767566"/>
    <w:rsid w:val="007679E5"/>
    <w:rsid w:val="00767B0F"/>
    <w:rsid w:val="00767DDC"/>
    <w:rsid w:val="00767E42"/>
    <w:rsid w:val="00767E8E"/>
    <w:rsid w:val="00770655"/>
    <w:rsid w:val="00770A17"/>
    <w:rsid w:val="00770C3E"/>
    <w:rsid w:val="00770DDC"/>
    <w:rsid w:val="00770DE8"/>
    <w:rsid w:val="00771213"/>
    <w:rsid w:val="007714D7"/>
    <w:rsid w:val="007722C2"/>
    <w:rsid w:val="007724AA"/>
    <w:rsid w:val="0077255D"/>
    <w:rsid w:val="007728E1"/>
    <w:rsid w:val="007730BD"/>
    <w:rsid w:val="007731A5"/>
    <w:rsid w:val="00773235"/>
    <w:rsid w:val="0077359D"/>
    <w:rsid w:val="00773B19"/>
    <w:rsid w:val="007746AD"/>
    <w:rsid w:val="007748B5"/>
    <w:rsid w:val="00774A28"/>
    <w:rsid w:val="007752CF"/>
    <w:rsid w:val="007756F4"/>
    <w:rsid w:val="00775981"/>
    <w:rsid w:val="00775CFF"/>
    <w:rsid w:val="00776348"/>
    <w:rsid w:val="00776AB8"/>
    <w:rsid w:val="00777009"/>
    <w:rsid w:val="0077783D"/>
    <w:rsid w:val="00777984"/>
    <w:rsid w:val="00777D52"/>
    <w:rsid w:val="00777EF5"/>
    <w:rsid w:val="00779715"/>
    <w:rsid w:val="00780065"/>
    <w:rsid w:val="007800B3"/>
    <w:rsid w:val="00780118"/>
    <w:rsid w:val="00780311"/>
    <w:rsid w:val="00780685"/>
    <w:rsid w:val="0078089B"/>
    <w:rsid w:val="00780AD3"/>
    <w:rsid w:val="00780E62"/>
    <w:rsid w:val="00780E77"/>
    <w:rsid w:val="0078165D"/>
    <w:rsid w:val="00781AF7"/>
    <w:rsid w:val="00781DDD"/>
    <w:rsid w:val="00781F19"/>
    <w:rsid w:val="00782D36"/>
    <w:rsid w:val="00782DA8"/>
    <w:rsid w:val="00782E45"/>
    <w:rsid w:val="00782F65"/>
    <w:rsid w:val="007833D4"/>
    <w:rsid w:val="0078352E"/>
    <w:rsid w:val="00783595"/>
    <w:rsid w:val="00783AC9"/>
    <w:rsid w:val="00783B28"/>
    <w:rsid w:val="00784052"/>
    <w:rsid w:val="007848B5"/>
    <w:rsid w:val="00784DD6"/>
    <w:rsid w:val="007852D4"/>
    <w:rsid w:val="0078547A"/>
    <w:rsid w:val="007855C3"/>
    <w:rsid w:val="00785798"/>
    <w:rsid w:val="00785E47"/>
    <w:rsid w:val="0078683D"/>
    <w:rsid w:val="00786B42"/>
    <w:rsid w:val="00786B9A"/>
    <w:rsid w:val="00786BE6"/>
    <w:rsid w:val="00786D88"/>
    <w:rsid w:val="00787370"/>
    <w:rsid w:val="00787851"/>
    <w:rsid w:val="00787D0D"/>
    <w:rsid w:val="007904CD"/>
    <w:rsid w:val="00791050"/>
    <w:rsid w:val="0079135E"/>
    <w:rsid w:val="00791948"/>
    <w:rsid w:val="00791B46"/>
    <w:rsid w:val="00791B71"/>
    <w:rsid w:val="00791E06"/>
    <w:rsid w:val="0079200A"/>
    <w:rsid w:val="0079206E"/>
    <w:rsid w:val="007922A5"/>
    <w:rsid w:val="00792476"/>
    <w:rsid w:val="0079292B"/>
    <w:rsid w:val="00792A5F"/>
    <w:rsid w:val="00792AE5"/>
    <w:rsid w:val="00792D35"/>
    <w:rsid w:val="0079311B"/>
    <w:rsid w:val="007938AE"/>
    <w:rsid w:val="00793984"/>
    <w:rsid w:val="00793E82"/>
    <w:rsid w:val="00794723"/>
    <w:rsid w:val="00794761"/>
    <w:rsid w:val="00794E00"/>
    <w:rsid w:val="00794F20"/>
    <w:rsid w:val="007953BC"/>
    <w:rsid w:val="007954AC"/>
    <w:rsid w:val="007954C9"/>
    <w:rsid w:val="007955AD"/>
    <w:rsid w:val="00795636"/>
    <w:rsid w:val="00795984"/>
    <w:rsid w:val="00795A42"/>
    <w:rsid w:val="007960EC"/>
    <w:rsid w:val="007964F1"/>
    <w:rsid w:val="00796550"/>
    <w:rsid w:val="0079660B"/>
    <w:rsid w:val="00796906"/>
    <w:rsid w:val="00796950"/>
    <w:rsid w:val="00796A03"/>
    <w:rsid w:val="007971C7"/>
    <w:rsid w:val="0079758D"/>
    <w:rsid w:val="0079761E"/>
    <w:rsid w:val="00797B4F"/>
    <w:rsid w:val="00797BC2"/>
    <w:rsid w:val="00797EBB"/>
    <w:rsid w:val="007A043D"/>
    <w:rsid w:val="007A0659"/>
    <w:rsid w:val="007A0701"/>
    <w:rsid w:val="007A0939"/>
    <w:rsid w:val="007A0AB5"/>
    <w:rsid w:val="007A0F4D"/>
    <w:rsid w:val="007A1055"/>
    <w:rsid w:val="007A199A"/>
    <w:rsid w:val="007A19B6"/>
    <w:rsid w:val="007A1A33"/>
    <w:rsid w:val="007A20D0"/>
    <w:rsid w:val="007A24CF"/>
    <w:rsid w:val="007A2A6F"/>
    <w:rsid w:val="007A2B1C"/>
    <w:rsid w:val="007A2B74"/>
    <w:rsid w:val="007A2C4F"/>
    <w:rsid w:val="007A2F5F"/>
    <w:rsid w:val="007A3641"/>
    <w:rsid w:val="007A3E0E"/>
    <w:rsid w:val="007A48A6"/>
    <w:rsid w:val="007A4903"/>
    <w:rsid w:val="007A491D"/>
    <w:rsid w:val="007A4DEF"/>
    <w:rsid w:val="007A4F5A"/>
    <w:rsid w:val="007A559D"/>
    <w:rsid w:val="007A5910"/>
    <w:rsid w:val="007A5BEB"/>
    <w:rsid w:val="007A5D8A"/>
    <w:rsid w:val="007A5DFD"/>
    <w:rsid w:val="007A672A"/>
    <w:rsid w:val="007A6795"/>
    <w:rsid w:val="007A684A"/>
    <w:rsid w:val="007A685D"/>
    <w:rsid w:val="007A688E"/>
    <w:rsid w:val="007A6AF5"/>
    <w:rsid w:val="007A6B35"/>
    <w:rsid w:val="007A7308"/>
    <w:rsid w:val="007A7510"/>
    <w:rsid w:val="007A758A"/>
    <w:rsid w:val="007A75C3"/>
    <w:rsid w:val="007A7B0E"/>
    <w:rsid w:val="007A7F74"/>
    <w:rsid w:val="007B0057"/>
    <w:rsid w:val="007B01BE"/>
    <w:rsid w:val="007B0289"/>
    <w:rsid w:val="007B0360"/>
    <w:rsid w:val="007B0378"/>
    <w:rsid w:val="007B03B7"/>
    <w:rsid w:val="007B0529"/>
    <w:rsid w:val="007B0589"/>
    <w:rsid w:val="007B125E"/>
    <w:rsid w:val="007B12C1"/>
    <w:rsid w:val="007B1BB9"/>
    <w:rsid w:val="007B1F89"/>
    <w:rsid w:val="007B29FA"/>
    <w:rsid w:val="007B2F3A"/>
    <w:rsid w:val="007B31E6"/>
    <w:rsid w:val="007B35BB"/>
    <w:rsid w:val="007B3627"/>
    <w:rsid w:val="007B3F52"/>
    <w:rsid w:val="007B3FA6"/>
    <w:rsid w:val="007B4104"/>
    <w:rsid w:val="007B4346"/>
    <w:rsid w:val="007B4751"/>
    <w:rsid w:val="007B481F"/>
    <w:rsid w:val="007B4D56"/>
    <w:rsid w:val="007B4DE3"/>
    <w:rsid w:val="007B4E04"/>
    <w:rsid w:val="007B532D"/>
    <w:rsid w:val="007B594E"/>
    <w:rsid w:val="007B5B0C"/>
    <w:rsid w:val="007B6FB1"/>
    <w:rsid w:val="007B7129"/>
    <w:rsid w:val="007B720A"/>
    <w:rsid w:val="007B7293"/>
    <w:rsid w:val="007B736E"/>
    <w:rsid w:val="007B752C"/>
    <w:rsid w:val="007B7918"/>
    <w:rsid w:val="007C05CF"/>
    <w:rsid w:val="007C06F9"/>
    <w:rsid w:val="007C0B09"/>
    <w:rsid w:val="007C0ED9"/>
    <w:rsid w:val="007C0F91"/>
    <w:rsid w:val="007C124C"/>
    <w:rsid w:val="007C17E4"/>
    <w:rsid w:val="007C190A"/>
    <w:rsid w:val="007C1A7C"/>
    <w:rsid w:val="007C1B57"/>
    <w:rsid w:val="007C27CD"/>
    <w:rsid w:val="007C2908"/>
    <w:rsid w:val="007C2D48"/>
    <w:rsid w:val="007C322F"/>
    <w:rsid w:val="007C3312"/>
    <w:rsid w:val="007C33A8"/>
    <w:rsid w:val="007C346A"/>
    <w:rsid w:val="007C3B6F"/>
    <w:rsid w:val="007C3EE5"/>
    <w:rsid w:val="007C448C"/>
    <w:rsid w:val="007C49ED"/>
    <w:rsid w:val="007C55B4"/>
    <w:rsid w:val="007C55F2"/>
    <w:rsid w:val="007C5F4B"/>
    <w:rsid w:val="007C6169"/>
    <w:rsid w:val="007C671A"/>
    <w:rsid w:val="007C67CC"/>
    <w:rsid w:val="007C6DC6"/>
    <w:rsid w:val="007C6DFC"/>
    <w:rsid w:val="007C6E05"/>
    <w:rsid w:val="007C742F"/>
    <w:rsid w:val="007C756F"/>
    <w:rsid w:val="007C7583"/>
    <w:rsid w:val="007C7740"/>
    <w:rsid w:val="007C7E47"/>
    <w:rsid w:val="007C7EFF"/>
    <w:rsid w:val="007D02CF"/>
    <w:rsid w:val="007D040B"/>
    <w:rsid w:val="007D08A2"/>
    <w:rsid w:val="007D0D8C"/>
    <w:rsid w:val="007D0FCE"/>
    <w:rsid w:val="007D1023"/>
    <w:rsid w:val="007D175F"/>
    <w:rsid w:val="007D184F"/>
    <w:rsid w:val="007D18E2"/>
    <w:rsid w:val="007D1B72"/>
    <w:rsid w:val="007D1C87"/>
    <w:rsid w:val="007D1E87"/>
    <w:rsid w:val="007D2353"/>
    <w:rsid w:val="007D2AEF"/>
    <w:rsid w:val="007D2FEA"/>
    <w:rsid w:val="007D354E"/>
    <w:rsid w:val="007D3A88"/>
    <w:rsid w:val="007D3A8D"/>
    <w:rsid w:val="007D3ABC"/>
    <w:rsid w:val="007D3AF6"/>
    <w:rsid w:val="007D3EA3"/>
    <w:rsid w:val="007D4289"/>
    <w:rsid w:val="007D456C"/>
    <w:rsid w:val="007D49A3"/>
    <w:rsid w:val="007D4DE9"/>
    <w:rsid w:val="007D506E"/>
    <w:rsid w:val="007D50D3"/>
    <w:rsid w:val="007D53B6"/>
    <w:rsid w:val="007D585B"/>
    <w:rsid w:val="007D59D4"/>
    <w:rsid w:val="007D6021"/>
    <w:rsid w:val="007D60B2"/>
    <w:rsid w:val="007D6551"/>
    <w:rsid w:val="007D6B97"/>
    <w:rsid w:val="007D6BA2"/>
    <w:rsid w:val="007D6C83"/>
    <w:rsid w:val="007D6D72"/>
    <w:rsid w:val="007D6D8B"/>
    <w:rsid w:val="007D6E64"/>
    <w:rsid w:val="007D723B"/>
    <w:rsid w:val="007D7412"/>
    <w:rsid w:val="007D74EE"/>
    <w:rsid w:val="007D75D0"/>
    <w:rsid w:val="007D7691"/>
    <w:rsid w:val="007D782F"/>
    <w:rsid w:val="007D791A"/>
    <w:rsid w:val="007D7AE1"/>
    <w:rsid w:val="007D7D49"/>
    <w:rsid w:val="007D7D4D"/>
    <w:rsid w:val="007D7DCE"/>
    <w:rsid w:val="007D7E4F"/>
    <w:rsid w:val="007E0363"/>
    <w:rsid w:val="007E0533"/>
    <w:rsid w:val="007E05EA"/>
    <w:rsid w:val="007E06C3"/>
    <w:rsid w:val="007E0D64"/>
    <w:rsid w:val="007E0F0D"/>
    <w:rsid w:val="007E116B"/>
    <w:rsid w:val="007E1218"/>
    <w:rsid w:val="007E17E4"/>
    <w:rsid w:val="007E1A5B"/>
    <w:rsid w:val="007E1D88"/>
    <w:rsid w:val="007E1F31"/>
    <w:rsid w:val="007E1FFF"/>
    <w:rsid w:val="007E22B9"/>
    <w:rsid w:val="007E27BB"/>
    <w:rsid w:val="007E2876"/>
    <w:rsid w:val="007E2A75"/>
    <w:rsid w:val="007E2FE9"/>
    <w:rsid w:val="007E3203"/>
    <w:rsid w:val="007E358F"/>
    <w:rsid w:val="007E3977"/>
    <w:rsid w:val="007E3982"/>
    <w:rsid w:val="007E3B66"/>
    <w:rsid w:val="007E3B92"/>
    <w:rsid w:val="007E3BAF"/>
    <w:rsid w:val="007E3C08"/>
    <w:rsid w:val="007E43B1"/>
    <w:rsid w:val="007E4C79"/>
    <w:rsid w:val="007E5089"/>
    <w:rsid w:val="007E50C7"/>
    <w:rsid w:val="007E5104"/>
    <w:rsid w:val="007E522F"/>
    <w:rsid w:val="007E53B4"/>
    <w:rsid w:val="007E5967"/>
    <w:rsid w:val="007E5EFC"/>
    <w:rsid w:val="007E63E5"/>
    <w:rsid w:val="007E6642"/>
    <w:rsid w:val="007E6AFB"/>
    <w:rsid w:val="007E6DA3"/>
    <w:rsid w:val="007E6FB9"/>
    <w:rsid w:val="007E7C89"/>
    <w:rsid w:val="007E7C8E"/>
    <w:rsid w:val="007F011E"/>
    <w:rsid w:val="007F0230"/>
    <w:rsid w:val="007F029B"/>
    <w:rsid w:val="007F042D"/>
    <w:rsid w:val="007F0493"/>
    <w:rsid w:val="007F0F20"/>
    <w:rsid w:val="007F0F2A"/>
    <w:rsid w:val="007F1079"/>
    <w:rsid w:val="007F11DA"/>
    <w:rsid w:val="007F15D9"/>
    <w:rsid w:val="007F169B"/>
    <w:rsid w:val="007F16FD"/>
    <w:rsid w:val="007F17FB"/>
    <w:rsid w:val="007F1A7F"/>
    <w:rsid w:val="007F1AF6"/>
    <w:rsid w:val="007F1D8C"/>
    <w:rsid w:val="007F21D3"/>
    <w:rsid w:val="007F23EF"/>
    <w:rsid w:val="007F2615"/>
    <w:rsid w:val="007F2D8D"/>
    <w:rsid w:val="007F2FBC"/>
    <w:rsid w:val="007F3127"/>
    <w:rsid w:val="007F33E8"/>
    <w:rsid w:val="007F3E06"/>
    <w:rsid w:val="007F3F5A"/>
    <w:rsid w:val="007F4522"/>
    <w:rsid w:val="007F4907"/>
    <w:rsid w:val="007F5467"/>
    <w:rsid w:val="007F54C3"/>
    <w:rsid w:val="007F5628"/>
    <w:rsid w:val="007F5761"/>
    <w:rsid w:val="007F58CF"/>
    <w:rsid w:val="007F5C87"/>
    <w:rsid w:val="007F5F21"/>
    <w:rsid w:val="007F5F8D"/>
    <w:rsid w:val="007F6425"/>
    <w:rsid w:val="007F6650"/>
    <w:rsid w:val="007F6905"/>
    <w:rsid w:val="007F6926"/>
    <w:rsid w:val="007F69B1"/>
    <w:rsid w:val="007F6CFC"/>
    <w:rsid w:val="007F6E9B"/>
    <w:rsid w:val="007F711E"/>
    <w:rsid w:val="007F736B"/>
    <w:rsid w:val="007F750B"/>
    <w:rsid w:val="007F776E"/>
    <w:rsid w:val="007F77BD"/>
    <w:rsid w:val="007F7816"/>
    <w:rsid w:val="007F790B"/>
    <w:rsid w:val="007F7A43"/>
    <w:rsid w:val="00800169"/>
    <w:rsid w:val="00800229"/>
    <w:rsid w:val="00800664"/>
    <w:rsid w:val="00800750"/>
    <w:rsid w:val="008008EA"/>
    <w:rsid w:val="00800BA0"/>
    <w:rsid w:val="00800E9D"/>
    <w:rsid w:val="0080128D"/>
    <w:rsid w:val="00801358"/>
    <w:rsid w:val="008015BD"/>
    <w:rsid w:val="0080170E"/>
    <w:rsid w:val="00801B92"/>
    <w:rsid w:val="00801E43"/>
    <w:rsid w:val="00801E74"/>
    <w:rsid w:val="0080201F"/>
    <w:rsid w:val="00802386"/>
    <w:rsid w:val="00802845"/>
    <w:rsid w:val="0080287E"/>
    <w:rsid w:val="00802A48"/>
    <w:rsid w:val="00802D76"/>
    <w:rsid w:val="00802D96"/>
    <w:rsid w:val="00802DD9"/>
    <w:rsid w:val="00802EA2"/>
    <w:rsid w:val="0080321A"/>
    <w:rsid w:val="00803416"/>
    <w:rsid w:val="0080377D"/>
    <w:rsid w:val="00803A57"/>
    <w:rsid w:val="00803AA9"/>
    <w:rsid w:val="00803B90"/>
    <w:rsid w:val="00803DF8"/>
    <w:rsid w:val="008041DC"/>
    <w:rsid w:val="008042A8"/>
    <w:rsid w:val="00804606"/>
    <w:rsid w:val="0080464D"/>
    <w:rsid w:val="0080473C"/>
    <w:rsid w:val="00804759"/>
    <w:rsid w:val="00804C82"/>
    <w:rsid w:val="00804ED2"/>
    <w:rsid w:val="00804ED8"/>
    <w:rsid w:val="0080526F"/>
    <w:rsid w:val="00805414"/>
    <w:rsid w:val="0080579B"/>
    <w:rsid w:val="00805A41"/>
    <w:rsid w:val="00805A7E"/>
    <w:rsid w:val="00806183"/>
    <w:rsid w:val="00806267"/>
    <w:rsid w:val="00806501"/>
    <w:rsid w:val="00806C41"/>
    <w:rsid w:val="008072C6"/>
    <w:rsid w:val="00807398"/>
    <w:rsid w:val="0080753E"/>
    <w:rsid w:val="008075DE"/>
    <w:rsid w:val="00807A70"/>
    <w:rsid w:val="008105CB"/>
    <w:rsid w:val="00810C06"/>
    <w:rsid w:val="00810CA5"/>
    <w:rsid w:val="00811BD7"/>
    <w:rsid w:val="00811C62"/>
    <w:rsid w:val="0081254A"/>
    <w:rsid w:val="008125E7"/>
    <w:rsid w:val="00812C06"/>
    <w:rsid w:val="00813436"/>
    <w:rsid w:val="00813450"/>
    <w:rsid w:val="00813608"/>
    <w:rsid w:val="0081368E"/>
    <w:rsid w:val="008141D1"/>
    <w:rsid w:val="008143DC"/>
    <w:rsid w:val="008147B8"/>
    <w:rsid w:val="00814963"/>
    <w:rsid w:val="00814F62"/>
    <w:rsid w:val="0081515C"/>
    <w:rsid w:val="008153D9"/>
    <w:rsid w:val="00815A49"/>
    <w:rsid w:val="00815C5A"/>
    <w:rsid w:val="00815D33"/>
    <w:rsid w:val="00815D5B"/>
    <w:rsid w:val="00815D8F"/>
    <w:rsid w:val="00816087"/>
    <w:rsid w:val="00816807"/>
    <w:rsid w:val="00816AEC"/>
    <w:rsid w:val="00816D29"/>
    <w:rsid w:val="00816D6B"/>
    <w:rsid w:val="00816E1A"/>
    <w:rsid w:val="00816FF5"/>
    <w:rsid w:val="0081701C"/>
    <w:rsid w:val="0081715F"/>
    <w:rsid w:val="00817B4A"/>
    <w:rsid w:val="00817C91"/>
    <w:rsid w:val="00817D74"/>
    <w:rsid w:val="00820215"/>
    <w:rsid w:val="00820675"/>
    <w:rsid w:val="00820CD9"/>
    <w:rsid w:val="00820E87"/>
    <w:rsid w:val="00820FAE"/>
    <w:rsid w:val="00821B1A"/>
    <w:rsid w:val="00821CF4"/>
    <w:rsid w:val="00821D9B"/>
    <w:rsid w:val="00822432"/>
    <w:rsid w:val="00822A39"/>
    <w:rsid w:val="00822B22"/>
    <w:rsid w:val="00822C72"/>
    <w:rsid w:val="00822DF4"/>
    <w:rsid w:val="00822E06"/>
    <w:rsid w:val="008231A3"/>
    <w:rsid w:val="008232F6"/>
    <w:rsid w:val="00823755"/>
    <w:rsid w:val="00823BD6"/>
    <w:rsid w:val="00823CE1"/>
    <w:rsid w:val="00823D05"/>
    <w:rsid w:val="00823E5C"/>
    <w:rsid w:val="00823E7C"/>
    <w:rsid w:val="008245D3"/>
    <w:rsid w:val="00824A73"/>
    <w:rsid w:val="0082537D"/>
    <w:rsid w:val="0082538F"/>
    <w:rsid w:val="0082562C"/>
    <w:rsid w:val="00825B1C"/>
    <w:rsid w:val="00825F95"/>
    <w:rsid w:val="0082619E"/>
    <w:rsid w:val="00826348"/>
    <w:rsid w:val="00826755"/>
    <w:rsid w:val="00826C9F"/>
    <w:rsid w:val="008272ED"/>
    <w:rsid w:val="00827818"/>
    <w:rsid w:val="008309D8"/>
    <w:rsid w:val="00830B77"/>
    <w:rsid w:val="00830C40"/>
    <w:rsid w:val="00830D0A"/>
    <w:rsid w:val="00830D42"/>
    <w:rsid w:val="00830E90"/>
    <w:rsid w:val="00830EBF"/>
    <w:rsid w:val="00830EC2"/>
    <w:rsid w:val="00830F15"/>
    <w:rsid w:val="008312BC"/>
    <w:rsid w:val="00831763"/>
    <w:rsid w:val="00831774"/>
    <w:rsid w:val="00831798"/>
    <w:rsid w:val="0083189E"/>
    <w:rsid w:val="00831A76"/>
    <w:rsid w:val="00831BCA"/>
    <w:rsid w:val="008320C2"/>
    <w:rsid w:val="00832194"/>
    <w:rsid w:val="00832272"/>
    <w:rsid w:val="0083247E"/>
    <w:rsid w:val="00832A91"/>
    <w:rsid w:val="00832DB7"/>
    <w:rsid w:val="00833707"/>
    <w:rsid w:val="0083382E"/>
    <w:rsid w:val="00833877"/>
    <w:rsid w:val="008338EB"/>
    <w:rsid w:val="00833E70"/>
    <w:rsid w:val="00834248"/>
    <w:rsid w:val="008342B3"/>
    <w:rsid w:val="00834583"/>
    <w:rsid w:val="00834628"/>
    <w:rsid w:val="00834698"/>
    <w:rsid w:val="00834B64"/>
    <w:rsid w:val="0083526E"/>
    <w:rsid w:val="0083583F"/>
    <w:rsid w:val="00835874"/>
    <w:rsid w:val="008358B0"/>
    <w:rsid w:val="00835A9E"/>
    <w:rsid w:val="00835B30"/>
    <w:rsid w:val="00836213"/>
    <w:rsid w:val="00836E97"/>
    <w:rsid w:val="00837048"/>
    <w:rsid w:val="00837298"/>
    <w:rsid w:val="00837A23"/>
    <w:rsid w:val="00840110"/>
    <w:rsid w:val="0084082A"/>
    <w:rsid w:val="00840935"/>
    <w:rsid w:val="008413BA"/>
    <w:rsid w:val="00841402"/>
    <w:rsid w:val="00841424"/>
    <w:rsid w:val="008414B0"/>
    <w:rsid w:val="00841728"/>
    <w:rsid w:val="008419E3"/>
    <w:rsid w:val="00841B32"/>
    <w:rsid w:val="00841DCE"/>
    <w:rsid w:val="0084232A"/>
    <w:rsid w:val="008427CF"/>
    <w:rsid w:val="008431A5"/>
    <w:rsid w:val="008433BD"/>
    <w:rsid w:val="008435DD"/>
    <w:rsid w:val="00843A60"/>
    <w:rsid w:val="00843CB3"/>
    <w:rsid w:val="0084404F"/>
    <w:rsid w:val="008441D7"/>
    <w:rsid w:val="00844346"/>
    <w:rsid w:val="0084437D"/>
    <w:rsid w:val="00844497"/>
    <w:rsid w:val="00844C1A"/>
    <w:rsid w:val="00845348"/>
    <w:rsid w:val="0084555B"/>
    <w:rsid w:val="0084568A"/>
    <w:rsid w:val="0084599B"/>
    <w:rsid w:val="00845D25"/>
    <w:rsid w:val="008462AF"/>
    <w:rsid w:val="00846768"/>
    <w:rsid w:val="00846A6A"/>
    <w:rsid w:val="00846D1A"/>
    <w:rsid w:val="00846E19"/>
    <w:rsid w:val="00847215"/>
    <w:rsid w:val="00847629"/>
    <w:rsid w:val="00847742"/>
    <w:rsid w:val="00847E6F"/>
    <w:rsid w:val="00847EAF"/>
    <w:rsid w:val="0085036F"/>
    <w:rsid w:val="00850581"/>
    <w:rsid w:val="00850DB2"/>
    <w:rsid w:val="0085109D"/>
    <w:rsid w:val="008510C4"/>
    <w:rsid w:val="0085184C"/>
    <w:rsid w:val="00851E64"/>
    <w:rsid w:val="008520DE"/>
    <w:rsid w:val="0085238E"/>
    <w:rsid w:val="00852C5A"/>
    <w:rsid w:val="00852E0E"/>
    <w:rsid w:val="00853595"/>
    <w:rsid w:val="00853728"/>
    <w:rsid w:val="00853889"/>
    <w:rsid w:val="00853B41"/>
    <w:rsid w:val="00853CC0"/>
    <w:rsid w:val="00853E27"/>
    <w:rsid w:val="00854096"/>
    <w:rsid w:val="0085463D"/>
    <w:rsid w:val="00854E4B"/>
    <w:rsid w:val="00854FC6"/>
    <w:rsid w:val="00855883"/>
    <w:rsid w:val="00856606"/>
    <w:rsid w:val="00856682"/>
    <w:rsid w:val="0085680E"/>
    <w:rsid w:val="00856C71"/>
    <w:rsid w:val="008573D2"/>
    <w:rsid w:val="0085748C"/>
    <w:rsid w:val="00857495"/>
    <w:rsid w:val="0085781F"/>
    <w:rsid w:val="00857B64"/>
    <w:rsid w:val="00857BC0"/>
    <w:rsid w:val="0086014D"/>
    <w:rsid w:val="00860224"/>
    <w:rsid w:val="008607F5"/>
    <w:rsid w:val="00860C51"/>
    <w:rsid w:val="00860CAE"/>
    <w:rsid w:val="00860F03"/>
    <w:rsid w:val="00861792"/>
    <w:rsid w:val="00861BA2"/>
    <w:rsid w:val="0086201A"/>
    <w:rsid w:val="00862F02"/>
    <w:rsid w:val="008634A2"/>
    <w:rsid w:val="008634E6"/>
    <w:rsid w:val="00863659"/>
    <w:rsid w:val="00863F15"/>
    <w:rsid w:val="008643B4"/>
    <w:rsid w:val="008644F6"/>
    <w:rsid w:val="008645B4"/>
    <w:rsid w:val="008646F3"/>
    <w:rsid w:val="00864B83"/>
    <w:rsid w:val="00864CD3"/>
    <w:rsid w:val="00864E3A"/>
    <w:rsid w:val="00865003"/>
    <w:rsid w:val="00865084"/>
    <w:rsid w:val="0086514B"/>
    <w:rsid w:val="008652A2"/>
    <w:rsid w:val="0086533C"/>
    <w:rsid w:val="00865728"/>
    <w:rsid w:val="00865860"/>
    <w:rsid w:val="008659D0"/>
    <w:rsid w:val="00865C03"/>
    <w:rsid w:val="00865D00"/>
    <w:rsid w:val="00865F73"/>
    <w:rsid w:val="008667E9"/>
    <w:rsid w:val="00866A3A"/>
    <w:rsid w:val="00866DD9"/>
    <w:rsid w:val="00867110"/>
    <w:rsid w:val="0086753B"/>
    <w:rsid w:val="00870203"/>
    <w:rsid w:val="00870250"/>
    <w:rsid w:val="0087028C"/>
    <w:rsid w:val="00870309"/>
    <w:rsid w:val="0087048D"/>
    <w:rsid w:val="008704C7"/>
    <w:rsid w:val="00870614"/>
    <w:rsid w:val="008708B2"/>
    <w:rsid w:val="00870AF8"/>
    <w:rsid w:val="00870E15"/>
    <w:rsid w:val="00870E80"/>
    <w:rsid w:val="00871211"/>
    <w:rsid w:val="008712DA"/>
    <w:rsid w:val="008716CB"/>
    <w:rsid w:val="0087174D"/>
    <w:rsid w:val="00871E1F"/>
    <w:rsid w:val="00871E6D"/>
    <w:rsid w:val="00871F3B"/>
    <w:rsid w:val="00871F98"/>
    <w:rsid w:val="00872CF5"/>
    <w:rsid w:val="00872D95"/>
    <w:rsid w:val="008731EB"/>
    <w:rsid w:val="008737D0"/>
    <w:rsid w:val="00873C52"/>
    <w:rsid w:val="00873CCC"/>
    <w:rsid w:val="00873E04"/>
    <w:rsid w:val="00873FA3"/>
    <w:rsid w:val="00873FBE"/>
    <w:rsid w:val="008742CC"/>
    <w:rsid w:val="008744B0"/>
    <w:rsid w:val="0087451B"/>
    <w:rsid w:val="008745CD"/>
    <w:rsid w:val="00874660"/>
    <w:rsid w:val="00874E51"/>
    <w:rsid w:val="00874E84"/>
    <w:rsid w:val="00875027"/>
    <w:rsid w:val="008756ED"/>
    <w:rsid w:val="00875EEF"/>
    <w:rsid w:val="00875F2E"/>
    <w:rsid w:val="00876446"/>
    <w:rsid w:val="0087651F"/>
    <w:rsid w:val="00876EB1"/>
    <w:rsid w:val="008770E1"/>
    <w:rsid w:val="008773F3"/>
    <w:rsid w:val="008773F9"/>
    <w:rsid w:val="00877739"/>
    <w:rsid w:val="008777C0"/>
    <w:rsid w:val="00877BA9"/>
    <w:rsid w:val="00877BFE"/>
    <w:rsid w:val="00877ED3"/>
    <w:rsid w:val="0087AB6C"/>
    <w:rsid w:val="008800F0"/>
    <w:rsid w:val="0088034F"/>
    <w:rsid w:val="00880791"/>
    <w:rsid w:val="00880CA5"/>
    <w:rsid w:val="00881444"/>
    <w:rsid w:val="00881CE5"/>
    <w:rsid w:val="00881CF6"/>
    <w:rsid w:val="00881ED7"/>
    <w:rsid w:val="008827BF"/>
    <w:rsid w:val="00882838"/>
    <w:rsid w:val="00882A0E"/>
    <w:rsid w:val="008830CD"/>
    <w:rsid w:val="008833C5"/>
    <w:rsid w:val="00883A1A"/>
    <w:rsid w:val="00884490"/>
    <w:rsid w:val="0088450C"/>
    <w:rsid w:val="00884C56"/>
    <w:rsid w:val="00884D76"/>
    <w:rsid w:val="0088553E"/>
    <w:rsid w:val="008856D6"/>
    <w:rsid w:val="008856F2"/>
    <w:rsid w:val="00885965"/>
    <w:rsid w:val="00886047"/>
    <w:rsid w:val="0088625E"/>
    <w:rsid w:val="00886BDF"/>
    <w:rsid w:val="008871A9"/>
    <w:rsid w:val="008873BC"/>
    <w:rsid w:val="0088741E"/>
    <w:rsid w:val="00887442"/>
    <w:rsid w:val="00887630"/>
    <w:rsid w:val="008876CF"/>
    <w:rsid w:val="008879B6"/>
    <w:rsid w:val="00887A46"/>
    <w:rsid w:val="00887D7C"/>
    <w:rsid w:val="0089007E"/>
    <w:rsid w:val="008902EA"/>
    <w:rsid w:val="00890435"/>
    <w:rsid w:val="00890649"/>
    <w:rsid w:val="008906DF"/>
    <w:rsid w:val="00890AB2"/>
    <w:rsid w:val="00891057"/>
    <w:rsid w:val="0089109B"/>
    <w:rsid w:val="0089115F"/>
    <w:rsid w:val="0089133C"/>
    <w:rsid w:val="0089134B"/>
    <w:rsid w:val="008919AE"/>
    <w:rsid w:val="00891A3F"/>
    <w:rsid w:val="00891BDE"/>
    <w:rsid w:val="00891C18"/>
    <w:rsid w:val="00892158"/>
    <w:rsid w:val="008922EB"/>
    <w:rsid w:val="008923D0"/>
    <w:rsid w:val="0089265A"/>
    <w:rsid w:val="0089295E"/>
    <w:rsid w:val="00892AEC"/>
    <w:rsid w:val="00892B7B"/>
    <w:rsid w:val="008934F9"/>
    <w:rsid w:val="00893A74"/>
    <w:rsid w:val="00893D25"/>
    <w:rsid w:val="00893E73"/>
    <w:rsid w:val="008941F5"/>
    <w:rsid w:val="00894349"/>
    <w:rsid w:val="008949FD"/>
    <w:rsid w:val="00894AE8"/>
    <w:rsid w:val="008953B0"/>
    <w:rsid w:val="008955FC"/>
    <w:rsid w:val="00896104"/>
    <w:rsid w:val="00896891"/>
    <w:rsid w:val="00896B3E"/>
    <w:rsid w:val="00896DFD"/>
    <w:rsid w:val="00897997"/>
    <w:rsid w:val="00897A14"/>
    <w:rsid w:val="00897A91"/>
    <w:rsid w:val="00897BFA"/>
    <w:rsid w:val="00897F12"/>
    <w:rsid w:val="008A0175"/>
    <w:rsid w:val="008A01F5"/>
    <w:rsid w:val="008A062C"/>
    <w:rsid w:val="008A07A7"/>
    <w:rsid w:val="008A0DE0"/>
    <w:rsid w:val="008A108D"/>
    <w:rsid w:val="008A115E"/>
    <w:rsid w:val="008A11B6"/>
    <w:rsid w:val="008A1452"/>
    <w:rsid w:val="008A15FB"/>
    <w:rsid w:val="008A1736"/>
    <w:rsid w:val="008A1C0E"/>
    <w:rsid w:val="008A1FA3"/>
    <w:rsid w:val="008A24D5"/>
    <w:rsid w:val="008A2603"/>
    <w:rsid w:val="008A29AF"/>
    <w:rsid w:val="008A2A60"/>
    <w:rsid w:val="008A3258"/>
    <w:rsid w:val="008A338C"/>
    <w:rsid w:val="008A347F"/>
    <w:rsid w:val="008A35FA"/>
    <w:rsid w:val="008A3620"/>
    <w:rsid w:val="008A36F2"/>
    <w:rsid w:val="008A3DBD"/>
    <w:rsid w:val="008A44E3"/>
    <w:rsid w:val="008A4549"/>
    <w:rsid w:val="008A470D"/>
    <w:rsid w:val="008A4961"/>
    <w:rsid w:val="008A4974"/>
    <w:rsid w:val="008A4B6E"/>
    <w:rsid w:val="008A5274"/>
    <w:rsid w:val="008A5427"/>
    <w:rsid w:val="008A548C"/>
    <w:rsid w:val="008A5756"/>
    <w:rsid w:val="008A5838"/>
    <w:rsid w:val="008A5876"/>
    <w:rsid w:val="008A5D47"/>
    <w:rsid w:val="008A5FC7"/>
    <w:rsid w:val="008A65EB"/>
    <w:rsid w:val="008A6D50"/>
    <w:rsid w:val="008A7172"/>
    <w:rsid w:val="008A73D1"/>
    <w:rsid w:val="008A7816"/>
    <w:rsid w:val="008A794C"/>
    <w:rsid w:val="008B031A"/>
    <w:rsid w:val="008B0FA9"/>
    <w:rsid w:val="008B12A4"/>
    <w:rsid w:val="008B171D"/>
    <w:rsid w:val="008B189C"/>
    <w:rsid w:val="008B1C86"/>
    <w:rsid w:val="008B1D2D"/>
    <w:rsid w:val="008B1E6B"/>
    <w:rsid w:val="008B2129"/>
    <w:rsid w:val="008B2307"/>
    <w:rsid w:val="008B234F"/>
    <w:rsid w:val="008B25F0"/>
    <w:rsid w:val="008B2801"/>
    <w:rsid w:val="008B2B78"/>
    <w:rsid w:val="008B2CA5"/>
    <w:rsid w:val="008B2F3C"/>
    <w:rsid w:val="008B3922"/>
    <w:rsid w:val="008B4095"/>
    <w:rsid w:val="008B43D8"/>
    <w:rsid w:val="008B4697"/>
    <w:rsid w:val="008B4A34"/>
    <w:rsid w:val="008B4D85"/>
    <w:rsid w:val="008B4F73"/>
    <w:rsid w:val="008B5134"/>
    <w:rsid w:val="008B5185"/>
    <w:rsid w:val="008B51AA"/>
    <w:rsid w:val="008B51D3"/>
    <w:rsid w:val="008B5257"/>
    <w:rsid w:val="008B5FC6"/>
    <w:rsid w:val="008B6126"/>
    <w:rsid w:val="008B63B1"/>
    <w:rsid w:val="008B6BC2"/>
    <w:rsid w:val="008B6DF4"/>
    <w:rsid w:val="008B7273"/>
    <w:rsid w:val="008B73FA"/>
    <w:rsid w:val="008B7D11"/>
    <w:rsid w:val="008B7D54"/>
    <w:rsid w:val="008B7F5D"/>
    <w:rsid w:val="008B7F65"/>
    <w:rsid w:val="008C018E"/>
    <w:rsid w:val="008C02D4"/>
    <w:rsid w:val="008C04C4"/>
    <w:rsid w:val="008C058E"/>
    <w:rsid w:val="008C0B5D"/>
    <w:rsid w:val="008C0B78"/>
    <w:rsid w:val="008C1066"/>
    <w:rsid w:val="008C1B59"/>
    <w:rsid w:val="008C1D99"/>
    <w:rsid w:val="008C1E2D"/>
    <w:rsid w:val="008C2102"/>
    <w:rsid w:val="008C2322"/>
    <w:rsid w:val="008C2924"/>
    <w:rsid w:val="008C2CF9"/>
    <w:rsid w:val="008C2E77"/>
    <w:rsid w:val="008C38A4"/>
    <w:rsid w:val="008C3A29"/>
    <w:rsid w:val="008C535A"/>
    <w:rsid w:val="008C58A9"/>
    <w:rsid w:val="008C593C"/>
    <w:rsid w:val="008C5A2C"/>
    <w:rsid w:val="008C5BA8"/>
    <w:rsid w:val="008C5C92"/>
    <w:rsid w:val="008C602B"/>
    <w:rsid w:val="008C602C"/>
    <w:rsid w:val="008C6382"/>
    <w:rsid w:val="008C6467"/>
    <w:rsid w:val="008C6972"/>
    <w:rsid w:val="008C6F93"/>
    <w:rsid w:val="008C7175"/>
    <w:rsid w:val="008C7360"/>
    <w:rsid w:val="008C769F"/>
    <w:rsid w:val="008C7841"/>
    <w:rsid w:val="008C7A08"/>
    <w:rsid w:val="008D08F5"/>
    <w:rsid w:val="008D0904"/>
    <w:rsid w:val="008D0B72"/>
    <w:rsid w:val="008D0CD4"/>
    <w:rsid w:val="008D0CD5"/>
    <w:rsid w:val="008D0EC6"/>
    <w:rsid w:val="008D17BA"/>
    <w:rsid w:val="008D17E0"/>
    <w:rsid w:val="008D1985"/>
    <w:rsid w:val="008D1E59"/>
    <w:rsid w:val="008D1EA7"/>
    <w:rsid w:val="008D20EB"/>
    <w:rsid w:val="008D21C6"/>
    <w:rsid w:val="008D22B7"/>
    <w:rsid w:val="008D2338"/>
    <w:rsid w:val="008D2908"/>
    <w:rsid w:val="008D2CF3"/>
    <w:rsid w:val="008D2EA2"/>
    <w:rsid w:val="008D2F2E"/>
    <w:rsid w:val="008D322F"/>
    <w:rsid w:val="008D3788"/>
    <w:rsid w:val="008D4168"/>
    <w:rsid w:val="008D41DD"/>
    <w:rsid w:val="008D4677"/>
    <w:rsid w:val="008D491D"/>
    <w:rsid w:val="008D4F48"/>
    <w:rsid w:val="008D5085"/>
    <w:rsid w:val="008D54AE"/>
    <w:rsid w:val="008D5550"/>
    <w:rsid w:val="008D592C"/>
    <w:rsid w:val="008D68DF"/>
    <w:rsid w:val="008D6B87"/>
    <w:rsid w:val="008D6D0C"/>
    <w:rsid w:val="008D7326"/>
    <w:rsid w:val="008D78AA"/>
    <w:rsid w:val="008D7CEB"/>
    <w:rsid w:val="008D7DE8"/>
    <w:rsid w:val="008E06FF"/>
    <w:rsid w:val="008E1118"/>
    <w:rsid w:val="008E146E"/>
    <w:rsid w:val="008E1C00"/>
    <w:rsid w:val="008E1E64"/>
    <w:rsid w:val="008E23AB"/>
    <w:rsid w:val="008E26AF"/>
    <w:rsid w:val="008E2715"/>
    <w:rsid w:val="008E2925"/>
    <w:rsid w:val="008E2B6B"/>
    <w:rsid w:val="008E2E4D"/>
    <w:rsid w:val="008E3350"/>
    <w:rsid w:val="008E33B4"/>
    <w:rsid w:val="008E369E"/>
    <w:rsid w:val="008E3C8F"/>
    <w:rsid w:val="008E3D24"/>
    <w:rsid w:val="008E4A97"/>
    <w:rsid w:val="008E4EA6"/>
    <w:rsid w:val="008E5362"/>
    <w:rsid w:val="008E53C6"/>
    <w:rsid w:val="008E5755"/>
    <w:rsid w:val="008E5BA5"/>
    <w:rsid w:val="008E5C84"/>
    <w:rsid w:val="008E5D4B"/>
    <w:rsid w:val="008E5E7F"/>
    <w:rsid w:val="008E5F4B"/>
    <w:rsid w:val="008E61CA"/>
    <w:rsid w:val="008E6BEB"/>
    <w:rsid w:val="008E6DD2"/>
    <w:rsid w:val="008E7196"/>
    <w:rsid w:val="008E7252"/>
    <w:rsid w:val="008E7675"/>
    <w:rsid w:val="008F0042"/>
    <w:rsid w:val="008F076A"/>
    <w:rsid w:val="008F0A19"/>
    <w:rsid w:val="008F0ABC"/>
    <w:rsid w:val="008F19E8"/>
    <w:rsid w:val="008F1A97"/>
    <w:rsid w:val="008F1B6B"/>
    <w:rsid w:val="008F210F"/>
    <w:rsid w:val="008F22D9"/>
    <w:rsid w:val="008F2395"/>
    <w:rsid w:val="008F23DB"/>
    <w:rsid w:val="008F25DA"/>
    <w:rsid w:val="008F2989"/>
    <w:rsid w:val="008F2B5F"/>
    <w:rsid w:val="008F2CD9"/>
    <w:rsid w:val="008F311C"/>
    <w:rsid w:val="008F352D"/>
    <w:rsid w:val="008F36C3"/>
    <w:rsid w:val="008F386A"/>
    <w:rsid w:val="008F3879"/>
    <w:rsid w:val="008F38D3"/>
    <w:rsid w:val="008F3B34"/>
    <w:rsid w:val="008F4028"/>
    <w:rsid w:val="008F4238"/>
    <w:rsid w:val="008F4491"/>
    <w:rsid w:val="008F4EFB"/>
    <w:rsid w:val="008F4FFA"/>
    <w:rsid w:val="008F506A"/>
    <w:rsid w:val="008F5101"/>
    <w:rsid w:val="008F536B"/>
    <w:rsid w:val="008F537A"/>
    <w:rsid w:val="008F5719"/>
    <w:rsid w:val="008F5EE9"/>
    <w:rsid w:val="008F6347"/>
    <w:rsid w:val="008F637D"/>
    <w:rsid w:val="008F6406"/>
    <w:rsid w:val="008F6894"/>
    <w:rsid w:val="008F6E3F"/>
    <w:rsid w:val="008F6EB6"/>
    <w:rsid w:val="008F6EC5"/>
    <w:rsid w:val="008F76C3"/>
    <w:rsid w:val="008F775E"/>
    <w:rsid w:val="008F78FE"/>
    <w:rsid w:val="008F7984"/>
    <w:rsid w:val="008F79A2"/>
    <w:rsid w:val="008F7AF9"/>
    <w:rsid w:val="008F7D39"/>
    <w:rsid w:val="00900060"/>
    <w:rsid w:val="00900237"/>
    <w:rsid w:val="00900499"/>
    <w:rsid w:val="009004CB"/>
    <w:rsid w:val="00900DB7"/>
    <w:rsid w:val="009011D5"/>
    <w:rsid w:val="0090145D"/>
    <w:rsid w:val="00901B8E"/>
    <w:rsid w:val="009022A8"/>
    <w:rsid w:val="00902A99"/>
    <w:rsid w:val="009030D2"/>
    <w:rsid w:val="0090369C"/>
    <w:rsid w:val="009036FF"/>
    <w:rsid w:val="0090379A"/>
    <w:rsid w:val="009041AE"/>
    <w:rsid w:val="009044A7"/>
    <w:rsid w:val="00904587"/>
    <w:rsid w:val="009050DF"/>
    <w:rsid w:val="009051AE"/>
    <w:rsid w:val="0090558F"/>
    <w:rsid w:val="00905731"/>
    <w:rsid w:val="009059C3"/>
    <w:rsid w:val="00905F55"/>
    <w:rsid w:val="009065AB"/>
    <w:rsid w:val="0090670D"/>
    <w:rsid w:val="00906779"/>
    <w:rsid w:val="0090689E"/>
    <w:rsid w:val="009069BE"/>
    <w:rsid w:val="00906AAA"/>
    <w:rsid w:val="009071BF"/>
    <w:rsid w:val="009074B6"/>
    <w:rsid w:val="00907502"/>
    <w:rsid w:val="00907611"/>
    <w:rsid w:val="00907749"/>
    <w:rsid w:val="00907A64"/>
    <w:rsid w:val="00907AB4"/>
    <w:rsid w:val="00907EF7"/>
    <w:rsid w:val="0091011B"/>
    <w:rsid w:val="0091018A"/>
    <w:rsid w:val="009101AF"/>
    <w:rsid w:val="00910C4D"/>
    <w:rsid w:val="00910D25"/>
    <w:rsid w:val="00910F9F"/>
    <w:rsid w:val="00911594"/>
    <w:rsid w:val="00911657"/>
    <w:rsid w:val="0091183E"/>
    <w:rsid w:val="00911919"/>
    <w:rsid w:val="009121FB"/>
    <w:rsid w:val="0091241B"/>
    <w:rsid w:val="0091245E"/>
    <w:rsid w:val="0091281A"/>
    <w:rsid w:val="00913037"/>
    <w:rsid w:val="00913138"/>
    <w:rsid w:val="009131ED"/>
    <w:rsid w:val="00913314"/>
    <w:rsid w:val="009134B7"/>
    <w:rsid w:val="009135EF"/>
    <w:rsid w:val="0091369E"/>
    <w:rsid w:val="0091384F"/>
    <w:rsid w:val="00913A72"/>
    <w:rsid w:val="00914078"/>
    <w:rsid w:val="00914090"/>
    <w:rsid w:val="009143A9"/>
    <w:rsid w:val="00914E55"/>
    <w:rsid w:val="00915C06"/>
    <w:rsid w:val="00915C84"/>
    <w:rsid w:val="0091606B"/>
    <w:rsid w:val="00916772"/>
    <w:rsid w:val="00916AC7"/>
    <w:rsid w:val="00916BB8"/>
    <w:rsid w:val="00916C2F"/>
    <w:rsid w:val="00916C86"/>
    <w:rsid w:val="00916EAD"/>
    <w:rsid w:val="0091722C"/>
    <w:rsid w:val="009172E8"/>
    <w:rsid w:val="00917537"/>
    <w:rsid w:val="00917617"/>
    <w:rsid w:val="009177F8"/>
    <w:rsid w:val="00917B38"/>
    <w:rsid w:val="00917D49"/>
    <w:rsid w:val="009202B6"/>
    <w:rsid w:val="00920335"/>
    <w:rsid w:val="0092073D"/>
    <w:rsid w:val="0092081E"/>
    <w:rsid w:val="009208D8"/>
    <w:rsid w:val="00920A19"/>
    <w:rsid w:val="00920B00"/>
    <w:rsid w:val="0092103A"/>
    <w:rsid w:val="00921773"/>
    <w:rsid w:val="00921DA7"/>
    <w:rsid w:val="009221B1"/>
    <w:rsid w:val="00922A94"/>
    <w:rsid w:val="009232D2"/>
    <w:rsid w:val="009237DD"/>
    <w:rsid w:val="00923A0F"/>
    <w:rsid w:val="00923D8B"/>
    <w:rsid w:val="00923F10"/>
    <w:rsid w:val="00924221"/>
    <w:rsid w:val="009247B3"/>
    <w:rsid w:val="0092495A"/>
    <w:rsid w:val="00924A04"/>
    <w:rsid w:val="00924A62"/>
    <w:rsid w:val="00924D82"/>
    <w:rsid w:val="00925535"/>
    <w:rsid w:val="00925933"/>
    <w:rsid w:val="009259BC"/>
    <w:rsid w:val="00926582"/>
    <w:rsid w:val="009266D9"/>
    <w:rsid w:val="0092712B"/>
    <w:rsid w:val="00927496"/>
    <w:rsid w:val="009275C4"/>
    <w:rsid w:val="009275FB"/>
    <w:rsid w:val="00927736"/>
    <w:rsid w:val="009277A0"/>
    <w:rsid w:val="00927B71"/>
    <w:rsid w:val="00927C4A"/>
    <w:rsid w:val="009304BB"/>
    <w:rsid w:val="00930E15"/>
    <w:rsid w:val="00931566"/>
    <w:rsid w:val="009318E5"/>
    <w:rsid w:val="00931FDF"/>
    <w:rsid w:val="009322EC"/>
    <w:rsid w:val="00932424"/>
    <w:rsid w:val="00932576"/>
    <w:rsid w:val="009328E7"/>
    <w:rsid w:val="00932F56"/>
    <w:rsid w:val="00933317"/>
    <w:rsid w:val="00933F5C"/>
    <w:rsid w:val="0093480D"/>
    <w:rsid w:val="00934D45"/>
    <w:rsid w:val="00934D77"/>
    <w:rsid w:val="00935253"/>
    <w:rsid w:val="0093526B"/>
    <w:rsid w:val="00935294"/>
    <w:rsid w:val="009352DD"/>
    <w:rsid w:val="0093542F"/>
    <w:rsid w:val="00935A71"/>
    <w:rsid w:val="00935C58"/>
    <w:rsid w:val="00935CBC"/>
    <w:rsid w:val="00935DDB"/>
    <w:rsid w:val="00935EE3"/>
    <w:rsid w:val="0093607D"/>
    <w:rsid w:val="00936667"/>
    <w:rsid w:val="00936D04"/>
    <w:rsid w:val="0093707E"/>
    <w:rsid w:val="0093716C"/>
    <w:rsid w:val="00937633"/>
    <w:rsid w:val="00937A34"/>
    <w:rsid w:val="00940094"/>
    <w:rsid w:val="0094010D"/>
    <w:rsid w:val="009402E2"/>
    <w:rsid w:val="00940398"/>
    <w:rsid w:val="00940FCB"/>
    <w:rsid w:val="00941277"/>
    <w:rsid w:val="009413AB"/>
    <w:rsid w:val="00941703"/>
    <w:rsid w:val="00942324"/>
    <w:rsid w:val="00942462"/>
    <w:rsid w:val="00942D25"/>
    <w:rsid w:val="0094368A"/>
    <w:rsid w:val="009436C2"/>
    <w:rsid w:val="009438D4"/>
    <w:rsid w:val="00943946"/>
    <w:rsid w:val="00943957"/>
    <w:rsid w:val="00943A5A"/>
    <w:rsid w:val="00943C0B"/>
    <w:rsid w:val="00943DB5"/>
    <w:rsid w:val="00943FD7"/>
    <w:rsid w:val="0094402D"/>
    <w:rsid w:val="009440C9"/>
    <w:rsid w:val="009440F1"/>
    <w:rsid w:val="00944225"/>
    <w:rsid w:val="009443B9"/>
    <w:rsid w:val="00944706"/>
    <w:rsid w:val="0094477D"/>
    <w:rsid w:val="009449F1"/>
    <w:rsid w:val="00944EDC"/>
    <w:rsid w:val="00944F32"/>
    <w:rsid w:val="009451CA"/>
    <w:rsid w:val="00945599"/>
    <w:rsid w:val="009455CC"/>
    <w:rsid w:val="00945922"/>
    <w:rsid w:val="0094595C"/>
    <w:rsid w:val="0094614F"/>
    <w:rsid w:val="009461DA"/>
    <w:rsid w:val="00946FBE"/>
    <w:rsid w:val="00949569"/>
    <w:rsid w:val="009501EF"/>
    <w:rsid w:val="00950272"/>
    <w:rsid w:val="00950283"/>
    <w:rsid w:val="009502E4"/>
    <w:rsid w:val="0095089B"/>
    <w:rsid w:val="0095089D"/>
    <w:rsid w:val="009510AF"/>
    <w:rsid w:val="00951543"/>
    <w:rsid w:val="009515F2"/>
    <w:rsid w:val="009518C4"/>
    <w:rsid w:val="00951B5A"/>
    <w:rsid w:val="009520B0"/>
    <w:rsid w:val="009522A4"/>
    <w:rsid w:val="00952AC9"/>
    <w:rsid w:val="00952B53"/>
    <w:rsid w:val="00952BA9"/>
    <w:rsid w:val="00952D8A"/>
    <w:rsid w:val="00953307"/>
    <w:rsid w:val="00953848"/>
    <w:rsid w:val="00953F76"/>
    <w:rsid w:val="00954124"/>
    <w:rsid w:val="00954187"/>
    <w:rsid w:val="009541EC"/>
    <w:rsid w:val="00954315"/>
    <w:rsid w:val="00954540"/>
    <w:rsid w:val="0095490E"/>
    <w:rsid w:val="009551CF"/>
    <w:rsid w:val="009551F9"/>
    <w:rsid w:val="0095538A"/>
    <w:rsid w:val="00955879"/>
    <w:rsid w:val="00955959"/>
    <w:rsid w:val="00955D0E"/>
    <w:rsid w:val="00955E8B"/>
    <w:rsid w:val="00956084"/>
    <w:rsid w:val="009564EE"/>
    <w:rsid w:val="00956F2F"/>
    <w:rsid w:val="00957400"/>
    <w:rsid w:val="00957494"/>
    <w:rsid w:val="0095770B"/>
    <w:rsid w:val="00957B50"/>
    <w:rsid w:val="00960423"/>
    <w:rsid w:val="00960CFD"/>
    <w:rsid w:val="0096112C"/>
    <w:rsid w:val="00961407"/>
    <w:rsid w:val="00961814"/>
    <w:rsid w:val="009619A1"/>
    <w:rsid w:val="00961BE8"/>
    <w:rsid w:val="00961CD8"/>
    <w:rsid w:val="00961D7E"/>
    <w:rsid w:val="00961E19"/>
    <w:rsid w:val="00961E39"/>
    <w:rsid w:val="00962207"/>
    <w:rsid w:val="00962565"/>
    <w:rsid w:val="0096271C"/>
    <w:rsid w:val="0096282B"/>
    <w:rsid w:val="0096315C"/>
    <w:rsid w:val="009631E5"/>
    <w:rsid w:val="00963359"/>
    <w:rsid w:val="0096375D"/>
    <w:rsid w:val="009637D2"/>
    <w:rsid w:val="009638A0"/>
    <w:rsid w:val="00964671"/>
    <w:rsid w:val="00964C9E"/>
    <w:rsid w:val="00965225"/>
    <w:rsid w:val="00965278"/>
    <w:rsid w:val="0096540B"/>
    <w:rsid w:val="00965444"/>
    <w:rsid w:val="009654F7"/>
    <w:rsid w:val="009657ED"/>
    <w:rsid w:val="0096592D"/>
    <w:rsid w:val="00965A5C"/>
    <w:rsid w:val="00966094"/>
    <w:rsid w:val="00966309"/>
    <w:rsid w:val="00966C46"/>
    <w:rsid w:val="00966F09"/>
    <w:rsid w:val="00966F39"/>
    <w:rsid w:val="009670A0"/>
    <w:rsid w:val="009672BA"/>
    <w:rsid w:val="009677DE"/>
    <w:rsid w:val="009679AB"/>
    <w:rsid w:val="00967A90"/>
    <w:rsid w:val="00967C56"/>
    <w:rsid w:val="00967C57"/>
    <w:rsid w:val="0096F219"/>
    <w:rsid w:val="0097079E"/>
    <w:rsid w:val="00970897"/>
    <w:rsid w:val="00970BE8"/>
    <w:rsid w:val="00970E29"/>
    <w:rsid w:val="0097124B"/>
    <w:rsid w:val="0097143F"/>
    <w:rsid w:val="009715AD"/>
    <w:rsid w:val="0097160B"/>
    <w:rsid w:val="00971D64"/>
    <w:rsid w:val="00972087"/>
    <w:rsid w:val="009720E4"/>
    <w:rsid w:val="0097213F"/>
    <w:rsid w:val="009725F4"/>
    <w:rsid w:val="009726BA"/>
    <w:rsid w:val="00972BFA"/>
    <w:rsid w:val="0097330D"/>
    <w:rsid w:val="0097369B"/>
    <w:rsid w:val="00973770"/>
    <w:rsid w:val="0097404D"/>
    <w:rsid w:val="0097406D"/>
    <w:rsid w:val="00974576"/>
    <w:rsid w:val="009745AC"/>
    <w:rsid w:val="009745B4"/>
    <w:rsid w:val="00974A4F"/>
    <w:rsid w:val="00974AA9"/>
    <w:rsid w:val="00974AB7"/>
    <w:rsid w:val="009751FD"/>
    <w:rsid w:val="009754C3"/>
    <w:rsid w:val="00975532"/>
    <w:rsid w:val="0097573B"/>
    <w:rsid w:val="00975993"/>
    <w:rsid w:val="00975C1A"/>
    <w:rsid w:val="00976074"/>
    <w:rsid w:val="00976493"/>
    <w:rsid w:val="00976545"/>
    <w:rsid w:val="00976BB3"/>
    <w:rsid w:val="00977061"/>
    <w:rsid w:val="009771D6"/>
    <w:rsid w:val="009771E1"/>
    <w:rsid w:val="009773B1"/>
    <w:rsid w:val="009774E2"/>
    <w:rsid w:val="009776D0"/>
    <w:rsid w:val="00977FA1"/>
    <w:rsid w:val="00980501"/>
    <w:rsid w:val="00980CFE"/>
    <w:rsid w:val="00980D26"/>
    <w:rsid w:val="0098117D"/>
    <w:rsid w:val="00981419"/>
    <w:rsid w:val="009815C9"/>
    <w:rsid w:val="00981A87"/>
    <w:rsid w:val="009824BE"/>
    <w:rsid w:val="009825C8"/>
    <w:rsid w:val="0098269D"/>
    <w:rsid w:val="0098276E"/>
    <w:rsid w:val="0098293E"/>
    <w:rsid w:val="00982995"/>
    <w:rsid w:val="00982A0F"/>
    <w:rsid w:val="00982AFA"/>
    <w:rsid w:val="00982D24"/>
    <w:rsid w:val="009830E7"/>
    <w:rsid w:val="009831DA"/>
    <w:rsid w:val="009831F7"/>
    <w:rsid w:val="0098333F"/>
    <w:rsid w:val="0098397E"/>
    <w:rsid w:val="00983B78"/>
    <w:rsid w:val="00983BA1"/>
    <w:rsid w:val="0098417F"/>
    <w:rsid w:val="009842C3"/>
    <w:rsid w:val="009847A1"/>
    <w:rsid w:val="0098504E"/>
    <w:rsid w:val="0098525A"/>
    <w:rsid w:val="0098559D"/>
    <w:rsid w:val="00985B07"/>
    <w:rsid w:val="00986342"/>
    <w:rsid w:val="0098648E"/>
    <w:rsid w:val="009871B9"/>
    <w:rsid w:val="00987556"/>
    <w:rsid w:val="0098781B"/>
    <w:rsid w:val="009878C5"/>
    <w:rsid w:val="00987A51"/>
    <w:rsid w:val="00987CB6"/>
    <w:rsid w:val="00987F98"/>
    <w:rsid w:val="009903AB"/>
    <w:rsid w:val="0099073F"/>
    <w:rsid w:val="009907A2"/>
    <w:rsid w:val="00990AD6"/>
    <w:rsid w:val="00991987"/>
    <w:rsid w:val="00991C45"/>
    <w:rsid w:val="00991E20"/>
    <w:rsid w:val="00992C06"/>
    <w:rsid w:val="00992C4B"/>
    <w:rsid w:val="009932DF"/>
    <w:rsid w:val="00993388"/>
    <w:rsid w:val="009933F5"/>
    <w:rsid w:val="00993B99"/>
    <w:rsid w:val="00993D72"/>
    <w:rsid w:val="00994413"/>
    <w:rsid w:val="00994E40"/>
    <w:rsid w:val="00995474"/>
    <w:rsid w:val="009956DB"/>
    <w:rsid w:val="00995964"/>
    <w:rsid w:val="009959B0"/>
    <w:rsid w:val="00995A44"/>
    <w:rsid w:val="00995E89"/>
    <w:rsid w:val="009967EA"/>
    <w:rsid w:val="009967F1"/>
    <w:rsid w:val="009968F2"/>
    <w:rsid w:val="00996EB1"/>
    <w:rsid w:val="00997662"/>
    <w:rsid w:val="00997BE9"/>
    <w:rsid w:val="00997FC0"/>
    <w:rsid w:val="009A006B"/>
    <w:rsid w:val="009A02A5"/>
    <w:rsid w:val="009A077A"/>
    <w:rsid w:val="009A113D"/>
    <w:rsid w:val="009A1282"/>
    <w:rsid w:val="009A1D42"/>
    <w:rsid w:val="009A2AA4"/>
    <w:rsid w:val="009A35F8"/>
    <w:rsid w:val="009A374E"/>
    <w:rsid w:val="009A3C69"/>
    <w:rsid w:val="009A3EC3"/>
    <w:rsid w:val="009A4127"/>
    <w:rsid w:val="009A476C"/>
    <w:rsid w:val="009A49C7"/>
    <w:rsid w:val="009A5075"/>
    <w:rsid w:val="009A52B0"/>
    <w:rsid w:val="009A57DA"/>
    <w:rsid w:val="009A5FAA"/>
    <w:rsid w:val="009A6111"/>
    <w:rsid w:val="009A634B"/>
    <w:rsid w:val="009A7073"/>
    <w:rsid w:val="009A7082"/>
    <w:rsid w:val="009A7098"/>
    <w:rsid w:val="009A71B9"/>
    <w:rsid w:val="009A737B"/>
    <w:rsid w:val="009A73D0"/>
    <w:rsid w:val="009A7820"/>
    <w:rsid w:val="009A79E8"/>
    <w:rsid w:val="009A7AF5"/>
    <w:rsid w:val="009A7D69"/>
    <w:rsid w:val="009A7E53"/>
    <w:rsid w:val="009B05E5"/>
    <w:rsid w:val="009B0612"/>
    <w:rsid w:val="009B06D7"/>
    <w:rsid w:val="009B076C"/>
    <w:rsid w:val="009B0852"/>
    <w:rsid w:val="009B08FA"/>
    <w:rsid w:val="009B0BC6"/>
    <w:rsid w:val="009B0DBD"/>
    <w:rsid w:val="009B10BF"/>
    <w:rsid w:val="009B145E"/>
    <w:rsid w:val="009B166C"/>
    <w:rsid w:val="009B19CF"/>
    <w:rsid w:val="009B1F60"/>
    <w:rsid w:val="009B220E"/>
    <w:rsid w:val="009B2554"/>
    <w:rsid w:val="009B29D9"/>
    <w:rsid w:val="009B33C4"/>
    <w:rsid w:val="009B38E2"/>
    <w:rsid w:val="009B3B83"/>
    <w:rsid w:val="009B3D10"/>
    <w:rsid w:val="009B4320"/>
    <w:rsid w:val="009B43A6"/>
    <w:rsid w:val="009B463A"/>
    <w:rsid w:val="009B4A3D"/>
    <w:rsid w:val="009B4B6A"/>
    <w:rsid w:val="009B4C28"/>
    <w:rsid w:val="009B4C8A"/>
    <w:rsid w:val="009B50E7"/>
    <w:rsid w:val="009B58BA"/>
    <w:rsid w:val="009B593D"/>
    <w:rsid w:val="009B5E30"/>
    <w:rsid w:val="009B5F6E"/>
    <w:rsid w:val="009B6436"/>
    <w:rsid w:val="009B6749"/>
    <w:rsid w:val="009B68B9"/>
    <w:rsid w:val="009B6AEA"/>
    <w:rsid w:val="009B7572"/>
    <w:rsid w:val="009B76FA"/>
    <w:rsid w:val="009B7702"/>
    <w:rsid w:val="009B78EF"/>
    <w:rsid w:val="009B7A28"/>
    <w:rsid w:val="009B7A91"/>
    <w:rsid w:val="009B7CF8"/>
    <w:rsid w:val="009B7D66"/>
    <w:rsid w:val="009B7F5E"/>
    <w:rsid w:val="009B7FC8"/>
    <w:rsid w:val="009B8A81"/>
    <w:rsid w:val="009B8E0A"/>
    <w:rsid w:val="009C0100"/>
    <w:rsid w:val="009C03AD"/>
    <w:rsid w:val="009C063C"/>
    <w:rsid w:val="009C0CE3"/>
    <w:rsid w:val="009C0CEE"/>
    <w:rsid w:val="009C0EFD"/>
    <w:rsid w:val="009C1547"/>
    <w:rsid w:val="009C1C37"/>
    <w:rsid w:val="009C1D42"/>
    <w:rsid w:val="009C1E84"/>
    <w:rsid w:val="009C2786"/>
    <w:rsid w:val="009C2C10"/>
    <w:rsid w:val="009C345F"/>
    <w:rsid w:val="009C44E1"/>
    <w:rsid w:val="009C4521"/>
    <w:rsid w:val="009C47E8"/>
    <w:rsid w:val="009C4A45"/>
    <w:rsid w:val="009C4B01"/>
    <w:rsid w:val="009C4F0B"/>
    <w:rsid w:val="009C53EF"/>
    <w:rsid w:val="009C553A"/>
    <w:rsid w:val="009C5786"/>
    <w:rsid w:val="009C57CA"/>
    <w:rsid w:val="009C5A40"/>
    <w:rsid w:val="009C65BA"/>
    <w:rsid w:val="009C686F"/>
    <w:rsid w:val="009C7105"/>
    <w:rsid w:val="009C757E"/>
    <w:rsid w:val="009C7738"/>
    <w:rsid w:val="009C77B4"/>
    <w:rsid w:val="009C7EF3"/>
    <w:rsid w:val="009D0096"/>
    <w:rsid w:val="009D01A5"/>
    <w:rsid w:val="009D050B"/>
    <w:rsid w:val="009D0D05"/>
    <w:rsid w:val="009D0DD0"/>
    <w:rsid w:val="009D0FFB"/>
    <w:rsid w:val="009D197B"/>
    <w:rsid w:val="009D24E2"/>
    <w:rsid w:val="009D25CD"/>
    <w:rsid w:val="009D2CD2"/>
    <w:rsid w:val="009D2F82"/>
    <w:rsid w:val="009D3ADD"/>
    <w:rsid w:val="009D3B47"/>
    <w:rsid w:val="009D419D"/>
    <w:rsid w:val="009D47DF"/>
    <w:rsid w:val="009D4BA1"/>
    <w:rsid w:val="009D4BB1"/>
    <w:rsid w:val="009D5A9D"/>
    <w:rsid w:val="009D5D2F"/>
    <w:rsid w:val="009D5F5D"/>
    <w:rsid w:val="009D604A"/>
    <w:rsid w:val="009D6307"/>
    <w:rsid w:val="009D64EC"/>
    <w:rsid w:val="009D67C8"/>
    <w:rsid w:val="009D6CB0"/>
    <w:rsid w:val="009D76DA"/>
    <w:rsid w:val="009D7723"/>
    <w:rsid w:val="009E0169"/>
    <w:rsid w:val="009E06AA"/>
    <w:rsid w:val="009E0A4D"/>
    <w:rsid w:val="009E0D2E"/>
    <w:rsid w:val="009E0DB7"/>
    <w:rsid w:val="009E0E40"/>
    <w:rsid w:val="009E1722"/>
    <w:rsid w:val="009E1865"/>
    <w:rsid w:val="009E1C62"/>
    <w:rsid w:val="009E1C65"/>
    <w:rsid w:val="009E1D55"/>
    <w:rsid w:val="009E221E"/>
    <w:rsid w:val="009E24D3"/>
    <w:rsid w:val="009E2543"/>
    <w:rsid w:val="009E2B9C"/>
    <w:rsid w:val="009E2CD3"/>
    <w:rsid w:val="009E2E18"/>
    <w:rsid w:val="009E2F60"/>
    <w:rsid w:val="009E2FD6"/>
    <w:rsid w:val="009E3921"/>
    <w:rsid w:val="009E39BD"/>
    <w:rsid w:val="009E3AA9"/>
    <w:rsid w:val="009E3B7A"/>
    <w:rsid w:val="009E3C97"/>
    <w:rsid w:val="009E3D78"/>
    <w:rsid w:val="009E3DFF"/>
    <w:rsid w:val="009E3F1C"/>
    <w:rsid w:val="009E4216"/>
    <w:rsid w:val="009E4604"/>
    <w:rsid w:val="009E4891"/>
    <w:rsid w:val="009E4937"/>
    <w:rsid w:val="009E4C9A"/>
    <w:rsid w:val="009E4D51"/>
    <w:rsid w:val="009E4DAD"/>
    <w:rsid w:val="009E4EA7"/>
    <w:rsid w:val="009E511A"/>
    <w:rsid w:val="009E518D"/>
    <w:rsid w:val="009E520A"/>
    <w:rsid w:val="009E5770"/>
    <w:rsid w:val="009E5B51"/>
    <w:rsid w:val="009E5BA6"/>
    <w:rsid w:val="009E5CEC"/>
    <w:rsid w:val="009E64F2"/>
    <w:rsid w:val="009E6702"/>
    <w:rsid w:val="009E670C"/>
    <w:rsid w:val="009E68EE"/>
    <w:rsid w:val="009E710E"/>
    <w:rsid w:val="009E7850"/>
    <w:rsid w:val="009E7D64"/>
    <w:rsid w:val="009E7E83"/>
    <w:rsid w:val="009EEB1A"/>
    <w:rsid w:val="009F0334"/>
    <w:rsid w:val="009F0E04"/>
    <w:rsid w:val="009F0F79"/>
    <w:rsid w:val="009F10D9"/>
    <w:rsid w:val="009F10F3"/>
    <w:rsid w:val="009F11FE"/>
    <w:rsid w:val="009F1201"/>
    <w:rsid w:val="009F16D2"/>
    <w:rsid w:val="009F1C5F"/>
    <w:rsid w:val="009F2560"/>
    <w:rsid w:val="009F2C22"/>
    <w:rsid w:val="009F3185"/>
    <w:rsid w:val="009F3327"/>
    <w:rsid w:val="009F3704"/>
    <w:rsid w:val="009F383F"/>
    <w:rsid w:val="009F3AA4"/>
    <w:rsid w:val="009F3B07"/>
    <w:rsid w:val="009F3CFF"/>
    <w:rsid w:val="009F3E9F"/>
    <w:rsid w:val="009F42A9"/>
    <w:rsid w:val="009F4534"/>
    <w:rsid w:val="009F4685"/>
    <w:rsid w:val="009F4E67"/>
    <w:rsid w:val="009F54BB"/>
    <w:rsid w:val="009F54DF"/>
    <w:rsid w:val="009F59FA"/>
    <w:rsid w:val="009F5BFE"/>
    <w:rsid w:val="009F6233"/>
    <w:rsid w:val="009F6378"/>
    <w:rsid w:val="009F63BC"/>
    <w:rsid w:val="009F6757"/>
    <w:rsid w:val="009F6844"/>
    <w:rsid w:val="009F717B"/>
    <w:rsid w:val="009F726B"/>
    <w:rsid w:val="009F733D"/>
    <w:rsid w:val="009F738D"/>
    <w:rsid w:val="009F7CB1"/>
    <w:rsid w:val="009F7DDB"/>
    <w:rsid w:val="00A0022B"/>
    <w:rsid w:val="00A003EE"/>
    <w:rsid w:val="00A00A21"/>
    <w:rsid w:val="00A01236"/>
    <w:rsid w:val="00A0126C"/>
    <w:rsid w:val="00A01D66"/>
    <w:rsid w:val="00A0252B"/>
    <w:rsid w:val="00A02A0D"/>
    <w:rsid w:val="00A02D50"/>
    <w:rsid w:val="00A02DE8"/>
    <w:rsid w:val="00A03097"/>
    <w:rsid w:val="00A034C8"/>
    <w:rsid w:val="00A03A41"/>
    <w:rsid w:val="00A03D78"/>
    <w:rsid w:val="00A03E90"/>
    <w:rsid w:val="00A03F28"/>
    <w:rsid w:val="00A04273"/>
    <w:rsid w:val="00A04282"/>
    <w:rsid w:val="00A04299"/>
    <w:rsid w:val="00A04465"/>
    <w:rsid w:val="00A04DEB"/>
    <w:rsid w:val="00A0523A"/>
    <w:rsid w:val="00A0533D"/>
    <w:rsid w:val="00A056F7"/>
    <w:rsid w:val="00A05C25"/>
    <w:rsid w:val="00A06143"/>
    <w:rsid w:val="00A06698"/>
    <w:rsid w:val="00A069D8"/>
    <w:rsid w:val="00A06CA1"/>
    <w:rsid w:val="00A06D62"/>
    <w:rsid w:val="00A073F0"/>
    <w:rsid w:val="00A0747A"/>
    <w:rsid w:val="00A075EC"/>
    <w:rsid w:val="00A07D7A"/>
    <w:rsid w:val="00A07DED"/>
    <w:rsid w:val="00A07E93"/>
    <w:rsid w:val="00A1000F"/>
    <w:rsid w:val="00A100BC"/>
    <w:rsid w:val="00A100DB"/>
    <w:rsid w:val="00A10F9B"/>
    <w:rsid w:val="00A11189"/>
    <w:rsid w:val="00A11411"/>
    <w:rsid w:val="00A1148E"/>
    <w:rsid w:val="00A114C2"/>
    <w:rsid w:val="00A1159A"/>
    <w:rsid w:val="00A11675"/>
    <w:rsid w:val="00A116B2"/>
    <w:rsid w:val="00A1217B"/>
    <w:rsid w:val="00A1218E"/>
    <w:rsid w:val="00A121DB"/>
    <w:rsid w:val="00A12AE7"/>
    <w:rsid w:val="00A12C08"/>
    <w:rsid w:val="00A12C63"/>
    <w:rsid w:val="00A1314F"/>
    <w:rsid w:val="00A131DA"/>
    <w:rsid w:val="00A13348"/>
    <w:rsid w:val="00A1387C"/>
    <w:rsid w:val="00A139BC"/>
    <w:rsid w:val="00A13A57"/>
    <w:rsid w:val="00A13A72"/>
    <w:rsid w:val="00A13AF5"/>
    <w:rsid w:val="00A13B16"/>
    <w:rsid w:val="00A13BC2"/>
    <w:rsid w:val="00A13D4C"/>
    <w:rsid w:val="00A13EB6"/>
    <w:rsid w:val="00A146AA"/>
    <w:rsid w:val="00A15568"/>
    <w:rsid w:val="00A15901"/>
    <w:rsid w:val="00A15A3B"/>
    <w:rsid w:val="00A15C16"/>
    <w:rsid w:val="00A15C50"/>
    <w:rsid w:val="00A15D96"/>
    <w:rsid w:val="00A16CF3"/>
    <w:rsid w:val="00A16DDA"/>
    <w:rsid w:val="00A17430"/>
    <w:rsid w:val="00A17C27"/>
    <w:rsid w:val="00A17E37"/>
    <w:rsid w:val="00A1CE3E"/>
    <w:rsid w:val="00A202ED"/>
    <w:rsid w:val="00A20324"/>
    <w:rsid w:val="00A20543"/>
    <w:rsid w:val="00A2057C"/>
    <w:rsid w:val="00A209D6"/>
    <w:rsid w:val="00A20A3A"/>
    <w:rsid w:val="00A20C2D"/>
    <w:rsid w:val="00A21157"/>
    <w:rsid w:val="00A2122C"/>
    <w:rsid w:val="00A2149B"/>
    <w:rsid w:val="00A22179"/>
    <w:rsid w:val="00A2228A"/>
    <w:rsid w:val="00A2269B"/>
    <w:rsid w:val="00A22859"/>
    <w:rsid w:val="00A22B8E"/>
    <w:rsid w:val="00A23440"/>
    <w:rsid w:val="00A23497"/>
    <w:rsid w:val="00A236BB"/>
    <w:rsid w:val="00A2374E"/>
    <w:rsid w:val="00A239D0"/>
    <w:rsid w:val="00A23B46"/>
    <w:rsid w:val="00A23BBF"/>
    <w:rsid w:val="00A243DF"/>
    <w:rsid w:val="00A24595"/>
    <w:rsid w:val="00A24B90"/>
    <w:rsid w:val="00A24C44"/>
    <w:rsid w:val="00A24DCB"/>
    <w:rsid w:val="00A24EF3"/>
    <w:rsid w:val="00A251AF"/>
    <w:rsid w:val="00A25872"/>
    <w:rsid w:val="00A26204"/>
    <w:rsid w:val="00A2648D"/>
    <w:rsid w:val="00A26499"/>
    <w:rsid w:val="00A26712"/>
    <w:rsid w:val="00A2691C"/>
    <w:rsid w:val="00A26C23"/>
    <w:rsid w:val="00A26DF4"/>
    <w:rsid w:val="00A26FCF"/>
    <w:rsid w:val="00A27180"/>
    <w:rsid w:val="00A2735E"/>
    <w:rsid w:val="00A276AD"/>
    <w:rsid w:val="00A276E7"/>
    <w:rsid w:val="00A27F8F"/>
    <w:rsid w:val="00A307DF"/>
    <w:rsid w:val="00A30A90"/>
    <w:rsid w:val="00A31517"/>
    <w:rsid w:val="00A317C2"/>
    <w:rsid w:val="00A31D3A"/>
    <w:rsid w:val="00A3207B"/>
    <w:rsid w:val="00A322DB"/>
    <w:rsid w:val="00A32489"/>
    <w:rsid w:val="00A3300B"/>
    <w:rsid w:val="00A331CF"/>
    <w:rsid w:val="00A3356F"/>
    <w:rsid w:val="00A335DC"/>
    <w:rsid w:val="00A339E2"/>
    <w:rsid w:val="00A340FE"/>
    <w:rsid w:val="00A3468E"/>
    <w:rsid w:val="00A34734"/>
    <w:rsid w:val="00A348A0"/>
    <w:rsid w:val="00A35ABE"/>
    <w:rsid w:val="00A35CCB"/>
    <w:rsid w:val="00A366FE"/>
    <w:rsid w:val="00A367FC"/>
    <w:rsid w:val="00A370F9"/>
    <w:rsid w:val="00A3769E"/>
    <w:rsid w:val="00A376E2"/>
    <w:rsid w:val="00A37735"/>
    <w:rsid w:val="00A37DB2"/>
    <w:rsid w:val="00A40092"/>
    <w:rsid w:val="00A407E2"/>
    <w:rsid w:val="00A40C66"/>
    <w:rsid w:val="00A4166C"/>
    <w:rsid w:val="00A417E4"/>
    <w:rsid w:val="00A4181B"/>
    <w:rsid w:val="00A418C8"/>
    <w:rsid w:val="00A419DC"/>
    <w:rsid w:val="00A41AB9"/>
    <w:rsid w:val="00A41B0F"/>
    <w:rsid w:val="00A4208C"/>
    <w:rsid w:val="00A421DA"/>
    <w:rsid w:val="00A42463"/>
    <w:rsid w:val="00A4299C"/>
    <w:rsid w:val="00A429A9"/>
    <w:rsid w:val="00A42ABC"/>
    <w:rsid w:val="00A42E27"/>
    <w:rsid w:val="00A430A8"/>
    <w:rsid w:val="00A43122"/>
    <w:rsid w:val="00A43481"/>
    <w:rsid w:val="00A43708"/>
    <w:rsid w:val="00A43749"/>
    <w:rsid w:val="00A43F18"/>
    <w:rsid w:val="00A44284"/>
    <w:rsid w:val="00A44693"/>
    <w:rsid w:val="00A44914"/>
    <w:rsid w:val="00A44A2A"/>
    <w:rsid w:val="00A44BC5"/>
    <w:rsid w:val="00A44E07"/>
    <w:rsid w:val="00A456DE"/>
    <w:rsid w:val="00A46258"/>
    <w:rsid w:val="00A4650F"/>
    <w:rsid w:val="00A466A2"/>
    <w:rsid w:val="00A46AD1"/>
    <w:rsid w:val="00A46DAA"/>
    <w:rsid w:val="00A46DE0"/>
    <w:rsid w:val="00A477EB"/>
    <w:rsid w:val="00A479C9"/>
    <w:rsid w:val="00A47F81"/>
    <w:rsid w:val="00A47F87"/>
    <w:rsid w:val="00A50A2F"/>
    <w:rsid w:val="00A50B38"/>
    <w:rsid w:val="00A51167"/>
    <w:rsid w:val="00A511F1"/>
    <w:rsid w:val="00A5127B"/>
    <w:rsid w:val="00A5134C"/>
    <w:rsid w:val="00A515EB"/>
    <w:rsid w:val="00A519DA"/>
    <w:rsid w:val="00A52069"/>
    <w:rsid w:val="00A526E8"/>
    <w:rsid w:val="00A52ABC"/>
    <w:rsid w:val="00A53433"/>
    <w:rsid w:val="00A536ED"/>
    <w:rsid w:val="00A53A7F"/>
    <w:rsid w:val="00A53AFF"/>
    <w:rsid w:val="00A53BE7"/>
    <w:rsid w:val="00A53E2F"/>
    <w:rsid w:val="00A53E87"/>
    <w:rsid w:val="00A55039"/>
    <w:rsid w:val="00A55042"/>
    <w:rsid w:val="00A551E5"/>
    <w:rsid w:val="00A55863"/>
    <w:rsid w:val="00A56577"/>
    <w:rsid w:val="00A567F8"/>
    <w:rsid w:val="00A5685D"/>
    <w:rsid w:val="00A56A47"/>
    <w:rsid w:val="00A56D56"/>
    <w:rsid w:val="00A56EF3"/>
    <w:rsid w:val="00A577F1"/>
    <w:rsid w:val="00A57970"/>
    <w:rsid w:val="00A6013B"/>
    <w:rsid w:val="00A603DF"/>
    <w:rsid w:val="00A60857"/>
    <w:rsid w:val="00A6095B"/>
    <w:rsid w:val="00A60BD1"/>
    <w:rsid w:val="00A60E1A"/>
    <w:rsid w:val="00A60E96"/>
    <w:rsid w:val="00A60F6A"/>
    <w:rsid w:val="00A6127B"/>
    <w:rsid w:val="00A61298"/>
    <w:rsid w:val="00A6192E"/>
    <w:rsid w:val="00A61CE1"/>
    <w:rsid w:val="00A621A3"/>
    <w:rsid w:val="00A621D2"/>
    <w:rsid w:val="00A627B0"/>
    <w:rsid w:val="00A62AE3"/>
    <w:rsid w:val="00A62C8F"/>
    <w:rsid w:val="00A6304A"/>
    <w:rsid w:val="00A634F8"/>
    <w:rsid w:val="00A6417E"/>
    <w:rsid w:val="00A6420E"/>
    <w:rsid w:val="00A642EB"/>
    <w:rsid w:val="00A643A5"/>
    <w:rsid w:val="00A6442D"/>
    <w:rsid w:val="00A6495F"/>
    <w:rsid w:val="00A649CE"/>
    <w:rsid w:val="00A64A2F"/>
    <w:rsid w:val="00A6500B"/>
    <w:rsid w:val="00A65099"/>
    <w:rsid w:val="00A6518D"/>
    <w:rsid w:val="00A65512"/>
    <w:rsid w:val="00A65953"/>
    <w:rsid w:val="00A6599D"/>
    <w:rsid w:val="00A659E8"/>
    <w:rsid w:val="00A65A7B"/>
    <w:rsid w:val="00A660C8"/>
    <w:rsid w:val="00A66331"/>
    <w:rsid w:val="00A66C42"/>
    <w:rsid w:val="00A66F03"/>
    <w:rsid w:val="00A671B4"/>
    <w:rsid w:val="00A67532"/>
    <w:rsid w:val="00A676BD"/>
    <w:rsid w:val="00A678E5"/>
    <w:rsid w:val="00A67A22"/>
    <w:rsid w:val="00A67AFD"/>
    <w:rsid w:val="00A67FF8"/>
    <w:rsid w:val="00A6FBD2"/>
    <w:rsid w:val="00A70009"/>
    <w:rsid w:val="00A70118"/>
    <w:rsid w:val="00A702A7"/>
    <w:rsid w:val="00A703E4"/>
    <w:rsid w:val="00A70696"/>
    <w:rsid w:val="00A70876"/>
    <w:rsid w:val="00A708D2"/>
    <w:rsid w:val="00A713C9"/>
    <w:rsid w:val="00A71676"/>
    <w:rsid w:val="00A71809"/>
    <w:rsid w:val="00A728A1"/>
    <w:rsid w:val="00A7298B"/>
    <w:rsid w:val="00A72BAA"/>
    <w:rsid w:val="00A73115"/>
    <w:rsid w:val="00A73361"/>
    <w:rsid w:val="00A7365E"/>
    <w:rsid w:val="00A736CC"/>
    <w:rsid w:val="00A746E7"/>
    <w:rsid w:val="00A74A1A"/>
    <w:rsid w:val="00A74A26"/>
    <w:rsid w:val="00A74FC5"/>
    <w:rsid w:val="00A751A7"/>
    <w:rsid w:val="00A75373"/>
    <w:rsid w:val="00A755E9"/>
    <w:rsid w:val="00A756E0"/>
    <w:rsid w:val="00A7576A"/>
    <w:rsid w:val="00A75A9A"/>
    <w:rsid w:val="00A75BB1"/>
    <w:rsid w:val="00A7637C"/>
    <w:rsid w:val="00A763FB"/>
    <w:rsid w:val="00A76654"/>
    <w:rsid w:val="00A767D4"/>
    <w:rsid w:val="00A7684D"/>
    <w:rsid w:val="00A76BFB"/>
    <w:rsid w:val="00A77128"/>
    <w:rsid w:val="00A7722B"/>
    <w:rsid w:val="00A77575"/>
    <w:rsid w:val="00A7765E"/>
    <w:rsid w:val="00A77879"/>
    <w:rsid w:val="00A778B7"/>
    <w:rsid w:val="00A80011"/>
    <w:rsid w:val="00A8005D"/>
    <w:rsid w:val="00A804E6"/>
    <w:rsid w:val="00A80A4B"/>
    <w:rsid w:val="00A80AFD"/>
    <w:rsid w:val="00A80B25"/>
    <w:rsid w:val="00A8185F"/>
    <w:rsid w:val="00A81A5E"/>
    <w:rsid w:val="00A81A68"/>
    <w:rsid w:val="00A81D50"/>
    <w:rsid w:val="00A81DDF"/>
    <w:rsid w:val="00A81F93"/>
    <w:rsid w:val="00A8227A"/>
    <w:rsid w:val="00A8227F"/>
    <w:rsid w:val="00A823EE"/>
    <w:rsid w:val="00A829C8"/>
    <w:rsid w:val="00A83186"/>
    <w:rsid w:val="00A8389E"/>
    <w:rsid w:val="00A83A75"/>
    <w:rsid w:val="00A840D6"/>
    <w:rsid w:val="00A840EC"/>
    <w:rsid w:val="00A84462"/>
    <w:rsid w:val="00A845C4"/>
    <w:rsid w:val="00A845EB"/>
    <w:rsid w:val="00A849E1"/>
    <w:rsid w:val="00A84AEB"/>
    <w:rsid w:val="00A84B6C"/>
    <w:rsid w:val="00A84F61"/>
    <w:rsid w:val="00A8528F"/>
    <w:rsid w:val="00A852D0"/>
    <w:rsid w:val="00A8532E"/>
    <w:rsid w:val="00A854FA"/>
    <w:rsid w:val="00A857CA"/>
    <w:rsid w:val="00A858B4"/>
    <w:rsid w:val="00A8675D"/>
    <w:rsid w:val="00A867BD"/>
    <w:rsid w:val="00A86C75"/>
    <w:rsid w:val="00A86FFB"/>
    <w:rsid w:val="00A877F8"/>
    <w:rsid w:val="00A87812"/>
    <w:rsid w:val="00A87AAA"/>
    <w:rsid w:val="00A87F08"/>
    <w:rsid w:val="00A9017D"/>
    <w:rsid w:val="00A90289"/>
    <w:rsid w:val="00A905FE"/>
    <w:rsid w:val="00A9082F"/>
    <w:rsid w:val="00A909DF"/>
    <w:rsid w:val="00A91315"/>
    <w:rsid w:val="00A91BBB"/>
    <w:rsid w:val="00A91DB3"/>
    <w:rsid w:val="00A926ED"/>
    <w:rsid w:val="00A9284B"/>
    <w:rsid w:val="00A92DD9"/>
    <w:rsid w:val="00A9356A"/>
    <w:rsid w:val="00A94203"/>
    <w:rsid w:val="00A94279"/>
    <w:rsid w:val="00A942D8"/>
    <w:rsid w:val="00A94AC1"/>
    <w:rsid w:val="00A94D74"/>
    <w:rsid w:val="00A94F2E"/>
    <w:rsid w:val="00A95027"/>
    <w:rsid w:val="00A95650"/>
    <w:rsid w:val="00A956C0"/>
    <w:rsid w:val="00A962BF"/>
    <w:rsid w:val="00A966EA"/>
    <w:rsid w:val="00A97140"/>
    <w:rsid w:val="00A97B1A"/>
    <w:rsid w:val="00A97D00"/>
    <w:rsid w:val="00A97DAF"/>
    <w:rsid w:val="00A97DB2"/>
    <w:rsid w:val="00A97F9F"/>
    <w:rsid w:val="00AA00A9"/>
    <w:rsid w:val="00AA02BD"/>
    <w:rsid w:val="00AA0308"/>
    <w:rsid w:val="00AA05B6"/>
    <w:rsid w:val="00AA05D6"/>
    <w:rsid w:val="00AA0850"/>
    <w:rsid w:val="00AA086A"/>
    <w:rsid w:val="00AA08F0"/>
    <w:rsid w:val="00AA090B"/>
    <w:rsid w:val="00AA0CD4"/>
    <w:rsid w:val="00AA1035"/>
    <w:rsid w:val="00AA10D1"/>
    <w:rsid w:val="00AA180B"/>
    <w:rsid w:val="00AA1C46"/>
    <w:rsid w:val="00AA1E03"/>
    <w:rsid w:val="00AA23A2"/>
    <w:rsid w:val="00AA23F3"/>
    <w:rsid w:val="00AA2499"/>
    <w:rsid w:val="00AA2AE9"/>
    <w:rsid w:val="00AA2C3F"/>
    <w:rsid w:val="00AA2DE1"/>
    <w:rsid w:val="00AA2F8E"/>
    <w:rsid w:val="00AA3260"/>
    <w:rsid w:val="00AA34D7"/>
    <w:rsid w:val="00AA3880"/>
    <w:rsid w:val="00AA38EC"/>
    <w:rsid w:val="00AA3A7E"/>
    <w:rsid w:val="00AA3B35"/>
    <w:rsid w:val="00AA3F7A"/>
    <w:rsid w:val="00AA52BF"/>
    <w:rsid w:val="00AA534F"/>
    <w:rsid w:val="00AA58AF"/>
    <w:rsid w:val="00AA5D8E"/>
    <w:rsid w:val="00AA651F"/>
    <w:rsid w:val="00AA6C4E"/>
    <w:rsid w:val="00AA6E4D"/>
    <w:rsid w:val="00AA6E87"/>
    <w:rsid w:val="00AA6F3A"/>
    <w:rsid w:val="00AA71B4"/>
    <w:rsid w:val="00AB035E"/>
    <w:rsid w:val="00AB07D1"/>
    <w:rsid w:val="00AB07E5"/>
    <w:rsid w:val="00AB07FF"/>
    <w:rsid w:val="00AB0873"/>
    <w:rsid w:val="00AB094C"/>
    <w:rsid w:val="00AB1122"/>
    <w:rsid w:val="00AB1199"/>
    <w:rsid w:val="00AB146F"/>
    <w:rsid w:val="00AB1C40"/>
    <w:rsid w:val="00AB1F94"/>
    <w:rsid w:val="00AB2056"/>
    <w:rsid w:val="00AB2057"/>
    <w:rsid w:val="00AB22BD"/>
    <w:rsid w:val="00AB2498"/>
    <w:rsid w:val="00AB25DC"/>
    <w:rsid w:val="00AB2962"/>
    <w:rsid w:val="00AB2B27"/>
    <w:rsid w:val="00AB2D7E"/>
    <w:rsid w:val="00AB3A06"/>
    <w:rsid w:val="00AB3DDA"/>
    <w:rsid w:val="00AB40C3"/>
    <w:rsid w:val="00AB467C"/>
    <w:rsid w:val="00AB47CD"/>
    <w:rsid w:val="00AB4F3A"/>
    <w:rsid w:val="00AB51CC"/>
    <w:rsid w:val="00AB54EA"/>
    <w:rsid w:val="00AB56AA"/>
    <w:rsid w:val="00AB598D"/>
    <w:rsid w:val="00AB5CC5"/>
    <w:rsid w:val="00AB5F1A"/>
    <w:rsid w:val="00AB6145"/>
    <w:rsid w:val="00AB6858"/>
    <w:rsid w:val="00AB696F"/>
    <w:rsid w:val="00AB6D7B"/>
    <w:rsid w:val="00AB6E08"/>
    <w:rsid w:val="00AB75E4"/>
    <w:rsid w:val="00AB7BFC"/>
    <w:rsid w:val="00AC076B"/>
    <w:rsid w:val="00AC0D08"/>
    <w:rsid w:val="00AC0E64"/>
    <w:rsid w:val="00AC0EFD"/>
    <w:rsid w:val="00AC0FAF"/>
    <w:rsid w:val="00AC111B"/>
    <w:rsid w:val="00AC1144"/>
    <w:rsid w:val="00AC18E5"/>
    <w:rsid w:val="00AC1A8A"/>
    <w:rsid w:val="00AC1B6A"/>
    <w:rsid w:val="00AC1CF9"/>
    <w:rsid w:val="00AC2083"/>
    <w:rsid w:val="00AC2723"/>
    <w:rsid w:val="00AC29B3"/>
    <w:rsid w:val="00AC2CA8"/>
    <w:rsid w:val="00AC2E37"/>
    <w:rsid w:val="00AC2F49"/>
    <w:rsid w:val="00AC308B"/>
    <w:rsid w:val="00AC33EE"/>
    <w:rsid w:val="00AC37C7"/>
    <w:rsid w:val="00AC4469"/>
    <w:rsid w:val="00AC46B1"/>
    <w:rsid w:val="00AC4720"/>
    <w:rsid w:val="00AC4799"/>
    <w:rsid w:val="00AC4931"/>
    <w:rsid w:val="00AC4F1E"/>
    <w:rsid w:val="00AC52A9"/>
    <w:rsid w:val="00AC53FA"/>
    <w:rsid w:val="00AC54BF"/>
    <w:rsid w:val="00AC5524"/>
    <w:rsid w:val="00AC5810"/>
    <w:rsid w:val="00AC5B6B"/>
    <w:rsid w:val="00AC6293"/>
    <w:rsid w:val="00AC6439"/>
    <w:rsid w:val="00AC68F9"/>
    <w:rsid w:val="00AC6C20"/>
    <w:rsid w:val="00AC6CF2"/>
    <w:rsid w:val="00AC71D3"/>
    <w:rsid w:val="00AC75FA"/>
    <w:rsid w:val="00AC761A"/>
    <w:rsid w:val="00AC7625"/>
    <w:rsid w:val="00AC7657"/>
    <w:rsid w:val="00AC7778"/>
    <w:rsid w:val="00AC7964"/>
    <w:rsid w:val="00AC7C24"/>
    <w:rsid w:val="00AC7D34"/>
    <w:rsid w:val="00AC7E25"/>
    <w:rsid w:val="00AC8D78"/>
    <w:rsid w:val="00AD057E"/>
    <w:rsid w:val="00AD0868"/>
    <w:rsid w:val="00AD0EC2"/>
    <w:rsid w:val="00AD0FA9"/>
    <w:rsid w:val="00AD1296"/>
    <w:rsid w:val="00AD135E"/>
    <w:rsid w:val="00AD14E0"/>
    <w:rsid w:val="00AD15E2"/>
    <w:rsid w:val="00AD22DD"/>
    <w:rsid w:val="00AD242E"/>
    <w:rsid w:val="00AD2542"/>
    <w:rsid w:val="00AD2E94"/>
    <w:rsid w:val="00AD3459"/>
    <w:rsid w:val="00AD3FB0"/>
    <w:rsid w:val="00AD400A"/>
    <w:rsid w:val="00AD42D9"/>
    <w:rsid w:val="00AD438A"/>
    <w:rsid w:val="00AD44F5"/>
    <w:rsid w:val="00AD46B6"/>
    <w:rsid w:val="00AD4CD7"/>
    <w:rsid w:val="00AD5083"/>
    <w:rsid w:val="00AD5DA1"/>
    <w:rsid w:val="00AD6639"/>
    <w:rsid w:val="00AD6683"/>
    <w:rsid w:val="00AD6865"/>
    <w:rsid w:val="00AD6B76"/>
    <w:rsid w:val="00AD6D9A"/>
    <w:rsid w:val="00AD7238"/>
    <w:rsid w:val="00AD7421"/>
    <w:rsid w:val="00AD7677"/>
    <w:rsid w:val="00AD7C7B"/>
    <w:rsid w:val="00AE0546"/>
    <w:rsid w:val="00AE075D"/>
    <w:rsid w:val="00AE0920"/>
    <w:rsid w:val="00AE13B3"/>
    <w:rsid w:val="00AE14D2"/>
    <w:rsid w:val="00AE15F4"/>
    <w:rsid w:val="00AE1610"/>
    <w:rsid w:val="00AE1663"/>
    <w:rsid w:val="00AE1E0A"/>
    <w:rsid w:val="00AE276E"/>
    <w:rsid w:val="00AE305E"/>
    <w:rsid w:val="00AE353B"/>
    <w:rsid w:val="00AE35C4"/>
    <w:rsid w:val="00AE37F0"/>
    <w:rsid w:val="00AE3EE2"/>
    <w:rsid w:val="00AE45A6"/>
    <w:rsid w:val="00AE45C4"/>
    <w:rsid w:val="00AE4B3F"/>
    <w:rsid w:val="00AE4B8A"/>
    <w:rsid w:val="00AE5094"/>
    <w:rsid w:val="00AE55CE"/>
    <w:rsid w:val="00AE5602"/>
    <w:rsid w:val="00AE583E"/>
    <w:rsid w:val="00AE5D85"/>
    <w:rsid w:val="00AE5E8A"/>
    <w:rsid w:val="00AE5EDF"/>
    <w:rsid w:val="00AE6355"/>
    <w:rsid w:val="00AE64B3"/>
    <w:rsid w:val="00AE666A"/>
    <w:rsid w:val="00AE69BD"/>
    <w:rsid w:val="00AE69BF"/>
    <w:rsid w:val="00AE7982"/>
    <w:rsid w:val="00AF0309"/>
    <w:rsid w:val="00AF0463"/>
    <w:rsid w:val="00AF0508"/>
    <w:rsid w:val="00AF0823"/>
    <w:rsid w:val="00AF085F"/>
    <w:rsid w:val="00AF14FA"/>
    <w:rsid w:val="00AF15ED"/>
    <w:rsid w:val="00AF180F"/>
    <w:rsid w:val="00AF18C1"/>
    <w:rsid w:val="00AF1D25"/>
    <w:rsid w:val="00AF1F88"/>
    <w:rsid w:val="00AF207E"/>
    <w:rsid w:val="00AF238C"/>
    <w:rsid w:val="00AF25C2"/>
    <w:rsid w:val="00AF2C48"/>
    <w:rsid w:val="00AF2FC0"/>
    <w:rsid w:val="00AF30C9"/>
    <w:rsid w:val="00AF30F4"/>
    <w:rsid w:val="00AF3121"/>
    <w:rsid w:val="00AF3815"/>
    <w:rsid w:val="00AF3F18"/>
    <w:rsid w:val="00AF4134"/>
    <w:rsid w:val="00AF4389"/>
    <w:rsid w:val="00AF4878"/>
    <w:rsid w:val="00AF4DA5"/>
    <w:rsid w:val="00AF4F72"/>
    <w:rsid w:val="00AF5786"/>
    <w:rsid w:val="00AF57E5"/>
    <w:rsid w:val="00AF652D"/>
    <w:rsid w:val="00AF65C8"/>
    <w:rsid w:val="00AF6EE4"/>
    <w:rsid w:val="00AF73F7"/>
    <w:rsid w:val="00AF75E3"/>
    <w:rsid w:val="00AF763A"/>
    <w:rsid w:val="00AF7ADC"/>
    <w:rsid w:val="00B00045"/>
    <w:rsid w:val="00B00061"/>
    <w:rsid w:val="00B0012B"/>
    <w:rsid w:val="00B0025A"/>
    <w:rsid w:val="00B00481"/>
    <w:rsid w:val="00B0052B"/>
    <w:rsid w:val="00B00832"/>
    <w:rsid w:val="00B008BB"/>
    <w:rsid w:val="00B00958"/>
    <w:rsid w:val="00B009FD"/>
    <w:rsid w:val="00B011A0"/>
    <w:rsid w:val="00B01B0F"/>
    <w:rsid w:val="00B01D4E"/>
    <w:rsid w:val="00B02442"/>
    <w:rsid w:val="00B025F2"/>
    <w:rsid w:val="00B02C37"/>
    <w:rsid w:val="00B0368F"/>
    <w:rsid w:val="00B03735"/>
    <w:rsid w:val="00B03907"/>
    <w:rsid w:val="00B03BD3"/>
    <w:rsid w:val="00B03D5D"/>
    <w:rsid w:val="00B03E05"/>
    <w:rsid w:val="00B03F26"/>
    <w:rsid w:val="00B042F5"/>
    <w:rsid w:val="00B04309"/>
    <w:rsid w:val="00B0461C"/>
    <w:rsid w:val="00B046BC"/>
    <w:rsid w:val="00B047B6"/>
    <w:rsid w:val="00B0524A"/>
    <w:rsid w:val="00B0536A"/>
    <w:rsid w:val="00B054B4"/>
    <w:rsid w:val="00B054E4"/>
    <w:rsid w:val="00B058C5"/>
    <w:rsid w:val="00B05C35"/>
    <w:rsid w:val="00B05E33"/>
    <w:rsid w:val="00B05E66"/>
    <w:rsid w:val="00B05EA3"/>
    <w:rsid w:val="00B05F1C"/>
    <w:rsid w:val="00B05FB1"/>
    <w:rsid w:val="00B06024"/>
    <w:rsid w:val="00B06065"/>
    <w:rsid w:val="00B061DE"/>
    <w:rsid w:val="00B06244"/>
    <w:rsid w:val="00B06270"/>
    <w:rsid w:val="00B0630C"/>
    <w:rsid w:val="00B06F4D"/>
    <w:rsid w:val="00B07017"/>
    <w:rsid w:val="00B07066"/>
    <w:rsid w:val="00B070FD"/>
    <w:rsid w:val="00B07A39"/>
    <w:rsid w:val="00B07A75"/>
    <w:rsid w:val="00B07C7A"/>
    <w:rsid w:val="00B07DA7"/>
    <w:rsid w:val="00B07EEC"/>
    <w:rsid w:val="00B109C9"/>
    <w:rsid w:val="00B10C63"/>
    <w:rsid w:val="00B1143C"/>
    <w:rsid w:val="00B115BD"/>
    <w:rsid w:val="00B1169D"/>
    <w:rsid w:val="00B117BB"/>
    <w:rsid w:val="00B1188E"/>
    <w:rsid w:val="00B1240B"/>
    <w:rsid w:val="00B12598"/>
    <w:rsid w:val="00B12712"/>
    <w:rsid w:val="00B128CD"/>
    <w:rsid w:val="00B128E7"/>
    <w:rsid w:val="00B12BAC"/>
    <w:rsid w:val="00B12E0D"/>
    <w:rsid w:val="00B12E4C"/>
    <w:rsid w:val="00B12EF6"/>
    <w:rsid w:val="00B13099"/>
    <w:rsid w:val="00B13489"/>
    <w:rsid w:val="00B134DC"/>
    <w:rsid w:val="00B13EBE"/>
    <w:rsid w:val="00B13F33"/>
    <w:rsid w:val="00B14374"/>
    <w:rsid w:val="00B14C2C"/>
    <w:rsid w:val="00B14E98"/>
    <w:rsid w:val="00B14EC3"/>
    <w:rsid w:val="00B1506F"/>
    <w:rsid w:val="00B1533E"/>
    <w:rsid w:val="00B153E7"/>
    <w:rsid w:val="00B15907"/>
    <w:rsid w:val="00B15AFF"/>
    <w:rsid w:val="00B15D0B"/>
    <w:rsid w:val="00B15E11"/>
    <w:rsid w:val="00B15ED6"/>
    <w:rsid w:val="00B15F34"/>
    <w:rsid w:val="00B166A5"/>
    <w:rsid w:val="00B1676F"/>
    <w:rsid w:val="00B1689A"/>
    <w:rsid w:val="00B16C3F"/>
    <w:rsid w:val="00B17034"/>
    <w:rsid w:val="00B170CC"/>
    <w:rsid w:val="00B17207"/>
    <w:rsid w:val="00B1750D"/>
    <w:rsid w:val="00B179E2"/>
    <w:rsid w:val="00B17B3B"/>
    <w:rsid w:val="00B17BF4"/>
    <w:rsid w:val="00B17D41"/>
    <w:rsid w:val="00B2013D"/>
    <w:rsid w:val="00B20621"/>
    <w:rsid w:val="00B207A3"/>
    <w:rsid w:val="00B20A18"/>
    <w:rsid w:val="00B20F2D"/>
    <w:rsid w:val="00B21147"/>
    <w:rsid w:val="00B2132C"/>
    <w:rsid w:val="00B21408"/>
    <w:rsid w:val="00B21476"/>
    <w:rsid w:val="00B21A2A"/>
    <w:rsid w:val="00B21EC7"/>
    <w:rsid w:val="00B223A7"/>
    <w:rsid w:val="00B22491"/>
    <w:rsid w:val="00B225CD"/>
    <w:rsid w:val="00B225ED"/>
    <w:rsid w:val="00B226F0"/>
    <w:rsid w:val="00B229EC"/>
    <w:rsid w:val="00B22CAB"/>
    <w:rsid w:val="00B22F07"/>
    <w:rsid w:val="00B23418"/>
    <w:rsid w:val="00B238FF"/>
    <w:rsid w:val="00B23C4D"/>
    <w:rsid w:val="00B23CCE"/>
    <w:rsid w:val="00B23DFD"/>
    <w:rsid w:val="00B244D3"/>
    <w:rsid w:val="00B24808"/>
    <w:rsid w:val="00B256CA"/>
    <w:rsid w:val="00B25DCC"/>
    <w:rsid w:val="00B26483"/>
    <w:rsid w:val="00B26842"/>
    <w:rsid w:val="00B26A85"/>
    <w:rsid w:val="00B26E06"/>
    <w:rsid w:val="00B26E22"/>
    <w:rsid w:val="00B26EE1"/>
    <w:rsid w:val="00B2730A"/>
    <w:rsid w:val="00B27864"/>
    <w:rsid w:val="00B279F2"/>
    <w:rsid w:val="00B27A7A"/>
    <w:rsid w:val="00B28D8D"/>
    <w:rsid w:val="00B302F0"/>
    <w:rsid w:val="00B3087B"/>
    <w:rsid w:val="00B31468"/>
    <w:rsid w:val="00B315A6"/>
    <w:rsid w:val="00B317D1"/>
    <w:rsid w:val="00B317D8"/>
    <w:rsid w:val="00B32243"/>
    <w:rsid w:val="00B322EB"/>
    <w:rsid w:val="00B32448"/>
    <w:rsid w:val="00B32840"/>
    <w:rsid w:val="00B32902"/>
    <w:rsid w:val="00B32E7D"/>
    <w:rsid w:val="00B33293"/>
    <w:rsid w:val="00B33F4F"/>
    <w:rsid w:val="00B341A5"/>
    <w:rsid w:val="00B34249"/>
    <w:rsid w:val="00B35163"/>
    <w:rsid w:val="00B353D8"/>
    <w:rsid w:val="00B358EC"/>
    <w:rsid w:val="00B35E08"/>
    <w:rsid w:val="00B36734"/>
    <w:rsid w:val="00B36925"/>
    <w:rsid w:val="00B36ED5"/>
    <w:rsid w:val="00B36F29"/>
    <w:rsid w:val="00B371F4"/>
    <w:rsid w:val="00B37354"/>
    <w:rsid w:val="00B37744"/>
    <w:rsid w:val="00B3790D"/>
    <w:rsid w:val="00B379A1"/>
    <w:rsid w:val="00B40305"/>
    <w:rsid w:val="00B40A33"/>
    <w:rsid w:val="00B40D2D"/>
    <w:rsid w:val="00B40EFD"/>
    <w:rsid w:val="00B413FB"/>
    <w:rsid w:val="00B41485"/>
    <w:rsid w:val="00B4193E"/>
    <w:rsid w:val="00B419FB"/>
    <w:rsid w:val="00B41C45"/>
    <w:rsid w:val="00B428B1"/>
    <w:rsid w:val="00B42B2B"/>
    <w:rsid w:val="00B42D91"/>
    <w:rsid w:val="00B4347D"/>
    <w:rsid w:val="00B43544"/>
    <w:rsid w:val="00B4386F"/>
    <w:rsid w:val="00B441C2"/>
    <w:rsid w:val="00B4464B"/>
    <w:rsid w:val="00B4480F"/>
    <w:rsid w:val="00B44879"/>
    <w:rsid w:val="00B44D2B"/>
    <w:rsid w:val="00B44EE7"/>
    <w:rsid w:val="00B45722"/>
    <w:rsid w:val="00B457B5"/>
    <w:rsid w:val="00B45E3E"/>
    <w:rsid w:val="00B46026"/>
    <w:rsid w:val="00B46AAB"/>
    <w:rsid w:val="00B46F54"/>
    <w:rsid w:val="00B47140"/>
    <w:rsid w:val="00B47683"/>
    <w:rsid w:val="00B47788"/>
    <w:rsid w:val="00B47A45"/>
    <w:rsid w:val="00B47AE6"/>
    <w:rsid w:val="00B5060C"/>
    <w:rsid w:val="00B5082D"/>
    <w:rsid w:val="00B508D1"/>
    <w:rsid w:val="00B51087"/>
    <w:rsid w:val="00B51F04"/>
    <w:rsid w:val="00B522B2"/>
    <w:rsid w:val="00B52B87"/>
    <w:rsid w:val="00B53213"/>
    <w:rsid w:val="00B532FE"/>
    <w:rsid w:val="00B535B5"/>
    <w:rsid w:val="00B542FA"/>
    <w:rsid w:val="00B54663"/>
    <w:rsid w:val="00B54768"/>
    <w:rsid w:val="00B548EE"/>
    <w:rsid w:val="00B54A36"/>
    <w:rsid w:val="00B54B4E"/>
    <w:rsid w:val="00B54CFE"/>
    <w:rsid w:val="00B54E08"/>
    <w:rsid w:val="00B551D4"/>
    <w:rsid w:val="00B555E6"/>
    <w:rsid w:val="00B55866"/>
    <w:rsid w:val="00B55ABC"/>
    <w:rsid w:val="00B55D4C"/>
    <w:rsid w:val="00B55E24"/>
    <w:rsid w:val="00B55EBE"/>
    <w:rsid w:val="00B56014"/>
    <w:rsid w:val="00B56045"/>
    <w:rsid w:val="00B561D1"/>
    <w:rsid w:val="00B56244"/>
    <w:rsid w:val="00B56262"/>
    <w:rsid w:val="00B565F0"/>
    <w:rsid w:val="00B56BF9"/>
    <w:rsid w:val="00B573A1"/>
    <w:rsid w:val="00B5763D"/>
    <w:rsid w:val="00B57950"/>
    <w:rsid w:val="00B57DF3"/>
    <w:rsid w:val="00B6023A"/>
    <w:rsid w:val="00B607BA"/>
    <w:rsid w:val="00B60948"/>
    <w:rsid w:val="00B60A01"/>
    <w:rsid w:val="00B60E45"/>
    <w:rsid w:val="00B60F25"/>
    <w:rsid w:val="00B60F31"/>
    <w:rsid w:val="00B612FA"/>
    <w:rsid w:val="00B61313"/>
    <w:rsid w:val="00B6160B"/>
    <w:rsid w:val="00B61769"/>
    <w:rsid w:val="00B617C2"/>
    <w:rsid w:val="00B617ED"/>
    <w:rsid w:val="00B61E5E"/>
    <w:rsid w:val="00B62323"/>
    <w:rsid w:val="00B623C1"/>
    <w:rsid w:val="00B62428"/>
    <w:rsid w:val="00B625B1"/>
    <w:rsid w:val="00B62C37"/>
    <w:rsid w:val="00B62D08"/>
    <w:rsid w:val="00B62D4E"/>
    <w:rsid w:val="00B62E0E"/>
    <w:rsid w:val="00B63438"/>
    <w:rsid w:val="00B634C9"/>
    <w:rsid w:val="00B63627"/>
    <w:rsid w:val="00B63800"/>
    <w:rsid w:val="00B63A56"/>
    <w:rsid w:val="00B63D8D"/>
    <w:rsid w:val="00B64BEE"/>
    <w:rsid w:val="00B64CBA"/>
    <w:rsid w:val="00B64FEE"/>
    <w:rsid w:val="00B6513B"/>
    <w:rsid w:val="00B6595C"/>
    <w:rsid w:val="00B65B73"/>
    <w:rsid w:val="00B65CB8"/>
    <w:rsid w:val="00B65F3B"/>
    <w:rsid w:val="00B66D67"/>
    <w:rsid w:val="00B66DE3"/>
    <w:rsid w:val="00B6703E"/>
    <w:rsid w:val="00B67092"/>
    <w:rsid w:val="00B674FF"/>
    <w:rsid w:val="00B679F0"/>
    <w:rsid w:val="00B67D21"/>
    <w:rsid w:val="00B67D82"/>
    <w:rsid w:val="00B703EF"/>
    <w:rsid w:val="00B707D3"/>
    <w:rsid w:val="00B70AE1"/>
    <w:rsid w:val="00B71930"/>
    <w:rsid w:val="00B7195B"/>
    <w:rsid w:val="00B71A53"/>
    <w:rsid w:val="00B71E6C"/>
    <w:rsid w:val="00B7215E"/>
    <w:rsid w:val="00B722F8"/>
    <w:rsid w:val="00B725AD"/>
    <w:rsid w:val="00B725D1"/>
    <w:rsid w:val="00B727F5"/>
    <w:rsid w:val="00B72CAB"/>
    <w:rsid w:val="00B72EEF"/>
    <w:rsid w:val="00B72F6F"/>
    <w:rsid w:val="00B74532"/>
    <w:rsid w:val="00B74602"/>
    <w:rsid w:val="00B748F8"/>
    <w:rsid w:val="00B7495E"/>
    <w:rsid w:val="00B7561A"/>
    <w:rsid w:val="00B758F2"/>
    <w:rsid w:val="00B75D2B"/>
    <w:rsid w:val="00B75FAE"/>
    <w:rsid w:val="00B761C4"/>
    <w:rsid w:val="00B762C6"/>
    <w:rsid w:val="00B76431"/>
    <w:rsid w:val="00B76F0F"/>
    <w:rsid w:val="00B7728D"/>
    <w:rsid w:val="00B7750C"/>
    <w:rsid w:val="00B77D0C"/>
    <w:rsid w:val="00B80149"/>
    <w:rsid w:val="00B80A16"/>
    <w:rsid w:val="00B80D10"/>
    <w:rsid w:val="00B816B8"/>
    <w:rsid w:val="00B81760"/>
    <w:rsid w:val="00B81F4E"/>
    <w:rsid w:val="00B81FF8"/>
    <w:rsid w:val="00B820C4"/>
    <w:rsid w:val="00B82375"/>
    <w:rsid w:val="00B825EC"/>
    <w:rsid w:val="00B82BF6"/>
    <w:rsid w:val="00B82C79"/>
    <w:rsid w:val="00B839E6"/>
    <w:rsid w:val="00B83D07"/>
    <w:rsid w:val="00B8415A"/>
    <w:rsid w:val="00B8432B"/>
    <w:rsid w:val="00B84A48"/>
    <w:rsid w:val="00B84AA8"/>
    <w:rsid w:val="00B85414"/>
    <w:rsid w:val="00B8543D"/>
    <w:rsid w:val="00B85911"/>
    <w:rsid w:val="00B85E62"/>
    <w:rsid w:val="00B85FEB"/>
    <w:rsid w:val="00B8604A"/>
    <w:rsid w:val="00B860F2"/>
    <w:rsid w:val="00B8660B"/>
    <w:rsid w:val="00B8681B"/>
    <w:rsid w:val="00B86939"/>
    <w:rsid w:val="00B86E77"/>
    <w:rsid w:val="00B87006"/>
    <w:rsid w:val="00B873AA"/>
    <w:rsid w:val="00B874AA"/>
    <w:rsid w:val="00B87597"/>
    <w:rsid w:val="00B877F6"/>
    <w:rsid w:val="00B8790D"/>
    <w:rsid w:val="00B87956"/>
    <w:rsid w:val="00B87CBD"/>
    <w:rsid w:val="00B87D88"/>
    <w:rsid w:val="00B87DBF"/>
    <w:rsid w:val="00B90EEF"/>
    <w:rsid w:val="00B9101F"/>
    <w:rsid w:val="00B91096"/>
    <w:rsid w:val="00B911C2"/>
    <w:rsid w:val="00B91559"/>
    <w:rsid w:val="00B91A9E"/>
    <w:rsid w:val="00B92377"/>
    <w:rsid w:val="00B92388"/>
    <w:rsid w:val="00B92426"/>
    <w:rsid w:val="00B9256E"/>
    <w:rsid w:val="00B9295F"/>
    <w:rsid w:val="00B92EA5"/>
    <w:rsid w:val="00B9338C"/>
    <w:rsid w:val="00B93EA2"/>
    <w:rsid w:val="00B94138"/>
    <w:rsid w:val="00B941DD"/>
    <w:rsid w:val="00B94703"/>
    <w:rsid w:val="00B94B0D"/>
    <w:rsid w:val="00B94C1E"/>
    <w:rsid w:val="00B9509A"/>
    <w:rsid w:val="00B954D8"/>
    <w:rsid w:val="00B959DF"/>
    <w:rsid w:val="00B95B99"/>
    <w:rsid w:val="00B96299"/>
    <w:rsid w:val="00B965D9"/>
    <w:rsid w:val="00B96AEA"/>
    <w:rsid w:val="00B96E01"/>
    <w:rsid w:val="00B976B0"/>
    <w:rsid w:val="00BA033F"/>
    <w:rsid w:val="00BA0535"/>
    <w:rsid w:val="00BA098F"/>
    <w:rsid w:val="00BA0BFF"/>
    <w:rsid w:val="00BA1743"/>
    <w:rsid w:val="00BA182B"/>
    <w:rsid w:val="00BA1ABC"/>
    <w:rsid w:val="00BA1BEB"/>
    <w:rsid w:val="00BA1D15"/>
    <w:rsid w:val="00BA1D7E"/>
    <w:rsid w:val="00BA1ECB"/>
    <w:rsid w:val="00BA2162"/>
    <w:rsid w:val="00BA249C"/>
    <w:rsid w:val="00BA24E6"/>
    <w:rsid w:val="00BA25DE"/>
    <w:rsid w:val="00BA262B"/>
    <w:rsid w:val="00BA3227"/>
    <w:rsid w:val="00BA32E7"/>
    <w:rsid w:val="00BA36B9"/>
    <w:rsid w:val="00BA36D8"/>
    <w:rsid w:val="00BA3720"/>
    <w:rsid w:val="00BA37CC"/>
    <w:rsid w:val="00BA3D53"/>
    <w:rsid w:val="00BA452A"/>
    <w:rsid w:val="00BA4A29"/>
    <w:rsid w:val="00BA4AF2"/>
    <w:rsid w:val="00BA4F6A"/>
    <w:rsid w:val="00BA530F"/>
    <w:rsid w:val="00BA539F"/>
    <w:rsid w:val="00BA5560"/>
    <w:rsid w:val="00BA574B"/>
    <w:rsid w:val="00BA5C61"/>
    <w:rsid w:val="00BA5C95"/>
    <w:rsid w:val="00BA5F03"/>
    <w:rsid w:val="00BA634A"/>
    <w:rsid w:val="00BA6C40"/>
    <w:rsid w:val="00BA77C9"/>
    <w:rsid w:val="00BA79F5"/>
    <w:rsid w:val="00BA7CC1"/>
    <w:rsid w:val="00BB035D"/>
    <w:rsid w:val="00BB0516"/>
    <w:rsid w:val="00BB05ED"/>
    <w:rsid w:val="00BB1B4B"/>
    <w:rsid w:val="00BB1ED2"/>
    <w:rsid w:val="00BB236D"/>
    <w:rsid w:val="00BB36D6"/>
    <w:rsid w:val="00BB3C85"/>
    <w:rsid w:val="00BB3EB0"/>
    <w:rsid w:val="00BB453D"/>
    <w:rsid w:val="00BB4BAF"/>
    <w:rsid w:val="00BB4C94"/>
    <w:rsid w:val="00BB4D26"/>
    <w:rsid w:val="00BB4D88"/>
    <w:rsid w:val="00BB4E5D"/>
    <w:rsid w:val="00BB502E"/>
    <w:rsid w:val="00BB5050"/>
    <w:rsid w:val="00BB51CC"/>
    <w:rsid w:val="00BB527E"/>
    <w:rsid w:val="00BB598D"/>
    <w:rsid w:val="00BB5DD2"/>
    <w:rsid w:val="00BB6152"/>
    <w:rsid w:val="00BB66F3"/>
    <w:rsid w:val="00BB6879"/>
    <w:rsid w:val="00BB6886"/>
    <w:rsid w:val="00BB6D2E"/>
    <w:rsid w:val="00BB6D3A"/>
    <w:rsid w:val="00BB6DCF"/>
    <w:rsid w:val="00BB7666"/>
    <w:rsid w:val="00BB7914"/>
    <w:rsid w:val="00BB79AB"/>
    <w:rsid w:val="00BB7F10"/>
    <w:rsid w:val="00BC1179"/>
    <w:rsid w:val="00BC11B0"/>
    <w:rsid w:val="00BC147B"/>
    <w:rsid w:val="00BC1B3D"/>
    <w:rsid w:val="00BC1C52"/>
    <w:rsid w:val="00BC20D4"/>
    <w:rsid w:val="00BC2205"/>
    <w:rsid w:val="00BC2253"/>
    <w:rsid w:val="00BC26E2"/>
    <w:rsid w:val="00BC27C5"/>
    <w:rsid w:val="00BC282B"/>
    <w:rsid w:val="00BC2A19"/>
    <w:rsid w:val="00BC35AB"/>
    <w:rsid w:val="00BC35CB"/>
    <w:rsid w:val="00BC36DF"/>
    <w:rsid w:val="00BC42C2"/>
    <w:rsid w:val="00BC434C"/>
    <w:rsid w:val="00BC4710"/>
    <w:rsid w:val="00BC4737"/>
    <w:rsid w:val="00BC48AD"/>
    <w:rsid w:val="00BC4902"/>
    <w:rsid w:val="00BC4CB3"/>
    <w:rsid w:val="00BC4D3E"/>
    <w:rsid w:val="00BC5364"/>
    <w:rsid w:val="00BC5594"/>
    <w:rsid w:val="00BC57E2"/>
    <w:rsid w:val="00BC639A"/>
    <w:rsid w:val="00BC6631"/>
    <w:rsid w:val="00BC669E"/>
    <w:rsid w:val="00BC67EC"/>
    <w:rsid w:val="00BC6938"/>
    <w:rsid w:val="00BC6C49"/>
    <w:rsid w:val="00BC7425"/>
    <w:rsid w:val="00BC75B6"/>
    <w:rsid w:val="00BC7789"/>
    <w:rsid w:val="00BC7CBF"/>
    <w:rsid w:val="00BC7D56"/>
    <w:rsid w:val="00BC7DAA"/>
    <w:rsid w:val="00BC8F99"/>
    <w:rsid w:val="00BD0016"/>
    <w:rsid w:val="00BD008E"/>
    <w:rsid w:val="00BD0252"/>
    <w:rsid w:val="00BD0393"/>
    <w:rsid w:val="00BD04D8"/>
    <w:rsid w:val="00BD095A"/>
    <w:rsid w:val="00BD0F54"/>
    <w:rsid w:val="00BD10A0"/>
    <w:rsid w:val="00BD1406"/>
    <w:rsid w:val="00BD1922"/>
    <w:rsid w:val="00BD1CD3"/>
    <w:rsid w:val="00BD1D18"/>
    <w:rsid w:val="00BD1E54"/>
    <w:rsid w:val="00BD20EC"/>
    <w:rsid w:val="00BD22E6"/>
    <w:rsid w:val="00BD279F"/>
    <w:rsid w:val="00BD2A20"/>
    <w:rsid w:val="00BD2DF0"/>
    <w:rsid w:val="00BD2F48"/>
    <w:rsid w:val="00BD344C"/>
    <w:rsid w:val="00BD387F"/>
    <w:rsid w:val="00BD3D94"/>
    <w:rsid w:val="00BD3DF7"/>
    <w:rsid w:val="00BD4096"/>
    <w:rsid w:val="00BD4288"/>
    <w:rsid w:val="00BD428C"/>
    <w:rsid w:val="00BD430C"/>
    <w:rsid w:val="00BD4595"/>
    <w:rsid w:val="00BD49FF"/>
    <w:rsid w:val="00BD4FA3"/>
    <w:rsid w:val="00BD50D4"/>
    <w:rsid w:val="00BD58E4"/>
    <w:rsid w:val="00BD593F"/>
    <w:rsid w:val="00BD5A69"/>
    <w:rsid w:val="00BD5C8F"/>
    <w:rsid w:val="00BD5D7A"/>
    <w:rsid w:val="00BD6150"/>
    <w:rsid w:val="00BD6460"/>
    <w:rsid w:val="00BD6E57"/>
    <w:rsid w:val="00BD6F2A"/>
    <w:rsid w:val="00BD71D7"/>
    <w:rsid w:val="00BD7222"/>
    <w:rsid w:val="00BD750D"/>
    <w:rsid w:val="00BE018A"/>
    <w:rsid w:val="00BE07F2"/>
    <w:rsid w:val="00BE08AC"/>
    <w:rsid w:val="00BE0AE4"/>
    <w:rsid w:val="00BE0AFC"/>
    <w:rsid w:val="00BE0E9A"/>
    <w:rsid w:val="00BE10F0"/>
    <w:rsid w:val="00BE11C7"/>
    <w:rsid w:val="00BE1545"/>
    <w:rsid w:val="00BE1653"/>
    <w:rsid w:val="00BE1701"/>
    <w:rsid w:val="00BE1706"/>
    <w:rsid w:val="00BE1D78"/>
    <w:rsid w:val="00BE2283"/>
    <w:rsid w:val="00BE25AC"/>
    <w:rsid w:val="00BE2F27"/>
    <w:rsid w:val="00BE3023"/>
    <w:rsid w:val="00BE303A"/>
    <w:rsid w:val="00BE3369"/>
    <w:rsid w:val="00BE37BC"/>
    <w:rsid w:val="00BE4076"/>
    <w:rsid w:val="00BE4410"/>
    <w:rsid w:val="00BE4459"/>
    <w:rsid w:val="00BE449D"/>
    <w:rsid w:val="00BE456D"/>
    <w:rsid w:val="00BE4C75"/>
    <w:rsid w:val="00BE4CB2"/>
    <w:rsid w:val="00BE4E2E"/>
    <w:rsid w:val="00BE4E7C"/>
    <w:rsid w:val="00BE53FE"/>
    <w:rsid w:val="00BE553F"/>
    <w:rsid w:val="00BE57FA"/>
    <w:rsid w:val="00BE632D"/>
    <w:rsid w:val="00BE6AA4"/>
    <w:rsid w:val="00BE6AEF"/>
    <w:rsid w:val="00BE6FD8"/>
    <w:rsid w:val="00BE7641"/>
    <w:rsid w:val="00BE770D"/>
    <w:rsid w:val="00BE7BA8"/>
    <w:rsid w:val="00BE7EF4"/>
    <w:rsid w:val="00BF0205"/>
    <w:rsid w:val="00BF0431"/>
    <w:rsid w:val="00BF04B2"/>
    <w:rsid w:val="00BF04D3"/>
    <w:rsid w:val="00BF0656"/>
    <w:rsid w:val="00BF0F0D"/>
    <w:rsid w:val="00BF12EF"/>
    <w:rsid w:val="00BF1551"/>
    <w:rsid w:val="00BF1F97"/>
    <w:rsid w:val="00BF2213"/>
    <w:rsid w:val="00BF246B"/>
    <w:rsid w:val="00BF285B"/>
    <w:rsid w:val="00BF2C5E"/>
    <w:rsid w:val="00BF2FCA"/>
    <w:rsid w:val="00BF3179"/>
    <w:rsid w:val="00BF36EC"/>
    <w:rsid w:val="00BF403D"/>
    <w:rsid w:val="00BF42B5"/>
    <w:rsid w:val="00BF42DB"/>
    <w:rsid w:val="00BF432E"/>
    <w:rsid w:val="00BF44C3"/>
    <w:rsid w:val="00BF493A"/>
    <w:rsid w:val="00BF522C"/>
    <w:rsid w:val="00BF564E"/>
    <w:rsid w:val="00BF5800"/>
    <w:rsid w:val="00BF5C82"/>
    <w:rsid w:val="00BF5C95"/>
    <w:rsid w:val="00BF636D"/>
    <w:rsid w:val="00BF676A"/>
    <w:rsid w:val="00BF755C"/>
    <w:rsid w:val="00BF782D"/>
    <w:rsid w:val="00C00072"/>
    <w:rsid w:val="00C00EFE"/>
    <w:rsid w:val="00C0130C"/>
    <w:rsid w:val="00C013E7"/>
    <w:rsid w:val="00C01913"/>
    <w:rsid w:val="00C01AF8"/>
    <w:rsid w:val="00C01C56"/>
    <w:rsid w:val="00C02150"/>
    <w:rsid w:val="00C0276C"/>
    <w:rsid w:val="00C0285A"/>
    <w:rsid w:val="00C02889"/>
    <w:rsid w:val="00C037EC"/>
    <w:rsid w:val="00C038AA"/>
    <w:rsid w:val="00C03BA7"/>
    <w:rsid w:val="00C03C7C"/>
    <w:rsid w:val="00C03D21"/>
    <w:rsid w:val="00C046EE"/>
    <w:rsid w:val="00C04BBA"/>
    <w:rsid w:val="00C04D16"/>
    <w:rsid w:val="00C04DE4"/>
    <w:rsid w:val="00C050A4"/>
    <w:rsid w:val="00C05344"/>
    <w:rsid w:val="00C055D0"/>
    <w:rsid w:val="00C05931"/>
    <w:rsid w:val="00C05BA9"/>
    <w:rsid w:val="00C05E38"/>
    <w:rsid w:val="00C064E6"/>
    <w:rsid w:val="00C1056A"/>
    <w:rsid w:val="00C107E0"/>
    <w:rsid w:val="00C10A08"/>
    <w:rsid w:val="00C10EEC"/>
    <w:rsid w:val="00C11043"/>
    <w:rsid w:val="00C111C5"/>
    <w:rsid w:val="00C1124E"/>
    <w:rsid w:val="00C113C9"/>
    <w:rsid w:val="00C113F4"/>
    <w:rsid w:val="00C11B08"/>
    <w:rsid w:val="00C11BF0"/>
    <w:rsid w:val="00C11DE4"/>
    <w:rsid w:val="00C11FA3"/>
    <w:rsid w:val="00C1263F"/>
    <w:rsid w:val="00C1270D"/>
    <w:rsid w:val="00C1290F"/>
    <w:rsid w:val="00C12EAE"/>
    <w:rsid w:val="00C1311E"/>
    <w:rsid w:val="00C13F69"/>
    <w:rsid w:val="00C14B58"/>
    <w:rsid w:val="00C14F74"/>
    <w:rsid w:val="00C15087"/>
    <w:rsid w:val="00C1531B"/>
    <w:rsid w:val="00C154B9"/>
    <w:rsid w:val="00C15587"/>
    <w:rsid w:val="00C1568E"/>
    <w:rsid w:val="00C1578F"/>
    <w:rsid w:val="00C158B8"/>
    <w:rsid w:val="00C15932"/>
    <w:rsid w:val="00C15C66"/>
    <w:rsid w:val="00C15E18"/>
    <w:rsid w:val="00C1603C"/>
    <w:rsid w:val="00C1604E"/>
    <w:rsid w:val="00C16104"/>
    <w:rsid w:val="00C16AFD"/>
    <w:rsid w:val="00C1732B"/>
    <w:rsid w:val="00C17655"/>
    <w:rsid w:val="00C17781"/>
    <w:rsid w:val="00C177F8"/>
    <w:rsid w:val="00C17A87"/>
    <w:rsid w:val="00C2028D"/>
    <w:rsid w:val="00C2033A"/>
    <w:rsid w:val="00C2033C"/>
    <w:rsid w:val="00C203D5"/>
    <w:rsid w:val="00C209ED"/>
    <w:rsid w:val="00C21449"/>
    <w:rsid w:val="00C21688"/>
    <w:rsid w:val="00C21A06"/>
    <w:rsid w:val="00C21CA0"/>
    <w:rsid w:val="00C21CB1"/>
    <w:rsid w:val="00C21FFA"/>
    <w:rsid w:val="00C22408"/>
    <w:rsid w:val="00C2241B"/>
    <w:rsid w:val="00C227B8"/>
    <w:rsid w:val="00C22962"/>
    <w:rsid w:val="00C22971"/>
    <w:rsid w:val="00C22A12"/>
    <w:rsid w:val="00C22B42"/>
    <w:rsid w:val="00C23017"/>
    <w:rsid w:val="00C23A40"/>
    <w:rsid w:val="00C24357"/>
    <w:rsid w:val="00C24A1F"/>
    <w:rsid w:val="00C24C6A"/>
    <w:rsid w:val="00C24F48"/>
    <w:rsid w:val="00C25EA8"/>
    <w:rsid w:val="00C26103"/>
    <w:rsid w:val="00C268D3"/>
    <w:rsid w:val="00C26A5B"/>
    <w:rsid w:val="00C26E22"/>
    <w:rsid w:val="00C26F0E"/>
    <w:rsid w:val="00C271CB"/>
    <w:rsid w:val="00C271F0"/>
    <w:rsid w:val="00C27D17"/>
    <w:rsid w:val="00C30375"/>
    <w:rsid w:val="00C305D7"/>
    <w:rsid w:val="00C30F23"/>
    <w:rsid w:val="00C31042"/>
    <w:rsid w:val="00C3124C"/>
    <w:rsid w:val="00C3187A"/>
    <w:rsid w:val="00C31F86"/>
    <w:rsid w:val="00C3241A"/>
    <w:rsid w:val="00C32BBF"/>
    <w:rsid w:val="00C330F5"/>
    <w:rsid w:val="00C3310B"/>
    <w:rsid w:val="00C33486"/>
    <w:rsid w:val="00C334AC"/>
    <w:rsid w:val="00C335D0"/>
    <w:rsid w:val="00C33B44"/>
    <w:rsid w:val="00C341AA"/>
    <w:rsid w:val="00C34404"/>
    <w:rsid w:val="00C34586"/>
    <w:rsid w:val="00C34DA7"/>
    <w:rsid w:val="00C34E29"/>
    <w:rsid w:val="00C352CA"/>
    <w:rsid w:val="00C357A2"/>
    <w:rsid w:val="00C35A05"/>
    <w:rsid w:val="00C35DF0"/>
    <w:rsid w:val="00C3608D"/>
    <w:rsid w:val="00C361E6"/>
    <w:rsid w:val="00C363D7"/>
    <w:rsid w:val="00C366FB"/>
    <w:rsid w:val="00C370CF"/>
    <w:rsid w:val="00C37129"/>
    <w:rsid w:val="00C3723F"/>
    <w:rsid w:val="00C372FB"/>
    <w:rsid w:val="00C37AD6"/>
    <w:rsid w:val="00C37DDC"/>
    <w:rsid w:val="00C37E13"/>
    <w:rsid w:val="00C37E90"/>
    <w:rsid w:val="00C37EB3"/>
    <w:rsid w:val="00C37F7D"/>
    <w:rsid w:val="00C3B54A"/>
    <w:rsid w:val="00C4021E"/>
    <w:rsid w:val="00C402FA"/>
    <w:rsid w:val="00C40417"/>
    <w:rsid w:val="00C40807"/>
    <w:rsid w:val="00C40898"/>
    <w:rsid w:val="00C40B50"/>
    <w:rsid w:val="00C40CDD"/>
    <w:rsid w:val="00C41442"/>
    <w:rsid w:val="00C41939"/>
    <w:rsid w:val="00C41950"/>
    <w:rsid w:val="00C4234C"/>
    <w:rsid w:val="00C423B2"/>
    <w:rsid w:val="00C426F5"/>
    <w:rsid w:val="00C42843"/>
    <w:rsid w:val="00C428D4"/>
    <w:rsid w:val="00C42DD6"/>
    <w:rsid w:val="00C43171"/>
    <w:rsid w:val="00C43AA0"/>
    <w:rsid w:val="00C43CA5"/>
    <w:rsid w:val="00C4414B"/>
    <w:rsid w:val="00C4512F"/>
    <w:rsid w:val="00C4556C"/>
    <w:rsid w:val="00C45770"/>
    <w:rsid w:val="00C457D2"/>
    <w:rsid w:val="00C45831"/>
    <w:rsid w:val="00C4595A"/>
    <w:rsid w:val="00C45BE8"/>
    <w:rsid w:val="00C45E4E"/>
    <w:rsid w:val="00C45EDD"/>
    <w:rsid w:val="00C45F1F"/>
    <w:rsid w:val="00C465BB"/>
    <w:rsid w:val="00C468F6"/>
    <w:rsid w:val="00C474D6"/>
    <w:rsid w:val="00C477C1"/>
    <w:rsid w:val="00C47B56"/>
    <w:rsid w:val="00C505A1"/>
    <w:rsid w:val="00C5078A"/>
    <w:rsid w:val="00C50DFC"/>
    <w:rsid w:val="00C50EEC"/>
    <w:rsid w:val="00C50F22"/>
    <w:rsid w:val="00C50FF5"/>
    <w:rsid w:val="00C51284"/>
    <w:rsid w:val="00C51C69"/>
    <w:rsid w:val="00C51DAC"/>
    <w:rsid w:val="00C5248A"/>
    <w:rsid w:val="00C5280E"/>
    <w:rsid w:val="00C5295E"/>
    <w:rsid w:val="00C52AD0"/>
    <w:rsid w:val="00C52B02"/>
    <w:rsid w:val="00C52CD3"/>
    <w:rsid w:val="00C5346B"/>
    <w:rsid w:val="00C537B2"/>
    <w:rsid w:val="00C537C1"/>
    <w:rsid w:val="00C539AD"/>
    <w:rsid w:val="00C53ADE"/>
    <w:rsid w:val="00C540BC"/>
    <w:rsid w:val="00C547C0"/>
    <w:rsid w:val="00C54F55"/>
    <w:rsid w:val="00C553A6"/>
    <w:rsid w:val="00C55618"/>
    <w:rsid w:val="00C556E9"/>
    <w:rsid w:val="00C55A23"/>
    <w:rsid w:val="00C55B75"/>
    <w:rsid w:val="00C55DC0"/>
    <w:rsid w:val="00C56475"/>
    <w:rsid w:val="00C5668A"/>
    <w:rsid w:val="00C56EB2"/>
    <w:rsid w:val="00C56F33"/>
    <w:rsid w:val="00C5746C"/>
    <w:rsid w:val="00C575B8"/>
    <w:rsid w:val="00C57C0E"/>
    <w:rsid w:val="00C57FBC"/>
    <w:rsid w:val="00C6066A"/>
    <w:rsid w:val="00C60CB7"/>
    <w:rsid w:val="00C60E7E"/>
    <w:rsid w:val="00C6128E"/>
    <w:rsid w:val="00C6173B"/>
    <w:rsid w:val="00C6176B"/>
    <w:rsid w:val="00C61894"/>
    <w:rsid w:val="00C61AE9"/>
    <w:rsid w:val="00C61CA8"/>
    <w:rsid w:val="00C61D0D"/>
    <w:rsid w:val="00C61D56"/>
    <w:rsid w:val="00C61EAA"/>
    <w:rsid w:val="00C62050"/>
    <w:rsid w:val="00C62065"/>
    <w:rsid w:val="00C624C0"/>
    <w:rsid w:val="00C62852"/>
    <w:rsid w:val="00C62E9B"/>
    <w:rsid w:val="00C630C8"/>
    <w:rsid w:val="00C6396A"/>
    <w:rsid w:val="00C63B84"/>
    <w:rsid w:val="00C6404D"/>
    <w:rsid w:val="00C64BCC"/>
    <w:rsid w:val="00C64C05"/>
    <w:rsid w:val="00C64D06"/>
    <w:rsid w:val="00C64DA2"/>
    <w:rsid w:val="00C6501D"/>
    <w:rsid w:val="00C651C4"/>
    <w:rsid w:val="00C653AB"/>
    <w:rsid w:val="00C65767"/>
    <w:rsid w:val="00C658DE"/>
    <w:rsid w:val="00C65C26"/>
    <w:rsid w:val="00C660EE"/>
    <w:rsid w:val="00C66458"/>
    <w:rsid w:val="00C666BE"/>
    <w:rsid w:val="00C66EF1"/>
    <w:rsid w:val="00C66F06"/>
    <w:rsid w:val="00C66FF1"/>
    <w:rsid w:val="00C67A78"/>
    <w:rsid w:val="00C67BCD"/>
    <w:rsid w:val="00C67DA4"/>
    <w:rsid w:val="00C70031"/>
    <w:rsid w:val="00C70064"/>
    <w:rsid w:val="00C702C6"/>
    <w:rsid w:val="00C708C3"/>
    <w:rsid w:val="00C70C47"/>
    <w:rsid w:val="00C71078"/>
    <w:rsid w:val="00C71293"/>
    <w:rsid w:val="00C71907"/>
    <w:rsid w:val="00C71909"/>
    <w:rsid w:val="00C71BA5"/>
    <w:rsid w:val="00C71D85"/>
    <w:rsid w:val="00C7201E"/>
    <w:rsid w:val="00C7231A"/>
    <w:rsid w:val="00C72324"/>
    <w:rsid w:val="00C724F3"/>
    <w:rsid w:val="00C72898"/>
    <w:rsid w:val="00C72EE5"/>
    <w:rsid w:val="00C7358C"/>
    <w:rsid w:val="00C73919"/>
    <w:rsid w:val="00C73A5F"/>
    <w:rsid w:val="00C73EA6"/>
    <w:rsid w:val="00C74038"/>
    <w:rsid w:val="00C74607"/>
    <w:rsid w:val="00C747F6"/>
    <w:rsid w:val="00C7482F"/>
    <w:rsid w:val="00C74850"/>
    <w:rsid w:val="00C74E27"/>
    <w:rsid w:val="00C75703"/>
    <w:rsid w:val="00C76042"/>
    <w:rsid w:val="00C76094"/>
    <w:rsid w:val="00C76489"/>
    <w:rsid w:val="00C76681"/>
    <w:rsid w:val="00C769E1"/>
    <w:rsid w:val="00C76CBF"/>
    <w:rsid w:val="00C76DE6"/>
    <w:rsid w:val="00C77062"/>
    <w:rsid w:val="00C771B8"/>
    <w:rsid w:val="00C772EC"/>
    <w:rsid w:val="00C7734A"/>
    <w:rsid w:val="00C7737A"/>
    <w:rsid w:val="00C7745D"/>
    <w:rsid w:val="00C77496"/>
    <w:rsid w:val="00C775ED"/>
    <w:rsid w:val="00C77801"/>
    <w:rsid w:val="00C77FD2"/>
    <w:rsid w:val="00C8037C"/>
    <w:rsid w:val="00C80485"/>
    <w:rsid w:val="00C80796"/>
    <w:rsid w:val="00C80847"/>
    <w:rsid w:val="00C80A57"/>
    <w:rsid w:val="00C80A60"/>
    <w:rsid w:val="00C80DA1"/>
    <w:rsid w:val="00C8136A"/>
    <w:rsid w:val="00C81604"/>
    <w:rsid w:val="00C817F5"/>
    <w:rsid w:val="00C8183E"/>
    <w:rsid w:val="00C81909"/>
    <w:rsid w:val="00C81A48"/>
    <w:rsid w:val="00C81AD9"/>
    <w:rsid w:val="00C8226A"/>
    <w:rsid w:val="00C82B27"/>
    <w:rsid w:val="00C82C23"/>
    <w:rsid w:val="00C8399E"/>
    <w:rsid w:val="00C83A61"/>
    <w:rsid w:val="00C83F8C"/>
    <w:rsid w:val="00C84076"/>
    <w:rsid w:val="00C84547"/>
    <w:rsid w:val="00C84C5A"/>
    <w:rsid w:val="00C84E68"/>
    <w:rsid w:val="00C84EFA"/>
    <w:rsid w:val="00C850D1"/>
    <w:rsid w:val="00C85209"/>
    <w:rsid w:val="00C85540"/>
    <w:rsid w:val="00C858F0"/>
    <w:rsid w:val="00C859C0"/>
    <w:rsid w:val="00C85DDD"/>
    <w:rsid w:val="00C85FF2"/>
    <w:rsid w:val="00C864CA"/>
    <w:rsid w:val="00C864F9"/>
    <w:rsid w:val="00C86A08"/>
    <w:rsid w:val="00C86B63"/>
    <w:rsid w:val="00C86E33"/>
    <w:rsid w:val="00C872F5"/>
    <w:rsid w:val="00C875AD"/>
    <w:rsid w:val="00C8785E"/>
    <w:rsid w:val="00C90085"/>
    <w:rsid w:val="00C90120"/>
    <w:rsid w:val="00C902DE"/>
    <w:rsid w:val="00C902E4"/>
    <w:rsid w:val="00C90679"/>
    <w:rsid w:val="00C90FF4"/>
    <w:rsid w:val="00C918E1"/>
    <w:rsid w:val="00C91AFB"/>
    <w:rsid w:val="00C91F26"/>
    <w:rsid w:val="00C91F76"/>
    <w:rsid w:val="00C92117"/>
    <w:rsid w:val="00C922D7"/>
    <w:rsid w:val="00C9276D"/>
    <w:rsid w:val="00C92832"/>
    <w:rsid w:val="00C928FD"/>
    <w:rsid w:val="00C92A21"/>
    <w:rsid w:val="00C92C83"/>
    <w:rsid w:val="00C92CC7"/>
    <w:rsid w:val="00C92F8E"/>
    <w:rsid w:val="00C9358F"/>
    <w:rsid w:val="00C93620"/>
    <w:rsid w:val="00C93834"/>
    <w:rsid w:val="00C93871"/>
    <w:rsid w:val="00C938E2"/>
    <w:rsid w:val="00C93CDB"/>
    <w:rsid w:val="00C94134"/>
    <w:rsid w:val="00C9433A"/>
    <w:rsid w:val="00C946F6"/>
    <w:rsid w:val="00C94D14"/>
    <w:rsid w:val="00C951AF"/>
    <w:rsid w:val="00C95554"/>
    <w:rsid w:val="00C955F3"/>
    <w:rsid w:val="00C95B2C"/>
    <w:rsid w:val="00C95BED"/>
    <w:rsid w:val="00C95D76"/>
    <w:rsid w:val="00C96441"/>
    <w:rsid w:val="00C968F4"/>
    <w:rsid w:val="00C96D05"/>
    <w:rsid w:val="00C96D77"/>
    <w:rsid w:val="00C972E6"/>
    <w:rsid w:val="00C97770"/>
    <w:rsid w:val="00C979AF"/>
    <w:rsid w:val="00C97EAD"/>
    <w:rsid w:val="00C9EA33"/>
    <w:rsid w:val="00CA027F"/>
    <w:rsid w:val="00CA03B8"/>
    <w:rsid w:val="00CA1031"/>
    <w:rsid w:val="00CA1549"/>
    <w:rsid w:val="00CA1B83"/>
    <w:rsid w:val="00CA1DBF"/>
    <w:rsid w:val="00CA2009"/>
    <w:rsid w:val="00CA208F"/>
    <w:rsid w:val="00CA210B"/>
    <w:rsid w:val="00CA21D4"/>
    <w:rsid w:val="00CA21D5"/>
    <w:rsid w:val="00CA233F"/>
    <w:rsid w:val="00CA2381"/>
    <w:rsid w:val="00CA24DA"/>
    <w:rsid w:val="00CA28B9"/>
    <w:rsid w:val="00CA2973"/>
    <w:rsid w:val="00CA2CDF"/>
    <w:rsid w:val="00CA3285"/>
    <w:rsid w:val="00CA3BB5"/>
    <w:rsid w:val="00CA3D8B"/>
    <w:rsid w:val="00CA40C1"/>
    <w:rsid w:val="00CA432F"/>
    <w:rsid w:val="00CA4985"/>
    <w:rsid w:val="00CA4AD9"/>
    <w:rsid w:val="00CA4E19"/>
    <w:rsid w:val="00CA50D7"/>
    <w:rsid w:val="00CA54AC"/>
    <w:rsid w:val="00CA559A"/>
    <w:rsid w:val="00CA57DE"/>
    <w:rsid w:val="00CA59AB"/>
    <w:rsid w:val="00CA5CFF"/>
    <w:rsid w:val="00CA5DCF"/>
    <w:rsid w:val="00CA5EB4"/>
    <w:rsid w:val="00CA69EA"/>
    <w:rsid w:val="00CA6A37"/>
    <w:rsid w:val="00CA6AAD"/>
    <w:rsid w:val="00CA7148"/>
    <w:rsid w:val="00CA732F"/>
    <w:rsid w:val="00CA7373"/>
    <w:rsid w:val="00CA7577"/>
    <w:rsid w:val="00CA766B"/>
    <w:rsid w:val="00CA7784"/>
    <w:rsid w:val="00CA7853"/>
    <w:rsid w:val="00CA7E59"/>
    <w:rsid w:val="00CA7FDD"/>
    <w:rsid w:val="00CA98FF"/>
    <w:rsid w:val="00CB008A"/>
    <w:rsid w:val="00CB02B9"/>
    <w:rsid w:val="00CB03EE"/>
    <w:rsid w:val="00CB0636"/>
    <w:rsid w:val="00CB066E"/>
    <w:rsid w:val="00CB095A"/>
    <w:rsid w:val="00CB0A9B"/>
    <w:rsid w:val="00CB152E"/>
    <w:rsid w:val="00CB180C"/>
    <w:rsid w:val="00CB19B5"/>
    <w:rsid w:val="00CB1C03"/>
    <w:rsid w:val="00CB1D52"/>
    <w:rsid w:val="00CB1D77"/>
    <w:rsid w:val="00CB1DC2"/>
    <w:rsid w:val="00CB1EFD"/>
    <w:rsid w:val="00CB205D"/>
    <w:rsid w:val="00CB314C"/>
    <w:rsid w:val="00CB35E2"/>
    <w:rsid w:val="00CB3ECD"/>
    <w:rsid w:val="00CB3F1E"/>
    <w:rsid w:val="00CB4401"/>
    <w:rsid w:val="00CB4A1C"/>
    <w:rsid w:val="00CB4A35"/>
    <w:rsid w:val="00CB4C6C"/>
    <w:rsid w:val="00CB4D24"/>
    <w:rsid w:val="00CB4DE0"/>
    <w:rsid w:val="00CB4E78"/>
    <w:rsid w:val="00CB51DF"/>
    <w:rsid w:val="00CB5250"/>
    <w:rsid w:val="00CB56CB"/>
    <w:rsid w:val="00CB58EC"/>
    <w:rsid w:val="00CB5A15"/>
    <w:rsid w:val="00CB5BA6"/>
    <w:rsid w:val="00CB5E52"/>
    <w:rsid w:val="00CB5F1D"/>
    <w:rsid w:val="00CB600D"/>
    <w:rsid w:val="00CB6066"/>
    <w:rsid w:val="00CB61C7"/>
    <w:rsid w:val="00CB652D"/>
    <w:rsid w:val="00CB666D"/>
    <w:rsid w:val="00CB6AF6"/>
    <w:rsid w:val="00CB6B86"/>
    <w:rsid w:val="00CB6D44"/>
    <w:rsid w:val="00CB7160"/>
    <w:rsid w:val="00CB7BBA"/>
    <w:rsid w:val="00CB7BFE"/>
    <w:rsid w:val="00CB7D69"/>
    <w:rsid w:val="00CBD704"/>
    <w:rsid w:val="00CC0230"/>
    <w:rsid w:val="00CC07B7"/>
    <w:rsid w:val="00CC0806"/>
    <w:rsid w:val="00CC0845"/>
    <w:rsid w:val="00CC12B4"/>
    <w:rsid w:val="00CC13EA"/>
    <w:rsid w:val="00CC181D"/>
    <w:rsid w:val="00CC1958"/>
    <w:rsid w:val="00CC212F"/>
    <w:rsid w:val="00CC2349"/>
    <w:rsid w:val="00CC2CA4"/>
    <w:rsid w:val="00CC2D23"/>
    <w:rsid w:val="00CC2D74"/>
    <w:rsid w:val="00CC2F39"/>
    <w:rsid w:val="00CC3C9F"/>
    <w:rsid w:val="00CC3EAF"/>
    <w:rsid w:val="00CC40AB"/>
    <w:rsid w:val="00CC4149"/>
    <w:rsid w:val="00CC4172"/>
    <w:rsid w:val="00CC4328"/>
    <w:rsid w:val="00CC4555"/>
    <w:rsid w:val="00CC47D3"/>
    <w:rsid w:val="00CC48CD"/>
    <w:rsid w:val="00CC4AF4"/>
    <w:rsid w:val="00CC4F0B"/>
    <w:rsid w:val="00CC5129"/>
    <w:rsid w:val="00CC5377"/>
    <w:rsid w:val="00CC5698"/>
    <w:rsid w:val="00CC58C3"/>
    <w:rsid w:val="00CC593C"/>
    <w:rsid w:val="00CC5CD9"/>
    <w:rsid w:val="00CC6059"/>
    <w:rsid w:val="00CC667A"/>
    <w:rsid w:val="00CC69B2"/>
    <w:rsid w:val="00CC6B33"/>
    <w:rsid w:val="00CC6D40"/>
    <w:rsid w:val="00CC6ED7"/>
    <w:rsid w:val="00CC6FA8"/>
    <w:rsid w:val="00CC7389"/>
    <w:rsid w:val="00CC7717"/>
    <w:rsid w:val="00CC78C5"/>
    <w:rsid w:val="00CC7940"/>
    <w:rsid w:val="00CD011D"/>
    <w:rsid w:val="00CD049E"/>
    <w:rsid w:val="00CD10C7"/>
    <w:rsid w:val="00CD13BF"/>
    <w:rsid w:val="00CD1453"/>
    <w:rsid w:val="00CD16C6"/>
    <w:rsid w:val="00CD1711"/>
    <w:rsid w:val="00CD1802"/>
    <w:rsid w:val="00CD198D"/>
    <w:rsid w:val="00CD19C9"/>
    <w:rsid w:val="00CD1BD1"/>
    <w:rsid w:val="00CD2757"/>
    <w:rsid w:val="00CD27CD"/>
    <w:rsid w:val="00CD2806"/>
    <w:rsid w:val="00CD2A5D"/>
    <w:rsid w:val="00CD2BC7"/>
    <w:rsid w:val="00CD3934"/>
    <w:rsid w:val="00CD40AF"/>
    <w:rsid w:val="00CD4115"/>
    <w:rsid w:val="00CD4443"/>
    <w:rsid w:val="00CD4471"/>
    <w:rsid w:val="00CD4683"/>
    <w:rsid w:val="00CD494C"/>
    <w:rsid w:val="00CD49D8"/>
    <w:rsid w:val="00CD4ACF"/>
    <w:rsid w:val="00CD51AB"/>
    <w:rsid w:val="00CD53CE"/>
    <w:rsid w:val="00CD5BB2"/>
    <w:rsid w:val="00CD5CBD"/>
    <w:rsid w:val="00CD6171"/>
    <w:rsid w:val="00CD6422"/>
    <w:rsid w:val="00CD66F4"/>
    <w:rsid w:val="00CD67F5"/>
    <w:rsid w:val="00CD6C58"/>
    <w:rsid w:val="00CD6C83"/>
    <w:rsid w:val="00CD6CEB"/>
    <w:rsid w:val="00CD6DA6"/>
    <w:rsid w:val="00CD6DE8"/>
    <w:rsid w:val="00CD6E6B"/>
    <w:rsid w:val="00CD7495"/>
    <w:rsid w:val="00CD75B2"/>
    <w:rsid w:val="00CD7D2B"/>
    <w:rsid w:val="00CD7EA7"/>
    <w:rsid w:val="00CD7FA3"/>
    <w:rsid w:val="00CE00A2"/>
    <w:rsid w:val="00CE039C"/>
    <w:rsid w:val="00CE0A1D"/>
    <w:rsid w:val="00CE0AFF"/>
    <w:rsid w:val="00CE0D5B"/>
    <w:rsid w:val="00CE1036"/>
    <w:rsid w:val="00CE115A"/>
    <w:rsid w:val="00CE12B7"/>
    <w:rsid w:val="00CE13CF"/>
    <w:rsid w:val="00CE1A60"/>
    <w:rsid w:val="00CE1A9B"/>
    <w:rsid w:val="00CE1E65"/>
    <w:rsid w:val="00CE2389"/>
    <w:rsid w:val="00CE23B8"/>
    <w:rsid w:val="00CE2808"/>
    <w:rsid w:val="00CE2F2C"/>
    <w:rsid w:val="00CE32AE"/>
    <w:rsid w:val="00CE339B"/>
    <w:rsid w:val="00CE35BA"/>
    <w:rsid w:val="00CE37FF"/>
    <w:rsid w:val="00CE398A"/>
    <w:rsid w:val="00CE3B38"/>
    <w:rsid w:val="00CE3C0B"/>
    <w:rsid w:val="00CE402B"/>
    <w:rsid w:val="00CE45D1"/>
    <w:rsid w:val="00CE4B62"/>
    <w:rsid w:val="00CE5354"/>
    <w:rsid w:val="00CE5519"/>
    <w:rsid w:val="00CE5A67"/>
    <w:rsid w:val="00CE5B18"/>
    <w:rsid w:val="00CE5D99"/>
    <w:rsid w:val="00CE5F4B"/>
    <w:rsid w:val="00CE5F86"/>
    <w:rsid w:val="00CE67FB"/>
    <w:rsid w:val="00CE686C"/>
    <w:rsid w:val="00CE68D0"/>
    <w:rsid w:val="00CE6F2E"/>
    <w:rsid w:val="00CE6FCC"/>
    <w:rsid w:val="00CE726E"/>
    <w:rsid w:val="00CE7533"/>
    <w:rsid w:val="00CE763D"/>
    <w:rsid w:val="00CE773F"/>
    <w:rsid w:val="00CE785E"/>
    <w:rsid w:val="00CE7AB6"/>
    <w:rsid w:val="00CE7DB5"/>
    <w:rsid w:val="00CF02AA"/>
    <w:rsid w:val="00CF05EF"/>
    <w:rsid w:val="00CF06DC"/>
    <w:rsid w:val="00CF097B"/>
    <w:rsid w:val="00CF09E7"/>
    <w:rsid w:val="00CF0C3C"/>
    <w:rsid w:val="00CF0D0D"/>
    <w:rsid w:val="00CF0D22"/>
    <w:rsid w:val="00CF1111"/>
    <w:rsid w:val="00CF134D"/>
    <w:rsid w:val="00CF14EA"/>
    <w:rsid w:val="00CF151D"/>
    <w:rsid w:val="00CF1665"/>
    <w:rsid w:val="00CF1E57"/>
    <w:rsid w:val="00CF22E5"/>
    <w:rsid w:val="00CF2527"/>
    <w:rsid w:val="00CF2834"/>
    <w:rsid w:val="00CF28F4"/>
    <w:rsid w:val="00CF2E58"/>
    <w:rsid w:val="00CF2E88"/>
    <w:rsid w:val="00CF3632"/>
    <w:rsid w:val="00CF37B0"/>
    <w:rsid w:val="00CF39E7"/>
    <w:rsid w:val="00CF3FB1"/>
    <w:rsid w:val="00CF4126"/>
    <w:rsid w:val="00CF45BC"/>
    <w:rsid w:val="00CF46CD"/>
    <w:rsid w:val="00CF473A"/>
    <w:rsid w:val="00CF4A5D"/>
    <w:rsid w:val="00CF4D6E"/>
    <w:rsid w:val="00CF522E"/>
    <w:rsid w:val="00CF5290"/>
    <w:rsid w:val="00CF5953"/>
    <w:rsid w:val="00CF5AAF"/>
    <w:rsid w:val="00CF5ACC"/>
    <w:rsid w:val="00CF5AF3"/>
    <w:rsid w:val="00CF5CE3"/>
    <w:rsid w:val="00CF61AC"/>
    <w:rsid w:val="00CF6480"/>
    <w:rsid w:val="00CF6613"/>
    <w:rsid w:val="00CF704E"/>
    <w:rsid w:val="00CF744E"/>
    <w:rsid w:val="00CF7640"/>
    <w:rsid w:val="00CF7693"/>
    <w:rsid w:val="00CF7955"/>
    <w:rsid w:val="00CF7A6F"/>
    <w:rsid w:val="00CF7CAE"/>
    <w:rsid w:val="00D000A6"/>
    <w:rsid w:val="00D00422"/>
    <w:rsid w:val="00D004F7"/>
    <w:rsid w:val="00D005B9"/>
    <w:rsid w:val="00D0091A"/>
    <w:rsid w:val="00D00DF3"/>
    <w:rsid w:val="00D01240"/>
    <w:rsid w:val="00D013EE"/>
    <w:rsid w:val="00D01493"/>
    <w:rsid w:val="00D01A1C"/>
    <w:rsid w:val="00D01C2C"/>
    <w:rsid w:val="00D02678"/>
    <w:rsid w:val="00D0278A"/>
    <w:rsid w:val="00D02D99"/>
    <w:rsid w:val="00D02EAE"/>
    <w:rsid w:val="00D03067"/>
    <w:rsid w:val="00D038A8"/>
    <w:rsid w:val="00D038B0"/>
    <w:rsid w:val="00D038F3"/>
    <w:rsid w:val="00D03F92"/>
    <w:rsid w:val="00D0416C"/>
    <w:rsid w:val="00D04915"/>
    <w:rsid w:val="00D04B0F"/>
    <w:rsid w:val="00D04DC9"/>
    <w:rsid w:val="00D04FC0"/>
    <w:rsid w:val="00D053A8"/>
    <w:rsid w:val="00D05613"/>
    <w:rsid w:val="00D05931"/>
    <w:rsid w:val="00D05A57"/>
    <w:rsid w:val="00D05D62"/>
    <w:rsid w:val="00D05EB7"/>
    <w:rsid w:val="00D065FF"/>
    <w:rsid w:val="00D06630"/>
    <w:rsid w:val="00D06F15"/>
    <w:rsid w:val="00D0704F"/>
    <w:rsid w:val="00D075D3"/>
    <w:rsid w:val="00D07749"/>
    <w:rsid w:val="00D079BC"/>
    <w:rsid w:val="00D07C85"/>
    <w:rsid w:val="00D07D9E"/>
    <w:rsid w:val="00D07F3C"/>
    <w:rsid w:val="00D104D7"/>
    <w:rsid w:val="00D10726"/>
    <w:rsid w:val="00D10771"/>
    <w:rsid w:val="00D1092E"/>
    <w:rsid w:val="00D109BC"/>
    <w:rsid w:val="00D10B08"/>
    <w:rsid w:val="00D10CC7"/>
    <w:rsid w:val="00D10DAB"/>
    <w:rsid w:val="00D10DB8"/>
    <w:rsid w:val="00D10EB1"/>
    <w:rsid w:val="00D11193"/>
    <w:rsid w:val="00D111B0"/>
    <w:rsid w:val="00D1183F"/>
    <w:rsid w:val="00D11BE0"/>
    <w:rsid w:val="00D11C8A"/>
    <w:rsid w:val="00D11D83"/>
    <w:rsid w:val="00D11FBA"/>
    <w:rsid w:val="00D12478"/>
    <w:rsid w:val="00D12686"/>
    <w:rsid w:val="00D126D3"/>
    <w:rsid w:val="00D128D0"/>
    <w:rsid w:val="00D12D9F"/>
    <w:rsid w:val="00D12F5D"/>
    <w:rsid w:val="00D13497"/>
    <w:rsid w:val="00D136A4"/>
    <w:rsid w:val="00D137E4"/>
    <w:rsid w:val="00D13DDA"/>
    <w:rsid w:val="00D13F43"/>
    <w:rsid w:val="00D141BE"/>
    <w:rsid w:val="00D14213"/>
    <w:rsid w:val="00D146D6"/>
    <w:rsid w:val="00D14791"/>
    <w:rsid w:val="00D152DC"/>
    <w:rsid w:val="00D155B2"/>
    <w:rsid w:val="00D156D4"/>
    <w:rsid w:val="00D15826"/>
    <w:rsid w:val="00D158B5"/>
    <w:rsid w:val="00D16316"/>
    <w:rsid w:val="00D1692F"/>
    <w:rsid w:val="00D16937"/>
    <w:rsid w:val="00D16991"/>
    <w:rsid w:val="00D16A60"/>
    <w:rsid w:val="00D16D33"/>
    <w:rsid w:val="00D17089"/>
    <w:rsid w:val="00D17116"/>
    <w:rsid w:val="00D173DD"/>
    <w:rsid w:val="00D1795A"/>
    <w:rsid w:val="00D17A3F"/>
    <w:rsid w:val="00D17FC5"/>
    <w:rsid w:val="00D20259"/>
    <w:rsid w:val="00D20483"/>
    <w:rsid w:val="00D21037"/>
    <w:rsid w:val="00D211F0"/>
    <w:rsid w:val="00D2133E"/>
    <w:rsid w:val="00D2162C"/>
    <w:rsid w:val="00D2195B"/>
    <w:rsid w:val="00D21A99"/>
    <w:rsid w:val="00D22629"/>
    <w:rsid w:val="00D22D15"/>
    <w:rsid w:val="00D22F63"/>
    <w:rsid w:val="00D23347"/>
    <w:rsid w:val="00D236AF"/>
    <w:rsid w:val="00D23769"/>
    <w:rsid w:val="00D24101"/>
    <w:rsid w:val="00D24340"/>
    <w:rsid w:val="00D246E7"/>
    <w:rsid w:val="00D2473B"/>
    <w:rsid w:val="00D24D8F"/>
    <w:rsid w:val="00D255A3"/>
    <w:rsid w:val="00D25D26"/>
    <w:rsid w:val="00D25F20"/>
    <w:rsid w:val="00D26276"/>
    <w:rsid w:val="00D2689F"/>
    <w:rsid w:val="00D26912"/>
    <w:rsid w:val="00D26919"/>
    <w:rsid w:val="00D26ADF"/>
    <w:rsid w:val="00D26F05"/>
    <w:rsid w:val="00D27430"/>
    <w:rsid w:val="00D27C9A"/>
    <w:rsid w:val="00D27DF6"/>
    <w:rsid w:val="00D30372"/>
    <w:rsid w:val="00D303A8"/>
    <w:rsid w:val="00D3046E"/>
    <w:rsid w:val="00D30A7A"/>
    <w:rsid w:val="00D3147A"/>
    <w:rsid w:val="00D31F60"/>
    <w:rsid w:val="00D31FE8"/>
    <w:rsid w:val="00D323F3"/>
    <w:rsid w:val="00D32467"/>
    <w:rsid w:val="00D32537"/>
    <w:rsid w:val="00D32630"/>
    <w:rsid w:val="00D3288A"/>
    <w:rsid w:val="00D32A69"/>
    <w:rsid w:val="00D32A74"/>
    <w:rsid w:val="00D330BB"/>
    <w:rsid w:val="00D3311E"/>
    <w:rsid w:val="00D334D2"/>
    <w:rsid w:val="00D3375D"/>
    <w:rsid w:val="00D33965"/>
    <w:rsid w:val="00D33BCB"/>
    <w:rsid w:val="00D34074"/>
    <w:rsid w:val="00D34393"/>
    <w:rsid w:val="00D3478F"/>
    <w:rsid w:val="00D3479C"/>
    <w:rsid w:val="00D3528D"/>
    <w:rsid w:val="00D353C3"/>
    <w:rsid w:val="00D35BBA"/>
    <w:rsid w:val="00D360F8"/>
    <w:rsid w:val="00D361F3"/>
    <w:rsid w:val="00D36225"/>
    <w:rsid w:val="00D36409"/>
    <w:rsid w:val="00D364D6"/>
    <w:rsid w:val="00D370CE"/>
    <w:rsid w:val="00D372E9"/>
    <w:rsid w:val="00D37460"/>
    <w:rsid w:val="00D37C81"/>
    <w:rsid w:val="00D37EA2"/>
    <w:rsid w:val="00D403D4"/>
    <w:rsid w:val="00D4101D"/>
    <w:rsid w:val="00D414D8"/>
    <w:rsid w:val="00D41D70"/>
    <w:rsid w:val="00D4204E"/>
    <w:rsid w:val="00D42390"/>
    <w:rsid w:val="00D425DA"/>
    <w:rsid w:val="00D42FCF"/>
    <w:rsid w:val="00D42FF0"/>
    <w:rsid w:val="00D432AB"/>
    <w:rsid w:val="00D437AE"/>
    <w:rsid w:val="00D439E4"/>
    <w:rsid w:val="00D44473"/>
    <w:rsid w:val="00D44658"/>
    <w:rsid w:val="00D44804"/>
    <w:rsid w:val="00D44833"/>
    <w:rsid w:val="00D44C6B"/>
    <w:rsid w:val="00D44CBD"/>
    <w:rsid w:val="00D45386"/>
    <w:rsid w:val="00D453A3"/>
    <w:rsid w:val="00D4576A"/>
    <w:rsid w:val="00D4583F"/>
    <w:rsid w:val="00D45875"/>
    <w:rsid w:val="00D45B03"/>
    <w:rsid w:val="00D45CCE"/>
    <w:rsid w:val="00D45CFC"/>
    <w:rsid w:val="00D4602C"/>
    <w:rsid w:val="00D46219"/>
    <w:rsid w:val="00D4638E"/>
    <w:rsid w:val="00D4673B"/>
    <w:rsid w:val="00D46EDE"/>
    <w:rsid w:val="00D47129"/>
    <w:rsid w:val="00D4717D"/>
    <w:rsid w:val="00D4739E"/>
    <w:rsid w:val="00D47452"/>
    <w:rsid w:val="00D47C28"/>
    <w:rsid w:val="00D47DF5"/>
    <w:rsid w:val="00D47E68"/>
    <w:rsid w:val="00D47EDF"/>
    <w:rsid w:val="00D50065"/>
    <w:rsid w:val="00D501F4"/>
    <w:rsid w:val="00D502F3"/>
    <w:rsid w:val="00D504C5"/>
    <w:rsid w:val="00D5062E"/>
    <w:rsid w:val="00D5063D"/>
    <w:rsid w:val="00D507F0"/>
    <w:rsid w:val="00D50927"/>
    <w:rsid w:val="00D50CEB"/>
    <w:rsid w:val="00D5128A"/>
    <w:rsid w:val="00D51749"/>
    <w:rsid w:val="00D5195A"/>
    <w:rsid w:val="00D51960"/>
    <w:rsid w:val="00D51B55"/>
    <w:rsid w:val="00D51C3B"/>
    <w:rsid w:val="00D51C3C"/>
    <w:rsid w:val="00D51D19"/>
    <w:rsid w:val="00D520E2"/>
    <w:rsid w:val="00D52273"/>
    <w:rsid w:val="00D5237F"/>
    <w:rsid w:val="00D52779"/>
    <w:rsid w:val="00D5280D"/>
    <w:rsid w:val="00D53221"/>
    <w:rsid w:val="00D53660"/>
    <w:rsid w:val="00D53E30"/>
    <w:rsid w:val="00D53E7C"/>
    <w:rsid w:val="00D53EFD"/>
    <w:rsid w:val="00D5419A"/>
    <w:rsid w:val="00D5448D"/>
    <w:rsid w:val="00D5493F"/>
    <w:rsid w:val="00D54BAF"/>
    <w:rsid w:val="00D550C4"/>
    <w:rsid w:val="00D55385"/>
    <w:rsid w:val="00D5542B"/>
    <w:rsid w:val="00D556E4"/>
    <w:rsid w:val="00D558AD"/>
    <w:rsid w:val="00D55D2F"/>
    <w:rsid w:val="00D55FC0"/>
    <w:rsid w:val="00D56345"/>
    <w:rsid w:val="00D56606"/>
    <w:rsid w:val="00D56C41"/>
    <w:rsid w:val="00D57AD3"/>
    <w:rsid w:val="00D57E9C"/>
    <w:rsid w:val="00D60370"/>
    <w:rsid w:val="00D6099F"/>
    <w:rsid w:val="00D60C1A"/>
    <w:rsid w:val="00D60FF8"/>
    <w:rsid w:val="00D61273"/>
    <w:rsid w:val="00D61406"/>
    <w:rsid w:val="00D6163D"/>
    <w:rsid w:val="00D61BE3"/>
    <w:rsid w:val="00D61C9C"/>
    <w:rsid w:val="00D61CFC"/>
    <w:rsid w:val="00D61DD6"/>
    <w:rsid w:val="00D61F14"/>
    <w:rsid w:val="00D62011"/>
    <w:rsid w:val="00D62C14"/>
    <w:rsid w:val="00D63045"/>
    <w:rsid w:val="00D6312E"/>
    <w:rsid w:val="00D6326C"/>
    <w:rsid w:val="00D63BF9"/>
    <w:rsid w:val="00D63C16"/>
    <w:rsid w:val="00D63F53"/>
    <w:rsid w:val="00D63F73"/>
    <w:rsid w:val="00D642FA"/>
    <w:rsid w:val="00D64448"/>
    <w:rsid w:val="00D6488D"/>
    <w:rsid w:val="00D65064"/>
    <w:rsid w:val="00D6574A"/>
    <w:rsid w:val="00D65C3A"/>
    <w:rsid w:val="00D65DD9"/>
    <w:rsid w:val="00D66248"/>
    <w:rsid w:val="00D66622"/>
    <w:rsid w:val="00D66D8F"/>
    <w:rsid w:val="00D66DD1"/>
    <w:rsid w:val="00D66DE9"/>
    <w:rsid w:val="00D670B9"/>
    <w:rsid w:val="00D6725F"/>
    <w:rsid w:val="00D677CE"/>
    <w:rsid w:val="00D678A1"/>
    <w:rsid w:val="00D67D76"/>
    <w:rsid w:val="00D67E94"/>
    <w:rsid w:val="00D702C1"/>
    <w:rsid w:val="00D70E5C"/>
    <w:rsid w:val="00D70EAC"/>
    <w:rsid w:val="00D716CC"/>
    <w:rsid w:val="00D71953"/>
    <w:rsid w:val="00D7197E"/>
    <w:rsid w:val="00D71BD2"/>
    <w:rsid w:val="00D71C9F"/>
    <w:rsid w:val="00D71F64"/>
    <w:rsid w:val="00D71F94"/>
    <w:rsid w:val="00D7205D"/>
    <w:rsid w:val="00D725D1"/>
    <w:rsid w:val="00D7288E"/>
    <w:rsid w:val="00D72C7C"/>
    <w:rsid w:val="00D72DEF"/>
    <w:rsid w:val="00D73020"/>
    <w:rsid w:val="00D734B7"/>
    <w:rsid w:val="00D737C3"/>
    <w:rsid w:val="00D73892"/>
    <w:rsid w:val="00D73940"/>
    <w:rsid w:val="00D73C6D"/>
    <w:rsid w:val="00D7424C"/>
    <w:rsid w:val="00D743A3"/>
    <w:rsid w:val="00D749B1"/>
    <w:rsid w:val="00D74A9A"/>
    <w:rsid w:val="00D75657"/>
    <w:rsid w:val="00D756AB"/>
    <w:rsid w:val="00D7572C"/>
    <w:rsid w:val="00D757D2"/>
    <w:rsid w:val="00D75A1B"/>
    <w:rsid w:val="00D75D56"/>
    <w:rsid w:val="00D76000"/>
    <w:rsid w:val="00D76447"/>
    <w:rsid w:val="00D76D04"/>
    <w:rsid w:val="00D77083"/>
    <w:rsid w:val="00D77377"/>
    <w:rsid w:val="00D77516"/>
    <w:rsid w:val="00D77928"/>
    <w:rsid w:val="00D77BD7"/>
    <w:rsid w:val="00D77EDC"/>
    <w:rsid w:val="00D77F43"/>
    <w:rsid w:val="00D77F51"/>
    <w:rsid w:val="00D80140"/>
    <w:rsid w:val="00D801E0"/>
    <w:rsid w:val="00D8057E"/>
    <w:rsid w:val="00D80609"/>
    <w:rsid w:val="00D8067A"/>
    <w:rsid w:val="00D809BE"/>
    <w:rsid w:val="00D81165"/>
    <w:rsid w:val="00D81419"/>
    <w:rsid w:val="00D815A4"/>
    <w:rsid w:val="00D8161D"/>
    <w:rsid w:val="00D81760"/>
    <w:rsid w:val="00D819FD"/>
    <w:rsid w:val="00D81CCF"/>
    <w:rsid w:val="00D81E54"/>
    <w:rsid w:val="00D82192"/>
    <w:rsid w:val="00D82366"/>
    <w:rsid w:val="00D82607"/>
    <w:rsid w:val="00D828BA"/>
    <w:rsid w:val="00D82C5E"/>
    <w:rsid w:val="00D82D5A"/>
    <w:rsid w:val="00D831D1"/>
    <w:rsid w:val="00D8347C"/>
    <w:rsid w:val="00D83899"/>
    <w:rsid w:val="00D839B9"/>
    <w:rsid w:val="00D839E6"/>
    <w:rsid w:val="00D83D27"/>
    <w:rsid w:val="00D83E66"/>
    <w:rsid w:val="00D84155"/>
    <w:rsid w:val="00D84261"/>
    <w:rsid w:val="00D84A0A"/>
    <w:rsid w:val="00D84A37"/>
    <w:rsid w:val="00D84C45"/>
    <w:rsid w:val="00D85158"/>
    <w:rsid w:val="00D8544E"/>
    <w:rsid w:val="00D8558C"/>
    <w:rsid w:val="00D859FC"/>
    <w:rsid w:val="00D86204"/>
    <w:rsid w:val="00D866D2"/>
    <w:rsid w:val="00D87052"/>
    <w:rsid w:val="00D8722F"/>
    <w:rsid w:val="00D87421"/>
    <w:rsid w:val="00D879F6"/>
    <w:rsid w:val="00D87B81"/>
    <w:rsid w:val="00D87C32"/>
    <w:rsid w:val="00D87C9F"/>
    <w:rsid w:val="00D8C862"/>
    <w:rsid w:val="00D900AC"/>
    <w:rsid w:val="00D904C4"/>
    <w:rsid w:val="00D90D2A"/>
    <w:rsid w:val="00D90DD4"/>
    <w:rsid w:val="00D92D89"/>
    <w:rsid w:val="00D92E84"/>
    <w:rsid w:val="00D931E1"/>
    <w:rsid w:val="00D93273"/>
    <w:rsid w:val="00D9340D"/>
    <w:rsid w:val="00D93705"/>
    <w:rsid w:val="00D94155"/>
    <w:rsid w:val="00D94216"/>
    <w:rsid w:val="00D94EEF"/>
    <w:rsid w:val="00D94F83"/>
    <w:rsid w:val="00D958B1"/>
    <w:rsid w:val="00D95B54"/>
    <w:rsid w:val="00D95B8D"/>
    <w:rsid w:val="00D95C80"/>
    <w:rsid w:val="00D960E6"/>
    <w:rsid w:val="00D962EC"/>
    <w:rsid w:val="00D9655B"/>
    <w:rsid w:val="00D967B2"/>
    <w:rsid w:val="00D969B0"/>
    <w:rsid w:val="00D96FE7"/>
    <w:rsid w:val="00D9790C"/>
    <w:rsid w:val="00D97DED"/>
    <w:rsid w:val="00DA02AB"/>
    <w:rsid w:val="00DA0401"/>
    <w:rsid w:val="00DA0FB2"/>
    <w:rsid w:val="00DA102C"/>
    <w:rsid w:val="00DA1BB3"/>
    <w:rsid w:val="00DA1E44"/>
    <w:rsid w:val="00DA1F86"/>
    <w:rsid w:val="00DA2073"/>
    <w:rsid w:val="00DA21AC"/>
    <w:rsid w:val="00DA2236"/>
    <w:rsid w:val="00DA23EE"/>
    <w:rsid w:val="00DA2615"/>
    <w:rsid w:val="00DA2640"/>
    <w:rsid w:val="00DA286F"/>
    <w:rsid w:val="00DA2BF5"/>
    <w:rsid w:val="00DA2EDF"/>
    <w:rsid w:val="00DA305E"/>
    <w:rsid w:val="00DA3A8B"/>
    <w:rsid w:val="00DA4484"/>
    <w:rsid w:val="00DA44C5"/>
    <w:rsid w:val="00DA48B8"/>
    <w:rsid w:val="00DA4992"/>
    <w:rsid w:val="00DA4E03"/>
    <w:rsid w:val="00DA4FFB"/>
    <w:rsid w:val="00DA5285"/>
    <w:rsid w:val="00DA5421"/>
    <w:rsid w:val="00DA54F2"/>
    <w:rsid w:val="00DA56C4"/>
    <w:rsid w:val="00DA5BD6"/>
    <w:rsid w:val="00DA5C21"/>
    <w:rsid w:val="00DA6371"/>
    <w:rsid w:val="00DA66A8"/>
    <w:rsid w:val="00DA6739"/>
    <w:rsid w:val="00DA6AF9"/>
    <w:rsid w:val="00DA6B0F"/>
    <w:rsid w:val="00DA6E94"/>
    <w:rsid w:val="00DA6EFE"/>
    <w:rsid w:val="00DA7421"/>
    <w:rsid w:val="00DA7676"/>
    <w:rsid w:val="00DA7AEA"/>
    <w:rsid w:val="00DA7D7D"/>
    <w:rsid w:val="00DB052B"/>
    <w:rsid w:val="00DB062F"/>
    <w:rsid w:val="00DB0874"/>
    <w:rsid w:val="00DB0929"/>
    <w:rsid w:val="00DB0CDF"/>
    <w:rsid w:val="00DB0F7E"/>
    <w:rsid w:val="00DB181C"/>
    <w:rsid w:val="00DB197A"/>
    <w:rsid w:val="00DB20E2"/>
    <w:rsid w:val="00DB280D"/>
    <w:rsid w:val="00DB28B7"/>
    <w:rsid w:val="00DB2CA2"/>
    <w:rsid w:val="00DB3342"/>
    <w:rsid w:val="00DB337F"/>
    <w:rsid w:val="00DB37E8"/>
    <w:rsid w:val="00DB383B"/>
    <w:rsid w:val="00DB3B70"/>
    <w:rsid w:val="00DB3E34"/>
    <w:rsid w:val="00DB3FF6"/>
    <w:rsid w:val="00DB43C6"/>
    <w:rsid w:val="00DB4985"/>
    <w:rsid w:val="00DB4F1E"/>
    <w:rsid w:val="00DB5197"/>
    <w:rsid w:val="00DB54CB"/>
    <w:rsid w:val="00DB5895"/>
    <w:rsid w:val="00DB59A8"/>
    <w:rsid w:val="00DB5D8C"/>
    <w:rsid w:val="00DB5DB1"/>
    <w:rsid w:val="00DB5DE7"/>
    <w:rsid w:val="00DB5FB4"/>
    <w:rsid w:val="00DB6007"/>
    <w:rsid w:val="00DB6067"/>
    <w:rsid w:val="00DB6082"/>
    <w:rsid w:val="00DB61CA"/>
    <w:rsid w:val="00DB6375"/>
    <w:rsid w:val="00DB656E"/>
    <w:rsid w:val="00DB67BB"/>
    <w:rsid w:val="00DB6DF8"/>
    <w:rsid w:val="00DB7A94"/>
    <w:rsid w:val="00DC081B"/>
    <w:rsid w:val="00DC09C3"/>
    <w:rsid w:val="00DC0A35"/>
    <w:rsid w:val="00DC0A4B"/>
    <w:rsid w:val="00DC0A9E"/>
    <w:rsid w:val="00DC0F20"/>
    <w:rsid w:val="00DC10D2"/>
    <w:rsid w:val="00DC1225"/>
    <w:rsid w:val="00DC1332"/>
    <w:rsid w:val="00DC1497"/>
    <w:rsid w:val="00DC14F7"/>
    <w:rsid w:val="00DC1756"/>
    <w:rsid w:val="00DC1AB2"/>
    <w:rsid w:val="00DC1D3C"/>
    <w:rsid w:val="00DC2466"/>
    <w:rsid w:val="00DC2AEA"/>
    <w:rsid w:val="00DC3367"/>
    <w:rsid w:val="00DC36CF"/>
    <w:rsid w:val="00DC3ECC"/>
    <w:rsid w:val="00DC4257"/>
    <w:rsid w:val="00DC42DD"/>
    <w:rsid w:val="00DC4404"/>
    <w:rsid w:val="00DC468A"/>
    <w:rsid w:val="00DC483D"/>
    <w:rsid w:val="00DC48B2"/>
    <w:rsid w:val="00DC4D6C"/>
    <w:rsid w:val="00DC501D"/>
    <w:rsid w:val="00DC52F0"/>
    <w:rsid w:val="00DC5A20"/>
    <w:rsid w:val="00DC6D98"/>
    <w:rsid w:val="00DC6FA0"/>
    <w:rsid w:val="00DC726A"/>
    <w:rsid w:val="00DC7347"/>
    <w:rsid w:val="00DC742D"/>
    <w:rsid w:val="00DC7930"/>
    <w:rsid w:val="00DC7A61"/>
    <w:rsid w:val="00DC7B56"/>
    <w:rsid w:val="00DD07E7"/>
    <w:rsid w:val="00DD0CE6"/>
    <w:rsid w:val="00DD1205"/>
    <w:rsid w:val="00DD14C9"/>
    <w:rsid w:val="00DD15DD"/>
    <w:rsid w:val="00DD17CE"/>
    <w:rsid w:val="00DD1943"/>
    <w:rsid w:val="00DD1C46"/>
    <w:rsid w:val="00DD1D3D"/>
    <w:rsid w:val="00DD24F2"/>
    <w:rsid w:val="00DD273B"/>
    <w:rsid w:val="00DD2D16"/>
    <w:rsid w:val="00DD3320"/>
    <w:rsid w:val="00DD37D9"/>
    <w:rsid w:val="00DD3893"/>
    <w:rsid w:val="00DD3908"/>
    <w:rsid w:val="00DD4392"/>
    <w:rsid w:val="00DD471E"/>
    <w:rsid w:val="00DD4B4C"/>
    <w:rsid w:val="00DD4F29"/>
    <w:rsid w:val="00DD5216"/>
    <w:rsid w:val="00DD52AA"/>
    <w:rsid w:val="00DD555F"/>
    <w:rsid w:val="00DD55F9"/>
    <w:rsid w:val="00DD5B15"/>
    <w:rsid w:val="00DD605A"/>
    <w:rsid w:val="00DD6418"/>
    <w:rsid w:val="00DD6F1D"/>
    <w:rsid w:val="00DD7ED6"/>
    <w:rsid w:val="00DE0088"/>
    <w:rsid w:val="00DE08CB"/>
    <w:rsid w:val="00DE0B85"/>
    <w:rsid w:val="00DE17B6"/>
    <w:rsid w:val="00DE19A1"/>
    <w:rsid w:val="00DE19DA"/>
    <w:rsid w:val="00DE1E72"/>
    <w:rsid w:val="00DE2330"/>
    <w:rsid w:val="00DE2A1E"/>
    <w:rsid w:val="00DE3B76"/>
    <w:rsid w:val="00DE3C2D"/>
    <w:rsid w:val="00DE3F10"/>
    <w:rsid w:val="00DE445D"/>
    <w:rsid w:val="00DE4798"/>
    <w:rsid w:val="00DE487E"/>
    <w:rsid w:val="00DE494E"/>
    <w:rsid w:val="00DE4C88"/>
    <w:rsid w:val="00DE5344"/>
    <w:rsid w:val="00DE566C"/>
    <w:rsid w:val="00DE585C"/>
    <w:rsid w:val="00DE5B31"/>
    <w:rsid w:val="00DE5BC6"/>
    <w:rsid w:val="00DE5E26"/>
    <w:rsid w:val="00DE61D3"/>
    <w:rsid w:val="00DE62E3"/>
    <w:rsid w:val="00DE64FF"/>
    <w:rsid w:val="00DE66F1"/>
    <w:rsid w:val="00DE67EF"/>
    <w:rsid w:val="00DE6822"/>
    <w:rsid w:val="00DE6B1A"/>
    <w:rsid w:val="00DE6D98"/>
    <w:rsid w:val="00DE6DC7"/>
    <w:rsid w:val="00DE72CE"/>
    <w:rsid w:val="00DE72FB"/>
    <w:rsid w:val="00DE757E"/>
    <w:rsid w:val="00DE7827"/>
    <w:rsid w:val="00DE7A21"/>
    <w:rsid w:val="00DE7B55"/>
    <w:rsid w:val="00DE7B90"/>
    <w:rsid w:val="00DE7D28"/>
    <w:rsid w:val="00DEAE74"/>
    <w:rsid w:val="00DF01EC"/>
    <w:rsid w:val="00DF0327"/>
    <w:rsid w:val="00DF06CA"/>
    <w:rsid w:val="00DF0E99"/>
    <w:rsid w:val="00DF10D8"/>
    <w:rsid w:val="00DF1437"/>
    <w:rsid w:val="00DF1528"/>
    <w:rsid w:val="00DF19F5"/>
    <w:rsid w:val="00DF1C02"/>
    <w:rsid w:val="00DF1DB3"/>
    <w:rsid w:val="00DF272A"/>
    <w:rsid w:val="00DF2954"/>
    <w:rsid w:val="00DF2BEE"/>
    <w:rsid w:val="00DF3056"/>
    <w:rsid w:val="00DF329E"/>
    <w:rsid w:val="00DF3339"/>
    <w:rsid w:val="00DF33D1"/>
    <w:rsid w:val="00DF34EF"/>
    <w:rsid w:val="00DF350F"/>
    <w:rsid w:val="00DF3734"/>
    <w:rsid w:val="00DF385B"/>
    <w:rsid w:val="00DF3A6A"/>
    <w:rsid w:val="00DF3CAE"/>
    <w:rsid w:val="00DF3E30"/>
    <w:rsid w:val="00DF3F02"/>
    <w:rsid w:val="00DF3FBC"/>
    <w:rsid w:val="00DF4401"/>
    <w:rsid w:val="00DF4569"/>
    <w:rsid w:val="00DF4738"/>
    <w:rsid w:val="00DF4AF3"/>
    <w:rsid w:val="00DF4B54"/>
    <w:rsid w:val="00DF4FDA"/>
    <w:rsid w:val="00DF5110"/>
    <w:rsid w:val="00DF52F0"/>
    <w:rsid w:val="00DF538B"/>
    <w:rsid w:val="00DF5F45"/>
    <w:rsid w:val="00DF604C"/>
    <w:rsid w:val="00DF69E5"/>
    <w:rsid w:val="00DF6D73"/>
    <w:rsid w:val="00DF7285"/>
    <w:rsid w:val="00DF7646"/>
    <w:rsid w:val="00DF76AB"/>
    <w:rsid w:val="00DF7968"/>
    <w:rsid w:val="00DF7B54"/>
    <w:rsid w:val="00DFE84D"/>
    <w:rsid w:val="00E00067"/>
    <w:rsid w:val="00E00406"/>
    <w:rsid w:val="00E00AF3"/>
    <w:rsid w:val="00E00E81"/>
    <w:rsid w:val="00E01101"/>
    <w:rsid w:val="00E0165C"/>
    <w:rsid w:val="00E0171E"/>
    <w:rsid w:val="00E0181A"/>
    <w:rsid w:val="00E0188A"/>
    <w:rsid w:val="00E02B9A"/>
    <w:rsid w:val="00E02E85"/>
    <w:rsid w:val="00E03070"/>
    <w:rsid w:val="00E033FB"/>
    <w:rsid w:val="00E03A7C"/>
    <w:rsid w:val="00E03C89"/>
    <w:rsid w:val="00E03D6D"/>
    <w:rsid w:val="00E03ED8"/>
    <w:rsid w:val="00E03EDF"/>
    <w:rsid w:val="00E04238"/>
    <w:rsid w:val="00E043C3"/>
    <w:rsid w:val="00E046BC"/>
    <w:rsid w:val="00E04B0D"/>
    <w:rsid w:val="00E0514D"/>
    <w:rsid w:val="00E05217"/>
    <w:rsid w:val="00E0530F"/>
    <w:rsid w:val="00E05742"/>
    <w:rsid w:val="00E05B6C"/>
    <w:rsid w:val="00E05DB6"/>
    <w:rsid w:val="00E064B9"/>
    <w:rsid w:val="00E0659A"/>
    <w:rsid w:val="00E066EF"/>
    <w:rsid w:val="00E0749F"/>
    <w:rsid w:val="00E07704"/>
    <w:rsid w:val="00E0770B"/>
    <w:rsid w:val="00E079E0"/>
    <w:rsid w:val="00E07C97"/>
    <w:rsid w:val="00E07F7F"/>
    <w:rsid w:val="00E10538"/>
    <w:rsid w:val="00E10E40"/>
    <w:rsid w:val="00E11218"/>
    <w:rsid w:val="00E112C5"/>
    <w:rsid w:val="00E11303"/>
    <w:rsid w:val="00E116A8"/>
    <w:rsid w:val="00E1170F"/>
    <w:rsid w:val="00E117CC"/>
    <w:rsid w:val="00E11835"/>
    <w:rsid w:val="00E11B08"/>
    <w:rsid w:val="00E11B9E"/>
    <w:rsid w:val="00E125C7"/>
    <w:rsid w:val="00E12833"/>
    <w:rsid w:val="00E12A5F"/>
    <w:rsid w:val="00E12B7F"/>
    <w:rsid w:val="00E12C45"/>
    <w:rsid w:val="00E12DAA"/>
    <w:rsid w:val="00E12DF9"/>
    <w:rsid w:val="00E13265"/>
    <w:rsid w:val="00E133A2"/>
    <w:rsid w:val="00E13429"/>
    <w:rsid w:val="00E134DF"/>
    <w:rsid w:val="00E13D6E"/>
    <w:rsid w:val="00E1452D"/>
    <w:rsid w:val="00E14681"/>
    <w:rsid w:val="00E149E3"/>
    <w:rsid w:val="00E15416"/>
    <w:rsid w:val="00E157A5"/>
    <w:rsid w:val="00E15A8B"/>
    <w:rsid w:val="00E15AC4"/>
    <w:rsid w:val="00E15F5E"/>
    <w:rsid w:val="00E1664F"/>
    <w:rsid w:val="00E16875"/>
    <w:rsid w:val="00E16993"/>
    <w:rsid w:val="00E16C3A"/>
    <w:rsid w:val="00E16E32"/>
    <w:rsid w:val="00E17250"/>
    <w:rsid w:val="00E1797B"/>
    <w:rsid w:val="00E17BD1"/>
    <w:rsid w:val="00E17CCC"/>
    <w:rsid w:val="00E2051D"/>
    <w:rsid w:val="00E2054A"/>
    <w:rsid w:val="00E205C5"/>
    <w:rsid w:val="00E20B66"/>
    <w:rsid w:val="00E210FE"/>
    <w:rsid w:val="00E212E7"/>
    <w:rsid w:val="00E21459"/>
    <w:rsid w:val="00E2152C"/>
    <w:rsid w:val="00E2153D"/>
    <w:rsid w:val="00E219BC"/>
    <w:rsid w:val="00E21BF4"/>
    <w:rsid w:val="00E220D4"/>
    <w:rsid w:val="00E22641"/>
    <w:rsid w:val="00E22B36"/>
    <w:rsid w:val="00E22D93"/>
    <w:rsid w:val="00E23B80"/>
    <w:rsid w:val="00E23BE2"/>
    <w:rsid w:val="00E23DE0"/>
    <w:rsid w:val="00E23F29"/>
    <w:rsid w:val="00E24145"/>
    <w:rsid w:val="00E24186"/>
    <w:rsid w:val="00E242AA"/>
    <w:rsid w:val="00E246C5"/>
    <w:rsid w:val="00E2482F"/>
    <w:rsid w:val="00E24A47"/>
    <w:rsid w:val="00E24EEF"/>
    <w:rsid w:val="00E252BE"/>
    <w:rsid w:val="00E25609"/>
    <w:rsid w:val="00E25732"/>
    <w:rsid w:val="00E257B8"/>
    <w:rsid w:val="00E261E1"/>
    <w:rsid w:val="00E2665B"/>
    <w:rsid w:val="00E26696"/>
    <w:rsid w:val="00E269AA"/>
    <w:rsid w:val="00E26C31"/>
    <w:rsid w:val="00E279B9"/>
    <w:rsid w:val="00E27BF5"/>
    <w:rsid w:val="00E27CDC"/>
    <w:rsid w:val="00E27D72"/>
    <w:rsid w:val="00E304DE"/>
    <w:rsid w:val="00E30B3A"/>
    <w:rsid w:val="00E30B60"/>
    <w:rsid w:val="00E30F4D"/>
    <w:rsid w:val="00E3123F"/>
    <w:rsid w:val="00E3134E"/>
    <w:rsid w:val="00E31DC6"/>
    <w:rsid w:val="00E321E4"/>
    <w:rsid w:val="00E32EDF"/>
    <w:rsid w:val="00E338C2"/>
    <w:rsid w:val="00E33C31"/>
    <w:rsid w:val="00E3424B"/>
    <w:rsid w:val="00E34DD3"/>
    <w:rsid w:val="00E34F65"/>
    <w:rsid w:val="00E35040"/>
    <w:rsid w:val="00E3533F"/>
    <w:rsid w:val="00E35401"/>
    <w:rsid w:val="00E35558"/>
    <w:rsid w:val="00E3569E"/>
    <w:rsid w:val="00E3587A"/>
    <w:rsid w:val="00E35F8C"/>
    <w:rsid w:val="00E36658"/>
    <w:rsid w:val="00E36B81"/>
    <w:rsid w:val="00E36C3B"/>
    <w:rsid w:val="00E372E3"/>
    <w:rsid w:val="00E37368"/>
    <w:rsid w:val="00E376F9"/>
    <w:rsid w:val="00E37D5D"/>
    <w:rsid w:val="00E37D79"/>
    <w:rsid w:val="00E37FED"/>
    <w:rsid w:val="00E40AD3"/>
    <w:rsid w:val="00E40DE6"/>
    <w:rsid w:val="00E4122C"/>
    <w:rsid w:val="00E41AE1"/>
    <w:rsid w:val="00E41F1D"/>
    <w:rsid w:val="00E41FB5"/>
    <w:rsid w:val="00E42742"/>
    <w:rsid w:val="00E42F7C"/>
    <w:rsid w:val="00E43439"/>
    <w:rsid w:val="00E43528"/>
    <w:rsid w:val="00E4364D"/>
    <w:rsid w:val="00E43DBF"/>
    <w:rsid w:val="00E43F4F"/>
    <w:rsid w:val="00E44291"/>
    <w:rsid w:val="00E44735"/>
    <w:rsid w:val="00E4488B"/>
    <w:rsid w:val="00E449AE"/>
    <w:rsid w:val="00E44AA8"/>
    <w:rsid w:val="00E44ABE"/>
    <w:rsid w:val="00E44ACA"/>
    <w:rsid w:val="00E44D18"/>
    <w:rsid w:val="00E44FB0"/>
    <w:rsid w:val="00E45A39"/>
    <w:rsid w:val="00E45CD6"/>
    <w:rsid w:val="00E45D3C"/>
    <w:rsid w:val="00E4606C"/>
    <w:rsid w:val="00E46361"/>
    <w:rsid w:val="00E4646F"/>
    <w:rsid w:val="00E46CC8"/>
    <w:rsid w:val="00E46F4A"/>
    <w:rsid w:val="00E47043"/>
    <w:rsid w:val="00E473E9"/>
    <w:rsid w:val="00E4773B"/>
    <w:rsid w:val="00E479A7"/>
    <w:rsid w:val="00E47EF3"/>
    <w:rsid w:val="00E50B70"/>
    <w:rsid w:val="00E51853"/>
    <w:rsid w:val="00E52040"/>
    <w:rsid w:val="00E52273"/>
    <w:rsid w:val="00E529AC"/>
    <w:rsid w:val="00E52BBD"/>
    <w:rsid w:val="00E530CC"/>
    <w:rsid w:val="00E535C2"/>
    <w:rsid w:val="00E538B4"/>
    <w:rsid w:val="00E53CCF"/>
    <w:rsid w:val="00E542A0"/>
    <w:rsid w:val="00E5438E"/>
    <w:rsid w:val="00E543F5"/>
    <w:rsid w:val="00E55118"/>
    <w:rsid w:val="00E55168"/>
    <w:rsid w:val="00E5526C"/>
    <w:rsid w:val="00E554A4"/>
    <w:rsid w:val="00E5559A"/>
    <w:rsid w:val="00E559E0"/>
    <w:rsid w:val="00E55A66"/>
    <w:rsid w:val="00E55B64"/>
    <w:rsid w:val="00E55F96"/>
    <w:rsid w:val="00E561A2"/>
    <w:rsid w:val="00E56243"/>
    <w:rsid w:val="00E5645F"/>
    <w:rsid w:val="00E5668A"/>
    <w:rsid w:val="00E56791"/>
    <w:rsid w:val="00E56A8F"/>
    <w:rsid w:val="00E5755A"/>
    <w:rsid w:val="00E576ED"/>
    <w:rsid w:val="00E5785B"/>
    <w:rsid w:val="00E57AE0"/>
    <w:rsid w:val="00E60009"/>
    <w:rsid w:val="00E60078"/>
    <w:rsid w:val="00E61203"/>
    <w:rsid w:val="00E61252"/>
    <w:rsid w:val="00E615CF"/>
    <w:rsid w:val="00E61B59"/>
    <w:rsid w:val="00E61B81"/>
    <w:rsid w:val="00E61C26"/>
    <w:rsid w:val="00E61CFA"/>
    <w:rsid w:val="00E61E59"/>
    <w:rsid w:val="00E62728"/>
    <w:rsid w:val="00E628E2"/>
    <w:rsid w:val="00E62E9B"/>
    <w:rsid w:val="00E62FF9"/>
    <w:rsid w:val="00E63231"/>
    <w:rsid w:val="00E634CE"/>
    <w:rsid w:val="00E6376E"/>
    <w:rsid w:val="00E637EA"/>
    <w:rsid w:val="00E6396F"/>
    <w:rsid w:val="00E63AE8"/>
    <w:rsid w:val="00E63F92"/>
    <w:rsid w:val="00E64027"/>
    <w:rsid w:val="00E6435A"/>
    <w:rsid w:val="00E6442E"/>
    <w:rsid w:val="00E645FC"/>
    <w:rsid w:val="00E65103"/>
    <w:rsid w:val="00E657AB"/>
    <w:rsid w:val="00E65FC0"/>
    <w:rsid w:val="00E66A13"/>
    <w:rsid w:val="00E672E9"/>
    <w:rsid w:val="00E6739D"/>
    <w:rsid w:val="00E70B7F"/>
    <w:rsid w:val="00E70D0F"/>
    <w:rsid w:val="00E70E7C"/>
    <w:rsid w:val="00E71383"/>
    <w:rsid w:val="00E71783"/>
    <w:rsid w:val="00E73146"/>
    <w:rsid w:val="00E7330D"/>
    <w:rsid w:val="00E73B05"/>
    <w:rsid w:val="00E73C42"/>
    <w:rsid w:val="00E73CB7"/>
    <w:rsid w:val="00E74212"/>
    <w:rsid w:val="00E74461"/>
    <w:rsid w:val="00E74C32"/>
    <w:rsid w:val="00E74D5D"/>
    <w:rsid w:val="00E752FD"/>
    <w:rsid w:val="00E75442"/>
    <w:rsid w:val="00E75449"/>
    <w:rsid w:val="00E7576C"/>
    <w:rsid w:val="00E7576F"/>
    <w:rsid w:val="00E75EAF"/>
    <w:rsid w:val="00E75F19"/>
    <w:rsid w:val="00E76235"/>
    <w:rsid w:val="00E76A24"/>
    <w:rsid w:val="00E76E26"/>
    <w:rsid w:val="00E76E89"/>
    <w:rsid w:val="00E7714D"/>
    <w:rsid w:val="00E77381"/>
    <w:rsid w:val="00E775A3"/>
    <w:rsid w:val="00E77C3B"/>
    <w:rsid w:val="00E77D1C"/>
    <w:rsid w:val="00E77F9D"/>
    <w:rsid w:val="00E8012A"/>
    <w:rsid w:val="00E8046A"/>
    <w:rsid w:val="00E804F8"/>
    <w:rsid w:val="00E80776"/>
    <w:rsid w:val="00E80EC4"/>
    <w:rsid w:val="00E80ED7"/>
    <w:rsid w:val="00E81100"/>
    <w:rsid w:val="00E81286"/>
    <w:rsid w:val="00E81466"/>
    <w:rsid w:val="00E8165A"/>
    <w:rsid w:val="00E81972"/>
    <w:rsid w:val="00E81E75"/>
    <w:rsid w:val="00E823DC"/>
    <w:rsid w:val="00E82565"/>
    <w:rsid w:val="00E82911"/>
    <w:rsid w:val="00E82A1A"/>
    <w:rsid w:val="00E82C99"/>
    <w:rsid w:val="00E830D9"/>
    <w:rsid w:val="00E8324C"/>
    <w:rsid w:val="00E8335B"/>
    <w:rsid w:val="00E833A0"/>
    <w:rsid w:val="00E83793"/>
    <w:rsid w:val="00E83A2F"/>
    <w:rsid w:val="00E83B38"/>
    <w:rsid w:val="00E83B73"/>
    <w:rsid w:val="00E83D61"/>
    <w:rsid w:val="00E83E94"/>
    <w:rsid w:val="00E83FDB"/>
    <w:rsid w:val="00E84135"/>
    <w:rsid w:val="00E844C6"/>
    <w:rsid w:val="00E844DB"/>
    <w:rsid w:val="00E8475E"/>
    <w:rsid w:val="00E8497F"/>
    <w:rsid w:val="00E84C27"/>
    <w:rsid w:val="00E84C3A"/>
    <w:rsid w:val="00E84D00"/>
    <w:rsid w:val="00E84F12"/>
    <w:rsid w:val="00E85360"/>
    <w:rsid w:val="00E8574E"/>
    <w:rsid w:val="00E85775"/>
    <w:rsid w:val="00E857F7"/>
    <w:rsid w:val="00E8584A"/>
    <w:rsid w:val="00E85968"/>
    <w:rsid w:val="00E859B3"/>
    <w:rsid w:val="00E86209"/>
    <w:rsid w:val="00E8643A"/>
    <w:rsid w:val="00E86D4E"/>
    <w:rsid w:val="00E87385"/>
    <w:rsid w:val="00E875E1"/>
    <w:rsid w:val="00E87751"/>
    <w:rsid w:val="00E87754"/>
    <w:rsid w:val="00E8785A"/>
    <w:rsid w:val="00E87D9C"/>
    <w:rsid w:val="00E87F42"/>
    <w:rsid w:val="00E903B0"/>
    <w:rsid w:val="00E9041F"/>
    <w:rsid w:val="00E9107B"/>
    <w:rsid w:val="00E91814"/>
    <w:rsid w:val="00E91853"/>
    <w:rsid w:val="00E91A11"/>
    <w:rsid w:val="00E91A56"/>
    <w:rsid w:val="00E91E0B"/>
    <w:rsid w:val="00E92697"/>
    <w:rsid w:val="00E92733"/>
    <w:rsid w:val="00E9279B"/>
    <w:rsid w:val="00E92AFA"/>
    <w:rsid w:val="00E92B2C"/>
    <w:rsid w:val="00E93A88"/>
    <w:rsid w:val="00E93CFA"/>
    <w:rsid w:val="00E94118"/>
    <w:rsid w:val="00E9438B"/>
    <w:rsid w:val="00E9472B"/>
    <w:rsid w:val="00E94B43"/>
    <w:rsid w:val="00E94DE7"/>
    <w:rsid w:val="00E94F7A"/>
    <w:rsid w:val="00E958BA"/>
    <w:rsid w:val="00E95ACC"/>
    <w:rsid w:val="00E95CF8"/>
    <w:rsid w:val="00E9619F"/>
    <w:rsid w:val="00E96234"/>
    <w:rsid w:val="00E96756"/>
    <w:rsid w:val="00E96F6C"/>
    <w:rsid w:val="00E9708E"/>
    <w:rsid w:val="00E97149"/>
    <w:rsid w:val="00E97525"/>
    <w:rsid w:val="00E97639"/>
    <w:rsid w:val="00E97663"/>
    <w:rsid w:val="00E978D9"/>
    <w:rsid w:val="00E97A2D"/>
    <w:rsid w:val="00E97A97"/>
    <w:rsid w:val="00E97B27"/>
    <w:rsid w:val="00EA00E9"/>
    <w:rsid w:val="00EA03DE"/>
    <w:rsid w:val="00EA05C6"/>
    <w:rsid w:val="00EA0AAB"/>
    <w:rsid w:val="00EA0C06"/>
    <w:rsid w:val="00EA0CB2"/>
    <w:rsid w:val="00EA0DFE"/>
    <w:rsid w:val="00EA0EBF"/>
    <w:rsid w:val="00EA0F76"/>
    <w:rsid w:val="00EA1798"/>
    <w:rsid w:val="00EA188B"/>
    <w:rsid w:val="00EA280F"/>
    <w:rsid w:val="00EA28B4"/>
    <w:rsid w:val="00EA2C2E"/>
    <w:rsid w:val="00EA2C35"/>
    <w:rsid w:val="00EA3433"/>
    <w:rsid w:val="00EA3744"/>
    <w:rsid w:val="00EA3A2A"/>
    <w:rsid w:val="00EA3FAA"/>
    <w:rsid w:val="00EA4067"/>
    <w:rsid w:val="00EA40E5"/>
    <w:rsid w:val="00EA4337"/>
    <w:rsid w:val="00EA45BB"/>
    <w:rsid w:val="00EA5355"/>
    <w:rsid w:val="00EA5C6C"/>
    <w:rsid w:val="00EA5C89"/>
    <w:rsid w:val="00EA5F9D"/>
    <w:rsid w:val="00EA5FCD"/>
    <w:rsid w:val="00EA5FEE"/>
    <w:rsid w:val="00EA615C"/>
    <w:rsid w:val="00EA6254"/>
    <w:rsid w:val="00EA661D"/>
    <w:rsid w:val="00EA66A2"/>
    <w:rsid w:val="00EA6711"/>
    <w:rsid w:val="00EA6B88"/>
    <w:rsid w:val="00EA6F25"/>
    <w:rsid w:val="00EA7529"/>
    <w:rsid w:val="00EB06FE"/>
    <w:rsid w:val="00EB0B84"/>
    <w:rsid w:val="00EB0BDF"/>
    <w:rsid w:val="00EB0E1B"/>
    <w:rsid w:val="00EB0E56"/>
    <w:rsid w:val="00EB12EF"/>
    <w:rsid w:val="00EB1EB9"/>
    <w:rsid w:val="00EB1EEB"/>
    <w:rsid w:val="00EB1F0C"/>
    <w:rsid w:val="00EB20FD"/>
    <w:rsid w:val="00EB21E6"/>
    <w:rsid w:val="00EB2406"/>
    <w:rsid w:val="00EB24A3"/>
    <w:rsid w:val="00EB24B7"/>
    <w:rsid w:val="00EB29B6"/>
    <w:rsid w:val="00EB2E5F"/>
    <w:rsid w:val="00EB328C"/>
    <w:rsid w:val="00EB34E7"/>
    <w:rsid w:val="00EB36C4"/>
    <w:rsid w:val="00EB37AF"/>
    <w:rsid w:val="00EB37D9"/>
    <w:rsid w:val="00EB3B34"/>
    <w:rsid w:val="00EB3FE8"/>
    <w:rsid w:val="00EB425B"/>
    <w:rsid w:val="00EB4EAC"/>
    <w:rsid w:val="00EB53DD"/>
    <w:rsid w:val="00EB5DB5"/>
    <w:rsid w:val="00EB5EB4"/>
    <w:rsid w:val="00EB61D9"/>
    <w:rsid w:val="00EB61F2"/>
    <w:rsid w:val="00EB68DB"/>
    <w:rsid w:val="00EB7500"/>
    <w:rsid w:val="00EB790F"/>
    <w:rsid w:val="00EB7C99"/>
    <w:rsid w:val="00EB7F50"/>
    <w:rsid w:val="00EC06A6"/>
    <w:rsid w:val="00EC0791"/>
    <w:rsid w:val="00EC0DB1"/>
    <w:rsid w:val="00EC0E2E"/>
    <w:rsid w:val="00EC0FF3"/>
    <w:rsid w:val="00EC11BD"/>
    <w:rsid w:val="00EC19F6"/>
    <w:rsid w:val="00EC2090"/>
    <w:rsid w:val="00EC31A5"/>
    <w:rsid w:val="00EC3443"/>
    <w:rsid w:val="00EC3DD7"/>
    <w:rsid w:val="00EC3F30"/>
    <w:rsid w:val="00EC4571"/>
    <w:rsid w:val="00EC4BFE"/>
    <w:rsid w:val="00EC4C63"/>
    <w:rsid w:val="00EC4CCE"/>
    <w:rsid w:val="00EC4DE4"/>
    <w:rsid w:val="00EC4FC7"/>
    <w:rsid w:val="00EC522E"/>
    <w:rsid w:val="00EC5344"/>
    <w:rsid w:val="00EC54F7"/>
    <w:rsid w:val="00EC5687"/>
    <w:rsid w:val="00EC5C74"/>
    <w:rsid w:val="00EC5D99"/>
    <w:rsid w:val="00EC5DAF"/>
    <w:rsid w:val="00EC641E"/>
    <w:rsid w:val="00EC6498"/>
    <w:rsid w:val="00EC6A78"/>
    <w:rsid w:val="00EC6E0A"/>
    <w:rsid w:val="00EC6EB4"/>
    <w:rsid w:val="00EC6F06"/>
    <w:rsid w:val="00EC712E"/>
    <w:rsid w:val="00EC743C"/>
    <w:rsid w:val="00EC749E"/>
    <w:rsid w:val="00EC760F"/>
    <w:rsid w:val="00EC76FF"/>
    <w:rsid w:val="00EC779D"/>
    <w:rsid w:val="00EC7A35"/>
    <w:rsid w:val="00ED0744"/>
    <w:rsid w:val="00ED076A"/>
    <w:rsid w:val="00ED0A18"/>
    <w:rsid w:val="00ED0D61"/>
    <w:rsid w:val="00ED105A"/>
    <w:rsid w:val="00ED1314"/>
    <w:rsid w:val="00ED1406"/>
    <w:rsid w:val="00ED1464"/>
    <w:rsid w:val="00ED19A4"/>
    <w:rsid w:val="00ED1D71"/>
    <w:rsid w:val="00ED1EB4"/>
    <w:rsid w:val="00ED214A"/>
    <w:rsid w:val="00ED2A93"/>
    <w:rsid w:val="00ED2BC2"/>
    <w:rsid w:val="00ED3540"/>
    <w:rsid w:val="00ED3593"/>
    <w:rsid w:val="00ED3942"/>
    <w:rsid w:val="00ED3BD6"/>
    <w:rsid w:val="00ED3FDD"/>
    <w:rsid w:val="00ED42C9"/>
    <w:rsid w:val="00ED433B"/>
    <w:rsid w:val="00ED4424"/>
    <w:rsid w:val="00ED45CE"/>
    <w:rsid w:val="00ED48B3"/>
    <w:rsid w:val="00ED52FB"/>
    <w:rsid w:val="00ED5549"/>
    <w:rsid w:val="00ED5678"/>
    <w:rsid w:val="00ED5BE3"/>
    <w:rsid w:val="00ED5E6B"/>
    <w:rsid w:val="00ED6248"/>
    <w:rsid w:val="00ED682B"/>
    <w:rsid w:val="00ED6AB8"/>
    <w:rsid w:val="00ED6E9E"/>
    <w:rsid w:val="00ED703C"/>
    <w:rsid w:val="00ED7313"/>
    <w:rsid w:val="00ED742A"/>
    <w:rsid w:val="00ED78A4"/>
    <w:rsid w:val="00ED7979"/>
    <w:rsid w:val="00EE0161"/>
    <w:rsid w:val="00EE0315"/>
    <w:rsid w:val="00EE032F"/>
    <w:rsid w:val="00EE062C"/>
    <w:rsid w:val="00EE15AB"/>
    <w:rsid w:val="00EE1610"/>
    <w:rsid w:val="00EE162B"/>
    <w:rsid w:val="00EE1788"/>
    <w:rsid w:val="00EE1885"/>
    <w:rsid w:val="00EE1990"/>
    <w:rsid w:val="00EE1AA2"/>
    <w:rsid w:val="00EE203E"/>
    <w:rsid w:val="00EE23C4"/>
    <w:rsid w:val="00EE246D"/>
    <w:rsid w:val="00EE2574"/>
    <w:rsid w:val="00EE26D1"/>
    <w:rsid w:val="00EE2D64"/>
    <w:rsid w:val="00EE2DA0"/>
    <w:rsid w:val="00EE381F"/>
    <w:rsid w:val="00EE3F78"/>
    <w:rsid w:val="00EE3F8B"/>
    <w:rsid w:val="00EE401C"/>
    <w:rsid w:val="00EE40E3"/>
    <w:rsid w:val="00EE449C"/>
    <w:rsid w:val="00EE48F3"/>
    <w:rsid w:val="00EE4B3C"/>
    <w:rsid w:val="00EE4B89"/>
    <w:rsid w:val="00EE5244"/>
    <w:rsid w:val="00EE55E5"/>
    <w:rsid w:val="00EE560D"/>
    <w:rsid w:val="00EE5C73"/>
    <w:rsid w:val="00EE5C9E"/>
    <w:rsid w:val="00EE5FDC"/>
    <w:rsid w:val="00EE670A"/>
    <w:rsid w:val="00EE6739"/>
    <w:rsid w:val="00EE6A2E"/>
    <w:rsid w:val="00EE74BA"/>
    <w:rsid w:val="00EE74C8"/>
    <w:rsid w:val="00EE7627"/>
    <w:rsid w:val="00EE762E"/>
    <w:rsid w:val="00EE8277"/>
    <w:rsid w:val="00EF0199"/>
    <w:rsid w:val="00EF0547"/>
    <w:rsid w:val="00EF0616"/>
    <w:rsid w:val="00EF094E"/>
    <w:rsid w:val="00EF0ED5"/>
    <w:rsid w:val="00EF10A0"/>
    <w:rsid w:val="00EF10F2"/>
    <w:rsid w:val="00EF14F6"/>
    <w:rsid w:val="00EF17F1"/>
    <w:rsid w:val="00EF1EAD"/>
    <w:rsid w:val="00EF1F21"/>
    <w:rsid w:val="00EF2125"/>
    <w:rsid w:val="00EF21E7"/>
    <w:rsid w:val="00EF26C3"/>
    <w:rsid w:val="00EF276D"/>
    <w:rsid w:val="00EF2C8D"/>
    <w:rsid w:val="00EF3030"/>
    <w:rsid w:val="00EF33AD"/>
    <w:rsid w:val="00EF36B6"/>
    <w:rsid w:val="00EF3770"/>
    <w:rsid w:val="00EF39F9"/>
    <w:rsid w:val="00EF3B38"/>
    <w:rsid w:val="00EF3EA0"/>
    <w:rsid w:val="00EF402D"/>
    <w:rsid w:val="00EF425E"/>
    <w:rsid w:val="00EF427B"/>
    <w:rsid w:val="00EF436A"/>
    <w:rsid w:val="00EF48B9"/>
    <w:rsid w:val="00EF49AE"/>
    <w:rsid w:val="00EF4B0B"/>
    <w:rsid w:val="00EF4B3D"/>
    <w:rsid w:val="00EF4D2B"/>
    <w:rsid w:val="00EF5445"/>
    <w:rsid w:val="00EF58C9"/>
    <w:rsid w:val="00EF5AA6"/>
    <w:rsid w:val="00EF5DD2"/>
    <w:rsid w:val="00EF5DD7"/>
    <w:rsid w:val="00EF6060"/>
    <w:rsid w:val="00EF61BF"/>
    <w:rsid w:val="00EF6610"/>
    <w:rsid w:val="00EF6717"/>
    <w:rsid w:val="00EF68AA"/>
    <w:rsid w:val="00EF6C1A"/>
    <w:rsid w:val="00EF6CA2"/>
    <w:rsid w:val="00EF6D6A"/>
    <w:rsid w:val="00EF735A"/>
    <w:rsid w:val="00EF7617"/>
    <w:rsid w:val="00EF77A4"/>
    <w:rsid w:val="00EF77E4"/>
    <w:rsid w:val="00EF7E73"/>
    <w:rsid w:val="00EF7F13"/>
    <w:rsid w:val="00F00404"/>
    <w:rsid w:val="00F008EF"/>
    <w:rsid w:val="00F00CEA"/>
    <w:rsid w:val="00F00E4E"/>
    <w:rsid w:val="00F00F5C"/>
    <w:rsid w:val="00F00F90"/>
    <w:rsid w:val="00F00FE7"/>
    <w:rsid w:val="00F01ADB"/>
    <w:rsid w:val="00F02235"/>
    <w:rsid w:val="00F023E3"/>
    <w:rsid w:val="00F02620"/>
    <w:rsid w:val="00F027B0"/>
    <w:rsid w:val="00F027B2"/>
    <w:rsid w:val="00F02E83"/>
    <w:rsid w:val="00F02F20"/>
    <w:rsid w:val="00F03378"/>
    <w:rsid w:val="00F03434"/>
    <w:rsid w:val="00F03540"/>
    <w:rsid w:val="00F0354F"/>
    <w:rsid w:val="00F0370D"/>
    <w:rsid w:val="00F044A6"/>
    <w:rsid w:val="00F046E3"/>
    <w:rsid w:val="00F04A46"/>
    <w:rsid w:val="00F04ACE"/>
    <w:rsid w:val="00F04B49"/>
    <w:rsid w:val="00F04F15"/>
    <w:rsid w:val="00F061C0"/>
    <w:rsid w:val="00F067E2"/>
    <w:rsid w:val="00F067F2"/>
    <w:rsid w:val="00F06811"/>
    <w:rsid w:val="00F07E89"/>
    <w:rsid w:val="00F08C3D"/>
    <w:rsid w:val="00F10410"/>
    <w:rsid w:val="00F108D7"/>
    <w:rsid w:val="00F109B7"/>
    <w:rsid w:val="00F10C74"/>
    <w:rsid w:val="00F10CAB"/>
    <w:rsid w:val="00F1135C"/>
    <w:rsid w:val="00F119AF"/>
    <w:rsid w:val="00F11E98"/>
    <w:rsid w:val="00F11F83"/>
    <w:rsid w:val="00F11FF9"/>
    <w:rsid w:val="00F121B2"/>
    <w:rsid w:val="00F12265"/>
    <w:rsid w:val="00F123B2"/>
    <w:rsid w:val="00F127BB"/>
    <w:rsid w:val="00F12C16"/>
    <w:rsid w:val="00F12E6D"/>
    <w:rsid w:val="00F130A0"/>
    <w:rsid w:val="00F13141"/>
    <w:rsid w:val="00F131F2"/>
    <w:rsid w:val="00F13383"/>
    <w:rsid w:val="00F136E8"/>
    <w:rsid w:val="00F13E76"/>
    <w:rsid w:val="00F13EE4"/>
    <w:rsid w:val="00F140A7"/>
    <w:rsid w:val="00F141D4"/>
    <w:rsid w:val="00F14439"/>
    <w:rsid w:val="00F144FD"/>
    <w:rsid w:val="00F14932"/>
    <w:rsid w:val="00F14A87"/>
    <w:rsid w:val="00F14BD5"/>
    <w:rsid w:val="00F14E43"/>
    <w:rsid w:val="00F15090"/>
    <w:rsid w:val="00F1537E"/>
    <w:rsid w:val="00F15E6D"/>
    <w:rsid w:val="00F1601A"/>
    <w:rsid w:val="00F16155"/>
    <w:rsid w:val="00F16286"/>
    <w:rsid w:val="00F163C9"/>
    <w:rsid w:val="00F16B4B"/>
    <w:rsid w:val="00F16CA0"/>
    <w:rsid w:val="00F16FD7"/>
    <w:rsid w:val="00F17176"/>
    <w:rsid w:val="00F17292"/>
    <w:rsid w:val="00F178B0"/>
    <w:rsid w:val="00F2129F"/>
    <w:rsid w:val="00F214DC"/>
    <w:rsid w:val="00F2164A"/>
    <w:rsid w:val="00F2194B"/>
    <w:rsid w:val="00F21FD1"/>
    <w:rsid w:val="00F22020"/>
    <w:rsid w:val="00F222D2"/>
    <w:rsid w:val="00F2269C"/>
    <w:rsid w:val="00F22780"/>
    <w:rsid w:val="00F22784"/>
    <w:rsid w:val="00F22F0C"/>
    <w:rsid w:val="00F22FE3"/>
    <w:rsid w:val="00F23848"/>
    <w:rsid w:val="00F23902"/>
    <w:rsid w:val="00F23B25"/>
    <w:rsid w:val="00F24307"/>
    <w:rsid w:val="00F2435F"/>
    <w:rsid w:val="00F25526"/>
    <w:rsid w:val="00F25CE0"/>
    <w:rsid w:val="00F25FFA"/>
    <w:rsid w:val="00F261BC"/>
    <w:rsid w:val="00F261CE"/>
    <w:rsid w:val="00F27129"/>
    <w:rsid w:val="00F276EE"/>
    <w:rsid w:val="00F27868"/>
    <w:rsid w:val="00F278F1"/>
    <w:rsid w:val="00F27B9F"/>
    <w:rsid w:val="00F27BD2"/>
    <w:rsid w:val="00F27D9F"/>
    <w:rsid w:val="00F27EB1"/>
    <w:rsid w:val="00F3029D"/>
    <w:rsid w:val="00F30489"/>
    <w:rsid w:val="00F30FC9"/>
    <w:rsid w:val="00F31184"/>
    <w:rsid w:val="00F31194"/>
    <w:rsid w:val="00F3174B"/>
    <w:rsid w:val="00F318C6"/>
    <w:rsid w:val="00F31A5B"/>
    <w:rsid w:val="00F31A6F"/>
    <w:rsid w:val="00F31E8C"/>
    <w:rsid w:val="00F320D5"/>
    <w:rsid w:val="00F32177"/>
    <w:rsid w:val="00F324BC"/>
    <w:rsid w:val="00F32714"/>
    <w:rsid w:val="00F32FBD"/>
    <w:rsid w:val="00F33378"/>
    <w:rsid w:val="00F3397C"/>
    <w:rsid w:val="00F34C85"/>
    <w:rsid w:val="00F35061"/>
    <w:rsid w:val="00F3562E"/>
    <w:rsid w:val="00F356B0"/>
    <w:rsid w:val="00F35BA7"/>
    <w:rsid w:val="00F36245"/>
    <w:rsid w:val="00F3676D"/>
    <w:rsid w:val="00F367B3"/>
    <w:rsid w:val="00F36955"/>
    <w:rsid w:val="00F36A90"/>
    <w:rsid w:val="00F36AB8"/>
    <w:rsid w:val="00F36AE5"/>
    <w:rsid w:val="00F36C22"/>
    <w:rsid w:val="00F36EDC"/>
    <w:rsid w:val="00F36EF5"/>
    <w:rsid w:val="00F37037"/>
    <w:rsid w:val="00F3742B"/>
    <w:rsid w:val="00F3754F"/>
    <w:rsid w:val="00F3762B"/>
    <w:rsid w:val="00F37C62"/>
    <w:rsid w:val="00F402C7"/>
    <w:rsid w:val="00F40322"/>
    <w:rsid w:val="00F40F7F"/>
    <w:rsid w:val="00F41098"/>
    <w:rsid w:val="00F4124D"/>
    <w:rsid w:val="00F41ED6"/>
    <w:rsid w:val="00F42001"/>
    <w:rsid w:val="00F422DF"/>
    <w:rsid w:val="00F428A2"/>
    <w:rsid w:val="00F42FF6"/>
    <w:rsid w:val="00F43065"/>
    <w:rsid w:val="00F4360D"/>
    <w:rsid w:val="00F4374B"/>
    <w:rsid w:val="00F43757"/>
    <w:rsid w:val="00F4375F"/>
    <w:rsid w:val="00F43ABA"/>
    <w:rsid w:val="00F43DF7"/>
    <w:rsid w:val="00F43E9F"/>
    <w:rsid w:val="00F44350"/>
    <w:rsid w:val="00F443E4"/>
    <w:rsid w:val="00F44423"/>
    <w:rsid w:val="00F44460"/>
    <w:rsid w:val="00F44729"/>
    <w:rsid w:val="00F449D3"/>
    <w:rsid w:val="00F44E18"/>
    <w:rsid w:val="00F44E2F"/>
    <w:rsid w:val="00F44F7A"/>
    <w:rsid w:val="00F45539"/>
    <w:rsid w:val="00F4570A"/>
    <w:rsid w:val="00F45F3F"/>
    <w:rsid w:val="00F468DF"/>
    <w:rsid w:val="00F46920"/>
    <w:rsid w:val="00F471E8"/>
    <w:rsid w:val="00F4729A"/>
    <w:rsid w:val="00F47E75"/>
    <w:rsid w:val="00F47EBA"/>
    <w:rsid w:val="00F5015D"/>
    <w:rsid w:val="00F5050D"/>
    <w:rsid w:val="00F505C7"/>
    <w:rsid w:val="00F5062E"/>
    <w:rsid w:val="00F51214"/>
    <w:rsid w:val="00F51366"/>
    <w:rsid w:val="00F51750"/>
    <w:rsid w:val="00F5190C"/>
    <w:rsid w:val="00F52620"/>
    <w:rsid w:val="00F52835"/>
    <w:rsid w:val="00F52D6E"/>
    <w:rsid w:val="00F52D8C"/>
    <w:rsid w:val="00F52E27"/>
    <w:rsid w:val="00F53287"/>
    <w:rsid w:val="00F532C9"/>
    <w:rsid w:val="00F53348"/>
    <w:rsid w:val="00F53A6D"/>
    <w:rsid w:val="00F53B60"/>
    <w:rsid w:val="00F53C71"/>
    <w:rsid w:val="00F53F5C"/>
    <w:rsid w:val="00F53FD5"/>
    <w:rsid w:val="00F54A40"/>
    <w:rsid w:val="00F551A0"/>
    <w:rsid w:val="00F551AC"/>
    <w:rsid w:val="00F55A1F"/>
    <w:rsid w:val="00F55C47"/>
    <w:rsid w:val="00F55D50"/>
    <w:rsid w:val="00F55FFD"/>
    <w:rsid w:val="00F561D9"/>
    <w:rsid w:val="00F563A8"/>
    <w:rsid w:val="00F56AC8"/>
    <w:rsid w:val="00F56B5B"/>
    <w:rsid w:val="00F56BAA"/>
    <w:rsid w:val="00F56C4B"/>
    <w:rsid w:val="00F56F35"/>
    <w:rsid w:val="00F56F50"/>
    <w:rsid w:val="00F57776"/>
    <w:rsid w:val="00F579C2"/>
    <w:rsid w:val="00F57B57"/>
    <w:rsid w:val="00F57C67"/>
    <w:rsid w:val="00F5AE71"/>
    <w:rsid w:val="00F60296"/>
    <w:rsid w:val="00F6094F"/>
    <w:rsid w:val="00F60BC3"/>
    <w:rsid w:val="00F60C1E"/>
    <w:rsid w:val="00F6112F"/>
    <w:rsid w:val="00F61654"/>
    <w:rsid w:val="00F61A27"/>
    <w:rsid w:val="00F61B5D"/>
    <w:rsid w:val="00F61C2C"/>
    <w:rsid w:val="00F61C56"/>
    <w:rsid w:val="00F61C8D"/>
    <w:rsid w:val="00F61F75"/>
    <w:rsid w:val="00F61FA5"/>
    <w:rsid w:val="00F62019"/>
    <w:rsid w:val="00F620F3"/>
    <w:rsid w:val="00F62221"/>
    <w:rsid w:val="00F62769"/>
    <w:rsid w:val="00F62CCF"/>
    <w:rsid w:val="00F62EA1"/>
    <w:rsid w:val="00F62F66"/>
    <w:rsid w:val="00F63041"/>
    <w:rsid w:val="00F63379"/>
    <w:rsid w:val="00F63522"/>
    <w:rsid w:val="00F63597"/>
    <w:rsid w:val="00F63B22"/>
    <w:rsid w:val="00F63BBA"/>
    <w:rsid w:val="00F63D12"/>
    <w:rsid w:val="00F64225"/>
    <w:rsid w:val="00F642F4"/>
    <w:rsid w:val="00F64760"/>
    <w:rsid w:val="00F64F50"/>
    <w:rsid w:val="00F650C7"/>
    <w:rsid w:val="00F6546B"/>
    <w:rsid w:val="00F65744"/>
    <w:rsid w:val="00F65D00"/>
    <w:rsid w:val="00F65EFD"/>
    <w:rsid w:val="00F65F84"/>
    <w:rsid w:val="00F66015"/>
    <w:rsid w:val="00F66674"/>
    <w:rsid w:val="00F6694F"/>
    <w:rsid w:val="00F66D01"/>
    <w:rsid w:val="00F66E81"/>
    <w:rsid w:val="00F67718"/>
    <w:rsid w:val="00F67799"/>
    <w:rsid w:val="00F67B05"/>
    <w:rsid w:val="00F67D24"/>
    <w:rsid w:val="00F700DF"/>
    <w:rsid w:val="00F70217"/>
    <w:rsid w:val="00F70536"/>
    <w:rsid w:val="00F7058B"/>
    <w:rsid w:val="00F7077D"/>
    <w:rsid w:val="00F70A31"/>
    <w:rsid w:val="00F70B79"/>
    <w:rsid w:val="00F70CD5"/>
    <w:rsid w:val="00F711A6"/>
    <w:rsid w:val="00F71580"/>
    <w:rsid w:val="00F715F7"/>
    <w:rsid w:val="00F716CD"/>
    <w:rsid w:val="00F71A01"/>
    <w:rsid w:val="00F71C83"/>
    <w:rsid w:val="00F71D49"/>
    <w:rsid w:val="00F71D99"/>
    <w:rsid w:val="00F72308"/>
    <w:rsid w:val="00F72438"/>
    <w:rsid w:val="00F7298A"/>
    <w:rsid w:val="00F72A44"/>
    <w:rsid w:val="00F73137"/>
    <w:rsid w:val="00F73599"/>
    <w:rsid w:val="00F738B0"/>
    <w:rsid w:val="00F739FF"/>
    <w:rsid w:val="00F73E88"/>
    <w:rsid w:val="00F73E93"/>
    <w:rsid w:val="00F73F22"/>
    <w:rsid w:val="00F741BB"/>
    <w:rsid w:val="00F741D9"/>
    <w:rsid w:val="00F74620"/>
    <w:rsid w:val="00F750FB"/>
    <w:rsid w:val="00F752FF"/>
    <w:rsid w:val="00F754AC"/>
    <w:rsid w:val="00F75588"/>
    <w:rsid w:val="00F757D3"/>
    <w:rsid w:val="00F75953"/>
    <w:rsid w:val="00F75CF4"/>
    <w:rsid w:val="00F75F6D"/>
    <w:rsid w:val="00F761A3"/>
    <w:rsid w:val="00F76808"/>
    <w:rsid w:val="00F77040"/>
    <w:rsid w:val="00F7732E"/>
    <w:rsid w:val="00F77643"/>
    <w:rsid w:val="00F77B45"/>
    <w:rsid w:val="00F806C2"/>
    <w:rsid w:val="00F80E01"/>
    <w:rsid w:val="00F81640"/>
    <w:rsid w:val="00F818EE"/>
    <w:rsid w:val="00F82428"/>
    <w:rsid w:val="00F82CFB"/>
    <w:rsid w:val="00F82F95"/>
    <w:rsid w:val="00F82FD9"/>
    <w:rsid w:val="00F831CB"/>
    <w:rsid w:val="00F8397D"/>
    <w:rsid w:val="00F83A44"/>
    <w:rsid w:val="00F83CA5"/>
    <w:rsid w:val="00F84805"/>
    <w:rsid w:val="00F84D46"/>
    <w:rsid w:val="00F84E77"/>
    <w:rsid w:val="00F84EDF"/>
    <w:rsid w:val="00F8570A"/>
    <w:rsid w:val="00F8684D"/>
    <w:rsid w:val="00F8686D"/>
    <w:rsid w:val="00F86935"/>
    <w:rsid w:val="00F86BCD"/>
    <w:rsid w:val="00F86D05"/>
    <w:rsid w:val="00F86E9C"/>
    <w:rsid w:val="00F86FDE"/>
    <w:rsid w:val="00F87724"/>
    <w:rsid w:val="00F87841"/>
    <w:rsid w:val="00F878D3"/>
    <w:rsid w:val="00F87F01"/>
    <w:rsid w:val="00F90213"/>
    <w:rsid w:val="00F90777"/>
    <w:rsid w:val="00F910DE"/>
    <w:rsid w:val="00F915B7"/>
    <w:rsid w:val="00F92A0A"/>
    <w:rsid w:val="00F92A53"/>
    <w:rsid w:val="00F92C0F"/>
    <w:rsid w:val="00F92CD0"/>
    <w:rsid w:val="00F92D01"/>
    <w:rsid w:val="00F9336A"/>
    <w:rsid w:val="00F93457"/>
    <w:rsid w:val="00F93538"/>
    <w:rsid w:val="00F937A1"/>
    <w:rsid w:val="00F9380E"/>
    <w:rsid w:val="00F9394C"/>
    <w:rsid w:val="00F93F7B"/>
    <w:rsid w:val="00F94093"/>
    <w:rsid w:val="00F94152"/>
    <w:rsid w:val="00F9489C"/>
    <w:rsid w:val="00F94F4F"/>
    <w:rsid w:val="00F9519C"/>
    <w:rsid w:val="00F951C6"/>
    <w:rsid w:val="00F953F5"/>
    <w:rsid w:val="00F954F7"/>
    <w:rsid w:val="00F95896"/>
    <w:rsid w:val="00F95D3F"/>
    <w:rsid w:val="00F95FDC"/>
    <w:rsid w:val="00F9606C"/>
    <w:rsid w:val="00F9694B"/>
    <w:rsid w:val="00F96DB9"/>
    <w:rsid w:val="00F97978"/>
    <w:rsid w:val="00F97CEF"/>
    <w:rsid w:val="00F97E26"/>
    <w:rsid w:val="00F9BAF1"/>
    <w:rsid w:val="00FA07B7"/>
    <w:rsid w:val="00FA1696"/>
    <w:rsid w:val="00FA23A8"/>
    <w:rsid w:val="00FA25F4"/>
    <w:rsid w:val="00FA2626"/>
    <w:rsid w:val="00FA270E"/>
    <w:rsid w:val="00FA2A13"/>
    <w:rsid w:val="00FA2ED8"/>
    <w:rsid w:val="00FA3081"/>
    <w:rsid w:val="00FA34E5"/>
    <w:rsid w:val="00FA3DCF"/>
    <w:rsid w:val="00FA44A0"/>
    <w:rsid w:val="00FA459F"/>
    <w:rsid w:val="00FA49A6"/>
    <w:rsid w:val="00FA4A72"/>
    <w:rsid w:val="00FA4DD5"/>
    <w:rsid w:val="00FA4DD9"/>
    <w:rsid w:val="00FA4E37"/>
    <w:rsid w:val="00FA4E4C"/>
    <w:rsid w:val="00FA5285"/>
    <w:rsid w:val="00FA55A7"/>
    <w:rsid w:val="00FA60C5"/>
    <w:rsid w:val="00FA6369"/>
    <w:rsid w:val="00FA6431"/>
    <w:rsid w:val="00FA68D6"/>
    <w:rsid w:val="00FA69D1"/>
    <w:rsid w:val="00FA6DE8"/>
    <w:rsid w:val="00FA6E91"/>
    <w:rsid w:val="00FA7308"/>
    <w:rsid w:val="00FA758A"/>
    <w:rsid w:val="00FA7648"/>
    <w:rsid w:val="00FA798C"/>
    <w:rsid w:val="00FA7B28"/>
    <w:rsid w:val="00FA7D1A"/>
    <w:rsid w:val="00FA7D69"/>
    <w:rsid w:val="00FB0445"/>
    <w:rsid w:val="00FB0815"/>
    <w:rsid w:val="00FB0921"/>
    <w:rsid w:val="00FB0A78"/>
    <w:rsid w:val="00FB106B"/>
    <w:rsid w:val="00FB16F9"/>
    <w:rsid w:val="00FB1737"/>
    <w:rsid w:val="00FB178A"/>
    <w:rsid w:val="00FB1812"/>
    <w:rsid w:val="00FB18E1"/>
    <w:rsid w:val="00FB1F26"/>
    <w:rsid w:val="00FB244B"/>
    <w:rsid w:val="00FB25EF"/>
    <w:rsid w:val="00FB2734"/>
    <w:rsid w:val="00FB278C"/>
    <w:rsid w:val="00FB298E"/>
    <w:rsid w:val="00FB32CD"/>
    <w:rsid w:val="00FB32D8"/>
    <w:rsid w:val="00FB3415"/>
    <w:rsid w:val="00FB354D"/>
    <w:rsid w:val="00FB3701"/>
    <w:rsid w:val="00FB3963"/>
    <w:rsid w:val="00FB399B"/>
    <w:rsid w:val="00FB39C8"/>
    <w:rsid w:val="00FB3BDF"/>
    <w:rsid w:val="00FB3F70"/>
    <w:rsid w:val="00FB4368"/>
    <w:rsid w:val="00FB465C"/>
    <w:rsid w:val="00FB4814"/>
    <w:rsid w:val="00FB49A2"/>
    <w:rsid w:val="00FB4E05"/>
    <w:rsid w:val="00FB5281"/>
    <w:rsid w:val="00FB5319"/>
    <w:rsid w:val="00FB54EC"/>
    <w:rsid w:val="00FB55E9"/>
    <w:rsid w:val="00FB5937"/>
    <w:rsid w:val="00FB5C9E"/>
    <w:rsid w:val="00FB6117"/>
    <w:rsid w:val="00FB63EB"/>
    <w:rsid w:val="00FB64A6"/>
    <w:rsid w:val="00FB64D1"/>
    <w:rsid w:val="00FB6554"/>
    <w:rsid w:val="00FB65BA"/>
    <w:rsid w:val="00FB68CC"/>
    <w:rsid w:val="00FB6ACE"/>
    <w:rsid w:val="00FB703E"/>
    <w:rsid w:val="00FB70E8"/>
    <w:rsid w:val="00FB71B5"/>
    <w:rsid w:val="00FB76B5"/>
    <w:rsid w:val="00FB772A"/>
    <w:rsid w:val="00FB7CEB"/>
    <w:rsid w:val="00FC029B"/>
    <w:rsid w:val="00FC04D8"/>
    <w:rsid w:val="00FC097C"/>
    <w:rsid w:val="00FC0D62"/>
    <w:rsid w:val="00FC19E7"/>
    <w:rsid w:val="00FC1C0C"/>
    <w:rsid w:val="00FC1F67"/>
    <w:rsid w:val="00FC2430"/>
    <w:rsid w:val="00FC2581"/>
    <w:rsid w:val="00FC26E5"/>
    <w:rsid w:val="00FC27E2"/>
    <w:rsid w:val="00FC2AEB"/>
    <w:rsid w:val="00FC2D2D"/>
    <w:rsid w:val="00FC331C"/>
    <w:rsid w:val="00FC35D8"/>
    <w:rsid w:val="00FC38DF"/>
    <w:rsid w:val="00FC3A06"/>
    <w:rsid w:val="00FC3EB0"/>
    <w:rsid w:val="00FC405B"/>
    <w:rsid w:val="00FC46B3"/>
    <w:rsid w:val="00FC551D"/>
    <w:rsid w:val="00FC5C51"/>
    <w:rsid w:val="00FC5CD2"/>
    <w:rsid w:val="00FC67AF"/>
    <w:rsid w:val="00FC6C13"/>
    <w:rsid w:val="00FC6ECB"/>
    <w:rsid w:val="00FC7415"/>
    <w:rsid w:val="00FC7DB1"/>
    <w:rsid w:val="00FCF8A6"/>
    <w:rsid w:val="00FD0928"/>
    <w:rsid w:val="00FD0D03"/>
    <w:rsid w:val="00FD0F11"/>
    <w:rsid w:val="00FD1199"/>
    <w:rsid w:val="00FD1367"/>
    <w:rsid w:val="00FD1C3B"/>
    <w:rsid w:val="00FD1E03"/>
    <w:rsid w:val="00FD20A2"/>
    <w:rsid w:val="00FD24FE"/>
    <w:rsid w:val="00FD25A8"/>
    <w:rsid w:val="00FD2749"/>
    <w:rsid w:val="00FD28D0"/>
    <w:rsid w:val="00FD2A2B"/>
    <w:rsid w:val="00FD2CB7"/>
    <w:rsid w:val="00FD2EA8"/>
    <w:rsid w:val="00FD2F99"/>
    <w:rsid w:val="00FD32E9"/>
    <w:rsid w:val="00FD3309"/>
    <w:rsid w:val="00FD37F4"/>
    <w:rsid w:val="00FD3C87"/>
    <w:rsid w:val="00FD422A"/>
    <w:rsid w:val="00FD4574"/>
    <w:rsid w:val="00FD4639"/>
    <w:rsid w:val="00FD4713"/>
    <w:rsid w:val="00FD4C89"/>
    <w:rsid w:val="00FD4CC3"/>
    <w:rsid w:val="00FD4DE8"/>
    <w:rsid w:val="00FD4FB5"/>
    <w:rsid w:val="00FD5942"/>
    <w:rsid w:val="00FD6DC7"/>
    <w:rsid w:val="00FD7322"/>
    <w:rsid w:val="00FD739E"/>
    <w:rsid w:val="00FD7CF8"/>
    <w:rsid w:val="00FD7EC1"/>
    <w:rsid w:val="00FE03DB"/>
    <w:rsid w:val="00FE05A1"/>
    <w:rsid w:val="00FE062A"/>
    <w:rsid w:val="00FE08DA"/>
    <w:rsid w:val="00FE09D1"/>
    <w:rsid w:val="00FE0CFB"/>
    <w:rsid w:val="00FE0DBC"/>
    <w:rsid w:val="00FE0F07"/>
    <w:rsid w:val="00FE13B1"/>
    <w:rsid w:val="00FE1915"/>
    <w:rsid w:val="00FE1A00"/>
    <w:rsid w:val="00FE1B2F"/>
    <w:rsid w:val="00FE1CBD"/>
    <w:rsid w:val="00FE2123"/>
    <w:rsid w:val="00FE2513"/>
    <w:rsid w:val="00FE2692"/>
    <w:rsid w:val="00FE2777"/>
    <w:rsid w:val="00FE281E"/>
    <w:rsid w:val="00FE2D98"/>
    <w:rsid w:val="00FE2EBC"/>
    <w:rsid w:val="00FE3188"/>
    <w:rsid w:val="00FE334A"/>
    <w:rsid w:val="00FE3671"/>
    <w:rsid w:val="00FE3689"/>
    <w:rsid w:val="00FE36F8"/>
    <w:rsid w:val="00FE3C8B"/>
    <w:rsid w:val="00FE461E"/>
    <w:rsid w:val="00FE4717"/>
    <w:rsid w:val="00FE4F27"/>
    <w:rsid w:val="00FE5250"/>
    <w:rsid w:val="00FE54C7"/>
    <w:rsid w:val="00FE553B"/>
    <w:rsid w:val="00FE5F92"/>
    <w:rsid w:val="00FE6994"/>
    <w:rsid w:val="00FE6AE4"/>
    <w:rsid w:val="00FE6B9C"/>
    <w:rsid w:val="00FE6E39"/>
    <w:rsid w:val="00FE6EFF"/>
    <w:rsid w:val="00FE6FBC"/>
    <w:rsid w:val="00FE71BC"/>
    <w:rsid w:val="00FE756D"/>
    <w:rsid w:val="00FE7813"/>
    <w:rsid w:val="00FE7A50"/>
    <w:rsid w:val="00FE7BF9"/>
    <w:rsid w:val="00FE7EBF"/>
    <w:rsid w:val="00FE7F4E"/>
    <w:rsid w:val="00FF022D"/>
    <w:rsid w:val="00FF09B2"/>
    <w:rsid w:val="00FF0CF7"/>
    <w:rsid w:val="00FF16B5"/>
    <w:rsid w:val="00FF192D"/>
    <w:rsid w:val="00FF2060"/>
    <w:rsid w:val="00FF2080"/>
    <w:rsid w:val="00FF20FD"/>
    <w:rsid w:val="00FF2390"/>
    <w:rsid w:val="00FF23C2"/>
    <w:rsid w:val="00FF255E"/>
    <w:rsid w:val="00FF25EC"/>
    <w:rsid w:val="00FF2746"/>
    <w:rsid w:val="00FF2753"/>
    <w:rsid w:val="00FF27D3"/>
    <w:rsid w:val="00FF29C7"/>
    <w:rsid w:val="00FF2C33"/>
    <w:rsid w:val="00FF2C52"/>
    <w:rsid w:val="00FF2F40"/>
    <w:rsid w:val="00FF34B6"/>
    <w:rsid w:val="00FF3778"/>
    <w:rsid w:val="00FF379E"/>
    <w:rsid w:val="00FF3986"/>
    <w:rsid w:val="00FF41DB"/>
    <w:rsid w:val="00FF43CE"/>
    <w:rsid w:val="00FF44D2"/>
    <w:rsid w:val="00FF48B8"/>
    <w:rsid w:val="00FF4905"/>
    <w:rsid w:val="00FF5505"/>
    <w:rsid w:val="00FF5916"/>
    <w:rsid w:val="00FF5BB0"/>
    <w:rsid w:val="00FF5CB6"/>
    <w:rsid w:val="00FF6BB3"/>
    <w:rsid w:val="00FF77C7"/>
    <w:rsid w:val="00FFA9D0"/>
    <w:rsid w:val="0107ABB2"/>
    <w:rsid w:val="010C03BC"/>
    <w:rsid w:val="010CEB8C"/>
    <w:rsid w:val="010F0C89"/>
    <w:rsid w:val="010F986E"/>
    <w:rsid w:val="011592BE"/>
    <w:rsid w:val="0116E242"/>
    <w:rsid w:val="011954EC"/>
    <w:rsid w:val="011C1414"/>
    <w:rsid w:val="011C5B5F"/>
    <w:rsid w:val="01205064"/>
    <w:rsid w:val="01238FE0"/>
    <w:rsid w:val="0124769B"/>
    <w:rsid w:val="0124C046"/>
    <w:rsid w:val="0127C22B"/>
    <w:rsid w:val="012B3352"/>
    <w:rsid w:val="012EBFB0"/>
    <w:rsid w:val="012FDC92"/>
    <w:rsid w:val="0132327B"/>
    <w:rsid w:val="0133CE7F"/>
    <w:rsid w:val="01348227"/>
    <w:rsid w:val="01359AEC"/>
    <w:rsid w:val="013C99DD"/>
    <w:rsid w:val="013F249B"/>
    <w:rsid w:val="014033DD"/>
    <w:rsid w:val="0140455B"/>
    <w:rsid w:val="014267DF"/>
    <w:rsid w:val="0146F85E"/>
    <w:rsid w:val="01472E3D"/>
    <w:rsid w:val="0148F881"/>
    <w:rsid w:val="0148FE10"/>
    <w:rsid w:val="01499C09"/>
    <w:rsid w:val="0149BFFB"/>
    <w:rsid w:val="014CE213"/>
    <w:rsid w:val="014DE9D6"/>
    <w:rsid w:val="014EAF94"/>
    <w:rsid w:val="014EF5CF"/>
    <w:rsid w:val="014F65F7"/>
    <w:rsid w:val="014F7638"/>
    <w:rsid w:val="01502ACD"/>
    <w:rsid w:val="0151F212"/>
    <w:rsid w:val="01534346"/>
    <w:rsid w:val="01537124"/>
    <w:rsid w:val="0154EA1C"/>
    <w:rsid w:val="0157B2B1"/>
    <w:rsid w:val="015CFD7C"/>
    <w:rsid w:val="01623C67"/>
    <w:rsid w:val="0164BE1B"/>
    <w:rsid w:val="01652376"/>
    <w:rsid w:val="016568F4"/>
    <w:rsid w:val="0168FBFB"/>
    <w:rsid w:val="016EAE52"/>
    <w:rsid w:val="016F4459"/>
    <w:rsid w:val="0171AB24"/>
    <w:rsid w:val="01733A0C"/>
    <w:rsid w:val="01739245"/>
    <w:rsid w:val="0174C4CC"/>
    <w:rsid w:val="0176A84D"/>
    <w:rsid w:val="0179010D"/>
    <w:rsid w:val="017B029D"/>
    <w:rsid w:val="017B0EB9"/>
    <w:rsid w:val="017B3000"/>
    <w:rsid w:val="017DAD76"/>
    <w:rsid w:val="017DAE64"/>
    <w:rsid w:val="0180225E"/>
    <w:rsid w:val="0187A88D"/>
    <w:rsid w:val="01882AB2"/>
    <w:rsid w:val="018BDDAA"/>
    <w:rsid w:val="018DD65D"/>
    <w:rsid w:val="01903EA8"/>
    <w:rsid w:val="019275EE"/>
    <w:rsid w:val="0193E417"/>
    <w:rsid w:val="01940EA2"/>
    <w:rsid w:val="01988230"/>
    <w:rsid w:val="019BD822"/>
    <w:rsid w:val="019C4237"/>
    <w:rsid w:val="019E8F09"/>
    <w:rsid w:val="019F508D"/>
    <w:rsid w:val="01A23C8E"/>
    <w:rsid w:val="01ACB961"/>
    <w:rsid w:val="01AF429C"/>
    <w:rsid w:val="01B184A4"/>
    <w:rsid w:val="01B1CDF2"/>
    <w:rsid w:val="01B7203A"/>
    <w:rsid w:val="01B9CA70"/>
    <w:rsid w:val="01BE2DAC"/>
    <w:rsid w:val="01C02FDA"/>
    <w:rsid w:val="01C23B31"/>
    <w:rsid w:val="01C25F72"/>
    <w:rsid w:val="01C89EA7"/>
    <w:rsid w:val="01D22022"/>
    <w:rsid w:val="01D39819"/>
    <w:rsid w:val="01D88B8F"/>
    <w:rsid w:val="01DBE1F2"/>
    <w:rsid w:val="01DC62A5"/>
    <w:rsid w:val="01DF616D"/>
    <w:rsid w:val="01E43362"/>
    <w:rsid w:val="01EABC30"/>
    <w:rsid w:val="01EAFCD8"/>
    <w:rsid w:val="01EC89FE"/>
    <w:rsid w:val="01EF1CC0"/>
    <w:rsid w:val="01F1DC6D"/>
    <w:rsid w:val="01F7EE88"/>
    <w:rsid w:val="01F82782"/>
    <w:rsid w:val="01FB599B"/>
    <w:rsid w:val="01FDB0ED"/>
    <w:rsid w:val="01FF9530"/>
    <w:rsid w:val="02008A72"/>
    <w:rsid w:val="0203B604"/>
    <w:rsid w:val="0206BB39"/>
    <w:rsid w:val="02080B08"/>
    <w:rsid w:val="02088EE6"/>
    <w:rsid w:val="0208B13A"/>
    <w:rsid w:val="0208BD85"/>
    <w:rsid w:val="0208DF74"/>
    <w:rsid w:val="020A327B"/>
    <w:rsid w:val="020B05B3"/>
    <w:rsid w:val="020D4542"/>
    <w:rsid w:val="020EFB74"/>
    <w:rsid w:val="02115155"/>
    <w:rsid w:val="02119820"/>
    <w:rsid w:val="0212C095"/>
    <w:rsid w:val="021675A9"/>
    <w:rsid w:val="0216C869"/>
    <w:rsid w:val="021C2BF4"/>
    <w:rsid w:val="021EAC3D"/>
    <w:rsid w:val="021EEB55"/>
    <w:rsid w:val="021FF7F1"/>
    <w:rsid w:val="02210F73"/>
    <w:rsid w:val="02216862"/>
    <w:rsid w:val="02228B24"/>
    <w:rsid w:val="0223014F"/>
    <w:rsid w:val="02295639"/>
    <w:rsid w:val="02296768"/>
    <w:rsid w:val="0229B39E"/>
    <w:rsid w:val="022FF279"/>
    <w:rsid w:val="02300A1C"/>
    <w:rsid w:val="02320CBC"/>
    <w:rsid w:val="02337CCC"/>
    <w:rsid w:val="0236E399"/>
    <w:rsid w:val="023B9FE7"/>
    <w:rsid w:val="023E2BE7"/>
    <w:rsid w:val="023F4064"/>
    <w:rsid w:val="02435E3F"/>
    <w:rsid w:val="0244F7F3"/>
    <w:rsid w:val="02471CFE"/>
    <w:rsid w:val="024727D8"/>
    <w:rsid w:val="024CD3C9"/>
    <w:rsid w:val="024E13F7"/>
    <w:rsid w:val="02515409"/>
    <w:rsid w:val="02553A34"/>
    <w:rsid w:val="0259B68E"/>
    <w:rsid w:val="025F0B60"/>
    <w:rsid w:val="026575C1"/>
    <w:rsid w:val="026BCF2A"/>
    <w:rsid w:val="026D5848"/>
    <w:rsid w:val="0273C898"/>
    <w:rsid w:val="027475AA"/>
    <w:rsid w:val="027703AB"/>
    <w:rsid w:val="027A1155"/>
    <w:rsid w:val="027D6DF0"/>
    <w:rsid w:val="027EFE4C"/>
    <w:rsid w:val="0282716B"/>
    <w:rsid w:val="02863205"/>
    <w:rsid w:val="028878BA"/>
    <w:rsid w:val="0289454D"/>
    <w:rsid w:val="028A242F"/>
    <w:rsid w:val="028C0424"/>
    <w:rsid w:val="028CABBC"/>
    <w:rsid w:val="02930B6E"/>
    <w:rsid w:val="02937D56"/>
    <w:rsid w:val="0293A1DC"/>
    <w:rsid w:val="0294C8A3"/>
    <w:rsid w:val="02970D88"/>
    <w:rsid w:val="02987559"/>
    <w:rsid w:val="0298FA60"/>
    <w:rsid w:val="0299EBEC"/>
    <w:rsid w:val="029B7E57"/>
    <w:rsid w:val="029EBB04"/>
    <w:rsid w:val="029FD1B7"/>
    <w:rsid w:val="02A014E4"/>
    <w:rsid w:val="02A3073A"/>
    <w:rsid w:val="02A36187"/>
    <w:rsid w:val="02A38D73"/>
    <w:rsid w:val="02A44438"/>
    <w:rsid w:val="02A49AD1"/>
    <w:rsid w:val="02A49BAE"/>
    <w:rsid w:val="02A4A675"/>
    <w:rsid w:val="02A4BE76"/>
    <w:rsid w:val="02A4C2EE"/>
    <w:rsid w:val="02A95A4E"/>
    <w:rsid w:val="02AFA72D"/>
    <w:rsid w:val="02AFE657"/>
    <w:rsid w:val="02AFFC56"/>
    <w:rsid w:val="02B0E820"/>
    <w:rsid w:val="02B1FE22"/>
    <w:rsid w:val="02B2B5FC"/>
    <w:rsid w:val="02B43133"/>
    <w:rsid w:val="02B54C2B"/>
    <w:rsid w:val="02B644E7"/>
    <w:rsid w:val="02B669F1"/>
    <w:rsid w:val="02B7D5CD"/>
    <w:rsid w:val="02B81C62"/>
    <w:rsid w:val="02BFC123"/>
    <w:rsid w:val="02C0A2BF"/>
    <w:rsid w:val="02C23A53"/>
    <w:rsid w:val="02C6B362"/>
    <w:rsid w:val="02C7F3D9"/>
    <w:rsid w:val="02C9121C"/>
    <w:rsid w:val="02D0BBC3"/>
    <w:rsid w:val="02D83687"/>
    <w:rsid w:val="02DC1AF3"/>
    <w:rsid w:val="02DE0CE3"/>
    <w:rsid w:val="02E315E0"/>
    <w:rsid w:val="02E4887A"/>
    <w:rsid w:val="02E7CF8E"/>
    <w:rsid w:val="02E810F8"/>
    <w:rsid w:val="02EA4AFF"/>
    <w:rsid w:val="02F705F8"/>
    <w:rsid w:val="02F8B608"/>
    <w:rsid w:val="02FA3969"/>
    <w:rsid w:val="02FBFDF3"/>
    <w:rsid w:val="02FE6E30"/>
    <w:rsid w:val="03007D8D"/>
    <w:rsid w:val="03017BF9"/>
    <w:rsid w:val="0301FD36"/>
    <w:rsid w:val="0305E003"/>
    <w:rsid w:val="030779B2"/>
    <w:rsid w:val="030A4262"/>
    <w:rsid w:val="030BAD8C"/>
    <w:rsid w:val="030BCA32"/>
    <w:rsid w:val="030EFF62"/>
    <w:rsid w:val="03103FC9"/>
    <w:rsid w:val="03149458"/>
    <w:rsid w:val="03155373"/>
    <w:rsid w:val="0318978F"/>
    <w:rsid w:val="031A61A4"/>
    <w:rsid w:val="031C4AF6"/>
    <w:rsid w:val="031CBE97"/>
    <w:rsid w:val="031D79E6"/>
    <w:rsid w:val="031D8140"/>
    <w:rsid w:val="0322438A"/>
    <w:rsid w:val="03247EA2"/>
    <w:rsid w:val="032606DB"/>
    <w:rsid w:val="0327E8AD"/>
    <w:rsid w:val="0328EADC"/>
    <w:rsid w:val="0329C8B6"/>
    <w:rsid w:val="032E9206"/>
    <w:rsid w:val="0330E6E6"/>
    <w:rsid w:val="0335DD66"/>
    <w:rsid w:val="03369059"/>
    <w:rsid w:val="0340C620"/>
    <w:rsid w:val="0341C276"/>
    <w:rsid w:val="03453877"/>
    <w:rsid w:val="03494F68"/>
    <w:rsid w:val="034D9CC8"/>
    <w:rsid w:val="03531341"/>
    <w:rsid w:val="03543459"/>
    <w:rsid w:val="0359E99D"/>
    <w:rsid w:val="035A503C"/>
    <w:rsid w:val="035A6D20"/>
    <w:rsid w:val="035BE35A"/>
    <w:rsid w:val="035CDC8A"/>
    <w:rsid w:val="035E75B0"/>
    <w:rsid w:val="0367B375"/>
    <w:rsid w:val="03681B95"/>
    <w:rsid w:val="0369AAED"/>
    <w:rsid w:val="036BE95A"/>
    <w:rsid w:val="036C9155"/>
    <w:rsid w:val="036DBAFB"/>
    <w:rsid w:val="036DEBE4"/>
    <w:rsid w:val="03720D21"/>
    <w:rsid w:val="0372EAF2"/>
    <w:rsid w:val="03759BEE"/>
    <w:rsid w:val="03762BC0"/>
    <w:rsid w:val="0377820B"/>
    <w:rsid w:val="0379D073"/>
    <w:rsid w:val="037C6937"/>
    <w:rsid w:val="037DBA03"/>
    <w:rsid w:val="037FB652"/>
    <w:rsid w:val="03814179"/>
    <w:rsid w:val="0386B4C2"/>
    <w:rsid w:val="03895E6A"/>
    <w:rsid w:val="038B1895"/>
    <w:rsid w:val="038DA065"/>
    <w:rsid w:val="038F58E3"/>
    <w:rsid w:val="03901AAA"/>
    <w:rsid w:val="03905DE5"/>
    <w:rsid w:val="03906999"/>
    <w:rsid w:val="03933610"/>
    <w:rsid w:val="03938EB8"/>
    <w:rsid w:val="0393FABE"/>
    <w:rsid w:val="03954977"/>
    <w:rsid w:val="0397FAB4"/>
    <w:rsid w:val="039BCA8D"/>
    <w:rsid w:val="039F454E"/>
    <w:rsid w:val="03A0CFD2"/>
    <w:rsid w:val="03A4DA68"/>
    <w:rsid w:val="03A8DFE9"/>
    <w:rsid w:val="03AB1FC7"/>
    <w:rsid w:val="03AB87DB"/>
    <w:rsid w:val="03AC7712"/>
    <w:rsid w:val="03AD2E40"/>
    <w:rsid w:val="03AD4721"/>
    <w:rsid w:val="03B0268F"/>
    <w:rsid w:val="03B10586"/>
    <w:rsid w:val="03B4B63C"/>
    <w:rsid w:val="03B99605"/>
    <w:rsid w:val="03BAAA89"/>
    <w:rsid w:val="03BDFC24"/>
    <w:rsid w:val="03C57DA8"/>
    <w:rsid w:val="03C74599"/>
    <w:rsid w:val="03C7B5FF"/>
    <w:rsid w:val="03C94C74"/>
    <w:rsid w:val="03CC3FAA"/>
    <w:rsid w:val="03CD10F1"/>
    <w:rsid w:val="03D08347"/>
    <w:rsid w:val="03D29754"/>
    <w:rsid w:val="03D51CBC"/>
    <w:rsid w:val="03D67DEA"/>
    <w:rsid w:val="03D68BDC"/>
    <w:rsid w:val="03D76969"/>
    <w:rsid w:val="03D80828"/>
    <w:rsid w:val="03D8DE43"/>
    <w:rsid w:val="03DA36F7"/>
    <w:rsid w:val="03DC5C1A"/>
    <w:rsid w:val="03DC5E66"/>
    <w:rsid w:val="03DDAF66"/>
    <w:rsid w:val="03DF0345"/>
    <w:rsid w:val="03E0408C"/>
    <w:rsid w:val="03E69D6C"/>
    <w:rsid w:val="03ED8932"/>
    <w:rsid w:val="03EE555C"/>
    <w:rsid w:val="03EF5D9B"/>
    <w:rsid w:val="03F4571E"/>
    <w:rsid w:val="03F93FC7"/>
    <w:rsid w:val="03FBF5B8"/>
    <w:rsid w:val="04052E14"/>
    <w:rsid w:val="040C18DA"/>
    <w:rsid w:val="040D8B15"/>
    <w:rsid w:val="04104205"/>
    <w:rsid w:val="0415E1B6"/>
    <w:rsid w:val="041A6A06"/>
    <w:rsid w:val="041A9E1F"/>
    <w:rsid w:val="041EE263"/>
    <w:rsid w:val="04227CAA"/>
    <w:rsid w:val="0426AAAD"/>
    <w:rsid w:val="0429093D"/>
    <w:rsid w:val="042A57F9"/>
    <w:rsid w:val="042A9CA2"/>
    <w:rsid w:val="0430B575"/>
    <w:rsid w:val="0434F11C"/>
    <w:rsid w:val="04394098"/>
    <w:rsid w:val="043C0F34"/>
    <w:rsid w:val="043C172B"/>
    <w:rsid w:val="043EF46E"/>
    <w:rsid w:val="043FFC31"/>
    <w:rsid w:val="0440179E"/>
    <w:rsid w:val="04447878"/>
    <w:rsid w:val="0447E659"/>
    <w:rsid w:val="044DC2B6"/>
    <w:rsid w:val="044FFA2A"/>
    <w:rsid w:val="045040B9"/>
    <w:rsid w:val="0450C529"/>
    <w:rsid w:val="04540EAE"/>
    <w:rsid w:val="0456C022"/>
    <w:rsid w:val="045A3AFE"/>
    <w:rsid w:val="045EEB0D"/>
    <w:rsid w:val="0462188A"/>
    <w:rsid w:val="04672047"/>
    <w:rsid w:val="046CE374"/>
    <w:rsid w:val="046D47F1"/>
    <w:rsid w:val="046DAE9A"/>
    <w:rsid w:val="046EA8E2"/>
    <w:rsid w:val="04735D2E"/>
    <w:rsid w:val="04738A0A"/>
    <w:rsid w:val="04779DF7"/>
    <w:rsid w:val="047A7B9D"/>
    <w:rsid w:val="047AEB47"/>
    <w:rsid w:val="047B41BB"/>
    <w:rsid w:val="047CE3C7"/>
    <w:rsid w:val="04832B3D"/>
    <w:rsid w:val="0484E9CE"/>
    <w:rsid w:val="0486AE39"/>
    <w:rsid w:val="04879114"/>
    <w:rsid w:val="048808F8"/>
    <w:rsid w:val="048B43A4"/>
    <w:rsid w:val="048B5F6C"/>
    <w:rsid w:val="048BB0E4"/>
    <w:rsid w:val="048FBF71"/>
    <w:rsid w:val="04910B25"/>
    <w:rsid w:val="0491173A"/>
    <w:rsid w:val="0491F210"/>
    <w:rsid w:val="0492BDD3"/>
    <w:rsid w:val="0495356F"/>
    <w:rsid w:val="0497EF55"/>
    <w:rsid w:val="04993381"/>
    <w:rsid w:val="04995D4E"/>
    <w:rsid w:val="049C539B"/>
    <w:rsid w:val="049D1E66"/>
    <w:rsid w:val="049E7D94"/>
    <w:rsid w:val="04A481FE"/>
    <w:rsid w:val="04A8F88C"/>
    <w:rsid w:val="04A93478"/>
    <w:rsid w:val="04AD37D3"/>
    <w:rsid w:val="04AE1029"/>
    <w:rsid w:val="04AE84C1"/>
    <w:rsid w:val="04AEB9FB"/>
    <w:rsid w:val="04B0F4A2"/>
    <w:rsid w:val="04B24D28"/>
    <w:rsid w:val="04B90B49"/>
    <w:rsid w:val="04BEEBC5"/>
    <w:rsid w:val="04C1A06A"/>
    <w:rsid w:val="04C95ABC"/>
    <w:rsid w:val="04CA53F8"/>
    <w:rsid w:val="04CCA3F8"/>
    <w:rsid w:val="04CD0DB4"/>
    <w:rsid w:val="04CD5957"/>
    <w:rsid w:val="04CE7500"/>
    <w:rsid w:val="04D0D530"/>
    <w:rsid w:val="04D13F37"/>
    <w:rsid w:val="04DAD97B"/>
    <w:rsid w:val="04DD63EC"/>
    <w:rsid w:val="04E329FF"/>
    <w:rsid w:val="04E664C4"/>
    <w:rsid w:val="04E874D9"/>
    <w:rsid w:val="04EF77E0"/>
    <w:rsid w:val="04EF9480"/>
    <w:rsid w:val="04F44B74"/>
    <w:rsid w:val="04F4A99A"/>
    <w:rsid w:val="04F5C636"/>
    <w:rsid w:val="04F63742"/>
    <w:rsid w:val="04FEB4EF"/>
    <w:rsid w:val="04FF72DF"/>
    <w:rsid w:val="04FFE6BA"/>
    <w:rsid w:val="050649DC"/>
    <w:rsid w:val="050AB6AF"/>
    <w:rsid w:val="050D988C"/>
    <w:rsid w:val="050E4081"/>
    <w:rsid w:val="050E5A88"/>
    <w:rsid w:val="05101721"/>
    <w:rsid w:val="0512BADA"/>
    <w:rsid w:val="0515CBB6"/>
    <w:rsid w:val="05164B5D"/>
    <w:rsid w:val="05170334"/>
    <w:rsid w:val="05171749"/>
    <w:rsid w:val="052073E9"/>
    <w:rsid w:val="05207B50"/>
    <w:rsid w:val="0523C3F7"/>
    <w:rsid w:val="05271E17"/>
    <w:rsid w:val="0528787B"/>
    <w:rsid w:val="0529FEB5"/>
    <w:rsid w:val="052BD444"/>
    <w:rsid w:val="0530FD20"/>
    <w:rsid w:val="0532127E"/>
    <w:rsid w:val="05336DFA"/>
    <w:rsid w:val="0534A92D"/>
    <w:rsid w:val="05359DEF"/>
    <w:rsid w:val="0537EE57"/>
    <w:rsid w:val="053A530F"/>
    <w:rsid w:val="053CA55F"/>
    <w:rsid w:val="05412530"/>
    <w:rsid w:val="054431F4"/>
    <w:rsid w:val="054520A3"/>
    <w:rsid w:val="054C8EC8"/>
    <w:rsid w:val="054E160A"/>
    <w:rsid w:val="054E5D90"/>
    <w:rsid w:val="054F41C5"/>
    <w:rsid w:val="054FED09"/>
    <w:rsid w:val="0552DAA1"/>
    <w:rsid w:val="0554A3BE"/>
    <w:rsid w:val="0557791E"/>
    <w:rsid w:val="055E98CA"/>
    <w:rsid w:val="055F42C0"/>
    <w:rsid w:val="05612BA2"/>
    <w:rsid w:val="056A3D9F"/>
    <w:rsid w:val="0572E511"/>
    <w:rsid w:val="0573C67B"/>
    <w:rsid w:val="0575386D"/>
    <w:rsid w:val="05759EEC"/>
    <w:rsid w:val="057AE286"/>
    <w:rsid w:val="057B5AE8"/>
    <w:rsid w:val="057F9529"/>
    <w:rsid w:val="0582FAE2"/>
    <w:rsid w:val="0586D1E2"/>
    <w:rsid w:val="0589140D"/>
    <w:rsid w:val="058B7FDA"/>
    <w:rsid w:val="058D4D56"/>
    <w:rsid w:val="058EBDC5"/>
    <w:rsid w:val="05921248"/>
    <w:rsid w:val="05958E19"/>
    <w:rsid w:val="05976446"/>
    <w:rsid w:val="0598D79D"/>
    <w:rsid w:val="059CA821"/>
    <w:rsid w:val="059F4408"/>
    <w:rsid w:val="05A235EF"/>
    <w:rsid w:val="05A2ADA4"/>
    <w:rsid w:val="05A3C28A"/>
    <w:rsid w:val="05A91254"/>
    <w:rsid w:val="05AA8EF0"/>
    <w:rsid w:val="05AEF53F"/>
    <w:rsid w:val="05AF2216"/>
    <w:rsid w:val="05AF33B7"/>
    <w:rsid w:val="05B09EB8"/>
    <w:rsid w:val="05B86C34"/>
    <w:rsid w:val="05BFD811"/>
    <w:rsid w:val="05C1D612"/>
    <w:rsid w:val="05C8DA7D"/>
    <w:rsid w:val="05C93D3C"/>
    <w:rsid w:val="05CA1F0F"/>
    <w:rsid w:val="05CAF8BC"/>
    <w:rsid w:val="05CEEDCB"/>
    <w:rsid w:val="05D0E684"/>
    <w:rsid w:val="05D1D821"/>
    <w:rsid w:val="05D41C64"/>
    <w:rsid w:val="05D4DC26"/>
    <w:rsid w:val="05D91A8C"/>
    <w:rsid w:val="05D9B4CA"/>
    <w:rsid w:val="05DC0F0D"/>
    <w:rsid w:val="05DC505A"/>
    <w:rsid w:val="05DCA599"/>
    <w:rsid w:val="05E060A4"/>
    <w:rsid w:val="05E117E5"/>
    <w:rsid w:val="05E32DF7"/>
    <w:rsid w:val="05E4C6F8"/>
    <w:rsid w:val="05E675C0"/>
    <w:rsid w:val="05ED4520"/>
    <w:rsid w:val="05F1C63A"/>
    <w:rsid w:val="05F5D7A3"/>
    <w:rsid w:val="05F71C91"/>
    <w:rsid w:val="05F72737"/>
    <w:rsid w:val="05F76DB1"/>
    <w:rsid w:val="05FB63DE"/>
    <w:rsid w:val="05FEA7E9"/>
    <w:rsid w:val="06027DA9"/>
    <w:rsid w:val="0602AD1A"/>
    <w:rsid w:val="0605C7B5"/>
    <w:rsid w:val="060A93A3"/>
    <w:rsid w:val="060BBBD2"/>
    <w:rsid w:val="060EA273"/>
    <w:rsid w:val="0612DB99"/>
    <w:rsid w:val="061366A0"/>
    <w:rsid w:val="0616CBB8"/>
    <w:rsid w:val="0616EE59"/>
    <w:rsid w:val="061CC48E"/>
    <w:rsid w:val="061EE3F6"/>
    <w:rsid w:val="0620E987"/>
    <w:rsid w:val="062174BB"/>
    <w:rsid w:val="0621B1CF"/>
    <w:rsid w:val="06237A1E"/>
    <w:rsid w:val="06238637"/>
    <w:rsid w:val="0624577F"/>
    <w:rsid w:val="062695D2"/>
    <w:rsid w:val="062AC400"/>
    <w:rsid w:val="062B4BF4"/>
    <w:rsid w:val="062BB735"/>
    <w:rsid w:val="062C4DAA"/>
    <w:rsid w:val="062E3C41"/>
    <w:rsid w:val="0632F234"/>
    <w:rsid w:val="0633ABB1"/>
    <w:rsid w:val="0637E190"/>
    <w:rsid w:val="06395668"/>
    <w:rsid w:val="06399565"/>
    <w:rsid w:val="0639BC1E"/>
    <w:rsid w:val="063A24E7"/>
    <w:rsid w:val="063AC524"/>
    <w:rsid w:val="063C1898"/>
    <w:rsid w:val="063ECA72"/>
    <w:rsid w:val="063EFB94"/>
    <w:rsid w:val="064082FE"/>
    <w:rsid w:val="0640CBF7"/>
    <w:rsid w:val="06411328"/>
    <w:rsid w:val="06415B47"/>
    <w:rsid w:val="06449425"/>
    <w:rsid w:val="0644E4E7"/>
    <w:rsid w:val="06483457"/>
    <w:rsid w:val="0648E87D"/>
    <w:rsid w:val="06493679"/>
    <w:rsid w:val="064AFC0D"/>
    <w:rsid w:val="064B2EF5"/>
    <w:rsid w:val="06555570"/>
    <w:rsid w:val="06594F7D"/>
    <w:rsid w:val="065C0E6C"/>
    <w:rsid w:val="0661BEBD"/>
    <w:rsid w:val="06644A7B"/>
    <w:rsid w:val="06665D78"/>
    <w:rsid w:val="06676C5D"/>
    <w:rsid w:val="066ABCFC"/>
    <w:rsid w:val="066AFF31"/>
    <w:rsid w:val="066EF9C5"/>
    <w:rsid w:val="066FB970"/>
    <w:rsid w:val="06715647"/>
    <w:rsid w:val="0673D6C8"/>
    <w:rsid w:val="06753F73"/>
    <w:rsid w:val="067547C1"/>
    <w:rsid w:val="06768F20"/>
    <w:rsid w:val="06776CB4"/>
    <w:rsid w:val="067D5054"/>
    <w:rsid w:val="067F4CB6"/>
    <w:rsid w:val="067F56BF"/>
    <w:rsid w:val="067FEA29"/>
    <w:rsid w:val="06827CD1"/>
    <w:rsid w:val="068A3D4E"/>
    <w:rsid w:val="068C377F"/>
    <w:rsid w:val="068D2B1B"/>
    <w:rsid w:val="068EAAA2"/>
    <w:rsid w:val="069120F6"/>
    <w:rsid w:val="06992C53"/>
    <w:rsid w:val="06996F2B"/>
    <w:rsid w:val="069F267D"/>
    <w:rsid w:val="069FA3A6"/>
    <w:rsid w:val="06A82BD4"/>
    <w:rsid w:val="06AC6F9A"/>
    <w:rsid w:val="06AD9BA7"/>
    <w:rsid w:val="06AF39B1"/>
    <w:rsid w:val="06AFE1FE"/>
    <w:rsid w:val="06B161C9"/>
    <w:rsid w:val="06B23BCB"/>
    <w:rsid w:val="06B639B2"/>
    <w:rsid w:val="06B7604F"/>
    <w:rsid w:val="06BB0DB2"/>
    <w:rsid w:val="06C7B1BA"/>
    <w:rsid w:val="06CA3604"/>
    <w:rsid w:val="06CD81D4"/>
    <w:rsid w:val="06CD9F49"/>
    <w:rsid w:val="06CEEEA1"/>
    <w:rsid w:val="06D43D60"/>
    <w:rsid w:val="06E67A82"/>
    <w:rsid w:val="06E70CF3"/>
    <w:rsid w:val="06EAF545"/>
    <w:rsid w:val="06ED0A93"/>
    <w:rsid w:val="06F12569"/>
    <w:rsid w:val="06F3313F"/>
    <w:rsid w:val="06F4A07C"/>
    <w:rsid w:val="06F8FA31"/>
    <w:rsid w:val="06FA9A0B"/>
    <w:rsid w:val="06FCF640"/>
    <w:rsid w:val="06FF3004"/>
    <w:rsid w:val="06FF448F"/>
    <w:rsid w:val="06FFEF54"/>
    <w:rsid w:val="07038068"/>
    <w:rsid w:val="07043B52"/>
    <w:rsid w:val="070B31D0"/>
    <w:rsid w:val="070C1E0B"/>
    <w:rsid w:val="070C6CE4"/>
    <w:rsid w:val="070CC113"/>
    <w:rsid w:val="070DA79E"/>
    <w:rsid w:val="070F29E2"/>
    <w:rsid w:val="0713E4E7"/>
    <w:rsid w:val="0717A45E"/>
    <w:rsid w:val="07187B82"/>
    <w:rsid w:val="0719C080"/>
    <w:rsid w:val="071FEF57"/>
    <w:rsid w:val="0721A64D"/>
    <w:rsid w:val="0723D9FE"/>
    <w:rsid w:val="07269D5F"/>
    <w:rsid w:val="0729D961"/>
    <w:rsid w:val="072A87DA"/>
    <w:rsid w:val="072B4E78"/>
    <w:rsid w:val="072E7A0E"/>
    <w:rsid w:val="0732ED89"/>
    <w:rsid w:val="073464F4"/>
    <w:rsid w:val="07350345"/>
    <w:rsid w:val="07386FAE"/>
    <w:rsid w:val="073E43B9"/>
    <w:rsid w:val="073FA456"/>
    <w:rsid w:val="0740DF02"/>
    <w:rsid w:val="074711A5"/>
    <w:rsid w:val="0748F370"/>
    <w:rsid w:val="07499265"/>
    <w:rsid w:val="074AA0AD"/>
    <w:rsid w:val="074CE42B"/>
    <w:rsid w:val="074D66F4"/>
    <w:rsid w:val="074D8278"/>
    <w:rsid w:val="0750046C"/>
    <w:rsid w:val="07515571"/>
    <w:rsid w:val="0753EFFA"/>
    <w:rsid w:val="07553703"/>
    <w:rsid w:val="0756EFAF"/>
    <w:rsid w:val="07585E31"/>
    <w:rsid w:val="075C3B25"/>
    <w:rsid w:val="07600A1A"/>
    <w:rsid w:val="07676F3D"/>
    <w:rsid w:val="076B3E4E"/>
    <w:rsid w:val="076B502E"/>
    <w:rsid w:val="0771868E"/>
    <w:rsid w:val="07780CEA"/>
    <w:rsid w:val="07781ABF"/>
    <w:rsid w:val="07786D34"/>
    <w:rsid w:val="0778F986"/>
    <w:rsid w:val="077BA7D4"/>
    <w:rsid w:val="07863B9E"/>
    <w:rsid w:val="0786C669"/>
    <w:rsid w:val="07875E87"/>
    <w:rsid w:val="07890A9B"/>
    <w:rsid w:val="07891E38"/>
    <w:rsid w:val="078DA587"/>
    <w:rsid w:val="078E7901"/>
    <w:rsid w:val="079149B6"/>
    <w:rsid w:val="079289B1"/>
    <w:rsid w:val="0794429A"/>
    <w:rsid w:val="0795CF47"/>
    <w:rsid w:val="07965303"/>
    <w:rsid w:val="0796E400"/>
    <w:rsid w:val="0799A095"/>
    <w:rsid w:val="079B8AF4"/>
    <w:rsid w:val="079B94E2"/>
    <w:rsid w:val="079E1134"/>
    <w:rsid w:val="079F7408"/>
    <w:rsid w:val="07A57077"/>
    <w:rsid w:val="07A63BB7"/>
    <w:rsid w:val="07A709C0"/>
    <w:rsid w:val="07A77EDC"/>
    <w:rsid w:val="07A7946A"/>
    <w:rsid w:val="07A8914F"/>
    <w:rsid w:val="07AB4D60"/>
    <w:rsid w:val="07AF0035"/>
    <w:rsid w:val="07AFCDE2"/>
    <w:rsid w:val="07B38F58"/>
    <w:rsid w:val="07B9DA97"/>
    <w:rsid w:val="07BC6738"/>
    <w:rsid w:val="07C1022D"/>
    <w:rsid w:val="07C2F531"/>
    <w:rsid w:val="07C32EBA"/>
    <w:rsid w:val="07C3DB79"/>
    <w:rsid w:val="07C8517E"/>
    <w:rsid w:val="07CA29D5"/>
    <w:rsid w:val="07CA569C"/>
    <w:rsid w:val="07CA7876"/>
    <w:rsid w:val="07CD4FEB"/>
    <w:rsid w:val="07D6A9D3"/>
    <w:rsid w:val="07D7B371"/>
    <w:rsid w:val="07D81C71"/>
    <w:rsid w:val="07D9F24A"/>
    <w:rsid w:val="07DB26A9"/>
    <w:rsid w:val="07DC810D"/>
    <w:rsid w:val="07DCFED9"/>
    <w:rsid w:val="07E6ED66"/>
    <w:rsid w:val="07E7BF57"/>
    <w:rsid w:val="07EAF820"/>
    <w:rsid w:val="07EC1E9B"/>
    <w:rsid w:val="07EF1DFF"/>
    <w:rsid w:val="07F02FBA"/>
    <w:rsid w:val="07F08336"/>
    <w:rsid w:val="07F2C313"/>
    <w:rsid w:val="07F51E06"/>
    <w:rsid w:val="07F542EC"/>
    <w:rsid w:val="07F55604"/>
    <w:rsid w:val="07F6B667"/>
    <w:rsid w:val="08018D4F"/>
    <w:rsid w:val="0801ED7F"/>
    <w:rsid w:val="0802EBF1"/>
    <w:rsid w:val="080448F6"/>
    <w:rsid w:val="08048725"/>
    <w:rsid w:val="080DB807"/>
    <w:rsid w:val="080F99A9"/>
    <w:rsid w:val="08105A4C"/>
    <w:rsid w:val="08126C07"/>
    <w:rsid w:val="081617CB"/>
    <w:rsid w:val="08169C17"/>
    <w:rsid w:val="0818880F"/>
    <w:rsid w:val="081A7C2D"/>
    <w:rsid w:val="081A8C3C"/>
    <w:rsid w:val="081B130D"/>
    <w:rsid w:val="081E1425"/>
    <w:rsid w:val="081E196E"/>
    <w:rsid w:val="08200D61"/>
    <w:rsid w:val="0821ACA4"/>
    <w:rsid w:val="08239B17"/>
    <w:rsid w:val="08261AD9"/>
    <w:rsid w:val="082A65B2"/>
    <w:rsid w:val="082E0D61"/>
    <w:rsid w:val="082E16FE"/>
    <w:rsid w:val="082F24A5"/>
    <w:rsid w:val="0833F7B9"/>
    <w:rsid w:val="083568B4"/>
    <w:rsid w:val="083660E7"/>
    <w:rsid w:val="083BD9E1"/>
    <w:rsid w:val="083CC200"/>
    <w:rsid w:val="083D367A"/>
    <w:rsid w:val="084124A5"/>
    <w:rsid w:val="0842EA0E"/>
    <w:rsid w:val="0845ABE5"/>
    <w:rsid w:val="0847D50A"/>
    <w:rsid w:val="084B7A49"/>
    <w:rsid w:val="084BA69D"/>
    <w:rsid w:val="084DAC30"/>
    <w:rsid w:val="08525B9C"/>
    <w:rsid w:val="08534FED"/>
    <w:rsid w:val="0853B5C1"/>
    <w:rsid w:val="0856B3AD"/>
    <w:rsid w:val="08602CC9"/>
    <w:rsid w:val="086192F2"/>
    <w:rsid w:val="08640B98"/>
    <w:rsid w:val="08648D8A"/>
    <w:rsid w:val="08657386"/>
    <w:rsid w:val="0866EE8E"/>
    <w:rsid w:val="086891AF"/>
    <w:rsid w:val="0868E93B"/>
    <w:rsid w:val="086B9C16"/>
    <w:rsid w:val="086C836C"/>
    <w:rsid w:val="086DF72A"/>
    <w:rsid w:val="0870AA30"/>
    <w:rsid w:val="0872E9E6"/>
    <w:rsid w:val="0874625F"/>
    <w:rsid w:val="0876FCD5"/>
    <w:rsid w:val="0878E43D"/>
    <w:rsid w:val="087AC352"/>
    <w:rsid w:val="087CB582"/>
    <w:rsid w:val="088105FA"/>
    <w:rsid w:val="088422B9"/>
    <w:rsid w:val="0885DE30"/>
    <w:rsid w:val="0885FE52"/>
    <w:rsid w:val="0886F8C2"/>
    <w:rsid w:val="08876A52"/>
    <w:rsid w:val="08892FED"/>
    <w:rsid w:val="088B088D"/>
    <w:rsid w:val="088D55FA"/>
    <w:rsid w:val="088E6C00"/>
    <w:rsid w:val="0892D13F"/>
    <w:rsid w:val="0896EB0A"/>
    <w:rsid w:val="089715D6"/>
    <w:rsid w:val="089B7340"/>
    <w:rsid w:val="089EBE55"/>
    <w:rsid w:val="08A76CC7"/>
    <w:rsid w:val="08A8BE2D"/>
    <w:rsid w:val="08ABF0EC"/>
    <w:rsid w:val="08AD02D0"/>
    <w:rsid w:val="08AFA63A"/>
    <w:rsid w:val="08AFDD3C"/>
    <w:rsid w:val="08B0A17F"/>
    <w:rsid w:val="08B1EA6C"/>
    <w:rsid w:val="08B2EDBE"/>
    <w:rsid w:val="08B3323C"/>
    <w:rsid w:val="08B52183"/>
    <w:rsid w:val="08B7BE13"/>
    <w:rsid w:val="08BD06BB"/>
    <w:rsid w:val="08BE15D0"/>
    <w:rsid w:val="08C455B6"/>
    <w:rsid w:val="08C46DF5"/>
    <w:rsid w:val="08C53C0E"/>
    <w:rsid w:val="08C62EBF"/>
    <w:rsid w:val="08CA0F77"/>
    <w:rsid w:val="08CB4A0F"/>
    <w:rsid w:val="08CCAA80"/>
    <w:rsid w:val="08D0644D"/>
    <w:rsid w:val="08D2F9E9"/>
    <w:rsid w:val="08D2FC70"/>
    <w:rsid w:val="08D3F3B8"/>
    <w:rsid w:val="08D536FD"/>
    <w:rsid w:val="08D5C798"/>
    <w:rsid w:val="08DA2EB9"/>
    <w:rsid w:val="08DBEF69"/>
    <w:rsid w:val="08E0F7E5"/>
    <w:rsid w:val="08E109D3"/>
    <w:rsid w:val="08E23374"/>
    <w:rsid w:val="08E4233F"/>
    <w:rsid w:val="08E7D52A"/>
    <w:rsid w:val="08EBF06A"/>
    <w:rsid w:val="08EBF41E"/>
    <w:rsid w:val="08ED548B"/>
    <w:rsid w:val="08EDB4C9"/>
    <w:rsid w:val="08F414F5"/>
    <w:rsid w:val="08F54931"/>
    <w:rsid w:val="08F5CBA7"/>
    <w:rsid w:val="08F60C64"/>
    <w:rsid w:val="08F66DB7"/>
    <w:rsid w:val="08F8E957"/>
    <w:rsid w:val="08FC0DC6"/>
    <w:rsid w:val="08FCF37C"/>
    <w:rsid w:val="08FD6A23"/>
    <w:rsid w:val="090805C4"/>
    <w:rsid w:val="09082D6E"/>
    <w:rsid w:val="0908C09E"/>
    <w:rsid w:val="090B4D02"/>
    <w:rsid w:val="090BFD9A"/>
    <w:rsid w:val="090D7C18"/>
    <w:rsid w:val="09135C55"/>
    <w:rsid w:val="09138AC0"/>
    <w:rsid w:val="0913DAEE"/>
    <w:rsid w:val="09159D54"/>
    <w:rsid w:val="09182E89"/>
    <w:rsid w:val="09189BEA"/>
    <w:rsid w:val="09230981"/>
    <w:rsid w:val="092A749D"/>
    <w:rsid w:val="092CAEBF"/>
    <w:rsid w:val="092FA7FA"/>
    <w:rsid w:val="093115C4"/>
    <w:rsid w:val="09318138"/>
    <w:rsid w:val="09346A6E"/>
    <w:rsid w:val="09374DF8"/>
    <w:rsid w:val="093887AC"/>
    <w:rsid w:val="093A2465"/>
    <w:rsid w:val="093D4C80"/>
    <w:rsid w:val="0940723F"/>
    <w:rsid w:val="09460014"/>
    <w:rsid w:val="09480C90"/>
    <w:rsid w:val="0948EA88"/>
    <w:rsid w:val="0949F641"/>
    <w:rsid w:val="094A15FF"/>
    <w:rsid w:val="094A8576"/>
    <w:rsid w:val="095232E7"/>
    <w:rsid w:val="09541F17"/>
    <w:rsid w:val="0957BA6A"/>
    <w:rsid w:val="09586CF2"/>
    <w:rsid w:val="095C606B"/>
    <w:rsid w:val="095F9412"/>
    <w:rsid w:val="09612DBE"/>
    <w:rsid w:val="0964E05E"/>
    <w:rsid w:val="09680EBF"/>
    <w:rsid w:val="096A476D"/>
    <w:rsid w:val="096DACFB"/>
    <w:rsid w:val="097206CE"/>
    <w:rsid w:val="09783EEA"/>
    <w:rsid w:val="09790F8A"/>
    <w:rsid w:val="097AFFF6"/>
    <w:rsid w:val="097DB56E"/>
    <w:rsid w:val="09803133"/>
    <w:rsid w:val="09875D67"/>
    <w:rsid w:val="0988D9EE"/>
    <w:rsid w:val="098A8EC6"/>
    <w:rsid w:val="098AB6FF"/>
    <w:rsid w:val="098B16C0"/>
    <w:rsid w:val="098B5B0B"/>
    <w:rsid w:val="0990A6FF"/>
    <w:rsid w:val="0990D27B"/>
    <w:rsid w:val="0996D433"/>
    <w:rsid w:val="099844E4"/>
    <w:rsid w:val="09A0DDC0"/>
    <w:rsid w:val="09A28CFE"/>
    <w:rsid w:val="09A2A240"/>
    <w:rsid w:val="09A3FEDE"/>
    <w:rsid w:val="09A4767F"/>
    <w:rsid w:val="09A47EF2"/>
    <w:rsid w:val="09A54401"/>
    <w:rsid w:val="09A6E0F0"/>
    <w:rsid w:val="09A849CF"/>
    <w:rsid w:val="09A8C7D7"/>
    <w:rsid w:val="09A96FDA"/>
    <w:rsid w:val="09A9A8BA"/>
    <w:rsid w:val="09AB1167"/>
    <w:rsid w:val="09AD9B92"/>
    <w:rsid w:val="09B00420"/>
    <w:rsid w:val="09B18FBF"/>
    <w:rsid w:val="09B2B414"/>
    <w:rsid w:val="09B312F6"/>
    <w:rsid w:val="09B32555"/>
    <w:rsid w:val="09B69292"/>
    <w:rsid w:val="09B6ED78"/>
    <w:rsid w:val="09B9726A"/>
    <w:rsid w:val="09BB790A"/>
    <w:rsid w:val="09C106D0"/>
    <w:rsid w:val="09C22EAD"/>
    <w:rsid w:val="09C58879"/>
    <w:rsid w:val="09C5F494"/>
    <w:rsid w:val="09C748EA"/>
    <w:rsid w:val="09C76037"/>
    <w:rsid w:val="09C7D828"/>
    <w:rsid w:val="09CEDA54"/>
    <w:rsid w:val="09CF6D96"/>
    <w:rsid w:val="09D07256"/>
    <w:rsid w:val="09D4DBA2"/>
    <w:rsid w:val="09D50050"/>
    <w:rsid w:val="09D59158"/>
    <w:rsid w:val="09D8572D"/>
    <w:rsid w:val="09D9A8E2"/>
    <w:rsid w:val="09D9AD45"/>
    <w:rsid w:val="09DCB4FF"/>
    <w:rsid w:val="09DCE39A"/>
    <w:rsid w:val="09DF0257"/>
    <w:rsid w:val="09E1B2B3"/>
    <w:rsid w:val="09E315B9"/>
    <w:rsid w:val="09E38422"/>
    <w:rsid w:val="09E5ADAE"/>
    <w:rsid w:val="09E7FCD9"/>
    <w:rsid w:val="09E9B7DF"/>
    <w:rsid w:val="09EBBFB7"/>
    <w:rsid w:val="09EC0716"/>
    <w:rsid w:val="09EDDF3A"/>
    <w:rsid w:val="09F2EB6B"/>
    <w:rsid w:val="09F56BA2"/>
    <w:rsid w:val="09F945F1"/>
    <w:rsid w:val="09FA19CB"/>
    <w:rsid w:val="09FD900E"/>
    <w:rsid w:val="09FE64C6"/>
    <w:rsid w:val="09FF8A93"/>
    <w:rsid w:val="0A01A45A"/>
    <w:rsid w:val="0A04AB55"/>
    <w:rsid w:val="0A09850D"/>
    <w:rsid w:val="0A1089CA"/>
    <w:rsid w:val="0A10E710"/>
    <w:rsid w:val="0A110416"/>
    <w:rsid w:val="0A117A48"/>
    <w:rsid w:val="0A11CD1E"/>
    <w:rsid w:val="0A185EE4"/>
    <w:rsid w:val="0A19187E"/>
    <w:rsid w:val="0A1928A2"/>
    <w:rsid w:val="0A1C592B"/>
    <w:rsid w:val="0A1D34AB"/>
    <w:rsid w:val="0A1E8761"/>
    <w:rsid w:val="0A1FF70F"/>
    <w:rsid w:val="0A246CF4"/>
    <w:rsid w:val="0A26351D"/>
    <w:rsid w:val="0A27EE31"/>
    <w:rsid w:val="0A286024"/>
    <w:rsid w:val="0A29DE78"/>
    <w:rsid w:val="0A2B9BC1"/>
    <w:rsid w:val="0A2DA24F"/>
    <w:rsid w:val="0A2E8BE1"/>
    <w:rsid w:val="0A3649A1"/>
    <w:rsid w:val="0A382CCA"/>
    <w:rsid w:val="0A3DAD3A"/>
    <w:rsid w:val="0A407857"/>
    <w:rsid w:val="0A48EEF7"/>
    <w:rsid w:val="0A4AE292"/>
    <w:rsid w:val="0A577C34"/>
    <w:rsid w:val="0A58D183"/>
    <w:rsid w:val="0A5ABBD3"/>
    <w:rsid w:val="0A5B0E87"/>
    <w:rsid w:val="0A5B4388"/>
    <w:rsid w:val="0A5FC720"/>
    <w:rsid w:val="0A6C7C30"/>
    <w:rsid w:val="0A6D3F2B"/>
    <w:rsid w:val="0A6FE456"/>
    <w:rsid w:val="0A70C6DD"/>
    <w:rsid w:val="0A7240D5"/>
    <w:rsid w:val="0A75977C"/>
    <w:rsid w:val="0A7598BE"/>
    <w:rsid w:val="0A77E5F9"/>
    <w:rsid w:val="0A79A29B"/>
    <w:rsid w:val="0A824B83"/>
    <w:rsid w:val="0A82F1BD"/>
    <w:rsid w:val="0A83F27E"/>
    <w:rsid w:val="0A8B6456"/>
    <w:rsid w:val="0A8BC150"/>
    <w:rsid w:val="0A8D0203"/>
    <w:rsid w:val="0A90FE1A"/>
    <w:rsid w:val="0A92F9D6"/>
    <w:rsid w:val="0A94F0C2"/>
    <w:rsid w:val="0A98C954"/>
    <w:rsid w:val="0A9A25A9"/>
    <w:rsid w:val="0A9A79E3"/>
    <w:rsid w:val="0A9DB8A9"/>
    <w:rsid w:val="0A9E5499"/>
    <w:rsid w:val="0AA03A76"/>
    <w:rsid w:val="0AA0938D"/>
    <w:rsid w:val="0AA31EC3"/>
    <w:rsid w:val="0AA3F1B7"/>
    <w:rsid w:val="0AA6F2F2"/>
    <w:rsid w:val="0AA79C49"/>
    <w:rsid w:val="0AA88F40"/>
    <w:rsid w:val="0AA8AC01"/>
    <w:rsid w:val="0AAAD208"/>
    <w:rsid w:val="0AABA7F1"/>
    <w:rsid w:val="0AAD17A8"/>
    <w:rsid w:val="0AAD7BDF"/>
    <w:rsid w:val="0AAE1925"/>
    <w:rsid w:val="0AAF43A8"/>
    <w:rsid w:val="0AB209C3"/>
    <w:rsid w:val="0AB44AE5"/>
    <w:rsid w:val="0AB4BC2B"/>
    <w:rsid w:val="0AB588A7"/>
    <w:rsid w:val="0ABA4A0D"/>
    <w:rsid w:val="0ABD0AEE"/>
    <w:rsid w:val="0AC0A76E"/>
    <w:rsid w:val="0AC9949B"/>
    <w:rsid w:val="0ACDC2E7"/>
    <w:rsid w:val="0ACE8255"/>
    <w:rsid w:val="0ACF4DC4"/>
    <w:rsid w:val="0AD11170"/>
    <w:rsid w:val="0AD111D6"/>
    <w:rsid w:val="0AD1F8F2"/>
    <w:rsid w:val="0AD1FD55"/>
    <w:rsid w:val="0AD215AD"/>
    <w:rsid w:val="0AD2B722"/>
    <w:rsid w:val="0AD4C32D"/>
    <w:rsid w:val="0AD7CC24"/>
    <w:rsid w:val="0AD86B3B"/>
    <w:rsid w:val="0AD95EC8"/>
    <w:rsid w:val="0ADA4690"/>
    <w:rsid w:val="0ADC83ED"/>
    <w:rsid w:val="0ADD73B7"/>
    <w:rsid w:val="0ADF5749"/>
    <w:rsid w:val="0AE0338A"/>
    <w:rsid w:val="0AE22F99"/>
    <w:rsid w:val="0AE4E3D7"/>
    <w:rsid w:val="0AE8F095"/>
    <w:rsid w:val="0AEAD044"/>
    <w:rsid w:val="0AEE1A96"/>
    <w:rsid w:val="0AEE3CF3"/>
    <w:rsid w:val="0AF16E1E"/>
    <w:rsid w:val="0AF4A7EF"/>
    <w:rsid w:val="0AF6A7E2"/>
    <w:rsid w:val="0AFA1B9D"/>
    <w:rsid w:val="0AFBDF39"/>
    <w:rsid w:val="0B045E14"/>
    <w:rsid w:val="0B04C0E0"/>
    <w:rsid w:val="0B06F9D9"/>
    <w:rsid w:val="0B0B1423"/>
    <w:rsid w:val="0B0D7B6A"/>
    <w:rsid w:val="0B126AB9"/>
    <w:rsid w:val="0B129A56"/>
    <w:rsid w:val="0B1542DC"/>
    <w:rsid w:val="0B160355"/>
    <w:rsid w:val="0B163B03"/>
    <w:rsid w:val="0B242E87"/>
    <w:rsid w:val="0B26CC53"/>
    <w:rsid w:val="0B27E59E"/>
    <w:rsid w:val="0B280E93"/>
    <w:rsid w:val="0B28999E"/>
    <w:rsid w:val="0B28F095"/>
    <w:rsid w:val="0B29CF6B"/>
    <w:rsid w:val="0B2DB5B9"/>
    <w:rsid w:val="0B2FE359"/>
    <w:rsid w:val="0B375C95"/>
    <w:rsid w:val="0B378FFF"/>
    <w:rsid w:val="0B3994CC"/>
    <w:rsid w:val="0B411A10"/>
    <w:rsid w:val="0B48B8E4"/>
    <w:rsid w:val="0B48CC2F"/>
    <w:rsid w:val="0B49B034"/>
    <w:rsid w:val="0B4BF727"/>
    <w:rsid w:val="0B4BFACD"/>
    <w:rsid w:val="0B4E31CB"/>
    <w:rsid w:val="0B4E800B"/>
    <w:rsid w:val="0B542C06"/>
    <w:rsid w:val="0B555A7D"/>
    <w:rsid w:val="0B55C415"/>
    <w:rsid w:val="0B5835D9"/>
    <w:rsid w:val="0B5950E5"/>
    <w:rsid w:val="0B5AB7F9"/>
    <w:rsid w:val="0B6036C7"/>
    <w:rsid w:val="0B688F60"/>
    <w:rsid w:val="0B6DAE74"/>
    <w:rsid w:val="0B6F8FC2"/>
    <w:rsid w:val="0B71F0F2"/>
    <w:rsid w:val="0B732896"/>
    <w:rsid w:val="0B73B1D0"/>
    <w:rsid w:val="0B778941"/>
    <w:rsid w:val="0B7A96FA"/>
    <w:rsid w:val="0B7C42F7"/>
    <w:rsid w:val="0B7C6205"/>
    <w:rsid w:val="0B7FC352"/>
    <w:rsid w:val="0B80C1AE"/>
    <w:rsid w:val="0B83980A"/>
    <w:rsid w:val="0B84B311"/>
    <w:rsid w:val="0B8646DD"/>
    <w:rsid w:val="0B88AE81"/>
    <w:rsid w:val="0B8F0E3E"/>
    <w:rsid w:val="0B900AD5"/>
    <w:rsid w:val="0B90A9A7"/>
    <w:rsid w:val="0B928689"/>
    <w:rsid w:val="0B937AD1"/>
    <w:rsid w:val="0B96FD6A"/>
    <w:rsid w:val="0B977A66"/>
    <w:rsid w:val="0B9857F4"/>
    <w:rsid w:val="0B997281"/>
    <w:rsid w:val="0B9B8AA3"/>
    <w:rsid w:val="0B9D11BB"/>
    <w:rsid w:val="0BA0B54F"/>
    <w:rsid w:val="0BA1C773"/>
    <w:rsid w:val="0BA45172"/>
    <w:rsid w:val="0BA59750"/>
    <w:rsid w:val="0BA6B505"/>
    <w:rsid w:val="0BAA7B3C"/>
    <w:rsid w:val="0BABF87C"/>
    <w:rsid w:val="0BAE1704"/>
    <w:rsid w:val="0BAF8D35"/>
    <w:rsid w:val="0BAF8E91"/>
    <w:rsid w:val="0BB0345B"/>
    <w:rsid w:val="0BB13ED4"/>
    <w:rsid w:val="0BBAD54C"/>
    <w:rsid w:val="0BBD2C57"/>
    <w:rsid w:val="0BBF11D4"/>
    <w:rsid w:val="0BBF716E"/>
    <w:rsid w:val="0BC536D2"/>
    <w:rsid w:val="0BC8A9AE"/>
    <w:rsid w:val="0BC8B599"/>
    <w:rsid w:val="0BC8ED7F"/>
    <w:rsid w:val="0BD093D4"/>
    <w:rsid w:val="0BD50B6C"/>
    <w:rsid w:val="0BD6DC4B"/>
    <w:rsid w:val="0BD79D7F"/>
    <w:rsid w:val="0BD841CA"/>
    <w:rsid w:val="0BD85EFB"/>
    <w:rsid w:val="0BDC1269"/>
    <w:rsid w:val="0BDC7AD7"/>
    <w:rsid w:val="0BDEDFB3"/>
    <w:rsid w:val="0BDF254C"/>
    <w:rsid w:val="0BE0BB37"/>
    <w:rsid w:val="0BE0E52C"/>
    <w:rsid w:val="0BE460C7"/>
    <w:rsid w:val="0BE4B9D0"/>
    <w:rsid w:val="0BE8870C"/>
    <w:rsid w:val="0BEB4DD2"/>
    <w:rsid w:val="0BEDE82F"/>
    <w:rsid w:val="0BF4A5C5"/>
    <w:rsid w:val="0BF675A4"/>
    <w:rsid w:val="0BF7BC00"/>
    <w:rsid w:val="0BF97D77"/>
    <w:rsid w:val="0BFA45AE"/>
    <w:rsid w:val="0BFBFC28"/>
    <w:rsid w:val="0BFD8A8E"/>
    <w:rsid w:val="0BFE8859"/>
    <w:rsid w:val="0C06534E"/>
    <w:rsid w:val="0C06885F"/>
    <w:rsid w:val="0C07EA18"/>
    <w:rsid w:val="0C095777"/>
    <w:rsid w:val="0C0B7CAB"/>
    <w:rsid w:val="0C0C7BA2"/>
    <w:rsid w:val="0C0F3999"/>
    <w:rsid w:val="0C0F531E"/>
    <w:rsid w:val="0C109F48"/>
    <w:rsid w:val="0C11DF22"/>
    <w:rsid w:val="0C1572FC"/>
    <w:rsid w:val="0C1A2716"/>
    <w:rsid w:val="0C1D22EE"/>
    <w:rsid w:val="0C205800"/>
    <w:rsid w:val="0C21237E"/>
    <w:rsid w:val="0C21D735"/>
    <w:rsid w:val="0C232BC8"/>
    <w:rsid w:val="0C241B1E"/>
    <w:rsid w:val="0C2769FB"/>
    <w:rsid w:val="0C2E52FF"/>
    <w:rsid w:val="0C2E7566"/>
    <w:rsid w:val="0C315E21"/>
    <w:rsid w:val="0C318086"/>
    <w:rsid w:val="0C347F13"/>
    <w:rsid w:val="0C37D0A6"/>
    <w:rsid w:val="0C387D39"/>
    <w:rsid w:val="0C38AB82"/>
    <w:rsid w:val="0C391FC1"/>
    <w:rsid w:val="0C3B2F1F"/>
    <w:rsid w:val="0C3F272E"/>
    <w:rsid w:val="0C410526"/>
    <w:rsid w:val="0C4135E5"/>
    <w:rsid w:val="0C439E5C"/>
    <w:rsid w:val="0C4671A7"/>
    <w:rsid w:val="0C4AF775"/>
    <w:rsid w:val="0C4C05B2"/>
    <w:rsid w:val="0C4EDE93"/>
    <w:rsid w:val="0C4FFC7B"/>
    <w:rsid w:val="0C52997B"/>
    <w:rsid w:val="0C52AFA8"/>
    <w:rsid w:val="0C55EF7E"/>
    <w:rsid w:val="0C576872"/>
    <w:rsid w:val="0C59C5C0"/>
    <w:rsid w:val="0C5AFD89"/>
    <w:rsid w:val="0C5F4388"/>
    <w:rsid w:val="0C608732"/>
    <w:rsid w:val="0C65C27F"/>
    <w:rsid w:val="0C679717"/>
    <w:rsid w:val="0C688C57"/>
    <w:rsid w:val="0C699783"/>
    <w:rsid w:val="0C6CE8BA"/>
    <w:rsid w:val="0C74995A"/>
    <w:rsid w:val="0C77EDA6"/>
    <w:rsid w:val="0C796EEB"/>
    <w:rsid w:val="0C7D8DC2"/>
    <w:rsid w:val="0C86CC7F"/>
    <w:rsid w:val="0C87EF04"/>
    <w:rsid w:val="0C8B468B"/>
    <w:rsid w:val="0C8CC5CC"/>
    <w:rsid w:val="0C8ED8ED"/>
    <w:rsid w:val="0C8FC448"/>
    <w:rsid w:val="0C90279E"/>
    <w:rsid w:val="0C90AC99"/>
    <w:rsid w:val="0C91EF41"/>
    <w:rsid w:val="0C960901"/>
    <w:rsid w:val="0C99B48B"/>
    <w:rsid w:val="0C9B1E00"/>
    <w:rsid w:val="0C9C3C66"/>
    <w:rsid w:val="0C9F596A"/>
    <w:rsid w:val="0CA24C63"/>
    <w:rsid w:val="0CA30360"/>
    <w:rsid w:val="0CA33623"/>
    <w:rsid w:val="0CA522C8"/>
    <w:rsid w:val="0CA559CA"/>
    <w:rsid w:val="0CA6CCD2"/>
    <w:rsid w:val="0CA6FB2B"/>
    <w:rsid w:val="0CA7C41C"/>
    <w:rsid w:val="0CA83A61"/>
    <w:rsid w:val="0CA9940B"/>
    <w:rsid w:val="0CAD7A79"/>
    <w:rsid w:val="0CADC1DB"/>
    <w:rsid w:val="0CAEC694"/>
    <w:rsid w:val="0CAF4609"/>
    <w:rsid w:val="0CB88F6E"/>
    <w:rsid w:val="0CBB3537"/>
    <w:rsid w:val="0CBD711D"/>
    <w:rsid w:val="0CC284B1"/>
    <w:rsid w:val="0CC465AF"/>
    <w:rsid w:val="0CCBB186"/>
    <w:rsid w:val="0CCF0578"/>
    <w:rsid w:val="0CD09FC0"/>
    <w:rsid w:val="0CD34E3B"/>
    <w:rsid w:val="0CD5E91B"/>
    <w:rsid w:val="0CD6E5A7"/>
    <w:rsid w:val="0CD9376E"/>
    <w:rsid w:val="0CDD1439"/>
    <w:rsid w:val="0CE39DF3"/>
    <w:rsid w:val="0CE498C0"/>
    <w:rsid w:val="0CE4E3AE"/>
    <w:rsid w:val="0CE95B9F"/>
    <w:rsid w:val="0CEF456C"/>
    <w:rsid w:val="0CF645AF"/>
    <w:rsid w:val="0CF9F535"/>
    <w:rsid w:val="0CFB4F86"/>
    <w:rsid w:val="0CFB6E14"/>
    <w:rsid w:val="0CFDC70A"/>
    <w:rsid w:val="0D032C2B"/>
    <w:rsid w:val="0D097E62"/>
    <w:rsid w:val="0D09C2BF"/>
    <w:rsid w:val="0D09D20A"/>
    <w:rsid w:val="0D0C7C64"/>
    <w:rsid w:val="0D0F7A82"/>
    <w:rsid w:val="0D100E6D"/>
    <w:rsid w:val="0D14379F"/>
    <w:rsid w:val="0D165C1F"/>
    <w:rsid w:val="0D1A24A8"/>
    <w:rsid w:val="0D1CDD2B"/>
    <w:rsid w:val="0D1D5407"/>
    <w:rsid w:val="0D1F555F"/>
    <w:rsid w:val="0D201964"/>
    <w:rsid w:val="0D2100BF"/>
    <w:rsid w:val="0D2407D6"/>
    <w:rsid w:val="0D2B09A3"/>
    <w:rsid w:val="0D2B25CA"/>
    <w:rsid w:val="0D2BEADC"/>
    <w:rsid w:val="0D2D9664"/>
    <w:rsid w:val="0D2DA81D"/>
    <w:rsid w:val="0D30A1A5"/>
    <w:rsid w:val="0D30E79B"/>
    <w:rsid w:val="0D342144"/>
    <w:rsid w:val="0D34A439"/>
    <w:rsid w:val="0D360588"/>
    <w:rsid w:val="0D36DBE8"/>
    <w:rsid w:val="0D370481"/>
    <w:rsid w:val="0D3A1377"/>
    <w:rsid w:val="0D3B1F39"/>
    <w:rsid w:val="0D3F97B4"/>
    <w:rsid w:val="0D3FB388"/>
    <w:rsid w:val="0D402764"/>
    <w:rsid w:val="0D405DB5"/>
    <w:rsid w:val="0D41233F"/>
    <w:rsid w:val="0D43390E"/>
    <w:rsid w:val="0D44354D"/>
    <w:rsid w:val="0D457581"/>
    <w:rsid w:val="0D484947"/>
    <w:rsid w:val="0D496DE0"/>
    <w:rsid w:val="0D4A214A"/>
    <w:rsid w:val="0D4A7711"/>
    <w:rsid w:val="0D4B6045"/>
    <w:rsid w:val="0D4C2539"/>
    <w:rsid w:val="0D4C59C3"/>
    <w:rsid w:val="0D565273"/>
    <w:rsid w:val="0D56C92A"/>
    <w:rsid w:val="0D596F75"/>
    <w:rsid w:val="0D5A2191"/>
    <w:rsid w:val="0D5BC334"/>
    <w:rsid w:val="0D5BE9B9"/>
    <w:rsid w:val="0D5F4FC9"/>
    <w:rsid w:val="0D5F5744"/>
    <w:rsid w:val="0D5F8EF3"/>
    <w:rsid w:val="0D60E73C"/>
    <w:rsid w:val="0D622612"/>
    <w:rsid w:val="0D644ECD"/>
    <w:rsid w:val="0D66CCD5"/>
    <w:rsid w:val="0D6AEB1F"/>
    <w:rsid w:val="0D6B0C01"/>
    <w:rsid w:val="0D6B8ED1"/>
    <w:rsid w:val="0D6C3226"/>
    <w:rsid w:val="0D6D8C2C"/>
    <w:rsid w:val="0D708C4D"/>
    <w:rsid w:val="0D754978"/>
    <w:rsid w:val="0D78AFDF"/>
    <w:rsid w:val="0D7C49A0"/>
    <w:rsid w:val="0D7CBCB3"/>
    <w:rsid w:val="0D7CD73C"/>
    <w:rsid w:val="0D7DEF36"/>
    <w:rsid w:val="0D7F7A89"/>
    <w:rsid w:val="0D82384E"/>
    <w:rsid w:val="0D8718C4"/>
    <w:rsid w:val="0D880347"/>
    <w:rsid w:val="0D8E97B7"/>
    <w:rsid w:val="0D93F52A"/>
    <w:rsid w:val="0D9409C1"/>
    <w:rsid w:val="0D94F546"/>
    <w:rsid w:val="0D9673F2"/>
    <w:rsid w:val="0D99AFC8"/>
    <w:rsid w:val="0D9CCD1C"/>
    <w:rsid w:val="0DA60E39"/>
    <w:rsid w:val="0DA6B550"/>
    <w:rsid w:val="0DA9BAF0"/>
    <w:rsid w:val="0DAC6D29"/>
    <w:rsid w:val="0DACD1E0"/>
    <w:rsid w:val="0DAD5417"/>
    <w:rsid w:val="0DADFEE8"/>
    <w:rsid w:val="0DAE4476"/>
    <w:rsid w:val="0DB06187"/>
    <w:rsid w:val="0DB4555A"/>
    <w:rsid w:val="0DB5A587"/>
    <w:rsid w:val="0DB7342A"/>
    <w:rsid w:val="0DB97FB4"/>
    <w:rsid w:val="0DBC32C6"/>
    <w:rsid w:val="0DBE4B0A"/>
    <w:rsid w:val="0DBE5483"/>
    <w:rsid w:val="0DC1E43E"/>
    <w:rsid w:val="0DC3EA6E"/>
    <w:rsid w:val="0DC4F17E"/>
    <w:rsid w:val="0DD17CEE"/>
    <w:rsid w:val="0DD25428"/>
    <w:rsid w:val="0DD73D44"/>
    <w:rsid w:val="0DD8095C"/>
    <w:rsid w:val="0DD962CC"/>
    <w:rsid w:val="0DDA3C8D"/>
    <w:rsid w:val="0DDCD607"/>
    <w:rsid w:val="0DDD1420"/>
    <w:rsid w:val="0DE2E674"/>
    <w:rsid w:val="0DE6BC5F"/>
    <w:rsid w:val="0DE6E6B5"/>
    <w:rsid w:val="0DE71DFB"/>
    <w:rsid w:val="0DE84A6F"/>
    <w:rsid w:val="0DE8EEBB"/>
    <w:rsid w:val="0DEA844F"/>
    <w:rsid w:val="0DEBECA3"/>
    <w:rsid w:val="0DEEEA34"/>
    <w:rsid w:val="0DEFCA6A"/>
    <w:rsid w:val="0DF53AD9"/>
    <w:rsid w:val="0DF96C5D"/>
    <w:rsid w:val="0DFACA20"/>
    <w:rsid w:val="0DFB24AE"/>
    <w:rsid w:val="0E02D1AF"/>
    <w:rsid w:val="0E08968A"/>
    <w:rsid w:val="0E092B86"/>
    <w:rsid w:val="0E0CF63E"/>
    <w:rsid w:val="0E0D1667"/>
    <w:rsid w:val="0E0EE9DC"/>
    <w:rsid w:val="0E0F44F9"/>
    <w:rsid w:val="0E0FEE82"/>
    <w:rsid w:val="0E120B96"/>
    <w:rsid w:val="0E123A5F"/>
    <w:rsid w:val="0E125818"/>
    <w:rsid w:val="0E15546A"/>
    <w:rsid w:val="0E17D821"/>
    <w:rsid w:val="0E1A38BF"/>
    <w:rsid w:val="0E1D857E"/>
    <w:rsid w:val="0E1E9C0A"/>
    <w:rsid w:val="0E1ECD06"/>
    <w:rsid w:val="0E1F3057"/>
    <w:rsid w:val="0E22D1CF"/>
    <w:rsid w:val="0E27E6C7"/>
    <w:rsid w:val="0E283671"/>
    <w:rsid w:val="0E29C5C4"/>
    <w:rsid w:val="0E2A22CF"/>
    <w:rsid w:val="0E2C8CC8"/>
    <w:rsid w:val="0E37872C"/>
    <w:rsid w:val="0E3A024C"/>
    <w:rsid w:val="0E3A8FF0"/>
    <w:rsid w:val="0E3AC83F"/>
    <w:rsid w:val="0E3C39E6"/>
    <w:rsid w:val="0E3CCC34"/>
    <w:rsid w:val="0E423511"/>
    <w:rsid w:val="0E4837AF"/>
    <w:rsid w:val="0E491394"/>
    <w:rsid w:val="0E4B7979"/>
    <w:rsid w:val="0E4D2E08"/>
    <w:rsid w:val="0E4F42B9"/>
    <w:rsid w:val="0E4F4AB8"/>
    <w:rsid w:val="0E52F8C7"/>
    <w:rsid w:val="0E53C056"/>
    <w:rsid w:val="0E541122"/>
    <w:rsid w:val="0E57FD10"/>
    <w:rsid w:val="0E5877CD"/>
    <w:rsid w:val="0E5A6FC4"/>
    <w:rsid w:val="0E5CADE5"/>
    <w:rsid w:val="0E5D74AC"/>
    <w:rsid w:val="0E5EBE49"/>
    <w:rsid w:val="0E64B315"/>
    <w:rsid w:val="0E651906"/>
    <w:rsid w:val="0E669E35"/>
    <w:rsid w:val="0E6A7E2F"/>
    <w:rsid w:val="0E6B3484"/>
    <w:rsid w:val="0E6E6B7D"/>
    <w:rsid w:val="0E740F4E"/>
    <w:rsid w:val="0E77F015"/>
    <w:rsid w:val="0E78CE7B"/>
    <w:rsid w:val="0E79E52A"/>
    <w:rsid w:val="0E7C2ADD"/>
    <w:rsid w:val="0E7CA36E"/>
    <w:rsid w:val="0E85F886"/>
    <w:rsid w:val="0E88A1F9"/>
    <w:rsid w:val="0E88FA95"/>
    <w:rsid w:val="0E89D472"/>
    <w:rsid w:val="0E8FD1AF"/>
    <w:rsid w:val="0E9110D7"/>
    <w:rsid w:val="0E9179F8"/>
    <w:rsid w:val="0E920981"/>
    <w:rsid w:val="0E9240FC"/>
    <w:rsid w:val="0E935FFD"/>
    <w:rsid w:val="0E964AA2"/>
    <w:rsid w:val="0E97F720"/>
    <w:rsid w:val="0E9A0BB5"/>
    <w:rsid w:val="0E9ACA09"/>
    <w:rsid w:val="0E9C5B95"/>
    <w:rsid w:val="0EA03BC6"/>
    <w:rsid w:val="0EA046F3"/>
    <w:rsid w:val="0EA47AF3"/>
    <w:rsid w:val="0EA60899"/>
    <w:rsid w:val="0EA72A9F"/>
    <w:rsid w:val="0EA75CBF"/>
    <w:rsid w:val="0EA86AC9"/>
    <w:rsid w:val="0EA89116"/>
    <w:rsid w:val="0EA969D6"/>
    <w:rsid w:val="0EAC718E"/>
    <w:rsid w:val="0EAEAF31"/>
    <w:rsid w:val="0EAF4759"/>
    <w:rsid w:val="0EB0BC8B"/>
    <w:rsid w:val="0EB55F38"/>
    <w:rsid w:val="0EB7D0A1"/>
    <w:rsid w:val="0EB9879C"/>
    <w:rsid w:val="0EBFCE12"/>
    <w:rsid w:val="0EC037B5"/>
    <w:rsid w:val="0EC7F3E7"/>
    <w:rsid w:val="0EC93C71"/>
    <w:rsid w:val="0ECA18EF"/>
    <w:rsid w:val="0ECA9194"/>
    <w:rsid w:val="0ECF03CE"/>
    <w:rsid w:val="0ECFDE56"/>
    <w:rsid w:val="0ED07241"/>
    <w:rsid w:val="0ED441D9"/>
    <w:rsid w:val="0ED753F4"/>
    <w:rsid w:val="0ED7FE32"/>
    <w:rsid w:val="0EDC3C34"/>
    <w:rsid w:val="0EDCEB66"/>
    <w:rsid w:val="0EE2C2C8"/>
    <w:rsid w:val="0EE7BE63"/>
    <w:rsid w:val="0EE805F9"/>
    <w:rsid w:val="0EF2BE22"/>
    <w:rsid w:val="0EF5A781"/>
    <w:rsid w:val="0EF8DA63"/>
    <w:rsid w:val="0EFC5CC4"/>
    <w:rsid w:val="0EFC8204"/>
    <w:rsid w:val="0EFCB79D"/>
    <w:rsid w:val="0F00FA5A"/>
    <w:rsid w:val="0F020F46"/>
    <w:rsid w:val="0F035755"/>
    <w:rsid w:val="0F075824"/>
    <w:rsid w:val="0F0971DD"/>
    <w:rsid w:val="0F0E9F3F"/>
    <w:rsid w:val="0F0F36AA"/>
    <w:rsid w:val="0F12CD0C"/>
    <w:rsid w:val="0F1ABBB3"/>
    <w:rsid w:val="0F1FA7C3"/>
    <w:rsid w:val="0F1FF7AA"/>
    <w:rsid w:val="0F203362"/>
    <w:rsid w:val="0F20E168"/>
    <w:rsid w:val="0F25B07A"/>
    <w:rsid w:val="0F292302"/>
    <w:rsid w:val="0F2C2348"/>
    <w:rsid w:val="0F2E0CD7"/>
    <w:rsid w:val="0F2E94AA"/>
    <w:rsid w:val="0F334541"/>
    <w:rsid w:val="0F336D3B"/>
    <w:rsid w:val="0F38DC93"/>
    <w:rsid w:val="0F3C690B"/>
    <w:rsid w:val="0F3FA62C"/>
    <w:rsid w:val="0F400BC4"/>
    <w:rsid w:val="0F42324D"/>
    <w:rsid w:val="0F45F9ED"/>
    <w:rsid w:val="0F470778"/>
    <w:rsid w:val="0F47197C"/>
    <w:rsid w:val="0F4C0E45"/>
    <w:rsid w:val="0F4E1433"/>
    <w:rsid w:val="0F4F6E91"/>
    <w:rsid w:val="0F504236"/>
    <w:rsid w:val="0F50E7F9"/>
    <w:rsid w:val="0F5447FA"/>
    <w:rsid w:val="0F57CF99"/>
    <w:rsid w:val="0F59E238"/>
    <w:rsid w:val="0F5A32E8"/>
    <w:rsid w:val="0F5A42AE"/>
    <w:rsid w:val="0F68928A"/>
    <w:rsid w:val="0F68989F"/>
    <w:rsid w:val="0F6FF4A1"/>
    <w:rsid w:val="0F6FFB47"/>
    <w:rsid w:val="0F71458F"/>
    <w:rsid w:val="0F759BE0"/>
    <w:rsid w:val="0F769DDD"/>
    <w:rsid w:val="0F779FC6"/>
    <w:rsid w:val="0F78C61C"/>
    <w:rsid w:val="0F7AEC04"/>
    <w:rsid w:val="0F7BF244"/>
    <w:rsid w:val="0F815CD3"/>
    <w:rsid w:val="0F82E3AB"/>
    <w:rsid w:val="0F84A811"/>
    <w:rsid w:val="0F85D905"/>
    <w:rsid w:val="0F88AC23"/>
    <w:rsid w:val="0F8FB4DF"/>
    <w:rsid w:val="0F9515BB"/>
    <w:rsid w:val="0F954D6C"/>
    <w:rsid w:val="0F95C421"/>
    <w:rsid w:val="0F9C59DB"/>
    <w:rsid w:val="0F9D545E"/>
    <w:rsid w:val="0F9FBB71"/>
    <w:rsid w:val="0FA2B33E"/>
    <w:rsid w:val="0FA33685"/>
    <w:rsid w:val="0FA37501"/>
    <w:rsid w:val="0FAAB2E3"/>
    <w:rsid w:val="0FABFB49"/>
    <w:rsid w:val="0FAFE940"/>
    <w:rsid w:val="0FBA7A5A"/>
    <w:rsid w:val="0FBB224B"/>
    <w:rsid w:val="0FBC7755"/>
    <w:rsid w:val="0FBF12B3"/>
    <w:rsid w:val="0FC2E80C"/>
    <w:rsid w:val="0FC537CA"/>
    <w:rsid w:val="0FC92AD3"/>
    <w:rsid w:val="0FC973C0"/>
    <w:rsid w:val="0FCBDD33"/>
    <w:rsid w:val="0FCD0D23"/>
    <w:rsid w:val="0FCD4F2F"/>
    <w:rsid w:val="0FCDAD5B"/>
    <w:rsid w:val="0FCE3C22"/>
    <w:rsid w:val="0FCFC03D"/>
    <w:rsid w:val="0FD05C3F"/>
    <w:rsid w:val="0FD324C1"/>
    <w:rsid w:val="0FD36E6C"/>
    <w:rsid w:val="0FD425D9"/>
    <w:rsid w:val="0FDF7367"/>
    <w:rsid w:val="0FDFAA87"/>
    <w:rsid w:val="0FE0F51F"/>
    <w:rsid w:val="0FE16A0A"/>
    <w:rsid w:val="0FE1D504"/>
    <w:rsid w:val="0FE1DC0E"/>
    <w:rsid w:val="0FE255CD"/>
    <w:rsid w:val="0FE2E645"/>
    <w:rsid w:val="0FE75B1C"/>
    <w:rsid w:val="0FE90D1A"/>
    <w:rsid w:val="0FE9F3A7"/>
    <w:rsid w:val="0FEB2F66"/>
    <w:rsid w:val="0FF0BCDE"/>
    <w:rsid w:val="0FF0D19D"/>
    <w:rsid w:val="0FF44680"/>
    <w:rsid w:val="0FF5500A"/>
    <w:rsid w:val="0FF62855"/>
    <w:rsid w:val="0FF84E79"/>
    <w:rsid w:val="0FFE7B91"/>
    <w:rsid w:val="10019C33"/>
    <w:rsid w:val="100A8426"/>
    <w:rsid w:val="100CBC58"/>
    <w:rsid w:val="100D7DBD"/>
    <w:rsid w:val="1010E083"/>
    <w:rsid w:val="10116A39"/>
    <w:rsid w:val="1013C076"/>
    <w:rsid w:val="10157FFB"/>
    <w:rsid w:val="1019736D"/>
    <w:rsid w:val="101D43E9"/>
    <w:rsid w:val="101F2739"/>
    <w:rsid w:val="10221659"/>
    <w:rsid w:val="102263D6"/>
    <w:rsid w:val="10238AA9"/>
    <w:rsid w:val="1023F4BB"/>
    <w:rsid w:val="1026521D"/>
    <w:rsid w:val="102654DE"/>
    <w:rsid w:val="1026D556"/>
    <w:rsid w:val="102788A4"/>
    <w:rsid w:val="102F7A08"/>
    <w:rsid w:val="10303010"/>
    <w:rsid w:val="10304BC0"/>
    <w:rsid w:val="10333AFD"/>
    <w:rsid w:val="10349722"/>
    <w:rsid w:val="1034B134"/>
    <w:rsid w:val="1036F0CE"/>
    <w:rsid w:val="103A9E0D"/>
    <w:rsid w:val="103B4D1E"/>
    <w:rsid w:val="103B655F"/>
    <w:rsid w:val="103C216E"/>
    <w:rsid w:val="103D72A0"/>
    <w:rsid w:val="103F38D3"/>
    <w:rsid w:val="1040648A"/>
    <w:rsid w:val="104170FE"/>
    <w:rsid w:val="1044626F"/>
    <w:rsid w:val="10459709"/>
    <w:rsid w:val="1046F8A3"/>
    <w:rsid w:val="10478A3C"/>
    <w:rsid w:val="10482C36"/>
    <w:rsid w:val="10490441"/>
    <w:rsid w:val="104920B0"/>
    <w:rsid w:val="1049591D"/>
    <w:rsid w:val="104AA582"/>
    <w:rsid w:val="10510DF8"/>
    <w:rsid w:val="1056658B"/>
    <w:rsid w:val="1058606A"/>
    <w:rsid w:val="105A54D7"/>
    <w:rsid w:val="105B56B8"/>
    <w:rsid w:val="105E4C2C"/>
    <w:rsid w:val="10629EA8"/>
    <w:rsid w:val="1067AD87"/>
    <w:rsid w:val="1069025B"/>
    <w:rsid w:val="106B0A0B"/>
    <w:rsid w:val="106DEE9B"/>
    <w:rsid w:val="106ECAE4"/>
    <w:rsid w:val="107018D7"/>
    <w:rsid w:val="107221F1"/>
    <w:rsid w:val="10730A50"/>
    <w:rsid w:val="10735429"/>
    <w:rsid w:val="10742789"/>
    <w:rsid w:val="1077E1BB"/>
    <w:rsid w:val="107CB36B"/>
    <w:rsid w:val="107F0257"/>
    <w:rsid w:val="107FB378"/>
    <w:rsid w:val="108382A6"/>
    <w:rsid w:val="10846885"/>
    <w:rsid w:val="1084F28A"/>
    <w:rsid w:val="10854EAB"/>
    <w:rsid w:val="10890857"/>
    <w:rsid w:val="108C2075"/>
    <w:rsid w:val="108C359C"/>
    <w:rsid w:val="108DBAA7"/>
    <w:rsid w:val="108FE42B"/>
    <w:rsid w:val="109001E0"/>
    <w:rsid w:val="1092C097"/>
    <w:rsid w:val="109486D2"/>
    <w:rsid w:val="10959D90"/>
    <w:rsid w:val="109B8C21"/>
    <w:rsid w:val="109DCF8E"/>
    <w:rsid w:val="10A1E493"/>
    <w:rsid w:val="10A63541"/>
    <w:rsid w:val="10A71EE3"/>
    <w:rsid w:val="10B21A87"/>
    <w:rsid w:val="10B3EE7F"/>
    <w:rsid w:val="10B4EF98"/>
    <w:rsid w:val="10BCCBD5"/>
    <w:rsid w:val="10BDCD6C"/>
    <w:rsid w:val="10BFEAF3"/>
    <w:rsid w:val="10C1C640"/>
    <w:rsid w:val="10C5DA0B"/>
    <w:rsid w:val="10C6B27F"/>
    <w:rsid w:val="10C87242"/>
    <w:rsid w:val="10CBEE67"/>
    <w:rsid w:val="10CE797F"/>
    <w:rsid w:val="10CF1852"/>
    <w:rsid w:val="10CF9900"/>
    <w:rsid w:val="10D3DD3B"/>
    <w:rsid w:val="10D46C40"/>
    <w:rsid w:val="10D56198"/>
    <w:rsid w:val="10D6888C"/>
    <w:rsid w:val="10D8F1CD"/>
    <w:rsid w:val="10DC7363"/>
    <w:rsid w:val="10E1B264"/>
    <w:rsid w:val="10E36D65"/>
    <w:rsid w:val="10E38BC7"/>
    <w:rsid w:val="10E5D49C"/>
    <w:rsid w:val="10E781D4"/>
    <w:rsid w:val="10EBD75C"/>
    <w:rsid w:val="10EF9D30"/>
    <w:rsid w:val="10F30305"/>
    <w:rsid w:val="10F431E9"/>
    <w:rsid w:val="10F47B14"/>
    <w:rsid w:val="10F550BA"/>
    <w:rsid w:val="10FA1196"/>
    <w:rsid w:val="10FB10B9"/>
    <w:rsid w:val="10FF4E98"/>
    <w:rsid w:val="10FFD1BD"/>
    <w:rsid w:val="1101434D"/>
    <w:rsid w:val="1101909B"/>
    <w:rsid w:val="1101F320"/>
    <w:rsid w:val="11040A6D"/>
    <w:rsid w:val="11042C6C"/>
    <w:rsid w:val="11044DD7"/>
    <w:rsid w:val="11051912"/>
    <w:rsid w:val="1107AA38"/>
    <w:rsid w:val="110A5506"/>
    <w:rsid w:val="1110DF61"/>
    <w:rsid w:val="1111AB8A"/>
    <w:rsid w:val="1114AA39"/>
    <w:rsid w:val="11152E0F"/>
    <w:rsid w:val="1116171D"/>
    <w:rsid w:val="11176A9B"/>
    <w:rsid w:val="1119CB64"/>
    <w:rsid w:val="111CE23B"/>
    <w:rsid w:val="1124AEE0"/>
    <w:rsid w:val="1126E995"/>
    <w:rsid w:val="11291842"/>
    <w:rsid w:val="1129656C"/>
    <w:rsid w:val="112CDCA6"/>
    <w:rsid w:val="112E0238"/>
    <w:rsid w:val="1133594D"/>
    <w:rsid w:val="11356649"/>
    <w:rsid w:val="1137EE8B"/>
    <w:rsid w:val="113A67B7"/>
    <w:rsid w:val="113B5CA2"/>
    <w:rsid w:val="113CD8CD"/>
    <w:rsid w:val="113D759B"/>
    <w:rsid w:val="113F7994"/>
    <w:rsid w:val="1143F129"/>
    <w:rsid w:val="114482BB"/>
    <w:rsid w:val="114B458B"/>
    <w:rsid w:val="114D4C7B"/>
    <w:rsid w:val="114E548D"/>
    <w:rsid w:val="1151FE79"/>
    <w:rsid w:val="1154782B"/>
    <w:rsid w:val="115479DD"/>
    <w:rsid w:val="115651D2"/>
    <w:rsid w:val="11568661"/>
    <w:rsid w:val="1157FB88"/>
    <w:rsid w:val="115A55C7"/>
    <w:rsid w:val="115BA02D"/>
    <w:rsid w:val="116561A9"/>
    <w:rsid w:val="11680D46"/>
    <w:rsid w:val="11695060"/>
    <w:rsid w:val="11697906"/>
    <w:rsid w:val="116E8F23"/>
    <w:rsid w:val="116EF551"/>
    <w:rsid w:val="1172B4FC"/>
    <w:rsid w:val="1175E004"/>
    <w:rsid w:val="1176D9CD"/>
    <w:rsid w:val="1176DDF9"/>
    <w:rsid w:val="117982A7"/>
    <w:rsid w:val="117A8260"/>
    <w:rsid w:val="11817F2D"/>
    <w:rsid w:val="1183F871"/>
    <w:rsid w:val="11869A6F"/>
    <w:rsid w:val="1188544E"/>
    <w:rsid w:val="118855F4"/>
    <w:rsid w:val="11888D54"/>
    <w:rsid w:val="11891D8B"/>
    <w:rsid w:val="118CDA33"/>
    <w:rsid w:val="118CE2EF"/>
    <w:rsid w:val="1194FE5F"/>
    <w:rsid w:val="11952EAC"/>
    <w:rsid w:val="1197F7E3"/>
    <w:rsid w:val="11981DF5"/>
    <w:rsid w:val="119B8528"/>
    <w:rsid w:val="119E65FD"/>
    <w:rsid w:val="119ECDA8"/>
    <w:rsid w:val="11A25E40"/>
    <w:rsid w:val="11A2CEE6"/>
    <w:rsid w:val="11A53A40"/>
    <w:rsid w:val="11A7675A"/>
    <w:rsid w:val="11A9E1C6"/>
    <w:rsid w:val="11AAFAED"/>
    <w:rsid w:val="11AD5050"/>
    <w:rsid w:val="11AE5F4B"/>
    <w:rsid w:val="11AF90D7"/>
    <w:rsid w:val="11B0F83B"/>
    <w:rsid w:val="11B18279"/>
    <w:rsid w:val="11B276BC"/>
    <w:rsid w:val="11B4CB49"/>
    <w:rsid w:val="11B508C6"/>
    <w:rsid w:val="11BAFF26"/>
    <w:rsid w:val="11BDB97C"/>
    <w:rsid w:val="11BF72F8"/>
    <w:rsid w:val="11C0810E"/>
    <w:rsid w:val="11C2ACB1"/>
    <w:rsid w:val="11C39B47"/>
    <w:rsid w:val="11C435CC"/>
    <w:rsid w:val="11C6061D"/>
    <w:rsid w:val="11C8BF99"/>
    <w:rsid w:val="11CBE238"/>
    <w:rsid w:val="11CCECDE"/>
    <w:rsid w:val="11CE4650"/>
    <w:rsid w:val="11CFA444"/>
    <w:rsid w:val="11D22B57"/>
    <w:rsid w:val="11D25C1E"/>
    <w:rsid w:val="11D7FE1A"/>
    <w:rsid w:val="11D8177B"/>
    <w:rsid w:val="11D8F366"/>
    <w:rsid w:val="11DAB2B6"/>
    <w:rsid w:val="11DF38F9"/>
    <w:rsid w:val="11E28312"/>
    <w:rsid w:val="11E41250"/>
    <w:rsid w:val="11E56E81"/>
    <w:rsid w:val="11E8CF73"/>
    <w:rsid w:val="11F01F73"/>
    <w:rsid w:val="11F1B9C1"/>
    <w:rsid w:val="11F33316"/>
    <w:rsid w:val="11F97E60"/>
    <w:rsid w:val="11F9BB02"/>
    <w:rsid w:val="11FB8BF5"/>
    <w:rsid w:val="11FFA22F"/>
    <w:rsid w:val="12013E7C"/>
    <w:rsid w:val="12016366"/>
    <w:rsid w:val="1204F113"/>
    <w:rsid w:val="12083851"/>
    <w:rsid w:val="1208BC70"/>
    <w:rsid w:val="120AF316"/>
    <w:rsid w:val="120D71EF"/>
    <w:rsid w:val="120DC60A"/>
    <w:rsid w:val="12141DDE"/>
    <w:rsid w:val="121B15E3"/>
    <w:rsid w:val="121B867B"/>
    <w:rsid w:val="12218BE8"/>
    <w:rsid w:val="12227D59"/>
    <w:rsid w:val="12238FC9"/>
    <w:rsid w:val="12252774"/>
    <w:rsid w:val="1229ABA6"/>
    <w:rsid w:val="122C0880"/>
    <w:rsid w:val="12303C6F"/>
    <w:rsid w:val="1233CC4E"/>
    <w:rsid w:val="12348276"/>
    <w:rsid w:val="123B53F6"/>
    <w:rsid w:val="123CB202"/>
    <w:rsid w:val="123F5E72"/>
    <w:rsid w:val="123FC9AA"/>
    <w:rsid w:val="1241756E"/>
    <w:rsid w:val="12463792"/>
    <w:rsid w:val="124A2DB3"/>
    <w:rsid w:val="124A6EC2"/>
    <w:rsid w:val="124B2628"/>
    <w:rsid w:val="124E1006"/>
    <w:rsid w:val="124EA764"/>
    <w:rsid w:val="124FB6E9"/>
    <w:rsid w:val="1250EA17"/>
    <w:rsid w:val="1251B89F"/>
    <w:rsid w:val="12540500"/>
    <w:rsid w:val="1256F898"/>
    <w:rsid w:val="125866CD"/>
    <w:rsid w:val="125B5B4D"/>
    <w:rsid w:val="125EF172"/>
    <w:rsid w:val="12650AFC"/>
    <w:rsid w:val="1266C565"/>
    <w:rsid w:val="126A02E5"/>
    <w:rsid w:val="126C7734"/>
    <w:rsid w:val="126F3384"/>
    <w:rsid w:val="126F9F90"/>
    <w:rsid w:val="1271E91D"/>
    <w:rsid w:val="12727F70"/>
    <w:rsid w:val="12762E9E"/>
    <w:rsid w:val="12765981"/>
    <w:rsid w:val="1277222F"/>
    <w:rsid w:val="127728D0"/>
    <w:rsid w:val="12776855"/>
    <w:rsid w:val="127DFD9F"/>
    <w:rsid w:val="1280FE19"/>
    <w:rsid w:val="12818407"/>
    <w:rsid w:val="1282A577"/>
    <w:rsid w:val="12837196"/>
    <w:rsid w:val="12855C7D"/>
    <w:rsid w:val="1287A5E5"/>
    <w:rsid w:val="128AB6BE"/>
    <w:rsid w:val="128B6FEB"/>
    <w:rsid w:val="128F8946"/>
    <w:rsid w:val="1291B5CB"/>
    <w:rsid w:val="1295E024"/>
    <w:rsid w:val="129776F4"/>
    <w:rsid w:val="129DD02A"/>
    <w:rsid w:val="129F7C5D"/>
    <w:rsid w:val="129F8802"/>
    <w:rsid w:val="12A353B8"/>
    <w:rsid w:val="12A355DD"/>
    <w:rsid w:val="12A4C3E7"/>
    <w:rsid w:val="12A5C54B"/>
    <w:rsid w:val="12A71401"/>
    <w:rsid w:val="12A80685"/>
    <w:rsid w:val="12A83CCF"/>
    <w:rsid w:val="12AB0B3F"/>
    <w:rsid w:val="12B1CD99"/>
    <w:rsid w:val="12B2B118"/>
    <w:rsid w:val="12B58F73"/>
    <w:rsid w:val="12B91004"/>
    <w:rsid w:val="12B9CCBE"/>
    <w:rsid w:val="12BD8306"/>
    <w:rsid w:val="12BD8FDB"/>
    <w:rsid w:val="12BEDFB7"/>
    <w:rsid w:val="12C21498"/>
    <w:rsid w:val="12C9C1F1"/>
    <w:rsid w:val="12CCD1CA"/>
    <w:rsid w:val="12CDF6F5"/>
    <w:rsid w:val="12D00AE3"/>
    <w:rsid w:val="12D1B8C2"/>
    <w:rsid w:val="12D1C436"/>
    <w:rsid w:val="12D1FA59"/>
    <w:rsid w:val="12D5B06D"/>
    <w:rsid w:val="12D5C651"/>
    <w:rsid w:val="12D9A8A1"/>
    <w:rsid w:val="12DF1303"/>
    <w:rsid w:val="12E1E291"/>
    <w:rsid w:val="12E579AA"/>
    <w:rsid w:val="12E6CE10"/>
    <w:rsid w:val="12EB22D6"/>
    <w:rsid w:val="12EDA03E"/>
    <w:rsid w:val="12EE0D2F"/>
    <w:rsid w:val="12EEA72A"/>
    <w:rsid w:val="12EF1B4A"/>
    <w:rsid w:val="12F01798"/>
    <w:rsid w:val="12F0E667"/>
    <w:rsid w:val="12F6F7C7"/>
    <w:rsid w:val="12F7970D"/>
    <w:rsid w:val="1303E8A3"/>
    <w:rsid w:val="130A68CD"/>
    <w:rsid w:val="130A72E3"/>
    <w:rsid w:val="130C1928"/>
    <w:rsid w:val="130D45A4"/>
    <w:rsid w:val="1312C86E"/>
    <w:rsid w:val="13191A82"/>
    <w:rsid w:val="1319B69D"/>
    <w:rsid w:val="131BF953"/>
    <w:rsid w:val="13215423"/>
    <w:rsid w:val="13242C20"/>
    <w:rsid w:val="132B7A1B"/>
    <w:rsid w:val="132CE419"/>
    <w:rsid w:val="132E41CB"/>
    <w:rsid w:val="132E4F0F"/>
    <w:rsid w:val="1331CA7E"/>
    <w:rsid w:val="13346D39"/>
    <w:rsid w:val="1334983A"/>
    <w:rsid w:val="13353409"/>
    <w:rsid w:val="1341EEFE"/>
    <w:rsid w:val="1346772B"/>
    <w:rsid w:val="1346A6A8"/>
    <w:rsid w:val="134940FA"/>
    <w:rsid w:val="134CB379"/>
    <w:rsid w:val="134D547A"/>
    <w:rsid w:val="134E2A6F"/>
    <w:rsid w:val="134F4BAB"/>
    <w:rsid w:val="134F5B73"/>
    <w:rsid w:val="134FFB67"/>
    <w:rsid w:val="13506AAE"/>
    <w:rsid w:val="135312D4"/>
    <w:rsid w:val="1358B4C6"/>
    <w:rsid w:val="135C7775"/>
    <w:rsid w:val="135F3316"/>
    <w:rsid w:val="1362860B"/>
    <w:rsid w:val="1362FBB3"/>
    <w:rsid w:val="13645803"/>
    <w:rsid w:val="1364F4E7"/>
    <w:rsid w:val="1365DEE1"/>
    <w:rsid w:val="136E8E5B"/>
    <w:rsid w:val="136EF01C"/>
    <w:rsid w:val="136FD313"/>
    <w:rsid w:val="1370DA70"/>
    <w:rsid w:val="1371D2BF"/>
    <w:rsid w:val="1374B844"/>
    <w:rsid w:val="1376D9CA"/>
    <w:rsid w:val="13772429"/>
    <w:rsid w:val="137852F2"/>
    <w:rsid w:val="137E1F17"/>
    <w:rsid w:val="137E7750"/>
    <w:rsid w:val="137FE2B1"/>
    <w:rsid w:val="1383129D"/>
    <w:rsid w:val="1385EC29"/>
    <w:rsid w:val="138B7CD4"/>
    <w:rsid w:val="138C1705"/>
    <w:rsid w:val="138C1EAF"/>
    <w:rsid w:val="138E6EAA"/>
    <w:rsid w:val="1390AB94"/>
    <w:rsid w:val="139333B2"/>
    <w:rsid w:val="1394D481"/>
    <w:rsid w:val="139A941B"/>
    <w:rsid w:val="139C7CA9"/>
    <w:rsid w:val="139D5727"/>
    <w:rsid w:val="139EA795"/>
    <w:rsid w:val="13A27CE9"/>
    <w:rsid w:val="13A37F15"/>
    <w:rsid w:val="13A82E1A"/>
    <w:rsid w:val="13A85327"/>
    <w:rsid w:val="13A92640"/>
    <w:rsid w:val="13ACD48D"/>
    <w:rsid w:val="13AE6BC5"/>
    <w:rsid w:val="13AE9059"/>
    <w:rsid w:val="13AFF3FA"/>
    <w:rsid w:val="13B2ED3F"/>
    <w:rsid w:val="13B3889E"/>
    <w:rsid w:val="13B5C04C"/>
    <w:rsid w:val="13B5DF7F"/>
    <w:rsid w:val="13BC5071"/>
    <w:rsid w:val="13BD60DC"/>
    <w:rsid w:val="13BFA2D2"/>
    <w:rsid w:val="13C1B962"/>
    <w:rsid w:val="13C2329D"/>
    <w:rsid w:val="13C3B6B0"/>
    <w:rsid w:val="13C3BFDF"/>
    <w:rsid w:val="13C5DB01"/>
    <w:rsid w:val="13C88CDE"/>
    <w:rsid w:val="13C9096E"/>
    <w:rsid w:val="13C909D2"/>
    <w:rsid w:val="13CA0801"/>
    <w:rsid w:val="13D42FB7"/>
    <w:rsid w:val="13D6F06F"/>
    <w:rsid w:val="13D93F92"/>
    <w:rsid w:val="13D97913"/>
    <w:rsid w:val="13DB7150"/>
    <w:rsid w:val="13DFCAA8"/>
    <w:rsid w:val="13E53767"/>
    <w:rsid w:val="13E7E3E6"/>
    <w:rsid w:val="13E90037"/>
    <w:rsid w:val="13E922A1"/>
    <w:rsid w:val="13E93F25"/>
    <w:rsid w:val="13EC7586"/>
    <w:rsid w:val="13ECE991"/>
    <w:rsid w:val="13ED7BD8"/>
    <w:rsid w:val="13EDD101"/>
    <w:rsid w:val="13EDF5DB"/>
    <w:rsid w:val="13EF8971"/>
    <w:rsid w:val="13F0B8D6"/>
    <w:rsid w:val="13F0D76D"/>
    <w:rsid w:val="13F47175"/>
    <w:rsid w:val="13F56B1A"/>
    <w:rsid w:val="13FB1ACA"/>
    <w:rsid w:val="13FBC568"/>
    <w:rsid w:val="13FDF7FC"/>
    <w:rsid w:val="13FFBFE2"/>
    <w:rsid w:val="14012084"/>
    <w:rsid w:val="14015729"/>
    <w:rsid w:val="1403626A"/>
    <w:rsid w:val="1404D04F"/>
    <w:rsid w:val="140B3D73"/>
    <w:rsid w:val="140E7F98"/>
    <w:rsid w:val="140F6FD1"/>
    <w:rsid w:val="140FC7B2"/>
    <w:rsid w:val="1410DBCC"/>
    <w:rsid w:val="14122DF2"/>
    <w:rsid w:val="141426EA"/>
    <w:rsid w:val="14164F0A"/>
    <w:rsid w:val="141CAEF0"/>
    <w:rsid w:val="1420A70C"/>
    <w:rsid w:val="14240646"/>
    <w:rsid w:val="1424CB32"/>
    <w:rsid w:val="1424D5BA"/>
    <w:rsid w:val="1428FD97"/>
    <w:rsid w:val="142FB33F"/>
    <w:rsid w:val="14305474"/>
    <w:rsid w:val="1432EF2E"/>
    <w:rsid w:val="1434B652"/>
    <w:rsid w:val="1438EF0E"/>
    <w:rsid w:val="143BB264"/>
    <w:rsid w:val="143C4BCE"/>
    <w:rsid w:val="143F518C"/>
    <w:rsid w:val="143F5A7C"/>
    <w:rsid w:val="1440A008"/>
    <w:rsid w:val="14418C56"/>
    <w:rsid w:val="1443A51C"/>
    <w:rsid w:val="1443ED8E"/>
    <w:rsid w:val="144426A5"/>
    <w:rsid w:val="14442860"/>
    <w:rsid w:val="144B98EE"/>
    <w:rsid w:val="14507D25"/>
    <w:rsid w:val="14511FBD"/>
    <w:rsid w:val="14571816"/>
    <w:rsid w:val="145C1ECF"/>
    <w:rsid w:val="145D2A15"/>
    <w:rsid w:val="145EC15C"/>
    <w:rsid w:val="1460B1A9"/>
    <w:rsid w:val="14617F72"/>
    <w:rsid w:val="1465A016"/>
    <w:rsid w:val="14676A90"/>
    <w:rsid w:val="1468CDAF"/>
    <w:rsid w:val="146A89A0"/>
    <w:rsid w:val="146DDEC0"/>
    <w:rsid w:val="1470A2BC"/>
    <w:rsid w:val="14779723"/>
    <w:rsid w:val="14791C69"/>
    <w:rsid w:val="1479DC41"/>
    <w:rsid w:val="147AAED4"/>
    <w:rsid w:val="147C8823"/>
    <w:rsid w:val="147DA000"/>
    <w:rsid w:val="147F9C2F"/>
    <w:rsid w:val="14858885"/>
    <w:rsid w:val="1486346B"/>
    <w:rsid w:val="14944E30"/>
    <w:rsid w:val="1494E141"/>
    <w:rsid w:val="1495A106"/>
    <w:rsid w:val="1496024B"/>
    <w:rsid w:val="14985C89"/>
    <w:rsid w:val="149A36F2"/>
    <w:rsid w:val="149E744B"/>
    <w:rsid w:val="14A18E0E"/>
    <w:rsid w:val="14A21DB7"/>
    <w:rsid w:val="14A5CA8E"/>
    <w:rsid w:val="14A62FE5"/>
    <w:rsid w:val="14B0C8D2"/>
    <w:rsid w:val="14B2FC60"/>
    <w:rsid w:val="14B3896C"/>
    <w:rsid w:val="14B56699"/>
    <w:rsid w:val="14B7DDF8"/>
    <w:rsid w:val="14B9DD1C"/>
    <w:rsid w:val="14BE0630"/>
    <w:rsid w:val="14C2023C"/>
    <w:rsid w:val="14C25889"/>
    <w:rsid w:val="14C2B5C5"/>
    <w:rsid w:val="14C8ECE4"/>
    <w:rsid w:val="14CCAD19"/>
    <w:rsid w:val="14CCCCBF"/>
    <w:rsid w:val="14CCFA0F"/>
    <w:rsid w:val="14CEE097"/>
    <w:rsid w:val="14D771B5"/>
    <w:rsid w:val="14D80048"/>
    <w:rsid w:val="14DE9FA9"/>
    <w:rsid w:val="14E830EA"/>
    <w:rsid w:val="14E991CA"/>
    <w:rsid w:val="14EE07BA"/>
    <w:rsid w:val="14EEE09E"/>
    <w:rsid w:val="14EF0F16"/>
    <w:rsid w:val="14F19788"/>
    <w:rsid w:val="14F1B48A"/>
    <w:rsid w:val="14F49424"/>
    <w:rsid w:val="14FA93BA"/>
    <w:rsid w:val="14FB28F7"/>
    <w:rsid w:val="14FEA0C1"/>
    <w:rsid w:val="1500A95C"/>
    <w:rsid w:val="15034B24"/>
    <w:rsid w:val="1503AD1C"/>
    <w:rsid w:val="15065BEF"/>
    <w:rsid w:val="1509070F"/>
    <w:rsid w:val="15095BDF"/>
    <w:rsid w:val="150AFC88"/>
    <w:rsid w:val="150B03BB"/>
    <w:rsid w:val="150B2866"/>
    <w:rsid w:val="150D3CF5"/>
    <w:rsid w:val="15140083"/>
    <w:rsid w:val="151D330C"/>
    <w:rsid w:val="151E4AC6"/>
    <w:rsid w:val="151F2D87"/>
    <w:rsid w:val="151F46E3"/>
    <w:rsid w:val="1520FD15"/>
    <w:rsid w:val="15238254"/>
    <w:rsid w:val="1525668B"/>
    <w:rsid w:val="1528341C"/>
    <w:rsid w:val="15289492"/>
    <w:rsid w:val="152ADCA4"/>
    <w:rsid w:val="152D231E"/>
    <w:rsid w:val="15328BAE"/>
    <w:rsid w:val="15365961"/>
    <w:rsid w:val="1537BB8E"/>
    <w:rsid w:val="153A3F45"/>
    <w:rsid w:val="153F04A6"/>
    <w:rsid w:val="154004AD"/>
    <w:rsid w:val="1540197B"/>
    <w:rsid w:val="15440A3B"/>
    <w:rsid w:val="15452140"/>
    <w:rsid w:val="1545A86A"/>
    <w:rsid w:val="15471B55"/>
    <w:rsid w:val="154A8199"/>
    <w:rsid w:val="154E379E"/>
    <w:rsid w:val="154E8F28"/>
    <w:rsid w:val="154F8359"/>
    <w:rsid w:val="154FB5F6"/>
    <w:rsid w:val="1550C558"/>
    <w:rsid w:val="1551A968"/>
    <w:rsid w:val="15522C95"/>
    <w:rsid w:val="1552D38C"/>
    <w:rsid w:val="155B1A58"/>
    <w:rsid w:val="155EDE6D"/>
    <w:rsid w:val="1562194F"/>
    <w:rsid w:val="156468A0"/>
    <w:rsid w:val="156ABE47"/>
    <w:rsid w:val="156C7250"/>
    <w:rsid w:val="156CB19F"/>
    <w:rsid w:val="15702C61"/>
    <w:rsid w:val="15727918"/>
    <w:rsid w:val="15730690"/>
    <w:rsid w:val="15744F1B"/>
    <w:rsid w:val="15750FF3"/>
    <w:rsid w:val="1575658C"/>
    <w:rsid w:val="1577FE2A"/>
    <w:rsid w:val="157B0F3B"/>
    <w:rsid w:val="157DEE26"/>
    <w:rsid w:val="157E2807"/>
    <w:rsid w:val="1587956C"/>
    <w:rsid w:val="1588336C"/>
    <w:rsid w:val="15884E18"/>
    <w:rsid w:val="1589B868"/>
    <w:rsid w:val="158CE0BC"/>
    <w:rsid w:val="158EC09F"/>
    <w:rsid w:val="159631ED"/>
    <w:rsid w:val="1596C4D1"/>
    <w:rsid w:val="1597467C"/>
    <w:rsid w:val="159E0033"/>
    <w:rsid w:val="159EAFCA"/>
    <w:rsid w:val="159F5F8A"/>
    <w:rsid w:val="159F9BB4"/>
    <w:rsid w:val="15A2C3B5"/>
    <w:rsid w:val="15A9D9FB"/>
    <w:rsid w:val="15AC0914"/>
    <w:rsid w:val="15AC7716"/>
    <w:rsid w:val="15B60CC8"/>
    <w:rsid w:val="15B8E2D8"/>
    <w:rsid w:val="15BE89FD"/>
    <w:rsid w:val="15BEF356"/>
    <w:rsid w:val="15C1C008"/>
    <w:rsid w:val="15CA35C0"/>
    <w:rsid w:val="15CBE6ED"/>
    <w:rsid w:val="15CE6083"/>
    <w:rsid w:val="15CEEBE5"/>
    <w:rsid w:val="15D026CE"/>
    <w:rsid w:val="15D1E9E9"/>
    <w:rsid w:val="15D3C3B5"/>
    <w:rsid w:val="15D40DDA"/>
    <w:rsid w:val="15D65D9E"/>
    <w:rsid w:val="15DCFF41"/>
    <w:rsid w:val="15DD6CDC"/>
    <w:rsid w:val="15E20AF5"/>
    <w:rsid w:val="15E27E17"/>
    <w:rsid w:val="15E759FD"/>
    <w:rsid w:val="15E91C43"/>
    <w:rsid w:val="15E97027"/>
    <w:rsid w:val="15E9CC85"/>
    <w:rsid w:val="15F2602E"/>
    <w:rsid w:val="15F3ECA6"/>
    <w:rsid w:val="15F3F55D"/>
    <w:rsid w:val="15F3F740"/>
    <w:rsid w:val="15F5DE85"/>
    <w:rsid w:val="15F5DEEF"/>
    <w:rsid w:val="15F68719"/>
    <w:rsid w:val="15F72524"/>
    <w:rsid w:val="15F77806"/>
    <w:rsid w:val="15F83559"/>
    <w:rsid w:val="15FA0C4E"/>
    <w:rsid w:val="15FC55B6"/>
    <w:rsid w:val="15FCE72B"/>
    <w:rsid w:val="15FD7570"/>
    <w:rsid w:val="160ED58D"/>
    <w:rsid w:val="16109D28"/>
    <w:rsid w:val="16128C72"/>
    <w:rsid w:val="1612F671"/>
    <w:rsid w:val="16141221"/>
    <w:rsid w:val="161413F4"/>
    <w:rsid w:val="161502CD"/>
    <w:rsid w:val="1615EC25"/>
    <w:rsid w:val="1616A905"/>
    <w:rsid w:val="161A0D12"/>
    <w:rsid w:val="161B0813"/>
    <w:rsid w:val="161BEB71"/>
    <w:rsid w:val="161CA149"/>
    <w:rsid w:val="161DCA57"/>
    <w:rsid w:val="1620616A"/>
    <w:rsid w:val="162345D2"/>
    <w:rsid w:val="162682D0"/>
    <w:rsid w:val="162E2132"/>
    <w:rsid w:val="16318709"/>
    <w:rsid w:val="163408A0"/>
    <w:rsid w:val="16343E76"/>
    <w:rsid w:val="1636F3D4"/>
    <w:rsid w:val="16389840"/>
    <w:rsid w:val="1638A0A5"/>
    <w:rsid w:val="16396C62"/>
    <w:rsid w:val="1641069C"/>
    <w:rsid w:val="1644B9FA"/>
    <w:rsid w:val="16461032"/>
    <w:rsid w:val="164A66F7"/>
    <w:rsid w:val="164E157A"/>
    <w:rsid w:val="16512667"/>
    <w:rsid w:val="16512925"/>
    <w:rsid w:val="1651BB6C"/>
    <w:rsid w:val="1653399C"/>
    <w:rsid w:val="1653E67B"/>
    <w:rsid w:val="1658C87E"/>
    <w:rsid w:val="165A40D5"/>
    <w:rsid w:val="165B76DC"/>
    <w:rsid w:val="165D4F42"/>
    <w:rsid w:val="165E8B8F"/>
    <w:rsid w:val="165E9069"/>
    <w:rsid w:val="16655859"/>
    <w:rsid w:val="16694B17"/>
    <w:rsid w:val="166BD822"/>
    <w:rsid w:val="166E27B5"/>
    <w:rsid w:val="166F3E9E"/>
    <w:rsid w:val="1670E4F3"/>
    <w:rsid w:val="1673D048"/>
    <w:rsid w:val="1677D1A5"/>
    <w:rsid w:val="1678CFBF"/>
    <w:rsid w:val="1682B0F6"/>
    <w:rsid w:val="1683BC3A"/>
    <w:rsid w:val="16852F37"/>
    <w:rsid w:val="16864C79"/>
    <w:rsid w:val="1689A9A8"/>
    <w:rsid w:val="168C0CDF"/>
    <w:rsid w:val="16901828"/>
    <w:rsid w:val="169124A6"/>
    <w:rsid w:val="1695FF49"/>
    <w:rsid w:val="1697B2FA"/>
    <w:rsid w:val="1698A718"/>
    <w:rsid w:val="16993AAE"/>
    <w:rsid w:val="1699A2AF"/>
    <w:rsid w:val="16A0DBA9"/>
    <w:rsid w:val="16A6009B"/>
    <w:rsid w:val="16A602B6"/>
    <w:rsid w:val="16A707D8"/>
    <w:rsid w:val="16A80762"/>
    <w:rsid w:val="16A81162"/>
    <w:rsid w:val="16A97DE5"/>
    <w:rsid w:val="16ABB66D"/>
    <w:rsid w:val="16B1A762"/>
    <w:rsid w:val="16B30D18"/>
    <w:rsid w:val="16B35EAA"/>
    <w:rsid w:val="16B3974B"/>
    <w:rsid w:val="16B4DDD3"/>
    <w:rsid w:val="16BB8419"/>
    <w:rsid w:val="16BD6384"/>
    <w:rsid w:val="16C4E18A"/>
    <w:rsid w:val="16C66C02"/>
    <w:rsid w:val="16C6A885"/>
    <w:rsid w:val="16C7F9EF"/>
    <w:rsid w:val="16CB42DF"/>
    <w:rsid w:val="16D21DCE"/>
    <w:rsid w:val="16D46928"/>
    <w:rsid w:val="16D5B844"/>
    <w:rsid w:val="16D5D458"/>
    <w:rsid w:val="16D66463"/>
    <w:rsid w:val="16DD65CE"/>
    <w:rsid w:val="16DDFB74"/>
    <w:rsid w:val="16E0F9AF"/>
    <w:rsid w:val="16E1FCB7"/>
    <w:rsid w:val="16E4F0D2"/>
    <w:rsid w:val="16E71712"/>
    <w:rsid w:val="16EB4F7E"/>
    <w:rsid w:val="16EC58D6"/>
    <w:rsid w:val="16F343BB"/>
    <w:rsid w:val="16F8F922"/>
    <w:rsid w:val="16F95E75"/>
    <w:rsid w:val="16F9D6D3"/>
    <w:rsid w:val="1706F807"/>
    <w:rsid w:val="1707F3BA"/>
    <w:rsid w:val="170983E1"/>
    <w:rsid w:val="1709EA9F"/>
    <w:rsid w:val="170BD83C"/>
    <w:rsid w:val="170FB708"/>
    <w:rsid w:val="171071FB"/>
    <w:rsid w:val="1710E054"/>
    <w:rsid w:val="1711D53C"/>
    <w:rsid w:val="17141C1E"/>
    <w:rsid w:val="171421EE"/>
    <w:rsid w:val="1716D902"/>
    <w:rsid w:val="17187FE2"/>
    <w:rsid w:val="171F9A1C"/>
    <w:rsid w:val="171FE31A"/>
    <w:rsid w:val="17208944"/>
    <w:rsid w:val="1723F744"/>
    <w:rsid w:val="172453ED"/>
    <w:rsid w:val="1726ED48"/>
    <w:rsid w:val="1727750B"/>
    <w:rsid w:val="172953F1"/>
    <w:rsid w:val="172990C3"/>
    <w:rsid w:val="172B1E0F"/>
    <w:rsid w:val="172BB8EE"/>
    <w:rsid w:val="172D9BB7"/>
    <w:rsid w:val="172DAAE0"/>
    <w:rsid w:val="172E0C74"/>
    <w:rsid w:val="1734A9C8"/>
    <w:rsid w:val="1739DCE5"/>
    <w:rsid w:val="173BF9EA"/>
    <w:rsid w:val="173C359E"/>
    <w:rsid w:val="173EA938"/>
    <w:rsid w:val="173F4BAE"/>
    <w:rsid w:val="17402CCB"/>
    <w:rsid w:val="174188F6"/>
    <w:rsid w:val="174506B2"/>
    <w:rsid w:val="17496C1A"/>
    <w:rsid w:val="174A0345"/>
    <w:rsid w:val="174A9F60"/>
    <w:rsid w:val="174F2D1C"/>
    <w:rsid w:val="174F74D7"/>
    <w:rsid w:val="1752C548"/>
    <w:rsid w:val="1755E38E"/>
    <w:rsid w:val="1757E1C4"/>
    <w:rsid w:val="17598871"/>
    <w:rsid w:val="1759D971"/>
    <w:rsid w:val="175A28EB"/>
    <w:rsid w:val="175A29CD"/>
    <w:rsid w:val="175C6487"/>
    <w:rsid w:val="175D99BE"/>
    <w:rsid w:val="175DF503"/>
    <w:rsid w:val="1761709B"/>
    <w:rsid w:val="1768C28C"/>
    <w:rsid w:val="17695F7D"/>
    <w:rsid w:val="1769BF09"/>
    <w:rsid w:val="176C5DB2"/>
    <w:rsid w:val="1771805C"/>
    <w:rsid w:val="1771DD0B"/>
    <w:rsid w:val="17770F7C"/>
    <w:rsid w:val="177710DD"/>
    <w:rsid w:val="177AA0AD"/>
    <w:rsid w:val="177BE661"/>
    <w:rsid w:val="177E59E3"/>
    <w:rsid w:val="177E916B"/>
    <w:rsid w:val="17816CE2"/>
    <w:rsid w:val="178282F2"/>
    <w:rsid w:val="17838610"/>
    <w:rsid w:val="1783F132"/>
    <w:rsid w:val="178BFAB9"/>
    <w:rsid w:val="178CE841"/>
    <w:rsid w:val="179400F2"/>
    <w:rsid w:val="1794335F"/>
    <w:rsid w:val="179C6BE2"/>
    <w:rsid w:val="179DA201"/>
    <w:rsid w:val="179EB8ED"/>
    <w:rsid w:val="17A1AF90"/>
    <w:rsid w:val="17A33B4B"/>
    <w:rsid w:val="17A3F3C2"/>
    <w:rsid w:val="17A6FA6A"/>
    <w:rsid w:val="17A742B4"/>
    <w:rsid w:val="17A9424C"/>
    <w:rsid w:val="17A9E62C"/>
    <w:rsid w:val="17AA5B9F"/>
    <w:rsid w:val="17AADDC1"/>
    <w:rsid w:val="17AE45F9"/>
    <w:rsid w:val="17B08617"/>
    <w:rsid w:val="17B3A4A0"/>
    <w:rsid w:val="17B3CE65"/>
    <w:rsid w:val="17B52454"/>
    <w:rsid w:val="17B75F1B"/>
    <w:rsid w:val="17B8A82B"/>
    <w:rsid w:val="17BB3A5A"/>
    <w:rsid w:val="17BF5EB1"/>
    <w:rsid w:val="17C4D207"/>
    <w:rsid w:val="17C84206"/>
    <w:rsid w:val="17CA7AB4"/>
    <w:rsid w:val="17CBAB4B"/>
    <w:rsid w:val="17CFC2B8"/>
    <w:rsid w:val="17D3A5C9"/>
    <w:rsid w:val="17D47756"/>
    <w:rsid w:val="17DDD0A7"/>
    <w:rsid w:val="17DF54D0"/>
    <w:rsid w:val="17E0B232"/>
    <w:rsid w:val="17E2F8B1"/>
    <w:rsid w:val="17E91D82"/>
    <w:rsid w:val="17E9E08D"/>
    <w:rsid w:val="17EA1B2F"/>
    <w:rsid w:val="17EA3800"/>
    <w:rsid w:val="17EB152C"/>
    <w:rsid w:val="17EB71B4"/>
    <w:rsid w:val="17F50911"/>
    <w:rsid w:val="17F6A262"/>
    <w:rsid w:val="17FC7EC2"/>
    <w:rsid w:val="17FD5A02"/>
    <w:rsid w:val="1802C087"/>
    <w:rsid w:val="18063436"/>
    <w:rsid w:val="180B5DED"/>
    <w:rsid w:val="180BA148"/>
    <w:rsid w:val="180BE597"/>
    <w:rsid w:val="180E746F"/>
    <w:rsid w:val="180F9A02"/>
    <w:rsid w:val="18126F24"/>
    <w:rsid w:val="18144555"/>
    <w:rsid w:val="18156342"/>
    <w:rsid w:val="1816ED5D"/>
    <w:rsid w:val="18174E3C"/>
    <w:rsid w:val="1817E8A6"/>
    <w:rsid w:val="18187F9D"/>
    <w:rsid w:val="1819A033"/>
    <w:rsid w:val="181A7B97"/>
    <w:rsid w:val="182899EA"/>
    <w:rsid w:val="18290222"/>
    <w:rsid w:val="182B07B5"/>
    <w:rsid w:val="182BFC3E"/>
    <w:rsid w:val="182C25E9"/>
    <w:rsid w:val="1833C01E"/>
    <w:rsid w:val="1838D59C"/>
    <w:rsid w:val="183CADFE"/>
    <w:rsid w:val="183E5905"/>
    <w:rsid w:val="1841BCDD"/>
    <w:rsid w:val="1842C309"/>
    <w:rsid w:val="1842F68F"/>
    <w:rsid w:val="184349B4"/>
    <w:rsid w:val="184517B0"/>
    <w:rsid w:val="18459F3F"/>
    <w:rsid w:val="1850B319"/>
    <w:rsid w:val="18511768"/>
    <w:rsid w:val="1852FCC5"/>
    <w:rsid w:val="1854EB0C"/>
    <w:rsid w:val="1855FA7B"/>
    <w:rsid w:val="1856872F"/>
    <w:rsid w:val="1857944D"/>
    <w:rsid w:val="185B202A"/>
    <w:rsid w:val="185EB125"/>
    <w:rsid w:val="185F23D8"/>
    <w:rsid w:val="18606B63"/>
    <w:rsid w:val="18621239"/>
    <w:rsid w:val="18625DA5"/>
    <w:rsid w:val="18629CC8"/>
    <w:rsid w:val="18664350"/>
    <w:rsid w:val="18672B4F"/>
    <w:rsid w:val="1867EA2B"/>
    <w:rsid w:val="1869A810"/>
    <w:rsid w:val="186A2E55"/>
    <w:rsid w:val="186AC22B"/>
    <w:rsid w:val="186E26E9"/>
    <w:rsid w:val="186E2D4A"/>
    <w:rsid w:val="186F2470"/>
    <w:rsid w:val="18770144"/>
    <w:rsid w:val="187AF2AE"/>
    <w:rsid w:val="187DF0DA"/>
    <w:rsid w:val="187E555B"/>
    <w:rsid w:val="188250E5"/>
    <w:rsid w:val="1886AF32"/>
    <w:rsid w:val="1889A0CE"/>
    <w:rsid w:val="188A9D29"/>
    <w:rsid w:val="188B13DD"/>
    <w:rsid w:val="188CE3FC"/>
    <w:rsid w:val="188E72F0"/>
    <w:rsid w:val="18903E23"/>
    <w:rsid w:val="189D101E"/>
    <w:rsid w:val="189F516E"/>
    <w:rsid w:val="18A01015"/>
    <w:rsid w:val="18A1C791"/>
    <w:rsid w:val="18A21F5B"/>
    <w:rsid w:val="18A300A1"/>
    <w:rsid w:val="18A40FA2"/>
    <w:rsid w:val="18A84B0D"/>
    <w:rsid w:val="18A9BF1E"/>
    <w:rsid w:val="18AA3561"/>
    <w:rsid w:val="18AC3F12"/>
    <w:rsid w:val="18ACA90C"/>
    <w:rsid w:val="18AF7FC8"/>
    <w:rsid w:val="18B88185"/>
    <w:rsid w:val="18BD0A1E"/>
    <w:rsid w:val="18BD2C6C"/>
    <w:rsid w:val="18C14B45"/>
    <w:rsid w:val="18C17020"/>
    <w:rsid w:val="18C490A8"/>
    <w:rsid w:val="18C55C41"/>
    <w:rsid w:val="18C86FF9"/>
    <w:rsid w:val="18CD4068"/>
    <w:rsid w:val="18D1C55F"/>
    <w:rsid w:val="18D2D469"/>
    <w:rsid w:val="18D5DBBE"/>
    <w:rsid w:val="18D84D0D"/>
    <w:rsid w:val="18D9F972"/>
    <w:rsid w:val="18DF62AF"/>
    <w:rsid w:val="18E0FC58"/>
    <w:rsid w:val="18E2DF17"/>
    <w:rsid w:val="18E50B75"/>
    <w:rsid w:val="18E64CEB"/>
    <w:rsid w:val="18E8AC82"/>
    <w:rsid w:val="18E8E4A9"/>
    <w:rsid w:val="18E9BAF3"/>
    <w:rsid w:val="18EC54E4"/>
    <w:rsid w:val="18EE9374"/>
    <w:rsid w:val="18F3FCD6"/>
    <w:rsid w:val="18F4769A"/>
    <w:rsid w:val="18F6CD2D"/>
    <w:rsid w:val="18FAB93D"/>
    <w:rsid w:val="18FD0673"/>
    <w:rsid w:val="18FD4211"/>
    <w:rsid w:val="190A5395"/>
    <w:rsid w:val="1912547E"/>
    <w:rsid w:val="19187E36"/>
    <w:rsid w:val="191A1419"/>
    <w:rsid w:val="191A2CFD"/>
    <w:rsid w:val="191A6DB9"/>
    <w:rsid w:val="191C1884"/>
    <w:rsid w:val="191F8233"/>
    <w:rsid w:val="19247641"/>
    <w:rsid w:val="19279AE2"/>
    <w:rsid w:val="19291354"/>
    <w:rsid w:val="192AAA9B"/>
    <w:rsid w:val="192FEDA4"/>
    <w:rsid w:val="1930EB1F"/>
    <w:rsid w:val="19324F25"/>
    <w:rsid w:val="193444C2"/>
    <w:rsid w:val="193586E0"/>
    <w:rsid w:val="19360EC1"/>
    <w:rsid w:val="1938ACF1"/>
    <w:rsid w:val="193E4BF9"/>
    <w:rsid w:val="193F4970"/>
    <w:rsid w:val="194323EE"/>
    <w:rsid w:val="1943BB52"/>
    <w:rsid w:val="1944C55F"/>
    <w:rsid w:val="194A06FD"/>
    <w:rsid w:val="194A70DC"/>
    <w:rsid w:val="194F707A"/>
    <w:rsid w:val="1951BFA8"/>
    <w:rsid w:val="195297F9"/>
    <w:rsid w:val="1954787B"/>
    <w:rsid w:val="195A1095"/>
    <w:rsid w:val="195DED44"/>
    <w:rsid w:val="195EB93F"/>
    <w:rsid w:val="1960801C"/>
    <w:rsid w:val="1966A3F6"/>
    <w:rsid w:val="19694102"/>
    <w:rsid w:val="196B0597"/>
    <w:rsid w:val="196B32A0"/>
    <w:rsid w:val="196F3150"/>
    <w:rsid w:val="19705544"/>
    <w:rsid w:val="19716B2F"/>
    <w:rsid w:val="19766E34"/>
    <w:rsid w:val="1977818C"/>
    <w:rsid w:val="1979B008"/>
    <w:rsid w:val="197B7145"/>
    <w:rsid w:val="197B8674"/>
    <w:rsid w:val="197B8C77"/>
    <w:rsid w:val="197BD91A"/>
    <w:rsid w:val="19810DC9"/>
    <w:rsid w:val="19828927"/>
    <w:rsid w:val="19828B37"/>
    <w:rsid w:val="198A68E0"/>
    <w:rsid w:val="198E5A4C"/>
    <w:rsid w:val="1990C898"/>
    <w:rsid w:val="199325E6"/>
    <w:rsid w:val="19939160"/>
    <w:rsid w:val="19962DEA"/>
    <w:rsid w:val="19974D28"/>
    <w:rsid w:val="199A579A"/>
    <w:rsid w:val="199B07C5"/>
    <w:rsid w:val="199C065F"/>
    <w:rsid w:val="199D4BF7"/>
    <w:rsid w:val="199F4C5E"/>
    <w:rsid w:val="19A23474"/>
    <w:rsid w:val="19A629FE"/>
    <w:rsid w:val="19A6FAB6"/>
    <w:rsid w:val="19ABB22D"/>
    <w:rsid w:val="19AE1B69"/>
    <w:rsid w:val="19B00E1E"/>
    <w:rsid w:val="19B69951"/>
    <w:rsid w:val="19B91EF6"/>
    <w:rsid w:val="19BAD951"/>
    <w:rsid w:val="19BC205D"/>
    <w:rsid w:val="19C13195"/>
    <w:rsid w:val="19C3C8F0"/>
    <w:rsid w:val="19C3FF6F"/>
    <w:rsid w:val="19C477DC"/>
    <w:rsid w:val="19C4B315"/>
    <w:rsid w:val="19C7C29A"/>
    <w:rsid w:val="19CA6321"/>
    <w:rsid w:val="19CAE200"/>
    <w:rsid w:val="19D13CE2"/>
    <w:rsid w:val="19D20564"/>
    <w:rsid w:val="19D4B10D"/>
    <w:rsid w:val="19D4FB40"/>
    <w:rsid w:val="19DCD68B"/>
    <w:rsid w:val="19E0B2E6"/>
    <w:rsid w:val="19E2C14F"/>
    <w:rsid w:val="19E7F4E9"/>
    <w:rsid w:val="19E9CC45"/>
    <w:rsid w:val="19EB5B7D"/>
    <w:rsid w:val="19EF213D"/>
    <w:rsid w:val="19F3079A"/>
    <w:rsid w:val="19F39A20"/>
    <w:rsid w:val="19FA3A5D"/>
    <w:rsid w:val="19FE8BD9"/>
    <w:rsid w:val="1A021B62"/>
    <w:rsid w:val="1A036D5A"/>
    <w:rsid w:val="1A04742F"/>
    <w:rsid w:val="1A0494ED"/>
    <w:rsid w:val="1A069459"/>
    <w:rsid w:val="1A07BE7A"/>
    <w:rsid w:val="1A0956CC"/>
    <w:rsid w:val="1A0CFC36"/>
    <w:rsid w:val="1A0E5278"/>
    <w:rsid w:val="1A0E8F01"/>
    <w:rsid w:val="1A10CC78"/>
    <w:rsid w:val="1A14A091"/>
    <w:rsid w:val="1A1633D1"/>
    <w:rsid w:val="1A167D6D"/>
    <w:rsid w:val="1A169379"/>
    <w:rsid w:val="1A18A2D8"/>
    <w:rsid w:val="1A18B9CC"/>
    <w:rsid w:val="1A192E77"/>
    <w:rsid w:val="1A1CF69D"/>
    <w:rsid w:val="1A1DBFEB"/>
    <w:rsid w:val="1A1DFEBD"/>
    <w:rsid w:val="1A1F3DC4"/>
    <w:rsid w:val="1A208858"/>
    <w:rsid w:val="1A2651DA"/>
    <w:rsid w:val="1A351568"/>
    <w:rsid w:val="1A352455"/>
    <w:rsid w:val="1A37BDAA"/>
    <w:rsid w:val="1A3C2C94"/>
    <w:rsid w:val="1A3D14E2"/>
    <w:rsid w:val="1A3EE259"/>
    <w:rsid w:val="1A3EE9FB"/>
    <w:rsid w:val="1A424607"/>
    <w:rsid w:val="1A459E01"/>
    <w:rsid w:val="1A4B0218"/>
    <w:rsid w:val="1A4BA398"/>
    <w:rsid w:val="1A4E43F8"/>
    <w:rsid w:val="1A4FE9E8"/>
    <w:rsid w:val="1A508BF8"/>
    <w:rsid w:val="1A50DD21"/>
    <w:rsid w:val="1A5349A2"/>
    <w:rsid w:val="1A5447BB"/>
    <w:rsid w:val="1A562C2B"/>
    <w:rsid w:val="1A5A30D0"/>
    <w:rsid w:val="1A609D81"/>
    <w:rsid w:val="1A6BBA86"/>
    <w:rsid w:val="1A6D95C0"/>
    <w:rsid w:val="1A73FEE8"/>
    <w:rsid w:val="1A74C6F8"/>
    <w:rsid w:val="1A766648"/>
    <w:rsid w:val="1A76D6A6"/>
    <w:rsid w:val="1A7A0DBF"/>
    <w:rsid w:val="1A7B8F50"/>
    <w:rsid w:val="1A7C1ADB"/>
    <w:rsid w:val="1A7D1B18"/>
    <w:rsid w:val="1A7D47F4"/>
    <w:rsid w:val="1A83E460"/>
    <w:rsid w:val="1A83FF15"/>
    <w:rsid w:val="1A84D8DB"/>
    <w:rsid w:val="1A855585"/>
    <w:rsid w:val="1A85F19F"/>
    <w:rsid w:val="1A862580"/>
    <w:rsid w:val="1A8D0808"/>
    <w:rsid w:val="1A8DA4E2"/>
    <w:rsid w:val="1A8E4117"/>
    <w:rsid w:val="1A8EB10A"/>
    <w:rsid w:val="1A8F2AD0"/>
    <w:rsid w:val="1A8FBF56"/>
    <w:rsid w:val="1A91A094"/>
    <w:rsid w:val="1A9244D8"/>
    <w:rsid w:val="1A938556"/>
    <w:rsid w:val="1A939124"/>
    <w:rsid w:val="1A97FFD9"/>
    <w:rsid w:val="1A9AD524"/>
    <w:rsid w:val="1A9AE637"/>
    <w:rsid w:val="1AA186AB"/>
    <w:rsid w:val="1AA27E94"/>
    <w:rsid w:val="1AA753BA"/>
    <w:rsid w:val="1AA9DBEE"/>
    <w:rsid w:val="1AACA6EA"/>
    <w:rsid w:val="1AAE003F"/>
    <w:rsid w:val="1AB04B19"/>
    <w:rsid w:val="1AB9D0CB"/>
    <w:rsid w:val="1ABC2BD3"/>
    <w:rsid w:val="1ABD700E"/>
    <w:rsid w:val="1ABF61FB"/>
    <w:rsid w:val="1ABFAB2C"/>
    <w:rsid w:val="1AC13C4C"/>
    <w:rsid w:val="1AC33802"/>
    <w:rsid w:val="1AC38D69"/>
    <w:rsid w:val="1AC40990"/>
    <w:rsid w:val="1AC49222"/>
    <w:rsid w:val="1AC96A3F"/>
    <w:rsid w:val="1ACDA1FA"/>
    <w:rsid w:val="1ACE842D"/>
    <w:rsid w:val="1ACEAF29"/>
    <w:rsid w:val="1ACFA859"/>
    <w:rsid w:val="1AD0C825"/>
    <w:rsid w:val="1AD87C63"/>
    <w:rsid w:val="1AE1574B"/>
    <w:rsid w:val="1AE20E43"/>
    <w:rsid w:val="1AE22F29"/>
    <w:rsid w:val="1AE8E20E"/>
    <w:rsid w:val="1AEB7230"/>
    <w:rsid w:val="1AEC507B"/>
    <w:rsid w:val="1AF158C7"/>
    <w:rsid w:val="1AF52485"/>
    <w:rsid w:val="1AF62239"/>
    <w:rsid w:val="1AF630EE"/>
    <w:rsid w:val="1AF8C41F"/>
    <w:rsid w:val="1AF8E4D5"/>
    <w:rsid w:val="1AF93200"/>
    <w:rsid w:val="1AF9BDA5"/>
    <w:rsid w:val="1AF9C735"/>
    <w:rsid w:val="1AFA5C61"/>
    <w:rsid w:val="1B03B1F8"/>
    <w:rsid w:val="1B07A37C"/>
    <w:rsid w:val="1B07BB84"/>
    <w:rsid w:val="1B07C022"/>
    <w:rsid w:val="1B0C1911"/>
    <w:rsid w:val="1B0D6AA1"/>
    <w:rsid w:val="1B12B844"/>
    <w:rsid w:val="1B165E0A"/>
    <w:rsid w:val="1B1913B1"/>
    <w:rsid w:val="1B1A2C7C"/>
    <w:rsid w:val="1B1AAC45"/>
    <w:rsid w:val="1B1D508A"/>
    <w:rsid w:val="1B1D5EEF"/>
    <w:rsid w:val="1B1D7C5F"/>
    <w:rsid w:val="1B2184AC"/>
    <w:rsid w:val="1B2C7D03"/>
    <w:rsid w:val="1B2D439F"/>
    <w:rsid w:val="1B34223F"/>
    <w:rsid w:val="1B35464E"/>
    <w:rsid w:val="1B368BC0"/>
    <w:rsid w:val="1B399301"/>
    <w:rsid w:val="1B3D33DE"/>
    <w:rsid w:val="1B3DD370"/>
    <w:rsid w:val="1B3E7E6F"/>
    <w:rsid w:val="1B3F5B28"/>
    <w:rsid w:val="1B41AEAB"/>
    <w:rsid w:val="1B426737"/>
    <w:rsid w:val="1B4410F9"/>
    <w:rsid w:val="1B446BAA"/>
    <w:rsid w:val="1B44B8FE"/>
    <w:rsid w:val="1B48D44D"/>
    <w:rsid w:val="1B4AB9CE"/>
    <w:rsid w:val="1B4C9FF2"/>
    <w:rsid w:val="1B4DFE55"/>
    <w:rsid w:val="1B4F7319"/>
    <w:rsid w:val="1B51D1A2"/>
    <w:rsid w:val="1B527DBE"/>
    <w:rsid w:val="1B583AA4"/>
    <w:rsid w:val="1B5BC4A8"/>
    <w:rsid w:val="1B5BF43B"/>
    <w:rsid w:val="1B5FD7B2"/>
    <w:rsid w:val="1B63C6AB"/>
    <w:rsid w:val="1B6541F1"/>
    <w:rsid w:val="1B669700"/>
    <w:rsid w:val="1B6A5DD0"/>
    <w:rsid w:val="1B6ABB30"/>
    <w:rsid w:val="1B6F008C"/>
    <w:rsid w:val="1B6F7293"/>
    <w:rsid w:val="1B71E22B"/>
    <w:rsid w:val="1B770D93"/>
    <w:rsid w:val="1B7B9586"/>
    <w:rsid w:val="1B7ED66D"/>
    <w:rsid w:val="1B7FD47C"/>
    <w:rsid w:val="1B87FD2A"/>
    <w:rsid w:val="1B886CFF"/>
    <w:rsid w:val="1B8B08FF"/>
    <w:rsid w:val="1B8E0235"/>
    <w:rsid w:val="1B8E6457"/>
    <w:rsid w:val="1B908FCC"/>
    <w:rsid w:val="1B940B07"/>
    <w:rsid w:val="1B967398"/>
    <w:rsid w:val="1B9774AD"/>
    <w:rsid w:val="1B9C693F"/>
    <w:rsid w:val="1BA0B508"/>
    <w:rsid w:val="1BA11E2B"/>
    <w:rsid w:val="1BA385C5"/>
    <w:rsid w:val="1BA4A57A"/>
    <w:rsid w:val="1BA6628D"/>
    <w:rsid w:val="1BA84137"/>
    <w:rsid w:val="1BA9B413"/>
    <w:rsid w:val="1BAD1DF9"/>
    <w:rsid w:val="1BAE38FD"/>
    <w:rsid w:val="1BAFC94D"/>
    <w:rsid w:val="1BB01580"/>
    <w:rsid w:val="1BB14773"/>
    <w:rsid w:val="1BB178E3"/>
    <w:rsid w:val="1BB1C892"/>
    <w:rsid w:val="1BB33FE3"/>
    <w:rsid w:val="1BB3B54C"/>
    <w:rsid w:val="1BB6AD6F"/>
    <w:rsid w:val="1BB6DE93"/>
    <w:rsid w:val="1BB8B66D"/>
    <w:rsid w:val="1BB8BD09"/>
    <w:rsid w:val="1BBAB525"/>
    <w:rsid w:val="1BBB8C08"/>
    <w:rsid w:val="1BBCED04"/>
    <w:rsid w:val="1BBCF662"/>
    <w:rsid w:val="1BC6D59E"/>
    <w:rsid w:val="1BCBAECF"/>
    <w:rsid w:val="1BCD8775"/>
    <w:rsid w:val="1BCF5B0E"/>
    <w:rsid w:val="1BD1750A"/>
    <w:rsid w:val="1BD18276"/>
    <w:rsid w:val="1BD3DCF9"/>
    <w:rsid w:val="1BD4589F"/>
    <w:rsid w:val="1BD5273D"/>
    <w:rsid w:val="1BD60037"/>
    <w:rsid w:val="1BD841BE"/>
    <w:rsid w:val="1BDB93C6"/>
    <w:rsid w:val="1BDDA72A"/>
    <w:rsid w:val="1BDED9A5"/>
    <w:rsid w:val="1BE36BE9"/>
    <w:rsid w:val="1BE45177"/>
    <w:rsid w:val="1BE46D10"/>
    <w:rsid w:val="1BE74C79"/>
    <w:rsid w:val="1BE8FCE7"/>
    <w:rsid w:val="1BEA3F02"/>
    <w:rsid w:val="1BF0E933"/>
    <w:rsid w:val="1BF1897E"/>
    <w:rsid w:val="1BF1FF7B"/>
    <w:rsid w:val="1BF796CF"/>
    <w:rsid w:val="1C00A9BF"/>
    <w:rsid w:val="1C019DA2"/>
    <w:rsid w:val="1C0283E1"/>
    <w:rsid w:val="1C03D12E"/>
    <w:rsid w:val="1C07469A"/>
    <w:rsid w:val="1C076F5F"/>
    <w:rsid w:val="1C099A37"/>
    <w:rsid w:val="1C09DDB3"/>
    <w:rsid w:val="1C0B2B8A"/>
    <w:rsid w:val="1C0D32E6"/>
    <w:rsid w:val="1C0F2B90"/>
    <w:rsid w:val="1C1014EB"/>
    <w:rsid w:val="1C112FCD"/>
    <w:rsid w:val="1C1355BD"/>
    <w:rsid w:val="1C15ECAE"/>
    <w:rsid w:val="1C196AEE"/>
    <w:rsid w:val="1C1EAB57"/>
    <w:rsid w:val="1C1F74E5"/>
    <w:rsid w:val="1C20615D"/>
    <w:rsid w:val="1C20ADF9"/>
    <w:rsid w:val="1C22A827"/>
    <w:rsid w:val="1C22C2A1"/>
    <w:rsid w:val="1C233278"/>
    <w:rsid w:val="1C25169F"/>
    <w:rsid w:val="1C25BDED"/>
    <w:rsid w:val="1C29C9B3"/>
    <w:rsid w:val="1C315DC9"/>
    <w:rsid w:val="1C33D03A"/>
    <w:rsid w:val="1C33E8F3"/>
    <w:rsid w:val="1C3666A0"/>
    <w:rsid w:val="1C3666A7"/>
    <w:rsid w:val="1C36A88D"/>
    <w:rsid w:val="1C36B29B"/>
    <w:rsid w:val="1C3FA93F"/>
    <w:rsid w:val="1C4088AA"/>
    <w:rsid w:val="1C41ABA5"/>
    <w:rsid w:val="1C440E48"/>
    <w:rsid w:val="1C448138"/>
    <w:rsid w:val="1C4863DB"/>
    <w:rsid w:val="1C49E521"/>
    <w:rsid w:val="1C4C5FFA"/>
    <w:rsid w:val="1C4CBD23"/>
    <w:rsid w:val="1C4CDB73"/>
    <w:rsid w:val="1C4EF23D"/>
    <w:rsid w:val="1C5188C6"/>
    <w:rsid w:val="1C53AE1A"/>
    <w:rsid w:val="1C57A928"/>
    <w:rsid w:val="1C597110"/>
    <w:rsid w:val="1C5AD84D"/>
    <w:rsid w:val="1C5BB0DE"/>
    <w:rsid w:val="1C5C1046"/>
    <w:rsid w:val="1C5D3BC0"/>
    <w:rsid w:val="1C5D9EAE"/>
    <w:rsid w:val="1C621674"/>
    <w:rsid w:val="1C6281B9"/>
    <w:rsid w:val="1C699A86"/>
    <w:rsid w:val="1C71CB2A"/>
    <w:rsid w:val="1C71E3C7"/>
    <w:rsid w:val="1C77017D"/>
    <w:rsid w:val="1C77DA5B"/>
    <w:rsid w:val="1C7E1F8B"/>
    <w:rsid w:val="1C7E226F"/>
    <w:rsid w:val="1C80F8B3"/>
    <w:rsid w:val="1C81034E"/>
    <w:rsid w:val="1C8168A4"/>
    <w:rsid w:val="1C85A254"/>
    <w:rsid w:val="1C85AAC8"/>
    <w:rsid w:val="1C85D662"/>
    <w:rsid w:val="1C87000F"/>
    <w:rsid w:val="1C8ACB27"/>
    <w:rsid w:val="1C8C606E"/>
    <w:rsid w:val="1C8E3737"/>
    <w:rsid w:val="1C90C35D"/>
    <w:rsid w:val="1C95BF74"/>
    <w:rsid w:val="1C961B07"/>
    <w:rsid w:val="1C98069B"/>
    <w:rsid w:val="1C98E00B"/>
    <w:rsid w:val="1C98E738"/>
    <w:rsid w:val="1C9DC265"/>
    <w:rsid w:val="1C9E45D0"/>
    <w:rsid w:val="1C9F3A65"/>
    <w:rsid w:val="1CA02DC4"/>
    <w:rsid w:val="1CA07C45"/>
    <w:rsid w:val="1CA1F42C"/>
    <w:rsid w:val="1CA27388"/>
    <w:rsid w:val="1CA927BD"/>
    <w:rsid w:val="1CA9826B"/>
    <w:rsid w:val="1CAA87BD"/>
    <w:rsid w:val="1CAC7819"/>
    <w:rsid w:val="1CAFC6AA"/>
    <w:rsid w:val="1CB26EAE"/>
    <w:rsid w:val="1CB44728"/>
    <w:rsid w:val="1CB535A1"/>
    <w:rsid w:val="1CB897C4"/>
    <w:rsid w:val="1CBDC703"/>
    <w:rsid w:val="1CC0E90E"/>
    <w:rsid w:val="1CC1BD3B"/>
    <w:rsid w:val="1CC20E48"/>
    <w:rsid w:val="1CC7DD9F"/>
    <w:rsid w:val="1CC838CA"/>
    <w:rsid w:val="1CC9B559"/>
    <w:rsid w:val="1CCEDFDD"/>
    <w:rsid w:val="1CCFC64C"/>
    <w:rsid w:val="1CD46D1C"/>
    <w:rsid w:val="1CD46E7D"/>
    <w:rsid w:val="1CD4D3AA"/>
    <w:rsid w:val="1CD9F7F6"/>
    <w:rsid w:val="1CDAADCA"/>
    <w:rsid w:val="1CDDB344"/>
    <w:rsid w:val="1CDE6137"/>
    <w:rsid w:val="1CE223EF"/>
    <w:rsid w:val="1CE29ECC"/>
    <w:rsid w:val="1CE8BE21"/>
    <w:rsid w:val="1CE92105"/>
    <w:rsid w:val="1CE9DAD2"/>
    <w:rsid w:val="1CEA4BAF"/>
    <w:rsid w:val="1CEC16A5"/>
    <w:rsid w:val="1CEC1870"/>
    <w:rsid w:val="1CF00E8B"/>
    <w:rsid w:val="1CF6C87D"/>
    <w:rsid w:val="1CFA54DB"/>
    <w:rsid w:val="1CFA7181"/>
    <w:rsid w:val="1CFAFB64"/>
    <w:rsid w:val="1CFB09A9"/>
    <w:rsid w:val="1CFF0763"/>
    <w:rsid w:val="1CFF970C"/>
    <w:rsid w:val="1CFFB265"/>
    <w:rsid w:val="1D087FF6"/>
    <w:rsid w:val="1D0A40C3"/>
    <w:rsid w:val="1D0B12C4"/>
    <w:rsid w:val="1D0F308F"/>
    <w:rsid w:val="1D15FA7E"/>
    <w:rsid w:val="1D17BC30"/>
    <w:rsid w:val="1D18166C"/>
    <w:rsid w:val="1D199928"/>
    <w:rsid w:val="1D1AD44D"/>
    <w:rsid w:val="1D1C7DF6"/>
    <w:rsid w:val="1D1DEF1E"/>
    <w:rsid w:val="1D1F5862"/>
    <w:rsid w:val="1D203F99"/>
    <w:rsid w:val="1D217724"/>
    <w:rsid w:val="1D262EAA"/>
    <w:rsid w:val="1D2765AB"/>
    <w:rsid w:val="1D27AC31"/>
    <w:rsid w:val="1D288E2D"/>
    <w:rsid w:val="1D28A9E3"/>
    <w:rsid w:val="1D2DD11D"/>
    <w:rsid w:val="1D2F9762"/>
    <w:rsid w:val="1D30C40D"/>
    <w:rsid w:val="1D3300F5"/>
    <w:rsid w:val="1D33821D"/>
    <w:rsid w:val="1D35862A"/>
    <w:rsid w:val="1D35AEF9"/>
    <w:rsid w:val="1D3BB7CD"/>
    <w:rsid w:val="1D3BDE3E"/>
    <w:rsid w:val="1D3E14CA"/>
    <w:rsid w:val="1D3F8CD2"/>
    <w:rsid w:val="1D3FD868"/>
    <w:rsid w:val="1D422D98"/>
    <w:rsid w:val="1D434939"/>
    <w:rsid w:val="1D47F090"/>
    <w:rsid w:val="1D4996E5"/>
    <w:rsid w:val="1D511EC9"/>
    <w:rsid w:val="1D55729F"/>
    <w:rsid w:val="1D5E67BA"/>
    <w:rsid w:val="1D5F00C0"/>
    <w:rsid w:val="1D5F8560"/>
    <w:rsid w:val="1D5FEA50"/>
    <w:rsid w:val="1D62A2EF"/>
    <w:rsid w:val="1D62FCB5"/>
    <w:rsid w:val="1D655125"/>
    <w:rsid w:val="1D65DEBC"/>
    <w:rsid w:val="1D67ADDC"/>
    <w:rsid w:val="1D685D83"/>
    <w:rsid w:val="1D6919CC"/>
    <w:rsid w:val="1D69A49B"/>
    <w:rsid w:val="1D6A5A8D"/>
    <w:rsid w:val="1D6A75A7"/>
    <w:rsid w:val="1D6E57AC"/>
    <w:rsid w:val="1D6E86AF"/>
    <w:rsid w:val="1D7072BD"/>
    <w:rsid w:val="1D708A1C"/>
    <w:rsid w:val="1D73A343"/>
    <w:rsid w:val="1D777532"/>
    <w:rsid w:val="1D7A5B7D"/>
    <w:rsid w:val="1D7B0AF0"/>
    <w:rsid w:val="1D7CFF78"/>
    <w:rsid w:val="1D7DEF25"/>
    <w:rsid w:val="1D83F687"/>
    <w:rsid w:val="1D84530C"/>
    <w:rsid w:val="1D84C894"/>
    <w:rsid w:val="1D85C928"/>
    <w:rsid w:val="1D89F0B9"/>
    <w:rsid w:val="1D8C826B"/>
    <w:rsid w:val="1D8FD035"/>
    <w:rsid w:val="1D91DC20"/>
    <w:rsid w:val="1D95B495"/>
    <w:rsid w:val="1D980871"/>
    <w:rsid w:val="1D9DA34B"/>
    <w:rsid w:val="1D9E9E78"/>
    <w:rsid w:val="1D9FA103"/>
    <w:rsid w:val="1DA45C06"/>
    <w:rsid w:val="1DA4FE6F"/>
    <w:rsid w:val="1DAC638E"/>
    <w:rsid w:val="1DAFA021"/>
    <w:rsid w:val="1DB4CDE8"/>
    <w:rsid w:val="1DB61F88"/>
    <w:rsid w:val="1DB870F4"/>
    <w:rsid w:val="1DBAC0CB"/>
    <w:rsid w:val="1DBDF0DE"/>
    <w:rsid w:val="1DC038BC"/>
    <w:rsid w:val="1DC2CEA4"/>
    <w:rsid w:val="1DC3B0C0"/>
    <w:rsid w:val="1DC445FB"/>
    <w:rsid w:val="1DC6F077"/>
    <w:rsid w:val="1DC9261E"/>
    <w:rsid w:val="1DC94209"/>
    <w:rsid w:val="1DCA8D46"/>
    <w:rsid w:val="1DCC28B3"/>
    <w:rsid w:val="1DCCDE14"/>
    <w:rsid w:val="1DCD9963"/>
    <w:rsid w:val="1DCFB954"/>
    <w:rsid w:val="1DD456C0"/>
    <w:rsid w:val="1DD5190E"/>
    <w:rsid w:val="1DD815E8"/>
    <w:rsid w:val="1DD96652"/>
    <w:rsid w:val="1DDA2B83"/>
    <w:rsid w:val="1DDC16EB"/>
    <w:rsid w:val="1DE2AF91"/>
    <w:rsid w:val="1DE3863F"/>
    <w:rsid w:val="1DECCF03"/>
    <w:rsid w:val="1DEE216E"/>
    <w:rsid w:val="1DF1D46A"/>
    <w:rsid w:val="1DF88854"/>
    <w:rsid w:val="1DF90EE4"/>
    <w:rsid w:val="1DFBAE04"/>
    <w:rsid w:val="1DFC9FF8"/>
    <w:rsid w:val="1DFE6B35"/>
    <w:rsid w:val="1E00A335"/>
    <w:rsid w:val="1E0542BC"/>
    <w:rsid w:val="1E080A0F"/>
    <w:rsid w:val="1E097F5B"/>
    <w:rsid w:val="1E0CF700"/>
    <w:rsid w:val="1E107DC4"/>
    <w:rsid w:val="1E10BCE8"/>
    <w:rsid w:val="1E117938"/>
    <w:rsid w:val="1E128EC1"/>
    <w:rsid w:val="1E13214F"/>
    <w:rsid w:val="1E173D36"/>
    <w:rsid w:val="1E184719"/>
    <w:rsid w:val="1E18F9BF"/>
    <w:rsid w:val="1E1E6758"/>
    <w:rsid w:val="1E1ECC2E"/>
    <w:rsid w:val="1E1FD524"/>
    <w:rsid w:val="1E26218A"/>
    <w:rsid w:val="1E27F6D6"/>
    <w:rsid w:val="1E2AA6E1"/>
    <w:rsid w:val="1E2B29E8"/>
    <w:rsid w:val="1E2B6DE3"/>
    <w:rsid w:val="1E2CF2F8"/>
    <w:rsid w:val="1E2DA0B7"/>
    <w:rsid w:val="1E3B7479"/>
    <w:rsid w:val="1E3B96C4"/>
    <w:rsid w:val="1E3C169B"/>
    <w:rsid w:val="1E3F52FA"/>
    <w:rsid w:val="1E3FD9E0"/>
    <w:rsid w:val="1E42913B"/>
    <w:rsid w:val="1E43C19A"/>
    <w:rsid w:val="1E44D99A"/>
    <w:rsid w:val="1E48B83F"/>
    <w:rsid w:val="1E49EAA1"/>
    <w:rsid w:val="1E4AB737"/>
    <w:rsid w:val="1E4D7FD1"/>
    <w:rsid w:val="1E4E0696"/>
    <w:rsid w:val="1E4F21BC"/>
    <w:rsid w:val="1E51F966"/>
    <w:rsid w:val="1E5643B5"/>
    <w:rsid w:val="1E56D620"/>
    <w:rsid w:val="1E5A5391"/>
    <w:rsid w:val="1E5AB394"/>
    <w:rsid w:val="1E5ADBDC"/>
    <w:rsid w:val="1E5D1911"/>
    <w:rsid w:val="1E602151"/>
    <w:rsid w:val="1E60C557"/>
    <w:rsid w:val="1E61233F"/>
    <w:rsid w:val="1E6231C0"/>
    <w:rsid w:val="1E628F7A"/>
    <w:rsid w:val="1E632BD2"/>
    <w:rsid w:val="1E634181"/>
    <w:rsid w:val="1E63C610"/>
    <w:rsid w:val="1E66A635"/>
    <w:rsid w:val="1E677309"/>
    <w:rsid w:val="1E680973"/>
    <w:rsid w:val="1E69AD9B"/>
    <w:rsid w:val="1E6A4503"/>
    <w:rsid w:val="1E6A886F"/>
    <w:rsid w:val="1E6D9C93"/>
    <w:rsid w:val="1E707C38"/>
    <w:rsid w:val="1E71187E"/>
    <w:rsid w:val="1E76F8A8"/>
    <w:rsid w:val="1E795797"/>
    <w:rsid w:val="1E7BEE31"/>
    <w:rsid w:val="1E7CF3B8"/>
    <w:rsid w:val="1E806783"/>
    <w:rsid w:val="1E816BC9"/>
    <w:rsid w:val="1E832D1D"/>
    <w:rsid w:val="1E8530EA"/>
    <w:rsid w:val="1E86A004"/>
    <w:rsid w:val="1E881161"/>
    <w:rsid w:val="1E8A5D65"/>
    <w:rsid w:val="1E8D4D21"/>
    <w:rsid w:val="1E8E9030"/>
    <w:rsid w:val="1E8F6BDC"/>
    <w:rsid w:val="1E8FACE5"/>
    <w:rsid w:val="1E912E00"/>
    <w:rsid w:val="1E95B587"/>
    <w:rsid w:val="1E969FB8"/>
    <w:rsid w:val="1E9C48B0"/>
    <w:rsid w:val="1E9D27B1"/>
    <w:rsid w:val="1E9DD028"/>
    <w:rsid w:val="1E9E1B66"/>
    <w:rsid w:val="1EA079B6"/>
    <w:rsid w:val="1EA61347"/>
    <w:rsid w:val="1EA94C76"/>
    <w:rsid w:val="1EAA6EBE"/>
    <w:rsid w:val="1EAC89BF"/>
    <w:rsid w:val="1EAF8C19"/>
    <w:rsid w:val="1EB43822"/>
    <w:rsid w:val="1EB5568D"/>
    <w:rsid w:val="1EB7C166"/>
    <w:rsid w:val="1EB85F15"/>
    <w:rsid w:val="1EB9F8DA"/>
    <w:rsid w:val="1EBA0F11"/>
    <w:rsid w:val="1EBE708F"/>
    <w:rsid w:val="1EBEDD66"/>
    <w:rsid w:val="1EC33E96"/>
    <w:rsid w:val="1EC3650D"/>
    <w:rsid w:val="1EC4E956"/>
    <w:rsid w:val="1EC50B05"/>
    <w:rsid w:val="1EC5B324"/>
    <w:rsid w:val="1EC7004C"/>
    <w:rsid w:val="1ECE2396"/>
    <w:rsid w:val="1ECF9881"/>
    <w:rsid w:val="1ED11947"/>
    <w:rsid w:val="1ED173EC"/>
    <w:rsid w:val="1ED616E0"/>
    <w:rsid w:val="1EDBE7DA"/>
    <w:rsid w:val="1EDBFC65"/>
    <w:rsid w:val="1EDD4E1E"/>
    <w:rsid w:val="1EDE9C6C"/>
    <w:rsid w:val="1EE2C4D2"/>
    <w:rsid w:val="1EE2E6EE"/>
    <w:rsid w:val="1EE67671"/>
    <w:rsid w:val="1EE84EC6"/>
    <w:rsid w:val="1EEB2703"/>
    <w:rsid w:val="1EEB278C"/>
    <w:rsid w:val="1EED818C"/>
    <w:rsid w:val="1EEEBA91"/>
    <w:rsid w:val="1EEFC5E9"/>
    <w:rsid w:val="1EF130DE"/>
    <w:rsid w:val="1EF4A2B3"/>
    <w:rsid w:val="1EF826DA"/>
    <w:rsid w:val="1EF9FE0D"/>
    <w:rsid w:val="1EFB45E0"/>
    <w:rsid w:val="1EFE0C25"/>
    <w:rsid w:val="1F01A8F9"/>
    <w:rsid w:val="1F066C07"/>
    <w:rsid w:val="1F076791"/>
    <w:rsid w:val="1F0982D8"/>
    <w:rsid w:val="1F0C2F0A"/>
    <w:rsid w:val="1F0C4792"/>
    <w:rsid w:val="1F0CBD09"/>
    <w:rsid w:val="1F169E6D"/>
    <w:rsid w:val="1F1BBBBB"/>
    <w:rsid w:val="1F1BF239"/>
    <w:rsid w:val="1F1FF15C"/>
    <w:rsid w:val="1F2259D4"/>
    <w:rsid w:val="1F230FBB"/>
    <w:rsid w:val="1F25B7A9"/>
    <w:rsid w:val="1F26D1F5"/>
    <w:rsid w:val="1F296149"/>
    <w:rsid w:val="1F29B5D7"/>
    <w:rsid w:val="1F2AA4EB"/>
    <w:rsid w:val="1F2E8085"/>
    <w:rsid w:val="1F33993A"/>
    <w:rsid w:val="1F347212"/>
    <w:rsid w:val="1F34E44D"/>
    <w:rsid w:val="1F36A2CF"/>
    <w:rsid w:val="1F37F2A8"/>
    <w:rsid w:val="1F398D87"/>
    <w:rsid w:val="1F415952"/>
    <w:rsid w:val="1F437A9E"/>
    <w:rsid w:val="1F43C1CA"/>
    <w:rsid w:val="1F48AB27"/>
    <w:rsid w:val="1F48E367"/>
    <w:rsid w:val="1F4A9C5A"/>
    <w:rsid w:val="1F4EFFFA"/>
    <w:rsid w:val="1F525BF1"/>
    <w:rsid w:val="1F5365B6"/>
    <w:rsid w:val="1F5F8121"/>
    <w:rsid w:val="1F61774A"/>
    <w:rsid w:val="1F61CB1B"/>
    <w:rsid w:val="1F62C9E1"/>
    <w:rsid w:val="1F64376D"/>
    <w:rsid w:val="1F67BE5C"/>
    <w:rsid w:val="1F699A0C"/>
    <w:rsid w:val="1F6B70FC"/>
    <w:rsid w:val="1F6C9F69"/>
    <w:rsid w:val="1F6CDAC0"/>
    <w:rsid w:val="1F6FEE76"/>
    <w:rsid w:val="1F75A47B"/>
    <w:rsid w:val="1F784214"/>
    <w:rsid w:val="1F7B86E7"/>
    <w:rsid w:val="1F7BE039"/>
    <w:rsid w:val="1F7C3458"/>
    <w:rsid w:val="1F7D1053"/>
    <w:rsid w:val="1F7E4873"/>
    <w:rsid w:val="1F7F0C6E"/>
    <w:rsid w:val="1F7F1A69"/>
    <w:rsid w:val="1F7F7B6C"/>
    <w:rsid w:val="1F83D3F8"/>
    <w:rsid w:val="1F846298"/>
    <w:rsid w:val="1F84A782"/>
    <w:rsid w:val="1F86050E"/>
    <w:rsid w:val="1F885807"/>
    <w:rsid w:val="1F8937EB"/>
    <w:rsid w:val="1F8C741A"/>
    <w:rsid w:val="1F8E2E17"/>
    <w:rsid w:val="1F907A5F"/>
    <w:rsid w:val="1F908AFC"/>
    <w:rsid w:val="1F90CD0E"/>
    <w:rsid w:val="1F9C7850"/>
    <w:rsid w:val="1FA14929"/>
    <w:rsid w:val="1FA20ED1"/>
    <w:rsid w:val="1FA5920E"/>
    <w:rsid w:val="1FA8ADD0"/>
    <w:rsid w:val="1FA94E1E"/>
    <w:rsid w:val="1FA96F4A"/>
    <w:rsid w:val="1FA99AD0"/>
    <w:rsid w:val="1FAAF2EC"/>
    <w:rsid w:val="1FB35241"/>
    <w:rsid w:val="1FB82623"/>
    <w:rsid w:val="1FB9EEBD"/>
    <w:rsid w:val="1FBA2EF1"/>
    <w:rsid w:val="1FBB4F1B"/>
    <w:rsid w:val="1FBB9084"/>
    <w:rsid w:val="1FBD5D14"/>
    <w:rsid w:val="1FBF9CA3"/>
    <w:rsid w:val="1FC3CC42"/>
    <w:rsid w:val="1FC4BA2B"/>
    <w:rsid w:val="1FC65E0F"/>
    <w:rsid w:val="1FC6F5EB"/>
    <w:rsid w:val="1FC76222"/>
    <w:rsid w:val="1FC8BCEE"/>
    <w:rsid w:val="1FCED9F8"/>
    <w:rsid w:val="1FCF775E"/>
    <w:rsid w:val="1FD1A7F1"/>
    <w:rsid w:val="1FD1FD38"/>
    <w:rsid w:val="1FD8CC7D"/>
    <w:rsid w:val="1FD8D8C9"/>
    <w:rsid w:val="1FD9339B"/>
    <w:rsid w:val="1FD9E660"/>
    <w:rsid w:val="1FDB983F"/>
    <w:rsid w:val="1FDDEF8E"/>
    <w:rsid w:val="1FE08666"/>
    <w:rsid w:val="1FE5FE36"/>
    <w:rsid w:val="1FE672E9"/>
    <w:rsid w:val="1FE7EC93"/>
    <w:rsid w:val="1FE87241"/>
    <w:rsid w:val="1FEAB8A4"/>
    <w:rsid w:val="1FEBC6DE"/>
    <w:rsid w:val="1FEDA541"/>
    <w:rsid w:val="1FEDB4F4"/>
    <w:rsid w:val="1FEE25DF"/>
    <w:rsid w:val="1FEF08FA"/>
    <w:rsid w:val="1FEF0EF7"/>
    <w:rsid w:val="1FF26693"/>
    <w:rsid w:val="1FF94339"/>
    <w:rsid w:val="1FFCA175"/>
    <w:rsid w:val="1FFE0D72"/>
    <w:rsid w:val="20022B84"/>
    <w:rsid w:val="20024F99"/>
    <w:rsid w:val="200B3A1D"/>
    <w:rsid w:val="201354A7"/>
    <w:rsid w:val="2018A3F5"/>
    <w:rsid w:val="2018A969"/>
    <w:rsid w:val="201B8EB8"/>
    <w:rsid w:val="201E05E5"/>
    <w:rsid w:val="2023BF9C"/>
    <w:rsid w:val="2026EA13"/>
    <w:rsid w:val="20281F9A"/>
    <w:rsid w:val="202ACA34"/>
    <w:rsid w:val="202B0019"/>
    <w:rsid w:val="202B576D"/>
    <w:rsid w:val="20354FF2"/>
    <w:rsid w:val="203559AB"/>
    <w:rsid w:val="203A9C3B"/>
    <w:rsid w:val="203D6B99"/>
    <w:rsid w:val="203D713F"/>
    <w:rsid w:val="203F2554"/>
    <w:rsid w:val="20472EC6"/>
    <w:rsid w:val="2047F640"/>
    <w:rsid w:val="204AC7A6"/>
    <w:rsid w:val="204AE743"/>
    <w:rsid w:val="204B9910"/>
    <w:rsid w:val="204C6C31"/>
    <w:rsid w:val="205014A7"/>
    <w:rsid w:val="2052533A"/>
    <w:rsid w:val="205298B3"/>
    <w:rsid w:val="2055435F"/>
    <w:rsid w:val="2055C515"/>
    <w:rsid w:val="2056DADD"/>
    <w:rsid w:val="205A702F"/>
    <w:rsid w:val="205AE97A"/>
    <w:rsid w:val="206238C5"/>
    <w:rsid w:val="20624484"/>
    <w:rsid w:val="2069850A"/>
    <w:rsid w:val="206AD609"/>
    <w:rsid w:val="206B63FA"/>
    <w:rsid w:val="206B7BC7"/>
    <w:rsid w:val="206F1BAC"/>
    <w:rsid w:val="2070D4EC"/>
    <w:rsid w:val="20719A4F"/>
    <w:rsid w:val="2072543F"/>
    <w:rsid w:val="20731D49"/>
    <w:rsid w:val="207A3B59"/>
    <w:rsid w:val="207D3688"/>
    <w:rsid w:val="207DCB2C"/>
    <w:rsid w:val="207E2F94"/>
    <w:rsid w:val="20842979"/>
    <w:rsid w:val="2088FF89"/>
    <w:rsid w:val="208B0AAD"/>
    <w:rsid w:val="208D6EA4"/>
    <w:rsid w:val="2096BFED"/>
    <w:rsid w:val="20976251"/>
    <w:rsid w:val="209D46CA"/>
    <w:rsid w:val="209F2417"/>
    <w:rsid w:val="209F9FAB"/>
    <w:rsid w:val="20A16C36"/>
    <w:rsid w:val="20A24EDA"/>
    <w:rsid w:val="20A66735"/>
    <w:rsid w:val="20A6E043"/>
    <w:rsid w:val="20A89886"/>
    <w:rsid w:val="20AB3053"/>
    <w:rsid w:val="20ABDA35"/>
    <w:rsid w:val="20AC6D99"/>
    <w:rsid w:val="20AD3F9F"/>
    <w:rsid w:val="20AEB92D"/>
    <w:rsid w:val="20AF9D8A"/>
    <w:rsid w:val="20B1033C"/>
    <w:rsid w:val="20B4A072"/>
    <w:rsid w:val="20B4D151"/>
    <w:rsid w:val="20BCE424"/>
    <w:rsid w:val="20BE95CC"/>
    <w:rsid w:val="20BEC6BD"/>
    <w:rsid w:val="20BF77C1"/>
    <w:rsid w:val="20C437B3"/>
    <w:rsid w:val="20C58460"/>
    <w:rsid w:val="20C8FF42"/>
    <w:rsid w:val="20C9AEBC"/>
    <w:rsid w:val="20CC7C36"/>
    <w:rsid w:val="20CD632C"/>
    <w:rsid w:val="20CE68C5"/>
    <w:rsid w:val="20CEBE36"/>
    <w:rsid w:val="20CF2D1E"/>
    <w:rsid w:val="20D0D2FA"/>
    <w:rsid w:val="20D1BC1E"/>
    <w:rsid w:val="20D2EEE1"/>
    <w:rsid w:val="20DA14BD"/>
    <w:rsid w:val="20DA46EF"/>
    <w:rsid w:val="20DD26D7"/>
    <w:rsid w:val="20DEABA9"/>
    <w:rsid w:val="20E09A42"/>
    <w:rsid w:val="20E09D83"/>
    <w:rsid w:val="20E629F0"/>
    <w:rsid w:val="20E6DF71"/>
    <w:rsid w:val="20ECB3F8"/>
    <w:rsid w:val="20ED75A2"/>
    <w:rsid w:val="20EF7E6E"/>
    <w:rsid w:val="20F26BB7"/>
    <w:rsid w:val="20F2B125"/>
    <w:rsid w:val="20F4EF51"/>
    <w:rsid w:val="20F87B2F"/>
    <w:rsid w:val="20F8CA8B"/>
    <w:rsid w:val="20F92CC2"/>
    <w:rsid w:val="20FB5182"/>
    <w:rsid w:val="20FB91B6"/>
    <w:rsid w:val="20FC465D"/>
    <w:rsid w:val="20FD4F9B"/>
    <w:rsid w:val="20FF36C7"/>
    <w:rsid w:val="210012AB"/>
    <w:rsid w:val="21004F9F"/>
    <w:rsid w:val="2103EF24"/>
    <w:rsid w:val="2104B332"/>
    <w:rsid w:val="21064797"/>
    <w:rsid w:val="21067DA2"/>
    <w:rsid w:val="21095F1D"/>
    <w:rsid w:val="210AE1DD"/>
    <w:rsid w:val="2111F048"/>
    <w:rsid w:val="211201B7"/>
    <w:rsid w:val="21157B6B"/>
    <w:rsid w:val="2117293A"/>
    <w:rsid w:val="2118EDAE"/>
    <w:rsid w:val="21195846"/>
    <w:rsid w:val="2121D130"/>
    <w:rsid w:val="2122E9DE"/>
    <w:rsid w:val="212456E6"/>
    <w:rsid w:val="212835D7"/>
    <w:rsid w:val="21295F02"/>
    <w:rsid w:val="212F1394"/>
    <w:rsid w:val="212F2201"/>
    <w:rsid w:val="212FB86A"/>
    <w:rsid w:val="21303B64"/>
    <w:rsid w:val="2130FFCA"/>
    <w:rsid w:val="2132E0DE"/>
    <w:rsid w:val="213882C1"/>
    <w:rsid w:val="213B6F2E"/>
    <w:rsid w:val="213CE37E"/>
    <w:rsid w:val="213FBFD9"/>
    <w:rsid w:val="2140D7AA"/>
    <w:rsid w:val="214117DF"/>
    <w:rsid w:val="2144231E"/>
    <w:rsid w:val="214719B0"/>
    <w:rsid w:val="214A7894"/>
    <w:rsid w:val="214DB251"/>
    <w:rsid w:val="214DB68C"/>
    <w:rsid w:val="214F9120"/>
    <w:rsid w:val="21505586"/>
    <w:rsid w:val="215068AB"/>
    <w:rsid w:val="215326C6"/>
    <w:rsid w:val="2153F73A"/>
    <w:rsid w:val="2154F2DC"/>
    <w:rsid w:val="215531E2"/>
    <w:rsid w:val="21578347"/>
    <w:rsid w:val="21585AE8"/>
    <w:rsid w:val="215955BB"/>
    <w:rsid w:val="2159AA2F"/>
    <w:rsid w:val="215B8888"/>
    <w:rsid w:val="21659962"/>
    <w:rsid w:val="2167A464"/>
    <w:rsid w:val="2168C854"/>
    <w:rsid w:val="216E04A9"/>
    <w:rsid w:val="216F24E4"/>
    <w:rsid w:val="216FA5AC"/>
    <w:rsid w:val="217064C6"/>
    <w:rsid w:val="2170975E"/>
    <w:rsid w:val="2176F4DA"/>
    <w:rsid w:val="2179CD05"/>
    <w:rsid w:val="217F0EDC"/>
    <w:rsid w:val="21829213"/>
    <w:rsid w:val="21832164"/>
    <w:rsid w:val="2184B787"/>
    <w:rsid w:val="2186C9E2"/>
    <w:rsid w:val="218793AC"/>
    <w:rsid w:val="2187B88D"/>
    <w:rsid w:val="218AE33F"/>
    <w:rsid w:val="218B2D8F"/>
    <w:rsid w:val="218CE652"/>
    <w:rsid w:val="218DBD55"/>
    <w:rsid w:val="21961D85"/>
    <w:rsid w:val="219B3B45"/>
    <w:rsid w:val="219FDD2D"/>
    <w:rsid w:val="21A3306B"/>
    <w:rsid w:val="21A37171"/>
    <w:rsid w:val="21A3B0AC"/>
    <w:rsid w:val="21A442FF"/>
    <w:rsid w:val="21A48704"/>
    <w:rsid w:val="21A8EA79"/>
    <w:rsid w:val="21AB31E0"/>
    <w:rsid w:val="21B108DA"/>
    <w:rsid w:val="21B1C65A"/>
    <w:rsid w:val="21B1EE8F"/>
    <w:rsid w:val="21B374B5"/>
    <w:rsid w:val="21B83253"/>
    <w:rsid w:val="21C42426"/>
    <w:rsid w:val="21C5B37F"/>
    <w:rsid w:val="21C5FB2B"/>
    <w:rsid w:val="21C6529D"/>
    <w:rsid w:val="21C6CD79"/>
    <w:rsid w:val="21CE1DDC"/>
    <w:rsid w:val="21CF3463"/>
    <w:rsid w:val="21CF4553"/>
    <w:rsid w:val="21CF7C30"/>
    <w:rsid w:val="21DAEB04"/>
    <w:rsid w:val="21DB92D6"/>
    <w:rsid w:val="21DC585D"/>
    <w:rsid w:val="21DD0792"/>
    <w:rsid w:val="21E745D3"/>
    <w:rsid w:val="21E96DDB"/>
    <w:rsid w:val="21EB1C8B"/>
    <w:rsid w:val="21EBE02E"/>
    <w:rsid w:val="21ECE310"/>
    <w:rsid w:val="21ED56CD"/>
    <w:rsid w:val="21ED57DC"/>
    <w:rsid w:val="21ED7FBB"/>
    <w:rsid w:val="21EE63F8"/>
    <w:rsid w:val="21F3E48C"/>
    <w:rsid w:val="21F6069D"/>
    <w:rsid w:val="21F631D1"/>
    <w:rsid w:val="21F6CE2F"/>
    <w:rsid w:val="21FC24FD"/>
    <w:rsid w:val="21FCB608"/>
    <w:rsid w:val="21FDAA83"/>
    <w:rsid w:val="21FDDCB5"/>
    <w:rsid w:val="21FFB958"/>
    <w:rsid w:val="22003DB4"/>
    <w:rsid w:val="2200817E"/>
    <w:rsid w:val="2206AE98"/>
    <w:rsid w:val="2209F977"/>
    <w:rsid w:val="220A25BD"/>
    <w:rsid w:val="220B57A9"/>
    <w:rsid w:val="221279BA"/>
    <w:rsid w:val="221412C2"/>
    <w:rsid w:val="2216929B"/>
    <w:rsid w:val="22182F79"/>
    <w:rsid w:val="221A5D86"/>
    <w:rsid w:val="221E8CBB"/>
    <w:rsid w:val="2224A9BD"/>
    <w:rsid w:val="222620B2"/>
    <w:rsid w:val="2227F01E"/>
    <w:rsid w:val="222D2556"/>
    <w:rsid w:val="222DEA65"/>
    <w:rsid w:val="2232BA66"/>
    <w:rsid w:val="2233EC99"/>
    <w:rsid w:val="2238D09B"/>
    <w:rsid w:val="223BE59E"/>
    <w:rsid w:val="223C3701"/>
    <w:rsid w:val="223CEC41"/>
    <w:rsid w:val="2242696C"/>
    <w:rsid w:val="2244E11D"/>
    <w:rsid w:val="22473E79"/>
    <w:rsid w:val="2248C9DB"/>
    <w:rsid w:val="224A2C18"/>
    <w:rsid w:val="224A7F2C"/>
    <w:rsid w:val="224AFB85"/>
    <w:rsid w:val="224B1C0A"/>
    <w:rsid w:val="224DE3BA"/>
    <w:rsid w:val="224FA4CD"/>
    <w:rsid w:val="22507E10"/>
    <w:rsid w:val="2255F3DA"/>
    <w:rsid w:val="2259756F"/>
    <w:rsid w:val="225A39AE"/>
    <w:rsid w:val="225ADA0F"/>
    <w:rsid w:val="225B8E2D"/>
    <w:rsid w:val="225E200E"/>
    <w:rsid w:val="225F0351"/>
    <w:rsid w:val="22600F58"/>
    <w:rsid w:val="22603A4F"/>
    <w:rsid w:val="226857EB"/>
    <w:rsid w:val="226DBCD5"/>
    <w:rsid w:val="226FA052"/>
    <w:rsid w:val="22703796"/>
    <w:rsid w:val="2272F1B7"/>
    <w:rsid w:val="22742881"/>
    <w:rsid w:val="227674F3"/>
    <w:rsid w:val="2279A266"/>
    <w:rsid w:val="2279A731"/>
    <w:rsid w:val="2279B993"/>
    <w:rsid w:val="2279E094"/>
    <w:rsid w:val="227B628C"/>
    <w:rsid w:val="228038C7"/>
    <w:rsid w:val="22812580"/>
    <w:rsid w:val="2281D71F"/>
    <w:rsid w:val="22829D57"/>
    <w:rsid w:val="22864020"/>
    <w:rsid w:val="2287BFC7"/>
    <w:rsid w:val="22896B14"/>
    <w:rsid w:val="228BB148"/>
    <w:rsid w:val="228C5F24"/>
    <w:rsid w:val="228D3BAE"/>
    <w:rsid w:val="2293DC22"/>
    <w:rsid w:val="229431C0"/>
    <w:rsid w:val="2295F644"/>
    <w:rsid w:val="2296DBFF"/>
    <w:rsid w:val="2299F0F9"/>
    <w:rsid w:val="229A019E"/>
    <w:rsid w:val="229A2EC9"/>
    <w:rsid w:val="229BAD2B"/>
    <w:rsid w:val="229BC6DB"/>
    <w:rsid w:val="229DD8C0"/>
    <w:rsid w:val="22A37275"/>
    <w:rsid w:val="22A50D9B"/>
    <w:rsid w:val="22A5F31D"/>
    <w:rsid w:val="22A62CC5"/>
    <w:rsid w:val="22AA550C"/>
    <w:rsid w:val="22AC6B88"/>
    <w:rsid w:val="22AE15D4"/>
    <w:rsid w:val="22AF59D6"/>
    <w:rsid w:val="22AF7EBE"/>
    <w:rsid w:val="22B01045"/>
    <w:rsid w:val="22B202F6"/>
    <w:rsid w:val="22B69446"/>
    <w:rsid w:val="22B9E0E9"/>
    <w:rsid w:val="22BCB263"/>
    <w:rsid w:val="22BE4C2C"/>
    <w:rsid w:val="22BFFC06"/>
    <w:rsid w:val="22C3148A"/>
    <w:rsid w:val="22C46859"/>
    <w:rsid w:val="22C4E9F7"/>
    <w:rsid w:val="22C662FD"/>
    <w:rsid w:val="22CC5663"/>
    <w:rsid w:val="22CC7D58"/>
    <w:rsid w:val="22CE455D"/>
    <w:rsid w:val="22D053A0"/>
    <w:rsid w:val="22D298C1"/>
    <w:rsid w:val="22D2F8B7"/>
    <w:rsid w:val="22D67002"/>
    <w:rsid w:val="22E007B7"/>
    <w:rsid w:val="22E17C37"/>
    <w:rsid w:val="22E22724"/>
    <w:rsid w:val="22E48388"/>
    <w:rsid w:val="22E7638D"/>
    <w:rsid w:val="22E9397B"/>
    <w:rsid w:val="22EA1AA4"/>
    <w:rsid w:val="22EA7A01"/>
    <w:rsid w:val="22EF485C"/>
    <w:rsid w:val="22F024E0"/>
    <w:rsid w:val="22F1A22F"/>
    <w:rsid w:val="22F5552E"/>
    <w:rsid w:val="22F75A9D"/>
    <w:rsid w:val="22FD4EEA"/>
    <w:rsid w:val="22FD9ACB"/>
    <w:rsid w:val="2305116E"/>
    <w:rsid w:val="230B40C4"/>
    <w:rsid w:val="230C233A"/>
    <w:rsid w:val="230E068B"/>
    <w:rsid w:val="230E8954"/>
    <w:rsid w:val="230ED896"/>
    <w:rsid w:val="230FAAD9"/>
    <w:rsid w:val="23100002"/>
    <w:rsid w:val="2310D45D"/>
    <w:rsid w:val="23140D24"/>
    <w:rsid w:val="231BE3E3"/>
    <w:rsid w:val="2322D882"/>
    <w:rsid w:val="2325A293"/>
    <w:rsid w:val="23292DDF"/>
    <w:rsid w:val="232E49D5"/>
    <w:rsid w:val="232F2759"/>
    <w:rsid w:val="2330FEBF"/>
    <w:rsid w:val="23321C80"/>
    <w:rsid w:val="233630C2"/>
    <w:rsid w:val="23386C81"/>
    <w:rsid w:val="23387E04"/>
    <w:rsid w:val="23394F13"/>
    <w:rsid w:val="233A6453"/>
    <w:rsid w:val="233BD0D9"/>
    <w:rsid w:val="233D4440"/>
    <w:rsid w:val="233DDC1D"/>
    <w:rsid w:val="233E7E8C"/>
    <w:rsid w:val="233F3000"/>
    <w:rsid w:val="2340A1A5"/>
    <w:rsid w:val="23420575"/>
    <w:rsid w:val="23432AA3"/>
    <w:rsid w:val="2343D970"/>
    <w:rsid w:val="2346FBE1"/>
    <w:rsid w:val="2347187C"/>
    <w:rsid w:val="23483E1C"/>
    <w:rsid w:val="2348BDF8"/>
    <w:rsid w:val="234CBB59"/>
    <w:rsid w:val="234CE1A4"/>
    <w:rsid w:val="234DA24B"/>
    <w:rsid w:val="2353FBAF"/>
    <w:rsid w:val="2354D475"/>
    <w:rsid w:val="235647CC"/>
    <w:rsid w:val="23566D6D"/>
    <w:rsid w:val="235713CC"/>
    <w:rsid w:val="23593EA4"/>
    <w:rsid w:val="2359AEE5"/>
    <w:rsid w:val="235A5E1A"/>
    <w:rsid w:val="23611EF6"/>
    <w:rsid w:val="236192C7"/>
    <w:rsid w:val="23651152"/>
    <w:rsid w:val="2367F928"/>
    <w:rsid w:val="23687811"/>
    <w:rsid w:val="236D7E1B"/>
    <w:rsid w:val="2370623E"/>
    <w:rsid w:val="23712B02"/>
    <w:rsid w:val="2371B0E6"/>
    <w:rsid w:val="2373C810"/>
    <w:rsid w:val="237F89D2"/>
    <w:rsid w:val="2381FF25"/>
    <w:rsid w:val="23823A00"/>
    <w:rsid w:val="2385492F"/>
    <w:rsid w:val="238951CE"/>
    <w:rsid w:val="238A9894"/>
    <w:rsid w:val="238D1378"/>
    <w:rsid w:val="2391D893"/>
    <w:rsid w:val="2392342D"/>
    <w:rsid w:val="23941AFF"/>
    <w:rsid w:val="23958228"/>
    <w:rsid w:val="2395D0DC"/>
    <w:rsid w:val="239718E5"/>
    <w:rsid w:val="239794F8"/>
    <w:rsid w:val="2399B0E1"/>
    <w:rsid w:val="239DFD30"/>
    <w:rsid w:val="239EE082"/>
    <w:rsid w:val="23A07703"/>
    <w:rsid w:val="23A2AF4C"/>
    <w:rsid w:val="23A6C42E"/>
    <w:rsid w:val="23A9D904"/>
    <w:rsid w:val="23ADAFEB"/>
    <w:rsid w:val="23ADCE7F"/>
    <w:rsid w:val="23AEC72B"/>
    <w:rsid w:val="23B2678F"/>
    <w:rsid w:val="23B2A54E"/>
    <w:rsid w:val="23BA2CDC"/>
    <w:rsid w:val="23BC795D"/>
    <w:rsid w:val="23C17862"/>
    <w:rsid w:val="23C854FF"/>
    <w:rsid w:val="23C85D84"/>
    <w:rsid w:val="23CC76D2"/>
    <w:rsid w:val="23D150B0"/>
    <w:rsid w:val="23DDB5D8"/>
    <w:rsid w:val="23DE388C"/>
    <w:rsid w:val="23E10541"/>
    <w:rsid w:val="23E255D6"/>
    <w:rsid w:val="23E6F2CC"/>
    <w:rsid w:val="23E7E106"/>
    <w:rsid w:val="23E8E63E"/>
    <w:rsid w:val="23ECA45E"/>
    <w:rsid w:val="23ECB917"/>
    <w:rsid w:val="23ED8462"/>
    <w:rsid w:val="23EE4313"/>
    <w:rsid w:val="23EECCC8"/>
    <w:rsid w:val="23EF4977"/>
    <w:rsid w:val="23F0697F"/>
    <w:rsid w:val="23F57C0B"/>
    <w:rsid w:val="23F6E32B"/>
    <w:rsid w:val="23F77CD7"/>
    <w:rsid w:val="23F90DB4"/>
    <w:rsid w:val="23FDF0E4"/>
    <w:rsid w:val="23FE345F"/>
    <w:rsid w:val="23FEF8C3"/>
    <w:rsid w:val="240181BB"/>
    <w:rsid w:val="240284F1"/>
    <w:rsid w:val="2402D5A5"/>
    <w:rsid w:val="24042974"/>
    <w:rsid w:val="24058441"/>
    <w:rsid w:val="240A3F45"/>
    <w:rsid w:val="240DF32F"/>
    <w:rsid w:val="240ECACD"/>
    <w:rsid w:val="240F3E7B"/>
    <w:rsid w:val="240FFAB8"/>
    <w:rsid w:val="2410A28C"/>
    <w:rsid w:val="24115D8B"/>
    <w:rsid w:val="2411914F"/>
    <w:rsid w:val="24131F6F"/>
    <w:rsid w:val="2414CA75"/>
    <w:rsid w:val="24178F8D"/>
    <w:rsid w:val="241DC994"/>
    <w:rsid w:val="241E87AB"/>
    <w:rsid w:val="241EC2C5"/>
    <w:rsid w:val="241F00FA"/>
    <w:rsid w:val="24202B32"/>
    <w:rsid w:val="242349F7"/>
    <w:rsid w:val="24243E79"/>
    <w:rsid w:val="2424FE35"/>
    <w:rsid w:val="242594FE"/>
    <w:rsid w:val="2428E051"/>
    <w:rsid w:val="242F7F79"/>
    <w:rsid w:val="24342C39"/>
    <w:rsid w:val="2435D358"/>
    <w:rsid w:val="2437BC91"/>
    <w:rsid w:val="243B1EE7"/>
    <w:rsid w:val="243C1F98"/>
    <w:rsid w:val="243F1EB9"/>
    <w:rsid w:val="24403EA1"/>
    <w:rsid w:val="2444EFAB"/>
    <w:rsid w:val="2448F596"/>
    <w:rsid w:val="244C29EE"/>
    <w:rsid w:val="244EF215"/>
    <w:rsid w:val="244EF84D"/>
    <w:rsid w:val="245034A0"/>
    <w:rsid w:val="2451F599"/>
    <w:rsid w:val="2459734E"/>
    <w:rsid w:val="245BF116"/>
    <w:rsid w:val="24612290"/>
    <w:rsid w:val="24642BAE"/>
    <w:rsid w:val="24696071"/>
    <w:rsid w:val="246B20B6"/>
    <w:rsid w:val="246F029B"/>
    <w:rsid w:val="2471487C"/>
    <w:rsid w:val="2471D90F"/>
    <w:rsid w:val="2472FCE0"/>
    <w:rsid w:val="247418EA"/>
    <w:rsid w:val="24741DC1"/>
    <w:rsid w:val="24747EA4"/>
    <w:rsid w:val="247B7E6D"/>
    <w:rsid w:val="24819F9C"/>
    <w:rsid w:val="2481F299"/>
    <w:rsid w:val="2487EB18"/>
    <w:rsid w:val="24884182"/>
    <w:rsid w:val="248C9EB3"/>
    <w:rsid w:val="2490D706"/>
    <w:rsid w:val="2490EA03"/>
    <w:rsid w:val="2491E10D"/>
    <w:rsid w:val="24923994"/>
    <w:rsid w:val="2492FB9A"/>
    <w:rsid w:val="249308B9"/>
    <w:rsid w:val="2495D422"/>
    <w:rsid w:val="2497884C"/>
    <w:rsid w:val="24994444"/>
    <w:rsid w:val="249C46FC"/>
    <w:rsid w:val="249D3FCD"/>
    <w:rsid w:val="249DA08C"/>
    <w:rsid w:val="249FFFDD"/>
    <w:rsid w:val="24A8A4CB"/>
    <w:rsid w:val="24AB9C05"/>
    <w:rsid w:val="24AD84CE"/>
    <w:rsid w:val="24B055E4"/>
    <w:rsid w:val="24B11AA9"/>
    <w:rsid w:val="24B229F6"/>
    <w:rsid w:val="24B33BC6"/>
    <w:rsid w:val="24B38A97"/>
    <w:rsid w:val="24B4C301"/>
    <w:rsid w:val="24B646C7"/>
    <w:rsid w:val="24B8EED4"/>
    <w:rsid w:val="24BFE8E6"/>
    <w:rsid w:val="24C00EEB"/>
    <w:rsid w:val="24C16922"/>
    <w:rsid w:val="24C4C79A"/>
    <w:rsid w:val="24C641C6"/>
    <w:rsid w:val="24C7253A"/>
    <w:rsid w:val="24C8BB6B"/>
    <w:rsid w:val="24CB51DC"/>
    <w:rsid w:val="24D2FA5B"/>
    <w:rsid w:val="24D4276B"/>
    <w:rsid w:val="24D8A9CF"/>
    <w:rsid w:val="24DD9865"/>
    <w:rsid w:val="24E15D4A"/>
    <w:rsid w:val="24E2B29A"/>
    <w:rsid w:val="24E49B72"/>
    <w:rsid w:val="24EA04E2"/>
    <w:rsid w:val="24ED7FBB"/>
    <w:rsid w:val="24F21595"/>
    <w:rsid w:val="24F39444"/>
    <w:rsid w:val="2501C2E0"/>
    <w:rsid w:val="2503B8D7"/>
    <w:rsid w:val="25059DB6"/>
    <w:rsid w:val="2505EA01"/>
    <w:rsid w:val="2508D8D3"/>
    <w:rsid w:val="250F19C1"/>
    <w:rsid w:val="2512A58D"/>
    <w:rsid w:val="2512EE82"/>
    <w:rsid w:val="2518F494"/>
    <w:rsid w:val="251F8D40"/>
    <w:rsid w:val="251FC724"/>
    <w:rsid w:val="2520EA05"/>
    <w:rsid w:val="2525C23E"/>
    <w:rsid w:val="2526BE0D"/>
    <w:rsid w:val="2526FF96"/>
    <w:rsid w:val="2529C07A"/>
    <w:rsid w:val="252B8BCA"/>
    <w:rsid w:val="252D5BDE"/>
    <w:rsid w:val="252F18EC"/>
    <w:rsid w:val="2530B32A"/>
    <w:rsid w:val="25320BE9"/>
    <w:rsid w:val="253285C5"/>
    <w:rsid w:val="2533D9A2"/>
    <w:rsid w:val="253474BA"/>
    <w:rsid w:val="25351EEC"/>
    <w:rsid w:val="25359346"/>
    <w:rsid w:val="2539C462"/>
    <w:rsid w:val="253A300A"/>
    <w:rsid w:val="253FA64F"/>
    <w:rsid w:val="253FF522"/>
    <w:rsid w:val="254132C7"/>
    <w:rsid w:val="25432837"/>
    <w:rsid w:val="254813CA"/>
    <w:rsid w:val="254B30E5"/>
    <w:rsid w:val="254D5B85"/>
    <w:rsid w:val="25509C8A"/>
    <w:rsid w:val="2552006B"/>
    <w:rsid w:val="2552A7D8"/>
    <w:rsid w:val="255589A2"/>
    <w:rsid w:val="2555E688"/>
    <w:rsid w:val="255AC741"/>
    <w:rsid w:val="255C44AD"/>
    <w:rsid w:val="255CCBDF"/>
    <w:rsid w:val="255E13CA"/>
    <w:rsid w:val="255F5B49"/>
    <w:rsid w:val="2560576F"/>
    <w:rsid w:val="2561164F"/>
    <w:rsid w:val="25611769"/>
    <w:rsid w:val="2562B2B8"/>
    <w:rsid w:val="25641FB9"/>
    <w:rsid w:val="25669CA7"/>
    <w:rsid w:val="256B229A"/>
    <w:rsid w:val="256C8C7D"/>
    <w:rsid w:val="2570FD8B"/>
    <w:rsid w:val="25725074"/>
    <w:rsid w:val="25745F5E"/>
    <w:rsid w:val="257B54C5"/>
    <w:rsid w:val="257B7D6F"/>
    <w:rsid w:val="257CC4D1"/>
    <w:rsid w:val="257DCE2A"/>
    <w:rsid w:val="257E36E7"/>
    <w:rsid w:val="258422C3"/>
    <w:rsid w:val="25846728"/>
    <w:rsid w:val="258721B8"/>
    <w:rsid w:val="2588F9A0"/>
    <w:rsid w:val="258D2A32"/>
    <w:rsid w:val="258DA83B"/>
    <w:rsid w:val="2593A2D6"/>
    <w:rsid w:val="2593D117"/>
    <w:rsid w:val="259C4554"/>
    <w:rsid w:val="259D94D2"/>
    <w:rsid w:val="259EE9D0"/>
    <w:rsid w:val="25A08FE2"/>
    <w:rsid w:val="25A36A10"/>
    <w:rsid w:val="25A66FCD"/>
    <w:rsid w:val="25AA2B73"/>
    <w:rsid w:val="25ACCA27"/>
    <w:rsid w:val="25AD32EB"/>
    <w:rsid w:val="25B4C967"/>
    <w:rsid w:val="25B68569"/>
    <w:rsid w:val="25B77C8D"/>
    <w:rsid w:val="25B81A5A"/>
    <w:rsid w:val="25BD5C22"/>
    <w:rsid w:val="25BDD88F"/>
    <w:rsid w:val="25BDEB88"/>
    <w:rsid w:val="25C1B055"/>
    <w:rsid w:val="25C2CE64"/>
    <w:rsid w:val="25C2D1CC"/>
    <w:rsid w:val="25C31F42"/>
    <w:rsid w:val="25C5E8C0"/>
    <w:rsid w:val="25C9ABF9"/>
    <w:rsid w:val="25CE6FA3"/>
    <w:rsid w:val="25D1A30B"/>
    <w:rsid w:val="25D277A1"/>
    <w:rsid w:val="25D357F8"/>
    <w:rsid w:val="25D48528"/>
    <w:rsid w:val="25D48772"/>
    <w:rsid w:val="25D53C19"/>
    <w:rsid w:val="25D58A80"/>
    <w:rsid w:val="25D9F3BA"/>
    <w:rsid w:val="25DE364A"/>
    <w:rsid w:val="25E03F1B"/>
    <w:rsid w:val="25E0AE8C"/>
    <w:rsid w:val="25E79EB0"/>
    <w:rsid w:val="25E7E41F"/>
    <w:rsid w:val="25F030F9"/>
    <w:rsid w:val="25F0E01C"/>
    <w:rsid w:val="25F25122"/>
    <w:rsid w:val="25F32655"/>
    <w:rsid w:val="25F4D199"/>
    <w:rsid w:val="25F56907"/>
    <w:rsid w:val="25F5D217"/>
    <w:rsid w:val="25F62A12"/>
    <w:rsid w:val="25F6DB45"/>
    <w:rsid w:val="25FA12DE"/>
    <w:rsid w:val="25FC04BD"/>
    <w:rsid w:val="25FCEDB8"/>
    <w:rsid w:val="25FEACE5"/>
    <w:rsid w:val="25FFE63F"/>
    <w:rsid w:val="2607BACF"/>
    <w:rsid w:val="2609565D"/>
    <w:rsid w:val="260CFAFE"/>
    <w:rsid w:val="26103396"/>
    <w:rsid w:val="26117993"/>
    <w:rsid w:val="261626A5"/>
    <w:rsid w:val="2616A7E3"/>
    <w:rsid w:val="26198780"/>
    <w:rsid w:val="2619A237"/>
    <w:rsid w:val="261A6F62"/>
    <w:rsid w:val="261B2823"/>
    <w:rsid w:val="261DD270"/>
    <w:rsid w:val="261E65E8"/>
    <w:rsid w:val="261F2692"/>
    <w:rsid w:val="261F4E5A"/>
    <w:rsid w:val="2620A44A"/>
    <w:rsid w:val="262391E9"/>
    <w:rsid w:val="262D0DD9"/>
    <w:rsid w:val="262EE8D0"/>
    <w:rsid w:val="26308FE1"/>
    <w:rsid w:val="263AB489"/>
    <w:rsid w:val="263CA8B6"/>
    <w:rsid w:val="263E6F1E"/>
    <w:rsid w:val="263EE616"/>
    <w:rsid w:val="2640C90D"/>
    <w:rsid w:val="264434DC"/>
    <w:rsid w:val="26508B46"/>
    <w:rsid w:val="2653D63E"/>
    <w:rsid w:val="2658983F"/>
    <w:rsid w:val="2658EAC9"/>
    <w:rsid w:val="265A3C96"/>
    <w:rsid w:val="265BBF62"/>
    <w:rsid w:val="265E5FAE"/>
    <w:rsid w:val="2660DA71"/>
    <w:rsid w:val="266161AB"/>
    <w:rsid w:val="266265C4"/>
    <w:rsid w:val="266880FB"/>
    <w:rsid w:val="2669E221"/>
    <w:rsid w:val="266A9241"/>
    <w:rsid w:val="266AC03D"/>
    <w:rsid w:val="266C9CC0"/>
    <w:rsid w:val="266F8FED"/>
    <w:rsid w:val="2672F518"/>
    <w:rsid w:val="267302B8"/>
    <w:rsid w:val="26747362"/>
    <w:rsid w:val="26768960"/>
    <w:rsid w:val="2678B7FE"/>
    <w:rsid w:val="267A427F"/>
    <w:rsid w:val="267B865F"/>
    <w:rsid w:val="267CA5E2"/>
    <w:rsid w:val="267CC83A"/>
    <w:rsid w:val="267D88C8"/>
    <w:rsid w:val="267FF0B8"/>
    <w:rsid w:val="267FF78E"/>
    <w:rsid w:val="2683EAEE"/>
    <w:rsid w:val="268A9405"/>
    <w:rsid w:val="268CAC62"/>
    <w:rsid w:val="2692DC27"/>
    <w:rsid w:val="2699410E"/>
    <w:rsid w:val="269A2D1E"/>
    <w:rsid w:val="269CD8B0"/>
    <w:rsid w:val="269DAF5D"/>
    <w:rsid w:val="26A3BC9C"/>
    <w:rsid w:val="26A4C951"/>
    <w:rsid w:val="26A5A926"/>
    <w:rsid w:val="26A85DC6"/>
    <w:rsid w:val="26AA864A"/>
    <w:rsid w:val="26AFBEBE"/>
    <w:rsid w:val="26B34CCE"/>
    <w:rsid w:val="26B9B0E2"/>
    <w:rsid w:val="26BAA6F9"/>
    <w:rsid w:val="26BAE718"/>
    <w:rsid w:val="26BCE1BE"/>
    <w:rsid w:val="26BFD102"/>
    <w:rsid w:val="26BFD9A9"/>
    <w:rsid w:val="26C05B3B"/>
    <w:rsid w:val="26C1F0FC"/>
    <w:rsid w:val="26C8B10D"/>
    <w:rsid w:val="26C91DC8"/>
    <w:rsid w:val="26CA7574"/>
    <w:rsid w:val="26CA7863"/>
    <w:rsid w:val="26D0EA02"/>
    <w:rsid w:val="26D18A6C"/>
    <w:rsid w:val="26D2451E"/>
    <w:rsid w:val="26D6211F"/>
    <w:rsid w:val="26D652F0"/>
    <w:rsid w:val="26D89F4D"/>
    <w:rsid w:val="26D8C436"/>
    <w:rsid w:val="26DC6F12"/>
    <w:rsid w:val="26DD7281"/>
    <w:rsid w:val="26DDBD1D"/>
    <w:rsid w:val="26DDC64C"/>
    <w:rsid w:val="26DEAA07"/>
    <w:rsid w:val="26DF88F9"/>
    <w:rsid w:val="26E0B67B"/>
    <w:rsid w:val="26E2B76B"/>
    <w:rsid w:val="26E2D467"/>
    <w:rsid w:val="26E30150"/>
    <w:rsid w:val="26E71B95"/>
    <w:rsid w:val="26EE2E38"/>
    <w:rsid w:val="26F61934"/>
    <w:rsid w:val="26F65A4A"/>
    <w:rsid w:val="26F7468F"/>
    <w:rsid w:val="26FFB8BC"/>
    <w:rsid w:val="26FFECEA"/>
    <w:rsid w:val="2701A3B1"/>
    <w:rsid w:val="27048EB9"/>
    <w:rsid w:val="2707DA29"/>
    <w:rsid w:val="2709136B"/>
    <w:rsid w:val="270989B2"/>
    <w:rsid w:val="270C6B43"/>
    <w:rsid w:val="270DDB9D"/>
    <w:rsid w:val="270E9E86"/>
    <w:rsid w:val="270FAA47"/>
    <w:rsid w:val="2712A614"/>
    <w:rsid w:val="27156BF4"/>
    <w:rsid w:val="2715E0F1"/>
    <w:rsid w:val="27165899"/>
    <w:rsid w:val="27183BA9"/>
    <w:rsid w:val="27192F5D"/>
    <w:rsid w:val="27194CB7"/>
    <w:rsid w:val="2719CC06"/>
    <w:rsid w:val="271D7EC1"/>
    <w:rsid w:val="271E2605"/>
    <w:rsid w:val="272072AC"/>
    <w:rsid w:val="27209198"/>
    <w:rsid w:val="272DD3FC"/>
    <w:rsid w:val="27326CA8"/>
    <w:rsid w:val="2733BF74"/>
    <w:rsid w:val="273649D0"/>
    <w:rsid w:val="27369F5C"/>
    <w:rsid w:val="2737A3A7"/>
    <w:rsid w:val="273EDAB6"/>
    <w:rsid w:val="27425E32"/>
    <w:rsid w:val="274587C6"/>
    <w:rsid w:val="27470D01"/>
    <w:rsid w:val="2747A67B"/>
    <w:rsid w:val="2748D46B"/>
    <w:rsid w:val="2751BD77"/>
    <w:rsid w:val="275537AD"/>
    <w:rsid w:val="27555453"/>
    <w:rsid w:val="275620F5"/>
    <w:rsid w:val="27574237"/>
    <w:rsid w:val="275C7B7D"/>
    <w:rsid w:val="275CC23A"/>
    <w:rsid w:val="275F2FD8"/>
    <w:rsid w:val="27665C01"/>
    <w:rsid w:val="276769B8"/>
    <w:rsid w:val="2769D207"/>
    <w:rsid w:val="276A043B"/>
    <w:rsid w:val="276C0ECC"/>
    <w:rsid w:val="27721653"/>
    <w:rsid w:val="2772E812"/>
    <w:rsid w:val="2776BC62"/>
    <w:rsid w:val="27788831"/>
    <w:rsid w:val="27798333"/>
    <w:rsid w:val="277B61DF"/>
    <w:rsid w:val="277C9A7F"/>
    <w:rsid w:val="27815BAF"/>
    <w:rsid w:val="2783D152"/>
    <w:rsid w:val="2784AF67"/>
    <w:rsid w:val="2785079F"/>
    <w:rsid w:val="27888EB1"/>
    <w:rsid w:val="278986DF"/>
    <w:rsid w:val="278AE4E6"/>
    <w:rsid w:val="279120A0"/>
    <w:rsid w:val="2797D35B"/>
    <w:rsid w:val="27980118"/>
    <w:rsid w:val="279F5592"/>
    <w:rsid w:val="27A0EF1E"/>
    <w:rsid w:val="27A38B30"/>
    <w:rsid w:val="27A39D09"/>
    <w:rsid w:val="27A3D184"/>
    <w:rsid w:val="27A5D3B0"/>
    <w:rsid w:val="27A6DA89"/>
    <w:rsid w:val="27A9A927"/>
    <w:rsid w:val="27AC2502"/>
    <w:rsid w:val="27ACBFA1"/>
    <w:rsid w:val="27B577CF"/>
    <w:rsid w:val="27B7C257"/>
    <w:rsid w:val="27BADAB9"/>
    <w:rsid w:val="27BB6D5E"/>
    <w:rsid w:val="27BCF494"/>
    <w:rsid w:val="27BD4567"/>
    <w:rsid w:val="27BDDD6E"/>
    <w:rsid w:val="27C77AD6"/>
    <w:rsid w:val="27C8766B"/>
    <w:rsid w:val="27CAAEF6"/>
    <w:rsid w:val="27CAFBC1"/>
    <w:rsid w:val="27D2F50D"/>
    <w:rsid w:val="27D3F4BF"/>
    <w:rsid w:val="27D49F40"/>
    <w:rsid w:val="27D4C8C9"/>
    <w:rsid w:val="27D4D561"/>
    <w:rsid w:val="27D60164"/>
    <w:rsid w:val="27DA5765"/>
    <w:rsid w:val="27DBDCF5"/>
    <w:rsid w:val="27DC1A08"/>
    <w:rsid w:val="27E1D0B5"/>
    <w:rsid w:val="27E2DB20"/>
    <w:rsid w:val="27E8111C"/>
    <w:rsid w:val="27EA7D12"/>
    <w:rsid w:val="27EAD6B1"/>
    <w:rsid w:val="27EB4DEB"/>
    <w:rsid w:val="27EBA151"/>
    <w:rsid w:val="27ECFFB4"/>
    <w:rsid w:val="27EDA1B6"/>
    <w:rsid w:val="27F00906"/>
    <w:rsid w:val="27F26500"/>
    <w:rsid w:val="27F409EC"/>
    <w:rsid w:val="27FAC33F"/>
    <w:rsid w:val="27FD0E62"/>
    <w:rsid w:val="2802478D"/>
    <w:rsid w:val="28056BEC"/>
    <w:rsid w:val="2806CCC7"/>
    <w:rsid w:val="2807AD3B"/>
    <w:rsid w:val="280B2150"/>
    <w:rsid w:val="280BB9A9"/>
    <w:rsid w:val="280F3E12"/>
    <w:rsid w:val="28121EB8"/>
    <w:rsid w:val="28183A41"/>
    <w:rsid w:val="281A6005"/>
    <w:rsid w:val="281D5259"/>
    <w:rsid w:val="2828B2CD"/>
    <w:rsid w:val="282990BF"/>
    <w:rsid w:val="282A622A"/>
    <w:rsid w:val="282B8A32"/>
    <w:rsid w:val="282CAF4A"/>
    <w:rsid w:val="282D831C"/>
    <w:rsid w:val="282F5625"/>
    <w:rsid w:val="282F93F0"/>
    <w:rsid w:val="282FDCA3"/>
    <w:rsid w:val="2833C2E0"/>
    <w:rsid w:val="2838E1D0"/>
    <w:rsid w:val="2839C352"/>
    <w:rsid w:val="283A1666"/>
    <w:rsid w:val="283DC99F"/>
    <w:rsid w:val="28408450"/>
    <w:rsid w:val="2841A4B3"/>
    <w:rsid w:val="2843C200"/>
    <w:rsid w:val="2845C865"/>
    <w:rsid w:val="28491B42"/>
    <w:rsid w:val="284CE270"/>
    <w:rsid w:val="284F94CE"/>
    <w:rsid w:val="285347E1"/>
    <w:rsid w:val="285579FE"/>
    <w:rsid w:val="2855C082"/>
    <w:rsid w:val="2855D1D7"/>
    <w:rsid w:val="2857F4B5"/>
    <w:rsid w:val="28584EC9"/>
    <w:rsid w:val="286349AE"/>
    <w:rsid w:val="2866E770"/>
    <w:rsid w:val="286D6FBA"/>
    <w:rsid w:val="286D8FCA"/>
    <w:rsid w:val="286EF294"/>
    <w:rsid w:val="286F80B2"/>
    <w:rsid w:val="28709445"/>
    <w:rsid w:val="28721278"/>
    <w:rsid w:val="2872CD1E"/>
    <w:rsid w:val="287A4C0E"/>
    <w:rsid w:val="287CB507"/>
    <w:rsid w:val="287EC2F0"/>
    <w:rsid w:val="28805CBB"/>
    <w:rsid w:val="2882FB40"/>
    <w:rsid w:val="2884DBA7"/>
    <w:rsid w:val="28867554"/>
    <w:rsid w:val="2889A73D"/>
    <w:rsid w:val="288A4081"/>
    <w:rsid w:val="288C6916"/>
    <w:rsid w:val="288F1476"/>
    <w:rsid w:val="288FB53E"/>
    <w:rsid w:val="2893DE72"/>
    <w:rsid w:val="28945F31"/>
    <w:rsid w:val="2896E1C3"/>
    <w:rsid w:val="289A5107"/>
    <w:rsid w:val="289AD6BB"/>
    <w:rsid w:val="289B7967"/>
    <w:rsid w:val="289C711C"/>
    <w:rsid w:val="289C7A6C"/>
    <w:rsid w:val="28A4470C"/>
    <w:rsid w:val="28A4C071"/>
    <w:rsid w:val="28A50593"/>
    <w:rsid w:val="28A5BEBA"/>
    <w:rsid w:val="28A5C7D0"/>
    <w:rsid w:val="28A98EE8"/>
    <w:rsid w:val="28AA468A"/>
    <w:rsid w:val="28AD10E2"/>
    <w:rsid w:val="28B304C9"/>
    <w:rsid w:val="28B4E427"/>
    <w:rsid w:val="28B554E7"/>
    <w:rsid w:val="28B66C26"/>
    <w:rsid w:val="28B686E8"/>
    <w:rsid w:val="28BE747A"/>
    <w:rsid w:val="28C2155F"/>
    <w:rsid w:val="28C2829C"/>
    <w:rsid w:val="28C6DAAF"/>
    <w:rsid w:val="28C95D27"/>
    <w:rsid w:val="28CA51CB"/>
    <w:rsid w:val="28CD2B7A"/>
    <w:rsid w:val="28D48B96"/>
    <w:rsid w:val="28D5189F"/>
    <w:rsid w:val="28D870FB"/>
    <w:rsid w:val="28D8E7E9"/>
    <w:rsid w:val="28D9828B"/>
    <w:rsid w:val="28DCD423"/>
    <w:rsid w:val="28DD20EF"/>
    <w:rsid w:val="28DE25CB"/>
    <w:rsid w:val="28DEC557"/>
    <w:rsid w:val="28DFCFCE"/>
    <w:rsid w:val="28E13406"/>
    <w:rsid w:val="28E1C746"/>
    <w:rsid w:val="28E24DF0"/>
    <w:rsid w:val="28E37A28"/>
    <w:rsid w:val="28E94AD9"/>
    <w:rsid w:val="28EDBD2B"/>
    <w:rsid w:val="28EE9DE7"/>
    <w:rsid w:val="28EEBE28"/>
    <w:rsid w:val="28EFBBBC"/>
    <w:rsid w:val="28EFDAEA"/>
    <w:rsid w:val="28F19AD7"/>
    <w:rsid w:val="28F29CC9"/>
    <w:rsid w:val="28F4CFFD"/>
    <w:rsid w:val="28F6BF78"/>
    <w:rsid w:val="28F7728A"/>
    <w:rsid w:val="28F9DEDC"/>
    <w:rsid w:val="28FD24F8"/>
    <w:rsid w:val="28FFC165"/>
    <w:rsid w:val="29017652"/>
    <w:rsid w:val="290689C0"/>
    <w:rsid w:val="29098BB7"/>
    <w:rsid w:val="290BD064"/>
    <w:rsid w:val="290CE126"/>
    <w:rsid w:val="290E0728"/>
    <w:rsid w:val="290E6EDD"/>
    <w:rsid w:val="290F51A6"/>
    <w:rsid w:val="2910203B"/>
    <w:rsid w:val="2911EE18"/>
    <w:rsid w:val="2913ACD2"/>
    <w:rsid w:val="2914B61A"/>
    <w:rsid w:val="29150178"/>
    <w:rsid w:val="29153B4B"/>
    <w:rsid w:val="2916CCB1"/>
    <w:rsid w:val="291A30A6"/>
    <w:rsid w:val="291AE4C7"/>
    <w:rsid w:val="291B6834"/>
    <w:rsid w:val="2922D86C"/>
    <w:rsid w:val="2926CD67"/>
    <w:rsid w:val="29289BDA"/>
    <w:rsid w:val="2928FDD1"/>
    <w:rsid w:val="292FEAC2"/>
    <w:rsid w:val="29328D0C"/>
    <w:rsid w:val="293295EA"/>
    <w:rsid w:val="29335556"/>
    <w:rsid w:val="2933E40E"/>
    <w:rsid w:val="29380CF9"/>
    <w:rsid w:val="293B63F9"/>
    <w:rsid w:val="293CA6F6"/>
    <w:rsid w:val="29408C13"/>
    <w:rsid w:val="2944092F"/>
    <w:rsid w:val="2944AC37"/>
    <w:rsid w:val="29492DA0"/>
    <w:rsid w:val="294D2512"/>
    <w:rsid w:val="294DC8AE"/>
    <w:rsid w:val="29533399"/>
    <w:rsid w:val="295417C6"/>
    <w:rsid w:val="29555333"/>
    <w:rsid w:val="295BA846"/>
    <w:rsid w:val="295EEBBD"/>
    <w:rsid w:val="29628D54"/>
    <w:rsid w:val="29667AB3"/>
    <w:rsid w:val="2967285D"/>
    <w:rsid w:val="2967CD02"/>
    <w:rsid w:val="2969585E"/>
    <w:rsid w:val="296A765F"/>
    <w:rsid w:val="296CB99D"/>
    <w:rsid w:val="296CE6F5"/>
    <w:rsid w:val="296CEC6E"/>
    <w:rsid w:val="296CF515"/>
    <w:rsid w:val="296D49FB"/>
    <w:rsid w:val="296E88B2"/>
    <w:rsid w:val="296EBA78"/>
    <w:rsid w:val="2975A43B"/>
    <w:rsid w:val="2975B112"/>
    <w:rsid w:val="2976E503"/>
    <w:rsid w:val="29798C27"/>
    <w:rsid w:val="297BBFBA"/>
    <w:rsid w:val="29846EB0"/>
    <w:rsid w:val="29857E7D"/>
    <w:rsid w:val="2985C3DE"/>
    <w:rsid w:val="2986EA2D"/>
    <w:rsid w:val="29870C03"/>
    <w:rsid w:val="298B6C6F"/>
    <w:rsid w:val="298C3AEE"/>
    <w:rsid w:val="298CCD50"/>
    <w:rsid w:val="298D8030"/>
    <w:rsid w:val="298E57C2"/>
    <w:rsid w:val="2992F803"/>
    <w:rsid w:val="2996A317"/>
    <w:rsid w:val="2996F5EC"/>
    <w:rsid w:val="299D11E6"/>
    <w:rsid w:val="299EC896"/>
    <w:rsid w:val="299FE605"/>
    <w:rsid w:val="29ACF969"/>
    <w:rsid w:val="29B141C7"/>
    <w:rsid w:val="29B1EC04"/>
    <w:rsid w:val="29B71636"/>
    <w:rsid w:val="29B839B0"/>
    <w:rsid w:val="29BB6246"/>
    <w:rsid w:val="29BBB17E"/>
    <w:rsid w:val="29BD8788"/>
    <w:rsid w:val="29BEA5C6"/>
    <w:rsid w:val="29CAA42F"/>
    <w:rsid w:val="29CAB8A7"/>
    <w:rsid w:val="29CC815C"/>
    <w:rsid w:val="29CCBA91"/>
    <w:rsid w:val="29CD941C"/>
    <w:rsid w:val="29D1F20F"/>
    <w:rsid w:val="29DBF86E"/>
    <w:rsid w:val="29DDD87B"/>
    <w:rsid w:val="29DE54AB"/>
    <w:rsid w:val="29E08A14"/>
    <w:rsid w:val="29E183D0"/>
    <w:rsid w:val="29E3A99E"/>
    <w:rsid w:val="29E46CE5"/>
    <w:rsid w:val="29E47741"/>
    <w:rsid w:val="29E48283"/>
    <w:rsid w:val="29E4EE42"/>
    <w:rsid w:val="29E5D40B"/>
    <w:rsid w:val="29E885E1"/>
    <w:rsid w:val="29E8E686"/>
    <w:rsid w:val="29E93477"/>
    <w:rsid w:val="29F030EF"/>
    <w:rsid w:val="29F9AC9D"/>
    <w:rsid w:val="29FA265A"/>
    <w:rsid w:val="29FBD7D0"/>
    <w:rsid w:val="29FE1822"/>
    <w:rsid w:val="2A017A0F"/>
    <w:rsid w:val="2A01FA22"/>
    <w:rsid w:val="2A02804C"/>
    <w:rsid w:val="2A04BAA5"/>
    <w:rsid w:val="2A05056A"/>
    <w:rsid w:val="2A070B5E"/>
    <w:rsid w:val="2A0A690A"/>
    <w:rsid w:val="2A0B2278"/>
    <w:rsid w:val="2A0D5822"/>
    <w:rsid w:val="2A134FAF"/>
    <w:rsid w:val="2A178A0B"/>
    <w:rsid w:val="2A1B9DB5"/>
    <w:rsid w:val="2A1C2A6D"/>
    <w:rsid w:val="2A1EC8EF"/>
    <w:rsid w:val="2A206BBB"/>
    <w:rsid w:val="2A20C0CD"/>
    <w:rsid w:val="2A22E7C6"/>
    <w:rsid w:val="2A24CAC1"/>
    <w:rsid w:val="2A26EBE8"/>
    <w:rsid w:val="2A2B16D1"/>
    <w:rsid w:val="2A2F9C4C"/>
    <w:rsid w:val="2A34708D"/>
    <w:rsid w:val="2A3B99D7"/>
    <w:rsid w:val="2A3C526E"/>
    <w:rsid w:val="2A3CAD18"/>
    <w:rsid w:val="2A47A678"/>
    <w:rsid w:val="2A4A8377"/>
    <w:rsid w:val="2A4F6AAE"/>
    <w:rsid w:val="2A5180A8"/>
    <w:rsid w:val="2A51E208"/>
    <w:rsid w:val="2A54DD09"/>
    <w:rsid w:val="2A54E2DF"/>
    <w:rsid w:val="2A55F83A"/>
    <w:rsid w:val="2A56CFFF"/>
    <w:rsid w:val="2A5CFDA2"/>
    <w:rsid w:val="2A6102C0"/>
    <w:rsid w:val="2A667C89"/>
    <w:rsid w:val="2A6818A2"/>
    <w:rsid w:val="2A687F46"/>
    <w:rsid w:val="2A6ABCE4"/>
    <w:rsid w:val="2A6C070A"/>
    <w:rsid w:val="2A72BB7D"/>
    <w:rsid w:val="2A742AA9"/>
    <w:rsid w:val="2A7A9D74"/>
    <w:rsid w:val="2A7B5604"/>
    <w:rsid w:val="2A7C778A"/>
    <w:rsid w:val="2A7E1E51"/>
    <w:rsid w:val="2A89CFA6"/>
    <w:rsid w:val="2A8A85B5"/>
    <w:rsid w:val="2A8ECAF6"/>
    <w:rsid w:val="2A8F3C58"/>
    <w:rsid w:val="2A90BF44"/>
    <w:rsid w:val="2A9193BA"/>
    <w:rsid w:val="2A95287E"/>
    <w:rsid w:val="2A96363C"/>
    <w:rsid w:val="2A968DE0"/>
    <w:rsid w:val="2A9AC699"/>
    <w:rsid w:val="2A9C69BC"/>
    <w:rsid w:val="2A9D124C"/>
    <w:rsid w:val="2AA2802D"/>
    <w:rsid w:val="2AA353DB"/>
    <w:rsid w:val="2AA3BC26"/>
    <w:rsid w:val="2AA6A210"/>
    <w:rsid w:val="2AAFD087"/>
    <w:rsid w:val="2AB24110"/>
    <w:rsid w:val="2AB36129"/>
    <w:rsid w:val="2AB5DCA8"/>
    <w:rsid w:val="2AB5E8CE"/>
    <w:rsid w:val="2AB95B1F"/>
    <w:rsid w:val="2AC37F8A"/>
    <w:rsid w:val="2AC3FC35"/>
    <w:rsid w:val="2AC9A661"/>
    <w:rsid w:val="2ACA507A"/>
    <w:rsid w:val="2ACBA6B7"/>
    <w:rsid w:val="2ACCBFB6"/>
    <w:rsid w:val="2ACEBEB6"/>
    <w:rsid w:val="2ACFC210"/>
    <w:rsid w:val="2AD0D934"/>
    <w:rsid w:val="2AD0EB11"/>
    <w:rsid w:val="2ADB20A2"/>
    <w:rsid w:val="2AE0C2E1"/>
    <w:rsid w:val="2AE658A1"/>
    <w:rsid w:val="2AE6B184"/>
    <w:rsid w:val="2AE718FA"/>
    <w:rsid w:val="2AEB918C"/>
    <w:rsid w:val="2AEC9A27"/>
    <w:rsid w:val="2AF00D51"/>
    <w:rsid w:val="2AF1FC2A"/>
    <w:rsid w:val="2AF73586"/>
    <w:rsid w:val="2AF7D310"/>
    <w:rsid w:val="2AF8CD00"/>
    <w:rsid w:val="2AFAF9CE"/>
    <w:rsid w:val="2AFE8910"/>
    <w:rsid w:val="2AFFEB43"/>
    <w:rsid w:val="2B00B9C2"/>
    <w:rsid w:val="2B00C911"/>
    <w:rsid w:val="2B035C5E"/>
    <w:rsid w:val="2B0A2B81"/>
    <w:rsid w:val="2B0B50A2"/>
    <w:rsid w:val="2B0BAFED"/>
    <w:rsid w:val="2B0EA743"/>
    <w:rsid w:val="2B0F15C3"/>
    <w:rsid w:val="2B0F2134"/>
    <w:rsid w:val="2B0F945C"/>
    <w:rsid w:val="2B10220B"/>
    <w:rsid w:val="2B10DE47"/>
    <w:rsid w:val="2B131834"/>
    <w:rsid w:val="2B13D67D"/>
    <w:rsid w:val="2B17118C"/>
    <w:rsid w:val="2B1AC1EA"/>
    <w:rsid w:val="2B1B3684"/>
    <w:rsid w:val="2B1BE642"/>
    <w:rsid w:val="2B1C3FDC"/>
    <w:rsid w:val="2B1D4928"/>
    <w:rsid w:val="2B1D5229"/>
    <w:rsid w:val="2B1E36E9"/>
    <w:rsid w:val="2B1FA231"/>
    <w:rsid w:val="2B1FC5F5"/>
    <w:rsid w:val="2B20208E"/>
    <w:rsid w:val="2B22BD22"/>
    <w:rsid w:val="2B243420"/>
    <w:rsid w:val="2B26D379"/>
    <w:rsid w:val="2B2803AA"/>
    <w:rsid w:val="2B2996A7"/>
    <w:rsid w:val="2B2DC693"/>
    <w:rsid w:val="2B301222"/>
    <w:rsid w:val="2B30CC0A"/>
    <w:rsid w:val="2B31F206"/>
    <w:rsid w:val="2B3A652C"/>
    <w:rsid w:val="2B3B74B3"/>
    <w:rsid w:val="2B3B8BBE"/>
    <w:rsid w:val="2B3DB972"/>
    <w:rsid w:val="2B40174B"/>
    <w:rsid w:val="2B45278A"/>
    <w:rsid w:val="2B469081"/>
    <w:rsid w:val="2B46C352"/>
    <w:rsid w:val="2B48B179"/>
    <w:rsid w:val="2B4AD0E1"/>
    <w:rsid w:val="2B4EF782"/>
    <w:rsid w:val="2B52767A"/>
    <w:rsid w:val="2B5675A2"/>
    <w:rsid w:val="2B59E852"/>
    <w:rsid w:val="2B5A3C5B"/>
    <w:rsid w:val="2B5ACF46"/>
    <w:rsid w:val="2B5B0515"/>
    <w:rsid w:val="2B5D002B"/>
    <w:rsid w:val="2B5EFB24"/>
    <w:rsid w:val="2B5FCE0E"/>
    <w:rsid w:val="2B602DFD"/>
    <w:rsid w:val="2B63190F"/>
    <w:rsid w:val="2B65A385"/>
    <w:rsid w:val="2B680A17"/>
    <w:rsid w:val="2B6C82A9"/>
    <w:rsid w:val="2B6CF9C7"/>
    <w:rsid w:val="2B6FA9C0"/>
    <w:rsid w:val="2B7218E1"/>
    <w:rsid w:val="2B74E8FC"/>
    <w:rsid w:val="2B753F36"/>
    <w:rsid w:val="2B766F89"/>
    <w:rsid w:val="2B7A5147"/>
    <w:rsid w:val="2B7B67DE"/>
    <w:rsid w:val="2B832521"/>
    <w:rsid w:val="2B837F56"/>
    <w:rsid w:val="2B86E0F8"/>
    <w:rsid w:val="2B8737B4"/>
    <w:rsid w:val="2B8B41BE"/>
    <w:rsid w:val="2B8C6935"/>
    <w:rsid w:val="2B8CE836"/>
    <w:rsid w:val="2B8FFB5B"/>
    <w:rsid w:val="2B961F08"/>
    <w:rsid w:val="2B97EE11"/>
    <w:rsid w:val="2B9A7084"/>
    <w:rsid w:val="2BA2095E"/>
    <w:rsid w:val="2BA23808"/>
    <w:rsid w:val="2BA2D23C"/>
    <w:rsid w:val="2BA349A5"/>
    <w:rsid w:val="2BA5EBAE"/>
    <w:rsid w:val="2BA74BD2"/>
    <w:rsid w:val="2BA92615"/>
    <w:rsid w:val="2BAA8B40"/>
    <w:rsid w:val="2BAC5588"/>
    <w:rsid w:val="2BB1AADB"/>
    <w:rsid w:val="2BB239E4"/>
    <w:rsid w:val="2BB40B22"/>
    <w:rsid w:val="2BB44746"/>
    <w:rsid w:val="2BB4DE9F"/>
    <w:rsid w:val="2BB6BDE0"/>
    <w:rsid w:val="2BBFC5E1"/>
    <w:rsid w:val="2BC0527D"/>
    <w:rsid w:val="2BC5F654"/>
    <w:rsid w:val="2BCBBAA2"/>
    <w:rsid w:val="2BCC77D3"/>
    <w:rsid w:val="2BCCA43D"/>
    <w:rsid w:val="2BD40592"/>
    <w:rsid w:val="2BD93F87"/>
    <w:rsid w:val="2BDA9BF5"/>
    <w:rsid w:val="2BDF754E"/>
    <w:rsid w:val="2BDFDDFF"/>
    <w:rsid w:val="2BE004EA"/>
    <w:rsid w:val="2BE4A07B"/>
    <w:rsid w:val="2BE50449"/>
    <w:rsid w:val="2BE7E471"/>
    <w:rsid w:val="2BE7FF53"/>
    <w:rsid w:val="2BE86292"/>
    <w:rsid w:val="2BE8D1D3"/>
    <w:rsid w:val="2BE914AB"/>
    <w:rsid w:val="2BEFF29C"/>
    <w:rsid w:val="2BF2648C"/>
    <w:rsid w:val="2BF59C47"/>
    <w:rsid w:val="2BF96089"/>
    <w:rsid w:val="2BFEDCA7"/>
    <w:rsid w:val="2BFEF207"/>
    <w:rsid w:val="2C004A4F"/>
    <w:rsid w:val="2C01A862"/>
    <w:rsid w:val="2C01F343"/>
    <w:rsid w:val="2C0365F8"/>
    <w:rsid w:val="2C066055"/>
    <w:rsid w:val="2C076E6B"/>
    <w:rsid w:val="2C097330"/>
    <w:rsid w:val="2C0E05D2"/>
    <w:rsid w:val="2C0E4771"/>
    <w:rsid w:val="2C0EC282"/>
    <w:rsid w:val="2C0ED3CA"/>
    <w:rsid w:val="2C0F4217"/>
    <w:rsid w:val="2C11A6C5"/>
    <w:rsid w:val="2C12E81B"/>
    <w:rsid w:val="2C142102"/>
    <w:rsid w:val="2C1683FC"/>
    <w:rsid w:val="2C16ED29"/>
    <w:rsid w:val="2C1844C6"/>
    <w:rsid w:val="2C1A4E14"/>
    <w:rsid w:val="2C1C2A90"/>
    <w:rsid w:val="2C1D8F79"/>
    <w:rsid w:val="2C1D9D35"/>
    <w:rsid w:val="2C1E8D18"/>
    <w:rsid w:val="2C22C722"/>
    <w:rsid w:val="2C22D05D"/>
    <w:rsid w:val="2C236B66"/>
    <w:rsid w:val="2C2C4D68"/>
    <w:rsid w:val="2C2D9ACC"/>
    <w:rsid w:val="2C2F35B1"/>
    <w:rsid w:val="2C31941E"/>
    <w:rsid w:val="2C319D65"/>
    <w:rsid w:val="2C340599"/>
    <w:rsid w:val="2C34B5CB"/>
    <w:rsid w:val="2C35BCA2"/>
    <w:rsid w:val="2C37B10B"/>
    <w:rsid w:val="2C38AA28"/>
    <w:rsid w:val="2C3B44F3"/>
    <w:rsid w:val="2C3C5876"/>
    <w:rsid w:val="2C3C7E83"/>
    <w:rsid w:val="2C40BFBD"/>
    <w:rsid w:val="2C41CF1A"/>
    <w:rsid w:val="2C42562A"/>
    <w:rsid w:val="2C46F561"/>
    <w:rsid w:val="2C47317D"/>
    <w:rsid w:val="2C48B3C0"/>
    <w:rsid w:val="2C4BDDCC"/>
    <w:rsid w:val="2C4CC510"/>
    <w:rsid w:val="2C4D287A"/>
    <w:rsid w:val="2C4D5EC2"/>
    <w:rsid w:val="2C53DBB0"/>
    <w:rsid w:val="2C547E73"/>
    <w:rsid w:val="2C59DF5D"/>
    <w:rsid w:val="2C59EAA1"/>
    <w:rsid w:val="2C5A586B"/>
    <w:rsid w:val="2C630C58"/>
    <w:rsid w:val="2C636A29"/>
    <w:rsid w:val="2C63A706"/>
    <w:rsid w:val="2C6752F7"/>
    <w:rsid w:val="2C698DFA"/>
    <w:rsid w:val="2C6C79A1"/>
    <w:rsid w:val="2C6F79D9"/>
    <w:rsid w:val="2C6FB076"/>
    <w:rsid w:val="2C731AF9"/>
    <w:rsid w:val="2C74B1D4"/>
    <w:rsid w:val="2C7EFAEC"/>
    <w:rsid w:val="2C8174BB"/>
    <w:rsid w:val="2C828ADE"/>
    <w:rsid w:val="2C8391F1"/>
    <w:rsid w:val="2C87C019"/>
    <w:rsid w:val="2C887E85"/>
    <w:rsid w:val="2C88C904"/>
    <w:rsid w:val="2C8B27F2"/>
    <w:rsid w:val="2C8B874B"/>
    <w:rsid w:val="2C8C05FD"/>
    <w:rsid w:val="2C901751"/>
    <w:rsid w:val="2C90304A"/>
    <w:rsid w:val="2C929A86"/>
    <w:rsid w:val="2C9560A9"/>
    <w:rsid w:val="2C983C53"/>
    <w:rsid w:val="2C9892D2"/>
    <w:rsid w:val="2C9AE40C"/>
    <w:rsid w:val="2C9B9E5C"/>
    <w:rsid w:val="2C9C9437"/>
    <w:rsid w:val="2C9F8532"/>
    <w:rsid w:val="2CA0393E"/>
    <w:rsid w:val="2CA0E876"/>
    <w:rsid w:val="2CA464D0"/>
    <w:rsid w:val="2CA83DF4"/>
    <w:rsid w:val="2CAAFF96"/>
    <w:rsid w:val="2CACE202"/>
    <w:rsid w:val="2CAE6AB5"/>
    <w:rsid w:val="2CB3FE40"/>
    <w:rsid w:val="2CB536CD"/>
    <w:rsid w:val="2CBADA8B"/>
    <w:rsid w:val="2CBB9516"/>
    <w:rsid w:val="2CBBDFA2"/>
    <w:rsid w:val="2CBE769C"/>
    <w:rsid w:val="2CBF527D"/>
    <w:rsid w:val="2CC2853C"/>
    <w:rsid w:val="2CC2C36F"/>
    <w:rsid w:val="2CC2E788"/>
    <w:rsid w:val="2CC39C45"/>
    <w:rsid w:val="2CC83CD3"/>
    <w:rsid w:val="2CCCBCD2"/>
    <w:rsid w:val="2CD5ED94"/>
    <w:rsid w:val="2CD6250C"/>
    <w:rsid w:val="2CD7E2D5"/>
    <w:rsid w:val="2CD8BE41"/>
    <w:rsid w:val="2CD8E319"/>
    <w:rsid w:val="2CDB070E"/>
    <w:rsid w:val="2CDDA61D"/>
    <w:rsid w:val="2CE179C0"/>
    <w:rsid w:val="2CE4CA7D"/>
    <w:rsid w:val="2CE4FE83"/>
    <w:rsid w:val="2CE7A5D6"/>
    <w:rsid w:val="2CE7E945"/>
    <w:rsid w:val="2CEC5D3A"/>
    <w:rsid w:val="2CED38B7"/>
    <w:rsid w:val="2CF0ECFD"/>
    <w:rsid w:val="2CF1D581"/>
    <w:rsid w:val="2CF1D7AF"/>
    <w:rsid w:val="2CF32BF8"/>
    <w:rsid w:val="2CF92BCC"/>
    <w:rsid w:val="2D008C47"/>
    <w:rsid w:val="2D02BEC4"/>
    <w:rsid w:val="2D040294"/>
    <w:rsid w:val="2D06078F"/>
    <w:rsid w:val="2D065ADF"/>
    <w:rsid w:val="2D07BCAB"/>
    <w:rsid w:val="2D0A40FE"/>
    <w:rsid w:val="2D0C91B2"/>
    <w:rsid w:val="2D13599D"/>
    <w:rsid w:val="2D146683"/>
    <w:rsid w:val="2D174F87"/>
    <w:rsid w:val="2D19EE2F"/>
    <w:rsid w:val="2D1B0170"/>
    <w:rsid w:val="2D1C407C"/>
    <w:rsid w:val="2D1D9274"/>
    <w:rsid w:val="2D1FDBBF"/>
    <w:rsid w:val="2D2161D6"/>
    <w:rsid w:val="2D24701C"/>
    <w:rsid w:val="2D27221D"/>
    <w:rsid w:val="2D306E59"/>
    <w:rsid w:val="2D308138"/>
    <w:rsid w:val="2D3223F6"/>
    <w:rsid w:val="2D338C9F"/>
    <w:rsid w:val="2D365B27"/>
    <w:rsid w:val="2D390941"/>
    <w:rsid w:val="2D3DEB49"/>
    <w:rsid w:val="2D3FC860"/>
    <w:rsid w:val="2D410A7A"/>
    <w:rsid w:val="2D423B84"/>
    <w:rsid w:val="2D428FCF"/>
    <w:rsid w:val="2D435866"/>
    <w:rsid w:val="2D4421B5"/>
    <w:rsid w:val="2D4500F6"/>
    <w:rsid w:val="2D4587E1"/>
    <w:rsid w:val="2D471818"/>
    <w:rsid w:val="2D4A5987"/>
    <w:rsid w:val="2D4AC8DE"/>
    <w:rsid w:val="2D4B05BC"/>
    <w:rsid w:val="2D4DB9ED"/>
    <w:rsid w:val="2D521791"/>
    <w:rsid w:val="2D52F510"/>
    <w:rsid w:val="2D5622B7"/>
    <w:rsid w:val="2D57CA5D"/>
    <w:rsid w:val="2D59FBF4"/>
    <w:rsid w:val="2D5CB3CE"/>
    <w:rsid w:val="2D5CCF3F"/>
    <w:rsid w:val="2D6132ED"/>
    <w:rsid w:val="2D619FAE"/>
    <w:rsid w:val="2D63E6D5"/>
    <w:rsid w:val="2D66ABAD"/>
    <w:rsid w:val="2D689656"/>
    <w:rsid w:val="2D6A6EC6"/>
    <w:rsid w:val="2D6B2E85"/>
    <w:rsid w:val="2D726D9F"/>
    <w:rsid w:val="2D732286"/>
    <w:rsid w:val="2D77B72B"/>
    <w:rsid w:val="2D78BB4F"/>
    <w:rsid w:val="2D7B3E46"/>
    <w:rsid w:val="2D7C37F5"/>
    <w:rsid w:val="2D7DB1C8"/>
    <w:rsid w:val="2D80B42A"/>
    <w:rsid w:val="2D82E6DE"/>
    <w:rsid w:val="2D85A6D8"/>
    <w:rsid w:val="2D8840A0"/>
    <w:rsid w:val="2D8867D5"/>
    <w:rsid w:val="2D886EA8"/>
    <w:rsid w:val="2D8A10D3"/>
    <w:rsid w:val="2D8EC12D"/>
    <w:rsid w:val="2D90A423"/>
    <w:rsid w:val="2D9223F1"/>
    <w:rsid w:val="2D922AD8"/>
    <w:rsid w:val="2D9265A0"/>
    <w:rsid w:val="2D934661"/>
    <w:rsid w:val="2D94CD3C"/>
    <w:rsid w:val="2D951C56"/>
    <w:rsid w:val="2DA146A2"/>
    <w:rsid w:val="2DA1F7B1"/>
    <w:rsid w:val="2DA32A34"/>
    <w:rsid w:val="2DA45F88"/>
    <w:rsid w:val="2DA61CB3"/>
    <w:rsid w:val="2DA91095"/>
    <w:rsid w:val="2DA9CABC"/>
    <w:rsid w:val="2DAB6D7A"/>
    <w:rsid w:val="2DABF216"/>
    <w:rsid w:val="2DAD0976"/>
    <w:rsid w:val="2DADB1AC"/>
    <w:rsid w:val="2DAEEE31"/>
    <w:rsid w:val="2DB4A515"/>
    <w:rsid w:val="2DB7C349"/>
    <w:rsid w:val="2DBA9848"/>
    <w:rsid w:val="2DBAF14F"/>
    <w:rsid w:val="2DBC0A65"/>
    <w:rsid w:val="2DBFD239"/>
    <w:rsid w:val="2DC0D731"/>
    <w:rsid w:val="2DC14FFB"/>
    <w:rsid w:val="2DC2DE3C"/>
    <w:rsid w:val="2DC30B0D"/>
    <w:rsid w:val="2DC330AC"/>
    <w:rsid w:val="2DC3885F"/>
    <w:rsid w:val="2DC88D2C"/>
    <w:rsid w:val="2DCFF84D"/>
    <w:rsid w:val="2DD38D6F"/>
    <w:rsid w:val="2DD6A94B"/>
    <w:rsid w:val="2DD70251"/>
    <w:rsid w:val="2DDAF345"/>
    <w:rsid w:val="2DDBCA27"/>
    <w:rsid w:val="2DDC8EE1"/>
    <w:rsid w:val="2DDC93B7"/>
    <w:rsid w:val="2DDDE933"/>
    <w:rsid w:val="2DE1C210"/>
    <w:rsid w:val="2DE4358D"/>
    <w:rsid w:val="2DE7B07C"/>
    <w:rsid w:val="2DE9F274"/>
    <w:rsid w:val="2DEF5DC6"/>
    <w:rsid w:val="2DEF6F8E"/>
    <w:rsid w:val="2DF1AE86"/>
    <w:rsid w:val="2DF42FF1"/>
    <w:rsid w:val="2DF45938"/>
    <w:rsid w:val="2DF57AE0"/>
    <w:rsid w:val="2DF5AA88"/>
    <w:rsid w:val="2DF7E982"/>
    <w:rsid w:val="2DF9C9C1"/>
    <w:rsid w:val="2DFAA22C"/>
    <w:rsid w:val="2DFAAA45"/>
    <w:rsid w:val="2DFB137B"/>
    <w:rsid w:val="2DFFA78B"/>
    <w:rsid w:val="2E063CEB"/>
    <w:rsid w:val="2E065D3B"/>
    <w:rsid w:val="2E078A04"/>
    <w:rsid w:val="2E09621A"/>
    <w:rsid w:val="2E09E2F3"/>
    <w:rsid w:val="2E0A38CF"/>
    <w:rsid w:val="2E0C7A6C"/>
    <w:rsid w:val="2E0F9460"/>
    <w:rsid w:val="2E104ADC"/>
    <w:rsid w:val="2E1126FA"/>
    <w:rsid w:val="2E151BD7"/>
    <w:rsid w:val="2E16639A"/>
    <w:rsid w:val="2E1691F4"/>
    <w:rsid w:val="2E178B53"/>
    <w:rsid w:val="2E18C539"/>
    <w:rsid w:val="2E19CF7C"/>
    <w:rsid w:val="2E1A448B"/>
    <w:rsid w:val="2E1B6686"/>
    <w:rsid w:val="2E1DA710"/>
    <w:rsid w:val="2E1ED12B"/>
    <w:rsid w:val="2E212657"/>
    <w:rsid w:val="2E215728"/>
    <w:rsid w:val="2E221496"/>
    <w:rsid w:val="2E22E022"/>
    <w:rsid w:val="2E2367F2"/>
    <w:rsid w:val="2E27B8FF"/>
    <w:rsid w:val="2E27CD8C"/>
    <w:rsid w:val="2E2BE6DD"/>
    <w:rsid w:val="2E2C86EB"/>
    <w:rsid w:val="2E2C8DD3"/>
    <w:rsid w:val="2E2CFC8A"/>
    <w:rsid w:val="2E2DE5E9"/>
    <w:rsid w:val="2E2E0BA7"/>
    <w:rsid w:val="2E2F0278"/>
    <w:rsid w:val="2E353D16"/>
    <w:rsid w:val="2E355D53"/>
    <w:rsid w:val="2E3A95CC"/>
    <w:rsid w:val="2E3D4810"/>
    <w:rsid w:val="2E3F8930"/>
    <w:rsid w:val="2E4001FC"/>
    <w:rsid w:val="2E400A6A"/>
    <w:rsid w:val="2E421429"/>
    <w:rsid w:val="2E4488D5"/>
    <w:rsid w:val="2E458890"/>
    <w:rsid w:val="2E45F29D"/>
    <w:rsid w:val="2E46269B"/>
    <w:rsid w:val="2E49CDBF"/>
    <w:rsid w:val="2E4B153A"/>
    <w:rsid w:val="2E4B5B2E"/>
    <w:rsid w:val="2E4B900A"/>
    <w:rsid w:val="2E4DF36B"/>
    <w:rsid w:val="2E4F2553"/>
    <w:rsid w:val="2E502F4C"/>
    <w:rsid w:val="2E553451"/>
    <w:rsid w:val="2E5748DE"/>
    <w:rsid w:val="2E57BB64"/>
    <w:rsid w:val="2E5A79AD"/>
    <w:rsid w:val="2E5BF53F"/>
    <w:rsid w:val="2E5C9E30"/>
    <w:rsid w:val="2E5E3CAE"/>
    <w:rsid w:val="2E5E978A"/>
    <w:rsid w:val="2E5EFD56"/>
    <w:rsid w:val="2E5F55EF"/>
    <w:rsid w:val="2E6058DD"/>
    <w:rsid w:val="2E60CECB"/>
    <w:rsid w:val="2E690FD2"/>
    <w:rsid w:val="2E718BFA"/>
    <w:rsid w:val="2E74DD60"/>
    <w:rsid w:val="2E75122C"/>
    <w:rsid w:val="2E79172D"/>
    <w:rsid w:val="2E797E75"/>
    <w:rsid w:val="2E7E5CF4"/>
    <w:rsid w:val="2E7ED6A7"/>
    <w:rsid w:val="2E80336C"/>
    <w:rsid w:val="2E81EC54"/>
    <w:rsid w:val="2E82AB8D"/>
    <w:rsid w:val="2E85D9CB"/>
    <w:rsid w:val="2E8900ED"/>
    <w:rsid w:val="2E8BAAD3"/>
    <w:rsid w:val="2E906B13"/>
    <w:rsid w:val="2E927927"/>
    <w:rsid w:val="2E9704F8"/>
    <w:rsid w:val="2E973A95"/>
    <w:rsid w:val="2E98AFC9"/>
    <w:rsid w:val="2E98E806"/>
    <w:rsid w:val="2E99D575"/>
    <w:rsid w:val="2E99F0DF"/>
    <w:rsid w:val="2E9D79E6"/>
    <w:rsid w:val="2EA08942"/>
    <w:rsid w:val="2EA0ABD4"/>
    <w:rsid w:val="2EA1D48A"/>
    <w:rsid w:val="2EA440C9"/>
    <w:rsid w:val="2EA478AC"/>
    <w:rsid w:val="2EA525FD"/>
    <w:rsid w:val="2EA9CDFF"/>
    <w:rsid w:val="2EAB2D70"/>
    <w:rsid w:val="2EABBA60"/>
    <w:rsid w:val="2EACCE00"/>
    <w:rsid w:val="2EACFFC5"/>
    <w:rsid w:val="2EB03E61"/>
    <w:rsid w:val="2EB16D89"/>
    <w:rsid w:val="2EB1D826"/>
    <w:rsid w:val="2EB236D8"/>
    <w:rsid w:val="2EB2DD85"/>
    <w:rsid w:val="2EB3635E"/>
    <w:rsid w:val="2EB414CE"/>
    <w:rsid w:val="2EB867BA"/>
    <w:rsid w:val="2EB91B22"/>
    <w:rsid w:val="2EBE65F0"/>
    <w:rsid w:val="2EBE8202"/>
    <w:rsid w:val="2EBF3E2E"/>
    <w:rsid w:val="2EC24EA8"/>
    <w:rsid w:val="2EC44E7C"/>
    <w:rsid w:val="2EC5D6BA"/>
    <w:rsid w:val="2EC68EF5"/>
    <w:rsid w:val="2EC99F48"/>
    <w:rsid w:val="2ECFDEC4"/>
    <w:rsid w:val="2ED4BB50"/>
    <w:rsid w:val="2ED53A16"/>
    <w:rsid w:val="2ED5D0D1"/>
    <w:rsid w:val="2EDA309D"/>
    <w:rsid w:val="2EDFC85A"/>
    <w:rsid w:val="2EE1694B"/>
    <w:rsid w:val="2EE1C6A2"/>
    <w:rsid w:val="2EE255AD"/>
    <w:rsid w:val="2EE32EA5"/>
    <w:rsid w:val="2EE35248"/>
    <w:rsid w:val="2EE5A259"/>
    <w:rsid w:val="2EE64EC3"/>
    <w:rsid w:val="2EE6543A"/>
    <w:rsid w:val="2EE92099"/>
    <w:rsid w:val="2EEC08C9"/>
    <w:rsid w:val="2EED158A"/>
    <w:rsid w:val="2EED5FA2"/>
    <w:rsid w:val="2EF228B4"/>
    <w:rsid w:val="2EF24D28"/>
    <w:rsid w:val="2EF47C0D"/>
    <w:rsid w:val="2EF7BBF1"/>
    <w:rsid w:val="2EF8AAAD"/>
    <w:rsid w:val="2EFD68B8"/>
    <w:rsid w:val="2EFDE309"/>
    <w:rsid w:val="2F002985"/>
    <w:rsid w:val="2F0037AB"/>
    <w:rsid w:val="2F053E39"/>
    <w:rsid w:val="2F08D90C"/>
    <w:rsid w:val="2F08F194"/>
    <w:rsid w:val="2F0935A4"/>
    <w:rsid w:val="2F0B7B22"/>
    <w:rsid w:val="2F0DDF19"/>
    <w:rsid w:val="2F108EC4"/>
    <w:rsid w:val="2F113E1A"/>
    <w:rsid w:val="2F11DED8"/>
    <w:rsid w:val="2F13066B"/>
    <w:rsid w:val="2F15DBCA"/>
    <w:rsid w:val="2F191A54"/>
    <w:rsid w:val="2F1FF864"/>
    <w:rsid w:val="2F258227"/>
    <w:rsid w:val="2F2C3267"/>
    <w:rsid w:val="2F2F2F28"/>
    <w:rsid w:val="2F2FF99B"/>
    <w:rsid w:val="2F36B915"/>
    <w:rsid w:val="2F3794F4"/>
    <w:rsid w:val="2F38AD84"/>
    <w:rsid w:val="2F39A455"/>
    <w:rsid w:val="2F3A5F9D"/>
    <w:rsid w:val="2F3C223F"/>
    <w:rsid w:val="2F3D41CF"/>
    <w:rsid w:val="2F3DBE42"/>
    <w:rsid w:val="2F4038DC"/>
    <w:rsid w:val="2F42B804"/>
    <w:rsid w:val="2F42CBFD"/>
    <w:rsid w:val="2F44FEEE"/>
    <w:rsid w:val="2F450E2C"/>
    <w:rsid w:val="2F4657AB"/>
    <w:rsid w:val="2F46E2D9"/>
    <w:rsid w:val="2F47F12A"/>
    <w:rsid w:val="2F49D82D"/>
    <w:rsid w:val="2F4A477A"/>
    <w:rsid w:val="2F51DF6E"/>
    <w:rsid w:val="2F522554"/>
    <w:rsid w:val="2F566EF4"/>
    <w:rsid w:val="2F56BCE7"/>
    <w:rsid w:val="2F56DFC9"/>
    <w:rsid w:val="2F580084"/>
    <w:rsid w:val="2F5B2597"/>
    <w:rsid w:val="2F5B6456"/>
    <w:rsid w:val="2F5C2E5B"/>
    <w:rsid w:val="2F60E74A"/>
    <w:rsid w:val="2F65DF44"/>
    <w:rsid w:val="2F67639D"/>
    <w:rsid w:val="2F68756F"/>
    <w:rsid w:val="2F68B082"/>
    <w:rsid w:val="2F69BC81"/>
    <w:rsid w:val="2F6D79FC"/>
    <w:rsid w:val="2F6DB9F1"/>
    <w:rsid w:val="2F73A051"/>
    <w:rsid w:val="2F7443C9"/>
    <w:rsid w:val="2F74F716"/>
    <w:rsid w:val="2F7600F9"/>
    <w:rsid w:val="2F7A4132"/>
    <w:rsid w:val="2F82F876"/>
    <w:rsid w:val="2F8507B9"/>
    <w:rsid w:val="2F851505"/>
    <w:rsid w:val="2F85445E"/>
    <w:rsid w:val="2F871E14"/>
    <w:rsid w:val="2F890F9A"/>
    <w:rsid w:val="2F891388"/>
    <w:rsid w:val="2F8AC189"/>
    <w:rsid w:val="2F8B00E7"/>
    <w:rsid w:val="2F8B53E0"/>
    <w:rsid w:val="2F8B9B9B"/>
    <w:rsid w:val="2F8DFF89"/>
    <w:rsid w:val="2F8FD416"/>
    <w:rsid w:val="2F93FD89"/>
    <w:rsid w:val="2F957320"/>
    <w:rsid w:val="2F97D0C8"/>
    <w:rsid w:val="2F99E4C8"/>
    <w:rsid w:val="2F9A0A84"/>
    <w:rsid w:val="2F9D1F97"/>
    <w:rsid w:val="2F9F0C9B"/>
    <w:rsid w:val="2FA5271B"/>
    <w:rsid w:val="2FACEC42"/>
    <w:rsid w:val="2FAD06CD"/>
    <w:rsid w:val="2FB088F7"/>
    <w:rsid w:val="2FB0B862"/>
    <w:rsid w:val="2FB0E0C5"/>
    <w:rsid w:val="2FB157FC"/>
    <w:rsid w:val="2FB28A6F"/>
    <w:rsid w:val="2FB2917E"/>
    <w:rsid w:val="2FB2FD43"/>
    <w:rsid w:val="2FB389B8"/>
    <w:rsid w:val="2FB45DF2"/>
    <w:rsid w:val="2FB583B4"/>
    <w:rsid w:val="2FB5A1A6"/>
    <w:rsid w:val="2FB6F2DA"/>
    <w:rsid w:val="2FBAE734"/>
    <w:rsid w:val="2FBBB9C1"/>
    <w:rsid w:val="2FBD4EB7"/>
    <w:rsid w:val="2FBF8FB6"/>
    <w:rsid w:val="2FC0EBE5"/>
    <w:rsid w:val="2FC16E90"/>
    <w:rsid w:val="2FC37AD2"/>
    <w:rsid w:val="2FCAF574"/>
    <w:rsid w:val="2FCCD417"/>
    <w:rsid w:val="2FCE983D"/>
    <w:rsid w:val="2FCEB27F"/>
    <w:rsid w:val="2FD08924"/>
    <w:rsid w:val="2FD38B58"/>
    <w:rsid w:val="2FD63AAA"/>
    <w:rsid w:val="2FD689DC"/>
    <w:rsid w:val="2FD920F2"/>
    <w:rsid w:val="2FD968CA"/>
    <w:rsid w:val="2FDAFACC"/>
    <w:rsid w:val="2FE69716"/>
    <w:rsid w:val="2FE8B8DB"/>
    <w:rsid w:val="2FE96214"/>
    <w:rsid w:val="2FECFFF5"/>
    <w:rsid w:val="2FED0669"/>
    <w:rsid w:val="2FED90AA"/>
    <w:rsid w:val="2FF18743"/>
    <w:rsid w:val="2FF51967"/>
    <w:rsid w:val="2FF76FD1"/>
    <w:rsid w:val="2FF7D259"/>
    <w:rsid w:val="2FF8EA2A"/>
    <w:rsid w:val="2FFAB71C"/>
    <w:rsid w:val="2FFC3186"/>
    <w:rsid w:val="2FFEB120"/>
    <w:rsid w:val="2FFF1B03"/>
    <w:rsid w:val="30037B15"/>
    <w:rsid w:val="30044440"/>
    <w:rsid w:val="300D65C9"/>
    <w:rsid w:val="300E13D9"/>
    <w:rsid w:val="30106A4A"/>
    <w:rsid w:val="3010EFCD"/>
    <w:rsid w:val="3011A569"/>
    <w:rsid w:val="3013B740"/>
    <w:rsid w:val="301849F1"/>
    <w:rsid w:val="301AF0DE"/>
    <w:rsid w:val="301E0E67"/>
    <w:rsid w:val="301E3561"/>
    <w:rsid w:val="3027867C"/>
    <w:rsid w:val="3028787F"/>
    <w:rsid w:val="3028A299"/>
    <w:rsid w:val="302A1D8A"/>
    <w:rsid w:val="302A7652"/>
    <w:rsid w:val="302B4D75"/>
    <w:rsid w:val="302B8359"/>
    <w:rsid w:val="3030C181"/>
    <w:rsid w:val="303543F8"/>
    <w:rsid w:val="3036398A"/>
    <w:rsid w:val="30366305"/>
    <w:rsid w:val="3037D2B8"/>
    <w:rsid w:val="3038B14A"/>
    <w:rsid w:val="3039282B"/>
    <w:rsid w:val="303B6E4B"/>
    <w:rsid w:val="30400EF6"/>
    <w:rsid w:val="3041D60C"/>
    <w:rsid w:val="3048337B"/>
    <w:rsid w:val="304B3873"/>
    <w:rsid w:val="304C1F6F"/>
    <w:rsid w:val="304EC101"/>
    <w:rsid w:val="30501006"/>
    <w:rsid w:val="30527AEF"/>
    <w:rsid w:val="305397EC"/>
    <w:rsid w:val="305C6B36"/>
    <w:rsid w:val="305DE93D"/>
    <w:rsid w:val="305ED5A2"/>
    <w:rsid w:val="3063CE14"/>
    <w:rsid w:val="30646083"/>
    <w:rsid w:val="30647151"/>
    <w:rsid w:val="30669989"/>
    <w:rsid w:val="306773CE"/>
    <w:rsid w:val="30679AE5"/>
    <w:rsid w:val="306CA460"/>
    <w:rsid w:val="306E6585"/>
    <w:rsid w:val="30710A77"/>
    <w:rsid w:val="30723042"/>
    <w:rsid w:val="30733893"/>
    <w:rsid w:val="3073F915"/>
    <w:rsid w:val="307417C4"/>
    <w:rsid w:val="3075909A"/>
    <w:rsid w:val="3078C3CE"/>
    <w:rsid w:val="3079F82A"/>
    <w:rsid w:val="307C9D49"/>
    <w:rsid w:val="30819907"/>
    <w:rsid w:val="30823DF1"/>
    <w:rsid w:val="308386E0"/>
    <w:rsid w:val="30866D6D"/>
    <w:rsid w:val="3086D902"/>
    <w:rsid w:val="3086F6CD"/>
    <w:rsid w:val="3088AE91"/>
    <w:rsid w:val="30890518"/>
    <w:rsid w:val="308A4C52"/>
    <w:rsid w:val="308FD15C"/>
    <w:rsid w:val="309436A8"/>
    <w:rsid w:val="30948324"/>
    <w:rsid w:val="3094B9A4"/>
    <w:rsid w:val="309539C1"/>
    <w:rsid w:val="309D6FD9"/>
    <w:rsid w:val="309D764C"/>
    <w:rsid w:val="309FF489"/>
    <w:rsid w:val="30A097DC"/>
    <w:rsid w:val="30A0BE11"/>
    <w:rsid w:val="30A0C68C"/>
    <w:rsid w:val="30A8BD3E"/>
    <w:rsid w:val="30AE5C90"/>
    <w:rsid w:val="30AE9D08"/>
    <w:rsid w:val="30AF4CA3"/>
    <w:rsid w:val="30AFB400"/>
    <w:rsid w:val="30B49C7E"/>
    <w:rsid w:val="30B588CC"/>
    <w:rsid w:val="30B5ECF9"/>
    <w:rsid w:val="30B99841"/>
    <w:rsid w:val="30BBC843"/>
    <w:rsid w:val="30C24886"/>
    <w:rsid w:val="30C2E332"/>
    <w:rsid w:val="30C40F1D"/>
    <w:rsid w:val="30CC871D"/>
    <w:rsid w:val="30CC9EDD"/>
    <w:rsid w:val="30CDDC82"/>
    <w:rsid w:val="30D0075A"/>
    <w:rsid w:val="30D0CB58"/>
    <w:rsid w:val="30D2E07E"/>
    <w:rsid w:val="30D4BA60"/>
    <w:rsid w:val="30D56C04"/>
    <w:rsid w:val="30D7494C"/>
    <w:rsid w:val="30DC5BA2"/>
    <w:rsid w:val="30DC6D30"/>
    <w:rsid w:val="30DE9C06"/>
    <w:rsid w:val="30E0F445"/>
    <w:rsid w:val="30E38F5B"/>
    <w:rsid w:val="30E49470"/>
    <w:rsid w:val="30E769BD"/>
    <w:rsid w:val="30E9E202"/>
    <w:rsid w:val="30E9FEA8"/>
    <w:rsid w:val="30EBA66C"/>
    <w:rsid w:val="30F1A441"/>
    <w:rsid w:val="30F2A3FC"/>
    <w:rsid w:val="30F39962"/>
    <w:rsid w:val="30FE07A7"/>
    <w:rsid w:val="3102145A"/>
    <w:rsid w:val="31041307"/>
    <w:rsid w:val="31073222"/>
    <w:rsid w:val="3108B6E4"/>
    <w:rsid w:val="310B0E98"/>
    <w:rsid w:val="310BF35C"/>
    <w:rsid w:val="310C0D4A"/>
    <w:rsid w:val="310CEC18"/>
    <w:rsid w:val="310D1580"/>
    <w:rsid w:val="310D6B09"/>
    <w:rsid w:val="310D9171"/>
    <w:rsid w:val="31117E0C"/>
    <w:rsid w:val="31135696"/>
    <w:rsid w:val="311A9B9E"/>
    <w:rsid w:val="311D8962"/>
    <w:rsid w:val="31229026"/>
    <w:rsid w:val="3124D866"/>
    <w:rsid w:val="3126BDC7"/>
    <w:rsid w:val="312ECFD9"/>
    <w:rsid w:val="312EF09E"/>
    <w:rsid w:val="31330AE0"/>
    <w:rsid w:val="3134FC7B"/>
    <w:rsid w:val="3138798A"/>
    <w:rsid w:val="313D74F5"/>
    <w:rsid w:val="3142D960"/>
    <w:rsid w:val="31430462"/>
    <w:rsid w:val="31438746"/>
    <w:rsid w:val="31452F47"/>
    <w:rsid w:val="3145B195"/>
    <w:rsid w:val="3146FE20"/>
    <w:rsid w:val="3148F54D"/>
    <w:rsid w:val="314DCEE3"/>
    <w:rsid w:val="314E76E8"/>
    <w:rsid w:val="3157BF9D"/>
    <w:rsid w:val="315999D0"/>
    <w:rsid w:val="315C3A27"/>
    <w:rsid w:val="315D2AD1"/>
    <w:rsid w:val="315E2711"/>
    <w:rsid w:val="31663E70"/>
    <w:rsid w:val="3167F01F"/>
    <w:rsid w:val="31693E83"/>
    <w:rsid w:val="316E4078"/>
    <w:rsid w:val="316F6747"/>
    <w:rsid w:val="3170E902"/>
    <w:rsid w:val="31718FA1"/>
    <w:rsid w:val="3172CCFF"/>
    <w:rsid w:val="31794D07"/>
    <w:rsid w:val="31796864"/>
    <w:rsid w:val="317F43F4"/>
    <w:rsid w:val="3187F8C7"/>
    <w:rsid w:val="318B8494"/>
    <w:rsid w:val="318BCB25"/>
    <w:rsid w:val="319241A1"/>
    <w:rsid w:val="319716DB"/>
    <w:rsid w:val="31999BD3"/>
    <w:rsid w:val="319A4DB6"/>
    <w:rsid w:val="319E7D43"/>
    <w:rsid w:val="319FB52B"/>
    <w:rsid w:val="31A81A33"/>
    <w:rsid w:val="31AA8DD4"/>
    <w:rsid w:val="31ABD414"/>
    <w:rsid w:val="31AE3100"/>
    <w:rsid w:val="31AE34E2"/>
    <w:rsid w:val="31AEBA12"/>
    <w:rsid w:val="31B004C4"/>
    <w:rsid w:val="31B35C6D"/>
    <w:rsid w:val="31B628B4"/>
    <w:rsid w:val="31BBCE49"/>
    <w:rsid w:val="31BDC3A0"/>
    <w:rsid w:val="31BE83A8"/>
    <w:rsid w:val="31C06B59"/>
    <w:rsid w:val="31C2AF8B"/>
    <w:rsid w:val="31C548D2"/>
    <w:rsid w:val="31C6C461"/>
    <w:rsid w:val="31C810F2"/>
    <w:rsid w:val="31CA4AB6"/>
    <w:rsid w:val="31CB5AD5"/>
    <w:rsid w:val="31CC8158"/>
    <w:rsid w:val="31D0508B"/>
    <w:rsid w:val="31D3190D"/>
    <w:rsid w:val="31D615CD"/>
    <w:rsid w:val="31D8D1D5"/>
    <w:rsid w:val="31D918F8"/>
    <w:rsid w:val="31DAC456"/>
    <w:rsid w:val="31DB7471"/>
    <w:rsid w:val="31DF45DE"/>
    <w:rsid w:val="31E082C0"/>
    <w:rsid w:val="31E7B74F"/>
    <w:rsid w:val="31E860A9"/>
    <w:rsid w:val="31F2DF8B"/>
    <w:rsid w:val="31F50773"/>
    <w:rsid w:val="31F50E74"/>
    <w:rsid w:val="31FA8548"/>
    <w:rsid w:val="31FAD213"/>
    <w:rsid w:val="31FD7D90"/>
    <w:rsid w:val="31FE9788"/>
    <w:rsid w:val="31FFA6B5"/>
    <w:rsid w:val="32005E94"/>
    <w:rsid w:val="32011421"/>
    <w:rsid w:val="32015D60"/>
    <w:rsid w:val="3201930A"/>
    <w:rsid w:val="3201B6B2"/>
    <w:rsid w:val="3203A1EE"/>
    <w:rsid w:val="32087011"/>
    <w:rsid w:val="320C0B3C"/>
    <w:rsid w:val="320C344F"/>
    <w:rsid w:val="320F32F0"/>
    <w:rsid w:val="321834DA"/>
    <w:rsid w:val="3218EACE"/>
    <w:rsid w:val="3219C628"/>
    <w:rsid w:val="321AE101"/>
    <w:rsid w:val="321AE296"/>
    <w:rsid w:val="321D70E1"/>
    <w:rsid w:val="321EDEC2"/>
    <w:rsid w:val="321F7DEB"/>
    <w:rsid w:val="32205DEF"/>
    <w:rsid w:val="322291D2"/>
    <w:rsid w:val="322562C1"/>
    <w:rsid w:val="32265D71"/>
    <w:rsid w:val="322D2A94"/>
    <w:rsid w:val="322E49FC"/>
    <w:rsid w:val="3230F5AA"/>
    <w:rsid w:val="32326369"/>
    <w:rsid w:val="323A631C"/>
    <w:rsid w:val="323A855D"/>
    <w:rsid w:val="323C3869"/>
    <w:rsid w:val="323CDC20"/>
    <w:rsid w:val="324166AD"/>
    <w:rsid w:val="3242E96A"/>
    <w:rsid w:val="324409FC"/>
    <w:rsid w:val="32478D19"/>
    <w:rsid w:val="3249392D"/>
    <w:rsid w:val="324999D0"/>
    <w:rsid w:val="324C1236"/>
    <w:rsid w:val="324D37F2"/>
    <w:rsid w:val="324D8A34"/>
    <w:rsid w:val="3255DEB0"/>
    <w:rsid w:val="3256A86C"/>
    <w:rsid w:val="325892D7"/>
    <w:rsid w:val="3260D4C6"/>
    <w:rsid w:val="3264E994"/>
    <w:rsid w:val="326AFF93"/>
    <w:rsid w:val="326D8D15"/>
    <w:rsid w:val="3271A44B"/>
    <w:rsid w:val="3273ED31"/>
    <w:rsid w:val="32769B57"/>
    <w:rsid w:val="327F3542"/>
    <w:rsid w:val="327F74FC"/>
    <w:rsid w:val="32848D36"/>
    <w:rsid w:val="328B6F15"/>
    <w:rsid w:val="328BA5BD"/>
    <w:rsid w:val="328BB2B2"/>
    <w:rsid w:val="328DFDCC"/>
    <w:rsid w:val="328EB191"/>
    <w:rsid w:val="328FD5C9"/>
    <w:rsid w:val="3293D486"/>
    <w:rsid w:val="32959DFC"/>
    <w:rsid w:val="3296A36D"/>
    <w:rsid w:val="329B1E7C"/>
    <w:rsid w:val="329E30FE"/>
    <w:rsid w:val="32A44D5C"/>
    <w:rsid w:val="32A55BBC"/>
    <w:rsid w:val="32A5E1B0"/>
    <w:rsid w:val="32A765C7"/>
    <w:rsid w:val="32ACF4C7"/>
    <w:rsid w:val="32ADC848"/>
    <w:rsid w:val="32B10D75"/>
    <w:rsid w:val="32B14457"/>
    <w:rsid w:val="32B1FBF9"/>
    <w:rsid w:val="32B47985"/>
    <w:rsid w:val="32B6B0CD"/>
    <w:rsid w:val="32BC056F"/>
    <w:rsid w:val="32BC8BB2"/>
    <w:rsid w:val="32BF8478"/>
    <w:rsid w:val="32C487F7"/>
    <w:rsid w:val="32C5AE25"/>
    <w:rsid w:val="32C7C4FD"/>
    <w:rsid w:val="32CEBE57"/>
    <w:rsid w:val="32D0B22A"/>
    <w:rsid w:val="32D22D74"/>
    <w:rsid w:val="32D360AF"/>
    <w:rsid w:val="32D6BE18"/>
    <w:rsid w:val="32D703A4"/>
    <w:rsid w:val="32D7BA75"/>
    <w:rsid w:val="32D8FC31"/>
    <w:rsid w:val="32D93F43"/>
    <w:rsid w:val="32DAB3FD"/>
    <w:rsid w:val="32DAEECC"/>
    <w:rsid w:val="32DC7A1B"/>
    <w:rsid w:val="32E18B34"/>
    <w:rsid w:val="32E27778"/>
    <w:rsid w:val="32E2B8E2"/>
    <w:rsid w:val="32E58504"/>
    <w:rsid w:val="32E5FD22"/>
    <w:rsid w:val="32E75850"/>
    <w:rsid w:val="32E88F1E"/>
    <w:rsid w:val="32E914B5"/>
    <w:rsid w:val="32E97139"/>
    <w:rsid w:val="32ECCD2A"/>
    <w:rsid w:val="32EDA5FB"/>
    <w:rsid w:val="32F052A2"/>
    <w:rsid w:val="32F089AA"/>
    <w:rsid w:val="32F39917"/>
    <w:rsid w:val="32F5D65A"/>
    <w:rsid w:val="32F73078"/>
    <w:rsid w:val="32F79164"/>
    <w:rsid w:val="32F871A6"/>
    <w:rsid w:val="32FBC86C"/>
    <w:rsid w:val="32FBEF3D"/>
    <w:rsid w:val="32FE1150"/>
    <w:rsid w:val="32FEA3E2"/>
    <w:rsid w:val="32FF1DFE"/>
    <w:rsid w:val="3300D572"/>
    <w:rsid w:val="3305C8F7"/>
    <w:rsid w:val="3305F343"/>
    <w:rsid w:val="330AB0D5"/>
    <w:rsid w:val="330BFEEC"/>
    <w:rsid w:val="330D3A88"/>
    <w:rsid w:val="330F4B1B"/>
    <w:rsid w:val="331420A3"/>
    <w:rsid w:val="33152D79"/>
    <w:rsid w:val="33192DA7"/>
    <w:rsid w:val="331F88EC"/>
    <w:rsid w:val="331FE990"/>
    <w:rsid w:val="3321648E"/>
    <w:rsid w:val="3322D5B7"/>
    <w:rsid w:val="3322E676"/>
    <w:rsid w:val="33246C65"/>
    <w:rsid w:val="33276E67"/>
    <w:rsid w:val="332A4062"/>
    <w:rsid w:val="33321C51"/>
    <w:rsid w:val="3335B1EB"/>
    <w:rsid w:val="333D10AB"/>
    <w:rsid w:val="3341B5EB"/>
    <w:rsid w:val="33438CDC"/>
    <w:rsid w:val="33444846"/>
    <w:rsid w:val="3344E19F"/>
    <w:rsid w:val="3345C464"/>
    <w:rsid w:val="3346188E"/>
    <w:rsid w:val="3346BCCD"/>
    <w:rsid w:val="334E31D3"/>
    <w:rsid w:val="33518E61"/>
    <w:rsid w:val="3352F987"/>
    <w:rsid w:val="3358FB3D"/>
    <w:rsid w:val="335955F8"/>
    <w:rsid w:val="335A9BBC"/>
    <w:rsid w:val="335AF3F8"/>
    <w:rsid w:val="335B2F24"/>
    <w:rsid w:val="335C194C"/>
    <w:rsid w:val="335F29F5"/>
    <w:rsid w:val="3361350C"/>
    <w:rsid w:val="33638040"/>
    <w:rsid w:val="33642566"/>
    <w:rsid w:val="33681674"/>
    <w:rsid w:val="3372D620"/>
    <w:rsid w:val="33734F62"/>
    <w:rsid w:val="33741CF7"/>
    <w:rsid w:val="33754A81"/>
    <w:rsid w:val="33762D6D"/>
    <w:rsid w:val="33762E74"/>
    <w:rsid w:val="33764DF5"/>
    <w:rsid w:val="338157CF"/>
    <w:rsid w:val="33836454"/>
    <w:rsid w:val="33848C31"/>
    <w:rsid w:val="33880877"/>
    <w:rsid w:val="33899DE3"/>
    <w:rsid w:val="338C3933"/>
    <w:rsid w:val="338D74F2"/>
    <w:rsid w:val="3390C1F3"/>
    <w:rsid w:val="3393E8D7"/>
    <w:rsid w:val="33941E17"/>
    <w:rsid w:val="33968E89"/>
    <w:rsid w:val="339967C4"/>
    <w:rsid w:val="339C3244"/>
    <w:rsid w:val="339DB586"/>
    <w:rsid w:val="339E526A"/>
    <w:rsid w:val="339F04CF"/>
    <w:rsid w:val="33A43A31"/>
    <w:rsid w:val="33A5C3FF"/>
    <w:rsid w:val="33A9C9EF"/>
    <w:rsid w:val="33AF215F"/>
    <w:rsid w:val="33B0BAE3"/>
    <w:rsid w:val="33B3096E"/>
    <w:rsid w:val="33BA7D07"/>
    <w:rsid w:val="33BB1B52"/>
    <w:rsid w:val="33BB5AD5"/>
    <w:rsid w:val="33C0654D"/>
    <w:rsid w:val="33C1C11B"/>
    <w:rsid w:val="33C1FC0D"/>
    <w:rsid w:val="33C22E0E"/>
    <w:rsid w:val="33C3A014"/>
    <w:rsid w:val="33C3CB6E"/>
    <w:rsid w:val="33C56A30"/>
    <w:rsid w:val="33C57A90"/>
    <w:rsid w:val="33C84DB9"/>
    <w:rsid w:val="33CA5D89"/>
    <w:rsid w:val="33CCC34C"/>
    <w:rsid w:val="33CF46E7"/>
    <w:rsid w:val="33D1185E"/>
    <w:rsid w:val="33D39431"/>
    <w:rsid w:val="33D47E01"/>
    <w:rsid w:val="33D5047F"/>
    <w:rsid w:val="33F4E5E4"/>
    <w:rsid w:val="33F5A1D5"/>
    <w:rsid w:val="33F736D6"/>
    <w:rsid w:val="33FC0B0E"/>
    <w:rsid w:val="340227C1"/>
    <w:rsid w:val="34025FF5"/>
    <w:rsid w:val="34028171"/>
    <w:rsid w:val="3404AECA"/>
    <w:rsid w:val="3408291F"/>
    <w:rsid w:val="340CDE1F"/>
    <w:rsid w:val="3410C1AE"/>
    <w:rsid w:val="3417681C"/>
    <w:rsid w:val="34191915"/>
    <w:rsid w:val="3419BB40"/>
    <w:rsid w:val="341AC517"/>
    <w:rsid w:val="341DDFE6"/>
    <w:rsid w:val="341E8EBA"/>
    <w:rsid w:val="342128E5"/>
    <w:rsid w:val="3421971B"/>
    <w:rsid w:val="3424B935"/>
    <w:rsid w:val="34250097"/>
    <w:rsid w:val="3425B8E1"/>
    <w:rsid w:val="34271D5B"/>
    <w:rsid w:val="3428AD8B"/>
    <w:rsid w:val="342D4396"/>
    <w:rsid w:val="342E2930"/>
    <w:rsid w:val="342E367A"/>
    <w:rsid w:val="342E4212"/>
    <w:rsid w:val="34305AF3"/>
    <w:rsid w:val="3430D3E8"/>
    <w:rsid w:val="3434AF7C"/>
    <w:rsid w:val="343575EB"/>
    <w:rsid w:val="343AD382"/>
    <w:rsid w:val="343B13BB"/>
    <w:rsid w:val="343BF228"/>
    <w:rsid w:val="34417A06"/>
    <w:rsid w:val="3444F4E6"/>
    <w:rsid w:val="34454E31"/>
    <w:rsid w:val="3446202A"/>
    <w:rsid w:val="34467407"/>
    <w:rsid w:val="344837CE"/>
    <w:rsid w:val="34494BBE"/>
    <w:rsid w:val="344DA7F9"/>
    <w:rsid w:val="344E0D67"/>
    <w:rsid w:val="344E72FF"/>
    <w:rsid w:val="3451E1CF"/>
    <w:rsid w:val="34552F58"/>
    <w:rsid w:val="3455C165"/>
    <w:rsid w:val="345980E0"/>
    <w:rsid w:val="34618607"/>
    <w:rsid w:val="34635AC8"/>
    <w:rsid w:val="3463A1FC"/>
    <w:rsid w:val="34664326"/>
    <w:rsid w:val="346B2C8D"/>
    <w:rsid w:val="346EF913"/>
    <w:rsid w:val="346F46C9"/>
    <w:rsid w:val="347035FD"/>
    <w:rsid w:val="347050D7"/>
    <w:rsid w:val="347C7542"/>
    <w:rsid w:val="347CD99F"/>
    <w:rsid w:val="347CF9FE"/>
    <w:rsid w:val="347ECD34"/>
    <w:rsid w:val="347EED96"/>
    <w:rsid w:val="3480183F"/>
    <w:rsid w:val="3481E127"/>
    <w:rsid w:val="34845FA4"/>
    <w:rsid w:val="3487E6E1"/>
    <w:rsid w:val="3487FA32"/>
    <w:rsid w:val="348B313A"/>
    <w:rsid w:val="348BEF28"/>
    <w:rsid w:val="348E99AF"/>
    <w:rsid w:val="348F8BA2"/>
    <w:rsid w:val="3490BD26"/>
    <w:rsid w:val="349199A7"/>
    <w:rsid w:val="3491C786"/>
    <w:rsid w:val="349227F7"/>
    <w:rsid w:val="349481CE"/>
    <w:rsid w:val="3494D140"/>
    <w:rsid w:val="3496C722"/>
    <w:rsid w:val="3498A778"/>
    <w:rsid w:val="34997746"/>
    <w:rsid w:val="349BC86F"/>
    <w:rsid w:val="34A3CFE6"/>
    <w:rsid w:val="34A56CAF"/>
    <w:rsid w:val="34A68E32"/>
    <w:rsid w:val="34A6EE19"/>
    <w:rsid w:val="34A7EC57"/>
    <w:rsid w:val="34AA37A0"/>
    <w:rsid w:val="34ABFA5B"/>
    <w:rsid w:val="34AE1AEF"/>
    <w:rsid w:val="34AEBB41"/>
    <w:rsid w:val="34AED096"/>
    <w:rsid w:val="34AF1DA2"/>
    <w:rsid w:val="34B7B87D"/>
    <w:rsid w:val="34B8AEAE"/>
    <w:rsid w:val="34BA234D"/>
    <w:rsid w:val="34BA3B77"/>
    <w:rsid w:val="34BC4E5C"/>
    <w:rsid w:val="34BC6FE8"/>
    <w:rsid w:val="34BD8404"/>
    <w:rsid w:val="34BDCC0B"/>
    <w:rsid w:val="34C1F605"/>
    <w:rsid w:val="34C3DF32"/>
    <w:rsid w:val="34C46616"/>
    <w:rsid w:val="34C4A792"/>
    <w:rsid w:val="34C4F29C"/>
    <w:rsid w:val="34C77F60"/>
    <w:rsid w:val="34C8E043"/>
    <w:rsid w:val="34C9111B"/>
    <w:rsid w:val="34CAD8FD"/>
    <w:rsid w:val="34CDC3CE"/>
    <w:rsid w:val="34D2016E"/>
    <w:rsid w:val="34D30F0A"/>
    <w:rsid w:val="34D71E11"/>
    <w:rsid w:val="34D8B414"/>
    <w:rsid w:val="34D904B7"/>
    <w:rsid w:val="34DE0811"/>
    <w:rsid w:val="34E3187C"/>
    <w:rsid w:val="34E560C1"/>
    <w:rsid w:val="34E6BD33"/>
    <w:rsid w:val="34E75AFD"/>
    <w:rsid w:val="34EB70A8"/>
    <w:rsid w:val="34ECE93B"/>
    <w:rsid w:val="34EF05D1"/>
    <w:rsid w:val="34EF5818"/>
    <w:rsid w:val="34F03DDF"/>
    <w:rsid w:val="34F1D176"/>
    <w:rsid w:val="34F20CB0"/>
    <w:rsid w:val="34F2689A"/>
    <w:rsid w:val="34F4E4ED"/>
    <w:rsid w:val="34F68C97"/>
    <w:rsid w:val="34FD546F"/>
    <w:rsid w:val="35048638"/>
    <w:rsid w:val="3507F14D"/>
    <w:rsid w:val="3509AEBE"/>
    <w:rsid w:val="350BC87C"/>
    <w:rsid w:val="350DF15A"/>
    <w:rsid w:val="3512A795"/>
    <w:rsid w:val="3513B381"/>
    <w:rsid w:val="3516F5F4"/>
    <w:rsid w:val="35182814"/>
    <w:rsid w:val="351C4CDC"/>
    <w:rsid w:val="351CCC20"/>
    <w:rsid w:val="351D9CDE"/>
    <w:rsid w:val="351DFEBC"/>
    <w:rsid w:val="351FB0CD"/>
    <w:rsid w:val="35225B9E"/>
    <w:rsid w:val="35247225"/>
    <w:rsid w:val="3528BA41"/>
    <w:rsid w:val="352A4FFF"/>
    <w:rsid w:val="352A83A1"/>
    <w:rsid w:val="352B855E"/>
    <w:rsid w:val="352FEA56"/>
    <w:rsid w:val="3533F30F"/>
    <w:rsid w:val="353B9A4C"/>
    <w:rsid w:val="353E8B83"/>
    <w:rsid w:val="353EBD59"/>
    <w:rsid w:val="353F4BD6"/>
    <w:rsid w:val="3541092D"/>
    <w:rsid w:val="3545D0E5"/>
    <w:rsid w:val="354C01B2"/>
    <w:rsid w:val="354D6989"/>
    <w:rsid w:val="354DFEE6"/>
    <w:rsid w:val="3550AACF"/>
    <w:rsid w:val="355169C4"/>
    <w:rsid w:val="35538B51"/>
    <w:rsid w:val="3556ACC8"/>
    <w:rsid w:val="355735D3"/>
    <w:rsid w:val="355A17B0"/>
    <w:rsid w:val="355B2C3E"/>
    <w:rsid w:val="355B2EB3"/>
    <w:rsid w:val="355C2F6B"/>
    <w:rsid w:val="3560BDDA"/>
    <w:rsid w:val="35675FD7"/>
    <w:rsid w:val="356832E0"/>
    <w:rsid w:val="356CBF30"/>
    <w:rsid w:val="356CE9CB"/>
    <w:rsid w:val="356D1218"/>
    <w:rsid w:val="356D5424"/>
    <w:rsid w:val="356DA42C"/>
    <w:rsid w:val="356E440A"/>
    <w:rsid w:val="35700080"/>
    <w:rsid w:val="3575A5D0"/>
    <w:rsid w:val="3578ACE8"/>
    <w:rsid w:val="357C2874"/>
    <w:rsid w:val="35825276"/>
    <w:rsid w:val="3584598B"/>
    <w:rsid w:val="3584F7CC"/>
    <w:rsid w:val="35891970"/>
    <w:rsid w:val="35893956"/>
    <w:rsid w:val="358A165C"/>
    <w:rsid w:val="358B9F44"/>
    <w:rsid w:val="358BA313"/>
    <w:rsid w:val="358CD575"/>
    <w:rsid w:val="358D6AC3"/>
    <w:rsid w:val="358E8A6B"/>
    <w:rsid w:val="3590199C"/>
    <w:rsid w:val="35976AC5"/>
    <w:rsid w:val="3599C5C1"/>
    <w:rsid w:val="359B3D7B"/>
    <w:rsid w:val="359B816C"/>
    <w:rsid w:val="359CFC00"/>
    <w:rsid w:val="359CFD67"/>
    <w:rsid w:val="359DAB05"/>
    <w:rsid w:val="359DBC21"/>
    <w:rsid w:val="359E1FEC"/>
    <w:rsid w:val="35A0262B"/>
    <w:rsid w:val="35A09867"/>
    <w:rsid w:val="35A1A3FB"/>
    <w:rsid w:val="35A2F890"/>
    <w:rsid w:val="35A6D715"/>
    <w:rsid w:val="35ABAD38"/>
    <w:rsid w:val="35AC9CA5"/>
    <w:rsid w:val="35ACFC96"/>
    <w:rsid w:val="35AEAFAD"/>
    <w:rsid w:val="35B00366"/>
    <w:rsid w:val="35B97953"/>
    <w:rsid w:val="35BA3E8E"/>
    <w:rsid w:val="35BAA7F2"/>
    <w:rsid w:val="35BCDB0D"/>
    <w:rsid w:val="35C1FABA"/>
    <w:rsid w:val="35C5430A"/>
    <w:rsid w:val="35C87A8F"/>
    <w:rsid w:val="35C9FF27"/>
    <w:rsid w:val="35CC13A9"/>
    <w:rsid w:val="35CE040E"/>
    <w:rsid w:val="35D13C25"/>
    <w:rsid w:val="35D3DCE4"/>
    <w:rsid w:val="35D4C133"/>
    <w:rsid w:val="35D70F3E"/>
    <w:rsid w:val="35D7842A"/>
    <w:rsid w:val="35D8A227"/>
    <w:rsid w:val="35E0E0E5"/>
    <w:rsid w:val="35E32DF8"/>
    <w:rsid w:val="35E548F5"/>
    <w:rsid w:val="35E6DE22"/>
    <w:rsid w:val="35E7BB66"/>
    <w:rsid w:val="35E9B0BE"/>
    <w:rsid w:val="35EB50C9"/>
    <w:rsid w:val="35EB786E"/>
    <w:rsid w:val="35EE4B14"/>
    <w:rsid w:val="35EF4772"/>
    <w:rsid w:val="35F030D3"/>
    <w:rsid w:val="35F1987C"/>
    <w:rsid w:val="35F72F86"/>
    <w:rsid w:val="35F7DB52"/>
    <w:rsid w:val="35F9CD15"/>
    <w:rsid w:val="35FA2E9A"/>
    <w:rsid w:val="35FB6750"/>
    <w:rsid w:val="35FC3170"/>
    <w:rsid w:val="35FC6E3F"/>
    <w:rsid w:val="36014E83"/>
    <w:rsid w:val="3601585A"/>
    <w:rsid w:val="36023AE3"/>
    <w:rsid w:val="3602AAD2"/>
    <w:rsid w:val="3603D7D3"/>
    <w:rsid w:val="360A9D77"/>
    <w:rsid w:val="360B2592"/>
    <w:rsid w:val="360F588C"/>
    <w:rsid w:val="361B577D"/>
    <w:rsid w:val="361CCC7B"/>
    <w:rsid w:val="361CD308"/>
    <w:rsid w:val="361FE2C8"/>
    <w:rsid w:val="36204AEB"/>
    <w:rsid w:val="36255559"/>
    <w:rsid w:val="3626F310"/>
    <w:rsid w:val="362C9FA5"/>
    <w:rsid w:val="362E4C05"/>
    <w:rsid w:val="363097A4"/>
    <w:rsid w:val="3630AF64"/>
    <w:rsid w:val="36348139"/>
    <w:rsid w:val="36358443"/>
    <w:rsid w:val="363882E7"/>
    <w:rsid w:val="3638B404"/>
    <w:rsid w:val="3639B9EA"/>
    <w:rsid w:val="363E8D9C"/>
    <w:rsid w:val="363F1795"/>
    <w:rsid w:val="3642DFDA"/>
    <w:rsid w:val="3643DE85"/>
    <w:rsid w:val="36464F53"/>
    <w:rsid w:val="364894A5"/>
    <w:rsid w:val="36498100"/>
    <w:rsid w:val="364CE8F2"/>
    <w:rsid w:val="36569240"/>
    <w:rsid w:val="3656E8D4"/>
    <w:rsid w:val="36586556"/>
    <w:rsid w:val="365C9461"/>
    <w:rsid w:val="3660967C"/>
    <w:rsid w:val="3661DE88"/>
    <w:rsid w:val="36648D33"/>
    <w:rsid w:val="366AA4D3"/>
    <w:rsid w:val="366B3089"/>
    <w:rsid w:val="366B6182"/>
    <w:rsid w:val="366BCCA4"/>
    <w:rsid w:val="366EB1B2"/>
    <w:rsid w:val="36736A2A"/>
    <w:rsid w:val="36736F73"/>
    <w:rsid w:val="36745860"/>
    <w:rsid w:val="3674E772"/>
    <w:rsid w:val="36777075"/>
    <w:rsid w:val="36777D0F"/>
    <w:rsid w:val="3679DCCF"/>
    <w:rsid w:val="367AC8D1"/>
    <w:rsid w:val="36862B9A"/>
    <w:rsid w:val="36873F58"/>
    <w:rsid w:val="3689B7BD"/>
    <w:rsid w:val="368DA1D7"/>
    <w:rsid w:val="368DB9D4"/>
    <w:rsid w:val="368F882A"/>
    <w:rsid w:val="36918AB5"/>
    <w:rsid w:val="36938959"/>
    <w:rsid w:val="3693EAE5"/>
    <w:rsid w:val="3695049C"/>
    <w:rsid w:val="369634B1"/>
    <w:rsid w:val="3697F8D7"/>
    <w:rsid w:val="3698B9F5"/>
    <w:rsid w:val="369A1958"/>
    <w:rsid w:val="369B4009"/>
    <w:rsid w:val="369BF24F"/>
    <w:rsid w:val="369F9498"/>
    <w:rsid w:val="36A16334"/>
    <w:rsid w:val="36A1BBD6"/>
    <w:rsid w:val="36A479EE"/>
    <w:rsid w:val="36A81E23"/>
    <w:rsid w:val="36A94DF1"/>
    <w:rsid w:val="36AACCA5"/>
    <w:rsid w:val="36ADF3AD"/>
    <w:rsid w:val="36AE5975"/>
    <w:rsid w:val="36B0251F"/>
    <w:rsid w:val="36B05921"/>
    <w:rsid w:val="36B0C393"/>
    <w:rsid w:val="36B1A20F"/>
    <w:rsid w:val="36B215FB"/>
    <w:rsid w:val="36B2FC7A"/>
    <w:rsid w:val="36B37BD7"/>
    <w:rsid w:val="36B49246"/>
    <w:rsid w:val="36B54D8D"/>
    <w:rsid w:val="36B67032"/>
    <w:rsid w:val="36B9CF1D"/>
    <w:rsid w:val="36BBD2BA"/>
    <w:rsid w:val="36BC9A09"/>
    <w:rsid w:val="36BCB145"/>
    <w:rsid w:val="36C0F7B3"/>
    <w:rsid w:val="36C1A533"/>
    <w:rsid w:val="36C27CB3"/>
    <w:rsid w:val="36C42EB2"/>
    <w:rsid w:val="36C474BA"/>
    <w:rsid w:val="36C4AAEF"/>
    <w:rsid w:val="36C55C05"/>
    <w:rsid w:val="36C617A0"/>
    <w:rsid w:val="36C691F1"/>
    <w:rsid w:val="36C6F35D"/>
    <w:rsid w:val="36C8FC27"/>
    <w:rsid w:val="36CB24F2"/>
    <w:rsid w:val="36CEBC5A"/>
    <w:rsid w:val="36CF424A"/>
    <w:rsid w:val="36CFD639"/>
    <w:rsid w:val="36D08D57"/>
    <w:rsid w:val="36D09458"/>
    <w:rsid w:val="36D12995"/>
    <w:rsid w:val="36D14B87"/>
    <w:rsid w:val="36D21063"/>
    <w:rsid w:val="36D33C14"/>
    <w:rsid w:val="36D4B8D3"/>
    <w:rsid w:val="36D66AB3"/>
    <w:rsid w:val="36D76A26"/>
    <w:rsid w:val="36D8A962"/>
    <w:rsid w:val="36DCBFD7"/>
    <w:rsid w:val="36DD3493"/>
    <w:rsid w:val="36DFC1B5"/>
    <w:rsid w:val="36E08701"/>
    <w:rsid w:val="36E51B1C"/>
    <w:rsid w:val="36E557DF"/>
    <w:rsid w:val="36E6BB13"/>
    <w:rsid w:val="36E8F665"/>
    <w:rsid w:val="36EBE70F"/>
    <w:rsid w:val="36EE4CFF"/>
    <w:rsid w:val="36EEEB2F"/>
    <w:rsid w:val="36EFD152"/>
    <w:rsid w:val="36F11324"/>
    <w:rsid w:val="36F39B06"/>
    <w:rsid w:val="36F3D6FB"/>
    <w:rsid w:val="36F77557"/>
    <w:rsid w:val="36F88FD2"/>
    <w:rsid w:val="36FB180A"/>
    <w:rsid w:val="36FC88BB"/>
    <w:rsid w:val="36FE3DEB"/>
    <w:rsid w:val="36FF85F2"/>
    <w:rsid w:val="36FFF880"/>
    <w:rsid w:val="3703B1D6"/>
    <w:rsid w:val="37058346"/>
    <w:rsid w:val="37064EA6"/>
    <w:rsid w:val="3709F5AD"/>
    <w:rsid w:val="370A1466"/>
    <w:rsid w:val="3710EEFF"/>
    <w:rsid w:val="37119237"/>
    <w:rsid w:val="371271EB"/>
    <w:rsid w:val="3713AAFD"/>
    <w:rsid w:val="3713B6B3"/>
    <w:rsid w:val="371F7E0D"/>
    <w:rsid w:val="371FC9D0"/>
    <w:rsid w:val="3720A175"/>
    <w:rsid w:val="372179FD"/>
    <w:rsid w:val="3729987C"/>
    <w:rsid w:val="372A91B1"/>
    <w:rsid w:val="372B8F1A"/>
    <w:rsid w:val="3730BF59"/>
    <w:rsid w:val="3732F592"/>
    <w:rsid w:val="37330291"/>
    <w:rsid w:val="3737C7B2"/>
    <w:rsid w:val="3738B490"/>
    <w:rsid w:val="373A2505"/>
    <w:rsid w:val="373BFC45"/>
    <w:rsid w:val="373FE708"/>
    <w:rsid w:val="37409609"/>
    <w:rsid w:val="37413E08"/>
    <w:rsid w:val="3744A534"/>
    <w:rsid w:val="3747F62E"/>
    <w:rsid w:val="374A059B"/>
    <w:rsid w:val="374AD77B"/>
    <w:rsid w:val="374C4EFC"/>
    <w:rsid w:val="374F2179"/>
    <w:rsid w:val="375044C7"/>
    <w:rsid w:val="3757530C"/>
    <w:rsid w:val="3757FE59"/>
    <w:rsid w:val="375829F3"/>
    <w:rsid w:val="37596FE7"/>
    <w:rsid w:val="375A2B05"/>
    <w:rsid w:val="375AEE7C"/>
    <w:rsid w:val="375FB6D5"/>
    <w:rsid w:val="375FDD79"/>
    <w:rsid w:val="37605748"/>
    <w:rsid w:val="37606A60"/>
    <w:rsid w:val="3761BB00"/>
    <w:rsid w:val="3761D55F"/>
    <w:rsid w:val="3767CB71"/>
    <w:rsid w:val="376D2481"/>
    <w:rsid w:val="37703D7A"/>
    <w:rsid w:val="377281AC"/>
    <w:rsid w:val="3773613E"/>
    <w:rsid w:val="3774F574"/>
    <w:rsid w:val="3776E426"/>
    <w:rsid w:val="37819DFD"/>
    <w:rsid w:val="3781F48C"/>
    <w:rsid w:val="378376A5"/>
    <w:rsid w:val="37841E04"/>
    <w:rsid w:val="37854C2B"/>
    <w:rsid w:val="378691D0"/>
    <w:rsid w:val="3788E002"/>
    <w:rsid w:val="3789E09B"/>
    <w:rsid w:val="378B0515"/>
    <w:rsid w:val="378C93D7"/>
    <w:rsid w:val="378CDF88"/>
    <w:rsid w:val="3792CCE3"/>
    <w:rsid w:val="37971B9A"/>
    <w:rsid w:val="379F2538"/>
    <w:rsid w:val="37A20059"/>
    <w:rsid w:val="37A20B9B"/>
    <w:rsid w:val="37A273E7"/>
    <w:rsid w:val="37A2F96D"/>
    <w:rsid w:val="37A32CB1"/>
    <w:rsid w:val="37A3FB51"/>
    <w:rsid w:val="37A54404"/>
    <w:rsid w:val="37A95767"/>
    <w:rsid w:val="37AA0BE7"/>
    <w:rsid w:val="37ABD689"/>
    <w:rsid w:val="37AE2DF1"/>
    <w:rsid w:val="37AEADD7"/>
    <w:rsid w:val="37B03BA8"/>
    <w:rsid w:val="37B4415F"/>
    <w:rsid w:val="37B5662B"/>
    <w:rsid w:val="37B9E3AA"/>
    <w:rsid w:val="37BAFDB2"/>
    <w:rsid w:val="37BB972F"/>
    <w:rsid w:val="37BBB3A8"/>
    <w:rsid w:val="37BC9FA7"/>
    <w:rsid w:val="37BEA861"/>
    <w:rsid w:val="37C35003"/>
    <w:rsid w:val="37C3C2E4"/>
    <w:rsid w:val="37C6364F"/>
    <w:rsid w:val="37CBA6F0"/>
    <w:rsid w:val="37CDD06C"/>
    <w:rsid w:val="37CDDA43"/>
    <w:rsid w:val="37D28F21"/>
    <w:rsid w:val="37D34C95"/>
    <w:rsid w:val="37D39FB5"/>
    <w:rsid w:val="37D85571"/>
    <w:rsid w:val="37DA6558"/>
    <w:rsid w:val="37DC8E6E"/>
    <w:rsid w:val="37DF34C0"/>
    <w:rsid w:val="37DFC12E"/>
    <w:rsid w:val="37E4EF3C"/>
    <w:rsid w:val="37E7DE96"/>
    <w:rsid w:val="37EA7290"/>
    <w:rsid w:val="37ECF838"/>
    <w:rsid w:val="37ED205C"/>
    <w:rsid w:val="37EDFF5A"/>
    <w:rsid w:val="37F066DD"/>
    <w:rsid w:val="37F2C916"/>
    <w:rsid w:val="37F6ABA3"/>
    <w:rsid w:val="37F7E095"/>
    <w:rsid w:val="37F95610"/>
    <w:rsid w:val="37FBA426"/>
    <w:rsid w:val="37FC6EC1"/>
    <w:rsid w:val="37FD70D5"/>
    <w:rsid w:val="3803DB16"/>
    <w:rsid w:val="38047B63"/>
    <w:rsid w:val="380911B0"/>
    <w:rsid w:val="380A5890"/>
    <w:rsid w:val="380B14A1"/>
    <w:rsid w:val="380BF323"/>
    <w:rsid w:val="380BF918"/>
    <w:rsid w:val="380CBC76"/>
    <w:rsid w:val="380F77FC"/>
    <w:rsid w:val="381422A4"/>
    <w:rsid w:val="381607DA"/>
    <w:rsid w:val="381653B9"/>
    <w:rsid w:val="3818CD44"/>
    <w:rsid w:val="38190121"/>
    <w:rsid w:val="381D6D62"/>
    <w:rsid w:val="381D8F49"/>
    <w:rsid w:val="381EBB2F"/>
    <w:rsid w:val="381EE280"/>
    <w:rsid w:val="3826D44E"/>
    <w:rsid w:val="382703C9"/>
    <w:rsid w:val="38280231"/>
    <w:rsid w:val="38297238"/>
    <w:rsid w:val="382C56E3"/>
    <w:rsid w:val="382D5AC5"/>
    <w:rsid w:val="3830658A"/>
    <w:rsid w:val="3831301C"/>
    <w:rsid w:val="383145BC"/>
    <w:rsid w:val="3832E7C3"/>
    <w:rsid w:val="3838EBA4"/>
    <w:rsid w:val="383DC9F0"/>
    <w:rsid w:val="383FD679"/>
    <w:rsid w:val="384369FE"/>
    <w:rsid w:val="38458BC8"/>
    <w:rsid w:val="3845ECA1"/>
    <w:rsid w:val="38495DB5"/>
    <w:rsid w:val="384A532F"/>
    <w:rsid w:val="384BCF35"/>
    <w:rsid w:val="384C358A"/>
    <w:rsid w:val="384D410E"/>
    <w:rsid w:val="384D4822"/>
    <w:rsid w:val="3853880D"/>
    <w:rsid w:val="3855DC73"/>
    <w:rsid w:val="3855F99E"/>
    <w:rsid w:val="385871F6"/>
    <w:rsid w:val="3858DA61"/>
    <w:rsid w:val="385F36AB"/>
    <w:rsid w:val="386091E6"/>
    <w:rsid w:val="38630ED2"/>
    <w:rsid w:val="3863ADA7"/>
    <w:rsid w:val="386A97AF"/>
    <w:rsid w:val="386AF8BF"/>
    <w:rsid w:val="386BA8A7"/>
    <w:rsid w:val="386BBCE1"/>
    <w:rsid w:val="386C6FC4"/>
    <w:rsid w:val="386E6049"/>
    <w:rsid w:val="38710DF7"/>
    <w:rsid w:val="38766C73"/>
    <w:rsid w:val="3877EF74"/>
    <w:rsid w:val="3879965E"/>
    <w:rsid w:val="387F23D7"/>
    <w:rsid w:val="387F47FF"/>
    <w:rsid w:val="38813174"/>
    <w:rsid w:val="3881D776"/>
    <w:rsid w:val="38820AB3"/>
    <w:rsid w:val="38831D1D"/>
    <w:rsid w:val="3883EF92"/>
    <w:rsid w:val="38862E2E"/>
    <w:rsid w:val="388BA1AA"/>
    <w:rsid w:val="388D0415"/>
    <w:rsid w:val="388E1064"/>
    <w:rsid w:val="388F21E5"/>
    <w:rsid w:val="3894BDA4"/>
    <w:rsid w:val="38957B94"/>
    <w:rsid w:val="38962042"/>
    <w:rsid w:val="38968765"/>
    <w:rsid w:val="3897213C"/>
    <w:rsid w:val="389963A8"/>
    <w:rsid w:val="389989BF"/>
    <w:rsid w:val="389C51BD"/>
    <w:rsid w:val="38A353CD"/>
    <w:rsid w:val="38A72D89"/>
    <w:rsid w:val="38A777CF"/>
    <w:rsid w:val="38A82A48"/>
    <w:rsid w:val="38AD5E0D"/>
    <w:rsid w:val="38B3AE81"/>
    <w:rsid w:val="38B4AE76"/>
    <w:rsid w:val="38BA8BBC"/>
    <w:rsid w:val="38BB1B07"/>
    <w:rsid w:val="38BFB7E9"/>
    <w:rsid w:val="38C3DA1C"/>
    <w:rsid w:val="38C6AB4A"/>
    <w:rsid w:val="38C6E83C"/>
    <w:rsid w:val="38C7CA84"/>
    <w:rsid w:val="38C84BE9"/>
    <w:rsid w:val="38CB9D9A"/>
    <w:rsid w:val="38CE06A2"/>
    <w:rsid w:val="38CEFF6D"/>
    <w:rsid w:val="38D14C3B"/>
    <w:rsid w:val="38D2B283"/>
    <w:rsid w:val="38D4DDCD"/>
    <w:rsid w:val="38D50078"/>
    <w:rsid w:val="38DA4975"/>
    <w:rsid w:val="38DB1731"/>
    <w:rsid w:val="38DBE3F0"/>
    <w:rsid w:val="38E07595"/>
    <w:rsid w:val="38E2FEF4"/>
    <w:rsid w:val="38E59F38"/>
    <w:rsid w:val="38E78691"/>
    <w:rsid w:val="38EB4D86"/>
    <w:rsid w:val="38ECE7A8"/>
    <w:rsid w:val="38F0E433"/>
    <w:rsid w:val="38F17E5C"/>
    <w:rsid w:val="38F1E2C9"/>
    <w:rsid w:val="38F3CEBA"/>
    <w:rsid w:val="38F8A4AF"/>
    <w:rsid w:val="38FA1A43"/>
    <w:rsid w:val="38FC0F73"/>
    <w:rsid w:val="38FC4008"/>
    <w:rsid w:val="38FDB0B0"/>
    <w:rsid w:val="390013C1"/>
    <w:rsid w:val="3900DC96"/>
    <w:rsid w:val="39021A3B"/>
    <w:rsid w:val="39027811"/>
    <w:rsid w:val="390592B1"/>
    <w:rsid w:val="390753F9"/>
    <w:rsid w:val="39088C1B"/>
    <w:rsid w:val="390A01E1"/>
    <w:rsid w:val="390BC142"/>
    <w:rsid w:val="390DE9BF"/>
    <w:rsid w:val="390E23DF"/>
    <w:rsid w:val="390F65A9"/>
    <w:rsid w:val="390FA7E6"/>
    <w:rsid w:val="39119054"/>
    <w:rsid w:val="3912CC68"/>
    <w:rsid w:val="3916F747"/>
    <w:rsid w:val="391791CE"/>
    <w:rsid w:val="3918C2BA"/>
    <w:rsid w:val="3919174F"/>
    <w:rsid w:val="391968C3"/>
    <w:rsid w:val="3919E395"/>
    <w:rsid w:val="391C954A"/>
    <w:rsid w:val="39205E60"/>
    <w:rsid w:val="39214183"/>
    <w:rsid w:val="3922A919"/>
    <w:rsid w:val="39274B30"/>
    <w:rsid w:val="392965DC"/>
    <w:rsid w:val="3929FBC6"/>
    <w:rsid w:val="392FB658"/>
    <w:rsid w:val="393018CA"/>
    <w:rsid w:val="3931DD02"/>
    <w:rsid w:val="39322460"/>
    <w:rsid w:val="3932C686"/>
    <w:rsid w:val="393424B7"/>
    <w:rsid w:val="393960B0"/>
    <w:rsid w:val="39397004"/>
    <w:rsid w:val="393EB1D9"/>
    <w:rsid w:val="39404ABA"/>
    <w:rsid w:val="3942C0A7"/>
    <w:rsid w:val="394A2FC1"/>
    <w:rsid w:val="394A4B60"/>
    <w:rsid w:val="394BBF72"/>
    <w:rsid w:val="394C5890"/>
    <w:rsid w:val="394C7EC2"/>
    <w:rsid w:val="394E4A10"/>
    <w:rsid w:val="3951115B"/>
    <w:rsid w:val="3953058B"/>
    <w:rsid w:val="395622A4"/>
    <w:rsid w:val="395823FB"/>
    <w:rsid w:val="395ABCAC"/>
    <w:rsid w:val="395BC721"/>
    <w:rsid w:val="395D27AD"/>
    <w:rsid w:val="395DC1F4"/>
    <w:rsid w:val="3962D7ED"/>
    <w:rsid w:val="39636467"/>
    <w:rsid w:val="3963D351"/>
    <w:rsid w:val="3967033B"/>
    <w:rsid w:val="3967BF61"/>
    <w:rsid w:val="396ABB11"/>
    <w:rsid w:val="396E5F82"/>
    <w:rsid w:val="39769450"/>
    <w:rsid w:val="397904DC"/>
    <w:rsid w:val="397BD73D"/>
    <w:rsid w:val="397D12FF"/>
    <w:rsid w:val="397D64DD"/>
    <w:rsid w:val="3980530E"/>
    <w:rsid w:val="3981BB1F"/>
    <w:rsid w:val="3983256C"/>
    <w:rsid w:val="39839D10"/>
    <w:rsid w:val="3983DFE8"/>
    <w:rsid w:val="398883C2"/>
    <w:rsid w:val="398B28A7"/>
    <w:rsid w:val="398D5264"/>
    <w:rsid w:val="398DDCE6"/>
    <w:rsid w:val="398F7FFC"/>
    <w:rsid w:val="39908F4A"/>
    <w:rsid w:val="399193C0"/>
    <w:rsid w:val="3999F454"/>
    <w:rsid w:val="399B99FF"/>
    <w:rsid w:val="399CC373"/>
    <w:rsid w:val="399D1AB3"/>
    <w:rsid w:val="39A1548C"/>
    <w:rsid w:val="39AAF1CC"/>
    <w:rsid w:val="39AC6D36"/>
    <w:rsid w:val="39ADDF8D"/>
    <w:rsid w:val="39B1407B"/>
    <w:rsid w:val="39B4AF16"/>
    <w:rsid w:val="39B58D6A"/>
    <w:rsid w:val="39B60D1F"/>
    <w:rsid w:val="39B870D9"/>
    <w:rsid w:val="39B8D7B8"/>
    <w:rsid w:val="39B96B6D"/>
    <w:rsid w:val="39C31D58"/>
    <w:rsid w:val="39C3D292"/>
    <w:rsid w:val="39C43AE9"/>
    <w:rsid w:val="39C75309"/>
    <w:rsid w:val="39C75397"/>
    <w:rsid w:val="39CA6BD9"/>
    <w:rsid w:val="39CB2AA6"/>
    <w:rsid w:val="39D35116"/>
    <w:rsid w:val="39D52F71"/>
    <w:rsid w:val="39DB2FDC"/>
    <w:rsid w:val="39DC4C12"/>
    <w:rsid w:val="39DD664B"/>
    <w:rsid w:val="39E51B6F"/>
    <w:rsid w:val="39E990A4"/>
    <w:rsid w:val="39EC273F"/>
    <w:rsid w:val="39EE7710"/>
    <w:rsid w:val="39EEB8A6"/>
    <w:rsid w:val="39F0CC14"/>
    <w:rsid w:val="39F1C167"/>
    <w:rsid w:val="39F5CBA2"/>
    <w:rsid w:val="39F72344"/>
    <w:rsid w:val="39F8F56C"/>
    <w:rsid w:val="39FD6725"/>
    <w:rsid w:val="3A01FC71"/>
    <w:rsid w:val="3A032A5B"/>
    <w:rsid w:val="3A035E6B"/>
    <w:rsid w:val="3A05231F"/>
    <w:rsid w:val="3A05B719"/>
    <w:rsid w:val="3A093719"/>
    <w:rsid w:val="3A0DFE27"/>
    <w:rsid w:val="3A14D6A2"/>
    <w:rsid w:val="3A166051"/>
    <w:rsid w:val="3A171D21"/>
    <w:rsid w:val="3A189D54"/>
    <w:rsid w:val="3A1C3660"/>
    <w:rsid w:val="3A1D278B"/>
    <w:rsid w:val="3A1F775C"/>
    <w:rsid w:val="3A2164C6"/>
    <w:rsid w:val="3A21F577"/>
    <w:rsid w:val="3A229607"/>
    <w:rsid w:val="3A236F05"/>
    <w:rsid w:val="3A277A4F"/>
    <w:rsid w:val="3A28667E"/>
    <w:rsid w:val="3A28796B"/>
    <w:rsid w:val="3A28D4ED"/>
    <w:rsid w:val="3A2D194F"/>
    <w:rsid w:val="3A3510C8"/>
    <w:rsid w:val="3A363EF7"/>
    <w:rsid w:val="3A3736E7"/>
    <w:rsid w:val="3A37D9B9"/>
    <w:rsid w:val="3A391260"/>
    <w:rsid w:val="3A3B2E17"/>
    <w:rsid w:val="3A3D7FBB"/>
    <w:rsid w:val="3A4489CE"/>
    <w:rsid w:val="3A47BBE9"/>
    <w:rsid w:val="3A482153"/>
    <w:rsid w:val="3A484B78"/>
    <w:rsid w:val="3A4B0F29"/>
    <w:rsid w:val="3A4B92D4"/>
    <w:rsid w:val="3A4EBB94"/>
    <w:rsid w:val="3A511500"/>
    <w:rsid w:val="3A516494"/>
    <w:rsid w:val="3A5225FE"/>
    <w:rsid w:val="3A525B18"/>
    <w:rsid w:val="3A548099"/>
    <w:rsid w:val="3A54B8B8"/>
    <w:rsid w:val="3A55309A"/>
    <w:rsid w:val="3A5D1FE3"/>
    <w:rsid w:val="3A5FF2F0"/>
    <w:rsid w:val="3A663225"/>
    <w:rsid w:val="3A6D0CC4"/>
    <w:rsid w:val="3A6F4616"/>
    <w:rsid w:val="3A74098A"/>
    <w:rsid w:val="3A75855B"/>
    <w:rsid w:val="3A76C111"/>
    <w:rsid w:val="3A78E78E"/>
    <w:rsid w:val="3A798B12"/>
    <w:rsid w:val="3A7BAE3A"/>
    <w:rsid w:val="3A7C73CE"/>
    <w:rsid w:val="3A7C9F5B"/>
    <w:rsid w:val="3A7FB1BE"/>
    <w:rsid w:val="3A89A990"/>
    <w:rsid w:val="3A8DE9A5"/>
    <w:rsid w:val="3A8E6833"/>
    <w:rsid w:val="3A8F7A18"/>
    <w:rsid w:val="3A9037B1"/>
    <w:rsid w:val="3A92F1C5"/>
    <w:rsid w:val="3A95C65A"/>
    <w:rsid w:val="3A99CA93"/>
    <w:rsid w:val="3A9DE27C"/>
    <w:rsid w:val="3AA144FE"/>
    <w:rsid w:val="3AA33A8B"/>
    <w:rsid w:val="3AA5A406"/>
    <w:rsid w:val="3AA5CFDB"/>
    <w:rsid w:val="3AA80958"/>
    <w:rsid w:val="3AA98B0F"/>
    <w:rsid w:val="3AA9F7CB"/>
    <w:rsid w:val="3AAA9AC4"/>
    <w:rsid w:val="3AAAC9C0"/>
    <w:rsid w:val="3AAADAA6"/>
    <w:rsid w:val="3AAC7EAB"/>
    <w:rsid w:val="3AAE24A0"/>
    <w:rsid w:val="3AB34D13"/>
    <w:rsid w:val="3AB36FDB"/>
    <w:rsid w:val="3AB386A2"/>
    <w:rsid w:val="3AB462EF"/>
    <w:rsid w:val="3AB64860"/>
    <w:rsid w:val="3ABB7AA3"/>
    <w:rsid w:val="3ABE7E69"/>
    <w:rsid w:val="3ABEE186"/>
    <w:rsid w:val="3ABFBAC9"/>
    <w:rsid w:val="3AC153D0"/>
    <w:rsid w:val="3AC22B05"/>
    <w:rsid w:val="3AC27671"/>
    <w:rsid w:val="3AC681BD"/>
    <w:rsid w:val="3AC6F3FE"/>
    <w:rsid w:val="3AC9726C"/>
    <w:rsid w:val="3ACCB70E"/>
    <w:rsid w:val="3AD48858"/>
    <w:rsid w:val="3AD56420"/>
    <w:rsid w:val="3AD7D78A"/>
    <w:rsid w:val="3ADCA4C5"/>
    <w:rsid w:val="3AE31237"/>
    <w:rsid w:val="3AE401CC"/>
    <w:rsid w:val="3AE65495"/>
    <w:rsid w:val="3AE74715"/>
    <w:rsid w:val="3AE90C9E"/>
    <w:rsid w:val="3AE9B2AA"/>
    <w:rsid w:val="3AEFB808"/>
    <w:rsid w:val="3AEFCC70"/>
    <w:rsid w:val="3AF48E2B"/>
    <w:rsid w:val="3AF5CEF6"/>
    <w:rsid w:val="3AF67D9A"/>
    <w:rsid w:val="3AFC0A21"/>
    <w:rsid w:val="3AFD9E36"/>
    <w:rsid w:val="3AFEA965"/>
    <w:rsid w:val="3AFEF705"/>
    <w:rsid w:val="3B031C6D"/>
    <w:rsid w:val="3B069EAE"/>
    <w:rsid w:val="3B0B59CB"/>
    <w:rsid w:val="3B0B78AC"/>
    <w:rsid w:val="3B0BCF9C"/>
    <w:rsid w:val="3B0C20E0"/>
    <w:rsid w:val="3B0D47A0"/>
    <w:rsid w:val="3B0E22FB"/>
    <w:rsid w:val="3B11AE82"/>
    <w:rsid w:val="3B11D187"/>
    <w:rsid w:val="3B1288F3"/>
    <w:rsid w:val="3B14E7D0"/>
    <w:rsid w:val="3B16485B"/>
    <w:rsid w:val="3B1675DA"/>
    <w:rsid w:val="3B17CC43"/>
    <w:rsid w:val="3B1BD76E"/>
    <w:rsid w:val="3B21CBDA"/>
    <w:rsid w:val="3B2215B3"/>
    <w:rsid w:val="3B222D82"/>
    <w:rsid w:val="3B22474E"/>
    <w:rsid w:val="3B22E49F"/>
    <w:rsid w:val="3B2315FD"/>
    <w:rsid w:val="3B268507"/>
    <w:rsid w:val="3B2A8225"/>
    <w:rsid w:val="3B2ACCA9"/>
    <w:rsid w:val="3B2BAB7B"/>
    <w:rsid w:val="3B2BF487"/>
    <w:rsid w:val="3B2D057B"/>
    <w:rsid w:val="3B2D99D0"/>
    <w:rsid w:val="3B2DA8A9"/>
    <w:rsid w:val="3B2E65F4"/>
    <w:rsid w:val="3B316344"/>
    <w:rsid w:val="3B34AEF7"/>
    <w:rsid w:val="3B372C70"/>
    <w:rsid w:val="3B3B00B8"/>
    <w:rsid w:val="3B3F53F2"/>
    <w:rsid w:val="3B462D99"/>
    <w:rsid w:val="3B467D24"/>
    <w:rsid w:val="3B49B30C"/>
    <w:rsid w:val="3B4AF0B1"/>
    <w:rsid w:val="3B4C1B62"/>
    <w:rsid w:val="3B515F85"/>
    <w:rsid w:val="3B532861"/>
    <w:rsid w:val="3B566DE6"/>
    <w:rsid w:val="3B5821BD"/>
    <w:rsid w:val="3B5A1AE7"/>
    <w:rsid w:val="3B5B550D"/>
    <w:rsid w:val="3B5BF8C1"/>
    <w:rsid w:val="3B5CEE18"/>
    <w:rsid w:val="3B5F0C22"/>
    <w:rsid w:val="3B66F453"/>
    <w:rsid w:val="3B691933"/>
    <w:rsid w:val="3B69993B"/>
    <w:rsid w:val="3B69E14F"/>
    <w:rsid w:val="3B6A3BDA"/>
    <w:rsid w:val="3B6BAA21"/>
    <w:rsid w:val="3B6D68A1"/>
    <w:rsid w:val="3B6E7FE2"/>
    <w:rsid w:val="3B7265CE"/>
    <w:rsid w:val="3B74A69A"/>
    <w:rsid w:val="3B74CA59"/>
    <w:rsid w:val="3B7661F5"/>
    <w:rsid w:val="3B771556"/>
    <w:rsid w:val="3B7AAFF1"/>
    <w:rsid w:val="3B7F6AB6"/>
    <w:rsid w:val="3B850906"/>
    <w:rsid w:val="3B880205"/>
    <w:rsid w:val="3B8EFF78"/>
    <w:rsid w:val="3B906EA0"/>
    <w:rsid w:val="3B92EC1A"/>
    <w:rsid w:val="3B972DA8"/>
    <w:rsid w:val="3B98A73B"/>
    <w:rsid w:val="3B9BC197"/>
    <w:rsid w:val="3B9D5A72"/>
    <w:rsid w:val="3B9E0AC0"/>
    <w:rsid w:val="3B9ED27E"/>
    <w:rsid w:val="3BA11C4D"/>
    <w:rsid w:val="3BA49A9B"/>
    <w:rsid w:val="3BA856D6"/>
    <w:rsid w:val="3BAE9A21"/>
    <w:rsid w:val="3BAF5439"/>
    <w:rsid w:val="3BB1601B"/>
    <w:rsid w:val="3BB3FFCC"/>
    <w:rsid w:val="3BB949E1"/>
    <w:rsid w:val="3BB95DD7"/>
    <w:rsid w:val="3BB9DCDF"/>
    <w:rsid w:val="3BBAC52D"/>
    <w:rsid w:val="3BBAE0B0"/>
    <w:rsid w:val="3BBD665A"/>
    <w:rsid w:val="3BC216D5"/>
    <w:rsid w:val="3BC2364F"/>
    <w:rsid w:val="3BC61F54"/>
    <w:rsid w:val="3BC7A292"/>
    <w:rsid w:val="3BCF8272"/>
    <w:rsid w:val="3BD2D79C"/>
    <w:rsid w:val="3BD3F634"/>
    <w:rsid w:val="3BD6C68F"/>
    <w:rsid w:val="3BD8DCC9"/>
    <w:rsid w:val="3BDF2F75"/>
    <w:rsid w:val="3BDF3CF0"/>
    <w:rsid w:val="3BE2ACF9"/>
    <w:rsid w:val="3BE34002"/>
    <w:rsid w:val="3BE382E9"/>
    <w:rsid w:val="3BE644E6"/>
    <w:rsid w:val="3BEA944C"/>
    <w:rsid w:val="3BEE02D6"/>
    <w:rsid w:val="3BEE0582"/>
    <w:rsid w:val="3BFA8EF5"/>
    <w:rsid w:val="3BFB7ADE"/>
    <w:rsid w:val="3BFCEA4A"/>
    <w:rsid w:val="3BFF4B6A"/>
    <w:rsid w:val="3C00E229"/>
    <w:rsid w:val="3C04A0DD"/>
    <w:rsid w:val="3C04D701"/>
    <w:rsid w:val="3C06CDFA"/>
    <w:rsid w:val="3C09D3E0"/>
    <w:rsid w:val="3C0CF103"/>
    <w:rsid w:val="3C0D7064"/>
    <w:rsid w:val="3C131447"/>
    <w:rsid w:val="3C18E192"/>
    <w:rsid w:val="3C1B8673"/>
    <w:rsid w:val="3C1D852C"/>
    <w:rsid w:val="3C1DA5CA"/>
    <w:rsid w:val="3C2023C8"/>
    <w:rsid w:val="3C214293"/>
    <w:rsid w:val="3C22E40B"/>
    <w:rsid w:val="3C263712"/>
    <w:rsid w:val="3C2906A3"/>
    <w:rsid w:val="3C296637"/>
    <w:rsid w:val="3C2B1F65"/>
    <w:rsid w:val="3C2C9249"/>
    <w:rsid w:val="3C2D5B55"/>
    <w:rsid w:val="3C30EADB"/>
    <w:rsid w:val="3C30F763"/>
    <w:rsid w:val="3C3178B6"/>
    <w:rsid w:val="3C327776"/>
    <w:rsid w:val="3C329056"/>
    <w:rsid w:val="3C34EFAB"/>
    <w:rsid w:val="3C3817DA"/>
    <w:rsid w:val="3C3863FE"/>
    <w:rsid w:val="3C3BF236"/>
    <w:rsid w:val="3C42DE71"/>
    <w:rsid w:val="3C4666A0"/>
    <w:rsid w:val="3C46FC70"/>
    <w:rsid w:val="3C483DBA"/>
    <w:rsid w:val="3C49254D"/>
    <w:rsid w:val="3C4F9FC7"/>
    <w:rsid w:val="3C510C6E"/>
    <w:rsid w:val="3C51E519"/>
    <w:rsid w:val="3C548401"/>
    <w:rsid w:val="3C5489F9"/>
    <w:rsid w:val="3C5827C8"/>
    <w:rsid w:val="3C587D16"/>
    <w:rsid w:val="3C5FAB6A"/>
    <w:rsid w:val="3C5FED50"/>
    <w:rsid w:val="3C60BCC8"/>
    <w:rsid w:val="3C61C63D"/>
    <w:rsid w:val="3C61E6FF"/>
    <w:rsid w:val="3C634DA3"/>
    <w:rsid w:val="3C6469A5"/>
    <w:rsid w:val="3C658767"/>
    <w:rsid w:val="3C6F4D45"/>
    <w:rsid w:val="3C71527E"/>
    <w:rsid w:val="3C72965B"/>
    <w:rsid w:val="3C74576C"/>
    <w:rsid w:val="3C776F72"/>
    <w:rsid w:val="3C7A0A89"/>
    <w:rsid w:val="3C7F64BF"/>
    <w:rsid w:val="3C8394AB"/>
    <w:rsid w:val="3C87909B"/>
    <w:rsid w:val="3C879CE7"/>
    <w:rsid w:val="3C8A17DB"/>
    <w:rsid w:val="3C8DE2AD"/>
    <w:rsid w:val="3C920D1E"/>
    <w:rsid w:val="3C944B51"/>
    <w:rsid w:val="3C94C2E3"/>
    <w:rsid w:val="3C9533FA"/>
    <w:rsid w:val="3C966A4C"/>
    <w:rsid w:val="3C97857D"/>
    <w:rsid w:val="3C9AE7A3"/>
    <w:rsid w:val="3C9B6E42"/>
    <w:rsid w:val="3C9C1796"/>
    <w:rsid w:val="3CA203FC"/>
    <w:rsid w:val="3CA343AF"/>
    <w:rsid w:val="3CA5C7BD"/>
    <w:rsid w:val="3CA5D169"/>
    <w:rsid w:val="3CA650C0"/>
    <w:rsid w:val="3CA71511"/>
    <w:rsid w:val="3CA75C0B"/>
    <w:rsid w:val="3CA9A2EC"/>
    <w:rsid w:val="3CAB8FD3"/>
    <w:rsid w:val="3CB0097D"/>
    <w:rsid w:val="3CB2AE2D"/>
    <w:rsid w:val="3CB2D811"/>
    <w:rsid w:val="3CB45034"/>
    <w:rsid w:val="3CBA97B2"/>
    <w:rsid w:val="3CBB3706"/>
    <w:rsid w:val="3CBDC996"/>
    <w:rsid w:val="3CBEC251"/>
    <w:rsid w:val="3CC50915"/>
    <w:rsid w:val="3CC57EDE"/>
    <w:rsid w:val="3CC986AD"/>
    <w:rsid w:val="3CCC3425"/>
    <w:rsid w:val="3CCCCCDD"/>
    <w:rsid w:val="3CCE1231"/>
    <w:rsid w:val="3CD2A91C"/>
    <w:rsid w:val="3CD58511"/>
    <w:rsid w:val="3CD907E2"/>
    <w:rsid w:val="3CD99126"/>
    <w:rsid w:val="3CD9AAC1"/>
    <w:rsid w:val="3CDABAC7"/>
    <w:rsid w:val="3CDE787F"/>
    <w:rsid w:val="3CE19A5D"/>
    <w:rsid w:val="3CE8DD6C"/>
    <w:rsid w:val="3CE96060"/>
    <w:rsid w:val="3CEBB300"/>
    <w:rsid w:val="3CEC01EC"/>
    <w:rsid w:val="3CEFE995"/>
    <w:rsid w:val="3CF96E95"/>
    <w:rsid w:val="3D0041D4"/>
    <w:rsid w:val="3D0313FC"/>
    <w:rsid w:val="3D032F8F"/>
    <w:rsid w:val="3D0574D9"/>
    <w:rsid w:val="3D061476"/>
    <w:rsid w:val="3D0915A1"/>
    <w:rsid w:val="3D0B0AF3"/>
    <w:rsid w:val="3D0B9D9A"/>
    <w:rsid w:val="3D0CB5F8"/>
    <w:rsid w:val="3D0E723B"/>
    <w:rsid w:val="3D0FE348"/>
    <w:rsid w:val="3D102663"/>
    <w:rsid w:val="3D157576"/>
    <w:rsid w:val="3D15C726"/>
    <w:rsid w:val="3D16D88C"/>
    <w:rsid w:val="3D1805F8"/>
    <w:rsid w:val="3D18F72B"/>
    <w:rsid w:val="3D2317E7"/>
    <w:rsid w:val="3D2352E9"/>
    <w:rsid w:val="3D2A41D6"/>
    <w:rsid w:val="3D2DA473"/>
    <w:rsid w:val="3D2EAA92"/>
    <w:rsid w:val="3D307E70"/>
    <w:rsid w:val="3D31EFDF"/>
    <w:rsid w:val="3D34B353"/>
    <w:rsid w:val="3D34D756"/>
    <w:rsid w:val="3D36053B"/>
    <w:rsid w:val="3D36D0CC"/>
    <w:rsid w:val="3D36E09D"/>
    <w:rsid w:val="3D37A620"/>
    <w:rsid w:val="3D38721C"/>
    <w:rsid w:val="3D3AD225"/>
    <w:rsid w:val="3D3E337A"/>
    <w:rsid w:val="3D43C911"/>
    <w:rsid w:val="3D49B42D"/>
    <w:rsid w:val="3D49D43A"/>
    <w:rsid w:val="3D4CC1B2"/>
    <w:rsid w:val="3D4D39B3"/>
    <w:rsid w:val="3D506F2A"/>
    <w:rsid w:val="3D526C2A"/>
    <w:rsid w:val="3D54C4E5"/>
    <w:rsid w:val="3D56A430"/>
    <w:rsid w:val="3D56CCCB"/>
    <w:rsid w:val="3D584FF0"/>
    <w:rsid w:val="3D5D7ADB"/>
    <w:rsid w:val="3D5DA633"/>
    <w:rsid w:val="3D5EFD66"/>
    <w:rsid w:val="3D60687F"/>
    <w:rsid w:val="3D615871"/>
    <w:rsid w:val="3D62E4FD"/>
    <w:rsid w:val="3D65E8BE"/>
    <w:rsid w:val="3D6891D6"/>
    <w:rsid w:val="3D6E05E8"/>
    <w:rsid w:val="3D6FD5F2"/>
    <w:rsid w:val="3D705485"/>
    <w:rsid w:val="3D7153CB"/>
    <w:rsid w:val="3D718A58"/>
    <w:rsid w:val="3D7867E1"/>
    <w:rsid w:val="3D7D7F48"/>
    <w:rsid w:val="3D7ED2EC"/>
    <w:rsid w:val="3D813E3E"/>
    <w:rsid w:val="3D81D6E0"/>
    <w:rsid w:val="3D827E9E"/>
    <w:rsid w:val="3D84BEDD"/>
    <w:rsid w:val="3D850131"/>
    <w:rsid w:val="3D872889"/>
    <w:rsid w:val="3D89AF14"/>
    <w:rsid w:val="3D89D3B1"/>
    <w:rsid w:val="3D8BE41F"/>
    <w:rsid w:val="3D8C3ECA"/>
    <w:rsid w:val="3D906A8E"/>
    <w:rsid w:val="3D96FAD5"/>
    <w:rsid w:val="3D977F2C"/>
    <w:rsid w:val="3D97D509"/>
    <w:rsid w:val="3D99A543"/>
    <w:rsid w:val="3D9C436D"/>
    <w:rsid w:val="3DA2EA37"/>
    <w:rsid w:val="3DA432E5"/>
    <w:rsid w:val="3DA66E11"/>
    <w:rsid w:val="3DA93321"/>
    <w:rsid w:val="3DAA5F88"/>
    <w:rsid w:val="3DACAFED"/>
    <w:rsid w:val="3DB0684C"/>
    <w:rsid w:val="3DB8BE9D"/>
    <w:rsid w:val="3DBC5787"/>
    <w:rsid w:val="3DBF3FB7"/>
    <w:rsid w:val="3DC58C9B"/>
    <w:rsid w:val="3DCB4ECF"/>
    <w:rsid w:val="3DCCA574"/>
    <w:rsid w:val="3DCD9ACC"/>
    <w:rsid w:val="3DCF311F"/>
    <w:rsid w:val="3DD0996C"/>
    <w:rsid w:val="3DD12DE1"/>
    <w:rsid w:val="3DD14A0C"/>
    <w:rsid w:val="3DD1B3C4"/>
    <w:rsid w:val="3DD5AAC2"/>
    <w:rsid w:val="3DD610FE"/>
    <w:rsid w:val="3DD7DE03"/>
    <w:rsid w:val="3DD7F317"/>
    <w:rsid w:val="3DD83B87"/>
    <w:rsid w:val="3DD85353"/>
    <w:rsid w:val="3DDB29EF"/>
    <w:rsid w:val="3DDE4B53"/>
    <w:rsid w:val="3DDF3E01"/>
    <w:rsid w:val="3DE0A6D1"/>
    <w:rsid w:val="3DE1097E"/>
    <w:rsid w:val="3DE2960F"/>
    <w:rsid w:val="3DE2A0DC"/>
    <w:rsid w:val="3DE5C238"/>
    <w:rsid w:val="3DE5F64E"/>
    <w:rsid w:val="3DECEB2B"/>
    <w:rsid w:val="3DECFC3E"/>
    <w:rsid w:val="3DEF724B"/>
    <w:rsid w:val="3DF21ACA"/>
    <w:rsid w:val="3DF8F35C"/>
    <w:rsid w:val="3DF969C1"/>
    <w:rsid w:val="3DFA176A"/>
    <w:rsid w:val="3DFAE859"/>
    <w:rsid w:val="3DFC5F2D"/>
    <w:rsid w:val="3E0119B7"/>
    <w:rsid w:val="3E034668"/>
    <w:rsid w:val="3E06A5E8"/>
    <w:rsid w:val="3E0A22E6"/>
    <w:rsid w:val="3E0AFA71"/>
    <w:rsid w:val="3E14C294"/>
    <w:rsid w:val="3E14DF3A"/>
    <w:rsid w:val="3E16349F"/>
    <w:rsid w:val="3E1683EF"/>
    <w:rsid w:val="3E18DA9D"/>
    <w:rsid w:val="3E19E8AD"/>
    <w:rsid w:val="3E1A7978"/>
    <w:rsid w:val="3E1D3276"/>
    <w:rsid w:val="3E1F9BC5"/>
    <w:rsid w:val="3E1FCBB5"/>
    <w:rsid w:val="3E20D833"/>
    <w:rsid w:val="3E2557F6"/>
    <w:rsid w:val="3E2B4D3C"/>
    <w:rsid w:val="3E2C8773"/>
    <w:rsid w:val="3E2D0BE1"/>
    <w:rsid w:val="3E2DF9C3"/>
    <w:rsid w:val="3E306255"/>
    <w:rsid w:val="3E3400EC"/>
    <w:rsid w:val="3E3529A9"/>
    <w:rsid w:val="3E370952"/>
    <w:rsid w:val="3E3723AA"/>
    <w:rsid w:val="3E386FAE"/>
    <w:rsid w:val="3E3AEA15"/>
    <w:rsid w:val="3E40E646"/>
    <w:rsid w:val="3E432C6C"/>
    <w:rsid w:val="3E44CB48"/>
    <w:rsid w:val="3E4846F5"/>
    <w:rsid w:val="3E492429"/>
    <w:rsid w:val="3E4B2F98"/>
    <w:rsid w:val="3E4D45F9"/>
    <w:rsid w:val="3E511C5E"/>
    <w:rsid w:val="3E540434"/>
    <w:rsid w:val="3E58F0B7"/>
    <w:rsid w:val="3E59D629"/>
    <w:rsid w:val="3E5BF434"/>
    <w:rsid w:val="3E5CD947"/>
    <w:rsid w:val="3E5F945B"/>
    <w:rsid w:val="3E6580C4"/>
    <w:rsid w:val="3E6633E2"/>
    <w:rsid w:val="3E680DD5"/>
    <w:rsid w:val="3E69E926"/>
    <w:rsid w:val="3E6AE70D"/>
    <w:rsid w:val="3E6B06F4"/>
    <w:rsid w:val="3E6B357C"/>
    <w:rsid w:val="3E6D95DA"/>
    <w:rsid w:val="3E6E211D"/>
    <w:rsid w:val="3E6F7B43"/>
    <w:rsid w:val="3E7013DD"/>
    <w:rsid w:val="3E70A01A"/>
    <w:rsid w:val="3E70D4AE"/>
    <w:rsid w:val="3E74AB25"/>
    <w:rsid w:val="3E753B76"/>
    <w:rsid w:val="3E78BF54"/>
    <w:rsid w:val="3E830AFE"/>
    <w:rsid w:val="3E832444"/>
    <w:rsid w:val="3E85DAB6"/>
    <w:rsid w:val="3E85E3F1"/>
    <w:rsid w:val="3E86C4DD"/>
    <w:rsid w:val="3E87ED34"/>
    <w:rsid w:val="3E890DB9"/>
    <w:rsid w:val="3E8A000E"/>
    <w:rsid w:val="3E90ED79"/>
    <w:rsid w:val="3E962700"/>
    <w:rsid w:val="3E9F7BF6"/>
    <w:rsid w:val="3E9FC759"/>
    <w:rsid w:val="3EA4F2A2"/>
    <w:rsid w:val="3EA553F7"/>
    <w:rsid w:val="3EA57ED1"/>
    <w:rsid w:val="3EA82D56"/>
    <w:rsid w:val="3EA86915"/>
    <w:rsid w:val="3EAAC715"/>
    <w:rsid w:val="3EB169FF"/>
    <w:rsid w:val="3EB46600"/>
    <w:rsid w:val="3EB487F0"/>
    <w:rsid w:val="3EB4ED28"/>
    <w:rsid w:val="3EB84FFB"/>
    <w:rsid w:val="3EBB8F7D"/>
    <w:rsid w:val="3EBC148C"/>
    <w:rsid w:val="3EBCE9FA"/>
    <w:rsid w:val="3EC1FAC2"/>
    <w:rsid w:val="3EC220EC"/>
    <w:rsid w:val="3EC56EA6"/>
    <w:rsid w:val="3EC5E4B7"/>
    <w:rsid w:val="3ECB1986"/>
    <w:rsid w:val="3ECDADD4"/>
    <w:rsid w:val="3ECDFA7F"/>
    <w:rsid w:val="3ED16F2A"/>
    <w:rsid w:val="3ED1EE49"/>
    <w:rsid w:val="3ED28070"/>
    <w:rsid w:val="3ED2C9AF"/>
    <w:rsid w:val="3ED3B677"/>
    <w:rsid w:val="3ED5FABC"/>
    <w:rsid w:val="3ED66728"/>
    <w:rsid w:val="3ED9E92C"/>
    <w:rsid w:val="3ED9FDFB"/>
    <w:rsid w:val="3EDA48D3"/>
    <w:rsid w:val="3EDB9EE3"/>
    <w:rsid w:val="3EDDE39F"/>
    <w:rsid w:val="3EDE717A"/>
    <w:rsid w:val="3EE0490D"/>
    <w:rsid w:val="3EE2A5D3"/>
    <w:rsid w:val="3EE2CCB6"/>
    <w:rsid w:val="3EE4E5B3"/>
    <w:rsid w:val="3EE6E95D"/>
    <w:rsid w:val="3EE7BF6E"/>
    <w:rsid w:val="3EE88DD3"/>
    <w:rsid w:val="3EE9FF54"/>
    <w:rsid w:val="3EEC0FCD"/>
    <w:rsid w:val="3EED7C1A"/>
    <w:rsid w:val="3EEDCE8F"/>
    <w:rsid w:val="3EF5BF4E"/>
    <w:rsid w:val="3EF5C379"/>
    <w:rsid w:val="3EF7261C"/>
    <w:rsid w:val="3EFA03F0"/>
    <w:rsid w:val="3EFFF479"/>
    <w:rsid w:val="3F007D62"/>
    <w:rsid w:val="3F0096A0"/>
    <w:rsid w:val="3F0440EF"/>
    <w:rsid w:val="3F046237"/>
    <w:rsid w:val="3F05D564"/>
    <w:rsid w:val="3F06241D"/>
    <w:rsid w:val="3F07C929"/>
    <w:rsid w:val="3F0B8C85"/>
    <w:rsid w:val="3F1185F1"/>
    <w:rsid w:val="3F14B18D"/>
    <w:rsid w:val="3F158AF7"/>
    <w:rsid w:val="3F174868"/>
    <w:rsid w:val="3F17C512"/>
    <w:rsid w:val="3F1880BC"/>
    <w:rsid w:val="3F1B3063"/>
    <w:rsid w:val="3F1F6447"/>
    <w:rsid w:val="3F217115"/>
    <w:rsid w:val="3F263388"/>
    <w:rsid w:val="3F293574"/>
    <w:rsid w:val="3F2A7D67"/>
    <w:rsid w:val="3F2B3551"/>
    <w:rsid w:val="3F2B87A9"/>
    <w:rsid w:val="3F2D0437"/>
    <w:rsid w:val="3F2ED912"/>
    <w:rsid w:val="3F2F9C94"/>
    <w:rsid w:val="3F33A71E"/>
    <w:rsid w:val="3F343603"/>
    <w:rsid w:val="3F3645F3"/>
    <w:rsid w:val="3F37DCE0"/>
    <w:rsid w:val="3F3813CE"/>
    <w:rsid w:val="3F3CA9F8"/>
    <w:rsid w:val="3F3CE2A4"/>
    <w:rsid w:val="3F3E5E23"/>
    <w:rsid w:val="3F3FAEF0"/>
    <w:rsid w:val="3F467BB2"/>
    <w:rsid w:val="3F47492C"/>
    <w:rsid w:val="3F4B4788"/>
    <w:rsid w:val="3F4BB6BB"/>
    <w:rsid w:val="3F4FFE97"/>
    <w:rsid w:val="3F595119"/>
    <w:rsid w:val="3F5993D8"/>
    <w:rsid w:val="3F5BF3BA"/>
    <w:rsid w:val="3F5D1980"/>
    <w:rsid w:val="3F6007A6"/>
    <w:rsid w:val="3F6079BB"/>
    <w:rsid w:val="3F628412"/>
    <w:rsid w:val="3F6303F5"/>
    <w:rsid w:val="3F694B40"/>
    <w:rsid w:val="3F6A23C6"/>
    <w:rsid w:val="3F6B0DDC"/>
    <w:rsid w:val="3F6B60FD"/>
    <w:rsid w:val="3F6B80F5"/>
    <w:rsid w:val="3F6C4B3E"/>
    <w:rsid w:val="3F6E12CE"/>
    <w:rsid w:val="3F6EEB6D"/>
    <w:rsid w:val="3F7066D7"/>
    <w:rsid w:val="3F715408"/>
    <w:rsid w:val="3F71771A"/>
    <w:rsid w:val="3F7324E5"/>
    <w:rsid w:val="3F73D299"/>
    <w:rsid w:val="3F75FE31"/>
    <w:rsid w:val="3F7D11DC"/>
    <w:rsid w:val="3F7FC0BA"/>
    <w:rsid w:val="3F7FD83B"/>
    <w:rsid w:val="3F817C15"/>
    <w:rsid w:val="3F8213D2"/>
    <w:rsid w:val="3F843918"/>
    <w:rsid w:val="3F8483EC"/>
    <w:rsid w:val="3F8B4187"/>
    <w:rsid w:val="3F8B435B"/>
    <w:rsid w:val="3F9271FF"/>
    <w:rsid w:val="3F929387"/>
    <w:rsid w:val="3F95900F"/>
    <w:rsid w:val="3F95AE0F"/>
    <w:rsid w:val="3F9E0348"/>
    <w:rsid w:val="3FA35B28"/>
    <w:rsid w:val="3FA9D05C"/>
    <w:rsid w:val="3FACBAE8"/>
    <w:rsid w:val="3FAF4FDD"/>
    <w:rsid w:val="3FB157E5"/>
    <w:rsid w:val="3FB417E2"/>
    <w:rsid w:val="3FB8B95D"/>
    <w:rsid w:val="3FB9BC71"/>
    <w:rsid w:val="3FBA5C35"/>
    <w:rsid w:val="3FBAE4FF"/>
    <w:rsid w:val="3FBC9448"/>
    <w:rsid w:val="3FBE4007"/>
    <w:rsid w:val="3FC1741D"/>
    <w:rsid w:val="3FC1F066"/>
    <w:rsid w:val="3FC227DB"/>
    <w:rsid w:val="3FC5D304"/>
    <w:rsid w:val="3FC63DFF"/>
    <w:rsid w:val="3FC6D322"/>
    <w:rsid w:val="3FD32CD3"/>
    <w:rsid w:val="3FD37128"/>
    <w:rsid w:val="3FD3F643"/>
    <w:rsid w:val="3FD952FC"/>
    <w:rsid w:val="3FD9CA79"/>
    <w:rsid w:val="3FDB1C21"/>
    <w:rsid w:val="3FDD8B59"/>
    <w:rsid w:val="3FDF7ED0"/>
    <w:rsid w:val="3FE0E27D"/>
    <w:rsid w:val="3FE7D57B"/>
    <w:rsid w:val="3FE914FE"/>
    <w:rsid w:val="3FEC8165"/>
    <w:rsid w:val="3FF1446E"/>
    <w:rsid w:val="3FF1506C"/>
    <w:rsid w:val="3FF588EA"/>
    <w:rsid w:val="3FFAE14A"/>
    <w:rsid w:val="3FFBAC3E"/>
    <w:rsid w:val="3FFCDFF2"/>
    <w:rsid w:val="3FFFF068"/>
    <w:rsid w:val="40029C88"/>
    <w:rsid w:val="40048847"/>
    <w:rsid w:val="4004A5C5"/>
    <w:rsid w:val="4005BCC4"/>
    <w:rsid w:val="40060EC3"/>
    <w:rsid w:val="40081C44"/>
    <w:rsid w:val="4009D8B5"/>
    <w:rsid w:val="4009EBF0"/>
    <w:rsid w:val="400BECAC"/>
    <w:rsid w:val="40117DEA"/>
    <w:rsid w:val="40130F14"/>
    <w:rsid w:val="4017D1F2"/>
    <w:rsid w:val="401893A0"/>
    <w:rsid w:val="4019A9DA"/>
    <w:rsid w:val="401B374F"/>
    <w:rsid w:val="401D0C07"/>
    <w:rsid w:val="401E52AD"/>
    <w:rsid w:val="4020C020"/>
    <w:rsid w:val="4021C4D6"/>
    <w:rsid w:val="402A8A25"/>
    <w:rsid w:val="402DC2DD"/>
    <w:rsid w:val="402FCBBE"/>
    <w:rsid w:val="403374D0"/>
    <w:rsid w:val="40354E91"/>
    <w:rsid w:val="403F413D"/>
    <w:rsid w:val="40424867"/>
    <w:rsid w:val="4048DE84"/>
    <w:rsid w:val="40591FDE"/>
    <w:rsid w:val="4059C163"/>
    <w:rsid w:val="405AF8DD"/>
    <w:rsid w:val="405CDD73"/>
    <w:rsid w:val="405D56F8"/>
    <w:rsid w:val="405EA0C9"/>
    <w:rsid w:val="405EBCEA"/>
    <w:rsid w:val="4060311F"/>
    <w:rsid w:val="406366AF"/>
    <w:rsid w:val="4066664B"/>
    <w:rsid w:val="40672062"/>
    <w:rsid w:val="40678A37"/>
    <w:rsid w:val="4067D7FF"/>
    <w:rsid w:val="4068631C"/>
    <w:rsid w:val="406A1256"/>
    <w:rsid w:val="406A4430"/>
    <w:rsid w:val="406FC684"/>
    <w:rsid w:val="407741A7"/>
    <w:rsid w:val="4079F961"/>
    <w:rsid w:val="407AA3FB"/>
    <w:rsid w:val="407F2B20"/>
    <w:rsid w:val="4080117F"/>
    <w:rsid w:val="408046A7"/>
    <w:rsid w:val="40827150"/>
    <w:rsid w:val="4082DA14"/>
    <w:rsid w:val="40834894"/>
    <w:rsid w:val="408726E4"/>
    <w:rsid w:val="40876604"/>
    <w:rsid w:val="408A31E4"/>
    <w:rsid w:val="408F6B3D"/>
    <w:rsid w:val="40902AD1"/>
    <w:rsid w:val="4090D736"/>
    <w:rsid w:val="40917962"/>
    <w:rsid w:val="409192EA"/>
    <w:rsid w:val="40930A12"/>
    <w:rsid w:val="409647B4"/>
    <w:rsid w:val="4096858B"/>
    <w:rsid w:val="409A030E"/>
    <w:rsid w:val="409A0697"/>
    <w:rsid w:val="409A91F6"/>
    <w:rsid w:val="409BE61B"/>
    <w:rsid w:val="409EC8CA"/>
    <w:rsid w:val="409FF426"/>
    <w:rsid w:val="40A03298"/>
    <w:rsid w:val="40A593D8"/>
    <w:rsid w:val="40A962F8"/>
    <w:rsid w:val="40AA2935"/>
    <w:rsid w:val="40ABD85D"/>
    <w:rsid w:val="40B4A8A8"/>
    <w:rsid w:val="40B69D84"/>
    <w:rsid w:val="40BBA8B0"/>
    <w:rsid w:val="40C17056"/>
    <w:rsid w:val="40C52953"/>
    <w:rsid w:val="40CE9C9D"/>
    <w:rsid w:val="40D0247A"/>
    <w:rsid w:val="40D243C7"/>
    <w:rsid w:val="40D5A814"/>
    <w:rsid w:val="40D5F19C"/>
    <w:rsid w:val="40D70FB2"/>
    <w:rsid w:val="40D9580D"/>
    <w:rsid w:val="40D9D4F3"/>
    <w:rsid w:val="40DDBB56"/>
    <w:rsid w:val="40DE8595"/>
    <w:rsid w:val="40E40CA8"/>
    <w:rsid w:val="40E4DE8C"/>
    <w:rsid w:val="40E916CB"/>
    <w:rsid w:val="40EB7C1C"/>
    <w:rsid w:val="40EBEE5B"/>
    <w:rsid w:val="40EC01F0"/>
    <w:rsid w:val="40EDEF6F"/>
    <w:rsid w:val="40F19007"/>
    <w:rsid w:val="40F36CBB"/>
    <w:rsid w:val="40F3FB97"/>
    <w:rsid w:val="40F4F321"/>
    <w:rsid w:val="40F505FA"/>
    <w:rsid w:val="40FB47F9"/>
    <w:rsid w:val="40FC4D0A"/>
    <w:rsid w:val="410387DC"/>
    <w:rsid w:val="41064424"/>
    <w:rsid w:val="4106AF7C"/>
    <w:rsid w:val="4109FD18"/>
    <w:rsid w:val="410A86FB"/>
    <w:rsid w:val="410B2EAA"/>
    <w:rsid w:val="4114AF9D"/>
    <w:rsid w:val="4115A4A4"/>
    <w:rsid w:val="411644A4"/>
    <w:rsid w:val="4119067E"/>
    <w:rsid w:val="4119D7C3"/>
    <w:rsid w:val="411A3122"/>
    <w:rsid w:val="411A6DE0"/>
    <w:rsid w:val="411CA34D"/>
    <w:rsid w:val="411D66D7"/>
    <w:rsid w:val="411DD3AC"/>
    <w:rsid w:val="41203519"/>
    <w:rsid w:val="412541E7"/>
    <w:rsid w:val="41273E3E"/>
    <w:rsid w:val="41287BDB"/>
    <w:rsid w:val="412D319D"/>
    <w:rsid w:val="412EBD8F"/>
    <w:rsid w:val="41304AB0"/>
    <w:rsid w:val="41319874"/>
    <w:rsid w:val="4131EB26"/>
    <w:rsid w:val="4131FA19"/>
    <w:rsid w:val="41332EBB"/>
    <w:rsid w:val="4134E4F0"/>
    <w:rsid w:val="4134F010"/>
    <w:rsid w:val="413ABDE9"/>
    <w:rsid w:val="413B1685"/>
    <w:rsid w:val="413C0B65"/>
    <w:rsid w:val="413E7989"/>
    <w:rsid w:val="41405A89"/>
    <w:rsid w:val="4144364A"/>
    <w:rsid w:val="41446140"/>
    <w:rsid w:val="41463D33"/>
    <w:rsid w:val="4147A5AD"/>
    <w:rsid w:val="414AC9B5"/>
    <w:rsid w:val="414CC8F8"/>
    <w:rsid w:val="414FD515"/>
    <w:rsid w:val="4150813C"/>
    <w:rsid w:val="41508B05"/>
    <w:rsid w:val="41512FB3"/>
    <w:rsid w:val="4152427C"/>
    <w:rsid w:val="4155811C"/>
    <w:rsid w:val="4157860F"/>
    <w:rsid w:val="4158F140"/>
    <w:rsid w:val="415C8F6C"/>
    <w:rsid w:val="4161584E"/>
    <w:rsid w:val="416AB2A9"/>
    <w:rsid w:val="416B120F"/>
    <w:rsid w:val="416C2E3D"/>
    <w:rsid w:val="416C8FAC"/>
    <w:rsid w:val="416D2EBD"/>
    <w:rsid w:val="416D9490"/>
    <w:rsid w:val="4170496B"/>
    <w:rsid w:val="4170724B"/>
    <w:rsid w:val="41711162"/>
    <w:rsid w:val="4175ED9A"/>
    <w:rsid w:val="41781AC8"/>
    <w:rsid w:val="417AACB8"/>
    <w:rsid w:val="41803016"/>
    <w:rsid w:val="41823AC2"/>
    <w:rsid w:val="41829982"/>
    <w:rsid w:val="418316EF"/>
    <w:rsid w:val="4185F1AE"/>
    <w:rsid w:val="418723C0"/>
    <w:rsid w:val="41880CDD"/>
    <w:rsid w:val="418F576A"/>
    <w:rsid w:val="419228B7"/>
    <w:rsid w:val="4197A048"/>
    <w:rsid w:val="41986990"/>
    <w:rsid w:val="419C7CFE"/>
    <w:rsid w:val="41A90B97"/>
    <w:rsid w:val="41ABFA19"/>
    <w:rsid w:val="41AD5EF6"/>
    <w:rsid w:val="41B233E2"/>
    <w:rsid w:val="41B5F81E"/>
    <w:rsid w:val="41B94F20"/>
    <w:rsid w:val="41BD7B78"/>
    <w:rsid w:val="41C2FCAE"/>
    <w:rsid w:val="41C62060"/>
    <w:rsid w:val="41C8142D"/>
    <w:rsid w:val="41C914FE"/>
    <w:rsid w:val="41CA225A"/>
    <w:rsid w:val="41CD70CF"/>
    <w:rsid w:val="41CEB113"/>
    <w:rsid w:val="41D44A23"/>
    <w:rsid w:val="41D88546"/>
    <w:rsid w:val="41DC736C"/>
    <w:rsid w:val="41E29235"/>
    <w:rsid w:val="41E2AC7A"/>
    <w:rsid w:val="41E49E51"/>
    <w:rsid w:val="41EA051C"/>
    <w:rsid w:val="41EB3639"/>
    <w:rsid w:val="41F0BE87"/>
    <w:rsid w:val="41F0F6BC"/>
    <w:rsid w:val="41FF5A31"/>
    <w:rsid w:val="41FFF3A1"/>
    <w:rsid w:val="42000BEE"/>
    <w:rsid w:val="42015A41"/>
    <w:rsid w:val="42040D6C"/>
    <w:rsid w:val="42041302"/>
    <w:rsid w:val="4209C142"/>
    <w:rsid w:val="420A7EFB"/>
    <w:rsid w:val="420E377E"/>
    <w:rsid w:val="420F09B0"/>
    <w:rsid w:val="420F134E"/>
    <w:rsid w:val="42122882"/>
    <w:rsid w:val="421764CB"/>
    <w:rsid w:val="421ACA2E"/>
    <w:rsid w:val="421B112D"/>
    <w:rsid w:val="4222C272"/>
    <w:rsid w:val="4224391A"/>
    <w:rsid w:val="4225E806"/>
    <w:rsid w:val="422665AE"/>
    <w:rsid w:val="422ED061"/>
    <w:rsid w:val="4230066A"/>
    <w:rsid w:val="42349182"/>
    <w:rsid w:val="4237710A"/>
    <w:rsid w:val="423823D4"/>
    <w:rsid w:val="4238657F"/>
    <w:rsid w:val="423894D4"/>
    <w:rsid w:val="423BE509"/>
    <w:rsid w:val="4243F55C"/>
    <w:rsid w:val="4244504D"/>
    <w:rsid w:val="42463BB1"/>
    <w:rsid w:val="424765E4"/>
    <w:rsid w:val="42490408"/>
    <w:rsid w:val="424A4429"/>
    <w:rsid w:val="424A6B3F"/>
    <w:rsid w:val="424B2C5B"/>
    <w:rsid w:val="424B47F6"/>
    <w:rsid w:val="425241A8"/>
    <w:rsid w:val="4256F059"/>
    <w:rsid w:val="42643074"/>
    <w:rsid w:val="426B1A4B"/>
    <w:rsid w:val="426E1A83"/>
    <w:rsid w:val="4271FC6F"/>
    <w:rsid w:val="42746FDB"/>
    <w:rsid w:val="4275AFAB"/>
    <w:rsid w:val="42769647"/>
    <w:rsid w:val="427BE626"/>
    <w:rsid w:val="427D4AD2"/>
    <w:rsid w:val="427E1807"/>
    <w:rsid w:val="427EEB82"/>
    <w:rsid w:val="428230DD"/>
    <w:rsid w:val="4282DC67"/>
    <w:rsid w:val="428A2F6B"/>
    <w:rsid w:val="428B3DE9"/>
    <w:rsid w:val="428BA38E"/>
    <w:rsid w:val="4291DA07"/>
    <w:rsid w:val="4291E87A"/>
    <w:rsid w:val="4295AF35"/>
    <w:rsid w:val="429C4C30"/>
    <w:rsid w:val="429D82AD"/>
    <w:rsid w:val="429DF201"/>
    <w:rsid w:val="429E5DFA"/>
    <w:rsid w:val="429F5F37"/>
    <w:rsid w:val="42A19187"/>
    <w:rsid w:val="42A735C9"/>
    <w:rsid w:val="42A7E5DC"/>
    <w:rsid w:val="42A909A6"/>
    <w:rsid w:val="42AAB08B"/>
    <w:rsid w:val="42B1C131"/>
    <w:rsid w:val="42B263C7"/>
    <w:rsid w:val="42B7EB77"/>
    <w:rsid w:val="42B9464A"/>
    <w:rsid w:val="42BB9574"/>
    <w:rsid w:val="42BFA1AE"/>
    <w:rsid w:val="42CA85AD"/>
    <w:rsid w:val="42CB273A"/>
    <w:rsid w:val="42D049B7"/>
    <w:rsid w:val="42D05E7A"/>
    <w:rsid w:val="42D09A7D"/>
    <w:rsid w:val="42D25D8D"/>
    <w:rsid w:val="42D45187"/>
    <w:rsid w:val="42D472CD"/>
    <w:rsid w:val="42D48451"/>
    <w:rsid w:val="42D51EDD"/>
    <w:rsid w:val="42D5A2EB"/>
    <w:rsid w:val="42DA5CFC"/>
    <w:rsid w:val="42E0441E"/>
    <w:rsid w:val="42E28D93"/>
    <w:rsid w:val="42E2A103"/>
    <w:rsid w:val="42E34F7F"/>
    <w:rsid w:val="42E40CDE"/>
    <w:rsid w:val="42E7B787"/>
    <w:rsid w:val="42E87DBF"/>
    <w:rsid w:val="42E8CB40"/>
    <w:rsid w:val="42E9E7A3"/>
    <w:rsid w:val="42EAC9D1"/>
    <w:rsid w:val="42EBB6A8"/>
    <w:rsid w:val="42EF01FA"/>
    <w:rsid w:val="42F5422D"/>
    <w:rsid w:val="42F54833"/>
    <w:rsid w:val="42F6397D"/>
    <w:rsid w:val="42FA4921"/>
    <w:rsid w:val="42FF04A7"/>
    <w:rsid w:val="42FFB2E9"/>
    <w:rsid w:val="42FFD4AA"/>
    <w:rsid w:val="43025D15"/>
    <w:rsid w:val="4303D334"/>
    <w:rsid w:val="43063E85"/>
    <w:rsid w:val="4308C432"/>
    <w:rsid w:val="430905CA"/>
    <w:rsid w:val="430A194A"/>
    <w:rsid w:val="430B98E3"/>
    <w:rsid w:val="430C5E21"/>
    <w:rsid w:val="430D1122"/>
    <w:rsid w:val="4312909D"/>
    <w:rsid w:val="4315721F"/>
    <w:rsid w:val="4317AEA0"/>
    <w:rsid w:val="4318A0ED"/>
    <w:rsid w:val="4318AD27"/>
    <w:rsid w:val="4319005F"/>
    <w:rsid w:val="431B8F44"/>
    <w:rsid w:val="432158BD"/>
    <w:rsid w:val="4326E06E"/>
    <w:rsid w:val="4328AE59"/>
    <w:rsid w:val="4329E5C9"/>
    <w:rsid w:val="432B6795"/>
    <w:rsid w:val="432ED218"/>
    <w:rsid w:val="43329C6D"/>
    <w:rsid w:val="4336DC88"/>
    <w:rsid w:val="43376A79"/>
    <w:rsid w:val="433888F0"/>
    <w:rsid w:val="433AA20D"/>
    <w:rsid w:val="433B4C27"/>
    <w:rsid w:val="433DD583"/>
    <w:rsid w:val="4341D0FE"/>
    <w:rsid w:val="434362DC"/>
    <w:rsid w:val="4346E76A"/>
    <w:rsid w:val="4347196D"/>
    <w:rsid w:val="434BD514"/>
    <w:rsid w:val="434EFAF8"/>
    <w:rsid w:val="43513C22"/>
    <w:rsid w:val="435329A2"/>
    <w:rsid w:val="4355AB52"/>
    <w:rsid w:val="4357F7C3"/>
    <w:rsid w:val="435983EF"/>
    <w:rsid w:val="435B7DC5"/>
    <w:rsid w:val="435E0A0D"/>
    <w:rsid w:val="4361D949"/>
    <w:rsid w:val="43633A20"/>
    <w:rsid w:val="4363B0FA"/>
    <w:rsid w:val="43662565"/>
    <w:rsid w:val="436A0817"/>
    <w:rsid w:val="436B143C"/>
    <w:rsid w:val="436C2F8D"/>
    <w:rsid w:val="436DCD4C"/>
    <w:rsid w:val="436DDCA3"/>
    <w:rsid w:val="436E1D33"/>
    <w:rsid w:val="436F7E1D"/>
    <w:rsid w:val="4371D0B9"/>
    <w:rsid w:val="437393A0"/>
    <w:rsid w:val="4374EC6F"/>
    <w:rsid w:val="4379D4B8"/>
    <w:rsid w:val="437AEB91"/>
    <w:rsid w:val="437BA97E"/>
    <w:rsid w:val="437D5212"/>
    <w:rsid w:val="437DC9B9"/>
    <w:rsid w:val="437EF11E"/>
    <w:rsid w:val="43855F5F"/>
    <w:rsid w:val="4387C9C4"/>
    <w:rsid w:val="4387CE00"/>
    <w:rsid w:val="438855DB"/>
    <w:rsid w:val="438C3175"/>
    <w:rsid w:val="438D5ACD"/>
    <w:rsid w:val="438E223D"/>
    <w:rsid w:val="438E6257"/>
    <w:rsid w:val="43901E2D"/>
    <w:rsid w:val="43912814"/>
    <w:rsid w:val="4396034A"/>
    <w:rsid w:val="439C8600"/>
    <w:rsid w:val="439DEEEA"/>
    <w:rsid w:val="439EBE4A"/>
    <w:rsid w:val="43A3B032"/>
    <w:rsid w:val="43A3B9AD"/>
    <w:rsid w:val="43A8B90B"/>
    <w:rsid w:val="43AD0595"/>
    <w:rsid w:val="43AE60A4"/>
    <w:rsid w:val="43B17931"/>
    <w:rsid w:val="43B29BAE"/>
    <w:rsid w:val="43B2CE7F"/>
    <w:rsid w:val="43BA262E"/>
    <w:rsid w:val="43BBC247"/>
    <w:rsid w:val="43BCB07D"/>
    <w:rsid w:val="43BE55ED"/>
    <w:rsid w:val="43C1C51D"/>
    <w:rsid w:val="43C29C77"/>
    <w:rsid w:val="43C72EDA"/>
    <w:rsid w:val="43CAAAD4"/>
    <w:rsid w:val="43CCB171"/>
    <w:rsid w:val="43CDFD4C"/>
    <w:rsid w:val="43CE14C6"/>
    <w:rsid w:val="43CE5AEF"/>
    <w:rsid w:val="43D1E1F3"/>
    <w:rsid w:val="43D345F7"/>
    <w:rsid w:val="43D39D8D"/>
    <w:rsid w:val="43D45404"/>
    <w:rsid w:val="43D61F03"/>
    <w:rsid w:val="43D6415B"/>
    <w:rsid w:val="43D6587F"/>
    <w:rsid w:val="43D8A2E0"/>
    <w:rsid w:val="43D99C51"/>
    <w:rsid w:val="43DF8913"/>
    <w:rsid w:val="43E1EC26"/>
    <w:rsid w:val="43E2C7B9"/>
    <w:rsid w:val="43E79541"/>
    <w:rsid w:val="43E7AAC7"/>
    <w:rsid w:val="43E7DD9C"/>
    <w:rsid w:val="43EA698B"/>
    <w:rsid w:val="43ECABB4"/>
    <w:rsid w:val="43EE6DF3"/>
    <w:rsid w:val="43EFE43F"/>
    <w:rsid w:val="43F16B99"/>
    <w:rsid w:val="43F8F64A"/>
    <w:rsid w:val="440198EE"/>
    <w:rsid w:val="440606A0"/>
    <w:rsid w:val="4407A845"/>
    <w:rsid w:val="440A4F8B"/>
    <w:rsid w:val="440F93CE"/>
    <w:rsid w:val="4411850C"/>
    <w:rsid w:val="4417BE57"/>
    <w:rsid w:val="4418C43F"/>
    <w:rsid w:val="44198709"/>
    <w:rsid w:val="441A916A"/>
    <w:rsid w:val="441B1F28"/>
    <w:rsid w:val="441C5B63"/>
    <w:rsid w:val="441D0380"/>
    <w:rsid w:val="441D2C1C"/>
    <w:rsid w:val="442BE9C0"/>
    <w:rsid w:val="442C571F"/>
    <w:rsid w:val="442CAA82"/>
    <w:rsid w:val="442D5B40"/>
    <w:rsid w:val="442E6D4A"/>
    <w:rsid w:val="4430C3A1"/>
    <w:rsid w:val="44315441"/>
    <w:rsid w:val="4432FF97"/>
    <w:rsid w:val="4433C88F"/>
    <w:rsid w:val="443924F5"/>
    <w:rsid w:val="443A4682"/>
    <w:rsid w:val="443B3DEC"/>
    <w:rsid w:val="443FCB03"/>
    <w:rsid w:val="44412834"/>
    <w:rsid w:val="44435289"/>
    <w:rsid w:val="44439B97"/>
    <w:rsid w:val="444805FE"/>
    <w:rsid w:val="444835CC"/>
    <w:rsid w:val="444853D0"/>
    <w:rsid w:val="444C328B"/>
    <w:rsid w:val="444DCEFE"/>
    <w:rsid w:val="444E5C64"/>
    <w:rsid w:val="444E7B2D"/>
    <w:rsid w:val="444EF8D3"/>
    <w:rsid w:val="444F16E1"/>
    <w:rsid w:val="4452B54D"/>
    <w:rsid w:val="4455EC87"/>
    <w:rsid w:val="44572E52"/>
    <w:rsid w:val="4457D91C"/>
    <w:rsid w:val="4458CD2A"/>
    <w:rsid w:val="445B68E1"/>
    <w:rsid w:val="445CF7D5"/>
    <w:rsid w:val="445E0CFA"/>
    <w:rsid w:val="44629A56"/>
    <w:rsid w:val="446697D3"/>
    <w:rsid w:val="446A84F1"/>
    <w:rsid w:val="447054B2"/>
    <w:rsid w:val="4473E737"/>
    <w:rsid w:val="44749815"/>
    <w:rsid w:val="4476B034"/>
    <w:rsid w:val="447862D0"/>
    <w:rsid w:val="44790879"/>
    <w:rsid w:val="447A4BB6"/>
    <w:rsid w:val="447AF961"/>
    <w:rsid w:val="447DA840"/>
    <w:rsid w:val="447ED016"/>
    <w:rsid w:val="4482A788"/>
    <w:rsid w:val="4483ABF0"/>
    <w:rsid w:val="44857EB8"/>
    <w:rsid w:val="4486CD95"/>
    <w:rsid w:val="44877D26"/>
    <w:rsid w:val="4487E9FC"/>
    <w:rsid w:val="448AD25B"/>
    <w:rsid w:val="448AEF80"/>
    <w:rsid w:val="448C4C89"/>
    <w:rsid w:val="448EE6D0"/>
    <w:rsid w:val="448F8325"/>
    <w:rsid w:val="448FFA0E"/>
    <w:rsid w:val="449293EE"/>
    <w:rsid w:val="4492B255"/>
    <w:rsid w:val="44937FEB"/>
    <w:rsid w:val="4497537F"/>
    <w:rsid w:val="44A5DD10"/>
    <w:rsid w:val="44A62905"/>
    <w:rsid w:val="44A67178"/>
    <w:rsid w:val="44AE7C2D"/>
    <w:rsid w:val="44B14698"/>
    <w:rsid w:val="44B8680E"/>
    <w:rsid w:val="44BAD9C9"/>
    <w:rsid w:val="44BCCBBA"/>
    <w:rsid w:val="44BD371D"/>
    <w:rsid w:val="44BD4D91"/>
    <w:rsid w:val="44C21873"/>
    <w:rsid w:val="44C271C5"/>
    <w:rsid w:val="44C35631"/>
    <w:rsid w:val="44CC0A08"/>
    <w:rsid w:val="44CC70E9"/>
    <w:rsid w:val="44CE6D57"/>
    <w:rsid w:val="44D4CEAC"/>
    <w:rsid w:val="44D4EBF4"/>
    <w:rsid w:val="44D554BD"/>
    <w:rsid w:val="44D58CF3"/>
    <w:rsid w:val="44D816E8"/>
    <w:rsid w:val="44DED73D"/>
    <w:rsid w:val="44E0843A"/>
    <w:rsid w:val="44E3F6C7"/>
    <w:rsid w:val="44E430E4"/>
    <w:rsid w:val="44E45ADC"/>
    <w:rsid w:val="44EADE1E"/>
    <w:rsid w:val="44EB425D"/>
    <w:rsid w:val="44F2DE83"/>
    <w:rsid w:val="44F58666"/>
    <w:rsid w:val="44F5A9A2"/>
    <w:rsid w:val="44F5AE42"/>
    <w:rsid w:val="44F62197"/>
    <w:rsid w:val="44F64C32"/>
    <w:rsid w:val="44F93E6A"/>
    <w:rsid w:val="44FB97F8"/>
    <w:rsid w:val="44FCBD27"/>
    <w:rsid w:val="45029318"/>
    <w:rsid w:val="4502CD67"/>
    <w:rsid w:val="4502E05D"/>
    <w:rsid w:val="4503BD02"/>
    <w:rsid w:val="4505C54D"/>
    <w:rsid w:val="4507A811"/>
    <w:rsid w:val="450D5344"/>
    <w:rsid w:val="450D66CD"/>
    <w:rsid w:val="450DB9F8"/>
    <w:rsid w:val="4510B8B3"/>
    <w:rsid w:val="4510F2F5"/>
    <w:rsid w:val="451D0DD7"/>
    <w:rsid w:val="451D31CF"/>
    <w:rsid w:val="451D44D9"/>
    <w:rsid w:val="451F5209"/>
    <w:rsid w:val="45254067"/>
    <w:rsid w:val="4525E5BA"/>
    <w:rsid w:val="452665B7"/>
    <w:rsid w:val="4528CBDB"/>
    <w:rsid w:val="4528E74A"/>
    <w:rsid w:val="45296E0C"/>
    <w:rsid w:val="4529F44F"/>
    <w:rsid w:val="452D010B"/>
    <w:rsid w:val="45304FC8"/>
    <w:rsid w:val="453592DA"/>
    <w:rsid w:val="45363A8A"/>
    <w:rsid w:val="45377A77"/>
    <w:rsid w:val="453A2503"/>
    <w:rsid w:val="453EAB3A"/>
    <w:rsid w:val="4541C1F4"/>
    <w:rsid w:val="45426BE8"/>
    <w:rsid w:val="45427C31"/>
    <w:rsid w:val="4543B1F3"/>
    <w:rsid w:val="4544FA78"/>
    <w:rsid w:val="45467BBC"/>
    <w:rsid w:val="4549302E"/>
    <w:rsid w:val="454BEC8F"/>
    <w:rsid w:val="4550CBAE"/>
    <w:rsid w:val="45542E9A"/>
    <w:rsid w:val="4554A046"/>
    <w:rsid w:val="4555723D"/>
    <w:rsid w:val="45593986"/>
    <w:rsid w:val="455BC1F2"/>
    <w:rsid w:val="455C4CE7"/>
    <w:rsid w:val="4561BE6E"/>
    <w:rsid w:val="4561FF3B"/>
    <w:rsid w:val="456497A4"/>
    <w:rsid w:val="45668236"/>
    <w:rsid w:val="45668926"/>
    <w:rsid w:val="4568A8A2"/>
    <w:rsid w:val="4569E16F"/>
    <w:rsid w:val="456D0DB7"/>
    <w:rsid w:val="456D4D66"/>
    <w:rsid w:val="45762073"/>
    <w:rsid w:val="45763870"/>
    <w:rsid w:val="45780CC7"/>
    <w:rsid w:val="45781864"/>
    <w:rsid w:val="457A5D2A"/>
    <w:rsid w:val="457C41C6"/>
    <w:rsid w:val="457C5A97"/>
    <w:rsid w:val="457C6897"/>
    <w:rsid w:val="457ED87B"/>
    <w:rsid w:val="45814CF8"/>
    <w:rsid w:val="4581C0BD"/>
    <w:rsid w:val="45821653"/>
    <w:rsid w:val="45828D50"/>
    <w:rsid w:val="458BEED1"/>
    <w:rsid w:val="458CCBD9"/>
    <w:rsid w:val="459355D7"/>
    <w:rsid w:val="4593AFAA"/>
    <w:rsid w:val="4595688B"/>
    <w:rsid w:val="459574EA"/>
    <w:rsid w:val="4596165E"/>
    <w:rsid w:val="45969392"/>
    <w:rsid w:val="45994824"/>
    <w:rsid w:val="459EAFE8"/>
    <w:rsid w:val="459FB045"/>
    <w:rsid w:val="45A29417"/>
    <w:rsid w:val="45A3C86E"/>
    <w:rsid w:val="45A4C381"/>
    <w:rsid w:val="45AA0434"/>
    <w:rsid w:val="45AAA7F9"/>
    <w:rsid w:val="45AADE99"/>
    <w:rsid w:val="45AB4D44"/>
    <w:rsid w:val="45AB8B76"/>
    <w:rsid w:val="45AE2C0E"/>
    <w:rsid w:val="45AFCAA0"/>
    <w:rsid w:val="45B3B223"/>
    <w:rsid w:val="45B68B9C"/>
    <w:rsid w:val="45B7BFB3"/>
    <w:rsid w:val="45B8630F"/>
    <w:rsid w:val="45B8BFCA"/>
    <w:rsid w:val="45B9AE06"/>
    <w:rsid w:val="45BC439D"/>
    <w:rsid w:val="45C2C626"/>
    <w:rsid w:val="45C36B08"/>
    <w:rsid w:val="45C62960"/>
    <w:rsid w:val="45C62B64"/>
    <w:rsid w:val="45C840C8"/>
    <w:rsid w:val="45CD6D00"/>
    <w:rsid w:val="45D0E071"/>
    <w:rsid w:val="45D31B85"/>
    <w:rsid w:val="45D4F34C"/>
    <w:rsid w:val="45E0FF0C"/>
    <w:rsid w:val="45E72564"/>
    <w:rsid w:val="45E75A8E"/>
    <w:rsid w:val="45E80C4B"/>
    <w:rsid w:val="45EA31C7"/>
    <w:rsid w:val="45EB0712"/>
    <w:rsid w:val="45EC44D0"/>
    <w:rsid w:val="45F5887C"/>
    <w:rsid w:val="45F8059A"/>
    <w:rsid w:val="45F8559F"/>
    <w:rsid w:val="45FE6D4B"/>
    <w:rsid w:val="4602F7BF"/>
    <w:rsid w:val="46046583"/>
    <w:rsid w:val="4604D2FF"/>
    <w:rsid w:val="46054B1A"/>
    <w:rsid w:val="4608953A"/>
    <w:rsid w:val="46098E02"/>
    <w:rsid w:val="4609E596"/>
    <w:rsid w:val="460A16AE"/>
    <w:rsid w:val="460C2513"/>
    <w:rsid w:val="460C6726"/>
    <w:rsid w:val="460DA62B"/>
    <w:rsid w:val="460E1610"/>
    <w:rsid w:val="46106233"/>
    <w:rsid w:val="4612092E"/>
    <w:rsid w:val="46137118"/>
    <w:rsid w:val="4614F957"/>
    <w:rsid w:val="4616864F"/>
    <w:rsid w:val="4619663E"/>
    <w:rsid w:val="4619C649"/>
    <w:rsid w:val="4619E4AD"/>
    <w:rsid w:val="461B8218"/>
    <w:rsid w:val="461B89FB"/>
    <w:rsid w:val="461CF7E6"/>
    <w:rsid w:val="461DEE4A"/>
    <w:rsid w:val="461E4A82"/>
    <w:rsid w:val="462012F1"/>
    <w:rsid w:val="4622A43D"/>
    <w:rsid w:val="4627DD30"/>
    <w:rsid w:val="4628C636"/>
    <w:rsid w:val="462C1189"/>
    <w:rsid w:val="46314036"/>
    <w:rsid w:val="46348299"/>
    <w:rsid w:val="463945E3"/>
    <w:rsid w:val="4639A8EC"/>
    <w:rsid w:val="463BB629"/>
    <w:rsid w:val="463F53FD"/>
    <w:rsid w:val="4641692F"/>
    <w:rsid w:val="464434BF"/>
    <w:rsid w:val="46471B8B"/>
    <w:rsid w:val="46497F28"/>
    <w:rsid w:val="464CDEC2"/>
    <w:rsid w:val="464DC0B8"/>
    <w:rsid w:val="4650760A"/>
    <w:rsid w:val="46530CFF"/>
    <w:rsid w:val="465815A2"/>
    <w:rsid w:val="46602993"/>
    <w:rsid w:val="46621609"/>
    <w:rsid w:val="4662308B"/>
    <w:rsid w:val="4662F77B"/>
    <w:rsid w:val="466365BC"/>
    <w:rsid w:val="4668472C"/>
    <w:rsid w:val="466984D2"/>
    <w:rsid w:val="466A6ABC"/>
    <w:rsid w:val="466FC167"/>
    <w:rsid w:val="46702121"/>
    <w:rsid w:val="4674EF20"/>
    <w:rsid w:val="46764F1B"/>
    <w:rsid w:val="467CFF11"/>
    <w:rsid w:val="467D76C6"/>
    <w:rsid w:val="46807530"/>
    <w:rsid w:val="4684206F"/>
    <w:rsid w:val="46889004"/>
    <w:rsid w:val="4689A933"/>
    <w:rsid w:val="46909493"/>
    <w:rsid w:val="46918908"/>
    <w:rsid w:val="46924039"/>
    <w:rsid w:val="46926C7B"/>
    <w:rsid w:val="469634A1"/>
    <w:rsid w:val="46976710"/>
    <w:rsid w:val="469788BC"/>
    <w:rsid w:val="46978A8A"/>
    <w:rsid w:val="469AE219"/>
    <w:rsid w:val="46A15876"/>
    <w:rsid w:val="46A297AC"/>
    <w:rsid w:val="46A5A4BC"/>
    <w:rsid w:val="46A6B7CF"/>
    <w:rsid w:val="46A6C8B9"/>
    <w:rsid w:val="46A7C01B"/>
    <w:rsid w:val="46AA0139"/>
    <w:rsid w:val="46AA5C93"/>
    <w:rsid w:val="46AB5DDB"/>
    <w:rsid w:val="46B31032"/>
    <w:rsid w:val="46B822D6"/>
    <w:rsid w:val="46B84869"/>
    <w:rsid w:val="46B942DF"/>
    <w:rsid w:val="46C022BE"/>
    <w:rsid w:val="46C06E09"/>
    <w:rsid w:val="46C178FD"/>
    <w:rsid w:val="46C3187F"/>
    <w:rsid w:val="46C3C6ED"/>
    <w:rsid w:val="46C6534C"/>
    <w:rsid w:val="46CCDD33"/>
    <w:rsid w:val="46CE5A79"/>
    <w:rsid w:val="46D07F54"/>
    <w:rsid w:val="46D24818"/>
    <w:rsid w:val="46D494CA"/>
    <w:rsid w:val="46D64507"/>
    <w:rsid w:val="46D67431"/>
    <w:rsid w:val="46D97FE9"/>
    <w:rsid w:val="46DBE1C3"/>
    <w:rsid w:val="46DC34C4"/>
    <w:rsid w:val="46E360CC"/>
    <w:rsid w:val="46E91B90"/>
    <w:rsid w:val="46EBF23B"/>
    <w:rsid w:val="46EDF51E"/>
    <w:rsid w:val="46EFB565"/>
    <w:rsid w:val="46EFCBB1"/>
    <w:rsid w:val="46F03B11"/>
    <w:rsid w:val="46F17566"/>
    <w:rsid w:val="46F1AB46"/>
    <w:rsid w:val="46F3C7B7"/>
    <w:rsid w:val="46F5F6AF"/>
    <w:rsid w:val="46F6FB12"/>
    <w:rsid w:val="46F87CC0"/>
    <w:rsid w:val="46F94229"/>
    <w:rsid w:val="46FD1D3E"/>
    <w:rsid w:val="46FED936"/>
    <w:rsid w:val="4700CCD3"/>
    <w:rsid w:val="47024B96"/>
    <w:rsid w:val="4706AE06"/>
    <w:rsid w:val="4711FB66"/>
    <w:rsid w:val="47138E69"/>
    <w:rsid w:val="471479FD"/>
    <w:rsid w:val="4715FBC3"/>
    <w:rsid w:val="471735A8"/>
    <w:rsid w:val="471816FC"/>
    <w:rsid w:val="47182BC5"/>
    <w:rsid w:val="47197ABF"/>
    <w:rsid w:val="471AEC6E"/>
    <w:rsid w:val="471D2805"/>
    <w:rsid w:val="471E3E65"/>
    <w:rsid w:val="47213A55"/>
    <w:rsid w:val="47226D4F"/>
    <w:rsid w:val="47291C2B"/>
    <w:rsid w:val="472CAAB7"/>
    <w:rsid w:val="472E2819"/>
    <w:rsid w:val="4733A231"/>
    <w:rsid w:val="473481C2"/>
    <w:rsid w:val="4737AC83"/>
    <w:rsid w:val="473F3140"/>
    <w:rsid w:val="474239D9"/>
    <w:rsid w:val="47424DD0"/>
    <w:rsid w:val="4742562F"/>
    <w:rsid w:val="4746E5DB"/>
    <w:rsid w:val="47477CEA"/>
    <w:rsid w:val="474EA3B1"/>
    <w:rsid w:val="474FDBC5"/>
    <w:rsid w:val="4750664A"/>
    <w:rsid w:val="47510ECA"/>
    <w:rsid w:val="4751ED3E"/>
    <w:rsid w:val="475A1FAD"/>
    <w:rsid w:val="475A6883"/>
    <w:rsid w:val="47608352"/>
    <w:rsid w:val="4760A755"/>
    <w:rsid w:val="4760F45C"/>
    <w:rsid w:val="476103A8"/>
    <w:rsid w:val="4762E392"/>
    <w:rsid w:val="47651E15"/>
    <w:rsid w:val="4765F992"/>
    <w:rsid w:val="47668E42"/>
    <w:rsid w:val="4769D5DF"/>
    <w:rsid w:val="476EB0C1"/>
    <w:rsid w:val="476EE332"/>
    <w:rsid w:val="476EE5BA"/>
    <w:rsid w:val="477124B8"/>
    <w:rsid w:val="4772797A"/>
    <w:rsid w:val="4772BBAE"/>
    <w:rsid w:val="4774B29F"/>
    <w:rsid w:val="4774D07C"/>
    <w:rsid w:val="4775DC34"/>
    <w:rsid w:val="47783F32"/>
    <w:rsid w:val="4779223E"/>
    <w:rsid w:val="47798FB3"/>
    <w:rsid w:val="47802173"/>
    <w:rsid w:val="47819580"/>
    <w:rsid w:val="4785DBB2"/>
    <w:rsid w:val="47878917"/>
    <w:rsid w:val="4788AB2F"/>
    <w:rsid w:val="478EE054"/>
    <w:rsid w:val="478FFB99"/>
    <w:rsid w:val="47934D16"/>
    <w:rsid w:val="47936746"/>
    <w:rsid w:val="4793BB61"/>
    <w:rsid w:val="47944D61"/>
    <w:rsid w:val="47952275"/>
    <w:rsid w:val="47971037"/>
    <w:rsid w:val="4797C613"/>
    <w:rsid w:val="4797E0B2"/>
    <w:rsid w:val="479A9666"/>
    <w:rsid w:val="479C3F47"/>
    <w:rsid w:val="479FB091"/>
    <w:rsid w:val="47A0F2F7"/>
    <w:rsid w:val="47A1118F"/>
    <w:rsid w:val="47A15E0A"/>
    <w:rsid w:val="47AA6C50"/>
    <w:rsid w:val="47ABE5C9"/>
    <w:rsid w:val="47AE523F"/>
    <w:rsid w:val="47AEAAEF"/>
    <w:rsid w:val="47AEC503"/>
    <w:rsid w:val="47AFBE99"/>
    <w:rsid w:val="47B23A3C"/>
    <w:rsid w:val="47B26FE8"/>
    <w:rsid w:val="47B54902"/>
    <w:rsid w:val="47B79E33"/>
    <w:rsid w:val="47BADB8C"/>
    <w:rsid w:val="47BC8390"/>
    <w:rsid w:val="47BFE30B"/>
    <w:rsid w:val="47C1208F"/>
    <w:rsid w:val="47C15126"/>
    <w:rsid w:val="47C26D63"/>
    <w:rsid w:val="47C35375"/>
    <w:rsid w:val="47C67C25"/>
    <w:rsid w:val="47C79A16"/>
    <w:rsid w:val="47CE3325"/>
    <w:rsid w:val="47D02C34"/>
    <w:rsid w:val="47D158A7"/>
    <w:rsid w:val="47D17F8A"/>
    <w:rsid w:val="47D3E9B0"/>
    <w:rsid w:val="47D408A0"/>
    <w:rsid w:val="47D50605"/>
    <w:rsid w:val="47DA72A1"/>
    <w:rsid w:val="47DFFB3F"/>
    <w:rsid w:val="47E3E167"/>
    <w:rsid w:val="47E8445B"/>
    <w:rsid w:val="47E87107"/>
    <w:rsid w:val="47E98CFB"/>
    <w:rsid w:val="47EB4286"/>
    <w:rsid w:val="47EB96F7"/>
    <w:rsid w:val="47EC604A"/>
    <w:rsid w:val="47ECF690"/>
    <w:rsid w:val="47EDC984"/>
    <w:rsid w:val="47EFFE8F"/>
    <w:rsid w:val="47FA6497"/>
    <w:rsid w:val="47FBDEBF"/>
    <w:rsid w:val="47FED8D7"/>
    <w:rsid w:val="47FF3DBC"/>
    <w:rsid w:val="480330B0"/>
    <w:rsid w:val="48050C05"/>
    <w:rsid w:val="48058FC1"/>
    <w:rsid w:val="4805B8A3"/>
    <w:rsid w:val="4807EE27"/>
    <w:rsid w:val="480CB27A"/>
    <w:rsid w:val="480D6642"/>
    <w:rsid w:val="480DC25E"/>
    <w:rsid w:val="480EE243"/>
    <w:rsid w:val="4811C459"/>
    <w:rsid w:val="48142A82"/>
    <w:rsid w:val="48185E2A"/>
    <w:rsid w:val="4818B1D4"/>
    <w:rsid w:val="4818D4E4"/>
    <w:rsid w:val="481D4597"/>
    <w:rsid w:val="481D95D4"/>
    <w:rsid w:val="481DC89C"/>
    <w:rsid w:val="48201EF2"/>
    <w:rsid w:val="482597CA"/>
    <w:rsid w:val="4825AA30"/>
    <w:rsid w:val="4827092E"/>
    <w:rsid w:val="482A0473"/>
    <w:rsid w:val="482D2728"/>
    <w:rsid w:val="482D97D3"/>
    <w:rsid w:val="482DD1E4"/>
    <w:rsid w:val="482F9471"/>
    <w:rsid w:val="4831FEC3"/>
    <w:rsid w:val="48327B01"/>
    <w:rsid w:val="483432E8"/>
    <w:rsid w:val="483494AC"/>
    <w:rsid w:val="48380AF4"/>
    <w:rsid w:val="483E4FF3"/>
    <w:rsid w:val="483E85E3"/>
    <w:rsid w:val="48413537"/>
    <w:rsid w:val="4845EF74"/>
    <w:rsid w:val="484AEA71"/>
    <w:rsid w:val="484CB4D2"/>
    <w:rsid w:val="4851876B"/>
    <w:rsid w:val="485235CE"/>
    <w:rsid w:val="4853134F"/>
    <w:rsid w:val="48582013"/>
    <w:rsid w:val="485AF5E6"/>
    <w:rsid w:val="485C609C"/>
    <w:rsid w:val="485D7FA7"/>
    <w:rsid w:val="485DE337"/>
    <w:rsid w:val="485FA134"/>
    <w:rsid w:val="4860302A"/>
    <w:rsid w:val="4867E428"/>
    <w:rsid w:val="486A0801"/>
    <w:rsid w:val="486DAF46"/>
    <w:rsid w:val="486E45BF"/>
    <w:rsid w:val="486F26DD"/>
    <w:rsid w:val="4870C6A5"/>
    <w:rsid w:val="48725B24"/>
    <w:rsid w:val="487962B6"/>
    <w:rsid w:val="487B21FA"/>
    <w:rsid w:val="487BD633"/>
    <w:rsid w:val="487BD687"/>
    <w:rsid w:val="487CA131"/>
    <w:rsid w:val="487DEF63"/>
    <w:rsid w:val="487E1FBF"/>
    <w:rsid w:val="487F7CE2"/>
    <w:rsid w:val="48822CA7"/>
    <w:rsid w:val="4884979F"/>
    <w:rsid w:val="488A2C31"/>
    <w:rsid w:val="488C5FC1"/>
    <w:rsid w:val="488D6773"/>
    <w:rsid w:val="489348CE"/>
    <w:rsid w:val="489353FE"/>
    <w:rsid w:val="48971C10"/>
    <w:rsid w:val="48996FEC"/>
    <w:rsid w:val="489FB442"/>
    <w:rsid w:val="48A06BDD"/>
    <w:rsid w:val="48A1ABA3"/>
    <w:rsid w:val="48A1DCFB"/>
    <w:rsid w:val="48A90BF5"/>
    <w:rsid w:val="48A9D03E"/>
    <w:rsid w:val="48ADEE74"/>
    <w:rsid w:val="48B17150"/>
    <w:rsid w:val="48B38F75"/>
    <w:rsid w:val="48B3BAEC"/>
    <w:rsid w:val="48B3D4EE"/>
    <w:rsid w:val="48B42752"/>
    <w:rsid w:val="48B7C358"/>
    <w:rsid w:val="48B945D6"/>
    <w:rsid w:val="48BB68B0"/>
    <w:rsid w:val="48BCC647"/>
    <w:rsid w:val="48BE467C"/>
    <w:rsid w:val="48C26B52"/>
    <w:rsid w:val="48C2D9E0"/>
    <w:rsid w:val="48C34D81"/>
    <w:rsid w:val="48C4667B"/>
    <w:rsid w:val="48C5176D"/>
    <w:rsid w:val="48CEA3C7"/>
    <w:rsid w:val="48CEC095"/>
    <w:rsid w:val="48D1EEC5"/>
    <w:rsid w:val="48D21AEB"/>
    <w:rsid w:val="48D32E2C"/>
    <w:rsid w:val="48D3CA8E"/>
    <w:rsid w:val="48D49A0D"/>
    <w:rsid w:val="48D638CA"/>
    <w:rsid w:val="48D8C469"/>
    <w:rsid w:val="48D96CE9"/>
    <w:rsid w:val="48E19CC6"/>
    <w:rsid w:val="48E1EB6C"/>
    <w:rsid w:val="48E24BAE"/>
    <w:rsid w:val="48E25540"/>
    <w:rsid w:val="48EA33CF"/>
    <w:rsid w:val="48EC3562"/>
    <w:rsid w:val="48ED8A36"/>
    <w:rsid w:val="48F1F644"/>
    <w:rsid w:val="48F2AE12"/>
    <w:rsid w:val="48F605B2"/>
    <w:rsid w:val="48F7A102"/>
    <w:rsid w:val="48F858DA"/>
    <w:rsid w:val="48FC2117"/>
    <w:rsid w:val="48FD6970"/>
    <w:rsid w:val="48FEABEA"/>
    <w:rsid w:val="4900286B"/>
    <w:rsid w:val="490057C3"/>
    <w:rsid w:val="4907D0CF"/>
    <w:rsid w:val="4908815E"/>
    <w:rsid w:val="49099294"/>
    <w:rsid w:val="490ACC46"/>
    <w:rsid w:val="490CCD69"/>
    <w:rsid w:val="490CFE13"/>
    <w:rsid w:val="490E6F09"/>
    <w:rsid w:val="4911DA3A"/>
    <w:rsid w:val="49121717"/>
    <w:rsid w:val="49121C1F"/>
    <w:rsid w:val="49124EAB"/>
    <w:rsid w:val="49138C84"/>
    <w:rsid w:val="49141F0B"/>
    <w:rsid w:val="49177DCA"/>
    <w:rsid w:val="491E0FFF"/>
    <w:rsid w:val="491E3DDE"/>
    <w:rsid w:val="491F167E"/>
    <w:rsid w:val="49228648"/>
    <w:rsid w:val="4924B531"/>
    <w:rsid w:val="4924CBF3"/>
    <w:rsid w:val="49269D79"/>
    <w:rsid w:val="492B3DF9"/>
    <w:rsid w:val="492D3085"/>
    <w:rsid w:val="49318ADA"/>
    <w:rsid w:val="493656F0"/>
    <w:rsid w:val="49366237"/>
    <w:rsid w:val="4936B86E"/>
    <w:rsid w:val="4937CE33"/>
    <w:rsid w:val="493CC847"/>
    <w:rsid w:val="4940C413"/>
    <w:rsid w:val="4941D1A5"/>
    <w:rsid w:val="49426788"/>
    <w:rsid w:val="4942E712"/>
    <w:rsid w:val="49442BFB"/>
    <w:rsid w:val="4944C9EB"/>
    <w:rsid w:val="494550B6"/>
    <w:rsid w:val="494708E3"/>
    <w:rsid w:val="494740DF"/>
    <w:rsid w:val="494A9FA1"/>
    <w:rsid w:val="49515420"/>
    <w:rsid w:val="4951803F"/>
    <w:rsid w:val="4951FC46"/>
    <w:rsid w:val="495241A4"/>
    <w:rsid w:val="4953A40C"/>
    <w:rsid w:val="4958C3D0"/>
    <w:rsid w:val="4959CBA6"/>
    <w:rsid w:val="495E4435"/>
    <w:rsid w:val="49609230"/>
    <w:rsid w:val="49618535"/>
    <w:rsid w:val="4962DE1D"/>
    <w:rsid w:val="49639FEC"/>
    <w:rsid w:val="4963A1D2"/>
    <w:rsid w:val="49653F41"/>
    <w:rsid w:val="4965F844"/>
    <w:rsid w:val="49691B5D"/>
    <w:rsid w:val="496B4421"/>
    <w:rsid w:val="496C7A48"/>
    <w:rsid w:val="49711E76"/>
    <w:rsid w:val="49783D99"/>
    <w:rsid w:val="497A8A10"/>
    <w:rsid w:val="49800775"/>
    <w:rsid w:val="49866BF6"/>
    <w:rsid w:val="498911EB"/>
    <w:rsid w:val="498AD35A"/>
    <w:rsid w:val="498C355E"/>
    <w:rsid w:val="498CD852"/>
    <w:rsid w:val="498D5D35"/>
    <w:rsid w:val="498D76D2"/>
    <w:rsid w:val="4991ACFE"/>
    <w:rsid w:val="4995FC3D"/>
    <w:rsid w:val="499D04F7"/>
    <w:rsid w:val="499D82EB"/>
    <w:rsid w:val="499FBFC7"/>
    <w:rsid w:val="49A35DDB"/>
    <w:rsid w:val="49A4E9DC"/>
    <w:rsid w:val="49A93644"/>
    <w:rsid w:val="49AA61CE"/>
    <w:rsid w:val="49AC851A"/>
    <w:rsid w:val="49ACC2A2"/>
    <w:rsid w:val="49AD1576"/>
    <w:rsid w:val="49AD76EB"/>
    <w:rsid w:val="49B6F091"/>
    <w:rsid w:val="49B7AFF7"/>
    <w:rsid w:val="49BFF253"/>
    <w:rsid w:val="49C13556"/>
    <w:rsid w:val="49C2442A"/>
    <w:rsid w:val="49C5AC7C"/>
    <w:rsid w:val="49C63AC1"/>
    <w:rsid w:val="49C6D5C0"/>
    <w:rsid w:val="49C8DB49"/>
    <w:rsid w:val="49CBECC8"/>
    <w:rsid w:val="49CD5C30"/>
    <w:rsid w:val="49CF78E7"/>
    <w:rsid w:val="49D29DF9"/>
    <w:rsid w:val="49D4B733"/>
    <w:rsid w:val="49D63ACA"/>
    <w:rsid w:val="49D89C41"/>
    <w:rsid w:val="49DA4B7D"/>
    <w:rsid w:val="49E24BBC"/>
    <w:rsid w:val="49E2C4CB"/>
    <w:rsid w:val="49E4817E"/>
    <w:rsid w:val="49E4DA94"/>
    <w:rsid w:val="49E638E0"/>
    <w:rsid w:val="49EA2A9E"/>
    <w:rsid w:val="49ED7B76"/>
    <w:rsid w:val="49ED8C89"/>
    <w:rsid w:val="49EE355C"/>
    <w:rsid w:val="49EE92A8"/>
    <w:rsid w:val="49F14E26"/>
    <w:rsid w:val="49F1E2AD"/>
    <w:rsid w:val="49F28535"/>
    <w:rsid w:val="49F32CFF"/>
    <w:rsid w:val="49F9C372"/>
    <w:rsid w:val="49FDB287"/>
    <w:rsid w:val="49FFBF3C"/>
    <w:rsid w:val="4A00C106"/>
    <w:rsid w:val="4A017216"/>
    <w:rsid w:val="4A0438B5"/>
    <w:rsid w:val="4A05D78B"/>
    <w:rsid w:val="4A10A640"/>
    <w:rsid w:val="4A111E23"/>
    <w:rsid w:val="4A11B82E"/>
    <w:rsid w:val="4A11E709"/>
    <w:rsid w:val="4A1314FE"/>
    <w:rsid w:val="4A15A094"/>
    <w:rsid w:val="4A17A694"/>
    <w:rsid w:val="4A1A45A8"/>
    <w:rsid w:val="4A1A9B8C"/>
    <w:rsid w:val="4A257BE1"/>
    <w:rsid w:val="4A2836AF"/>
    <w:rsid w:val="4A29F031"/>
    <w:rsid w:val="4A2ABC53"/>
    <w:rsid w:val="4A2AC8FB"/>
    <w:rsid w:val="4A2EC16B"/>
    <w:rsid w:val="4A308136"/>
    <w:rsid w:val="4A31BB88"/>
    <w:rsid w:val="4A339F4F"/>
    <w:rsid w:val="4A3575E9"/>
    <w:rsid w:val="4A3703C8"/>
    <w:rsid w:val="4A390F1D"/>
    <w:rsid w:val="4A3CBFF6"/>
    <w:rsid w:val="4A3CF223"/>
    <w:rsid w:val="4A3D926C"/>
    <w:rsid w:val="4A400C33"/>
    <w:rsid w:val="4A405B88"/>
    <w:rsid w:val="4A41985E"/>
    <w:rsid w:val="4A46819F"/>
    <w:rsid w:val="4A46CF95"/>
    <w:rsid w:val="4A47F597"/>
    <w:rsid w:val="4A4C6612"/>
    <w:rsid w:val="4A4DD354"/>
    <w:rsid w:val="4A4DFFF5"/>
    <w:rsid w:val="4A4E28FC"/>
    <w:rsid w:val="4A4FE29E"/>
    <w:rsid w:val="4A53F6F9"/>
    <w:rsid w:val="4A59B674"/>
    <w:rsid w:val="4A5B138C"/>
    <w:rsid w:val="4A5B9FB9"/>
    <w:rsid w:val="4A5F2139"/>
    <w:rsid w:val="4A5F26EC"/>
    <w:rsid w:val="4A5F4AD6"/>
    <w:rsid w:val="4A5FA52A"/>
    <w:rsid w:val="4A611F1E"/>
    <w:rsid w:val="4A6383E0"/>
    <w:rsid w:val="4A661FC0"/>
    <w:rsid w:val="4A66B979"/>
    <w:rsid w:val="4A6D67E6"/>
    <w:rsid w:val="4A6DCFAE"/>
    <w:rsid w:val="4A70043D"/>
    <w:rsid w:val="4A77C169"/>
    <w:rsid w:val="4A782F68"/>
    <w:rsid w:val="4A7A703E"/>
    <w:rsid w:val="4A7B5246"/>
    <w:rsid w:val="4A7EBDD6"/>
    <w:rsid w:val="4A7FE5CD"/>
    <w:rsid w:val="4A7FEA03"/>
    <w:rsid w:val="4A861F25"/>
    <w:rsid w:val="4A86CAA6"/>
    <w:rsid w:val="4A86D464"/>
    <w:rsid w:val="4A8939FE"/>
    <w:rsid w:val="4A89F96D"/>
    <w:rsid w:val="4A8BBDEE"/>
    <w:rsid w:val="4A8F301A"/>
    <w:rsid w:val="4A903CC0"/>
    <w:rsid w:val="4A913858"/>
    <w:rsid w:val="4A920C4A"/>
    <w:rsid w:val="4A93FE0D"/>
    <w:rsid w:val="4A943F3F"/>
    <w:rsid w:val="4A96C157"/>
    <w:rsid w:val="4A9F5AD3"/>
    <w:rsid w:val="4AA04C49"/>
    <w:rsid w:val="4AA096A8"/>
    <w:rsid w:val="4AA2E59B"/>
    <w:rsid w:val="4AA446E0"/>
    <w:rsid w:val="4AA54AF2"/>
    <w:rsid w:val="4AA8B155"/>
    <w:rsid w:val="4AA90BDD"/>
    <w:rsid w:val="4AACA302"/>
    <w:rsid w:val="4AACD8E7"/>
    <w:rsid w:val="4AAE47F2"/>
    <w:rsid w:val="4AB0A892"/>
    <w:rsid w:val="4AB2536B"/>
    <w:rsid w:val="4AB4E68B"/>
    <w:rsid w:val="4AB51810"/>
    <w:rsid w:val="4AB71CBB"/>
    <w:rsid w:val="4AB82E0F"/>
    <w:rsid w:val="4ABEA602"/>
    <w:rsid w:val="4ABF29D9"/>
    <w:rsid w:val="4AC32C27"/>
    <w:rsid w:val="4AC3C7D1"/>
    <w:rsid w:val="4AC72FD0"/>
    <w:rsid w:val="4AC79DC0"/>
    <w:rsid w:val="4AC812ED"/>
    <w:rsid w:val="4AC89EFD"/>
    <w:rsid w:val="4ACA418C"/>
    <w:rsid w:val="4ACB0DB9"/>
    <w:rsid w:val="4ACCEF79"/>
    <w:rsid w:val="4ACFE6FB"/>
    <w:rsid w:val="4AD02EB0"/>
    <w:rsid w:val="4AD20DB8"/>
    <w:rsid w:val="4AD340AD"/>
    <w:rsid w:val="4AD41CDB"/>
    <w:rsid w:val="4AD6D008"/>
    <w:rsid w:val="4AD8886C"/>
    <w:rsid w:val="4ADD36C7"/>
    <w:rsid w:val="4ADDA36A"/>
    <w:rsid w:val="4AE038C0"/>
    <w:rsid w:val="4AE3207C"/>
    <w:rsid w:val="4AE4283F"/>
    <w:rsid w:val="4AE51653"/>
    <w:rsid w:val="4AE6EE5D"/>
    <w:rsid w:val="4AEBDCC5"/>
    <w:rsid w:val="4AEBF4BC"/>
    <w:rsid w:val="4AEEA57B"/>
    <w:rsid w:val="4AF38414"/>
    <w:rsid w:val="4AF45EA0"/>
    <w:rsid w:val="4AF4E584"/>
    <w:rsid w:val="4AF538F3"/>
    <w:rsid w:val="4AF6B85F"/>
    <w:rsid w:val="4AF78EA8"/>
    <w:rsid w:val="4AF83ABC"/>
    <w:rsid w:val="4AF9A31B"/>
    <w:rsid w:val="4AFA94C7"/>
    <w:rsid w:val="4AFAD5E7"/>
    <w:rsid w:val="4AFF8649"/>
    <w:rsid w:val="4B01E710"/>
    <w:rsid w:val="4B025BFF"/>
    <w:rsid w:val="4B02F4C0"/>
    <w:rsid w:val="4B03C0CD"/>
    <w:rsid w:val="4B04F1BD"/>
    <w:rsid w:val="4B04FDD4"/>
    <w:rsid w:val="4B086B6B"/>
    <w:rsid w:val="4B090750"/>
    <w:rsid w:val="4B0AE40C"/>
    <w:rsid w:val="4B0B2D72"/>
    <w:rsid w:val="4B0C05D7"/>
    <w:rsid w:val="4B1075B8"/>
    <w:rsid w:val="4B13A6EC"/>
    <w:rsid w:val="4B1DEB6A"/>
    <w:rsid w:val="4B2024D2"/>
    <w:rsid w:val="4B218F41"/>
    <w:rsid w:val="4B21AF74"/>
    <w:rsid w:val="4B27CC0A"/>
    <w:rsid w:val="4B280131"/>
    <w:rsid w:val="4B284913"/>
    <w:rsid w:val="4B29403C"/>
    <w:rsid w:val="4B2A269D"/>
    <w:rsid w:val="4B2DFF48"/>
    <w:rsid w:val="4B326180"/>
    <w:rsid w:val="4B33BFA9"/>
    <w:rsid w:val="4B37E6DC"/>
    <w:rsid w:val="4B397157"/>
    <w:rsid w:val="4B3A454E"/>
    <w:rsid w:val="4B3CECB8"/>
    <w:rsid w:val="4B3DB758"/>
    <w:rsid w:val="4B3ECB2C"/>
    <w:rsid w:val="4B41C1DE"/>
    <w:rsid w:val="4B46691D"/>
    <w:rsid w:val="4B4B9538"/>
    <w:rsid w:val="4B4FFA24"/>
    <w:rsid w:val="4B5068DD"/>
    <w:rsid w:val="4B50CC64"/>
    <w:rsid w:val="4B52793B"/>
    <w:rsid w:val="4B55C0E8"/>
    <w:rsid w:val="4B5A457B"/>
    <w:rsid w:val="4B5C4C7D"/>
    <w:rsid w:val="4B5F212E"/>
    <w:rsid w:val="4B60C504"/>
    <w:rsid w:val="4B61DCFA"/>
    <w:rsid w:val="4B680F02"/>
    <w:rsid w:val="4B69FE9E"/>
    <w:rsid w:val="4B6D0456"/>
    <w:rsid w:val="4B6DB450"/>
    <w:rsid w:val="4B72A10E"/>
    <w:rsid w:val="4B7384FC"/>
    <w:rsid w:val="4B75313D"/>
    <w:rsid w:val="4B755A7B"/>
    <w:rsid w:val="4B761B6E"/>
    <w:rsid w:val="4B86B8CD"/>
    <w:rsid w:val="4B872E6C"/>
    <w:rsid w:val="4B8ACA5E"/>
    <w:rsid w:val="4B8B4BA9"/>
    <w:rsid w:val="4B8CECA0"/>
    <w:rsid w:val="4B8FCF0B"/>
    <w:rsid w:val="4B9393E1"/>
    <w:rsid w:val="4B94AA9E"/>
    <w:rsid w:val="4B950C36"/>
    <w:rsid w:val="4B993486"/>
    <w:rsid w:val="4B99C46F"/>
    <w:rsid w:val="4B9B9F92"/>
    <w:rsid w:val="4B9DE06D"/>
    <w:rsid w:val="4B9F0B6A"/>
    <w:rsid w:val="4BA02480"/>
    <w:rsid w:val="4BA0B38E"/>
    <w:rsid w:val="4BA39518"/>
    <w:rsid w:val="4BA627A7"/>
    <w:rsid w:val="4BA7B4D0"/>
    <w:rsid w:val="4BAADEE7"/>
    <w:rsid w:val="4BABF2AF"/>
    <w:rsid w:val="4BAE8266"/>
    <w:rsid w:val="4BAFA7DB"/>
    <w:rsid w:val="4BAFC59F"/>
    <w:rsid w:val="4BB226D5"/>
    <w:rsid w:val="4BB26D0E"/>
    <w:rsid w:val="4BB278E8"/>
    <w:rsid w:val="4BB3B076"/>
    <w:rsid w:val="4BB47F9D"/>
    <w:rsid w:val="4BB8CE4E"/>
    <w:rsid w:val="4BB9A88F"/>
    <w:rsid w:val="4BBB5C65"/>
    <w:rsid w:val="4BBC9312"/>
    <w:rsid w:val="4BBCF353"/>
    <w:rsid w:val="4BBFB247"/>
    <w:rsid w:val="4BC29D15"/>
    <w:rsid w:val="4BC2FDF5"/>
    <w:rsid w:val="4BC45676"/>
    <w:rsid w:val="4BC45B6F"/>
    <w:rsid w:val="4BC4CE56"/>
    <w:rsid w:val="4BC69928"/>
    <w:rsid w:val="4BC8141E"/>
    <w:rsid w:val="4BC859F9"/>
    <w:rsid w:val="4BC9527A"/>
    <w:rsid w:val="4BC9A9EE"/>
    <w:rsid w:val="4BC9B793"/>
    <w:rsid w:val="4BD1FDAC"/>
    <w:rsid w:val="4BD2B603"/>
    <w:rsid w:val="4BD5FA39"/>
    <w:rsid w:val="4BD79A28"/>
    <w:rsid w:val="4BD7F6E7"/>
    <w:rsid w:val="4BDAC095"/>
    <w:rsid w:val="4BDC9F63"/>
    <w:rsid w:val="4BDD5000"/>
    <w:rsid w:val="4BDE7F1D"/>
    <w:rsid w:val="4BE05E8B"/>
    <w:rsid w:val="4BE1B1F2"/>
    <w:rsid w:val="4BE378B1"/>
    <w:rsid w:val="4BE5429E"/>
    <w:rsid w:val="4BE7750D"/>
    <w:rsid w:val="4BEC5BB1"/>
    <w:rsid w:val="4BECEBE2"/>
    <w:rsid w:val="4BED89BC"/>
    <w:rsid w:val="4BEEAC42"/>
    <w:rsid w:val="4BF15B4D"/>
    <w:rsid w:val="4BF228EA"/>
    <w:rsid w:val="4BF6671C"/>
    <w:rsid w:val="4BF691F0"/>
    <w:rsid w:val="4BF9E51A"/>
    <w:rsid w:val="4C020D93"/>
    <w:rsid w:val="4C0248DF"/>
    <w:rsid w:val="4C02FA02"/>
    <w:rsid w:val="4C03A260"/>
    <w:rsid w:val="4C07FDA7"/>
    <w:rsid w:val="4C084D63"/>
    <w:rsid w:val="4C09A00F"/>
    <w:rsid w:val="4C0A1D00"/>
    <w:rsid w:val="4C0C2005"/>
    <w:rsid w:val="4C0CF4C9"/>
    <w:rsid w:val="4C0DBB64"/>
    <w:rsid w:val="4C1434AC"/>
    <w:rsid w:val="4C15041A"/>
    <w:rsid w:val="4C1512B0"/>
    <w:rsid w:val="4C163E3A"/>
    <w:rsid w:val="4C17EFC5"/>
    <w:rsid w:val="4C180069"/>
    <w:rsid w:val="4C198C2E"/>
    <w:rsid w:val="4C1D40B6"/>
    <w:rsid w:val="4C21EAF0"/>
    <w:rsid w:val="4C26FD4E"/>
    <w:rsid w:val="4C299708"/>
    <w:rsid w:val="4C2B007B"/>
    <w:rsid w:val="4C2C297D"/>
    <w:rsid w:val="4C2DFE9B"/>
    <w:rsid w:val="4C302C0A"/>
    <w:rsid w:val="4C34936C"/>
    <w:rsid w:val="4C34F96D"/>
    <w:rsid w:val="4C35E978"/>
    <w:rsid w:val="4C36434B"/>
    <w:rsid w:val="4C3A0CC5"/>
    <w:rsid w:val="4C3FF0C7"/>
    <w:rsid w:val="4C4256DD"/>
    <w:rsid w:val="4C431902"/>
    <w:rsid w:val="4C440EA1"/>
    <w:rsid w:val="4C463ABF"/>
    <w:rsid w:val="4C4651D6"/>
    <w:rsid w:val="4C4661FD"/>
    <w:rsid w:val="4C4687D3"/>
    <w:rsid w:val="4C4AB34B"/>
    <w:rsid w:val="4C4D653F"/>
    <w:rsid w:val="4C4E23CC"/>
    <w:rsid w:val="4C50DCE8"/>
    <w:rsid w:val="4C519C1F"/>
    <w:rsid w:val="4C524432"/>
    <w:rsid w:val="4C535FC5"/>
    <w:rsid w:val="4C57920E"/>
    <w:rsid w:val="4C598552"/>
    <w:rsid w:val="4C5AD045"/>
    <w:rsid w:val="4C5DC732"/>
    <w:rsid w:val="4C5FE3D1"/>
    <w:rsid w:val="4C678B94"/>
    <w:rsid w:val="4C68F4C6"/>
    <w:rsid w:val="4C6AAC47"/>
    <w:rsid w:val="4C6ACE34"/>
    <w:rsid w:val="4C6DE930"/>
    <w:rsid w:val="4C740995"/>
    <w:rsid w:val="4C79C159"/>
    <w:rsid w:val="4C7A6D8C"/>
    <w:rsid w:val="4C7A7C41"/>
    <w:rsid w:val="4C7B15BA"/>
    <w:rsid w:val="4C7FAF66"/>
    <w:rsid w:val="4C80D118"/>
    <w:rsid w:val="4C83B46C"/>
    <w:rsid w:val="4C83F653"/>
    <w:rsid w:val="4C848F9C"/>
    <w:rsid w:val="4C8A2300"/>
    <w:rsid w:val="4C8B5757"/>
    <w:rsid w:val="4C8C0C29"/>
    <w:rsid w:val="4C8DE94B"/>
    <w:rsid w:val="4C9015FD"/>
    <w:rsid w:val="4C91D60B"/>
    <w:rsid w:val="4C9BFAA5"/>
    <w:rsid w:val="4C9CC4FF"/>
    <w:rsid w:val="4CA3875C"/>
    <w:rsid w:val="4CA41B0A"/>
    <w:rsid w:val="4CA44BD7"/>
    <w:rsid w:val="4CA8876A"/>
    <w:rsid w:val="4CA9FE60"/>
    <w:rsid w:val="4CB02E25"/>
    <w:rsid w:val="4CB083AA"/>
    <w:rsid w:val="4CB17578"/>
    <w:rsid w:val="4CB1D162"/>
    <w:rsid w:val="4CB35FDF"/>
    <w:rsid w:val="4CB49295"/>
    <w:rsid w:val="4CB9E309"/>
    <w:rsid w:val="4CBA0DF3"/>
    <w:rsid w:val="4CBA2E82"/>
    <w:rsid w:val="4CBC41DE"/>
    <w:rsid w:val="4CBD7FD5"/>
    <w:rsid w:val="4CBF0275"/>
    <w:rsid w:val="4CBF64A5"/>
    <w:rsid w:val="4CC0F3DC"/>
    <w:rsid w:val="4CC4D4E7"/>
    <w:rsid w:val="4CC558C8"/>
    <w:rsid w:val="4CC6FE9E"/>
    <w:rsid w:val="4CC84D25"/>
    <w:rsid w:val="4CCCB121"/>
    <w:rsid w:val="4CCD4FEB"/>
    <w:rsid w:val="4CCDF50B"/>
    <w:rsid w:val="4CCFFC89"/>
    <w:rsid w:val="4CD00FF5"/>
    <w:rsid w:val="4CD0F203"/>
    <w:rsid w:val="4CD2D9CD"/>
    <w:rsid w:val="4CD4AD6C"/>
    <w:rsid w:val="4CD75754"/>
    <w:rsid w:val="4CD8A46B"/>
    <w:rsid w:val="4CD9DD68"/>
    <w:rsid w:val="4CDBCF60"/>
    <w:rsid w:val="4CDC3835"/>
    <w:rsid w:val="4CDD9C30"/>
    <w:rsid w:val="4CE0F4BA"/>
    <w:rsid w:val="4CE7C765"/>
    <w:rsid w:val="4CEFB648"/>
    <w:rsid w:val="4CF4361B"/>
    <w:rsid w:val="4CFACBE7"/>
    <w:rsid w:val="4CFEE61C"/>
    <w:rsid w:val="4CFFF790"/>
    <w:rsid w:val="4D013C33"/>
    <w:rsid w:val="4D03214E"/>
    <w:rsid w:val="4D04020B"/>
    <w:rsid w:val="4D0ADB4C"/>
    <w:rsid w:val="4D0E3BFD"/>
    <w:rsid w:val="4D0FB941"/>
    <w:rsid w:val="4D16295F"/>
    <w:rsid w:val="4D1B98C2"/>
    <w:rsid w:val="4D1E5DA2"/>
    <w:rsid w:val="4D268DE4"/>
    <w:rsid w:val="4D278844"/>
    <w:rsid w:val="4D284E0A"/>
    <w:rsid w:val="4D299636"/>
    <w:rsid w:val="4D29E12C"/>
    <w:rsid w:val="4D2DC5FC"/>
    <w:rsid w:val="4D30683C"/>
    <w:rsid w:val="4D30C2C7"/>
    <w:rsid w:val="4D3191CF"/>
    <w:rsid w:val="4D32A75B"/>
    <w:rsid w:val="4D34F772"/>
    <w:rsid w:val="4D34F957"/>
    <w:rsid w:val="4D354D04"/>
    <w:rsid w:val="4D35EB79"/>
    <w:rsid w:val="4D3D8256"/>
    <w:rsid w:val="4D3DA0B2"/>
    <w:rsid w:val="4D400497"/>
    <w:rsid w:val="4D400B34"/>
    <w:rsid w:val="4D4162A3"/>
    <w:rsid w:val="4D4256D2"/>
    <w:rsid w:val="4D433B9B"/>
    <w:rsid w:val="4D482FE9"/>
    <w:rsid w:val="4D4B5B24"/>
    <w:rsid w:val="4D4DA078"/>
    <w:rsid w:val="4D4DEDD7"/>
    <w:rsid w:val="4D4F4756"/>
    <w:rsid w:val="4D4F72FE"/>
    <w:rsid w:val="4D4F74FE"/>
    <w:rsid w:val="4D5261C5"/>
    <w:rsid w:val="4D553109"/>
    <w:rsid w:val="4D55B903"/>
    <w:rsid w:val="4D561A6C"/>
    <w:rsid w:val="4D598972"/>
    <w:rsid w:val="4D5AF8BD"/>
    <w:rsid w:val="4D5F4494"/>
    <w:rsid w:val="4D5FBB97"/>
    <w:rsid w:val="4D640BBD"/>
    <w:rsid w:val="4D64B9FA"/>
    <w:rsid w:val="4D65AC89"/>
    <w:rsid w:val="4D663D1D"/>
    <w:rsid w:val="4D68270D"/>
    <w:rsid w:val="4D6F57D7"/>
    <w:rsid w:val="4D718D1A"/>
    <w:rsid w:val="4D72D700"/>
    <w:rsid w:val="4D7580EF"/>
    <w:rsid w:val="4D794932"/>
    <w:rsid w:val="4D7A7355"/>
    <w:rsid w:val="4D7C1C92"/>
    <w:rsid w:val="4D7C3F96"/>
    <w:rsid w:val="4D7DD7BF"/>
    <w:rsid w:val="4D8028A3"/>
    <w:rsid w:val="4D80B403"/>
    <w:rsid w:val="4D8239AB"/>
    <w:rsid w:val="4D84E852"/>
    <w:rsid w:val="4D86784F"/>
    <w:rsid w:val="4D868694"/>
    <w:rsid w:val="4D86ACA2"/>
    <w:rsid w:val="4D9083F6"/>
    <w:rsid w:val="4D9088C8"/>
    <w:rsid w:val="4D931D5A"/>
    <w:rsid w:val="4D93F11C"/>
    <w:rsid w:val="4D96496E"/>
    <w:rsid w:val="4D96500D"/>
    <w:rsid w:val="4D975D4D"/>
    <w:rsid w:val="4D98A318"/>
    <w:rsid w:val="4D9EB2D2"/>
    <w:rsid w:val="4D9F3561"/>
    <w:rsid w:val="4DA45642"/>
    <w:rsid w:val="4DA5F243"/>
    <w:rsid w:val="4DA9D6D8"/>
    <w:rsid w:val="4DAEDF7B"/>
    <w:rsid w:val="4DB100A6"/>
    <w:rsid w:val="4DB4FA37"/>
    <w:rsid w:val="4DB63E66"/>
    <w:rsid w:val="4DB696F6"/>
    <w:rsid w:val="4DB8AED5"/>
    <w:rsid w:val="4DB90534"/>
    <w:rsid w:val="4DBA25A5"/>
    <w:rsid w:val="4DBA8020"/>
    <w:rsid w:val="4DBAADBD"/>
    <w:rsid w:val="4DBD624D"/>
    <w:rsid w:val="4DC03B27"/>
    <w:rsid w:val="4DC26FAE"/>
    <w:rsid w:val="4DC4D184"/>
    <w:rsid w:val="4DC60921"/>
    <w:rsid w:val="4DC8006B"/>
    <w:rsid w:val="4DCA5692"/>
    <w:rsid w:val="4DCD90BE"/>
    <w:rsid w:val="4DCE197C"/>
    <w:rsid w:val="4DD052D6"/>
    <w:rsid w:val="4DD3F668"/>
    <w:rsid w:val="4DD55EBA"/>
    <w:rsid w:val="4DD65607"/>
    <w:rsid w:val="4DDA9617"/>
    <w:rsid w:val="4DDBA4AA"/>
    <w:rsid w:val="4DDBAADB"/>
    <w:rsid w:val="4DDCA4BD"/>
    <w:rsid w:val="4DDCD0E6"/>
    <w:rsid w:val="4DE2F804"/>
    <w:rsid w:val="4DE51780"/>
    <w:rsid w:val="4DE8F007"/>
    <w:rsid w:val="4DE9B4AB"/>
    <w:rsid w:val="4DEC76DA"/>
    <w:rsid w:val="4DEE4E84"/>
    <w:rsid w:val="4DEFACCA"/>
    <w:rsid w:val="4DF0A7CF"/>
    <w:rsid w:val="4DF2E4A5"/>
    <w:rsid w:val="4DF4307A"/>
    <w:rsid w:val="4DF9479B"/>
    <w:rsid w:val="4DFCCF6F"/>
    <w:rsid w:val="4DFE25F1"/>
    <w:rsid w:val="4DFFF25F"/>
    <w:rsid w:val="4E00784E"/>
    <w:rsid w:val="4E0317C0"/>
    <w:rsid w:val="4E08C027"/>
    <w:rsid w:val="4E11E645"/>
    <w:rsid w:val="4E15B10D"/>
    <w:rsid w:val="4E162811"/>
    <w:rsid w:val="4E1811BA"/>
    <w:rsid w:val="4E1931C4"/>
    <w:rsid w:val="4E196A1D"/>
    <w:rsid w:val="4E1E00F4"/>
    <w:rsid w:val="4E1ED870"/>
    <w:rsid w:val="4E20374C"/>
    <w:rsid w:val="4E20782C"/>
    <w:rsid w:val="4E210674"/>
    <w:rsid w:val="4E2130E0"/>
    <w:rsid w:val="4E221B18"/>
    <w:rsid w:val="4E250832"/>
    <w:rsid w:val="4E2986DC"/>
    <w:rsid w:val="4E2A0A24"/>
    <w:rsid w:val="4E2D36A9"/>
    <w:rsid w:val="4E2E8F3B"/>
    <w:rsid w:val="4E35E75D"/>
    <w:rsid w:val="4E36D143"/>
    <w:rsid w:val="4E374E94"/>
    <w:rsid w:val="4E393957"/>
    <w:rsid w:val="4E396383"/>
    <w:rsid w:val="4E3C1E27"/>
    <w:rsid w:val="4E402741"/>
    <w:rsid w:val="4E420D37"/>
    <w:rsid w:val="4E43E3C0"/>
    <w:rsid w:val="4E449102"/>
    <w:rsid w:val="4E449AA0"/>
    <w:rsid w:val="4E474D94"/>
    <w:rsid w:val="4E496AAA"/>
    <w:rsid w:val="4E4A5C05"/>
    <w:rsid w:val="4E4E9D2F"/>
    <w:rsid w:val="4E4F3AE4"/>
    <w:rsid w:val="4E50CB1E"/>
    <w:rsid w:val="4E5590F7"/>
    <w:rsid w:val="4E57F46F"/>
    <w:rsid w:val="4E5DB852"/>
    <w:rsid w:val="4E600001"/>
    <w:rsid w:val="4E601C0C"/>
    <w:rsid w:val="4E6235D5"/>
    <w:rsid w:val="4E653959"/>
    <w:rsid w:val="4E665F23"/>
    <w:rsid w:val="4E680787"/>
    <w:rsid w:val="4E6C5DA5"/>
    <w:rsid w:val="4E71534D"/>
    <w:rsid w:val="4E746DC6"/>
    <w:rsid w:val="4E74F926"/>
    <w:rsid w:val="4E76932E"/>
    <w:rsid w:val="4E785F95"/>
    <w:rsid w:val="4E7979C1"/>
    <w:rsid w:val="4E7B1A89"/>
    <w:rsid w:val="4E7DC0BA"/>
    <w:rsid w:val="4E83404F"/>
    <w:rsid w:val="4E838969"/>
    <w:rsid w:val="4E84080D"/>
    <w:rsid w:val="4E84D0D5"/>
    <w:rsid w:val="4E85BD3F"/>
    <w:rsid w:val="4E8788D8"/>
    <w:rsid w:val="4E88099F"/>
    <w:rsid w:val="4E8DF245"/>
    <w:rsid w:val="4E922D52"/>
    <w:rsid w:val="4E9395D1"/>
    <w:rsid w:val="4E939997"/>
    <w:rsid w:val="4E980B8D"/>
    <w:rsid w:val="4E9CF553"/>
    <w:rsid w:val="4E9D9783"/>
    <w:rsid w:val="4E9D9EFB"/>
    <w:rsid w:val="4E9E0241"/>
    <w:rsid w:val="4E9FC86C"/>
    <w:rsid w:val="4EA00E16"/>
    <w:rsid w:val="4EA11DA6"/>
    <w:rsid w:val="4EA21B8B"/>
    <w:rsid w:val="4EA2812D"/>
    <w:rsid w:val="4EA3D05B"/>
    <w:rsid w:val="4EA4A518"/>
    <w:rsid w:val="4EAA9C0D"/>
    <w:rsid w:val="4EADD12C"/>
    <w:rsid w:val="4EB827D9"/>
    <w:rsid w:val="4EBDA9EB"/>
    <w:rsid w:val="4EC319AA"/>
    <w:rsid w:val="4EC5ACB1"/>
    <w:rsid w:val="4ECA5660"/>
    <w:rsid w:val="4ECF7BDD"/>
    <w:rsid w:val="4ED1397D"/>
    <w:rsid w:val="4ED185B4"/>
    <w:rsid w:val="4ED9DED1"/>
    <w:rsid w:val="4EDA48CC"/>
    <w:rsid w:val="4EE1FBE6"/>
    <w:rsid w:val="4EE2825E"/>
    <w:rsid w:val="4EE50505"/>
    <w:rsid w:val="4EE507E7"/>
    <w:rsid w:val="4EE5B258"/>
    <w:rsid w:val="4EE9FFE4"/>
    <w:rsid w:val="4EECD528"/>
    <w:rsid w:val="4EEFEBB4"/>
    <w:rsid w:val="4EF0BE65"/>
    <w:rsid w:val="4EF13B5E"/>
    <w:rsid w:val="4EF281B0"/>
    <w:rsid w:val="4EF293A3"/>
    <w:rsid w:val="4EF49415"/>
    <w:rsid w:val="4EF60A3A"/>
    <w:rsid w:val="4EF92A09"/>
    <w:rsid w:val="4EFB8468"/>
    <w:rsid w:val="4EFC86E8"/>
    <w:rsid w:val="4F01CC97"/>
    <w:rsid w:val="4F036FF2"/>
    <w:rsid w:val="4F07C757"/>
    <w:rsid w:val="4F0D5D7B"/>
    <w:rsid w:val="4F0DBCF6"/>
    <w:rsid w:val="4F0ED485"/>
    <w:rsid w:val="4F11061A"/>
    <w:rsid w:val="4F11ECE5"/>
    <w:rsid w:val="4F146CBE"/>
    <w:rsid w:val="4F151A62"/>
    <w:rsid w:val="4F16E16B"/>
    <w:rsid w:val="4F17282F"/>
    <w:rsid w:val="4F18FBED"/>
    <w:rsid w:val="4F198C2B"/>
    <w:rsid w:val="4F1D104B"/>
    <w:rsid w:val="4F1EEE3F"/>
    <w:rsid w:val="4F1F9F0E"/>
    <w:rsid w:val="4F216417"/>
    <w:rsid w:val="4F228D3B"/>
    <w:rsid w:val="4F24FF37"/>
    <w:rsid w:val="4F2699E2"/>
    <w:rsid w:val="4F2B31B6"/>
    <w:rsid w:val="4F2E6D37"/>
    <w:rsid w:val="4F2E7FC5"/>
    <w:rsid w:val="4F305898"/>
    <w:rsid w:val="4F321AE4"/>
    <w:rsid w:val="4F328F05"/>
    <w:rsid w:val="4F3A9702"/>
    <w:rsid w:val="4F3C578A"/>
    <w:rsid w:val="4F3CEC39"/>
    <w:rsid w:val="4F3E90DE"/>
    <w:rsid w:val="4F3FF78D"/>
    <w:rsid w:val="4F44A03C"/>
    <w:rsid w:val="4F48482C"/>
    <w:rsid w:val="4F485C4F"/>
    <w:rsid w:val="4F4A77FA"/>
    <w:rsid w:val="4F512CF0"/>
    <w:rsid w:val="4F531009"/>
    <w:rsid w:val="4F545DE5"/>
    <w:rsid w:val="4F56BE55"/>
    <w:rsid w:val="4F57F0DC"/>
    <w:rsid w:val="4F589A9A"/>
    <w:rsid w:val="4F5B055D"/>
    <w:rsid w:val="4F5E552E"/>
    <w:rsid w:val="4F5ED05F"/>
    <w:rsid w:val="4F677783"/>
    <w:rsid w:val="4F6872C5"/>
    <w:rsid w:val="4F6B6DE0"/>
    <w:rsid w:val="4F6E090A"/>
    <w:rsid w:val="4F701743"/>
    <w:rsid w:val="4F7108AF"/>
    <w:rsid w:val="4F727C89"/>
    <w:rsid w:val="4F74D3AE"/>
    <w:rsid w:val="4F76A3F0"/>
    <w:rsid w:val="4F787EAC"/>
    <w:rsid w:val="4F78CF2E"/>
    <w:rsid w:val="4F79E2FD"/>
    <w:rsid w:val="4F7D138B"/>
    <w:rsid w:val="4F7D5A92"/>
    <w:rsid w:val="4F8048DF"/>
    <w:rsid w:val="4F82E2EE"/>
    <w:rsid w:val="4F8824DD"/>
    <w:rsid w:val="4F8B613F"/>
    <w:rsid w:val="4F8CA93D"/>
    <w:rsid w:val="4F95F1E6"/>
    <w:rsid w:val="4F981811"/>
    <w:rsid w:val="4F98BFE2"/>
    <w:rsid w:val="4F98D4BC"/>
    <w:rsid w:val="4F9A8882"/>
    <w:rsid w:val="4F9C74D7"/>
    <w:rsid w:val="4F9F4876"/>
    <w:rsid w:val="4F9F4A44"/>
    <w:rsid w:val="4F9FCCE8"/>
    <w:rsid w:val="4FA071CB"/>
    <w:rsid w:val="4FA365CE"/>
    <w:rsid w:val="4FA39816"/>
    <w:rsid w:val="4FA82B34"/>
    <w:rsid w:val="4FA95D99"/>
    <w:rsid w:val="4FAE579F"/>
    <w:rsid w:val="4FAEFA7B"/>
    <w:rsid w:val="4FB08EE3"/>
    <w:rsid w:val="4FB114D0"/>
    <w:rsid w:val="4FB45903"/>
    <w:rsid w:val="4FB49C6F"/>
    <w:rsid w:val="4FBAA7F6"/>
    <w:rsid w:val="4FBBE28F"/>
    <w:rsid w:val="4FBDDD00"/>
    <w:rsid w:val="4FC1435C"/>
    <w:rsid w:val="4FC4130A"/>
    <w:rsid w:val="4FC45C7B"/>
    <w:rsid w:val="4FC813A1"/>
    <w:rsid w:val="4FC9BCDA"/>
    <w:rsid w:val="4FCDBB3E"/>
    <w:rsid w:val="4FCE5D7D"/>
    <w:rsid w:val="4FCE60EC"/>
    <w:rsid w:val="4FD04322"/>
    <w:rsid w:val="4FD0C7D5"/>
    <w:rsid w:val="4FD52914"/>
    <w:rsid w:val="4FD96320"/>
    <w:rsid w:val="4FDCB983"/>
    <w:rsid w:val="4FDE89E4"/>
    <w:rsid w:val="4FDF902B"/>
    <w:rsid w:val="4FE14322"/>
    <w:rsid w:val="4FE41D51"/>
    <w:rsid w:val="4FE47DF3"/>
    <w:rsid w:val="4FE6CF45"/>
    <w:rsid w:val="4FE96A16"/>
    <w:rsid w:val="4FEB7594"/>
    <w:rsid w:val="4FEF0793"/>
    <w:rsid w:val="4FEF4E7C"/>
    <w:rsid w:val="4FF3C4D0"/>
    <w:rsid w:val="4FF4CB17"/>
    <w:rsid w:val="4FF52FD0"/>
    <w:rsid w:val="4FF5D1AA"/>
    <w:rsid w:val="4FF94321"/>
    <w:rsid w:val="4FFA3F92"/>
    <w:rsid w:val="4FFAD539"/>
    <w:rsid w:val="4FFB96B3"/>
    <w:rsid w:val="4FFBF076"/>
    <w:rsid w:val="4FFC7D94"/>
    <w:rsid w:val="5001D48C"/>
    <w:rsid w:val="5003B04F"/>
    <w:rsid w:val="50067973"/>
    <w:rsid w:val="5007A374"/>
    <w:rsid w:val="500848A2"/>
    <w:rsid w:val="500A9BD9"/>
    <w:rsid w:val="500ED47E"/>
    <w:rsid w:val="500EDC2C"/>
    <w:rsid w:val="500EE97E"/>
    <w:rsid w:val="500F5CEA"/>
    <w:rsid w:val="50101C3A"/>
    <w:rsid w:val="5010224E"/>
    <w:rsid w:val="50134D42"/>
    <w:rsid w:val="5013836E"/>
    <w:rsid w:val="5014B364"/>
    <w:rsid w:val="501752EA"/>
    <w:rsid w:val="5017743D"/>
    <w:rsid w:val="50177E77"/>
    <w:rsid w:val="501D5E7B"/>
    <w:rsid w:val="501DA4AC"/>
    <w:rsid w:val="501EEB45"/>
    <w:rsid w:val="50215DDE"/>
    <w:rsid w:val="5023E463"/>
    <w:rsid w:val="5024B9EB"/>
    <w:rsid w:val="5028EA19"/>
    <w:rsid w:val="5029388F"/>
    <w:rsid w:val="502E52AC"/>
    <w:rsid w:val="5030D5DC"/>
    <w:rsid w:val="50319CA5"/>
    <w:rsid w:val="5032B0BD"/>
    <w:rsid w:val="5032C434"/>
    <w:rsid w:val="50360F4B"/>
    <w:rsid w:val="50365B88"/>
    <w:rsid w:val="50399BB5"/>
    <w:rsid w:val="503B13A8"/>
    <w:rsid w:val="503C0CB9"/>
    <w:rsid w:val="503DE434"/>
    <w:rsid w:val="5040173C"/>
    <w:rsid w:val="5045DCBF"/>
    <w:rsid w:val="50499108"/>
    <w:rsid w:val="504F111C"/>
    <w:rsid w:val="50541452"/>
    <w:rsid w:val="50559F63"/>
    <w:rsid w:val="505A2D7F"/>
    <w:rsid w:val="505B646F"/>
    <w:rsid w:val="505D3288"/>
    <w:rsid w:val="505E8F2D"/>
    <w:rsid w:val="505EA7B9"/>
    <w:rsid w:val="505EEE84"/>
    <w:rsid w:val="505F774E"/>
    <w:rsid w:val="5060C085"/>
    <w:rsid w:val="5062E0C4"/>
    <w:rsid w:val="5066A7F5"/>
    <w:rsid w:val="5069B150"/>
    <w:rsid w:val="506A0482"/>
    <w:rsid w:val="506C2A37"/>
    <w:rsid w:val="506E1785"/>
    <w:rsid w:val="5071A0E2"/>
    <w:rsid w:val="50749E34"/>
    <w:rsid w:val="5075B068"/>
    <w:rsid w:val="5077DF06"/>
    <w:rsid w:val="507913DA"/>
    <w:rsid w:val="5080D57A"/>
    <w:rsid w:val="5082973F"/>
    <w:rsid w:val="508439FD"/>
    <w:rsid w:val="50843B06"/>
    <w:rsid w:val="5085886D"/>
    <w:rsid w:val="50878A28"/>
    <w:rsid w:val="508B2AD9"/>
    <w:rsid w:val="508C1A5E"/>
    <w:rsid w:val="508CEAAE"/>
    <w:rsid w:val="508DD342"/>
    <w:rsid w:val="508E2180"/>
    <w:rsid w:val="508EA45C"/>
    <w:rsid w:val="5094518B"/>
    <w:rsid w:val="5097BDE5"/>
    <w:rsid w:val="509A4505"/>
    <w:rsid w:val="509B1B6C"/>
    <w:rsid w:val="50A2C138"/>
    <w:rsid w:val="50A541C0"/>
    <w:rsid w:val="50A772AE"/>
    <w:rsid w:val="50AA53DF"/>
    <w:rsid w:val="50AACEA8"/>
    <w:rsid w:val="50AB17E0"/>
    <w:rsid w:val="50AD959D"/>
    <w:rsid w:val="50AEE546"/>
    <w:rsid w:val="50AF12F5"/>
    <w:rsid w:val="50B2374D"/>
    <w:rsid w:val="50B47D66"/>
    <w:rsid w:val="50B5889D"/>
    <w:rsid w:val="50BB0E7C"/>
    <w:rsid w:val="50C26E93"/>
    <w:rsid w:val="50C36400"/>
    <w:rsid w:val="50C45918"/>
    <w:rsid w:val="50C4967D"/>
    <w:rsid w:val="50C7F357"/>
    <w:rsid w:val="50C88F84"/>
    <w:rsid w:val="50C92812"/>
    <w:rsid w:val="50CA9549"/>
    <w:rsid w:val="50CCBA86"/>
    <w:rsid w:val="50CEFEE0"/>
    <w:rsid w:val="50CFC7CF"/>
    <w:rsid w:val="50D121B3"/>
    <w:rsid w:val="50D31E9B"/>
    <w:rsid w:val="50D3BA3A"/>
    <w:rsid w:val="50D71519"/>
    <w:rsid w:val="50D91CA8"/>
    <w:rsid w:val="50DB6E0B"/>
    <w:rsid w:val="50DDF2C9"/>
    <w:rsid w:val="50DE8FDE"/>
    <w:rsid w:val="50E3C6F1"/>
    <w:rsid w:val="50E55DB1"/>
    <w:rsid w:val="50E58009"/>
    <w:rsid w:val="50E95173"/>
    <w:rsid w:val="50EF9662"/>
    <w:rsid w:val="50F051F4"/>
    <w:rsid w:val="50F0EB4B"/>
    <w:rsid w:val="50F67EF7"/>
    <w:rsid w:val="50F90CFE"/>
    <w:rsid w:val="50FB7A44"/>
    <w:rsid w:val="50FE40A5"/>
    <w:rsid w:val="50FE719E"/>
    <w:rsid w:val="50FFCAB0"/>
    <w:rsid w:val="5101ED87"/>
    <w:rsid w:val="51024DA0"/>
    <w:rsid w:val="5106CE5C"/>
    <w:rsid w:val="5107EE59"/>
    <w:rsid w:val="510B018A"/>
    <w:rsid w:val="510C1199"/>
    <w:rsid w:val="510CE547"/>
    <w:rsid w:val="51101400"/>
    <w:rsid w:val="5111C2B7"/>
    <w:rsid w:val="5112ED38"/>
    <w:rsid w:val="51143DB4"/>
    <w:rsid w:val="5115B8AB"/>
    <w:rsid w:val="51160ED6"/>
    <w:rsid w:val="5117A46F"/>
    <w:rsid w:val="51184414"/>
    <w:rsid w:val="51184CD1"/>
    <w:rsid w:val="511D04D2"/>
    <w:rsid w:val="511F4904"/>
    <w:rsid w:val="5124F091"/>
    <w:rsid w:val="5126DD4F"/>
    <w:rsid w:val="5127B258"/>
    <w:rsid w:val="512827E6"/>
    <w:rsid w:val="512F79BA"/>
    <w:rsid w:val="512FFF3A"/>
    <w:rsid w:val="51313855"/>
    <w:rsid w:val="5131DEDE"/>
    <w:rsid w:val="5132004C"/>
    <w:rsid w:val="51323BBB"/>
    <w:rsid w:val="5133B800"/>
    <w:rsid w:val="513841DD"/>
    <w:rsid w:val="5138A7C9"/>
    <w:rsid w:val="5139464B"/>
    <w:rsid w:val="5139C683"/>
    <w:rsid w:val="513CDCC8"/>
    <w:rsid w:val="513F9434"/>
    <w:rsid w:val="513FD822"/>
    <w:rsid w:val="5140BC19"/>
    <w:rsid w:val="51411F1B"/>
    <w:rsid w:val="51426F52"/>
    <w:rsid w:val="51457061"/>
    <w:rsid w:val="51470661"/>
    <w:rsid w:val="514A0163"/>
    <w:rsid w:val="514B5522"/>
    <w:rsid w:val="514CDA9B"/>
    <w:rsid w:val="514D2982"/>
    <w:rsid w:val="514DDEAF"/>
    <w:rsid w:val="514FEB83"/>
    <w:rsid w:val="51500DFE"/>
    <w:rsid w:val="51503B0E"/>
    <w:rsid w:val="5150ECCD"/>
    <w:rsid w:val="51527D62"/>
    <w:rsid w:val="5153071E"/>
    <w:rsid w:val="5155868B"/>
    <w:rsid w:val="51574096"/>
    <w:rsid w:val="515C0AFC"/>
    <w:rsid w:val="516731DE"/>
    <w:rsid w:val="516A07CE"/>
    <w:rsid w:val="517000FC"/>
    <w:rsid w:val="51734C27"/>
    <w:rsid w:val="51738BC0"/>
    <w:rsid w:val="5175E79F"/>
    <w:rsid w:val="5177C70E"/>
    <w:rsid w:val="517A20E2"/>
    <w:rsid w:val="517DFCE4"/>
    <w:rsid w:val="51846DDB"/>
    <w:rsid w:val="518881BB"/>
    <w:rsid w:val="5188CDC7"/>
    <w:rsid w:val="51897B25"/>
    <w:rsid w:val="5189D238"/>
    <w:rsid w:val="5189DD7B"/>
    <w:rsid w:val="518DD47C"/>
    <w:rsid w:val="518E1134"/>
    <w:rsid w:val="518EF943"/>
    <w:rsid w:val="518F9531"/>
    <w:rsid w:val="518FC74D"/>
    <w:rsid w:val="518FEE54"/>
    <w:rsid w:val="51916A26"/>
    <w:rsid w:val="51934188"/>
    <w:rsid w:val="51962912"/>
    <w:rsid w:val="5196B481"/>
    <w:rsid w:val="51979E97"/>
    <w:rsid w:val="5198B3A7"/>
    <w:rsid w:val="519B032E"/>
    <w:rsid w:val="51A07421"/>
    <w:rsid w:val="51A08549"/>
    <w:rsid w:val="51A272D0"/>
    <w:rsid w:val="51A3ECB6"/>
    <w:rsid w:val="51A455D5"/>
    <w:rsid w:val="51A5C6A7"/>
    <w:rsid w:val="51A770CD"/>
    <w:rsid w:val="51A9487F"/>
    <w:rsid w:val="51AC37BE"/>
    <w:rsid w:val="51ADC612"/>
    <w:rsid w:val="51B1444B"/>
    <w:rsid w:val="51B4D270"/>
    <w:rsid w:val="51B9C2EE"/>
    <w:rsid w:val="51BDADD9"/>
    <w:rsid w:val="51C16C1A"/>
    <w:rsid w:val="51C1A76A"/>
    <w:rsid w:val="51CB947C"/>
    <w:rsid w:val="51CF7AFE"/>
    <w:rsid w:val="51CFA321"/>
    <w:rsid w:val="51D24D74"/>
    <w:rsid w:val="51D3732E"/>
    <w:rsid w:val="51D58003"/>
    <w:rsid w:val="51D7340D"/>
    <w:rsid w:val="51DA0701"/>
    <w:rsid w:val="51DA7B0F"/>
    <w:rsid w:val="51DCB614"/>
    <w:rsid w:val="51DD1B4C"/>
    <w:rsid w:val="51DE77C2"/>
    <w:rsid w:val="51E0F334"/>
    <w:rsid w:val="51E46DE8"/>
    <w:rsid w:val="51E58C8B"/>
    <w:rsid w:val="51E5FE1E"/>
    <w:rsid w:val="51EDC65F"/>
    <w:rsid w:val="51EF0626"/>
    <w:rsid w:val="51F0D343"/>
    <w:rsid w:val="51F150ED"/>
    <w:rsid w:val="51F3C90D"/>
    <w:rsid w:val="51FAA8FA"/>
    <w:rsid w:val="51FD7CF3"/>
    <w:rsid w:val="51FE14A4"/>
    <w:rsid w:val="51FECE4C"/>
    <w:rsid w:val="51FF15CC"/>
    <w:rsid w:val="5201A4CC"/>
    <w:rsid w:val="5206A141"/>
    <w:rsid w:val="52078497"/>
    <w:rsid w:val="52143D04"/>
    <w:rsid w:val="521E35D1"/>
    <w:rsid w:val="521E8FB1"/>
    <w:rsid w:val="521EC3A7"/>
    <w:rsid w:val="522534C0"/>
    <w:rsid w:val="522A23B7"/>
    <w:rsid w:val="522EA85A"/>
    <w:rsid w:val="52303E3D"/>
    <w:rsid w:val="52325A90"/>
    <w:rsid w:val="5236D347"/>
    <w:rsid w:val="5236D4EF"/>
    <w:rsid w:val="523F239A"/>
    <w:rsid w:val="523FC432"/>
    <w:rsid w:val="5244EE52"/>
    <w:rsid w:val="524FE58C"/>
    <w:rsid w:val="5252B2C1"/>
    <w:rsid w:val="52531833"/>
    <w:rsid w:val="52532E38"/>
    <w:rsid w:val="5253E19B"/>
    <w:rsid w:val="525489ED"/>
    <w:rsid w:val="525514F6"/>
    <w:rsid w:val="5259CF00"/>
    <w:rsid w:val="525BC859"/>
    <w:rsid w:val="525D24F6"/>
    <w:rsid w:val="525D77D0"/>
    <w:rsid w:val="525EF6C0"/>
    <w:rsid w:val="525F1AD1"/>
    <w:rsid w:val="52640BFC"/>
    <w:rsid w:val="52652805"/>
    <w:rsid w:val="52661C71"/>
    <w:rsid w:val="526626A2"/>
    <w:rsid w:val="5267089A"/>
    <w:rsid w:val="526A452C"/>
    <w:rsid w:val="526E286F"/>
    <w:rsid w:val="5271FB69"/>
    <w:rsid w:val="5275CE7D"/>
    <w:rsid w:val="5278CFD8"/>
    <w:rsid w:val="527997EB"/>
    <w:rsid w:val="527D3185"/>
    <w:rsid w:val="52807B2C"/>
    <w:rsid w:val="52824379"/>
    <w:rsid w:val="5283E66F"/>
    <w:rsid w:val="5284A956"/>
    <w:rsid w:val="52867E8C"/>
    <w:rsid w:val="5288F9C0"/>
    <w:rsid w:val="5289367B"/>
    <w:rsid w:val="528A80A9"/>
    <w:rsid w:val="528DA088"/>
    <w:rsid w:val="52904F13"/>
    <w:rsid w:val="52912F7D"/>
    <w:rsid w:val="5291ED9B"/>
    <w:rsid w:val="52928D95"/>
    <w:rsid w:val="5294FFBB"/>
    <w:rsid w:val="529B718E"/>
    <w:rsid w:val="529BCE7C"/>
    <w:rsid w:val="52A19054"/>
    <w:rsid w:val="52A5C825"/>
    <w:rsid w:val="52A6AECA"/>
    <w:rsid w:val="52AC92AB"/>
    <w:rsid w:val="52ACD16D"/>
    <w:rsid w:val="52AEDA53"/>
    <w:rsid w:val="52B1E359"/>
    <w:rsid w:val="52B2AE62"/>
    <w:rsid w:val="52B64847"/>
    <w:rsid w:val="52B95671"/>
    <w:rsid w:val="52BBB6AA"/>
    <w:rsid w:val="52BD2275"/>
    <w:rsid w:val="52BE1BD7"/>
    <w:rsid w:val="52BEAEEB"/>
    <w:rsid w:val="52C20D98"/>
    <w:rsid w:val="52C32ABF"/>
    <w:rsid w:val="52C499E3"/>
    <w:rsid w:val="52C54C98"/>
    <w:rsid w:val="52C5AE4C"/>
    <w:rsid w:val="52C6B60B"/>
    <w:rsid w:val="52C70691"/>
    <w:rsid w:val="52CC6BFA"/>
    <w:rsid w:val="52CD3342"/>
    <w:rsid w:val="52CEA6ED"/>
    <w:rsid w:val="52D0C17B"/>
    <w:rsid w:val="52D2DAAA"/>
    <w:rsid w:val="52D35199"/>
    <w:rsid w:val="52D3B4B6"/>
    <w:rsid w:val="52D47ACB"/>
    <w:rsid w:val="52D49617"/>
    <w:rsid w:val="52D75A65"/>
    <w:rsid w:val="52D87994"/>
    <w:rsid w:val="52D8AD29"/>
    <w:rsid w:val="52DE8EEE"/>
    <w:rsid w:val="52DED2F5"/>
    <w:rsid w:val="52DEF2D6"/>
    <w:rsid w:val="52E19A4C"/>
    <w:rsid w:val="52E4BCD0"/>
    <w:rsid w:val="52E92825"/>
    <w:rsid w:val="52EF0D7A"/>
    <w:rsid w:val="52F05E9D"/>
    <w:rsid w:val="52F1FE96"/>
    <w:rsid w:val="52F24DE3"/>
    <w:rsid w:val="52F4D554"/>
    <w:rsid w:val="52F5FC51"/>
    <w:rsid w:val="52F8A8D6"/>
    <w:rsid w:val="52F9ED18"/>
    <w:rsid w:val="52FCE640"/>
    <w:rsid w:val="53029EFE"/>
    <w:rsid w:val="5302F90D"/>
    <w:rsid w:val="5303CD4B"/>
    <w:rsid w:val="53091AA7"/>
    <w:rsid w:val="53095E01"/>
    <w:rsid w:val="5309E171"/>
    <w:rsid w:val="530CA6FD"/>
    <w:rsid w:val="530D470A"/>
    <w:rsid w:val="5313B082"/>
    <w:rsid w:val="5316CC46"/>
    <w:rsid w:val="531A0C1D"/>
    <w:rsid w:val="531D06CD"/>
    <w:rsid w:val="531F9EA5"/>
    <w:rsid w:val="53202B51"/>
    <w:rsid w:val="5321DBC1"/>
    <w:rsid w:val="5323F646"/>
    <w:rsid w:val="5324A55B"/>
    <w:rsid w:val="532509F2"/>
    <w:rsid w:val="5325A7C3"/>
    <w:rsid w:val="5326913B"/>
    <w:rsid w:val="532D5361"/>
    <w:rsid w:val="532F7D81"/>
    <w:rsid w:val="5334F492"/>
    <w:rsid w:val="53376245"/>
    <w:rsid w:val="5338AE77"/>
    <w:rsid w:val="53398B9F"/>
    <w:rsid w:val="533A32F0"/>
    <w:rsid w:val="533A5A33"/>
    <w:rsid w:val="533E47F4"/>
    <w:rsid w:val="5341C4D7"/>
    <w:rsid w:val="5341E22E"/>
    <w:rsid w:val="5343E557"/>
    <w:rsid w:val="5345A46D"/>
    <w:rsid w:val="5345D6D1"/>
    <w:rsid w:val="53468B5F"/>
    <w:rsid w:val="534985D8"/>
    <w:rsid w:val="5350032C"/>
    <w:rsid w:val="5350C60E"/>
    <w:rsid w:val="535384B7"/>
    <w:rsid w:val="5355DA06"/>
    <w:rsid w:val="5358A826"/>
    <w:rsid w:val="5358ACAD"/>
    <w:rsid w:val="535C127E"/>
    <w:rsid w:val="535D12BC"/>
    <w:rsid w:val="535EA6A6"/>
    <w:rsid w:val="535FBE70"/>
    <w:rsid w:val="5360E3DF"/>
    <w:rsid w:val="5360E55B"/>
    <w:rsid w:val="5364C3EB"/>
    <w:rsid w:val="53652ABD"/>
    <w:rsid w:val="536542B9"/>
    <w:rsid w:val="53667AC2"/>
    <w:rsid w:val="5368487E"/>
    <w:rsid w:val="536CA486"/>
    <w:rsid w:val="536D6D0B"/>
    <w:rsid w:val="536E3D9C"/>
    <w:rsid w:val="536EE6F6"/>
    <w:rsid w:val="5371B1E9"/>
    <w:rsid w:val="53766C5E"/>
    <w:rsid w:val="53799C83"/>
    <w:rsid w:val="537A3741"/>
    <w:rsid w:val="537D637C"/>
    <w:rsid w:val="537D7D81"/>
    <w:rsid w:val="5383DB16"/>
    <w:rsid w:val="5384400E"/>
    <w:rsid w:val="53892C50"/>
    <w:rsid w:val="5389E88A"/>
    <w:rsid w:val="5389F5C9"/>
    <w:rsid w:val="538A0782"/>
    <w:rsid w:val="538C7DC9"/>
    <w:rsid w:val="538C967E"/>
    <w:rsid w:val="538C9D12"/>
    <w:rsid w:val="538CC47D"/>
    <w:rsid w:val="53947697"/>
    <w:rsid w:val="539526D2"/>
    <w:rsid w:val="5395693E"/>
    <w:rsid w:val="5396FEA0"/>
    <w:rsid w:val="539B651C"/>
    <w:rsid w:val="539B6DAE"/>
    <w:rsid w:val="539D31A9"/>
    <w:rsid w:val="539DBE5C"/>
    <w:rsid w:val="539E2F6D"/>
    <w:rsid w:val="539F3C05"/>
    <w:rsid w:val="53A107B5"/>
    <w:rsid w:val="53A4DE80"/>
    <w:rsid w:val="53A558CC"/>
    <w:rsid w:val="53A8661C"/>
    <w:rsid w:val="53A978C8"/>
    <w:rsid w:val="53AE1684"/>
    <w:rsid w:val="53B1E398"/>
    <w:rsid w:val="53B3870E"/>
    <w:rsid w:val="53B69601"/>
    <w:rsid w:val="53B8010E"/>
    <w:rsid w:val="53BC155D"/>
    <w:rsid w:val="53BF1681"/>
    <w:rsid w:val="53BFEEAC"/>
    <w:rsid w:val="53C171EC"/>
    <w:rsid w:val="53C1AC41"/>
    <w:rsid w:val="53C4857A"/>
    <w:rsid w:val="53C4AC1D"/>
    <w:rsid w:val="53C75D68"/>
    <w:rsid w:val="53C7ADAF"/>
    <w:rsid w:val="53CAF75B"/>
    <w:rsid w:val="53CB6265"/>
    <w:rsid w:val="53CBCFF5"/>
    <w:rsid w:val="53CCDD28"/>
    <w:rsid w:val="53D385E1"/>
    <w:rsid w:val="53D3D440"/>
    <w:rsid w:val="53D6AE99"/>
    <w:rsid w:val="53DAFFDB"/>
    <w:rsid w:val="53DD8F7A"/>
    <w:rsid w:val="53E24594"/>
    <w:rsid w:val="53E4AED3"/>
    <w:rsid w:val="53E767A1"/>
    <w:rsid w:val="53EDA681"/>
    <w:rsid w:val="53EF8C53"/>
    <w:rsid w:val="53F162BE"/>
    <w:rsid w:val="53F65A46"/>
    <w:rsid w:val="53F932BC"/>
    <w:rsid w:val="53FFD74E"/>
    <w:rsid w:val="5400091D"/>
    <w:rsid w:val="5401C7B7"/>
    <w:rsid w:val="540327AB"/>
    <w:rsid w:val="5404C4D0"/>
    <w:rsid w:val="54071DF9"/>
    <w:rsid w:val="540CA0D2"/>
    <w:rsid w:val="5414B1F4"/>
    <w:rsid w:val="5414C9C3"/>
    <w:rsid w:val="54162524"/>
    <w:rsid w:val="54169F26"/>
    <w:rsid w:val="5417B1E4"/>
    <w:rsid w:val="5419BCB6"/>
    <w:rsid w:val="541CCB9B"/>
    <w:rsid w:val="541EA564"/>
    <w:rsid w:val="5424F47C"/>
    <w:rsid w:val="5430B20D"/>
    <w:rsid w:val="543374BD"/>
    <w:rsid w:val="54344BA0"/>
    <w:rsid w:val="543481AD"/>
    <w:rsid w:val="54361260"/>
    <w:rsid w:val="54363949"/>
    <w:rsid w:val="54368E8A"/>
    <w:rsid w:val="54369657"/>
    <w:rsid w:val="543CE091"/>
    <w:rsid w:val="543E17F9"/>
    <w:rsid w:val="543E59C1"/>
    <w:rsid w:val="543E5F01"/>
    <w:rsid w:val="5440358F"/>
    <w:rsid w:val="544327E8"/>
    <w:rsid w:val="5443683A"/>
    <w:rsid w:val="5448F18A"/>
    <w:rsid w:val="544EC487"/>
    <w:rsid w:val="544EF3C6"/>
    <w:rsid w:val="544FCCA4"/>
    <w:rsid w:val="54512622"/>
    <w:rsid w:val="5452E213"/>
    <w:rsid w:val="54555AC1"/>
    <w:rsid w:val="545854CD"/>
    <w:rsid w:val="545A7EF5"/>
    <w:rsid w:val="545B8E47"/>
    <w:rsid w:val="545D2E53"/>
    <w:rsid w:val="546036FB"/>
    <w:rsid w:val="5463CA30"/>
    <w:rsid w:val="5465A80B"/>
    <w:rsid w:val="5466F6A8"/>
    <w:rsid w:val="54672937"/>
    <w:rsid w:val="5467FB5D"/>
    <w:rsid w:val="546DF9A5"/>
    <w:rsid w:val="546E33B8"/>
    <w:rsid w:val="546EA9A4"/>
    <w:rsid w:val="5474A0DB"/>
    <w:rsid w:val="5476830F"/>
    <w:rsid w:val="5477D003"/>
    <w:rsid w:val="547907CE"/>
    <w:rsid w:val="5479B68B"/>
    <w:rsid w:val="547AE3B3"/>
    <w:rsid w:val="547D53E7"/>
    <w:rsid w:val="547E7B9E"/>
    <w:rsid w:val="548099BB"/>
    <w:rsid w:val="54815827"/>
    <w:rsid w:val="5484E1DD"/>
    <w:rsid w:val="548AE43D"/>
    <w:rsid w:val="548BEDB4"/>
    <w:rsid w:val="54904319"/>
    <w:rsid w:val="5492D938"/>
    <w:rsid w:val="54937FFD"/>
    <w:rsid w:val="54951B8A"/>
    <w:rsid w:val="5495ACC6"/>
    <w:rsid w:val="54974981"/>
    <w:rsid w:val="5499DD89"/>
    <w:rsid w:val="549B5BDC"/>
    <w:rsid w:val="549BA8C7"/>
    <w:rsid w:val="549D57BF"/>
    <w:rsid w:val="549E6C8A"/>
    <w:rsid w:val="549FE4EA"/>
    <w:rsid w:val="54A2072B"/>
    <w:rsid w:val="54A37F20"/>
    <w:rsid w:val="54A578CF"/>
    <w:rsid w:val="54A787D4"/>
    <w:rsid w:val="54A7DBB2"/>
    <w:rsid w:val="54A881AB"/>
    <w:rsid w:val="54AB7964"/>
    <w:rsid w:val="54AB8EAF"/>
    <w:rsid w:val="54B148DC"/>
    <w:rsid w:val="54B5062E"/>
    <w:rsid w:val="54B5E98E"/>
    <w:rsid w:val="54B8C9BA"/>
    <w:rsid w:val="54BC0733"/>
    <w:rsid w:val="54C0EDFE"/>
    <w:rsid w:val="54C1846D"/>
    <w:rsid w:val="54C309B3"/>
    <w:rsid w:val="54C81522"/>
    <w:rsid w:val="54CBB123"/>
    <w:rsid w:val="54CE05CC"/>
    <w:rsid w:val="54D0D664"/>
    <w:rsid w:val="54D30A10"/>
    <w:rsid w:val="54D42124"/>
    <w:rsid w:val="54D49F12"/>
    <w:rsid w:val="54D9040F"/>
    <w:rsid w:val="54D9B63F"/>
    <w:rsid w:val="54D9F085"/>
    <w:rsid w:val="54DA632A"/>
    <w:rsid w:val="54DB0F2B"/>
    <w:rsid w:val="54DC593C"/>
    <w:rsid w:val="54DCBC2C"/>
    <w:rsid w:val="54E0304E"/>
    <w:rsid w:val="54E15A7F"/>
    <w:rsid w:val="54E174CE"/>
    <w:rsid w:val="54E34A85"/>
    <w:rsid w:val="54E43227"/>
    <w:rsid w:val="54E50200"/>
    <w:rsid w:val="54E71AE7"/>
    <w:rsid w:val="54EDB877"/>
    <w:rsid w:val="54EE1C76"/>
    <w:rsid w:val="54EF4614"/>
    <w:rsid w:val="54F0B964"/>
    <w:rsid w:val="54F3623B"/>
    <w:rsid w:val="54F37E2F"/>
    <w:rsid w:val="54F72507"/>
    <w:rsid w:val="54F7A746"/>
    <w:rsid w:val="54FB6735"/>
    <w:rsid w:val="54FBD05C"/>
    <w:rsid w:val="54FD2507"/>
    <w:rsid w:val="550892F6"/>
    <w:rsid w:val="550C8647"/>
    <w:rsid w:val="550CD1F5"/>
    <w:rsid w:val="5513E69C"/>
    <w:rsid w:val="55142E06"/>
    <w:rsid w:val="5516644A"/>
    <w:rsid w:val="55191FE7"/>
    <w:rsid w:val="551BFEC6"/>
    <w:rsid w:val="551C60BD"/>
    <w:rsid w:val="551E0A81"/>
    <w:rsid w:val="551E916B"/>
    <w:rsid w:val="551F13F6"/>
    <w:rsid w:val="551F24A9"/>
    <w:rsid w:val="55214A78"/>
    <w:rsid w:val="55215E2B"/>
    <w:rsid w:val="5526BDEA"/>
    <w:rsid w:val="55280688"/>
    <w:rsid w:val="552E3A13"/>
    <w:rsid w:val="5533D047"/>
    <w:rsid w:val="55349DC9"/>
    <w:rsid w:val="55354500"/>
    <w:rsid w:val="5537F6FE"/>
    <w:rsid w:val="553A6E01"/>
    <w:rsid w:val="553AD266"/>
    <w:rsid w:val="553C2E2D"/>
    <w:rsid w:val="553E763D"/>
    <w:rsid w:val="553EDC3E"/>
    <w:rsid w:val="553F1B4A"/>
    <w:rsid w:val="5540542A"/>
    <w:rsid w:val="55474A4E"/>
    <w:rsid w:val="554B88CD"/>
    <w:rsid w:val="554DCDEF"/>
    <w:rsid w:val="554F5C31"/>
    <w:rsid w:val="55534AC8"/>
    <w:rsid w:val="55539B45"/>
    <w:rsid w:val="5554E899"/>
    <w:rsid w:val="555558E7"/>
    <w:rsid w:val="555CD83A"/>
    <w:rsid w:val="555CD878"/>
    <w:rsid w:val="555E8E35"/>
    <w:rsid w:val="55601DA3"/>
    <w:rsid w:val="556961E2"/>
    <w:rsid w:val="55696F37"/>
    <w:rsid w:val="556A14A2"/>
    <w:rsid w:val="5572C4D4"/>
    <w:rsid w:val="55745A96"/>
    <w:rsid w:val="557B9EE0"/>
    <w:rsid w:val="557BB07C"/>
    <w:rsid w:val="557C6875"/>
    <w:rsid w:val="55865F82"/>
    <w:rsid w:val="5586DF0C"/>
    <w:rsid w:val="55880120"/>
    <w:rsid w:val="55897536"/>
    <w:rsid w:val="558C27DA"/>
    <w:rsid w:val="558C42AB"/>
    <w:rsid w:val="558CDAEF"/>
    <w:rsid w:val="558EAA2B"/>
    <w:rsid w:val="55918A34"/>
    <w:rsid w:val="55922131"/>
    <w:rsid w:val="55993D8C"/>
    <w:rsid w:val="559ACBD5"/>
    <w:rsid w:val="559C3CB3"/>
    <w:rsid w:val="559E70A7"/>
    <w:rsid w:val="55A0806D"/>
    <w:rsid w:val="55A0A5FC"/>
    <w:rsid w:val="55A1E5EE"/>
    <w:rsid w:val="55A2BF3D"/>
    <w:rsid w:val="55A65A9A"/>
    <w:rsid w:val="55A67FC6"/>
    <w:rsid w:val="55A73CAB"/>
    <w:rsid w:val="55AC69A5"/>
    <w:rsid w:val="55B1527B"/>
    <w:rsid w:val="55B1A25E"/>
    <w:rsid w:val="55B206F3"/>
    <w:rsid w:val="55B27C14"/>
    <w:rsid w:val="55B3105D"/>
    <w:rsid w:val="55B362B8"/>
    <w:rsid w:val="55B38245"/>
    <w:rsid w:val="55B65A06"/>
    <w:rsid w:val="55B6B074"/>
    <w:rsid w:val="55B6F064"/>
    <w:rsid w:val="55B82061"/>
    <w:rsid w:val="55B8A581"/>
    <w:rsid w:val="55BA5371"/>
    <w:rsid w:val="55BE0CF5"/>
    <w:rsid w:val="55BE7311"/>
    <w:rsid w:val="55C08F0B"/>
    <w:rsid w:val="55C334BC"/>
    <w:rsid w:val="55C4FAD1"/>
    <w:rsid w:val="55C52DB7"/>
    <w:rsid w:val="55C5CAB6"/>
    <w:rsid w:val="55C7CA02"/>
    <w:rsid w:val="55CCE0FF"/>
    <w:rsid w:val="55CD4F10"/>
    <w:rsid w:val="55D1E2C1"/>
    <w:rsid w:val="55D56882"/>
    <w:rsid w:val="55DA952D"/>
    <w:rsid w:val="55DBFFCB"/>
    <w:rsid w:val="55E2F4CB"/>
    <w:rsid w:val="55EA3518"/>
    <w:rsid w:val="55EAC984"/>
    <w:rsid w:val="55EE7F76"/>
    <w:rsid w:val="55EEBB42"/>
    <w:rsid w:val="55EEBFF5"/>
    <w:rsid w:val="55F10556"/>
    <w:rsid w:val="55F35DDA"/>
    <w:rsid w:val="55F42845"/>
    <w:rsid w:val="55F4C784"/>
    <w:rsid w:val="55F6720F"/>
    <w:rsid w:val="55F9E526"/>
    <w:rsid w:val="55FA5955"/>
    <w:rsid w:val="55FE8D60"/>
    <w:rsid w:val="5601DC80"/>
    <w:rsid w:val="56030E22"/>
    <w:rsid w:val="5604ED50"/>
    <w:rsid w:val="560648C4"/>
    <w:rsid w:val="56086F62"/>
    <w:rsid w:val="56087786"/>
    <w:rsid w:val="560A6C76"/>
    <w:rsid w:val="560C706B"/>
    <w:rsid w:val="560CBE98"/>
    <w:rsid w:val="560DE165"/>
    <w:rsid w:val="560E790C"/>
    <w:rsid w:val="560FBAE9"/>
    <w:rsid w:val="560FBBC4"/>
    <w:rsid w:val="5611B8B4"/>
    <w:rsid w:val="5611DE04"/>
    <w:rsid w:val="5611EC30"/>
    <w:rsid w:val="56129961"/>
    <w:rsid w:val="5613CC2B"/>
    <w:rsid w:val="56141BA2"/>
    <w:rsid w:val="56191B9D"/>
    <w:rsid w:val="56199F58"/>
    <w:rsid w:val="561CF22A"/>
    <w:rsid w:val="561D912C"/>
    <w:rsid w:val="5628D9D1"/>
    <w:rsid w:val="562A17F4"/>
    <w:rsid w:val="562FC7DF"/>
    <w:rsid w:val="5630B32E"/>
    <w:rsid w:val="56313787"/>
    <w:rsid w:val="5631FE09"/>
    <w:rsid w:val="56330E63"/>
    <w:rsid w:val="563537C7"/>
    <w:rsid w:val="56356D8D"/>
    <w:rsid w:val="563CF43B"/>
    <w:rsid w:val="563E69DD"/>
    <w:rsid w:val="5641806C"/>
    <w:rsid w:val="5647B16A"/>
    <w:rsid w:val="564915B6"/>
    <w:rsid w:val="5649FC8D"/>
    <w:rsid w:val="564B8ADA"/>
    <w:rsid w:val="564D343D"/>
    <w:rsid w:val="564FB42F"/>
    <w:rsid w:val="564FFC99"/>
    <w:rsid w:val="5657DEFE"/>
    <w:rsid w:val="565D3EA4"/>
    <w:rsid w:val="565D4C5A"/>
    <w:rsid w:val="565FD0C9"/>
    <w:rsid w:val="56612D4C"/>
    <w:rsid w:val="566387D6"/>
    <w:rsid w:val="56733798"/>
    <w:rsid w:val="56777988"/>
    <w:rsid w:val="5678120C"/>
    <w:rsid w:val="56870667"/>
    <w:rsid w:val="568B7B2E"/>
    <w:rsid w:val="56912529"/>
    <w:rsid w:val="56948BFF"/>
    <w:rsid w:val="5697EE7E"/>
    <w:rsid w:val="569E9CF8"/>
    <w:rsid w:val="56A027D3"/>
    <w:rsid w:val="56A3D594"/>
    <w:rsid w:val="56A489FA"/>
    <w:rsid w:val="56A48A85"/>
    <w:rsid w:val="56A6320C"/>
    <w:rsid w:val="56A6A3E4"/>
    <w:rsid w:val="56A6AFD8"/>
    <w:rsid w:val="56A8D3A3"/>
    <w:rsid w:val="56A98AF3"/>
    <w:rsid w:val="56AABFD4"/>
    <w:rsid w:val="56AD300F"/>
    <w:rsid w:val="56ADCE42"/>
    <w:rsid w:val="56AF6A5A"/>
    <w:rsid w:val="56AF723D"/>
    <w:rsid w:val="56B59647"/>
    <w:rsid w:val="56BDA7DA"/>
    <w:rsid w:val="56C3CF45"/>
    <w:rsid w:val="56C61BB1"/>
    <w:rsid w:val="56C63E09"/>
    <w:rsid w:val="56C79463"/>
    <w:rsid w:val="56CAB78B"/>
    <w:rsid w:val="56CB2E40"/>
    <w:rsid w:val="56CC413A"/>
    <w:rsid w:val="56D0361E"/>
    <w:rsid w:val="56D16205"/>
    <w:rsid w:val="56D1E249"/>
    <w:rsid w:val="56D36E5F"/>
    <w:rsid w:val="56D525CB"/>
    <w:rsid w:val="56D70526"/>
    <w:rsid w:val="56DD111C"/>
    <w:rsid w:val="56DEB153"/>
    <w:rsid w:val="56DF3B50"/>
    <w:rsid w:val="56E17770"/>
    <w:rsid w:val="56E1E3C3"/>
    <w:rsid w:val="56E58F83"/>
    <w:rsid w:val="56E8898A"/>
    <w:rsid w:val="56E8EB2B"/>
    <w:rsid w:val="56E8F5FF"/>
    <w:rsid w:val="56EB03D0"/>
    <w:rsid w:val="56EDEF9F"/>
    <w:rsid w:val="56EE76E9"/>
    <w:rsid w:val="56F0F4A3"/>
    <w:rsid w:val="56F4705C"/>
    <w:rsid w:val="56F6299C"/>
    <w:rsid w:val="56F8A8D9"/>
    <w:rsid w:val="56F8BA16"/>
    <w:rsid w:val="56FFEB5D"/>
    <w:rsid w:val="57029BD6"/>
    <w:rsid w:val="57065FA5"/>
    <w:rsid w:val="570D70DC"/>
    <w:rsid w:val="570D738B"/>
    <w:rsid w:val="57190CCA"/>
    <w:rsid w:val="57205CE6"/>
    <w:rsid w:val="5722A58F"/>
    <w:rsid w:val="572395AD"/>
    <w:rsid w:val="57249F59"/>
    <w:rsid w:val="57269408"/>
    <w:rsid w:val="572AFE28"/>
    <w:rsid w:val="572CAE49"/>
    <w:rsid w:val="572D5A95"/>
    <w:rsid w:val="5730B2C8"/>
    <w:rsid w:val="57319DBC"/>
    <w:rsid w:val="5731B223"/>
    <w:rsid w:val="57334FE5"/>
    <w:rsid w:val="57344161"/>
    <w:rsid w:val="573556E9"/>
    <w:rsid w:val="57368D74"/>
    <w:rsid w:val="5738C510"/>
    <w:rsid w:val="5739668C"/>
    <w:rsid w:val="573DA0EA"/>
    <w:rsid w:val="574154E6"/>
    <w:rsid w:val="5742EDE7"/>
    <w:rsid w:val="57440885"/>
    <w:rsid w:val="574681BF"/>
    <w:rsid w:val="57491027"/>
    <w:rsid w:val="574B4FEC"/>
    <w:rsid w:val="574DF74C"/>
    <w:rsid w:val="574E32AA"/>
    <w:rsid w:val="574F15C3"/>
    <w:rsid w:val="574F3763"/>
    <w:rsid w:val="5750BDF7"/>
    <w:rsid w:val="5754C3E5"/>
    <w:rsid w:val="5758A12F"/>
    <w:rsid w:val="576389D6"/>
    <w:rsid w:val="5764B7A9"/>
    <w:rsid w:val="5765575A"/>
    <w:rsid w:val="57670EF9"/>
    <w:rsid w:val="576A9256"/>
    <w:rsid w:val="576AB7D5"/>
    <w:rsid w:val="576BC8E6"/>
    <w:rsid w:val="576ED655"/>
    <w:rsid w:val="576FF097"/>
    <w:rsid w:val="576FF84F"/>
    <w:rsid w:val="57716883"/>
    <w:rsid w:val="5771E217"/>
    <w:rsid w:val="57734837"/>
    <w:rsid w:val="57741E55"/>
    <w:rsid w:val="57747093"/>
    <w:rsid w:val="5775EC27"/>
    <w:rsid w:val="57786741"/>
    <w:rsid w:val="577CA171"/>
    <w:rsid w:val="577CEEA1"/>
    <w:rsid w:val="57806AF7"/>
    <w:rsid w:val="5780B49B"/>
    <w:rsid w:val="5781DB2A"/>
    <w:rsid w:val="5783B38F"/>
    <w:rsid w:val="5783F07F"/>
    <w:rsid w:val="578ADDC1"/>
    <w:rsid w:val="578BFEFA"/>
    <w:rsid w:val="578CF70A"/>
    <w:rsid w:val="578E6148"/>
    <w:rsid w:val="578EEBF1"/>
    <w:rsid w:val="578F3F02"/>
    <w:rsid w:val="5795E50D"/>
    <w:rsid w:val="57967C55"/>
    <w:rsid w:val="5799FE56"/>
    <w:rsid w:val="579BDA91"/>
    <w:rsid w:val="579D48A9"/>
    <w:rsid w:val="579F2DD6"/>
    <w:rsid w:val="57A0105D"/>
    <w:rsid w:val="57A1096E"/>
    <w:rsid w:val="57A11B96"/>
    <w:rsid w:val="57A2867A"/>
    <w:rsid w:val="57A4659E"/>
    <w:rsid w:val="57A59A67"/>
    <w:rsid w:val="57A788EA"/>
    <w:rsid w:val="57ABCBAF"/>
    <w:rsid w:val="57AE2EF6"/>
    <w:rsid w:val="57AE3069"/>
    <w:rsid w:val="57AE9E76"/>
    <w:rsid w:val="57AFC8A3"/>
    <w:rsid w:val="57B18CE8"/>
    <w:rsid w:val="57B3CD44"/>
    <w:rsid w:val="57B43A2A"/>
    <w:rsid w:val="57B5B803"/>
    <w:rsid w:val="57B91A49"/>
    <w:rsid w:val="57BB2F21"/>
    <w:rsid w:val="57C1E27C"/>
    <w:rsid w:val="57C3CA3C"/>
    <w:rsid w:val="57C52D61"/>
    <w:rsid w:val="57CC257B"/>
    <w:rsid w:val="57CFAB6D"/>
    <w:rsid w:val="57D16CD9"/>
    <w:rsid w:val="57D2F77C"/>
    <w:rsid w:val="57D309CD"/>
    <w:rsid w:val="57D33894"/>
    <w:rsid w:val="57D76407"/>
    <w:rsid w:val="57D7BC44"/>
    <w:rsid w:val="57D8387E"/>
    <w:rsid w:val="57DB74CE"/>
    <w:rsid w:val="57DB7664"/>
    <w:rsid w:val="57DC20AE"/>
    <w:rsid w:val="57DDD8F9"/>
    <w:rsid w:val="57DE1536"/>
    <w:rsid w:val="57DEFCC6"/>
    <w:rsid w:val="57DF2646"/>
    <w:rsid w:val="57DFDABC"/>
    <w:rsid w:val="57E011A5"/>
    <w:rsid w:val="57E029A0"/>
    <w:rsid w:val="57E11499"/>
    <w:rsid w:val="57E22286"/>
    <w:rsid w:val="57E697D5"/>
    <w:rsid w:val="57E8EEC5"/>
    <w:rsid w:val="57EA9D2B"/>
    <w:rsid w:val="57F29907"/>
    <w:rsid w:val="57F7178A"/>
    <w:rsid w:val="57F8A439"/>
    <w:rsid w:val="57FB98A5"/>
    <w:rsid w:val="57FD0E17"/>
    <w:rsid w:val="57FEA07D"/>
    <w:rsid w:val="57FFDEB1"/>
    <w:rsid w:val="58032230"/>
    <w:rsid w:val="58054EDD"/>
    <w:rsid w:val="580A8CCC"/>
    <w:rsid w:val="580CD849"/>
    <w:rsid w:val="580EE1AA"/>
    <w:rsid w:val="58133E30"/>
    <w:rsid w:val="58140C0C"/>
    <w:rsid w:val="58155283"/>
    <w:rsid w:val="5815F539"/>
    <w:rsid w:val="58187F99"/>
    <w:rsid w:val="5819ECFE"/>
    <w:rsid w:val="581D8703"/>
    <w:rsid w:val="582330CD"/>
    <w:rsid w:val="5824FC62"/>
    <w:rsid w:val="5826C399"/>
    <w:rsid w:val="5827AD1E"/>
    <w:rsid w:val="582B8EC4"/>
    <w:rsid w:val="582EEA4F"/>
    <w:rsid w:val="583299FE"/>
    <w:rsid w:val="58333444"/>
    <w:rsid w:val="58353C67"/>
    <w:rsid w:val="58369138"/>
    <w:rsid w:val="58378B7D"/>
    <w:rsid w:val="5839D670"/>
    <w:rsid w:val="583E98C3"/>
    <w:rsid w:val="58403F8F"/>
    <w:rsid w:val="58445A3F"/>
    <w:rsid w:val="5845B826"/>
    <w:rsid w:val="5851E07A"/>
    <w:rsid w:val="5856B9BD"/>
    <w:rsid w:val="585BD3D8"/>
    <w:rsid w:val="585C43FC"/>
    <w:rsid w:val="585E88B3"/>
    <w:rsid w:val="585F405D"/>
    <w:rsid w:val="58607BDF"/>
    <w:rsid w:val="5861EC12"/>
    <w:rsid w:val="5866061E"/>
    <w:rsid w:val="58671EAF"/>
    <w:rsid w:val="58673B4C"/>
    <w:rsid w:val="586A2ACE"/>
    <w:rsid w:val="586D964C"/>
    <w:rsid w:val="586E8B9E"/>
    <w:rsid w:val="586F02E8"/>
    <w:rsid w:val="5871F8B5"/>
    <w:rsid w:val="5872725E"/>
    <w:rsid w:val="58728344"/>
    <w:rsid w:val="58765765"/>
    <w:rsid w:val="5876882C"/>
    <w:rsid w:val="58780D97"/>
    <w:rsid w:val="58782BEA"/>
    <w:rsid w:val="587DB8C0"/>
    <w:rsid w:val="58829886"/>
    <w:rsid w:val="5889F88E"/>
    <w:rsid w:val="588AEC6C"/>
    <w:rsid w:val="588C3F32"/>
    <w:rsid w:val="588CA715"/>
    <w:rsid w:val="588F2BF9"/>
    <w:rsid w:val="588F6D2B"/>
    <w:rsid w:val="588F8680"/>
    <w:rsid w:val="5893644A"/>
    <w:rsid w:val="58974385"/>
    <w:rsid w:val="58990E9F"/>
    <w:rsid w:val="58A3513B"/>
    <w:rsid w:val="58A5A448"/>
    <w:rsid w:val="58A5C00B"/>
    <w:rsid w:val="58A8650D"/>
    <w:rsid w:val="58AC4B00"/>
    <w:rsid w:val="58AD5326"/>
    <w:rsid w:val="58B2C225"/>
    <w:rsid w:val="58BB6148"/>
    <w:rsid w:val="58BBFFC5"/>
    <w:rsid w:val="58C34A13"/>
    <w:rsid w:val="58C59D92"/>
    <w:rsid w:val="58C7762F"/>
    <w:rsid w:val="58CCFDFC"/>
    <w:rsid w:val="58D04BFD"/>
    <w:rsid w:val="58D25DD5"/>
    <w:rsid w:val="58D4641A"/>
    <w:rsid w:val="58D5A2BF"/>
    <w:rsid w:val="58D6EA77"/>
    <w:rsid w:val="58DA4954"/>
    <w:rsid w:val="58DD3DA2"/>
    <w:rsid w:val="58DF666E"/>
    <w:rsid w:val="58E6B5B4"/>
    <w:rsid w:val="58E7CF32"/>
    <w:rsid w:val="58E9855E"/>
    <w:rsid w:val="58EA69BD"/>
    <w:rsid w:val="58EAE1EB"/>
    <w:rsid w:val="58ED7DB6"/>
    <w:rsid w:val="58F23BA9"/>
    <w:rsid w:val="58F86A7C"/>
    <w:rsid w:val="58F963B2"/>
    <w:rsid w:val="58FABEB1"/>
    <w:rsid w:val="58FDF1EA"/>
    <w:rsid w:val="5904FBD2"/>
    <w:rsid w:val="590933B7"/>
    <w:rsid w:val="590936F0"/>
    <w:rsid w:val="590958F2"/>
    <w:rsid w:val="590960C7"/>
    <w:rsid w:val="590BDA49"/>
    <w:rsid w:val="590CC2F8"/>
    <w:rsid w:val="590F8A21"/>
    <w:rsid w:val="591159BB"/>
    <w:rsid w:val="59131AAC"/>
    <w:rsid w:val="591CD7FA"/>
    <w:rsid w:val="591D003A"/>
    <w:rsid w:val="591DDC34"/>
    <w:rsid w:val="591EF9B7"/>
    <w:rsid w:val="59224423"/>
    <w:rsid w:val="59247311"/>
    <w:rsid w:val="5924A312"/>
    <w:rsid w:val="59297DD3"/>
    <w:rsid w:val="5929E1BE"/>
    <w:rsid w:val="592BC34C"/>
    <w:rsid w:val="592D0F3B"/>
    <w:rsid w:val="592DBE69"/>
    <w:rsid w:val="59308518"/>
    <w:rsid w:val="5930D226"/>
    <w:rsid w:val="5933717E"/>
    <w:rsid w:val="59346E49"/>
    <w:rsid w:val="5934844F"/>
    <w:rsid w:val="59396DF8"/>
    <w:rsid w:val="593AE191"/>
    <w:rsid w:val="593D9061"/>
    <w:rsid w:val="593DDC6E"/>
    <w:rsid w:val="59418071"/>
    <w:rsid w:val="59418B93"/>
    <w:rsid w:val="594246DA"/>
    <w:rsid w:val="59435CB0"/>
    <w:rsid w:val="59472F69"/>
    <w:rsid w:val="594789E7"/>
    <w:rsid w:val="5948EFF5"/>
    <w:rsid w:val="5949A2AB"/>
    <w:rsid w:val="594F3DA1"/>
    <w:rsid w:val="595169DB"/>
    <w:rsid w:val="5951A322"/>
    <w:rsid w:val="5952F73F"/>
    <w:rsid w:val="59580D58"/>
    <w:rsid w:val="5958287E"/>
    <w:rsid w:val="595D9F83"/>
    <w:rsid w:val="595E4CC9"/>
    <w:rsid w:val="596286E1"/>
    <w:rsid w:val="596A3D4B"/>
    <w:rsid w:val="596AB5E1"/>
    <w:rsid w:val="59732E6D"/>
    <w:rsid w:val="5973D0BD"/>
    <w:rsid w:val="59795D83"/>
    <w:rsid w:val="597B8E1F"/>
    <w:rsid w:val="597CDA92"/>
    <w:rsid w:val="59805044"/>
    <w:rsid w:val="59805878"/>
    <w:rsid w:val="5983D404"/>
    <w:rsid w:val="59847024"/>
    <w:rsid w:val="59876E90"/>
    <w:rsid w:val="59882679"/>
    <w:rsid w:val="598AD091"/>
    <w:rsid w:val="598F3E30"/>
    <w:rsid w:val="59912D9C"/>
    <w:rsid w:val="59973897"/>
    <w:rsid w:val="59A054C8"/>
    <w:rsid w:val="59A05857"/>
    <w:rsid w:val="59A0C772"/>
    <w:rsid w:val="59A0DA0F"/>
    <w:rsid w:val="59A0E83D"/>
    <w:rsid w:val="59A43091"/>
    <w:rsid w:val="59A47768"/>
    <w:rsid w:val="59A5B026"/>
    <w:rsid w:val="59A6420A"/>
    <w:rsid w:val="59A729D0"/>
    <w:rsid w:val="59A7F8A2"/>
    <w:rsid w:val="59A8CA3B"/>
    <w:rsid w:val="59AA9F60"/>
    <w:rsid w:val="59ABB312"/>
    <w:rsid w:val="59AEDC84"/>
    <w:rsid w:val="59B04481"/>
    <w:rsid w:val="59B2638B"/>
    <w:rsid w:val="59B65FC0"/>
    <w:rsid w:val="59BCEC4D"/>
    <w:rsid w:val="59BD4690"/>
    <w:rsid w:val="59BEAB5F"/>
    <w:rsid w:val="59C57EC4"/>
    <w:rsid w:val="59C58031"/>
    <w:rsid w:val="59C6AFA3"/>
    <w:rsid w:val="59CC8A4E"/>
    <w:rsid w:val="59CF03AF"/>
    <w:rsid w:val="59D027C4"/>
    <w:rsid w:val="59D2AAE6"/>
    <w:rsid w:val="59D339DD"/>
    <w:rsid w:val="59D43171"/>
    <w:rsid w:val="59D623CB"/>
    <w:rsid w:val="59D81774"/>
    <w:rsid w:val="59D8E6B5"/>
    <w:rsid w:val="59D976D0"/>
    <w:rsid w:val="59DA8F92"/>
    <w:rsid w:val="59DBCDC4"/>
    <w:rsid w:val="59DEEC7D"/>
    <w:rsid w:val="59E18887"/>
    <w:rsid w:val="59E30EA5"/>
    <w:rsid w:val="59E3EB93"/>
    <w:rsid w:val="59E9AD36"/>
    <w:rsid w:val="59ED5610"/>
    <w:rsid w:val="59EE0856"/>
    <w:rsid w:val="59F1532B"/>
    <w:rsid w:val="59F3215A"/>
    <w:rsid w:val="59F406B5"/>
    <w:rsid w:val="59F83AD7"/>
    <w:rsid w:val="59F8F56B"/>
    <w:rsid w:val="59FD9B12"/>
    <w:rsid w:val="59FDB26C"/>
    <w:rsid w:val="59FEA203"/>
    <w:rsid w:val="59FEFD47"/>
    <w:rsid w:val="5A0092F2"/>
    <w:rsid w:val="5A079E7B"/>
    <w:rsid w:val="5A0DD0B8"/>
    <w:rsid w:val="5A0FFFC9"/>
    <w:rsid w:val="5A169F07"/>
    <w:rsid w:val="5A16E4D0"/>
    <w:rsid w:val="5A180243"/>
    <w:rsid w:val="5A18A782"/>
    <w:rsid w:val="5A192CE1"/>
    <w:rsid w:val="5A1B05D8"/>
    <w:rsid w:val="5A200336"/>
    <w:rsid w:val="5A20D1D8"/>
    <w:rsid w:val="5A229653"/>
    <w:rsid w:val="5A2811CF"/>
    <w:rsid w:val="5A282E34"/>
    <w:rsid w:val="5A29DED9"/>
    <w:rsid w:val="5A31609F"/>
    <w:rsid w:val="5A3555F0"/>
    <w:rsid w:val="5A35C01C"/>
    <w:rsid w:val="5A3888ED"/>
    <w:rsid w:val="5A38BA0A"/>
    <w:rsid w:val="5A3A5508"/>
    <w:rsid w:val="5A3BB925"/>
    <w:rsid w:val="5A3DFD16"/>
    <w:rsid w:val="5A41A8CC"/>
    <w:rsid w:val="5A424AE7"/>
    <w:rsid w:val="5A440178"/>
    <w:rsid w:val="5A48748A"/>
    <w:rsid w:val="5A492D75"/>
    <w:rsid w:val="5A4E1D50"/>
    <w:rsid w:val="5A51DB38"/>
    <w:rsid w:val="5A564B3F"/>
    <w:rsid w:val="5A587B02"/>
    <w:rsid w:val="5A59218B"/>
    <w:rsid w:val="5A5CABF8"/>
    <w:rsid w:val="5A5F21B9"/>
    <w:rsid w:val="5A62D36F"/>
    <w:rsid w:val="5A66F976"/>
    <w:rsid w:val="5A682C2E"/>
    <w:rsid w:val="5A69731B"/>
    <w:rsid w:val="5A6E8505"/>
    <w:rsid w:val="5A6F27D4"/>
    <w:rsid w:val="5A6FE061"/>
    <w:rsid w:val="5A755FB9"/>
    <w:rsid w:val="5A7B2438"/>
    <w:rsid w:val="5A7C57A5"/>
    <w:rsid w:val="5A7D594B"/>
    <w:rsid w:val="5A7DA521"/>
    <w:rsid w:val="5A7E24DF"/>
    <w:rsid w:val="5A82F0AE"/>
    <w:rsid w:val="5A830A81"/>
    <w:rsid w:val="5A86DF2E"/>
    <w:rsid w:val="5A89B308"/>
    <w:rsid w:val="5A8A2E56"/>
    <w:rsid w:val="5A8A3BDF"/>
    <w:rsid w:val="5A8D0FEB"/>
    <w:rsid w:val="5A8E9453"/>
    <w:rsid w:val="5A920860"/>
    <w:rsid w:val="5A980E02"/>
    <w:rsid w:val="5A98684B"/>
    <w:rsid w:val="5A989D83"/>
    <w:rsid w:val="5A98ADFC"/>
    <w:rsid w:val="5A994B2A"/>
    <w:rsid w:val="5A99AF98"/>
    <w:rsid w:val="5A9F06D5"/>
    <w:rsid w:val="5AA42B92"/>
    <w:rsid w:val="5AA682D3"/>
    <w:rsid w:val="5AA96913"/>
    <w:rsid w:val="5AAA8386"/>
    <w:rsid w:val="5AABF8C5"/>
    <w:rsid w:val="5AAF73D3"/>
    <w:rsid w:val="5AB08860"/>
    <w:rsid w:val="5AB42ED9"/>
    <w:rsid w:val="5AB6958A"/>
    <w:rsid w:val="5AB6AA02"/>
    <w:rsid w:val="5ABDC09B"/>
    <w:rsid w:val="5AC24863"/>
    <w:rsid w:val="5AC33EE9"/>
    <w:rsid w:val="5AC70B7B"/>
    <w:rsid w:val="5AC8B8CB"/>
    <w:rsid w:val="5AC9271C"/>
    <w:rsid w:val="5AC9D89A"/>
    <w:rsid w:val="5ACB318A"/>
    <w:rsid w:val="5ACC839A"/>
    <w:rsid w:val="5ACE2CF4"/>
    <w:rsid w:val="5ACF2366"/>
    <w:rsid w:val="5AD2DE46"/>
    <w:rsid w:val="5AD458A1"/>
    <w:rsid w:val="5AD7EE81"/>
    <w:rsid w:val="5AD98B93"/>
    <w:rsid w:val="5ADAC98A"/>
    <w:rsid w:val="5ADC0464"/>
    <w:rsid w:val="5ADE06FF"/>
    <w:rsid w:val="5ADED24B"/>
    <w:rsid w:val="5ADF0802"/>
    <w:rsid w:val="5AE2EBAA"/>
    <w:rsid w:val="5AE3679D"/>
    <w:rsid w:val="5AE73756"/>
    <w:rsid w:val="5AEAB528"/>
    <w:rsid w:val="5AEC8554"/>
    <w:rsid w:val="5AED1194"/>
    <w:rsid w:val="5AED443D"/>
    <w:rsid w:val="5AEEC9A9"/>
    <w:rsid w:val="5AF06C22"/>
    <w:rsid w:val="5AF87EA4"/>
    <w:rsid w:val="5AFBE3BE"/>
    <w:rsid w:val="5AFF045C"/>
    <w:rsid w:val="5B015623"/>
    <w:rsid w:val="5B03F983"/>
    <w:rsid w:val="5B0C9646"/>
    <w:rsid w:val="5B0D4017"/>
    <w:rsid w:val="5B126739"/>
    <w:rsid w:val="5B13954D"/>
    <w:rsid w:val="5B16FADA"/>
    <w:rsid w:val="5B189D6D"/>
    <w:rsid w:val="5B1BBA62"/>
    <w:rsid w:val="5B1BCEF9"/>
    <w:rsid w:val="5B1C80FE"/>
    <w:rsid w:val="5B1EB7D8"/>
    <w:rsid w:val="5B215684"/>
    <w:rsid w:val="5B22C6D9"/>
    <w:rsid w:val="5B22F8F3"/>
    <w:rsid w:val="5B25EC5C"/>
    <w:rsid w:val="5B268DD2"/>
    <w:rsid w:val="5B295DE5"/>
    <w:rsid w:val="5B2A02F6"/>
    <w:rsid w:val="5B2FB0D7"/>
    <w:rsid w:val="5B305089"/>
    <w:rsid w:val="5B35B721"/>
    <w:rsid w:val="5B3796EB"/>
    <w:rsid w:val="5B3AD690"/>
    <w:rsid w:val="5B3B6442"/>
    <w:rsid w:val="5B3C1A08"/>
    <w:rsid w:val="5B3C29B3"/>
    <w:rsid w:val="5B3C8897"/>
    <w:rsid w:val="5B3D15EC"/>
    <w:rsid w:val="5B3F15C9"/>
    <w:rsid w:val="5B44D47B"/>
    <w:rsid w:val="5B45F680"/>
    <w:rsid w:val="5B4B1E16"/>
    <w:rsid w:val="5B4BD777"/>
    <w:rsid w:val="5B4F8A89"/>
    <w:rsid w:val="5B52412E"/>
    <w:rsid w:val="5B58D393"/>
    <w:rsid w:val="5B59EA59"/>
    <w:rsid w:val="5B5A1719"/>
    <w:rsid w:val="5B5BF90A"/>
    <w:rsid w:val="5B5C6E97"/>
    <w:rsid w:val="5B5DDEE8"/>
    <w:rsid w:val="5B61B905"/>
    <w:rsid w:val="5B61E4A2"/>
    <w:rsid w:val="5B6A7900"/>
    <w:rsid w:val="5B6CFFE5"/>
    <w:rsid w:val="5B6F9C51"/>
    <w:rsid w:val="5B71078A"/>
    <w:rsid w:val="5B745BE4"/>
    <w:rsid w:val="5B775730"/>
    <w:rsid w:val="5B7765D6"/>
    <w:rsid w:val="5B788000"/>
    <w:rsid w:val="5B78A8AB"/>
    <w:rsid w:val="5B7BF86B"/>
    <w:rsid w:val="5B7E1AFB"/>
    <w:rsid w:val="5B80B771"/>
    <w:rsid w:val="5B826690"/>
    <w:rsid w:val="5B837F03"/>
    <w:rsid w:val="5B894D82"/>
    <w:rsid w:val="5B89C36A"/>
    <w:rsid w:val="5B8AFF76"/>
    <w:rsid w:val="5B90ABDA"/>
    <w:rsid w:val="5B91D418"/>
    <w:rsid w:val="5B95E098"/>
    <w:rsid w:val="5B979429"/>
    <w:rsid w:val="5B98D753"/>
    <w:rsid w:val="5B998EA3"/>
    <w:rsid w:val="5B9FACDF"/>
    <w:rsid w:val="5BA03A9B"/>
    <w:rsid w:val="5BA499A5"/>
    <w:rsid w:val="5BA94C86"/>
    <w:rsid w:val="5BB2FF96"/>
    <w:rsid w:val="5BB95F14"/>
    <w:rsid w:val="5BBB692E"/>
    <w:rsid w:val="5BBC90B9"/>
    <w:rsid w:val="5BBCE418"/>
    <w:rsid w:val="5BBD4F04"/>
    <w:rsid w:val="5BBD57C2"/>
    <w:rsid w:val="5BBE5807"/>
    <w:rsid w:val="5BBE590F"/>
    <w:rsid w:val="5BBF9664"/>
    <w:rsid w:val="5BC10FC5"/>
    <w:rsid w:val="5BC4B9DE"/>
    <w:rsid w:val="5BC4DA5B"/>
    <w:rsid w:val="5BC72742"/>
    <w:rsid w:val="5BC839BE"/>
    <w:rsid w:val="5BC96D33"/>
    <w:rsid w:val="5BC9A8C4"/>
    <w:rsid w:val="5BCAF69F"/>
    <w:rsid w:val="5BCB4F19"/>
    <w:rsid w:val="5BCD28F2"/>
    <w:rsid w:val="5BD212F3"/>
    <w:rsid w:val="5BD39544"/>
    <w:rsid w:val="5BD41A2A"/>
    <w:rsid w:val="5BD875E5"/>
    <w:rsid w:val="5BDCD7BC"/>
    <w:rsid w:val="5BDD967A"/>
    <w:rsid w:val="5BDE6B53"/>
    <w:rsid w:val="5BDF87AF"/>
    <w:rsid w:val="5BE1A30E"/>
    <w:rsid w:val="5BE1E15E"/>
    <w:rsid w:val="5BE43DC0"/>
    <w:rsid w:val="5BE53F05"/>
    <w:rsid w:val="5BE68636"/>
    <w:rsid w:val="5BECE49E"/>
    <w:rsid w:val="5BEE8BD0"/>
    <w:rsid w:val="5BF08AC3"/>
    <w:rsid w:val="5BFA404F"/>
    <w:rsid w:val="5BFC0F75"/>
    <w:rsid w:val="5BFCF62F"/>
    <w:rsid w:val="5BFE553C"/>
    <w:rsid w:val="5BFED59F"/>
    <w:rsid w:val="5BFF217D"/>
    <w:rsid w:val="5C0001A7"/>
    <w:rsid w:val="5C01A648"/>
    <w:rsid w:val="5C028F08"/>
    <w:rsid w:val="5C040781"/>
    <w:rsid w:val="5C08D0C9"/>
    <w:rsid w:val="5C0A1EEA"/>
    <w:rsid w:val="5C0CF955"/>
    <w:rsid w:val="5C0E8AEE"/>
    <w:rsid w:val="5C0F85A0"/>
    <w:rsid w:val="5C10506C"/>
    <w:rsid w:val="5C116BA8"/>
    <w:rsid w:val="5C13B36F"/>
    <w:rsid w:val="5C13D8A2"/>
    <w:rsid w:val="5C15B28B"/>
    <w:rsid w:val="5C176B68"/>
    <w:rsid w:val="5C17D3FA"/>
    <w:rsid w:val="5C19919A"/>
    <w:rsid w:val="5C19C2ED"/>
    <w:rsid w:val="5C1A375D"/>
    <w:rsid w:val="5C1F7AC9"/>
    <w:rsid w:val="5C2236EE"/>
    <w:rsid w:val="5C22CFC9"/>
    <w:rsid w:val="5C237B7F"/>
    <w:rsid w:val="5C248D16"/>
    <w:rsid w:val="5C28FC5A"/>
    <w:rsid w:val="5C290F4A"/>
    <w:rsid w:val="5C2C133F"/>
    <w:rsid w:val="5C2D3EEB"/>
    <w:rsid w:val="5C2E398D"/>
    <w:rsid w:val="5C2EF79A"/>
    <w:rsid w:val="5C310026"/>
    <w:rsid w:val="5C31B352"/>
    <w:rsid w:val="5C3382BF"/>
    <w:rsid w:val="5C340984"/>
    <w:rsid w:val="5C343904"/>
    <w:rsid w:val="5C38316D"/>
    <w:rsid w:val="5C397907"/>
    <w:rsid w:val="5C3CEF46"/>
    <w:rsid w:val="5C3EFDAF"/>
    <w:rsid w:val="5C409BDE"/>
    <w:rsid w:val="5C479BC4"/>
    <w:rsid w:val="5C48D7E0"/>
    <w:rsid w:val="5C4E6D0C"/>
    <w:rsid w:val="5C545B27"/>
    <w:rsid w:val="5C548D55"/>
    <w:rsid w:val="5C5922DB"/>
    <w:rsid w:val="5C5F7121"/>
    <w:rsid w:val="5C5FE3F0"/>
    <w:rsid w:val="5C62F96B"/>
    <w:rsid w:val="5C68D73A"/>
    <w:rsid w:val="5C6C04BA"/>
    <w:rsid w:val="5C6CC4BC"/>
    <w:rsid w:val="5C6CDF28"/>
    <w:rsid w:val="5C6CF6D7"/>
    <w:rsid w:val="5C6E4372"/>
    <w:rsid w:val="5C6EB852"/>
    <w:rsid w:val="5C705B21"/>
    <w:rsid w:val="5C73A0EC"/>
    <w:rsid w:val="5C7498DF"/>
    <w:rsid w:val="5C78B0B5"/>
    <w:rsid w:val="5C79C97A"/>
    <w:rsid w:val="5C806A02"/>
    <w:rsid w:val="5C8129A6"/>
    <w:rsid w:val="5C81357E"/>
    <w:rsid w:val="5C81E206"/>
    <w:rsid w:val="5C85A840"/>
    <w:rsid w:val="5C86AB6C"/>
    <w:rsid w:val="5C86F56B"/>
    <w:rsid w:val="5C873BAC"/>
    <w:rsid w:val="5C87AC97"/>
    <w:rsid w:val="5C88B00A"/>
    <w:rsid w:val="5C89FFA5"/>
    <w:rsid w:val="5C8C6777"/>
    <w:rsid w:val="5C8D1EB0"/>
    <w:rsid w:val="5C8EA334"/>
    <w:rsid w:val="5C932BA4"/>
    <w:rsid w:val="5C93A7F2"/>
    <w:rsid w:val="5C96DB9A"/>
    <w:rsid w:val="5C9A54D6"/>
    <w:rsid w:val="5C9ACC29"/>
    <w:rsid w:val="5C9B23C2"/>
    <w:rsid w:val="5C9BEB56"/>
    <w:rsid w:val="5C9C015C"/>
    <w:rsid w:val="5C9C2A65"/>
    <w:rsid w:val="5C9C6167"/>
    <w:rsid w:val="5C9D3EA5"/>
    <w:rsid w:val="5C9E8073"/>
    <w:rsid w:val="5C9ECC80"/>
    <w:rsid w:val="5CA03521"/>
    <w:rsid w:val="5CA10E73"/>
    <w:rsid w:val="5CA30C28"/>
    <w:rsid w:val="5CA3B1B8"/>
    <w:rsid w:val="5CA5CE31"/>
    <w:rsid w:val="5CA72D02"/>
    <w:rsid w:val="5CB1242B"/>
    <w:rsid w:val="5CB32EE1"/>
    <w:rsid w:val="5CB36E09"/>
    <w:rsid w:val="5CB4F307"/>
    <w:rsid w:val="5CB6D108"/>
    <w:rsid w:val="5CB98AAD"/>
    <w:rsid w:val="5CBDD9F7"/>
    <w:rsid w:val="5CBE5B24"/>
    <w:rsid w:val="5CBFB6DD"/>
    <w:rsid w:val="5CC1CB3E"/>
    <w:rsid w:val="5CC309D3"/>
    <w:rsid w:val="5CC32819"/>
    <w:rsid w:val="5CC56068"/>
    <w:rsid w:val="5CC71A1E"/>
    <w:rsid w:val="5CC78B72"/>
    <w:rsid w:val="5CC7FE77"/>
    <w:rsid w:val="5CC82144"/>
    <w:rsid w:val="5CC8F58A"/>
    <w:rsid w:val="5CC9A07E"/>
    <w:rsid w:val="5CCB9CCE"/>
    <w:rsid w:val="5CCC3D93"/>
    <w:rsid w:val="5CCE3237"/>
    <w:rsid w:val="5CD321E8"/>
    <w:rsid w:val="5CD3FEF4"/>
    <w:rsid w:val="5CD5421D"/>
    <w:rsid w:val="5CD55EE6"/>
    <w:rsid w:val="5CDCC44E"/>
    <w:rsid w:val="5CDDCACE"/>
    <w:rsid w:val="5CDF7E96"/>
    <w:rsid w:val="5CE5833B"/>
    <w:rsid w:val="5CE6AF2A"/>
    <w:rsid w:val="5CE83D2C"/>
    <w:rsid w:val="5CEAFBC5"/>
    <w:rsid w:val="5CED7BA2"/>
    <w:rsid w:val="5CEE30A1"/>
    <w:rsid w:val="5CF12D3D"/>
    <w:rsid w:val="5CFC7563"/>
    <w:rsid w:val="5CFE0F17"/>
    <w:rsid w:val="5CFE3A14"/>
    <w:rsid w:val="5D01C241"/>
    <w:rsid w:val="5D05AF10"/>
    <w:rsid w:val="5D070DF3"/>
    <w:rsid w:val="5D08751F"/>
    <w:rsid w:val="5D098815"/>
    <w:rsid w:val="5D0A58FC"/>
    <w:rsid w:val="5D0DAF37"/>
    <w:rsid w:val="5D116DD2"/>
    <w:rsid w:val="5D136AAC"/>
    <w:rsid w:val="5D142DD7"/>
    <w:rsid w:val="5D1447E0"/>
    <w:rsid w:val="5D17B0F3"/>
    <w:rsid w:val="5D190859"/>
    <w:rsid w:val="5D1D0E64"/>
    <w:rsid w:val="5D1E2DFE"/>
    <w:rsid w:val="5D2293A3"/>
    <w:rsid w:val="5D27B865"/>
    <w:rsid w:val="5D2872AF"/>
    <w:rsid w:val="5D289E09"/>
    <w:rsid w:val="5D29746A"/>
    <w:rsid w:val="5D2B2343"/>
    <w:rsid w:val="5D2CCAE8"/>
    <w:rsid w:val="5D2E3AF6"/>
    <w:rsid w:val="5D3187D9"/>
    <w:rsid w:val="5D355D35"/>
    <w:rsid w:val="5D37E00E"/>
    <w:rsid w:val="5D39AE6D"/>
    <w:rsid w:val="5D3AAB98"/>
    <w:rsid w:val="5D3F037C"/>
    <w:rsid w:val="5D40D567"/>
    <w:rsid w:val="5D41CD6E"/>
    <w:rsid w:val="5D454AA6"/>
    <w:rsid w:val="5D46E3B8"/>
    <w:rsid w:val="5D472E36"/>
    <w:rsid w:val="5D47DB1C"/>
    <w:rsid w:val="5D48183F"/>
    <w:rsid w:val="5D4AFA69"/>
    <w:rsid w:val="5D4C3D70"/>
    <w:rsid w:val="5D4D11A5"/>
    <w:rsid w:val="5D4E0E87"/>
    <w:rsid w:val="5D51092D"/>
    <w:rsid w:val="5D575236"/>
    <w:rsid w:val="5D58B479"/>
    <w:rsid w:val="5D590BCF"/>
    <w:rsid w:val="5D59F9A6"/>
    <w:rsid w:val="5D5E75DA"/>
    <w:rsid w:val="5D5FCE6C"/>
    <w:rsid w:val="5D5FD694"/>
    <w:rsid w:val="5D60000D"/>
    <w:rsid w:val="5D62F7A3"/>
    <w:rsid w:val="5D663660"/>
    <w:rsid w:val="5D682022"/>
    <w:rsid w:val="5D6C1882"/>
    <w:rsid w:val="5D6DE1E8"/>
    <w:rsid w:val="5D6FB87F"/>
    <w:rsid w:val="5D790DA2"/>
    <w:rsid w:val="5D7CBA57"/>
    <w:rsid w:val="5D8012D5"/>
    <w:rsid w:val="5D8036BF"/>
    <w:rsid w:val="5D88F93E"/>
    <w:rsid w:val="5D8A9448"/>
    <w:rsid w:val="5D8BD05D"/>
    <w:rsid w:val="5D8D31D8"/>
    <w:rsid w:val="5D8F9E6A"/>
    <w:rsid w:val="5D903C66"/>
    <w:rsid w:val="5D90637B"/>
    <w:rsid w:val="5D922CE5"/>
    <w:rsid w:val="5D92CC99"/>
    <w:rsid w:val="5D945BB7"/>
    <w:rsid w:val="5D94A4A5"/>
    <w:rsid w:val="5D96BF82"/>
    <w:rsid w:val="5D985EE0"/>
    <w:rsid w:val="5D9D2530"/>
    <w:rsid w:val="5D9E7635"/>
    <w:rsid w:val="5DA49AB2"/>
    <w:rsid w:val="5DA4C3BE"/>
    <w:rsid w:val="5DA6FFD6"/>
    <w:rsid w:val="5DA8F7E2"/>
    <w:rsid w:val="5DA966DC"/>
    <w:rsid w:val="5DA9B7D9"/>
    <w:rsid w:val="5DAB0A83"/>
    <w:rsid w:val="5DAD82E4"/>
    <w:rsid w:val="5DB76188"/>
    <w:rsid w:val="5DBCF681"/>
    <w:rsid w:val="5DBDEE27"/>
    <w:rsid w:val="5DBE723C"/>
    <w:rsid w:val="5DC136C9"/>
    <w:rsid w:val="5DC1DCA1"/>
    <w:rsid w:val="5DC3C62A"/>
    <w:rsid w:val="5DCA14F5"/>
    <w:rsid w:val="5DCBA119"/>
    <w:rsid w:val="5DCC2C58"/>
    <w:rsid w:val="5DD15800"/>
    <w:rsid w:val="5DD579F8"/>
    <w:rsid w:val="5DD89035"/>
    <w:rsid w:val="5DD91D4A"/>
    <w:rsid w:val="5DDDC68A"/>
    <w:rsid w:val="5DE6160B"/>
    <w:rsid w:val="5DE8247C"/>
    <w:rsid w:val="5DE83279"/>
    <w:rsid w:val="5DEE4841"/>
    <w:rsid w:val="5DF5B546"/>
    <w:rsid w:val="5DF5BE9A"/>
    <w:rsid w:val="5DF64739"/>
    <w:rsid w:val="5DF6EBFF"/>
    <w:rsid w:val="5DFC388E"/>
    <w:rsid w:val="5DFC987C"/>
    <w:rsid w:val="5DFCDFC7"/>
    <w:rsid w:val="5DFFDC0A"/>
    <w:rsid w:val="5E00F680"/>
    <w:rsid w:val="5E0CFB13"/>
    <w:rsid w:val="5E0D06C4"/>
    <w:rsid w:val="5E0D90AA"/>
    <w:rsid w:val="5E0F4972"/>
    <w:rsid w:val="5E13F6F5"/>
    <w:rsid w:val="5E14AA4B"/>
    <w:rsid w:val="5E15AC6A"/>
    <w:rsid w:val="5E1704CA"/>
    <w:rsid w:val="5E1769D0"/>
    <w:rsid w:val="5E1BBCD7"/>
    <w:rsid w:val="5E1F43B2"/>
    <w:rsid w:val="5E22BD79"/>
    <w:rsid w:val="5E24B0A2"/>
    <w:rsid w:val="5E261A96"/>
    <w:rsid w:val="5E28CA2F"/>
    <w:rsid w:val="5E2B527B"/>
    <w:rsid w:val="5E3157DF"/>
    <w:rsid w:val="5E326505"/>
    <w:rsid w:val="5E35B39A"/>
    <w:rsid w:val="5E365EF0"/>
    <w:rsid w:val="5E3771F9"/>
    <w:rsid w:val="5E3824CA"/>
    <w:rsid w:val="5E3A808C"/>
    <w:rsid w:val="5E3AE008"/>
    <w:rsid w:val="5E3C5016"/>
    <w:rsid w:val="5E3D43B6"/>
    <w:rsid w:val="5E3F151B"/>
    <w:rsid w:val="5E419F78"/>
    <w:rsid w:val="5E41CE0F"/>
    <w:rsid w:val="5E41D6B6"/>
    <w:rsid w:val="5E436E6A"/>
    <w:rsid w:val="5E452F64"/>
    <w:rsid w:val="5E46C336"/>
    <w:rsid w:val="5E48AC9E"/>
    <w:rsid w:val="5E4C638A"/>
    <w:rsid w:val="5E4C9159"/>
    <w:rsid w:val="5E4CCFA2"/>
    <w:rsid w:val="5E53B103"/>
    <w:rsid w:val="5E55C5FF"/>
    <w:rsid w:val="5E5AA1C4"/>
    <w:rsid w:val="5E5EE0AE"/>
    <w:rsid w:val="5E6064FB"/>
    <w:rsid w:val="5E625B52"/>
    <w:rsid w:val="5E648EDE"/>
    <w:rsid w:val="5E6C95E5"/>
    <w:rsid w:val="5E6DBB44"/>
    <w:rsid w:val="5E6FD9D6"/>
    <w:rsid w:val="5E725F11"/>
    <w:rsid w:val="5E73E0CB"/>
    <w:rsid w:val="5E75E41F"/>
    <w:rsid w:val="5E78F85B"/>
    <w:rsid w:val="5E7BF2B5"/>
    <w:rsid w:val="5E825A08"/>
    <w:rsid w:val="5E83F850"/>
    <w:rsid w:val="5E867587"/>
    <w:rsid w:val="5E8796D7"/>
    <w:rsid w:val="5E88033C"/>
    <w:rsid w:val="5E89A684"/>
    <w:rsid w:val="5E89CBEA"/>
    <w:rsid w:val="5E8E8715"/>
    <w:rsid w:val="5E9745C4"/>
    <w:rsid w:val="5E9D2F95"/>
    <w:rsid w:val="5EA2CDDC"/>
    <w:rsid w:val="5EA31ABA"/>
    <w:rsid w:val="5EA40850"/>
    <w:rsid w:val="5EA7B703"/>
    <w:rsid w:val="5EA8A84C"/>
    <w:rsid w:val="5EA8CCFE"/>
    <w:rsid w:val="5EB68B6A"/>
    <w:rsid w:val="5EB6C847"/>
    <w:rsid w:val="5EB9A937"/>
    <w:rsid w:val="5EBB833C"/>
    <w:rsid w:val="5EBF5E09"/>
    <w:rsid w:val="5EC12142"/>
    <w:rsid w:val="5EC2C8AA"/>
    <w:rsid w:val="5EC2D99C"/>
    <w:rsid w:val="5EC42729"/>
    <w:rsid w:val="5EC560C6"/>
    <w:rsid w:val="5ECAD534"/>
    <w:rsid w:val="5ECC6BCD"/>
    <w:rsid w:val="5ECC97CA"/>
    <w:rsid w:val="5ED12D96"/>
    <w:rsid w:val="5ED21AE6"/>
    <w:rsid w:val="5ED26316"/>
    <w:rsid w:val="5ED26571"/>
    <w:rsid w:val="5ED2C489"/>
    <w:rsid w:val="5ED343D1"/>
    <w:rsid w:val="5ED36A23"/>
    <w:rsid w:val="5ED64ADB"/>
    <w:rsid w:val="5EDBA807"/>
    <w:rsid w:val="5EDDA631"/>
    <w:rsid w:val="5EE14F16"/>
    <w:rsid w:val="5EE4EA55"/>
    <w:rsid w:val="5EE666D9"/>
    <w:rsid w:val="5EE961BB"/>
    <w:rsid w:val="5EEB368C"/>
    <w:rsid w:val="5EEB995F"/>
    <w:rsid w:val="5EEF4456"/>
    <w:rsid w:val="5EF12DB1"/>
    <w:rsid w:val="5EF19B88"/>
    <w:rsid w:val="5EF29251"/>
    <w:rsid w:val="5EF29D80"/>
    <w:rsid w:val="5EF5BB2E"/>
    <w:rsid w:val="5EF5F34C"/>
    <w:rsid w:val="5EF71FAE"/>
    <w:rsid w:val="5EFCCAA2"/>
    <w:rsid w:val="5F01182C"/>
    <w:rsid w:val="5F013B81"/>
    <w:rsid w:val="5F05D75B"/>
    <w:rsid w:val="5F069B4B"/>
    <w:rsid w:val="5F0B4BF0"/>
    <w:rsid w:val="5F0BC607"/>
    <w:rsid w:val="5F0E8192"/>
    <w:rsid w:val="5F125B47"/>
    <w:rsid w:val="5F13982A"/>
    <w:rsid w:val="5F181D74"/>
    <w:rsid w:val="5F1B4A8D"/>
    <w:rsid w:val="5F21DB05"/>
    <w:rsid w:val="5F2E3506"/>
    <w:rsid w:val="5F2F3329"/>
    <w:rsid w:val="5F2FA9B2"/>
    <w:rsid w:val="5F2FE24A"/>
    <w:rsid w:val="5F327CA9"/>
    <w:rsid w:val="5F33000F"/>
    <w:rsid w:val="5F36F880"/>
    <w:rsid w:val="5F398B66"/>
    <w:rsid w:val="5F3B5A96"/>
    <w:rsid w:val="5F484B7F"/>
    <w:rsid w:val="5F486A96"/>
    <w:rsid w:val="5F4CA4FC"/>
    <w:rsid w:val="5F4E8B57"/>
    <w:rsid w:val="5F527FAB"/>
    <w:rsid w:val="5F5344D1"/>
    <w:rsid w:val="5F548C2C"/>
    <w:rsid w:val="5F582D58"/>
    <w:rsid w:val="5F58E4F8"/>
    <w:rsid w:val="5F5BA568"/>
    <w:rsid w:val="5F5C8F9A"/>
    <w:rsid w:val="5F5FCE29"/>
    <w:rsid w:val="5F60EE73"/>
    <w:rsid w:val="5F61D2A7"/>
    <w:rsid w:val="5F6486C2"/>
    <w:rsid w:val="5F65AC31"/>
    <w:rsid w:val="5F6A2A10"/>
    <w:rsid w:val="5F6AAA29"/>
    <w:rsid w:val="5F7078B2"/>
    <w:rsid w:val="5F7165A3"/>
    <w:rsid w:val="5F728CA9"/>
    <w:rsid w:val="5F77B527"/>
    <w:rsid w:val="5F792759"/>
    <w:rsid w:val="5F7C85B8"/>
    <w:rsid w:val="5F7CE217"/>
    <w:rsid w:val="5F7D6C22"/>
    <w:rsid w:val="5F7E48B2"/>
    <w:rsid w:val="5F7F1D5E"/>
    <w:rsid w:val="5F7F3F12"/>
    <w:rsid w:val="5F83DDCD"/>
    <w:rsid w:val="5F86F303"/>
    <w:rsid w:val="5F87D918"/>
    <w:rsid w:val="5F8A2F31"/>
    <w:rsid w:val="5F8C3383"/>
    <w:rsid w:val="5F8C89C8"/>
    <w:rsid w:val="5F92B6AC"/>
    <w:rsid w:val="5F95CF71"/>
    <w:rsid w:val="5F95D3B2"/>
    <w:rsid w:val="5F968F47"/>
    <w:rsid w:val="5F9808EF"/>
    <w:rsid w:val="5F987CA7"/>
    <w:rsid w:val="5F9C5C00"/>
    <w:rsid w:val="5F9D7324"/>
    <w:rsid w:val="5F9FB01B"/>
    <w:rsid w:val="5FA3FDF9"/>
    <w:rsid w:val="5FA6779B"/>
    <w:rsid w:val="5FA6A000"/>
    <w:rsid w:val="5FA7AAAB"/>
    <w:rsid w:val="5FA7DF77"/>
    <w:rsid w:val="5FA830B5"/>
    <w:rsid w:val="5FAA178F"/>
    <w:rsid w:val="5FAC5F37"/>
    <w:rsid w:val="5FB28B3F"/>
    <w:rsid w:val="5FB78244"/>
    <w:rsid w:val="5FB99784"/>
    <w:rsid w:val="5FBA4433"/>
    <w:rsid w:val="5FBC45AA"/>
    <w:rsid w:val="5FC0ADCB"/>
    <w:rsid w:val="5FC8164D"/>
    <w:rsid w:val="5FCAF362"/>
    <w:rsid w:val="5FCB391C"/>
    <w:rsid w:val="5FCCDC37"/>
    <w:rsid w:val="5FCD3F62"/>
    <w:rsid w:val="5FCFC600"/>
    <w:rsid w:val="5FD16FB9"/>
    <w:rsid w:val="5FD5046E"/>
    <w:rsid w:val="5FD52883"/>
    <w:rsid w:val="5FD64A05"/>
    <w:rsid w:val="5FD8767A"/>
    <w:rsid w:val="5FD9B2EE"/>
    <w:rsid w:val="5FDD191A"/>
    <w:rsid w:val="5FDD6D91"/>
    <w:rsid w:val="5FDE6F2F"/>
    <w:rsid w:val="5FE28A1B"/>
    <w:rsid w:val="5FE88053"/>
    <w:rsid w:val="5FED0FFB"/>
    <w:rsid w:val="5FED3531"/>
    <w:rsid w:val="5FF0FC7A"/>
    <w:rsid w:val="5FF269FE"/>
    <w:rsid w:val="5FF7C04F"/>
    <w:rsid w:val="5FF8D4EF"/>
    <w:rsid w:val="5FF99494"/>
    <w:rsid w:val="5FF9FAF3"/>
    <w:rsid w:val="5FFA1C62"/>
    <w:rsid w:val="5FFF58BB"/>
    <w:rsid w:val="600057E9"/>
    <w:rsid w:val="6000CE3C"/>
    <w:rsid w:val="6001057C"/>
    <w:rsid w:val="6007E33A"/>
    <w:rsid w:val="600E943B"/>
    <w:rsid w:val="6010A4D0"/>
    <w:rsid w:val="601379E3"/>
    <w:rsid w:val="6014F473"/>
    <w:rsid w:val="60160B36"/>
    <w:rsid w:val="601A6A6F"/>
    <w:rsid w:val="601C30A5"/>
    <w:rsid w:val="601CD2E8"/>
    <w:rsid w:val="601D22CC"/>
    <w:rsid w:val="601F4358"/>
    <w:rsid w:val="6022A375"/>
    <w:rsid w:val="6024EC48"/>
    <w:rsid w:val="60256A75"/>
    <w:rsid w:val="6027648B"/>
    <w:rsid w:val="60298267"/>
    <w:rsid w:val="6029D5C3"/>
    <w:rsid w:val="602B2EF1"/>
    <w:rsid w:val="602CBAB8"/>
    <w:rsid w:val="602DF442"/>
    <w:rsid w:val="602E608D"/>
    <w:rsid w:val="6031FBDA"/>
    <w:rsid w:val="60337D9C"/>
    <w:rsid w:val="6037BA49"/>
    <w:rsid w:val="6038A502"/>
    <w:rsid w:val="603AE778"/>
    <w:rsid w:val="603D6330"/>
    <w:rsid w:val="603F33D3"/>
    <w:rsid w:val="60407EBC"/>
    <w:rsid w:val="60448443"/>
    <w:rsid w:val="6047A3D1"/>
    <w:rsid w:val="604F15B2"/>
    <w:rsid w:val="60506BB7"/>
    <w:rsid w:val="6050CA0B"/>
    <w:rsid w:val="60576457"/>
    <w:rsid w:val="6059DAAA"/>
    <w:rsid w:val="605A1E96"/>
    <w:rsid w:val="605BCEF4"/>
    <w:rsid w:val="605C5BEF"/>
    <w:rsid w:val="605CC792"/>
    <w:rsid w:val="605D904B"/>
    <w:rsid w:val="605F779B"/>
    <w:rsid w:val="60619BAA"/>
    <w:rsid w:val="6061A8E5"/>
    <w:rsid w:val="606306B3"/>
    <w:rsid w:val="6064E073"/>
    <w:rsid w:val="6065DB35"/>
    <w:rsid w:val="606984FB"/>
    <w:rsid w:val="606A7258"/>
    <w:rsid w:val="606C0108"/>
    <w:rsid w:val="606C362A"/>
    <w:rsid w:val="606D6C96"/>
    <w:rsid w:val="60701BBC"/>
    <w:rsid w:val="6070896E"/>
    <w:rsid w:val="6070AF3A"/>
    <w:rsid w:val="6072D3FD"/>
    <w:rsid w:val="60738B70"/>
    <w:rsid w:val="6074EB7D"/>
    <w:rsid w:val="60759FF7"/>
    <w:rsid w:val="607CF64E"/>
    <w:rsid w:val="607CF8CD"/>
    <w:rsid w:val="6082676D"/>
    <w:rsid w:val="60826D2D"/>
    <w:rsid w:val="60872785"/>
    <w:rsid w:val="608B4553"/>
    <w:rsid w:val="608F26EE"/>
    <w:rsid w:val="609051A6"/>
    <w:rsid w:val="6091B472"/>
    <w:rsid w:val="609C3CE1"/>
    <w:rsid w:val="609D4716"/>
    <w:rsid w:val="609E3223"/>
    <w:rsid w:val="609FDBE5"/>
    <w:rsid w:val="60A00786"/>
    <w:rsid w:val="60A1C0A9"/>
    <w:rsid w:val="60A32F6A"/>
    <w:rsid w:val="60A59F70"/>
    <w:rsid w:val="60A6AD88"/>
    <w:rsid w:val="60A80E88"/>
    <w:rsid w:val="60A81A48"/>
    <w:rsid w:val="60AB85A4"/>
    <w:rsid w:val="60AD1AB5"/>
    <w:rsid w:val="60B05EEA"/>
    <w:rsid w:val="60B11EDC"/>
    <w:rsid w:val="60B1F3F1"/>
    <w:rsid w:val="60B7E899"/>
    <w:rsid w:val="60BBF45E"/>
    <w:rsid w:val="60BE487F"/>
    <w:rsid w:val="60BF4B6C"/>
    <w:rsid w:val="60BFB93B"/>
    <w:rsid w:val="60C33C30"/>
    <w:rsid w:val="60C6447C"/>
    <w:rsid w:val="60C77F26"/>
    <w:rsid w:val="60C87D79"/>
    <w:rsid w:val="60CB5AD3"/>
    <w:rsid w:val="60CDF6D5"/>
    <w:rsid w:val="60D72A57"/>
    <w:rsid w:val="60D75B06"/>
    <w:rsid w:val="60DEC670"/>
    <w:rsid w:val="60E005FF"/>
    <w:rsid w:val="60E4569E"/>
    <w:rsid w:val="60E6AF9B"/>
    <w:rsid w:val="60E9CA0F"/>
    <w:rsid w:val="60EA084A"/>
    <w:rsid w:val="60ECF79E"/>
    <w:rsid w:val="60EF18A4"/>
    <w:rsid w:val="60F15396"/>
    <w:rsid w:val="60F1EE65"/>
    <w:rsid w:val="60F60A65"/>
    <w:rsid w:val="60F7FBF5"/>
    <w:rsid w:val="60F86365"/>
    <w:rsid w:val="60F8E80E"/>
    <w:rsid w:val="60FA9818"/>
    <w:rsid w:val="60FD1FC8"/>
    <w:rsid w:val="61007412"/>
    <w:rsid w:val="610305AB"/>
    <w:rsid w:val="610A6128"/>
    <w:rsid w:val="610AE4D8"/>
    <w:rsid w:val="610B1689"/>
    <w:rsid w:val="610B1A7C"/>
    <w:rsid w:val="610B7497"/>
    <w:rsid w:val="610D6345"/>
    <w:rsid w:val="61120E7C"/>
    <w:rsid w:val="61144983"/>
    <w:rsid w:val="611E2BD4"/>
    <w:rsid w:val="611FEA30"/>
    <w:rsid w:val="6120CDE3"/>
    <w:rsid w:val="6125DFC6"/>
    <w:rsid w:val="6128AE1A"/>
    <w:rsid w:val="6128F9AF"/>
    <w:rsid w:val="612B5ECC"/>
    <w:rsid w:val="612B9D01"/>
    <w:rsid w:val="612C4ECD"/>
    <w:rsid w:val="612D70CB"/>
    <w:rsid w:val="612E6867"/>
    <w:rsid w:val="612F08FF"/>
    <w:rsid w:val="612FC8B0"/>
    <w:rsid w:val="613098E6"/>
    <w:rsid w:val="6132ED22"/>
    <w:rsid w:val="6137EDF9"/>
    <w:rsid w:val="613EAAF2"/>
    <w:rsid w:val="6141948B"/>
    <w:rsid w:val="61425B12"/>
    <w:rsid w:val="614561B9"/>
    <w:rsid w:val="6149820E"/>
    <w:rsid w:val="614B7FC8"/>
    <w:rsid w:val="614B950B"/>
    <w:rsid w:val="614D17BD"/>
    <w:rsid w:val="614EA98B"/>
    <w:rsid w:val="615973A4"/>
    <w:rsid w:val="615F8006"/>
    <w:rsid w:val="61606659"/>
    <w:rsid w:val="61625BC5"/>
    <w:rsid w:val="6165DCDE"/>
    <w:rsid w:val="616839EE"/>
    <w:rsid w:val="61687F4C"/>
    <w:rsid w:val="6169CDB1"/>
    <w:rsid w:val="616A4B37"/>
    <w:rsid w:val="616C4956"/>
    <w:rsid w:val="616F893D"/>
    <w:rsid w:val="6171556A"/>
    <w:rsid w:val="6172B03B"/>
    <w:rsid w:val="61751F15"/>
    <w:rsid w:val="61772790"/>
    <w:rsid w:val="617783D5"/>
    <w:rsid w:val="617B422A"/>
    <w:rsid w:val="617B5ED0"/>
    <w:rsid w:val="618274A9"/>
    <w:rsid w:val="6184F9C0"/>
    <w:rsid w:val="618A9170"/>
    <w:rsid w:val="618C04F7"/>
    <w:rsid w:val="619044AC"/>
    <w:rsid w:val="6194DA15"/>
    <w:rsid w:val="61978829"/>
    <w:rsid w:val="619A0917"/>
    <w:rsid w:val="619CCF4F"/>
    <w:rsid w:val="619E1850"/>
    <w:rsid w:val="61A04294"/>
    <w:rsid w:val="61A55B85"/>
    <w:rsid w:val="61A5EA75"/>
    <w:rsid w:val="61ABCF8A"/>
    <w:rsid w:val="61ABEC30"/>
    <w:rsid w:val="61AFFCDA"/>
    <w:rsid w:val="61B0D792"/>
    <w:rsid w:val="61B2730F"/>
    <w:rsid w:val="61BB2E19"/>
    <w:rsid w:val="61BDD39E"/>
    <w:rsid w:val="61BE8A92"/>
    <w:rsid w:val="61C145F7"/>
    <w:rsid w:val="61C2A158"/>
    <w:rsid w:val="61C57E63"/>
    <w:rsid w:val="61C655C9"/>
    <w:rsid w:val="61C720B1"/>
    <w:rsid w:val="61C89A2D"/>
    <w:rsid w:val="61C9FCC8"/>
    <w:rsid w:val="61D02AF4"/>
    <w:rsid w:val="61D2E035"/>
    <w:rsid w:val="61D57149"/>
    <w:rsid w:val="61D588D5"/>
    <w:rsid w:val="61D891EF"/>
    <w:rsid w:val="61DB77E8"/>
    <w:rsid w:val="61E27257"/>
    <w:rsid w:val="61E572BE"/>
    <w:rsid w:val="61E6BE84"/>
    <w:rsid w:val="61E7545C"/>
    <w:rsid w:val="61E7D58A"/>
    <w:rsid w:val="61ECCA93"/>
    <w:rsid w:val="61ECE6D2"/>
    <w:rsid w:val="61ED30A6"/>
    <w:rsid w:val="61ED769C"/>
    <w:rsid w:val="61EE16CB"/>
    <w:rsid w:val="61EECFD0"/>
    <w:rsid w:val="61F02380"/>
    <w:rsid w:val="61F206D8"/>
    <w:rsid w:val="61F787B6"/>
    <w:rsid w:val="61FB7A28"/>
    <w:rsid w:val="61FB9A2D"/>
    <w:rsid w:val="61FD9B84"/>
    <w:rsid w:val="62067287"/>
    <w:rsid w:val="6206CECE"/>
    <w:rsid w:val="620B5726"/>
    <w:rsid w:val="620DB73D"/>
    <w:rsid w:val="620F52AF"/>
    <w:rsid w:val="62116923"/>
    <w:rsid w:val="62123CFA"/>
    <w:rsid w:val="62147C79"/>
    <w:rsid w:val="6214CF88"/>
    <w:rsid w:val="62181305"/>
    <w:rsid w:val="621DBB03"/>
    <w:rsid w:val="6226376E"/>
    <w:rsid w:val="6229829E"/>
    <w:rsid w:val="622B2112"/>
    <w:rsid w:val="622CB7E6"/>
    <w:rsid w:val="622E07E4"/>
    <w:rsid w:val="62314E12"/>
    <w:rsid w:val="62327D25"/>
    <w:rsid w:val="62330D59"/>
    <w:rsid w:val="62341CBF"/>
    <w:rsid w:val="6239F53E"/>
    <w:rsid w:val="623B582C"/>
    <w:rsid w:val="623F9888"/>
    <w:rsid w:val="6240A9E3"/>
    <w:rsid w:val="62413AE2"/>
    <w:rsid w:val="6241F139"/>
    <w:rsid w:val="6246B9B4"/>
    <w:rsid w:val="6246D804"/>
    <w:rsid w:val="624D0236"/>
    <w:rsid w:val="6251AC82"/>
    <w:rsid w:val="62529369"/>
    <w:rsid w:val="6252ACDF"/>
    <w:rsid w:val="62548E30"/>
    <w:rsid w:val="62549FE4"/>
    <w:rsid w:val="62580F50"/>
    <w:rsid w:val="625B78C2"/>
    <w:rsid w:val="625C9FEF"/>
    <w:rsid w:val="625E6953"/>
    <w:rsid w:val="626628BE"/>
    <w:rsid w:val="62680544"/>
    <w:rsid w:val="62693C17"/>
    <w:rsid w:val="626A7734"/>
    <w:rsid w:val="627083F1"/>
    <w:rsid w:val="627148E2"/>
    <w:rsid w:val="6271BAB9"/>
    <w:rsid w:val="6278DAC4"/>
    <w:rsid w:val="62805391"/>
    <w:rsid w:val="6280D5DD"/>
    <w:rsid w:val="6286D026"/>
    <w:rsid w:val="628780F8"/>
    <w:rsid w:val="62898B23"/>
    <w:rsid w:val="628E64D5"/>
    <w:rsid w:val="628ED40D"/>
    <w:rsid w:val="628F2947"/>
    <w:rsid w:val="629145A1"/>
    <w:rsid w:val="62951541"/>
    <w:rsid w:val="62953509"/>
    <w:rsid w:val="629794B5"/>
    <w:rsid w:val="629D207E"/>
    <w:rsid w:val="629D413F"/>
    <w:rsid w:val="629E413E"/>
    <w:rsid w:val="62A067A0"/>
    <w:rsid w:val="62A30E6E"/>
    <w:rsid w:val="62A3E9AA"/>
    <w:rsid w:val="62A772F1"/>
    <w:rsid w:val="62A7C980"/>
    <w:rsid w:val="62AACB78"/>
    <w:rsid w:val="62ABAECB"/>
    <w:rsid w:val="62AC0081"/>
    <w:rsid w:val="62B559DF"/>
    <w:rsid w:val="62B9EC0F"/>
    <w:rsid w:val="62BA75AF"/>
    <w:rsid w:val="62BBB0EE"/>
    <w:rsid w:val="62C321FF"/>
    <w:rsid w:val="62C923AA"/>
    <w:rsid w:val="62CBA2F6"/>
    <w:rsid w:val="62CF96EA"/>
    <w:rsid w:val="62CFB1AA"/>
    <w:rsid w:val="62D0B429"/>
    <w:rsid w:val="62D4840C"/>
    <w:rsid w:val="62D70DD5"/>
    <w:rsid w:val="62D9753B"/>
    <w:rsid w:val="62DA92AE"/>
    <w:rsid w:val="62DCE38F"/>
    <w:rsid w:val="62DD49A2"/>
    <w:rsid w:val="62DF4C72"/>
    <w:rsid w:val="62E199FA"/>
    <w:rsid w:val="62E31A1A"/>
    <w:rsid w:val="62E5A044"/>
    <w:rsid w:val="62E65A55"/>
    <w:rsid w:val="62E93A1F"/>
    <w:rsid w:val="62E9CEB0"/>
    <w:rsid w:val="62EE377A"/>
    <w:rsid w:val="62EF176D"/>
    <w:rsid w:val="62F07702"/>
    <w:rsid w:val="62F0C86D"/>
    <w:rsid w:val="62F1A242"/>
    <w:rsid w:val="62F247AD"/>
    <w:rsid w:val="62F279B1"/>
    <w:rsid w:val="62F2891E"/>
    <w:rsid w:val="62FA43CA"/>
    <w:rsid w:val="62FC8373"/>
    <w:rsid w:val="62FE82CB"/>
    <w:rsid w:val="630187EC"/>
    <w:rsid w:val="6303C524"/>
    <w:rsid w:val="6309CF32"/>
    <w:rsid w:val="630A48E3"/>
    <w:rsid w:val="630C5259"/>
    <w:rsid w:val="630DAF0F"/>
    <w:rsid w:val="630FECF5"/>
    <w:rsid w:val="6312B5CE"/>
    <w:rsid w:val="6314BC21"/>
    <w:rsid w:val="63196329"/>
    <w:rsid w:val="63198C76"/>
    <w:rsid w:val="6319ECE2"/>
    <w:rsid w:val="631D352A"/>
    <w:rsid w:val="631F04B4"/>
    <w:rsid w:val="63212FEB"/>
    <w:rsid w:val="63241945"/>
    <w:rsid w:val="6324393C"/>
    <w:rsid w:val="6324908A"/>
    <w:rsid w:val="632719F2"/>
    <w:rsid w:val="632AC0E4"/>
    <w:rsid w:val="632D029E"/>
    <w:rsid w:val="632F2A06"/>
    <w:rsid w:val="632F51D0"/>
    <w:rsid w:val="63303871"/>
    <w:rsid w:val="63306226"/>
    <w:rsid w:val="63324081"/>
    <w:rsid w:val="63364F6B"/>
    <w:rsid w:val="6339C3B2"/>
    <w:rsid w:val="633A4EBC"/>
    <w:rsid w:val="633CE544"/>
    <w:rsid w:val="633F0AEE"/>
    <w:rsid w:val="633FAEE0"/>
    <w:rsid w:val="6342636C"/>
    <w:rsid w:val="6343391C"/>
    <w:rsid w:val="634459D2"/>
    <w:rsid w:val="634466DD"/>
    <w:rsid w:val="6344B011"/>
    <w:rsid w:val="63462D9D"/>
    <w:rsid w:val="63474A92"/>
    <w:rsid w:val="6347CCCE"/>
    <w:rsid w:val="634CFFC7"/>
    <w:rsid w:val="634D729E"/>
    <w:rsid w:val="634E039D"/>
    <w:rsid w:val="634E5009"/>
    <w:rsid w:val="635362DC"/>
    <w:rsid w:val="6354DB4E"/>
    <w:rsid w:val="6357154C"/>
    <w:rsid w:val="635A0350"/>
    <w:rsid w:val="635AC868"/>
    <w:rsid w:val="635E8181"/>
    <w:rsid w:val="636023F5"/>
    <w:rsid w:val="6363B18A"/>
    <w:rsid w:val="6363C73D"/>
    <w:rsid w:val="63654A47"/>
    <w:rsid w:val="6366265E"/>
    <w:rsid w:val="6368B229"/>
    <w:rsid w:val="6368EC50"/>
    <w:rsid w:val="636AB114"/>
    <w:rsid w:val="636C7A6B"/>
    <w:rsid w:val="63781FFC"/>
    <w:rsid w:val="637A2215"/>
    <w:rsid w:val="637AD454"/>
    <w:rsid w:val="637D26F3"/>
    <w:rsid w:val="6381B011"/>
    <w:rsid w:val="6382B2AB"/>
    <w:rsid w:val="6383DE83"/>
    <w:rsid w:val="63841475"/>
    <w:rsid w:val="6384ECE7"/>
    <w:rsid w:val="63877903"/>
    <w:rsid w:val="638795A9"/>
    <w:rsid w:val="638C35B6"/>
    <w:rsid w:val="638C93CC"/>
    <w:rsid w:val="6391DFD1"/>
    <w:rsid w:val="6392F39E"/>
    <w:rsid w:val="639986AF"/>
    <w:rsid w:val="639A6E80"/>
    <w:rsid w:val="639AF48B"/>
    <w:rsid w:val="639B0A44"/>
    <w:rsid w:val="639BB7C3"/>
    <w:rsid w:val="639E26AF"/>
    <w:rsid w:val="639E2A3F"/>
    <w:rsid w:val="639F35B7"/>
    <w:rsid w:val="63A47FB8"/>
    <w:rsid w:val="63A55149"/>
    <w:rsid w:val="63A7EAE0"/>
    <w:rsid w:val="63A9D20B"/>
    <w:rsid w:val="63AAE21E"/>
    <w:rsid w:val="63ACCCAC"/>
    <w:rsid w:val="63B6C576"/>
    <w:rsid w:val="63B6C84C"/>
    <w:rsid w:val="63B713C8"/>
    <w:rsid w:val="63BA0803"/>
    <w:rsid w:val="63BE5582"/>
    <w:rsid w:val="63C110D4"/>
    <w:rsid w:val="63C2915E"/>
    <w:rsid w:val="63C46BA7"/>
    <w:rsid w:val="63C71ADF"/>
    <w:rsid w:val="63C74B24"/>
    <w:rsid w:val="63C79706"/>
    <w:rsid w:val="63C82F89"/>
    <w:rsid w:val="63C84D55"/>
    <w:rsid w:val="63CA7372"/>
    <w:rsid w:val="63CFCA49"/>
    <w:rsid w:val="63CFEB15"/>
    <w:rsid w:val="63D11E7F"/>
    <w:rsid w:val="63D18ABB"/>
    <w:rsid w:val="63D1F33C"/>
    <w:rsid w:val="63D48757"/>
    <w:rsid w:val="63DA1034"/>
    <w:rsid w:val="63DC53B3"/>
    <w:rsid w:val="63DDB452"/>
    <w:rsid w:val="63E0D792"/>
    <w:rsid w:val="63E1B149"/>
    <w:rsid w:val="63E2ED3D"/>
    <w:rsid w:val="63E62163"/>
    <w:rsid w:val="63E659A6"/>
    <w:rsid w:val="63EBD333"/>
    <w:rsid w:val="63EC1C9E"/>
    <w:rsid w:val="63ED3BDE"/>
    <w:rsid w:val="63ED67AB"/>
    <w:rsid w:val="63F210EB"/>
    <w:rsid w:val="63F29ACE"/>
    <w:rsid w:val="63F34C77"/>
    <w:rsid w:val="63F3B1D1"/>
    <w:rsid w:val="63FA3BE6"/>
    <w:rsid w:val="63FACFFA"/>
    <w:rsid w:val="63FCCD47"/>
    <w:rsid w:val="63FCE1BC"/>
    <w:rsid w:val="63FE93F2"/>
    <w:rsid w:val="6402FC32"/>
    <w:rsid w:val="64034E2C"/>
    <w:rsid w:val="640834AA"/>
    <w:rsid w:val="640BFF0D"/>
    <w:rsid w:val="640C31EE"/>
    <w:rsid w:val="640C4244"/>
    <w:rsid w:val="640D645B"/>
    <w:rsid w:val="6410AA97"/>
    <w:rsid w:val="6410C1BF"/>
    <w:rsid w:val="64168BE3"/>
    <w:rsid w:val="6417CBDA"/>
    <w:rsid w:val="6418BBD9"/>
    <w:rsid w:val="6418E3C6"/>
    <w:rsid w:val="641992CE"/>
    <w:rsid w:val="641E86C4"/>
    <w:rsid w:val="6420FA42"/>
    <w:rsid w:val="6421509C"/>
    <w:rsid w:val="642464E3"/>
    <w:rsid w:val="642DE2A4"/>
    <w:rsid w:val="642E28F8"/>
    <w:rsid w:val="643124A0"/>
    <w:rsid w:val="6434B061"/>
    <w:rsid w:val="6434C11A"/>
    <w:rsid w:val="6436AD91"/>
    <w:rsid w:val="6436F493"/>
    <w:rsid w:val="64379CA9"/>
    <w:rsid w:val="64381CD4"/>
    <w:rsid w:val="643CF6E5"/>
    <w:rsid w:val="643E65E1"/>
    <w:rsid w:val="643ED0AB"/>
    <w:rsid w:val="643FBA0B"/>
    <w:rsid w:val="64429D3A"/>
    <w:rsid w:val="6442E17A"/>
    <w:rsid w:val="64435A68"/>
    <w:rsid w:val="64435C6C"/>
    <w:rsid w:val="6444BF83"/>
    <w:rsid w:val="64454E54"/>
    <w:rsid w:val="6445DC11"/>
    <w:rsid w:val="6446F462"/>
    <w:rsid w:val="644717BB"/>
    <w:rsid w:val="6449CBB1"/>
    <w:rsid w:val="6450156B"/>
    <w:rsid w:val="64518865"/>
    <w:rsid w:val="64526BED"/>
    <w:rsid w:val="645580FE"/>
    <w:rsid w:val="645583DC"/>
    <w:rsid w:val="64561CE1"/>
    <w:rsid w:val="645862F9"/>
    <w:rsid w:val="645C5DC0"/>
    <w:rsid w:val="6461153E"/>
    <w:rsid w:val="64626B5F"/>
    <w:rsid w:val="64651070"/>
    <w:rsid w:val="6467F879"/>
    <w:rsid w:val="646E0EDE"/>
    <w:rsid w:val="646EB954"/>
    <w:rsid w:val="64759836"/>
    <w:rsid w:val="6476B4D0"/>
    <w:rsid w:val="647706DA"/>
    <w:rsid w:val="64799953"/>
    <w:rsid w:val="647C37CA"/>
    <w:rsid w:val="647CC9DE"/>
    <w:rsid w:val="647DB3D9"/>
    <w:rsid w:val="64818EF7"/>
    <w:rsid w:val="6483D559"/>
    <w:rsid w:val="648726D5"/>
    <w:rsid w:val="648C9487"/>
    <w:rsid w:val="648DD402"/>
    <w:rsid w:val="648DE9CC"/>
    <w:rsid w:val="648F1FE5"/>
    <w:rsid w:val="648F5C80"/>
    <w:rsid w:val="64911466"/>
    <w:rsid w:val="6492DF00"/>
    <w:rsid w:val="6493990F"/>
    <w:rsid w:val="649499C9"/>
    <w:rsid w:val="6494EFBB"/>
    <w:rsid w:val="649632D4"/>
    <w:rsid w:val="64989F15"/>
    <w:rsid w:val="64993ECB"/>
    <w:rsid w:val="649D1594"/>
    <w:rsid w:val="649DA8C2"/>
    <w:rsid w:val="64A1481D"/>
    <w:rsid w:val="64A26472"/>
    <w:rsid w:val="64A35496"/>
    <w:rsid w:val="64A4856A"/>
    <w:rsid w:val="64A4E655"/>
    <w:rsid w:val="64ACC7A9"/>
    <w:rsid w:val="64AD0EBC"/>
    <w:rsid w:val="64ADAB69"/>
    <w:rsid w:val="64AE00BF"/>
    <w:rsid w:val="64AEA8AD"/>
    <w:rsid w:val="64B33002"/>
    <w:rsid w:val="64BE4444"/>
    <w:rsid w:val="64BF6FE0"/>
    <w:rsid w:val="64BFFC47"/>
    <w:rsid w:val="64C06ED6"/>
    <w:rsid w:val="64C1065E"/>
    <w:rsid w:val="64C1125D"/>
    <w:rsid w:val="64C546BE"/>
    <w:rsid w:val="64C93FFE"/>
    <w:rsid w:val="64D0BC5C"/>
    <w:rsid w:val="64D46B01"/>
    <w:rsid w:val="64D72318"/>
    <w:rsid w:val="64D78055"/>
    <w:rsid w:val="64DB90DD"/>
    <w:rsid w:val="64E0E22B"/>
    <w:rsid w:val="64E1D21D"/>
    <w:rsid w:val="64E2D9C4"/>
    <w:rsid w:val="64E75B61"/>
    <w:rsid w:val="64E8AEAF"/>
    <w:rsid w:val="64E9C3D9"/>
    <w:rsid w:val="64E9F903"/>
    <w:rsid w:val="64E9FC11"/>
    <w:rsid w:val="64ED1FA7"/>
    <w:rsid w:val="64ED2171"/>
    <w:rsid w:val="64F21C58"/>
    <w:rsid w:val="64F2F15D"/>
    <w:rsid w:val="64FB08CA"/>
    <w:rsid w:val="64FD2A0D"/>
    <w:rsid w:val="64FE1020"/>
    <w:rsid w:val="650C0280"/>
    <w:rsid w:val="6511AD13"/>
    <w:rsid w:val="6512671B"/>
    <w:rsid w:val="65184C4D"/>
    <w:rsid w:val="65201A3F"/>
    <w:rsid w:val="6523975A"/>
    <w:rsid w:val="6525D91A"/>
    <w:rsid w:val="652891A3"/>
    <w:rsid w:val="652BF345"/>
    <w:rsid w:val="653377CB"/>
    <w:rsid w:val="6535799E"/>
    <w:rsid w:val="653A03DD"/>
    <w:rsid w:val="653ED4B4"/>
    <w:rsid w:val="65402AC9"/>
    <w:rsid w:val="6543070F"/>
    <w:rsid w:val="6549EE22"/>
    <w:rsid w:val="654CCA75"/>
    <w:rsid w:val="654DE30B"/>
    <w:rsid w:val="654E0D03"/>
    <w:rsid w:val="65535182"/>
    <w:rsid w:val="6553A504"/>
    <w:rsid w:val="65546590"/>
    <w:rsid w:val="65574F7F"/>
    <w:rsid w:val="6559C786"/>
    <w:rsid w:val="655A8024"/>
    <w:rsid w:val="655AB098"/>
    <w:rsid w:val="655D9DB1"/>
    <w:rsid w:val="655DE985"/>
    <w:rsid w:val="655E2EC1"/>
    <w:rsid w:val="6561DEBF"/>
    <w:rsid w:val="6562E6C1"/>
    <w:rsid w:val="656969A5"/>
    <w:rsid w:val="656C72E4"/>
    <w:rsid w:val="6570084A"/>
    <w:rsid w:val="657418B7"/>
    <w:rsid w:val="6575C0A1"/>
    <w:rsid w:val="65781CD0"/>
    <w:rsid w:val="657BB92F"/>
    <w:rsid w:val="657CADF7"/>
    <w:rsid w:val="657D4885"/>
    <w:rsid w:val="657E59C4"/>
    <w:rsid w:val="658079AD"/>
    <w:rsid w:val="6581C1C4"/>
    <w:rsid w:val="658704F1"/>
    <w:rsid w:val="6588C8F3"/>
    <w:rsid w:val="658B3BB1"/>
    <w:rsid w:val="658DC057"/>
    <w:rsid w:val="658DCD6B"/>
    <w:rsid w:val="658DF9C7"/>
    <w:rsid w:val="658F539A"/>
    <w:rsid w:val="658F9804"/>
    <w:rsid w:val="65925731"/>
    <w:rsid w:val="65928E18"/>
    <w:rsid w:val="65975DE5"/>
    <w:rsid w:val="65984AC1"/>
    <w:rsid w:val="659951E0"/>
    <w:rsid w:val="659AB750"/>
    <w:rsid w:val="659CBB49"/>
    <w:rsid w:val="659E59E6"/>
    <w:rsid w:val="659F5020"/>
    <w:rsid w:val="659F5EF8"/>
    <w:rsid w:val="65A1F098"/>
    <w:rsid w:val="65A34445"/>
    <w:rsid w:val="65A44A19"/>
    <w:rsid w:val="65A4F676"/>
    <w:rsid w:val="65AB6C99"/>
    <w:rsid w:val="65B08209"/>
    <w:rsid w:val="65BA2693"/>
    <w:rsid w:val="65BB6610"/>
    <w:rsid w:val="65BDBB22"/>
    <w:rsid w:val="65BDD2E6"/>
    <w:rsid w:val="65BEE049"/>
    <w:rsid w:val="65BF467C"/>
    <w:rsid w:val="65C32AF3"/>
    <w:rsid w:val="65C4906E"/>
    <w:rsid w:val="65C63291"/>
    <w:rsid w:val="65C71BB6"/>
    <w:rsid w:val="65C73C10"/>
    <w:rsid w:val="65CCCDC3"/>
    <w:rsid w:val="65CD44F8"/>
    <w:rsid w:val="65CE93A5"/>
    <w:rsid w:val="65D46584"/>
    <w:rsid w:val="65D4BDF9"/>
    <w:rsid w:val="65D4D079"/>
    <w:rsid w:val="65DD3EE9"/>
    <w:rsid w:val="65E13D86"/>
    <w:rsid w:val="65E29A50"/>
    <w:rsid w:val="65E3C4F1"/>
    <w:rsid w:val="65E4AB0A"/>
    <w:rsid w:val="65E72A13"/>
    <w:rsid w:val="65E83A56"/>
    <w:rsid w:val="65E8A357"/>
    <w:rsid w:val="65E94E9E"/>
    <w:rsid w:val="65F1753E"/>
    <w:rsid w:val="65F4C0D3"/>
    <w:rsid w:val="65F85090"/>
    <w:rsid w:val="65FABAC3"/>
    <w:rsid w:val="65FBA01B"/>
    <w:rsid w:val="660041E2"/>
    <w:rsid w:val="6600BC3C"/>
    <w:rsid w:val="6601B532"/>
    <w:rsid w:val="66032F33"/>
    <w:rsid w:val="6603CC1A"/>
    <w:rsid w:val="6603CDAF"/>
    <w:rsid w:val="660656EA"/>
    <w:rsid w:val="66073AED"/>
    <w:rsid w:val="66074A73"/>
    <w:rsid w:val="66081781"/>
    <w:rsid w:val="66085C94"/>
    <w:rsid w:val="660A46E5"/>
    <w:rsid w:val="660FFDC4"/>
    <w:rsid w:val="6611AAD8"/>
    <w:rsid w:val="6611EA18"/>
    <w:rsid w:val="661208FD"/>
    <w:rsid w:val="66138A1E"/>
    <w:rsid w:val="6616F7CE"/>
    <w:rsid w:val="661DF735"/>
    <w:rsid w:val="661F8175"/>
    <w:rsid w:val="66213C61"/>
    <w:rsid w:val="6623A77A"/>
    <w:rsid w:val="66249F90"/>
    <w:rsid w:val="662515B6"/>
    <w:rsid w:val="6626436A"/>
    <w:rsid w:val="662CC5DF"/>
    <w:rsid w:val="662CC697"/>
    <w:rsid w:val="662ECB7D"/>
    <w:rsid w:val="662F434F"/>
    <w:rsid w:val="662FA9AD"/>
    <w:rsid w:val="6630D4BA"/>
    <w:rsid w:val="66325A25"/>
    <w:rsid w:val="663834AC"/>
    <w:rsid w:val="663859D3"/>
    <w:rsid w:val="663C5D17"/>
    <w:rsid w:val="663CFC0D"/>
    <w:rsid w:val="663DCAFB"/>
    <w:rsid w:val="664112A6"/>
    <w:rsid w:val="664138A7"/>
    <w:rsid w:val="66423940"/>
    <w:rsid w:val="6644C38B"/>
    <w:rsid w:val="6647134B"/>
    <w:rsid w:val="66479EEE"/>
    <w:rsid w:val="664B1E03"/>
    <w:rsid w:val="664D8287"/>
    <w:rsid w:val="6651D172"/>
    <w:rsid w:val="66563514"/>
    <w:rsid w:val="665953C6"/>
    <w:rsid w:val="66604C3C"/>
    <w:rsid w:val="66692DB8"/>
    <w:rsid w:val="666F9B96"/>
    <w:rsid w:val="66715E1A"/>
    <w:rsid w:val="66723300"/>
    <w:rsid w:val="6673C26C"/>
    <w:rsid w:val="6673CD1A"/>
    <w:rsid w:val="6676DB1B"/>
    <w:rsid w:val="6679FCB0"/>
    <w:rsid w:val="667FCED3"/>
    <w:rsid w:val="668418A8"/>
    <w:rsid w:val="66845A24"/>
    <w:rsid w:val="6686C785"/>
    <w:rsid w:val="66892F07"/>
    <w:rsid w:val="668A9EF7"/>
    <w:rsid w:val="668C3A9D"/>
    <w:rsid w:val="668D06E6"/>
    <w:rsid w:val="668D7DDA"/>
    <w:rsid w:val="6691E4F9"/>
    <w:rsid w:val="669AD79C"/>
    <w:rsid w:val="669DEB1B"/>
    <w:rsid w:val="66A2DDD9"/>
    <w:rsid w:val="66A2E87F"/>
    <w:rsid w:val="66A4B64B"/>
    <w:rsid w:val="66A7C159"/>
    <w:rsid w:val="66AAD024"/>
    <w:rsid w:val="66AD4A26"/>
    <w:rsid w:val="66AF6BEA"/>
    <w:rsid w:val="66B39AD5"/>
    <w:rsid w:val="66B3C305"/>
    <w:rsid w:val="66B62A91"/>
    <w:rsid w:val="66B8AAA6"/>
    <w:rsid w:val="66B9A565"/>
    <w:rsid w:val="66BAB90F"/>
    <w:rsid w:val="66BBFAF5"/>
    <w:rsid w:val="66BD90C6"/>
    <w:rsid w:val="66BD9747"/>
    <w:rsid w:val="66BFBAC6"/>
    <w:rsid w:val="66C37A93"/>
    <w:rsid w:val="66C85365"/>
    <w:rsid w:val="66CEF677"/>
    <w:rsid w:val="66D3002C"/>
    <w:rsid w:val="66D673FB"/>
    <w:rsid w:val="66D6A1C3"/>
    <w:rsid w:val="66D6EAF9"/>
    <w:rsid w:val="66D8C5A0"/>
    <w:rsid w:val="66D985B9"/>
    <w:rsid w:val="66DCFBEC"/>
    <w:rsid w:val="66DDE7A9"/>
    <w:rsid w:val="66DE8127"/>
    <w:rsid w:val="66E21323"/>
    <w:rsid w:val="66E2516B"/>
    <w:rsid w:val="66E42D44"/>
    <w:rsid w:val="66E4B224"/>
    <w:rsid w:val="66E5D869"/>
    <w:rsid w:val="66E6CD2E"/>
    <w:rsid w:val="66E9464E"/>
    <w:rsid w:val="66E9C597"/>
    <w:rsid w:val="66EA3AD0"/>
    <w:rsid w:val="66EA66C3"/>
    <w:rsid w:val="66EC9A28"/>
    <w:rsid w:val="66ECFD3B"/>
    <w:rsid w:val="66EDB208"/>
    <w:rsid w:val="66EE0540"/>
    <w:rsid w:val="66EEF502"/>
    <w:rsid w:val="66EF9933"/>
    <w:rsid w:val="66F45F8C"/>
    <w:rsid w:val="66F767BA"/>
    <w:rsid w:val="66F8851C"/>
    <w:rsid w:val="66FA28E7"/>
    <w:rsid w:val="66FA8866"/>
    <w:rsid w:val="66FB7FFD"/>
    <w:rsid w:val="66FCA806"/>
    <w:rsid w:val="67002D10"/>
    <w:rsid w:val="67072C81"/>
    <w:rsid w:val="67137536"/>
    <w:rsid w:val="67149983"/>
    <w:rsid w:val="6714FB1F"/>
    <w:rsid w:val="6715997D"/>
    <w:rsid w:val="671721D4"/>
    <w:rsid w:val="671BE1E8"/>
    <w:rsid w:val="67257215"/>
    <w:rsid w:val="6726F51B"/>
    <w:rsid w:val="6728D029"/>
    <w:rsid w:val="6729FA1A"/>
    <w:rsid w:val="672A672B"/>
    <w:rsid w:val="672D158E"/>
    <w:rsid w:val="67325825"/>
    <w:rsid w:val="673A14CB"/>
    <w:rsid w:val="673AEBFB"/>
    <w:rsid w:val="674A9343"/>
    <w:rsid w:val="674B0C51"/>
    <w:rsid w:val="674B31B7"/>
    <w:rsid w:val="674D9A49"/>
    <w:rsid w:val="67508B51"/>
    <w:rsid w:val="675257BE"/>
    <w:rsid w:val="675FCA29"/>
    <w:rsid w:val="676120DF"/>
    <w:rsid w:val="67699BA3"/>
    <w:rsid w:val="676B66A0"/>
    <w:rsid w:val="676BCD23"/>
    <w:rsid w:val="676BF230"/>
    <w:rsid w:val="676D7116"/>
    <w:rsid w:val="6771E2B5"/>
    <w:rsid w:val="6772A70B"/>
    <w:rsid w:val="6772EC91"/>
    <w:rsid w:val="67775F3F"/>
    <w:rsid w:val="67799976"/>
    <w:rsid w:val="677B3FA2"/>
    <w:rsid w:val="677BACDF"/>
    <w:rsid w:val="677E2B9E"/>
    <w:rsid w:val="678471B2"/>
    <w:rsid w:val="67865533"/>
    <w:rsid w:val="678693EE"/>
    <w:rsid w:val="67898B35"/>
    <w:rsid w:val="678A057B"/>
    <w:rsid w:val="678DFC02"/>
    <w:rsid w:val="678E2BC5"/>
    <w:rsid w:val="67901C5A"/>
    <w:rsid w:val="67970C0D"/>
    <w:rsid w:val="679AA44D"/>
    <w:rsid w:val="679B3032"/>
    <w:rsid w:val="67A040E8"/>
    <w:rsid w:val="67A48512"/>
    <w:rsid w:val="67A9B81B"/>
    <w:rsid w:val="67AB88B3"/>
    <w:rsid w:val="67AD2896"/>
    <w:rsid w:val="67B11276"/>
    <w:rsid w:val="67B5E6B7"/>
    <w:rsid w:val="67B68AEA"/>
    <w:rsid w:val="67B899BB"/>
    <w:rsid w:val="67B8FB58"/>
    <w:rsid w:val="67BEC797"/>
    <w:rsid w:val="67BF9556"/>
    <w:rsid w:val="67C3E825"/>
    <w:rsid w:val="67C56930"/>
    <w:rsid w:val="67C5B53A"/>
    <w:rsid w:val="67C72F73"/>
    <w:rsid w:val="67C77729"/>
    <w:rsid w:val="67CC06A1"/>
    <w:rsid w:val="67CC981A"/>
    <w:rsid w:val="67CE21D9"/>
    <w:rsid w:val="67CF8D4E"/>
    <w:rsid w:val="67D17F8C"/>
    <w:rsid w:val="67D30019"/>
    <w:rsid w:val="67D6F00F"/>
    <w:rsid w:val="67D98765"/>
    <w:rsid w:val="67DA0003"/>
    <w:rsid w:val="67DCE1BD"/>
    <w:rsid w:val="67DDB07C"/>
    <w:rsid w:val="67E41B49"/>
    <w:rsid w:val="67E6F8FE"/>
    <w:rsid w:val="67E8C3E7"/>
    <w:rsid w:val="67E92B25"/>
    <w:rsid w:val="67EDC865"/>
    <w:rsid w:val="67EE6825"/>
    <w:rsid w:val="67EEA4A2"/>
    <w:rsid w:val="67EFF074"/>
    <w:rsid w:val="67F1F1B4"/>
    <w:rsid w:val="67F406DA"/>
    <w:rsid w:val="67F418A3"/>
    <w:rsid w:val="67F4C80A"/>
    <w:rsid w:val="67FA2FAA"/>
    <w:rsid w:val="680466D7"/>
    <w:rsid w:val="6804E1A7"/>
    <w:rsid w:val="6805B266"/>
    <w:rsid w:val="6805FCF7"/>
    <w:rsid w:val="68156C38"/>
    <w:rsid w:val="68179042"/>
    <w:rsid w:val="681A2419"/>
    <w:rsid w:val="681A5CE5"/>
    <w:rsid w:val="681D534E"/>
    <w:rsid w:val="681DEEBC"/>
    <w:rsid w:val="6820E0ED"/>
    <w:rsid w:val="6824AED1"/>
    <w:rsid w:val="6825AB1E"/>
    <w:rsid w:val="68262C30"/>
    <w:rsid w:val="68273B33"/>
    <w:rsid w:val="68280564"/>
    <w:rsid w:val="68281400"/>
    <w:rsid w:val="6830452C"/>
    <w:rsid w:val="6833222B"/>
    <w:rsid w:val="68332EAB"/>
    <w:rsid w:val="6836CEF2"/>
    <w:rsid w:val="68377F86"/>
    <w:rsid w:val="683BC026"/>
    <w:rsid w:val="683BCBD6"/>
    <w:rsid w:val="68413406"/>
    <w:rsid w:val="6842CA34"/>
    <w:rsid w:val="6843601D"/>
    <w:rsid w:val="6844D95F"/>
    <w:rsid w:val="6844F48A"/>
    <w:rsid w:val="6844F73B"/>
    <w:rsid w:val="6845D183"/>
    <w:rsid w:val="68465FF2"/>
    <w:rsid w:val="6846CA92"/>
    <w:rsid w:val="6848739D"/>
    <w:rsid w:val="684907A3"/>
    <w:rsid w:val="6849D152"/>
    <w:rsid w:val="684A45FA"/>
    <w:rsid w:val="684AB91D"/>
    <w:rsid w:val="684E7684"/>
    <w:rsid w:val="6852EA11"/>
    <w:rsid w:val="6853446A"/>
    <w:rsid w:val="685471F8"/>
    <w:rsid w:val="68548280"/>
    <w:rsid w:val="685A0616"/>
    <w:rsid w:val="685CA823"/>
    <w:rsid w:val="685E7182"/>
    <w:rsid w:val="685E7CB9"/>
    <w:rsid w:val="686493BF"/>
    <w:rsid w:val="686A33CA"/>
    <w:rsid w:val="686A6D88"/>
    <w:rsid w:val="686DEDA1"/>
    <w:rsid w:val="686E4479"/>
    <w:rsid w:val="686E5BBD"/>
    <w:rsid w:val="686E7BB0"/>
    <w:rsid w:val="686F7D4B"/>
    <w:rsid w:val="68704ACF"/>
    <w:rsid w:val="68716810"/>
    <w:rsid w:val="6873466B"/>
    <w:rsid w:val="6873B951"/>
    <w:rsid w:val="687479E9"/>
    <w:rsid w:val="6875A00D"/>
    <w:rsid w:val="68784309"/>
    <w:rsid w:val="687AFD51"/>
    <w:rsid w:val="687B52E6"/>
    <w:rsid w:val="687B996C"/>
    <w:rsid w:val="687D0A2B"/>
    <w:rsid w:val="687F702D"/>
    <w:rsid w:val="68822370"/>
    <w:rsid w:val="6882C919"/>
    <w:rsid w:val="688A64CF"/>
    <w:rsid w:val="688A6BCC"/>
    <w:rsid w:val="688AA399"/>
    <w:rsid w:val="688BBAC3"/>
    <w:rsid w:val="68903649"/>
    <w:rsid w:val="6890737B"/>
    <w:rsid w:val="689183EA"/>
    <w:rsid w:val="6892F465"/>
    <w:rsid w:val="68936D73"/>
    <w:rsid w:val="689798BA"/>
    <w:rsid w:val="6898EE19"/>
    <w:rsid w:val="689991AA"/>
    <w:rsid w:val="689B3753"/>
    <w:rsid w:val="689D9CC7"/>
    <w:rsid w:val="689FB4EC"/>
    <w:rsid w:val="689FF645"/>
    <w:rsid w:val="68A01779"/>
    <w:rsid w:val="68A82B4B"/>
    <w:rsid w:val="68ACAB00"/>
    <w:rsid w:val="68B051A3"/>
    <w:rsid w:val="68B30D47"/>
    <w:rsid w:val="68B573F1"/>
    <w:rsid w:val="68B68AA8"/>
    <w:rsid w:val="68BA6AD2"/>
    <w:rsid w:val="68BCDD48"/>
    <w:rsid w:val="68BD8E68"/>
    <w:rsid w:val="68C218BB"/>
    <w:rsid w:val="68C24D54"/>
    <w:rsid w:val="68C5EFA4"/>
    <w:rsid w:val="68C8BD72"/>
    <w:rsid w:val="68C94DED"/>
    <w:rsid w:val="68D073F5"/>
    <w:rsid w:val="68D1A4EC"/>
    <w:rsid w:val="68D69B13"/>
    <w:rsid w:val="68D746C8"/>
    <w:rsid w:val="68D939B1"/>
    <w:rsid w:val="68DB178E"/>
    <w:rsid w:val="68DBA0A7"/>
    <w:rsid w:val="68DC5555"/>
    <w:rsid w:val="68DD269B"/>
    <w:rsid w:val="68DDA053"/>
    <w:rsid w:val="68DF344E"/>
    <w:rsid w:val="68E1553D"/>
    <w:rsid w:val="68E4C8D1"/>
    <w:rsid w:val="68E73C46"/>
    <w:rsid w:val="68E7C55D"/>
    <w:rsid w:val="68EE23C0"/>
    <w:rsid w:val="68F48505"/>
    <w:rsid w:val="68F534CF"/>
    <w:rsid w:val="68F79800"/>
    <w:rsid w:val="68FCEED7"/>
    <w:rsid w:val="68FD35ED"/>
    <w:rsid w:val="68FFE582"/>
    <w:rsid w:val="69014DD2"/>
    <w:rsid w:val="69066093"/>
    <w:rsid w:val="69094E67"/>
    <w:rsid w:val="690B6DE9"/>
    <w:rsid w:val="690BF760"/>
    <w:rsid w:val="690D6A71"/>
    <w:rsid w:val="690E5E60"/>
    <w:rsid w:val="690EDFF1"/>
    <w:rsid w:val="690F4019"/>
    <w:rsid w:val="69149C3D"/>
    <w:rsid w:val="6920A5E6"/>
    <w:rsid w:val="69210DDF"/>
    <w:rsid w:val="69216DB5"/>
    <w:rsid w:val="6924E69C"/>
    <w:rsid w:val="69279F0F"/>
    <w:rsid w:val="69299F22"/>
    <w:rsid w:val="6929CDF8"/>
    <w:rsid w:val="692B77BA"/>
    <w:rsid w:val="692BB080"/>
    <w:rsid w:val="692BECF5"/>
    <w:rsid w:val="692DB891"/>
    <w:rsid w:val="692E6818"/>
    <w:rsid w:val="69301027"/>
    <w:rsid w:val="69307F31"/>
    <w:rsid w:val="6931243E"/>
    <w:rsid w:val="69331AAF"/>
    <w:rsid w:val="693415C2"/>
    <w:rsid w:val="693680DB"/>
    <w:rsid w:val="693730DA"/>
    <w:rsid w:val="6937C17E"/>
    <w:rsid w:val="693CB5F8"/>
    <w:rsid w:val="693DCF1B"/>
    <w:rsid w:val="693FD939"/>
    <w:rsid w:val="6943CC82"/>
    <w:rsid w:val="6947B877"/>
    <w:rsid w:val="694845B8"/>
    <w:rsid w:val="694ED4F8"/>
    <w:rsid w:val="694EFCE9"/>
    <w:rsid w:val="694FB8DD"/>
    <w:rsid w:val="69521E96"/>
    <w:rsid w:val="6952E4F8"/>
    <w:rsid w:val="6954144F"/>
    <w:rsid w:val="69551FF8"/>
    <w:rsid w:val="6956CF16"/>
    <w:rsid w:val="695BCBEE"/>
    <w:rsid w:val="695E3E2E"/>
    <w:rsid w:val="69617F63"/>
    <w:rsid w:val="696210FF"/>
    <w:rsid w:val="6963FE15"/>
    <w:rsid w:val="69666DF0"/>
    <w:rsid w:val="6967D2E6"/>
    <w:rsid w:val="6967D47B"/>
    <w:rsid w:val="696BB715"/>
    <w:rsid w:val="696F0E3D"/>
    <w:rsid w:val="6972716B"/>
    <w:rsid w:val="6972D25A"/>
    <w:rsid w:val="697326DA"/>
    <w:rsid w:val="69747479"/>
    <w:rsid w:val="6975D690"/>
    <w:rsid w:val="69762C4B"/>
    <w:rsid w:val="6976C51B"/>
    <w:rsid w:val="6976CB04"/>
    <w:rsid w:val="69780D68"/>
    <w:rsid w:val="6978B368"/>
    <w:rsid w:val="697A35C7"/>
    <w:rsid w:val="697D98CF"/>
    <w:rsid w:val="697EA8CB"/>
    <w:rsid w:val="6982C245"/>
    <w:rsid w:val="6983AB74"/>
    <w:rsid w:val="6983C85E"/>
    <w:rsid w:val="69861D15"/>
    <w:rsid w:val="6987EB65"/>
    <w:rsid w:val="698AC2F0"/>
    <w:rsid w:val="698C8C30"/>
    <w:rsid w:val="698FF188"/>
    <w:rsid w:val="69917BE2"/>
    <w:rsid w:val="6993A6A9"/>
    <w:rsid w:val="699506AE"/>
    <w:rsid w:val="69996C1B"/>
    <w:rsid w:val="69A76EE1"/>
    <w:rsid w:val="69ACEBA7"/>
    <w:rsid w:val="69AF438F"/>
    <w:rsid w:val="69B1A4F0"/>
    <w:rsid w:val="69B1BDB9"/>
    <w:rsid w:val="69B2F932"/>
    <w:rsid w:val="69B57BC3"/>
    <w:rsid w:val="69B6103B"/>
    <w:rsid w:val="69BA142D"/>
    <w:rsid w:val="69BC3038"/>
    <w:rsid w:val="69BC61C1"/>
    <w:rsid w:val="69BFC1EA"/>
    <w:rsid w:val="69C053EB"/>
    <w:rsid w:val="69C39346"/>
    <w:rsid w:val="69C5B1E5"/>
    <w:rsid w:val="69C6260A"/>
    <w:rsid w:val="69C63178"/>
    <w:rsid w:val="69C985BB"/>
    <w:rsid w:val="69CF4555"/>
    <w:rsid w:val="69D00BEF"/>
    <w:rsid w:val="69D71334"/>
    <w:rsid w:val="69DED158"/>
    <w:rsid w:val="69E133BA"/>
    <w:rsid w:val="69E2AA9A"/>
    <w:rsid w:val="69E2ACF3"/>
    <w:rsid w:val="69E48282"/>
    <w:rsid w:val="69E4C5E0"/>
    <w:rsid w:val="69E5F5AE"/>
    <w:rsid w:val="69E81641"/>
    <w:rsid w:val="69E985E9"/>
    <w:rsid w:val="69EACF87"/>
    <w:rsid w:val="69EB0F7D"/>
    <w:rsid w:val="69EB1965"/>
    <w:rsid w:val="69EC949C"/>
    <w:rsid w:val="69ECE532"/>
    <w:rsid w:val="69F10DB2"/>
    <w:rsid w:val="69F2AFB4"/>
    <w:rsid w:val="69F4B8E5"/>
    <w:rsid w:val="69F6D031"/>
    <w:rsid w:val="69F8DA7C"/>
    <w:rsid w:val="69F94A3D"/>
    <w:rsid w:val="69F953C6"/>
    <w:rsid w:val="69FB0B07"/>
    <w:rsid w:val="69FF3F30"/>
    <w:rsid w:val="69FFC373"/>
    <w:rsid w:val="6A08106F"/>
    <w:rsid w:val="6A08EBB2"/>
    <w:rsid w:val="6A0DB885"/>
    <w:rsid w:val="6A0F6EDC"/>
    <w:rsid w:val="6A10045E"/>
    <w:rsid w:val="6A1193D1"/>
    <w:rsid w:val="6A119533"/>
    <w:rsid w:val="6A11BB2F"/>
    <w:rsid w:val="6A1238C5"/>
    <w:rsid w:val="6A136E22"/>
    <w:rsid w:val="6A158D58"/>
    <w:rsid w:val="6A1669E8"/>
    <w:rsid w:val="6A17D790"/>
    <w:rsid w:val="6A1C4C3F"/>
    <w:rsid w:val="6A1CC581"/>
    <w:rsid w:val="6A2083C0"/>
    <w:rsid w:val="6A20A680"/>
    <w:rsid w:val="6A239E86"/>
    <w:rsid w:val="6A24636E"/>
    <w:rsid w:val="6A2AA0FD"/>
    <w:rsid w:val="6A2BBDA3"/>
    <w:rsid w:val="6A3067A6"/>
    <w:rsid w:val="6A321852"/>
    <w:rsid w:val="6A342519"/>
    <w:rsid w:val="6A38EAC6"/>
    <w:rsid w:val="6A397BAC"/>
    <w:rsid w:val="6A3DB4F7"/>
    <w:rsid w:val="6A3E435D"/>
    <w:rsid w:val="6A416EC8"/>
    <w:rsid w:val="6A42C106"/>
    <w:rsid w:val="6A43CEC9"/>
    <w:rsid w:val="6A455865"/>
    <w:rsid w:val="6A46FF55"/>
    <w:rsid w:val="6A4B8A8C"/>
    <w:rsid w:val="6A4CF17C"/>
    <w:rsid w:val="6A4E7B09"/>
    <w:rsid w:val="6A504FD5"/>
    <w:rsid w:val="6A57DFC4"/>
    <w:rsid w:val="6A5A2712"/>
    <w:rsid w:val="6A5B8817"/>
    <w:rsid w:val="6A5CC8CA"/>
    <w:rsid w:val="6A5DDCF5"/>
    <w:rsid w:val="6A6703A1"/>
    <w:rsid w:val="6A67A3CF"/>
    <w:rsid w:val="6A686FC2"/>
    <w:rsid w:val="6A6A135A"/>
    <w:rsid w:val="6A6A1C2E"/>
    <w:rsid w:val="6A6A3010"/>
    <w:rsid w:val="6A6D0275"/>
    <w:rsid w:val="6A6F0171"/>
    <w:rsid w:val="6A6F7B73"/>
    <w:rsid w:val="6A70278E"/>
    <w:rsid w:val="6A717C80"/>
    <w:rsid w:val="6A72ED35"/>
    <w:rsid w:val="6A7B7218"/>
    <w:rsid w:val="6A7F66E6"/>
    <w:rsid w:val="6A827C3E"/>
    <w:rsid w:val="6A84E7D0"/>
    <w:rsid w:val="6A866A45"/>
    <w:rsid w:val="6A899903"/>
    <w:rsid w:val="6A8C6AF5"/>
    <w:rsid w:val="6A938223"/>
    <w:rsid w:val="6A958A86"/>
    <w:rsid w:val="6A96392C"/>
    <w:rsid w:val="6A98513D"/>
    <w:rsid w:val="6A9D7276"/>
    <w:rsid w:val="6A9DBDA8"/>
    <w:rsid w:val="6A9F6349"/>
    <w:rsid w:val="6AA58698"/>
    <w:rsid w:val="6AA8C1FE"/>
    <w:rsid w:val="6AAEFB8F"/>
    <w:rsid w:val="6AB15E97"/>
    <w:rsid w:val="6AB60B55"/>
    <w:rsid w:val="6AB69AF6"/>
    <w:rsid w:val="6AB85DA1"/>
    <w:rsid w:val="6AB89BD7"/>
    <w:rsid w:val="6ABB2635"/>
    <w:rsid w:val="6AC0A03C"/>
    <w:rsid w:val="6AC74C09"/>
    <w:rsid w:val="6ACB5F75"/>
    <w:rsid w:val="6ACCBCF3"/>
    <w:rsid w:val="6ACDC266"/>
    <w:rsid w:val="6AD155EB"/>
    <w:rsid w:val="6AD3D75B"/>
    <w:rsid w:val="6AD50745"/>
    <w:rsid w:val="6AD552B5"/>
    <w:rsid w:val="6AD89F17"/>
    <w:rsid w:val="6ADA7D0E"/>
    <w:rsid w:val="6ADB1600"/>
    <w:rsid w:val="6ADE2D07"/>
    <w:rsid w:val="6AE4EEB1"/>
    <w:rsid w:val="6AE67ADF"/>
    <w:rsid w:val="6AE93DE2"/>
    <w:rsid w:val="6AEB2713"/>
    <w:rsid w:val="6AEB716D"/>
    <w:rsid w:val="6AEB7CCD"/>
    <w:rsid w:val="6AEDA973"/>
    <w:rsid w:val="6AEDCC20"/>
    <w:rsid w:val="6AF32796"/>
    <w:rsid w:val="6AF9A030"/>
    <w:rsid w:val="6AFF3E58"/>
    <w:rsid w:val="6B009A54"/>
    <w:rsid w:val="6B0661C5"/>
    <w:rsid w:val="6B087EDF"/>
    <w:rsid w:val="6B099815"/>
    <w:rsid w:val="6B0D5863"/>
    <w:rsid w:val="6B1103FB"/>
    <w:rsid w:val="6B11A870"/>
    <w:rsid w:val="6B166F74"/>
    <w:rsid w:val="6B19B01D"/>
    <w:rsid w:val="6B1AE60B"/>
    <w:rsid w:val="6B1BAB43"/>
    <w:rsid w:val="6B1DC059"/>
    <w:rsid w:val="6B1E837C"/>
    <w:rsid w:val="6B20EE9B"/>
    <w:rsid w:val="6B220029"/>
    <w:rsid w:val="6B229067"/>
    <w:rsid w:val="6B23EEF7"/>
    <w:rsid w:val="6B27C006"/>
    <w:rsid w:val="6B28B7C3"/>
    <w:rsid w:val="6B29B73E"/>
    <w:rsid w:val="6B29C887"/>
    <w:rsid w:val="6B2A743C"/>
    <w:rsid w:val="6B2B2ABB"/>
    <w:rsid w:val="6B2BB1B6"/>
    <w:rsid w:val="6B2C5027"/>
    <w:rsid w:val="6B2D7B63"/>
    <w:rsid w:val="6B2F5A17"/>
    <w:rsid w:val="6B30DC1D"/>
    <w:rsid w:val="6B33B400"/>
    <w:rsid w:val="6B344163"/>
    <w:rsid w:val="6B3B6EAC"/>
    <w:rsid w:val="6B3BA64D"/>
    <w:rsid w:val="6B3C20EC"/>
    <w:rsid w:val="6B3F6863"/>
    <w:rsid w:val="6B4C41D8"/>
    <w:rsid w:val="6B4D7551"/>
    <w:rsid w:val="6B4EE692"/>
    <w:rsid w:val="6B4FA1A8"/>
    <w:rsid w:val="6B53D374"/>
    <w:rsid w:val="6B549FA3"/>
    <w:rsid w:val="6B5546B7"/>
    <w:rsid w:val="6B56DE43"/>
    <w:rsid w:val="6B5A05DF"/>
    <w:rsid w:val="6B5E1E09"/>
    <w:rsid w:val="6B5F6BB6"/>
    <w:rsid w:val="6B648E42"/>
    <w:rsid w:val="6B64DFDA"/>
    <w:rsid w:val="6B662CCA"/>
    <w:rsid w:val="6B664089"/>
    <w:rsid w:val="6B6A92B2"/>
    <w:rsid w:val="6B6ACF92"/>
    <w:rsid w:val="6B6AEAEB"/>
    <w:rsid w:val="6B6C0E2C"/>
    <w:rsid w:val="6B6CFE1D"/>
    <w:rsid w:val="6B746AE1"/>
    <w:rsid w:val="6B74D0EA"/>
    <w:rsid w:val="6B796723"/>
    <w:rsid w:val="6B7D1574"/>
    <w:rsid w:val="6B7E2BCE"/>
    <w:rsid w:val="6B8184CE"/>
    <w:rsid w:val="6B81A89F"/>
    <w:rsid w:val="6B8247CC"/>
    <w:rsid w:val="6B848E8C"/>
    <w:rsid w:val="6B869869"/>
    <w:rsid w:val="6B8A262C"/>
    <w:rsid w:val="6B8AA4F4"/>
    <w:rsid w:val="6B91C04C"/>
    <w:rsid w:val="6B92160B"/>
    <w:rsid w:val="6B94D82D"/>
    <w:rsid w:val="6B95542D"/>
    <w:rsid w:val="6B9724AC"/>
    <w:rsid w:val="6B9B64EE"/>
    <w:rsid w:val="6B9CF064"/>
    <w:rsid w:val="6BA0A81A"/>
    <w:rsid w:val="6BA25A75"/>
    <w:rsid w:val="6BA60953"/>
    <w:rsid w:val="6BAE1C6D"/>
    <w:rsid w:val="6BAFB09E"/>
    <w:rsid w:val="6BB27C34"/>
    <w:rsid w:val="6BB55E5E"/>
    <w:rsid w:val="6BB6C06A"/>
    <w:rsid w:val="6BBAA192"/>
    <w:rsid w:val="6BBB7216"/>
    <w:rsid w:val="6BBE1034"/>
    <w:rsid w:val="6BC414FA"/>
    <w:rsid w:val="6BC6B528"/>
    <w:rsid w:val="6BC8277E"/>
    <w:rsid w:val="6BC82D9D"/>
    <w:rsid w:val="6BC86F7F"/>
    <w:rsid w:val="6BC87523"/>
    <w:rsid w:val="6BC9276E"/>
    <w:rsid w:val="6BCA4A5A"/>
    <w:rsid w:val="6BCEEA4A"/>
    <w:rsid w:val="6BCF6F8C"/>
    <w:rsid w:val="6BD1216D"/>
    <w:rsid w:val="6BD1FC8D"/>
    <w:rsid w:val="6BD6718C"/>
    <w:rsid w:val="6BD9131E"/>
    <w:rsid w:val="6BDF041D"/>
    <w:rsid w:val="6BE05859"/>
    <w:rsid w:val="6BE10754"/>
    <w:rsid w:val="6BE419C1"/>
    <w:rsid w:val="6BE97611"/>
    <w:rsid w:val="6BEA8B9B"/>
    <w:rsid w:val="6BEBEA8D"/>
    <w:rsid w:val="6BED44EA"/>
    <w:rsid w:val="6BEEA7F2"/>
    <w:rsid w:val="6BEF4BDA"/>
    <w:rsid w:val="6BF0839C"/>
    <w:rsid w:val="6BF2A119"/>
    <w:rsid w:val="6BF3AAF6"/>
    <w:rsid w:val="6BF6CBDE"/>
    <w:rsid w:val="6BFBB974"/>
    <w:rsid w:val="6C082FF7"/>
    <w:rsid w:val="6C091390"/>
    <w:rsid w:val="6C0A87D2"/>
    <w:rsid w:val="6C0B9307"/>
    <w:rsid w:val="6C0E5D1E"/>
    <w:rsid w:val="6C105BC6"/>
    <w:rsid w:val="6C11722A"/>
    <w:rsid w:val="6C14C38B"/>
    <w:rsid w:val="6C16D510"/>
    <w:rsid w:val="6C171AF6"/>
    <w:rsid w:val="6C1A989C"/>
    <w:rsid w:val="6C1C9463"/>
    <w:rsid w:val="6C214BAF"/>
    <w:rsid w:val="6C220031"/>
    <w:rsid w:val="6C23E70E"/>
    <w:rsid w:val="6C25DCE0"/>
    <w:rsid w:val="6C26B014"/>
    <w:rsid w:val="6C26F2A4"/>
    <w:rsid w:val="6C2735D7"/>
    <w:rsid w:val="6C2B82F0"/>
    <w:rsid w:val="6C2D25AE"/>
    <w:rsid w:val="6C2EAA31"/>
    <w:rsid w:val="6C30CDA3"/>
    <w:rsid w:val="6C31EB94"/>
    <w:rsid w:val="6C373DCD"/>
    <w:rsid w:val="6C421A6F"/>
    <w:rsid w:val="6C444E30"/>
    <w:rsid w:val="6C4502F1"/>
    <w:rsid w:val="6C46EA53"/>
    <w:rsid w:val="6C4A17D2"/>
    <w:rsid w:val="6C509F6F"/>
    <w:rsid w:val="6C512468"/>
    <w:rsid w:val="6C514B13"/>
    <w:rsid w:val="6C5696F0"/>
    <w:rsid w:val="6C56F1F2"/>
    <w:rsid w:val="6C59E541"/>
    <w:rsid w:val="6C59E6D6"/>
    <w:rsid w:val="6C5AFD8D"/>
    <w:rsid w:val="6C5E9F3B"/>
    <w:rsid w:val="6C602EAD"/>
    <w:rsid w:val="6C6092DD"/>
    <w:rsid w:val="6C61F4C3"/>
    <w:rsid w:val="6C626771"/>
    <w:rsid w:val="6C63795E"/>
    <w:rsid w:val="6C640589"/>
    <w:rsid w:val="6C65810F"/>
    <w:rsid w:val="6C67CC91"/>
    <w:rsid w:val="6C6838B2"/>
    <w:rsid w:val="6C6ADF56"/>
    <w:rsid w:val="6C6E9748"/>
    <w:rsid w:val="6C707A7F"/>
    <w:rsid w:val="6C72B233"/>
    <w:rsid w:val="6C77B371"/>
    <w:rsid w:val="6C784AC2"/>
    <w:rsid w:val="6C786C8A"/>
    <w:rsid w:val="6C7EAD97"/>
    <w:rsid w:val="6C847395"/>
    <w:rsid w:val="6C84AA38"/>
    <w:rsid w:val="6C8741CE"/>
    <w:rsid w:val="6C8AC57E"/>
    <w:rsid w:val="6C8CC994"/>
    <w:rsid w:val="6C912F57"/>
    <w:rsid w:val="6C9238BA"/>
    <w:rsid w:val="6C938D53"/>
    <w:rsid w:val="6C973353"/>
    <w:rsid w:val="6C981809"/>
    <w:rsid w:val="6CA17A8A"/>
    <w:rsid w:val="6CA4124D"/>
    <w:rsid w:val="6CA47D8D"/>
    <w:rsid w:val="6CB0542A"/>
    <w:rsid w:val="6CB16E1A"/>
    <w:rsid w:val="6CB1A56A"/>
    <w:rsid w:val="6CB1AF75"/>
    <w:rsid w:val="6CB1E89D"/>
    <w:rsid w:val="6CB22C5F"/>
    <w:rsid w:val="6CB2D7F2"/>
    <w:rsid w:val="6CB68B30"/>
    <w:rsid w:val="6CBA20FB"/>
    <w:rsid w:val="6CBC0BBA"/>
    <w:rsid w:val="6CC28473"/>
    <w:rsid w:val="6CC3D45B"/>
    <w:rsid w:val="6CC4305F"/>
    <w:rsid w:val="6CC5DD6C"/>
    <w:rsid w:val="6CC73D28"/>
    <w:rsid w:val="6CCB91B1"/>
    <w:rsid w:val="6CCD6B25"/>
    <w:rsid w:val="6CD1495D"/>
    <w:rsid w:val="6CD2874E"/>
    <w:rsid w:val="6CD544A4"/>
    <w:rsid w:val="6CD568D2"/>
    <w:rsid w:val="6CD694DD"/>
    <w:rsid w:val="6CE0CDCC"/>
    <w:rsid w:val="6CE3CA79"/>
    <w:rsid w:val="6CE4AAF8"/>
    <w:rsid w:val="6CEA23A4"/>
    <w:rsid w:val="6CEC7B52"/>
    <w:rsid w:val="6CFBFA81"/>
    <w:rsid w:val="6CFE033D"/>
    <w:rsid w:val="6CFE168D"/>
    <w:rsid w:val="6D028B76"/>
    <w:rsid w:val="6D04B5FD"/>
    <w:rsid w:val="6D06C5E9"/>
    <w:rsid w:val="6D09C980"/>
    <w:rsid w:val="6D09D358"/>
    <w:rsid w:val="6D10EF94"/>
    <w:rsid w:val="6D134177"/>
    <w:rsid w:val="6D136014"/>
    <w:rsid w:val="6D147A2E"/>
    <w:rsid w:val="6D16CAA0"/>
    <w:rsid w:val="6D172F7F"/>
    <w:rsid w:val="6D1951F7"/>
    <w:rsid w:val="6D1C6BA7"/>
    <w:rsid w:val="6D1E02CF"/>
    <w:rsid w:val="6D1EFF72"/>
    <w:rsid w:val="6D20D1F0"/>
    <w:rsid w:val="6D21B4D6"/>
    <w:rsid w:val="6D2816FC"/>
    <w:rsid w:val="6D2CEC4F"/>
    <w:rsid w:val="6D2DD8B2"/>
    <w:rsid w:val="6D2F1136"/>
    <w:rsid w:val="6D30D870"/>
    <w:rsid w:val="6D30DB06"/>
    <w:rsid w:val="6D32A11F"/>
    <w:rsid w:val="6D348201"/>
    <w:rsid w:val="6D34E16B"/>
    <w:rsid w:val="6D368F38"/>
    <w:rsid w:val="6D370835"/>
    <w:rsid w:val="6D37A732"/>
    <w:rsid w:val="6D3886E4"/>
    <w:rsid w:val="6D3C2B80"/>
    <w:rsid w:val="6D400053"/>
    <w:rsid w:val="6D440246"/>
    <w:rsid w:val="6D497268"/>
    <w:rsid w:val="6D4C54B6"/>
    <w:rsid w:val="6D50ED41"/>
    <w:rsid w:val="6D56073E"/>
    <w:rsid w:val="6D57437D"/>
    <w:rsid w:val="6D57BDB2"/>
    <w:rsid w:val="6D61D863"/>
    <w:rsid w:val="6D6D47C0"/>
    <w:rsid w:val="6D6E24F4"/>
    <w:rsid w:val="6D725ECE"/>
    <w:rsid w:val="6D7566CF"/>
    <w:rsid w:val="6D76441B"/>
    <w:rsid w:val="6D77F784"/>
    <w:rsid w:val="6D791873"/>
    <w:rsid w:val="6D79D26A"/>
    <w:rsid w:val="6D7C2322"/>
    <w:rsid w:val="6D7D13F3"/>
    <w:rsid w:val="6D822D9A"/>
    <w:rsid w:val="6D860E12"/>
    <w:rsid w:val="6D8E0A90"/>
    <w:rsid w:val="6D9E6E80"/>
    <w:rsid w:val="6DA098ED"/>
    <w:rsid w:val="6DA114CD"/>
    <w:rsid w:val="6DA4EA7C"/>
    <w:rsid w:val="6DAAF851"/>
    <w:rsid w:val="6DADB5C0"/>
    <w:rsid w:val="6DADBBB5"/>
    <w:rsid w:val="6DB0AA92"/>
    <w:rsid w:val="6DB0EC9E"/>
    <w:rsid w:val="6DB13740"/>
    <w:rsid w:val="6DB1DCC6"/>
    <w:rsid w:val="6DB6E3A1"/>
    <w:rsid w:val="6DBB0812"/>
    <w:rsid w:val="6DBE394F"/>
    <w:rsid w:val="6DC449D5"/>
    <w:rsid w:val="6DC96180"/>
    <w:rsid w:val="6DCC4F85"/>
    <w:rsid w:val="6DCE0331"/>
    <w:rsid w:val="6DCF40E9"/>
    <w:rsid w:val="6DD20B70"/>
    <w:rsid w:val="6DD30F74"/>
    <w:rsid w:val="6DD36DBD"/>
    <w:rsid w:val="6DD72BF9"/>
    <w:rsid w:val="6DD8FD07"/>
    <w:rsid w:val="6DDB9449"/>
    <w:rsid w:val="6DE18EB9"/>
    <w:rsid w:val="6DE3191F"/>
    <w:rsid w:val="6DE3CE23"/>
    <w:rsid w:val="6DE43E09"/>
    <w:rsid w:val="6DEA4F76"/>
    <w:rsid w:val="6DEA615A"/>
    <w:rsid w:val="6DEC54F0"/>
    <w:rsid w:val="6DEE9F8D"/>
    <w:rsid w:val="6DEEBCC7"/>
    <w:rsid w:val="6DEEC6CB"/>
    <w:rsid w:val="6DEF7ED6"/>
    <w:rsid w:val="6DF14836"/>
    <w:rsid w:val="6DF189E6"/>
    <w:rsid w:val="6DF3B078"/>
    <w:rsid w:val="6DF8A0DF"/>
    <w:rsid w:val="6DF9FE2E"/>
    <w:rsid w:val="6DFB3E10"/>
    <w:rsid w:val="6E021544"/>
    <w:rsid w:val="6E050BBD"/>
    <w:rsid w:val="6E0D111A"/>
    <w:rsid w:val="6E0FBA9C"/>
    <w:rsid w:val="6E125C58"/>
    <w:rsid w:val="6E14246A"/>
    <w:rsid w:val="6E143C69"/>
    <w:rsid w:val="6E144B0C"/>
    <w:rsid w:val="6E1CECC2"/>
    <w:rsid w:val="6E1DEF5C"/>
    <w:rsid w:val="6E1E96FE"/>
    <w:rsid w:val="6E23CF29"/>
    <w:rsid w:val="6E248D59"/>
    <w:rsid w:val="6E269B5D"/>
    <w:rsid w:val="6E2D7014"/>
    <w:rsid w:val="6E2FAB1E"/>
    <w:rsid w:val="6E328C29"/>
    <w:rsid w:val="6E337CE4"/>
    <w:rsid w:val="6E3646F5"/>
    <w:rsid w:val="6E3A8229"/>
    <w:rsid w:val="6E3CDD2E"/>
    <w:rsid w:val="6E3DDA1F"/>
    <w:rsid w:val="6E40BB82"/>
    <w:rsid w:val="6E412E43"/>
    <w:rsid w:val="6E4255BE"/>
    <w:rsid w:val="6E451B2C"/>
    <w:rsid w:val="6E4856AD"/>
    <w:rsid w:val="6E4868D1"/>
    <w:rsid w:val="6E549749"/>
    <w:rsid w:val="6E562980"/>
    <w:rsid w:val="6E56A626"/>
    <w:rsid w:val="6E5724EF"/>
    <w:rsid w:val="6E5958F5"/>
    <w:rsid w:val="6E5E7340"/>
    <w:rsid w:val="6E629F4A"/>
    <w:rsid w:val="6E62A756"/>
    <w:rsid w:val="6E6501AD"/>
    <w:rsid w:val="6E6620F4"/>
    <w:rsid w:val="6E717206"/>
    <w:rsid w:val="6E77C349"/>
    <w:rsid w:val="6E7C1FA2"/>
    <w:rsid w:val="6E7C3048"/>
    <w:rsid w:val="6E7DB660"/>
    <w:rsid w:val="6E808C27"/>
    <w:rsid w:val="6E83EE07"/>
    <w:rsid w:val="6E842866"/>
    <w:rsid w:val="6E85B271"/>
    <w:rsid w:val="6E8A3CEF"/>
    <w:rsid w:val="6E8CD244"/>
    <w:rsid w:val="6E8CF38A"/>
    <w:rsid w:val="6E8FE8BC"/>
    <w:rsid w:val="6E93D7E5"/>
    <w:rsid w:val="6E947650"/>
    <w:rsid w:val="6E9512C0"/>
    <w:rsid w:val="6E955B8C"/>
    <w:rsid w:val="6E957FC1"/>
    <w:rsid w:val="6E9DAB3F"/>
    <w:rsid w:val="6EA18785"/>
    <w:rsid w:val="6EA3B1C6"/>
    <w:rsid w:val="6EA3FCD0"/>
    <w:rsid w:val="6EA44BC7"/>
    <w:rsid w:val="6EA9D2D7"/>
    <w:rsid w:val="6EACB529"/>
    <w:rsid w:val="6EAE8B7C"/>
    <w:rsid w:val="6EB09029"/>
    <w:rsid w:val="6EB170CC"/>
    <w:rsid w:val="6EB31D71"/>
    <w:rsid w:val="6EB85137"/>
    <w:rsid w:val="6EB95B11"/>
    <w:rsid w:val="6EBA09B4"/>
    <w:rsid w:val="6EBE862D"/>
    <w:rsid w:val="6EBEC557"/>
    <w:rsid w:val="6EC0FAD8"/>
    <w:rsid w:val="6EC136E7"/>
    <w:rsid w:val="6EC4B715"/>
    <w:rsid w:val="6EC8D128"/>
    <w:rsid w:val="6ECA3183"/>
    <w:rsid w:val="6ECB0CCD"/>
    <w:rsid w:val="6ECC8F4D"/>
    <w:rsid w:val="6ED179C1"/>
    <w:rsid w:val="6ED34525"/>
    <w:rsid w:val="6ED4DEA5"/>
    <w:rsid w:val="6ED9EC29"/>
    <w:rsid w:val="6EDE6465"/>
    <w:rsid w:val="6EDE6B8F"/>
    <w:rsid w:val="6EE5A9E8"/>
    <w:rsid w:val="6EE70858"/>
    <w:rsid w:val="6EE75160"/>
    <w:rsid w:val="6EE9FA96"/>
    <w:rsid w:val="6EEC63EF"/>
    <w:rsid w:val="6EF0D16C"/>
    <w:rsid w:val="6EF230FE"/>
    <w:rsid w:val="6EF2EE1F"/>
    <w:rsid w:val="6EFA6D00"/>
    <w:rsid w:val="6EFC67C8"/>
    <w:rsid w:val="6EFD968B"/>
    <w:rsid w:val="6EFFA297"/>
    <w:rsid w:val="6F01B248"/>
    <w:rsid w:val="6F043CDC"/>
    <w:rsid w:val="6F087F14"/>
    <w:rsid w:val="6F08AF48"/>
    <w:rsid w:val="6F08E11A"/>
    <w:rsid w:val="6F0A28D6"/>
    <w:rsid w:val="6F0E7BF8"/>
    <w:rsid w:val="6F1138B6"/>
    <w:rsid w:val="6F119F32"/>
    <w:rsid w:val="6F13EF82"/>
    <w:rsid w:val="6F143DD4"/>
    <w:rsid w:val="6F1773CB"/>
    <w:rsid w:val="6F17D675"/>
    <w:rsid w:val="6F189D0E"/>
    <w:rsid w:val="6F1C4C86"/>
    <w:rsid w:val="6F1DE085"/>
    <w:rsid w:val="6F1E96EC"/>
    <w:rsid w:val="6F21CC0E"/>
    <w:rsid w:val="6F243A09"/>
    <w:rsid w:val="6F24BC27"/>
    <w:rsid w:val="6F27017C"/>
    <w:rsid w:val="6F282C59"/>
    <w:rsid w:val="6F2A9591"/>
    <w:rsid w:val="6F2D91A0"/>
    <w:rsid w:val="6F2F368D"/>
    <w:rsid w:val="6F309524"/>
    <w:rsid w:val="6F32AA91"/>
    <w:rsid w:val="6F38A0B6"/>
    <w:rsid w:val="6F3BB545"/>
    <w:rsid w:val="6F3CFC58"/>
    <w:rsid w:val="6F3D3AFB"/>
    <w:rsid w:val="6F3E1C0A"/>
    <w:rsid w:val="6F3F1978"/>
    <w:rsid w:val="6F432230"/>
    <w:rsid w:val="6F476A57"/>
    <w:rsid w:val="6F4BD34F"/>
    <w:rsid w:val="6F4E6CB3"/>
    <w:rsid w:val="6F4F977F"/>
    <w:rsid w:val="6F5334B3"/>
    <w:rsid w:val="6F542311"/>
    <w:rsid w:val="6F54239A"/>
    <w:rsid w:val="6F562749"/>
    <w:rsid w:val="6F591035"/>
    <w:rsid w:val="6F5AB44A"/>
    <w:rsid w:val="6F5AE1DD"/>
    <w:rsid w:val="6F5FEA62"/>
    <w:rsid w:val="6F60509E"/>
    <w:rsid w:val="6F60836F"/>
    <w:rsid w:val="6F60B808"/>
    <w:rsid w:val="6F61871A"/>
    <w:rsid w:val="6F64DA79"/>
    <w:rsid w:val="6F66AEAA"/>
    <w:rsid w:val="6F67CEB3"/>
    <w:rsid w:val="6F683E2C"/>
    <w:rsid w:val="6F695E5E"/>
    <w:rsid w:val="6F6BEEA6"/>
    <w:rsid w:val="6F6CCD9C"/>
    <w:rsid w:val="6F72CB34"/>
    <w:rsid w:val="6F74468B"/>
    <w:rsid w:val="6F77AA76"/>
    <w:rsid w:val="6F77E726"/>
    <w:rsid w:val="6F793268"/>
    <w:rsid w:val="6F798F28"/>
    <w:rsid w:val="6F7A2C77"/>
    <w:rsid w:val="6F7B5A0C"/>
    <w:rsid w:val="6F80093E"/>
    <w:rsid w:val="6F817D3E"/>
    <w:rsid w:val="6F83B049"/>
    <w:rsid w:val="6F86E6BA"/>
    <w:rsid w:val="6F870F74"/>
    <w:rsid w:val="6F872809"/>
    <w:rsid w:val="6F875FCC"/>
    <w:rsid w:val="6F8B9D49"/>
    <w:rsid w:val="6F8CCC4D"/>
    <w:rsid w:val="6F8DBD52"/>
    <w:rsid w:val="6F8F9B48"/>
    <w:rsid w:val="6F939D1B"/>
    <w:rsid w:val="6F96FC78"/>
    <w:rsid w:val="6F987804"/>
    <w:rsid w:val="6F99D969"/>
    <w:rsid w:val="6F9B2B45"/>
    <w:rsid w:val="6F9B6607"/>
    <w:rsid w:val="6FA0078D"/>
    <w:rsid w:val="6FA009CD"/>
    <w:rsid w:val="6FA02E16"/>
    <w:rsid w:val="6FA0F2FE"/>
    <w:rsid w:val="6FA19401"/>
    <w:rsid w:val="6FA474F6"/>
    <w:rsid w:val="6FA575CC"/>
    <w:rsid w:val="6FA57A5E"/>
    <w:rsid w:val="6FAAE2F1"/>
    <w:rsid w:val="6FAE4E16"/>
    <w:rsid w:val="6FAF1A7C"/>
    <w:rsid w:val="6FB52333"/>
    <w:rsid w:val="6FB7D2BF"/>
    <w:rsid w:val="6FB9FB24"/>
    <w:rsid w:val="6FBBDF39"/>
    <w:rsid w:val="6FBC4231"/>
    <w:rsid w:val="6FBDA938"/>
    <w:rsid w:val="6FBDB7ED"/>
    <w:rsid w:val="6FC04198"/>
    <w:rsid w:val="6FC5FF78"/>
    <w:rsid w:val="6FC9917E"/>
    <w:rsid w:val="6FCB6197"/>
    <w:rsid w:val="6FCC9248"/>
    <w:rsid w:val="6FCF60D5"/>
    <w:rsid w:val="6FD2EB84"/>
    <w:rsid w:val="6FD39740"/>
    <w:rsid w:val="6FD4252A"/>
    <w:rsid w:val="6FD44F0E"/>
    <w:rsid w:val="6FDE10EF"/>
    <w:rsid w:val="6FDF91C5"/>
    <w:rsid w:val="6FE04310"/>
    <w:rsid w:val="6FE571B4"/>
    <w:rsid w:val="6FE5AFB0"/>
    <w:rsid w:val="6FE6462F"/>
    <w:rsid w:val="6FE7785E"/>
    <w:rsid w:val="6FEA71B4"/>
    <w:rsid w:val="6FEE18AF"/>
    <w:rsid w:val="6FEE62E2"/>
    <w:rsid w:val="6FF1CF52"/>
    <w:rsid w:val="6FF328E9"/>
    <w:rsid w:val="6FF6C889"/>
    <w:rsid w:val="6FF773EA"/>
    <w:rsid w:val="6FFBFFE4"/>
    <w:rsid w:val="6FFC1467"/>
    <w:rsid w:val="6FFDE55F"/>
    <w:rsid w:val="6FFEF585"/>
    <w:rsid w:val="70014C6C"/>
    <w:rsid w:val="70017D84"/>
    <w:rsid w:val="700288AC"/>
    <w:rsid w:val="7004820C"/>
    <w:rsid w:val="70073475"/>
    <w:rsid w:val="70082696"/>
    <w:rsid w:val="700F5568"/>
    <w:rsid w:val="700FD844"/>
    <w:rsid w:val="701309E3"/>
    <w:rsid w:val="701501E7"/>
    <w:rsid w:val="7015DA51"/>
    <w:rsid w:val="70163FB6"/>
    <w:rsid w:val="701867D4"/>
    <w:rsid w:val="701E06A3"/>
    <w:rsid w:val="7021FA60"/>
    <w:rsid w:val="7022925A"/>
    <w:rsid w:val="7022EACB"/>
    <w:rsid w:val="7025AFAB"/>
    <w:rsid w:val="7026C2A8"/>
    <w:rsid w:val="7026DB39"/>
    <w:rsid w:val="7027C1FC"/>
    <w:rsid w:val="7027C46F"/>
    <w:rsid w:val="7029B625"/>
    <w:rsid w:val="702A904B"/>
    <w:rsid w:val="702AC484"/>
    <w:rsid w:val="702C33E6"/>
    <w:rsid w:val="702C441C"/>
    <w:rsid w:val="702C8D1F"/>
    <w:rsid w:val="7031AC64"/>
    <w:rsid w:val="70337B2C"/>
    <w:rsid w:val="703872A0"/>
    <w:rsid w:val="703C62AF"/>
    <w:rsid w:val="703D462C"/>
    <w:rsid w:val="703F2A67"/>
    <w:rsid w:val="70417AB4"/>
    <w:rsid w:val="7041EE29"/>
    <w:rsid w:val="70421DC0"/>
    <w:rsid w:val="7046A28C"/>
    <w:rsid w:val="7047BB00"/>
    <w:rsid w:val="70497A6A"/>
    <w:rsid w:val="704B3774"/>
    <w:rsid w:val="704CD01F"/>
    <w:rsid w:val="704F9FBE"/>
    <w:rsid w:val="70501909"/>
    <w:rsid w:val="7051B1AE"/>
    <w:rsid w:val="70547E09"/>
    <w:rsid w:val="70564A3B"/>
    <w:rsid w:val="705800D2"/>
    <w:rsid w:val="7059C68F"/>
    <w:rsid w:val="705A1CFA"/>
    <w:rsid w:val="705AF37D"/>
    <w:rsid w:val="705B06A3"/>
    <w:rsid w:val="705C65BE"/>
    <w:rsid w:val="705D0748"/>
    <w:rsid w:val="70614146"/>
    <w:rsid w:val="7065E67A"/>
    <w:rsid w:val="7065F66D"/>
    <w:rsid w:val="706601E4"/>
    <w:rsid w:val="706C58E5"/>
    <w:rsid w:val="707013BD"/>
    <w:rsid w:val="707073A9"/>
    <w:rsid w:val="70714181"/>
    <w:rsid w:val="7071AEDC"/>
    <w:rsid w:val="70722453"/>
    <w:rsid w:val="707353EA"/>
    <w:rsid w:val="707619F6"/>
    <w:rsid w:val="7076B018"/>
    <w:rsid w:val="70770CB0"/>
    <w:rsid w:val="70779AF3"/>
    <w:rsid w:val="70799E4B"/>
    <w:rsid w:val="707CFA36"/>
    <w:rsid w:val="707DF104"/>
    <w:rsid w:val="707F206E"/>
    <w:rsid w:val="707F8EBD"/>
    <w:rsid w:val="7082889A"/>
    <w:rsid w:val="70836EF3"/>
    <w:rsid w:val="70841A57"/>
    <w:rsid w:val="7085FDBD"/>
    <w:rsid w:val="70874DE5"/>
    <w:rsid w:val="708A6384"/>
    <w:rsid w:val="7096501C"/>
    <w:rsid w:val="70973E7A"/>
    <w:rsid w:val="709C0A70"/>
    <w:rsid w:val="709FDF09"/>
    <w:rsid w:val="70A0BB4D"/>
    <w:rsid w:val="70A141D5"/>
    <w:rsid w:val="70A586DC"/>
    <w:rsid w:val="70AD9512"/>
    <w:rsid w:val="70B1183D"/>
    <w:rsid w:val="70B178C5"/>
    <w:rsid w:val="70B4E2A6"/>
    <w:rsid w:val="70B57457"/>
    <w:rsid w:val="70BD09B1"/>
    <w:rsid w:val="70BE2BA3"/>
    <w:rsid w:val="70C09D28"/>
    <w:rsid w:val="70C1D077"/>
    <w:rsid w:val="70C23E3E"/>
    <w:rsid w:val="70C3CB57"/>
    <w:rsid w:val="70CA082E"/>
    <w:rsid w:val="70CB0AC8"/>
    <w:rsid w:val="70CC116B"/>
    <w:rsid w:val="70CC1EEA"/>
    <w:rsid w:val="70CD226D"/>
    <w:rsid w:val="70CF2A97"/>
    <w:rsid w:val="70D355BC"/>
    <w:rsid w:val="70D7A8B7"/>
    <w:rsid w:val="70D8E33C"/>
    <w:rsid w:val="70D927F9"/>
    <w:rsid w:val="70D9CD5F"/>
    <w:rsid w:val="70DAF9AB"/>
    <w:rsid w:val="70DC4505"/>
    <w:rsid w:val="70DE168B"/>
    <w:rsid w:val="70DFD571"/>
    <w:rsid w:val="70E0D926"/>
    <w:rsid w:val="70E34CA8"/>
    <w:rsid w:val="70E667C3"/>
    <w:rsid w:val="70E94380"/>
    <w:rsid w:val="70EA73C4"/>
    <w:rsid w:val="70ED0183"/>
    <w:rsid w:val="70EF67A1"/>
    <w:rsid w:val="70F18EDB"/>
    <w:rsid w:val="70F55BD2"/>
    <w:rsid w:val="70F6EBCD"/>
    <w:rsid w:val="70F8084A"/>
    <w:rsid w:val="70FA6169"/>
    <w:rsid w:val="70FADF67"/>
    <w:rsid w:val="70FB9CD6"/>
    <w:rsid w:val="70FCFC8B"/>
    <w:rsid w:val="70FE0A02"/>
    <w:rsid w:val="71001C9D"/>
    <w:rsid w:val="710176D3"/>
    <w:rsid w:val="7106DB24"/>
    <w:rsid w:val="71080298"/>
    <w:rsid w:val="71089DFD"/>
    <w:rsid w:val="710A5189"/>
    <w:rsid w:val="710B76B4"/>
    <w:rsid w:val="71122C5B"/>
    <w:rsid w:val="7114276D"/>
    <w:rsid w:val="7114E320"/>
    <w:rsid w:val="711B4841"/>
    <w:rsid w:val="711B64A8"/>
    <w:rsid w:val="711DD318"/>
    <w:rsid w:val="711E0E75"/>
    <w:rsid w:val="711F3FE6"/>
    <w:rsid w:val="71214454"/>
    <w:rsid w:val="712181D0"/>
    <w:rsid w:val="71224AFE"/>
    <w:rsid w:val="7122988B"/>
    <w:rsid w:val="71240214"/>
    <w:rsid w:val="7125FE6D"/>
    <w:rsid w:val="71260C6F"/>
    <w:rsid w:val="712710C8"/>
    <w:rsid w:val="712C4437"/>
    <w:rsid w:val="712EE6ED"/>
    <w:rsid w:val="712FE13C"/>
    <w:rsid w:val="713485CE"/>
    <w:rsid w:val="7134C414"/>
    <w:rsid w:val="7135001A"/>
    <w:rsid w:val="7135DB62"/>
    <w:rsid w:val="71372D87"/>
    <w:rsid w:val="7138E360"/>
    <w:rsid w:val="713C9323"/>
    <w:rsid w:val="713FE984"/>
    <w:rsid w:val="7142A6DB"/>
    <w:rsid w:val="71447999"/>
    <w:rsid w:val="7146E46F"/>
    <w:rsid w:val="7149F9D6"/>
    <w:rsid w:val="714BB3AF"/>
    <w:rsid w:val="714C33CF"/>
    <w:rsid w:val="714D04CC"/>
    <w:rsid w:val="714E8BA2"/>
    <w:rsid w:val="714F5C67"/>
    <w:rsid w:val="7150E03D"/>
    <w:rsid w:val="715AF777"/>
    <w:rsid w:val="715D1345"/>
    <w:rsid w:val="7161B8C2"/>
    <w:rsid w:val="7163C8B2"/>
    <w:rsid w:val="71678BF3"/>
    <w:rsid w:val="7167C714"/>
    <w:rsid w:val="716F68F2"/>
    <w:rsid w:val="71725846"/>
    <w:rsid w:val="71757AC5"/>
    <w:rsid w:val="717B0962"/>
    <w:rsid w:val="717E63D8"/>
    <w:rsid w:val="717F9969"/>
    <w:rsid w:val="71812E63"/>
    <w:rsid w:val="71813981"/>
    <w:rsid w:val="718C8E75"/>
    <w:rsid w:val="718F7D66"/>
    <w:rsid w:val="71907873"/>
    <w:rsid w:val="71913E13"/>
    <w:rsid w:val="7196461A"/>
    <w:rsid w:val="719C6715"/>
    <w:rsid w:val="71A17779"/>
    <w:rsid w:val="71A4F51F"/>
    <w:rsid w:val="71A4F85A"/>
    <w:rsid w:val="71A56623"/>
    <w:rsid w:val="71A826E9"/>
    <w:rsid w:val="71AC60E5"/>
    <w:rsid w:val="71AD3675"/>
    <w:rsid w:val="71AED7D8"/>
    <w:rsid w:val="71AF10F5"/>
    <w:rsid w:val="71B419BD"/>
    <w:rsid w:val="71B745D7"/>
    <w:rsid w:val="71C11927"/>
    <w:rsid w:val="71C64149"/>
    <w:rsid w:val="71C98F1E"/>
    <w:rsid w:val="71CC536B"/>
    <w:rsid w:val="71D11104"/>
    <w:rsid w:val="71D11AFA"/>
    <w:rsid w:val="71D22C6D"/>
    <w:rsid w:val="71D4BBAB"/>
    <w:rsid w:val="71D4C90F"/>
    <w:rsid w:val="71D5A4A8"/>
    <w:rsid w:val="71D61E14"/>
    <w:rsid w:val="71DBA796"/>
    <w:rsid w:val="71DDAE3F"/>
    <w:rsid w:val="71DEA21A"/>
    <w:rsid w:val="71DFB011"/>
    <w:rsid w:val="71E5039B"/>
    <w:rsid w:val="71E7A777"/>
    <w:rsid w:val="71E9AB7D"/>
    <w:rsid w:val="71ECAF67"/>
    <w:rsid w:val="71F2241D"/>
    <w:rsid w:val="71F49D15"/>
    <w:rsid w:val="71F4C2D5"/>
    <w:rsid w:val="71F65994"/>
    <w:rsid w:val="71F6BFA6"/>
    <w:rsid w:val="71F7B145"/>
    <w:rsid w:val="71FA0808"/>
    <w:rsid w:val="71FE2678"/>
    <w:rsid w:val="7203949D"/>
    <w:rsid w:val="7203EA53"/>
    <w:rsid w:val="7204C655"/>
    <w:rsid w:val="72099D33"/>
    <w:rsid w:val="720A79A9"/>
    <w:rsid w:val="720B1CFD"/>
    <w:rsid w:val="7210EBED"/>
    <w:rsid w:val="721511F1"/>
    <w:rsid w:val="7215779D"/>
    <w:rsid w:val="7218BE07"/>
    <w:rsid w:val="721EF222"/>
    <w:rsid w:val="722191E4"/>
    <w:rsid w:val="7222C01F"/>
    <w:rsid w:val="72234F84"/>
    <w:rsid w:val="7223A242"/>
    <w:rsid w:val="72245E64"/>
    <w:rsid w:val="7224ADDB"/>
    <w:rsid w:val="7226DA4A"/>
    <w:rsid w:val="72273F4E"/>
    <w:rsid w:val="7227C7EB"/>
    <w:rsid w:val="722938B3"/>
    <w:rsid w:val="72298D17"/>
    <w:rsid w:val="722AB4A0"/>
    <w:rsid w:val="722B0900"/>
    <w:rsid w:val="722C11FF"/>
    <w:rsid w:val="722E4BF0"/>
    <w:rsid w:val="7231E350"/>
    <w:rsid w:val="723583AF"/>
    <w:rsid w:val="723AA1AB"/>
    <w:rsid w:val="723AFA75"/>
    <w:rsid w:val="723B1A0C"/>
    <w:rsid w:val="723C51B7"/>
    <w:rsid w:val="723D3B0D"/>
    <w:rsid w:val="723D9EEE"/>
    <w:rsid w:val="723F885E"/>
    <w:rsid w:val="7245ECAC"/>
    <w:rsid w:val="7247771F"/>
    <w:rsid w:val="724A28AC"/>
    <w:rsid w:val="724B43F5"/>
    <w:rsid w:val="724DFB3F"/>
    <w:rsid w:val="724E7137"/>
    <w:rsid w:val="724E7544"/>
    <w:rsid w:val="7254DD41"/>
    <w:rsid w:val="7254F646"/>
    <w:rsid w:val="72579C37"/>
    <w:rsid w:val="7259EA5F"/>
    <w:rsid w:val="725C3354"/>
    <w:rsid w:val="725F1BD1"/>
    <w:rsid w:val="725F26ED"/>
    <w:rsid w:val="725F7382"/>
    <w:rsid w:val="72608E78"/>
    <w:rsid w:val="7269EF5C"/>
    <w:rsid w:val="7275A9D1"/>
    <w:rsid w:val="7275C2A4"/>
    <w:rsid w:val="72779051"/>
    <w:rsid w:val="7278DD5C"/>
    <w:rsid w:val="727DDE27"/>
    <w:rsid w:val="7280153B"/>
    <w:rsid w:val="72819A08"/>
    <w:rsid w:val="72826E9F"/>
    <w:rsid w:val="72838DAF"/>
    <w:rsid w:val="7286F489"/>
    <w:rsid w:val="728A3C9C"/>
    <w:rsid w:val="728B1481"/>
    <w:rsid w:val="7290BF7A"/>
    <w:rsid w:val="729290B4"/>
    <w:rsid w:val="7292EB86"/>
    <w:rsid w:val="7297CB85"/>
    <w:rsid w:val="729CDB73"/>
    <w:rsid w:val="72A08BB2"/>
    <w:rsid w:val="72A28964"/>
    <w:rsid w:val="72A300D8"/>
    <w:rsid w:val="72A3DF12"/>
    <w:rsid w:val="72A49F28"/>
    <w:rsid w:val="72A63C45"/>
    <w:rsid w:val="72A6652B"/>
    <w:rsid w:val="72A75DD6"/>
    <w:rsid w:val="72AF3D4D"/>
    <w:rsid w:val="72B19F43"/>
    <w:rsid w:val="72B85F16"/>
    <w:rsid w:val="72B99170"/>
    <w:rsid w:val="72B9D80A"/>
    <w:rsid w:val="72B9ECDC"/>
    <w:rsid w:val="72BA9721"/>
    <w:rsid w:val="72BAB00A"/>
    <w:rsid w:val="72BC70D4"/>
    <w:rsid w:val="72BE1B5F"/>
    <w:rsid w:val="72BED8D5"/>
    <w:rsid w:val="72BEE617"/>
    <w:rsid w:val="72BFCE22"/>
    <w:rsid w:val="72C06BA0"/>
    <w:rsid w:val="72C2213D"/>
    <w:rsid w:val="72C5E33C"/>
    <w:rsid w:val="72C7A59D"/>
    <w:rsid w:val="72C7B827"/>
    <w:rsid w:val="72CB7912"/>
    <w:rsid w:val="72CDA18C"/>
    <w:rsid w:val="72D8531F"/>
    <w:rsid w:val="72DAEB98"/>
    <w:rsid w:val="72DE1DDA"/>
    <w:rsid w:val="72DE557C"/>
    <w:rsid w:val="72DF0431"/>
    <w:rsid w:val="72DF5B5F"/>
    <w:rsid w:val="72E0638C"/>
    <w:rsid w:val="72E1A3B6"/>
    <w:rsid w:val="72E29FDF"/>
    <w:rsid w:val="72E68238"/>
    <w:rsid w:val="72E7A822"/>
    <w:rsid w:val="72EA415F"/>
    <w:rsid w:val="72EE1468"/>
    <w:rsid w:val="72EE598B"/>
    <w:rsid w:val="72F549FA"/>
    <w:rsid w:val="72F6B8B1"/>
    <w:rsid w:val="72F8B1B8"/>
    <w:rsid w:val="72FF4D9A"/>
    <w:rsid w:val="730063E9"/>
    <w:rsid w:val="730242F2"/>
    <w:rsid w:val="73032AD7"/>
    <w:rsid w:val="7304DE8C"/>
    <w:rsid w:val="73069D24"/>
    <w:rsid w:val="7309A1B3"/>
    <w:rsid w:val="730F098F"/>
    <w:rsid w:val="7311C670"/>
    <w:rsid w:val="73152BC2"/>
    <w:rsid w:val="73164F0C"/>
    <w:rsid w:val="7317CCB7"/>
    <w:rsid w:val="731B84B5"/>
    <w:rsid w:val="731D21A8"/>
    <w:rsid w:val="731F95AE"/>
    <w:rsid w:val="731F95E6"/>
    <w:rsid w:val="7322BB01"/>
    <w:rsid w:val="73231CE3"/>
    <w:rsid w:val="732326FA"/>
    <w:rsid w:val="7327ADAC"/>
    <w:rsid w:val="732DBB72"/>
    <w:rsid w:val="7331668A"/>
    <w:rsid w:val="733172FD"/>
    <w:rsid w:val="73318829"/>
    <w:rsid w:val="73351FC3"/>
    <w:rsid w:val="73376966"/>
    <w:rsid w:val="733E335E"/>
    <w:rsid w:val="734075CE"/>
    <w:rsid w:val="73415122"/>
    <w:rsid w:val="734336BA"/>
    <w:rsid w:val="7349D6D4"/>
    <w:rsid w:val="734BB138"/>
    <w:rsid w:val="734C19E3"/>
    <w:rsid w:val="734C3722"/>
    <w:rsid w:val="734DBF10"/>
    <w:rsid w:val="734E9255"/>
    <w:rsid w:val="7353CDED"/>
    <w:rsid w:val="7353EA93"/>
    <w:rsid w:val="7358D7B4"/>
    <w:rsid w:val="735BF0F2"/>
    <w:rsid w:val="735D2978"/>
    <w:rsid w:val="735F4B34"/>
    <w:rsid w:val="735F5E9A"/>
    <w:rsid w:val="7369649A"/>
    <w:rsid w:val="736A1540"/>
    <w:rsid w:val="736F1CCC"/>
    <w:rsid w:val="73754306"/>
    <w:rsid w:val="7377DC9F"/>
    <w:rsid w:val="737CEB0D"/>
    <w:rsid w:val="737F4685"/>
    <w:rsid w:val="73808AB2"/>
    <w:rsid w:val="7381C829"/>
    <w:rsid w:val="7384B599"/>
    <w:rsid w:val="7386F651"/>
    <w:rsid w:val="73875CA0"/>
    <w:rsid w:val="738895E0"/>
    <w:rsid w:val="738BF943"/>
    <w:rsid w:val="7391CF77"/>
    <w:rsid w:val="7393251D"/>
    <w:rsid w:val="73998337"/>
    <w:rsid w:val="739A7231"/>
    <w:rsid w:val="739AF6EC"/>
    <w:rsid w:val="739FE2ED"/>
    <w:rsid w:val="73AA9A75"/>
    <w:rsid w:val="73ABA6F6"/>
    <w:rsid w:val="73B0FF6E"/>
    <w:rsid w:val="73B18666"/>
    <w:rsid w:val="73B1DAAF"/>
    <w:rsid w:val="73B5619A"/>
    <w:rsid w:val="73B9D2D5"/>
    <w:rsid w:val="73BAC283"/>
    <w:rsid w:val="73BE6E3D"/>
    <w:rsid w:val="73C0DB0A"/>
    <w:rsid w:val="73C4C267"/>
    <w:rsid w:val="73C6A798"/>
    <w:rsid w:val="73CBE896"/>
    <w:rsid w:val="73CDE4CE"/>
    <w:rsid w:val="73CE646F"/>
    <w:rsid w:val="73CEAA04"/>
    <w:rsid w:val="73D190ED"/>
    <w:rsid w:val="73D2D83D"/>
    <w:rsid w:val="73D4AFEB"/>
    <w:rsid w:val="73D8F820"/>
    <w:rsid w:val="73DB15EA"/>
    <w:rsid w:val="73DC05D1"/>
    <w:rsid w:val="73DC71D2"/>
    <w:rsid w:val="73E9EA4B"/>
    <w:rsid w:val="73E9EC6B"/>
    <w:rsid w:val="73F393DE"/>
    <w:rsid w:val="73F43CF3"/>
    <w:rsid w:val="7401A880"/>
    <w:rsid w:val="74041F41"/>
    <w:rsid w:val="74045E60"/>
    <w:rsid w:val="7405CBBC"/>
    <w:rsid w:val="740812E3"/>
    <w:rsid w:val="740818B0"/>
    <w:rsid w:val="74090DBD"/>
    <w:rsid w:val="740B8500"/>
    <w:rsid w:val="740E2DE8"/>
    <w:rsid w:val="740EE065"/>
    <w:rsid w:val="741115FD"/>
    <w:rsid w:val="74112106"/>
    <w:rsid w:val="7415196E"/>
    <w:rsid w:val="74166278"/>
    <w:rsid w:val="7416AC84"/>
    <w:rsid w:val="7418FD0D"/>
    <w:rsid w:val="7419EB6E"/>
    <w:rsid w:val="741F8C68"/>
    <w:rsid w:val="74202BB3"/>
    <w:rsid w:val="742268AC"/>
    <w:rsid w:val="7422C7EF"/>
    <w:rsid w:val="7423DF33"/>
    <w:rsid w:val="74240949"/>
    <w:rsid w:val="7424C038"/>
    <w:rsid w:val="74254448"/>
    <w:rsid w:val="74259FE8"/>
    <w:rsid w:val="7426BBEE"/>
    <w:rsid w:val="74272066"/>
    <w:rsid w:val="74275DBF"/>
    <w:rsid w:val="742A176F"/>
    <w:rsid w:val="742ABD35"/>
    <w:rsid w:val="74347F0D"/>
    <w:rsid w:val="743A449D"/>
    <w:rsid w:val="743AAF36"/>
    <w:rsid w:val="743B5DCA"/>
    <w:rsid w:val="743C9D14"/>
    <w:rsid w:val="743EA742"/>
    <w:rsid w:val="743EFA36"/>
    <w:rsid w:val="743F2DBD"/>
    <w:rsid w:val="743F67BC"/>
    <w:rsid w:val="7442B1E7"/>
    <w:rsid w:val="7443E0A5"/>
    <w:rsid w:val="7445B89E"/>
    <w:rsid w:val="744789F5"/>
    <w:rsid w:val="744878B0"/>
    <w:rsid w:val="7449B122"/>
    <w:rsid w:val="744BBF31"/>
    <w:rsid w:val="744F1398"/>
    <w:rsid w:val="744F324F"/>
    <w:rsid w:val="7456B289"/>
    <w:rsid w:val="7457C137"/>
    <w:rsid w:val="7458530B"/>
    <w:rsid w:val="7460161A"/>
    <w:rsid w:val="7461AEC9"/>
    <w:rsid w:val="7461E6E1"/>
    <w:rsid w:val="7466E980"/>
    <w:rsid w:val="7467DAFB"/>
    <w:rsid w:val="746B9B40"/>
    <w:rsid w:val="746FF36C"/>
    <w:rsid w:val="747305E9"/>
    <w:rsid w:val="7476B693"/>
    <w:rsid w:val="7479C062"/>
    <w:rsid w:val="747BC9D4"/>
    <w:rsid w:val="74817A8A"/>
    <w:rsid w:val="74818FC1"/>
    <w:rsid w:val="74821541"/>
    <w:rsid w:val="7482A367"/>
    <w:rsid w:val="7485AA81"/>
    <w:rsid w:val="748D16D0"/>
    <w:rsid w:val="748E9C2A"/>
    <w:rsid w:val="748F340F"/>
    <w:rsid w:val="74903FF8"/>
    <w:rsid w:val="7491773E"/>
    <w:rsid w:val="74934CCE"/>
    <w:rsid w:val="74948559"/>
    <w:rsid w:val="7497DB79"/>
    <w:rsid w:val="74996490"/>
    <w:rsid w:val="7499F8F3"/>
    <w:rsid w:val="749AD687"/>
    <w:rsid w:val="749B9341"/>
    <w:rsid w:val="749F3F89"/>
    <w:rsid w:val="749FC971"/>
    <w:rsid w:val="74A12BEF"/>
    <w:rsid w:val="74A2018A"/>
    <w:rsid w:val="74A3D2C3"/>
    <w:rsid w:val="74ADB4F2"/>
    <w:rsid w:val="74B541C8"/>
    <w:rsid w:val="74B64F06"/>
    <w:rsid w:val="74B71305"/>
    <w:rsid w:val="74BC615A"/>
    <w:rsid w:val="74BF3114"/>
    <w:rsid w:val="74C0362A"/>
    <w:rsid w:val="74C040FA"/>
    <w:rsid w:val="74C0591C"/>
    <w:rsid w:val="74C3F267"/>
    <w:rsid w:val="74C7FDA6"/>
    <w:rsid w:val="74CA0C41"/>
    <w:rsid w:val="74CB745D"/>
    <w:rsid w:val="74CE5E2B"/>
    <w:rsid w:val="74CEAD50"/>
    <w:rsid w:val="74D1C193"/>
    <w:rsid w:val="74D44B53"/>
    <w:rsid w:val="74D4E363"/>
    <w:rsid w:val="74D6541F"/>
    <w:rsid w:val="74D84D39"/>
    <w:rsid w:val="74D9CB7E"/>
    <w:rsid w:val="74DA9F68"/>
    <w:rsid w:val="74DAF548"/>
    <w:rsid w:val="74DAFEDE"/>
    <w:rsid w:val="74DF5069"/>
    <w:rsid w:val="74E104EA"/>
    <w:rsid w:val="74E15C4B"/>
    <w:rsid w:val="74E52A7C"/>
    <w:rsid w:val="74E6AF66"/>
    <w:rsid w:val="74E6BFF6"/>
    <w:rsid w:val="74E80783"/>
    <w:rsid w:val="74EAD424"/>
    <w:rsid w:val="74ED216D"/>
    <w:rsid w:val="74EE5084"/>
    <w:rsid w:val="74EEB5A0"/>
    <w:rsid w:val="74F2E199"/>
    <w:rsid w:val="74F4A3CC"/>
    <w:rsid w:val="74F4E07E"/>
    <w:rsid w:val="74F72A90"/>
    <w:rsid w:val="74FB5C3F"/>
    <w:rsid w:val="750679CA"/>
    <w:rsid w:val="7507AB41"/>
    <w:rsid w:val="75087C32"/>
    <w:rsid w:val="75092358"/>
    <w:rsid w:val="75094750"/>
    <w:rsid w:val="750BB3E9"/>
    <w:rsid w:val="75133AD0"/>
    <w:rsid w:val="7516972D"/>
    <w:rsid w:val="751D433B"/>
    <w:rsid w:val="751F3936"/>
    <w:rsid w:val="752287CB"/>
    <w:rsid w:val="7524637B"/>
    <w:rsid w:val="7526B6ED"/>
    <w:rsid w:val="752767E4"/>
    <w:rsid w:val="75289971"/>
    <w:rsid w:val="752B13E5"/>
    <w:rsid w:val="752CB3E3"/>
    <w:rsid w:val="7530FFC3"/>
    <w:rsid w:val="7532C04A"/>
    <w:rsid w:val="7532F8F9"/>
    <w:rsid w:val="7536E2AC"/>
    <w:rsid w:val="753893A3"/>
    <w:rsid w:val="753A1ED6"/>
    <w:rsid w:val="753A46FC"/>
    <w:rsid w:val="7540498A"/>
    <w:rsid w:val="7542AE52"/>
    <w:rsid w:val="7543290F"/>
    <w:rsid w:val="754391EC"/>
    <w:rsid w:val="75449C88"/>
    <w:rsid w:val="754A365E"/>
    <w:rsid w:val="754B5BE4"/>
    <w:rsid w:val="754C2921"/>
    <w:rsid w:val="75566B3D"/>
    <w:rsid w:val="7557FC91"/>
    <w:rsid w:val="75638148"/>
    <w:rsid w:val="75757C50"/>
    <w:rsid w:val="757672C8"/>
    <w:rsid w:val="75773CFD"/>
    <w:rsid w:val="7578FD3C"/>
    <w:rsid w:val="7579813E"/>
    <w:rsid w:val="7579C7BA"/>
    <w:rsid w:val="7579CF15"/>
    <w:rsid w:val="757BA048"/>
    <w:rsid w:val="757E3DBC"/>
    <w:rsid w:val="758113E4"/>
    <w:rsid w:val="7581B6D6"/>
    <w:rsid w:val="7581CAA1"/>
    <w:rsid w:val="758C49B4"/>
    <w:rsid w:val="7593ED1B"/>
    <w:rsid w:val="759C7060"/>
    <w:rsid w:val="75A04952"/>
    <w:rsid w:val="75A1D9FF"/>
    <w:rsid w:val="75A4B26E"/>
    <w:rsid w:val="75ACA957"/>
    <w:rsid w:val="75ADABF3"/>
    <w:rsid w:val="75B0B13B"/>
    <w:rsid w:val="75B4A0BF"/>
    <w:rsid w:val="75B6E727"/>
    <w:rsid w:val="75B88EE8"/>
    <w:rsid w:val="75B8C07C"/>
    <w:rsid w:val="75BCB218"/>
    <w:rsid w:val="75BD414A"/>
    <w:rsid w:val="75BE9009"/>
    <w:rsid w:val="75BF27B3"/>
    <w:rsid w:val="75C03E76"/>
    <w:rsid w:val="75C2F847"/>
    <w:rsid w:val="75C3137B"/>
    <w:rsid w:val="75CCFED5"/>
    <w:rsid w:val="75CE95DD"/>
    <w:rsid w:val="75D1B8F1"/>
    <w:rsid w:val="75D7616A"/>
    <w:rsid w:val="75DD39F7"/>
    <w:rsid w:val="75DF5DDA"/>
    <w:rsid w:val="75DF689C"/>
    <w:rsid w:val="75E0EE05"/>
    <w:rsid w:val="75E11310"/>
    <w:rsid w:val="75E43FC6"/>
    <w:rsid w:val="75E4B027"/>
    <w:rsid w:val="75E4F74D"/>
    <w:rsid w:val="75E748B4"/>
    <w:rsid w:val="75E754D0"/>
    <w:rsid w:val="75E7EE0F"/>
    <w:rsid w:val="75E9B69E"/>
    <w:rsid w:val="75EAA25A"/>
    <w:rsid w:val="75EB2F33"/>
    <w:rsid w:val="75EC8448"/>
    <w:rsid w:val="75EEB964"/>
    <w:rsid w:val="75F721CF"/>
    <w:rsid w:val="75FA385B"/>
    <w:rsid w:val="75FCADC8"/>
    <w:rsid w:val="75FD6BC7"/>
    <w:rsid w:val="76020FD5"/>
    <w:rsid w:val="76024184"/>
    <w:rsid w:val="760A4107"/>
    <w:rsid w:val="760A8091"/>
    <w:rsid w:val="760B1728"/>
    <w:rsid w:val="7610E1F5"/>
    <w:rsid w:val="7611BF53"/>
    <w:rsid w:val="7611CDE3"/>
    <w:rsid w:val="7615B8B1"/>
    <w:rsid w:val="7616AFEA"/>
    <w:rsid w:val="7617F50D"/>
    <w:rsid w:val="761A18B7"/>
    <w:rsid w:val="761B5F71"/>
    <w:rsid w:val="761D1B48"/>
    <w:rsid w:val="761E37A8"/>
    <w:rsid w:val="76207A9D"/>
    <w:rsid w:val="762562DD"/>
    <w:rsid w:val="7625DA97"/>
    <w:rsid w:val="76295667"/>
    <w:rsid w:val="762C7D66"/>
    <w:rsid w:val="7630074F"/>
    <w:rsid w:val="76310AFC"/>
    <w:rsid w:val="7633490B"/>
    <w:rsid w:val="7635A2A4"/>
    <w:rsid w:val="7638DD1A"/>
    <w:rsid w:val="7638F7B5"/>
    <w:rsid w:val="7639FA0C"/>
    <w:rsid w:val="763B81E8"/>
    <w:rsid w:val="763B8F9D"/>
    <w:rsid w:val="763EF6A0"/>
    <w:rsid w:val="76410FDE"/>
    <w:rsid w:val="7645E44C"/>
    <w:rsid w:val="7646E930"/>
    <w:rsid w:val="764D7540"/>
    <w:rsid w:val="764E6EE8"/>
    <w:rsid w:val="764ECFFB"/>
    <w:rsid w:val="7651CDF1"/>
    <w:rsid w:val="76539AB0"/>
    <w:rsid w:val="76555058"/>
    <w:rsid w:val="76585D53"/>
    <w:rsid w:val="7658B6C8"/>
    <w:rsid w:val="765B7408"/>
    <w:rsid w:val="765CF99A"/>
    <w:rsid w:val="765D3002"/>
    <w:rsid w:val="765E013C"/>
    <w:rsid w:val="765E5D33"/>
    <w:rsid w:val="76685783"/>
    <w:rsid w:val="766D48F8"/>
    <w:rsid w:val="767001BC"/>
    <w:rsid w:val="7672450B"/>
    <w:rsid w:val="76724DC8"/>
    <w:rsid w:val="76729D0D"/>
    <w:rsid w:val="7675FFCC"/>
    <w:rsid w:val="767B72CC"/>
    <w:rsid w:val="767D71BF"/>
    <w:rsid w:val="767E28A2"/>
    <w:rsid w:val="767F3C0A"/>
    <w:rsid w:val="767F5DE1"/>
    <w:rsid w:val="7680828D"/>
    <w:rsid w:val="7681B1BE"/>
    <w:rsid w:val="7681F2E9"/>
    <w:rsid w:val="7684F9C9"/>
    <w:rsid w:val="7685A122"/>
    <w:rsid w:val="768897AE"/>
    <w:rsid w:val="76964596"/>
    <w:rsid w:val="769977C0"/>
    <w:rsid w:val="769B2682"/>
    <w:rsid w:val="769B64DD"/>
    <w:rsid w:val="769C7EF4"/>
    <w:rsid w:val="76A81331"/>
    <w:rsid w:val="76AFC74D"/>
    <w:rsid w:val="76B27EE5"/>
    <w:rsid w:val="76B64A0C"/>
    <w:rsid w:val="76B7DEDC"/>
    <w:rsid w:val="76BD04A6"/>
    <w:rsid w:val="76BDDD72"/>
    <w:rsid w:val="76C1C746"/>
    <w:rsid w:val="76C562C4"/>
    <w:rsid w:val="76C9A27D"/>
    <w:rsid w:val="76CBB28A"/>
    <w:rsid w:val="76CD27BC"/>
    <w:rsid w:val="76CE90AB"/>
    <w:rsid w:val="76CFD213"/>
    <w:rsid w:val="76D8A582"/>
    <w:rsid w:val="76D90D95"/>
    <w:rsid w:val="76DA5B6A"/>
    <w:rsid w:val="76DB410F"/>
    <w:rsid w:val="76DBFEC6"/>
    <w:rsid w:val="76DEB5A2"/>
    <w:rsid w:val="76DF9A46"/>
    <w:rsid w:val="76E14848"/>
    <w:rsid w:val="76E3A9B2"/>
    <w:rsid w:val="76E66F2F"/>
    <w:rsid w:val="76EC32E6"/>
    <w:rsid w:val="76EE139D"/>
    <w:rsid w:val="76F09239"/>
    <w:rsid w:val="76F17D29"/>
    <w:rsid w:val="76F2A67B"/>
    <w:rsid w:val="76F387F9"/>
    <w:rsid w:val="76F7A413"/>
    <w:rsid w:val="76F7BB4B"/>
    <w:rsid w:val="76FA253E"/>
    <w:rsid w:val="76FAC1A4"/>
    <w:rsid w:val="76FDAB14"/>
    <w:rsid w:val="7707F403"/>
    <w:rsid w:val="7708AC08"/>
    <w:rsid w:val="770BCAE1"/>
    <w:rsid w:val="770C3C3D"/>
    <w:rsid w:val="770CB8A8"/>
    <w:rsid w:val="77105192"/>
    <w:rsid w:val="77116241"/>
    <w:rsid w:val="7712517C"/>
    <w:rsid w:val="7712958A"/>
    <w:rsid w:val="7714DA4A"/>
    <w:rsid w:val="77169B81"/>
    <w:rsid w:val="771B51A4"/>
    <w:rsid w:val="771E7F09"/>
    <w:rsid w:val="77220728"/>
    <w:rsid w:val="7722D5C3"/>
    <w:rsid w:val="77232EB0"/>
    <w:rsid w:val="77238938"/>
    <w:rsid w:val="7724BD02"/>
    <w:rsid w:val="77265DAB"/>
    <w:rsid w:val="7726B017"/>
    <w:rsid w:val="77280B9E"/>
    <w:rsid w:val="772A949A"/>
    <w:rsid w:val="772C66A7"/>
    <w:rsid w:val="772CDDF3"/>
    <w:rsid w:val="772DB66B"/>
    <w:rsid w:val="77321E78"/>
    <w:rsid w:val="7735449D"/>
    <w:rsid w:val="7738F45D"/>
    <w:rsid w:val="773BE6FD"/>
    <w:rsid w:val="773C3C0C"/>
    <w:rsid w:val="773DC9A3"/>
    <w:rsid w:val="773F9A36"/>
    <w:rsid w:val="77417B1C"/>
    <w:rsid w:val="7743D638"/>
    <w:rsid w:val="7747FDF3"/>
    <w:rsid w:val="774E9A72"/>
    <w:rsid w:val="774FE5D3"/>
    <w:rsid w:val="7750E252"/>
    <w:rsid w:val="7754DB76"/>
    <w:rsid w:val="775610A2"/>
    <w:rsid w:val="7758EDC5"/>
    <w:rsid w:val="775A072C"/>
    <w:rsid w:val="775A90E2"/>
    <w:rsid w:val="775B9E9D"/>
    <w:rsid w:val="775C4C91"/>
    <w:rsid w:val="775E3511"/>
    <w:rsid w:val="775F97FF"/>
    <w:rsid w:val="77617C25"/>
    <w:rsid w:val="77625796"/>
    <w:rsid w:val="77667342"/>
    <w:rsid w:val="77667ABF"/>
    <w:rsid w:val="7769D50F"/>
    <w:rsid w:val="776A4EBC"/>
    <w:rsid w:val="776F438A"/>
    <w:rsid w:val="77702ED0"/>
    <w:rsid w:val="7770CAEB"/>
    <w:rsid w:val="7771D0D0"/>
    <w:rsid w:val="77732110"/>
    <w:rsid w:val="777331CB"/>
    <w:rsid w:val="7773C3A0"/>
    <w:rsid w:val="7775BC9E"/>
    <w:rsid w:val="7777E148"/>
    <w:rsid w:val="77786871"/>
    <w:rsid w:val="7779AD1E"/>
    <w:rsid w:val="777A5F19"/>
    <w:rsid w:val="777C1334"/>
    <w:rsid w:val="77804CD2"/>
    <w:rsid w:val="778184DF"/>
    <w:rsid w:val="7781F04D"/>
    <w:rsid w:val="77888259"/>
    <w:rsid w:val="77899655"/>
    <w:rsid w:val="77934109"/>
    <w:rsid w:val="77942C31"/>
    <w:rsid w:val="7794ECA7"/>
    <w:rsid w:val="77952273"/>
    <w:rsid w:val="77968663"/>
    <w:rsid w:val="77980030"/>
    <w:rsid w:val="77986588"/>
    <w:rsid w:val="779B0791"/>
    <w:rsid w:val="779B0FDC"/>
    <w:rsid w:val="779E1FDD"/>
    <w:rsid w:val="779F5963"/>
    <w:rsid w:val="77A1CE51"/>
    <w:rsid w:val="77A2C4F3"/>
    <w:rsid w:val="77A41AE6"/>
    <w:rsid w:val="77A5CE8A"/>
    <w:rsid w:val="77A6A994"/>
    <w:rsid w:val="77A84B53"/>
    <w:rsid w:val="77A8D3A9"/>
    <w:rsid w:val="77AB5E23"/>
    <w:rsid w:val="77ACAF53"/>
    <w:rsid w:val="77B2C358"/>
    <w:rsid w:val="77B31823"/>
    <w:rsid w:val="77B784C3"/>
    <w:rsid w:val="77B86B1B"/>
    <w:rsid w:val="77BB525D"/>
    <w:rsid w:val="77BC51A9"/>
    <w:rsid w:val="77BC780C"/>
    <w:rsid w:val="77BF1835"/>
    <w:rsid w:val="77C1B1F1"/>
    <w:rsid w:val="77C2E277"/>
    <w:rsid w:val="77C7F9A9"/>
    <w:rsid w:val="77CA911C"/>
    <w:rsid w:val="77CAD252"/>
    <w:rsid w:val="77D09278"/>
    <w:rsid w:val="77D42A66"/>
    <w:rsid w:val="77DD3786"/>
    <w:rsid w:val="77E9CC39"/>
    <w:rsid w:val="77E9DA09"/>
    <w:rsid w:val="77EAB3A8"/>
    <w:rsid w:val="77EF5FAC"/>
    <w:rsid w:val="77EFC4A1"/>
    <w:rsid w:val="77F21128"/>
    <w:rsid w:val="77F452AD"/>
    <w:rsid w:val="77F7F934"/>
    <w:rsid w:val="77F9D9FC"/>
    <w:rsid w:val="77FF5AB9"/>
    <w:rsid w:val="78002698"/>
    <w:rsid w:val="78028084"/>
    <w:rsid w:val="780349FD"/>
    <w:rsid w:val="7807E18E"/>
    <w:rsid w:val="78090501"/>
    <w:rsid w:val="7809DE33"/>
    <w:rsid w:val="780A783E"/>
    <w:rsid w:val="780B8A97"/>
    <w:rsid w:val="780CB5F2"/>
    <w:rsid w:val="780D0B1A"/>
    <w:rsid w:val="781279EC"/>
    <w:rsid w:val="78142B64"/>
    <w:rsid w:val="7814A69F"/>
    <w:rsid w:val="7814BFA4"/>
    <w:rsid w:val="781BC924"/>
    <w:rsid w:val="781D67B7"/>
    <w:rsid w:val="781DCD9D"/>
    <w:rsid w:val="7820BDE8"/>
    <w:rsid w:val="7820E77F"/>
    <w:rsid w:val="7822202A"/>
    <w:rsid w:val="782301E8"/>
    <w:rsid w:val="78235821"/>
    <w:rsid w:val="782412BB"/>
    <w:rsid w:val="78259BDD"/>
    <w:rsid w:val="7825B007"/>
    <w:rsid w:val="7828B376"/>
    <w:rsid w:val="7829FA4F"/>
    <w:rsid w:val="782A0489"/>
    <w:rsid w:val="782B2C87"/>
    <w:rsid w:val="7831505C"/>
    <w:rsid w:val="7834A1C2"/>
    <w:rsid w:val="783B325A"/>
    <w:rsid w:val="783D6262"/>
    <w:rsid w:val="783E174C"/>
    <w:rsid w:val="783E79C4"/>
    <w:rsid w:val="783EDBA8"/>
    <w:rsid w:val="7842FED8"/>
    <w:rsid w:val="7846AD85"/>
    <w:rsid w:val="784AA77B"/>
    <w:rsid w:val="784BC6AA"/>
    <w:rsid w:val="784C9B2F"/>
    <w:rsid w:val="785410CB"/>
    <w:rsid w:val="7854F04F"/>
    <w:rsid w:val="7856EC5F"/>
    <w:rsid w:val="7857BA7A"/>
    <w:rsid w:val="785861AD"/>
    <w:rsid w:val="785A1511"/>
    <w:rsid w:val="785B6A6C"/>
    <w:rsid w:val="785CC5C3"/>
    <w:rsid w:val="785E9ADE"/>
    <w:rsid w:val="785EF041"/>
    <w:rsid w:val="78619F44"/>
    <w:rsid w:val="78661C1A"/>
    <w:rsid w:val="7868192D"/>
    <w:rsid w:val="78698CA5"/>
    <w:rsid w:val="7869F1C9"/>
    <w:rsid w:val="786A4005"/>
    <w:rsid w:val="786ABA22"/>
    <w:rsid w:val="786D59E2"/>
    <w:rsid w:val="786DAD76"/>
    <w:rsid w:val="786DEF18"/>
    <w:rsid w:val="786E76C4"/>
    <w:rsid w:val="7870B99E"/>
    <w:rsid w:val="78724AC8"/>
    <w:rsid w:val="7874BC75"/>
    <w:rsid w:val="7875F902"/>
    <w:rsid w:val="78792EDB"/>
    <w:rsid w:val="787BCF61"/>
    <w:rsid w:val="787C9306"/>
    <w:rsid w:val="788016E0"/>
    <w:rsid w:val="788076A2"/>
    <w:rsid w:val="78813526"/>
    <w:rsid w:val="7881C6F1"/>
    <w:rsid w:val="78874F8F"/>
    <w:rsid w:val="78879688"/>
    <w:rsid w:val="78883F4D"/>
    <w:rsid w:val="7888E0FC"/>
    <w:rsid w:val="788CE9C0"/>
    <w:rsid w:val="7894328D"/>
    <w:rsid w:val="78943AB5"/>
    <w:rsid w:val="78961354"/>
    <w:rsid w:val="78993A82"/>
    <w:rsid w:val="789B038B"/>
    <w:rsid w:val="789BAF17"/>
    <w:rsid w:val="789D9ED4"/>
    <w:rsid w:val="789E9C6F"/>
    <w:rsid w:val="78A10C53"/>
    <w:rsid w:val="78A1CD87"/>
    <w:rsid w:val="78A2B1EC"/>
    <w:rsid w:val="78A613E8"/>
    <w:rsid w:val="78AC6948"/>
    <w:rsid w:val="78AD1AE3"/>
    <w:rsid w:val="78AD7966"/>
    <w:rsid w:val="78AE12B6"/>
    <w:rsid w:val="78B0AF97"/>
    <w:rsid w:val="78B2E5D4"/>
    <w:rsid w:val="78B3910E"/>
    <w:rsid w:val="78B4A685"/>
    <w:rsid w:val="78B68379"/>
    <w:rsid w:val="78B947C8"/>
    <w:rsid w:val="78BA4C98"/>
    <w:rsid w:val="78C1F36E"/>
    <w:rsid w:val="78C1F8BC"/>
    <w:rsid w:val="78C38F8C"/>
    <w:rsid w:val="78C45EF3"/>
    <w:rsid w:val="78C5C3AE"/>
    <w:rsid w:val="78C74BF9"/>
    <w:rsid w:val="78C7CEF3"/>
    <w:rsid w:val="78CAEBC6"/>
    <w:rsid w:val="78CC7411"/>
    <w:rsid w:val="78CF7134"/>
    <w:rsid w:val="78D00606"/>
    <w:rsid w:val="78D15561"/>
    <w:rsid w:val="78D2C272"/>
    <w:rsid w:val="78D3021D"/>
    <w:rsid w:val="78D62159"/>
    <w:rsid w:val="78D62840"/>
    <w:rsid w:val="78DB84EC"/>
    <w:rsid w:val="78DBEEAD"/>
    <w:rsid w:val="78DC2F9A"/>
    <w:rsid w:val="78DD6644"/>
    <w:rsid w:val="78DDB25E"/>
    <w:rsid w:val="78E430D5"/>
    <w:rsid w:val="78E71578"/>
    <w:rsid w:val="78E9CE10"/>
    <w:rsid w:val="78EBF58F"/>
    <w:rsid w:val="78EC7C08"/>
    <w:rsid w:val="78EEDC87"/>
    <w:rsid w:val="78F1EA51"/>
    <w:rsid w:val="78F5FC52"/>
    <w:rsid w:val="78F864A2"/>
    <w:rsid w:val="78FA7B51"/>
    <w:rsid w:val="78FC554A"/>
    <w:rsid w:val="78FD8384"/>
    <w:rsid w:val="79044371"/>
    <w:rsid w:val="7905320D"/>
    <w:rsid w:val="790A3668"/>
    <w:rsid w:val="790D6ED5"/>
    <w:rsid w:val="790EBAC8"/>
    <w:rsid w:val="79132528"/>
    <w:rsid w:val="7916C4DB"/>
    <w:rsid w:val="7919E009"/>
    <w:rsid w:val="7920E822"/>
    <w:rsid w:val="79240A96"/>
    <w:rsid w:val="792CCBC8"/>
    <w:rsid w:val="792D467E"/>
    <w:rsid w:val="792DF726"/>
    <w:rsid w:val="792DFAA3"/>
    <w:rsid w:val="792EBF7B"/>
    <w:rsid w:val="792EF932"/>
    <w:rsid w:val="793048ED"/>
    <w:rsid w:val="7932357B"/>
    <w:rsid w:val="793678BA"/>
    <w:rsid w:val="79372FD0"/>
    <w:rsid w:val="793A53ED"/>
    <w:rsid w:val="793CB8C4"/>
    <w:rsid w:val="793CC858"/>
    <w:rsid w:val="793DD35F"/>
    <w:rsid w:val="794048F2"/>
    <w:rsid w:val="79425D5E"/>
    <w:rsid w:val="79437204"/>
    <w:rsid w:val="7943A96C"/>
    <w:rsid w:val="794405D4"/>
    <w:rsid w:val="7945F194"/>
    <w:rsid w:val="79461C1A"/>
    <w:rsid w:val="7946DD8B"/>
    <w:rsid w:val="794F2FE2"/>
    <w:rsid w:val="7951F441"/>
    <w:rsid w:val="7957D1F9"/>
    <w:rsid w:val="79594963"/>
    <w:rsid w:val="795A8569"/>
    <w:rsid w:val="795C6E6D"/>
    <w:rsid w:val="795D703D"/>
    <w:rsid w:val="795DFB32"/>
    <w:rsid w:val="795E04FC"/>
    <w:rsid w:val="79612DE8"/>
    <w:rsid w:val="7961504D"/>
    <w:rsid w:val="7961DF4C"/>
    <w:rsid w:val="79636361"/>
    <w:rsid w:val="796428F4"/>
    <w:rsid w:val="7965E232"/>
    <w:rsid w:val="796735D2"/>
    <w:rsid w:val="7967AFB8"/>
    <w:rsid w:val="796999E6"/>
    <w:rsid w:val="796DFA53"/>
    <w:rsid w:val="796EB5EB"/>
    <w:rsid w:val="796F0831"/>
    <w:rsid w:val="796F56AD"/>
    <w:rsid w:val="79776AEB"/>
    <w:rsid w:val="79779F51"/>
    <w:rsid w:val="797AC25E"/>
    <w:rsid w:val="797C55FB"/>
    <w:rsid w:val="7982BDA2"/>
    <w:rsid w:val="7982C935"/>
    <w:rsid w:val="7985A770"/>
    <w:rsid w:val="798B2C75"/>
    <w:rsid w:val="798C4B2F"/>
    <w:rsid w:val="798C9C49"/>
    <w:rsid w:val="798CFB09"/>
    <w:rsid w:val="798E345C"/>
    <w:rsid w:val="7991AE23"/>
    <w:rsid w:val="79984BD7"/>
    <w:rsid w:val="7998FACB"/>
    <w:rsid w:val="799D9AF1"/>
    <w:rsid w:val="799DCE07"/>
    <w:rsid w:val="79A50DBD"/>
    <w:rsid w:val="79A80050"/>
    <w:rsid w:val="79A8E5AC"/>
    <w:rsid w:val="79AC6AE7"/>
    <w:rsid w:val="79B0F741"/>
    <w:rsid w:val="79B4400D"/>
    <w:rsid w:val="79B4D4F7"/>
    <w:rsid w:val="79B8E46D"/>
    <w:rsid w:val="79B95201"/>
    <w:rsid w:val="79BB70D2"/>
    <w:rsid w:val="79BF435D"/>
    <w:rsid w:val="79C4C756"/>
    <w:rsid w:val="79C53BC1"/>
    <w:rsid w:val="79C78B8C"/>
    <w:rsid w:val="79CA8CB5"/>
    <w:rsid w:val="79D0AF8C"/>
    <w:rsid w:val="79D109B1"/>
    <w:rsid w:val="79D3F1FB"/>
    <w:rsid w:val="79D5A136"/>
    <w:rsid w:val="79D95D6A"/>
    <w:rsid w:val="79D9B095"/>
    <w:rsid w:val="79DE9A1F"/>
    <w:rsid w:val="79E0B4E9"/>
    <w:rsid w:val="79E2D0C2"/>
    <w:rsid w:val="79E5FDCE"/>
    <w:rsid w:val="79E6F189"/>
    <w:rsid w:val="79E7F8B6"/>
    <w:rsid w:val="79E87F1C"/>
    <w:rsid w:val="79EF5FC2"/>
    <w:rsid w:val="79EF8B1A"/>
    <w:rsid w:val="79EFF384"/>
    <w:rsid w:val="79F1C2A0"/>
    <w:rsid w:val="79F5B9EB"/>
    <w:rsid w:val="79F5DA88"/>
    <w:rsid w:val="79F673D8"/>
    <w:rsid w:val="79FA9949"/>
    <w:rsid w:val="79FD0DED"/>
    <w:rsid w:val="79FE6E9B"/>
    <w:rsid w:val="7A02BBB8"/>
    <w:rsid w:val="7A057A4C"/>
    <w:rsid w:val="7A066598"/>
    <w:rsid w:val="7A0BBE88"/>
    <w:rsid w:val="7A0CC46B"/>
    <w:rsid w:val="7A0F502D"/>
    <w:rsid w:val="7A0FE100"/>
    <w:rsid w:val="7A13B311"/>
    <w:rsid w:val="7A145C9E"/>
    <w:rsid w:val="7A176516"/>
    <w:rsid w:val="7A1982C2"/>
    <w:rsid w:val="7A1CCD92"/>
    <w:rsid w:val="7A1D4447"/>
    <w:rsid w:val="7A267213"/>
    <w:rsid w:val="7A276513"/>
    <w:rsid w:val="7A2A0407"/>
    <w:rsid w:val="7A2BEB8E"/>
    <w:rsid w:val="7A2C6C8C"/>
    <w:rsid w:val="7A2D7458"/>
    <w:rsid w:val="7A2F2723"/>
    <w:rsid w:val="7A30F11F"/>
    <w:rsid w:val="7A3116D0"/>
    <w:rsid w:val="7A33384E"/>
    <w:rsid w:val="7A345C31"/>
    <w:rsid w:val="7A3596D5"/>
    <w:rsid w:val="7A359B5A"/>
    <w:rsid w:val="7A3810B6"/>
    <w:rsid w:val="7A3CF8FD"/>
    <w:rsid w:val="7A3F0FA8"/>
    <w:rsid w:val="7A3FCBF2"/>
    <w:rsid w:val="7A42A44E"/>
    <w:rsid w:val="7A483AFF"/>
    <w:rsid w:val="7A48553C"/>
    <w:rsid w:val="7A4EB0A7"/>
    <w:rsid w:val="7A50F4CC"/>
    <w:rsid w:val="7A53FD1F"/>
    <w:rsid w:val="7A55BF0E"/>
    <w:rsid w:val="7A5775C5"/>
    <w:rsid w:val="7A57E9D0"/>
    <w:rsid w:val="7A5C0D4A"/>
    <w:rsid w:val="7A613E25"/>
    <w:rsid w:val="7A627B40"/>
    <w:rsid w:val="7A65D872"/>
    <w:rsid w:val="7A665AEC"/>
    <w:rsid w:val="7A6798B2"/>
    <w:rsid w:val="7A7065BA"/>
    <w:rsid w:val="7A71A3C9"/>
    <w:rsid w:val="7A74357E"/>
    <w:rsid w:val="7A74DA6F"/>
    <w:rsid w:val="7A78E371"/>
    <w:rsid w:val="7A7B5613"/>
    <w:rsid w:val="7A7B835B"/>
    <w:rsid w:val="7A7C9A7A"/>
    <w:rsid w:val="7A7F05B9"/>
    <w:rsid w:val="7A7F6201"/>
    <w:rsid w:val="7A7FC619"/>
    <w:rsid w:val="7A83840F"/>
    <w:rsid w:val="7A87EB9C"/>
    <w:rsid w:val="7A8AFFA7"/>
    <w:rsid w:val="7A8C4219"/>
    <w:rsid w:val="7A8E0965"/>
    <w:rsid w:val="7A96869A"/>
    <w:rsid w:val="7A9B66A3"/>
    <w:rsid w:val="7A9DA152"/>
    <w:rsid w:val="7AA1F613"/>
    <w:rsid w:val="7AA392B9"/>
    <w:rsid w:val="7AA4CD9C"/>
    <w:rsid w:val="7AA7381A"/>
    <w:rsid w:val="7AA788B3"/>
    <w:rsid w:val="7AA8411D"/>
    <w:rsid w:val="7AAB5336"/>
    <w:rsid w:val="7AAE2059"/>
    <w:rsid w:val="7AB0FCD5"/>
    <w:rsid w:val="7AB1C98C"/>
    <w:rsid w:val="7AB20C35"/>
    <w:rsid w:val="7AB3B31F"/>
    <w:rsid w:val="7AB48F4C"/>
    <w:rsid w:val="7AB6D264"/>
    <w:rsid w:val="7AB6F853"/>
    <w:rsid w:val="7AB76953"/>
    <w:rsid w:val="7AB80855"/>
    <w:rsid w:val="7AB814C5"/>
    <w:rsid w:val="7ABA4C76"/>
    <w:rsid w:val="7ABA85FD"/>
    <w:rsid w:val="7AC18583"/>
    <w:rsid w:val="7AC6A031"/>
    <w:rsid w:val="7ACDA529"/>
    <w:rsid w:val="7AD0553D"/>
    <w:rsid w:val="7AD22DDE"/>
    <w:rsid w:val="7AD3F204"/>
    <w:rsid w:val="7AD45D63"/>
    <w:rsid w:val="7AD4A9AC"/>
    <w:rsid w:val="7AD6052B"/>
    <w:rsid w:val="7AD67445"/>
    <w:rsid w:val="7ADA183B"/>
    <w:rsid w:val="7ADAD61B"/>
    <w:rsid w:val="7ADBFA2D"/>
    <w:rsid w:val="7ADD4488"/>
    <w:rsid w:val="7AE2476D"/>
    <w:rsid w:val="7AE2E1B2"/>
    <w:rsid w:val="7AE3CF57"/>
    <w:rsid w:val="7AE50442"/>
    <w:rsid w:val="7AE8466B"/>
    <w:rsid w:val="7AEADC6F"/>
    <w:rsid w:val="7AEB0043"/>
    <w:rsid w:val="7AEC18DE"/>
    <w:rsid w:val="7AEC4453"/>
    <w:rsid w:val="7AEC5EA1"/>
    <w:rsid w:val="7AF8B0A4"/>
    <w:rsid w:val="7AFCD9A2"/>
    <w:rsid w:val="7AFEC317"/>
    <w:rsid w:val="7B000694"/>
    <w:rsid w:val="7B065031"/>
    <w:rsid w:val="7B069EE1"/>
    <w:rsid w:val="7B07CE0A"/>
    <w:rsid w:val="7B0CE258"/>
    <w:rsid w:val="7B0D5BE2"/>
    <w:rsid w:val="7B106A92"/>
    <w:rsid w:val="7B12344F"/>
    <w:rsid w:val="7B12832E"/>
    <w:rsid w:val="7B13628A"/>
    <w:rsid w:val="7B13EF8A"/>
    <w:rsid w:val="7B145D79"/>
    <w:rsid w:val="7B154DDC"/>
    <w:rsid w:val="7B164EF9"/>
    <w:rsid w:val="7B182D96"/>
    <w:rsid w:val="7B1927E8"/>
    <w:rsid w:val="7B1A9463"/>
    <w:rsid w:val="7B1AB48F"/>
    <w:rsid w:val="7B1E4B02"/>
    <w:rsid w:val="7B2051F6"/>
    <w:rsid w:val="7B21BF3F"/>
    <w:rsid w:val="7B27EEA0"/>
    <w:rsid w:val="7B284E9D"/>
    <w:rsid w:val="7B2987AD"/>
    <w:rsid w:val="7B331AE2"/>
    <w:rsid w:val="7B3F46FB"/>
    <w:rsid w:val="7B473982"/>
    <w:rsid w:val="7B480C4D"/>
    <w:rsid w:val="7B4921D3"/>
    <w:rsid w:val="7B4A723A"/>
    <w:rsid w:val="7B4AD6D6"/>
    <w:rsid w:val="7B53A63E"/>
    <w:rsid w:val="7B58F0FD"/>
    <w:rsid w:val="7B5ACD81"/>
    <w:rsid w:val="7B5B18F2"/>
    <w:rsid w:val="7B5BB4CA"/>
    <w:rsid w:val="7B5BDFDF"/>
    <w:rsid w:val="7B5C28C0"/>
    <w:rsid w:val="7B5ED31F"/>
    <w:rsid w:val="7B602D6E"/>
    <w:rsid w:val="7B6766F8"/>
    <w:rsid w:val="7B680B40"/>
    <w:rsid w:val="7B686CCE"/>
    <w:rsid w:val="7B696763"/>
    <w:rsid w:val="7B6E81E6"/>
    <w:rsid w:val="7B741E46"/>
    <w:rsid w:val="7B7AAC94"/>
    <w:rsid w:val="7B7C45A1"/>
    <w:rsid w:val="7B7E81BE"/>
    <w:rsid w:val="7B7ED7D1"/>
    <w:rsid w:val="7B7F22FA"/>
    <w:rsid w:val="7B8087B1"/>
    <w:rsid w:val="7B80E245"/>
    <w:rsid w:val="7B80EE62"/>
    <w:rsid w:val="7B839A39"/>
    <w:rsid w:val="7B84319E"/>
    <w:rsid w:val="7B8443F2"/>
    <w:rsid w:val="7B84734C"/>
    <w:rsid w:val="7B88A73F"/>
    <w:rsid w:val="7B8BE9CF"/>
    <w:rsid w:val="7B9748E1"/>
    <w:rsid w:val="7B986320"/>
    <w:rsid w:val="7B98EA46"/>
    <w:rsid w:val="7B98F1FF"/>
    <w:rsid w:val="7B991E9A"/>
    <w:rsid w:val="7B9C4A37"/>
    <w:rsid w:val="7B9D28E4"/>
    <w:rsid w:val="7BA16DB7"/>
    <w:rsid w:val="7BA201CE"/>
    <w:rsid w:val="7BA54E38"/>
    <w:rsid w:val="7BA7E805"/>
    <w:rsid w:val="7BA86C05"/>
    <w:rsid w:val="7BAAB358"/>
    <w:rsid w:val="7BAF2457"/>
    <w:rsid w:val="7BAF4C0F"/>
    <w:rsid w:val="7BAFAB68"/>
    <w:rsid w:val="7BB04C2C"/>
    <w:rsid w:val="7BB04FD0"/>
    <w:rsid w:val="7BB20C95"/>
    <w:rsid w:val="7BB42093"/>
    <w:rsid w:val="7BB42394"/>
    <w:rsid w:val="7BBA318A"/>
    <w:rsid w:val="7BBA790E"/>
    <w:rsid w:val="7BBF1254"/>
    <w:rsid w:val="7BC0D40A"/>
    <w:rsid w:val="7BC287E6"/>
    <w:rsid w:val="7BC2AD7D"/>
    <w:rsid w:val="7BC4E4FB"/>
    <w:rsid w:val="7BC5D468"/>
    <w:rsid w:val="7BC7CDF8"/>
    <w:rsid w:val="7BC908E3"/>
    <w:rsid w:val="7BCAF201"/>
    <w:rsid w:val="7BCB79F6"/>
    <w:rsid w:val="7BCFDC46"/>
    <w:rsid w:val="7BCFF0D2"/>
    <w:rsid w:val="7BD22027"/>
    <w:rsid w:val="7BD225A1"/>
    <w:rsid w:val="7BDB3B95"/>
    <w:rsid w:val="7BDCB9DC"/>
    <w:rsid w:val="7BDF4AF6"/>
    <w:rsid w:val="7BE006D4"/>
    <w:rsid w:val="7BE20CF0"/>
    <w:rsid w:val="7BE5D08B"/>
    <w:rsid w:val="7BE70B7A"/>
    <w:rsid w:val="7BE9668B"/>
    <w:rsid w:val="7BEE16B8"/>
    <w:rsid w:val="7BEE4805"/>
    <w:rsid w:val="7BF47149"/>
    <w:rsid w:val="7BF631CD"/>
    <w:rsid w:val="7BF9C56E"/>
    <w:rsid w:val="7BFA5D6C"/>
    <w:rsid w:val="7BFB68A8"/>
    <w:rsid w:val="7C0020A5"/>
    <w:rsid w:val="7C014DE1"/>
    <w:rsid w:val="7C0161D1"/>
    <w:rsid w:val="7C039A80"/>
    <w:rsid w:val="7C0700CE"/>
    <w:rsid w:val="7C1051E0"/>
    <w:rsid w:val="7C11C756"/>
    <w:rsid w:val="7C12E6D9"/>
    <w:rsid w:val="7C132D16"/>
    <w:rsid w:val="7C16D21D"/>
    <w:rsid w:val="7C1802E4"/>
    <w:rsid w:val="7C19B4C1"/>
    <w:rsid w:val="7C1A76A9"/>
    <w:rsid w:val="7C1EED34"/>
    <w:rsid w:val="7C2126F1"/>
    <w:rsid w:val="7C223337"/>
    <w:rsid w:val="7C277F92"/>
    <w:rsid w:val="7C2890AA"/>
    <w:rsid w:val="7C295D20"/>
    <w:rsid w:val="7C2B3B53"/>
    <w:rsid w:val="7C2CF8DA"/>
    <w:rsid w:val="7C2D13A8"/>
    <w:rsid w:val="7C30DD0C"/>
    <w:rsid w:val="7C30F2CE"/>
    <w:rsid w:val="7C31082B"/>
    <w:rsid w:val="7C338D65"/>
    <w:rsid w:val="7C3483F3"/>
    <w:rsid w:val="7C37C8D4"/>
    <w:rsid w:val="7C3A8D51"/>
    <w:rsid w:val="7C3DF1CF"/>
    <w:rsid w:val="7C3E5236"/>
    <w:rsid w:val="7C3E74F4"/>
    <w:rsid w:val="7C421A42"/>
    <w:rsid w:val="7C44B025"/>
    <w:rsid w:val="7C4D3166"/>
    <w:rsid w:val="7C511C24"/>
    <w:rsid w:val="7C51CDE1"/>
    <w:rsid w:val="7C5280F3"/>
    <w:rsid w:val="7C579B0C"/>
    <w:rsid w:val="7C5922E7"/>
    <w:rsid w:val="7C59A0BE"/>
    <w:rsid w:val="7C5EC157"/>
    <w:rsid w:val="7C5EEEB1"/>
    <w:rsid w:val="7C617984"/>
    <w:rsid w:val="7C64EE62"/>
    <w:rsid w:val="7C66F65C"/>
    <w:rsid w:val="7C6A33DB"/>
    <w:rsid w:val="7C6B412E"/>
    <w:rsid w:val="7C6D23CB"/>
    <w:rsid w:val="7C6FA464"/>
    <w:rsid w:val="7C75C5B5"/>
    <w:rsid w:val="7C76382A"/>
    <w:rsid w:val="7C76D5A6"/>
    <w:rsid w:val="7C7725B7"/>
    <w:rsid w:val="7C78CF73"/>
    <w:rsid w:val="7C7BF8CB"/>
    <w:rsid w:val="7C7C9BD1"/>
    <w:rsid w:val="7C7D2CAE"/>
    <w:rsid w:val="7C7F9908"/>
    <w:rsid w:val="7C80B422"/>
    <w:rsid w:val="7C821C03"/>
    <w:rsid w:val="7C82202C"/>
    <w:rsid w:val="7C87999B"/>
    <w:rsid w:val="7C88C12E"/>
    <w:rsid w:val="7C8A9CF3"/>
    <w:rsid w:val="7C8CF798"/>
    <w:rsid w:val="7C92680A"/>
    <w:rsid w:val="7C945CE1"/>
    <w:rsid w:val="7C963A6D"/>
    <w:rsid w:val="7C975F2C"/>
    <w:rsid w:val="7C9C3DC5"/>
    <w:rsid w:val="7CA2B46E"/>
    <w:rsid w:val="7CA4215B"/>
    <w:rsid w:val="7CA4761C"/>
    <w:rsid w:val="7CAB8952"/>
    <w:rsid w:val="7CAFE167"/>
    <w:rsid w:val="7CB16367"/>
    <w:rsid w:val="7CB1C436"/>
    <w:rsid w:val="7CB5B276"/>
    <w:rsid w:val="7CB601A7"/>
    <w:rsid w:val="7CB8A421"/>
    <w:rsid w:val="7CBDC44F"/>
    <w:rsid w:val="7CBF4212"/>
    <w:rsid w:val="7CC8561E"/>
    <w:rsid w:val="7CC9CFA5"/>
    <w:rsid w:val="7CD8B461"/>
    <w:rsid w:val="7CDF2446"/>
    <w:rsid w:val="7CE2F1DA"/>
    <w:rsid w:val="7CE31347"/>
    <w:rsid w:val="7CE4F265"/>
    <w:rsid w:val="7CE76664"/>
    <w:rsid w:val="7CE79052"/>
    <w:rsid w:val="7CE93F0A"/>
    <w:rsid w:val="7CEDE4D7"/>
    <w:rsid w:val="7CEED7F1"/>
    <w:rsid w:val="7CEF72AA"/>
    <w:rsid w:val="7CF30454"/>
    <w:rsid w:val="7CF6018F"/>
    <w:rsid w:val="7CF6730B"/>
    <w:rsid w:val="7D005830"/>
    <w:rsid w:val="7D006356"/>
    <w:rsid w:val="7D00A9EC"/>
    <w:rsid w:val="7D02E9AF"/>
    <w:rsid w:val="7D074A7B"/>
    <w:rsid w:val="7D09A10D"/>
    <w:rsid w:val="7D0C6760"/>
    <w:rsid w:val="7D0D8365"/>
    <w:rsid w:val="7D0DEFFD"/>
    <w:rsid w:val="7D0F0221"/>
    <w:rsid w:val="7D13938A"/>
    <w:rsid w:val="7D13BDFA"/>
    <w:rsid w:val="7D155BE3"/>
    <w:rsid w:val="7D188148"/>
    <w:rsid w:val="7D1BC7A3"/>
    <w:rsid w:val="7D1DBAC2"/>
    <w:rsid w:val="7D21667C"/>
    <w:rsid w:val="7D262FBA"/>
    <w:rsid w:val="7D2668C6"/>
    <w:rsid w:val="7D26C72A"/>
    <w:rsid w:val="7D284F36"/>
    <w:rsid w:val="7D28E472"/>
    <w:rsid w:val="7D2FB5F5"/>
    <w:rsid w:val="7D30F776"/>
    <w:rsid w:val="7D31D1DF"/>
    <w:rsid w:val="7D33D956"/>
    <w:rsid w:val="7D34BAA7"/>
    <w:rsid w:val="7D36EFB9"/>
    <w:rsid w:val="7D395F5D"/>
    <w:rsid w:val="7D3C0FD0"/>
    <w:rsid w:val="7D3C9DE1"/>
    <w:rsid w:val="7D3E2D47"/>
    <w:rsid w:val="7D3F0598"/>
    <w:rsid w:val="7D415C02"/>
    <w:rsid w:val="7D436932"/>
    <w:rsid w:val="7D456815"/>
    <w:rsid w:val="7D471172"/>
    <w:rsid w:val="7D48A5FC"/>
    <w:rsid w:val="7D48DBEF"/>
    <w:rsid w:val="7D492C72"/>
    <w:rsid w:val="7D492E45"/>
    <w:rsid w:val="7D4FF3FF"/>
    <w:rsid w:val="7D53CE41"/>
    <w:rsid w:val="7D54000C"/>
    <w:rsid w:val="7D54512D"/>
    <w:rsid w:val="7D553EEA"/>
    <w:rsid w:val="7D55D860"/>
    <w:rsid w:val="7D565E5E"/>
    <w:rsid w:val="7D579319"/>
    <w:rsid w:val="7D57AD85"/>
    <w:rsid w:val="7D5A4809"/>
    <w:rsid w:val="7D5B8883"/>
    <w:rsid w:val="7D60A556"/>
    <w:rsid w:val="7D60A9A9"/>
    <w:rsid w:val="7D674A57"/>
    <w:rsid w:val="7D6CD19B"/>
    <w:rsid w:val="7D70BD8A"/>
    <w:rsid w:val="7D73A242"/>
    <w:rsid w:val="7D769922"/>
    <w:rsid w:val="7D77B2C2"/>
    <w:rsid w:val="7D785650"/>
    <w:rsid w:val="7D7BAC97"/>
    <w:rsid w:val="7D7BB66F"/>
    <w:rsid w:val="7D801A7D"/>
    <w:rsid w:val="7D8077DD"/>
    <w:rsid w:val="7D857C5A"/>
    <w:rsid w:val="7D858636"/>
    <w:rsid w:val="7D8586F1"/>
    <w:rsid w:val="7D876533"/>
    <w:rsid w:val="7D87ABC0"/>
    <w:rsid w:val="7D87B525"/>
    <w:rsid w:val="7D8828E9"/>
    <w:rsid w:val="7D89DA34"/>
    <w:rsid w:val="7D90131D"/>
    <w:rsid w:val="7D933781"/>
    <w:rsid w:val="7D93B3CA"/>
    <w:rsid w:val="7D94632D"/>
    <w:rsid w:val="7DA18B11"/>
    <w:rsid w:val="7DA3CDC4"/>
    <w:rsid w:val="7DA7787B"/>
    <w:rsid w:val="7DA9207F"/>
    <w:rsid w:val="7DA9E318"/>
    <w:rsid w:val="7DAAE916"/>
    <w:rsid w:val="7DB18F64"/>
    <w:rsid w:val="7DB4B72E"/>
    <w:rsid w:val="7DB823C1"/>
    <w:rsid w:val="7DBA156D"/>
    <w:rsid w:val="7DBFDA40"/>
    <w:rsid w:val="7DC030FB"/>
    <w:rsid w:val="7DC2C2C1"/>
    <w:rsid w:val="7DC50A7C"/>
    <w:rsid w:val="7DCA61AE"/>
    <w:rsid w:val="7DCCE708"/>
    <w:rsid w:val="7DCFBB28"/>
    <w:rsid w:val="7DD1F3B5"/>
    <w:rsid w:val="7DD26372"/>
    <w:rsid w:val="7DD4182D"/>
    <w:rsid w:val="7DD58B68"/>
    <w:rsid w:val="7DD7300C"/>
    <w:rsid w:val="7DDDA78B"/>
    <w:rsid w:val="7DDE7435"/>
    <w:rsid w:val="7DDF231C"/>
    <w:rsid w:val="7DE2C7D4"/>
    <w:rsid w:val="7DE2F813"/>
    <w:rsid w:val="7DE41316"/>
    <w:rsid w:val="7DE780FD"/>
    <w:rsid w:val="7DE8BDDD"/>
    <w:rsid w:val="7DEBC6C8"/>
    <w:rsid w:val="7DED562B"/>
    <w:rsid w:val="7DEFBE7F"/>
    <w:rsid w:val="7DEFFB1F"/>
    <w:rsid w:val="7DF40857"/>
    <w:rsid w:val="7DF64560"/>
    <w:rsid w:val="7DF899A9"/>
    <w:rsid w:val="7DFAAD17"/>
    <w:rsid w:val="7DFDDF5B"/>
    <w:rsid w:val="7DFE029E"/>
    <w:rsid w:val="7E00CE06"/>
    <w:rsid w:val="7E011259"/>
    <w:rsid w:val="7E01B5E9"/>
    <w:rsid w:val="7E0214F9"/>
    <w:rsid w:val="7E03112B"/>
    <w:rsid w:val="7E033F4C"/>
    <w:rsid w:val="7E03937B"/>
    <w:rsid w:val="7E069A4C"/>
    <w:rsid w:val="7E08A858"/>
    <w:rsid w:val="7E0A45D7"/>
    <w:rsid w:val="7E0D99CD"/>
    <w:rsid w:val="7E11358C"/>
    <w:rsid w:val="7E146988"/>
    <w:rsid w:val="7E149FD4"/>
    <w:rsid w:val="7E163939"/>
    <w:rsid w:val="7E16B24C"/>
    <w:rsid w:val="7E1A4988"/>
    <w:rsid w:val="7E1B012F"/>
    <w:rsid w:val="7E1B7073"/>
    <w:rsid w:val="7E1DCC11"/>
    <w:rsid w:val="7E255C9E"/>
    <w:rsid w:val="7E28C101"/>
    <w:rsid w:val="7E2962A5"/>
    <w:rsid w:val="7E2A44A6"/>
    <w:rsid w:val="7E2C2A1E"/>
    <w:rsid w:val="7E32629A"/>
    <w:rsid w:val="7E3321D1"/>
    <w:rsid w:val="7E36E21D"/>
    <w:rsid w:val="7E37C496"/>
    <w:rsid w:val="7E3856F1"/>
    <w:rsid w:val="7E39C245"/>
    <w:rsid w:val="7E3DC037"/>
    <w:rsid w:val="7E4067E7"/>
    <w:rsid w:val="7E420128"/>
    <w:rsid w:val="7E45BAD0"/>
    <w:rsid w:val="7E4759F2"/>
    <w:rsid w:val="7E4AF0A3"/>
    <w:rsid w:val="7E4CCF6B"/>
    <w:rsid w:val="7E4D2325"/>
    <w:rsid w:val="7E500AFE"/>
    <w:rsid w:val="7E536C2A"/>
    <w:rsid w:val="7E57BDB9"/>
    <w:rsid w:val="7E5896B7"/>
    <w:rsid w:val="7E5A1677"/>
    <w:rsid w:val="7E5CC462"/>
    <w:rsid w:val="7E5FA903"/>
    <w:rsid w:val="7E6A3D7C"/>
    <w:rsid w:val="7E6C28AD"/>
    <w:rsid w:val="7E6E3B8F"/>
    <w:rsid w:val="7E70D203"/>
    <w:rsid w:val="7E7383D4"/>
    <w:rsid w:val="7E78A3D9"/>
    <w:rsid w:val="7E790DB1"/>
    <w:rsid w:val="7E7AC009"/>
    <w:rsid w:val="7E7CB6AD"/>
    <w:rsid w:val="7E81C6DE"/>
    <w:rsid w:val="7E8390E3"/>
    <w:rsid w:val="7E84BB3B"/>
    <w:rsid w:val="7E854F0F"/>
    <w:rsid w:val="7E87CBB7"/>
    <w:rsid w:val="7E88DC1C"/>
    <w:rsid w:val="7E8A05EE"/>
    <w:rsid w:val="7E8C3241"/>
    <w:rsid w:val="7E8D2F8D"/>
    <w:rsid w:val="7E92376C"/>
    <w:rsid w:val="7E92436C"/>
    <w:rsid w:val="7E929B50"/>
    <w:rsid w:val="7E92E929"/>
    <w:rsid w:val="7E9513E2"/>
    <w:rsid w:val="7E951FCE"/>
    <w:rsid w:val="7E971D31"/>
    <w:rsid w:val="7E9A0C69"/>
    <w:rsid w:val="7E9B1FA8"/>
    <w:rsid w:val="7E9B41D4"/>
    <w:rsid w:val="7E9C54A4"/>
    <w:rsid w:val="7E9F96FA"/>
    <w:rsid w:val="7EA17B74"/>
    <w:rsid w:val="7EA3FEA9"/>
    <w:rsid w:val="7EA93E75"/>
    <w:rsid w:val="7EA9D2C0"/>
    <w:rsid w:val="7EAA97EF"/>
    <w:rsid w:val="7EAE849E"/>
    <w:rsid w:val="7EAF696F"/>
    <w:rsid w:val="7EB19B1C"/>
    <w:rsid w:val="7EB31EF0"/>
    <w:rsid w:val="7EB3C498"/>
    <w:rsid w:val="7EB7729E"/>
    <w:rsid w:val="7EBDF705"/>
    <w:rsid w:val="7EC09E5E"/>
    <w:rsid w:val="7EC47C93"/>
    <w:rsid w:val="7ECD412B"/>
    <w:rsid w:val="7ECE5651"/>
    <w:rsid w:val="7ED23B0B"/>
    <w:rsid w:val="7ED67C20"/>
    <w:rsid w:val="7ED9775D"/>
    <w:rsid w:val="7EDE8115"/>
    <w:rsid w:val="7EE36BD6"/>
    <w:rsid w:val="7EE3D889"/>
    <w:rsid w:val="7EE3DF6F"/>
    <w:rsid w:val="7EE3FA3C"/>
    <w:rsid w:val="7EE5612E"/>
    <w:rsid w:val="7EE5C7CA"/>
    <w:rsid w:val="7EE7E234"/>
    <w:rsid w:val="7EE84683"/>
    <w:rsid w:val="7EE9CF96"/>
    <w:rsid w:val="7EED1A6B"/>
    <w:rsid w:val="7EEE5E36"/>
    <w:rsid w:val="7EF16D1C"/>
    <w:rsid w:val="7EF3841A"/>
    <w:rsid w:val="7EF7FBDA"/>
    <w:rsid w:val="7EFE7B74"/>
    <w:rsid w:val="7F06E469"/>
    <w:rsid w:val="7F074BF3"/>
    <w:rsid w:val="7F075F67"/>
    <w:rsid w:val="7F08C407"/>
    <w:rsid w:val="7F0DF8E7"/>
    <w:rsid w:val="7F0E429A"/>
    <w:rsid w:val="7F117D69"/>
    <w:rsid w:val="7F13F30E"/>
    <w:rsid w:val="7F156C01"/>
    <w:rsid w:val="7F17E516"/>
    <w:rsid w:val="7F1A43A2"/>
    <w:rsid w:val="7F1D627B"/>
    <w:rsid w:val="7F1DD304"/>
    <w:rsid w:val="7F230529"/>
    <w:rsid w:val="7F25EE20"/>
    <w:rsid w:val="7F275F4B"/>
    <w:rsid w:val="7F28D5B8"/>
    <w:rsid w:val="7F298356"/>
    <w:rsid w:val="7F2BDC69"/>
    <w:rsid w:val="7F2D5B54"/>
    <w:rsid w:val="7F2F6A40"/>
    <w:rsid w:val="7F2F9520"/>
    <w:rsid w:val="7F3535A4"/>
    <w:rsid w:val="7F37550C"/>
    <w:rsid w:val="7F3962EE"/>
    <w:rsid w:val="7F3B90BA"/>
    <w:rsid w:val="7F3EEC95"/>
    <w:rsid w:val="7F41CB6C"/>
    <w:rsid w:val="7F4291CF"/>
    <w:rsid w:val="7F42AEB6"/>
    <w:rsid w:val="7F454D57"/>
    <w:rsid w:val="7F46F8E2"/>
    <w:rsid w:val="7F478940"/>
    <w:rsid w:val="7F47EA0C"/>
    <w:rsid w:val="7F4AF63F"/>
    <w:rsid w:val="7F4B1A2D"/>
    <w:rsid w:val="7F4B1BE7"/>
    <w:rsid w:val="7F4B2E8F"/>
    <w:rsid w:val="7F4D78EA"/>
    <w:rsid w:val="7F4E450F"/>
    <w:rsid w:val="7F51C77E"/>
    <w:rsid w:val="7F53601D"/>
    <w:rsid w:val="7F5790DA"/>
    <w:rsid w:val="7F5C4961"/>
    <w:rsid w:val="7F5CAC16"/>
    <w:rsid w:val="7F5E27A8"/>
    <w:rsid w:val="7F604DA6"/>
    <w:rsid w:val="7F609F8F"/>
    <w:rsid w:val="7F61A984"/>
    <w:rsid w:val="7F62A25D"/>
    <w:rsid w:val="7F6341D9"/>
    <w:rsid w:val="7F653169"/>
    <w:rsid w:val="7F677EF8"/>
    <w:rsid w:val="7F68C571"/>
    <w:rsid w:val="7F6BF692"/>
    <w:rsid w:val="7F6D6FB1"/>
    <w:rsid w:val="7F6D7BA9"/>
    <w:rsid w:val="7F6F1440"/>
    <w:rsid w:val="7F6F7AA1"/>
    <w:rsid w:val="7F70469F"/>
    <w:rsid w:val="7F715138"/>
    <w:rsid w:val="7F719265"/>
    <w:rsid w:val="7F77FCCD"/>
    <w:rsid w:val="7F783F4B"/>
    <w:rsid w:val="7F7A3C42"/>
    <w:rsid w:val="7F7CEBA6"/>
    <w:rsid w:val="7F7E43B0"/>
    <w:rsid w:val="7F862B58"/>
    <w:rsid w:val="7F8782CE"/>
    <w:rsid w:val="7F893BC5"/>
    <w:rsid w:val="7F897924"/>
    <w:rsid w:val="7F89C000"/>
    <w:rsid w:val="7F89DD5F"/>
    <w:rsid w:val="7F8CC0A9"/>
    <w:rsid w:val="7F8CE852"/>
    <w:rsid w:val="7F8E036D"/>
    <w:rsid w:val="7F8E2E25"/>
    <w:rsid w:val="7F8FB402"/>
    <w:rsid w:val="7F91DC14"/>
    <w:rsid w:val="7F947F7A"/>
    <w:rsid w:val="7F961373"/>
    <w:rsid w:val="7F971A05"/>
    <w:rsid w:val="7F9768A0"/>
    <w:rsid w:val="7F995270"/>
    <w:rsid w:val="7F9D2B0F"/>
    <w:rsid w:val="7F9F7FD9"/>
    <w:rsid w:val="7FA13D37"/>
    <w:rsid w:val="7FA2F029"/>
    <w:rsid w:val="7FA48B49"/>
    <w:rsid w:val="7FA6845D"/>
    <w:rsid w:val="7FA833C9"/>
    <w:rsid w:val="7FA8BD19"/>
    <w:rsid w:val="7FA8BF97"/>
    <w:rsid w:val="7FABC0CE"/>
    <w:rsid w:val="7FAC3614"/>
    <w:rsid w:val="7FAFB28E"/>
    <w:rsid w:val="7FB07035"/>
    <w:rsid w:val="7FBB6172"/>
    <w:rsid w:val="7FBB98F9"/>
    <w:rsid w:val="7FBBFE99"/>
    <w:rsid w:val="7FBCA063"/>
    <w:rsid w:val="7FBCAA80"/>
    <w:rsid w:val="7FBE118F"/>
    <w:rsid w:val="7FC19655"/>
    <w:rsid w:val="7FC79663"/>
    <w:rsid w:val="7FCA427E"/>
    <w:rsid w:val="7FCBEB95"/>
    <w:rsid w:val="7FCC4322"/>
    <w:rsid w:val="7FCCEF52"/>
    <w:rsid w:val="7FCF3DF7"/>
    <w:rsid w:val="7FCF8330"/>
    <w:rsid w:val="7FD1DFE2"/>
    <w:rsid w:val="7FD29057"/>
    <w:rsid w:val="7FD3789A"/>
    <w:rsid w:val="7FD50410"/>
    <w:rsid w:val="7FD518D5"/>
    <w:rsid w:val="7FD7BA24"/>
    <w:rsid w:val="7FD9F67E"/>
    <w:rsid w:val="7FDE9700"/>
    <w:rsid w:val="7FDEE8B7"/>
    <w:rsid w:val="7FDF0E60"/>
    <w:rsid w:val="7FE27BA6"/>
    <w:rsid w:val="7FE31398"/>
    <w:rsid w:val="7FE41829"/>
    <w:rsid w:val="7FEC2268"/>
    <w:rsid w:val="7FED39C9"/>
    <w:rsid w:val="7FED6D92"/>
    <w:rsid w:val="7FEE406C"/>
    <w:rsid w:val="7FEE78E1"/>
    <w:rsid w:val="7FF010FA"/>
    <w:rsid w:val="7FF1589D"/>
    <w:rsid w:val="7FF175D8"/>
    <w:rsid w:val="7FF2D801"/>
    <w:rsid w:val="7FF32ED3"/>
    <w:rsid w:val="7FF4AFD5"/>
    <w:rsid w:val="7FF5C168"/>
    <w:rsid w:val="7FF8549C"/>
    <w:rsid w:val="7FFACB9C"/>
    <w:rsid w:val="7FFCD00E"/>
    <w:rsid w:val="7FFFB0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82AB"/>
  <w15:chartTrackingRefBased/>
  <w15:docId w15:val="{47BCC434-D8DF-4BFF-81B1-0A51B0E0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djustRightInd w:val="0"/>
      <w:spacing w:after="0" w:line="360" w:lineRule="atLeast"/>
      <w:jc w:val="both"/>
      <w:textAlignment w:val="baseline"/>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1"/>
    <w:qFormat/>
    <w:rsid w:val="00466766"/>
    <w:pPr>
      <w:keepNext/>
      <w:numPr>
        <w:numId w:val="18"/>
      </w:numPr>
      <w:spacing w:before="240" w:after="240" w:line="240" w:lineRule="auto"/>
      <w:outlineLvl w:val="0"/>
    </w:pPr>
    <w:rPr>
      <w:b/>
      <w:smallCaps/>
      <w:sz w:val="24"/>
      <w:lang w:eastAsia="en-IE"/>
    </w:rPr>
  </w:style>
  <w:style w:type="paragraph" w:styleId="Heading2">
    <w:name w:val="heading 2"/>
    <w:basedOn w:val="Normal"/>
    <w:next w:val="Normal"/>
    <w:link w:val="Heading2Char"/>
    <w:uiPriority w:val="1"/>
    <w:qFormat/>
    <w:rsid w:val="00733768"/>
    <w:pPr>
      <w:keepNext/>
      <w:numPr>
        <w:ilvl w:val="1"/>
        <w:numId w:val="18"/>
      </w:numPr>
      <w:spacing w:after="240" w:line="240" w:lineRule="auto"/>
      <w:outlineLvl w:val="1"/>
    </w:pPr>
    <w:rPr>
      <w:b/>
      <w:sz w:val="24"/>
      <w:lang w:eastAsia="en-IE"/>
    </w:rPr>
  </w:style>
  <w:style w:type="paragraph" w:styleId="Heading3">
    <w:name w:val="heading 3"/>
    <w:basedOn w:val="Normal"/>
    <w:next w:val="Normal"/>
    <w:link w:val="Heading3Char"/>
    <w:uiPriority w:val="1"/>
    <w:qFormat/>
    <w:rsid w:val="00733768"/>
    <w:pPr>
      <w:keepNext/>
      <w:numPr>
        <w:ilvl w:val="2"/>
        <w:numId w:val="18"/>
      </w:numPr>
      <w:spacing w:after="240" w:line="240" w:lineRule="auto"/>
      <w:outlineLvl w:val="2"/>
    </w:pPr>
    <w:rPr>
      <w:i/>
      <w:sz w:val="24"/>
      <w:lang w:eastAsia="en-IE"/>
    </w:rPr>
  </w:style>
  <w:style w:type="paragraph" w:styleId="Heading4">
    <w:name w:val="heading 4"/>
    <w:basedOn w:val="Normal"/>
    <w:next w:val="Normal"/>
    <w:link w:val="Heading4Char"/>
    <w:uiPriority w:val="1"/>
    <w:qFormat/>
    <w:rsid w:val="00733768"/>
    <w:pPr>
      <w:keepNext/>
      <w:numPr>
        <w:ilvl w:val="3"/>
        <w:numId w:val="18"/>
      </w:numPr>
      <w:spacing w:after="240" w:line="240" w:lineRule="auto"/>
      <w:outlineLvl w:val="3"/>
    </w:pPr>
    <w:rPr>
      <w:sz w:val="24"/>
      <w:lang w:eastAsia="en-IE"/>
    </w:rPr>
  </w:style>
  <w:style w:type="paragraph" w:styleId="Heading5">
    <w:name w:val="heading 5"/>
    <w:basedOn w:val="Normal"/>
    <w:next w:val="Normal"/>
    <w:link w:val="Heading5Char"/>
    <w:semiHidden/>
    <w:qFormat/>
    <w:rsid w:val="00733768"/>
    <w:pPr>
      <w:keepNext/>
      <w:numPr>
        <w:ilvl w:val="4"/>
        <w:numId w:val="18"/>
      </w:numPr>
      <w:spacing w:after="240" w:line="240" w:lineRule="auto"/>
      <w:outlineLvl w:val="4"/>
    </w:pPr>
    <w:rPr>
      <w:sz w:val="24"/>
      <w:lang w:eastAsia="en-IE"/>
    </w:rPr>
  </w:style>
  <w:style w:type="paragraph" w:styleId="Heading6">
    <w:name w:val="heading 6"/>
    <w:basedOn w:val="Normal"/>
    <w:next w:val="Normal"/>
    <w:link w:val="Heading6Char"/>
    <w:semiHidden/>
    <w:qFormat/>
    <w:rsid w:val="00733768"/>
    <w:pPr>
      <w:keepNext/>
      <w:numPr>
        <w:ilvl w:val="5"/>
        <w:numId w:val="18"/>
      </w:numPr>
      <w:spacing w:after="240" w:line="240" w:lineRule="auto"/>
      <w:outlineLvl w:val="5"/>
    </w:pPr>
    <w:rPr>
      <w:sz w:val="24"/>
      <w:lang w:eastAsia="en-IE"/>
    </w:rPr>
  </w:style>
  <w:style w:type="paragraph" w:styleId="Heading7">
    <w:name w:val="heading 7"/>
    <w:basedOn w:val="Normal"/>
    <w:next w:val="Normal"/>
    <w:link w:val="Heading7Char"/>
    <w:semiHidden/>
    <w:qFormat/>
    <w:rsid w:val="00733768"/>
    <w:pPr>
      <w:keepNext/>
      <w:numPr>
        <w:ilvl w:val="6"/>
        <w:numId w:val="18"/>
      </w:numPr>
      <w:spacing w:after="240" w:line="240" w:lineRule="auto"/>
      <w:outlineLvl w:val="6"/>
    </w:pPr>
    <w:rPr>
      <w:sz w:val="24"/>
      <w:lang w:eastAsia="en-IE"/>
    </w:rPr>
  </w:style>
  <w:style w:type="paragraph" w:styleId="Heading8">
    <w:name w:val="heading 8"/>
    <w:basedOn w:val="Normal"/>
    <w:next w:val="Normal"/>
    <w:link w:val="Heading8Char"/>
    <w:semiHidden/>
    <w:qFormat/>
    <w:rsid w:val="00733768"/>
    <w:pPr>
      <w:keepNext/>
      <w:numPr>
        <w:ilvl w:val="7"/>
        <w:numId w:val="18"/>
      </w:numPr>
      <w:spacing w:after="240" w:line="240" w:lineRule="auto"/>
      <w:outlineLvl w:val="7"/>
    </w:pPr>
    <w:rPr>
      <w:sz w:val="24"/>
      <w:lang w:eastAsia="en-IE"/>
    </w:rPr>
  </w:style>
  <w:style w:type="paragraph" w:styleId="Heading9">
    <w:name w:val="heading 9"/>
    <w:basedOn w:val="Normal"/>
    <w:next w:val="Normal"/>
    <w:link w:val="Heading9Char"/>
    <w:semiHidden/>
    <w:qFormat/>
    <w:rsid w:val="00733768"/>
    <w:pPr>
      <w:keepNext/>
      <w:numPr>
        <w:ilvl w:val="8"/>
        <w:numId w:val="18"/>
      </w:numPr>
      <w:spacing w:after="240" w:line="240" w:lineRule="auto"/>
      <w:outlineLvl w:val="8"/>
    </w:pPr>
    <w:rPr>
      <w:sz w:val="24"/>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pPr>
      <w:ind w:left="720"/>
      <w:contextualSpacing/>
    </w:pPr>
  </w:style>
  <w:style w:type="character" w:styleId="Hyperlink">
    <w:name w:val="Hyperlink"/>
    <w:aliases w:val=" Znak Znak Znak,Znak Znak Znak"/>
    <w:basedOn w:val="DefaultParagraphFont"/>
    <w:uiPriority w:val="99"/>
    <w:unhideWhenUsed/>
    <w:qFormat/>
    <w:rsid w:val="002A63DC"/>
    <w:rPr>
      <w:color w:val="0000FF" w:themeColor="hyperlink"/>
      <w:u w:val="single"/>
    </w:rPr>
  </w:style>
  <w:style w:type="paragraph" w:styleId="FootnoteText">
    <w:name w:val="footnote text"/>
    <w:basedOn w:val="Normal"/>
    <w:link w:val="FootnoteTextChar"/>
    <w:uiPriority w:val="99"/>
    <w:unhideWhenUsed/>
    <w:rsid w:val="002A63DC"/>
    <w:pPr>
      <w:spacing w:line="240" w:lineRule="auto"/>
    </w:pPr>
  </w:style>
  <w:style w:type="character" w:customStyle="1" w:styleId="FootnoteTextChar">
    <w:name w:val="Footnote Text Char"/>
    <w:basedOn w:val="DefaultParagraphFont"/>
    <w:link w:val="FootnoteText"/>
    <w:uiPriority w:val="99"/>
    <w:rsid w:val="002A63DC"/>
    <w:rPr>
      <w:sz w:val="20"/>
      <w:szCs w:val="20"/>
      <w:lang w:val="en-US"/>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2A63DC"/>
    <w:rPr>
      <w:vertAlign w:val="superscript"/>
    </w:rPr>
  </w:style>
  <w:style w:type="paragraph" w:styleId="Header">
    <w:name w:val="header"/>
    <w:basedOn w:val="Normal"/>
    <w:link w:val="HeaderChar"/>
    <w:uiPriority w:val="99"/>
    <w:unhideWhenUsed/>
    <w:rsid w:val="00344521"/>
    <w:pPr>
      <w:tabs>
        <w:tab w:val="center" w:pos="4680"/>
        <w:tab w:val="right" w:pos="9360"/>
      </w:tabs>
      <w:spacing w:line="240" w:lineRule="auto"/>
    </w:pPr>
  </w:style>
  <w:style w:type="character" w:customStyle="1" w:styleId="HeaderChar">
    <w:name w:val="Header Char"/>
    <w:basedOn w:val="DefaultParagraphFont"/>
    <w:link w:val="Header"/>
    <w:uiPriority w:val="99"/>
    <w:rsid w:val="00344521"/>
  </w:style>
  <w:style w:type="paragraph" w:styleId="Footer">
    <w:name w:val="footer"/>
    <w:basedOn w:val="Normal"/>
    <w:link w:val="FooterChar"/>
    <w:uiPriority w:val="99"/>
    <w:unhideWhenUsed/>
    <w:rsid w:val="00344521"/>
    <w:pPr>
      <w:tabs>
        <w:tab w:val="center" w:pos="4680"/>
        <w:tab w:val="right" w:pos="9360"/>
      </w:tabs>
      <w:spacing w:line="240" w:lineRule="auto"/>
    </w:pPr>
  </w:style>
  <w:style w:type="character" w:customStyle="1" w:styleId="FooterChar">
    <w:name w:val="Footer Char"/>
    <w:basedOn w:val="DefaultParagraphFont"/>
    <w:link w:val="Footer"/>
    <w:uiPriority w:val="99"/>
    <w:rsid w:val="00344521"/>
  </w:style>
  <w:style w:type="paragraph" w:styleId="Revision">
    <w:name w:val="Revision"/>
    <w:hidden/>
    <w:uiPriority w:val="99"/>
    <w:semiHidden/>
    <w:rsid w:val="00515B70"/>
    <w:pPr>
      <w:widowControl w:val="0"/>
      <w:adjustRightInd w:val="0"/>
      <w:spacing w:after="0" w:line="240" w:lineRule="auto"/>
      <w:jc w:val="both"/>
      <w:textAlignment w:val="baseline"/>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515B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B70"/>
    <w:rPr>
      <w:rFonts w:ascii="Segoe UI" w:hAnsi="Segoe UI" w:cs="Segoe UI"/>
      <w:sz w:val="18"/>
      <w:szCs w:val="18"/>
    </w:rPr>
  </w:style>
  <w:style w:type="character" w:customStyle="1" w:styleId="Heading1Char">
    <w:name w:val="Heading 1 Char"/>
    <w:basedOn w:val="DefaultParagraphFont"/>
    <w:link w:val="Heading1"/>
    <w:uiPriority w:val="1"/>
    <w:rsid w:val="00733768"/>
    <w:rPr>
      <w:rFonts w:ascii="Times New Roman" w:eastAsia="Times New Roman" w:hAnsi="Times New Roman" w:cs="Times New Roman"/>
      <w:b/>
      <w:smallCaps/>
      <w:sz w:val="24"/>
      <w:szCs w:val="20"/>
      <w:lang w:val="en-US" w:eastAsia="en-IE"/>
    </w:rPr>
  </w:style>
  <w:style w:type="character" w:customStyle="1" w:styleId="Heading2Char">
    <w:name w:val="Heading 2 Char"/>
    <w:basedOn w:val="DefaultParagraphFont"/>
    <w:link w:val="Heading2"/>
    <w:uiPriority w:val="1"/>
    <w:rsid w:val="00733768"/>
    <w:rPr>
      <w:rFonts w:ascii="Times New Roman" w:eastAsia="Times New Roman" w:hAnsi="Times New Roman" w:cs="Times New Roman"/>
      <w:b/>
      <w:sz w:val="24"/>
      <w:szCs w:val="20"/>
      <w:lang w:val="en-US" w:eastAsia="en-IE"/>
    </w:rPr>
  </w:style>
  <w:style w:type="character" w:customStyle="1" w:styleId="Heading3Char">
    <w:name w:val="Heading 3 Char"/>
    <w:basedOn w:val="DefaultParagraphFont"/>
    <w:link w:val="Heading3"/>
    <w:uiPriority w:val="1"/>
    <w:rsid w:val="00733768"/>
    <w:rPr>
      <w:rFonts w:ascii="Times New Roman" w:eastAsia="Times New Roman" w:hAnsi="Times New Roman" w:cs="Times New Roman"/>
      <w:i/>
      <w:sz w:val="24"/>
      <w:szCs w:val="20"/>
      <w:lang w:val="en-US" w:eastAsia="en-IE"/>
    </w:rPr>
  </w:style>
  <w:style w:type="character" w:customStyle="1" w:styleId="Heading4Char">
    <w:name w:val="Heading 4 Char"/>
    <w:basedOn w:val="DefaultParagraphFont"/>
    <w:link w:val="Heading4"/>
    <w:uiPriority w:val="1"/>
    <w:rsid w:val="00733768"/>
    <w:rPr>
      <w:rFonts w:ascii="Times New Roman" w:eastAsia="Times New Roman" w:hAnsi="Times New Roman" w:cs="Times New Roman"/>
      <w:sz w:val="24"/>
      <w:szCs w:val="20"/>
      <w:lang w:val="en-US" w:eastAsia="en-IE"/>
    </w:rPr>
  </w:style>
  <w:style w:type="character" w:customStyle="1" w:styleId="Heading5Char">
    <w:name w:val="Heading 5 Char"/>
    <w:basedOn w:val="DefaultParagraphFont"/>
    <w:link w:val="Heading5"/>
    <w:semiHidden/>
    <w:rsid w:val="00733768"/>
    <w:rPr>
      <w:rFonts w:ascii="Times New Roman" w:eastAsia="Times New Roman" w:hAnsi="Times New Roman" w:cs="Times New Roman"/>
      <w:sz w:val="24"/>
      <w:szCs w:val="20"/>
      <w:lang w:val="en-US" w:eastAsia="en-IE"/>
    </w:rPr>
  </w:style>
  <w:style w:type="character" w:customStyle="1" w:styleId="Heading6Char">
    <w:name w:val="Heading 6 Char"/>
    <w:basedOn w:val="DefaultParagraphFont"/>
    <w:link w:val="Heading6"/>
    <w:semiHidden/>
    <w:rsid w:val="00733768"/>
    <w:rPr>
      <w:rFonts w:ascii="Times New Roman" w:eastAsia="Times New Roman" w:hAnsi="Times New Roman" w:cs="Times New Roman"/>
      <w:sz w:val="24"/>
      <w:szCs w:val="20"/>
      <w:lang w:val="en-US" w:eastAsia="en-IE"/>
    </w:rPr>
  </w:style>
  <w:style w:type="character" w:customStyle="1" w:styleId="Heading7Char">
    <w:name w:val="Heading 7 Char"/>
    <w:basedOn w:val="DefaultParagraphFont"/>
    <w:link w:val="Heading7"/>
    <w:semiHidden/>
    <w:rsid w:val="00733768"/>
    <w:rPr>
      <w:rFonts w:ascii="Times New Roman" w:eastAsia="Times New Roman" w:hAnsi="Times New Roman" w:cs="Times New Roman"/>
      <w:sz w:val="24"/>
      <w:szCs w:val="20"/>
      <w:lang w:val="en-US" w:eastAsia="en-IE"/>
    </w:rPr>
  </w:style>
  <w:style w:type="character" w:customStyle="1" w:styleId="Heading8Char">
    <w:name w:val="Heading 8 Char"/>
    <w:basedOn w:val="DefaultParagraphFont"/>
    <w:link w:val="Heading8"/>
    <w:semiHidden/>
    <w:rsid w:val="00733768"/>
    <w:rPr>
      <w:rFonts w:ascii="Times New Roman" w:eastAsia="Times New Roman" w:hAnsi="Times New Roman" w:cs="Times New Roman"/>
      <w:sz w:val="24"/>
      <w:szCs w:val="20"/>
      <w:lang w:val="en-US" w:eastAsia="en-IE"/>
    </w:rPr>
  </w:style>
  <w:style w:type="character" w:customStyle="1" w:styleId="Heading9Char">
    <w:name w:val="Heading 9 Char"/>
    <w:basedOn w:val="DefaultParagraphFont"/>
    <w:link w:val="Heading9"/>
    <w:semiHidden/>
    <w:rsid w:val="00733768"/>
    <w:rPr>
      <w:rFonts w:ascii="Times New Roman" w:eastAsia="Times New Roman" w:hAnsi="Times New Roman" w:cs="Times New Roman"/>
      <w:sz w:val="24"/>
      <w:szCs w:val="20"/>
      <w:lang w:val="en-US" w:eastAsia="en-IE"/>
    </w:rPr>
  </w:style>
  <w:style w:type="paragraph" w:customStyle="1" w:styleId="ListDash2">
    <w:name w:val="List Dash 2"/>
    <w:basedOn w:val="Normal"/>
    <w:uiPriority w:val="1"/>
    <w:rsid w:val="00466766"/>
    <w:pPr>
      <w:numPr>
        <w:numId w:val="19"/>
      </w:numPr>
      <w:spacing w:after="240" w:line="240" w:lineRule="auto"/>
    </w:pPr>
    <w:rPr>
      <w:sz w:val="24"/>
      <w:lang w:eastAsia="en-IE"/>
    </w:rPr>
  </w:style>
  <w:style w:type="paragraph" w:customStyle="1" w:styleId="ListDash2Level2">
    <w:name w:val="List Dash 2 (Level 2)"/>
    <w:basedOn w:val="Normal"/>
    <w:uiPriority w:val="1"/>
    <w:rsid w:val="00733768"/>
    <w:pPr>
      <w:numPr>
        <w:ilvl w:val="1"/>
        <w:numId w:val="19"/>
      </w:numPr>
      <w:spacing w:after="240" w:line="240" w:lineRule="auto"/>
    </w:pPr>
    <w:rPr>
      <w:sz w:val="24"/>
      <w:lang w:eastAsia="en-IE"/>
    </w:rPr>
  </w:style>
  <w:style w:type="paragraph" w:customStyle="1" w:styleId="ListDash2Level3">
    <w:name w:val="List Dash 2 (Level 3)"/>
    <w:basedOn w:val="Normal"/>
    <w:uiPriority w:val="1"/>
    <w:semiHidden/>
    <w:unhideWhenUsed/>
    <w:rsid w:val="00733768"/>
    <w:pPr>
      <w:numPr>
        <w:ilvl w:val="2"/>
        <w:numId w:val="19"/>
      </w:numPr>
      <w:spacing w:after="240" w:line="240" w:lineRule="auto"/>
    </w:pPr>
    <w:rPr>
      <w:sz w:val="24"/>
      <w:lang w:eastAsia="en-IE"/>
    </w:rPr>
  </w:style>
  <w:style w:type="paragraph" w:customStyle="1" w:styleId="ListDash2Level4">
    <w:name w:val="List Dash 2 (Level 4)"/>
    <w:basedOn w:val="Normal"/>
    <w:uiPriority w:val="1"/>
    <w:semiHidden/>
    <w:unhideWhenUsed/>
    <w:rsid w:val="00733768"/>
    <w:pPr>
      <w:numPr>
        <w:ilvl w:val="3"/>
        <w:numId w:val="19"/>
      </w:numPr>
      <w:spacing w:after="240" w:line="240" w:lineRule="auto"/>
    </w:pPr>
    <w:rPr>
      <w:sz w:val="24"/>
      <w:lang w:eastAsia="en-IE"/>
    </w:rPr>
  </w:style>
  <w:style w:type="character" w:styleId="CommentReference">
    <w:name w:val="annotation reference"/>
    <w:basedOn w:val="DefaultParagraphFont"/>
    <w:uiPriority w:val="99"/>
    <w:semiHidden/>
    <w:unhideWhenUsed/>
    <w:rsid w:val="001D7CFB"/>
    <w:rPr>
      <w:sz w:val="16"/>
      <w:szCs w:val="16"/>
    </w:rPr>
  </w:style>
  <w:style w:type="paragraph" w:styleId="CommentText">
    <w:name w:val="annotation text"/>
    <w:basedOn w:val="Normal"/>
    <w:link w:val="CommentTextChar"/>
    <w:uiPriority w:val="99"/>
    <w:unhideWhenUsed/>
    <w:rsid w:val="001D7CFB"/>
    <w:pPr>
      <w:spacing w:line="240" w:lineRule="auto"/>
    </w:pPr>
  </w:style>
  <w:style w:type="character" w:customStyle="1" w:styleId="CommentTextChar">
    <w:name w:val="Comment Text Char"/>
    <w:basedOn w:val="DefaultParagraphFont"/>
    <w:link w:val="CommentText"/>
    <w:uiPriority w:val="99"/>
    <w:rsid w:val="001D7CFB"/>
    <w:rPr>
      <w:sz w:val="20"/>
      <w:szCs w:val="20"/>
    </w:rPr>
  </w:style>
  <w:style w:type="paragraph" w:styleId="CommentSubject">
    <w:name w:val="annotation subject"/>
    <w:basedOn w:val="CommentText"/>
    <w:next w:val="CommentText"/>
    <w:link w:val="CommentSubjectChar"/>
    <w:uiPriority w:val="99"/>
    <w:semiHidden/>
    <w:unhideWhenUsed/>
    <w:rsid w:val="001D7CFB"/>
    <w:rPr>
      <w:b/>
      <w:bCs/>
    </w:rPr>
  </w:style>
  <w:style w:type="character" w:customStyle="1" w:styleId="CommentSubjectChar">
    <w:name w:val="Comment Subject Char"/>
    <w:basedOn w:val="CommentTextChar"/>
    <w:link w:val="CommentSubject"/>
    <w:uiPriority w:val="99"/>
    <w:semiHidden/>
    <w:rsid w:val="001D7CFB"/>
    <w:rPr>
      <w:b/>
      <w:bCs/>
      <w:sz w:val="20"/>
      <w:szCs w:val="20"/>
    </w:rPr>
  </w:style>
  <w:style w:type="paragraph" w:styleId="NormalWeb">
    <w:name w:val="Normal (Web)"/>
    <w:basedOn w:val="Normal"/>
    <w:uiPriority w:val="99"/>
    <w:semiHidden/>
    <w:unhideWhenUsed/>
    <w:rsid w:val="00AD3FB0"/>
    <w:pPr>
      <w:spacing w:before="100" w:beforeAutospacing="1" w:after="100" w:afterAutospacing="1" w:line="240" w:lineRule="auto"/>
    </w:pPr>
    <w:rPr>
      <w:sz w:val="24"/>
      <w:szCs w:val="24"/>
    </w:rPr>
  </w:style>
  <w:style w:type="table" w:styleId="TableGrid">
    <w:name w:val="Table Grid"/>
    <w:aliases w:val="Document Table"/>
    <w:basedOn w:val="TableNormal"/>
    <w:uiPriority w:val="59"/>
    <w:rsid w:val="00BA55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5078A"/>
    <w:rPr>
      <w:color w:val="800080" w:themeColor="followedHyperlink"/>
      <w:u w:val="single"/>
    </w:rPr>
  </w:style>
  <w:style w:type="character" w:styleId="Strong">
    <w:name w:val="Strong"/>
    <w:basedOn w:val="DefaultParagraphFont"/>
    <w:uiPriority w:val="22"/>
    <w:qFormat/>
    <w:rsid w:val="00C77062"/>
    <w:rPr>
      <w:b/>
      <w:bCs/>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B84AA8"/>
    <w:rPr>
      <w:rFonts w:ascii="Times New Roman" w:eastAsia="Times New Roman" w:hAnsi="Times New Roman" w:cs="Times New Roman"/>
      <w:sz w:val="20"/>
      <w:szCs w:val="20"/>
      <w:lang w:val="en-US"/>
    </w:rPr>
  </w:style>
  <w:style w:type="character" w:customStyle="1" w:styleId="Mention1">
    <w:name w:val="Mention1"/>
    <w:basedOn w:val="DefaultParagraphFont"/>
    <w:uiPriority w:val="99"/>
    <w:unhideWhenUsed/>
    <w:rsid w:val="00B95B99"/>
    <w:rPr>
      <w:color w:val="2B579A"/>
      <w:shd w:val="clear" w:color="auto" w:fill="E6E6E6"/>
    </w:rPr>
  </w:style>
  <w:style w:type="paragraph" w:customStyle="1" w:styleId="Footnote">
    <w:name w:val="Footnote"/>
    <w:basedOn w:val="FootnoteText"/>
    <w:qFormat/>
    <w:rsid w:val="009903AB"/>
    <w:pPr>
      <w:widowControl/>
      <w:adjustRightInd/>
      <w:jc w:val="left"/>
      <w:textAlignment w:val="auto"/>
    </w:pPr>
    <w:rPr>
      <w:rFonts w:eastAsiaTheme="minorHAnsi" w:cstheme="minorBidi"/>
      <w:lang w:val="de-DE"/>
    </w:rPr>
  </w:style>
  <w:style w:type="character" w:customStyle="1" w:styleId="Mention2">
    <w:name w:val="Mention2"/>
    <w:basedOn w:val="DefaultParagraphFont"/>
    <w:uiPriority w:val="99"/>
    <w:unhideWhenUsed/>
    <w:rsid w:val="00D87052"/>
    <w:rPr>
      <w:color w:val="2B579A"/>
      <w:shd w:val="clear" w:color="auto" w:fill="E6E6E6"/>
    </w:rPr>
  </w:style>
  <w:style w:type="character" w:customStyle="1" w:styleId="UnresolvedMention1">
    <w:name w:val="Unresolved Mention1"/>
    <w:basedOn w:val="DefaultParagraphFont"/>
    <w:uiPriority w:val="99"/>
    <w:unhideWhenUsed/>
    <w:rsid w:val="00397521"/>
    <w:rPr>
      <w:color w:val="605E5C"/>
      <w:shd w:val="clear" w:color="auto" w:fill="E1DFDD"/>
    </w:rPr>
  </w:style>
  <w:style w:type="character" w:customStyle="1" w:styleId="Mention3">
    <w:name w:val="Mention3"/>
    <w:basedOn w:val="DefaultParagraphFont"/>
    <w:uiPriority w:val="99"/>
    <w:unhideWhenUsed/>
    <w:rsid w:val="00397521"/>
    <w:rPr>
      <w:color w:val="2B579A"/>
      <w:shd w:val="clear" w:color="auto" w:fill="E1DFDD"/>
    </w:rPr>
  </w:style>
  <w:style w:type="character" w:customStyle="1" w:styleId="Mention4">
    <w:name w:val="Mention4"/>
    <w:basedOn w:val="DefaultParagraphFont"/>
    <w:uiPriority w:val="99"/>
    <w:unhideWhenUsed/>
    <w:rsid w:val="00603F72"/>
    <w:rPr>
      <w:color w:val="2B579A"/>
      <w:shd w:val="clear" w:color="auto" w:fill="E6E6E6"/>
    </w:rPr>
  </w:style>
  <w:style w:type="character" w:customStyle="1" w:styleId="UnresolvedMention20">
    <w:name w:val="Unresolved Mention20"/>
    <w:basedOn w:val="DefaultParagraphFont"/>
    <w:uiPriority w:val="99"/>
    <w:semiHidden/>
    <w:unhideWhenUsed/>
    <w:rsid w:val="00A06143"/>
    <w:rPr>
      <w:color w:val="605E5C"/>
      <w:shd w:val="clear" w:color="auto" w:fill="E1DFDD"/>
    </w:rPr>
  </w:style>
  <w:style w:type="character" w:customStyle="1" w:styleId="UnresolvedMention2">
    <w:name w:val="Unresolved Mention2"/>
    <w:basedOn w:val="DefaultParagraphFont"/>
    <w:uiPriority w:val="99"/>
    <w:semiHidden/>
    <w:unhideWhenUsed/>
    <w:rsid w:val="00AE69BF"/>
    <w:rPr>
      <w:color w:val="605E5C"/>
      <w:shd w:val="clear" w:color="auto" w:fill="E1DFDD"/>
    </w:rPr>
  </w:style>
  <w:style w:type="character" w:customStyle="1" w:styleId="UnresolvedMention3">
    <w:name w:val="Unresolved Mention3"/>
    <w:basedOn w:val="DefaultParagraphFont"/>
    <w:uiPriority w:val="99"/>
    <w:semiHidden/>
    <w:unhideWhenUsed/>
    <w:rsid w:val="00F13E76"/>
    <w:rPr>
      <w:color w:val="605E5C"/>
      <w:shd w:val="clear" w:color="auto" w:fill="E1DFDD"/>
    </w:rPr>
  </w:style>
  <w:style w:type="character" w:customStyle="1" w:styleId="Marker">
    <w:name w:val="Marker"/>
    <w:basedOn w:val="DefaultParagraphFont"/>
    <w:rsid w:val="00520813"/>
    <w:rPr>
      <w:color w:val="0000FF"/>
      <w:shd w:val="clear" w:color="auto" w:fill="auto"/>
    </w:rPr>
  </w:style>
  <w:style w:type="paragraph" w:customStyle="1" w:styleId="Pagedecouverture">
    <w:name w:val="Page de couverture"/>
    <w:basedOn w:val="Normal"/>
    <w:next w:val="Normal"/>
    <w:rsid w:val="00520813"/>
    <w:pPr>
      <w:widowControl/>
      <w:adjustRightInd/>
      <w:spacing w:line="240" w:lineRule="auto"/>
      <w:textAlignment w:val="auto"/>
    </w:pPr>
    <w:rPr>
      <w:rFonts w:eastAsiaTheme="minorHAnsi"/>
      <w:sz w:val="24"/>
      <w:szCs w:val="22"/>
    </w:rPr>
  </w:style>
  <w:style w:type="paragraph" w:customStyle="1" w:styleId="FooterCoverPage">
    <w:name w:val="Footer Cover Page"/>
    <w:basedOn w:val="Normal"/>
    <w:link w:val="FooterCoverPageChar"/>
    <w:rsid w:val="00520813"/>
    <w:pPr>
      <w:tabs>
        <w:tab w:val="center" w:pos="4535"/>
        <w:tab w:val="right" w:pos="9071"/>
        <w:tab w:val="right" w:pos="9921"/>
      </w:tabs>
      <w:spacing w:before="360" w:line="240" w:lineRule="auto"/>
      <w:ind w:left="-850" w:right="-850"/>
      <w:jc w:val="left"/>
    </w:pPr>
    <w:rPr>
      <w:sz w:val="24"/>
    </w:rPr>
  </w:style>
  <w:style w:type="character" w:customStyle="1" w:styleId="FooterCoverPageChar">
    <w:name w:val="Footer Cover Page Char"/>
    <w:basedOn w:val="Heading1Char"/>
    <w:link w:val="FooterCoverPage"/>
    <w:rsid w:val="00520813"/>
    <w:rPr>
      <w:rFonts w:ascii="Times New Roman" w:eastAsia="Times New Roman" w:hAnsi="Times New Roman" w:cs="Times New Roman"/>
      <w:b w:val="0"/>
      <w:smallCaps w:val="0"/>
      <w:sz w:val="24"/>
      <w:szCs w:val="20"/>
      <w:lang w:val="en-US" w:eastAsia="en-IE"/>
    </w:rPr>
  </w:style>
  <w:style w:type="paragraph" w:customStyle="1" w:styleId="FooterSensitivity">
    <w:name w:val="Footer Sensitivity"/>
    <w:basedOn w:val="Normal"/>
    <w:link w:val="FooterSensitivityChar"/>
    <w:rsid w:val="00520813"/>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Heading1Char"/>
    <w:link w:val="FooterSensitivity"/>
    <w:rsid w:val="00520813"/>
    <w:rPr>
      <w:rFonts w:ascii="Times New Roman" w:eastAsia="Times New Roman" w:hAnsi="Times New Roman" w:cs="Times New Roman"/>
      <w:b/>
      <w:smallCaps w:val="0"/>
      <w:sz w:val="32"/>
      <w:szCs w:val="20"/>
      <w:lang w:val="en-US" w:eastAsia="en-IE"/>
    </w:rPr>
  </w:style>
  <w:style w:type="paragraph" w:customStyle="1" w:styleId="HeaderCoverPage">
    <w:name w:val="Header Cover Page"/>
    <w:basedOn w:val="Normal"/>
    <w:link w:val="HeaderCoverPageChar"/>
    <w:rsid w:val="00520813"/>
    <w:pPr>
      <w:tabs>
        <w:tab w:val="center" w:pos="4535"/>
        <w:tab w:val="right" w:pos="9071"/>
      </w:tabs>
      <w:spacing w:after="120" w:line="240" w:lineRule="auto"/>
    </w:pPr>
    <w:rPr>
      <w:sz w:val="24"/>
    </w:rPr>
  </w:style>
  <w:style w:type="character" w:customStyle="1" w:styleId="HeaderCoverPageChar">
    <w:name w:val="Header Cover Page Char"/>
    <w:basedOn w:val="Heading1Char"/>
    <w:link w:val="HeaderCoverPage"/>
    <w:rsid w:val="00520813"/>
    <w:rPr>
      <w:rFonts w:ascii="Times New Roman" w:eastAsia="Times New Roman" w:hAnsi="Times New Roman" w:cs="Times New Roman"/>
      <w:b w:val="0"/>
      <w:smallCaps w:val="0"/>
      <w:sz w:val="24"/>
      <w:szCs w:val="20"/>
      <w:lang w:val="en-US" w:eastAsia="en-IE"/>
    </w:rPr>
  </w:style>
  <w:style w:type="paragraph" w:customStyle="1" w:styleId="HeaderSensitivity">
    <w:name w:val="Header Sensitivity"/>
    <w:basedOn w:val="Normal"/>
    <w:link w:val="HeaderSensitivityChar"/>
    <w:rsid w:val="0052081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sid w:val="00520813"/>
    <w:rPr>
      <w:rFonts w:ascii="Times New Roman" w:eastAsia="Times New Roman" w:hAnsi="Times New Roman" w:cs="Times New Roman"/>
      <w:b/>
      <w:smallCaps w:val="0"/>
      <w:sz w:val="32"/>
      <w:szCs w:val="20"/>
      <w:lang w:val="en-US" w:eastAsia="en-IE"/>
    </w:rPr>
  </w:style>
  <w:style w:type="paragraph" w:customStyle="1" w:styleId="HeaderSensitivityRight">
    <w:name w:val="Header Sensitivity Right"/>
    <w:basedOn w:val="Normal"/>
    <w:link w:val="HeaderSensitivityRightChar"/>
    <w:rsid w:val="00520813"/>
    <w:pPr>
      <w:spacing w:after="120" w:line="240" w:lineRule="auto"/>
      <w:jc w:val="right"/>
    </w:pPr>
    <w:rPr>
      <w:sz w:val="28"/>
    </w:rPr>
  </w:style>
  <w:style w:type="character" w:customStyle="1" w:styleId="HeaderSensitivityRightChar">
    <w:name w:val="Header Sensitivity Right Char"/>
    <w:basedOn w:val="Heading1Char"/>
    <w:link w:val="HeaderSensitivityRight"/>
    <w:rsid w:val="00520813"/>
    <w:rPr>
      <w:rFonts w:ascii="Times New Roman" w:eastAsia="Times New Roman" w:hAnsi="Times New Roman" w:cs="Times New Roman"/>
      <w:b w:val="0"/>
      <w:smallCaps w:val="0"/>
      <w:sz w:val="28"/>
      <w:szCs w:val="20"/>
      <w:lang w:val="en-US" w:eastAsia="en-IE"/>
    </w:rPr>
  </w:style>
  <w:style w:type="character" w:styleId="Emphasis">
    <w:name w:val="Emphasis"/>
    <w:basedOn w:val="DefaultParagraphFont"/>
    <w:uiPriority w:val="20"/>
    <w:qFormat/>
    <w:rsid w:val="006D10EC"/>
    <w:rPr>
      <w:i/>
      <w:iCs/>
    </w:rPr>
  </w:style>
  <w:style w:type="paragraph" w:customStyle="1" w:styleId="CharCharChar1">
    <w:name w:val="Char Char Char1"/>
    <w:basedOn w:val="Normal"/>
    <w:link w:val="FootnoteReference"/>
    <w:rsid w:val="006D5857"/>
    <w:pPr>
      <w:widowControl/>
      <w:adjustRightInd/>
      <w:spacing w:after="160" w:line="240" w:lineRule="exact"/>
      <w:textAlignment w:val="auto"/>
    </w:pPr>
    <w:rPr>
      <w:rFonts w:asciiTheme="minorHAnsi" w:eastAsiaTheme="minorHAnsi" w:hAnsiTheme="minorHAnsi" w:cstheme="minorBidi"/>
      <w:sz w:val="22"/>
      <w:szCs w:val="22"/>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7863">
      <w:bodyDiv w:val="1"/>
      <w:marLeft w:val="0"/>
      <w:marRight w:val="0"/>
      <w:marTop w:val="0"/>
      <w:marBottom w:val="0"/>
      <w:divBdr>
        <w:top w:val="none" w:sz="0" w:space="0" w:color="auto"/>
        <w:left w:val="none" w:sz="0" w:space="0" w:color="auto"/>
        <w:bottom w:val="none" w:sz="0" w:space="0" w:color="auto"/>
        <w:right w:val="none" w:sz="0" w:space="0" w:color="auto"/>
      </w:divBdr>
    </w:div>
    <w:div w:id="284629120">
      <w:bodyDiv w:val="1"/>
      <w:marLeft w:val="0"/>
      <w:marRight w:val="0"/>
      <w:marTop w:val="0"/>
      <w:marBottom w:val="0"/>
      <w:divBdr>
        <w:top w:val="none" w:sz="0" w:space="0" w:color="auto"/>
        <w:left w:val="none" w:sz="0" w:space="0" w:color="auto"/>
        <w:bottom w:val="none" w:sz="0" w:space="0" w:color="auto"/>
        <w:right w:val="none" w:sz="0" w:space="0" w:color="auto"/>
      </w:divBdr>
    </w:div>
    <w:div w:id="382411019">
      <w:bodyDiv w:val="1"/>
      <w:marLeft w:val="0"/>
      <w:marRight w:val="0"/>
      <w:marTop w:val="0"/>
      <w:marBottom w:val="0"/>
      <w:divBdr>
        <w:top w:val="none" w:sz="0" w:space="0" w:color="auto"/>
        <w:left w:val="none" w:sz="0" w:space="0" w:color="auto"/>
        <w:bottom w:val="none" w:sz="0" w:space="0" w:color="auto"/>
        <w:right w:val="none" w:sz="0" w:space="0" w:color="auto"/>
      </w:divBdr>
    </w:div>
    <w:div w:id="430589357">
      <w:bodyDiv w:val="1"/>
      <w:marLeft w:val="0"/>
      <w:marRight w:val="0"/>
      <w:marTop w:val="0"/>
      <w:marBottom w:val="0"/>
      <w:divBdr>
        <w:top w:val="none" w:sz="0" w:space="0" w:color="auto"/>
        <w:left w:val="none" w:sz="0" w:space="0" w:color="auto"/>
        <w:bottom w:val="none" w:sz="0" w:space="0" w:color="auto"/>
        <w:right w:val="none" w:sz="0" w:space="0" w:color="auto"/>
      </w:divBdr>
    </w:div>
    <w:div w:id="437603614">
      <w:bodyDiv w:val="1"/>
      <w:marLeft w:val="0"/>
      <w:marRight w:val="0"/>
      <w:marTop w:val="0"/>
      <w:marBottom w:val="0"/>
      <w:divBdr>
        <w:top w:val="none" w:sz="0" w:space="0" w:color="auto"/>
        <w:left w:val="none" w:sz="0" w:space="0" w:color="auto"/>
        <w:bottom w:val="none" w:sz="0" w:space="0" w:color="auto"/>
        <w:right w:val="none" w:sz="0" w:space="0" w:color="auto"/>
      </w:divBdr>
    </w:div>
    <w:div w:id="499122515">
      <w:bodyDiv w:val="1"/>
      <w:marLeft w:val="0"/>
      <w:marRight w:val="0"/>
      <w:marTop w:val="0"/>
      <w:marBottom w:val="0"/>
      <w:divBdr>
        <w:top w:val="none" w:sz="0" w:space="0" w:color="auto"/>
        <w:left w:val="none" w:sz="0" w:space="0" w:color="auto"/>
        <w:bottom w:val="none" w:sz="0" w:space="0" w:color="auto"/>
        <w:right w:val="none" w:sz="0" w:space="0" w:color="auto"/>
      </w:divBdr>
    </w:div>
    <w:div w:id="502670615">
      <w:bodyDiv w:val="1"/>
      <w:marLeft w:val="0"/>
      <w:marRight w:val="0"/>
      <w:marTop w:val="0"/>
      <w:marBottom w:val="0"/>
      <w:divBdr>
        <w:top w:val="none" w:sz="0" w:space="0" w:color="auto"/>
        <w:left w:val="none" w:sz="0" w:space="0" w:color="auto"/>
        <w:bottom w:val="none" w:sz="0" w:space="0" w:color="auto"/>
        <w:right w:val="none" w:sz="0" w:space="0" w:color="auto"/>
      </w:divBdr>
    </w:div>
    <w:div w:id="524556610">
      <w:bodyDiv w:val="1"/>
      <w:marLeft w:val="0"/>
      <w:marRight w:val="0"/>
      <w:marTop w:val="0"/>
      <w:marBottom w:val="0"/>
      <w:divBdr>
        <w:top w:val="none" w:sz="0" w:space="0" w:color="auto"/>
        <w:left w:val="none" w:sz="0" w:space="0" w:color="auto"/>
        <w:bottom w:val="none" w:sz="0" w:space="0" w:color="auto"/>
        <w:right w:val="none" w:sz="0" w:space="0" w:color="auto"/>
      </w:divBdr>
    </w:div>
    <w:div w:id="544413730">
      <w:bodyDiv w:val="1"/>
      <w:marLeft w:val="0"/>
      <w:marRight w:val="0"/>
      <w:marTop w:val="0"/>
      <w:marBottom w:val="0"/>
      <w:divBdr>
        <w:top w:val="none" w:sz="0" w:space="0" w:color="auto"/>
        <w:left w:val="none" w:sz="0" w:space="0" w:color="auto"/>
        <w:bottom w:val="none" w:sz="0" w:space="0" w:color="auto"/>
        <w:right w:val="none" w:sz="0" w:space="0" w:color="auto"/>
      </w:divBdr>
    </w:div>
    <w:div w:id="565335241">
      <w:bodyDiv w:val="1"/>
      <w:marLeft w:val="0"/>
      <w:marRight w:val="0"/>
      <w:marTop w:val="0"/>
      <w:marBottom w:val="0"/>
      <w:divBdr>
        <w:top w:val="none" w:sz="0" w:space="0" w:color="auto"/>
        <w:left w:val="none" w:sz="0" w:space="0" w:color="auto"/>
        <w:bottom w:val="none" w:sz="0" w:space="0" w:color="auto"/>
        <w:right w:val="none" w:sz="0" w:space="0" w:color="auto"/>
      </w:divBdr>
    </w:div>
    <w:div w:id="650980905">
      <w:bodyDiv w:val="1"/>
      <w:marLeft w:val="0"/>
      <w:marRight w:val="0"/>
      <w:marTop w:val="0"/>
      <w:marBottom w:val="0"/>
      <w:divBdr>
        <w:top w:val="none" w:sz="0" w:space="0" w:color="auto"/>
        <w:left w:val="none" w:sz="0" w:space="0" w:color="auto"/>
        <w:bottom w:val="none" w:sz="0" w:space="0" w:color="auto"/>
        <w:right w:val="none" w:sz="0" w:space="0" w:color="auto"/>
      </w:divBdr>
    </w:div>
    <w:div w:id="651373745">
      <w:bodyDiv w:val="1"/>
      <w:marLeft w:val="0"/>
      <w:marRight w:val="0"/>
      <w:marTop w:val="0"/>
      <w:marBottom w:val="0"/>
      <w:divBdr>
        <w:top w:val="none" w:sz="0" w:space="0" w:color="auto"/>
        <w:left w:val="none" w:sz="0" w:space="0" w:color="auto"/>
        <w:bottom w:val="none" w:sz="0" w:space="0" w:color="auto"/>
        <w:right w:val="none" w:sz="0" w:space="0" w:color="auto"/>
      </w:divBdr>
    </w:div>
    <w:div w:id="667102659">
      <w:bodyDiv w:val="1"/>
      <w:marLeft w:val="0"/>
      <w:marRight w:val="0"/>
      <w:marTop w:val="0"/>
      <w:marBottom w:val="0"/>
      <w:divBdr>
        <w:top w:val="none" w:sz="0" w:space="0" w:color="auto"/>
        <w:left w:val="none" w:sz="0" w:space="0" w:color="auto"/>
        <w:bottom w:val="none" w:sz="0" w:space="0" w:color="auto"/>
        <w:right w:val="none" w:sz="0" w:space="0" w:color="auto"/>
      </w:divBdr>
    </w:div>
    <w:div w:id="863782700">
      <w:bodyDiv w:val="1"/>
      <w:marLeft w:val="0"/>
      <w:marRight w:val="0"/>
      <w:marTop w:val="0"/>
      <w:marBottom w:val="0"/>
      <w:divBdr>
        <w:top w:val="none" w:sz="0" w:space="0" w:color="auto"/>
        <w:left w:val="none" w:sz="0" w:space="0" w:color="auto"/>
        <w:bottom w:val="none" w:sz="0" w:space="0" w:color="auto"/>
        <w:right w:val="none" w:sz="0" w:space="0" w:color="auto"/>
      </w:divBdr>
    </w:div>
    <w:div w:id="895042228">
      <w:bodyDiv w:val="1"/>
      <w:marLeft w:val="0"/>
      <w:marRight w:val="0"/>
      <w:marTop w:val="0"/>
      <w:marBottom w:val="0"/>
      <w:divBdr>
        <w:top w:val="none" w:sz="0" w:space="0" w:color="auto"/>
        <w:left w:val="none" w:sz="0" w:space="0" w:color="auto"/>
        <w:bottom w:val="none" w:sz="0" w:space="0" w:color="auto"/>
        <w:right w:val="none" w:sz="0" w:space="0" w:color="auto"/>
      </w:divBdr>
    </w:div>
    <w:div w:id="941687003">
      <w:bodyDiv w:val="1"/>
      <w:marLeft w:val="0"/>
      <w:marRight w:val="0"/>
      <w:marTop w:val="0"/>
      <w:marBottom w:val="0"/>
      <w:divBdr>
        <w:top w:val="none" w:sz="0" w:space="0" w:color="auto"/>
        <w:left w:val="none" w:sz="0" w:space="0" w:color="auto"/>
        <w:bottom w:val="none" w:sz="0" w:space="0" w:color="auto"/>
        <w:right w:val="none" w:sz="0" w:space="0" w:color="auto"/>
      </w:divBdr>
    </w:div>
    <w:div w:id="966204522">
      <w:bodyDiv w:val="1"/>
      <w:marLeft w:val="0"/>
      <w:marRight w:val="0"/>
      <w:marTop w:val="0"/>
      <w:marBottom w:val="0"/>
      <w:divBdr>
        <w:top w:val="none" w:sz="0" w:space="0" w:color="auto"/>
        <w:left w:val="none" w:sz="0" w:space="0" w:color="auto"/>
        <w:bottom w:val="none" w:sz="0" w:space="0" w:color="auto"/>
        <w:right w:val="none" w:sz="0" w:space="0" w:color="auto"/>
      </w:divBdr>
    </w:div>
    <w:div w:id="1084837621">
      <w:bodyDiv w:val="1"/>
      <w:marLeft w:val="0"/>
      <w:marRight w:val="0"/>
      <w:marTop w:val="0"/>
      <w:marBottom w:val="0"/>
      <w:divBdr>
        <w:top w:val="none" w:sz="0" w:space="0" w:color="auto"/>
        <w:left w:val="none" w:sz="0" w:space="0" w:color="auto"/>
        <w:bottom w:val="none" w:sz="0" w:space="0" w:color="auto"/>
        <w:right w:val="none" w:sz="0" w:space="0" w:color="auto"/>
      </w:divBdr>
    </w:div>
    <w:div w:id="1086003367">
      <w:bodyDiv w:val="1"/>
      <w:marLeft w:val="0"/>
      <w:marRight w:val="0"/>
      <w:marTop w:val="0"/>
      <w:marBottom w:val="0"/>
      <w:divBdr>
        <w:top w:val="none" w:sz="0" w:space="0" w:color="auto"/>
        <w:left w:val="none" w:sz="0" w:space="0" w:color="auto"/>
        <w:bottom w:val="none" w:sz="0" w:space="0" w:color="auto"/>
        <w:right w:val="none" w:sz="0" w:space="0" w:color="auto"/>
      </w:divBdr>
      <w:divsChild>
        <w:div w:id="153035473">
          <w:marLeft w:val="0"/>
          <w:marRight w:val="0"/>
          <w:marTop w:val="0"/>
          <w:marBottom w:val="0"/>
          <w:divBdr>
            <w:top w:val="none" w:sz="0" w:space="0" w:color="auto"/>
            <w:left w:val="none" w:sz="0" w:space="0" w:color="auto"/>
            <w:bottom w:val="none" w:sz="0" w:space="0" w:color="auto"/>
            <w:right w:val="none" w:sz="0" w:space="0" w:color="auto"/>
          </w:divBdr>
        </w:div>
        <w:div w:id="682245211">
          <w:marLeft w:val="0"/>
          <w:marRight w:val="0"/>
          <w:marTop w:val="0"/>
          <w:marBottom w:val="0"/>
          <w:divBdr>
            <w:top w:val="none" w:sz="0" w:space="0" w:color="auto"/>
            <w:left w:val="none" w:sz="0" w:space="0" w:color="auto"/>
            <w:bottom w:val="none" w:sz="0" w:space="0" w:color="auto"/>
            <w:right w:val="none" w:sz="0" w:space="0" w:color="auto"/>
          </w:divBdr>
        </w:div>
      </w:divsChild>
    </w:div>
    <w:div w:id="1161655166">
      <w:bodyDiv w:val="1"/>
      <w:marLeft w:val="0"/>
      <w:marRight w:val="0"/>
      <w:marTop w:val="0"/>
      <w:marBottom w:val="0"/>
      <w:divBdr>
        <w:top w:val="none" w:sz="0" w:space="0" w:color="auto"/>
        <w:left w:val="none" w:sz="0" w:space="0" w:color="auto"/>
        <w:bottom w:val="none" w:sz="0" w:space="0" w:color="auto"/>
        <w:right w:val="none" w:sz="0" w:space="0" w:color="auto"/>
      </w:divBdr>
    </w:div>
    <w:div w:id="1214343966">
      <w:bodyDiv w:val="1"/>
      <w:marLeft w:val="0"/>
      <w:marRight w:val="0"/>
      <w:marTop w:val="0"/>
      <w:marBottom w:val="0"/>
      <w:divBdr>
        <w:top w:val="none" w:sz="0" w:space="0" w:color="auto"/>
        <w:left w:val="none" w:sz="0" w:space="0" w:color="auto"/>
        <w:bottom w:val="none" w:sz="0" w:space="0" w:color="auto"/>
        <w:right w:val="none" w:sz="0" w:space="0" w:color="auto"/>
      </w:divBdr>
    </w:div>
    <w:div w:id="1267931419">
      <w:bodyDiv w:val="1"/>
      <w:marLeft w:val="0"/>
      <w:marRight w:val="0"/>
      <w:marTop w:val="0"/>
      <w:marBottom w:val="0"/>
      <w:divBdr>
        <w:top w:val="none" w:sz="0" w:space="0" w:color="auto"/>
        <w:left w:val="none" w:sz="0" w:space="0" w:color="auto"/>
        <w:bottom w:val="none" w:sz="0" w:space="0" w:color="auto"/>
        <w:right w:val="none" w:sz="0" w:space="0" w:color="auto"/>
      </w:divBdr>
    </w:div>
    <w:div w:id="1300305804">
      <w:bodyDiv w:val="1"/>
      <w:marLeft w:val="0"/>
      <w:marRight w:val="0"/>
      <w:marTop w:val="0"/>
      <w:marBottom w:val="0"/>
      <w:divBdr>
        <w:top w:val="none" w:sz="0" w:space="0" w:color="auto"/>
        <w:left w:val="none" w:sz="0" w:space="0" w:color="auto"/>
        <w:bottom w:val="none" w:sz="0" w:space="0" w:color="auto"/>
        <w:right w:val="none" w:sz="0" w:space="0" w:color="auto"/>
      </w:divBdr>
      <w:divsChild>
        <w:div w:id="851337707">
          <w:marLeft w:val="0"/>
          <w:marRight w:val="0"/>
          <w:marTop w:val="0"/>
          <w:marBottom w:val="0"/>
          <w:divBdr>
            <w:top w:val="none" w:sz="0" w:space="0" w:color="auto"/>
            <w:left w:val="none" w:sz="0" w:space="0" w:color="auto"/>
            <w:bottom w:val="none" w:sz="0" w:space="0" w:color="auto"/>
            <w:right w:val="none" w:sz="0" w:space="0" w:color="auto"/>
          </w:divBdr>
          <w:divsChild>
            <w:div w:id="212935497">
              <w:marLeft w:val="0"/>
              <w:marRight w:val="0"/>
              <w:marTop w:val="0"/>
              <w:marBottom w:val="0"/>
              <w:divBdr>
                <w:top w:val="none" w:sz="0" w:space="0" w:color="auto"/>
                <w:left w:val="none" w:sz="0" w:space="0" w:color="auto"/>
                <w:bottom w:val="none" w:sz="0" w:space="0" w:color="auto"/>
                <w:right w:val="none" w:sz="0" w:space="0" w:color="auto"/>
              </w:divBdr>
              <w:divsChild>
                <w:div w:id="37146032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04656">
      <w:bodyDiv w:val="1"/>
      <w:marLeft w:val="0"/>
      <w:marRight w:val="0"/>
      <w:marTop w:val="0"/>
      <w:marBottom w:val="0"/>
      <w:divBdr>
        <w:top w:val="none" w:sz="0" w:space="0" w:color="auto"/>
        <w:left w:val="none" w:sz="0" w:space="0" w:color="auto"/>
        <w:bottom w:val="none" w:sz="0" w:space="0" w:color="auto"/>
        <w:right w:val="none" w:sz="0" w:space="0" w:color="auto"/>
      </w:divBdr>
    </w:div>
    <w:div w:id="1306930045">
      <w:bodyDiv w:val="1"/>
      <w:marLeft w:val="0"/>
      <w:marRight w:val="0"/>
      <w:marTop w:val="0"/>
      <w:marBottom w:val="0"/>
      <w:divBdr>
        <w:top w:val="none" w:sz="0" w:space="0" w:color="auto"/>
        <w:left w:val="none" w:sz="0" w:space="0" w:color="auto"/>
        <w:bottom w:val="none" w:sz="0" w:space="0" w:color="auto"/>
        <w:right w:val="none" w:sz="0" w:space="0" w:color="auto"/>
      </w:divBdr>
    </w:div>
    <w:div w:id="1310012997">
      <w:bodyDiv w:val="1"/>
      <w:marLeft w:val="0"/>
      <w:marRight w:val="0"/>
      <w:marTop w:val="0"/>
      <w:marBottom w:val="0"/>
      <w:divBdr>
        <w:top w:val="none" w:sz="0" w:space="0" w:color="auto"/>
        <w:left w:val="none" w:sz="0" w:space="0" w:color="auto"/>
        <w:bottom w:val="none" w:sz="0" w:space="0" w:color="auto"/>
        <w:right w:val="none" w:sz="0" w:space="0" w:color="auto"/>
      </w:divBdr>
    </w:div>
    <w:div w:id="1387220375">
      <w:bodyDiv w:val="1"/>
      <w:marLeft w:val="0"/>
      <w:marRight w:val="0"/>
      <w:marTop w:val="0"/>
      <w:marBottom w:val="0"/>
      <w:divBdr>
        <w:top w:val="none" w:sz="0" w:space="0" w:color="auto"/>
        <w:left w:val="none" w:sz="0" w:space="0" w:color="auto"/>
        <w:bottom w:val="none" w:sz="0" w:space="0" w:color="auto"/>
        <w:right w:val="none" w:sz="0" w:space="0" w:color="auto"/>
      </w:divBdr>
    </w:div>
    <w:div w:id="1411660955">
      <w:bodyDiv w:val="1"/>
      <w:marLeft w:val="0"/>
      <w:marRight w:val="0"/>
      <w:marTop w:val="0"/>
      <w:marBottom w:val="0"/>
      <w:divBdr>
        <w:top w:val="none" w:sz="0" w:space="0" w:color="auto"/>
        <w:left w:val="none" w:sz="0" w:space="0" w:color="auto"/>
        <w:bottom w:val="none" w:sz="0" w:space="0" w:color="auto"/>
        <w:right w:val="none" w:sz="0" w:space="0" w:color="auto"/>
      </w:divBdr>
    </w:div>
    <w:div w:id="1437794851">
      <w:bodyDiv w:val="1"/>
      <w:marLeft w:val="0"/>
      <w:marRight w:val="0"/>
      <w:marTop w:val="0"/>
      <w:marBottom w:val="0"/>
      <w:divBdr>
        <w:top w:val="none" w:sz="0" w:space="0" w:color="auto"/>
        <w:left w:val="none" w:sz="0" w:space="0" w:color="auto"/>
        <w:bottom w:val="none" w:sz="0" w:space="0" w:color="auto"/>
        <w:right w:val="none" w:sz="0" w:space="0" w:color="auto"/>
      </w:divBdr>
      <w:divsChild>
        <w:div w:id="145782915">
          <w:marLeft w:val="0"/>
          <w:marRight w:val="0"/>
          <w:marTop w:val="0"/>
          <w:marBottom w:val="0"/>
          <w:divBdr>
            <w:top w:val="none" w:sz="0" w:space="0" w:color="auto"/>
            <w:left w:val="none" w:sz="0" w:space="0" w:color="auto"/>
            <w:bottom w:val="none" w:sz="0" w:space="0" w:color="auto"/>
            <w:right w:val="none" w:sz="0" w:space="0" w:color="auto"/>
          </w:divBdr>
        </w:div>
      </w:divsChild>
    </w:div>
    <w:div w:id="1461338122">
      <w:bodyDiv w:val="1"/>
      <w:marLeft w:val="0"/>
      <w:marRight w:val="0"/>
      <w:marTop w:val="0"/>
      <w:marBottom w:val="0"/>
      <w:divBdr>
        <w:top w:val="none" w:sz="0" w:space="0" w:color="auto"/>
        <w:left w:val="none" w:sz="0" w:space="0" w:color="auto"/>
        <w:bottom w:val="none" w:sz="0" w:space="0" w:color="auto"/>
        <w:right w:val="none" w:sz="0" w:space="0" w:color="auto"/>
      </w:divBdr>
    </w:div>
    <w:div w:id="1482693391">
      <w:bodyDiv w:val="1"/>
      <w:marLeft w:val="0"/>
      <w:marRight w:val="0"/>
      <w:marTop w:val="0"/>
      <w:marBottom w:val="0"/>
      <w:divBdr>
        <w:top w:val="none" w:sz="0" w:space="0" w:color="auto"/>
        <w:left w:val="none" w:sz="0" w:space="0" w:color="auto"/>
        <w:bottom w:val="none" w:sz="0" w:space="0" w:color="auto"/>
        <w:right w:val="none" w:sz="0" w:space="0" w:color="auto"/>
      </w:divBdr>
    </w:div>
    <w:div w:id="1597513860">
      <w:bodyDiv w:val="1"/>
      <w:marLeft w:val="0"/>
      <w:marRight w:val="0"/>
      <w:marTop w:val="0"/>
      <w:marBottom w:val="0"/>
      <w:divBdr>
        <w:top w:val="none" w:sz="0" w:space="0" w:color="auto"/>
        <w:left w:val="none" w:sz="0" w:space="0" w:color="auto"/>
        <w:bottom w:val="none" w:sz="0" w:space="0" w:color="auto"/>
        <w:right w:val="none" w:sz="0" w:space="0" w:color="auto"/>
      </w:divBdr>
    </w:div>
    <w:div w:id="1624532797">
      <w:bodyDiv w:val="1"/>
      <w:marLeft w:val="0"/>
      <w:marRight w:val="0"/>
      <w:marTop w:val="0"/>
      <w:marBottom w:val="0"/>
      <w:divBdr>
        <w:top w:val="none" w:sz="0" w:space="0" w:color="auto"/>
        <w:left w:val="none" w:sz="0" w:space="0" w:color="auto"/>
        <w:bottom w:val="none" w:sz="0" w:space="0" w:color="auto"/>
        <w:right w:val="none" w:sz="0" w:space="0" w:color="auto"/>
      </w:divBdr>
    </w:div>
    <w:div w:id="1737783200">
      <w:bodyDiv w:val="1"/>
      <w:marLeft w:val="0"/>
      <w:marRight w:val="0"/>
      <w:marTop w:val="0"/>
      <w:marBottom w:val="0"/>
      <w:divBdr>
        <w:top w:val="none" w:sz="0" w:space="0" w:color="auto"/>
        <w:left w:val="none" w:sz="0" w:space="0" w:color="auto"/>
        <w:bottom w:val="none" w:sz="0" w:space="0" w:color="auto"/>
        <w:right w:val="none" w:sz="0" w:space="0" w:color="auto"/>
      </w:divBdr>
    </w:div>
    <w:div w:id="1787506434">
      <w:bodyDiv w:val="1"/>
      <w:marLeft w:val="0"/>
      <w:marRight w:val="0"/>
      <w:marTop w:val="0"/>
      <w:marBottom w:val="0"/>
      <w:divBdr>
        <w:top w:val="none" w:sz="0" w:space="0" w:color="auto"/>
        <w:left w:val="none" w:sz="0" w:space="0" w:color="auto"/>
        <w:bottom w:val="none" w:sz="0" w:space="0" w:color="auto"/>
        <w:right w:val="none" w:sz="0" w:space="0" w:color="auto"/>
      </w:divBdr>
    </w:div>
    <w:div w:id="1831362992">
      <w:bodyDiv w:val="1"/>
      <w:marLeft w:val="0"/>
      <w:marRight w:val="0"/>
      <w:marTop w:val="0"/>
      <w:marBottom w:val="0"/>
      <w:divBdr>
        <w:top w:val="none" w:sz="0" w:space="0" w:color="auto"/>
        <w:left w:val="none" w:sz="0" w:space="0" w:color="auto"/>
        <w:bottom w:val="none" w:sz="0" w:space="0" w:color="auto"/>
        <w:right w:val="none" w:sz="0" w:space="0" w:color="auto"/>
      </w:divBdr>
    </w:div>
    <w:div w:id="1965651939">
      <w:bodyDiv w:val="1"/>
      <w:marLeft w:val="0"/>
      <w:marRight w:val="0"/>
      <w:marTop w:val="0"/>
      <w:marBottom w:val="0"/>
      <w:divBdr>
        <w:top w:val="none" w:sz="0" w:space="0" w:color="auto"/>
        <w:left w:val="none" w:sz="0" w:space="0" w:color="auto"/>
        <w:bottom w:val="none" w:sz="0" w:space="0" w:color="auto"/>
        <w:right w:val="none" w:sz="0" w:space="0" w:color="auto"/>
      </w:divBdr>
    </w:div>
    <w:div w:id="2001345023">
      <w:bodyDiv w:val="1"/>
      <w:marLeft w:val="0"/>
      <w:marRight w:val="0"/>
      <w:marTop w:val="0"/>
      <w:marBottom w:val="0"/>
      <w:divBdr>
        <w:top w:val="none" w:sz="0" w:space="0" w:color="auto"/>
        <w:left w:val="none" w:sz="0" w:space="0" w:color="auto"/>
        <w:bottom w:val="none" w:sz="0" w:space="0" w:color="auto"/>
        <w:right w:val="none" w:sz="0" w:space="0" w:color="auto"/>
      </w:divBdr>
    </w:div>
    <w:div w:id="2044594177">
      <w:bodyDiv w:val="1"/>
      <w:marLeft w:val="0"/>
      <w:marRight w:val="0"/>
      <w:marTop w:val="0"/>
      <w:marBottom w:val="0"/>
      <w:divBdr>
        <w:top w:val="none" w:sz="0" w:space="0" w:color="auto"/>
        <w:left w:val="none" w:sz="0" w:space="0" w:color="auto"/>
        <w:bottom w:val="none" w:sz="0" w:space="0" w:color="auto"/>
        <w:right w:val="none" w:sz="0" w:space="0" w:color="auto"/>
      </w:divBdr>
    </w:div>
    <w:div w:id="2068723614">
      <w:bodyDiv w:val="1"/>
      <w:marLeft w:val="0"/>
      <w:marRight w:val="0"/>
      <w:marTop w:val="0"/>
      <w:marBottom w:val="0"/>
      <w:divBdr>
        <w:top w:val="none" w:sz="0" w:space="0" w:color="auto"/>
        <w:left w:val="none" w:sz="0" w:space="0" w:color="auto"/>
        <w:bottom w:val="none" w:sz="0" w:space="0" w:color="auto"/>
        <w:right w:val="none" w:sz="0" w:space="0" w:color="auto"/>
      </w:divBdr>
    </w:div>
    <w:div w:id="210233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commission/presscorner/detail/fr/IP_22_31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1DC0390" TargetMode="External"/><Relationship Id="rId13" Type="http://schemas.openxmlformats.org/officeDocument/2006/relationships/hyperlink" Target="https://economy-finance.ec.europa.eu/publications/quantifying-economic-effects-single-market-structural-macromodel_en" TargetMode="External"/><Relationship Id="rId3" Type="http://schemas.openxmlformats.org/officeDocument/2006/relationships/hyperlink" Target="https://www.vbw-bayern.de/vbw/Publikationen/Effekte-der-chinesischen-Subventionspolitik-auf-Deutschland.jsp" TargetMode="External"/><Relationship Id="rId7" Type="http://schemas.openxmlformats.org/officeDocument/2006/relationships/hyperlink" Target="https://www.eib.org/fr/press/all/2022-450-eib-boosts-clean-energy-financing-in-support-of-repowereu-plan" TargetMode="External"/><Relationship Id="rId12" Type="http://schemas.openxmlformats.org/officeDocument/2006/relationships/hyperlink" Target="https://ec.europa.eu/commission/presscorner/detail/fr/IP_23_248" TargetMode="External"/><Relationship Id="rId2" Type="http://schemas.openxmlformats.org/officeDocument/2006/relationships/hyperlink" Target="https://www.vbw-bayern.de/vbw/Publikationen/Effekte-der-chinesischen-Subventionspolitik-auf-Deutschland.jsp" TargetMode="External"/><Relationship Id="rId1" Type="http://schemas.openxmlformats.org/officeDocument/2006/relationships/hyperlink" Target="https://eceuropaeu.sharepoint.com/teams/GRP-SGCleanTechAct/Shared%20Documents/General/The%20rise%20of%20European%20Clean%20Tech%20&#8211;%20Report" TargetMode="External"/><Relationship Id="rId6" Type="http://schemas.openxmlformats.org/officeDocument/2006/relationships/hyperlink" Target="https://op.europa.eu/en/publication-detail/-/publication/34a55767-55a1-11ed-92ed-01aa75ed71a1/language-en?WT.mc_id=Searchresult&amp;WT.ria_c=37085&amp;WT.ria_f=3608&amp;WT.ria_ev=search&amp;WT.URL=https%3A%2F%2Fenergy.ec.europa.eu%2F" TargetMode="External"/><Relationship Id="rId11" Type="http://schemas.openxmlformats.org/officeDocument/2006/relationships/hyperlink" Target="https://publications.jrc.ec.europa.eu/repository/bitstream/JRC131001/2022.5375.pdf" TargetMode="External"/><Relationship Id="rId5" Type="http://schemas.openxmlformats.org/officeDocument/2006/relationships/hyperlink" Target="https://eur-lex.europa.eu/legal-content/EN/TXT/PDF/?uri=CELEX:52022SC0230&amp;from=EN" TargetMode="External"/><Relationship Id="rId10" Type="http://schemas.openxmlformats.org/officeDocument/2006/relationships/hyperlink" Target="https://www.ilo.org/wcmsp5/groups/public/---ed_emp/---ifp_skills/documents/publication/wcms_709124.pdf" TargetMode="External"/><Relationship Id="rId4" Type="http://schemas.openxmlformats.org/officeDocument/2006/relationships/hyperlink" Target="https://eprel.ec.europa.eu/screen/home" TargetMode="External"/><Relationship Id="rId9" Type="http://schemas.openxmlformats.org/officeDocument/2006/relationships/hyperlink" Target="https://ec.europa.eu/eurostat/statistics-explained/index.php?title=Environmental_economy_%E2%80%93_statistics_on_employment_and_growth&amp;oldid=583805" TargetMode="External"/></Relationships>
</file>

<file path=word/documenttasks/documenttasks1.xml><?xml version="1.0" encoding="utf-8"?>
<t:Tasks xmlns:t="http://schemas.microsoft.com/office/tasks/2019/documenttasks" xmlns:oel="http://schemas.microsoft.com/office/2019/extlst">
  <t:Task id="{F4641EB4-96D9-45E1-94C9-0C734FE75AF8}">
    <t:Anchor>
      <t:Comment id="884876631"/>
    </t:Anchor>
    <t:History>
      <t:Event id="{D5EE477F-098E-48CC-A606-1E6D2B3BCD97}" time="2023-01-19T07:52:26.004Z">
        <t:Attribution userId="S::elisa.roller@ec.europa.eu::87908f21-4645-4446-b0aa-b15f7344b3fa" userProvider="AD" userName="ROLLER Elisa (SG)"/>
        <t:Anchor>
          <t:Comment id="884876631"/>
        </t:Anchor>
        <t:Create/>
      </t:Event>
      <t:Event id="{418505ED-C01F-46D4-9006-B30C465F6F21}" time="2023-01-19T07:52:26.004Z">
        <t:Attribution userId="S::elisa.roller@ec.europa.eu::87908f21-4645-4446-b0aa-b15f7344b3fa" userProvider="AD" userName="ROLLER Elisa (SG)"/>
        <t:Anchor>
          <t:Comment id="884876631"/>
        </t:Anchor>
        <t:Assign userId="S::Salvatore.DE-VITA@ec.europa.eu::bf744b9b-3a81-4a02-a1c6-599f0f8878bf" userProvider="AD" userName="DE VITA Salvatore (SG)"/>
      </t:Event>
      <t:Event id="{49D9E4BA-4DFE-40B8-A66C-154D50C71252}" time="2023-01-19T07:52:26.004Z">
        <t:Attribution userId="S::elisa.roller@ec.europa.eu::87908f21-4645-4446-b0aa-b15f7344b3fa" userProvider="AD" userName="ROLLER Elisa (SG)"/>
        <t:Anchor>
          <t:Comment id="884876631"/>
        </t:Anchor>
        <t:SetTitle title="@DE VITA Salvatore (SG) This sentence comes in a bit of our nowhere. We need to explain what this is, and what it means for us in an EU context, where it stems (Green Deal, our carbon neutrality amibtions, et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4" ma:contentTypeDescription="Create a new document." ma:contentTypeScope="" ma:versionID="67623d05fe3d6710aad93a78bfef718d">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90df3d98f11c5ba5e0e4bfa0ad3e737d"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55f33d8-fc69-43e2-9a56-7cb7b8c76612">
      <UserInfo>
        <DisplayName>ALVARGONZALEZ LARGO Beatriz (SG)</DisplayName>
        <AccountId>10</AccountId>
        <AccountType/>
      </UserInfo>
      <UserInfo>
        <DisplayName>BARBU Andreea-Diana (SG)</DisplayName>
        <AccountId>13</AccountId>
        <AccountType/>
      </UserInfo>
      <UserInfo>
        <DisplayName>GOMEZ MUNOZ Carlos (SG)</DisplayName>
        <AccountId>12</AccountId>
        <AccountType/>
      </UserInfo>
      <UserInfo>
        <DisplayName>KORDECKA Aleksandra (SG)</DisplayName>
        <AccountId>15</AccountId>
        <AccountType/>
      </UserInfo>
      <UserInfo>
        <DisplayName>ROLLER Elisa (SG)</DisplayName>
        <AccountId>14</AccountId>
        <AccountType/>
      </UserInfo>
      <UserInfo>
        <DisplayName>MAXIANOVA Karola (SG)</DisplayName>
        <AccountId>27</AccountId>
        <AccountType/>
      </UserInfo>
      <UserInfo>
        <DisplayName>WERNER Elisabeth (SG)</DisplayName>
        <AccountId>41</AccountId>
        <AccountType/>
      </UserInfo>
      <UserInfo>
        <DisplayName>VALCELEANU Oana (SG)</DisplayName>
        <AccountId>31</AccountId>
        <AccountType/>
      </UserInfo>
      <UserInfo>
        <DisplayName>WHELAN Anthony (CAB-VON DER LEYEN)</DisplayName>
        <AccountId>79</AccountId>
        <AccountType/>
      </UserInfo>
    </SharedWithUsers>
    <lcf76f155ced4ddcb4097134ff3c332f xmlns="0387f280-e8c7-4908-8682-2c85241c93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55f33d8-fc69-43e2-9a56-7cb7b8c766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9" ma:contentTypeDescription="Create a new document." ma:contentTypeScope="" ma:versionID="96765ceeecd93310ef587f2135167fe5">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45f2636ae308991d489fbf936d3f1758"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df7ca7-7b18-4dcf-8e52-f1aa55f2774b}" ma:internalName="TaxCatchAll" ma:showField="CatchAllData" ma:web="055f33d8-fc69-43e2-9a56-7cb7b8c76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3B5D6-AD85-4162-BDE7-CF9FBC9FF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DB75B-0E6B-417B-B4DE-9F2E993F097A}">
  <ds:schemaRefs>
    <ds:schemaRef ds:uri="http://schemas.microsoft.com/office/2006/metadata/properties"/>
    <ds:schemaRef ds:uri="http://schemas.microsoft.com/office/infopath/2007/PartnerControls"/>
    <ds:schemaRef ds:uri="055f33d8-fc69-43e2-9a56-7cb7b8c76612"/>
    <ds:schemaRef ds:uri="0387f280-e8c7-4908-8682-2c85241c93a9"/>
  </ds:schemaRefs>
</ds:datastoreItem>
</file>

<file path=customXml/itemProps3.xml><?xml version="1.0" encoding="utf-8"?>
<ds:datastoreItem xmlns:ds="http://schemas.openxmlformats.org/officeDocument/2006/customXml" ds:itemID="{2A6009D1-A51B-42D1-B0ED-B3AB039F0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2C56C-49DF-4219-825E-F8807C886557}">
  <ds:schemaRefs>
    <ds:schemaRef ds:uri="http://schemas.microsoft.com/sharepoint/v3/contenttype/forms"/>
  </ds:schemaRefs>
</ds:datastoreItem>
</file>

<file path=customXml/itemProps5.xml><?xml version="1.0" encoding="utf-8"?>
<ds:datastoreItem xmlns:ds="http://schemas.openxmlformats.org/officeDocument/2006/customXml" ds:itemID="{7B8E7003-727B-4884-A2E4-CD744894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22</Pages>
  <Words>12142</Words>
  <Characters>69822</Characters>
  <Application>Microsoft Office Word</Application>
  <DocSecurity>0</DocSecurity>
  <Lines>1026</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73</cp:revision>
  <cp:lastPrinted>2023-02-01T01:35:00Z</cp:lastPrinted>
  <dcterms:created xsi:type="dcterms:W3CDTF">2023-01-31T21:50:00Z</dcterms:created>
  <dcterms:modified xsi:type="dcterms:W3CDTF">2023-02-07T14:07:00Z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0x01010094928FE9C2A74F4FA7A962F70CB25E30</vt:lpwstr>
  </property>
  <property fmtid="{D5CDD505-2E9C-101B-9397-08002B2CF9AE}" pid="3" name="MSIP_Label_6bd9ddd1-4d20-43f6-abfa-fc3c07406f94_Enabled">
    <vt:lpwstr>true</vt:lpwstr>
  </property>
  <property fmtid="{D5CDD505-2E9C-101B-9397-08002B2CF9AE}" pid="4" name="MSIP_Label_6bd9ddd1-4d20-43f6-abfa-fc3c07406f94_SetDate">
    <vt:lpwstr>2023-01-18T09:07:18Z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d76f3deb-37b0-4791-8b4b-49d4345438cd</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8.1, Build 20220902</vt:lpwstr>
  </property>
  <property fmtid="{D5CDD505-2E9C-101B-9397-08002B2CF9AE}" pid="16" name="Created using">
    <vt:lpwstr>LW 8.1, Build 20220902</vt:lpwstr>
  </property>
  <property fmtid="{D5CDD505-2E9C-101B-9397-08002B2CF9AE}" pid="17" name="MediaServiceImageTags">
    <vt:lpwstr/>
  </property>
</Properties>
</file>