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9FDC48" w14:textId="4EC28866" w:rsidR="00EA45FE" w:rsidRDefault="00002245" w:rsidP="00002245">
      <w:pPr>
        <w:pStyle w:val="Pagedecouverture"/>
        <w:rPr>
          <w:noProof/>
        </w:rPr>
      </w:pPr>
      <w:bookmarkStart w:id="0" w:name="LW_BM_COVERPAGE"/>
      <w:r>
        <w:rPr>
          <w:noProof/>
        </w:rPr>
        <w:pict w14:anchorId="1165C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C893FF1D-074F-4829-80CB-BDAA79905955" style="width:455.25pt;height:393pt">
            <v:imagedata r:id="rId11" o:title=""/>
          </v:shape>
        </w:pict>
      </w:r>
    </w:p>
    <w:bookmarkEnd w:id="0"/>
    <w:p w14:paraId="6EFD2442" w14:textId="77777777" w:rsidR="00EA45FE" w:rsidRDefault="00EA45FE" w:rsidP="00EA45FE">
      <w:pPr>
        <w:rPr>
          <w:noProof/>
        </w:rPr>
        <w:sectPr w:rsidR="00EA45FE" w:rsidSect="00002245">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04543B11" w14:textId="77777777" w:rsidR="00C80069" w:rsidRPr="00C80069" w:rsidRDefault="00C80069" w:rsidP="00C80069">
      <w:pPr>
        <w:pStyle w:val="ListParagraph"/>
        <w:numPr>
          <w:ilvl w:val="0"/>
          <w:numId w:val="1"/>
        </w:numPr>
        <w:rPr>
          <w:rFonts w:ascii="Times New Roman" w:hAnsi="Times New Roman" w:cs="Times New Roman"/>
          <w:b/>
          <w:bCs/>
          <w:noProof/>
          <w:sz w:val="24"/>
          <w:szCs w:val="24"/>
          <w:u w:val="single"/>
          <w:lang w:val="fr-BE"/>
        </w:rPr>
      </w:pPr>
      <w:bookmarkStart w:id="1" w:name="_GoBack"/>
      <w:bookmarkEnd w:id="1"/>
      <w:r w:rsidRPr="00C80069">
        <w:rPr>
          <w:rFonts w:ascii="Times New Roman" w:hAnsi="Times New Roman"/>
          <w:b/>
          <w:noProof/>
          <w:sz w:val="24"/>
          <w:u w:val="single"/>
          <w:lang w:val="fr-BE"/>
        </w:rPr>
        <w:lastRenderedPageBreak/>
        <w:t>Obtenir des résultats aujourd’hui et préparer demain</w:t>
      </w:r>
    </w:p>
    <w:p w14:paraId="2E6AB2D9" w14:textId="77777777" w:rsidR="00C80069" w:rsidRPr="00C80069" w:rsidRDefault="00C80069" w:rsidP="00C80069">
      <w:pPr>
        <w:jc w:val="both"/>
        <w:rPr>
          <w:rFonts w:ascii="Times New Roman" w:hAnsi="Times New Roman" w:cs="Times New Roman"/>
          <w:i/>
          <w:iCs/>
          <w:noProof/>
          <w:sz w:val="24"/>
          <w:szCs w:val="24"/>
          <w:lang w:val="fr-BE"/>
        </w:rPr>
      </w:pPr>
      <w:r w:rsidRPr="00C80069">
        <w:rPr>
          <w:rFonts w:ascii="Times New Roman" w:hAnsi="Times New Roman"/>
          <w:i/>
          <w:noProof/>
          <w:sz w:val="24"/>
          <w:lang w:val="fr-BE"/>
        </w:rPr>
        <w:t xml:space="preserve">«Ensemble, nous avons montré que </w:t>
      </w:r>
      <w:r w:rsidRPr="00C80069">
        <w:rPr>
          <w:rFonts w:ascii="Times New Roman" w:hAnsi="Times New Roman"/>
          <w:b/>
          <w:i/>
          <w:noProof/>
          <w:sz w:val="24"/>
          <w:lang w:val="fr-BE"/>
        </w:rPr>
        <w:t>quand l'Europe est audacieuse, elle fait avancer les choses.</w:t>
      </w:r>
      <w:r w:rsidRPr="00C80069">
        <w:rPr>
          <w:rFonts w:ascii="Times New Roman" w:hAnsi="Times New Roman"/>
          <w:i/>
          <w:noProof/>
          <w:sz w:val="24"/>
          <w:lang w:val="fr-BE"/>
        </w:rPr>
        <w:t xml:space="preserve"> Et notre travail est loin d'être terminé - alors unissons-nous. </w:t>
      </w:r>
      <w:r w:rsidRPr="00C80069">
        <w:rPr>
          <w:rFonts w:ascii="Times New Roman" w:hAnsi="Times New Roman"/>
          <w:b/>
          <w:i/>
          <w:noProof/>
          <w:sz w:val="24"/>
          <w:lang w:val="fr-BE"/>
        </w:rPr>
        <w:t>Obtenons des résultats aujourd'hui et préparons demain.</w:t>
      </w:r>
      <w:r w:rsidRPr="00C80069">
        <w:rPr>
          <w:rFonts w:ascii="Times New Roman" w:hAnsi="Times New Roman"/>
          <w:i/>
          <w:noProof/>
          <w:sz w:val="24"/>
          <w:lang w:val="fr-BE"/>
        </w:rPr>
        <w:t>» Ursula von der Leyen, présidente de la Commission européenne, discours sur l’état de l’Union, 13 septembre 2023.</w:t>
      </w:r>
    </w:p>
    <w:p w14:paraId="4E5C0719"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En juin prochain, les Européens prendront part au </w:t>
      </w:r>
      <w:r w:rsidRPr="00C80069">
        <w:rPr>
          <w:rFonts w:ascii="Times New Roman" w:hAnsi="Times New Roman"/>
          <w:b/>
          <w:noProof/>
          <w:sz w:val="24"/>
          <w:lang w:val="fr-BE"/>
        </w:rPr>
        <w:t>plus grand exercice démocratique du continent</w:t>
      </w:r>
      <w:r w:rsidRPr="00C80069">
        <w:rPr>
          <w:rFonts w:ascii="Times New Roman" w:hAnsi="Times New Roman"/>
          <w:noProof/>
          <w:sz w:val="24"/>
          <w:lang w:val="fr-BE"/>
        </w:rPr>
        <w:t xml:space="preserve">. Parmi les plus de 400 millions de personnes appelées à élire le nouveau Parlement européen figureront de nombreux jeunes qui </w:t>
      </w:r>
      <w:r w:rsidRPr="00C80069">
        <w:rPr>
          <w:rFonts w:ascii="Times New Roman" w:hAnsi="Times New Roman"/>
          <w:b/>
          <w:noProof/>
          <w:sz w:val="24"/>
          <w:lang w:val="fr-BE"/>
        </w:rPr>
        <w:t>exerceront leurs droits démocratiques</w:t>
      </w:r>
      <w:r w:rsidRPr="00C80069">
        <w:rPr>
          <w:rFonts w:ascii="Times New Roman" w:hAnsi="Times New Roman"/>
          <w:noProof/>
          <w:sz w:val="24"/>
          <w:lang w:val="fr-BE"/>
        </w:rPr>
        <w:t xml:space="preserve"> pour la première fois – dont, dans cinq États membres, les jeunes âgés de 16 et 17 ans.</w:t>
      </w:r>
    </w:p>
    <w:p w14:paraId="3B8922DF"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Les résultats de ces élections fixeront le cap de l’Europe pour les cinq années à venir et au-delà, les élections arrivant à un </w:t>
      </w:r>
      <w:r w:rsidRPr="00C80069">
        <w:rPr>
          <w:rFonts w:ascii="Times New Roman" w:hAnsi="Times New Roman"/>
          <w:b/>
          <w:noProof/>
          <w:sz w:val="24"/>
          <w:lang w:val="fr-BE"/>
        </w:rPr>
        <w:t>moment crucial de l’histoire de l’Europe</w:t>
      </w:r>
      <w:r w:rsidRPr="00C80069">
        <w:rPr>
          <w:rFonts w:ascii="Times New Roman" w:hAnsi="Times New Roman"/>
          <w:noProof/>
          <w:sz w:val="24"/>
          <w:lang w:val="fr-BE"/>
        </w:rPr>
        <w:t>.</w:t>
      </w:r>
    </w:p>
    <w:p w14:paraId="170BA838"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Nous sommes confrontés à plusieurs </w:t>
      </w:r>
      <w:r w:rsidRPr="00C80069">
        <w:rPr>
          <w:rFonts w:ascii="Times New Roman" w:hAnsi="Times New Roman"/>
          <w:b/>
          <w:noProof/>
          <w:sz w:val="24"/>
          <w:lang w:val="fr-BE"/>
        </w:rPr>
        <w:t>défis et opportunités qui marqueront notre époque de leur empreinte</w:t>
      </w:r>
      <w:r w:rsidRPr="00C80069">
        <w:rPr>
          <w:rFonts w:ascii="Times New Roman" w:hAnsi="Times New Roman"/>
          <w:noProof/>
          <w:sz w:val="24"/>
          <w:lang w:val="fr-BE"/>
        </w:rPr>
        <w:t>, qu’il s’agisse des crises climatiques et liées à la biodiversité ou de la révolution numérique et de l'intelligence artificielle; de l’invasion brutale de l’Ukraine par la Russie ou des crises qui en découlent en matière de prix de l’énergie et de coût de la vie; de la migration ou de la préservation de la croissance économique et de la compétitivité.</w:t>
      </w:r>
    </w:p>
    <w:p w14:paraId="354132B4"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Au début de son mandat, la Commission actuelle a défini un </w:t>
      </w:r>
      <w:r w:rsidRPr="00C80069">
        <w:rPr>
          <w:rFonts w:ascii="Times New Roman" w:hAnsi="Times New Roman"/>
          <w:b/>
          <w:noProof/>
          <w:sz w:val="24"/>
          <w:lang w:val="fr-BE"/>
        </w:rPr>
        <w:t>programme ambitieux pour une Union plus forte et plus résiliente</w:t>
      </w:r>
      <w:r w:rsidRPr="00C80069">
        <w:rPr>
          <w:rFonts w:ascii="Times New Roman" w:hAnsi="Times New Roman"/>
          <w:noProof/>
          <w:sz w:val="24"/>
          <w:lang w:val="fr-BE"/>
        </w:rPr>
        <w:t>. Nous nous sommes engagés à prendre des mesures audacieuses pour être le premier continent neutre pour le climat et préserver l’environnement naturel de l’Europe, pour ouvrir la voie à une transition numérique innovante et centrée sur l’humain, pour stimuler notre économie tout en garantissant l’équité sociale, l’inclusion et la prospérité, pour renforcer notre leadership responsable au niveau mondial, pour protéger nos citoyens et nos valeurs et pour entretenir et renforcer notre démocratie.</w:t>
      </w:r>
    </w:p>
    <w:p w14:paraId="2142EC5F"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Le monde a toutefois beaucoup changé depuis 2019. En tant qu’Union, nous avons dû </w:t>
      </w:r>
      <w:r w:rsidRPr="00C80069">
        <w:rPr>
          <w:rFonts w:ascii="Times New Roman" w:hAnsi="Times New Roman"/>
          <w:b/>
          <w:noProof/>
          <w:sz w:val="24"/>
          <w:lang w:val="fr-BE"/>
        </w:rPr>
        <w:t>réagir et nous adapter face à des défis sans précédent</w:t>
      </w:r>
      <w:r w:rsidRPr="00C80069">
        <w:rPr>
          <w:rFonts w:ascii="Times New Roman" w:hAnsi="Times New Roman"/>
          <w:noProof/>
          <w:sz w:val="24"/>
          <w:lang w:val="fr-BE"/>
        </w:rPr>
        <w:t>, nous avons continué à faire preuve d’unité dans nos réponses et avons refusé de revoir nos ambitions à la baisse.</w:t>
      </w:r>
    </w:p>
    <w:p w14:paraId="1F72CF35"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Nous avons accéléré la double transition écologique et numérique, mis en place l’instrument historique NextGenerationEU, renforcé le rôle de l’UE en tant que chef de file mondial et mis en avant les valeurs qui sont le fondement de nos sociétés, telles que la démocratie et l’état de droit. Grâce à notre </w:t>
      </w:r>
      <w:r w:rsidRPr="00C80069">
        <w:rPr>
          <w:rFonts w:ascii="Times New Roman" w:hAnsi="Times New Roman"/>
          <w:b/>
          <w:noProof/>
          <w:sz w:val="24"/>
          <w:lang w:val="fr-BE"/>
        </w:rPr>
        <w:t>stratégie en matière de sécurité économique</w:t>
      </w:r>
      <w:r w:rsidRPr="00C80069">
        <w:rPr>
          <w:rFonts w:ascii="Times New Roman" w:hAnsi="Times New Roman"/>
          <w:noProof/>
          <w:sz w:val="24"/>
          <w:lang w:val="fr-BE"/>
        </w:rPr>
        <w:t xml:space="preserve">, nous cherchons à tirer parti de l’ouverture économique de l’UE, tout en réduisant au maximum les risques découlant de tensions géopolitiques accrues et de l’accélération des mutations technologiques. </w:t>
      </w:r>
    </w:p>
    <w:p w14:paraId="1283DDCD"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Le moment est venu de finaliser les dernières propositions législatives essentielles présentées par la Commission actuelle afin de veiller à ce que </w:t>
      </w:r>
      <w:r w:rsidRPr="00C80069">
        <w:rPr>
          <w:rFonts w:ascii="Times New Roman" w:hAnsi="Times New Roman"/>
          <w:b/>
          <w:noProof/>
          <w:sz w:val="24"/>
          <w:lang w:val="fr-BE"/>
        </w:rPr>
        <w:t>les citoyens et les entreprises puissent tirer pleinement profit de nos actions stratégiques</w:t>
      </w:r>
      <w:r w:rsidRPr="00C80069">
        <w:rPr>
          <w:rFonts w:ascii="Times New Roman" w:hAnsi="Times New Roman"/>
          <w:noProof/>
          <w:sz w:val="24"/>
          <w:lang w:val="fr-BE"/>
        </w:rPr>
        <w:t>. À cette fin, dans les mois à venir, la Commission soutiendra le Parlement européen et le Conseil dans les efforts qu’ils déploient pour parvenir à un accord sur les propositions législatives en suspens.</w:t>
      </w:r>
    </w:p>
    <w:p w14:paraId="67E0C821"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Afin de pouvoir se concentrer suffisamment sur cette tâche, et étant donné que la majeure partie du cadre législatif nécessaire promis dans le cadre de ce mandat est déjà en place, le présent programme de travail contient un </w:t>
      </w:r>
      <w:r w:rsidRPr="00C80069">
        <w:rPr>
          <w:rFonts w:ascii="Times New Roman" w:hAnsi="Times New Roman"/>
          <w:b/>
          <w:noProof/>
          <w:sz w:val="24"/>
          <w:lang w:val="fr-BE"/>
        </w:rPr>
        <w:t>nombre limité de nouvelles initiatives</w:t>
      </w:r>
      <w:r w:rsidRPr="00C80069">
        <w:rPr>
          <w:rFonts w:ascii="Times New Roman" w:hAnsi="Times New Roman"/>
          <w:noProof/>
          <w:sz w:val="24"/>
          <w:lang w:val="fr-BE"/>
        </w:rPr>
        <w:t xml:space="preserve"> qui mettent en œuvre des engagements existants ou répondent à de nouveaux défis. </w:t>
      </w:r>
    </w:p>
    <w:p w14:paraId="356A7ED8"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L’</w:t>
      </w:r>
      <w:r w:rsidRPr="00C80069">
        <w:rPr>
          <w:rFonts w:ascii="Times New Roman" w:hAnsi="Times New Roman"/>
          <w:b/>
          <w:noProof/>
          <w:sz w:val="24"/>
          <w:lang w:val="fr-BE"/>
        </w:rPr>
        <w:t>économie de l’UE a continué de faire preuve de résilience,</w:t>
      </w:r>
      <w:r w:rsidRPr="00C80069">
        <w:rPr>
          <w:rFonts w:ascii="Times New Roman" w:hAnsi="Times New Roman"/>
          <w:noProof/>
          <w:sz w:val="24"/>
          <w:lang w:val="fr-BE"/>
        </w:rPr>
        <w:t xml:space="preserve"> malgré les difficultés rencontrées, et ce grâce aux efforts déployés pour renforcer notre sécurité énergétique, à un marché du travail résilient et à l’allègement des contraintes d’approvisionnement.</w:t>
      </w:r>
    </w:p>
    <w:p w14:paraId="5190EAAD"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Le </w:t>
      </w:r>
      <w:r w:rsidRPr="00C80069">
        <w:rPr>
          <w:rFonts w:ascii="Times New Roman" w:hAnsi="Times New Roman"/>
          <w:b/>
          <w:noProof/>
          <w:sz w:val="24"/>
          <w:lang w:val="fr-BE"/>
        </w:rPr>
        <w:t>pacte vert pour l’Europe</w:t>
      </w:r>
      <w:r w:rsidRPr="00C80069">
        <w:rPr>
          <w:rFonts w:ascii="Times New Roman" w:hAnsi="Times New Roman"/>
          <w:noProof/>
          <w:sz w:val="24"/>
          <w:lang w:val="fr-BE"/>
        </w:rPr>
        <w:t xml:space="preserve">, notre action phare au niveau mondial pour faire face au changement climatique et à la perte de biodiversité, et qui constitue le programme de croissance de l’Europe, reste un élément central des travaux de la Commission. Si l’accent est désormais mis principalement sur la </w:t>
      </w:r>
      <w:r w:rsidRPr="00C80069">
        <w:rPr>
          <w:rFonts w:ascii="Times New Roman" w:hAnsi="Times New Roman"/>
          <w:b/>
          <w:noProof/>
          <w:sz w:val="24"/>
          <w:lang w:val="fr-BE"/>
        </w:rPr>
        <w:t>mise en œuvre</w:t>
      </w:r>
      <w:r w:rsidRPr="00C80069">
        <w:rPr>
          <w:rFonts w:ascii="Times New Roman" w:hAnsi="Times New Roman"/>
          <w:noProof/>
          <w:sz w:val="24"/>
          <w:lang w:val="fr-BE"/>
        </w:rPr>
        <w:t xml:space="preserve">, nous présenterons encore cette année des propositions sur la protection des animaux durant le transport, la prévention de la pollution par les microplastiques, l’amélioration de la surveillance des forêts ainsi qu’un train de mesures sur la mobilité. Nous poursuivrons également nos efforts pour ouvrir la voie à un avenir numérique centré sur l’humain, durable et plus prospère grâce à la </w:t>
      </w:r>
      <w:r w:rsidRPr="00C80069">
        <w:rPr>
          <w:rFonts w:ascii="Times New Roman" w:hAnsi="Times New Roman"/>
          <w:b/>
          <w:noProof/>
          <w:sz w:val="24"/>
          <w:lang w:val="fr-BE"/>
        </w:rPr>
        <w:t>décennie numérique</w:t>
      </w:r>
      <w:r w:rsidRPr="00C80069">
        <w:rPr>
          <w:rFonts w:ascii="Times New Roman" w:hAnsi="Times New Roman"/>
          <w:noProof/>
          <w:sz w:val="24"/>
          <w:lang w:val="fr-BE"/>
        </w:rPr>
        <w:t>.</w:t>
      </w:r>
    </w:p>
    <w:p w14:paraId="3F87D041"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b/>
          <w:noProof/>
          <w:sz w:val="24"/>
          <w:lang w:val="fr-BE"/>
        </w:rPr>
        <w:t>NextGenerationEU</w:t>
      </w:r>
      <w:r w:rsidRPr="00C80069">
        <w:rPr>
          <w:rFonts w:ascii="Times New Roman" w:hAnsi="Times New Roman"/>
          <w:noProof/>
          <w:sz w:val="24"/>
          <w:lang w:val="fr-BE"/>
        </w:rPr>
        <w:t xml:space="preserve"> restera essentiel pour garantir un approvisionnement énergétique sûr, abordable et propre, la compétitivité de l’industrie européenne, la cohésion sociale et territoriale et la transition vers une économie «zéro net», circulaire et respectueuse de la nature. La Commission aidera tous les États membres à </w:t>
      </w:r>
      <w:r w:rsidRPr="00C80069">
        <w:rPr>
          <w:rFonts w:ascii="Times New Roman" w:hAnsi="Times New Roman"/>
          <w:b/>
          <w:noProof/>
          <w:sz w:val="24"/>
          <w:lang w:val="fr-BE"/>
        </w:rPr>
        <w:t>accélérer la mise en œuvre de leurs plans pour la reprise et la résilience</w:t>
      </w:r>
      <w:r w:rsidRPr="00C80069">
        <w:rPr>
          <w:rFonts w:ascii="Times New Roman" w:hAnsi="Times New Roman"/>
          <w:noProof/>
          <w:sz w:val="24"/>
          <w:lang w:val="fr-BE"/>
        </w:rPr>
        <w:t>, conformément aux recommandations par pays formulées dans le cadre du Semestre européen, y compris leurs chapitres REPowerEU. Au début de l’année prochaine, nous présenterons une évaluation intermédiaire de la mise en œuvre de la facilité pour la reprise et la résilience.</w:t>
      </w:r>
    </w:p>
    <w:p w14:paraId="584D2C8C"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Pour </w:t>
      </w:r>
      <w:r w:rsidRPr="00C80069">
        <w:rPr>
          <w:rFonts w:ascii="Times New Roman" w:hAnsi="Times New Roman"/>
          <w:b/>
          <w:noProof/>
          <w:sz w:val="24"/>
          <w:lang w:val="fr-BE"/>
        </w:rPr>
        <w:t>promouvoir davantage d’emplois et d’investissements</w:t>
      </w:r>
      <w:r w:rsidRPr="00C80069">
        <w:rPr>
          <w:rFonts w:ascii="Times New Roman" w:hAnsi="Times New Roman"/>
          <w:noProof/>
          <w:sz w:val="24"/>
          <w:lang w:val="fr-BE"/>
        </w:rPr>
        <w:t xml:space="preserve"> en Europe, nous poursuivrons également les travaux visant à accélérer le déploiement des énergies renouvelables tout en maîtrisant les prix de l’énergie, à garantir l’approvisionnement en produits de base stratégiques essentiels, tels que les matières premières critiques et l’hydrogène propre, et à réduire la charge administrative, en particulier en ce qui concerne la transmission d’informations, conformément à notre stratégie visant à stimuler la compétitivité à long terme de l’UE.</w:t>
      </w:r>
    </w:p>
    <w:p w14:paraId="23B2D605"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Dans le même temps, nous devons achever la </w:t>
      </w:r>
      <w:r w:rsidRPr="00C80069">
        <w:rPr>
          <w:rFonts w:ascii="Times New Roman" w:hAnsi="Times New Roman"/>
          <w:b/>
          <w:noProof/>
          <w:sz w:val="24"/>
          <w:lang w:val="fr-BE"/>
        </w:rPr>
        <w:t>mise en place d’un cadre de gouvernance économique adapté aux défis à venir</w:t>
      </w:r>
      <w:r w:rsidRPr="00C80069">
        <w:rPr>
          <w:rFonts w:ascii="Times New Roman" w:hAnsi="Times New Roman"/>
          <w:noProof/>
          <w:sz w:val="24"/>
          <w:lang w:val="fr-BE"/>
        </w:rPr>
        <w:t>.</w:t>
      </w:r>
      <w:r w:rsidRPr="00C80069">
        <w:rPr>
          <w:rFonts w:ascii="Times New Roman" w:hAnsi="Times New Roman"/>
          <w:b/>
          <w:noProof/>
          <w:sz w:val="24"/>
          <w:lang w:val="fr-BE"/>
        </w:rPr>
        <w:t xml:space="preserve"> </w:t>
      </w:r>
      <w:r w:rsidRPr="00C80069">
        <w:rPr>
          <w:rFonts w:ascii="Times New Roman" w:hAnsi="Times New Roman"/>
          <w:noProof/>
          <w:sz w:val="24"/>
          <w:lang w:val="fr-BE"/>
        </w:rPr>
        <w:t>Cela suppose de trouver un accord sur les propositions de la Commission sur la réforme des règles de gouvernance et le renforcement de la soutenabilité de la dette et sur la promotion d’une croissance durable et inclusive au moyen de réformes et d’investissements.</w:t>
      </w:r>
    </w:p>
    <w:p w14:paraId="1EC94B85" w14:textId="77777777" w:rsidR="00C80069" w:rsidRPr="00C80069" w:rsidRDefault="00C80069" w:rsidP="00C80069">
      <w:pPr>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En collaboration avec la présidence belge, la Commission convoquera un</w:t>
      </w:r>
      <w:r w:rsidRPr="00C80069">
        <w:rPr>
          <w:rFonts w:ascii="Times New Roman" w:hAnsi="Times New Roman"/>
          <w:b/>
          <w:noProof/>
          <w:sz w:val="24"/>
          <w:lang w:val="fr-BE"/>
        </w:rPr>
        <w:t xml:space="preserve"> sommet des partenaires sociaux à Val Duchesse</w:t>
      </w:r>
      <w:r w:rsidRPr="00C80069">
        <w:rPr>
          <w:rFonts w:ascii="Times New Roman" w:hAnsi="Times New Roman"/>
          <w:noProof/>
          <w:sz w:val="24"/>
          <w:lang w:val="fr-BE"/>
        </w:rPr>
        <w:t xml:space="preserve"> pour aborder les défis auxquels sont confrontés nos marchés du travail, nos travailleurs et nos entreprises, en raison notamment des pénuries de compétences et de main-d’œuvre, et l’intelligence artificielle.</w:t>
      </w:r>
    </w:p>
    <w:p w14:paraId="2B62EEA8"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Si les difficultés rencontrées ces dernières années ont mis en évidence les atouts et les capacités de notre Union, elles ont toutefois épuisé le budget de l’UE malgré ses flexibilités intégrées et son importante reprogrammation. Pour remédier à cette situation, nous avons présenté une proposition visant à </w:t>
      </w:r>
      <w:r w:rsidRPr="00C80069">
        <w:rPr>
          <w:rFonts w:ascii="Times New Roman" w:hAnsi="Times New Roman"/>
          <w:b/>
          <w:noProof/>
          <w:sz w:val="24"/>
          <w:lang w:val="fr-BE"/>
        </w:rPr>
        <w:t>renforcer le budget à long terme de l’UE</w:t>
      </w:r>
      <w:r w:rsidRPr="00C80069">
        <w:rPr>
          <w:rFonts w:ascii="Times New Roman" w:hAnsi="Times New Roman"/>
          <w:noProof/>
          <w:sz w:val="24"/>
          <w:lang w:val="fr-BE"/>
        </w:rPr>
        <w:t xml:space="preserve"> pour pouvoir répondre aux besoins les plus pressants; elle prévoit une augmentation ciblée des dépenses de l’UE afin d’approfondir notre soutien à l’Ukraine, de financer notre action dans le domaine de la migration, de renforcer la capacité de l’Union à réagir aux instabilités économiques et géopolitiques, aux crises humanitaires et aux catastrophes naturelles exacerbées et de stimuler les investissements dans les technologies stratégiques pour favoriser la compétitivité à long terme.</w:t>
      </w:r>
    </w:p>
    <w:p w14:paraId="0D6A657F"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Conformément aux négociations sur le budget à long terme de l’UE pour la période 2021-2027, nous avons présenté une </w:t>
      </w:r>
      <w:r w:rsidRPr="00C80069">
        <w:rPr>
          <w:rFonts w:ascii="Times New Roman" w:hAnsi="Times New Roman"/>
          <w:b/>
          <w:noProof/>
          <w:sz w:val="24"/>
          <w:lang w:val="fr-BE"/>
        </w:rPr>
        <w:t>proposition ajustée de nouvelles ressources propres</w:t>
      </w:r>
      <w:r w:rsidRPr="00C80069">
        <w:rPr>
          <w:rFonts w:ascii="Times New Roman" w:hAnsi="Times New Roman"/>
          <w:noProof/>
          <w:sz w:val="24"/>
          <w:lang w:val="fr-BE"/>
        </w:rPr>
        <w:t xml:space="preserve"> afin de contribuer au financement du remboursement des emprunts au titre de NextGenerationEU.</w:t>
      </w:r>
    </w:p>
    <w:p w14:paraId="45C47108" w14:textId="77777777" w:rsidR="00C80069" w:rsidRPr="00C80069" w:rsidRDefault="00C80069" w:rsidP="00C80069">
      <w:pPr>
        <w:spacing w:line="257" w:lineRule="auto"/>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Le </w:t>
      </w:r>
      <w:r w:rsidRPr="00C80069">
        <w:rPr>
          <w:rFonts w:ascii="Times New Roman" w:hAnsi="Times New Roman"/>
          <w:b/>
          <w:noProof/>
          <w:sz w:val="24"/>
          <w:lang w:val="fr-BE"/>
        </w:rPr>
        <w:t>nouveau pacte sur la migration et l’asile</w:t>
      </w:r>
      <w:r w:rsidRPr="00C80069">
        <w:rPr>
          <w:rFonts w:ascii="Times New Roman" w:hAnsi="Times New Roman"/>
          <w:noProof/>
          <w:sz w:val="24"/>
          <w:lang w:val="fr-BE"/>
        </w:rPr>
        <w:t xml:space="preserve"> reste la réponse structurelle dont l’UE a besoin pour relever demain les défis en matière de migration. Son adoption est une priorité essentielle, étant donné que les travaux doivent commencer dès l’année prochaine pour préparer sa mise en œuvre rapide. </w:t>
      </w:r>
    </w:p>
    <w:p w14:paraId="1C312D14"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À l’heure où le peuple ukrainien continue de résister avec la même bravoure face aux forces russes d’invasion,</w:t>
      </w:r>
      <w:r w:rsidRPr="00C80069">
        <w:rPr>
          <w:rFonts w:ascii="Times New Roman" w:hAnsi="Times New Roman"/>
          <w:b/>
          <w:noProof/>
          <w:sz w:val="24"/>
          <w:lang w:val="fr-BE"/>
        </w:rPr>
        <w:t xml:space="preserve"> la solidarité de l’UE avec l’Ukraine et le peuple ukrainien ne faiblira pas</w:t>
      </w:r>
      <w:r w:rsidRPr="00C80069">
        <w:rPr>
          <w:rFonts w:ascii="Times New Roman" w:hAnsi="Times New Roman"/>
          <w:noProof/>
          <w:sz w:val="24"/>
          <w:lang w:val="fr-BE"/>
        </w:rPr>
        <w:t xml:space="preserve">. Jusqu’à présent, l’Union et ses États membres ont apporté, dans le cadre d’une approche «Équipe Europe», </w:t>
      </w:r>
      <w:r w:rsidRPr="00C80069">
        <w:rPr>
          <w:rFonts w:ascii="Times New Roman" w:hAnsi="Times New Roman"/>
          <w:b/>
          <w:noProof/>
          <w:sz w:val="24"/>
          <w:lang w:val="fr-BE"/>
        </w:rPr>
        <w:t>un soutien total de 82 milliards d’EUR</w:t>
      </w:r>
      <w:r w:rsidRPr="00C80069">
        <w:rPr>
          <w:rFonts w:ascii="Times New Roman" w:hAnsi="Times New Roman"/>
          <w:noProof/>
          <w:sz w:val="24"/>
          <w:lang w:val="fr-BE"/>
        </w:rPr>
        <w:t xml:space="preserve">, y compris sous forme d’aide humanitaire, d’équipements et de formation militaires, de biens matériels à usage civil, dont des générateurs, des bus scolaires, du matériel médical et d’évacuations, d'aides à la reconstruction des villes selon des normes de qualité, durables et inclusives, d'assistance aux enfants et d'aides à la réhabilitation des écoles endommagées, ainsi que de soutien économique. Ce soutien est fourni en coordination avec nos partenaires internationaux au sein de la </w:t>
      </w:r>
      <w:r w:rsidRPr="00C80069">
        <w:rPr>
          <w:rFonts w:ascii="Times New Roman" w:hAnsi="Times New Roman"/>
          <w:b/>
          <w:noProof/>
          <w:sz w:val="24"/>
          <w:lang w:val="fr-BE"/>
        </w:rPr>
        <w:t>plateforme de coordination des donateurs d'organisations multiples pour l'Ukraine</w:t>
      </w:r>
      <w:r w:rsidRPr="00C80069">
        <w:rPr>
          <w:rFonts w:ascii="Times New Roman" w:hAnsi="Times New Roman"/>
          <w:noProof/>
          <w:sz w:val="24"/>
          <w:lang w:val="fr-BE"/>
        </w:rPr>
        <w:t>, lancée en janvier 2023 à la suite d’une décision des dirigeants du G7. La Commission accueille le secrétariat de la plateforme, qui facilite une coordination étroite entre les donateurs internationaux et les organisations financières et garantit un soutien cohérent, transparent et responsable.</w:t>
      </w:r>
    </w:p>
    <w:p w14:paraId="259B24B2"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Les </w:t>
      </w:r>
      <w:r w:rsidRPr="00C80069">
        <w:rPr>
          <w:rFonts w:ascii="Times New Roman" w:hAnsi="Times New Roman"/>
          <w:b/>
          <w:noProof/>
          <w:sz w:val="24"/>
          <w:lang w:val="fr-BE"/>
        </w:rPr>
        <w:t>corridors de solidarité UE-Ukraine</w:t>
      </w:r>
      <w:r w:rsidRPr="00C80069">
        <w:rPr>
          <w:rFonts w:ascii="Times New Roman" w:hAnsi="Times New Roman"/>
          <w:noProof/>
          <w:sz w:val="24"/>
          <w:lang w:val="fr-BE"/>
        </w:rPr>
        <w:t xml:space="preserve"> ont permis à l’Ukraine d’exporter plus de </w:t>
      </w:r>
      <w:r w:rsidRPr="00C80069">
        <w:rPr>
          <w:rFonts w:ascii="Times New Roman" w:hAnsi="Times New Roman"/>
          <w:b/>
          <w:noProof/>
          <w:sz w:val="24"/>
          <w:lang w:val="fr-BE"/>
        </w:rPr>
        <w:t>57 millions de tonnes de produits agricoles et près de 45 millions de tonnes de produits non agricoles et d’importer les biens dont le pays a besoin</w:t>
      </w:r>
      <w:r w:rsidRPr="00C80069">
        <w:rPr>
          <w:rFonts w:ascii="Times New Roman" w:hAnsi="Times New Roman"/>
          <w:noProof/>
          <w:sz w:val="24"/>
          <w:lang w:val="fr-BE"/>
        </w:rPr>
        <w:t>. Par l’intermédiaire de la plateforme conjointe de coordination, la Commission ne ménagera pas ses efforts pour faciliter la livraison rapide et stable des produits agricoles ukrainiens sur les marchés mondiaux.</w:t>
      </w:r>
    </w:p>
    <w:p w14:paraId="4BDB7EA1"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La Commission condamne la décision de la Russie de mettre un terme à l’</w:t>
      </w:r>
      <w:r w:rsidRPr="00C80069">
        <w:rPr>
          <w:rFonts w:ascii="Times New Roman" w:hAnsi="Times New Roman"/>
          <w:b/>
          <w:noProof/>
          <w:sz w:val="24"/>
          <w:lang w:val="fr-BE"/>
        </w:rPr>
        <w:t>initiative céréalière de la mer Noire</w:t>
      </w:r>
      <w:r w:rsidRPr="00C80069">
        <w:rPr>
          <w:rFonts w:ascii="Times New Roman" w:hAnsi="Times New Roman"/>
          <w:noProof/>
          <w:sz w:val="24"/>
          <w:lang w:val="fr-BE"/>
        </w:rPr>
        <w:t xml:space="preserve"> et continuera de soutenir tous les efforts visant à atténuer les risques en matière de sécurité et de sûreté pour le transport maritime en mer Noire. Le Conseil a adopté la proposition de la Commission visant à </w:t>
      </w:r>
      <w:r w:rsidRPr="00C80069">
        <w:rPr>
          <w:rFonts w:ascii="Times New Roman" w:hAnsi="Times New Roman"/>
          <w:b/>
          <w:noProof/>
          <w:sz w:val="24"/>
          <w:lang w:val="fr-BE"/>
        </w:rPr>
        <w:t>prolonger jusqu’au 3 mars 2025 la protection temporaire</w:t>
      </w:r>
      <w:r w:rsidRPr="00C80069">
        <w:rPr>
          <w:rFonts w:ascii="Times New Roman" w:hAnsi="Times New Roman"/>
          <w:noProof/>
          <w:sz w:val="24"/>
          <w:lang w:val="fr-BE"/>
        </w:rPr>
        <w:t xml:space="preserve"> accordée aux personnes fuyant l’agression russe contre l’Ukraine. Conjointement aux initiatives CARE et FAST-CARE, cette mesure est un gage de sécurité et de soutien pour plus de 4 millions de personnes qui bénéficient d’une protection dans l’ensemble de l’UE.</w:t>
      </w:r>
    </w:p>
    <w:p w14:paraId="3E95C8A5"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L’UE a également adopté, en un temps record, plusieurs </w:t>
      </w:r>
      <w:r w:rsidRPr="00C80069">
        <w:rPr>
          <w:rFonts w:ascii="Times New Roman" w:hAnsi="Times New Roman"/>
          <w:b/>
          <w:bCs/>
          <w:noProof/>
          <w:sz w:val="24"/>
          <w:lang w:val="fr-BE"/>
        </w:rPr>
        <w:t>initiatives d’urgence</w:t>
      </w:r>
      <w:r w:rsidRPr="00C80069">
        <w:rPr>
          <w:rFonts w:ascii="Times New Roman" w:hAnsi="Times New Roman"/>
          <w:noProof/>
          <w:sz w:val="24"/>
          <w:lang w:val="fr-BE"/>
        </w:rPr>
        <w:t xml:space="preserve"> au cours de l’année 2022 afin d’atténuer les effets de la crise énergétique sur l’industrie et les ménages.</w:t>
      </w:r>
    </w:p>
    <w:p w14:paraId="133F39D6"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Enfin, pour souligner la détermination de l’UE à se tenir aux côtés de l’Ukraine aussi longtemps que nécessaire, nous créerons un </w:t>
      </w:r>
      <w:r w:rsidRPr="00C80069">
        <w:rPr>
          <w:rFonts w:ascii="Times New Roman" w:hAnsi="Times New Roman"/>
          <w:b/>
          <w:noProof/>
          <w:sz w:val="24"/>
          <w:lang w:val="fr-BE"/>
        </w:rPr>
        <w:t>mécanisme de soutien à l’Ukraine à hauteur de 50 milliards d’EUR</w:t>
      </w:r>
      <w:r w:rsidRPr="00C80069">
        <w:rPr>
          <w:rFonts w:ascii="Times New Roman" w:hAnsi="Times New Roman"/>
          <w:noProof/>
          <w:sz w:val="24"/>
          <w:lang w:val="fr-BE"/>
        </w:rPr>
        <w:t xml:space="preserve"> pour la période 2024-2027. Ce financement couvrira les besoins immédiats de l’Ukraine, renforcera sa relance et soutiendra sa modernisation sur la voie de l’adhésion à l’UE.</w:t>
      </w:r>
    </w:p>
    <w:p w14:paraId="7B9A7CB0"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Avec nos partenaires internationaux, nous avons pris des mesures pour faire en sorte que les crimes de guerre commis par la Russie en Ukraine soient punis et que la Russie répare les préjudices qu’elle a causés. Le </w:t>
      </w:r>
      <w:r w:rsidRPr="00C80069">
        <w:rPr>
          <w:rFonts w:ascii="Times New Roman" w:hAnsi="Times New Roman"/>
          <w:b/>
          <w:noProof/>
          <w:sz w:val="24"/>
          <w:lang w:val="fr-BE"/>
        </w:rPr>
        <w:t>Centre international chargé des poursuites pour le crime d’agression contre l’Ukraine</w:t>
      </w:r>
      <w:r w:rsidRPr="00C80069">
        <w:rPr>
          <w:rFonts w:ascii="Times New Roman" w:hAnsi="Times New Roman"/>
          <w:noProof/>
          <w:sz w:val="24"/>
          <w:lang w:val="fr-BE"/>
        </w:rPr>
        <w:t xml:space="preserve"> a commencé ses travaux à La Haye et jouera un rôle essentiel dans les enquêtes sur ces actes horribles et la constitution de dossiers en vue de futurs procès. Nous mettrons tout en œuvre pour demander des comptes aux responsables. Et nous poursuivons nos travaux sur l’utilisation éventuelle du produit des avoirs russes saisis pour la reconstruction de l’Ukraine. </w:t>
      </w:r>
    </w:p>
    <w:p w14:paraId="70AE63BF"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L’Union doit </w:t>
      </w:r>
      <w:r w:rsidRPr="00C80069">
        <w:rPr>
          <w:rFonts w:ascii="Times New Roman" w:hAnsi="Times New Roman"/>
          <w:b/>
          <w:noProof/>
          <w:sz w:val="24"/>
          <w:lang w:val="fr-BE"/>
        </w:rPr>
        <w:t>préparer un élargissement réussi</w:t>
      </w:r>
      <w:r w:rsidRPr="00C80069">
        <w:rPr>
          <w:rFonts w:ascii="Times New Roman" w:hAnsi="Times New Roman"/>
          <w:noProof/>
          <w:sz w:val="24"/>
          <w:lang w:val="fr-BE"/>
        </w:rPr>
        <w:t xml:space="preserve"> afin de favoriser la paix et la stabilité à long terme en Europe. Nous travaillerons en étroite collaboration avec nos partenaires lors de la préparation de cette étape cruciale, en ouvrant notamment les rapports de la Commission sur l’état de droit aux pays en voie d’adhésion qui se mobilisent pour accélérer le processus.</w:t>
      </w:r>
    </w:p>
    <w:p w14:paraId="6D35814F"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L’UE se doit également d’être prête. La Commission présentera une </w:t>
      </w:r>
      <w:r w:rsidRPr="00C80069">
        <w:rPr>
          <w:rFonts w:ascii="Times New Roman" w:hAnsi="Times New Roman"/>
          <w:b/>
          <w:noProof/>
          <w:sz w:val="24"/>
          <w:lang w:val="fr-BE"/>
        </w:rPr>
        <w:t>communication sur les réformes et les réexamens des politiques avant élargissement</w:t>
      </w:r>
      <w:r w:rsidRPr="00C80069">
        <w:rPr>
          <w:rFonts w:ascii="Times New Roman" w:hAnsi="Times New Roman"/>
          <w:noProof/>
          <w:sz w:val="24"/>
          <w:lang w:val="fr-BE"/>
        </w:rPr>
        <w:t xml:space="preserve"> afin de déterminer comment chaque politique serait affectée par une Union élargie et comment les institutions européennes fonctionneraient. </w:t>
      </w:r>
    </w:p>
    <w:p w14:paraId="38AE9555" w14:textId="77777777" w:rsidR="00C80069" w:rsidRPr="00C80069" w:rsidRDefault="00C80069" w:rsidP="00C80069">
      <w:pPr>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Nous continuerons à </w:t>
      </w:r>
      <w:r w:rsidRPr="00C80069">
        <w:rPr>
          <w:rFonts w:ascii="Times New Roman" w:hAnsi="Times New Roman"/>
          <w:b/>
          <w:noProof/>
          <w:sz w:val="24"/>
          <w:lang w:val="fr-BE"/>
        </w:rPr>
        <w:t>coopérer avec des pays et régions</w:t>
      </w:r>
      <w:r w:rsidRPr="00C80069">
        <w:rPr>
          <w:rFonts w:ascii="Times New Roman" w:hAnsi="Times New Roman"/>
          <w:noProof/>
          <w:sz w:val="24"/>
          <w:lang w:val="fr-BE"/>
        </w:rPr>
        <w:t xml:space="preserve"> du monde entier, en particulier en Afrique, afin de relever les défis mondiaux et de renforcer la gouvernance multilatérale et une coopération internationale fondée sur des règles.</w:t>
      </w:r>
    </w:p>
    <w:p w14:paraId="1CA3AB6F" w14:textId="77777777" w:rsidR="00C80069" w:rsidRPr="00C80069" w:rsidRDefault="00C80069" w:rsidP="00C80069">
      <w:pPr>
        <w:spacing w:after="240"/>
        <w:jc w:val="both"/>
        <w:rPr>
          <w:rFonts w:ascii="Times New Roman" w:hAnsi="Times New Roman" w:cs="Times New Roman"/>
          <w:b/>
          <w:bCs/>
          <w:noProof/>
          <w:sz w:val="24"/>
          <w:szCs w:val="24"/>
          <w:lang w:val="fr-BE"/>
        </w:rPr>
      </w:pPr>
      <w:r w:rsidRPr="00C80069">
        <w:rPr>
          <w:rFonts w:ascii="Times New Roman" w:hAnsi="Times New Roman"/>
          <w:noProof/>
          <w:sz w:val="24"/>
          <w:lang w:val="fr-BE"/>
        </w:rPr>
        <w:t xml:space="preserve">Dans toutes nos actions, nous restons attachés au </w:t>
      </w:r>
      <w:r w:rsidRPr="00C80069">
        <w:rPr>
          <w:rFonts w:ascii="Times New Roman" w:hAnsi="Times New Roman"/>
          <w:b/>
          <w:noProof/>
          <w:sz w:val="24"/>
          <w:lang w:val="fr-BE"/>
        </w:rPr>
        <w:t>programme de développement durable à l’horizon 2030</w:t>
      </w:r>
      <w:r w:rsidRPr="00C80069">
        <w:rPr>
          <w:rFonts w:ascii="Times New Roman" w:hAnsi="Times New Roman"/>
          <w:noProof/>
          <w:sz w:val="24"/>
          <w:lang w:val="fr-BE"/>
        </w:rPr>
        <w:t>, et ses objectifs de développement durable resteront au cœur de nos politiques</w:t>
      </w:r>
      <w:r>
        <w:rPr>
          <w:rStyle w:val="FootnoteReference"/>
          <w:rFonts w:ascii="Times New Roman" w:hAnsi="Times New Roman" w:cs="Times New Roman"/>
          <w:noProof/>
          <w:sz w:val="24"/>
          <w:szCs w:val="24"/>
        </w:rPr>
        <w:footnoteReference w:id="2"/>
      </w:r>
      <w:r w:rsidRPr="00C80069">
        <w:rPr>
          <w:rFonts w:ascii="Times New Roman" w:hAnsi="Times New Roman"/>
          <w:noProof/>
          <w:sz w:val="24"/>
          <w:lang w:val="fr-BE"/>
        </w:rPr>
        <w:t xml:space="preserve"> et de notre programme pour une meilleure réglementation</w:t>
      </w:r>
      <w:r>
        <w:rPr>
          <w:rStyle w:val="FootnoteReference"/>
          <w:rFonts w:ascii="Times New Roman" w:hAnsi="Times New Roman" w:cs="Times New Roman"/>
          <w:noProof/>
          <w:sz w:val="24"/>
          <w:szCs w:val="24"/>
        </w:rPr>
        <w:footnoteReference w:id="3"/>
      </w:r>
      <w:r w:rsidRPr="00C80069">
        <w:rPr>
          <w:rFonts w:ascii="Times New Roman" w:hAnsi="Times New Roman"/>
          <w:noProof/>
          <w:sz w:val="24"/>
          <w:lang w:val="fr-BE"/>
        </w:rPr>
        <w:t>.</w:t>
      </w:r>
    </w:p>
    <w:p w14:paraId="4DF474B9" w14:textId="77777777" w:rsidR="00C80069" w:rsidRPr="00C80069" w:rsidRDefault="00C80069" w:rsidP="00C80069">
      <w:pPr>
        <w:pStyle w:val="ListParagraph"/>
        <w:numPr>
          <w:ilvl w:val="0"/>
          <w:numId w:val="1"/>
        </w:numPr>
        <w:spacing w:after="0"/>
        <w:ind w:left="357" w:hanging="357"/>
        <w:rPr>
          <w:rFonts w:ascii="Times New Roman" w:hAnsi="Times New Roman" w:cs="Times New Roman"/>
          <w:i/>
          <w:iCs/>
          <w:noProof/>
          <w:sz w:val="24"/>
          <w:szCs w:val="24"/>
          <w:u w:val="single"/>
          <w:lang w:val="fr-BE"/>
        </w:rPr>
      </w:pPr>
      <w:r w:rsidRPr="00C80069">
        <w:rPr>
          <w:rFonts w:ascii="Times New Roman" w:hAnsi="Times New Roman"/>
          <w:b/>
          <w:noProof/>
          <w:sz w:val="24"/>
          <w:u w:val="single"/>
          <w:lang w:val="fr-BE"/>
        </w:rPr>
        <w:t>Amélioration de la réglementation, mise en œuvre et contrôle de l’application du droit de l’Union</w:t>
      </w:r>
    </w:p>
    <w:p w14:paraId="362ECE46" w14:textId="77777777" w:rsidR="00C80069" w:rsidRPr="00C80069" w:rsidRDefault="00C80069" w:rsidP="00C80069">
      <w:pPr>
        <w:spacing w:after="0"/>
        <w:rPr>
          <w:rFonts w:ascii="Times New Roman" w:hAnsi="Times New Roman" w:cs="Times New Roman"/>
          <w:noProof/>
          <w:sz w:val="24"/>
          <w:szCs w:val="24"/>
          <w:u w:val="single"/>
          <w:lang w:val="fr-BE"/>
        </w:rPr>
      </w:pPr>
    </w:p>
    <w:p w14:paraId="3CAC30F1" w14:textId="77777777" w:rsidR="00C80069" w:rsidRPr="00C80069" w:rsidRDefault="00C80069" w:rsidP="00C80069">
      <w:pPr>
        <w:pStyle w:val="ListParagraph"/>
        <w:numPr>
          <w:ilvl w:val="1"/>
          <w:numId w:val="1"/>
        </w:numPr>
        <w:ind w:left="788" w:hanging="431"/>
        <w:rPr>
          <w:rFonts w:ascii="Times New Roman" w:hAnsi="Times New Roman" w:cs="Times New Roman"/>
          <w:b/>
          <w:bCs/>
          <w:noProof/>
          <w:sz w:val="24"/>
          <w:szCs w:val="24"/>
          <w:lang w:val="fr-BE"/>
        </w:rPr>
      </w:pPr>
      <w:bookmarkStart w:id="2" w:name="_Hlk147572351"/>
      <w:r w:rsidRPr="00C80069">
        <w:rPr>
          <w:rFonts w:ascii="Times New Roman" w:hAnsi="Times New Roman"/>
          <w:b/>
          <w:noProof/>
          <w:sz w:val="24"/>
          <w:lang w:val="fr-BE"/>
        </w:rPr>
        <w:t>Amélioration</w:t>
      </w:r>
      <w:bookmarkEnd w:id="2"/>
      <w:r w:rsidRPr="00C80069">
        <w:rPr>
          <w:rFonts w:ascii="Times New Roman" w:hAnsi="Times New Roman"/>
          <w:b/>
          <w:noProof/>
          <w:sz w:val="24"/>
          <w:lang w:val="fr-BE"/>
        </w:rPr>
        <w:t xml:space="preserve"> de la réglementation, réduction des charges et rationalisation des obligations d’information </w:t>
      </w:r>
    </w:p>
    <w:p w14:paraId="34DE5B67" w14:textId="77777777" w:rsidR="00C80069" w:rsidRPr="00C80069" w:rsidRDefault="00C80069" w:rsidP="00C80069">
      <w:pPr>
        <w:spacing w:after="240"/>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Il est fondamental de réduire les charges administratives pour </w:t>
      </w:r>
      <w:r w:rsidRPr="00C80069">
        <w:rPr>
          <w:rFonts w:ascii="Times New Roman" w:hAnsi="Times New Roman"/>
          <w:b/>
          <w:noProof/>
          <w:sz w:val="24"/>
          <w:lang w:val="fr-BE"/>
        </w:rPr>
        <w:t>préserver la compétitivité des entreprises européennes</w:t>
      </w:r>
      <w:r w:rsidRPr="00C80069">
        <w:rPr>
          <w:rFonts w:ascii="Times New Roman" w:hAnsi="Times New Roman"/>
          <w:noProof/>
          <w:sz w:val="24"/>
          <w:lang w:val="fr-BE"/>
        </w:rPr>
        <w:t>. C’est pourquoi la communication de la Commission sur la compétitivité à long terme</w:t>
      </w:r>
      <w:r>
        <w:rPr>
          <w:rStyle w:val="FootnoteReference"/>
          <w:rFonts w:ascii="Times New Roman" w:eastAsia="Times New Roman" w:hAnsi="Times New Roman" w:cs="Times New Roman"/>
          <w:noProof/>
          <w:sz w:val="24"/>
          <w:szCs w:val="24"/>
        </w:rPr>
        <w:footnoteReference w:id="4"/>
      </w:r>
      <w:r w:rsidRPr="00C80069">
        <w:rPr>
          <w:rFonts w:ascii="Times New Roman" w:hAnsi="Times New Roman"/>
          <w:noProof/>
          <w:sz w:val="24"/>
          <w:lang w:val="fr-BE"/>
        </w:rPr>
        <w:t xml:space="preserve"> a fixé comme objectif de </w:t>
      </w:r>
      <w:r w:rsidRPr="00C80069">
        <w:rPr>
          <w:rFonts w:ascii="Times New Roman" w:hAnsi="Times New Roman"/>
          <w:b/>
          <w:noProof/>
          <w:sz w:val="24"/>
          <w:lang w:val="fr-BE"/>
        </w:rPr>
        <w:t>réduire de 25 % les charges liées aux obligations d'information</w:t>
      </w:r>
      <w:r w:rsidRPr="00C80069">
        <w:rPr>
          <w:rFonts w:ascii="Times New Roman" w:hAnsi="Times New Roman"/>
          <w:noProof/>
          <w:sz w:val="24"/>
          <w:lang w:val="fr-BE"/>
        </w:rPr>
        <w:t xml:space="preserve">, sans compromettre les objectifs stratégiques. Cela permettra de rationaliser et de simplifier ces obligations, qui pèsent d’un poids disproportionné sur les entreprises, dont les PME et les microentreprises, et sur les administrations, et de veiller à ce qu’elles remplissent l’objectif visé. </w:t>
      </w:r>
    </w:p>
    <w:p w14:paraId="51654DB1" w14:textId="77777777" w:rsidR="00C80069" w:rsidRPr="00C80069" w:rsidRDefault="00C80069" w:rsidP="00C80069">
      <w:pPr>
        <w:spacing w:after="240"/>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Pour atteindre cet objectif, la Commission a adopté une législation visant notamment à réformer le code des douanes de l’Union, qui créera une interface unique de l’UE et facilitera la réutilisation des données. Ensemble, ces mesures permettront d’économiser quelque </w:t>
      </w:r>
      <w:r w:rsidRPr="00C80069">
        <w:rPr>
          <w:rFonts w:ascii="Times New Roman" w:hAnsi="Times New Roman"/>
          <w:b/>
          <w:noProof/>
          <w:sz w:val="24"/>
          <w:lang w:val="fr-BE"/>
        </w:rPr>
        <w:t>2 milliards d’EUR</w:t>
      </w:r>
      <w:r w:rsidRPr="00C80069">
        <w:rPr>
          <w:rFonts w:ascii="Times New Roman" w:hAnsi="Times New Roman"/>
          <w:noProof/>
          <w:sz w:val="24"/>
          <w:lang w:val="fr-BE"/>
        </w:rPr>
        <w:t xml:space="preserve">. En outre, la révision proposée du règlement relatif aux statistiques européennes, qui consiste à réduire le nombre d’enquêtes et à accroître le recours à des processus automatisés et simplifiés, permettra de réaliser des économies, y compris pour les PME, d’un montant estimé à </w:t>
      </w:r>
      <w:r w:rsidRPr="00C80069">
        <w:rPr>
          <w:rFonts w:ascii="Times New Roman" w:hAnsi="Times New Roman"/>
          <w:b/>
          <w:noProof/>
          <w:sz w:val="24"/>
          <w:lang w:val="fr-BE"/>
        </w:rPr>
        <w:t>450 millions d’EUR</w:t>
      </w:r>
      <w:r w:rsidRPr="00C80069">
        <w:rPr>
          <w:rFonts w:ascii="Times New Roman" w:hAnsi="Times New Roman"/>
          <w:noProof/>
          <w:sz w:val="24"/>
          <w:lang w:val="fr-BE"/>
        </w:rPr>
        <w:t xml:space="preserve">. Avec ce programme de travail, la Commission présente des </w:t>
      </w:r>
      <w:r w:rsidRPr="00C80069">
        <w:rPr>
          <w:rFonts w:ascii="Times New Roman" w:hAnsi="Times New Roman"/>
          <w:b/>
          <w:noProof/>
          <w:sz w:val="24"/>
          <w:lang w:val="fr-BE"/>
        </w:rPr>
        <w:t>propositions supplémentaires de rationalisation</w:t>
      </w:r>
      <w:r>
        <w:rPr>
          <w:rStyle w:val="FootnoteReference"/>
          <w:rFonts w:ascii="Times New Roman" w:eastAsia="Times New Roman" w:hAnsi="Times New Roman" w:cs="Times New Roman"/>
          <w:b/>
          <w:bCs/>
          <w:noProof/>
          <w:sz w:val="24"/>
          <w:szCs w:val="24"/>
        </w:rPr>
        <w:footnoteReference w:id="5"/>
      </w:r>
      <w:r w:rsidRPr="00C80069">
        <w:rPr>
          <w:rFonts w:ascii="Times New Roman" w:hAnsi="Times New Roman"/>
          <w:noProof/>
          <w:sz w:val="24"/>
          <w:lang w:val="fr-BE"/>
        </w:rPr>
        <w:t xml:space="preserve"> destinées à réduire la charge administrative sans abaisser les normes sociales, de sécurité, de protection des consommateurs, environnementales ou économiques. Elles </w:t>
      </w:r>
      <w:r w:rsidRPr="00C80069">
        <w:rPr>
          <w:rFonts w:ascii="Times New Roman" w:hAnsi="Times New Roman"/>
          <w:b/>
          <w:noProof/>
          <w:sz w:val="24"/>
          <w:lang w:val="fr-BE"/>
        </w:rPr>
        <w:t>rationaliseront les obligations d’information ayant une utilité limitée</w:t>
      </w:r>
      <w:r w:rsidRPr="00C80069">
        <w:rPr>
          <w:rFonts w:ascii="Times New Roman" w:hAnsi="Times New Roman"/>
          <w:noProof/>
          <w:sz w:val="24"/>
          <w:lang w:val="fr-BE"/>
        </w:rPr>
        <w:t>, par exemple en regroupant les obligations qui se chevauchent, en réduisant le nombre d’entreprises concernées et en augmentant la numérisation.</w:t>
      </w:r>
    </w:p>
    <w:p w14:paraId="36625FE2" w14:textId="77777777" w:rsidR="00C80069" w:rsidRPr="00C80069" w:rsidRDefault="00C80069" w:rsidP="00C80069">
      <w:pPr>
        <w:spacing w:after="240"/>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Afin de laisser aux parties prenantes le temps de s’adapter aux nouvelles obligations, nous repousserons le délai d’adoption des </w:t>
      </w:r>
      <w:r w:rsidRPr="00C80069">
        <w:rPr>
          <w:rFonts w:ascii="Times New Roman" w:hAnsi="Times New Roman"/>
          <w:b/>
          <w:noProof/>
          <w:sz w:val="24"/>
          <w:lang w:val="fr-BE"/>
        </w:rPr>
        <w:t>normes européennes sectorielles en matière d’information sur la durabilité</w:t>
      </w:r>
      <w:r w:rsidRPr="00C80069">
        <w:rPr>
          <w:rFonts w:ascii="Times New Roman" w:hAnsi="Times New Roman"/>
          <w:noProof/>
          <w:sz w:val="24"/>
          <w:lang w:val="fr-BE"/>
        </w:rPr>
        <w:t xml:space="preserve">. La Commission </w:t>
      </w:r>
      <w:r w:rsidRPr="00C80069">
        <w:rPr>
          <w:rFonts w:ascii="Times New Roman" w:hAnsi="Times New Roman"/>
          <w:b/>
          <w:noProof/>
          <w:sz w:val="24"/>
          <w:lang w:val="fr-BE"/>
        </w:rPr>
        <w:t>adaptera les seuils de la directive comptable</w:t>
      </w:r>
      <w:r w:rsidRPr="00C80069">
        <w:rPr>
          <w:rFonts w:ascii="Times New Roman" w:hAnsi="Times New Roman"/>
          <w:noProof/>
          <w:sz w:val="24"/>
          <w:lang w:val="fr-BE"/>
        </w:rPr>
        <w:t xml:space="preserve"> de sorte que plus d’un million d’entreprises devraient bénéficier d’obligations d’information réduites, et réexaminera le </w:t>
      </w:r>
      <w:r w:rsidRPr="00C80069">
        <w:rPr>
          <w:rFonts w:ascii="Times New Roman" w:hAnsi="Times New Roman"/>
          <w:b/>
          <w:noProof/>
          <w:sz w:val="24"/>
          <w:lang w:val="fr-BE"/>
        </w:rPr>
        <w:t>règlement sur les indices de référence</w:t>
      </w:r>
      <w:r w:rsidRPr="00C80069">
        <w:rPr>
          <w:rFonts w:ascii="Times New Roman" w:hAnsi="Times New Roman"/>
          <w:noProof/>
          <w:sz w:val="24"/>
          <w:lang w:val="fr-BE"/>
        </w:rPr>
        <w:t xml:space="preserve">, notamment pour exempter les administrateurs d’indices de référence de plus petite taille, qui représentent 90 % de la population, tout en garantissant un degré élevé de protection des consommateurs et des investisseurs. La Commission propose également de faciliter le partage des données entre les autorités chargées de superviser le secteur financier et d’éviter la duplication des informations. La Commission encourage la conclusion d’un accord en temps utile sur un modèle commun de format électronique pour les </w:t>
      </w:r>
      <w:r w:rsidRPr="00C80069">
        <w:rPr>
          <w:rFonts w:ascii="Times New Roman" w:hAnsi="Times New Roman"/>
          <w:b/>
          <w:noProof/>
          <w:sz w:val="24"/>
          <w:lang w:val="fr-BE"/>
        </w:rPr>
        <w:t>déclarations des travailleurs détachés</w:t>
      </w:r>
      <w:r w:rsidRPr="00C80069">
        <w:rPr>
          <w:rFonts w:ascii="Times New Roman" w:hAnsi="Times New Roman"/>
          <w:noProof/>
          <w:sz w:val="24"/>
          <w:lang w:val="fr-BE"/>
        </w:rPr>
        <w:t xml:space="preserve"> ainsi que la mise en œuvre généralisée d’un tel modèle. Aidée par des travaux visant à mettre à disposition un portail multilingue, la Commission entend permettre aux entreprises de soumettre leurs déclarations de détachement sous forme numérique dans leur propre langue, et ce pour tous les États membres qui décident d’utiliser cet outil.</w:t>
      </w:r>
    </w:p>
    <w:p w14:paraId="7705401C" w14:textId="77777777" w:rsidR="00C80069" w:rsidRPr="00C80069" w:rsidRDefault="00C80069" w:rsidP="00C80069">
      <w:pPr>
        <w:spacing w:after="240"/>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Dans le cadre de la </w:t>
      </w:r>
      <w:r w:rsidRPr="00C80069">
        <w:rPr>
          <w:rFonts w:ascii="Times New Roman" w:hAnsi="Times New Roman"/>
          <w:b/>
          <w:noProof/>
          <w:sz w:val="24"/>
          <w:lang w:val="fr-BE"/>
        </w:rPr>
        <w:t>deuxième communication sur la publication d’informations concernant l’alignement sur la taxinomie</w:t>
      </w:r>
      <w:r w:rsidRPr="00C80069">
        <w:rPr>
          <w:rFonts w:ascii="Times New Roman" w:hAnsi="Times New Roman"/>
          <w:noProof/>
          <w:sz w:val="24"/>
          <w:lang w:val="fr-BE"/>
        </w:rPr>
        <w:t xml:space="preserve">, qui guide l’interprétation des informations relatives à la taxinomie, nous préciserons qu’aucune évaluation n’est nécessaire de la part des entreprises pour les activités qui ne sont pas significatives pour leur activité ou lorsqu’elles ne disposent pas de preuves ou de données permettant de prouver la conformité avec les critères d’examen technique de la taxinomie de l’UE. La suppression de certaines obligations de publicité liées aux affaires de règlement alternatif des litiges et le remplacement de la plateforme de règlement en ligne des litiges apporteront aux entreprises des avantages globaux d’environ </w:t>
      </w:r>
      <w:r w:rsidRPr="00C80069">
        <w:rPr>
          <w:rFonts w:ascii="Times New Roman" w:hAnsi="Times New Roman"/>
          <w:b/>
          <w:noProof/>
          <w:sz w:val="24"/>
          <w:lang w:val="fr-BE"/>
        </w:rPr>
        <w:t>630 millions d’EUR</w:t>
      </w:r>
      <w:r w:rsidRPr="00C80069">
        <w:rPr>
          <w:rFonts w:ascii="Times New Roman" w:hAnsi="Times New Roman"/>
          <w:noProof/>
          <w:sz w:val="24"/>
          <w:lang w:val="fr-BE"/>
        </w:rPr>
        <w:t xml:space="preserve"> par an.</w:t>
      </w:r>
    </w:p>
    <w:p w14:paraId="1F79584D" w14:textId="77777777" w:rsidR="00C80069" w:rsidRPr="00C80069" w:rsidRDefault="00C80069" w:rsidP="00C80069">
      <w:pPr>
        <w:spacing w:after="240"/>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Les propositions porteront également sur les normes de commercialisation des produits de la pêche, la santé des végétaux, les transports, l’agriculture et la surveillance des infrastructures spatiales. La Commission collaborera avec les </w:t>
      </w:r>
      <w:r w:rsidRPr="00C80069">
        <w:rPr>
          <w:rFonts w:ascii="Times New Roman" w:hAnsi="Times New Roman"/>
          <w:b/>
          <w:noProof/>
          <w:sz w:val="24"/>
          <w:lang w:val="fr-BE"/>
        </w:rPr>
        <w:t>colégislateurs pour préserver la lisibilité des obligations d'information</w:t>
      </w:r>
      <w:r w:rsidRPr="00C80069">
        <w:rPr>
          <w:rFonts w:ascii="Times New Roman" w:hAnsi="Times New Roman"/>
          <w:noProof/>
          <w:sz w:val="24"/>
          <w:lang w:val="fr-BE"/>
        </w:rPr>
        <w:t xml:space="preserve">, pour autant que les objectifs et la finalité de la législation ne soient pas mis en péril. Par exemple, en ce qui concerne la proposition de </w:t>
      </w:r>
      <w:r w:rsidRPr="00C80069">
        <w:rPr>
          <w:rFonts w:ascii="Times New Roman" w:hAnsi="Times New Roman"/>
          <w:b/>
          <w:noProof/>
          <w:sz w:val="24"/>
          <w:lang w:val="fr-BE"/>
        </w:rPr>
        <w:t>directive sur le devoir de diligence des entreprises en matière de durabilité</w:t>
      </w:r>
      <w:r w:rsidRPr="00C80069">
        <w:rPr>
          <w:rFonts w:ascii="Times New Roman" w:hAnsi="Times New Roman"/>
          <w:noProof/>
          <w:sz w:val="24"/>
          <w:lang w:val="fr-BE"/>
        </w:rPr>
        <w:t xml:space="preserve">, la Commission soutiendra l’application proportionnée des exigences, en particulier dans des domaines tels que le rôle des groupes, en vue de garantir l’efficacité et d’éviter une charge inutile. </w:t>
      </w:r>
    </w:p>
    <w:p w14:paraId="0D3D4BA1" w14:textId="77777777" w:rsidR="00C80069" w:rsidRPr="00C80069" w:rsidRDefault="00C80069" w:rsidP="00C80069">
      <w:pPr>
        <w:spacing w:after="240"/>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En ce qui concerne le </w:t>
      </w:r>
      <w:r w:rsidRPr="00C80069">
        <w:rPr>
          <w:rFonts w:ascii="Times New Roman" w:hAnsi="Times New Roman"/>
          <w:b/>
          <w:noProof/>
          <w:sz w:val="24"/>
          <w:lang w:val="fr-BE"/>
        </w:rPr>
        <w:t>règlement relatif au portail des émissions industrielles</w:t>
      </w:r>
      <w:r w:rsidRPr="00C80069">
        <w:rPr>
          <w:rFonts w:ascii="Times New Roman" w:hAnsi="Times New Roman"/>
          <w:noProof/>
          <w:sz w:val="24"/>
          <w:lang w:val="fr-BE"/>
        </w:rPr>
        <w:t xml:space="preserve">, la Commission s’est engagée à accélérer la numérisation et à rationaliser davantage les obligations d’information. Avec la révision de la </w:t>
      </w:r>
      <w:r w:rsidRPr="00C80069">
        <w:rPr>
          <w:rFonts w:ascii="Times New Roman" w:hAnsi="Times New Roman"/>
          <w:b/>
          <w:noProof/>
          <w:sz w:val="24"/>
          <w:lang w:val="fr-BE"/>
        </w:rPr>
        <w:t>coordination du cadre de sécurité sociale</w:t>
      </w:r>
      <w:r w:rsidRPr="00C80069">
        <w:rPr>
          <w:rFonts w:ascii="Times New Roman" w:hAnsi="Times New Roman"/>
          <w:noProof/>
          <w:sz w:val="24"/>
          <w:lang w:val="fr-BE"/>
        </w:rPr>
        <w:t>, la Commission continuera d’aider les colégislateurs à trouver des solutions efficaces et viables qui protègent les travailleurs et facilitent les activités transfrontières au sein du marché intérieur. En outre, le</w:t>
      </w:r>
      <w:r w:rsidRPr="00C80069">
        <w:rPr>
          <w:rFonts w:ascii="Times New Roman" w:hAnsi="Times New Roman"/>
          <w:b/>
          <w:noProof/>
          <w:sz w:val="24"/>
          <w:lang w:val="fr-BE"/>
        </w:rPr>
        <w:t xml:space="preserve"> programme pour une Europe numérique</w:t>
      </w:r>
      <w:r w:rsidRPr="00C80069">
        <w:rPr>
          <w:rFonts w:ascii="Times New Roman" w:hAnsi="Times New Roman"/>
          <w:noProof/>
          <w:sz w:val="24"/>
          <w:lang w:val="fr-BE"/>
        </w:rPr>
        <w:t xml:space="preserve"> est disponible pour financer des initiatives des États membres visant à fournir des moyens techniques simples d’information, tels qu’un point d’entrée unique pour la notification d’incidents de cybersécurité dans le cadre de la directive concernant des mesures destinées à assurer un niveau élevé commun de </w:t>
      </w:r>
      <w:r w:rsidRPr="00C80069">
        <w:rPr>
          <w:rFonts w:ascii="Times New Roman" w:hAnsi="Times New Roman"/>
          <w:b/>
          <w:noProof/>
          <w:sz w:val="24"/>
          <w:lang w:val="fr-BE"/>
        </w:rPr>
        <w:t>cybersécurité</w:t>
      </w:r>
      <w:r w:rsidRPr="00C80069">
        <w:rPr>
          <w:rFonts w:ascii="Times New Roman" w:hAnsi="Times New Roman"/>
          <w:noProof/>
          <w:sz w:val="24"/>
          <w:lang w:val="fr-BE"/>
        </w:rPr>
        <w:t xml:space="preserve"> dans l’ensemble de l’Union (directive SRI 2).</w:t>
      </w:r>
      <w:r w:rsidRPr="00C80069">
        <w:rPr>
          <w:rFonts w:ascii="Times New Roman" w:hAnsi="Times New Roman"/>
          <w:b/>
          <w:noProof/>
          <w:sz w:val="24"/>
          <w:lang w:val="fr-BE"/>
        </w:rPr>
        <w:t xml:space="preserve"> </w:t>
      </w:r>
    </w:p>
    <w:p w14:paraId="038B282C" w14:textId="77777777" w:rsidR="00C80069" w:rsidRPr="00C80069" w:rsidRDefault="00C80069" w:rsidP="00C80069">
      <w:pPr>
        <w:spacing w:after="240"/>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La rationalisation des obligations d’information est un </w:t>
      </w:r>
      <w:r w:rsidRPr="00C80069">
        <w:rPr>
          <w:rFonts w:ascii="Times New Roman" w:hAnsi="Times New Roman"/>
          <w:b/>
          <w:noProof/>
          <w:sz w:val="24"/>
          <w:lang w:val="fr-BE"/>
        </w:rPr>
        <w:t>effort à long terme sur lequel il faudra se concentrer dans un avenir prévisible</w:t>
      </w:r>
      <w:r w:rsidRPr="00C80069">
        <w:rPr>
          <w:rFonts w:ascii="Times New Roman" w:hAnsi="Times New Roman"/>
          <w:noProof/>
          <w:sz w:val="24"/>
          <w:lang w:val="fr-BE"/>
        </w:rPr>
        <w:t>. L’établissement d’une</w:t>
      </w:r>
      <w:r w:rsidRPr="00C80069">
        <w:rPr>
          <w:rFonts w:ascii="Times New Roman" w:hAnsi="Times New Roman"/>
          <w:b/>
          <w:bCs/>
          <w:noProof/>
          <w:sz w:val="24"/>
          <w:lang w:val="fr-BE"/>
        </w:rPr>
        <w:t xml:space="preserve"> base de référence</w:t>
      </w:r>
      <w:r w:rsidRPr="00C80069">
        <w:rPr>
          <w:rFonts w:ascii="Times New Roman" w:hAnsi="Times New Roman"/>
          <w:noProof/>
          <w:sz w:val="24"/>
          <w:lang w:val="fr-BE"/>
        </w:rPr>
        <w:t xml:space="preserve"> pour les obligations d'information, bien que complexe compte tenu de l’étendue de la législation de l’UE et de son interaction avec les législations nationales et régionales, sera essentiel pour mesurer les progrès accomplis. Les parties prenantes peuvent contribuer à faire mieux comprendre la manière dont le cadre des obligations d’information les affecte. C’est la raison pour laquelle nous avons lancé un appel à contributions</w:t>
      </w:r>
      <w:r>
        <w:rPr>
          <w:rStyle w:val="FootnoteReference"/>
          <w:rFonts w:ascii="Times New Roman" w:eastAsia="Times New Roman" w:hAnsi="Times New Roman" w:cs="Times New Roman"/>
          <w:noProof/>
          <w:sz w:val="24"/>
          <w:szCs w:val="24"/>
        </w:rPr>
        <w:footnoteReference w:id="6"/>
      </w:r>
      <w:r w:rsidRPr="00C80069">
        <w:rPr>
          <w:rFonts w:ascii="Times New Roman" w:hAnsi="Times New Roman"/>
          <w:noProof/>
          <w:sz w:val="24"/>
          <w:lang w:val="fr-BE"/>
        </w:rPr>
        <w:t xml:space="preserve"> afin de recueillir des réactions sur les obligations d’information contraignantes. D’autres consultations seront menées avec les entreprises, y compris avec le réseau des représentants des PME, les experts des États membres et d’autres parties prenantes, afin de recenser les questions particulièrement épineuses et les domaines auxquels donner la priorité. La Commission désignera également un </w:t>
      </w:r>
      <w:r w:rsidRPr="00C80069">
        <w:rPr>
          <w:rFonts w:ascii="Times New Roman" w:hAnsi="Times New Roman"/>
          <w:b/>
          <w:bCs/>
          <w:noProof/>
          <w:sz w:val="24"/>
          <w:lang w:val="fr-BE"/>
        </w:rPr>
        <w:t>représentant de l’UE pour les PME</w:t>
      </w:r>
      <w:r w:rsidRPr="00C80069">
        <w:rPr>
          <w:rFonts w:ascii="Times New Roman" w:hAnsi="Times New Roman"/>
          <w:noProof/>
          <w:sz w:val="24"/>
          <w:lang w:val="fr-BE"/>
        </w:rPr>
        <w:t xml:space="preserve"> qui participera aux auditions du comité d’examen de la réglementation sur les initiatives ayant une forte incidence sur les PME. En outre, la Commission s’attaquera aux obligations d’information représentant une charge importante que ses directions générales ont définies au moyen de </w:t>
      </w:r>
      <w:r w:rsidRPr="00C80069">
        <w:rPr>
          <w:rFonts w:ascii="Times New Roman" w:hAnsi="Times New Roman"/>
          <w:b/>
          <w:bCs/>
          <w:noProof/>
          <w:sz w:val="24"/>
          <w:lang w:val="fr-BE"/>
        </w:rPr>
        <w:t>plans de rationalisation</w:t>
      </w:r>
      <w:r w:rsidRPr="00C80069">
        <w:rPr>
          <w:rFonts w:ascii="Times New Roman" w:hAnsi="Times New Roman"/>
          <w:noProof/>
          <w:sz w:val="24"/>
          <w:lang w:val="fr-BE"/>
        </w:rPr>
        <w:t xml:space="preserve"> ciblés pour 2024 et au-delà. Nous rendrons compte des progrès accomplis dans la réalisation de l’objectif de 25 % dans les enquêtes annuelles sur la charge à partir de l’édition 2023, qui sera publiée l’année prochaine. </w:t>
      </w:r>
    </w:p>
    <w:p w14:paraId="0C90DACE" w14:textId="77777777" w:rsidR="00C80069" w:rsidRPr="00C80069" w:rsidRDefault="00C80069" w:rsidP="00C80069">
      <w:pPr>
        <w:spacing w:after="240"/>
        <w:jc w:val="both"/>
        <w:rPr>
          <w:rFonts w:ascii="Times New Roman" w:hAnsi="Times New Roman" w:cs="Times New Roman"/>
          <w:noProof/>
          <w:sz w:val="24"/>
          <w:szCs w:val="24"/>
          <w:lang w:val="fr-BE"/>
        </w:rPr>
      </w:pPr>
      <w:r w:rsidRPr="00C80069">
        <w:rPr>
          <w:rFonts w:ascii="Times New Roman" w:hAnsi="Times New Roman"/>
          <w:noProof/>
          <w:sz w:val="24"/>
          <w:lang w:val="fr-BE"/>
        </w:rPr>
        <w:t>La Commission placera le développement d’</w:t>
      </w:r>
      <w:r w:rsidRPr="00C80069">
        <w:rPr>
          <w:rFonts w:ascii="Times New Roman" w:hAnsi="Times New Roman"/>
          <w:b/>
          <w:bCs/>
          <w:noProof/>
          <w:sz w:val="24"/>
          <w:lang w:val="fr-BE"/>
        </w:rPr>
        <w:t>outils d’intelligence artificielle</w:t>
      </w:r>
      <w:r w:rsidRPr="00C80069">
        <w:rPr>
          <w:rFonts w:ascii="Times New Roman" w:hAnsi="Times New Roman"/>
          <w:noProof/>
          <w:sz w:val="24"/>
          <w:lang w:val="fr-BE"/>
        </w:rPr>
        <w:t xml:space="preserve"> et de </w:t>
      </w:r>
      <w:r w:rsidRPr="00C80069">
        <w:rPr>
          <w:rFonts w:ascii="Times New Roman" w:hAnsi="Times New Roman"/>
          <w:b/>
          <w:bCs/>
          <w:noProof/>
          <w:sz w:val="24"/>
          <w:lang w:val="fr-BE"/>
        </w:rPr>
        <w:t>grands modèles linguistiques</w:t>
      </w:r>
      <w:r w:rsidRPr="00C80069">
        <w:rPr>
          <w:rFonts w:ascii="Times New Roman" w:hAnsi="Times New Roman"/>
          <w:noProof/>
          <w:sz w:val="24"/>
          <w:lang w:val="fr-BE"/>
        </w:rPr>
        <w:t xml:space="preserve"> au cœur de cet exercice. Cela contribuera à définir les obligations d’information dans la législation de l’UE, sur la base de moyens normalisés, et à aider à analyser leurs effets dans un secteur donné. Elle s’emploiera également à étendre l’utilisation des </w:t>
      </w:r>
      <w:r w:rsidRPr="00C80069">
        <w:rPr>
          <w:rFonts w:ascii="Times New Roman" w:hAnsi="Times New Roman"/>
          <w:b/>
          <w:bCs/>
          <w:noProof/>
          <w:sz w:val="24"/>
          <w:lang w:val="fr-BE"/>
        </w:rPr>
        <w:t>plateformes en ligne</w:t>
      </w:r>
      <w:r w:rsidRPr="00C80069">
        <w:rPr>
          <w:rFonts w:ascii="Times New Roman" w:hAnsi="Times New Roman"/>
          <w:noProof/>
          <w:sz w:val="24"/>
          <w:lang w:val="fr-BE"/>
        </w:rPr>
        <w:t xml:space="preserve"> pour la collecte et le partage de données, telles que le portail numérique unique, la plateforme en ligne mise sur pied dans le cadre du règlement sur la gouvernance de l’union de l’énergie et de l’action pour le climat et la plateforme sur la finance numérique. En outre, la Commission procédera à des </w:t>
      </w:r>
      <w:r w:rsidRPr="00C80069">
        <w:rPr>
          <w:rFonts w:ascii="Times New Roman" w:hAnsi="Times New Roman"/>
          <w:b/>
          <w:bCs/>
          <w:noProof/>
          <w:sz w:val="24"/>
          <w:lang w:val="fr-BE"/>
        </w:rPr>
        <w:t>évaluations et à des bilans de qualité</w:t>
      </w:r>
      <w:r w:rsidRPr="00C80069">
        <w:rPr>
          <w:rFonts w:ascii="Times New Roman" w:hAnsi="Times New Roman"/>
          <w:noProof/>
          <w:sz w:val="24"/>
          <w:lang w:val="fr-BE"/>
        </w:rPr>
        <w:t xml:space="preserve"> afin de déterminer comment la législation peut être simplifiée et comment faire en sorte que celle-ci représente une charge moins importante, en mettant l’accent sur l’identification de nouvelles possibilités de rationaliser les obligations d’information</w:t>
      </w:r>
      <w:r>
        <w:rPr>
          <w:rStyle w:val="FootnoteReference"/>
          <w:rFonts w:ascii="Times New Roman" w:eastAsia="Times New Roman" w:hAnsi="Times New Roman" w:cs="Times New Roman"/>
          <w:noProof/>
          <w:sz w:val="24"/>
          <w:szCs w:val="24"/>
        </w:rPr>
        <w:footnoteReference w:id="7"/>
      </w:r>
      <w:r w:rsidRPr="00C80069">
        <w:rPr>
          <w:rFonts w:ascii="Times New Roman" w:hAnsi="Times New Roman"/>
          <w:noProof/>
          <w:sz w:val="24"/>
          <w:lang w:val="fr-BE"/>
        </w:rPr>
        <w:t xml:space="preserve">. Les évaluations des programmes et des fonds du cadre financier pluriannuel, prévues en 2024, offrent une nouvelle occasion d’évaluer la manière de réduire les charges liées aux programmes financiers de l’UE. </w:t>
      </w:r>
    </w:p>
    <w:p w14:paraId="2C26DADE" w14:textId="77777777" w:rsidR="00C80069" w:rsidRPr="00C80069" w:rsidRDefault="00C80069" w:rsidP="00C80069">
      <w:pPr>
        <w:spacing w:after="240"/>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La rationalisation des obligations d’information complète les outils de la Commission pour la réduction des charges. Dans le cadre du </w:t>
      </w:r>
      <w:r w:rsidRPr="00C80069">
        <w:rPr>
          <w:rFonts w:ascii="Times New Roman" w:hAnsi="Times New Roman"/>
          <w:b/>
          <w:bCs/>
          <w:noProof/>
          <w:sz w:val="24"/>
          <w:lang w:val="fr-BE"/>
        </w:rPr>
        <w:t>programme pour une réglementation affûtée et performante (REFIT)</w:t>
      </w:r>
      <w:r w:rsidRPr="00C80069">
        <w:rPr>
          <w:rFonts w:ascii="Times New Roman" w:hAnsi="Times New Roman"/>
          <w:noProof/>
          <w:sz w:val="24"/>
          <w:lang w:val="fr-BE"/>
        </w:rPr>
        <w:t xml:space="preserve"> de la Commission, toutes les évaluations et révisions recherchent les moyens de réduire la charge et, pour toutes les propositions importantes, des analyses d’impact sont réalisées afin de s’assurer que les avantages l’emportent sur les coûts. Par exemple, la mise en place d’un système d'imposition en fonction du siège social simplifiera les règles et réduira les coûts de mise en conformité fiscale pour les PME qui étendent leurs activités au-delà des frontières. La proposition «Entreprises en Europe: cadre pour l’imposition des revenus» (BEFIT) pourrait réduire les coûts de mise en conformité fiscale pour les entreprises actives dans l’UE jusqu'à 65 %.</w:t>
      </w:r>
    </w:p>
    <w:p w14:paraId="69A73BCE" w14:textId="77777777" w:rsidR="00C80069" w:rsidRPr="00C80069" w:rsidRDefault="00C80069" w:rsidP="00C80069">
      <w:pPr>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En outre, depuis janvier 2022, avec son approche </w:t>
      </w:r>
      <w:r w:rsidRPr="00C80069">
        <w:rPr>
          <w:rFonts w:ascii="Times New Roman" w:hAnsi="Times New Roman"/>
          <w:b/>
          <w:bCs/>
          <w:noProof/>
          <w:sz w:val="24"/>
          <w:lang w:val="fr-BE"/>
        </w:rPr>
        <w:t>«un ajout, un retrait»</w:t>
      </w:r>
      <w:r w:rsidRPr="00C80069">
        <w:rPr>
          <w:rFonts w:ascii="Times New Roman" w:hAnsi="Times New Roman"/>
          <w:noProof/>
          <w:sz w:val="24"/>
          <w:lang w:val="fr-BE"/>
        </w:rPr>
        <w:t xml:space="preserve">, la Commission a présenté des propositions qui devraient permettre de réaliser </w:t>
      </w:r>
      <w:r w:rsidRPr="00C80069">
        <w:rPr>
          <w:rFonts w:ascii="Times New Roman" w:hAnsi="Times New Roman"/>
          <w:b/>
          <w:bCs/>
          <w:noProof/>
          <w:sz w:val="24"/>
          <w:lang w:val="fr-BE"/>
        </w:rPr>
        <w:t>7,3 milliards d’EUR d’économies administratives supplémentaires par rapport aux coûts</w:t>
      </w:r>
      <w:r>
        <w:rPr>
          <w:rStyle w:val="FootnoteReference"/>
          <w:rFonts w:ascii="Times New Roman" w:eastAsia="Times New Roman" w:hAnsi="Times New Roman" w:cs="Times New Roman"/>
          <w:b/>
          <w:bCs/>
          <w:noProof/>
          <w:sz w:val="24"/>
          <w:szCs w:val="24"/>
        </w:rPr>
        <w:footnoteReference w:id="8"/>
      </w:r>
      <w:r w:rsidRPr="00C80069">
        <w:rPr>
          <w:rFonts w:ascii="Times New Roman" w:hAnsi="Times New Roman"/>
          <w:noProof/>
          <w:sz w:val="24"/>
          <w:lang w:val="fr-BE"/>
        </w:rPr>
        <w:t xml:space="preserve">. La </w:t>
      </w:r>
      <w:r w:rsidRPr="00C80069">
        <w:rPr>
          <w:rFonts w:ascii="Times New Roman" w:hAnsi="Times New Roman"/>
          <w:b/>
          <w:bCs/>
          <w:noProof/>
          <w:sz w:val="24"/>
          <w:lang w:val="fr-BE"/>
        </w:rPr>
        <w:t>plateforme «Prêts pour l’avenir»</w:t>
      </w:r>
      <w:r w:rsidRPr="00C80069">
        <w:rPr>
          <w:rFonts w:ascii="Times New Roman" w:hAnsi="Times New Roman"/>
          <w:noProof/>
          <w:sz w:val="24"/>
          <w:lang w:val="fr-BE"/>
        </w:rPr>
        <w:t xml:space="preserve"> conseille également la Commission sur la manière de réduire les charges liées au droit de l’Union. </w:t>
      </w:r>
    </w:p>
    <w:p w14:paraId="4FAE40C6" w14:textId="77777777" w:rsidR="00C80069" w:rsidRPr="00C80069" w:rsidRDefault="00C80069" w:rsidP="00C80069">
      <w:pPr>
        <w:pStyle w:val="ListParagraph"/>
        <w:numPr>
          <w:ilvl w:val="1"/>
          <w:numId w:val="1"/>
        </w:numPr>
        <w:rPr>
          <w:rFonts w:ascii="Times New Roman" w:hAnsi="Times New Roman" w:cs="Times New Roman"/>
          <w:b/>
          <w:bCs/>
          <w:noProof/>
          <w:sz w:val="24"/>
          <w:szCs w:val="24"/>
          <w:lang w:val="fr-BE"/>
        </w:rPr>
      </w:pPr>
      <w:r w:rsidRPr="00C80069">
        <w:rPr>
          <w:rFonts w:ascii="Times New Roman" w:hAnsi="Times New Roman"/>
          <w:b/>
          <w:noProof/>
          <w:sz w:val="24"/>
          <w:lang w:val="fr-BE"/>
        </w:rPr>
        <w:t>Mise en œuvre et contrôle de l’application du droit de l’Union</w:t>
      </w:r>
    </w:p>
    <w:p w14:paraId="6AF7DE31"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Pour que les citoyens et les entreprises de l’UE puissent tirer pleinement parti des règles que nous avons adoptées d’un commun accord, le droit de l’UE doit être mis en œuvre et appliqué pleinement, en temps utile et de manière correcte dans l’ensemble de l’Union. C’est pourquoi son </w:t>
      </w:r>
      <w:r w:rsidRPr="00C80069">
        <w:rPr>
          <w:rFonts w:ascii="Times New Roman" w:hAnsi="Times New Roman"/>
          <w:b/>
          <w:bCs/>
          <w:noProof/>
          <w:sz w:val="24"/>
          <w:lang w:val="fr-BE"/>
        </w:rPr>
        <w:t>application est une priorité absolue pour la Commission</w:t>
      </w:r>
      <w:r w:rsidRPr="00C80069">
        <w:rPr>
          <w:rFonts w:ascii="Times New Roman" w:hAnsi="Times New Roman"/>
          <w:noProof/>
          <w:sz w:val="24"/>
          <w:lang w:val="fr-BE"/>
        </w:rPr>
        <w:t xml:space="preserve">. À ce stade du mandat, nous veillerons à ce qu’une attention encore plus grande soit accordée aux tâches de mise en œuvre et de contrôle de l’application, afin de veiller à ce que les règles convenues produisent des résultats pour les citoyens et les entreprises. Résoudre les problèmes de mise en œuvre lors de l’élaboration de propositions et fournir des orientations aux États membres sont des moyens de prévenir les problèmes à un stade précoce. Pour rendre la législation de l’UE plus efficace, nous collaborerons donc </w:t>
      </w:r>
      <w:r w:rsidRPr="00C80069">
        <w:rPr>
          <w:rFonts w:ascii="Times New Roman" w:hAnsi="Times New Roman"/>
          <w:b/>
          <w:bCs/>
          <w:noProof/>
          <w:sz w:val="24"/>
          <w:lang w:val="fr-BE"/>
        </w:rPr>
        <w:t>avec les États membres</w:t>
      </w:r>
      <w:r w:rsidRPr="00C80069">
        <w:rPr>
          <w:rFonts w:ascii="Times New Roman" w:hAnsi="Times New Roman"/>
          <w:noProof/>
          <w:sz w:val="24"/>
          <w:lang w:val="fr-BE"/>
        </w:rPr>
        <w:t xml:space="preserve"> afin d’éviter de faire peser des charges inutiles sur les entreprises et les citoyens lors de la transposition des directives de l’UE en droit national. En cas d’infractions, la Commission continuera de dialoguer avec les États membres afin de résoudre rapidement les problèmes et d’</w:t>
      </w:r>
      <w:r w:rsidRPr="00C80069">
        <w:rPr>
          <w:rFonts w:ascii="Times New Roman" w:hAnsi="Times New Roman"/>
          <w:b/>
          <w:bCs/>
          <w:noProof/>
          <w:sz w:val="24"/>
          <w:lang w:val="fr-BE"/>
        </w:rPr>
        <w:t>agir de manière résolue sur les infractions</w:t>
      </w:r>
      <w:r w:rsidRPr="00C80069">
        <w:rPr>
          <w:rFonts w:ascii="Times New Roman" w:hAnsi="Times New Roman"/>
          <w:noProof/>
          <w:sz w:val="24"/>
          <w:lang w:val="fr-BE"/>
        </w:rPr>
        <w:t xml:space="preserve"> qui entravent la mise en œuvre d’objectifs stratégiques importants de l’UE ou qui risquent de porter atteinte aux valeurs et aux libertés fondamentales de cette dernière.</w:t>
      </w:r>
    </w:p>
    <w:p w14:paraId="4213FE14"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Afin de veiller à ce que les instruments de mise en œuvre dont elle dispose restent efficaces, la Commission a procédé à un </w:t>
      </w:r>
      <w:r w:rsidRPr="00C80069">
        <w:rPr>
          <w:rFonts w:ascii="Times New Roman" w:hAnsi="Times New Roman"/>
          <w:b/>
          <w:bCs/>
          <w:noProof/>
          <w:sz w:val="24"/>
          <w:lang w:val="fr-BE"/>
        </w:rPr>
        <w:t>bilan</w:t>
      </w:r>
      <w:r w:rsidRPr="00C80069">
        <w:rPr>
          <w:rFonts w:ascii="Times New Roman" w:hAnsi="Times New Roman"/>
          <w:noProof/>
          <w:sz w:val="24"/>
          <w:lang w:val="fr-BE"/>
        </w:rPr>
        <w:t xml:space="preserve"> avec les États membres en 2022. Nous mettons actuellement en œuvre ses conclusions et recommandations afin d’améliorer la manière dont la Commission et les États membres garantissent l’application du droit de l’UE. Nous travaillerons en étroite collaboration avec les États membres pour faciliter la mise en œuvre de la nouvelle législation grâce à un soutien accru au niveau national, en particulier dans les domaines où des efforts supplémentaires pourraient s’avérer nécessaires pour assurer une transposition correcte et en temps utile des directives, et par un suivi plus systématique de la mise en œuvre des règlements. Nous continuerons également à renforcer la transparence des mesures prises par la Commission pour faire respecter la législation, en publiant davantage d’informations et de données dans un style plus convivial. Cela aidera les citoyens à participer à ce processus et favorisera une mise en conformité plus rapide de la part des États membres, en mettant l’accent sur les réalisations positives et en saluant les bonnes pratiques, ce qui créerait dans le même temps une pression des pairs en ce qui concerne les violations non résolues du droit de l’Union. </w:t>
      </w:r>
    </w:p>
    <w:p w14:paraId="14071DE9" w14:textId="77777777" w:rsidR="00C80069" w:rsidRPr="00C80069" w:rsidRDefault="00C80069" w:rsidP="00C80069">
      <w:pPr>
        <w:pStyle w:val="ListParagraph"/>
        <w:numPr>
          <w:ilvl w:val="0"/>
          <w:numId w:val="1"/>
        </w:numPr>
        <w:spacing w:after="0"/>
        <w:rPr>
          <w:rFonts w:ascii="Times New Roman" w:hAnsi="Times New Roman" w:cs="Times New Roman"/>
          <w:b/>
          <w:bCs/>
          <w:noProof/>
          <w:sz w:val="24"/>
          <w:szCs w:val="24"/>
          <w:u w:val="single"/>
          <w:lang w:val="fr-BE"/>
        </w:rPr>
      </w:pPr>
      <w:r w:rsidRPr="00C80069">
        <w:rPr>
          <w:rFonts w:ascii="Times New Roman" w:hAnsi="Times New Roman"/>
          <w:b/>
          <w:noProof/>
          <w:sz w:val="24"/>
          <w:u w:val="single"/>
          <w:lang w:val="fr-BE"/>
        </w:rPr>
        <w:t>Mise en œuvre des six grandes ambitions</w:t>
      </w:r>
    </w:p>
    <w:p w14:paraId="7013228C" w14:textId="77777777" w:rsidR="00C80069" w:rsidRPr="00C80069" w:rsidRDefault="00C80069" w:rsidP="00C80069">
      <w:pPr>
        <w:spacing w:after="0"/>
        <w:jc w:val="both"/>
        <w:rPr>
          <w:rFonts w:ascii="Times New Roman" w:hAnsi="Times New Roman" w:cs="Times New Roman"/>
          <w:noProof/>
          <w:sz w:val="24"/>
          <w:szCs w:val="24"/>
          <w:lang w:val="fr-BE"/>
        </w:rPr>
      </w:pPr>
    </w:p>
    <w:p w14:paraId="292149D3" w14:textId="77777777" w:rsidR="00C80069" w:rsidRPr="00C80069" w:rsidRDefault="00C80069" w:rsidP="00C80069">
      <w:pPr>
        <w:spacing w:after="0"/>
        <w:jc w:val="both"/>
        <w:rPr>
          <w:rFonts w:ascii="Times New Roman" w:hAnsi="Times New Roman" w:cs="Times New Roman"/>
          <w:noProof/>
          <w:sz w:val="24"/>
          <w:szCs w:val="24"/>
          <w:lang w:val="fr-BE"/>
        </w:rPr>
      </w:pPr>
      <w:r w:rsidRPr="00C80069">
        <w:rPr>
          <w:rFonts w:ascii="Times New Roman" w:hAnsi="Times New Roman"/>
          <w:noProof/>
          <w:sz w:val="24"/>
          <w:lang w:val="fr-BE"/>
        </w:rPr>
        <w:t xml:space="preserve">Comme indiqué dans le discours sur l’état de l’Union, la Commission a tenu plus de 90 % des engagements pris dans les orientations politiques de la présidente von der Leyen en 2019. En 2024, les colégislateurs devront consentir des efforts spécifiques pour trouver un accord sur les propositions en suspens afin de permettre aux citoyens et aux entreprises d’Europe d'en tirer profit. </w:t>
      </w:r>
    </w:p>
    <w:p w14:paraId="7D19EBF4" w14:textId="77777777" w:rsidR="00C80069" w:rsidRPr="00476E96" w:rsidRDefault="00C80069" w:rsidP="00C80069">
      <w:pPr>
        <w:pStyle w:val="ListParagraph"/>
        <w:numPr>
          <w:ilvl w:val="1"/>
          <w:numId w:val="1"/>
        </w:numPr>
        <w:spacing w:before="120"/>
        <w:ind w:left="788" w:hanging="431"/>
        <w:rPr>
          <w:rFonts w:ascii="Times New Roman" w:eastAsia="Times New Roman" w:hAnsi="Times New Roman" w:cs="Times New Roman"/>
          <w:b/>
          <w:noProof/>
          <w:sz w:val="24"/>
          <w:szCs w:val="24"/>
        </w:rPr>
      </w:pPr>
      <w:r>
        <w:rPr>
          <w:rFonts w:ascii="Times New Roman" w:hAnsi="Times New Roman"/>
          <w:b/>
          <w:noProof/>
          <w:sz w:val="24"/>
        </w:rPr>
        <w:t>Un pacte vert pour l’Europe</w:t>
      </w:r>
    </w:p>
    <w:p w14:paraId="667DFAB5" w14:textId="77777777" w:rsidR="00C80069" w:rsidRPr="00C80069" w:rsidRDefault="00C80069" w:rsidP="00C80069">
      <w:pPr>
        <w:jc w:val="both"/>
        <w:rPr>
          <w:rFonts w:ascii="Times New Roman" w:hAnsi="Times New Roman"/>
          <w:noProof/>
          <w:sz w:val="24"/>
          <w:highlight w:val="cyan"/>
          <w:lang w:val="fr-BE"/>
        </w:rPr>
      </w:pPr>
      <w:r w:rsidRPr="00C80069">
        <w:rPr>
          <w:rFonts w:ascii="Times New Roman" w:hAnsi="Times New Roman"/>
          <w:noProof/>
          <w:sz w:val="24"/>
          <w:lang w:val="fr-BE"/>
        </w:rPr>
        <w:t xml:space="preserve">Né de l’urgence d’adopter des mesures de protection et de préservation de notre planète, le pacte vert pour l’Europe est notre programme de croissance, qui prouve au monde que la modernisation et la décarbonation peuvent aller de pair. L’UE dispose du plan de transformation écologique le plus ambitieux au monde, dont les objectifs sont de parvenir à la </w:t>
      </w:r>
      <w:r w:rsidRPr="00C80069">
        <w:rPr>
          <w:rFonts w:ascii="Times New Roman" w:hAnsi="Times New Roman"/>
          <w:b/>
          <w:bCs/>
          <w:noProof/>
          <w:sz w:val="24"/>
          <w:lang w:val="fr-BE"/>
        </w:rPr>
        <w:t>neutralité climatique</w:t>
      </w:r>
      <w:r w:rsidRPr="00C80069">
        <w:rPr>
          <w:rFonts w:ascii="Times New Roman" w:hAnsi="Times New Roman"/>
          <w:noProof/>
          <w:sz w:val="24"/>
          <w:lang w:val="fr-BE"/>
        </w:rPr>
        <w:t xml:space="preserve">, à </w:t>
      </w:r>
      <w:r w:rsidRPr="00C80069">
        <w:rPr>
          <w:rFonts w:ascii="Times New Roman" w:hAnsi="Times New Roman"/>
          <w:b/>
          <w:bCs/>
          <w:noProof/>
          <w:sz w:val="24"/>
          <w:lang w:val="fr-BE"/>
        </w:rPr>
        <w:t>l’économie circulaire</w:t>
      </w:r>
      <w:r w:rsidRPr="00C80069">
        <w:rPr>
          <w:rFonts w:ascii="Times New Roman" w:hAnsi="Times New Roman"/>
          <w:noProof/>
          <w:sz w:val="24"/>
          <w:lang w:val="fr-BE"/>
        </w:rPr>
        <w:t xml:space="preserve"> et à une </w:t>
      </w:r>
      <w:r w:rsidRPr="00C80069">
        <w:rPr>
          <w:rFonts w:ascii="Times New Roman" w:hAnsi="Times New Roman"/>
          <w:b/>
          <w:bCs/>
          <w:noProof/>
          <w:sz w:val="24"/>
          <w:lang w:val="fr-BE"/>
        </w:rPr>
        <w:t>économie à zéro émission nette d’ici à 2050, ainsi que de prévenir la dégradation de l’environnement, préserver la biodiversité et créer un environnement «zéro pollution»</w:t>
      </w:r>
      <w:r w:rsidRPr="00C80069">
        <w:rPr>
          <w:rFonts w:ascii="Times New Roman" w:hAnsi="Times New Roman"/>
          <w:noProof/>
          <w:sz w:val="24"/>
          <w:lang w:val="fr-BE"/>
        </w:rPr>
        <w:t xml:space="preserve">. Face à la guerre d’agression menée par la Russie contre l’Ukraine, la Commission a agi rapidement pour garantir la sécurité de l’approvisionnement énergétique tout en renforçant l’attachement de l’Union au pacte vert pour l’Europe et en développant notre base industrielle dans les secteurs des technologies propres. Des changements structurels fondamentaux ont été proposés pour les marchés de l’électricité et du gaz, ainsi que de nouvelles initiatives visant à ouvrir la voie à l’émergence des marchés de l’hydrogène vert. </w:t>
      </w:r>
    </w:p>
    <w:p w14:paraId="0A07D064" w14:textId="77777777" w:rsidR="00C80069" w:rsidRPr="00C80069" w:rsidRDefault="00C80069" w:rsidP="00C80069">
      <w:pPr>
        <w:jc w:val="both"/>
        <w:rPr>
          <w:rFonts w:ascii="Calibri" w:hAnsi="Calibri"/>
          <w:b/>
          <w:i/>
          <w:noProof/>
          <w:sz w:val="24"/>
          <w:lang w:val="fr-BE"/>
        </w:rPr>
      </w:pPr>
      <w:r w:rsidRPr="00C80069">
        <w:rPr>
          <w:rFonts w:ascii="Times New Roman" w:hAnsi="Times New Roman"/>
          <w:noProof/>
          <w:sz w:val="24"/>
          <w:lang w:val="fr-BE"/>
        </w:rPr>
        <w:t xml:space="preserve">Nous poursuivrons nos efforts pour faire en sorte que la transition écologique se fasse d’une manière juste, intelligente et inclusive, en ne laissant personne et aucun territoire de côté, tout en dialoguant activement avec les pays tiers partenaires, notamment pour renforcer la croissance verte. À cette fin, la Commission lancera une série de dialogues verts afin de s’entretenir pleinement et directement avec les </w:t>
      </w:r>
      <w:r w:rsidRPr="00C80069">
        <w:rPr>
          <w:rFonts w:ascii="Times New Roman" w:hAnsi="Times New Roman"/>
          <w:b/>
          <w:bCs/>
          <w:noProof/>
          <w:sz w:val="24"/>
          <w:lang w:val="fr-BE"/>
        </w:rPr>
        <w:t>citoyens</w:t>
      </w:r>
      <w:r w:rsidRPr="00C80069">
        <w:rPr>
          <w:rFonts w:ascii="Times New Roman" w:hAnsi="Times New Roman"/>
          <w:noProof/>
          <w:sz w:val="24"/>
          <w:lang w:val="fr-BE"/>
        </w:rPr>
        <w:t xml:space="preserve">, ainsi que des </w:t>
      </w:r>
      <w:r w:rsidRPr="00C80069">
        <w:rPr>
          <w:rFonts w:ascii="Times New Roman" w:hAnsi="Times New Roman"/>
          <w:b/>
          <w:bCs/>
          <w:noProof/>
          <w:sz w:val="24"/>
          <w:lang w:val="fr-BE"/>
        </w:rPr>
        <w:t>dialogues sur la transition vers une énergie propre avec l’industrie et les partenaires sociaux</w:t>
      </w:r>
      <w:r w:rsidRPr="00C80069">
        <w:rPr>
          <w:rFonts w:ascii="Times New Roman" w:hAnsi="Times New Roman"/>
          <w:noProof/>
          <w:sz w:val="24"/>
          <w:lang w:val="fr-BE"/>
        </w:rPr>
        <w:t xml:space="preserve">. En parallèle, la Commission poursuit ses travaux préparatoires à la mise en œuvre du futur Fonds social pour le climat, qui, avec le Fonds pour une transition juste, soutiendra les citoyens, les entreprises et les régions vulnérables sur la voie de la transition. La Commission lancera un </w:t>
      </w:r>
      <w:r w:rsidRPr="00C80069">
        <w:rPr>
          <w:rFonts w:ascii="Times New Roman" w:hAnsi="Times New Roman"/>
          <w:b/>
          <w:bCs/>
          <w:noProof/>
          <w:sz w:val="24"/>
          <w:lang w:val="fr-BE"/>
        </w:rPr>
        <w:t>dialogue stratégique sur l’avenir de l’agriculture dans l’UE</w:t>
      </w:r>
      <w:r w:rsidRPr="00C80069">
        <w:rPr>
          <w:rFonts w:ascii="Times New Roman" w:hAnsi="Times New Roman"/>
          <w:noProof/>
          <w:sz w:val="24"/>
          <w:lang w:val="fr-BE"/>
        </w:rPr>
        <w:t>, en communiquant davantage avec les agriculteurs, les parties prenantes de la chaîne alimentaire et les citoyens, œuvrant ensemble à la transition vers des systèmes alimentaires durables.</w:t>
      </w:r>
    </w:p>
    <w:p w14:paraId="68D24F9D" w14:textId="77777777" w:rsidR="00C80069" w:rsidRPr="00C80069" w:rsidRDefault="00C80069" w:rsidP="00C80069">
      <w:pPr>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Face aux nouvelles menaces mondiales, la Commission a élaboré des plans visant à </w:t>
      </w:r>
      <w:r w:rsidRPr="00C80069">
        <w:rPr>
          <w:rFonts w:ascii="Times New Roman" w:hAnsi="Times New Roman"/>
          <w:b/>
          <w:bCs/>
          <w:noProof/>
          <w:sz w:val="24"/>
          <w:lang w:val="fr-BE"/>
        </w:rPr>
        <w:t>préserver la sécurité alimentaire</w:t>
      </w:r>
      <w:r w:rsidRPr="00C80069">
        <w:rPr>
          <w:rFonts w:ascii="Times New Roman" w:hAnsi="Times New Roman"/>
          <w:noProof/>
          <w:sz w:val="24"/>
          <w:lang w:val="fr-BE"/>
        </w:rPr>
        <w:t xml:space="preserve"> et à </w:t>
      </w:r>
      <w:r w:rsidRPr="00C80069">
        <w:rPr>
          <w:rFonts w:ascii="Times New Roman" w:hAnsi="Times New Roman"/>
          <w:b/>
          <w:bCs/>
          <w:noProof/>
          <w:sz w:val="24"/>
          <w:lang w:val="fr-BE"/>
        </w:rPr>
        <w:t>renforcer la résilience des systèmes alimentaires</w:t>
      </w:r>
      <w:r w:rsidRPr="00C80069">
        <w:rPr>
          <w:rFonts w:ascii="Times New Roman" w:hAnsi="Times New Roman"/>
          <w:noProof/>
          <w:sz w:val="24"/>
          <w:lang w:val="fr-BE"/>
        </w:rPr>
        <w:t xml:space="preserve"> à court et moyen termes. Grâce à sa stratégie «De la ferme à la table», elle a concrétisé la vision consistant à rendre le système alimentaire de l’UE équitable, sain et respectueux de l’environnement. La stratégie comprenait également des mesures visant à développer une pêche et une aquaculture durables et résilientes. Parallèlement, la Commission a adopté de nouvelles mesures pour construire l’</w:t>
      </w:r>
      <w:r w:rsidRPr="00C80069">
        <w:rPr>
          <w:rFonts w:ascii="Times New Roman" w:hAnsi="Times New Roman"/>
          <w:b/>
          <w:bCs/>
          <w:noProof/>
          <w:sz w:val="24"/>
          <w:lang w:val="fr-BE"/>
        </w:rPr>
        <w:t>économie circulaire</w:t>
      </w:r>
      <w:r w:rsidRPr="00C80069">
        <w:rPr>
          <w:rFonts w:ascii="Times New Roman" w:hAnsi="Times New Roman"/>
          <w:noProof/>
          <w:sz w:val="24"/>
          <w:lang w:val="fr-BE"/>
        </w:rPr>
        <w:t xml:space="preserve">, soumis des initiatives phares sur la </w:t>
      </w:r>
      <w:r w:rsidRPr="00C80069">
        <w:rPr>
          <w:rFonts w:ascii="Times New Roman" w:hAnsi="Times New Roman"/>
          <w:b/>
          <w:bCs/>
          <w:noProof/>
          <w:sz w:val="24"/>
          <w:lang w:val="fr-BE"/>
        </w:rPr>
        <w:t>protection de la biodiversité et la restauration des écosystèmes endommagés</w:t>
      </w:r>
      <w:r w:rsidRPr="00C80069">
        <w:rPr>
          <w:rFonts w:ascii="Times New Roman" w:hAnsi="Times New Roman"/>
          <w:noProof/>
          <w:sz w:val="24"/>
          <w:lang w:val="fr-BE"/>
        </w:rPr>
        <w:t xml:space="preserve"> et présenté des propositions clés dans le cadre du plan d’action </w:t>
      </w:r>
      <w:r w:rsidRPr="00C80069">
        <w:rPr>
          <w:rFonts w:ascii="Times New Roman" w:hAnsi="Times New Roman"/>
          <w:b/>
          <w:bCs/>
          <w:noProof/>
          <w:sz w:val="24"/>
          <w:lang w:val="fr-BE"/>
        </w:rPr>
        <w:t>«zéro pollution»</w:t>
      </w:r>
      <w:r w:rsidRPr="00C80069">
        <w:rPr>
          <w:rFonts w:ascii="Times New Roman" w:hAnsi="Times New Roman"/>
          <w:noProof/>
          <w:sz w:val="24"/>
          <w:lang w:val="fr-BE"/>
        </w:rPr>
        <w:t>. L’UE a également œuvré au renforcement de sa résilience face aux catastrophes, notamment en doublant la flotte aérienne de lutte contre les incendies rescEU et en renforçant notre mécanisme de protection civile.</w:t>
      </w:r>
    </w:p>
    <w:p w14:paraId="67451838" w14:textId="77777777" w:rsidR="00C80069" w:rsidRPr="00C80069" w:rsidRDefault="00C80069" w:rsidP="00C80069">
      <w:pPr>
        <w:jc w:val="both"/>
        <w:rPr>
          <w:rFonts w:ascii="Times New Roman" w:hAnsi="Times New Roman" w:cs="Times New Roman"/>
          <w:noProof/>
          <w:sz w:val="24"/>
          <w:szCs w:val="24"/>
          <w:lang w:val="fr-BE"/>
        </w:rPr>
      </w:pPr>
      <w:r w:rsidRPr="00C80069">
        <w:rPr>
          <w:rFonts w:ascii="Times New Roman" w:hAnsi="Times New Roman"/>
          <w:noProof/>
          <w:sz w:val="24"/>
          <w:lang w:val="fr-BE"/>
        </w:rPr>
        <w:t>La majorité des initiatives présentées dans la communication de 2019 sur le pacte vert pour l’Europe ont été mises en œuvre et nombre d’entre elles ont déjà été traduites en textes législatifs.</w:t>
      </w:r>
      <w:r w:rsidRPr="00C80069">
        <w:rPr>
          <w:rFonts w:ascii="Times New Roman" w:hAnsi="Times New Roman"/>
          <w:b/>
          <w:noProof/>
          <w:sz w:val="24"/>
          <w:lang w:val="fr-BE"/>
        </w:rPr>
        <w:t xml:space="preserve"> </w:t>
      </w:r>
      <w:r w:rsidRPr="00C80069">
        <w:rPr>
          <w:rFonts w:ascii="Times New Roman" w:hAnsi="Times New Roman"/>
          <w:b/>
          <w:bCs/>
          <w:noProof/>
          <w:sz w:val="24"/>
          <w:lang w:val="fr-BE"/>
        </w:rPr>
        <w:t>Il est impératif de parvenir rapidement à un accord sur les propositions restantes</w:t>
      </w:r>
      <w:r w:rsidRPr="00C80069">
        <w:rPr>
          <w:rFonts w:ascii="Times New Roman" w:hAnsi="Times New Roman"/>
          <w:noProof/>
          <w:sz w:val="24"/>
          <w:lang w:val="fr-BE"/>
        </w:rPr>
        <w:t xml:space="preserve"> afin de maintenir l’Union solidement sur la voie de la neutralité climatique. Il s’agit notamment des propositions relatives à l’absorption de carbone, à la réduction des émissions de méthane dans le secteur de l’énergie, aux émissions industrielles, à la performance énergétique des bâtiments, aux normes de performance en matière d’émissions de CO</w:t>
      </w:r>
      <w:r w:rsidRPr="00C80069">
        <w:rPr>
          <w:rFonts w:ascii="Times New Roman" w:hAnsi="Times New Roman"/>
          <w:noProof/>
          <w:sz w:val="24"/>
          <w:vertAlign w:val="subscript"/>
          <w:lang w:val="fr-BE"/>
        </w:rPr>
        <w:t>2</w:t>
      </w:r>
      <w:r w:rsidRPr="00C80069">
        <w:rPr>
          <w:rFonts w:ascii="Times New Roman" w:hAnsi="Times New Roman"/>
          <w:noProof/>
          <w:sz w:val="24"/>
          <w:lang w:val="fr-BE"/>
        </w:rPr>
        <w:t xml:space="preserve"> pour les véhicules utilitaires lourds neufs, à la réception par type des véhicules à moteur et de leurs moteurs, à la révision des règles relatives à la circularité des véhicules, à la révision du règlement RTE-T et au paquet «écologisation du transport de marchandises», ainsi qu’à l’organisation du marché de l’électricité, aux gaz renouvelables et naturels et à l’hydrogène. Afin de favoriser une </w:t>
      </w:r>
      <w:r w:rsidRPr="00C80069">
        <w:rPr>
          <w:rFonts w:ascii="Times New Roman" w:hAnsi="Times New Roman"/>
          <w:b/>
          <w:bCs/>
          <w:noProof/>
          <w:sz w:val="24"/>
          <w:lang w:val="fr-BE"/>
        </w:rPr>
        <w:t>agriculture durable et la sécurité alimentaire</w:t>
      </w:r>
      <w:r w:rsidRPr="00C80069">
        <w:rPr>
          <w:rFonts w:ascii="Times New Roman" w:hAnsi="Times New Roman"/>
          <w:noProof/>
          <w:sz w:val="24"/>
          <w:lang w:val="fr-BE"/>
        </w:rPr>
        <w:t xml:space="preserve">, il convient également d’approuver les propositions relatives aux plantes obtenues par certaines nouvelles techniques génomiques et à l’utilisation durable des produits phytopharmaceutiques. Pour nous rapprocher d’une </w:t>
      </w:r>
      <w:r w:rsidRPr="00C80069">
        <w:rPr>
          <w:rFonts w:ascii="Times New Roman" w:hAnsi="Times New Roman"/>
          <w:b/>
          <w:bCs/>
          <w:noProof/>
          <w:sz w:val="24"/>
          <w:lang w:val="fr-BE"/>
        </w:rPr>
        <w:t>véritable économie circulaire</w:t>
      </w:r>
      <w:r w:rsidRPr="00C80069">
        <w:rPr>
          <w:rFonts w:ascii="Times New Roman" w:hAnsi="Times New Roman"/>
          <w:noProof/>
          <w:sz w:val="24"/>
          <w:lang w:val="fr-BE"/>
        </w:rPr>
        <w:t xml:space="preserve">, nous avons besoin d’un accord rapide sur les exigences en matière d’écoconception applicables aux produits durables, aux déchets et aux emballages, au transfert des déchets et à la réparation des biens. Pour </w:t>
      </w:r>
      <w:r w:rsidRPr="00C80069">
        <w:rPr>
          <w:rFonts w:ascii="Times New Roman" w:hAnsi="Times New Roman"/>
          <w:b/>
          <w:bCs/>
          <w:noProof/>
          <w:sz w:val="24"/>
          <w:lang w:val="fr-BE"/>
        </w:rPr>
        <w:t>progresser vers une pollution zéro et pour protéger et restaurer notre nature</w:t>
      </w:r>
      <w:r w:rsidRPr="00C80069">
        <w:rPr>
          <w:rFonts w:ascii="Times New Roman" w:hAnsi="Times New Roman"/>
          <w:noProof/>
          <w:sz w:val="24"/>
          <w:lang w:val="fr-BE"/>
        </w:rPr>
        <w:t xml:space="preserve">, nous devrons transposer dans la législation les propositions relatives à la restauration de la nature, à la classification, à l’étiquetage et à l’emballage des produits chimiques, à la qualité de l’air, au traitement des eaux urbaines résiduaires et à la protection des eaux de surface et des eaux souterraines. </w:t>
      </w:r>
    </w:p>
    <w:p w14:paraId="60BF028B" w14:textId="77777777" w:rsidR="00C80069" w:rsidRPr="00C80069" w:rsidRDefault="00C80069" w:rsidP="00C80069">
      <w:pPr>
        <w:spacing w:line="257" w:lineRule="auto"/>
        <w:jc w:val="both"/>
        <w:rPr>
          <w:rFonts w:ascii="Times New Roman" w:eastAsia="Times New Roman" w:hAnsi="Times New Roman" w:cs="Times New Roman"/>
          <w:noProof/>
          <w:sz w:val="24"/>
          <w:szCs w:val="24"/>
          <w:lang w:val="fr-BE"/>
        </w:rPr>
      </w:pPr>
      <w:r w:rsidRPr="00C80069">
        <w:rPr>
          <w:rFonts w:ascii="Times New Roman" w:hAnsi="Times New Roman"/>
          <w:noProof/>
          <w:sz w:val="24"/>
          <w:lang w:val="fr-BE"/>
        </w:rPr>
        <w:t xml:space="preserve">La Commission lancera le processus visant à établir un </w:t>
      </w:r>
      <w:r w:rsidRPr="00C80069">
        <w:rPr>
          <w:rFonts w:ascii="Times New Roman" w:hAnsi="Times New Roman"/>
          <w:b/>
          <w:bCs/>
          <w:noProof/>
          <w:sz w:val="24"/>
          <w:lang w:val="fr-BE"/>
        </w:rPr>
        <w:t>objectif climatique à l’horizon 2040</w:t>
      </w:r>
      <w:r w:rsidRPr="00C80069">
        <w:rPr>
          <w:rFonts w:ascii="Times New Roman" w:hAnsi="Times New Roman"/>
          <w:noProof/>
          <w:sz w:val="24"/>
          <w:lang w:val="fr-BE"/>
        </w:rPr>
        <w:t xml:space="preserve">, afin de maintenir l’UE sur la voie de la neutralité climatique d’ici à 2050. Elle présentera le </w:t>
      </w:r>
      <w:r w:rsidRPr="00C80069">
        <w:rPr>
          <w:rFonts w:ascii="Times New Roman" w:hAnsi="Times New Roman"/>
          <w:b/>
          <w:bCs/>
          <w:noProof/>
          <w:sz w:val="24"/>
          <w:lang w:val="fr-BE"/>
        </w:rPr>
        <w:t>train de mesures européennes sur l’énergie éolienne</w:t>
      </w:r>
      <w:r w:rsidRPr="00C80069">
        <w:rPr>
          <w:rFonts w:ascii="Times New Roman" w:hAnsi="Times New Roman"/>
          <w:noProof/>
          <w:sz w:val="24"/>
          <w:lang w:val="fr-BE"/>
        </w:rPr>
        <w:t xml:space="preserve"> afin d’accélérer le déploiement des éoliennes, d’améliorer l’accès au financement et de soutenir la compétitivité internationale de l’industrie européenne. Nous présenterons une initiative sur la </w:t>
      </w:r>
      <w:r w:rsidRPr="00C80069">
        <w:rPr>
          <w:rFonts w:ascii="Times New Roman" w:hAnsi="Times New Roman"/>
          <w:b/>
          <w:bCs/>
          <w:noProof/>
          <w:sz w:val="24"/>
          <w:lang w:val="fr-BE"/>
        </w:rPr>
        <w:t>gestion industrielle du carbone</w:t>
      </w:r>
      <w:r w:rsidRPr="00C80069">
        <w:rPr>
          <w:rFonts w:ascii="Times New Roman" w:hAnsi="Times New Roman"/>
          <w:noProof/>
          <w:sz w:val="24"/>
          <w:lang w:val="fr-BE"/>
        </w:rPr>
        <w:t xml:space="preserve"> définissant une stratégie pour un déploiement durable sur le plan écologique du captage, de l’utilisation et du stockage du carbone dans l’UE, compte tenu de son importance pour parvenir à la neutralité carbone. Nous adopterons une initiative sur la </w:t>
      </w:r>
      <w:r w:rsidRPr="00C80069">
        <w:rPr>
          <w:rFonts w:ascii="Times New Roman" w:hAnsi="Times New Roman"/>
          <w:b/>
          <w:bCs/>
          <w:noProof/>
          <w:sz w:val="24"/>
          <w:lang w:val="fr-BE"/>
        </w:rPr>
        <w:t>résilience dans le domaine de l’eau</w:t>
      </w:r>
      <w:r w:rsidRPr="00C80069">
        <w:rPr>
          <w:rFonts w:ascii="Times New Roman" w:hAnsi="Times New Roman"/>
          <w:noProof/>
          <w:sz w:val="24"/>
          <w:lang w:val="fr-BE"/>
        </w:rPr>
        <w:t xml:space="preserve"> afin de garantir l’accès à l’eau pour les citoyens, la nature et l’économie, tout en luttant contre les inondations catastrophiques et les pénuries d’eau, ainsi qu’une initiative visant à définir et à évaluer la meilleure manière de gérer les risques climatiques dans l’ensemble des domaines d’action de l’UE.</w:t>
      </w:r>
    </w:p>
    <w:p w14:paraId="31180FC6" w14:textId="77777777" w:rsidR="00AE6EDA" w:rsidRPr="00AE6EDA" w:rsidRDefault="00AE6EDA" w:rsidP="00AE6EDA">
      <w:pPr>
        <w:pStyle w:val="ListParagraph"/>
        <w:numPr>
          <w:ilvl w:val="1"/>
          <w:numId w:val="1"/>
        </w:numPr>
        <w:rPr>
          <w:rFonts w:ascii="Times New Roman" w:eastAsia="Times New Roman" w:hAnsi="Times New Roman" w:cs="Times New Roman"/>
          <w:b/>
          <w:bCs/>
          <w:noProof/>
          <w:sz w:val="24"/>
          <w:szCs w:val="24"/>
          <w:lang w:val="fr-BE"/>
        </w:rPr>
      </w:pPr>
      <w:r w:rsidRPr="00AE6EDA">
        <w:rPr>
          <w:rFonts w:ascii="Times New Roman" w:hAnsi="Times New Roman"/>
          <w:b/>
          <w:noProof/>
          <w:sz w:val="24"/>
          <w:lang w:val="fr-BE"/>
        </w:rPr>
        <w:t>Une Europe adaptée à l’ère du numérique</w:t>
      </w:r>
    </w:p>
    <w:p w14:paraId="0321F64D"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En faisant des années 2020 la décennie numérique dotée d'objectifs numériques clairs, l’UE et ses États membres ont tracé la voie pour améliorer les compétences numériques, numériser l’administration et les entreprises, stimuler la recherche et l’innovation, combler le fossé numérique et moderniser notre infrastructure numérique.</w:t>
      </w:r>
      <w:r w:rsidRPr="00AE6EDA">
        <w:rPr>
          <w:rFonts w:ascii="Times New Roman" w:hAnsi="Times New Roman"/>
          <w:b/>
          <w:noProof/>
          <w:sz w:val="24"/>
          <w:lang w:val="fr-BE"/>
        </w:rPr>
        <w:t xml:space="preserve"> </w:t>
      </w:r>
      <w:r w:rsidRPr="00AE6EDA">
        <w:rPr>
          <w:rFonts w:ascii="Times New Roman" w:hAnsi="Times New Roman"/>
          <w:noProof/>
          <w:sz w:val="24"/>
          <w:lang w:val="fr-BE"/>
        </w:rPr>
        <w:t>Dans le même temps, l’UE est à la pointe en ce qui concerne la gestion des risques liés à notre avenir numérique.</w:t>
      </w:r>
      <w:r w:rsidRPr="00AE6EDA">
        <w:rPr>
          <w:rFonts w:ascii="Times New Roman" w:hAnsi="Times New Roman"/>
          <w:b/>
          <w:noProof/>
          <w:sz w:val="24"/>
          <w:lang w:val="fr-BE"/>
        </w:rPr>
        <w:t xml:space="preserve"> </w:t>
      </w:r>
      <w:r w:rsidRPr="00AE6EDA">
        <w:rPr>
          <w:rFonts w:ascii="Times New Roman" w:hAnsi="Times New Roman"/>
          <w:noProof/>
          <w:sz w:val="24"/>
          <w:lang w:val="fr-BE"/>
        </w:rPr>
        <w:t xml:space="preserve">Avec le </w:t>
      </w:r>
      <w:r w:rsidRPr="00AE6EDA">
        <w:rPr>
          <w:rFonts w:ascii="Times New Roman" w:hAnsi="Times New Roman"/>
          <w:b/>
          <w:noProof/>
          <w:sz w:val="24"/>
          <w:lang w:val="fr-BE"/>
        </w:rPr>
        <w:t>règlement sur les marchés numériques</w:t>
      </w:r>
      <w:r w:rsidRPr="00AE6EDA">
        <w:rPr>
          <w:rFonts w:ascii="Times New Roman" w:hAnsi="Times New Roman"/>
          <w:noProof/>
          <w:sz w:val="24"/>
          <w:lang w:val="fr-BE"/>
        </w:rPr>
        <w:t xml:space="preserve"> et le </w:t>
      </w:r>
      <w:r w:rsidRPr="00AE6EDA">
        <w:rPr>
          <w:rFonts w:ascii="Times New Roman" w:hAnsi="Times New Roman"/>
          <w:b/>
          <w:noProof/>
          <w:sz w:val="24"/>
          <w:lang w:val="fr-BE"/>
        </w:rPr>
        <w:t>règlement sur les services numériques</w:t>
      </w:r>
      <w:r w:rsidRPr="00AE6EDA">
        <w:rPr>
          <w:rFonts w:ascii="Times New Roman" w:hAnsi="Times New Roman"/>
          <w:noProof/>
          <w:sz w:val="24"/>
          <w:lang w:val="fr-BE"/>
        </w:rPr>
        <w:t>, nous avons jeté des bases solides pour rendre notre marché unique équitable, compétitif, favorable aux consommateurs et sûr dans le domaine numérique, en particulier pour les enfants.</w:t>
      </w:r>
    </w:p>
    <w:p w14:paraId="48F29381"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Bien que de nombreux progrès aient été accomplis, des efforts restent nécessaires pour parvenir à un accord sur les initiatives clés en suspens qui renforceront la stratégie numérique et la résilience de l’Europe. Le </w:t>
      </w:r>
      <w:r w:rsidRPr="00AE6EDA">
        <w:rPr>
          <w:rFonts w:ascii="Times New Roman" w:hAnsi="Times New Roman"/>
          <w:b/>
          <w:noProof/>
          <w:sz w:val="24"/>
          <w:lang w:val="fr-BE"/>
        </w:rPr>
        <w:t>règlement sur les matières premières critiques</w:t>
      </w:r>
      <w:r w:rsidRPr="00AE6EDA">
        <w:rPr>
          <w:rFonts w:ascii="Times New Roman" w:hAnsi="Times New Roman"/>
          <w:noProof/>
          <w:sz w:val="24"/>
          <w:lang w:val="fr-BE"/>
        </w:rPr>
        <w:t xml:space="preserve"> permettra à l’Europe de soutenir les approvisionnements intérieurs, notamment en renforçant les capacités de raffinage et de recyclage, de diversifier les importations de ces matières critiques et d’inciter notre industrie à mieux gérer les risques pour la sécurité de l’approvisionnement, tout en restant compétitive. Les dispositions s’appuieront sur les points forts du marché unique pour stimuler des pratiques plus durables et circulaires et permettront également des achats communs de matières premières sur une plateforme spécifique. Nombre de nos partenaires du monde entier souhaitent travailler ensemble et développer des industries locales de transformation et de raffinage afin de renforcer les chaînes d’approvisionnement mondiales en matières premières. C’est pourquoi la première réunion du nouveau </w:t>
      </w:r>
      <w:r w:rsidRPr="00AE6EDA">
        <w:rPr>
          <w:rFonts w:ascii="Times New Roman" w:hAnsi="Times New Roman"/>
          <w:b/>
          <w:noProof/>
          <w:sz w:val="24"/>
          <w:lang w:val="fr-BE"/>
        </w:rPr>
        <w:t>club des matières premières critiques</w:t>
      </w:r>
      <w:r w:rsidRPr="00AE6EDA">
        <w:rPr>
          <w:rFonts w:ascii="Times New Roman" w:hAnsi="Times New Roman"/>
          <w:noProof/>
          <w:sz w:val="24"/>
          <w:lang w:val="fr-BE"/>
        </w:rPr>
        <w:t xml:space="preserve"> se tiendra plus tard cette année. Nous adopterons également un </w:t>
      </w:r>
      <w:r w:rsidRPr="00AE6EDA">
        <w:rPr>
          <w:rFonts w:ascii="Times New Roman" w:hAnsi="Times New Roman"/>
          <w:b/>
          <w:noProof/>
          <w:sz w:val="24"/>
          <w:lang w:val="fr-BE"/>
        </w:rPr>
        <w:t>plan relatif aux matériaux avancés pour assurer la primauté industrielle</w:t>
      </w:r>
      <w:r w:rsidRPr="00AE6EDA">
        <w:rPr>
          <w:rFonts w:ascii="Times New Roman" w:hAnsi="Times New Roman"/>
          <w:noProof/>
          <w:sz w:val="24"/>
          <w:lang w:val="fr-BE"/>
        </w:rPr>
        <w:t xml:space="preserve"> qui, en collaboration avec les États membres, vise à accélérer le développement de matériaux avancés sûrs, durables et circulaires et leur adoption par l'industrie au bénéfice de la transition écologique et numérique.</w:t>
      </w:r>
    </w:p>
    <w:p w14:paraId="1D11AA2A"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Le </w:t>
      </w:r>
      <w:r w:rsidRPr="00AE6EDA">
        <w:rPr>
          <w:rFonts w:ascii="Times New Roman" w:hAnsi="Times New Roman"/>
          <w:b/>
          <w:noProof/>
          <w:sz w:val="24"/>
          <w:lang w:val="fr-BE"/>
        </w:rPr>
        <w:t>règlement pour une industrie «zéro net»</w:t>
      </w:r>
      <w:r w:rsidRPr="00AE6EDA">
        <w:rPr>
          <w:rFonts w:ascii="Times New Roman" w:hAnsi="Times New Roman"/>
          <w:noProof/>
          <w:sz w:val="24"/>
          <w:lang w:val="fr-BE"/>
        </w:rPr>
        <w:t xml:space="preserve"> aidera l’industrie européenne à développer et à adopter les technologies innovantes et stratégiques nécessaires dans une économie à zéro émission nette, comme les éoliennes, les pompes à chaleur, les panneaux solaires, les électrolyseurs, les technologies nucléaires et le stockage du CO</w:t>
      </w:r>
      <w:r w:rsidRPr="00AE6EDA">
        <w:rPr>
          <w:rFonts w:ascii="Times New Roman" w:hAnsi="Times New Roman"/>
          <w:noProof/>
          <w:sz w:val="24"/>
          <w:vertAlign w:val="subscript"/>
          <w:lang w:val="fr-BE"/>
        </w:rPr>
        <w:t>2</w:t>
      </w:r>
      <w:r w:rsidRPr="00AE6EDA">
        <w:rPr>
          <w:rFonts w:ascii="Times New Roman" w:hAnsi="Times New Roman"/>
          <w:noProof/>
          <w:sz w:val="24"/>
          <w:lang w:val="fr-BE"/>
        </w:rPr>
        <w:t>. La demande augmente, tant en Europe qu’au niveau mondial, et nous agissons maintenant pour faire en sorte que les approvisionnements européens puissent y répondre davantage.</w:t>
      </w:r>
    </w:p>
    <w:p w14:paraId="49B9BFC2"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Nous devons également progresser en ce qui concerne l’</w:t>
      </w:r>
      <w:r w:rsidRPr="00AE6EDA">
        <w:rPr>
          <w:rFonts w:ascii="Times New Roman" w:hAnsi="Times New Roman"/>
          <w:b/>
          <w:noProof/>
          <w:sz w:val="24"/>
          <w:lang w:val="fr-BE"/>
        </w:rPr>
        <w:t>instrument du marché unique pour les situations d’urgence</w:t>
      </w:r>
      <w:r w:rsidRPr="00AE6EDA">
        <w:rPr>
          <w:rFonts w:ascii="Times New Roman" w:hAnsi="Times New Roman"/>
          <w:noProof/>
          <w:sz w:val="24"/>
          <w:lang w:val="fr-BE"/>
        </w:rPr>
        <w:t>, afin de contribuer à préserver la libre circulation des biens, des services et des personnes ainsi que la disponibilité des biens et services vitaux en cas de futures perturbations imprévues.</w:t>
      </w:r>
    </w:p>
    <w:p w14:paraId="75FE5FA6" w14:textId="77777777" w:rsidR="00AE6EDA" w:rsidRPr="00AE6EDA" w:rsidRDefault="00AE6EDA" w:rsidP="00AE6EDA">
      <w:pPr>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Le </w:t>
      </w:r>
      <w:r w:rsidRPr="00AE6EDA">
        <w:rPr>
          <w:rFonts w:ascii="Times New Roman" w:hAnsi="Times New Roman"/>
          <w:b/>
          <w:noProof/>
          <w:sz w:val="24"/>
          <w:lang w:val="fr-BE"/>
        </w:rPr>
        <w:t>train de mesures de soutien aux PME</w:t>
      </w:r>
      <w:r w:rsidRPr="00AE6EDA">
        <w:rPr>
          <w:rFonts w:ascii="Times New Roman" w:hAnsi="Times New Roman"/>
          <w:noProof/>
          <w:sz w:val="24"/>
          <w:lang w:val="fr-BE"/>
        </w:rPr>
        <w:t xml:space="preserve">, qui comprend une </w:t>
      </w:r>
      <w:r w:rsidRPr="00AE6EDA">
        <w:rPr>
          <w:rFonts w:ascii="Times New Roman" w:hAnsi="Times New Roman"/>
          <w:b/>
          <w:noProof/>
          <w:sz w:val="24"/>
          <w:lang w:val="fr-BE"/>
        </w:rPr>
        <w:t>révision de la directive sur le retard de paiement</w:t>
      </w:r>
      <w:r w:rsidRPr="00AE6EDA">
        <w:rPr>
          <w:rFonts w:ascii="Times New Roman" w:hAnsi="Times New Roman"/>
          <w:noProof/>
          <w:sz w:val="24"/>
          <w:lang w:val="fr-BE"/>
        </w:rPr>
        <w:t xml:space="preserve"> et la simplification fiscale établissant un </w:t>
      </w:r>
      <w:r w:rsidRPr="00AE6EDA">
        <w:rPr>
          <w:rFonts w:ascii="Times New Roman" w:hAnsi="Times New Roman"/>
          <w:b/>
          <w:noProof/>
          <w:sz w:val="24"/>
          <w:lang w:val="fr-BE"/>
        </w:rPr>
        <w:t>régime de taxation en fonction du siège social</w:t>
      </w:r>
      <w:r w:rsidRPr="00AE6EDA">
        <w:rPr>
          <w:rFonts w:ascii="Times New Roman" w:hAnsi="Times New Roman"/>
          <w:noProof/>
          <w:sz w:val="24"/>
          <w:lang w:val="fr-BE"/>
        </w:rPr>
        <w:t>, est destiné à soutenir davantage les petites et moyennes entreprises européennes, qui constituent l’épine dorsale de notre économie.</w:t>
      </w:r>
      <w:r w:rsidRPr="00AE6EDA">
        <w:rPr>
          <w:rFonts w:ascii="Times New Roman" w:hAnsi="Times New Roman"/>
          <w:noProof/>
          <w:color w:val="FF0000"/>
          <w:sz w:val="24"/>
          <w:lang w:val="fr-BE"/>
        </w:rPr>
        <w:t xml:space="preserve"> </w:t>
      </w:r>
    </w:p>
    <w:p w14:paraId="3AA84BE8"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Les propositions en suspens sur l’</w:t>
      </w:r>
      <w:r w:rsidRPr="00AE6EDA">
        <w:rPr>
          <w:rFonts w:ascii="Times New Roman" w:hAnsi="Times New Roman"/>
          <w:b/>
          <w:noProof/>
          <w:sz w:val="24"/>
          <w:lang w:val="fr-BE"/>
        </w:rPr>
        <w:t>intelligence artificielle</w:t>
      </w:r>
      <w:r w:rsidRPr="00AE6EDA">
        <w:rPr>
          <w:rFonts w:ascii="Times New Roman" w:hAnsi="Times New Roman"/>
          <w:noProof/>
          <w:sz w:val="24"/>
          <w:lang w:val="fr-BE"/>
        </w:rPr>
        <w:t xml:space="preserve"> (IA)</w:t>
      </w:r>
      <w:r w:rsidRPr="00AE6EDA">
        <w:rPr>
          <w:rFonts w:ascii="Times New Roman" w:hAnsi="Times New Roman"/>
          <w:b/>
          <w:noProof/>
          <w:sz w:val="24"/>
          <w:lang w:val="fr-BE"/>
        </w:rPr>
        <w:t xml:space="preserve"> </w:t>
      </w:r>
      <w:r w:rsidRPr="00AE6EDA">
        <w:rPr>
          <w:rFonts w:ascii="Times New Roman" w:hAnsi="Times New Roman"/>
          <w:noProof/>
          <w:sz w:val="24"/>
          <w:lang w:val="fr-BE"/>
        </w:rPr>
        <w:t>sont essentielles à l’application sûre et bénéfique d’une technologie qui a évolué à une vitesse spectaculaire au cours des dernières années. La fenêtre d’opportunité pour faire en sorte que cette technologie se développe de manière responsable se réduit.</w:t>
      </w:r>
    </w:p>
    <w:p w14:paraId="6574CCA2" w14:textId="77777777" w:rsidR="00AE6EDA" w:rsidRPr="00AE6EDA" w:rsidRDefault="00AE6EDA" w:rsidP="00AE6EDA">
      <w:pPr>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En plus de nos efforts concertés avec nos partenaires internationaux pour renforcer la gouvernance mondiale de l’IA, nous </w:t>
      </w:r>
      <w:r w:rsidRPr="00AE6EDA">
        <w:rPr>
          <w:rFonts w:ascii="Times New Roman" w:hAnsi="Times New Roman"/>
          <w:b/>
          <w:noProof/>
          <w:sz w:val="24"/>
          <w:lang w:val="fr-BE"/>
        </w:rPr>
        <w:t>ouvrirons nos ordinateurs à haute performance aux jeunes pousses de l’IA</w:t>
      </w:r>
      <w:r w:rsidRPr="00AE6EDA">
        <w:rPr>
          <w:rFonts w:ascii="Times New Roman" w:hAnsi="Times New Roman"/>
          <w:noProof/>
          <w:sz w:val="24"/>
          <w:lang w:val="fr-BE"/>
        </w:rPr>
        <w:t xml:space="preserve"> afin de faciliter l’innovation européenne. Les programmes européens de satellites Copernicus, EGNOS et Galileo apportent déjà d’innombrables avantages à notre économie et à nos sociétés et jouent un rôle central pour comprendre le changement climatique, s'y préparer et le combattre. En outre, IRIS</w:t>
      </w:r>
      <w:r w:rsidRPr="00AE6EDA">
        <w:rPr>
          <w:rFonts w:ascii="Times New Roman" w:hAnsi="Times New Roman"/>
          <w:noProof/>
          <w:sz w:val="24"/>
          <w:vertAlign w:val="superscript"/>
          <w:lang w:val="fr-BE"/>
        </w:rPr>
        <w:t>2</w:t>
      </w:r>
      <w:r w:rsidRPr="00AE6EDA">
        <w:rPr>
          <w:rFonts w:ascii="Times New Roman" w:hAnsi="Times New Roman"/>
          <w:noProof/>
          <w:sz w:val="24"/>
          <w:lang w:val="fr-BE"/>
        </w:rPr>
        <w:t xml:space="preserve"> mettra sur pied des infrastructures critiques pour une connectivité sécurisée, avec des applications de défense importantes.</w:t>
      </w:r>
    </w:p>
    <w:p w14:paraId="4CDB5C63" w14:textId="77777777" w:rsidR="00AE6EDA" w:rsidRPr="00AE6EDA" w:rsidRDefault="00AE6EDA" w:rsidP="00AE6EDA">
      <w:pPr>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Des investissements importants dans les réseaux numériques sont nécessaires pour atteindre nos objectifs de la décennie numérique pour 2030. À la suite de la récente consultation exploratoire, nous préparerons le terrain pour de possibles actions stratégiques et réglementaires concernant </w:t>
      </w:r>
      <w:r w:rsidRPr="00AE6EDA">
        <w:rPr>
          <w:rFonts w:ascii="Times New Roman" w:hAnsi="Times New Roman"/>
          <w:b/>
          <w:noProof/>
          <w:sz w:val="24"/>
          <w:lang w:val="fr-BE"/>
        </w:rPr>
        <w:t>les réseaux et les infrastructures numériques</w:t>
      </w:r>
      <w:r w:rsidRPr="00AE6EDA">
        <w:rPr>
          <w:rFonts w:ascii="Times New Roman" w:hAnsi="Times New Roman"/>
          <w:noProof/>
          <w:sz w:val="24"/>
          <w:lang w:val="fr-BE"/>
        </w:rPr>
        <w:t>, notamment pour encourager les opérateurs d’infrastructures transfrontières au sein du marché unique, accélérer le déploiement des technologies et attirer davantage de capitaux dans les réseaux.</w:t>
      </w:r>
    </w:p>
    <w:p w14:paraId="16740D45"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L'industrie spatiale gagne en importance pour l’observation de la Terre et les produits et services connectés modernes, ainsi que pour la défense et la sécurité. La </w:t>
      </w:r>
      <w:r w:rsidRPr="00AE6EDA">
        <w:rPr>
          <w:rFonts w:ascii="Times New Roman" w:hAnsi="Times New Roman"/>
          <w:b/>
          <w:noProof/>
          <w:sz w:val="24"/>
          <w:lang w:val="fr-BE"/>
        </w:rPr>
        <w:t>stratégie spatiale pour la sécurité et la défense</w:t>
      </w:r>
      <w:r>
        <w:rPr>
          <w:rStyle w:val="FootnoteReference"/>
          <w:rFonts w:ascii="Times New Roman" w:hAnsi="Times New Roman" w:cs="Times New Roman"/>
          <w:noProof/>
          <w:sz w:val="24"/>
          <w:szCs w:val="24"/>
        </w:rPr>
        <w:footnoteReference w:id="9"/>
      </w:r>
      <w:r w:rsidRPr="00AE6EDA">
        <w:rPr>
          <w:rFonts w:ascii="Times New Roman" w:hAnsi="Times New Roman"/>
          <w:b/>
          <w:noProof/>
          <w:sz w:val="24"/>
          <w:lang w:val="fr-BE"/>
        </w:rPr>
        <w:t xml:space="preserve"> </w:t>
      </w:r>
      <w:r w:rsidRPr="00AE6EDA">
        <w:rPr>
          <w:rFonts w:ascii="Times New Roman" w:hAnsi="Times New Roman"/>
          <w:noProof/>
          <w:sz w:val="24"/>
          <w:lang w:val="fr-BE"/>
        </w:rPr>
        <w:t xml:space="preserve">2023 vise à améliorer la résilience des infrastructures spatiales et des capacités spatiales de l’UE à l’appui de la sécurité et de la défense, et à promouvoir des partenariats pour un comportement responsable dans l’espace extra-atmosphérique. En 2024, nous proposerons une </w:t>
      </w:r>
      <w:r w:rsidRPr="00AE6EDA">
        <w:rPr>
          <w:rFonts w:ascii="Times New Roman" w:hAnsi="Times New Roman"/>
          <w:b/>
          <w:noProof/>
          <w:sz w:val="24"/>
          <w:lang w:val="fr-BE"/>
        </w:rPr>
        <w:t>législation spatiale de l’UE</w:t>
      </w:r>
      <w:r w:rsidRPr="00AE6EDA">
        <w:rPr>
          <w:rFonts w:ascii="Times New Roman" w:hAnsi="Times New Roman"/>
          <w:noProof/>
          <w:sz w:val="24"/>
          <w:lang w:val="fr-BE"/>
        </w:rPr>
        <w:t xml:space="preserve"> qui fixera des règles, par exemple, en matière de gestion du trafic spatial, mais aussi sur la manière dont nous garantirons la sécurité de nos infrastructures spatiales critiques. Elle sera complétée par une </w:t>
      </w:r>
      <w:r w:rsidRPr="00AE6EDA">
        <w:rPr>
          <w:rFonts w:ascii="Times New Roman" w:hAnsi="Times New Roman"/>
          <w:b/>
          <w:noProof/>
          <w:sz w:val="24"/>
          <w:lang w:val="fr-BE"/>
        </w:rPr>
        <w:t>stratégie relative à une économie fondée sur les données spatiales</w:t>
      </w:r>
      <w:r w:rsidRPr="00AE6EDA">
        <w:rPr>
          <w:rFonts w:ascii="Times New Roman" w:hAnsi="Times New Roman"/>
          <w:noProof/>
          <w:sz w:val="24"/>
          <w:lang w:val="fr-BE"/>
        </w:rPr>
        <w:t xml:space="preserve"> afin d'accroître l’utilisation des données spatiales dans les différents secteurs économiques. </w:t>
      </w:r>
    </w:p>
    <w:p w14:paraId="7D2DD898" w14:textId="77777777" w:rsidR="00AE6EDA" w:rsidRPr="00AE6EDA" w:rsidRDefault="00AE6EDA" w:rsidP="00AE6EDA">
      <w:pPr>
        <w:pStyle w:val="ListParagraph"/>
        <w:numPr>
          <w:ilvl w:val="1"/>
          <w:numId w:val="1"/>
        </w:numPr>
        <w:rPr>
          <w:rFonts w:ascii="Times New Roman" w:eastAsia="Times New Roman" w:hAnsi="Times New Roman" w:cs="Times New Roman"/>
          <w:b/>
          <w:bCs/>
          <w:noProof/>
          <w:sz w:val="24"/>
          <w:szCs w:val="24"/>
          <w:lang w:val="fr-BE"/>
        </w:rPr>
      </w:pPr>
      <w:r w:rsidRPr="00AE6EDA">
        <w:rPr>
          <w:rFonts w:ascii="Times New Roman" w:hAnsi="Times New Roman"/>
          <w:b/>
          <w:noProof/>
          <w:sz w:val="24"/>
          <w:lang w:val="fr-BE"/>
        </w:rPr>
        <w:t>Une économie au service des personnes</w:t>
      </w:r>
    </w:p>
    <w:p w14:paraId="62DB38D3"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L’</w:t>
      </w:r>
      <w:r w:rsidRPr="00AE6EDA">
        <w:rPr>
          <w:rFonts w:ascii="Times New Roman" w:hAnsi="Times New Roman"/>
          <w:b/>
          <w:noProof/>
          <w:sz w:val="24"/>
          <w:lang w:val="fr-BE"/>
        </w:rPr>
        <w:t>économie de l’UE a fait preuve de résilience</w:t>
      </w:r>
      <w:r w:rsidRPr="00AE6EDA">
        <w:rPr>
          <w:rFonts w:ascii="Times New Roman" w:hAnsi="Times New Roman"/>
          <w:noProof/>
          <w:sz w:val="24"/>
          <w:lang w:val="fr-BE"/>
        </w:rPr>
        <w:t xml:space="preserve"> face à une série de crises sans précédent. Elle a été confrontée aux conséquences socio-économiques tant de la pandémie mondiale de COVID-19 que de la guerre d’agression menée par la Russie contre l’Ukraine. Toutefois, elle est confrontée à d’importants défis en matière de compétitivité, qui feront l'objet d’un rapport à venir de Mario Draghi. En présentant des réformes visant à garantir la prospérité économique et la compétitivité à long terme de l’UE tout en assurant la pleine mise en œuvre du socle européen des droits sociaux, nous avons </w:t>
      </w:r>
      <w:r w:rsidRPr="00AE6EDA">
        <w:rPr>
          <w:rFonts w:ascii="Times New Roman" w:hAnsi="Times New Roman"/>
          <w:b/>
          <w:noProof/>
          <w:sz w:val="24"/>
          <w:lang w:val="fr-BE"/>
        </w:rPr>
        <w:t>renforcé l’économie sociale de marché unique de l’UE</w:t>
      </w:r>
      <w:r w:rsidRPr="00AE6EDA">
        <w:rPr>
          <w:rFonts w:ascii="Times New Roman" w:hAnsi="Times New Roman"/>
          <w:noProof/>
          <w:sz w:val="24"/>
          <w:lang w:val="fr-BE"/>
        </w:rPr>
        <w:t xml:space="preserve">. </w:t>
      </w:r>
    </w:p>
    <w:p w14:paraId="0F1FEF5D" w14:textId="77777777" w:rsidR="00AE6EDA" w:rsidRPr="00AE6EDA" w:rsidRDefault="00AE6EDA" w:rsidP="00AE6EDA">
      <w:pPr>
        <w:jc w:val="both"/>
        <w:rPr>
          <w:rFonts w:ascii="Times New Roman" w:eastAsia="Times New Roman" w:hAnsi="Times New Roman" w:cs="Times New Roman"/>
          <w:noProof/>
          <w:color w:val="000000" w:themeColor="text1"/>
          <w:sz w:val="24"/>
          <w:szCs w:val="24"/>
          <w:lang w:val="fr-BE"/>
        </w:rPr>
      </w:pPr>
      <w:r w:rsidRPr="00AE6EDA">
        <w:rPr>
          <w:rFonts w:ascii="Times New Roman" w:hAnsi="Times New Roman"/>
          <w:noProof/>
          <w:sz w:val="24"/>
          <w:lang w:val="fr-BE"/>
        </w:rPr>
        <w:t>Il est impératif de parvenir à un accord sur les propositions en suspens pour approfondir notre marché unique, qui constitue le fondement de la compétitivité durable de l’UE. À cet égard, nous devons continuer à faire progresser l’</w:t>
      </w:r>
      <w:r w:rsidRPr="00AE6EDA">
        <w:rPr>
          <w:rFonts w:ascii="Times New Roman" w:hAnsi="Times New Roman"/>
          <w:b/>
          <w:noProof/>
          <w:sz w:val="24"/>
          <w:lang w:val="fr-BE"/>
        </w:rPr>
        <w:t>union des marchés des capitaux</w:t>
      </w:r>
      <w:r w:rsidRPr="00AE6EDA">
        <w:rPr>
          <w:rFonts w:ascii="Times New Roman" w:hAnsi="Times New Roman"/>
          <w:noProof/>
          <w:sz w:val="24"/>
          <w:lang w:val="fr-BE"/>
        </w:rPr>
        <w:t xml:space="preserve"> en approuvant les propositions relatives à l’insolvabilité, à la compensation, à la simplification de l’accès des entreprises aux marchés publics des capitaux et au renforcement de la capacité d’investissement à long terme des compagnies d’assurance, ainsi que prendre de nouvelles mesures en vue d’une </w:t>
      </w:r>
      <w:r w:rsidRPr="00AE6EDA">
        <w:rPr>
          <w:rFonts w:ascii="Times New Roman" w:hAnsi="Times New Roman"/>
          <w:b/>
          <w:noProof/>
          <w:sz w:val="24"/>
          <w:lang w:val="fr-BE"/>
        </w:rPr>
        <w:t>union bancaire</w:t>
      </w:r>
      <w:r w:rsidRPr="00AE6EDA">
        <w:rPr>
          <w:rFonts w:ascii="Times New Roman" w:hAnsi="Times New Roman"/>
          <w:noProof/>
          <w:sz w:val="24"/>
          <w:lang w:val="fr-BE"/>
        </w:rPr>
        <w:t xml:space="preserve">, grâce à l’achèvement de la révision du cadre pour la gestion des crises et l’assurance des dépôts. </w:t>
      </w:r>
      <w:r w:rsidRPr="00AE6EDA">
        <w:rPr>
          <w:rFonts w:ascii="Times New Roman" w:hAnsi="Times New Roman"/>
          <w:noProof/>
          <w:color w:val="000000" w:themeColor="text1"/>
          <w:sz w:val="24"/>
          <w:lang w:val="fr-BE"/>
        </w:rPr>
        <w:t xml:space="preserve">En outre, nous </w:t>
      </w:r>
      <w:r w:rsidRPr="00AE6EDA">
        <w:rPr>
          <w:rFonts w:ascii="Times New Roman" w:hAnsi="Times New Roman"/>
          <w:noProof/>
          <w:sz w:val="24"/>
          <w:lang w:val="fr-BE"/>
        </w:rPr>
        <w:t>devons trouver un accord sur les nouvelles règles relatives aux procédures de retenue à la source, la proposition visant à prévenir l’utilisation abusive d’entités écrans à des fins fiscales</w:t>
      </w:r>
      <w:r w:rsidRPr="00AE6EDA">
        <w:rPr>
          <w:rFonts w:ascii="Times New Roman" w:hAnsi="Times New Roman"/>
          <w:noProof/>
          <w:color w:val="000000" w:themeColor="text1"/>
          <w:sz w:val="24"/>
          <w:lang w:val="fr-BE"/>
        </w:rPr>
        <w:t xml:space="preserve"> et une série de mesures visant à moderniser le système de taxe sur la valeur ajoutée (TVA) de l’UE et à le rendre plus résilient face à la fraude grâce à la numérisation. </w:t>
      </w:r>
    </w:p>
    <w:p w14:paraId="572E8E29" w14:textId="77777777" w:rsidR="00AE6EDA" w:rsidRPr="00AE6EDA" w:rsidRDefault="00AE6EDA" w:rsidP="00AE6EDA">
      <w:pPr>
        <w:jc w:val="both"/>
        <w:rPr>
          <w:rFonts w:ascii="Times New Roman" w:eastAsia="Times New Roman" w:hAnsi="Times New Roman" w:cs="Times New Roman"/>
          <w:noProof/>
          <w:color w:val="000000" w:themeColor="text1"/>
          <w:sz w:val="24"/>
          <w:szCs w:val="24"/>
          <w:lang w:val="fr-BE"/>
        </w:rPr>
      </w:pPr>
      <w:r w:rsidRPr="00AE6EDA">
        <w:rPr>
          <w:rFonts w:ascii="Times New Roman" w:hAnsi="Times New Roman"/>
          <w:noProof/>
          <w:sz w:val="24"/>
          <w:lang w:val="fr-BE"/>
        </w:rPr>
        <w:t xml:space="preserve">De plus, nous devons avancer sur la </w:t>
      </w:r>
      <w:r w:rsidRPr="00AE6EDA">
        <w:rPr>
          <w:rFonts w:ascii="Times New Roman" w:hAnsi="Times New Roman"/>
          <w:b/>
          <w:noProof/>
          <w:sz w:val="24"/>
          <w:lang w:val="fr-BE"/>
        </w:rPr>
        <w:t xml:space="preserve">proposition visant à améliorer la fiscalité des entreprises </w:t>
      </w:r>
      <w:r w:rsidRPr="00AE6EDA">
        <w:rPr>
          <w:rFonts w:ascii="Times New Roman" w:hAnsi="Times New Roman"/>
          <w:noProof/>
          <w:sz w:val="24"/>
          <w:lang w:val="fr-BE"/>
        </w:rPr>
        <w:t>(</w:t>
      </w:r>
      <w:r w:rsidRPr="00AE6EDA">
        <w:rPr>
          <w:rFonts w:ascii="Times New Roman" w:hAnsi="Times New Roman"/>
          <w:b/>
          <w:noProof/>
          <w:sz w:val="24"/>
          <w:lang w:val="fr-BE"/>
        </w:rPr>
        <w:t>BEFIT</w:t>
      </w:r>
      <w:r w:rsidRPr="00AE6EDA">
        <w:rPr>
          <w:rFonts w:ascii="Times New Roman" w:hAnsi="Times New Roman"/>
          <w:noProof/>
          <w:sz w:val="24"/>
          <w:lang w:val="fr-BE"/>
        </w:rPr>
        <w:t xml:space="preserve"> et prix de transfert) et la </w:t>
      </w:r>
      <w:r w:rsidRPr="00AE6EDA">
        <w:rPr>
          <w:rFonts w:ascii="Times New Roman" w:hAnsi="Times New Roman"/>
          <w:b/>
          <w:noProof/>
          <w:sz w:val="24"/>
          <w:lang w:val="fr-BE"/>
        </w:rPr>
        <w:t>réforme globale de l’union douanière de l’UE</w:t>
      </w:r>
      <w:r w:rsidRPr="00AE6EDA">
        <w:rPr>
          <w:rFonts w:ascii="Times New Roman" w:hAnsi="Times New Roman"/>
          <w:noProof/>
          <w:sz w:val="24"/>
          <w:lang w:val="fr-BE"/>
        </w:rPr>
        <w:t>. Dans le domaine de la finance numérique, nous devons avancer sur les propositions visant à améliorer les règles applicables aux services de paiement et à introduire un cadre sur l’accès aux données financières («finance ouverte»), et faire progresser les négociations sur la proposition établissant le cadre juridique pour un euro numérique.</w:t>
      </w:r>
    </w:p>
    <w:p w14:paraId="3010B0C2"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Des progrès significatifs ont été accomplis dans la mise en œuvre du </w:t>
      </w:r>
      <w:r w:rsidRPr="00AE6EDA">
        <w:rPr>
          <w:rFonts w:ascii="Times New Roman" w:hAnsi="Times New Roman"/>
          <w:b/>
          <w:noProof/>
          <w:sz w:val="24"/>
          <w:lang w:val="fr-BE"/>
        </w:rPr>
        <w:t>socle européen des droits sociaux</w:t>
      </w:r>
      <w:r w:rsidRPr="00AE6EDA">
        <w:rPr>
          <w:rFonts w:ascii="Times New Roman" w:hAnsi="Times New Roman"/>
          <w:noProof/>
          <w:sz w:val="24"/>
          <w:lang w:val="fr-BE"/>
        </w:rPr>
        <w:t xml:space="preserve"> grâce à son plan d’action et aux grands objectifs pour 2030. Des règles visant à améliorer les conditions du travail de plateforme et un cadre pour des salaires minimaux adéquats ont été proposés, tandis que l’Année européenne des compétences a donné lieu à un large éventail d’activités visant à remédier aux pénuries de compétences urgentes qui touchent plusieurs secteurs, comme l’Académie des compétences cyber, et le pacte pour les compétences a été établi. L’accès des jeunes au marché du travail a été facilité grâce à la garantie renforcée pour la jeunesse et à l’initiative à venir visant à mettre à jour notre cadre de qualité pour les stages. La garantie européenne pour l’enfance contribue à combattre et à prévenir l’exclusion sociale en garantissant aux enfants un accès effectif à un ensemble de services essentiels, y compris l’enseignement gratuit, les soins de santé gratuits, une alimentation saine et un logement adéquat.La Commission continuera d’aider les colégislateurs à trouver un accord sur la coordination des systèmes de sécurité sociale. </w:t>
      </w:r>
    </w:p>
    <w:p w14:paraId="0B59D19B"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En réponse à un rapport d’initiative législative du Parlement européen, la Commission présentera une initiative sur les </w:t>
      </w:r>
      <w:r w:rsidRPr="00AE6EDA">
        <w:rPr>
          <w:rFonts w:ascii="Times New Roman" w:hAnsi="Times New Roman"/>
          <w:b/>
          <w:noProof/>
          <w:sz w:val="24"/>
          <w:lang w:val="fr-BE"/>
        </w:rPr>
        <w:t>comités d’entreprise européens</w:t>
      </w:r>
      <w:r w:rsidRPr="00AE6EDA">
        <w:rPr>
          <w:rFonts w:ascii="Times New Roman" w:hAnsi="Times New Roman"/>
          <w:noProof/>
          <w:sz w:val="24"/>
          <w:lang w:val="fr-BE"/>
        </w:rPr>
        <w:t xml:space="preserve"> en 2024. </w:t>
      </w:r>
    </w:p>
    <w:p w14:paraId="0FCAD398"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Dans le prolongement du sommet de Val Duchesse, nous collaborerons avec les entreprises et les syndicats afin de </w:t>
      </w:r>
      <w:r w:rsidRPr="00AE6EDA">
        <w:rPr>
          <w:rFonts w:ascii="Times New Roman" w:hAnsi="Times New Roman"/>
          <w:b/>
          <w:noProof/>
          <w:sz w:val="24"/>
          <w:lang w:val="fr-BE"/>
        </w:rPr>
        <w:t>rendre notre marché du travail plus à l’épreuve du temps</w:t>
      </w:r>
      <w:r w:rsidRPr="00AE6EDA">
        <w:rPr>
          <w:rFonts w:ascii="Times New Roman" w:hAnsi="Times New Roman"/>
          <w:noProof/>
          <w:sz w:val="24"/>
          <w:lang w:val="fr-BE"/>
        </w:rPr>
        <w:t xml:space="preserve"> à la lumière des mutations profondes de la technologie, de la société et de la démographie. Nous nous appuierons sur la boîte à outils en matière de démographie pour contribuer à activer l’ensemble de notre capital humain. </w:t>
      </w:r>
    </w:p>
    <w:p w14:paraId="73242F1B"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Une initiative à venir contribuera à tirer pleinement parti des </w:t>
      </w:r>
      <w:r w:rsidRPr="00AE6EDA">
        <w:rPr>
          <w:rFonts w:ascii="Times New Roman" w:hAnsi="Times New Roman"/>
          <w:b/>
          <w:noProof/>
          <w:sz w:val="24"/>
          <w:lang w:val="fr-BE"/>
        </w:rPr>
        <w:t>biotechnologies et de la production de produits biologiques, qui sont essentielles pour la compétitivité</w:t>
      </w:r>
      <w:r w:rsidRPr="00AE6EDA">
        <w:rPr>
          <w:rFonts w:ascii="Times New Roman" w:hAnsi="Times New Roman"/>
          <w:noProof/>
          <w:sz w:val="24"/>
          <w:lang w:val="fr-BE"/>
        </w:rPr>
        <w:t xml:space="preserve"> et la modernisation de l’industrie de l’UE en raison de leur fort potentiel de croissance et de la productivité de leur main-d’œuvre. </w:t>
      </w:r>
    </w:p>
    <w:p w14:paraId="4E300430"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La Commission publiera également son neuvième rapport sur la cohésion, décrivant l’état de la cohésion sociale, économique et territoriale dans l’UE, et dressant le bilan des actions entreprises ces dernières années. </w:t>
      </w:r>
    </w:p>
    <w:p w14:paraId="231D7623" w14:textId="77777777" w:rsidR="00AE6EDA" w:rsidRPr="00AE6EDA" w:rsidRDefault="00AE6EDA" w:rsidP="00AE6EDA">
      <w:pPr>
        <w:pStyle w:val="ListParagraph"/>
        <w:keepNext/>
        <w:numPr>
          <w:ilvl w:val="1"/>
          <w:numId w:val="1"/>
        </w:numPr>
        <w:ind w:left="788" w:hanging="431"/>
        <w:rPr>
          <w:rFonts w:ascii="Times New Roman" w:hAnsi="Times New Roman" w:cs="Times New Roman"/>
          <w:b/>
          <w:bCs/>
          <w:noProof/>
          <w:sz w:val="24"/>
          <w:szCs w:val="24"/>
          <w:lang w:val="fr-BE"/>
        </w:rPr>
      </w:pPr>
      <w:r w:rsidRPr="00AE6EDA">
        <w:rPr>
          <w:rFonts w:ascii="Times New Roman" w:hAnsi="Times New Roman"/>
          <w:b/>
          <w:noProof/>
          <w:sz w:val="24"/>
          <w:lang w:val="fr-BE"/>
        </w:rPr>
        <w:t>Une Europe plus forte sur la scène internationale</w:t>
      </w:r>
    </w:p>
    <w:p w14:paraId="3C49E83E" w14:textId="77777777" w:rsidR="00AE6EDA" w:rsidRPr="00AE6EDA" w:rsidRDefault="00AE6EDA" w:rsidP="00AE6EDA">
      <w:pPr>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Sur la scène mondiale, nous continuons de constater des </w:t>
      </w:r>
      <w:r w:rsidRPr="00AE6EDA">
        <w:rPr>
          <w:rFonts w:ascii="Times New Roman" w:hAnsi="Times New Roman"/>
          <w:b/>
          <w:noProof/>
          <w:sz w:val="24"/>
          <w:lang w:val="fr-BE"/>
        </w:rPr>
        <w:t>tensions croissantes et des bouleversements géopolitiques</w:t>
      </w:r>
      <w:r w:rsidRPr="00AE6EDA">
        <w:rPr>
          <w:rFonts w:ascii="Times New Roman" w:hAnsi="Times New Roman"/>
          <w:noProof/>
          <w:sz w:val="24"/>
          <w:lang w:val="fr-BE"/>
        </w:rPr>
        <w:t>.</w:t>
      </w:r>
      <w:r w:rsidRPr="00AE6EDA">
        <w:rPr>
          <w:rFonts w:ascii="Times New Roman" w:hAnsi="Times New Roman"/>
          <w:b/>
          <w:noProof/>
          <w:sz w:val="24"/>
          <w:lang w:val="fr-BE"/>
        </w:rPr>
        <w:t xml:space="preserve"> </w:t>
      </w:r>
      <w:r w:rsidRPr="00AE6EDA">
        <w:rPr>
          <w:rFonts w:ascii="Times New Roman" w:hAnsi="Times New Roman"/>
          <w:noProof/>
          <w:sz w:val="24"/>
          <w:lang w:val="fr-BE"/>
        </w:rPr>
        <w:t xml:space="preserve">L’attaques terroriste aveugle et brutale perpétrée par le Hamas contre Israël et sa population menacent directement la paix et la sécurité dans la région et soulignent la nécessité de redoubler d’efforts pour redynamiser le processus de paix au Proche-Orient. La Russie, avec sa guerre d’agression contre l’Ukraine et ses actions dans les enceintes internationales, continue de remettre en question les fondements du multilatéralisme et de l’ordre international fondé sur des règles. </w:t>
      </w:r>
    </w:p>
    <w:p w14:paraId="7A5F6FF5"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Le soutien militaire de l’UE à l’Ukraine a ouvert des brèches critiques dans les stocks militaires des États membres. En réaction, nous avons </w:t>
      </w:r>
      <w:r w:rsidRPr="00AE6EDA">
        <w:rPr>
          <w:rFonts w:ascii="Times New Roman" w:hAnsi="Times New Roman"/>
          <w:b/>
          <w:noProof/>
          <w:sz w:val="24"/>
          <w:lang w:val="fr-BE"/>
        </w:rPr>
        <w:t>aidé les États membres à renforcer l’industrie européenne de la défense</w:t>
      </w:r>
      <w:r w:rsidRPr="00AE6EDA">
        <w:rPr>
          <w:rFonts w:ascii="Times New Roman" w:hAnsi="Times New Roman"/>
          <w:noProof/>
          <w:sz w:val="24"/>
          <w:lang w:val="fr-BE"/>
        </w:rPr>
        <w:t xml:space="preserve"> au moyen d’un instrument pour des acquisitions conjointes (EDIRPA)</w:t>
      </w:r>
      <w:r>
        <w:rPr>
          <w:rStyle w:val="FootnoteReference"/>
          <w:rFonts w:ascii="Times New Roman" w:hAnsi="Times New Roman" w:cs="Times New Roman"/>
          <w:noProof/>
          <w:sz w:val="24"/>
          <w:szCs w:val="24"/>
        </w:rPr>
        <w:footnoteReference w:id="10"/>
      </w:r>
      <w:r w:rsidRPr="00AE6EDA">
        <w:rPr>
          <w:rFonts w:ascii="Times New Roman" w:hAnsi="Times New Roman"/>
          <w:noProof/>
          <w:sz w:val="24"/>
          <w:lang w:val="fr-BE"/>
        </w:rPr>
        <w:t xml:space="preserve"> et d'une task-force pour les acquisitions conjointes dans le domaine de la défense. En outre, nous avons intensifié la capacité de production de munitions grâce à l’</w:t>
      </w:r>
      <w:r w:rsidRPr="00AE6EDA">
        <w:rPr>
          <w:rFonts w:ascii="Times New Roman" w:hAnsi="Times New Roman"/>
          <w:b/>
          <w:noProof/>
          <w:sz w:val="24"/>
          <w:lang w:val="fr-BE"/>
        </w:rPr>
        <w:t>action de soutien à la production de munitions</w:t>
      </w:r>
      <w:r w:rsidRPr="00AE6EDA">
        <w:rPr>
          <w:rFonts w:ascii="Times New Roman" w:hAnsi="Times New Roman"/>
          <w:noProof/>
          <w:sz w:val="24"/>
          <w:lang w:val="fr-BE"/>
        </w:rPr>
        <w:t xml:space="preserve"> (ASAP)</w:t>
      </w:r>
      <w:r>
        <w:rPr>
          <w:rStyle w:val="FootnoteReference"/>
          <w:rFonts w:ascii="Times New Roman" w:hAnsi="Times New Roman" w:cs="Times New Roman"/>
          <w:noProof/>
          <w:sz w:val="24"/>
          <w:szCs w:val="24"/>
        </w:rPr>
        <w:footnoteReference w:id="11"/>
      </w:r>
      <w:r w:rsidRPr="00AE6EDA">
        <w:rPr>
          <w:rFonts w:ascii="Times New Roman" w:hAnsi="Times New Roman"/>
          <w:noProof/>
          <w:sz w:val="24"/>
          <w:lang w:val="fr-BE"/>
        </w:rPr>
        <w:t>.</w:t>
      </w:r>
      <w:r w:rsidRPr="00AE6EDA">
        <w:rPr>
          <w:rFonts w:ascii="Times New Roman" w:hAnsi="Times New Roman"/>
          <w:i/>
          <w:noProof/>
          <w:sz w:val="24"/>
          <w:lang w:val="fr-BE"/>
        </w:rPr>
        <w:t xml:space="preserve"> </w:t>
      </w:r>
      <w:r w:rsidRPr="00AE6EDA">
        <w:rPr>
          <w:rFonts w:ascii="Times New Roman" w:hAnsi="Times New Roman"/>
          <w:noProof/>
          <w:sz w:val="24"/>
          <w:lang w:val="fr-BE"/>
        </w:rPr>
        <w:t xml:space="preserve">La troisième </w:t>
      </w:r>
      <w:r w:rsidRPr="00AE6EDA">
        <w:rPr>
          <w:rFonts w:ascii="Times New Roman" w:hAnsi="Times New Roman"/>
          <w:b/>
          <w:noProof/>
          <w:sz w:val="24"/>
          <w:lang w:val="fr-BE"/>
        </w:rPr>
        <w:t>déclaration conjointe sur la coopération entre l’UE et l’OTAN</w:t>
      </w:r>
      <w:r>
        <w:rPr>
          <w:rStyle w:val="FootnoteReference"/>
          <w:rFonts w:ascii="Times New Roman" w:hAnsi="Times New Roman" w:cs="Times New Roman"/>
          <w:noProof/>
          <w:sz w:val="24"/>
          <w:szCs w:val="24"/>
        </w:rPr>
        <w:footnoteReference w:id="12"/>
      </w:r>
      <w:r w:rsidRPr="00AE6EDA">
        <w:rPr>
          <w:rFonts w:ascii="Times New Roman" w:hAnsi="Times New Roman"/>
          <w:noProof/>
          <w:sz w:val="24"/>
          <w:lang w:val="fr-BE"/>
        </w:rPr>
        <w:t xml:space="preserve"> a étendu notre coopération à de nouveaux domaines essentiels pour la sécurité: la résilience, les technologies émergentes et de rupture, la défense et l’espace.</w:t>
      </w:r>
    </w:p>
    <w:p w14:paraId="3A56F740"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Nous continuerons à renforcer et à établir des liens plus résilients avec le monde grâce à notre stratégie «</w:t>
      </w:r>
      <w:r w:rsidRPr="00AE6EDA">
        <w:rPr>
          <w:rFonts w:ascii="Times New Roman" w:hAnsi="Times New Roman"/>
          <w:b/>
          <w:noProof/>
          <w:sz w:val="24"/>
          <w:lang w:val="fr-BE"/>
        </w:rPr>
        <w:t>Global Gateway</w:t>
      </w:r>
      <w:r>
        <w:rPr>
          <w:rStyle w:val="FootnoteReference"/>
          <w:rFonts w:ascii="Times New Roman" w:hAnsi="Times New Roman" w:cs="Times New Roman"/>
          <w:noProof/>
          <w:sz w:val="24"/>
          <w:szCs w:val="24"/>
        </w:rPr>
        <w:footnoteReference w:id="13"/>
      </w:r>
      <w:r w:rsidRPr="00AE6EDA">
        <w:rPr>
          <w:rFonts w:ascii="Times New Roman" w:hAnsi="Times New Roman"/>
          <w:noProof/>
          <w:sz w:val="24"/>
          <w:lang w:val="fr-BE"/>
        </w:rPr>
        <w:t>», en appliquant notre approche «</w:t>
      </w:r>
      <w:r w:rsidRPr="00AE6EDA">
        <w:rPr>
          <w:rFonts w:ascii="Times New Roman" w:hAnsi="Times New Roman"/>
          <w:b/>
          <w:noProof/>
          <w:sz w:val="24"/>
          <w:lang w:val="fr-BE"/>
        </w:rPr>
        <w:t>Équipe Europe</w:t>
      </w:r>
      <w:r w:rsidRPr="00AE6EDA">
        <w:rPr>
          <w:rFonts w:ascii="Times New Roman" w:hAnsi="Times New Roman"/>
          <w:noProof/>
          <w:sz w:val="24"/>
          <w:lang w:val="fr-BE"/>
        </w:rPr>
        <w:t>». Nous mettons en œuvre des stratégies et des plans d'action sectoriels, dont la stratégie énergétique internationale</w:t>
      </w:r>
      <w:r>
        <w:rPr>
          <w:rStyle w:val="FootnoteReference"/>
          <w:rFonts w:ascii="Times New Roman" w:hAnsi="Times New Roman" w:cs="Times New Roman"/>
          <w:noProof/>
          <w:sz w:val="24"/>
          <w:szCs w:val="24"/>
        </w:rPr>
        <w:footnoteReference w:id="14"/>
      </w:r>
      <w:r w:rsidRPr="00AE6EDA">
        <w:rPr>
          <w:rFonts w:ascii="Times New Roman" w:hAnsi="Times New Roman"/>
          <w:noProof/>
          <w:sz w:val="24"/>
          <w:lang w:val="fr-BE"/>
        </w:rPr>
        <w:t>, la communication relative à la gouvernance internationale des océans</w:t>
      </w:r>
      <w:r>
        <w:rPr>
          <w:rStyle w:val="FootnoteReference"/>
          <w:rFonts w:ascii="Times New Roman" w:hAnsi="Times New Roman" w:cs="Times New Roman"/>
          <w:noProof/>
          <w:sz w:val="24"/>
          <w:szCs w:val="24"/>
        </w:rPr>
        <w:footnoteReference w:id="15"/>
      </w:r>
      <w:r w:rsidRPr="00AE6EDA">
        <w:rPr>
          <w:rFonts w:ascii="Times New Roman" w:hAnsi="Times New Roman"/>
          <w:noProof/>
          <w:sz w:val="24"/>
          <w:lang w:val="fr-BE"/>
        </w:rPr>
        <w:t>, la stratégie spatiale pour la sécurité et la défense</w:t>
      </w:r>
      <w:r>
        <w:rPr>
          <w:rStyle w:val="FootnoteReference"/>
          <w:rFonts w:ascii="Times New Roman" w:hAnsi="Times New Roman" w:cs="Times New Roman"/>
          <w:noProof/>
          <w:sz w:val="24"/>
          <w:szCs w:val="24"/>
        </w:rPr>
        <w:footnoteReference w:id="16"/>
      </w:r>
      <w:r w:rsidRPr="00AE6EDA">
        <w:rPr>
          <w:rFonts w:ascii="Times New Roman" w:hAnsi="Times New Roman"/>
          <w:noProof/>
          <w:sz w:val="24"/>
          <w:lang w:val="fr-BE"/>
        </w:rPr>
        <w:t>, la mise à jour de la stratégie de sûreté maritime de l’UE</w:t>
      </w:r>
      <w:r>
        <w:rPr>
          <w:rStyle w:val="FootnoteReference"/>
          <w:rFonts w:ascii="Times New Roman" w:hAnsi="Times New Roman" w:cs="Times New Roman"/>
          <w:noProof/>
          <w:sz w:val="24"/>
          <w:szCs w:val="24"/>
        </w:rPr>
        <w:footnoteReference w:id="17"/>
      </w:r>
      <w:r w:rsidRPr="00AE6EDA">
        <w:rPr>
          <w:rFonts w:ascii="Times New Roman" w:hAnsi="Times New Roman"/>
          <w:noProof/>
          <w:sz w:val="24"/>
          <w:lang w:val="fr-BE"/>
        </w:rPr>
        <w:t>, la communication conjointe relative à un partenariat stratégique avec le Golfe</w:t>
      </w:r>
      <w:r>
        <w:rPr>
          <w:rStyle w:val="FootnoteReference"/>
          <w:rFonts w:ascii="Times New Roman" w:hAnsi="Times New Roman" w:cs="Times New Roman"/>
          <w:noProof/>
          <w:sz w:val="24"/>
          <w:szCs w:val="24"/>
        </w:rPr>
        <w:footnoteReference w:id="18"/>
      </w:r>
      <w:r w:rsidRPr="00AE6EDA">
        <w:rPr>
          <w:rFonts w:ascii="Times New Roman" w:hAnsi="Times New Roman"/>
          <w:noProof/>
          <w:sz w:val="24"/>
          <w:lang w:val="fr-BE"/>
        </w:rPr>
        <w:t xml:space="preserve"> et le nouveau programme pour l’Amérique latine et les Caraïbes</w:t>
      </w:r>
      <w:r>
        <w:rPr>
          <w:rStyle w:val="FootnoteReference"/>
          <w:rFonts w:ascii="Times New Roman" w:hAnsi="Times New Roman" w:cs="Times New Roman"/>
          <w:noProof/>
          <w:sz w:val="24"/>
          <w:szCs w:val="24"/>
        </w:rPr>
        <w:footnoteReference w:id="19"/>
      </w:r>
      <w:r w:rsidRPr="00AE6EDA">
        <w:rPr>
          <w:rFonts w:ascii="Times New Roman" w:hAnsi="Times New Roman"/>
          <w:noProof/>
          <w:sz w:val="24"/>
          <w:lang w:val="fr-BE"/>
        </w:rPr>
        <w:t xml:space="preserve">. </w:t>
      </w:r>
    </w:p>
    <w:p w14:paraId="355825CC" w14:textId="77777777" w:rsidR="00AE6EDA" w:rsidRPr="00AE6EDA" w:rsidRDefault="00AE6EDA" w:rsidP="00AE6EDA">
      <w:pPr>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Nous continuerons de collaborer avec les pays candidats des Balkans occidentaux, ainsi qu’avec l’Ukraine, la Moldavie et la Géorgie, en vue de leur future adhésion à l’Union. Nous maintiendrons également notre soutien au partenariat oriental et au voisinage méridional. </w:t>
      </w:r>
    </w:p>
    <w:p w14:paraId="11AECAE5" w14:textId="77777777" w:rsidR="00AE6EDA" w:rsidRPr="00AE6EDA" w:rsidRDefault="00AE6EDA" w:rsidP="00AE6EDA">
      <w:pPr>
        <w:spacing w:line="257" w:lineRule="auto"/>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L’Union continuera à œuvrer à la mise en place de partenariats avec des pays et des organisations du monde entier. En particulier, nous devons poursuivre nos efforts pour </w:t>
      </w:r>
      <w:r w:rsidRPr="00AE6EDA">
        <w:rPr>
          <w:rFonts w:ascii="Times New Roman" w:hAnsi="Times New Roman"/>
          <w:b/>
          <w:noProof/>
          <w:sz w:val="24"/>
          <w:lang w:val="fr-BE"/>
        </w:rPr>
        <w:t>renforcer notre partenariat mutuellement bénéfique avec l’Afrique</w:t>
      </w:r>
      <w:r w:rsidRPr="00AE6EDA">
        <w:rPr>
          <w:rFonts w:ascii="Times New Roman" w:hAnsi="Times New Roman"/>
          <w:noProof/>
          <w:sz w:val="24"/>
          <w:lang w:val="fr-BE"/>
        </w:rPr>
        <w:t xml:space="preserve">, et nous continuerons de développer notre approche stratégique pour la mettre en œuvre avec l’Union africaine lors du prochain sommet UE-UA. </w:t>
      </w:r>
    </w:p>
    <w:p w14:paraId="79AA671D" w14:textId="77777777" w:rsidR="00AE6EDA" w:rsidRPr="00AE6EDA" w:rsidRDefault="00AE6EDA" w:rsidP="00AE6EDA">
      <w:pPr>
        <w:spacing w:line="257" w:lineRule="auto"/>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La </w:t>
      </w:r>
      <w:r w:rsidRPr="00AE6EDA">
        <w:rPr>
          <w:rFonts w:ascii="Times New Roman" w:hAnsi="Times New Roman"/>
          <w:b/>
          <w:noProof/>
          <w:sz w:val="24"/>
          <w:lang w:val="fr-BE"/>
        </w:rPr>
        <w:t>stratégie industrielle de défense européenne</w:t>
      </w:r>
      <w:r w:rsidRPr="00AE6EDA">
        <w:rPr>
          <w:rFonts w:ascii="Times New Roman" w:hAnsi="Times New Roman"/>
          <w:noProof/>
          <w:sz w:val="24"/>
          <w:lang w:val="fr-BE"/>
        </w:rPr>
        <w:t xml:space="preserve"> donnera une impulsion supplémentaire au développement des capacités de défense des États membres, qui reposeront sur une base industrielle et technologique de défense européenne moderne et résiliente.</w:t>
      </w:r>
      <w:r w:rsidRPr="00AE6EDA">
        <w:rPr>
          <w:noProof/>
          <w:lang w:val="fr-BE"/>
        </w:rPr>
        <w:t xml:space="preserve"> </w:t>
      </w:r>
      <w:r w:rsidRPr="00AE6EDA">
        <w:rPr>
          <w:rFonts w:ascii="Times New Roman" w:hAnsi="Times New Roman"/>
          <w:noProof/>
          <w:sz w:val="24"/>
          <w:lang w:val="fr-BE"/>
        </w:rPr>
        <w:t xml:space="preserve">Dans ce cadre, nous continuerons à consolider les actions visant à poursuivre le renforcement de la base industrielle de défense européenne après 2025. En 2024, nous poursuivrons également nos efforts pour mettre en œuvre la </w:t>
      </w:r>
      <w:r w:rsidRPr="00AE6EDA">
        <w:rPr>
          <w:rFonts w:ascii="Times New Roman" w:hAnsi="Times New Roman"/>
          <w:b/>
          <w:noProof/>
          <w:sz w:val="24"/>
          <w:lang w:val="fr-BE"/>
        </w:rPr>
        <w:t>boussole stratégique</w:t>
      </w:r>
      <w:r>
        <w:rPr>
          <w:rStyle w:val="FootnoteReference"/>
          <w:rFonts w:ascii="Times New Roman" w:hAnsi="Times New Roman" w:cs="Times New Roman"/>
          <w:noProof/>
          <w:sz w:val="24"/>
          <w:szCs w:val="24"/>
        </w:rPr>
        <w:footnoteReference w:id="20"/>
      </w:r>
      <w:r w:rsidRPr="00AE6EDA">
        <w:rPr>
          <w:rFonts w:ascii="Times New Roman" w:hAnsi="Times New Roman"/>
          <w:noProof/>
          <w:sz w:val="24"/>
          <w:lang w:val="fr-BE"/>
        </w:rPr>
        <w:t xml:space="preserve"> afin de renforcer notre préparation en matière de défense et de faire de l’UE un garant de la sécurité plus solide et plus performant. L’UE continuera de développer davantage la boîte à outils visant à </w:t>
      </w:r>
      <w:r w:rsidRPr="00AE6EDA">
        <w:rPr>
          <w:rFonts w:ascii="Times New Roman" w:hAnsi="Times New Roman"/>
          <w:b/>
          <w:noProof/>
          <w:sz w:val="24"/>
          <w:lang w:val="fr-BE"/>
        </w:rPr>
        <w:t>lutter contre la manipulation de l’information et l’ingérence étrangère</w:t>
      </w:r>
      <w:r w:rsidRPr="00AE6EDA">
        <w:rPr>
          <w:rFonts w:ascii="Times New Roman" w:hAnsi="Times New Roman"/>
          <w:noProof/>
          <w:sz w:val="24"/>
          <w:lang w:val="fr-BE"/>
        </w:rPr>
        <w:t>, afin de lutter efficacement contre les actions malveillantes venant de l’étranger.</w:t>
      </w:r>
    </w:p>
    <w:p w14:paraId="1942BF05"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Nous continuerons de défendre et de promouvoir </w:t>
      </w:r>
      <w:r w:rsidRPr="00AE6EDA">
        <w:rPr>
          <w:rFonts w:ascii="Times New Roman" w:hAnsi="Times New Roman"/>
          <w:b/>
          <w:noProof/>
          <w:sz w:val="24"/>
          <w:lang w:val="fr-BE"/>
        </w:rPr>
        <w:t>la démocratie, les droits de l'homme, l’état de droit</w:t>
      </w:r>
      <w:r w:rsidRPr="00AE6EDA">
        <w:rPr>
          <w:rFonts w:ascii="Times New Roman" w:hAnsi="Times New Roman"/>
          <w:noProof/>
          <w:sz w:val="24"/>
          <w:lang w:val="fr-BE"/>
        </w:rPr>
        <w:t xml:space="preserve"> et un </w:t>
      </w:r>
      <w:r w:rsidRPr="00AE6EDA">
        <w:rPr>
          <w:rFonts w:ascii="Times New Roman" w:hAnsi="Times New Roman"/>
          <w:b/>
          <w:noProof/>
          <w:sz w:val="24"/>
          <w:lang w:val="fr-BE"/>
        </w:rPr>
        <w:t>multilatéralisme</w:t>
      </w:r>
      <w:r w:rsidRPr="00AE6EDA">
        <w:rPr>
          <w:rFonts w:ascii="Times New Roman" w:hAnsi="Times New Roman"/>
          <w:noProof/>
          <w:sz w:val="24"/>
          <w:lang w:val="fr-BE"/>
        </w:rPr>
        <w:t xml:space="preserve"> effectif. Nous poursuivrons nos efforts pour protéger les enfants touchés par les conflits armés, notamment en présentant les lignes directrices révisées de l’UE. La solidarité de l’UE par l’intermédiaire tant de l’aide humanitaire que du mécanisme de protection civile continuera de produire des résultats. Nous coopérerons de manière constructive avec tous les partenaires et continuerons à soutenir le programme de réformes du Secrétaire général des Nations unies, notamment lors de la préparation du sommet de l’avenir qui se tiendra en septembre 2024.</w:t>
      </w:r>
    </w:p>
    <w:p w14:paraId="30A6E37B"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En tant qu’acteur de premier plan et porte-drapeau au niveau mondial, nous devons accélérer la mise en place d’</w:t>
      </w:r>
      <w:r w:rsidRPr="00AE6EDA">
        <w:rPr>
          <w:rFonts w:ascii="Times New Roman" w:hAnsi="Times New Roman"/>
          <w:b/>
          <w:noProof/>
          <w:sz w:val="24"/>
          <w:lang w:val="fr-BE"/>
        </w:rPr>
        <w:t>un programme commercial ouvert et équitable</w:t>
      </w:r>
      <w:r w:rsidRPr="00AE6EDA">
        <w:rPr>
          <w:rFonts w:ascii="Times New Roman" w:hAnsi="Times New Roman"/>
          <w:noProof/>
          <w:sz w:val="24"/>
          <w:lang w:val="fr-BE"/>
        </w:rPr>
        <w:t xml:space="preserve">, axé sur la compétitivité, la résilience et la durabilité. Nous poursuivrons nos efforts pour renforcer la coopération et les relations commerciales avec nos partenaires, et nous mènerons des efforts au niveau mondial pour réformer l’Organisation mondiale du commerce. La stratégie commerciale révisée de l’UE promeut une politique ouverte, durable et ferme, qui soutient les transformations écologique et numérique. </w:t>
      </w:r>
    </w:p>
    <w:p w14:paraId="0D71B629" w14:textId="77777777" w:rsidR="00AE6EDA" w:rsidRPr="00AE6EDA" w:rsidRDefault="00AE6EDA" w:rsidP="00AE6EDA">
      <w:pPr>
        <w:jc w:val="both"/>
        <w:rPr>
          <w:rFonts w:ascii="Times New Roman" w:hAnsi="Times New Roman"/>
          <w:noProof/>
          <w:sz w:val="24"/>
          <w:lang w:val="fr-BE"/>
        </w:rPr>
      </w:pPr>
      <w:r w:rsidRPr="00AE6EDA">
        <w:rPr>
          <w:rFonts w:ascii="Times New Roman" w:hAnsi="Times New Roman"/>
          <w:noProof/>
          <w:sz w:val="24"/>
          <w:lang w:val="fr-BE"/>
        </w:rPr>
        <w:t xml:space="preserve">Nous avons </w:t>
      </w:r>
      <w:r w:rsidRPr="00AE6EDA">
        <w:rPr>
          <w:rFonts w:ascii="Times New Roman" w:hAnsi="Times New Roman"/>
          <w:b/>
          <w:noProof/>
          <w:sz w:val="24"/>
          <w:lang w:val="fr-BE"/>
        </w:rPr>
        <w:t>conclu avec succès les négociations sur des accords commerciaux avec le Chili, la Nouvelle-Zélande et le Kenya</w:t>
      </w:r>
      <w:r w:rsidRPr="00AE6EDA">
        <w:rPr>
          <w:rFonts w:ascii="Times New Roman" w:hAnsi="Times New Roman"/>
          <w:noProof/>
          <w:sz w:val="24"/>
          <w:lang w:val="fr-BE"/>
        </w:rPr>
        <w:t xml:space="preserve">. Nous avons également l’intention de </w:t>
      </w:r>
      <w:r w:rsidRPr="00AE6EDA">
        <w:rPr>
          <w:rFonts w:ascii="Times New Roman" w:hAnsi="Times New Roman"/>
          <w:b/>
          <w:noProof/>
          <w:sz w:val="24"/>
          <w:lang w:val="fr-BE"/>
        </w:rPr>
        <w:t>finaliser les accords avec l’Australie, le Mexique et le Mercosur</w:t>
      </w:r>
      <w:r w:rsidRPr="00AE6EDA">
        <w:rPr>
          <w:rFonts w:ascii="Times New Roman" w:hAnsi="Times New Roman"/>
          <w:noProof/>
          <w:sz w:val="24"/>
          <w:lang w:val="fr-BE"/>
        </w:rPr>
        <w:t xml:space="preserve">. La Commission continuera également de </w:t>
      </w:r>
      <w:r w:rsidRPr="00AE6EDA">
        <w:rPr>
          <w:rFonts w:ascii="Times New Roman" w:hAnsi="Times New Roman"/>
          <w:b/>
          <w:noProof/>
          <w:sz w:val="24"/>
          <w:lang w:val="fr-BE"/>
        </w:rPr>
        <w:t>faire avancer les négociations avec l’Inde et l’Indonésie, ainsi que les accords sur le commerce numérique avec Singapour et la République de Corée</w:t>
      </w:r>
      <w:r w:rsidRPr="00AE6EDA">
        <w:rPr>
          <w:rFonts w:ascii="Times New Roman" w:hAnsi="Times New Roman"/>
          <w:noProof/>
          <w:sz w:val="24"/>
          <w:lang w:val="fr-BE"/>
        </w:rPr>
        <w:t xml:space="preserve">. Les relations entre l’UE et les États-Unis se sont également renforcées grâce à notre travail au sein du Conseil conjoint du commerce et des technologies. Un </w:t>
      </w:r>
      <w:r w:rsidRPr="00AE6EDA">
        <w:rPr>
          <w:rFonts w:ascii="Times New Roman" w:hAnsi="Times New Roman"/>
          <w:b/>
          <w:noProof/>
          <w:sz w:val="24"/>
          <w:lang w:val="fr-BE"/>
        </w:rPr>
        <w:t>Conseil du commerce et des technologies UE-Inde</w:t>
      </w:r>
      <w:r w:rsidRPr="00AE6EDA">
        <w:rPr>
          <w:rFonts w:ascii="Times New Roman" w:hAnsi="Times New Roman"/>
          <w:noProof/>
          <w:sz w:val="24"/>
          <w:lang w:val="fr-BE"/>
        </w:rPr>
        <w:t xml:space="preserve">, qui s’en inspire, a été lancé cette année.Dans le même temps, nous avons renforcé nos outils de lutte contre les pratiques commerciales déloyales et nous agirons pour faire en sorte que la concurrence mondiale reste équitable. La Commission a dès lors lancé une </w:t>
      </w:r>
      <w:r w:rsidRPr="00AE6EDA">
        <w:rPr>
          <w:rFonts w:ascii="Times New Roman" w:hAnsi="Times New Roman"/>
          <w:b/>
          <w:noProof/>
          <w:sz w:val="24"/>
          <w:lang w:val="fr-BE"/>
        </w:rPr>
        <w:t>enquête antisubventions sur les véhicules électriques en provenance de Chine</w:t>
      </w:r>
      <w:r w:rsidRPr="00AE6EDA">
        <w:rPr>
          <w:rFonts w:ascii="Times New Roman" w:hAnsi="Times New Roman"/>
          <w:noProof/>
          <w:sz w:val="24"/>
          <w:lang w:val="fr-BE"/>
        </w:rPr>
        <w:t xml:space="preserve">. </w:t>
      </w:r>
    </w:p>
    <w:p w14:paraId="5E65F984" w14:textId="77777777" w:rsidR="00AE6EDA" w:rsidRPr="00AE6EDA" w:rsidRDefault="00AE6EDA" w:rsidP="00AE6EDA">
      <w:pPr>
        <w:pStyle w:val="ListParagraph"/>
        <w:numPr>
          <w:ilvl w:val="1"/>
          <w:numId w:val="1"/>
        </w:numPr>
        <w:rPr>
          <w:rFonts w:ascii="Times New Roman" w:hAnsi="Times New Roman" w:cs="Times New Roman"/>
          <w:b/>
          <w:bCs/>
          <w:noProof/>
          <w:sz w:val="24"/>
          <w:szCs w:val="24"/>
          <w:lang w:val="fr-BE"/>
        </w:rPr>
      </w:pPr>
      <w:r w:rsidRPr="00AE6EDA">
        <w:rPr>
          <w:rFonts w:ascii="Times New Roman" w:hAnsi="Times New Roman"/>
          <w:b/>
          <w:noProof/>
          <w:sz w:val="24"/>
          <w:lang w:val="fr-BE"/>
        </w:rPr>
        <w:t>Promotion de notre mode de vie européen</w:t>
      </w:r>
    </w:p>
    <w:p w14:paraId="092226C1"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En réaction à la pandémie de COVID-19, la Commission a commencé à jeter les bases d’une union européenne de la santé. Elle comprend un </w:t>
      </w:r>
      <w:r w:rsidRPr="00AE6EDA">
        <w:rPr>
          <w:rFonts w:ascii="Times New Roman" w:hAnsi="Times New Roman"/>
          <w:b/>
          <w:noProof/>
          <w:sz w:val="24"/>
          <w:lang w:val="fr-BE"/>
        </w:rPr>
        <w:t>cadre renforcé en matière de sécurité sanitaire</w:t>
      </w:r>
      <w:r w:rsidRPr="00AE6EDA">
        <w:rPr>
          <w:rFonts w:ascii="Times New Roman" w:hAnsi="Times New Roman"/>
          <w:noProof/>
          <w:sz w:val="24"/>
          <w:lang w:val="fr-BE"/>
        </w:rPr>
        <w:t xml:space="preserve">, dont la nouvelle </w:t>
      </w:r>
      <w:r w:rsidRPr="00AE6EDA">
        <w:rPr>
          <w:rFonts w:ascii="Times New Roman" w:hAnsi="Times New Roman"/>
          <w:b/>
          <w:noProof/>
          <w:sz w:val="24"/>
          <w:lang w:val="fr-BE"/>
        </w:rPr>
        <w:t>Autorité de préparation et de réaction en cas d’urgence sanitaire</w:t>
      </w:r>
      <w:r w:rsidRPr="00AE6EDA">
        <w:rPr>
          <w:rFonts w:ascii="Times New Roman" w:hAnsi="Times New Roman"/>
          <w:noProof/>
          <w:sz w:val="24"/>
          <w:lang w:val="fr-BE"/>
        </w:rPr>
        <w:t xml:space="preserve">, ainsi que le novateur </w:t>
      </w:r>
      <w:r w:rsidRPr="00AE6EDA">
        <w:rPr>
          <w:rFonts w:ascii="Times New Roman" w:hAnsi="Times New Roman"/>
          <w:b/>
          <w:noProof/>
          <w:sz w:val="24"/>
          <w:lang w:val="fr-BE"/>
        </w:rPr>
        <w:t>plan européen pour vaincre le cancer</w:t>
      </w:r>
      <w:r w:rsidRPr="00AE6EDA">
        <w:rPr>
          <w:rFonts w:ascii="Times New Roman" w:hAnsi="Times New Roman"/>
          <w:noProof/>
          <w:sz w:val="24"/>
          <w:lang w:val="fr-BE"/>
        </w:rPr>
        <w:t xml:space="preserve"> et des propositions visant à établir l’</w:t>
      </w:r>
      <w:r w:rsidRPr="00AE6EDA">
        <w:rPr>
          <w:rFonts w:ascii="Times New Roman" w:hAnsi="Times New Roman"/>
          <w:b/>
          <w:noProof/>
          <w:sz w:val="24"/>
          <w:lang w:val="fr-BE"/>
        </w:rPr>
        <w:t>espace européen des données de santé</w:t>
      </w:r>
      <w:r w:rsidRPr="00AE6EDA">
        <w:rPr>
          <w:rFonts w:ascii="Times New Roman" w:hAnsi="Times New Roman"/>
          <w:noProof/>
          <w:sz w:val="24"/>
          <w:lang w:val="fr-BE"/>
        </w:rPr>
        <w:t xml:space="preserve"> et à réformer la législation pharmaceutique.</w:t>
      </w:r>
      <w:r w:rsidRPr="00AE6EDA">
        <w:rPr>
          <w:rFonts w:ascii="Times New Roman" w:hAnsi="Times New Roman"/>
          <w:b/>
          <w:noProof/>
          <w:sz w:val="24"/>
          <w:lang w:val="fr-BE"/>
        </w:rPr>
        <w:t xml:space="preserve"> </w:t>
      </w:r>
      <w:r w:rsidRPr="00AE6EDA">
        <w:rPr>
          <w:rFonts w:ascii="Times New Roman" w:hAnsi="Times New Roman"/>
          <w:noProof/>
          <w:sz w:val="24"/>
          <w:lang w:val="fr-BE"/>
        </w:rPr>
        <w:t xml:space="preserve">L’UE a également adopté sa nouvelle </w:t>
      </w:r>
      <w:r w:rsidRPr="00AE6EDA">
        <w:rPr>
          <w:rFonts w:ascii="Times New Roman" w:hAnsi="Times New Roman"/>
          <w:b/>
          <w:noProof/>
          <w:sz w:val="24"/>
          <w:lang w:val="fr-BE"/>
        </w:rPr>
        <w:t>stratégie en matière de santé mondiale</w:t>
      </w:r>
      <w:r>
        <w:rPr>
          <w:rStyle w:val="FootnoteReference"/>
          <w:rFonts w:ascii="Times New Roman" w:hAnsi="Times New Roman" w:cs="Times New Roman"/>
          <w:b/>
          <w:bCs/>
          <w:noProof/>
          <w:sz w:val="24"/>
          <w:szCs w:val="24"/>
        </w:rPr>
        <w:footnoteReference w:id="21"/>
      </w:r>
      <w:r w:rsidRPr="00AE6EDA">
        <w:rPr>
          <w:rFonts w:ascii="Times New Roman" w:hAnsi="Times New Roman"/>
          <w:noProof/>
          <w:sz w:val="24"/>
          <w:lang w:val="fr-BE"/>
        </w:rPr>
        <w:t xml:space="preserve"> qui guide ses efforts visant à renforcer les soins de santé dans le monde. </w:t>
      </w:r>
    </w:p>
    <w:p w14:paraId="7E357FDE" w14:textId="77777777" w:rsidR="00AE6EDA" w:rsidRPr="00AE6EDA" w:rsidRDefault="00AE6EDA" w:rsidP="00AE6EDA">
      <w:pPr>
        <w:spacing w:line="257" w:lineRule="auto"/>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La Commission continuera de soutenir les travaux sur les volets législatif et opérationnel de la gestion de la migration. Il est essentiel que les colégislateurs finalisent le </w:t>
      </w:r>
      <w:r w:rsidRPr="00AE6EDA">
        <w:rPr>
          <w:rFonts w:ascii="Times New Roman" w:hAnsi="Times New Roman"/>
          <w:b/>
          <w:noProof/>
          <w:sz w:val="24"/>
          <w:lang w:val="fr-BE"/>
        </w:rPr>
        <w:t>nouveau pacte sur la migration et l’asile</w:t>
      </w:r>
      <w:r>
        <w:rPr>
          <w:rStyle w:val="FootnoteReference"/>
          <w:rFonts w:ascii="Times New Roman" w:eastAsia="Times New Roman" w:hAnsi="Times New Roman" w:cs="Times New Roman"/>
          <w:b/>
          <w:bCs/>
          <w:noProof/>
          <w:sz w:val="24"/>
          <w:szCs w:val="24"/>
        </w:rPr>
        <w:footnoteReference w:id="22"/>
      </w:r>
      <w:r w:rsidRPr="00AE6EDA">
        <w:rPr>
          <w:rFonts w:ascii="Times New Roman" w:hAnsi="Times New Roman"/>
          <w:noProof/>
          <w:sz w:val="24"/>
          <w:lang w:val="fr-BE"/>
        </w:rPr>
        <w:t xml:space="preserve"> d'ici à la fin de ce mandat législatif. En parallèle, il est indispensable de continuer à prendre des mesures opérationnelles pour faire progresser la réaction collective de l’UE face aux questions migratoires, en coopération avec nos principaux partenaires.</w:t>
      </w:r>
    </w:p>
    <w:p w14:paraId="65776BF8" w14:textId="77777777" w:rsidR="00AE6EDA" w:rsidRPr="00AE6EDA" w:rsidRDefault="00AE6EDA" w:rsidP="00AE6EDA">
      <w:pPr>
        <w:spacing w:line="257" w:lineRule="auto"/>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La Commission a également pris des mesures pour renforcer les quatre piliers de la </w:t>
      </w:r>
      <w:r w:rsidRPr="00AE6EDA">
        <w:rPr>
          <w:rFonts w:ascii="Times New Roman" w:hAnsi="Times New Roman"/>
          <w:b/>
          <w:noProof/>
          <w:sz w:val="24"/>
          <w:lang w:val="fr-BE"/>
        </w:rPr>
        <w:t>stratégie de l’UE pour l’union de la sécurité</w:t>
      </w:r>
      <w:r>
        <w:rPr>
          <w:rStyle w:val="FootnoteReference"/>
          <w:rFonts w:ascii="Times New Roman" w:hAnsi="Times New Roman" w:cs="Times New Roman"/>
          <w:noProof/>
          <w:sz w:val="24"/>
          <w:szCs w:val="24"/>
        </w:rPr>
        <w:footnoteReference w:id="23"/>
      </w:r>
      <w:r w:rsidRPr="00AE6EDA">
        <w:rPr>
          <w:rFonts w:ascii="Times New Roman" w:hAnsi="Times New Roman"/>
          <w:noProof/>
          <w:sz w:val="24"/>
          <w:lang w:val="fr-BE"/>
        </w:rPr>
        <w:t>: combattre les vulnérabilités, renforcer la cybersécurité, encourager la coopération entre les services répressifs et soutenir la résilience face aux menaces hybrides. Cette stratégie comprend des initiatives visant à supprimer les contenus à caractère terroriste en ligne, à renforcer la sûreté maritime de l’Union, notamment dans le contexte de la résilience des infrastructures critiques, et à protéger les moyens spatiaux de l’Union, comme les satellites, ainsi qu’à décourager les activités hostiles dans l’espace.</w:t>
      </w:r>
    </w:p>
    <w:p w14:paraId="317600E8" w14:textId="77777777" w:rsidR="00AE6EDA" w:rsidRPr="00AE6EDA" w:rsidRDefault="00AE6EDA" w:rsidP="00AE6EDA">
      <w:pPr>
        <w:spacing w:line="257" w:lineRule="auto"/>
        <w:jc w:val="both"/>
        <w:rPr>
          <w:rFonts w:ascii="Times New Roman" w:eastAsia="Times New Roman" w:hAnsi="Times New Roman" w:cs="Times New Roman"/>
          <w:noProof/>
          <w:sz w:val="24"/>
          <w:szCs w:val="24"/>
          <w:lang w:val="fr-BE"/>
        </w:rPr>
      </w:pPr>
      <w:r w:rsidRPr="00AE6EDA">
        <w:rPr>
          <w:rFonts w:ascii="Times New Roman" w:hAnsi="Times New Roman"/>
          <w:noProof/>
          <w:sz w:val="24"/>
          <w:lang w:val="fr-BE"/>
        </w:rPr>
        <w:t xml:space="preserve">Les propositions de </w:t>
      </w:r>
      <w:r w:rsidRPr="00AE6EDA">
        <w:rPr>
          <w:rFonts w:ascii="Times New Roman" w:hAnsi="Times New Roman"/>
          <w:b/>
          <w:noProof/>
          <w:sz w:val="24"/>
          <w:lang w:val="fr-BE"/>
        </w:rPr>
        <w:t>règlement sur la cyberrésilience</w:t>
      </w:r>
      <w:r w:rsidRPr="00AE6EDA">
        <w:rPr>
          <w:rFonts w:ascii="Times New Roman" w:hAnsi="Times New Roman"/>
          <w:noProof/>
          <w:sz w:val="24"/>
          <w:lang w:val="fr-BE"/>
        </w:rPr>
        <w:t xml:space="preserve"> et de </w:t>
      </w:r>
      <w:r w:rsidRPr="00AE6EDA">
        <w:rPr>
          <w:rFonts w:ascii="Times New Roman" w:hAnsi="Times New Roman"/>
          <w:b/>
          <w:noProof/>
          <w:sz w:val="24"/>
          <w:lang w:val="fr-BE"/>
        </w:rPr>
        <w:t>règlement sur la cybersolidarité</w:t>
      </w:r>
      <w:r w:rsidRPr="00AE6EDA">
        <w:rPr>
          <w:rFonts w:ascii="Times New Roman" w:hAnsi="Times New Roman"/>
          <w:noProof/>
          <w:sz w:val="24"/>
          <w:lang w:val="fr-BE"/>
        </w:rPr>
        <w:t xml:space="preserve"> à venir joueront un rôle clé dans l’amélioration de la cybersécurité en renforçant la sécurité de la chaîne d’approvisionnement et la solidarité au niveau de l’Union afin d'améliorer la détection, la préparation et la réaction dans le cas de menaces et d'incidents en matière de cybersécurité.</w:t>
      </w:r>
    </w:p>
    <w:p w14:paraId="170D88C5"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Comme indiqué dans le sixième rapport sur l’état d’avancement de l'union de la sécurité, un accord est également nécessaire sur les propositions qui </w:t>
      </w:r>
      <w:r w:rsidRPr="00AE6EDA">
        <w:rPr>
          <w:rFonts w:ascii="Times New Roman" w:hAnsi="Times New Roman"/>
          <w:b/>
          <w:noProof/>
          <w:sz w:val="24"/>
          <w:lang w:val="fr-BE"/>
        </w:rPr>
        <w:t>renforceront la sécurité de nos citoyens</w:t>
      </w:r>
      <w:r w:rsidRPr="00AE6EDA">
        <w:rPr>
          <w:rFonts w:ascii="Times New Roman" w:hAnsi="Times New Roman"/>
          <w:noProof/>
          <w:sz w:val="24"/>
          <w:lang w:val="fr-BE"/>
        </w:rPr>
        <w:t xml:space="preserve"> et permettront de lutter efficacement contre la criminalité tout en défendant nos valeurs fondamentales communes. Parmi ces propositions figurent celles sur la cyberrésilience, le code de l’Union relatif au régime de franchissement des frontières par les personnes, l’échange automatisé de données dans le cadre de la coopération policière (Prüm II), la collecte et le transfert d’informations préalables sur les passagers, la lutte contre le trafic d’êtres humains, la lutte contre les abus sexuels commis contre des enfants, la récupération et la confiscation d’avoirs et la définition des infractions pénales et des sanctions. </w:t>
      </w:r>
    </w:p>
    <w:p w14:paraId="7D44A1CA"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 Le </w:t>
      </w:r>
      <w:r w:rsidRPr="00AE6EDA">
        <w:rPr>
          <w:rFonts w:ascii="Times New Roman" w:hAnsi="Times New Roman"/>
          <w:b/>
          <w:noProof/>
          <w:sz w:val="24"/>
          <w:lang w:val="fr-BE"/>
        </w:rPr>
        <w:t>plan d’action sur la lutte contre le trafic de stupéfiants et la criminalité organisée, y compris l’alliance des ports européens</w:t>
      </w:r>
      <w:r w:rsidRPr="00AE6EDA">
        <w:rPr>
          <w:rFonts w:ascii="Times New Roman" w:hAnsi="Times New Roman"/>
          <w:noProof/>
          <w:sz w:val="24"/>
          <w:lang w:val="fr-BE"/>
        </w:rPr>
        <w:t xml:space="preserve"> prépare le terrain pour des efforts conjoints plus efficaces dans la lutte contre la criminalité organisée et le trafic illicite de stupéfiants. La Commission proposera également de moderniser le cadre juridique visant à </w:t>
      </w:r>
      <w:r w:rsidRPr="00AE6EDA">
        <w:rPr>
          <w:rFonts w:ascii="Times New Roman" w:hAnsi="Times New Roman"/>
          <w:b/>
          <w:noProof/>
          <w:sz w:val="24"/>
          <w:lang w:val="fr-BE"/>
        </w:rPr>
        <w:t>lutter contre le trafic de migrants</w:t>
      </w:r>
      <w:r w:rsidRPr="00AE6EDA">
        <w:rPr>
          <w:rFonts w:ascii="Times New Roman" w:hAnsi="Times New Roman"/>
          <w:noProof/>
          <w:sz w:val="24"/>
          <w:lang w:val="fr-BE"/>
        </w:rPr>
        <w:t>, afin de garantir que nous disposons des outils juridiques et opérationnels nécessaires pour réagir au nouveau mode opératoire des passeurs. En outre, la Commission organisera une conférence internationale sur la lutte contre le trafic de migrants, compte tenu de la nécessité d’une coopération internationale et d’une alliance mondiale forte dans ce domaine.</w:t>
      </w:r>
    </w:p>
    <w:p w14:paraId="4CFFB360"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Dans l’enseignement supérieur, la Commission proposera un schéma directeur pour le futur </w:t>
      </w:r>
      <w:r w:rsidRPr="00AE6EDA">
        <w:rPr>
          <w:rFonts w:ascii="Times New Roman" w:hAnsi="Times New Roman"/>
          <w:b/>
          <w:noProof/>
          <w:sz w:val="24"/>
          <w:lang w:val="fr-BE"/>
        </w:rPr>
        <w:t>diplôme européen commun</w:t>
      </w:r>
      <w:r w:rsidRPr="00AE6EDA">
        <w:rPr>
          <w:rFonts w:ascii="Times New Roman" w:hAnsi="Times New Roman"/>
          <w:noProof/>
          <w:sz w:val="24"/>
          <w:lang w:val="fr-BE"/>
        </w:rPr>
        <w:t xml:space="preserve">, qui contribuera à la réalisation d’un espace européen de l’éducation. Elle s’appuiera sur des recommandations concernant l’assurance de la qualité dans l’enseignement supérieur et des carrières universitaires attrayantes. </w:t>
      </w:r>
    </w:p>
    <w:p w14:paraId="0891406C" w14:textId="77777777" w:rsidR="00AE6EDA" w:rsidRPr="00AE6EDA" w:rsidRDefault="00AE6EDA" w:rsidP="00AE6EDA">
      <w:pPr>
        <w:pStyle w:val="ListParagraph"/>
        <w:numPr>
          <w:ilvl w:val="1"/>
          <w:numId w:val="1"/>
        </w:numPr>
        <w:rPr>
          <w:rFonts w:ascii="Times New Roman" w:hAnsi="Times New Roman" w:cs="Times New Roman"/>
          <w:b/>
          <w:bCs/>
          <w:noProof/>
          <w:sz w:val="24"/>
          <w:szCs w:val="24"/>
          <w:lang w:val="fr-BE"/>
        </w:rPr>
      </w:pPr>
      <w:r w:rsidRPr="00AE6EDA">
        <w:rPr>
          <w:rFonts w:ascii="Times New Roman" w:hAnsi="Times New Roman"/>
          <w:b/>
          <w:noProof/>
          <w:sz w:val="24"/>
          <w:lang w:val="fr-BE"/>
        </w:rPr>
        <w:t>Un nouvel élan pour la démocratie européenne</w:t>
      </w:r>
    </w:p>
    <w:p w14:paraId="47611AD8"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Au cours de ce mandat, la Commission a accordé une importance particulière </w:t>
      </w:r>
      <w:r w:rsidRPr="00AE6EDA">
        <w:rPr>
          <w:rFonts w:ascii="Times New Roman" w:hAnsi="Times New Roman"/>
          <w:b/>
          <w:noProof/>
          <w:sz w:val="24"/>
          <w:lang w:val="fr-BE"/>
        </w:rPr>
        <w:t>au renforcement et à la revitalisation de notre démocratie européenne</w:t>
      </w:r>
      <w:r w:rsidRPr="00AE6EDA">
        <w:rPr>
          <w:rFonts w:ascii="Times New Roman" w:hAnsi="Times New Roman"/>
          <w:noProof/>
          <w:sz w:val="24"/>
          <w:lang w:val="fr-BE"/>
        </w:rPr>
        <w:t xml:space="preserve">. Le </w:t>
      </w:r>
      <w:r w:rsidRPr="00AE6EDA">
        <w:rPr>
          <w:rFonts w:ascii="Times New Roman" w:hAnsi="Times New Roman"/>
          <w:b/>
          <w:noProof/>
          <w:sz w:val="24"/>
          <w:lang w:val="fr-BE"/>
        </w:rPr>
        <w:t>plan d’action pour la démocratie européenne</w:t>
      </w:r>
      <w:r w:rsidRPr="00AE6EDA">
        <w:rPr>
          <w:rFonts w:ascii="Times New Roman" w:hAnsi="Times New Roman"/>
          <w:noProof/>
          <w:sz w:val="24"/>
          <w:lang w:val="fr-BE"/>
        </w:rPr>
        <w:t xml:space="preserve"> a guidé nos travaux avec comme objectif de donner aux citoyens les moyens d’agir et d’édifier des démocraties plus solides dans l’ensemble de l’UE, en promouvant des élections libres et équitables, en renforçant la liberté des médias et en luttant contre la désinformation. La </w:t>
      </w:r>
      <w:r w:rsidRPr="00AE6EDA">
        <w:rPr>
          <w:rFonts w:ascii="Times New Roman" w:hAnsi="Times New Roman"/>
          <w:b/>
          <w:noProof/>
          <w:sz w:val="24"/>
          <w:lang w:val="fr-BE"/>
        </w:rPr>
        <w:t>conférence sur l’avenir de l’Europe</w:t>
      </w:r>
      <w:r w:rsidRPr="00AE6EDA">
        <w:rPr>
          <w:rFonts w:ascii="Times New Roman" w:hAnsi="Times New Roman"/>
          <w:noProof/>
          <w:sz w:val="24"/>
          <w:lang w:val="fr-BE"/>
        </w:rPr>
        <w:t xml:space="preserve"> a constitué une opération sans précédent de démocratie participative et nous a permis de prendre connaissance des points de vue des citoyens de toute l’UE sur l’avenir de notre Union. Avec la </w:t>
      </w:r>
      <w:r w:rsidRPr="00AE6EDA">
        <w:rPr>
          <w:rFonts w:ascii="Times New Roman" w:hAnsi="Times New Roman"/>
          <w:b/>
          <w:noProof/>
          <w:sz w:val="24"/>
          <w:lang w:val="fr-BE"/>
        </w:rPr>
        <w:t>nouvelle génération de panels de citoyens</w:t>
      </w:r>
      <w:r w:rsidRPr="00AE6EDA">
        <w:rPr>
          <w:rFonts w:ascii="Times New Roman" w:hAnsi="Times New Roman"/>
          <w:noProof/>
          <w:sz w:val="24"/>
          <w:lang w:val="fr-BE"/>
        </w:rPr>
        <w:t xml:space="preserve"> que nous avons pilotés pour trois initiatives essentielles en 2023</w:t>
      </w:r>
      <w:r>
        <w:rPr>
          <w:rStyle w:val="FootnoteReference"/>
          <w:rFonts w:ascii="Times New Roman" w:hAnsi="Times New Roman" w:cs="Times New Roman"/>
          <w:noProof/>
          <w:sz w:val="24"/>
          <w:szCs w:val="24"/>
        </w:rPr>
        <w:footnoteReference w:id="24"/>
      </w:r>
      <w:r w:rsidRPr="00AE6EDA">
        <w:rPr>
          <w:rFonts w:ascii="Times New Roman" w:hAnsi="Times New Roman"/>
          <w:noProof/>
          <w:sz w:val="24"/>
          <w:lang w:val="fr-BE"/>
        </w:rPr>
        <w:t xml:space="preserve">, d’autres étant prévus l’année prochaine, nous avons ancré la participation des citoyens de manière encore plus concrète dans notre boîte à outils d’élaboration des politiques. Un accent particulier a été mis sur le dialogue avec la jeune génération, qui a un rôle crucial à jouer dans la construction de l’avenir, un tiers des intervenants étant âgés de 16 à 25 ans. </w:t>
      </w:r>
    </w:p>
    <w:p w14:paraId="734F9F5E"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Conformément aux engagements pris dans les orientations politiques de la présidente von der Leyen, la Commission a donné suite aux </w:t>
      </w:r>
      <w:r w:rsidRPr="00AE6EDA">
        <w:rPr>
          <w:rFonts w:ascii="Times New Roman" w:hAnsi="Times New Roman"/>
          <w:b/>
          <w:noProof/>
          <w:sz w:val="24"/>
          <w:lang w:val="fr-BE"/>
        </w:rPr>
        <w:t>rapports d'initiative législative du Parlement européen</w:t>
      </w:r>
      <w:r w:rsidRPr="00AE6EDA">
        <w:rPr>
          <w:rFonts w:ascii="Times New Roman" w:hAnsi="Times New Roman"/>
          <w:noProof/>
          <w:sz w:val="24"/>
          <w:lang w:val="fr-BE"/>
        </w:rPr>
        <w:t xml:space="preserve">. </w:t>
      </w:r>
    </w:p>
    <w:p w14:paraId="50A1BD40"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Une condition préalable au fonctionnement démocratique de l’UE et de ses États membres est l’indépendance du pouvoir judiciaire et le respect de l’</w:t>
      </w:r>
      <w:r w:rsidRPr="00AE6EDA">
        <w:rPr>
          <w:rFonts w:ascii="Times New Roman" w:hAnsi="Times New Roman"/>
          <w:b/>
          <w:noProof/>
          <w:sz w:val="24"/>
          <w:lang w:val="fr-BE"/>
        </w:rPr>
        <w:t>état de droit</w:t>
      </w:r>
      <w:r w:rsidRPr="00AE6EDA">
        <w:rPr>
          <w:rFonts w:ascii="Times New Roman" w:hAnsi="Times New Roman"/>
          <w:noProof/>
          <w:sz w:val="24"/>
          <w:lang w:val="fr-BE"/>
        </w:rPr>
        <w:t xml:space="preserve">. Tant le cycle annuel de l’état de droit que le mécanisme de conditionnalité contribuent à garantir le respect de ces éléments et à préserver les intérêts financiers de l’UE. Des progrès significatifs ont été accomplis dans d’autres domaines cruciaux pour nos sociétés démocratiques. Nous avons présenté des propositions clés sur </w:t>
      </w:r>
      <w:r w:rsidRPr="00AE6EDA">
        <w:rPr>
          <w:rFonts w:ascii="Times New Roman" w:hAnsi="Times New Roman"/>
          <w:b/>
          <w:noProof/>
          <w:sz w:val="24"/>
          <w:lang w:val="fr-BE"/>
        </w:rPr>
        <w:t>la transparence et l’équité du processus électoral</w:t>
      </w:r>
      <w:r w:rsidRPr="00AE6EDA">
        <w:rPr>
          <w:rFonts w:ascii="Times New Roman" w:hAnsi="Times New Roman"/>
          <w:noProof/>
          <w:sz w:val="24"/>
          <w:lang w:val="fr-BE"/>
        </w:rPr>
        <w:t xml:space="preserve">, le </w:t>
      </w:r>
      <w:r w:rsidRPr="00AE6EDA">
        <w:rPr>
          <w:rFonts w:ascii="Times New Roman" w:hAnsi="Times New Roman"/>
          <w:b/>
          <w:noProof/>
          <w:sz w:val="24"/>
          <w:lang w:val="fr-BE"/>
        </w:rPr>
        <w:t>renforcement et la sauvegarde des droits</w:t>
      </w:r>
      <w:r w:rsidRPr="00AE6EDA">
        <w:rPr>
          <w:rFonts w:ascii="Times New Roman" w:hAnsi="Times New Roman"/>
          <w:noProof/>
          <w:sz w:val="24"/>
          <w:lang w:val="fr-BE"/>
        </w:rPr>
        <w:t xml:space="preserve"> des différents groupes de la société et la garantie de la </w:t>
      </w:r>
      <w:r w:rsidRPr="00AE6EDA">
        <w:rPr>
          <w:rFonts w:ascii="Times New Roman" w:hAnsi="Times New Roman"/>
          <w:b/>
          <w:noProof/>
          <w:sz w:val="24"/>
          <w:lang w:val="fr-BE"/>
        </w:rPr>
        <w:t>liberté et de l’indépendance des journalistes</w:t>
      </w:r>
      <w:r w:rsidRPr="00AE6EDA">
        <w:rPr>
          <w:rFonts w:ascii="Times New Roman" w:hAnsi="Times New Roman"/>
          <w:noProof/>
          <w:sz w:val="24"/>
          <w:lang w:val="fr-BE"/>
        </w:rPr>
        <w:t xml:space="preserve"> dans l’UE. Nous continuons à œuvrer au </w:t>
      </w:r>
      <w:r w:rsidRPr="00AE6EDA">
        <w:rPr>
          <w:rFonts w:ascii="Times New Roman" w:hAnsi="Times New Roman"/>
          <w:b/>
          <w:noProof/>
          <w:sz w:val="24"/>
          <w:lang w:val="fr-BE"/>
        </w:rPr>
        <w:t>renforcement de notre résilience démocratique de l’intérieur et à la protection des influences extérieures indues</w:t>
      </w:r>
      <w:r w:rsidRPr="00AE6EDA">
        <w:rPr>
          <w:rFonts w:ascii="Times New Roman" w:hAnsi="Times New Roman"/>
          <w:noProof/>
          <w:sz w:val="24"/>
          <w:lang w:val="fr-BE"/>
        </w:rPr>
        <w:t xml:space="preserve">. Nous disposons désormais d’un cadre juridique solide pour la </w:t>
      </w:r>
      <w:r w:rsidRPr="00AE6EDA">
        <w:rPr>
          <w:rFonts w:ascii="Times New Roman" w:hAnsi="Times New Roman"/>
          <w:b/>
          <w:noProof/>
          <w:sz w:val="24"/>
          <w:lang w:val="fr-BE"/>
        </w:rPr>
        <w:t>coopération judiciaire transfrontière</w:t>
      </w:r>
      <w:r w:rsidRPr="00AE6EDA">
        <w:rPr>
          <w:rFonts w:ascii="Times New Roman" w:hAnsi="Times New Roman"/>
          <w:noProof/>
          <w:sz w:val="24"/>
          <w:lang w:val="fr-BE"/>
        </w:rPr>
        <w:t>, y compris en ce qui concerne les procédures judiciaires et la communication numérique.</w:t>
      </w:r>
    </w:p>
    <w:p w14:paraId="67E633DD" w14:textId="77777777" w:rsidR="00AE6EDA" w:rsidRPr="00AE6EDA" w:rsidRDefault="00AE6EDA" w:rsidP="00AE6EDA">
      <w:pPr>
        <w:jc w:val="both"/>
        <w:rPr>
          <w:noProof/>
          <w:lang w:val="fr-BE"/>
        </w:rPr>
      </w:pPr>
      <w:r w:rsidRPr="00AE6EDA">
        <w:rPr>
          <w:rFonts w:ascii="Times New Roman" w:hAnsi="Times New Roman"/>
          <w:noProof/>
          <w:sz w:val="24"/>
          <w:lang w:val="fr-BE"/>
        </w:rPr>
        <w:t>Une société ouverte et inclusive doit garantir l’</w:t>
      </w:r>
      <w:r w:rsidRPr="00AE6EDA">
        <w:rPr>
          <w:rFonts w:ascii="Times New Roman" w:hAnsi="Times New Roman"/>
          <w:b/>
          <w:noProof/>
          <w:sz w:val="24"/>
          <w:lang w:val="fr-BE"/>
        </w:rPr>
        <w:t>égalité des droits et la protection</w:t>
      </w:r>
      <w:r w:rsidRPr="00AE6EDA">
        <w:rPr>
          <w:rFonts w:ascii="Times New Roman" w:hAnsi="Times New Roman"/>
          <w:noProof/>
          <w:sz w:val="24"/>
          <w:lang w:val="fr-BE"/>
        </w:rPr>
        <w:t xml:space="preserve"> à tous les groupes de la société. C’est la raison pour laquelle la Commission a adopté des stratégies spécifiques sur les droits de l’enfant, l’égalité entre les hommes et les femmes, la lutte contre le racisme, l’égalité de traitement à l’égard des Roms, l’égalité de traitement à l’égard des personnes LGBTQI, les droits des personnes handicapées et les droits des victimes. Adoptée après 10 ans de négociations, la </w:t>
      </w:r>
      <w:r w:rsidRPr="00AE6EDA">
        <w:rPr>
          <w:rFonts w:ascii="Times New Roman" w:hAnsi="Times New Roman"/>
          <w:b/>
          <w:noProof/>
          <w:sz w:val="24"/>
          <w:lang w:val="fr-BE"/>
        </w:rPr>
        <w:t>directive relative à la présence des femmes dans les conseils d’administration</w:t>
      </w:r>
      <w:r w:rsidRPr="00AE6EDA">
        <w:rPr>
          <w:rFonts w:ascii="Times New Roman" w:hAnsi="Times New Roman"/>
          <w:noProof/>
          <w:sz w:val="24"/>
          <w:lang w:val="fr-BE"/>
        </w:rPr>
        <w:t xml:space="preserve"> obligera les entreprises à atteindre des objectifs clairs en matière de postes d’administrateurs d’ici à la mi-2026. Cette année, nous avons adopté de nouvelles règles sur la transparence des rémunérations entre les hommes et les femmes, renforçant l’application du principe de l’égalité de rémunération pour un même travail, ce qui constitue une étape importante vers l’égalité entre les hommes et les femmes et la réduction de l’écart de rémunération entre les hommes et les femmes. Avec son adhésion récente à la </w:t>
      </w:r>
      <w:r w:rsidRPr="00AE6EDA">
        <w:rPr>
          <w:rFonts w:ascii="Times New Roman" w:hAnsi="Times New Roman"/>
          <w:b/>
          <w:noProof/>
          <w:sz w:val="24"/>
          <w:lang w:val="fr-BE"/>
        </w:rPr>
        <w:t>convention d’Istanbul sur la prévention et la lutte contre la violence à l’égard des femmes et la violence domestique</w:t>
      </w:r>
      <w:r w:rsidRPr="00AE6EDA">
        <w:rPr>
          <w:rFonts w:ascii="Times New Roman" w:hAnsi="Times New Roman"/>
          <w:noProof/>
          <w:sz w:val="24"/>
          <w:lang w:val="fr-BE"/>
        </w:rPr>
        <w:t xml:space="preserve"> du Conseil de l’Europe de 2016, l’UE a adressé un signal fort indiquant qu’elle est déterminée à prévenir, condamner et combatte la violence contre les femmes et les filles sous toutes ses formes.</w:t>
      </w:r>
    </w:p>
    <w:p w14:paraId="0560898B"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Afin de disposer d’un cadre approprié pour les élections au Parlement européen, la Commission visera à faciliter les accords sur le </w:t>
      </w:r>
      <w:r w:rsidRPr="00AE6EDA">
        <w:rPr>
          <w:rFonts w:ascii="Times New Roman" w:hAnsi="Times New Roman"/>
          <w:b/>
          <w:noProof/>
          <w:sz w:val="24"/>
          <w:lang w:val="fr-BE"/>
        </w:rPr>
        <w:t>statut et le financement des partis politiques européens</w:t>
      </w:r>
      <w:r w:rsidRPr="00AE6EDA">
        <w:rPr>
          <w:rFonts w:ascii="Times New Roman" w:hAnsi="Times New Roman"/>
          <w:noProof/>
          <w:sz w:val="24"/>
          <w:lang w:val="fr-BE"/>
        </w:rPr>
        <w:t xml:space="preserve"> et la </w:t>
      </w:r>
      <w:r w:rsidRPr="00AE6EDA">
        <w:rPr>
          <w:rFonts w:ascii="Times New Roman" w:hAnsi="Times New Roman"/>
          <w:b/>
          <w:noProof/>
          <w:sz w:val="24"/>
          <w:lang w:val="fr-BE"/>
        </w:rPr>
        <w:t>transparence de la publicité politique ciblée</w:t>
      </w:r>
      <w:r w:rsidRPr="00AE6EDA">
        <w:rPr>
          <w:rFonts w:ascii="Times New Roman" w:hAnsi="Times New Roman"/>
          <w:noProof/>
          <w:sz w:val="24"/>
          <w:lang w:val="fr-BE"/>
        </w:rPr>
        <w:t xml:space="preserve">. Avec le Parlement européen, la Commission européenne a également lancé une campagne de communication visant à augmenter le nombre de citoyens mobiles de l’UE votant lors des élections au Parlement européen de 2024. </w:t>
      </w:r>
    </w:p>
    <w:p w14:paraId="63894E52"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Une société civile prospère et un paysage médiatique libre et critique constituent l’épine dorsale de la société démocratique et un accord est nécessaire sur la </w:t>
      </w:r>
      <w:r w:rsidRPr="00AE6EDA">
        <w:rPr>
          <w:rFonts w:ascii="Times New Roman" w:hAnsi="Times New Roman"/>
          <w:b/>
          <w:noProof/>
          <w:sz w:val="24"/>
          <w:lang w:val="fr-BE"/>
        </w:rPr>
        <w:t>directive relative aux poursuites stratégiques altérant le débat public</w:t>
      </w:r>
      <w:r w:rsidRPr="00AE6EDA">
        <w:rPr>
          <w:rFonts w:ascii="Times New Roman" w:hAnsi="Times New Roman"/>
          <w:noProof/>
          <w:sz w:val="24"/>
          <w:lang w:val="fr-BE"/>
        </w:rPr>
        <w:t xml:space="preserve"> et la </w:t>
      </w:r>
      <w:r w:rsidRPr="00AE6EDA">
        <w:rPr>
          <w:rFonts w:ascii="Times New Roman" w:hAnsi="Times New Roman"/>
          <w:b/>
          <w:noProof/>
          <w:sz w:val="24"/>
          <w:lang w:val="fr-BE"/>
        </w:rPr>
        <w:t>législation sur la liberté des médias</w:t>
      </w:r>
      <w:r w:rsidRPr="00AE6EDA">
        <w:rPr>
          <w:rFonts w:ascii="Times New Roman" w:hAnsi="Times New Roman"/>
          <w:noProof/>
          <w:sz w:val="24"/>
          <w:lang w:val="fr-BE"/>
        </w:rPr>
        <w:t>.</w:t>
      </w:r>
    </w:p>
    <w:p w14:paraId="258E7BCE"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Nous appelons également les colégislateurs à trouver un accord sur les propositions de directive sur la</w:t>
      </w:r>
      <w:r w:rsidRPr="00AE6EDA">
        <w:rPr>
          <w:rFonts w:ascii="Times New Roman" w:hAnsi="Times New Roman"/>
          <w:b/>
          <w:noProof/>
          <w:sz w:val="24"/>
          <w:lang w:val="fr-BE"/>
        </w:rPr>
        <w:t xml:space="preserve"> lutte contre la violence à l’égard des femmes et la violence domestique</w:t>
      </w:r>
      <w:r w:rsidRPr="00AE6EDA">
        <w:rPr>
          <w:rFonts w:ascii="Times New Roman" w:hAnsi="Times New Roman"/>
          <w:noProof/>
          <w:sz w:val="24"/>
          <w:lang w:val="fr-BE"/>
        </w:rPr>
        <w:t xml:space="preserve">, de </w:t>
      </w:r>
      <w:r w:rsidRPr="00AE6EDA">
        <w:rPr>
          <w:rFonts w:ascii="Times New Roman" w:hAnsi="Times New Roman"/>
          <w:b/>
          <w:noProof/>
          <w:sz w:val="24"/>
          <w:lang w:val="fr-BE"/>
        </w:rPr>
        <w:t>directive sur les droits des victimes</w:t>
      </w:r>
      <w:r w:rsidRPr="00AE6EDA">
        <w:rPr>
          <w:rFonts w:ascii="Times New Roman" w:hAnsi="Times New Roman"/>
          <w:noProof/>
          <w:sz w:val="24"/>
          <w:lang w:val="fr-BE"/>
        </w:rPr>
        <w:t xml:space="preserve">, de </w:t>
      </w:r>
      <w:r w:rsidRPr="00AE6EDA">
        <w:rPr>
          <w:rFonts w:ascii="Times New Roman" w:hAnsi="Times New Roman"/>
          <w:b/>
          <w:noProof/>
          <w:sz w:val="24"/>
          <w:lang w:val="fr-BE"/>
        </w:rPr>
        <w:t>normes applicables aux organismes nationaux de promotion de l’égalité</w:t>
      </w:r>
      <w:r w:rsidRPr="00AE6EDA">
        <w:rPr>
          <w:rFonts w:ascii="Times New Roman" w:hAnsi="Times New Roman"/>
          <w:noProof/>
          <w:sz w:val="24"/>
          <w:lang w:val="fr-BE"/>
        </w:rPr>
        <w:t xml:space="preserve"> et de directive établissant la </w:t>
      </w:r>
      <w:r w:rsidRPr="00AE6EDA">
        <w:rPr>
          <w:rFonts w:ascii="Times New Roman" w:hAnsi="Times New Roman"/>
          <w:b/>
          <w:noProof/>
          <w:sz w:val="24"/>
          <w:lang w:val="fr-BE"/>
        </w:rPr>
        <w:t>carte européenne du handicap</w:t>
      </w:r>
      <w:r w:rsidRPr="00AE6EDA">
        <w:rPr>
          <w:rFonts w:ascii="Times New Roman" w:hAnsi="Times New Roman"/>
          <w:noProof/>
          <w:sz w:val="24"/>
          <w:lang w:val="fr-BE"/>
        </w:rPr>
        <w:t xml:space="preserve">.L’année prochaine, nous adopterons une </w:t>
      </w:r>
      <w:r w:rsidRPr="00AE6EDA">
        <w:rPr>
          <w:rFonts w:ascii="Times New Roman" w:hAnsi="Times New Roman"/>
          <w:b/>
          <w:noProof/>
          <w:sz w:val="24"/>
          <w:lang w:val="fr-BE"/>
        </w:rPr>
        <w:t>recommandation de la Commission relative au développement et au renforcement des systèmes de protection de l’enfance</w:t>
      </w:r>
      <w:r w:rsidRPr="00AE6EDA">
        <w:rPr>
          <w:rFonts w:ascii="Times New Roman" w:hAnsi="Times New Roman"/>
          <w:noProof/>
          <w:sz w:val="24"/>
          <w:lang w:val="fr-BE"/>
        </w:rPr>
        <w:t xml:space="preserve"> dans les États membres et nous garantirons une meilleure utilisation des outils existants de l’UE (législation, actions et financement).</w:t>
      </w:r>
    </w:p>
    <w:p w14:paraId="66304368"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Alors que l’espace de l’information numérique influence de plus en plus le débat public et la prise de décision politique, il est essentiel de poursuivre les travaux sur la </w:t>
      </w:r>
      <w:r w:rsidRPr="00AE6EDA">
        <w:rPr>
          <w:rFonts w:ascii="Times New Roman" w:hAnsi="Times New Roman"/>
          <w:b/>
          <w:noProof/>
          <w:sz w:val="24"/>
          <w:lang w:val="fr-BE"/>
        </w:rPr>
        <w:t>lutte contre la désinformation</w:t>
      </w:r>
      <w:r w:rsidRPr="00AE6EDA">
        <w:rPr>
          <w:rFonts w:ascii="Times New Roman" w:hAnsi="Times New Roman"/>
          <w:noProof/>
          <w:sz w:val="24"/>
          <w:lang w:val="fr-BE"/>
        </w:rPr>
        <w:t xml:space="preserve"> afin de garantir un échange d’avis libre et équitable, en particulier dans la perspective des élections européennes. </w:t>
      </w:r>
    </w:p>
    <w:p w14:paraId="6496E81C" w14:textId="77777777" w:rsidR="00AE6EDA" w:rsidRPr="00B15FE1" w:rsidRDefault="00AE6EDA" w:rsidP="00AE6EDA">
      <w:pPr>
        <w:pStyle w:val="ListParagraph"/>
        <w:numPr>
          <w:ilvl w:val="0"/>
          <w:numId w:val="1"/>
        </w:numPr>
        <w:rPr>
          <w:rFonts w:ascii="Times New Roman" w:hAnsi="Times New Roman" w:cs="Times New Roman"/>
          <w:b/>
          <w:bCs/>
          <w:noProof/>
          <w:sz w:val="24"/>
          <w:szCs w:val="24"/>
          <w:u w:val="single"/>
        </w:rPr>
      </w:pPr>
      <w:r>
        <w:rPr>
          <w:rFonts w:ascii="Times New Roman" w:hAnsi="Times New Roman"/>
          <w:b/>
          <w:noProof/>
          <w:sz w:val="24"/>
          <w:u w:val="single"/>
        </w:rPr>
        <w:t>Conclusion</w:t>
      </w:r>
      <w:r>
        <w:rPr>
          <w:rFonts w:ascii="Times New Roman" w:hAnsi="Times New Roman"/>
          <w:b/>
          <w:noProof/>
          <w:sz w:val="24"/>
        </w:rPr>
        <w:t xml:space="preserve"> </w:t>
      </w:r>
    </w:p>
    <w:p w14:paraId="0C5379A1"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Au cours des quatre dernières années, </w:t>
      </w:r>
      <w:r w:rsidRPr="00AE6EDA">
        <w:rPr>
          <w:rFonts w:ascii="Times New Roman" w:hAnsi="Times New Roman"/>
          <w:b/>
          <w:noProof/>
          <w:sz w:val="24"/>
          <w:lang w:val="fr-BE"/>
        </w:rPr>
        <w:t>l’Union a montré son indivisibilité et sa détermination à combattre les problèmes de notre génération, et ce pour les générations de demain</w:t>
      </w:r>
      <w:r w:rsidRPr="00AE6EDA">
        <w:rPr>
          <w:rFonts w:ascii="Times New Roman" w:hAnsi="Times New Roman"/>
          <w:noProof/>
          <w:sz w:val="24"/>
          <w:lang w:val="fr-BE"/>
        </w:rPr>
        <w:t xml:space="preserve">. Nous avons agi ensemble en apportant une réponse ferme pour soutenir une Europe de liberté, de prospérité et de paix. Nous devons poursuivre ces travaux et jeter des bases solides pour </w:t>
      </w:r>
      <w:r w:rsidRPr="00AE6EDA">
        <w:rPr>
          <w:rFonts w:ascii="Times New Roman" w:hAnsi="Times New Roman"/>
          <w:b/>
          <w:noProof/>
          <w:sz w:val="24"/>
          <w:lang w:val="fr-BE"/>
        </w:rPr>
        <w:t>renforcer notre Union et préparer l’avenir</w:t>
      </w:r>
      <w:r w:rsidRPr="00AE6EDA">
        <w:rPr>
          <w:rFonts w:ascii="Times New Roman" w:hAnsi="Times New Roman"/>
          <w:noProof/>
          <w:sz w:val="24"/>
          <w:lang w:val="fr-BE"/>
        </w:rPr>
        <w:t>.</w:t>
      </w:r>
    </w:p>
    <w:p w14:paraId="796DC7D6" w14:textId="77777777" w:rsidR="00AE6EDA"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 xml:space="preserve">Cette Commission travaillera jusqu’au dernier jour de son mandat pour relever nos défis communs. Nous apporterons un </w:t>
      </w:r>
      <w:r w:rsidRPr="00AE6EDA">
        <w:rPr>
          <w:rFonts w:ascii="Times New Roman" w:hAnsi="Times New Roman"/>
          <w:b/>
          <w:noProof/>
          <w:sz w:val="24"/>
          <w:lang w:val="fr-BE"/>
        </w:rPr>
        <w:t>soutien résolu au Parlement européen et au Conseil pour faciliter la conclusion d’accords</w:t>
      </w:r>
      <w:r w:rsidRPr="00AE6EDA">
        <w:rPr>
          <w:rFonts w:ascii="Times New Roman" w:hAnsi="Times New Roman"/>
          <w:noProof/>
          <w:sz w:val="24"/>
          <w:lang w:val="fr-BE"/>
        </w:rPr>
        <w:t xml:space="preserve"> sur les propositions essentielles restantes, tout en présentant </w:t>
      </w:r>
      <w:r w:rsidRPr="00AE6EDA">
        <w:rPr>
          <w:rFonts w:ascii="Times New Roman" w:hAnsi="Times New Roman"/>
          <w:b/>
          <w:noProof/>
          <w:sz w:val="24"/>
          <w:lang w:val="fr-BE"/>
        </w:rPr>
        <w:t>les quelques nouvelles initiatives</w:t>
      </w:r>
      <w:r w:rsidRPr="00AE6EDA">
        <w:rPr>
          <w:rFonts w:ascii="Times New Roman" w:hAnsi="Times New Roman"/>
          <w:noProof/>
          <w:sz w:val="24"/>
          <w:lang w:val="fr-BE"/>
        </w:rPr>
        <w:t xml:space="preserve"> toujours nécessaires </w:t>
      </w:r>
      <w:r w:rsidRPr="00AE6EDA">
        <w:rPr>
          <w:rFonts w:ascii="Times New Roman" w:hAnsi="Times New Roman"/>
          <w:b/>
          <w:noProof/>
          <w:sz w:val="24"/>
          <w:lang w:val="fr-BE"/>
        </w:rPr>
        <w:t>pour tenir nos promesses et préparer l’Union à demain</w:t>
      </w:r>
      <w:r w:rsidRPr="00AE6EDA">
        <w:rPr>
          <w:rFonts w:ascii="Times New Roman" w:hAnsi="Times New Roman"/>
          <w:noProof/>
          <w:sz w:val="24"/>
          <w:lang w:val="fr-BE"/>
        </w:rPr>
        <w:t xml:space="preserve">. </w:t>
      </w:r>
    </w:p>
    <w:p w14:paraId="6EEF8551" w14:textId="7CEA2E07" w:rsidR="00EA45FE" w:rsidRPr="00AE6EDA" w:rsidRDefault="00AE6EDA" w:rsidP="00AE6EDA">
      <w:pPr>
        <w:jc w:val="both"/>
        <w:rPr>
          <w:rFonts w:ascii="Times New Roman" w:hAnsi="Times New Roman" w:cs="Times New Roman"/>
          <w:noProof/>
          <w:sz w:val="24"/>
          <w:szCs w:val="24"/>
          <w:lang w:val="fr-BE"/>
        </w:rPr>
      </w:pPr>
      <w:r w:rsidRPr="00AE6EDA">
        <w:rPr>
          <w:rFonts w:ascii="Times New Roman" w:hAnsi="Times New Roman"/>
          <w:noProof/>
          <w:sz w:val="24"/>
          <w:lang w:val="fr-BE"/>
        </w:rPr>
        <w:t>Un aperçu détaillé des travaux prévus par la Commission en 2024 figure dans les annexes du présent programme de travail.</w:t>
      </w:r>
    </w:p>
    <w:sectPr w:rsidR="00EA45FE" w:rsidRPr="00AE6EDA">
      <w:headerReference w:type="even" r:id="rId18"/>
      <w:headerReference w:type="default" r:id="rId19"/>
      <w:footerReference w:type="even" r:id="rId20"/>
      <w:footerReference w:type="default" r:id="rId21"/>
      <w:headerReference w:type="first" r:id="rId22"/>
      <w:footerReference w:type="first" r:id="rId23"/>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C8E2B" w14:textId="77777777" w:rsidR="00DF0FAC" w:rsidRDefault="00DF0FAC" w:rsidP="00EA45FE">
      <w:pPr>
        <w:spacing w:after="0" w:line="240" w:lineRule="auto"/>
      </w:pPr>
      <w:r>
        <w:separator/>
      </w:r>
    </w:p>
  </w:endnote>
  <w:endnote w:type="continuationSeparator" w:id="0">
    <w:p w14:paraId="020D8F72" w14:textId="77777777" w:rsidR="00DF0FAC" w:rsidRDefault="00DF0FAC" w:rsidP="00EA45FE">
      <w:pPr>
        <w:spacing w:after="0" w:line="240" w:lineRule="auto"/>
      </w:pPr>
      <w:r>
        <w:continuationSeparator/>
      </w:r>
    </w:p>
  </w:endnote>
  <w:endnote w:type="continuationNotice" w:id="1">
    <w:p w14:paraId="3283F903" w14:textId="77777777" w:rsidR="00DF0FAC" w:rsidRDefault="00DF0FA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EC Square Sans Pro">
    <w:altName w:val="Bahnschrift Light"/>
    <w:charset w:val="00"/>
    <w:family w:val="swiss"/>
    <w:pitch w:val="variable"/>
    <w:sig w:usb0="00000001" w:usb1="00000001"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675E4" w14:textId="4BE95BD1" w:rsidR="00C80069" w:rsidRPr="00002245" w:rsidRDefault="00C80069" w:rsidP="0000224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DC1C5" w14:textId="48D360FC" w:rsidR="00C80069" w:rsidRPr="00002245" w:rsidRDefault="00002245" w:rsidP="00002245">
    <w:pPr>
      <w:pStyle w:val="FooterCoverPage"/>
      <w:rPr>
        <w:rFonts w:ascii="Arial" w:hAnsi="Arial" w:cs="Arial"/>
        <w:b/>
        <w:sz w:val="48"/>
      </w:rPr>
    </w:pPr>
    <w:r w:rsidRPr="00002245">
      <w:rPr>
        <w:rFonts w:ascii="Arial" w:hAnsi="Arial" w:cs="Arial"/>
        <w:b/>
        <w:sz w:val="48"/>
      </w:rPr>
      <w:t>FR</w:t>
    </w:r>
    <w:r w:rsidRPr="00002245">
      <w:rPr>
        <w:rFonts w:ascii="Arial" w:hAnsi="Arial" w:cs="Arial"/>
        <w:b/>
        <w:sz w:val="48"/>
      </w:rPr>
      <w:tab/>
    </w:r>
    <w:r w:rsidRPr="00002245">
      <w:rPr>
        <w:rFonts w:ascii="Arial" w:hAnsi="Arial" w:cs="Arial"/>
        <w:b/>
        <w:sz w:val="48"/>
      </w:rPr>
      <w:tab/>
    </w:r>
    <w:r w:rsidRPr="00002245">
      <w:tab/>
    </w:r>
    <w:r w:rsidRPr="00002245">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8773F1" w14:textId="77777777" w:rsidR="00002245" w:rsidRPr="00002245" w:rsidRDefault="00002245" w:rsidP="00002245">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369AFC" w14:textId="77777777" w:rsidR="00EE3447" w:rsidRPr="00EA45FE" w:rsidRDefault="00EE3447" w:rsidP="00EA45FE">
    <w:pPr>
      <w:pStyle w:val="FooterCoverPage"/>
      <w:rPr>
        <w:rFonts w:ascii="Arial" w:hAnsi="Arial" w:cs="Arial"/>
        <w:b/>
        <w:sz w:val="48"/>
      </w:rPr>
    </w:pPr>
    <w:r w:rsidRPr="00EA45FE">
      <w:rPr>
        <w:rFonts w:ascii="Arial" w:hAnsi="Arial" w:cs="Arial"/>
        <w:b/>
        <w:sz w:val="48"/>
      </w:rPr>
      <w:t>EN</w:t>
    </w:r>
    <w:r w:rsidRPr="00EA45FE">
      <w:rPr>
        <w:rFonts w:ascii="Arial" w:hAnsi="Arial" w:cs="Arial"/>
        <w:b/>
        <w:sz w:val="48"/>
      </w:rPr>
      <w:tab/>
    </w:r>
    <w:r w:rsidRPr="00EA45FE">
      <w:rPr>
        <w:rFonts w:ascii="Arial" w:hAnsi="Arial" w:cs="Arial"/>
        <w:b/>
        <w:sz w:val="48"/>
      </w:rPr>
      <w:tab/>
    </w:r>
    <w:r w:rsidRPr="00EA45FE">
      <w:tab/>
    </w:r>
    <w:r w:rsidRPr="00EA45FE">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BC9E10" w14:textId="0FB1FA57" w:rsidR="00EF3B0A" w:rsidRPr="00FD15A5" w:rsidRDefault="00307B15">
    <w:pPr>
      <w:pStyle w:val="Footer"/>
      <w:rPr>
        <w:rFonts w:ascii="Times New Roman" w:hAnsi="Times New Roman" w:cs="Times New Roman"/>
        <w:b/>
        <w:sz w:val="24"/>
        <w:szCs w:val="24"/>
      </w:rPr>
    </w:pPr>
    <w:r w:rsidRPr="00C32AB5">
      <w:rPr>
        <w:rFonts w:ascii="Arial" w:hAnsi="Arial" w:cs="Arial"/>
        <w:b/>
        <w:sz w:val="48"/>
      </w:rPr>
      <w:tab/>
    </w:r>
    <w:r w:rsidRPr="00B15FE1">
      <w:rPr>
        <w:rFonts w:ascii="Times New Roman" w:hAnsi="Times New Roman" w:cs="Times New Roman"/>
      </w:rPr>
      <w:fldChar w:fldCharType="begin"/>
    </w:r>
    <w:r w:rsidRPr="00B15FE1">
      <w:rPr>
        <w:rFonts w:ascii="Times New Roman" w:hAnsi="Times New Roman" w:cs="Times New Roman"/>
      </w:rPr>
      <w:instrText xml:space="preserve"> PAGE  \* MERGEFORMAT </w:instrText>
    </w:r>
    <w:r w:rsidRPr="00B15FE1">
      <w:rPr>
        <w:rFonts w:ascii="Times New Roman" w:hAnsi="Times New Roman" w:cs="Times New Roman"/>
      </w:rPr>
      <w:fldChar w:fldCharType="separate"/>
    </w:r>
    <w:r w:rsidR="00002245">
      <w:rPr>
        <w:rFonts w:ascii="Times New Roman" w:hAnsi="Times New Roman" w:cs="Times New Roman"/>
        <w:noProof/>
      </w:rPr>
      <w:t>2</w:t>
    </w:r>
    <w:r w:rsidRPr="00B15FE1">
      <w:rPr>
        <w:rFonts w:ascii="Times New Roman" w:hAnsi="Times New Roman" w:cs="Times New Roman"/>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9EB1C0" w14:textId="77777777" w:rsidR="00EF3B0A" w:rsidRPr="00B46227" w:rsidRDefault="00EF3B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A41E3F" w14:textId="77777777" w:rsidR="00DF0FAC" w:rsidRDefault="00DF0FAC" w:rsidP="00EA45FE">
      <w:pPr>
        <w:spacing w:after="0" w:line="240" w:lineRule="auto"/>
      </w:pPr>
      <w:r>
        <w:separator/>
      </w:r>
    </w:p>
  </w:footnote>
  <w:footnote w:type="continuationSeparator" w:id="0">
    <w:p w14:paraId="09D9D7BB" w14:textId="77777777" w:rsidR="00DF0FAC" w:rsidRDefault="00DF0FAC" w:rsidP="00EA45FE">
      <w:pPr>
        <w:spacing w:after="0" w:line="240" w:lineRule="auto"/>
      </w:pPr>
      <w:r>
        <w:continuationSeparator/>
      </w:r>
    </w:p>
  </w:footnote>
  <w:footnote w:type="continuationNotice" w:id="1">
    <w:p w14:paraId="000B1053" w14:textId="77777777" w:rsidR="00DF0FAC" w:rsidRDefault="00DF0FAC">
      <w:pPr>
        <w:spacing w:after="0" w:line="240" w:lineRule="auto"/>
      </w:pPr>
    </w:p>
  </w:footnote>
  <w:footnote w:id="2">
    <w:p w14:paraId="1AD18569" w14:textId="6C98A661" w:rsidR="00C80069" w:rsidRPr="00C80069" w:rsidRDefault="00C80069" w:rsidP="00C80069">
      <w:pPr>
        <w:pStyle w:val="FootnoteText"/>
        <w:rPr>
          <w:rFonts w:ascii="Times New Roman" w:hAnsi="Times New Roman" w:cs="Times New Roman"/>
          <w:lang w:val="fr-BE"/>
        </w:rPr>
      </w:pPr>
      <w:r>
        <w:rPr>
          <w:rStyle w:val="FootnoteReference"/>
        </w:rPr>
        <w:footnoteRef/>
      </w:r>
      <w:r w:rsidRPr="00C80069">
        <w:rPr>
          <w:rFonts w:ascii="Times New Roman" w:hAnsi="Times New Roman"/>
          <w:lang w:val="fr-BE"/>
        </w:rPr>
        <w:t xml:space="preserve"> </w:t>
      </w:r>
      <w:r w:rsidRPr="00C80069">
        <w:rPr>
          <w:lang w:val="fr-BE"/>
        </w:rPr>
        <w:tab/>
      </w:r>
      <w:hyperlink r:id="rId1" w:history="1">
        <w:r w:rsidRPr="00C80069">
          <w:rPr>
            <w:rStyle w:val="Hyperlink"/>
            <w:rFonts w:ascii="Times New Roman" w:hAnsi="Times New Roman"/>
            <w:lang w:val="fr-BE"/>
          </w:rPr>
          <w:t>Examen volontaire de l’UE</w:t>
        </w:r>
      </w:hyperlink>
      <w:r w:rsidRPr="00C80069">
        <w:rPr>
          <w:rFonts w:ascii="Times New Roman" w:hAnsi="Times New Roman"/>
          <w:lang w:val="fr-BE"/>
        </w:rPr>
        <w:t xml:space="preserve"> sur la mise en œuvre du programme de développement durable à </w:t>
      </w:r>
      <w:r w:rsidR="002076BA">
        <w:rPr>
          <w:rFonts w:ascii="Times New Roman" w:hAnsi="Times New Roman"/>
          <w:lang w:val="fr-BE"/>
        </w:rPr>
        <w:t xml:space="preserve">  </w:t>
      </w:r>
      <w:r w:rsidR="002076BA">
        <w:rPr>
          <w:rFonts w:ascii="Times New Roman" w:hAnsi="Times New Roman"/>
          <w:lang w:val="fr-BE"/>
        </w:rPr>
        <w:br/>
        <w:t xml:space="preserve">              </w:t>
      </w:r>
      <w:r w:rsidRPr="00C80069">
        <w:rPr>
          <w:rFonts w:ascii="Times New Roman" w:hAnsi="Times New Roman"/>
          <w:lang w:val="fr-BE"/>
        </w:rPr>
        <w:t>l’horizon 2030.</w:t>
      </w:r>
    </w:p>
  </w:footnote>
  <w:footnote w:id="3">
    <w:p w14:paraId="72F7CABC" w14:textId="77777777" w:rsidR="00C80069" w:rsidRPr="00C80069" w:rsidRDefault="00C80069" w:rsidP="00C80069">
      <w:pPr>
        <w:pStyle w:val="FootnoteText"/>
        <w:ind w:left="709" w:hanging="709"/>
        <w:rPr>
          <w:rFonts w:ascii="Times New Roman" w:hAnsi="Times New Roman" w:cs="Times New Roman"/>
          <w:lang w:val="fr-BE"/>
        </w:rPr>
      </w:pPr>
      <w:r>
        <w:rPr>
          <w:rStyle w:val="FootnoteReference"/>
        </w:rPr>
        <w:footnoteRef/>
      </w:r>
      <w:r w:rsidRPr="00C80069">
        <w:rPr>
          <w:rFonts w:ascii="Times New Roman" w:hAnsi="Times New Roman"/>
          <w:lang w:val="fr-BE"/>
        </w:rPr>
        <w:t xml:space="preserve"> </w:t>
      </w:r>
      <w:r w:rsidRPr="00C80069">
        <w:rPr>
          <w:lang w:val="fr-BE"/>
        </w:rPr>
        <w:tab/>
      </w:r>
      <w:r w:rsidRPr="00C80069">
        <w:rPr>
          <w:rFonts w:ascii="Times New Roman" w:hAnsi="Times New Roman"/>
          <w:lang w:val="fr-BE"/>
        </w:rPr>
        <w:t>Les objectifs de développement durable et le principe consistant à «ne pas causer de préjudice important» ont été intégrés dans la boîte à outils pour une meilleure réglementation et dans l’élaboration des politiques de la Commission afin de garantir que toutes les propositions législatives contribuent au programme de développement durable à l’horizon 2030.</w:t>
      </w:r>
    </w:p>
  </w:footnote>
  <w:footnote w:id="4">
    <w:p w14:paraId="272973FA" w14:textId="77777777" w:rsidR="00C80069" w:rsidRPr="00C80069" w:rsidRDefault="00C80069" w:rsidP="00C80069">
      <w:pPr>
        <w:pStyle w:val="FootnoteText"/>
        <w:rPr>
          <w:rFonts w:ascii="Times New Roman" w:hAnsi="Times New Roman" w:cs="Times New Roman"/>
          <w:lang w:val="fr-BE"/>
        </w:rPr>
      </w:pPr>
      <w:r>
        <w:rPr>
          <w:rStyle w:val="FootnoteReference"/>
        </w:rPr>
        <w:footnoteRef/>
      </w:r>
      <w:r w:rsidRPr="00C80069">
        <w:rPr>
          <w:rFonts w:ascii="Times New Roman" w:hAnsi="Times New Roman"/>
          <w:lang w:val="fr-BE"/>
        </w:rPr>
        <w:t xml:space="preserve"> </w:t>
      </w:r>
      <w:r w:rsidRPr="00C80069">
        <w:rPr>
          <w:lang w:val="fr-BE"/>
        </w:rPr>
        <w:tab/>
      </w:r>
      <w:r w:rsidRPr="00C80069">
        <w:rPr>
          <w:rFonts w:ascii="Times New Roman" w:hAnsi="Times New Roman"/>
          <w:lang w:val="fr-BE"/>
        </w:rPr>
        <w:t>COM(2023) 168.</w:t>
      </w:r>
    </w:p>
  </w:footnote>
  <w:footnote w:id="5">
    <w:p w14:paraId="7C530406" w14:textId="77777777" w:rsidR="00C80069" w:rsidRPr="00C80069" w:rsidRDefault="00C80069" w:rsidP="00C80069">
      <w:pPr>
        <w:ind w:left="709" w:hanging="709"/>
        <w:jc w:val="both"/>
        <w:rPr>
          <w:rFonts w:ascii="Times New Roman" w:hAnsi="Times New Roman" w:cs="Times New Roman"/>
          <w:sz w:val="20"/>
          <w:szCs w:val="20"/>
          <w:lang w:val="fr-BE"/>
        </w:rPr>
      </w:pPr>
      <w:r>
        <w:rPr>
          <w:rStyle w:val="FootnoteReference"/>
          <w:sz w:val="20"/>
          <w:szCs w:val="20"/>
        </w:rPr>
        <w:footnoteRef/>
      </w:r>
      <w:r w:rsidRPr="00C80069">
        <w:rPr>
          <w:rFonts w:ascii="Times New Roman" w:hAnsi="Times New Roman"/>
          <w:sz w:val="20"/>
          <w:lang w:val="fr-BE"/>
        </w:rPr>
        <w:t xml:space="preserve"> </w:t>
      </w:r>
      <w:r w:rsidRPr="00C80069">
        <w:rPr>
          <w:lang w:val="fr-BE"/>
        </w:rPr>
        <w:tab/>
      </w:r>
      <w:r w:rsidRPr="00C80069">
        <w:rPr>
          <w:rFonts w:ascii="Times New Roman" w:hAnsi="Times New Roman"/>
          <w:sz w:val="20"/>
          <w:lang w:val="fr-BE"/>
        </w:rPr>
        <w:t>Pour un aperçu détaillé des initiatives prises depuis le 16 mars 2023, que le présent programme de travail entend faire progresser ou qui seront adoptées ultérieurement, voir l’annexe II.</w:t>
      </w:r>
    </w:p>
  </w:footnote>
  <w:footnote w:id="6">
    <w:p w14:paraId="17CE61F4" w14:textId="77777777" w:rsidR="00C80069" w:rsidRPr="00C80069" w:rsidRDefault="00C80069" w:rsidP="00C80069">
      <w:pPr>
        <w:ind w:left="709" w:hanging="709"/>
        <w:rPr>
          <w:color w:val="1F497D"/>
          <w:lang w:val="fr-BE"/>
        </w:rPr>
      </w:pPr>
      <w:r>
        <w:rPr>
          <w:rStyle w:val="FootnoteReference"/>
          <w:sz w:val="18"/>
          <w:szCs w:val="18"/>
        </w:rPr>
        <w:footnoteRef/>
      </w:r>
      <w:r w:rsidRPr="00C80069">
        <w:rPr>
          <w:rFonts w:ascii="Times New Roman" w:hAnsi="Times New Roman"/>
          <w:sz w:val="18"/>
          <w:lang w:val="fr-BE"/>
        </w:rPr>
        <w:t xml:space="preserve"> </w:t>
      </w:r>
      <w:r w:rsidRPr="00C80069">
        <w:rPr>
          <w:lang w:val="fr-BE"/>
        </w:rPr>
        <w:tab/>
      </w:r>
      <w:r w:rsidRPr="00C80069">
        <w:rPr>
          <w:rStyle w:val="Hyperlink"/>
          <w:rFonts w:ascii="Times New Roman" w:hAnsi="Times New Roman"/>
          <w:sz w:val="20"/>
          <w:lang w:val="fr-BE"/>
        </w:rPr>
        <w:t xml:space="preserve">https://ec.europa.eu/info/law/better-regulation/have-your-say/initiatives/13990-Administrative-burden-rationalisation-of-reporting-requirements_fr </w:t>
      </w:r>
    </w:p>
  </w:footnote>
  <w:footnote w:id="7">
    <w:p w14:paraId="63908636" w14:textId="77777777" w:rsidR="00C80069" w:rsidRPr="00C80069" w:rsidRDefault="00C80069" w:rsidP="00C80069">
      <w:pPr>
        <w:pStyle w:val="FootnoteText"/>
        <w:rPr>
          <w:lang w:val="fr-BE"/>
        </w:rPr>
      </w:pPr>
      <w:r>
        <w:rPr>
          <w:rStyle w:val="FootnoteReference"/>
        </w:rPr>
        <w:footnoteRef/>
      </w:r>
      <w:r w:rsidRPr="00C80069">
        <w:rPr>
          <w:lang w:val="fr-BE"/>
        </w:rPr>
        <w:t xml:space="preserve"> </w:t>
      </w:r>
      <w:r w:rsidRPr="00C80069">
        <w:rPr>
          <w:lang w:val="fr-BE"/>
        </w:rPr>
        <w:tab/>
      </w:r>
      <w:r w:rsidRPr="00C80069">
        <w:rPr>
          <w:rFonts w:ascii="Times New Roman" w:hAnsi="Times New Roman"/>
          <w:lang w:val="fr-BE"/>
        </w:rPr>
        <w:t>Voir l’annexe II pour un aperçu détaillé des initiatives et propositions.</w:t>
      </w:r>
    </w:p>
  </w:footnote>
  <w:footnote w:id="8">
    <w:p w14:paraId="3A79A4C7" w14:textId="77777777" w:rsidR="00C80069" w:rsidRPr="00C80069" w:rsidRDefault="00C80069" w:rsidP="00C80069">
      <w:pPr>
        <w:pStyle w:val="FootnoteText"/>
        <w:ind w:left="709" w:hanging="709"/>
        <w:rPr>
          <w:rFonts w:ascii="Times New Roman" w:hAnsi="Times New Roman" w:cs="Times New Roman"/>
          <w:lang w:val="fr-BE"/>
        </w:rPr>
      </w:pPr>
      <w:r>
        <w:rPr>
          <w:rStyle w:val="FootnoteReference"/>
          <w:rFonts w:ascii="Times New Roman" w:hAnsi="Times New Roman" w:cs="Times New Roman"/>
        </w:rPr>
        <w:footnoteRef/>
      </w:r>
      <w:r w:rsidRPr="00C80069">
        <w:rPr>
          <w:rFonts w:ascii="Times New Roman" w:hAnsi="Times New Roman"/>
          <w:lang w:val="fr-BE"/>
        </w:rPr>
        <w:t xml:space="preserve"> </w:t>
      </w:r>
      <w:r w:rsidRPr="00C80069">
        <w:rPr>
          <w:lang w:val="fr-BE"/>
        </w:rPr>
        <w:tab/>
      </w:r>
      <w:r w:rsidRPr="00C80069">
        <w:rPr>
          <w:rFonts w:ascii="Times New Roman" w:hAnsi="Times New Roman"/>
          <w:lang w:val="fr-BE"/>
        </w:rPr>
        <w:t xml:space="preserve">Examen annuel de la charge 2022; https://commission.europa.eu/publications/2022-annual-burden-survey_en </w:t>
      </w:r>
    </w:p>
  </w:footnote>
  <w:footnote w:id="9">
    <w:p w14:paraId="078E7D87" w14:textId="77777777" w:rsidR="00AE6EDA" w:rsidRPr="00AE6EDA" w:rsidRDefault="00AE6EDA" w:rsidP="00AE6EDA">
      <w:pPr>
        <w:pStyle w:val="FootnoteText"/>
        <w:jc w:val="both"/>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JOIN(2023) 9.</w:t>
      </w:r>
    </w:p>
  </w:footnote>
  <w:footnote w:id="10">
    <w:p w14:paraId="00724D42"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COM(2022) 349.</w:t>
      </w:r>
    </w:p>
  </w:footnote>
  <w:footnote w:id="11">
    <w:p w14:paraId="3C0A8CB5"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Règlement (UE) 2023/1525 du 20 juillet 2023.</w:t>
      </w:r>
    </w:p>
  </w:footnote>
  <w:footnote w:id="12">
    <w:p w14:paraId="7BC4CA47" w14:textId="77777777" w:rsidR="00AE6EDA" w:rsidRPr="00AE6EDA" w:rsidRDefault="00AE6EDA" w:rsidP="00AE6EDA">
      <w:pPr>
        <w:pStyle w:val="FootnoteText"/>
        <w:jc w:val="both"/>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hyperlink r:id="rId2" w:history="1">
        <w:r w:rsidRPr="00AE6EDA">
          <w:rPr>
            <w:rStyle w:val="Hyperlink"/>
            <w:rFonts w:ascii="Times New Roman" w:hAnsi="Times New Roman"/>
            <w:lang w:val="fr-BE"/>
          </w:rPr>
          <w:t>https://www.nato.int/cps/fr/natohq/official_texts_210549.htm</w:t>
        </w:r>
      </w:hyperlink>
      <w:r w:rsidRPr="00AE6EDA">
        <w:rPr>
          <w:rFonts w:ascii="Times New Roman" w:hAnsi="Times New Roman"/>
          <w:lang w:val="fr-BE"/>
        </w:rPr>
        <w:t xml:space="preserve"> </w:t>
      </w:r>
    </w:p>
  </w:footnote>
  <w:footnote w:id="13">
    <w:p w14:paraId="4790F8E2" w14:textId="77777777" w:rsidR="00AE6EDA" w:rsidRPr="00AE6EDA" w:rsidRDefault="00AE6EDA" w:rsidP="00AE6EDA">
      <w:pPr>
        <w:pStyle w:val="FootnoteText"/>
        <w:jc w:val="both"/>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JOIN(2021) 30.</w:t>
      </w:r>
    </w:p>
  </w:footnote>
  <w:footnote w:id="14">
    <w:p w14:paraId="1FA8CFF1"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JOIN(2022) 23.</w:t>
      </w:r>
    </w:p>
  </w:footnote>
  <w:footnote w:id="15">
    <w:p w14:paraId="2A3E2239"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JOIN(2022) 28.</w:t>
      </w:r>
    </w:p>
  </w:footnote>
  <w:footnote w:id="16">
    <w:p w14:paraId="2CB3BE19"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JOIN(2023) 9.</w:t>
      </w:r>
    </w:p>
  </w:footnote>
  <w:footnote w:id="17">
    <w:p w14:paraId="06909350"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JOIN(2023) 8.</w:t>
      </w:r>
    </w:p>
  </w:footnote>
  <w:footnote w:id="18">
    <w:p w14:paraId="73700973"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JOIN(2022) 13.</w:t>
      </w:r>
    </w:p>
  </w:footnote>
  <w:footnote w:id="19">
    <w:p w14:paraId="2C27731F"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JOIN(2023) 17.</w:t>
      </w:r>
    </w:p>
  </w:footnote>
  <w:footnote w:id="20">
    <w:p w14:paraId="007826EF" w14:textId="77777777" w:rsidR="00AE6EDA" w:rsidRPr="00AE6EDA" w:rsidRDefault="00AE6EDA" w:rsidP="00AE6EDA">
      <w:pPr>
        <w:pStyle w:val="FootnoteText"/>
        <w:rPr>
          <w:lang w:val="fr-BE"/>
        </w:rPr>
      </w:pPr>
      <w:r>
        <w:rPr>
          <w:rStyle w:val="FootnoteReference"/>
        </w:rPr>
        <w:footnoteRef/>
      </w:r>
      <w:r w:rsidRPr="00AE6EDA">
        <w:rPr>
          <w:rFonts w:ascii="Times New Roman" w:hAnsi="Times New Roman"/>
          <w:lang w:val="fr-BE"/>
        </w:rPr>
        <w:t xml:space="preserve"> </w:t>
      </w:r>
      <w:r w:rsidRPr="00AE6EDA">
        <w:rPr>
          <w:lang w:val="fr-BE"/>
        </w:rPr>
        <w:tab/>
      </w:r>
      <w:hyperlink r:id="rId3" w:history="1">
        <w:r w:rsidRPr="00AE6EDA">
          <w:rPr>
            <w:rStyle w:val="Hyperlink"/>
            <w:rFonts w:ascii="Times New Roman" w:hAnsi="Times New Roman"/>
            <w:lang w:val="fr-BE"/>
          </w:rPr>
          <w:t>https://www.eeas.europa.eu/eeas/strategic-compass-security-and-defence-1_en</w:t>
        </w:r>
      </w:hyperlink>
      <w:r w:rsidRPr="00AE6EDA">
        <w:rPr>
          <w:rFonts w:ascii="Times New Roman" w:hAnsi="Times New Roman"/>
          <w:lang w:val="fr-BE"/>
        </w:rPr>
        <w:t xml:space="preserve"> </w:t>
      </w:r>
    </w:p>
  </w:footnote>
  <w:footnote w:id="21">
    <w:p w14:paraId="1C7A5AEB"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COM(2022) 675.</w:t>
      </w:r>
    </w:p>
  </w:footnote>
  <w:footnote w:id="22">
    <w:p w14:paraId="1CFEB6C7" w14:textId="77777777" w:rsidR="00AE6EDA" w:rsidRPr="00AE6EDA" w:rsidRDefault="00AE6EDA" w:rsidP="00AE6EDA">
      <w:pPr>
        <w:pStyle w:val="FootnoteText"/>
        <w:rPr>
          <w:lang w:val="fr-BE"/>
        </w:rPr>
      </w:pPr>
      <w:r>
        <w:rPr>
          <w:rStyle w:val="FootnoteReference"/>
        </w:rPr>
        <w:footnoteRef/>
      </w:r>
      <w:r w:rsidRPr="00AE6EDA">
        <w:rPr>
          <w:lang w:val="fr-BE"/>
        </w:rPr>
        <w:t xml:space="preserve"> </w:t>
      </w:r>
      <w:r w:rsidRPr="00AE6EDA">
        <w:rPr>
          <w:lang w:val="fr-BE"/>
        </w:rPr>
        <w:tab/>
      </w:r>
      <w:r w:rsidRPr="00AE6EDA">
        <w:rPr>
          <w:rFonts w:ascii="Times New Roman" w:hAnsi="Times New Roman"/>
          <w:sz w:val="22"/>
          <w:lang w:val="fr-BE"/>
        </w:rPr>
        <w:t>COM(2020) 609</w:t>
      </w:r>
    </w:p>
  </w:footnote>
  <w:footnote w:id="23">
    <w:p w14:paraId="72B6A141" w14:textId="77777777" w:rsidR="00AE6EDA" w:rsidRPr="00AE6EDA" w:rsidRDefault="00AE6EDA" w:rsidP="00AE6EDA">
      <w:pPr>
        <w:pStyle w:val="FootnoteText"/>
        <w:rPr>
          <w:rFonts w:ascii="Times New Roman" w:hAnsi="Times New Roman" w:cs="Times New Roman"/>
          <w:lang w:val="fr-BE"/>
        </w:rPr>
      </w:pPr>
      <w:r>
        <w:rPr>
          <w:rStyle w:val="FootnoteReference"/>
        </w:rPr>
        <w:footnoteRef/>
      </w:r>
      <w:r w:rsidRPr="00AE6EDA">
        <w:rPr>
          <w:lang w:val="fr-BE"/>
        </w:rPr>
        <w:t xml:space="preserve"> </w:t>
      </w:r>
      <w:r w:rsidRPr="00AE6EDA">
        <w:rPr>
          <w:lang w:val="fr-BE"/>
        </w:rPr>
        <w:tab/>
      </w:r>
      <w:r w:rsidRPr="00AE6EDA">
        <w:rPr>
          <w:rFonts w:ascii="Times New Roman" w:hAnsi="Times New Roman"/>
          <w:lang w:val="fr-BE"/>
        </w:rPr>
        <w:t>COM(2020) 605.</w:t>
      </w:r>
    </w:p>
  </w:footnote>
  <w:footnote w:id="24">
    <w:p w14:paraId="63554292" w14:textId="77777777" w:rsidR="00AE6EDA" w:rsidRPr="00AE6EDA" w:rsidRDefault="00AE6EDA" w:rsidP="00AE6EDA">
      <w:pPr>
        <w:pStyle w:val="FootnoteText"/>
        <w:rPr>
          <w:lang w:val="fr-BE"/>
        </w:rPr>
      </w:pPr>
      <w:r>
        <w:rPr>
          <w:rStyle w:val="FootnoteReference"/>
        </w:rPr>
        <w:footnoteRef/>
      </w:r>
      <w:r w:rsidRPr="00AE6EDA">
        <w:rPr>
          <w:rFonts w:ascii="Times New Roman" w:hAnsi="Times New Roman"/>
          <w:lang w:val="fr-BE"/>
        </w:rPr>
        <w:t xml:space="preserve"> </w:t>
      </w:r>
      <w:r w:rsidRPr="00AE6EDA">
        <w:rPr>
          <w:lang w:val="fr-BE"/>
        </w:rPr>
        <w:tab/>
      </w:r>
      <w:r w:rsidRPr="00AE6EDA">
        <w:rPr>
          <w:rFonts w:ascii="Times New Roman" w:hAnsi="Times New Roman"/>
          <w:lang w:val="fr-BE"/>
        </w:rPr>
        <w:t>Gaspillage alimentaire, mondes virtuels et mobilité à des fins d’apprentissage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8C99E0" w14:textId="77777777" w:rsidR="00002245" w:rsidRPr="00002245" w:rsidRDefault="00002245" w:rsidP="0000224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9B7B50" w14:textId="77777777" w:rsidR="00002245" w:rsidRPr="00002245" w:rsidRDefault="00002245" w:rsidP="00002245">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21EE0E" w14:textId="77777777" w:rsidR="00002245" w:rsidRPr="00002245" w:rsidRDefault="00002245" w:rsidP="00002245">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C2640" w14:textId="77777777" w:rsidR="005C7EEC" w:rsidRDefault="005C7E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B201F7" w14:textId="77777777" w:rsidR="001B20A8" w:rsidRDefault="001B20A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F5D661" w14:textId="77777777" w:rsidR="00653BA1" w:rsidRDefault="00653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BACC148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231400D6"/>
    <w:multiLevelType w:val="multilevel"/>
    <w:tmpl w:val="83167E7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265D8FA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2E496BEA"/>
    <w:multiLevelType w:val="multilevel"/>
    <w:tmpl w:val="6F94E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E4B2F3A"/>
    <w:multiLevelType w:val="hybridMultilevel"/>
    <w:tmpl w:val="FFFFFFFF"/>
    <w:lvl w:ilvl="0" w:tplc="C38C7810">
      <w:start w:val="10"/>
      <w:numFmt w:val="upperRoman"/>
      <w:lvlText w:val="%1."/>
      <w:lvlJc w:val="right"/>
      <w:pPr>
        <w:ind w:left="720" w:hanging="360"/>
      </w:pPr>
    </w:lvl>
    <w:lvl w:ilvl="1" w:tplc="87AE87D6">
      <w:start w:val="1"/>
      <w:numFmt w:val="lowerLetter"/>
      <w:lvlText w:val="%2."/>
      <w:lvlJc w:val="left"/>
      <w:pPr>
        <w:ind w:left="1440" w:hanging="360"/>
      </w:pPr>
    </w:lvl>
    <w:lvl w:ilvl="2" w:tplc="AF6EBF1A">
      <w:start w:val="1"/>
      <w:numFmt w:val="lowerRoman"/>
      <w:lvlText w:val="%3."/>
      <w:lvlJc w:val="right"/>
      <w:pPr>
        <w:ind w:left="2160" w:hanging="180"/>
      </w:pPr>
    </w:lvl>
    <w:lvl w:ilvl="3" w:tplc="02A6FFD6">
      <w:start w:val="1"/>
      <w:numFmt w:val="decimal"/>
      <w:lvlText w:val="%4."/>
      <w:lvlJc w:val="left"/>
      <w:pPr>
        <w:ind w:left="2880" w:hanging="360"/>
      </w:pPr>
    </w:lvl>
    <w:lvl w:ilvl="4" w:tplc="3CA03630">
      <w:start w:val="1"/>
      <w:numFmt w:val="lowerLetter"/>
      <w:lvlText w:val="%5."/>
      <w:lvlJc w:val="left"/>
      <w:pPr>
        <w:ind w:left="3600" w:hanging="360"/>
      </w:pPr>
    </w:lvl>
    <w:lvl w:ilvl="5" w:tplc="3FD8CF2C">
      <w:start w:val="1"/>
      <w:numFmt w:val="lowerRoman"/>
      <w:lvlText w:val="%6."/>
      <w:lvlJc w:val="right"/>
      <w:pPr>
        <w:ind w:left="4320" w:hanging="180"/>
      </w:pPr>
    </w:lvl>
    <w:lvl w:ilvl="6" w:tplc="5A641F60">
      <w:start w:val="1"/>
      <w:numFmt w:val="decimal"/>
      <w:lvlText w:val="%7."/>
      <w:lvlJc w:val="left"/>
      <w:pPr>
        <w:ind w:left="5040" w:hanging="360"/>
      </w:pPr>
    </w:lvl>
    <w:lvl w:ilvl="7" w:tplc="1A1060E2">
      <w:start w:val="1"/>
      <w:numFmt w:val="lowerLetter"/>
      <w:lvlText w:val="%8."/>
      <w:lvlJc w:val="left"/>
      <w:pPr>
        <w:ind w:left="5760" w:hanging="360"/>
      </w:pPr>
    </w:lvl>
    <w:lvl w:ilvl="8" w:tplc="11DEB15A">
      <w:start w:val="1"/>
      <w:numFmt w:val="lowerRoman"/>
      <w:lvlText w:val="%9."/>
      <w:lvlJc w:val="right"/>
      <w:pPr>
        <w:ind w:left="6480" w:hanging="180"/>
      </w:pPr>
    </w:lvl>
  </w:abstractNum>
  <w:abstractNum w:abstractNumId="5" w15:restartNumberingAfterBreak="0">
    <w:nsid w:val="4F386B5F"/>
    <w:multiLevelType w:val="hybridMultilevel"/>
    <w:tmpl w:val="4DD2C996"/>
    <w:lvl w:ilvl="0" w:tplc="AB1604E4">
      <w:numFmt w:val="bullet"/>
      <w:pStyle w:val="Bulletparagraph"/>
      <w:lvlText w:val="•"/>
      <w:lvlJc w:val="left"/>
      <w:pPr>
        <w:ind w:left="460" w:hanging="360"/>
      </w:pPr>
      <w:rPr>
        <w:rFonts w:hint="default"/>
        <w:i/>
        <w:color w:val="F58751"/>
        <w:spacing w:val="-17"/>
        <w:w w:val="100"/>
        <w:sz w:val="24"/>
        <w:szCs w:val="24"/>
        <w:lang w:val="en-US" w:eastAsia="en-US" w:bidi="en-US"/>
      </w:rPr>
    </w:lvl>
    <w:lvl w:ilvl="1" w:tplc="625AB350">
      <w:numFmt w:val="bullet"/>
      <w:lvlText w:val="•"/>
      <w:lvlJc w:val="left"/>
      <w:pPr>
        <w:ind w:left="1354" w:hanging="360"/>
      </w:pPr>
      <w:rPr>
        <w:rFonts w:hint="default"/>
        <w:lang w:val="en-US" w:eastAsia="en-US" w:bidi="en-US"/>
      </w:rPr>
    </w:lvl>
    <w:lvl w:ilvl="2" w:tplc="AF0AB9BE">
      <w:numFmt w:val="bullet"/>
      <w:lvlText w:val="•"/>
      <w:lvlJc w:val="left"/>
      <w:pPr>
        <w:ind w:left="2249" w:hanging="360"/>
      </w:pPr>
      <w:rPr>
        <w:rFonts w:hint="default"/>
        <w:lang w:val="en-US" w:eastAsia="en-US" w:bidi="en-US"/>
      </w:rPr>
    </w:lvl>
    <w:lvl w:ilvl="3" w:tplc="21F04CD0">
      <w:numFmt w:val="bullet"/>
      <w:lvlText w:val="•"/>
      <w:lvlJc w:val="left"/>
      <w:pPr>
        <w:ind w:left="3143" w:hanging="360"/>
      </w:pPr>
      <w:rPr>
        <w:rFonts w:hint="default"/>
        <w:lang w:val="en-US" w:eastAsia="en-US" w:bidi="en-US"/>
      </w:rPr>
    </w:lvl>
    <w:lvl w:ilvl="4" w:tplc="54D4CA32">
      <w:numFmt w:val="bullet"/>
      <w:lvlText w:val="•"/>
      <w:lvlJc w:val="left"/>
      <w:pPr>
        <w:ind w:left="4038" w:hanging="360"/>
      </w:pPr>
      <w:rPr>
        <w:rFonts w:hint="default"/>
        <w:lang w:val="en-US" w:eastAsia="en-US" w:bidi="en-US"/>
      </w:rPr>
    </w:lvl>
    <w:lvl w:ilvl="5" w:tplc="6C1E46A8">
      <w:numFmt w:val="bullet"/>
      <w:lvlText w:val="•"/>
      <w:lvlJc w:val="left"/>
      <w:pPr>
        <w:ind w:left="4932" w:hanging="360"/>
      </w:pPr>
      <w:rPr>
        <w:rFonts w:hint="default"/>
        <w:lang w:val="en-US" w:eastAsia="en-US" w:bidi="en-US"/>
      </w:rPr>
    </w:lvl>
    <w:lvl w:ilvl="6" w:tplc="FF08939C">
      <w:numFmt w:val="bullet"/>
      <w:lvlText w:val="•"/>
      <w:lvlJc w:val="left"/>
      <w:pPr>
        <w:ind w:left="5827" w:hanging="360"/>
      </w:pPr>
      <w:rPr>
        <w:rFonts w:hint="default"/>
        <w:lang w:val="en-US" w:eastAsia="en-US" w:bidi="en-US"/>
      </w:rPr>
    </w:lvl>
    <w:lvl w:ilvl="7" w:tplc="47CCC106">
      <w:numFmt w:val="bullet"/>
      <w:lvlText w:val="•"/>
      <w:lvlJc w:val="left"/>
      <w:pPr>
        <w:ind w:left="6721" w:hanging="360"/>
      </w:pPr>
      <w:rPr>
        <w:rFonts w:hint="default"/>
        <w:lang w:val="en-US" w:eastAsia="en-US" w:bidi="en-US"/>
      </w:rPr>
    </w:lvl>
    <w:lvl w:ilvl="8" w:tplc="88084286">
      <w:numFmt w:val="bullet"/>
      <w:lvlText w:val="•"/>
      <w:lvlJc w:val="left"/>
      <w:pPr>
        <w:ind w:left="7616" w:hanging="360"/>
      </w:pPr>
      <w:rPr>
        <w:rFonts w:hint="default"/>
        <w:lang w:val="en-US" w:eastAsia="en-US" w:bidi="en-US"/>
      </w:rPr>
    </w:lvl>
  </w:abstractNum>
  <w:abstractNum w:abstractNumId="6" w15:restartNumberingAfterBreak="0">
    <w:nsid w:val="5F65DD5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62A223B7"/>
    <w:multiLevelType w:val="hybridMultilevel"/>
    <w:tmpl w:val="D6F87DC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ED7D199"/>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72323160"/>
    <w:multiLevelType w:val="multilevel"/>
    <w:tmpl w:val="FCB6707C"/>
    <w:lvl w:ilvl="0">
      <w:start w:val="1"/>
      <w:numFmt w:val="decimal"/>
      <w:lvlText w:val="%1."/>
      <w:lvlJc w:val="left"/>
      <w:pPr>
        <w:ind w:left="360" w:hanging="360"/>
      </w:pPr>
      <w:rPr>
        <w:rFonts w:hint="default"/>
        <w:b/>
        <w:bCs/>
        <w:i w:val="0"/>
        <w:i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794A171A"/>
    <w:multiLevelType w:val="hybridMultilevel"/>
    <w:tmpl w:val="FFFFFFFF"/>
    <w:lvl w:ilvl="0" w:tplc="F63A8F1A">
      <w:start w:val="1"/>
      <w:numFmt w:val="bullet"/>
      <w:lvlText w:val="Ø"/>
      <w:lvlJc w:val="left"/>
      <w:pPr>
        <w:ind w:left="720" w:hanging="360"/>
      </w:pPr>
      <w:rPr>
        <w:rFonts w:ascii="Wingdings" w:hAnsi="Wingdings" w:hint="default"/>
      </w:rPr>
    </w:lvl>
    <w:lvl w:ilvl="1" w:tplc="567C3B1A">
      <w:start w:val="1"/>
      <w:numFmt w:val="bullet"/>
      <w:lvlText w:val="o"/>
      <w:lvlJc w:val="left"/>
      <w:pPr>
        <w:ind w:left="1440" w:hanging="360"/>
      </w:pPr>
      <w:rPr>
        <w:rFonts w:ascii="Courier New" w:hAnsi="Courier New" w:hint="default"/>
      </w:rPr>
    </w:lvl>
    <w:lvl w:ilvl="2" w:tplc="C5F01592">
      <w:start w:val="1"/>
      <w:numFmt w:val="bullet"/>
      <w:lvlText w:val=""/>
      <w:lvlJc w:val="left"/>
      <w:pPr>
        <w:ind w:left="2160" w:hanging="360"/>
      </w:pPr>
      <w:rPr>
        <w:rFonts w:ascii="Wingdings" w:hAnsi="Wingdings" w:hint="default"/>
      </w:rPr>
    </w:lvl>
    <w:lvl w:ilvl="3" w:tplc="E8B2907A">
      <w:start w:val="1"/>
      <w:numFmt w:val="bullet"/>
      <w:lvlText w:val=""/>
      <w:lvlJc w:val="left"/>
      <w:pPr>
        <w:ind w:left="2880" w:hanging="360"/>
      </w:pPr>
      <w:rPr>
        <w:rFonts w:ascii="Symbol" w:hAnsi="Symbol" w:hint="default"/>
      </w:rPr>
    </w:lvl>
    <w:lvl w:ilvl="4" w:tplc="1C3453BC">
      <w:start w:val="1"/>
      <w:numFmt w:val="bullet"/>
      <w:lvlText w:val="o"/>
      <w:lvlJc w:val="left"/>
      <w:pPr>
        <w:ind w:left="3600" w:hanging="360"/>
      </w:pPr>
      <w:rPr>
        <w:rFonts w:ascii="Courier New" w:hAnsi="Courier New" w:hint="default"/>
      </w:rPr>
    </w:lvl>
    <w:lvl w:ilvl="5" w:tplc="E7E60426">
      <w:start w:val="1"/>
      <w:numFmt w:val="bullet"/>
      <w:lvlText w:val=""/>
      <w:lvlJc w:val="left"/>
      <w:pPr>
        <w:ind w:left="4320" w:hanging="360"/>
      </w:pPr>
      <w:rPr>
        <w:rFonts w:ascii="Wingdings" w:hAnsi="Wingdings" w:hint="default"/>
      </w:rPr>
    </w:lvl>
    <w:lvl w:ilvl="6" w:tplc="99B0819A">
      <w:start w:val="1"/>
      <w:numFmt w:val="bullet"/>
      <w:lvlText w:val=""/>
      <w:lvlJc w:val="left"/>
      <w:pPr>
        <w:ind w:left="5040" w:hanging="360"/>
      </w:pPr>
      <w:rPr>
        <w:rFonts w:ascii="Symbol" w:hAnsi="Symbol" w:hint="default"/>
      </w:rPr>
    </w:lvl>
    <w:lvl w:ilvl="7" w:tplc="99B4FBC0">
      <w:start w:val="1"/>
      <w:numFmt w:val="bullet"/>
      <w:lvlText w:val="o"/>
      <w:lvlJc w:val="left"/>
      <w:pPr>
        <w:ind w:left="5760" w:hanging="360"/>
      </w:pPr>
      <w:rPr>
        <w:rFonts w:ascii="Courier New" w:hAnsi="Courier New" w:hint="default"/>
      </w:rPr>
    </w:lvl>
    <w:lvl w:ilvl="8" w:tplc="7A70B8EE">
      <w:start w:val="1"/>
      <w:numFmt w:val="bullet"/>
      <w:lvlText w:val=""/>
      <w:lvlJc w:val="left"/>
      <w:pPr>
        <w:ind w:left="6480" w:hanging="360"/>
      </w:pPr>
      <w:rPr>
        <w:rFonts w:ascii="Wingdings" w:hAnsi="Wingdings" w:hint="default"/>
      </w:rPr>
    </w:lvl>
  </w:abstractNum>
  <w:abstractNum w:abstractNumId="11" w15:restartNumberingAfterBreak="0">
    <w:nsid w:val="7A9278D3"/>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9"/>
  </w:num>
  <w:num w:numId="2">
    <w:abstractNumId w:val="1"/>
  </w:num>
  <w:num w:numId="3">
    <w:abstractNumId w:val="7"/>
  </w:num>
  <w:num w:numId="4">
    <w:abstractNumId w:val="0"/>
  </w:num>
  <w:num w:numId="5">
    <w:abstractNumId w:val="8"/>
  </w:num>
  <w:num w:numId="6">
    <w:abstractNumId w:val="11"/>
  </w:num>
  <w:num w:numId="7">
    <w:abstractNumId w:val="2"/>
  </w:num>
  <w:num w:numId="8">
    <w:abstractNumId w:val="6"/>
  </w:num>
  <w:num w:numId="9">
    <w:abstractNumId w:val="3"/>
  </w:num>
  <w:num w:numId="10">
    <w:abstractNumId w:val="4"/>
  </w:num>
  <w:num w:numId="11">
    <w:abstractNumId w:val="5"/>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C893FF1D-074F-4829-80CB-BDAA79905955"/>
    <w:docVar w:name="LW_COVERPAGE_TYPE" w:val="1"/>
    <w:docVar w:name="LW_CROSSREFERENCE" w:val="&lt;UNUSED&gt;"/>
    <w:docVar w:name="LW_DocType" w:val="NORMAL"/>
    <w:docVar w:name="LW_EMISSION" w:val="17.10.2023"/>
    <w:docVar w:name="LW_EMISSION_ISODATE" w:val="2023-10-17"/>
    <w:docVar w:name="LW_EMISSION_LOCATION" w:val="STR"/>
    <w:docVar w:name="LW_EMISSION_PREFIX" w:val="Strasbourg, le "/>
    <w:docVar w:name="LW_EMISSION_SUFFIX" w:val=" "/>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23) 63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Programme de travail 2024 de la Commission &lt;FMT:Font=Calibri&gt;_x000d__x000d__x000d__x000d__x000d__x000d__x000d_&lt;/FMT&gt;_x000d__x000b_&lt;FMT:Font=Calibri&gt;_x000d__x000d__x000d__x000d__x000d__x000d_&lt;/FMT&gt;_x000d__x000b_Obtenir des résultats aujourd’hui et préparer demain&lt;FMT:Font=Calibri&gt;_x000d__x000d__x000d__x000d__x000d__x000d_&lt;/FMT&gt;_x000d__x000b_&lt;FMT:Font=Calibri&gt;_x000d__x000d__x000d__x000d__x000d__x000d__x000d_&lt;/FMT&gt;_x000d__x000b_&lt;FMT:Font=Calibri&gt;_x000d__x000d__x000d__x000d__x000d__x000d__x000d_&lt;/FMT&gt;_x000d__x000b_"/>
    <w:docVar w:name="LW_TYPE.DOC.CP" w:val="COMMUNICATION DE LA COMMISSION AU PARLEMENT EUROPÉEN, AU CONSEIL, AU COMITÉ ÉCONOMIQUE ET SOCIAL EUROPÉEN ET AU COMITÉ DES RÉGIONS"/>
    <w:docVar w:name="LW_TYPE.DOC.CP.USERTEXT" w:val="&lt;EMPTY&gt;"/>
    <w:docVar w:name="LwApiVersions" w:val="LW4CoDe 1.23.2.0; LW 8.0, Build 20211117"/>
  </w:docVars>
  <w:rsids>
    <w:rsidRoot w:val="00EA45FE"/>
    <w:rsid w:val="00000028"/>
    <w:rsid w:val="0000041F"/>
    <w:rsid w:val="0000184B"/>
    <w:rsid w:val="00001C51"/>
    <w:rsid w:val="00001FC6"/>
    <w:rsid w:val="00002245"/>
    <w:rsid w:val="000027B6"/>
    <w:rsid w:val="000029D8"/>
    <w:rsid w:val="000043DD"/>
    <w:rsid w:val="00006652"/>
    <w:rsid w:val="000107D3"/>
    <w:rsid w:val="000118BE"/>
    <w:rsid w:val="000130CE"/>
    <w:rsid w:val="00013DF5"/>
    <w:rsid w:val="00014DBE"/>
    <w:rsid w:val="00014DFD"/>
    <w:rsid w:val="0001525D"/>
    <w:rsid w:val="0001689C"/>
    <w:rsid w:val="00016A46"/>
    <w:rsid w:val="00017274"/>
    <w:rsid w:val="0001728D"/>
    <w:rsid w:val="0002090A"/>
    <w:rsid w:val="00020ADE"/>
    <w:rsid w:val="000210F8"/>
    <w:rsid w:val="00021EA1"/>
    <w:rsid w:val="00021F6C"/>
    <w:rsid w:val="000221A2"/>
    <w:rsid w:val="0002247D"/>
    <w:rsid w:val="0002276D"/>
    <w:rsid w:val="00022A2B"/>
    <w:rsid w:val="00023551"/>
    <w:rsid w:val="00023695"/>
    <w:rsid w:val="00024537"/>
    <w:rsid w:val="000252F5"/>
    <w:rsid w:val="00025C55"/>
    <w:rsid w:val="00025F5A"/>
    <w:rsid w:val="00027164"/>
    <w:rsid w:val="00030E5F"/>
    <w:rsid w:val="000314A4"/>
    <w:rsid w:val="00031D01"/>
    <w:rsid w:val="00032543"/>
    <w:rsid w:val="00032E2A"/>
    <w:rsid w:val="000332CF"/>
    <w:rsid w:val="000347EE"/>
    <w:rsid w:val="0003518C"/>
    <w:rsid w:val="00037936"/>
    <w:rsid w:val="00040320"/>
    <w:rsid w:val="000403DE"/>
    <w:rsid w:val="00041604"/>
    <w:rsid w:val="00041809"/>
    <w:rsid w:val="00041874"/>
    <w:rsid w:val="000433DE"/>
    <w:rsid w:val="000437E5"/>
    <w:rsid w:val="00044478"/>
    <w:rsid w:val="000447DC"/>
    <w:rsid w:val="00044FA5"/>
    <w:rsid w:val="00046822"/>
    <w:rsid w:val="00047136"/>
    <w:rsid w:val="00047873"/>
    <w:rsid w:val="0004797F"/>
    <w:rsid w:val="00050670"/>
    <w:rsid w:val="00051EDC"/>
    <w:rsid w:val="00052B5D"/>
    <w:rsid w:val="00052B95"/>
    <w:rsid w:val="00053162"/>
    <w:rsid w:val="000553C9"/>
    <w:rsid w:val="00055B95"/>
    <w:rsid w:val="00055D09"/>
    <w:rsid w:val="0005725C"/>
    <w:rsid w:val="00057BDB"/>
    <w:rsid w:val="000605A4"/>
    <w:rsid w:val="0006095A"/>
    <w:rsid w:val="00060AEB"/>
    <w:rsid w:val="00060E74"/>
    <w:rsid w:val="00060F6A"/>
    <w:rsid w:val="00061135"/>
    <w:rsid w:val="000611B4"/>
    <w:rsid w:val="000614E1"/>
    <w:rsid w:val="00061B60"/>
    <w:rsid w:val="00061C6A"/>
    <w:rsid w:val="00061E7C"/>
    <w:rsid w:val="00062525"/>
    <w:rsid w:val="000629BD"/>
    <w:rsid w:val="00063548"/>
    <w:rsid w:val="00063A2D"/>
    <w:rsid w:val="00064A7D"/>
    <w:rsid w:val="00065688"/>
    <w:rsid w:val="000659B0"/>
    <w:rsid w:val="00065B15"/>
    <w:rsid w:val="00066325"/>
    <w:rsid w:val="00067BA5"/>
    <w:rsid w:val="00070228"/>
    <w:rsid w:val="0007090E"/>
    <w:rsid w:val="00070A8B"/>
    <w:rsid w:val="00070BE6"/>
    <w:rsid w:val="00070D82"/>
    <w:rsid w:val="0007177B"/>
    <w:rsid w:val="00072D91"/>
    <w:rsid w:val="00073980"/>
    <w:rsid w:val="00074391"/>
    <w:rsid w:val="00075C7B"/>
    <w:rsid w:val="00082049"/>
    <w:rsid w:val="0008262A"/>
    <w:rsid w:val="000840B8"/>
    <w:rsid w:val="00084518"/>
    <w:rsid w:val="000851FB"/>
    <w:rsid w:val="00086967"/>
    <w:rsid w:val="00090E8E"/>
    <w:rsid w:val="00091568"/>
    <w:rsid w:val="000918F7"/>
    <w:rsid w:val="00092F42"/>
    <w:rsid w:val="00094601"/>
    <w:rsid w:val="00095669"/>
    <w:rsid w:val="00095861"/>
    <w:rsid w:val="000959E9"/>
    <w:rsid w:val="00097029"/>
    <w:rsid w:val="0009749A"/>
    <w:rsid w:val="00097E0B"/>
    <w:rsid w:val="000A11AA"/>
    <w:rsid w:val="000A1AE7"/>
    <w:rsid w:val="000A3097"/>
    <w:rsid w:val="000A447C"/>
    <w:rsid w:val="000A59B0"/>
    <w:rsid w:val="000A5F33"/>
    <w:rsid w:val="000A6135"/>
    <w:rsid w:val="000A67B1"/>
    <w:rsid w:val="000A691F"/>
    <w:rsid w:val="000A7569"/>
    <w:rsid w:val="000A7D54"/>
    <w:rsid w:val="000B05DB"/>
    <w:rsid w:val="000B0B61"/>
    <w:rsid w:val="000B1DBE"/>
    <w:rsid w:val="000B1EB5"/>
    <w:rsid w:val="000B280B"/>
    <w:rsid w:val="000B2CAC"/>
    <w:rsid w:val="000B3296"/>
    <w:rsid w:val="000B3669"/>
    <w:rsid w:val="000B5EC3"/>
    <w:rsid w:val="000B65B5"/>
    <w:rsid w:val="000B7888"/>
    <w:rsid w:val="000B7B6C"/>
    <w:rsid w:val="000B7C7C"/>
    <w:rsid w:val="000B7CF3"/>
    <w:rsid w:val="000C00EF"/>
    <w:rsid w:val="000C060A"/>
    <w:rsid w:val="000C175E"/>
    <w:rsid w:val="000C4B49"/>
    <w:rsid w:val="000C50D8"/>
    <w:rsid w:val="000C559A"/>
    <w:rsid w:val="000C5FB5"/>
    <w:rsid w:val="000C6BF0"/>
    <w:rsid w:val="000C75DE"/>
    <w:rsid w:val="000CBA95"/>
    <w:rsid w:val="000D13A4"/>
    <w:rsid w:val="000D150A"/>
    <w:rsid w:val="000D190B"/>
    <w:rsid w:val="000D28E1"/>
    <w:rsid w:val="000D326A"/>
    <w:rsid w:val="000D4A41"/>
    <w:rsid w:val="000D4A71"/>
    <w:rsid w:val="000D5F6D"/>
    <w:rsid w:val="000D601C"/>
    <w:rsid w:val="000D645B"/>
    <w:rsid w:val="000D6FD6"/>
    <w:rsid w:val="000D76F8"/>
    <w:rsid w:val="000E1576"/>
    <w:rsid w:val="000E25A2"/>
    <w:rsid w:val="000E2C91"/>
    <w:rsid w:val="000E3A5B"/>
    <w:rsid w:val="000E3BF2"/>
    <w:rsid w:val="000E51A5"/>
    <w:rsid w:val="000E5203"/>
    <w:rsid w:val="000E52ED"/>
    <w:rsid w:val="000E577B"/>
    <w:rsid w:val="000E5DC2"/>
    <w:rsid w:val="000E61A6"/>
    <w:rsid w:val="000E712B"/>
    <w:rsid w:val="000F0840"/>
    <w:rsid w:val="000F143A"/>
    <w:rsid w:val="000F279F"/>
    <w:rsid w:val="000F383B"/>
    <w:rsid w:val="000F4002"/>
    <w:rsid w:val="000F59F5"/>
    <w:rsid w:val="000F647B"/>
    <w:rsid w:val="000F655C"/>
    <w:rsid w:val="0010045E"/>
    <w:rsid w:val="00100A24"/>
    <w:rsid w:val="00100BC9"/>
    <w:rsid w:val="00101326"/>
    <w:rsid w:val="0010454A"/>
    <w:rsid w:val="001045F6"/>
    <w:rsid w:val="00104A85"/>
    <w:rsid w:val="001050CA"/>
    <w:rsid w:val="001053F2"/>
    <w:rsid w:val="001055A1"/>
    <w:rsid w:val="00105C0D"/>
    <w:rsid w:val="00106699"/>
    <w:rsid w:val="00106DC5"/>
    <w:rsid w:val="001071F0"/>
    <w:rsid w:val="00107D0A"/>
    <w:rsid w:val="00107D9D"/>
    <w:rsid w:val="001104BC"/>
    <w:rsid w:val="00110507"/>
    <w:rsid w:val="0011150A"/>
    <w:rsid w:val="0011181F"/>
    <w:rsid w:val="00112246"/>
    <w:rsid w:val="00113C23"/>
    <w:rsid w:val="0011479E"/>
    <w:rsid w:val="0011680D"/>
    <w:rsid w:val="001175D3"/>
    <w:rsid w:val="0011781F"/>
    <w:rsid w:val="001200DD"/>
    <w:rsid w:val="00120796"/>
    <w:rsid w:val="001209BC"/>
    <w:rsid w:val="001214EA"/>
    <w:rsid w:val="001215FC"/>
    <w:rsid w:val="00121D32"/>
    <w:rsid w:val="0012252F"/>
    <w:rsid w:val="00122FA8"/>
    <w:rsid w:val="0012537B"/>
    <w:rsid w:val="001253AB"/>
    <w:rsid w:val="00127720"/>
    <w:rsid w:val="00130E79"/>
    <w:rsid w:val="0013119B"/>
    <w:rsid w:val="001319D1"/>
    <w:rsid w:val="001322FC"/>
    <w:rsid w:val="00132830"/>
    <w:rsid w:val="001346A0"/>
    <w:rsid w:val="00134D79"/>
    <w:rsid w:val="001377FD"/>
    <w:rsid w:val="0014021B"/>
    <w:rsid w:val="00141514"/>
    <w:rsid w:val="00142052"/>
    <w:rsid w:val="0014212C"/>
    <w:rsid w:val="00143C4E"/>
    <w:rsid w:val="00143F30"/>
    <w:rsid w:val="00146A86"/>
    <w:rsid w:val="00150551"/>
    <w:rsid w:val="00152CAC"/>
    <w:rsid w:val="00153373"/>
    <w:rsid w:val="001536E8"/>
    <w:rsid w:val="00153C1E"/>
    <w:rsid w:val="001547C7"/>
    <w:rsid w:val="001561CC"/>
    <w:rsid w:val="001563E9"/>
    <w:rsid w:val="001566EC"/>
    <w:rsid w:val="00157DEC"/>
    <w:rsid w:val="001605B4"/>
    <w:rsid w:val="00161BC0"/>
    <w:rsid w:val="001640B5"/>
    <w:rsid w:val="00164549"/>
    <w:rsid w:val="001654CB"/>
    <w:rsid w:val="00166922"/>
    <w:rsid w:val="00166A90"/>
    <w:rsid w:val="00170218"/>
    <w:rsid w:val="0017053F"/>
    <w:rsid w:val="00171A4C"/>
    <w:rsid w:val="00171FFC"/>
    <w:rsid w:val="00172EA8"/>
    <w:rsid w:val="00173CCC"/>
    <w:rsid w:val="00173E56"/>
    <w:rsid w:val="00174573"/>
    <w:rsid w:val="001755C3"/>
    <w:rsid w:val="001764E1"/>
    <w:rsid w:val="001779C0"/>
    <w:rsid w:val="00177EBC"/>
    <w:rsid w:val="0018005E"/>
    <w:rsid w:val="0018091A"/>
    <w:rsid w:val="00180C10"/>
    <w:rsid w:val="00180E89"/>
    <w:rsid w:val="0018128B"/>
    <w:rsid w:val="00183D4E"/>
    <w:rsid w:val="00185779"/>
    <w:rsid w:val="0019012A"/>
    <w:rsid w:val="00190304"/>
    <w:rsid w:val="00190A7C"/>
    <w:rsid w:val="001912CE"/>
    <w:rsid w:val="00192BB9"/>
    <w:rsid w:val="00193D9B"/>
    <w:rsid w:val="0019464D"/>
    <w:rsid w:val="00194A99"/>
    <w:rsid w:val="00194F8D"/>
    <w:rsid w:val="00196071"/>
    <w:rsid w:val="0019673B"/>
    <w:rsid w:val="00196EA7"/>
    <w:rsid w:val="00197CD2"/>
    <w:rsid w:val="001A0398"/>
    <w:rsid w:val="001A132D"/>
    <w:rsid w:val="001A1A04"/>
    <w:rsid w:val="001A34F6"/>
    <w:rsid w:val="001A35A0"/>
    <w:rsid w:val="001A3BA0"/>
    <w:rsid w:val="001A43F9"/>
    <w:rsid w:val="001A6863"/>
    <w:rsid w:val="001A7A70"/>
    <w:rsid w:val="001B0FDF"/>
    <w:rsid w:val="001B20A8"/>
    <w:rsid w:val="001B2E07"/>
    <w:rsid w:val="001B2FB5"/>
    <w:rsid w:val="001B3BCA"/>
    <w:rsid w:val="001B3CE1"/>
    <w:rsid w:val="001B3E30"/>
    <w:rsid w:val="001B41E3"/>
    <w:rsid w:val="001B4E56"/>
    <w:rsid w:val="001B5FBF"/>
    <w:rsid w:val="001B6D35"/>
    <w:rsid w:val="001C11FE"/>
    <w:rsid w:val="001C3872"/>
    <w:rsid w:val="001C43F7"/>
    <w:rsid w:val="001C6DDF"/>
    <w:rsid w:val="001C6EA2"/>
    <w:rsid w:val="001C72EC"/>
    <w:rsid w:val="001C7477"/>
    <w:rsid w:val="001C76A7"/>
    <w:rsid w:val="001C795D"/>
    <w:rsid w:val="001C7A09"/>
    <w:rsid w:val="001D0BB0"/>
    <w:rsid w:val="001D2AEC"/>
    <w:rsid w:val="001D3017"/>
    <w:rsid w:val="001D37C3"/>
    <w:rsid w:val="001D56E5"/>
    <w:rsid w:val="001D57ED"/>
    <w:rsid w:val="001D5DC8"/>
    <w:rsid w:val="001D6CFF"/>
    <w:rsid w:val="001D73E2"/>
    <w:rsid w:val="001E031D"/>
    <w:rsid w:val="001E0CAD"/>
    <w:rsid w:val="001E29D5"/>
    <w:rsid w:val="001E3D37"/>
    <w:rsid w:val="001E5415"/>
    <w:rsid w:val="001E6713"/>
    <w:rsid w:val="001E6E33"/>
    <w:rsid w:val="001E703A"/>
    <w:rsid w:val="001E717F"/>
    <w:rsid w:val="001F06FA"/>
    <w:rsid w:val="001F0EF2"/>
    <w:rsid w:val="001F0F92"/>
    <w:rsid w:val="001F10A6"/>
    <w:rsid w:val="001F11BA"/>
    <w:rsid w:val="001F1944"/>
    <w:rsid w:val="001F1B55"/>
    <w:rsid w:val="001F389E"/>
    <w:rsid w:val="001F3ABF"/>
    <w:rsid w:val="001F3AD6"/>
    <w:rsid w:val="001F514F"/>
    <w:rsid w:val="001F5752"/>
    <w:rsid w:val="001F5CBA"/>
    <w:rsid w:val="001F6152"/>
    <w:rsid w:val="001F76FD"/>
    <w:rsid w:val="002013BE"/>
    <w:rsid w:val="00201520"/>
    <w:rsid w:val="00202547"/>
    <w:rsid w:val="00202CBE"/>
    <w:rsid w:val="00203013"/>
    <w:rsid w:val="00203F30"/>
    <w:rsid w:val="00204A94"/>
    <w:rsid w:val="00205332"/>
    <w:rsid w:val="0020574A"/>
    <w:rsid w:val="00205B6B"/>
    <w:rsid w:val="00206646"/>
    <w:rsid w:val="00206670"/>
    <w:rsid w:val="00206C25"/>
    <w:rsid w:val="002076BA"/>
    <w:rsid w:val="00207E19"/>
    <w:rsid w:val="00207FF1"/>
    <w:rsid w:val="00210FEE"/>
    <w:rsid w:val="00211B83"/>
    <w:rsid w:val="00211C05"/>
    <w:rsid w:val="00212B55"/>
    <w:rsid w:val="00212D10"/>
    <w:rsid w:val="0021453F"/>
    <w:rsid w:val="00214CA2"/>
    <w:rsid w:val="00214F8F"/>
    <w:rsid w:val="002159BC"/>
    <w:rsid w:val="002159F4"/>
    <w:rsid w:val="00215EA4"/>
    <w:rsid w:val="00215FD4"/>
    <w:rsid w:val="00217429"/>
    <w:rsid w:val="00221436"/>
    <w:rsid w:val="00222499"/>
    <w:rsid w:val="002225B3"/>
    <w:rsid w:val="002256DB"/>
    <w:rsid w:val="00226DD4"/>
    <w:rsid w:val="002322F3"/>
    <w:rsid w:val="00233FF3"/>
    <w:rsid w:val="00234B90"/>
    <w:rsid w:val="00235B72"/>
    <w:rsid w:val="00236848"/>
    <w:rsid w:val="002406CD"/>
    <w:rsid w:val="002411A8"/>
    <w:rsid w:val="002412D4"/>
    <w:rsid w:val="002413EE"/>
    <w:rsid w:val="00241961"/>
    <w:rsid w:val="00241C69"/>
    <w:rsid w:val="00244AD3"/>
    <w:rsid w:val="00244C25"/>
    <w:rsid w:val="002457B7"/>
    <w:rsid w:val="00245CFD"/>
    <w:rsid w:val="00246256"/>
    <w:rsid w:val="00247171"/>
    <w:rsid w:val="002476EE"/>
    <w:rsid w:val="0025022A"/>
    <w:rsid w:val="002508B8"/>
    <w:rsid w:val="0025103E"/>
    <w:rsid w:val="00253115"/>
    <w:rsid w:val="0025485E"/>
    <w:rsid w:val="00255403"/>
    <w:rsid w:val="002557B2"/>
    <w:rsid w:val="00255B8E"/>
    <w:rsid w:val="0025679A"/>
    <w:rsid w:val="00260495"/>
    <w:rsid w:val="002605C8"/>
    <w:rsid w:val="00261CB7"/>
    <w:rsid w:val="00262931"/>
    <w:rsid w:val="002630FD"/>
    <w:rsid w:val="00263A03"/>
    <w:rsid w:val="00264484"/>
    <w:rsid w:val="00264CE2"/>
    <w:rsid w:val="0026619D"/>
    <w:rsid w:val="00266265"/>
    <w:rsid w:val="0027080F"/>
    <w:rsid w:val="00270BF9"/>
    <w:rsid w:val="00270E2E"/>
    <w:rsid w:val="002710FA"/>
    <w:rsid w:val="00271AE4"/>
    <w:rsid w:val="00273174"/>
    <w:rsid w:val="00273515"/>
    <w:rsid w:val="00274623"/>
    <w:rsid w:val="00274DF2"/>
    <w:rsid w:val="00274FA5"/>
    <w:rsid w:val="00275577"/>
    <w:rsid w:val="002756BC"/>
    <w:rsid w:val="002814F3"/>
    <w:rsid w:val="00282FE2"/>
    <w:rsid w:val="00283DF1"/>
    <w:rsid w:val="00284000"/>
    <w:rsid w:val="00284900"/>
    <w:rsid w:val="00285DB1"/>
    <w:rsid w:val="00287634"/>
    <w:rsid w:val="0028767D"/>
    <w:rsid w:val="00290151"/>
    <w:rsid w:val="002903E1"/>
    <w:rsid w:val="002917D6"/>
    <w:rsid w:val="002924B1"/>
    <w:rsid w:val="00292C4F"/>
    <w:rsid w:val="00293AF4"/>
    <w:rsid w:val="0029570F"/>
    <w:rsid w:val="00295D56"/>
    <w:rsid w:val="00296999"/>
    <w:rsid w:val="002969C6"/>
    <w:rsid w:val="00297028"/>
    <w:rsid w:val="002972F9"/>
    <w:rsid w:val="00297300"/>
    <w:rsid w:val="002A06A0"/>
    <w:rsid w:val="002A11BA"/>
    <w:rsid w:val="002A1D09"/>
    <w:rsid w:val="002A1E3F"/>
    <w:rsid w:val="002A1F2F"/>
    <w:rsid w:val="002A2D4D"/>
    <w:rsid w:val="002A3A4E"/>
    <w:rsid w:val="002A3CD7"/>
    <w:rsid w:val="002A58D5"/>
    <w:rsid w:val="002B1AB5"/>
    <w:rsid w:val="002B2958"/>
    <w:rsid w:val="002B2AA4"/>
    <w:rsid w:val="002B3BD2"/>
    <w:rsid w:val="002B3E8A"/>
    <w:rsid w:val="002B43F0"/>
    <w:rsid w:val="002B4FB4"/>
    <w:rsid w:val="002B52BD"/>
    <w:rsid w:val="002B56F5"/>
    <w:rsid w:val="002B5E95"/>
    <w:rsid w:val="002B6485"/>
    <w:rsid w:val="002B6CE2"/>
    <w:rsid w:val="002C014C"/>
    <w:rsid w:val="002C032B"/>
    <w:rsid w:val="002C0EB9"/>
    <w:rsid w:val="002C1156"/>
    <w:rsid w:val="002C12CC"/>
    <w:rsid w:val="002C1468"/>
    <w:rsid w:val="002C2A46"/>
    <w:rsid w:val="002C2B30"/>
    <w:rsid w:val="002C4114"/>
    <w:rsid w:val="002C516C"/>
    <w:rsid w:val="002C538B"/>
    <w:rsid w:val="002C5871"/>
    <w:rsid w:val="002C6A34"/>
    <w:rsid w:val="002C7C6A"/>
    <w:rsid w:val="002D0175"/>
    <w:rsid w:val="002D423A"/>
    <w:rsid w:val="002D4CB4"/>
    <w:rsid w:val="002D5E4D"/>
    <w:rsid w:val="002D6F9F"/>
    <w:rsid w:val="002E1083"/>
    <w:rsid w:val="002E13E1"/>
    <w:rsid w:val="002E199C"/>
    <w:rsid w:val="002E1E9B"/>
    <w:rsid w:val="002E2333"/>
    <w:rsid w:val="002E2F9D"/>
    <w:rsid w:val="002E3B03"/>
    <w:rsid w:val="002E4074"/>
    <w:rsid w:val="002E50A3"/>
    <w:rsid w:val="002E5504"/>
    <w:rsid w:val="002E6279"/>
    <w:rsid w:val="002E6761"/>
    <w:rsid w:val="002E6909"/>
    <w:rsid w:val="002F1593"/>
    <w:rsid w:val="002F1EC9"/>
    <w:rsid w:val="002F23EB"/>
    <w:rsid w:val="002F2431"/>
    <w:rsid w:val="002F2B0B"/>
    <w:rsid w:val="002F4AFD"/>
    <w:rsid w:val="002F5015"/>
    <w:rsid w:val="002F7333"/>
    <w:rsid w:val="00300599"/>
    <w:rsid w:val="00300CF1"/>
    <w:rsid w:val="0030220E"/>
    <w:rsid w:val="00302783"/>
    <w:rsid w:val="00302834"/>
    <w:rsid w:val="0030395B"/>
    <w:rsid w:val="00303D58"/>
    <w:rsid w:val="0030473D"/>
    <w:rsid w:val="0030490F"/>
    <w:rsid w:val="00304B0A"/>
    <w:rsid w:val="00305E98"/>
    <w:rsid w:val="003078C9"/>
    <w:rsid w:val="003079B0"/>
    <w:rsid w:val="00307B15"/>
    <w:rsid w:val="003105A3"/>
    <w:rsid w:val="003106F7"/>
    <w:rsid w:val="0031074B"/>
    <w:rsid w:val="00310FB5"/>
    <w:rsid w:val="00311417"/>
    <w:rsid w:val="0031167A"/>
    <w:rsid w:val="0031169A"/>
    <w:rsid w:val="00311EB4"/>
    <w:rsid w:val="00311F2E"/>
    <w:rsid w:val="00311FCE"/>
    <w:rsid w:val="003122A1"/>
    <w:rsid w:val="003163BA"/>
    <w:rsid w:val="0031724D"/>
    <w:rsid w:val="0031795C"/>
    <w:rsid w:val="00321FD6"/>
    <w:rsid w:val="00322184"/>
    <w:rsid w:val="0032367C"/>
    <w:rsid w:val="00325386"/>
    <w:rsid w:val="00325F2C"/>
    <w:rsid w:val="003260C1"/>
    <w:rsid w:val="00326964"/>
    <w:rsid w:val="0032722D"/>
    <w:rsid w:val="003317AB"/>
    <w:rsid w:val="0033180E"/>
    <w:rsid w:val="003331C1"/>
    <w:rsid w:val="00334454"/>
    <w:rsid w:val="00335F93"/>
    <w:rsid w:val="003371D3"/>
    <w:rsid w:val="00337653"/>
    <w:rsid w:val="00337839"/>
    <w:rsid w:val="00337B30"/>
    <w:rsid w:val="00340ED8"/>
    <w:rsid w:val="003433AC"/>
    <w:rsid w:val="00343B5D"/>
    <w:rsid w:val="00343C29"/>
    <w:rsid w:val="00344148"/>
    <w:rsid w:val="00344314"/>
    <w:rsid w:val="00344D43"/>
    <w:rsid w:val="0034682B"/>
    <w:rsid w:val="003473C1"/>
    <w:rsid w:val="00347920"/>
    <w:rsid w:val="00347DCD"/>
    <w:rsid w:val="0035206A"/>
    <w:rsid w:val="00352995"/>
    <w:rsid w:val="00353AAC"/>
    <w:rsid w:val="003557BF"/>
    <w:rsid w:val="00355859"/>
    <w:rsid w:val="00357992"/>
    <w:rsid w:val="00357D58"/>
    <w:rsid w:val="00357D9F"/>
    <w:rsid w:val="00357FF7"/>
    <w:rsid w:val="00360666"/>
    <w:rsid w:val="00360D81"/>
    <w:rsid w:val="00360FD7"/>
    <w:rsid w:val="00361CEF"/>
    <w:rsid w:val="003628A2"/>
    <w:rsid w:val="00363A2B"/>
    <w:rsid w:val="00364EE7"/>
    <w:rsid w:val="003656E1"/>
    <w:rsid w:val="00366551"/>
    <w:rsid w:val="00366CD4"/>
    <w:rsid w:val="00367A5D"/>
    <w:rsid w:val="00367A8E"/>
    <w:rsid w:val="00367F49"/>
    <w:rsid w:val="00370933"/>
    <w:rsid w:val="00371348"/>
    <w:rsid w:val="00371CB4"/>
    <w:rsid w:val="00374268"/>
    <w:rsid w:val="00375425"/>
    <w:rsid w:val="00375C27"/>
    <w:rsid w:val="00376360"/>
    <w:rsid w:val="003763BF"/>
    <w:rsid w:val="00376417"/>
    <w:rsid w:val="003773A3"/>
    <w:rsid w:val="00380693"/>
    <w:rsid w:val="00381F17"/>
    <w:rsid w:val="003838E5"/>
    <w:rsid w:val="003853EE"/>
    <w:rsid w:val="003857B2"/>
    <w:rsid w:val="00385BBB"/>
    <w:rsid w:val="00385CB8"/>
    <w:rsid w:val="00385DE2"/>
    <w:rsid w:val="0038634A"/>
    <w:rsid w:val="00387BFE"/>
    <w:rsid w:val="00390469"/>
    <w:rsid w:val="00391F19"/>
    <w:rsid w:val="00392A04"/>
    <w:rsid w:val="00392F0B"/>
    <w:rsid w:val="0039315A"/>
    <w:rsid w:val="003978B5"/>
    <w:rsid w:val="003A0B94"/>
    <w:rsid w:val="003A1938"/>
    <w:rsid w:val="003A2F5E"/>
    <w:rsid w:val="003A4145"/>
    <w:rsid w:val="003A4AD1"/>
    <w:rsid w:val="003A6097"/>
    <w:rsid w:val="003A64D3"/>
    <w:rsid w:val="003A72A0"/>
    <w:rsid w:val="003B170F"/>
    <w:rsid w:val="003B24E2"/>
    <w:rsid w:val="003B2785"/>
    <w:rsid w:val="003B2978"/>
    <w:rsid w:val="003B2DE6"/>
    <w:rsid w:val="003B30FD"/>
    <w:rsid w:val="003B3996"/>
    <w:rsid w:val="003B493A"/>
    <w:rsid w:val="003B4F3D"/>
    <w:rsid w:val="003B6CE0"/>
    <w:rsid w:val="003C008C"/>
    <w:rsid w:val="003C00A0"/>
    <w:rsid w:val="003C020C"/>
    <w:rsid w:val="003C03FA"/>
    <w:rsid w:val="003C04BF"/>
    <w:rsid w:val="003C1191"/>
    <w:rsid w:val="003C147D"/>
    <w:rsid w:val="003C14FD"/>
    <w:rsid w:val="003C19D7"/>
    <w:rsid w:val="003C385E"/>
    <w:rsid w:val="003C3A40"/>
    <w:rsid w:val="003C5265"/>
    <w:rsid w:val="003C57C9"/>
    <w:rsid w:val="003C5C76"/>
    <w:rsid w:val="003C5E73"/>
    <w:rsid w:val="003C627E"/>
    <w:rsid w:val="003C72D5"/>
    <w:rsid w:val="003C7641"/>
    <w:rsid w:val="003C7E27"/>
    <w:rsid w:val="003D011D"/>
    <w:rsid w:val="003D03FA"/>
    <w:rsid w:val="003D0708"/>
    <w:rsid w:val="003D0757"/>
    <w:rsid w:val="003D0962"/>
    <w:rsid w:val="003D12BF"/>
    <w:rsid w:val="003D1C56"/>
    <w:rsid w:val="003D20D9"/>
    <w:rsid w:val="003D21C5"/>
    <w:rsid w:val="003D269F"/>
    <w:rsid w:val="003D2944"/>
    <w:rsid w:val="003D32C7"/>
    <w:rsid w:val="003D35F2"/>
    <w:rsid w:val="003D3889"/>
    <w:rsid w:val="003D3A0E"/>
    <w:rsid w:val="003D4CAA"/>
    <w:rsid w:val="003D6C04"/>
    <w:rsid w:val="003D73B0"/>
    <w:rsid w:val="003D762A"/>
    <w:rsid w:val="003D78B2"/>
    <w:rsid w:val="003E0132"/>
    <w:rsid w:val="003E0710"/>
    <w:rsid w:val="003E0CB7"/>
    <w:rsid w:val="003E241F"/>
    <w:rsid w:val="003E28B1"/>
    <w:rsid w:val="003E2DE5"/>
    <w:rsid w:val="003E2ED8"/>
    <w:rsid w:val="003E30E6"/>
    <w:rsid w:val="003E34BE"/>
    <w:rsid w:val="003E3E10"/>
    <w:rsid w:val="003E4B69"/>
    <w:rsid w:val="003E510F"/>
    <w:rsid w:val="003E54D2"/>
    <w:rsid w:val="003E59E6"/>
    <w:rsid w:val="003E5AF7"/>
    <w:rsid w:val="003E70F4"/>
    <w:rsid w:val="003E73CA"/>
    <w:rsid w:val="003E7A9E"/>
    <w:rsid w:val="003F0A02"/>
    <w:rsid w:val="003F203C"/>
    <w:rsid w:val="003F2299"/>
    <w:rsid w:val="003F27DF"/>
    <w:rsid w:val="003F3ABD"/>
    <w:rsid w:val="003F437A"/>
    <w:rsid w:val="003F67CC"/>
    <w:rsid w:val="003F7EE3"/>
    <w:rsid w:val="00400360"/>
    <w:rsid w:val="0040085B"/>
    <w:rsid w:val="004019DC"/>
    <w:rsid w:val="00403D5D"/>
    <w:rsid w:val="0040476E"/>
    <w:rsid w:val="00404B31"/>
    <w:rsid w:val="004050EB"/>
    <w:rsid w:val="00405880"/>
    <w:rsid w:val="00405892"/>
    <w:rsid w:val="0040696C"/>
    <w:rsid w:val="00406A3C"/>
    <w:rsid w:val="00410107"/>
    <w:rsid w:val="0041066D"/>
    <w:rsid w:val="00410799"/>
    <w:rsid w:val="00411344"/>
    <w:rsid w:val="004126B9"/>
    <w:rsid w:val="00412A05"/>
    <w:rsid w:val="00413852"/>
    <w:rsid w:val="004169DF"/>
    <w:rsid w:val="00416D1D"/>
    <w:rsid w:val="00417E5A"/>
    <w:rsid w:val="00420D4E"/>
    <w:rsid w:val="004220C7"/>
    <w:rsid w:val="00422DA8"/>
    <w:rsid w:val="004230AF"/>
    <w:rsid w:val="00423A7E"/>
    <w:rsid w:val="00424B9B"/>
    <w:rsid w:val="00424FC2"/>
    <w:rsid w:val="00426112"/>
    <w:rsid w:val="004274AB"/>
    <w:rsid w:val="0043000E"/>
    <w:rsid w:val="004326DF"/>
    <w:rsid w:val="00432AA2"/>
    <w:rsid w:val="004331DC"/>
    <w:rsid w:val="004335DB"/>
    <w:rsid w:val="004337BD"/>
    <w:rsid w:val="00434037"/>
    <w:rsid w:val="00436D78"/>
    <w:rsid w:val="00437EE8"/>
    <w:rsid w:val="00440196"/>
    <w:rsid w:val="00440DFB"/>
    <w:rsid w:val="004424BC"/>
    <w:rsid w:val="00444F4C"/>
    <w:rsid w:val="00445064"/>
    <w:rsid w:val="004456E5"/>
    <w:rsid w:val="00446A6E"/>
    <w:rsid w:val="004473DC"/>
    <w:rsid w:val="0045000F"/>
    <w:rsid w:val="00450709"/>
    <w:rsid w:val="004512D7"/>
    <w:rsid w:val="0045160A"/>
    <w:rsid w:val="00451C9A"/>
    <w:rsid w:val="004529A3"/>
    <w:rsid w:val="00455056"/>
    <w:rsid w:val="00455297"/>
    <w:rsid w:val="0045764B"/>
    <w:rsid w:val="0045786E"/>
    <w:rsid w:val="00457AAF"/>
    <w:rsid w:val="00457F9A"/>
    <w:rsid w:val="00460E89"/>
    <w:rsid w:val="004616EE"/>
    <w:rsid w:val="0046175C"/>
    <w:rsid w:val="00463019"/>
    <w:rsid w:val="0046332C"/>
    <w:rsid w:val="0046399F"/>
    <w:rsid w:val="00464FD2"/>
    <w:rsid w:val="004655B8"/>
    <w:rsid w:val="00466748"/>
    <w:rsid w:val="004669A3"/>
    <w:rsid w:val="00466BA4"/>
    <w:rsid w:val="00467F57"/>
    <w:rsid w:val="00471732"/>
    <w:rsid w:val="00472920"/>
    <w:rsid w:val="004730B0"/>
    <w:rsid w:val="00473CF3"/>
    <w:rsid w:val="00474420"/>
    <w:rsid w:val="004751CE"/>
    <w:rsid w:val="00476796"/>
    <w:rsid w:val="00476E96"/>
    <w:rsid w:val="00477906"/>
    <w:rsid w:val="00480231"/>
    <w:rsid w:val="004806CA"/>
    <w:rsid w:val="00481648"/>
    <w:rsid w:val="004828D5"/>
    <w:rsid w:val="0048312B"/>
    <w:rsid w:val="0048316F"/>
    <w:rsid w:val="004839A6"/>
    <w:rsid w:val="00484052"/>
    <w:rsid w:val="0048407D"/>
    <w:rsid w:val="00484A07"/>
    <w:rsid w:val="00485121"/>
    <w:rsid w:val="004854D4"/>
    <w:rsid w:val="00485739"/>
    <w:rsid w:val="00485B97"/>
    <w:rsid w:val="00485C1A"/>
    <w:rsid w:val="004865C7"/>
    <w:rsid w:val="004872E5"/>
    <w:rsid w:val="00487DA9"/>
    <w:rsid w:val="00487DC8"/>
    <w:rsid w:val="004900CB"/>
    <w:rsid w:val="00491C3B"/>
    <w:rsid w:val="00492F6C"/>
    <w:rsid w:val="00493197"/>
    <w:rsid w:val="004931E0"/>
    <w:rsid w:val="00494409"/>
    <w:rsid w:val="004952FE"/>
    <w:rsid w:val="00497A6B"/>
    <w:rsid w:val="004A01CD"/>
    <w:rsid w:val="004A0C86"/>
    <w:rsid w:val="004A2524"/>
    <w:rsid w:val="004A2C88"/>
    <w:rsid w:val="004A3549"/>
    <w:rsid w:val="004A4447"/>
    <w:rsid w:val="004A46BC"/>
    <w:rsid w:val="004A47C5"/>
    <w:rsid w:val="004A4E9E"/>
    <w:rsid w:val="004A5104"/>
    <w:rsid w:val="004A5CFB"/>
    <w:rsid w:val="004A63CC"/>
    <w:rsid w:val="004A6F6B"/>
    <w:rsid w:val="004B110D"/>
    <w:rsid w:val="004B1AF4"/>
    <w:rsid w:val="004B2C56"/>
    <w:rsid w:val="004B3281"/>
    <w:rsid w:val="004B427D"/>
    <w:rsid w:val="004B6149"/>
    <w:rsid w:val="004B61B5"/>
    <w:rsid w:val="004B6AEB"/>
    <w:rsid w:val="004B777B"/>
    <w:rsid w:val="004B7E83"/>
    <w:rsid w:val="004C028E"/>
    <w:rsid w:val="004C0ACF"/>
    <w:rsid w:val="004C14E9"/>
    <w:rsid w:val="004C2374"/>
    <w:rsid w:val="004C3A79"/>
    <w:rsid w:val="004C3E34"/>
    <w:rsid w:val="004C3EC5"/>
    <w:rsid w:val="004C4480"/>
    <w:rsid w:val="004C6E8A"/>
    <w:rsid w:val="004C7C10"/>
    <w:rsid w:val="004D1BED"/>
    <w:rsid w:val="004D4238"/>
    <w:rsid w:val="004D4C81"/>
    <w:rsid w:val="004D4F78"/>
    <w:rsid w:val="004D5A0E"/>
    <w:rsid w:val="004D5D2A"/>
    <w:rsid w:val="004E1C75"/>
    <w:rsid w:val="004E1C82"/>
    <w:rsid w:val="004E2FF0"/>
    <w:rsid w:val="004E3BB5"/>
    <w:rsid w:val="004E5BE3"/>
    <w:rsid w:val="004E7B0A"/>
    <w:rsid w:val="004F02B8"/>
    <w:rsid w:val="004F0BC7"/>
    <w:rsid w:val="004F4BEC"/>
    <w:rsid w:val="004F594B"/>
    <w:rsid w:val="004F5EA8"/>
    <w:rsid w:val="00500C0F"/>
    <w:rsid w:val="005010EF"/>
    <w:rsid w:val="00501624"/>
    <w:rsid w:val="00502022"/>
    <w:rsid w:val="005022B7"/>
    <w:rsid w:val="005024A0"/>
    <w:rsid w:val="005026AE"/>
    <w:rsid w:val="00502E83"/>
    <w:rsid w:val="0050339A"/>
    <w:rsid w:val="00503B09"/>
    <w:rsid w:val="00505211"/>
    <w:rsid w:val="00505987"/>
    <w:rsid w:val="0050628B"/>
    <w:rsid w:val="005066B2"/>
    <w:rsid w:val="00506CF3"/>
    <w:rsid w:val="00506E8D"/>
    <w:rsid w:val="005075A0"/>
    <w:rsid w:val="00507B7F"/>
    <w:rsid w:val="00510AED"/>
    <w:rsid w:val="00510B27"/>
    <w:rsid w:val="005111DF"/>
    <w:rsid w:val="005117D8"/>
    <w:rsid w:val="00511DD2"/>
    <w:rsid w:val="005133C5"/>
    <w:rsid w:val="00513806"/>
    <w:rsid w:val="00513C13"/>
    <w:rsid w:val="00513DAC"/>
    <w:rsid w:val="005147A9"/>
    <w:rsid w:val="005157F8"/>
    <w:rsid w:val="00516DAC"/>
    <w:rsid w:val="00520832"/>
    <w:rsid w:val="00521B8E"/>
    <w:rsid w:val="00522BD4"/>
    <w:rsid w:val="0052302E"/>
    <w:rsid w:val="00523987"/>
    <w:rsid w:val="005255A2"/>
    <w:rsid w:val="00525A05"/>
    <w:rsid w:val="00526B7F"/>
    <w:rsid w:val="0053150C"/>
    <w:rsid w:val="00532032"/>
    <w:rsid w:val="005320C2"/>
    <w:rsid w:val="00532640"/>
    <w:rsid w:val="00533EC6"/>
    <w:rsid w:val="0053480B"/>
    <w:rsid w:val="00534EB1"/>
    <w:rsid w:val="00534FFE"/>
    <w:rsid w:val="005369AC"/>
    <w:rsid w:val="00540796"/>
    <w:rsid w:val="00541064"/>
    <w:rsid w:val="005414F6"/>
    <w:rsid w:val="00541900"/>
    <w:rsid w:val="00542F6E"/>
    <w:rsid w:val="005431C0"/>
    <w:rsid w:val="00543904"/>
    <w:rsid w:val="005456FE"/>
    <w:rsid w:val="005511F7"/>
    <w:rsid w:val="00551945"/>
    <w:rsid w:val="00551C53"/>
    <w:rsid w:val="00551F3E"/>
    <w:rsid w:val="00551F65"/>
    <w:rsid w:val="00552A75"/>
    <w:rsid w:val="00552C58"/>
    <w:rsid w:val="005533C4"/>
    <w:rsid w:val="0055348A"/>
    <w:rsid w:val="005545B5"/>
    <w:rsid w:val="005548EF"/>
    <w:rsid w:val="00555985"/>
    <w:rsid w:val="005561D1"/>
    <w:rsid w:val="00556B29"/>
    <w:rsid w:val="00557321"/>
    <w:rsid w:val="00557603"/>
    <w:rsid w:val="00557978"/>
    <w:rsid w:val="005602CB"/>
    <w:rsid w:val="0056037E"/>
    <w:rsid w:val="00560528"/>
    <w:rsid w:val="00561BA9"/>
    <w:rsid w:val="0056311C"/>
    <w:rsid w:val="00563553"/>
    <w:rsid w:val="005653B6"/>
    <w:rsid w:val="0056543E"/>
    <w:rsid w:val="0056570B"/>
    <w:rsid w:val="0056643E"/>
    <w:rsid w:val="005678D8"/>
    <w:rsid w:val="00567913"/>
    <w:rsid w:val="00567AC6"/>
    <w:rsid w:val="00567FEB"/>
    <w:rsid w:val="00570104"/>
    <w:rsid w:val="005708E1"/>
    <w:rsid w:val="005711A9"/>
    <w:rsid w:val="00571214"/>
    <w:rsid w:val="00571E53"/>
    <w:rsid w:val="00572DAB"/>
    <w:rsid w:val="005730FF"/>
    <w:rsid w:val="0057343C"/>
    <w:rsid w:val="005745EB"/>
    <w:rsid w:val="00574888"/>
    <w:rsid w:val="00575B4D"/>
    <w:rsid w:val="005769AB"/>
    <w:rsid w:val="00577E2B"/>
    <w:rsid w:val="00580F76"/>
    <w:rsid w:val="005813F2"/>
    <w:rsid w:val="005815EC"/>
    <w:rsid w:val="00581883"/>
    <w:rsid w:val="00581D11"/>
    <w:rsid w:val="00581F6C"/>
    <w:rsid w:val="00582855"/>
    <w:rsid w:val="00582982"/>
    <w:rsid w:val="00583176"/>
    <w:rsid w:val="00583ED9"/>
    <w:rsid w:val="00584084"/>
    <w:rsid w:val="00584E58"/>
    <w:rsid w:val="0058599D"/>
    <w:rsid w:val="00585C94"/>
    <w:rsid w:val="005864BD"/>
    <w:rsid w:val="005866A0"/>
    <w:rsid w:val="00587526"/>
    <w:rsid w:val="00587620"/>
    <w:rsid w:val="00590C46"/>
    <w:rsid w:val="00593C35"/>
    <w:rsid w:val="00594104"/>
    <w:rsid w:val="005943C6"/>
    <w:rsid w:val="005944BD"/>
    <w:rsid w:val="0059480D"/>
    <w:rsid w:val="00594D51"/>
    <w:rsid w:val="00594F83"/>
    <w:rsid w:val="0059572B"/>
    <w:rsid w:val="005957E2"/>
    <w:rsid w:val="005959C8"/>
    <w:rsid w:val="00596708"/>
    <w:rsid w:val="00596A9A"/>
    <w:rsid w:val="00596B8A"/>
    <w:rsid w:val="00596DA0"/>
    <w:rsid w:val="005972B7"/>
    <w:rsid w:val="005972FA"/>
    <w:rsid w:val="00597353"/>
    <w:rsid w:val="00597A65"/>
    <w:rsid w:val="00597FF3"/>
    <w:rsid w:val="005A1EDE"/>
    <w:rsid w:val="005A1FA9"/>
    <w:rsid w:val="005A29DA"/>
    <w:rsid w:val="005A3341"/>
    <w:rsid w:val="005A39CF"/>
    <w:rsid w:val="005A3BA1"/>
    <w:rsid w:val="005A4223"/>
    <w:rsid w:val="005A44EC"/>
    <w:rsid w:val="005A47A7"/>
    <w:rsid w:val="005A4E4D"/>
    <w:rsid w:val="005A4EF9"/>
    <w:rsid w:val="005A5125"/>
    <w:rsid w:val="005A66B1"/>
    <w:rsid w:val="005A6A9A"/>
    <w:rsid w:val="005A740A"/>
    <w:rsid w:val="005B008E"/>
    <w:rsid w:val="005B033D"/>
    <w:rsid w:val="005B1154"/>
    <w:rsid w:val="005B14A1"/>
    <w:rsid w:val="005B1598"/>
    <w:rsid w:val="005B2A39"/>
    <w:rsid w:val="005B2AA5"/>
    <w:rsid w:val="005B445D"/>
    <w:rsid w:val="005B4E7D"/>
    <w:rsid w:val="005B639D"/>
    <w:rsid w:val="005B6884"/>
    <w:rsid w:val="005B69E1"/>
    <w:rsid w:val="005B79CE"/>
    <w:rsid w:val="005C0B31"/>
    <w:rsid w:val="005C122B"/>
    <w:rsid w:val="005C168A"/>
    <w:rsid w:val="005C2880"/>
    <w:rsid w:val="005C2C88"/>
    <w:rsid w:val="005C3D25"/>
    <w:rsid w:val="005C53B0"/>
    <w:rsid w:val="005C56B0"/>
    <w:rsid w:val="005C5885"/>
    <w:rsid w:val="005C6268"/>
    <w:rsid w:val="005C77EE"/>
    <w:rsid w:val="005C792B"/>
    <w:rsid w:val="005C7EEC"/>
    <w:rsid w:val="005D0008"/>
    <w:rsid w:val="005D223F"/>
    <w:rsid w:val="005D22B2"/>
    <w:rsid w:val="005D39F2"/>
    <w:rsid w:val="005D3B47"/>
    <w:rsid w:val="005D3BC8"/>
    <w:rsid w:val="005D3CF8"/>
    <w:rsid w:val="005D429A"/>
    <w:rsid w:val="005D42DD"/>
    <w:rsid w:val="005D704F"/>
    <w:rsid w:val="005D7093"/>
    <w:rsid w:val="005E0184"/>
    <w:rsid w:val="005E0D54"/>
    <w:rsid w:val="005E1C50"/>
    <w:rsid w:val="005E1FDF"/>
    <w:rsid w:val="005E32AF"/>
    <w:rsid w:val="005E38F0"/>
    <w:rsid w:val="005E426E"/>
    <w:rsid w:val="005E50C6"/>
    <w:rsid w:val="005E5853"/>
    <w:rsid w:val="005E6F92"/>
    <w:rsid w:val="005E7E3D"/>
    <w:rsid w:val="005F03CA"/>
    <w:rsid w:val="005F07A7"/>
    <w:rsid w:val="005F0833"/>
    <w:rsid w:val="005F0C4D"/>
    <w:rsid w:val="005F14C6"/>
    <w:rsid w:val="005F1609"/>
    <w:rsid w:val="005F247A"/>
    <w:rsid w:val="005F28E1"/>
    <w:rsid w:val="005F329F"/>
    <w:rsid w:val="005F347B"/>
    <w:rsid w:val="005F37CA"/>
    <w:rsid w:val="005F59ED"/>
    <w:rsid w:val="005F5E05"/>
    <w:rsid w:val="005F6869"/>
    <w:rsid w:val="005F6B77"/>
    <w:rsid w:val="005F6BE3"/>
    <w:rsid w:val="005F6EAD"/>
    <w:rsid w:val="005F7577"/>
    <w:rsid w:val="00600FC4"/>
    <w:rsid w:val="00601134"/>
    <w:rsid w:val="00602348"/>
    <w:rsid w:val="00602F72"/>
    <w:rsid w:val="00603362"/>
    <w:rsid w:val="00603737"/>
    <w:rsid w:val="006041FA"/>
    <w:rsid w:val="00604682"/>
    <w:rsid w:val="006049B1"/>
    <w:rsid w:val="00605265"/>
    <w:rsid w:val="00606BC0"/>
    <w:rsid w:val="00607F74"/>
    <w:rsid w:val="0060C14C"/>
    <w:rsid w:val="00611AF2"/>
    <w:rsid w:val="00613261"/>
    <w:rsid w:val="006137BF"/>
    <w:rsid w:val="00613A4E"/>
    <w:rsid w:val="00615A76"/>
    <w:rsid w:val="006162A9"/>
    <w:rsid w:val="00616C4F"/>
    <w:rsid w:val="00617845"/>
    <w:rsid w:val="006179AB"/>
    <w:rsid w:val="00620B6B"/>
    <w:rsid w:val="00622049"/>
    <w:rsid w:val="00623088"/>
    <w:rsid w:val="00623FB7"/>
    <w:rsid w:val="0062479D"/>
    <w:rsid w:val="00624ECD"/>
    <w:rsid w:val="00624F21"/>
    <w:rsid w:val="0062557D"/>
    <w:rsid w:val="0062646B"/>
    <w:rsid w:val="00626C67"/>
    <w:rsid w:val="00627663"/>
    <w:rsid w:val="006313DF"/>
    <w:rsid w:val="00631509"/>
    <w:rsid w:val="00631963"/>
    <w:rsid w:val="00631A6D"/>
    <w:rsid w:val="0063246A"/>
    <w:rsid w:val="00632DF0"/>
    <w:rsid w:val="00633E30"/>
    <w:rsid w:val="00634574"/>
    <w:rsid w:val="00634E6B"/>
    <w:rsid w:val="00635167"/>
    <w:rsid w:val="00635DD5"/>
    <w:rsid w:val="0063624A"/>
    <w:rsid w:val="00636F12"/>
    <w:rsid w:val="006400E2"/>
    <w:rsid w:val="00640316"/>
    <w:rsid w:val="00640788"/>
    <w:rsid w:val="00641635"/>
    <w:rsid w:val="006418AE"/>
    <w:rsid w:val="00643250"/>
    <w:rsid w:val="00643A7D"/>
    <w:rsid w:val="006459EC"/>
    <w:rsid w:val="00645A2B"/>
    <w:rsid w:val="00645CF2"/>
    <w:rsid w:val="00646DF3"/>
    <w:rsid w:val="00647964"/>
    <w:rsid w:val="00650692"/>
    <w:rsid w:val="00651B07"/>
    <w:rsid w:val="00651C68"/>
    <w:rsid w:val="00651FED"/>
    <w:rsid w:val="00652138"/>
    <w:rsid w:val="006528F5"/>
    <w:rsid w:val="00652954"/>
    <w:rsid w:val="00652FB6"/>
    <w:rsid w:val="006533BD"/>
    <w:rsid w:val="006535CE"/>
    <w:rsid w:val="00653B18"/>
    <w:rsid w:val="00653BA1"/>
    <w:rsid w:val="00654433"/>
    <w:rsid w:val="00654533"/>
    <w:rsid w:val="00654C95"/>
    <w:rsid w:val="00655796"/>
    <w:rsid w:val="006564C4"/>
    <w:rsid w:val="006567F9"/>
    <w:rsid w:val="0066094D"/>
    <w:rsid w:val="0066374D"/>
    <w:rsid w:val="006637B5"/>
    <w:rsid w:val="00663BB8"/>
    <w:rsid w:val="00663F20"/>
    <w:rsid w:val="006657EA"/>
    <w:rsid w:val="006658EF"/>
    <w:rsid w:val="00665CED"/>
    <w:rsid w:val="006670BB"/>
    <w:rsid w:val="00667C1C"/>
    <w:rsid w:val="00667CB2"/>
    <w:rsid w:val="006706AA"/>
    <w:rsid w:val="00670728"/>
    <w:rsid w:val="00670C2F"/>
    <w:rsid w:val="0067171C"/>
    <w:rsid w:val="00671BF5"/>
    <w:rsid w:val="00672153"/>
    <w:rsid w:val="00672513"/>
    <w:rsid w:val="006728EE"/>
    <w:rsid w:val="00673819"/>
    <w:rsid w:val="006739C0"/>
    <w:rsid w:val="00673C04"/>
    <w:rsid w:val="006753AC"/>
    <w:rsid w:val="00675881"/>
    <w:rsid w:val="00675AA7"/>
    <w:rsid w:val="00675B84"/>
    <w:rsid w:val="00675DC7"/>
    <w:rsid w:val="00675E2B"/>
    <w:rsid w:val="006764D7"/>
    <w:rsid w:val="00677052"/>
    <w:rsid w:val="00677A29"/>
    <w:rsid w:val="00677FD5"/>
    <w:rsid w:val="00680639"/>
    <w:rsid w:val="006822F4"/>
    <w:rsid w:val="00683B1F"/>
    <w:rsid w:val="00684938"/>
    <w:rsid w:val="00686766"/>
    <w:rsid w:val="00686CE8"/>
    <w:rsid w:val="00686EDE"/>
    <w:rsid w:val="0068758A"/>
    <w:rsid w:val="00687C1F"/>
    <w:rsid w:val="00690738"/>
    <w:rsid w:val="00690AF7"/>
    <w:rsid w:val="0069160B"/>
    <w:rsid w:val="006920D8"/>
    <w:rsid w:val="00692BE6"/>
    <w:rsid w:val="0069323F"/>
    <w:rsid w:val="0069388E"/>
    <w:rsid w:val="00693C69"/>
    <w:rsid w:val="00694344"/>
    <w:rsid w:val="00696709"/>
    <w:rsid w:val="00697778"/>
    <w:rsid w:val="00697D95"/>
    <w:rsid w:val="006A14BC"/>
    <w:rsid w:val="006A195F"/>
    <w:rsid w:val="006A19D1"/>
    <w:rsid w:val="006A1B4D"/>
    <w:rsid w:val="006A28E5"/>
    <w:rsid w:val="006A3DCF"/>
    <w:rsid w:val="006A489C"/>
    <w:rsid w:val="006A591D"/>
    <w:rsid w:val="006A6BBC"/>
    <w:rsid w:val="006A6C71"/>
    <w:rsid w:val="006A6E0B"/>
    <w:rsid w:val="006A7439"/>
    <w:rsid w:val="006B06C0"/>
    <w:rsid w:val="006B1120"/>
    <w:rsid w:val="006B1CD4"/>
    <w:rsid w:val="006B251D"/>
    <w:rsid w:val="006B3990"/>
    <w:rsid w:val="006B44E4"/>
    <w:rsid w:val="006B53E3"/>
    <w:rsid w:val="006B54C2"/>
    <w:rsid w:val="006B5B35"/>
    <w:rsid w:val="006B6CCB"/>
    <w:rsid w:val="006B6E7C"/>
    <w:rsid w:val="006B7C3C"/>
    <w:rsid w:val="006C1236"/>
    <w:rsid w:val="006C14BB"/>
    <w:rsid w:val="006C3CB3"/>
    <w:rsid w:val="006C47F1"/>
    <w:rsid w:val="006C5374"/>
    <w:rsid w:val="006C7E92"/>
    <w:rsid w:val="006D0186"/>
    <w:rsid w:val="006D02A9"/>
    <w:rsid w:val="006D10A9"/>
    <w:rsid w:val="006D1A20"/>
    <w:rsid w:val="006D2B7C"/>
    <w:rsid w:val="006D2CD6"/>
    <w:rsid w:val="006D2F20"/>
    <w:rsid w:val="006D3407"/>
    <w:rsid w:val="006D3FF0"/>
    <w:rsid w:val="006D42C6"/>
    <w:rsid w:val="006D4DA9"/>
    <w:rsid w:val="006D626E"/>
    <w:rsid w:val="006D6A40"/>
    <w:rsid w:val="006D6D9E"/>
    <w:rsid w:val="006D6ED0"/>
    <w:rsid w:val="006D6FFC"/>
    <w:rsid w:val="006D7018"/>
    <w:rsid w:val="006D752C"/>
    <w:rsid w:val="006D7EAB"/>
    <w:rsid w:val="006E10E4"/>
    <w:rsid w:val="006E4085"/>
    <w:rsid w:val="006E4696"/>
    <w:rsid w:val="006E4942"/>
    <w:rsid w:val="006E4AB8"/>
    <w:rsid w:val="006E5E5C"/>
    <w:rsid w:val="006E5FA4"/>
    <w:rsid w:val="006E636E"/>
    <w:rsid w:val="006E6913"/>
    <w:rsid w:val="006E7008"/>
    <w:rsid w:val="006E7921"/>
    <w:rsid w:val="006E7F4F"/>
    <w:rsid w:val="006F089C"/>
    <w:rsid w:val="006F22BF"/>
    <w:rsid w:val="006F292C"/>
    <w:rsid w:val="006F29C5"/>
    <w:rsid w:val="006F43EE"/>
    <w:rsid w:val="006F476C"/>
    <w:rsid w:val="006F4B57"/>
    <w:rsid w:val="006F4CA6"/>
    <w:rsid w:val="006F5A0B"/>
    <w:rsid w:val="006F5E48"/>
    <w:rsid w:val="006F6269"/>
    <w:rsid w:val="00700163"/>
    <w:rsid w:val="0070026A"/>
    <w:rsid w:val="0070029E"/>
    <w:rsid w:val="007006CB"/>
    <w:rsid w:val="00700BC7"/>
    <w:rsid w:val="00700EEE"/>
    <w:rsid w:val="00701357"/>
    <w:rsid w:val="0070327B"/>
    <w:rsid w:val="00703687"/>
    <w:rsid w:val="00704660"/>
    <w:rsid w:val="007051E8"/>
    <w:rsid w:val="00705A13"/>
    <w:rsid w:val="00706BE4"/>
    <w:rsid w:val="0071006C"/>
    <w:rsid w:val="00710E04"/>
    <w:rsid w:val="007111DA"/>
    <w:rsid w:val="007116F6"/>
    <w:rsid w:val="00711CEF"/>
    <w:rsid w:val="0071322A"/>
    <w:rsid w:val="00713BC4"/>
    <w:rsid w:val="007140A8"/>
    <w:rsid w:val="00714DCC"/>
    <w:rsid w:val="007152AB"/>
    <w:rsid w:val="00715314"/>
    <w:rsid w:val="00715A53"/>
    <w:rsid w:val="00717BA9"/>
    <w:rsid w:val="00717BEB"/>
    <w:rsid w:val="0072069A"/>
    <w:rsid w:val="0072131B"/>
    <w:rsid w:val="00722EAF"/>
    <w:rsid w:val="00723D56"/>
    <w:rsid w:val="00725D92"/>
    <w:rsid w:val="00726E05"/>
    <w:rsid w:val="00727761"/>
    <w:rsid w:val="00727C53"/>
    <w:rsid w:val="00730BDC"/>
    <w:rsid w:val="007310ED"/>
    <w:rsid w:val="007311C5"/>
    <w:rsid w:val="007316DB"/>
    <w:rsid w:val="00731896"/>
    <w:rsid w:val="007328B8"/>
    <w:rsid w:val="00734734"/>
    <w:rsid w:val="00734E7A"/>
    <w:rsid w:val="00735534"/>
    <w:rsid w:val="00735A50"/>
    <w:rsid w:val="00735DB6"/>
    <w:rsid w:val="00736CF9"/>
    <w:rsid w:val="00736FE5"/>
    <w:rsid w:val="00737AF7"/>
    <w:rsid w:val="007415F4"/>
    <w:rsid w:val="00742888"/>
    <w:rsid w:val="007452EF"/>
    <w:rsid w:val="00745612"/>
    <w:rsid w:val="00745CB5"/>
    <w:rsid w:val="00746D12"/>
    <w:rsid w:val="00747B31"/>
    <w:rsid w:val="00750396"/>
    <w:rsid w:val="007513B1"/>
    <w:rsid w:val="007516BD"/>
    <w:rsid w:val="0075178B"/>
    <w:rsid w:val="00751C4C"/>
    <w:rsid w:val="00751E6F"/>
    <w:rsid w:val="0075224F"/>
    <w:rsid w:val="00752D4A"/>
    <w:rsid w:val="007537DB"/>
    <w:rsid w:val="007538ED"/>
    <w:rsid w:val="00753BA4"/>
    <w:rsid w:val="00753F66"/>
    <w:rsid w:val="007555A7"/>
    <w:rsid w:val="0075562C"/>
    <w:rsid w:val="00755940"/>
    <w:rsid w:val="007560C1"/>
    <w:rsid w:val="0075620D"/>
    <w:rsid w:val="007567EF"/>
    <w:rsid w:val="00756F03"/>
    <w:rsid w:val="00757E01"/>
    <w:rsid w:val="0076044C"/>
    <w:rsid w:val="00760C29"/>
    <w:rsid w:val="00761A9F"/>
    <w:rsid w:val="00761D76"/>
    <w:rsid w:val="0076223F"/>
    <w:rsid w:val="007623C4"/>
    <w:rsid w:val="007648CD"/>
    <w:rsid w:val="00764F44"/>
    <w:rsid w:val="007660C4"/>
    <w:rsid w:val="0076666E"/>
    <w:rsid w:val="00766F5F"/>
    <w:rsid w:val="007679A9"/>
    <w:rsid w:val="00767DCC"/>
    <w:rsid w:val="00771CB3"/>
    <w:rsid w:val="00772013"/>
    <w:rsid w:val="007721AF"/>
    <w:rsid w:val="00772845"/>
    <w:rsid w:val="00772976"/>
    <w:rsid w:val="00772C23"/>
    <w:rsid w:val="007739CD"/>
    <w:rsid w:val="007742DD"/>
    <w:rsid w:val="00774A6F"/>
    <w:rsid w:val="00774E56"/>
    <w:rsid w:val="00775A90"/>
    <w:rsid w:val="00775E0D"/>
    <w:rsid w:val="00776C48"/>
    <w:rsid w:val="00776E2B"/>
    <w:rsid w:val="007777E7"/>
    <w:rsid w:val="00777F02"/>
    <w:rsid w:val="00780363"/>
    <w:rsid w:val="00780992"/>
    <w:rsid w:val="00781B9B"/>
    <w:rsid w:val="00781DC9"/>
    <w:rsid w:val="00784194"/>
    <w:rsid w:val="007843EC"/>
    <w:rsid w:val="00784BB0"/>
    <w:rsid w:val="007863C0"/>
    <w:rsid w:val="00786A70"/>
    <w:rsid w:val="00786B13"/>
    <w:rsid w:val="00786C24"/>
    <w:rsid w:val="00786F3E"/>
    <w:rsid w:val="00787410"/>
    <w:rsid w:val="00787BE9"/>
    <w:rsid w:val="00790759"/>
    <w:rsid w:val="00790DAA"/>
    <w:rsid w:val="007925C4"/>
    <w:rsid w:val="00792685"/>
    <w:rsid w:val="00792EEC"/>
    <w:rsid w:val="007932D8"/>
    <w:rsid w:val="007935C8"/>
    <w:rsid w:val="007935D8"/>
    <w:rsid w:val="00793E1B"/>
    <w:rsid w:val="00795254"/>
    <w:rsid w:val="0079543A"/>
    <w:rsid w:val="00795B90"/>
    <w:rsid w:val="0079600A"/>
    <w:rsid w:val="007A1D52"/>
    <w:rsid w:val="007A1E8C"/>
    <w:rsid w:val="007A25C5"/>
    <w:rsid w:val="007A2C60"/>
    <w:rsid w:val="007A34F2"/>
    <w:rsid w:val="007A4A1F"/>
    <w:rsid w:val="007A5845"/>
    <w:rsid w:val="007A5862"/>
    <w:rsid w:val="007A727D"/>
    <w:rsid w:val="007B0DFB"/>
    <w:rsid w:val="007B103E"/>
    <w:rsid w:val="007B107A"/>
    <w:rsid w:val="007B13FC"/>
    <w:rsid w:val="007B242E"/>
    <w:rsid w:val="007B2596"/>
    <w:rsid w:val="007B2658"/>
    <w:rsid w:val="007B3055"/>
    <w:rsid w:val="007B3618"/>
    <w:rsid w:val="007B4686"/>
    <w:rsid w:val="007B587A"/>
    <w:rsid w:val="007B6931"/>
    <w:rsid w:val="007B7982"/>
    <w:rsid w:val="007C0499"/>
    <w:rsid w:val="007C100C"/>
    <w:rsid w:val="007C2F69"/>
    <w:rsid w:val="007C3214"/>
    <w:rsid w:val="007C3703"/>
    <w:rsid w:val="007C4C87"/>
    <w:rsid w:val="007C4DC0"/>
    <w:rsid w:val="007C5B14"/>
    <w:rsid w:val="007C6307"/>
    <w:rsid w:val="007C6D72"/>
    <w:rsid w:val="007C7B77"/>
    <w:rsid w:val="007D005B"/>
    <w:rsid w:val="007D012E"/>
    <w:rsid w:val="007D034E"/>
    <w:rsid w:val="007D07C1"/>
    <w:rsid w:val="007D07D4"/>
    <w:rsid w:val="007D0AA2"/>
    <w:rsid w:val="007D0EA6"/>
    <w:rsid w:val="007D225C"/>
    <w:rsid w:val="007D230E"/>
    <w:rsid w:val="007D39E6"/>
    <w:rsid w:val="007D4C18"/>
    <w:rsid w:val="007D4C45"/>
    <w:rsid w:val="007D51CC"/>
    <w:rsid w:val="007D53D9"/>
    <w:rsid w:val="007D5473"/>
    <w:rsid w:val="007D67D9"/>
    <w:rsid w:val="007D71C0"/>
    <w:rsid w:val="007D7284"/>
    <w:rsid w:val="007D758D"/>
    <w:rsid w:val="007D7CBA"/>
    <w:rsid w:val="007E05CA"/>
    <w:rsid w:val="007E076C"/>
    <w:rsid w:val="007E0BFA"/>
    <w:rsid w:val="007E0FDE"/>
    <w:rsid w:val="007E194B"/>
    <w:rsid w:val="007E2143"/>
    <w:rsid w:val="007E341B"/>
    <w:rsid w:val="007E3762"/>
    <w:rsid w:val="007E3AD5"/>
    <w:rsid w:val="007E46F6"/>
    <w:rsid w:val="007E53AE"/>
    <w:rsid w:val="007E552A"/>
    <w:rsid w:val="007E7144"/>
    <w:rsid w:val="007E7A3D"/>
    <w:rsid w:val="007F0055"/>
    <w:rsid w:val="007F0E63"/>
    <w:rsid w:val="007F2C19"/>
    <w:rsid w:val="007F302F"/>
    <w:rsid w:val="007F3B82"/>
    <w:rsid w:val="007F3CE1"/>
    <w:rsid w:val="007F529D"/>
    <w:rsid w:val="007F7DF4"/>
    <w:rsid w:val="0080177C"/>
    <w:rsid w:val="00802661"/>
    <w:rsid w:val="008027F3"/>
    <w:rsid w:val="008037E1"/>
    <w:rsid w:val="0080482F"/>
    <w:rsid w:val="00804A47"/>
    <w:rsid w:val="00804E73"/>
    <w:rsid w:val="00806950"/>
    <w:rsid w:val="008077C5"/>
    <w:rsid w:val="008110EC"/>
    <w:rsid w:val="008126C7"/>
    <w:rsid w:val="00813958"/>
    <w:rsid w:val="00815737"/>
    <w:rsid w:val="00816248"/>
    <w:rsid w:val="00817BCB"/>
    <w:rsid w:val="00817DD9"/>
    <w:rsid w:val="0082040A"/>
    <w:rsid w:val="00820B2D"/>
    <w:rsid w:val="00821285"/>
    <w:rsid w:val="0082142F"/>
    <w:rsid w:val="00823A24"/>
    <w:rsid w:val="00823A5B"/>
    <w:rsid w:val="00823E53"/>
    <w:rsid w:val="0082520E"/>
    <w:rsid w:val="0082557C"/>
    <w:rsid w:val="00825CB7"/>
    <w:rsid w:val="0082795A"/>
    <w:rsid w:val="008308BF"/>
    <w:rsid w:val="00830AF4"/>
    <w:rsid w:val="00835451"/>
    <w:rsid w:val="00835E09"/>
    <w:rsid w:val="00836D73"/>
    <w:rsid w:val="00836F24"/>
    <w:rsid w:val="00837B9D"/>
    <w:rsid w:val="00837CF7"/>
    <w:rsid w:val="00837D97"/>
    <w:rsid w:val="00840141"/>
    <w:rsid w:val="008401C5"/>
    <w:rsid w:val="00842651"/>
    <w:rsid w:val="00843F18"/>
    <w:rsid w:val="00844442"/>
    <w:rsid w:val="00844AFC"/>
    <w:rsid w:val="00844BBD"/>
    <w:rsid w:val="008453AE"/>
    <w:rsid w:val="008453FF"/>
    <w:rsid w:val="0084625F"/>
    <w:rsid w:val="00846359"/>
    <w:rsid w:val="0084698A"/>
    <w:rsid w:val="00846AB3"/>
    <w:rsid w:val="00847C50"/>
    <w:rsid w:val="008503F6"/>
    <w:rsid w:val="008507F9"/>
    <w:rsid w:val="008508A1"/>
    <w:rsid w:val="0085204B"/>
    <w:rsid w:val="00852C53"/>
    <w:rsid w:val="00852CB9"/>
    <w:rsid w:val="00853665"/>
    <w:rsid w:val="00853795"/>
    <w:rsid w:val="008548DE"/>
    <w:rsid w:val="00854C01"/>
    <w:rsid w:val="00855414"/>
    <w:rsid w:val="00860528"/>
    <w:rsid w:val="00861192"/>
    <w:rsid w:val="008612F1"/>
    <w:rsid w:val="00861539"/>
    <w:rsid w:val="00862295"/>
    <w:rsid w:val="00863C74"/>
    <w:rsid w:val="0086414C"/>
    <w:rsid w:val="00865560"/>
    <w:rsid w:val="008655B1"/>
    <w:rsid w:val="008663F7"/>
    <w:rsid w:val="0086665E"/>
    <w:rsid w:val="008669E7"/>
    <w:rsid w:val="00870271"/>
    <w:rsid w:val="008719F4"/>
    <w:rsid w:val="00872761"/>
    <w:rsid w:val="00873642"/>
    <w:rsid w:val="0087585F"/>
    <w:rsid w:val="00876E08"/>
    <w:rsid w:val="0088222F"/>
    <w:rsid w:val="00882D82"/>
    <w:rsid w:val="008834E9"/>
    <w:rsid w:val="0088489B"/>
    <w:rsid w:val="00884DE0"/>
    <w:rsid w:val="00890D8A"/>
    <w:rsid w:val="008914C1"/>
    <w:rsid w:val="00892698"/>
    <w:rsid w:val="00892A2F"/>
    <w:rsid w:val="00892E10"/>
    <w:rsid w:val="00893365"/>
    <w:rsid w:val="008934D9"/>
    <w:rsid w:val="00893CF0"/>
    <w:rsid w:val="00894068"/>
    <w:rsid w:val="00894559"/>
    <w:rsid w:val="008957C3"/>
    <w:rsid w:val="00896757"/>
    <w:rsid w:val="00896D4D"/>
    <w:rsid w:val="00897595"/>
    <w:rsid w:val="008978F5"/>
    <w:rsid w:val="008A051B"/>
    <w:rsid w:val="008A0EDA"/>
    <w:rsid w:val="008A141C"/>
    <w:rsid w:val="008A156A"/>
    <w:rsid w:val="008A17C6"/>
    <w:rsid w:val="008A18BD"/>
    <w:rsid w:val="008A1B8D"/>
    <w:rsid w:val="008A217B"/>
    <w:rsid w:val="008A288C"/>
    <w:rsid w:val="008A2B90"/>
    <w:rsid w:val="008A3208"/>
    <w:rsid w:val="008A3520"/>
    <w:rsid w:val="008A3EBA"/>
    <w:rsid w:val="008A428A"/>
    <w:rsid w:val="008A43FF"/>
    <w:rsid w:val="008A5016"/>
    <w:rsid w:val="008A5893"/>
    <w:rsid w:val="008A5E17"/>
    <w:rsid w:val="008A5FF7"/>
    <w:rsid w:val="008A641F"/>
    <w:rsid w:val="008A69CC"/>
    <w:rsid w:val="008B0BB1"/>
    <w:rsid w:val="008B1DE5"/>
    <w:rsid w:val="008B1ED4"/>
    <w:rsid w:val="008B1EF1"/>
    <w:rsid w:val="008B21D7"/>
    <w:rsid w:val="008B2302"/>
    <w:rsid w:val="008B2785"/>
    <w:rsid w:val="008B2A6C"/>
    <w:rsid w:val="008B31B7"/>
    <w:rsid w:val="008B3AC1"/>
    <w:rsid w:val="008B3FE0"/>
    <w:rsid w:val="008B593B"/>
    <w:rsid w:val="008B66F4"/>
    <w:rsid w:val="008B70FD"/>
    <w:rsid w:val="008B71F6"/>
    <w:rsid w:val="008B7896"/>
    <w:rsid w:val="008B7BC8"/>
    <w:rsid w:val="008B7D46"/>
    <w:rsid w:val="008C0323"/>
    <w:rsid w:val="008C0ED0"/>
    <w:rsid w:val="008C1E3A"/>
    <w:rsid w:val="008C2BD5"/>
    <w:rsid w:val="008C5258"/>
    <w:rsid w:val="008C5D23"/>
    <w:rsid w:val="008C6E0D"/>
    <w:rsid w:val="008C7167"/>
    <w:rsid w:val="008D1114"/>
    <w:rsid w:val="008D199F"/>
    <w:rsid w:val="008D22FA"/>
    <w:rsid w:val="008D2FDC"/>
    <w:rsid w:val="008D45BF"/>
    <w:rsid w:val="008D4D26"/>
    <w:rsid w:val="008D5736"/>
    <w:rsid w:val="008D5CC2"/>
    <w:rsid w:val="008D5EC5"/>
    <w:rsid w:val="008D6FE3"/>
    <w:rsid w:val="008E0C4E"/>
    <w:rsid w:val="008E0F90"/>
    <w:rsid w:val="008E1E10"/>
    <w:rsid w:val="008E233E"/>
    <w:rsid w:val="008E25B7"/>
    <w:rsid w:val="008E2E4F"/>
    <w:rsid w:val="008E3CBC"/>
    <w:rsid w:val="008E6986"/>
    <w:rsid w:val="008F069E"/>
    <w:rsid w:val="008F0CA8"/>
    <w:rsid w:val="008F277D"/>
    <w:rsid w:val="008F2BFA"/>
    <w:rsid w:val="008F42D6"/>
    <w:rsid w:val="008F626B"/>
    <w:rsid w:val="008F68A5"/>
    <w:rsid w:val="008F69A7"/>
    <w:rsid w:val="008F734B"/>
    <w:rsid w:val="008F79B5"/>
    <w:rsid w:val="008F7C22"/>
    <w:rsid w:val="008F7D54"/>
    <w:rsid w:val="009007A4"/>
    <w:rsid w:val="009008EF"/>
    <w:rsid w:val="00902006"/>
    <w:rsid w:val="00902288"/>
    <w:rsid w:val="00902389"/>
    <w:rsid w:val="009023F5"/>
    <w:rsid w:val="0090324A"/>
    <w:rsid w:val="00904FBC"/>
    <w:rsid w:val="0090557F"/>
    <w:rsid w:val="00905A8D"/>
    <w:rsid w:val="00906F6E"/>
    <w:rsid w:val="009070CB"/>
    <w:rsid w:val="009103A6"/>
    <w:rsid w:val="009108F1"/>
    <w:rsid w:val="0091093C"/>
    <w:rsid w:val="00910AB7"/>
    <w:rsid w:val="00910E3F"/>
    <w:rsid w:val="00910EAB"/>
    <w:rsid w:val="00912328"/>
    <w:rsid w:val="00913379"/>
    <w:rsid w:val="0091359D"/>
    <w:rsid w:val="00914AA8"/>
    <w:rsid w:val="00914D2B"/>
    <w:rsid w:val="009159C0"/>
    <w:rsid w:val="009165E8"/>
    <w:rsid w:val="009166B7"/>
    <w:rsid w:val="00916E5D"/>
    <w:rsid w:val="00917337"/>
    <w:rsid w:val="0091754C"/>
    <w:rsid w:val="009179DA"/>
    <w:rsid w:val="009209F0"/>
    <w:rsid w:val="0092360E"/>
    <w:rsid w:val="00924523"/>
    <w:rsid w:val="00924993"/>
    <w:rsid w:val="00925336"/>
    <w:rsid w:val="009254D7"/>
    <w:rsid w:val="00926DAC"/>
    <w:rsid w:val="00927B89"/>
    <w:rsid w:val="00927CFC"/>
    <w:rsid w:val="00930388"/>
    <w:rsid w:val="00931494"/>
    <w:rsid w:val="009349BC"/>
    <w:rsid w:val="00934CBE"/>
    <w:rsid w:val="00935B14"/>
    <w:rsid w:val="00936D3B"/>
    <w:rsid w:val="00937231"/>
    <w:rsid w:val="009404FC"/>
    <w:rsid w:val="00941002"/>
    <w:rsid w:val="0094186D"/>
    <w:rsid w:val="00941C2C"/>
    <w:rsid w:val="009428B2"/>
    <w:rsid w:val="00944C12"/>
    <w:rsid w:val="00945E1E"/>
    <w:rsid w:val="00945F2C"/>
    <w:rsid w:val="009460FB"/>
    <w:rsid w:val="00946A29"/>
    <w:rsid w:val="0094745A"/>
    <w:rsid w:val="00947CD1"/>
    <w:rsid w:val="009511D6"/>
    <w:rsid w:val="009515E2"/>
    <w:rsid w:val="0095165C"/>
    <w:rsid w:val="009520C6"/>
    <w:rsid w:val="00952C7C"/>
    <w:rsid w:val="009533E6"/>
    <w:rsid w:val="009538E6"/>
    <w:rsid w:val="00955018"/>
    <w:rsid w:val="00955F82"/>
    <w:rsid w:val="00956003"/>
    <w:rsid w:val="00956294"/>
    <w:rsid w:val="00956696"/>
    <w:rsid w:val="0095797B"/>
    <w:rsid w:val="0096179C"/>
    <w:rsid w:val="00961A4D"/>
    <w:rsid w:val="00962601"/>
    <w:rsid w:val="0096381F"/>
    <w:rsid w:val="00965AF8"/>
    <w:rsid w:val="00965BE5"/>
    <w:rsid w:val="0097099E"/>
    <w:rsid w:val="00970BAB"/>
    <w:rsid w:val="00970DE0"/>
    <w:rsid w:val="00971455"/>
    <w:rsid w:val="00971550"/>
    <w:rsid w:val="00972240"/>
    <w:rsid w:val="00973BE7"/>
    <w:rsid w:val="009741EB"/>
    <w:rsid w:val="0097500F"/>
    <w:rsid w:val="00977D10"/>
    <w:rsid w:val="00977FB6"/>
    <w:rsid w:val="00980318"/>
    <w:rsid w:val="009813E1"/>
    <w:rsid w:val="00981578"/>
    <w:rsid w:val="00981CDD"/>
    <w:rsid w:val="00981F2C"/>
    <w:rsid w:val="0098283F"/>
    <w:rsid w:val="00982DAF"/>
    <w:rsid w:val="00982E80"/>
    <w:rsid w:val="0098353E"/>
    <w:rsid w:val="009835B3"/>
    <w:rsid w:val="00983A1F"/>
    <w:rsid w:val="0098587E"/>
    <w:rsid w:val="00986BED"/>
    <w:rsid w:val="00987278"/>
    <w:rsid w:val="00987308"/>
    <w:rsid w:val="00990795"/>
    <w:rsid w:val="009908FB"/>
    <w:rsid w:val="0099294D"/>
    <w:rsid w:val="0099376C"/>
    <w:rsid w:val="00993A0D"/>
    <w:rsid w:val="00994A1C"/>
    <w:rsid w:val="00994DEE"/>
    <w:rsid w:val="00995556"/>
    <w:rsid w:val="009958E3"/>
    <w:rsid w:val="00995ECA"/>
    <w:rsid w:val="00996099"/>
    <w:rsid w:val="009A040C"/>
    <w:rsid w:val="009A070A"/>
    <w:rsid w:val="009A0A23"/>
    <w:rsid w:val="009A0CC7"/>
    <w:rsid w:val="009A0D13"/>
    <w:rsid w:val="009A1124"/>
    <w:rsid w:val="009A1189"/>
    <w:rsid w:val="009A33AC"/>
    <w:rsid w:val="009A34C6"/>
    <w:rsid w:val="009A37DC"/>
    <w:rsid w:val="009A3D3A"/>
    <w:rsid w:val="009A4546"/>
    <w:rsid w:val="009A46F7"/>
    <w:rsid w:val="009A4F78"/>
    <w:rsid w:val="009A51C2"/>
    <w:rsid w:val="009A53DF"/>
    <w:rsid w:val="009A6101"/>
    <w:rsid w:val="009A63A6"/>
    <w:rsid w:val="009A6AA1"/>
    <w:rsid w:val="009A6C55"/>
    <w:rsid w:val="009A6EF0"/>
    <w:rsid w:val="009A7487"/>
    <w:rsid w:val="009A7523"/>
    <w:rsid w:val="009B0311"/>
    <w:rsid w:val="009B0D67"/>
    <w:rsid w:val="009B26B5"/>
    <w:rsid w:val="009B294E"/>
    <w:rsid w:val="009B2B3F"/>
    <w:rsid w:val="009B4C20"/>
    <w:rsid w:val="009B5032"/>
    <w:rsid w:val="009B6022"/>
    <w:rsid w:val="009B6A29"/>
    <w:rsid w:val="009B7141"/>
    <w:rsid w:val="009C055F"/>
    <w:rsid w:val="009C0D25"/>
    <w:rsid w:val="009C10AE"/>
    <w:rsid w:val="009C1AAE"/>
    <w:rsid w:val="009C2C1E"/>
    <w:rsid w:val="009C2C72"/>
    <w:rsid w:val="009C438C"/>
    <w:rsid w:val="009C6ECB"/>
    <w:rsid w:val="009D1AF8"/>
    <w:rsid w:val="009D1C9F"/>
    <w:rsid w:val="009D274D"/>
    <w:rsid w:val="009D2AA1"/>
    <w:rsid w:val="009D326C"/>
    <w:rsid w:val="009D35AD"/>
    <w:rsid w:val="009D3F92"/>
    <w:rsid w:val="009D51F3"/>
    <w:rsid w:val="009D5AB6"/>
    <w:rsid w:val="009D7066"/>
    <w:rsid w:val="009D71D0"/>
    <w:rsid w:val="009E10D2"/>
    <w:rsid w:val="009E1E3B"/>
    <w:rsid w:val="009E20BD"/>
    <w:rsid w:val="009E3054"/>
    <w:rsid w:val="009E5694"/>
    <w:rsid w:val="009E7960"/>
    <w:rsid w:val="009E7FA1"/>
    <w:rsid w:val="009F1993"/>
    <w:rsid w:val="009F2255"/>
    <w:rsid w:val="009F24ED"/>
    <w:rsid w:val="009F3A24"/>
    <w:rsid w:val="009F3AD7"/>
    <w:rsid w:val="009F4990"/>
    <w:rsid w:val="009F4BDC"/>
    <w:rsid w:val="009F52CE"/>
    <w:rsid w:val="009F56F3"/>
    <w:rsid w:val="009F58BB"/>
    <w:rsid w:val="009F67FB"/>
    <w:rsid w:val="009FC3EE"/>
    <w:rsid w:val="00A000C2"/>
    <w:rsid w:val="00A00823"/>
    <w:rsid w:val="00A017B4"/>
    <w:rsid w:val="00A01D7C"/>
    <w:rsid w:val="00A0468D"/>
    <w:rsid w:val="00A04FB8"/>
    <w:rsid w:val="00A065A9"/>
    <w:rsid w:val="00A067DC"/>
    <w:rsid w:val="00A0788D"/>
    <w:rsid w:val="00A07A4F"/>
    <w:rsid w:val="00A07FEB"/>
    <w:rsid w:val="00A10163"/>
    <w:rsid w:val="00A1097E"/>
    <w:rsid w:val="00A11464"/>
    <w:rsid w:val="00A11B6B"/>
    <w:rsid w:val="00A11F9D"/>
    <w:rsid w:val="00A126F8"/>
    <w:rsid w:val="00A1362C"/>
    <w:rsid w:val="00A14167"/>
    <w:rsid w:val="00A14346"/>
    <w:rsid w:val="00A16853"/>
    <w:rsid w:val="00A209C3"/>
    <w:rsid w:val="00A2121B"/>
    <w:rsid w:val="00A220DD"/>
    <w:rsid w:val="00A22546"/>
    <w:rsid w:val="00A2353C"/>
    <w:rsid w:val="00A235F7"/>
    <w:rsid w:val="00A23C8F"/>
    <w:rsid w:val="00A24161"/>
    <w:rsid w:val="00A249FF"/>
    <w:rsid w:val="00A24C9A"/>
    <w:rsid w:val="00A250CC"/>
    <w:rsid w:val="00A2622D"/>
    <w:rsid w:val="00A303BF"/>
    <w:rsid w:val="00A30512"/>
    <w:rsid w:val="00A32DDA"/>
    <w:rsid w:val="00A333ED"/>
    <w:rsid w:val="00A34FB7"/>
    <w:rsid w:val="00A3546B"/>
    <w:rsid w:val="00A3707D"/>
    <w:rsid w:val="00A377ED"/>
    <w:rsid w:val="00A37D7F"/>
    <w:rsid w:val="00A37E78"/>
    <w:rsid w:val="00A37F1E"/>
    <w:rsid w:val="00A40133"/>
    <w:rsid w:val="00A406C9"/>
    <w:rsid w:val="00A408AC"/>
    <w:rsid w:val="00A41442"/>
    <w:rsid w:val="00A434B1"/>
    <w:rsid w:val="00A439AA"/>
    <w:rsid w:val="00A45402"/>
    <w:rsid w:val="00A45980"/>
    <w:rsid w:val="00A467D3"/>
    <w:rsid w:val="00A46C37"/>
    <w:rsid w:val="00A4761F"/>
    <w:rsid w:val="00A50B30"/>
    <w:rsid w:val="00A5138A"/>
    <w:rsid w:val="00A52941"/>
    <w:rsid w:val="00A531D3"/>
    <w:rsid w:val="00A54EF5"/>
    <w:rsid w:val="00A55D2E"/>
    <w:rsid w:val="00A5671E"/>
    <w:rsid w:val="00A568D8"/>
    <w:rsid w:val="00A56C10"/>
    <w:rsid w:val="00A57E01"/>
    <w:rsid w:val="00A57F94"/>
    <w:rsid w:val="00A60222"/>
    <w:rsid w:val="00A6054D"/>
    <w:rsid w:val="00A61D63"/>
    <w:rsid w:val="00A63139"/>
    <w:rsid w:val="00A63922"/>
    <w:rsid w:val="00A64035"/>
    <w:rsid w:val="00A6423A"/>
    <w:rsid w:val="00A651D0"/>
    <w:rsid w:val="00A6550B"/>
    <w:rsid w:val="00A67106"/>
    <w:rsid w:val="00A673AC"/>
    <w:rsid w:val="00A674BB"/>
    <w:rsid w:val="00A678E2"/>
    <w:rsid w:val="00A67E0D"/>
    <w:rsid w:val="00A707E4"/>
    <w:rsid w:val="00A71320"/>
    <w:rsid w:val="00A7192B"/>
    <w:rsid w:val="00A72EA9"/>
    <w:rsid w:val="00A73827"/>
    <w:rsid w:val="00A7615D"/>
    <w:rsid w:val="00A762B0"/>
    <w:rsid w:val="00A76E20"/>
    <w:rsid w:val="00A77A85"/>
    <w:rsid w:val="00A80229"/>
    <w:rsid w:val="00A802BC"/>
    <w:rsid w:val="00A8131A"/>
    <w:rsid w:val="00A81326"/>
    <w:rsid w:val="00A81536"/>
    <w:rsid w:val="00A81B6B"/>
    <w:rsid w:val="00A81E63"/>
    <w:rsid w:val="00A82262"/>
    <w:rsid w:val="00A82E36"/>
    <w:rsid w:val="00A83B28"/>
    <w:rsid w:val="00A84ACA"/>
    <w:rsid w:val="00A84C52"/>
    <w:rsid w:val="00A85CF1"/>
    <w:rsid w:val="00A86B16"/>
    <w:rsid w:val="00A87728"/>
    <w:rsid w:val="00A87DFA"/>
    <w:rsid w:val="00A904DF"/>
    <w:rsid w:val="00A91EA8"/>
    <w:rsid w:val="00A9243F"/>
    <w:rsid w:val="00A924A4"/>
    <w:rsid w:val="00A9294B"/>
    <w:rsid w:val="00A93248"/>
    <w:rsid w:val="00A93DB8"/>
    <w:rsid w:val="00A94A61"/>
    <w:rsid w:val="00A94CAB"/>
    <w:rsid w:val="00A968B7"/>
    <w:rsid w:val="00A96E72"/>
    <w:rsid w:val="00A97BA2"/>
    <w:rsid w:val="00A97C75"/>
    <w:rsid w:val="00AA0CDF"/>
    <w:rsid w:val="00AA1362"/>
    <w:rsid w:val="00AA1BF5"/>
    <w:rsid w:val="00AA341D"/>
    <w:rsid w:val="00AA6178"/>
    <w:rsid w:val="00AA6634"/>
    <w:rsid w:val="00AA6C8E"/>
    <w:rsid w:val="00AA6EBD"/>
    <w:rsid w:val="00AA7F4A"/>
    <w:rsid w:val="00AB20F0"/>
    <w:rsid w:val="00AB2594"/>
    <w:rsid w:val="00AB27BC"/>
    <w:rsid w:val="00AB3ACD"/>
    <w:rsid w:val="00AB543B"/>
    <w:rsid w:val="00AB5491"/>
    <w:rsid w:val="00AC19F6"/>
    <w:rsid w:val="00AC1F5A"/>
    <w:rsid w:val="00AC2114"/>
    <w:rsid w:val="00AC21CF"/>
    <w:rsid w:val="00AC227B"/>
    <w:rsid w:val="00AC46C7"/>
    <w:rsid w:val="00AC489B"/>
    <w:rsid w:val="00AC4BF3"/>
    <w:rsid w:val="00AC5B3E"/>
    <w:rsid w:val="00AC5FCD"/>
    <w:rsid w:val="00AC7BF4"/>
    <w:rsid w:val="00AD002D"/>
    <w:rsid w:val="00AD065D"/>
    <w:rsid w:val="00AD20B5"/>
    <w:rsid w:val="00AD21DC"/>
    <w:rsid w:val="00AD2312"/>
    <w:rsid w:val="00AD304B"/>
    <w:rsid w:val="00AD3249"/>
    <w:rsid w:val="00AD3592"/>
    <w:rsid w:val="00AD3F06"/>
    <w:rsid w:val="00AD5547"/>
    <w:rsid w:val="00AD5CC0"/>
    <w:rsid w:val="00AD77F2"/>
    <w:rsid w:val="00AD7EB1"/>
    <w:rsid w:val="00AE2023"/>
    <w:rsid w:val="00AE2185"/>
    <w:rsid w:val="00AE28B2"/>
    <w:rsid w:val="00AE3B60"/>
    <w:rsid w:val="00AE4EE9"/>
    <w:rsid w:val="00AE6419"/>
    <w:rsid w:val="00AE6EDA"/>
    <w:rsid w:val="00AE78DF"/>
    <w:rsid w:val="00AF106E"/>
    <w:rsid w:val="00AF23A3"/>
    <w:rsid w:val="00AF5172"/>
    <w:rsid w:val="00AF5A12"/>
    <w:rsid w:val="00AF604B"/>
    <w:rsid w:val="00B01C4C"/>
    <w:rsid w:val="00B01CB0"/>
    <w:rsid w:val="00B020C2"/>
    <w:rsid w:val="00B02520"/>
    <w:rsid w:val="00B04B04"/>
    <w:rsid w:val="00B04F6E"/>
    <w:rsid w:val="00B050E0"/>
    <w:rsid w:val="00B057FF"/>
    <w:rsid w:val="00B0724B"/>
    <w:rsid w:val="00B07DFE"/>
    <w:rsid w:val="00B12077"/>
    <w:rsid w:val="00B13AEE"/>
    <w:rsid w:val="00B13E51"/>
    <w:rsid w:val="00B142B7"/>
    <w:rsid w:val="00B15D2E"/>
    <w:rsid w:val="00B15FE1"/>
    <w:rsid w:val="00B162E7"/>
    <w:rsid w:val="00B16C40"/>
    <w:rsid w:val="00B20112"/>
    <w:rsid w:val="00B20405"/>
    <w:rsid w:val="00B20B10"/>
    <w:rsid w:val="00B20B7A"/>
    <w:rsid w:val="00B20FCE"/>
    <w:rsid w:val="00B21F84"/>
    <w:rsid w:val="00B2239F"/>
    <w:rsid w:val="00B2404E"/>
    <w:rsid w:val="00B2488A"/>
    <w:rsid w:val="00B2495D"/>
    <w:rsid w:val="00B2619D"/>
    <w:rsid w:val="00B266A1"/>
    <w:rsid w:val="00B26CE3"/>
    <w:rsid w:val="00B27103"/>
    <w:rsid w:val="00B27265"/>
    <w:rsid w:val="00B27DAC"/>
    <w:rsid w:val="00B30BAD"/>
    <w:rsid w:val="00B310FB"/>
    <w:rsid w:val="00B323DD"/>
    <w:rsid w:val="00B3245A"/>
    <w:rsid w:val="00B32EC7"/>
    <w:rsid w:val="00B32F14"/>
    <w:rsid w:val="00B359ED"/>
    <w:rsid w:val="00B36CBF"/>
    <w:rsid w:val="00B371C0"/>
    <w:rsid w:val="00B4066E"/>
    <w:rsid w:val="00B40BF1"/>
    <w:rsid w:val="00B434F9"/>
    <w:rsid w:val="00B438CD"/>
    <w:rsid w:val="00B46145"/>
    <w:rsid w:val="00B47878"/>
    <w:rsid w:val="00B507E9"/>
    <w:rsid w:val="00B52306"/>
    <w:rsid w:val="00B52FE3"/>
    <w:rsid w:val="00B53156"/>
    <w:rsid w:val="00B535E1"/>
    <w:rsid w:val="00B54A60"/>
    <w:rsid w:val="00B55D6F"/>
    <w:rsid w:val="00B56D78"/>
    <w:rsid w:val="00B56FC6"/>
    <w:rsid w:val="00B571EB"/>
    <w:rsid w:val="00B6015F"/>
    <w:rsid w:val="00B60BAC"/>
    <w:rsid w:val="00B61363"/>
    <w:rsid w:val="00B62617"/>
    <w:rsid w:val="00B63979"/>
    <w:rsid w:val="00B63D97"/>
    <w:rsid w:val="00B64A53"/>
    <w:rsid w:val="00B64C16"/>
    <w:rsid w:val="00B64F30"/>
    <w:rsid w:val="00B65489"/>
    <w:rsid w:val="00B65CBE"/>
    <w:rsid w:val="00B66992"/>
    <w:rsid w:val="00B66C24"/>
    <w:rsid w:val="00B67000"/>
    <w:rsid w:val="00B67928"/>
    <w:rsid w:val="00B70F12"/>
    <w:rsid w:val="00B716F6"/>
    <w:rsid w:val="00B717E4"/>
    <w:rsid w:val="00B71E92"/>
    <w:rsid w:val="00B73569"/>
    <w:rsid w:val="00B73F21"/>
    <w:rsid w:val="00B74917"/>
    <w:rsid w:val="00B7505B"/>
    <w:rsid w:val="00B7530A"/>
    <w:rsid w:val="00B75A51"/>
    <w:rsid w:val="00B75DA3"/>
    <w:rsid w:val="00B761A9"/>
    <w:rsid w:val="00B771B3"/>
    <w:rsid w:val="00B81C7D"/>
    <w:rsid w:val="00B82A88"/>
    <w:rsid w:val="00B83044"/>
    <w:rsid w:val="00B83DCB"/>
    <w:rsid w:val="00B84B6A"/>
    <w:rsid w:val="00B852A7"/>
    <w:rsid w:val="00B85DA9"/>
    <w:rsid w:val="00B86B3A"/>
    <w:rsid w:val="00B86F74"/>
    <w:rsid w:val="00B87EE6"/>
    <w:rsid w:val="00B90241"/>
    <w:rsid w:val="00B90AF7"/>
    <w:rsid w:val="00B93259"/>
    <w:rsid w:val="00B93B4C"/>
    <w:rsid w:val="00B94173"/>
    <w:rsid w:val="00B944C7"/>
    <w:rsid w:val="00B954AA"/>
    <w:rsid w:val="00B96200"/>
    <w:rsid w:val="00B96C83"/>
    <w:rsid w:val="00B96DA4"/>
    <w:rsid w:val="00B97352"/>
    <w:rsid w:val="00B97E13"/>
    <w:rsid w:val="00BA10DF"/>
    <w:rsid w:val="00BA2BBD"/>
    <w:rsid w:val="00BA448F"/>
    <w:rsid w:val="00BA5481"/>
    <w:rsid w:val="00BA578C"/>
    <w:rsid w:val="00BA789F"/>
    <w:rsid w:val="00BA7B49"/>
    <w:rsid w:val="00BB06D6"/>
    <w:rsid w:val="00BB0A62"/>
    <w:rsid w:val="00BB1A00"/>
    <w:rsid w:val="00BB35FB"/>
    <w:rsid w:val="00BB3607"/>
    <w:rsid w:val="00BB3D2C"/>
    <w:rsid w:val="00BB40A4"/>
    <w:rsid w:val="00BB4650"/>
    <w:rsid w:val="00BB4AD9"/>
    <w:rsid w:val="00BB5148"/>
    <w:rsid w:val="00BB5967"/>
    <w:rsid w:val="00BB64D6"/>
    <w:rsid w:val="00BB7280"/>
    <w:rsid w:val="00BC05CA"/>
    <w:rsid w:val="00BC1511"/>
    <w:rsid w:val="00BC2320"/>
    <w:rsid w:val="00BC2626"/>
    <w:rsid w:val="00BC5028"/>
    <w:rsid w:val="00BC522C"/>
    <w:rsid w:val="00BC68C2"/>
    <w:rsid w:val="00BD0379"/>
    <w:rsid w:val="00BD04E1"/>
    <w:rsid w:val="00BD0B7A"/>
    <w:rsid w:val="00BD0DAC"/>
    <w:rsid w:val="00BD1E49"/>
    <w:rsid w:val="00BD2D67"/>
    <w:rsid w:val="00BD382E"/>
    <w:rsid w:val="00BD3B3C"/>
    <w:rsid w:val="00BD46C8"/>
    <w:rsid w:val="00BD4885"/>
    <w:rsid w:val="00BD4AF6"/>
    <w:rsid w:val="00BD4FF4"/>
    <w:rsid w:val="00BD6050"/>
    <w:rsid w:val="00BD7A21"/>
    <w:rsid w:val="00BE1358"/>
    <w:rsid w:val="00BE14AC"/>
    <w:rsid w:val="00BE3110"/>
    <w:rsid w:val="00BE32A9"/>
    <w:rsid w:val="00BE358F"/>
    <w:rsid w:val="00BE53B1"/>
    <w:rsid w:val="00BE63C2"/>
    <w:rsid w:val="00BE7963"/>
    <w:rsid w:val="00BF0633"/>
    <w:rsid w:val="00BF0B2D"/>
    <w:rsid w:val="00BF0BC8"/>
    <w:rsid w:val="00BF0F79"/>
    <w:rsid w:val="00BF1E2C"/>
    <w:rsid w:val="00BF2178"/>
    <w:rsid w:val="00BF2BE9"/>
    <w:rsid w:val="00BF3D83"/>
    <w:rsid w:val="00BF514F"/>
    <w:rsid w:val="00BF67E3"/>
    <w:rsid w:val="00C00122"/>
    <w:rsid w:val="00C00C07"/>
    <w:rsid w:val="00C01178"/>
    <w:rsid w:val="00C0187D"/>
    <w:rsid w:val="00C01B5A"/>
    <w:rsid w:val="00C02215"/>
    <w:rsid w:val="00C0287B"/>
    <w:rsid w:val="00C0319B"/>
    <w:rsid w:val="00C0439C"/>
    <w:rsid w:val="00C04C3E"/>
    <w:rsid w:val="00C067F4"/>
    <w:rsid w:val="00C0764F"/>
    <w:rsid w:val="00C0776B"/>
    <w:rsid w:val="00C102D1"/>
    <w:rsid w:val="00C102EF"/>
    <w:rsid w:val="00C11AEA"/>
    <w:rsid w:val="00C12077"/>
    <w:rsid w:val="00C13A39"/>
    <w:rsid w:val="00C13D61"/>
    <w:rsid w:val="00C148FB"/>
    <w:rsid w:val="00C15219"/>
    <w:rsid w:val="00C16E87"/>
    <w:rsid w:val="00C206A5"/>
    <w:rsid w:val="00C21E1F"/>
    <w:rsid w:val="00C23529"/>
    <w:rsid w:val="00C237E4"/>
    <w:rsid w:val="00C23DE8"/>
    <w:rsid w:val="00C23E0D"/>
    <w:rsid w:val="00C24C0C"/>
    <w:rsid w:val="00C24DB4"/>
    <w:rsid w:val="00C271B8"/>
    <w:rsid w:val="00C2769D"/>
    <w:rsid w:val="00C3100D"/>
    <w:rsid w:val="00C313C3"/>
    <w:rsid w:val="00C313DF"/>
    <w:rsid w:val="00C31E42"/>
    <w:rsid w:val="00C32413"/>
    <w:rsid w:val="00C339A5"/>
    <w:rsid w:val="00C33EED"/>
    <w:rsid w:val="00C33FB0"/>
    <w:rsid w:val="00C34333"/>
    <w:rsid w:val="00C35F08"/>
    <w:rsid w:val="00C3618D"/>
    <w:rsid w:val="00C36F6D"/>
    <w:rsid w:val="00C37BFA"/>
    <w:rsid w:val="00C40337"/>
    <w:rsid w:val="00C40961"/>
    <w:rsid w:val="00C41944"/>
    <w:rsid w:val="00C41F1B"/>
    <w:rsid w:val="00C42A90"/>
    <w:rsid w:val="00C43C1E"/>
    <w:rsid w:val="00C445A8"/>
    <w:rsid w:val="00C44CC7"/>
    <w:rsid w:val="00C463A5"/>
    <w:rsid w:val="00C52FA0"/>
    <w:rsid w:val="00C5325D"/>
    <w:rsid w:val="00C53A1A"/>
    <w:rsid w:val="00C53D27"/>
    <w:rsid w:val="00C5567E"/>
    <w:rsid w:val="00C5573A"/>
    <w:rsid w:val="00C55F5F"/>
    <w:rsid w:val="00C56228"/>
    <w:rsid w:val="00C56A4F"/>
    <w:rsid w:val="00C57250"/>
    <w:rsid w:val="00C572BB"/>
    <w:rsid w:val="00C5742F"/>
    <w:rsid w:val="00C57AC5"/>
    <w:rsid w:val="00C57DAF"/>
    <w:rsid w:val="00C601B2"/>
    <w:rsid w:val="00C63C76"/>
    <w:rsid w:val="00C643AF"/>
    <w:rsid w:val="00C64C1F"/>
    <w:rsid w:val="00C64DF2"/>
    <w:rsid w:val="00C6517F"/>
    <w:rsid w:val="00C65589"/>
    <w:rsid w:val="00C66E4D"/>
    <w:rsid w:val="00C66F7E"/>
    <w:rsid w:val="00C714AC"/>
    <w:rsid w:val="00C7188C"/>
    <w:rsid w:val="00C71DCD"/>
    <w:rsid w:val="00C7398B"/>
    <w:rsid w:val="00C73FC2"/>
    <w:rsid w:val="00C75590"/>
    <w:rsid w:val="00C771B9"/>
    <w:rsid w:val="00C77243"/>
    <w:rsid w:val="00C774FB"/>
    <w:rsid w:val="00C77D08"/>
    <w:rsid w:val="00C77D7D"/>
    <w:rsid w:val="00C80069"/>
    <w:rsid w:val="00C80442"/>
    <w:rsid w:val="00C804A2"/>
    <w:rsid w:val="00C81666"/>
    <w:rsid w:val="00C81914"/>
    <w:rsid w:val="00C81C15"/>
    <w:rsid w:val="00C8225D"/>
    <w:rsid w:val="00C83278"/>
    <w:rsid w:val="00C83A98"/>
    <w:rsid w:val="00C84583"/>
    <w:rsid w:val="00C851C2"/>
    <w:rsid w:val="00C85494"/>
    <w:rsid w:val="00C85943"/>
    <w:rsid w:val="00C86400"/>
    <w:rsid w:val="00C86844"/>
    <w:rsid w:val="00C871CA"/>
    <w:rsid w:val="00C87B21"/>
    <w:rsid w:val="00C87B9A"/>
    <w:rsid w:val="00C87C21"/>
    <w:rsid w:val="00C87D74"/>
    <w:rsid w:val="00C90D36"/>
    <w:rsid w:val="00C915AB"/>
    <w:rsid w:val="00C92835"/>
    <w:rsid w:val="00C928E7"/>
    <w:rsid w:val="00C92EE4"/>
    <w:rsid w:val="00C93906"/>
    <w:rsid w:val="00C941D5"/>
    <w:rsid w:val="00C94217"/>
    <w:rsid w:val="00C9668E"/>
    <w:rsid w:val="00C974C6"/>
    <w:rsid w:val="00CA2F35"/>
    <w:rsid w:val="00CA4BCC"/>
    <w:rsid w:val="00CA6083"/>
    <w:rsid w:val="00CA6687"/>
    <w:rsid w:val="00CA6BC8"/>
    <w:rsid w:val="00CA75B9"/>
    <w:rsid w:val="00CA76AF"/>
    <w:rsid w:val="00CA7C8C"/>
    <w:rsid w:val="00CB09D1"/>
    <w:rsid w:val="00CB2D82"/>
    <w:rsid w:val="00CB3697"/>
    <w:rsid w:val="00CB49D8"/>
    <w:rsid w:val="00CB4E42"/>
    <w:rsid w:val="00CB516A"/>
    <w:rsid w:val="00CB571F"/>
    <w:rsid w:val="00CB5D53"/>
    <w:rsid w:val="00CB712E"/>
    <w:rsid w:val="00CB7B63"/>
    <w:rsid w:val="00CB7D07"/>
    <w:rsid w:val="00CC0232"/>
    <w:rsid w:val="00CC0B76"/>
    <w:rsid w:val="00CC1162"/>
    <w:rsid w:val="00CC21BD"/>
    <w:rsid w:val="00CC325D"/>
    <w:rsid w:val="00CC34FB"/>
    <w:rsid w:val="00CC35A3"/>
    <w:rsid w:val="00CC3AA1"/>
    <w:rsid w:val="00CC4BB4"/>
    <w:rsid w:val="00CC54D6"/>
    <w:rsid w:val="00CC5CBF"/>
    <w:rsid w:val="00CC733E"/>
    <w:rsid w:val="00CC7B02"/>
    <w:rsid w:val="00CD0E03"/>
    <w:rsid w:val="00CD29F4"/>
    <w:rsid w:val="00CD35A1"/>
    <w:rsid w:val="00CD51AE"/>
    <w:rsid w:val="00CD5CA2"/>
    <w:rsid w:val="00CD7185"/>
    <w:rsid w:val="00CE06E0"/>
    <w:rsid w:val="00CE145D"/>
    <w:rsid w:val="00CE25A0"/>
    <w:rsid w:val="00CE2C7C"/>
    <w:rsid w:val="00CE3E37"/>
    <w:rsid w:val="00CE4F36"/>
    <w:rsid w:val="00CE52A0"/>
    <w:rsid w:val="00CE5385"/>
    <w:rsid w:val="00CE5525"/>
    <w:rsid w:val="00CE74EA"/>
    <w:rsid w:val="00CF0D0F"/>
    <w:rsid w:val="00CF1C25"/>
    <w:rsid w:val="00CF1EA1"/>
    <w:rsid w:val="00CF1F9A"/>
    <w:rsid w:val="00CF2472"/>
    <w:rsid w:val="00CF2617"/>
    <w:rsid w:val="00CF35C4"/>
    <w:rsid w:val="00CF4011"/>
    <w:rsid w:val="00CF404D"/>
    <w:rsid w:val="00CF74E8"/>
    <w:rsid w:val="00D00BB5"/>
    <w:rsid w:val="00D0138E"/>
    <w:rsid w:val="00D01459"/>
    <w:rsid w:val="00D0145C"/>
    <w:rsid w:val="00D016E0"/>
    <w:rsid w:val="00D0223C"/>
    <w:rsid w:val="00D0408D"/>
    <w:rsid w:val="00D041A3"/>
    <w:rsid w:val="00D0502C"/>
    <w:rsid w:val="00D0605E"/>
    <w:rsid w:val="00D06CE1"/>
    <w:rsid w:val="00D07591"/>
    <w:rsid w:val="00D076B2"/>
    <w:rsid w:val="00D1008D"/>
    <w:rsid w:val="00D10180"/>
    <w:rsid w:val="00D12217"/>
    <w:rsid w:val="00D125E6"/>
    <w:rsid w:val="00D129C2"/>
    <w:rsid w:val="00D149DE"/>
    <w:rsid w:val="00D14AAD"/>
    <w:rsid w:val="00D169D8"/>
    <w:rsid w:val="00D17573"/>
    <w:rsid w:val="00D17A4D"/>
    <w:rsid w:val="00D2076D"/>
    <w:rsid w:val="00D21043"/>
    <w:rsid w:val="00D2112F"/>
    <w:rsid w:val="00D22F58"/>
    <w:rsid w:val="00D23649"/>
    <w:rsid w:val="00D24858"/>
    <w:rsid w:val="00D25CF8"/>
    <w:rsid w:val="00D27018"/>
    <w:rsid w:val="00D3072A"/>
    <w:rsid w:val="00D30730"/>
    <w:rsid w:val="00D30DFD"/>
    <w:rsid w:val="00D31A15"/>
    <w:rsid w:val="00D31A66"/>
    <w:rsid w:val="00D32021"/>
    <w:rsid w:val="00D32038"/>
    <w:rsid w:val="00D3465E"/>
    <w:rsid w:val="00D3496F"/>
    <w:rsid w:val="00D34A43"/>
    <w:rsid w:val="00D354E9"/>
    <w:rsid w:val="00D356BA"/>
    <w:rsid w:val="00D3755B"/>
    <w:rsid w:val="00D3ADBF"/>
    <w:rsid w:val="00D4006F"/>
    <w:rsid w:val="00D407DB"/>
    <w:rsid w:val="00D410A6"/>
    <w:rsid w:val="00D41BDF"/>
    <w:rsid w:val="00D4442E"/>
    <w:rsid w:val="00D45C39"/>
    <w:rsid w:val="00D45FDD"/>
    <w:rsid w:val="00D465B8"/>
    <w:rsid w:val="00D466CF"/>
    <w:rsid w:val="00D46913"/>
    <w:rsid w:val="00D46B6E"/>
    <w:rsid w:val="00D46C2B"/>
    <w:rsid w:val="00D4741F"/>
    <w:rsid w:val="00D4796F"/>
    <w:rsid w:val="00D47FFD"/>
    <w:rsid w:val="00D5083D"/>
    <w:rsid w:val="00D50E76"/>
    <w:rsid w:val="00D5114B"/>
    <w:rsid w:val="00D54079"/>
    <w:rsid w:val="00D54EE9"/>
    <w:rsid w:val="00D572B9"/>
    <w:rsid w:val="00D5733C"/>
    <w:rsid w:val="00D579C8"/>
    <w:rsid w:val="00D57CC7"/>
    <w:rsid w:val="00D6010B"/>
    <w:rsid w:val="00D60F99"/>
    <w:rsid w:val="00D61A33"/>
    <w:rsid w:val="00D636E6"/>
    <w:rsid w:val="00D64FAB"/>
    <w:rsid w:val="00D651C1"/>
    <w:rsid w:val="00D653EC"/>
    <w:rsid w:val="00D66CC1"/>
    <w:rsid w:val="00D67E05"/>
    <w:rsid w:val="00D71040"/>
    <w:rsid w:val="00D71781"/>
    <w:rsid w:val="00D743A0"/>
    <w:rsid w:val="00D745C3"/>
    <w:rsid w:val="00D7472B"/>
    <w:rsid w:val="00D74F7B"/>
    <w:rsid w:val="00D751BC"/>
    <w:rsid w:val="00D77253"/>
    <w:rsid w:val="00D77855"/>
    <w:rsid w:val="00D814E0"/>
    <w:rsid w:val="00D815A6"/>
    <w:rsid w:val="00D81761"/>
    <w:rsid w:val="00D82719"/>
    <w:rsid w:val="00D8294B"/>
    <w:rsid w:val="00D82BDD"/>
    <w:rsid w:val="00D83129"/>
    <w:rsid w:val="00D836FD"/>
    <w:rsid w:val="00D8371B"/>
    <w:rsid w:val="00D83C61"/>
    <w:rsid w:val="00D84F7F"/>
    <w:rsid w:val="00D8507B"/>
    <w:rsid w:val="00D85F39"/>
    <w:rsid w:val="00D86389"/>
    <w:rsid w:val="00D8668B"/>
    <w:rsid w:val="00D86D26"/>
    <w:rsid w:val="00D8711A"/>
    <w:rsid w:val="00D872B8"/>
    <w:rsid w:val="00D87B35"/>
    <w:rsid w:val="00D90505"/>
    <w:rsid w:val="00D92DDC"/>
    <w:rsid w:val="00D92F17"/>
    <w:rsid w:val="00D93574"/>
    <w:rsid w:val="00D93EEC"/>
    <w:rsid w:val="00D9409B"/>
    <w:rsid w:val="00D9571E"/>
    <w:rsid w:val="00D959FD"/>
    <w:rsid w:val="00D976CA"/>
    <w:rsid w:val="00D978EB"/>
    <w:rsid w:val="00DA0077"/>
    <w:rsid w:val="00DA0388"/>
    <w:rsid w:val="00DA0A3C"/>
    <w:rsid w:val="00DA0BDE"/>
    <w:rsid w:val="00DA1405"/>
    <w:rsid w:val="00DA165C"/>
    <w:rsid w:val="00DA203B"/>
    <w:rsid w:val="00DA27CF"/>
    <w:rsid w:val="00DA28B1"/>
    <w:rsid w:val="00DA2CA2"/>
    <w:rsid w:val="00DA2CE8"/>
    <w:rsid w:val="00DA3457"/>
    <w:rsid w:val="00DA3556"/>
    <w:rsid w:val="00DA3797"/>
    <w:rsid w:val="00DA3FB0"/>
    <w:rsid w:val="00DA5339"/>
    <w:rsid w:val="00DA5AA5"/>
    <w:rsid w:val="00DA6001"/>
    <w:rsid w:val="00DA71B1"/>
    <w:rsid w:val="00DA77CE"/>
    <w:rsid w:val="00DA7927"/>
    <w:rsid w:val="00DA7A81"/>
    <w:rsid w:val="00DB11EF"/>
    <w:rsid w:val="00DB12EC"/>
    <w:rsid w:val="00DB205D"/>
    <w:rsid w:val="00DB27CF"/>
    <w:rsid w:val="00DB3212"/>
    <w:rsid w:val="00DB3680"/>
    <w:rsid w:val="00DB3A2E"/>
    <w:rsid w:val="00DB3AFC"/>
    <w:rsid w:val="00DB41B3"/>
    <w:rsid w:val="00DB4341"/>
    <w:rsid w:val="00DB445B"/>
    <w:rsid w:val="00DB4DD5"/>
    <w:rsid w:val="00DB5925"/>
    <w:rsid w:val="00DB5A1E"/>
    <w:rsid w:val="00DB5A4B"/>
    <w:rsid w:val="00DB6E4E"/>
    <w:rsid w:val="00DB6EE5"/>
    <w:rsid w:val="00DC0723"/>
    <w:rsid w:val="00DC28AA"/>
    <w:rsid w:val="00DC302A"/>
    <w:rsid w:val="00DC3249"/>
    <w:rsid w:val="00DC3FA5"/>
    <w:rsid w:val="00DC5093"/>
    <w:rsid w:val="00DC5BDF"/>
    <w:rsid w:val="00DC5ED5"/>
    <w:rsid w:val="00DC632A"/>
    <w:rsid w:val="00DC65C5"/>
    <w:rsid w:val="00DC6692"/>
    <w:rsid w:val="00DC71A6"/>
    <w:rsid w:val="00DD008E"/>
    <w:rsid w:val="00DD0C2C"/>
    <w:rsid w:val="00DD0C72"/>
    <w:rsid w:val="00DD0CBB"/>
    <w:rsid w:val="00DD106A"/>
    <w:rsid w:val="00DD13BD"/>
    <w:rsid w:val="00DD15FF"/>
    <w:rsid w:val="00DD1E77"/>
    <w:rsid w:val="00DD253F"/>
    <w:rsid w:val="00DD29CD"/>
    <w:rsid w:val="00DD2ACF"/>
    <w:rsid w:val="00DD2D06"/>
    <w:rsid w:val="00DD31CE"/>
    <w:rsid w:val="00DD39E8"/>
    <w:rsid w:val="00DD45F8"/>
    <w:rsid w:val="00DD5133"/>
    <w:rsid w:val="00DD5AF9"/>
    <w:rsid w:val="00DD5C06"/>
    <w:rsid w:val="00DD66B6"/>
    <w:rsid w:val="00DD6E75"/>
    <w:rsid w:val="00DE1882"/>
    <w:rsid w:val="00DE49BC"/>
    <w:rsid w:val="00DE5414"/>
    <w:rsid w:val="00DE5970"/>
    <w:rsid w:val="00DE5FA3"/>
    <w:rsid w:val="00DF0071"/>
    <w:rsid w:val="00DF0CD2"/>
    <w:rsid w:val="00DF0FAC"/>
    <w:rsid w:val="00DF25DD"/>
    <w:rsid w:val="00DF2A33"/>
    <w:rsid w:val="00DF3202"/>
    <w:rsid w:val="00DF3CE1"/>
    <w:rsid w:val="00DF441B"/>
    <w:rsid w:val="00DF47DA"/>
    <w:rsid w:val="00DF55EC"/>
    <w:rsid w:val="00DF68CC"/>
    <w:rsid w:val="00DF7845"/>
    <w:rsid w:val="00DF79A5"/>
    <w:rsid w:val="00E00511"/>
    <w:rsid w:val="00E005D5"/>
    <w:rsid w:val="00E00E64"/>
    <w:rsid w:val="00E02263"/>
    <w:rsid w:val="00E02318"/>
    <w:rsid w:val="00E03947"/>
    <w:rsid w:val="00E040FD"/>
    <w:rsid w:val="00E05310"/>
    <w:rsid w:val="00E05646"/>
    <w:rsid w:val="00E078FE"/>
    <w:rsid w:val="00E1182A"/>
    <w:rsid w:val="00E11A7F"/>
    <w:rsid w:val="00E12515"/>
    <w:rsid w:val="00E1273E"/>
    <w:rsid w:val="00E12CED"/>
    <w:rsid w:val="00E13994"/>
    <w:rsid w:val="00E15280"/>
    <w:rsid w:val="00E159CB"/>
    <w:rsid w:val="00E16DB1"/>
    <w:rsid w:val="00E16E23"/>
    <w:rsid w:val="00E16E64"/>
    <w:rsid w:val="00E175A9"/>
    <w:rsid w:val="00E21AF4"/>
    <w:rsid w:val="00E22DD1"/>
    <w:rsid w:val="00E233B8"/>
    <w:rsid w:val="00E23A61"/>
    <w:rsid w:val="00E24287"/>
    <w:rsid w:val="00E25DF2"/>
    <w:rsid w:val="00E30CF1"/>
    <w:rsid w:val="00E3175F"/>
    <w:rsid w:val="00E31A4D"/>
    <w:rsid w:val="00E31A77"/>
    <w:rsid w:val="00E32F4F"/>
    <w:rsid w:val="00E3329D"/>
    <w:rsid w:val="00E336B3"/>
    <w:rsid w:val="00E346C2"/>
    <w:rsid w:val="00E346EE"/>
    <w:rsid w:val="00E35502"/>
    <w:rsid w:val="00E36179"/>
    <w:rsid w:val="00E36E6D"/>
    <w:rsid w:val="00E37630"/>
    <w:rsid w:val="00E40713"/>
    <w:rsid w:val="00E431AD"/>
    <w:rsid w:val="00E44B78"/>
    <w:rsid w:val="00E44BDC"/>
    <w:rsid w:val="00E44C1C"/>
    <w:rsid w:val="00E44FE1"/>
    <w:rsid w:val="00E4583B"/>
    <w:rsid w:val="00E462B1"/>
    <w:rsid w:val="00E46B5D"/>
    <w:rsid w:val="00E47700"/>
    <w:rsid w:val="00E505E8"/>
    <w:rsid w:val="00E50EA3"/>
    <w:rsid w:val="00E51204"/>
    <w:rsid w:val="00E5150F"/>
    <w:rsid w:val="00E51722"/>
    <w:rsid w:val="00E52474"/>
    <w:rsid w:val="00E539CC"/>
    <w:rsid w:val="00E54233"/>
    <w:rsid w:val="00E54ABF"/>
    <w:rsid w:val="00E55C48"/>
    <w:rsid w:val="00E56367"/>
    <w:rsid w:val="00E566BA"/>
    <w:rsid w:val="00E56B38"/>
    <w:rsid w:val="00E57534"/>
    <w:rsid w:val="00E57F2A"/>
    <w:rsid w:val="00E60314"/>
    <w:rsid w:val="00E60684"/>
    <w:rsid w:val="00E608B0"/>
    <w:rsid w:val="00E6143D"/>
    <w:rsid w:val="00E61B4D"/>
    <w:rsid w:val="00E62327"/>
    <w:rsid w:val="00E62345"/>
    <w:rsid w:val="00E623A2"/>
    <w:rsid w:val="00E63002"/>
    <w:rsid w:val="00E630EA"/>
    <w:rsid w:val="00E63DF3"/>
    <w:rsid w:val="00E644EB"/>
    <w:rsid w:val="00E65052"/>
    <w:rsid w:val="00E65790"/>
    <w:rsid w:val="00E65CCC"/>
    <w:rsid w:val="00E665E6"/>
    <w:rsid w:val="00E6D63C"/>
    <w:rsid w:val="00E707EF"/>
    <w:rsid w:val="00E718B8"/>
    <w:rsid w:val="00E745B1"/>
    <w:rsid w:val="00E753DD"/>
    <w:rsid w:val="00E756BD"/>
    <w:rsid w:val="00E75888"/>
    <w:rsid w:val="00E75D21"/>
    <w:rsid w:val="00E771FA"/>
    <w:rsid w:val="00E77736"/>
    <w:rsid w:val="00E77B09"/>
    <w:rsid w:val="00E807D9"/>
    <w:rsid w:val="00E80E63"/>
    <w:rsid w:val="00E82627"/>
    <w:rsid w:val="00E82B36"/>
    <w:rsid w:val="00E8393C"/>
    <w:rsid w:val="00E83EAD"/>
    <w:rsid w:val="00E865A0"/>
    <w:rsid w:val="00E868C2"/>
    <w:rsid w:val="00E91AAC"/>
    <w:rsid w:val="00E9253D"/>
    <w:rsid w:val="00E92731"/>
    <w:rsid w:val="00E93769"/>
    <w:rsid w:val="00E93C57"/>
    <w:rsid w:val="00E95802"/>
    <w:rsid w:val="00E95961"/>
    <w:rsid w:val="00E9658B"/>
    <w:rsid w:val="00E972C6"/>
    <w:rsid w:val="00E97ECE"/>
    <w:rsid w:val="00EA0AC8"/>
    <w:rsid w:val="00EA1626"/>
    <w:rsid w:val="00EA2416"/>
    <w:rsid w:val="00EA2C81"/>
    <w:rsid w:val="00EA37A5"/>
    <w:rsid w:val="00EA3E59"/>
    <w:rsid w:val="00EA45FE"/>
    <w:rsid w:val="00EA4ABD"/>
    <w:rsid w:val="00EA5A0E"/>
    <w:rsid w:val="00EA6297"/>
    <w:rsid w:val="00EA7249"/>
    <w:rsid w:val="00EA7E81"/>
    <w:rsid w:val="00EB0538"/>
    <w:rsid w:val="00EB0862"/>
    <w:rsid w:val="00EB11BC"/>
    <w:rsid w:val="00EB12B0"/>
    <w:rsid w:val="00EB132B"/>
    <w:rsid w:val="00EB1C51"/>
    <w:rsid w:val="00EB247E"/>
    <w:rsid w:val="00EB430D"/>
    <w:rsid w:val="00EB4800"/>
    <w:rsid w:val="00EB4AED"/>
    <w:rsid w:val="00EB4F6F"/>
    <w:rsid w:val="00EB52BC"/>
    <w:rsid w:val="00EB5966"/>
    <w:rsid w:val="00EB5DE8"/>
    <w:rsid w:val="00EB649D"/>
    <w:rsid w:val="00EC067C"/>
    <w:rsid w:val="00EC3AE5"/>
    <w:rsid w:val="00EC50DC"/>
    <w:rsid w:val="00EC603F"/>
    <w:rsid w:val="00EC713A"/>
    <w:rsid w:val="00EC79B2"/>
    <w:rsid w:val="00EC7DCD"/>
    <w:rsid w:val="00ED057F"/>
    <w:rsid w:val="00ED0766"/>
    <w:rsid w:val="00ED0AFE"/>
    <w:rsid w:val="00ED1E64"/>
    <w:rsid w:val="00ED2863"/>
    <w:rsid w:val="00ED3654"/>
    <w:rsid w:val="00ED3C89"/>
    <w:rsid w:val="00ED48B8"/>
    <w:rsid w:val="00ED4B2D"/>
    <w:rsid w:val="00ED5A38"/>
    <w:rsid w:val="00ED69CB"/>
    <w:rsid w:val="00ED6C03"/>
    <w:rsid w:val="00ED7375"/>
    <w:rsid w:val="00EE0FC5"/>
    <w:rsid w:val="00EE112C"/>
    <w:rsid w:val="00EE1D3D"/>
    <w:rsid w:val="00EE3447"/>
    <w:rsid w:val="00EE3E19"/>
    <w:rsid w:val="00EE4B5D"/>
    <w:rsid w:val="00EE5711"/>
    <w:rsid w:val="00EE5C27"/>
    <w:rsid w:val="00EE6038"/>
    <w:rsid w:val="00EE6139"/>
    <w:rsid w:val="00EE6517"/>
    <w:rsid w:val="00EE6CD9"/>
    <w:rsid w:val="00EF133F"/>
    <w:rsid w:val="00EF19CA"/>
    <w:rsid w:val="00EF1C85"/>
    <w:rsid w:val="00EF1F3C"/>
    <w:rsid w:val="00EF204E"/>
    <w:rsid w:val="00EF26F2"/>
    <w:rsid w:val="00EF3B0A"/>
    <w:rsid w:val="00EF4461"/>
    <w:rsid w:val="00EF569D"/>
    <w:rsid w:val="00EF5E4C"/>
    <w:rsid w:val="00F005C6"/>
    <w:rsid w:val="00F017BB"/>
    <w:rsid w:val="00F01C6A"/>
    <w:rsid w:val="00F02B7F"/>
    <w:rsid w:val="00F067E9"/>
    <w:rsid w:val="00F06985"/>
    <w:rsid w:val="00F07A9A"/>
    <w:rsid w:val="00F10F73"/>
    <w:rsid w:val="00F127BF"/>
    <w:rsid w:val="00F12C2A"/>
    <w:rsid w:val="00F13045"/>
    <w:rsid w:val="00F133B2"/>
    <w:rsid w:val="00F13926"/>
    <w:rsid w:val="00F13EDF"/>
    <w:rsid w:val="00F145AE"/>
    <w:rsid w:val="00F1630F"/>
    <w:rsid w:val="00F1694B"/>
    <w:rsid w:val="00F172DC"/>
    <w:rsid w:val="00F177DE"/>
    <w:rsid w:val="00F17D6A"/>
    <w:rsid w:val="00F2011A"/>
    <w:rsid w:val="00F2075B"/>
    <w:rsid w:val="00F2275B"/>
    <w:rsid w:val="00F227FB"/>
    <w:rsid w:val="00F23142"/>
    <w:rsid w:val="00F2419B"/>
    <w:rsid w:val="00F24237"/>
    <w:rsid w:val="00F243C0"/>
    <w:rsid w:val="00F27077"/>
    <w:rsid w:val="00F27114"/>
    <w:rsid w:val="00F31AF6"/>
    <w:rsid w:val="00F32100"/>
    <w:rsid w:val="00F3230E"/>
    <w:rsid w:val="00F3448E"/>
    <w:rsid w:val="00F35A53"/>
    <w:rsid w:val="00F36D11"/>
    <w:rsid w:val="00F37C89"/>
    <w:rsid w:val="00F4026B"/>
    <w:rsid w:val="00F4076B"/>
    <w:rsid w:val="00F40967"/>
    <w:rsid w:val="00F40E85"/>
    <w:rsid w:val="00F42CA1"/>
    <w:rsid w:val="00F441D6"/>
    <w:rsid w:val="00F44F3F"/>
    <w:rsid w:val="00F45A02"/>
    <w:rsid w:val="00F46005"/>
    <w:rsid w:val="00F46441"/>
    <w:rsid w:val="00F46C16"/>
    <w:rsid w:val="00F506CF"/>
    <w:rsid w:val="00F50744"/>
    <w:rsid w:val="00F50C3F"/>
    <w:rsid w:val="00F512B2"/>
    <w:rsid w:val="00F51FA2"/>
    <w:rsid w:val="00F53522"/>
    <w:rsid w:val="00F5414C"/>
    <w:rsid w:val="00F54746"/>
    <w:rsid w:val="00F552BA"/>
    <w:rsid w:val="00F55DA8"/>
    <w:rsid w:val="00F565CD"/>
    <w:rsid w:val="00F57D25"/>
    <w:rsid w:val="00F604A8"/>
    <w:rsid w:val="00F60558"/>
    <w:rsid w:val="00F611CD"/>
    <w:rsid w:val="00F628F2"/>
    <w:rsid w:val="00F6382C"/>
    <w:rsid w:val="00F63F4E"/>
    <w:rsid w:val="00F642D3"/>
    <w:rsid w:val="00F643EB"/>
    <w:rsid w:val="00F6451F"/>
    <w:rsid w:val="00F6477F"/>
    <w:rsid w:val="00F6486F"/>
    <w:rsid w:val="00F654AF"/>
    <w:rsid w:val="00F65905"/>
    <w:rsid w:val="00F716DA"/>
    <w:rsid w:val="00F717B2"/>
    <w:rsid w:val="00F72805"/>
    <w:rsid w:val="00F735B9"/>
    <w:rsid w:val="00F737A6"/>
    <w:rsid w:val="00F7491C"/>
    <w:rsid w:val="00F74957"/>
    <w:rsid w:val="00F751DB"/>
    <w:rsid w:val="00F76BF8"/>
    <w:rsid w:val="00F8017D"/>
    <w:rsid w:val="00F809C5"/>
    <w:rsid w:val="00F81030"/>
    <w:rsid w:val="00F82E87"/>
    <w:rsid w:val="00F82E8D"/>
    <w:rsid w:val="00F8334C"/>
    <w:rsid w:val="00F83512"/>
    <w:rsid w:val="00F83554"/>
    <w:rsid w:val="00F849EA"/>
    <w:rsid w:val="00F84C5A"/>
    <w:rsid w:val="00F852F3"/>
    <w:rsid w:val="00F86056"/>
    <w:rsid w:val="00F862D6"/>
    <w:rsid w:val="00F867BB"/>
    <w:rsid w:val="00F87BCD"/>
    <w:rsid w:val="00F90565"/>
    <w:rsid w:val="00F909D6"/>
    <w:rsid w:val="00F91CC0"/>
    <w:rsid w:val="00F920C6"/>
    <w:rsid w:val="00F92F04"/>
    <w:rsid w:val="00F931E5"/>
    <w:rsid w:val="00F93209"/>
    <w:rsid w:val="00F93296"/>
    <w:rsid w:val="00F93F05"/>
    <w:rsid w:val="00F94D0D"/>
    <w:rsid w:val="00F96509"/>
    <w:rsid w:val="00F97F89"/>
    <w:rsid w:val="00FA10AD"/>
    <w:rsid w:val="00FA1494"/>
    <w:rsid w:val="00FA16DA"/>
    <w:rsid w:val="00FA1F67"/>
    <w:rsid w:val="00FA4E73"/>
    <w:rsid w:val="00FA57E9"/>
    <w:rsid w:val="00FA68AF"/>
    <w:rsid w:val="00FA6CE7"/>
    <w:rsid w:val="00FA740F"/>
    <w:rsid w:val="00FA7503"/>
    <w:rsid w:val="00FB06FF"/>
    <w:rsid w:val="00FB0842"/>
    <w:rsid w:val="00FB1405"/>
    <w:rsid w:val="00FB1A71"/>
    <w:rsid w:val="00FB1FEE"/>
    <w:rsid w:val="00FB3F90"/>
    <w:rsid w:val="00FB468E"/>
    <w:rsid w:val="00FB4D99"/>
    <w:rsid w:val="00FB5F90"/>
    <w:rsid w:val="00FB5F94"/>
    <w:rsid w:val="00FB7053"/>
    <w:rsid w:val="00FC06B5"/>
    <w:rsid w:val="00FC07C2"/>
    <w:rsid w:val="00FC0A2F"/>
    <w:rsid w:val="00FC0AF4"/>
    <w:rsid w:val="00FC15BC"/>
    <w:rsid w:val="00FC1795"/>
    <w:rsid w:val="00FC1841"/>
    <w:rsid w:val="00FC19AB"/>
    <w:rsid w:val="00FC2012"/>
    <w:rsid w:val="00FC3841"/>
    <w:rsid w:val="00FC3CAE"/>
    <w:rsid w:val="00FC755D"/>
    <w:rsid w:val="00FD0AA6"/>
    <w:rsid w:val="00FD15A5"/>
    <w:rsid w:val="00FD43BC"/>
    <w:rsid w:val="00FD5435"/>
    <w:rsid w:val="00FD5C92"/>
    <w:rsid w:val="00FD5FD4"/>
    <w:rsid w:val="00FD6107"/>
    <w:rsid w:val="00FD647C"/>
    <w:rsid w:val="00FD6976"/>
    <w:rsid w:val="00FD6FA7"/>
    <w:rsid w:val="00FD788B"/>
    <w:rsid w:val="00FE1152"/>
    <w:rsid w:val="00FE1ACB"/>
    <w:rsid w:val="00FE27F4"/>
    <w:rsid w:val="00FE2DB1"/>
    <w:rsid w:val="00FE3D78"/>
    <w:rsid w:val="00FE40B8"/>
    <w:rsid w:val="00FE4683"/>
    <w:rsid w:val="00FE4891"/>
    <w:rsid w:val="00FE4FA1"/>
    <w:rsid w:val="00FE6649"/>
    <w:rsid w:val="00FF211F"/>
    <w:rsid w:val="00FF24AA"/>
    <w:rsid w:val="00FF61F3"/>
    <w:rsid w:val="00FF69C8"/>
    <w:rsid w:val="00FF73CA"/>
    <w:rsid w:val="00FF7927"/>
    <w:rsid w:val="0149C57D"/>
    <w:rsid w:val="015EE034"/>
    <w:rsid w:val="018F6299"/>
    <w:rsid w:val="0195B151"/>
    <w:rsid w:val="01D3FF79"/>
    <w:rsid w:val="01F83B8F"/>
    <w:rsid w:val="020987D5"/>
    <w:rsid w:val="0210E402"/>
    <w:rsid w:val="0211EBB4"/>
    <w:rsid w:val="022A16F7"/>
    <w:rsid w:val="023452F1"/>
    <w:rsid w:val="02B9FD3F"/>
    <w:rsid w:val="02E19DEC"/>
    <w:rsid w:val="032490D9"/>
    <w:rsid w:val="033D012C"/>
    <w:rsid w:val="0352E976"/>
    <w:rsid w:val="03532DB6"/>
    <w:rsid w:val="03568E30"/>
    <w:rsid w:val="036CC135"/>
    <w:rsid w:val="03CFB493"/>
    <w:rsid w:val="03EEAC5D"/>
    <w:rsid w:val="03F235D4"/>
    <w:rsid w:val="03FFFA34"/>
    <w:rsid w:val="04525A54"/>
    <w:rsid w:val="04B0A8BC"/>
    <w:rsid w:val="054F3C40"/>
    <w:rsid w:val="055A1847"/>
    <w:rsid w:val="0638BBE2"/>
    <w:rsid w:val="06AC9DF9"/>
    <w:rsid w:val="06C6B484"/>
    <w:rsid w:val="06F4FBD9"/>
    <w:rsid w:val="07053881"/>
    <w:rsid w:val="07548F8A"/>
    <w:rsid w:val="075CAE1D"/>
    <w:rsid w:val="078E8783"/>
    <w:rsid w:val="07CDA0FF"/>
    <w:rsid w:val="08038D96"/>
    <w:rsid w:val="0820E756"/>
    <w:rsid w:val="082FA485"/>
    <w:rsid w:val="0854D1C6"/>
    <w:rsid w:val="085BC74A"/>
    <w:rsid w:val="08827CEB"/>
    <w:rsid w:val="08BB8C93"/>
    <w:rsid w:val="08C361A0"/>
    <w:rsid w:val="08C5ADCE"/>
    <w:rsid w:val="08E1003F"/>
    <w:rsid w:val="0913450A"/>
    <w:rsid w:val="091A5DAF"/>
    <w:rsid w:val="0925C5F9"/>
    <w:rsid w:val="096F3D64"/>
    <w:rsid w:val="098B4354"/>
    <w:rsid w:val="098CC15F"/>
    <w:rsid w:val="09B37E7A"/>
    <w:rsid w:val="09E0309E"/>
    <w:rsid w:val="0A02E8CD"/>
    <w:rsid w:val="0A106B79"/>
    <w:rsid w:val="0A2BC9D9"/>
    <w:rsid w:val="0A337224"/>
    <w:rsid w:val="0A52D92D"/>
    <w:rsid w:val="0A944EDF"/>
    <w:rsid w:val="0A94AE95"/>
    <w:rsid w:val="0AB155A4"/>
    <w:rsid w:val="0AB76798"/>
    <w:rsid w:val="0ACEFB63"/>
    <w:rsid w:val="0AD5E554"/>
    <w:rsid w:val="0ADA630C"/>
    <w:rsid w:val="0AF57238"/>
    <w:rsid w:val="0B04EFDB"/>
    <w:rsid w:val="0B4C692F"/>
    <w:rsid w:val="0B5D33CC"/>
    <w:rsid w:val="0BBB9B19"/>
    <w:rsid w:val="0BF64396"/>
    <w:rsid w:val="0C046A9A"/>
    <w:rsid w:val="0C2D4D08"/>
    <w:rsid w:val="0C341EB4"/>
    <w:rsid w:val="0C3E988B"/>
    <w:rsid w:val="0C534D29"/>
    <w:rsid w:val="0C7B6F23"/>
    <w:rsid w:val="0C849F93"/>
    <w:rsid w:val="0C8E9181"/>
    <w:rsid w:val="0CA5ED3E"/>
    <w:rsid w:val="0CCF396C"/>
    <w:rsid w:val="0CD168DB"/>
    <w:rsid w:val="0CE51B0F"/>
    <w:rsid w:val="0D74F48D"/>
    <w:rsid w:val="0D7B4D81"/>
    <w:rsid w:val="0DB8DEFC"/>
    <w:rsid w:val="0DB9A0C1"/>
    <w:rsid w:val="0E10B3BF"/>
    <w:rsid w:val="0E627DE5"/>
    <w:rsid w:val="0E8A922B"/>
    <w:rsid w:val="0E95E05D"/>
    <w:rsid w:val="0EA9E853"/>
    <w:rsid w:val="0EC3B0F1"/>
    <w:rsid w:val="0F4EF2AF"/>
    <w:rsid w:val="0F759B5A"/>
    <w:rsid w:val="0F7CE72F"/>
    <w:rsid w:val="0F9FA9FF"/>
    <w:rsid w:val="0FADBA52"/>
    <w:rsid w:val="0FD4D41A"/>
    <w:rsid w:val="1017F604"/>
    <w:rsid w:val="1052A0FC"/>
    <w:rsid w:val="105B876E"/>
    <w:rsid w:val="106277DA"/>
    <w:rsid w:val="108BA5A3"/>
    <w:rsid w:val="108D5C5B"/>
    <w:rsid w:val="10D3F893"/>
    <w:rsid w:val="10F699F8"/>
    <w:rsid w:val="115EBA57"/>
    <w:rsid w:val="1171CB46"/>
    <w:rsid w:val="1193A0E3"/>
    <w:rsid w:val="1198A68F"/>
    <w:rsid w:val="11B71B49"/>
    <w:rsid w:val="11B92E03"/>
    <w:rsid w:val="11C3741D"/>
    <w:rsid w:val="11E63525"/>
    <w:rsid w:val="120B5754"/>
    <w:rsid w:val="1222406D"/>
    <w:rsid w:val="124E90EB"/>
    <w:rsid w:val="12642A1A"/>
    <w:rsid w:val="12C23F92"/>
    <w:rsid w:val="12D1249E"/>
    <w:rsid w:val="131363FA"/>
    <w:rsid w:val="132A81AF"/>
    <w:rsid w:val="1332E9AB"/>
    <w:rsid w:val="1341D3F4"/>
    <w:rsid w:val="137112B0"/>
    <w:rsid w:val="13F5A2BE"/>
    <w:rsid w:val="141903D4"/>
    <w:rsid w:val="148B6406"/>
    <w:rsid w:val="148BFB7E"/>
    <w:rsid w:val="149BAD56"/>
    <w:rsid w:val="149FB322"/>
    <w:rsid w:val="14B06DE3"/>
    <w:rsid w:val="14EE15DE"/>
    <w:rsid w:val="150673F2"/>
    <w:rsid w:val="1507304A"/>
    <w:rsid w:val="151795BC"/>
    <w:rsid w:val="154DD659"/>
    <w:rsid w:val="15E19EE6"/>
    <w:rsid w:val="1606CC27"/>
    <w:rsid w:val="1606DDB5"/>
    <w:rsid w:val="161361A2"/>
    <w:rsid w:val="1688F0FD"/>
    <w:rsid w:val="16A8B372"/>
    <w:rsid w:val="16B984C9"/>
    <w:rsid w:val="16F6FCCA"/>
    <w:rsid w:val="16F7C57F"/>
    <w:rsid w:val="17056665"/>
    <w:rsid w:val="171ABD6F"/>
    <w:rsid w:val="172191D4"/>
    <w:rsid w:val="17436BED"/>
    <w:rsid w:val="175516FE"/>
    <w:rsid w:val="176403A5"/>
    <w:rsid w:val="176D7FAA"/>
    <w:rsid w:val="178C800A"/>
    <w:rsid w:val="17C79135"/>
    <w:rsid w:val="17CCEE72"/>
    <w:rsid w:val="18203192"/>
    <w:rsid w:val="183DAA43"/>
    <w:rsid w:val="1867E2DE"/>
    <w:rsid w:val="18848294"/>
    <w:rsid w:val="189CB9E6"/>
    <w:rsid w:val="18E57E92"/>
    <w:rsid w:val="1938C0F9"/>
    <w:rsid w:val="193A1BE3"/>
    <w:rsid w:val="19DE12FA"/>
    <w:rsid w:val="19EB563B"/>
    <w:rsid w:val="1A38E7F7"/>
    <w:rsid w:val="1A4942B6"/>
    <w:rsid w:val="1A5803A6"/>
    <w:rsid w:val="1A94DB39"/>
    <w:rsid w:val="1AA401CB"/>
    <w:rsid w:val="1AA59B9A"/>
    <w:rsid w:val="1AB01EF5"/>
    <w:rsid w:val="1AD8343C"/>
    <w:rsid w:val="1B14947B"/>
    <w:rsid w:val="1B3F1A31"/>
    <w:rsid w:val="1B4B903A"/>
    <w:rsid w:val="1B875D8A"/>
    <w:rsid w:val="1B95D8D7"/>
    <w:rsid w:val="1BA90A2D"/>
    <w:rsid w:val="1BF6968E"/>
    <w:rsid w:val="1C032678"/>
    <w:rsid w:val="1C1C1E93"/>
    <w:rsid w:val="1C42528E"/>
    <w:rsid w:val="1C7F5BF7"/>
    <w:rsid w:val="1C855044"/>
    <w:rsid w:val="1CA418F1"/>
    <w:rsid w:val="1CAF2B0D"/>
    <w:rsid w:val="1CCEF046"/>
    <w:rsid w:val="1CCF485E"/>
    <w:rsid w:val="1CD9B622"/>
    <w:rsid w:val="1CD9CBF1"/>
    <w:rsid w:val="1CEFE950"/>
    <w:rsid w:val="1CF5F343"/>
    <w:rsid w:val="1D187643"/>
    <w:rsid w:val="1D630B8D"/>
    <w:rsid w:val="1D6FCBF6"/>
    <w:rsid w:val="1D7F5FD4"/>
    <w:rsid w:val="1D8DD813"/>
    <w:rsid w:val="1DA1B003"/>
    <w:rsid w:val="1DB17E81"/>
    <w:rsid w:val="1DB7B132"/>
    <w:rsid w:val="1DDFCBAF"/>
    <w:rsid w:val="1E1C77EE"/>
    <w:rsid w:val="1E6434E2"/>
    <w:rsid w:val="1EA38E4D"/>
    <w:rsid w:val="1ECE1BA9"/>
    <w:rsid w:val="1ED0AD13"/>
    <w:rsid w:val="1EDEFB24"/>
    <w:rsid w:val="1F787C5F"/>
    <w:rsid w:val="1F990467"/>
    <w:rsid w:val="1FA53A1A"/>
    <w:rsid w:val="1FA5C1E2"/>
    <w:rsid w:val="1FAD9223"/>
    <w:rsid w:val="1FB1F96E"/>
    <w:rsid w:val="1FBDE28D"/>
    <w:rsid w:val="1FCED305"/>
    <w:rsid w:val="1FED0B1E"/>
    <w:rsid w:val="1FF8C1E2"/>
    <w:rsid w:val="2010FCD5"/>
    <w:rsid w:val="202B2BE9"/>
    <w:rsid w:val="20831EFF"/>
    <w:rsid w:val="20959D19"/>
    <w:rsid w:val="20A5CB9B"/>
    <w:rsid w:val="20A9AD62"/>
    <w:rsid w:val="20AF0A37"/>
    <w:rsid w:val="20B0D25F"/>
    <w:rsid w:val="20B20E44"/>
    <w:rsid w:val="20BB7FB1"/>
    <w:rsid w:val="20F64260"/>
    <w:rsid w:val="210FCF64"/>
    <w:rsid w:val="212390CA"/>
    <w:rsid w:val="21296F85"/>
    <w:rsid w:val="213B394F"/>
    <w:rsid w:val="2196FABB"/>
    <w:rsid w:val="219B3E2C"/>
    <w:rsid w:val="21E7A0F8"/>
    <w:rsid w:val="22075002"/>
    <w:rsid w:val="226A2314"/>
    <w:rsid w:val="22EA9AF1"/>
    <w:rsid w:val="22F74A4E"/>
    <w:rsid w:val="22FE778C"/>
    <w:rsid w:val="2338BDD6"/>
    <w:rsid w:val="236D5762"/>
    <w:rsid w:val="2387D7D0"/>
    <w:rsid w:val="23A8B009"/>
    <w:rsid w:val="240B0CEA"/>
    <w:rsid w:val="241B6330"/>
    <w:rsid w:val="2433821C"/>
    <w:rsid w:val="24469B45"/>
    <w:rsid w:val="244A8BC1"/>
    <w:rsid w:val="244E434D"/>
    <w:rsid w:val="24E0AB35"/>
    <w:rsid w:val="24F3E267"/>
    <w:rsid w:val="25765974"/>
    <w:rsid w:val="25FF4FEF"/>
    <w:rsid w:val="2624F3A2"/>
    <w:rsid w:val="26320A8D"/>
    <w:rsid w:val="263C876D"/>
    <w:rsid w:val="2652768E"/>
    <w:rsid w:val="26582597"/>
    <w:rsid w:val="26AFEEB2"/>
    <w:rsid w:val="26D40E22"/>
    <w:rsid w:val="26D6BA7E"/>
    <w:rsid w:val="26E2156B"/>
    <w:rsid w:val="26E4C7AC"/>
    <w:rsid w:val="2723C3D3"/>
    <w:rsid w:val="2747DCB8"/>
    <w:rsid w:val="275DB304"/>
    <w:rsid w:val="2786712C"/>
    <w:rsid w:val="27CBF8DB"/>
    <w:rsid w:val="27FCBB22"/>
    <w:rsid w:val="2817E036"/>
    <w:rsid w:val="281E392A"/>
    <w:rsid w:val="2859D6D9"/>
    <w:rsid w:val="287B6693"/>
    <w:rsid w:val="28A4CDA8"/>
    <w:rsid w:val="28B5B547"/>
    <w:rsid w:val="28BDF534"/>
    <w:rsid w:val="28CB888E"/>
    <w:rsid w:val="28CF98C1"/>
    <w:rsid w:val="293AC6D5"/>
    <w:rsid w:val="294E3144"/>
    <w:rsid w:val="2998E9F5"/>
    <w:rsid w:val="2A0CAB03"/>
    <w:rsid w:val="2A25C314"/>
    <w:rsid w:val="2A2B71BB"/>
    <w:rsid w:val="2A8781E6"/>
    <w:rsid w:val="2AE9A3D7"/>
    <w:rsid w:val="2B06C06F"/>
    <w:rsid w:val="2B0F6965"/>
    <w:rsid w:val="2B263051"/>
    <w:rsid w:val="2B616F91"/>
    <w:rsid w:val="2B8696B3"/>
    <w:rsid w:val="2BEFCD79"/>
    <w:rsid w:val="2C01F577"/>
    <w:rsid w:val="2C35C75E"/>
    <w:rsid w:val="2C43AA2F"/>
    <w:rsid w:val="2C50F60C"/>
    <w:rsid w:val="2C9C53E3"/>
    <w:rsid w:val="2C9D5002"/>
    <w:rsid w:val="2CEC374D"/>
    <w:rsid w:val="2CF98C40"/>
    <w:rsid w:val="2D043BF1"/>
    <w:rsid w:val="2D1EB9DD"/>
    <w:rsid w:val="2D4BCD2E"/>
    <w:rsid w:val="2D6606DA"/>
    <w:rsid w:val="2DBF22A8"/>
    <w:rsid w:val="2DC54566"/>
    <w:rsid w:val="2DD5B6EF"/>
    <w:rsid w:val="2DEBB7EE"/>
    <w:rsid w:val="2DF90C16"/>
    <w:rsid w:val="2E17A6D4"/>
    <w:rsid w:val="2E2309A8"/>
    <w:rsid w:val="2E23D3F1"/>
    <w:rsid w:val="2E349E8E"/>
    <w:rsid w:val="2E624338"/>
    <w:rsid w:val="2E77050A"/>
    <w:rsid w:val="2E7B1186"/>
    <w:rsid w:val="2E8A0706"/>
    <w:rsid w:val="2E954676"/>
    <w:rsid w:val="2E9BD2DA"/>
    <w:rsid w:val="2EFDF3B5"/>
    <w:rsid w:val="2F1B764D"/>
    <w:rsid w:val="2F1D2A08"/>
    <w:rsid w:val="2F5C167F"/>
    <w:rsid w:val="2F665AB2"/>
    <w:rsid w:val="2F88D0BC"/>
    <w:rsid w:val="2F94CD5C"/>
    <w:rsid w:val="2F9C36A2"/>
    <w:rsid w:val="2FD7692F"/>
    <w:rsid w:val="2FE4EB98"/>
    <w:rsid w:val="2FEE356B"/>
    <w:rsid w:val="3015758E"/>
    <w:rsid w:val="305D4B07"/>
    <w:rsid w:val="3069A7FF"/>
    <w:rsid w:val="306C6C85"/>
    <w:rsid w:val="30C6BFD9"/>
    <w:rsid w:val="3149413B"/>
    <w:rsid w:val="315B78D0"/>
    <w:rsid w:val="3165597C"/>
    <w:rsid w:val="316CFCA3"/>
    <w:rsid w:val="3195E3CE"/>
    <w:rsid w:val="31A392D0"/>
    <w:rsid w:val="31B312D2"/>
    <w:rsid w:val="325C328A"/>
    <w:rsid w:val="325D823D"/>
    <w:rsid w:val="32630CCB"/>
    <w:rsid w:val="328F0E2E"/>
    <w:rsid w:val="32B2F54D"/>
    <w:rsid w:val="32E347B6"/>
    <w:rsid w:val="32F7FCB0"/>
    <w:rsid w:val="3322950E"/>
    <w:rsid w:val="3384AD15"/>
    <w:rsid w:val="3396F9DA"/>
    <w:rsid w:val="33CD2902"/>
    <w:rsid w:val="34146389"/>
    <w:rsid w:val="34158B5F"/>
    <w:rsid w:val="34249B27"/>
    <w:rsid w:val="3425D131"/>
    <w:rsid w:val="3434FAA2"/>
    <w:rsid w:val="343CD917"/>
    <w:rsid w:val="34639DC9"/>
    <w:rsid w:val="3471DD6C"/>
    <w:rsid w:val="3481B77D"/>
    <w:rsid w:val="34B1DC1B"/>
    <w:rsid w:val="34B26D62"/>
    <w:rsid w:val="34EAB394"/>
    <w:rsid w:val="356B2055"/>
    <w:rsid w:val="3576E1ED"/>
    <w:rsid w:val="35C837EF"/>
    <w:rsid w:val="36063FB1"/>
    <w:rsid w:val="3636C0AF"/>
    <w:rsid w:val="36381144"/>
    <w:rsid w:val="363ECE9C"/>
    <w:rsid w:val="364F7636"/>
    <w:rsid w:val="36657E61"/>
    <w:rsid w:val="3678CE78"/>
    <w:rsid w:val="3693CD55"/>
    <w:rsid w:val="369E8C17"/>
    <w:rsid w:val="36E768EA"/>
    <w:rsid w:val="37343695"/>
    <w:rsid w:val="37C9FB9E"/>
    <w:rsid w:val="37E8CF4C"/>
    <w:rsid w:val="3880BB04"/>
    <w:rsid w:val="388917C9"/>
    <w:rsid w:val="38AA1B42"/>
    <w:rsid w:val="38ACE861"/>
    <w:rsid w:val="38ADE480"/>
    <w:rsid w:val="38CA0BD2"/>
    <w:rsid w:val="38EFD762"/>
    <w:rsid w:val="38FC50F9"/>
    <w:rsid w:val="39496744"/>
    <w:rsid w:val="3986016E"/>
    <w:rsid w:val="39946E87"/>
    <w:rsid w:val="39BF0AAB"/>
    <w:rsid w:val="39C96F5E"/>
    <w:rsid w:val="39F5BA63"/>
    <w:rsid w:val="3A0DD9B0"/>
    <w:rsid w:val="3A18B733"/>
    <w:rsid w:val="3A22B283"/>
    <w:rsid w:val="3A40F380"/>
    <w:rsid w:val="3AC48764"/>
    <w:rsid w:val="3ADFF6D7"/>
    <w:rsid w:val="3B551276"/>
    <w:rsid w:val="3B619288"/>
    <w:rsid w:val="3B6C5CE6"/>
    <w:rsid w:val="3B7611D2"/>
    <w:rsid w:val="3B8AF99D"/>
    <w:rsid w:val="3B917E8B"/>
    <w:rsid w:val="3BB9CDF8"/>
    <w:rsid w:val="3BC2CEE0"/>
    <w:rsid w:val="3BCF2643"/>
    <w:rsid w:val="3BEF6E82"/>
    <w:rsid w:val="3BF72F80"/>
    <w:rsid w:val="3C06C5EA"/>
    <w:rsid w:val="3C076F0B"/>
    <w:rsid w:val="3C60EF3D"/>
    <w:rsid w:val="3C89763A"/>
    <w:rsid w:val="3CB9EA05"/>
    <w:rsid w:val="3CC9862B"/>
    <w:rsid w:val="3CDA4F8B"/>
    <w:rsid w:val="3CFE2D32"/>
    <w:rsid w:val="3D3B9B9F"/>
    <w:rsid w:val="3D759AC2"/>
    <w:rsid w:val="3D9ACE4C"/>
    <w:rsid w:val="3D9B58BD"/>
    <w:rsid w:val="3DA13B9B"/>
    <w:rsid w:val="3DCA5395"/>
    <w:rsid w:val="3DCFC21C"/>
    <w:rsid w:val="3DE0540C"/>
    <w:rsid w:val="3E0A8AA7"/>
    <w:rsid w:val="3E2AB09C"/>
    <w:rsid w:val="3E4B4B74"/>
    <w:rsid w:val="3E54A1A1"/>
    <w:rsid w:val="3E66205C"/>
    <w:rsid w:val="3E6EA9BA"/>
    <w:rsid w:val="3E791DFB"/>
    <w:rsid w:val="3E97E436"/>
    <w:rsid w:val="3EDE5D0A"/>
    <w:rsid w:val="3EF90277"/>
    <w:rsid w:val="3F1D2882"/>
    <w:rsid w:val="3F48B310"/>
    <w:rsid w:val="3F9B247F"/>
    <w:rsid w:val="3FBEF67A"/>
    <w:rsid w:val="3FDEF38A"/>
    <w:rsid w:val="4057894C"/>
    <w:rsid w:val="40690EDE"/>
    <w:rsid w:val="407294E2"/>
    <w:rsid w:val="40B3E5CD"/>
    <w:rsid w:val="40BCB50B"/>
    <w:rsid w:val="40D0E43F"/>
    <w:rsid w:val="40D1FD60"/>
    <w:rsid w:val="40E6E151"/>
    <w:rsid w:val="41472AB1"/>
    <w:rsid w:val="414C8BA3"/>
    <w:rsid w:val="4175EC3A"/>
    <w:rsid w:val="41CF7346"/>
    <w:rsid w:val="41EBC6BF"/>
    <w:rsid w:val="4200486C"/>
    <w:rsid w:val="420B3833"/>
    <w:rsid w:val="428021FC"/>
    <w:rsid w:val="428F966B"/>
    <w:rsid w:val="42AC96BB"/>
    <w:rsid w:val="42D7E759"/>
    <w:rsid w:val="42DA4ED6"/>
    <w:rsid w:val="42FFA82A"/>
    <w:rsid w:val="431AEB65"/>
    <w:rsid w:val="4322AF74"/>
    <w:rsid w:val="43492131"/>
    <w:rsid w:val="435AD938"/>
    <w:rsid w:val="4404A5F4"/>
    <w:rsid w:val="440CA949"/>
    <w:rsid w:val="441EEAD7"/>
    <w:rsid w:val="44B554AA"/>
    <w:rsid w:val="44CC34B3"/>
    <w:rsid w:val="44F8DF40"/>
    <w:rsid w:val="450778AF"/>
    <w:rsid w:val="452B1418"/>
    <w:rsid w:val="454FFB73"/>
    <w:rsid w:val="4561B836"/>
    <w:rsid w:val="459B98B2"/>
    <w:rsid w:val="45A95EFF"/>
    <w:rsid w:val="45DF0242"/>
    <w:rsid w:val="45E8897E"/>
    <w:rsid w:val="45FEF7A2"/>
    <w:rsid w:val="46116EA7"/>
    <w:rsid w:val="464E4002"/>
    <w:rsid w:val="46A9F365"/>
    <w:rsid w:val="46C976C6"/>
    <w:rsid w:val="46DAEFC8"/>
    <w:rsid w:val="46EDB91E"/>
    <w:rsid w:val="46EE713E"/>
    <w:rsid w:val="471ACCCB"/>
    <w:rsid w:val="471DD336"/>
    <w:rsid w:val="472C89EA"/>
    <w:rsid w:val="4767EF1A"/>
    <w:rsid w:val="47A62722"/>
    <w:rsid w:val="47BD4AEF"/>
    <w:rsid w:val="47BEFCDB"/>
    <w:rsid w:val="485424A0"/>
    <w:rsid w:val="486B0965"/>
    <w:rsid w:val="488280E6"/>
    <w:rsid w:val="48C55A5B"/>
    <w:rsid w:val="48C97DA8"/>
    <w:rsid w:val="4902265B"/>
    <w:rsid w:val="490B5186"/>
    <w:rsid w:val="490F9596"/>
    <w:rsid w:val="491FA21C"/>
    <w:rsid w:val="494985C2"/>
    <w:rsid w:val="495006EF"/>
    <w:rsid w:val="495E464F"/>
    <w:rsid w:val="49B3BF7E"/>
    <w:rsid w:val="49BAD25B"/>
    <w:rsid w:val="4A0AF650"/>
    <w:rsid w:val="4A28D085"/>
    <w:rsid w:val="4A3BBFB6"/>
    <w:rsid w:val="4A5AF906"/>
    <w:rsid w:val="4A954F98"/>
    <w:rsid w:val="4B431B60"/>
    <w:rsid w:val="4B66E022"/>
    <w:rsid w:val="4B6C420F"/>
    <w:rsid w:val="4B795E7A"/>
    <w:rsid w:val="4BB506B2"/>
    <w:rsid w:val="4BC1F48A"/>
    <w:rsid w:val="4BD2CED7"/>
    <w:rsid w:val="4C9E722E"/>
    <w:rsid w:val="4CA4C674"/>
    <w:rsid w:val="4CAD8465"/>
    <w:rsid w:val="4CC1783A"/>
    <w:rsid w:val="4CEFD77D"/>
    <w:rsid w:val="4D17E769"/>
    <w:rsid w:val="4D3D5D07"/>
    <w:rsid w:val="4D6A8CFE"/>
    <w:rsid w:val="4D78522B"/>
    <w:rsid w:val="4DEEE347"/>
    <w:rsid w:val="4DF5CDBB"/>
    <w:rsid w:val="4E06A368"/>
    <w:rsid w:val="4E3BCA21"/>
    <w:rsid w:val="4E9F6D2F"/>
    <w:rsid w:val="4EB5B722"/>
    <w:rsid w:val="4EF9954C"/>
    <w:rsid w:val="4F86F676"/>
    <w:rsid w:val="4FBE1983"/>
    <w:rsid w:val="4FC799A5"/>
    <w:rsid w:val="4FEA0D94"/>
    <w:rsid w:val="5006A9EA"/>
    <w:rsid w:val="5034ED99"/>
    <w:rsid w:val="5083C62F"/>
    <w:rsid w:val="5096949D"/>
    <w:rsid w:val="50A90C27"/>
    <w:rsid w:val="50B533A0"/>
    <w:rsid w:val="50BAF176"/>
    <w:rsid w:val="50C2CCEE"/>
    <w:rsid w:val="50D2D4B8"/>
    <w:rsid w:val="50E0B590"/>
    <w:rsid w:val="511ED8B9"/>
    <w:rsid w:val="512DFEAC"/>
    <w:rsid w:val="512E3082"/>
    <w:rsid w:val="51340CE5"/>
    <w:rsid w:val="5143F865"/>
    <w:rsid w:val="51440B77"/>
    <w:rsid w:val="519A954D"/>
    <w:rsid w:val="52002ACB"/>
    <w:rsid w:val="5213DFCC"/>
    <w:rsid w:val="522802A9"/>
    <w:rsid w:val="52DBFDD3"/>
    <w:rsid w:val="52E5EFE4"/>
    <w:rsid w:val="52EF6151"/>
    <w:rsid w:val="52F2AD5F"/>
    <w:rsid w:val="52F7194C"/>
    <w:rsid w:val="5319DF4E"/>
    <w:rsid w:val="533E13A5"/>
    <w:rsid w:val="53670107"/>
    <w:rsid w:val="5368A3BB"/>
    <w:rsid w:val="538B36AE"/>
    <w:rsid w:val="53D7B99E"/>
    <w:rsid w:val="541B2889"/>
    <w:rsid w:val="5429A0D9"/>
    <w:rsid w:val="542DD595"/>
    <w:rsid w:val="542E8957"/>
    <w:rsid w:val="544F6FE7"/>
    <w:rsid w:val="54548FF2"/>
    <w:rsid w:val="5472023B"/>
    <w:rsid w:val="54AD0CD5"/>
    <w:rsid w:val="54E7F9D5"/>
    <w:rsid w:val="55089864"/>
    <w:rsid w:val="551438A1"/>
    <w:rsid w:val="553D33DC"/>
    <w:rsid w:val="55AE3266"/>
    <w:rsid w:val="55C4F5C9"/>
    <w:rsid w:val="55C9D8C7"/>
    <w:rsid w:val="55EBFCB4"/>
    <w:rsid w:val="561C1916"/>
    <w:rsid w:val="56309860"/>
    <w:rsid w:val="56355DBD"/>
    <w:rsid w:val="56781372"/>
    <w:rsid w:val="56BA2515"/>
    <w:rsid w:val="571BF2FB"/>
    <w:rsid w:val="57338BC0"/>
    <w:rsid w:val="575A570B"/>
    <w:rsid w:val="575A5D95"/>
    <w:rsid w:val="576364DA"/>
    <w:rsid w:val="57CD320F"/>
    <w:rsid w:val="5802C32B"/>
    <w:rsid w:val="586B3D6F"/>
    <w:rsid w:val="58A4BBFE"/>
    <w:rsid w:val="58A5EF0B"/>
    <w:rsid w:val="58BB20D9"/>
    <w:rsid w:val="58EAAF0C"/>
    <w:rsid w:val="59EB3599"/>
    <w:rsid w:val="5A0F3986"/>
    <w:rsid w:val="5A0F4A71"/>
    <w:rsid w:val="5A739062"/>
    <w:rsid w:val="5A8B335B"/>
    <w:rsid w:val="5AA35E9E"/>
    <w:rsid w:val="5AA42FBE"/>
    <w:rsid w:val="5ABC6599"/>
    <w:rsid w:val="5AF1F9CB"/>
    <w:rsid w:val="5B41CDC4"/>
    <w:rsid w:val="5B68A901"/>
    <w:rsid w:val="5B866E82"/>
    <w:rsid w:val="5B910BE2"/>
    <w:rsid w:val="5B94E152"/>
    <w:rsid w:val="5B959864"/>
    <w:rsid w:val="5BAF5F3E"/>
    <w:rsid w:val="5C03CA9C"/>
    <w:rsid w:val="5C2EA79F"/>
    <w:rsid w:val="5C3BED89"/>
    <w:rsid w:val="5C4E5750"/>
    <w:rsid w:val="5C620763"/>
    <w:rsid w:val="5CBAF984"/>
    <w:rsid w:val="5CBC931C"/>
    <w:rsid w:val="5CBDF974"/>
    <w:rsid w:val="5CC154EF"/>
    <w:rsid w:val="5CD83E14"/>
    <w:rsid w:val="5CEA924F"/>
    <w:rsid w:val="5D1AEE49"/>
    <w:rsid w:val="5D258B90"/>
    <w:rsid w:val="5D4428AC"/>
    <w:rsid w:val="5D74C88A"/>
    <w:rsid w:val="5D861259"/>
    <w:rsid w:val="5D8B6750"/>
    <w:rsid w:val="5DC74D5C"/>
    <w:rsid w:val="5DD14C6B"/>
    <w:rsid w:val="5DD9BB83"/>
    <w:rsid w:val="5E0627C5"/>
    <w:rsid w:val="5E8C5C51"/>
    <w:rsid w:val="5E930A00"/>
    <w:rsid w:val="5EC81C46"/>
    <w:rsid w:val="5ED5A675"/>
    <w:rsid w:val="5ED908A1"/>
    <w:rsid w:val="5EE3C763"/>
    <w:rsid w:val="5F01824C"/>
    <w:rsid w:val="5F0FB29B"/>
    <w:rsid w:val="5F2F1D22"/>
    <w:rsid w:val="5F4470ED"/>
    <w:rsid w:val="5F6A2F48"/>
    <w:rsid w:val="5F75DED9"/>
    <w:rsid w:val="5F7D4CD1"/>
    <w:rsid w:val="5F8D79D7"/>
    <w:rsid w:val="5FDAC912"/>
    <w:rsid w:val="600E2F38"/>
    <w:rsid w:val="603E056C"/>
    <w:rsid w:val="6046648F"/>
    <w:rsid w:val="60631607"/>
    <w:rsid w:val="6079643A"/>
    <w:rsid w:val="607C0B93"/>
    <w:rsid w:val="609FF376"/>
    <w:rsid w:val="60A7AE87"/>
    <w:rsid w:val="60B0CA02"/>
    <w:rsid w:val="610C1040"/>
    <w:rsid w:val="610E67A5"/>
    <w:rsid w:val="6130E20F"/>
    <w:rsid w:val="6159809A"/>
    <w:rsid w:val="617CAEDF"/>
    <w:rsid w:val="61883012"/>
    <w:rsid w:val="6188856B"/>
    <w:rsid w:val="61FCCA69"/>
    <w:rsid w:val="622BC9FE"/>
    <w:rsid w:val="624684F7"/>
    <w:rsid w:val="6254AB06"/>
    <w:rsid w:val="626C6833"/>
    <w:rsid w:val="6299B6CD"/>
    <w:rsid w:val="62EE6B27"/>
    <w:rsid w:val="6312C85C"/>
    <w:rsid w:val="6321D1EC"/>
    <w:rsid w:val="632E2D80"/>
    <w:rsid w:val="6336E770"/>
    <w:rsid w:val="634AA0EA"/>
    <w:rsid w:val="635A2DE2"/>
    <w:rsid w:val="636113B6"/>
    <w:rsid w:val="636CC360"/>
    <w:rsid w:val="63AC79C4"/>
    <w:rsid w:val="6409B89C"/>
    <w:rsid w:val="643504AF"/>
    <w:rsid w:val="646700A9"/>
    <w:rsid w:val="647D23FE"/>
    <w:rsid w:val="648006A9"/>
    <w:rsid w:val="64A6ED84"/>
    <w:rsid w:val="64B1778E"/>
    <w:rsid w:val="64B4916A"/>
    <w:rsid w:val="64B5A573"/>
    <w:rsid w:val="64C3170C"/>
    <w:rsid w:val="64C4D3D6"/>
    <w:rsid w:val="64DD9E2C"/>
    <w:rsid w:val="654AA70A"/>
    <w:rsid w:val="657C963F"/>
    <w:rsid w:val="65B73527"/>
    <w:rsid w:val="65BC89C5"/>
    <w:rsid w:val="662E93B3"/>
    <w:rsid w:val="66564049"/>
    <w:rsid w:val="66695074"/>
    <w:rsid w:val="6671013B"/>
    <w:rsid w:val="66B61552"/>
    <w:rsid w:val="66D9C583"/>
    <w:rsid w:val="66F849BA"/>
    <w:rsid w:val="6702666C"/>
    <w:rsid w:val="670ED0AF"/>
    <w:rsid w:val="6767F2BC"/>
    <w:rsid w:val="678A293B"/>
    <w:rsid w:val="678D6FEA"/>
    <w:rsid w:val="67A95238"/>
    <w:rsid w:val="67AD0A0B"/>
    <w:rsid w:val="67B3E6A3"/>
    <w:rsid w:val="67D1BA78"/>
    <w:rsid w:val="67DD82AB"/>
    <w:rsid w:val="67E580E8"/>
    <w:rsid w:val="67EC322C"/>
    <w:rsid w:val="686DF51B"/>
    <w:rsid w:val="68FCD62E"/>
    <w:rsid w:val="6929C63B"/>
    <w:rsid w:val="693F85CA"/>
    <w:rsid w:val="697E08F4"/>
    <w:rsid w:val="6982D32E"/>
    <w:rsid w:val="69909E7A"/>
    <w:rsid w:val="69AD2D3F"/>
    <w:rsid w:val="6A15C6FB"/>
    <w:rsid w:val="6A635779"/>
    <w:rsid w:val="6A6E2E68"/>
    <w:rsid w:val="6A7B946E"/>
    <w:rsid w:val="6A7F4EA2"/>
    <w:rsid w:val="6A87038C"/>
    <w:rsid w:val="6AAE7586"/>
    <w:rsid w:val="6B0950A2"/>
    <w:rsid w:val="6B9833E5"/>
    <w:rsid w:val="6BB5C541"/>
    <w:rsid w:val="6BEADBA4"/>
    <w:rsid w:val="6C0302CA"/>
    <w:rsid w:val="6C1FFEFD"/>
    <w:rsid w:val="6C4A49A8"/>
    <w:rsid w:val="6C4D93F7"/>
    <w:rsid w:val="6C5C3F18"/>
    <w:rsid w:val="6C9B9BC9"/>
    <w:rsid w:val="6C9D6231"/>
    <w:rsid w:val="6CB8249E"/>
    <w:rsid w:val="6CEB8EE3"/>
    <w:rsid w:val="6D296E28"/>
    <w:rsid w:val="6D2E7D51"/>
    <w:rsid w:val="6D5A8DFC"/>
    <w:rsid w:val="6D811842"/>
    <w:rsid w:val="6D9FFD6D"/>
    <w:rsid w:val="6DB3F345"/>
    <w:rsid w:val="6E058112"/>
    <w:rsid w:val="6E0E5905"/>
    <w:rsid w:val="6E463CCA"/>
    <w:rsid w:val="6E582703"/>
    <w:rsid w:val="6E587221"/>
    <w:rsid w:val="6E7AC230"/>
    <w:rsid w:val="6E8BF8A7"/>
    <w:rsid w:val="6E8D52BA"/>
    <w:rsid w:val="6E95FDFB"/>
    <w:rsid w:val="6EB86FEC"/>
    <w:rsid w:val="6ECF8F0F"/>
    <w:rsid w:val="6EF54270"/>
    <w:rsid w:val="6F419910"/>
    <w:rsid w:val="6FA6A86C"/>
    <w:rsid w:val="6FCAF5F1"/>
    <w:rsid w:val="6FCC8DA5"/>
    <w:rsid w:val="6FED15F0"/>
    <w:rsid w:val="707BAF9B"/>
    <w:rsid w:val="708E8226"/>
    <w:rsid w:val="7090B7CD"/>
    <w:rsid w:val="709CEF3F"/>
    <w:rsid w:val="70B69DA5"/>
    <w:rsid w:val="711960EC"/>
    <w:rsid w:val="712E97D2"/>
    <w:rsid w:val="713E02B2"/>
    <w:rsid w:val="718F304D"/>
    <w:rsid w:val="71C4F453"/>
    <w:rsid w:val="71CDDDB1"/>
    <w:rsid w:val="71D07E22"/>
    <w:rsid w:val="71D7F07A"/>
    <w:rsid w:val="7223EE5C"/>
    <w:rsid w:val="72380C7D"/>
    <w:rsid w:val="724BAB53"/>
    <w:rsid w:val="725B0417"/>
    <w:rsid w:val="726D3492"/>
    <w:rsid w:val="727A68C2"/>
    <w:rsid w:val="729267AF"/>
    <w:rsid w:val="72BEBE33"/>
    <w:rsid w:val="72CF43BB"/>
    <w:rsid w:val="72E20A60"/>
    <w:rsid w:val="72E450BC"/>
    <w:rsid w:val="7304EEF5"/>
    <w:rsid w:val="7317FF6F"/>
    <w:rsid w:val="732226B9"/>
    <w:rsid w:val="73263F6E"/>
    <w:rsid w:val="732B0527"/>
    <w:rsid w:val="73452225"/>
    <w:rsid w:val="736AA97D"/>
    <w:rsid w:val="7393E498"/>
    <w:rsid w:val="73B674D1"/>
    <w:rsid w:val="73C5C4BC"/>
    <w:rsid w:val="73CEA45C"/>
    <w:rsid w:val="74115CFC"/>
    <w:rsid w:val="742F6840"/>
    <w:rsid w:val="7431EA5F"/>
    <w:rsid w:val="7436423C"/>
    <w:rsid w:val="74423A86"/>
    <w:rsid w:val="749C1210"/>
    <w:rsid w:val="749F4D08"/>
    <w:rsid w:val="74A74526"/>
    <w:rsid w:val="7536CD42"/>
    <w:rsid w:val="754AEAC4"/>
    <w:rsid w:val="754D5E73"/>
    <w:rsid w:val="75B60498"/>
    <w:rsid w:val="75BF8525"/>
    <w:rsid w:val="75DF4F07"/>
    <w:rsid w:val="75DFB3AE"/>
    <w:rsid w:val="75F41D29"/>
    <w:rsid w:val="75F46FC2"/>
    <w:rsid w:val="760862A0"/>
    <w:rsid w:val="76390885"/>
    <w:rsid w:val="76544944"/>
    <w:rsid w:val="7677CDBE"/>
    <w:rsid w:val="76AB2434"/>
    <w:rsid w:val="76AD5AD6"/>
    <w:rsid w:val="76B4F12F"/>
    <w:rsid w:val="76E2DC5B"/>
    <w:rsid w:val="76EFD79B"/>
    <w:rsid w:val="77441028"/>
    <w:rsid w:val="7757D1DD"/>
    <w:rsid w:val="775B0D76"/>
    <w:rsid w:val="77A0690C"/>
    <w:rsid w:val="77D93321"/>
    <w:rsid w:val="780F2E05"/>
    <w:rsid w:val="781FF268"/>
    <w:rsid w:val="789AC976"/>
    <w:rsid w:val="789F2EA5"/>
    <w:rsid w:val="78A9AB85"/>
    <w:rsid w:val="78C35490"/>
    <w:rsid w:val="792D45EF"/>
    <w:rsid w:val="792F8B2C"/>
    <w:rsid w:val="79340485"/>
    <w:rsid w:val="796262CD"/>
    <w:rsid w:val="796F7A57"/>
    <w:rsid w:val="79988B7A"/>
    <w:rsid w:val="79E8EA55"/>
    <w:rsid w:val="7A080243"/>
    <w:rsid w:val="7A184235"/>
    <w:rsid w:val="7A2CB413"/>
    <w:rsid w:val="7AB2F976"/>
    <w:rsid w:val="7AF8D659"/>
    <w:rsid w:val="7B2DD016"/>
    <w:rsid w:val="7B94BDC4"/>
    <w:rsid w:val="7BAD4F14"/>
    <w:rsid w:val="7BB2D0FD"/>
    <w:rsid w:val="7BB3E6DA"/>
    <w:rsid w:val="7BCCDA92"/>
    <w:rsid w:val="7BDCDBE1"/>
    <w:rsid w:val="7C06FF4E"/>
    <w:rsid w:val="7C2D4FA9"/>
    <w:rsid w:val="7C56727E"/>
    <w:rsid w:val="7C594D81"/>
    <w:rsid w:val="7C6BCC85"/>
    <w:rsid w:val="7CA398F6"/>
    <w:rsid w:val="7CDB682E"/>
    <w:rsid w:val="7CEC8D36"/>
    <w:rsid w:val="7CF5EEEE"/>
    <w:rsid w:val="7D2D8816"/>
    <w:rsid w:val="7D2FCDB0"/>
    <w:rsid w:val="7D303833"/>
    <w:rsid w:val="7DE8BDA5"/>
    <w:rsid w:val="7DE93877"/>
    <w:rsid w:val="7E23B1DD"/>
    <w:rsid w:val="7E37DBA5"/>
    <w:rsid w:val="7E43987E"/>
    <w:rsid w:val="7E6DC8E1"/>
    <w:rsid w:val="7EBAC9A0"/>
    <w:rsid w:val="7EBD7A75"/>
    <w:rsid w:val="7EFF0CCD"/>
    <w:rsid w:val="7F09D829"/>
    <w:rsid w:val="7F58B4DC"/>
    <w:rsid w:val="7F819DC6"/>
    <w:rsid w:val="7F888F2D"/>
    <w:rsid w:val="7FC003B0"/>
    <w:rsid w:val="7FCB1E6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8E96A0E"/>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A45FE"/>
    <w:pPr>
      <w:keepNext/>
      <w:spacing w:before="240" w:after="0" w:line="276" w:lineRule="auto"/>
      <w:outlineLvl w:val="0"/>
    </w:pPr>
    <w:rPr>
      <w:rFonts w:ascii="Calibri Light" w:hAnsi="Calibri Light" w:cs="Calibri Light"/>
      <w:color w:val="2F5496"/>
      <w:kern w:val="36"/>
      <w:sz w:val="32"/>
      <w:szCs w:val="32"/>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EA45FE"/>
    <w:rPr>
      <w:color w:val="0000FF"/>
      <w:shd w:val="clear" w:color="auto" w:fill="auto"/>
    </w:rPr>
  </w:style>
  <w:style w:type="paragraph" w:styleId="Header">
    <w:name w:val="header"/>
    <w:basedOn w:val="Normal"/>
    <w:link w:val="HeaderChar"/>
    <w:uiPriority w:val="99"/>
    <w:unhideWhenUsed/>
    <w:rsid w:val="00EA45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45FE"/>
  </w:style>
  <w:style w:type="paragraph" w:styleId="Footer">
    <w:name w:val="footer"/>
    <w:basedOn w:val="Normal"/>
    <w:link w:val="FooterChar"/>
    <w:uiPriority w:val="99"/>
    <w:unhideWhenUsed/>
    <w:rsid w:val="00EA45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45FE"/>
  </w:style>
  <w:style w:type="paragraph" w:customStyle="1" w:styleId="Pagedecouverture">
    <w:name w:val="Page de couverture"/>
    <w:basedOn w:val="Normal"/>
    <w:next w:val="Normal"/>
    <w:rsid w:val="00EA45FE"/>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rsid w:val="00EA45FE"/>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sid w:val="00EA45FE"/>
    <w:rPr>
      <w:rFonts w:ascii="Times New Roman" w:hAnsi="Times New Roman" w:cs="Times New Roman"/>
      <w:sz w:val="24"/>
    </w:rPr>
  </w:style>
  <w:style w:type="paragraph" w:customStyle="1" w:styleId="FooterSensitivity">
    <w:name w:val="Footer Sensitivity"/>
    <w:basedOn w:val="Normal"/>
    <w:link w:val="FooterSensitivityChar"/>
    <w:rsid w:val="00EA45FE"/>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EA45FE"/>
    <w:rPr>
      <w:rFonts w:ascii="Times New Roman" w:hAnsi="Times New Roman" w:cs="Times New Roman"/>
      <w:b/>
      <w:sz w:val="32"/>
    </w:rPr>
  </w:style>
  <w:style w:type="paragraph" w:customStyle="1" w:styleId="HeaderCoverPage">
    <w:name w:val="Header Cover Page"/>
    <w:basedOn w:val="Normal"/>
    <w:link w:val="HeaderCoverPageChar"/>
    <w:rsid w:val="00EA45FE"/>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sid w:val="00EA45FE"/>
    <w:rPr>
      <w:rFonts w:ascii="Times New Roman" w:hAnsi="Times New Roman" w:cs="Times New Roman"/>
      <w:sz w:val="24"/>
    </w:rPr>
  </w:style>
  <w:style w:type="paragraph" w:customStyle="1" w:styleId="HeaderSensitivity">
    <w:name w:val="Header Sensitivity"/>
    <w:basedOn w:val="Normal"/>
    <w:link w:val="HeaderSensitivityChar"/>
    <w:rsid w:val="00EA45FE"/>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EA45FE"/>
    <w:rPr>
      <w:rFonts w:ascii="Times New Roman" w:hAnsi="Times New Roman" w:cs="Times New Roman"/>
      <w:b/>
      <w:sz w:val="32"/>
    </w:rPr>
  </w:style>
  <w:style w:type="paragraph" w:customStyle="1" w:styleId="HeaderSensitivityRight">
    <w:name w:val="Header Sensitivity Right"/>
    <w:basedOn w:val="Normal"/>
    <w:link w:val="HeaderSensitivityRightChar"/>
    <w:rsid w:val="00A07A4F"/>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EA45FE"/>
    <w:rPr>
      <w:rFonts w:ascii="Times New Roman" w:hAnsi="Times New Roman" w:cs="Times New Roman"/>
      <w:sz w:val="28"/>
    </w:rPr>
  </w:style>
  <w:style w:type="character" w:customStyle="1" w:styleId="Heading1Char">
    <w:name w:val="Heading 1 Char"/>
    <w:basedOn w:val="DefaultParagraphFont"/>
    <w:link w:val="Heading1"/>
    <w:uiPriority w:val="9"/>
    <w:rsid w:val="00EA45FE"/>
    <w:rPr>
      <w:rFonts w:ascii="Calibri Light" w:hAnsi="Calibri Light" w:cs="Calibri Light"/>
      <w:color w:val="2F5496"/>
      <w:kern w:val="36"/>
      <w:sz w:val="32"/>
      <w:szCs w:val="32"/>
      <w:lang w:val="en-IE"/>
    </w:rPr>
  </w:style>
  <w:style w:type="paragraph" w:styleId="ListParagraph">
    <w:name w:val="List Paragraph"/>
    <w:basedOn w:val="Normal"/>
    <w:uiPriority w:val="34"/>
    <w:qFormat/>
    <w:rsid w:val="00EA45FE"/>
    <w:pPr>
      <w:ind w:left="720"/>
      <w:contextualSpacing/>
    </w:pPr>
    <w:rPr>
      <w:lang w:val="en-IE"/>
    </w:rPr>
  </w:style>
  <w:style w:type="paragraph" w:styleId="FootnoteText">
    <w:name w:val="footnote text"/>
    <w:basedOn w:val="Normal"/>
    <w:link w:val="FootnoteTextChar"/>
    <w:uiPriority w:val="99"/>
    <w:semiHidden/>
    <w:unhideWhenUsed/>
    <w:rsid w:val="00EA45FE"/>
    <w:pPr>
      <w:spacing w:after="0" w:line="240" w:lineRule="auto"/>
    </w:pPr>
    <w:rPr>
      <w:sz w:val="20"/>
      <w:szCs w:val="20"/>
      <w:lang w:val="en-IE"/>
    </w:rPr>
  </w:style>
  <w:style w:type="character" w:customStyle="1" w:styleId="FootnoteTextChar">
    <w:name w:val="Footnote Text Char"/>
    <w:basedOn w:val="DefaultParagraphFont"/>
    <w:link w:val="FootnoteText"/>
    <w:uiPriority w:val="99"/>
    <w:semiHidden/>
    <w:rsid w:val="00EA45FE"/>
    <w:rPr>
      <w:sz w:val="20"/>
      <w:szCs w:val="20"/>
      <w:lang w:val="en-IE"/>
    </w:rPr>
  </w:style>
  <w:style w:type="character" w:styleId="FootnoteReference">
    <w:name w:val="footnote reference"/>
    <w:basedOn w:val="DefaultParagraphFont"/>
    <w:uiPriority w:val="99"/>
    <w:semiHidden/>
    <w:unhideWhenUsed/>
    <w:rsid w:val="00EA45FE"/>
    <w:rPr>
      <w:vertAlign w:val="superscript"/>
    </w:rPr>
  </w:style>
  <w:style w:type="character" w:styleId="Hyperlink">
    <w:name w:val="Hyperlink"/>
    <w:basedOn w:val="DefaultParagraphFont"/>
    <w:uiPriority w:val="99"/>
    <w:unhideWhenUsed/>
    <w:rsid w:val="00EA45FE"/>
    <w:rPr>
      <w:color w:val="0563C1" w:themeColor="hyperlink"/>
      <w:u w:val="single"/>
    </w:rPr>
  </w:style>
  <w:style w:type="character" w:customStyle="1" w:styleId="UnresolvedMention1">
    <w:name w:val="Unresolved Mention1"/>
    <w:basedOn w:val="DefaultParagraphFont"/>
    <w:uiPriority w:val="99"/>
    <w:semiHidden/>
    <w:unhideWhenUsed/>
    <w:rsid w:val="00EA45FE"/>
    <w:rPr>
      <w:color w:val="605E5C"/>
      <w:shd w:val="clear" w:color="auto" w:fill="E1DFDD"/>
    </w:rPr>
  </w:style>
  <w:style w:type="paragraph" w:styleId="EndnoteText">
    <w:name w:val="endnote text"/>
    <w:basedOn w:val="Normal"/>
    <w:link w:val="EndnoteTextChar"/>
    <w:uiPriority w:val="99"/>
    <w:semiHidden/>
    <w:unhideWhenUsed/>
    <w:rsid w:val="00EA45FE"/>
    <w:pPr>
      <w:spacing w:after="0" w:line="240" w:lineRule="auto"/>
    </w:pPr>
    <w:rPr>
      <w:sz w:val="20"/>
      <w:szCs w:val="20"/>
      <w:lang w:val="en-IE"/>
    </w:rPr>
  </w:style>
  <w:style w:type="character" w:customStyle="1" w:styleId="EndnoteTextChar">
    <w:name w:val="Endnote Text Char"/>
    <w:basedOn w:val="DefaultParagraphFont"/>
    <w:link w:val="EndnoteText"/>
    <w:uiPriority w:val="99"/>
    <w:semiHidden/>
    <w:rsid w:val="00EA45FE"/>
    <w:rPr>
      <w:sz w:val="20"/>
      <w:szCs w:val="20"/>
      <w:lang w:val="en-IE"/>
    </w:rPr>
  </w:style>
  <w:style w:type="character" w:styleId="EndnoteReference">
    <w:name w:val="endnote reference"/>
    <w:basedOn w:val="DefaultParagraphFont"/>
    <w:uiPriority w:val="99"/>
    <w:semiHidden/>
    <w:unhideWhenUsed/>
    <w:rsid w:val="00EA45FE"/>
    <w:rPr>
      <w:vertAlign w:val="superscript"/>
    </w:rPr>
  </w:style>
  <w:style w:type="paragraph" w:customStyle="1" w:styleId="Default">
    <w:name w:val="Default"/>
    <w:rsid w:val="00EA45FE"/>
    <w:pPr>
      <w:autoSpaceDE w:val="0"/>
      <w:autoSpaceDN w:val="0"/>
      <w:adjustRightInd w:val="0"/>
      <w:spacing w:after="0" w:line="240" w:lineRule="auto"/>
    </w:pPr>
    <w:rPr>
      <w:rFonts w:ascii="Times New Roman" w:hAnsi="Times New Roman" w:cs="Times New Roman"/>
      <w:color w:val="000000"/>
      <w:sz w:val="24"/>
      <w:szCs w:val="24"/>
      <w:lang w:val="en-IE"/>
    </w:rPr>
  </w:style>
  <w:style w:type="character" w:styleId="CommentReference">
    <w:name w:val="annotation reference"/>
    <w:basedOn w:val="DefaultParagraphFont"/>
    <w:uiPriority w:val="99"/>
    <w:semiHidden/>
    <w:unhideWhenUsed/>
    <w:rsid w:val="00EA45FE"/>
    <w:rPr>
      <w:sz w:val="16"/>
      <w:szCs w:val="16"/>
    </w:rPr>
  </w:style>
  <w:style w:type="paragraph" w:styleId="CommentText">
    <w:name w:val="annotation text"/>
    <w:basedOn w:val="Normal"/>
    <w:link w:val="CommentTextChar"/>
    <w:uiPriority w:val="99"/>
    <w:unhideWhenUsed/>
    <w:rsid w:val="00EA45FE"/>
    <w:pPr>
      <w:spacing w:line="240" w:lineRule="auto"/>
    </w:pPr>
    <w:rPr>
      <w:sz w:val="20"/>
      <w:szCs w:val="20"/>
      <w:lang w:val="en-IE"/>
    </w:rPr>
  </w:style>
  <w:style w:type="character" w:customStyle="1" w:styleId="CommentTextChar">
    <w:name w:val="Comment Text Char"/>
    <w:basedOn w:val="DefaultParagraphFont"/>
    <w:link w:val="CommentText"/>
    <w:uiPriority w:val="99"/>
    <w:rsid w:val="00EA45FE"/>
    <w:rPr>
      <w:sz w:val="20"/>
      <w:szCs w:val="20"/>
      <w:lang w:val="en-IE"/>
    </w:rPr>
  </w:style>
  <w:style w:type="paragraph" w:styleId="CommentSubject">
    <w:name w:val="annotation subject"/>
    <w:basedOn w:val="CommentText"/>
    <w:next w:val="CommentText"/>
    <w:link w:val="CommentSubjectChar"/>
    <w:uiPriority w:val="99"/>
    <w:semiHidden/>
    <w:unhideWhenUsed/>
    <w:rsid w:val="00EA45FE"/>
    <w:rPr>
      <w:b/>
      <w:bCs/>
    </w:rPr>
  </w:style>
  <w:style w:type="character" w:customStyle="1" w:styleId="CommentSubjectChar">
    <w:name w:val="Comment Subject Char"/>
    <w:basedOn w:val="CommentTextChar"/>
    <w:link w:val="CommentSubject"/>
    <w:uiPriority w:val="99"/>
    <w:semiHidden/>
    <w:rsid w:val="00EA45FE"/>
    <w:rPr>
      <w:b/>
      <w:bCs/>
      <w:sz w:val="20"/>
      <w:szCs w:val="20"/>
      <w:lang w:val="en-IE"/>
    </w:rPr>
  </w:style>
  <w:style w:type="paragraph" w:styleId="Revision">
    <w:name w:val="Revision"/>
    <w:hidden/>
    <w:uiPriority w:val="99"/>
    <w:semiHidden/>
    <w:rsid w:val="00EA45FE"/>
    <w:pPr>
      <w:spacing w:after="0" w:line="240" w:lineRule="auto"/>
    </w:pPr>
    <w:rPr>
      <w:lang w:val="en-IE"/>
    </w:rPr>
  </w:style>
  <w:style w:type="paragraph" w:customStyle="1" w:styleId="Bulletparagraph">
    <w:name w:val="Bullet paragraph"/>
    <w:basedOn w:val="ListParagraph"/>
    <w:link w:val="BulletparagraphChar"/>
    <w:qFormat/>
    <w:rsid w:val="00EA45FE"/>
    <w:pPr>
      <w:widowControl w:val="0"/>
      <w:numPr>
        <w:numId w:val="11"/>
      </w:numPr>
      <w:tabs>
        <w:tab w:val="left" w:pos="461"/>
      </w:tabs>
      <w:autoSpaceDE w:val="0"/>
      <w:autoSpaceDN w:val="0"/>
      <w:spacing w:before="187" w:after="0" w:line="244" w:lineRule="auto"/>
      <w:ind w:right="118"/>
      <w:contextualSpacing w:val="0"/>
      <w:jc w:val="both"/>
    </w:pPr>
    <w:rPr>
      <w:rFonts w:ascii="EC Square Sans Pro" w:eastAsia="EC Square Sans Pro" w:hAnsi="EC Square Sans Pro" w:cs="EC Square Sans Pro"/>
      <w:i/>
      <w:color w:val="262626" w:themeColor="text1" w:themeTint="D9"/>
      <w:spacing w:val="-6"/>
      <w:sz w:val="24"/>
      <w:lang w:val="en-US" w:bidi="en-US"/>
    </w:rPr>
  </w:style>
  <w:style w:type="character" w:customStyle="1" w:styleId="BulletparagraphChar">
    <w:name w:val="Bullet paragraph Char"/>
    <w:basedOn w:val="DefaultParagraphFont"/>
    <w:link w:val="Bulletparagraph"/>
    <w:rsid w:val="00EA45FE"/>
    <w:rPr>
      <w:rFonts w:ascii="EC Square Sans Pro" w:eastAsia="EC Square Sans Pro" w:hAnsi="EC Square Sans Pro" w:cs="EC Square Sans Pro"/>
      <w:i/>
      <w:color w:val="262626" w:themeColor="text1" w:themeTint="D9"/>
      <w:spacing w:val="-6"/>
      <w:sz w:val="24"/>
      <w:lang w:val="en-US" w:bidi="en-US"/>
    </w:rPr>
  </w:style>
  <w:style w:type="character" w:customStyle="1" w:styleId="Mention1">
    <w:name w:val="Mention1"/>
    <w:basedOn w:val="DefaultParagraphFont"/>
    <w:uiPriority w:val="99"/>
    <w:unhideWhenUsed/>
    <w:rsid w:val="00EA45FE"/>
    <w:rPr>
      <w:color w:val="2B579A"/>
      <w:shd w:val="clear" w:color="auto" w:fill="E1DFDD"/>
    </w:rPr>
  </w:style>
  <w:style w:type="paragraph" w:styleId="PlainText">
    <w:name w:val="Plain Text"/>
    <w:basedOn w:val="Normal"/>
    <w:link w:val="PlainTextChar"/>
    <w:uiPriority w:val="99"/>
    <w:semiHidden/>
    <w:unhideWhenUsed/>
    <w:rsid w:val="00EA45FE"/>
    <w:pPr>
      <w:spacing w:after="0" w:line="240" w:lineRule="auto"/>
    </w:pPr>
    <w:rPr>
      <w:rFonts w:ascii="Calibri" w:hAnsi="Calibri"/>
      <w:szCs w:val="21"/>
      <w:lang w:val="fr-BE"/>
    </w:rPr>
  </w:style>
  <w:style w:type="character" w:customStyle="1" w:styleId="PlainTextChar">
    <w:name w:val="Plain Text Char"/>
    <w:basedOn w:val="DefaultParagraphFont"/>
    <w:link w:val="PlainText"/>
    <w:uiPriority w:val="99"/>
    <w:semiHidden/>
    <w:rsid w:val="00EA45FE"/>
    <w:rPr>
      <w:rFonts w:ascii="Calibri" w:hAnsi="Calibri"/>
      <w:szCs w:val="21"/>
      <w:lang w:val="fr-BE"/>
    </w:rPr>
  </w:style>
  <w:style w:type="character" w:styleId="FollowedHyperlink">
    <w:name w:val="FollowedHyperlink"/>
    <w:basedOn w:val="DefaultParagraphFont"/>
    <w:uiPriority w:val="99"/>
    <w:semiHidden/>
    <w:unhideWhenUsed/>
    <w:rsid w:val="00EA45FE"/>
    <w:rPr>
      <w:color w:val="954F72" w:themeColor="followedHyperlink"/>
      <w:u w:val="single"/>
    </w:rPr>
  </w:style>
  <w:style w:type="character" w:customStyle="1" w:styleId="markedcontent">
    <w:name w:val="markedcontent"/>
    <w:basedOn w:val="DefaultParagraphFont"/>
    <w:rsid w:val="00EA45FE"/>
  </w:style>
  <w:style w:type="paragraph" w:customStyle="1" w:styleId="Disclaimer">
    <w:name w:val="Disclaimer"/>
    <w:basedOn w:val="Normal"/>
    <w:rsid w:val="00A07A4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rsid w:val="00A07A4F"/>
    <w:pPr>
      <w:spacing w:after="0" w:line="276" w:lineRule="auto"/>
      <w:ind w:left="5103"/>
    </w:pPr>
    <w:rPr>
      <w:rFonts w:ascii="Times New Roman" w:hAnsi="Times New Roman" w:cs="Times New Roman"/>
      <w:sz w:val="28"/>
    </w:rPr>
  </w:style>
  <w:style w:type="paragraph" w:customStyle="1" w:styleId="DateMarking">
    <w:name w:val="DateMarking"/>
    <w:basedOn w:val="Normal"/>
    <w:rsid w:val="00A07A4F"/>
    <w:pPr>
      <w:spacing w:after="0" w:line="276" w:lineRule="auto"/>
      <w:ind w:left="5103"/>
    </w:pPr>
    <w:rPr>
      <w:rFonts w:ascii="Times New Roman" w:hAnsi="Times New Roman" w:cs="Times New Roman"/>
      <w:i/>
      <w:sz w:val="28"/>
    </w:rPr>
  </w:style>
  <w:style w:type="paragraph" w:customStyle="1" w:styleId="ReleasableTo">
    <w:name w:val="ReleasableTo"/>
    <w:basedOn w:val="Normal"/>
    <w:rsid w:val="00A07A4F"/>
    <w:pPr>
      <w:spacing w:after="0" w:line="276" w:lineRule="auto"/>
      <w:ind w:left="5103"/>
    </w:pPr>
    <w:rPr>
      <w:rFonts w:ascii="Times New Roman" w:hAnsi="Times New Roman" w:cs="Times New Roman"/>
      <w:i/>
      <w:sz w:val="28"/>
    </w:rPr>
  </w:style>
  <w:style w:type="character" w:customStyle="1" w:styleId="UnresolvedMention2">
    <w:name w:val="Unresolved Mention2"/>
    <w:basedOn w:val="DefaultParagraphFont"/>
    <w:uiPriority w:val="99"/>
    <w:semiHidden/>
    <w:unhideWhenUsed/>
    <w:rsid w:val="006C14B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9396707">
      <w:bodyDiv w:val="1"/>
      <w:marLeft w:val="0"/>
      <w:marRight w:val="0"/>
      <w:marTop w:val="0"/>
      <w:marBottom w:val="0"/>
      <w:divBdr>
        <w:top w:val="none" w:sz="0" w:space="0" w:color="auto"/>
        <w:left w:val="none" w:sz="0" w:space="0" w:color="auto"/>
        <w:bottom w:val="none" w:sz="0" w:space="0" w:color="auto"/>
        <w:right w:val="none" w:sz="0" w:space="0" w:color="auto"/>
      </w:divBdr>
    </w:div>
    <w:div w:id="911348672">
      <w:bodyDiv w:val="1"/>
      <w:marLeft w:val="0"/>
      <w:marRight w:val="0"/>
      <w:marTop w:val="0"/>
      <w:marBottom w:val="0"/>
      <w:divBdr>
        <w:top w:val="none" w:sz="0" w:space="0" w:color="auto"/>
        <w:left w:val="none" w:sz="0" w:space="0" w:color="auto"/>
        <w:bottom w:val="none" w:sz="0" w:space="0" w:color="auto"/>
        <w:right w:val="none" w:sz="0" w:space="0" w:color="auto"/>
      </w:divBdr>
    </w:div>
    <w:div w:id="1751198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s>
</file>

<file path=word/_rels/footnotes.xml.rels><?xml version="1.0" encoding="UTF-8" standalone="yes"?>
<Relationships xmlns="http://schemas.openxmlformats.org/package/2006/relationships"><Relationship Id="rId3" Type="http://schemas.openxmlformats.org/officeDocument/2006/relationships/hyperlink" Target="https://www.eeas.europa.eu/eeas/strategic-compass-security-and-defence-1_en" TargetMode="External"/><Relationship Id="rId2" Type="http://schemas.openxmlformats.org/officeDocument/2006/relationships/hyperlink" Target="https://www.nato.int/cps/fr/natohq/official_texts_210549.htm" TargetMode="External"/><Relationship Id="rId1" Type="http://schemas.openxmlformats.org/officeDocument/2006/relationships/hyperlink" Target="https://commission.europa.eu/system/files/2023-06/SDG-Report-WEB.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1debc6b-b43f-4dc7-a7b0-dc87a290d3c1">
      <UserInfo>
        <DisplayName>KNIGHT David (CAB-SEFCOVIC)</DisplayName>
        <AccountId>376</AccountId>
        <AccountType/>
      </UserInfo>
      <UserInfo>
        <DisplayName>ASTERIADI Sofia (CAB-SEFCOVIC)</DisplayName>
        <AccountId>368</AccountId>
        <AccountType/>
      </UserInfo>
      <UserInfo>
        <DisplayName>SCHIERENBECK Carsten (CAB-SEFCOVIC)</DisplayName>
        <AccountId>837</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63B1F5D7841074CBE2E963D24797DAD" ma:contentTypeVersion="13" ma:contentTypeDescription="Create a new document." ma:contentTypeScope="" ma:versionID="672e239fd42ec6b14c32b20f9f1fb96c">
  <xsd:schema xmlns:xsd="http://www.w3.org/2001/XMLSchema" xmlns:xs="http://www.w3.org/2001/XMLSchema" xmlns:p="http://schemas.microsoft.com/office/2006/metadata/properties" xmlns:ns2="1bece07b-d03c-423c-b8a0-beed4db0bbc2" xmlns:ns3="e1debc6b-b43f-4dc7-a7b0-dc87a290d3c1" targetNamespace="http://schemas.microsoft.com/office/2006/metadata/properties" ma:root="true" ma:fieldsID="02b87f28d03dc9c29887f8a879e6bea7" ns2:_="" ns3:_="">
    <xsd:import namespace="1bece07b-d03c-423c-b8a0-beed4db0bbc2"/>
    <xsd:import namespace="e1debc6b-b43f-4dc7-a7b0-dc87a290d3c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ece07b-d03c-423c-b8a0-beed4db0bb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debc6b-b43f-4dc7-a7b0-dc87a290d3c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2C220F-626E-4B89-8CBE-2C5FA11B24B6}">
  <ds:schemaRefs>
    <ds:schemaRef ds:uri="http://schemas.microsoft.com/office/2006/metadata/properties"/>
    <ds:schemaRef ds:uri="http://schemas.microsoft.com/office/infopath/2007/PartnerControls"/>
    <ds:schemaRef ds:uri="e1debc6b-b43f-4dc7-a7b0-dc87a290d3c1"/>
  </ds:schemaRefs>
</ds:datastoreItem>
</file>

<file path=customXml/itemProps2.xml><?xml version="1.0" encoding="utf-8"?>
<ds:datastoreItem xmlns:ds="http://schemas.openxmlformats.org/officeDocument/2006/customXml" ds:itemID="{1A20ED91-211C-428C-A76F-2BDE13837155}">
  <ds:schemaRefs>
    <ds:schemaRef ds:uri="http://schemas.microsoft.com/sharepoint/v3/contenttype/forms"/>
  </ds:schemaRefs>
</ds:datastoreItem>
</file>

<file path=customXml/itemProps3.xml><?xml version="1.0" encoding="utf-8"?>
<ds:datastoreItem xmlns:ds="http://schemas.openxmlformats.org/officeDocument/2006/customXml" ds:itemID="{A400BD45-B598-4215-A72B-C4F9FB00A8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ece07b-d03c-423c-b8a0-beed4db0bbc2"/>
    <ds:schemaRef ds:uri="e1debc6b-b43f-4dc7-a7b0-dc87a290d3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15D8E6-C23A-4722-9E70-2CAA122340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8775</Words>
  <Characters>49230</Characters>
  <Application>Microsoft Office Word</Application>
  <DocSecurity>0</DocSecurity>
  <Lines>683</Lines>
  <Paragraphs>120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57885</CharactersWithSpaces>
  <SharedDoc>false</SharedDoc>
  <HLinks>
    <vt:vector size="18" baseType="variant">
      <vt:variant>
        <vt:i4>6553673</vt:i4>
      </vt:variant>
      <vt:variant>
        <vt:i4>6</vt:i4>
      </vt:variant>
      <vt:variant>
        <vt:i4>0</vt:i4>
      </vt:variant>
      <vt:variant>
        <vt:i4>5</vt:i4>
      </vt:variant>
      <vt:variant>
        <vt:lpwstr>https://www.eeas.europa.eu/eeas/strategic-compass-security-and-defence-1_en</vt:lpwstr>
      </vt:variant>
      <vt:variant>
        <vt:lpwstr/>
      </vt:variant>
      <vt:variant>
        <vt:i4>6029376</vt:i4>
      </vt:variant>
      <vt:variant>
        <vt:i4>3</vt:i4>
      </vt:variant>
      <vt:variant>
        <vt:i4>0</vt:i4>
      </vt:variant>
      <vt:variant>
        <vt:i4>5</vt:i4>
      </vt:variant>
      <vt:variant>
        <vt:lpwstr>https://www.nato.int/cps/en/natohq/official_texts_210549.htm</vt:lpwstr>
      </vt:variant>
      <vt:variant>
        <vt:lpwstr/>
      </vt:variant>
      <vt:variant>
        <vt:i4>1704000</vt:i4>
      </vt:variant>
      <vt:variant>
        <vt:i4>0</vt:i4>
      </vt:variant>
      <vt:variant>
        <vt:i4>0</vt:i4>
      </vt:variant>
      <vt:variant>
        <vt:i4>5</vt:i4>
      </vt:variant>
      <vt:variant>
        <vt:lpwstr>https://commission.europa.eu/system/files/2023-06/SDG-Report-WEB.pdf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2023-10-16T15:06:00Z</dcterms:created>
  <dcterms:modified xsi:type="dcterms:W3CDTF">2023-11-03T17:16:00Z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2023-10-13T10:01:36Z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cd735124-eb21-4c43-8fae-4dd9f370c617</vt:lpwstr>
  </property>
  <property fmtid="{D5CDD505-2E9C-101B-9397-08002B2CF9AE}" pid="8" name="MSIP_Label_6bd9ddd1-4d20-43f6-abfa-fc3c07406f94_ContentBits">
    <vt:lpwstr>0</vt:lpwstr>
  </property>
  <property fmtid="{D5CDD505-2E9C-101B-9397-08002B2CF9AE}" pid="9" name="ContentTypeId">
    <vt:lpwstr>0x010100263B1F5D7841074CBE2E963D24797DAD</vt:lpwstr>
  </property>
  <property fmtid="{D5CDD505-2E9C-101B-9397-08002B2CF9AE}" pid="10" name="Level of sensitivity">
    <vt:lpwstr>Standard treatment</vt:lpwstr>
  </property>
  <property fmtid="{D5CDD505-2E9C-101B-9397-08002B2CF9AE}" pid="11" name="Last edited using">
    <vt:lpwstr>LW 9.0, Build 20230317</vt:lpwstr>
  </property>
  <property fmtid="{D5CDD505-2E9C-101B-9397-08002B2CF9AE}" pid="12" name="Part">
    <vt:lpwstr>1</vt:lpwstr>
  </property>
  <property fmtid="{D5CDD505-2E9C-101B-9397-08002B2CF9AE}" pid="13" name="Total parts">
    <vt:lpwstr>1</vt:lpwstr>
  </property>
  <property fmtid="{D5CDD505-2E9C-101B-9397-08002B2CF9AE}" pid="14" name="DocStatus">
    <vt:lpwstr>Green</vt:lpwstr>
  </property>
  <property fmtid="{D5CDD505-2E9C-101B-9397-08002B2CF9AE}" pid="15" name="CPTemplateID">
    <vt:lpwstr>CP-014</vt:lpwstr>
  </property>
</Properties>
</file>