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34984" w14:textId="1EE54C88" w:rsidR="000576D9" w:rsidRPr="008E2E92" w:rsidRDefault="00D057D3" w:rsidP="00D057D3">
      <w:pPr>
        <w:pStyle w:val="Pagedecouverture"/>
        <w:rPr>
          <w:noProof/>
        </w:rPr>
      </w:pPr>
      <w:bookmarkStart w:id="0" w:name="LW_BM_COVERPAGE"/>
      <w:r>
        <w:rPr>
          <w:noProof/>
        </w:rPr>
        <w:pict w14:anchorId="4C458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2DE17AC-CA9F-4173-B38F-9B09031DA388" style="width:455.25pt;height:351.75pt">
            <v:imagedata r:id="rId11" o:title=""/>
          </v:shape>
        </w:pict>
      </w:r>
    </w:p>
    <w:bookmarkEnd w:id="0"/>
    <w:p w14:paraId="24487EEF" w14:textId="77777777" w:rsidR="000576D9" w:rsidRPr="008E2E92" w:rsidRDefault="000576D9" w:rsidP="000576D9">
      <w:pPr>
        <w:rPr>
          <w:noProof/>
        </w:rPr>
        <w:sectPr w:rsidR="000576D9" w:rsidRPr="008E2E92" w:rsidSect="00D057D3">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code="9"/>
          <w:pgMar w:top="1134" w:right="1417" w:bottom="1134" w:left="1417" w:header="709" w:footer="709" w:gutter="0"/>
          <w:pgNumType w:start="0"/>
          <w:cols w:space="720"/>
          <w:docGrid w:linePitch="326"/>
        </w:sectPr>
      </w:pPr>
    </w:p>
    <w:p w14:paraId="3B2EFD57" w14:textId="0F887C5D" w:rsidR="000F59DF" w:rsidRPr="00A11FCD" w:rsidRDefault="00EC5C6C" w:rsidP="000F59DF">
      <w:pPr>
        <w:pStyle w:val="Heading1"/>
        <w:spacing w:before="360"/>
        <w:rPr>
          <w:rStyle w:val="normaltextrun"/>
          <w:noProof/>
          <w:szCs w:val="24"/>
        </w:rPr>
      </w:pPr>
      <w:bookmarkStart w:id="1" w:name="_GoBack"/>
      <w:bookmarkEnd w:id="1"/>
      <w:r>
        <w:rPr>
          <w:rStyle w:val="normaltextrun"/>
          <w:noProof/>
        </w:rPr>
        <w:lastRenderedPageBreak/>
        <w:t xml:space="preserve">INTRODUCTION </w:t>
      </w:r>
    </w:p>
    <w:p w14:paraId="14B9D657" w14:textId="5B8B83D6" w:rsidR="000F59DF" w:rsidRPr="008E2E92" w:rsidRDefault="000F59DF" w:rsidP="000F59DF">
      <w:pPr>
        <w:pStyle w:val="ListBullet1"/>
        <w:numPr>
          <w:ilvl w:val="0"/>
          <w:numId w:val="0"/>
        </w:numPr>
        <w:spacing w:after="120"/>
        <w:rPr>
          <w:noProof/>
          <w:szCs w:val="24"/>
        </w:rPr>
      </w:pPr>
      <w:bookmarkStart w:id="2" w:name="_Hlk145087237"/>
      <w:r>
        <w:rPr>
          <w:rStyle w:val="normaltextrun"/>
          <w:b/>
          <w:noProof/>
        </w:rPr>
        <w:t xml:space="preserve">Une disponibilité continue des médicaments est essentielle: les pénuries mettent en péril la santé et le bien-être des citoyens. </w:t>
      </w:r>
      <w:r>
        <w:rPr>
          <w:noProof/>
        </w:rPr>
        <w:t>La pandémie de COVID-</w:t>
      </w:r>
      <w:r w:rsidRPr="00093148">
        <w:rPr>
          <w:noProof/>
        </w:rPr>
        <w:t>19</w:t>
      </w:r>
      <w:r>
        <w:rPr>
          <w:noProof/>
        </w:rPr>
        <w:t xml:space="preserve"> et l’agression militaire russe contre l’Ukraine ont mis en lumière les dépendances des chaînes d’approvisionnement européennes ainsi que le risque d’instrumentalisation de cette dépendance économique. </w:t>
      </w:r>
      <w:bookmarkStart w:id="3" w:name="_Toc144287801"/>
      <w:bookmarkStart w:id="4" w:name="_Toc144438803"/>
      <w:bookmarkEnd w:id="3"/>
      <w:r>
        <w:rPr>
          <w:noProof/>
        </w:rPr>
        <w:t>Ces évènements ont également rendu plus visible le risque de pénuries de médicaments qui pèse sur l’ensemble</w:t>
      </w:r>
      <w:bookmarkEnd w:id="4"/>
      <w:r>
        <w:rPr>
          <w:noProof/>
        </w:rPr>
        <w:t xml:space="preserve"> des États membres</w:t>
      </w:r>
      <w:r>
        <w:rPr>
          <w:rStyle w:val="FootnoteReference"/>
          <w:noProof/>
        </w:rPr>
        <w:footnoteReference w:id="2"/>
      </w:r>
      <w:r>
        <w:rPr>
          <w:noProof/>
        </w:rPr>
        <w:t xml:space="preserve"> et concerne tant les médicaments princeps que les génériques</w:t>
      </w:r>
      <w:r>
        <w:rPr>
          <w:rStyle w:val="FootnoteReference"/>
          <w:noProof/>
          <w:szCs w:val="24"/>
        </w:rPr>
        <w:footnoteReference w:id="3"/>
      </w:r>
      <w:r>
        <w:rPr>
          <w:noProof/>
        </w:rPr>
        <w:t>.</w:t>
      </w:r>
      <w:r>
        <w:rPr>
          <w:rStyle w:val="normaltextrun"/>
          <w:noProof/>
        </w:rPr>
        <w:t xml:space="preserve"> </w:t>
      </w:r>
      <w:r>
        <w:rPr>
          <w:noProof/>
        </w:rPr>
        <w:t xml:space="preserve">Durant l’hiver </w:t>
      </w:r>
      <w:r w:rsidRPr="00093148">
        <w:rPr>
          <w:noProof/>
        </w:rPr>
        <w:t>2022</w:t>
      </w:r>
      <w:r>
        <w:rPr>
          <w:noProof/>
        </w:rPr>
        <w:t>-</w:t>
      </w:r>
      <w:r w:rsidRPr="00093148">
        <w:rPr>
          <w:noProof/>
        </w:rPr>
        <w:t>2023</w:t>
      </w:r>
      <w:r>
        <w:rPr>
          <w:noProof/>
        </w:rPr>
        <w:t xml:space="preserve">, des pénuries de médicaments essentiels, tels que les antibiotiques, ont suscité des préoccupations chez les citoyens et les dirigeants politiques. </w:t>
      </w:r>
    </w:p>
    <w:p w14:paraId="1931D3F1" w14:textId="58EFD8EC" w:rsidR="00BD1CEB" w:rsidRPr="008E2E92" w:rsidRDefault="00BD1CEB" w:rsidP="00BD1CEB">
      <w:pPr>
        <w:spacing w:after="120"/>
        <w:rPr>
          <w:noProof/>
        </w:rPr>
      </w:pPr>
      <w:r>
        <w:rPr>
          <w:b/>
          <w:noProof/>
        </w:rPr>
        <w:t xml:space="preserve">Une nouvelle approche est nécessaire pour mieux lutter contre les pénuries de médicaments </w:t>
      </w:r>
      <w:r>
        <w:rPr>
          <w:rStyle w:val="normaltextrun"/>
          <w:b/>
          <w:noProof/>
        </w:rPr>
        <w:t>au sein de l’union européenne de la santé</w:t>
      </w:r>
      <w:r>
        <w:rPr>
          <w:b/>
          <w:noProof/>
        </w:rPr>
        <w:t xml:space="preserve">. </w:t>
      </w:r>
      <w:r>
        <w:rPr>
          <w:noProof/>
        </w:rPr>
        <w:t>C’est ce qu’a souligné le Conseil européen de juin </w:t>
      </w:r>
      <w:r w:rsidRPr="00093148">
        <w:rPr>
          <w:noProof/>
        </w:rPr>
        <w:t>2023</w:t>
      </w:r>
      <w:r>
        <w:rPr>
          <w:noProof/>
        </w:rPr>
        <w:t xml:space="preserve"> dans son appel à adopter des mesures urgentes pour assurer une production et une disponibilité suffisantes des médicaments et composants les plus critiques</w:t>
      </w:r>
      <w:r>
        <w:rPr>
          <w:noProof/>
          <w:vertAlign w:val="superscript"/>
        </w:rPr>
        <w:footnoteReference w:id="4"/>
      </w:r>
      <w:r>
        <w:rPr>
          <w:noProof/>
        </w:rPr>
        <w:t>. Cet appel s’inscrit dans un programme stratégique plus vaste, confirmé par les dirigeants de l’UE lors de leur réunion à Grenade en octobre </w:t>
      </w:r>
      <w:r w:rsidRPr="00093148">
        <w:rPr>
          <w:noProof/>
        </w:rPr>
        <w:t>2023</w:t>
      </w:r>
      <w:r>
        <w:rPr>
          <w:noProof/>
        </w:rPr>
        <w:t>, qui vise à instaurer une approche commune pour stimuler la résilience et la compétitivité durable de l’Union en encourageant la diversification et la gestion des risques dans un esprit d’autonomie stratégique ouverte</w:t>
      </w:r>
      <w:r>
        <w:rPr>
          <w:noProof/>
          <w:vertAlign w:val="superscript"/>
        </w:rPr>
        <w:footnoteReference w:id="5"/>
      </w:r>
      <w:r>
        <w:rPr>
          <w:noProof/>
        </w:rPr>
        <w:t>.</w:t>
      </w:r>
    </w:p>
    <w:p w14:paraId="6702D5F2" w14:textId="18D9D6A5" w:rsidR="000F59DF" w:rsidRPr="00224FC9" w:rsidRDefault="000F59DF" w:rsidP="000F59DF">
      <w:pPr>
        <w:spacing w:after="120"/>
        <w:rPr>
          <w:noProof/>
        </w:rPr>
      </w:pPr>
      <w:r>
        <w:rPr>
          <w:b/>
          <w:noProof/>
          <w:color w:val="000000" w:themeColor="text1"/>
        </w:rPr>
        <w:t>L’Union dispose d’un secteur pharmaceutique robuste et concurrentiel, qui se démarque comme l’un des principaux acteurs mondiaux de la production de médicaments</w:t>
      </w:r>
      <w:r>
        <w:rPr>
          <w:noProof/>
          <w:color w:val="000000" w:themeColor="text1"/>
        </w:rPr>
        <w:t xml:space="preserve"> et un contributeur majeur de l’économie de l’Union, employant directement quelque </w:t>
      </w:r>
      <w:r w:rsidRPr="00093148">
        <w:rPr>
          <w:noProof/>
          <w:color w:val="000000" w:themeColor="text1"/>
        </w:rPr>
        <w:t>800</w:t>
      </w:r>
      <w:r>
        <w:rPr>
          <w:noProof/>
          <w:color w:val="000000" w:themeColor="text1"/>
        </w:rPr>
        <w:t> </w:t>
      </w:r>
      <w:r w:rsidRPr="00093148">
        <w:rPr>
          <w:noProof/>
          <w:color w:val="000000" w:themeColor="text1"/>
        </w:rPr>
        <w:t>000</w:t>
      </w:r>
      <w:r>
        <w:rPr>
          <w:noProof/>
          <w:color w:val="000000" w:themeColor="text1"/>
        </w:rPr>
        <w:t xml:space="preserve"> personnes. Ce secteur est particulièrement réputé dans le domaine de la recherche et du développement de médicaments innovants. </w:t>
      </w:r>
      <w:r>
        <w:rPr>
          <w:noProof/>
        </w:rPr>
        <w:t xml:space="preserve">Néanmoins, le paysage de la fabrication pharmaceutique a évolué ces dernières années. </w:t>
      </w:r>
      <w:bookmarkStart w:id="5" w:name="_Hlk148432888"/>
      <w:r>
        <w:rPr>
          <w:noProof/>
        </w:rPr>
        <w:t>La production d’intrants pour les médicaments génériques a été graduellement délocalisée hors d’Europe, principalement vers la Chine et l’Inde. Dans l’Union, la production pharmaceutique s’est concentrée sur des produits plus complexes nécessitant des infrastructures de haute technologie, une main-d’œuvre qualifiée et des procédés sophistiqués</w:t>
      </w:r>
      <w:r>
        <w:rPr>
          <w:rStyle w:val="FootnoteReference"/>
          <w:noProof/>
        </w:rPr>
        <w:footnoteReference w:id="6"/>
      </w:r>
      <w:r>
        <w:rPr>
          <w:noProof/>
        </w:rPr>
        <w:t xml:space="preserve">. Dans le même temps, presque </w:t>
      </w:r>
      <w:r w:rsidRPr="00093148">
        <w:rPr>
          <w:noProof/>
        </w:rPr>
        <w:t>70</w:t>
      </w:r>
      <w:r>
        <w:rPr>
          <w:noProof/>
        </w:rPr>
        <w:t> % des médicaments délivrés en Europe sont des génériques.</w:t>
      </w:r>
    </w:p>
    <w:bookmarkEnd w:id="5"/>
    <w:p w14:paraId="39A1F9F0" w14:textId="7C95694D" w:rsidR="00C153A5" w:rsidRDefault="000F59DF" w:rsidP="006361F1">
      <w:pPr>
        <w:rPr>
          <w:noProof/>
          <w:color w:val="000000" w:themeColor="text1"/>
        </w:rPr>
      </w:pPr>
      <w:r>
        <w:rPr>
          <w:b/>
          <w:noProof/>
        </w:rPr>
        <w:t>Pour que cette base solide se traduise par un approvisionnement en médicaments sûr et adapté aux besoins des patients, il faut remédier aux vulnérabilités qui fragilisent les chaînes d’approvisionnement</w:t>
      </w:r>
      <w:r>
        <w:rPr>
          <w:noProof/>
        </w:rPr>
        <w:t>.</w:t>
      </w:r>
      <w:r>
        <w:rPr>
          <w:noProof/>
          <w:color w:val="000000" w:themeColor="text1"/>
        </w:rPr>
        <w:t xml:space="preserve"> La délocalisation de la fabrication d’ingrédients pharmaceutiques actifs (IPA) vers un nombre limité de sites situés en dehors de l’Union a renforcé les inquiétudes quant à la sécurité de l’approvisionnement dans l’UE. Remédier aux vulnérabilités des chaînes d’approvisionnement en médicaments critiques constitue une étape clé pour accroître la résilience des systèmes de santé de l’Union. Outre les pénuries de main-d’œuvre susceptibles de nuire aux efforts d’augmentation de la production locale, les évolutions démographiques ont également une incidence sur l’accès à certains médicaments critiques car elles accroissent la demande de médicaments adaptés aux maladies liées à l’âge et en soins gériatriques et influencent ainsi les priorités en matière de recherche et de développement pharmaceutiques.   </w:t>
      </w:r>
    </w:p>
    <w:p w14:paraId="75B277E5" w14:textId="77777777" w:rsidR="004E3D9F" w:rsidRPr="008E2E92" w:rsidRDefault="004E3D9F" w:rsidP="006361F1">
      <w:pPr>
        <w:rPr>
          <w:noProof/>
        </w:rPr>
      </w:pPr>
    </w:p>
    <w:p w14:paraId="21BD710A" w14:textId="1669EF20" w:rsidR="009F5891" w:rsidRPr="008E2E92" w:rsidRDefault="000F59DF" w:rsidP="000F59DF">
      <w:pPr>
        <w:spacing w:after="120"/>
        <w:rPr>
          <w:noProof/>
        </w:rPr>
      </w:pPr>
      <w:r>
        <w:rPr>
          <w:b/>
          <w:noProof/>
        </w:rPr>
        <w:t>Le marché des médicaments de l’UE reste fragmenté, malgré l’existence du marché unique européen et son statut de deuxième plus grand marché de produits pharmaceutiques au monde.</w:t>
      </w:r>
      <w:r>
        <w:rPr>
          <w:noProof/>
        </w:rPr>
        <w:t xml:space="preserve"> L’organisation des systèmes de soins de santé relève de la compétence des États membres, ce qui donne lieu à des décisions plus adaptées aux patients mais également à des divergences considérables en matière de tarification et d’accès aux médicaments. L’amélioration et le renforcement de la coordination entre les autorités nationales rendraient possible un approvisionnement en médicaments plus efficient et plus efficace dans l’ensemble de l’Union. </w:t>
      </w:r>
    </w:p>
    <w:p w14:paraId="2E0493A4" w14:textId="148C457A" w:rsidR="000F59DF" w:rsidRDefault="000F59DF" w:rsidP="000F59DF">
      <w:pPr>
        <w:spacing w:after="120"/>
        <w:rPr>
          <w:noProof/>
        </w:rPr>
      </w:pPr>
      <w:r>
        <w:rPr>
          <w:b/>
          <w:noProof/>
        </w:rPr>
        <w:t>La disponibilité continue de médicaments sûrs, efficaces et abordables pour les patients est l’une des clés de voûte de l’union européenne de la santé actuellement en construction</w:t>
      </w:r>
      <w:r>
        <w:rPr>
          <w:rStyle w:val="FootnoteReference"/>
          <w:b/>
          <w:bCs/>
          <w:noProof/>
        </w:rPr>
        <w:footnoteReference w:id="7"/>
      </w:r>
      <w:r>
        <w:rPr>
          <w:noProof/>
        </w:rPr>
        <w:t xml:space="preserve">. Le mandat renforcé de l’Agence européenne des médicaments (EMA) a déjà permis de consolider la gestion coordonnée et collaborative des pénuries critiques à l’échelle de l’Union. L’Autorité de préparation et de réaction en cas d’urgence sanitaire (HERA) de la Commission apporte un soutien en matière de prospective et de préparation aux situations d’urgence afin de garantir la disponibilité de contre-mesures médicales. Le mécanisme de protection civile de l’Union fournit des réserves de contre-mesures médicales critiques pouvant être rapidement déployées lorsque les États membres ne sont pas en mesure de faire face à une urgence sanitaire. Le réexamen de l’HERA à venir étudiera davantage comment renforcer la capacité de l’HERA à agir dans ce domaine, afin d’accroître la sécurité de l’approvisionnement et de garantir la disponibilité constante des médicaments pour les systèmes de santé et les patients dans l’Union. </w:t>
      </w:r>
    </w:p>
    <w:p w14:paraId="1F0EDC8A" w14:textId="26A680DA" w:rsidR="004B061F" w:rsidRDefault="004B061F" w:rsidP="004B061F">
      <w:pPr>
        <w:spacing w:after="120"/>
        <w:rPr>
          <w:noProof/>
          <w:szCs w:val="24"/>
        </w:rPr>
      </w:pPr>
      <w:r>
        <w:rPr>
          <w:b/>
          <w:noProof/>
        </w:rPr>
        <w:t>La réforme de la législation pharmaceutique de l’UE</w:t>
      </w:r>
      <w:r>
        <w:rPr>
          <w:noProof/>
          <w:vertAlign w:val="superscript"/>
        </w:rPr>
        <w:footnoteReference w:id="8"/>
      </w:r>
      <w:r>
        <w:rPr>
          <w:noProof/>
        </w:rPr>
        <w:t xml:space="preserve"> est essentielle pour faire progresser les travaux sur les pénuries critiques et la sécurité de l’approvisionnement, ainsi que pour bâtir un écosystème pharmaceutique compétitif, à l’épreuve du temps et doté d’un marché unique des médicaments profitant à tous les Européens. </w:t>
      </w:r>
      <w:r>
        <w:rPr>
          <w:rStyle w:val="normaltextrun"/>
          <w:b/>
          <w:noProof/>
          <w:color w:val="000000" w:themeColor="text1"/>
        </w:rPr>
        <w:t>La Commission, à l’instar du Conseil européen</w:t>
      </w:r>
      <w:r>
        <w:rPr>
          <w:rStyle w:val="FootnoteReference"/>
          <w:b/>
          <w:bCs/>
          <w:noProof/>
          <w:color w:val="000000" w:themeColor="text1"/>
        </w:rPr>
        <w:footnoteReference w:id="9"/>
      </w:r>
      <w:r>
        <w:rPr>
          <w:rStyle w:val="normaltextrun"/>
          <w:b/>
          <w:noProof/>
          <w:color w:val="000000" w:themeColor="text1"/>
        </w:rPr>
        <w:t xml:space="preserve">, invite donc le Parlement européen et le Conseil à garantir l’adoption rapide de cette réforme. </w:t>
      </w:r>
    </w:p>
    <w:p w14:paraId="22971E77" w14:textId="39BC2B8D" w:rsidR="000F59DF" w:rsidRPr="008E2E92" w:rsidRDefault="000F59DF" w:rsidP="00A11FCD">
      <w:pPr>
        <w:spacing w:after="120"/>
        <w:rPr>
          <w:noProof/>
        </w:rPr>
      </w:pPr>
      <w:r>
        <w:rPr>
          <w:noProof/>
        </w:rPr>
        <w:t xml:space="preserve">La présente communication s’appuie sur les travaux en cours et définit les mesures que l’UE peut prendre pour améliorer sensiblement la disponibilité des médicaments pour les patients dans l’ensemble de l’Union, tant pour l’hiver à venir que de manière plus structurelle. Ces travaux porteront à la fois sur les médicaments génériques et sur les médicaments innovants, ainsi que sur leurs ingrédients. La communication dévoile un large éventail de mesures à court et à long terme visant à remédier aux pénuries de médicaments et à renforcer la sécurité de l’approvisionnement en médicaments au sein de l’Union, en garantissant une certaine prévisibilité et une approche globale et coordonnée avec les parties prenantes tant à l’échelle de l’Union qu’à l’échelle mondiale. Elle a pour objectifs principaux de prévenir ou d’atténuer les </w:t>
      </w:r>
      <w:r>
        <w:rPr>
          <w:b/>
          <w:i/>
          <w:noProof/>
        </w:rPr>
        <w:t>pénuries critiques</w:t>
      </w:r>
      <w:r>
        <w:rPr>
          <w:noProof/>
        </w:rPr>
        <w:t xml:space="preserve"> dans l’Union et de veiller à ce qu’une attention particulière soit accordée aux </w:t>
      </w:r>
      <w:r>
        <w:rPr>
          <w:b/>
          <w:i/>
          <w:noProof/>
        </w:rPr>
        <w:t>médicaments les plus critiques</w:t>
      </w:r>
      <w:r>
        <w:rPr>
          <w:noProof/>
        </w:rPr>
        <w:t xml:space="preserve"> dont il convient de sécuriser à tout moment l’approvisionnement dans l’Union, en temps normal comme en période de crise. </w:t>
      </w:r>
      <w:bookmarkEnd w:id="2"/>
    </w:p>
    <w:p w14:paraId="1E0BA003" w14:textId="77777777" w:rsidR="000F59DF" w:rsidRDefault="000F59DF" w:rsidP="000F59DF">
      <w:pPr>
        <w:spacing w:after="0"/>
        <w:rPr>
          <w:bCs/>
          <w:noProof/>
        </w:rPr>
      </w:pPr>
    </w:p>
    <w:p w14:paraId="109EA6D1" w14:textId="179A4249" w:rsidR="00AC02AB" w:rsidRDefault="002718D3" w:rsidP="00AC02AB">
      <w:pPr>
        <w:spacing w:before="360" w:after="120"/>
        <w:ind w:left="-993"/>
        <w:rPr>
          <w:rStyle w:val="normaltextrun"/>
          <w:b/>
          <w:bCs/>
          <w:i/>
          <w:noProof/>
        </w:rPr>
      </w:pPr>
      <w:r>
        <w:rPr>
          <w:noProof/>
          <w:lang w:val="en-GB" w:eastAsia="en-GB"/>
        </w:rPr>
        <w:drawing>
          <wp:inline distT="0" distB="0" distL="0" distR="0" wp14:anchorId="13ED9FB9" wp14:editId="12E46696">
            <wp:extent cx="6151418" cy="4348392"/>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9"/>
                        </a:ext>
                      </a:extLst>
                    </a:blip>
                    <a:stretch>
                      <a:fillRect/>
                    </a:stretch>
                  </pic:blipFill>
                  <pic:spPr>
                    <a:xfrm>
                      <a:off x="0" y="0"/>
                      <a:ext cx="6156257" cy="4351812"/>
                    </a:xfrm>
                    <a:prstGeom prst="rect">
                      <a:avLst/>
                    </a:prstGeom>
                  </pic:spPr>
                </pic:pic>
              </a:graphicData>
            </a:graphic>
          </wp:inline>
        </w:drawing>
      </w:r>
    </w:p>
    <w:p w14:paraId="16F0BF21" w14:textId="42855870" w:rsidR="000F59DF" w:rsidRPr="008E2E92" w:rsidRDefault="000F59DF" w:rsidP="00AC02AB">
      <w:pPr>
        <w:spacing w:before="360" w:after="120"/>
        <w:ind w:left="-993"/>
        <w:rPr>
          <w:rStyle w:val="eop"/>
          <w:b/>
          <w:bCs/>
          <w:noProof/>
        </w:rPr>
      </w:pPr>
      <w:r>
        <w:rPr>
          <w:rStyle w:val="normaltextrun"/>
          <w:b/>
          <w:i/>
          <w:noProof/>
        </w:rPr>
        <w:t>Le système européen actuel: soutenir les efforts déployés par les États membres pour remédier aux pénuries</w:t>
      </w:r>
      <w:r>
        <w:rPr>
          <w:rStyle w:val="eop"/>
          <w:b/>
          <w:noProof/>
        </w:rPr>
        <w:t xml:space="preserve"> </w:t>
      </w:r>
    </w:p>
    <w:p w14:paraId="2CE116C7" w14:textId="787B43CA" w:rsidR="000F59DF" w:rsidRPr="008E2E92" w:rsidRDefault="000F59DF" w:rsidP="000F59DF">
      <w:pPr>
        <w:pStyle w:val="paragraph"/>
        <w:spacing w:before="0" w:beforeAutospacing="0" w:after="120" w:afterAutospacing="0"/>
        <w:jc w:val="both"/>
        <w:textAlignment w:val="baseline"/>
        <w:rPr>
          <w:rStyle w:val="eop"/>
          <w:noProof/>
        </w:rPr>
      </w:pPr>
      <w:r>
        <w:rPr>
          <w:rStyle w:val="normaltextrun"/>
          <w:noProof/>
        </w:rPr>
        <w:t xml:space="preserve">Les États membres sont chargés de surveiller l’approvisionnement en médicaments sur leur territoire, de sorte que la majorité des pénuries sont gérées et résolues à l’échelle nationale. </w:t>
      </w:r>
      <w:r>
        <w:rPr>
          <w:noProof/>
        </w:rPr>
        <w:t>Néanmoins, l’UE a travaillé à la mise en place d’instruments conçus pour remédier aux pénuries critiques nécessitant une action coordonnée au niveau de l’Union, ainsi que pour soutenir la sécurité de l’approvisionnement en médicaments critiques de manière plus structurelle.</w:t>
      </w:r>
      <w:r>
        <w:rPr>
          <w:rStyle w:val="eop"/>
          <w:noProof/>
        </w:rPr>
        <w:t xml:space="preserve"> </w:t>
      </w:r>
    </w:p>
    <w:p w14:paraId="49960F61" w14:textId="1D722C4A" w:rsidR="00407AE0" w:rsidRDefault="000F59DF" w:rsidP="00A11FCD">
      <w:pPr>
        <w:pStyle w:val="paragraph"/>
        <w:numPr>
          <w:ilvl w:val="0"/>
          <w:numId w:val="33"/>
        </w:numPr>
        <w:spacing w:before="0" w:beforeAutospacing="0" w:after="120" w:afterAutospacing="0"/>
        <w:ind w:left="284" w:hanging="284"/>
        <w:jc w:val="both"/>
        <w:textAlignment w:val="baseline"/>
        <w:rPr>
          <w:rStyle w:val="normaltextrun"/>
          <w:noProof/>
        </w:rPr>
      </w:pPr>
      <w:r>
        <w:rPr>
          <w:b/>
          <w:i/>
          <w:noProof/>
        </w:rPr>
        <w:t>Obligations des fournisseurs</w:t>
      </w:r>
      <w:r>
        <w:rPr>
          <w:i/>
          <w:noProof/>
        </w:rPr>
        <w:t xml:space="preserve">: </w:t>
      </w:r>
      <w:r>
        <w:rPr>
          <w:rStyle w:val="normaltextrun"/>
          <w:noProof/>
        </w:rPr>
        <w:t>les entreprises ont l’obligation légale d’assurer «un approvisionnement approprié et continu» de manière à couvrir les besoins des patients de l’État membre concerné</w:t>
      </w:r>
      <w:r>
        <w:rPr>
          <w:rStyle w:val="FootnoteReference"/>
          <w:noProof/>
        </w:rPr>
        <w:footnoteReference w:id="10"/>
      </w:r>
      <w:r>
        <w:rPr>
          <w:rStyle w:val="normaltextrun"/>
          <w:noProof/>
        </w:rPr>
        <w:t xml:space="preserve">. </w:t>
      </w:r>
      <w:r>
        <w:rPr>
          <w:noProof/>
        </w:rPr>
        <w:t xml:space="preserve">En outre, les entreprises doivent notifier toute interruption de l’approvisionnement à l’autorité compétente, </w:t>
      </w:r>
      <w:r>
        <w:rPr>
          <w:rStyle w:val="normaltextrun"/>
          <w:noProof/>
        </w:rPr>
        <w:t>ce qui n’a pas empêché la survenue de pénuries dues à des évènements imprévus échappant au contrôle des entreprises (tels que des problèmes de fabrication ou des catastrophes naturelles) ou à des décisions commerciales (motivées notamment par un manque de rentabilité).</w:t>
      </w:r>
    </w:p>
    <w:p w14:paraId="20160E6D" w14:textId="02F05769" w:rsidR="000F59DF" w:rsidRPr="008E2E92" w:rsidRDefault="000F59DF" w:rsidP="00A116B4">
      <w:pPr>
        <w:pStyle w:val="paragraph"/>
        <w:numPr>
          <w:ilvl w:val="0"/>
          <w:numId w:val="33"/>
        </w:numPr>
        <w:spacing w:before="0" w:beforeAutospacing="0" w:after="120" w:afterAutospacing="0"/>
        <w:ind w:left="284" w:hanging="284"/>
        <w:jc w:val="both"/>
        <w:textAlignment w:val="baseline"/>
        <w:rPr>
          <w:noProof/>
        </w:rPr>
      </w:pPr>
      <w:r>
        <w:rPr>
          <w:b/>
          <w:i/>
          <w:noProof/>
        </w:rPr>
        <w:t>Coordination à l’échelle de l’UE</w:t>
      </w:r>
      <w:r>
        <w:rPr>
          <w:i/>
          <w:noProof/>
        </w:rPr>
        <w:t xml:space="preserve">: </w:t>
      </w:r>
      <w:r>
        <w:rPr>
          <w:noProof/>
        </w:rPr>
        <w:t>ces dernières années, l’UE a amélioré la coordination entre les États membres afin de mieux répondre aux pénuries critiques de façon opportune et cohérente.</w:t>
      </w:r>
      <w:r>
        <w:rPr>
          <w:i/>
          <w:noProof/>
        </w:rPr>
        <w:t xml:space="preserve"> </w:t>
      </w:r>
      <w:r>
        <w:rPr>
          <w:noProof/>
        </w:rPr>
        <w:t>Dans le cadre de l’union européenne de la santé, le mandat de l’</w:t>
      </w:r>
      <w:r>
        <w:rPr>
          <w:b/>
          <w:i/>
          <w:noProof/>
        </w:rPr>
        <w:t>EMA</w:t>
      </w:r>
      <w:r>
        <w:rPr>
          <w:noProof/>
        </w:rPr>
        <w:t xml:space="preserve"> a été renforcé de manière à permettre à l’Autorité de surveiller et d’atténuer plus efficacement les pénuries en coordonnant, en coopération avec les États membres, la gestion des pénuries critiques à l’échelle de l’UE ainsi que la réaction aux urgences de santé publique spécifiques</w:t>
      </w:r>
      <w:r>
        <w:rPr>
          <w:rStyle w:val="FootnoteReference"/>
          <w:noProof/>
        </w:rPr>
        <w:footnoteReference w:id="11"/>
      </w:r>
      <w:r>
        <w:rPr>
          <w:noProof/>
        </w:rPr>
        <w:t>.</w:t>
      </w:r>
      <w:r>
        <w:rPr>
          <w:rStyle w:val="normaltextrun"/>
          <w:noProof/>
        </w:rPr>
        <w:t xml:space="preserve"> La valeur ajoutée de cette coopération renforcée a été démontrée dans des cas récents de pénuries concernant un médicament anticoagulant et un médicament contre la perte de vision. </w:t>
      </w:r>
      <w:r>
        <w:rPr>
          <w:noProof/>
        </w:rPr>
        <w:t>Des politiques communes et des orientations sur la prévention des pénuries, leur gestion et la communication au public à ce sujet ont également été élaborées</w:t>
      </w:r>
      <w:r>
        <w:rPr>
          <w:rStyle w:val="FootnoteReference"/>
          <w:noProof/>
        </w:rPr>
        <w:footnoteReference w:id="12"/>
      </w:r>
      <w:r>
        <w:rPr>
          <w:noProof/>
        </w:rPr>
        <w:t>, notamment dans le but d’éviter que les particuliers constituent des réserves.</w:t>
      </w:r>
      <w:r>
        <w:rPr>
          <w:rStyle w:val="normaltextrun"/>
          <w:noProof/>
        </w:rPr>
        <w:t xml:space="preserve"> </w:t>
      </w:r>
      <w:r>
        <w:rPr>
          <w:noProof/>
        </w:rPr>
        <w:t>En outre, l’</w:t>
      </w:r>
      <w:r>
        <w:rPr>
          <w:b/>
          <w:i/>
          <w:noProof/>
        </w:rPr>
        <w:t>HERA</w:t>
      </w:r>
      <w:r>
        <w:rPr>
          <w:noProof/>
        </w:rPr>
        <w:t xml:space="preserve"> joue un rôle essentiel pour garantir la disponibilité de contre-mesures médicales, comme le montrent la stratégie européenne en matière de vaccins et les passations conjointes de marchés pour l’acquisition de médicaments contre la COVID-</w:t>
      </w:r>
      <w:r w:rsidRPr="00093148">
        <w:rPr>
          <w:noProof/>
        </w:rPr>
        <w:t>19</w:t>
      </w:r>
      <w:r>
        <w:rPr>
          <w:noProof/>
        </w:rPr>
        <w:t xml:space="preserve">. </w:t>
      </w:r>
    </w:p>
    <w:p w14:paraId="093434A8" w14:textId="5956158F" w:rsidR="000F59DF" w:rsidRPr="008E2E92" w:rsidRDefault="00C34149" w:rsidP="00A11FCD">
      <w:pPr>
        <w:pStyle w:val="paragraph"/>
        <w:numPr>
          <w:ilvl w:val="0"/>
          <w:numId w:val="33"/>
        </w:numPr>
        <w:spacing w:before="0" w:beforeAutospacing="0" w:after="120" w:afterAutospacing="0"/>
        <w:ind w:left="284" w:hanging="284"/>
        <w:jc w:val="both"/>
        <w:textAlignment w:val="baseline"/>
        <w:rPr>
          <w:noProof/>
        </w:rPr>
      </w:pPr>
      <w:r>
        <w:rPr>
          <w:b/>
          <w:i/>
          <w:noProof/>
        </w:rPr>
        <w:t>Dialogue avec l’industrie</w:t>
      </w:r>
      <w:r>
        <w:rPr>
          <w:noProof/>
        </w:rPr>
        <w:t xml:space="preserve">: en ce qui concerne les pénuries critiques, les régulateurs consultent un large éventail d’acteurs du secteur par l’intermédiaire de l’EMA et travaillent avec les États membres pour évaluer la situation et décider de la nécessité d’adopter des recommandations spécifiques. La coordination avec l’industrie en dehors du contexte réglementaire est maintenant complétée par l’HERA, notamment par son forum conjoint de coopération industrielle. </w:t>
      </w:r>
    </w:p>
    <w:p w14:paraId="7B0DC4F7" w14:textId="5685F48E" w:rsidR="00AC55A7" w:rsidRPr="00A11FCD" w:rsidRDefault="006650D6" w:rsidP="00A11FCD">
      <w:pPr>
        <w:pStyle w:val="paragraph"/>
        <w:numPr>
          <w:ilvl w:val="0"/>
          <w:numId w:val="33"/>
        </w:numPr>
        <w:spacing w:before="0" w:beforeAutospacing="0" w:after="120" w:afterAutospacing="0"/>
        <w:ind w:left="284" w:hanging="284"/>
        <w:jc w:val="both"/>
        <w:textAlignment w:val="baseline"/>
        <w:rPr>
          <w:noProof/>
        </w:rPr>
      </w:pPr>
      <w:r>
        <w:rPr>
          <w:b/>
          <w:i/>
          <w:noProof/>
        </w:rPr>
        <w:t>Passation conjointe de marchés</w:t>
      </w:r>
      <w:r>
        <w:rPr>
          <w:i/>
          <w:noProof/>
        </w:rPr>
        <w:t xml:space="preserve">: </w:t>
      </w:r>
      <w:r>
        <w:rPr>
          <w:noProof/>
        </w:rPr>
        <w:t>la passation conjointe de marchés de médicaments ou l’acquisition de médicaments au nom des États membres (par exemple dans le contexte de la pandémie de COVID-</w:t>
      </w:r>
      <w:r w:rsidRPr="00093148">
        <w:rPr>
          <w:noProof/>
        </w:rPr>
        <w:t>19</w:t>
      </w:r>
      <w:r>
        <w:rPr>
          <w:noProof/>
        </w:rPr>
        <w:t>) a constitué un outil puissant pour améliorer l’accès, la rentabilité et la sécurité de l’approvisionnement, notamment dans l’intérêt des plus petits marchés de l’UE.</w:t>
      </w:r>
      <w:r>
        <w:rPr>
          <w:noProof/>
          <w:color w:val="000000" w:themeColor="text1"/>
        </w:rPr>
        <w:t xml:space="preserve"> </w:t>
      </w:r>
    </w:p>
    <w:p w14:paraId="6066A3AE" w14:textId="6C03C1C0" w:rsidR="00040DF7" w:rsidRDefault="000F59DF" w:rsidP="00040DF7">
      <w:pPr>
        <w:pStyle w:val="paragraph"/>
        <w:numPr>
          <w:ilvl w:val="0"/>
          <w:numId w:val="33"/>
        </w:numPr>
        <w:spacing w:before="0" w:beforeAutospacing="0" w:after="0" w:afterAutospacing="0"/>
        <w:ind w:left="284" w:hanging="284"/>
        <w:jc w:val="both"/>
        <w:textAlignment w:val="baseline"/>
        <w:rPr>
          <w:noProof/>
        </w:rPr>
      </w:pPr>
      <w:r>
        <w:rPr>
          <w:b/>
          <w:i/>
          <w:noProof/>
        </w:rPr>
        <w:t>Constitution de stocks</w:t>
      </w:r>
      <w:r>
        <w:rPr>
          <w:i/>
          <w:noProof/>
        </w:rPr>
        <w:t>:</w:t>
      </w:r>
      <w:r>
        <w:rPr>
          <w:noProof/>
        </w:rPr>
        <w:t xml:space="preserve"> les travaux du mécanisme de protection civile de l’Union (MPCU) pour coordonner l’assistance en nature couvrent les menaces transfrontières pour la santé</w:t>
      </w:r>
      <w:r>
        <w:rPr>
          <w:rStyle w:val="FootnoteReference"/>
          <w:noProof/>
        </w:rPr>
        <w:footnoteReference w:id="13"/>
      </w:r>
      <w:r>
        <w:rPr>
          <w:noProof/>
        </w:rPr>
        <w:t>. Des réserves stratégiques au niveau de l’Union ont été mises en place dans le cadre du programme rescEU durant la pandémie de COVID-</w:t>
      </w:r>
      <w:r w:rsidRPr="00093148">
        <w:rPr>
          <w:noProof/>
        </w:rPr>
        <w:t>19</w:t>
      </w:r>
      <w:r>
        <w:rPr>
          <w:noProof/>
        </w:rPr>
        <w:t xml:space="preserve"> et ont été étoffées pour constituer un filet de sécurité pour le cas où les stocks nationaux s’avéreraient insuffisants. Avec la création de l’HERA, </w:t>
      </w:r>
      <w:r w:rsidRPr="00093148">
        <w:rPr>
          <w:noProof/>
        </w:rPr>
        <w:t>1</w:t>
      </w:r>
      <w:r>
        <w:rPr>
          <w:noProof/>
        </w:rPr>
        <w:t>,</w:t>
      </w:r>
      <w:r w:rsidRPr="00093148">
        <w:rPr>
          <w:noProof/>
        </w:rPr>
        <w:t>2</w:t>
      </w:r>
      <w:r>
        <w:rPr>
          <w:noProof/>
        </w:rPr>
        <w:t> milliard d’euros ont été consacrés à ces travaux.</w:t>
      </w:r>
    </w:p>
    <w:p w14:paraId="7CA3BD0E" w14:textId="77777777" w:rsidR="00190284" w:rsidRDefault="00190284" w:rsidP="005A0FEB">
      <w:pPr>
        <w:pStyle w:val="paragraph"/>
        <w:spacing w:before="0" w:beforeAutospacing="0" w:after="0" w:afterAutospacing="0"/>
        <w:ind w:left="284"/>
        <w:jc w:val="both"/>
        <w:textAlignment w:val="baseline"/>
        <w:rPr>
          <w:noProof/>
        </w:rPr>
      </w:pPr>
    </w:p>
    <w:p w14:paraId="45349C7B" w14:textId="2E446AFB" w:rsidR="000F59DF" w:rsidRPr="005A0FEB" w:rsidRDefault="000F59DF" w:rsidP="005A0FEB">
      <w:pPr>
        <w:pStyle w:val="paragraph"/>
        <w:spacing w:before="0" w:beforeAutospacing="0" w:after="0" w:afterAutospacing="0"/>
        <w:jc w:val="both"/>
        <w:textAlignment w:val="baseline"/>
        <w:rPr>
          <w:noProof/>
        </w:rPr>
      </w:pPr>
      <w:r>
        <w:rPr>
          <w:noProof/>
        </w:rPr>
        <w:t xml:space="preserve">Ces expériences ont été extrêmement précieuses pour la mise en place d’une approche de l’UE plus complète et plus efficace afin de remédier aux pénuries critiques et de garantir l’approvisionnement en médicaments critiques. </w:t>
      </w:r>
    </w:p>
    <w:p w14:paraId="1FA1F730" w14:textId="31F68F2B" w:rsidR="004F5474" w:rsidRPr="005A0FEB" w:rsidRDefault="000F59DF" w:rsidP="004F5474">
      <w:pPr>
        <w:pStyle w:val="Heading1"/>
        <w:spacing w:before="360"/>
        <w:rPr>
          <w:noProof/>
        </w:rPr>
      </w:pPr>
      <w:bookmarkStart w:id="6" w:name="_Toc144401795"/>
      <w:bookmarkStart w:id="7" w:name="_Toc144408842"/>
      <w:bookmarkStart w:id="8" w:name="_Toc144408882"/>
      <w:bookmarkStart w:id="9" w:name="_Toc144438808"/>
      <w:bookmarkStart w:id="10" w:name="_Toc144401796"/>
      <w:bookmarkStart w:id="11" w:name="_Toc144408843"/>
      <w:bookmarkStart w:id="12" w:name="_Toc144408883"/>
      <w:bookmarkStart w:id="13" w:name="_Toc144438809"/>
      <w:bookmarkStart w:id="14" w:name="_Toc144366792"/>
      <w:bookmarkStart w:id="15" w:name="_Toc144438813"/>
      <w:bookmarkStart w:id="16" w:name="_Toc144438814"/>
      <w:bookmarkStart w:id="17" w:name="_Toc144438815"/>
      <w:bookmarkStart w:id="18" w:name="_Toc144438816"/>
      <w:bookmarkStart w:id="19" w:name="_Toc144438817"/>
      <w:bookmarkStart w:id="20" w:name="_Toc144438820"/>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normaltextrun"/>
          <w:noProof/>
        </w:rPr>
        <w:t>REMÉDIER AUX PÉNURIES CRITIQUES DANS L’IMMÉDIAT ET À COURT TERME</w:t>
      </w:r>
      <w:bookmarkEnd w:id="20"/>
      <w:r>
        <w:rPr>
          <w:rStyle w:val="normaltextrun"/>
          <w:noProof/>
        </w:rPr>
        <w:t xml:space="preserve"> </w:t>
      </w:r>
    </w:p>
    <w:p w14:paraId="20DA3751" w14:textId="474BF922" w:rsidR="00190284" w:rsidRPr="008E2E92" w:rsidRDefault="00190284" w:rsidP="00190284">
      <w:pPr>
        <w:pStyle w:val="Text3"/>
        <w:spacing w:after="120"/>
        <w:ind w:left="0"/>
        <w:rPr>
          <w:noProof/>
          <w:szCs w:val="24"/>
        </w:rPr>
      </w:pPr>
      <w:r>
        <w:rPr>
          <w:noProof/>
        </w:rPr>
        <w:t xml:space="preserve">Durant l’hiver </w:t>
      </w:r>
      <w:r w:rsidRPr="00093148">
        <w:rPr>
          <w:noProof/>
        </w:rPr>
        <w:t>2022</w:t>
      </w:r>
      <w:r>
        <w:rPr>
          <w:noProof/>
        </w:rPr>
        <w:t>-</w:t>
      </w:r>
      <w:r w:rsidRPr="00093148">
        <w:rPr>
          <w:noProof/>
        </w:rPr>
        <w:t>2023</w:t>
      </w:r>
      <w:r>
        <w:rPr>
          <w:noProof/>
        </w:rPr>
        <w:t xml:space="preserve">, de nombreux États membres ont connu des pénuries critiques de certains antibiotiques, ce qui a mis en danger la santé des patients et a fait courir le risque d’une résistance aux antimicrobiens. Ces pénuries critiques étaient le résultat d’une évolution des schémas d’infection qui a provoqué une hausse de la demande. Du côté de l’offre, les longs délais nécessaires à l’augmentation de la production ont rendu difficile une réaction rapide. Cette expérience a mis en évidence la nécessité d’un effort spécifique, tant de la part de l’industrie que des États membres et de l’Union tout entière, pour résoudre le problème des pénuries critiques. </w:t>
      </w:r>
    </w:p>
    <w:p w14:paraId="1AB936EA" w14:textId="3F64C3E3" w:rsidR="00C34CF0" w:rsidRDefault="000F59DF" w:rsidP="00A11FCD">
      <w:pPr>
        <w:pStyle w:val="Heading2"/>
        <w:numPr>
          <w:ilvl w:val="0"/>
          <w:numId w:val="0"/>
        </w:numPr>
        <w:spacing w:after="0"/>
        <w:rPr>
          <w:rStyle w:val="normaltextrun"/>
          <w:i/>
          <w:iCs/>
          <w:noProof/>
          <w:szCs w:val="24"/>
        </w:rPr>
      </w:pPr>
      <w:r>
        <w:rPr>
          <w:rStyle w:val="normaltextrun"/>
          <w:b w:val="0"/>
          <w:noProof/>
        </w:rPr>
        <w:t>L’UE dispose déjà de nombreux moyens d’agir pour prévenir et lutter contre les pénuries critiques. Poursuivre la mise en œuvre de ces mesures renforcera considérablement la capacité de l’UE à atténuer les risques de pénuries de médicaments d’une manière coordonnée.</w:t>
      </w:r>
    </w:p>
    <w:p w14:paraId="52C48522" w14:textId="5227974C" w:rsidR="00B105D0" w:rsidRPr="008E2E92" w:rsidRDefault="00B105D0" w:rsidP="00A11FCD">
      <w:pPr>
        <w:pStyle w:val="Heading2"/>
        <w:numPr>
          <w:ilvl w:val="0"/>
          <w:numId w:val="0"/>
        </w:numPr>
        <w:spacing w:before="240" w:after="120"/>
        <w:rPr>
          <w:rStyle w:val="normaltextrun"/>
          <w:i/>
          <w:iCs/>
          <w:noProof/>
          <w:szCs w:val="24"/>
        </w:rPr>
      </w:pPr>
      <w:r>
        <w:rPr>
          <w:rStyle w:val="normaltextrun"/>
          <w:i/>
          <w:noProof/>
        </w:rPr>
        <w:t xml:space="preserve">Éviter les pénuries critiques d’antibiotiques essentiels durant l’hiver à venir </w:t>
      </w:r>
    </w:p>
    <w:p w14:paraId="36EDC229" w14:textId="3ED53537" w:rsidR="003C24A4" w:rsidRPr="008E2E92" w:rsidRDefault="00C063F0" w:rsidP="007E266B">
      <w:pPr>
        <w:pStyle w:val="Text3"/>
        <w:spacing w:after="120"/>
        <w:ind w:left="0"/>
        <w:rPr>
          <w:noProof/>
          <w:szCs w:val="24"/>
        </w:rPr>
      </w:pPr>
      <w:bookmarkStart w:id="21" w:name="_Toc144401800"/>
      <w:bookmarkStart w:id="22" w:name="_Toc144408850"/>
      <w:bookmarkStart w:id="23" w:name="_Toc144408890"/>
      <w:bookmarkStart w:id="24" w:name="_Toc144438821"/>
      <w:bookmarkStart w:id="25" w:name="_Toc144438823"/>
      <w:bookmarkStart w:id="26" w:name="_Toc144438822"/>
      <w:bookmarkEnd w:id="21"/>
      <w:bookmarkEnd w:id="22"/>
      <w:bookmarkEnd w:id="23"/>
      <w:bookmarkEnd w:id="24"/>
      <w:r>
        <w:rPr>
          <w:noProof/>
        </w:rPr>
        <w:t xml:space="preserve">Pour mieux préparer l’hiver </w:t>
      </w:r>
      <w:r w:rsidRPr="00093148">
        <w:rPr>
          <w:noProof/>
        </w:rPr>
        <w:t>2023</w:t>
      </w:r>
      <w:r>
        <w:rPr>
          <w:noProof/>
        </w:rPr>
        <w:t>-</w:t>
      </w:r>
      <w:r w:rsidRPr="00093148">
        <w:rPr>
          <w:noProof/>
        </w:rPr>
        <w:t>2024</w:t>
      </w:r>
      <w:r>
        <w:rPr>
          <w:noProof/>
        </w:rPr>
        <w:t>, l’EMA et l’HERA ont sélectionné un sous-ensemble d’antibiotiques essentiels (dont des formulations pédiatriques spécifiques) pour lesquels elles ont effectué une simulation de l’offre prévisionnelle et de la demande estimée, de manière à anticiper tout risque de pénurie critique. Ces travaux ont été menés en étroite collaboration avec les États membres et l’industrie, et avec le soutien de ces acteurs.</w:t>
      </w:r>
    </w:p>
    <w:p w14:paraId="50772111" w14:textId="10B05025" w:rsidR="00B15C55" w:rsidRPr="008E2E92" w:rsidRDefault="00B15C55" w:rsidP="007E266B">
      <w:pPr>
        <w:spacing w:after="120"/>
        <w:rPr>
          <w:noProof/>
          <w:szCs w:val="24"/>
        </w:rPr>
      </w:pPr>
      <w:r>
        <w:rPr>
          <w:noProof/>
        </w:rPr>
        <w:t>Les mesures qui suivent visent à améliorer la disponibilité de certains antibiotiques essentiels en </w:t>
      </w:r>
      <w:r w:rsidRPr="00093148">
        <w:rPr>
          <w:noProof/>
        </w:rPr>
        <w:t>2023</w:t>
      </w:r>
      <w:r>
        <w:rPr>
          <w:noProof/>
        </w:rPr>
        <w:t xml:space="preserve"> et </w:t>
      </w:r>
      <w:r w:rsidRPr="00093148">
        <w:rPr>
          <w:noProof/>
        </w:rPr>
        <w:t>2024</w:t>
      </w:r>
      <w:r>
        <w:rPr>
          <w:noProof/>
        </w:rPr>
        <w:t>:</w:t>
      </w:r>
    </w:p>
    <w:p w14:paraId="230327CF" w14:textId="23A4621C" w:rsidR="00B72281" w:rsidRDefault="002B0E8A" w:rsidP="00B72281">
      <w:pPr>
        <w:pStyle w:val="ListParagraph"/>
        <w:numPr>
          <w:ilvl w:val="0"/>
          <w:numId w:val="29"/>
        </w:numPr>
        <w:spacing w:after="120" w:line="240" w:lineRule="auto"/>
        <w:ind w:left="453" w:hanging="357"/>
        <w:jc w:val="both"/>
        <w:rPr>
          <w:rStyle w:val="normaltextrun"/>
          <w:rFonts w:ascii="Times New Roman" w:hAnsi="Times New Roman"/>
          <w:noProof/>
          <w:sz w:val="24"/>
          <w:szCs w:val="24"/>
        </w:rPr>
      </w:pPr>
      <w:r>
        <w:rPr>
          <w:rStyle w:val="normaltextrun"/>
          <w:rFonts w:ascii="Times New Roman" w:hAnsi="Times New Roman"/>
          <w:noProof/>
          <w:sz w:val="24"/>
        </w:rPr>
        <w:t>surveillance continue des prévisions en matière d’offre et de demande, en coopération avec les entreprises et les autorités nationales;</w:t>
      </w:r>
    </w:p>
    <w:p w14:paraId="5FD4A281" w14:textId="19748880" w:rsidR="002B0E8A" w:rsidRPr="00B72281" w:rsidRDefault="00387BEE" w:rsidP="00B72281">
      <w:pPr>
        <w:pStyle w:val="ListParagraph"/>
        <w:numPr>
          <w:ilvl w:val="0"/>
          <w:numId w:val="29"/>
        </w:numPr>
        <w:spacing w:after="120" w:line="240" w:lineRule="auto"/>
        <w:ind w:left="453" w:hanging="357"/>
        <w:jc w:val="both"/>
        <w:rPr>
          <w:rStyle w:val="normaltextrun"/>
          <w:rFonts w:ascii="Times New Roman" w:hAnsi="Times New Roman"/>
          <w:noProof/>
          <w:sz w:val="24"/>
          <w:szCs w:val="24"/>
        </w:rPr>
      </w:pPr>
      <w:r>
        <w:rPr>
          <w:rStyle w:val="normaltextrun"/>
          <w:rFonts w:ascii="Times New Roman" w:hAnsi="Times New Roman"/>
          <w:noProof/>
          <w:sz w:val="24"/>
        </w:rPr>
        <w:t>interaction entre la Commission, l’EMA et les entreprises pour garantir la mise en œuvre de mesures visant à prévenir d’éventuelles pénuries, par exemple via un accroissement des capacités de production;</w:t>
      </w:r>
    </w:p>
    <w:p w14:paraId="31866DCC" w14:textId="7A056990" w:rsidR="00E528E9" w:rsidRPr="008E2E92" w:rsidRDefault="00D26AA4" w:rsidP="007E266B">
      <w:pPr>
        <w:pStyle w:val="ListParagraph"/>
        <w:numPr>
          <w:ilvl w:val="0"/>
          <w:numId w:val="29"/>
        </w:numPr>
        <w:spacing w:after="12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déploiement de flexibilités réglementaires (voir ci-dessous), si nécessaire pour prévenir et gérer les pénuries critiques;</w:t>
      </w:r>
    </w:p>
    <w:p w14:paraId="0D2EEC9A" w14:textId="1476CCC5" w:rsidR="00E528E9" w:rsidRPr="008E2E92" w:rsidRDefault="00D26AA4" w:rsidP="007E266B">
      <w:pPr>
        <w:pStyle w:val="ListParagraph"/>
        <w:numPr>
          <w:ilvl w:val="0"/>
          <w:numId w:val="29"/>
        </w:numPr>
        <w:spacing w:after="12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déploiement, si nécessaire, du mécanisme de solidarité volontaire en matière de médicaments (voir ci-dessous);</w:t>
      </w:r>
    </w:p>
    <w:p w14:paraId="6182A438" w14:textId="46E468BC" w:rsidR="00B15C55" w:rsidRPr="008E2E92" w:rsidRDefault="00D26AA4" w:rsidP="007E266B">
      <w:pPr>
        <w:pStyle w:val="ListParagraph"/>
        <w:numPr>
          <w:ilvl w:val="0"/>
          <w:numId w:val="29"/>
        </w:numPr>
        <w:spacing w:after="12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échange d’informations renforcé avec les régulateurs internationaux pour permettre de signaler rapidement l’existence de pénuries critiques ailleurs dans le monde;</w:t>
      </w:r>
    </w:p>
    <w:p w14:paraId="7C7FEEE0" w14:textId="26A548B4" w:rsidR="00B15C55" w:rsidRPr="008E2E92" w:rsidRDefault="00D26AA4" w:rsidP="007E266B">
      <w:pPr>
        <w:pStyle w:val="ListParagraph"/>
        <w:numPr>
          <w:ilvl w:val="0"/>
          <w:numId w:val="29"/>
        </w:numPr>
        <w:spacing w:after="0" w:line="240" w:lineRule="auto"/>
        <w:ind w:left="454"/>
        <w:jc w:val="both"/>
        <w:rPr>
          <w:rStyle w:val="normaltextrun"/>
          <w:rFonts w:ascii="Times New Roman" w:hAnsi="Times New Roman"/>
          <w:noProof/>
          <w:sz w:val="24"/>
          <w:szCs w:val="24"/>
        </w:rPr>
      </w:pPr>
      <w:r>
        <w:rPr>
          <w:rStyle w:val="normaltextrun"/>
          <w:rFonts w:ascii="Times New Roman" w:hAnsi="Times New Roman"/>
          <w:noProof/>
          <w:sz w:val="24"/>
        </w:rPr>
        <w:t>passation conjointe de marchés ou acquisition au nom des États membres de contre-mesures médicales de prévention</w:t>
      </w:r>
      <w:r>
        <w:rPr>
          <w:rStyle w:val="FootnoteReference"/>
          <w:rFonts w:ascii="Times New Roman" w:hAnsi="Times New Roman"/>
          <w:noProof/>
          <w:sz w:val="24"/>
          <w:szCs w:val="24"/>
        </w:rPr>
        <w:footnoteReference w:id="14"/>
      </w:r>
      <w:r>
        <w:rPr>
          <w:rStyle w:val="normaltextrun"/>
          <w:rFonts w:ascii="Times New Roman" w:hAnsi="Times New Roman"/>
          <w:noProof/>
          <w:sz w:val="24"/>
        </w:rPr>
        <w:t>;</w:t>
      </w:r>
    </w:p>
    <w:p w14:paraId="0787D03B" w14:textId="7180C652" w:rsidR="00E0506D" w:rsidRPr="008E2E92" w:rsidRDefault="00AE4249" w:rsidP="002B5C82">
      <w:pPr>
        <w:pStyle w:val="ListParagraph"/>
        <w:numPr>
          <w:ilvl w:val="0"/>
          <w:numId w:val="29"/>
        </w:numPr>
        <w:spacing w:after="0" w:line="240" w:lineRule="auto"/>
        <w:ind w:left="453" w:hanging="357"/>
        <w:jc w:val="both"/>
        <w:rPr>
          <w:rStyle w:val="normaltextrun"/>
          <w:noProof/>
        </w:rPr>
      </w:pPr>
      <w:r>
        <w:rPr>
          <w:rStyle w:val="normaltextrun"/>
          <w:rFonts w:ascii="Times New Roman" w:hAnsi="Times New Roman"/>
          <w:noProof/>
          <w:sz w:val="24"/>
        </w:rPr>
        <w:t>solidarité internationale dans le cadre de travaux visant à instaurer des canaux de dons à double sens pour l’échange d’antibiotiques avec les pays de l’hémisphère Sud (le pic hivernal y survenant à une autre période de l’année);</w:t>
      </w:r>
    </w:p>
    <w:p w14:paraId="5900A5D3" w14:textId="7445282E" w:rsidR="00986E1D" w:rsidRPr="008E2E92" w:rsidRDefault="00986E1D" w:rsidP="002B5C82">
      <w:pPr>
        <w:pStyle w:val="Text3"/>
        <w:numPr>
          <w:ilvl w:val="0"/>
          <w:numId w:val="29"/>
        </w:numPr>
        <w:spacing w:after="0"/>
        <w:ind w:left="453" w:hanging="357"/>
        <w:rPr>
          <w:rStyle w:val="normaltextrun"/>
          <w:noProof/>
          <w:szCs w:val="24"/>
        </w:rPr>
      </w:pPr>
      <w:r>
        <w:rPr>
          <w:noProof/>
        </w:rPr>
        <w:t>information du public sur les mesures prises à l’échelle de l’Union pour prévenir les pénuries d’antibiotiques en Europe, en promouvant une utilisation prudente des antibiotiques et en soulignant la nécessité d’éviter la constitution de réserves par tous les acteurs pertinents;</w:t>
      </w:r>
    </w:p>
    <w:p w14:paraId="17051E1E" w14:textId="174E01FA" w:rsidR="00D26AA4" w:rsidRPr="008E2E92" w:rsidRDefault="003D15FB" w:rsidP="007E266B">
      <w:pPr>
        <w:pStyle w:val="ListParagraph"/>
        <w:numPr>
          <w:ilvl w:val="0"/>
          <w:numId w:val="29"/>
        </w:numPr>
        <w:spacing w:after="120" w:line="240" w:lineRule="auto"/>
        <w:ind w:left="453" w:hanging="357"/>
        <w:jc w:val="both"/>
        <w:rPr>
          <w:rStyle w:val="normaltextrun"/>
          <w:rFonts w:ascii="Times New Roman" w:hAnsi="Times New Roman"/>
          <w:noProof/>
          <w:sz w:val="24"/>
          <w:szCs w:val="24"/>
        </w:rPr>
      </w:pPr>
      <w:r>
        <w:rPr>
          <w:rStyle w:val="normaltextrun"/>
          <w:rFonts w:ascii="Times New Roman" w:hAnsi="Times New Roman"/>
          <w:noProof/>
          <w:sz w:val="24"/>
        </w:rPr>
        <w:t>déploiement des stocks disponibles d’antibiotiques du programme rescEU en cas de pénurie critique</w:t>
      </w:r>
      <w:r>
        <w:rPr>
          <w:rStyle w:val="FootnoteReference"/>
          <w:rFonts w:ascii="Times New Roman" w:hAnsi="Times New Roman"/>
          <w:noProof/>
          <w:sz w:val="24"/>
          <w:szCs w:val="24"/>
        </w:rPr>
        <w:footnoteReference w:id="15"/>
      </w:r>
      <w:r>
        <w:rPr>
          <w:rStyle w:val="normaltextrun"/>
          <w:rFonts w:ascii="Times New Roman" w:hAnsi="Times New Roman"/>
          <w:noProof/>
          <w:sz w:val="24"/>
        </w:rPr>
        <w:t>.</w:t>
      </w:r>
    </w:p>
    <w:p w14:paraId="6EA3A084" w14:textId="322FAA09" w:rsidR="007A053A" w:rsidRPr="008E2E92" w:rsidRDefault="00D41B14" w:rsidP="007E266B">
      <w:pPr>
        <w:pStyle w:val="Text3"/>
        <w:spacing w:after="120"/>
        <w:ind w:left="0"/>
        <w:rPr>
          <w:noProof/>
          <w:szCs w:val="24"/>
        </w:rPr>
      </w:pPr>
      <w:r>
        <w:rPr>
          <w:noProof/>
        </w:rPr>
        <w:t xml:space="preserve">En coopération avec l’EMA, la Commission continue de suivre attentivement l’évolution de la situation en restant en contact quotidien avec les entreprises concernées et les autres parties prenantes afin de détecter rapidement tout déficit inattendu dans l’offre de certains antibiotiques essentiels, et de surveiller la poursuite de l’approvisionnement en autres médicaments couramment utilisés pendant la saison d’automne/hiver, tels que les sirops pour la toux, l’ibuprofène et le paracétamol. </w:t>
      </w:r>
    </w:p>
    <w:p w14:paraId="486ADBFB" w14:textId="5E0B0E38" w:rsidR="00650859" w:rsidRPr="008E2E92" w:rsidRDefault="007C1C18" w:rsidP="002B0086">
      <w:pPr>
        <w:pStyle w:val="Text3"/>
        <w:spacing w:after="0"/>
        <w:ind w:left="0"/>
        <w:rPr>
          <w:noProof/>
          <w:color w:val="000000" w:themeColor="text1"/>
        </w:rPr>
      </w:pPr>
      <w:r>
        <w:rPr>
          <w:b/>
          <w:noProof/>
        </w:rPr>
        <w:t xml:space="preserve">Au vu des informations disponibles à ce jour, si la demande au cours de la prochaine saison hivernale ne diffère pas sensiblement de celle de ces dernières années, l’approvisionnement en antibiotiques essentiels dans l’Union devrait globalement permettre de répondre à la demande. Cela suppose toutefois que les entreprises concernées respectent leur obligation légale d’assurer l’approvisionnement et qu’elles soient capables de s’adapter. </w:t>
      </w:r>
    </w:p>
    <w:p w14:paraId="7755E27E" w14:textId="2F8431C6" w:rsidR="00C60DAB" w:rsidRPr="00F83A1D" w:rsidRDefault="00CB1A3D" w:rsidP="00A11FCD">
      <w:pPr>
        <w:pStyle w:val="Heading2"/>
        <w:numPr>
          <w:ilvl w:val="0"/>
          <w:numId w:val="0"/>
        </w:numPr>
        <w:spacing w:before="240" w:after="120"/>
        <w:rPr>
          <w:rStyle w:val="normaltextrun"/>
          <w:b w:val="0"/>
          <w:i/>
          <w:iCs/>
          <w:noProof/>
          <w:szCs w:val="24"/>
        </w:rPr>
      </w:pPr>
      <w:r>
        <w:rPr>
          <w:rStyle w:val="normaltextrun"/>
          <w:i/>
          <w:noProof/>
        </w:rPr>
        <w:t>Partager des médicaments entre les États membres</w:t>
      </w:r>
    </w:p>
    <w:p w14:paraId="34DEF7DB" w14:textId="7EBA91B8" w:rsidR="00C60DAB" w:rsidRPr="001079DC" w:rsidRDefault="00C60DAB" w:rsidP="00C60DAB">
      <w:pPr>
        <w:spacing w:after="120"/>
        <w:rPr>
          <w:noProof/>
        </w:rPr>
      </w:pPr>
      <w:r>
        <w:rPr>
          <w:noProof/>
        </w:rPr>
        <w:t>Un «</w:t>
      </w:r>
      <w:r>
        <w:rPr>
          <w:b/>
          <w:i/>
          <w:noProof/>
        </w:rPr>
        <w:t>mécanisme de solidarité volontaire en matière de médicaments</w:t>
      </w:r>
      <w:r>
        <w:rPr>
          <w:noProof/>
        </w:rPr>
        <w:t>» a été lancé en octobre </w:t>
      </w:r>
      <w:r w:rsidRPr="00093148">
        <w:rPr>
          <w:noProof/>
        </w:rPr>
        <w:t>2023</w:t>
      </w:r>
      <w:r>
        <w:rPr>
          <w:noProof/>
        </w:rPr>
        <w:t xml:space="preserve"> dans le but de soutenir les États membres confrontés à des pénuries critiques</w:t>
      </w:r>
      <w:r>
        <w:rPr>
          <w:rStyle w:val="FootnoteReference"/>
          <w:noProof/>
        </w:rPr>
        <w:footnoteReference w:id="16"/>
      </w:r>
      <w:r>
        <w:rPr>
          <w:noProof/>
        </w:rPr>
        <w:t xml:space="preserve">. Le mécanisme permet aux États membres de signaler leurs besoins concernant un médicament donné faisant l’objet d’une pénurie critique au niveau national aux autres États membres de sorte que ceux-ci puissent indiquer les stocks disponibles qui pourraient être redistribués.  </w:t>
      </w:r>
    </w:p>
    <w:p w14:paraId="0A4CB2FA" w14:textId="52FF0626" w:rsidR="00CD0952" w:rsidRPr="00B976E9" w:rsidRDefault="00C60DAB" w:rsidP="00B976E9">
      <w:pPr>
        <w:pStyle w:val="ListBullet1"/>
        <w:numPr>
          <w:ilvl w:val="0"/>
          <w:numId w:val="0"/>
        </w:numPr>
        <w:spacing w:after="0"/>
        <w:rPr>
          <w:noProof/>
          <w:color w:val="000000" w:themeColor="text1"/>
        </w:rPr>
      </w:pPr>
      <w:r>
        <w:rPr>
          <w:noProof/>
          <w:color w:val="000000" w:themeColor="text1"/>
        </w:rPr>
        <w:t xml:space="preserve">Lorsque les États membres sont en difficulté et ont besoin d’urgence d’un médicament donné, le mécanisme de protection civile de l’Union peut être activé, via son centre européen de coordination de la réaction d’urgence disponible à toute heure, afin de coordonner et de soutenir logistiquement le transfert volontaire de médicaments. Cela nécessite une bonne coordination à l’échelle nationale entre les autorités chargées de la santé et de la protection civile. Une telle redistribution des stocks issus des réserves nationales se fondera sur des exemples existants de solidarité européenne et renforcera encore la coopération entre les États membres au sein de l’union européenne de la santé.  </w:t>
      </w:r>
    </w:p>
    <w:p w14:paraId="0786C0DB" w14:textId="77777777" w:rsidR="00502D87" w:rsidRDefault="00502D87" w:rsidP="00C60DAB">
      <w:pPr>
        <w:pStyle w:val="ListBullet1"/>
        <w:numPr>
          <w:ilvl w:val="0"/>
          <w:numId w:val="0"/>
        </w:numPr>
        <w:spacing w:after="0"/>
        <w:rPr>
          <w:noProof/>
          <w:color w:val="000000" w:themeColor="text1"/>
        </w:rPr>
      </w:pPr>
    </w:p>
    <w:p w14:paraId="3CE97695" w14:textId="6C97CDFC" w:rsidR="000B4825" w:rsidRDefault="00C60DAB" w:rsidP="00C60DAB">
      <w:pPr>
        <w:pStyle w:val="ListBullet1"/>
        <w:numPr>
          <w:ilvl w:val="0"/>
          <w:numId w:val="0"/>
        </w:numPr>
        <w:spacing w:after="0"/>
        <w:rPr>
          <w:noProof/>
          <w:color w:val="000000" w:themeColor="text1"/>
        </w:rPr>
      </w:pPr>
      <w:r>
        <w:rPr>
          <w:noProof/>
          <w:color w:val="000000" w:themeColor="text1"/>
        </w:rPr>
        <w:t>À partir de ces travaux et de l’expérience du centre de coordination des équipements médicaux (établi pour la COVID-</w:t>
      </w:r>
      <w:r w:rsidRPr="00093148">
        <w:rPr>
          <w:noProof/>
          <w:color w:val="000000" w:themeColor="text1"/>
        </w:rPr>
        <w:t>19</w:t>
      </w:r>
      <w:r>
        <w:rPr>
          <w:noProof/>
          <w:color w:val="000000" w:themeColor="text1"/>
        </w:rPr>
        <w:t>)</w:t>
      </w:r>
      <w:r>
        <w:rPr>
          <w:rStyle w:val="FootnoteReference"/>
          <w:noProof/>
          <w:color w:val="000000" w:themeColor="text1"/>
        </w:rPr>
        <w:footnoteReference w:id="17"/>
      </w:r>
      <w:r>
        <w:rPr>
          <w:noProof/>
          <w:color w:val="000000" w:themeColor="text1"/>
        </w:rPr>
        <w:t xml:space="preserve">, la Commission mettra en place d’ici le deuxième trimestre </w:t>
      </w:r>
      <w:r w:rsidRPr="00093148">
        <w:rPr>
          <w:noProof/>
          <w:color w:val="000000" w:themeColor="text1"/>
        </w:rPr>
        <w:t>2024</w:t>
      </w:r>
      <w:r>
        <w:rPr>
          <w:noProof/>
          <w:color w:val="000000" w:themeColor="text1"/>
        </w:rPr>
        <w:t xml:space="preserve"> une </w:t>
      </w:r>
      <w:r>
        <w:rPr>
          <w:i/>
          <w:noProof/>
          <w:color w:val="000000" w:themeColor="text1"/>
        </w:rPr>
        <w:t>plateforme de mise en relation</w:t>
      </w:r>
      <w:r>
        <w:rPr>
          <w:noProof/>
          <w:color w:val="000000" w:themeColor="text1"/>
        </w:rPr>
        <w:t xml:space="preserve"> sur laquelle les opérateurs et les développeurs économiques pourront signaler leurs capacités et leurs besoins en matière de coopération. La Commission encouragera aussi la mise en réseau et la création de relations commerciales grâce aux Journées de l’industrie de l’HERA</w:t>
      </w:r>
      <w:r>
        <w:rPr>
          <w:rStyle w:val="FootnoteReference"/>
          <w:noProof/>
          <w:color w:val="000000" w:themeColor="text1"/>
        </w:rPr>
        <w:footnoteReference w:id="18"/>
      </w:r>
      <w:r>
        <w:rPr>
          <w:noProof/>
          <w:color w:val="000000" w:themeColor="text1"/>
        </w:rPr>
        <w:t xml:space="preserve">, dédiées aux médicaments et aux contre-mesures médicales. </w:t>
      </w:r>
    </w:p>
    <w:p w14:paraId="02B0619C" w14:textId="453C6E7B" w:rsidR="008F78A6" w:rsidRPr="008E2E92" w:rsidRDefault="00B765AF" w:rsidP="007E266B">
      <w:pPr>
        <w:pStyle w:val="Heading2"/>
        <w:numPr>
          <w:ilvl w:val="0"/>
          <w:numId w:val="0"/>
        </w:numPr>
        <w:spacing w:before="240" w:after="120"/>
        <w:rPr>
          <w:rStyle w:val="normaltextrun"/>
          <w:i/>
          <w:iCs/>
          <w:noProof/>
        </w:rPr>
      </w:pPr>
      <w:r>
        <w:rPr>
          <w:rStyle w:val="normaltextrun"/>
          <w:i/>
          <w:noProof/>
        </w:rPr>
        <w:t>Établir une liste de l’Union des médicaments critiques</w:t>
      </w:r>
    </w:p>
    <w:p w14:paraId="439D5A5D" w14:textId="754B0E5D" w:rsidR="008F78A6" w:rsidRPr="008E2E92" w:rsidRDefault="008F78A6" w:rsidP="007E266B">
      <w:pPr>
        <w:spacing w:after="120"/>
        <w:rPr>
          <w:noProof/>
          <w:color w:val="000000" w:themeColor="text1"/>
        </w:rPr>
      </w:pPr>
      <w:r>
        <w:rPr>
          <w:noProof/>
        </w:rPr>
        <w:t>Les médicaments sont considérés comme des médicaments critiques</w:t>
      </w:r>
      <w:r>
        <w:rPr>
          <w:rStyle w:val="FootnoteReference"/>
          <w:bCs/>
          <w:noProof/>
        </w:rPr>
        <w:footnoteReference w:id="19"/>
      </w:r>
      <w:r>
        <w:rPr>
          <w:noProof/>
        </w:rPr>
        <w:t xml:space="preserve"> lorsqu’ils sont essentiels pour assurer la continuité des soins et la fourniture de soins de qualité, et pour garantir un niveau élevé de protection de la santé publique en Europe et que leur indisponibilité entraînerait un préjudice grave ou un risque de préjudice grave pour les patients. </w:t>
      </w:r>
    </w:p>
    <w:p w14:paraId="463477F0" w14:textId="7F3A92AF" w:rsidR="002833C6" w:rsidRDefault="00456E98" w:rsidP="009D4569">
      <w:pPr>
        <w:spacing w:after="120"/>
        <w:rPr>
          <w:noProof/>
          <w:color w:val="000000" w:themeColor="text1"/>
        </w:rPr>
      </w:pPr>
      <w:r>
        <w:rPr>
          <w:noProof/>
          <w:color w:val="000000" w:themeColor="text1"/>
        </w:rPr>
        <w:t xml:space="preserve"> En s’appuyant sur les travaux de l’EMA et des États membres, la Commission publiera </w:t>
      </w:r>
      <w:r>
        <w:rPr>
          <w:b/>
          <w:i/>
          <w:noProof/>
          <w:color w:val="000000" w:themeColor="text1"/>
        </w:rPr>
        <w:t>une liste de l’Union des médicaments critiques</w:t>
      </w:r>
      <w:r>
        <w:rPr>
          <w:noProof/>
          <w:color w:val="000000" w:themeColor="text1"/>
        </w:rPr>
        <w:t xml:space="preserve"> qui constituera une première étape pour garantir la sécurité de l’approvisionnement. Cette opération est en cours</w:t>
      </w:r>
      <w:r>
        <w:rPr>
          <w:rStyle w:val="FootnoteReference"/>
          <w:noProof/>
          <w:color w:val="000000" w:themeColor="text1"/>
        </w:rPr>
        <w:footnoteReference w:id="20"/>
      </w:r>
      <w:r>
        <w:rPr>
          <w:noProof/>
          <w:color w:val="000000" w:themeColor="text1"/>
        </w:rPr>
        <w:t xml:space="preserve"> et une première version de la liste de l’Union des médicaments critiques sera disponible d’ici la fin de </w:t>
      </w:r>
      <w:r w:rsidRPr="00093148">
        <w:rPr>
          <w:noProof/>
          <w:color w:val="000000" w:themeColor="text1"/>
        </w:rPr>
        <w:t>2023</w:t>
      </w:r>
      <w:r>
        <w:rPr>
          <w:noProof/>
          <w:color w:val="000000" w:themeColor="text1"/>
        </w:rPr>
        <w:t xml:space="preserve">. </w:t>
      </w:r>
      <w:bookmarkStart w:id="27" w:name="_Hlk148721216"/>
      <w:r>
        <w:rPr>
          <w:noProof/>
          <w:color w:val="000000" w:themeColor="text1"/>
        </w:rPr>
        <w:t>Cette liste devra être mise à jour de manière à couvrir tous les médicaments critiques pertinents, y compris d’éventuels médicaments pédiatriques et antibiotiques, sur la base d’un suivi continu de tous les types de médicaments.</w:t>
      </w:r>
      <w:bookmarkEnd w:id="27"/>
    </w:p>
    <w:p w14:paraId="56714943" w14:textId="56F2A96B" w:rsidR="008F78A6" w:rsidRDefault="00324798" w:rsidP="00224FC9">
      <w:pPr>
        <w:spacing w:after="0"/>
        <w:rPr>
          <w:noProof/>
          <w:color w:val="000000" w:themeColor="text1"/>
        </w:rPr>
      </w:pPr>
      <w:r>
        <w:rPr>
          <w:noProof/>
          <w:color w:val="000000" w:themeColor="text1"/>
        </w:rPr>
        <w:t>La Commission, en coopération avec les États membres et sur la base des informations fournies par d’autres parties prenantes, examinera d’ici avril </w:t>
      </w:r>
      <w:r w:rsidRPr="00093148">
        <w:rPr>
          <w:noProof/>
          <w:color w:val="000000" w:themeColor="text1"/>
        </w:rPr>
        <w:t>2024</w:t>
      </w:r>
      <w:r>
        <w:rPr>
          <w:noProof/>
          <w:color w:val="000000" w:themeColor="text1"/>
        </w:rPr>
        <w:t xml:space="preserve"> les vulnérabilités de la chaîne d’approvisionnement pour un premier groupe de médicaments critiques figurant sur la future liste. Cet examen constituera la base des décisions sur les futures mesures correctives telles que les recommandations faites aux entreprises de diversifier leurs fournisseurs ou d’accroître leur production au sein de l’UE, les incitations à l’investissement, les nouvelles obligations réglementaires imposées aux entreprises et les passations de marchés assorties d’obligations contractuelles strictes en matière de livraison. </w:t>
      </w:r>
    </w:p>
    <w:p w14:paraId="125EE6CA" w14:textId="43D3FB2C" w:rsidR="001478A4" w:rsidRPr="008E2E92" w:rsidRDefault="006A29AE" w:rsidP="00B765AF">
      <w:pPr>
        <w:pStyle w:val="Heading2"/>
        <w:numPr>
          <w:ilvl w:val="0"/>
          <w:numId w:val="0"/>
        </w:numPr>
        <w:spacing w:before="240" w:after="120"/>
        <w:rPr>
          <w:rStyle w:val="normaltextrun"/>
          <w:i/>
          <w:iCs/>
          <w:smallCaps/>
          <w:noProof/>
        </w:rPr>
      </w:pPr>
      <w:r>
        <w:rPr>
          <w:rStyle w:val="normaltextrun"/>
          <w:i/>
          <w:noProof/>
        </w:rPr>
        <w:t xml:space="preserve">Améliorer les prévisions de l’offre et de la demande afin de prévenir les risques de pénuries critiques </w:t>
      </w:r>
    </w:p>
    <w:p w14:paraId="06F7E940" w14:textId="3FC6AC5C" w:rsidR="000B4825" w:rsidRDefault="001478A4" w:rsidP="000B4825">
      <w:pPr>
        <w:spacing w:after="120"/>
        <w:rPr>
          <w:noProof/>
        </w:rPr>
      </w:pPr>
      <w:r>
        <w:rPr>
          <w:noProof/>
        </w:rPr>
        <w:t xml:space="preserve">La </w:t>
      </w:r>
      <w:r>
        <w:rPr>
          <w:b/>
          <w:i/>
          <w:noProof/>
        </w:rPr>
        <w:t>prévision de la demande</w:t>
      </w:r>
      <w:r>
        <w:rPr>
          <w:noProof/>
        </w:rPr>
        <w:t xml:space="preserve"> par l’industrie – qui a actuellement l’obligation réglementaire de veiller à un approvisionnement continu – mais aussi par les pouvoirs publics joue un rôle majeur dans l’émission d’alertes précoces sur d’éventuelles pénuries critiques ainsi que dans la transmission d’informations sur l’approvisionnement et les capacités de production. </w:t>
      </w:r>
    </w:p>
    <w:p w14:paraId="66FDF0E8" w14:textId="5A2E6BE8" w:rsidR="002F41F9" w:rsidRPr="008E2E92" w:rsidRDefault="005223F1" w:rsidP="007E266B">
      <w:pPr>
        <w:spacing w:after="120"/>
        <w:rPr>
          <w:noProof/>
        </w:rPr>
      </w:pPr>
      <w:r>
        <w:rPr>
          <w:noProof/>
        </w:rPr>
        <w:t>La Commission, l’EMA et les agences nationales de médecine ont élaboré un ensemble de recommandations pratiques à l’appui des prévisions de la demande à l’échelle nationale, en s’appuyant sur l’expérience acquise dans le contexte de la pandémie de COVID-</w:t>
      </w:r>
      <w:r w:rsidRPr="00093148">
        <w:rPr>
          <w:noProof/>
        </w:rPr>
        <w:t>19</w:t>
      </w:r>
      <w:r>
        <w:rPr>
          <w:rStyle w:val="FootnoteReference"/>
          <w:noProof/>
        </w:rPr>
        <w:footnoteReference w:id="21"/>
      </w:r>
      <w:r>
        <w:rPr>
          <w:noProof/>
        </w:rPr>
        <w:t xml:space="preserve">. Ces recommandations pourraient être complétées par un modèle de bonnes pratiques afin d’améliorer la comparabilité des prévisions de la demande. La Commission travaille également sur un mécanisme de l’UE pour le signalement de la demande, qui aura pour objectif de rassembler les informations afin d’assister le secteur public de l’Union dans sa prise de décisions. </w:t>
      </w:r>
      <w:r>
        <w:rPr>
          <w:noProof/>
          <w:color w:val="000000" w:themeColor="text1"/>
        </w:rPr>
        <w:t xml:space="preserve">Une meilleure connaissance des fluctuations de la demande à plus long terme pourrait permettre, dans des cas spécifiques, de soutenir directement la recherche, de faciliter les lancements sur le marché de l’Union et de rendre le marché commun plus attrayant pour les entreprises. </w:t>
      </w:r>
      <w:r>
        <w:rPr>
          <w:noProof/>
        </w:rPr>
        <w:t xml:space="preserve">La Commission œuvrera également, en coopération avec le centre européen de prévention et de contrôle des maladies, à l’élaboration de prévisions fiables en ce qui concerne les éventuelles menaces au-delà de l’actuel horizon à court terme. </w:t>
      </w:r>
    </w:p>
    <w:p w14:paraId="77315B01" w14:textId="759BFBEC" w:rsidR="00B37F93" w:rsidRDefault="00274CCA" w:rsidP="00A11FCD">
      <w:pPr>
        <w:pStyle w:val="NormalWeb"/>
        <w:spacing w:before="0" w:beforeAutospacing="0" w:after="120" w:afterAutospacing="0"/>
        <w:jc w:val="both"/>
        <w:rPr>
          <w:noProof/>
        </w:rPr>
      </w:pPr>
      <w:r>
        <w:rPr>
          <w:noProof/>
        </w:rPr>
        <w:t xml:space="preserve">Le développement en cours de nouveaux outils informatiques permettra aussi de recueillir les données utilisées pour la surveillance de la demande et de l’offre de médicaments. La nouvelle </w:t>
      </w:r>
      <w:r>
        <w:rPr>
          <w:b/>
          <w:i/>
          <w:noProof/>
        </w:rPr>
        <w:t>plateforme européenne de surveillance des pénuries</w:t>
      </w:r>
      <w:r>
        <w:rPr>
          <w:noProof/>
        </w:rPr>
        <w:t>, destinée à la déclaration d’informations sur les stocks et les pénuries de médicaments, devrait entrer en fonctionnement en </w:t>
      </w:r>
      <w:r w:rsidRPr="00093148">
        <w:rPr>
          <w:noProof/>
        </w:rPr>
        <w:t>2025</w:t>
      </w:r>
      <w:r>
        <w:rPr>
          <w:rStyle w:val="FootnoteReference"/>
          <w:noProof/>
        </w:rPr>
        <w:footnoteReference w:id="22"/>
      </w:r>
      <w:r>
        <w:rPr>
          <w:noProof/>
        </w:rPr>
        <w:t>.</w:t>
      </w:r>
      <w:r>
        <w:rPr>
          <w:rFonts w:ascii="Segoe UI" w:hAnsi="Segoe UI"/>
          <w:noProof/>
          <w:color w:val="0000FF"/>
          <w:sz w:val="18"/>
        </w:rPr>
        <w:t xml:space="preserve"> </w:t>
      </w:r>
      <w:r>
        <w:rPr>
          <w:noProof/>
        </w:rPr>
        <w:t>L’intelligence artificielle servira également à fournir des informations sur les tendances de la demande et de l’offre à partir des données existantes</w:t>
      </w:r>
      <w:r>
        <w:rPr>
          <w:rStyle w:val="FootnoteReference"/>
          <w:noProof/>
        </w:rPr>
        <w:footnoteReference w:id="23"/>
      </w:r>
      <w:r>
        <w:rPr>
          <w:noProof/>
        </w:rPr>
        <w:t>. La future infrastructure européenne des données de santé offrirait aux autorités européennes et nationales de nouvelles possibilités d’utilisation des données de santé existantes aux fins de l’analyse des tendances. L’interopérabilité des bases de données, à l’échelle de l’Union et à l’échelle nationale, ainsi que des mesures de cybersécurité</w:t>
      </w:r>
      <w:r>
        <w:rPr>
          <w:rStyle w:val="FootnoteReference"/>
          <w:noProof/>
        </w:rPr>
        <w:footnoteReference w:id="24"/>
      </w:r>
      <w:r>
        <w:rPr>
          <w:noProof/>
        </w:rPr>
        <w:t xml:space="preserve"> est essentielle pour tirer pleinement profit desdites données au bénéfice des systèmes de santé des États membres et, en fin de compte, des citoyens de l’Union.</w:t>
      </w:r>
    </w:p>
    <w:p w14:paraId="5F971B06" w14:textId="1E6D63C3" w:rsidR="00AB0C5C" w:rsidRPr="008E2E92" w:rsidRDefault="00573AAE" w:rsidP="007E266B">
      <w:pPr>
        <w:pStyle w:val="Heading2"/>
        <w:numPr>
          <w:ilvl w:val="1"/>
          <w:numId w:val="0"/>
        </w:numPr>
        <w:spacing w:before="120" w:after="120"/>
        <w:rPr>
          <w:rStyle w:val="normaltextrun"/>
          <w:i/>
          <w:iCs/>
          <w:noProof/>
        </w:rPr>
      </w:pPr>
      <w:r>
        <w:rPr>
          <w:rStyle w:val="normaltextrun"/>
          <w:i/>
          <w:noProof/>
        </w:rPr>
        <w:t xml:space="preserve">Accélérer et anticiper la réforme de la législation pharmaceutique pour renforcer la sécurité de l’approvisionnement </w:t>
      </w:r>
      <w:bookmarkEnd w:id="25"/>
    </w:p>
    <w:p w14:paraId="5AE80E43" w14:textId="3A155565" w:rsidR="00BD6BD4" w:rsidRDefault="00AB0C5C" w:rsidP="00BD6BD4">
      <w:pPr>
        <w:spacing w:after="120"/>
        <w:rPr>
          <w:noProof/>
        </w:rPr>
      </w:pPr>
      <w:r>
        <w:rPr>
          <w:noProof/>
        </w:rPr>
        <w:t xml:space="preserve">La proposition de </w:t>
      </w:r>
      <w:r>
        <w:rPr>
          <w:b/>
          <w:i/>
          <w:noProof/>
        </w:rPr>
        <w:t>réforme de la législation pharmaceutique</w:t>
      </w:r>
      <w:r>
        <w:rPr>
          <w:noProof/>
        </w:rPr>
        <w:t xml:space="preserve"> introduit des mesures structurelles visant à améliorer la disponibilité des médicaments. </w:t>
      </w:r>
    </w:p>
    <w:p w14:paraId="2CBAD47A" w14:textId="6CADFED2" w:rsidR="00BD6BD4" w:rsidRPr="008E2E92" w:rsidRDefault="007D0A05" w:rsidP="00BD6BD4">
      <w:pPr>
        <w:spacing w:after="120"/>
        <w:rPr>
          <w:noProof/>
        </w:rPr>
      </w:pPr>
      <w:r>
        <w:rPr>
          <w:noProof/>
        </w:rPr>
        <w:t>Parmi ses éléments constitutifs figurent un nouveau système européen d’alerte doté d’un mécanisme plus rapide de notification des pénuries et des retraits par les entreprises, des critères harmonisés pour l’élaboration de rapports, des plans obligatoires de prévention des pénuries et une gestion des pénuries coordonnée par l’EMA</w:t>
      </w:r>
      <w:r>
        <w:rPr>
          <w:rStyle w:val="FootnoteReference"/>
          <w:noProof/>
        </w:rPr>
        <w:footnoteReference w:id="25"/>
      </w:r>
      <w:r>
        <w:rPr>
          <w:noProof/>
        </w:rPr>
        <w:t>. Cette réforme renforcerait et durcirait l’obligation qui incombe aux entreprises de garantir un approvisionnement approprié et continu.</w:t>
      </w:r>
      <w:r>
        <w:rPr>
          <w:rFonts w:ascii="Segoe UI" w:hAnsi="Segoe UI"/>
          <w:i/>
          <w:noProof/>
          <w:sz w:val="18"/>
        </w:rPr>
        <w:t xml:space="preserve"> </w:t>
      </w:r>
    </w:p>
    <w:p w14:paraId="4DBB892C" w14:textId="6A15ACA8" w:rsidR="00B12406" w:rsidRDefault="00BD6BD4" w:rsidP="006F5E7B">
      <w:pPr>
        <w:spacing w:after="120"/>
        <w:rPr>
          <w:noProof/>
        </w:rPr>
      </w:pPr>
      <w:r>
        <w:rPr>
          <w:noProof/>
        </w:rPr>
        <w:t>En outre, la réforme prévoit une révision massive des incitations offertes aux entreprises et récompenserait la fourniture continue et en quantité suffisante dans tous les États membres de médicaments nouvellement autorisés</w:t>
      </w:r>
      <w:r>
        <w:rPr>
          <w:rStyle w:val="FootnoteReference"/>
          <w:noProof/>
        </w:rPr>
        <w:footnoteReference w:id="26"/>
      </w:r>
      <w:r>
        <w:rPr>
          <w:noProof/>
        </w:rPr>
        <w:t xml:space="preserve">. La charge administrative a également été allégée, rendant la procédure d’autorisations de mise sur le marché plus rapide et plus simple. La réforme proposée faciliterait aussi l’entrée précoce sur le marché de médicaments génériques, une fois expirée la période d’exclusivité du médicament princeps. </w:t>
      </w:r>
    </w:p>
    <w:p w14:paraId="193304F0" w14:textId="5C8D984C" w:rsidR="00C13A58" w:rsidRPr="00224FC9" w:rsidRDefault="00EA2CB3" w:rsidP="009D4569">
      <w:pPr>
        <w:pStyle w:val="Text1"/>
        <w:spacing w:after="0"/>
        <w:ind w:left="0"/>
        <w:rPr>
          <w:rStyle w:val="normaltextrun"/>
          <w:noProof/>
        </w:rPr>
      </w:pPr>
      <w:r>
        <w:rPr>
          <w:rStyle w:val="normaltextrun"/>
          <w:noProof/>
        </w:rPr>
        <w:t>Les avantages ne se feront pleinement sentir qu’une fois la nouvelle législation en place. Toutefois, les États membres, l’EMA et la Commission ont déjà pris des mesures, qui vont dans le sens de la réforme proposée, visant à coordonner la prévention et l’atténuation des risques de pénuries critiques</w:t>
      </w:r>
      <w:r>
        <w:rPr>
          <w:rStyle w:val="FootnoteReference"/>
          <w:noProof/>
        </w:rPr>
        <w:footnoteReference w:id="27"/>
      </w:r>
      <w:r>
        <w:rPr>
          <w:rStyle w:val="normaltextrun"/>
          <w:noProof/>
        </w:rPr>
        <w:t>.  Cette procédure devrait être accélérée.</w:t>
      </w:r>
    </w:p>
    <w:p w14:paraId="3357D6C1" w14:textId="73F21A3A" w:rsidR="00AB0C5C" w:rsidRPr="008E2E92" w:rsidRDefault="00B54B6F" w:rsidP="00090413">
      <w:pPr>
        <w:pStyle w:val="Text1"/>
        <w:spacing w:before="240" w:after="120"/>
        <w:ind w:left="0"/>
        <w:rPr>
          <w:rStyle w:val="normaltextrun"/>
          <w:noProof/>
        </w:rPr>
      </w:pPr>
      <w:r>
        <w:rPr>
          <w:rStyle w:val="normaltextrun"/>
          <w:noProof/>
        </w:rPr>
        <w:t>Les éléments de la nouvelle législation pharmaceutique qui pourraient être anticipés incluent les points suivants:</w:t>
      </w:r>
      <w:r>
        <w:rPr>
          <w:rStyle w:val="normaltextrun"/>
          <w:b/>
          <w:i/>
          <w:noProof/>
        </w:rPr>
        <w:t xml:space="preserve"> </w:t>
      </w:r>
      <w:r>
        <w:rPr>
          <w:rStyle w:val="normaltextrun"/>
          <w:noProof/>
        </w:rPr>
        <w:t xml:space="preserve"> </w:t>
      </w:r>
    </w:p>
    <w:p w14:paraId="4BD68633" w14:textId="6BBF512D" w:rsidR="00AB0C5C" w:rsidRPr="00EA36B5" w:rsidRDefault="00AB0C5C" w:rsidP="00A11FCD">
      <w:pPr>
        <w:pStyle w:val="ListParagraph"/>
        <w:numPr>
          <w:ilvl w:val="0"/>
          <w:numId w:val="29"/>
        </w:numPr>
        <w:spacing w:after="120" w:line="240" w:lineRule="auto"/>
        <w:ind w:left="453" w:hanging="357"/>
        <w:jc w:val="both"/>
        <w:rPr>
          <w:noProof/>
          <w:szCs w:val="24"/>
        </w:rPr>
      </w:pPr>
      <w:r>
        <w:rPr>
          <w:rFonts w:ascii="Times New Roman" w:hAnsi="Times New Roman"/>
          <w:noProof/>
          <w:sz w:val="24"/>
        </w:rPr>
        <w:t xml:space="preserve">notification anticipée, par les entreprises, du risque de pénurie;  </w:t>
      </w:r>
    </w:p>
    <w:p w14:paraId="5E6102C1" w14:textId="4B703BA2" w:rsidR="00CF03AC" w:rsidRPr="00EA36B5" w:rsidRDefault="00E65205" w:rsidP="00A11FCD">
      <w:pPr>
        <w:pStyle w:val="ListParagraph"/>
        <w:numPr>
          <w:ilvl w:val="0"/>
          <w:numId w:val="29"/>
        </w:numPr>
        <w:spacing w:after="120" w:line="240" w:lineRule="auto"/>
        <w:ind w:left="453" w:hanging="357"/>
        <w:jc w:val="both"/>
        <w:rPr>
          <w:noProof/>
          <w:szCs w:val="24"/>
        </w:rPr>
      </w:pPr>
      <w:bookmarkStart w:id="28" w:name="_Hlk147384945"/>
      <w:r>
        <w:rPr>
          <w:rFonts w:ascii="Times New Roman" w:hAnsi="Times New Roman"/>
          <w:noProof/>
          <w:sz w:val="24"/>
        </w:rPr>
        <w:t>élaboration de plans de prévention des pénuries par toutes les entreprises et pour tous les médicaments;</w:t>
      </w:r>
      <w:bookmarkEnd w:id="28"/>
    </w:p>
    <w:p w14:paraId="09044E95" w14:textId="0B80A148" w:rsidR="00F50D51" w:rsidRPr="00EA36B5" w:rsidRDefault="00F50D51" w:rsidP="00A11FCD">
      <w:pPr>
        <w:pStyle w:val="ListParagraph"/>
        <w:numPr>
          <w:ilvl w:val="0"/>
          <w:numId w:val="29"/>
        </w:numPr>
        <w:spacing w:after="120" w:line="240" w:lineRule="auto"/>
        <w:ind w:left="453" w:hanging="357"/>
        <w:jc w:val="both"/>
        <w:rPr>
          <w:noProof/>
          <w:szCs w:val="24"/>
        </w:rPr>
      </w:pPr>
      <w:r>
        <w:rPr>
          <w:rFonts w:ascii="Times New Roman" w:hAnsi="Times New Roman"/>
          <w:noProof/>
          <w:sz w:val="24"/>
        </w:rPr>
        <w:t>partage renforcé d’informations sur les pénuries critiques entre les États membres et l’EMA, pour permettre à l’UE de tirer pleinement profit des procédures et systèmes existants. Ces informations pourraient comprendre des renseignements sur les mesures prévues ou déjà adoptées, y compris les mesures unilatérales des États membres, telles que les interdictions d’exportation ou de commerce parallèle;</w:t>
      </w:r>
    </w:p>
    <w:p w14:paraId="383874A8" w14:textId="374564CD" w:rsidR="005B2C0D" w:rsidRPr="00EA36B5" w:rsidRDefault="005B2C0D" w:rsidP="005B2C0D">
      <w:pPr>
        <w:pStyle w:val="ListParagraph"/>
        <w:numPr>
          <w:ilvl w:val="0"/>
          <w:numId w:val="29"/>
        </w:numPr>
        <w:spacing w:after="120" w:line="240" w:lineRule="auto"/>
        <w:ind w:left="453" w:hanging="357"/>
        <w:jc w:val="both"/>
        <w:rPr>
          <w:noProof/>
          <w:szCs w:val="24"/>
        </w:rPr>
      </w:pPr>
      <w:r>
        <w:rPr>
          <w:rFonts w:ascii="Times New Roman" w:hAnsi="Times New Roman"/>
          <w:noProof/>
          <w:sz w:val="24"/>
        </w:rPr>
        <w:t xml:space="preserve">recommandations de la Commission/de l’EMA sur la gestion des pénuries critiques et l’amélioration de la sécurité de l’approvisionnement à l’avenir (par exemple en maintenant des stocks d’urgence); </w:t>
      </w:r>
    </w:p>
    <w:p w14:paraId="3B3AD2E7" w14:textId="5AA093B2" w:rsidR="00BF0BD9" w:rsidRPr="00EA36B5" w:rsidRDefault="00BF0BD9" w:rsidP="00A11FCD">
      <w:pPr>
        <w:pStyle w:val="ListParagraph"/>
        <w:numPr>
          <w:ilvl w:val="0"/>
          <w:numId w:val="29"/>
        </w:numPr>
        <w:spacing w:after="120" w:line="240" w:lineRule="auto"/>
        <w:ind w:left="453" w:hanging="357"/>
        <w:jc w:val="both"/>
        <w:rPr>
          <w:noProof/>
          <w:szCs w:val="24"/>
        </w:rPr>
      </w:pPr>
      <w:r>
        <w:rPr>
          <w:rFonts w:ascii="Times New Roman" w:hAnsi="Times New Roman"/>
          <w:noProof/>
          <w:sz w:val="24"/>
        </w:rPr>
        <w:t>consultation continue, par l’EMA, de tous les acteurs industriels concernés durant une pénurie critique;</w:t>
      </w:r>
    </w:p>
    <w:p w14:paraId="2345DC04" w14:textId="7C52A5E2" w:rsidR="00AB0C5C" w:rsidRPr="00B976E9" w:rsidRDefault="00350A81" w:rsidP="00FD26DF">
      <w:pPr>
        <w:pStyle w:val="ListParagraph"/>
        <w:numPr>
          <w:ilvl w:val="0"/>
          <w:numId w:val="29"/>
        </w:numPr>
        <w:spacing w:after="120" w:line="240" w:lineRule="auto"/>
        <w:ind w:left="453" w:hanging="357"/>
        <w:jc w:val="both"/>
        <w:rPr>
          <w:rFonts w:ascii="Times New Roman" w:hAnsi="Times New Roman"/>
          <w:noProof/>
          <w:sz w:val="24"/>
          <w:szCs w:val="24"/>
        </w:rPr>
      </w:pPr>
      <w:r>
        <w:rPr>
          <w:rFonts w:ascii="Times New Roman" w:hAnsi="Times New Roman"/>
          <w:noProof/>
          <w:sz w:val="24"/>
        </w:rPr>
        <w:t>transfert simplifié d’une autorisation de mise sur le marché à un tiers, pour limiter les conséquences des retraits de médicaments.</w:t>
      </w:r>
    </w:p>
    <w:p w14:paraId="4A16582D" w14:textId="14D7519D" w:rsidR="00AB0C5C" w:rsidRDefault="00EA2CB3" w:rsidP="002B5C82">
      <w:pPr>
        <w:pStyle w:val="Text1"/>
        <w:spacing w:after="120"/>
        <w:ind w:left="0"/>
        <w:rPr>
          <w:noProof/>
        </w:rPr>
      </w:pPr>
      <w:r>
        <w:rPr>
          <w:noProof/>
        </w:rPr>
        <w:t>D’autres mesures pourraient compléter ces éléments, par exemple une communication proactive en ce qui concerne les pénuries critiques. Les États membres pourraient par exemple lancer des campagnes d’information pour décourager la constitution de réserves par les particuliers ou prendre des mesures pour éviter le gaspillage</w:t>
      </w:r>
      <w:r>
        <w:rPr>
          <w:rStyle w:val="FootnoteReference"/>
          <w:noProof/>
        </w:rPr>
        <w:footnoteReference w:id="28"/>
      </w:r>
      <w:r>
        <w:rPr>
          <w:noProof/>
        </w:rPr>
        <w:t xml:space="preserve"> à tout niveau de la chaîne d’approvisionnement, du grossiste au patient. </w:t>
      </w:r>
    </w:p>
    <w:p w14:paraId="15C12E19" w14:textId="258797F3" w:rsidR="004B78BA" w:rsidRPr="008E2E92" w:rsidRDefault="004B78BA" w:rsidP="004B78BA">
      <w:pPr>
        <w:spacing w:after="120"/>
        <w:rPr>
          <w:rStyle w:val="normaltextrun"/>
          <w:b/>
          <w:i/>
          <w:noProof/>
        </w:rPr>
      </w:pPr>
      <w:r>
        <w:rPr>
          <w:noProof/>
        </w:rPr>
        <w:t xml:space="preserve">Les </w:t>
      </w:r>
      <w:r>
        <w:rPr>
          <w:b/>
          <w:i/>
          <w:noProof/>
        </w:rPr>
        <w:t>capacités nationales</w:t>
      </w:r>
      <w:r>
        <w:rPr>
          <w:noProof/>
        </w:rPr>
        <w:t xml:space="preserve"> dans le domaine des pénuries sont soutenues par une action commune sur les pénuries dotée d’un budget de </w:t>
      </w:r>
      <w:r w:rsidRPr="00093148">
        <w:rPr>
          <w:noProof/>
        </w:rPr>
        <w:t>10</w:t>
      </w:r>
      <w:r>
        <w:rPr>
          <w:noProof/>
        </w:rPr>
        <w:t> millions d’euros au titre du programme «L’UE pour la santé» (EU</w:t>
      </w:r>
      <w:r w:rsidRPr="00093148">
        <w:rPr>
          <w:noProof/>
        </w:rPr>
        <w:t>4</w:t>
      </w:r>
      <w:r>
        <w:rPr>
          <w:noProof/>
        </w:rPr>
        <w:t xml:space="preserve">Health), qui contient un modèle de «bonnes pratiques» informatiques à utiliser à l’échelle nationale. Les autorités participantes peuvent également bénéficier du soutien de l’UE pour renforcer les capacités nationales en matière de gestion des pénuries. </w:t>
      </w:r>
    </w:p>
    <w:p w14:paraId="2A7B4C72" w14:textId="77777777" w:rsidR="004F5474" w:rsidRPr="008E2E92" w:rsidRDefault="004F5474" w:rsidP="004F5474">
      <w:pPr>
        <w:pStyle w:val="Heading2"/>
        <w:numPr>
          <w:ilvl w:val="0"/>
          <w:numId w:val="0"/>
        </w:numPr>
        <w:spacing w:before="120" w:after="120"/>
        <w:rPr>
          <w:rStyle w:val="normaltextrun"/>
          <w:i/>
          <w:iCs/>
          <w:noProof/>
        </w:rPr>
      </w:pPr>
      <w:r>
        <w:rPr>
          <w:rStyle w:val="normaltextrun"/>
          <w:i/>
          <w:noProof/>
        </w:rPr>
        <w:t xml:space="preserve">Recourir à toutes les flexibilités </w:t>
      </w:r>
    </w:p>
    <w:p w14:paraId="573074A0" w14:textId="29E5066D" w:rsidR="004F5474" w:rsidRPr="008E2E92" w:rsidRDefault="004F5474" w:rsidP="004F5474">
      <w:pPr>
        <w:pStyle w:val="NormalWeb"/>
        <w:spacing w:before="0" w:beforeAutospacing="0" w:after="120" w:afterAutospacing="0"/>
        <w:jc w:val="both"/>
        <w:rPr>
          <w:noProof/>
        </w:rPr>
      </w:pPr>
      <w:r>
        <w:rPr>
          <w:b/>
          <w:i/>
          <w:noProof/>
        </w:rPr>
        <w:t xml:space="preserve">Les flexibilités réglementaires peuvent constituer un outil important pour la gestion et l’atténuation des pénuries de médicaments critiques. </w:t>
      </w:r>
      <w:r>
        <w:rPr>
          <w:noProof/>
        </w:rPr>
        <w:t xml:space="preserve">Elles couvrent les mesures visant à faciliter l’autorisation et le déploiement rapides d’alternatives, l’augmentation de la production ou l’approbation d’autres fournisseurs de matières premières ou de produits finis, la prolongation temporaire de la durée de conservation et la redistribution entre les États membres. </w:t>
      </w:r>
    </w:p>
    <w:p w14:paraId="2362A318" w14:textId="6C08DA7E" w:rsidR="004F5474" w:rsidRDefault="004F5474" w:rsidP="004F5474">
      <w:pPr>
        <w:autoSpaceDE w:val="0"/>
        <w:autoSpaceDN w:val="0"/>
        <w:spacing w:after="0"/>
        <w:rPr>
          <w:noProof/>
        </w:rPr>
      </w:pPr>
      <w:r>
        <w:rPr>
          <w:noProof/>
        </w:rPr>
        <w:t>Ces dernières années, les régulateurs de l’UE ont acquis de l’expérience avec ces flexibilités, notamment durant la pandémie de COVID-</w:t>
      </w:r>
      <w:r w:rsidRPr="00093148">
        <w:rPr>
          <w:noProof/>
        </w:rPr>
        <w:t>19</w:t>
      </w:r>
      <w:r>
        <w:rPr>
          <w:noProof/>
        </w:rPr>
        <w:t>. Cette expérience prouve que les flexibilités peuvent être mises à profit sans compromettre les normes de sécurité et de qualité</w:t>
      </w:r>
      <w:r>
        <w:rPr>
          <w:rStyle w:val="FootnoteReference"/>
          <w:noProof/>
        </w:rPr>
        <w:footnoteReference w:id="29"/>
      </w:r>
      <w:r>
        <w:rPr>
          <w:noProof/>
        </w:rPr>
        <w:t xml:space="preserve">. Une nouvelle action commune permettra de promouvoir efficacement l’utilisation des flexibilités réglementaires et autres flexibilités susceptibles d’être appliquées à l’échelle nationale, par exemple en autorisant l’utilisation de préparations magistrales effectuées par les pharmacies locales pour atténuer certaines pénuries. </w:t>
      </w:r>
    </w:p>
    <w:p w14:paraId="428C0F1A" w14:textId="77777777" w:rsidR="00CD4E88" w:rsidRDefault="00CD4E88" w:rsidP="004F5474">
      <w:pPr>
        <w:autoSpaceDE w:val="0"/>
        <w:autoSpaceDN w:val="0"/>
        <w:spacing w:after="0"/>
        <w:rPr>
          <w:noProof/>
        </w:rPr>
      </w:pPr>
    </w:p>
    <w:p w14:paraId="268D327B" w14:textId="77777777" w:rsidR="00CD4E88" w:rsidRDefault="00CD4E88" w:rsidP="004F5474">
      <w:pPr>
        <w:autoSpaceDE w:val="0"/>
        <w:autoSpaceDN w:val="0"/>
        <w:spacing w:after="0"/>
        <w:rPr>
          <w:noProof/>
        </w:rPr>
      </w:pPr>
    </w:p>
    <w:p w14:paraId="232BBD06" w14:textId="77777777" w:rsidR="00936DD4" w:rsidRDefault="00936DD4" w:rsidP="19BD1B81">
      <w:pPr>
        <w:spacing w:after="0"/>
        <w:rPr>
          <w:rStyle w:val="normaltextrun"/>
          <w:b/>
          <w:i/>
          <w:noProof/>
        </w:rPr>
      </w:pPr>
    </w:p>
    <w:p w14:paraId="06E671E4" w14:textId="185714F9" w:rsidR="004D608E" w:rsidRPr="008E2E92" w:rsidRDefault="00482550" w:rsidP="00115D62">
      <w:pPr>
        <w:spacing w:after="120"/>
        <w:rPr>
          <w:rStyle w:val="normaltextrun"/>
          <w:b/>
          <w:bCs/>
          <w:i/>
          <w:iCs/>
          <w:noProof/>
        </w:rPr>
      </w:pPr>
      <w:bookmarkStart w:id="29" w:name="_Toc144438849"/>
      <w:bookmarkEnd w:id="26"/>
      <w:r>
        <w:rPr>
          <w:rStyle w:val="normaltextrun"/>
          <w:b/>
          <w:i/>
          <w:noProof/>
        </w:rPr>
        <w:t>Politique</w:t>
      </w:r>
      <w:bookmarkEnd w:id="29"/>
      <w:r>
        <w:rPr>
          <w:rStyle w:val="normaltextrun"/>
          <w:b/>
          <w:i/>
          <w:noProof/>
        </w:rPr>
        <w:t xml:space="preserve"> de tarification et de remboursement  </w:t>
      </w:r>
    </w:p>
    <w:p w14:paraId="4C46CD86" w14:textId="28DF7077" w:rsidR="00866626" w:rsidRDefault="00E42676" w:rsidP="007E266B">
      <w:pPr>
        <w:pStyle w:val="NormalWeb"/>
        <w:spacing w:before="0" w:beforeAutospacing="0" w:after="120" w:afterAutospacing="0"/>
        <w:jc w:val="both"/>
        <w:rPr>
          <w:noProof/>
          <w:color w:val="000000" w:themeColor="text1"/>
        </w:rPr>
      </w:pPr>
      <w:r>
        <w:rPr>
          <w:noProof/>
          <w:color w:val="000000" w:themeColor="text1"/>
        </w:rPr>
        <w:t xml:space="preserve">Si les </w:t>
      </w:r>
      <w:r>
        <w:rPr>
          <w:b/>
          <w:i/>
          <w:noProof/>
          <w:color w:val="000000" w:themeColor="text1"/>
        </w:rPr>
        <w:t>politiques de tarification et de remboursement</w:t>
      </w:r>
      <w:r>
        <w:rPr>
          <w:noProof/>
          <w:color w:val="000000" w:themeColor="text1"/>
        </w:rPr>
        <w:t xml:space="preserve"> des médicaments relèvent de la compétence nationale, la coopération dans ce domaine est essentielle pour éviter que les décisions d’un État membre ne créent des pénuries dans d’autres États membres. Bien que le prix payé dans un État membre reflète la préférence d’un système national de santé, un renforcement de la coordination en matière de tarification et de passation de marchés pourrait permettre un accès plus équitable et plus rapide aux médicaments, y compris pour les États membres dont le pouvoir d’achat est plus faible. La collaboration sur une base volontaire sera davantage facilitée par la Commission, y compris au sein du groupe des autorités nationales compétentes en matière de fixation des prix et du niveau de remboursement et des caisses d’assurance maladie publiques (NCAPR). Dans ce groupe, les États membres partagent leur expérience en matière de tarification, de remboursement et de passation de marchés à l’échelle nationale, ce qui est utile pour garantir le caractère abordable des médicaments et assurer la sécurité de l’approvisionnement. </w:t>
      </w:r>
    </w:p>
    <w:p w14:paraId="25FB5F68" w14:textId="0D919400" w:rsidR="002F7D0A" w:rsidRPr="008E2E92" w:rsidRDefault="00977FA3" w:rsidP="00947EFC">
      <w:pPr>
        <w:pStyle w:val="NormalWeb"/>
        <w:spacing w:before="0" w:beforeAutospacing="0" w:after="0" w:afterAutospacing="0"/>
        <w:jc w:val="both"/>
        <w:rPr>
          <w:noProof/>
          <w:color w:val="000000" w:themeColor="text1"/>
        </w:rPr>
      </w:pPr>
      <w:r>
        <w:rPr>
          <w:noProof/>
          <w:color w:val="000000" w:themeColor="text1"/>
        </w:rPr>
        <w:t>À plus long terme, l’évaluation de l’actuelle directive sur la transparence</w:t>
      </w:r>
      <w:r>
        <w:rPr>
          <w:rStyle w:val="FootnoteReference"/>
          <w:noProof/>
          <w:color w:val="000000" w:themeColor="text1"/>
        </w:rPr>
        <w:footnoteReference w:id="30"/>
      </w:r>
      <w:r>
        <w:rPr>
          <w:noProof/>
          <w:color w:val="000000" w:themeColor="text1"/>
        </w:rPr>
        <w:t xml:space="preserve"> sera l’occasion d’envisager un outil de coopération important en matière de tarification et de remboursement.   </w:t>
      </w:r>
    </w:p>
    <w:p w14:paraId="1B9E3C00" w14:textId="26F47F49" w:rsidR="00BE6C54" w:rsidRPr="008E2E92" w:rsidRDefault="00B77A20" w:rsidP="00947EFC">
      <w:pPr>
        <w:spacing w:before="240" w:after="120"/>
        <w:rPr>
          <w:b/>
          <w:bCs/>
          <w:i/>
          <w:iCs/>
          <w:noProof/>
          <w:color w:val="000000" w:themeColor="text1"/>
        </w:rPr>
      </w:pPr>
      <w:r>
        <w:rPr>
          <w:b/>
          <w:i/>
          <w:noProof/>
          <w:color w:val="000000" w:themeColor="text1"/>
        </w:rPr>
        <w:t>Utiliser la passation de marchés pour renforcer la sécurité de l’approvisionnement</w:t>
      </w:r>
    </w:p>
    <w:p w14:paraId="756BB542" w14:textId="77777777" w:rsidR="00CF5983" w:rsidRDefault="00B77A20" w:rsidP="00A11FCD">
      <w:pPr>
        <w:pStyle w:val="ListBullet2"/>
        <w:numPr>
          <w:ilvl w:val="0"/>
          <w:numId w:val="0"/>
        </w:numPr>
        <w:tabs>
          <w:tab w:val="clear" w:pos="1361"/>
        </w:tabs>
        <w:rPr>
          <w:noProof/>
          <w:color w:val="000000" w:themeColor="text1"/>
        </w:rPr>
      </w:pPr>
      <w:r>
        <w:rPr>
          <w:noProof/>
          <w:color w:val="000000" w:themeColor="text1"/>
        </w:rPr>
        <w:t xml:space="preserve">Les pratiques en matière de procédures de passation de marchés pour les médicaments diffèrent d’un État membre à l’autre, et la disponibilité à long terme est rarement une préoccupation première. La directive de </w:t>
      </w:r>
      <w:r w:rsidRPr="00093148">
        <w:rPr>
          <w:noProof/>
          <w:color w:val="000000" w:themeColor="text1"/>
        </w:rPr>
        <w:t>2014</w:t>
      </w:r>
      <w:r>
        <w:rPr>
          <w:noProof/>
          <w:color w:val="000000" w:themeColor="text1"/>
        </w:rPr>
        <w:t xml:space="preserve"> sur les marchés publics encourage une approche plus stratégique au moyen des critères d’attribution en incluant des critères </w:t>
      </w:r>
      <w:r>
        <w:rPr>
          <w:i/>
          <w:iCs/>
          <w:noProof/>
          <w:color w:val="000000" w:themeColor="text1"/>
        </w:rPr>
        <w:t>non limités</w:t>
      </w:r>
      <w:r>
        <w:rPr>
          <w:noProof/>
          <w:color w:val="000000" w:themeColor="text1"/>
        </w:rPr>
        <w:t xml:space="preserve"> au prix. Faire du prix le plus faible le principal critère de sélection pourrait affaiblir les incitations faites à l’industrie pour la mise en place d’un système d’approvisionnement à long terme dans l’Union. Dans le même temps, la vulnérabilité risque de s’aggraver lorsque les </w:t>
      </w:r>
      <w:r>
        <w:rPr>
          <w:b/>
          <w:i/>
          <w:noProof/>
          <w:color w:val="000000" w:themeColor="text1"/>
        </w:rPr>
        <w:t>procédures de passation de marchés publics</w:t>
      </w:r>
      <w:r>
        <w:rPr>
          <w:noProof/>
          <w:color w:val="000000" w:themeColor="text1"/>
        </w:rPr>
        <w:t xml:space="preserve"> aboutissent à l’attribution de marchés une seule entreprise. En cas de difficultés liées à l’accès à un médicament critique et à son caractère abordable, les États membres ont la possibilité de s’associer pour accroître leur pouvoir d’achat: on compte parmi les exemples existants la Baltic Procurement Initiative et le Nordic Pharmaceutical Forum. </w:t>
      </w:r>
    </w:p>
    <w:p w14:paraId="44CDBF8A" w14:textId="4EC73AE2" w:rsidR="00AE0253" w:rsidRDefault="00B92F0C" w:rsidP="00A11FCD">
      <w:pPr>
        <w:pStyle w:val="ListBullet2"/>
        <w:numPr>
          <w:ilvl w:val="0"/>
          <w:numId w:val="0"/>
        </w:numPr>
        <w:tabs>
          <w:tab w:val="clear" w:pos="1361"/>
        </w:tabs>
        <w:rPr>
          <w:noProof/>
        </w:rPr>
      </w:pPr>
      <w:r>
        <w:rPr>
          <w:noProof/>
          <w:color w:val="000000" w:themeColor="text1"/>
        </w:rPr>
        <w:t xml:space="preserve">Des </w:t>
      </w:r>
      <w:r>
        <w:rPr>
          <w:b/>
          <w:i/>
          <w:noProof/>
          <w:color w:val="000000" w:themeColor="text1"/>
        </w:rPr>
        <w:t>procédures conjointes de passation de marchés</w:t>
      </w:r>
      <w:r>
        <w:rPr>
          <w:noProof/>
          <w:color w:val="000000" w:themeColor="text1"/>
        </w:rPr>
        <w:t xml:space="preserve"> entre plusieurs États membres peuvent contribuer efficacement à améliorer l’accès, le caractère abordable et la sécurité de l’approvisionnement, ce qui profite tout particulièrement aux plus petits marchés de l’Union. Cela peut améliorer la position de négociation des États membres en ce qui concerne l’accroissement des capacités de production et la diversification des chaînes d’approvisionnement. Dans des cas précis, ces instruments pourraient également renforcer la prévisibilité au moyen de contrats multiannuels. </w:t>
      </w:r>
      <w:r>
        <w:rPr>
          <w:noProof/>
        </w:rPr>
        <w:t xml:space="preserve">La Commission cherchera à recourir à des procédures conjointes de passation de marchés pour les antibiotiques et les </w:t>
      </w:r>
      <w:r>
        <w:rPr>
          <w:rStyle w:val="normaltextrun"/>
          <w:noProof/>
        </w:rPr>
        <w:t>traitements contre les virus respiratoires</w:t>
      </w:r>
      <w:r>
        <w:rPr>
          <w:noProof/>
        </w:rPr>
        <w:t xml:space="preserve">, en amont de l’hiver </w:t>
      </w:r>
      <w:r w:rsidRPr="00093148">
        <w:rPr>
          <w:noProof/>
        </w:rPr>
        <w:t>2024</w:t>
      </w:r>
      <w:r>
        <w:rPr>
          <w:noProof/>
        </w:rPr>
        <w:t>-</w:t>
      </w:r>
      <w:r w:rsidRPr="00093148">
        <w:rPr>
          <w:noProof/>
        </w:rPr>
        <w:t>25</w:t>
      </w:r>
      <w:r>
        <w:rPr>
          <w:noProof/>
        </w:rPr>
        <w:t>.</w:t>
      </w:r>
    </w:p>
    <w:tbl>
      <w:tblPr>
        <w:tblStyle w:val="TableGrid"/>
        <w:tblW w:w="8834" w:type="dxa"/>
        <w:tblLook w:val="04A0" w:firstRow="1" w:lastRow="0" w:firstColumn="1" w:lastColumn="0" w:noHBand="0" w:noVBand="1"/>
      </w:tblPr>
      <w:tblGrid>
        <w:gridCol w:w="8834"/>
      </w:tblGrid>
      <w:tr w:rsidR="003B51A1" w:rsidRPr="008E2E92" w14:paraId="58C91F05" w14:textId="77777777" w:rsidTr="000F1695">
        <w:tc>
          <w:tcPr>
            <w:tcW w:w="8834" w:type="dxa"/>
          </w:tcPr>
          <w:p w14:paraId="021E4C49" w14:textId="77777777" w:rsidR="003B51A1" w:rsidRPr="008E2E92" w:rsidRDefault="003B51A1" w:rsidP="000F1695">
            <w:pPr>
              <w:spacing w:after="120"/>
              <w:rPr>
                <w:b/>
                <w:bCs/>
                <w:i/>
                <w:iCs/>
                <w:noProof/>
                <w:color w:val="000000" w:themeColor="text1"/>
                <w:szCs w:val="24"/>
              </w:rPr>
            </w:pPr>
            <w:r>
              <w:rPr>
                <w:b/>
                <w:i/>
                <w:noProof/>
                <w:color w:val="000000" w:themeColor="text1"/>
              </w:rPr>
              <w:t>Pratiques en matière de marchés publics favorisant la sécurité de l’approvisionnement en médicaments:</w:t>
            </w:r>
          </w:p>
          <w:p w14:paraId="5F614FCE" w14:textId="77777777" w:rsidR="003B51A1" w:rsidRPr="008E2E92" w:rsidRDefault="003B51A1" w:rsidP="000F1695">
            <w:pPr>
              <w:spacing w:after="120"/>
              <w:rPr>
                <w:noProof/>
                <w:color w:val="000000" w:themeColor="text1"/>
                <w:szCs w:val="24"/>
              </w:rPr>
            </w:pPr>
            <w:r>
              <w:rPr>
                <w:noProof/>
                <w:color w:val="000000" w:themeColor="text1"/>
              </w:rPr>
              <w:t xml:space="preserve">Différents outils peuvent déjà être utilisés pour améliorer la disponibilité des médicaments critiques: </w:t>
            </w:r>
          </w:p>
          <w:p w14:paraId="333F7006" w14:textId="77777777" w:rsidR="003B51A1" w:rsidRPr="008E2E92" w:rsidRDefault="003B51A1" w:rsidP="000F1695">
            <w:pPr>
              <w:pStyle w:val="ListParagraph"/>
              <w:numPr>
                <w:ilvl w:val="0"/>
                <w:numId w:val="32"/>
              </w:numPr>
              <w:spacing w:after="0" w:line="240" w:lineRule="auto"/>
              <w:ind w:left="426" w:hanging="357"/>
              <w:jc w:val="both"/>
              <w:rPr>
                <w:rFonts w:ascii="Times New Roman" w:eastAsia="Times New Roman" w:hAnsi="Times New Roman"/>
                <w:noProof/>
                <w:color w:val="000000" w:themeColor="text1"/>
                <w:sz w:val="24"/>
                <w:szCs w:val="24"/>
              </w:rPr>
            </w:pPr>
            <w:r>
              <w:rPr>
                <w:rFonts w:ascii="Times New Roman" w:hAnsi="Times New Roman"/>
                <w:noProof/>
                <w:color w:val="000000" w:themeColor="text1"/>
                <w:sz w:val="24"/>
              </w:rPr>
              <w:t xml:space="preserve">la consultation préalable du marché; </w:t>
            </w:r>
          </w:p>
          <w:p w14:paraId="23B96D06" w14:textId="77777777" w:rsidR="003B51A1" w:rsidRPr="008E2E92" w:rsidRDefault="003B51A1" w:rsidP="000F1695">
            <w:pPr>
              <w:pStyle w:val="ListParagraph"/>
              <w:numPr>
                <w:ilvl w:val="0"/>
                <w:numId w:val="32"/>
              </w:numPr>
              <w:spacing w:line="240" w:lineRule="auto"/>
              <w:ind w:left="429"/>
              <w:rPr>
                <w:rFonts w:ascii="Times New Roman" w:hAnsi="Times New Roman"/>
                <w:noProof/>
                <w:color w:val="000000" w:themeColor="text1"/>
                <w:sz w:val="24"/>
              </w:rPr>
            </w:pPr>
            <w:r>
              <w:rPr>
                <w:rFonts w:ascii="Times New Roman" w:hAnsi="Times New Roman"/>
                <w:noProof/>
                <w:color w:val="000000" w:themeColor="text1"/>
                <w:sz w:val="24"/>
              </w:rPr>
              <w:t>l’attribution de marchés à plusieurs lauréats, afin de réduire le risque de ruptures d’approvisionnement et de maintenir un environnement concurrentiel;</w:t>
            </w:r>
            <w:r>
              <w:rPr>
                <w:noProof/>
                <w:color w:val="000000" w:themeColor="text1"/>
              </w:rPr>
              <w:t xml:space="preserve"> </w:t>
            </w:r>
          </w:p>
          <w:p w14:paraId="1B9846AA" w14:textId="77777777" w:rsidR="003B51A1" w:rsidRPr="00BF58C9" w:rsidRDefault="003B51A1" w:rsidP="000F1695">
            <w:pPr>
              <w:pStyle w:val="ListParagraph"/>
              <w:numPr>
                <w:ilvl w:val="0"/>
                <w:numId w:val="32"/>
              </w:numPr>
              <w:spacing w:after="0" w:line="240" w:lineRule="auto"/>
              <w:ind w:left="429"/>
              <w:jc w:val="both"/>
              <w:rPr>
                <w:rFonts w:ascii="Times New Roman" w:hAnsi="Times New Roman"/>
                <w:noProof/>
                <w:color w:val="000000" w:themeColor="text1"/>
                <w:sz w:val="24"/>
              </w:rPr>
            </w:pPr>
            <w:r w:rsidRPr="00BF58C9">
              <w:rPr>
                <w:rFonts w:ascii="Times New Roman" w:hAnsi="Times New Roman"/>
                <w:noProof/>
                <w:color w:val="000000" w:themeColor="text1"/>
                <w:sz w:val="24"/>
              </w:rPr>
              <w:t>le recours accru, parmi les critères d’attribution pour l’offre économiquement la plus avantageuse dans le cadre d’appels d’offres publics, à des critères qualitatifs tels que la sécurité de l’approvisionnement et la production dans l’UE/EEE ou dans des pays ayant conclu un accord sur les marchés publics avec l’UE;</w:t>
            </w:r>
          </w:p>
          <w:p w14:paraId="3BDBA62C" w14:textId="77777777" w:rsidR="003B51A1" w:rsidRPr="0020433B" w:rsidRDefault="003B51A1" w:rsidP="000F1695">
            <w:pPr>
              <w:pStyle w:val="ListParagraph"/>
              <w:numPr>
                <w:ilvl w:val="0"/>
                <w:numId w:val="32"/>
              </w:numPr>
              <w:spacing w:after="0" w:line="240" w:lineRule="auto"/>
              <w:ind w:left="426" w:hanging="357"/>
              <w:jc w:val="both"/>
              <w:rPr>
                <w:b/>
                <w:bCs/>
                <w:i/>
                <w:iCs/>
                <w:noProof/>
                <w:color w:val="000000" w:themeColor="text1"/>
                <w:szCs w:val="24"/>
              </w:rPr>
            </w:pPr>
            <w:r>
              <w:rPr>
                <w:rFonts w:ascii="Times New Roman" w:hAnsi="Times New Roman"/>
                <w:noProof/>
                <w:color w:val="000000" w:themeColor="text1"/>
                <w:sz w:val="24"/>
              </w:rPr>
              <w:t>la passation conjointe de marchés (marchés groupés et marchés transnationaux) afin de remédier aux problèmes d’accès sur les marchés de taille limitée. Cela élargirait l’échelle et renforcerait le pouvoir de négociation tout en incitant à l’adoption de mesures au soutien de la compétitivité des marchés et en décourageant le resserrement de la chaîne d’approvisionnement;</w:t>
            </w:r>
          </w:p>
          <w:p w14:paraId="7482CB96" w14:textId="77777777" w:rsidR="003B51A1" w:rsidRPr="008E2E92" w:rsidRDefault="003B51A1" w:rsidP="000F1695">
            <w:pPr>
              <w:pStyle w:val="ListParagraph"/>
              <w:numPr>
                <w:ilvl w:val="0"/>
                <w:numId w:val="32"/>
              </w:numPr>
              <w:spacing w:after="120" w:line="240" w:lineRule="auto"/>
              <w:ind w:left="425" w:hanging="357"/>
              <w:contextualSpacing w:val="0"/>
              <w:jc w:val="both"/>
              <w:rPr>
                <w:b/>
                <w:i/>
                <w:noProof/>
                <w:color w:val="000000" w:themeColor="text1"/>
              </w:rPr>
            </w:pPr>
            <w:r>
              <w:rPr>
                <w:rFonts w:ascii="Times New Roman" w:hAnsi="Times New Roman"/>
                <w:noProof/>
                <w:color w:val="000000" w:themeColor="text1"/>
                <w:sz w:val="24"/>
              </w:rPr>
              <w:t>l’adaptation de la durée des contrats de manière à favoriser la prévisibilité de la demande ainsi que la disponibilité sur le long terme.</w:t>
            </w:r>
          </w:p>
        </w:tc>
      </w:tr>
    </w:tbl>
    <w:p w14:paraId="36B7E174" w14:textId="77777777" w:rsidR="003B51A1" w:rsidRPr="008E2E92" w:rsidRDefault="003B51A1" w:rsidP="003B51A1">
      <w:pPr>
        <w:spacing w:after="0"/>
        <w:rPr>
          <w:noProof/>
          <w:color w:val="000000" w:themeColor="text1"/>
          <w:szCs w:val="24"/>
        </w:rPr>
      </w:pPr>
    </w:p>
    <w:p w14:paraId="4750E26D" w14:textId="77777777" w:rsidR="003B51A1" w:rsidRDefault="003B51A1" w:rsidP="003B51A1">
      <w:pPr>
        <w:pStyle w:val="ListBullet2"/>
        <w:numPr>
          <w:ilvl w:val="0"/>
          <w:numId w:val="0"/>
        </w:numPr>
        <w:tabs>
          <w:tab w:val="clear" w:pos="1361"/>
        </w:tabs>
        <w:spacing w:after="120"/>
        <w:rPr>
          <w:noProof/>
          <w:color w:val="000000" w:themeColor="text1"/>
        </w:rPr>
      </w:pPr>
      <w:r>
        <w:rPr>
          <w:noProof/>
          <w:color w:val="000000" w:themeColor="text1"/>
        </w:rPr>
        <w:t xml:space="preserve">Poursuivant ses travaux avec les experts et les autorités nationales, la Commission publiera des </w:t>
      </w:r>
      <w:r>
        <w:rPr>
          <w:b/>
          <w:bCs/>
          <w:i/>
          <w:noProof/>
          <w:color w:val="000000" w:themeColor="text1"/>
        </w:rPr>
        <w:t>orientations</w:t>
      </w:r>
      <w:r>
        <w:rPr>
          <w:b/>
          <w:bCs/>
          <w:noProof/>
          <w:color w:val="000000" w:themeColor="text1"/>
        </w:rPr>
        <w:t xml:space="preserve"> de l’UE </w:t>
      </w:r>
      <w:r>
        <w:rPr>
          <w:b/>
          <w:bCs/>
          <w:i/>
          <w:noProof/>
          <w:color w:val="000000" w:themeColor="text1"/>
        </w:rPr>
        <w:t>sur les marchés publics</w:t>
      </w:r>
      <w:r>
        <w:rPr>
          <w:noProof/>
          <w:color w:val="000000" w:themeColor="text1"/>
        </w:rPr>
        <w:t xml:space="preserve"> d’ici le début de </w:t>
      </w:r>
      <w:r w:rsidRPr="00093148">
        <w:rPr>
          <w:noProof/>
          <w:color w:val="000000" w:themeColor="text1"/>
        </w:rPr>
        <w:t>2024</w:t>
      </w:r>
      <w:r>
        <w:rPr>
          <w:noProof/>
          <w:color w:val="000000" w:themeColor="text1"/>
        </w:rPr>
        <w:t>. L’accent sera mis sur les pratiques ad hoc contribuant directement à la sécurité de l’approvisionnement et à la disponibilité, grâce à l’intégration effective du critère de la sécurité de l’approvisionnement dans les critères d’attribution</w:t>
      </w:r>
      <w:r>
        <w:rPr>
          <w:rStyle w:val="FootnoteReference"/>
          <w:noProof/>
          <w:color w:val="000000" w:themeColor="text1"/>
        </w:rPr>
        <w:footnoteReference w:id="31"/>
      </w:r>
      <w:r>
        <w:rPr>
          <w:noProof/>
          <w:color w:val="000000" w:themeColor="text1"/>
        </w:rPr>
        <w:t xml:space="preserve">, dans le respect des engagements internationaux de l’UE.  Ces orientations guideront les États membres et les acheteurs pour ce qui est des bonnes pratiques en matière de marchés publics. </w:t>
      </w:r>
    </w:p>
    <w:p w14:paraId="050B4DC9" w14:textId="77777777" w:rsidR="003B51A1" w:rsidRDefault="003B51A1" w:rsidP="003B51A1">
      <w:pPr>
        <w:pStyle w:val="ListBullet2"/>
        <w:numPr>
          <w:ilvl w:val="0"/>
          <w:numId w:val="0"/>
        </w:numPr>
        <w:tabs>
          <w:tab w:val="clear" w:pos="1361"/>
        </w:tabs>
        <w:spacing w:after="120"/>
        <w:rPr>
          <w:noProof/>
          <w:color w:val="000000" w:themeColor="text1"/>
        </w:rPr>
      </w:pPr>
      <w:r>
        <w:rPr>
          <w:noProof/>
          <w:color w:val="000000" w:themeColor="text1"/>
        </w:rPr>
        <w:t xml:space="preserve">Plus généralement, la refonte du </w:t>
      </w:r>
      <w:r>
        <w:rPr>
          <w:b/>
          <w:i/>
          <w:noProof/>
          <w:color w:val="000000" w:themeColor="text1"/>
        </w:rPr>
        <w:t>règlement financier</w:t>
      </w:r>
      <w:r>
        <w:rPr>
          <w:rStyle w:val="FootnoteReference"/>
          <w:noProof/>
          <w:color w:val="000000" w:themeColor="text1"/>
        </w:rPr>
        <w:footnoteReference w:id="32"/>
      </w:r>
      <w:r>
        <w:rPr>
          <w:b/>
          <w:i/>
          <w:noProof/>
          <w:color w:val="000000" w:themeColor="text1"/>
        </w:rPr>
        <w:t xml:space="preserve"> </w:t>
      </w:r>
      <w:r>
        <w:rPr>
          <w:noProof/>
          <w:color w:val="000000" w:themeColor="text1"/>
        </w:rPr>
        <w:t>proposée par la Commission offrirait des options supplémentaires, non limitées aux situations de crise, en ce qui concerne les instruments de passation de marché à l’échelle de l’UE. Dès lors que les États membres manifestent leur intérêt et qu’il existe une base juridique spécifique, la Commission pourrait non seulement acheter des médicaments conjointement avec les États membres mais aussi les acheter en leur nom, sur la base d’un mandat. Cela pourrait concerner les médicaments et produits auxiliaires critiques qui ne sont pas couverts par le champ d’application actuel de l’accord de passation conjointe de marché en vue de l'acquisition de contre-mesures médicales.</w:t>
      </w:r>
    </w:p>
    <w:p w14:paraId="1DB3D7DC" w14:textId="77777777" w:rsidR="003B51A1" w:rsidRDefault="003B51A1" w:rsidP="003B51A1">
      <w:pPr>
        <w:pStyle w:val="ListBullet2"/>
        <w:numPr>
          <w:ilvl w:val="0"/>
          <w:numId w:val="0"/>
        </w:numPr>
        <w:tabs>
          <w:tab w:val="clear" w:pos="1361"/>
        </w:tabs>
        <w:spacing w:after="120"/>
        <w:rPr>
          <w:noProof/>
          <w:color w:val="000000" w:themeColor="text1"/>
        </w:rPr>
      </w:pPr>
      <w:r>
        <w:rPr>
          <w:noProof/>
        </w:rPr>
        <w:t>L’un des points à aborder lors du prochain réexamen de l’HERA sera de déterminer dans quelle mesure les actions mises en œuvre devraient inclure, pour l’ensemble des médicaments, des réponses non limitées aux menaces transfrontières graves pour la santé.</w:t>
      </w:r>
      <w:r>
        <w:rPr>
          <w:noProof/>
          <w:color w:val="000000" w:themeColor="text1"/>
        </w:rPr>
        <w:t xml:space="preserve"> </w:t>
      </w:r>
    </w:p>
    <w:tbl>
      <w:tblPr>
        <w:tblStyle w:val="TableGrid"/>
        <w:tblW w:w="0" w:type="auto"/>
        <w:tblLook w:val="04A0" w:firstRow="1" w:lastRow="0" w:firstColumn="1" w:lastColumn="0" w:noHBand="0" w:noVBand="1"/>
      </w:tblPr>
      <w:tblGrid>
        <w:gridCol w:w="8602"/>
      </w:tblGrid>
      <w:tr w:rsidR="003B51A1" w:rsidRPr="008E2E92" w14:paraId="203CD654" w14:textId="77777777" w:rsidTr="000F1695">
        <w:tc>
          <w:tcPr>
            <w:tcW w:w="8602" w:type="dxa"/>
          </w:tcPr>
          <w:p w14:paraId="176CE379" w14:textId="77777777" w:rsidR="003B51A1" w:rsidRPr="008E2E92" w:rsidRDefault="003B51A1" w:rsidP="000F1695">
            <w:pPr>
              <w:spacing w:before="120" w:after="120"/>
              <w:rPr>
                <w:rStyle w:val="normaltextrun"/>
                <w:rFonts w:eastAsia="Calibri"/>
                <w:b/>
                <w:bCs/>
                <w:i/>
                <w:iCs/>
                <w:noProof/>
                <w:color w:val="000000" w:themeColor="text1"/>
                <w:sz w:val="22"/>
                <w:szCs w:val="22"/>
              </w:rPr>
            </w:pPr>
            <w:r>
              <w:rPr>
                <w:rStyle w:val="normaltextrun"/>
                <w:b/>
                <w:i/>
                <w:noProof/>
              </w:rPr>
              <w:t>La Commission, conjointement avec l'EMA et les États membres, intensifiera avant l'hiver prochain ses efforts en vue de prévenir les pénuries critiques, en ce qui concerne:</w:t>
            </w:r>
          </w:p>
          <w:p w14:paraId="475F568C" w14:textId="77777777" w:rsidR="003B51A1" w:rsidRPr="005A0FEB" w:rsidRDefault="003B51A1" w:rsidP="000F1695">
            <w:pPr>
              <w:pStyle w:val="NormalWeb"/>
              <w:numPr>
                <w:ilvl w:val="0"/>
                <w:numId w:val="28"/>
              </w:numPr>
              <w:spacing w:before="0" w:beforeAutospacing="0" w:after="0" w:afterAutospacing="0"/>
              <w:ind w:left="426"/>
              <w:jc w:val="both"/>
              <w:rPr>
                <w:rStyle w:val="normaltextrun"/>
                <w:noProof/>
              </w:rPr>
            </w:pPr>
            <w:r>
              <w:rPr>
                <w:noProof/>
              </w:rPr>
              <w:t xml:space="preserve">le déploiement du nouveau </w:t>
            </w:r>
            <w:r>
              <w:rPr>
                <w:rStyle w:val="normaltextrun"/>
                <w:noProof/>
              </w:rPr>
              <w:t>mécanisme de solidarité volontaire en matière de médicaments</w:t>
            </w:r>
            <w:r>
              <w:rPr>
                <w:noProof/>
              </w:rPr>
              <w:t>;</w:t>
            </w:r>
            <w:r>
              <w:rPr>
                <w:rStyle w:val="normaltextrun"/>
                <w:noProof/>
              </w:rPr>
              <w:t xml:space="preserve"> </w:t>
            </w:r>
          </w:p>
          <w:p w14:paraId="2F881E8A" w14:textId="77777777" w:rsidR="003B51A1" w:rsidRPr="00A8659A" w:rsidRDefault="003B51A1" w:rsidP="000F1695">
            <w:pPr>
              <w:pStyle w:val="NormalWeb"/>
              <w:numPr>
                <w:ilvl w:val="0"/>
                <w:numId w:val="28"/>
              </w:numPr>
              <w:spacing w:before="0" w:beforeAutospacing="0" w:after="0" w:afterAutospacing="0"/>
              <w:ind w:left="426"/>
              <w:jc w:val="both"/>
              <w:rPr>
                <w:noProof/>
                <w:color w:val="000000" w:themeColor="text1"/>
              </w:rPr>
            </w:pPr>
            <w:r>
              <w:rPr>
                <w:noProof/>
              </w:rPr>
              <w:t>l’utilisation de flexibilités réglementaires s’il y a lieu;</w:t>
            </w:r>
          </w:p>
          <w:p w14:paraId="14085A45" w14:textId="77777777" w:rsidR="003B51A1" w:rsidRPr="008E2E92" w:rsidRDefault="003B51A1" w:rsidP="000F1695">
            <w:pPr>
              <w:pStyle w:val="NormalWeb"/>
              <w:numPr>
                <w:ilvl w:val="0"/>
                <w:numId w:val="28"/>
              </w:numPr>
              <w:spacing w:before="0" w:beforeAutospacing="0" w:after="0" w:afterAutospacing="0"/>
              <w:ind w:left="426"/>
              <w:jc w:val="both"/>
              <w:rPr>
                <w:noProof/>
              </w:rPr>
            </w:pPr>
            <w:r>
              <w:rPr>
                <w:noProof/>
              </w:rPr>
              <w:t>la mobilisation de la réserve rescEU d’antibiotiques en cas d'activation du MPCU.</w:t>
            </w:r>
          </w:p>
          <w:p w14:paraId="1F7BBD25" w14:textId="77777777" w:rsidR="003B51A1" w:rsidRPr="00BF58C9" w:rsidRDefault="003B51A1" w:rsidP="000F1695">
            <w:pPr>
              <w:spacing w:after="0"/>
              <w:rPr>
                <w:rStyle w:val="normaltextrun"/>
                <w:b/>
                <w:bCs/>
                <w:i/>
                <w:iCs/>
                <w:noProof/>
                <w:color w:val="000000" w:themeColor="text1"/>
                <w:szCs w:val="24"/>
                <w:lang w:val="fr-BE"/>
              </w:rPr>
            </w:pPr>
          </w:p>
          <w:p w14:paraId="6913F122" w14:textId="77777777" w:rsidR="003B51A1" w:rsidRPr="008E2E92" w:rsidRDefault="003B51A1" w:rsidP="000F1695">
            <w:pPr>
              <w:spacing w:after="120"/>
              <w:rPr>
                <w:rStyle w:val="normaltextrun"/>
                <w:b/>
                <w:bCs/>
                <w:i/>
                <w:iCs/>
                <w:noProof/>
                <w:color w:val="000000" w:themeColor="text1"/>
              </w:rPr>
            </w:pPr>
            <w:r>
              <w:rPr>
                <w:rStyle w:val="normaltextrun"/>
                <w:b/>
                <w:i/>
                <w:noProof/>
              </w:rPr>
              <w:t>De plus, la Commission, conjointement avec l’EMA et les États membres, mettra en œuvre, à court et à moyen terme, les actions suivantes pour soutenir la sécurité à long terme de l’approvisionnement en médicaments critiques dans l’UE:</w:t>
            </w:r>
            <w:r>
              <w:rPr>
                <w:rStyle w:val="normaltextrun"/>
                <w:b/>
                <w:i/>
                <w:noProof/>
                <w:color w:val="000000" w:themeColor="text1"/>
              </w:rPr>
              <w:t xml:space="preserve"> </w:t>
            </w:r>
          </w:p>
          <w:p w14:paraId="3D168423" w14:textId="77777777" w:rsidR="003B51A1" w:rsidRPr="00256148" w:rsidRDefault="003B51A1" w:rsidP="000F1695">
            <w:pPr>
              <w:pStyle w:val="NormalWeb"/>
              <w:numPr>
                <w:ilvl w:val="0"/>
                <w:numId w:val="28"/>
              </w:numPr>
              <w:spacing w:before="0" w:beforeAutospacing="0" w:after="0" w:afterAutospacing="0"/>
              <w:ind w:left="426"/>
              <w:jc w:val="both"/>
              <w:rPr>
                <w:rStyle w:val="normaltextrun"/>
                <w:noProof/>
                <w:szCs w:val="20"/>
              </w:rPr>
            </w:pPr>
            <w:r>
              <w:rPr>
                <w:rStyle w:val="normaltextrun"/>
                <w:noProof/>
              </w:rPr>
              <w:t xml:space="preserve">publication de la liste de l’Union des médicaments critiques d’ici la fin de </w:t>
            </w:r>
            <w:r w:rsidRPr="00093148">
              <w:rPr>
                <w:rStyle w:val="normaltextrun"/>
                <w:noProof/>
              </w:rPr>
              <w:t>2023</w:t>
            </w:r>
            <w:r>
              <w:rPr>
                <w:rStyle w:val="normaltextrun"/>
                <w:noProof/>
              </w:rPr>
              <w:t xml:space="preserve"> et analyse des vulnérabilités concernant un premier groupe de médicaments critiques d’ici avril </w:t>
            </w:r>
            <w:r w:rsidRPr="00093148">
              <w:rPr>
                <w:rStyle w:val="normaltextrun"/>
                <w:noProof/>
              </w:rPr>
              <w:t>2024</w:t>
            </w:r>
            <w:r>
              <w:rPr>
                <w:rStyle w:val="normaltextrun"/>
                <w:noProof/>
              </w:rPr>
              <w:t>;</w:t>
            </w:r>
          </w:p>
          <w:p w14:paraId="23D803F0" w14:textId="77777777" w:rsidR="003B51A1" w:rsidRDefault="003B51A1" w:rsidP="000F1695">
            <w:pPr>
              <w:pStyle w:val="NormalWeb"/>
              <w:numPr>
                <w:ilvl w:val="0"/>
                <w:numId w:val="28"/>
              </w:numPr>
              <w:spacing w:before="0" w:beforeAutospacing="0" w:after="0" w:afterAutospacing="0"/>
              <w:ind w:left="426"/>
              <w:jc w:val="both"/>
              <w:rPr>
                <w:noProof/>
              </w:rPr>
            </w:pPr>
            <w:r>
              <w:rPr>
                <w:noProof/>
              </w:rPr>
              <w:t>anticipation des mesures proposées dans le cadre de la réforme pharmaceutique pour une notification et une atténuation plus systématiques et mieux coordonnées des pénuries critiques;</w:t>
            </w:r>
          </w:p>
          <w:p w14:paraId="311BE422" w14:textId="77777777" w:rsidR="003B51A1" w:rsidRDefault="003B51A1" w:rsidP="000F1695">
            <w:pPr>
              <w:pStyle w:val="NormalWeb"/>
              <w:numPr>
                <w:ilvl w:val="0"/>
                <w:numId w:val="28"/>
              </w:numPr>
              <w:spacing w:before="0" w:beforeAutospacing="0" w:after="0" w:afterAutospacing="0"/>
              <w:ind w:left="425" w:hanging="357"/>
              <w:jc w:val="both"/>
              <w:rPr>
                <w:noProof/>
              </w:rPr>
            </w:pPr>
            <w:bookmarkStart w:id="30" w:name="_Hlk148159052"/>
            <w:r>
              <w:rPr>
                <w:noProof/>
              </w:rPr>
              <w:t xml:space="preserve">mise en place d’outils de communication pour des prévisions plus fines de l’offre et de la demande, comme une plateforme de mise en relation (d’ici le deuxième trimestre </w:t>
            </w:r>
            <w:r w:rsidRPr="00093148">
              <w:rPr>
                <w:noProof/>
              </w:rPr>
              <w:t>2024</w:t>
            </w:r>
            <w:r>
              <w:rPr>
                <w:noProof/>
              </w:rPr>
              <w:t>),</w:t>
            </w:r>
            <w:r>
              <w:rPr>
                <w:noProof/>
                <w:color w:val="000000" w:themeColor="text1"/>
              </w:rPr>
              <w:t xml:space="preserve"> </w:t>
            </w:r>
            <w:r>
              <w:rPr>
                <w:noProof/>
              </w:rPr>
              <w:t>un mécanisme de l’Union pour le signalement des demandes et une plateforme européenne de surveillance des pénuries;</w:t>
            </w:r>
            <w:bookmarkEnd w:id="30"/>
          </w:p>
          <w:p w14:paraId="160BACF1" w14:textId="77777777" w:rsidR="003B51A1" w:rsidRDefault="003B51A1" w:rsidP="000F1695">
            <w:pPr>
              <w:pStyle w:val="NormalWeb"/>
              <w:numPr>
                <w:ilvl w:val="0"/>
                <w:numId w:val="28"/>
              </w:numPr>
              <w:spacing w:before="0" w:beforeAutospacing="0" w:after="0" w:afterAutospacing="0"/>
              <w:ind w:left="425" w:hanging="357"/>
              <w:jc w:val="both"/>
              <w:rPr>
                <w:noProof/>
              </w:rPr>
            </w:pPr>
            <w:r>
              <w:rPr>
                <w:noProof/>
              </w:rPr>
              <w:t xml:space="preserve">préparation du lancement, en </w:t>
            </w:r>
            <w:r w:rsidRPr="00093148">
              <w:rPr>
                <w:noProof/>
              </w:rPr>
              <w:t>2024</w:t>
            </w:r>
            <w:r>
              <w:rPr>
                <w:noProof/>
              </w:rPr>
              <w:t>, d’une action commune sur les flexibilités réglementaires incluant les préparations magistrales;</w:t>
            </w:r>
          </w:p>
          <w:p w14:paraId="58F6630E" w14:textId="77777777" w:rsidR="003B51A1" w:rsidRDefault="003B51A1" w:rsidP="000F1695">
            <w:pPr>
              <w:pStyle w:val="NormalWeb"/>
              <w:spacing w:before="0" w:beforeAutospacing="0" w:after="0" w:afterAutospacing="0"/>
              <w:ind w:left="425"/>
              <w:jc w:val="both"/>
              <w:rPr>
                <w:noProof/>
              </w:rPr>
            </w:pPr>
          </w:p>
          <w:p w14:paraId="7F42F131" w14:textId="77777777" w:rsidR="003B51A1" w:rsidRPr="008E2E92" w:rsidRDefault="003B51A1" w:rsidP="000F1695">
            <w:pPr>
              <w:pStyle w:val="NormalWeb"/>
              <w:numPr>
                <w:ilvl w:val="0"/>
                <w:numId w:val="28"/>
              </w:numPr>
              <w:spacing w:before="0" w:beforeAutospacing="0" w:after="0" w:afterAutospacing="0"/>
              <w:ind w:left="426"/>
              <w:jc w:val="both"/>
              <w:rPr>
                <w:noProof/>
              </w:rPr>
            </w:pPr>
            <w:r>
              <w:rPr>
                <w:noProof/>
              </w:rPr>
              <w:t xml:space="preserve">élaboration, d’ici le début de </w:t>
            </w:r>
            <w:r w:rsidRPr="00093148">
              <w:rPr>
                <w:noProof/>
              </w:rPr>
              <w:t>2024</w:t>
            </w:r>
            <w:r>
              <w:rPr>
                <w:noProof/>
              </w:rPr>
              <w:t>, d’orientations sur les meilleures pratiques dans le domaine des marchés publics de médicaments, dans le cadre d’une stratégie plus large visant à mieux utiliser les marchés publics au soutien de la sécurité de l’approvisionnement.</w:t>
            </w:r>
          </w:p>
          <w:p w14:paraId="462BCE3A" w14:textId="77777777" w:rsidR="003B51A1" w:rsidRPr="00B770FD" w:rsidRDefault="003B51A1" w:rsidP="000F1695">
            <w:pPr>
              <w:pStyle w:val="NormalWeb"/>
              <w:spacing w:before="200" w:beforeAutospacing="0" w:after="120" w:afterAutospacing="0"/>
              <w:jc w:val="both"/>
              <w:rPr>
                <w:rStyle w:val="normaltextrun"/>
                <w:b/>
                <w:i/>
                <w:noProof/>
                <w:szCs w:val="20"/>
              </w:rPr>
            </w:pPr>
            <w:r>
              <w:rPr>
                <w:rStyle w:val="normaltextrun"/>
                <w:b/>
                <w:i/>
                <w:noProof/>
              </w:rPr>
              <w:t xml:space="preserve">Les États membres sont invités: </w:t>
            </w:r>
          </w:p>
          <w:p w14:paraId="1993506E" w14:textId="77777777" w:rsidR="003B51A1" w:rsidRPr="008E2E92" w:rsidRDefault="003B51A1" w:rsidP="000F1695">
            <w:pPr>
              <w:pStyle w:val="NormalWeb"/>
              <w:numPr>
                <w:ilvl w:val="0"/>
                <w:numId w:val="28"/>
              </w:numPr>
              <w:spacing w:before="0" w:beforeAutospacing="0" w:after="0" w:afterAutospacing="0"/>
              <w:ind w:left="426"/>
              <w:jc w:val="both"/>
              <w:rPr>
                <w:noProof/>
                <w:color w:val="000000" w:themeColor="text1"/>
              </w:rPr>
            </w:pPr>
            <w:r>
              <w:rPr>
                <w:noProof/>
                <w:color w:val="000000" w:themeColor="text1"/>
              </w:rPr>
              <w:t>à contrôler et à faire appliquer pleinement les obligations des entreprises en matière d’approvisionnement;</w:t>
            </w:r>
          </w:p>
          <w:p w14:paraId="438138C5" w14:textId="77777777" w:rsidR="003B51A1" w:rsidRPr="008E2E92" w:rsidRDefault="003B51A1" w:rsidP="000F1695">
            <w:pPr>
              <w:pStyle w:val="NormalWeb"/>
              <w:numPr>
                <w:ilvl w:val="0"/>
                <w:numId w:val="28"/>
              </w:numPr>
              <w:spacing w:before="0" w:beforeAutospacing="0" w:after="0" w:afterAutospacing="0"/>
              <w:ind w:left="426"/>
              <w:jc w:val="both"/>
              <w:rPr>
                <w:noProof/>
                <w:color w:val="000000" w:themeColor="text1"/>
              </w:rPr>
            </w:pPr>
            <w:r>
              <w:rPr>
                <w:noProof/>
              </w:rPr>
              <w:t>à mettre au point des plans de communication efficaces pour informer et restaurer la confiance quant à la disponibilité de médicaments</w:t>
            </w:r>
            <w:r>
              <w:rPr>
                <w:rStyle w:val="FootnoteReference"/>
                <w:noProof/>
              </w:rPr>
              <w:footnoteReference w:id="33"/>
            </w:r>
            <w:r>
              <w:rPr>
                <w:noProof/>
              </w:rPr>
              <w:t>;</w:t>
            </w:r>
          </w:p>
          <w:p w14:paraId="4F6BA8DE" w14:textId="77777777" w:rsidR="003B51A1" w:rsidRPr="008E2E92" w:rsidRDefault="003B51A1" w:rsidP="000F1695">
            <w:pPr>
              <w:pStyle w:val="NormalWeb"/>
              <w:numPr>
                <w:ilvl w:val="0"/>
                <w:numId w:val="28"/>
              </w:numPr>
              <w:spacing w:before="0" w:beforeAutospacing="0" w:after="0" w:afterAutospacing="0"/>
              <w:ind w:left="426"/>
              <w:jc w:val="both"/>
              <w:rPr>
                <w:noProof/>
                <w:color w:val="000000" w:themeColor="text1"/>
              </w:rPr>
            </w:pPr>
            <w:r>
              <w:rPr>
                <w:noProof/>
                <w:color w:val="000000" w:themeColor="text1"/>
              </w:rPr>
              <w:t>à réfléchir à la manière dont les règles et critères nationaux en matière de marchés publics pourraient contribuer à renforcer la sécurité de l’approvisionnement.</w:t>
            </w:r>
          </w:p>
          <w:p w14:paraId="703A3B8A" w14:textId="77777777" w:rsidR="003B51A1" w:rsidRPr="008E2E92" w:rsidRDefault="003B51A1" w:rsidP="000F1695">
            <w:pPr>
              <w:pStyle w:val="NormalWeb"/>
              <w:spacing w:before="200" w:beforeAutospacing="0" w:after="120" w:afterAutospacing="0"/>
              <w:jc w:val="both"/>
              <w:rPr>
                <w:rStyle w:val="normaltextrun"/>
                <w:b/>
                <w:i/>
                <w:noProof/>
                <w:szCs w:val="20"/>
              </w:rPr>
            </w:pPr>
            <w:r>
              <w:rPr>
                <w:rStyle w:val="normaltextrun"/>
                <w:b/>
                <w:i/>
                <w:noProof/>
              </w:rPr>
              <w:t xml:space="preserve">Les parties prenantes de l’industrie pharmaceutique sont invitées: </w:t>
            </w:r>
          </w:p>
          <w:p w14:paraId="050B16BF" w14:textId="77777777" w:rsidR="003B51A1" w:rsidRPr="009F1B1D" w:rsidRDefault="003B51A1" w:rsidP="000F1695">
            <w:pPr>
              <w:pStyle w:val="NormalWeb"/>
              <w:numPr>
                <w:ilvl w:val="0"/>
                <w:numId w:val="28"/>
              </w:numPr>
              <w:spacing w:before="0" w:beforeAutospacing="0" w:after="0" w:afterAutospacing="0"/>
              <w:ind w:left="426"/>
              <w:jc w:val="both"/>
              <w:rPr>
                <w:noProof/>
                <w:color w:val="000000" w:themeColor="text1"/>
              </w:rPr>
            </w:pPr>
            <w:r>
              <w:rPr>
                <w:noProof/>
                <w:color w:val="000000" w:themeColor="text1"/>
              </w:rPr>
              <w:t>à respecter pleinement les obligations d’approvisionnement qui incombent aux entreprises relevant du droit de l’UE;</w:t>
            </w:r>
          </w:p>
          <w:p w14:paraId="1574495F" w14:textId="77777777" w:rsidR="003B51A1" w:rsidRPr="009F1B1D" w:rsidRDefault="003B51A1" w:rsidP="000F1695">
            <w:pPr>
              <w:pStyle w:val="NormalWeb"/>
              <w:numPr>
                <w:ilvl w:val="0"/>
                <w:numId w:val="28"/>
              </w:numPr>
              <w:spacing w:before="0" w:beforeAutospacing="0" w:after="0" w:afterAutospacing="0"/>
              <w:ind w:left="426"/>
              <w:jc w:val="both"/>
              <w:rPr>
                <w:rStyle w:val="normaltextrun"/>
                <w:noProof/>
                <w:color w:val="000000" w:themeColor="text1"/>
                <w:szCs w:val="20"/>
              </w:rPr>
            </w:pPr>
            <w:r>
              <w:rPr>
                <w:noProof/>
                <w:color w:val="000000" w:themeColor="text1"/>
              </w:rPr>
              <w:t xml:space="preserve">à surveiller en permanence l’évolution de l’offre et de la demande de médicaments critiques et à fournir le plus tôt possible des informations complètes aux autorités réglementaires; </w:t>
            </w:r>
            <w:r>
              <w:rPr>
                <w:noProof/>
              </w:rPr>
              <w:t>à mettre en œuvre des recommandations tant sur les flexibilités réglementaires que sur les éléments de la réforme pharmaceutique pouvant déjà être appliqués, comme la notification des pénuries et des retraits à un stade plus précoce.</w:t>
            </w:r>
            <w:r>
              <w:rPr>
                <w:rStyle w:val="normaltextrun"/>
                <w:noProof/>
                <w:color w:val="000000" w:themeColor="text1"/>
              </w:rPr>
              <w:t xml:space="preserve"> </w:t>
            </w:r>
          </w:p>
          <w:p w14:paraId="292F8CE4" w14:textId="77777777" w:rsidR="003B51A1" w:rsidRPr="00BF58C9" w:rsidRDefault="003B51A1" w:rsidP="000F1695">
            <w:pPr>
              <w:pStyle w:val="NormalWeb"/>
              <w:spacing w:before="0" w:beforeAutospacing="0" w:after="0" w:afterAutospacing="0"/>
              <w:ind w:left="426"/>
              <w:jc w:val="both"/>
              <w:rPr>
                <w:rStyle w:val="normaltextrun"/>
                <w:noProof/>
                <w:color w:val="000000" w:themeColor="text1"/>
                <w:szCs w:val="20"/>
                <w:lang w:val="fr-BE"/>
              </w:rPr>
            </w:pPr>
          </w:p>
        </w:tc>
      </w:tr>
    </w:tbl>
    <w:p w14:paraId="58F723A4" w14:textId="77777777" w:rsidR="003B51A1" w:rsidRPr="0022172B" w:rsidRDefault="003B51A1" w:rsidP="003B51A1">
      <w:pPr>
        <w:pStyle w:val="Heading1"/>
        <w:spacing w:before="480"/>
        <w:rPr>
          <w:rStyle w:val="normaltextrun"/>
          <w:noProof/>
          <w:szCs w:val="24"/>
        </w:rPr>
      </w:pPr>
      <w:bookmarkStart w:id="31" w:name="_Toc144366810"/>
      <w:bookmarkStart w:id="32" w:name="_Toc144366811"/>
      <w:bookmarkStart w:id="33" w:name="_Toc144366812"/>
      <w:bookmarkStart w:id="34" w:name="_Toc144438851"/>
      <w:bookmarkEnd w:id="31"/>
      <w:bookmarkEnd w:id="32"/>
      <w:bookmarkEnd w:id="33"/>
      <w:r>
        <w:rPr>
          <w:rStyle w:val="normaltextrun"/>
          <w:noProof/>
        </w:rPr>
        <w:t>ACTIONS STRUCTURELLES À MOYEN ET À LONG TERME</w:t>
      </w:r>
      <w:bookmarkEnd w:id="34"/>
      <w:r>
        <w:rPr>
          <w:rStyle w:val="normaltextrun"/>
          <w:noProof/>
        </w:rPr>
        <w:t xml:space="preserve"> </w:t>
      </w:r>
    </w:p>
    <w:p w14:paraId="1C1F1D3A" w14:textId="77777777" w:rsidR="003B51A1" w:rsidRDefault="003B51A1" w:rsidP="003B51A1">
      <w:pPr>
        <w:pStyle w:val="Text1"/>
        <w:spacing w:after="120"/>
        <w:ind w:left="0"/>
        <w:rPr>
          <w:noProof/>
          <w:szCs w:val="24"/>
        </w:rPr>
      </w:pPr>
      <w:bookmarkStart w:id="35" w:name="_Toc144287681"/>
      <w:bookmarkStart w:id="36" w:name="_Toc144290091"/>
      <w:bookmarkEnd w:id="35"/>
      <w:bookmarkEnd w:id="36"/>
      <w:r>
        <w:rPr>
          <w:noProof/>
        </w:rPr>
        <w:t xml:space="preserve">L’un des objectifs centraux de l’union européenne de la santé est de veiller à ce que les Européens obtiennent les médicaments dont ils ont besoin au moment où ils en ont besoin, quel que soit leur lieu de résidence dans l’UE. </w:t>
      </w:r>
      <w:r>
        <w:rPr>
          <w:noProof/>
          <w:color w:val="000000" w:themeColor="text1"/>
        </w:rPr>
        <w:t>Le renforcement de la compétitivité de l’industrie pharmaceutique européenne ainsi que la garantie d’une meilleure disponibilité des médicaments et d’un accès plus rapide et plus équitable pour les patients constituent des axes essentiels de la réforme pharmaceutique proposée par l’UE.</w:t>
      </w:r>
      <w:r>
        <w:rPr>
          <w:rStyle w:val="normaltextrun"/>
          <w:noProof/>
          <w:color w:val="000000" w:themeColor="text1"/>
        </w:rPr>
        <w:t xml:space="preserve"> </w:t>
      </w:r>
      <w:r>
        <w:rPr>
          <w:noProof/>
        </w:rPr>
        <w:t>Si la réforme prévoit des mesures structurelles visant à renforcer la sécurité de l’approvisionnement dans l’UE, y compris pour les médicaments génériques, elle n’aborde pas la dimension industrielle des pénuries de médicaments.</w:t>
      </w:r>
      <w:r>
        <w:rPr>
          <w:noProof/>
          <w:color w:val="000000" w:themeColor="text1"/>
        </w:rPr>
        <w:t xml:space="preserve"> </w:t>
      </w:r>
    </w:p>
    <w:p w14:paraId="70B0FAF5" w14:textId="77777777" w:rsidR="003B51A1" w:rsidRPr="0022172B" w:rsidRDefault="003B51A1" w:rsidP="003B51A1">
      <w:pPr>
        <w:pStyle w:val="Text1"/>
        <w:spacing w:after="0"/>
        <w:ind w:left="0"/>
        <w:rPr>
          <w:noProof/>
          <w:szCs w:val="24"/>
        </w:rPr>
      </w:pPr>
      <w:r>
        <w:rPr>
          <w:noProof/>
        </w:rPr>
        <w:t>En plus des mesures politiques, législatives et réglementaires déjà existantes ou prévues</w:t>
      </w:r>
      <w:r>
        <w:rPr>
          <w:rStyle w:val="FootnoteReference"/>
          <w:noProof/>
        </w:rPr>
        <w:footnoteReference w:id="34"/>
      </w:r>
      <w:r>
        <w:rPr>
          <w:noProof/>
        </w:rPr>
        <w:t>, l’UE a besoin d’une approche industrielle stratégique et coordonnée pour renforcer la sécurité de l’approvisionnement en médicaments les plus critiques. Le renforcement de la sécurité de l’approvisionnement en médicaments dans l’UE pourrait nécessiter une nouvelle législation.</w:t>
      </w:r>
      <w:r>
        <w:rPr>
          <w:rStyle w:val="normaltextrun"/>
          <w:noProof/>
        </w:rPr>
        <w:t xml:space="preserve"> </w:t>
      </w:r>
      <w:r>
        <w:rPr>
          <w:noProof/>
        </w:rPr>
        <w:t>Étant donné qu’une initiative législative en vue d’une «</w:t>
      </w:r>
      <w:r>
        <w:rPr>
          <w:b/>
          <w:bCs/>
          <w:i/>
          <w:noProof/>
        </w:rPr>
        <w:t>loi européenne sur les médicaments critiques</w:t>
      </w:r>
      <w:r>
        <w:rPr>
          <w:noProof/>
        </w:rPr>
        <w:t>» nécessiterait une préparation approfondie, y compris une évaluation des aspects économiques,</w:t>
      </w:r>
      <w:r>
        <w:rPr>
          <w:rStyle w:val="normaltextrun"/>
          <w:noProof/>
        </w:rPr>
        <w:t xml:space="preserve"> </w:t>
      </w:r>
      <w:r>
        <w:rPr>
          <w:noProof/>
        </w:rPr>
        <w:t xml:space="preserve">la Commission lancera une étude préparatoire ad hoc d’ici la fin de </w:t>
      </w:r>
      <w:r w:rsidRPr="00093148">
        <w:rPr>
          <w:noProof/>
        </w:rPr>
        <w:t>2023</w:t>
      </w:r>
      <w:r>
        <w:rPr>
          <w:noProof/>
        </w:rPr>
        <w:t>, qui préparera le terrain pour la réalisation d’une analyse d’impact.</w:t>
      </w:r>
    </w:p>
    <w:p w14:paraId="50986E62" w14:textId="77777777" w:rsidR="003B51A1" w:rsidRDefault="003B51A1" w:rsidP="003B51A1">
      <w:pPr>
        <w:pStyle w:val="Text1"/>
        <w:spacing w:after="0"/>
        <w:ind w:left="0"/>
        <w:rPr>
          <w:noProof/>
          <w:szCs w:val="24"/>
        </w:rPr>
      </w:pPr>
    </w:p>
    <w:p w14:paraId="02CF764E" w14:textId="77777777" w:rsidR="003B51A1" w:rsidRDefault="003B51A1" w:rsidP="003B51A1">
      <w:pPr>
        <w:pStyle w:val="Text1"/>
        <w:spacing w:after="120"/>
        <w:ind w:left="0"/>
        <w:rPr>
          <w:rStyle w:val="normaltextrun"/>
          <w:b/>
          <w:bCs/>
          <w:i/>
          <w:iCs/>
          <w:noProof/>
        </w:rPr>
      </w:pPr>
      <w:bookmarkStart w:id="37" w:name="_Hlk148725886"/>
      <w:r>
        <w:rPr>
          <w:rStyle w:val="normaltextrun"/>
          <w:b/>
          <w:i/>
          <w:noProof/>
        </w:rPr>
        <w:t xml:space="preserve">Une Alliance pour les médicaments critiques: coopérer pour renforcer la sécurité de l’approvisionnement </w:t>
      </w:r>
    </w:p>
    <w:p w14:paraId="6BFA337F" w14:textId="77777777" w:rsidR="003B51A1" w:rsidRDefault="003B51A1" w:rsidP="003B51A1">
      <w:pPr>
        <w:pStyle w:val="Text1"/>
        <w:spacing w:after="120"/>
        <w:ind w:left="0"/>
        <w:rPr>
          <w:noProof/>
        </w:rPr>
      </w:pPr>
      <w:r>
        <w:rPr>
          <w:noProof/>
        </w:rPr>
        <w:t xml:space="preserve">L’UE et les États membres peuvent compter sur de nombreux outils afin de promouvoir une approche industrielle coordonnée réunissant des acteurs publics et privés de l’écosystème européen de la santé et de l’industrie. </w:t>
      </w:r>
    </w:p>
    <w:p w14:paraId="789692EF" w14:textId="77777777" w:rsidR="003B51A1" w:rsidRDefault="003B51A1" w:rsidP="003B51A1">
      <w:pPr>
        <w:pStyle w:val="Text1"/>
        <w:spacing w:after="120"/>
        <w:ind w:left="0"/>
        <w:rPr>
          <w:noProof/>
        </w:rPr>
      </w:pPr>
    </w:p>
    <w:p w14:paraId="438FDF13" w14:textId="77777777" w:rsidR="003B51A1" w:rsidRDefault="003B51A1" w:rsidP="003B51A1">
      <w:pPr>
        <w:pStyle w:val="Text1"/>
        <w:spacing w:after="120"/>
        <w:ind w:left="0"/>
        <w:rPr>
          <w:noProof/>
        </w:rPr>
      </w:pPr>
    </w:p>
    <w:p w14:paraId="016DA64F" w14:textId="77777777" w:rsidR="003B51A1" w:rsidRDefault="003B51A1" w:rsidP="003B51A1">
      <w:pPr>
        <w:pStyle w:val="NormalWeb"/>
        <w:spacing w:before="0" w:beforeAutospacing="0" w:after="120" w:afterAutospacing="0"/>
        <w:jc w:val="both"/>
        <w:rPr>
          <w:noProof/>
        </w:rPr>
      </w:pPr>
      <w:bookmarkStart w:id="38" w:name="_Hlk148726469"/>
      <w:r>
        <w:rPr>
          <w:noProof/>
        </w:rPr>
        <w:t>La Commission a l’intention de mettre en place une «</w:t>
      </w:r>
      <w:r>
        <w:rPr>
          <w:b/>
          <w:i/>
          <w:noProof/>
        </w:rPr>
        <w:t>Alliance pour les médicaments critiques</w:t>
      </w:r>
      <w:r>
        <w:rPr>
          <w:noProof/>
        </w:rPr>
        <w:t xml:space="preserve">» d’ici le début de </w:t>
      </w:r>
      <w:r w:rsidRPr="00093148">
        <w:rPr>
          <w:noProof/>
        </w:rPr>
        <w:t>2024</w:t>
      </w:r>
      <w:r>
        <w:rPr>
          <w:noProof/>
        </w:rPr>
        <w:t xml:space="preserve">. Cela permettrait aux autorités nationales, à l’industrie, aux représentants de la société civile, à la Commission et aux agences de l’UE de mettre au point une action coordonnée au niveau de l’UE pour lutter contre les pénuries de médicaments, dans le respect des règles en matière de concurrence et des engagements internationaux de l’UE. </w:t>
      </w:r>
    </w:p>
    <w:bookmarkEnd w:id="38"/>
    <w:p w14:paraId="6691E656" w14:textId="77777777" w:rsidR="003B51A1" w:rsidRPr="00B86527" w:rsidRDefault="003B51A1" w:rsidP="003B51A1">
      <w:pPr>
        <w:pStyle w:val="NormalWeb"/>
        <w:spacing w:before="0" w:beforeAutospacing="0" w:after="120" w:afterAutospacing="0"/>
        <w:jc w:val="both"/>
        <w:rPr>
          <w:noProof/>
        </w:rPr>
      </w:pPr>
      <w:r>
        <w:rPr>
          <w:noProof/>
        </w:rPr>
        <w:t>Le point de départ serait l’analyse commune des vulnérabilités dans les goulets d’étranglement de la chaîne d’approvisionnement des médicaments critiques figurant sur la liste de l’Union (dépendance excessive à l’égard d’un nombre limité de fournisseurs externes, possibilités de diversification et capacités de production limitées, etc.). Il serait ainsi possible, sur la base d’éléments de preuve, d’</w:t>
      </w:r>
      <w:r>
        <w:rPr>
          <w:b/>
          <w:bCs/>
          <w:i/>
          <w:noProof/>
        </w:rPr>
        <w:t>identifier un nombre limité de médicaments critiques présentant le risque le plus élevé de pénuries et ayant les plus fortes répercussions</w:t>
      </w:r>
      <w:r>
        <w:rPr>
          <w:b/>
          <w:bCs/>
          <w:noProof/>
        </w:rPr>
        <w:t xml:space="preserve"> </w:t>
      </w:r>
      <w:r>
        <w:rPr>
          <w:noProof/>
        </w:rPr>
        <w:t xml:space="preserve">sur nos systèmes de soin de santé, ce qui permettrait à l’Alliance de recenser les outils les plus appropriés pour répondre de manière optimale à ces vulnérabilités.  </w:t>
      </w:r>
    </w:p>
    <w:p w14:paraId="063E4F95" w14:textId="77777777" w:rsidR="003B51A1" w:rsidRDefault="003B51A1" w:rsidP="003B51A1">
      <w:pPr>
        <w:pStyle w:val="NormalWeb"/>
        <w:spacing w:before="0" w:beforeAutospacing="0" w:after="120" w:afterAutospacing="0"/>
        <w:jc w:val="both"/>
        <w:rPr>
          <w:noProof/>
        </w:rPr>
      </w:pPr>
      <w:r>
        <w:rPr>
          <w:noProof/>
        </w:rPr>
        <w:t xml:space="preserve">Ces travaux pourraient s’appuyer sur toute une panoplie d’outils, dont un ensemble de mesures visant à atténuer les risques structurels, comme le renforcement de l’offre grâce à une plus grande prévisibilité de la demande, l’incitation à la diversification et à l’augmentation de la production des médicaments les plus critiques, ou encore la constitution de stocks de l’UE s’il y a lieu. </w:t>
      </w:r>
    </w:p>
    <w:p w14:paraId="1F7FBA02" w14:textId="77777777" w:rsidR="003B51A1" w:rsidRDefault="003B51A1" w:rsidP="003B51A1">
      <w:pPr>
        <w:pStyle w:val="NormalWeb"/>
        <w:numPr>
          <w:ilvl w:val="0"/>
          <w:numId w:val="50"/>
        </w:numPr>
        <w:spacing w:before="0" w:beforeAutospacing="0" w:after="120" w:afterAutospacing="0"/>
        <w:jc w:val="both"/>
        <w:rPr>
          <w:b/>
          <w:bCs/>
          <w:i/>
          <w:iCs/>
          <w:noProof/>
        </w:rPr>
      </w:pPr>
      <w:r>
        <w:rPr>
          <w:b/>
          <w:i/>
          <w:noProof/>
        </w:rPr>
        <w:t xml:space="preserve">Marchés publics </w:t>
      </w:r>
    </w:p>
    <w:p w14:paraId="020F9F05" w14:textId="77777777" w:rsidR="003B51A1" w:rsidRDefault="003B51A1" w:rsidP="003B51A1">
      <w:pPr>
        <w:spacing w:after="120"/>
        <w:rPr>
          <w:noProof/>
        </w:rPr>
      </w:pPr>
      <w:r>
        <w:rPr>
          <w:noProof/>
        </w:rPr>
        <w:t xml:space="preserve">Une coordination au niveau de l’UE offrirait un cadre stratégique en vue de mieux utiliser les </w:t>
      </w:r>
      <w:r>
        <w:rPr>
          <w:b/>
          <w:bCs/>
          <w:i/>
          <w:noProof/>
        </w:rPr>
        <w:t>marchés publics</w:t>
      </w:r>
      <w:r>
        <w:rPr>
          <w:noProof/>
        </w:rPr>
        <w:t xml:space="preserve"> pour renforcer la sécurité de l’approvisionnement en ce qui concerne les médicaments critiques identifiés. Cette coordination pourrait s’appuyer sur les orientations de la Commission ainsi que sur les critères communs définis pour l’acquisition de médicaments critiques, comme la production verte et la hiérarchisation des approvisionnements en Europe en période de pénurie critique. </w:t>
      </w:r>
    </w:p>
    <w:p w14:paraId="2C543073" w14:textId="77777777" w:rsidR="003B51A1" w:rsidRPr="001269D2" w:rsidRDefault="003B51A1" w:rsidP="003B51A1">
      <w:pPr>
        <w:spacing w:after="120"/>
        <w:rPr>
          <w:noProof/>
        </w:rPr>
      </w:pPr>
      <w:r>
        <w:rPr>
          <w:noProof/>
        </w:rPr>
        <w:t xml:space="preserve">Une telle approche serait également utile pour déterminer le niveau approprié d’approvisionnement en médicaments critiques et pourrait ainsi donner des incitations ou compensations à l’industrie et contribuer à l’application de ces critères de manière coordonnée à l’échelle de l’UE. La prévisibilité de l’approvisionnement serait également facilitée par des </w:t>
      </w:r>
      <w:r>
        <w:rPr>
          <w:b/>
          <w:bCs/>
          <w:i/>
          <w:noProof/>
        </w:rPr>
        <w:t>incitations contractuelles à moyen terme</w:t>
      </w:r>
      <w:r>
        <w:rPr>
          <w:noProof/>
        </w:rPr>
        <w:t xml:space="preserve"> visant à diversifier et à attirer la prochaine génération d’investissements dans la production en Europe. </w:t>
      </w:r>
      <w:bookmarkStart w:id="39" w:name="_Hlk148246207"/>
      <w:r>
        <w:rPr>
          <w:noProof/>
        </w:rPr>
        <w:t>Plus généralement, des approches communes sur la manière d’encourager la sécurité de l’approvisionnement seraient dégagées, sur lesquelles les États membres pourraient s’appuyer lorsqu’ils mettent en œuvre des procédures conjointes de passation de marchés au niveau de l’UE.</w:t>
      </w:r>
      <w:bookmarkEnd w:id="39"/>
      <w:r>
        <w:rPr>
          <w:noProof/>
        </w:rPr>
        <w:t xml:space="preserve"> Une autre possibilité pourrait être de recourir à des </w:t>
      </w:r>
      <w:r>
        <w:rPr>
          <w:b/>
          <w:bCs/>
          <w:i/>
          <w:noProof/>
        </w:rPr>
        <w:t>contrats de réservation de capacités</w:t>
      </w:r>
      <w:r>
        <w:rPr>
          <w:noProof/>
        </w:rPr>
        <w:t>, sur le modèle de «Fab UE».</w:t>
      </w:r>
    </w:p>
    <w:p w14:paraId="34D37702" w14:textId="77777777" w:rsidR="003B51A1" w:rsidRPr="00B976E9" w:rsidRDefault="003B51A1" w:rsidP="003B51A1">
      <w:pPr>
        <w:pStyle w:val="NormalWeb"/>
        <w:numPr>
          <w:ilvl w:val="0"/>
          <w:numId w:val="50"/>
        </w:numPr>
        <w:spacing w:before="0" w:beforeAutospacing="0" w:after="120" w:afterAutospacing="0"/>
        <w:jc w:val="both"/>
        <w:rPr>
          <w:b/>
          <w:bCs/>
          <w:i/>
          <w:iCs/>
          <w:noProof/>
        </w:rPr>
      </w:pPr>
      <w:r>
        <w:rPr>
          <w:b/>
          <w:i/>
          <w:noProof/>
        </w:rPr>
        <w:t xml:space="preserve">Diversification des chaînes d’approvisionnement mondiales </w:t>
      </w:r>
    </w:p>
    <w:p w14:paraId="2F89604B" w14:textId="77777777" w:rsidR="003B51A1" w:rsidRDefault="003B51A1" w:rsidP="003B51A1">
      <w:pPr>
        <w:spacing w:after="0"/>
        <w:rPr>
          <w:noProof/>
        </w:rPr>
      </w:pPr>
      <w:r>
        <w:rPr>
          <w:noProof/>
          <w:color w:val="000000"/>
        </w:rPr>
        <w:t xml:space="preserve">L’Alliance pourrait également contribuer à explorer les moyens de </w:t>
      </w:r>
      <w:r>
        <w:rPr>
          <w:b/>
          <w:bCs/>
          <w:i/>
          <w:noProof/>
          <w:color w:val="000000"/>
        </w:rPr>
        <w:t>diversifier les chaînes d’approvisionnement mondiales</w:t>
      </w:r>
      <w:r>
        <w:rPr>
          <w:noProof/>
          <w:color w:val="000000"/>
        </w:rPr>
        <w:t xml:space="preserve"> pour les médicaments critiques.  L’identification de pays prioritaires pour un partenariat stratégique avec des pays tiers portant sur la sécurité de l’approvisionnement en médicaments critiques contribuerait à la </w:t>
      </w:r>
      <w:r>
        <w:rPr>
          <w:noProof/>
          <w:color w:val="000000"/>
          <w:shd w:val="clear" w:color="auto" w:fill="FFFFFF"/>
        </w:rPr>
        <w:t xml:space="preserve">cohérence ainsi qu’aux synergies potentielles dans la coopération des États membres et de l’UE avec les pays tiers. </w:t>
      </w:r>
    </w:p>
    <w:p w14:paraId="443FEB8C" w14:textId="77777777" w:rsidR="003B51A1" w:rsidRDefault="003B51A1" w:rsidP="003B51A1">
      <w:pPr>
        <w:pStyle w:val="NormalWeb"/>
        <w:numPr>
          <w:ilvl w:val="0"/>
          <w:numId w:val="50"/>
        </w:numPr>
        <w:spacing w:before="0" w:beforeAutospacing="0" w:after="120" w:afterAutospacing="0"/>
        <w:jc w:val="both"/>
        <w:rPr>
          <w:b/>
          <w:bCs/>
          <w:i/>
          <w:iCs/>
          <w:noProof/>
        </w:rPr>
      </w:pPr>
      <w:r>
        <w:rPr>
          <w:b/>
          <w:i/>
          <w:noProof/>
        </w:rPr>
        <w:t xml:space="preserve">Stimuler l’innovation et les capacités de production   </w:t>
      </w:r>
    </w:p>
    <w:p w14:paraId="633C2C94" w14:textId="77777777" w:rsidR="003B51A1" w:rsidRPr="000D46C0" w:rsidRDefault="003B51A1" w:rsidP="003B51A1">
      <w:pPr>
        <w:pStyle w:val="NormalWeb"/>
        <w:spacing w:before="0" w:beforeAutospacing="0" w:after="120" w:afterAutospacing="0"/>
        <w:jc w:val="both"/>
        <w:rPr>
          <w:b/>
          <w:bCs/>
          <w:noProof/>
        </w:rPr>
      </w:pPr>
      <w:r>
        <w:rPr>
          <w:noProof/>
        </w:rPr>
        <w:t xml:space="preserve">Une autre priorité stratégique de l’Alliance serait de contribuer à renforcer la capacité de l’Europe à produire et à innover de manière coordonnée et compétitive dans la fabrication de médicaments et d’ingrédients critiques. Cela renforcerait la sécurité de l’approvisionnement, améliorerait la disponibilité et réduirait une partie des dépendances de la chaîne d’approvisionnement de l’UE. </w:t>
      </w:r>
      <w:bookmarkEnd w:id="37"/>
    </w:p>
    <w:p w14:paraId="168717FD" w14:textId="77777777" w:rsidR="003B51A1" w:rsidRPr="00B976E9" w:rsidRDefault="003B51A1" w:rsidP="003B51A1">
      <w:pPr>
        <w:pStyle w:val="NormalWeb"/>
        <w:spacing w:before="0" w:beforeAutospacing="0" w:after="120" w:afterAutospacing="0"/>
        <w:jc w:val="both"/>
        <w:rPr>
          <w:noProof/>
        </w:rPr>
      </w:pPr>
      <w:bookmarkStart w:id="40" w:name="_Hlk148725749"/>
      <w:r>
        <w:rPr>
          <w:noProof/>
        </w:rPr>
        <w:t xml:space="preserve">Toutes les aides nationales et de l’UE devraient être compatibles avec le cadre des aides d’État. L’Alliance coordonnerait les efforts visant à recenser, sur la base des vulnérabilités identifiées, les besoins en matière de sécurité de l’approvisionnement en médicaments critiques. Dans ce contexte, les États membres pourraient envisager des </w:t>
      </w:r>
      <w:r>
        <w:rPr>
          <w:b/>
          <w:bCs/>
          <w:i/>
          <w:noProof/>
        </w:rPr>
        <w:t>services d’intérêt économique général</w:t>
      </w:r>
      <w:r>
        <w:rPr>
          <w:noProof/>
        </w:rPr>
        <w:t xml:space="preserve"> (SIEG), coordonnés au niveau de l’UE et incluant plusieurs critères, dont le statut prioritaire des commandes destinées au marché de l’UE, afin de limiter le risque de pénuries critiques de médicaments au niveau de l’UE.  L’Alliance pourrait jouer un rôle dans la promotion d’une approche harmonisée dans l’ensemble de l’UE. </w:t>
      </w:r>
      <w:bookmarkEnd w:id="40"/>
    </w:p>
    <w:p w14:paraId="57AFFFCD" w14:textId="77777777" w:rsidR="003B51A1" w:rsidRDefault="003B51A1" w:rsidP="003B51A1">
      <w:pPr>
        <w:pStyle w:val="NormalWeb"/>
        <w:spacing w:before="0" w:beforeAutospacing="0" w:after="0" w:afterAutospacing="0"/>
        <w:jc w:val="both"/>
        <w:rPr>
          <w:noProof/>
        </w:rPr>
      </w:pPr>
      <w:r>
        <w:rPr>
          <w:noProof/>
        </w:rPr>
        <w:t xml:space="preserve">En outre, dans le cadre de l’Alliance, les États membres pourraient examiner s’il y a lieu de soutenir le développement de technologies vertes avancées et innovantes, y compris pour la production de médicaments non protégés par un brevet, éventuellement dans le cadre d’un nouveau </w:t>
      </w:r>
      <w:r>
        <w:rPr>
          <w:b/>
          <w:bCs/>
          <w:i/>
          <w:iCs/>
          <w:noProof/>
        </w:rPr>
        <w:t>projet important d’intérêt européen commun (PIIEC) axé sur les médicaments critiques</w:t>
      </w:r>
      <w:r>
        <w:rPr>
          <w:noProof/>
        </w:rPr>
        <w:t>. Ce projet pourrait compléter les travaux en cours de l’actuel PIIEC dans le domaine de la santé, dont l’objectif est de soutenir la mise au point de traitements innovants en ce qui concerne la résistance aux antimicrobiens, les maladies rares et le cancer, ainsi que les processus de production et produits innovants. Un nouveau PIIEC pourrait porter sur le développement de technologies et de procédés de fabrication ou de production innovants et durables en ce qui concerne les médicaments génériques. Cela permettrait à la fois d’accroître la production nationale innovante et de promouvoir les normes environnementales et serait aussi l’occasion pour l’UE de jouer un rôle moteur dans l’écologisation de la production de médicaments génériques.</w:t>
      </w:r>
    </w:p>
    <w:p w14:paraId="15F552D6" w14:textId="77777777" w:rsidR="003B51A1" w:rsidRDefault="003B51A1" w:rsidP="003B51A1">
      <w:pPr>
        <w:pStyle w:val="NormalWeb"/>
        <w:spacing w:before="0" w:beforeAutospacing="0" w:after="0" w:afterAutospacing="0"/>
        <w:jc w:val="both"/>
        <w:rPr>
          <w:noProof/>
        </w:rPr>
      </w:pPr>
    </w:p>
    <w:p w14:paraId="7F779CC7" w14:textId="77777777" w:rsidR="003B51A1" w:rsidRPr="006B4F42" w:rsidRDefault="003B51A1" w:rsidP="003B51A1">
      <w:pPr>
        <w:pStyle w:val="NormalWeb"/>
        <w:numPr>
          <w:ilvl w:val="0"/>
          <w:numId w:val="50"/>
        </w:numPr>
        <w:spacing w:before="0" w:beforeAutospacing="0" w:after="120" w:afterAutospacing="0"/>
        <w:jc w:val="both"/>
        <w:rPr>
          <w:b/>
          <w:i/>
          <w:iCs/>
          <w:noProof/>
        </w:rPr>
      </w:pPr>
      <w:r>
        <w:rPr>
          <w:b/>
          <w:i/>
          <w:noProof/>
        </w:rPr>
        <w:t>Constitution de stocks de médicaments critiques dans l’UE</w:t>
      </w:r>
    </w:p>
    <w:p w14:paraId="2AC6719C" w14:textId="77777777" w:rsidR="003B51A1" w:rsidRPr="008E2E92" w:rsidRDefault="003B51A1" w:rsidP="003B51A1">
      <w:pPr>
        <w:spacing w:after="120"/>
        <w:rPr>
          <w:noProof/>
          <w:szCs w:val="24"/>
        </w:rPr>
      </w:pPr>
      <w:r>
        <w:rPr>
          <w:noProof/>
        </w:rPr>
        <w:t xml:space="preserve">Plusieurs États membres prévoient déjà dans leur législation nationale des dispositions obligeant les différents acteurs de la chaîne d’approvisionnement à maintenir des stocks d’urgence afin de disposer d’un tampon en cas de pénurie à court terme. </w:t>
      </w:r>
    </w:p>
    <w:p w14:paraId="1A013621" w14:textId="77777777" w:rsidR="003B51A1" w:rsidRDefault="003B51A1" w:rsidP="003B51A1">
      <w:pPr>
        <w:pStyle w:val="pf0"/>
        <w:spacing w:before="0" w:beforeAutospacing="0" w:after="120" w:afterAutospacing="0"/>
        <w:jc w:val="both"/>
        <w:rPr>
          <w:rFonts w:ascii="Arial" w:hAnsi="Arial" w:cs="Arial"/>
          <w:noProof/>
          <w:sz w:val="20"/>
          <w:szCs w:val="20"/>
        </w:rPr>
      </w:pPr>
      <w:r>
        <w:rPr>
          <w:noProof/>
        </w:rPr>
        <w:t xml:space="preserve">Des stocks déjà constitués avant l’apparition d’une pénurie peuvent contribuer à combler le déficit d’approvisionnement en attendant que la production augmente, ou fournir les matières entrantes faisant défaut et qui sont nécessaires à cette augmentation. Toutefois, la constitution de stocks nationaux peut avoir une incidence sur la disponibilité des médicaments dans d’autres États membres, s’avérer coûteuse et gaspiller des ressources si elle n’est pas accompagnée de mesures d’atténuation visant à remédier à la pénurie elle-même.  </w:t>
      </w:r>
    </w:p>
    <w:p w14:paraId="3B865C44" w14:textId="77777777" w:rsidR="003B51A1" w:rsidRDefault="003B51A1" w:rsidP="003B51A1">
      <w:pPr>
        <w:tabs>
          <w:tab w:val="left" w:pos="720"/>
        </w:tabs>
        <w:spacing w:after="120"/>
        <w:rPr>
          <w:noProof/>
          <w:color w:val="000000" w:themeColor="text1"/>
        </w:rPr>
      </w:pPr>
      <w:bookmarkStart w:id="41" w:name="_Hlk148365260"/>
      <w:r>
        <w:rPr>
          <w:noProof/>
          <w:color w:val="000000" w:themeColor="text1"/>
        </w:rPr>
        <w:t xml:space="preserve">La Commission et les États membres devraient élaborer une approche stratégique commune en vue de la </w:t>
      </w:r>
      <w:r>
        <w:rPr>
          <w:b/>
          <w:bCs/>
          <w:i/>
          <w:noProof/>
          <w:color w:val="000000" w:themeColor="text1"/>
        </w:rPr>
        <w:t>constitution de stocks de médicaments</w:t>
      </w:r>
      <w:r>
        <w:rPr>
          <w:noProof/>
          <w:color w:val="000000" w:themeColor="text1"/>
        </w:rPr>
        <w:t xml:space="preserve"> au cours du premier semestre de </w:t>
      </w:r>
      <w:r w:rsidRPr="00093148">
        <w:rPr>
          <w:noProof/>
          <w:color w:val="000000" w:themeColor="text1"/>
        </w:rPr>
        <w:t>2024</w:t>
      </w:r>
      <w:r>
        <w:rPr>
          <w:noProof/>
          <w:color w:val="000000" w:themeColor="text1"/>
        </w:rPr>
        <w:t xml:space="preserve">. Sur la base de l’expérience acquise dans le cadre du mécanisme de protection civile de l’Union (MPCU) et de la réserve rescEU qu’il a établie, il s’agirait d’examiner quelles sont les conditions nécessaires pour faire de la constitution de stocks une option appropriée dotée d’un bon rapport coût/efficacité. </w:t>
      </w:r>
      <w:r>
        <w:rPr>
          <w:noProof/>
        </w:rPr>
        <w:t xml:space="preserve">La première étape de l’approche consisterait à définir les besoins en matière de stocks de médicaments critiques au niveau de l’UE, à partir de l’analyse des vulnérabilités des chaînes d’approvisionnement. </w:t>
      </w:r>
      <w:r>
        <w:rPr>
          <w:rStyle w:val="normaltextrun"/>
          <w:noProof/>
        </w:rPr>
        <w:t xml:space="preserve">En complément de cette stratégie, la Commission a l’intention de lancer une action commune sur la constitution de stocks en </w:t>
      </w:r>
      <w:r w:rsidRPr="00093148">
        <w:rPr>
          <w:rStyle w:val="normaltextrun"/>
          <w:noProof/>
        </w:rPr>
        <w:t>2024</w:t>
      </w:r>
      <w:r>
        <w:rPr>
          <w:rStyle w:val="normaltextrun"/>
          <w:noProof/>
        </w:rPr>
        <w:t xml:space="preserve">, afin d’aider les États membres à renforcer et/ou à améliorer les stratégies nationales en la matière de manière efficace et coordonnée. </w:t>
      </w:r>
    </w:p>
    <w:p w14:paraId="2C8E7319" w14:textId="77777777" w:rsidR="003B51A1" w:rsidRDefault="003B51A1" w:rsidP="003B51A1">
      <w:pPr>
        <w:tabs>
          <w:tab w:val="left" w:pos="720"/>
        </w:tabs>
        <w:spacing w:after="0"/>
        <w:rPr>
          <w:noProof/>
          <w:color w:val="000000" w:themeColor="text1"/>
          <w:szCs w:val="24"/>
        </w:rPr>
      </w:pPr>
      <w:r>
        <w:rPr>
          <w:noProof/>
        </w:rPr>
        <w:t>Compte tenu de sa rapidité d’action, le MPCU restera un élément essentiel de l’approche de l’UE. Si ce mécanisme devait être complété par un système de constitution de stock à long terme, un financement durable serait requis.</w:t>
      </w:r>
      <w:r>
        <w:rPr>
          <w:noProof/>
          <w:color w:val="000000" w:themeColor="text1"/>
        </w:rPr>
        <w:t xml:space="preserve"> </w:t>
      </w:r>
    </w:p>
    <w:p w14:paraId="6FE24A1D" w14:textId="77777777" w:rsidR="003B51A1" w:rsidRPr="008E2E92" w:rsidRDefault="003B51A1" w:rsidP="003B51A1">
      <w:pPr>
        <w:tabs>
          <w:tab w:val="left" w:pos="720"/>
        </w:tabs>
        <w:spacing w:after="0"/>
        <w:rPr>
          <w:rStyle w:val="normaltextrun"/>
          <w:noProof/>
        </w:rPr>
      </w:pPr>
    </w:p>
    <w:p w14:paraId="5742380A" w14:textId="77777777" w:rsidR="003B51A1" w:rsidRPr="00B976E9" w:rsidRDefault="003B51A1" w:rsidP="003B51A1">
      <w:pPr>
        <w:pStyle w:val="NormalWeb"/>
        <w:numPr>
          <w:ilvl w:val="0"/>
          <w:numId w:val="50"/>
        </w:numPr>
        <w:spacing w:before="0" w:beforeAutospacing="0" w:after="120" w:afterAutospacing="0"/>
        <w:jc w:val="both"/>
        <w:rPr>
          <w:b/>
          <w:bCs/>
          <w:i/>
          <w:iCs/>
          <w:noProof/>
        </w:rPr>
      </w:pPr>
      <w:bookmarkStart w:id="42" w:name="_Toc144438857"/>
      <w:bookmarkEnd w:id="41"/>
      <w:r>
        <w:rPr>
          <w:b/>
          <w:bCs/>
          <w:i/>
          <w:noProof/>
        </w:rPr>
        <w:t>Compétences de l’industrie pharmaceutique</w:t>
      </w:r>
      <w:bookmarkEnd w:id="42"/>
    </w:p>
    <w:p w14:paraId="226CBB11" w14:textId="77777777" w:rsidR="003B51A1" w:rsidRDefault="003B51A1" w:rsidP="003B51A1">
      <w:pPr>
        <w:spacing w:after="120"/>
        <w:rPr>
          <w:noProof/>
        </w:rPr>
      </w:pPr>
      <w:r>
        <w:rPr>
          <w:noProof/>
        </w:rPr>
        <w:t xml:space="preserve">Les producteurs pharmaceutiques européens font face à une évolution rapide des besoins en compétences. La numérisation de l’industrie met l’accent sur l’intelligence artificielle, la robotique et le traitement des mégadonnées. L’écosystème industriel de la santé est fortement réglementé et il est indispensable, afin de garantir le respect des normes, de pouvoir compter sur des professionnels ayant des connaissances approfondies dans les domaines de l’encadrement réglementaire, de l’assurance qualité et du contrôle de la qualité. La transition écologique exige des compétences notamment dans les domaines de la chimie verte, de l’ingénierie durable, de l’évaluation du cycle de vie, de l’approvisionnement durable et de la gestion de l’énergie. </w:t>
      </w:r>
    </w:p>
    <w:p w14:paraId="40513013" w14:textId="77777777" w:rsidR="003B51A1" w:rsidRPr="008E2E92" w:rsidRDefault="003B51A1" w:rsidP="003B51A1">
      <w:pPr>
        <w:spacing w:after="120"/>
        <w:rPr>
          <w:noProof/>
        </w:rPr>
      </w:pPr>
      <w:r>
        <w:rPr>
          <w:noProof/>
        </w:rPr>
        <w:t xml:space="preserve">L’industrie pharmaceutique se caractérise également par ses emplois hautement qualifiés et par une forte densité de collaborations transnationales. Elle est donc fortement dépendante de la mobilité de la main-d’œuvre, la libre circulation des travailleurs constituant un facteur d’innovation et de croissance. Étant donné que les pharmaciens font partie des professions réglementées, il est plus facile d’adapter les programmes d’études de cette profession et de bénéficier des mesures de l’UE en faveur de la libre circulation. </w:t>
      </w:r>
    </w:p>
    <w:p w14:paraId="05AE2BE3" w14:textId="77777777" w:rsidR="003B51A1" w:rsidRDefault="003B51A1" w:rsidP="003B51A1">
      <w:pPr>
        <w:pStyle w:val="NormalWeb"/>
        <w:spacing w:after="0"/>
        <w:jc w:val="both"/>
        <w:rPr>
          <w:noProof/>
        </w:rPr>
      </w:pPr>
      <w:r>
        <w:rPr>
          <w:noProof/>
        </w:rPr>
        <w:t xml:space="preserve">La </w:t>
      </w:r>
      <w:r>
        <w:rPr>
          <w:b/>
          <w:bCs/>
          <w:i/>
          <w:noProof/>
        </w:rPr>
        <w:t>stratégie européenne en matière de compétences</w:t>
      </w:r>
      <w:r>
        <w:rPr>
          <w:noProof/>
        </w:rPr>
        <w:t xml:space="preserve"> s’attaque au vaste problème des déficits de compétences dans l’ensemble de l’UE. En particulier, elle entend accroître le nombre des diplômés en sciences, technologie, ingénierie et mathématiques (STIM) en renforçant l’attractivité des études et carrières STIM, notamment au moyen d’actions ciblées destinées à attirer les filles et les femmes, et en encourageant l’adoption d’une approche d’enseignement et d’apprentissage interdisciplinaire et novatrice à l’école, dans l’enseignement et la formation professionnels, et dans l’enseignement supérieur. Le «pacte pour les compétences» vise à remédier aux plus graves déficits de compétences dans le secteur, avec la participation active de l’industrie et des acteurs clés de l’éducation et de la formation. Une attention particulière est portée à la mise en place d’un partenariat complémentaire en matière de compétences pour l’industrie de la santé, y compris l’industrie pharmaceutique: un accord de partenariat est prévu pour la fin de </w:t>
      </w:r>
      <w:r w:rsidRPr="00093148">
        <w:rPr>
          <w:noProof/>
        </w:rPr>
        <w:t>2023</w:t>
      </w:r>
      <w:r>
        <w:rPr>
          <w:noProof/>
        </w:rPr>
        <w:t>, avec la participation active des membres du forum conjoint de coopération industrielle. Une coopération serait notamment envisagée dans le domaine de l’identification commune des besoins en compétences, afin d’encourager la mise en commun des formations.</w:t>
      </w:r>
    </w:p>
    <w:p w14:paraId="05D654EC" w14:textId="77777777" w:rsidR="003B51A1" w:rsidRPr="005A0FEB" w:rsidRDefault="003B51A1" w:rsidP="003B51A1">
      <w:pPr>
        <w:pStyle w:val="NormalWeb"/>
        <w:spacing w:after="0"/>
        <w:jc w:val="both"/>
        <w:rPr>
          <w:noProof/>
        </w:rPr>
      </w:pPr>
    </w:p>
    <w:p w14:paraId="0A8490B8" w14:textId="77777777" w:rsidR="003B51A1" w:rsidRPr="00B976E9" w:rsidRDefault="003B51A1" w:rsidP="003B51A1">
      <w:pPr>
        <w:pStyle w:val="NormalWeb"/>
        <w:numPr>
          <w:ilvl w:val="0"/>
          <w:numId w:val="50"/>
        </w:numPr>
        <w:spacing w:before="0" w:beforeAutospacing="0" w:after="120" w:afterAutospacing="0"/>
        <w:jc w:val="both"/>
        <w:rPr>
          <w:b/>
          <w:bCs/>
          <w:i/>
          <w:iCs/>
          <w:noProof/>
        </w:rPr>
      </w:pPr>
      <w:r>
        <w:rPr>
          <w:b/>
          <w:i/>
          <w:noProof/>
        </w:rPr>
        <w:t>Aide financière</w:t>
      </w:r>
    </w:p>
    <w:p w14:paraId="1AB0920D" w14:textId="77777777" w:rsidR="003B51A1" w:rsidRDefault="003B51A1" w:rsidP="003B51A1">
      <w:pPr>
        <w:pStyle w:val="NormalWeb"/>
        <w:spacing w:before="0" w:beforeAutospacing="0" w:after="120" w:afterAutospacing="0"/>
        <w:jc w:val="both"/>
        <w:rPr>
          <w:noProof/>
          <w:color w:val="000000" w:themeColor="text1"/>
        </w:rPr>
      </w:pPr>
      <w:r>
        <w:rPr>
          <w:noProof/>
        </w:rPr>
        <w:t xml:space="preserve">Une approche stratégique commune dans le cadre de l'Alliance présente le précieux avantage de favoriser une mobilisation et un alignement plus efficaces des </w:t>
      </w:r>
      <w:r>
        <w:rPr>
          <w:b/>
          <w:bCs/>
          <w:noProof/>
        </w:rPr>
        <w:t>financements de l’UE et des États membres</w:t>
      </w:r>
      <w:r>
        <w:rPr>
          <w:noProof/>
        </w:rPr>
        <w:t>. Cela permettrait d’accroître la prévisibilité des investissements à long terme pour le secteur privé, d’éviter les doubles emplois et de veiller à la prise en compte d’autres priorités horizontales (comme faciliter la participation des PME).</w:t>
      </w:r>
      <w:r>
        <w:rPr>
          <w:noProof/>
          <w:color w:val="000000" w:themeColor="text1"/>
        </w:rPr>
        <w:t xml:space="preserve"> </w:t>
      </w:r>
    </w:p>
    <w:p w14:paraId="02DFC0D6" w14:textId="77777777" w:rsidR="003B51A1" w:rsidRDefault="003B51A1" w:rsidP="003B51A1">
      <w:pPr>
        <w:pStyle w:val="Text1"/>
        <w:spacing w:after="120"/>
        <w:ind w:left="0"/>
        <w:rPr>
          <w:noProof/>
        </w:rPr>
      </w:pPr>
      <w:r>
        <w:rPr>
          <w:noProof/>
          <w:color w:val="000000" w:themeColor="text1"/>
        </w:rPr>
        <w:t xml:space="preserve">L’UE apporte déjà une aide financière importante en faveur des médicaments. </w:t>
      </w:r>
      <w:r>
        <w:rPr>
          <w:noProof/>
        </w:rPr>
        <w:t xml:space="preserve">Environ </w:t>
      </w:r>
      <w:r w:rsidRPr="00093148">
        <w:rPr>
          <w:noProof/>
        </w:rPr>
        <w:t>4</w:t>
      </w:r>
      <w:r>
        <w:rPr>
          <w:noProof/>
        </w:rPr>
        <w:t> milliards d’euros sont affectés au soutien aux médicaments, y compris à la recherche dans le cadre d’Horizon Europe</w:t>
      </w:r>
      <w:r>
        <w:rPr>
          <w:rStyle w:val="FootnoteReference"/>
          <w:noProof/>
        </w:rPr>
        <w:footnoteReference w:id="35"/>
      </w:r>
      <w:r>
        <w:rPr>
          <w:noProof/>
        </w:rPr>
        <w:t>, au développement et à la production de médicaments au titre du Fonds européen de développement régional</w:t>
      </w:r>
      <w:r>
        <w:rPr>
          <w:rStyle w:val="FootnoteReference"/>
          <w:noProof/>
        </w:rPr>
        <w:footnoteReference w:id="36"/>
      </w:r>
      <w:r>
        <w:rPr>
          <w:noProof/>
        </w:rPr>
        <w:t>, au soutien au développement et à la production d’antimicrobiens et d’autres contre-mesures médicales au titre du programme EU</w:t>
      </w:r>
      <w:r w:rsidRPr="00093148">
        <w:rPr>
          <w:noProof/>
        </w:rPr>
        <w:t>4</w:t>
      </w:r>
      <w:r>
        <w:rPr>
          <w:noProof/>
        </w:rPr>
        <w:t>Health</w:t>
      </w:r>
      <w:r>
        <w:rPr>
          <w:rStyle w:val="FootnoteReference"/>
          <w:noProof/>
        </w:rPr>
        <w:footnoteReference w:id="37"/>
      </w:r>
      <w:r>
        <w:rPr>
          <w:noProof/>
        </w:rPr>
        <w:t xml:space="preserve">, ainsi qu’au financement des stocks médicaux au titre du mécanisme de protection civile de l’Union. Un soutien plus large aux systèmes de santé dans leur ensemble, à hauteur de </w:t>
      </w:r>
      <w:r w:rsidRPr="00093148">
        <w:rPr>
          <w:noProof/>
        </w:rPr>
        <w:t>43</w:t>
      </w:r>
      <w:r>
        <w:rPr>
          <w:noProof/>
        </w:rPr>
        <w:t xml:space="preserve"> milliards d’euros, est accordé dans le cadre de la facilité pour la reprise et la résilience. </w:t>
      </w:r>
    </w:p>
    <w:p w14:paraId="5CF5897D" w14:textId="77777777" w:rsidR="003B51A1" w:rsidRDefault="003B51A1" w:rsidP="003B51A1">
      <w:pPr>
        <w:rPr>
          <w:noProof/>
        </w:rPr>
      </w:pPr>
      <w:r>
        <w:rPr>
          <w:noProof/>
        </w:rPr>
        <w:t>La plateforme «Technologies stratégiques pour l’Europe» (STEP)</w:t>
      </w:r>
      <w:r>
        <w:rPr>
          <w:noProof/>
        </w:rPr>
        <w:footnoteReference w:id="38"/>
      </w:r>
      <w:r>
        <w:rPr>
          <w:noProof/>
        </w:rPr>
        <w:t>, proposée dans le cadre de l’examen à mi-parcours du cadre financier pluriannuel, vise à stimuler les investissements dans les technologies critiques en Europe, à la fois pour promouvoir l’innovation et pour contribuer à réduire ou à prévenir les dépendances stratégiques de l’Union. La plateforme vise à renforcer et à utiliser au mieux les instruments existants de l’UE en vue d’un déploiement rapide du soutien financier au développement ou à la production dans l’Union de technologies critiques dans plusieurs domaines, dont la biotechnologie. Plus précisément, la proposition de la Commission est axée, parmi les exemples de biotechnologies qui devraient être couvertes par la plateforme, sur les médicaments et technologies médicales essentiels pour la sécurité sanitaire. Les projets STEP pourraient être soutenus au moyen de plusieurs initiatives, par exemple les programmes de la politique de cohésion, la facilité pour la reprise et la résilience, l’EU</w:t>
      </w:r>
      <w:r w:rsidRPr="00093148">
        <w:rPr>
          <w:noProof/>
        </w:rPr>
        <w:t>4</w:t>
      </w:r>
      <w:r>
        <w:rPr>
          <w:noProof/>
        </w:rPr>
        <w:t>Health, Horizon Europe ou encore InvestEU. La plateforme propose en outre de créer un label de souveraineté afin de promouvoir les synergies entre les programmes existants</w:t>
      </w:r>
      <w:r>
        <w:rPr>
          <w:rStyle w:val="FootnoteReference"/>
          <w:noProof/>
        </w:rPr>
        <w:footnoteReference w:id="39"/>
      </w:r>
      <w:r>
        <w:rPr>
          <w:noProof/>
        </w:rPr>
        <w:t>.</w:t>
      </w:r>
      <w:r>
        <w:rPr>
          <w:rFonts w:ascii="Arial" w:hAnsi="Arial"/>
          <w:noProof/>
        </w:rPr>
        <w:t xml:space="preserve"> </w:t>
      </w:r>
      <w:r>
        <w:rPr>
          <w:noProof/>
        </w:rPr>
        <w:t xml:space="preserve"> </w:t>
      </w:r>
    </w:p>
    <w:p w14:paraId="52A85FA5" w14:textId="77777777" w:rsidR="003B51A1" w:rsidRDefault="003B51A1" w:rsidP="003B51A1">
      <w:pPr>
        <w:rPr>
          <w:noProof/>
          <w:color w:val="000000" w:themeColor="text1"/>
        </w:rPr>
      </w:pPr>
      <w:r>
        <w:rPr>
          <w:noProof/>
        </w:rPr>
        <w:t>L’instrument d’appui technique pourrait également être utilisé pour renforcer la capacité administrative des États membres à gérer les pénuries et à produire des médicaments critiques.</w:t>
      </w:r>
    </w:p>
    <w:tbl>
      <w:tblPr>
        <w:tblStyle w:val="TableGrid"/>
        <w:tblW w:w="0" w:type="auto"/>
        <w:tblLook w:val="04A0" w:firstRow="1" w:lastRow="0" w:firstColumn="1" w:lastColumn="0" w:noHBand="0" w:noVBand="1"/>
      </w:tblPr>
      <w:tblGrid>
        <w:gridCol w:w="8602"/>
      </w:tblGrid>
      <w:tr w:rsidR="003B51A1" w:rsidRPr="008E2E92" w14:paraId="07E187CA" w14:textId="77777777" w:rsidTr="000F1695">
        <w:tc>
          <w:tcPr>
            <w:tcW w:w="8602" w:type="dxa"/>
          </w:tcPr>
          <w:p w14:paraId="206A289E" w14:textId="77777777" w:rsidR="003B51A1" w:rsidRPr="008E2E92" w:rsidRDefault="003B51A1" w:rsidP="000F1695">
            <w:pPr>
              <w:pStyle w:val="NormalWeb"/>
              <w:spacing w:before="0" w:beforeAutospacing="0" w:after="0" w:afterAutospacing="0"/>
              <w:jc w:val="both"/>
              <w:rPr>
                <w:rStyle w:val="normaltextrun"/>
                <w:i/>
                <w:iCs/>
                <w:noProof/>
                <w:color w:val="000000" w:themeColor="text1"/>
                <w:szCs w:val="20"/>
              </w:rPr>
            </w:pPr>
            <w:r>
              <w:rPr>
                <w:rStyle w:val="normaltextrun"/>
                <w:b/>
                <w:i/>
                <w:noProof/>
              </w:rPr>
              <w:t xml:space="preserve">Actions à moyen et long termes </w:t>
            </w:r>
          </w:p>
          <w:p w14:paraId="23A4E98D" w14:textId="77777777" w:rsidR="003B51A1" w:rsidRDefault="003B51A1" w:rsidP="000F1695">
            <w:pPr>
              <w:pStyle w:val="NormalWeb"/>
              <w:spacing w:before="200" w:beforeAutospacing="0" w:after="120" w:afterAutospacing="0"/>
              <w:jc w:val="both"/>
              <w:rPr>
                <w:rStyle w:val="normaltextrun"/>
                <w:noProof/>
                <w:color w:val="000000" w:themeColor="text1"/>
              </w:rPr>
            </w:pPr>
            <w:r>
              <w:rPr>
                <w:noProof/>
              </w:rPr>
              <w:t>La Commission discutera avec les États membres de la création d’une Alliance pour les médicaments critiques dans le but de fournir un cadre stratégique pour la promotion d’un soutien structurel de l’approvisionnement en médicaments critiques.</w:t>
            </w:r>
            <w:r>
              <w:rPr>
                <w:noProof/>
                <w:color w:val="000000" w:themeColor="text1"/>
              </w:rPr>
              <w:t xml:space="preserve"> L’Alliance devrait être opérationnelle d’ici le début de </w:t>
            </w:r>
            <w:r w:rsidRPr="00093148">
              <w:rPr>
                <w:noProof/>
                <w:color w:val="000000" w:themeColor="text1"/>
              </w:rPr>
              <w:t>2024</w:t>
            </w:r>
            <w:r>
              <w:rPr>
                <w:noProof/>
                <w:color w:val="000000" w:themeColor="text1"/>
              </w:rPr>
              <w:t>.</w:t>
            </w:r>
          </w:p>
          <w:p w14:paraId="08A089E3" w14:textId="77777777" w:rsidR="003B51A1" w:rsidRPr="008E2E92" w:rsidRDefault="003B51A1" w:rsidP="000F1695">
            <w:pPr>
              <w:pStyle w:val="NormalWeb"/>
              <w:spacing w:before="200" w:beforeAutospacing="0" w:after="120" w:afterAutospacing="0"/>
              <w:jc w:val="both"/>
              <w:rPr>
                <w:rStyle w:val="normaltextrun"/>
                <w:noProof/>
                <w:color w:val="000000" w:themeColor="text1"/>
              </w:rPr>
            </w:pPr>
            <w:r>
              <w:rPr>
                <w:rStyle w:val="normaltextrun"/>
                <w:noProof/>
                <w:color w:val="000000" w:themeColor="text1"/>
              </w:rPr>
              <w:t xml:space="preserve">La Commission entend par ailleurs: </w:t>
            </w:r>
          </w:p>
          <w:p w14:paraId="11D67DC5" w14:textId="77777777" w:rsidR="003B51A1" w:rsidRPr="00C3101F" w:rsidRDefault="003B51A1" w:rsidP="000F1695">
            <w:pPr>
              <w:pStyle w:val="ListBullet2Level2"/>
              <w:numPr>
                <w:ilvl w:val="0"/>
                <w:numId w:val="28"/>
              </w:numPr>
              <w:spacing w:after="0"/>
              <w:ind w:left="426"/>
              <w:rPr>
                <w:noProof/>
              </w:rPr>
            </w:pPr>
            <w:r>
              <w:rPr>
                <w:noProof/>
              </w:rPr>
              <w:t xml:space="preserve">lancer, d’ici la fin de </w:t>
            </w:r>
            <w:r w:rsidRPr="00093148">
              <w:rPr>
                <w:noProof/>
              </w:rPr>
              <w:t>2023</w:t>
            </w:r>
            <w:r>
              <w:rPr>
                <w:noProof/>
              </w:rPr>
              <w:t>, une étude sur la contribution possible de la législation pour offrir un soutien structurel à long terme concernant l’approvisionnement en médicaments critiques;</w:t>
            </w:r>
          </w:p>
          <w:p w14:paraId="6CA399CC" w14:textId="77777777" w:rsidR="003B51A1" w:rsidRDefault="003B51A1" w:rsidP="000F1695">
            <w:pPr>
              <w:pStyle w:val="ListBullet2Level2"/>
              <w:numPr>
                <w:ilvl w:val="0"/>
                <w:numId w:val="28"/>
              </w:numPr>
              <w:spacing w:after="0"/>
              <w:ind w:left="426"/>
              <w:rPr>
                <w:noProof/>
              </w:rPr>
            </w:pPr>
            <w:r>
              <w:rPr>
                <w:noProof/>
              </w:rPr>
              <w:t>élaborer avec les États membres une approche stratégique commune en ce qui concerne la constitution de stocks de médicaments, qui devrait être achevée d’ici juin </w:t>
            </w:r>
            <w:r w:rsidRPr="00093148">
              <w:rPr>
                <w:noProof/>
              </w:rPr>
              <w:t>2024</w:t>
            </w:r>
            <w:r>
              <w:rPr>
                <w:noProof/>
              </w:rPr>
              <w:t>;</w:t>
            </w:r>
          </w:p>
          <w:p w14:paraId="5B501FE4" w14:textId="77777777" w:rsidR="003B51A1" w:rsidRDefault="003B51A1" w:rsidP="000F1695">
            <w:pPr>
              <w:pStyle w:val="ListBullet2Level2"/>
              <w:numPr>
                <w:ilvl w:val="0"/>
                <w:numId w:val="28"/>
              </w:numPr>
              <w:spacing w:after="0"/>
              <w:ind w:left="426"/>
              <w:rPr>
                <w:noProof/>
              </w:rPr>
            </w:pPr>
            <w:r>
              <w:rPr>
                <w:noProof/>
              </w:rPr>
              <w:t>mettre en place des partenariats stratégiques avec les pays tiers en vue de la production de médicaments critiques, en tenant compte à la fois de la demande au niveau local et des besoins au niveau de l’UE et au niveau mondial.</w:t>
            </w:r>
          </w:p>
          <w:p w14:paraId="2BE4668A" w14:textId="77777777" w:rsidR="003B51A1" w:rsidRPr="00C3101F" w:rsidRDefault="003B51A1" w:rsidP="000F1695">
            <w:pPr>
              <w:pStyle w:val="ListBullet2Level2"/>
              <w:numPr>
                <w:ilvl w:val="0"/>
                <w:numId w:val="0"/>
              </w:numPr>
              <w:spacing w:after="0"/>
              <w:ind w:left="426"/>
              <w:rPr>
                <w:noProof/>
                <w:color w:val="000000" w:themeColor="text1"/>
              </w:rPr>
            </w:pPr>
          </w:p>
          <w:p w14:paraId="743E8782" w14:textId="77777777" w:rsidR="003B51A1" w:rsidRPr="00C3101F" w:rsidRDefault="003B51A1" w:rsidP="000F1695">
            <w:pPr>
              <w:pStyle w:val="NormalWeb"/>
              <w:spacing w:before="0" w:beforeAutospacing="0" w:after="120" w:afterAutospacing="0"/>
              <w:jc w:val="both"/>
              <w:rPr>
                <w:rStyle w:val="normaltextrun"/>
                <w:noProof/>
                <w:color w:val="000000" w:themeColor="text1"/>
                <w:szCs w:val="20"/>
              </w:rPr>
            </w:pPr>
            <w:r>
              <w:rPr>
                <w:rStyle w:val="normaltextrun"/>
                <w:noProof/>
              </w:rPr>
              <w:t>Les États membres sont invités:</w:t>
            </w:r>
            <w:r>
              <w:rPr>
                <w:rStyle w:val="normaltextrun"/>
                <w:noProof/>
                <w:color w:val="000000" w:themeColor="text1"/>
              </w:rPr>
              <w:t xml:space="preserve"> </w:t>
            </w:r>
          </w:p>
          <w:p w14:paraId="1DE17C17" w14:textId="77777777" w:rsidR="003B51A1" w:rsidRPr="008E2E92" w:rsidRDefault="003B51A1" w:rsidP="000F1695">
            <w:pPr>
              <w:pStyle w:val="ListBullet2Level2"/>
              <w:numPr>
                <w:ilvl w:val="0"/>
                <w:numId w:val="28"/>
              </w:numPr>
              <w:spacing w:after="0"/>
              <w:ind w:left="426"/>
              <w:rPr>
                <w:noProof/>
              </w:rPr>
            </w:pPr>
            <w:r>
              <w:rPr>
                <w:noProof/>
              </w:rPr>
              <w:t>à utiliser les fonds disponibles pour investir dans les priorités définies par l’Alliance, dans le respect des règles éventuellement applicables en matière d’aides d’État;</w:t>
            </w:r>
          </w:p>
          <w:p w14:paraId="6E624D8D" w14:textId="77777777" w:rsidR="003B51A1" w:rsidRPr="008E2E92" w:rsidRDefault="003B51A1" w:rsidP="000F1695">
            <w:pPr>
              <w:pStyle w:val="ListBullet2Level2"/>
              <w:numPr>
                <w:ilvl w:val="0"/>
                <w:numId w:val="28"/>
              </w:numPr>
              <w:spacing w:after="0"/>
              <w:ind w:left="426"/>
              <w:rPr>
                <w:i/>
                <w:noProof/>
                <w:color w:val="000000" w:themeColor="text1"/>
              </w:rPr>
            </w:pPr>
            <w:r>
              <w:rPr>
                <w:noProof/>
              </w:rPr>
              <w:t>à élaborer, en ce qui concerne la constitution de stocks de médicaments, des approches nationales cohérentes avec une approche globale de l’UE dans ce domaine;</w:t>
            </w:r>
          </w:p>
          <w:p w14:paraId="4C461A33" w14:textId="77777777" w:rsidR="003B51A1" w:rsidRPr="008E2E92" w:rsidRDefault="003B51A1" w:rsidP="000F1695">
            <w:pPr>
              <w:pStyle w:val="ListBullet2Level2"/>
              <w:numPr>
                <w:ilvl w:val="0"/>
                <w:numId w:val="28"/>
              </w:numPr>
              <w:spacing w:after="0"/>
              <w:ind w:left="426"/>
              <w:rPr>
                <w:i/>
                <w:noProof/>
                <w:color w:val="000000" w:themeColor="text1"/>
              </w:rPr>
            </w:pPr>
            <w:r>
              <w:rPr>
                <w:noProof/>
                <w:color w:val="000000" w:themeColor="text1"/>
              </w:rPr>
              <w:t xml:space="preserve">à soutenir le lancement d’un partenariat pour les compétences, en mettant l’accent sur les besoins du secteur pharmaceutique. </w:t>
            </w:r>
          </w:p>
          <w:p w14:paraId="3867F9A9" w14:textId="77777777" w:rsidR="003B51A1" w:rsidRPr="008E2E92" w:rsidRDefault="003B51A1" w:rsidP="000F1695">
            <w:pPr>
              <w:pStyle w:val="ListBullet2Level2"/>
              <w:numPr>
                <w:ilvl w:val="0"/>
                <w:numId w:val="0"/>
              </w:numPr>
              <w:spacing w:after="0"/>
              <w:ind w:left="1644" w:hanging="283"/>
              <w:rPr>
                <w:i/>
                <w:noProof/>
                <w:color w:val="000000" w:themeColor="text1"/>
              </w:rPr>
            </w:pPr>
          </w:p>
        </w:tc>
      </w:tr>
    </w:tbl>
    <w:p w14:paraId="7222F71E" w14:textId="77777777" w:rsidR="003B51A1" w:rsidRPr="008E2E92" w:rsidRDefault="003B51A1" w:rsidP="003B51A1">
      <w:pPr>
        <w:pStyle w:val="Heading1"/>
        <w:spacing w:before="480"/>
        <w:rPr>
          <w:rStyle w:val="normaltextrun"/>
          <w:b w:val="0"/>
          <w:smallCaps w:val="0"/>
          <w:noProof/>
        </w:rPr>
      </w:pPr>
      <w:bookmarkStart w:id="43" w:name="_Toc144438862"/>
      <w:r>
        <w:rPr>
          <w:rStyle w:val="normaltextrun"/>
          <w:noProof/>
        </w:rPr>
        <w:t>PARTENARIATS INTERNATIONAUX POUR L’APPROVISIONNEMENT</w:t>
      </w:r>
      <w:bookmarkEnd w:id="43"/>
      <w:r>
        <w:rPr>
          <w:rStyle w:val="normaltextrun"/>
          <w:noProof/>
        </w:rPr>
        <w:t xml:space="preserve"> </w:t>
      </w:r>
    </w:p>
    <w:p w14:paraId="426F3694" w14:textId="77777777" w:rsidR="003B51A1" w:rsidRPr="00EE68C2" w:rsidRDefault="003B51A1" w:rsidP="003B51A1">
      <w:pPr>
        <w:pStyle w:val="ListBullet1"/>
        <w:numPr>
          <w:ilvl w:val="0"/>
          <w:numId w:val="0"/>
        </w:numPr>
        <w:spacing w:after="0"/>
        <w:rPr>
          <w:noProof/>
        </w:rPr>
      </w:pPr>
      <w:bookmarkStart w:id="44" w:name="_Toc144372757"/>
      <w:bookmarkStart w:id="45" w:name="_Toc144372835"/>
      <w:bookmarkStart w:id="46" w:name="_Toc144373644"/>
      <w:bookmarkStart w:id="47" w:name="_Toc144373794"/>
      <w:bookmarkStart w:id="48" w:name="_Toc144372758"/>
      <w:bookmarkStart w:id="49" w:name="_Toc144372836"/>
      <w:bookmarkStart w:id="50" w:name="_Toc144373645"/>
      <w:bookmarkStart w:id="51" w:name="_Toc144373795"/>
      <w:bookmarkStart w:id="52" w:name="_Toc144372759"/>
      <w:bookmarkStart w:id="53" w:name="_Toc144372837"/>
      <w:bookmarkStart w:id="54" w:name="_Toc144373646"/>
      <w:bookmarkStart w:id="55" w:name="_Toc144373796"/>
      <w:bookmarkStart w:id="56" w:name="_Toc144388813"/>
      <w:bookmarkStart w:id="57" w:name="_Toc144372760"/>
      <w:bookmarkStart w:id="58" w:name="_Toc144372838"/>
      <w:bookmarkStart w:id="59" w:name="_Toc144373647"/>
      <w:bookmarkStart w:id="60" w:name="_Toc144373797"/>
      <w:bookmarkStart w:id="61" w:name="_Toc144372761"/>
      <w:bookmarkStart w:id="62" w:name="_Toc144372839"/>
      <w:bookmarkStart w:id="63" w:name="_Toc144373648"/>
      <w:bookmarkStart w:id="64" w:name="_Toc144373798"/>
      <w:bookmarkStart w:id="65" w:name="_Toc144388815"/>
      <w:bookmarkStart w:id="66" w:name="_Toc144438863"/>
      <w:bookmarkStart w:id="67" w:name="_Hlk146892938"/>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noProof/>
        </w:rPr>
        <w:t>L’UE, agissant en tant qu’Équipe Europe, a joué un rôle de premier plan dans l’élaboration d’une approche globale de la santé, telle que décrite de manière détaillée dans la stratégie en matière de santé mondiale de novembre </w:t>
      </w:r>
      <w:r w:rsidRPr="00093148">
        <w:rPr>
          <w:noProof/>
        </w:rPr>
        <w:t>2022</w:t>
      </w:r>
      <w:r>
        <w:rPr>
          <w:rStyle w:val="FootnoteReference"/>
          <w:noProof/>
          <w:sz w:val="20"/>
        </w:rPr>
        <w:footnoteReference w:id="40"/>
      </w:r>
      <w:r>
        <w:rPr>
          <w:noProof/>
        </w:rPr>
        <w:t>. L’un des objectifs essentiels de la stratégie était de soutenir les personnes dans le besoin</w:t>
      </w:r>
      <w:bookmarkEnd w:id="66"/>
      <w:r>
        <w:rPr>
          <w:noProof/>
        </w:rPr>
        <w:t>, comme en témoignent principalement les dons massifs de vaccins contre la COVID-</w:t>
      </w:r>
      <w:r w:rsidRPr="00093148">
        <w:rPr>
          <w:noProof/>
        </w:rPr>
        <w:t>19</w:t>
      </w:r>
      <w:r>
        <w:rPr>
          <w:rStyle w:val="FootnoteReference"/>
          <w:noProof/>
          <w:sz w:val="20"/>
        </w:rPr>
        <w:footnoteReference w:id="41"/>
      </w:r>
      <w:r>
        <w:rPr>
          <w:noProof/>
        </w:rPr>
        <w:t xml:space="preserve"> effectués par l’UE à un certain nombre de partenaires internationaux. La pandémie de COVID-</w:t>
      </w:r>
      <w:r w:rsidRPr="00093148">
        <w:rPr>
          <w:noProof/>
        </w:rPr>
        <w:t>19</w:t>
      </w:r>
      <w:r>
        <w:rPr>
          <w:noProof/>
        </w:rPr>
        <w:t xml:space="preserve"> a également montré l’importance cruciale des chaînes d’approvisionnement mondiales pour garantir les fournitures médicales essentielles. La coopération internationale ainsi qu’une véritable intégration de l’industrie pharmaceutique mondiale jouent un rôle déterminant pour garantir la disponibilité des médicaments dans l’UE et dans le monde entier: de nombreux partenaires ont fait eux-mêmes la difficile expérience d’une pénurie et reconnaissent la valeur d’une approche collective.</w:t>
      </w:r>
    </w:p>
    <w:p w14:paraId="3F8DAF32" w14:textId="77777777" w:rsidR="003B51A1" w:rsidRPr="008E2E92" w:rsidRDefault="003B51A1" w:rsidP="003B51A1">
      <w:pPr>
        <w:keepNext/>
        <w:spacing w:before="240" w:after="120"/>
        <w:rPr>
          <w:b/>
          <w:bCs/>
          <w:i/>
          <w:iCs/>
          <w:noProof/>
          <w:color w:val="000000" w:themeColor="text1"/>
        </w:rPr>
      </w:pPr>
      <w:r>
        <w:rPr>
          <w:b/>
          <w:i/>
          <w:noProof/>
          <w:color w:val="000000" w:themeColor="text1"/>
        </w:rPr>
        <w:t xml:space="preserve">Diversification des chaînes d’approvisionnement </w:t>
      </w:r>
    </w:p>
    <w:p w14:paraId="3986EC6D" w14:textId="77777777" w:rsidR="003B51A1" w:rsidRPr="008E2E92" w:rsidRDefault="003B51A1" w:rsidP="003B51A1">
      <w:pPr>
        <w:pStyle w:val="Text2"/>
        <w:spacing w:after="120"/>
        <w:ind w:left="0"/>
        <w:rPr>
          <w:noProof/>
          <w:color w:val="000000" w:themeColor="text1"/>
        </w:rPr>
      </w:pPr>
      <w:r>
        <w:rPr>
          <w:noProof/>
        </w:rPr>
        <w:t xml:space="preserve">La diversification contribue à réduire les vulnérabilités de la chaîne d’approvisionnement liées aux dépendances. </w:t>
      </w:r>
      <w:r>
        <w:rPr>
          <w:noProof/>
          <w:color w:val="000000" w:themeColor="text1"/>
        </w:rPr>
        <w:t xml:space="preserve">Compte tenu de la complexité des chaînes d’approvisionnement pharmaceutiques, l’industrie de l’UE doit avoir accès à un large éventail d’intrants essentiels. La politique commerciale et les partenariats entendent ouvrir de nouveaux marchés et diversifier les sources d’approvisionnement, complétant ainsi les efforts visant à réduire les dépendances excessives à l’égard des chaînes d’approvisionnement critiques. L’identification des risques et des vulnérabilités, notamment en ce qui concerne les médicaments critiques, permet de cibler les mesures d’atténuation et de renforcer la résilience du système commercial et du marché pharmaceutique mondiaux. Il s’agit de l’un des objectifs des </w:t>
      </w:r>
      <w:r w:rsidRPr="00093148">
        <w:rPr>
          <w:noProof/>
          <w:color w:val="000000" w:themeColor="text1"/>
        </w:rPr>
        <w:t>42</w:t>
      </w:r>
      <w:r>
        <w:rPr>
          <w:noProof/>
          <w:color w:val="000000" w:themeColor="text1"/>
        </w:rPr>
        <w:t xml:space="preserve"> accords commerciaux préférentiels que l’UE a conclus avec </w:t>
      </w:r>
      <w:r w:rsidRPr="00093148">
        <w:rPr>
          <w:noProof/>
          <w:color w:val="000000" w:themeColor="text1"/>
        </w:rPr>
        <w:t>74</w:t>
      </w:r>
      <w:r>
        <w:rPr>
          <w:noProof/>
          <w:color w:val="000000" w:themeColor="text1"/>
        </w:rPr>
        <w:t xml:space="preserve"> partenaires commerciaux ainsi que des travaux menés au sein d’enceintes internationales comme le G</w:t>
      </w:r>
      <w:r w:rsidRPr="00093148">
        <w:rPr>
          <w:noProof/>
          <w:color w:val="000000" w:themeColor="text1"/>
        </w:rPr>
        <w:t>20</w:t>
      </w:r>
      <w:r>
        <w:rPr>
          <w:noProof/>
          <w:color w:val="000000" w:themeColor="text1"/>
        </w:rPr>
        <w:t>, le G</w:t>
      </w:r>
      <w:r w:rsidRPr="00093148">
        <w:rPr>
          <w:noProof/>
          <w:color w:val="000000" w:themeColor="text1"/>
        </w:rPr>
        <w:t>7</w:t>
      </w:r>
      <w:r>
        <w:rPr>
          <w:noProof/>
          <w:color w:val="000000" w:themeColor="text1"/>
        </w:rPr>
        <w:t xml:space="preserve"> et l’OMC.</w:t>
      </w:r>
    </w:p>
    <w:p w14:paraId="0828F495" w14:textId="77777777" w:rsidR="003B51A1" w:rsidRPr="008E2E92" w:rsidRDefault="003B51A1" w:rsidP="003B51A1">
      <w:pPr>
        <w:spacing w:after="0"/>
        <w:rPr>
          <w:noProof/>
          <w:color w:val="000000" w:themeColor="text1"/>
        </w:rPr>
      </w:pPr>
      <w:r>
        <w:rPr>
          <w:noProof/>
          <w:color w:val="000000" w:themeColor="text1"/>
        </w:rPr>
        <w:t xml:space="preserve">L’UE collabore aussi avec ses principaux partenaires commerciaux au niveau bilatéral afin d’éviter toute rupture des chaînes d’approvisionnement. Dans le contexte des actuelles négociations avec l'Inde sur un accord de libre-échange, le Conseil du commerce et des technologies existant constitue également une enceinte appropriée pour discuter de la manière de renforcer les chaînes de valeur dans le secteur pharmaceutique, compte tenu du rôle clé stratégique de l’Inde.  Les réunions bilatérales avec la Chine servent de plateforme pour aborder les aspects ayant une incidence sur l’accès aux chaînes d’approvisionnement en médicaments. Le dialogue avec l’Amérique latine reflète l’importance croissante des relations commerciales avec cette région. La Commission s’efforcera de mettre en place des </w:t>
      </w:r>
      <w:r>
        <w:rPr>
          <w:b/>
          <w:bCs/>
          <w:noProof/>
          <w:color w:val="000000" w:themeColor="text1"/>
        </w:rPr>
        <w:t>partenariats stratégiques</w:t>
      </w:r>
      <w:r>
        <w:rPr>
          <w:noProof/>
          <w:color w:val="000000" w:themeColor="text1"/>
        </w:rPr>
        <w:t xml:space="preserve"> avec des pays tiers concernant la production de médicaments et de principes actifs pharmaceutiques critiques. Ces partenariats pourraient définir des engagements sur des actions concrètes d’intérêt mutuel. </w:t>
      </w:r>
      <w:r>
        <w:rPr>
          <w:noProof/>
        </w:rPr>
        <w:t>Il pourrait s’agir d’actions sur mesure tenant compte de la contribution possible de chaque partenaire à la sécurité de l’approvisionnement ou de la nécessité pour un pays tiers de renforcer le suivi, la prévention ou la réduction des incidences environnementales, sociales ou juridiques.</w:t>
      </w:r>
      <w:r>
        <w:rPr>
          <w:noProof/>
          <w:color w:val="000000"/>
        </w:rPr>
        <w:t xml:space="preserve"> </w:t>
      </w:r>
    </w:p>
    <w:p w14:paraId="263BA995" w14:textId="77777777" w:rsidR="003B51A1" w:rsidRPr="008E2E92" w:rsidRDefault="003B51A1" w:rsidP="003B51A1">
      <w:pPr>
        <w:pStyle w:val="Heading2"/>
        <w:numPr>
          <w:ilvl w:val="0"/>
          <w:numId w:val="0"/>
        </w:numPr>
        <w:tabs>
          <w:tab w:val="num" w:pos="3334"/>
        </w:tabs>
        <w:spacing w:before="240" w:after="120"/>
        <w:rPr>
          <w:rStyle w:val="normaltextrun"/>
          <w:i/>
          <w:iCs/>
          <w:noProof/>
        </w:rPr>
      </w:pPr>
      <w:bookmarkStart w:id="68" w:name="_Toc144438864"/>
      <w:r>
        <w:rPr>
          <w:rStyle w:val="normaltextrun"/>
          <w:i/>
          <w:noProof/>
        </w:rPr>
        <w:t xml:space="preserve">Coopération internationale </w:t>
      </w:r>
      <w:bookmarkEnd w:id="68"/>
      <w:r>
        <w:rPr>
          <w:rStyle w:val="normaltextrun"/>
          <w:i/>
          <w:noProof/>
        </w:rPr>
        <w:t>pour assurer la convergence réglementaire ainsi que des conditions de concurrence équitables</w:t>
      </w:r>
    </w:p>
    <w:p w14:paraId="59E58E79" w14:textId="77777777" w:rsidR="003B51A1" w:rsidRPr="008E2E92" w:rsidRDefault="003B51A1" w:rsidP="003B51A1">
      <w:pPr>
        <w:spacing w:after="120"/>
        <w:rPr>
          <w:noProof/>
          <w:color w:val="000000" w:themeColor="text1"/>
        </w:rPr>
      </w:pPr>
      <w:r>
        <w:rPr>
          <w:rStyle w:val="normaltextrun"/>
          <w:noProof/>
        </w:rPr>
        <w:t>La convergence réglementaire peut contribuer à réduire les obstacles et les goulets d’étranglement en matière d’approvisionnement. Le respect des bonnes pratiques de fabrication était l’un des axes de la stratégie pharmaceutique</w:t>
      </w:r>
      <w:r>
        <w:rPr>
          <w:rStyle w:val="FootnoteReference"/>
          <w:noProof/>
        </w:rPr>
        <w:footnoteReference w:id="42"/>
      </w:r>
      <w:r>
        <w:rPr>
          <w:rStyle w:val="normaltextrun"/>
          <w:noProof/>
        </w:rPr>
        <w:t xml:space="preserve">, l’objectif étant de garantir une qualité optimale pour les produits fabriqués dans des pays tiers et commercialisés dans l’UE. </w:t>
      </w:r>
    </w:p>
    <w:p w14:paraId="56978D86" w14:textId="77777777" w:rsidR="003B51A1" w:rsidRDefault="003B51A1" w:rsidP="003B51A1">
      <w:pPr>
        <w:spacing w:after="120"/>
        <w:rPr>
          <w:noProof/>
          <w:szCs w:val="24"/>
        </w:rPr>
      </w:pPr>
      <w:r>
        <w:rPr>
          <w:rStyle w:val="normaltextrun"/>
          <w:noProof/>
        </w:rPr>
        <w:t xml:space="preserve">La convergence réglementaire et l’harmonisation des normes applicables aux produits pharmaceutiques sont réalisées et encouragées au travers d’un engagement actif dans les enceintes multilatérales compétentes, comme la Conférence internationale sur l’harmonisation des exigences techniques d’enregistrement des médicaments à usage humain (CIH) et la Coalition internationale des autorités de réglementation des médicaments (ICMRA). </w:t>
      </w:r>
      <w:r>
        <w:rPr>
          <w:noProof/>
        </w:rPr>
        <w:t>Il importe également de soutenir les travaux de l’Organisation mondiale de la santé dans ce domaine afin de renforcer la convergence réglementaire.</w:t>
      </w:r>
    </w:p>
    <w:p w14:paraId="0F1D3828" w14:textId="77777777" w:rsidR="003B51A1" w:rsidRPr="008E2E92" w:rsidRDefault="003B51A1" w:rsidP="003B51A1">
      <w:pPr>
        <w:spacing w:after="120"/>
        <w:rPr>
          <w:noProof/>
          <w:color w:val="000000" w:themeColor="text1"/>
        </w:rPr>
      </w:pPr>
      <w:r>
        <w:rPr>
          <w:rStyle w:val="normaltextrun"/>
          <w:noProof/>
        </w:rPr>
        <w:t>L’harmonisation peut aussi être renforcée</w:t>
      </w:r>
      <w:bookmarkStart w:id="69" w:name="_Toc144373651"/>
      <w:bookmarkStart w:id="70" w:name="_Toc144373801"/>
      <w:bookmarkStart w:id="71" w:name="_Toc144372766"/>
      <w:bookmarkStart w:id="72" w:name="_Toc144372844"/>
      <w:bookmarkStart w:id="73" w:name="_Toc144372767"/>
      <w:bookmarkStart w:id="74" w:name="_Toc144372845"/>
      <w:bookmarkStart w:id="75" w:name="_Toc144372768"/>
      <w:bookmarkStart w:id="76" w:name="_Toc144372846"/>
      <w:bookmarkStart w:id="77" w:name="_Toc144388822"/>
      <w:bookmarkStart w:id="78" w:name="_Toc144372769"/>
      <w:bookmarkStart w:id="79" w:name="_Toc144372847"/>
      <w:bookmarkStart w:id="80" w:name="_Toc144388824"/>
      <w:bookmarkEnd w:id="69"/>
      <w:bookmarkEnd w:id="70"/>
      <w:bookmarkEnd w:id="71"/>
      <w:bookmarkEnd w:id="72"/>
      <w:bookmarkEnd w:id="73"/>
      <w:bookmarkEnd w:id="74"/>
      <w:bookmarkEnd w:id="75"/>
      <w:bookmarkEnd w:id="76"/>
      <w:bookmarkEnd w:id="77"/>
      <w:bookmarkEnd w:id="78"/>
      <w:bookmarkEnd w:id="79"/>
      <w:bookmarkEnd w:id="80"/>
      <w:r>
        <w:rPr>
          <w:noProof/>
        </w:rPr>
        <w:t xml:space="preserve"> par des accords de libre-échange prévoyant l’obligation pour les deux parties de tenir compte des dispositions, des pratiques et des lignes directrices internationales concernant les médicaments</w:t>
      </w:r>
      <w:r>
        <w:rPr>
          <w:rStyle w:val="FootnoteReference"/>
          <w:noProof/>
          <w:color w:val="000000" w:themeColor="text1"/>
        </w:rPr>
        <w:footnoteReference w:id="43"/>
      </w:r>
      <w:r>
        <w:rPr>
          <w:noProof/>
          <w:color w:val="000000" w:themeColor="text1"/>
        </w:rPr>
        <w:t xml:space="preserve">. Ces accords contribuent à améliorer la qualité des produits dans le monde entier et garantissent que des normes différentes ne deviennent pas un obstacle au commerce. </w:t>
      </w:r>
      <w:r>
        <w:rPr>
          <w:noProof/>
        </w:rPr>
        <w:t xml:space="preserve">Au nombre des autres outils essentiels figurent les </w:t>
      </w:r>
      <w:hyperlink r:id="rId20" w:tgtFrame="_blank" w:tooltip="Un accord entre deux agences de réglementation sur la reconnaissance mutuelle des évaluations réglementaires, des inspections ou des réexamens." w:history="1">
        <w:r>
          <w:rPr>
            <w:rStyle w:val="Hyperlink"/>
            <w:noProof/>
            <w:color w:val="000000" w:themeColor="text1"/>
            <w:u w:val="none"/>
          </w:rPr>
          <w:t>accords de reconnaissance mutuelle</w:t>
        </w:r>
      </w:hyperlink>
      <w:r>
        <w:rPr>
          <w:noProof/>
        </w:rPr>
        <w:t xml:space="preserve"> (ARM) avec les autorités de pays tiers portant sur l’évaluation de la conformité des produits réglementés, qui permettent la confiance mutuelle dans les inspections ainsi que l’échange d’informations.</w:t>
      </w:r>
      <w:r>
        <w:rPr>
          <w:noProof/>
          <w:color w:val="000000" w:themeColor="text1"/>
        </w:rPr>
        <w:t xml:space="preserve"> Des accords de ce type facilitent le commerce de médicaments avec l’Australie, le Canada, Israël, le Japon, la Nouvelle-Zélande, la Suisse et les États-Unis. Des accords bilatéraux avec les États-Unis et la République de Corée permettent également de partager des informations non sensibles sur les marchés et d’anticiper les problèmes éventuels. </w:t>
      </w:r>
    </w:p>
    <w:p w14:paraId="6F000E46" w14:textId="77777777" w:rsidR="003B51A1" w:rsidRPr="008E2E92" w:rsidRDefault="003B51A1" w:rsidP="003B51A1">
      <w:pPr>
        <w:spacing w:after="120"/>
        <w:rPr>
          <w:noProof/>
          <w:color w:val="000000" w:themeColor="text1"/>
        </w:rPr>
      </w:pPr>
      <w:r>
        <w:rPr>
          <w:noProof/>
        </w:rPr>
        <w:t xml:space="preserve">Sous réserve des règles applicables en matière d’aides d’État et de pratiques anticoncurrentielles, la Commission élargira ces travaux en créant et en encourageant un </w:t>
      </w:r>
      <w:r>
        <w:rPr>
          <w:b/>
          <w:bCs/>
          <w:i/>
          <w:noProof/>
        </w:rPr>
        <w:t>réseau de partenaires internationaux</w:t>
      </w:r>
      <w:r>
        <w:rPr>
          <w:noProof/>
        </w:rPr>
        <w:t>, ayant pour objectif de renforcer la résilience de la chaîne d’approvisionnement et d’améliorer l’accès aux médicaments et aux contre-mesures médicales critiques.</w:t>
      </w:r>
      <w:r>
        <w:rPr>
          <w:noProof/>
          <w:color w:val="000000" w:themeColor="text1"/>
        </w:rPr>
        <w:t xml:space="preserve"> Le réseau, qui réunira les fabricants et les principaux pays consommateurs, pourrait être mis en place en l’espace d’un an. </w:t>
      </w:r>
      <w:r>
        <w:rPr>
          <w:noProof/>
        </w:rPr>
        <w:t xml:space="preserve">Il aurait pour mission de favoriser le partage général des connaissances et d’améliorer la préparation aux crises, en mettant l’accent sur la </w:t>
      </w:r>
      <w:bookmarkStart w:id="81" w:name="_Hlk142643751"/>
      <w:r>
        <w:rPr>
          <w:noProof/>
        </w:rPr>
        <w:t>diversification de l’approvisionnement, par exemple au moyen de capacités de production locales.</w:t>
      </w:r>
      <w:r>
        <w:rPr>
          <w:noProof/>
          <w:color w:val="000000" w:themeColor="text1"/>
        </w:rPr>
        <w:t xml:space="preserve"> </w:t>
      </w:r>
    </w:p>
    <w:bookmarkEnd w:id="81"/>
    <w:p w14:paraId="70309906" w14:textId="77777777" w:rsidR="003B51A1" w:rsidRPr="008E2E92" w:rsidRDefault="003B51A1" w:rsidP="003B51A1">
      <w:pPr>
        <w:pStyle w:val="Heading2"/>
        <w:numPr>
          <w:ilvl w:val="0"/>
          <w:numId w:val="0"/>
        </w:numPr>
        <w:tabs>
          <w:tab w:val="num" w:pos="3334"/>
        </w:tabs>
        <w:spacing w:before="120" w:after="120"/>
        <w:rPr>
          <w:rStyle w:val="normaltextrun"/>
          <w:b w:val="0"/>
          <w:i/>
          <w:iCs/>
          <w:noProof/>
        </w:rPr>
      </w:pPr>
      <w:r>
        <w:rPr>
          <w:i/>
          <w:noProof/>
        </w:rPr>
        <w:t>Soutenir les capacités de production au niveau mondial</w:t>
      </w:r>
    </w:p>
    <w:p w14:paraId="136B764A" w14:textId="77777777" w:rsidR="003B51A1" w:rsidRDefault="003B51A1" w:rsidP="003B51A1">
      <w:pPr>
        <w:rPr>
          <w:noProof/>
          <w:szCs w:val="24"/>
        </w:rPr>
      </w:pPr>
      <w:r>
        <w:rPr>
          <w:noProof/>
        </w:rPr>
        <w:t xml:space="preserve">Une production plus durable et plus diversifiée à l’échelle mondiale bénéficiera aux Européens et aux citoyens du monde entier. Dans le cadre de la stratégie «Global Gateway», l’UE soutient la production locale de produits de santé. L’Équipe Europe a mobilisé </w:t>
      </w:r>
      <w:r w:rsidRPr="00093148">
        <w:rPr>
          <w:noProof/>
        </w:rPr>
        <w:t>1</w:t>
      </w:r>
      <w:r>
        <w:rPr>
          <w:noProof/>
        </w:rPr>
        <w:t>,</w:t>
      </w:r>
      <w:r w:rsidRPr="00093148">
        <w:rPr>
          <w:noProof/>
        </w:rPr>
        <w:t>1</w:t>
      </w:r>
      <w:r>
        <w:rPr>
          <w:noProof/>
        </w:rPr>
        <w:t xml:space="preserve"> milliard d’euros pour l’initiative phare concernant </w:t>
      </w:r>
      <w:r>
        <w:rPr>
          <w:b/>
          <w:bCs/>
          <w:i/>
          <w:iCs/>
          <w:noProof/>
        </w:rPr>
        <w:t>la production de vaccins, de médicaments et de technologies de la santé, ainsi que l’accès à ceux-ci en Afrique</w:t>
      </w:r>
      <w:r>
        <w:rPr>
          <w:noProof/>
        </w:rPr>
        <w:t xml:space="preserve">. Ces efforts garantissent un accès plus large et plus équitable à des produits de santé de qualité, en soutenant prioritairement l’offre et la demande locales et régionales, tout en contribuant à la diversification et au renforcement des chaînes d’approvisionnement internationales. La Commission déploie actuellement, sur la base de l’approche «Une seule santé», une autre initiative d'Équipe Europe en Afrique dans le domaine de la sécurité sanitaire, et collabore étroitement avec les partenaires africains pour améliorer la préparation, la prévention et la réaction aux pandémies. Un </w:t>
      </w:r>
      <w:r>
        <w:rPr>
          <w:b/>
          <w:bCs/>
          <w:i/>
          <w:noProof/>
        </w:rPr>
        <w:t>partenariat UE-Amérique latine et Caraïbes</w:t>
      </w:r>
      <w:r>
        <w:rPr>
          <w:noProof/>
        </w:rPr>
        <w:t xml:space="preserve"> sur la production de vaccins, de médicaments et de technologies de la santé, et sur l’accès à ceux-ci, ainsi que sur le renforcement des systèmes de santé a également été mis en place. Le soutien d’une production plus diversifiée fait aussi partie des objectifs de l’UE dans les négociations en cours sur le développement de l’architecture mondiale de la santé. </w:t>
      </w:r>
    </w:p>
    <w:p w14:paraId="1CA5B925" w14:textId="77777777" w:rsidR="003B51A1" w:rsidRDefault="003B51A1" w:rsidP="003B51A1">
      <w:pPr>
        <w:rPr>
          <w:noProof/>
          <w:szCs w:val="24"/>
        </w:rPr>
      </w:pPr>
      <w:r>
        <w:rPr>
          <w:noProof/>
        </w:rPr>
        <w:t xml:space="preserve">Enfin, l’UE continuera de soutenir la fourniture de médicaments critiques dans des contextes humanitaires, au moyen du MPCU et de la capacité d’intervention humanitaire européenne, et en étroite collaboration avec ses partenaires humanitaires sur le terrain. </w:t>
      </w:r>
    </w:p>
    <w:tbl>
      <w:tblPr>
        <w:tblStyle w:val="TableGrid"/>
        <w:tblW w:w="0" w:type="auto"/>
        <w:tblLook w:val="04A0" w:firstRow="1" w:lastRow="0" w:firstColumn="1" w:lastColumn="0" w:noHBand="0" w:noVBand="1"/>
      </w:tblPr>
      <w:tblGrid>
        <w:gridCol w:w="8834"/>
      </w:tblGrid>
      <w:tr w:rsidR="003B51A1" w:rsidRPr="008E2E92" w14:paraId="0ABF5BD5" w14:textId="77777777" w:rsidTr="000F1695">
        <w:tc>
          <w:tcPr>
            <w:tcW w:w="0" w:type="auto"/>
          </w:tcPr>
          <w:p w14:paraId="1CBC8621" w14:textId="77777777" w:rsidR="003B51A1" w:rsidRPr="008E2E92" w:rsidRDefault="003B51A1" w:rsidP="000F1695">
            <w:pPr>
              <w:pStyle w:val="Text2"/>
              <w:keepNext/>
              <w:spacing w:before="120" w:after="0"/>
              <w:ind w:left="0"/>
              <w:rPr>
                <w:b/>
                <w:bCs/>
                <w:i/>
                <w:iCs/>
                <w:noProof/>
              </w:rPr>
            </w:pPr>
            <w:r>
              <w:rPr>
                <w:b/>
                <w:i/>
                <w:noProof/>
              </w:rPr>
              <w:t>Action visant à soutenir la disponibilité au niveau mondial</w:t>
            </w:r>
          </w:p>
          <w:p w14:paraId="0772509F" w14:textId="77777777" w:rsidR="003B51A1" w:rsidRPr="008E2E92" w:rsidRDefault="003B51A1" w:rsidP="000F1695">
            <w:pPr>
              <w:pStyle w:val="Text2"/>
              <w:spacing w:before="200" w:after="120"/>
              <w:ind w:left="0"/>
              <w:rPr>
                <w:noProof/>
              </w:rPr>
            </w:pPr>
            <w:r>
              <w:rPr>
                <w:noProof/>
              </w:rPr>
              <w:t xml:space="preserve">L’UE devrait: </w:t>
            </w:r>
          </w:p>
          <w:p w14:paraId="478B92D1" w14:textId="77777777" w:rsidR="003B51A1" w:rsidRPr="008E2E92" w:rsidRDefault="003B51A1" w:rsidP="000F1695">
            <w:pPr>
              <w:pStyle w:val="ListParagraph"/>
              <w:numPr>
                <w:ilvl w:val="0"/>
                <w:numId w:val="31"/>
              </w:numPr>
              <w:spacing w:line="240" w:lineRule="auto"/>
              <w:ind w:left="426"/>
              <w:jc w:val="both"/>
              <w:rPr>
                <w:rFonts w:ascii="Times New Roman" w:hAnsi="Times New Roman"/>
                <w:noProof/>
                <w:sz w:val="24"/>
                <w:szCs w:val="24"/>
              </w:rPr>
            </w:pPr>
            <w:r>
              <w:rPr>
                <w:rFonts w:ascii="Times New Roman" w:hAnsi="Times New Roman"/>
                <w:noProof/>
                <w:sz w:val="24"/>
              </w:rPr>
              <w:t>mettre en place un réseau de partenaires internationaux et d’entreprises afin de favoriser l’échange d’informations sur les questions d’approvisionnement; </w:t>
            </w:r>
          </w:p>
          <w:p w14:paraId="508C3876" w14:textId="77777777" w:rsidR="003B51A1" w:rsidRPr="009D4569" w:rsidRDefault="003B51A1" w:rsidP="000F1695">
            <w:pPr>
              <w:pStyle w:val="ListParagraph"/>
              <w:numPr>
                <w:ilvl w:val="0"/>
                <w:numId w:val="31"/>
              </w:numPr>
              <w:spacing w:line="240" w:lineRule="auto"/>
              <w:ind w:left="426"/>
              <w:jc w:val="both"/>
              <w:rPr>
                <w:noProof/>
                <w:szCs w:val="24"/>
              </w:rPr>
            </w:pPr>
            <w:r>
              <w:rPr>
                <w:rFonts w:ascii="Times New Roman" w:hAnsi="Times New Roman"/>
                <w:noProof/>
                <w:sz w:val="24"/>
              </w:rPr>
              <w:t>développer de nouvelles initiatives de l’Équipe Europe afin de soutenir les capacités de production et l’accès dans les pays à revenu faible et intermédiaire, et de renforcer la coopération en matière de prévention et de préparation</w:t>
            </w:r>
            <w:r>
              <w:rPr>
                <w:noProof/>
              </w:rPr>
              <w:t>;</w:t>
            </w:r>
          </w:p>
          <w:p w14:paraId="2E5EED38" w14:textId="77777777" w:rsidR="003B51A1" w:rsidRPr="008E2E92" w:rsidRDefault="003B51A1" w:rsidP="000F1695">
            <w:pPr>
              <w:pStyle w:val="ListParagraph"/>
              <w:numPr>
                <w:ilvl w:val="0"/>
                <w:numId w:val="31"/>
              </w:numPr>
              <w:spacing w:line="240" w:lineRule="auto"/>
              <w:ind w:left="426"/>
              <w:jc w:val="both"/>
              <w:rPr>
                <w:rFonts w:ascii="Times New Roman" w:hAnsi="Times New Roman"/>
                <w:noProof/>
              </w:rPr>
            </w:pPr>
            <w:r>
              <w:rPr>
                <w:rFonts w:ascii="Times New Roman" w:hAnsi="Times New Roman"/>
                <w:noProof/>
                <w:sz w:val="24"/>
              </w:rPr>
              <w:t>conclure avec les pays tiers des partenariats stratégiques pour la production de médicaments critiques, qui reflètent à la fois la demande au niveau local et les besoins au niveau de l’UE et au niveau mondial.</w:t>
            </w:r>
          </w:p>
        </w:tc>
      </w:tr>
    </w:tbl>
    <w:bookmarkEnd w:id="67"/>
    <w:p w14:paraId="6A32AFBA" w14:textId="77777777" w:rsidR="003B51A1" w:rsidRPr="008E2E92" w:rsidRDefault="003B51A1" w:rsidP="003B51A1">
      <w:pPr>
        <w:pStyle w:val="Heading1"/>
        <w:tabs>
          <w:tab w:val="num" w:pos="607"/>
          <w:tab w:val="num" w:pos="1202"/>
        </w:tabs>
        <w:spacing w:before="360"/>
        <w:ind w:left="607"/>
        <w:rPr>
          <w:noProof/>
        </w:rPr>
      </w:pPr>
      <w:r>
        <w:rPr>
          <w:noProof/>
        </w:rPr>
        <w:t>Conclusion</w:t>
      </w:r>
    </w:p>
    <w:p w14:paraId="358C5900" w14:textId="77777777" w:rsidR="003B51A1" w:rsidRDefault="003B51A1" w:rsidP="003B51A1">
      <w:pPr>
        <w:pStyle w:val="ListBullet1"/>
        <w:numPr>
          <w:ilvl w:val="0"/>
          <w:numId w:val="0"/>
        </w:numPr>
        <w:spacing w:after="120"/>
        <w:rPr>
          <w:rStyle w:val="normaltextrun"/>
          <w:noProof/>
        </w:rPr>
      </w:pPr>
      <w:r>
        <w:rPr>
          <w:rStyle w:val="normaltextrun"/>
          <w:noProof/>
        </w:rPr>
        <w:t>La disponibilité de médicaments dans l’UE est la base même d’une union européenne de la santé forte.</w:t>
      </w:r>
      <w:r>
        <w:rPr>
          <w:noProof/>
        </w:rPr>
        <w:t xml:space="preserve"> Et pour garantir une base résiliente et durable sur le long terme, capable de sauver des vies et d’apporter des avantages au-delà des frontières de l’UE, il est indispensable de sécuriser l’approvisionnement en médicaments critiques.</w:t>
      </w:r>
    </w:p>
    <w:p w14:paraId="643F1416" w14:textId="77777777" w:rsidR="003B51A1" w:rsidRPr="008E2E92" w:rsidRDefault="003B51A1" w:rsidP="003B51A1">
      <w:pPr>
        <w:pStyle w:val="ListBullet1"/>
        <w:numPr>
          <w:ilvl w:val="0"/>
          <w:numId w:val="0"/>
        </w:numPr>
        <w:spacing w:after="120"/>
        <w:rPr>
          <w:rStyle w:val="normaltextrun"/>
          <w:noProof/>
        </w:rPr>
      </w:pPr>
      <w:r>
        <w:rPr>
          <w:rStyle w:val="normaltextrun"/>
          <w:noProof/>
        </w:rPr>
        <w:t xml:space="preserve">La mise en place d’un marché unique durable des médicaments qui soit dans l’intérêt de tous les patients passe par le soutien un secteur pharmaceutique fort et compétitif. </w:t>
      </w:r>
    </w:p>
    <w:p w14:paraId="62F28DF2" w14:textId="77777777" w:rsidR="003B51A1" w:rsidRDefault="003B51A1" w:rsidP="003B51A1">
      <w:pPr>
        <w:pStyle w:val="ListBullet1"/>
        <w:numPr>
          <w:ilvl w:val="0"/>
          <w:numId w:val="0"/>
        </w:numPr>
        <w:spacing w:after="120"/>
        <w:rPr>
          <w:rStyle w:val="normaltextrun"/>
          <w:noProof/>
        </w:rPr>
      </w:pPr>
      <w:r>
        <w:rPr>
          <w:rStyle w:val="normaltextrun"/>
          <w:noProof/>
        </w:rPr>
        <w:t>L’expérience de la pandémie de COVID-</w:t>
      </w:r>
      <w:r w:rsidRPr="00093148">
        <w:rPr>
          <w:rStyle w:val="normaltextrun"/>
          <w:noProof/>
        </w:rPr>
        <w:t>19</w:t>
      </w:r>
      <w:r>
        <w:rPr>
          <w:rStyle w:val="normaltextrun"/>
          <w:noProof/>
        </w:rPr>
        <w:t xml:space="preserve"> a montré ce qu'il était possible de faire dès lors qu’il existe une volonté commune: l’action de l’UE peut faire la différence pour garantir la disponibilité des médicaments critiques et atténuer les conséquences d’une pénurie critique lorsque celle-ci ne peut être évitée. Cela requiert un esprit de solidarité et un degré élevé de coordination, avec la Commission, l’EMA, les gouvernements nationaux et les régulateurs mais aussi avec l’industrie, les patients et les professionnels de la santé. Cela exige aussi une approche gouvernementale globale au niveaux national et européen, ainsi qu’un profond engagement auprès de la communauté internationale. La présente communication montre que de nouvelles mesures sont possibles pour prévenir les pénuries cet hiver et à plus long terme, mais aussi pour garantir un approvisionnement durable en médicaments critiques dans l’Union. Pour renforcer la sécurité de l’approvisionnement en médicaments critiques, il faut agir à chaque étape, depuis les intrants essentiels jusqu’au médicament fini.</w:t>
      </w:r>
    </w:p>
    <w:p w14:paraId="0E3C63B8" w14:textId="77777777" w:rsidR="003B51A1" w:rsidRDefault="003B51A1" w:rsidP="003B51A1">
      <w:pPr>
        <w:spacing w:after="120"/>
        <w:rPr>
          <w:noProof/>
        </w:rPr>
      </w:pPr>
      <w:r>
        <w:rPr>
          <w:noProof/>
        </w:rPr>
        <w:t>Grâce à la panoplie d’outils disponibles à l’échelle de l’UE et au niveau national, la création d’une Alliance pour les médicaments critiques permettrait de coordonner la lutte contre les pénuries de médicaments dans l’Union. Ce serait là une réponse stratégique directe au renforcement nécessaire de la sécurité de l’approvisionnement et cela pourrait ouvrir la voie à une éventuelle future loi sur les médicaments critiques.</w:t>
      </w:r>
    </w:p>
    <w:p w14:paraId="3DCA456A" w14:textId="77777777" w:rsidR="003B51A1" w:rsidRDefault="003B51A1" w:rsidP="003B51A1">
      <w:pPr>
        <w:spacing w:after="120"/>
        <w:rPr>
          <w:rStyle w:val="normaltextrun"/>
          <w:noProof/>
        </w:rPr>
      </w:pPr>
    </w:p>
    <w:p w14:paraId="4037387F" w14:textId="4308B75B" w:rsidR="003B51A1" w:rsidRPr="002B0B91" w:rsidRDefault="003B51A1" w:rsidP="003B51A1">
      <w:pPr>
        <w:spacing w:after="120"/>
        <w:rPr>
          <w:noProof/>
        </w:rPr>
      </w:pPr>
      <w:r>
        <w:rPr>
          <w:noProof/>
        </w:rPr>
        <w:t xml:space="preserve"> </w:t>
      </w:r>
      <w:r>
        <w:rPr>
          <w:noProof/>
        </w:rPr>
        <w:br/>
      </w:r>
    </w:p>
    <w:p w14:paraId="217F2BD1" w14:textId="77777777" w:rsidR="003B51A1" w:rsidRPr="002B0B91" w:rsidRDefault="003B51A1" w:rsidP="003B51A1">
      <w:pPr>
        <w:rPr>
          <w:noProof/>
        </w:rPr>
      </w:pPr>
    </w:p>
    <w:p w14:paraId="406EF0B4" w14:textId="77777777" w:rsidR="003B51A1" w:rsidRPr="002B0B91" w:rsidRDefault="003B51A1">
      <w:pPr>
        <w:rPr>
          <w:noProof/>
        </w:rPr>
      </w:pPr>
    </w:p>
    <w:sectPr w:rsidR="003B51A1" w:rsidRPr="002B0B91" w:rsidSect="0056444C">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code="9"/>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4B8B90" w14:textId="77777777" w:rsidR="00E278E3" w:rsidRDefault="00E278E3">
      <w:pPr>
        <w:spacing w:after="0"/>
      </w:pPr>
      <w:r>
        <w:separator/>
      </w:r>
    </w:p>
  </w:endnote>
  <w:endnote w:type="continuationSeparator" w:id="0">
    <w:p w14:paraId="3C1EC622" w14:textId="77777777" w:rsidR="00E278E3" w:rsidRDefault="00E278E3">
      <w:pPr>
        <w:spacing w:after="0"/>
      </w:pPr>
      <w:r>
        <w:continuationSeparator/>
      </w:r>
    </w:p>
  </w:endnote>
  <w:endnote w:type="continuationNotice" w:id="1">
    <w:p w14:paraId="3F07FE8E" w14:textId="77777777" w:rsidR="00E278E3" w:rsidRDefault="00E278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5B279" w14:textId="5E122F4A" w:rsidR="00093148" w:rsidRPr="00D057D3" w:rsidRDefault="00093148" w:rsidP="00D057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C78FE" w14:textId="11977F2D" w:rsidR="00093148" w:rsidRPr="00D057D3" w:rsidRDefault="00D057D3" w:rsidP="00D057D3">
    <w:pPr>
      <w:pStyle w:val="FooterCoverPage"/>
      <w:rPr>
        <w:rFonts w:ascii="Arial" w:hAnsi="Arial" w:cs="Arial"/>
        <w:b/>
        <w:sz w:val="48"/>
      </w:rPr>
    </w:pPr>
    <w:r w:rsidRPr="00D057D3">
      <w:rPr>
        <w:rFonts w:ascii="Arial" w:hAnsi="Arial" w:cs="Arial"/>
        <w:b/>
        <w:sz w:val="48"/>
      </w:rPr>
      <w:t>FR</w:t>
    </w:r>
    <w:r w:rsidRPr="00D057D3">
      <w:rPr>
        <w:rFonts w:ascii="Arial" w:hAnsi="Arial" w:cs="Arial"/>
        <w:b/>
        <w:sz w:val="48"/>
      </w:rPr>
      <w:tab/>
    </w:r>
    <w:r w:rsidRPr="00D057D3">
      <w:rPr>
        <w:rFonts w:ascii="Arial" w:hAnsi="Arial" w:cs="Arial"/>
        <w:b/>
        <w:sz w:val="48"/>
      </w:rPr>
      <w:tab/>
    </w:r>
    <w:r w:rsidRPr="00D057D3">
      <w:tab/>
    </w:r>
    <w:r w:rsidRPr="00D057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EB7E" w14:textId="77777777" w:rsidR="00D057D3" w:rsidRPr="00D057D3" w:rsidRDefault="00D057D3" w:rsidP="00D057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0C2B" w14:textId="151DAC40" w:rsidR="000576D9" w:rsidRDefault="000576D9">
    <w:pPr>
      <w:pStyle w:val="FooterLine"/>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840B7" w14:textId="1AF302FC" w:rsidR="000576D9" w:rsidRPr="0056444C" w:rsidRDefault="000576D9">
    <w:pPr>
      <w:pStyle w:val="FooterLine"/>
      <w:jc w:val="center"/>
      <w:rPr>
        <w:sz w:val="20"/>
        <w:szCs w:val="24"/>
      </w:rPr>
    </w:pPr>
    <w:r>
      <w:rPr>
        <w:sz w:val="20"/>
      </w:rPr>
      <w:fldChar w:fldCharType="begin"/>
    </w:r>
    <w:r>
      <w:rPr>
        <w:sz w:val="20"/>
      </w:rPr>
      <w:instrText>PAGE</w:instrText>
    </w:r>
    <w:r>
      <w:rPr>
        <w:sz w:val="20"/>
      </w:rPr>
      <w:fldChar w:fldCharType="separate"/>
    </w:r>
    <w:r w:rsidR="00D057D3">
      <w:rPr>
        <w:noProof/>
        <w:sz w:val="20"/>
      </w:rPr>
      <w:t>1</w:t>
    </w:r>
    <w:r>
      <w:rPr>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DC84A" w14:textId="77777777" w:rsidR="000576D9" w:rsidRDefault="00057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D1212" w14:textId="77777777" w:rsidR="00E278E3" w:rsidRDefault="00E278E3">
      <w:pPr>
        <w:spacing w:after="0"/>
      </w:pPr>
      <w:r>
        <w:separator/>
      </w:r>
    </w:p>
  </w:footnote>
  <w:footnote w:type="continuationSeparator" w:id="0">
    <w:p w14:paraId="66F751AA" w14:textId="77777777" w:rsidR="00E278E3" w:rsidRDefault="00E278E3">
      <w:pPr>
        <w:spacing w:after="0"/>
      </w:pPr>
      <w:r>
        <w:continuationSeparator/>
      </w:r>
    </w:p>
  </w:footnote>
  <w:footnote w:type="continuationNotice" w:id="1">
    <w:p w14:paraId="0BF4FEDA" w14:textId="77777777" w:rsidR="00E278E3" w:rsidRDefault="00E278E3">
      <w:pPr>
        <w:spacing w:after="0"/>
      </w:pPr>
    </w:p>
  </w:footnote>
  <w:footnote w:id="2">
    <w:p w14:paraId="5E5C07E6" w14:textId="4009A12D" w:rsidR="000F59DF" w:rsidRPr="00CB1A3D" w:rsidRDefault="000F59DF" w:rsidP="00EC5DD0">
      <w:pPr>
        <w:pStyle w:val="FootnoteText"/>
        <w:spacing w:after="0"/>
      </w:pPr>
      <w:r>
        <w:rPr>
          <w:rStyle w:val="FootnoteReference"/>
        </w:rPr>
        <w:footnoteRef/>
      </w:r>
      <w:r>
        <w:t xml:space="preserve"> </w:t>
      </w:r>
      <w:r>
        <w:tab/>
        <w:t xml:space="preserve">Une étude de la Commission a confirmé que le problème était répandu: «Future-proofing pharmaceutical legislation – Study on medicine shortages» [Élaborer une législation pharmaceutique à l’épreuve du temps – Étude des pénuries de médicaments], </w:t>
      </w:r>
      <w:r w:rsidRPr="00093148">
        <w:t>2021</w:t>
      </w:r>
      <w:r>
        <w:t>.</w:t>
      </w:r>
    </w:p>
  </w:footnote>
  <w:footnote w:id="3">
    <w:p w14:paraId="0BA7F965" w14:textId="77777777" w:rsidR="000F59DF" w:rsidRPr="00CB1A3D" w:rsidRDefault="000F59DF" w:rsidP="00EC5DD0">
      <w:pPr>
        <w:pStyle w:val="FootnoteText"/>
        <w:spacing w:after="0"/>
      </w:pPr>
      <w:r>
        <w:rPr>
          <w:rStyle w:val="FootnoteReference"/>
        </w:rPr>
        <w:footnoteRef/>
      </w:r>
      <w:r>
        <w:tab/>
        <w:t>Un médicament générique est un médicament conçu pour être identique à un médicament déjà autorisé. Une entreprise ne peut commercialiser un médicament générique qu’une fois que les protections réglementaires et de propriété intellectuelle ont expiré. </w:t>
      </w:r>
    </w:p>
  </w:footnote>
  <w:footnote w:id="4">
    <w:p w14:paraId="279C867D" w14:textId="77777777" w:rsidR="00BD1CEB" w:rsidRPr="00A11FCD" w:rsidRDefault="00BD1CEB" w:rsidP="00EC5DD0">
      <w:pPr>
        <w:pStyle w:val="FootnoteText"/>
        <w:spacing w:after="0"/>
      </w:pPr>
      <w:r>
        <w:rPr>
          <w:rStyle w:val="FootnoteReference"/>
        </w:rPr>
        <w:footnoteRef/>
      </w:r>
      <w:r>
        <w:tab/>
        <w:t>Conclusions du Conseil européen de juin </w:t>
      </w:r>
      <w:r w:rsidRPr="00093148">
        <w:t>2023</w:t>
      </w:r>
      <w:r>
        <w:t>.</w:t>
      </w:r>
    </w:p>
  </w:footnote>
  <w:footnote w:id="5">
    <w:p w14:paraId="3AE03D41" w14:textId="77777777" w:rsidR="00BD1CEB" w:rsidRPr="00CB1A3D" w:rsidRDefault="00BD1CEB" w:rsidP="00EC5DD0">
      <w:pPr>
        <w:pStyle w:val="FootnoteText"/>
        <w:spacing w:after="0"/>
      </w:pPr>
      <w:r>
        <w:rPr>
          <w:rStyle w:val="FootnoteReference"/>
        </w:rPr>
        <w:footnoteRef/>
      </w:r>
      <w:r>
        <w:tab/>
        <w:t>Voir la communication de la Commission intitulée «Vers une Europe plus résiliente, plus compétitive et plus durable» [COM(</w:t>
      </w:r>
      <w:r w:rsidRPr="00093148">
        <w:t>2023</w:t>
      </w:r>
      <w:r>
        <w:t xml:space="preserve">) </w:t>
      </w:r>
      <w:r w:rsidRPr="00093148">
        <w:t>558</w:t>
      </w:r>
      <w:r>
        <w:t xml:space="preserve">] et </w:t>
      </w:r>
      <w:hyperlink r:id="rId1" w:history="1">
        <w:r>
          <w:t>https://www.consilium.europa.eu/fr/press/press-releases/</w:t>
        </w:r>
        <w:r w:rsidRPr="00093148">
          <w:t>2023</w:t>
        </w:r>
        <w:r>
          <w:t>/</w:t>
        </w:r>
        <w:r w:rsidRPr="00093148">
          <w:t>10</w:t>
        </w:r>
        <w:r>
          <w:t>/</w:t>
        </w:r>
        <w:r w:rsidRPr="00093148">
          <w:t>06</w:t>
        </w:r>
        <w:r>
          <w:t>/granada-declaration/</w:t>
        </w:r>
      </w:hyperlink>
    </w:p>
  </w:footnote>
  <w:footnote w:id="6">
    <w:p w14:paraId="46174E50" w14:textId="188C2624" w:rsidR="000F59DF" w:rsidRPr="00CB1A3D" w:rsidRDefault="000F59DF" w:rsidP="00EC5DD0">
      <w:pPr>
        <w:pStyle w:val="FootnoteText"/>
        <w:spacing w:after="0"/>
      </w:pPr>
      <w:r>
        <w:rPr>
          <w:rStyle w:val="FootnoteReference"/>
        </w:rPr>
        <w:footnoteRef/>
      </w:r>
      <w:r>
        <w:tab/>
        <w:t>Rapport d’analyse d’impact et résumé exécutif accompagnant la réforme de la législation pharmaceutique générale, annexe </w:t>
      </w:r>
      <w:r w:rsidRPr="00093148">
        <w:t>5</w:t>
      </w:r>
      <w:r>
        <w:t xml:space="preserve">, </w:t>
      </w:r>
      <w:r w:rsidRPr="00093148">
        <w:t>2023</w:t>
      </w:r>
      <w:r>
        <w:t>.</w:t>
      </w:r>
    </w:p>
  </w:footnote>
  <w:footnote w:id="7">
    <w:p w14:paraId="7DAC0D7F" w14:textId="12DD03F8" w:rsidR="00E82681" w:rsidRPr="00B976E9" w:rsidRDefault="00E82681" w:rsidP="00EC5DD0">
      <w:pPr>
        <w:pStyle w:val="FootnoteText"/>
        <w:spacing w:after="0"/>
      </w:pPr>
      <w:r>
        <w:rPr>
          <w:rStyle w:val="FootnoteReference"/>
        </w:rPr>
        <w:footnoteRef/>
      </w:r>
      <w:r>
        <w:tab/>
      </w:r>
      <w:hyperlink r:id="rId2" w:history="1">
        <w:r>
          <w:rPr>
            <w:rStyle w:val="Hyperlink"/>
          </w:rPr>
          <w:t>Communication de la Commission intitulée «Construire une Union européenne de la santé:</w:t>
        </w:r>
      </w:hyperlink>
      <w:hyperlink r:id="rId3" w:history="1">
        <w:r>
          <w:rPr>
            <w:rStyle w:val="Hyperlink"/>
          </w:rPr>
          <w:t xml:space="preserve"> renforcer la résilience de l’UE face aux menaces transfrontières pour la santé».</w:t>
        </w:r>
      </w:hyperlink>
    </w:p>
  </w:footnote>
  <w:footnote w:id="8">
    <w:p w14:paraId="182F5F72" w14:textId="77777777" w:rsidR="004B061F" w:rsidRPr="00CB1A3D" w:rsidRDefault="004B061F" w:rsidP="00EC5DD0">
      <w:pPr>
        <w:pStyle w:val="FootnoteText"/>
        <w:spacing w:after="0"/>
      </w:pPr>
      <w:r>
        <w:rPr>
          <w:rStyle w:val="FootnoteReference"/>
        </w:rPr>
        <w:footnoteRef/>
      </w:r>
      <w:r>
        <w:tab/>
        <w:t>COM(</w:t>
      </w:r>
      <w:r w:rsidRPr="00093148">
        <w:t>2020</w:t>
      </w:r>
      <w:r>
        <w:t xml:space="preserve">) </w:t>
      </w:r>
      <w:r w:rsidRPr="00093148">
        <w:t>761</w:t>
      </w:r>
      <w:r>
        <w:t>; COM(</w:t>
      </w:r>
      <w:r w:rsidRPr="00093148">
        <w:t>2023</w:t>
      </w:r>
      <w:r>
        <w:t xml:space="preserve">) </w:t>
      </w:r>
      <w:r w:rsidRPr="00093148">
        <w:t>192</w:t>
      </w:r>
      <w:r>
        <w:t xml:space="preserve"> et </w:t>
      </w:r>
      <w:r w:rsidRPr="00093148">
        <w:t>193</w:t>
      </w:r>
      <w:r>
        <w:t>.</w:t>
      </w:r>
    </w:p>
  </w:footnote>
  <w:footnote w:id="9">
    <w:p w14:paraId="6C6D4C90" w14:textId="4F908F62" w:rsidR="004B061F" w:rsidRPr="00A11FCD" w:rsidRDefault="004B061F" w:rsidP="00EC5DD0">
      <w:pPr>
        <w:pStyle w:val="FootnoteText"/>
        <w:spacing w:after="0"/>
      </w:pPr>
      <w:r>
        <w:rPr>
          <w:rStyle w:val="FootnoteReference"/>
        </w:rPr>
        <w:footnoteRef/>
      </w:r>
      <w:r>
        <w:tab/>
        <w:t>Conclusions du Conseil européen de juin </w:t>
      </w:r>
      <w:r w:rsidRPr="00093148">
        <w:t>2023</w:t>
      </w:r>
      <w:r>
        <w:t>.</w:t>
      </w:r>
    </w:p>
  </w:footnote>
  <w:footnote w:id="10">
    <w:p w14:paraId="73EAD5EE" w14:textId="0FBFE388" w:rsidR="000F59DF" w:rsidRPr="00CB1A3D" w:rsidRDefault="000F59DF" w:rsidP="00EC5DD0">
      <w:pPr>
        <w:pStyle w:val="FootnoteText"/>
        <w:spacing w:after="0"/>
      </w:pPr>
      <w:r>
        <w:rPr>
          <w:rStyle w:val="FootnoteReference"/>
        </w:rPr>
        <w:footnoteRef/>
      </w:r>
      <w:r>
        <w:t xml:space="preserve"> </w:t>
      </w:r>
      <w:r>
        <w:tab/>
        <w:t>Article </w:t>
      </w:r>
      <w:r w:rsidRPr="00093148">
        <w:t>81</w:t>
      </w:r>
      <w:r>
        <w:t xml:space="preserve">, deuxième alinéa, de la directive </w:t>
      </w:r>
      <w:r w:rsidRPr="00093148">
        <w:t>2001</w:t>
      </w:r>
      <w:r>
        <w:t>/</w:t>
      </w:r>
      <w:r w:rsidRPr="00093148">
        <w:t>83</w:t>
      </w:r>
      <w:r>
        <w:t>/CE instituant un code communautaire relatif aux médicaments à usage humain (JO L </w:t>
      </w:r>
      <w:r w:rsidRPr="00093148">
        <w:t>311</w:t>
      </w:r>
      <w:r>
        <w:t xml:space="preserve"> du </w:t>
      </w:r>
      <w:r w:rsidRPr="00093148">
        <w:t>28</w:t>
      </w:r>
      <w:r>
        <w:t>.</w:t>
      </w:r>
      <w:r w:rsidRPr="00093148">
        <w:t>11</w:t>
      </w:r>
      <w:r>
        <w:t>.</w:t>
      </w:r>
      <w:r w:rsidRPr="00093148">
        <w:t>2001</w:t>
      </w:r>
      <w:r>
        <w:t>, p. </w:t>
      </w:r>
      <w:r w:rsidRPr="00093148">
        <w:t>67</w:t>
      </w:r>
      <w:r>
        <w:t xml:space="preserve">).  </w:t>
      </w:r>
    </w:p>
  </w:footnote>
  <w:footnote w:id="11">
    <w:p w14:paraId="179CB1E6" w14:textId="43EDFCA9" w:rsidR="00D53D84" w:rsidRPr="00CB1A3D" w:rsidDel="007A053A" w:rsidRDefault="00D53D84" w:rsidP="00EC5DD0">
      <w:pPr>
        <w:pStyle w:val="FootnoteText"/>
        <w:spacing w:after="0"/>
      </w:pPr>
      <w:r>
        <w:rPr>
          <w:rStyle w:val="FootnoteReference"/>
        </w:rPr>
        <w:footnoteRef/>
      </w:r>
      <w:r>
        <w:t xml:space="preserve"> </w:t>
      </w:r>
      <w:r>
        <w:tab/>
        <w:t>La coordination est effectuée par un groupe de pilotage exécutif sur les pénuries et l’innocuité des médicaments, composé de représentants des États membres, de la Commission, de l’EMA et d’observateurs issus d’organisations de patients et de professionnels de la santé.</w:t>
      </w:r>
    </w:p>
  </w:footnote>
  <w:footnote w:id="12">
    <w:p w14:paraId="2D8904BB" w14:textId="68FFB668" w:rsidR="00F5006E" w:rsidRPr="00CB1A3D" w:rsidRDefault="00F5006E" w:rsidP="00EC5DD0">
      <w:pPr>
        <w:pStyle w:val="FootnoteText"/>
        <w:spacing w:after="0"/>
      </w:pPr>
      <w:r>
        <w:rPr>
          <w:rStyle w:val="FootnoteReference"/>
        </w:rPr>
        <w:footnoteRef/>
      </w:r>
      <w:r>
        <w:t xml:space="preserve"> </w:t>
      </w:r>
      <w:r>
        <w:tab/>
        <w:t xml:space="preserve">Grâce aux travaux coordonnés des chefs des agences médicales nationales et de l’EMA, et conformément à la stratégie du réseau des agences des médicaments de l’UE à l’horizon </w:t>
      </w:r>
      <w:r w:rsidRPr="00093148">
        <w:t>2020</w:t>
      </w:r>
      <w:r>
        <w:t xml:space="preserve"> (europa.eu). </w:t>
      </w:r>
    </w:p>
  </w:footnote>
  <w:footnote w:id="13">
    <w:p w14:paraId="0A9D843A" w14:textId="6248CA06" w:rsidR="000F59DF" w:rsidRPr="00CB1A3D" w:rsidRDefault="000F59DF" w:rsidP="00EC5DD0">
      <w:pPr>
        <w:pStyle w:val="FootnoteText"/>
        <w:spacing w:after="0"/>
      </w:pPr>
      <w:r>
        <w:rPr>
          <w:rStyle w:val="FootnoteReference"/>
        </w:rPr>
        <w:footnoteRef/>
      </w:r>
      <w:r>
        <w:t xml:space="preserve"> </w:t>
      </w:r>
      <w:r>
        <w:tab/>
        <w:t>Des exemples de soutien au titre du MPCU lors de pénuries de médicaments incluent la livraison de doxycycline au Brésil (</w:t>
      </w:r>
      <w:r w:rsidRPr="00093148">
        <w:t>2021</w:t>
      </w:r>
      <w:r>
        <w:t>) et celle d’immunoglobuline en Roumanie (</w:t>
      </w:r>
      <w:r w:rsidRPr="00093148">
        <w:t>2018</w:t>
      </w:r>
      <w:r>
        <w:t xml:space="preserve">, </w:t>
      </w:r>
      <w:r w:rsidRPr="00093148">
        <w:t>2022</w:t>
      </w:r>
      <w:r>
        <w:t xml:space="preserve">). Le MPCU a permis de gérer des urgences sanitaires telles qu’Ébola (RDC en </w:t>
      </w:r>
      <w:r w:rsidRPr="00093148">
        <w:t>2021</w:t>
      </w:r>
      <w:r>
        <w:t xml:space="preserve">, Guinée en </w:t>
      </w:r>
      <w:r w:rsidRPr="00093148">
        <w:t>2020</w:t>
      </w:r>
      <w:r>
        <w:t xml:space="preserve">, Afrique de l’Ouest en </w:t>
      </w:r>
      <w:r w:rsidRPr="00093148">
        <w:t>2014</w:t>
      </w:r>
      <w:r>
        <w:t>) et a livré des médicaments dans de nombreuses autres situations d’urgence, notamment l’agression militaire de la Russie contre l’Ukraine.</w:t>
      </w:r>
    </w:p>
  </w:footnote>
  <w:footnote w:id="14">
    <w:p w14:paraId="64DDA3A8" w14:textId="7CE2D4A3" w:rsidR="00D26AA4" w:rsidRPr="00CB1A3D" w:rsidRDefault="00D26AA4" w:rsidP="00EC5DD0">
      <w:pPr>
        <w:pStyle w:val="FootnoteText"/>
        <w:spacing w:after="0"/>
      </w:pPr>
      <w:r>
        <w:rPr>
          <w:rStyle w:val="FootnoteReference"/>
        </w:rPr>
        <w:footnoteRef/>
      </w:r>
      <w:r>
        <w:t xml:space="preserve"> </w:t>
      </w:r>
      <w:r>
        <w:tab/>
        <w:t>Dont des vaccins et des traitements contre le virus syncytial respiratoire (VSR) afin d’éviter une aggravation des pénuries due à un accroissement de la demande d’antibiotiques pour traiter les coïnfections entre RSV et bactéries.</w:t>
      </w:r>
    </w:p>
  </w:footnote>
  <w:footnote w:id="15">
    <w:p w14:paraId="6F0DD026" w14:textId="2F1C7777" w:rsidR="0090597E" w:rsidRPr="005A0FEB" w:rsidRDefault="0090597E" w:rsidP="00EC5DD0">
      <w:pPr>
        <w:pStyle w:val="FootnoteText"/>
        <w:spacing w:after="0"/>
      </w:pPr>
      <w:r>
        <w:rPr>
          <w:rStyle w:val="FootnoteReference"/>
        </w:rPr>
        <w:footnoteRef/>
      </w:r>
      <w:r>
        <w:t xml:space="preserve"> </w:t>
      </w:r>
      <w:r>
        <w:tab/>
        <w:t>Lorsqu’un État membre a déclenché le mécanisme de protection civile de l’Union.</w:t>
      </w:r>
    </w:p>
  </w:footnote>
  <w:footnote w:id="16">
    <w:p w14:paraId="1B23D521" w14:textId="28AC8CAE" w:rsidR="00857B55" w:rsidRPr="00B976E9" w:rsidRDefault="00857B55" w:rsidP="00EC5DD0">
      <w:pPr>
        <w:pStyle w:val="FootnoteText"/>
        <w:spacing w:after="0"/>
      </w:pPr>
      <w:r>
        <w:rPr>
          <w:rStyle w:val="FootnoteReference"/>
        </w:rPr>
        <w:footnoteRef/>
      </w:r>
      <w:r>
        <w:tab/>
      </w:r>
      <w:hyperlink r:id="rId4" w:history="1">
        <w:r>
          <w:rPr>
            <w:rStyle w:val="Hyperlink"/>
          </w:rPr>
          <w:t>https://www.ema.europa.eu/en/documents/other/mssg-solidarity-mechanism_en.pdf</w:t>
        </w:r>
      </w:hyperlink>
    </w:p>
  </w:footnote>
  <w:footnote w:id="17">
    <w:p w14:paraId="606E6EA8" w14:textId="57CFF0BB" w:rsidR="00C60DAB" w:rsidRPr="00A11FCD" w:rsidRDefault="00C60DAB" w:rsidP="00EC5DD0">
      <w:pPr>
        <w:pStyle w:val="FootnoteText"/>
        <w:spacing w:after="0"/>
      </w:pPr>
      <w:r>
        <w:rPr>
          <w:rStyle w:val="FootnoteReference"/>
        </w:rPr>
        <w:footnoteRef/>
      </w:r>
      <w:r>
        <w:rPr>
          <w:rStyle w:val="Hyperlink"/>
          <w:u w:val="none"/>
        </w:rPr>
        <w:t xml:space="preserve"> </w:t>
      </w:r>
      <w:r>
        <w:tab/>
        <w:t>En avril </w:t>
      </w:r>
      <w:r w:rsidRPr="00093148">
        <w:t>2020</w:t>
      </w:r>
      <w:r>
        <w:t>, la Commission a mis en place un centre de coordination des équipements médicaux pour faciliter la disponibilité opportune des fournitures médicales nécessaires pour lutter contre le virus.</w:t>
      </w:r>
    </w:p>
  </w:footnote>
  <w:footnote w:id="18">
    <w:p w14:paraId="61CBAD31" w14:textId="53801729" w:rsidR="00F876F6" w:rsidRPr="002718D3" w:rsidRDefault="00F876F6" w:rsidP="00EC5DD0">
      <w:pPr>
        <w:pStyle w:val="FootnoteText"/>
        <w:spacing w:after="0"/>
        <w:rPr>
          <w:lang w:val="en-US"/>
        </w:rPr>
      </w:pPr>
      <w:r>
        <w:rPr>
          <w:rStyle w:val="FootnoteReference"/>
        </w:rPr>
        <w:footnoteRef/>
      </w:r>
      <w:r w:rsidRPr="002718D3">
        <w:rPr>
          <w:lang w:val="en-US"/>
        </w:rPr>
        <w:tab/>
      </w:r>
      <w:hyperlink r:id="rId5" w:history="1">
        <w:r w:rsidRPr="002718D3">
          <w:rPr>
            <w:rStyle w:val="Hyperlink"/>
            <w:lang w:val="en-US"/>
          </w:rPr>
          <w:t xml:space="preserve">HERA Work Plan </w:t>
        </w:r>
        <w:r w:rsidRPr="00093148">
          <w:rPr>
            <w:rStyle w:val="Hyperlink"/>
            <w:lang w:val="en-US"/>
          </w:rPr>
          <w:t>2022</w:t>
        </w:r>
        <w:r w:rsidRPr="002718D3">
          <w:rPr>
            <w:rStyle w:val="Hyperlink"/>
            <w:lang w:val="en-US"/>
          </w:rPr>
          <w:t xml:space="preserve"> (europa.eu)</w:t>
        </w:r>
      </w:hyperlink>
    </w:p>
  </w:footnote>
  <w:footnote w:id="19">
    <w:p w14:paraId="17D444FD" w14:textId="34B0FEF6" w:rsidR="00794F77" w:rsidRPr="00A11FCD" w:rsidRDefault="00794F77" w:rsidP="00EC5DD0">
      <w:pPr>
        <w:pStyle w:val="FootnoteText"/>
        <w:spacing w:after="0"/>
      </w:pPr>
      <w:r>
        <w:rPr>
          <w:rStyle w:val="FootnoteReference"/>
        </w:rPr>
        <w:footnoteRef/>
      </w:r>
      <w:r>
        <w:tab/>
        <w:t>Voir également l’article </w:t>
      </w:r>
      <w:r w:rsidRPr="00093148">
        <w:t>2</w:t>
      </w:r>
      <w:r>
        <w:t>, point </w:t>
      </w:r>
      <w:r w:rsidRPr="00093148">
        <w:t>13</w:t>
      </w:r>
      <w:r>
        <w:t>, du document COM(</w:t>
      </w:r>
      <w:r w:rsidRPr="00093148">
        <w:t>2023</w:t>
      </w:r>
      <w:r>
        <w:t>) </w:t>
      </w:r>
      <w:r w:rsidRPr="00093148">
        <w:t>193</w:t>
      </w:r>
      <w:r>
        <w:t>.</w:t>
      </w:r>
    </w:p>
  </w:footnote>
  <w:footnote w:id="20">
    <w:p w14:paraId="091250EE" w14:textId="5F532863" w:rsidR="008F78A6" w:rsidRPr="00CB1A3D" w:rsidRDefault="008F78A6" w:rsidP="00EC5DD0">
      <w:pPr>
        <w:pStyle w:val="FootnoteText"/>
        <w:spacing w:after="0"/>
      </w:pPr>
      <w:r>
        <w:rPr>
          <w:rStyle w:val="FootnoteReference"/>
        </w:rPr>
        <w:footnoteRef/>
      </w:r>
      <w:r>
        <w:t xml:space="preserve"> </w:t>
      </w:r>
      <w:r>
        <w:tab/>
        <w:t xml:space="preserve">Un projet de méthode pour le recensement des médicaments critiques a été présenté dans le document de travail des services de la Commission de </w:t>
      </w:r>
      <w:r w:rsidRPr="00093148">
        <w:t>2022</w:t>
      </w:r>
      <w:r>
        <w:t xml:space="preserve"> portant sur les vulnérabilités des chaînes d’approvisionnement mondiales en médicaments.</w:t>
      </w:r>
    </w:p>
  </w:footnote>
  <w:footnote w:id="21">
    <w:p w14:paraId="7154B127" w14:textId="57E72718" w:rsidR="002F0A96" w:rsidRPr="00CB1A3D" w:rsidRDefault="002F0A96" w:rsidP="00EC5DD0">
      <w:pPr>
        <w:pStyle w:val="FootnoteText"/>
        <w:spacing w:after="0"/>
      </w:pPr>
      <w:r>
        <w:rPr>
          <w:rStyle w:val="FootnoteReference"/>
        </w:rPr>
        <w:footnoteRef/>
      </w:r>
      <w:r>
        <w:tab/>
      </w:r>
      <w:hyperlink r:id="rId6" w:history="1">
        <w:r>
          <w:rPr>
            <w:rStyle w:val="Hyperlink"/>
          </w:rPr>
          <w:t>https://www.ema.europa.eu/en/documents/other/reflection-paper-forecasting-demand-medicinal-products-eu/eea_en.pdf</w:t>
        </w:r>
      </w:hyperlink>
    </w:p>
  </w:footnote>
  <w:footnote w:id="22">
    <w:p w14:paraId="5C86F97C" w14:textId="36BCBD62" w:rsidR="002A031B" w:rsidRPr="00B976E9" w:rsidRDefault="002A031B">
      <w:pPr>
        <w:pStyle w:val="FootnoteText"/>
      </w:pPr>
      <w:r>
        <w:rPr>
          <w:rStyle w:val="FootnoteReference"/>
        </w:rPr>
        <w:footnoteRef/>
      </w:r>
      <w:r>
        <w:tab/>
        <w:t xml:space="preserve">Mise en place par le règlement (UE) </w:t>
      </w:r>
      <w:r w:rsidRPr="00093148">
        <w:t>2022</w:t>
      </w:r>
      <w:r>
        <w:t>/</w:t>
      </w:r>
      <w:r w:rsidRPr="00093148">
        <w:t>123</w:t>
      </w:r>
      <w:r>
        <w:t xml:space="preserve"> relatif à un rôle renforcé de l’Agence européenne des médicaments dans la préparation aux crises et la gestion de celles-ci en ce qui concerne les médicaments et les dispositifs médicaux.</w:t>
      </w:r>
    </w:p>
  </w:footnote>
  <w:footnote w:id="23">
    <w:p w14:paraId="66F33F0B" w14:textId="2A730EF6" w:rsidR="00B37F93" w:rsidRPr="00CB1A3D" w:rsidRDefault="00B37F93" w:rsidP="00EC5DD0">
      <w:pPr>
        <w:pStyle w:val="FootnoteText"/>
        <w:spacing w:after="0"/>
      </w:pPr>
      <w:r>
        <w:rPr>
          <w:rStyle w:val="FootnoteReference"/>
        </w:rPr>
        <w:footnoteRef/>
      </w:r>
      <w:r>
        <w:t xml:space="preserve"> </w:t>
      </w:r>
      <w:r>
        <w:tab/>
        <w:t>Par l’intermédiaire de deux systèmes (EU-MED et ATHINA) en cours de conception par l’HERA. ATHINA soutiendra la surveillance et l’analyse des chaînes d’approvisionnement des contre-mesures médicales nécessaires en période de crise et guidera ainsi les mesures nationales et européennes visant à accroître la résilience des chaînes d’approvisionnement.</w:t>
      </w:r>
    </w:p>
  </w:footnote>
  <w:footnote w:id="24">
    <w:p w14:paraId="1CC6792B" w14:textId="77777777" w:rsidR="00B37F93" w:rsidRPr="00CB1A3D" w:rsidRDefault="00B37F93" w:rsidP="00EC5DD0">
      <w:pPr>
        <w:pStyle w:val="FootnoteText"/>
        <w:spacing w:after="0"/>
      </w:pPr>
      <w:r>
        <w:rPr>
          <w:rStyle w:val="FootnoteReference"/>
        </w:rPr>
        <w:footnoteRef/>
      </w:r>
      <w:r>
        <w:tab/>
        <w:t xml:space="preserve">Voir le </w:t>
      </w:r>
      <w:hyperlink r:id="rId7" w:history="1">
        <w:r>
          <w:rPr>
            <w:rStyle w:val="Hyperlink"/>
            <w:color w:val="auto"/>
          </w:rPr>
          <w:t xml:space="preserve">rapport </w:t>
        </w:r>
        <w:r w:rsidRPr="00093148">
          <w:rPr>
            <w:rStyle w:val="Hyperlink"/>
            <w:color w:val="auto"/>
          </w:rPr>
          <w:t>2022</w:t>
        </w:r>
        <w:r>
          <w:rPr>
            <w:rStyle w:val="Hyperlink"/>
            <w:color w:val="auto"/>
          </w:rPr>
          <w:t xml:space="preserve"> de l’ENISA sur le paysage des menaces</w:t>
        </w:r>
      </w:hyperlink>
      <w:r>
        <w:t>.</w:t>
      </w:r>
    </w:p>
  </w:footnote>
  <w:footnote w:id="25">
    <w:p w14:paraId="4C9A5077" w14:textId="77777777" w:rsidR="007D0A05" w:rsidRPr="00CB1A3D" w:rsidRDefault="007D0A05" w:rsidP="00EC5DD0">
      <w:pPr>
        <w:pStyle w:val="FootnoteText"/>
        <w:spacing w:after="0"/>
      </w:pPr>
      <w:r>
        <w:rPr>
          <w:rStyle w:val="FootnoteReference"/>
        </w:rPr>
        <w:footnoteRef/>
      </w:r>
      <w:r>
        <w:tab/>
        <w:t>Ce travail de révision est le résultat du dialogue structuré de la Commission avec les acteurs de la chaîne de valeur dans le domaine de la fabrication pharmaceutique et les pouvoirs publics. En octobre </w:t>
      </w:r>
      <w:r w:rsidRPr="00093148">
        <w:t>2022</w:t>
      </w:r>
      <w:r>
        <w:t>, la Commission a publié un document de travail résumant les conclusions du dialogue structuré et  complétant les résultats d’une étude analysant les causes profondes des pénuries de médicaments, analyse qui a également alimenté la réforme de la législation pharmaceutique.</w:t>
      </w:r>
    </w:p>
  </w:footnote>
  <w:footnote w:id="26">
    <w:p w14:paraId="161C8B5D" w14:textId="14413615" w:rsidR="00BA1420" w:rsidRPr="00CB1A3D" w:rsidRDefault="00BA1420" w:rsidP="00EC5DD0">
      <w:pPr>
        <w:pStyle w:val="FootnoteText"/>
        <w:spacing w:after="0"/>
      </w:pPr>
      <w:r>
        <w:rPr>
          <w:rStyle w:val="FootnoteReference"/>
        </w:rPr>
        <w:footnoteRef/>
      </w:r>
      <w:r>
        <w:t xml:space="preserve"> </w:t>
      </w:r>
      <w:r>
        <w:tab/>
        <w:t>L’approvisionnement de tous les États membres dans les deux ans suivant l’autorisation de mise sur le marché se verrait récompensé de deux ans supplémentaires de protection réglementaire pour les médicaments autorisés après l’entrée en vigueur de la réforme de la législation pharmaceutique.</w:t>
      </w:r>
    </w:p>
  </w:footnote>
  <w:footnote w:id="27">
    <w:p w14:paraId="3110E725" w14:textId="623CFA16" w:rsidR="00174CD2" w:rsidRPr="00CB1A3D" w:rsidRDefault="00174CD2" w:rsidP="00EC5DD0">
      <w:pPr>
        <w:pStyle w:val="FootnoteText"/>
        <w:spacing w:after="0"/>
      </w:pPr>
      <w:r>
        <w:rPr>
          <w:rStyle w:val="FootnoteReference"/>
        </w:rPr>
        <w:footnoteRef/>
      </w:r>
      <w:r>
        <w:tab/>
        <w:t>L’EMA et les agences médicales nationales ont déjà publié des orientations pour encourager l’anticipation de certains de ces éléments: «</w:t>
      </w:r>
      <w:hyperlink r:id="rId8" w:history="1">
        <w:r>
          <w:rPr>
            <w:rStyle w:val="Hyperlink"/>
          </w:rPr>
          <w:t>Good practice guidance for patient and healthcare professional organisations on the prevention of shortages of medicines for human use (europa.eu)</w:t>
        </w:r>
      </w:hyperlink>
      <w:r>
        <w:t>» et «</w:t>
      </w:r>
      <w:hyperlink r:id="rId9" w:history="1">
        <w:r>
          <w:rPr>
            <w:rStyle w:val="Hyperlink"/>
          </w:rPr>
          <w:t>Good practices for industry for the prevention of human medicinal product shortages (europa.eu)</w:t>
        </w:r>
      </w:hyperlink>
      <w:r>
        <w:t>».</w:t>
      </w:r>
    </w:p>
  </w:footnote>
  <w:footnote w:id="28">
    <w:p w14:paraId="09C21726" w14:textId="3DCB17A1" w:rsidR="00AF7867" w:rsidRPr="00CB1A3D" w:rsidRDefault="00AF7867" w:rsidP="00EC5DD0">
      <w:pPr>
        <w:pStyle w:val="FootnoteText"/>
        <w:spacing w:after="0"/>
      </w:pPr>
      <w:r>
        <w:rPr>
          <w:rStyle w:val="FootnoteReference"/>
        </w:rPr>
        <w:footnoteRef/>
      </w:r>
      <w:r>
        <w:t xml:space="preserve"> </w:t>
      </w:r>
      <w:r>
        <w:tab/>
        <w:t>Certains pays ont introduit des mesures obligeant les pharmacies à ne vendre que la quantité exacte de médicaments prescrits plutôt que de remettre au patient des paquets entiers qui devraient éventuellement être éliminés par la suite.</w:t>
      </w:r>
    </w:p>
  </w:footnote>
  <w:footnote w:id="29">
    <w:p w14:paraId="25E1F433" w14:textId="5852F8BB" w:rsidR="004F5474" w:rsidRPr="00150F77" w:rsidRDefault="004F5474" w:rsidP="00EC5DD0">
      <w:pPr>
        <w:pStyle w:val="FootnoteText"/>
        <w:spacing w:after="0"/>
      </w:pPr>
      <w:r>
        <w:rPr>
          <w:rStyle w:val="FootnoteReference"/>
        </w:rPr>
        <w:footnoteRef/>
      </w:r>
      <w:r>
        <w:tab/>
        <w:t xml:space="preserve">Soutenues par la boîte à outils et les recommandations du groupe de pilotage exécutif sur les pénuries et l’innocuité des médicaments en ce qui concerne les flexibilités réglementaires, publiées le </w:t>
      </w:r>
      <w:r w:rsidRPr="00093148">
        <w:t>24</w:t>
      </w:r>
      <w:r>
        <w:t xml:space="preserve"> octobre </w:t>
      </w:r>
      <w:r w:rsidRPr="00093148">
        <w:t>2023</w:t>
      </w:r>
      <w:r>
        <w:t>.</w:t>
      </w:r>
    </w:p>
  </w:footnote>
  <w:footnote w:id="30">
    <w:p w14:paraId="6673BA44" w14:textId="01BA30B9" w:rsidR="00B177F6" w:rsidRPr="005A0FEB" w:rsidRDefault="00B177F6" w:rsidP="00EC5DD0">
      <w:pPr>
        <w:pStyle w:val="FootnoteText"/>
        <w:spacing w:after="0"/>
        <w:rPr>
          <w:rStyle w:val="Hyperlink"/>
          <w:color w:val="auto"/>
          <w:u w:val="none"/>
        </w:rPr>
      </w:pPr>
      <w:r>
        <w:rPr>
          <w:rStyle w:val="FootnoteReference"/>
        </w:rPr>
        <w:footnoteRef/>
      </w:r>
      <w:r>
        <w:tab/>
      </w:r>
      <w:r>
        <w:rPr>
          <w:rStyle w:val="Hyperlink"/>
          <w:color w:val="auto"/>
          <w:u w:val="none"/>
        </w:rPr>
        <w:t xml:space="preserve">Directive </w:t>
      </w:r>
      <w:r w:rsidRPr="00093148">
        <w:rPr>
          <w:rStyle w:val="Hyperlink"/>
          <w:color w:val="auto"/>
          <w:u w:val="none"/>
        </w:rPr>
        <w:t>89</w:t>
      </w:r>
      <w:r>
        <w:rPr>
          <w:rStyle w:val="Hyperlink"/>
          <w:color w:val="auto"/>
          <w:u w:val="none"/>
        </w:rPr>
        <w:t>/</w:t>
      </w:r>
      <w:r w:rsidRPr="00093148">
        <w:rPr>
          <w:rStyle w:val="Hyperlink"/>
          <w:color w:val="auto"/>
          <w:u w:val="none"/>
        </w:rPr>
        <w:t>105</w:t>
      </w:r>
      <w:r>
        <w:rPr>
          <w:rStyle w:val="Hyperlink"/>
          <w:color w:val="auto"/>
          <w:u w:val="none"/>
        </w:rPr>
        <w:t xml:space="preserve">/CEE du Conseil du </w:t>
      </w:r>
      <w:r w:rsidRPr="00093148">
        <w:rPr>
          <w:rStyle w:val="Hyperlink"/>
          <w:color w:val="auto"/>
          <w:u w:val="none"/>
        </w:rPr>
        <w:t>21</w:t>
      </w:r>
      <w:r>
        <w:rPr>
          <w:rStyle w:val="Hyperlink"/>
          <w:color w:val="auto"/>
          <w:u w:val="none"/>
        </w:rPr>
        <w:t xml:space="preserve"> décembre </w:t>
      </w:r>
      <w:r w:rsidRPr="00093148">
        <w:rPr>
          <w:rStyle w:val="Hyperlink"/>
          <w:color w:val="auto"/>
          <w:u w:val="none"/>
        </w:rPr>
        <w:t>1988</w:t>
      </w:r>
      <w:r>
        <w:rPr>
          <w:rStyle w:val="Hyperlink"/>
          <w:color w:val="auto"/>
          <w:u w:val="none"/>
        </w:rPr>
        <w:t xml:space="preserve"> concernant la transparence des mesures régissant la fixation des prix des médicaments à usage humain et leur inclusion dans le champ d’application des systèmes nationaux d’assurance-maladie.</w:t>
      </w:r>
      <w:r>
        <w:rPr>
          <w:rStyle w:val="Hyperlink"/>
          <w:i/>
          <w:color w:val="auto"/>
          <w:u w:val="none"/>
        </w:rPr>
        <w:t xml:space="preserve"> </w:t>
      </w:r>
      <w:r>
        <w:rPr>
          <w:color w:val="000000"/>
        </w:rPr>
        <w:t xml:space="preserve">Une étude a été commandée dans le but d’analyser le fonctionnement de la directive </w:t>
      </w:r>
      <w:r w:rsidRPr="00093148">
        <w:rPr>
          <w:color w:val="000000"/>
        </w:rPr>
        <w:t>89</w:t>
      </w:r>
      <w:r>
        <w:rPr>
          <w:color w:val="000000"/>
        </w:rPr>
        <w:t>/</w:t>
      </w:r>
      <w:r w:rsidRPr="00093148">
        <w:rPr>
          <w:color w:val="000000"/>
        </w:rPr>
        <w:t>105</w:t>
      </w:r>
      <w:r>
        <w:rPr>
          <w:color w:val="000000"/>
        </w:rPr>
        <w:t>/CEE du Conseil (mieux connue sous le nom de «directive sur la transparence»); ses résultats sont attendus en novembre </w:t>
      </w:r>
      <w:r w:rsidRPr="00093148">
        <w:rPr>
          <w:color w:val="000000"/>
        </w:rPr>
        <w:t>2023</w:t>
      </w:r>
      <w:r>
        <w:rPr>
          <w:color w:val="000000"/>
        </w:rPr>
        <w:t>.</w:t>
      </w:r>
    </w:p>
  </w:footnote>
  <w:footnote w:id="31">
    <w:p w14:paraId="6F5B9CBC" w14:textId="5079192B" w:rsidR="003B51A1" w:rsidRPr="004E1B57" w:rsidRDefault="00093148" w:rsidP="003B51A1">
      <w:pPr>
        <w:pStyle w:val="ListBullet2"/>
        <w:numPr>
          <w:ilvl w:val="0"/>
          <w:numId w:val="0"/>
        </w:numPr>
        <w:tabs>
          <w:tab w:val="clear" w:pos="1361"/>
        </w:tabs>
        <w:spacing w:after="0"/>
        <w:ind w:left="357" w:hanging="357"/>
      </w:pPr>
      <w:r w:rsidRPr="00093148">
        <w:rPr>
          <w:rStyle w:val="Hyperlink"/>
          <w:color w:val="auto"/>
          <w:sz w:val="20"/>
          <w:u w:val="none"/>
          <w:vertAlign w:val="superscript"/>
        </w:rPr>
        <w:t>30</w:t>
      </w:r>
      <w:r w:rsidR="003B51A1">
        <w:rPr>
          <w:rStyle w:val="Hyperlink"/>
          <w:color w:val="auto"/>
          <w:sz w:val="20"/>
          <w:u w:val="none"/>
          <w:vertAlign w:val="superscript"/>
        </w:rPr>
        <w:t xml:space="preserve"> </w:t>
      </w:r>
      <w:r w:rsidR="003B51A1">
        <w:rPr>
          <w:rStyle w:val="Hyperlink"/>
          <w:color w:val="auto"/>
          <w:sz w:val="20"/>
          <w:u w:val="none"/>
        </w:rPr>
        <w:t>Par exemple, en Allemagne, une loi de juillet </w:t>
      </w:r>
      <w:r w:rsidR="003B51A1" w:rsidRPr="00093148">
        <w:rPr>
          <w:rStyle w:val="Hyperlink"/>
          <w:color w:val="auto"/>
          <w:sz w:val="20"/>
          <w:u w:val="none"/>
        </w:rPr>
        <w:t>2023</w:t>
      </w:r>
      <w:r w:rsidR="003B51A1">
        <w:rPr>
          <w:rStyle w:val="Hyperlink"/>
          <w:color w:val="auto"/>
          <w:sz w:val="20"/>
          <w:u w:val="none"/>
        </w:rPr>
        <w:t xml:space="preserve"> prévoit que la production de l’ingrédient pharmaceutique actif dans l’UE ou dans l’Espace économique européen constitue un critère obligatoire dans les appels d’offres pour l’achat de certains médicaments</w:t>
      </w:r>
      <w:r w:rsidR="003B51A1">
        <w:rPr>
          <w:rStyle w:val="Hyperlink"/>
          <w:color w:val="auto"/>
          <w:sz w:val="20"/>
          <w:u w:val="none"/>
        </w:rPr>
        <w:tab/>
        <w:t xml:space="preserve"> (</w:t>
      </w:r>
      <w:hyperlink r:id="rId10" w:history="1">
        <w:r w:rsidR="003B51A1">
          <w:rPr>
            <w:rStyle w:val="Hyperlink"/>
            <w:color w:val="auto"/>
            <w:sz w:val="20"/>
            <w:u w:val="none"/>
          </w:rPr>
          <w:t>https://dserver.bundestag.de/btd/</w:t>
        </w:r>
        <w:r w:rsidR="003B51A1" w:rsidRPr="00093148">
          <w:rPr>
            <w:rStyle w:val="Hyperlink"/>
            <w:color w:val="auto"/>
            <w:sz w:val="20"/>
            <w:u w:val="none"/>
          </w:rPr>
          <w:t>20</w:t>
        </w:r>
        <w:r w:rsidR="003B51A1">
          <w:rPr>
            <w:rStyle w:val="Hyperlink"/>
            <w:color w:val="auto"/>
            <w:sz w:val="20"/>
            <w:u w:val="none"/>
          </w:rPr>
          <w:t>/</w:t>
        </w:r>
        <w:r w:rsidR="003B51A1" w:rsidRPr="00093148">
          <w:rPr>
            <w:rStyle w:val="Hyperlink"/>
            <w:color w:val="auto"/>
            <w:sz w:val="20"/>
            <w:u w:val="none"/>
          </w:rPr>
          <w:t>068</w:t>
        </w:r>
        <w:r w:rsidR="003B51A1">
          <w:rPr>
            <w:rStyle w:val="Hyperlink"/>
            <w:color w:val="auto"/>
            <w:sz w:val="20"/>
            <w:u w:val="none"/>
          </w:rPr>
          <w:t>/</w:t>
        </w:r>
        <w:r w:rsidR="003B51A1" w:rsidRPr="00093148">
          <w:rPr>
            <w:rStyle w:val="Hyperlink"/>
            <w:color w:val="auto"/>
            <w:sz w:val="20"/>
            <w:u w:val="none"/>
          </w:rPr>
          <w:t>2006871</w:t>
        </w:r>
        <w:r w:rsidR="003B51A1">
          <w:rPr>
            <w:rStyle w:val="Hyperlink"/>
            <w:color w:val="auto"/>
            <w:sz w:val="20"/>
            <w:u w:val="none"/>
          </w:rPr>
          <w:t>.pdf</w:t>
        </w:r>
      </w:hyperlink>
      <w:r w:rsidR="003B51A1">
        <w:rPr>
          <w:rStyle w:val="Hyperlink"/>
          <w:color w:val="auto"/>
          <w:sz w:val="20"/>
          <w:u w:val="none"/>
        </w:rPr>
        <w:t>)</w:t>
      </w:r>
      <w:r w:rsidR="003B51A1">
        <w:t>).</w:t>
      </w:r>
    </w:p>
  </w:footnote>
  <w:footnote w:id="32">
    <w:p w14:paraId="2898B97B" w14:textId="77777777" w:rsidR="003B51A1" w:rsidRPr="00CB1A3D" w:rsidRDefault="003B51A1" w:rsidP="003B51A1">
      <w:pPr>
        <w:pStyle w:val="FootnoteText"/>
        <w:spacing w:after="0"/>
      </w:pPr>
      <w:r>
        <w:rPr>
          <w:rStyle w:val="FootnoteReference"/>
        </w:rPr>
        <w:footnoteRef/>
      </w:r>
      <w:r>
        <w:tab/>
        <w:t>COM(</w:t>
      </w:r>
      <w:r w:rsidRPr="00093148">
        <w:t>2022</w:t>
      </w:r>
      <w:r>
        <w:t>) </w:t>
      </w:r>
      <w:r w:rsidRPr="00093148">
        <w:t>223</w:t>
      </w:r>
      <w:r>
        <w:t xml:space="preserve"> final; Proposition de règlement relatif aux règles financières applicables au budget général de l’Union (refonte) du </w:t>
      </w:r>
      <w:r w:rsidRPr="00093148">
        <w:t>16</w:t>
      </w:r>
      <w:r>
        <w:t xml:space="preserve"> mai </w:t>
      </w:r>
      <w:r w:rsidRPr="00093148">
        <w:t>2022</w:t>
      </w:r>
      <w:r>
        <w:t>.</w:t>
      </w:r>
    </w:p>
  </w:footnote>
  <w:footnote w:id="33">
    <w:p w14:paraId="06106DCB" w14:textId="77777777" w:rsidR="003B51A1" w:rsidRPr="00B976E9" w:rsidRDefault="003B51A1" w:rsidP="003B51A1">
      <w:pPr>
        <w:pStyle w:val="FootnoteText"/>
        <w:spacing w:after="0"/>
      </w:pPr>
      <w:r>
        <w:rPr>
          <w:rStyle w:val="FootnoteReference"/>
        </w:rPr>
        <w:footnoteRef/>
      </w:r>
      <w:r>
        <w:tab/>
        <w:t>https://www.ema.europa.eu/en/documents/regulatory-procedural-guideline/good-practice-guidance-communication-public-medicines-availability-issues_en.pdf</w:t>
      </w:r>
    </w:p>
  </w:footnote>
  <w:footnote w:id="34">
    <w:p w14:paraId="3F50AA83" w14:textId="77777777" w:rsidR="003B51A1" w:rsidRPr="00B976E9" w:rsidRDefault="003B51A1" w:rsidP="003B51A1">
      <w:pPr>
        <w:pStyle w:val="FootnoteText"/>
        <w:spacing w:after="0"/>
      </w:pPr>
      <w:r>
        <w:rPr>
          <w:rStyle w:val="FootnoteReference"/>
        </w:rPr>
        <w:footnoteRef/>
      </w:r>
      <w:r>
        <w:tab/>
        <w:t>Sur la base des enseignements tirés du dialogue structuré et des recommandations concrètes, formulées dans la réforme pharmaceutique par le groupe de pilotage exécutif sur les pénuries et l'innocuité des médicaments, concernant les pénuries de médicaments critiques.</w:t>
      </w:r>
    </w:p>
  </w:footnote>
  <w:footnote w:id="35">
    <w:p w14:paraId="14AA2C0C" w14:textId="77777777" w:rsidR="003B51A1" w:rsidRPr="00CB1A3D" w:rsidRDefault="003B51A1" w:rsidP="003B51A1">
      <w:pPr>
        <w:pStyle w:val="FootnoteText"/>
        <w:spacing w:after="0"/>
      </w:pPr>
      <w:r>
        <w:rPr>
          <w:rStyle w:val="FootnoteReference"/>
        </w:rPr>
        <w:footnoteRef/>
      </w:r>
      <w:r>
        <w:tab/>
        <w:t xml:space="preserve">Par exemple, plus de </w:t>
      </w:r>
      <w:r w:rsidRPr="00093148">
        <w:t>180</w:t>
      </w:r>
      <w:r>
        <w:t> millions d’euros sont consacrés aux essais cliniques et financent la recherche sur de nouveaux antimicrobiens, antiviraux ou vaccins qui pourraient être utilisés en cas de nouvelle pandémie.</w:t>
      </w:r>
      <w:r>
        <w:rPr>
          <w:color w:val="000000" w:themeColor="text1"/>
        </w:rPr>
        <w:t xml:space="preserve"> En outre, l’initiative en matière de santé innovante, dotée d’un budget total de </w:t>
      </w:r>
      <w:r w:rsidRPr="00093148">
        <w:rPr>
          <w:color w:val="000000" w:themeColor="text1"/>
        </w:rPr>
        <w:t>2</w:t>
      </w:r>
      <w:r>
        <w:rPr>
          <w:color w:val="000000" w:themeColor="text1"/>
        </w:rPr>
        <w:t>,</w:t>
      </w:r>
      <w:r w:rsidRPr="00093148">
        <w:rPr>
          <w:color w:val="000000" w:themeColor="text1"/>
        </w:rPr>
        <w:t>4</w:t>
      </w:r>
      <w:r>
        <w:rPr>
          <w:color w:val="000000" w:themeColor="text1"/>
        </w:rPr>
        <w:t xml:space="preserve"> milliards d’euros pour la période </w:t>
      </w:r>
      <w:r w:rsidRPr="00093148">
        <w:rPr>
          <w:color w:val="000000" w:themeColor="text1"/>
        </w:rPr>
        <w:t>2021</w:t>
      </w:r>
      <w:r>
        <w:rPr>
          <w:color w:val="000000" w:themeColor="text1"/>
        </w:rPr>
        <w:t>-</w:t>
      </w:r>
      <w:r w:rsidRPr="00093148">
        <w:rPr>
          <w:color w:val="000000" w:themeColor="text1"/>
        </w:rPr>
        <w:t>2027</w:t>
      </w:r>
      <w:r>
        <w:rPr>
          <w:color w:val="000000" w:themeColor="text1"/>
        </w:rPr>
        <w:t xml:space="preserve"> et financée conjointement par l’UE et par des associations sectorielles représentant les industries européennes des sciences de la vie, vise à tirer de la recherche et de l’innovation dans le domaine de la santé des avantages tangibles pour les patients et la société. Ses activités comprennent, sans s’y limiter, la recherche et le développement dans le domaine médical.</w:t>
      </w:r>
    </w:p>
  </w:footnote>
  <w:footnote w:id="36">
    <w:p w14:paraId="5F6894A3" w14:textId="77777777" w:rsidR="003B51A1" w:rsidRPr="00CB1A3D" w:rsidRDefault="003B51A1" w:rsidP="003B51A1">
      <w:pPr>
        <w:pStyle w:val="FootnoteText"/>
        <w:spacing w:after="0"/>
      </w:pPr>
      <w:r>
        <w:rPr>
          <w:rStyle w:val="FootnoteReference"/>
        </w:rPr>
        <w:footnoteRef/>
      </w:r>
      <w:r>
        <w:tab/>
        <w:t xml:space="preserve">Le Fonds européen de développement régional soutient principalement les PME dans des projets liés au développement et à la production de médicaments au moyen d’un financement de plus de </w:t>
      </w:r>
      <w:r w:rsidRPr="00093148">
        <w:t>200</w:t>
      </w:r>
      <w:r>
        <w:t> millions d’euros affecté à la recherche, au perfectionnement professionnel, aux investissements dans le capital fixe et les actifs immatériels des entreprises et à l’écologisation des processus de production et des infrastructures.</w:t>
      </w:r>
    </w:p>
  </w:footnote>
  <w:footnote w:id="37">
    <w:p w14:paraId="4A1B079B" w14:textId="77777777" w:rsidR="003B51A1" w:rsidRPr="00CB1A3D" w:rsidRDefault="003B51A1" w:rsidP="003B51A1">
      <w:pPr>
        <w:pStyle w:val="FootnoteText"/>
        <w:spacing w:after="0"/>
      </w:pPr>
      <w:r>
        <w:rPr>
          <w:rStyle w:val="FootnoteReference"/>
        </w:rPr>
        <w:footnoteRef/>
      </w:r>
      <w:r>
        <w:tab/>
        <w:t xml:space="preserve">HERA Invest est une enveloppe supplémentaire de </w:t>
      </w:r>
      <w:r w:rsidRPr="00093148">
        <w:t>100</w:t>
      </w:r>
      <w:r>
        <w:t> millions d’euros, en complément du programme InvestEU, au soutien de l’investissement durable, de l’innovation et de la création d’emplois en Europe.</w:t>
      </w:r>
      <w:r>
        <w:rPr>
          <w:color w:val="000000" w:themeColor="text1"/>
        </w:rPr>
        <w:t xml:space="preserve"> Par ailleurs, </w:t>
      </w:r>
      <w:r w:rsidRPr="00093148">
        <w:rPr>
          <w:color w:val="000000" w:themeColor="text1"/>
        </w:rPr>
        <w:t>160</w:t>
      </w:r>
      <w:r>
        <w:rPr>
          <w:color w:val="000000" w:themeColor="text1"/>
        </w:rPr>
        <w:t xml:space="preserve"> millions d’euros sont consacrés au réseau Fab-UE, qui vise à soutenir des capacités mobilisables en permanence et susceptibles d’être étendues aux médicaments critiques. En outre, plus de </w:t>
      </w:r>
      <w:r w:rsidRPr="00093148">
        <w:rPr>
          <w:color w:val="000000" w:themeColor="text1"/>
        </w:rPr>
        <w:t>100</w:t>
      </w:r>
      <w:r>
        <w:rPr>
          <w:color w:val="000000" w:themeColor="text1"/>
        </w:rPr>
        <w:t> millions d’euros sont consacrés, dans le cadre du programme EU</w:t>
      </w:r>
      <w:r w:rsidRPr="00093148">
        <w:rPr>
          <w:color w:val="000000" w:themeColor="text1"/>
        </w:rPr>
        <w:t>4</w:t>
      </w:r>
      <w:r>
        <w:rPr>
          <w:color w:val="000000" w:themeColor="text1"/>
        </w:rPr>
        <w:t>Health, au développement de technologies innovantes et de médicaments critiques, y compris les antibiotiques, ainsi qu’à l’accès à ces technologies.</w:t>
      </w:r>
    </w:p>
  </w:footnote>
  <w:footnote w:id="38">
    <w:p w14:paraId="09FFAFB6" w14:textId="77777777" w:rsidR="003B51A1" w:rsidRPr="00A11FCD" w:rsidRDefault="003B51A1" w:rsidP="003B51A1">
      <w:pPr>
        <w:pStyle w:val="FootnoteText"/>
        <w:spacing w:after="0"/>
      </w:pPr>
      <w:r>
        <w:rPr>
          <w:rStyle w:val="FootnoteReference"/>
        </w:rPr>
        <w:footnoteRef/>
      </w:r>
      <w:r>
        <w:rPr>
          <w:color w:val="000000" w:themeColor="text1"/>
        </w:rPr>
        <w:t xml:space="preserve"> </w:t>
      </w:r>
      <w:r>
        <w:tab/>
      </w:r>
      <w:hyperlink r:id="rId11" w:history="1">
        <w:r>
          <w:rPr>
            <w:rStyle w:val="Hyperlink"/>
          </w:rPr>
          <w:t>https://commission.europa.eu/strategy-and-policy/eu-budget/strategic-technologies-europe-platform_en</w:t>
        </w:r>
      </w:hyperlink>
      <w:r>
        <w:rPr>
          <w:rStyle w:val="Hyperlink"/>
        </w:rPr>
        <w:t xml:space="preserve"> </w:t>
      </w:r>
    </w:p>
  </w:footnote>
  <w:footnote w:id="39">
    <w:p w14:paraId="310489E6" w14:textId="77777777" w:rsidR="003B51A1" w:rsidRPr="00511A45" w:rsidRDefault="003B51A1" w:rsidP="003B51A1">
      <w:pPr>
        <w:pStyle w:val="FootnoteText"/>
      </w:pPr>
      <w:r>
        <w:rPr>
          <w:rStyle w:val="FootnoteReference"/>
        </w:rPr>
        <w:footnoteRef/>
      </w:r>
      <w:r>
        <w:tab/>
        <w:t>La plateforme STEP peut également devenir un instrument puissant au soutien de la production de médicaments critiques.</w:t>
      </w:r>
      <w:r>
        <w:rPr>
          <w:color w:val="000000" w:themeColor="text1"/>
        </w:rPr>
        <w:t xml:space="preserve"> Compte tenu de la nécessité de réduire les dépendances stratégiques de l’UE, y compris en ce qui concerne les pénuries de médicaments critiques, la plateforme pourra promouvoir une approche plus coordonnée au niveau de l’UE pour le financement de telles actions, en particulier avec le label de souveraineté qui renforcera les synergies entre, d’une part, des programmes comme EU</w:t>
      </w:r>
      <w:r w:rsidRPr="00093148">
        <w:rPr>
          <w:color w:val="000000" w:themeColor="text1"/>
        </w:rPr>
        <w:t>4</w:t>
      </w:r>
      <w:r>
        <w:rPr>
          <w:color w:val="000000" w:themeColor="text1"/>
        </w:rPr>
        <w:t>Health ou Horizon Europe et, d'autre part, les fonds de la politique de cohésion et la facilité pour la reprise et la résilience (FRR).</w:t>
      </w:r>
    </w:p>
  </w:footnote>
  <w:footnote w:id="40">
    <w:p w14:paraId="162AF98D" w14:textId="77777777" w:rsidR="003B51A1" w:rsidRPr="00CB1A3D" w:rsidRDefault="003B51A1" w:rsidP="003B51A1">
      <w:pPr>
        <w:pStyle w:val="FootnoteText"/>
        <w:spacing w:after="0"/>
      </w:pPr>
      <w:r>
        <w:rPr>
          <w:rStyle w:val="FootnoteReference"/>
        </w:rPr>
        <w:footnoteRef/>
      </w:r>
      <w:r>
        <w:t xml:space="preserve"> </w:t>
      </w:r>
      <w:r>
        <w:tab/>
      </w:r>
      <w:hyperlink r:id="rId12" w:history="1">
        <w:r>
          <w:rPr>
            <w:rStyle w:val="Hyperlink"/>
          </w:rPr>
          <w:t>https://health.ec.europa.eu/system/files/</w:t>
        </w:r>
        <w:r w:rsidRPr="00093148">
          <w:rPr>
            <w:rStyle w:val="Hyperlink"/>
          </w:rPr>
          <w:t>2023</w:t>
        </w:r>
        <w:r>
          <w:rPr>
            <w:rStyle w:val="Hyperlink"/>
          </w:rPr>
          <w:t>-</w:t>
        </w:r>
        <w:r w:rsidRPr="00093148">
          <w:rPr>
            <w:rStyle w:val="Hyperlink"/>
          </w:rPr>
          <w:t>03</w:t>
        </w:r>
        <w:r>
          <w:rPr>
            <w:rStyle w:val="Hyperlink"/>
          </w:rPr>
          <w:t>/international_ghs-report-</w:t>
        </w:r>
        <w:r w:rsidRPr="00093148">
          <w:rPr>
            <w:rStyle w:val="Hyperlink"/>
          </w:rPr>
          <w:t>2022</w:t>
        </w:r>
        <w:r>
          <w:rPr>
            <w:rStyle w:val="Hyperlink"/>
          </w:rPr>
          <w:t>_en.pdf</w:t>
        </w:r>
      </w:hyperlink>
    </w:p>
  </w:footnote>
  <w:footnote w:id="41">
    <w:p w14:paraId="09B44428" w14:textId="77777777" w:rsidR="003B51A1" w:rsidRPr="00A11FCD" w:rsidRDefault="003B51A1" w:rsidP="003B51A1">
      <w:pPr>
        <w:pStyle w:val="FootnoteText"/>
        <w:spacing w:after="0"/>
      </w:pPr>
      <w:r>
        <w:rPr>
          <w:rStyle w:val="FootnoteReference"/>
        </w:rPr>
        <w:footnoteRef/>
      </w:r>
      <w:r>
        <w:tab/>
        <w:t>Si nécessaire, par l’intermédiaire de la capacité d’intervention humanitaire européenne (EHRC).</w:t>
      </w:r>
    </w:p>
  </w:footnote>
  <w:footnote w:id="42">
    <w:p w14:paraId="63A77344" w14:textId="77777777" w:rsidR="003B51A1" w:rsidRPr="00CB1A3D" w:rsidRDefault="003B51A1" w:rsidP="003B51A1">
      <w:pPr>
        <w:pStyle w:val="FootnoteText"/>
        <w:spacing w:after="0"/>
      </w:pPr>
      <w:r>
        <w:rPr>
          <w:rStyle w:val="FootnoteReference"/>
        </w:rPr>
        <w:footnoteRef/>
      </w:r>
      <w:r>
        <w:tab/>
        <w:t>L’Agence européenne des médicaments a mené ce dialogue pour l’UE, notamment au sein du groupe de travail réglementaire mondial sur les pénuries de médicaments et de la coalition internationale des autorités de réglementation des médicaments, qui était axé sur les partenaires du G</w:t>
      </w:r>
      <w:r w:rsidRPr="00093148">
        <w:t>7</w:t>
      </w:r>
      <w:r>
        <w:t xml:space="preserve"> et l’Organisation mondiale de la santé.</w:t>
      </w:r>
      <w:r>
        <w:rPr>
          <w:rStyle w:val="normaltextrun"/>
        </w:rPr>
        <w:t xml:space="preserve"> </w:t>
      </w:r>
    </w:p>
  </w:footnote>
  <w:footnote w:id="43">
    <w:p w14:paraId="29FDF582" w14:textId="77777777" w:rsidR="003B51A1" w:rsidRPr="00B976E9" w:rsidRDefault="003B51A1" w:rsidP="003B51A1">
      <w:pPr>
        <w:pStyle w:val="FootnoteText"/>
        <w:spacing w:after="0"/>
        <w:rPr>
          <w:rStyle w:val="normaltextrun"/>
        </w:rPr>
      </w:pPr>
      <w:r>
        <w:rPr>
          <w:rStyle w:val="FootnoteReference"/>
        </w:rPr>
        <w:footnoteRef/>
      </w:r>
      <w:r>
        <w:t xml:space="preserve"> </w:t>
      </w:r>
      <w:r>
        <w:tab/>
      </w:r>
      <w:r>
        <w:rPr>
          <w:rStyle w:val="normaltextrun"/>
        </w:rPr>
        <w:t>Notamment celles de l’OMC, de l’OCDE, de la CIH, de l’IMDRF et de la convention relative à l’inspection pharmaceutique et du schéma de coopération dans le domaine de l’inspection pharmaceutique (PIC/S).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1EC90" w14:textId="77777777" w:rsidR="00D057D3" w:rsidRPr="00D057D3" w:rsidRDefault="00D057D3" w:rsidP="00D057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C5050" w14:textId="77777777" w:rsidR="00D057D3" w:rsidRPr="00D057D3" w:rsidRDefault="00D057D3" w:rsidP="00D057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22D2F" w14:textId="77777777" w:rsidR="00D057D3" w:rsidRPr="00D057D3" w:rsidRDefault="00D057D3" w:rsidP="00D057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D8042" w14:textId="77777777" w:rsidR="000576D9" w:rsidRDefault="000576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C4323" w14:textId="77777777" w:rsidR="000576D9" w:rsidRDefault="000576D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75F7E" w14:textId="77777777" w:rsidR="000576D9" w:rsidRDefault="00057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8284C40"/>
    <w:lvl w:ilvl="0">
      <w:start w:val="1"/>
      <w:numFmt w:val="bullet"/>
      <w:pStyle w:val="ListBullet2"/>
      <w:lvlText w:val=""/>
      <w:lvlJc w:val="left"/>
      <w:pPr>
        <w:tabs>
          <w:tab w:val="num" w:pos="709"/>
        </w:tabs>
        <w:ind w:left="709" w:hanging="360"/>
      </w:pPr>
      <w:rPr>
        <w:rFonts w:ascii="Symbol" w:hAnsi="Symbol" w:hint="default"/>
      </w:rPr>
    </w:lvl>
  </w:abstractNum>
  <w:abstractNum w:abstractNumId="1" w15:restartNumberingAfterBreak="0">
    <w:nsid w:val="0254734D"/>
    <w:multiLevelType w:val="hybridMultilevel"/>
    <w:tmpl w:val="14A8B242"/>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92F6F"/>
    <w:multiLevelType w:val="hybridMultilevel"/>
    <w:tmpl w:val="DCD691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0A2900F7"/>
    <w:multiLevelType w:val="multilevel"/>
    <w:tmpl w:val="4D5C2A4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6004D03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08424EC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85D4799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C58E8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CE2C21EA"/>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692A76"/>
    <w:multiLevelType w:val="hybridMultilevel"/>
    <w:tmpl w:val="AC8C14B6"/>
    <w:lvl w:ilvl="0" w:tplc="FFFFFFFF">
      <w:start w:val="1"/>
      <w:numFmt w:val="bullet"/>
      <w:lvlText w:val=""/>
      <w:lvlJc w:val="left"/>
      <w:pPr>
        <w:tabs>
          <w:tab w:val="num" w:pos="850"/>
        </w:tabs>
        <w:ind w:left="850" w:hanging="850"/>
      </w:pPr>
      <w:rPr>
        <w:rFonts w:ascii="Symbol" w:hAnsi="Symbol" w:hint="default"/>
      </w:rPr>
    </w:lvl>
    <w:lvl w:ilvl="1" w:tplc="FFFFFFFF">
      <w:start w:val="1"/>
      <w:numFmt w:val="bullet"/>
      <w:lvlText w:val=""/>
      <w:lvlJc w:val="left"/>
      <w:pPr>
        <w:ind w:left="360" w:hanging="360"/>
      </w:pPr>
      <w:rPr>
        <w:rFonts w:ascii="Symbol" w:hAnsi="Symbol" w:hint="default"/>
      </w:rPr>
    </w:lvl>
    <w:lvl w:ilvl="2" w:tplc="18090001">
      <w:start w:val="1"/>
      <w:numFmt w:val="bullet"/>
      <w:lvlText w:val=""/>
      <w:lvlJc w:val="left"/>
      <w:pPr>
        <w:ind w:left="1210" w:hanging="360"/>
      </w:pPr>
      <w:rPr>
        <w:rFonts w:ascii="Symbol" w:hAnsi="Symbol" w:hint="default"/>
      </w:rPr>
    </w:lvl>
    <w:lvl w:ilvl="3" w:tplc="FFFFFFFF">
      <w:start w:val="1"/>
      <w:numFmt w:val="bullet"/>
      <w:lvlText w:val="o"/>
      <w:lvlJc w:val="left"/>
      <w:pPr>
        <w:ind w:left="1210" w:hanging="360"/>
      </w:pPr>
      <w:rPr>
        <w:rFonts w:ascii="Courier New" w:hAnsi="Courier New" w:hint="default"/>
      </w:rPr>
    </w:lvl>
    <w:lvl w:ilvl="4" w:tplc="FFFFFFFF">
      <w:start w:val="1"/>
      <w:numFmt w:val="decimal"/>
      <w:lvlText w:val="(%5)"/>
      <w:lvlJc w:val="left"/>
      <w:pPr>
        <w:tabs>
          <w:tab w:val="num" w:pos="1984"/>
        </w:tabs>
        <w:ind w:left="1984" w:hanging="567"/>
      </w:pPr>
    </w:lvl>
    <w:lvl w:ilvl="5" w:tplc="FFFFFFFF">
      <w:start w:val="1"/>
      <w:numFmt w:val="lowerLetter"/>
      <w:lvlText w:val="(%6)"/>
      <w:lvlJc w:val="left"/>
      <w:pPr>
        <w:tabs>
          <w:tab w:val="num" w:pos="1984"/>
        </w:tabs>
        <w:ind w:left="1984" w:hanging="567"/>
      </w:pPr>
    </w:lvl>
    <w:lvl w:ilvl="6" w:tplc="FFFFFFFF">
      <w:start w:val="1"/>
      <w:numFmt w:val="decimal"/>
      <w:lvlText w:val="(%7)"/>
      <w:lvlJc w:val="left"/>
      <w:pPr>
        <w:tabs>
          <w:tab w:val="num" w:pos="2551"/>
        </w:tabs>
        <w:ind w:left="2551" w:hanging="567"/>
      </w:pPr>
    </w:lvl>
    <w:lvl w:ilvl="7" w:tplc="FFFFFFFF">
      <w:start w:val="1"/>
      <w:numFmt w:val="lowerLetter"/>
      <w:lvlText w:val="(%8)"/>
      <w:lvlJc w:val="left"/>
      <w:pPr>
        <w:tabs>
          <w:tab w:val="num" w:pos="2551"/>
        </w:tabs>
        <w:ind w:left="2551" w:hanging="567"/>
      </w:pPr>
    </w:lvl>
    <w:lvl w:ilvl="8" w:tplc="FFFFFFFF">
      <w:start w:val="1"/>
      <w:numFmt w:val="lowerLetter"/>
      <w:lvlText w:val="(%9)"/>
      <w:lvlJc w:val="left"/>
      <w:pPr>
        <w:tabs>
          <w:tab w:val="num" w:pos="3118"/>
        </w:tabs>
        <w:ind w:left="3118" w:hanging="567"/>
      </w:pPr>
    </w:lvl>
  </w:abstractNum>
  <w:abstractNum w:abstractNumId="10" w15:restartNumberingAfterBreak="0">
    <w:nsid w:val="1673011F"/>
    <w:multiLevelType w:val="hybridMultilevel"/>
    <w:tmpl w:val="51C8C4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2F0AC5"/>
    <w:multiLevelType w:val="multilevel"/>
    <w:tmpl w:val="A9826BA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B3C78B8"/>
    <w:multiLevelType w:val="hybridMultilevel"/>
    <w:tmpl w:val="6C101E82"/>
    <w:lvl w:ilvl="0" w:tplc="722A4888">
      <w:start w:val="1"/>
      <w:numFmt w:val="bullet"/>
      <w:pStyle w:val="Point0number"/>
      <w:lvlText w:val=""/>
      <w:lvlJc w:val="left"/>
      <w:pPr>
        <w:tabs>
          <w:tab w:val="num" w:pos="850"/>
        </w:tabs>
        <w:ind w:left="850" w:hanging="850"/>
      </w:pPr>
      <w:rPr>
        <w:rFonts w:ascii="Symbol" w:hAnsi="Symbol" w:hint="default"/>
      </w:rPr>
    </w:lvl>
    <w:lvl w:ilvl="1" w:tplc="ED1AC3C4">
      <w:start w:val="1"/>
      <w:numFmt w:val="bullet"/>
      <w:pStyle w:val="Point0letter"/>
      <w:lvlText w:val=""/>
      <w:lvlJc w:val="left"/>
      <w:pPr>
        <w:ind w:left="360" w:hanging="360"/>
      </w:pPr>
      <w:rPr>
        <w:rFonts w:ascii="Symbol" w:hAnsi="Symbol" w:hint="default"/>
      </w:rPr>
    </w:lvl>
    <w:lvl w:ilvl="2" w:tplc="E79CD978">
      <w:start w:val="1"/>
      <w:numFmt w:val="decimal"/>
      <w:pStyle w:val="Point1number"/>
      <w:lvlText w:val="(%3)"/>
      <w:lvlJc w:val="left"/>
      <w:pPr>
        <w:tabs>
          <w:tab w:val="num" w:pos="1417"/>
        </w:tabs>
        <w:ind w:left="1417" w:hanging="567"/>
      </w:pPr>
    </w:lvl>
    <w:lvl w:ilvl="3" w:tplc="FFFFFFFF">
      <w:start w:val="1"/>
      <w:numFmt w:val="bullet"/>
      <w:pStyle w:val="Point1letter"/>
      <w:lvlText w:val="o"/>
      <w:lvlJc w:val="left"/>
      <w:pPr>
        <w:ind w:left="1210" w:hanging="360"/>
      </w:pPr>
      <w:rPr>
        <w:rFonts w:ascii="Courier New" w:hAnsi="Courier New" w:hint="default"/>
      </w:rPr>
    </w:lvl>
    <w:lvl w:ilvl="4" w:tplc="68AA998C">
      <w:start w:val="1"/>
      <w:numFmt w:val="decimal"/>
      <w:pStyle w:val="Point2number"/>
      <w:lvlText w:val="(%5)"/>
      <w:lvlJc w:val="left"/>
      <w:pPr>
        <w:tabs>
          <w:tab w:val="num" w:pos="1984"/>
        </w:tabs>
        <w:ind w:left="1984" w:hanging="567"/>
      </w:pPr>
    </w:lvl>
    <w:lvl w:ilvl="5" w:tplc="2E06E7C4">
      <w:start w:val="1"/>
      <w:numFmt w:val="lowerLetter"/>
      <w:pStyle w:val="Point2letter"/>
      <w:lvlText w:val="(%6)"/>
      <w:lvlJc w:val="left"/>
      <w:pPr>
        <w:tabs>
          <w:tab w:val="num" w:pos="1984"/>
        </w:tabs>
        <w:ind w:left="1984" w:hanging="567"/>
      </w:pPr>
    </w:lvl>
    <w:lvl w:ilvl="6" w:tplc="CCC67D08">
      <w:start w:val="1"/>
      <w:numFmt w:val="decimal"/>
      <w:pStyle w:val="Point3number"/>
      <w:lvlText w:val="(%7)"/>
      <w:lvlJc w:val="left"/>
      <w:pPr>
        <w:tabs>
          <w:tab w:val="num" w:pos="2551"/>
        </w:tabs>
        <w:ind w:left="2551" w:hanging="567"/>
      </w:pPr>
    </w:lvl>
    <w:lvl w:ilvl="7" w:tplc="FF2AAFC2">
      <w:start w:val="1"/>
      <w:numFmt w:val="lowerLetter"/>
      <w:pStyle w:val="Point3letter"/>
      <w:lvlText w:val="(%8)"/>
      <w:lvlJc w:val="left"/>
      <w:pPr>
        <w:tabs>
          <w:tab w:val="num" w:pos="2551"/>
        </w:tabs>
        <w:ind w:left="2551" w:hanging="567"/>
      </w:pPr>
    </w:lvl>
    <w:lvl w:ilvl="8" w:tplc="1CB6F220">
      <w:start w:val="1"/>
      <w:numFmt w:val="lowerLetter"/>
      <w:pStyle w:val="Point4letter"/>
      <w:lvlText w:val="(%9)"/>
      <w:lvlJc w:val="left"/>
      <w:pPr>
        <w:tabs>
          <w:tab w:val="num" w:pos="3118"/>
        </w:tabs>
        <w:ind w:left="3118" w:hanging="567"/>
      </w:pPr>
    </w:lvl>
  </w:abstractNum>
  <w:abstractNum w:abstractNumId="13" w15:restartNumberingAfterBreak="0">
    <w:nsid w:val="1BE2669C"/>
    <w:multiLevelType w:val="multilevel"/>
    <w:tmpl w:val="88CA4D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C7B624F"/>
    <w:multiLevelType w:val="multilevel"/>
    <w:tmpl w:val="9A762ECC"/>
    <w:name w:val="ListDash2Numbering"/>
    <w:lvl w:ilvl="0">
      <w:start w:val="1"/>
      <w:numFmt w:val="bullet"/>
      <w:pStyle w:val="ListDash2"/>
      <w:lvlText w:val="–"/>
      <w:lvlJc w:val="left"/>
      <w:pPr>
        <w:tabs>
          <w:tab w:val="num" w:pos="1724"/>
        </w:tabs>
        <w:ind w:left="1724" w:hanging="284"/>
      </w:pPr>
      <w:rPr>
        <w:rFonts w:ascii="Times New Roman" w:hAnsi="Times New Roman"/>
      </w:rPr>
    </w:lvl>
    <w:lvl w:ilvl="1">
      <w:start w:val="1"/>
      <w:numFmt w:val="bullet"/>
      <w:pStyle w:val="ListDash2Level2"/>
      <w:lvlText w:val="–"/>
      <w:lvlJc w:val="left"/>
      <w:pPr>
        <w:tabs>
          <w:tab w:val="num" w:pos="2007"/>
        </w:tabs>
        <w:ind w:left="2007" w:hanging="283"/>
      </w:pPr>
      <w:rPr>
        <w:rFonts w:ascii="Times New Roman" w:hAnsi="Times New Roman"/>
      </w:rPr>
    </w:lvl>
    <w:lvl w:ilvl="2">
      <w:start w:val="1"/>
      <w:numFmt w:val="bullet"/>
      <w:pStyle w:val="ListDash2Level3"/>
      <w:lvlText w:val="–"/>
      <w:lvlJc w:val="left"/>
      <w:pPr>
        <w:tabs>
          <w:tab w:val="num" w:pos="2291"/>
        </w:tabs>
        <w:ind w:left="2291" w:hanging="284"/>
      </w:pPr>
      <w:rPr>
        <w:rFonts w:ascii="Times New Roman" w:hAnsi="Times New Roman"/>
      </w:rPr>
    </w:lvl>
    <w:lvl w:ilvl="3">
      <w:start w:val="1"/>
      <w:numFmt w:val="bullet"/>
      <w:pStyle w:val="ListDash2Level4"/>
      <w:lvlText w:val="–"/>
      <w:lvlJc w:val="left"/>
      <w:pPr>
        <w:tabs>
          <w:tab w:val="num" w:pos="2574"/>
        </w:tabs>
        <w:ind w:left="2574"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1E281153"/>
    <w:multiLevelType w:val="hybridMultilevel"/>
    <w:tmpl w:val="B5F860A8"/>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6" w15:restartNumberingAfterBreak="0">
    <w:nsid w:val="26D874BF"/>
    <w:multiLevelType w:val="hybridMultilevel"/>
    <w:tmpl w:val="A08CC86A"/>
    <w:lvl w:ilvl="0" w:tplc="D192620A">
      <w:numFmt w:val="bullet"/>
      <w:lvlText w:val="-"/>
      <w:lvlJc w:val="left"/>
      <w:pPr>
        <w:ind w:left="720" w:hanging="360"/>
      </w:pPr>
      <w:rPr>
        <w:rFonts w:ascii="Calibri" w:eastAsiaTheme="minorEastAsia"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9D330EB"/>
    <w:multiLevelType w:val="hybridMultilevel"/>
    <w:tmpl w:val="B3D8E776"/>
    <w:lvl w:ilvl="0" w:tplc="51D4AB18">
      <w:start w:val="1"/>
      <w:numFmt w:val="bullet"/>
      <w:lvlText w:val=""/>
      <w:lvlJc w:val="left"/>
      <w:pPr>
        <w:ind w:left="720" w:hanging="360"/>
      </w:pPr>
      <w:rPr>
        <w:rFonts w:ascii="Symbol" w:hAnsi="Symbol"/>
      </w:rPr>
    </w:lvl>
    <w:lvl w:ilvl="1" w:tplc="2668B730">
      <w:start w:val="1"/>
      <w:numFmt w:val="bullet"/>
      <w:lvlText w:val=""/>
      <w:lvlJc w:val="left"/>
      <w:pPr>
        <w:ind w:left="720" w:hanging="360"/>
      </w:pPr>
      <w:rPr>
        <w:rFonts w:ascii="Symbol" w:hAnsi="Symbol"/>
      </w:rPr>
    </w:lvl>
    <w:lvl w:ilvl="2" w:tplc="3E2CA7F0">
      <w:start w:val="1"/>
      <w:numFmt w:val="bullet"/>
      <w:lvlText w:val=""/>
      <w:lvlJc w:val="left"/>
      <w:pPr>
        <w:ind w:left="720" w:hanging="360"/>
      </w:pPr>
      <w:rPr>
        <w:rFonts w:ascii="Symbol" w:hAnsi="Symbol"/>
      </w:rPr>
    </w:lvl>
    <w:lvl w:ilvl="3" w:tplc="1D86F61E">
      <w:start w:val="1"/>
      <w:numFmt w:val="bullet"/>
      <w:lvlText w:val=""/>
      <w:lvlJc w:val="left"/>
      <w:pPr>
        <w:ind w:left="720" w:hanging="360"/>
      </w:pPr>
      <w:rPr>
        <w:rFonts w:ascii="Symbol" w:hAnsi="Symbol"/>
      </w:rPr>
    </w:lvl>
    <w:lvl w:ilvl="4" w:tplc="6EAAF682">
      <w:start w:val="1"/>
      <w:numFmt w:val="bullet"/>
      <w:lvlText w:val=""/>
      <w:lvlJc w:val="left"/>
      <w:pPr>
        <w:ind w:left="720" w:hanging="360"/>
      </w:pPr>
      <w:rPr>
        <w:rFonts w:ascii="Symbol" w:hAnsi="Symbol"/>
      </w:rPr>
    </w:lvl>
    <w:lvl w:ilvl="5" w:tplc="87CE8F66">
      <w:start w:val="1"/>
      <w:numFmt w:val="bullet"/>
      <w:lvlText w:val=""/>
      <w:lvlJc w:val="left"/>
      <w:pPr>
        <w:ind w:left="720" w:hanging="360"/>
      </w:pPr>
      <w:rPr>
        <w:rFonts w:ascii="Symbol" w:hAnsi="Symbol"/>
      </w:rPr>
    </w:lvl>
    <w:lvl w:ilvl="6" w:tplc="CAEEA968">
      <w:start w:val="1"/>
      <w:numFmt w:val="bullet"/>
      <w:lvlText w:val=""/>
      <w:lvlJc w:val="left"/>
      <w:pPr>
        <w:ind w:left="720" w:hanging="360"/>
      </w:pPr>
      <w:rPr>
        <w:rFonts w:ascii="Symbol" w:hAnsi="Symbol"/>
      </w:rPr>
    </w:lvl>
    <w:lvl w:ilvl="7" w:tplc="78F4BDCE">
      <w:start w:val="1"/>
      <w:numFmt w:val="bullet"/>
      <w:lvlText w:val=""/>
      <w:lvlJc w:val="left"/>
      <w:pPr>
        <w:ind w:left="720" w:hanging="360"/>
      </w:pPr>
      <w:rPr>
        <w:rFonts w:ascii="Symbol" w:hAnsi="Symbol"/>
      </w:rPr>
    </w:lvl>
    <w:lvl w:ilvl="8" w:tplc="0DEA455C">
      <w:start w:val="1"/>
      <w:numFmt w:val="bullet"/>
      <w:lvlText w:val=""/>
      <w:lvlJc w:val="left"/>
      <w:pPr>
        <w:ind w:left="720" w:hanging="360"/>
      </w:pPr>
      <w:rPr>
        <w:rFonts w:ascii="Symbol" w:hAnsi="Symbol"/>
      </w:rPr>
    </w:lvl>
  </w:abstractNum>
  <w:abstractNum w:abstractNumId="18" w15:restartNumberingAfterBreak="0">
    <w:nsid w:val="2C8DFDF8"/>
    <w:multiLevelType w:val="multilevel"/>
    <w:tmpl w:val="B46C2098"/>
    <w:name w:val="ListBullet2Numbering"/>
    <w:lvl w:ilvl="0">
      <w:start w:val="1"/>
      <w:numFmt w:val="bullet"/>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2D293CE3"/>
    <w:multiLevelType w:val="multilevel"/>
    <w:tmpl w:val="C87A8A2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D6BEE57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324F1E"/>
    <w:multiLevelType w:val="multilevel"/>
    <w:tmpl w:val="DB168DA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7CB1E1C"/>
    <w:multiLevelType w:val="multilevel"/>
    <w:tmpl w:val="9B4885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7E16E41"/>
    <w:multiLevelType w:val="hybridMultilevel"/>
    <w:tmpl w:val="99CCCA96"/>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7EC096C"/>
    <w:multiLevelType w:val="hybridMultilevel"/>
    <w:tmpl w:val="4FE42E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A7730C4"/>
    <w:multiLevelType w:val="multilevel"/>
    <w:tmpl w:val="09B47F2A"/>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09B4635"/>
    <w:multiLevelType w:val="hybridMultilevel"/>
    <w:tmpl w:val="42701D74"/>
    <w:lvl w:ilvl="0" w:tplc="512EE544">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29E662A"/>
    <w:multiLevelType w:val="multilevel"/>
    <w:tmpl w:val="9B707CC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33F7B97"/>
    <w:multiLevelType w:val="hybridMultilevel"/>
    <w:tmpl w:val="57500CF0"/>
    <w:lvl w:ilvl="0" w:tplc="91285992">
      <w:start w:val="1"/>
      <w:numFmt w:val="bullet"/>
      <w:lvlText w:val=""/>
      <w:lvlJc w:val="left"/>
      <w:pPr>
        <w:ind w:left="720" w:hanging="360"/>
      </w:pPr>
      <w:rPr>
        <w:rFonts w:ascii="Symbol" w:hAnsi="Symbol"/>
      </w:rPr>
    </w:lvl>
    <w:lvl w:ilvl="1" w:tplc="B5FAA54A">
      <w:start w:val="1"/>
      <w:numFmt w:val="bullet"/>
      <w:lvlText w:val=""/>
      <w:lvlJc w:val="left"/>
      <w:pPr>
        <w:ind w:left="720" w:hanging="360"/>
      </w:pPr>
      <w:rPr>
        <w:rFonts w:ascii="Symbol" w:hAnsi="Symbol"/>
      </w:rPr>
    </w:lvl>
    <w:lvl w:ilvl="2" w:tplc="800002BC">
      <w:start w:val="1"/>
      <w:numFmt w:val="bullet"/>
      <w:lvlText w:val=""/>
      <w:lvlJc w:val="left"/>
      <w:pPr>
        <w:ind w:left="720" w:hanging="360"/>
      </w:pPr>
      <w:rPr>
        <w:rFonts w:ascii="Symbol" w:hAnsi="Symbol"/>
      </w:rPr>
    </w:lvl>
    <w:lvl w:ilvl="3" w:tplc="5DE0BEA4">
      <w:start w:val="1"/>
      <w:numFmt w:val="bullet"/>
      <w:lvlText w:val=""/>
      <w:lvlJc w:val="left"/>
      <w:pPr>
        <w:ind w:left="720" w:hanging="360"/>
      </w:pPr>
      <w:rPr>
        <w:rFonts w:ascii="Symbol" w:hAnsi="Symbol"/>
      </w:rPr>
    </w:lvl>
    <w:lvl w:ilvl="4" w:tplc="39BEA684">
      <w:start w:val="1"/>
      <w:numFmt w:val="bullet"/>
      <w:lvlText w:val=""/>
      <w:lvlJc w:val="left"/>
      <w:pPr>
        <w:ind w:left="720" w:hanging="360"/>
      </w:pPr>
      <w:rPr>
        <w:rFonts w:ascii="Symbol" w:hAnsi="Symbol"/>
      </w:rPr>
    </w:lvl>
    <w:lvl w:ilvl="5" w:tplc="BAD898AC">
      <w:start w:val="1"/>
      <w:numFmt w:val="bullet"/>
      <w:lvlText w:val=""/>
      <w:lvlJc w:val="left"/>
      <w:pPr>
        <w:ind w:left="720" w:hanging="360"/>
      </w:pPr>
      <w:rPr>
        <w:rFonts w:ascii="Symbol" w:hAnsi="Symbol"/>
      </w:rPr>
    </w:lvl>
    <w:lvl w:ilvl="6" w:tplc="6AC8F280">
      <w:start w:val="1"/>
      <w:numFmt w:val="bullet"/>
      <w:lvlText w:val=""/>
      <w:lvlJc w:val="left"/>
      <w:pPr>
        <w:ind w:left="720" w:hanging="360"/>
      </w:pPr>
      <w:rPr>
        <w:rFonts w:ascii="Symbol" w:hAnsi="Symbol"/>
      </w:rPr>
    </w:lvl>
    <w:lvl w:ilvl="7" w:tplc="CD84BABC">
      <w:start w:val="1"/>
      <w:numFmt w:val="bullet"/>
      <w:lvlText w:val=""/>
      <w:lvlJc w:val="left"/>
      <w:pPr>
        <w:ind w:left="720" w:hanging="360"/>
      </w:pPr>
      <w:rPr>
        <w:rFonts w:ascii="Symbol" w:hAnsi="Symbol"/>
      </w:rPr>
    </w:lvl>
    <w:lvl w:ilvl="8" w:tplc="31841336">
      <w:start w:val="1"/>
      <w:numFmt w:val="bullet"/>
      <w:lvlText w:val=""/>
      <w:lvlJc w:val="left"/>
      <w:pPr>
        <w:ind w:left="720" w:hanging="360"/>
      </w:pPr>
      <w:rPr>
        <w:rFonts w:ascii="Symbol" w:hAnsi="Symbol"/>
      </w:rPr>
    </w:lvl>
  </w:abstractNum>
  <w:abstractNum w:abstractNumId="29" w15:restartNumberingAfterBreak="0">
    <w:nsid w:val="48DE223F"/>
    <w:multiLevelType w:val="hybridMultilevel"/>
    <w:tmpl w:val="EC82EB1A"/>
    <w:lvl w:ilvl="0" w:tplc="CB2CF69A">
      <w:start w:val="1"/>
      <w:numFmt w:val="bullet"/>
      <w:lvlText w:val=""/>
      <w:lvlJc w:val="left"/>
      <w:pPr>
        <w:ind w:left="720" w:hanging="360"/>
      </w:pPr>
      <w:rPr>
        <w:rFonts w:ascii="Symbol" w:hAnsi="Symbol"/>
      </w:rPr>
    </w:lvl>
    <w:lvl w:ilvl="1" w:tplc="18A60ACA">
      <w:start w:val="1"/>
      <w:numFmt w:val="bullet"/>
      <w:lvlText w:val=""/>
      <w:lvlJc w:val="left"/>
      <w:pPr>
        <w:ind w:left="720" w:hanging="360"/>
      </w:pPr>
      <w:rPr>
        <w:rFonts w:ascii="Symbol" w:hAnsi="Symbol"/>
      </w:rPr>
    </w:lvl>
    <w:lvl w:ilvl="2" w:tplc="25E40816">
      <w:start w:val="1"/>
      <w:numFmt w:val="bullet"/>
      <w:lvlText w:val=""/>
      <w:lvlJc w:val="left"/>
      <w:pPr>
        <w:ind w:left="720" w:hanging="360"/>
      </w:pPr>
      <w:rPr>
        <w:rFonts w:ascii="Symbol" w:hAnsi="Symbol"/>
      </w:rPr>
    </w:lvl>
    <w:lvl w:ilvl="3" w:tplc="84D66E9A">
      <w:start w:val="1"/>
      <w:numFmt w:val="bullet"/>
      <w:lvlText w:val=""/>
      <w:lvlJc w:val="left"/>
      <w:pPr>
        <w:ind w:left="720" w:hanging="360"/>
      </w:pPr>
      <w:rPr>
        <w:rFonts w:ascii="Symbol" w:hAnsi="Symbol"/>
      </w:rPr>
    </w:lvl>
    <w:lvl w:ilvl="4" w:tplc="A1047DA4">
      <w:start w:val="1"/>
      <w:numFmt w:val="bullet"/>
      <w:lvlText w:val=""/>
      <w:lvlJc w:val="left"/>
      <w:pPr>
        <w:ind w:left="720" w:hanging="360"/>
      </w:pPr>
      <w:rPr>
        <w:rFonts w:ascii="Symbol" w:hAnsi="Symbol"/>
      </w:rPr>
    </w:lvl>
    <w:lvl w:ilvl="5" w:tplc="8582547C">
      <w:start w:val="1"/>
      <w:numFmt w:val="bullet"/>
      <w:lvlText w:val=""/>
      <w:lvlJc w:val="left"/>
      <w:pPr>
        <w:ind w:left="720" w:hanging="360"/>
      </w:pPr>
      <w:rPr>
        <w:rFonts w:ascii="Symbol" w:hAnsi="Symbol"/>
      </w:rPr>
    </w:lvl>
    <w:lvl w:ilvl="6" w:tplc="A664F9E6">
      <w:start w:val="1"/>
      <w:numFmt w:val="bullet"/>
      <w:lvlText w:val=""/>
      <w:lvlJc w:val="left"/>
      <w:pPr>
        <w:ind w:left="720" w:hanging="360"/>
      </w:pPr>
      <w:rPr>
        <w:rFonts w:ascii="Symbol" w:hAnsi="Symbol"/>
      </w:rPr>
    </w:lvl>
    <w:lvl w:ilvl="7" w:tplc="ADF04F82">
      <w:start w:val="1"/>
      <w:numFmt w:val="bullet"/>
      <w:lvlText w:val=""/>
      <w:lvlJc w:val="left"/>
      <w:pPr>
        <w:ind w:left="720" w:hanging="360"/>
      </w:pPr>
      <w:rPr>
        <w:rFonts w:ascii="Symbol" w:hAnsi="Symbol"/>
      </w:rPr>
    </w:lvl>
    <w:lvl w:ilvl="8" w:tplc="A168A5C2">
      <w:start w:val="1"/>
      <w:numFmt w:val="bullet"/>
      <w:lvlText w:val=""/>
      <w:lvlJc w:val="left"/>
      <w:pPr>
        <w:ind w:left="720" w:hanging="360"/>
      </w:pPr>
      <w:rPr>
        <w:rFonts w:ascii="Symbol" w:hAnsi="Symbol"/>
      </w:rPr>
    </w:lvl>
  </w:abstractNum>
  <w:abstractNum w:abstractNumId="30" w15:restartNumberingAfterBreak="0">
    <w:nsid w:val="4D951759"/>
    <w:multiLevelType w:val="hybridMultilevel"/>
    <w:tmpl w:val="422ACD18"/>
    <w:lvl w:ilvl="0" w:tplc="18090001">
      <w:start w:val="1"/>
      <w:numFmt w:val="bullet"/>
      <w:lvlText w:val=""/>
      <w:lvlJc w:val="left"/>
      <w:pPr>
        <w:ind w:left="720" w:hanging="360"/>
      </w:pPr>
      <w:rPr>
        <w:rFonts w:ascii="Symbol" w:hAnsi="Symbol" w:hint="default"/>
      </w:rPr>
    </w:lvl>
    <w:lvl w:ilvl="1" w:tplc="3228B35C">
      <w:start w:val="1"/>
      <w:numFmt w:val="bullet"/>
      <w:lvlText w:val="-"/>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E1A63DF"/>
    <w:multiLevelType w:val="multilevel"/>
    <w:tmpl w:val="11703EA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E1A982C"/>
    <w:multiLevelType w:val="multilevel"/>
    <w:tmpl w:val="4AEE0B4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619B"/>
    <w:multiLevelType w:val="multilevel"/>
    <w:tmpl w:val="5854114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327C1E1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2210A1D"/>
    <w:multiLevelType w:val="hybridMultilevel"/>
    <w:tmpl w:val="7DE085E8"/>
    <w:lvl w:ilvl="0" w:tplc="7F847BAC">
      <w:start w:val="1"/>
      <w:numFmt w:val="bullet"/>
      <w:lvlText w:val=""/>
      <w:lvlJc w:val="left"/>
      <w:pPr>
        <w:ind w:left="720" w:hanging="360"/>
      </w:pPr>
      <w:rPr>
        <w:rFonts w:ascii="Symbol" w:hAnsi="Symbol"/>
      </w:rPr>
    </w:lvl>
    <w:lvl w:ilvl="1" w:tplc="027A3F36">
      <w:start w:val="1"/>
      <w:numFmt w:val="bullet"/>
      <w:lvlText w:val=""/>
      <w:lvlJc w:val="left"/>
      <w:pPr>
        <w:ind w:left="720" w:hanging="360"/>
      </w:pPr>
      <w:rPr>
        <w:rFonts w:ascii="Symbol" w:hAnsi="Symbol"/>
      </w:rPr>
    </w:lvl>
    <w:lvl w:ilvl="2" w:tplc="6F408552">
      <w:start w:val="1"/>
      <w:numFmt w:val="bullet"/>
      <w:lvlText w:val=""/>
      <w:lvlJc w:val="left"/>
      <w:pPr>
        <w:ind w:left="720" w:hanging="360"/>
      </w:pPr>
      <w:rPr>
        <w:rFonts w:ascii="Symbol" w:hAnsi="Symbol"/>
      </w:rPr>
    </w:lvl>
    <w:lvl w:ilvl="3" w:tplc="28B898C4">
      <w:start w:val="1"/>
      <w:numFmt w:val="bullet"/>
      <w:lvlText w:val=""/>
      <w:lvlJc w:val="left"/>
      <w:pPr>
        <w:ind w:left="720" w:hanging="360"/>
      </w:pPr>
      <w:rPr>
        <w:rFonts w:ascii="Symbol" w:hAnsi="Symbol"/>
      </w:rPr>
    </w:lvl>
    <w:lvl w:ilvl="4" w:tplc="2BE2D2AC">
      <w:start w:val="1"/>
      <w:numFmt w:val="bullet"/>
      <w:lvlText w:val=""/>
      <w:lvlJc w:val="left"/>
      <w:pPr>
        <w:ind w:left="720" w:hanging="360"/>
      </w:pPr>
      <w:rPr>
        <w:rFonts w:ascii="Symbol" w:hAnsi="Symbol"/>
      </w:rPr>
    </w:lvl>
    <w:lvl w:ilvl="5" w:tplc="C3AC32B2">
      <w:start w:val="1"/>
      <w:numFmt w:val="bullet"/>
      <w:lvlText w:val=""/>
      <w:lvlJc w:val="left"/>
      <w:pPr>
        <w:ind w:left="720" w:hanging="360"/>
      </w:pPr>
      <w:rPr>
        <w:rFonts w:ascii="Symbol" w:hAnsi="Symbol"/>
      </w:rPr>
    </w:lvl>
    <w:lvl w:ilvl="6" w:tplc="54AA9218">
      <w:start w:val="1"/>
      <w:numFmt w:val="bullet"/>
      <w:lvlText w:val=""/>
      <w:lvlJc w:val="left"/>
      <w:pPr>
        <w:ind w:left="720" w:hanging="360"/>
      </w:pPr>
      <w:rPr>
        <w:rFonts w:ascii="Symbol" w:hAnsi="Symbol"/>
      </w:rPr>
    </w:lvl>
    <w:lvl w:ilvl="7" w:tplc="3B407186">
      <w:start w:val="1"/>
      <w:numFmt w:val="bullet"/>
      <w:lvlText w:val=""/>
      <w:lvlJc w:val="left"/>
      <w:pPr>
        <w:ind w:left="720" w:hanging="360"/>
      </w:pPr>
      <w:rPr>
        <w:rFonts w:ascii="Symbol" w:hAnsi="Symbol"/>
      </w:rPr>
    </w:lvl>
    <w:lvl w:ilvl="8" w:tplc="7C5AF1E2">
      <w:start w:val="1"/>
      <w:numFmt w:val="bullet"/>
      <w:lvlText w:val=""/>
      <w:lvlJc w:val="left"/>
      <w:pPr>
        <w:ind w:left="720" w:hanging="360"/>
      </w:pPr>
      <w:rPr>
        <w:rFonts w:ascii="Symbol" w:hAnsi="Symbol"/>
      </w:rPr>
    </w:lvl>
  </w:abstractNum>
  <w:abstractNum w:abstractNumId="36" w15:restartNumberingAfterBreak="0">
    <w:nsid w:val="58002EF9"/>
    <w:multiLevelType w:val="hybridMultilevel"/>
    <w:tmpl w:val="C8027822"/>
    <w:lvl w:ilvl="0" w:tplc="628E4880">
      <w:numFmt w:val="bullet"/>
      <w:lvlText w:val="-"/>
      <w:lvlJc w:val="left"/>
      <w:pPr>
        <w:ind w:left="720" w:hanging="360"/>
      </w:pPr>
      <w:rPr>
        <w:rFonts w:ascii="Times New Roman" w:eastAsia="Times New Roman"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B527E8"/>
    <w:multiLevelType w:val="hybridMultilevel"/>
    <w:tmpl w:val="B80091A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627319DE"/>
    <w:multiLevelType w:val="hybridMultilevel"/>
    <w:tmpl w:val="C0923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977472E"/>
    <w:multiLevelType w:val="multilevel"/>
    <w:tmpl w:val="BE5A3D6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6EBC6A9E"/>
    <w:multiLevelType w:val="hybridMultilevel"/>
    <w:tmpl w:val="67C09B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8A4247"/>
    <w:multiLevelType w:val="hybridMultilevel"/>
    <w:tmpl w:val="89FE4690"/>
    <w:lvl w:ilvl="0" w:tplc="18090001">
      <w:start w:val="1"/>
      <w:numFmt w:val="bullet"/>
      <w:lvlText w:val=""/>
      <w:lvlJc w:val="left"/>
      <w:pPr>
        <w:ind w:left="107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C65145E"/>
    <w:multiLevelType w:val="multilevel"/>
    <w:tmpl w:val="A74482F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4422"/>
        </w:tabs>
        <w:ind w:left="4422" w:hanging="595"/>
      </w:pPr>
      <w:rPr>
        <w:b/>
        <w:bCs w:val="0"/>
      </w:rPr>
    </w:lvl>
    <w:lvl w:ilvl="2">
      <w:start w:val="1"/>
      <w:numFmt w:val="decimal"/>
      <w:pStyle w:val="Heading3"/>
      <w:lvlText w:val="%1.%2.%3."/>
      <w:lvlJc w:val="left"/>
      <w:pPr>
        <w:tabs>
          <w:tab w:val="num" w:pos="1838"/>
        </w:tabs>
        <w:ind w:left="1838" w:hanging="845"/>
      </w:pPr>
    </w:lvl>
    <w:lvl w:ilvl="3">
      <w:start w:val="1"/>
      <w:numFmt w:val="decimal"/>
      <w:pStyle w:val="Heading4"/>
      <w:lvlText w:val="%1.%2.%3.%4."/>
      <w:lvlJc w:val="left"/>
      <w:pPr>
        <w:tabs>
          <w:tab w:val="num" w:pos="958"/>
        </w:tabs>
        <w:ind w:left="958"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3"/>
  </w:num>
  <w:num w:numId="3">
    <w:abstractNumId w:val="21"/>
  </w:num>
  <w:num w:numId="4">
    <w:abstractNumId w:val="14"/>
  </w:num>
  <w:num w:numId="5">
    <w:abstractNumId w:val="22"/>
  </w:num>
  <w:num w:numId="6">
    <w:abstractNumId w:val="33"/>
  </w:num>
  <w:num w:numId="7">
    <w:abstractNumId w:val="39"/>
  </w:num>
  <w:num w:numId="8">
    <w:abstractNumId w:val="4"/>
  </w:num>
  <w:num w:numId="9">
    <w:abstractNumId w:val="11"/>
  </w:num>
  <w:num w:numId="10">
    <w:abstractNumId w:val="27"/>
  </w:num>
  <w:num w:numId="11">
    <w:abstractNumId w:val="5"/>
  </w:num>
  <w:num w:numId="12">
    <w:abstractNumId w:val="7"/>
  </w:num>
  <w:num w:numId="13">
    <w:abstractNumId w:val="8"/>
  </w:num>
  <w:num w:numId="14">
    <w:abstractNumId w:val="18"/>
  </w:num>
  <w:num w:numId="15">
    <w:abstractNumId w:val="32"/>
  </w:num>
  <w:num w:numId="16">
    <w:abstractNumId w:val="42"/>
  </w:num>
  <w:num w:numId="17">
    <w:abstractNumId w:val="19"/>
  </w:num>
  <w:num w:numId="18">
    <w:abstractNumId w:val="20"/>
  </w:num>
  <w:num w:numId="19">
    <w:abstractNumId w:val="43"/>
  </w:num>
  <w:num w:numId="20">
    <w:abstractNumId w:val="31"/>
  </w:num>
  <w:num w:numId="21">
    <w:abstractNumId w:val="34"/>
  </w:num>
  <w:num w:numId="22">
    <w:abstractNumId w:val="6"/>
  </w:num>
  <w:num w:numId="23">
    <w:abstractNumId w:val="0"/>
  </w:num>
  <w:num w:numId="24">
    <w:abstractNumId w:val="30"/>
  </w:num>
  <w:num w:numId="25">
    <w:abstractNumId w:val="12"/>
  </w:num>
  <w:num w:numId="26">
    <w:abstractNumId w:val="9"/>
  </w:num>
  <w:num w:numId="27">
    <w:abstractNumId w:val="16"/>
  </w:num>
  <w:num w:numId="28">
    <w:abstractNumId w:val="41"/>
  </w:num>
  <w:num w:numId="29">
    <w:abstractNumId w:val="38"/>
  </w:num>
  <w:num w:numId="30">
    <w:abstractNumId w:val="40"/>
  </w:num>
  <w:num w:numId="31">
    <w:abstractNumId w:val="23"/>
  </w:num>
  <w:num w:numId="32">
    <w:abstractNumId w:val="36"/>
  </w:num>
  <w:num w:numId="33">
    <w:abstractNumId w:val="24"/>
  </w:num>
  <w:num w:numId="34">
    <w:abstractNumId w:val="15"/>
  </w:num>
  <w:num w:numId="35">
    <w:abstractNumId w:val="10"/>
  </w:num>
  <w:num w:numId="36">
    <w:abstractNumId w:val="17"/>
  </w:num>
  <w:num w:numId="37">
    <w:abstractNumId w:val="35"/>
  </w:num>
  <w:num w:numId="38">
    <w:abstractNumId w:val="24"/>
  </w:num>
  <w:num w:numId="39">
    <w:abstractNumId w:val="38"/>
  </w:num>
  <w:num w:numId="40">
    <w:abstractNumId w:val="28"/>
  </w:num>
  <w:num w:numId="41">
    <w:abstractNumId w:val="42"/>
  </w:num>
  <w:num w:numId="42">
    <w:abstractNumId w:val="42"/>
  </w:num>
  <w:num w:numId="43">
    <w:abstractNumId w:val="26"/>
  </w:num>
  <w:num w:numId="44">
    <w:abstractNumId w:val="1"/>
  </w:num>
  <w:num w:numId="45">
    <w:abstractNumId w:val="37"/>
  </w:num>
  <w:num w:numId="46">
    <w:abstractNumId w:val="42"/>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 w:numId="49">
    <w:abstractNumId w:val="29"/>
  </w:num>
  <w:num w:numId="50">
    <w:abstractNumId w:val="2"/>
  </w:num>
  <w:num w:numId="51">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2"/>
  </w:compat>
  <w:docVars>
    <w:docVar w:name="DocStatus" w:val="Green"/>
    <w:docVar w:name="LW_CORRIGENDUM" w:val="&lt;UNUSED&gt;"/>
    <w:docVar w:name="LW_COVERPAGE_EXISTS" w:val="True"/>
    <w:docVar w:name="LW_COVERPAGE_GUID" w:val="52DE17AC-CA9F-4173-B38F-9B09031DA388"/>
    <w:docVar w:name="LW_COVERPAGE_TYPE" w:val="1"/>
    <w:docVar w:name="LW_CROSSREFERENCE" w:val="&lt;UNUSED&gt;"/>
    <w:docVar w:name="LW_DocType" w:val="2F66B31C8E4040D3A31A02365B7BEAF1"/>
    <w:docVar w:name="LW_EMISSION" w:val="24.10.2023"/>
    <w:docVar w:name="LW_EMISSION_ISODATE" w:val="2023-10-24"/>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médier aux pénuries de médicaments dans l’UE _x000b__x000b_"/>
    <w:docVar w:name="LW_TYPE.DOC.CP" w:val="COMMUNICATION DE LA COMMISSION"/>
    <w:docVar w:name="LW_TYPE.DOC.CP.USERTEXT" w:val="_x000b_AU PARLEMENT EUROPÉEN, AU CONSEIL,  AU COMITÉ ÉCONOMIQUE ET SOCIAL EUROPÉEN ET AU COMITÉ DES RÉGIONS "/>
    <w:docVar w:name="LwApiVersions" w:val="LW4CoDe 1.23.2.0; LW 8.0, Build 20211117"/>
  </w:docVars>
  <w:rsids>
    <w:rsidRoot w:val="00AA68AE"/>
    <w:rsid w:val="00000032"/>
    <w:rsid w:val="0000017E"/>
    <w:rsid w:val="0000031C"/>
    <w:rsid w:val="0000037B"/>
    <w:rsid w:val="000003BE"/>
    <w:rsid w:val="000003C9"/>
    <w:rsid w:val="00000478"/>
    <w:rsid w:val="000005B9"/>
    <w:rsid w:val="00000602"/>
    <w:rsid w:val="00000AB0"/>
    <w:rsid w:val="00000B9F"/>
    <w:rsid w:val="00000BD1"/>
    <w:rsid w:val="00000F1D"/>
    <w:rsid w:val="00000F70"/>
    <w:rsid w:val="000010F0"/>
    <w:rsid w:val="000011FF"/>
    <w:rsid w:val="00001389"/>
    <w:rsid w:val="0000147D"/>
    <w:rsid w:val="00001491"/>
    <w:rsid w:val="000014CC"/>
    <w:rsid w:val="0000166B"/>
    <w:rsid w:val="0000174D"/>
    <w:rsid w:val="00001956"/>
    <w:rsid w:val="00001B94"/>
    <w:rsid w:val="00001BD3"/>
    <w:rsid w:val="00001CB2"/>
    <w:rsid w:val="00001D4B"/>
    <w:rsid w:val="00001EFB"/>
    <w:rsid w:val="00001FB6"/>
    <w:rsid w:val="00001FF5"/>
    <w:rsid w:val="00002042"/>
    <w:rsid w:val="00002095"/>
    <w:rsid w:val="000020D8"/>
    <w:rsid w:val="0000217D"/>
    <w:rsid w:val="000024D7"/>
    <w:rsid w:val="00002633"/>
    <w:rsid w:val="00002714"/>
    <w:rsid w:val="000027A7"/>
    <w:rsid w:val="000027F2"/>
    <w:rsid w:val="00002A31"/>
    <w:rsid w:val="00002A53"/>
    <w:rsid w:val="00002E9B"/>
    <w:rsid w:val="00002F39"/>
    <w:rsid w:val="0000304C"/>
    <w:rsid w:val="000031C4"/>
    <w:rsid w:val="000031E3"/>
    <w:rsid w:val="00003418"/>
    <w:rsid w:val="000035A1"/>
    <w:rsid w:val="0000377B"/>
    <w:rsid w:val="00003787"/>
    <w:rsid w:val="00003838"/>
    <w:rsid w:val="0000394C"/>
    <w:rsid w:val="000039A2"/>
    <w:rsid w:val="000039C7"/>
    <w:rsid w:val="00003AD0"/>
    <w:rsid w:val="00003B35"/>
    <w:rsid w:val="0000410C"/>
    <w:rsid w:val="00004153"/>
    <w:rsid w:val="000042AD"/>
    <w:rsid w:val="000046FB"/>
    <w:rsid w:val="0000491E"/>
    <w:rsid w:val="000049B0"/>
    <w:rsid w:val="00004A24"/>
    <w:rsid w:val="00004ACB"/>
    <w:rsid w:val="00004B5A"/>
    <w:rsid w:val="00004F3B"/>
    <w:rsid w:val="00004F84"/>
    <w:rsid w:val="0000501C"/>
    <w:rsid w:val="0000545F"/>
    <w:rsid w:val="000055B0"/>
    <w:rsid w:val="000057F9"/>
    <w:rsid w:val="0000587C"/>
    <w:rsid w:val="00005904"/>
    <w:rsid w:val="00005B58"/>
    <w:rsid w:val="00005BCA"/>
    <w:rsid w:val="00005BEF"/>
    <w:rsid w:val="00005C8F"/>
    <w:rsid w:val="00005FD6"/>
    <w:rsid w:val="00006288"/>
    <w:rsid w:val="00006574"/>
    <w:rsid w:val="000067EE"/>
    <w:rsid w:val="000068A0"/>
    <w:rsid w:val="000068B2"/>
    <w:rsid w:val="00006A27"/>
    <w:rsid w:val="00006BCF"/>
    <w:rsid w:val="00006C76"/>
    <w:rsid w:val="00006CCF"/>
    <w:rsid w:val="00006D23"/>
    <w:rsid w:val="00006EB5"/>
    <w:rsid w:val="0000702C"/>
    <w:rsid w:val="000073D6"/>
    <w:rsid w:val="00007824"/>
    <w:rsid w:val="00007A1D"/>
    <w:rsid w:val="00007C54"/>
    <w:rsid w:val="00007D74"/>
    <w:rsid w:val="00007DE2"/>
    <w:rsid w:val="00007EDC"/>
    <w:rsid w:val="00007F96"/>
    <w:rsid w:val="0001015C"/>
    <w:rsid w:val="00010260"/>
    <w:rsid w:val="000102D7"/>
    <w:rsid w:val="000103CB"/>
    <w:rsid w:val="000103FA"/>
    <w:rsid w:val="00010493"/>
    <w:rsid w:val="000108BA"/>
    <w:rsid w:val="000108DA"/>
    <w:rsid w:val="0001092A"/>
    <w:rsid w:val="0001098A"/>
    <w:rsid w:val="00010B3D"/>
    <w:rsid w:val="00010D93"/>
    <w:rsid w:val="00010F98"/>
    <w:rsid w:val="00010FFA"/>
    <w:rsid w:val="00011002"/>
    <w:rsid w:val="0001120A"/>
    <w:rsid w:val="0001121B"/>
    <w:rsid w:val="000113FC"/>
    <w:rsid w:val="00011556"/>
    <w:rsid w:val="000116BF"/>
    <w:rsid w:val="00011C98"/>
    <w:rsid w:val="00011CFF"/>
    <w:rsid w:val="000122AD"/>
    <w:rsid w:val="00012313"/>
    <w:rsid w:val="00012433"/>
    <w:rsid w:val="00012686"/>
    <w:rsid w:val="00012759"/>
    <w:rsid w:val="0001291C"/>
    <w:rsid w:val="000129AF"/>
    <w:rsid w:val="000129B2"/>
    <w:rsid w:val="00012BEF"/>
    <w:rsid w:val="00012C9A"/>
    <w:rsid w:val="00012F1E"/>
    <w:rsid w:val="00012FD8"/>
    <w:rsid w:val="00013047"/>
    <w:rsid w:val="000133A7"/>
    <w:rsid w:val="000134C7"/>
    <w:rsid w:val="00013576"/>
    <w:rsid w:val="0001374E"/>
    <w:rsid w:val="000138C0"/>
    <w:rsid w:val="0001390F"/>
    <w:rsid w:val="000139D8"/>
    <w:rsid w:val="00013B47"/>
    <w:rsid w:val="00013B82"/>
    <w:rsid w:val="00013CDC"/>
    <w:rsid w:val="00013DA3"/>
    <w:rsid w:val="00013DF8"/>
    <w:rsid w:val="00013E7C"/>
    <w:rsid w:val="00013EA1"/>
    <w:rsid w:val="00013F28"/>
    <w:rsid w:val="00013F68"/>
    <w:rsid w:val="00013FC2"/>
    <w:rsid w:val="00014002"/>
    <w:rsid w:val="0001406B"/>
    <w:rsid w:val="000140A9"/>
    <w:rsid w:val="000140F0"/>
    <w:rsid w:val="00014236"/>
    <w:rsid w:val="0001430C"/>
    <w:rsid w:val="00014357"/>
    <w:rsid w:val="0001448A"/>
    <w:rsid w:val="0001459F"/>
    <w:rsid w:val="0001479F"/>
    <w:rsid w:val="00014927"/>
    <w:rsid w:val="00014A90"/>
    <w:rsid w:val="00014BA3"/>
    <w:rsid w:val="00014DEF"/>
    <w:rsid w:val="00014E9A"/>
    <w:rsid w:val="00015047"/>
    <w:rsid w:val="000150D8"/>
    <w:rsid w:val="00015277"/>
    <w:rsid w:val="00015286"/>
    <w:rsid w:val="000152E7"/>
    <w:rsid w:val="00015317"/>
    <w:rsid w:val="0001547A"/>
    <w:rsid w:val="00015518"/>
    <w:rsid w:val="0001579C"/>
    <w:rsid w:val="0001589A"/>
    <w:rsid w:val="00015926"/>
    <w:rsid w:val="000159AE"/>
    <w:rsid w:val="00015A71"/>
    <w:rsid w:val="00015A93"/>
    <w:rsid w:val="00015BD5"/>
    <w:rsid w:val="00015CA4"/>
    <w:rsid w:val="00015CEA"/>
    <w:rsid w:val="00015EC2"/>
    <w:rsid w:val="00015FB3"/>
    <w:rsid w:val="0001606C"/>
    <w:rsid w:val="00016305"/>
    <w:rsid w:val="00016577"/>
    <w:rsid w:val="0001660B"/>
    <w:rsid w:val="0001666A"/>
    <w:rsid w:val="000168A0"/>
    <w:rsid w:val="000168BE"/>
    <w:rsid w:val="000168C3"/>
    <w:rsid w:val="00016B74"/>
    <w:rsid w:val="00016C4B"/>
    <w:rsid w:val="00016C77"/>
    <w:rsid w:val="00016FF8"/>
    <w:rsid w:val="00017016"/>
    <w:rsid w:val="00017072"/>
    <w:rsid w:val="0001728E"/>
    <w:rsid w:val="00017332"/>
    <w:rsid w:val="000178C8"/>
    <w:rsid w:val="00017974"/>
    <w:rsid w:val="00017A21"/>
    <w:rsid w:val="00017AC9"/>
    <w:rsid w:val="00017C51"/>
    <w:rsid w:val="00017C68"/>
    <w:rsid w:val="00017E52"/>
    <w:rsid w:val="00020297"/>
    <w:rsid w:val="000202C1"/>
    <w:rsid w:val="0002043F"/>
    <w:rsid w:val="0002047B"/>
    <w:rsid w:val="000204C0"/>
    <w:rsid w:val="00020981"/>
    <w:rsid w:val="00020CC0"/>
    <w:rsid w:val="00020D75"/>
    <w:rsid w:val="00020D7A"/>
    <w:rsid w:val="00020F6C"/>
    <w:rsid w:val="0002158E"/>
    <w:rsid w:val="00021734"/>
    <w:rsid w:val="0002177E"/>
    <w:rsid w:val="00021918"/>
    <w:rsid w:val="0002193E"/>
    <w:rsid w:val="00021976"/>
    <w:rsid w:val="00021A9F"/>
    <w:rsid w:val="00021AB3"/>
    <w:rsid w:val="00021F32"/>
    <w:rsid w:val="0002205E"/>
    <w:rsid w:val="00022487"/>
    <w:rsid w:val="000224AC"/>
    <w:rsid w:val="00022886"/>
    <w:rsid w:val="00022895"/>
    <w:rsid w:val="000229AF"/>
    <w:rsid w:val="00022ADF"/>
    <w:rsid w:val="00022CD9"/>
    <w:rsid w:val="000230EF"/>
    <w:rsid w:val="0002311F"/>
    <w:rsid w:val="000231D5"/>
    <w:rsid w:val="00023207"/>
    <w:rsid w:val="00023277"/>
    <w:rsid w:val="0002331E"/>
    <w:rsid w:val="0002340D"/>
    <w:rsid w:val="000234A3"/>
    <w:rsid w:val="00023551"/>
    <w:rsid w:val="00023619"/>
    <w:rsid w:val="0002382E"/>
    <w:rsid w:val="000238D0"/>
    <w:rsid w:val="000239B9"/>
    <w:rsid w:val="00023C31"/>
    <w:rsid w:val="00023D27"/>
    <w:rsid w:val="00023D3B"/>
    <w:rsid w:val="00023FD7"/>
    <w:rsid w:val="000240B6"/>
    <w:rsid w:val="000241D4"/>
    <w:rsid w:val="00024217"/>
    <w:rsid w:val="00024386"/>
    <w:rsid w:val="0002440F"/>
    <w:rsid w:val="000246F7"/>
    <w:rsid w:val="00024884"/>
    <w:rsid w:val="00024E1B"/>
    <w:rsid w:val="00024E87"/>
    <w:rsid w:val="00024EAB"/>
    <w:rsid w:val="00024F4B"/>
    <w:rsid w:val="00025514"/>
    <w:rsid w:val="00025541"/>
    <w:rsid w:val="00025582"/>
    <w:rsid w:val="0002566F"/>
    <w:rsid w:val="0002577F"/>
    <w:rsid w:val="000257B3"/>
    <w:rsid w:val="000257D3"/>
    <w:rsid w:val="0002580A"/>
    <w:rsid w:val="0002584D"/>
    <w:rsid w:val="0002595B"/>
    <w:rsid w:val="000259DF"/>
    <w:rsid w:val="00025A6F"/>
    <w:rsid w:val="00025C46"/>
    <w:rsid w:val="00025CFD"/>
    <w:rsid w:val="00025D08"/>
    <w:rsid w:val="00025D62"/>
    <w:rsid w:val="00025FA0"/>
    <w:rsid w:val="000261BA"/>
    <w:rsid w:val="000261C4"/>
    <w:rsid w:val="00026357"/>
    <w:rsid w:val="0002644E"/>
    <w:rsid w:val="0002672E"/>
    <w:rsid w:val="0002683D"/>
    <w:rsid w:val="00026951"/>
    <w:rsid w:val="0002696B"/>
    <w:rsid w:val="000269E5"/>
    <w:rsid w:val="00026D9A"/>
    <w:rsid w:val="00026ED6"/>
    <w:rsid w:val="000271D4"/>
    <w:rsid w:val="000272A2"/>
    <w:rsid w:val="000274DB"/>
    <w:rsid w:val="0002754A"/>
    <w:rsid w:val="000276F3"/>
    <w:rsid w:val="00027718"/>
    <w:rsid w:val="000277E5"/>
    <w:rsid w:val="0002794C"/>
    <w:rsid w:val="00027A88"/>
    <w:rsid w:val="00027D3B"/>
    <w:rsid w:val="00027DA2"/>
    <w:rsid w:val="00027F72"/>
    <w:rsid w:val="0003001A"/>
    <w:rsid w:val="00030318"/>
    <w:rsid w:val="00030615"/>
    <w:rsid w:val="000306F1"/>
    <w:rsid w:val="00030704"/>
    <w:rsid w:val="00030C2B"/>
    <w:rsid w:val="00030DA6"/>
    <w:rsid w:val="0003100B"/>
    <w:rsid w:val="00031012"/>
    <w:rsid w:val="000310B8"/>
    <w:rsid w:val="0003118B"/>
    <w:rsid w:val="00031234"/>
    <w:rsid w:val="00031339"/>
    <w:rsid w:val="0003139A"/>
    <w:rsid w:val="000313D6"/>
    <w:rsid w:val="00031429"/>
    <w:rsid w:val="0003156A"/>
    <w:rsid w:val="00031577"/>
    <w:rsid w:val="00031619"/>
    <w:rsid w:val="0003178F"/>
    <w:rsid w:val="00031B20"/>
    <w:rsid w:val="00031C5B"/>
    <w:rsid w:val="00031D6C"/>
    <w:rsid w:val="00031D93"/>
    <w:rsid w:val="00031E9B"/>
    <w:rsid w:val="000321C7"/>
    <w:rsid w:val="000321E9"/>
    <w:rsid w:val="000323E4"/>
    <w:rsid w:val="00032572"/>
    <w:rsid w:val="000325A1"/>
    <w:rsid w:val="000327C6"/>
    <w:rsid w:val="000329A9"/>
    <w:rsid w:val="000329C4"/>
    <w:rsid w:val="00032B0F"/>
    <w:rsid w:val="00032BEA"/>
    <w:rsid w:val="00032F80"/>
    <w:rsid w:val="00032FCC"/>
    <w:rsid w:val="0003367E"/>
    <w:rsid w:val="000336FB"/>
    <w:rsid w:val="000339F4"/>
    <w:rsid w:val="00033A08"/>
    <w:rsid w:val="00033AF2"/>
    <w:rsid w:val="00033D01"/>
    <w:rsid w:val="00033DDA"/>
    <w:rsid w:val="00033EEF"/>
    <w:rsid w:val="00033F09"/>
    <w:rsid w:val="0003407E"/>
    <w:rsid w:val="000343CA"/>
    <w:rsid w:val="00034B17"/>
    <w:rsid w:val="00034C53"/>
    <w:rsid w:val="00034E1A"/>
    <w:rsid w:val="00035087"/>
    <w:rsid w:val="00035089"/>
    <w:rsid w:val="000355F1"/>
    <w:rsid w:val="00035627"/>
    <w:rsid w:val="000359AF"/>
    <w:rsid w:val="00035A9E"/>
    <w:rsid w:val="00035AD8"/>
    <w:rsid w:val="00035BEF"/>
    <w:rsid w:val="00035BF9"/>
    <w:rsid w:val="00035E48"/>
    <w:rsid w:val="00035F85"/>
    <w:rsid w:val="000363DF"/>
    <w:rsid w:val="00036439"/>
    <w:rsid w:val="000364D8"/>
    <w:rsid w:val="0003662C"/>
    <w:rsid w:val="00036931"/>
    <w:rsid w:val="00036A09"/>
    <w:rsid w:val="00036C7B"/>
    <w:rsid w:val="00036D37"/>
    <w:rsid w:val="00036F69"/>
    <w:rsid w:val="00037481"/>
    <w:rsid w:val="000374E5"/>
    <w:rsid w:val="0003777E"/>
    <w:rsid w:val="000377B1"/>
    <w:rsid w:val="00037862"/>
    <w:rsid w:val="00037A46"/>
    <w:rsid w:val="00037B79"/>
    <w:rsid w:val="00037CAC"/>
    <w:rsid w:val="00037DBA"/>
    <w:rsid w:val="00040011"/>
    <w:rsid w:val="00040184"/>
    <w:rsid w:val="00040522"/>
    <w:rsid w:val="000407CF"/>
    <w:rsid w:val="00040AA0"/>
    <w:rsid w:val="00040B27"/>
    <w:rsid w:val="00040C07"/>
    <w:rsid w:val="00040D04"/>
    <w:rsid w:val="00040D3C"/>
    <w:rsid w:val="00040D81"/>
    <w:rsid w:val="00040DF7"/>
    <w:rsid w:val="00040EBC"/>
    <w:rsid w:val="0004104E"/>
    <w:rsid w:val="0004136F"/>
    <w:rsid w:val="00041392"/>
    <w:rsid w:val="00041634"/>
    <w:rsid w:val="0004185B"/>
    <w:rsid w:val="00041A2D"/>
    <w:rsid w:val="00041C52"/>
    <w:rsid w:val="00041F87"/>
    <w:rsid w:val="000420D9"/>
    <w:rsid w:val="00042282"/>
    <w:rsid w:val="000422FF"/>
    <w:rsid w:val="0004232A"/>
    <w:rsid w:val="00042416"/>
    <w:rsid w:val="0004241A"/>
    <w:rsid w:val="0004263D"/>
    <w:rsid w:val="0004266C"/>
    <w:rsid w:val="000428BA"/>
    <w:rsid w:val="0004300F"/>
    <w:rsid w:val="000430FF"/>
    <w:rsid w:val="00043158"/>
    <w:rsid w:val="00043427"/>
    <w:rsid w:val="00043446"/>
    <w:rsid w:val="00043518"/>
    <w:rsid w:val="0004375A"/>
    <w:rsid w:val="000437D3"/>
    <w:rsid w:val="0004381F"/>
    <w:rsid w:val="000438A4"/>
    <w:rsid w:val="00043910"/>
    <w:rsid w:val="0004392D"/>
    <w:rsid w:val="00043AD6"/>
    <w:rsid w:val="00043BDD"/>
    <w:rsid w:val="00043C2A"/>
    <w:rsid w:val="00044333"/>
    <w:rsid w:val="0004444F"/>
    <w:rsid w:val="000447E6"/>
    <w:rsid w:val="00044B38"/>
    <w:rsid w:val="00044C21"/>
    <w:rsid w:val="00044CC7"/>
    <w:rsid w:val="00044F6B"/>
    <w:rsid w:val="0004501C"/>
    <w:rsid w:val="00045025"/>
    <w:rsid w:val="0004518E"/>
    <w:rsid w:val="000451B4"/>
    <w:rsid w:val="0004527A"/>
    <w:rsid w:val="00045310"/>
    <w:rsid w:val="0004535E"/>
    <w:rsid w:val="0004546A"/>
    <w:rsid w:val="00045474"/>
    <w:rsid w:val="00045510"/>
    <w:rsid w:val="00045597"/>
    <w:rsid w:val="0004570E"/>
    <w:rsid w:val="000458C0"/>
    <w:rsid w:val="000459D7"/>
    <w:rsid w:val="00045BC9"/>
    <w:rsid w:val="00045EA3"/>
    <w:rsid w:val="00045EF6"/>
    <w:rsid w:val="00045FC5"/>
    <w:rsid w:val="000461F0"/>
    <w:rsid w:val="00046313"/>
    <w:rsid w:val="00046491"/>
    <w:rsid w:val="000465E5"/>
    <w:rsid w:val="00046644"/>
    <w:rsid w:val="00046682"/>
    <w:rsid w:val="00046916"/>
    <w:rsid w:val="00046BBB"/>
    <w:rsid w:val="00046DA2"/>
    <w:rsid w:val="00046E76"/>
    <w:rsid w:val="00046EB5"/>
    <w:rsid w:val="00046EF0"/>
    <w:rsid w:val="00046F43"/>
    <w:rsid w:val="00046F90"/>
    <w:rsid w:val="00046FFD"/>
    <w:rsid w:val="000470A3"/>
    <w:rsid w:val="000471D6"/>
    <w:rsid w:val="0004726C"/>
    <w:rsid w:val="000475E6"/>
    <w:rsid w:val="000476AF"/>
    <w:rsid w:val="000476FD"/>
    <w:rsid w:val="000477B0"/>
    <w:rsid w:val="000477FA"/>
    <w:rsid w:val="00047A21"/>
    <w:rsid w:val="00047A2B"/>
    <w:rsid w:val="00047BBA"/>
    <w:rsid w:val="00047DB7"/>
    <w:rsid w:val="00047DF3"/>
    <w:rsid w:val="000504E7"/>
    <w:rsid w:val="0005059F"/>
    <w:rsid w:val="00050634"/>
    <w:rsid w:val="000506B9"/>
    <w:rsid w:val="00050974"/>
    <w:rsid w:val="00050A0C"/>
    <w:rsid w:val="00050AC4"/>
    <w:rsid w:val="00050BAE"/>
    <w:rsid w:val="00050C33"/>
    <w:rsid w:val="00050D37"/>
    <w:rsid w:val="00050F21"/>
    <w:rsid w:val="00050FA6"/>
    <w:rsid w:val="00051400"/>
    <w:rsid w:val="00051462"/>
    <w:rsid w:val="000519B1"/>
    <w:rsid w:val="00051BF2"/>
    <w:rsid w:val="000520B0"/>
    <w:rsid w:val="000521F7"/>
    <w:rsid w:val="0005226E"/>
    <w:rsid w:val="000522A8"/>
    <w:rsid w:val="0005230E"/>
    <w:rsid w:val="00052539"/>
    <w:rsid w:val="0005253E"/>
    <w:rsid w:val="00052624"/>
    <w:rsid w:val="0005274F"/>
    <w:rsid w:val="00052885"/>
    <w:rsid w:val="00052932"/>
    <w:rsid w:val="00052AD1"/>
    <w:rsid w:val="00052B5E"/>
    <w:rsid w:val="00052D9D"/>
    <w:rsid w:val="00052E1C"/>
    <w:rsid w:val="00052F17"/>
    <w:rsid w:val="00052F53"/>
    <w:rsid w:val="0005333E"/>
    <w:rsid w:val="00053522"/>
    <w:rsid w:val="00053AEB"/>
    <w:rsid w:val="00053CB6"/>
    <w:rsid w:val="0005406B"/>
    <w:rsid w:val="00054131"/>
    <w:rsid w:val="00054148"/>
    <w:rsid w:val="00054304"/>
    <w:rsid w:val="000544E6"/>
    <w:rsid w:val="0005466E"/>
    <w:rsid w:val="000546AB"/>
    <w:rsid w:val="000547A3"/>
    <w:rsid w:val="00054855"/>
    <w:rsid w:val="00054AA9"/>
    <w:rsid w:val="00054E66"/>
    <w:rsid w:val="00055002"/>
    <w:rsid w:val="000550DF"/>
    <w:rsid w:val="000551C1"/>
    <w:rsid w:val="000552FD"/>
    <w:rsid w:val="0005541F"/>
    <w:rsid w:val="000554F2"/>
    <w:rsid w:val="00055596"/>
    <w:rsid w:val="00055693"/>
    <w:rsid w:val="00055995"/>
    <w:rsid w:val="000559AC"/>
    <w:rsid w:val="00055A44"/>
    <w:rsid w:val="00055C0E"/>
    <w:rsid w:val="00055CDD"/>
    <w:rsid w:val="00055E34"/>
    <w:rsid w:val="00055FBC"/>
    <w:rsid w:val="0005623C"/>
    <w:rsid w:val="000562B6"/>
    <w:rsid w:val="00056786"/>
    <w:rsid w:val="000567FE"/>
    <w:rsid w:val="00056854"/>
    <w:rsid w:val="00056924"/>
    <w:rsid w:val="00056A78"/>
    <w:rsid w:val="00056A95"/>
    <w:rsid w:val="00056F73"/>
    <w:rsid w:val="00056F9A"/>
    <w:rsid w:val="00056FEC"/>
    <w:rsid w:val="00057154"/>
    <w:rsid w:val="0005715E"/>
    <w:rsid w:val="00057269"/>
    <w:rsid w:val="000573C3"/>
    <w:rsid w:val="00057403"/>
    <w:rsid w:val="0005740C"/>
    <w:rsid w:val="00057681"/>
    <w:rsid w:val="000576D9"/>
    <w:rsid w:val="000577C7"/>
    <w:rsid w:val="0005782B"/>
    <w:rsid w:val="0005783E"/>
    <w:rsid w:val="00057900"/>
    <w:rsid w:val="00057977"/>
    <w:rsid w:val="00057ABC"/>
    <w:rsid w:val="00057B72"/>
    <w:rsid w:val="000601AE"/>
    <w:rsid w:val="000603A7"/>
    <w:rsid w:val="00060770"/>
    <w:rsid w:val="000608AF"/>
    <w:rsid w:val="0006092C"/>
    <w:rsid w:val="00060985"/>
    <w:rsid w:val="00060B6D"/>
    <w:rsid w:val="00060D51"/>
    <w:rsid w:val="00060E8A"/>
    <w:rsid w:val="00061019"/>
    <w:rsid w:val="000611B7"/>
    <w:rsid w:val="000611D1"/>
    <w:rsid w:val="000613E2"/>
    <w:rsid w:val="000614E1"/>
    <w:rsid w:val="000615C1"/>
    <w:rsid w:val="00061690"/>
    <w:rsid w:val="000616BB"/>
    <w:rsid w:val="0006182B"/>
    <w:rsid w:val="000619B9"/>
    <w:rsid w:val="00061A0F"/>
    <w:rsid w:val="00061A70"/>
    <w:rsid w:val="00061B2D"/>
    <w:rsid w:val="000620CB"/>
    <w:rsid w:val="00062310"/>
    <w:rsid w:val="00062319"/>
    <w:rsid w:val="00062509"/>
    <w:rsid w:val="000625A9"/>
    <w:rsid w:val="00062618"/>
    <w:rsid w:val="00062647"/>
    <w:rsid w:val="00062BF2"/>
    <w:rsid w:val="00062E33"/>
    <w:rsid w:val="00062F90"/>
    <w:rsid w:val="00063036"/>
    <w:rsid w:val="0006334E"/>
    <w:rsid w:val="000636FA"/>
    <w:rsid w:val="000637AE"/>
    <w:rsid w:val="00063977"/>
    <w:rsid w:val="00063AAD"/>
    <w:rsid w:val="00063B7D"/>
    <w:rsid w:val="00063D8C"/>
    <w:rsid w:val="00063E53"/>
    <w:rsid w:val="00063EA1"/>
    <w:rsid w:val="00064125"/>
    <w:rsid w:val="00064299"/>
    <w:rsid w:val="000646AC"/>
    <w:rsid w:val="000648E0"/>
    <w:rsid w:val="00064A3F"/>
    <w:rsid w:val="00064A70"/>
    <w:rsid w:val="00064B1C"/>
    <w:rsid w:val="00064C7B"/>
    <w:rsid w:val="00064E3D"/>
    <w:rsid w:val="0006508D"/>
    <w:rsid w:val="000652F8"/>
    <w:rsid w:val="00065542"/>
    <w:rsid w:val="000655D4"/>
    <w:rsid w:val="00065642"/>
    <w:rsid w:val="000656BB"/>
    <w:rsid w:val="000656DB"/>
    <w:rsid w:val="0006574E"/>
    <w:rsid w:val="00065769"/>
    <w:rsid w:val="000658B7"/>
    <w:rsid w:val="00065922"/>
    <w:rsid w:val="00065B19"/>
    <w:rsid w:val="00065C93"/>
    <w:rsid w:val="00065E65"/>
    <w:rsid w:val="00065F32"/>
    <w:rsid w:val="00065F5E"/>
    <w:rsid w:val="00065FE7"/>
    <w:rsid w:val="000660CC"/>
    <w:rsid w:val="000662D0"/>
    <w:rsid w:val="00066313"/>
    <w:rsid w:val="000663B0"/>
    <w:rsid w:val="000664CE"/>
    <w:rsid w:val="000666D1"/>
    <w:rsid w:val="0006683A"/>
    <w:rsid w:val="00066A41"/>
    <w:rsid w:val="00066A7E"/>
    <w:rsid w:val="00066AB1"/>
    <w:rsid w:val="00066AD8"/>
    <w:rsid w:val="00066B14"/>
    <w:rsid w:val="00066C13"/>
    <w:rsid w:val="00066EA0"/>
    <w:rsid w:val="00066ED4"/>
    <w:rsid w:val="00067032"/>
    <w:rsid w:val="000677E9"/>
    <w:rsid w:val="00067C60"/>
    <w:rsid w:val="00067C87"/>
    <w:rsid w:val="00067DB6"/>
    <w:rsid w:val="00067E93"/>
    <w:rsid w:val="00067F34"/>
    <w:rsid w:val="00067F3A"/>
    <w:rsid w:val="00067FC2"/>
    <w:rsid w:val="0007005B"/>
    <w:rsid w:val="0007013F"/>
    <w:rsid w:val="0007024E"/>
    <w:rsid w:val="00070305"/>
    <w:rsid w:val="00070605"/>
    <w:rsid w:val="0007076B"/>
    <w:rsid w:val="00070BC3"/>
    <w:rsid w:val="00070EC8"/>
    <w:rsid w:val="00070F9E"/>
    <w:rsid w:val="000710E4"/>
    <w:rsid w:val="0007113F"/>
    <w:rsid w:val="0007118C"/>
    <w:rsid w:val="0007124E"/>
    <w:rsid w:val="000714DD"/>
    <w:rsid w:val="00071608"/>
    <w:rsid w:val="000716D0"/>
    <w:rsid w:val="000718EB"/>
    <w:rsid w:val="00071A04"/>
    <w:rsid w:val="00071B91"/>
    <w:rsid w:val="00071E48"/>
    <w:rsid w:val="00071EDB"/>
    <w:rsid w:val="00071F4F"/>
    <w:rsid w:val="00071F54"/>
    <w:rsid w:val="00071FC1"/>
    <w:rsid w:val="0007226A"/>
    <w:rsid w:val="000722CD"/>
    <w:rsid w:val="00072319"/>
    <w:rsid w:val="000725D2"/>
    <w:rsid w:val="00072899"/>
    <w:rsid w:val="00072BBA"/>
    <w:rsid w:val="00072C1D"/>
    <w:rsid w:val="00072E4F"/>
    <w:rsid w:val="00072F21"/>
    <w:rsid w:val="00072FBC"/>
    <w:rsid w:val="00072FFA"/>
    <w:rsid w:val="000732C6"/>
    <w:rsid w:val="000732E3"/>
    <w:rsid w:val="0007351B"/>
    <w:rsid w:val="00073621"/>
    <w:rsid w:val="00073685"/>
    <w:rsid w:val="000737C4"/>
    <w:rsid w:val="00073831"/>
    <w:rsid w:val="00073840"/>
    <w:rsid w:val="0007405A"/>
    <w:rsid w:val="000743A5"/>
    <w:rsid w:val="0007445F"/>
    <w:rsid w:val="00074672"/>
    <w:rsid w:val="00074750"/>
    <w:rsid w:val="00074936"/>
    <w:rsid w:val="00074AC9"/>
    <w:rsid w:val="00074C6A"/>
    <w:rsid w:val="00074C78"/>
    <w:rsid w:val="00074E3B"/>
    <w:rsid w:val="00074EE4"/>
    <w:rsid w:val="00074EFE"/>
    <w:rsid w:val="000751F4"/>
    <w:rsid w:val="00075353"/>
    <w:rsid w:val="00075392"/>
    <w:rsid w:val="000756C7"/>
    <w:rsid w:val="00075A06"/>
    <w:rsid w:val="00075A6A"/>
    <w:rsid w:val="00075AA7"/>
    <w:rsid w:val="00075BB0"/>
    <w:rsid w:val="00075BBE"/>
    <w:rsid w:val="00075EC3"/>
    <w:rsid w:val="0007609F"/>
    <w:rsid w:val="000761E4"/>
    <w:rsid w:val="0007625A"/>
    <w:rsid w:val="0007632D"/>
    <w:rsid w:val="00076664"/>
    <w:rsid w:val="00076679"/>
    <w:rsid w:val="00076CD6"/>
    <w:rsid w:val="00076D49"/>
    <w:rsid w:val="00076EFE"/>
    <w:rsid w:val="00077066"/>
    <w:rsid w:val="000770C9"/>
    <w:rsid w:val="000771DC"/>
    <w:rsid w:val="00077339"/>
    <w:rsid w:val="00077384"/>
    <w:rsid w:val="00077388"/>
    <w:rsid w:val="0007751F"/>
    <w:rsid w:val="0007763F"/>
    <w:rsid w:val="00077743"/>
    <w:rsid w:val="00077877"/>
    <w:rsid w:val="000778FE"/>
    <w:rsid w:val="000779BB"/>
    <w:rsid w:val="00077CF8"/>
    <w:rsid w:val="00077E07"/>
    <w:rsid w:val="00077E3B"/>
    <w:rsid w:val="00077F4A"/>
    <w:rsid w:val="0008004F"/>
    <w:rsid w:val="0008051F"/>
    <w:rsid w:val="000805C0"/>
    <w:rsid w:val="00080644"/>
    <w:rsid w:val="00080A73"/>
    <w:rsid w:val="00080D30"/>
    <w:rsid w:val="00080DF9"/>
    <w:rsid w:val="00080E73"/>
    <w:rsid w:val="00080FD0"/>
    <w:rsid w:val="00081099"/>
    <w:rsid w:val="000810AE"/>
    <w:rsid w:val="000812FA"/>
    <w:rsid w:val="00081395"/>
    <w:rsid w:val="000815B3"/>
    <w:rsid w:val="00081812"/>
    <w:rsid w:val="00081AC2"/>
    <w:rsid w:val="00081ADB"/>
    <w:rsid w:val="00081BED"/>
    <w:rsid w:val="00081D34"/>
    <w:rsid w:val="00081E5B"/>
    <w:rsid w:val="00082082"/>
    <w:rsid w:val="0008239F"/>
    <w:rsid w:val="000823E2"/>
    <w:rsid w:val="000825C2"/>
    <w:rsid w:val="0008277E"/>
    <w:rsid w:val="00082BB2"/>
    <w:rsid w:val="00082D8E"/>
    <w:rsid w:val="00082EB1"/>
    <w:rsid w:val="000831BA"/>
    <w:rsid w:val="000832BE"/>
    <w:rsid w:val="00083722"/>
    <w:rsid w:val="00083836"/>
    <w:rsid w:val="000839BA"/>
    <w:rsid w:val="00083A37"/>
    <w:rsid w:val="00083A38"/>
    <w:rsid w:val="00083ABC"/>
    <w:rsid w:val="00083E35"/>
    <w:rsid w:val="0008405F"/>
    <w:rsid w:val="00084067"/>
    <w:rsid w:val="0008434B"/>
    <w:rsid w:val="00084549"/>
    <w:rsid w:val="000845E0"/>
    <w:rsid w:val="000849CE"/>
    <w:rsid w:val="000849EE"/>
    <w:rsid w:val="00084B34"/>
    <w:rsid w:val="000850C5"/>
    <w:rsid w:val="00085412"/>
    <w:rsid w:val="0008578B"/>
    <w:rsid w:val="00085ADA"/>
    <w:rsid w:val="00085D57"/>
    <w:rsid w:val="00085D5F"/>
    <w:rsid w:val="00085D63"/>
    <w:rsid w:val="00085D9E"/>
    <w:rsid w:val="00085E3B"/>
    <w:rsid w:val="00085F32"/>
    <w:rsid w:val="00085FA9"/>
    <w:rsid w:val="0008603D"/>
    <w:rsid w:val="000860E2"/>
    <w:rsid w:val="0008613A"/>
    <w:rsid w:val="00086550"/>
    <w:rsid w:val="000865CD"/>
    <w:rsid w:val="000866E6"/>
    <w:rsid w:val="00086830"/>
    <w:rsid w:val="00086A7E"/>
    <w:rsid w:val="00086E71"/>
    <w:rsid w:val="00086F98"/>
    <w:rsid w:val="00087017"/>
    <w:rsid w:val="00087113"/>
    <w:rsid w:val="00087142"/>
    <w:rsid w:val="00087180"/>
    <w:rsid w:val="000872DC"/>
    <w:rsid w:val="000873D3"/>
    <w:rsid w:val="0008754F"/>
    <w:rsid w:val="0008755D"/>
    <w:rsid w:val="00087656"/>
    <w:rsid w:val="000876F8"/>
    <w:rsid w:val="00087954"/>
    <w:rsid w:val="000879AA"/>
    <w:rsid w:val="00087D95"/>
    <w:rsid w:val="00087D97"/>
    <w:rsid w:val="00087E19"/>
    <w:rsid w:val="000900A7"/>
    <w:rsid w:val="000901D2"/>
    <w:rsid w:val="00090275"/>
    <w:rsid w:val="000903D0"/>
    <w:rsid w:val="0009040C"/>
    <w:rsid w:val="00090413"/>
    <w:rsid w:val="000905F7"/>
    <w:rsid w:val="000907FA"/>
    <w:rsid w:val="00090992"/>
    <w:rsid w:val="00090C91"/>
    <w:rsid w:val="00090CBF"/>
    <w:rsid w:val="00090D5F"/>
    <w:rsid w:val="00090F30"/>
    <w:rsid w:val="00091003"/>
    <w:rsid w:val="000910A8"/>
    <w:rsid w:val="000911AD"/>
    <w:rsid w:val="0009125A"/>
    <w:rsid w:val="00091280"/>
    <w:rsid w:val="000913C9"/>
    <w:rsid w:val="00091424"/>
    <w:rsid w:val="00091447"/>
    <w:rsid w:val="00091452"/>
    <w:rsid w:val="000917DC"/>
    <w:rsid w:val="00091899"/>
    <w:rsid w:val="000918AA"/>
    <w:rsid w:val="000918FE"/>
    <w:rsid w:val="00091B26"/>
    <w:rsid w:val="00091C6D"/>
    <w:rsid w:val="00091DD5"/>
    <w:rsid w:val="00091E3A"/>
    <w:rsid w:val="000920CA"/>
    <w:rsid w:val="00092182"/>
    <w:rsid w:val="00092219"/>
    <w:rsid w:val="00092444"/>
    <w:rsid w:val="00092588"/>
    <w:rsid w:val="00092936"/>
    <w:rsid w:val="0009296F"/>
    <w:rsid w:val="00092ABE"/>
    <w:rsid w:val="00092C73"/>
    <w:rsid w:val="00092DA9"/>
    <w:rsid w:val="00092E16"/>
    <w:rsid w:val="00092E94"/>
    <w:rsid w:val="00093148"/>
    <w:rsid w:val="000931F2"/>
    <w:rsid w:val="00093314"/>
    <w:rsid w:val="00093379"/>
    <w:rsid w:val="000934B6"/>
    <w:rsid w:val="000937DB"/>
    <w:rsid w:val="000937F4"/>
    <w:rsid w:val="0009388F"/>
    <w:rsid w:val="000945EA"/>
    <w:rsid w:val="00094891"/>
    <w:rsid w:val="000948A3"/>
    <w:rsid w:val="00094C25"/>
    <w:rsid w:val="00094D2E"/>
    <w:rsid w:val="00094D8F"/>
    <w:rsid w:val="00094DBF"/>
    <w:rsid w:val="000950E2"/>
    <w:rsid w:val="00095135"/>
    <w:rsid w:val="000951AE"/>
    <w:rsid w:val="000953DD"/>
    <w:rsid w:val="0009548A"/>
    <w:rsid w:val="000954E1"/>
    <w:rsid w:val="00095526"/>
    <w:rsid w:val="00095567"/>
    <w:rsid w:val="00095587"/>
    <w:rsid w:val="00095700"/>
    <w:rsid w:val="00095823"/>
    <w:rsid w:val="00095875"/>
    <w:rsid w:val="0009596A"/>
    <w:rsid w:val="00095994"/>
    <w:rsid w:val="00095A0E"/>
    <w:rsid w:val="00095A8A"/>
    <w:rsid w:val="00095B13"/>
    <w:rsid w:val="00095CA0"/>
    <w:rsid w:val="00095CB9"/>
    <w:rsid w:val="00095D71"/>
    <w:rsid w:val="00095ED1"/>
    <w:rsid w:val="00095EF1"/>
    <w:rsid w:val="000961D5"/>
    <w:rsid w:val="00096257"/>
    <w:rsid w:val="00096284"/>
    <w:rsid w:val="0009630A"/>
    <w:rsid w:val="0009646D"/>
    <w:rsid w:val="0009651A"/>
    <w:rsid w:val="000967DA"/>
    <w:rsid w:val="00096B65"/>
    <w:rsid w:val="00096ED9"/>
    <w:rsid w:val="00096EF6"/>
    <w:rsid w:val="00096F94"/>
    <w:rsid w:val="00097132"/>
    <w:rsid w:val="0009733B"/>
    <w:rsid w:val="00097406"/>
    <w:rsid w:val="00097763"/>
    <w:rsid w:val="000979E7"/>
    <w:rsid w:val="00097A40"/>
    <w:rsid w:val="00097BCA"/>
    <w:rsid w:val="00097BF9"/>
    <w:rsid w:val="00097CBD"/>
    <w:rsid w:val="00097D41"/>
    <w:rsid w:val="00097D5F"/>
    <w:rsid w:val="000A01D1"/>
    <w:rsid w:val="000A03EA"/>
    <w:rsid w:val="000A042B"/>
    <w:rsid w:val="000A05C6"/>
    <w:rsid w:val="000A0794"/>
    <w:rsid w:val="000A0830"/>
    <w:rsid w:val="000A0895"/>
    <w:rsid w:val="000A08BB"/>
    <w:rsid w:val="000A0994"/>
    <w:rsid w:val="000A0AC3"/>
    <w:rsid w:val="000A0AEB"/>
    <w:rsid w:val="000A0D7C"/>
    <w:rsid w:val="000A0FAF"/>
    <w:rsid w:val="000A10A1"/>
    <w:rsid w:val="000A1113"/>
    <w:rsid w:val="000A12F9"/>
    <w:rsid w:val="000A1322"/>
    <w:rsid w:val="000A1753"/>
    <w:rsid w:val="000A1923"/>
    <w:rsid w:val="000A1BEF"/>
    <w:rsid w:val="000A1C0C"/>
    <w:rsid w:val="000A1C44"/>
    <w:rsid w:val="000A1DD3"/>
    <w:rsid w:val="000A1EAA"/>
    <w:rsid w:val="000A20CD"/>
    <w:rsid w:val="000A215D"/>
    <w:rsid w:val="000A2398"/>
    <w:rsid w:val="000A2650"/>
    <w:rsid w:val="000A26DF"/>
    <w:rsid w:val="000A2760"/>
    <w:rsid w:val="000A2886"/>
    <w:rsid w:val="000A2C51"/>
    <w:rsid w:val="000A2CFF"/>
    <w:rsid w:val="000A3046"/>
    <w:rsid w:val="000A304C"/>
    <w:rsid w:val="000A3101"/>
    <w:rsid w:val="000A31B1"/>
    <w:rsid w:val="000A3388"/>
    <w:rsid w:val="000A36C7"/>
    <w:rsid w:val="000A36C8"/>
    <w:rsid w:val="000A3911"/>
    <w:rsid w:val="000A39E8"/>
    <w:rsid w:val="000A3CFE"/>
    <w:rsid w:val="000A3FCC"/>
    <w:rsid w:val="000A3FD8"/>
    <w:rsid w:val="000A405C"/>
    <w:rsid w:val="000A40E9"/>
    <w:rsid w:val="000A41E2"/>
    <w:rsid w:val="000A4213"/>
    <w:rsid w:val="000A4338"/>
    <w:rsid w:val="000A4412"/>
    <w:rsid w:val="000A4848"/>
    <w:rsid w:val="000A496B"/>
    <w:rsid w:val="000A4A44"/>
    <w:rsid w:val="000A4AD7"/>
    <w:rsid w:val="000A4B50"/>
    <w:rsid w:val="000A4BD2"/>
    <w:rsid w:val="000A4C67"/>
    <w:rsid w:val="000A4E2E"/>
    <w:rsid w:val="000A4E3A"/>
    <w:rsid w:val="000A4E57"/>
    <w:rsid w:val="000A5130"/>
    <w:rsid w:val="000A537D"/>
    <w:rsid w:val="000A53B4"/>
    <w:rsid w:val="000A53E4"/>
    <w:rsid w:val="000A5618"/>
    <w:rsid w:val="000A56A8"/>
    <w:rsid w:val="000A572D"/>
    <w:rsid w:val="000A57B5"/>
    <w:rsid w:val="000A5AB5"/>
    <w:rsid w:val="000A5AFB"/>
    <w:rsid w:val="000A5C4B"/>
    <w:rsid w:val="000A5F1E"/>
    <w:rsid w:val="000A61F8"/>
    <w:rsid w:val="000A641E"/>
    <w:rsid w:val="000A6651"/>
    <w:rsid w:val="000A66C5"/>
    <w:rsid w:val="000A676C"/>
    <w:rsid w:val="000A6861"/>
    <w:rsid w:val="000A68D7"/>
    <w:rsid w:val="000A6960"/>
    <w:rsid w:val="000A6966"/>
    <w:rsid w:val="000A6A19"/>
    <w:rsid w:val="000A6A28"/>
    <w:rsid w:val="000A6CC3"/>
    <w:rsid w:val="000A6E01"/>
    <w:rsid w:val="000A700C"/>
    <w:rsid w:val="000A7051"/>
    <w:rsid w:val="000A70FC"/>
    <w:rsid w:val="000A71C2"/>
    <w:rsid w:val="000A71E9"/>
    <w:rsid w:val="000A7307"/>
    <w:rsid w:val="000A73CA"/>
    <w:rsid w:val="000A7646"/>
    <w:rsid w:val="000A7710"/>
    <w:rsid w:val="000A77F0"/>
    <w:rsid w:val="000A797B"/>
    <w:rsid w:val="000A7A7F"/>
    <w:rsid w:val="000A7C52"/>
    <w:rsid w:val="000A7E4A"/>
    <w:rsid w:val="000A7EF5"/>
    <w:rsid w:val="000A7F33"/>
    <w:rsid w:val="000B0073"/>
    <w:rsid w:val="000B0392"/>
    <w:rsid w:val="000B03D0"/>
    <w:rsid w:val="000B0445"/>
    <w:rsid w:val="000B04DD"/>
    <w:rsid w:val="000B08FE"/>
    <w:rsid w:val="000B0CE8"/>
    <w:rsid w:val="000B0D2A"/>
    <w:rsid w:val="000B0F53"/>
    <w:rsid w:val="000B11B8"/>
    <w:rsid w:val="000B12BB"/>
    <w:rsid w:val="000B13C2"/>
    <w:rsid w:val="000B14BE"/>
    <w:rsid w:val="000B157F"/>
    <w:rsid w:val="000B15F2"/>
    <w:rsid w:val="000B16F5"/>
    <w:rsid w:val="000B18DB"/>
    <w:rsid w:val="000B1C1A"/>
    <w:rsid w:val="000B1F8B"/>
    <w:rsid w:val="000B20C4"/>
    <w:rsid w:val="000B239F"/>
    <w:rsid w:val="000B23C5"/>
    <w:rsid w:val="000B2627"/>
    <w:rsid w:val="000B2651"/>
    <w:rsid w:val="000B267F"/>
    <w:rsid w:val="000B26A1"/>
    <w:rsid w:val="000B289C"/>
    <w:rsid w:val="000B29F8"/>
    <w:rsid w:val="000B2A63"/>
    <w:rsid w:val="000B2B6D"/>
    <w:rsid w:val="000B2C41"/>
    <w:rsid w:val="000B32D2"/>
    <w:rsid w:val="000B34B7"/>
    <w:rsid w:val="000B3519"/>
    <w:rsid w:val="000B35B9"/>
    <w:rsid w:val="000B365B"/>
    <w:rsid w:val="000B399A"/>
    <w:rsid w:val="000B3AC6"/>
    <w:rsid w:val="000B3B96"/>
    <w:rsid w:val="000B3CA7"/>
    <w:rsid w:val="000B3DB1"/>
    <w:rsid w:val="000B3DFF"/>
    <w:rsid w:val="000B3FD5"/>
    <w:rsid w:val="000B3FF9"/>
    <w:rsid w:val="000B401A"/>
    <w:rsid w:val="000B4112"/>
    <w:rsid w:val="000B4132"/>
    <w:rsid w:val="000B481E"/>
    <w:rsid w:val="000B4825"/>
    <w:rsid w:val="000B48EA"/>
    <w:rsid w:val="000B4AE4"/>
    <w:rsid w:val="000B4D51"/>
    <w:rsid w:val="000B4D6C"/>
    <w:rsid w:val="000B4F07"/>
    <w:rsid w:val="000B502F"/>
    <w:rsid w:val="000B5107"/>
    <w:rsid w:val="000B5156"/>
    <w:rsid w:val="000B5249"/>
    <w:rsid w:val="000B5272"/>
    <w:rsid w:val="000B536A"/>
    <w:rsid w:val="000B54B6"/>
    <w:rsid w:val="000B5528"/>
    <w:rsid w:val="000B5567"/>
    <w:rsid w:val="000B5693"/>
    <w:rsid w:val="000B595B"/>
    <w:rsid w:val="000B5ADB"/>
    <w:rsid w:val="000B5B1E"/>
    <w:rsid w:val="000B5C73"/>
    <w:rsid w:val="000B6100"/>
    <w:rsid w:val="000B61F1"/>
    <w:rsid w:val="000B6425"/>
    <w:rsid w:val="000B6576"/>
    <w:rsid w:val="000B6590"/>
    <w:rsid w:val="000B65CD"/>
    <w:rsid w:val="000B6759"/>
    <w:rsid w:val="000B680E"/>
    <w:rsid w:val="000B6824"/>
    <w:rsid w:val="000B685C"/>
    <w:rsid w:val="000B6983"/>
    <w:rsid w:val="000B6A2A"/>
    <w:rsid w:val="000B6B5E"/>
    <w:rsid w:val="000B6B67"/>
    <w:rsid w:val="000B6DFE"/>
    <w:rsid w:val="000B6E04"/>
    <w:rsid w:val="000B6F3F"/>
    <w:rsid w:val="000B6FA9"/>
    <w:rsid w:val="000B733C"/>
    <w:rsid w:val="000B7347"/>
    <w:rsid w:val="000B782C"/>
    <w:rsid w:val="000B7A84"/>
    <w:rsid w:val="000B7FC3"/>
    <w:rsid w:val="000C029F"/>
    <w:rsid w:val="000C044F"/>
    <w:rsid w:val="000C05B9"/>
    <w:rsid w:val="000C0691"/>
    <w:rsid w:val="000C0941"/>
    <w:rsid w:val="000C0948"/>
    <w:rsid w:val="000C0AC0"/>
    <w:rsid w:val="000C0C12"/>
    <w:rsid w:val="000C0C38"/>
    <w:rsid w:val="000C0D32"/>
    <w:rsid w:val="000C108A"/>
    <w:rsid w:val="000C115D"/>
    <w:rsid w:val="000C119A"/>
    <w:rsid w:val="000C1206"/>
    <w:rsid w:val="000C123D"/>
    <w:rsid w:val="000C1321"/>
    <w:rsid w:val="000C1555"/>
    <w:rsid w:val="000C159B"/>
    <w:rsid w:val="000C15CE"/>
    <w:rsid w:val="000C189D"/>
    <w:rsid w:val="000C199D"/>
    <w:rsid w:val="000C1A80"/>
    <w:rsid w:val="000C1A94"/>
    <w:rsid w:val="000C1CDE"/>
    <w:rsid w:val="000C1E80"/>
    <w:rsid w:val="000C1FE5"/>
    <w:rsid w:val="000C2032"/>
    <w:rsid w:val="000C20F5"/>
    <w:rsid w:val="000C227A"/>
    <w:rsid w:val="000C2311"/>
    <w:rsid w:val="000C2417"/>
    <w:rsid w:val="000C281B"/>
    <w:rsid w:val="000C2878"/>
    <w:rsid w:val="000C28AC"/>
    <w:rsid w:val="000C29B1"/>
    <w:rsid w:val="000C2CA9"/>
    <w:rsid w:val="000C2D2F"/>
    <w:rsid w:val="000C2F05"/>
    <w:rsid w:val="000C3051"/>
    <w:rsid w:val="000C3146"/>
    <w:rsid w:val="000C32C7"/>
    <w:rsid w:val="000C34B5"/>
    <w:rsid w:val="000C35D6"/>
    <w:rsid w:val="000C368D"/>
    <w:rsid w:val="000C387D"/>
    <w:rsid w:val="000C3A03"/>
    <w:rsid w:val="000C3A64"/>
    <w:rsid w:val="000C3B20"/>
    <w:rsid w:val="000C3BD7"/>
    <w:rsid w:val="000C3DF5"/>
    <w:rsid w:val="000C3E57"/>
    <w:rsid w:val="000C3E66"/>
    <w:rsid w:val="000C3E6E"/>
    <w:rsid w:val="000C3F8E"/>
    <w:rsid w:val="000C40BF"/>
    <w:rsid w:val="000C41B9"/>
    <w:rsid w:val="000C45AD"/>
    <w:rsid w:val="000C45FC"/>
    <w:rsid w:val="000C4AEB"/>
    <w:rsid w:val="000C4C43"/>
    <w:rsid w:val="000C5081"/>
    <w:rsid w:val="000C52B7"/>
    <w:rsid w:val="000C5778"/>
    <w:rsid w:val="000C5819"/>
    <w:rsid w:val="000C5FCC"/>
    <w:rsid w:val="000C6052"/>
    <w:rsid w:val="000C60D4"/>
    <w:rsid w:val="000C6102"/>
    <w:rsid w:val="000C6351"/>
    <w:rsid w:val="000C63C7"/>
    <w:rsid w:val="000C6493"/>
    <w:rsid w:val="000C66CD"/>
    <w:rsid w:val="000C672A"/>
    <w:rsid w:val="000C6951"/>
    <w:rsid w:val="000C69B4"/>
    <w:rsid w:val="000C6B86"/>
    <w:rsid w:val="000C6DED"/>
    <w:rsid w:val="000C6F0D"/>
    <w:rsid w:val="000C6F11"/>
    <w:rsid w:val="000C6FB9"/>
    <w:rsid w:val="000C70E5"/>
    <w:rsid w:val="000C74BA"/>
    <w:rsid w:val="000C7567"/>
    <w:rsid w:val="000C7BCC"/>
    <w:rsid w:val="000C7C5D"/>
    <w:rsid w:val="000C7F43"/>
    <w:rsid w:val="000C7FD5"/>
    <w:rsid w:val="000D0105"/>
    <w:rsid w:val="000D0451"/>
    <w:rsid w:val="000D0592"/>
    <w:rsid w:val="000D05B5"/>
    <w:rsid w:val="000D0664"/>
    <w:rsid w:val="000D0689"/>
    <w:rsid w:val="000D07DE"/>
    <w:rsid w:val="000D0BAA"/>
    <w:rsid w:val="000D0C0D"/>
    <w:rsid w:val="000D0C36"/>
    <w:rsid w:val="000D0D49"/>
    <w:rsid w:val="000D0D85"/>
    <w:rsid w:val="000D0E6A"/>
    <w:rsid w:val="000D11A8"/>
    <w:rsid w:val="000D1294"/>
    <w:rsid w:val="000D1409"/>
    <w:rsid w:val="000D1661"/>
    <w:rsid w:val="000D1733"/>
    <w:rsid w:val="000D176C"/>
    <w:rsid w:val="000D1B77"/>
    <w:rsid w:val="000D1C5E"/>
    <w:rsid w:val="000D2010"/>
    <w:rsid w:val="000D20F3"/>
    <w:rsid w:val="000D215F"/>
    <w:rsid w:val="000D2399"/>
    <w:rsid w:val="000D24F9"/>
    <w:rsid w:val="000D2718"/>
    <w:rsid w:val="000D29A4"/>
    <w:rsid w:val="000D2B2A"/>
    <w:rsid w:val="000D2B73"/>
    <w:rsid w:val="000D2D1A"/>
    <w:rsid w:val="000D2E20"/>
    <w:rsid w:val="000D2F81"/>
    <w:rsid w:val="000D3165"/>
    <w:rsid w:val="000D34FC"/>
    <w:rsid w:val="000D3834"/>
    <w:rsid w:val="000D3893"/>
    <w:rsid w:val="000D39FA"/>
    <w:rsid w:val="000D3B51"/>
    <w:rsid w:val="000D3DFE"/>
    <w:rsid w:val="000D3E10"/>
    <w:rsid w:val="000D4320"/>
    <w:rsid w:val="000D4653"/>
    <w:rsid w:val="000D46C0"/>
    <w:rsid w:val="000D4740"/>
    <w:rsid w:val="000D49A6"/>
    <w:rsid w:val="000D49BB"/>
    <w:rsid w:val="000D4A25"/>
    <w:rsid w:val="000D4AA7"/>
    <w:rsid w:val="000D4BC0"/>
    <w:rsid w:val="000D4C05"/>
    <w:rsid w:val="000D4E3B"/>
    <w:rsid w:val="000D4EE8"/>
    <w:rsid w:val="000D4FD7"/>
    <w:rsid w:val="000D53E8"/>
    <w:rsid w:val="000D5588"/>
    <w:rsid w:val="000D58AC"/>
    <w:rsid w:val="000D5923"/>
    <w:rsid w:val="000D5AF2"/>
    <w:rsid w:val="000D5B8E"/>
    <w:rsid w:val="000D5DFC"/>
    <w:rsid w:val="000D5E79"/>
    <w:rsid w:val="000D6069"/>
    <w:rsid w:val="000D626F"/>
    <w:rsid w:val="000D63E1"/>
    <w:rsid w:val="000D65D4"/>
    <w:rsid w:val="000D6638"/>
    <w:rsid w:val="000D66CF"/>
    <w:rsid w:val="000D67A8"/>
    <w:rsid w:val="000D6BF4"/>
    <w:rsid w:val="000D6D04"/>
    <w:rsid w:val="000D6EA5"/>
    <w:rsid w:val="000D7003"/>
    <w:rsid w:val="000D72A3"/>
    <w:rsid w:val="000D7624"/>
    <w:rsid w:val="000D764C"/>
    <w:rsid w:val="000D766B"/>
    <w:rsid w:val="000D7808"/>
    <w:rsid w:val="000D78C5"/>
    <w:rsid w:val="000D7B18"/>
    <w:rsid w:val="000D7CA2"/>
    <w:rsid w:val="000E01F7"/>
    <w:rsid w:val="000E0250"/>
    <w:rsid w:val="000E0356"/>
    <w:rsid w:val="000E0781"/>
    <w:rsid w:val="000E0912"/>
    <w:rsid w:val="000E0959"/>
    <w:rsid w:val="000E09C2"/>
    <w:rsid w:val="000E0A40"/>
    <w:rsid w:val="000E0B20"/>
    <w:rsid w:val="000E0CB9"/>
    <w:rsid w:val="000E0D4E"/>
    <w:rsid w:val="000E10CB"/>
    <w:rsid w:val="000E133E"/>
    <w:rsid w:val="000E164F"/>
    <w:rsid w:val="000E16D7"/>
    <w:rsid w:val="000E1714"/>
    <w:rsid w:val="000E17BB"/>
    <w:rsid w:val="000E1877"/>
    <w:rsid w:val="000E1921"/>
    <w:rsid w:val="000E1C02"/>
    <w:rsid w:val="000E1D34"/>
    <w:rsid w:val="000E1D3B"/>
    <w:rsid w:val="000E1D95"/>
    <w:rsid w:val="000E1DD4"/>
    <w:rsid w:val="000E1EDD"/>
    <w:rsid w:val="000E1F88"/>
    <w:rsid w:val="000E1F9F"/>
    <w:rsid w:val="000E21C1"/>
    <w:rsid w:val="000E21F0"/>
    <w:rsid w:val="000E22AB"/>
    <w:rsid w:val="000E2326"/>
    <w:rsid w:val="000E25B7"/>
    <w:rsid w:val="000E26FC"/>
    <w:rsid w:val="000E275F"/>
    <w:rsid w:val="000E286C"/>
    <w:rsid w:val="000E2928"/>
    <w:rsid w:val="000E2B31"/>
    <w:rsid w:val="000E2B9C"/>
    <w:rsid w:val="000E2D25"/>
    <w:rsid w:val="000E30FF"/>
    <w:rsid w:val="000E311B"/>
    <w:rsid w:val="000E331C"/>
    <w:rsid w:val="000E3661"/>
    <w:rsid w:val="000E3755"/>
    <w:rsid w:val="000E379A"/>
    <w:rsid w:val="000E37A9"/>
    <w:rsid w:val="000E37AD"/>
    <w:rsid w:val="000E3803"/>
    <w:rsid w:val="000E389C"/>
    <w:rsid w:val="000E38FD"/>
    <w:rsid w:val="000E39F8"/>
    <w:rsid w:val="000E3A09"/>
    <w:rsid w:val="000E3A1E"/>
    <w:rsid w:val="000E3DA7"/>
    <w:rsid w:val="000E3E7A"/>
    <w:rsid w:val="000E3ED8"/>
    <w:rsid w:val="000E4200"/>
    <w:rsid w:val="000E4289"/>
    <w:rsid w:val="000E431C"/>
    <w:rsid w:val="000E44DA"/>
    <w:rsid w:val="000E46D7"/>
    <w:rsid w:val="000E46E9"/>
    <w:rsid w:val="000E4701"/>
    <w:rsid w:val="000E47B8"/>
    <w:rsid w:val="000E491B"/>
    <w:rsid w:val="000E4991"/>
    <w:rsid w:val="000E4AB2"/>
    <w:rsid w:val="000E4D59"/>
    <w:rsid w:val="000E4ED4"/>
    <w:rsid w:val="000E4F13"/>
    <w:rsid w:val="000E4FA9"/>
    <w:rsid w:val="000E51CB"/>
    <w:rsid w:val="000E525A"/>
    <w:rsid w:val="000E539E"/>
    <w:rsid w:val="000E53E8"/>
    <w:rsid w:val="000E5432"/>
    <w:rsid w:val="000E5517"/>
    <w:rsid w:val="000E556F"/>
    <w:rsid w:val="000E5609"/>
    <w:rsid w:val="000E578F"/>
    <w:rsid w:val="000E57D1"/>
    <w:rsid w:val="000E5820"/>
    <w:rsid w:val="000E599F"/>
    <w:rsid w:val="000E5A75"/>
    <w:rsid w:val="000E5B2D"/>
    <w:rsid w:val="000E5E6A"/>
    <w:rsid w:val="000E5F77"/>
    <w:rsid w:val="000E6221"/>
    <w:rsid w:val="000E63E3"/>
    <w:rsid w:val="000E64BA"/>
    <w:rsid w:val="000E6798"/>
    <w:rsid w:val="000E6C4F"/>
    <w:rsid w:val="000E6CF9"/>
    <w:rsid w:val="000E6DCB"/>
    <w:rsid w:val="000E6E6F"/>
    <w:rsid w:val="000E7079"/>
    <w:rsid w:val="000E7102"/>
    <w:rsid w:val="000E710D"/>
    <w:rsid w:val="000E71A6"/>
    <w:rsid w:val="000E734E"/>
    <w:rsid w:val="000E74D6"/>
    <w:rsid w:val="000E76B7"/>
    <w:rsid w:val="000E79E1"/>
    <w:rsid w:val="000E7CDC"/>
    <w:rsid w:val="000E7DE7"/>
    <w:rsid w:val="000E7E1B"/>
    <w:rsid w:val="000E7E9C"/>
    <w:rsid w:val="000E7EB3"/>
    <w:rsid w:val="000F02E6"/>
    <w:rsid w:val="000F03E1"/>
    <w:rsid w:val="000F058E"/>
    <w:rsid w:val="000F0622"/>
    <w:rsid w:val="000F0634"/>
    <w:rsid w:val="000F09F2"/>
    <w:rsid w:val="000F0B3B"/>
    <w:rsid w:val="000F0CF4"/>
    <w:rsid w:val="000F0E49"/>
    <w:rsid w:val="000F0F0C"/>
    <w:rsid w:val="000F100F"/>
    <w:rsid w:val="000F117C"/>
    <w:rsid w:val="000F11D1"/>
    <w:rsid w:val="000F1489"/>
    <w:rsid w:val="000F173A"/>
    <w:rsid w:val="000F1A93"/>
    <w:rsid w:val="000F1ABA"/>
    <w:rsid w:val="000F1C46"/>
    <w:rsid w:val="000F1C96"/>
    <w:rsid w:val="000F1DA7"/>
    <w:rsid w:val="000F1E32"/>
    <w:rsid w:val="000F2099"/>
    <w:rsid w:val="000F20D0"/>
    <w:rsid w:val="000F21A4"/>
    <w:rsid w:val="000F21C5"/>
    <w:rsid w:val="000F2256"/>
    <w:rsid w:val="000F2412"/>
    <w:rsid w:val="000F2457"/>
    <w:rsid w:val="000F2632"/>
    <w:rsid w:val="000F26C5"/>
    <w:rsid w:val="000F27BB"/>
    <w:rsid w:val="000F27E2"/>
    <w:rsid w:val="000F2907"/>
    <w:rsid w:val="000F2BF2"/>
    <w:rsid w:val="000F2E4B"/>
    <w:rsid w:val="000F2E75"/>
    <w:rsid w:val="000F2E84"/>
    <w:rsid w:val="000F308B"/>
    <w:rsid w:val="000F31A4"/>
    <w:rsid w:val="000F328C"/>
    <w:rsid w:val="000F32B8"/>
    <w:rsid w:val="000F33AD"/>
    <w:rsid w:val="000F35A0"/>
    <w:rsid w:val="000F370C"/>
    <w:rsid w:val="000F373D"/>
    <w:rsid w:val="000F37AF"/>
    <w:rsid w:val="000F38FF"/>
    <w:rsid w:val="000F3955"/>
    <w:rsid w:val="000F3A63"/>
    <w:rsid w:val="000F3D40"/>
    <w:rsid w:val="000F3E94"/>
    <w:rsid w:val="000F3EC0"/>
    <w:rsid w:val="000F4120"/>
    <w:rsid w:val="000F426E"/>
    <w:rsid w:val="000F42E1"/>
    <w:rsid w:val="000F4314"/>
    <w:rsid w:val="000F46B7"/>
    <w:rsid w:val="000F46F5"/>
    <w:rsid w:val="000F4749"/>
    <w:rsid w:val="000F48D6"/>
    <w:rsid w:val="000F4988"/>
    <w:rsid w:val="000F4B96"/>
    <w:rsid w:val="000F4D9B"/>
    <w:rsid w:val="000F4E1E"/>
    <w:rsid w:val="000F4F4B"/>
    <w:rsid w:val="000F4FCF"/>
    <w:rsid w:val="000F5009"/>
    <w:rsid w:val="000F510A"/>
    <w:rsid w:val="000F524C"/>
    <w:rsid w:val="000F52A7"/>
    <w:rsid w:val="000F52BD"/>
    <w:rsid w:val="000F550E"/>
    <w:rsid w:val="000F5914"/>
    <w:rsid w:val="000F59DF"/>
    <w:rsid w:val="000F59E8"/>
    <w:rsid w:val="000F5A31"/>
    <w:rsid w:val="000F5BAA"/>
    <w:rsid w:val="000F5DBD"/>
    <w:rsid w:val="000F5F3F"/>
    <w:rsid w:val="000F5F70"/>
    <w:rsid w:val="000F62C8"/>
    <w:rsid w:val="000F634D"/>
    <w:rsid w:val="000F6531"/>
    <w:rsid w:val="000F6532"/>
    <w:rsid w:val="000F665B"/>
    <w:rsid w:val="000F6736"/>
    <w:rsid w:val="000F69B6"/>
    <w:rsid w:val="000F6B35"/>
    <w:rsid w:val="000F6B5E"/>
    <w:rsid w:val="000F6C29"/>
    <w:rsid w:val="000F6D7F"/>
    <w:rsid w:val="000F6F6A"/>
    <w:rsid w:val="000F71AE"/>
    <w:rsid w:val="000F7235"/>
    <w:rsid w:val="000F72EA"/>
    <w:rsid w:val="000F7301"/>
    <w:rsid w:val="000F7510"/>
    <w:rsid w:val="000F7517"/>
    <w:rsid w:val="000F77D2"/>
    <w:rsid w:val="000F77E1"/>
    <w:rsid w:val="000F78FA"/>
    <w:rsid w:val="000F7C22"/>
    <w:rsid w:val="000F7C76"/>
    <w:rsid w:val="000F7D4C"/>
    <w:rsid w:val="000F7D99"/>
    <w:rsid w:val="000F7DB5"/>
    <w:rsid w:val="000F7E67"/>
    <w:rsid w:val="0010001F"/>
    <w:rsid w:val="00100029"/>
    <w:rsid w:val="001000FD"/>
    <w:rsid w:val="00100259"/>
    <w:rsid w:val="001002A7"/>
    <w:rsid w:val="001003D5"/>
    <w:rsid w:val="00100484"/>
    <w:rsid w:val="001004DD"/>
    <w:rsid w:val="0010053E"/>
    <w:rsid w:val="0010078E"/>
    <w:rsid w:val="001007D1"/>
    <w:rsid w:val="00100859"/>
    <w:rsid w:val="0010091F"/>
    <w:rsid w:val="00100B55"/>
    <w:rsid w:val="00100EC1"/>
    <w:rsid w:val="00101047"/>
    <w:rsid w:val="001011AD"/>
    <w:rsid w:val="001011EB"/>
    <w:rsid w:val="00101294"/>
    <w:rsid w:val="00101601"/>
    <w:rsid w:val="00101764"/>
    <w:rsid w:val="00101769"/>
    <w:rsid w:val="00101B56"/>
    <w:rsid w:val="00101BD9"/>
    <w:rsid w:val="00101FEB"/>
    <w:rsid w:val="0010219E"/>
    <w:rsid w:val="001021AE"/>
    <w:rsid w:val="00102292"/>
    <w:rsid w:val="001023DC"/>
    <w:rsid w:val="0010249C"/>
    <w:rsid w:val="0010257D"/>
    <w:rsid w:val="001025C0"/>
    <w:rsid w:val="001027EE"/>
    <w:rsid w:val="00102850"/>
    <w:rsid w:val="001028F1"/>
    <w:rsid w:val="00102C81"/>
    <w:rsid w:val="00102CFA"/>
    <w:rsid w:val="00103255"/>
    <w:rsid w:val="001035DC"/>
    <w:rsid w:val="001035F4"/>
    <w:rsid w:val="001037AD"/>
    <w:rsid w:val="00103D23"/>
    <w:rsid w:val="00103E61"/>
    <w:rsid w:val="00103F65"/>
    <w:rsid w:val="0010410A"/>
    <w:rsid w:val="001041F6"/>
    <w:rsid w:val="001042EF"/>
    <w:rsid w:val="0010434A"/>
    <w:rsid w:val="00104756"/>
    <w:rsid w:val="00104C0E"/>
    <w:rsid w:val="00104DB2"/>
    <w:rsid w:val="00105270"/>
    <w:rsid w:val="0010532E"/>
    <w:rsid w:val="00105576"/>
    <w:rsid w:val="0010589E"/>
    <w:rsid w:val="00105912"/>
    <w:rsid w:val="00105B66"/>
    <w:rsid w:val="00105D47"/>
    <w:rsid w:val="00105EE8"/>
    <w:rsid w:val="00106020"/>
    <w:rsid w:val="00106084"/>
    <w:rsid w:val="0010636E"/>
    <w:rsid w:val="00106662"/>
    <w:rsid w:val="00106749"/>
    <w:rsid w:val="00106753"/>
    <w:rsid w:val="00106846"/>
    <w:rsid w:val="00106CFD"/>
    <w:rsid w:val="00106F88"/>
    <w:rsid w:val="00106FCB"/>
    <w:rsid w:val="00106FF4"/>
    <w:rsid w:val="00107013"/>
    <w:rsid w:val="00107138"/>
    <w:rsid w:val="0010726E"/>
    <w:rsid w:val="00107371"/>
    <w:rsid w:val="00107384"/>
    <w:rsid w:val="001076D5"/>
    <w:rsid w:val="001079A3"/>
    <w:rsid w:val="001079DC"/>
    <w:rsid w:val="00107CAE"/>
    <w:rsid w:val="00107D9A"/>
    <w:rsid w:val="00107F5C"/>
    <w:rsid w:val="00110061"/>
    <w:rsid w:val="0011010C"/>
    <w:rsid w:val="001103A1"/>
    <w:rsid w:val="00110447"/>
    <w:rsid w:val="0011056D"/>
    <w:rsid w:val="0011075E"/>
    <w:rsid w:val="00110C8A"/>
    <w:rsid w:val="00110D5A"/>
    <w:rsid w:val="00110DA1"/>
    <w:rsid w:val="00110DFF"/>
    <w:rsid w:val="00110E77"/>
    <w:rsid w:val="00110F45"/>
    <w:rsid w:val="001113A1"/>
    <w:rsid w:val="001113A5"/>
    <w:rsid w:val="00111461"/>
    <w:rsid w:val="0011153E"/>
    <w:rsid w:val="001115A9"/>
    <w:rsid w:val="00111621"/>
    <w:rsid w:val="0011164F"/>
    <w:rsid w:val="00111890"/>
    <w:rsid w:val="00111D54"/>
    <w:rsid w:val="00111F44"/>
    <w:rsid w:val="00111F88"/>
    <w:rsid w:val="00111FC0"/>
    <w:rsid w:val="0011229A"/>
    <w:rsid w:val="001126F4"/>
    <w:rsid w:val="001128BB"/>
    <w:rsid w:val="00112C3B"/>
    <w:rsid w:val="00112D43"/>
    <w:rsid w:val="00112F12"/>
    <w:rsid w:val="00112F80"/>
    <w:rsid w:val="00112F9C"/>
    <w:rsid w:val="0011308B"/>
    <w:rsid w:val="001130E0"/>
    <w:rsid w:val="001131B1"/>
    <w:rsid w:val="001133AA"/>
    <w:rsid w:val="001133FD"/>
    <w:rsid w:val="0011399B"/>
    <w:rsid w:val="00113ACE"/>
    <w:rsid w:val="00113E3B"/>
    <w:rsid w:val="00113EE0"/>
    <w:rsid w:val="00113FAF"/>
    <w:rsid w:val="001140F0"/>
    <w:rsid w:val="00114247"/>
    <w:rsid w:val="00114346"/>
    <w:rsid w:val="0011473C"/>
    <w:rsid w:val="00114867"/>
    <w:rsid w:val="00114A47"/>
    <w:rsid w:val="00114B7E"/>
    <w:rsid w:val="00114CB6"/>
    <w:rsid w:val="00114CD8"/>
    <w:rsid w:val="00114DEB"/>
    <w:rsid w:val="00114E96"/>
    <w:rsid w:val="0011502D"/>
    <w:rsid w:val="001150EA"/>
    <w:rsid w:val="001154B5"/>
    <w:rsid w:val="001158F3"/>
    <w:rsid w:val="00115B7F"/>
    <w:rsid w:val="00115C51"/>
    <w:rsid w:val="00115D62"/>
    <w:rsid w:val="00115DFE"/>
    <w:rsid w:val="001160C2"/>
    <w:rsid w:val="00116115"/>
    <w:rsid w:val="00116199"/>
    <w:rsid w:val="001161A8"/>
    <w:rsid w:val="00116495"/>
    <w:rsid w:val="001164FE"/>
    <w:rsid w:val="00116560"/>
    <w:rsid w:val="001165CD"/>
    <w:rsid w:val="0011660A"/>
    <w:rsid w:val="00116694"/>
    <w:rsid w:val="00116793"/>
    <w:rsid w:val="00116C75"/>
    <w:rsid w:val="00116F7A"/>
    <w:rsid w:val="00116F8F"/>
    <w:rsid w:val="00117083"/>
    <w:rsid w:val="0011713C"/>
    <w:rsid w:val="00117279"/>
    <w:rsid w:val="0011728C"/>
    <w:rsid w:val="0011746B"/>
    <w:rsid w:val="001175F7"/>
    <w:rsid w:val="0011764F"/>
    <w:rsid w:val="00117675"/>
    <w:rsid w:val="00117721"/>
    <w:rsid w:val="00117830"/>
    <w:rsid w:val="00117D47"/>
    <w:rsid w:val="00117F25"/>
    <w:rsid w:val="00117FC5"/>
    <w:rsid w:val="001202AE"/>
    <w:rsid w:val="0012032E"/>
    <w:rsid w:val="001206DF"/>
    <w:rsid w:val="00120789"/>
    <w:rsid w:val="00120931"/>
    <w:rsid w:val="00120ACA"/>
    <w:rsid w:val="00120CE5"/>
    <w:rsid w:val="00120EBD"/>
    <w:rsid w:val="001212BA"/>
    <w:rsid w:val="00121306"/>
    <w:rsid w:val="001213B1"/>
    <w:rsid w:val="0012172C"/>
    <w:rsid w:val="00121C5A"/>
    <w:rsid w:val="00121E72"/>
    <w:rsid w:val="00121F0A"/>
    <w:rsid w:val="00121FA2"/>
    <w:rsid w:val="00122359"/>
    <w:rsid w:val="00122372"/>
    <w:rsid w:val="0012245D"/>
    <w:rsid w:val="0012257A"/>
    <w:rsid w:val="001227AE"/>
    <w:rsid w:val="001229D6"/>
    <w:rsid w:val="00122A1E"/>
    <w:rsid w:val="00122DE1"/>
    <w:rsid w:val="00122F13"/>
    <w:rsid w:val="00123081"/>
    <w:rsid w:val="0012322E"/>
    <w:rsid w:val="001233B7"/>
    <w:rsid w:val="001233CD"/>
    <w:rsid w:val="00123528"/>
    <w:rsid w:val="0012361F"/>
    <w:rsid w:val="001237E5"/>
    <w:rsid w:val="00123825"/>
    <w:rsid w:val="00123897"/>
    <w:rsid w:val="00123B4B"/>
    <w:rsid w:val="00123B80"/>
    <w:rsid w:val="00123BC8"/>
    <w:rsid w:val="00123DCD"/>
    <w:rsid w:val="00123F2D"/>
    <w:rsid w:val="00123FE8"/>
    <w:rsid w:val="00124226"/>
    <w:rsid w:val="001242D0"/>
    <w:rsid w:val="00124508"/>
    <w:rsid w:val="001245D8"/>
    <w:rsid w:val="0012468C"/>
    <w:rsid w:val="001246F3"/>
    <w:rsid w:val="001248AD"/>
    <w:rsid w:val="00124950"/>
    <w:rsid w:val="00124E02"/>
    <w:rsid w:val="00124E7A"/>
    <w:rsid w:val="00124F36"/>
    <w:rsid w:val="00124F7A"/>
    <w:rsid w:val="001251EC"/>
    <w:rsid w:val="001252BD"/>
    <w:rsid w:val="001252E7"/>
    <w:rsid w:val="00125663"/>
    <w:rsid w:val="001258A2"/>
    <w:rsid w:val="00125A25"/>
    <w:rsid w:val="00125CBA"/>
    <w:rsid w:val="00126041"/>
    <w:rsid w:val="00126090"/>
    <w:rsid w:val="001260D7"/>
    <w:rsid w:val="001260DB"/>
    <w:rsid w:val="00126166"/>
    <w:rsid w:val="00126175"/>
    <w:rsid w:val="001263A8"/>
    <w:rsid w:val="0012642F"/>
    <w:rsid w:val="001264D8"/>
    <w:rsid w:val="001265AD"/>
    <w:rsid w:val="001265C5"/>
    <w:rsid w:val="0012660D"/>
    <w:rsid w:val="0012667C"/>
    <w:rsid w:val="00126693"/>
    <w:rsid w:val="0012669D"/>
    <w:rsid w:val="00126861"/>
    <w:rsid w:val="001269D2"/>
    <w:rsid w:val="00126B3F"/>
    <w:rsid w:val="00126B60"/>
    <w:rsid w:val="00126D7F"/>
    <w:rsid w:val="00126E15"/>
    <w:rsid w:val="001270EE"/>
    <w:rsid w:val="001270F7"/>
    <w:rsid w:val="001271C9"/>
    <w:rsid w:val="001272C4"/>
    <w:rsid w:val="001274AC"/>
    <w:rsid w:val="00127662"/>
    <w:rsid w:val="001277D2"/>
    <w:rsid w:val="001278AA"/>
    <w:rsid w:val="00127C93"/>
    <w:rsid w:val="00127D74"/>
    <w:rsid w:val="00127F3F"/>
    <w:rsid w:val="00130082"/>
    <w:rsid w:val="00130093"/>
    <w:rsid w:val="0013026C"/>
    <w:rsid w:val="001302FC"/>
    <w:rsid w:val="001305EA"/>
    <w:rsid w:val="0013067E"/>
    <w:rsid w:val="00130765"/>
    <w:rsid w:val="00130AC8"/>
    <w:rsid w:val="00130B7F"/>
    <w:rsid w:val="00130BB7"/>
    <w:rsid w:val="00130BF0"/>
    <w:rsid w:val="00130C84"/>
    <w:rsid w:val="00130F2D"/>
    <w:rsid w:val="00130F43"/>
    <w:rsid w:val="00130F54"/>
    <w:rsid w:val="00131045"/>
    <w:rsid w:val="00131390"/>
    <w:rsid w:val="0013157F"/>
    <w:rsid w:val="00131842"/>
    <w:rsid w:val="00131CD6"/>
    <w:rsid w:val="00131EBF"/>
    <w:rsid w:val="00132466"/>
    <w:rsid w:val="001324E2"/>
    <w:rsid w:val="00132709"/>
    <w:rsid w:val="00132941"/>
    <w:rsid w:val="001329F2"/>
    <w:rsid w:val="00132A44"/>
    <w:rsid w:val="00132D53"/>
    <w:rsid w:val="00132D73"/>
    <w:rsid w:val="00132DFD"/>
    <w:rsid w:val="00132F75"/>
    <w:rsid w:val="0013322F"/>
    <w:rsid w:val="00133262"/>
    <w:rsid w:val="001332F9"/>
    <w:rsid w:val="0013334B"/>
    <w:rsid w:val="001335A4"/>
    <w:rsid w:val="00133613"/>
    <w:rsid w:val="001336A8"/>
    <w:rsid w:val="001336ED"/>
    <w:rsid w:val="00133880"/>
    <w:rsid w:val="0013398A"/>
    <w:rsid w:val="001339F1"/>
    <w:rsid w:val="00133A15"/>
    <w:rsid w:val="00133B37"/>
    <w:rsid w:val="00133BEC"/>
    <w:rsid w:val="00133E4A"/>
    <w:rsid w:val="00134134"/>
    <w:rsid w:val="0013468B"/>
    <w:rsid w:val="0013473D"/>
    <w:rsid w:val="00134794"/>
    <w:rsid w:val="001347EF"/>
    <w:rsid w:val="00134814"/>
    <w:rsid w:val="00134896"/>
    <w:rsid w:val="00134C72"/>
    <w:rsid w:val="00134D19"/>
    <w:rsid w:val="00134F4E"/>
    <w:rsid w:val="00135015"/>
    <w:rsid w:val="00135038"/>
    <w:rsid w:val="0013505A"/>
    <w:rsid w:val="001351EB"/>
    <w:rsid w:val="00135232"/>
    <w:rsid w:val="00135314"/>
    <w:rsid w:val="001353D1"/>
    <w:rsid w:val="0013572C"/>
    <w:rsid w:val="00135876"/>
    <w:rsid w:val="00135905"/>
    <w:rsid w:val="00135AD2"/>
    <w:rsid w:val="00135C77"/>
    <w:rsid w:val="00135FFC"/>
    <w:rsid w:val="0013627B"/>
    <w:rsid w:val="001362D5"/>
    <w:rsid w:val="001362F3"/>
    <w:rsid w:val="0013650B"/>
    <w:rsid w:val="0013656B"/>
    <w:rsid w:val="00136652"/>
    <w:rsid w:val="001367F8"/>
    <w:rsid w:val="00136855"/>
    <w:rsid w:val="001369B9"/>
    <w:rsid w:val="00136AE5"/>
    <w:rsid w:val="00136D07"/>
    <w:rsid w:val="00136E37"/>
    <w:rsid w:val="00136EA5"/>
    <w:rsid w:val="00136F0C"/>
    <w:rsid w:val="00136FE1"/>
    <w:rsid w:val="00137022"/>
    <w:rsid w:val="0013746B"/>
    <w:rsid w:val="001375A8"/>
    <w:rsid w:val="00137B53"/>
    <w:rsid w:val="00137F9E"/>
    <w:rsid w:val="0014031A"/>
    <w:rsid w:val="001404BA"/>
    <w:rsid w:val="00140642"/>
    <w:rsid w:val="0014097C"/>
    <w:rsid w:val="00140AD2"/>
    <w:rsid w:val="00140B89"/>
    <w:rsid w:val="00140D19"/>
    <w:rsid w:val="00140D31"/>
    <w:rsid w:val="00140E75"/>
    <w:rsid w:val="00140EDB"/>
    <w:rsid w:val="0014116C"/>
    <w:rsid w:val="001411BD"/>
    <w:rsid w:val="00141230"/>
    <w:rsid w:val="001413B3"/>
    <w:rsid w:val="00141461"/>
    <w:rsid w:val="00141547"/>
    <w:rsid w:val="00141A76"/>
    <w:rsid w:val="00141BBB"/>
    <w:rsid w:val="00141C8A"/>
    <w:rsid w:val="00141CBE"/>
    <w:rsid w:val="00141CF4"/>
    <w:rsid w:val="00141D98"/>
    <w:rsid w:val="00141E37"/>
    <w:rsid w:val="00141E62"/>
    <w:rsid w:val="00141FD8"/>
    <w:rsid w:val="00142081"/>
    <w:rsid w:val="00142132"/>
    <w:rsid w:val="001421DA"/>
    <w:rsid w:val="0014229F"/>
    <w:rsid w:val="001423A2"/>
    <w:rsid w:val="001423A7"/>
    <w:rsid w:val="0014240B"/>
    <w:rsid w:val="001424C7"/>
    <w:rsid w:val="001424CC"/>
    <w:rsid w:val="00142545"/>
    <w:rsid w:val="001425A1"/>
    <w:rsid w:val="0014265F"/>
    <w:rsid w:val="0014281B"/>
    <w:rsid w:val="00142A0A"/>
    <w:rsid w:val="00142EE8"/>
    <w:rsid w:val="001430AF"/>
    <w:rsid w:val="001430EA"/>
    <w:rsid w:val="001434B7"/>
    <w:rsid w:val="001434BB"/>
    <w:rsid w:val="00143655"/>
    <w:rsid w:val="00143784"/>
    <w:rsid w:val="001438E8"/>
    <w:rsid w:val="00143962"/>
    <w:rsid w:val="00143B09"/>
    <w:rsid w:val="00143B54"/>
    <w:rsid w:val="00143C23"/>
    <w:rsid w:val="00144187"/>
    <w:rsid w:val="001443B6"/>
    <w:rsid w:val="00144651"/>
    <w:rsid w:val="00144B35"/>
    <w:rsid w:val="00144C27"/>
    <w:rsid w:val="00144CAF"/>
    <w:rsid w:val="00145268"/>
    <w:rsid w:val="00145371"/>
    <w:rsid w:val="00145675"/>
    <w:rsid w:val="0014586C"/>
    <w:rsid w:val="001459D1"/>
    <w:rsid w:val="00145A69"/>
    <w:rsid w:val="00145E75"/>
    <w:rsid w:val="00146052"/>
    <w:rsid w:val="00146262"/>
    <w:rsid w:val="00146806"/>
    <w:rsid w:val="00146A0F"/>
    <w:rsid w:val="00146AB5"/>
    <w:rsid w:val="00146AC6"/>
    <w:rsid w:val="00146CF4"/>
    <w:rsid w:val="00146DF0"/>
    <w:rsid w:val="00146E04"/>
    <w:rsid w:val="00146E4A"/>
    <w:rsid w:val="00146F3F"/>
    <w:rsid w:val="001471AF"/>
    <w:rsid w:val="001471DC"/>
    <w:rsid w:val="00147310"/>
    <w:rsid w:val="0014732E"/>
    <w:rsid w:val="001474F7"/>
    <w:rsid w:val="001474FE"/>
    <w:rsid w:val="00147687"/>
    <w:rsid w:val="001476F1"/>
    <w:rsid w:val="00147716"/>
    <w:rsid w:val="0014774B"/>
    <w:rsid w:val="001478A4"/>
    <w:rsid w:val="00147925"/>
    <w:rsid w:val="00147987"/>
    <w:rsid w:val="001479FC"/>
    <w:rsid w:val="00147AA7"/>
    <w:rsid w:val="00147B52"/>
    <w:rsid w:val="00147B5B"/>
    <w:rsid w:val="00147E6A"/>
    <w:rsid w:val="00147EA9"/>
    <w:rsid w:val="00147F51"/>
    <w:rsid w:val="00147FFA"/>
    <w:rsid w:val="00150089"/>
    <w:rsid w:val="0015008F"/>
    <w:rsid w:val="00150337"/>
    <w:rsid w:val="001503D3"/>
    <w:rsid w:val="0015053E"/>
    <w:rsid w:val="00150595"/>
    <w:rsid w:val="00150648"/>
    <w:rsid w:val="00150741"/>
    <w:rsid w:val="0015082F"/>
    <w:rsid w:val="0015098D"/>
    <w:rsid w:val="00150C51"/>
    <w:rsid w:val="00150DF5"/>
    <w:rsid w:val="00150F77"/>
    <w:rsid w:val="0015114B"/>
    <w:rsid w:val="0015127A"/>
    <w:rsid w:val="00151389"/>
    <w:rsid w:val="00151461"/>
    <w:rsid w:val="00151522"/>
    <w:rsid w:val="00151654"/>
    <w:rsid w:val="001516AE"/>
    <w:rsid w:val="001517AC"/>
    <w:rsid w:val="00151BEF"/>
    <w:rsid w:val="00152162"/>
    <w:rsid w:val="00152261"/>
    <w:rsid w:val="0015235F"/>
    <w:rsid w:val="00152420"/>
    <w:rsid w:val="00152428"/>
    <w:rsid w:val="00152459"/>
    <w:rsid w:val="0015260C"/>
    <w:rsid w:val="001527D8"/>
    <w:rsid w:val="0015285F"/>
    <w:rsid w:val="00152A38"/>
    <w:rsid w:val="00152C02"/>
    <w:rsid w:val="00152C32"/>
    <w:rsid w:val="00152DE8"/>
    <w:rsid w:val="00152E47"/>
    <w:rsid w:val="00152F85"/>
    <w:rsid w:val="001531CA"/>
    <w:rsid w:val="00153431"/>
    <w:rsid w:val="001534E3"/>
    <w:rsid w:val="0015357B"/>
    <w:rsid w:val="0015373A"/>
    <w:rsid w:val="001538BF"/>
    <w:rsid w:val="00153A20"/>
    <w:rsid w:val="00153A5D"/>
    <w:rsid w:val="00153E85"/>
    <w:rsid w:val="0015410E"/>
    <w:rsid w:val="00154250"/>
    <w:rsid w:val="00154379"/>
    <w:rsid w:val="001543FE"/>
    <w:rsid w:val="00154490"/>
    <w:rsid w:val="00154665"/>
    <w:rsid w:val="0015468A"/>
    <w:rsid w:val="00154922"/>
    <w:rsid w:val="001549AC"/>
    <w:rsid w:val="001549B3"/>
    <w:rsid w:val="00154CB5"/>
    <w:rsid w:val="00154F7D"/>
    <w:rsid w:val="00154FC8"/>
    <w:rsid w:val="00155223"/>
    <w:rsid w:val="00155323"/>
    <w:rsid w:val="0015536D"/>
    <w:rsid w:val="001553A4"/>
    <w:rsid w:val="001555B3"/>
    <w:rsid w:val="0015568A"/>
    <w:rsid w:val="001556F7"/>
    <w:rsid w:val="001557C6"/>
    <w:rsid w:val="0015580A"/>
    <w:rsid w:val="00155A73"/>
    <w:rsid w:val="00155B12"/>
    <w:rsid w:val="00155DBB"/>
    <w:rsid w:val="00155DD1"/>
    <w:rsid w:val="00155E07"/>
    <w:rsid w:val="001560AB"/>
    <w:rsid w:val="001560C9"/>
    <w:rsid w:val="00156147"/>
    <w:rsid w:val="00156149"/>
    <w:rsid w:val="00156162"/>
    <w:rsid w:val="001562A9"/>
    <w:rsid w:val="001562FA"/>
    <w:rsid w:val="001564A3"/>
    <w:rsid w:val="00156638"/>
    <w:rsid w:val="001567BE"/>
    <w:rsid w:val="0015690B"/>
    <w:rsid w:val="0015694C"/>
    <w:rsid w:val="00156AD5"/>
    <w:rsid w:val="00156B26"/>
    <w:rsid w:val="00156E0D"/>
    <w:rsid w:val="0015713D"/>
    <w:rsid w:val="001572FA"/>
    <w:rsid w:val="001573F2"/>
    <w:rsid w:val="001575CB"/>
    <w:rsid w:val="0015760A"/>
    <w:rsid w:val="00157753"/>
    <w:rsid w:val="0015784C"/>
    <w:rsid w:val="001578EB"/>
    <w:rsid w:val="001579C6"/>
    <w:rsid w:val="00157A5E"/>
    <w:rsid w:val="00157CEC"/>
    <w:rsid w:val="00157CFA"/>
    <w:rsid w:val="00157D1F"/>
    <w:rsid w:val="00157EE3"/>
    <w:rsid w:val="00157F6B"/>
    <w:rsid w:val="00157FCC"/>
    <w:rsid w:val="00157FEA"/>
    <w:rsid w:val="0016017A"/>
    <w:rsid w:val="0016020C"/>
    <w:rsid w:val="00160231"/>
    <w:rsid w:val="0016042D"/>
    <w:rsid w:val="0016043D"/>
    <w:rsid w:val="001604D4"/>
    <w:rsid w:val="001606A1"/>
    <w:rsid w:val="001606D8"/>
    <w:rsid w:val="0016094B"/>
    <w:rsid w:val="00160952"/>
    <w:rsid w:val="00160A9F"/>
    <w:rsid w:val="00160AF0"/>
    <w:rsid w:val="00160AFC"/>
    <w:rsid w:val="00160B7B"/>
    <w:rsid w:val="00160BE5"/>
    <w:rsid w:val="001612CB"/>
    <w:rsid w:val="001613AE"/>
    <w:rsid w:val="00161522"/>
    <w:rsid w:val="00161DE8"/>
    <w:rsid w:val="00162262"/>
    <w:rsid w:val="001624C2"/>
    <w:rsid w:val="00162630"/>
    <w:rsid w:val="00162957"/>
    <w:rsid w:val="00162A05"/>
    <w:rsid w:val="00162B4E"/>
    <w:rsid w:val="00162B8D"/>
    <w:rsid w:val="00162D89"/>
    <w:rsid w:val="00162DF4"/>
    <w:rsid w:val="0016324F"/>
    <w:rsid w:val="00163635"/>
    <w:rsid w:val="00163724"/>
    <w:rsid w:val="0016388D"/>
    <w:rsid w:val="001638B4"/>
    <w:rsid w:val="00163AFA"/>
    <w:rsid w:val="00163B22"/>
    <w:rsid w:val="00163CB0"/>
    <w:rsid w:val="00163D0F"/>
    <w:rsid w:val="00163DFD"/>
    <w:rsid w:val="00163E6A"/>
    <w:rsid w:val="00163EF9"/>
    <w:rsid w:val="0016416C"/>
    <w:rsid w:val="00164442"/>
    <w:rsid w:val="00164482"/>
    <w:rsid w:val="0016450E"/>
    <w:rsid w:val="0016464F"/>
    <w:rsid w:val="00164924"/>
    <w:rsid w:val="00164BBA"/>
    <w:rsid w:val="00164C1A"/>
    <w:rsid w:val="00164DA6"/>
    <w:rsid w:val="00164DE3"/>
    <w:rsid w:val="00164F0D"/>
    <w:rsid w:val="00165025"/>
    <w:rsid w:val="00165232"/>
    <w:rsid w:val="001652DA"/>
    <w:rsid w:val="001654DC"/>
    <w:rsid w:val="001654E3"/>
    <w:rsid w:val="00165921"/>
    <w:rsid w:val="00165BC7"/>
    <w:rsid w:val="00165C15"/>
    <w:rsid w:val="00165F98"/>
    <w:rsid w:val="00165FB6"/>
    <w:rsid w:val="001660FE"/>
    <w:rsid w:val="00166106"/>
    <w:rsid w:val="0016618B"/>
    <w:rsid w:val="001662C4"/>
    <w:rsid w:val="001667BA"/>
    <w:rsid w:val="001667C2"/>
    <w:rsid w:val="001667D3"/>
    <w:rsid w:val="001668B8"/>
    <w:rsid w:val="001668C2"/>
    <w:rsid w:val="001669BF"/>
    <w:rsid w:val="00166BC9"/>
    <w:rsid w:val="00166C3C"/>
    <w:rsid w:val="00166E8A"/>
    <w:rsid w:val="00166FEA"/>
    <w:rsid w:val="00167036"/>
    <w:rsid w:val="00167354"/>
    <w:rsid w:val="001673C8"/>
    <w:rsid w:val="00167515"/>
    <w:rsid w:val="00167548"/>
    <w:rsid w:val="001675AA"/>
    <w:rsid w:val="0016760D"/>
    <w:rsid w:val="0016762F"/>
    <w:rsid w:val="0016770C"/>
    <w:rsid w:val="001677DA"/>
    <w:rsid w:val="0016781E"/>
    <w:rsid w:val="0016794A"/>
    <w:rsid w:val="00167A9B"/>
    <w:rsid w:val="00167AAB"/>
    <w:rsid w:val="00167B93"/>
    <w:rsid w:val="00167B9D"/>
    <w:rsid w:val="00167C90"/>
    <w:rsid w:val="00167DFF"/>
    <w:rsid w:val="00167E45"/>
    <w:rsid w:val="00167F2D"/>
    <w:rsid w:val="00170086"/>
    <w:rsid w:val="001702AE"/>
    <w:rsid w:val="00170353"/>
    <w:rsid w:val="00170555"/>
    <w:rsid w:val="0017064B"/>
    <w:rsid w:val="001706C4"/>
    <w:rsid w:val="0017072B"/>
    <w:rsid w:val="001707FF"/>
    <w:rsid w:val="00170991"/>
    <w:rsid w:val="00170D98"/>
    <w:rsid w:val="00170F12"/>
    <w:rsid w:val="00170FA0"/>
    <w:rsid w:val="001712C3"/>
    <w:rsid w:val="001712F8"/>
    <w:rsid w:val="001715DA"/>
    <w:rsid w:val="001717C4"/>
    <w:rsid w:val="001719F4"/>
    <w:rsid w:val="00171ABF"/>
    <w:rsid w:val="00171B4F"/>
    <w:rsid w:val="00171CAF"/>
    <w:rsid w:val="00171E38"/>
    <w:rsid w:val="00171EE9"/>
    <w:rsid w:val="00171F8E"/>
    <w:rsid w:val="00172090"/>
    <w:rsid w:val="001720B8"/>
    <w:rsid w:val="001720EA"/>
    <w:rsid w:val="0017213B"/>
    <w:rsid w:val="00172288"/>
    <w:rsid w:val="00172326"/>
    <w:rsid w:val="001723AE"/>
    <w:rsid w:val="00172577"/>
    <w:rsid w:val="0017287E"/>
    <w:rsid w:val="00172927"/>
    <w:rsid w:val="0017296E"/>
    <w:rsid w:val="00172993"/>
    <w:rsid w:val="001729FC"/>
    <w:rsid w:val="00172F70"/>
    <w:rsid w:val="0017308C"/>
    <w:rsid w:val="0017308D"/>
    <w:rsid w:val="0017340E"/>
    <w:rsid w:val="0017343A"/>
    <w:rsid w:val="001735D7"/>
    <w:rsid w:val="00173777"/>
    <w:rsid w:val="001737BC"/>
    <w:rsid w:val="001737C2"/>
    <w:rsid w:val="0017381B"/>
    <w:rsid w:val="0017386F"/>
    <w:rsid w:val="00173A47"/>
    <w:rsid w:val="00173F35"/>
    <w:rsid w:val="00173FC6"/>
    <w:rsid w:val="00174105"/>
    <w:rsid w:val="00174178"/>
    <w:rsid w:val="0017423D"/>
    <w:rsid w:val="0017427B"/>
    <w:rsid w:val="00174286"/>
    <w:rsid w:val="00174474"/>
    <w:rsid w:val="00174487"/>
    <w:rsid w:val="001744FA"/>
    <w:rsid w:val="0017456D"/>
    <w:rsid w:val="00174659"/>
    <w:rsid w:val="001746CC"/>
    <w:rsid w:val="00174774"/>
    <w:rsid w:val="001748DD"/>
    <w:rsid w:val="0017498F"/>
    <w:rsid w:val="001749F8"/>
    <w:rsid w:val="00174B27"/>
    <w:rsid w:val="00174CD2"/>
    <w:rsid w:val="00174D0B"/>
    <w:rsid w:val="00174DE6"/>
    <w:rsid w:val="00174FD4"/>
    <w:rsid w:val="001751B2"/>
    <w:rsid w:val="0017544D"/>
    <w:rsid w:val="0017563A"/>
    <w:rsid w:val="00175A05"/>
    <w:rsid w:val="00175C02"/>
    <w:rsid w:val="0017610E"/>
    <w:rsid w:val="00176166"/>
    <w:rsid w:val="00176765"/>
    <w:rsid w:val="00176808"/>
    <w:rsid w:val="0017694C"/>
    <w:rsid w:val="00176AE8"/>
    <w:rsid w:val="00176B6D"/>
    <w:rsid w:val="00176D98"/>
    <w:rsid w:val="00176E10"/>
    <w:rsid w:val="00176F3F"/>
    <w:rsid w:val="001773A5"/>
    <w:rsid w:val="00177568"/>
    <w:rsid w:val="001778A8"/>
    <w:rsid w:val="00177995"/>
    <w:rsid w:val="00177B39"/>
    <w:rsid w:val="00177BF5"/>
    <w:rsid w:val="00177C1D"/>
    <w:rsid w:val="00177C89"/>
    <w:rsid w:val="00177CAF"/>
    <w:rsid w:val="00177F27"/>
    <w:rsid w:val="00177F98"/>
    <w:rsid w:val="00180160"/>
    <w:rsid w:val="001801A2"/>
    <w:rsid w:val="00180238"/>
    <w:rsid w:val="0018028A"/>
    <w:rsid w:val="00180471"/>
    <w:rsid w:val="001804E6"/>
    <w:rsid w:val="0018051B"/>
    <w:rsid w:val="001806BA"/>
    <w:rsid w:val="00180734"/>
    <w:rsid w:val="001807D5"/>
    <w:rsid w:val="001808AF"/>
    <w:rsid w:val="00180966"/>
    <w:rsid w:val="00180B6C"/>
    <w:rsid w:val="00180B75"/>
    <w:rsid w:val="00180D1D"/>
    <w:rsid w:val="00180D9C"/>
    <w:rsid w:val="00181088"/>
    <w:rsid w:val="001811BA"/>
    <w:rsid w:val="00181282"/>
    <w:rsid w:val="001817B9"/>
    <w:rsid w:val="00181A22"/>
    <w:rsid w:val="00181AB7"/>
    <w:rsid w:val="00181E3B"/>
    <w:rsid w:val="00181EDC"/>
    <w:rsid w:val="00181FDD"/>
    <w:rsid w:val="0018215A"/>
    <w:rsid w:val="00182205"/>
    <w:rsid w:val="0018254A"/>
    <w:rsid w:val="0018278D"/>
    <w:rsid w:val="001827B7"/>
    <w:rsid w:val="00182959"/>
    <w:rsid w:val="00182A10"/>
    <w:rsid w:val="00182D55"/>
    <w:rsid w:val="00183234"/>
    <w:rsid w:val="001837C0"/>
    <w:rsid w:val="00183A87"/>
    <w:rsid w:val="00183D6B"/>
    <w:rsid w:val="00183EA3"/>
    <w:rsid w:val="001843E0"/>
    <w:rsid w:val="0018457E"/>
    <w:rsid w:val="001845A7"/>
    <w:rsid w:val="0018479D"/>
    <w:rsid w:val="00184A5B"/>
    <w:rsid w:val="00184AF5"/>
    <w:rsid w:val="00184CC3"/>
    <w:rsid w:val="00184D18"/>
    <w:rsid w:val="00184D2C"/>
    <w:rsid w:val="00184DB0"/>
    <w:rsid w:val="00184E57"/>
    <w:rsid w:val="00184F1B"/>
    <w:rsid w:val="00185031"/>
    <w:rsid w:val="001852F1"/>
    <w:rsid w:val="0018531B"/>
    <w:rsid w:val="0018540B"/>
    <w:rsid w:val="00185432"/>
    <w:rsid w:val="001858EE"/>
    <w:rsid w:val="00185989"/>
    <w:rsid w:val="00185C37"/>
    <w:rsid w:val="00185E3A"/>
    <w:rsid w:val="00185F97"/>
    <w:rsid w:val="00186052"/>
    <w:rsid w:val="0018637F"/>
    <w:rsid w:val="001863AB"/>
    <w:rsid w:val="0018684A"/>
    <w:rsid w:val="00186870"/>
    <w:rsid w:val="00186980"/>
    <w:rsid w:val="001869F6"/>
    <w:rsid w:val="00186B80"/>
    <w:rsid w:val="00186CAA"/>
    <w:rsid w:val="00186D5A"/>
    <w:rsid w:val="00186E69"/>
    <w:rsid w:val="001871D8"/>
    <w:rsid w:val="001872C9"/>
    <w:rsid w:val="00187339"/>
    <w:rsid w:val="001873FC"/>
    <w:rsid w:val="0018748F"/>
    <w:rsid w:val="001874B1"/>
    <w:rsid w:val="001874F8"/>
    <w:rsid w:val="001876EC"/>
    <w:rsid w:val="00187796"/>
    <w:rsid w:val="001877CF"/>
    <w:rsid w:val="00187A4E"/>
    <w:rsid w:val="00187AB8"/>
    <w:rsid w:val="00187B7B"/>
    <w:rsid w:val="00187BE4"/>
    <w:rsid w:val="00187C68"/>
    <w:rsid w:val="00187D18"/>
    <w:rsid w:val="00190091"/>
    <w:rsid w:val="00190174"/>
    <w:rsid w:val="00190284"/>
    <w:rsid w:val="00190452"/>
    <w:rsid w:val="0019084E"/>
    <w:rsid w:val="001908FD"/>
    <w:rsid w:val="00190A06"/>
    <w:rsid w:val="00190BA6"/>
    <w:rsid w:val="00190BBB"/>
    <w:rsid w:val="00190BC6"/>
    <w:rsid w:val="00190BE4"/>
    <w:rsid w:val="00190EEA"/>
    <w:rsid w:val="00190F69"/>
    <w:rsid w:val="00191074"/>
    <w:rsid w:val="00191494"/>
    <w:rsid w:val="0019165A"/>
    <w:rsid w:val="001916FE"/>
    <w:rsid w:val="00191745"/>
    <w:rsid w:val="00191A13"/>
    <w:rsid w:val="00191B9E"/>
    <w:rsid w:val="00191D99"/>
    <w:rsid w:val="00191DCE"/>
    <w:rsid w:val="001920E6"/>
    <w:rsid w:val="00192108"/>
    <w:rsid w:val="0019229F"/>
    <w:rsid w:val="001923FA"/>
    <w:rsid w:val="00192443"/>
    <w:rsid w:val="0019258B"/>
    <w:rsid w:val="001927F2"/>
    <w:rsid w:val="00192861"/>
    <w:rsid w:val="00192A22"/>
    <w:rsid w:val="00192A62"/>
    <w:rsid w:val="00192A7F"/>
    <w:rsid w:val="00192AF9"/>
    <w:rsid w:val="00192D3A"/>
    <w:rsid w:val="00192E9B"/>
    <w:rsid w:val="00192F3E"/>
    <w:rsid w:val="00192FDC"/>
    <w:rsid w:val="001930F9"/>
    <w:rsid w:val="001932B2"/>
    <w:rsid w:val="001933B8"/>
    <w:rsid w:val="00193488"/>
    <w:rsid w:val="001935EA"/>
    <w:rsid w:val="0019376B"/>
    <w:rsid w:val="0019385C"/>
    <w:rsid w:val="001939CA"/>
    <w:rsid w:val="00193C11"/>
    <w:rsid w:val="00193F6E"/>
    <w:rsid w:val="00193FF1"/>
    <w:rsid w:val="00194007"/>
    <w:rsid w:val="00194265"/>
    <w:rsid w:val="001942AA"/>
    <w:rsid w:val="001943A2"/>
    <w:rsid w:val="00194483"/>
    <w:rsid w:val="001944F5"/>
    <w:rsid w:val="00194B19"/>
    <w:rsid w:val="00194B42"/>
    <w:rsid w:val="00194B63"/>
    <w:rsid w:val="00194C5E"/>
    <w:rsid w:val="00194DEF"/>
    <w:rsid w:val="00194F56"/>
    <w:rsid w:val="001950CC"/>
    <w:rsid w:val="001950F7"/>
    <w:rsid w:val="001951CC"/>
    <w:rsid w:val="00195339"/>
    <w:rsid w:val="00195495"/>
    <w:rsid w:val="00195592"/>
    <w:rsid w:val="001956ED"/>
    <w:rsid w:val="00195745"/>
    <w:rsid w:val="001959B8"/>
    <w:rsid w:val="00195A6D"/>
    <w:rsid w:val="00195B7A"/>
    <w:rsid w:val="00195BA4"/>
    <w:rsid w:val="00195D86"/>
    <w:rsid w:val="00195E31"/>
    <w:rsid w:val="00195F93"/>
    <w:rsid w:val="00195FD2"/>
    <w:rsid w:val="00196092"/>
    <w:rsid w:val="00196184"/>
    <w:rsid w:val="00196191"/>
    <w:rsid w:val="001961EE"/>
    <w:rsid w:val="00196427"/>
    <w:rsid w:val="0019656F"/>
    <w:rsid w:val="001969A3"/>
    <w:rsid w:val="00196A41"/>
    <w:rsid w:val="00196B08"/>
    <w:rsid w:val="00196CE8"/>
    <w:rsid w:val="00196D2D"/>
    <w:rsid w:val="00196EA8"/>
    <w:rsid w:val="0019707A"/>
    <w:rsid w:val="001971E7"/>
    <w:rsid w:val="001971FA"/>
    <w:rsid w:val="001975CD"/>
    <w:rsid w:val="001977EA"/>
    <w:rsid w:val="00197B4F"/>
    <w:rsid w:val="00197BE5"/>
    <w:rsid w:val="00197E63"/>
    <w:rsid w:val="00197F5F"/>
    <w:rsid w:val="001A0290"/>
    <w:rsid w:val="001A0462"/>
    <w:rsid w:val="001A05C2"/>
    <w:rsid w:val="001A071C"/>
    <w:rsid w:val="001A08AA"/>
    <w:rsid w:val="001A0C7D"/>
    <w:rsid w:val="001A0ECA"/>
    <w:rsid w:val="001A0F1F"/>
    <w:rsid w:val="001A1047"/>
    <w:rsid w:val="001A1159"/>
    <w:rsid w:val="001A1277"/>
    <w:rsid w:val="001A14D3"/>
    <w:rsid w:val="001A1686"/>
    <w:rsid w:val="001A17B1"/>
    <w:rsid w:val="001A1818"/>
    <w:rsid w:val="001A1899"/>
    <w:rsid w:val="001A1CFB"/>
    <w:rsid w:val="001A1D62"/>
    <w:rsid w:val="001A1F09"/>
    <w:rsid w:val="001A1FA0"/>
    <w:rsid w:val="001A2558"/>
    <w:rsid w:val="001A25CF"/>
    <w:rsid w:val="001A2637"/>
    <w:rsid w:val="001A27C8"/>
    <w:rsid w:val="001A294D"/>
    <w:rsid w:val="001A297E"/>
    <w:rsid w:val="001A299A"/>
    <w:rsid w:val="001A299D"/>
    <w:rsid w:val="001A29AD"/>
    <w:rsid w:val="001A2A08"/>
    <w:rsid w:val="001A2B2D"/>
    <w:rsid w:val="001A2B9F"/>
    <w:rsid w:val="001A2E15"/>
    <w:rsid w:val="001A2FE6"/>
    <w:rsid w:val="001A3213"/>
    <w:rsid w:val="001A32A3"/>
    <w:rsid w:val="001A330F"/>
    <w:rsid w:val="001A33DE"/>
    <w:rsid w:val="001A3752"/>
    <w:rsid w:val="001A37BD"/>
    <w:rsid w:val="001A37DF"/>
    <w:rsid w:val="001A3803"/>
    <w:rsid w:val="001A3902"/>
    <w:rsid w:val="001A39A2"/>
    <w:rsid w:val="001A39D0"/>
    <w:rsid w:val="001A3C0A"/>
    <w:rsid w:val="001A3DAA"/>
    <w:rsid w:val="001A413D"/>
    <w:rsid w:val="001A42F9"/>
    <w:rsid w:val="001A436D"/>
    <w:rsid w:val="001A44BD"/>
    <w:rsid w:val="001A4507"/>
    <w:rsid w:val="001A47B1"/>
    <w:rsid w:val="001A4897"/>
    <w:rsid w:val="001A48C9"/>
    <w:rsid w:val="001A48E1"/>
    <w:rsid w:val="001A4B8B"/>
    <w:rsid w:val="001A4B93"/>
    <w:rsid w:val="001A4C4A"/>
    <w:rsid w:val="001A4D70"/>
    <w:rsid w:val="001A4F49"/>
    <w:rsid w:val="001A522C"/>
    <w:rsid w:val="001A52DC"/>
    <w:rsid w:val="001A565A"/>
    <w:rsid w:val="001A585B"/>
    <w:rsid w:val="001A5B28"/>
    <w:rsid w:val="001A5C73"/>
    <w:rsid w:val="001A5CAD"/>
    <w:rsid w:val="001A5E3E"/>
    <w:rsid w:val="001A6149"/>
    <w:rsid w:val="001A634C"/>
    <w:rsid w:val="001A637E"/>
    <w:rsid w:val="001A6463"/>
    <w:rsid w:val="001A648A"/>
    <w:rsid w:val="001A6783"/>
    <w:rsid w:val="001A692C"/>
    <w:rsid w:val="001A6A10"/>
    <w:rsid w:val="001A6A38"/>
    <w:rsid w:val="001A6AE1"/>
    <w:rsid w:val="001A6D6F"/>
    <w:rsid w:val="001A6F5D"/>
    <w:rsid w:val="001A6FAF"/>
    <w:rsid w:val="001A7070"/>
    <w:rsid w:val="001A7127"/>
    <w:rsid w:val="001A713A"/>
    <w:rsid w:val="001A72E4"/>
    <w:rsid w:val="001A7669"/>
    <w:rsid w:val="001A769C"/>
    <w:rsid w:val="001A76EC"/>
    <w:rsid w:val="001A772C"/>
    <w:rsid w:val="001A774B"/>
    <w:rsid w:val="001A7866"/>
    <w:rsid w:val="001A78EF"/>
    <w:rsid w:val="001A791F"/>
    <w:rsid w:val="001A79B5"/>
    <w:rsid w:val="001A7A0D"/>
    <w:rsid w:val="001A7A77"/>
    <w:rsid w:val="001A7C4D"/>
    <w:rsid w:val="001A7E5A"/>
    <w:rsid w:val="001A7ED3"/>
    <w:rsid w:val="001A7F01"/>
    <w:rsid w:val="001B011B"/>
    <w:rsid w:val="001B0381"/>
    <w:rsid w:val="001B04D9"/>
    <w:rsid w:val="001B06F1"/>
    <w:rsid w:val="001B0718"/>
    <w:rsid w:val="001B0728"/>
    <w:rsid w:val="001B095B"/>
    <w:rsid w:val="001B0BD5"/>
    <w:rsid w:val="001B0DB8"/>
    <w:rsid w:val="001B108D"/>
    <w:rsid w:val="001B1210"/>
    <w:rsid w:val="001B1251"/>
    <w:rsid w:val="001B128F"/>
    <w:rsid w:val="001B1423"/>
    <w:rsid w:val="001B142C"/>
    <w:rsid w:val="001B14F3"/>
    <w:rsid w:val="001B1602"/>
    <w:rsid w:val="001B1869"/>
    <w:rsid w:val="001B1DF3"/>
    <w:rsid w:val="001B20F2"/>
    <w:rsid w:val="001B2186"/>
    <w:rsid w:val="001B2421"/>
    <w:rsid w:val="001B25D6"/>
    <w:rsid w:val="001B2732"/>
    <w:rsid w:val="001B2829"/>
    <w:rsid w:val="001B2865"/>
    <w:rsid w:val="001B28E8"/>
    <w:rsid w:val="001B29C3"/>
    <w:rsid w:val="001B2A71"/>
    <w:rsid w:val="001B2B76"/>
    <w:rsid w:val="001B2E8F"/>
    <w:rsid w:val="001B35D5"/>
    <w:rsid w:val="001B3662"/>
    <w:rsid w:val="001B36C9"/>
    <w:rsid w:val="001B36CC"/>
    <w:rsid w:val="001B36FA"/>
    <w:rsid w:val="001B383A"/>
    <w:rsid w:val="001B39EF"/>
    <w:rsid w:val="001B3AE7"/>
    <w:rsid w:val="001B3D14"/>
    <w:rsid w:val="001B408E"/>
    <w:rsid w:val="001B4236"/>
    <w:rsid w:val="001B44D4"/>
    <w:rsid w:val="001B4768"/>
    <w:rsid w:val="001B490F"/>
    <w:rsid w:val="001B4C65"/>
    <w:rsid w:val="001B4DC8"/>
    <w:rsid w:val="001B509B"/>
    <w:rsid w:val="001B516A"/>
    <w:rsid w:val="001B5179"/>
    <w:rsid w:val="001B52B1"/>
    <w:rsid w:val="001B52D2"/>
    <w:rsid w:val="001B52EA"/>
    <w:rsid w:val="001B530A"/>
    <w:rsid w:val="001B55A1"/>
    <w:rsid w:val="001B55A3"/>
    <w:rsid w:val="001B56EB"/>
    <w:rsid w:val="001B578E"/>
    <w:rsid w:val="001B57C1"/>
    <w:rsid w:val="001B5ADA"/>
    <w:rsid w:val="001B5C70"/>
    <w:rsid w:val="001B5CCA"/>
    <w:rsid w:val="001B5CDA"/>
    <w:rsid w:val="001B5F4B"/>
    <w:rsid w:val="001B618F"/>
    <w:rsid w:val="001B62E8"/>
    <w:rsid w:val="001B6417"/>
    <w:rsid w:val="001B6477"/>
    <w:rsid w:val="001B6483"/>
    <w:rsid w:val="001B6669"/>
    <w:rsid w:val="001B66D5"/>
    <w:rsid w:val="001B6812"/>
    <w:rsid w:val="001B6E88"/>
    <w:rsid w:val="001B71A9"/>
    <w:rsid w:val="001B71C8"/>
    <w:rsid w:val="001B75B4"/>
    <w:rsid w:val="001B785D"/>
    <w:rsid w:val="001B794D"/>
    <w:rsid w:val="001B7B59"/>
    <w:rsid w:val="001B7B5F"/>
    <w:rsid w:val="001B7EED"/>
    <w:rsid w:val="001C00BB"/>
    <w:rsid w:val="001C0311"/>
    <w:rsid w:val="001C03A5"/>
    <w:rsid w:val="001C040F"/>
    <w:rsid w:val="001C05BF"/>
    <w:rsid w:val="001C0751"/>
    <w:rsid w:val="001C08A3"/>
    <w:rsid w:val="001C0A55"/>
    <w:rsid w:val="001C0BAD"/>
    <w:rsid w:val="001C0CF4"/>
    <w:rsid w:val="001C0E64"/>
    <w:rsid w:val="001C0F71"/>
    <w:rsid w:val="001C0FA6"/>
    <w:rsid w:val="001C104A"/>
    <w:rsid w:val="001C1499"/>
    <w:rsid w:val="001C1772"/>
    <w:rsid w:val="001C17CA"/>
    <w:rsid w:val="001C1BD2"/>
    <w:rsid w:val="001C1BD5"/>
    <w:rsid w:val="001C1D4D"/>
    <w:rsid w:val="001C1D73"/>
    <w:rsid w:val="001C1D9B"/>
    <w:rsid w:val="001C1F2B"/>
    <w:rsid w:val="001C1F70"/>
    <w:rsid w:val="001C1FBC"/>
    <w:rsid w:val="001C2148"/>
    <w:rsid w:val="001C236B"/>
    <w:rsid w:val="001C250D"/>
    <w:rsid w:val="001C257B"/>
    <w:rsid w:val="001C2718"/>
    <w:rsid w:val="001C278E"/>
    <w:rsid w:val="001C2817"/>
    <w:rsid w:val="001C286E"/>
    <w:rsid w:val="001C2BAC"/>
    <w:rsid w:val="001C33DD"/>
    <w:rsid w:val="001C377F"/>
    <w:rsid w:val="001C39A5"/>
    <w:rsid w:val="001C3AAE"/>
    <w:rsid w:val="001C3C74"/>
    <w:rsid w:val="001C3E06"/>
    <w:rsid w:val="001C3F0A"/>
    <w:rsid w:val="001C3F76"/>
    <w:rsid w:val="001C4053"/>
    <w:rsid w:val="001C4270"/>
    <w:rsid w:val="001C43B6"/>
    <w:rsid w:val="001C4476"/>
    <w:rsid w:val="001C4852"/>
    <w:rsid w:val="001C4A33"/>
    <w:rsid w:val="001C4ACD"/>
    <w:rsid w:val="001C4C76"/>
    <w:rsid w:val="001C4CB7"/>
    <w:rsid w:val="001C4CEC"/>
    <w:rsid w:val="001C4ED3"/>
    <w:rsid w:val="001C516F"/>
    <w:rsid w:val="001C529C"/>
    <w:rsid w:val="001C5568"/>
    <w:rsid w:val="001C565A"/>
    <w:rsid w:val="001C5684"/>
    <w:rsid w:val="001C56CE"/>
    <w:rsid w:val="001C56F8"/>
    <w:rsid w:val="001C5A51"/>
    <w:rsid w:val="001C5C73"/>
    <w:rsid w:val="001C5EA1"/>
    <w:rsid w:val="001C6284"/>
    <w:rsid w:val="001C654C"/>
    <w:rsid w:val="001C6566"/>
    <w:rsid w:val="001C6706"/>
    <w:rsid w:val="001C6819"/>
    <w:rsid w:val="001C68AA"/>
    <w:rsid w:val="001C68D5"/>
    <w:rsid w:val="001C6D80"/>
    <w:rsid w:val="001C6DA2"/>
    <w:rsid w:val="001C70A8"/>
    <w:rsid w:val="001C748F"/>
    <w:rsid w:val="001C7724"/>
    <w:rsid w:val="001C797B"/>
    <w:rsid w:val="001C7B62"/>
    <w:rsid w:val="001C7B65"/>
    <w:rsid w:val="001C7F68"/>
    <w:rsid w:val="001D036D"/>
    <w:rsid w:val="001D03D6"/>
    <w:rsid w:val="001D03E6"/>
    <w:rsid w:val="001D0568"/>
    <w:rsid w:val="001D05B7"/>
    <w:rsid w:val="001D0646"/>
    <w:rsid w:val="001D0795"/>
    <w:rsid w:val="001D095F"/>
    <w:rsid w:val="001D0A01"/>
    <w:rsid w:val="001D0D86"/>
    <w:rsid w:val="001D0EDB"/>
    <w:rsid w:val="001D0EE8"/>
    <w:rsid w:val="001D12BB"/>
    <w:rsid w:val="001D14A1"/>
    <w:rsid w:val="001D1519"/>
    <w:rsid w:val="001D15C3"/>
    <w:rsid w:val="001D15E9"/>
    <w:rsid w:val="001D16B1"/>
    <w:rsid w:val="001D1780"/>
    <w:rsid w:val="001D17E4"/>
    <w:rsid w:val="001D1817"/>
    <w:rsid w:val="001D196F"/>
    <w:rsid w:val="001D1AB4"/>
    <w:rsid w:val="001D1B96"/>
    <w:rsid w:val="001D1D12"/>
    <w:rsid w:val="001D1D15"/>
    <w:rsid w:val="001D1E16"/>
    <w:rsid w:val="001D1EB0"/>
    <w:rsid w:val="001D1FBD"/>
    <w:rsid w:val="001D2391"/>
    <w:rsid w:val="001D2455"/>
    <w:rsid w:val="001D254E"/>
    <w:rsid w:val="001D2559"/>
    <w:rsid w:val="001D2731"/>
    <w:rsid w:val="001D298C"/>
    <w:rsid w:val="001D2D44"/>
    <w:rsid w:val="001D2FC2"/>
    <w:rsid w:val="001D309A"/>
    <w:rsid w:val="001D30FF"/>
    <w:rsid w:val="001D3135"/>
    <w:rsid w:val="001D3319"/>
    <w:rsid w:val="001D3387"/>
    <w:rsid w:val="001D36AD"/>
    <w:rsid w:val="001D378B"/>
    <w:rsid w:val="001D3AF7"/>
    <w:rsid w:val="001D3BE1"/>
    <w:rsid w:val="001D3DC0"/>
    <w:rsid w:val="001D3DC1"/>
    <w:rsid w:val="001D3E24"/>
    <w:rsid w:val="001D3EB8"/>
    <w:rsid w:val="001D3F1E"/>
    <w:rsid w:val="001D3F7B"/>
    <w:rsid w:val="001D3FF8"/>
    <w:rsid w:val="001D41AE"/>
    <w:rsid w:val="001D420C"/>
    <w:rsid w:val="001D424C"/>
    <w:rsid w:val="001D4715"/>
    <w:rsid w:val="001D47B2"/>
    <w:rsid w:val="001D4807"/>
    <w:rsid w:val="001D48C0"/>
    <w:rsid w:val="001D4A52"/>
    <w:rsid w:val="001D4B51"/>
    <w:rsid w:val="001D4D24"/>
    <w:rsid w:val="001D4DC2"/>
    <w:rsid w:val="001D4E1C"/>
    <w:rsid w:val="001D51BE"/>
    <w:rsid w:val="001D5643"/>
    <w:rsid w:val="001D5892"/>
    <w:rsid w:val="001D58CA"/>
    <w:rsid w:val="001D59AE"/>
    <w:rsid w:val="001D5A95"/>
    <w:rsid w:val="001D5CE4"/>
    <w:rsid w:val="001D5E03"/>
    <w:rsid w:val="001D5EC6"/>
    <w:rsid w:val="001D60C9"/>
    <w:rsid w:val="001D61A7"/>
    <w:rsid w:val="001D63BB"/>
    <w:rsid w:val="001D6473"/>
    <w:rsid w:val="001D648F"/>
    <w:rsid w:val="001D64BC"/>
    <w:rsid w:val="001D65B6"/>
    <w:rsid w:val="001D6612"/>
    <w:rsid w:val="001D6D75"/>
    <w:rsid w:val="001D7489"/>
    <w:rsid w:val="001D758B"/>
    <w:rsid w:val="001D7610"/>
    <w:rsid w:val="001D76A7"/>
    <w:rsid w:val="001D76C9"/>
    <w:rsid w:val="001D7726"/>
    <w:rsid w:val="001D784E"/>
    <w:rsid w:val="001D7CD8"/>
    <w:rsid w:val="001D7D24"/>
    <w:rsid w:val="001D7F4F"/>
    <w:rsid w:val="001E02FC"/>
    <w:rsid w:val="001E0347"/>
    <w:rsid w:val="001E0369"/>
    <w:rsid w:val="001E0387"/>
    <w:rsid w:val="001E03F7"/>
    <w:rsid w:val="001E073E"/>
    <w:rsid w:val="001E079D"/>
    <w:rsid w:val="001E0855"/>
    <w:rsid w:val="001E094E"/>
    <w:rsid w:val="001E0958"/>
    <w:rsid w:val="001E09EC"/>
    <w:rsid w:val="001E0AFA"/>
    <w:rsid w:val="001E0B26"/>
    <w:rsid w:val="001E0CA1"/>
    <w:rsid w:val="001E0DCC"/>
    <w:rsid w:val="001E0EF7"/>
    <w:rsid w:val="001E1065"/>
    <w:rsid w:val="001E10C2"/>
    <w:rsid w:val="001E112C"/>
    <w:rsid w:val="001E1496"/>
    <w:rsid w:val="001E14D8"/>
    <w:rsid w:val="001E1790"/>
    <w:rsid w:val="001E1961"/>
    <w:rsid w:val="001E1AD9"/>
    <w:rsid w:val="001E1B1B"/>
    <w:rsid w:val="001E1BF6"/>
    <w:rsid w:val="001E1C9B"/>
    <w:rsid w:val="001E1CE6"/>
    <w:rsid w:val="001E1E6A"/>
    <w:rsid w:val="001E1FFE"/>
    <w:rsid w:val="001E2089"/>
    <w:rsid w:val="001E20CB"/>
    <w:rsid w:val="001E2192"/>
    <w:rsid w:val="001E2284"/>
    <w:rsid w:val="001E22E2"/>
    <w:rsid w:val="001E25AA"/>
    <w:rsid w:val="001E270C"/>
    <w:rsid w:val="001E2975"/>
    <w:rsid w:val="001E2995"/>
    <w:rsid w:val="001E2ABD"/>
    <w:rsid w:val="001E2BB6"/>
    <w:rsid w:val="001E2DF6"/>
    <w:rsid w:val="001E2EC4"/>
    <w:rsid w:val="001E2FD4"/>
    <w:rsid w:val="001E3000"/>
    <w:rsid w:val="001E304F"/>
    <w:rsid w:val="001E3077"/>
    <w:rsid w:val="001E30D7"/>
    <w:rsid w:val="001E317B"/>
    <w:rsid w:val="001E35FA"/>
    <w:rsid w:val="001E363A"/>
    <w:rsid w:val="001E373E"/>
    <w:rsid w:val="001E389B"/>
    <w:rsid w:val="001E3AA4"/>
    <w:rsid w:val="001E3C28"/>
    <w:rsid w:val="001E3EE9"/>
    <w:rsid w:val="001E4071"/>
    <w:rsid w:val="001E4328"/>
    <w:rsid w:val="001E44FC"/>
    <w:rsid w:val="001E452C"/>
    <w:rsid w:val="001E4AA0"/>
    <w:rsid w:val="001E4D40"/>
    <w:rsid w:val="001E4E1B"/>
    <w:rsid w:val="001E4EA9"/>
    <w:rsid w:val="001E4EAE"/>
    <w:rsid w:val="001E54AA"/>
    <w:rsid w:val="001E5B0B"/>
    <w:rsid w:val="001E5BA5"/>
    <w:rsid w:val="001E5F10"/>
    <w:rsid w:val="001E5F33"/>
    <w:rsid w:val="001E60DA"/>
    <w:rsid w:val="001E630C"/>
    <w:rsid w:val="001E6394"/>
    <w:rsid w:val="001E6560"/>
    <w:rsid w:val="001E659A"/>
    <w:rsid w:val="001E65D5"/>
    <w:rsid w:val="001E666E"/>
    <w:rsid w:val="001E6A3B"/>
    <w:rsid w:val="001E6D05"/>
    <w:rsid w:val="001E6DB2"/>
    <w:rsid w:val="001E6E49"/>
    <w:rsid w:val="001E6FA0"/>
    <w:rsid w:val="001E7170"/>
    <w:rsid w:val="001E7242"/>
    <w:rsid w:val="001E7277"/>
    <w:rsid w:val="001E73F3"/>
    <w:rsid w:val="001E74F5"/>
    <w:rsid w:val="001E7534"/>
    <w:rsid w:val="001E758D"/>
    <w:rsid w:val="001E7612"/>
    <w:rsid w:val="001E778D"/>
    <w:rsid w:val="001E7836"/>
    <w:rsid w:val="001E7A28"/>
    <w:rsid w:val="001E7BE6"/>
    <w:rsid w:val="001E7C51"/>
    <w:rsid w:val="001E7DF7"/>
    <w:rsid w:val="001E7E84"/>
    <w:rsid w:val="001F0073"/>
    <w:rsid w:val="001F00B7"/>
    <w:rsid w:val="001F0141"/>
    <w:rsid w:val="001F018E"/>
    <w:rsid w:val="001F03E8"/>
    <w:rsid w:val="001F0453"/>
    <w:rsid w:val="001F0484"/>
    <w:rsid w:val="001F04E2"/>
    <w:rsid w:val="001F05B1"/>
    <w:rsid w:val="001F060D"/>
    <w:rsid w:val="001F0737"/>
    <w:rsid w:val="001F07A0"/>
    <w:rsid w:val="001F0A6B"/>
    <w:rsid w:val="001F0C9D"/>
    <w:rsid w:val="001F0D4A"/>
    <w:rsid w:val="001F0EED"/>
    <w:rsid w:val="001F1017"/>
    <w:rsid w:val="001F109B"/>
    <w:rsid w:val="001F10E2"/>
    <w:rsid w:val="001F115F"/>
    <w:rsid w:val="001F13B6"/>
    <w:rsid w:val="001F15A0"/>
    <w:rsid w:val="001F1601"/>
    <w:rsid w:val="001F194C"/>
    <w:rsid w:val="001F199A"/>
    <w:rsid w:val="001F19D3"/>
    <w:rsid w:val="001F1AF1"/>
    <w:rsid w:val="001F1B20"/>
    <w:rsid w:val="001F1BF4"/>
    <w:rsid w:val="001F1E07"/>
    <w:rsid w:val="001F1EC9"/>
    <w:rsid w:val="001F20B0"/>
    <w:rsid w:val="001F223D"/>
    <w:rsid w:val="001F22CA"/>
    <w:rsid w:val="001F23D6"/>
    <w:rsid w:val="001F24AA"/>
    <w:rsid w:val="001F24B4"/>
    <w:rsid w:val="001F2540"/>
    <w:rsid w:val="001F25B7"/>
    <w:rsid w:val="001F283F"/>
    <w:rsid w:val="001F2A37"/>
    <w:rsid w:val="001F2A79"/>
    <w:rsid w:val="001F2C06"/>
    <w:rsid w:val="001F3126"/>
    <w:rsid w:val="001F3379"/>
    <w:rsid w:val="001F37D7"/>
    <w:rsid w:val="001F3922"/>
    <w:rsid w:val="001F39C5"/>
    <w:rsid w:val="001F3A40"/>
    <w:rsid w:val="001F3B75"/>
    <w:rsid w:val="001F3C1B"/>
    <w:rsid w:val="001F3CA3"/>
    <w:rsid w:val="001F3CB8"/>
    <w:rsid w:val="001F3DF3"/>
    <w:rsid w:val="001F3E30"/>
    <w:rsid w:val="001F3E79"/>
    <w:rsid w:val="001F3F6A"/>
    <w:rsid w:val="001F4142"/>
    <w:rsid w:val="001F4323"/>
    <w:rsid w:val="001F4329"/>
    <w:rsid w:val="001F48AA"/>
    <w:rsid w:val="001F48C6"/>
    <w:rsid w:val="001F48F4"/>
    <w:rsid w:val="001F4913"/>
    <w:rsid w:val="001F4DEF"/>
    <w:rsid w:val="001F4E06"/>
    <w:rsid w:val="001F4E7A"/>
    <w:rsid w:val="001F50CF"/>
    <w:rsid w:val="001F529B"/>
    <w:rsid w:val="001F52C0"/>
    <w:rsid w:val="001F52E8"/>
    <w:rsid w:val="001F531E"/>
    <w:rsid w:val="001F53DF"/>
    <w:rsid w:val="001F540C"/>
    <w:rsid w:val="001F55F4"/>
    <w:rsid w:val="001F56DA"/>
    <w:rsid w:val="001F585F"/>
    <w:rsid w:val="001F5958"/>
    <w:rsid w:val="001F597D"/>
    <w:rsid w:val="001F5A91"/>
    <w:rsid w:val="001F5B1A"/>
    <w:rsid w:val="001F5B34"/>
    <w:rsid w:val="001F5D14"/>
    <w:rsid w:val="001F5F4A"/>
    <w:rsid w:val="001F6020"/>
    <w:rsid w:val="001F6167"/>
    <w:rsid w:val="001F623F"/>
    <w:rsid w:val="001F65BA"/>
    <w:rsid w:val="001F65EE"/>
    <w:rsid w:val="001F66D1"/>
    <w:rsid w:val="001F6785"/>
    <w:rsid w:val="001F6D93"/>
    <w:rsid w:val="001F6F8D"/>
    <w:rsid w:val="001F7073"/>
    <w:rsid w:val="001F70A7"/>
    <w:rsid w:val="001F713C"/>
    <w:rsid w:val="001F72C8"/>
    <w:rsid w:val="001F73DF"/>
    <w:rsid w:val="001F73E9"/>
    <w:rsid w:val="001F7423"/>
    <w:rsid w:val="001F74DC"/>
    <w:rsid w:val="001F766B"/>
    <w:rsid w:val="001F7940"/>
    <w:rsid w:val="001F7B45"/>
    <w:rsid w:val="001F7B6F"/>
    <w:rsid w:val="001F7C23"/>
    <w:rsid w:val="001F7C49"/>
    <w:rsid w:val="001F7DB8"/>
    <w:rsid w:val="001F7E0E"/>
    <w:rsid w:val="002000E4"/>
    <w:rsid w:val="00200402"/>
    <w:rsid w:val="002005B3"/>
    <w:rsid w:val="002005C8"/>
    <w:rsid w:val="00200851"/>
    <w:rsid w:val="00200B71"/>
    <w:rsid w:val="00200DE4"/>
    <w:rsid w:val="00200DED"/>
    <w:rsid w:val="00200E76"/>
    <w:rsid w:val="00200FDA"/>
    <w:rsid w:val="0020118F"/>
    <w:rsid w:val="0020124A"/>
    <w:rsid w:val="00201315"/>
    <w:rsid w:val="00201392"/>
    <w:rsid w:val="00201425"/>
    <w:rsid w:val="0020154B"/>
    <w:rsid w:val="002018D7"/>
    <w:rsid w:val="00201A71"/>
    <w:rsid w:val="00201C18"/>
    <w:rsid w:val="00201C19"/>
    <w:rsid w:val="00201C30"/>
    <w:rsid w:val="00201CD6"/>
    <w:rsid w:val="00201D66"/>
    <w:rsid w:val="00201E4D"/>
    <w:rsid w:val="00201E50"/>
    <w:rsid w:val="00201EB8"/>
    <w:rsid w:val="00201F77"/>
    <w:rsid w:val="00202363"/>
    <w:rsid w:val="00202502"/>
    <w:rsid w:val="002027BE"/>
    <w:rsid w:val="00202C02"/>
    <w:rsid w:val="00202C54"/>
    <w:rsid w:val="00203126"/>
    <w:rsid w:val="002039D3"/>
    <w:rsid w:val="00203AAA"/>
    <w:rsid w:val="00203B25"/>
    <w:rsid w:val="00203C34"/>
    <w:rsid w:val="00203C3C"/>
    <w:rsid w:val="00203D93"/>
    <w:rsid w:val="00203F4E"/>
    <w:rsid w:val="0020409A"/>
    <w:rsid w:val="002042C7"/>
    <w:rsid w:val="0020433B"/>
    <w:rsid w:val="0020459D"/>
    <w:rsid w:val="0020462F"/>
    <w:rsid w:val="00204667"/>
    <w:rsid w:val="002048B3"/>
    <w:rsid w:val="002048E2"/>
    <w:rsid w:val="002048F3"/>
    <w:rsid w:val="00204968"/>
    <w:rsid w:val="002049CE"/>
    <w:rsid w:val="00204C29"/>
    <w:rsid w:val="00204F8B"/>
    <w:rsid w:val="00204F9F"/>
    <w:rsid w:val="002057AC"/>
    <w:rsid w:val="002058A0"/>
    <w:rsid w:val="00205D55"/>
    <w:rsid w:val="00206039"/>
    <w:rsid w:val="002061AB"/>
    <w:rsid w:val="00206382"/>
    <w:rsid w:val="0020639F"/>
    <w:rsid w:val="00206606"/>
    <w:rsid w:val="002066B0"/>
    <w:rsid w:val="002066C8"/>
    <w:rsid w:val="002068E0"/>
    <w:rsid w:val="00206A4F"/>
    <w:rsid w:val="00206A8C"/>
    <w:rsid w:val="00206EED"/>
    <w:rsid w:val="002070C2"/>
    <w:rsid w:val="002071BC"/>
    <w:rsid w:val="002071D6"/>
    <w:rsid w:val="002072D6"/>
    <w:rsid w:val="0020747D"/>
    <w:rsid w:val="00207798"/>
    <w:rsid w:val="00207B90"/>
    <w:rsid w:val="00207C4F"/>
    <w:rsid w:val="00207E16"/>
    <w:rsid w:val="00207E1B"/>
    <w:rsid w:val="00207F83"/>
    <w:rsid w:val="00210297"/>
    <w:rsid w:val="002102E2"/>
    <w:rsid w:val="00210687"/>
    <w:rsid w:val="002106E5"/>
    <w:rsid w:val="00210702"/>
    <w:rsid w:val="00210A90"/>
    <w:rsid w:val="00210AC7"/>
    <w:rsid w:val="00210D8E"/>
    <w:rsid w:val="00210DF1"/>
    <w:rsid w:val="00211013"/>
    <w:rsid w:val="0021112E"/>
    <w:rsid w:val="002111C8"/>
    <w:rsid w:val="002111E2"/>
    <w:rsid w:val="0021129C"/>
    <w:rsid w:val="002112B9"/>
    <w:rsid w:val="002112DA"/>
    <w:rsid w:val="00211431"/>
    <w:rsid w:val="002115C7"/>
    <w:rsid w:val="0021161B"/>
    <w:rsid w:val="00211699"/>
    <w:rsid w:val="002116CB"/>
    <w:rsid w:val="0021175B"/>
    <w:rsid w:val="00211A70"/>
    <w:rsid w:val="00211E05"/>
    <w:rsid w:val="00211EC1"/>
    <w:rsid w:val="00211F39"/>
    <w:rsid w:val="0021201D"/>
    <w:rsid w:val="0021205D"/>
    <w:rsid w:val="002120C3"/>
    <w:rsid w:val="00212728"/>
    <w:rsid w:val="002127EA"/>
    <w:rsid w:val="00212B15"/>
    <w:rsid w:val="00212B7F"/>
    <w:rsid w:val="00212D0E"/>
    <w:rsid w:val="00212E29"/>
    <w:rsid w:val="00213112"/>
    <w:rsid w:val="00213135"/>
    <w:rsid w:val="00213249"/>
    <w:rsid w:val="00213449"/>
    <w:rsid w:val="0021347C"/>
    <w:rsid w:val="0021390A"/>
    <w:rsid w:val="00213A36"/>
    <w:rsid w:val="00213A6B"/>
    <w:rsid w:val="00213A83"/>
    <w:rsid w:val="00213CB1"/>
    <w:rsid w:val="0021417E"/>
    <w:rsid w:val="002142CC"/>
    <w:rsid w:val="002143E5"/>
    <w:rsid w:val="00214753"/>
    <w:rsid w:val="00214B05"/>
    <w:rsid w:val="00214B31"/>
    <w:rsid w:val="00214B75"/>
    <w:rsid w:val="00214C2B"/>
    <w:rsid w:val="00214C4B"/>
    <w:rsid w:val="00214C96"/>
    <w:rsid w:val="00214EA0"/>
    <w:rsid w:val="0021504D"/>
    <w:rsid w:val="00215085"/>
    <w:rsid w:val="002150FA"/>
    <w:rsid w:val="0021521D"/>
    <w:rsid w:val="0021527C"/>
    <w:rsid w:val="00215364"/>
    <w:rsid w:val="002153B8"/>
    <w:rsid w:val="002154D8"/>
    <w:rsid w:val="002155A5"/>
    <w:rsid w:val="0021562B"/>
    <w:rsid w:val="0021579B"/>
    <w:rsid w:val="00215BE9"/>
    <w:rsid w:val="00215D27"/>
    <w:rsid w:val="00215FCE"/>
    <w:rsid w:val="00216179"/>
    <w:rsid w:val="00216664"/>
    <w:rsid w:val="00216666"/>
    <w:rsid w:val="0021669C"/>
    <w:rsid w:val="002168A7"/>
    <w:rsid w:val="00216A10"/>
    <w:rsid w:val="00216AA1"/>
    <w:rsid w:val="00216BFF"/>
    <w:rsid w:val="00217312"/>
    <w:rsid w:val="00217489"/>
    <w:rsid w:val="00217774"/>
    <w:rsid w:val="002177D0"/>
    <w:rsid w:val="002177E4"/>
    <w:rsid w:val="0021794B"/>
    <w:rsid w:val="00217A1D"/>
    <w:rsid w:val="00217A57"/>
    <w:rsid w:val="00217A83"/>
    <w:rsid w:val="00217A90"/>
    <w:rsid w:val="00217BBC"/>
    <w:rsid w:val="00217FA5"/>
    <w:rsid w:val="00220139"/>
    <w:rsid w:val="0022016E"/>
    <w:rsid w:val="00220217"/>
    <w:rsid w:val="0022022B"/>
    <w:rsid w:val="002204D7"/>
    <w:rsid w:val="002204ED"/>
    <w:rsid w:val="00220571"/>
    <w:rsid w:val="0022062E"/>
    <w:rsid w:val="0022064E"/>
    <w:rsid w:val="002207B2"/>
    <w:rsid w:val="00220AF2"/>
    <w:rsid w:val="00220B93"/>
    <w:rsid w:val="00220C1B"/>
    <w:rsid w:val="00220CBA"/>
    <w:rsid w:val="00220D50"/>
    <w:rsid w:val="00220E96"/>
    <w:rsid w:val="00220EBA"/>
    <w:rsid w:val="00220EEC"/>
    <w:rsid w:val="002211A0"/>
    <w:rsid w:val="0022139B"/>
    <w:rsid w:val="002213AF"/>
    <w:rsid w:val="0022168C"/>
    <w:rsid w:val="0022172B"/>
    <w:rsid w:val="00221749"/>
    <w:rsid w:val="002217D5"/>
    <w:rsid w:val="0022184F"/>
    <w:rsid w:val="00221874"/>
    <w:rsid w:val="00221DC5"/>
    <w:rsid w:val="00221FF0"/>
    <w:rsid w:val="0022201E"/>
    <w:rsid w:val="002220A5"/>
    <w:rsid w:val="002220BA"/>
    <w:rsid w:val="002220FF"/>
    <w:rsid w:val="0022219D"/>
    <w:rsid w:val="00222241"/>
    <w:rsid w:val="00222293"/>
    <w:rsid w:val="0022233E"/>
    <w:rsid w:val="002223B6"/>
    <w:rsid w:val="00222610"/>
    <w:rsid w:val="002227AE"/>
    <w:rsid w:val="002227CB"/>
    <w:rsid w:val="0022283A"/>
    <w:rsid w:val="00222AF7"/>
    <w:rsid w:val="00222B43"/>
    <w:rsid w:val="0022303E"/>
    <w:rsid w:val="00223057"/>
    <w:rsid w:val="0022321D"/>
    <w:rsid w:val="0022332D"/>
    <w:rsid w:val="002238F8"/>
    <w:rsid w:val="002239A5"/>
    <w:rsid w:val="00223D1D"/>
    <w:rsid w:val="00223EBD"/>
    <w:rsid w:val="00223F5A"/>
    <w:rsid w:val="00224095"/>
    <w:rsid w:val="002243FF"/>
    <w:rsid w:val="00224421"/>
    <w:rsid w:val="002245C4"/>
    <w:rsid w:val="002245DA"/>
    <w:rsid w:val="00224699"/>
    <w:rsid w:val="002248F1"/>
    <w:rsid w:val="00224986"/>
    <w:rsid w:val="002249DB"/>
    <w:rsid w:val="00224AF1"/>
    <w:rsid w:val="00224B46"/>
    <w:rsid w:val="00224B88"/>
    <w:rsid w:val="00224F0D"/>
    <w:rsid w:val="00224F4B"/>
    <w:rsid w:val="00224FC9"/>
    <w:rsid w:val="0022500E"/>
    <w:rsid w:val="002250F1"/>
    <w:rsid w:val="00225115"/>
    <w:rsid w:val="0022518C"/>
    <w:rsid w:val="002251CD"/>
    <w:rsid w:val="00225247"/>
    <w:rsid w:val="002256A7"/>
    <w:rsid w:val="002257D8"/>
    <w:rsid w:val="00225822"/>
    <w:rsid w:val="00225993"/>
    <w:rsid w:val="00225B47"/>
    <w:rsid w:val="00225BD8"/>
    <w:rsid w:val="00225D3F"/>
    <w:rsid w:val="00225DBA"/>
    <w:rsid w:val="00225E4C"/>
    <w:rsid w:val="00225FDE"/>
    <w:rsid w:val="00226039"/>
    <w:rsid w:val="00226085"/>
    <w:rsid w:val="00226300"/>
    <w:rsid w:val="002268AE"/>
    <w:rsid w:val="00226A9B"/>
    <w:rsid w:val="00226C21"/>
    <w:rsid w:val="00226D39"/>
    <w:rsid w:val="00226D55"/>
    <w:rsid w:val="00226E6B"/>
    <w:rsid w:val="00226FED"/>
    <w:rsid w:val="002271B3"/>
    <w:rsid w:val="00227223"/>
    <w:rsid w:val="002273A1"/>
    <w:rsid w:val="00227453"/>
    <w:rsid w:val="00227722"/>
    <w:rsid w:val="00227A43"/>
    <w:rsid w:val="00227A66"/>
    <w:rsid w:val="00227AD3"/>
    <w:rsid w:val="00227B87"/>
    <w:rsid w:val="00227B92"/>
    <w:rsid w:val="00227C8F"/>
    <w:rsid w:val="00227E6A"/>
    <w:rsid w:val="00227E76"/>
    <w:rsid w:val="00227EE5"/>
    <w:rsid w:val="00227F0B"/>
    <w:rsid w:val="0023032C"/>
    <w:rsid w:val="00230516"/>
    <w:rsid w:val="002306BF"/>
    <w:rsid w:val="00230D37"/>
    <w:rsid w:val="00230D58"/>
    <w:rsid w:val="00230D77"/>
    <w:rsid w:val="00230FEC"/>
    <w:rsid w:val="0023121F"/>
    <w:rsid w:val="00231234"/>
    <w:rsid w:val="00231241"/>
    <w:rsid w:val="0023199F"/>
    <w:rsid w:val="002319B2"/>
    <w:rsid w:val="002319D7"/>
    <w:rsid w:val="00231A5A"/>
    <w:rsid w:val="00231DC6"/>
    <w:rsid w:val="0023271C"/>
    <w:rsid w:val="002327DF"/>
    <w:rsid w:val="002329D3"/>
    <w:rsid w:val="00232B0A"/>
    <w:rsid w:val="00232B48"/>
    <w:rsid w:val="00232EA1"/>
    <w:rsid w:val="00233120"/>
    <w:rsid w:val="0023321A"/>
    <w:rsid w:val="0023347B"/>
    <w:rsid w:val="002334A9"/>
    <w:rsid w:val="002334FC"/>
    <w:rsid w:val="0023360F"/>
    <w:rsid w:val="00233621"/>
    <w:rsid w:val="00233635"/>
    <w:rsid w:val="00233B74"/>
    <w:rsid w:val="00233CD9"/>
    <w:rsid w:val="00233D57"/>
    <w:rsid w:val="00233EBE"/>
    <w:rsid w:val="0023417E"/>
    <w:rsid w:val="002341A4"/>
    <w:rsid w:val="002343F1"/>
    <w:rsid w:val="0023442C"/>
    <w:rsid w:val="00234529"/>
    <w:rsid w:val="0023456A"/>
    <w:rsid w:val="00234702"/>
    <w:rsid w:val="0023480E"/>
    <w:rsid w:val="002348F8"/>
    <w:rsid w:val="00234B26"/>
    <w:rsid w:val="00234C52"/>
    <w:rsid w:val="00234E19"/>
    <w:rsid w:val="00234F36"/>
    <w:rsid w:val="0023508C"/>
    <w:rsid w:val="002351FD"/>
    <w:rsid w:val="00235269"/>
    <w:rsid w:val="002352BD"/>
    <w:rsid w:val="002352F3"/>
    <w:rsid w:val="00235387"/>
    <w:rsid w:val="002353AD"/>
    <w:rsid w:val="002355AA"/>
    <w:rsid w:val="00235683"/>
    <w:rsid w:val="0023576A"/>
    <w:rsid w:val="002357D8"/>
    <w:rsid w:val="00235AD9"/>
    <w:rsid w:val="00235BA2"/>
    <w:rsid w:val="00235D70"/>
    <w:rsid w:val="00235EC2"/>
    <w:rsid w:val="00235ED7"/>
    <w:rsid w:val="00235F45"/>
    <w:rsid w:val="00235F9D"/>
    <w:rsid w:val="00236082"/>
    <w:rsid w:val="002360CD"/>
    <w:rsid w:val="002361E0"/>
    <w:rsid w:val="00236273"/>
    <w:rsid w:val="00236578"/>
    <w:rsid w:val="00236581"/>
    <w:rsid w:val="00236677"/>
    <w:rsid w:val="002367DD"/>
    <w:rsid w:val="00236B01"/>
    <w:rsid w:val="00236C64"/>
    <w:rsid w:val="00236D0F"/>
    <w:rsid w:val="00236D16"/>
    <w:rsid w:val="002372F9"/>
    <w:rsid w:val="002374CD"/>
    <w:rsid w:val="002374D3"/>
    <w:rsid w:val="0023762A"/>
    <w:rsid w:val="0023762B"/>
    <w:rsid w:val="00237AAE"/>
    <w:rsid w:val="00237AD8"/>
    <w:rsid w:val="00237B2B"/>
    <w:rsid w:val="00237BF7"/>
    <w:rsid w:val="00237CD3"/>
    <w:rsid w:val="00237E89"/>
    <w:rsid w:val="0024008A"/>
    <w:rsid w:val="002400A9"/>
    <w:rsid w:val="0024011D"/>
    <w:rsid w:val="002401D2"/>
    <w:rsid w:val="002401E3"/>
    <w:rsid w:val="0024026B"/>
    <w:rsid w:val="00240418"/>
    <w:rsid w:val="002405DB"/>
    <w:rsid w:val="002406EF"/>
    <w:rsid w:val="00240948"/>
    <w:rsid w:val="00240A5C"/>
    <w:rsid w:val="00240C3B"/>
    <w:rsid w:val="00240FAE"/>
    <w:rsid w:val="00241056"/>
    <w:rsid w:val="002410AF"/>
    <w:rsid w:val="002410E3"/>
    <w:rsid w:val="002411F6"/>
    <w:rsid w:val="00241476"/>
    <w:rsid w:val="0024151C"/>
    <w:rsid w:val="00241612"/>
    <w:rsid w:val="0024166D"/>
    <w:rsid w:val="0024168E"/>
    <w:rsid w:val="002416EE"/>
    <w:rsid w:val="00241784"/>
    <w:rsid w:val="00241899"/>
    <w:rsid w:val="002419F9"/>
    <w:rsid w:val="00241ADB"/>
    <w:rsid w:val="00241B16"/>
    <w:rsid w:val="00241B18"/>
    <w:rsid w:val="00241C68"/>
    <w:rsid w:val="00241EEB"/>
    <w:rsid w:val="00241F6F"/>
    <w:rsid w:val="0024228E"/>
    <w:rsid w:val="00242396"/>
    <w:rsid w:val="00242397"/>
    <w:rsid w:val="00242475"/>
    <w:rsid w:val="00242586"/>
    <w:rsid w:val="0024258D"/>
    <w:rsid w:val="002425B8"/>
    <w:rsid w:val="00242A20"/>
    <w:rsid w:val="00242A57"/>
    <w:rsid w:val="00242B3E"/>
    <w:rsid w:val="00242BF4"/>
    <w:rsid w:val="00242DB6"/>
    <w:rsid w:val="00243307"/>
    <w:rsid w:val="00243449"/>
    <w:rsid w:val="002434A0"/>
    <w:rsid w:val="0024357F"/>
    <w:rsid w:val="00243582"/>
    <w:rsid w:val="002438DB"/>
    <w:rsid w:val="0024399A"/>
    <w:rsid w:val="00243B6B"/>
    <w:rsid w:val="00243CB0"/>
    <w:rsid w:val="00243E58"/>
    <w:rsid w:val="00243FC9"/>
    <w:rsid w:val="002445C1"/>
    <w:rsid w:val="00244761"/>
    <w:rsid w:val="00244804"/>
    <w:rsid w:val="00244988"/>
    <w:rsid w:val="002449FD"/>
    <w:rsid w:val="00244CAC"/>
    <w:rsid w:val="00244D99"/>
    <w:rsid w:val="00244EF7"/>
    <w:rsid w:val="002450C7"/>
    <w:rsid w:val="0024535C"/>
    <w:rsid w:val="002453C6"/>
    <w:rsid w:val="002457BC"/>
    <w:rsid w:val="00245A45"/>
    <w:rsid w:val="00245CE1"/>
    <w:rsid w:val="00245DE0"/>
    <w:rsid w:val="00245F89"/>
    <w:rsid w:val="00245F93"/>
    <w:rsid w:val="00246131"/>
    <w:rsid w:val="0024642D"/>
    <w:rsid w:val="00246A90"/>
    <w:rsid w:val="00246AAF"/>
    <w:rsid w:val="00246B9B"/>
    <w:rsid w:val="00246BE6"/>
    <w:rsid w:val="00246E35"/>
    <w:rsid w:val="002471C3"/>
    <w:rsid w:val="002472BB"/>
    <w:rsid w:val="0024741B"/>
    <w:rsid w:val="00247489"/>
    <w:rsid w:val="002475B9"/>
    <w:rsid w:val="0024784E"/>
    <w:rsid w:val="002479ED"/>
    <w:rsid w:val="00247C40"/>
    <w:rsid w:val="00247FD4"/>
    <w:rsid w:val="002500B0"/>
    <w:rsid w:val="0025017D"/>
    <w:rsid w:val="002502BB"/>
    <w:rsid w:val="002505A3"/>
    <w:rsid w:val="002505FE"/>
    <w:rsid w:val="002506E5"/>
    <w:rsid w:val="0025071D"/>
    <w:rsid w:val="002507C2"/>
    <w:rsid w:val="0025081F"/>
    <w:rsid w:val="00250B09"/>
    <w:rsid w:val="00250F0F"/>
    <w:rsid w:val="002510BA"/>
    <w:rsid w:val="00251387"/>
    <w:rsid w:val="002513C3"/>
    <w:rsid w:val="002513EA"/>
    <w:rsid w:val="00251816"/>
    <w:rsid w:val="002518EB"/>
    <w:rsid w:val="0025190C"/>
    <w:rsid w:val="00251B5F"/>
    <w:rsid w:val="00251C1E"/>
    <w:rsid w:val="00251D3D"/>
    <w:rsid w:val="00251E2D"/>
    <w:rsid w:val="00251E84"/>
    <w:rsid w:val="00252016"/>
    <w:rsid w:val="002520D7"/>
    <w:rsid w:val="0025212D"/>
    <w:rsid w:val="0025286B"/>
    <w:rsid w:val="002528F7"/>
    <w:rsid w:val="0025295D"/>
    <w:rsid w:val="00252B41"/>
    <w:rsid w:val="00252E1F"/>
    <w:rsid w:val="00252E57"/>
    <w:rsid w:val="00252FB4"/>
    <w:rsid w:val="002530F9"/>
    <w:rsid w:val="00253672"/>
    <w:rsid w:val="00253716"/>
    <w:rsid w:val="002537A4"/>
    <w:rsid w:val="00253831"/>
    <w:rsid w:val="00253BDB"/>
    <w:rsid w:val="00253E5E"/>
    <w:rsid w:val="0025414A"/>
    <w:rsid w:val="002541F6"/>
    <w:rsid w:val="00254278"/>
    <w:rsid w:val="00254499"/>
    <w:rsid w:val="00254BA5"/>
    <w:rsid w:val="00254EB9"/>
    <w:rsid w:val="00255086"/>
    <w:rsid w:val="00255439"/>
    <w:rsid w:val="0025547E"/>
    <w:rsid w:val="002554A2"/>
    <w:rsid w:val="00255523"/>
    <w:rsid w:val="00255694"/>
    <w:rsid w:val="002556B7"/>
    <w:rsid w:val="0025570B"/>
    <w:rsid w:val="00255775"/>
    <w:rsid w:val="0025592B"/>
    <w:rsid w:val="002559C4"/>
    <w:rsid w:val="00255AF8"/>
    <w:rsid w:val="00255C1E"/>
    <w:rsid w:val="00255D92"/>
    <w:rsid w:val="00255EF3"/>
    <w:rsid w:val="0025602E"/>
    <w:rsid w:val="00256148"/>
    <w:rsid w:val="002561BF"/>
    <w:rsid w:val="002565BC"/>
    <w:rsid w:val="00256863"/>
    <w:rsid w:val="0025687C"/>
    <w:rsid w:val="00256A56"/>
    <w:rsid w:val="00256A80"/>
    <w:rsid w:val="00256CCA"/>
    <w:rsid w:val="00256DD8"/>
    <w:rsid w:val="00256E75"/>
    <w:rsid w:val="00256F1D"/>
    <w:rsid w:val="00256F3A"/>
    <w:rsid w:val="00257042"/>
    <w:rsid w:val="002572B2"/>
    <w:rsid w:val="00257390"/>
    <w:rsid w:val="002573DA"/>
    <w:rsid w:val="00257648"/>
    <w:rsid w:val="002576B8"/>
    <w:rsid w:val="00257823"/>
    <w:rsid w:val="00257906"/>
    <w:rsid w:val="0025794C"/>
    <w:rsid w:val="002579D1"/>
    <w:rsid w:val="002600BA"/>
    <w:rsid w:val="0026035B"/>
    <w:rsid w:val="00260402"/>
    <w:rsid w:val="002604AB"/>
    <w:rsid w:val="00260585"/>
    <w:rsid w:val="0026063D"/>
    <w:rsid w:val="0026083B"/>
    <w:rsid w:val="0026088D"/>
    <w:rsid w:val="00260980"/>
    <w:rsid w:val="00260DB1"/>
    <w:rsid w:val="00260EE9"/>
    <w:rsid w:val="00261074"/>
    <w:rsid w:val="00261121"/>
    <w:rsid w:val="002612FD"/>
    <w:rsid w:val="002613A0"/>
    <w:rsid w:val="00261801"/>
    <w:rsid w:val="00261899"/>
    <w:rsid w:val="002618E6"/>
    <w:rsid w:val="00261916"/>
    <w:rsid w:val="00261BBD"/>
    <w:rsid w:val="00261C5C"/>
    <w:rsid w:val="00261DB6"/>
    <w:rsid w:val="0026200B"/>
    <w:rsid w:val="00262013"/>
    <w:rsid w:val="0026219D"/>
    <w:rsid w:val="00262217"/>
    <w:rsid w:val="0026246D"/>
    <w:rsid w:val="002625AD"/>
    <w:rsid w:val="002625CE"/>
    <w:rsid w:val="00262743"/>
    <w:rsid w:val="002629C2"/>
    <w:rsid w:val="00262D63"/>
    <w:rsid w:val="00262F13"/>
    <w:rsid w:val="00262F2C"/>
    <w:rsid w:val="002630AD"/>
    <w:rsid w:val="00263100"/>
    <w:rsid w:val="00263110"/>
    <w:rsid w:val="00263312"/>
    <w:rsid w:val="0026356B"/>
    <w:rsid w:val="002635C6"/>
    <w:rsid w:val="0026363D"/>
    <w:rsid w:val="00263674"/>
    <w:rsid w:val="002637BB"/>
    <w:rsid w:val="00263886"/>
    <w:rsid w:val="0026388C"/>
    <w:rsid w:val="002639A1"/>
    <w:rsid w:val="00263A52"/>
    <w:rsid w:val="00263A88"/>
    <w:rsid w:val="00263B0A"/>
    <w:rsid w:val="00263B1E"/>
    <w:rsid w:val="00263D43"/>
    <w:rsid w:val="00263DB7"/>
    <w:rsid w:val="002640E2"/>
    <w:rsid w:val="00264462"/>
    <w:rsid w:val="00264479"/>
    <w:rsid w:val="0026464D"/>
    <w:rsid w:val="002647B6"/>
    <w:rsid w:val="00264BC8"/>
    <w:rsid w:val="00264BF2"/>
    <w:rsid w:val="00264C73"/>
    <w:rsid w:val="00264DB7"/>
    <w:rsid w:val="00264DE8"/>
    <w:rsid w:val="00264F28"/>
    <w:rsid w:val="00264FD9"/>
    <w:rsid w:val="00265084"/>
    <w:rsid w:val="002651BB"/>
    <w:rsid w:val="002652E2"/>
    <w:rsid w:val="00265382"/>
    <w:rsid w:val="002653A2"/>
    <w:rsid w:val="002653B9"/>
    <w:rsid w:val="00265420"/>
    <w:rsid w:val="00265663"/>
    <w:rsid w:val="00265710"/>
    <w:rsid w:val="00265785"/>
    <w:rsid w:val="0026587F"/>
    <w:rsid w:val="0026590F"/>
    <w:rsid w:val="00265977"/>
    <w:rsid w:val="002659B3"/>
    <w:rsid w:val="002659F1"/>
    <w:rsid w:val="00265D0B"/>
    <w:rsid w:val="00266245"/>
    <w:rsid w:val="0026624D"/>
    <w:rsid w:val="00266265"/>
    <w:rsid w:val="002668AB"/>
    <w:rsid w:val="00266B3A"/>
    <w:rsid w:val="00266CD9"/>
    <w:rsid w:val="00266D8E"/>
    <w:rsid w:val="00266E48"/>
    <w:rsid w:val="00266EA3"/>
    <w:rsid w:val="00266F82"/>
    <w:rsid w:val="0026721C"/>
    <w:rsid w:val="00267267"/>
    <w:rsid w:val="0026739F"/>
    <w:rsid w:val="002673E9"/>
    <w:rsid w:val="002674B3"/>
    <w:rsid w:val="0026775A"/>
    <w:rsid w:val="00267A42"/>
    <w:rsid w:val="00267A75"/>
    <w:rsid w:val="00267F91"/>
    <w:rsid w:val="002701EA"/>
    <w:rsid w:val="00270593"/>
    <w:rsid w:val="00270594"/>
    <w:rsid w:val="00270740"/>
    <w:rsid w:val="00270754"/>
    <w:rsid w:val="002709EF"/>
    <w:rsid w:val="00270B42"/>
    <w:rsid w:val="00270BBA"/>
    <w:rsid w:val="00270D03"/>
    <w:rsid w:val="0027105D"/>
    <w:rsid w:val="002710B0"/>
    <w:rsid w:val="002710EF"/>
    <w:rsid w:val="00271117"/>
    <w:rsid w:val="002712E6"/>
    <w:rsid w:val="002716FD"/>
    <w:rsid w:val="002718D3"/>
    <w:rsid w:val="00271D41"/>
    <w:rsid w:val="00271DC8"/>
    <w:rsid w:val="00271F19"/>
    <w:rsid w:val="0027218A"/>
    <w:rsid w:val="0027240E"/>
    <w:rsid w:val="0027254F"/>
    <w:rsid w:val="002726F2"/>
    <w:rsid w:val="00272819"/>
    <w:rsid w:val="00272826"/>
    <w:rsid w:val="00272943"/>
    <w:rsid w:val="0027295F"/>
    <w:rsid w:val="00272BDF"/>
    <w:rsid w:val="00272C66"/>
    <w:rsid w:val="00272FB6"/>
    <w:rsid w:val="00273024"/>
    <w:rsid w:val="0027304F"/>
    <w:rsid w:val="0027318D"/>
    <w:rsid w:val="00273374"/>
    <w:rsid w:val="00273553"/>
    <w:rsid w:val="0027358B"/>
    <w:rsid w:val="0027373B"/>
    <w:rsid w:val="002737D8"/>
    <w:rsid w:val="00273BF6"/>
    <w:rsid w:val="00273E54"/>
    <w:rsid w:val="00273E89"/>
    <w:rsid w:val="00273EB1"/>
    <w:rsid w:val="00273ECD"/>
    <w:rsid w:val="00273F41"/>
    <w:rsid w:val="0027404B"/>
    <w:rsid w:val="002741C9"/>
    <w:rsid w:val="00274267"/>
    <w:rsid w:val="0027433B"/>
    <w:rsid w:val="002745FD"/>
    <w:rsid w:val="0027480F"/>
    <w:rsid w:val="002748EF"/>
    <w:rsid w:val="002749F6"/>
    <w:rsid w:val="00274B66"/>
    <w:rsid w:val="00274CCA"/>
    <w:rsid w:val="00274CEA"/>
    <w:rsid w:val="00274DE2"/>
    <w:rsid w:val="00274DF4"/>
    <w:rsid w:val="00274E22"/>
    <w:rsid w:val="00274FAA"/>
    <w:rsid w:val="002753DB"/>
    <w:rsid w:val="00275575"/>
    <w:rsid w:val="002757A6"/>
    <w:rsid w:val="00275AA5"/>
    <w:rsid w:val="00275B5D"/>
    <w:rsid w:val="00275CF7"/>
    <w:rsid w:val="00275E36"/>
    <w:rsid w:val="00275ECB"/>
    <w:rsid w:val="00275F43"/>
    <w:rsid w:val="00275F45"/>
    <w:rsid w:val="00276228"/>
    <w:rsid w:val="00276444"/>
    <w:rsid w:val="00276761"/>
    <w:rsid w:val="00276762"/>
    <w:rsid w:val="0027688A"/>
    <w:rsid w:val="00276942"/>
    <w:rsid w:val="00276A72"/>
    <w:rsid w:val="00276AB4"/>
    <w:rsid w:val="00276BAA"/>
    <w:rsid w:val="00276BF5"/>
    <w:rsid w:val="00276C85"/>
    <w:rsid w:val="00276C8E"/>
    <w:rsid w:val="00276CA0"/>
    <w:rsid w:val="00276D07"/>
    <w:rsid w:val="00276E31"/>
    <w:rsid w:val="00276EF4"/>
    <w:rsid w:val="00276FD2"/>
    <w:rsid w:val="00277338"/>
    <w:rsid w:val="00277352"/>
    <w:rsid w:val="002778C5"/>
    <w:rsid w:val="002778E4"/>
    <w:rsid w:val="00277ACB"/>
    <w:rsid w:val="002802D1"/>
    <w:rsid w:val="002802E1"/>
    <w:rsid w:val="002804A2"/>
    <w:rsid w:val="00280503"/>
    <w:rsid w:val="00280647"/>
    <w:rsid w:val="0028080E"/>
    <w:rsid w:val="00280853"/>
    <w:rsid w:val="002808A5"/>
    <w:rsid w:val="00280C58"/>
    <w:rsid w:val="00280C80"/>
    <w:rsid w:val="00280CB6"/>
    <w:rsid w:val="00280D16"/>
    <w:rsid w:val="00280D47"/>
    <w:rsid w:val="00280D83"/>
    <w:rsid w:val="00280FFC"/>
    <w:rsid w:val="00281020"/>
    <w:rsid w:val="00281153"/>
    <w:rsid w:val="0028123A"/>
    <w:rsid w:val="0028163F"/>
    <w:rsid w:val="002816D5"/>
    <w:rsid w:val="002816D6"/>
    <w:rsid w:val="0028182B"/>
    <w:rsid w:val="00281B6A"/>
    <w:rsid w:val="00281C77"/>
    <w:rsid w:val="00281D43"/>
    <w:rsid w:val="00281D8C"/>
    <w:rsid w:val="00281E84"/>
    <w:rsid w:val="00281E87"/>
    <w:rsid w:val="00282021"/>
    <w:rsid w:val="00282187"/>
    <w:rsid w:val="0028218D"/>
    <w:rsid w:val="00282209"/>
    <w:rsid w:val="00282585"/>
    <w:rsid w:val="00282790"/>
    <w:rsid w:val="002827A8"/>
    <w:rsid w:val="00282C06"/>
    <w:rsid w:val="00282C84"/>
    <w:rsid w:val="00282CB6"/>
    <w:rsid w:val="00282E0C"/>
    <w:rsid w:val="00282E1B"/>
    <w:rsid w:val="0028313C"/>
    <w:rsid w:val="002833AD"/>
    <w:rsid w:val="002833C6"/>
    <w:rsid w:val="00283483"/>
    <w:rsid w:val="002836A9"/>
    <w:rsid w:val="0028376C"/>
    <w:rsid w:val="0028383C"/>
    <w:rsid w:val="002838D7"/>
    <w:rsid w:val="00283925"/>
    <w:rsid w:val="00283943"/>
    <w:rsid w:val="002839CF"/>
    <w:rsid w:val="00283B1C"/>
    <w:rsid w:val="00283C37"/>
    <w:rsid w:val="00283C74"/>
    <w:rsid w:val="00283CAB"/>
    <w:rsid w:val="00283DEE"/>
    <w:rsid w:val="00283EDB"/>
    <w:rsid w:val="00284037"/>
    <w:rsid w:val="00284077"/>
    <w:rsid w:val="002840AE"/>
    <w:rsid w:val="0028424C"/>
    <w:rsid w:val="00284417"/>
    <w:rsid w:val="002844FB"/>
    <w:rsid w:val="002845F4"/>
    <w:rsid w:val="00284617"/>
    <w:rsid w:val="002847C0"/>
    <w:rsid w:val="00284802"/>
    <w:rsid w:val="0028495E"/>
    <w:rsid w:val="00284CC8"/>
    <w:rsid w:val="00284D51"/>
    <w:rsid w:val="00284D64"/>
    <w:rsid w:val="00284E53"/>
    <w:rsid w:val="0028512B"/>
    <w:rsid w:val="002851D0"/>
    <w:rsid w:val="0028537D"/>
    <w:rsid w:val="002853C3"/>
    <w:rsid w:val="002854D9"/>
    <w:rsid w:val="002854E6"/>
    <w:rsid w:val="0028554B"/>
    <w:rsid w:val="002856C4"/>
    <w:rsid w:val="0028588C"/>
    <w:rsid w:val="00285A46"/>
    <w:rsid w:val="00285AC9"/>
    <w:rsid w:val="00285E07"/>
    <w:rsid w:val="00285E84"/>
    <w:rsid w:val="00285F72"/>
    <w:rsid w:val="00286219"/>
    <w:rsid w:val="00286270"/>
    <w:rsid w:val="002864C3"/>
    <w:rsid w:val="002865BF"/>
    <w:rsid w:val="0028683C"/>
    <w:rsid w:val="0028687A"/>
    <w:rsid w:val="00286A10"/>
    <w:rsid w:val="00286B84"/>
    <w:rsid w:val="00286CC0"/>
    <w:rsid w:val="0028710D"/>
    <w:rsid w:val="002873D2"/>
    <w:rsid w:val="00287406"/>
    <w:rsid w:val="00287570"/>
    <w:rsid w:val="00287709"/>
    <w:rsid w:val="00287994"/>
    <w:rsid w:val="00287AC6"/>
    <w:rsid w:val="00287D2B"/>
    <w:rsid w:val="00287E11"/>
    <w:rsid w:val="00287F0C"/>
    <w:rsid w:val="00287F17"/>
    <w:rsid w:val="002900F5"/>
    <w:rsid w:val="00290140"/>
    <w:rsid w:val="002903BE"/>
    <w:rsid w:val="00290589"/>
    <w:rsid w:val="002905AE"/>
    <w:rsid w:val="00290633"/>
    <w:rsid w:val="00290849"/>
    <w:rsid w:val="00290971"/>
    <w:rsid w:val="00290A51"/>
    <w:rsid w:val="00290B57"/>
    <w:rsid w:val="00290B8B"/>
    <w:rsid w:val="00290C50"/>
    <w:rsid w:val="00290DE4"/>
    <w:rsid w:val="00291239"/>
    <w:rsid w:val="00291361"/>
    <w:rsid w:val="0029173D"/>
    <w:rsid w:val="00291903"/>
    <w:rsid w:val="00291AA0"/>
    <w:rsid w:val="00291C51"/>
    <w:rsid w:val="00291FAE"/>
    <w:rsid w:val="0029207E"/>
    <w:rsid w:val="00292167"/>
    <w:rsid w:val="00292187"/>
    <w:rsid w:val="002921B1"/>
    <w:rsid w:val="00292231"/>
    <w:rsid w:val="0029234A"/>
    <w:rsid w:val="002925BC"/>
    <w:rsid w:val="002925F4"/>
    <w:rsid w:val="002927F8"/>
    <w:rsid w:val="00292AFA"/>
    <w:rsid w:val="00292B59"/>
    <w:rsid w:val="00292C3B"/>
    <w:rsid w:val="00292C3E"/>
    <w:rsid w:val="00292C46"/>
    <w:rsid w:val="00292DB5"/>
    <w:rsid w:val="00292E7A"/>
    <w:rsid w:val="00292FDA"/>
    <w:rsid w:val="00292FE3"/>
    <w:rsid w:val="002931BB"/>
    <w:rsid w:val="002933DD"/>
    <w:rsid w:val="00293514"/>
    <w:rsid w:val="002935E7"/>
    <w:rsid w:val="00293673"/>
    <w:rsid w:val="002936FA"/>
    <w:rsid w:val="0029380D"/>
    <w:rsid w:val="00293A6C"/>
    <w:rsid w:val="00293ACE"/>
    <w:rsid w:val="00293AE9"/>
    <w:rsid w:val="00293BC1"/>
    <w:rsid w:val="00293BCF"/>
    <w:rsid w:val="00293CE2"/>
    <w:rsid w:val="00293D23"/>
    <w:rsid w:val="00293D6F"/>
    <w:rsid w:val="00293DAC"/>
    <w:rsid w:val="00293ED4"/>
    <w:rsid w:val="00293FD5"/>
    <w:rsid w:val="0029412A"/>
    <w:rsid w:val="00294156"/>
    <w:rsid w:val="00294260"/>
    <w:rsid w:val="0029445A"/>
    <w:rsid w:val="00294623"/>
    <w:rsid w:val="002947D0"/>
    <w:rsid w:val="00294B59"/>
    <w:rsid w:val="00294BC4"/>
    <w:rsid w:val="00294C55"/>
    <w:rsid w:val="00294F02"/>
    <w:rsid w:val="00294F1B"/>
    <w:rsid w:val="00295019"/>
    <w:rsid w:val="002951C3"/>
    <w:rsid w:val="00295224"/>
    <w:rsid w:val="002954BB"/>
    <w:rsid w:val="00295567"/>
    <w:rsid w:val="002956D9"/>
    <w:rsid w:val="00295728"/>
    <w:rsid w:val="002957BF"/>
    <w:rsid w:val="00295846"/>
    <w:rsid w:val="00295A38"/>
    <w:rsid w:val="00295CCF"/>
    <w:rsid w:val="00295F08"/>
    <w:rsid w:val="00296546"/>
    <w:rsid w:val="00296550"/>
    <w:rsid w:val="00296585"/>
    <w:rsid w:val="0029675A"/>
    <w:rsid w:val="002967A8"/>
    <w:rsid w:val="00296832"/>
    <w:rsid w:val="0029692D"/>
    <w:rsid w:val="00296B81"/>
    <w:rsid w:val="00296E5E"/>
    <w:rsid w:val="00296FEF"/>
    <w:rsid w:val="00297154"/>
    <w:rsid w:val="0029724B"/>
    <w:rsid w:val="002974FD"/>
    <w:rsid w:val="0029754D"/>
    <w:rsid w:val="00297625"/>
    <w:rsid w:val="00297749"/>
    <w:rsid w:val="00297936"/>
    <w:rsid w:val="002979ED"/>
    <w:rsid w:val="00297D7A"/>
    <w:rsid w:val="00297D95"/>
    <w:rsid w:val="00297DDE"/>
    <w:rsid w:val="00297ED6"/>
    <w:rsid w:val="00297F1D"/>
    <w:rsid w:val="00297F8D"/>
    <w:rsid w:val="00297FE5"/>
    <w:rsid w:val="002A0133"/>
    <w:rsid w:val="002A01DB"/>
    <w:rsid w:val="002A031B"/>
    <w:rsid w:val="002A0375"/>
    <w:rsid w:val="002A0399"/>
    <w:rsid w:val="002A076C"/>
    <w:rsid w:val="002A0A2C"/>
    <w:rsid w:val="002A0D7C"/>
    <w:rsid w:val="002A0DC4"/>
    <w:rsid w:val="002A0F3B"/>
    <w:rsid w:val="002A10F7"/>
    <w:rsid w:val="002A12AE"/>
    <w:rsid w:val="002A174C"/>
    <w:rsid w:val="002A17D3"/>
    <w:rsid w:val="002A199B"/>
    <w:rsid w:val="002A1ABC"/>
    <w:rsid w:val="002A1CB1"/>
    <w:rsid w:val="002A1CD7"/>
    <w:rsid w:val="002A1D15"/>
    <w:rsid w:val="002A1D7C"/>
    <w:rsid w:val="002A2104"/>
    <w:rsid w:val="002A2252"/>
    <w:rsid w:val="002A231C"/>
    <w:rsid w:val="002A2371"/>
    <w:rsid w:val="002A237D"/>
    <w:rsid w:val="002A24A3"/>
    <w:rsid w:val="002A273D"/>
    <w:rsid w:val="002A27C7"/>
    <w:rsid w:val="002A29C3"/>
    <w:rsid w:val="002A2A5F"/>
    <w:rsid w:val="002A2C9D"/>
    <w:rsid w:val="002A2D1C"/>
    <w:rsid w:val="002A2D7B"/>
    <w:rsid w:val="002A2F0D"/>
    <w:rsid w:val="002A2F5F"/>
    <w:rsid w:val="002A31E2"/>
    <w:rsid w:val="002A3230"/>
    <w:rsid w:val="002A3342"/>
    <w:rsid w:val="002A3375"/>
    <w:rsid w:val="002A3747"/>
    <w:rsid w:val="002A3950"/>
    <w:rsid w:val="002A3A14"/>
    <w:rsid w:val="002A3B5F"/>
    <w:rsid w:val="002A3E69"/>
    <w:rsid w:val="002A417A"/>
    <w:rsid w:val="002A430D"/>
    <w:rsid w:val="002A439B"/>
    <w:rsid w:val="002A459F"/>
    <w:rsid w:val="002A46F7"/>
    <w:rsid w:val="002A4A1E"/>
    <w:rsid w:val="002A4C1B"/>
    <w:rsid w:val="002A4D08"/>
    <w:rsid w:val="002A55D0"/>
    <w:rsid w:val="002A55FA"/>
    <w:rsid w:val="002A57A5"/>
    <w:rsid w:val="002A58CC"/>
    <w:rsid w:val="002A5A80"/>
    <w:rsid w:val="002A5BC4"/>
    <w:rsid w:val="002A5C40"/>
    <w:rsid w:val="002A5CB8"/>
    <w:rsid w:val="002A5CF5"/>
    <w:rsid w:val="002A6245"/>
    <w:rsid w:val="002A62B8"/>
    <w:rsid w:val="002A6332"/>
    <w:rsid w:val="002A63A4"/>
    <w:rsid w:val="002A63B3"/>
    <w:rsid w:val="002A63E0"/>
    <w:rsid w:val="002A63EC"/>
    <w:rsid w:val="002A642F"/>
    <w:rsid w:val="002A681D"/>
    <w:rsid w:val="002A68EC"/>
    <w:rsid w:val="002A6A3F"/>
    <w:rsid w:val="002A6C06"/>
    <w:rsid w:val="002A6C71"/>
    <w:rsid w:val="002A6F4F"/>
    <w:rsid w:val="002A6F8B"/>
    <w:rsid w:val="002A71B1"/>
    <w:rsid w:val="002A756D"/>
    <w:rsid w:val="002A7603"/>
    <w:rsid w:val="002A76B4"/>
    <w:rsid w:val="002A7A6D"/>
    <w:rsid w:val="002A7B92"/>
    <w:rsid w:val="002A7C0C"/>
    <w:rsid w:val="002A7C21"/>
    <w:rsid w:val="002A7E16"/>
    <w:rsid w:val="002B0057"/>
    <w:rsid w:val="002B0086"/>
    <w:rsid w:val="002B0177"/>
    <w:rsid w:val="002B0321"/>
    <w:rsid w:val="002B0356"/>
    <w:rsid w:val="002B0659"/>
    <w:rsid w:val="002B06D6"/>
    <w:rsid w:val="002B0B91"/>
    <w:rsid w:val="002B0CA5"/>
    <w:rsid w:val="002B0E8A"/>
    <w:rsid w:val="002B0F59"/>
    <w:rsid w:val="002B0F8E"/>
    <w:rsid w:val="002B0FAD"/>
    <w:rsid w:val="002B1049"/>
    <w:rsid w:val="002B11A0"/>
    <w:rsid w:val="002B11DD"/>
    <w:rsid w:val="002B1273"/>
    <w:rsid w:val="002B148B"/>
    <w:rsid w:val="002B17C9"/>
    <w:rsid w:val="002B18D7"/>
    <w:rsid w:val="002B191D"/>
    <w:rsid w:val="002B1988"/>
    <w:rsid w:val="002B1B6A"/>
    <w:rsid w:val="002B1F2F"/>
    <w:rsid w:val="002B225E"/>
    <w:rsid w:val="002B23D0"/>
    <w:rsid w:val="002B2457"/>
    <w:rsid w:val="002B24AC"/>
    <w:rsid w:val="002B2549"/>
    <w:rsid w:val="002B264A"/>
    <w:rsid w:val="002B26C6"/>
    <w:rsid w:val="002B2717"/>
    <w:rsid w:val="002B28BC"/>
    <w:rsid w:val="002B2A86"/>
    <w:rsid w:val="002B2C85"/>
    <w:rsid w:val="002B2CC5"/>
    <w:rsid w:val="002B2CDB"/>
    <w:rsid w:val="002B2D96"/>
    <w:rsid w:val="002B2E7D"/>
    <w:rsid w:val="002B2F1C"/>
    <w:rsid w:val="002B311F"/>
    <w:rsid w:val="002B3126"/>
    <w:rsid w:val="002B318A"/>
    <w:rsid w:val="002B31EB"/>
    <w:rsid w:val="002B32D6"/>
    <w:rsid w:val="002B3532"/>
    <w:rsid w:val="002B3587"/>
    <w:rsid w:val="002B360B"/>
    <w:rsid w:val="002B38A3"/>
    <w:rsid w:val="002B3A6F"/>
    <w:rsid w:val="002B3ACC"/>
    <w:rsid w:val="002B3C1D"/>
    <w:rsid w:val="002B3C66"/>
    <w:rsid w:val="002B3CC1"/>
    <w:rsid w:val="002B3E17"/>
    <w:rsid w:val="002B3ECB"/>
    <w:rsid w:val="002B43AE"/>
    <w:rsid w:val="002B4478"/>
    <w:rsid w:val="002B451E"/>
    <w:rsid w:val="002B49F9"/>
    <w:rsid w:val="002B4C88"/>
    <w:rsid w:val="002B4C9C"/>
    <w:rsid w:val="002B4D0A"/>
    <w:rsid w:val="002B4D93"/>
    <w:rsid w:val="002B4E0A"/>
    <w:rsid w:val="002B52B5"/>
    <w:rsid w:val="002B52E8"/>
    <w:rsid w:val="002B5360"/>
    <w:rsid w:val="002B547D"/>
    <w:rsid w:val="002B5493"/>
    <w:rsid w:val="002B589E"/>
    <w:rsid w:val="002B5A3A"/>
    <w:rsid w:val="002B5B3D"/>
    <w:rsid w:val="002B5C82"/>
    <w:rsid w:val="002B5D27"/>
    <w:rsid w:val="002B5FD4"/>
    <w:rsid w:val="002B61F6"/>
    <w:rsid w:val="002B6298"/>
    <w:rsid w:val="002B6351"/>
    <w:rsid w:val="002B6634"/>
    <w:rsid w:val="002B66B1"/>
    <w:rsid w:val="002B672A"/>
    <w:rsid w:val="002B6740"/>
    <w:rsid w:val="002B686C"/>
    <w:rsid w:val="002B6897"/>
    <w:rsid w:val="002B69A1"/>
    <w:rsid w:val="002B6A02"/>
    <w:rsid w:val="002B6CDF"/>
    <w:rsid w:val="002B6D56"/>
    <w:rsid w:val="002B702A"/>
    <w:rsid w:val="002B70B7"/>
    <w:rsid w:val="002B710D"/>
    <w:rsid w:val="002B71BB"/>
    <w:rsid w:val="002B7319"/>
    <w:rsid w:val="002B7364"/>
    <w:rsid w:val="002B745D"/>
    <w:rsid w:val="002B74A1"/>
    <w:rsid w:val="002B7749"/>
    <w:rsid w:val="002B7B16"/>
    <w:rsid w:val="002B7B94"/>
    <w:rsid w:val="002B7C54"/>
    <w:rsid w:val="002B7C68"/>
    <w:rsid w:val="002B7E14"/>
    <w:rsid w:val="002C00C7"/>
    <w:rsid w:val="002C0233"/>
    <w:rsid w:val="002C032E"/>
    <w:rsid w:val="002C03A0"/>
    <w:rsid w:val="002C0497"/>
    <w:rsid w:val="002C0542"/>
    <w:rsid w:val="002C059D"/>
    <w:rsid w:val="002C05AE"/>
    <w:rsid w:val="002C07FF"/>
    <w:rsid w:val="002C0941"/>
    <w:rsid w:val="002C09E7"/>
    <w:rsid w:val="002C0A17"/>
    <w:rsid w:val="002C105B"/>
    <w:rsid w:val="002C1089"/>
    <w:rsid w:val="002C121B"/>
    <w:rsid w:val="002C13B2"/>
    <w:rsid w:val="002C14D5"/>
    <w:rsid w:val="002C16E6"/>
    <w:rsid w:val="002C1857"/>
    <w:rsid w:val="002C1878"/>
    <w:rsid w:val="002C1A0D"/>
    <w:rsid w:val="002C1C9D"/>
    <w:rsid w:val="002C1EB5"/>
    <w:rsid w:val="002C1F4D"/>
    <w:rsid w:val="002C222A"/>
    <w:rsid w:val="002C22C3"/>
    <w:rsid w:val="002C239A"/>
    <w:rsid w:val="002C24FB"/>
    <w:rsid w:val="002C26BC"/>
    <w:rsid w:val="002C2731"/>
    <w:rsid w:val="002C27E6"/>
    <w:rsid w:val="002C284B"/>
    <w:rsid w:val="002C2865"/>
    <w:rsid w:val="002C28CF"/>
    <w:rsid w:val="002C2ABB"/>
    <w:rsid w:val="002C2DEF"/>
    <w:rsid w:val="002C2E0E"/>
    <w:rsid w:val="002C2EF1"/>
    <w:rsid w:val="002C30A1"/>
    <w:rsid w:val="002C317F"/>
    <w:rsid w:val="002C3460"/>
    <w:rsid w:val="002C35F0"/>
    <w:rsid w:val="002C363C"/>
    <w:rsid w:val="002C364A"/>
    <w:rsid w:val="002C3930"/>
    <w:rsid w:val="002C3996"/>
    <w:rsid w:val="002C39DA"/>
    <w:rsid w:val="002C3B84"/>
    <w:rsid w:val="002C3D25"/>
    <w:rsid w:val="002C3F71"/>
    <w:rsid w:val="002C3F7A"/>
    <w:rsid w:val="002C4299"/>
    <w:rsid w:val="002C43DC"/>
    <w:rsid w:val="002C45E4"/>
    <w:rsid w:val="002C467B"/>
    <w:rsid w:val="002C48CA"/>
    <w:rsid w:val="002C4CB3"/>
    <w:rsid w:val="002C4D8A"/>
    <w:rsid w:val="002C4E49"/>
    <w:rsid w:val="002C4F95"/>
    <w:rsid w:val="002C5035"/>
    <w:rsid w:val="002C51F3"/>
    <w:rsid w:val="002C54E8"/>
    <w:rsid w:val="002C555E"/>
    <w:rsid w:val="002C55F8"/>
    <w:rsid w:val="002C569D"/>
    <w:rsid w:val="002C56FF"/>
    <w:rsid w:val="002C58C9"/>
    <w:rsid w:val="002C5A3D"/>
    <w:rsid w:val="002C5A60"/>
    <w:rsid w:val="002C5AB3"/>
    <w:rsid w:val="002C5AFD"/>
    <w:rsid w:val="002C5B9F"/>
    <w:rsid w:val="002C5E57"/>
    <w:rsid w:val="002C5F52"/>
    <w:rsid w:val="002C6068"/>
    <w:rsid w:val="002C62F3"/>
    <w:rsid w:val="002C64EB"/>
    <w:rsid w:val="002C6542"/>
    <w:rsid w:val="002C6637"/>
    <w:rsid w:val="002C6754"/>
    <w:rsid w:val="002C6872"/>
    <w:rsid w:val="002C688A"/>
    <w:rsid w:val="002C6A10"/>
    <w:rsid w:val="002C6A76"/>
    <w:rsid w:val="002C6B0A"/>
    <w:rsid w:val="002C6BCE"/>
    <w:rsid w:val="002C6E26"/>
    <w:rsid w:val="002C6F44"/>
    <w:rsid w:val="002C6FEC"/>
    <w:rsid w:val="002C700E"/>
    <w:rsid w:val="002C703B"/>
    <w:rsid w:val="002C75D1"/>
    <w:rsid w:val="002C7754"/>
    <w:rsid w:val="002C7949"/>
    <w:rsid w:val="002C7A77"/>
    <w:rsid w:val="002C7A8B"/>
    <w:rsid w:val="002C7ABE"/>
    <w:rsid w:val="002C7C1C"/>
    <w:rsid w:val="002C7E53"/>
    <w:rsid w:val="002D0016"/>
    <w:rsid w:val="002D0189"/>
    <w:rsid w:val="002D019A"/>
    <w:rsid w:val="002D01CD"/>
    <w:rsid w:val="002D04DC"/>
    <w:rsid w:val="002D0594"/>
    <w:rsid w:val="002D05F0"/>
    <w:rsid w:val="002D086C"/>
    <w:rsid w:val="002D0884"/>
    <w:rsid w:val="002D0A35"/>
    <w:rsid w:val="002D0BEE"/>
    <w:rsid w:val="002D0BF9"/>
    <w:rsid w:val="002D0C18"/>
    <w:rsid w:val="002D0DA6"/>
    <w:rsid w:val="002D0E14"/>
    <w:rsid w:val="002D1280"/>
    <w:rsid w:val="002D145B"/>
    <w:rsid w:val="002D14BB"/>
    <w:rsid w:val="002D1592"/>
    <w:rsid w:val="002D1690"/>
    <w:rsid w:val="002D16C6"/>
    <w:rsid w:val="002D1753"/>
    <w:rsid w:val="002D1A38"/>
    <w:rsid w:val="002D1BF8"/>
    <w:rsid w:val="002D1CA1"/>
    <w:rsid w:val="002D1DE4"/>
    <w:rsid w:val="002D1E3C"/>
    <w:rsid w:val="002D1EC8"/>
    <w:rsid w:val="002D1FB8"/>
    <w:rsid w:val="002D2167"/>
    <w:rsid w:val="002D2235"/>
    <w:rsid w:val="002D22C5"/>
    <w:rsid w:val="002D23E5"/>
    <w:rsid w:val="002D2670"/>
    <w:rsid w:val="002D268F"/>
    <w:rsid w:val="002D2A21"/>
    <w:rsid w:val="002D2AB4"/>
    <w:rsid w:val="002D2AE3"/>
    <w:rsid w:val="002D2C8B"/>
    <w:rsid w:val="002D2D98"/>
    <w:rsid w:val="002D2DC7"/>
    <w:rsid w:val="002D2E7C"/>
    <w:rsid w:val="002D2F6D"/>
    <w:rsid w:val="002D3012"/>
    <w:rsid w:val="002D301C"/>
    <w:rsid w:val="002D3301"/>
    <w:rsid w:val="002D334F"/>
    <w:rsid w:val="002D33D2"/>
    <w:rsid w:val="002D3446"/>
    <w:rsid w:val="002D3797"/>
    <w:rsid w:val="002D3807"/>
    <w:rsid w:val="002D3967"/>
    <w:rsid w:val="002D3985"/>
    <w:rsid w:val="002D3B58"/>
    <w:rsid w:val="002D3F22"/>
    <w:rsid w:val="002D3FA0"/>
    <w:rsid w:val="002D3FF8"/>
    <w:rsid w:val="002D4281"/>
    <w:rsid w:val="002D4434"/>
    <w:rsid w:val="002D460E"/>
    <w:rsid w:val="002D468D"/>
    <w:rsid w:val="002D4737"/>
    <w:rsid w:val="002D4885"/>
    <w:rsid w:val="002D496F"/>
    <w:rsid w:val="002D4F58"/>
    <w:rsid w:val="002D4FF1"/>
    <w:rsid w:val="002D5297"/>
    <w:rsid w:val="002D5524"/>
    <w:rsid w:val="002D5CBF"/>
    <w:rsid w:val="002D5D03"/>
    <w:rsid w:val="002D5D22"/>
    <w:rsid w:val="002D6112"/>
    <w:rsid w:val="002D61F8"/>
    <w:rsid w:val="002D6575"/>
    <w:rsid w:val="002D66BF"/>
    <w:rsid w:val="002D675B"/>
    <w:rsid w:val="002D69EC"/>
    <w:rsid w:val="002D6BCB"/>
    <w:rsid w:val="002D6D70"/>
    <w:rsid w:val="002D7024"/>
    <w:rsid w:val="002D71D1"/>
    <w:rsid w:val="002D71E3"/>
    <w:rsid w:val="002D728B"/>
    <w:rsid w:val="002D7344"/>
    <w:rsid w:val="002D750C"/>
    <w:rsid w:val="002D76F3"/>
    <w:rsid w:val="002D76FF"/>
    <w:rsid w:val="002D7723"/>
    <w:rsid w:val="002D7740"/>
    <w:rsid w:val="002D7821"/>
    <w:rsid w:val="002D7884"/>
    <w:rsid w:val="002D78E2"/>
    <w:rsid w:val="002D79B7"/>
    <w:rsid w:val="002E02AE"/>
    <w:rsid w:val="002E03AA"/>
    <w:rsid w:val="002E040F"/>
    <w:rsid w:val="002E07E2"/>
    <w:rsid w:val="002E096C"/>
    <w:rsid w:val="002E0C6C"/>
    <w:rsid w:val="002E106F"/>
    <w:rsid w:val="002E10FD"/>
    <w:rsid w:val="002E11E3"/>
    <w:rsid w:val="002E1230"/>
    <w:rsid w:val="002E1588"/>
    <w:rsid w:val="002E1AC6"/>
    <w:rsid w:val="002E1BA2"/>
    <w:rsid w:val="002E1BE8"/>
    <w:rsid w:val="002E1E1D"/>
    <w:rsid w:val="002E1EDB"/>
    <w:rsid w:val="002E206C"/>
    <w:rsid w:val="002E2129"/>
    <w:rsid w:val="002E264C"/>
    <w:rsid w:val="002E28ED"/>
    <w:rsid w:val="002E297F"/>
    <w:rsid w:val="002E2ACB"/>
    <w:rsid w:val="002E2C18"/>
    <w:rsid w:val="002E2D63"/>
    <w:rsid w:val="002E2E25"/>
    <w:rsid w:val="002E329F"/>
    <w:rsid w:val="002E34FA"/>
    <w:rsid w:val="002E38E3"/>
    <w:rsid w:val="002E399F"/>
    <w:rsid w:val="002E3E99"/>
    <w:rsid w:val="002E3EA0"/>
    <w:rsid w:val="002E42A5"/>
    <w:rsid w:val="002E4386"/>
    <w:rsid w:val="002E439B"/>
    <w:rsid w:val="002E43C1"/>
    <w:rsid w:val="002E4453"/>
    <w:rsid w:val="002E44DE"/>
    <w:rsid w:val="002E47FE"/>
    <w:rsid w:val="002E4827"/>
    <w:rsid w:val="002E4B73"/>
    <w:rsid w:val="002E4BCB"/>
    <w:rsid w:val="002E4C57"/>
    <w:rsid w:val="002E4D63"/>
    <w:rsid w:val="002E4F1B"/>
    <w:rsid w:val="002E4F3D"/>
    <w:rsid w:val="002E51AD"/>
    <w:rsid w:val="002E51D7"/>
    <w:rsid w:val="002E51DD"/>
    <w:rsid w:val="002E52BE"/>
    <w:rsid w:val="002E57CA"/>
    <w:rsid w:val="002E580F"/>
    <w:rsid w:val="002E59E8"/>
    <w:rsid w:val="002E59ED"/>
    <w:rsid w:val="002E5BD8"/>
    <w:rsid w:val="002E5CBE"/>
    <w:rsid w:val="002E5CE7"/>
    <w:rsid w:val="002E5DDB"/>
    <w:rsid w:val="002E5E06"/>
    <w:rsid w:val="002E5E14"/>
    <w:rsid w:val="002E5F6B"/>
    <w:rsid w:val="002E60FC"/>
    <w:rsid w:val="002E6366"/>
    <w:rsid w:val="002E69CD"/>
    <w:rsid w:val="002E6A07"/>
    <w:rsid w:val="002E6AE4"/>
    <w:rsid w:val="002E6B40"/>
    <w:rsid w:val="002E6B82"/>
    <w:rsid w:val="002E6C36"/>
    <w:rsid w:val="002E6CF7"/>
    <w:rsid w:val="002E6CFD"/>
    <w:rsid w:val="002E6D19"/>
    <w:rsid w:val="002E6DB8"/>
    <w:rsid w:val="002E6E41"/>
    <w:rsid w:val="002E6ED3"/>
    <w:rsid w:val="002E6FAF"/>
    <w:rsid w:val="002E728B"/>
    <w:rsid w:val="002E762F"/>
    <w:rsid w:val="002E774C"/>
    <w:rsid w:val="002E77C2"/>
    <w:rsid w:val="002E782C"/>
    <w:rsid w:val="002E7B9D"/>
    <w:rsid w:val="002E7D25"/>
    <w:rsid w:val="002E7D5C"/>
    <w:rsid w:val="002F007D"/>
    <w:rsid w:val="002F0131"/>
    <w:rsid w:val="002F0500"/>
    <w:rsid w:val="002F060A"/>
    <w:rsid w:val="002F07DD"/>
    <w:rsid w:val="002F07EB"/>
    <w:rsid w:val="002F093C"/>
    <w:rsid w:val="002F0A96"/>
    <w:rsid w:val="002F0CDE"/>
    <w:rsid w:val="002F0D28"/>
    <w:rsid w:val="002F0D8D"/>
    <w:rsid w:val="002F0EB1"/>
    <w:rsid w:val="002F0F31"/>
    <w:rsid w:val="002F0FAF"/>
    <w:rsid w:val="002F1004"/>
    <w:rsid w:val="002F1068"/>
    <w:rsid w:val="002F10F1"/>
    <w:rsid w:val="002F16C3"/>
    <w:rsid w:val="002F170B"/>
    <w:rsid w:val="002F1885"/>
    <w:rsid w:val="002F18B8"/>
    <w:rsid w:val="002F1902"/>
    <w:rsid w:val="002F19A1"/>
    <w:rsid w:val="002F19EB"/>
    <w:rsid w:val="002F1B29"/>
    <w:rsid w:val="002F1B2B"/>
    <w:rsid w:val="002F1B7C"/>
    <w:rsid w:val="002F1C8A"/>
    <w:rsid w:val="002F1CF8"/>
    <w:rsid w:val="002F1E58"/>
    <w:rsid w:val="002F2340"/>
    <w:rsid w:val="002F25C3"/>
    <w:rsid w:val="002F2895"/>
    <w:rsid w:val="002F28DE"/>
    <w:rsid w:val="002F2905"/>
    <w:rsid w:val="002F2929"/>
    <w:rsid w:val="002F2A0D"/>
    <w:rsid w:val="002F2A83"/>
    <w:rsid w:val="002F2C5D"/>
    <w:rsid w:val="002F2D2F"/>
    <w:rsid w:val="002F2E6F"/>
    <w:rsid w:val="002F2FE3"/>
    <w:rsid w:val="002F31B9"/>
    <w:rsid w:val="002F31CB"/>
    <w:rsid w:val="002F3335"/>
    <w:rsid w:val="002F35C6"/>
    <w:rsid w:val="002F3651"/>
    <w:rsid w:val="002F36EF"/>
    <w:rsid w:val="002F3A2C"/>
    <w:rsid w:val="002F3A64"/>
    <w:rsid w:val="002F3B4E"/>
    <w:rsid w:val="002F3C97"/>
    <w:rsid w:val="002F3CDC"/>
    <w:rsid w:val="002F3D5D"/>
    <w:rsid w:val="002F3D93"/>
    <w:rsid w:val="002F41F9"/>
    <w:rsid w:val="002F4445"/>
    <w:rsid w:val="002F4618"/>
    <w:rsid w:val="002F462F"/>
    <w:rsid w:val="002F4680"/>
    <w:rsid w:val="002F471A"/>
    <w:rsid w:val="002F478F"/>
    <w:rsid w:val="002F4A2F"/>
    <w:rsid w:val="002F4A93"/>
    <w:rsid w:val="002F4D45"/>
    <w:rsid w:val="002F5067"/>
    <w:rsid w:val="002F57FB"/>
    <w:rsid w:val="002F59B8"/>
    <w:rsid w:val="002F5AC9"/>
    <w:rsid w:val="002F5C72"/>
    <w:rsid w:val="002F611F"/>
    <w:rsid w:val="002F6120"/>
    <w:rsid w:val="002F6240"/>
    <w:rsid w:val="002F63FB"/>
    <w:rsid w:val="002F66D4"/>
    <w:rsid w:val="002F6813"/>
    <w:rsid w:val="002F6B05"/>
    <w:rsid w:val="002F6BBC"/>
    <w:rsid w:val="002F6C10"/>
    <w:rsid w:val="002F6F12"/>
    <w:rsid w:val="002F70AA"/>
    <w:rsid w:val="002F71E0"/>
    <w:rsid w:val="002F71F9"/>
    <w:rsid w:val="002F73C2"/>
    <w:rsid w:val="002F76A6"/>
    <w:rsid w:val="002F772B"/>
    <w:rsid w:val="002F77E7"/>
    <w:rsid w:val="002F7B72"/>
    <w:rsid w:val="002F7C41"/>
    <w:rsid w:val="002F7D0A"/>
    <w:rsid w:val="002F7F55"/>
    <w:rsid w:val="002F7FB8"/>
    <w:rsid w:val="002F7FCA"/>
    <w:rsid w:val="00300024"/>
    <w:rsid w:val="003000DB"/>
    <w:rsid w:val="00300140"/>
    <w:rsid w:val="00300597"/>
    <w:rsid w:val="0030073E"/>
    <w:rsid w:val="0030094D"/>
    <w:rsid w:val="00300B3C"/>
    <w:rsid w:val="00300CA4"/>
    <w:rsid w:val="00300DF9"/>
    <w:rsid w:val="00300EAB"/>
    <w:rsid w:val="003010A7"/>
    <w:rsid w:val="003012BE"/>
    <w:rsid w:val="00301577"/>
    <w:rsid w:val="003015F4"/>
    <w:rsid w:val="003017E4"/>
    <w:rsid w:val="0030197E"/>
    <w:rsid w:val="00301985"/>
    <w:rsid w:val="00301A22"/>
    <w:rsid w:val="00301AD0"/>
    <w:rsid w:val="00301B94"/>
    <w:rsid w:val="00301B9F"/>
    <w:rsid w:val="00301C55"/>
    <w:rsid w:val="00302074"/>
    <w:rsid w:val="003020E0"/>
    <w:rsid w:val="00302125"/>
    <w:rsid w:val="0030230F"/>
    <w:rsid w:val="00302428"/>
    <w:rsid w:val="00302A2F"/>
    <w:rsid w:val="00302B1F"/>
    <w:rsid w:val="00302B2C"/>
    <w:rsid w:val="00302B35"/>
    <w:rsid w:val="00302B7E"/>
    <w:rsid w:val="00302CC7"/>
    <w:rsid w:val="00302E1D"/>
    <w:rsid w:val="00303009"/>
    <w:rsid w:val="00303239"/>
    <w:rsid w:val="0030356E"/>
    <w:rsid w:val="00303682"/>
    <w:rsid w:val="003038B7"/>
    <w:rsid w:val="003039BE"/>
    <w:rsid w:val="00303D44"/>
    <w:rsid w:val="00303F52"/>
    <w:rsid w:val="003040CF"/>
    <w:rsid w:val="0030413E"/>
    <w:rsid w:val="003041F9"/>
    <w:rsid w:val="00304615"/>
    <w:rsid w:val="003047A9"/>
    <w:rsid w:val="0030494E"/>
    <w:rsid w:val="00304A5A"/>
    <w:rsid w:val="00304B3C"/>
    <w:rsid w:val="00304BB8"/>
    <w:rsid w:val="00304BE4"/>
    <w:rsid w:val="00304CF6"/>
    <w:rsid w:val="00304D17"/>
    <w:rsid w:val="00304D75"/>
    <w:rsid w:val="00305013"/>
    <w:rsid w:val="00305027"/>
    <w:rsid w:val="003053BD"/>
    <w:rsid w:val="00305575"/>
    <w:rsid w:val="00305758"/>
    <w:rsid w:val="00305852"/>
    <w:rsid w:val="00305CA7"/>
    <w:rsid w:val="00305ECE"/>
    <w:rsid w:val="00305F4D"/>
    <w:rsid w:val="003061A5"/>
    <w:rsid w:val="00306580"/>
    <w:rsid w:val="003068E1"/>
    <w:rsid w:val="0030695B"/>
    <w:rsid w:val="00306AB1"/>
    <w:rsid w:val="00306CD7"/>
    <w:rsid w:val="00306CF4"/>
    <w:rsid w:val="00306DED"/>
    <w:rsid w:val="0030706E"/>
    <w:rsid w:val="0030711B"/>
    <w:rsid w:val="00307139"/>
    <w:rsid w:val="00307449"/>
    <w:rsid w:val="0030757A"/>
    <w:rsid w:val="00307681"/>
    <w:rsid w:val="00307688"/>
    <w:rsid w:val="00307740"/>
    <w:rsid w:val="00307885"/>
    <w:rsid w:val="00307911"/>
    <w:rsid w:val="003079A8"/>
    <w:rsid w:val="003079DA"/>
    <w:rsid w:val="00307C92"/>
    <w:rsid w:val="00307E25"/>
    <w:rsid w:val="00307FA6"/>
    <w:rsid w:val="00310256"/>
    <w:rsid w:val="00310341"/>
    <w:rsid w:val="00310362"/>
    <w:rsid w:val="0031073B"/>
    <w:rsid w:val="00310833"/>
    <w:rsid w:val="00310FF6"/>
    <w:rsid w:val="003111EF"/>
    <w:rsid w:val="003111F3"/>
    <w:rsid w:val="00311311"/>
    <w:rsid w:val="003113B6"/>
    <w:rsid w:val="003114DD"/>
    <w:rsid w:val="003115C2"/>
    <w:rsid w:val="0031162B"/>
    <w:rsid w:val="003116E8"/>
    <w:rsid w:val="00311841"/>
    <w:rsid w:val="00311948"/>
    <w:rsid w:val="00311C22"/>
    <w:rsid w:val="00311EAF"/>
    <w:rsid w:val="00312033"/>
    <w:rsid w:val="00312302"/>
    <w:rsid w:val="0031230D"/>
    <w:rsid w:val="003124FD"/>
    <w:rsid w:val="0031269A"/>
    <w:rsid w:val="003127C2"/>
    <w:rsid w:val="00312845"/>
    <w:rsid w:val="00312955"/>
    <w:rsid w:val="003129B6"/>
    <w:rsid w:val="00312A9A"/>
    <w:rsid w:val="00312BE2"/>
    <w:rsid w:val="00312C14"/>
    <w:rsid w:val="00312C7F"/>
    <w:rsid w:val="00313093"/>
    <w:rsid w:val="003130CD"/>
    <w:rsid w:val="00313137"/>
    <w:rsid w:val="00313189"/>
    <w:rsid w:val="00313210"/>
    <w:rsid w:val="00313242"/>
    <w:rsid w:val="0031324C"/>
    <w:rsid w:val="003133BB"/>
    <w:rsid w:val="003134D6"/>
    <w:rsid w:val="00313626"/>
    <w:rsid w:val="0031389A"/>
    <w:rsid w:val="003138E8"/>
    <w:rsid w:val="00313967"/>
    <w:rsid w:val="00313BEE"/>
    <w:rsid w:val="00313C0B"/>
    <w:rsid w:val="00313E4D"/>
    <w:rsid w:val="00313E4F"/>
    <w:rsid w:val="00313F72"/>
    <w:rsid w:val="00314096"/>
    <w:rsid w:val="003141C3"/>
    <w:rsid w:val="003141CF"/>
    <w:rsid w:val="0031420E"/>
    <w:rsid w:val="0031428E"/>
    <w:rsid w:val="003142C6"/>
    <w:rsid w:val="003142DF"/>
    <w:rsid w:val="003143B7"/>
    <w:rsid w:val="003144BD"/>
    <w:rsid w:val="0031454E"/>
    <w:rsid w:val="003148A3"/>
    <w:rsid w:val="00314937"/>
    <w:rsid w:val="0031495F"/>
    <w:rsid w:val="00314B60"/>
    <w:rsid w:val="00314CC3"/>
    <w:rsid w:val="00314F54"/>
    <w:rsid w:val="00315331"/>
    <w:rsid w:val="003153C2"/>
    <w:rsid w:val="00315451"/>
    <w:rsid w:val="00315494"/>
    <w:rsid w:val="003154A6"/>
    <w:rsid w:val="003157CF"/>
    <w:rsid w:val="00315890"/>
    <w:rsid w:val="00315939"/>
    <w:rsid w:val="003159AA"/>
    <w:rsid w:val="003159D2"/>
    <w:rsid w:val="003159E8"/>
    <w:rsid w:val="00315A58"/>
    <w:rsid w:val="00315A72"/>
    <w:rsid w:val="00315A96"/>
    <w:rsid w:val="00315C0C"/>
    <w:rsid w:val="00315D36"/>
    <w:rsid w:val="00315DEA"/>
    <w:rsid w:val="00315FBE"/>
    <w:rsid w:val="0031606E"/>
    <w:rsid w:val="00316137"/>
    <w:rsid w:val="00316252"/>
    <w:rsid w:val="0031653B"/>
    <w:rsid w:val="00316598"/>
    <w:rsid w:val="003165D4"/>
    <w:rsid w:val="00316822"/>
    <w:rsid w:val="00316852"/>
    <w:rsid w:val="0031688C"/>
    <w:rsid w:val="00316AC4"/>
    <w:rsid w:val="00316B63"/>
    <w:rsid w:val="00316F46"/>
    <w:rsid w:val="0031701B"/>
    <w:rsid w:val="00317202"/>
    <w:rsid w:val="00317251"/>
    <w:rsid w:val="00317280"/>
    <w:rsid w:val="00317474"/>
    <w:rsid w:val="003174A3"/>
    <w:rsid w:val="003175AD"/>
    <w:rsid w:val="003175F5"/>
    <w:rsid w:val="003176E0"/>
    <w:rsid w:val="0031773D"/>
    <w:rsid w:val="0031784B"/>
    <w:rsid w:val="00317866"/>
    <w:rsid w:val="00317D4F"/>
    <w:rsid w:val="00317D7C"/>
    <w:rsid w:val="00317E4C"/>
    <w:rsid w:val="00317F93"/>
    <w:rsid w:val="0032010A"/>
    <w:rsid w:val="003202E9"/>
    <w:rsid w:val="0032043E"/>
    <w:rsid w:val="00320990"/>
    <w:rsid w:val="00320A5A"/>
    <w:rsid w:val="00320A89"/>
    <w:rsid w:val="00320AD2"/>
    <w:rsid w:val="00320B48"/>
    <w:rsid w:val="00320B90"/>
    <w:rsid w:val="00320CE9"/>
    <w:rsid w:val="00320EE6"/>
    <w:rsid w:val="00320F90"/>
    <w:rsid w:val="0032110B"/>
    <w:rsid w:val="003212A9"/>
    <w:rsid w:val="00321318"/>
    <w:rsid w:val="003213D1"/>
    <w:rsid w:val="003214F7"/>
    <w:rsid w:val="003215AB"/>
    <w:rsid w:val="0032168D"/>
    <w:rsid w:val="0032185F"/>
    <w:rsid w:val="00321B71"/>
    <w:rsid w:val="00321F06"/>
    <w:rsid w:val="00321F5F"/>
    <w:rsid w:val="00321FC0"/>
    <w:rsid w:val="0032200D"/>
    <w:rsid w:val="0032207F"/>
    <w:rsid w:val="003222A3"/>
    <w:rsid w:val="00322310"/>
    <w:rsid w:val="003223D5"/>
    <w:rsid w:val="003224C9"/>
    <w:rsid w:val="0032258A"/>
    <w:rsid w:val="00322758"/>
    <w:rsid w:val="0032278C"/>
    <w:rsid w:val="00322B12"/>
    <w:rsid w:val="00322B55"/>
    <w:rsid w:val="00322BFC"/>
    <w:rsid w:val="00322DF8"/>
    <w:rsid w:val="00323152"/>
    <w:rsid w:val="0032321E"/>
    <w:rsid w:val="0032330D"/>
    <w:rsid w:val="003233A7"/>
    <w:rsid w:val="0032341C"/>
    <w:rsid w:val="0032341E"/>
    <w:rsid w:val="00323577"/>
    <w:rsid w:val="00323631"/>
    <w:rsid w:val="003236D6"/>
    <w:rsid w:val="0032372B"/>
    <w:rsid w:val="00323861"/>
    <w:rsid w:val="003238BB"/>
    <w:rsid w:val="003238CD"/>
    <w:rsid w:val="00323A9C"/>
    <w:rsid w:val="00323ABE"/>
    <w:rsid w:val="00323B97"/>
    <w:rsid w:val="003240B8"/>
    <w:rsid w:val="00324261"/>
    <w:rsid w:val="003243A2"/>
    <w:rsid w:val="0032458C"/>
    <w:rsid w:val="0032469B"/>
    <w:rsid w:val="003246B5"/>
    <w:rsid w:val="00324746"/>
    <w:rsid w:val="00324798"/>
    <w:rsid w:val="00324945"/>
    <w:rsid w:val="0032496C"/>
    <w:rsid w:val="00324C6B"/>
    <w:rsid w:val="00324CA8"/>
    <w:rsid w:val="00324FD5"/>
    <w:rsid w:val="00325315"/>
    <w:rsid w:val="003253B1"/>
    <w:rsid w:val="0032550C"/>
    <w:rsid w:val="00325533"/>
    <w:rsid w:val="00325613"/>
    <w:rsid w:val="00325679"/>
    <w:rsid w:val="003256DE"/>
    <w:rsid w:val="00325878"/>
    <w:rsid w:val="003259B1"/>
    <w:rsid w:val="003260DB"/>
    <w:rsid w:val="003261A1"/>
    <w:rsid w:val="0032637E"/>
    <w:rsid w:val="00326385"/>
    <w:rsid w:val="003264D9"/>
    <w:rsid w:val="00326666"/>
    <w:rsid w:val="003267FD"/>
    <w:rsid w:val="003269CA"/>
    <w:rsid w:val="00326A85"/>
    <w:rsid w:val="00326AF5"/>
    <w:rsid w:val="00326BAC"/>
    <w:rsid w:val="00326CF4"/>
    <w:rsid w:val="00326D09"/>
    <w:rsid w:val="00326D87"/>
    <w:rsid w:val="00326E6B"/>
    <w:rsid w:val="00326F10"/>
    <w:rsid w:val="00326FEB"/>
    <w:rsid w:val="00327073"/>
    <w:rsid w:val="003272C6"/>
    <w:rsid w:val="003273C6"/>
    <w:rsid w:val="00327438"/>
    <w:rsid w:val="00327701"/>
    <w:rsid w:val="0032776F"/>
    <w:rsid w:val="003277C7"/>
    <w:rsid w:val="00327B15"/>
    <w:rsid w:val="00327DAF"/>
    <w:rsid w:val="00327ED8"/>
    <w:rsid w:val="003300F2"/>
    <w:rsid w:val="0033011C"/>
    <w:rsid w:val="0033013D"/>
    <w:rsid w:val="0033019B"/>
    <w:rsid w:val="00330241"/>
    <w:rsid w:val="0033030C"/>
    <w:rsid w:val="00330637"/>
    <w:rsid w:val="00330748"/>
    <w:rsid w:val="003307F4"/>
    <w:rsid w:val="0033084D"/>
    <w:rsid w:val="00330A31"/>
    <w:rsid w:val="00330B87"/>
    <w:rsid w:val="00330BB5"/>
    <w:rsid w:val="00330DEF"/>
    <w:rsid w:val="00330ECB"/>
    <w:rsid w:val="00330ED0"/>
    <w:rsid w:val="00330F03"/>
    <w:rsid w:val="00330FA9"/>
    <w:rsid w:val="003310C4"/>
    <w:rsid w:val="0033118B"/>
    <w:rsid w:val="00331379"/>
    <w:rsid w:val="0033138C"/>
    <w:rsid w:val="00331502"/>
    <w:rsid w:val="003315FB"/>
    <w:rsid w:val="003317A4"/>
    <w:rsid w:val="003317D7"/>
    <w:rsid w:val="003317D8"/>
    <w:rsid w:val="00331AE4"/>
    <w:rsid w:val="00331C05"/>
    <w:rsid w:val="00331F61"/>
    <w:rsid w:val="00331FDB"/>
    <w:rsid w:val="003321BC"/>
    <w:rsid w:val="003322E3"/>
    <w:rsid w:val="003324F2"/>
    <w:rsid w:val="0033267C"/>
    <w:rsid w:val="00332695"/>
    <w:rsid w:val="003326B6"/>
    <w:rsid w:val="00332749"/>
    <w:rsid w:val="003327F2"/>
    <w:rsid w:val="003327FE"/>
    <w:rsid w:val="00332909"/>
    <w:rsid w:val="00332986"/>
    <w:rsid w:val="00332AE8"/>
    <w:rsid w:val="00332BDF"/>
    <w:rsid w:val="00332C6A"/>
    <w:rsid w:val="00333082"/>
    <w:rsid w:val="00333104"/>
    <w:rsid w:val="00333130"/>
    <w:rsid w:val="00333433"/>
    <w:rsid w:val="00333479"/>
    <w:rsid w:val="0033359E"/>
    <w:rsid w:val="00333726"/>
    <w:rsid w:val="00333735"/>
    <w:rsid w:val="0033389B"/>
    <w:rsid w:val="00333942"/>
    <w:rsid w:val="00333A77"/>
    <w:rsid w:val="00334337"/>
    <w:rsid w:val="0033434E"/>
    <w:rsid w:val="00334400"/>
    <w:rsid w:val="0033448E"/>
    <w:rsid w:val="0033453E"/>
    <w:rsid w:val="003345D9"/>
    <w:rsid w:val="00334917"/>
    <w:rsid w:val="0033492A"/>
    <w:rsid w:val="00334939"/>
    <w:rsid w:val="00334E0A"/>
    <w:rsid w:val="00334E5D"/>
    <w:rsid w:val="00334F5D"/>
    <w:rsid w:val="00335149"/>
    <w:rsid w:val="00335358"/>
    <w:rsid w:val="003353FD"/>
    <w:rsid w:val="00335516"/>
    <w:rsid w:val="003356D5"/>
    <w:rsid w:val="00335704"/>
    <w:rsid w:val="003358A7"/>
    <w:rsid w:val="003358B2"/>
    <w:rsid w:val="00335B08"/>
    <w:rsid w:val="00335B55"/>
    <w:rsid w:val="00335DAB"/>
    <w:rsid w:val="00335F34"/>
    <w:rsid w:val="00335F75"/>
    <w:rsid w:val="00336009"/>
    <w:rsid w:val="00336175"/>
    <w:rsid w:val="003361E5"/>
    <w:rsid w:val="0033628E"/>
    <w:rsid w:val="00336539"/>
    <w:rsid w:val="0033653F"/>
    <w:rsid w:val="0033682E"/>
    <w:rsid w:val="00336A5E"/>
    <w:rsid w:val="00336AF4"/>
    <w:rsid w:val="00336BD8"/>
    <w:rsid w:val="00336C46"/>
    <w:rsid w:val="00336CDC"/>
    <w:rsid w:val="00336E14"/>
    <w:rsid w:val="00336E7A"/>
    <w:rsid w:val="00336E8C"/>
    <w:rsid w:val="00336F7F"/>
    <w:rsid w:val="003370D0"/>
    <w:rsid w:val="00337235"/>
    <w:rsid w:val="00337259"/>
    <w:rsid w:val="00337396"/>
    <w:rsid w:val="00337557"/>
    <w:rsid w:val="003375BE"/>
    <w:rsid w:val="00337887"/>
    <w:rsid w:val="00337A58"/>
    <w:rsid w:val="00337AA2"/>
    <w:rsid w:val="00337AE7"/>
    <w:rsid w:val="00337B11"/>
    <w:rsid w:val="00337CAD"/>
    <w:rsid w:val="00337DDB"/>
    <w:rsid w:val="00337E2E"/>
    <w:rsid w:val="00337E9D"/>
    <w:rsid w:val="00337FB9"/>
    <w:rsid w:val="00337FCE"/>
    <w:rsid w:val="00340307"/>
    <w:rsid w:val="003403DC"/>
    <w:rsid w:val="00340407"/>
    <w:rsid w:val="00340467"/>
    <w:rsid w:val="003404FB"/>
    <w:rsid w:val="003405DF"/>
    <w:rsid w:val="003407AA"/>
    <w:rsid w:val="0034082C"/>
    <w:rsid w:val="00340A05"/>
    <w:rsid w:val="00340E55"/>
    <w:rsid w:val="003410F3"/>
    <w:rsid w:val="0034110A"/>
    <w:rsid w:val="0034128E"/>
    <w:rsid w:val="00341299"/>
    <w:rsid w:val="003412FD"/>
    <w:rsid w:val="003413CC"/>
    <w:rsid w:val="00341682"/>
    <w:rsid w:val="003416E8"/>
    <w:rsid w:val="00341836"/>
    <w:rsid w:val="00341F91"/>
    <w:rsid w:val="00342716"/>
    <w:rsid w:val="00342A1A"/>
    <w:rsid w:val="00342A82"/>
    <w:rsid w:val="00342B81"/>
    <w:rsid w:val="00342C06"/>
    <w:rsid w:val="00342C36"/>
    <w:rsid w:val="0034318D"/>
    <w:rsid w:val="00343348"/>
    <w:rsid w:val="00343401"/>
    <w:rsid w:val="003434CF"/>
    <w:rsid w:val="003434E9"/>
    <w:rsid w:val="003435FB"/>
    <w:rsid w:val="00343775"/>
    <w:rsid w:val="00343791"/>
    <w:rsid w:val="00343AB9"/>
    <w:rsid w:val="00343DD4"/>
    <w:rsid w:val="00343E87"/>
    <w:rsid w:val="00343F15"/>
    <w:rsid w:val="003441DF"/>
    <w:rsid w:val="003445C1"/>
    <w:rsid w:val="003445E7"/>
    <w:rsid w:val="00344861"/>
    <w:rsid w:val="00344B0E"/>
    <w:rsid w:val="00344D9C"/>
    <w:rsid w:val="00344F2F"/>
    <w:rsid w:val="00344F65"/>
    <w:rsid w:val="00344FA7"/>
    <w:rsid w:val="00345121"/>
    <w:rsid w:val="00345133"/>
    <w:rsid w:val="003451D5"/>
    <w:rsid w:val="0034529D"/>
    <w:rsid w:val="003452AB"/>
    <w:rsid w:val="003453BC"/>
    <w:rsid w:val="0034551C"/>
    <w:rsid w:val="003456D8"/>
    <w:rsid w:val="00345781"/>
    <w:rsid w:val="0034593C"/>
    <w:rsid w:val="003459FF"/>
    <w:rsid w:val="00345B5C"/>
    <w:rsid w:val="00345D3C"/>
    <w:rsid w:val="00346379"/>
    <w:rsid w:val="0034638D"/>
    <w:rsid w:val="00346394"/>
    <w:rsid w:val="003464BD"/>
    <w:rsid w:val="003464F2"/>
    <w:rsid w:val="00346527"/>
    <w:rsid w:val="00346671"/>
    <w:rsid w:val="00346719"/>
    <w:rsid w:val="003467E6"/>
    <w:rsid w:val="00346EA1"/>
    <w:rsid w:val="00346F26"/>
    <w:rsid w:val="0034706E"/>
    <w:rsid w:val="00347331"/>
    <w:rsid w:val="00347886"/>
    <w:rsid w:val="00347D1C"/>
    <w:rsid w:val="00347FD8"/>
    <w:rsid w:val="0035003E"/>
    <w:rsid w:val="0035015F"/>
    <w:rsid w:val="003502E0"/>
    <w:rsid w:val="003502F0"/>
    <w:rsid w:val="00350539"/>
    <w:rsid w:val="00350615"/>
    <w:rsid w:val="003506B3"/>
    <w:rsid w:val="003507E5"/>
    <w:rsid w:val="00350812"/>
    <w:rsid w:val="00350880"/>
    <w:rsid w:val="00350901"/>
    <w:rsid w:val="00350964"/>
    <w:rsid w:val="00350A81"/>
    <w:rsid w:val="003510C3"/>
    <w:rsid w:val="00351170"/>
    <w:rsid w:val="0035118A"/>
    <w:rsid w:val="003511A9"/>
    <w:rsid w:val="003513A5"/>
    <w:rsid w:val="003513F3"/>
    <w:rsid w:val="003515A3"/>
    <w:rsid w:val="003516E0"/>
    <w:rsid w:val="0035175B"/>
    <w:rsid w:val="00351857"/>
    <w:rsid w:val="00351D89"/>
    <w:rsid w:val="00351F66"/>
    <w:rsid w:val="00351FB0"/>
    <w:rsid w:val="0035231B"/>
    <w:rsid w:val="003523F8"/>
    <w:rsid w:val="003525BA"/>
    <w:rsid w:val="00352952"/>
    <w:rsid w:val="00352C72"/>
    <w:rsid w:val="00352C91"/>
    <w:rsid w:val="00352DBB"/>
    <w:rsid w:val="00352EAF"/>
    <w:rsid w:val="00352F70"/>
    <w:rsid w:val="00353007"/>
    <w:rsid w:val="00353140"/>
    <w:rsid w:val="0035315D"/>
    <w:rsid w:val="003531F6"/>
    <w:rsid w:val="00353271"/>
    <w:rsid w:val="00353363"/>
    <w:rsid w:val="003533D9"/>
    <w:rsid w:val="0035351D"/>
    <w:rsid w:val="003537C1"/>
    <w:rsid w:val="003537D6"/>
    <w:rsid w:val="0035385F"/>
    <w:rsid w:val="003538AC"/>
    <w:rsid w:val="00353B4D"/>
    <w:rsid w:val="00353C4B"/>
    <w:rsid w:val="00353D92"/>
    <w:rsid w:val="003540FD"/>
    <w:rsid w:val="0035457E"/>
    <w:rsid w:val="003545D8"/>
    <w:rsid w:val="003546DE"/>
    <w:rsid w:val="003547B8"/>
    <w:rsid w:val="00354923"/>
    <w:rsid w:val="0035492F"/>
    <w:rsid w:val="00354992"/>
    <w:rsid w:val="00354B93"/>
    <w:rsid w:val="00354D58"/>
    <w:rsid w:val="00354FC1"/>
    <w:rsid w:val="00355684"/>
    <w:rsid w:val="0035579F"/>
    <w:rsid w:val="003558A3"/>
    <w:rsid w:val="00355A0B"/>
    <w:rsid w:val="00355B50"/>
    <w:rsid w:val="00355CDF"/>
    <w:rsid w:val="00355EA7"/>
    <w:rsid w:val="00355EAD"/>
    <w:rsid w:val="0035601A"/>
    <w:rsid w:val="00356238"/>
    <w:rsid w:val="0035658D"/>
    <w:rsid w:val="003566EA"/>
    <w:rsid w:val="0035679B"/>
    <w:rsid w:val="00356938"/>
    <w:rsid w:val="00356997"/>
    <w:rsid w:val="00356B50"/>
    <w:rsid w:val="00356BE6"/>
    <w:rsid w:val="00356DC1"/>
    <w:rsid w:val="00356E30"/>
    <w:rsid w:val="00357068"/>
    <w:rsid w:val="00357590"/>
    <w:rsid w:val="003575D2"/>
    <w:rsid w:val="003575DD"/>
    <w:rsid w:val="00357608"/>
    <w:rsid w:val="003578B8"/>
    <w:rsid w:val="00357C77"/>
    <w:rsid w:val="00357CBE"/>
    <w:rsid w:val="003600A8"/>
    <w:rsid w:val="003600DB"/>
    <w:rsid w:val="00360149"/>
    <w:rsid w:val="0036015B"/>
    <w:rsid w:val="003601AB"/>
    <w:rsid w:val="003606F9"/>
    <w:rsid w:val="00360848"/>
    <w:rsid w:val="003609FE"/>
    <w:rsid w:val="00360B00"/>
    <w:rsid w:val="00360E93"/>
    <w:rsid w:val="00361021"/>
    <w:rsid w:val="00361133"/>
    <w:rsid w:val="0036124F"/>
    <w:rsid w:val="003612E3"/>
    <w:rsid w:val="0036143D"/>
    <w:rsid w:val="003614B5"/>
    <w:rsid w:val="00361519"/>
    <w:rsid w:val="00361924"/>
    <w:rsid w:val="00361DE4"/>
    <w:rsid w:val="00362050"/>
    <w:rsid w:val="00362146"/>
    <w:rsid w:val="003621A1"/>
    <w:rsid w:val="00362436"/>
    <w:rsid w:val="00362458"/>
    <w:rsid w:val="00362906"/>
    <w:rsid w:val="00362983"/>
    <w:rsid w:val="00362DE1"/>
    <w:rsid w:val="00362E39"/>
    <w:rsid w:val="003630EB"/>
    <w:rsid w:val="003634E6"/>
    <w:rsid w:val="00363653"/>
    <w:rsid w:val="00363735"/>
    <w:rsid w:val="003637D8"/>
    <w:rsid w:val="00363E46"/>
    <w:rsid w:val="0036415F"/>
    <w:rsid w:val="00364308"/>
    <w:rsid w:val="00364328"/>
    <w:rsid w:val="00364399"/>
    <w:rsid w:val="003644DE"/>
    <w:rsid w:val="003645D6"/>
    <w:rsid w:val="003645E9"/>
    <w:rsid w:val="003645EB"/>
    <w:rsid w:val="00364682"/>
    <w:rsid w:val="003646AE"/>
    <w:rsid w:val="003649BD"/>
    <w:rsid w:val="00364A20"/>
    <w:rsid w:val="00364A4A"/>
    <w:rsid w:val="00364D96"/>
    <w:rsid w:val="00364FDC"/>
    <w:rsid w:val="0036518B"/>
    <w:rsid w:val="003652FD"/>
    <w:rsid w:val="00365635"/>
    <w:rsid w:val="003657F0"/>
    <w:rsid w:val="00365800"/>
    <w:rsid w:val="003658F4"/>
    <w:rsid w:val="00365A96"/>
    <w:rsid w:val="00365C33"/>
    <w:rsid w:val="00365C6F"/>
    <w:rsid w:val="00365D6A"/>
    <w:rsid w:val="00365D96"/>
    <w:rsid w:val="00365F82"/>
    <w:rsid w:val="00365FE1"/>
    <w:rsid w:val="00366224"/>
    <w:rsid w:val="003663E6"/>
    <w:rsid w:val="0036645A"/>
    <w:rsid w:val="00366637"/>
    <w:rsid w:val="00366889"/>
    <w:rsid w:val="003668AD"/>
    <w:rsid w:val="0036691E"/>
    <w:rsid w:val="0036692B"/>
    <w:rsid w:val="0036694E"/>
    <w:rsid w:val="00366A2C"/>
    <w:rsid w:val="00366A3A"/>
    <w:rsid w:val="00366B8E"/>
    <w:rsid w:val="00366BD3"/>
    <w:rsid w:val="00366DE8"/>
    <w:rsid w:val="00366E08"/>
    <w:rsid w:val="00366EBB"/>
    <w:rsid w:val="00366F64"/>
    <w:rsid w:val="00367299"/>
    <w:rsid w:val="003673FA"/>
    <w:rsid w:val="003674F4"/>
    <w:rsid w:val="00367904"/>
    <w:rsid w:val="00367B8D"/>
    <w:rsid w:val="00367B9A"/>
    <w:rsid w:val="00367BC9"/>
    <w:rsid w:val="00367BE6"/>
    <w:rsid w:val="00370062"/>
    <w:rsid w:val="003703F0"/>
    <w:rsid w:val="0037045A"/>
    <w:rsid w:val="00370758"/>
    <w:rsid w:val="003707B8"/>
    <w:rsid w:val="00370B54"/>
    <w:rsid w:val="00370FE2"/>
    <w:rsid w:val="003713D3"/>
    <w:rsid w:val="00371450"/>
    <w:rsid w:val="0037168C"/>
    <w:rsid w:val="00371986"/>
    <w:rsid w:val="003719BC"/>
    <w:rsid w:val="00371AB9"/>
    <w:rsid w:val="00371C55"/>
    <w:rsid w:val="00371F88"/>
    <w:rsid w:val="00371FA1"/>
    <w:rsid w:val="003720F4"/>
    <w:rsid w:val="0037212A"/>
    <w:rsid w:val="003721B6"/>
    <w:rsid w:val="003721BA"/>
    <w:rsid w:val="003721DD"/>
    <w:rsid w:val="00372364"/>
    <w:rsid w:val="003723B2"/>
    <w:rsid w:val="00372472"/>
    <w:rsid w:val="00372617"/>
    <w:rsid w:val="0037269C"/>
    <w:rsid w:val="0037271C"/>
    <w:rsid w:val="00372A05"/>
    <w:rsid w:val="00372D2E"/>
    <w:rsid w:val="00372F62"/>
    <w:rsid w:val="00373746"/>
    <w:rsid w:val="0037392A"/>
    <w:rsid w:val="00373949"/>
    <w:rsid w:val="00373A46"/>
    <w:rsid w:val="00373B42"/>
    <w:rsid w:val="00373E2F"/>
    <w:rsid w:val="00374270"/>
    <w:rsid w:val="003742AD"/>
    <w:rsid w:val="00374409"/>
    <w:rsid w:val="0037443E"/>
    <w:rsid w:val="00374441"/>
    <w:rsid w:val="00374578"/>
    <w:rsid w:val="003745A6"/>
    <w:rsid w:val="0037464E"/>
    <w:rsid w:val="003747C9"/>
    <w:rsid w:val="003748BB"/>
    <w:rsid w:val="003749F4"/>
    <w:rsid w:val="00374D38"/>
    <w:rsid w:val="003751D6"/>
    <w:rsid w:val="0037528E"/>
    <w:rsid w:val="003754A4"/>
    <w:rsid w:val="003756C6"/>
    <w:rsid w:val="003756FE"/>
    <w:rsid w:val="00375B31"/>
    <w:rsid w:val="00375B7A"/>
    <w:rsid w:val="00375B7C"/>
    <w:rsid w:val="00375BD9"/>
    <w:rsid w:val="00375C37"/>
    <w:rsid w:val="00375CDF"/>
    <w:rsid w:val="00375FBA"/>
    <w:rsid w:val="00376265"/>
    <w:rsid w:val="003762E8"/>
    <w:rsid w:val="00376316"/>
    <w:rsid w:val="0037637A"/>
    <w:rsid w:val="00376414"/>
    <w:rsid w:val="00376634"/>
    <w:rsid w:val="0037668D"/>
    <w:rsid w:val="003766B4"/>
    <w:rsid w:val="00376950"/>
    <w:rsid w:val="00376B58"/>
    <w:rsid w:val="00376FDD"/>
    <w:rsid w:val="00377013"/>
    <w:rsid w:val="0037711A"/>
    <w:rsid w:val="0037711D"/>
    <w:rsid w:val="003775DD"/>
    <w:rsid w:val="003776D7"/>
    <w:rsid w:val="00377E6C"/>
    <w:rsid w:val="00380318"/>
    <w:rsid w:val="00380350"/>
    <w:rsid w:val="003803B1"/>
    <w:rsid w:val="00380799"/>
    <w:rsid w:val="003807B3"/>
    <w:rsid w:val="003807B7"/>
    <w:rsid w:val="00380886"/>
    <w:rsid w:val="00380A13"/>
    <w:rsid w:val="00380E33"/>
    <w:rsid w:val="00380E6A"/>
    <w:rsid w:val="00380F90"/>
    <w:rsid w:val="00381187"/>
    <w:rsid w:val="0038121E"/>
    <w:rsid w:val="003812BD"/>
    <w:rsid w:val="00381533"/>
    <w:rsid w:val="003815B7"/>
    <w:rsid w:val="00381725"/>
    <w:rsid w:val="0038172D"/>
    <w:rsid w:val="00381903"/>
    <w:rsid w:val="00381A76"/>
    <w:rsid w:val="00381F97"/>
    <w:rsid w:val="0038207B"/>
    <w:rsid w:val="00382172"/>
    <w:rsid w:val="003824F5"/>
    <w:rsid w:val="003824FA"/>
    <w:rsid w:val="0038250B"/>
    <w:rsid w:val="003825F0"/>
    <w:rsid w:val="003826F3"/>
    <w:rsid w:val="00382932"/>
    <w:rsid w:val="00382936"/>
    <w:rsid w:val="00382A2E"/>
    <w:rsid w:val="00382A99"/>
    <w:rsid w:val="00382B9E"/>
    <w:rsid w:val="00382CD2"/>
    <w:rsid w:val="00383017"/>
    <w:rsid w:val="003830C1"/>
    <w:rsid w:val="00383170"/>
    <w:rsid w:val="00383307"/>
    <w:rsid w:val="0038336E"/>
    <w:rsid w:val="00383373"/>
    <w:rsid w:val="00383395"/>
    <w:rsid w:val="003833E2"/>
    <w:rsid w:val="00383402"/>
    <w:rsid w:val="0038351D"/>
    <w:rsid w:val="003835F7"/>
    <w:rsid w:val="003837E8"/>
    <w:rsid w:val="00383A8B"/>
    <w:rsid w:val="00383FFF"/>
    <w:rsid w:val="00384049"/>
    <w:rsid w:val="00384070"/>
    <w:rsid w:val="00384075"/>
    <w:rsid w:val="00384094"/>
    <w:rsid w:val="0038416C"/>
    <w:rsid w:val="00384190"/>
    <w:rsid w:val="003843EA"/>
    <w:rsid w:val="003844CF"/>
    <w:rsid w:val="00384801"/>
    <w:rsid w:val="00384C06"/>
    <w:rsid w:val="00384F38"/>
    <w:rsid w:val="00385136"/>
    <w:rsid w:val="00385232"/>
    <w:rsid w:val="003854D4"/>
    <w:rsid w:val="003854D5"/>
    <w:rsid w:val="0038578D"/>
    <w:rsid w:val="003859F1"/>
    <w:rsid w:val="00385B8E"/>
    <w:rsid w:val="00385F50"/>
    <w:rsid w:val="0038608B"/>
    <w:rsid w:val="00386296"/>
    <w:rsid w:val="00386399"/>
    <w:rsid w:val="00386490"/>
    <w:rsid w:val="0038665F"/>
    <w:rsid w:val="003866AB"/>
    <w:rsid w:val="003866F0"/>
    <w:rsid w:val="00386841"/>
    <w:rsid w:val="00386AAB"/>
    <w:rsid w:val="00386C52"/>
    <w:rsid w:val="00386DEE"/>
    <w:rsid w:val="00386DF1"/>
    <w:rsid w:val="00386E31"/>
    <w:rsid w:val="00386E66"/>
    <w:rsid w:val="00386EB0"/>
    <w:rsid w:val="00386F3E"/>
    <w:rsid w:val="0038706D"/>
    <w:rsid w:val="0038717D"/>
    <w:rsid w:val="0038722C"/>
    <w:rsid w:val="00387583"/>
    <w:rsid w:val="00387594"/>
    <w:rsid w:val="003875A2"/>
    <w:rsid w:val="003876F6"/>
    <w:rsid w:val="003877C6"/>
    <w:rsid w:val="00387BB0"/>
    <w:rsid w:val="00387BEE"/>
    <w:rsid w:val="00387E35"/>
    <w:rsid w:val="00390534"/>
    <w:rsid w:val="0039068C"/>
    <w:rsid w:val="0039083A"/>
    <w:rsid w:val="003909B9"/>
    <w:rsid w:val="00390AD5"/>
    <w:rsid w:val="00390CE2"/>
    <w:rsid w:val="00390E9B"/>
    <w:rsid w:val="00390F2D"/>
    <w:rsid w:val="00390FB2"/>
    <w:rsid w:val="00390FE3"/>
    <w:rsid w:val="0039100C"/>
    <w:rsid w:val="0039112E"/>
    <w:rsid w:val="003912B7"/>
    <w:rsid w:val="00391426"/>
    <w:rsid w:val="0039155D"/>
    <w:rsid w:val="00391585"/>
    <w:rsid w:val="003915CA"/>
    <w:rsid w:val="003918E1"/>
    <w:rsid w:val="0039191C"/>
    <w:rsid w:val="003919BB"/>
    <w:rsid w:val="00391A35"/>
    <w:rsid w:val="00391AEA"/>
    <w:rsid w:val="00391B85"/>
    <w:rsid w:val="00391C27"/>
    <w:rsid w:val="00391C2F"/>
    <w:rsid w:val="00391DFF"/>
    <w:rsid w:val="00391E41"/>
    <w:rsid w:val="00391F41"/>
    <w:rsid w:val="00392028"/>
    <w:rsid w:val="0039229D"/>
    <w:rsid w:val="00392416"/>
    <w:rsid w:val="00392463"/>
    <w:rsid w:val="0039258C"/>
    <w:rsid w:val="003925AB"/>
    <w:rsid w:val="0039260B"/>
    <w:rsid w:val="00392962"/>
    <w:rsid w:val="003929AF"/>
    <w:rsid w:val="00392A26"/>
    <w:rsid w:val="00392B15"/>
    <w:rsid w:val="00392C74"/>
    <w:rsid w:val="00393030"/>
    <w:rsid w:val="00393076"/>
    <w:rsid w:val="003931A5"/>
    <w:rsid w:val="0039336C"/>
    <w:rsid w:val="00393601"/>
    <w:rsid w:val="003936A7"/>
    <w:rsid w:val="003939FE"/>
    <w:rsid w:val="00393A97"/>
    <w:rsid w:val="00393F30"/>
    <w:rsid w:val="00393F6D"/>
    <w:rsid w:val="00393FE4"/>
    <w:rsid w:val="00394016"/>
    <w:rsid w:val="003941BC"/>
    <w:rsid w:val="003941BF"/>
    <w:rsid w:val="003944ED"/>
    <w:rsid w:val="003948FF"/>
    <w:rsid w:val="003949AC"/>
    <w:rsid w:val="003949BB"/>
    <w:rsid w:val="00394A73"/>
    <w:rsid w:val="00394BEC"/>
    <w:rsid w:val="00394C4F"/>
    <w:rsid w:val="0039529E"/>
    <w:rsid w:val="00395771"/>
    <w:rsid w:val="0039581B"/>
    <w:rsid w:val="0039584A"/>
    <w:rsid w:val="003958D2"/>
    <w:rsid w:val="00395BA9"/>
    <w:rsid w:val="00395BDF"/>
    <w:rsid w:val="00395C8A"/>
    <w:rsid w:val="00395FA0"/>
    <w:rsid w:val="00395FBA"/>
    <w:rsid w:val="00395FDE"/>
    <w:rsid w:val="003960F9"/>
    <w:rsid w:val="003969EC"/>
    <w:rsid w:val="00396B0F"/>
    <w:rsid w:val="00396B26"/>
    <w:rsid w:val="00396D66"/>
    <w:rsid w:val="00396DE1"/>
    <w:rsid w:val="003971D4"/>
    <w:rsid w:val="00397640"/>
    <w:rsid w:val="0039768B"/>
    <w:rsid w:val="00397853"/>
    <w:rsid w:val="003979EF"/>
    <w:rsid w:val="00397CC2"/>
    <w:rsid w:val="003A01C4"/>
    <w:rsid w:val="003A035A"/>
    <w:rsid w:val="003A05B7"/>
    <w:rsid w:val="003A0737"/>
    <w:rsid w:val="003A0ADF"/>
    <w:rsid w:val="003A0BBE"/>
    <w:rsid w:val="003A10E9"/>
    <w:rsid w:val="003A111C"/>
    <w:rsid w:val="003A11D6"/>
    <w:rsid w:val="003A1420"/>
    <w:rsid w:val="003A14F8"/>
    <w:rsid w:val="003A154E"/>
    <w:rsid w:val="003A157B"/>
    <w:rsid w:val="003A1621"/>
    <w:rsid w:val="003A187F"/>
    <w:rsid w:val="003A1BEF"/>
    <w:rsid w:val="003A1C05"/>
    <w:rsid w:val="003A1C0F"/>
    <w:rsid w:val="003A1F44"/>
    <w:rsid w:val="003A2009"/>
    <w:rsid w:val="003A2509"/>
    <w:rsid w:val="003A25F3"/>
    <w:rsid w:val="003A26BB"/>
    <w:rsid w:val="003A2788"/>
    <w:rsid w:val="003A282C"/>
    <w:rsid w:val="003A29E3"/>
    <w:rsid w:val="003A2CE8"/>
    <w:rsid w:val="003A2E1F"/>
    <w:rsid w:val="003A2EA2"/>
    <w:rsid w:val="003A309B"/>
    <w:rsid w:val="003A334A"/>
    <w:rsid w:val="003A33C0"/>
    <w:rsid w:val="003A346F"/>
    <w:rsid w:val="003A355F"/>
    <w:rsid w:val="003A359D"/>
    <w:rsid w:val="003A360A"/>
    <w:rsid w:val="003A364D"/>
    <w:rsid w:val="003A36E7"/>
    <w:rsid w:val="003A38F1"/>
    <w:rsid w:val="003A3B30"/>
    <w:rsid w:val="003A3BCB"/>
    <w:rsid w:val="003A3BF4"/>
    <w:rsid w:val="003A3C8B"/>
    <w:rsid w:val="003A3D8D"/>
    <w:rsid w:val="003A3E3E"/>
    <w:rsid w:val="003A3E9F"/>
    <w:rsid w:val="003A446D"/>
    <w:rsid w:val="003A4542"/>
    <w:rsid w:val="003A45F6"/>
    <w:rsid w:val="003A4921"/>
    <w:rsid w:val="003A4926"/>
    <w:rsid w:val="003A4966"/>
    <w:rsid w:val="003A4A19"/>
    <w:rsid w:val="003A4A49"/>
    <w:rsid w:val="003A4AB7"/>
    <w:rsid w:val="003A4DD5"/>
    <w:rsid w:val="003A4E38"/>
    <w:rsid w:val="003A505B"/>
    <w:rsid w:val="003A5320"/>
    <w:rsid w:val="003A542D"/>
    <w:rsid w:val="003A587B"/>
    <w:rsid w:val="003A5A85"/>
    <w:rsid w:val="003A5AE9"/>
    <w:rsid w:val="003A5D96"/>
    <w:rsid w:val="003A5E27"/>
    <w:rsid w:val="003A5EF6"/>
    <w:rsid w:val="003A5FC2"/>
    <w:rsid w:val="003A6104"/>
    <w:rsid w:val="003A621C"/>
    <w:rsid w:val="003A62B1"/>
    <w:rsid w:val="003A62C3"/>
    <w:rsid w:val="003A640D"/>
    <w:rsid w:val="003A646D"/>
    <w:rsid w:val="003A651F"/>
    <w:rsid w:val="003A65DD"/>
    <w:rsid w:val="003A68A1"/>
    <w:rsid w:val="003A6EC5"/>
    <w:rsid w:val="003A6FE9"/>
    <w:rsid w:val="003A7052"/>
    <w:rsid w:val="003A7154"/>
    <w:rsid w:val="003A71E9"/>
    <w:rsid w:val="003A722E"/>
    <w:rsid w:val="003A74B5"/>
    <w:rsid w:val="003A766D"/>
    <w:rsid w:val="003A77DB"/>
    <w:rsid w:val="003A7A8F"/>
    <w:rsid w:val="003A7D2D"/>
    <w:rsid w:val="003A7D34"/>
    <w:rsid w:val="003A7D67"/>
    <w:rsid w:val="003A7DFC"/>
    <w:rsid w:val="003A7E90"/>
    <w:rsid w:val="003B02DD"/>
    <w:rsid w:val="003B045C"/>
    <w:rsid w:val="003B046E"/>
    <w:rsid w:val="003B0652"/>
    <w:rsid w:val="003B0717"/>
    <w:rsid w:val="003B08EF"/>
    <w:rsid w:val="003B0AC9"/>
    <w:rsid w:val="003B0DD2"/>
    <w:rsid w:val="003B119F"/>
    <w:rsid w:val="003B11B1"/>
    <w:rsid w:val="003B11CB"/>
    <w:rsid w:val="003B16A3"/>
    <w:rsid w:val="003B16FA"/>
    <w:rsid w:val="003B1A1F"/>
    <w:rsid w:val="003B1E74"/>
    <w:rsid w:val="003B203F"/>
    <w:rsid w:val="003B2393"/>
    <w:rsid w:val="003B25D9"/>
    <w:rsid w:val="003B26C5"/>
    <w:rsid w:val="003B27DC"/>
    <w:rsid w:val="003B28EC"/>
    <w:rsid w:val="003B2A00"/>
    <w:rsid w:val="003B2B60"/>
    <w:rsid w:val="003B2DFC"/>
    <w:rsid w:val="003B33D7"/>
    <w:rsid w:val="003B3704"/>
    <w:rsid w:val="003B3BE9"/>
    <w:rsid w:val="003B3E46"/>
    <w:rsid w:val="003B41C0"/>
    <w:rsid w:val="003B437D"/>
    <w:rsid w:val="003B4550"/>
    <w:rsid w:val="003B45CC"/>
    <w:rsid w:val="003B47C8"/>
    <w:rsid w:val="003B488D"/>
    <w:rsid w:val="003B48AB"/>
    <w:rsid w:val="003B49C6"/>
    <w:rsid w:val="003B4A0E"/>
    <w:rsid w:val="003B4C5C"/>
    <w:rsid w:val="003B4DE2"/>
    <w:rsid w:val="003B4ED7"/>
    <w:rsid w:val="003B4F01"/>
    <w:rsid w:val="003B4F04"/>
    <w:rsid w:val="003B4F0D"/>
    <w:rsid w:val="003B5010"/>
    <w:rsid w:val="003B5064"/>
    <w:rsid w:val="003B51A1"/>
    <w:rsid w:val="003B51A5"/>
    <w:rsid w:val="003B51BC"/>
    <w:rsid w:val="003B5243"/>
    <w:rsid w:val="003B5387"/>
    <w:rsid w:val="003B547E"/>
    <w:rsid w:val="003B558A"/>
    <w:rsid w:val="003B5875"/>
    <w:rsid w:val="003B58E4"/>
    <w:rsid w:val="003B5AD4"/>
    <w:rsid w:val="003B5AF6"/>
    <w:rsid w:val="003B5B6A"/>
    <w:rsid w:val="003B6076"/>
    <w:rsid w:val="003B60D6"/>
    <w:rsid w:val="003B61A3"/>
    <w:rsid w:val="003B6368"/>
    <w:rsid w:val="003B6421"/>
    <w:rsid w:val="003B66F9"/>
    <w:rsid w:val="003B6719"/>
    <w:rsid w:val="003B6B1F"/>
    <w:rsid w:val="003B6BE8"/>
    <w:rsid w:val="003B6D42"/>
    <w:rsid w:val="003B6E58"/>
    <w:rsid w:val="003B6F74"/>
    <w:rsid w:val="003B7193"/>
    <w:rsid w:val="003B71BA"/>
    <w:rsid w:val="003B7220"/>
    <w:rsid w:val="003B728E"/>
    <w:rsid w:val="003B72F5"/>
    <w:rsid w:val="003B7301"/>
    <w:rsid w:val="003B7566"/>
    <w:rsid w:val="003B758B"/>
    <w:rsid w:val="003B7907"/>
    <w:rsid w:val="003B7933"/>
    <w:rsid w:val="003B7B67"/>
    <w:rsid w:val="003B7D5A"/>
    <w:rsid w:val="003B7E8F"/>
    <w:rsid w:val="003C017F"/>
    <w:rsid w:val="003C0582"/>
    <w:rsid w:val="003C05E8"/>
    <w:rsid w:val="003C0626"/>
    <w:rsid w:val="003C0703"/>
    <w:rsid w:val="003C0874"/>
    <w:rsid w:val="003C0BEA"/>
    <w:rsid w:val="003C0C14"/>
    <w:rsid w:val="003C0C87"/>
    <w:rsid w:val="003C0E54"/>
    <w:rsid w:val="003C10DD"/>
    <w:rsid w:val="003C13FC"/>
    <w:rsid w:val="003C1A2B"/>
    <w:rsid w:val="003C1A36"/>
    <w:rsid w:val="003C1A59"/>
    <w:rsid w:val="003C1B51"/>
    <w:rsid w:val="003C1BB8"/>
    <w:rsid w:val="003C1C8C"/>
    <w:rsid w:val="003C1D25"/>
    <w:rsid w:val="003C1D32"/>
    <w:rsid w:val="003C1E56"/>
    <w:rsid w:val="003C1E91"/>
    <w:rsid w:val="003C1EE2"/>
    <w:rsid w:val="003C20F8"/>
    <w:rsid w:val="003C224A"/>
    <w:rsid w:val="003C23FF"/>
    <w:rsid w:val="003C24A4"/>
    <w:rsid w:val="003C255E"/>
    <w:rsid w:val="003C25F0"/>
    <w:rsid w:val="003C2878"/>
    <w:rsid w:val="003C2921"/>
    <w:rsid w:val="003C2A22"/>
    <w:rsid w:val="003C2AAF"/>
    <w:rsid w:val="003C2C7B"/>
    <w:rsid w:val="003C2D98"/>
    <w:rsid w:val="003C2E98"/>
    <w:rsid w:val="003C30F1"/>
    <w:rsid w:val="003C323B"/>
    <w:rsid w:val="003C32C4"/>
    <w:rsid w:val="003C33F9"/>
    <w:rsid w:val="003C3547"/>
    <w:rsid w:val="003C3743"/>
    <w:rsid w:val="003C3870"/>
    <w:rsid w:val="003C3981"/>
    <w:rsid w:val="003C3AD4"/>
    <w:rsid w:val="003C3C70"/>
    <w:rsid w:val="003C3D86"/>
    <w:rsid w:val="003C406C"/>
    <w:rsid w:val="003C42BC"/>
    <w:rsid w:val="003C4347"/>
    <w:rsid w:val="003C46C2"/>
    <w:rsid w:val="003C47F2"/>
    <w:rsid w:val="003C48BF"/>
    <w:rsid w:val="003C4B85"/>
    <w:rsid w:val="003C4DD3"/>
    <w:rsid w:val="003C4EAC"/>
    <w:rsid w:val="003C4F64"/>
    <w:rsid w:val="003C52A0"/>
    <w:rsid w:val="003C52D6"/>
    <w:rsid w:val="003C5520"/>
    <w:rsid w:val="003C5602"/>
    <w:rsid w:val="003C586D"/>
    <w:rsid w:val="003C58C1"/>
    <w:rsid w:val="003C59CE"/>
    <w:rsid w:val="003C59EC"/>
    <w:rsid w:val="003C5B90"/>
    <w:rsid w:val="003C5C41"/>
    <w:rsid w:val="003C5CCF"/>
    <w:rsid w:val="003C5D84"/>
    <w:rsid w:val="003C5DF6"/>
    <w:rsid w:val="003C5EB9"/>
    <w:rsid w:val="003C60A4"/>
    <w:rsid w:val="003C6287"/>
    <w:rsid w:val="003C658A"/>
    <w:rsid w:val="003C65E6"/>
    <w:rsid w:val="003C67A7"/>
    <w:rsid w:val="003C67CA"/>
    <w:rsid w:val="003C6896"/>
    <w:rsid w:val="003C6E98"/>
    <w:rsid w:val="003C6ECB"/>
    <w:rsid w:val="003C7142"/>
    <w:rsid w:val="003C74B3"/>
    <w:rsid w:val="003C7512"/>
    <w:rsid w:val="003C75F3"/>
    <w:rsid w:val="003C7D66"/>
    <w:rsid w:val="003C7DF9"/>
    <w:rsid w:val="003C7EA7"/>
    <w:rsid w:val="003D00DD"/>
    <w:rsid w:val="003D051B"/>
    <w:rsid w:val="003D0584"/>
    <w:rsid w:val="003D0608"/>
    <w:rsid w:val="003D064A"/>
    <w:rsid w:val="003D06D9"/>
    <w:rsid w:val="003D0747"/>
    <w:rsid w:val="003D0994"/>
    <w:rsid w:val="003D0AB1"/>
    <w:rsid w:val="003D0B94"/>
    <w:rsid w:val="003D0BAB"/>
    <w:rsid w:val="003D0F0D"/>
    <w:rsid w:val="003D11EC"/>
    <w:rsid w:val="003D12B5"/>
    <w:rsid w:val="003D1436"/>
    <w:rsid w:val="003D1441"/>
    <w:rsid w:val="003D14C0"/>
    <w:rsid w:val="003D15FB"/>
    <w:rsid w:val="003D19DB"/>
    <w:rsid w:val="003D1C71"/>
    <w:rsid w:val="003D2145"/>
    <w:rsid w:val="003D23FF"/>
    <w:rsid w:val="003D244C"/>
    <w:rsid w:val="003D2510"/>
    <w:rsid w:val="003D2597"/>
    <w:rsid w:val="003D2638"/>
    <w:rsid w:val="003D2667"/>
    <w:rsid w:val="003D29CE"/>
    <w:rsid w:val="003D2CAE"/>
    <w:rsid w:val="003D2CDB"/>
    <w:rsid w:val="003D2F58"/>
    <w:rsid w:val="003D312D"/>
    <w:rsid w:val="003D31A0"/>
    <w:rsid w:val="003D325C"/>
    <w:rsid w:val="003D33FE"/>
    <w:rsid w:val="003D3464"/>
    <w:rsid w:val="003D3510"/>
    <w:rsid w:val="003D35E2"/>
    <w:rsid w:val="003D380D"/>
    <w:rsid w:val="003D384B"/>
    <w:rsid w:val="003D3894"/>
    <w:rsid w:val="003D38D7"/>
    <w:rsid w:val="003D39FC"/>
    <w:rsid w:val="003D3B77"/>
    <w:rsid w:val="003D3CCD"/>
    <w:rsid w:val="003D3D13"/>
    <w:rsid w:val="003D3EF9"/>
    <w:rsid w:val="003D3F3D"/>
    <w:rsid w:val="003D3F59"/>
    <w:rsid w:val="003D3F95"/>
    <w:rsid w:val="003D4558"/>
    <w:rsid w:val="003D45F9"/>
    <w:rsid w:val="003D4631"/>
    <w:rsid w:val="003D46D6"/>
    <w:rsid w:val="003D4880"/>
    <w:rsid w:val="003D4A0B"/>
    <w:rsid w:val="003D531A"/>
    <w:rsid w:val="003D549A"/>
    <w:rsid w:val="003D5713"/>
    <w:rsid w:val="003D5897"/>
    <w:rsid w:val="003D5A38"/>
    <w:rsid w:val="003D5B40"/>
    <w:rsid w:val="003D5BB4"/>
    <w:rsid w:val="003D5CF6"/>
    <w:rsid w:val="003D5F1B"/>
    <w:rsid w:val="003D61B9"/>
    <w:rsid w:val="003D6255"/>
    <w:rsid w:val="003D62DE"/>
    <w:rsid w:val="003D6326"/>
    <w:rsid w:val="003D6744"/>
    <w:rsid w:val="003D6A58"/>
    <w:rsid w:val="003D6B4E"/>
    <w:rsid w:val="003D6C0A"/>
    <w:rsid w:val="003D6D36"/>
    <w:rsid w:val="003D6D6E"/>
    <w:rsid w:val="003D6E0B"/>
    <w:rsid w:val="003D6F9E"/>
    <w:rsid w:val="003D703D"/>
    <w:rsid w:val="003D70CA"/>
    <w:rsid w:val="003D72A3"/>
    <w:rsid w:val="003D7360"/>
    <w:rsid w:val="003D7623"/>
    <w:rsid w:val="003D7A2E"/>
    <w:rsid w:val="003D7AE7"/>
    <w:rsid w:val="003D7C0A"/>
    <w:rsid w:val="003D7C38"/>
    <w:rsid w:val="003D7CA1"/>
    <w:rsid w:val="003D7D0E"/>
    <w:rsid w:val="003D7DAB"/>
    <w:rsid w:val="003D7F5A"/>
    <w:rsid w:val="003E0031"/>
    <w:rsid w:val="003E0107"/>
    <w:rsid w:val="003E014E"/>
    <w:rsid w:val="003E0310"/>
    <w:rsid w:val="003E04BC"/>
    <w:rsid w:val="003E06D8"/>
    <w:rsid w:val="003E0872"/>
    <w:rsid w:val="003E0893"/>
    <w:rsid w:val="003E0D6C"/>
    <w:rsid w:val="003E0E63"/>
    <w:rsid w:val="003E0F3A"/>
    <w:rsid w:val="003E10D6"/>
    <w:rsid w:val="003E117C"/>
    <w:rsid w:val="003E12D3"/>
    <w:rsid w:val="003E1629"/>
    <w:rsid w:val="003E172E"/>
    <w:rsid w:val="003E1898"/>
    <w:rsid w:val="003E1A15"/>
    <w:rsid w:val="003E1AD2"/>
    <w:rsid w:val="003E1B65"/>
    <w:rsid w:val="003E1C0F"/>
    <w:rsid w:val="003E1D2D"/>
    <w:rsid w:val="003E1D4E"/>
    <w:rsid w:val="003E1DE8"/>
    <w:rsid w:val="003E1E04"/>
    <w:rsid w:val="003E2079"/>
    <w:rsid w:val="003E2347"/>
    <w:rsid w:val="003E26E7"/>
    <w:rsid w:val="003E28C5"/>
    <w:rsid w:val="003E29CE"/>
    <w:rsid w:val="003E2CF3"/>
    <w:rsid w:val="003E3248"/>
    <w:rsid w:val="003E34BB"/>
    <w:rsid w:val="003E3564"/>
    <w:rsid w:val="003E35EB"/>
    <w:rsid w:val="003E3707"/>
    <w:rsid w:val="003E3A97"/>
    <w:rsid w:val="003E3BA0"/>
    <w:rsid w:val="003E3C07"/>
    <w:rsid w:val="003E3DF0"/>
    <w:rsid w:val="003E3F2E"/>
    <w:rsid w:val="003E4177"/>
    <w:rsid w:val="003E4214"/>
    <w:rsid w:val="003E4526"/>
    <w:rsid w:val="003E45A8"/>
    <w:rsid w:val="003E45E4"/>
    <w:rsid w:val="003E462D"/>
    <w:rsid w:val="003E4731"/>
    <w:rsid w:val="003E4765"/>
    <w:rsid w:val="003E48A8"/>
    <w:rsid w:val="003E4959"/>
    <w:rsid w:val="003E4BEA"/>
    <w:rsid w:val="003E4CC0"/>
    <w:rsid w:val="003E4F47"/>
    <w:rsid w:val="003E51B3"/>
    <w:rsid w:val="003E5247"/>
    <w:rsid w:val="003E5297"/>
    <w:rsid w:val="003E531A"/>
    <w:rsid w:val="003E532A"/>
    <w:rsid w:val="003E5331"/>
    <w:rsid w:val="003E586C"/>
    <w:rsid w:val="003E596A"/>
    <w:rsid w:val="003E5A69"/>
    <w:rsid w:val="003E5A7E"/>
    <w:rsid w:val="003E5A8F"/>
    <w:rsid w:val="003E5B1B"/>
    <w:rsid w:val="003E5BE9"/>
    <w:rsid w:val="003E5C7A"/>
    <w:rsid w:val="003E5CC9"/>
    <w:rsid w:val="003E5CF8"/>
    <w:rsid w:val="003E5CF9"/>
    <w:rsid w:val="003E6044"/>
    <w:rsid w:val="003E62DC"/>
    <w:rsid w:val="003E63EF"/>
    <w:rsid w:val="003E664C"/>
    <w:rsid w:val="003E666B"/>
    <w:rsid w:val="003E6675"/>
    <w:rsid w:val="003E6BD1"/>
    <w:rsid w:val="003E6E6B"/>
    <w:rsid w:val="003E6F14"/>
    <w:rsid w:val="003E73E4"/>
    <w:rsid w:val="003E7588"/>
    <w:rsid w:val="003E7676"/>
    <w:rsid w:val="003E778C"/>
    <w:rsid w:val="003E7FB4"/>
    <w:rsid w:val="003F0548"/>
    <w:rsid w:val="003F0A3F"/>
    <w:rsid w:val="003F1521"/>
    <w:rsid w:val="003F19A8"/>
    <w:rsid w:val="003F19DC"/>
    <w:rsid w:val="003F1D88"/>
    <w:rsid w:val="003F2079"/>
    <w:rsid w:val="003F22C8"/>
    <w:rsid w:val="003F24EF"/>
    <w:rsid w:val="003F258D"/>
    <w:rsid w:val="003F2632"/>
    <w:rsid w:val="003F2786"/>
    <w:rsid w:val="003F29FD"/>
    <w:rsid w:val="003F2B8B"/>
    <w:rsid w:val="003F2C36"/>
    <w:rsid w:val="003F2C44"/>
    <w:rsid w:val="003F2CDE"/>
    <w:rsid w:val="003F2CFA"/>
    <w:rsid w:val="003F2E9F"/>
    <w:rsid w:val="003F2F49"/>
    <w:rsid w:val="003F334E"/>
    <w:rsid w:val="003F33B2"/>
    <w:rsid w:val="003F35C0"/>
    <w:rsid w:val="003F360F"/>
    <w:rsid w:val="003F37FF"/>
    <w:rsid w:val="003F3835"/>
    <w:rsid w:val="003F391E"/>
    <w:rsid w:val="003F3DC6"/>
    <w:rsid w:val="003F3EB0"/>
    <w:rsid w:val="003F3F20"/>
    <w:rsid w:val="003F40F5"/>
    <w:rsid w:val="003F4167"/>
    <w:rsid w:val="003F41A7"/>
    <w:rsid w:val="003F41D4"/>
    <w:rsid w:val="003F44EE"/>
    <w:rsid w:val="003F4569"/>
    <w:rsid w:val="003F45C4"/>
    <w:rsid w:val="003F464D"/>
    <w:rsid w:val="003F4836"/>
    <w:rsid w:val="003F4A36"/>
    <w:rsid w:val="003F4C20"/>
    <w:rsid w:val="003F4D40"/>
    <w:rsid w:val="003F4F92"/>
    <w:rsid w:val="003F5026"/>
    <w:rsid w:val="003F50E2"/>
    <w:rsid w:val="003F519E"/>
    <w:rsid w:val="003F523A"/>
    <w:rsid w:val="003F5395"/>
    <w:rsid w:val="003F5A03"/>
    <w:rsid w:val="003F5A2A"/>
    <w:rsid w:val="003F5B1C"/>
    <w:rsid w:val="003F5B26"/>
    <w:rsid w:val="003F5E89"/>
    <w:rsid w:val="003F5EED"/>
    <w:rsid w:val="003F6178"/>
    <w:rsid w:val="003F630B"/>
    <w:rsid w:val="003F65D2"/>
    <w:rsid w:val="003F6851"/>
    <w:rsid w:val="003F685B"/>
    <w:rsid w:val="003F6A0A"/>
    <w:rsid w:val="003F6B8C"/>
    <w:rsid w:val="003F6C88"/>
    <w:rsid w:val="003F6C8E"/>
    <w:rsid w:val="003F7489"/>
    <w:rsid w:val="003F789F"/>
    <w:rsid w:val="003F799F"/>
    <w:rsid w:val="003F7B9D"/>
    <w:rsid w:val="003F7DA7"/>
    <w:rsid w:val="003F7E17"/>
    <w:rsid w:val="004003E2"/>
    <w:rsid w:val="004005FA"/>
    <w:rsid w:val="004009EC"/>
    <w:rsid w:val="00400BFD"/>
    <w:rsid w:val="00400D18"/>
    <w:rsid w:val="00400E2A"/>
    <w:rsid w:val="004010AB"/>
    <w:rsid w:val="004010C2"/>
    <w:rsid w:val="004012FE"/>
    <w:rsid w:val="0040134A"/>
    <w:rsid w:val="0040157E"/>
    <w:rsid w:val="00401657"/>
    <w:rsid w:val="004019DF"/>
    <w:rsid w:val="00401A08"/>
    <w:rsid w:val="00401A75"/>
    <w:rsid w:val="00401D14"/>
    <w:rsid w:val="00401D30"/>
    <w:rsid w:val="00402064"/>
    <w:rsid w:val="00402083"/>
    <w:rsid w:val="004021B0"/>
    <w:rsid w:val="0040223C"/>
    <w:rsid w:val="004024D5"/>
    <w:rsid w:val="004027A2"/>
    <w:rsid w:val="00402AB0"/>
    <w:rsid w:val="00402B3C"/>
    <w:rsid w:val="00402C47"/>
    <w:rsid w:val="00403474"/>
    <w:rsid w:val="004037E9"/>
    <w:rsid w:val="00403921"/>
    <w:rsid w:val="00403B3D"/>
    <w:rsid w:val="00403C75"/>
    <w:rsid w:val="00403F0B"/>
    <w:rsid w:val="00403F54"/>
    <w:rsid w:val="00403F8A"/>
    <w:rsid w:val="0040409C"/>
    <w:rsid w:val="004040C4"/>
    <w:rsid w:val="004041D5"/>
    <w:rsid w:val="0040438C"/>
    <w:rsid w:val="00404456"/>
    <w:rsid w:val="0040448A"/>
    <w:rsid w:val="004044D6"/>
    <w:rsid w:val="00404548"/>
    <w:rsid w:val="00404637"/>
    <w:rsid w:val="00404642"/>
    <w:rsid w:val="0040468C"/>
    <w:rsid w:val="00404749"/>
    <w:rsid w:val="0040476F"/>
    <w:rsid w:val="00404810"/>
    <w:rsid w:val="0040483D"/>
    <w:rsid w:val="004049B4"/>
    <w:rsid w:val="00404A9A"/>
    <w:rsid w:val="00404AA2"/>
    <w:rsid w:val="00404AE8"/>
    <w:rsid w:val="00404BF5"/>
    <w:rsid w:val="00404FBF"/>
    <w:rsid w:val="0040506A"/>
    <w:rsid w:val="004051E8"/>
    <w:rsid w:val="00405577"/>
    <w:rsid w:val="0040563E"/>
    <w:rsid w:val="004056AE"/>
    <w:rsid w:val="00405884"/>
    <w:rsid w:val="00405A90"/>
    <w:rsid w:val="00405A9E"/>
    <w:rsid w:val="00405E76"/>
    <w:rsid w:val="00405EC7"/>
    <w:rsid w:val="0040606D"/>
    <w:rsid w:val="0040613A"/>
    <w:rsid w:val="00406585"/>
    <w:rsid w:val="004066E1"/>
    <w:rsid w:val="00406A65"/>
    <w:rsid w:val="00406DD1"/>
    <w:rsid w:val="00407176"/>
    <w:rsid w:val="00407495"/>
    <w:rsid w:val="00407500"/>
    <w:rsid w:val="004079A8"/>
    <w:rsid w:val="00407A68"/>
    <w:rsid w:val="00407AE0"/>
    <w:rsid w:val="00407B0B"/>
    <w:rsid w:val="00407C0E"/>
    <w:rsid w:val="00407D53"/>
    <w:rsid w:val="00407D54"/>
    <w:rsid w:val="00407E0B"/>
    <w:rsid w:val="00407E65"/>
    <w:rsid w:val="004100AF"/>
    <w:rsid w:val="0041012C"/>
    <w:rsid w:val="004101B2"/>
    <w:rsid w:val="004102BB"/>
    <w:rsid w:val="00410320"/>
    <w:rsid w:val="00410356"/>
    <w:rsid w:val="004103B8"/>
    <w:rsid w:val="00410453"/>
    <w:rsid w:val="00410528"/>
    <w:rsid w:val="0041058D"/>
    <w:rsid w:val="00410DD0"/>
    <w:rsid w:val="00410EF3"/>
    <w:rsid w:val="00411044"/>
    <w:rsid w:val="00411191"/>
    <w:rsid w:val="00411410"/>
    <w:rsid w:val="0041147C"/>
    <w:rsid w:val="0041167E"/>
    <w:rsid w:val="004116E6"/>
    <w:rsid w:val="004116F4"/>
    <w:rsid w:val="00411AEA"/>
    <w:rsid w:val="00411BEC"/>
    <w:rsid w:val="00411D65"/>
    <w:rsid w:val="00411DC0"/>
    <w:rsid w:val="00411E43"/>
    <w:rsid w:val="00411EA0"/>
    <w:rsid w:val="00411FD1"/>
    <w:rsid w:val="0041250E"/>
    <w:rsid w:val="00412533"/>
    <w:rsid w:val="00412547"/>
    <w:rsid w:val="004126E5"/>
    <w:rsid w:val="00412763"/>
    <w:rsid w:val="0041283A"/>
    <w:rsid w:val="0041290E"/>
    <w:rsid w:val="00412D95"/>
    <w:rsid w:val="00412E04"/>
    <w:rsid w:val="00412FE4"/>
    <w:rsid w:val="0041303B"/>
    <w:rsid w:val="0041314F"/>
    <w:rsid w:val="0041328E"/>
    <w:rsid w:val="004132FC"/>
    <w:rsid w:val="004133F1"/>
    <w:rsid w:val="004135E9"/>
    <w:rsid w:val="00413655"/>
    <w:rsid w:val="0041384B"/>
    <w:rsid w:val="00413AD0"/>
    <w:rsid w:val="00413D79"/>
    <w:rsid w:val="00413FEE"/>
    <w:rsid w:val="00414307"/>
    <w:rsid w:val="00414474"/>
    <w:rsid w:val="004145A8"/>
    <w:rsid w:val="0041475E"/>
    <w:rsid w:val="004147A7"/>
    <w:rsid w:val="004147F5"/>
    <w:rsid w:val="0041483C"/>
    <w:rsid w:val="00414D31"/>
    <w:rsid w:val="00414E96"/>
    <w:rsid w:val="00414EA9"/>
    <w:rsid w:val="00414EB9"/>
    <w:rsid w:val="00414FC0"/>
    <w:rsid w:val="004150F9"/>
    <w:rsid w:val="00415263"/>
    <w:rsid w:val="004153AD"/>
    <w:rsid w:val="004154B9"/>
    <w:rsid w:val="004154CE"/>
    <w:rsid w:val="004154EA"/>
    <w:rsid w:val="0041574F"/>
    <w:rsid w:val="004158DC"/>
    <w:rsid w:val="004159EA"/>
    <w:rsid w:val="004159EB"/>
    <w:rsid w:val="00415C2C"/>
    <w:rsid w:val="00415C75"/>
    <w:rsid w:val="00415DA6"/>
    <w:rsid w:val="0041601A"/>
    <w:rsid w:val="00416439"/>
    <w:rsid w:val="00416511"/>
    <w:rsid w:val="00416674"/>
    <w:rsid w:val="00416A14"/>
    <w:rsid w:val="00416AFF"/>
    <w:rsid w:val="00416DF9"/>
    <w:rsid w:val="0041718C"/>
    <w:rsid w:val="0041741D"/>
    <w:rsid w:val="00417433"/>
    <w:rsid w:val="00417748"/>
    <w:rsid w:val="00417AD4"/>
    <w:rsid w:val="00417B0C"/>
    <w:rsid w:val="00417B48"/>
    <w:rsid w:val="00417EDB"/>
    <w:rsid w:val="00417FAD"/>
    <w:rsid w:val="004202A6"/>
    <w:rsid w:val="00420416"/>
    <w:rsid w:val="004204C8"/>
    <w:rsid w:val="00420AF6"/>
    <w:rsid w:val="00420B69"/>
    <w:rsid w:val="00420C5D"/>
    <w:rsid w:val="00420D62"/>
    <w:rsid w:val="00420FBE"/>
    <w:rsid w:val="0042118D"/>
    <w:rsid w:val="004211F5"/>
    <w:rsid w:val="004215CC"/>
    <w:rsid w:val="004215D9"/>
    <w:rsid w:val="004215E6"/>
    <w:rsid w:val="0042169B"/>
    <w:rsid w:val="00421B22"/>
    <w:rsid w:val="00421B5D"/>
    <w:rsid w:val="00421C85"/>
    <w:rsid w:val="00421CD9"/>
    <w:rsid w:val="0042200F"/>
    <w:rsid w:val="004221DC"/>
    <w:rsid w:val="004222CF"/>
    <w:rsid w:val="004223FE"/>
    <w:rsid w:val="004224DF"/>
    <w:rsid w:val="00422542"/>
    <w:rsid w:val="00422665"/>
    <w:rsid w:val="004229D6"/>
    <w:rsid w:val="00422E06"/>
    <w:rsid w:val="00422F33"/>
    <w:rsid w:val="00422F63"/>
    <w:rsid w:val="00422FBC"/>
    <w:rsid w:val="00423053"/>
    <w:rsid w:val="004230B9"/>
    <w:rsid w:val="00423197"/>
    <w:rsid w:val="00423204"/>
    <w:rsid w:val="00423253"/>
    <w:rsid w:val="004232BD"/>
    <w:rsid w:val="00423380"/>
    <w:rsid w:val="00423446"/>
    <w:rsid w:val="0042384D"/>
    <w:rsid w:val="004238DA"/>
    <w:rsid w:val="0042391B"/>
    <w:rsid w:val="00423AFC"/>
    <w:rsid w:val="00423BDE"/>
    <w:rsid w:val="00423BE9"/>
    <w:rsid w:val="00423CF0"/>
    <w:rsid w:val="00423D11"/>
    <w:rsid w:val="00423E80"/>
    <w:rsid w:val="004241CC"/>
    <w:rsid w:val="0042429B"/>
    <w:rsid w:val="00424358"/>
    <w:rsid w:val="0042435A"/>
    <w:rsid w:val="004243B5"/>
    <w:rsid w:val="004243F2"/>
    <w:rsid w:val="004244F2"/>
    <w:rsid w:val="0042455D"/>
    <w:rsid w:val="0042464A"/>
    <w:rsid w:val="0042465B"/>
    <w:rsid w:val="00424829"/>
    <w:rsid w:val="00424CC4"/>
    <w:rsid w:val="00424EB9"/>
    <w:rsid w:val="00424F13"/>
    <w:rsid w:val="004251FC"/>
    <w:rsid w:val="004256B6"/>
    <w:rsid w:val="0042586A"/>
    <w:rsid w:val="00425A23"/>
    <w:rsid w:val="00425AE8"/>
    <w:rsid w:val="00425BEF"/>
    <w:rsid w:val="00425C84"/>
    <w:rsid w:val="00425CBD"/>
    <w:rsid w:val="0042603C"/>
    <w:rsid w:val="004263AE"/>
    <w:rsid w:val="00426427"/>
    <w:rsid w:val="00426499"/>
    <w:rsid w:val="0042649E"/>
    <w:rsid w:val="00426504"/>
    <w:rsid w:val="0042664F"/>
    <w:rsid w:val="00426692"/>
    <w:rsid w:val="0042686D"/>
    <w:rsid w:val="00426921"/>
    <w:rsid w:val="00426B63"/>
    <w:rsid w:val="00426C3C"/>
    <w:rsid w:val="00426DFC"/>
    <w:rsid w:val="00426F8A"/>
    <w:rsid w:val="004270DD"/>
    <w:rsid w:val="0042712B"/>
    <w:rsid w:val="0042722D"/>
    <w:rsid w:val="0042733E"/>
    <w:rsid w:val="0042736D"/>
    <w:rsid w:val="004275B1"/>
    <w:rsid w:val="0042776E"/>
    <w:rsid w:val="00427776"/>
    <w:rsid w:val="00427A4C"/>
    <w:rsid w:val="00427A7F"/>
    <w:rsid w:val="00427F28"/>
    <w:rsid w:val="00427F90"/>
    <w:rsid w:val="004300BE"/>
    <w:rsid w:val="00430271"/>
    <w:rsid w:val="004304CC"/>
    <w:rsid w:val="0043076B"/>
    <w:rsid w:val="004307D4"/>
    <w:rsid w:val="0043086F"/>
    <w:rsid w:val="00430A60"/>
    <w:rsid w:val="00430CF0"/>
    <w:rsid w:val="00430D1C"/>
    <w:rsid w:val="00430E32"/>
    <w:rsid w:val="00430E80"/>
    <w:rsid w:val="00430F00"/>
    <w:rsid w:val="004311AC"/>
    <w:rsid w:val="004311F5"/>
    <w:rsid w:val="0043127D"/>
    <w:rsid w:val="0043135F"/>
    <w:rsid w:val="0043144C"/>
    <w:rsid w:val="00431616"/>
    <w:rsid w:val="00431718"/>
    <w:rsid w:val="00431962"/>
    <w:rsid w:val="00431987"/>
    <w:rsid w:val="00431A04"/>
    <w:rsid w:val="00431AEC"/>
    <w:rsid w:val="00431CFA"/>
    <w:rsid w:val="00431E81"/>
    <w:rsid w:val="00431EA4"/>
    <w:rsid w:val="00431EE0"/>
    <w:rsid w:val="00431FCC"/>
    <w:rsid w:val="00432059"/>
    <w:rsid w:val="00432372"/>
    <w:rsid w:val="00432504"/>
    <w:rsid w:val="00432567"/>
    <w:rsid w:val="0043258C"/>
    <w:rsid w:val="0043259E"/>
    <w:rsid w:val="004327A8"/>
    <w:rsid w:val="004327D8"/>
    <w:rsid w:val="00432982"/>
    <w:rsid w:val="004329A8"/>
    <w:rsid w:val="004329B3"/>
    <w:rsid w:val="00432C64"/>
    <w:rsid w:val="00432DC9"/>
    <w:rsid w:val="00432E52"/>
    <w:rsid w:val="004331CD"/>
    <w:rsid w:val="00433345"/>
    <w:rsid w:val="00433802"/>
    <w:rsid w:val="00433948"/>
    <w:rsid w:val="00433951"/>
    <w:rsid w:val="004339B3"/>
    <w:rsid w:val="00433AFC"/>
    <w:rsid w:val="00433C0E"/>
    <w:rsid w:val="00433EDA"/>
    <w:rsid w:val="00433FFC"/>
    <w:rsid w:val="004340E8"/>
    <w:rsid w:val="00434182"/>
    <w:rsid w:val="004345AD"/>
    <w:rsid w:val="004345B8"/>
    <w:rsid w:val="004346BE"/>
    <w:rsid w:val="0043475C"/>
    <w:rsid w:val="00434863"/>
    <w:rsid w:val="00434A1E"/>
    <w:rsid w:val="00434B44"/>
    <w:rsid w:val="00434DC9"/>
    <w:rsid w:val="00434F66"/>
    <w:rsid w:val="00434FFA"/>
    <w:rsid w:val="00435022"/>
    <w:rsid w:val="00435081"/>
    <w:rsid w:val="004350B3"/>
    <w:rsid w:val="00435103"/>
    <w:rsid w:val="0043562D"/>
    <w:rsid w:val="00435C31"/>
    <w:rsid w:val="00435C5E"/>
    <w:rsid w:val="00435D86"/>
    <w:rsid w:val="00435E2C"/>
    <w:rsid w:val="00435F33"/>
    <w:rsid w:val="004362F2"/>
    <w:rsid w:val="004363CF"/>
    <w:rsid w:val="004363DA"/>
    <w:rsid w:val="00436675"/>
    <w:rsid w:val="00436831"/>
    <w:rsid w:val="0043684B"/>
    <w:rsid w:val="00436935"/>
    <w:rsid w:val="00436C32"/>
    <w:rsid w:val="00436EDE"/>
    <w:rsid w:val="00436F7E"/>
    <w:rsid w:val="004370A7"/>
    <w:rsid w:val="0043713D"/>
    <w:rsid w:val="00437283"/>
    <w:rsid w:val="004372A4"/>
    <w:rsid w:val="004375A9"/>
    <w:rsid w:val="004375B2"/>
    <w:rsid w:val="0043777D"/>
    <w:rsid w:val="004378A2"/>
    <w:rsid w:val="004379DB"/>
    <w:rsid w:val="00437B1F"/>
    <w:rsid w:val="00437B66"/>
    <w:rsid w:val="00437D50"/>
    <w:rsid w:val="00437E6C"/>
    <w:rsid w:val="0044001A"/>
    <w:rsid w:val="004400E0"/>
    <w:rsid w:val="0044019F"/>
    <w:rsid w:val="0044042A"/>
    <w:rsid w:val="004404E8"/>
    <w:rsid w:val="0044073C"/>
    <w:rsid w:val="0044086F"/>
    <w:rsid w:val="0044091A"/>
    <w:rsid w:val="00440952"/>
    <w:rsid w:val="00440A53"/>
    <w:rsid w:val="00440B01"/>
    <w:rsid w:val="00440CCB"/>
    <w:rsid w:val="00440EC0"/>
    <w:rsid w:val="004412FF"/>
    <w:rsid w:val="0044131C"/>
    <w:rsid w:val="004414AC"/>
    <w:rsid w:val="004415C0"/>
    <w:rsid w:val="00441685"/>
    <w:rsid w:val="004419FD"/>
    <w:rsid w:val="00441B7D"/>
    <w:rsid w:val="00441BFD"/>
    <w:rsid w:val="00441D09"/>
    <w:rsid w:val="00441D13"/>
    <w:rsid w:val="00441E6A"/>
    <w:rsid w:val="00442124"/>
    <w:rsid w:val="00442153"/>
    <w:rsid w:val="0044220B"/>
    <w:rsid w:val="004422C3"/>
    <w:rsid w:val="00442330"/>
    <w:rsid w:val="00442361"/>
    <w:rsid w:val="004423F7"/>
    <w:rsid w:val="00442682"/>
    <w:rsid w:val="0044269D"/>
    <w:rsid w:val="004427A0"/>
    <w:rsid w:val="004427F9"/>
    <w:rsid w:val="00442D8A"/>
    <w:rsid w:val="00442E30"/>
    <w:rsid w:val="00442E50"/>
    <w:rsid w:val="00442ECD"/>
    <w:rsid w:val="004432E3"/>
    <w:rsid w:val="00443477"/>
    <w:rsid w:val="004435DD"/>
    <w:rsid w:val="00443893"/>
    <w:rsid w:val="0044391E"/>
    <w:rsid w:val="0044395B"/>
    <w:rsid w:val="00444099"/>
    <w:rsid w:val="00444234"/>
    <w:rsid w:val="004443BA"/>
    <w:rsid w:val="00444916"/>
    <w:rsid w:val="00444EC0"/>
    <w:rsid w:val="00444FB5"/>
    <w:rsid w:val="004452A9"/>
    <w:rsid w:val="00445326"/>
    <w:rsid w:val="0044558E"/>
    <w:rsid w:val="0044560F"/>
    <w:rsid w:val="00445881"/>
    <w:rsid w:val="00445DC0"/>
    <w:rsid w:val="0044602B"/>
    <w:rsid w:val="00446056"/>
    <w:rsid w:val="004461CB"/>
    <w:rsid w:val="0044621D"/>
    <w:rsid w:val="004462DC"/>
    <w:rsid w:val="004464F5"/>
    <w:rsid w:val="004465B0"/>
    <w:rsid w:val="004465FF"/>
    <w:rsid w:val="00446994"/>
    <w:rsid w:val="004469F0"/>
    <w:rsid w:val="00446D43"/>
    <w:rsid w:val="00446F96"/>
    <w:rsid w:val="00447290"/>
    <w:rsid w:val="0044747F"/>
    <w:rsid w:val="0044774D"/>
    <w:rsid w:val="00447838"/>
    <w:rsid w:val="004478A9"/>
    <w:rsid w:val="004479DD"/>
    <w:rsid w:val="004479FC"/>
    <w:rsid w:val="00447B82"/>
    <w:rsid w:val="00447C69"/>
    <w:rsid w:val="00447C89"/>
    <w:rsid w:val="00447CAD"/>
    <w:rsid w:val="00447D99"/>
    <w:rsid w:val="00447DDA"/>
    <w:rsid w:val="00447F00"/>
    <w:rsid w:val="00447F02"/>
    <w:rsid w:val="004500BA"/>
    <w:rsid w:val="004501F6"/>
    <w:rsid w:val="004501FD"/>
    <w:rsid w:val="00450372"/>
    <w:rsid w:val="00450422"/>
    <w:rsid w:val="004505A4"/>
    <w:rsid w:val="00450748"/>
    <w:rsid w:val="00450AE6"/>
    <w:rsid w:val="00450AED"/>
    <w:rsid w:val="00450C3C"/>
    <w:rsid w:val="00450CB8"/>
    <w:rsid w:val="00450DBF"/>
    <w:rsid w:val="00450EE3"/>
    <w:rsid w:val="00451281"/>
    <w:rsid w:val="0045131F"/>
    <w:rsid w:val="0045141C"/>
    <w:rsid w:val="004514F5"/>
    <w:rsid w:val="00451643"/>
    <w:rsid w:val="004517F9"/>
    <w:rsid w:val="00451DDC"/>
    <w:rsid w:val="00451FBA"/>
    <w:rsid w:val="004520E0"/>
    <w:rsid w:val="004523BB"/>
    <w:rsid w:val="0045250C"/>
    <w:rsid w:val="0045259D"/>
    <w:rsid w:val="004525B9"/>
    <w:rsid w:val="004525F2"/>
    <w:rsid w:val="0045267C"/>
    <w:rsid w:val="00452726"/>
    <w:rsid w:val="004527CF"/>
    <w:rsid w:val="004528CA"/>
    <w:rsid w:val="00452924"/>
    <w:rsid w:val="00452AF2"/>
    <w:rsid w:val="00452BCE"/>
    <w:rsid w:val="00452C61"/>
    <w:rsid w:val="00452D57"/>
    <w:rsid w:val="00452D85"/>
    <w:rsid w:val="00452E2A"/>
    <w:rsid w:val="00452E86"/>
    <w:rsid w:val="00452EC4"/>
    <w:rsid w:val="00453029"/>
    <w:rsid w:val="004530AE"/>
    <w:rsid w:val="004531D6"/>
    <w:rsid w:val="00453231"/>
    <w:rsid w:val="0045344A"/>
    <w:rsid w:val="004536B1"/>
    <w:rsid w:val="0045379E"/>
    <w:rsid w:val="004538D3"/>
    <w:rsid w:val="00453ACE"/>
    <w:rsid w:val="00453B59"/>
    <w:rsid w:val="00453BF8"/>
    <w:rsid w:val="00453C0C"/>
    <w:rsid w:val="00453EED"/>
    <w:rsid w:val="004541C5"/>
    <w:rsid w:val="004541DB"/>
    <w:rsid w:val="004542BB"/>
    <w:rsid w:val="0045430E"/>
    <w:rsid w:val="0045432F"/>
    <w:rsid w:val="0045439B"/>
    <w:rsid w:val="00454A52"/>
    <w:rsid w:val="00454B39"/>
    <w:rsid w:val="00454B62"/>
    <w:rsid w:val="00454CB6"/>
    <w:rsid w:val="00454E65"/>
    <w:rsid w:val="00454FFF"/>
    <w:rsid w:val="00455140"/>
    <w:rsid w:val="0045516D"/>
    <w:rsid w:val="00455183"/>
    <w:rsid w:val="00455525"/>
    <w:rsid w:val="004558E0"/>
    <w:rsid w:val="0045592E"/>
    <w:rsid w:val="00455958"/>
    <w:rsid w:val="00455A96"/>
    <w:rsid w:val="00455E4A"/>
    <w:rsid w:val="00455EA8"/>
    <w:rsid w:val="00455F97"/>
    <w:rsid w:val="00456225"/>
    <w:rsid w:val="004562DF"/>
    <w:rsid w:val="00456465"/>
    <w:rsid w:val="00456B17"/>
    <w:rsid w:val="00456DCD"/>
    <w:rsid w:val="00456E85"/>
    <w:rsid w:val="00456E98"/>
    <w:rsid w:val="00456F43"/>
    <w:rsid w:val="00456FC7"/>
    <w:rsid w:val="00456FF3"/>
    <w:rsid w:val="00457120"/>
    <w:rsid w:val="00457153"/>
    <w:rsid w:val="004573B5"/>
    <w:rsid w:val="004573FB"/>
    <w:rsid w:val="004575DF"/>
    <w:rsid w:val="004578DB"/>
    <w:rsid w:val="004579A4"/>
    <w:rsid w:val="004579F8"/>
    <w:rsid w:val="00457B64"/>
    <w:rsid w:val="00460368"/>
    <w:rsid w:val="0046043F"/>
    <w:rsid w:val="004606F5"/>
    <w:rsid w:val="0046076F"/>
    <w:rsid w:val="004608F8"/>
    <w:rsid w:val="004609D7"/>
    <w:rsid w:val="00460ABC"/>
    <w:rsid w:val="00460B80"/>
    <w:rsid w:val="00460C54"/>
    <w:rsid w:val="00460DDF"/>
    <w:rsid w:val="00460DF7"/>
    <w:rsid w:val="0046114D"/>
    <w:rsid w:val="004612E1"/>
    <w:rsid w:val="004613DA"/>
    <w:rsid w:val="00461564"/>
    <w:rsid w:val="004615F7"/>
    <w:rsid w:val="00461667"/>
    <w:rsid w:val="00461697"/>
    <w:rsid w:val="004616DA"/>
    <w:rsid w:val="00461741"/>
    <w:rsid w:val="00461B26"/>
    <w:rsid w:val="00461E56"/>
    <w:rsid w:val="004621B0"/>
    <w:rsid w:val="00462436"/>
    <w:rsid w:val="004624D5"/>
    <w:rsid w:val="00462694"/>
    <w:rsid w:val="00462699"/>
    <w:rsid w:val="004627B1"/>
    <w:rsid w:val="004629CD"/>
    <w:rsid w:val="00462CDB"/>
    <w:rsid w:val="00462DB7"/>
    <w:rsid w:val="00462EF9"/>
    <w:rsid w:val="004631F8"/>
    <w:rsid w:val="0046343F"/>
    <w:rsid w:val="0046345B"/>
    <w:rsid w:val="00463596"/>
    <w:rsid w:val="0046394F"/>
    <w:rsid w:val="00463B22"/>
    <w:rsid w:val="00463DE9"/>
    <w:rsid w:val="0046428C"/>
    <w:rsid w:val="004644C7"/>
    <w:rsid w:val="00464859"/>
    <w:rsid w:val="00464988"/>
    <w:rsid w:val="00464FFB"/>
    <w:rsid w:val="00465209"/>
    <w:rsid w:val="00465277"/>
    <w:rsid w:val="00465648"/>
    <w:rsid w:val="00465739"/>
    <w:rsid w:val="0046587A"/>
    <w:rsid w:val="004658CA"/>
    <w:rsid w:val="00465A16"/>
    <w:rsid w:val="00465A87"/>
    <w:rsid w:val="0046607F"/>
    <w:rsid w:val="0046614C"/>
    <w:rsid w:val="00466196"/>
    <w:rsid w:val="0046619F"/>
    <w:rsid w:val="0046621E"/>
    <w:rsid w:val="0046627A"/>
    <w:rsid w:val="00466359"/>
    <w:rsid w:val="004663B9"/>
    <w:rsid w:val="00466440"/>
    <w:rsid w:val="00466579"/>
    <w:rsid w:val="004665CB"/>
    <w:rsid w:val="0046663C"/>
    <w:rsid w:val="0046687E"/>
    <w:rsid w:val="00466ADB"/>
    <w:rsid w:val="00466B7A"/>
    <w:rsid w:val="00466C89"/>
    <w:rsid w:val="00466EE0"/>
    <w:rsid w:val="004670A5"/>
    <w:rsid w:val="004670CB"/>
    <w:rsid w:val="004671D3"/>
    <w:rsid w:val="00467346"/>
    <w:rsid w:val="004673F8"/>
    <w:rsid w:val="0046764F"/>
    <w:rsid w:val="004678CE"/>
    <w:rsid w:val="00467E3E"/>
    <w:rsid w:val="00467E46"/>
    <w:rsid w:val="00467E65"/>
    <w:rsid w:val="00467F96"/>
    <w:rsid w:val="0047000D"/>
    <w:rsid w:val="0047005D"/>
    <w:rsid w:val="0047025B"/>
    <w:rsid w:val="0047036F"/>
    <w:rsid w:val="00470426"/>
    <w:rsid w:val="00470438"/>
    <w:rsid w:val="004708B1"/>
    <w:rsid w:val="0047091D"/>
    <w:rsid w:val="00470A65"/>
    <w:rsid w:val="00470BF9"/>
    <w:rsid w:val="00470CCE"/>
    <w:rsid w:val="00470D21"/>
    <w:rsid w:val="00470ED1"/>
    <w:rsid w:val="00470F4E"/>
    <w:rsid w:val="0047139E"/>
    <w:rsid w:val="004715E8"/>
    <w:rsid w:val="00471656"/>
    <w:rsid w:val="00471666"/>
    <w:rsid w:val="0047191A"/>
    <w:rsid w:val="00471E03"/>
    <w:rsid w:val="00471F17"/>
    <w:rsid w:val="00471F73"/>
    <w:rsid w:val="00472131"/>
    <w:rsid w:val="004721DD"/>
    <w:rsid w:val="004722A5"/>
    <w:rsid w:val="004723BD"/>
    <w:rsid w:val="0047245E"/>
    <w:rsid w:val="004724A7"/>
    <w:rsid w:val="0047272B"/>
    <w:rsid w:val="00472830"/>
    <w:rsid w:val="00472AF5"/>
    <w:rsid w:val="00472B02"/>
    <w:rsid w:val="00472B45"/>
    <w:rsid w:val="00472C2D"/>
    <w:rsid w:val="00472F50"/>
    <w:rsid w:val="00473009"/>
    <w:rsid w:val="00473139"/>
    <w:rsid w:val="00473571"/>
    <w:rsid w:val="004736D3"/>
    <w:rsid w:val="00473ADC"/>
    <w:rsid w:val="00473C81"/>
    <w:rsid w:val="00473C8D"/>
    <w:rsid w:val="00473D03"/>
    <w:rsid w:val="0047427A"/>
    <w:rsid w:val="0047428B"/>
    <w:rsid w:val="0047431E"/>
    <w:rsid w:val="0047444C"/>
    <w:rsid w:val="004745DC"/>
    <w:rsid w:val="00474611"/>
    <w:rsid w:val="00474873"/>
    <w:rsid w:val="00474A66"/>
    <w:rsid w:val="00474E82"/>
    <w:rsid w:val="00474F97"/>
    <w:rsid w:val="00475056"/>
    <w:rsid w:val="004750DC"/>
    <w:rsid w:val="0047512F"/>
    <w:rsid w:val="00475138"/>
    <w:rsid w:val="0047513E"/>
    <w:rsid w:val="004751D1"/>
    <w:rsid w:val="0047533D"/>
    <w:rsid w:val="0047535A"/>
    <w:rsid w:val="0047578A"/>
    <w:rsid w:val="00475D18"/>
    <w:rsid w:val="0047645D"/>
    <w:rsid w:val="00476573"/>
    <w:rsid w:val="00476749"/>
    <w:rsid w:val="0047690D"/>
    <w:rsid w:val="0047691F"/>
    <w:rsid w:val="004769DA"/>
    <w:rsid w:val="00476AA6"/>
    <w:rsid w:val="00476AE1"/>
    <w:rsid w:val="00476B6A"/>
    <w:rsid w:val="00476E3C"/>
    <w:rsid w:val="00476E81"/>
    <w:rsid w:val="00476EB1"/>
    <w:rsid w:val="0047702E"/>
    <w:rsid w:val="004770B0"/>
    <w:rsid w:val="00477141"/>
    <w:rsid w:val="0047715A"/>
    <w:rsid w:val="004772D0"/>
    <w:rsid w:val="00477358"/>
    <w:rsid w:val="004773AC"/>
    <w:rsid w:val="004775BB"/>
    <w:rsid w:val="00477A3B"/>
    <w:rsid w:val="00477BA4"/>
    <w:rsid w:val="00477EFE"/>
    <w:rsid w:val="0048001B"/>
    <w:rsid w:val="004801E9"/>
    <w:rsid w:val="004807B0"/>
    <w:rsid w:val="004807B2"/>
    <w:rsid w:val="00480A12"/>
    <w:rsid w:val="00480AC3"/>
    <w:rsid w:val="00480B18"/>
    <w:rsid w:val="00480B4E"/>
    <w:rsid w:val="00480BE7"/>
    <w:rsid w:val="00480C30"/>
    <w:rsid w:val="004810BE"/>
    <w:rsid w:val="00481216"/>
    <w:rsid w:val="00481234"/>
    <w:rsid w:val="0048129B"/>
    <w:rsid w:val="00481371"/>
    <w:rsid w:val="004813AC"/>
    <w:rsid w:val="0048145E"/>
    <w:rsid w:val="00481554"/>
    <w:rsid w:val="00481668"/>
    <w:rsid w:val="0048169E"/>
    <w:rsid w:val="0048198C"/>
    <w:rsid w:val="004819D8"/>
    <w:rsid w:val="00481AA4"/>
    <w:rsid w:val="00481BAE"/>
    <w:rsid w:val="00481CA7"/>
    <w:rsid w:val="00481DA9"/>
    <w:rsid w:val="00481E0C"/>
    <w:rsid w:val="00481EDB"/>
    <w:rsid w:val="004824CD"/>
    <w:rsid w:val="00482503"/>
    <w:rsid w:val="00482550"/>
    <w:rsid w:val="004827EA"/>
    <w:rsid w:val="00482868"/>
    <w:rsid w:val="00482896"/>
    <w:rsid w:val="00482A95"/>
    <w:rsid w:val="00482E17"/>
    <w:rsid w:val="00482E25"/>
    <w:rsid w:val="00482EA6"/>
    <w:rsid w:val="0048334D"/>
    <w:rsid w:val="0048347D"/>
    <w:rsid w:val="00483506"/>
    <w:rsid w:val="0048393D"/>
    <w:rsid w:val="00483A60"/>
    <w:rsid w:val="00483CCF"/>
    <w:rsid w:val="00483DF1"/>
    <w:rsid w:val="00484356"/>
    <w:rsid w:val="00484507"/>
    <w:rsid w:val="0048471D"/>
    <w:rsid w:val="004847AB"/>
    <w:rsid w:val="00484807"/>
    <w:rsid w:val="00484837"/>
    <w:rsid w:val="00484870"/>
    <w:rsid w:val="004848B3"/>
    <w:rsid w:val="004848CF"/>
    <w:rsid w:val="004849F6"/>
    <w:rsid w:val="004849F9"/>
    <w:rsid w:val="00484C0E"/>
    <w:rsid w:val="00484C8E"/>
    <w:rsid w:val="00484DCD"/>
    <w:rsid w:val="00484E33"/>
    <w:rsid w:val="00484F72"/>
    <w:rsid w:val="004854A5"/>
    <w:rsid w:val="004855D6"/>
    <w:rsid w:val="004856C1"/>
    <w:rsid w:val="004857D8"/>
    <w:rsid w:val="004858CD"/>
    <w:rsid w:val="00485922"/>
    <w:rsid w:val="00485A3C"/>
    <w:rsid w:val="00485A48"/>
    <w:rsid w:val="0048601B"/>
    <w:rsid w:val="004861F8"/>
    <w:rsid w:val="004862B0"/>
    <w:rsid w:val="0048643F"/>
    <w:rsid w:val="004864F8"/>
    <w:rsid w:val="00486908"/>
    <w:rsid w:val="00486CA5"/>
    <w:rsid w:val="00486D01"/>
    <w:rsid w:val="00486DC0"/>
    <w:rsid w:val="00486EB1"/>
    <w:rsid w:val="00486FCE"/>
    <w:rsid w:val="00487105"/>
    <w:rsid w:val="004873E1"/>
    <w:rsid w:val="00487410"/>
    <w:rsid w:val="00487587"/>
    <w:rsid w:val="004877F5"/>
    <w:rsid w:val="00487875"/>
    <w:rsid w:val="00487DB2"/>
    <w:rsid w:val="00487DDD"/>
    <w:rsid w:val="0048DFC9"/>
    <w:rsid w:val="0049020F"/>
    <w:rsid w:val="0049040A"/>
    <w:rsid w:val="0049043C"/>
    <w:rsid w:val="004906A8"/>
    <w:rsid w:val="0049077A"/>
    <w:rsid w:val="0049084A"/>
    <w:rsid w:val="004908FF"/>
    <w:rsid w:val="00490944"/>
    <w:rsid w:val="00490B15"/>
    <w:rsid w:val="00490B89"/>
    <w:rsid w:val="00490C47"/>
    <w:rsid w:val="00490D4C"/>
    <w:rsid w:val="00491298"/>
    <w:rsid w:val="0049137C"/>
    <w:rsid w:val="0049142E"/>
    <w:rsid w:val="0049150C"/>
    <w:rsid w:val="004917A8"/>
    <w:rsid w:val="00491878"/>
    <w:rsid w:val="0049188E"/>
    <w:rsid w:val="004918C2"/>
    <w:rsid w:val="00491A9F"/>
    <w:rsid w:val="00491D14"/>
    <w:rsid w:val="00491EB8"/>
    <w:rsid w:val="00491F2C"/>
    <w:rsid w:val="004920CF"/>
    <w:rsid w:val="00492129"/>
    <w:rsid w:val="00492188"/>
    <w:rsid w:val="004921AB"/>
    <w:rsid w:val="00492305"/>
    <w:rsid w:val="004926D9"/>
    <w:rsid w:val="004926EF"/>
    <w:rsid w:val="00492911"/>
    <w:rsid w:val="00492B7A"/>
    <w:rsid w:val="00492BEA"/>
    <w:rsid w:val="00492C0B"/>
    <w:rsid w:val="00492C48"/>
    <w:rsid w:val="00492C68"/>
    <w:rsid w:val="00492E65"/>
    <w:rsid w:val="00492E89"/>
    <w:rsid w:val="00492E9B"/>
    <w:rsid w:val="00492F6C"/>
    <w:rsid w:val="00492FCD"/>
    <w:rsid w:val="00493055"/>
    <w:rsid w:val="00493086"/>
    <w:rsid w:val="004930D7"/>
    <w:rsid w:val="004930DB"/>
    <w:rsid w:val="00493383"/>
    <w:rsid w:val="004933B7"/>
    <w:rsid w:val="004937F7"/>
    <w:rsid w:val="00493881"/>
    <w:rsid w:val="004939F5"/>
    <w:rsid w:val="00493A01"/>
    <w:rsid w:val="00493A79"/>
    <w:rsid w:val="00493C5C"/>
    <w:rsid w:val="00493C6B"/>
    <w:rsid w:val="00493DF1"/>
    <w:rsid w:val="00493F5F"/>
    <w:rsid w:val="00493F81"/>
    <w:rsid w:val="0049411F"/>
    <w:rsid w:val="004942EE"/>
    <w:rsid w:val="004944A4"/>
    <w:rsid w:val="0049450E"/>
    <w:rsid w:val="00494693"/>
    <w:rsid w:val="004948A1"/>
    <w:rsid w:val="00494D31"/>
    <w:rsid w:val="00494FDE"/>
    <w:rsid w:val="004950A1"/>
    <w:rsid w:val="004950CB"/>
    <w:rsid w:val="00495159"/>
    <w:rsid w:val="004951C0"/>
    <w:rsid w:val="0049527A"/>
    <w:rsid w:val="004953CA"/>
    <w:rsid w:val="00495430"/>
    <w:rsid w:val="00495491"/>
    <w:rsid w:val="00495596"/>
    <w:rsid w:val="004955C5"/>
    <w:rsid w:val="004957A8"/>
    <w:rsid w:val="00495888"/>
    <w:rsid w:val="00495A0F"/>
    <w:rsid w:val="00495B2C"/>
    <w:rsid w:val="00495D20"/>
    <w:rsid w:val="00495EB5"/>
    <w:rsid w:val="00496108"/>
    <w:rsid w:val="004961EB"/>
    <w:rsid w:val="004961F9"/>
    <w:rsid w:val="0049652B"/>
    <w:rsid w:val="00496652"/>
    <w:rsid w:val="00496672"/>
    <w:rsid w:val="004966AE"/>
    <w:rsid w:val="004966D2"/>
    <w:rsid w:val="004968DA"/>
    <w:rsid w:val="00496AF3"/>
    <w:rsid w:val="00496C78"/>
    <w:rsid w:val="00496D22"/>
    <w:rsid w:val="00496D83"/>
    <w:rsid w:val="00496E99"/>
    <w:rsid w:val="00496F57"/>
    <w:rsid w:val="0049700E"/>
    <w:rsid w:val="004971B7"/>
    <w:rsid w:val="004972AC"/>
    <w:rsid w:val="004973E5"/>
    <w:rsid w:val="00497485"/>
    <w:rsid w:val="00497579"/>
    <w:rsid w:val="004976A8"/>
    <w:rsid w:val="0049771E"/>
    <w:rsid w:val="00497819"/>
    <w:rsid w:val="00497921"/>
    <w:rsid w:val="004979DE"/>
    <w:rsid w:val="00497A18"/>
    <w:rsid w:val="00497A94"/>
    <w:rsid w:val="00497B67"/>
    <w:rsid w:val="004A02FD"/>
    <w:rsid w:val="004A03CF"/>
    <w:rsid w:val="004A081F"/>
    <w:rsid w:val="004A0870"/>
    <w:rsid w:val="004A0911"/>
    <w:rsid w:val="004A0BC8"/>
    <w:rsid w:val="004A0CC1"/>
    <w:rsid w:val="004A0DF5"/>
    <w:rsid w:val="004A0F08"/>
    <w:rsid w:val="004A1074"/>
    <w:rsid w:val="004A122B"/>
    <w:rsid w:val="004A12F8"/>
    <w:rsid w:val="004A14EF"/>
    <w:rsid w:val="004A1514"/>
    <w:rsid w:val="004A1533"/>
    <w:rsid w:val="004A1815"/>
    <w:rsid w:val="004A1853"/>
    <w:rsid w:val="004A18E6"/>
    <w:rsid w:val="004A19A0"/>
    <w:rsid w:val="004A19E2"/>
    <w:rsid w:val="004A1B75"/>
    <w:rsid w:val="004A1B97"/>
    <w:rsid w:val="004A1FCD"/>
    <w:rsid w:val="004A2278"/>
    <w:rsid w:val="004A22A9"/>
    <w:rsid w:val="004A2426"/>
    <w:rsid w:val="004A257D"/>
    <w:rsid w:val="004A2698"/>
    <w:rsid w:val="004A2B2B"/>
    <w:rsid w:val="004A2BFE"/>
    <w:rsid w:val="004A2C8C"/>
    <w:rsid w:val="004A2F71"/>
    <w:rsid w:val="004A3293"/>
    <w:rsid w:val="004A32F8"/>
    <w:rsid w:val="004A334A"/>
    <w:rsid w:val="004A3388"/>
    <w:rsid w:val="004A3465"/>
    <w:rsid w:val="004A3505"/>
    <w:rsid w:val="004A3627"/>
    <w:rsid w:val="004A365C"/>
    <w:rsid w:val="004A37E5"/>
    <w:rsid w:val="004A3849"/>
    <w:rsid w:val="004A38E6"/>
    <w:rsid w:val="004A391D"/>
    <w:rsid w:val="004A3989"/>
    <w:rsid w:val="004A3D0C"/>
    <w:rsid w:val="004A3DF8"/>
    <w:rsid w:val="004A417A"/>
    <w:rsid w:val="004A424E"/>
    <w:rsid w:val="004A433C"/>
    <w:rsid w:val="004A43B6"/>
    <w:rsid w:val="004A43CB"/>
    <w:rsid w:val="004A4706"/>
    <w:rsid w:val="004A4718"/>
    <w:rsid w:val="004A4C65"/>
    <w:rsid w:val="004A4DD2"/>
    <w:rsid w:val="004A5074"/>
    <w:rsid w:val="004A5189"/>
    <w:rsid w:val="004A5328"/>
    <w:rsid w:val="004A53B9"/>
    <w:rsid w:val="004A53E2"/>
    <w:rsid w:val="004A53EF"/>
    <w:rsid w:val="004A54D9"/>
    <w:rsid w:val="004A5550"/>
    <w:rsid w:val="004A57C2"/>
    <w:rsid w:val="004A5A0B"/>
    <w:rsid w:val="004A5AF8"/>
    <w:rsid w:val="004A5F70"/>
    <w:rsid w:val="004A6003"/>
    <w:rsid w:val="004A6103"/>
    <w:rsid w:val="004A61A4"/>
    <w:rsid w:val="004A62AF"/>
    <w:rsid w:val="004A63E1"/>
    <w:rsid w:val="004A65A7"/>
    <w:rsid w:val="004A669F"/>
    <w:rsid w:val="004A691C"/>
    <w:rsid w:val="004A6952"/>
    <w:rsid w:val="004A695E"/>
    <w:rsid w:val="004A697A"/>
    <w:rsid w:val="004A6C3E"/>
    <w:rsid w:val="004A6C6C"/>
    <w:rsid w:val="004A6F66"/>
    <w:rsid w:val="004A6F6D"/>
    <w:rsid w:val="004A70B3"/>
    <w:rsid w:val="004A7303"/>
    <w:rsid w:val="004A73A7"/>
    <w:rsid w:val="004A746D"/>
    <w:rsid w:val="004A748C"/>
    <w:rsid w:val="004A75B2"/>
    <w:rsid w:val="004A77CA"/>
    <w:rsid w:val="004A7871"/>
    <w:rsid w:val="004A78D5"/>
    <w:rsid w:val="004A7CF9"/>
    <w:rsid w:val="004A7DF3"/>
    <w:rsid w:val="004B009F"/>
    <w:rsid w:val="004B03D3"/>
    <w:rsid w:val="004B0501"/>
    <w:rsid w:val="004B0511"/>
    <w:rsid w:val="004B051C"/>
    <w:rsid w:val="004B05D3"/>
    <w:rsid w:val="004B061F"/>
    <w:rsid w:val="004B0704"/>
    <w:rsid w:val="004B0736"/>
    <w:rsid w:val="004B07A4"/>
    <w:rsid w:val="004B0971"/>
    <w:rsid w:val="004B0B36"/>
    <w:rsid w:val="004B0C9B"/>
    <w:rsid w:val="004B0FE7"/>
    <w:rsid w:val="004B12E2"/>
    <w:rsid w:val="004B15BF"/>
    <w:rsid w:val="004B16BC"/>
    <w:rsid w:val="004B17B1"/>
    <w:rsid w:val="004B17E7"/>
    <w:rsid w:val="004B1BF1"/>
    <w:rsid w:val="004B1C2E"/>
    <w:rsid w:val="004B1C32"/>
    <w:rsid w:val="004B1C99"/>
    <w:rsid w:val="004B1DCC"/>
    <w:rsid w:val="004B2358"/>
    <w:rsid w:val="004B2450"/>
    <w:rsid w:val="004B2512"/>
    <w:rsid w:val="004B25D7"/>
    <w:rsid w:val="004B25E4"/>
    <w:rsid w:val="004B2645"/>
    <w:rsid w:val="004B2788"/>
    <w:rsid w:val="004B2881"/>
    <w:rsid w:val="004B299F"/>
    <w:rsid w:val="004B2A5E"/>
    <w:rsid w:val="004B2AEE"/>
    <w:rsid w:val="004B2C26"/>
    <w:rsid w:val="004B2CFD"/>
    <w:rsid w:val="004B2E1A"/>
    <w:rsid w:val="004B2F6A"/>
    <w:rsid w:val="004B2FFB"/>
    <w:rsid w:val="004B3084"/>
    <w:rsid w:val="004B31D6"/>
    <w:rsid w:val="004B324D"/>
    <w:rsid w:val="004B32B1"/>
    <w:rsid w:val="004B34B0"/>
    <w:rsid w:val="004B36CD"/>
    <w:rsid w:val="004B3789"/>
    <w:rsid w:val="004B3855"/>
    <w:rsid w:val="004B394F"/>
    <w:rsid w:val="004B3B67"/>
    <w:rsid w:val="004B3F83"/>
    <w:rsid w:val="004B408B"/>
    <w:rsid w:val="004B4357"/>
    <w:rsid w:val="004B43E0"/>
    <w:rsid w:val="004B4490"/>
    <w:rsid w:val="004B481F"/>
    <w:rsid w:val="004B487C"/>
    <w:rsid w:val="004B495C"/>
    <w:rsid w:val="004B4A25"/>
    <w:rsid w:val="004B4A4E"/>
    <w:rsid w:val="004B4C70"/>
    <w:rsid w:val="004B4C92"/>
    <w:rsid w:val="004B4D52"/>
    <w:rsid w:val="004B5200"/>
    <w:rsid w:val="004B52E7"/>
    <w:rsid w:val="004B5318"/>
    <w:rsid w:val="004B5434"/>
    <w:rsid w:val="004B5462"/>
    <w:rsid w:val="004B5A36"/>
    <w:rsid w:val="004B5E83"/>
    <w:rsid w:val="004B5F77"/>
    <w:rsid w:val="004B647D"/>
    <w:rsid w:val="004B665E"/>
    <w:rsid w:val="004B6695"/>
    <w:rsid w:val="004B67DA"/>
    <w:rsid w:val="004B6837"/>
    <w:rsid w:val="004B6923"/>
    <w:rsid w:val="004B69A6"/>
    <w:rsid w:val="004B69E0"/>
    <w:rsid w:val="004B6C76"/>
    <w:rsid w:val="004B6D14"/>
    <w:rsid w:val="004B6DF8"/>
    <w:rsid w:val="004B7122"/>
    <w:rsid w:val="004B71CE"/>
    <w:rsid w:val="004B7697"/>
    <w:rsid w:val="004B78BA"/>
    <w:rsid w:val="004B7A6F"/>
    <w:rsid w:val="004B7F5C"/>
    <w:rsid w:val="004B7FF1"/>
    <w:rsid w:val="004C00EE"/>
    <w:rsid w:val="004C02B5"/>
    <w:rsid w:val="004C038C"/>
    <w:rsid w:val="004C03C7"/>
    <w:rsid w:val="004C047F"/>
    <w:rsid w:val="004C08BC"/>
    <w:rsid w:val="004C0E46"/>
    <w:rsid w:val="004C0EBD"/>
    <w:rsid w:val="004C0F0A"/>
    <w:rsid w:val="004C0F8F"/>
    <w:rsid w:val="004C117E"/>
    <w:rsid w:val="004C13FD"/>
    <w:rsid w:val="004C15EC"/>
    <w:rsid w:val="004C1681"/>
    <w:rsid w:val="004C181C"/>
    <w:rsid w:val="004C1A4D"/>
    <w:rsid w:val="004C1B13"/>
    <w:rsid w:val="004C1C8B"/>
    <w:rsid w:val="004C1C9D"/>
    <w:rsid w:val="004C1D97"/>
    <w:rsid w:val="004C1EBC"/>
    <w:rsid w:val="004C1ECF"/>
    <w:rsid w:val="004C1ED5"/>
    <w:rsid w:val="004C21EA"/>
    <w:rsid w:val="004C23C4"/>
    <w:rsid w:val="004C25E6"/>
    <w:rsid w:val="004C286A"/>
    <w:rsid w:val="004C2943"/>
    <w:rsid w:val="004C2C28"/>
    <w:rsid w:val="004C2C7A"/>
    <w:rsid w:val="004C3089"/>
    <w:rsid w:val="004C31AB"/>
    <w:rsid w:val="004C331D"/>
    <w:rsid w:val="004C3550"/>
    <w:rsid w:val="004C356F"/>
    <w:rsid w:val="004C375D"/>
    <w:rsid w:val="004C388D"/>
    <w:rsid w:val="004C3998"/>
    <w:rsid w:val="004C3B50"/>
    <w:rsid w:val="004C3B96"/>
    <w:rsid w:val="004C3CC6"/>
    <w:rsid w:val="004C3D79"/>
    <w:rsid w:val="004C427B"/>
    <w:rsid w:val="004C45AE"/>
    <w:rsid w:val="004C46FE"/>
    <w:rsid w:val="004C47B2"/>
    <w:rsid w:val="004C47E1"/>
    <w:rsid w:val="004C4A36"/>
    <w:rsid w:val="004C4AAB"/>
    <w:rsid w:val="004C4F4B"/>
    <w:rsid w:val="004C50CB"/>
    <w:rsid w:val="004C52B6"/>
    <w:rsid w:val="004C56E8"/>
    <w:rsid w:val="004C5719"/>
    <w:rsid w:val="004C5896"/>
    <w:rsid w:val="004C589D"/>
    <w:rsid w:val="004C58A7"/>
    <w:rsid w:val="004C5A94"/>
    <w:rsid w:val="004C5C01"/>
    <w:rsid w:val="004C5C8F"/>
    <w:rsid w:val="004C5D8A"/>
    <w:rsid w:val="004C5E99"/>
    <w:rsid w:val="004C5F19"/>
    <w:rsid w:val="004C5F7D"/>
    <w:rsid w:val="004C5FB0"/>
    <w:rsid w:val="004C5FFD"/>
    <w:rsid w:val="004C60BE"/>
    <w:rsid w:val="004C60DA"/>
    <w:rsid w:val="004C6271"/>
    <w:rsid w:val="004C62D8"/>
    <w:rsid w:val="004C631F"/>
    <w:rsid w:val="004C6448"/>
    <w:rsid w:val="004C6456"/>
    <w:rsid w:val="004C6508"/>
    <w:rsid w:val="004C670D"/>
    <w:rsid w:val="004C6819"/>
    <w:rsid w:val="004C696F"/>
    <w:rsid w:val="004C6999"/>
    <w:rsid w:val="004C6A9B"/>
    <w:rsid w:val="004C6BFB"/>
    <w:rsid w:val="004C6D24"/>
    <w:rsid w:val="004C6E36"/>
    <w:rsid w:val="004C6E4F"/>
    <w:rsid w:val="004C6F00"/>
    <w:rsid w:val="004C6FC7"/>
    <w:rsid w:val="004C72D5"/>
    <w:rsid w:val="004C732F"/>
    <w:rsid w:val="004C7396"/>
    <w:rsid w:val="004C73B3"/>
    <w:rsid w:val="004C7653"/>
    <w:rsid w:val="004C765B"/>
    <w:rsid w:val="004C771D"/>
    <w:rsid w:val="004C772A"/>
    <w:rsid w:val="004C7850"/>
    <w:rsid w:val="004C7898"/>
    <w:rsid w:val="004C7956"/>
    <w:rsid w:val="004D046C"/>
    <w:rsid w:val="004D0566"/>
    <w:rsid w:val="004D0673"/>
    <w:rsid w:val="004D07A9"/>
    <w:rsid w:val="004D08B1"/>
    <w:rsid w:val="004D090B"/>
    <w:rsid w:val="004D0923"/>
    <w:rsid w:val="004D0A41"/>
    <w:rsid w:val="004D0AD2"/>
    <w:rsid w:val="004D0ADC"/>
    <w:rsid w:val="004D0AFD"/>
    <w:rsid w:val="004D0B38"/>
    <w:rsid w:val="004D0B51"/>
    <w:rsid w:val="004D0EF9"/>
    <w:rsid w:val="004D0EFF"/>
    <w:rsid w:val="004D1371"/>
    <w:rsid w:val="004D14A2"/>
    <w:rsid w:val="004D161D"/>
    <w:rsid w:val="004D1795"/>
    <w:rsid w:val="004D17E2"/>
    <w:rsid w:val="004D191B"/>
    <w:rsid w:val="004D192F"/>
    <w:rsid w:val="004D195B"/>
    <w:rsid w:val="004D19D7"/>
    <w:rsid w:val="004D1BA6"/>
    <w:rsid w:val="004D1BD2"/>
    <w:rsid w:val="004D1BEE"/>
    <w:rsid w:val="004D1C9A"/>
    <w:rsid w:val="004D1D23"/>
    <w:rsid w:val="004D1D4A"/>
    <w:rsid w:val="004D1DF4"/>
    <w:rsid w:val="004D1E4E"/>
    <w:rsid w:val="004D1EC0"/>
    <w:rsid w:val="004D1FA7"/>
    <w:rsid w:val="004D1FB4"/>
    <w:rsid w:val="004D2270"/>
    <w:rsid w:val="004D22E6"/>
    <w:rsid w:val="004D234F"/>
    <w:rsid w:val="004D239E"/>
    <w:rsid w:val="004D252D"/>
    <w:rsid w:val="004D25E3"/>
    <w:rsid w:val="004D2663"/>
    <w:rsid w:val="004D2A1D"/>
    <w:rsid w:val="004D2A53"/>
    <w:rsid w:val="004D2AA5"/>
    <w:rsid w:val="004D2B76"/>
    <w:rsid w:val="004D2B85"/>
    <w:rsid w:val="004D2E2E"/>
    <w:rsid w:val="004D31BF"/>
    <w:rsid w:val="004D31F4"/>
    <w:rsid w:val="004D335D"/>
    <w:rsid w:val="004D337D"/>
    <w:rsid w:val="004D33AF"/>
    <w:rsid w:val="004D340E"/>
    <w:rsid w:val="004D38C0"/>
    <w:rsid w:val="004D3C3D"/>
    <w:rsid w:val="004D41DD"/>
    <w:rsid w:val="004D4376"/>
    <w:rsid w:val="004D438C"/>
    <w:rsid w:val="004D44C1"/>
    <w:rsid w:val="004D4627"/>
    <w:rsid w:val="004D46DB"/>
    <w:rsid w:val="004D4970"/>
    <w:rsid w:val="004D4991"/>
    <w:rsid w:val="004D4DAA"/>
    <w:rsid w:val="004D4F14"/>
    <w:rsid w:val="004D51D2"/>
    <w:rsid w:val="004D51E6"/>
    <w:rsid w:val="004D58B0"/>
    <w:rsid w:val="004D58D2"/>
    <w:rsid w:val="004D5A92"/>
    <w:rsid w:val="004D5B83"/>
    <w:rsid w:val="004D5C7B"/>
    <w:rsid w:val="004D5F02"/>
    <w:rsid w:val="004D606E"/>
    <w:rsid w:val="004D608E"/>
    <w:rsid w:val="004D60E2"/>
    <w:rsid w:val="004D615B"/>
    <w:rsid w:val="004D6188"/>
    <w:rsid w:val="004D6221"/>
    <w:rsid w:val="004D63FD"/>
    <w:rsid w:val="004D65B0"/>
    <w:rsid w:val="004D65E4"/>
    <w:rsid w:val="004D663C"/>
    <w:rsid w:val="004D67F1"/>
    <w:rsid w:val="004D69AE"/>
    <w:rsid w:val="004D6AD1"/>
    <w:rsid w:val="004D6AFB"/>
    <w:rsid w:val="004D6BF2"/>
    <w:rsid w:val="004D6C30"/>
    <w:rsid w:val="004D6F3E"/>
    <w:rsid w:val="004D70EC"/>
    <w:rsid w:val="004D745F"/>
    <w:rsid w:val="004D74B1"/>
    <w:rsid w:val="004D7735"/>
    <w:rsid w:val="004D789B"/>
    <w:rsid w:val="004D7A73"/>
    <w:rsid w:val="004D7B63"/>
    <w:rsid w:val="004D7C16"/>
    <w:rsid w:val="004D7C22"/>
    <w:rsid w:val="004D7EA7"/>
    <w:rsid w:val="004D7F2D"/>
    <w:rsid w:val="004E0069"/>
    <w:rsid w:val="004E007D"/>
    <w:rsid w:val="004E00B2"/>
    <w:rsid w:val="004E023B"/>
    <w:rsid w:val="004E02B3"/>
    <w:rsid w:val="004E02D1"/>
    <w:rsid w:val="004E0493"/>
    <w:rsid w:val="004E04DC"/>
    <w:rsid w:val="004E065A"/>
    <w:rsid w:val="004E0FC2"/>
    <w:rsid w:val="004E10C1"/>
    <w:rsid w:val="004E11B5"/>
    <w:rsid w:val="004E1284"/>
    <w:rsid w:val="004E1372"/>
    <w:rsid w:val="004E164D"/>
    <w:rsid w:val="004E16F5"/>
    <w:rsid w:val="004E170F"/>
    <w:rsid w:val="004E1953"/>
    <w:rsid w:val="004E1B4C"/>
    <w:rsid w:val="004E1B57"/>
    <w:rsid w:val="004E1CEA"/>
    <w:rsid w:val="004E1D9C"/>
    <w:rsid w:val="004E1E0F"/>
    <w:rsid w:val="004E1E11"/>
    <w:rsid w:val="004E2047"/>
    <w:rsid w:val="004E2078"/>
    <w:rsid w:val="004E2325"/>
    <w:rsid w:val="004E237D"/>
    <w:rsid w:val="004E23B5"/>
    <w:rsid w:val="004E24CE"/>
    <w:rsid w:val="004E259E"/>
    <w:rsid w:val="004E26EE"/>
    <w:rsid w:val="004E27E0"/>
    <w:rsid w:val="004E286D"/>
    <w:rsid w:val="004E28D0"/>
    <w:rsid w:val="004E2901"/>
    <w:rsid w:val="004E2989"/>
    <w:rsid w:val="004E2A21"/>
    <w:rsid w:val="004E2AB6"/>
    <w:rsid w:val="004E2B35"/>
    <w:rsid w:val="004E2C22"/>
    <w:rsid w:val="004E2CFB"/>
    <w:rsid w:val="004E2F61"/>
    <w:rsid w:val="004E3214"/>
    <w:rsid w:val="004E3313"/>
    <w:rsid w:val="004E3809"/>
    <w:rsid w:val="004E393E"/>
    <w:rsid w:val="004E396F"/>
    <w:rsid w:val="004E3AE0"/>
    <w:rsid w:val="004E3C31"/>
    <w:rsid w:val="004E3C4D"/>
    <w:rsid w:val="004E3CF1"/>
    <w:rsid w:val="004E3D9F"/>
    <w:rsid w:val="004E3DBA"/>
    <w:rsid w:val="004E40D8"/>
    <w:rsid w:val="004E4440"/>
    <w:rsid w:val="004E44F5"/>
    <w:rsid w:val="004E4560"/>
    <w:rsid w:val="004E488E"/>
    <w:rsid w:val="004E491E"/>
    <w:rsid w:val="004E4934"/>
    <w:rsid w:val="004E4985"/>
    <w:rsid w:val="004E4992"/>
    <w:rsid w:val="004E4BF2"/>
    <w:rsid w:val="004E4C2C"/>
    <w:rsid w:val="004E4C70"/>
    <w:rsid w:val="004E4EBB"/>
    <w:rsid w:val="004E5264"/>
    <w:rsid w:val="004E53EF"/>
    <w:rsid w:val="004E562B"/>
    <w:rsid w:val="004E5708"/>
    <w:rsid w:val="004E5B88"/>
    <w:rsid w:val="004E5FCE"/>
    <w:rsid w:val="004E61DB"/>
    <w:rsid w:val="004E6314"/>
    <w:rsid w:val="004E6607"/>
    <w:rsid w:val="004E6609"/>
    <w:rsid w:val="004E6691"/>
    <w:rsid w:val="004E68E4"/>
    <w:rsid w:val="004E6B4F"/>
    <w:rsid w:val="004E723F"/>
    <w:rsid w:val="004E76E4"/>
    <w:rsid w:val="004E7748"/>
    <w:rsid w:val="004E79C7"/>
    <w:rsid w:val="004E7D52"/>
    <w:rsid w:val="004E7E0F"/>
    <w:rsid w:val="004E7E5D"/>
    <w:rsid w:val="004E7E67"/>
    <w:rsid w:val="004E7ECF"/>
    <w:rsid w:val="004E7F9C"/>
    <w:rsid w:val="004E7FFE"/>
    <w:rsid w:val="004F001F"/>
    <w:rsid w:val="004F0265"/>
    <w:rsid w:val="004F02CA"/>
    <w:rsid w:val="004F02CE"/>
    <w:rsid w:val="004F02EC"/>
    <w:rsid w:val="004F0463"/>
    <w:rsid w:val="004F0569"/>
    <w:rsid w:val="004F05B4"/>
    <w:rsid w:val="004F08D0"/>
    <w:rsid w:val="004F0AB9"/>
    <w:rsid w:val="004F0BAF"/>
    <w:rsid w:val="004F0CDF"/>
    <w:rsid w:val="004F0FC2"/>
    <w:rsid w:val="004F117B"/>
    <w:rsid w:val="004F127A"/>
    <w:rsid w:val="004F13CB"/>
    <w:rsid w:val="004F13E1"/>
    <w:rsid w:val="004F149A"/>
    <w:rsid w:val="004F156F"/>
    <w:rsid w:val="004F1584"/>
    <w:rsid w:val="004F1B30"/>
    <w:rsid w:val="004F1B36"/>
    <w:rsid w:val="004F1B6E"/>
    <w:rsid w:val="004F1BF2"/>
    <w:rsid w:val="004F1CC9"/>
    <w:rsid w:val="004F1D2A"/>
    <w:rsid w:val="004F1DCC"/>
    <w:rsid w:val="004F2001"/>
    <w:rsid w:val="004F2056"/>
    <w:rsid w:val="004F2087"/>
    <w:rsid w:val="004F2306"/>
    <w:rsid w:val="004F23B0"/>
    <w:rsid w:val="004F2470"/>
    <w:rsid w:val="004F26BC"/>
    <w:rsid w:val="004F280F"/>
    <w:rsid w:val="004F2D69"/>
    <w:rsid w:val="004F2FC8"/>
    <w:rsid w:val="004F3056"/>
    <w:rsid w:val="004F31EA"/>
    <w:rsid w:val="004F36EA"/>
    <w:rsid w:val="004F3797"/>
    <w:rsid w:val="004F379C"/>
    <w:rsid w:val="004F3921"/>
    <w:rsid w:val="004F3A0F"/>
    <w:rsid w:val="004F3AFD"/>
    <w:rsid w:val="004F3CE5"/>
    <w:rsid w:val="004F40C4"/>
    <w:rsid w:val="004F42F7"/>
    <w:rsid w:val="004F44DF"/>
    <w:rsid w:val="004F4563"/>
    <w:rsid w:val="004F45EE"/>
    <w:rsid w:val="004F4651"/>
    <w:rsid w:val="004F4777"/>
    <w:rsid w:val="004F4930"/>
    <w:rsid w:val="004F4B02"/>
    <w:rsid w:val="004F4C00"/>
    <w:rsid w:val="004F4CC9"/>
    <w:rsid w:val="004F4D26"/>
    <w:rsid w:val="004F4EFA"/>
    <w:rsid w:val="004F5246"/>
    <w:rsid w:val="004F52B2"/>
    <w:rsid w:val="004F545C"/>
    <w:rsid w:val="004F5474"/>
    <w:rsid w:val="004F550A"/>
    <w:rsid w:val="004F5511"/>
    <w:rsid w:val="004F554B"/>
    <w:rsid w:val="004F55C0"/>
    <w:rsid w:val="004F576D"/>
    <w:rsid w:val="004F57E1"/>
    <w:rsid w:val="004F5824"/>
    <w:rsid w:val="004F5E21"/>
    <w:rsid w:val="004F5F54"/>
    <w:rsid w:val="004F613C"/>
    <w:rsid w:val="004F61D0"/>
    <w:rsid w:val="004F6426"/>
    <w:rsid w:val="004F64E9"/>
    <w:rsid w:val="004F679A"/>
    <w:rsid w:val="004F685E"/>
    <w:rsid w:val="004F6B1B"/>
    <w:rsid w:val="004F6B91"/>
    <w:rsid w:val="004F6E64"/>
    <w:rsid w:val="004F6E6A"/>
    <w:rsid w:val="004F700C"/>
    <w:rsid w:val="004F7352"/>
    <w:rsid w:val="004F75A0"/>
    <w:rsid w:val="004F7730"/>
    <w:rsid w:val="004F77B7"/>
    <w:rsid w:val="004F7949"/>
    <w:rsid w:val="004F7B18"/>
    <w:rsid w:val="004F7C2A"/>
    <w:rsid w:val="004F7D7F"/>
    <w:rsid w:val="004F7E17"/>
    <w:rsid w:val="004F7EE3"/>
    <w:rsid w:val="0050015F"/>
    <w:rsid w:val="005001A8"/>
    <w:rsid w:val="0050028C"/>
    <w:rsid w:val="005003DA"/>
    <w:rsid w:val="00500475"/>
    <w:rsid w:val="005006D7"/>
    <w:rsid w:val="00500711"/>
    <w:rsid w:val="0050073C"/>
    <w:rsid w:val="005007A5"/>
    <w:rsid w:val="005007F3"/>
    <w:rsid w:val="005008FA"/>
    <w:rsid w:val="00500AC3"/>
    <w:rsid w:val="00500AC5"/>
    <w:rsid w:val="00500C7F"/>
    <w:rsid w:val="00500CC8"/>
    <w:rsid w:val="00500CF7"/>
    <w:rsid w:val="00500EFE"/>
    <w:rsid w:val="0050127E"/>
    <w:rsid w:val="005015AB"/>
    <w:rsid w:val="005017F1"/>
    <w:rsid w:val="00501837"/>
    <w:rsid w:val="0050190C"/>
    <w:rsid w:val="00501935"/>
    <w:rsid w:val="00501B26"/>
    <w:rsid w:val="00502185"/>
    <w:rsid w:val="00502192"/>
    <w:rsid w:val="0050221B"/>
    <w:rsid w:val="0050231E"/>
    <w:rsid w:val="00502345"/>
    <w:rsid w:val="0050234B"/>
    <w:rsid w:val="0050255F"/>
    <w:rsid w:val="005025A1"/>
    <w:rsid w:val="0050268D"/>
    <w:rsid w:val="00502872"/>
    <w:rsid w:val="005028D8"/>
    <w:rsid w:val="00502B9A"/>
    <w:rsid w:val="00502BAD"/>
    <w:rsid w:val="00502D87"/>
    <w:rsid w:val="00502EF1"/>
    <w:rsid w:val="00502F36"/>
    <w:rsid w:val="00502F7E"/>
    <w:rsid w:val="00502F8F"/>
    <w:rsid w:val="00502FB3"/>
    <w:rsid w:val="00502FC8"/>
    <w:rsid w:val="00503127"/>
    <w:rsid w:val="005031E2"/>
    <w:rsid w:val="00503306"/>
    <w:rsid w:val="00503399"/>
    <w:rsid w:val="00503489"/>
    <w:rsid w:val="00503507"/>
    <w:rsid w:val="00503B85"/>
    <w:rsid w:val="00503F74"/>
    <w:rsid w:val="00503F93"/>
    <w:rsid w:val="00503FDA"/>
    <w:rsid w:val="005040C8"/>
    <w:rsid w:val="0050415F"/>
    <w:rsid w:val="00504175"/>
    <w:rsid w:val="00504192"/>
    <w:rsid w:val="00504259"/>
    <w:rsid w:val="0050495D"/>
    <w:rsid w:val="00504991"/>
    <w:rsid w:val="00504B33"/>
    <w:rsid w:val="00504BDE"/>
    <w:rsid w:val="00504CEB"/>
    <w:rsid w:val="00504D38"/>
    <w:rsid w:val="00504DEA"/>
    <w:rsid w:val="00504E91"/>
    <w:rsid w:val="00504FE1"/>
    <w:rsid w:val="0050513E"/>
    <w:rsid w:val="0050532F"/>
    <w:rsid w:val="005053A5"/>
    <w:rsid w:val="00505441"/>
    <w:rsid w:val="0050556C"/>
    <w:rsid w:val="005057EB"/>
    <w:rsid w:val="00505AD7"/>
    <w:rsid w:val="00505AF9"/>
    <w:rsid w:val="00505B07"/>
    <w:rsid w:val="00505CD2"/>
    <w:rsid w:val="00505E52"/>
    <w:rsid w:val="00506174"/>
    <w:rsid w:val="0050644B"/>
    <w:rsid w:val="0050659E"/>
    <w:rsid w:val="00506742"/>
    <w:rsid w:val="005068B6"/>
    <w:rsid w:val="0050690B"/>
    <w:rsid w:val="005069B7"/>
    <w:rsid w:val="00506A5A"/>
    <w:rsid w:val="00506C42"/>
    <w:rsid w:val="00506C55"/>
    <w:rsid w:val="00506CB9"/>
    <w:rsid w:val="00506D51"/>
    <w:rsid w:val="00506D56"/>
    <w:rsid w:val="00506D9C"/>
    <w:rsid w:val="00506E47"/>
    <w:rsid w:val="005070D1"/>
    <w:rsid w:val="00507216"/>
    <w:rsid w:val="00507266"/>
    <w:rsid w:val="005073AB"/>
    <w:rsid w:val="005075FE"/>
    <w:rsid w:val="00507667"/>
    <w:rsid w:val="0050774C"/>
    <w:rsid w:val="00507778"/>
    <w:rsid w:val="005078BC"/>
    <w:rsid w:val="005079C3"/>
    <w:rsid w:val="005079E1"/>
    <w:rsid w:val="00507A49"/>
    <w:rsid w:val="00507AEA"/>
    <w:rsid w:val="00507B61"/>
    <w:rsid w:val="00507C43"/>
    <w:rsid w:val="00507C5F"/>
    <w:rsid w:val="00507CA3"/>
    <w:rsid w:val="00507ED0"/>
    <w:rsid w:val="00507F5D"/>
    <w:rsid w:val="0051007E"/>
    <w:rsid w:val="005102A2"/>
    <w:rsid w:val="005103F0"/>
    <w:rsid w:val="00510933"/>
    <w:rsid w:val="00510A0B"/>
    <w:rsid w:val="00510A3B"/>
    <w:rsid w:val="00510B7D"/>
    <w:rsid w:val="00510B9D"/>
    <w:rsid w:val="00510D33"/>
    <w:rsid w:val="00510D3C"/>
    <w:rsid w:val="00510EB0"/>
    <w:rsid w:val="00510EB5"/>
    <w:rsid w:val="00510F1B"/>
    <w:rsid w:val="00510FA7"/>
    <w:rsid w:val="00511447"/>
    <w:rsid w:val="005114B5"/>
    <w:rsid w:val="0051177E"/>
    <w:rsid w:val="005117BC"/>
    <w:rsid w:val="0051185D"/>
    <w:rsid w:val="00511A45"/>
    <w:rsid w:val="00511AAD"/>
    <w:rsid w:val="00511F2A"/>
    <w:rsid w:val="0051210A"/>
    <w:rsid w:val="0051217B"/>
    <w:rsid w:val="005123F4"/>
    <w:rsid w:val="00512666"/>
    <w:rsid w:val="0051266D"/>
    <w:rsid w:val="00512991"/>
    <w:rsid w:val="00512B6B"/>
    <w:rsid w:val="00512E0A"/>
    <w:rsid w:val="00512EF6"/>
    <w:rsid w:val="00512F1C"/>
    <w:rsid w:val="005131EE"/>
    <w:rsid w:val="00513217"/>
    <w:rsid w:val="005134B7"/>
    <w:rsid w:val="005135F8"/>
    <w:rsid w:val="00513900"/>
    <w:rsid w:val="005139D9"/>
    <w:rsid w:val="00513BDF"/>
    <w:rsid w:val="00513C87"/>
    <w:rsid w:val="00514071"/>
    <w:rsid w:val="00514605"/>
    <w:rsid w:val="005146F4"/>
    <w:rsid w:val="00514722"/>
    <w:rsid w:val="005147DB"/>
    <w:rsid w:val="005148DE"/>
    <w:rsid w:val="00514F62"/>
    <w:rsid w:val="00515139"/>
    <w:rsid w:val="00515189"/>
    <w:rsid w:val="005151E9"/>
    <w:rsid w:val="00515359"/>
    <w:rsid w:val="00515558"/>
    <w:rsid w:val="00515618"/>
    <w:rsid w:val="005158D9"/>
    <w:rsid w:val="005158EB"/>
    <w:rsid w:val="0051591B"/>
    <w:rsid w:val="005159DC"/>
    <w:rsid w:val="00515B20"/>
    <w:rsid w:val="00515D25"/>
    <w:rsid w:val="00515E52"/>
    <w:rsid w:val="00515FBD"/>
    <w:rsid w:val="0051609C"/>
    <w:rsid w:val="00516104"/>
    <w:rsid w:val="0051621A"/>
    <w:rsid w:val="00516519"/>
    <w:rsid w:val="0051685D"/>
    <w:rsid w:val="0051692A"/>
    <w:rsid w:val="0051713C"/>
    <w:rsid w:val="005171B5"/>
    <w:rsid w:val="00517341"/>
    <w:rsid w:val="005174AA"/>
    <w:rsid w:val="0051755C"/>
    <w:rsid w:val="005176DD"/>
    <w:rsid w:val="00517918"/>
    <w:rsid w:val="00517C42"/>
    <w:rsid w:val="00517D47"/>
    <w:rsid w:val="00520242"/>
    <w:rsid w:val="00520320"/>
    <w:rsid w:val="005203BD"/>
    <w:rsid w:val="005203E7"/>
    <w:rsid w:val="005204AD"/>
    <w:rsid w:val="0052057A"/>
    <w:rsid w:val="0052068F"/>
    <w:rsid w:val="005209CF"/>
    <w:rsid w:val="00520A28"/>
    <w:rsid w:val="00520A41"/>
    <w:rsid w:val="00520A81"/>
    <w:rsid w:val="00520C14"/>
    <w:rsid w:val="00520CE5"/>
    <w:rsid w:val="00520EAC"/>
    <w:rsid w:val="00520F69"/>
    <w:rsid w:val="005211A9"/>
    <w:rsid w:val="005213AD"/>
    <w:rsid w:val="005216B1"/>
    <w:rsid w:val="00521B03"/>
    <w:rsid w:val="00521D89"/>
    <w:rsid w:val="00521DFA"/>
    <w:rsid w:val="00522006"/>
    <w:rsid w:val="00522063"/>
    <w:rsid w:val="00522129"/>
    <w:rsid w:val="00522321"/>
    <w:rsid w:val="005223F1"/>
    <w:rsid w:val="005225F8"/>
    <w:rsid w:val="005226D9"/>
    <w:rsid w:val="005228D1"/>
    <w:rsid w:val="00522AA9"/>
    <w:rsid w:val="00522AAA"/>
    <w:rsid w:val="00522AF7"/>
    <w:rsid w:val="00522D03"/>
    <w:rsid w:val="00522E4A"/>
    <w:rsid w:val="00522F5A"/>
    <w:rsid w:val="00523020"/>
    <w:rsid w:val="0052309A"/>
    <w:rsid w:val="005230C9"/>
    <w:rsid w:val="005230F8"/>
    <w:rsid w:val="00523164"/>
    <w:rsid w:val="0052329E"/>
    <w:rsid w:val="005232B2"/>
    <w:rsid w:val="00523559"/>
    <w:rsid w:val="00523572"/>
    <w:rsid w:val="00523692"/>
    <w:rsid w:val="00523727"/>
    <w:rsid w:val="00523B4F"/>
    <w:rsid w:val="00523FD2"/>
    <w:rsid w:val="0052400F"/>
    <w:rsid w:val="00524026"/>
    <w:rsid w:val="0052434B"/>
    <w:rsid w:val="0052444B"/>
    <w:rsid w:val="005245AC"/>
    <w:rsid w:val="0052460E"/>
    <w:rsid w:val="00524654"/>
    <w:rsid w:val="00524A83"/>
    <w:rsid w:val="00524AF6"/>
    <w:rsid w:val="00524C48"/>
    <w:rsid w:val="00524C9C"/>
    <w:rsid w:val="00524E2F"/>
    <w:rsid w:val="00524F44"/>
    <w:rsid w:val="005251DE"/>
    <w:rsid w:val="005252CF"/>
    <w:rsid w:val="005254D5"/>
    <w:rsid w:val="00525561"/>
    <w:rsid w:val="00525769"/>
    <w:rsid w:val="005258FE"/>
    <w:rsid w:val="005259B9"/>
    <w:rsid w:val="00525A42"/>
    <w:rsid w:val="00525BFD"/>
    <w:rsid w:val="00525C03"/>
    <w:rsid w:val="00525C4E"/>
    <w:rsid w:val="00525CE0"/>
    <w:rsid w:val="00525D41"/>
    <w:rsid w:val="00525DD5"/>
    <w:rsid w:val="0052606E"/>
    <w:rsid w:val="005260DB"/>
    <w:rsid w:val="0052622E"/>
    <w:rsid w:val="005262E4"/>
    <w:rsid w:val="005264E6"/>
    <w:rsid w:val="00526586"/>
    <w:rsid w:val="005266F7"/>
    <w:rsid w:val="005267B5"/>
    <w:rsid w:val="00526832"/>
    <w:rsid w:val="00526926"/>
    <w:rsid w:val="00526982"/>
    <w:rsid w:val="00526D21"/>
    <w:rsid w:val="00526DCB"/>
    <w:rsid w:val="00526F39"/>
    <w:rsid w:val="0052705B"/>
    <w:rsid w:val="00527204"/>
    <w:rsid w:val="00527247"/>
    <w:rsid w:val="005273B2"/>
    <w:rsid w:val="005275C4"/>
    <w:rsid w:val="0052762D"/>
    <w:rsid w:val="00527737"/>
    <w:rsid w:val="005277EC"/>
    <w:rsid w:val="005278B5"/>
    <w:rsid w:val="005279FB"/>
    <w:rsid w:val="00527A18"/>
    <w:rsid w:val="00527CAE"/>
    <w:rsid w:val="00527D20"/>
    <w:rsid w:val="00530288"/>
    <w:rsid w:val="005302CC"/>
    <w:rsid w:val="005305E8"/>
    <w:rsid w:val="00530B0E"/>
    <w:rsid w:val="00530BF0"/>
    <w:rsid w:val="00530CEC"/>
    <w:rsid w:val="005310CA"/>
    <w:rsid w:val="0053115D"/>
    <w:rsid w:val="0053128C"/>
    <w:rsid w:val="00531466"/>
    <w:rsid w:val="0053148C"/>
    <w:rsid w:val="0053171F"/>
    <w:rsid w:val="005317B6"/>
    <w:rsid w:val="0053181C"/>
    <w:rsid w:val="005318C4"/>
    <w:rsid w:val="00531AA8"/>
    <w:rsid w:val="00531AC5"/>
    <w:rsid w:val="00531D27"/>
    <w:rsid w:val="00532113"/>
    <w:rsid w:val="005324CB"/>
    <w:rsid w:val="0053287D"/>
    <w:rsid w:val="00532C50"/>
    <w:rsid w:val="00532CDB"/>
    <w:rsid w:val="00532EE6"/>
    <w:rsid w:val="0053303C"/>
    <w:rsid w:val="005330BB"/>
    <w:rsid w:val="005330D1"/>
    <w:rsid w:val="005330FC"/>
    <w:rsid w:val="00533212"/>
    <w:rsid w:val="005332BA"/>
    <w:rsid w:val="00533317"/>
    <w:rsid w:val="00533356"/>
    <w:rsid w:val="0053345C"/>
    <w:rsid w:val="00533676"/>
    <w:rsid w:val="005336CF"/>
    <w:rsid w:val="0053377F"/>
    <w:rsid w:val="0053379D"/>
    <w:rsid w:val="00533A38"/>
    <w:rsid w:val="00533BE6"/>
    <w:rsid w:val="00533E57"/>
    <w:rsid w:val="00533EEA"/>
    <w:rsid w:val="00533F96"/>
    <w:rsid w:val="00533FD4"/>
    <w:rsid w:val="005340A9"/>
    <w:rsid w:val="005342D7"/>
    <w:rsid w:val="00534483"/>
    <w:rsid w:val="0053451A"/>
    <w:rsid w:val="00534581"/>
    <w:rsid w:val="00534846"/>
    <w:rsid w:val="0053488F"/>
    <w:rsid w:val="00534DB0"/>
    <w:rsid w:val="00535011"/>
    <w:rsid w:val="00535291"/>
    <w:rsid w:val="0053539F"/>
    <w:rsid w:val="00535574"/>
    <w:rsid w:val="005355CD"/>
    <w:rsid w:val="005357FB"/>
    <w:rsid w:val="00535AC7"/>
    <w:rsid w:val="00535B97"/>
    <w:rsid w:val="00535BEB"/>
    <w:rsid w:val="00535BEC"/>
    <w:rsid w:val="00535C42"/>
    <w:rsid w:val="00535D93"/>
    <w:rsid w:val="0053601B"/>
    <w:rsid w:val="0053610D"/>
    <w:rsid w:val="005361B5"/>
    <w:rsid w:val="00536271"/>
    <w:rsid w:val="00536397"/>
    <w:rsid w:val="005364BD"/>
    <w:rsid w:val="00536561"/>
    <w:rsid w:val="00536858"/>
    <w:rsid w:val="00536BCA"/>
    <w:rsid w:val="00536F1E"/>
    <w:rsid w:val="00537055"/>
    <w:rsid w:val="005371D9"/>
    <w:rsid w:val="005371ED"/>
    <w:rsid w:val="00537362"/>
    <w:rsid w:val="005373E9"/>
    <w:rsid w:val="005378FD"/>
    <w:rsid w:val="0053790C"/>
    <w:rsid w:val="00537A0E"/>
    <w:rsid w:val="00537A73"/>
    <w:rsid w:val="00537CB2"/>
    <w:rsid w:val="00537E56"/>
    <w:rsid w:val="00540044"/>
    <w:rsid w:val="00540072"/>
    <w:rsid w:val="005400BD"/>
    <w:rsid w:val="00540381"/>
    <w:rsid w:val="00540427"/>
    <w:rsid w:val="00540719"/>
    <w:rsid w:val="00540882"/>
    <w:rsid w:val="005409EB"/>
    <w:rsid w:val="00540B23"/>
    <w:rsid w:val="00540EC4"/>
    <w:rsid w:val="00541061"/>
    <w:rsid w:val="005410B3"/>
    <w:rsid w:val="005411FA"/>
    <w:rsid w:val="00541283"/>
    <w:rsid w:val="005414C9"/>
    <w:rsid w:val="005415A4"/>
    <w:rsid w:val="005416EC"/>
    <w:rsid w:val="00541954"/>
    <w:rsid w:val="00541AE1"/>
    <w:rsid w:val="00541DBA"/>
    <w:rsid w:val="00541E77"/>
    <w:rsid w:val="00541F15"/>
    <w:rsid w:val="0054202B"/>
    <w:rsid w:val="00542196"/>
    <w:rsid w:val="0054247A"/>
    <w:rsid w:val="0054248E"/>
    <w:rsid w:val="00542501"/>
    <w:rsid w:val="00542D5B"/>
    <w:rsid w:val="00542E0C"/>
    <w:rsid w:val="00542EA2"/>
    <w:rsid w:val="00542FF3"/>
    <w:rsid w:val="00543012"/>
    <w:rsid w:val="00543059"/>
    <w:rsid w:val="0054308C"/>
    <w:rsid w:val="0054336C"/>
    <w:rsid w:val="005433B9"/>
    <w:rsid w:val="00543533"/>
    <w:rsid w:val="00543537"/>
    <w:rsid w:val="005435A7"/>
    <w:rsid w:val="005435F2"/>
    <w:rsid w:val="00543810"/>
    <w:rsid w:val="0054388C"/>
    <w:rsid w:val="005439DD"/>
    <w:rsid w:val="00543AEB"/>
    <w:rsid w:val="00543E51"/>
    <w:rsid w:val="00543F35"/>
    <w:rsid w:val="00544090"/>
    <w:rsid w:val="00544317"/>
    <w:rsid w:val="005444E8"/>
    <w:rsid w:val="0054480C"/>
    <w:rsid w:val="00544841"/>
    <w:rsid w:val="00544AED"/>
    <w:rsid w:val="00544BC7"/>
    <w:rsid w:val="00544C3F"/>
    <w:rsid w:val="00544DE1"/>
    <w:rsid w:val="00544ECE"/>
    <w:rsid w:val="00544FFE"/>
    <w:rsid w:val="005451BC"/>
    <w:rsid w:val="00545383"/>
    <w:rsid w:val="005453AB"/>
    <w:rsid w:val="005453C6"/>
    <w:rsid w:val="005453E6"/>
    <w:rsid w:val="0054547D"/>
    <w:rsid w:val="0054566B"/>
    <w:rsid w:val="005459E5"/>
    <w:rsid w:val="00545DD8"/>
    <w:rsid w:val="00545E84"/>
    <w:rsid w:val="0054600F"/>
    <w:rsid w:val="00546094"/>
    <w:rsid w:val="0054644D"/>
    <w:rsid w:val="00546859"/>
    <w:rsid w:val="00546ACF"/>
    <w:rsid w:val="00546BB3"/>
    <w:rsid w:val="00546DB7"/>
    <w:rsid w:val="00547610"/>
    <w:rsid w:val="00547669"/>
    <w:rsid w:val="00547702"/>
    <w:rsid w:val="0054781A"/>
    <w:rsid w:val="0054782C"/>
    <w:rsid w:val="0054786C"/>
    <w:rsid w:val="005478B2"/>
    <w:rsid w:val="0054798E"/>
    <w:rsid w:val="00547D4C"/>
    <w:rsid w:val="00547E54"/>
    <w:rsid w:val="00547F29"/>
    <w:rsid w:val="00547F2C"/>
    <w:rsid w:val="00547FC9"/>
    <w:rsid w:val="00550BC1"/>
    <w:rsid w:val="00550F24"/>
    <w:rsid w:val="005510CD"/>
    <w:rsid w:val="0055114A"/>
    <w:rsid w:val="00551374"/>
    <w:rsid w:val="005516D7"/>
    <w:rsid w:val="005517A9"/>
    <w:rsid w:val="005517D5"/>
    <w:rsid w:val="005518BE"/>
    <w:rsid w:val="00551AB6"/>
    <w:rsid w:val="00551B55"/>
    <w:rsid w:val="00551C1C"/>
    <w:rsid w:val="00551C49"/>
    <w:rsid w:val="00551C7D"/>
    <w:rsid w:val="00551D9D"/>
    <w:rsid w:val="00551ED8"/>
    <w:rsid w:val="00551EF4"/>
    <w:rsid w:val="00551F69"/>
    <w:rsid w:val="00551F84"/>
    <w:rsid w:val="00551F9F"/>
    <w:rsid w:val="0055282A"/>
    <w:rsid w:val="005528B6"/>
    <w:rsid w:val="005528E2"/>
    <w:rsid w:val="00552AF3"/>
    <w:rsid w:val="00552C03"/>
    <w:rsid w:val="0055313E"/>
    <w:rsid w:val="0055315E"/>
    <w:rsid w:val="0055324E"/>
    <w:rsid w:val="005532AA"/>
    <w:rsid w:val="00553351"/>
    <w:rsid w:val="005536E4"/>
    <w:rsid w:val="0055374E"/>
    <w:rsid w:val="00553A8F"/>
    <w:rsid w:val="00553BC4"/>
    <w:rsid w:val="00553F2F"/>
    <w:rsid w:val="0055424B"/>
    <w:rsid w:val="00554318"/>
    <w:rsid w:val="00554357"/>
    <w:rsid w:val="00554467"/>
    <w:rsid w:val="005545E2"/>
    <w:rsid w:val="00554656"/>
    <w:rsid w:val="005546C1"/>
    <w:rsid w:val="00554BF4"/>
    <w:rsid w:val="0055501B"/>
    <w:rsid w:val="00555040"/>
    <w:rsid w:val="0055505A"/>
    <w:rsid w:val="0055506B"/>
    <w:rsid w:val="0055527F"/>
    <w:rsid w:val="005553C2"/>
    <w:rsid w:val="00555518"/>
    <w:rsid w:val="00555A60"/>
    <w:rsid w:val="00555EC7"/>
    <w:rsid w:val="00556067"/>
    <w:rsid w:val="005561E1"/>
    <w:rsid w:val="005563EC"/>
    <w:rsid w:val="00556416"/>
    <w:rsid w:val="00556528"/>
    <w:rsid w:val="0055677A"/>
    <w:rsid w:val="005568C0"/>
    <w:rsid w:val="005568FF"/>
    <w:rsid w:val="005569B1"/>
    <w:rsid w:val="00556C05"/>
    <w:rsid w:val="00556C78"/>
    <w:rsid w:val="00556EE7"/>
    <w:rsid w:val="00556F58"/>
    <w:rsid w:val="0055717E"/>
    <w:rsid w:val="00557504"/>
    <w:rsid w:val="00557568"/>
    <w:rsid w:val="00557675"/>
    <w:rsid w:val="00557808"/>
    <w:rsid w:val="0055791A"/>
    <w:rsid w:val="00557A73"/>
    <w:rsid w:val="00557C55"/>
    <w:rsid w:val="00557C8E"/>
    <w:rsid w:val="00557C92"/>
    <w:rsid w:val="00557E41"/>
    <w:rsid w:val="00557E88"/>
    <w:rsid w:val="0056020C"/>
    <w:rsid w:val="005602B8"/>
    <w:rsid w:val="00560324"/>
    <w:rsid w:val="005603BF"/>
    <w:rsid w:val="005604AD"/>
    <w:rsid w:val="00560541"/>
    <w:rsid w:val="005607C1"/>
    <w:rsid w:val="00560876"/>
    <w:rsid w:val="00560C38"/>
    <w:rsid w:val="00560D9B"/>
    <w:rsid w:val="0056116F"/>
    <w:rsid w:val="00561245"/>
    <w:rsid w:val="005613C3"/>
    <w:rsid w:val="0056141B"/>
    <w:rsid w:val="005614CA"/>
    <w:rsid w:val="005619B2"/>
    <w:rsid w:val="00561A6C"/>
    <w:rsid w:val="00561A6E"/>
    <w:rsid w:val="00561D8C"/>
    <w:rsid w:val="00561E45"/>
    <w:rsid w:val="00561F1E"/>
    <w:rsid w:val="0056212E"/>
    <w:rsid w:val="00562147"/>
    <w:rsid w:val="00562299"/>
    <w:rsid w:val="00562436"/>
    <w:rsid w:val="00562662"/>
    <w:rsid w:val="00562689"/>
    <w:rsid w:val="00562691"/>
    <w:rsid w:val="005626A3"/>
    <w:rsid w:val="00562AFF"/>
    <w:rsid w:val="00562B86"/>
    <w:rsid w:val="00562BED"/>
    <w:rsid w:val="00562D81"/>
    <w:rsid w:val="00562E3B"/>
    <w:rsid w:val="00562E9A"/>
    <w:rsid w:val="00562FA6"/>
    <w:rsid w:val="00563159"/>
    <w:rsid w:val="00563160"/>
    <w:rsid w:val="005631B3"/>
    <w:rsid w:val="00563475"/>
    <w:rsid w:val="0056355C"/>
    <w:rsid w:val="00563664"/>
    <w:rsid w:val="005636D1"/>
    <w:rsid w:val="0056374C"/>
    <w:rsid w:val="00563795"/>
    <w:rsid w:val="00563900"/>
    <w:rsid w:val="005639C0"/>
    <w:rsid w:val="00563B79"/>
    <w:rsid w:val="00563C0A"/>
    <w:rsid w:val="00563C1F"/>
    <w:rsid w:val="00563C7B"/>
    <w:rsid w:val="00563D2E"/>
    <w:rsid w:val="00563D6F"/>
    <w:rsid w:val="00563D9D"/>
    <w:rsid w:val="00564066"/>
    <w:rsid w:val="00564089"/>
    <w:rsid w:val="00564155"/>
    <w:rsid w:val="0056444C"/>
    <w:rsid w:val="00564586"/>
    <w:rsid w:val="005645D2"/>
    <w:rsid w:val="0056480B"/>
    <w:rsid w:val="00564811"/>
    <w:rsid w:val="005649A5"/>
    <w:rsid w:val="005649E3"/>
    <w:rsid w:val="00564A3F"/>
    <w:rsid w:val="00564CAA"/>
    <w:rsid w:val="00564E2D"/>
    <w:rsid w:val="005650CB"/>
    <w:rsid w:val="005651D2"/>
    <w:rsid w:val="0056523D"/>
    <w:rsid w:val="005656FE"/>
    <w:rsid w:val="00565919"/>
    <w:rsid w:val="00565B1C"/>
    <w:rsid w:val="00565D0A"/>
    <w:rsid w:val="00565E07"/>
    <w:rsid w:val="00565FA1"/>
    <w:rsid w:val="0056618D"/>
    <w:rsid w:val="00566499"/>
    <w:rsid w:val="0056663C"/>
    <w:rsid w:val="00566750"/>
    <w:rsid w:val="005669D7"/>
    <w:rsid w:val="00566A4C"/>
    <w:rsid w:val="00566A85"/>
    <w:rsid w:val="00566B68"/>
    <w:rsid w:val="00566EEE"/>
    <w:rsid w:val="005670ED"/>
    <w:rsid w:val="005672C2"/>
    <w:rsid w:val="00567410"/>
    <w:rsid w:val="00567642"/>
    <w:rsid w:val="00567675"/>
    <w:rsid w:val="00567CA1"/>
    <w:rsid w:val="00567CE0"/>
    <w:rsid w:val="00567F60"/>
    <w:rsid w:val="00567FAC"/>
    <w:rsid w:val="00570291"/>
    <w:rsid w:val="005702CF"/>
    <w:rsid w:val="00570550"/>
    <w:rsid w:val="00570648"/>
    <w:rsid w:val="00570690"/>
    <w:rsid w:val="005708B1"/>
    <w:rsid w:val="0057092C"/>
    <w:rsid w:val="00570977"/>
    <w:rsid w:val="00570BE4"/>
    <w:rsid w:val="00570C03"/>
    <w:rsid w:val="00570C66"/>
    <w:rsid w:val="00570C69"/>
    <w:rsid w:val="00570F1D"/>
    <w:rsid w:val="00571081"/>
    <w:rsid w:val="00571240"/>
    <w:rsid w:val="00571291"/>
    <w:rsid w:val="005714D6"/>
    <w:rsid w:val="005716F7"/>
    <w:rsid w:val="005717BE"/>
    <w:rsid w:val="00571A48"/>
    <w:rsid w:val="00571B09"/>
    <w:rsid w:val="00571BD3"/>
    <w:rsid w:val="00571D95"/>
    <w:rsid w:val="00571E91"/>
    <w:rsid w:val="00572423"/>
    <w:rsid w:val="00572448"/>
    <w:rsid w:val="00572481"/>
    <w:rsid w:val="00572525"/>
    <w:rsid w:val="0057257F"/>
    <w:rsid w:val="005728A9"/>
    <w:rsid w:val="00572956"/>
    <w:rsid w:val="00572C37"/>
    <w:rsid w:val="00572C98"/>
    <w:rsid w:val="00572D7C"/>
    <w:rsid w:val="00573095"/>
    <w:rsid w:val="0057318D"/>
    <w:rsid w:val="0057327F"/>
    <w:rsid w:val="00573411"/>
    <w:rsid w:val="00573427"/>
    <w:rsid w:val="005734A5"/>
    <w:rsid w:val="00573955"/>
    <w:rsid w:val="005739FE"/>
    <w:rsid w:val="00573AAE"/>
    <w:rsid w:val="00573B76"/>
    <w:rsid w:val="00573F55"/>
    <w:rsid w:val="005741B0"/>
    <w:rsid w:val="0057467B"/>
    <w:rsid w:val="005746E2"/>
    <w:rsid w:val="00574753"/>
    <w:rsid w:val="005747D1"/>
    <w:rsid w:val="005747F4"/>
    <w:rsid w:val="005747F8"/>
    <w:rsid w:val="005748C5"/>
    <w:rsid w:val="005748F3"/>
    <w:rsid w:val="00574AD3"/>
    <w:rsid w:val="00574B2D"/>
    <w:rsid w:val="00574BA4"/>
    <w:rsid w:val="00574CB2"/>
    <w:rsid w:val="00574CB4"/>
    <w:rsid w:val="00574D56"/>
    <w:rsid w:val="00574F5F"/>
    <w:rsid w:val="0057528A"/>
    <w:rsid w:val="005756B5"/>
    <w:rsid w:val="0057573D"/>
    <w:rsid w:val="00575899"/>
    <w:rsid w:val="00575A00"/>
    <w:rsid w:val="00575A0C"/>
    <w:rsid w:val="00575A7C"/>
    <w:rsid w:val="00575C40"/>
    <w:rsid w:val="00576119"/>
    <w:rsid w:val="00576190"/>
    <w:rsid w:val="00576232"/>
    <w:rsid w:val="005762B2"/>
    <w:rsid w:val="005764BF"/>
    <w:rsid w:val="005764EC"/>
    <w:rsid w:val="00576633"/>
    <w:rsid w:val="005766FE"/>
    <w:rsid w:val="0057671D"/>
    <w:rsid w:val="00576CF7"/>
    <w:rsid w:val="00576F77"/>
    <w:rsid w:val="00576FA2"/>
    <w:rsid w:val="00576FDC"/>
    <w:rsid w:val="00577334"/>
    <w:rsid w:val="00577337"/>
    <w:rsid w:val="00577381"/>
    <w:rsid w:val="00577595"/>
    <w:rsid w:val="005775BA"/>
    <w:rsid w:val="00577870"/>
    <w:rsid w:val="00577A85"/>
    <w:rsid w:val="00577DE0"/>
    <w:rsid w:val="00577FF1"/>
    <w:rsid w:val="00580377"/>
    <w:rsid w:val="00580541"/>
    <w:rsid w:val="00580628"/>
    <w:rsid w:val="0058076E"/>
    <w:rsid w:val="00580BE1"/>
    <w:rsid w:val="00580DC6"/>
    <w:rsid w:val="00580F07"/>
    <w:rsid w:val="005810AE"/>
    <w:rsid w:val="00581418"/>
    <w:rsid w:val="005814CF"/>
    <w:rsid w:val="005815B3"/>
    <w:rsid w:val="005816AB"/>
    <w:rsid w:val="00581CCE"/>
    <w:rsid w:val="00581E9C"/>
    <w:rsid w:val="00582116"/>
    <w:rsid w:val="00582312"/>
    <w:rsid w:val="0058235F"/>
    <w:rsid w:val="00582406"/>
    <w:rsid w:val="0058296C"/>
    <w:rsid w:val="00582E28"/>
    <w:rsid w:val="00582FB2"/>
    <w:rsid w:val="005831E9"/>
    <w:rsid w:val="0058387A"/>
    <w:rsid w:val="005839A6"/>
    <w:rsid w:val="00583A6F"/>
    <w:rsid w:val="005842D2"/>
    <w:rsid w:val="00584792"/>
    <w:rsid w:val="005848E3"/>
    <w:rsid w:val="00584979"/>
    <w:rsid w:val="005849B8"/>
    <w:rsid w:val="00584C91"/>
    <w:rsid w:val="00584D7E"/>
    <w:rsid w:val="00584E79"/>
    <w:rsid w:val="0058519B"/>
    <w:rsid w:val="005851DA"/>
    <w:rsid w:val="00585392"/>
    <w:rsid w:val="0058548A"/>
    <w:rsid w:val="0058557B"/>
    <w:rsid w:val="0058558B"/>
    <w:rsid w:val="00585666"/>
    <w:rsid w:val="005858E3"/>
    <w:rsid w:val="005859C1"/>
    <w:rsid w:val="00585CF4"/>
    <w:rsid w:val="00585FBE"/>
    <w:rsid w:val="00585FD9"/>
    <w:rsid w:val="00586197"/>
    <w:rsid w:val="00586428"/>
    <w:rsid w:val="005864AB"/>
    <w:rsid w:val="005864BB"/>
    <w:rsid w:val="00586645"/>
    <w:rsid w:val="00586655"/>
    <w:rsid w:val="00586747"/>
    <w:rsid w:val="005867EB"/>
    <w:rsid w:val="0058680A"/>
    <w:rsid w:val="00586829"/>
    <w:rsid w:val="00586866"/>
    <w:rsid w:val="00586A99"/>
    <w:rsid w:val="00586CA4"/>
    <w:rsid w:val="00586DB7"/>
    <w:rsid w:val="00586DC0"/>
    <w:rsid w:val="00586E6B"/>
    <w:rsid w:val="00586EB1"/>
    <w:rsid w:val="005872B6"/>
    <w:rsid w:val="005872E1"/>
    <w:rsid w:val="0058784E"/>
    <w:rsid w:val="00587A1D"/>
    <w:rsid w:val="00587CB1"/>
    <w:rsid w:val="00587CDC"/>
    <w:rsid w:val="005901AC"/>
    <w:rsid w:val="005901B8"/>
    <w:rsid w:val="005904DA"/>
    <w:rsid w:val="00591093"/>
    <w:rsid w:val="0059118F"/>
    <w:rsid w:val="00591342"/>
    <w:rsid w:val="00591567"/>
    <w:rsid w:val="005917AE"/>
    <w:rsid w:val="0059192E"/>
    <w:rsid w:val="00591DEC"/>
    <w:rsid w:val="00591E72"/>
    <w:rsid w:val="00592009"/>
    <w:rsid w:val="00592026"/>
    <w:rsid w:val="00592277"/>
    <w:rsid w:val="005927D7"/>
    <w:rsid w:val="0059286B"/>
    <w:rsid w:val="005928FA"/>
    <w:rsid w:val="00592970"/>
    <w:rsid w:val="005929A0"/>
    <w:rsid w:val="00592A12"/>
    <w:rsid w:val="00592B0A"/>
    <w:rsid w:val="00592D41"/>
    <w:rsid w:val="00592D57"/>
    <w:rsid w:val="00592D59"/>
    <w:rsid w:val="00592DB9"/>
    <w:rsid w:val="00592DD0"/>
    <w:rsid w:val="00592E90"/>
    <w:rsid w:val="0059321D"/>
    <w:rsid w:val="00593384"/>
    <w:rsid w:val="00593454"/>
    <w:rsid w:val="00593582"/>
    <w:rsid w:val="005935AA"/>
    <w:rsid w:val="005935F0"/>
    <w:rsid w:val="0059381E"/>
    <w:rsid w:val="00593965"/>
    <w:rsid w:val="00593B8F"/>
    <w:rsid w:val="00593ECE"/>
    <w:rsid w:val="00593F34"/>
    <w:rsid w:val="00593F4C"/>
    <w:rsid w:val="00594259"/>
    <w:rsid w:val="005942BF"/>
    <w:rsid w:val="00594381"/>
    <w:rsid w:val="005943AA"/>
    <w:rsid w:val="0059469B"/>
    <w:rsid w:val="005946B6"/>
    <w:rsid w:val="0059486B"/>
    <w:rsid w:val="00594B97"/>
    <w:rsid w:val="00594BF3"/>
    <w:rsid w:val="00594C48"/>
    <w:rsid w:val="00594E99"/>
    <w:rsid w:val="00594F29"/>
    <w:rsid w:val="0059522F"/>
    <w:rsid w:val="005953BA"/>
    <w:rsid w:val="005956A9"/>
    <w:rsid w:val="00595768"/>
    <w:rsid w:val="0059580B"/>
    <w:rsid w:val="0059593F"/>
    <w:rsid w:val="00595D42"/>
    <w:rsid w:val="0059603A"/>
    <w:rsid w:val="0059607A"/>
    <w:rsid w:val="005960E2"/>
    <w:rsid w:val="0059633C"/>
    <w:rsid w:val="0059638F"/>
    <w:rsid w:val="005964F5"/>
    <w:rsid w:val="00596989"/>
    <w:rsid w:val="005969CE"/>
    <w:rsid w:val="00596B9D"/>
    <w:rsid w:val="00596BED"/>
    <w:rsid w:val="00596E73"/>
    <w:rsid w:val="00596EE6"/>
    <w:rsid w:val="005970EF"/>
    <w:rsid w:val="00597178"/>
    <w:rsid w:val="00597313"/>
    <w:rsid w:val="00597450"/>
    <w:rsid w:val="0059777C"/>
    <w:rsid w:val="0059791F"/>
    <w:rsid w:val="00597D4A"/>
    <w:rsid w:val="00597F84"/>
    <w:rsid w:val="00597FB2"/>
    <w:rsid w:val="00597FF9"/>
    <w:rsid w:val="005A0015"/>
    <w:rsid w:val="005A00CE"/>
    <w:rsid w:val="005A00F7"/>
    <w:rsid w:val="005A0286"/>
    <w:rsid w:val="005A0483"/>
    <w:rsid w:val="005A0538"/>
    <w:rsid w:val="005A05C9"/>
    <w:rsid w:val="005A0638"/>
    <w:rsid w:val="005A09A2"/>
    <w:rsid w:val="005A09FD"/>
    <w:rsid w:val="005A0A9B"/>
    <w:rsid w:val="005A0B1E"/>
    <w:rsid w:val="005A0C2F"/>
    <w:rsid w:val="005A0C7C"/>
    <w:rsid w:val="005A0E0E"/>
    <w:rsid w:val="005A0FEB"/>
    <w:rsid w:val="005A1087"/>
    <w:rsid w:val="005A10DA"/>
    <w:rsid w:val="005A11B5"/>
    <w:rsid w:val="005A13ED"/>
    <w:rsid w:val="005A1480"/>
    <w:rsid w:val="005A169E"/>
    <w:rsid w:val="005A1724"/>
    <w:rsid w:val="005A18FD"/>
    <w:rsid w:val="005A19DA"/>
    <w:rsid w:val="005A1D90"/>
    <w:rsid w:val="005A210F"/>
    <w:rsid w:val="005A2353"/>
    <w:rsid w:val="005A23AA"/>
    <w:rsid w:val="005A2485"/>
    <w:rsid w:val="005A25EA"/>
    <w:rsid w:val="005A280E"/>
    <w:rsid w:val="005A2BF7"/>
    <w:rsid w:val="005A2CD1"/>
    <w:rsid w:val="005A2F3D"/>
    <w:rsid w:val="005A306D"/>
    <w:rsid w:val="005A3302"/>
    <w:rsid w:val="005A3466"/>
    <w:rsid w:val="005A349A"/>
    <w:rsid w:val="005A357C"/>
    <w:rsid w:val="005A363D"/>
    <w:rsid w:val="005A38DC"/>
    <w:rsid w:val="005A3D33"/>
    <w:rsid w:val="005A3D5D"/>
    <w:rsid w:val="005A3EEC"/>
    <w:rsid w:val="005A3F24"/>
    <w:rsid w:val="005A47B9"/>
    <w:rsid w:val="005A49F9"/>
    <w:rsid w:val="005A4A14"/>
    <w:rsid w:val="005A4B8A"/>
    <w:rsid w:val="005A4C51"/>
    <w:rsid w:val="005A4D4A"/>
    <w:rsid w:val="005A4E76"/>
    <w:rsid w:val="005A5007"/>
    <w:rsid w:val="005A5067"/>
    <w:rsid w:val="005A54C2"/>
    <w:rsid w:val="005A54FE"/>
    <w:rsid w:val="005A573A"/>
    <w:rsid w:val="005A5A14"/>
    <w:rsid w:val="005A5BE9"/>
    <w:rsid w:val="005A5BEE"/>
    <w:rsid w:val="005A5C79"/>
    <w:rsid w:val="005A5E2C"/>
    <w:rsid w:val="005A5F40"/>
    <w:rsid w:val="005A6037"/>
    <w:rsid w:val="005A609A"/>
    <w:rsid w:val="005A6265"/>
    <w:rsid w:val="005A63E9"/>
    <w:rsid w:val="005A666B"/>
    <w:rsid w:val="005A6760"/>
    <w:rsid w:val="005A67F3"/>
    <w:rsid w:val="005A6828"/>
    <w:rsid w:val="005A6B87"/>
    <w:rsid w:val="005A6B9C"/>
    <w:rsid w:val="005A6C86"/>
    <w:rsid w:val="005A6DAA"/>
    <w:rsid w:val="005A6E79"/>
    <w:rsid w:val="005A6FC6"/>
    <w:rsid w:val="005A7122"/>
    <w:rsid w:val="005A71CA"/>
    <w:rsid w:val="005A71EC"/>
    <w:rsid w:val="005A733B"/>
    <w:rsid w:val="005A751A"/>
    <w:rsid w:val="005A784D"/>
    <w:rsid w:val="005A7A80"/>
    <w:rsid w:val="005A7D59"/>
    <w:rsid w:val="005A7E05"/>
    <w:rsid w:val="005A7F47"/>
    <w:rsid w:val="005A7FE0"/>
    <w:rsid w:val="005B0046"/>
    <w:rsid w:val="005B00A7"/>
    <w:rsid w:val="005B0111"/>
    <w:rsid w:val="005B01E1"/>
    <w:rsid w:val="005B0356"/>
    <w:rsid w:val="005B03CF"/>
    <w:rsid w:val="005B03FF"/>
    <w:rsid w:val="005B04F9"/>
    <w:rsid w:val="005B052D"/>
    <w:rsid w:val="005B0579"/>
    <w:rsid w:val="005B0631"/>
    <w:rsid w:val="005B06B4"/>
    <w:rsid w:val="005B074F"/>
    <w:rsid w:val="005B0AD5"/>
    <w:rsid w:val="005B0D98"/>
    <w:rsid w:val="005B0E43"/>
    <w:rsid w:val="005B0F83"/>
    <w:rsid w:val="005B1030"/>
    <w:rsid w:val="005B1383"/>
    <w:rsid w:val="005B14EA"/>
    <w:rsid w:val="005B1B5C"/>
    <w:rsid w:val="005B1CE6"/>
    <w:rsid w:val="005B1F23"/>
    <w:rsid w:val="005B1F90"/>
    <w:rsid w:val="005B1FE1"/>
    <w:rsid w:val="005B2084"/>
    <w:rsid w:val="005B2271"/>
    <w:rsid w:val="005B24A7"/>
    <w:rsid w:val="005B254C"/>
    <w:rsid w:val="005B25BB"/>
    <w:rsid w:val="005B2966"/>
    <w:rsid w:val="005B2A1F"/>
    <w:rsid w:val="005B2B5E"/>
    <w:rsid w:val="005B2C0D"/>
    <w:rsid w:val="005B2D8F"/>
    <w:rsid w:val="005B2DA0"/>
    <w:rsid w:val="005B3039"/>
    <w:rsid w:val="005B3074"/>
    <w:rsid w:val="005B30D7"/>
    <w:rsid w:val="005B30DD"/>
    <w:rsid w:val="005B3301"/>
    <w:rsid w:val="005B339F"/>
    <w:rsid w:val="005B33BF"/>
    <w:rsid w:val="005B341F"/>
    <w:rsid w:val="005B3537"/>
    <w:rsid w:val="005B4040"/>
    <w:rsid w:val="005B409C"/>
    <w:rsid w:val="005B4226"/>
    <w:rsid w:val="005B426C"/>
    <w:rsid w:val="005B4318"/>
    <w:rsid w:val="005B436A"/>
    <w:rsid w:val="005B44A0"/>
    <w:rsid w:val="005B4A2D"/>
    <w:rsid w:val="005B4A75"/>
    <w:rsid w:val="005B4B8D"/>
    <w:rsid w:val="005B4BE2"/>
    <w:rsid w:val="005B4CF9"/>
    <w:rsid w:val="005B4E35"/>
    <w:rsid w:val="005B4E76"/>
    <w:rsid w:val="005B4F89"/>
    <w:rsid w:val="005B5421"/>
    <w:rsid w:val="005B544B"/>
    <w:rsid w:val="005B54A5"/>
    <w:rsid w:val="005B5590"/>
    <w:rsid w:val="005B56BB"/>
    <w:rsid w:val="005B57B1"/>
    <w:rsid w:val="005B5AA4"/>
    <w:rsid w:val="005B5CAD"/>
    <w:rsid w:val="005B5D60"/>
    <w:rsid w:val="005B5EAE"/>
    <w:rsid w:val="005B5F09"/>
    <w:rsid w:val="005B6016"/>
    <w:rsid w:val="005B61BF"/>
    <w:rsid w:val="005B63B6"/>
    <w:rsid w:val="005B65AF"/>
    <w:rsid w:val="005B66CD"/>
    <w:rsid w:val="005B67E1"/>
    <w:rsid w:val="005B67FF"/>
    <w:rsid w:val="005B6907"/>
    <w:rsid w:val="005B6931"/>
    <w:rsid w:val="005B6989"/>
    <w:rsid w:val="005B6D46"/>
    <w:rsid w:val="005B6EE9"/>
    <w:rsid w:val="005B6F6E"/>
    <w:rsid w:val="005B7053"/>
    <w:rsid w:val="005B7109"/>
    <w:rsid w:val="005B7151"/>
    <w:rsid w:val="005B7422"/>
    <w:rsid w:val="005B7770"/>
    <w:rsid w:val="005B785F"/>
    <w:rsid w:val="005B7E5C"/>
    <w:rsid w:val="005B7F85"/>
    <w:rsid w:val="005C0248"/>
    <w:rsid w:val="005C0359"/>
    <w:rsid w:val="005C03C0"/>
    <w:rsid w:val="005C05C0"/>
    <w:rsid w:val="005C0725"/>
    <w:rsid w:val="005C0A9B"/>
    <w:rsid w:val="005C0C5E"/>
    <w:rsid w:val="005C0C83"/>
    <w:rsid w:val="005C0CBA"/>
    <w:rsid w:val="005C0D4D"/>
    <w:rsid w:val="005C0E1E"/>
    <w:rsid w:val="005C0EDD"/>
    <w:rsid w:val="005C0FD7"/>
    <w:rsid w:val="005C11DA"/>
    <w:rsid w:val="005C1223"/>
    <w:rsid w:val="005C1241"/>
    <w:rsid w:val="005C1532"/>
    <w:rsid w:val="005C1543"/>
    <w:rsid w:val="005C15AC"/>
    <w:rsid w:val="005C18C9"/>
    <w:rsid w:val="005C193A"/>
    <w:rsid w:val="005C1B5C"/>
    <w:rsid w:val="005C1C4D"/>
    <w:rsid w:val="005C1D26"/>
    <w:rsid w:val="005C215A"/>
    <w:rsid w:val="005C2218"/>
    <w:rsid w:val="005C226B"/>
    <w:rsid w:val="005C25AD"/>
    <w:rsid w:val="005C27B6"/>
    <w:rsid w:val="005C2836"/>
    <w:rsid w:val="005C2AD3"/>
    <w:rsid w:val="005C2B01"/>
    <w:rsid w:val="005C2C5E"/>
    <w:rsid w:val="005C2D30"/>
    <w:rsid w:val="005C2F45"/>
    <w:rsid w:val="005C336D"/>
    <w:rsid w:val="005C378B"/>
    <w:rsid w:val="005C3798"/>
    <w:rsid w:val="005C3803"/>
    <w:rsid w:val="005C3880"/>
    <w:rsid w:val="005C388D"/>
    <w:rsid w:val="005C3A29"/>
    <w:rsid w:val="005C3B02"/>
    <w:rsid w:val="005C3B77"/>
    <w:rsid w:val="005C3C5E"/>
    <w:rsid w:val="005C3C9A"/>
    <w:rsid w:val="005C3D7D"/>
    <w:rsid w:val="005C3ED3"/>
    <w:rsid w:val="005C42A0"/>
    <w:rsid w:val="005C4365"/>
    <w:rsid w:val="005C43F0"/>
    <w:rsid w:val="005C4866"/>
    <w:rsid w:val="005C4A2B"/>
    <w:rsid w:val="005C4A82"/>
    <w:rsid w:val="005C4C14"/>
    <w:rsid w:val="005C4C7A"/>
    <w:rsid w:val="005C4D58"/>
    <w:rsid w:val="005C5121"/>
    <w:rsid w:val="005C5208"/>
    <w:rsid w:val="005C5233"/>
    <w:rsid w:val="005C574A"/>
    <w:rsid w:val="005C5825"/>
    <w:rsid w:val="005C5890"/>
    <w:rsid w:val="005C5DD1"/>
    <w:rsid w:val="005C5EDC"/>
    <w:rsid w:val="005C5F7F"/>
    <w:rsid w:val="005C5FAD"/>
    <w:rsid w:val="005C625F"/>
    <w:rsid w:val="005C634A"/>
    <w:rsid w:val="005C654C"/>
    <w:rsid w:val="005C65FD"/>
    <w:rsid w:val="005C6701"/>
    <w:rsid w:val="005C67AE"/>
    <w:rsid w:val="005C68DC"/>
    <w:rsid w:val="005C6A31"/>
    <w:rsid w:val="005C6AC7"/>
    <w:rsid w:val="005C6AFD"/>
    <w:rsid w:val="005C6B28"/>
    <w:rsid w:val="005C6C9D"/>
    <w:rsid w:val="005C6D59"/>
    <w:rsid w:val="005C6D79"/>
    <w:rsid w:val="005C7565"/>
    <w:rsid w:val="005C769E"/>
    <w:rsid w:val="005C7862"/>
    <w:rsid w:val="005C791C"/>
    <w:rsid w:val="005C79A0"/>
    <w:rsid w:val="005C7A82"/>
    <w:rsid w:val="005C7B10"/>
    <w:rsid w:val="005C7B8C"/>
    <w:rsid w:val="005C7D4D"/>
    <w:rsid w:val="005C7E23"/>
    <w:rsid w:val="005C7E47"/>
    <w:rsid w:val="005C7E5F"/>
    <w:rsid w:val="005C7F93"/>
    <w:rsid w:val="005D005F"/>
    <w:rsid w:val="005D0154"/>
    <w:rsid w:val="005D01D5"/>
    <w:rsid w:val="005D05FF"/>
    <w:rsid w:val="005D07B3"/>
    <w:rsid w:val="005D0B6A"/>
    <w:rsid w:val="005D0BF1"/>
    <w:rsid w:val="005D0EB9"/>
    <w:rsid w:val="005D12C5"/>
    <w:rsid w:val="005D13DB"/>
    <w:rsid w:val="005D1479"/>
    <w:rsid w:val="005D150A"/>
    <w:rsid w:val="005D1662"/>
    <w:rsid w:val="005D185A"/>
    <w:rsid w:val="005D1B43"/>
    <w:rsid w:val="005D1B9D"/>
    <w:rsid w:val="005D1DAA"/>
    <w:rsid w:val="005D1DBF"/>
    <w:rsid w:val="005D1E66"/>
    <w:rsid w:val="005D1ECE"/>
    <w:rsid w:val="005D20D7"/>
    <w:rsid w:val="005D213F"/>
    <w:rsid w:val="005D2360"/>
    <w:rsid w:val="005D250D"/>
    <w:rsid w:val="005D2573"/>
    <w:rsid w:val="005D2646"/>
    <w:rsid w:val="005D264C"/>
    <w:rsid w:val="005D2687"/>
    <w:rsid w:val="005D2703"/>
    <w:rsid w:val="005D2734"/>
    <w:rsid w:val="005D28A6"/>
    <w:rsid w:val="005D2C80"/>
    <w:rsid w:val="005D2CAB"/>
    <w:rsid w:val="005D2CC5"/>
    <w:rsid w:val="005D2D58"/>
    <w:rsid w:val="005D2EFE"/>
    <w:rsid w:val="005D2FBB"/>
    <w:rsid w:val="005D3205"/>
    <w:rsid w:val="005D324A"/>
    <w:rsid w:val="005D3434"/>
    <w:rsid w:val="005D34D6"/>
    <w:rsid w:val="005D35F8"/>
    <w:rsid w:val="005D360B"/>
    <w:rsid w:val="005D3677"/>
    <w:rsid w:val="005D3707"/>
    <w:rsid w:val="005D3830"/>
    <w:rsid w:val="005D3832"/>
    <w:rsid w:val="005D393C"/>
    <w:rsid w:val="005D394A"/>
    <w:rsid w:val="005D3A7B"/>
    <w:rsid w:val="005D3DDB"/>
    <w:rsid w:val="005D3DF2"/>
    <w:rsid w:val="005D3ECB"/>
    <w:rsid w:val="005D41F4"/>
    <w:rsid w:val="005D42D4"/>
    <w:rsid w:val="005D442F"/>
    <w:rsid w:val="005D46F9"/>
    <w:rsid w:val="005D4867"/>
    <w:rsid w:val="005D4E45"/>
    <w:rsid w:val="005D4EFF"/>
    <w:rsid w:val="005D5113"/>
    <w:rsid w:val="005D559A"/>
    <w:rsid w:val="005D58AF"/>
    <w:rsid w:val="005D58C4"/>
    <w:rsid w:val="005D599F"/>
    <w:rsid w:val="005D5A08"/>
    <w:rsid w:val="005D5A49"/>
    <w:rsid w:val="005D5E18"/>
    <w:rsid w:val="005D5F23"/>
    <w:rsid w:val="005D6035"/>
    <w:rsid w:val="005D652D"/>
    <w:rsid w:val="005D6651"/>
    <w:rsid w:val="005D6706"/>
    <w:rsid w:val="005D687B"/>
    <w:rsid w:val="005D69B6"/>
    <w:rsid w:val="005D6ACC"/>
    <w:rsid w:val="005D6B68"/>
    <w:rsid w:val="005D6C21"/>
    <w:rsid w:val="005D6D23"/>
    <w:rsid w:val="005D6E0B"/>
    <w:rsid w:val="005D6FD6"/>
    <w:rsid w:val="005D7049"/>
    <w:rsid w:val="005D7079"/>
    <w:rsid w:val="005D7478"/>
    <w:rsid w:val="005D787B"/>
    <w:rsid w:val="005D78DA"/>
    <w:rsid w:val="005D790D"/>
    <w:rsid w:val="005D79F1"/>
    <w:rsid w:val="005D7BB6"/>
    <w:rsid w:val="005D7C84"/>
    <w:rsid w:val="005D7CE9"/>
    <w:rsid w:val="005D7F0B"/>
    <w:rsid w:val="005D7F52"/>
    <w:rsid w:val="005E003F"/>
    <w:rsid w:val="005E00A6"/>
    <w:rsid w:val="005E0296"/>
    <w:rsid w:val="005E04D5"/>
    <w:rsid w:val="005E0CC4"/>
    <w:rsid w:val="005E1034"/>
    <w:rsid w:val="005E10F8"/>
    <w:rsid w:val="005E14FD"/>
    <w:rsid w:val="005E1515"/>
    <w:rsid w:val="005E1636"/>
    <w:rsid w:val="005E16BF"/>
    <w:rsid w:val="005E1A5A"/>
    <w:rsid w:val="005E1FE5"/>
    <w:rsid w:val="005E1FF0"/>
    <w:rsid w:val="005E2185"/>
    <w:rsid w:val="005E230C"/>
    <w:rsid w:val="005E2497"/>
    <w:rsid w:val="005E262F"/>
    <w:rsid w:val="005E2656"/>
    <w:rsid w:val="005E26CD"/>
    <w:rsid w:val="005E29B0"/>
    <w:rsid w:val="005E2E11"/>
    <w:rsid w:val="005E2EDA"/>
    <w:rsid w:val="005E2FC3"/>
    <w:rsid w:val="005E3008"/>
    <w:rsid w:val="005E305F"/>
    <w:rsid w:val="005E31CC"/>
    <w:rsid w:val="005E3504"/>
    <w:rsid w:val="005E36CF"/>
    <w:rsid w:val="005E37DB"/>
    <w:rsid w:val="005E3802"/>
    <w:rsid w:val="005E3937"/>
    <w:rsid w:val="005E3B47"/>
    <w:rsid w:val="005E3C00"/>
    <w:rsid w:val="005E3C69"/>
    <w:rsid w:val="005E3D8B"/>
    <w:rsid w:val="005E3DD3"/>
    <w:rsid w:val="005E46FB"/>
    <w:rsid w:val="005E49C9"/>
    <w:rsid w:val="005E4A7B"/>
    <w:rsid w:val="005E4AB8"/>
    <w:rsid w:val="005E4CCE"/>
    <w:rsid w:val="005E4CFA"/>
    <w:rsid w:val="005E4E99"/>
    <w:rsid w:val="005E4ED2"/>
    <w:rsid w:val="005E503D"/>
    <w:rsid w:val="005E5158"/>
    <w:rsid w:val="005E5276"/>
    <w:rsid w:val="005E52F8"/>
    <w:rsid w:val="005E5301"/>
    <w:rsid w:val="005E549F"/>
    <w:rsid w:val="005E5609"/>
    <w:rsid w:val="005E592C"/>
    <w:rsid w:val="005E5944"/>
    <w:rsid w:val="005E5B09"/>
    <w:rsid w:val="005E5CE3"/>
    <w:rsid w:val="005E5D92"/>
    <w:rsid w:val="005E5DEB"/>
    <w:rsid w:val="005E5EA8"/>
    <w:rsid w:val="005E6152"/>
    <w:rsid w:val="005E625F"/>
    <w:rsid w:val="005E631E"/>
    <w:rsid w:val="005E6570"/>
    <w:rsid w:val="005E680B"/>
    <w:rsid w:val="005E68D4"/>
    <w:rsid w:val="005E6B29"/>
    <w:rsid w:val="005E6D31"/>
    <w:rsid w:val="005E6E6F"/>
    <w:rsid w:val="005E6EAD"/>
    <w:rsid w:val="005E6F0A"/>
    <w:rsid w:val="005E70D5"/>
    <w:rsid w:val="005E7336"/>
    <w:rsid w:val="005E74CA"/>
    <w:rsid w:val="005E7A7E"/>
    <w:rsid w:val="005E7CDB"/>
    <w:rsid w:val="005E7CEE"/>
    <w:rsid w:val="005E7EFD"/>
    <w:rsid w:val="005E7F18"/>
    <w:rsid w:val="005F0006"/>
    <w:rsid w:val="005F007C"/>
    <w:rsid w:val="005F0401"/>
    <w:rsid w:val="005F0673"/>
    <w:rsid w:val="005F08C3"/>
    <w:rsid w:val="005F0A0C"/>
    <w:rsid w:val="005F0C67"/>
    <w:rsid w:val="005F0DD4"/>
    <w:rsid w:val="005F0FEA"/>
    <w:rsid w:val="005F10F3"/>
    <w:rsid w:val="005F12DC"/>
    <w:rsid w:val="005F1435"/>
    <w:rsid w:val="005F18B4"/>
    <w:rsid w:val="005F1BB5"/>
    <w:rsid w:val="005F1F40"/>
    <w:rsid w:val="005F1FA9"/>
    <w:rsid w:val="005F2369"/>
    <w:rsid w:val="005F24BE"/>
    <w:rsid w:val="005F253F"/>
    <w:rsid w:val="005F2553"/>
    <w:rsid w:val="005F290B"/>
    <w:rsid w:val="005F2972"/>
    <w:rsid w:val="005F2978"/>
    <w:rsid w:val="005F2D4A"/>
    <w:rsid w:val="005F2E87"/>
    <w:rsid w:val="005F2EA0"/>
    <w:rsid w:val="005F2F96"/>
    <w:rsid w:val="005F2FDE"/>
    <w:rsid w:val="005F3008"/>
    <w:rsid w:val="005F3019"/>
    <w:rsid w:val="005F31FC"/>
    <w:rsid w:val="005F3350"/>
    <w:rsid w:val="005F3388"/>
    <w:rsid w:val="005F33E3"/>
    <w:rsid w:val="005F360C"/>
    <w:rsid w:val="005F375E"/>
    <w:rsid w:val="005F3796"/>
    <w:rsid w:val="005F3888"/>
    <w:rsid w:val="005F393B"/>
    <w:rsid w:val="005F3A43"/>
    <w:rsid w:val="005F3D12"/>
    <w:rsid w:val="005F3D5B"/>
    <w:rsid w:val="005F3DF1"/>
    <w:rsid w:val="005F4135"/>
    <w:rsid w:val="005F42BB"/>
    <w:rsid w:val="005F441A"/>
    <w:rsid w:val="005F447B"/>
    <w:rsid w:val="005F457E"/>
    <w:rsid w:val="005F4913"/>
    <w:rsid w:val="005F499A"/>
    <w:rsid w:val="005F4A3F"/>
    <w:rsid w:val="005F4B87"/>
    <w:rsid w:val="005F4BE0"/>
    <w:rsid w:val="005F4C4B"/>
    <w:rsid w:val="005F4D68"/>
    <w:rsid w:val="005F5204"/>
    <w:rsid w:val="005F5271"/>
    <w:rsid w:val="005F53AF"/>
    <w:rsid w:val="005F55FE"/>
    <w:rsid w:val="005F581B"/>
    <w:rsid w:val="005F58BE"/>
    <w:rsid w:val="005F5C37"/>
    <w:rsid w:val="005F5C74"/>
    <w:rsid w:val="005F5CFB"/>
    <w:rsid w:val="005F5D35"/>
    <w:rsid w:val="005F6112"/>
    <w:rsid w:val="005F619B"/>
    <w:rsid w:val="005F63CE"/>
    <w:rsid w:val="005F63EB"/>
    <w:rsid w:val="005F63F8"/>
    <w:rsid w:val="005F6487"/>
    <w:rsid w:val="005F67B6"/>
    <w:rsid w:val="005F6864"/>
    <w:rsid w:val="005F68BD"/>
    <w:rsid w:val="005F68C1"/>
    <w:rsid w:val="005F6C0A"/>
    <w:rsid w:val="005F6E13"/>
    <w:rsid w:val="005F6E48"/>
    <w:rsid w:val="005F6EC1"/>
    <w:rsid w:val="005F6ED0"/>
    <w:rsid w:val="005F6EF1"/>
    <w:rsid w:val="005F6F4E"/>
    <w:rsid w:val="005F7052"/>
    <w:rsid w:val="005F709D"/>
    <w:rsid w:val="005F7315"/>
    <w:rsid w:val="005F745C"/>
    <w:rsid w:val="005F746F"/>
    <w:rsid w:val="005F75EE"/>
    <w:rsid w:val="005F78C2"/>
    <w:rsid w:val="005F7B10"/>
    <w:rsid w:val="005F7B99"/>
    <w:rsid w:val="005F7C7D"/>
    <w:rsid w:val="005F7D50"/>
    <w:rsid w:val="005F7E01"/>
    <w:rsid w:val="005F7FE2"/>
    <w:rsid w:val="006001B3"/>
    <w:rsid w:val="006001F6"/>
    <w:rsid w:val="00600521"/>
    <w:rsid w:val="006006A0"/>
    <w:rsid w:val="006006E3"/>
    <w:rsid w:val="00600772"/>
    <w:rsid w:val="00600889"/>
    <w:rsid w:val="00600AA2"/>
    <w:rsid w:val="00600D3B"/>
    <w:rsid w:val="00600E46"/>
    <w:rsid w:val="00600FE2"/>
    <w:rsid w:val="0060107D"/>
    <w:rsid w:val="00601313"/>
    <w:rsid w:val="006013C8"/>
    <w:rsid w:val="00601C56"/>
    <w:rsid w:val="00601CD6"/>
    <w:rsid w:val="00601DAD"/>
    <w:rsid w:val="00601F0A"/>
    <w:rsid w:val="00602012"/>
    <w:rsid w:val="006020DA"/>
    <w:rsid w:val="006021A9"/>
    <w:rsid w:val="00602567"/>
    <w:rsid w:val="0060266B"/>
    <w:rsid w:val="00602903"/>
    <w:rsid w:val="006029C3"/>
    <w:rsid w:val="00602B49"/>
    <w:rsid w:val="00602CF1"/>
    <w:rsid w:val="00602ED8"/>
    <w:rsid w:val="00602F0F"/>
    <w:rsid w:val="0060364A"/>
    <w:rsid w:val="00603651"/>
    <w:rsid w:val="006036B1"/>
    <w:rsid w:val="0060381B"/>
    <w:rsid w:val="0060383C"/>
    <w:rsid w:val="00603930"/>
    <w:rsid w:val="0060398E"/>
    <w:rsid w:val="006039A7"/>
    <w:rsid w:val="00603C11"/>
    <w:rsid w:val="00603CEF"/>
    <w:rsid w:val="00603D73"/>
    <w:rsid w:val="00603E8C"/>
    <w:rsid w:val="00604774"/>
    <w:rsid w:val="006048ED"/>
    <w:rsid w:val="00604D58"/>
    <w:rsid w:val="00604D8E"/>
    <w:rsid w:val="00604DD7"/>
    <w:rsid w:val="0060512A"/>
    <w:rsid w:val="00605144"/>
    <w:rsid w:val="0060528B"/>
    <w:rsid w:val="006055ED"/>
    <w:rsid w:val="00605698"/>
    <w:rsid w:val="00605771"/>
    <w:rsid w:val="00605A47"/>
    <w:rsid w:val="00605B9E"/>
    <w:rsid w:val="00605CBE"/>
    <w:rsid w:val="00605ED1"/>
    <w:rsid w:val="00605FB9"/>
    <w:rsid w:val="0060600C"/>
    <w:rsid w:val="00606035"/>
    <w:rsid w:val="006060CA"/>
    <w:rsid w:val="00606288"/>
    <w:rsid w:val="0060676A"/>
    <w:rsid w:val="006068EB"/>
    <w:rsid w:val="00606B0C"/>
    <w:rsid w:val="00606B69"/>
    <w:rsid w:val="00606BD5"/>
    <w:rsid w:val="00606CD5"/>
    <w:rsid w:val="00606FE5"/>
    <w:rsid w:val="0060703E"/>
    <w:rsid w:val="0060706D"/>
    <w:rsid w:val="00607298"/>
    <w:rsid w:val="00607343"/>
    <w:rsid w:val="006073D4"/>
    <w:rsid w:val="006073F6"/>
    <w:rsid w:val="0060764C"/>
    <w:rsid w:val="006078FE"/>
    <w:rsid w:val="00607991"/>
    <w:rsid w:val="00607B24"/>
    <w:rsid w:val="00607C86"/>
    <w:rsid w:val="00607DA0"/>
    <w:rsid w:val="00607E89"/>
    <w:rsid w:val="00607E94"/>
    <w:rsid w:val="00607EE9"/>
    <w:rsid w:val="00607F2D"/>
    <w:rsid w:val="006101E1"/>
    <w:rsid w:val="0061036E"/>
    <w:rsid w:val="00610629"/>
    <w:rsid w:val="00610701"/>
    <w:rsid w:val="0061080E"/>
    <w:rsid w:val="00610899"/>
    <w:rsid w:val="006108D0"/>
    <w:rsid w:val="00610966"/>
    <w:rsid w:val="00610C99"/>
    <w:rsid w:val="00610DD3"/>
    <w:rsid w:val="00610E33"/>
    <w:rsid w:val="00610EB3"/>
    <w:rsid w:val="00610EEF"/>
    <w:rsid w:val="00610F59"/>
    <w:rsid w:val="00611087"/>
    <w:rsid w:val="00611416"/>
    <w:rsid w:val="006114BF"/>
    <w:rsid w:val="006114E5"/>
    <w:rsid w:val="006114EF"/>
    <w:rsid w:val="006116F6"/>
    <w:rsid w:val="006117D8"/>
    <w:rsid w:val="00611906"/>
    <w:rsid w:val="00611ABD"/>
    <w:rsid w:val="00612157"/>
    <w:rsid w:val="006122DD"/>
    <w:rsid w:val="006124D8"/>
    <w:rsid w:val="006126AF"/>
    <w:rsid w:val="006127D1"/>
    <w:rsid w:val="00612907"/>
    <w:rsid w:val="006129AF"/>
    <w:rsid w:val="00612B1F"/>
    <w:rsid w:val="00612C3D"/>
    <w:rsid w:val="00612CBD"/>
    <w:rsid w:val="00612E20"/>
    <w:rsid w:val="00612EB3"/>
    <w:rsid w:val="00613017"/>
    <w:rsid w:val="0061321A"/>
    <w:rsid w:val="0061347F"/>
    <w:rsid w:val="00613481"/>
    <w:rsid w:val="00613552"/>
    <w:rsid w:val="006138BB"/>
    <w:rsid w:val="00613B13"/>
    <w:rsid w:val="00613E2C"/>
    <w:rsid w:val="006140AC"/>
    <w:rsid w:val="006140C7"/>
    <w:rsid w:val="0061425E"/>
    <w:rsid w:val="00614516"/>
    <w:rsid w:val="00614710"/>
    <w:rsid w:val="00614773"/>
    <w:rsid w:val="006147DE"/>
    <w:rsid w:val="0061492B"/>
    <w:rsid w:val="00614F6E"/>
    <w:rsid w:val="00615004"/>
    <w:rsid w:val="006153FA"/>
    <w:rsid w:val="0061541A"/>
    <w:rsid w:val="00615924"/>
    <w:rsid w:val="00615A8F"/>
    <w:rsid w:val="00615CD9"/>
    <w:rsid w:val="006160BC"/>
    <w:rsid w:val="0061628E"/>
    <w:rsid w:val="00616535"/>
    <w:rsid w:val="0061665C"/>
    <w:rsid w:val="00616796"/>
    <w:rsid w:val="00616984"/>
    <w:rsid w:val="00616BB2"/>
    <w:rsid w:val="00616F5B"/>
    <w:rsid w:val="0061702B"/>
    <w:rsid w:val="006170CD"/>
    <w:rsid w:val="00617351"/>
    <w:rsid w:val="0061747A"/>
    <w:rsid w:val="00617604"/>
    <w:rsid w:val="00617715"/>
    <w:rsid w:val="00617AAC"/>
    <w:rsid w:val="00617BAE"/>
    <w:rsid w:val="00617CAA"/>
    <w:rsid w:val="00617CBC"/>
    <w:rsid w:val="00617DF6"/>
    <w:rsid w:val="006200E6"/>
    <w:rsid w:val="00620115"/>
    <w:rsid w:val="00620148"/>
    <w:rsid w:val="0062039D"/>
    <w:rsid w:val="00620486"/>
    <w:rsid w:val="006204A6"/>
    <w:rsid w:val="006206A4"/>
    <w:rsid w:val="0062076D"/>
    <w:rsid w:val="006208AE"/>
    <w:rsid w:val="00620A5F"/>
    <w:rsid w:val="00620A69"/>
    <w:rsid w:val="00620C7D"/>
    <w:rsid w:val="00620F7F"/>
    <w:rsid w:val="00620FEC"/>
    <w:rsid w:val="006210D3"/>
    <w:rsid w:val="006211A7"/>
    <w:rsid w:val="00621215"/>
    <w:rsid w:val="006212DF"/>
    <w:rsid w:val="006212FE"/>
    <w:rsid w:val="00621658"/>
    <w:rsid w:val="00621931"/>
    <w:rsid w:val="00621C63"/>
    <w:rsid w:val="00621FCF"/>
    <w:rsid w:val="006220ED"/>
    <w:rsid w:val="00622333"/>
    <w:rsid w:val="0062299B"/>
    <w:rsid w:val="00622CAC"/>
    <w:rsid w:val="00622FC6"/>
    <w:rsid w:val="00623090"/>
    <w:rsid w:val="006231CA"/>
    <w:rsid w:val="006234AA"/>
    <w:rsid w:val="00623546"/>
    <w:rsid w:val="00623565"/>
    <w:rsid w:val="0062393A"/>
    <w:rsid w:val="00623A01"/>
    <w:rsid w:val="00623C20"/>
    <w:rsid w:val="00623EFB"/>
    <w:rsid w:val="00623F23"/>
    <w:rsid w:val="00623F47"/>
    <w:rsid w:val="00624567"/>
    <w:rsid w:val="00624C7C"/>
    <w:rsid w:val="00624CD3"/>
    <w:rsid w:val="00624D83"/>
    <w:rsid w:val="00624E0A"/>
    <w:rsid w:val="00624F40"/>
    <w:rsid w:val="00625030"/>
    <w:rsid w:val="0062506A"/>
    <w:rsid w:val="0062515F"/>
    <w:rsid w:val="006252A6"/>
    <w:rsid w:val="00625346"/>
    <w:rsid w:val="006254E6"/>
    <w:rsid w:val="00625514"/>
    <w:rsid w:val="00625565"/>
    <w:rsid w:val="00625BE8"/>
    <w:rsid w:val="00625BF0"/>
    <w:rsid w:val="00625C80"/>
    <w:rsid w:val="00625D85"/>
    <w:rsid w:val="00625EDF"/>
    <w:rsid w:val="0062619E"/>
    <w:rsid w:val="0062634A"/>
    <w:rsid w:val="00626469"/>
    <w:rsid w:val="006265C9"/>
    <w:rsid w:val="0062664F"/>
    <w:rsid w:val="0062675D"/>
    <w:rsid w:val="0062695D"/>
    <w:rsid w:val="00626A83"/>
    <w:rsid w:val="00626A8C"/>
    <w:rsid w:val="00626D92"/>
    <w:rsid w:val="0062709D"/>
    <w:rsid w:val="006270CA"/>
    <w:rsid w:val="0062712A"/>
    <w:rsid w:val="0062727D"/>
    <w:rsid w:val="0062736D"/>
    <w:rsid w:val="00627386"/>
    <w:rsid w:val="006279B0"/>
    <w:rsid w:val="00627A4A"/>
    <w:rsid w:val="00627BA4"/>
    <w:rsid w:val="00627BE0"/>
    <w:rsid w:val="00627D08"/>
    <w:rsid w:val="00627D62"/>
    <w:rsid w:val="00627DBE"/>
    <w:rsid w:val="00627EF3"/>
    <w:rsid w:val="00627FAE"/>
    <w:rsid w:val="00627FB5"/>
    <w:rsid w:val="00630029"/>
    <w:rsid w:val="00630099"/>
    <w:rsid w:val="0063023B"/>
    <w:rsid w:val="00630528"/>
    <w:rsid w:val="0063062D"/>
    <w:rsid w:val="00630A8D"/>
    <w:rsid w:val="00630ABA"/>
    <w:rsid w:val="00630BBE"/>
    <w:rsid w:val="00630BEE"/>
    <w:rsid w:val="00630C48"/>
    <w:rsid w:val="00630D9C"/>
    <w:rsid w:val="00630F33"/>
    <w:rsid w:val="0063108B"/>
    <w:rsid w:val="00631780"/>
    <w:rsid w:val="00631923"/>
    <w:rsid w:val="00631969"/>
    <w:rsid w:val="0063197A"/>
    <w:rsid w:val="00631EFE"/>
    <w:rsid w:val="00631F43"/>
    <w:rsid w:val="006320C4"/>
    <w:rsid w:val="0063235B"/>
    <w:rsid w:val="00632400"/>
    <w:rsid w:val="00632722"/>
    <w:rsid w:val="00632784"/>
    <w:rsid w:val="00632A33"/>
    <w:rsid w:val="00632CFE"/>
    <w:rsid w:val="00632E43"/>
    <w:rsid w:val="006330AB"/>
    <w:rsid w:val="0063339E"/>
    <w:rsid w:val="00633443"/>
    <w:rsid w:val="006336C6"/>
    <w:rsid w:val="00633D8C"/>
    <w:rsid w:val="00633E7C"/>
    <w:rsid w:val="00634050"/>
    <w:rsid w:val="006342B9"/>
    <w:rsid w:val="006342CF"/>
    <w:rsid w:val="00634367"/>
    <w:rsid w:val="0063456E"/>
    <w:rsid w:val="00634B3B"/>
    <w:rsid w:val="00634C47"/>
    <w:rsid w:val="006353D6"/>
    <w:rsid w:val="006354E9"/>
    <w:rsid w:val="00635746"/>
    <w:rsid w:val="00635911"/>
    <w:rsid w:val="00635BC2"/>
    <w:rsid w:val="00635C87"/>
    <w:rsid w:val="00635CB9"/>
    <w:rsid w:val="00635EBF"/>
    <w:rsid w:val="00635FFE"/>
    <w:rsid w:val="00636036"/>
    <w:rsid w:val="006361F1"/>
    <w:rsid w:val="0063651C"/>
    <w:rsid w:val="0063668C"/>
    <w:rsid w:val="00636729"/>
    <w:rsid w:val="0063683B"/>
    <w:rsid w:val="00636A43"/>
    <w:rsid w:val="00637113"/>
    <w:rsid w:val="0063721D"/>
    <w:rsid w:val="00637387"/>
    <w:rsid w:val="0063755A"/>
    <w:rsid w:val="00637605"/>
    <w:rsid w:val="0063794F"/>
    <w:rsid w:val="00637A02"/>
    <w:rsid w:val="00637A20"/>
    <w:rsid w:val="00637AD3"/>
    <w:rsid w:val="00637E4D"/>
    <w:rsid w:val="00637F71"/>
    <w:rsid w:val="0064014F"/>
    <w:rsid w:val="006401C0"/>
    <w:rsid w:val="006401E0"/>
    <w:rsid w:val="006402DB"/>
    <w:rsid w:val="006406BF"/>
    <w:rsid w:val="006406E9"/>
    <w:rsid w:val="006407E0"/>
    <w:rsid w:val="00640875"/>
    <w:rsid w:val="00640ACD"/>
    <w:rsid w:val="00640CF4"/>
    <w:rsid w:val="00640D14"/>
    <w:rsid w:val="00640DAE"/>
    <w:rsid w:val="00640DC5"/>
    <w:rsid w:val="00640E09"/>
    <w:rsid w:val="00640E29"/>
    <w:rsid w:val="00640FFF"/>
    <w:rsid w:val="006410FC"/>
    <w:rsid w:val="0064110E"/>
    <w:rsid w:val="0064121E"/>
    <w:rsid w:val="006412A0"/>
    <w:rsid w:val="00641426"/>
    <w:rsid w:val="0064143E"/>
    <w:rsid w:val="00641476"/>
    <w:rsid w:val="00641709"/>
    <w:rsid w:val="006419A6"/>
    <w:rsid w:val="00641A5D"/>
    <w:rsid w:val="00641A6D"/>
    <w:rsid w:val="00641A9D"/>
    <w:rsid w:val="00641B3B"/>
    <w:rsid w:val="00641C3A"/>
    <w:rsid w:val="00641DF8"/>
    <w:rsid w:val="00641E36"/>
    <w:rsid w:val="00641F1C"/>
    <w:rsid w:val="00641F4A"/>
    <w:rsid w:val="00641F5B"/>
    <w:rsid w:val="00641F8F"/>
    <w:rsid w:val="00641FCE"/>
    <w:rsid w:val="0064202B"/>
    <w:rsid w:val="006420BE"/>
    <w:rsid w:val="0064215E"/>
    <w:rsid w:val="0064237E"/>
    <w:rsid w:val="006426B9"/>
    <w:rsid w:val="006426ED"/>
    <w:rsid w:val="00642746"/>
    <w:rsid w:val="00642764"/>
    <w:rsid w:val="006428BC"/>
    <w:rsid w:val="00642CA5"/>
    <w:rsid w:val="00642ED7"/>
    <w:rsid w:val="006430AB"/>
    <w:rsid w:val="00643263"/>
    <w:rsid w:val="0064349C"/>
    <w:rsid w:val="006437FF"/>
    <w:rsid w:val="00643A18"/>
    <w:rsid w:val="00643AB9"/>
    <w:rsid w:val="00643CA5"/>
    <w:rsid w:val="00643D71"/>
    <w:rsid w:val="00643E6A"/>
    <w:rsid w:val="00644003"/>
    <w:rsid w:val="0064409F"/>
    <w:rsid w:val="006445C8"/>
    <w:rsid w:val="006445E4"/>
    <w:rsid w:val="006449DD"/>
    <w:rsid w:val="00644A51"/>
    <w:rsid w:val="00644A88"/>
    <w:rsid w:val="00644F87"/>
    <w:rsid w:val="00645000"/>
    <w:rsid w:val="0064501E"/>
    <w:rsid w:val="0064504E"/>
    <w:rsid w:val="006450F8"/>
    <w:rsid w:val="0064517E"/>
    <w:rsid w:val="00645280"/>
    <w:rsid w:val="00645483"/>
    <w:rsid w:val="00645670"/>
    <w:rsid w:val="00645716"/>
    <w:rsid w:val="006458B0"/>
    <w:rsid w:val="006458C7"/>
    <w:rsid w:val="0064595A"/>
    <w:rsid w:val="00645A00"/>
    <w:rsid w:val="00645AC6"/>
    <w:rsid w:val="00645C33"/>
    <w:rsid w:val="0064606E"/>
    <w:rsid w:val="006460DA"/>
    <w:rsid w:val="0064628B"/>
    <w:rsid w:val="00646371"/>
    <w:rsid w:val="006464E5"/>
    <w:rsid w:val="0064664B"/>
    <w:rsid w:val="006466E5"/>
    <w:rsid w:val="00646941"/>
    <w:rsid w:val="006469C5"/>
    <w:rsid w:val="006469FD"/>
    <w:rsid w:val="00646C33"/>
    <w:rsid w:val="00646F8F"/>
    <w:rsid w:val="00647606"/>
    <w:rsid w:val="00647680"/>
    <w:rsid w:val="00647699"/>
    <w:rsid w:val="0064783E"/>
    <w:rsid w:val="006478EC"/>
    <w:rsid w:val="00647962"/>
    <w:rsid w:val="00647A9B"/>
    <w:rsid w:val="00647C3C"/>
    <w:rsid w:val="00647CE3"/>
    <w:rsid w:val="0065028C"/>
    <w:rsid w:val="00650335"/>
    <w:rsid w:val="006503F8"/>
    <w:rsid w:val="00650631"/>
    <w:rsid w:val="006506B2"/>
    <w:rsid w:val="0065079E"/>
    <w:rsid w:val="006507BB"/>
    <w:rsid w:val="006507D2"/>
    <w:rsid w:val="0065080D"/>
    <w:rsid w:val="00650859"/>
    <w:rsid w:val="00650892"/>
    <w:rsid w:val="00650C3C"/>
    <w:rsid w:val="00650E0D"/>
    <w:rsid w:val="00650EC3"/>
    <w:rsid w:val="0065125C"/>
    <w:rsid w:val="00651950"/>
    <w:rsid w:val="00651C35"/>
    <w:rsid w:val="00651D10"/>
    <w:rsid w:val="00651F94"/>
    <w:rsid w:val="00651FDF"/>
    <w:rsid w:val="0065251B"/>
    <w:rsid w:val="00652776"/>
    <w:rsid w:val="00652818"/>
    <w:rsid w:val="00652A80"/>
    <w:rsid w:val="00652C58"/>
    <w:rsid w:val="00652E15"/>
    <w:rsid w:val="00653263"/>
    <w:rsid w:val="00653460"/>
    <w:rsid w:val="006537DA"/>
    <w:rsid w:val="00653806"/>
    <w:rsid w:val="00653B92"/>
    <w:rsid w:val="00653CA4"/>
    <w:rsid w:val="00653CAE"/>
    <w:rsid w:val="00653D6F"/>
    <w:rsid w:val="00653DAC"/>
    <w:rsid w:val="00653DD8"/>
    <w:rsid w:val="00653DE1"/>
    <w:rsid w:val="00653F4E"/>
    <w:rsid w:val="00654172"/>
    <w:rsid w:val="00654225"/>
    <w:rsid w:val="006542C4"/>
    <w:rsid w:val="006543C3"/>
    <w:rsid w:val="00654645"/>
    <w:rsid w:val="006548AA"/>
    <w:rsid w:val="00654AFA"/>
    <w:rsid w:val="00654BA2"/>
    <w:rsid w:val="00654D38"/>
    <w:rsid w:val="00654F22"/>
    <w:rsid w:val="00654F2E"/>
    <w:rsid w:val="006550EC"/>
    <w:rsid w:val="00655230"/>
    <w:rsid w:val="006552F8"/>
    <w:rsid w:val="00655600"/>
    <w:rsid w:val="00655661"/>
    <w:rsid w:val="0065566F"/>
    <w:rsid w:val="006558F7"/>
    <w:rsid w:val="00655AA8"/>
    <w:rsid w:val="00655ABF"/>
    <w:rsid w:val="00655AF9"/>
    <w:rsid w:val="00655B3F"/>
    <w:rsid w:val="00655B44"/>
    <w:rsid w:val="00655ED9"/>
    <w:rsid w:val="00656052"/>
    <w:rsid w:val="006561F9"/>
    <w:rsid w:val="006562B8"/>
    <w:rsid w:val="00656474"/>
    <w:rsid w:val="00656660"/>
    <w:rsid w:val="0065668D"/>
    <w:rsid w:val="006566C4"/>
    <w:rsid w:val="00656923"/>
    <w:rsid w:val="00656EAA"/>
    <w:rsid w:val="006571AE"/>
    <w:rsid w:val="00657690"/>
    <w:rsid w:val="0065781C"/>
    <w:rsid w:val="00657A56"/>
    <w:rsid w:val="00657B51"/>
    <w:rsid w:val="00657BF0"/>
    <w:rsid w:val="00657D9A"/>
    <w:rsid w:val="00657E8A"/>
    <w:rsid w:val="00657FD0"/>
    <w:rsid w:val="006602F1"/>
    <w:rsid w:val="00660398"/>
    <w:rsid w:val="006603F8"/>
    <w:rsid w:val="006604FC"/>
    <w:rsid w:val="00660827"/>
    <w:rsid w:val="0066092B"/>
    <w:rsid w:val="0066096E"/>
    <w:rsid w:val="00660977"/>
    <w:rsid w:val="0066099C"/>
    <w:rsid w:val="00660C0F"/>
    <w:rsid w:val="00660C65"/>
    <w:rsid w:val="00660F56"/>
    <w:rsid w:val="00660FE5"/>
    <w:rsid w:val="00661285"/>
    <w:rsid w:val="006612EF"/>
    <w:rsid w:val="0066141B"/>
    <w:rsid w:val="006617EA"/>
    <w:rsid w:val="006618AA"/>
    <w:rsid w:val="00661970"/>
    <w:rsid w:val="00661B84"/>
    <w:rsid w:val="00661C21"/>
    <w:rsid w:val="006621FD"/>
    <w:rsid w:val="006622BF"/>
    <w:rsid w:val="0066230F"/>
    <w:rsid w:val="006625B3"/>
    <w:rsid w:val="00662614"/>
    <w:rsid w:val="006626F9"/>
    <w:rsid w:val="006629F3"/>
    <w:rsid w:val="00662ACB"/>
    <w:rsid w:val="00662BFE"/>
    <w:rsid w:val="00662E72"/>
    <w:rsid w:val="00662F5B"/>
    <w:rsid w:val="0066321D"/>
    <w:rsid w:val="00663545"/>
    <w:rsid w:val="0066356A"/>
    <w:rsid w:val="006635C2"/>
    <w:rsid w:val="0066367E"/>
    <w:rsid w:val="00663780"/>
    <w:rsid w:val="00663B3C"/>
    <w:rsid w:val="00663BC5"/>
    <w:rsid w:val="00663BD3"/>
    <w:rsid w:val="00663E98"/>
    <w:rsid w:val="00663FE8"/>
    <w:rsid w:val="00664195"/>
    <w:rsid w:val="006641B2"/>
    <w:rsid w:val="006644DC"/>
    <w:rsid w:val="00664510"/>
    <w:rsid w:val="00664522"/>
    <w:rsid w:val="00664840"/>
    <w:rsid w:val="00664953"/>
    <w:rsid w:val="00664AE0"/>
    <w:rsid w:val="00664AF6"/>
    <w:rsid w:val="00664BF7"/>
    <w:rsid w:val="00664E32"/>
    <w:rsid w:val="006650D6"/>
    <w:rsid w:val="00665362"/>
    <w:rsid w:val="00665367"/>
    <w:rsid w:val="0066568A"/>
    <w:rsid w:val="00665895"/>
    <w:rsid w:val="006658CB"/>
    <w:rsid w:val="00665978"/>
    <w:rsid w:val="006659EB"/>
    <w:rsid w:val="00665CB1"/>
    <w:rsid w:val="00665D1C"/>
    <w:rsid w:val="00665F09"/>
    <w:rsid w:val="00666020"/>
    <w:rsid w:val="0066611C"/>
    <w:rsid w:val="0066637B"/>
    <w:rsid w:val="0066638E"/>
    <w:rsid w:val="006663F3"/>
    <w:rsid w:val="00666417"/>
    <w:rsid w:val="006664B3"/>
    <w:rsid w:val="006666FA"/>
    <w:rsid w:val="006668C8"/>
    <w:rsid w:val="00666916"/>
    <w:rsid w:val="00666C5E"/>
    <w:rsid w:val="00666C5F"/>
    <w:rsid w:val="00666C8A"/>
    <w:rsid w:val="00666DCA"/>
    <w:rsid w:val="00667048"/>
    <w:rsid w:val="00667162"/>
    <w:rsid w:val="006671B1"/>
    <w:rsid w:val="006672D1"/>
    <w:rsid w:val="006673C8"/>
    <w:rsid w:val="00667492"/>
    <w:rsid w:val="006676EE"/>
    <w:rsid w:val="00667897"/>
    <w:rsid w:val="00667B56"/>
    <w:rsid w:val="00667C93"/>
    <w:rsid w:val="00667D17"/>
    <w:rsid w:val="006701C7"/>
    <w:rsid w:val="00670273"/>
    <w:rsid w:val="00670302"/>
    <w:rsid w:val="0067030E"/>
    <w:rsid w:val="00670359"/>
    <w:rsid w:val="0067069F"/>
    <w:rsid w:val="006708EC"/>
    <w:rsid w:val="00670A20"/>
    <w:rsid w:val="00670E67"/>
    <w:rsid w:val="00670EB4"/>
    <w:rsid w:val="00670F77"/>
    <w:rsid w:val="00670FB1"/>
    <w:rsid w:val="0067114F"/>
    <w:rsid w:val="006712C0"/>
    <w:rsid w:val="006712DF"/>
    <w:rsid w:val="00671389"/>
    <w:rsid w:val="006713C3"/>
    <w:rsid w:val="0067154A"/>
    <w:rsid w:val="00671554"/>
    <w:rsid w:val="006718A7"/>
    <w:rsid w:val="006718B1"/>
    <w:rsid w:val="00671A48"/>
    <w:rsid w:val="00671A61"/>
    <w:rsid w:val="00671A6C"/>
    <w:rsid w:val="00671A9A"/>
    <w:rsid w:val="00671B03"/>
    <w:rsid w:val="00671B11"/>
    <w:rsid w:val="00671B8F"/>
    <w:rsid w:val="00671C90"/>
    <w:rsid w:val="00671CB2"/>
    <w:rsid w:val="00671D96"/>
    <w:rsid w:val="00671DBC"/>
    <w:rsid w:val="00672070"/>
    <w:rsid w:val="00672134"/>
    <w:rsid w:val="00672155"/>
    <w:rsid w:val="006722CB"/>
    <w:rsid w:val="00672506"/>
    <w:rsid w:val="00672593"/>
    <w:rsid w:val="0067266D"/>
    <w:rsid w:val="006727F0"/>
    <w:rsid w:val="006729F7"/>
    <w:rsid w:val="00672AD5"/>
    <w:rsid w:val="00672B73"/>
    <w:rsid w:val="00672BDA"/>
    <w:rsid w:val="00672BFF"/>
    <w:rsid w:val="00672C1A"/>
    <w:rsid w:val="00672C79"/>
    <w:rsid w:val="006735D0"/>
    <w:rsid w:val="00673CB5"/>
    <w:rsid w:val="00673CBC"/>
    <w:rsid w:val="00673EE0"/>
    <w:rsid w:val="00673F56"/>
    <w:rsid w:val="00673F7F"/>
    <w:rsid w:val="00674115"/>
    <w:rsid w:val="006742DA"/>
    <w:rsid w:val="006742F1"/>
    <w:rsid w:val="00674325"/>
    <w:rsid w:val="006744A4"/>
    <w:rsid w:val="006744B5"/>
    <w:rsid w:val="00674525"/>
    <w:rsid w:val="00674A1B"/>
    <w:rsid w:val="00674C08"/>
    <w:rsid w:val="00674CC7"/>
    <w:rsid w:val="00674DA1"/>
    <w:rsid w:val="00674EDB"/>
    <w:rsid w:val="00675139"/>
    <w:rsid w:val="00675327"/>
    <w:rsid w:val="0067552D"/>
    <w:rsid w:val="006755B9"/>
    <w:rsid w:val="00675816"/>
    <w:rsid w:val="00675A9E"/>
    <w:rsid w:val="00675BF1"/>
    <w:rsid w:val="00676423"/>
    <w:rsid w:val="00676524"/>
    <w:rsid w:val="006766EF"/>
    <w:rsid w:val="00676896"/>
    <w:rsid w:val="0067696D"/>
    <w:rsid w:val="00676A61"/>
    <w:rsid w:val="00676E03"/>
    <w:rsid w:val="00676E71"/>
    <w:rsid w:val="00676EEA"/>
    <w:rsid w:val="006771CA"/>
    <w:rsid w:val="0067721D"/>
    <w:rsid w:val="00677384"/>
    <w:rsid w:val="006776EE"/>
    <w:rsid w:val="00677774"/>
    <w:rsid w:val="006778F6"/>
    <w:rsid w:val="00677A06"/>
    <w:rsid w:val="00677C26"/>
    <w:rsid w:val="00677D28"/>
    <w:rsid w:val="00677DEE"/>
    <w:rsid w:val="00680017"/>
    <w:rsid w:val="0068014B"/>
    <w:rsid w:val="00680578"/>
    <w:rsid w:val="006807D5"/>
    <w:rsid w:val="00680B87"/>
    <w:rsid w:val="00680D2F"/>
    <w:rsid w:val="00680E0D"/>
    <w:rsid w:val="00681017"/>
    <w:rsid w:val="00681026"/>
    <w:rsid w:val="006811B6"/>
    <w:rsid w:val="006812BC"/>
    <w:rsid w:val="006812E1"/>
    <w:rsid w:val="006813D2"/>
    <w:rsid w:val="0068198A"/>
    <w:rsid w:val="00681A28"/>
    <w:rsid w:val="00681A4C"/>
    <w:rsid w:val="00681D2D"/>
    <w:rsid w:val="00681DA8"/>
    <w:rsid w:val="00681E87"/>
    <w:rsid w:val="00681F0F"/>
    <w:rsid w:val="00681F60"/>
    <w:rsid w:val="00681FA7"/>
    <w:rsid w:val="00681FB3"/>
    <w:rsid w:val="00681FE6"/>
    <w:rsid w:val="00682138"/>
    <w:rsid w:val="00682219"/>
    <w:rsid w:val="0068228C"/>
    <w:rsid w:val="0068258A"/>
    <w:rsid w:val="006829CE"/>
    <w:rsid w:val="006829F4"/>
    <w:rsid w:val="00682A81"/>
    <w:rsid w:val="00682C09"/>
    <w:rsid w:val="00682C59"/>
    <w:rsid w:val="00682CDE"/>
    <w:rsid w:val="00683761"/>
    <w:rsid w:val="00683829"/>
    <w:rsid w:val="006838D5"/>
    <w:rsid w:val="006839B5"/>
    <w:rsid w:val="006839D2"/>
    <w:rsid w:val="00683A3E"/>
    <w:rsid w:val="00683EEA"/>
    <w:rsid w:val="00684187"/>
    <w:rsid w:val="00684218"/>
    <w:rsid w:val="0068441D"/>
    <w:rsid w:val="00684500"/>
    <w:rsid w:val="00684547"/>
    <w:rsid w:val="00684587"/>
    <w:rsid w:val="0068464D"/>
    <w:rsid w:val="0068468B"/>
    <w:rsid w:val="00684B46"/>
    <w:rsid w:val="00684DE2"/>
    <w:rsid w:val="00684E1F"/>
    <w:rsid w:val="00684F39"/>
    <w:rsid w:val="00684F69"/>
    <w:rsid w:val="00684FD1"/>
    <w:rsid w:val="00685320"/>
    <w:rsid w:val="006858BB"/>
    <w:rsid w:val="006859C9"/>
    <w:rsid w:val="00685A72"/>
    <w:rsid w:val="00685ACF"/>
    <w:rsid w:val="00685AF9"/>
    <w:rsid w:val="00685B1C"/>
    <w:rsid w:val="00685CD2"/>
    <w:rsid w:val="00685EAF"/>
    <w:rsid w:val="00685EB1"/>
    <w:rsid w:val="00685FE8"/>
    <w:rsid w:val="006860A1"/>
    <w:rsid w:val="006860DE"/>
    <w:rsid w:val="00686143"/>
    <w:rsid w:val="006861DB"/>
    <w:rsid w:val="00686282"/>
    <w:rsid w:val="0068632C"/>
    <w:rsid w:val="00686341"/>
    <w:rsid w:val="006863BC"/>
    <w:rsid w:val="00686426"/>
    <w:rsid w:val="00686454"/>
    <w:rsid w:val="00686758"/>
    <w:rsid w:val="006867D8"/>
    <w:rsid w:val="00686931"/>
    <w:rsid w:val="006869E3"/>
    <w:rsid w:val="00686B48"/>
    <w:rsid w:val="00686B80"/>
    <w:rsid w:val="00686C7B"/>
    <w:rsid w:val="00686D49"/>
    <w:rsid w:val="00686F66"/>
    <w:rsid w:val="00686FB6"/>
    <w:rsid w:val="0068710E"/>
    <w:rsid w:val="0068713C"/>
    <w:rsid w:val="006871ED"/>
    <w:rsid w:val="00687315"/>
    <w:rsid w:val="00687340"/>
    <w:rsid w:val="0068738D"/>
    <w:rsid w:val="006873B5"/>
    <w:rsid w:val="0068748F"/>
    <w:rsid w:val="0068761A"/>
    <w:rsid w:val="006876CD"/>
    <w:rsid w:val="00687704"/>
    <w:rsid w:val="006878B6"/>
    <w:rsid w:val="00687C36"/>
    <w:rsid w:val="00687E73"/>
    <w:rsid w:val="00690160"/>
    <w:rsid w:val="006906F7"/>
    <w:rsid w:val="00690782"/>
    <w:rsid w:val="006907A8"/>
    <w:rsid w:val="00690804"/>
    <w:rsid w:val="006908B8"/>
    <w:rsid w:val="00690A33"/>
    <w:rsid w:val="00690BA7"/>
    <w:rsid w:val="00690BD3"/>
    <w:rsid w:val="00690BE5"/>
    <w:rsid w:val="00691194"/>
    <w:rsid w:val="0069129A"/>
    <w:rsid w:val="00691301"/>
    <w:rsid w:val="0069138E"/>
    <w:rsid w:val="00691456"/>
    <w:rsid w:val="006915DD"/>
    <w:rsid w:val="006916D2"/>
    <w:rsid w:val="006919C8"/>
    <w:rsid w:val="00691AC7"/>
    <w:rsid w:val="00691B67"/>
    <w:rsid w:val="00691C49"/>
    <w:rsid w:val="006921CE"/>
    <w:rsid w:val="00692454"/>
    <w:rsid w:val="006924E7"/>
    <w:rsid w:val="00692604"/>
    <w:rsid w:val="00692607"/>
    <w:rsid w:val="0069261C"/>
    <w:rsid w:val="00692853"/>
    <w:rsid w:val="006928EC"/>
    <w:rsid w:val="00692BBE"/>
    <w:rsid w:val="00692EBF"/>
    <w:rsid w:val="00692EFB"/>
    <w:rsid w:val="00692F18"/>
    <w:rsid w:val="006931F5"/>
    <w:rsid w:val="006932A7"/>
    <w:rsid w:val="0069346E"/>
    <w:rsid w:val="006935F6"/>
    <w:rsid w:val="006937C2"/>
    <w:rsid w:val="0069386F"/>
    <w:rsid w:val="00693AE5"/>
    <w:rsid w:val="00693B57"/>
    <w:rsid w:val="00693EEE"/>
    <w:rsid w:val="00693F2E"/>
    <w:rsid w:val="00693FAF"/>
    <w:rsid w:val="00693FB4"/>
    <w:rsid w:val="006941C3"/>
    <w:rsid w:val="006942C1"/>
    <w:rsid w:val="00694344"/>
    <w:rsid w:val="00694946"/>
    <w:rsid w:val="006949FF"/>
    <w:rsid w:val="00694A89"/>
    <w:rsid w:val="00694B57"/>
    <w:rsid w:val="00694C7A"/>
    <w:rsid w:val="0069504C"/>
    <w:rsid w:val="0069506F"/>
    <w:rsid w:val="0069509B"/>
    <w:rsid w:val="00695185"/>
    <w:rsid w:val="00695254"/>
    <w:rsid w:val="00695312"/>
    <w:rsid w:val="006953FA"/>
    <w:rsid w:val="0069572E"/>
    <w:rsid w:val="0069573D"/>
    <w:rsid w:val="00695A75"/>
    <w:rsid w:val="00695B79"/>
    <w:rsid w:val="00695C9A"/>
    <w:rsid w:val="00695CE4"/>
    <w:rsid w:val="00695CFE"/>
    <w:rsid w:val="00695EC8"/>
    <w:rsid w:val="0069643A"/>
    <w:rsid w:val="00696729"/>
    <w:rsid w:val="00696770"/>
    <w:rsid w:val="0069682C"/>
    <w:rsid w:val="0069685D"/>
    <w:rsid w:val="00696896"/>
    <w:rsid w:val="006968E6"/>
    <w:rsid w:val="00696A8D"/>
    <w:rsid w:val="00696BB5"/>
    <w:rsid w:val="00696F2D"/>
    <w:rsid w:val="006971C0"/>
    <w:rsid w:val="006971F3"/>
    <w:rsid w:val="00697312"/>
    <w:rsid w:val="006974D3"/>
    <w:rsid w:val="00697646"/>
    <w:rsid w:val="006976E8"/>
    <w:rsid w:val="00697980"/>
    <w:rsid w:val="00697A53"/>
    <w:rsid w:val="00697AF0"/>
    <w:rsid w:val="006A0167"/>
    <w:rsid w:val="006A021B"/>
    <w:rsid w:val="006A04C6"/>
    <w:rsid w:val="006A0544"/>
    <w:rsid w:val="006A06C0"/>
    <w:rsid w:val="006A0762"/>
    <w:rsid w:val="006A092E"/>
    <w:rsid w:val="006A0945"/>
    <w:rsid w:val="006A0A91"/>
    <w:rsid w:val="006A0DE1"/>
    <w:rsid w:val="006A0EC5"/>
    <w:rsid w:val="006A100D"/>
    <w:rsid w:val="006A140B"/>
    <w:rsid w:val="006A14C8"/>
    <w:rsid w:val="006A15FA"/>
    <w:rsid w:val="006A16B2"/>
    <w:rsid w:val="006A16CF"/>
    <w:rsid w:val="006A1821"/>
    <w:rsid w:val="006A1891"/>
    <w:rsid w:val="006A1AC5"/>
    <w:rsid w:val="006A1E05"/>
    <w:rsid w:val="006A2298"/>
    <w:rsid w:val="006A275D"/>
    <w:rsid w:val="006A28CC"/>
    <w:rsid w:val="006A29AE"/>
    <w:rsid w:val="006A2B5A"/>
    <w:rsid w:val="006A2DC1"/>
    <w:rsid w:val="006A306D"/>
    <w:rsid w:val="006A3080"/>
    <w:rsid w:val="006A30D6"/>
    <w:rsid w:val="006A3226"/>
    <w:rsid w:val="006A34C7"/>
    <w:rsid w:val="006A36D4"/>
    <w:rsid w:val="006A37BD"/>
    <w:rsid w:val="006A3825"/>
    <w:rsid w:val="006A38C0"/>
    <w:rsid w:val="006A3979"/>
    <w:rsid w:val="006A39C9"/>
    <w:rsid w:val="006A39EC"/>
    <w:rsid w:val="006A3A3F"/>
    <w:rsid w:val="006A4168"/>
    <w:rsid w:val="006A418E"/>
    <w:rsid w:val="006A425F"/>
    <w:rsid w:val="006A4447"/>
    <w:rsid w:val="006A464D"/>
    <w:rsid w:val="006A46C5"/>
    <w:rsid w:val="006A4847"/>
    <w:rsid w:val="006A497D"/>
    <w:rsid w:val="006A498C"/>
    <w:rsid w:val="006A4B58"/>
    <w:rsid w:val="006A4B8B"/>
    <w:rsid w:val="006A4BFE"/>
    <w:rsid w:val="006A4FAE"/>
    <w:rsid w:val="006A4FDE"/>
    <w:rsid w:val="006A5380"/>
    <w:rsid w:val="006A539D"/>
    <w:rsid w:val="006A55B2"/>
    <w:rsid w:val="006A5693"/>
    <w:rsid w:val="006A56B3"/>
    <w:rsid w:val="006A570B"/>
    <w:rsid w:val="006A57B9"/>
    <w:rsid w:val="006A5900"/>
    <w:rsid w:val="006A59B8"/>
    <w:rsid w:val="006A5B25"/>
    <w:rsid w:val="006A5CCE"/>
    <w:rsid w:val="006A5CF4"/>
    <w:rsid w:val="006A5E06"/>
    <w:rsid w:val="006A619F"/>
    <w:rsid w:val="006A61B3"/>
    <w:rsid w:val="006A6290"/>
    <w:rsid w:val="006A653E"/>
    <w:rsid w:val="006A655D"/>
    <w:rsid w:val="006A667C"/>
    <w:rsid w:val="006A68C0"/>
    <w:rsid w:val="006A68C3"/>
    <w:rsid w:val="006A6961"/>
    <w:rsid w:val="006A6A29"/>
    <w:rsid w:val="006A6AB3"/>
    <w:rsid w:val="006A6B27"/>
    <w:rsid w:val="006A7062"/>
    <w:rsid w:val="006A7234"/>
    <w:rsid w:val="006A7471"/>
    <w:rsid w:val="006A753C"/>
    <w:rsid w:val="006A7569"/>
    <w:rsid w:val="006A7A4F"/>
    <w:rsid w:val="006A7AA6"/>
    <w:rsid w:val="006A7AC8"/>
    <w:rsid w:val="006A7B01"/>
    <w:rsid w:val="006A7E91"/>
    <w:rsid w:val="006B0000"/>
    <w:rsid w:val="006B0128"/>
    <w:rsid w:val="006B0317"/>
    <w:rsid w:val="006B0874"/>
    <w:rsid w:val="006B0A81"/>
    <w:rsid w:val="006B0C59"/>
    <w:rsid w:val="006B0D3A"/>
    <w:rsid w:val="006B0DEF"/>
    <w:rsid w:val="006B0F15"/>
    <w:rsid w:val="006B0F4D"/>
    <w:rsid w:val="006B0F8D"/>
    <w:rsid w:val="006B101A"/>
    <w:rsid w:val="006B109E"/>
    <w:rsid w:val="006B11ED"/>
    <w:rsid w:val="006B126C"/>
    <w:rsid w:val="006B12B4"/>
    <w:rsid w:val="006B13C8"/>
    <w:rsid w:val="006B1420"/>
    <w:rsid w:val="006B15C8"/>
    <w:rsid w:val="006B163C"/>
    <w:rsid w:val="006B19DF"/>
    <w:rsid w:val="006B1A11"/>
    <w:rsid w:val="006B1A5B"/>
    <w:rsid w:val="006B1CC8"/>
    <w:rsid w:val="006B1CC9"/>
    <w:rsid w:val="006B1FF6"/>
    <w:rsid w:val="006B20AE"/>
    <w:rsid w:val="006B218C"/>
    <w:rsid w:val="006B2219"/>
    <w:rsid w:val="006B221A"/>
    <w:rsid w:val="006B2558"/>
    <w:rsid w:val="006B262F"/>
    <w:rsid w:val="006B26EC"/>
    <w:rsid w:val="006B2923"/>
    <w:rsid w:val="006B29C3"/>
    <w:rsid w:val="006B2B3B"/>
    <w:rsid w:val="006B2DC3"/>
    <w:rsid w:val="006B2DFE"/>
    <w:rsid w:val="006B2E17"/>
    <w:rsid w:val="006B2E2E"/>
    <w:rsid w:val="006B2FC6"/>
    <w:rsid w:val="006B3029"/>
    <w:rsid w:val="006B3184"/>
    <w:rsid w:val="006B3354"/>
    <w:rsid w:val="006B3601"/>
    <w:rsid w:val="006B3608"/>
    <w:rsid w:val="006B3633"/>
    <w:rsid w:val="006B36F6"/>
    <w:rsid w:val="006B37E4"/>
    <w:rsid w:val="006B3954"/>
    <w:rsid w:val="006B3B18"/>
    <w:rsid w:val="006B3B2E"/>
    <w:rsid w:val="006B3C30"/>
    <w:rsid w:val="006B3E88"/>
    <w:rsid w:val="006B419C"/>
    <w:rsid w:val="006B462D"/>
    <w:rsid w:val="006B46C2"/>
    <w:rsid w:val="006B474D"/>
    <w:rsid w:val="006B4A3D"/>
    <w:rsid w:val="006B4D53"/>
    <w:rsid w:val="006B4D71"/>
    <w:rsid w:val="006B4D92"/>
    <w:rsid w:val="006B4DC3"/>
    <w:rsid w:val="006B4E25"/>
    <w:rsid w:val="006B4E83"/>
    <w:rsid w:val="006B4F42"/>
    <w:rsid w:val="006B514B"/>
    <w:rsid w:val="006B51C5"/>
    <w:rsid w:val="006B521A"/>
    <w:rsid w:val="006B52AD"/>
    <w:rsid w:val="006B561E"/>
    <w:rsid w:val="006B57BA"/>
    <w:rsid w:val="006B57C1"/>
    <w:rsid w:val="006B5C07"/>
    <w:rsid w:val="006B5C12"/>
    <w:rsid w:val="006B5D97"/>
    <w:rsid w:val="006B5E8C"/>
    <w:rsid w:val="006B5E8F"/>
    <w:rsid w:val="006B5EA0"/>
    <w:rsid w:val="006B5F3D"/>
    <w:rsid w:val="006B5FA5"/>
    <w:rsid w:val="006B6054"/>
    <w:rsid w:val="006B63C2"/>
    <w:rsid w:val="006B6475"/>
    <w:rsid w:val="006B669F"/>
    <w:rsid w:val="006B6CCA"/>
    <w:rsid w:val="006B6DE7"/>
    <w:rsid w:val="006B7038"/>
    <w:rsid w:val="006B70DD"/>
    <w:rsid w:val="006B7317"/>
    <w:rsid w:val="006B7620"/>
    <w:rsid w:val="006B7697"/>
    <w:rsid w:val="006B76F2"/>
    <w:rsid w:val="006B7940"/>
    <w:rsid w:val="006B7A97"/>
    <w:rsid w:val="006B7BD4"/>
    <w:rsid w:val="006B7D65"/>
    <w:rsid w:val="006B7FC3"/>
    <w:rsid w:val="006C03B7"/>
    <w:rsid w:val="006C0508"/>
    <w:rsid w:val="006C07FE"/>
    <w:rsid w:val="006C0A51"/>
    <w:rsid w:val="006C0A74"/>
    <w:rsid w:val="006C0BD6"/>
    <w:rsid w:val="006C0D8A"/>
    <w:rsid w:val="006C0E81"/>
    <w:rsid w:val="006C0F2E"/>
    <w:rsid w:val="006C11AD"/>
    <w:rsid w:val="006C128B"/>
    <w:rsid w:val="006C1426"/>
    <w:rsid w:val="006C157E"/>
    <w:rsid w:val="006C199A"/>
    <w:rsid w:val="006C1B4D"/>
    <w:rsid w:val="006C1C45"/>
    <w:rsid w:val="006C2170"/>
    <w:rsid w:val="006C2193"/>
    <w:rsid w:val="006C2358"/>
    <w:rsid w:val="006C2565"/>
    <w:rsid w:val="006C2760"/>
    <w:rsid w:val="006C28C5"/>
    <w:rsid w:val="006C28EC"/>
    <w:rsid w:val="006C2952"/>
    <w:rsid w:val="006C2A00"/>
    <w:rsid w:val="006C2C12"/>
    <w:rsid w:val="006C2D46"/>
    <w:rsid w:val="006C2F40"/>
    <w:rsid w:val="006C2F4F"/>
    <w:rsid w:val="006C3575"/>
    <w:rsid w:val="006C35A6"/>
    <w:rsid w:val="006C3606"/>
    <w:rsid w:val="006C362E"/>
    <w:rsid w:val="006C363B"/>
    <w:rsid w:val="006C3686"/>
    <w:rsid w:val="006C3722"/>
    <w:rsid w:val="006C38D1"/>
    <w:rsid w:val="006C3989"/>
    <w:rsid w:val="006C39E3"/>
    <w:rsid w:val="006C3AFC"/>
    <w:rsid w:val="006C4129"/>
    <w:rsid w:val="006C413B"/>
    <w:rsid w:val="006C4295"/>
    <w:rsid w:val="006C4368"/>
    <w:rsid w:val="006C43FD"/>
    <w:rsid w:val="006C445E"/>
    <w:rsid w:val="006C4474"/>
    <w:rsid w:val="006C4535"/>
    <w:rsid w:val="006C45E0"/>
    <w:rsid w:val="006C464D"/>
    <w:rsid w:val="006C47CE"/>
    <w:rsid w:val="006C494F"/>
    <w:rsid w:val="006C49C2"/>
    <w:rsid w:val="006C4AE6"/>
    <w:rsid w:val="006C4D8D"/>
    <w:rsid w:val="006C4FEC"/>
    <w:rsid w:val="006C5009"/>
    <w:rsid w:val="006C5773"/>
    <w:rsid w:val="006C57BA"/>
    <w:rsid w:val="006C57BD"/>
    <w:rsid w:val="006C59E5"/>
    <w:rsid w:val="006C5C6D"/>
    <w:rsid w:val="006C5FB5"/>
    <w:rsid w:val="006C6041"/>
    <w:rsid w:val="006C6395"/>
    <w:rsid w:val="006C64A7"/>
    <w:rsid w:val="006C64AD"/>
    <w:rsid w:val="006C6558"/>
    <w:rsid w:val="006C65C4"/>
    <w:rsid w:val="006C66D5"/>
    <w:rsid w:val="006C6903"/>
    <w:rsid w:val="006C69B9"/>
    <w:rsid w:val="006C6C70"/>
    <w:rsid w:val="006C6D59"/>
    <w:rsid w:val="006C6F51"/>
    <w:rsid w:val="006C7079"/>
    <w:rsid w:val="006C7233"/>
    <w:rsid w:val="006C7576"/>
    <w:rsid w:val="006C7791"/>
    <w:rsid w:val="006C7A10"/>
    <w:rsid w:val="006C7A49"/>
    <w:rsid w:val="006C7AB3"/>
    <w:rsid w:val="006C7C98"/>
    <w:rsid w:val="006C7D41"/>
    <w:rsid w:val="006C7DDE"/>
    <w:rsid w:val="006C7F5F"/>
    <w:rsid w:val="006C7FEA"/>
    <w:rsid w:val="006D029B"/>
    <w:rsid w:val="006D02D9"/>
    <w:rsid w:val="006D03B4"/>
    <w:rsid w:val="006D05B5"/>
    <w:rsid w:val="006D08B3"/>
    <w:rsid w:val="006D0974"/>
    <w:rsid w:val="006D09F2"/>
    <w:rsid w:val="006D0A52"/>
    <w:rsid w:val="006D0C51"/>
    <w:rsid w:val="006D1115"/>
    <w:rsid w:val="006D13BB"/>
    <w:rsid w:val="006D1538"/>
    <w:rsid w:val="006D15C9"/>
    <w:rsid w:val="006D15DF"/>
    <w:rsid w:val="006D1610"/>
    <w:rsid w:val="006D1615"/>
    <w:rsid w:val="006D1828"/>
    <w:rsid w:val="006D191D"/>
    <w:rsid w:val="006D1AE3"/>
    <w:rsid w:val="006D1B90"/>
    <w:rsid w:val="006D1C5F"/>
    <w:rsid w:val="006D1CA7"/>
    <w:rsid w:val="006D1CB3"/>
    <w:rsid w:val="006D1D05"/>
    <w:rsid w:val="006D1E16"/>
    <w:rsid w:val="006D227E"/>
    <w:rsid w:val="006D2287"/>
    <w:rsid w:val="006D2468"/>
    <w:rsid w:val="006D24B0"/>
    <w:rsid w:val="006D24B9"/>
    <w:rsid w:val="006D29C8"/>
    <w:rsid w:val="006D2BB4"/>
    <w:rsid w:val="006D2C71"/>
    <w:rsid w:val="006D2E68"/>
    <w:rsid w:val="006D2E98"/>
    <w:rsid w:val="006D2ED1"/>
    <w:rsid w:val="006D2F50"/>
    <w:rsid w:val="006D2FE2"/>
    <w:rsid w:val="006D2FE6"/>
    <w:rsid w:val="006D314D"/>
    <w:rsid w:val="006D3174"/>
    <w:rsid w:val="006D3301"/>
    <w:rsid w:val="006D332C"/>
    <w:rsid w:val="006D376C"/>
    <w:rsid w:val="006D37F8"/>
    <w:rsid w:val="006D3A15"/>
    <w:rsid w:val="006D3B6A"/>
    <w:rsid w:val="006D3CC0"/>
    <w:rsid w:val="006D3E0E"/>
    <w:rsid w:val="006D3F3C"/>
    <w:rsid w:val="006D430E"/>
    <w:rsid w:val="006D4971"/>
    <w:rsid w:val="006D4991"/>
    <w:rsid w:val="006D49FE"/>
    <w:rsid w:val="006D4A67"/>
    <w:rsid w:val="006D4B1B"/>
    <w:rsid w:val="006D4FFF"/>
    <w:rsid w:val="006D5139"/>
    <w:rsid w:val="006D5300"/>
    <w:rsid w:val="006D54EB"/>
    <w:rsid w:val="006D5548"/>
    <w:rsid w:val="006D587D"/>
    <w:rsid w:val="006D5A69"/>
    <w:rsid w:val="006D5AA0"/>
    <w:rsid w:val="006D5B2F"/>
    <w:rsid w:val="006D5C1B"/>
    <w:rsid w:val="006D5D30"/>
    <w:rsid w:val="006D5E2A"/>
    <w:rsid w:val="006D6028"/>
    <w:rsid w:val="006D603A"/>
    <w:rsid w:val="006D6105"/>
    <w:rsid w:val="006D6457"/>
    <w:rsid w:val="006D6567"/>
    <w:rsid w:val="006D65F6"/>
    <w:rsid w:val="006D661D"/>
    <w:rsid w:val="006D6641"/>
    <w:rsid w:val="006D674C"/>
    <w:rsid w:val="006D6978"/>
    <w:rsid w:val="006D6C15"/>
    <w:rsid w:val="006D6CE1"/>
    <w:rsid w:val="006D6ED9"/>
    <w:rsid w:val="006D749D"/>
    <w:rsid w:val="006D7699"/>
    <w:rsid w:val="006D78BE"/>
    <w:rsid w:val="006D791B"/>
    <w:rsid w:val="006D7A22"/>
    <w:rsid w:val="006D7C21"/>
    <w:rsid w:val="006D7F5E"/>
    <w:rsid w:val="006E0118"/>
    <w:rsid w:val="006E0531"/>
    <w:rsid w:val="006E055C"/>
    <w:rsid w:val="006E0685"/>
    <w:rsid w:val="006E0902"/>
    <w:rsid w:val="006E0A42"/>
    <w:rsid w:val="006E0AC4"/>
    <w:rsid w:val="006E0C05"/>
    <w:rsid w:val="006E0D94"/>
    <w:rsid w:val="006E0DC4"/>
    <w:rsid w:val="006E0E76"/>
    <w:rsid w:val="006E0F4E"/>
    <w:rsid w:val="006E1259"/>
    <w:rsid w:val="006E1338"/>
    <w:rsid w:val="006E13D1"/>
    <w:rsid w:val="006E141D"/>
    <w:rsid w:val="006E168A"/>
    <w:rsid w:val="006E179B"/>
    <w:rsid w:val="006E17C3"/>
    <w:rsid w:val="006E180F"/>
    <w:rsid w:val="006E1C7B"/>
    <w:rsid w:val="006E1CD4"/>
    <w:rsid w:val="006E1DBB"/>
    <w:rsid w:val="006E1DC4"/>
    <w:rsid w:val="006E20A9"/>
    <w:rsid w:val="006E22E8"/>
    <w:rsid w:val="006E2332"/>
    <w:rsid w:val="006E2671"/>
    <w:rsid w:val="006E27BA"/>
    <w:rsid w:val="006E280F"/>
    <w:rsid w:val="006E2881"/>
    <w:rsid w:val="006E2A01"/>
    <w:rsid w:val="006E2BCE"/>
    <w:rsid w:val="006E2C03"/>
    <w:rsid w:val="006E2D5D"/>
    <w:rsid w:val="006E335E"/>
    <w:rsid w:val="006E370D"/>
    <w:rsid w:val="006E3732"/>
    <w:rsid w:val="006E37B7"/>
    <w:rsid w:val="006E38BF"/>
    <w:rsid w:val="006E393B"/>
    <w:rsid w:val="006E3963"/>
    <w:rsid w:val="006E3A04"/>
    <w:rsid w:val="006E3F36"/>
    <w:rsid w:val="006E40F7"/>
    <w:rsid w:val="006E4252"/>
    <w:rsid w:val="006E458A"/>
    <w:rsid w:val="006E45C5"/>
    <w:rsid w:val="006E4641"/>
    <w:rsid w:val="006E46C1"/>
    <w:rsid w:val="006E483B"/>
    <w:rsid w:val="006E48BA"/>
    <w:rsid w:val="006E4A1D"/>
    <w:rsid w:val="006E4B02"/>
    <w:rsid w:val="006E4B9A"/>
    <w:rsid w:val="006E4E13"/>
    <w:rsid w:val="006E4E32"/>
    <w:rsid w:val="006E4E78"/>
    <w:rsid w:val="006E4F69"/>
    <w:rsid w:val="006E4F6E"/>
    <w:rsid w:val="006E516A"/>
    <w:rsid w:val="006E52A2"/>
    <w:rsid w:val="006E5393"/>
    <w:rsid w:val="006E5492"/>
    <w:rsid w:val="006E55A6"/>
    <w:rsid w:val="006E57BF"/>
    <w:rsid w:val="006E587F"/>
    <w:rsid w:val="006E58EB"/>
    <w:rsid w:val="006E5908"/>
    <w:rsid w:val="006E5936"/>
    <w:rsid w:val="006E5969"/>
    <w:rsid w:val="006E59ED"/>
    <w:rsid w:val="006E5A96"/>
    <w:rsid w:val="006E5AEA"/>
    <w:rsid w:val="006E5B8C"/>
    <w:rsid w:val="006E5BC7"/>
    <w:rsid w:val="006E5C67"/>
    <w:rsid w:val="006E5CFD"/>
    <w:rsid w:val="006E5DE4"/>
    <w:rsid w:val="006E645D"/>
    <w:rsid w:val="006E6697"/>
    <w:rsid w:val="006E6824"/>
    <w:rsid w:val="006E683E"/>
    <w:rsid w:val="006E696C"/>
    <w:rsid w:val="006E69E2"/>
    <w:rsid w:val="006E6CAE"/>
    <w:rsid w:val="006E6E4C"/>
    <w:rsid w:val="006E6ED9"/>
    <w:rsid w:val="006E6FB5"/>
    <w:rsid w:val="006E719A"/>
    <w:rsid w:val="006E71A4"/>
    <w:rsid w:val="006E72D1"/>
    <w:rsid w:val="006E7401"/>
    <w:rsid w:val="006E74E9"/>
    <w:rsid w:val="006E7560"/>
    <w:rsid w:val="006E77CD"/>
    <w:rsid w:val="006E7852"/>
    <w:rsid w:val="006E7A38"/>
    <w:rsid w:val="006E7C58"/>
    <w:rsid w:val="006E7CE9"/>
    <w:rsid w:val="006E7E65"/>
    <w:rsid w:val="006F000A"/>
    <w:rsid w:val="006F004A"/>
    <w:rsid w:val="006F008F"/>
    <w:rsid w:val="006F00CC"/>
    <w:rsid w:val="006F03DA"/>
    <w:rsid w:val="006F04E7"/>
    <w:rsid w:val="006F0536"/>
    <w:rsid w:val="006F05FC"/>
    <w:rsid w:val="006F0702"/>
    <w:rsid w:val="006F0880"/>
    <w:rsid w:val="006F09C7"/>
    <w:rsid w:val="006F0A39"/>
    <w:rsid w:val="006F0C15"/>
    <w:rsid w:val="006F0D5A"/>
    <w:rsid w:val="006F0E15"/>
    <w:rsid w:val="006F0E51"/>
    <w:rsid w:val="006F0F75"/>
    <w:rsid w:val="006F111B"/>
    <w:rsid w:val="006F132C"/>
    <w:rsid w:val="006F13D2"/>
    <w:rsid w:val="006F14B0"/>
    <w:rsid w:val="006F159D"/>
    <w:rsid w:val="006F1706"/>
    <w:rsid w:val="006F1B2E"/>
    <w:rsid w:val="006F1B51"/>
    <w:rsid w:val="006F1B85"/>
    <w:rsid w:val="006F1BD9"/>
    <w:rsid w:val="006F22CD"/>
    <w:rsid w:val="006F22E3"/>
    <w:rsid w:val="006F23C6"/>
    <w:rsid w:val="006F25D1"/>
    <w:rsid w:val="006F25D5"/>
    <w:rsid w:val="006F2762"/>
    <w:rsid w:val="006F27E7"/>
    <w:rsid w:val="006F2959"/>
    <w:rsid w:val="006F2B51"/>
    <w:rsid w:val="006F2CD9"/>
    <w:rsid w:val="006F2E5B"/>
    <w:rsid w:val="006F2EB2"/>
    <w:rsid w:val="006F2F9D"/>
    <w:rsid w:val="006F2FA0"/>
    <w:rsid w:val="006F2FD9"/>
    <w:rsid w:val="006F3020"/>
    <w:rsid w:val="006F303D"/>
    <w:rsid w:val="006F32F1"/>
    <w:rsid w:val="006F3382"/>
    <w:rsid w:val="006F35F8"/>
    <w:rsid w:val="006F37DB"/>
    <w:rsid w:val="006F3816"/>
    <w:rsid w:val="006F39D5"/>
    <w:rsid w:val="006F3B64"/>
    <w:rsid w:val="006F3E7E"/>
    <w:rsid w:val="006F3E8A"/>
    <w:rsid w:val="006F3F11"/>
    <w:rsid w:val="006F4222"/>
    <w:rsid w:val="006F426B"/>
    <w:rsid w:val="006F42AD"/>
    <w:rsid w:val="006F42D4"/>
    <w:rsid w:val="006F43DF"/>
    <w:rsid w:val="006F43F3"/>
    <w:rsid w:val="006F4789"/>
    <w:rsid w:val="006F480F"/>
    <w:rsid w:val="006F4D12"/>
    <w:rsid w:val="006F4FBC"/>
    <w:rsid w:val="006F5359"/>
    <w:rsid w:val="006F5379"/>
    <w:rsid w:val="006F5393"/>
    <w:rsid w:val="006F540C"/>
    <w:rsid w:val="006F573B"/>
    <w:rsid w:val="006F581D"/>
    <w:rsid w:val="006F583F"/>
    <w:rsid w:val="006F5A67"/>
    <w:rsid w:val="006F5C09"/>
    <w:rsid w:val="006F5E7B"/>
    <w:rsid w:val="006F609B"/>
    <w:rsid w:val="006F6352"/>
    <w:rsid w:val="006F639C"/>
    <w:rsid w:val="006F678C"/>
    <w:rsid w:val="006F67E3"/>
    <w:rsid w:val="006F69D9"/>
    <w:rsid w:val="006F6A6C"/>
    <w:rsid w:val="006F6A84"/>
    <w:rsid w:val="006F6AEA"/>
    <w:rsid w:val="006F6B3F"/>
    <w:rsid w:val="006F6C1D"/>
    <w:rsid w:val="006F6CD1"/>
    <w:rsid w:val="006F6D22"/>
    <w:rsid w:val="006F700C"/>
    <w:rsid w:val="006F7236"/>
    <w:rsid w:val="006F7345"/>
    <w:rsid w:val="006F7791"/>
    <w:rsid w:val="006F7838"/>
    <w:rsid w:val="006F7A87"/>
    <w:rsid w:val="006F7E8C"/>
    <w:rsid w:val="00700146"/>
    <w:rsid w:val="007002B6"/>
    <w:rsid w:val="0070053E"/>
    <w:rsid w:val="00700678"/>
    <w:rsid w:val="007006CA"/>
    <w:rsid w:val="0070098B"/>
    <w:rsid w:val="00700BCD"/>
    <w:rsid w:val="00700C9D"/>
    <w:rsid w:val="00700CEA"/>
    <w:rsid w:val="00700D56"/>
    <w:rsid w:val="00700F76"/>
    <w:rsid w:val="00700FEA"/>
    <w:rsid w:val="0070129A"/>
    <w:rsid w:val="007016F7"/>
    <w:rsid w:val="0070173E"/>
    <w:rsid w:val="00701833"/>
    <w:rsid w:val="007018D6"/>
    <w:rsid w:val="00701A36"/>
    <w:rsid w:val="00701B55"/>
    <w:rsid w:val="00701BEC"/>
    <w:rsid w:val="00701BEF"/>
    <w:rsid w:val="00701D42"/>
    <w:rsid w:val="00701D80"/>
    <w:rsid w:val="00701EB6"/>
    <w:rsid w:val="00701FD4"/>
    <w:rsid w:val="007020E7"/>
    <w:rsid w:val="0070220B"/>
    <w:rsid w:val="007022C1"/>
    <w:rsid w:val="007022D5"/>
    <w:rsid w:val="007022D6"/>
    <w:rsid w:val="00702391"/>
    <w:rsid w:val="00702B3A"/>
    <w:rsid w:val="00702DF0"/>
    <w:rsid w:val="00702E7E"/>
    <w:rsid w:val="00702E96"/>
    <w:rsid w:val="00703142"/>
    <w:rsid w:val="00703145"/>
    <w:rsid w:val="007036CC"/>
    <w:rsid w:val="00703A03"/>
    <w:rsid w:val="00703E57"/>
    <w:rsid w:val="00703F01"/>
    <w:rsid w:val="00704106"/>
    <w:rsid w:val="007041ED"/>
    <w:rsid w:val="00704235"/>
    <w:rsid w:val="00704389"/>
    <w:rsid w:val="007045AB"/>
    <w:rsid w:val="00704799"/>
    <w:rsid w:val="007049B5"/>
    <w:rsid w:val="00704B0F"/>
    <w:rsid w:val="00704BDF"/>
    <w:rsid w:val="00704EE8"/>
    <w:rsid w:val="007050DC"/>
    <w:rsid w:val="007053FE"/>
    <w:rsid w:val="007054A0"/>
    <w:rsid w:val="00705566"/>
    <w:rsid w:val="00705787"/>
    <w:rsid w:val="007057ED"/>
    <w:rsid w:val="00705A3D"/>
    <w:rsid w:val="00705EEE"/>
    <w:rsid w:val="00705F39"/>
    <w:rsid w:val="00706095"/>
    <w:rsid w:val="00706134"/>
    <w:rsid w:val="007062DB"/>
    <w:rsid w:val="00706347"/>
    <w:rsid w:val="0070658B"/>
    <w:rsid w:val="00706744"/>
    <w:rsid w:val="0070699F"/>
    <w:rsid w:val="00706C97"/>
    <w:rsid w:val="00706CB9"/>
    <w:rsid w:val="0070707D"/>
    <w:rsid w:val="007070D2"/>
    <w:rsid w:val="007070D3"/>
    <w:rsid w:val="0070724C"/>
    <w:rsid w:val="007075E1"/>
    <w:rsid w:val="00707610"/>
    <w:rsid w:val="007076C9"/>
    <w:rsid w:val="007077A2"/>
    <w:rsid w:val="0070785E"/>
    <w:rsid w:val="0070793C"/>
    <w:rsid w:val="0070796A"/>
    <w:rsid w:val="00707B56"/>
    <w:rsid w:val="00707BB4"/>
    <w:rsid w:val="00707C51"/>
    <w:rsid w:val="00707C5F"/>
    <w:rsid w:val="00707D10"/>
    <w:rsid w:val="00707DD8"/>
    <w:rsid w:val="00707DF9"/>
    <w:rsid w:val="00710092"/>
    <w:rsid w:val="0071010E"/>
    <w:rsid w:val="00710393"/>
    <w:rsid w:val="0071039B"/>
    <w:rsid w:val="00710441"/>
    <w:rsid w:val="00710521"/>
    <w:rsid w:val="007106A4"/>
    <w:rsid w:val="007107B0"/>
    <w:rsid w:val="00710908"/>
    <w:rsid w:val="0071093B"/>
    <w:rsid w:val="0071096D"/>
    <w:rsid w:val="00710970"/>
    <w:rsid w:val="00710B0F"/>
    <w:rsid w:val="00711105"/>
    <w:rsid w:val="007114B2"/>
    <w:rsid w:val="00711515"/>
    <w:rsid w:val="0071161F"/>
    <w:rsid w:val="007116C1"/>
    <w:rsid w:val="007117C9"/>
    <w:rsid w:val="00711B9A"/>
    <w:rsid w:val="00711C1D"/>
    <w:rsid w:val="00711C51"/>
    <w:rsid w:val="00711D8C"/>
    <w:rsid w:val="00712056"/>
    <w:rsid w:val="007122B0"/>
    <w:rsid w:val="0071240E"/>
    <w:rsid w:val="007125ED"/>
    <w:rsid w:val="007125F0"/>
    <w:rsid w:val="0071270E"/>
    <w:rsid w:val="007127C0"/>
    <w:rsid w:val="00712AEC"/>
    <w:rsid w:val="00712C07"/>
    <w:rsid w:val="00712F4D"/>
    <w:rsid w:val="00712FF6"/>
    <w:rsid w:val="00713018"/>
    <w:rsid w:val="0071301F"/>
    <w:rsid w:val="007132A0"/>
    <w:rsid w:val="0071350B"/>
    <w:rsid w:val="00713610"/>
    <w:rsid w:val="007138E4"/>
    <w:rsid w:val="0071395A"/>
    <w:rsid w:val="00713A1E"/>
    <w:rsid w:val="00713A44"/>
    <w:rsid w:val="00713ACD"/>
    <w:rsid w:val="00713B91"/>
    <w:rsid w:val="00713D6E"/>
    <w:rsid w:val="00713E90"/>
    <w:rsid w:val="00714197"/>
    <w:rsid w:val="00714872"/>
    <w:rsid w:val="0071511D"/>
    <w:rsid w:val="0071516A"/>
    <w:rsid w:val="007151CA"/>
    <w:rsid w:val="00715261"/>
    <w:rsid w:val="00715515"/>
    <w:rsid w:val="007159F2"/>
    <w:rsid w:val="00715CE4"/>
    <w:rsid w:val="00715D54"/>
    <w:rsid w:val="00715DAE"/>
    <w:rsid w:val="00715EC6"/>
    <w:rsid w:val="00715FD0"/>
    <w:rsid w:val="0071601C"/>
    <w:rsid w:val="0071610D"/>
    <w:rsid w:val="00716521"/>
    <w:rsid w:val="0071655D"/>
    <w:rsid w:val="00716663"/>
    <w:rsid w:val="0071667F"/>
    <w:rsid w:val="0071693C"/>
    <w:rsid w:val="007169A0"/>
    <w:rsid w:val="00716B29"/>
    <w:rsid w:val="00716F63"/>
    <w:rsid w:val="00717275"/>
    <w:rsid w:val="00717357"/>
    <w:rsid w:val="00717376"/>
    <w:rsid w:val="0071754F"/>
    <w:rsid w:val="007175C4"/>
    <w:rsid w:val="00717735"/>
    <w:rsid w:val="00717832"/>
    <w:rsid w:val="00717984"/>
    <w:rsid w:val="007179D7"/>
    <w:rsid w:val="00717C55"/>
    <w:rsid w:val="00717D99"/>
    <w:rsid w:val="00717F49"/>
    <w:rsid w:val="00720262"/>
    <w:rsid w:val="007204D4"/>
    <w:rsid w:val="00720723"/>
    <w:rsid w:val="007209AF"/>
    <w:rsid w:val="007209C4"/>
    <w:rsid w:val="007209FF"/>
    <w:rsid w:val="00720A0F"/>
    <w:rsid w:val="00720CD5"/>
    <w:rsid w:val="0072147A"/>
    <w:rsid w:val="0072151C"/>
    <w:rsid w:val="00721555"/>
    <w:rsid w:val="007218A7"/>
    <w:rsid w:val="007219CB"/>
    <w:rsid w:val="00721A40"/>
    <w:rsid w:val="00721A6A"/>
    <w:rsid w:val="00721A9E"/>
    <w:rsid w:val="00721B2B"/>
    <w:rsid w:val="00721B35"/>
    <w:rsid w:val="00721B9F"/>
    <w:rsid w:val="00721BAA"/>
    <w:rsid w:val="00721BEC"/>
    <w:rsid w:val="00721BF1"/>
    <w:rsid w:val="00721C4D"/>
    <w:rsid w:val="00721CE6"/>
    <w:rsid w:val="007220E2"/>
    <w:rsid w:val="0072214C"/>
    <w:rsid w:val="007221D1"/>
    <w:rsid w:val="00722398"/>
    <w:rsid w:val="007225AB"/>
    <w:rsid w:val="007225EA"/>
    <w:rsid w:val="00722D5D"/>
    <w:rsid w:val="00722F3E"/>
    <w:rsid w:val="00722F61"/>
    <w:rsid w:val="007231A0"/>
    <w:rsid w:val="007235AB"/>
    <w:rsid w:val="00723664"/>
    <w:rsid w:val="00723804"/>
    <w:rsid w:val="007239DF"/>
    <w:rsid w:val="007239E8"/>
    <w:rsid w:val="00723A7C"/>
    <w:rsid w:val="00723C4E"/>
    <w:rsid w:val="00723D6F"/>
    <w:rsid w:val="00723E73"/>
    <w:rsid w:val="00724361"/>
    <w:rsid w:val="0072436B"/>
    <w:rsid w:val="00724448"/>
    <w:rsid w:val="0072475A"/>
    <w:rsid w:val="00724891"/>
    <w:rsid w:val="007248D5"/>
    <w:rsid w:val="0072495E"/>
    <w:rsid w:val="00724A0F"/>
    <w:rsid w:val="00724DF4"/>
    <w:rsid w:val="0072503A"/>
    <w:rsid w:val="007253D1"/>
    <w:rsid w:val="007255F4"/>
    <w:rsid w:val="0072578C"/>
    <w:rsid w:val="00725922"/>
    <w:rsid w:val="0072595D"/>
    <w:rsid w:val="00725AAF"/>
    <w:rsid w:val="00725C1F"/>
    <w:rsid w:val="00725FC2"/>
    <w:rsid w:val="007260A1"/>
    <w:rsid w:val="007260A6"/>
    <w:rsid w:val="007262E1"/>
    <w:rsid w:val="00726476"/>
    <w:rsid w:val="00726723"/>
    <w:rsid w:val="00726778"/>
    <w:rsid w:val="007269DD"/>
    <w:rsid w:val="007269ED"/>
    <w:rsid w:val="00726ADF"/>
    <w:rsid w:val="00726B75"/>
    <w:rsid w:val="0072739F"/>
    <w:rsid w:val="00727977"/>
    <w:rsid w:val="00727AD8"/>
    <w:rsid w:val="00727CD0"/>
    <w:rsid w:val="00730288"/>
    <w:rsid w:val="007302EA"/>
    <w:rsid w:val="00730334"/>
    <w:rsid w:val="007303BD"/>
    <w:rsid w:val="007303F8"/>
    <w:rsid w:val="0073046C"/>
    <w:rsid w:val="007306F6"/>
    <w:rsid w:val="00730AC3"/>
    <w:rsid w:val="00730AFF"/>
    <w:rsid w:val="00730C33"/>
    <w:rsid w:val="00730C7D"/>
    <w:rsid w:val="00730CD5"/>
    <w:rsid w:val="00730E5E"/>
    <w:rsid w:val="00731137"/>
    <w:rsid w:val="00731299"/>
    <w:rsid w:val="007312CB"/>
    <w:rsid w:val="007312E3"/>
    <w:rsid w:val="007313A7"/>
    <w:rsid w:val="007316F9"/>
    <w:rsid w:val="00731A68"/>
    <w:rsid w:val="00731ADE"/>
    <w:rsid w:val="00731CD3"/>
    <w:rsid w:val="00731D24"/>
    <w:rsid w:val="00731DD6"/>
    <w:rsid w:val="00731F71"/>
    <w:rsid w:val="00732022"/>
    <w:rsid w:val="007320D6"/>
    <w:rsid w:val="0073213A"/>
    <w:rsid w:val="0073213F"/>
    <w:rsid w:val="007323BC"/>
    <w:rsid w:val="00732443"/>
    <w:rsid w:val="00732733"/>
    <w:rsid w:val="007329EF"/>
    <w:rsid w:val="00732BC2"/>
    <w:rsid w:val="00732C1C"/>
    <w:rsid w:val="0073300F"/>
    <w:rsid w:val="007332D2"/>
    <w:rsid w:val="00733304"/>
    <w:rsid w:val="007336DB"/>
    <w:rsid w:val="0073379E"/>
    <w:rsid w:val="007339A7"/>
    <w:rsid w:val="00733B5A"/>
    <w:rsid w:val="00733C77"/>
    <w:rsid w:val="00733F7E"/>
    <w:rsid w:val="00733FCF"/>
    <w:rsid w:val="00734005"/>
    <w:rsid w:val="00734200"/>
    <w:rsid w:val="00734487"/>
    <w:rsid w:val="0073449D"/>
    <w:rsid w:val="00734620"/>
    <w:rsid w:val="0073463E"/>
    <w:rsid w:val="0073475A"/>
    <w:rsid w:val="0073495B"/>
    <w:rsid w:val="00734B86"/>
    <w:rsid w:val="00734D83"/>
    <w:rsid w:val="00735004"/>
    <w:rsid w:val="00735046"/>
    <w:rsid w:val="007353AA"/>
    <w:rsid w:val="007356E9"/>
    <w:rsid w:val="00735A54"/>
    <w:rsid w:val="00735B18"/>
    <w:rsid w:val="00735BF8"/>
    <w:rsid w:val="00735C9E"/>
    <w:rsid w:val="00735EC2"/>
    <w:rsid w:val="00735F21"/>
    <w:rsid w:val="00735FDB"/>
    <w:rsid w:val="007360A5"/>
    <w:rsid w:val="007361A7"/>
    <w:rsid w:val="007362C9"/>
    <w:rsid w:val="00736339"/>
    <w:rsid w:val="00736370"/>
    <w:rsid w:val="00736396"/>
    <w:rsid w:val="00736425"/>
    <w:rsid w:val="00736703"/>
    <w:rsid w:val="00736793"/>
    <w:rsid w:val="007367A7"/>
    <w:rsid w:val="00736849"/>
    <w:rsid w:val="007369AA"/>
    <w:rsid w:val="00736B05"/>
    <w:rsid w:val="00736C7E"/>
    <w:rsid w:val="00736CC3"/>
    <w:rsid w:val="0073700C"/>
    <w:rsid w:val="007370A6"/>
    <w:rsid w:val="007370D8"/>
    <w:rsid w:val="007371EB"/>
    <w:rsid w:val="007372E3"/>
    <w:rsid w:val="0073758E"/>
    <w:rsid w:val="007377B2"/>
    <w:rsid w:val="0073789E"/>
    <w:rsid w:val="007379E4"/>
    <w:rsid w:val="00737A62"/>
    <w:rsid w:val="00737AE5"/>
    <w:rsid w:val="00737DE2"/>
    <w:rsid w:val="00737E10"/>
    <w:rsid w:val="00740470"/>
    <w:rsid w:val="007404A0"/>
    <w:rsid w:val="007404EB"/>
    <w:rsid w:val="0074057A"/>
    <w:rsid w:val="00740682"/>
    <w:rsid w:val="00740AE5"/>
    <w:rsid w:val="00740D42"/>
    <w:rsid w:val="00740F35"/>
    <w:rsid w:val="00741060"/>
    <w:rsid w:val="00741208"/>
    <w:rsid w:val="0074143F"/>
    <w:rsid w:val="00741526"/>
    <w:rsid w:val="0074152F"/>
    <w:rsid w:val="007415D0"/>
    <w:rsid w:val="00741691"/>
    <w:rsid w:val="00741705"/>
    <w:rsid w:val="007417D8"/>
    <w:rsid w:val="00741A35"/>
    <w:rsid w:val="00741B55"/>
    <w:rsid w:val="0074206E"/>
    <w:rsid w:val="007421DF"/>
    <w:rsid w:val="00742229"/>
    <w:rsid w:val="007423F7"/>
    <w:rsid w:val="00742442"/>
    <w:rsid w:val="007424F7"/>
    <w:rsid w:val="007427D8"/>
    <w:rsid w:val="0074283F"/>
    <w:rsid w:val="00742A2B"/>
    <w:rsid w:val="00742ABD"/>
    <w:rsid w:val="00742C79"/>
    <w:rsid w:val="00742DBA"/>
    <w:rsid w:val="00742DC2"/>
    <w:rsid w:val="00742EC9"/>
    <w:rsid w:val="0074301C"/>
    <w:rsid w:val="00743099"/>
    <w:rsid w:val="0074312A"/>
    <w:rsid w:val="0074312F"/>
    <w:rsid w:val="0074313D"/>
    <w:rsid w:val="007431BE"/>
    <w:rsid w:val="00743298"/>
    <w:rsid w:val="007433EF"/>
    <w:rsid w:val="007433F7"/>
    <w:rsid w:val="00743553"/>
    <w:rsid w:val="0074355E"/>
    <w:rsid w:val="0074385D"/>
    <w:rsid w:val="007439E2"/>
    <w:rsid w:val="00743A88"/>
    <w:rsid w:val="00743B6C"/>
    <w:rsid w:val="00743BAE"/>
    <w:rsid w:val="00743C5B"/>
    <w:rsid w:val="00743E08"/>
    <w:rsid w:val="00743F5C"/>
    <w:rsid w:val="00744386"/>
    <w:rsid w:val="00744408"/>
    <w:rsid w:val="0074448B"/>
    <w:rsid w:val="00744643"/>
    <w:rsid w:val="0074474B"/>
    <w:rsid w:val="00744780"/>
    <w:rsid w:val="0074491D"/>
    <w:rsid w:val="00744983"/>
    <w:rsid w:val="007449CA"/>
    <w:rsid w:val="00744A9C"/>
    <w:rsid w:val="00744ABE"/>
    <w:rsid w:val="00744B95"/>
    <w:rsid w:val="00744F09"/>
    <w:rsid w:val="00745393"/>
    <w:rsid w:val="007455B0"/>
    <w:rsid w:val="0074578C"/>
    <w:rsid w:val="0074580B"/>
    <w:rsid w:val="00745C3B"/>
    <w:rsid w:val="00745D1B"/>
    <w:rsid w:val="00745D81"/>
    <w:rsid w:val="00745FB7"/>
    <w:rsid w:val="00746092"/>
    <w:rsid w:val="00746186"/>
    <w:rsid w:val="0074626B"/>
    <w:rsid w:val="007462DE"/>
    <w:rsid w:val="0074631F"/>
    <w:rsid w:val="00746353"/>
    <w:rsid w:val="00746396"/>
    <w:rsid w:val="007464B2"/>
    <w:rsid w:val="00746505"/>
    <w:rsid w:val="00746554"/>
    <w:rsid w:val="007467B6"/>
    <w:rsid w:val="007467EE"/>
    <w:rsid w:val="0074681B"/>
    <w:rsid w:val="00746831"/>
    <w:rsid w:val="0074686E"/>
    <w:rsid w:val="007468AC"/>
    <w:rsid w:val="00746AAA"/>
    <w:rsid w:val="00746BD6"/>
    <w:rsid w:val="00746EE5"/>
    <w:rsid w:val="00747050"/>
    <w:rsid w:val="0074727D"/>
    <w:rsid w:val="007473AA"/>
    <w:rsid w:val="007474F3"/>
    <w:rsid w:val="0074764D"/>
    <w:rsid w:val="00747C3E"/>
    <w:rsid w:val="00747C8B"/>
    <w:rsid w:val="00747CC8"/>
    <w:rsid w:val="00747DBB"/>
    <w:rsid w:val="00747E64"/>
    <w:rsid w:val="0075007A"/>
    <w:rsid w:val="00750170"/>
    <w:rsid w:val="00750190"/>
    <w:rsid w:val="0075064B"/>
    <w:rsid w:val="007508D1"/>
    <w:rsid w:val="00750973"/>
    <w:rsid w:val="007509AD"/>
    <w:rsid w:val="00750C94"/>
    <w:rsid w:val="00750CBC"/>
    <w:rsid w:val="00750E52"/>
    <w:rsid w:val="00750ED1"/>
    <w:rsid w:val="00751084"/>
    <w:rsid w:val="007511F8"/>
    <w:rsid w:val="00751384"/>
    <w:rsid w:val="007513B9"/>
    <w:rsid w:val="007514D2"/>
    <w:rsid w:val="0075159F"/>
    <w:rsid w:val="007515FA"/>
    <w:rsid w:val="00751687"/>
    <w:rsid w:val="00751702"/>
    <w:rsid w:val="007518C5"/>
    <w:rsid w:val="00751B62"/>
    <w:rsid w:val="00751F22"/>
    <w:rsid w:val="0075203C"/>
    <w:rsid w:val="007520A0"/>
    <w:rsid w:val="0075215E"/>
    <w:rsid w:val="007521CE"/>
    <w:rsid w:val="007522EB"/>
    <w:rsid w:val="00752359"/>
    <w:rsid w:val="007524BB"/>
    <w:rsid w:val="007524EA"/>
    <w:rsid w:val="00752624"/>
    <w:rsid w:val="00752770"/>
    <w:rsid w:val="00752A14"/>
    <w:rsid w:val="00752ABF"/>
    <w:rsid w:val="00752B04"/>
    <w:rsid w:val="00752C8A"/>
    <w:rsid w:val="00752F12"/>
    <w:rsid w:val="007530DA"/>
    <w:rsid w:val="007533B8"/>
    <w:rsid w:val="0075351B"/>
    <w:rsid w:val="00753573"/>
    <w:rsid w:val="00753615"/>
    <w:rsid w:val="007536EF"/>
    <w:rsid w:val="00753988"/>
    <w:rsid w:val="00753A3A"/>
    <w:rsid w:val="00753C3B"/>
    <w:rsid w:val="00753C94"/>
    <w:rsid w:val="00753D22"/>
    <w:rsid w:val="00753D69"/>
    <w:rsid w:val="00753E8E"/>
    <w:rsid w:val="00753EE6"/>
    <w:rsid w:val="00753F45"/>
    <w:rsid w:val="00754296"/>
    <w:rsid w:val="0075432C"/>
    <w:rsid w:val="007544EE"/>
    <w:rsid w:val="00754572"/>
    <w:rsid w:val="00754599"/>
    <w:rsid w:val="00754602"/>
    <w:rsid w:val="00754819"/>
    <w:rsid w:val="0075482B"/>
    <w:rsid w:val="0075489C"/>
    <w:rsid w:val="007548CF"/>
    <w:rsid w:val="00754931"/>
    <w:rsid w:val="007549A8"/>
    <w:rsid w:val="00754C3E"/>
    <w:rsid w:val="00754E64"/>
    <w:rsid w:val="00755058"/>
    <w:rsid w:val="007553FD"/>
    <w:rsid w:val="007554B2"/>
    <w:rsid w:val="007556D7"/>
    <w:rsid w:val="007558B1"/>
    <w:rsid w:val="00755A5D"/>
    <w:rsid w:val="00755A73"/>
    <w:rsid w:val="00755B59"/>
    <w:rsid w:val="00755BEE"/>
    <w:rsid w:val="00755D9F"/>
    <w:rsid w:val="00756109"/>
    <w:rsid w:val="0075654E"/>
    <w:rsid w:val="0075692A"/>
    <w:rsid w:val="00756A6E"/>
    <w:rsid w:val="00756B83"/>
    <w:rsid w:val="0075711D"/>
    <w:rsid w:val="007572BF"/>
    <w:rsid w:val="00757323"/>
    <w:rsid w:val="007577E4"/>
    <w:rsid w:val="00757BE0"/>
    <w:rsid w:val="00757D23"/>
    <w:rsid w:val="00757F86"/>
    <w:rsid w:val="007604EE"/>
    <w:rsid w:val="0076050D"/>
    <w:rsid w:val="007605DB"/>
    <w:rsid w:val="007606E1"/>
    <w:rsid w:val="007607ED"/>
    <w:rsid w:val="007608A2"/>
    <w:rsid w:val="007609E6"/>
    <w:rsid w:val="00760C15"/>
    <w:rsid w:val="00760CD8"/>
    <w:rsid w:val="00760CDC"/>
    <w:rsid w:val="00760F25"/>
    <w:rsid w:val="00760F8C"/>
    <w:rsid w:val="0076105B"/>
    <w:rsid w:val="007610D2"/>
    <w:rsid w:val="00761433"/>
    <w:rsid w:val="0076157E"/>
    <w:rsid w:val="0076161F"/>
    <w:rsid w:val="00761665"/>
    <w:rsid w:val="0076190E"/>
    <w:rsid w:val="00761B04"/>
    <w:rsid w:val="00761B2C"/>
    <w:rsid w:val="00761C36"/>
    <w:rsid w:val="00761FFF"/>
    <w:rsid w:val="007620E1"/>
    <w:rsid w:val="0076221F"/>
    <w:rsid w:val="007622C2"/>
    <w:rsid w:val="007622E3"/>
    <w:rsid w:val="007623AA"/>
    <w:rsid w:val="00762472"/>
    <w:rsid w:val="00762720"/>
    <w:rsid w:val="007628E0"/>
    <w:rsid w:val="00762B51"/>
    <w:rsid w:val="00762C7D"/>
    <w:rsid w:val="00763112"/>
    <w:rsid w:val="00763195"/>
    <w:rsid w:val="0076330F"/>
    <w:rsid w:val="007633C1"/>
    <w:rsid w:val="00763405"/>
    <w:rsid w:val="00763409"/>
    <w:rsid w:val="007634A5"/>
    <w:rsid w:val="0076363C"/>
    <w:rsid w:val="0076372E"/>
    <w:rsid w:val="0076383C"/>
    <w:rsid w:val="0076393B"/>
    <w:rsid w:val="00763A11"/>
    <w:rsid w:val="00763A17"/>
    <w:rsid w:val="00763A74"/>
    <w:rsid w:val="00763AF4"/>
    <w:rsid w:val="00763C62"/>
    <w:rsid w:val="00763D4D"/>
    <w:rsid w:val="00763F1D"/>
    <w:rsid w:val="00763F39"/>
    <w:rsid w:val="00763FB3"/>
    <w:rsid w:val="007642C6"/>
    <w:rsid w:val="007642E3"/>
    <w:rsid w:val="0076445F"/>
    <w:rsid w:val="00764618"/>
    <w:rsid w:val="0076461C"/>
    <w:rsid w:val="0076471A"/>
    <w:rsid w:val="0076488C"/>
    <w:rsid w:val="007649C0"/>
    <w:rsid w:val="00764BAE"/>
    <w:rsid w:val="00764D6B"/>
    <w:rsid w:val="00764DC4"/>
    <w:rsid w:val="00764E60"/>
    <w:rsid w:val="00764F3F"/>
    <w:rsid w:val="00765222"/>
    <w:rsid w:val="0076525D"/>
    <w:rsid w:val="00765625"/>
    <w:rsid w:val="00765A36"/>
    <w:rsid w:val="00765B36"/>
    <w:rsid w:val="00765B4B"/>
    <w:rsid w:val="00765E51"/>
    <w:rsid w:val="00765FBA"/>
    <w:rsid w:val="00766062"/>
    <w:rsid w:val="00766217"/>
    <w:rsid w:val="00766256"/>
    <w:rsid w:val="0076625C"/>
    <w:rsid w:val="00766412"/>
    <w:rsid w:val="00766426"/>
    <w:rsid w:val="0076659B"/>
    <w:rsid w:val="007667D5"/>
    <w:rsid w:val="007668CA"/>
    <w:rsid w:val="007668F1"/>
    <w:rsid w:val="00766F06"/>
    <w:rsid w:val="00766FAB"/>
    <w:rsid w:val="00767038"/>
    <w:rsid w:val="0076730F"/>
    <w:rsid w:val="007673DD"/>
    <w:rsid w:val="007673F5"/>
    <w:rsid w:val="00767491"/>
    <w:rsid w:val="00767511"/>
    <w:rsid w:val="007676AB"/>
    <w:rsid w:val="007676FB"/>
    <w:rsid w:val="00767882"/>
    <w:rsid w:val="00767887"/>
    <w:rsid w:val="00767A5B"/>
    <w:rsid w:val="00767AAF"/>
    <w:rsid w:val="00767AE3"/>
    <w:rsid w:val="00767B34"/>
    <w:rsid w:val="00767D99"/>
    <w:rsid w:val="00770171"/>
    <w:rsid w:val="00770181"/>
    <w:rsid w:val="00770385"/>
    <w:rsid w:val="00770484"/>
    <w:rsid w:val="0077069B"/>
    <w:rsid w:val="007709E4"/>
    <w:rsid w:val="00770A81"/>
    <w:rsid w:val="00770DDB"/>
    <w:rsid w:val="00770DE0"/>
    <w:rsid w:val="00770E51"/>
    <w:rsid w:val="00771061"/>
    <w:rsid w:val="00771165"/>
    <w:rsid w:val="0077131D"/>
    <w:rsid w:val="007714AC"/>
    <w:rsid w:val="007714D0"/>
    <w:rsid w:val="007715B1"/>
    <w:rsid w:val="00771684"/>
    <w:rsid w:val="00771752"/>
    <w:rsid w:val="007717B5"/>
    <w:rsid w:val="007717BE"/>
    <w:rsid w:val="00771A0E"/>
    <w:rsid w:val="00771A7E"/>
    <w:rsid w:val="00771BCC"/>
    <w:rsid w:val="00771C19"/>
    <w:rsid w:val="00771D85"/>
    <w:rsid w:val="00771DEA"/>
    <w:rsid w:val="00771F28"/>
    <w:rsid w:val="00771FF6"/>
    <w:rsid w:val="00772360"/>
    <w:rsid w:val="007724F8"/>
    <w:rsid w:val="00772CB5"/>
    <w:rsid w:val="00772DE4"/>
    <w:rsid w:val="00772DFE"/>
    <w:rsid w:val="00772E18"/>
    <w:rsid w:val="00772E74"/>
    <w:rsid w:val="007730E6"/>
    <w:rsid w:val="007731D6"/>
    <w:rsid w:val="007733AB"/>
    <w:rsid w:val="007733C1"/>
    <w:rsid w:val="00773DB8"/>
    <w:rsid w:val="00773DDF"/>
    <w:rsid w:val="007740F8"/>
    <w:rsid w:val="00774368"/>
    <w:rsid w:val="007744BA"/>
    <w:rsid w:val="00774635"/>
    <w:rsid w:val="007748A8"/>
    <w:rsid w:val="007748EA"/>
    <w:rsid w:val="00774CEC"/>
    <w:rsid w:val="00774D88"/>
    <w:rsid w:val="00774DAB"/>
    <w:rsid w:val="0077519A"/>
    <w:rsid w:val="007751B8"/>
    <w:rsid w:val="00775286"/>
    <w:rsid w:val="00775555"/>
    <w:rsid w:val="0077562F"/>
    <w:rsid w:val="0077567A"/>
    <w:rsid w:val="00775708"/>
    <w:rsid w:val="00775B38"/>
    <w:rsid w:val="00775C40"/>
    <w:rsid w:val="00775E2F"/>
    <w:rsid w:val="00775EC0"/>
    <w:rsid w:val="007760E2"/>
    <w:rsid w:val="007761AA"/>
    <w:rsid w:val="00776245"/>
    <w:rsid w:val="0077636C"/>
    <w:rsid w:val="007763BC"/>
    <w:rsid w:val="00776572"/>
    <w:rsid w:val="00776865"/>
    <w:rsid w:val="007768C0"/>
    <w:rsid w:val="00776915"/>
    <w:rsid w:val="00776B30"/>
    <w:rsid w:val="00776DBA"/>
    <w:rsid w:val="00776F4C"/>
    <w:rsid w:val="00776FAF"/>
    <w:rsid w:val="00777336"/>
    <w:rsid w:val="00777370"/>
    <w:rsid w:val="00777451"/>
    <w:rsid w:val="0077752D"/>
    <w:rsid w:val="0077784A"/>
    <w:rsid w:val="007778E2"/>
    <w:rsid w:val="00777970"/>
    <w:rsid w:val="00777A41"/>
    <w:rsid w:val="00777B13"/>
    <w:rsid w:val="00777BDE"/>
    <w:rsid w:val="00777D14"/>
    <w:rsid w:val="00777D93"/>
    <w:rsid w:val="00777E18"/>
    <w:rsid w:val="00777EE0"/>
    <w:rsid w:val="00777EF1"/>
    <w:rsid w:val="00777F89"/>
    <w:rsid w:val="00777F95"/>
    <w:rsid w:val="007800F4"/>
    <w:rsid w:val="00780113"/>
    <w:rsid w:val="0078016D"/>
    <w:rsid w:val="0078019D"/>
    <w:rsid w:val="007801A0"/>
    <w:rsid w:val="007801AA"/>
    <w:rsid w:val="007801DA"/>
    <w:rsid w:val="007801F1"/>
    <w:rsid w:val="00780355"/>
    <w:rsid w:val="00780515"/>
    <w:rsid w:val="00780946"/>
    <w:rsid w:val="0078099C"/>
    <w:rsid w:val="007809F5"/>
    <w:rsid w:val="00780A50"/>
    <w:rsid w:val="00780C18"/>
    <w:rsid w:val="00780C61"/>
    <w:rsid w:val="00781067"/>
    <w:rsid w:val="00781098"/>
    <w:rsid w:val="007810F4"/>
    <w:rsid w:val="0078136A"/>
    <w:rsid w:val="0078176F"/>
    <w:rsid w:val="007818C5"/>
    <w:rsid w:val="007818E9"/>
    <w:rsid w:val="00781AEB"/>
    <w:rsid w:val="00781BDB"/>
    <w:rsid w:val="00781C16"/>
    <w:rsid w:val="007820AB"/>
    <w:rsid w:val="007820FA"/>
    <w:rsid w:val="00782116"/>
    <w:rsid w:val="0078214D"/>
    <w:rsid w:val="00782160"/>
    <w:rsid w:val="007821AA"/>
    <w:rsid w:val="007821AE"/>
    <w:rsid w:val="007824ED"/>
    <w:rsid w:val="007825D3"/>
    <w:rsid w:val="007826BF"/>
    <w:rsid w:val="007826EB"/>
    <w:rsid w:val="007827EA"/>
    <w:rsid w:val="00782879"/>
    <w:rsid w:val="007829F2"/>
    <w:rsid w:val="00782BD7"/>
    <w:rsid w:val="00782E30"/>
    <w:rsid w:val="007831CA"/>
    <w:rsid w:val="00783438"/>
    <w:rsid w:val="00783523"/>
    <w:rsid w:val="0078356C"/>
    <w:rsid w:val="00783592"/>
    <w:rsid w:val="0078397D"/>
    <w:rsid w:val="00783ACC"/>
    <w:rsid w:val="00783B92"/>
    <w:rsid w:val="00783CB1"/>
    <w:rsid w:val="00783DF1"/>
    <w:rsid w:val="0078407E"/>
    <w:rsid w:val="007842C7"/>
    <w:rsid w:val="007842F2"/>
    <w:rsid w:val="00784340"/>
    <w:rsid w:val="007843FE"/>
    <w:rsid w:val="0078445B"/>
    <w:rsid w:val="007844A3"/>
    <w:rsid w:val="00784584"/>
    <w:rsid w:val="007846E0"/>
    <w:rsid w:val="007847D2"/>
    <w:rsid w:val="00784A33"/>
    <w:rsid w:val="00784B32"/>
    <w:rsid w:val="00784D80"/>
    <w:rsid w:val="00784DBF"/>
    <w:rsid w:val="00784DFD"/>
    <w:rsid w:val="00784E3F"/>
    <w:rsid w:val="00784EC3"/>
    <w:rsid w:val="007850BF"/>
    <w:rsid w:val="00785253"/>
    <w:rsid w:val="007853A2"/>
    <w:rsid w:val="0078544D"/>
    <w:rsid w:val="00785681"/>
    <w:rsid w:val="00785832"/>
    <w:rsid w:val="0078584A"/>
    <w:rsid w:val="00785888"/>
    <w:rsid w:val="007858D9"/>
    <w:rsid w:val="007859A8"/>
    <w:rsid w:val="00785B58"/>
    <w:rsid w:val="00785BCF"/>
    <w:rsid w:val="00785C0D"/>
    <w:rsid w:val="00785D76"/>
    <w:rsid w:val="00785EDA"/>
    <w:rsid w:val="007861BE"/>
    <w:rsid w:val="00786446"/>
    <w:rsid w:val="007865F9"/>
    <w:rsid w:val="00786689"/>
    <w:rsid w:val="00786766"/>
    <w:rsid w:val="00786856"/>
    <w:rsid w:val="007868BC"/>
    <w:rsid w:val="007869AA"/>
    <w:rsid w:val="00786A43"/>
    <w:rsid w:val="007873C0"/>
    <w:rsid w:val="0078745E"/>
    <w:rsid w:val="0078758B"/>
    <w:rsid w:val="00787742"/>
    <w:rsid w:val="00787835"/>
    <w:rsid w:val="0078788C"/>
    <w:rsid w:val="007878D7"/>
    <w:rsid w:val="00787B16"/>
    <w:rsid w:val="00787BBC"/>
    <w:rsid w:val="007900DD"/>
    <w:rsid w:val="007907F7"/>
    <w:rsid w:val="00790873"/>
    <w:rsid w:val="007908A0"/>
    <w:rsid w:val="00790B69"/>
    <w:rsid w:val="00791167"/>
    <w:rsid w:val="007911C2"/>
    <w:rsid w:val="007912D1"/>
    <w:rsid w:val="007912D9"/>
    <w:rsid w:val="00791591"/>
    <w:rsid w:val="007915A3"/>
    <w:rsid w:val="007916A2"/>
    <w:rsid w:val="0079175F"/>
    <w:rsid w:val="00791979"/>
    <w:rsid w:val="00791A69"/>
    <w:rsid w:val="00791C1A"/>
    <w:rsid w:val="00792243"/>
    <w:rsid w:val="007922A7"/>
    <w:rsid w:val="0079234D"/>
    <w:rsid w:val="007926FC"/>
    <w:rsid w:val="007929BE"/>
    <w:rsid w:val="00792B93"/>
    <w:rsid w:val="00792C44"/>
    <w:rsid w:val="00792D2C"/>
    <w:rsid w:val="00792D93"/>
    <w:rsid w:val="0079304A"/>
    <w:rsid w:val="007932BE"/>
    <w:rsid w:val="007932F4"/>
    <w:rsid w:val="007933A6"/>
    <w:rsid w:val="0079375B"/>
    <w:rsid w:val="00793948"/>
    <w:rsid w:val="00793A27"/>
    <w:rsid w:val="00793C5A"/>
    <w:rsid w:val="00793C94"/>
    <w:rsid w:val="00793DE0"/>
    <w:rsid w:val="00793E94"/>
    <w:rsid w:val="00794105"/>
    <w:rsid w:val="00794143"/>
    <w:rsid w:val="0079418F"/>
    <w:rsid w:val="0079426C"/>
    <w:rsid w:val="007942FA"/>
    <w:rsid w:val="007942FC"/>
    <w:rsid w:val="00794704"/>
    <w:rsid w:val="00794805"/>
    <w:rsid w:val="00794A69"/>
    <w:rsid w:val="00794BB4"/>
    <w:rsid w:val="00794F2A"/>
    <w:rsid w:val="00794F2F"/>
    <w:rsid w:val="00794F71"/>
    <w:rsid w:val="00794F77"/>
    <w:rsid w:val="0079517C"/>
    <w:rsid w:val="007954C9"/>
    <w:rsid w:val="007956AB"/>
    <w:rsid w:val="00795D51"/>
    <w:rsid w:val="00795E3C"/>
    <w:rsid w:val="00795F85"/>
    <w:rsid w:val="0079623C"/>
    <w:rsid w:val="0079659B"/>
    <w:rsid w:val="00796832"/>
    <w:rsid w:val="00796875"/>
    <w:rsid w:val="007968C9"/>
    <w:rsid w:val="0079699D"/>
    <w:rsid w:val="00796AB8"/>
    <w:rsid w:val="00796D04"/>
    <w:rsid w:val="00796E7C"/>
    <w:rsid w:val="00797030"/>
    <w:rsid w:val="00797054"/>
    <w:rsid w:val="00797074"/>
    <w:rsid w:val="007971AB"/>
    <w:rsid w:val="00797269"/>
    <w:rsid w:val="007975A5"/>
    <w:rsid w:val="00797668"/>
    <w:rsid w:val="007978EB"/>
    <w:rsid w:val="00797B3C"/>
    <w:rsid w:val="00797E30"/>
    <w:rsid w:val="00797EEB"/>
    <w:rsid w:val="007A0030"/>
    <w:rsid w:val="007A00F7"/>
    <w:rsid w:val="007A03A6"/>
    <w:rsid w:val="007A0472"/>
    <w:rsid w:val="007A053A"/>
    <w:rsid w:val="007A06EC"/>
    <w:rsid w:val="007A0AA7"/>
    <w:rsid w:val="007A0B49"/>
    <w:rsid w:val="007A0BB9"/>
    <w:rsid w:val="007A0C32"/>
    <w:rsid w:val="007A0D03"/>
    <w:rsid w:val="007A0F7C"/>
    <w:rsid w:val="007A1161"/>
    <w:rsid w:val="007A1190"/>
    <w:rsid w:val="007A12E5"/>
    <w:rsid w:val="007A13DB"/>
    <w:rsid w:val="007A13F5"/>
    <w:rsid w:val="007A14F8"/>
    <w:rsid w:val="007A1521"/>
    <w:rsid w:val="007A1601"/>
    <w:rsid w:val="007A1611"/>
    <w:rsid w:val="007A16C3"/>
    <w:rsid w:val="007A16F3"/>
    <w:rsid w:val="007A1708"/>
    <w:rsid w:val="007A177A"/>
    <w:rsid w:val="007A18B5"/>
    <w:rsid w:val="007A1B9E"/>
    <w:rsid w:val="007A1C25"/>
    <w:rsid w:val="007A1CFC"/>
    <w:rsid w:val="007A20E0"/>
    <w:rsid w:val="007A2433"/>
    <w:rsid w:val="007A2500"/>
    <w:rsid w:val="007A254C"/>
    <w:rsid w:val="007A25FE"/>
    <w:rsid w:val="007A26D2"/>
    <w:rsid w:val="007A2742"/>
    <w:rsid w:val="007A2DA7"/>
    <w:rsid w:val="007A313C"/>
    <w:rsid w:val="007A322A"/>
    <w:rsid w:val="007A34A1"/>
    <w:rsid w:val="007A34EF"/>
    <w:rsid w:val="007A3545"/>
    <w:rsid w:val="007A372E"/>
    <w:rsid w:val="007A3794"/>
    <w:rsid w:val="007A388C"/>
    <w:rsid w:val="007A3890"/>
    <w:rsid w:val="007A3BA5"/>
    <w:rsid w:val="007A3C45"/>
    <w:rsid w:val="007A3DAF"/>
    <w:rsid w:val="007A3EBA"/>
    <w:rsid w:val="007A424F"/>
    <w:rsid w:val="007A433F"/>
    <w:rsid w:val="007A47B8"/>
    <w:rsid w:val="007A47D4"/>
    <w:rsid w:val="007A4B41"/>
    <w:rsid w:val="007A50E1"/>
    <w:rsid w:val="007A52C8"/>
    <w:rsid w:val="007A5620"/>
    <w:rsid w:val="007A56CA"/>
    <w:rsid w:val="007A57C7"/>
    <w:rsid w:val="007A5A98"/>
    <w:rsid w:val="007A5F5D"/>
    <w:rsid w:val="007A62E3"/>
    <w:rsid w:val="007A6336"/>
    <w:rsid w:val="007A6354"/>
    <w:rsid w:val="007A6501"/>
    <w:rsid w:val="007A668D"/>
    <w:rsid w:val="007A67C1"/>
    <w:rsid w:val="007A69A3"/>
    <w:rsid w:val="007A6A9B"/>
    <w:rsid w:val="007A6DE1"/>
    <w:rsid w:val="007A6FBD"/>
    <w:rsid w:val="007A6FD5"/>
    <w:rsid w:val="007A7020"/>
    <w:rsid w:val="007A709E"/>
    <w:rsid w:val="007A70C6"/>
    <w:rsid w:val="007A71A2"/>
    <w:rsid w:val="007A71ED"/>
    <w:rsid w:val="007A74F6"/>
    <w:rsid w:val="007A773F"/>
    <w:rsid w:val="007A77DF"/>
    <w:rsid w:val="007A78C2"/>
    <w:rsid w:val="007A7988"/>
    <w:rsid w:val="007A7A12"/>
    <w:rsid w:val="007A7E0D"/>
    <w:rsid w:val="007A7E7E"/>
    <w:rsid w:val="007B01C0"/>
    <w:rsid w:val="007B02B4"/>
    <w:rsid w:val="007B02C5"/>
    <w:rsid w:val="007B0624"/>
    <w:rsid w:val="007B0630"/>
    <w:rsid w:val="007B0665"/>
    <w:rsid w:val="007B0979"/>
    <w:rsid w:val="007B09D1"/>
    <w:rsid w:val="007B0A33"/>
    <w:rsid w:val="007B0C55"/>
    <w:rsid w:val="007B0D31"/>
    <w:rsid w:val="007B0E71"/>
    <w:rsid w:val="007B0F2B"/>
    <w:rsid w:val="007B0FB8"/>
    <w:rsid w:val="007B1045"/>
    <w:rsid w:val="007B1092"/>
    <w:rsid w:val="007B1109"/>
    <w:rsid w:val="007B1131"/>
    <w:rsid w:val="007B1164"/>
    <w:rsid w:val="007B11B5"/>
    <w:rsid w:val="007B11C2"/>
    <w:rsid w:val="007B12A8"/>
    <w:rsid w:val="007B142B"/>
    <w:rsid w:val="007B14B1"/>
    <w:rsid w:val="007B16BA"/>
    <w:rsid w:val="007B1912"/>
    <w:rsid w:val="007B196D"/>
    <w:rsid w:val="007B1A11"/>
    <w:rsid w:val="007B1A2D"/>
    <w:rsid w:val="007B1B71"/>
    <w:rsid w:val="007B1C6B"/>
    <w:rsid w:val="007B1D37"/>
    <w:rsid w:val="007B1D5A"/>
    <w:rsid w:val="007B21A1"/>
    <w:rsid w:val="007B21DE"/>
    <w:rsid w:val="007B250E"/>
    <w:rsid w:val="007B25CD"/>
    <w:rsid w:val="007B2692"/>
    <w:rsid w:val="007B285D"/>
    <w:rsid w:val="007B28C7"/>
    <w:rsid w:val="007B2B10"/>
    <w:rsid w:val="007B2C42"/>
    <w:rsid w:val="007B2D07"/>
    <w:rsid w:val="007B2E90"/>
    <w:rsid w:val="007B307E"/>
    <w:rsid w:val="007B30A9"/>
    <w:rsid w:val="007B31ED"/>
    <w:rsid w:val="007B32CC"/>
    <w:rsid w:val="007B368D"/>
    <w:rsid w:val="007B36A0"/>
    <w:rsid w:val="007B3B00"/>
    <w:rsid w:val="007B3E1E"/>
    <w:rsid w:val="007B3FE1"/>
    <w:rsid w:val="007B4444"/>
    <w:rsid w:val="007B452C"/>
    <w:rsid w:val="007B464E"/>
    <w:rsid w:val="007B492E"/>
    <w:rsid w:val="007B4C47"/>
    <w:rsid w:val="007B4E6A"/>
    <w:rsid w:val="007B5114"/>
    <w:rsid w:val="007B5224"/>
    <w:rsid w:val="007B551E"/>
    <w:rsid w:val="007B55CC"/>
    <w:rsid w:val="007B5DA1"/>
    <w:rsid w:val="007B5DC2"/>
    <w:rsid w:val="007B6240"/>
    <w:rsid w:val="007B630C"/>
    <w:rsid w:val="007B6370"/>
    <w:rsid w:val="007B651A"/>
    <w:rsid w:val="007B654D"/>
    <w:rsid w:val="007B6654"/>
    <w:rsid w:val="007B66D0"/>
    <w:rsid w:val="007B6744"/>
    <w:rsid w:val="007B6A5D"/>
    <w:rsid w:val="007B6B6C"/>
    <w:rsid w:val="007B6B74"/>
    <w:rsid w:val="007B6C7F"/>
    <w:rsid w:val="007B6CA1"/>
    <w:rsid w:val="007B6DBC"/>
    <w:rsid w:val="007B6DFA"/>
    <w:rsid w:val="007B6E09"/>
    <w:rsid w:val="007B6E63"/>
    <w:rsid w:val="007B6F16"/>
    <w:rsid w:val="007B70A8"/>
    <w:rsid w:val="007B71B1"/>
    <w:rsid w:val="007B71BE"/>
    <w:rsid w:val="007B72FE"/>
    <w:rsid w:val="007B769A"/>
    <w:rsid w:val="007B7C7E"/>
    <w:rsid w:val="007B7F7E"/>
    <w:rsid w:val="007B7FEC"/>
    <w:rsid w:val="007B7FF0"/>
    <w:rsid w:val="007C00ED"/>
    <w:rsid w:val="007C024C"/>
    <w:rsid w:val="007C02AE"/>
    <w:rsid w:val="007C02FD"/>
    <w:rsid w:val="007C03CD"/>
    <w:rsid w:val="007C06A9"/>
    <w:rsid w:val="007C0981"/>
    <w:rsid w:val="007C0A34"/>
    <w:rsid w:val="007C0C1F"/>
    <w:rsid w:val="007C0FFE"/>
    <w:rsid w:val="007C1057"/>
    <w:rsid w:val="007C119A"/>
    <w:rsid w:val="007C11A1"/>
    <w:rsid w:val="007C11C1"/>
    <w:rsid w:val="007C14C4"/>
    <w:rsid w:val="007C1559"/>
    <w:rsid w:val="007C1AA4"/>
    <w:rsid w:val="007C1C18"/>
    <w:rsid w:val="007C1E7A"/>
    <w:rsid w:val="007C2117"/>
    <w:rsid w:val="007C23AE"/>
    <w:rsid w:val="007C23D2"/>
    <w:rsid w:val="007C241E"/>
    <w:rsid w:val="007C250C"/>
    <w:rsid w:val="007C27E9"/>
    <w:rsid w:val="007C2843"/>
    <w:rsid w:val="007C28AF"/>
    <w:rsid w:val="007C2B20"/>
    <w:rsid w:val="007C2D6D"/>
    <w:rsid w:val="007C2F6A"/>
    <w:rsid w:val="007C335E"/>
    <w:rsid w:val="007C340D"/>
    <w:rsid w:val="007C35AB"/>
    <w:rsid w:val="007C39F9"/>
    <w:rsid w:val="007C3ACF"/>
    <w:rsid w:val="007C3E45"/>
    <w:rsid w:val="007C3F38"/>
    <w:rsid w:val="007C4154"/>
    <w:rsid w:val="007C44F8"/>
    <w:rsid w:val="007C46FA"/>
    <w:rsid w:val="007C47B2"/>
    <w:rsid w:val="007C483F"/>
    <w:rsid w:val="007C4ABB"/>
    <w:rsid w:val="007C4AD2"/>
    <w:rsid w:val="007C4AEB"/>
    <w:rsid w:val="007C4E8C"/>
    <w:rsid w:val="007C4F89"/>
    <w:rsid w:val="007C517E"/>
    <w:rsid w:val="007C5189"/>
    <w:rsid w:val="007C5384"/>
    <w:rsid w:val="007C53B9"/>
    <w:rsid w:val="007C55B0"/>
    <w:rsid w:val="007C58FF"/>
    <w:rsid w:val="007C5AEF"/>
    <w:rsid w:val="007C5B40"/>
    <w:rsid w:val="007C5D19"/>
    <w:rsid w:val="007C5E4B"/>
    <w:rsid w:val="007C5FAB"/>
    <w:rsid w:val="007C5FD8"/>
    <w:rsid w:val="007C6002"/>
    <w:rsid w:val="007C6172"/>
    <w:rsid w:val="007C6249"/>
    <w:rsid w:val="007C6342"/>
    <w:rsid w:val="007C63BF"/>
    <w:rsid w:val="007C63FF"/>
    <w:rsid w:val="007C6450"/>
    <w:rsid w:val="007C6657"/>
    <w:rsid w:val="007C670F"/>
    <w:rsid w:val="007C67F2"/>
    <w:rsid w:val="007C68B0"/>
    <w:rsid w:val="007C6A5C"/>
    <w:rsid w:val="007C6B4B"/>
    <w:rsid w:val="007C6CA3"/>
    <w:rsid w:val="007C6D67"/>
    <w:rsid w:val="007C6E8E"/>
    <w:rsid w:val="007C6EF4"/>
    <w:rsid w:val="007C7140"/>
    <w:rsid w:val="007C71BC"/>
    <w:rsid w:val="007C73D9"/>
    <w:rsid w:val="007C75A9"/>
    <w:rsid w:val="007C7653"/>
    <w:rsid w:val="007C769A"/>
    <w:rsid w:val="007C7816"/>
    <w:rsid w:val="007C7A32"/>
    <w:rsid w:val="007C7B48"/>
    <w:rsid w:val="007C7D66"/>
    <w:rsid w:val="007C7D80"/>
    <w:rsid w:val="007C7DD7"/>
    <w:rsid w:val="007C7E2C"/>
    <w:rsid w:val="007D00E9"/>
    <w:rsid w:val="007D036E"/>
    <w:rsid w:val="007D0492"/>
    <w:rsid w:val="007D04B3"/>
    <w:rsid w:val="007D08E9"/>
    <w:rsid w:val="007D0A05"/>
    <w:rsid w:val="007D0D0A"/>
    <w:rsid w:val="007D1101"/>
    <w:rsid w:val="007D1267"/>
    <w:rsid w:val="007D1279"/>
    <w:rsid w:val="007D13F4"/>
    <w:rsid w:val="007D1403"/>
    <w:rsid w:val="007D1757"/>
    <w:rsid w:val="007D1893"/>
    <w:rsid w:val="007D1C0C"/>
    <w:rsid w:val="007D1D29"/>
    <w:rsid w:val="007D20B2"/>
    <w:rsid w:val="007D20D0"/>
    <w:rsid w:val="007D2192"/>
    <w:rsid w:val="007D2257"/>
    <w:rsid w:val="007D2386"/>
    <w:rsid w:val="007D23F0"/>
    <w:rsid w:val="007D241B"/>
    <w:rsid w:val="007D2484"/>
    <w:rsid w:val="007D2911"/>
    <w:rsid w:val="007D2C8C"/>
    <w:rsid w:val="007D2D69"/>
    <w:rsid w:val="007D2D7C"/>
    <w:rsid w:val="007D2DEE"/>
    <w:rsid w:val="007D2F48"/>
    <w:rsid w:val="007D3052"/>
    <w:rsid w:val="007D3212"/>
    <w:rsid w:val="007D346C"/>
    <w:rsid w:val="007D3616"/>
    <w:rsid w:val="007D3681"/>
    <w:rsid w:val="007D3773"/>
    <w:rsid w:val="007D3808"/>
    <w:rsid w:val="007D3B25"/>
    <w:rsid w:val="007D3DD5"/>
    <w:rsid w:val="007D3E88"/>
    <w:rsid w:val="007D3EBD"/>
    <w:rsid w:val="007D3FB6"/>
    <w:rsid w:val="007D40E5"/>
    <w:rsid w:val="007D4387"/>
    <w:rsid w:val="007D4699"/>
    <w:rsid w:val="007D47C3"/>
    <w:rsid w:val="007D4A28"/>
    <w:rsid w:val="007D4BF8"/>
    <w:rsid w:val="007D4C3D"/>
    <w:rsid w:val="007D4CE5"/>
    <w:rsid w:val="007D4D27"/>
    <w:rsid w:val="007D4D71"/>
    <w:rsid w:val="007D4F09"/>
    <w:rsid w:val="007D5032"/>
    <w:rsid w:val="007D525F"/>
    <w:rsid w:val="007D54BC"/>
    <w:rsid w:val="007D5510"/>
    <w:rsid w:val="007D5522"/>
    <w:rsid w:val="007D55CC"/>
    <w:rsid w:val="007D574D"/>
    <w:rsid w:val="007D5942"/>
    <w:rsid w:val="007D5B12"/>
    <w:rsid w:val="007D5B2C"/>
    <w:rsid w:val="007D5E19"/>
    <w:rsid w:val="007D5F08"/>
    <w:rsid w:val="007D633E"/>
    <w:rsid w:val="007D6482"/>
    <w:rsid w:val="007D649C"/>
    <w:rsid w:val="007D6505"/>
    <w:rsid w:val="007D65AE"/>
    <w:rsid w:val="007D65F9"/>
    <w:rsid w:val="007D6619"/>
    <w:rsid w:val="007D68A5"/>
    <w:rsid w:val="007D6A00"/>
    <w:rsid w:val="007D6A5D"/>
    <w:rsid w:val="007D70C2"/>
    <w:rsid w:val="007D72AE"/>
    <w:rsid w:val="007D736B"/>
    <w:rsid w:val="007D7622"/>
    <w:rsid w:val="007D7B39"/>
    <w:rsid w:val="007D7B61"/>
    <w:rsid w:val="007D7ED2"/>
    <w:rsid w:val="007D7FDC"/>
    <w:rsid w:val="007E0035"/>
    <w:rsid w:val="007E01FA"/>
    <w:rsid w:val="007E02E1"/>
    <w:rsid w:val="007E05AA"/>
    <w:rsid w:val="007E0647"/>
    <w:rsid w:val="007E0765"/>
    <w:rsid w:val="007E07F8"/>
    <w:rsid w:val="007E08AD"/>
    <w:rsid w:val="007E0B5B"/>
    <w:rsid w:val="007E0C63"/>
    <w:rsid w:val="007E0CE7"/>
    <w:rsid w:val="007E107A"/>
    <w:rsid w:val="007E10D1"/>
    <w:rsid w:val="007E111D"/>
    <w:rsid w:val="007E1248"/>
    <w:rsid w:val="007E126C"/>
    <w:rsid w:val="007E1454"/>
    <w:rsid w:val="007E15B4"/>
    <w:rsid w:val="007E165E"/>
    <w:rsid w:val="007E16F6"/>
    <w:rsid w:val="007E1767"/>
    <w:rsid w:val="007E1A43"/>
    <w:rsid w:val="007E1D8E"/>
    <w:rsid w:val="007E1DBC"/>
    <w:rsid w:val="007E1DEE"/>
    <w:rsid w:val="007E1F62"/>
    <w:rsid w:val="007E1FA9"/>
    <w:rsid w:val="007E207C"/>
    <w:rsid w:val="007E22B7"/>
    <w:rsid w:val="007E266B"/>
    <w:rsid w:val="007E2BC8"/>
    <w:rsid w:val="007E2BEB"/>
    <w:rsid w:val="007E2CCF"/>
    <w:rsid w:val="007E2D7F"/>
    <w:rsid w:val="007E2DA0"/>
    <w:rsid w:val="007E2DD4"/>
    <w:rsid w:val="007E3204"/>
    <w:rsid w:val="007E34DC"/>
    <w:rsid w:val="007E3660"/>
    <w:rsid w:val="007E36C2"/>
    <w:rsid w:val="007E3924"/>
    <w:rsid w:val="007E39B0"/>
    <w:rsid w:val="007E3B7B"/>
    <w:rsid w:val="007E3BD5"/>
    <w:rsid w:val="007E3D4D"/>
    <w:rsid w:val="007E3D57"/>
    <w:rsid w:val="007E3E8D"/>
    <w:rsid w:val="007E44B8"/>
    <w:rsid w:val="007E44D2"/>
    <w:rsid w:val="007E450F"/>
    <w:rsid w:val="007E4574"/>
    <w:rsid w:val="007E46F9"/>
    <w:rsid w:val="007E4A02"/>
    <w:rsid w:val="007E4BF2"/>
    <w:rsid w:val="007E4E2C"/>
    <w:rsid w:val="007E502D"/>
    <w:rsid w:val="007E52D8"/>
    <w:rsid w:val="007E558E"/>
    <w:rsid w:val="007E55EF"/>
    <w:rsid w:val="007E566D"/>
    <w:rsid w:val="007E56BA"/>
    <w:rsid w:val="007E574E"/>
    <w:rsid w:val="007E580D"/>
    <w:rsid w:val="007E58CE"/>
    <w:rsid w:val="007E5ADA"/>
    <w:rsid w:val="007E5B09"/>
    <w:rsid w:val="007E5CC3"/>
    <w:rsid w:val="007E5E1D"/>
    <w:rsid w:val="007E5E62"/>
    <w:rsid w:val="007E5F32"/>
    <w:rsid w:val="007E5F6F"/>
    <w:rsid w:val="007E5F90"/>
    <w:rsid w:val="007E6618"/>
    <w:rsid w:val="007E67EE"/>
    <w:rsid w:val="007E69C6"/>
    <w:rsid w:val="007E6E71"/>
    <w:rsid w:val="007E6EF4"/>
    <w:rsid w:val="007E7208"/>
    <w:rsid w:val="007E73F1"/>
    <w:rsid w:val="007E73F5"/>
    <w:rsid w:val="007E74F0"/>
    <w:rsid w:val="007E7969"/>
    <w:rsid w:val="007E7E35"/>
    <w:rsid w:val="007F003E"/>
    <w:rsid w:val="007F00DD"/>
    <w:rsid w:val="007F029E"/>
    <w:rsid w:val="007F0344"/>
    <w:rsid w:val="007F062E"/>
    <w:rsid w:val="007F06D9"/>
    <w:rsid w:val="007F0CF3"/>
    <w:rsid w:val="007F0D48"/>
    <w:rsid w:val="007F0D9A"/>
    <w:rsid w:val="007F0DC8"/>
    <w:rsid w:val="007F10F4"/>
    <w:rsid w:val="007F1185"/>
    <w:rsid w:val="007F1270"/>
    <w:rsid w:val="007F15FA"/>
    <w:rsid w:val="007F18DA"/>
    <w:rsid w:val="007F196F"/>
    <w:rsid w:val="007F1A3D"/>
    <w:rsid w:val="007F1A8F"/>
    <w:rsid w:val="007F1CC5"/>
    <w:rsid w:val="007F1E07"/>
    <w:rsid w:val="007F1E49"/>
    <w:rsid w:val="007F1E77"/>
    <w:rsid w:val="007F2090"/>
    <w:rsid w:val="007F20E5"/>
    <w:rsid w:val="007F235B"/>
    <w:rsid w:val="007F24C6"/>
    <w:rsid w:val="007F2653"/>
    <w:rsid w:val="007F2673"/>
    <w:rsid w:val="007F29EF"/>
    <w:rsid w:val="007F2AEC"/>
    <w:rsid w:val="007F2C21"/>
    <w:rsid w:val="007F2D6F"/>
    <w:rsid w:val="007F2DEB"/>
    <w:rsid w:val="007F2EAA"/>
    <w:rsid w:val="007F30F0"/>
    <w:rsid w:val="007F3742"/>
    <w:rsid w:val="007F3B3B"/>
    <w:rsid w:val="007F3C29"/>
    <w:rsid w:val="007F3C70"/>
    <w:rsid w:val="007F3CE5"/>
    <w:rsid w:val="007F3CED"/>
    <w:rsid w:val="007F3D39"/>
    <w:rsid w:val="007F4046"/>
    <w:rsid w:val="007F4341"/>
    <w:rsid w:val="007F46B7"/>
    <w:rsid w:val="007F475A"/>
    <w:rsid w:val="007F48EC"/>
    <w:rsid w:val="007F4986"/>
    <w:rsid w:val="007F4A12"/>
    <w:rsid w:val="007F4A8B"/>
    <w:rsid w:val="007F4B39"/>
    <w:rsid w:val="007F4E17"/>
    <w:rsid w:val="007F53C7"/>
    <w:rsid w:val="007F53E0"/>
    <w:rsid w:val="007F562C"/>
    <w:rsid w:val="007F5740"/>
    <w:rsid w:val="007F58A2"/>
    <w:rsid w:val="007F5960"/>
    <w:rsid w:val="007F5A4A"/>
    <w:rsid w:val="007F5BE5"/>
    <w:rsid w:val="007F5CBE"/>
    <w:rsid w:val="007F5D02"/>
    <w:rsid w:val="007F5E18"/>
    <w:rsid w:val="007F5FE7"/>
    <w:rsid w:val="007F6023"/>
    <w:rsid w:val="007F602E"/>
    <w:rsid w:val="007F61D8"/>
    <w:rsid w:val="007F6502"/>
    <w:rsid w:val="007F6CB4"/>
    <w:rsid w:val="007F6D47"/>
    <w:rsid w:val="007F6D8A"/>
    <w:rsid w:val="007F6E64"/>
    <w:rsid w:val="007F7912"/>
    <w:rsid w:val="007F7B0F"/>
    <w:rsid w:val="007F7C4C"/>
    <w:rsid w:val="007F7C82"/>
    <w:rsid w:val="007F7E62"/>
    <w:rsid w:val="007F7EA7"/>
    <w:rsid w:val="007F7F3A"/>
    <w:rsid w:val="007F7F82"/>
    <w:rsid w:val="00800410"/>
    <w:rsid w:val="008006E3"/>
    <w:rsid w:val="0080075F"/>
    <w:rsid w:val="00800868"/>
    <w:rsid w:val="0080086F"/>
    <w:rsid w:val="00800972"/>
    <w:rsid w:val="00800A45"/>
    <w:rsid w:val="00800A62"/>
    <w:rsid w:val="00800CF3"/>
    <w:rsid w:val="00800D3B"/>
    <w:rsid w:val="00800FC7"/>
    <w:rsid w:val="008010F3"/>
    <w:rsid w:val="008011F1"/>
    <w:rsid w:val="0080142B"/>
    <w:rsid w:val="008015F6"/>
    <w:rsid w:val="00801692"/>
    <w:rsid w:val="0080184D"/>
    <w:rsid w:val="00801882"/>
    <w:rsid w:val="0080191D"/>
    <w:rsid w:val="0080199E"/>
    <w:rsid w:val="00801CD0"/>
    <w:rsid w:val="00801D17"/>
    <w:rsid w:val="00801EA5"/>
    <w:rsid w:val="00801F75"/>
    <w:rsid w:val="008022D3"/>
    <w:rsid w:val="0080244C"/>
    <w:rsid w:val="00802455"/>
    <w:rsid w:val="008025BD"/>
    <w:rsid w:val="00802737"/>
    <w:rsid w:val="008027CA"/>
    <w:rsid w:val="00802991"/>
    <w:rsid w:val="00802D84"/>
    <w:rsid w:val="00802E18"/>
    <w:rsid w:val="0080302F"/>
    <w:rsid w:val="0080305E"/>
    <w:rsid w:val="0080328B"/>
    <w:rsid w:val="00803632"/>
    <w:rsid w:val="00803639"/>
    <w:rsid w:val="008039BD"/>
    <w:rsid w:val="00803A2D"/>
    <w:rsid w:val="00803B20"/>
    <w:rsid w:val="00803BF0"/>
    <w:rsid w:val="00803CE0"/>
    <w:rsid w:val="00803CE2"/>
    <w:rsid w:val="00803D52"/>
    <w:rsid w:val="00803E8C"/>
    <w:rsid w:val="00804180"/>
    <w:rsid w:val="008042A2"/>
    <w:rsid w:val="008043D2"/>
    <w:rsid w:val="0080458A"/>
    <w:rsid w:val="0080474D"/>
    <w:rsid w:val="00804A43"/>
    <w:rsid w:val="00804A63"/>
    <w:rsid w:val="00804CC4"/>
    <w:rsid w:val="00804D57"/>
    <w:rsid w:val="00804E0C"/>
    <w:rsid w:val="00805115"/>
    <w:rsid w:val="008052D0"/>
    <w:rsid w:val="00805652"/>
    <w:rsid w:val="00805720"/>
    <w:rsid w:val="0080578C"/>
    <w:rsid w:val="00805849"/>
    <w:rsid w:val="00805996"/>
    <w:rsid w:val="00805A8C"/>
    <w:rsid w:val="00805F0E"/>
    <w:rsid w:val="00805F71"/>
    <w:rsid w:val="008060E6"/>
    <w:rsid w:val="0080613C"/>
    <w:rsid w:val="008064C2"/>
    <w:rsid w:val="00806641"/>
    <w:rsid w:val="0080665F"/>
    <w:rsid w:val="008066B4"/>
    <w:rsid w:val="008066B8"/>
    <w:rsid w:val="00806BAB"/>
    <w:rsid w:val="00806CDE"/>
    <w:rsid w:val="00806D7E"/>
    <w:rsid w:val="00806E35"/>
    <w:rsid w:val="00806E3A"/>
    <w:rsid w:val="00806F51"/>
    <w:rsid w:val="00806F65"/>
    <w:rsid w:val="008070C9"/>
    <w:rsid w:val="008071D2"/>
    <w:rsid w:val="008071F0"/>
    <w:rsid w:val="00807243"/>
    <w:rsid w:val="008074DB"/>
    <w:rsid w:val="008078BF"/>
    <w:rsid w:val="008078F3"/>
    <w:rsid w:val="00807905"/>
    <w:rsid w:val="00807A29"/>
    <w:rsid w:val="00807D36"/>
    <w:rsid w:val="008101C1"/>
    <w:rsid w:val="008101F6"/>
    <w:rsid w:val="0081027B"/>
    <w:rsid w:val="0081068B"/>
    <w:rsid w:val="008106A5"/>
    <w:rsid w:val="008107A8"/>
    <w:rsid w:val="0081095E"/>
    <w:rsid w:val="00810A29"/>
    <w:rsid w:val="00810AEF"/>
    <w:rsid w:val="00810BF7"/>
    <w:rsid w:val="00810CFA"/>
    <w:rsid w:val="00810D4B"/>
    <w:rsid w:val="00810DE2"/>
    <w:rsid w:val="00810DEB"/>
    <w:rsid w:val="00810F43"/>
    <w:rsid w:val="00810F45"/>
    <w:rsid w:val="00811032"/>
    <w:rsid w:val="00811196"/>
    <w:rsid w:val="00811357"/>
    <w:rsid w:val="00811519"/>
    <w:rsid w:val="00811593"/>
    <w:rsid w:val="008115A9"/>
    <w:rsid w:val="0081179D"/>
    <w:rsid w:val="008119FB"/>
    <w:rsid w:val="00811A64"/>
    <w:rsid w:val="00811AC3"/>
    <w:rsid w:val="00811C7B"/>
    <w:rsid w:val="00811DB5"/>
    <w:rsid w:val="00811EC1"/>
    <w:rsid w:val="00812288"/>
    <w:rsid w:val="00812291"/>
    <w:rsid w:val="00812440"/>
    <w:rsid w:val="008125CB"/>
    <w:rsid w:val="00812676"/>
    <w:rsid w:val="00812691"/>
    <w:rsid w:val="00812770"/>
    <w:rsid w:val="00812820"/>
    <w:rsid w:val="00812846"/>
    <w:rsid w:val="00812A5B"/>
    <w:rsid w:val="00812BDD"/>
    <w:rsid w:val="00812C2A"/>
    <w:rsid w:val="00812CD7"/>
    <w:rsid w:val="00812D02"/>
    <w:rsid w:val="00812DE9"/>
    <w:rsid w:val="00812E07"/>
    <w:rsid w:val="00812F76"/>
    <w:rsid w:val="00813122"/>
    <w:rsid w:val="00813889"/>
    <w:rsid w:val="008139E9"/>
    <w:rsid w:val="00813C3D"/>
    <w:rsid w:val="00813F66"/>
    <w:rsid w:val="0081406E"/>
    <w:rsid w:val="008141FF"/>
    <w:rsid w:val="00814201"/>
    <w:rsid w:val="00814236"/>
    <w:rsid w:val="008143CF"/>
    <w:rsid w:val="008148A5"/>
    <w:rsid w:val="008148D3"/>
    <w:rsid w:val="00814966"/>
    <w:rsid w:val="00814D79"/>
    <w:rsid w:val="00814E1F"/>
    <w:rsid w:val="0081501E"/>
    <w:rsid w:val="008151C8"/>
    <w:rsid w:val="00815863"/>
    <w:rsid w:val="00815A58"/>
    <w:rsid w:val="00815ACF"/>
    <w:rsid w:val="00815B50"/>
    <w:rsid w:val="00815C48"/>
    <w:rsid w:val="00815C5F"/>
    <w:rsid w:val="00815CE3"/>
    <w:rsid w:val="00815CFA"/>
    <w:rsid w:val="00815D6C"/>
    <w:rsid w:val="00815EE2"/>
    <w:rsid w:val="00815F0C"/>
    <w:rsid w:val="00816302"/>
    <w:rsid w:val="0081634B"/>
    <w:rsid w:val="0081635E"/>
    <w:rsid w:val="008164F3"/>
    <w:rsid w:val="00816556"/>
    <w:rsid w:val="00816615"/>
    <w:rsid w:val="008166EE"/>
    <w:rsid w:val="00816780"/>
    <w:rsid w:val="0081682F"/>
    <w:rsid w:val="008169DA"/>
    <w:rsid w:val="008169F1"/>
    <w:rsid w:val="00816BFD"/>
    <w:rsid w:val="00817060"/>
    <w:rsid w:val="008172CB"/>
    <w:rsid w:val="00817371"/>
    <w:rsid w:val="008173F1"/>
    <w:rsid w:val="00817528"/>
    <w:rsid w:val="0081767D"/>
    <w:rsid w:val="008177A1"/>
    <w:rsid w:val="008177BC"/>
    <w:rsid w:val="00817800"/>
    <w:rsid w:val="008178CA"/>
    <w:rsid w:val="00817D6E"/>
    <w:rsid w:val="00817E42"/>
    <w:rsid w:val="0082008D"/>
    <w:rsid w:val="00820150"/>
    <w:rsid w:val="008203D5"/>
    <w:rsid w:val="0082068E"/>
    <w:rsid w:val="0082075C"/>
    <w:rsid w:val="00820A99"/>
    <w:rsid w:val="00820AA3"/>
    <w:rsid w:val="00820CF0"/>
    <w:rsid w:val="00820E9D"/>
    <w:rsid w:val="00820EB9"/>
    <w:rsid w:val="00820F2A"/>
    <w:rsid w:val="00821017"/>
    <w:rsid w:val="0082129D"/>
    <w:rsid w:val="008212C9"/>
    <w:rsid w:val="0082169F"/>
    <w:rsid w:val="008217B4"/>
    <w:rsid w:val="008218BA"/>
    <w:rsid w:val="008218D6"/>
    <w:rsid w:val="00821B27"/>
    <w:rsid w:val="00821BD6"/>
    <w:rsid w:val="00821C30"/>
    <w:rsid w:val="00821C70"/>
    <w:rsid w:val="00821DD6"/>
    <w:rsid w:val="00822072"/>
    <w:rsid w:val="00822462"/>
    <w:rsid w:val="008225A0"/>
    <w:rsid w:val="00822699"/>
    <w:rsid w:val="008228B5"/>
    <w:rsid w:val="00822FF4"/>
    <w:rsid w:val="00823006"/>
    <w:rsid w:val="00823075"/>
    <w:rsid w:val="0082314F"/>
    <w:rsid w:val="00823161"/>
    <w:rsid w:val="00823683"/>
    <w:rsid w:val="008236FD"/>
    <w:rsid w:val="0082392B"/>
    <w:rsid w:val="00823A50"/>
    <w:rsid w:val="00823AAF"/>
    <w:rsid w:val="00823BA1"/>
    <w:rsid w:val="00823BF1"/>
    <w:rsid w:val="00823D19"/>
    <w:rsid w:val="00823E54"/>
    <w:rsid w:val="0082403E"/>
    <w:rsid w:val="0082420D"/>
    <w:rsid w:val="008242E0"/>
    <w:rsid w:val="008243A3"/>
    <w:rsid w:val="008243B7"/>
    <w:rsid w:val="00824633"/>
    <w:rsid w:val="00824A51"/>
    <w:rsid w:val="00824CB7"/>
    <w:rsid w:val="008251B7"/>
    <w:rsid w:val="008252F5"/>
    <w:rsid w:val="00825309"/>
    <w:rsid w:val="0082540B"/>
    <w:rsid w:val="008254DD"/>
    <w:rsid w:val="00825643"/>
    <w:rsid w:val="00825689"/>
    <w:rsid w:val="008256EC"/>
    <w:rsid w:val="0082590C"/>
    <w:rsid w:val="00825943"/>
    <w:rsid w:val="00825966"/>
    <w:rsid w:val="00825A36"/>
    <w:rsid w:val="00825A8F"/>
    <w:rsid w:val="00825C0B"/>
    <w:rsid w:val="00825EA0"/>
    <w:rsid w:val="00825EF8"/>
    <w:rsid w:val="00825F72"/>
    <w:rsid w:val="00825FBB"/>
    <w:rsid w:val="0082606D"/>
    <w:rsid w:val="008261C5"/>
    <w:rsid w:val="00826227"/>
    <w:rsid w:val="00826277"/>
    <w:rsid w:val="008264AE"/>
    <w:rsid w:val="008264CA"/>
    <w:rsid w:val="00826529"/>
    <w:rsid w:val="008265A6"/>
    <w:rsid w:val="00826709"/>
    <w:rsid w:val="008268ED"/>
    <w:rsid w:val="00826B7C"/>
    <w:rsid w:val="00826E8E"/>
    <w:rsid w:val="00826EB6"/>
    <w:rsid w:val="00826FE2"/>
    <w:rsid w:val="00826FFB"/>
    <w:rsid w:val="0082726D"/>
    <w:rsid w:val="008272BF"/>
    <w:rsid w:val="0082738F"/>
    <w:rsid w:val="008273EF"/>
    <w:rsid w:val="00827440"/>
    <w:rsid w:val="00827463"/>
    <w:rsid w:val="0082748B"/>
    <w:rsid w:val="00827555"/>
    <w:rsid w:val="00827614"/>
    <w:rsid w:val="00827719"/>
    <w:rsid w:val="00827926"/>
    <w:rsid w:val="0082799F"/>
    <w:rsid w:val="00827AAF"/>
    <w:rsid w:val="00827ABB"/>
    <w:rsid w:val="00827CA2"/>
    <w:rsid w:val="00827D2A"/>
    <w:rsid w:val="0083009C"/>
    <w:rsid w:val="008301EE"/>
    <w:rsid w:val="00830266"/>
    <w:rsid w:val="00830318"/>
    <w:rsid w:val="008303B3"/>
    <w:rsid w:val="0083042B"/>
    <w:rsid w:val="0083074A"/>
    <w:rsid w:val="008307FB"/>
    <w:rsid w:val="0083083F"/>
    <w:rsid w:val="00830C64"/>
    <w:rsid w:val="00830D6D"/>
    <w:rsid w:val="00830DDE"/>
    <w:rsid w:val="00830FAD"/>
    <w:rsid w:val="00831283"/>
    <w:rsid w:val="00831295"/>
    <w:rsid w:val="008312DF"/>
    <w:rsid w:val="00831389"/>
    <w:rsid w:val="008314CD"/>
    <w:rsid w:val="008316D9"/>
    <w:rsid w:val="008317EC"/>
    <w:rsid w:val="00831811"/>
    <w:rsid w:val="00831A5F"/>
    <w:rsid w:val="00831BEA"/>
    <w:rsid w:val="00831D4E"/>
    <w:rsid w:val="00831E00"/>
    <w:rsid w:val="00831EEF"/>
    <w:rsid w:val="00832001"/>
    <w:rsid w:val="0083298D"/>
    <w:rsid w:val="00832A67"/>
    <w:rsid w:val="00832EDB"/>
    <w:rsid w:val="00832F88"/>
    <w:rsid w:val="00832FAD"/>
    <w:rsid w:val="0083300C"/>
    <w:rsid w:val="0083313E"/>
    <w:rsid w:val="008331E3"/>
    <w:rsid w:val="0083326B"/>
    <w:rsid w:val="00833389"/>
    <w:rsid w:val="00833398"/>
    <w:rsid w:val="0083344D"/>
    <w:rsid w:val="008334BF"/>
    <w:rsid w:val="00833599"/>
    <w:rsid w:val="00833612"/>
    <w:rsid w:val="0083366E"/>
    <w:rsid w:val="0083369B"/>
    <w:rsid w:val="00833D68"/>
    <w:rsid w:val="00833F0B"/>
    <w:rsid w:val="00834245"/>
    <w:rsid w:val="0083427D"/>
    <w:rsid w:val="008343B7"/>
    <w:rsid w:val="008343D1"/>
    <w:rsid w:val="008344FF"/>
    <w:rsid w:val="00834506"/>
    <w:rsid w:val="008345CF"/>
    <w:rsid w:val="00834B20"/>
    <w:rsid w:val="00834DBC"/>
    <w:rsid w:val="00834ED8"/>
    <w:rsid w:val="00834F14"/>
    <w:rsid w:val="0083505D"/>
    <w:rsid w:val="0083535C"/>
    <w:rsid w:val="0083558E"/>
    <w:rsid w:val="00835705"/>
    <w:rsid w:val="00835949"/>
    <w:rsid w:val="008359BD"/>
    <w:rsid w:val="00835D91"/>
    <w:rsid w:val="00835E15"/>
    <w:rsid w:val="00835EDA"/>
    <w:rsid w:val="00835F6C"/>
    <w:rsid w:val="008361D7"/>
    <w:rsid w:val="0083654B"/>
    <w:rsid w:val="0083662F"/>
    <w:rsid w:val="0083678A"/>
    <w:rsid w:val="00836E59"/>
    <w:rsid w:val="00837025"/>
    <w:rsid w:val="008371D6"/>
    <w:rsid w:val="008372BD"/>
    <w:rsid w:val="00837553"/>
    <w:rsid w:val="00837597"/>
    <w:rsid w:val="0083786A"/>
    <w:rsid w:val="00837AD2"/>
    <w:rsid w:val="00837BA0"/>
    <w:rsid w:val="00837E44"/>
    <w:rsid w:val="00837EA7"/>
    <w:rsid w:val="00840022"/>
    <w:rsid w:val="00840037"/>
    <w:rsid w:val="00840325"/>
    <w:rsid w:val="00840457"/>
    <w:rsid w:val="00840947"/>
    <w:rsid w:val="00840C7A"/>
    <w:rsid w:val="00840CEB"/>
    <w:rsid w:val="00840D15"/>
    <w:rsid w:val="00840F9C"/>
    <w:rsid w:val="00840FBC"/>
    <w:rsid w:val="0084118B"/>
    <w:rsid w:val="00841247"/>
    <w:rsid w:val="00841358"/>
    <w:rsid w:val="00841410"/>
    <w:rsid w:val="008416E2"/>
    <w:rsid w:val="0084188D"/>
    <w:rsid w:val="00841926"/>
    <w:rsid w:val="0084195B"/>
    <w:rsid w:val="0084197B"/>
    <w:rsid w:val="00841B16"/>
    <w:rsid w:val="00841B1F"/>
    <w:rsid w:val="00841B3D"/>
    <w:rsid w:val="00841C32"/>
    <w:rsid w:val="00841E59"/>
    <w:rsid w:val="00841EBD"/>
    <w:rsid w:val="00841F2F"/>
    <w:rsid w:val="00842217"/>
    <w:rsid w:val="00842497"/>
    <w:rsid w:val="008424CE"/>
    <w:rsid w:val="00842530"/>
    <w:rsid w:val="008428A9"/>
    <w:rsid w:val="0084290D"/>
    <w:rsid w:val="00842B2D"/>
    <w:rsid w:val="00842EF1"/>
    <w:rsid w:val="00842F04"/>
    <w:rsid w:val="00842F08"/>
    <w:rsid w:val="00842FD2"/>
    <w:rsid w:val="00843006"/>
    <w:rsid w:val="008431E6"/>
    <w:rsid w:val="00843259"/>
    <w:rsid w:val="008433B4"/>
    <w:rsid w:val="00843432"/>
    <w:rsid w:val="0084346B"/>
    <w:rsid w:val="00843547"/>
    <w:rsid w:val="0084371D"/>
    <w:rsid w:val="008439F4"/>
    <w:rsid w:val="00843B5B"/>
    <w:rsid w:val="00843B77"/>
    <w:rsid w:val="00843BB4"/>
    <w:rsid w:val="00843D1A"/>
    <w:rsid w:val="00843D2F"/>
    <w:rsid w:val="00843FD8"/>
    <w:rsid w:val="0084411D"/>
    <w:rsid w:val="008448DB"/>
    <w:rsid w:val="00844A98"/>
    <w:rsid w:val="00844A9A"/>
    <w:rsid w:val="00844B2B"/>
    <w:rsid w:val="00844B71"/>
    <w:rsid w:val="00844BE8"/>
    <w:rsid w:val="00844D58"/>
    <w:rsid w:val="00844E25"/>
    <w:rsid w:val="008453EC"/>
    <w:rsid w:val="008456C9"/>
    <w:rsid w:val="00845836"/>
    <w:rsid w:val="00845C57"/>
    <w:rsid w:val="00845C64"/>
    <w:rsid w:val="00845C7A"/>
    <w:rsid w:val="00845C88"/>
    <w:rsid w:val="008460B6"/>
    <w:rsid w:val="008461D2"/>
    <w:rsid w:val="00846597"/>
    <w:rsid w:val="0084660B"/>
    <w:rsid w:val="008468FF"/>
    <w:rsid w:val="00846C1B"/>
    <w:rsid w:val="00846CB1"/>
    <w:rsid w:val="00846CE9"/>
    <w:rsid w:val="00846E9F"/>
    <w:rsid w:val="0084702C"/>
    <w:rsid w:val="0084735D"/>
    <w:rsid w:val="0084756A"/>
    <w:rsid w:val="008479C5"/>
    <w:rsid w:val="00847D86"/>
    <w:rsid w:val="00847D93"/>
    <w:rsid w:val="008500FF"/>
    <w:rsid w:val="008501DC"/>
    <w:rsid w:val="008505BE"/>
    <w:rsid w:val="00850778"/>
    <w:rsid w:val="00850C93"/>
    <w:rsid w:val="00850EC6"/>
    <w:rsid w:val="008510E4"/>
    <w:rsid w:val="008511EA"/>
    <w:rsid w:val="008514BB"/>
    <w:rsid w:val="008516AD"/>
    <w:rsid w:val="0085191A"/>
    <w:rsid w:val="008519EA"/>
    <w:rsid w:val="00851A45"/>
    <w:rsid w:val="00851C99"/>
    <w:rsid w:val="00851D23"/>
    <w:rsid w:val="00851F12"/>
    <w:rsid w:val="00851FCD"/>
    <w:rsid w:val="0085213E"/>
    <w:rsid w:val="0085223B"/>
    <w:rsid w:val="0085231F"/>
    <w:rsid w:val="008523CF"/>
    <w:rsid w:val="008525AE"/>
    <w:rsid w:val="00852716"/>
    <w:rsid w:val="0085273D"/>
    <w:rsid w:val="0085277D"/>
    <w:rsid w:val="008528D4"/>
    <w:rsid w:val="0085296F"/>
    <w:rsid w:val="008529FC"/>
    <w:rsid w:val="00852AB3"/>
    <w:rsid w:val="00852DF7"/>
    <w:rsid w:val="00852E1E"/>
    <w:rsid w:val="00852FAF"/>
    <w:rsid w:val="0085302B"/>
    <w:rsid w:val="00853167"/>
    <w:rsid w:val="0085362A"/>
    <w:rsid w:val="008536B8"/>
    <w:rsid w:val="008538B6"/>
    <w:rsid w:val="00853997"/>
    <w:rsid w:val="00853A0D"/>
    <w:rsid w:val="00853BBF"/>
    <w:rsid w:val="00853DB9"/>
    <w:rsid w:val="00853DD3"/>
    <w:rsid w:val="00853E9E"/>
    <w:rsid w:val="00853EAB"/>
    <w:rsid w:val="00853F9C"/>
    <w:rsid w:val="00853FB6"/>
    <w:rsid w:val="00854013"/>
    <w:rsid w:val="0085416F"/>
    <w:rsid w:val="008544B4"/>
    <w:rsid w:val="00854A73"/>
    <w:rsid w:val="00854BEB"/>
    <w:rsid w:val="00854C4B"/>
    <w:rsid w:val="00854C55"/>
    <w:rsid w:val="00854D0F"/>
    <w:rsid w:val="00854F11"/>
    <w:rsid w:val="00854F2E"/>
    <w:rsid w:val="0085538A"/>
    <w:rsid w:val="00855452"/>
    <w:rsid w:val="0085574E"/>
    <w:rsid w:val="008559E5"/>
    <w:rsid w:val="008559FF"/>
    <w:rsid w:val="00855C08"/>
    <w:rsid w:val="00855C9C"/>
    <w:rsid w:val="00855F62"/>
    <w:rsid w:val="00855FE8"/>
    <w:rsid w:val="00855FF4"/>
    <w:rsid w:val="008560DE"/>
    <w:rsid w:val="008561D8"/>
    <w:rsid w:val="008563A2"/>
    <w:rsid w:val="00856406"/>
    <w:rsid w:val="0085658D"/>
    <w:rsid w:val="00856763"/>
    <w:rsid w:val="008567BA"/>
    <w:rsid w:val="00856915"/>
    <w:rsid w:val="008569F4"/>
    <w:rsid w:val="00856A04"/>
    <w:rsid w:val="00856ABF"/>
    <w:rsid w:val="00856B39"/>
    <w:rsid w:val="00856BF8"/>
    <w:rsid w:val="00856D22"/>
    <w:rsid w:val="00856ECD"/>
    <w:rsid w:val="00856F1D"/>
    <w:rsid w:val="008573CF"/>
    <w:rsid w:val="0085743D"/>
    <w:rsid w:val="008574E1"/>
    <w:rsid w:val="008576DD"/>
    <w:rsid w:val="0085783C"/>
    <w:rsid w:val="00857B55"/>
    <w:rsid w:val="00857DAB"/>
    <w:rsid w:val="008600AA"/>
    <w:rsid w:val="008601EA"/>
    <w:rsid w:val="008603EB"/>
    <w:rsid w:val="0086040D"/>
    <w:rsid w:val="0086040F"/>
    <w:rsid w:val="00860E8C"/>
    <w:rsid w:val="00860FF2"/>
    <w:rsid w:val="00861036"/>
    <w:rsid w:val="008610C6"/>
    <w:rsid w:val="00861126"/>
    <w:rsid w:val="008611C9"/>
    <w:rsid w:val="008613AA"/>
    <w:rsid w:val="0086151A"/>
    <w:rsid w:val="008615FC"/>
    <w:rsid w:val="00861602"/>
    <w:rsid w:val="00861819"/>
    <w:rsid w:val="00861ED8"/>
    <w:rsid w:val="00861FF1"/>
    <w:rsid w:val="00862475"/>
    <w:rsid w:val="0086247E"/>
    <w:rsid w:val="00862810"/>
    <w:rsid w:val="008628D2"/>
    <w:rsid w:val="00862AED"/>
    <w:rsid w:val="00862C15"/>
    <w:rsid w:val="00862CA3"/>
    <w:rsid w:val="00862D3E"/>
    <w:rsid w:val="00862DA9"/>
    <w:rsid w:val="00862E95"/>
    <w:rsid w:val="00862FBA"/>
    <w:rsid w:val="00863019"/>
    <w:rsid w:val="00863295"/>
    <w:rsid w:val="00863588"/>
    <w:rsid w:val="008636B5"/>
    <w:rsid w:val="0086379A"/>
    <w:rsid w:val="00863BD7"/>
    <w:rsid w:val="00864276"/>
    <w:rsid w:val="0086455A"/>
    <w:rsid w:val="00864698"/>
    <w:rsid w:val="008647AA"/>
    <w:rsid w:val="008647E2"/>
    <w:rsid w:val="008649D4"/>
    <w:rsid w:val="00864D48"/>
    <w:rsid w:val="00864DA4"/>
    <w:rsid w:val="00864F4C"/>
    <w:rsid w:val="008650F4"/>
    <w:rsid w:val="0086518B"/>
    <w:rsid w:val="008659DC"/>
    <w:rsid w:val="00865ECD"/>
    <w:rsid w:val="008663C0"/>
    <w:rsid w:val="00866403"/>
    <w:rsid w:val="00866619"/>
    <w:rsid w:val="00866626"/>
    <w:rsid w:val="00866890"/>
    <w:rsid w:val="00866F76"/>
    <w:rsid w:val="00866FD7"/>
    <w:rsid w:val="00866FF7"/>
    <w:rsid w:val="00867338"/>
    <w:rsid w:val="0086737A"/>
    <w:rsid w:val="0086739D"/>
    <w:rsid w:val="008673AD"/>
    <w:rsid w:val="008675BD"/>
    <w:rsid w:val="0086760E"/>
    <w:rsid w:val="008676BA"/>
    <w:rsid w:val="0086791A"/>
    <w:rsid w:val="00867A0D"/>
    <w:rsid w:val="00867A0E"/>
    <w:rsid w:val="00867C03"/>
    <w:rsid w:val="00867C0D"/>
    <w:rsid w:val="00867CA1"/>
    <w:rsid w:val="00867E8E"/>
    <w:rsid w:val="00867EA8"/>
    <w:rsid w:val="008700A0"/>
    <w:rsid w:val="00870197"/>
    <w:rsid w:val="008703F5"/>
    <w:rsid w:val="00870545"/>
    <w:rsid w:val="008708E6"/>
    <w:rsid w:val="00870ACE"/>
    <w:rsid w:val="00870C8E"/>
    <w:rsid w:val="00870CDA"/>
    <w:rsid w:val="00870CF3"/>
    <w:rsid w:val="00870F65"/>
    <w:rsid w:val="00871107"/>
    <w:rsid w:val="0087130B"/>
    <w:rsid w:val="00871394"/>
    <w:rsid w:val="00871524"/>
    <w:rsid w:val="0087179E"/>
    <w:rsid w:val="00871993"/>
    <w:rsid w:val="00871A2A"/>
    <w:rsid w:val="00871BF0"/>
    <w:rsid w:val="00871CC7"/>
    <w:rsid w:val="00871D8F"/>
    <w:rsid w:val="00871F26"/>
    <w:rsid w:val="00871FB9"/>
    <w:rsid w:val="00872543"/>
    <w:rsid w:val="00872591"/>
    <w:rsid w:val="008728BE"/>
    <w:rsid w:val="008728E2"/>
    <w:rsid w:val="00872A9F"/>
    <w:rsid w:val="00872B5C"/>
    <w:rsid w:val="00872D53"/>
    <w:rsid w:val="00872ED6"/>
    <w:rsid w:val="00872FD8"/>
    <w:rsid w:val="008731BA"/>
    <w:rsid w:val="0087325D"/>
    <w:rsid w:val="00873550"/>
    <w:rsid w:val="00873664"/>
    <w:rsid w:val="00873734"/>
    <w:rsid w:val="00873768"/>
    <w:rsid w:val="00873782"/>
    <w:rsid w:val="008737F4"/>
    <w:rsid w:val="00873A1B"/>
    <w:rsid w:val="00873FCF"/>
    <w:rsid w:val="0087405D"/>
    <w:rsid w:val="00874181"/>
    <w:rsid w:val="00874200"/>
    <w:rsid w:val="00874414"/>
    <w:rsid w:val="00874463"/>
    <w:rsid w:val="008744DA"/>
    <w:rsid w:val="00874580"/>
    <w:rsid w:val="00874756"/>
    <w:rsid w:val="00874B53"/>
    <w:rsid w:val="00874D07"/>
    <w:rsid w:val="00874D9F"/>
    <w:rsid w:val="00874F67"/>
    <w:rsid w:val="008752AB"/>
    <w:rsid w:val="008752D3"/>
    <w:rsid w:val="00875317"/>
    <w:rsid w:val="00875332"/>
    <w:rsid w:val="008757B3"/>
    <w:rsid w:val="00875887"/>
    <w:rsid w:val="0087591E"/>
    <w:rsid w:val="00875A4E"/>
    <w:rsid w:val="00875A8D"/>
    <w:rsid w:val="00875AC6"/>
    <w:rsid w:val="00875B49"/>
    <w:rsid w:val="00875D3E"/>
    <w:rsid w:val="00875D81"/>
    <w:rsid w:val="00875D91"/>
    <w:rsid w:val="00875DAA"/>
    <w:rsid w:val="00875E23"/>
    <w:rsid w:val="00875F7D"/>
    <w:rsid w:val="00875FC6"/>
    <w:rsid w:val="00876008"/>
    <w:rsid w:val="0087600D"/>
    <w:rsid w:val="00876114"/>
    <w:rsid w:val="0087619E"/>
    <w:rsid w:val="00876906"/>
    <w:rsid w:val="00876B68"/>
    <w:rsid w:val="00876BF8"/>
    <w:rsid w:val="00876C54"/>
    <w:rsid w:val="00876D1B"/>
    <w:rsid w:val="00876DFD"/>
    <w:rsid w:val="00877031"/>
    <w:rsid w:val="0087737E"/>
    <w:rsid w:val="008773B2"/>
    <w:rsid w:val="008775AD"/>
    <w:rsid w:val="008776C2"/>
    <w:rsid w:val="00877716"/>
    <w:rsid w:val="00877986"/>
    <w:rsid w:val="00877B27"/>
    <w:rsid w:val="00877EC0"/>
    <w:rsid w:val="00880113"/>
    <w:rsid w:val="0088012F"/>
    <w:rsid w:val="0088038F"/>
    <w:rsid w:val="008804AD"/>
    <w:rsid w:val="008809F6"/>
    <w:rsid w:val="00880B38"/>
    <w:rsid w:val="00880C11"/>
    <w:rsid w:val="00880C50"/>
    <w:rsid w:val="00880CB0"/>
    <w:rsid w:val="00880D69"/>
    <w:rsid w:val="00880DD3"/>
    <w:rsid w:val="00880E79"/>
    <w:rsid w:val="0088101E"/>
    <w:rsid w:val="0088120F"/>
    <w:rsid w:val="00881305"/>
    <w:rsid w:val="0088130C"/>
    <w:rsid w:val="008815B0"/>
    <w:rsid w:val="008817E8"/>
    <w:rsid w:val="00881817"/>
    <w:rsid w:val="00881914"/>
    <w:rsid w:val="00881AF7"/>
    <w:rsid w:val="00881BAB"/>
    <w:rsid w:val="00881C44"/>
    <w:rsid w:val="00881D81"/>
    <w:rsid w:val="00882071"/>
    <w:rsid w:val="00882345"/>
    <w:rsid w:val="0088238D"/>
    <w:rsid w:val="008824C5"/>
    <w:rsid w:val="008825B5"/>
    <w:rsid w:val="008825BD"/>
    <w:rsid w:val="008826FA"/>
    <w:rsid w:val="00882CDF"/>
    <w:rsid w:val="00882D51"/>
    <w:rsid w:val="00882D76"/>
    <w:rsid w:val="00882DFE"/>
    <w:rsid w:val="00882FC0"/>
    <w:rsid w:val="00883041"/>
    <w:rsid w:val="008831DB"/>
    <w:rsid w:val="00883356"/>
    <w:rsid w:val="00883363"/>
    <w:rsid w:val="00883387"/>
    <w:rsid w:val="00883466"/>
    <w:rsid w:val="0088352E"/>
    <w:rsid w:val="00883613"/>
    <w:rsid w:val="0088363F"/>
    <w:rsid w:val="0088379E"/>
    <w:rsid w:val="0088395B"/>
    <w:rsid w:val="00883A06"/>
    <w:rsid w:val="00883A7E"/>
    <w:rsid w:val="00883ACE"/>
    <w:rsid w:val="00883BED"/>
    <w:rsid w:val="00883EA7"/>
    <w:rsid w:val="00883F87"/>
    <w:rsid w:val="0088404B"/>
    <w:rsid w:val="008840BA"/>
    <w:rsid w:val="00884253"/>
    <w:rsid w:val="00884388"/>
    <w:rsid w:val="00884442"/>
    <w:rsid w:val="008844ED"/>
    <w:rsid w:val="00884558"/>
    <w:rsid w:val="00884BF0"/>
    <w:rsid w:val="008850A8"/>
    <w:rsid w:val="00885188"/>
    <w:rsid w:val="0088559D"/>
    <w:rsid w:val="00885E5E"/>
    <w:rsid w:val="00885E9C"/>
    <w:rsid w:val="00885F02"/>
    <w:rsid w:val="00885F96"/>
    <w:rsid w:val="008864B0"/>
    <w:rsid w:val="00886501"/>
    <w:rsid w:val="0088655F"/>
    <w:rsid w:val="0088665D"/>
    <w:rsid w:val="008867A3"/>
    <w:rsid w:val="00886ACD"/>
    <w:rsid w:val="00886B36"/>
    <w:rsid w:val="00886CC5"/>
    <w:rsid w:val="00886CEB"/>
    <w:rsid w:val="00886E32"/>
    <w:rsid w:val="00886F49"/>
    <w:rsid w:val="00887343"/>
    <w:rsid w:val="00887390"/>
    <w:rsid w:val="008874EA"/>
    <w:rsid w:val="00887537"/>
    <w:rsid w:val="00887A2B"/>
    <w:rsid w:val="00887B3D"/>
    <w:rsid w:val="00887CFD"/>
    <w:rsid w:val="00887DD6"/>
    <w:rsid w:val="00887E77"/>
    <w:rsid w:val="008906A9"/>
    <w:rsid w:val="008906E8"/>
    <w:rsid w:val="00890C93"/>
    <w:rsid w:val="00891267"/>
    <w:rsid w:val="00891473"/>
    <w:rsid w:val="008914DC"/>
    <w:rsid w:val="008915EC"/>
    <w:rsid w:val="008916C4"/>
    <w:rsid w:val="0089174D"/>
    <w:rsid w:val="008919DF"/>
    <w:rsid w:val="00891A4B"/>
    <w:rsid w:val="00891B0C"/>
    <w:rsid w:val="00891B3E"/>
    <w:rsid w:val="00891B51"/>
    <w:rsid w:val="00891E27"/>
    <w:rsid w:val="00891FD8"/>
    <w:rsid w:val="008920F2"/>
    <w:rsid w:val="00892115"/>
    <w:rsid w:val="00892146"/>
    <w:rsid w:val="008921CC"/>
    <w:rsid w:val="00892259"/>
    <w:rsid w:val="008924A5"/>
    <w:rsid w:val="00892548"/>
    <w:rsid w:val="00892723"/>
    <w:rsid w:val="008927F8"/>
    <w:rsid w:val="008928AD"/>
    <w:rsid w:val="00892A9C"/>
    <w:rsid w:val="00892AAE"/>
    <w:rsid w:val="00892B10"/>
    <w:rsid w:val="00892C41"/>
    <w:rsid w:val="00892D96"/>
    <w:rsid w:val="00892E8D"/>
    <w:rsid w:val="00892F69"/>
    <w:rsid w:val="00893246"/>
    <w:rsid w:val="008932A3"/>
    <w:rsid w:val="008933A8"/>
    <w:rsid w:val="0089353D"/>
    <w:rsid w:val="00893835"/>
    <w:rsid w:val="0089398F"/>
    <w:rsid w:val="00893B0D"/>
    <w:rsid w:val="00893C69"/>
    <w:rsid w:val="00893C71"/>
    <w:rsid w:val="00893DAB"/>
    <w:rsid w:val="00893E70"/>
    <w:rsid w:val="00893ED5"/>
    <w:rsid w:val="00893FF3"/>
    <w:rsid w:val="0089402B"/>
    <w:rsid w:val="008940C8"/>
    <w:rsid w:val="008942E0"/>
    <w:rsid w:val="00894310"/>
    <w:rsid w:val="00894355"/>
    <w:rsid w:val="00894402"/>
    <w:rsid w:val="008946C2"/>
    <w:rsid w:val="008947A5"/>
    <w:rsid w:val="00894828"/>
    <w:rsid w:val="00894874"/>
    <w:rsid w:val="00894C52"/>
    <w:rsid w:val="00894CAF"/>
    <w:rsid w:val="00894D4E"/>
    <w:rsid w:val="00894E05"/>
    <w:rsid w:val="00894ECD"/>
    <w:rsid w:val="00895047"/>
    <w:rsid w:val="008950F0"/>
    <w:rsid w:val="00895269"/>
    <w:rsid w:val="008952C2"/>
    <w:rsid w:val="008953AC"/>
    <w:rsid w:val="008954FB"/>
    <w:rsid w:val="00895578"/>
    <w:rsid w:val="008955F1"/>
    <w:rsid w:val="00895978"/>
    <w:rsid w:val="00895AEF"/>
    <w:rsid w:val="00895D01"/>
    <w:rsid w:val="00896424"/>
    <w:rsid w:val="00896626"/>
    <w:rsid w:val="00896915"/>
    <w:rsid w:val="0089698A"/>
    <w:rsid w:val="008969A6"/>
    <w:rsid w:val="00896AB3"/>
    <w:rsid w:val="00896B5B"/>
    <w:rsid w:val="00896DDE"/>
    <w:rsid w:val="008970D5"/>
    <w:rsid w:val="0089732A"/>
    <w:rsid w:val="00897577"/>
    <w:rsid w:val="008976FC"/>
    <w:rsid w:val="00897762"/>
    <w:rsid w:val="008977E3"/>
    <w:rsid w:val="00897CB1"/>
    <w:rsid w:val="00897DE2"/>
    <w:rsid w:val="00897E99"/>
    <w:rsid w:val="008A001B"/>
    <w:rsid w:val="008A01DE"/>
    <w:rsid w:val="008A021A"/>
    <w:rsid w:val="008A029D"/>
    <w:rsid w:val="008A0319"/>
    <w:rsid w:val="008A034A"/>
    <w:rsid w:val="008A0426"/>
    <w:rsid w:val="008A0928"/>
    <w:rsid w:val="008A0B65"/>
    <w:rsid w:val="008A0BF9"/>
    <w:rsid w:val="008A0E11"/>
    <w:rsid w:val="008A0E38"/>
    <w:rsid w:val="008A0EC7"/>
    <w:rsid w:val="008A0FC7"/>
    <w:rsid w:val="008A0FE2"/>
    <w:rsid w:val="008A11E2"/>
    <w:rsid w:val="008A1255"/>
    <w:rsid w:val="008A13FC"/>
    <w:rsid w:val="008A18B9"/>
    <w:rsid w:val="008A1919"/>
    <w:rsid w:val="008A19D3"/>
    <w:rsid w:val="008A1A23"/>
    <w:rsid w:val="008A1BD8"/>
    <w:rsid w:val="008A1F37"/>
    <w:rsid w:val="008A1F6F"/>
    <w:rsid w:val="008A203D"/>
    <w:rsid w:val="008A2378"/>
    <w:rsid w:val="008A2574"/>
    <w:rsid w:val="008A27CC"/>
    <w:rsid w:val="008A28E1"/>
    <w:rsid w:val="008A2A2B"/>
    <w:rsid w:val="008A2AA0"/>
    <w:rsid w:val="008A2B03"/>
    <w:rsid w:val="008A309D"/>
    <w:rsid w:val="008A316C"/>
    <w:rsid w:val="008A32CF"/>
    <w:rsid w:val="008A33F3"/>
    <w:rsid w:val="008A341E"/>
    <w:rsid w:val="008A3493"/>
    <w:rsid w:val="008A3579"/>
    <w:rsid w:val="008A386F"/>
    <w:rsid w:val="008A388D"/>
    <w:rsid w:val="008A3A83"/>
    <w:rsid w:val="008A3CC6"/>
    <w:rsid w:val="008A3CC8"/>
    <w:rsid w:val="008A3DFF"/>
    <w:rsid w:val="008A3E1C"/>
    <w:rsid w:val="008A3EE1"/>
    <w:rsid w:val="008A3EF5"/>
    <w:rsid w:val="008A404E"/>
    <w:rsid w:val="008A4353"/>
    <w:rsid w:val="008A43D4"/>
    <w:rsid w:val="008A4419"/>
    <w:rsid w:val="008A4766"/>
    <w:rsid w:val="008A48AF"/>
    <w:rsid w:val="008A49AA"/>
    <w:rsid w:val="008A4A31"/>
    <w:rsid w:val="008A4CD9"/>
    <w:rsid w:val="008A4D0A"/>
    <w:rsid w:val="008A4DA0"/>
    <w:rsid w:val="008A4EC6"/>
    <w:rsid w:val="008A513D"/>
    <w:rsid w:val="008A5396"/>
    <w:rsid w:val="008A560F"/>
    <w:rsid w:val="008A5797"/>
    <w:rsid w:val="008A57CE"/>
    <w:rsid w:val="008A5A1D"/>
    <w:rsid w:val="008A5BAF"/>
    <w:rsid w:val="008A5F93"/>
    <w:rsid w:val="008A62CA"/>
    <w:rsid w:val="008A634A"/>
    <w:rsid w:val="008A63DC"/>
    <w:rsid w:val="008A6454"/>
    <w:rsid w:val="008A6576"/>
    <w:rsid w:val="008A672C"/>
    <w:rsid w:val="008A684C"/>
    <w:rsid w:val="008A68B1"/>
    <w:rsid w:val="008A6B23"/>
    <w:rsid w:val="008A6D0E"/>
    <w:rsid w:val="008A6E0F"/>
    <w:rsid w:val="008A6E18"/>
    <w:rsid w:val="008A7212"/>
    <w:rsid w:val="008A73AA"/>
    <w:rsid w:val="008A7450"/>
    <w:rsid w:val="008A7545"/>
    <w:rsid w:val="008A799A"/>
    <w:rsid w:val="008A7D0E"/>
    <w:rsid w:val="008A7D90"/>
    <w:rsid w:val="008A7EA6"/>
    <w:rsid w:val="008A7EAF"/>
    <w:rsid w:val="008A7F02"/>
    <w:rsid w:val="008B0482"/>
    <w:rsid w:val="008B04F4"/>
    <w:rsid w:val="008B0867"/>
    <w:rsid w:val="008B0CAA"/>
    <w:rsid w:val="008B0CE6"/>
    <w:rsid w:val="008B0D71"/>
    <w:rsid w:val="008B10D9"/>
    <w:rsid w:val="008B1255"/>
    <w:rsid w:val="008B1436"/>
    <w:rsid w:val="008B1468"/>
    <w:rsid w:val="008B1766"/>
    <w:rsid w:val="008B1C04"/>
    <w:rsid w:val="008B1CB9"/>
    <w:rsid w:val="008B1CFE"/>
    <w:rsid w:val="008B1DDF"/>
    <w:rsid w:val="008B1ECC"/>
    <w:rsid w:val="008B20EA"/>
    <w:rsid w:val="008B23C1"/>
    <w:rsid w:val="008B241F"/>
    <w:rsid w:val="008B2660"/>
    <w:rsid w:val="008B2780"/>
    <w:rsid w:val="008B27EC"/>
    <w:rsid w:val="008B288E"/>
    <w:rsid w:val="008B2981"/>
    <w:rsid w:val="008B2E14"/>
    <w:rsid w:val="008B2E9D"/>
    <w:rsid w:val="008B2F1D"/>
    <w:rsid w:val="008B2F2A"/>
    <w:rsid w:val="008B2F62"/>
    <w:rsid w:val="008B2FA4"/>
    <w:rsid w:val="008B3103"/>
    <w:rsid w:val="008B3127"/>
    <w:rsid w:val="008B316E"/>
    <w:rsid w:val="008B32F6"/>
    <w:rsid w:val="008B33C3"/>
    <w:rsid w:val="008B342E"/>
    <w:rsid w:val="008B3633"/>
    <w:rsid w:val="008B38F4"/>
    <w:rsid w:val="008B390F"/>
    <w:rsid w:val="008B3A50"/>
    <w:rsid w:val="008B3C5C"/>
    <w:rsid w:val="008B3C5E"/>
    <w:rsid w:val="008B4053"/>
    <w:rsid w:val="008B42D1"/>
    <w:rsid w:val="008B46F8"/>
    <w:rsid w:val="008B46F9"/>
    <w:rsid w:val="008B498D"/>
    <w:rsid w:val="008B4A45"/>
    <w:rsid w:val="008B4AFA"/>
    <w:rsid w:val="008B4F4B"/>
    <w:rsid w:val="008B4F91"/>
    <w:rsid w:val="008B5193"/>
    <w:rsid w:val="008B51B9"/>
    <w:rsid w:val="008B52B2"/>
    <w:rsid w:val="008B52E0"/>
    <w:rsid w:val="008B5368"/>
    <w:rsid w:val="008B5411"/>
    <w:rsid w:val="008B5695"/>
    <w:rsid w:val="008B58E4"/>
    <w:rsid w:val="008B5975"/>
    <w:rsid w:val="008B5DF0"/>
    <w:rsid w:val="008B60E9"/>
    <w:rsid w:val="008B61E9"/>
    <w:rsid w:val="008B62A3"/>
    <w:rsid w:val="008B62DE"/>
    <w:rsid w:val="008B63DD"/>
    <w:rsid w:val="008B64DC"/>
    <w:rsid w:val="008B669D"/>
    <w:rsid w:val="008B6703"/>
    <w:rsid w:val="008B68B9"/>
    <w:rsid w:val="008B694D"/>
    <w:rsid w:val="008B6A45"/>
    <w:rsid w:val="008B6AA2"/>
    <w:rsid w:val="008B6BE6"/>
    <w:rsid w:val="008B6E20"/>
    <w:rsid w:val="008B725C"/>
    <w:rsid w:val="008B72D7"/>
    <w:rsid w:val="008B768C"/>
    <w:rsid w:val="008B7713"/>
    <w:rsid w:val="008B7787"/>
    <w:rsid w:val="008B77DC"/>
    <w:rsid w:val="008B798C"/>
    <w:rsid w:val="008B7AFA"/>
    <w:rsid w:val="008B7C04"/>
    <w:rsid w:val="008B7C9B"/>
    <w:rsid w:val="008B7CC3"/>
    <w:rsid w:val="008B7F3D"/>
    <w:rsid w:val="008C0265"/>
    <w:rsid w:val="008C03D3"/>
    <w:rsid w:val="008C0435"/>
    <w:rsid w:val="008C0448"/>
    <w:rsid w:val="008C057F"/>
    <w:rsid w:val="008C0588"/>
    <w:rsid w:val="008C05B5"/>
    <w:rsid w:val="008C0625"/>
    <w:rsid w:val="008C0762"/>
    <w:rsid w:val="008C0827"/>
    <w:rsid w:val="008C096B"/>
    <w:rsid w:val="008C0C0C"/>
    <w:rsid w:val="008C0CCD"/>
    <w:rsid w:val="008C0D8D"/>
    <w:rsid w:val="008C0E3A"/>
    <w:rsid w:val="008C0E68"/>
    <w:rsid w:val="008C10AC"/>
    <w:rsid w:val="008C145B"/>
    <w:rsid w:val="008C1606"/>
    <w:rsid w:val="008C172B"/>
    <w:rsid w:val="008C177B"/>
    <w:rsid w:val="008C1797"/>
    <w:rsid w:val="008C18AE"/>
    <w:rsid w:val="008C1CCE"/>
    <w:rsid w:val="008C1F5C"/>
    <w:rsid w:val="008C20BE"/>
    <w:rsid w:val="008C22EE"/>
    <w:rsid w:val="008C2306"/>
    <w:rsid w:val="008C23DC"/>
    <w:rsid w:val="008C2521"/>
    <w:rsid w:val="008C2564"/>
    <w:rsid w:val="008C25B2"/>
    <w:rsid w:val="008C2688"/>
    <w:rsid w:val="008C27E5"/>
    <w:rsid w:val="008C292A"/>
    <w:rsid w:val="008C2C1D"/>
    <w:rsid w:val="008C2C33"/>
    <w:rsid w:val="008C2CB5"/>
    <w:rsid w:val="008C2E00"/>
    <w:rsid w:val="008C2EE6"/>
    <w:rsid w:val="008C322E"/>
    <w:rsid w:val="008C354F"/>
    <w:rsid w:val="008C36BB"/>
    <w:rsid w:val="008C36D8"/>
    <w:rsid w:val="008C3738"/>
    <w:rsid w:val="008C394B"/>
    <w:rsid w:val="008C39AD"/>
    <w:rsid w:val="008C3C40"/>
    <w:rsid w:val="008C412C"/>
    <w:rsid w:val="008C4327"/>
    <w:rsid w:val="008C4670"/>
    <w:rsid w:val="008C4944"/>
    <w:rsid w:val="008C4BB8"/>
    <w:rsid w:val="008C4BC2"/>
    <w:rsid w:val="008C4BCE"/>
    <w:rsid w:val="008C4CC6"/>
    <w:rsid w:val="008C4CDF"/>
    <w:rsid w:val="008C4D5C"/>
    <w:rsid w:val="008C4E0B"/>
    <w:rsid w:val="008C4ED1"/>
    <w:rsid w:val="008C55AF"/>
    <w:rsid w:val="008C58B3"/>
    <w:rsid w:val="008C59AB"/>
    <w:rsid w:val="008C5BEC"/>
    <w:rsid w:val="008C5DCF"/>
    <w:rsid w:val="008C5F51"/>
    <w:rsid w:val="008C5FDB"/>
    <w:rsid w:val="008C6154"/>
    <w:rsid w:val="008C618F"/>
    <w:rsid w:val="008C6230"/>
    <w:rsid w:val="008C66FE"/>
    <w:rsid w:val="008C67B1"/>
    <w:rsid w:val="008C69A0"/>
    <w:rsid w:val="008C6A9E"/>
    <w:rsid w:val="008C6AB3"/>
    <w:rsid w:val="008C6AD3"/>
    <w:rsid w:val="008C6AD8"/>
    <w:rsid w:val="008C6B60"/>
    <w:rsid w:val="008C711C"/>
    <w:rsid w:val="008C719F"/>
    <w:rsid w:val="008C73A4"/>
    <w:rsid w:val="008C7515"/>
    <w:rsid w:val="008C76C8"/>
    <w:rsid w:val="008C7720"/>
    <w:rsid w:val="008C794B"/>
    <w:rsid w:val="008C7CF5"/>
    <w:rsid w:val="008C7D61"/>
    <w:rsid w:val="008C7F86"/>
    <w:rsid w:val="008C7F99"/>
    <w:rsid w:val="008C7FEF"/>
    <w:rsid w:val="008D013A"/>
    <w:rsid w:val="008D0207"/>
    <w:rsid w:val="008D02B4"/>
    <w:rsid w:val="008D02CE"/>
    <w:rsid w:val="008D0500"/>
    <w:rsid w:val="008D0722"/>
    <w:rsid w:val="008D07CB"/>
    <w:rsid w:val="008D0971"/>
    <w:rsid w:val="008D0B4F"/>
    <w:rsid w:val="008D12C8"/>
    <w:rsid w:val="008D1750"/>
    <w:rsid w:val="008D1833"/>
    <w:rsid w:val="008D183C"/>
    <w:rsid w:val="008D1BBB"/>
    <w:rsid w:val="008D2241"/>
    <w:rsid w:val="008D2333"/>
    <w:rsid w:val="008D254F"/>
    <w:rsid w:val="008D2850"/>
    <w:rsid w:val="008D2883"/>
    <w:rsid w:val="008D2BE3"/>
    <w:rsid w:val="008D2C7D"/>
    <w:rsid w:val="008D308A"/>
    <w:rsid w:val="008D3160"/>
    <w:rsid w:val="008D316C"/>
    <w:rsid w:val="008D3283"/>
    <w:rsid w:val="008D33AF"/>
    <w:rsid w:val="008D34CE"/>
    <w:rsid w:val="008D34F2"/>
    <w:rsid w:val="008D3628"/>
    <w:rsid w:val="008D3652"/>
    <w:rsid w:val="008D3657"/>
    <w:rsid w:val="008D3837"/>
    <w:rsid w:val="008D3B55"/>
    <w:rsid w:val="008D3B61"/>
    <w:rsid w:val="008D3C52"/>
    <w:rsid w:val="008D3C88"/>
    <w:rsid w:val="008D3D85"/>
    <w:rsid w:val="008D4069"/>
    <w:rsid w:val="008D4315"/>
    <w:rsid w:val="008D440E"/>
    <w:rsid w:val="008D442F"/>
    <w:rsid w:val="008D444B"/>
    <w:rsid w:val="008D45B0"/>
    <w:rsid w:val="008D47C2"/>
    <w:rsid w:val="008D4972"/>
    <w:rsid w:val="008D4B43"/>
    <w:rsid w:val="008D4BA0"/>
    <w:rsid w:val="008D4CBE"/>
    <w:rsid w:val="008D4DC3"/>
    <w:rsid w:val="008D4FBE"/>
    <w:rsid w:val="008D5241"/>
    <w:rsid w:val="008D5313"/>
    <w:rsid w:val="008D57AD"/>
    <w:rsid w:val="008D57D4"/>
    <w:rsid w:val="008D582A"/>
    <w:rsid w:val="008D58EC"/>
    <w:rsid w:val="008D58F3"/>
    <w:rsid w:val="008D5A7D"/>
    <w:rsid w:val="008D5DA9"/>
    <w:rsid w:val="008D5E68"/>
    <w:rsid w:val="008D5FBA"/>
    <w:rsid w:val="008D6101"/>
    <w:rsid w:val="008D629B"/>
    <w:rsid w:val="008D6316"/>
    <w:rsid w:val="008D632C"/>
    <w:rsid w:val="008D6465"/>
    <w:rsid w:val="008D64A3"/>
    <w:rsid w:val="008D655E"/>
    <w:rsid w:val="008D6770"/>
    <w:rsid w:val="008D6989"/>
    <w:rsid w:val="008D69E2"/>
    <w:rsid w:val="008D6A76"/>
    <w:rsid w:val="008D6B18"/>
    <w:rsid w:val="008D6B2E"/>
    <w:rsid w:val="008D6F6C"/>
    <w:rsid w:val="008D6F84"/>
    <w:rsid w:val="008D6FD8"/>
    <w:rsid w:val="008D7273"/>
    <w:rsid w:val="008D744D"/>
    <w:rsid w:val="008D771C"/>
    <w:rsid w:val="008D7722"/>
    <w:rsid w:val="008D77E8"/>
    <w:rsid w:val="008D7A06"/>
    <w:rsid w:val="008D7C1B"/>
    <w:rsid w:val="008D7CBC"/>
    <w:rsid w:val="008D7F13"/>
    <w:rsid w:val="008E0011"/>
    <w:rsid w:val="008E00EE"/>
    <w:rsid w:val="008E014C"/>
    <w:rsid w:val="008E0168"/>
    <w:rsid w:val="008E0191"/>
    <w:rsid w:val="008E02D5"/>
    <w:rsid w:val="008E0319"/>
    <w:rsid w:val="008E03D0"/>
    <w:rsid w:val="008E0459"/>
    <w:rsid w:val="008E0644"/>
    <w:rsid w:val="008E0970"/>
    <w:rsid w:val="008E0998"/>
    <w:rsid w:val="008E0A50"/>
    <w:rsid w:val="008E0A59"/>
    <w:rsid w:val="008E0C53"/>
    <w:rsid w:val="008E0DF5"/>
    <w:rsid w:val="008E0F8C"/>
    <w:rsid w:val="008E107C"/>
    <w:rsid w:val="008E1557"/>
    <w:rsid w:val="008E1587"/>
    <w:rsid w:val="008E1810"/>
    <w:rsid w:val="008E1832"/>
    <w:rsid w:val="008E1AB1"/>
    <w:rsid w:val="008E1ACA"/>
    <w:rsid w:val="008E1D68"/>
    <w:rsid w:val="008E1EF6"/>
    <w:rsid w:val="008E2080"/>
    <w:rsid w:val="008E2094"/>
    <w:rsid w:val="008E2606"/>
    <w:rsid w:val="008E2655"/>
    <w:rsid w:val="008E2766"/>
    <w:rsid w:val="008E296B"/>
    <w:rsid w:val="008E2992"/>
    <w:rsid w:val="008E29F3"/>
    <w:rsid w:val="008E2CCD"/>
    <w:rsid w:val="008E2D24"/>
    <w:rsid w:val="008E2E83"/>
    <w:rsid w:val="008E2E92"/>
    <w:rsid w:val="008E2EBB"/>
    <w:rsid w:val="008E2F49"/>
    <w:rsid w:val="008E3345"/>
    <w:rsid w:val="008E353C"/>
    <w:rsid w:val="008E35F4"/>
    <w:rsid w:val="008E37F2"/>
    <w:rsid w:val="008E3AAD"/>
    <w:rsid w:val="008E3DD5"/>
    <w:rsid w:val="008E3E75"/>
    <w:rsid w:val="008E4048"/>
    <w:rsid w:val="008E40EF"/>
    <w:rsid w:val="008E4252"/>
    <w:rsid w:val="008E42F9"/>
    <w:rsid w:val="008E435D"/>
    <w:rsid w:val="008E4438"/>
    <w:rsid w:val="008E46A0"/>
    <w:rsid w:val="008E4897"/>
    <w:rsid w:val="008E48ED"/>
    <w:rsid w:val="008E4970"/>
    <w:rsid w:val="008E4B4C"/>
    <w:rsid w:val="008E4B62"/>
    <w:rsid w:val="008E4BD4"/>
    <w:rsid w:val="008E4C8A"/>
    <w:rsid w:val="008E4CC4"/>
    <w:rsid w:val="008E4DA3"/>
    <w:rsid w:val="008E4E1E"/>
    <w:rsid w:val="008E4EFC"/>
    <w:rsid w:val="008E4F02"/>
    <w:rsid w:val="008E5588"/>
    <w:rsid w:val="008E57D2"/>
    <w:rsid w:val="008E5850"/>
    <w:rsid w:val="008E5A1B"/>
    <w:rsid w:val="008E5A1D"/>
    <w:rsid w:val="008E5AAA"/>
    <w:rsid w:val="008E5ABC"/>
    <w:rsid w:val="008E5BD3"/>
    <w:rsid w:val="008E5EA7"/>
    <w:rsid w:val="008E5F95"/>
    <w:rsid w:val="008E5FB5"/>
    <w:rsid w:val="008E604B"/>
    <w:rsid w:val="008E616B"/>
    <w:rsid w:val="008E650F"/>
    <w:rsid w:val="008E67A7"/>
    <w:rsid w:val="008E67D3"/>
    <w:rsid w:val="008E6872"/>
    <w:rsid w:val="008E68A9"/>
    <w:rsid w:val="008E68F3"/>
    <w:rsid w:val="008E6A73"/>
    <w:rsid w:val="008E6C21"/>
    <w:rsid w:val="008E6C9B"/>
    <w:rsid w:val="008E705B"/>
    <w:rsid w:val="008E711C"/>
    <w:rsid w:val="008E7220"/>
    <w:rsid w:val="008E7270"/>
    <w:rsid w:val="008E75D8"/>
    <w:rsid w:val="008E7807"/>
    <w:rsid w:val="008E7BB6"/>
    <w:rsid w:val="008E7CB2"/>
    <w:rsid w:val="008E7D54"/>
    <w:rsid w:val="008E7DF5"/>
    <w:rsid w:val="008E7E3B"/>
    <w:rsid w:val="008E7E67"/>
    <w:rsid w:val="008E7F2F"/>
    <w:rsid w:val="008F0514"/>
    <w:rsid w:val="008F058A"/>
    <w:rsid w:val="008F0A26"/>
    <w:rsid w:val="008F0A48"/>
    <w:rsid w:val="008F0AF3"/>
    <w:rsid w:val="008F0E0B"/>
    <w:rsid w:val="008F0EC9"/>
    <w:rsid w:val="008F0FEF"/>
    <w:rsid w:val="008F10AE"/>
    <w:rsid w:val="008F115F"/>
    <w:rsid w:val="008F15D3"/>
    <w:rsid w:val="008F15F0"/>
    <w:rsid w:val="008F167A"/>
    <w:rsid w:val="008F185C"/>
    <w:rsid w:val="008F18A4"/>
    <w:rsid w:val="008F18CC"/>
    <w:rsid w:val="008F1946"/>
    <w:rsid w:val="008F2204"/>
    <w:rsid w:val="008F236F"/>
    <w:rsid w:val="008F23D2"/>
    <w:rsid w:val="008F264E"/>
    <w:rsid w:val="008F275A"/>
    <w:rsid w:val="008F2B7F"/>
    <w:rsid w:val="008F2DE7"/>
    <w:rsid w:val="008F2E95"/>
    <w:rsid w:val="008F314C"/>
    <w:rsid w:val="008F31AB"/>
    <w:rsid w:val="008F3204"/>
    <w:rsid w:val="008F326A"/>
    <w:rsid w:val="008F32AC"/>
    <w:rsid w:val="008F34CE"/>
    <w:rsid w:val="008F35EF"/>
    <w:rsid w:val="008F3661"/>
    <w:rsid w:val="008F38A2"/>
    <w:rsid w:val="008F3901"/>
    <w:rsid w:val="008F3A0D"/>
    <w:rsid w:val="008F3A34"/>
    <w:rsid w:val="008F3A75"/>
    <w:rsid w:val="008F3D06"/>
    <w:rsid w:val="008F3EB3"/>
    <w:rsid w:val="008F4081"/>
    <w:rsid w:val="008F40C2"/>
    <w:rsid w:val="008F4136"/>
    <w:rsid w:val="008F4559"/>
    <w:rsid w:val="008F490D"/>
    <w:rsid w:val="008F49CC"/>
    <w:rsid w:val="008F4B6B"/>
    <w:rsid w:val="008F4DC0"/>
    <w:rsid w:val="008F4EDD"/>
    <w:rsid w:val="008F50D9"/>
    <w:rsid w:val="008F50E5"/>
    <w:rsid w:val="008F53C4"/>
    <w:rsid w:val="008F53D3"/>
    <w:rsid w:val="008F55D2"/>
    <w:rsid w:val="008F579C"/>
    <w:rsid w:val="008F57E9"/>
    <w:rsid w:val="008F591E"/>
    <w:rsid w:val="008F63C8"/>
    <w:rsid w:val="008F63CD"/>
    <w:rsid w:val="008F6467"/>
    <w:rsid w:val="008F6548"/>
    <w:rsid w:val="008F66D4"/>
    <w:rsid w:val="008F6894"/>
    <w:rsid w:val="008F6DA9"/>
    <w:rsid w:val="008F6F42"/>
    <w:rsid w:val="008F7069"/>
    <w:rsid w:val="008F70DE"/>
    <w:rsid w:val="008F70F0"/>
    <w:rsid w:val="008F7270"/>
    <w:rsid w:val="008F72B8"/>
    <w:rsid w:val="008F732E"/>
    <w:rsid w:val="008F7339"/>
    <w:rsid w:val="008F73CD"/>
    <w:rsid w:val="008F747C"/>
    <w:rsid w:val="008F74D3"/>
    <w:rsid w:val="008F74EB"/>
    <w:rsid w:val="008F74EE"/>
    <w:rsid w:val="008F76F2"/>
    <w:rsid w:val="008F7821"/>
    <w:rsid w:val="008F78A6"/>
    <w:rsid w:val="008F7962"/>
    <w:rsid w:val="008F799D"/>
    <w:rsid w:val="008F7AEC"/>
    <w:rsid w:val="008F7B71"/>
    <w:rsid w:val="008F7B7E"/>
    <w:rsid w:val="008F7C45"/>
    <w:rsid w:val="008F7C74"/>
    <w:rsid w:val="008F7E7F"/>
    <w:rsid w:val="008F7EAC"/>
    <w:rsid w:val="008F7F20"/>
    <w:rsid w:val="008F7F44"/>
    <w:rsid w:val="008F7F84"/>
    <w:rsid w:val="00900081"/>
    <w:rsid w:val="009000B1"/>
    <w:rsid w:val="00900403"/>
    <w:rsid w:val="00900461"/>
    <w:rsid w:val="00900661"/>
    <w:rsid w:val="00900690"/>
    <w:rsid w:val="00900758"/>
    <w:rsid w:val="00900827"/>
    <w:rsid w:val="00900A4B"/>
    <w:rsid w:val="00900DD9"/>
    <w:rsid w:val="00900E93"/>
    <w:rsid w:val="00901074"/>
    <w:rsid w:val="009010EF"/>
    <w:rsid w:val="009012EA"/>
    <w:rsid w:val="0090143C"/>
    <w:rsid w:val="00901667"/>
    <w:rsid w:val="00901858"/>
    <w:rsid w:val="009019A1"/>
    <w:rsid w:val="009019A3"/>
    <w:rsid w:val="00901A7E"/>
    <w:rsid w:val="00901B62"/>
    <w:rsid w:val="00901C0F"/>
    <w:rsid w:val="00901DAE"/>
    <w:rsid w:val="00901F3F"/>
    <w:rsid w:val="00901F9B"/>
    <w:rsid w:val="0090251A"/>
    <w:rsid w:val="0090269D"/>
    <w:rsid w:val="009029BF"/>
    <w:rsid w:val="00902A39"/>
    <w:rsid w:val="00902A54"/>
    <w:rsid w:val="00902B85"/>
    <w:rsid w:val="00902BE8"/>
    <w:rsid w:val="00902D67"/>
    <w:rsid w:val="00902FE4"/>
    <w:rsid w:val="0090348A"/>
    <w:rsid w:val="00904038"/>
    <w:rsid w:val="00904242"/>
    <w:rsid w:val="009043D8"/>
    <w:rsid w:val="0090456F"/>
    <w:rsid w:val="009046E6"/>
    <w:rsid w:val="009046F5"/>
    <w:rsid w:val="00904796"/>
    <w:rsid w:val="0090488E"/>
    <w:rsid w:val="00904AC2"/>
    <w:rsid w:val="00904B52"/>
    <w:rsid w:val="00904C50"/>
    <w:rsid w:val="00904C90"/>
    <w:rsid w:val="00904DB2"/>
    <w:rsid w:val="00904E70"/>
    <w:rsid w:val="0090501E"/>
    <w:rsid w:val="009050DE"/>
    <w:rsid w:val="0090513F"/>
    <w:rsid w:val="009051DF"/>
    <w:rsid w:val="009052A0"/>
    <w:rsid w:val="009054C1"/>
    <w:rsid w:val="0090558D"/>
    <w:rsid w:val="009055AD"/>
    <w:rsid w:val="009055D9"/>
    <w:rsid w:val="009058BA"/>
    <w:rsid w:val="0090597E"/>
    <w:rsid w:val="00905A51"/>
    <w:rsid w:val="00905E03"/>
    <w:rsid w:val="00905E40"/>
    <w:rsid w:val="00905ED9"/>
    <w:rsid w:val="009062E6"/>
    <w:rsid w:val="009063BC"/>
    <w:rsid w:val="0090674F"/>
    <w:rsid w:val="00906905"/>
    <w:rsid w:val="0090691C"/>
    <w:rsid w:val="00906A1D"/>
    <w:rsid w:val="00906BFF"/>
    <w:rsid w:val="00906CF7"/>
    <w:rsid w:val="00906D93"/>
    <w:rsid w:val="00906DE7"/>
    <w:rsid w:val="009070D3"/>
    <w:rsid w:val="0090711C"/>
    <w:rsid w:val="0090725E"/>
    <w:rsid w:val="009072D0"/>
    <w:rsid w:val="0090730B"/>
    <w:rsid w:val="0090737A"/>
    <w:rsid w:val="00907713"/>
    <w:rsid w:val="0090772F"/>
    <w:rsid w:val="0090777C"/>
    <w:rsid w:val="00907810"/>
    <w:rsid w:val="009079B0"/>
    <w:rsid w:val="00907B75"/>
    <w:rsid w:val="00907B9B"/>
    <w:rsid w:val="00907C1D"/>
    <w:rsid w:val="00907EBF"/>
    <w:rsid w:val="00907F14"/>
    <w:rsid w:val="00907FFA"/>
    <w:rsid w:val="00910108"/>
    <w:rsid w:val="0091022D"/>
    <w:rsid w:val="009105AE"/>
    <w:rsid w:val="00910932"/>
    <w:rsid w:val="0091093D"/>
    <w:rsid w:val="009109C1"/>
    <w:rsid w:val="00910D65"/>
    <w:rsid w:val="00910EF4"/>
    <w:rsid w:val="0091109F"/>
    <w:rsid w:val="0091112A"/>
    <w:rsid w:val="00911198"/>
    <w:rsid w:val="0091126A"/>
    <w:rsid w:val="009114C7"/>
    <w:rsid w:val="00911579"/>
    <w:rsid w:val="009115F1"/>
    <w:rsid w:val="009118A3"/>
    <w:rsid w:val="00911B4E"/>
    <w:rsid w:val="00911D1A"/>
    <w:rsid w:val="00911FD1"/>
    <w:rsid w:val="0091223B"/>
    <w:rsid w:val="00912408"/>
    <w:rsid w:val="009126BC"/>
    <w:rsid w:val="009127CD"/>
    <w:rsid w:val="00912E36"/>
    <w:rsid w:val="00912F94"/>
    <w:rsid w:val="00913121"/>
    <w:rsid w:val="009132E0"/>
    <w:rsid w:val="00913328"/>
    <w:rsid w:val="00913610"/>
    <w:rsid w:val="00913713"/>
    <w:rsid w:val="009137DE"/>
    <w:rsid w:val="009138D0"/>
    <w:rsid w:val="00913C49"/>
    <w:rsid w:val="009140DF"/>
    <w:rsid w:val="009140E6"/>
    <w:rsid w:val="0091419F"/>
    <w:rsid w:val="0091426E"/>
    <w:rsid w:val="009142DE"/>
    <w:rsid w:val="00914391"/>
    <w:rsid w:val="009143D0"/>
    <w:rsid w:val="009143E1"/>
    <w:rsid w:val="00914468"/>
    <w:rsid w:val="00914469"/>
    <w:rsid w:val="0091451C"/>
    <w:rsid w:val="0091452B"/>
    <w:rsid w:val="00914684"/>
    <w:rsid w:val="00914697"/>
    <w:rsid w:val="00914BA4"/>
    <w:rsid w:val="00914E31"/>
    <w:rsid w:val="00914E61"/>
    <w:rsid w:val="00914E8F"/>
    <w:rsid w:val="0091505F"/>
    <w:rsid w:val="0091513C"/>
    <w:rsid w:val="00915180"/>
    <w:rsid w:val="0091527A"/>
    <w:rsid w:val="009154C0"/>
    <w:rsid w:val="00915529"/>
    <w:rsid w:val="0091568D"/>
    <w:rsid w:val="00915904"/>
    <w:rsid w:val="00915C1E"/>
    <w:rsid w:val="00915FFD"/>
    <w:rsid w:val="00916138"/>
    <w:rsid w:val="0091628F"/>
    <w:rsid w:val="009165A4"/>
    <w:rsid w:val="009165B9"/>
    <w:rsid w:val="009165F5"/>
    <w:rsid w:val="00916963"/>
    <w:rsid w:val="00916971"/>
    <w:rsid w:val="00916A24"/>
    <w:rsid w:val="00916ABE"/>
    <w:rsid w:val="00916C54"/>
    <w:rsid w:val="00916EB7"/>
    <w:rsid w:val="00917038"/>
    <w:rsid w:val="0091713C"/>
    <w:rsid w:val="009171F2"/>
    <w:rsid w:val="0091720A"/>
    <w:rsid w:val="0091738E"/>
    <w:rsid w:val="009176D9"/>
    <w:rsid w:val="009177E6"/>
    <w:rsid w:val="00917813"/>
    <w:rsid w:val="00917901"/>
    <w:rsid w:val="009179A1"/>
    <w:rsid w:val="00917A1D"/>
    <w:rsid w:val="00917B51"/>
    <w:rsid w:val="00917B5E"/>
    <w:rsid w:val="00917C14"/>
    <w:rsid w:val="00920104"/>
    <w:rsid w:val="00920181"/>
    <w:rsid w:val="009201D2"/>
    <w:rsid w:val="009202CA"/>
    <w:rsid w:val="009207C4"/>
    <w:rsid w:val="0092083D"/>
    <w:rsid w:val="00920A85"/>
    <w:rsid w:val="00920B31"/>
    <w:rsid w:val="00920DA0"/>
    <w:rsid w:val="00920FDA"/>
    <w:rsid w:val="00921029"/>
    <w:rsid w:val="00921152"/>
    <w:rsid w:val="0092121F"/>
    <w:rsid w:val="009212E0"/>
    <w:rsid w:val="009213C5"/>
    <w:rsid w:val="00921597"/>
    <w:rsid w:val="00921677"/>
    <w:rsid w:val="00921794"/>
    <w:rsid w:val="00921980"/>
    <w:rsid w:val="00921A11"/>
    <w:rsid w:val="00921B4B"/>
    <w:rsid w:val="009220A8"/>
    <w:rsid w:val="009221A4"/>
    <w:rsid w:val="009221BF"/>
    <w:rsid w:val="0092241A"/>
    <w:rsid w:val="00922555"/>
    <w:rsid w:val="009225BE"/>
    <w:rsid w:val="009229ED"/>
    <w:rsid w:val="00922A91"/>
    <w:rsid w:val="00922AC3"/>
    <w:rsid w:val="00922BB4"/>
    <w:rsid w:val="00922C32"/>
    <w:rsid w:val="00922C56"/>
    <w:rsid w:val="00922DBB"/>
    <w:rsid w:val="00922DD2"/>
    <w:rsid w:val="00922E99"/>
    <w:rsid w:val="00922EB2"/>
    <w:rsid w:val="00922EC2"/>
    <w:rsid w:val="00922FE7"/>
    <w:rsid w:val="0092316F"/>
    <w:rsid w:val="0092318F"/>
    <w:rsid w:val="0092334E"/>
    <w:rsid w:val="009233CF"/>
    <w:rsid w:val="009237B0"/>
    <w:rsid w:val="0092380C"/>
    <w:rsid w:val="00923C26"/>
    <w:rsid w:val="00923CF2"/>
    <w:rsid w:val="00923EB9"/>
    <w:rsid w:val="0092412E"/>
    <w:rsid w:val="009242AE"/>
    <w:rsid w:val="009242C8"/>
    <w:rsid w:val="0092437F"/>
    <w:rsid w:val="009243AD"/>
    <w:rsid w:val="009244ED"/>
    <w:rsid w:val="009244F4"/>
    <w:rsid w:val="00924511"/>
    <w:rsid w:val="00924613"/>
    <w:rsid w:val="009246AD"/>
    <w:rsid w:val="009246F7"/>
    <w:rsid w:val="00924775"/>
    <w:rsid w:val="00924953"/>
    <w:rsid w:val="00924986"/>
    <w:rsid w:val="00924ACC"/>
    <w:rsid w:val="00924CAF"/>
    <w:rsid w:val="00924EA4"/>
    <w:rsid w:val="00924F7C"/>
    <w:rsid w:val="00925163"/>
    <w:rsid w:val="00925258"/>
    <w:rsid w:val="0092547C"/>
    <w:rsid w:val="009256F9"/>
    <w:rsid w:val="00925884"/>
    <w:rsid w:val="00925977"/>
    <w:rsid w:val="00925B7D"/>
    <w:rsid w:val="00925D4C"/>
    <w:rsid w:val="00925DB9"/>
    <w:rsid w:val="009260CF"/>
    <w:rsid w:val="00926136"/>
    <w:rsid w:val="009261B8"/>
    <w:rsid w:val="0092621B"/>
    <w:rsid w:val="009264AC"/>
    <w:rsid w:val="0092678A"/>
    <w:rsid w:val="00926978"/>
    <w:rsid w:val="00926A19"/>
    <w:rsid w:val="00926AA4"/>
    <w:rsid w:val="00926B41"/>
    <w:rsid w:val="00926C0B"/>
    <w:rsid w:val="009270D4"/>
    <w:rsid w:val="009270E0"/>
    <w:rsid w:val="00927128"/>
    <w:rsid w:val="009273AF"/>
    <w:rsid w:val="009273F9"/>
    <w:rsid w:val="00927735"/>
    <w:rsid w:val="00927C6A"/>
    <w:rsid w:val="00927D26"/>
    <w:rsid w:val="00927D60"/>
    <w:rsid w:val="009301D5"/>
    <w:rsid w:val="0093039B"/>
    <w:rsid w:val="00930437"/>
    <w:rsid w:val="00930639"/>
    <w:rsid w:val="009306E5"/>
    <w:rsid w:val="0093074C"/>
    <w:rsid w:val="009307BD"/>
    <w:rsid w:val="0093083C"/>
    <w:rsid w:val="00930AFF"/>
    <w:rsid w:val="00930C92"/>
    <w:rsid w:val="00930CA6"/>
    <w:rsid w:val="0093108B"/>
    <w:rsid w:val="009312B6"/>
    <w:rsid w:val="00931A4C"/>
    <w:rsid w:val="00931B70"/>
    <w:rsid w:val="00931E60"/>
    <w:rsid w:val="009321DD"/>
    <w:rsid w:val="0093240D"/>
    <w:rsid w:val="00932486"/>
    <w:rsid w:val="00932516"/>
    <w:rsid w:val="0093287C"/>
    <w:rsid w:val="0093291D"/>
    <w:rsid w:val="009329CC"/>
    <w:rsid w:val="00932A0D"/>
    <w:rsid w:val="00933114"/>
    <w:rsid w:val="009331A6"/>
    <w:rsid w:val="0093331A"/>
    <w:rsid w:val="00933553"/>
    <w:rsid w:val="0093363A"/>
    <w:rsid w:val="00933AC4"/>
    <w:rsid w:val="00933C05"/>
    <w:rsid w:val="00933CD5"/>
    <w:rsid w:val="00933D06"/>
    <w:rsid w:val="00933E04"/>
    <w:rsid w:val="00933E2B"/>
    <w:rsid w:val="00933FC2"/>
    <w:rsid w:val="00934390"/>
    <w:rsid w:val="009343EE"/>
    <w:rsid w:val="009345BF"/>
    <w:rsid w:val="009346C4"/>
    <w:rsid w:val="009349FC"/>
    <w:rsid w:val="00934A66"/>
    <w:rsid w:val="00934AC6"/>
    <w:rsid w:val="00934B21"/>
    <w:rsid w:val="00934B9F"/>
    <w:rsid w:val="00934EAB"/>
    <w:rsid w:val="00935319"/>
    <w:rsid w:val="00935CBA"/>
    <w:rsid w:val="00935FDB"/>
    <w:rsid w:val="009360CB"/>
    <w:rsid w:val="00936445"/>
    <w:rsid w:val="009364AC"/>
    <w:rsid w:val="00936571"/>
    <w:rsid w:val="009365E2"/>
    <w:rsid w:val="0093663B"/>
    <w:rsid w:val="009367DF"/>
    <w:rsid w:val="009368BB"/>
    <w:rsid w:val="009368D1"/>
    <w:rsid w:val="00936A2B"/>
    <w:rsid w:val="00936A49"/>
    <w:rsid w:val="00936AEB"/>
    <w:rsid w:val="00936B67"/>
    <w:rsid w:val="00936BFC"/>
    <w:rsid w:val="00936C1C"/>
    <w:rsid w:val="00936C66"/>
    <w:rsid w:val="00936C8B"/>
    <w:rsid w:val="00936C9A"/>
    <w:rsid w:val="00936DD4"/>
    <w:rsid w:val="00936F8E"/>
    <w:rsid w:val="009371C6"/>
    <w:rsid w:val="0093742E"/>
    <w:rsid w:val="00937662"/>
    <w:rsid w:val="00937761"/>
    <w:rsid w:val="009378F7"/>
    <w:rsid w:val="00937937"/>
    <w:rsid w:val="00937990"/>
    <w:rsid w:val="009379CD"/>
    <w:rsid w:val="00937DD2"/>
    <w:rsid w:val="00937E34"/>
    <w:rsid w:val="009400F0"/>
    <w:rsid w:val="009401BF"/>
    <w:rsid w:val="0094026A"/>
    <w:rsid w:val="009402B2"/>
    <w:rsid w:val="009402D1"/>
    <w:rsid w:val="0094059B"/>
    <w:rsid w:val="00940654"/>
    <w:rsid w:val="0094090B"/>
    <w:rsid w:val="00940AA6"/>
    <w:rsid w:val="00940CF9"/>
    <w:rsid w:val="00940E9F"/>
    <w:rsid w:val="009412EF"/>
    <w:rsid w:val="009412F9"/>
    <w:rsid w:val="0094133D"/>
    <w:rsid w:val="009413D0"/>
    <w:rsid w:val="0094140C"/>
    <w:rsid w:val="009415DF"/>
    <w:rsid w:val="00941607"/>
    <w:rsid w:val="009416E7"/>
    <w:rsid w:val="00941AB8"/>
    <w:rsid w:val="00941C01"/>
    <w:rsid w:val="00941E30"/>
    <w:rsid w:val="00941F70"/>
    <w:rsid w:val="0094219F"/>
    <w:rsid w:val="009423F8"/>
    <w:rsid w:val="00942487"/>
    <w:rsid w:val="009425C1"/>
    <w:rsid w:val="009426E5"/>
    <w:rsid w:val="00942A74"/>
    <w:rsid w:val="00942B1D"/>
    <w:rsid w:val="00942CA5"/>
    <w:rsid w:val="00942F45"/>
    <w:rsid w:val="00943087"/>
    <w:rsid w:val="009430BE"/>
    <w:rsid w:val="009430EA"/>
    <w:rsid w:val="00943102"/>
    <w:rsid w:val="0094314D"/>
    <w:rsid w:val="009432E8"/>
    <w:rsid w:val="009432EE"/>
    <w:rsid w:val="0094335F"/>
    <w:rsid w:val="009433C8"/>
    <w:rsid w:val="00943773"/>
    <w:rsid w:val="00943A65"/>
    <w:rsid w:val="00943AA0"/>
    <w:rsid w:val="00943B89"/>
    <w:rsid w:val="00943C3B"/>
    <w:rsid w:val="00943D0C"/>
    <w:rsid w:val="00943D5C"/>
    <w:rsid w:val="00943D98"/>
    <w:rsid w:val="00943DCB"/>
    <w:rsid w:val="00943F3A"/>
    <w:rsid w:val="00943F6B"/>
    <w:rsid w:val="0094409F"/>
    <w:rsid w:val="0094422C"/>
    <w:rsid w:val="009442B3"/>
    <w:rsid w:val="00944322"/>
    <w:rsid w:val="0094442E"/>
    <w:rsid w:val="00944602"/>
    <w:rsid w:val="009446D7"/>
    <w:rsid w:val="009447CE"/>
    <w:rsid w:val="0094492F"/>
    <w:rsid w:val="00944CB3"/>
    <w:rsid w:val="00944F6F"/>
    <w:rsid w:val="0094505E"/>
    <w:rsid w:val="00945313"/>
    <w:rsid w:val="00945346"/>
    <w:rsid w:val="009456B2"/>
    <w:rsid w:val="0094579F"/>
    <w:rsid w:val="009457AB"/>
    <w:rsid w:val="00945A13"/>
    <w:rsid w:val="00945E09"/>
    <w:rsid w:val="00945EB5"/>
    <w:rsid w:val="00945F9F"/>
    <w:rsid w:val="00945FAB"/>
    <w:rsid w:val="00945FB1"/>
    <w:rsid w:val="0094632D"/>
    <w:rsid w:val="0094649F"/>
    <w:rsid w:val="009464C9"/>
    <w:rsid w:val="00946526"/>
    <w:rsid w:val="00946944"/>
    <w:rsid w:val="0094698D"/>
    <w:rsid w:val="00946AFE"/>
    <w:rsid w:val="00946C16"/>
    <w:rsid w:val="00946CC5"/>
    <w:rsid w:val="00946F0B"/>
    <w:rsid w:val="00947037"/>
    <w:rsid w:val="009476A5"/>
    <w:rsid w:val="0094785C"/>
    <w:rsid w:val="0094789C"/>
    <w:rsid w:val="00947A1B"/>
    <w:rsid w:val="00947C08"/>
    <w:rsid w:val="00947C4F"/>
    <w:rsid w:val="00947C8F"/>
    <w:rsid w:val="00947D9B"/>
    <w:rsid w:val="00947E18"/>
    <w:rsid w:val="00947EFC"/>
    <w:rsid w:val="00947FE1"/>
    <w:rsid w:val="00950141"/>
    <w:rsid w:val="009501F6"/>
    <w:rsid w:val="009503AA"/>
    <w:rsid w:val="009503CB"/>
    <w:rsid w:val="0095056E"/>
    <w:rsid w:val="009506D9"/>
    <w:rsid w:val="00950715"/>
    <w:rsid w:val="0095084A"/>
    <w:rsid w:val="009509B4"/>
    <w:rsid w:val="009509BB"/>
    <w:rsid w:val="009509EC"/>
    <w:rsid w:val="00950AC0"/>
    <w:rsid w:val="00950C3C"/>
    <w:rsid w:val="00950D81"/>
    <w:rsid w:val="00951063"/>
    <w:rsid w:val="009510F2"/>
    <w:rsid w:val="009512A4"/>
    <w:rsid w:val="0095144C"/>
    <w:rsid w:val="0095147D"/>
    <w:rsid w:val="009516AB"/>
    <w:rsid w:val="009517CE"/>
    <w:rsid w:val="0095182C"/>
    <w:rsid w:val="00951CF3"/>
    <w:rsid w:val="00951E39"/>
    <w:rsid w:val="0095234D"/>
    <w:rsid w:val="009523F3"/>
    <w:rsid w:val="0095259B"/>
    <w:rsid w:val="009528A3"/>
    <w:rsid w:val="009529D2"/>
    <w:rsid w:val="00952A0D"/>
    <w:rsid w:val="00952B07"/>
    <w:rsid w:val="00952BFA"/>
    <w:rsid w:val="00952C07"/>
    <w:rsid w:val="00952F44"/>
    <w:rsid w:val="00952FA8"/>
    <w:rsid w:val="00953010"/>
    <w:rsid w:val="00953055"/>
    <w:rsid w:val="009530B3"/>
    <w:rsid w:val="0095313B"/>
    <w:rsid w:val="009532CB"/>
    <w:rsid w:val="0095377E"/>
    <w:rsid w:val="00953A7E"/>
    <w:rsid w:val="00953C52"/>
    <w:rsid w:val="00953E28"/>
    <w:rsid w:val="00953F2B"/>
    <w:rsid w:val="0095411E"/>
    <w:rsid w:val="00954147"/>
    <w:rsid w:val="009541BC"/>
    <w:rsid w:val="0095457D"/>
    <w:rsid w:val="00954609"/>
    <w:rsid w:val="009547D5"/>
    <w:rsid w:val="00954B21"/>
    <w:rsid w:val="00954B8D"/>
    <w:rsid w:val="00954DF8"/>
    <w:rsid w:val="00954ED6"/>
    <w:rsid w:val="0095543A"/>
    <w:rsid w:val="009554A5"/>
    <w:rsid w:val="00955553"/>
    <w:rsid w:val="00955720"/>
    <w:rsid w:val="00955727"/>
    <w:rsid w:val="009559B0"/>
    <w:rsid w:val="00955A87"/>
    <w:rsid w:val="00955AD5"/>
    <w:rsid w:val="00955B0D"/>
    <w:rsid w:val="00956059"/>
    <w:rsid w:val="0095606F"/>
    <w:rsid w:val="009561B9"/>
    <w:rsid w:val="00956421"/>
    <w:rsid w:val="00956505"/>
    <w:rsid w:val="0095660C"/>
    <w:rsid w:val="0095661E"/>
    <w:rsid w:val="00956726"/>
    <w:rsid w:val="009567DA"/>
    <w:rsid w:val="00956827"/>
    <w:rsid w:val="00956AC5"/>
    <w:rsid w:val="00956BD7"/>
    <w:rsid w:val="00956C10"/>
    <w:rsid w:val="00956E40"/>
    <w:rsid w:val="009572A8"/>
    <w:rsid w:val="009573D9"/>
    <w:rsid w:val="00957438"/>
    <w:rsid w:val="0095796F"/>
    <w:rsid w:val="009579C9"/>
    <w:rsid w:val="00957BB2"/>
    <w:rsid w:val="009600DE"/>
    <w:rsid w:val="00960118"/>
    <w:rsid w:val="009601C4"/>
    <w:rsid w:val="00960301"/>
    <w:rsid w:val="00960459"/>
    <w:rsid w:val="0096048D"/>
    <w:rsid w:val="0096049A"/>
    <w:rsid w:val="009605ED"/>
    <w:rsid w:val="00960A1E"/>
    <w:rsid w:val="00960C03"/>
    <w:rsid w:val="00961028"/>
    <w:rsid w:val="00961198"/>
    <w:rsid w:val="009611AF"/>
    <w:rsid w:val="00961498"/>
    <w:rsid w:val="009614C3"/>
    <w:rsid w:val="009614D0"/>
    <w:rsid w:val="00961660"/>
    <w:rsid w:val="009616E7"/>
    <w:rsid w:val="00961726"/>
    <w:rsid w:val="009617B8"/>
    <w:rsid w:val="00961CE4"/>
    <w:rsid w:val="0096209F"/>
    <w:rsid w:val="009621B9"/>
    <w:rsid w:val="0096240D"/>
    <w:rsid w:val="00962631"/>
    <w:rsid w:val="00962985"/>
    <w:rsid w:val="00962A17"/>
    <w:rsid w:val="00962DBA"/>
    <w:rsid w:val="00962DF1"/>
    <w:rsid w:val="00962ED3"/>
    <w:rsid w:val="00962EE8"/>
    <w:rsid w:val="00962F2D"/>
    <w:rsid w:val="009632F8"/>
    <w:rsid w:val="009632FA"/>
    <w:rsid w:val="00963311"/>
    <w:rsid w:val="009635C9"/>
    <w:rsid w:val="009637D2"/>
    <w:rsid w:val="00963887"/>
    <w:rsid w:val="009638AE"/>
    <w:rsid w:val="00963B08"/>
    <w:rsid w:val="00963BA3"/>
    <w:rsid w:val="00963F23"/>
    <w:rsid w:val="00963FEB"/>
    <w:rsid w:val="00964277"/>
    <w:rsid w:val="009642F7"/>
    <w:rsid w:val="0096433D"/>
    <w:rsid w:val="00964430"/>
    <w:rsid w:val="00964436"/>
    <w:rsid w:val="009644A1"/>
    <w:rsid w:val="00964517"/>
    <w:rsid w:val="00964566"/>
    <w:rsid w:val="00964956"/>
    <w:rsid w:val="00964A22"/>
    <w:rsid w:val="00964B17"/>
    <w:rsid w:val="00964B67"/>
    <w:rsid w:val="00964BD3"/>
    <w:rsid w:val="00964E07"/>
    <w:rsid w:val="0096536F"/>
    <w:rsid w:val="00965386"/>
    <w:rsid w:val="009653C8"/>
    <w:rsid w:val="009653DB"/>
    <w:rsid w:val="0096563B"/>
    <w:rsid w:val="00965660"/>
    <w:rsid w:val="00965A46"/>
    <w:rsid w:val="00965DC6"/>
    <w:rsid w:val="00966686"/>
    <w:rsid w:val="00966DCC"/>
    <w:rsid w:val="00966DFF"/>
    <w:rsid w:val="00967076"/>
    <w:rsid w:val="009670E5"/>
    <w:rsid w:val="00967158"/>
    <w:rsid w:val="00967201"/>
    <w:rsid w:val="0096723C"/>
    <w:rsid w:val="009672A8"/>
    <w:rsid w:val="009673EC"/>
    <w:rsid w:val="00967432"/>
    <w:rsid w:val="0096748E"/>
    <w:rsid w:val="009675A2"/>
    <w:rsid w:val="00967726"/>
    <w:rsid w:val="00967B8F"/>
    <w:rsid w:val="00967C17"/>
    <w:rsid w:val="00967C4A"/>
    <w:rsid w:val="00967D23"/>
    <w:rsid w:val="00967F31"/>
    <w:rsid w:val="00970016"/>
    <w:rsid w:val="009700B1"/>
    <w:rsid w:val="009701CC"/>
    <w:rsid w:val="00970301"/>
    <w:rsid w:val="009704B3"/>
    <w:rsid w:val="00970630"/>
    <w:rsid w:val="00970637"/>
    <w:rsid w:val="00970661"/>
    <w:rsid w:val="00970765"/>
    <w:rsid w:val="0097082D"/>
    <w:rsid w:val="00970873"/>
    <w:rsid w:val="00970BA7"/>
    <w:rsid w:val="0097107A"/>
    <w:rsid w:val="009710C8"/>
    <w:rsid w:val="00971537"/>
    <w:rsid w:val="00971603"/>
    <w:rsid w:val="00971A29"/>
    <w:rsid w:val="00971F37"/>
    <w:rsid w:val="00972027"/>
    <w:rsid w:val="0097223B"/>
    <w:rsid w:val="009722B6"/>
    <w:rsid w:val="0097241B"/>
    <w:rsid w:val="0097246D"/>
    <w:rsid w:val="00972675"/>
    <w:rsid w:val="009726A9"/>
    <w:rsid w:val="009727E0"/>
    <w:rsid w:val="00972B57"/>
    <w:rsid w:val="00972DCA"/>
    <w:rsid w:val="00972E46"/>
    <w:rsid w:val="00972FF8"/>
    <w:rsid w:val="00973036"/>
    <w:rsid w:val="009731E0"/>
    <w:rsid w:val="009733A4"/>
    <w:rsid w:val="00973538"/>
    <w:rsid w:val="00973783"/>
    <w:rsid w:val="00973788"/>
    <w:rsid w:val="009738C6"/>
    <w:rsid w:val="0097463F"/>
    <w:rsid w:val="0097468C"/>
    <w:rsid w:val="00974705"/>
    <w:rsid w:val="009747FB"/>
    <w:rsid w:val="00974AB4"/>
    <w:rsid w:val="00974D6D"/>
    <w:rsid w:val="00975084"/>
    <w:rsid w:val="0097508D"/>
    <w:rsid w:val="0097510E"/>
    <w:rsid w:val="009751EC"/>
    <w:rsid w:val="009753A2"/>
    <w:rsid w:val="009753A6"/>
    <w:rsid w:val="0097555D"/>
    <w:rsid w:val="00975B5B"/>
    <w:rsid w:val="00975D0A"/>
    <w:rsid w:val="00975D62"/>
    <w:rsid w:val="00975EC8"/>
    <w:rsid w:val="00976007"/>
    <w:rsid w:val="00976132"/>
    <w:rsid w:val="0097622C"/>
    <w:rsid w:val="00976236"/>
    <w:rsid w:val="009762EE"/>
    <w:rsid w:val="009764B4"/>
    <w:rsid w:val="00976523"/>
    <w:rsid w:val="0097666F"/>
    <w:rsid w:val="0097677A"/>
    <w:rsid w:val="0097696E"/>
    <w:rsid w:val="00976ADD"/>
    <w:rsid w:val="00976B88"/>
    <w:rsid w:val="00976BE2"/>
    <w:rsid w:val="00976C97"/>
    <w:rsid w:val="00976EAF"/>
    <w:rsid w:val="00976F7D"/>
    <w:rsid w:val="00977030"/>
    <w:rsid w:val="009771BD"/>
    <w:rsid w:val="009772C9"/>
    <w:rsid w:val="009774C4"/>
    <w:rsid w:val="009775E0"/>
    <w:rsid w:val="009775FF"/>
    <w:rsid w:val="00977602"/>
    <w:rsid w:val="00977727"/>
    <w:rsid w:val="00977B14"/>
    <w:rsid w:val="00977D41"/>
    <w:rsid w:val="00977D75"/>
    <w:rsid w:val="00977E5E"/>
    <w:rsid w:val="00977F53"/>
    <w:rsid w:val="00977FA2"/>
    <w:rsid w:val="00977FA3"/>
    <w:rsid w:val="00980115"/>
    <w:rsid w:val="00980195"/>
    <w:rsid w:val="00980343"/>
    <w:rsid w:val="009803A6"/>
    <w:rsid w:val="00980507"/>
    <w:rsid w:val="00980576"/>
    <w:rsid w:val="0098078D"/>
    <w:rsid w:val="0098080F"/>
    <w:rsid w:val="0098085A"/>
    <w:rsid w:val="0098090D"/>
    <w:rsid w:val="00980A11"/>
    <w:rsid w:val="00980AE5"/>
    <w:rsid w:val="00980B95"/>
    <w:rsid w:val="00980DB4"/>
    <w:rsid w:val="00980DC4"/>
    <w:rsid w:val="0098101B"/>
    <w:rsid w:val="00981039"/>
    <w:rsid w:val="009810C2"/>
    <w:rsid w:val="009811EC"/>
    <w:rsid w:val="0098135E"/>
    <w:rsid w:val="0098138C"/>
    <w:rsid w:val="00981607"/>
    <w:rsid w:val="0098163C"/>
    <w:rsid w:val="009816CA"/>
    <w:rsid w:val="009817BE"/>
    <w:rsid w:val="00981A18"/>
    <w:rsid w:val="00981A27"/>
    <w:rsid w:val="00981AC4"/>
    <w:rsid w:val="00981CA8"/>
    <w:rsid w:val="00981EA9"/>
    <w:rsid w:val="00982098"/>
    <w:rsid w:val="009823FA"/>
    <w:rsid w:val="009824CE"/>
    <w:rsid w:val="0098251C"/>
    <w:rsid w:val="00982753"/>
    <w:rsid w:val="0098288F"/>
    <w:rsid w:val="00982927"/>
    <w:rsid w:val="00982A96"/>
    <w:rsid w:val="00982ACC"/>
    <w:rsid w:val="00982E7D"/>
    <w:rsid w:val="00982F3E"/>
    <w:rsid w:val="00982F42"/>
    <w:rsid w:val="00983142"/>
    <w:rsid w:val="00983188"/>
    <w:rsid w:val="009831A2"/>
    <w:rsid w:val="0098322E"/>
    <w:rsid w:val="00983265"/>
    <w:rsid w:val="0098326C"/>
    <w:rsid w:val="009833C4"/>
    <w:rsid w:val="00983430"/>
    <w:rsid w:val="0098357C"/>
    <w:rsid w:val="0098378F"/>
    <w:rsid w:val="0098384B"/>
    <w:rsid w:val="00983AF2"/>
    <w:rsid w:val="00983B39"/>
    <w:rsid w:val="00983CB1"/>
    <w:rsid w:val="00983E3B"/>
    <w:rsid w:val="00983EA6"/>
    <w:rsid w:val="00984139"/>
    <w:rsid w:val="009846CD"/>
    <w:rsid w:val="00984741"/>
    <w:rsid w:val="0098554B"/>
    <w:rsid w:val="00985557"/>
    <w:rsid w:val="0098561B"/>
    <w:rsid w:val="009857BE"/>
    <w:rsid w:val="0098580C"/>
    <w:rsid w:val="00985A0E"/>
    <w:rsid w:val="00985C67"/>
    <w:rsid w:val="00985CD1"/>
    <w:rsid w:val="00985EAB"/>
    <w:rsid w:val="00985F07"/>
    <w:rsid w:val="00985F48"/>
    <w:rsid w:val="009861DA"/>
    <w:rsid w:val="00986553"/>
    <w:rsid w:val="0098656F"/>
    <w:rsid w:val="00986752"/>
    <w:rsid w:val="009867DF"/>
    <w:rsid w:val="009869D3"/>
    <w:rsid w:val="00986A00"/>
    <w:rsid w:val="00986DF9"/>
    <w:rsid w:val="00986E1D"/>
    <w:rsid w:val="009870DF"/>
    <w:rsid w:val="0098713D"/>
    <w:rsid w:val="009871DF"/>
    <w:rsid w:val="0098759A"/>
    <w:rsid w:val="009878BD"/>
    <w:rsid w:val="00987954"/>
    <w:rsid w:val="00987BB3"/>
    <w:rsid w:val="00987BB9"/>
    <w:rsid w:val="00987ECA"/>
    <w:rsid w:val="00987ECD"/>
    <w:rsid w:val="0099002F"/>
    <w:rsid w:val="009905C6"/>
    <w:rsid w:val="00990664"/>
    <w:rsid w:val="00990925"/>
    <w:rsid w:val="00990B87"/>
    <w:rsid w:val="00990CBC"/>
    <w:rsid w:val="00990F89"/>
    <w:rsid w:val="009911C1"/>
    <w:rsid w:val="0099130D"/>
    <w:rsid w:val="009913C2"/>
    <w:rsid w:val="00991402"/>
    <w:rsid w:val="009914AB"/>
    <w:rsid w:val="0099155F"/>
    <w:rsid w:val="00991865"/>
    <w:rsid w:val="009919A1"/>
    <w:rsid w:val="00991D96"/>
    <w:rsid w:val="00991DCF"/>
    <w:rsid w:val="00991E83"/>
    <w:rsid w:val="0099206A"/>
    <w:rsid w:val="009922A3"/>
    <w:rsid w:val="009922CF"/>
    <w:rsid w:val="009924FA"/>
    <w:rsid w:val="009926F7"/>
    <w:rsid w:val="009927F1"/>
    <w:rsid w:val="00992925"/>
    <w:rsid w:val="00992D01"/>
    <w:rsid w:val="00992D94"/>
    <w:rsid w:val="00992EDC"/>
    <w:rsid w:val="00993085"/>
    <w:rsid w:val="00993257"/>
    <w:rsid w:val="0099326E"/>
    <w:rsid w:val="009932DA"/>
    <w:rsid w:val="00993383"/>
    <w:rsid w:val="00993896"/>
    <w:rsid w:val="009939B0"/>
    <w:rsid w:val="009939E7"/>
    <w:rsid w:val="00993B08"/>
    <w:rsid w:val="00993CCF"/>
    <w:rsid w:val="00993CE6"/>
    <w:rsid w:val="00993F8B"/>
    <w:rsid w:val="00994348"/>
    <w:rsid w:val="0099461F"/>
    <w:rsid w:val="00994887"/>
    <w:rsid w:val="00994A7F"/>
    <w:rsid w:val="00994B9F"/>
    <w:rsid w:val="00994E91"/>
    <w:rsid w:val="00995234"/>
    <w:rsid w:val="00995298"/>
    <w:rsid w:val="0099529C"/>
    <w:rsid w:val="009956B4"/>
    <w:rsid w:val="00995A21"/>
    <w:rsid w:val="00995C62"/>
    <w:rsid w:val="00995C71"/>
    <w:rsid w:val="00995E08"/>
    <w:rsid w:val="00996049"/>
    <w:rsid w:val="009963CE"/>
    <w:rsid w:val="0099666D"/>
    <w:rsid w:val="0099682C"/>
    <w:rsid w:val="0099691A"/>
    <w:rsid w:val="00996998"/>
    <w:rsid w:val="00996ACF"/>
    <w:rsid w:val="00996B59"/>
    <w:rsid w:val="00996BA3"/>
    <w:rsid w:val="00996BD6"/>
    <w:rsid w:val="00996E89"/>
    <w:rsid w:val="00997076"/>
    <w:rsid w:val="0099749D"/>
    <w:rsid w:val="009974F8"/>
    <w:rsid w:val="0099753F"/>
    <w:rsid w:val="0099759D"/>
    <w:rsid w:val="009975AC"/>
    <w:rsid w:val="00997604"/>
    <w:rsid w:val="00997B0D"/>
    <w:rsid w:val="00997B83"/>
    <w:rsid w:val="00997D9E"/>
    <w:rsid w:val="00997DAE"/>
    <w:rsid w:val="00997DF8"/>
    <w:rsid w:val="00997E41"/>
    <w:rsid w:val="00997F53"/>
    <w:rsid w:val="009A0582"/>
    <w:rsid w:val="009A05F5"/>
    <w:rsid w:val="009A0602"/>
    <w:rsid w:val="009A091F"/>
    <w:rsid w:val="009A0A12"/>
    <w:rsid w:val="009A0A79"/>
    <w:rsid w:val="009A0CB6"/>
    <w:rsid w:val="009A0CFB"/>
    <w:rsid w:val="009A0E14"/>
    <w:rsid w:val="009A0E91"/>
    <w:rsid w:val="009A0EFF"/>
    <w:rsid w:val="009A10AD"/>
    <w:rsid w:val="009A1181"/>
    <w:rsid w:val="009A1447"/>
    <w:rsid w:val="009A144F"/>
    <w:rsid w:val="009A14BE"/>
    <w:rsid w:val="009A175C"/>
    <w:rsid w:val="009A1AF6"/>
    <w:rsid w:val="009A1DAD"/>
    <w:rsid w:val="009A20E1"/>
    <w:rsid w:val="009A21E7"/>
    <w:rsid w:val="009A2273"/>
    <w:rsid w:val="009A2285"/>
    <w:rsid w:val="009A2384"/>
    <w:rsid w:val="009A246A"/>
    <w:rsid w:val="009A26AC"/>
    <w:rsid w:val="009A28B9"/>
    <w:rsid w:val="009A29AC"/>
    <w:rsid w:val="009A2B27"/>
    <w:rsid w:val="009A2CC6"/>
    <w:rsid w:val="009A2DE0"/>
    <w:rsid w:val="009A2EA8"/>
    <w:rsid w:val="009A3135"/>
    <w:rsid w:val="009A31F5"/>
    <w:rsid w:val="009A3619"/>
    <w:rsid w:val="009A3686"/>
    <w:rsid w:val="009A38B7"/>
    <w:rsid w:val="009A3942"/>
    <w:rsid w:val="009A39B6"/>
    <w:rsid w:val="009A3A30"/>
    <w:rsid w:val="009A3BB3"/>
    <w:rsid w:val="009A3C3A"/>
    <w:rsid w:val="009A3C47"/>
    <w:rsid w:val="009A3F8A"/>
    <w:rsid w:val="009A400C"/>
    <w:rsid w:val="009A40D2"/>
    <w:rsid w:val="009A448B"/>
    <w:rsid w:val="009A4663"/>
    <w:rsid w:val="009A4A68"/>
    <w:rsid w:val="009A4A9D"/>
    <w:rsid w:val="009A4D88"/>
    <w:rsid w:val="009A4DB5"/>
    <w:rsid w:val="009A4E60"/>
    <w:rsid w:val="009A500D"/>
    <w:rsid w:val="009A5217"/>
    <w:rsid w:val="009A52A5"/>
    <w:rsid w:val="009A52FF"/>
    <w:rsid w:val="009A549D"/>
    <w:rsid w:val="009A555B"/>
    <w:rsid w:val="009A581E"/>
    <w:rsid w:val="009A5820"/>
    <w:rsid w:val="009A58CB"/>
    <w:rsid w:val="009A5A99"/>
    <w:rsid w:val="009A5AE4"/>
    <w:rsid w:val="009A5B0A"/>
    <w:rsid w:val="009A5B68"/>
    <w:rsid w:val="009A5E14"/>
    <w:rsid w:val="009A5FB7"/>
    <w:rsid w:val="009A6021"/>
    <w:rsid w:val="009A6038"/>
    <w:rsid w:val="009A610F"/>
    <w:rsid w:val="009A6115"/>
    <w:rsid w:val="009A62CD"/>
    <w:rsid w:val="009A6341"/>
    <w:rsid w:val="009A64AB"/>
    <w:rsid w:val="009A64FB"/>
    <w:rsid w:val="009A65E9"/>
    <w:rsid w:val="009A6829"/>
    <w:rsid w:val="009A699C"/>
    <w:rsid w:val="009A6EB3"/>
    <w:rsid w:val="009A72A2"/>
    <w:rsid w:val="009A757A"/>
    <w:rsid w:val="009A7C05"/>
    <w:rsid w:val="009A7D0C"/>
    <w:rsid w:val="009B01EE"/>
    <w:rsid w:val="009B02CC"/>
    <w:rsid w:val="009B068D"/>
    <w:rsid w:val="009B073B"/>
    <w:rsid w:val="009B0916"/>
    <w:rsid w:val="009B0940"/>
    <w:rsid w:val="009B0A3C"/>
    <w:rsid w:val="009B0A87"/>
    <w:rsid w:val="009B0C76"/>
    <w:rsid w:val="009B0D22"/>
    <w:rsid w:val="009B1290"/>
    <w:rsid w:val="009B135A"/>
    <w:rsid w:val="009B1520"/>
    <w:rsid w:val="009B168B"/>
    <w:rsid w:val="009B1855"/>
    <w:rsid w:val="009B193C"/>
    <w:rsid w:val="009B1B05"/>
    <w:rsid w:val="009B1BF1"/>
    <w:rsid w:val="009B1CAE"/>
    <w:rsid w:val="009B1CE5"/>
    <w:rsid w:val="009B1D23"/>
    <w:rsid w:val="009B1EB5"/>
    <w:rsid w:val="009B208B"/>
    <w:rsid w:val="009B20DD"/>
    <w:rsid w:val="009B2507"/>
    <w:rsid w:val="009B2610"/>
    <w:rsid w:val="009B2666"/>
    <w:rsid w:val="009B277A"/>
    <w:rsid w:val="009B286E"/>
    <w:rsid w:val="009B29B3"/>
    <w:rsid w:val="009B2C88"/>
    <w:rsid w:val="009B2F4B"/>
    <w:rsid w:val="009B3061"/>
    <w:rsid w:val="009B3163"/>
    <w:rsid w:val="009B3463"/>
    <w:rsid w:val="009B34BE"/>
    <w:rsid w:val="009B3527"/>
    <w:rsid w:val="009B3546"/>
    <w:rsid w:val="009B36D4"/>
    <w:rsid w:val="009B36E4"/>
    <w:rsid w:val="009B38FF"/>
    <w:rsid w:val="009B3AC8"/>
    <w:rsid w:val="009B3B98"/>
    <w:rsid w:val="009B3BA1"/>
    <w:rsid w:val="009B3C02"/>
    <w:rsid w:val="009B3E30"/>
    <w:rsid w:val="009B3F4F"/>
    <w:rsid w:val="009B42AA"/>
    <w:rsid w:val="009B4554"/>
    <w:rsid w:val="009B4583"/>
    <w:rsid w:val="009B46B9"/>
    <w:rsid w:val="009B4AFC"/>
    <w:rsid w:val="009B4CBF"/>
    <w:rsid w:val="009B4E30"/>
    <w:rsid w:val="009B4E9E"/>
    <w:rsid w:val="009B4F05"/>
    <w:rsid w:val="009B4F28"/>
    <w:rsid w:val="009B4F73"/>
    <w:rsid w:val="009B4FE4"/>
    <w:rsid w:val="009B507E"/>
    <w:rsid w:val="009B510B"/>
    <w:rsid w:val="009B53B1"/>
    <w:rsid w:val="009B54E5"/>
    <w:rsid w:val="009B5753"/>
    <w:rsid w:val="009B584B"/>
    <w:rsid w:val="009B5BB7"/>
    <w:rsid w:val="009B5D7E"/>
    <w:rsid w:val="009B5EDE"/>
    <w:rsid w:val="009B6071"/>
    <w:rsid w:val="009B6464"/>
    <w:rsid w:val="009B64CA"/>
    <w:rsid w:val="009B657E"/>
    <w:rsid w:val="009B665E"/>
    <w:rsid w:val="009B6724"/>
    <w:rsid w:val="009B67BD"/>
    <w:rsid w:val="009B67ED"/>
    <w:rsid w:val="009B6877"/>
    <w:rsid w:val="009B6CD5"/>
    <w:rsid w:val="009B6D3D"/>
    <w:rsid w:val="009B6DC0"/>
    <w:rsid w:val="009B6DD3"/>
    <w:rsid w:val="009B6DE0"/>
    <w:rsid w:val="009B6F26"/>
    <w:rsid w:val="009B7279"/>
    <w:rsid w:val="009B72AC"/>
    <w:rsid w:val="009B7676"/>
    <w:rsid w:val="009B76B1"/>
    <w:rsid w:val="009B76D1"/>
    <w:rsid w:val="009B78A8"/>
    <w:rsid w:val="009B7948"/>
    <w:rsid w:val="009B7C57"/>
    <w:rsid w:val="009B7DE8"/>
    <w:rsid w:val="009C0078"/>
    <w:rsid w:val="009C0115"/>
    <w:rsid w:val="009C01E5"/>
    <w:rsid w:val="009C0285"/>
    <w:rsid w:val="009C049B"/>
    <w:rsid w:val="009C04A0"/>
    <w:rsid w:val="009C04CE"/>
    <w:rsid w:val="009C0787"/>
    <w:rsid w:val="009C07D5"/>
    <w:rsid w:val="009C0AB7"/>
    <w:rsid w:val="009C0B64"/>
    <w:rsid w:val="009C0BF1"/>
    <w:rsid w:val="009C0C3D"/>
    <w:rsid w:val="009C0F0A"/>
    <w:rsid w:val="009C112A"/>
    <w:rsid w:val="009C121B"/>
    <w:rsid w:val="009C1257"/>
    <w:rsid w:val="009C12B4"/>
    <w:rsid w:val="009C14CE"/>
    <w:rsid w:val="009C154A"/>
    <w:rsid w:val="009C15A9"/>
    <w:rsid w:val="009C16C9"/>
    <w:rsid w:val="009C1707"/>
    <w:rsid w:val="009C1AD3"/>
    <w:rsid w:val="009C1B2D"/>
    <w:rsid w:val="009C1BD7"/>
    <w:rsid w:val="009C1CC7"/>
    <w:rsid w:val="009C1D19"/>
    <w:rsid w:val="009C1D5E"/>
    <w:rsid w:val="009C1E46"/>
    <w:rsid w:val="009C2017"/>
    <w:rsid w:val="009C2073"/>
    <w:rsid w:val="009C20AD"/>
    <w:rsid w:val="009C2124"/>
    <w:rsid w:val="009C212E"/>
    <w:rsid w:val="009C214A"/>
    <w:rsid w:val="009C2178"/>
    <w:rsid w:val="009C250B"/>
    <w:rsid w:val="009C2647"/>
    <w:rsid w:val="009C26D8"/>
    <w:rsid w:val="009C274E"/>
    <w:rsid w:val="009C2797"/>
    <w:rsid w:val="009C2826"/>
    <w:rsid w:val="009C2984"/>
    <w:rsid w:val="009C2AAA"/>
    <w:rsid w:val="009C2B5B"/>
    <w:rsid w:val="009C2C24"/>
    <w:rsid w:val="009C2C7B"/>
    <w:rsid w:val="009C2DA7"/>
    <w:rsid w:val="009C2DD4"/>
    <w:rsid w:val="009C2E20"/>
    <w:rsid w:val="009C2E95"/>
    <w:rsid w:val="009C2FBD"/>
    <w:rsid w:val="009C30A1"/>
    <w:rsid w:val="009C3145"/>
    <w:rsid w:val="009C3165"/>
    <w:rsid w:val="009C3797"/>
    <w:rsid w:val="009C37D3"/>
    <w:rsid w:val="009C3815"/>
    <w:rsid w:val="009C38D8"/>
    <w:rsid w:val="009C3CED"/>
    <w:rsid w:val="009C3DD4"/>
    <w:rsid w:val="009C3E4A"/>
    <w:rsid w:val="009C3EA9"/>
    <w:rsid w:val="009C4094"/>
    <w:rsid w:val="009C413B"/>
    <w:rsid w:val="009C422F"/>
    <w:rsid w:val="009C43C2"/>
    <w:rsid w:val="009C4700"/>
    <w:rsid w:val="009C4783"/>
    <w:rsid w:val="009C487F"/>
    <w:rsid w:val="009C4A0A"/>
    <w:rsid w:val="009C4C0C"/>
    <w:rsid w:val="009C4D10"/>
    <w:rsid w:val="009C4F93"/>
    <w:rsid w:val="009C529F"/>
    <w:rsid w:val="009C569F"/>
    <w:rsid w:val="009C57C7"/>
    <w:rsid w:val="009C57D2"/>
    <w:rsid w:val="009C57D6"/>
    <w:rsid w:val="009C5879"/>
    <w:rsid w:val="009C58E6"/>
    <w:rsid w:val="009C5937"/>
    <w:rsid w:val="009C5ADB"/>
    <w:rsid w:val="009C5CC0"/>
    <w:rsid w:val="009C5DA9"/>
    <w:rsid w:val="009C6103"/>
    <w:rsid w:val="009C6314"/>
    <w:rsid w:val="009C63D5"/>
    <w:rsid w:val="009C6528"/>
    <w:rsid w:val="009C65A3"/>
    <w:rsid w:val="009C695C"/>
    <w:rsid w:val="009C6A2A"/>
    <w:rsid w:val="009C6A37"/>
    <w:rsid w:val="009C6D53"/>
    <w:rsid w:val="009C6DE3"/>
    <w:rsid w:val="009C6EA9"/>
    <w:rsid w:val="009C6FE5"/>
    <w:rsid w:val="009C7001"/>
    <w:rsid w:val="009C7179"/>
    <w:rsid w:val="009C7186"/>
    <w:rsid w:val="009C72B3"/>
    <w:rsid w:val="009C73F5"/>
    <w:rsid w:val="009C7662"/>
    <w:rsid w:val="009C76FB"/>
    <w:rsid w:val="009C7836"/>
    <w:rsid w:val="009C7C3B"/>
    <w:rsid w:val="009C7C62"/>
    <w:rsid w:val="009C7C87"/>
    <w:rsid w:val="009C7CB8"/>
    <w:rsid w:val="009C7D89"/>
    <w:rsid w:val="009C7E8B"/>
    <w:rsid w:val="009D0115"/>
    <w:rsid w:val="009D03CF"/>
    <w:rsid w:val="009D0A76"/>
    <w:rsid w:val="009D0C36"/>
    <w:rsid w:val="009D0EB8"/>
    <w:rsid w:val="009D0F91"/>
    <w:rsid w:val="009D1057"/>
    <w:rsid w:val="009D10AA"/>
    <w:rsid w:val="009D151F"/>
    <w:rsid w:val="009D1522"/>
    <w:rsid w:val="009D16E1"/>
    <w:rsid w:val="009D1717"/>
    <w:rsid w:val="009D1957"/>
    <w:rsid w:val="009D1A55"/>
    <w:rsid w:val="009D1F55"/>
    <w:rsid w:val="009D1F9A"/>
    <w:rsid w:val="009D2101"/>
    <w:rsid w:val="009D23F7"/>
    <w:rsid w:val="009D2526"/>
    <w:rsid w:val="009D26AF"/>
    <w:rsid w:val="009D27BC"/>
    <w:rsid w:val="009D2996"/>
    <w:rsid w:val="009D2A4B"/>
    <w:rsid w:val="009D2AC1"/>
    <w:rsid w:val="009D2DEB"/>
    <w:rsid w:val="009D3212"/>
    <w:rsid w:val="009D3248"/>
    <w:rsid w:val="009D3495"/>
    <w:rsid w:val="009D3645"/>
    <w:rsid w:val="009D3721"/>
    <w:rsid w:val="009D38C3"/>
    <w:rsid w:val="009D3941"/>
    <w:rsid w:val="009D3AE0"/>
    <w:rsid w:val="009D3BA9"/>
    <w:rsid w:val="009D3C04"/>
    <w:rsid w:val="009D3C97"/>
    <w:rsid w:val="009D3EB5"/>
    <w:rsid w:val="009D3FC0"/>
    <w:rsid w:val="009D4169"/>
    <w:rsid w:val="009D41B1"/>
    <w:rsid w:val="009D425E"/>
    <w:rsid w:val="009D42B4"/>
    <w:rsid w:val="009D4569"/>
    <w:rsid w:val="009D476E"/>
    <w:rsid w:val="009D49D9"/>
    <w:rsid w:val="009D4DAB"/>
    <w:rsid w:val="009D4E89"/>
    <w:rsid w:val="009D4F41"/>
    <w:rsid w:val="009D51EC"/>
    <w:rsid w:val="009D52FF"/>
    <w:rsid w:val="009D53A4"/>
    <w:rsid w:val="009D53D2"/>
    <w:rsid w:val="009D5551"/>
    <w:rsid w:val="009D55C2"/>
    <w:rsid w:val="009D5605"/>
    <w:rsid w:val="009D563C"/>
    <w:rsid w:val="009D564F"/>
    <w:rsid w:val="009D568B"/>
    <w:rsid w:val="009D56BD"/>
    <w:rsid w:val="009D5757"/>
    <w:rsid w:val="009D59A4"/>
    <w:rsid w:val="009D5C8C"/>
    <w:rsid w:val="009D603E"/>
    <w:rsid w:val="009D605C"/>
    <w:rsid w:val="009D6234"/>
    <w:rsid w:val="009D6241"/>
    <w:rsid w:val="009D6313"/>
    <w:rsid w:val="009D67F8"/>
    <w:rsid w:val="009D6812"/>
    <w:rsid w:val="009D6C08"/>
    <w:rsid w:val="009D6E66"/>
    <w:rsid w:val="009D6EC5"/>
    <w:rsid w:val="009D701D"/>
    <w:rsid w:val="009D7191"/>
    <w:rsid w:val="009D7366"/>
    <w:rsid w:val="009D7367"/>
    <w:rsid w:val="009D739B"/>
    <w:rsid w:val="009D7431"/>
    <w:rsid w:val="009D743E"/>
    <w:rsid w:val="009D7470"/>
    <w:rsid w:val="009D76D6"/>
    <w:rsid w:val="009D77A5"/>
    <w:rsid w:val="009D7927"/>
    <w:rsid w:val="009D7A85"/>
    <w:rsid w:val="009D7B2A"/>
    <w:rsid w:val="009D7CC1"/>
    <w:rsid w:val="009D7D16"/>
    <w:rsid w:val="009D7FD2"/>
    <w:rsid w:val="009E0086"/>
    <w:rsid w:val="009E00CC"/>
    <w:rsid w:val="009E0754"/>
    <w:rsid w:val="009E08D3"/>
    <w:rsid w:val="009E08FB"/>
    <w:rsid w:val="009E09E5"/>
    <w:rsid w:val="009E0A1E"/>
    <w:rsid w:val="009E0BF5"/>
    <w:rsid w:val="009E0C8E"/>
    <w:rsid w:val="009E0CE2"/>
    <w:rsid w:val="009E0D43"/>
    <w:rsid w:val="009E0E48"/>
    <w:rsid w:val="009E0EA2"/>
    <w:rsid w:val="009E0EBE"/>
    <w:rsid w:val="009E11B8"/>
    <w:rsid w:val="009E11BA"/>
    <w:rsid w:val="009E140E"/>
    <w:rsid w:val="009E14A5"/>
    <w:rsid w:val="009E1906"/>
    <w:rsid w:val="009E19AF"/>
    <w:rsid w:val="009E19EC"/>
    <w:rsid w:val="009E1A07"/>
    <w:rsid w:val="009E1EED"/>
    <w:rsid w:val="009E1EF3"/>
    <w:rsid w:val="009E23E0"/>
    <w:rsid w:val="009E24BF"/>
    <w:rsid w:val="009E251F"/>
    <w:rsid w:val="009E255A"/>
    <w:rsid w:val="009E2635"/>
    <w:rsid w:val="009E26A4"/>
    <w:rsid w:val="009E2762"/>
    <w:rsid w:val="009E28B0"/>
    <w:rsid w:val="009E2972"/>
    <w:rsid w:val="009E2B7D"/>
    <w:rsid w:val="009E2C67"/>
    <w:rsid w:val="009E2F37"/>
    <w:rsid w:val="009E337A"/>
    <w:rsid w:val="009E344A"/>
    <w:rsid w:val="009E35BE"/>
    <w:rsid w:val="009E391E"/>
    <w:rsid w:val="009E392E"/>
    <w:rsid w:val="009E3942"/>
    <w:rsid w:val="009E3D73"/>
    <w:rsid w:val="009E3E54"/>
    <w:rsid w:val="009E3E92"/>
    <w:rsid w:val="009E3FC2"/>
    <w:rsid w:val="009E40C5"/>
    <w:rsid w:val="009E4397"/>
    <w:rsid w:val="009E448E"/>
    <w:rsid w:val="009E454F"/>
    <w:rsid w:val="009E4910"/>
    <w:rsid w:val="009E4939"/>
    <w:rsid w:val="009E495C"/>
    <w:rsid w:val="009E4964"/>
    <w:rsid w:val="009E4AB3"/>
    <w:rsid w:val="009E4B86"/>
    <w:rsid w:val="009E4CC8"/>
    <w:rsid w:val="009E4FD5"/>
    <w:rsid w:val="009E518B"/>
    <w:rsid w:val="009E5382"/>
    <w:rsid w:val="009E53B7"/>
    <w:rsid w:val="009E53CF"/>
    <w:rsid w:val="009E5877"/>
    <w:rsid w:val="009E58AD"/>
    <w:rsid w:val="009E58F9"/>
    <w:rsid w:val="009E58FE"/>
    <w:rsid w:val="009E5973"/>
    <w:rsid w:val="009E5AE0"/>
    <w:rsid w:val="009E5B77"/>
    <w:rsid w:val="009E5BDF"/>
    <w:rsid w:val="009E5DB8"/>
    <w:rsid w:val="009E5F26"/>
    <w:rsid w:val="009E5F81"/>
    <w:rsid w:val="009E6149"/>
    <w:rsid w:val="009E6259"/>
    <w:rsid w:val="009E63BD"/>
    <w:rsid w:val="009E63C8"/>
    <w:rsid w:val="009E68B7"/>
    <w:rsid w:val="009E68C8"/>
    <w:rsid w:val="009E6909"/>
    <w:rsid w:val="009E6BF1"/>
    <w:rsid w:val="009E6CD0"/>
    <w:rsid w:val="009E6CDB"/>
    <w:rsid w:val="009E6F72"/>
    <w:rsid w:val="009E70E8"/>
    <w:rsid w:val="009E7260"/>
    <w:rsid w:val="009E735C"/>
    <w:rsid w:val="009E7471"/>
    <w:rsid w:val="009E7894"/>
    <w:rsid w:val="009E7997"/>
    <w:rsid w:val="009E79B0"/>
    <w:rsid w:val="009E7A8E"/>
    <w:rsid w:val="009E7AB2"/>
    <w:rsid w:val="009E7C5D"/>
    <w:rsid w:val="009E7D3A"/>
    <w:rsid w:val="009E7DF4"/>
    <w:rsid w:val="009E7EBD"/>
    <w:rsid w:val="009F0045"/>
    <w:rsid w:val="009F03B7"/>
    <w:rsid w:val="009F0BC1"/>
    <w:rsid w:val="009F12C0"/>
    <w:rsid w:val="009F18D8"/>
    <w:rsid w:val="009F18F3"/>
    <w:rsid w:val="009F1B1D"/>
    <w:rsid w:val="009F2012"/>
    <w:rsid w:val="009F2089"/>
    <w:rsid w:val="009F2583"/>
    <w:rsid w:val="009F283F"/>
    <w:rsid w:val="009F2CDD"/>
    <w:rsid w:val="009F2E75"/>
    <w:rsid w:val="009F32F8"/>
    <w:rsid w:val="009F3387"/>
    <w:rsid w:val="009F33E0"/>
    <w:rsid w:val="009F34FA"/>
    <w:rsid w:val="009F3C2E"/>
    <w:rsid w:val="009F3CA5"/>
    <w:rsid w:val="009F3D09"/>
    <w:rsid w:val="009F3FBD"/>
    <w:rsid w:val="009F4138"/>
    <w:rsid w:val="009F4197"/>
    <w:rsid w:val="009F42B7"/>
    <w:rsid w:val="009F42EC"/>
    <w:rsid w:val="009F42EE"/>
    <w:rsid w:val="009F4369"/>
    <w:rsid w:val="009F44A3"/>
    <w:rsid w:val="009F4571"/>
    <w:rsid w:val="009F468B"/>
    <w:rsid w:val="009F470E"/>
    <w:rsid w:val="009F4721"/>
    <w:rsid w:val="009F47B7"/>
    <w:rsid w:val="009F4A9A"/>
    <w:rsid w:val="009F4B3A"/>
    <w:rsid w:val="009F4BF6"/>
    <w:rsid w:val="009F4C46"/>
    <w:rsid w:val="009F4C57"/>
    <w:rsid w:val="009F4D2A"/>
    <w:rsid w:val="009F4D3F"/>
    <w:rsid w:val="009F5481"/>
    <w:rsid w:val="009F5524"/>
    <w:rsid w:val="009F5618"/>
    <w:rsid w:val="009F564A"/>
    <w:rsid w:val="009F57A9"/>
    <w:rsid w:val="009F5891"/>
    <w:rsid w:val="009F5A11"/>
    <w:rsid w:val="009F61C1"/>
    <w:rsid w:val="009F6573"/>
    <w:rsid w:val="009F6704"/>
    <w:rsid w:val="009F6841"/>
    <w:rsid w:val="009F6850"/>
    <w:rsid w:val="009F6A8C"/>
    <w:rsid w:val="009F6F20"/>
    <w:rsid w:val="009F6F36"/>
    <w:rsid w:val="009F6FFE"/>
    <w:rsid w:val="009F700C"/>
    <w:rsid w:val="009F7220"/>
    <w:rsid w:val="009F72FB"/>
    <w:rsid w:val="009F7402"/>
    <w:rsid w:val="009F750C"/>
    <w:rsid w:val="009F7547"/>
    <w:rsid w:val="009F75F4"/>
    <w:rsid w:val="009F7600"/>
    <w:rsid w:val="009F78A2"/>
    <w:rsid w:val="009F79D4"/>
    <w:rsid w:val="009F7ABB"/>
    <w:rsid w:val="009F7B41"/>
    <w:rsid w:val="009F7BA9"/>
    <w:rsid w:val="009F7DFD"/>
    <w:rsid w:val="00A00052"/>
    <w:rsid w:val="00A00053"/>
    <w:rsid w:val="00A00065"/>
    <w:rsid w:val="00A000FA"/>
    <w:rsid w:val="00A001BA"/>
    <w:rsid w:val="00A00274"/>
    <w:rsid w:val="00A004D3"/>
    <w:rsid w:val="00A005FA"/>
    <w:rsid w:val="00A00657"/>
    <w:rsid w:val="00A006B8"/>
    <w:rsid w:val="00A00A18"/>
    <w:rsid w:val="00A00C40"/>
    <w:rsid w:val="00A00C92"/>
    <w:rsid w:val="00A00F90"/>
    <w:rsid w:val="00A0108B"/>
    <w:rsid w:val="00A010BD"/>
    <w:rsid w:val="00A0126F"/>
    <w:rsid w:val="00A012F8"/>
    <w:rsid w:val="00A014F4"/>
    <w:rsid w:val="00A0154F"/>
    <w:rsid w:val="00A017F9"/>
    <w:rsid w:val="00A0183A"/>
    <w:rsid w:val="00A01A4B"/>
    <w:rsid w:val="00A01BED"/>
    <w:rsid w:val="00A01F8B"/>
    <w:rsid w:val="00A01F96"/>
    <w:rsid w:val="00A01FF0"/>
    <w:rsid w:val="00A02020"/>
    <w:rsid w:val="00A0236D"/>
    <w:rsid w:val="00A023D8"/>
    <w:rsid w:val="00A0248B"/>
    <w:rsid w:val="00A0257E"/>
    <w:rsid w:val="00A027FC"/>
    <w:rsid w:val="00A02838"/>
    <w:rsid w:val="00A02B51"/>
    <w:rsid w:val="00A02C32"/>
    <w:rsid w:val="00A02D08"/>
    <w:rsid w:val="00A02D20"/>
    <w:rsid w:val="00A02F9F"/>
    <w:rsid w:val="00A03309"/>
    <w:rsid w:val="00A0353E"/>
    <w:rsid w:val="00A03DAB"/>
    <w:rsid w:val="00A03F1D"/>
    <w:rsid w:val="00A03F7E"/>
    <w:rsid w:val="00A03FA3"/>
    <w:rsid w:val="00A03FD6"/>
    <w:rsid w:val="00A03FDE"/>
    <w:rsid w:val="00A04200"/>
    <w:rsid w:val="00A0421D"/>
    <w:rsid w:val="00A0462E"/>
    <w:rsid w:val="00A04B1F"/>
    <w:rsid w:val="00A04C4C"/>
    <w:rsid w:val="00A04CE2"/>
    <w:rsid w:val="00A04EF4"/>
    <w:rsid w:val="00A04F8C"/>
    <w:rsid w:val="00A051D6"/>
    <w:rsid w:val="00A0539B"/>
    <w:rsid w:val="00A0565E"/>
    <w:rsid w:val="00A057C0"/>
    <w:rsid w:val="00A05CB8"/>
    <w:rsid w:val="00A05DA5"/>
    <w:rsid w:val="00A05DD2"/>
    <w:rsid w:val="00A0620B"/>
    <w:rsid w:val="00A06264"/>
    <w:rsid w:val="00A062C7"/>
    <w:rsid w:val="00A062D5"/>
    <w:rsid w:val="00A06370"/>
    <w:rsid w:val="00A0670D"/>
    <w:rsid w:val="00A067B1"/>
    <w:rsid w:val="00A06CA0"/>
    <w:rsid w:val="00A06E5D"/>
    <w:rsid w:val="00A06F25"/>
    <w:rsid w:val="00A070AE"/>
    <w:rsid w:val="00A0716D"/>
    <w:rsid w:val="00A072BE"/>
    <w:rsid w:val="00A072C5"/>
    <w:rsid w:val="00A073E4"/>
    <w:rsid w:val="00A073FC"/>
    <w:rsid w:val="00A0762C"/>
    <w:rsid w:val="00A07899"/>
    <w:rsid w:val="00A07E06"/>
    <w:rsid w:val="00A10197"/>
    <w:rsid w:val="00A1039F"/>
    <w:rsid w:val="00A10488"/>
    <w:rsid w:val="00A106C6"/>
    <w:rsid w:val="00A1077C"/>
    <w:rsid w:val="00A10840"/>
    <w:rsid w:val="00A10857"/>
    <w:rsid w:val="00A10A0D"/>
    <w:rsid w:val="00A10A35"/>
    <w:rsid w:val="00A10C0F"/>
    <w:rsid w:val="00A10C15"/>
    <w:rsid w:val="00A10C84"/>
    <w:rsid w:val="00A10D0D"/>
    <w:rsid w:val="00A10E79"/>
    <w:rsid w:val="00A10F40"/>
    <w:rsid w:val="00A10FB9"/>
    <w:rsid w:val="00A11244"/>
    <w:rsid w:val="00A114C0"/>
    <w:rsid w:val="00A114CE"/>
    <w:rsid w:val="00A1150E"/>
    <w:rsid w:val="00A1157D"/>
    <w:rsid w:val="00A116B4"/>
    <w:rsid w:val="00A1180A"/>
    <w:rsid w:val="00A118C5"/>
    <w:rsid w:val="00A11B4A"/>
    <w:rsid w:val="00A11B56"/>
    <w:rsid w:val="00A11BCA"/>
    <w:rsid w:val="00A11D8E"/>
    <w:rsid w:val="00A11DA4"/>
    <w:rsid w:val="00A11EE8"/>
    <w:rsid w:val="00A11FCD"/>
    <w:rsid w:val="00A121E6"/>
    <w:rsid w:val="00A12445"/>
    <w:rsid w:val="00A12519"/>
    <w:rsid w:val="00A12535"/>
    <w:rsid w:val="00A12544"/>
    <w:rsid w:val="00A12577"/>
    <w:rsid w:val="00A12636"/>
    <w:rsid w:val="00A12760"/>
    <w:rsid w:val="00A12B18"/>
    <w:rsid w:val="00A12B5E"/>
    <w:rsid w:val="00A12B71"/>
    <w:rsid w:val="00A12BD5"/>
    <w:rsid w:val="00A12E96"/>
    <w:rsid w:val="00A12F39"/>
    <w:rsid w:val="00A12FC4"/>
    <w:rsid w:val="00A13158"/>
    <w:rsid w:val="00A133B5"/>
    <w:rsid w:val="00A1346A"/>
    <w:rsid w:val="00A137A6"/>
    <w:rsid w:val="00A137E3"/>
    <w:rsid w:val="00A138FD"/>
    <w:rsid w:val="00A13960"/>
    <w:rsid w:val="00A13AB6"/>
    <w:rsid w:val="00A13B80"/>
    <w:rsid w:val="00A143CC"/>
    <w:rsid w:val="00A14714"/>
    <w:rsid w:val="00A1473B"/>
    <w:rsid w:val="00A14A50"/>
    <w:rsid w:val="00A14BF5"/>
    <w:rsid w:val="00A14D5B"/>
    <w:rsid w:val="00A14E01"/>
    <w:rsid w:val="00A14EE9"/>
    <w:rsid w:val="00A15519"/>
    <w:rsid w:val="00A15694"/>
    <w:rsid w:val="00A156D2"/>
    <w:rsid w:val="00A1572A"/>
    <w:rsid w:val="00A157C1"/>
    <w:rsid w:val="00A15C89"/>
    <w:rsid w:val="00A15FD6"/>
    <w:rsid w:val="00A16000"/>
    <w:rsid w:val="00A1616B"/>
    <w:rsid w:val="00A16305"/>
    <w:rsid w:val="00A1639B"/>
    <w:rsid w:val="00A16563"/>
    <w:rsid w:val="00A165AF"/>
    <w:rsid w:val="00A16600"/>
    <w:rsid w:val="00A166D4"/>
    <w:rsid w:val="00A1680F"/>
    <w:rsid w:val="00A16C20"/>
    <w:rsid w:val="00A16D43"/>
    <w:rsid w:val="00A17230"/>
    <w:rsid w:val="00A17362"/>
    <w:rsid w:val="00A17783"/>
    <w:rsid w:val="00A17797"/>
    <w:rsid w:val="00A17966"/>
    <w:rsid w:val="00A17A25"/>
    <w:rsid w:val="00A17B11"/>
    <w:rsid w:val="00A17C5D"/>
    <w:rsid w:val="00A17DB4"/>
    <w:rsid w:val="00A2000C"/>
    <w:rsid w:val="00A20225"/>
    <w:rsid w:val="00A203AB"/>
    <w:rsid w:val="00A2040E"/>
    <w:rsid w:val="00A2064A"/>
    <w:rsid w:val="00A20699"/>
    <w:rsid w:val="00A20904"/>
    <w:rsid w:val="00A20A46"/>
    <w:rsid w:val="00A20B4D"/>
    <w:rsid w:val="00A20B5D"/>
    <w:rsid w:val="00A20C36"/>
    <w:rsid w:val="00A20DA7"/>
    <w:rsid w:val="00A20F09"/>
    <w:rsid w:val="00A210CD"/>
    <w:rsid w:val="00A213AB"/>
    <w:rsid w:val="00A21471"/>
    <w:rsid w:val="00A215DE"/>
    <w:rsid w:val="00A21697"/>
    <w:rsid w:val="00A21984"/>
    <w:rsid w:val="00A219F6"/>
    <w:rsid w:val="00A21B61"/>
    <w:rsid w:val="00A21BAA"/>
    <w:rsid w:val="00A21D79"/>
    <w:rsid w:val="00A21E57"/>
    <w:rsid w:val="00A21F13"/>
    <w:rsid w:val="00A21F72"/>
    <w:rsid w:val="00A2218E"/>
    <w:rsid w:val="00A222FA"/>
    <w:rsid w:val="00A223EC"/>
    <w:rsid w:val="00A2241A"/>
    <w:rsid w:val="00A2285F"/>
    <w:rsid w:val="00A228A0"/>
    <w:rsid w:val="00A22981"/>
    <w:rsid w:val="00A230D0"/>
    <w:rsid w:val="00A230F4"/>
    <w:rsid w:val="00A231B9"/>
    <w:rsid w:val="00A2324E"/>
    <w:rsid w:val="00A2344C"/>
    <w:rsid w:val="00A235EA"/>
    <w:rsid w:val="00A2364B"/>
    <w:rsid w:val="00A23682"/>
    <w:rsid w:val="00A23696"/>
    <w:rsid w:val="00A236E1"/>
    <w:rsid w:val="00A23826"/>
    <w:rsid w:val="00A23839"/>
    <w:rsid w:val="00A238B6"/>
    <w:rsid w:val="00A23C9E"/>
    <w:rsid w:val="00A23F49"/>
    <w:rsid w:val="00A23FB5"/>
    <w:rsid w:val="00A24262"/>
    <w:rsid w:val="00A2436D"/>
    <w:rsid w:val="00A24599"/>
    <w:rsid w:val="00A24675"/>
    <w:rsid w:val="00A248ED"/>
    <w:rsid w:val="00A24BF6"/>
    <w:rsid w:val="00A24D95"/>
    <w:rsid w:val="00A24F3A"/>
    <w:rsid w:val="00A25369"/>
    <w:rsid w:val="00A2550E"/>
    <w:rsid w:val="00A25540"/>
    <w:rsid w:val="00A25607"/>
    <w:rsid w:val="00A25C5F"/>
    <w:rsid w:val="00A26067"/>
    <w:rsid w:val="00A260BD"/>
    <w:rsid w:val="00A2646C"/>
    <w:rsid w:val="00A2649A"/>
    <w:rsid w:val="00A264E2"/>
    <w:rsid w:val="00A26527"/>
    <w:rsid w:val="00A2659D"/>
    <w:rsid w:val="00A2689E"/>
    <w:rsid w:val="00A268FD"/>
    <w:rsid w:val="00A26D8C"/>
    <w:rsid w:val="00A26E61"/>
    <w:rsid w:val="00A26EE8"/>
    <w:rsid w:val="00A26F70"/>
    <w:rsid w:val="00A2721C"/>
    <w:rsid w:val="00A2722A"/>
    <w:rsid w:val="00A272A5"/>
    <w:rsid w:val="00A2731A"/>
    <w:rsid w:val="00A27328"/>
    <w:rsid w:val="00A273C6"/>
    <w:rsid w:val="00A27589"/>
    <w:rsid w:val="00A275E4"/>
    <w:rsid w:val="00A27743"/>
    <w:rsid w:val="00A27772"/>
    <w:rsid w:val="00A27A03"/>
    <w:rsid w:val="00A27C06"/>
    <w:rsid w:val="00A27E17"/>
    <w:rsid w:val="00A27E82"/>
    <w:rsid w:val="00A27F63"/>
    <w:rsid w:val="00A30057"/>
    <w:rsid w:val="00A3033C"/>
    <w:rsid w:val="00A3033F"/>
    <w:rsid w:val="00A30346"/>
    <w:rsid w:val="00A309AB"/>
    <w:rsid w:val="00A30B43"/>
    <w:rsid w:val="00A30B44"/>
    <w:rsid w:val="00A30BB7"/>
    <w:rsid w:val="00A30CE6"/>
    <w:rsid w:val="00A30F63"/>
    <w:rsid w:val="00A31053"/>
    <w:rsid w:val="00A31347"/>
    <w:rsid w:val="00A314C1"/>
    <w:rsid w:val="00A31770"/>
    <w:rsid w:val="00A3196E"/>
    <w:rsid w:val="00A319A2"/>
    <w:rsid w:val="00A31ADD"/>
    <w:rsid w:val="00A31D9E"/>
    <w:rsid w:val="00A31DF8"/>
    <w:rsid w:val="00A31F14"/>
    <w:rsid w:val="00A32456"/>
    <w:rsid w:val="00A32536"/>
    <w:rsid w:val="00A32803"/>
    <w:rsid w:val="00A32921"/>
    <w:rsid w:val="00A32AF6"/>
    <w:rsid w:val="00A32C51"/>
    <w:rsid w:val="00A32CE2"/>
    <w:rsid w:val="00A32DBC"/>
    <w:rsid w:val="00A32EB7"/>
    <w:rsid w:val="00A32F25"/>
    <w:rsid w:val="00A33005"/>
    <w:rsid w:val="00A330B9"/>
    <w:rsid w:val="00A33125"/>
    <w:rsid w:val="00A3315C"/>
    <w:rsid w:val="00A33353"/>
    <w:rsid w:val="00A3342A"/>
    <w:rsid w:val="00A3383F"/>
    <w:rsid w:val="00A338F7"/>
    <w:rsid w:val="00A33968"/>
    <w:rsid w:val="00A33A74"/>
    <w:rsid w:val="00A33AED"/>
    <w:rsid w:val="00A33BB3"/>
    <w:rsid w:val="00A33BD4"/>
    <w:rsid w:val="00A33F6D"/>
    <w:rsid w:val="00A33F94"/>
    <w:rsid w:val="00A34135"/>
    <w:rsid w:val="00A3413B"/>
    <w:rsid w:val="00A341D0"/>
    <w:rsid w:val="00A3420C"/>
    <w:rsid w:val="00A342C4"/>
    <w:rsid w:val="00A344A8"/>
    <w:rsid w:val="00A3454E"/>
    <w:rsid w:val="00A345E7"/>
    <w:rsid w:val="00A346B1"/>
    <w:rsid w:val="00A34932"/>
    <w:rsid w:val="00A34A19"/>
    <w:rsid w:val="00A34CAE"/>
    <w:rsid w:val="00A34DBB"/>
    <w:rsid w:val="00A34F83"/>
    <w:rsid w:val="00A35303"/>
    <w:rsid w:val="00A3558E"/>
    <w:rsid w:val="00A357B4"/>
    <w:rsid w:val="00A35A2A"/>
    <w:rsid w:val="00A35B32"/>
    <w:rsid w:val="00A35B65"/>
    <w:rsid w:val="00A35C6E"/>
    <w:rsid w:val="00A35EDF"/>
    <w:rsid w:val="00A3625B"/>
    <w:rsid w:val="00A3630B"/>
    <w:rsid w:val="00A36561"/>
    <w:rsid w:val="00A366C2"/>
    <w:rsid w:val="00A3671C"/>
    <w:rsid w:val="00A36819"/>
    <w:rsid w:val="00A36EE1"/>
    <w:rsid w:val="00A3704A"/>
    <w:rsid w:val="00A370A7"/>
    <w:rsid w:val="00A370AF"/>
    <w:rsid w:val="00A37183"/>
    <w:rsid w:val="00A372B8"/>
    <w:rsid w:val="00A37582"/>
    <w:rsid w:val="00A375F8"/>
    <w:rsid w:val="00A376BA"/>
    <w:rsid w:val="00A37806"/>
    <w:rsid w:val="00A37860"/>
    <w:rsid w:val="00A37A15"/>
    <w:rsid w:val="00A37A57"/>
    <w:rsid w:val="00A37B1A"/>
    <w:rsid w:val="00A37BEE"/>
    <w:rsid w:val="00A37F54"/>
    <w:rsid w:val="00A401AF"/>
    <w:rsid w:val="00A40213"/>
    <w:rsid w:val="00A40397"/>
    <w:rsid w:val="00A40410"/>
    <w:rsid w:val="00A40459"/>
    <w:rsid w:val="00A406D5"/>
    <w:rsid w:val="00A407FF"/>
    <w:rsid w:val="00A408F9"/>
    <w:rsid w:val="00A40B9B"/>
    <w:rsid w:val="00A40BA3"/>
    <w:rsid w:val="00A40C32"/>
    <w:rsid w:val="00A40D85"/>
    <w:rsid w:val="00A40FAF"/>
    <w:rsid w:val="00A4106A"/>
    <w:rsid w:val="00A4107A"/>
    <w:rsid w:val="00A41267"/>
    <w:rsid w:val="00A4127F"/>
    <w:rsid w:val="00A412B8"/>
    <w:rsid w:val="00A412DD"/>
    <w:rsid w:val="00A413B1"/>
    <w:rsid w:val="00A415BE"/>
    <w:rsid w:val="00A41795"/>
    <w:rsid w:val="00A41797"/>
    <w:rsid w:val="00A417DA"/>
    <w:rsid w:val="00A41821"/>
    <w:rsid w:val="00A419BD"/>
    <w:rsid w:val="00A41DF0"/>
    <w:rsid w:val="00A41E68"/>
    <w:rsid w:val="00A429B6"/>
    <w:rsid w:val="00A42A1B"/>
    <w:rsid w:val="00A42BB3"/>
    <w:rsid w:val="00A42F2D"/>
    <w:rsid w:val="00A430D7"/>
    <w:rsid w:val="00A4374F"/>
    <w:rsid w:val="00A43948"/>
    <w:rsid w:val="00A43BB2"/>
    <w:rsid w:val="00A43D59"/>
    <w:rsid w:val="00A43DD5"/>
    <w:rsid w:val="00A44153"/>
    <w:rsid w:val="00A44223"/>
    <w:rsid w:val="00A442A4"/>
    <w:rsid w:val="00A44412"/>
    <w:rsid w:val="00A44855"/>
    <w:rsid w:val="00A44B0C"/>
    <w:rsid w:val="00A44BC7"/>
    <w:rsid w:val="00A44D1B"/>
    <w:rsid w:val="00A44D3D"/>
    <w:rsid w:val="00A44EB5"/>
    <w:rsid w:val="00A451CB"/>
    <w:rsid w:val="00A45316"/>
    <w:rsid w:val="00A453F4"/>
    <w:rsid w:val="00A4543F"/>
    <w:rsid w:val="00A4545F"/>
    <w:rsid w:val="00A455B6"/>
    <w:rsid w:val="00A455F5"/>
    <w:rsid w:val="00A45640"/>
    <w:rsid w:val="00A45899"/>
    <w:rsid w:val="00A458F9"/>
    <w:rsid w:val="00A459D5"/>
    <w:rsid w:val="00A459F2"/>
    <w:rsid w:val="00A45CF5"/>
    <w:rsid w:val="00A45F5A"/>
    <w:rsid w:val="00A4602F"/>
    <w:rsid w:val="00A4610B"/>
    <w:rsid w:val="00A46260"/>
    <w:rsid w:val="00A46488"/>
    <w:rsid w:val="00A464E1"/>
    <w:rsid w:val="00A464F5"/>
    <w:rsid w:val="00A46763"/>
    <w:rsid w:val="00A46786"/>
    <w:rsid w:val="00A4681C"/>
    <w:rsid w:val="00A468DD"/>
    <w:rsid w:val="00A469C3"/>
    <w:rsid w:val="00A469F4"/>
    <w:rsid w:val="00A46A47"/>
    <w:rsid w:val="00A46A63"/>
    <w:rsid w:val="00A46D31"/>
    <w:rsid w:val="00A46D62"/>
    <w:rsid w:val="00A46DEE"/>
    <w:rsid w:val="00A46F75"/>
    <w:rsid w:val="00A47011"/>
    <w:rsid w:val="00A470F8"/>
    <w:rsid w:val="00A4712D"/>
    <w:rsid w:val="00A4738D"/>
    <w:rsid w:val="00A474F7"/>
    <w:rsid w:val="00A4776A"/>
    <w:rsid w:val="00A47792"/>
    <w:rsid w:val="00A4789A"/>
    <w:rsid w:val="00A47A07"/>
    <w:rsid w:val="00A47C45"/>
    <w:rsid w:val="00A47CEF"/>
    <w:rsid w:val="00A47DC5"/>
    <w:rsid w:val="00A501FD"/>
    <w:rsid w:val="00A503DB"/>
    <w:rsid w:val="00A50555"/>
    <w:rsid w:val="00A50633"/>
    <w:rsid w:val="00A50A10"/>
    <w:rsid w:val="00A50A44"/>
    <w:rsid w:val="00A50A59"/>
    <w:rsid w:val="00A50A80"/>
    <w:rsid w:val="00A50BFA"/>
    <w:rsid w:val="00A50CD7"/>
    <w:rsid w:val="00A50EDE"/>
    <w:rsid w:val="00A512CE"/>
    <w:rsid w:val="00A513A6"/>
    <w:rsid w:val="00A5143B"/>
    <w:rsid w:val="00A514FF"/>
    <w:rsid w:val="00A5152B"/>
    <w:rsid w:val="00A51735"/>
    <w:rsid w:val="00A518EF"/>
    <w:rsid w:val="00A51C18"/>
    <w:rsid w:val="00A521A9"/>
    <w:rsid w:val="00A5221F"/>
    <w:rsid w:val="00A5225B"/>
    <w:rsid w:val="00A5234A"/>
    <w:rsid w:val="00A52592"/>
    <w:rsid w:val="00A52694"/>
    <w:rsid w:val="00A5273B"/>
    <w:rsid w:val="00A52838"/>
    <w:rsid w:val="00A52A70"/>
    <w:rsid w:val="00A52A8D"/>
    <w:rsid w:val="00A52AF0"/>
    <w:rsid w:val="00A52B24"/>
    <w:rsid w:val="00A52B93"/>
    <w:rsid w:val="00A52CAA"/>
    <w:rsid w:val="00A52D3B"/>
    <w:rsid w:val="00A53051"/>
    <w:rsid w:val="00A530E2"/>
    <w:rsid w:val="00A5331C"/>
    <w:rsid w:val="00A53580"/>
    <w:rsid w:val="00A535C8"/>
    <w:rsid w:val="00A5385D"/>
    <w:rsid w:val="00A53981"/>
    <w:rsid w:val="00A53A94"/>
    <w:rsid w:val="00A53B7C"/>
    <w:rsid w:val="00A53F6C"/>
    <w:rsid w:val="00A54031"/>
    <w:rsid w:val="00A54050"/>
    <w:rsid w:val="00A54061"/>
    <w:rsid w:val="00A5419E"/>
    <w:rsid w:val="00A542B1"/>
    <w:rsid w:val="00A54375"/>
    <w:rsid w:val="00A543FD"/>
    <w:rsid w:val="00A54401"/>
    <w:rsid w:val="00A54432"/>
    <w:rsid w:val="00A54493"/>
    <w:rsid w:val="00A544A0"/>
    <w:rsid w:val="00A5450A"/>
    <w:rsid w:val="00A54550"/>
    <w:rsid w:val="00A545FF"/>
    <w:rsid w:val="00A54693"/>
    <w:rsid w:val="00A54811"/>
    <w:rsid w:val="00A548A8"/>
    <w:rsid w:val="00A549E1"/>
    <w:rsid w:val="00A54B1D"/>
    <w:rsid w:val="00A54B47"/>
    <w:rsid w:val="00A54BB0"/>
    <w:rsid w:val="00A54C4D"/>
    <w:rsid w:val="00A54DDB"/>
    <w:rsid w:val="00A5506F"/>
    <w:rsid w:val="00A5515C"/>
    <w:rsid w:val="00A55422"/>
    <w:rsid w:val="00A55578"/>
    <w:rsid w:val="00A5561A"/>
    <w:rsid w:val="00A556A6"/>
    <w:rsid w:val="00A557D7"/>
    <w:rsid w:val="00A557EB"/>
    <w:rsid w:val="00A55B9A"/>
    <w:rsid w:val="00A55C16"/>
    <w:rsid w:val="00A55D85"/>
    <w:rsid w:val="00A561E5"/>
    <w:rsid w:val="00A56234"/>
    <w:rsid w:val="00A56262"/>
    <w:rsid w:val="00A562B8"/>
    <w:rsid w:val="00A564BE"/>
    <w:rsid w:val="00A56810"/>
    <w:rsid w:val="00A56A4F"/>
    <w:rsid w:val="00A56AA8"/>
    <w:rsid w:val="00A56BA1"/>
    <w:rsid w:val="00A56E1A"/>
    <w:rsid w:val="00A571F7"/>
    <w:rsid w:val="00A57558"/>
    <w:rsid w:val="00A577CF"/>
    <w:rsid w:val="00A57BF2"/>
    <w:rsid w:val="00A57DB0"/>
    <w:rsid w:val="00A57F16"/>
    <w:rsid w:val="00A60057"/>
    <w:rsid w:val="00A6028F"/>
    <w:rsid w:val="00A603A7"/>
    <w:rsid w:val="00A6057C"/>
    <w:rsid w:val="00A605D7"/>
    <w:rsid w:val="00A606CD"/>
    <w:rsid w:val="00A607B1"/>
    <w:rsid w:val="00A6086F"/>
    <w:rsid w:val="00A60D96"/>
    <w:rsid w:val="00A6162B"/>
    <w:rsid w:val="00A61691"/>
    <w:rsid w:val="00A616D3"/>
    <w:rsid w:val="00A618D4"/>
    <w:rsid w:val="00A61A3E"/>
    <w:rsid w:val="00A61AD2"/>
    <w:rsid w:val="00A61AEA"/>
    <w:rsid w:val="00A61D2C"/>
    <w:rsid w:val="00A61DC6"/>
    <w:rsid w:val="00A61DE5"/>
    <w:rsid w:val="00A61E14"/>
    <w:rsid w:val="00A61F66"/>
    <w:rsid w:val="00A6208F"/>
    <w:rsid w:val="00A62188"/>
    <w:rsid w:val="00A622AB"/>
    <w:rsid w:val="00A622ED"/>
    <w:rsid w:val="00A622FE"/>
    <w:rsid w:val="00A6261A"/>
    <w:rsid w:val="00A626F6"/>
    <w:rsid w:val="00A627E5"/>
    <w:rsid w:val="00A62932"/>
    <w:rsid w:val="00A6293E"/>
    <w:rsid w:val="00A629E5"/>
    <w:rsid w:val="00A62A12"/>
    <w:rsid w:val="00A62AC1"/>
    <w:rsid w:val="00A62D42"/>
    <w:rsid w:val="00A62DF5"/>
    <w:rsid w:val="00A62E69"/>
    <w:rsid w:val="00A63070"/>
    <w:rsid w:val="00A63184"/>
    <w:rsid w:val="00A632DE"/>
    <w:rsid w:val="00A6331E"/>
    <w:rsid w:val="00A6343C"/>
    <w:rsid w:val="00A6350C"/>
    <w:rsid w:val="00A63658"/>
    <w:rsid w:val="00A6366C"/>
    <w:rsid w:val="00A636C1"/>
    <w:rsid w:val="00A636DD"/>
    <w:rsid w:val="00A63770"/>
    <w:rsid w:val="00A638BD"/>
    <w:rsid w:val="00A6399E"/>
    <w:rsid w:val="00A63A22"/>
    <w:rsid w:val="00A63A8B"/>
    <w:rsid w:val="00A63B4A"/>
    <w:rsid w:val="00A63B71"/>
    <w:rsid w:val="00A63CB0"/>
    <w:rsid w:val="00A63D3E"/>
    <w:rsid w:val="00A63DD8"/>
    <w:rsid w:val="00A643B0"/>
    <w:rsid w:val="00A64435"/>
    <w:rsid w:val="00A644D1"/>
    <w:rsid w:val="00A6458F"/>
    <w:rsid w:val="00A645A2"/>
    <w:rsid w:val="00A64783"/>
    <w:rsid w:val="00A6488E"/>
    <w:rsid w:val="00A64976"/>
    <w:rsid w:val="00A64981"/>
    <w:rsid w:val="00A64A04"/>
    <w:rsid w:val="00A64A71"/>
    <w:rsid w:val="00A64D1E"/>
    <w:rsid w:val="00A64FD8"/>
    <w:rsid w:val="00A65096"/>
    <w:rsid w:val="00A65160"/>
    <w:rsid w:val="00A6520A"/>
    <w:rsid w:val="00A65213"/>
    <w:rsid w:val="00A653C2"/>
    <w:rsid w:val="00A654EC"/>
    <w:rsid w:val="00A656FB"/>
    <w:rsid w:val="00A65C88"/>
    <w:rsid w:val="00A6624C"/>
    <w:rsid w:val="00A66289"/>
    <w:rsid w:val="00A663FF"/>
    <w:rsid w:val="00A66425"/>
    <w:rsid w:val="00A66495"/>
    <w:rsid w:val="00A66609"/>
    <w:rsid w:val="00A66653"/>
    <w:rsid w:val="00A6685D"/>
    <w:rsid w:val="00A6691D"/>
    <w:rsid w:val="00A66A40"/>
    <w:rsid w:val="00A66AE4"/>
    <w:rsid w:val="00A66B6C"/>
    <w:rsid w:val="00A66E26"/>
    <w:rsid w:val="00A66F32"/>
    <w:rsid w:val="00A66F81"/>
    <w:rsid w:val="00A66F85"/>
    <w:rsid w:val="00A67021"/>
    <w:rsid w:val="00A6708C"/>
    <w:rsid w:val="00A670DD"/>
    <w:rsid w:val="00A670F9"/>
    <w:rsid w:val="00A672E8"/>
    <w:rsid w:val="00A6732A"/>
    <w:rsid w:val="00A6755E"/>
    <w:rsid w:val="00A676D7"/>
    <w:rsid w:val="00A677BE"/>
    <w:rsid w:val="00A67969"/>
    <w:rsid w:val="00A67ADD"/>
    <w:rsid w:val="00A67AE9"/>
    <w:rsid w:val="00A67C00"/>
    <w:rsid w:val="00A67DD4"/>
    <w:rsid w:val="00A67DDA"/>
    <w:rsid w:val="00A67E0C"/>
    <w:rsid w:val="00A67FDA"/>
    <w:rsid w:val="00A70170"/>
    <w:rsid w:val="00A70575"/>
    <w:rsid w:val="00A70631"/>
    <w:rsid w:val="00A70B7E"/>
    <w:rsid w:val="00A70B85"/>
    <w:rsid w:val="00A70D40"/>
    <w:rsid w:val="00A70E77"/>
    <w:rsid w:val="00A711DB"/>
    <w:rsid w:val="00A714F4"/>
    <w:rsid w:val="00A71524"/>
    <w:rsid w:val="00A7160A"/>
    <w:rsid w:val="00A71734"/>
    <w:rsid w:val="00A71764"/>
    <w:rsid w:val="00A71899"/>
    <w:rsid w:val="00A71D5B"/>
    <w:rsid w:val="00A71DCC"/>
    <w:rsid w:val="00A71E2F"/>
    <w:rsid w:val="00A71F0E"/>
    <w:rsid w:val="00A71FD0"/>
    <w:rsid w:val="00A720A4"/>
    <w:rsid w:val="00A721B8"/>
    <w:rsid w:val="00A72335"/>
    <w:rsid w:val="00A72350"/>
    <w:rsid w:val="00A723CC"/>
    <w:rsid w:val="00A72646"/>
    <w:rsid w:val="00A727AA"/>
    <w:rsid w:val="00A728AD"/>
    <w:rsid w:val="00A72C01"/>
    <w:rsid w:val="00A72C32"/>
    <w:rsid w:val="00A72FD8"/>
    <w:rsid w:val="00A7315D"/>
    <w:rsid w:val="00A7317B"/>
    <w:rsid w:val="00A733B8"/>
    <w:rsid w:val="00A7342E"/>
    <w:rsid w:val="00A73501"/>
    <w:rsid w:val="00A73520"/>
    <w:rsid w:val="00A7364F"/>
    <w:rsid w:val="00A739B7"/>
    <w:rsid w:val="00A73D05"/>
    <w:rsid w:val="00A73D35"/>
    <w:rsid w:val="00A73DB7"/>
    <w:rsid w:val="00A73FC8"/>
    <w:rsid w:val="00A7411C"/>
    <w:rsid w:val="00A741FE"/>
    <w:rsid w:val="00A7424D"/>
    <w:rsid w:val="00A74253"/>
    <w:rsid w:val="00A745C4"/>
    <w:rsid w:val="00A7463B"/>
    <w:rsid w:val="00A747C2"/>
    <w:rsid w:val="00A747CB"/>
    <w:rsid w:val="00A747E7"/>
    <w:rsid w:val="00A74AF3"/>
    <w:rsid w:val="00A74C53"/>
    <w:rsid w:val="00A74CBD"/>
    <w:rsid w:val="00A74E18"/>
    <w:rsid w:val="00A74EA2"/>
    <w:rsid w:val="00A74EDC"/>
    <w:rsid w:val="00A74F64"/>
    <w:rsid w:val="00A750D7"/>
    <w:rsid w:val="00A75203"/>
    <w:rsid w:val="00A75634"/>
    <w:rsid w:val="00A7572A"/>
    <w:rsid w:val="00A75A32"/>
    <w:rsid w:val="00A75CF0"/>
    <w:rsid w:val="00A7617C"/>
    <w:rsid w:val="00A7633E"/>
    <w:rsid w:val="00A76398"/>
    <w:rsid w:val="00A764D8"/>
    <w:rsid w:val="00A7652E"/>
    <w:rsid w:val="00A76697"/>
    <w:rsid w:val="00A76746"/>
    <w:rsid w:val="00A768EE"/>
    <w:rsid w:val="00A76D80"/>
    <w:rsid w:val="00A76DC3"/>
    <w:rsid w:val="00A76EF6"/>
    <w:rsid w:val="00A76F5D"/>
    <w:rsid w:val="00A776C7"/>
    <w:rsid w:val="00A77768"/>
    <w:rsid w:val="00A777C8"/>
    <w:rsid w:val="00A777E3"/>
    <w:rsid w:val="00A779DD"/>
    <w:rsid w:val="00A77A16"/>
    <w:rsid w:val="00A77AC7"/>
    <w:rsid w:val="00A77B04"/>
    <w:rsid w:val="00A77B40"/>
    <w:rsid w:val="00A77BFD"/>
    <w:rsid w:val="00A77C78"/>
    <w:rsid w:val="00A800A4"/>
    <w:rsid w:val="00A800F9"/>
    <w:rsid w:val="00A802B8"/>
    <w:rsid w:val="00A8078A"/>
    <w:rsid w:val="00A80809"/>
    <w:rsid w:val="00A80892"/>
    <w:rsid w:val="00A8097D"/>
    <w:rsid w:val="00A80B5F"/>
    <w:rsid w:val="00A80BA8"/>
    <w:rsid w:val="00A80BCB"/>
    <w:rsid w:val="00A80CD7"/>
    <w:rsid w:val="00A80E25"/>
    <w:rsid w:val="00A80E96"/>
    <w:rsid w:val="00A81009"/>
    <w:rsid w:val="00A81390"/>
    <w:rsid w:val="00A814AD"/>
    <w:rsid w:val="00A814C3"/>
    <w:rsid w:val="00A81571"/>
    <w:rsid w:val="00A81592"/>
    <w:rsid w:val="00A81611"/>
    <w:rsid w:val="00A81696"/>
    <w:rsid w:val="00A817B1"/>
    <w:rsid w:val="00A81866"/>
    <w:rsid w:val="00A81952"/>
    <w:rsid w:val="00A81E41"/>
    <w:rsid w:val="00A8208F"/>
    <w:rsid w:val="00A821F1"/>
    <w:rsid w:val="00A821F5"/>
    <w:rsid w:val="00A82364"/>
    <w:rsid w:val="00A8238B"/>
    <w:rsid w:val="00A824F1"/>
    <w:rsid w:val="00A82522"/>
    <w:rsid w:val="00A825DA"/>
    <w:rsid w:val="00A826F3"/>
    <w:rsid w:val="00A829BE"/>
    <w:rsid w:val="00A82A71"/>
    <w:rsid w:val="00A82B06"/>
    <w:rsid w:val="00A82EA7"/>
    <w:rsid w:val="00A82FDC"/>
    <w:rsid w:val="00A831C1"/>
    <w:rsid w:val="00A83226"/>
    <w:rsid w:val="00A83234"/>
    <w:rsid w:val="00A8330B"/>
    <w:rsid w:val="00A83311"/>
    <w:rsid w:val="00A8336F"/>
    <w:rsid w:val="00A8343C"/>
    <w:rsid w:val="00A837BD"/>
    <w:rsid w:val="00A839A0"/>
    <w:rsid w:val="00A83B2C"/>
    <w:rsid w:val="00A84024"/>
    <w:rsid w:val="00A84162"/>
    <w:rsid w:val="00A84165"/>
    <w:rsid w:val="00A842A6"/>
    <w:rsid w:val="00A84505"/>
    <w:rsid w:val="00A84599"/>
    <w:rsid w:val="00A846EE"/>
    <w:rsid w:val="00A84726"/>
    <w:rsid w:val="00A847EA"/>
    <w:rsid w:val="00A849AE"/>
    <w:rsid w:val="00A84C51"/>
    <w:rsid w:val="00A84C8A"/>
    <w:rsid w:val="00A84D41"/>
    <w:rsid w:val="00A8505C"/>
    <w:rsid w:val="00A85135"/>
    <w:rsid w:val="00A85145"/>
    <w:rsid w:val="00A851EF"/>
    <w:rsid w:val="00A85207"/>
    <w:rsid w:val="00A85484"/>
    <w:rsid w:val="00A8550E"/>
    <w:rsid w:val="00A856FD"/>
    <w:rsid w:val="00A858E8"/>
    <w:rsid w:val="00A859D2"/>
    <w:rsid w:val="00A86075"/>
    <w:rsid w:val="00A8629E"/>
    <w:rsid w:val="00A863F5"/>
    <w:rsid w:val="00A8656D"/>
    <w:rsid w:val="00A8659A"/>
    <w:rsid w:val="00A866A1"/>
    <w:rsid w:val="00A866A2"/>
    <w:rsid w:val="00A869DC"/>
    <w:rsid w:val="00A86AC7"/>
    <w:rsid w:val="00A86C2F"/>
    <w:rsid w:val="00A86DB6"/>
    <w:rsid w:val="00A870E1"/>
    <w:rsid w:val="00A87396"/>
    <w:rsid w:val="00A8761C"/>
    <w:rsid w:val="00A8762D"/>
    <w:rsid w:val="00A8766B"/>
    <w:rsid w:val="00A87693"/>
    <w:rsid w:val="00A876D2"/>
    <w:rsid w:val="00A8792A"/>
    <w:rsid w:val="00A87999"/>
    <w:rsid w:val="00A87B69"/>
    <w:rsid w:val="00A87C5E"/>
    <w:rsid w:val="00A87D3B"/>
    <w:rsid w:val="00A9011D"/>
    <w:rsid w:val="00A90147"/>
    <w:rsid w:val="00A901C4"/>
    <w:rsid w:val="00A902CF"/>
    <w:rsid w:val="00A903FC"/>
    <w:rsid w:val="00A90465"/>
    <w:rsid w:val="00A905B8"/>
    <w:rsid w:val="00A907DC"/>
    <w:rsid w:val="00A908B8"/>
    <w:rsid w:val="00A909B2"/>
    <w:rsid w:val="00A90BF6"/>
    <w:rsid w:val="00A90C96"/>
    <w:rsid w:val="00A90D27"/>
    <w:rsid w:val="00A90DCB"/>
    <w:rsid w:val="00A90F4C"/>
    <w:rsid w:val="00A9116C"/>
    <w:rsid w:val="00A911A7"/>
    <w:rsid w:val="00A91419"/>
    <w:rsid w:val="00A917B5"/>
    <w:rsid w:val="00A91A03"/>
    <w:rsid w:val="00A91E1F"/>
    <w:rsid w:val="00A92213"/>
    <w:rsid w:val="00A9227B"/>
    <w:rsid w:val="00A92555"/>
    <w:rsid w:val="00A92640"/>
    <w:rsid w:val="00A9275A"/>
    <w:rsid w:val="00A9288F"/>
    <w:rsid w:val="00A928F7"/>
    <w:rsid w:val="00A929B8"/>
    <w:rsid w:val="00A92C1A"/>
    <w:rsid w:val="00A92DC6"/>
    <w:rsid w:val="00A932D9"/>
    <w:rsid w:val="00A93470"/>
    <w:rsid w:val="00A934B5"/>
    <w:rsid w:val="00A934B8"/>
    <w:rsid w:val="00A939BA"/>
    <w:rsid w:val="00A93A8A"/>
    <w:rsid w:val="00A93AA6"/>
    <w:rsid w:val="00A93E2E"/>
    <w:rsid w:val="00A93EC4"/>
    <w:rsid w:val="00A93F20"/>
    <w:rsid w:val="00A9401F"/>
    <w:rsid w:val="00A9408D"/>
    <w:rsid w:val="00A94100"/>
    <w:rsid w:val="00A94160"/>
    <w:rsid w:val="00A942FF"/>
    <w:rsid w:val="00A9434C"/>
    <w:rsid w:val="00A94588"/>
    <w:rsid w:val="00A94739"/>
    <w:rsid w:val="00A94962"/>
    <w:rsid w:val="00A94B18"/>
    <w:rsid w:val="00A94B79"/>
    <w:rsid w:val="00A94C4E"/>
    <w:rsid w:val="00A94FCC"/>
    <w:rsid w:val="00A951C6"/>
    <w:rsid w:val="00A952AC"/>
    <w:rsid w:val="00A95440"/>
    <w:rsid w:val="00A95524"/>
    <w:rsid w:val="00A955A3"/>
    <w:rsid w:val="00A956E8"/>
    <w:rsid w:val="00A9571F"/>
    <w:rsid w:val="00A9572D"/>
    <w:rsid w:val="00A95885"/>
    <w:rsid w:val="00A958F5"/>
    <w:rsid w:val="00A95988"/>
    <w:rsid w:val="00A959FD"/>
    <w:rsid w:val="00A95B87"/>
    <w:rsid w:val="00A95CED"/>
    <w:rsid w:val="00A95D87"/>
    <w:rsid w:val="00A95E10"/>
    <w:rsid w:val="00A95F76"/>
    <w:rsid w:val="00A961BF"/>
    <w:rsid w:val="00A964F7"/>
    <w:rsid w:val="00A96563"/>
    <w:rsid w:val="00A967EE"/>
    <w:rsid w:val="00A96845"/>
    <w:rsid w:val="00A96A3F"/>
    <w:rsid w:val="00A96CAC"/>
    <w:rsid w:val="00A96CFE"/>
    <w:rsid w:val="00A96DF7"/>
    <w:rsid w:val="00A96E89"/>
    <w:rsid w:val="00A96F27"/>
    <w:rsid w:val="00A972FE"/>
    <w:rsid w:val="00A977C4"/>
    <w:rsid w:val="00A97B74"/>
    <w:rsid w:val="00A97C9D"/>
    <w:rsid w:val="00A97D1C"/>
    <w:rsid w:val="00A97D8D"/>
    <w:rsid w:val="00AA00F5"/>
    <w:rsid w:val="00AA02C9"/>
    <w:rsid w:val="00AA03E9"/>
    <w:rsid w:val="00AA040D"/>
    <w:rsid w:val="00AA047D"/>
    <w:rsid w:val="00AA0754"/>
    <w:rsid w:val="00AA08D2"/>
    <w:rsid w:val="00AA0C48"/>
    <w:rsid w:val="00AA0D0A"/>
    <w:rsid w:val="00AA0D1E"/>
    <w:rsid w:val="00AA0DED"/>
    <w:rsid w:val="00AA0F2C"/>
    <w:rsid w:val="00AA10DE"/>
    <w:rsid w:val="00AA1159"/>
    <w:rsid w:val="00AA13B3"/>
    <w:rsid w:val="00AA1471"/>
    <w:rsid w:val="00AA17A9"/>
    <w:rsid w:val="00AA189D"/>
    <w:rsid w:val="00AA1A37"/>
    <w:rsid w:val="00AA1B92"/>
    <w:rsid w:val="00AA1C5D"/>
    <w:rsid w:val="00AA1C8D"/>
    <w:rsid w:val="00AA1E88"/>
    <w:rsid w:val="00AA20E5"/>
    <w:rsid w:val="00AA221E"/>
    <w:rsid w:val="00AA22D3"/>
    <w:rsid w:val="00AA23DE"/>
    <w:rsid w:val="00AA2503"/>
    <w:rsid w:val="00AA2722"/>
    <w:rsid w:val="00AA2783"/>
    <w:rsid w:val="00AA279C"/>
    <w:rsid w:val="00AA283B"/>
    <w:rsid w:val="00AA29B6"/>
    <w:rsid w:val="00AA2A2E"/>
    <w:rsid w:val="00AA2A9F"/>
    <w:rsid w:val="00AA2B63"/>
    <w:rsid w:val="00AA2F6F"/>
    <w:rsid w:val="00AA2FDA"/>
    <w:rsid w:val="00AA30C3"/>
    <w:rsid w:val="00AA3340"/>
    <w:rsid w:val="00AA3808"/>
    <w:rsid w:val="00AA381A"/>
    <w:rsid w:val="00AA3B0D"/>
    <w:rsid w:val="00AA3F47"/>
    <w:rsid w:val="00AA4211"/>
    <w:rsid w:val="00AA422D"/>
    <w:rsid w:val="00AA433F"/>
    <w:rsid w:val="00AA4424"/>
    <w:rsid w:val="00AA4516"/>
    <w:rsid w:val="00AA4589"/>
    <w:rsid w:val="00AA4595"/>
    <w:rsid w:val="00AA46E1"/>
    <w:rsid w:val="00AA4721"/>
    <w:rsid w:val="00AA4759"/>
    <w:rsid w:val="00AA47A8"/>
    <w:rsid w:val="00AA4803"/>
    <w:rsid w:val="00AA492F"/>
    <w:rsid w:val="00AA4D94"/>
    <w:rsid w:val="00AA5481"/>
    <w:rsid w:val="00AA5608"/>
    <w:rsid w:val="00AA56C6"/>
    <w:rsid w:val="00AA57F3"/>
    <w:rsid w:val="00AA58E9"/>
    <w:rsid w:val="00AA58F8"/>
    <w:rsid w:val="00AA5B00"/>
    <w:rsid w:val="00AA5F26"/>
    <w:rsid w:val="00AA63F4"/>
    <w:rsid w:val="00AA6779"/>
    <w:rsid w:val="00AA6827"/>
    <w:rsid w:val="00AA68AE"/>
    <w:rsid w:val="00AA68C1"/>
    <w:rsid w:val="00AA6E2C"/>
    <w:rsid w:val="00AA70A2"/>
    <w:rsid w:val="00AA70BC"/>
    <w:rsid w:val="00AA715F"/>
    <w:rsid w:val="00AA7380"/>
    <w:rsid w:val="00AA7766"/>
    <w:rsid w:val="00AA77DB"/>
    <w:rsid w:val="00AA798D"/>
    <w:rsid w:val="00AA7A1B"/>
    <w:rsid w:val="00AA7A8D"/>
    <w:rsid w:val="00AA7C23"/>
    <w:rsid w:val="00AA7EF8"/>
    <w:rsid w:val="00AA7F83"/>
    <w:rsid w:val="00AA7FE3"/>
    <w:rsid w:val="00AB0098"/>
    <w:rsid w:val="00AB01F3"/>
    <w:rsid w:val="00AB02D7"/>
    <w:rsid w:val="00AB049D"/>
    <w:rsid w:val="00AB04BF"/>
    <w:rsid w:val="00AB0544"/>
    <w:rsid w:val="00AB05D1"/>
    <w:rsid w:val="00AB065A"/>
    <w:rsid w:val="00AB0B2E"/>
    <w:rsid w:val="00AB0C5C"/>
    <w:rsid w:val="00AB0CAC"/>
    <w:rsid w:val="00AB0CBB"/>
    <w:rsid w:val="00AB0E2E"/>
    <w:rsid w:val="00AB107D"/>
    <w:rsid w:val="00AB119B"/>
    <w:rsid w:val="00AB1387"/>
    <w:rsid w:val="00AB1498"/>
    <w:rsid w:val="00AB179F"/>
    <w:rsid w:val="00AB182F"/>
    <w:rsid w:val="00AB1985"/>
    <w:rsid w:val="00AB1AF9"/>
    <w:rsid w:val="00AB1B85"/>
    <w:rsid w:val="00AB1C0A"/>
    <w:rsid w:val="00AB1DC3"/>
    <w:rsid w:val="00AB204F"/>
    <w:rsid w:val="00AB2423"/>
    <w:rsid w:val="00AB25AF"/>
    <w:rsid w:val="00AB25FD"/>
    <w:rsid w:val="00AB2761"/>
    <w:rsid w:val="00AB2769"/>
    <w:rsid w:val="00AB2988"/>
    <w:rsid w:val="00AB2CFC"/>
    <w:rsid w:val="00AB2D3D"/>
    <w:rsid w:val="00AB3201"/>
    <w:rsid w:val="00AB3262"/>
    <w:rsid w:val="00AB329C"/>
    <w:rsid w:val="00AB348B"/>
    <w:rsid w:val="00AB35CC"/>
    <w:rsid w:val="00AB36D5"/>
    <w:rsid w:val="00AB3741"/>
    <w:rsid w:val="00AB3986"/>
    <w:rsid w:val="00AB39FC"/>
    <w:rsid w:val="00AB39FF"/>
    <w:rsid w:val="00AB3A76"/>
    <w:rsid w:val="00AB3D73"/>
    <w:rsid w:val="00AB3F4B"/>
    <w:rsid w:val="00AB3F66"/>
    <w:rsid w:val="00AB40D4"/>
    <w:rsid w:val="00AB427B"/>
    <w:rsid w:val="00AB446D"/>
    <w:rsid w:val="00AB4541"/>
    <w:rsid w:val="00AB4824"/>
    <w:rsid w:val="00AB4B98"/>
    <w:rsid w:val="00AB4CE2"/>
    <w:rsid w:val="00AB4D74"/>
    <w:rsid w:val="00AB507B"/>
    <w:rsid w:val="00AB5287"/>
    <w:rsid w:val="00AB5580"/>
    <w:rsid w:val="00AB559C"/>
    <w:rsid w:val="00AB5624"/>
    <w:rsid w:val="00AB563A"/>
    <w:rsid w:val="00AB5647"/>
    <w:rsid w:val="00AB576B"/>
    <w:rsid w:val="00AB593F"/>
    <w:rsid w:val="00AB5B34"/>
    <w:rsid w:val="00AB5BBF"/>
    <w:rsid w:val="00AB5C28"/>
    <w:rsid w:val="00AB5E75"/>
    <w:rsid w:val="00AB5EB2"/>
    <w:rsid w:val="00AB6119"/>
    <w:rsid w:val="00AB626E"/>
    <w:rsid w:val="00AB63C9"/>
    <w:rsid w:val="00AB6422"/>
    <w:rsid w:val="00AB65CE"/>
    <w:rsid w:val="00AB669F"/>
    <w:rsid w:val="00AB688C"/>
    <w:rsid w:val="00AB6DC9"/>
    <w:rsid w:val="00AB6F87"/>
    <w:rsid w:val="00AB70F4"/>
    <w:rsid w:val="00AB73A9"/>
    <w:rsid w:val="00AB75A5"/>
    <w:rsid w:val="00AB760F"/>
    <w:rsid w:val="00AB7631"/>
    <w:rsid w:val="00AB7895"/>
    <w:rsid w:val="00AB7934"/>
    <w:rsid w:val="00AB7AD5"/>
    <w:rsid w:val="00AB7E13"/>
    <w:rsid w:val="00AC00B6"/>
    <w:rsid w:val="00AC0125"/>
    <w:rsid w:val="00AC02A8"/>
    <w:rsid w:val="00AC02AB"/>
    <w:rsid w:val="00AC0314"/>
    <w:rsid w:val="00AC03E5"/>
    <w:rsid w:val="00AC0543"/>
    <w:rsid w:val="00AC08B6"/>
    <w:rsid w:val="00AC0C7F"/>
    <w:rsid w:val="00AC0CAA"/>
    <w:rsid w:val="00AC0D8D"/>
    <w:rsid w:val="00AC0D9C"/>
    <w:rsid w:val="00AC0DC1"/>
    <w:rsid w:val="00AC0DDC"/>
    <w:rsid w:val="00AC109A"/>
    <w:rsid w:val="00AC121F"/>
    <w:rsid w:val="00AC1589"/>
    <w:rsid w:val="00AC19B3"/>
    <w:rsid w:val="00AC19EB"/>
    <w:rsid w:val="00AC1A02"/>
    <w:rsid w:val="00AC1B7B"/>
    <w:rsid w:val="00AC1E72"/>
    <w:rsid w:val="00AC1F7D"/>
    <w:rsid w:val="00AC2026"/>
    <w:rsid w:val="00AC2037"/>
    <w:rsid w:val="00AC21CC"/>
    <w:rsid w:val="00AC21ED"/>
    <w:rsid w:val="00AC221E"/>
    <w:rsid w:val="00AC23EF"/>
    <w:rsid w:val="00AC24D7"/>
    <w:rsid w:val="00AC274A"/>
    <w:rsid w:val="00AC286B"/>
    <w:rsid w:val="00AC2D11"/>
    <w:rsid w:val="00AC2D6E"/>
    <w:rsid w:val="00AC2E15"/>
    <w:rsid w:val="00AC2E8B"/>
    <w:rsid w:val="00AC304E"/>
    <w:rsid w:val="00AC307B"/>
    <w:rsid w:val="00AC3161"/>
    <w:rsid w:val="00AC3351"/>
    <w:rsid w:val="00AC34F6"/>
    <w:rsid w:val="00AC35EA"/>
    <w:rsid w:val="00AC389A"/>
    <w:rsid w:val="00AC38F9"/>
    <w:rsid w:val="00AC3A96"/>
    <w:rsid w:val="00AC3C66"/>
    <w:rsid w:val="00AC3C93"/>
    <w:rsid w:val="00AC3CA1"/>
    <w:rsid w:val="00AC3D08"/>
    <w:rsid w:val="00AC3E03"/>
    <w:rsid w:val="00AC3EAE"/>
    <w:rsid w:val="00AC3F8D"/>
    <w:rsid w:val="00AC4082"/>
    <w:rsid w:val="00AC40DF"/>
    <w:rsid w:val="00AC411A"/>
    <w:rsid w:val="00AC4198"/>
    <w:rsid w:val="00AC42C1"/>
    <w:rsid w:val="00AC438A"/>
    <w:rsid w:val="00AC4509"/>
    <w:rsid w:val="00AC48EF"/>
    <w:rsid w:val="00AC4966"/>
    <w:rsid w:val="00AC49AA"/>
    <w:rsid w:val="00AC4ABF"/>
    <w:rsid w:val="00AC4C86"/>
    <w:rsid w:val="00AC4DBC"/>
    <w:rsid w:val="00AC5125"/>
    <w:rsid w:val="00AC51C2"/>
    <w:rsid w:val="00AC51D8"/>
    <w:rsid w:val="00AC534A"/>
    <w:rsid w:val="00AC53C0"/>
    <w:rsid w:val="00AC54CC"/>
    <w:rsid w:val="00AC55A7"/>
    <w:rsid w:val="00AC5AB7"/>
    <w:rsid w:val="00AC5F88"/>
    <w:rsid w:val="00AC60F3"/>
    <w:rsid w:val="00AC610F"/>
    <w:rsid w:val="00AC6265"/>
    <w:rsid w:val="00AC63CA"/>
    <w:rsid w:val="00AC6499"/>
    <w:rsid w:val="00AC6502"/>
    <w:rsid w:val="00AC670A"/>
    <w:rsid w:val="00AC691F"/>
    <w:rsid w:val="00AC6AE0"/>
    <w:rsid w:val="00AC6DE4"/>
    <w:rsid w:val="00AC6E5B"/>
    <w:rsid w:val="00AC7030"/>
    <w:rsid w:val="00AC7147"/>
    <w:rsid w:val="00AC7224"/>
    <w:rsid w:val="00AC7396"/>
    <w:rsid w:val="00AC7399"/>
    <w:rsid w:val="00AC7439"/>
    <w:rsid w:val="00AC7557"/>
    <w:rsid w:val="00AC7862"/>
    <w:rsid w:val="00AC7889"/>
    <w:rsid w:val="00AC7C1C"/>
    <w:rsid w:val="00AC7CC1"/>
    <w:rsid w:val="00AC7DE7"/>
    <w:rsid w:val="00AD00AE"/>
    <w:rsid w:val="00AD0120"/>
    <w:rsid w:val="00AD0348"/>
    <w:rsid w:val="00AD04D7"/>
    <w:rsid w:val="00AD05B0"/>
    <w:rsid w:val="00AD0786"/>
    <w:rsid w:val="00AD084F"/>
    <w:rsid w:val="00AD0969"/>
    <w:rsid w:val="00AD0A85"/>
    <w:rsid w:val="00AD0C52"/>
    <w:rsid w:val="00AD0DC2"/>
    <w:rsid w:val="00AD1197"/>
    <w:rsid w:val="00AD12C6"/>
    <w:rsid w:val="00AD149D"/>
    <w:rsid w:val="00AD15F0"/>
    <w:rsid w:val="00AD168A"/>
    <w:rsid w:val="00AD177C"/>
    <w:rsid w:val="00AD184D"/>
    <w:rsid w:val="00AD18F4"/>
    <w:rsid w:val="00AD1968"/>
    <w:rsid w:val="00AD1BDF"/>
    <w:rsid w:val="00AD1F7D"/>
    <w:rsid w:val="00AD212F"/>
    <w:rsid w:val="00AD21FB"/>
    <w:rsid w:val="00AD2418"/>
    <w:rsid w:val="00AD247D"/>
    <w:rsid w:val="00AD2672"/>
    <w:rsid w:val="00AD26D1"/>
    <w:rsid w:val="00AD2790"/>
    <w:rsid w:val="00AD2798"/>
    <w:rsid w:val="00AD2AD5"/>
    <w:rsid w:val="00AD2EA5"/>
    <w:rsid w:val="00AD2F01"/>
    <w:rsid w:val="00AD31A2"/>
    <w:rsid w:val="00AD31BC"/>
    <w:rsid w:val="00AD345C"/>
    <w:rsid w:val="00AD3805"/>
    <w:rsid w:val="00AD3B94"/>
    <w:rsid w:val="00AD3C47"/>
    <w:rsid w:val="00AD3CC5"/>
    <w:rsid w:val="00AD421D"/>
    <w:rsid w:val="00AD44B0"/>
    <w:rsid w:val="00AD4511"/>
    <w:rsid w:val="00AD4527"/>
    <w:rsid w:val="00AD47F7"/>
    <w:rsid w:val="00AD4861"/>
    <w:rsid w:val="00AD492F"/>
    <w:rsid w:val="00AD4A30"/>
    <w:rsid w:val="00AD4A80"/>
    <w:rsid w:val="00AD4C3F"/>
    <w:rsid w:val="00AD4CED"/>
    <w:rsid w:val="00AD4D1E"/>
    <w:rsid w:val="00AD4D80"/>
    <w:rsid w:val="00AD4EF6"/>
    <w:rsid w:val="00AD4F47"/>
    <w:rsid w:val="00AD500A"/>
    <w:rsid w:val="00AD514C"/>
    <w:rsid w:val="00AD51F1"/>
    <w:rsid w:val="00AD52D7"/>
    <w:rsid w:val="00AD542A"/>
    <w:rsid w:val="00AD5482"/>
    <w:rsid w:val="00AD54E8"/>
    <w:rsid w:val="00AD56FC"/>
    <w:rsid w:val="00AD5910"/>
    <w:rsid w:val="00AD5A9B"/>
    <w:rsid w:val="00AD5B8D"/>
    <w:rsid w:val="00AD5DA0"/>
    <w:rsid w:val="00AD60A1"/>
    <w:rsid w:val="00AD6369"/>
    <w:rsid w:val="00AD6669"/>
    <w:rsid w:val="00AD676C"/>
    <w:rsid w:val="00AD67AE"/>
    <w:rsid w:val="00AD69A8"/>
    <w:rsid w:val="00AD6B35"/>
    <w:rsid w:val="00AD6B3C"/>
    <w:rsid w:val="00AD6F13"/>
    <w:rsid w:val="00AD70E2"/>
    <w:rsid w:val="00AD7920"/>
    <w:rsid w:val="00AD7AF1"/>
    <w:rsid w:val="00AD7B6B"/>
    <w:rsid w:val="00AD7BB5"/>
    <w:rsid w:val="00AD7BC6"/>
    <w:rsid w:val="00AD7C50"/>
    <w:rsid w:val="00AE0101"/>
    <w:rsid w:val="00AE0253"/>
    <w:rsid w:val="00AE070A"/>
    <w:rsid w:val="00AE076C"/>
    <w:rsid w:val="00AE07C3"/>
    <w:rsid w:val="00AE0879"/>
    <w:rsid w:val="00AE09B7"/>
    <w:rsid w:val="00AE0B77"/>
    <w:rsid w:val="00AE0C11"/>
    <w:rsid w:val="00AE0C73"/>
    <w:rsid w:val="00AE0CC0"/>
    <w:rsid w:val="00AE0D32"/>
    <w:rsid w:val="00AE0EFF"/>
    <w:rsid w:val="00AE0F85"/>
    <w:rsid w:val="00AE1026"/>
    <w:rsid w:val="00AE12D6"/>
    <w:rsid w:val="00AE132D"/>
    <w:rsid w:val="00AE1841"/>
    <w:rsid w:val="00AE1AF5"/>
    <w:rsid w:val="00AE1D63"/>
    <w:rsid w:val="00AE1DB1"/>
    <w:rsid w:val="00AE1F8C"/>
    <w:rsid w:val="00AE1FD4"/>
    <w:rsid w:val="00AE20DE"/>
    <w:rsid w:val="00AE2293"/>
    <w:rsid w:val="00AE22F0"/>
    <w:rsid w:val="00AE2375"/>
    <w:rsid w:val="00AE2500"/>
    <w:rsid w:val="00AE2579"/>
    <w:rsid w:val="00AE2588"/>
    <w:rsid w:val="00AE29D6"/>
    <w:rsid w:val="00AE2C7C"/>
    <w:rsid w:val="00AE2CAB"/>
    <w:rsid w:val="00AE2D3E"/>
    <w:rsid w:val="00AE2FF8"/>
    <w:rsid w:val="00AE306F"/>
    <w:rsid w:val="00AE30D6"/>
    <w:rsid w:val="00AE31F0"/>
    <w:rsid w:val="00AE33B2"/>
    <w:rsid w:val="00AE3520"/>
    <w:rsid w:val="00AE358B"/>
    <w:rsid w:val="00AE38AB"/>
    <w:rsid w:val="00AE38EC"/>
    <w:rsid w:val="00AE39C6"/>
    <w:rsid w:val="00AE3CF6"/>
    <w:rsid w:val="00AE3DDA"/>
    <w:rsid w:val="00AE3ED6"/>
    <w:rsid w:val="00AE3EE3"/>
    <w:rsid w:val="00AE4107"/>
    <w:rsid w:val="00AE41BF"/>
    <w:rsid w:val="00AE421A"/>
    <w:rsid w:val="00AE4249"/>
    <w:rsid w:val="00AE42AC"/>
    <w:rsid w:val="00AE42EE"/>
    <w:rsid w:val="00AE4370"/>
    <w:rsid w:val="00AE43F5"/>
    <w:rsid w:val="00AE47AE"/>
    <w:rsid w:val="00AE4849"/>
    <w:rsid w:val="00AE48D4"/>
    <w:rsid w:val="00AE4996"/>
    <w:rsid w:val="00AE4B65"/>
    <w:rsid w:val="00AE4B8B"/>
    <w:rsid w:val="00AE4B97"/>
    <w:rsid w:val="00AE4D16"/>
    <w:rsid w:val="00AE4DFF"/>
    <w:rsid w:val="00AE4E6C"/>
    <w:rsid w:val="00AE4F5D"/>
    <w:rsid w:val="00AE4FD8"/>
    <w:rsid w:val="00AE515A"/>
    <w:rsid w:val="00AE51AC"/>
    <w:rsid w:val="00AE53CB"/>
    <w:rsid w:val="00AE53D3"/>
    <w:rsid w:val="00AE5490"/>
    <w:rsid w:val="00AE5592"/>
    <w:rsid w:val="00AE5733"/>
    <w:rsid w:val="00AE59B9"/>
    <w:rsid w:val="00AE5B7D"/>
    <w:rsid w:val="00AE5BE8"/>
    <w:rsid w:val="00AE5CC9"/>
    <w:rsid w:val="00AE5E0C"/>
    <w:rsid w:val="00AE5E20"/>
    <w:rsid w:val="00AE60E2"/>
    <w:rsid w:val="00AE60FD"/>
    <w:rsid w:val="00AE6146"/>
    <w:rsid w:val="00AE61B4"/>
    <w:rsid w:val="00AE61C8"/>
    <w:rsid w:val="00AE63FC"/>
    <w:rsid w:val="00AE646B"/>
    <w:rsid w:val="00AE6A3C"/>
    <w:rsid w:val="00AE6D46"/>
    <w:rsid w:val="00AE7037"/>
    <w:rsid w:val="00AE7066"/>
    <w:rsid w:val="00AE7187"/>
    <w:rsid w:val="00AE72DE"/>
    <w:rsid w:val="00AE72F7"/>
    <w:rsid w:val="00AE73CC"/>
    <w:rsid w:val="00AE7550"/>
    <w:rsid w:val="00AE7652"/>
    <w:rsid w:val="00AE765E"/>
    <w:rsid w:val="00AE78F2"/>
    <w:rsid w:val="00AE7921"/>
    <w:rsid w:val="00AE7A33"/>
    <w:rsid w:val="00AF00C2"/>
    <w:rsid w:val="00AF0178"/>
    <w:rsid w:val="00AF0246"/>
    <w:rsid w:val="00AF04FB"/>
    <w:rsid w:val="00AF0890"/>
    <w:rsid w:val="00AF09FE"/>
    <w:rsid w:val="00AF0A61"/>
    <w:rsid w:val="00AF0BE6"/>
    <w:rsid w:val="00AF0CFB"/>
    <w:rsid w:val="00AF0D55"/>
    <w:rsid w:val="00AF0D61"/>
    <w:rsid w:val="00AF0E0C"/>
    <w:rsid w:val="00AF0F6E"/>
    <w:rsid w:val="00AF0F85"/>
    <w:rsid w:val="00AF10A6"/>
    <w:rsid w:val="00AF12AA"/>
    <w:rsid w:val="00AF174E"/>
    <w:rsid w:val="00AF17AE"/>
    <w:rsid w:val="00AF187F"/>
    <w:rsid w:val="00AF192D"/>
    <w:rsid w:val="00AF19C8"/>
    <w:rsid w:val="00AF1B7F"/>
    <w:rsid w:val="00AF1B8A"/>
    <w:rsid w:val="00AF204F"/>
    <w:rsid w:val="00AF2100"/>
    <w:rsid w:val="00AF2108"/>
    <w:rsid w:val="00AF223F"/>
    <w:rsid w:val="00AF270B"/>
    <w:rsid w:val="00AF294E"/>
    <w:rsid w:val="00AF2C59"/>
    <w:rsid w:val="00AF2FD1"/>
    <w:rsid w:val="00AF3066"/>
    <w:rsid w:val="00AF3190"/>
    <w:rsid w:val="00AF327F"/>
    <w:rsid w:val="00AF3398"/>
    <w:rsid w:val="00AF3636"/>
    <w:rsid w:val="00AF3656"/>
    <w:rsid w:val="00AF36A8"/>
    <w:rsid w:val="00AF37E4"/>
    <w:rsid w:val="00AF3B06"/>
    <w:rsid w:val="00AF3B80"/>
    <w:rsid w:val="00AF3C8A"/>
    <w:rsid w:val="00AF3CD0"/>
    <w:rsid w:val="00AF3D19"/>
    <w:rsid w:val="00AF4003"/>
    <w:rsid w:val="00AF415B"/>
    <w:rsid w:val="00AF4769"/>
    <w:rsid w:val="00AF47DE"/>
    <w:rsid w:val="00AF4874"/>
    <w:rsid w:val="00AF4952"/>
    <w:rsid w:val="00AF4B8D"/>
    <w:rsid w:val="00AF4BE6"/>
    <w:rsid w:val="00AF4D59"/>
    <w:rsid w:val="00AF4E92"/>
    <w:rsid w:val="00AF529C"/>
    <w:rsid w:val="00AF550A"/>
    <w:rsid w:val="00AF55B4"/>
    <w:rsid w:val="00AF56FE"/>
    <w:rsid w:val="00AF5851"/>
    <w:rsid w:val="00AF591C"/>
    <w:rsid w:val="00AF59F0"/>
    <w:rsid w:val="00AF5ABB"/>
    <w:rsid w:val="00AF5BCD"/>
    <w:rsid w:val="00AF5C8A"/>
    <w:rsid w:val="00AF5DC3"/>
    <w:rsid w:val="00AF5DE9"/>
    <w:rsid w:val="00AF5DF1"/>
    <w:rsid w:val="00AF5EE2"/>
    <w:rsid w:val="00AF615E"/>
    <w:rsid w:val="00AF631B"/>
    <w:rsid w:val="00AF6503"/>
    <w:rsid w:val="00AF6519"/>
    <w:rsid w:val="00AF667D"/>
    <w:rsid w:val="00AF67B4"/>
    <w:rsid w:val="00AF6888"/>
    <w:rsid w:val="00AF68B4"/>
    <w:rsid w:val="00AF6BE1"/>
    <w:rsid w:val="00AF6CDA"/>
    <w:rsid w:val="00AF6E31"/>
    <w:rsid w:val="00AF6FD0"/>
    <w:rsid w:val="00AF7065"/>
    <w:rsid w:val="00AF707C"/>
    <w:rsid w:val="00AF7099"/>
    <w:rsid w:val="00AF7405"/>
    <w:rsid w:val="00AF7478"/>
    <w:rsid w:val="00AF749D"/>
    <w:rsid w:val="00AF754A"/>
    <w:rsid w:val="00AF757F"/>
    <w:rsid w:val="00AF7686"/>
    <w:rsid w:val="00AF7735"/>
    <w:rsid w:val="00AF7867"/>
    <w:rsid w:val="00AF78E4"/>
    <w:rsid w:val="00AF7AF1"/>
    <w:rsid w:val="00AF7CCA"/>
    <w:rsid w:val="00AF7D27"/>
    <w:rsid w:val="00AF7D7C"/>
    <w:rsid w:val="00AF7D8D"/>
    <w:rsid w:val="00AF7EC4"/>
    <w:rsid w:val="00B0002E"/>
    <w:rsid w:val="00B004E0"/>
    <w:rsid w:val="00B0052A"/>
    <w:rsid w:val="00B0089C"/>
    <w:rsid w:val="00B00AE3"/>
    <w:rsid w:val="00B00BB6"/>
    <w:rsid w:val="00B00DB2"/>
    <w:rsid w:val="00B01194"/>
    <w:rsid w:val="00B01337"/>
    <w:rsid w:val="00B013A6"/>
    <w:rsid w:val="00B01608"/>
    <w:rsid w:val="00B017D9"/>
    <w:rsid w:val="00B018F1"/>
    <w:rsid w:val="00B01C49"/>
    <w:rsid w:val="00B01D23"/>
    <w:rsid w:val="00B01D52"/>
    <w:rsid w:val="00B022B5"/>
    <w:rsid w:val="00B025A0"/>
    <w:rsid w:val="00B02676"/>
    <w:rsid w:val="00B0280A"/>
    <w:rsid w:val="00B0299B"/>
    <w:rsid w:val="00B02F1F"/>
    <w:rsid w:val="00B03039"/>
    <w:rsid w:val="00B031E8"/>
    <w:rsid w:val="00B0330C"/>
    <w:rsid w:val="00B033BD"/>
    <w:rsid w:val="00B0349E"/>
    <w:rsid w:val="00B03876"/>
    <w:rsid w:val="00B038EA"/>
    <w:rsid w:val="00B039A8"/>
    <w:rsid w:val="00B03CEF"/>
    <w:rsid w:val="00B03EED"/>
    <w:rsid w:val="00B03F98"/>
    <w:rsid w:val="00B03FC1"/>
    <w:rsid w:val="00B04068"/>
    <w:rsid w:val="00B04269"/>
    <w:rsid w:val="00B0449C"/>
    <w:rsid w:val="00B0454E"/>
    <w:rsid w:val="00B04557"/>
    <w:rsid w:val="00B0459B"/>
    <w:rsid w:val="00B046A0"/>
    <w:rsid w:val="00B04894"/>
    <w:rsid w:val="00B04A9F"/>
    <w:rsid w:val="00B04B04"/>
    <w:rsid w:val="00B04B8B"/>
    <w:rsid w:val="00B04C34"/>
    <w:rsid w:val="00B04C92"/>
    <w:rsid w:val="00B04FA6"/>
    <w:rsid w:val="00B050C2"/>
    <w:rsid w:val="00B05403"/>
    <w:rsid w:val="00B056B9"/>
    <w:rsid w:val="00B058A3"/>
    <w:rsid w:val="00B05A0F"/>
    <w:rsid w:val="00B05E9C"/>
    <w:rsid w:val="00B06022"/>
    <w:rsid w:val="00B063FB"/>
    <w:rsid w:val="00B06487"/>
    <w:rsid w:val="00B0663B"/>
    <w:rsid w:val="00B06650"/>
    <w:rsid w:val="00B067E0"/>
    <w:rsid w:val="00B06834"/>
    <w:rsid w:val="00B06905"/>
    <w:rsid w:val="00B06A61"/>
    <w:rsid w:val="00B06CE0"/>
    <w:rsid w:val="00B06DE6"/>
    <w:rsid w:val="00B070CA"/>
    <w:rsid w:val="00B0737D"/>
    <w:rsid w:val="00B07452"/>
    <w:rsid w:val="00B07735"/>
    <w:rsid w:val="00B079B6"/>
    <w:rsid w:val="00B07A06"/>
    <w:rsid w:val="00B07A45"/>
    <w:rsid w:val="00B07B32"/>
    <w:rsid w:val="00B07BDC"/>
    <w:rsid w:val="00B07C95"/>
    <w:rsid w:val="00B07E39"/>
    <w:rsid w:val="00B100BD"/>
    <w:rsid w:val="00B10103"/>
    <w:rsid w:val="00B104DC"/>
    <w:rsid w:val="00B105BE"/>
    <w:rsid w:val="00B105D0"/>
    <w:rsid w:val="00B109C4"/>
    <w:rsid w:val="00B109EA"/>
    <w:rsid w:val="00B10B5A"/>
    <w:rsid w:val="00B10C0F"/>
    <w:rsid w:val="00B112C8"/>
    <w:rsid w:val="00B11402"/>
    <w:rsid w:val="00B114D1"/>
    <w:rsid w:val="00B11701"/>
    <w:rsid w:val="00B11804"/>
    <w:rsid w:val="00B11844"/>
    <w:rsid w:val="00B118AD"/>
    <w:rsid w:val="00B118DB"/>
    <w:rsid w:val="00B119B9"/>
    <w:rsid w:val="00B11C09"/>
    <w:rsid w:val="00B11F17"/>
    <w:rsid w:val="00B11F70"/>
    <w:rsid w:val="00B120A4"/>
    <w:rsid w:val="00B12183"/>
    <w:rsid w:val="00B12198"/>
    <w:rsid w:val="00B121FA"/>
    <w:rsid w:val="00B12406"/>
    <w:rsid w:val="00B1240F"/>
    <w:rsid w:val="00B1251F"/>
    <w:rsid w:val="00B12578"/>
    <w:rsid w:val="00B125F3"/>
    <w:rsid w:val="00B1265B"/>
    <w:rsid w:val="00B12756"/>
    <w:rsid w:val="00B127FF"/>
    <w:rsid w:val="00B12872"/>
    <w:rsid w:val="00B1290C"/>
    <w:rsid w:val="00B12B76"/>
    <w:rsid w:val="00B12B7E"/>
    <w:rsid w:val="00B12EFD"/>
    <w:rsid w:val="00B12F06"/>
    <w:rsid w:val="00B12F9F"/>
    <w:rsid w:val="00B13065"/>
    <w:rsid w:val="00B132AD"/>
    <w:rsid w:val="00B13458"/>
    <w:rsid w:val="00B1358C"/>
    <w:rsid w:val="00B13662"/>
    <w:rsid w:val="00B13664"/>
    <w:rsid w:val="00B13686"/>
    <w:rsid w:val="00B13694"/>
    <w:rsid w:val="00B13862"/>
    <w:rsid w:val="00B138EC"/>
    <w:rsid w:val="00B1394C"/>
    <w:rsid w:val="00B13967"/>
    <w:rsid w:val="00B139CA"/>
    <w:rsid w:val="00B13B9A"/>
    <w:rsid w:val="00B13BB1"/>
    <w:rsid w:val="00B13BB7"/>
    <w:rsid w:val="00B13C59"/>
    <w:rsid w:val="00B13CCA"/>
    <w:rsid w:val="00B13DC7"/>
    <w:rsid w:val="00B1404A"/>
    <w:rsid w:val="00B140C0"/>
    <w:rsid w:val="00B140D6"/>
    <w:rsid w:val="00B14177"/>
    <w:rsid w:val="00B141C1"/>
    <w:rsid w:val="00B1426D"/>
    <w:rsid w:val="00B14275"/>
    <w:rsid w:val="00B14365"/>
    <w:rsid w:val="00B14426"/>
    <w:rsid w:val="00B14619"/>
    <w:rsid w:val="00B147A6"/>
    <w:rsid w:val="00B147B8"/>
    <w:rsid w:val="00B148F8"/>
    <w:rsid w:val="00B14AB5"/>
    <w:rsid w:val="00B14B95"/>
    <w:rsid w:val="00B14D91"/>
    <w:rsid w:val="00B14DE3"/>
    <w:rsid w:val="00B14E0E"/>
    <w:rsid w:val="00B14E28"/>
    <w:rsid w:val="00B15171"/>
    <w:rsid w:val="00B15219"/>
    <w:rsid w:val="00B1534F"/>
    <w:rsid w:val="00B1540E"/>
    <w:rsid w:val="00B1591F"/>
    <w:rsid w:val="00B15C55"/>
    <w:rsid w:val="00B15D3D"/>
    <w:rsid w:val="00B160F0"/>
    <w:rsid w:val="00B160F9"/>
    <w:rsid w:val="00B16103"/>
    <w:rsid w:val="00B163F6"/>
    <w:rsid w:val="00B16545"/>
    <w:rsid w:val="00B166C7"/>
    <w:rsid w:val="00B166EF"/>
    <w:rsid w:val="00B16851"/>
    <w:rsid w:val="00B168AA"/>
    <w:rsid w:val="00B168BB"/>
    <w:rsid w:val="00B16ABC"/>
    <w:rsid w:val="00B16AFE"/>
    <w:rsid w:val="00B16BDD"/>
    <w:rsid w:val="00B170AD"/>
    <w:rsid w:val="00B17223"/>
    <w:rsid w:val="00B17446"/>
    <w:rsid w:val="00B1746D"/>
    <w:rsid w:val="00B1758B"/>
    <w:rsid w:val="00B1770A"/>
    <w:rsid w:val="00B177B0"/>
    <w:rsid w:val="00B177F6"/>
    <w:rsid w:val="00B178AF"/>
    <w:rsid w:val="00B179AE"/>
    <w:rsid w:val="00B17A6E"/>
    <w:rsid w:val="00B17A9D"/>
    <w:rsid w:val="00B17C87"/>
    <w:rsid w:val="00B17E46"/>
    <w:rsid w:val="00B17FE3"/>
    <w:rsid w:val="00B20013"/>
    <w:rsid w:val="00B2009D"/>
    <w:rsid w:val="00B202CE"/>
    <w:rsid w:val="00B20395"/>
    <w:rsid w:val="00B206C8"/>
    <w:rsid w:val="00B20808"/>
    <w:rsid w:val="00B208FA"/>
    <w:rsid w:val="00B20D36"/>
    <w:rsid w:val="00B20DF5"/>
    <w:rsid w:val="00B20E3D"/>
    <w:rsid w:val="00B2148C"/>
    <w:rsid w:val="00B215A1"/>
    <w:rsid w:val="00B21E20"/>
    <w:rsid w:val="00B21F60"/>
    <w:rsid w:val="00B22249"/>
    <w:rsid w:val="00B22395"/>
    <w:rsid w:val="00B225BA"/>
    <w:rsid w:val="00B22663"/>
    <w:rsid w:val="00B22698"/>
    <w:rsid w:val="00B227F6"/>
    <w:rsid w:val="00B2284E"/>
    <w:rsid w:val="00B228E4"/>
    <w:rsid w:val="00B2296E"/>
    <w:rsid w:val="00B229DC"/>
    <w:rsid w:val="00B22D34"/>
    <w:rsid w:val="00B22D7B"/>
    <w:rsid w:val="00B22DF3"/>
    <w:rsid w:val="00B22E3D"/>
    <w:rsid w:val="00B22F10"/>
    <w:rsid w:val="00B23009"/>
    <w:rsid w:val="00B230EF"/>
    <w:rsid w:val="00B23240"/>
    <w:rsid w:val="00B232A3"/>
    <w:rsid w:val="00B233C2"/>
    <w:rsid w:val="00B2346E"/>
    <w:rsid w:val="00B23613"/>
    <w:rsid w:val="00B237F8"/>
    <w:rsid w:val="00B239D6"/>
    <w:rsid w:val="00B239F1"/>
    <w:rsid w:val="00B23F69"/>
    <w:rsid w:val="00B24060"/>
    <w:rsid w:val="00B24090"/>
    <w:rsid w:val="00B240B7"/>
    <w:rsid w:val="00B241D2"/>
    <w:rsid w:val="00B24222"/>
    <w:rsid w:val="00B242D7"/>
    <w:rsid w:val="00B24472"/>
    <w:rsid w:val="00B24685"/>
    <w:rsid w:val="00B24799"/>
    <w:rsid w:val="00B2488F"/>
    <w:rsid w:val="00B248D3"/>
    <w:rsid w:val="00B24C8B"/>
    <w:rsid w:val="00B24DF9"/>
    <w:rsid w:val="00B24F80"/>
    <w:rsid w:val="00B25361"/>
    <w:rsid w:val="00B25819"/>
    <w:rsid w:val="00B25994"/>
    <w:rsid w:val="00B25A95"/>
    <w:rsid w:val="00B25AF6"/>
    <w:rsid w:val="00B25D33"/>
    <w:rsid w:val="00B26077"/>
    <w:rsid w:val="00B263F8"/>
    <w:rsid w:val="00B26404"/>
    <w:rsid w:val="00B26497"/>
    <w:rsid w:val="00B264C7"/>
    <w:rsid w:val="00B26653"/>
    <w:rsid w:val="00B266CB"/>
    <w:rsid w:val="00B2693F"/>
    <w:rsid w:val="00B2695A"/>
    <w:rsid w:val="00B26989"/>
    <w:rsid w:val="00B269EF"/>
    <w:rsid w:val="00B26A3C"/>
    <w:rsid w:val="00B26C14"/>
    <w:rsid w:val="00B26C6B"/>
    <w:rsid w:val="00B27364"/>
    <w:rsid w:val="00B2786E"/>
    <w:rsid w:val="00B27886"/>
    <w:rsid w:val="00B27B6B"/>
    <w:rsid w:val="00B27BAB"/>
    <w:rsid w:val="00B3006F"/>
    <w:rsid w:val="00B301DB"/>
    <w:rsid w:val="00B306B1"/>
    <w:rsid w:val="00B30A90"/>
    <w:rsid w:val="00B30B02"/>
    <w:rsid w:val="00B30BC2"/>
    <w:rsid w:val="00B30DF2"/>
    <w:rsid w:val="00B30FDC"/>
    <w:rsid w:val="00B31022"/>
    <w:rsid w:val="00B3123C"/>
    <w:rsid w:val="00B312B9"/>
    <w:rsid w:val="00B3167C"/>
    <w:rsid w:val="00B317DE"/>
    <w:rsid w:val="00B3180E"/>
    <w:rsid w:val="00B31AF7"/>
    <w:rsid w:val="00B31E92"/>
    <w:rsid w:val="00B3202D"/>
    <w:rsid w:val="00B327BC"/>
    <w:rsid w:val="00B327CC"/>
    <w:rsid w:val="00B3280C"/>
    <w:rsid w:val="00B328AC"/>
    <w:rsid w:val="00B32923"/>
    <w:rsid w:val="00B32975"/>
    <w:rsid w:val="00B32A57"/>
    <w:rsid w:val="00B32BA9"/>
    <w:rsid w:val="00B32C21"/>
    <w:rsid w:val="00B32C68"/>
    <w:rsid w:val="00B33020"/>
    <w:rsid w:val="00B33042"/>
    <w:rsid w:val="00B331AA"/>
    <w:rsid w:val="00B3355C"/>
    <w:rsid w:val="00B337A1"/>
    <w:rsid w:val="00B33D94"/>
    <w:rsid w:val="00B33E3F"/>
    <w:rsid w:val="00B33F12"/>
    <w:rsid w:val="00B340E4"/>
    <w:rsid w:val="00B34413"/>
    <w:rsid w:val="00B3446D"/>
    <w:rsid w:val="00B345F9"/>
    <w:rsid w:val="00B3475E"/>
    <w:rsid w:val="00B3478A"/>
    <w:rsid w:val="00B34992"/>
    <w:rsid w:val="00B349EB"/>
    <w:rsid w:val="00B34B26"/>
    <w:rsid w:val="00B34C0A"/>
    <w:rsid w:val="00B34C9F"/>
    <w:rsid w:val="00B34E62"/>
    <w:rsid w:val="00B34EAF"/>
    <w:rsid w:val="00B3526D"/>
    <w:rsid w:val="00B35284"/>
    <w:rsid w:val="00B354A4"/>
    <w:rsid w:val="00B355A4"/>
    <w:rsid w:val="00B358CE"/>
    <w:rsid w:val="00B358F7"/>
    <w:rsid w:val="00B35A37"/>
    <w:rsid w:val="00B35C0C"/>
    <w:rsid w:val="00B35E34"/>
    <w:rsid w:val="00B36057"/>
    <w:rsid w:val="00B360B9"/>
    <w:rsid w:val="00B360BE"/>
    <w:rsid w:val="00B361CC"/>
    <w:rsid w:val="00B36334"/>
    <w:rsid w:val="00B364A5"/>
    <w:rsid w:val="00B36530"/>
    <w:rsid w:val="00B365B5"/>
    <w:rsid w:val="00B3661C"/>
    <w:rsid w:val="00B36845"/>
    <w:rsid w:val="00B368AD"/>
    <w:rsid w:val="00B368B2"/>
    <w:rsid w:val="00B369AE"/>
    <w:rsid w:val="00B36B52"/>
    <w:rsid w:val="00B36C44"/>
    <w:rsid w:val="00B36FBB"/>
    <w:rsid w:val="00B37019"/>
    <w:rsid w:val="00B37048"/>
    <w:rsid w:val="00B37113"/>
    <w:rsid w:val="00B3723A"/>
    <w:rsid w:val="00B3763B"/>
    <w:rsid w:val="00B377AA"/>
    <w:rsid w:val="00B377F7"/>
    <w:rsid w:val="00B3795A"/>
    <w:rsid w:val="00B37B17"/>
    <w:rsid w:val="00B37D3A"/>
    <w:rsid w:val="00B37DA7"/>
    <w:rsid w:val="00B37E15"/>
    <w:rsid w:val="00B37E17"/>
    <w:rsid w:val="00B37F93"/>
    <w:rsid w:val="00B37FBD"/>
    <w:rsid w:val="00B40262"/>
    <w:rsid w:val="00B4033A"/>
    <w:rsid w:val="00B40364"/>
    <w:rsid w:val="00B40392"/>
    <w:rsid w:val="00B407F5"/>
    <w:rsid w:val="00B40A17"/>
    <w:rsid w:val="00B40D5C"/>
    <w:rsid w:val="00B40F65"/>
    <w:rsid w:val="00B41131"/>
    <w:rsid w:val="00B411A5"/>
    <w:rsid w:val="00B4123A"/>
    <w:rsid w:val="00B417FA"/>
    <w:rsid w:val="00B4186D"/>
    <w:rsid w:val="00B41C51"/>
    <w:rsid w:val="00B41D62"/>
    <w:rsid w:val="00B42058"/>
    <w:rsid w:val="00B420E7"/>
    <w:rsid w:val="00B423DD"/>
    <w:rsid w:val="00B4243C"/>
    <w:rsid w:val="00B42712"/>
    <w:rsid w:val="00B429AE"/>
    <w:rsid w:val="00B42BA6"/>
    <w:rsid w:val="00B43238"/>
    <w:rsid w:val="00B434A3"/>
    <w:rsid w:val="00B43628"/>
    <w:rsid w:val="00B43648"/>
    <w:rsid w:val="00B436B8"/>
    <w:rsid w:val="00B43A15"/>
    <w:rsid w:val="00B43BDB"/>
    <w:rsid w:val="00B43C94"/>
    <w:rsid w:val="00B43D42"/>
    <w:rsid w:val="00B43D84"/>
    <w:rsid w:val="00B43E13"/>
    <w:rsid w:val="00B43F94"/>
    <w:rsid w:val="00B43FBD"/>
    <w:rsid w:val="00B44109"/>
    <w:rsid w:val="00B44168"/>
    <w:rsid w:val="00B44289"/>
    <w:rsid w:val="00B448B7"/>
    <w:rsid w:val="00B448F8"/>
    <w:rsid w:val="00B44CCF"/>
    <w:rsid w:val="00B44DA8"/>
    <w:rsid w:val="00B44DBD"/>
    <w:rsid w:val="00B44EED"/>
    <w:rsid w:val="00B44FF6"/>
    <w:rsid w:val="00B45346"/>
    <w:rsid w:val="00B45361"/>
    <w:rsid w:val="00B453C8"/>
    <w:rsid w:val="00B45410"/>
    <w:rsid w:val="00B455EA"/>
    <w:rsid w:val="00B45804"/>
    <w:rsid w:val="00B45A48"/>
    <w:rsid w:val="00B45A59"/>
    <w:rsid w:val="00B45E3F"/>
    <w:rsid w:val="00B45F26"/>
    <w:rsid w:val="00B4602C"/>
    <w:rsid w:val="00B460BE"/>
    <w:rsid w:val="00B4641E"/>
    <w:rsid w:val="00B464E0"/>
    <w:rsid w:val="00B465B2"/>
    <w:rsid w:val="00B465DB"/>
    <w:rsid w:val="00B466DA"/>
    <w:rsid w:val="00B46E48"/>
    <w:rsid w:val="00B47151"/>
    <w:rsid w:val="00B47212"/>
    <w:rsid w:val="00B477E6"/>
    <w:rsid w:val="00B5001D"/>
    <w:rsid w:val="00B50027"/>
    <w:rsid w:val="00B500B3"/>
    <w:rsid w:val="00B50236"/>
    <w:rsid w:val="00B5049D"/>
    <w:rsid w:val="00B505DE"/>
    <w:rsid w:val="00B5095E"/>
    <w:rsid w:val="00B50A8E"/>
    <w:rsid w:val="00B50B32"/>
    <w:rsid w:val="00B50B7F"/>
    <w:rsid w:val="00B50D73"/>
    <w:rsid w:val="00B510F8"/>
    <w:rsid w:val="00B51192"/>
    <w:rsid w:val="00B511D5"/>
    <w:rsid w:val="00B5178D"/>
    <w:rsid w:val="00B519BA"/>
    <w:rsid w:val="00B51B7B"/>
    <w:rsid w:val="00B51C46"/>
    <w:rsid w:val="00B52657"/>
    <w:rsid w:val="00B52775"/>
    <w:rsid w:val="00B527AE"/>
    <w:rsid w:val="00B527E3"/>
    <w:rsid w:val="00B52AE1"/>
    <w:rsid w:val="00B52B00"/>
    <w:rsid w:val="00B52B2D"/>
    <w:rsid w:val="00B52B94"/>
    <w:rsid w:val="00B52BC8"/>
    <w:rsid w:val="00B52E8D"/>
    <w:rsid w:val="00B52FEE"/>
    <w:rsid w:val="00B530CA"/>
    <w:rsid w:val="00B530E7"/>
    <w:rsid w:val="00B53199"/>
    <w:rsid w:val="00B53418"/>
    <w:rsid w:val="00B534A8"/>
    <w:rsid w:val="00B53626"/>
    <w:rsid w:val="00B53733"/>
    <w:rsid w:val="00B53A39"/>
    <w:rsid w:val="00B53BD3"/>
    <w:rsid w:val="00B53C34"/>
    <w:rsid w:val="00B53E38"/>
    <w:rsid w:val="00B54199"/>
    <w:rsid w:val="00B54356"/>
    <w:rsid w:val="00B543EF"/>
    <w:rsid w:val="00B544A1"/>
    <w:rsid w:val="00B54616"/>
    <w:rsid w:val="00B54658"/>
    <w:rsid w:val="00B546B4"/>
    <w:rsid w:val="00B54A02"/>
    <w:rsid w:val="00B54B6F"/>
    <w:rsid w:val="00B54BEA"/>
    <w:rsid w:val="00B54CB2"/>
    <w:rsid w:val="00B54EF4"/>
    <w:rsid w:val="00B55564"/>
    <w:rsid w:val="00B55797"/>
    <w:rsid w:val="00B55934"/>
    <w:rsid w:val="00B55A5C"/>
    <w:rsid w:val="00B55AD8"/>
    <w:rsid w:val="00B55AE2"/>
    <w:rsid w:val="00B55B09"/>
    <w:rsid w:val="00B55CC0"/>
    <w:rsid w:val="00B55E2C"/>
    <w:rsid w:val="00B55E67"/>
    <w:rsid w:val="00B55EB5"/>
    <w:rsid w:val="00B55F06"/>
    <w:rsid w:val="00B56019"/>
    <w:rsid w:val="00B56250"/>
    <w:rsid w:val="00B563F2"/>
    <w:rsid w:val="00B56644"/>
    <w:rsid w:val="00B566CB"/>
    <w:rsid w:val="00B56A4E"/>
    <w:rsid w:val="00B56AC9"/>
    <w:rsid w:val="00B56C12"/>
    <w:rsid w:val="00B56C47"/>
    <w:rsid w:val="00B56E8C"/>
    <w:rsid w:val="00B56EEA"/>
    <w:rsid w:val="00B56F6F"/>
    <w:rsid w:val="00B5708A"/>
    <w:rsid w:val="00B571A8"/>
    <w:rsid w:val="00B571D2"/>
    <w:rsid w:val="00B573BA"/>
    <w:rsid w:val="00B57508"/>
    <w:rsid w:val="00B57652"/>
    <w:rsid w:val="00B577B8"/>
    <w:rsid w:val="00B57803"/>
    <w:rsid w:val="00B578F7"/>
    <w:rsid w:val="00B57F0B"/>
    <w:rsid w:val="00B57F83"/>
    <w:rsid w:val="00B600AF"/>
    <w:rsid w:val="00B6021A"/>
    <w:rsid w:val="00B602A0"/>
    <w:rsid w:val="00B602B6"/>
    <w:rsid w:val="00B60396"/>
    <w:rsid w:val="00B6057B"/>
    <w:rsid w:val="00B606DC"/>
    <w:rsid w:val="00B60C02"/>
    <w:rsid w:val="00B60C05"/>
    <w:rsid w:val="00B60CF4"/>
    <w:rsid w:val="00B60EBE"/>
    <w:rsid w:val="00B60F8A"/>
    <w:rsid w:val="00B60FB9"/>
    <w:rsid w:val="00B610B9"/>
    <w:rsid w:val="00B611C5"/>
    <w:rsid w:val="00B611F0"/>
    <w:rsid w:val="00B61837"/>
    <w:rsid w:val="00B61961"/>
    <w:rsid w:val="00B61C43"/>
    <w:rsid w:val="00B61C99"/>
    <w:rsid w:val="00B61D20"/>
    <w:rsid w:val="00B61E24"/>
    <w:rsid w:val="00B620A2"/>
    <w:rsid w:val="00B62566"/>
    <w:rsid w:val="00B625C0"/>
    <w:rsid w:val="00B627B4"/>
    <w:rsid w:val="00B62805"/>
    <w:rsid w:val="00B6284C"/>
    <w:rsid w:val="00B62A6A"/>
    <w:rsid w:val="00B63189"/>
    <w:rsid w:val="00B631EE"/>
    <w:rsid w:val="00B6322C"/>
    <w:rsid w:val="00B63384"/>
    <w:rsid w:val="00B63659"/>
    <w:rsid w:val="00B6392E"/>
    <w:rsid w:val="00B63966"/>
    <w:rsid w:val="00B63A2F"/>
    <w:rsid w:val="00B63A35"/>
    <w:rsid w:val="00B63B7B"/>
    <w:rsid w:val="00B63DEE"/>
    <w:rsid w:val="00B63F32"/>
    <w:rsid w:val="00B63F48"/>
    <w:rsid w:val="00B63F87"/>
    <w:rsid w:val="00B63F98"/>
    <w:rsid w:val="00B63FCD"/>
    <w:rsid w:val="00B640AF"/>
    <w:rsid w:val="00B640E3"/>
    <w:rsid w:val="00B640FB"/>
    <w:rsid w:val="00B64220"/>
    <w:rsid w:val="00B64250"/>
    <w:rsid w:val="00B6428C"/>
    <w:rsid w:val="00B64328"/>
    <w:rsid w:val="00B646D8"/>
    <w:rsid w:val="00B64792"/>
    <w:rsid w:val="00B64945"/>
    <w:rsid w:val="00B64CFA"/>
    <w:rsid w:val="00B64D19"/>
    <w:rsid w:val="00B64DBB"/>
    <w:rsid w:val="00B64DD9"/>
    <w:rsid w:val="00B64EAD"/>
    <w:rsid w:val="00B64F2B"/>
    <w:rsid w:val="00B650E6"/>
    <w:rsid w:val="00B65315"/>
    <w:rsid w:val="00B65369"/>
    <w:rsid w:val="00B6571C"/>
    <w:rsid w:val="00B65756"/>
    <w:rsid w:val="00B6577F"/>
    <w:rsid w:val="00B6587C"/>
    <w:rsid w:val="00B65890"/>
    <w:rsid w:val="00B65931"/>
    <w:rsid w:val="00B65AE0"/>
    <w:rsid w:val="00B65B3D"/>
    <w:rsid w:val="00B65CB5"/>
    <w:rsid w:val="00B65D0D"/>
    <w:rsid w:val="00B6635C"/>
    <w:rsid w:val="00B66478"/>
    <w:rsid w:val="00B6688D"/>
    <w:rsid w:val="00B66984"/>
    <w:rsid w:val="00B669DC"/>
    <w:rsid w:val="00B66A2B"/>
    <w:rsid w:val="00B66D9C"/>
    <w:rsid w:val="00B66EBE"/>
    <w:rsid w:val="00B66F5D"/>
    <w:rsid w:val="00B66FE4"/>
    <w:rsid w:val="00B672F6"/>
    <w:rsid w:val="00B67658"/>
    <w:rsid w:val="00B67818"/>
    <w:rsid w:val="00B67911"/>
    <w:rsid w:val="00B67CAC"/>
    <w:rsid w:val="00B67D16"/>
    <w:rsid w:val="00B67D69"/>
    <w:rsid w:val="00B67D71"/>
    <w:rsid w:val="00B67F0B"/>
    <w:rsid w:val="00B700BC"/>
    <w:rsid w:val="00B703D7"/>
    <w:rsid w:val="00B704C7"/>
    <w:rsid w:val="00B70511"/>
    <w:rsid w:val="00B706EC"/>
    <w:rsid w:val="00B708A9"/>
    <w:rsid w:val="00B708CC"/>
    <w:rsid w:val="00B70A15"/>
    <w:rsid w:val="00B70A26"/>
    <w:rsid w:val="00B70AB3"/>
    <w:rsid w:val="00B70C68"/>
    <w:rsid w:val="00B70EB3"/>
    <w:rsid w:val="00B70F68"/>
    <w:rsid w:val="00B70F99"/>
    <w:rsid w:val="00B713B5"/>
    <w:rsid w:val="00B713E7"/>
    <w:rsid w:val="00B7148D"/>
    <w:rsid w:val="00B71509"/>
    <w:rsid w:val="00B71516"/>
    <w:rsid w:val="00B71608"/>
    <w:rsid w:val="00B716C8"/>
    <w:rsid w:val="00B7179E"/>
    <w:rsid w:val="00B717BD"/>
    <w:rsid w:val="00B71DBC"/>
    <w:rsid w:val="00B71DD2"/>
    <w:rsid w:val="00B71E6B"/>
    <w:rsid w:val="00B71EE8"/>
    <w:rsid w:val="00B71F44"/>
    <w:rsid w:val="00B71F6D"/>
    <w:rsid w:val="00B7215A"/>
    <w:rsid w:val="00B72281"/>
    <w:rsid w:val="00B72332"/>
    <w:rsid w:val="00B72538"/>
    <w:rsid w:val="00B725F6"/>
    <w:rsid w:val="00B726FA"/>
    <w:rsid w:val="00B7291E"/>
    <w:rsid w:val="00B7299A"/>
    <w:rsid w:val="00B72BB5"/>
    <w:rsid w:val="00B72C3C"/>
    <w:rsid w:val="00B72E25"/>
    <w:rsid w:val="00B72EA8"/>
    <w:rsid w:val="00B730AB"/>
    <w:rsid w:val="00B73131"/>
    <w:rsid w:val="00B73161"/>
    <w:rsid w:val="00B731EB"/>
    <w:rsid w:val="00B73278"/>
    <w:rsid w:val="00B737EE"/>
    <w:rsid w:val="00B73894"/>
    <w:rsid w:val="00B738F8"/>
    <w:rsid w:val="00B739F7"/>
    <w:rsid w:val="00B73AD7"/>
    <w:rsid w:val="00B73B03"/>
    <w:rsid w:val="00B73C75"/>
    <w:rsid w:val="00B73CD5"/>
    <w:rsid w:val="00B73E97"/>
    <w:rsid w:val="00B73F57"/>
    <w:rsid w:val="00B74241"/>
    <w:rsid w:val="00B74424"/>
    <w:rsid w:val="00B744DB"/>
    <w:rsid w:val="00B7491D"/>
    <w:rsid w:val="00B74B49"/>
    <w:rsid w:val="00B74DC4"/>
    <w:rsid w:val="00B74DDD"/>
    <w:rsid w:val="00B74ED7"/>
    <w:rsid w:val="00B74F35"/>
    <w:rsid w:val="00B75048"/>
    <w:rsid w:val="00B750FD"/>
    <w:rsid w:val="00B752A6"/>
    <w:rsid w:val="00B7545F"/>
    <w:rsid w:val="00B75474"/>
    <w:rsid w:val="00B7548B"/>
    <w:rsid w:val="00B754A1"/>
    <w:rsid w:val="00B75540"/>
    <w:rsid w:val="00B757F4"/>
    <w:rsid w:val="00B75861"/>
    <w:rsid w:val="00B759B3"/>
    <w:rsid w:val="00B75DF6"/>
    <w:rsid w:val="00B75FE8"/>
    <w:rsid w:val="00B76090"/>
    <w:rsid w:val="00B76125"/>
    <w:rsid w:val="00B762C3"/>
    <w:rsid w:val="00B763B0"/>
    <w:rsid w:val="00B7642D"/>
    <w:rsid w:val="00B7643F"/>
    <w:rsid w:val="00B765AF"/>
    <w:rsid w:val="00B765F2"/>
    <w:rsid w:val="00B766AF"/>
    <w:rsid w:val="00B766BC"/>
    <w:rsid w:val="00B766C8"/>
    <w:rsid w:val="00B766E0"/>
    <w:rsid w:val="00B76719"/>
    <w:rsid w:val="00B76958"/>
    <w:rsid w:val="00B76BE1"/>
    <w:rsid w:val="00B76DF9"/>
    <w:rsid w:val="00B76FFF"/>
    <w:rsid w:val="00B7734D"/>
    <w:rsid w:val="00B77502"/>
    <w:rsid w:val="00B77587"/>
    <w:rsid w:val="00B775E5"/>
    <w:rsid w:val="00B77608"/>
    <w:rsid w:val="00B776FA"/>
    <w:rsid w:val="00B77A20"/>
    <w:rsid w:val="00B77E2A"/>
    <w:rsid w:val="00B77E6F"/>
    <w:rsid w:val="00B77EB2"/>
    <w:rsid w:val="00B77F44"/>
    <w:rsid w:val="00B8021B"/>
    <w:rsid w:val="00B80241"/>
    <w:rsid w:val="00B80403"/>
    <w:rsid w:val="00B80492"/>
    <w:rsid w:val="00B80552"/>
    <w:rsid w:val="00B8056F"/>
    <w:rsid w:val="00B80935"/>
    <w:rsid w:val="00B80CD1"/>
    <w:rsid w:val="00B811D5"/>
    <w:rsid w:val="00B81549"/>
    <w:rsid w:val="00B817AC"/>
    <w:rsid w:val="00B817FC"/>
    <w:rsid w:val="00B81837"/>
    <w:rsid w:val="00B81905"/>
    <w:rsid w:val="00B819AB"/>
    <w:rsid w:val="00B81A3A"/>
    <w:rsid w:val="00B81A74"/>
    <w:rsid w:val="00B81ACD"/>
    <w:rsid w:val="00B81AF2"/>
    <w:rsid w:val="00B81EB3"/>
    <w:rsid w:val="00B8211D"/>
    <w:rsid w:val="00B8237C"/>
    <w:rsid w:val="00B82449"/>
    <w:rsid w:val="00B8251E"/>
    <w:rsid w:val="00B82550"/>
    <w:rsid w:val="00B82584"/>
    <w:rsid w:val="00B82764"/>
    <w:rsid w:val="00B82AB2"/>
    <w:rsid w:val="00B82BCA"/>
    <w:rsid w:val="00B82C33"/>
    <w:rsid w:val="00B83010"/>
    <w:rsid w:val="00B83056"/>
    <w:rsid w:val="00B830A6"/>
    <w:rsid w:val="00B8314B"/>
    <w:rsid w:val="00B832DE"/>
    <w:rsid w:val="00B833C0"/>
    <w:rsid w:val="00B83564"/>
    <w:rsid w:val="00B83674"/>
    <w:rsid w:val="00B837DA"/>
    <w:rsid w:val="00B839D1"/>
    <w:rsid w:val="00B839D3"/>
    <w:rsid w:val="00B83B07"/>
    <w:rsid w:val="00B84191"/>
    <w:rsid w:val="00B84214"/>
    <w:rsid w:val="00B84267"/>
    <w:rsid w:val="00B842FE"/>
    <w:rsid w:val="00B843B0"/>
    <w:rsid w:val="00B844FF"/>
    <w:rsid w:val="00B84546"/>
    <w:rsid w:val="00B8483D"/>
    <w:rsid w:val="00B8498C"/>
    <w:rsid w:val="00B84B57"/>
    <w:rsid w:val="00B84BC1"/>
    <w:rsid w:val="00B84BDA"/>
    <w:rsid w:val="00B84C09"/>
    <w:rsid w:val="00B84DA9"/>
    <w:rsid w:val="00B84E5F"/>
    <w:rsid w:val="00B84EAC"/>
    <w:rsid w:val="00B84F0F"/>
    <w:rsid w:val="00B8514E"/>
    <w:rsid w:val="00B85186"/>
    <w:rsid w:val="00B851E3"/>
    <w:rsid w:val="00B8548C"/>
    <w:rsid w:val="00B85563"/>
    <w:rsid w:val="00B8556F"/>
    <w:rsid w:val="00B85609"/>
    <w:rsid w:val="00B8566D"/>
    <w:rsid w:val="00B8577D"/>
    <w:rsid w:val="00B85790"/>
    <w:rsid w:val="00B857C9"/>
    <w:rsid w:val="00B85A93"/>
    <w:rsid w:val="00B85DF7"/>
    <w:rsid w:val="00B86527"/>
    <w:rsid w:val="00B8673F"/>
    <w:rsid w:val="00B86771"/>
    <w:rsid w:val="00B867F1"/>
    <w:rsid w:val="00B86807"/>
    <w:rsid w:val="00B86852"/>
    <w:rsid w:val="00B86871"/>
    <w:rsid w:val="00B8689A"/>
    <w:rsid w:val="00B8690C"/>
    <w:rsid w:val="00B86A1A"/>
    <w:rsid w:val="00B86A77"/>
    <w:rsid w:val="00B86F47"/>
    <w:rsid w:val="00B86F89"/>
    <w:rsid w:val="00B8703E"/>
    <w:rsid w:val="00B871F1"/>
    <w:rsid w:val="00B8752D"/>
    <w:rsid w:val="00B875C8"/>
    <w:rsid w:val="00B87786"/>
    <w:rsid w:val="00B878ED"/>
    <w:rsid w:val="00B87AFE"/>
    <w:rsid w:val="00B87B58"/>
    <w:rsid w:val="00B87C0E"/>
    <w:rsid w:val="00B87C46"/>
    <w:rsid w:val="00B90024"/>
    <w:rsid w:val="00B9016F"/>
    <w:rsid w:val="00B90497"/>
    <w:rsid w:val="00B9059F"/>
    <w:rsid w:val="00B905CF"/>
    <w:rsid w:val="00B905D3"/>
    <w:rsid w:val="00B905FE"/>
    <w:rsid w:val="00B908E5"/>
    <w:rsid w:val="00B90AE4"/>
    <w:rsid w:val="00B90B30"/>
    <w:rsid w:val="00B90D89"/>
    <w:rsid w:val="00B90E46"/>
    <w:rsid w:val="00B90E5A"/>
    <w:rsid w:val="00B91211"/>
    <w:rsid w:val="00B9133D"/>
    <w:rsid w:val="00B91366"/>
    <w:rsid w:val="00B91370"/>
    <w:rsid w:val="00B91509"/>
    <w:rsid w:val="00B91625"/>
    <w:rsid w:val="00B9177F"/>
    <w:rsid w:val="00B91F6C"/>
    <w:rsid w:val="00B92000"/>
    <w:rsid w:val="00B922A1"/>
    <w:rsid w:val="00B92371"/>
    <w:rsid w:val="00B92485"/>
    <w:rsid w:val="00B926B5"/>
    <w:rsid w:val="00B926FF"/>
    <w:rsid w:val="00B92803"/>
    <w:rsid w:val="00B9284D"/>
    <w:rsid w:val="00B929FD"/>
    <w:rsid w:val="00B92C13"/>
    <w:rsid w:val="00B92C65"/>
    <w:rsid w:val="00B92CA6"/>
    <w:rsid w:val="00B92D0E"/>
    <w:rsid w:val="00B92E55"/>
    <w:rsid w:val="00B92E6E"/>
    <w:rsid w:val="00B92F08"/>
    <w:rsid w:val="00B92F0C"/>
    <w:rsid w:val="00B9333F"/>
    <w:rsid w:val="00B934DF"/>
    <w:rsid w:val="00B9370C"/>
    <w:rsid w:val="00B93710"/>
    <w:rsid w:val="00B9380C"/>
    <w:rsid w:val="00B9386C"/>
    <w:rsid w:val="00B9399C"/>
    <w:rsid w:val="00B939CE"/>
    <w:rsid w:val="00B93DC8"/>
    <w:rsid w:val="00B93DD7"/>
    <w:rsid w:val="00B93DD9"/>
    <w:rsid w:val="00B94175"/>
    <w:rsid w:val="00B9419A"/>
    <w:rsid w:val="00B942D8"/>
    <w:rsid w:val="00B9451E"/>
    <w:rsid w:val="00B94569"/>
    <w:rsid w:val="00B947C1"/>
    <w:rsid w:val="00B94A58"/>
    <w:rsid w:val="00B94C3B"/>
    <w:rsid w:val="00B95016"/>
    <w:rsid w:val="00B952B7"/>
    <w:rsid w:val="00B9585B"/>
    <w:rsid w:val="00B958A0"/>
    <w:rsid w:val="00B9594E"/>
    <w:rsid w:val="00B95A9C"/>
    <w:rsid w:val="00B95B38"/>
    <w:rsid w:val="00B95B46"/>
    <w:rsid w:val="00B95C78"/>
    <w:rsid w:val="00B95DF8"/>
    <w:rsid w:val="00B96097"/>
    <w:rsid w:val="00B96245"/>
    <w:rsid w:val="00B963A8"/>
    <w:rsid w:val="00B9640B"/>
    <w:rsid w:val="00B9657B"/>
    <w:rsid w:val="00B966CC"/>
    <w:rsid w:val="00B96847"/>
    <w:rsid w:val="00B9696B"/>
    <w:rsid w:val="00B96D22"/>
    <w:rsid w:val="00B96EEA"/>
    <w:rsid w:val="00B96F59"/>
    <w:rsid w:val="00B96FBD"/>
    <w:rsid w:val="00B96FC3"/>
    <w:rsid w:val="00B970E5"/>
    <w:rsid w:val="00B97186"/>
    <w:rsid w:val="00B97314"/>
    <w:rsid w:val="00B975E4"/>
    <w:rsid w:val="00B976E9"/>
    <w:rsid w:val="00B97702"/>
    <w:rsid w:val="00B97762"/>
    <w:rsid w:val="00B97805"/>
    <w:rsid w:val="00B9784F"/>
    <w:rsid w:val="00B9797E"/>
    <w:rsid w:val="00B97C4E"/>
    <w:rsid w:val="00B97C8D"/>
    <w:rsid w:val="00B97E1A"/>
    <w:rsid w:val="00B97E80"/>
    <w:rsid w:val="00BA0010"/>
    <w:rsid w:val="00BA03A7"/>
    <w:rsid w:val="00BA04BB"/>
    <w:rsid w:val="00BA0591"/>
    <w:rsid w:val="00BA06BB"/>
    <w:rsid w:val="00BA06FD"/>
    <w:rsid w:val="00BA077F"/>
    <w:rsid w:val="00BA07CF"/>
    <w:rsid w:val="00BA09F0"/>
    <w:rsid w:val="00BA09FF"/>
    <w:rsid w:val="00BA0B93"/>
    <w:rsid w:val="00BA0CA4"/>
    <w:rsid w:val="00BA0CB9"/>
    <w:rsid w:val="00BA0DEB"/>
    <w:rsid w:val="00BA0E46"/>
    <w:rsid w:val="00BA1134"/>
    <w:rsid w:val="00BA12F1"/>
    <w:rsid w:val="00BA13D6"/>
    <w:rsid w:val="00BA1420"/>
    <w:rsid w:val="00BA1446"/>
    <w:rsid w:val="00BA14F6"/>
    <w:rsid w:val="00BA1753"/>
    <w:rsid w:val="00BA1756"/>
    <w:rsid w:val="00BA1B5B"/>
    <w:rsid w:val="00BA1BD3"/>
    <w:rsid w:val="00BA1D53"/>
    <w:rsid w:val="00BA1D8A"/>
    <w:rsid w:val="00BA208A"/>
    <w:rsid w:val="00BA212E"/>
    <w:rsid w:val="00BA25B3"/>
    <w:rsid w:val="00BA25BE"/>
    <w:rsid w:val="00BA288C"/>
    <w:rsid w:val="00BA28B2"/>
    <w:rsid w:val="00BA28B4"/>
    <w:rsid w:val="00BA297D"/>
    <w:rsid w:val="00BA2A5B"/>
    <w:rsid w:val="00BA2B5D"/>
    <w:rsid w:val="00BA2D66"/>
    <w:rsid w:val="00BA2DE1"/>
    <w:rsid w:val="00BA2E80"/>
    <w:rsid w:val="00BA305B"/>
    <w:rsid w:val="00BA32F0"/>
    <w:rsid w:val="00BA3608"/>
    <w:rsid w:val="00BA3799"/>
    <w:rsid w:val="00BA3C10"/>
    <w:rsid w:val="00BA3FBA"/>
    <w:rsid w:val="00BA4100"/>
    <w:rsid w:val="00BA4375"/>
    <w:rsid w:val="00BA44CC"/>
    <w:rsid w:val="00BA452D"/>
    <w:rsid w:val="00BA4549"/>
    <w:rsid w:val="00BA4646"/>
    <w:rsid w:val="00BA4711"/>
    <w:rsid w:val="00BA482F"/>
    <w:rsid w:val="00BA4879"/>
    <w:rsid w:val="00BA4C8E"/>
    <w:rsid w:val="00BA4D3C"/>
    <w:rsid w:val="00BA4EE0"/>
    <w:rsid w:val="00BA4F62"/>
    <w:rsid w:val="00BA4FD4"/>
    <w:rsid w:val="00BA51D1"/>
    <w:rsid w:val="00BA5250"/>
    <w:rsid w:val="00BA5368"/>
    <w:rsid w:val="00BA5411"/>
    <w:rsid w:val="00BA5743"/>
    <w:rsid w:val="00BA57F8"/>
    <w:rsid w:val="00BA5963"/>
    <w:rsid w:val="00BA5999"/>
    <w:rsid w:val="00BA59C4"/>
    <w:rsid w:val="00BA5D66"/>
    <w:rsid w:val="00BA5E8E"/>
    <w:rsid w:val="00BA62D8"/>
    <w:rsid w:val="00BA6304"/>
    <w:rsid w:val="00BA649B"/>
    <w:rsid w:val="00BA652C"/>
    <w:rsid w:val="00BA6809"/>
    <w:rsid w:val="00BA681E"/>
    <w:rsid w:val="00BA68D2"/>
    <w:rsid w:val="00BA6A5C"/>
    <w:rsid w:val="00BA6BC7"/>
    <w:rsid w:val="00BA6C94"/>
    <w:rsid w:val="00BA70FE"/>
    <w:rsid w:val="00BA7109"/>
    <w:rsid w:val="00BA7557"/>
    <w:rsid w:val="00BA7579"/>
    <w:rsid w:val="00BA768B"/>
    <w:rsid w:val="00BA76CC"/>
    <w:rsid w:val="00BA784F"/>
    <w:rsid w:val="00BA7902"/>
    <w:rsid w:val="00BA7B63"/>
    <w:rsid w:val="00BA7C3D"/>
    <w:rsid w:val="00BA7F94"/>
    <w:rsid w:val="00BB0034"/>
    <w:rsid w:val="00BB0042"/>
    <w:rsid w:val="00BB032F"/>
    <w:rsid w:val="00BB06AA"/>
    <w:rsid w:val="00BB0726"/>
    <w:rsid w:val="00BB0ABA"/>
    <w:rsid w:val="00BB0D7A"/>
    <w:rsid w:val="00BB0E20"/>
    <w:rsid w:val="00BB0EB6"/>
    <w:rsid w:val="00BB0F4F"/>
    <w:rsid w:val="00BB103B"/>
    <w:rsid w:val="00BB1323"/>
    <w:rsid w:val="00BB1401"/>
    <w:rsid w:val="00BB143F"/>
    <w:rsid w:val="00BB16F4"/>
    <w:rsid w:val="00BB1863"/>
    <w:rsid w:val="00BB1A90"/>
    <w:rsid w:val="00BB1B97"/>
    <w:rsid w:val="00BB1D0F"/>
    <w:rsid w:val="00BB1F6F"/>
    <w:rsid w:val="00BB202C"/>
    <w:rsid w:val="00BB215C"/>
    <w:rsid w:val="00BB25DC"/>
    <w:rsid w:val="00BB29D8"/>
    <w:rsid w:val="00BB2B0B"/>
    <w:rsid w:val="00BB2F6C"/>
    <w:rsid w:val="00BB3136"/>
    <w:rsid w:val="00BB321A"/>
    <w:rsid w:val="00BB331E"/>
    <w:rsid w:val="00BB33D1"/>
    <w:rsid w:val="00BB3544"/>
    <w:rsid w:val="00BB35C1"/>
    <w:rsid w:val="00BB362A"/>
    <w:rsid w:val="00BB3668"/>
    <w:rsid w:val="00BB37C4"/>
    <w:rsid w:val="00BB388D"/>
    <w:rsid w:val="00BB3ABC"/>
    <w:rsid w:val="00BB3C32"/>
    <w:rsid w:val="00BB3CEF"/>
    <w:rsid w:val="00BB3ED7"/>
    <w:rsid w:val="00BB3FEB"/>
    <w:rsid w:val="00BB40A4"/>
    <w:rsid w:val="00BB4301"/>
    <w:rsid w:val="00BB4A52"/>
    <w:rsid w:val="00BB4D01"/>
    <w:rsid w:val="00BB4D31"/>
    <w:rsid w:val="00BB4DB1"/>
    <w:rsid w:val="00BB4F3D"/>
    <w:rsid w:val="00BB4F88"/>
    <w:rsid w:val="00BB4FCF"/>
    <w:rsid w:val="00BB5126"/>
    <w:rsid w:val="00BB515A"/>
    <w:rsid w:val="00BB51EF"/>
    <w:rsid w:val="00BB54DB"/>
    <w:rsid w:val="00BB5669"/>
    <w:rsid w:val="00BB58D9"/>
    <w:rsid w:val="00BB5B53"/>
    <w:rsid w:val="00BB5CC1"/>
    <w:rsid w:val="00BB5F2F"/>
    <w:rsid w:val="00BB60F3"/>
    <w:rsid w:val="00BB619D"/>
    <w:rsid w:val="00BB63D7"/>
    <w:rsid w:val="00BB63FB"/>
    <w:rsid w:val="00BB6558"/>
    <w:rsid w:val="00BB6730"/>
    <w:rsid w:val="00BB6A2C"/>
    <w:rsid w:val="00BB6B12"/>
    <w:rsid w:val="00BB6BCD"/>
    <w:rsid w:val="00BB6D32"/>
    <w:rsid w:val="00BB6DDB"/>
    <w:rsid w:val="00BB6E09"/>
    <w:rsid w:val="00BB703F"/>
    <w:rsid w:val="00BB72BF"/>
    <w:rsid w:val="00BB72D0"/>
    <w:rsid w:val="00BB72DB"/>
    <w:rsid w:val="00BB7433"/>
    <w:rsid w:val="00BB7A56"/>
    <w:rsid w:val="00BB7AE6"/>
    <w:rsid w:val="00BB7B5C"/>
    <w:rsid w:val="00BB7D8E"/>
    <w:rsid w:val="00BC0003"/>
    <w:rsid w:val="00BC00EF"/>
    <w:rsid w:val="00BC0120"/>
    <w:rsid w:val="00BC06F6"/>
    <w:rsid w:val="00BC0701"/>
    <w:rsid w:val="00BC070B"/>
    <w:rsid w:val="00BC0C31"/>
    <w:rsid w:val="00BC0DFA"/>
    <w:rsid w:val="00BC0E84"/>
    <w:rsid w:val="00BC0EEA"/>
    <w:rsid w:val="00BC134A"/>
    <w:rsid w:val="00BC13A9"/>
    <w:rsid w:val="00BC18FF"/>
    <w:rsid w:val="00BC1DF6"/>
    <w:rsid w:val="00BC1F28"/>
    <w:rsid w:val="00BC21EB"/>
    <w:rsid w:val="00BC279F"/>
    <w:rsid w:val="00BC27A0"/>
    <w:rsid w:val="00BC2885"/>
    <w:rsid w:val="00BC28DB"/>
    <w:rsid w:val="00BC2981"/>
    <w:rsid w:val="00BC29E0"/>
    <w:rsid w:val="00BC2AC8"/>
    <w:rsid w:val="00BC2BC2"/>
    <w:rsid w:val="00BC2C54"/>
    <w:rsid w:val="00BC2CD2"/>
    <w:rsid w:val="00BC2F94"/>
    <w:rsid w:val="00BC3093"/>
    <w:rsid w:val="00BC31FD"/>
    <w:rsid w:val="00BC322E"/>
    <w:rsid w:val="00BC325D"/>
    <w:rsid w:val="00BC326A"/>
    <w:rsid w:val="00BC351B"/>
    <w:rsid w:val="00BC3967"/>
    <w:rsid w:val="00BC3995"/>
    <w:rsid w:val="00BC3B7F"/>
    <w:rsid w:val="00BC3CF5"/>
    <w:rsid w:val="00BC3D67"/>
    <w:rsid w:val="00BC3E7E"/>
    <w:rsid w:val="00BC3F36"/>
    <w:rsid w:val="00BC4174"/>
    <w:rsid w:val="00BC41EC"/>
    <w:rsid w:val="00BC43B9"/>
    <w:rsid w:val="00BC450F"/>
    <w:rsid w:val="00BC4739"/>
    <w:rsid w:val="00BC48E4"/>
    <w:rsid w:val="00BC49C1"/>
    <w:rsid w:val="00BC49D3"/>
    <w:rsid w:val="00BC4A1B"/>
    <w:rsid w:val="00BC4CBE"/>
    <w:rsid w:val="00BC52E4"/>
    <w:rsid w:val="00BC52E8"/>
    <w:rsid w:val="00BC55C4"/>
    <w:rsid w:val="00BC57A4"/>
    <w:rsid w:val="00BC5811"/>
    <w:rsid w:val="00BC584A"/>
    <w:rsid w:val="00BC5982"/>
    <w:rsid w:val="00BC5B37"/>
    <w:rsid w:val="00BC5BCE"/>
    <w:rsid w:val="00BC5CD6"/>
    <w:rsid w:val="00BC5F48"/>
    <w:rsid w:val="00BC60C8"/>
    <w:rsid w:val="00BC6597"/>
    <w:rsid w:val="00BC6794"/>
    <w:rsid w:val="00BC6890"/>
    <w:rsid w:val="00BC6CBE"/>
    <w:rsid w:val="00BC6D73"/>
    <w:rsid w:val="00BC6DC2"/>
    <w:rsid w:val="00BC6E66"/>
    <w:rsid w:val="00BC6EBC"/>
    <w:rsid w:val="00BC6FA0"/>
    <w:rsid w:val="00BC6FDF"/>
    <w:rsid w:val="00BC75A2"/>
    <w:rsid w:val="00BC7660"/>
    <w:rsid w:val="00BC791D"/>
    <w:rsid w:val="00BC7942"/>
    <w:rsid w:val="00BC7963"/>
    <w:rsid w:val="00BC7AB1"/>
    <w:rsid w:val="00BC7CE2"/>
    <w:rsid w:val="00BC7EE2"/>
    <w:rsid w:val="00BC7EF2"/>
    <w:rsid w:val="00BC7F01"/>
    <w:rsid w:val="00BC7F47"/>
    <w:rsid w:val="00BD0160"/>
    <w:rsid w:val="00BD0161"/>
    <w:rsid w:val="00BD06D7"/>
    <w:rsid w:val="00BD08CF"/>
    <w:rsid w:val="00BD09BC"/>
    <w:rsid w:val="00BD0A62"/>
    <w:rsid w:val="00BD0AAA"/>
    <w:rsid w:val="00BD0B96"/>
    <w:rsid w:val="00BD0D2D"/>
    <w:rsid w:val="00BD10F1"/>
    <w:rsid w:val="00BD1243"/>
    <w:rsid w:val="00BD13D0"/>
    <w:rsid w:val="00BD1446"/>
    <w:rsid w:val="00BD1581"/>
    <w:rsid w:val="00BD1682"/>
    <w:rsid w:val="00BD1794"/>
    <w:rsid w:val="00BD1A70"/>
    <w:rsid w:val="00BD1BB9"/>
    <w:rsid w:val="00BD1C71"/>
    <w:rsid w:val="00BD1CEB"/>
    <w:rsid w:val="00BD1EBA"/>
    <w:rsid w:val="00BD1F8D"/>
    <w:rsid w:val="00BD2035"/>
    <w:rsid w:val="00BD20F0"/>
    <w:rsid w:val="00BD237A"/>
    <w:rsid w:val="00BD23AB"/>
    <w:rsid w:val="00BD2479"/>
    <w:rsid w:val="00BD2860"/>
    <w:rsid w:val="00BD2AD9"/>
    <w:rsid w:val="00BD2C4D"/>
    <w:rsid w:val="00BD2CBE"/>
    <w:rsid w:val="00BD2CE9"/>
    <w:rsid w:val="00BD2E87"/>
    <w:rsid w:val="00BD3222"/>
    <w:rsid w:val="00BD322F"/>
    <w:rsid w:val="00BD354D"/>
    <w:rsid w:val="00BD39EC"/>
    <w:rsid w:val="00BD3A62"/>
    <w:rsid w:val="00BD3C05"/>
    <w:rsid w:val="00BD3E16"/>
    <w:rsid w:val="00BD3E61"/>
    <w:rsid w:val="00BD44EC"/>
    <w:rsid w:val="00BD4583"/>
    <w:rsid w:val="00BD4799"/>
    <w:rsid w:val="00BD47F0"/>
    <w:rsid w:val="00BD48EA"/>
    <w:rsid w:val="00BD4909"/>
    <w:rsid w:val="00BD4A53"/>
    <w:rsid w:val="00BD4B66"/>
    <w:rsid w:val="00BD4B75"/>
    <w:rsid w:val="00BD4B76"/>
    <w:rsid w:val="00BD4BC2"/>
    <w:rsid w:val="00BD51AE"/>
    <w:rsid w:val="00BD52E1"/>
    <w:rsid w:val="00BD5352"/>
    <w:rsid w:val="00BD535D"/>
    <w:rsid w:val="00BD537C"/>
    <w:rsid w:val="00BD55DD"/>
    <w:rsid w:val="00BD5C19"/>
    <w:rsid w:val="00BD5E69"/>
    <w:rsid w:val="00BD5F22"/>
    <w:rsid w:val="00BD6172"/>
    <w:rsid w:val="00BD6337"/>
    <w:rsid w:val="00BD65F2"/>
    <w:rsid w:val="00BD6605"/>
    <w:rsid w:val="00BD6ABA"/>
    <w:rsid w:val="00BD6B35"/>
    <w:rsid w:val="00BD6BD4"/>
    <w:rsid w:val="00BD6D41"/>
    <w:rsid w:val="00BD6DA5"/>
    <w:rsid w:val="00BD6E3A"/>
    <w:rsid w:val="00BD7182"/>
    <w:rsid w:val="00BD71FF"/>
    <w:rsid w:val="00BD7472"/>
    <w:rsid w:val="00BD77A6"/>
    <w:rsid w:val="00BD785C"/>
    <w:rsid w:val="00BD78F7"/>
    <w:rsid w:val="00BD7A87"/>
    <w:rsid w:val="00BD7F34"/>
    <w:rsid w:val="00BE00A1"/>
    <w:rsid w:val="00BE0270"/>
    <w:rsid w:val="00BE03C3"/>
    <w:rsid w:val="00BE0542"/>
    <w:rsid w:val="00BE08CF"/>
    <w:rsid w:val="00BE095F"/>
    <w:rsid w:val="00BE0A22"/>
    <w:rsid w:val="00BE0A2A"/>
    <w:rsid w:val="00BE0A2F"/>
    <w:rsid w:val="00BE0A99"/>
    <w:rsid w:val="00BE0BF3"/>
    <w:rsid w:val="00BE0D78"/>
    <w:rsid w:val="00BE0DAA"/>
    <w:rsid w:val="00BE117D"/>
    <w:rsid w:val="00BE1372"/>
    <w:rsid w:val="00BE15AB"/>
    <w:rsid w:val="00BE15AD"/>
    <w:rsid w:val="00BE1752"/>
    <w:rsid w:val="00BE1770"/>
    <w:rsid w:val="00BE1A1C"/>
    <w:rsid w:val="00BE1AB9"/>
    <w:rsid w:val="00BE1CD5"/>
    <w:rsid w:val="00BE1E75"/>
    <w:rsid w:val="00BE1EBE"/>
    <w:rsid w:val="00BE220B"/>
    <w:rsid w:val="00BE26AF"/>
    <w:rsid w:val="00BE2818"/>
    <w:rsid w:val="00BE290C"/>
    <w:rsid w:val="00BE2C45"/>
    <w:rsid w:val="00BE2D70"/>
    <w:rsid w:val="00BE2F90"/>
    <w:rsid w:val="00BE3039"/>
    <w:rsid w:val="00BE303C"/>
    <w:rsid w:val="00BE3097"/>
    <w:rsid w:val="00BE30CE"/>
    <w:rsid w:val="00BE3199"/>
    <w:rsid w:val="00BE31B0"/>
    <w:rsid w:val="00BE33E2"/>
    <w:rsid w:val="00BE35F0"/>
    <w:rsid w:val="00BE3676"/>
    <w:rsid w:val="00BE3702"/>
    <w:rsid w:val="00BE3854"/>
    <w:rsid w:val="00BE386B"/>
    <w:rsid w:val="00BE3936"/>
    <w:rsid w:val="00BE39D4"/>
    <w:rsid w:val="00BE3F6B"/>
    <w:rsid w:val="00BE410B"/>
    <w:rsid w:val="00BE4133"/>
    <w:rsid w:val="00BE415A"/>
    <w:rsid w:val="00BE41F4"/>
    <w:rsid w:val="00BE4519"/>
    <w:rsid w:val="00BE4548"/>
    <w:rsid w:val="00BE477D"/>
    <w:rsid w:val="00BE48CA"/>
    <w:rsid w:val="00BE4959"/>
    <w:rsid w:val="00BE4AEF"/>
    <w:rsid w:val="00BE4B0A"/>
    <w:rsid w:val="00BE4DB4"/>
    <w:rsid w:val="00BE4E2D"/>
    <w:rsid w:val="00BE4E34"/>
    <w:rsid w:val="00BE4F76"/>
    <w:rsid w:val="00BE5055"/>
    <w:rsid w:val="00BE50DE"/>
    <w:rsid w:val="00BE5119"/>
    <w:rsid w:val="00BE5280"/>
    <w:rsid w:val="00BE5283"/>
    <w:rsid w:val="00BE5325"/>
    <w:rsid w:val="00BE55CC"/>
    <w:rsid w:val="00BE5685"/>
    <w:rsid w:val="00BE5907"/>
    <w:rsid w:val="00BE59F0"/>
    <w:rsid w:val="00BE5BF0"/>
    <w:rsid w:val="00BE5C9E"/>
    <w:rsid w:val="00BE5EE0"/>
    <w:rsid w:val="00BE61D6"/>
    <w:rsid w:val="00BE6333"/>
    <w:rsid w:val="00BE643B"/>
    <w:rsid w:val="00BE65C6"/>
    <w:rsid w:val="00BE6654"/>
    <w:rsid w:val="00BE6831"/>
    <w:rsid w:val="00BE6860"/>
    <w:rsid w:val="00BE68BC"/>
    <w:rsid w:val="00BE69AF"/>
    <w:rsid w:val="00BE6BBC"/>
    <w:rsid w:val="00BE6C54"/>
    <w:rsid w:val="00BE6CF8"/>
    <w:rsid w:val="00BE6D0E"/>
    <w:rsid w:val="00BE6D8B"/>
    <w:rsid w:val="00BE6DBC"/>
    <w:rsid w:val="00BE6E29"/>
    <w:rsid w:val="00BE70EC"/>
    <w:rsid w:val="00BE71F4"/>
    <w:rsid w:val="00BE729F"/>
    <w:rsid w:val="00BE7666"/>
    <w:rsid w:val="00BE76C6"/>
    <w:rsid w:val="00BE78AA"/>
    <w:rsid w:val="00BE798D"/>
    <w:rsid w:val="00BE7A4D"/>
    <w:rsid w:val="00BE7BAB"/>
    <w:rsid w:val="00BE7CA5"/>
    <w:rsid w:val="00BE7D21"/>
    <w:rsid w:val="00BE7DA9"/>
    <w:rsid w:val="00BE7E3A"/>
    <w:rsid w:val="00BE7EE7"/>
    <w:rsid w:val="00BE7FB7"/>
    <w:rsid w:val="00BF0009"/>
    <w:rsid w:val="00BF0080"/>
    <w:rsid w:val="00BF0107"/>
    <w:rsid w:val="00BF0275"/>
    <w:rsid w:val="00BF069E"/>
    <w:rsid w:val="00BF07C0"/>
    <w:rsid w:val="00BF0A9C"/>
    <w:rsid w:val="00BF0B3A"/>
    <w:rsid w:val="00BF0BD9"/>
    <w:rsid w:val="00BF0F35"/>
    <w:rsid w:val="00BF0F8F"/>
    <w:rsid w:val="00BF1038"/>
    <w:rsid w:val="00BF111B"/>
    <w:rsid w:val="00BF1242"/>
    <w:rsid w:val="00BF130B"/>
    <w:rsid w:val="00BF14E6"/>
    <w:rsid w:val="00BF1655"/>
    <w:rsid w:val="00BF16DB"/>
    <w:rsid w:val="00BF185D"/>
    <w:rsid w:val="00BF1885"/>
    <w:rsid w:val="00BF19ED"/>
    <w:rsid w:val="00BF1A92"/>
    <w:rsid w:val="00BF1F8D"/>
    <w:rsid w:val="00BF2111"/>
    <w:rsid w:val="00BF233E"/>
    <w:rsid w:val="00BF236A"/>
    <w:rsid w:val="00BF252B"/>
    <w:rsid w:val="00BF253D"/>
    <w:rsid w:val="00BF2783"/>
    <w:rsid w:val="00BF2906"/>
    <w:rsid w:val="00BF29BB"/>
    <w:rsid w:val="00BF2A72"/>
    <w:rsid w:val="00BF2A79"/>
    <w:rsid w:val="00BF2B20"/>
    <w:rsid w:val="00BF2BD5"/>
    <w:rsid w:val="00BF2CB8"/>
    <w:rsid w:val="00BF2CD2"/>
    <w:rsid w:val="00BF2D0F"/>
    <w:rsid w:val="00BF2D1B"/>
    <w:rsid w:val="00BF3131"/>
    <w:rsid w:val="00BF3319"/>
    <w:rsid w:val="00BF3497"/>
    <w:rsid w:val="00BF3868"/>
    <w:rsid w:val="00BF3882"/>
    <w:rsid w:val="00BF3A5F"/>
    <w:rsid w:val="00BF3CFA"/>
    <w:rsid w:val="00BF3D3A"/>
    <w:rsid w:val="00BF3E34"/>
    <w:rsid w:val="00BF3F81"/>
    <w:rsid w:val="00BF3FEB"/>
    <w:rsid w:val="00BF4063"/>
    <w:rsid w:val="00BF449C"/>
    <w:rsid w:val="00BF46F1"/>
    <w:rsid w:val="00BF4798"/>
    <w:rsid w:val="00BF47D9"/>
    <w:rsid w:val="00BF4A93"/>
    <w:rsid w:val="00BF4AB4"/>
    <w:rsid w:val="00BF4DED"/>
    <w:rsid w:val="00BF4E61"/>
    <w:rsid w:val="00BF5428"/>
    <w:rsid w:val="00BF55A5"/>
    <w:rsid w:val="00BF5825"/>
    <w:rsid w:val="00BF5C64"/>
    <w:rsid w:val="00BF5C6D"/>
    <w:rsid w:val="00BF5C77"/>
    <w:rsid w:val="00BF5F8C"/>
    <w:rsid w:val="00BF61BB"/>
    <w:rsid w:val="00BF62ED"/>
    <w:rsid w:val="00BF62F9"/>
    <w:rsid w:val="00BF6375"/>
    <w:rsid w:val="00BF65CD"/>
    <w:rsid w:val="00BF68E3"/>
    <w:rsid w:val="00BF69BE"/>
    <w:rsid w:val="00BF6AA0"/>
    <w:rsid w:val="00BF6C08"/>
    <w:rsid w:val="00BF6C8C"/>
    <w:rsid w:val="00BF6E3C"/>
    <w:rsid w:val="00BF7130"/>
    <w:rsid w:val="00BF73E1"/>
    <w:rsid w:val="00BF73E3"/>
    <w:rsid w:val="00BF7790"/>
    <w:rsid w:val="00BF783F"/>
    <w:rsid w:val="00BF78E5"/>
    <w:rsid w:val="00BF7A08"/>
    <w:rsid w:val="00BF7C61"/>
    <w:rsid w:val="00BF7E71"/>
    <w:rsid w:val="00C00208"/>
    <w:rsid w:val="00C002DF"/>
    <w:rsid w:val="00C002EC"/>
    <w:rsid w:val="00C003C3"/>
    <w:rsid w:val="00C0064E"/>
    <w:rsid w:val="00C00682"/>
    <w:rsid w:val="00C0080C"/>
    <w:rsid w:val="00C0083B"/>
    <w:rsid w:val="00C008EB"/>
    <w:rsid w:val="00C008F5"/>
    <w:rsid w:val="00C00A1C"/>
    <w:rsid w:val="00C00B20"/>
    <w:rsid w:val="00C00C23"/>
    <w:rsid w:val="00C00C6A"/>
    <w:rsid w:val="00C00CA1"/>
    <w:rsid w:val="00C00DA4"/>
    <w:rsid w:val="00C0170B"/>
    <w:rsid w:val="00C01731"/>
    <w:rsid w:val="00C01848"/>
    <w:rsid w:val="00C0192A"/>
    <w:rsid w:val="00C01EBD"/>
    <w:rsid w:val="00C01FF7"/>
    <w:rsid w:val="00C02132"/>
    <w:rsid w:val="00C02383"/>
    <w:rsid w:val="00C0305C"/>
    <w:rsid w:val="00C033FA"/>
    <w:rsid w:val="00C03829"/>
    <w:rsid w:val="00C038AA"/>
    <w:rsid w:val="00C03901"/>
    <w:rsid w:val="00C03A52"/>
    <w:rsid w:val="00C03B05"/>
    <w:rsid w:val="00C03B7A"/>
    <w:rsid w:val="00C03CFB"/>
    <w:rsid w:val="00C03EC8"/>
    <w:rsid w:val="00C03F96"/>
    <w:rsid w:val="00C040E2"/>
    <w:rsid w:val="00C04757"/>
    <w:rsid w:val="00C04ACF"/>
    <w:rsid w:val="00C04D0D"/>
    <w:rsid w:val="00C04EC8"/>
    <w:rsid w:val="00C05209"/>
    <w:rsid w:val="00C0526C"/>
    <w:rsid w:val="00C052CE"/>
    <w:rsid w:val="00C053D7"/>
    <w:rsid w:val="00C0550E"/>
    <w:rsid w:val="00C05663"/>
    <w:rsid w:val="00C056DC"/>
    <w:rsid w:val="00C057CA"/>
    <w:rsid w:val="00C057FF"/>
    <w:rsid w:val="00C0580D"/>
    <w:rsid w:val="00C05964"/>
    <w:rsid w:val="00C059EA"/>
    <w:rsid w:val="00C05AA3"/>
    <w:rsid w:val="00C05AAA"/>
    <w:rsid w:val="00C05B92"/>
    <w:rsid w:val="00C05C07"/>
    <w:rsid w:val="00C06115"/>
    <w:rsid w:val="00C06201"/>
    <w:rsid w:val="00C063F0"/>
    <w:rsid w:val="00C06464"/>
    <w:rsid w:val="00C06B8D"/>
    <w:rsid w:val="00C06CD1"/>
    <w:rsid w:val="00C06D90"/>
    <w:rsid w:val="00C06ED8"/>
    <w:rsid w:val="00C06EFD"/>
    <w:rsid w:val="00C0770E"/>
    <w:rsid w:val="00C07795"/>
    <w:rsid w:val="00C0787E"/>
    <w:rsid w:val="00C078A1"/>
    <w:rsid w:val="00C078D2"/>
    <w:rsid w:val="00C07999"/>
    <w:rsid w:val="00C07C21"/>
    <w:rsid w:val="00C07CDF"/>
    <w:rsid w:val="00C07EE9"/>
    <w:rsid w:val="00C07F9A"/>
    <w:rsid w:val="00C10244"/>
    <w:rsid w:val="00C1054A"/>
    <w:rsid w:val="00C10729"/>
    <w:rsid w:val="00C1090A"/>
    <w:rsid w:val="00C10ADA"/>
    <w:rsid w:val="00C111AB"/>
    <w:rsid w:val="00C111EF"/>
    <w:rsid w:val="00C1145D"/>
    <w:rsid w:val="00C114E1"/>
    <w:rsid w:val="00C11643"/>
    <w:rsid w:val="00C116D3"/>
    <w:rsid w:val="00C11B98"/>
    <w:rsid w:val="00C11BBF"/>
    <w:rsid w:val="00C11BDB"/>
    <w:rsid w:val="00C11C4F"/>
    <w:rsid w:val="00C11C8B"/>
    <w:rsid w:val="00C11DA8"/>
    <w:rsid w:val="00C11DE6"/>
    <w:rsid w:val="00C120C4"/>
    <w:rsid w:val="00C120E1"/>
    <w:rsid w:val="00C1230B"/>
    <w:rsid w:val="00C1247B"/>
    <w:rsid w:val="00C12591"/>
    <w:rsid w:val="00C12622"/>
    <w:rsid w:val="00C1274F"/>
    <w:rsid w:val="00C1283E"/>
    <w:rsid w:val="00C12845"/>
    <w:rsid w:val="00C12975"/>
    <w:rsid w:val="00C129B6"/>
    <w:rsid w:val="00C12A38"/>
    <w:rsid w:val="00C12A99"/>
    <w:rsid w:val="00C12BDF"/>
    <w:rsid w:val="00C12D9D"/>
    <w:rsid w:val="00C12F5E"/>
    <w:rsid w:val="00C1323F"/>
    <w:rsid w:val="00C133BD"/>
    <w:rsid w:val="00C1355F"/>
    <w:rsid w:val="00C1359B"/>
    <w:rsid w:val="00C135F4"/>
    <w:rsid w:val="00C13649"/>
    <w:rsid w:val="00C13843"/>
    <w:rsid w:val="00C13863"/>
    <w:rsid w:val="00C13A58"/>
    <w:rsid w:val="00C13A5E"/>
    <w:rsid w:val="00C13BBC"/>
    <w:rsid w:val="00C13FDC"/>
    <w:rsid w:val="00C141E2"/>
    <w:rsid w:val="00C143BD"/>
    <w:rsid w:val="00C14833"/>
    <w:rsid w:val="00C14997"/>
    <w:rsid w:val="00C14B8E"/>
    <w:rsid w:val="00C14BC3"/>
    <w:rsid w:val="00C14E3F"/>
    <w:rsid w:val="00C1503E"/>
    <w:rsid w:val="00C1506A"/>
    <w:rsid w:val="00C15242"/>
    <w:rsid w:val="00C1526B"/>
    <w:rsid w:val="00C152F8"/>
    <w:rsid w:val="00C153A5"/>
    <w:rsid w:val="00C153A6"/>
    <w:rsid w:val="00C153E2"/>
    <w:rsid w:val="00C15445"/>
    <w:rsid w:val="00C15535"/>
    <w:rsid w:val="00C15609"/>
    <w:rsid w:val="00C158E9"/>
    <w:rsid w:val="00C15956"/>
    <w:rsid w:val="00C15960"/>
    <w:rsid w:val="00C15A72"/>
    <w:rsid w:val="00C15B9E"/>
    <w:rsid w:val="00C15C3D"/>
    <w:rsid w:val="00C15D21"/>
    <w:rsid w:val="00C15D30"/>
    <w:rsid w:val="00C15D8E"/>
    <w:rsid w:val="00C16679"/>
    <w:rsid w:val="00C16C2A"/>
    <w:rsid w:val="00C16CE7"/>
    <w:rsid w:val="00C16F03"/>
    <w:rsid w:val="00C1700A"/>
    <w:rsid w:val="00C1705E"/>
    <w:rsid w:val="00C170DD"/>
    <w:rsid w:val="00C1752F"/>
    <w:rsid w:val="00C17622"/>
    <w:rsid w:val="00C176A5"/>
    <w:rsid w:val="00C1775A"/>
    <w:rsid w:val="00C1779E"/>
    <w:rsid w:val="00C17AA9"/>
    <w:rsid w:val="00C17BF5"/>
    <w:rsid w:val="00C17CC3"/>
    <w:rsid w:val="00C17F10"/>
    <w:rsid w:val="00C20099"/>
    <w:rsid w:val="00C2016B"/>
    <w:rsid w:val="00C201A4"/>
    <w:rsid w:val="00C201D6"/>
    <w:rsid w:val="00C2020C"/>
    <w:rsid w:val="00C20296"/>
    <w:rsid w:val="00C202A8"/>
    <w:rsid w:val="00C2037A"/>
    <w:rsid w:val="00C2050F"/>
    <w:rsid w:val="00C207E9"/>
    <w:rsid w:val="00C2081A"/>
    <w:rsid w:val="00C2086D"/>
    <w:rsid w:val="00C20A4E"/>
    <w:rsid w:val="00C20A7C"/>
    <w:rsid w:val="00C20D6D"/>
    <w:rsid w:val="00C20F67"/>
    <w:rsid w:val="00C2103E"/>
    <w:rsid w:val="00C21308"/>
    <w:rsid w:val="00C21588"/>
    <w:rsid w:val="00C215FE"/>
    <w:rsid w:val="00C21636"/>
    <w:rsid w:val="00C217A4"/>
    <w:rsid w:val="00C2188C"/>
    <w:rsid w:val="00C2189D"/>
    <w:rsid w:val="00C21939"/>
    <w:rsid w:val="00C21AAF"/>
    <w:rsid w:val="00C21E6A"/>
    <w:rsid w:val="00C21EF6"/>
    <w:rsid w:val="00C21F06"/>
    <w:rsid w:val="00C21FD9"/>
    <w:rsid w:val="00C22171"/>
    <w:rsid w:val="00C221C8"/>
    <w:rsid w:val="00C2235D"/>
    <w:rsid w:val="00C2240D"/>
    <w:rsid w:val="00C2259F"/>
    <w:rsid w:val="00C225A5"/>
    <w:rsid w:val="00C22981"/>
    <w:rsid w:val="00C22B30"/>
    <w:rsid w:val="00C22D64"/>
    <w:rsid w:val="00C22FAB"/>
    <w:rsid w:val="00C22FC4"/>
    <w:rsid w:val="00C23081"/>
    <w:rsid w:val="00C23097"/>
    <w:rsid w:val="00C230D3"/>
    <w:rsid w:val="00C23109"/>
    <w:rsid w:val="00C2315F"/>
    <w:rsid w:val="00C231A3"/>
    <w:rsid w:val="00C232E4"/>
    <w:rsid w:val="00C2333A"/>
    <w:rsid w:val="00C23388"/>
    <w:rsid w:val="00C234BE"/>
    <w:rsid w:val="00C23684"/>
    <w:rsid w:val="00C237E4"/>
    <w:rsid w:val="00C2388F"/>
    <w:rsid w:val="00C239C5"/>
    <w:rsid w:val="00C23D6C"/>
    <w:rsid w:val="00C23D7B"/>
    <w:rsid w:val="00C23D9C"/>
    <w:rsid w:val="00C23FB0"/>
    <w:rsid w:val="00C23FE3"/>
    <w:rsid w:val="00C24080"/>
    <w:rsid w:val="00C24100"/>
    <w:rsid w:val="00C24242"/>
    <w:rsid w:val="00C24418"/>
    <w:rsid w:val="00C2460C"/>
    <w:rsid w:val="00C246E4"/>
    <w:rsid w:val="00C24843"/>
    <w:rsid w:val="00C24852"/>
    <w:rsid w:val="00C24AAD"/>
    <w:rsid w:val="00C24AFA"/>
    <w:rsid w:val="00C24C2B"/>
    <w:rsid w:val="00C24D90"/>
    <w:rsid w:val="00C24F6D"/>
    <w:rsid w:val="00C251D2"/>
    <w:rsid w:val="00C251F1"/>
    <w:rsid w:val="00C255E9"/>
    <w:rsid w:val="00C256CB"/>
    <w:rsid w:val="00C2572B"/>
    <w:rsid w:val="00C25880"/>
    <w:rsid w:val="00C25A15"/>
    <w:rsid w:val="00C25B38"/>
    <w:rsid w:val="00C25BBD"/>
    <w:rsid w:val="00C25CD7"/>
    <w:rsid w:val="00C25E13"/>
    <w:rsid w:val="00C25F45"/>
    <w:rsid w:val="00C26029"/>
    <w:rsid w:val="00C264E5"/>
    <w:rsid w:val="00C2650C"/>
    <w:rsid w:val="00C265C9"/>
    <w:rsid w:val="00C26703"/>
    <w:rsid w:val="00C26834"/>
    <w:rsid w:val="00C2684F"/>
    <w:rsid w:val="00C26AD8"/>
    <w:rsid w:val="00C26D4B"/>
    <w:rsid w:val="00C26F0A"/>
    <w:rsid w:val="00C27073"/>
    <w:rsid w:val="00C27324"/>
    <w:rsid w:val="00C27453"/>
    <w:rsid w:val="00C2745B"/>
    <w:rsid w:val="00C275B0"/>
    <w:rsid w:val="00C27623"/>
    <w:rsid w:val="00C27725"/>
    <w:rsid w:val="00C2788A"/>
    <w:rsid w:val="00C27A3B"/>
    <w:rsid w:val="00C27ADD"/>
    <w:rsid w:val="00C27AF7"/>
    <w:rsid w:val="00C27B87"/>
    <w:rsid w:val="00C27BCD"/>
    <w:rsid w:val="00C27DE1"/>
    <w:rsid w:val="00C30159"/>
    <w:rsid w:val="00C301BA"/>
    <w:rsid w:val="00C304B5"/>
    <w:rsid w:val="00C3087F"/>
    <w:rsid w:val="00C309D2"/>
    <w:rsid w:val="00C30A1E"/>
    <w:rsid w:val="00C30CD3"/>
    <w:rsid w:val="00C30CF7"/>
    <w:rsid w:val="00C30D7A"/>
    <w:rsid w:val="00C30D82"/>
    <w:rsid w:val="00C30DCE"/>
    <w:rsid w:val="00C30DDD"/>
    <w:rsid w:val="00C30E9A"/>
    <w:rsid w:val="00C30EBD"/>
    <w:rsid w:val="00C30F96"/>
    <w:rsid w:val="00C30FF1"/>
    <w:rsid w:val="00C3101F"/>
    <w:rsid w:val="00C3150E"/>
    <w:rsid w:val="00C3182F"/>
    <w:rsid w:val="00C3184F"/>
    <w:rsid w:val="00C31B6B"/>
    <w:rsid w:val="00C31C0C"/>
    <w:rsid w:val="00C31C7B"/>
    <w:rsid w:val="00C31CA9"/>
    <w:rsid w:val="00C31DB0"/>
    <w:rsid w:val="00C31E5B"/>
    <w:rsid w:val="00C31F44"/>
    <w:rsid w:val="00C323B1"/>
    <w:rsid w:val="00C3259E"/>
    <w:rsid w:val="00C3293D"/>
    <w:rsid w:val="00C32A46"/>
    <w:rsid w:val="00C32A58"/>
    <w:rsid w:val="00C32A72"/>
    <w:rsid w:val="00C32C98"/>
    <w:rsid w:val="00C32D13"/>
    <w:rsid w:val="00C32ED1"/>
    <w:rsid w:val="00C330CC"/>
    <w:rsid w:val="00C332FB"/>
    <w:rsid w:val="00C3335A"/>
    <w:rsid w:val="00C33576"/>
    <w:rsid w:val="00C3359F"/>
    <w:rsid w:val="00C33735"/>
    <w:rsid w:val="00C33906"/>
    <w:rsid w:val="00C339D3"/>
    <w:rsid w:val="00C33A26"/>
    <w:rsid w:val="00C33B7D"/>
    <w:rsid w:val="00C33C00"/>
    <w:rsid w:val="00C33C27"/>
    <w:rsid w:val="00C33F2C"/>
    <w:rsid w:val="00C34062"/>
    <w:rsid w:val="00C34116"/>
    <w:rsid w:val="00C34149"/>
    <w:rsid w:val="00C3422F"/>
    <w:rsid w:val="00C34903"/>
    <w:rsid w:val="00C3495A"/>
    <w:rsid w:val="00C34C74"/>
    <w:rsid w:val="00C34CF0"/>
    <w:rsid w:val="00C34ECB"/>
    <w:rsid w:val="00C3534C"/>
    <w:rsid w:val="00C356B2"/>
    <w:rsid w:val="00C357CF"/>
    <w:rsid w:val="00C35A1F"/>
    <w:rsid w:val="00C35DE8"/>
    <w:rsid w:val="00C35F15"/>
    <w:rsid w:val="00C35F65"/>
    <w:rsid w:val="00C3605D"/>
    <w:rsid w:val="00C36294"/>
    <w:rsid w:val="00C362FB"/>
    <w:rsid w:val="00C36344"/>
    <w:rsid w:val="00C363DC"/>
    <w:rsid w:val="00C36419"/>
    <w:rsid w:val="00C365CB"/>
    <w:rsid w:val="00C365FE"/>
    <w:rsid w:val="00C36869"/>
    <w:rsid w:val="00C369D9"/>
    <w:rsid w:val="00C36BEF"/>
    <w:rsid w:val="00C36C2A"/>
    <w:rsid w:val="00C36C2C"/>
    <w:rsid w:val="00C36CD5"/>
    <w:rsid w:val="00C36D06"/>
    <w:rsid w:val="00C36D9F"/>
    <w:rsid w:val="00C36DE8"/>
    <w:rsid w:val="00C36DF5"/>
    <w:rsid w:val="00C36E9A"/>
    <w:rsid w:val="00C37136"/>
    <w:rsid w:val="00C37165"/>
    <w:rsid w:val="00C37221"/>
    <w:rsid w:val="00C3734D"/>
    <w:rsid w:val="00C374B6"/>
    <w:rsid w:val="00C376F2"/>
    <w:rsid w:val="00C377B6"/>
    <w:rsid w:val="00C378E4"/>
    <w:rsid w:val="00C37D67"/>
    <w:rsid w:val="00C37D6C"/>
    <w:rsid w:val="00C37E6A"/>
    <w:rsid w:val="00C4000D"/>
    <w:rsid w:val="00C4056A"/>
    <w:rsid w:val="00C40704"/>
    <w:rsid w:val="00C4090A"/>
    <w:rsid w:val="00C40A53"/>
    <w:rsid w:val="00C40AA2"/>
    <w:rsid w:val="00C40D28"/>
    <w:rsid w:val="00C40D9F"/>
    <w:rsid w:val="00C40E42"/>
    <w:rsid w:val="00C40F7B"/>
    <w:rsid w:val="00C41012"/>
    <w:rsid w:val="00C4108B"/>
    <w:rsid w:val="00C410DD"/>
    <w:rsid w:val="00C410F0"/>
    <w:rsid w:val="00C41114"/>
    <w:rsid w:val="00C41115"/>
    <w:rsid w:val="00C41146"/>
    <w:rsid w:val="00C4136C"/>
    <w:rsid w:val="00C413A7"/>
    <w:rsid w:val="00C417AF"/>
    <w:rsid w:val="00C41CAD"/>
    <w:rsid w:val="00C41DCF"/>
    <w:rsid w:val="00C42122"/>
    <w:rsid w:val="00C4229D"/>
    <w:rsid w:val="00C422CF"/>
    <w:rsid w:val="00C4230A"/>
    <w:rsid w:val="00C426D2"/>
    <w:rsid w:val="00C428C2"/>
    <w:rsid w:val="00C42992"/>
    <w:rsid w:val="00C42BEB"/>
    <w:rsid w:val="00C42CD5"/>
    <w:rsid w:val="00C42E3F"/>
    <w:rsid w:val="00C42EFB"/>
    <w:rsid w:val="00C42F97"/>
    <w:rsid w:val="00C4368B"/>
    <w:rsid w:val="00C438AE"/>
    <w:rsid w:val="00C43C76"/>
    <w:rsid w:val="00C43DC7"/>
    <w:rsid w:val="00C44020"/>
    <w:rsid w:val="00C440D7"/>
    <w:rsid w:val="00C44135"/>
    <w:rsid w:val="00C441F6"/>
    <w:rsid w:val="00C44413"/>
    <w:rsid w:val="00C445A6"/>
    <w:rsid w:val="00C44B8C"/>
    <w:rsid w:val="00C44CC0"/>
    <w:rsid w:val="00C44D64"/>
    <w:rsid w:val="00C44DEE"/>
    <w:rsid w:val="00C44DFA"/>
    <w:rsid w:val="00C44E63"/>
    <w:rsid w:val="00C44E7B"/>
    <w:rsid w:val="00C44EC8"/>
    <w:rsid w:val="00C44F71"/>
    <w:rsid w:val="00C454ED"/>
    <w:rsid w:val="00C45517"/>
    <w:rsid w:val="00C45582"/>
    <w:rsid w:val="00C459DD"/>
    <w:rsid w:val="00C45A5A"/>
    <w:rsid w:val="00C45A62"/>
    <w:rsid w:val="00C45B67"/>
    <w:rsid w:val="00C45D34"/>
    <w:rsid w:val="00C45D7C"/>
    <w:rsid w:val="00C45D8F"/>
    <w:rsid w:val="00C45EB1"/>
    <w:rsid w:val="00C46190"/>
    <w:rsid w:val="00C46228"/>
    <w:rsid w:val="00C462DB"/>
    <w:rsid w:val="00C462E1"/>
    <w:rsid w:val="00C46311"/>
    <w:rsid w:val="00C4645C"/>
    <w:rsid w:val="00C464D9"/>
    <w:rsid w:val="00C4675E"/>
    <w:rsid w:val="00C46766"/>
    <w:rsid w:val="00C467D0"/>
    <w:rsid w:val="00C4688A"/>
    <w:rsid w:val="00C468F3"/>
    <w:rsid w:val="00C4696A"/>
    <w:rsid w:val="00C46A65"/>
    <w:rsid w:val="00C46D72"/>
    <w:rsid w:val="00C46EB4"/>
    <w:rsid w:val="00C47043"/>
    <w:rsid w:val="00C4707F"/>
    <w:rsid w:val="00C473D1"/>
    <w:rsid w:val="00C47450"/>
    <w:rsid w:val="00C4763B"/>
    <w:rsid w:val="00C47719"/>
    <w:rsid w:val="00C477BE"/>
    <w:rsid w:val="00C4796E"/>
    <w:rsid w:val="00C479D5"/>
    <w:rsid w:val="00C47BE7"/>
    <w:rsid w:val="00C47D4F"/>
    <w:rsid w:val="00C47EA1"/>
    <w:rsid w:val="00C47F03"/>
    <w:rsid w:val="00C47FCA"/>
    <w:rsid w:val="00C47FD0"/>
    <w:rsid w:val="00C500F7"/>
    <w:rsid w:val="00C5040F"/>
    <w:rsid w:val="00C50458"/>
    <w:rsid w:val="00C50614"/>
    <w:rsid w:val="00C507BF"/>
    <w:rsid w:val="00C50A97"/>
    <w:rsid w:val="00C50AEB"/>
    <w:rsid w:val="00C50EB6"/>
    <w:rsid w:val="00C50F9E"/>
    <w:rsid w:val="00C512FE"/>
    <w:rsid w:val="00C51444"/>
    <w:rsid w:val="00C51546"/>
    <w:rsid w:val="00C515AF"/>
    <w:rsid w:val="00C51881"/>
    <w:rsid w:val="00C518DA"/>
    <w:rsid w:val="00C51AAE"/>
    <w:rsid w:val="00C51AC3"/>
    <w:rsid w:val="00C51AF8"/>
    <w:rsid w:val="00C51FA2"/>
    <w:rsid w:val="00C520BB"/>
    <w:rsid w:val="00C521F7"/>
    <w:rsid w:val="00C52236"/>
    <w:rsid w:val="00C522A2"/>
    <w:rsid w:val="00C523A7"/>
    <w:rsid w:val="00C52517"/>
    <w:rsid w:val="00C5264C"/>
    <w:rsid w:val="00C52812"/>
    <w:rsid w:val="00C52813"/>
    <w:rsid w:val="00C528E0"/>
    <w:rsid w:val="00C52B3C"/>
    <w:rsid w:val="00C52BD5"/>
    <w:rsid w:val="00C52D79"/>
    <w:rsid w:val="00C52E46"/>
    <w:rsid w:val="00C52EDE"/>
    <w:rsid w:val="00C53040"/>
    <w:rsid w:val="00C5310F"/>
    <w:rsid w:val="00C5313F"/>
    <w:rsid w:val="00C5322B"/>
    <w:rsid w:val="00C53318"/>
    <w:rsid w:val="00C5331B"/>
    <w:rsid w:val="00C53725"/>
    <w:rsid w:val="00C53747"/>
    <w:rsid w:val="00C53964"/>
    <w:rsid w:val="00C53A94"/>
    <w:rsid w:val="00C53ACC"/>
    <w:rsid w:val="00C53BD0"/>
    <w:rsid w:val="00C53D0E"/>
    <w:rsid w:val="00C53D7F"/>
    <w:rsid w:val="00C53DF1"/>
    <w:rsid w:val="00C53F62"/>
    <w:rsid w:val="00C5416C"/>
    <w:rsid w:val="00C541CF"/>
    <w:rsid w:val="00C542C5"/>
    <w:rsid w:val="00C544B6"/>
    <w:rsid w:val="00C5455B"/>
    <w:rsid w:val="00C5461B"/>
    <w:rsid w:val="00C54678"/>
    <w:rsid w:val="00C5485E"/>
    <w:rsid w:val="00C54884"/>
    <w:rsid w:val="00C54AF2"/>
    <w:rsid w:val="00C54B0B"/>
    <w:rsid w:val="00C54CE4"/>
    <w:rsid w:val="00C54E29"/>
    <w:rsid w:val="00C55224"/>
    <w:rsid w:val="00C55237"/>
    <w:rsid w:val="00C55313"/>
    <w:rsid w:val="00C5558E"/>
    <w:rsid w:val="00C55639"/>
    <w:rsid w:val="00C559DD"/>
    <w:rsid w:val="00C55A4B"/>
    <w:rsid w:val="00C55C70"/>
    <w:rsid w:val="00C55CB5"/>
    <w:rsid w:val="00C55F42"/>
    <w:rsid w:val="00C56165"/>
    <w:rsid w:val="00C561D3"/>
    <w:rsid w:val="00C56603"/>
    <w:rsid w:val="00C56848"/>
    <w:rsid w:val="00C569FD"/>
    <w:rsid w:val="00C56C3C"/>
    <w:rsid w:val="00C56CBF"/>
    <w:rsid w:val="00C56DAA"/>
    <w:rsid w:val="00C56DC1"/>
    <w:rsid w:val="00C56F41"/>
    <w:rsid w:val="00C56F45"/>
    <w:rsid w:val="00C56FB6"/>
    <w:rsid w:val="00C572A8"/>
    <w:rsid w:val="00C573E8"/>
    <w:rsid w:val="00C575DB"/>
    <w:rsid w:val="00C57B10"/>
    <w:rsid w:val="00C57B52"/>
    <w:rsid w:val="00C57C7D"/>
    <w:rsid w:val="00C57E9E"/>
    <w:rsid w:val="00C6004B"/>
    <w:rsid w:val="00C60384"/>
    <w:rsid w:val="00C603A1"/>
    <w:rsid w:val="00C604FF"/>
    <w:rsid w:val="00C60687"/>
    <w:rsid w:val="00C607ED"/>
    <w:rsid w:val="00C609FA"/>
    <w:rsid w:val="00C60B1B"/>
    <w:rsid w:val="00C60DAB"/>
    <w:rsid w:val="00C611DE"/>
    <w:rsid w:val="00C61214"/>
    <w:rsid w:val="00C61277"/>
    <w:rsid w:val="00C61491"/>
    <w:rsid w:val="00C614E2"/>
    <w:rsid w:val="00C615D1"/>
    <w:rsid w:val="00C6160F"/>
    <w:rsid w:val="00C616C1"/>
    <w:rsid w:val="00C6185B"/>
    <w:rsid w:val="00C61A84"/>
    <w:rsid w:val="00C61BD4"/>
    <w:rsid w:val="00C61CDF"/>
    <w:rsid w:val="00C61D6F"/>
    <w:rsid w:val="00C61D93"/>
    <w:rsid w:val="00C61E3B"/>
    <w:rsid w:val="00C61E8B"/>
    <w:rsid w:val="00C62036"/>
    <w:rsid w:val="00C6219C"/>
    <w:rsid w:val="00C62201"/>
    <w:rsid w:val="00C622F5"/>
    <w:rsid w:val="00C6232E"/>
    <w:rsid w:val="00C62578"/>
    <w:rsid w:val="00C62631"/>
    <w:rsid w:val="00C62BD9"/>
    <w:rsid w:val="00C63108"/>
    <w:rsid w:val="00C63846"/>
    <w:rsid w:val="00C63D0D"/>
    <w:rsid w:val="00C63EFC"/>
    <w:rsid w:val="00C640FB"/>
    <w:rsid w:val="00C6431C"/>
    <w:rsid w:val="00C64391"/>
    <w:rsid w:val="00C64626"/>
    <w:rsid w:val="00C64659"/>
    <w:rsid w:val="00C64663"/>
    <w:rsid w:val="00C64A9A"/>
    <w:rsid w:val="00C64C71"/>
    <w:rsid w:val="00C64D4C"/>
    <w:rsid w:val="00C64E03"/>
    <w:rsid w:val="00C64FCC"/>
    <w:rsid w:val="00C651DC"/>
    <w:rsid w:val="00C651F8"/>
    <w:rsid w:val="00C6521A"/>
    <w:rsid w:val="00C652B5"/>
    <w:rsid w:val="00C654A3"/>
    <w:rsid w:val="00C657B2"/>
    <w:rsid w:val="00C6586D"/>
    <w:rsid w:val="00C65DE3"/>
    <w:rsid w:val="00C65E0C"/>
    <w:rsid w:val="00C65E19"/>
    <w:rsid w:val="00C65E58"/>
    <w:rsid w:val="00C65F13"/>
    <w:rsid w:val="00C65F9C"/>
    <w:rsid w:val="00C6640E"/>
    <w:rsid w:val="00C66461"/>
    <w:rsid w:val="00C66772"/>
    <w:rsid w:val="00C667A7"/>
    <w:rsid w:val="00C66832"/>
    <w:rsid w:val="00C6689E"/>
    <w:rsid w:val="00C669B6"/>
    <w:rsid w:val="00C66C35"/>
    <w:rsid w:val="00C66DC6"/>
    <w:rsid w:val="00C6705A"/>
    <w:rsid w:val="00C670E5"/>
    <w:rsid w:val="00C67149"/>
    <w:rsid w:val="00C6732C"/>
    <w:rsid w:val="00C67388"/>
    <w:rsid w:val="00C6738F"/>
    <w:rsid w:val="00C6739B"/>
    <w:rsid w:val="00C676B3"/>
    <w:rsid w:val="00C677B4"/>
    <w:rsid w:val="00C677F0"/>
    <w:rsid w:val="00C67831"/>
    <w:rsid w:val="00C678AB"/>
    <w:rsid w:val="00C67D88"/>
    <w:rsid w:val="00C67D9A"/>
    <w:rsid w:val="00C67E5C"/>
    <w:rsid w:val="00C67F63"/>
    <w:rsid w:val="00C70012"/>
    <w:rsid w:val="00C703E3"/>
    <w:rsid w:val="00C70497"/>
    <w:rsid w:val="00C704EE"/>
    <w:rsid w:val="00C70729"/>
    <w:rsid w:val="00C70971"/>
    <w:rsid w:val="00C70B95"/>
    <w:rsid w:val="00C70C4B"/>
    <w:rsid w:val="00C70D6B"/>
    <w:rsid w:val="00C7100D"/>
    <w:rsid w:val="00C71021"/>
    <w:rsid w:val="00C711EF"/>
    <w:rsid w:val="00C71278"/>
    <w:rsid w:val="00C7127F"/>
    <w:rsid w:val="00C71347"/>
    <w:rsid w:val="00C71740"/>
    <w:rsid w:val="00C7185F"/>
    <w:rsid w:val="00C718AE"/>
    <w:rsid w:val="00C7221E"/>
    <w:rsid w:val="00C7230E"/>
    <w:rsid w:val="00C72311"/>
    <w:rsid w:val="00C72438"/>
    <w:rsid w:val="00C7276D"/>
    <w:rsid w:val="00C72847"/>
    <w:rsid w:val="00C729BB"/>
    <w:rsid w:val="00C72A74"/>
    <w:rsid w:val="00C72C6D"/>
    <w:rsid w:val="00C72CA2"/>
    <w:rsid w:val="00C72D09"/>
    <w:rsid w:val="00C72D48"/>
    <w:rsid w:val="00C731C3"/>
    <w:rsid w:val="00C7328C"/>
    <w:rsid w:val="00C733A3"/>
    <w:rsid w:val="00C734CB"/>
    <w:rsid w:val="00C734FB"/>
    <w:rsid w:val="00C73732"/>
    <w:rsid w:val="00C73B65"/>
    <w:rsid w:val="00C73BB9"/>
    <w:rsid w:val="00C73CFF"/>
    <w:rsid w:val="00C73D3D"/>
    <w:rsid w:val="00C73EF4"/>
    <w:rsid w:val="00C73F21"/>
    <w:rsid w:val="00C7454E"/>
    <w:rsid w:val="00C7455E"/>
    <w:rsid w:val="00C746C1"/>
    <w:rsid w:val="00C74755"/>
    <w:rsid w:val="00C7499D"/>
    <w:rsid w:val="00C74B53"/>
    <w:rsid w:val="00C74C48"/>
    <w:rsid w:val="00C74D65"/>
    <w:rsid w:val="00C74F15"/>
    <w:rsid w:val="00C74FC4"/>
    <w:rsid w:val="00C7500B"/>
    <w:rsid w:val="00C753F0"/>
    <w:rsid w:val="00C757CA"/>
    <w:rsid w:val="00C758FE"/>
    <w:rsid w:val="00C75A10"/>
    <w:rsid w:val="00C75B89"/>
    <w:rsid w:val="00C75DB0"/>
    <w:rsid w:val="00C75F9B"/>
    <w:rsid w:val="00C7604B"/>
    <w:rsid w:val="00C7621C"/>
    <w:rsid w:val="00C76270"/>
    <w:rsid w:val="00C7637F"/>
    <w:rsid w:val="00C76515"/>
    <w:rsid w:val="00C76636"/>
    <w:rsid w:val="00C7671C"/>
    <w:rsid w:val="00C76CF7"/>
    <w:rsid w:val="00C76DBE"/>
    <w:rsid w:val="00C77033"/>
    <w:rsid w:val="00C7706D"/>
    <w:rsid w:val="00C7713F"/>
    <w:rsid w:val="00C77163"/>
    <w:rsid w:val="00C77254"/>
    <w:rsid w:val="00C77262"/>
    <w:rsid w:val="00C772B8"/>
    <w:rsid w:val="00C772BE"/>
    <w:rsid w:val="00C7744C"/>
    <w:rsid w:val="00C775DF"/>
    <w:rsid w:val="00C7769F"/>
    <w:rsid w:val="00C7770A"/>
    <w:rsid w:val="00C7775B"/>
    <w:rsid w:val="00C777FD"/>
    <w:rsid w:val="00C779F0"/>
    <w:rsid w:val="00C77E24"/>
    <w:rsid w:val="00C77E88"/>
    <w:rsid w:val="00C77EC5"/>
    <w:rsid w:val="00C80032"/>
    <w:rsid w:val="00C80211"/>
    <w:rsid w:val="00C8029B"/>
    <w:rsid w:val="00C80490"/>
    <w:rsid w:val="00C8064E"/>
    <w:rsid w:val="00C806E7"/>
    <w:rsid w:val="00C80818"/>
    <w:rsid w:val="00C80A8A"/>
    <w:rsid w:val="00C80AF9"/>
    <w:rsid w:val="00C80CA3"/>
    <w:rsid w:val="00C81102"/>
    <w:rsid w:val="00C812A8"/>
    <w:rsid w:val="00C813E5"/>
    <w:rsid w:val="00C8147C"/>
    <w:rsid w:val="00C817DC"/>
    <w:rsid w:val="00C8181C"/>
    <w:rsid w:val="00C81929"/>
    <w:rsid w:val="00C819C5"/>
    <w:rsid w:val="00C81A40"/>
    <w:rsid w:val="00C81ABA"/>
    <w:rsid w:val="00C81C6F"/>
    <w:rsid w:val="00C81C8B"/>
    <w:rsid w:val="00C81C9D"/>
    <w:rsid w:val="00C81E42"/>
    <w:rsid w:val="00C81F64"/>
    <w:rsid w:val="00C822F1"/>
    <w:rsid w:val="00C822F8"/>
    <w:rsid w:val="00C8236D"/>
    <w:rsid w:val="00C823AD"/>
    <w:rsid w:val="00C8276B"/>
    <w:rsid w:val="00C8291D"/>
    <w:rsid w:val="00C82961"/>
    <w:rsid w:val="00C82978"/>
    <w:rsid w:val="00C82A00"/>
    <w:rsid w:val="00C82C29"/>
    <w:rsid w:val="00C82C35"/>
    <w:rsid w:val="00C8320F"/>
    <w:rsid w:val="00C83315"/>
    <w:rsid w:val="00C83494"/>
    <w:rsid w:val="00C8350F"/>
    <w:rsid w:val="00C83610"/>
    <w:rsid w:val="00C836AB"/>
    <w:rsid w:val="00C8379B"/>
    <w:rsid w:val="00C83878"/>
    <w:rsid w:val="00C83888"/>
    <w:rsid w:val="00C839A0"/>
    <w:rsid w:val="00C83B38"/>
    <w:rsid w:val="00C83C54"/>
    <w:rsid w:val="00C83C7F"/>
    <w:rsid w:val="00C83DBB"/>
    <w:rsid w:val="00C8401E"/>
    <w:rsid w:val="00C84104"/>
    <w:rsid w:val="00C842CC"/>
    <w:rsid w:val="00C84346"/>
    <w:rsid w:val="00C8434B"/>
    <w:rsid w:val="00C84436"/>
    <w:rsid w:val="00C845C0"/>
    <w:rsid w:val="00C8460B"/>
    <w:rsid w:val="00C848DA"/>
    <w:rsid w:val="00C84963"/>
    <w:rsid w:val="00C8497D"/>
    <w:rsid w:val="00C84A2A"/>
    <w:rsid w:val="00C84AFD"/>
    <w:rsid w:val="00C84D00"/>
    <w:rsid w:val="00C84EED"/>
    <w:rsid w:val="00C84F66"/>
    <w:rsid w:val="00C8523C"/>
    <w:rsid w:val="00C8528A"/>
    <w:rsid w:val="00C8529A"/>
    <w:rsid w:val="00C8529D"/>
    <w:rsid w:val="00C8579F"/>
    <w:rsid w:val="00C85A56"/>
    <w:rsid w:val="00C85B34"/>
    <w:rsid w:val="00C85BC8"/>
    <w:rsid w:val="00C85C42"/>
    <w:rsid w:val="00C85D4C"/>
    <w:rsid w:val="00C85E33"/>
    <w:rsid w:val="00C85E3B"/>
    <w:rsid w:val="00C86102"/>
    <w:rsid w:val="00C8648A"/>
    <w:rsid w:val="00C865F1"/>
    <w:rsid w:val="00C86913"/>
    <w:rsid w:val="00C86A33"/>
    <w:rsid w:val="00C86B86"/>
    <w:rsid w:val="00C86BE9"/>
    <w:rsid w:val="00C86C08"/>
    <w:rsid w:val="00C86D2F"/>
    <w:rsid w:val="00C86EB1"/>
    <w:rsid w:val="00C87085"/>
    <w:rsid w:val="00C8732C"/>
    <w:rsid w:val="00C8735B"/>
    <w:rsid w:val="00C874CC"/>
    <w:rsid w:val="00C87758"/>
    <w:rsid w:val="00C877E1"/>
    <w:rsid w:val="00C87960"/>
    <w:rsid w:val="00C87AA4"/>
    <w:rsid w:val="00C87AC4"/>
    <w:rsid w:val="00C87B6A"/>
    <w:rsid w:val="00C87CD4"/>
    <w:rsid w:val="00C87DF3"/>
    <w:rsid w:val="00C87FD9"/>
    <w:rsid w:val="00C90131"/>
    <w:rsid w:val="00C90182"/>
    <w:rsid w:val="00C90260"/>
    <w:rsid w:val="00C90440"/>
    <w:rsid w:val="00C90604"/>
    <w:rsid w:val="00C906A1"/>
    <w:rsid w:val="00C90AB5"/>
    <w:rsid w:val="00C90C1D"/>
    <w:rsid w:val="00C90C55"/>
    <w:rsid w:val="00C90C75"/>
    <w:rsid w:val="00C90D93"/>
    <w:rsid w:val="00C914E2"/>
    <w:rsid w:val="00C91C1E"/>
    <w:rsid w:val="00C91E07"/>
    <w:rsid w:val="00C9225F"/>
    <w:rsid w:val="00C922E1"/>
    <w:rsid w:val="00C92397"/>
    <w:rsid w:val="00C9249E"/>
    <w:rsid w:val="00C92684"/>
    <w:rsid w:val="00C928F8"/>
    <w:rsid w:val="00C92BB9"/>
    <w:rsid w:val="00C92C81"/>
    <w:rsid w:val="00C92F25"/>
    <w:rsid w:val="00C93140"/>
    <w:rsid w:val="00C9328E"/>
    <w:rsid w:val="00C9329D"/>
    <w:rsid w:val="00C932A3"/>
    <w:rsid w:val="00C93375"/>
    <w:rsid w:val="00C9343A"/>
    <w:rsid w:val="00C93608"/>
    <w:rsid w:val="00C936CD"/>
    <w:rsid w:val="00C93A41"/>
    <w:rsid w:val="00C93B77"/>
    <w:rsid w:val="00C93C50"/>
    <w:rsid w:val="00C93DCE"/>
    <w:rsid w:val="00C93E2D"/>
    <w:rsid w:val="00C93E30"/>
    <w:rsid w:val="00C93FCF"/>
    <w:rsid w:val="00C94212"/>
    <w:rsid w:val="00C9421B"/>
    <w:rsid w:val="00C9425A"/>
    <w:rsid w:val="00C94440"/>
    <w:rsid w:val="00C94462"/>
    <w:rsid w:val="00C94466"/>
    <w:rsid w:val="00C944B6"/>
    <w:rsid w:val="00C946DD"/>
    <w:rsid w:val="00C9477C"/>
    <w:rsid w:val="00C94780"/>
    <w:rsid w:val="00C94927"/>
    <w:rsid w:val="00C949D1"/>
    <w:rsid w:val="00C94A05"/>
    <w:rsid w:val="00C94A31"/>
    <w:rsid w:val="00C94BA8"/>
    <w:rsid w:val="00C94C4A"/>
    <w:rsid w:val="00C94D9D"/>
    <w:rsid w:val="00C94E44"/>
    <w:rsid w:val="00C95049"/>
    <w:rsid w:val="00C9510A"/>
    <w:rsid w:val="00C9519E"/>
    <w:rsid w:val="00C951A1"/>
    <w:rsid w:val="00C9582D"/>
    <w:rsid w:val="00C95965"/>
    <w:rsid w:val="00C95A8F"/>
    <w:rsid w:val="00C95D9A"/>
    <w:rsid w:val="00C95DFC"/>
    <w:rsid w:val="00C96258"/>
    <w:rsid w:val="00C964DB"/>
    <w:rsid w:val="00C96519"/>
    <w:rsid w:val="00C9666B"/>
    <w:rsid w:val="00C967BC"/>
    <w:rsid w:val="00C967BF"/>
    <w:rsid w:val="00C96A61"/>
    <w:rsid w:val="00C96B94"/>
    <w:rsid w:val="00C96CF7"/>
    <w:rsid w:val="00C96D0F"/>
    <w:rsid w:val="00C96E50"/>
    <w:rsid w:val="00C96F19"/>
    <w:rsid w:val="00C96FAB"/>
    <w:rsid w:val="00C9710B"/>
    <w:rsid w:val="00C972B1"/>
    <w:rsid w:val="00C9734B"/>
    <w:rsid w:val="00C97459"/>
    <w:rsid w:val="00C974AF"/>
    <w:rsid w:val="00C975A6"/>
    <w:rsid w:val="00C977D5"/>
    <w:rsid w:val="00C97857"/>
    <w:rsid w:val="00C97972"/>
    <w:rsid w:val="00C97A0A"/>
    <w:rsid w:val="00C97A30"/>
    <w:rsid w:val="00C97A5B"/>
    <w:rsid w:val="00C97ACA"/>
    <w:rsid w:val="00C97CC2"/>
    <w:rsid w:val="00C97E6C"/>
    <w:rsid w:val="00CA0064"/>
    <w:rsid w:val="00CA00CD"/>
    <w:rsid w:val="00CA01E4"/>
    <w:rsid w:val="00CA0258"/>
    <w:rsid w:val="00CA04EF"/>
    <w:rsid w:val="00CA0556"/>
    <w:rsid w:val="00CA056B"/>
    <w:rsid w:val="00CA06CD"/>
    <w:rsid w:val="00CA091E"/>
    <w:rsid w:val="00CA0A6A"/>
    <w:rsid w:val="00CA0C7A"/>
    <w:rsid w:val="00CA0D87"/>
    <w:rsid w:val="00CA0E23"/>
    <w:rsid w:val="00CA1000"/>
    <w:rsid w:val="00CA10DC"/>
    <w:rsid w:val="00CA11A9"/>
    <w:rsid w:val="00CA153E"/>
    <w:rsid w:val="00CA18AA"/>
    <w:rsid w:val="00CA18E8"/>
    <w:rsid w:val="00CA1CC2"/>
    <w:rsid w:val="00CA1CF1"/>
    <w:rsid w:val="00CA1D60"/>
    <w:rsid w:val="00CA1D94"/>
    <w:rsid w:val="00CA1E07"/>
    <w:rsid w:val="00CA2205"/>
    <w:rsid w:val="00CA2361"/>
    <w:rsid w:val="00CA262C"/>
    <w:rsid w:val="00CA282A"/>
    <w:rsid w:val="00CA290F"/>
    <w:rsid w:val="00CA2A4F"/>
    <w:rsid w:val="00CA2A52"/>
    <w:rsid w:val="00CA30AE"/>
    <w:rsid w:val="00CA3231"/>
    <w:rsid w:val="00CA35C9"/>
    <w:rsid w:val="00CA35D7"/>
    <w:rsid w:val="00CA3613"/>
    <w:rsid w:val="00CA37C4"/>
    <w:rsid w:val="00CA37C8"/>
    <w:rsid w:val="00CA3846"/>
    <w:rsid w:val="00CA3A22"/>
    <w:rsid w:val="00CA3B66"/>
    <w:rsid w:val="00CA3BB0"/>
    <w:rsid w:val="00CA3BE0"/>
    <w:rsid w:val="00CA3DBF"/>
    <w:rsid w:val="00CA3ECE"/>
    <w:rsid w:val="00CA3FB3"/>
    <w:rsid w:val="00CA40B1"/>
    <w:rsid w:val="00CA40E1"/>
    <w:rsid w:val="00CA436D"/>
    <w:rsid w:val="00CA442A"/>
    <w:rsid w:val="00CA46AF"/>
    <w:rsid w:val="00CA46C3"/>
    <w:rsid w:val="00CA46D3"/>
    <w:rsid w:val="00CA47C6"/>
    <w:rsid w:val="00CA49B1"/>
    <w:rsid w:val="00CA4A66"/>
    <w:rsid w:val="00CA4B33"/>
    <w:rsid w:val="00CA4CA1"/>
    <w:rsid w:val="00CA4DE6"/>
    <w:rsid w:val="00CA4F66"/>
    <w:rsid w:val="00CA52D6"/>
    <w:rsid w:val="00CA52F2"/>
    <w:rsid w:val="00CA5344"/>
    <w:rsid w:val="00CA53D2"/>
    <w:rsid w:val="00CA53E2"/>
    <w:rsid w:val="00CA55BD"/>
    <w:rsid w:val="00CA5AED"/>
    <w:rsid w:val="00CA5C15"/>
    <w:rsid w:val="00CA5C61"/>
    <w:rsid w:val="00CA5D87"/>
    <w:rsid w:val="00CA5E06"/>
    <w:rsid w:val="00CA5E3F"/>
    <w:rsid w:val="00CA5E94"/>
    <w:rsid w:val="00CA60F9"/>
    <w:rsid w:val="00CA6155"/>
    <w:rsid w:val="00CA61D5"/>
    <w:rsid w:val="00CA62D5"/>
    <w:rsid w:val="00CA6417"/>
    <w:rsid w:val="00CA65A2"/>
    <w:rsid w:val="00CA65B1"/>
    <w:rsid w:val="00CA65BC"/>
    <w:rsid w:val="00CA66AD"/>
    <w:rsid w:val="00CA6738"/>
    <w:rsid w:val="00CA68E3"/>
    <w:rsid w:val="00CA6A0C"/>
    <w:rsid w:val="00CA6B59"/>
    <w:rsid w:val="00CA6E08"/>
    <w:rsid w:val="00CA6E1C"/>
    <w:rsid w:val="00CA7220"/>
    <w:rsid w:val="00CA73BF"/>
    <w:rsid w:val="00CA7459"/>
    <w:rsid w:val="00CA751D"/>
    <w:rsid w:val="00CA757F"/>
    <w:rsid w:val="00CA77B2"/>
    <w:rsid w:val="00CA7804"/>
    <w:rsid w:val="00CA78C2"/>
    <w:rsid w:val="00CA7994"/>
    <w:rsid w:val="00CA7A6C"/>
    <w:rsid w:val="00CA7BC7"/>
    <w:rsid w:val="00CA7C60"/>
    <w:rsid w:val="00CA7C86"/>
    <w:rsid w:val="00CA7FDB"/>
    <w:rsid w:val="00CB049F"/>
    <w:rsid w:val="00CB04E9"/>
    <w:rsid w:val="00CB05FD"/>
    <w:rsid w:val="00CB061C"/>
    <w:rsid w:val="00CB0706"/>
    <w:rsid w:val="00CB07CD"/>
    <w:rsid w:val="00CB0CA7"/>
    <w:rsid w:val="00CB0DBF"/>
    <w:rsid w:val="00CB0EEA"/>
    <w:rsid w:val="00CB1059"/>
    <w:rsid w:val="00CB1189"/>
    <w:rsid w:val="00CB1460"/>
    <w:rsid w:val="00CB15E0"/>
    <w:rsid w:val="00CB172A"/>
    <w:rsid w:val="00CB177D"/>
    <w:rsid w:val="00CB17CE"/>
    <w:rsid w:val="00CB1925"/>
    <w:rsid w:val="00CB1A3D"/>
    <w:rsid w:val="00CB1CC5"/>
    <w:rsid w:val="00CB1F8D"/>
    <w:rsid w:val="00CB21A1"/>
    <w:rsid w:val="00CB23D0"/>
    <w:rsid w:val="00CB2406"/>
    <w:rsid w:val="00CB24AF"/>
    <w:rsid w:val="00CB2AB3"/>
    <w:rsid w:val="00CB2ACF"/>
    <w:rsid w:val="00CB2B21"/>
    <w:rsid w:val="00CB2B7C"/>
    <w:rsid w:val="00CB2C00"/>
    <w:rsid w:val="00CB2EB9"/>
    <w:rsid w:val="00CB2FB0"/>
    <w:rsid w:val="00CB327D"/>
    <w:rsid w:val="00CB3393"/>
    <w:rsid w:val="00CB35C9"/>
    <w:rsid w:val="00CB363E"/>
    <w:rsid w:val="00CB367A"/>
    <w:rsid w:val="00CB3738"/>
    <w:rsid w:val="00CB3A64"/>
    <w:rsid w:val="00CB3AA8"/>
    <w:rsid w:val="00CB3ACC"/>
    <w:rsid w:val="00CB3B36"/>
    <w:rsid w:val="00CB3BA6"/>
    <w:rsid w:val="00CB3C3A"/>
    <w:rsid w:val="00CB3C6C"/>
    <w:rsid w:val="00CB3D8C"/>
    <w:rsid w:val="00CB3E88"/>
    <w:rsid w:val="00CB41C9"/>
    <w:rsid w:val="00CB43AE"/>
    <w:rsid w:val="00CB43B4"/>
    <w:rsid w:val="00CB4485"/>
    <w:rsid w:val="00CB4594"/>
    <w:rsid w:val="00CB46DD"/>
    <w:rsid w:val="00CB48C0"/>
    <w:rsid w:val="00CB4974"/>
    <w:rsid w:val="00CB4A0C"/>
    <w:rsid w:val="00CB4A56"/>
    <w:rsid w:val="00CB4A76"/>
    <w:rsid w:val="00CB4A7C"/>
    <w:rsid w:val="00CB4F52"/>
    <w:rsid w:val="00CB51BF"/>
    <w:rsid w:val="00CB572B"/>
    <w:rsid w:val="00CB594B"/>
    <w:rsid w:val="00CB5BA9"/>
    <w:rsid w:val="00CB5D13"/>
    <w:rsid w:val="00CB5D16"/>
    <w:rsid w:val="00CB5DEC"/>
    <w:rsid w:val="00CB5EBF"/>
    <w:rsid w:val="00CB5ED9"/>
    <w:rsid w:val="00CB6061"/>
    <w:rsid w:val="00CB6081"/>
    <w:rsid w:val="00CB6592"/>
    <w:rsid w:val="00CB682F"/>
    <w:rsid w:val="00CB6835"/>
    <w:rsid w:val="00CB6A73"/>
    <w:rsid w:val="00CB6ACA"/>
    <w:rsid w:val="00CB6B25"/>
    <w:rsid w:val="00CB6ECC"/>
    <w:rsid w:val="00CB6F7E"/>
    <w:rsid w:val="00CB741E"/>
    <w:rsid w:val="00CB7495"/>
    <w:rsid w:val="00CB76A5"/>
    <w:rsid w:val="00CB7750"/>
    <w:rsid w:val="00CB7871"/>
    <w:rsid w:val="00CB7938"/>
    <w:rsid w:val="00CB799E"/>
    <w:rsid w:val="00CB7CD5"/>
    <w:rsid w:val="00CB7D80"/>
    <w:rsid w:val="00CC0051"/>
    <w:rsid w:val="00CC0055"/>
    <w:rsid w:val="00CC0081"/>
    <w:rsid w:val="00CC00C6"/>
    <w:rsid w:val="00CC0235"/>
    <w:rsid w:val="00CC054A"/>
    <w:rsid w:val="00CC0708"/>
    <w:rsid w:val="00CC0913"/>
    <w:rsid w:val="00CC0AF4"/>
    <w:rsid w:val="00CC0B3E"/>
    <w:rsid w:val="00CC0BF4"/>
    <w:rsid w:val="00CC0C84"/>
    <w:rsid w:val="00CC0CE0"/>
    <w:rsid w:val="00CC0DA5"/>
    <w:rsid w:val="00CC0DF0"/>
    <w:rsid w:val="00CC1193"/>
    <w:rsid w:val="00CC125E"/>
    <w:rsid w:val="00CC12C2"/>
    <w:rsid w:val="00CC12DE"/>
    <w:rsid w:val="00CC14D9"/>
    <w:rsid w:val="00CC1662"/>
    <w:rsid w:val="00CC1886"/>
    <w:rsid w:val="00CC18B4"/>
    <w:rsid w:val="00CC190C"/>
    <w:rsid w:val="00CC1D79"/>
    <w:rsid w:val="00CC1FFE"/>
    <w:rsid w:val="00CC20D9"/>
    <w:rsid w:val="00CC2280"/>
    <w:rsid w:val="00CC2559"/>
    <w:rsid w:val="00CC25F7"/>
    <w:rsid w:val="00CC2677"/>
    <w:rsid w:val="00CC27B7"/>
    <w:rsid w:val="00CC2866"/>
    <w:rsid w:val="00CC29E0"/>
    <w:rsid w:val="00CC29E8"/>
    <w:rsid w:val="00CC2A28"/>
    <w:rsid w:val="00CC2BFB"/>
    <w:rsid w:val="00CC2CBB"/>
    <w:rsid w:val="00CC2EDC"/>
    <w:rsid w:val="00CC2F4C"/>
    <w:rsid w:val="00CC335B"/>
    <w:rsid w:val="00CC33C5"/>
    <w:rsid w:val="00CC34E2"/>
    <w:rsid w:val="00CC3786"/>
    <w:rsid w:val="00CC37BB"/>
    <w:rsid w:val="00CC39ED"/>
    <w:rsid w:val="00CC3C2C"/>
    <w:rsid w:val="00CC3CCC"/>
    <w:rsid w:val="00CC3EA5"/>
    <w:rsid w:val="00CC4015"/>
    <w:rsid w:val="00CC4379"/>
    <w:rsid w:val="00CC4443"/>
    <w:rsid w:val="00CC46B7"/>
    <w:rsid w:val="00CC47E7"/>
    <w:rsid w:val="00CC484A"/>
    <w:rsid w:val="00CC4A1B"/>
    <w:rsid w:val="00CC4A89"/>
    <w:rsid w:val="00CC4B3F"/>
    <w:rsid w:val="00CC4B50"/>
    <w:rsid w:val="00CC4BC2"/>
    <w:rsid w:val="00CC4BD0"/>
    <w:rsid w:val="00CC4F83"/>
    <w:rsid w:val="00CC54B6"/>
    <w:rsid w:val="00CC57BD"/>
    <w:rsid w:val="00CC5801"/>
    <w:rsid w:val="00CC5899"/>
    <w:rsid w:val="00CC5C91"/>
    <w:rsid w:val="00CC5DA0"/>
    <w:rsid w:val="00CC5DB7"/>
    <w:rsid w:val="00CC5E9C"/>
    <w:rsid w:val="00CC601B"/>
    <w:rsid w:val="00CC61E2"/>
    <w:rsid w:val="00CC644C"/>
    <w:rsid w:val="00CC64AD"/>
    <w:rsid w:val="00CC64B9"/>
    <w:rsid w:val="00CC64C0"/>
    <w:rsid w:val="00CC660F"/>
    <w:rsid w:val="00CC6622"/>
    <w:rsid w:val="00CC6664"/>
    <w:rsid w:val="00CC6682"/>
    <w:rsid w:val="00CC66C4"/>
    <w:rsid w:val="00CC6749"/>
    <w:rsid w:val="00CC6E52"/>
    <w:rsid w:val="00CC6ED2"/>
    <w:rsid w:val="00CC71BA"/>
    <w:rsid w:val="00CC7282"/>
    <w:rsid w:val="00CC7297"/>
    <w:rsid w:val="00CC7503"/>
    <w:rsid w:val="00CC75B7"/>
    <w:rsid w:val="00CC7610"/>
    <w:rsid w:val="00CC790A"/>
    <w:rsid w:val="00CC7A29"/>
    <w:rsid w:val="00CC7F44"/>
    <w:rsid w:val="00CC7FE6"/>
    <w:rsid w:val="00CD02A6"/>
    <w:rsid w:val="00CD06CF"/>
    <w:rsid w:val="00CD0952"/>
    <w:rsid w:val="00CD0A87"/>
    <w:rsid w:val="00CD0B3D"/>
    <w:rsid w:val="00CD0CC8"/>
    <w:rsid w:val="00CD0D68"/>
    <w:rsid w:val="00CD0E36"/>
    <w:rsid w:val="00CD0EB9"/>
    <w:rsid w:val="00CD0F58"/>
    <w:rsid w:val="00CD112C"/>
    <w:rsid w:val="00CD139A"/>
    <w:rsid w:val="00CD159A"/>
    <w:rsid w:val="00CD15A8"/>
    <w:rsid w:val="00CD1BBE"/>
    <w:rsid w:val="00CD1C37"/>
    <w:rsid w:val="00CD1DC0"/>
    <w:rsid w:val="00CD22BA"/>
    <w:rsid w:val="00CD2512"/>
    <w:rsid w:val="00CD25DD"/>
    <w:rsid w:val="00CD25F0"/>
    <w:rsid w:val="00CD2774"/>
    <w:rsid w:val="00CD29E5"/>
    <w:rsid w:val="00CD2E99"/>
    <w:rsid w:val="00CD2EB0"/>
    <w:rsid w:val="00CD3499"/>
    <w:rsid w:val="00CD34CB"/>
    <w:rsid w:val="00CD36A3"/>
    <w:rsid w:val="00CD36AB"/>
    <w:rsid w:val="00CD3A52"/>
    <w:rsid w:val="00CD3B1A"/>
    <w:rsid w:val="00CD3F28"/>
    <w:rsid w:val="00CD4123"/>
    <w:rsid w:val="00CD435F"/>
    <w:rsid w:val="00CD45F1"/>
    <w:rsid w:val="00CD46F3"/>
    <w:rsid w:val="00CD48B4"/>
    <w:rsid w:val="00CD4926"/>
    <w:rsid w:val="00CD49F7"/>
    <w:rsid w:val="00CD4BE8"/>
    <w:rsid w:val="00CD4C96"/>
    <w:rsid w:val="00CD4CCD"/>
    <w:rsid w:val="00CD4CFA"/>
    <w:rsid w:val="00CD4D0C"/>
    <w:rsid w:val="00CD4D49"/>
    <w:rsid w:val="00CD4E69"/>
    <w:rsid w:val="00CD4E88"/>
    <w:rsid w:val="00CD5413"/>
    <w:rsid w:val="00CD5438"/>
    <w:rsid w:val="00CD54A8"/>
    <w:rsid w:val="00CD55B9"/>
    <w:rsid w:val="00CD5796"/>
    <w:rsid w:val="00CD57C2"/>
    <w:rsid w:val="00CD57F7"/>
    <w:rsid w:val="00CD58E5"/>
    <w:rsid w:val="00CD5DFC"/>
    <w:rsid w:val="00CD6112"/>
    <w:rsid w:val="00CD6206"/>
    <w:rsid w:val="00CD628A"/>
    <w:rsid w:val="00CD6308"/>
    <w:rsid w:val="00CD63DB"/>
    <w:rsid w:val="00CD6622"/>
    <w:rsid w:val="00CD662E"/>
    <w:rsid w:val="00CD66DE"/>
    <w:rsid w:val="00CD672F"/>
    <w:rsid w:val="00CD67E2"/>
    <w:rsid w:val="00CD685E"/>
    <w:rsid w:val="00CD6872"/>
    <w:rsid w:val="00CD688C"/>
    <w:rsid w:val="00CD6913"/>
    <w:rsid w:val="00CD693C"/>
    <w:rsid w:val="00CD6B89"/>
    <w:rsid w:val="00CD718C"/>
    <w:rsid w:val="00CD7557"/>
    <w:rsid w:val="00CD773E"/>
    <w:rsid w:val="00CD7822"/>
    <w:rsid w:val="00CD7904"/>
    <w:rsid w:val="00CD7A0A"/>
    <w:rsid w:val="00CD7A2F"/>
    <w:rsid w:val="00CD7AD9"/>
    <w:rsid w:val="00CD7BB3"/>
    <w:rsid w:val="00CD7C1B"/>
    <w:rsid w:val="00CD7D62"/>
    <w:rsid w:val="00CD7F1B"/>
    <w:rsid w:val="00CD7F37"/>
    <w:rsid w:val="00CD7F7E"/>
    <w:rsid w:val="00CD7F8A"/>
    <w:rsid w:val="00CD7F8D"/>
    <w:rsid w:val="00CE0355"/>
    <w:rsid w:val="00CE061B"/>
    <w:rsid w:val="00CE0827"/>
    <w:rsid w:val="00CE0978"/>
    <w:rsid w:val="00CE0A70"/>
    <w:rsid w:val="00CE0ABE"/>
    <w:rsid w:val="00CE0AC7"/>
    <w:rsid w:val="00CE0C82"/>
    <w:rsid w:val="00CE0D02"/>
    <w:rsid w:val="00CE0FB8"/>
    <w:rsid w:val="00CE0FEE"/>
    <w:rsid w:val="00CE12DD"/>
    <w:rsid w:val="00CE1688"/>
    <w:rsid w:val="00CE1782"/>
    <w:rsid w:val="00CE19D0"/>
    <w:rsid w:val="00CE1AEB"/>
    <w:rsid w:val="00CE1C30"/>
    <w:rsid w:val="00CE1CBA"/>
    <w:rsid w:val="00CE1F70"/>
    <w:rsid w:val="00CE2016"/>
    <w:rsid w:val="00CE206B"/>
    <w:rsid w:val="00CE2414"/>
    <w:rsid w:val="00CE259D"/>
    <w:rsid w:val="00CE2CC6"/>
    <w:rsid w:val="00CE3043"/>
    <w:rsid w:val="00CE312D"/>
    <w:rsid w:val="00CE31FD"/>
    <w:rsid w:val="00CE346F"/>
    <w:rsid w:val="00CE3657"/>
    <w:rsid w:val="00CE38CB"/>
    <w:rsid w:val="00CE3912"/>
    <w:rsid w:val="00CE3B51"/>
    <w:rsid w:val="00CE3BC6"/>
    <w:rsid w:val="00CE3DA6"/>
    <w:rsid w:val="00CE40DE"/>
    <w:rsid w:val="00CE4150"/>
    <w:rsid w:val="00CE438E"/>
    <w:rsid w:val="00CE453E"/>
    <w:rsid w:val="00CE474E"/>
    <w:rsid w:val="00CE47E1"/>
    <w:rsid w:val="00CE47E8"/>
    <w:rsid w:val="00CE4808"/>
    <w:rsid w:val="00CE481E"/>
    <w:rsid w:val="00CE4891"/>
    <w:rsid w:val="00CE4A74"/>
    <w:rsid w:val="00CE4AC5"/>
    <w:rsid w:val="00CE4D43"/>
    <w:rsid w:val="00CE4E1F"/>
    <w:rsid w:val="00CE4F9E"/>
    <w:rsid w:val="00CE5434"/>
    <w:rsid w:val="00CE5635"/>
    <w:rsid w:val="00CE5670"/>
    <w:rsid w:val="00CE58A4"/>
    <w:rsid w:val="00CE5957"/>
    <w:rsid w:val="00CE5FA0"/>
    <w:rsid w:val="00CE6029"/>
    <w:rsid w:val="00CE60A8"/>
    <w:rsid w:val="00CE612B"/>
    <w:rsid w:val="00CE61C0"/>
    <w:rsid w:val="00CE62F7"/>
    <w:rsid w:val="00CE62FB"/>
    <w:rsid w:val="00CE64EC"/>
    <w:rsid w:val="00CE6612"/>
    <w:rsid w:val="00CE66C6"/>
    <w:rsid w:val="00CE675F"/>
    <w:rsid w:val="00CE6ABD"/>
    <w:rsid w:val="00CE6AE8"/>
    <w:rsid w:val="00CE6B19"/>
    <w:rsid w:val="00CE6E8A"/>
    <w:rsid w:val="00CE70CA"/>
    <w:rsid w:val="00CE73FF"/>
    <w:rsid w:val="00CE7404"/>
    <w:rsid w:val="00CE753C"/>
    <w:rsid w:val="00CE7602"/>
    <w:rsid w:val="00CE7628"/>
    <w:rsid w:val="00CE7731"/>
    <w:rsid w:val="00CE7764"/>
    <w:rsid w:val="00CE7B64"/>
    <w:rsid w:val="00CE7BCA"/>
    <w:rsid w:val="00CE7CDF"/>
    <w:rsid w:val="00CE7E73"/>
    <w:rsid w:val="00CF021B"/>
    <w:rsid w:val="00CF03AC"/>
    <w:rsid w:val="00CF04EE"/>
    <w:rsid w:val="00CF0773"/>
    <w:rsid w:val="00CF0B84"/>
    <w:rsid w:val="00CF0C91"/>
    <w:rsid w:val="00CF0CA3"/>
    <w:rsid w:val="00CF0DC0"/>
    <w:rsid w:val="00CF0E7B"/>
    <w:rsid w:val="00CF0ECC"/>
    <w:rsid w:val="00CF0FE0"/>
    <w:rsid w:val="00CF13BE"/>
    <w:rsid w:val="00CF1964"/>
    <w:rsid w:val="00CF1A0C"/>
    <w:rsid w:val="00CF1DCD"/>
    <w:rsid w:val="00CF1E9F"/>
    <w:rsid w:val="00CF1EC2"/>
    <w:rsid w:val="00CF2271"/>
    <w:rsid w:val="00CF2496"/>
    <w:rsid w:val="00CF25EF"/>
    <w:rsid w:val="00CF2601"/>
    <w:rsid w:val="00CF2646"/>
    <w:rsid w:val="00CF26B8"/>
    <w:rsid w:val="00CF27E7"/>
    <w:rsid w:val="00CF29C3"/>
    <w:rsid w:val="00CF2EAB"/>
    <w:rsid w:val="00CF3126"/>
    <w:rsid w:val="00CF322B"/>
    <w:rsid w:val="00CF33E4"/>
    <w:rsid w:val="00CF348B"/>
    <w:rsid w:val="00CF350E"/>
    <w:rsid w:val="00CF358B"/>
    <w:rsid w:val="00CF35F8"/>
    <w:rsid w:val="00CF38B8"/>
    <w:rsid w:val="00CF3981"/>
    <w:rsid w:val="00CF3AEB"/>
    <w:rsid w:val="00CF3B7C"/>
    <w:rsid w:val="00CF3B89"/>
    <w:rsid w:val="00CF40EB"/>
    <w:rsid w:val="00CF4151"/>
    <w:rsid w:val="00CF4210"/>
    <w:rsid w:val="00CF4236"/>
    <w:rsid w:val="00CF458F"/>
    <w:rsid w:val="00CF45A1"/>
    <w:rsid w:val="00CF47F5"/>
    <w:rsid w:val="00CF490B"/>
    <w:rsid w:val="00CF4A80"/>
    <w:rsid w:val="00CF4B70"/>
    <w:rsid w:val="00CF4B88"/>
    <w:rsid w:val="00CF4C7F"/>
    <w:rsid w:val="00CF4D15"/>
    <w:rsid w:val="00CF4E8B"/>
    <w:rsid w:val="00CF4EEF"/>
    <w:rsid w:val="00CF4EF9"/>
    <w:rsid w:val="00CF4FD6"/>
    <w:rsid w:val="00CF504B"/>
    <w:rsid w:val="00CF53C8"/>
    <w:rsid w:val="00CF5471"/>
    <w:rsid w:val="00CF55E3"/>
    <w:rsid w:val="00CF55EB"/>
    <w:rsid w:val="00CF583F"/>
    <w:rsid w:val="00CF5983"/>
    <w:rsid w:val="00CF5B6A"/>
    <w:rsid w:val="00CF5D65"/>
    <w:rsid w:val="00CF5E30"/>
    <w:rsid w:val="00CF5FDB"/>
    <w:rsid w:val="00CF6411"/>
    <w:rsid w:val="00CF6555"/>
    <w:rsid w:val="00CF65DE"/>
    <w:rsid w:val="00CF6738"/>
    <w:rsid w:val="00CF6749"/>
    <w:rsid w:val="00CF678B"/>
    <w:rsid w:val="00CF69EB"/>
    <w:rsid w:val="00CF6B09"/>
    <w:rsid w:val="00CF6B2E"/>
    <w:rsid w:val="00CF6C9F"/>
    <w:rsid w:val="00CF6D84"/>
    <w:rsid w:val="00CF6E71"/>
    <w:rsid w:val="00CF6ED3"/>
    <w:rsid w:val="00CF74CB"/>
    <w:rsid w:val="00CF7527"/>
    <w:rsid w:val="00CF758A"/>
    <w:rsid w:val="00CF7739"/>
    <w:rsid w:val="00CF779C"/>
    <w:rsid w:val="00CF77DC"/>
    <w:rsid w:val="00CF78E3"/>
    <w:rsid w:val="00CF7BFD"/>
    <w:rsid w:val="00CF7D30"/>
    <w:rsid w:val="00CF7E28"/>
    <w:rsid w:val="00D00014"/>
    <w:rsid w:val="00D0026C"/>
    <w:rsid w:val="00D00326"/>
    <w:rsid w:val="00D00717"/>
    <w:rsid w:val="00D00920"/>
    <w:rsid w:val="00D00B66"/>
    <w:rsid w:val="00D00DBF"/>
    <w:rsid w:val="00D00EAC"/>
    <w:rsid w:val="00D00FE6"/>
    <w:rsid w:val="00D0105C"/>
    <w:rsid w:val="00D0118B"/>
    <w:rsid w:val="00D01198"/>
    <w:rsid w:val="00D013A7"/>
    <w:rsid w:val="00D01429"/>
    <w:rsid w:val="00D01624"/>
    <w:rsid w:val="00D01791"/>
    <w:rsid w:val="00D017BA"/>
    <w:rsid w:val="00D018BC"/>
    <w:rsid w:val="00D0191E"/>
    <w:rsid w:val="00D01950"/>
    <w:rsid w:val="00D01B11"/>
    <w:rsid w:val="00D01B51"/>
    <w:rsid w:val="00D01D09"/>
    <w:rsid w:val="00D01EA0"/>
    <w:rsid w:val="00D01F66"/>
    <w:rsid w:val="00D02069"/>
    <w:rsid w:val="00D020E9"/>
    <w:rsid w:val="00D02495"/>
    <w:rsid w:val="00D02531"/>
    <w:rsid w:val="00D025CE"/>
    <w:rsid w:val="00D0267A"/>
    <w:rsid w:val="00D0276D"/>
    <w:rsid w:val="00D0279B"/>
    <w:rsid w:val="00D02863"/>
    <w:rsid w:val="00D02963"/>
    <w:rsid w:val="00D029BC"/>
    <w:rsid w:val="00D02D9A"/>
    <w:rsid w:val="00D02DE6"/>
    <w:rsid w:val="00D02FBB"/>
    <w:rsid w:val="00D030B9"/>
    <w:rsid w:val="00D030DB"/>
    <w:rsid w:val="00D0326A"/>
    <w:rsid w:val="00D0334E"/>
    <w:rsid w:val="00D03457"/>
    <w:rsid w:val="00D035C4"/>
    <w:rsid w:val="00D03610"/>
    <w:rsid w:val="00D0378D"/>
    <w:rsid w:val="00D039E8"/>
    <w:rsid w:val="00D03C73"/>
    <w:rsid w:val="00D03CA1"/>
    <w:rsid w:val="00D03F34"/>
    <w:rsid w:val="00D041D5"/>
    <w:rsid w:val="00D04520"/>
    <w:rsid w:val="00D04590"/>
    <w:rsid w:val="00D04694"/>
    <w:rsid w:val="00D0470E"/>
    <w:rsid w:val="00D049B6"/>
    <w:rsid w:val="00D04A96"/>
    <w:rsid w:val="00D04D3D"/>
    <w:rsid w:val="00D04DA7"/>
    <w:rsid w:val="00D04F0B"/>
    <w:rsid w:val="00D04FB1"/>
    <w:rsid w:val="00D04FFB"/>
    <w:rsid w:val="00D05004"/>
    <w:rsid w:val="00D05078"/>
    <w:rsid w:val="00D0528F"/>
    <w:rsid w:val="00D052F2"/>
    <w:rsid w:val="00D0549B"/>
    <w:rsid w:val="00D0549F"/>
    <w:rsid w:val="00D055BD"/>
    <w:rsid w:val="00D05600"/>
    <w:rsid w:val="00D057D3"/>
    <w:rsid w:val="00D057E0"/>
    <w:rsid w:val="00D058C2"/>
    <w:rsid w:val="00D05A83"/>
    <w:rsid w:val="00D05AA9"/>
    <w:rsid w:val="00D05E8F"/>
    <w:rsid w:val="00D05F50"/>
    <w:rsid w:val="00D05FFB"/>
    <w:rsid w:val="00D06250"/>
    <w:rsid w:val="00D06592"/>
    <w:rsid w:val="00D06728"/>
    <w:rsid w:val="00D06948"/>
    <w:rsid w:val="00D06AA1"/>
    <w:rsid w:val="00D06B01"/>
    <w:rsid w:val="00D06B14"/>
    <w:rsid w:val="00D06B2F"/>
    <w:rsid w:val="00D06B42"/>
    <w:rsid w:val="00D06C64"/>
    <w:rsid w:val="00D06CD7"/>
    <w:rsid w:val="00D06E5A"/>
    <w:rsid w:val="00D06F02"/>
    <w:rsid w:val="00D06F98"/>
    <w:rsid w:val="00D070A8"/>
    <w:rsid w:val="00D071A9"/>
    <w:rsid w:val="00D07227"/>
    <w:rsid w:val="00D0735F"/>
    <w:rsid w:val="00D073C2"/>
    <w:rsid w:val="00D07549"/>
    <w:rsid w:val="00D0765B"/>
    <w:rsid w:val="00D076DF"/>
    <w:rsid w:val="00D0770B"/>
    <w:rsid w:val="00D077CC"/>
    <w:rsid w:val="00D07803"/>
    <w:rsid w:val="00D07827"/>
    <w:rsid w:val="00D078B7"/>
    <w:rsid w:val="00D07ADE"/>
    <w:rsid w:val="00D07C62"/>
    <w:rsid w:val="00D10325"/>
    <w:rsid w:val="00D10329"/>
    <w:rsid w:val="00D103BE"/>
    <w:rsid w:val="00D105BB"/>
    <w:rsid w:val="00D1086D"/>
    <w:rsid w:val="00D10A92"/>
    <w:rsid w:val="00D1115A"/>
    <w:rsid w:val="00D11402"/>
    <w:rsid w:val="00D1147F"/>
    <w:rsid w:val="00D11694"/>
    <w:rsid w:val="00D11724"/>
    <w:rsid w:val="00D117C8"/>
    <w:rsid w:val="00D1183C"/>
    <w:rsid w:val="00D11B45"/>
    <w:rsid w:val="00D11B99"/>
    <w:rsid w:val="00D11BCF"/>
    <w:rsid w:val="00D11BEB"/>
    <w:rsid w:val="00D11DA5"/>
    <w:rsid w:val="00D11DE1"/>
    <w:rsid w:val="00D11DF6"/>
    <w:rsid w:val="00D11EB5"/>
    <w:rsid w:val="00D12217"/>
    <w:rsid w:val="00D122C1"/>
    <w:rsid w:val="00D122DC"/>
    <w:rsid w:val="00D12396"/>
    <w:rsid w:val="00D12498"/>
    <w:rsid w:val="00D12637"/>
    <w:rsid w:val="00D1267A"/>
    <w:rsid w:val="00D12701"/>
    <w:rsid w:val="00D12768"/>
    <w:rsid w:val="00D128FB"/>
    <w:rsid w:val="00D13069"/>
    <w:rsid w:val="00D131C6"/>
    <w:rsid w:val="00D13256"/>
    <w:rsid w:val="00D132C9"/>
    <w:rsid w:val="00D134BB"/>
    <w:rsid w:val="00D1363A"/>
    <w:rsid w:val="00D1364C"/>
    <w:rsid w:val="00D13690"/>
    <w:rsid w:val="00D137F5"/>
    <w:rsid w:val="00D1380D"/>
    <w:rsid w:val="00D1387E"/>
    <w:rsid w:val="00D13B29"/>
    <w:rsid w:val="00D13C4E"/>
    <w:rsid w:val="00D13CB8"/>
    <w:rsid w:val="00D13CEB"/>
    <w:rsid w:val="00D13D51"/>
    <w:rsid w:val="00D13D8E"/>
    <w:rsid w:val="00D13DA6"/>
    <w:rsid w:val="00D13F32"/>
    <w:rsid w:val="00D14087"/>
    <w:rsid w:val="00D140FE"/>
    <w:rsid w:val="00D143D7"/>
    <w:rsid w:val="00D146AE"/>
    <w:rsid w:val="00D147A4"/>
    <w:rsid w:val="00D147CD"/>
    <w:rsid w:val="00D148CC"/>
    <w:rsid w:val="00D14E52"/>
    <w:rsid w:val="00D14E97"/>
    <w:rsid w:val="00D14F10"/>
    <w:rsid w:val="00D15064"/>
    <w:rsid w:val="00D150AB"/>
    <w:rsid w:val="00D151C6"/>
    <w:rsid w:val="00D152C2"/>
    <w:rsid w:val="00D15375"/>
    <w:rsid w:val="00D153C3"/>
    <w:rsid w:val="00D1562E"/>
    <w:rsid w:val="00D15832"/>
    <w:rsid w:val="00D15C7A"/>
    <w:rsid w:val="00D15F48"/>
    <w:rsid w:val="00D1611D"/>
    <w:rsid w:val="00D161C7"/>
    <w:rsid w:val="00D162E5"/>
    <w:rsid w:val="00D162E9"/>
    <w:rsid w:val="00D16AE3"/>
    <w:rsid w:val="00D16AE6"/>
    <w:rsid w:val="00D16B56"/>
    <w:rsid w:val="00D16D7A"/>
    <w:rsid w:val="00D173E5"/>
    <w:rsid w:val="00D17D7B"/>
    <w:rsid w:val="00D17E85"/>
    <w:rsid w:val="00D17EE0"/>
    <w:rsid w:val="00D17EED"/>
    <w:rsid w:val="00D17F9F"/>
    <w:rsid w:val="00D200BF"/>
    <w:rsid w:val="00D200C0"/>
    <w:rsid w:val="00D2014C"/>
    <w:rsid w:val="00D20565"/>
    <w:rsid w:val="00D205C2"/>
    <w:rsid w:val="00D208A9"/>
    <w:rsid w:val="00D20A43"/>
    <w:rsid w:val="00D20C11"/>
    <w:rsid w:val="00D20CBB"/>
    <w:rsid w:val="00D20E96"/>
    <w:rsid w:val="00D2112A"/>
    <w:rsid w:val="00D213AE"/>
    <w:rsid w:val="00D213CB"/>
    <w:rsid w:val="00D213F0"/>
    <w:rsid w:val="00D21489"/>
    <w:rsid w:val="00D214E5"/>
    <w:rsid w:val="00D214F5"/>
    <w:rsid w:val="00D21550"/>
    <w:rsid w:val="00D215DB"/>
    <w:rsid w:val="00D217D8"/>
    <w:rsid w:val="00D21859"/>
    <w:rsid w:val="00D21893"/>
    <w:rsid w:val="00D21BA1"/>
    <w:rsid w:val="00D21D34"/>
    <w:rsid w:val="00D21DFA"/>
    <w:rsid w:val="00D21E50"/>
    <w:rsid w:val="00D21F03"/>
    <w:rsid w:val="00D22192"/>
    <w:rsid w:val="00D22326"/>
    <w:rsid w:val="00D22397"/>
    <w:rsid w:val="00D22B6A"/>
    <w:rsid w:val="00D22DC1"/>
    <w:rsid w:val="00D232A7"/>
    <w:rsid w:val="00D23323"/>
    <w:rsid w:val="00D233B8"/>
    <w:rsid w:val="00D2372F"/>
    <w:rsid w:val="00D237BF"/>
    <w:rsid w:val="00D23A69"/>
    <w:rsid w:val="00D23AB4"/>
    <w:rsid w:val="00D23DB7"/>
    <w:rsid w:val="00D23E5A"/>
    <w:rsid w:val="00D23E6A"/>
    <w:rsid w:val="00D240F0"/>
    <w:rsid w:val="00D2425D"/>
    <w:rsid w:val="00D24695"/>
    <w:rsid w:val="00D24722"/>
    <w:rsid w:val="00D24747"/>
    <w:rsid w:val="00D2474C"/>
    <w:rsid w:val="00D24766"/>
    <w:rsid w:val="00D24847"/>
    <w:rsid w:val="00D249D7"/>
    <w:rsid w:val="00D24BA4"/>
    <w:rsid w:val="00D24CF1"/>
    <w:rsid w:val="00D25280"/>
    <w:rsid w:val="00D2528C"/>
    <w:rsid w:val="00D252C4"/>
    <w:rsid w:val="00D253B2"/>
    <w:rsid w:val="00D25506"/>
    <w:rsid w:val="00D255A4"/>
    <w:rsid w:val="00D2596C"/>
    <w:rsid w:val="00D259A9"/>
    <w:rsid w:val="00D259E0"/>
    <w:rsid w:val="00D25DC2"/>
    <w:rsid w:val="00D25E1E"/>
    <w:rsid w:val="00D25F3D"/>
    <w:rsid w:val="00D260ED"/>
    <w:rsid w:val="00D26464"/>
    <w:rsid w:val="00D26641"/>
    <w:rsid w:val="00D26776"/>
    <w:rsid w:val="00D267BB"/>
    <w:rsid w:val="00D267BD"/>
    <w:rsid w:val="00D26AA4"/>
    <w:rsid w:val="00D26B9B"/>
    <w:rsid w:val="00D26E12"/>
    <w:rsid w:val="00D26F14"/>
    <w:rsid w:val="00D26F87"/>
    <w:rsid w:val="00D270A5"/>
    <w:rsid w:val="00D27399"/>
    <w:rsid w:val="00D27472"/>
    <w:rsid w:val="00D27736"/>
    <w:rsid w:val="00D2773B"/>
    <w:rsid w:val="00D277D6"/>
    <w:rsid w:val="00D278BF"/>
    <w:rsid w:val="00D279A0"/>
    <w:rsid w:val="00D27AA1"/>
    <w:rsid w:val="00D27BB9"/>
    <w:rsid w:val="00D27BD3"/>
    <w:rsid w:val="00D27DB0"/>
    <w:rsid w:val="00D27E8E"/>
    <w:rsid w:val="00D30099"/>
    <w:rsid w:val="00D30107"/>
    <w:rsid w:val="00D302E2"/>
    <w:rsid w:val="00D3045C"/>
    <w:rsid w:val="00D30523"/>
    <w:rsid w:val="00D3089D"/>
    <w:rsid w:val="00D30A80"/>
    <w:rsid w:val="00D30D72"/>
    <w:rsid w:val="00D30D75"/>
    <w:rsid w:val="00D30E07"/>
    <w:rsid w:val="00D310A8"/>
    <w:rsid w:val="00D311AE"/>
    <w:rsid w:val="00D3125F"/>
    <w:rsid w:val="00D31276"/>
    <w:rsid w:val="00D314AC"/>
    <w:rsid w:val="00D3160D"/>
    <w:rsid w:val="00D31796"/>
    <w:rsid w:val="00D319DC"/>
    <w:rsid w:val="00D319E9"/>
    <w:rsid w:val="00D31A19"/>
    <w:rsid w:val="00D31A25"/>
    <w:rsid w:val="00D31A7F"/>
    <w:rsid w:val="00D31B7E"/>
    <w:rsid w:val="00D31C35"/>
    <w:rsid w:val="00D31D0E"/>
    <w:rsid w:val="00D32078"/>
    <w:rsid w:val="00D322C2"/>
    <w:rsid w:val="00D326A5"/>
    <w:rsid w:val="00D326A8"/>
    <w:rsid w:val="00D32916"/>
    <w:rsid w:val="00D32923"/>
    <w:rsid w:val="00D32AF6"/>
    <w:rsid w:val="00D32D5D"/>
    <w:rsid w:val="00D32D62"/>
    <w:rsid w:val="00D32E5A"/>
    <w:rsid w:val="00D32F3B"/>
    <w:rsid w:val="00D331DF"/>
    <w:rsid w:val="00D3320E"/>
    <w:rsid w:val="00D33307"/>
    <w:rsid w:val="00D333E7"/>
    <w:rsid w:val="00D33505"/>
    <w:rsid w:val="00D335DE"/>
    <w:rsid w:val="00D33603"/>
    <w:rsid w:val="00D33691"/>
    <w:rsid w:val="00D33C5C"/>
    <w:rsid w:val="00D33CF0"/>
    <w:rsid w:val="00D33DF0"/>
    <w:rsid w:val="00D33F9F"/>
    <w:rsid w:val="00D33FD3"/>
    <w:rsid w:val="00D340DC"/>
    <w:rsid w:val="00D3423C"/>
    <w:rsid w:val="00D34BE1"/>
    <w:rsid w:val="00D34D95"/>
    <w:rsid w:val="00D352B2"/>
    <w:rsid w:val="00D3552B"/>
    <w:rsid w:val="00D35635"/>
    <w:rsid w:val="00D35641"/>
    <w:rsid w:val="00D35666"/>
    <w:rsid w:val="00D357A4"/>
    <w:rsid w:val="00D35E92"/>
    <w:rsid w:val="00D35FDE"/>
    <w:rsid w:val="00D360FD"/>
    <w:rsid w:val="00D362BE"/>
    <w:rsid w:val="00D365A5"/>
    <w:rsid w:val="00D3681C"/>
    <w:rsid w:val="00D36821"/>
    <w:rsid w:val="00D36AFE"/>
    <w:rsid w:val="00D36B16"/>
    <w:rsid w:val="00D36B78"/>
    <w:rsid w:val="00D36BAE"/>
    <w:rsid w:val="00D36BF7"/>
    <w:rsid w:val="00D36CDD"/>
    <w:rsid w:val="00D36CF1"/>
    <w:rsid w:val="00D36CF9"/>
    <w:rsid w:val="00D371D5"/>
    <w:rsid w:val="00D375DC"/>
    <w:rsid w:val="00D3760C"/>
    <w:rsid w:val="00D3797B"/>
    <w:rsid w:val="00D379AF"/>
    <w:rsid w:val="00D37C34"/>
    <w:rsid w:val="00D4001E"/>
    <w:rsid w:val="00D40244"/>
    <w:rsid w:val="00D40269"/>
    <w:rsid w:val="00D403BD"/>
    <w:rsid w:val="00D405BC"/>
    <w:rsid w:val="00D40898"/>
    <w:rsid w:val="00D40959"/>
    <w:rsid w:val="00D40960"/>
    <w:rsid w:val="00D41030"/>
    <w:rsid w:val="00D410F3"/>
    <w:rsid w:val="00D415C5"/>
    <w:rsid w:val="00D416AF"/>
    <w:rsid w:val="00D41909"/>
    <w:rsid w:val="00D41B14"/>
    <w:rsid w:val="00D41C6B"/>
    <w:rsid w:val="00D41C75"/>
    <w:rsid w:val="00D41DDD"/>
    <w:rsid w:val="00D424BE"/>
    <w:rsid w:val="00D4274D"/>
    <w:rsid w:val="00D4279B"/>
    <w:rsid w:val="00D42853"/>
    <w:rsid w:val="00D428CB"/>
    <w:rsid w:val="00D429ED"/>
    <w:rsid w:val="00D42A58"/>
    <w:rsid w:val="00D42B8D"/>
    <w:rsid w:val="00D42B99"/>
    <w:rsid w:val="00D430E8"/>
    <w:rsid w:val="00D43420"/>
    <w:rsid w:val="00D434A9"/>
    <w:rsid w:val="00D434D2"/>
    <w:rsid w:val="00D43527"/>
    <w:rsid w:val="00D435D5"/>
    <w:rsid w:val="00D43664"/>
    <w:rsid w:val="00D4376B"/>
    <w:rsid w:val="00D438EF"/>
    <w:rsid w:val="00D439C9"/>
    <w:rsid w:val="00D439DB"/>
    <w:rsid w:val="00D43BB4"/>
    <w:rsid w:val="00D43BD9"/>
    <w:rsid w:val="00D43BDF"/>
    <w:rsid w:val="00D43C79"/>
    <w:rsid w:val="00D43D22"/>
    <w:rsid w:val="00D43D4A"/>
    <w:rsid w:val="00D43EA6"/>
    <w:rsid w:val="00D44034"/>
    <w:rsid w:val="00D44160"/>
    <w:rsid w:val="00D441B3"/>
    <w:rsid w:val="00D4431F"/>
    <w:rsid w:val="00D443FC"/>
    <w:rsid w:val="00D4455D"/>
    <w:rsid w:val="00D4470B"/>
    <w:rsid w:val="00D448C6"/>
    <w:rsid w:val="00D44B26"/>
    <w:rsid w:val="00D44D96"/>
    <w:rsid w:val="00D44FA7"/>
    <w:rsid w:val="00D45354"/>
    <w:rsid w:val="00D45884"/>
    <w:rsid w:val="00D45938"/>
    <w:rsid w:val="00D45AA3"/>
    <w:rsid w:val="00D45CB4"/>
    <w:rsid w:val="00D45D06"/>
    <w:rsid w:val="00D45D75"/>
    <w:rsid w:val="00D45DB4"/>
    <w:rsid w:val="00D460F8"/>
    <w:rsid w:val="00D461C9"/>
    <w:rsid w:val="00D46244"/>
    <w:rsid w:val="00D46249"/>
    <w:rsid w:val="00D4626D"/>
    <w:rsid w:val="00D46306"/>
    <w:rsid w:val="00D463F9"/>
    <w:rsid w:val="00D46442"/>
    <w:rsid w:val="00D4644C"/>
    <w:rsid w:val="00D4664F"/>
    <w:rsid w:val="00D46A40"/>
    <w:rsid w:val="00D46B59"/>
    <w:rsid w:val="00D46BDB"/>
    <w:rsid w:val="00D46CD8"/>
    <w:rsid w:val="00D46F06"/>
    <w:rsid w:val="00D47365"/>
    <w:rsid w:val="00D4737D"/>
    <w:rsid w:val="00D4765E"/>
    <w:rsid w:val="00D476B6"/>
    <w:rsid w:val="00D47735"/>
    <w:rsid w:val="00D477BE"/>
    <w:rsid w:val="00D47936"/>
    <w:rsid w:val="00D47946"/>
    <w:rsid w:val="00D47B08"/>
    <w:rsid w:val="00D47C09"/>
    <w:rsid w:val="00D47CD0"/>
    <w:rsid w:val="00D47EED"/>
    <w:rsid w:val="00D502A9"/>
    <w:rsid w:val="00D503A5"/>
    <w:rsid w:val="00D503DE"/>
    <w:rsid w:val="00D504E3"/>
    <w:rsid w:val="00D505CB"/>
    <w:rsid w:val="00D50699"/>
    <w:rsid w:val="00D50A6A"/>
    <w:rsid w:val="00D50C18"/>
    <w:rsid w:val="00D50C5A"/>
    <w:rsid w:val="00D50C91"/>
    <w:rsid w:val="00D50F03"/>
    <w:rsid w:val="00D5123D"/>
    <w:rsid w:val="00D51352"/>
    <w:rsid w:val="00D51466"/>
    <w:rsid w:val="00D514B6"/>
    <w:rsid w:val="00D516EE"/>
    <w:rsid w:val="00D518CE"/>
    <w:rsid w:val="00D5193C"/>
    <w:rsid w:val="00D51BAC"/>
    <w:rsid w:val="00D51C05"/>
    <w:rsid w:val="00D520A1"/>
    <w:rsid w:val="00D520EE"/>
    <w:rsid w:val="00D52222"/>
    <w:rsid w:val="00D52986"/>
    <w:rsid w:val="00D52BE9"/>
    <w:rsid w:val="00D52CB4"/>
    <w:rsid w:val="00D52DDC"/>
    <w:rsid w:val="00D530D9"/>
    <w:rsid w:val="00D5312B"/>
    <w:rsid w:val="00D532A6"/>
    <w:rsid w:val="00D533FE"/>
    <w:rsid w:val="00D5343B"/>
    <w:rsid w:val="00D53703"/>
    <w:rsid w:val="00D53964"/>
    <w:rsid w:val="00D53BB8"/>
    <w:rsid w:val="00D53D4F"/>
    <w:rsid w:val="00D53D84"/>
    <w:rsid w:val="00D53E08"/>
    <w:rsid w:val="00D54098"/>
    <w:rsid w:val="00D5441A"/>
    <w:rsid w:val="00D54461"/>
    <w:rsid w:val="00D547E3"/>
    <w:rsid w:val="00D548B8"/>
    <w:rsid w:val="00D548E3"/>
    <w:rsid w:val="00D5495C"/>
    <w:rsid w:val="00D54A5F"/>
    <w:rsid w:val="00D54B41"/>
    <w:rsid w:val="00D54F3B"/>
    <w:rsid w:val="00D54F4E"/>
    <w:rsid w:val="00D55908"/>
    <w:rsid w:val="00D55940"/>
    <w:rsid w:val="00D559C3"/>
    <w:rsid w:val="00D55A53"/>
    <w:rsid w:val="00D55AE6"/>
    <w:rsid w:val="00D55EB9"/>
    <w:rsid w:val="00D55F29"/>
    <w:rsid w:val="00D56337"/>
    <w:rsid w:val="00D56360"/>
    <w:rsid w:val="00D56367"/>
    <w:rsid w:val="00D56391"/>
    <w:rsid w:val="00D56722"/>
    <w:rsid w:val="00D5678F"/>
    <w:rsid w:val="00D5697D"/>
    <w:rsid w:val="00D569D9"/>
    <w:rsid w:val="00D569EB"/>
    <w:rsid w:val="00D56D4B"/>
    <w:rsid w:val="00D56DAC"/>
    <w:rsid w:val="00D56DF0"/>
    <w:rsid w:val="00D56FE8"/>
    <w:rsid w:val="00D57029"/>
    <w:rsid w:val="00D570E4"/>
    <w:rsid w:val="00D572F6"/>
    <w:rsid w:val="00D57526"/>
    <w:rsid w:val="00D5754A"/>
    <w:rsid w:val="00D576BC"/>
    <w:rsid w:val="00D57824"/>
    <w:rsid w:val="00D57BE7"/>
    <w:rsid w:val="00D57CB4"/>
    <w:rsid w:val="00D57CD6"/>
    <w:rsid w:val="00D57DB7"/>
    <w:rsid w:val="00D57F56"/>
    <w:rsid w:val="00D602BD"/>
    <w:rsid w:val="00D60325"/>
    <w:rsid w:val="00D60387"/>
    <w:rsid w:val="00D60812"/>
    <w:rsid w:val="00D60986"/>
    <w:rsid w:val="00D60A08"/>
    <w:rsid w:val="00D60A4D"/>
    <w:rsid w:val="00D60B3C"/>
    <w:rsid w:val="00D60B4A"/>
    <w:rsid w:val="00D60B4B"/>
    <w:rsid w:val="00D60B70"/>
    <w:rsid w:val="00D60C35"/>
    <w:rsid w:val="00D60DEA"/>
    <w:rsid w:val="00D60F84"/>
    <w:rsid w:val="00D61125"/>
    <w:rsid w:val="00D61453"/>
    <w:rsid w:val="00D615AE"/>
    <w:rsid w:val="00D61679"/>
    <w:rsid w:val="00D617EA"/>
    <w:rsid w:val="00D6180D"/>
    <w:rsid w:val="00D61958"/>
    <w:rsid w:val="00D6203B"/>
    <w:rsid w:val="00D62208"/>
    <w:rsid w:val="00D622E0"/>
    <w:rsid w:val="00D6250B"/>
    <w:rsid w:val="00D6256B"/>
    <w:rsid w:val="00D6265F"/>
    <w:rsid w:val="00D6277A"/>
    <w:rsid w:val="00D62789"/>
    <w:rsid w:val="00D62C63"/>
    <w:rsid w:val="00D62FE1"/>
    <w:rsid w:val="00D631D4"/>
    <w:rsid w:val="00D6374C"/>
    <w:rsid w:val="00D63924"/>
    <w:rsid w:val="00D63A7F"/>
    <w:rsid w:val="00D63A8F"/>
    <w:rsid w:val="00D63B6B"/>
    <w:rsid w:val="00D63CFE"/>
    <w:rsid w:val="00D63DF1"/>
    <w:rsid w:val="00D63E6D"/>
    <w:rsid w:val="00D63FF3"/>
    <w:rsid w:val="00D64002"/>
    <w:rsid w:val="00D640D1"/>
    <w:rsid w:val="00D64113"/>
    <w:rsid w:val="00D6416C"/>
    <w:rsid w:val="00D64239"/>
    <w:rsid w:val="00D6429A"/>
    <w:rsid w:val="00D64481"/>
    <w:rsid w:val="00D64597"/>
    <w:rsid w:val="00D645C6"/>
    <w:rsid w:val="00D646BA"/>
    <w:rsid w:val="00D648C9"/>
    <w:rsid w:val="00D649A1"/>
    <w:rsid w:val="00D649C0"/>
    <w:rsid w:val="00D64EC9"/>
    <w:rsid w:val="00D651FF"/>
    <w:rsid w:val="00D6523A"/>
    <w:rsid w:val="00D65381"/>
    <w:rsid w:val="00D658BA"/>
    <w:rsid w:val="00D658CF"/>
    <w:rsid w:val="00D65955"/>
    <w:rsid w:val="00D65AF9"/>
    <w:rsid w:val="00D65B55"/>
    <w:rsid w:val="00D65E15"/>
    <w:rsid w:val="00D65EBB"/>
    <w:rsid w:val="00D65F2A"/>
    <w:rsid w:val="00D65FEB"/>
    <w:rsid w:val="00D662CA"/>
    <w:rsid w:val="00D66360"/>
    <w:rsid w:val="00D66492"/>
    <w:rsid w:val="00D664C2"/>
    <w:rsid w:val="00D666E5"/>
    <w:rsid w:val="00D66883"/>
    <w:rsid w:val="00D668ED"/>
    <w:rsid w:val="00D66BF1"/>
    <w:rsid w:val="00D6705D"/>
    <w:rsid w:val="00D67085"/>
    <w:rsid w:val="00D67198"/>
    <w:rsid w:val="00D671EA"/>
    <w:rsid w:val="00D6726A"/>
    <w:rsid w:val="00D6729E"/>
    <w:rsid w:val="00D67368"/>
    <w:rsid w:val="00D67370"/>
    <w:rsid w:val="00D674EE"/>
    <w:rsid w:val="00D6755B"/>
    <w:rsid w:val="00D676AD"/>
    <w:rsid w:val="00D6776A"/>
    <w:rsid w:val="00D6782D"/>
    <w:rsid w:val="00D678DF"/>
    <w:rsid w:val="00D67A00"/>
    <w:rsid w:val="00D67B74"/>
    <w:rsid w:val="00D67F1A"/>
    <w:rsid w:val="00D700CE"/>
    <w:rsid w:val="00D7050D"/>
    <w:rsid w:val="00D70677"/>
    <w:rsid w:val="00D70793"/>
    <w:rsid w:val="00D707B4"/>
    <w:rsid w:val="00D70889"/>
    <w:rsid w:val="00D7089B"/>
    <w:rsid w:val="00D7096A"/>
    <w:rsid w:val="00D70D2E"/>
    <w:rsid w:val="00D70DFD"/>
    <w:rsid w:val="00D70E45"/>
    <w:rsid w:val="00D710D8"/>
    <w:rsid w:val="00D7128B"/>
    <w:rsid w:val="00D712D6"/>
    <w:rsid w:val="00D71476"/>
    <w:rsid w:val="00D714E2"/>
    <w:rsid w:val="00D717A0"/>
    <w:rsid w:val="00D71829"/>
    <w:rsid w:val="00D71942"/>
    <w:rsid w:val="00D719C9"/>
    <w:rsid w:val="00D71A63"/>
    <w:rsid w:val="00D71AAE"/>
    <w:rsid w:val="00D71C16"/>
    <w:rsid w:val="00D71DDF"/>
    <w:rsid w:val="00D72127"/>
    <w:rsid w:val="00D7225C"/>
    <w:rsid w:val="00D724E2"/>
    <w:rsid w:val="00D726F0"/>
    <w:rsid w:val="00D727AA"/>
    <w:rsid w:val="00D727F8"/>
    <w:rsid w:val="00D72943"/>
    <w:rsid w:val="00D7297B"/>
    <w:rsid w:val="00D72D30"/>
    <w:rsid w:val="00D72D9B"/>
    <w:rsid w:val="00D72DF0"/>
    <w:rsid w:val="00D72DF6"/>
    <w:rsid w:val="00D72E43"/>
    <w:rsid w:val="00D73349"/>
    <w:rsid w:val="00D734FE"/>
    <w:rsid w:val="00D73553"/>
    <w:rsid w:val="00D736CC"/>
    <w:rsid w:val="00D73703"/>
    <w:rsid w:val="00D73790"/>
    <w:rsid w:val="00D741E2"/>
    <w:rsid w:val="00D742E4"/>
    <w:rsid w:val="00D742F6"/>
    <w:rsid w:val="00D7430E"/>
    <w:rsid w:val="00D74397"/>
    <w:rsid w:val="00D743EF"/>
    <w:rsid w:val="00D74405"/>
    <w:rsid w:val="00D74637"/>
    <w:rsid w:val="00D7465E"/>
    <w:rsid w:val="00D74698"/>
    <w:rsid w:val="00D74B72"/>
    <w:rsid w:val="00D74C0E"/>
    <w:rsid w:val="00D74EE9"/>
    <w:rsid w:val="00D74FA9"/>
    <w:rsid w:val="00D74FD2"/>
    <w:rsid w:val="00D7516E"/>
    <w:rsid w:val="00D75175"/>
    <w:rsid w:val="00D757A6"/>
    <w:rsid w:val="00D757E3"/>
    <w:rsid w:val="00D7591B"/>
    <w:rsid w:val="00D75B92"/>
    <w:rsid w:val="00D75BF9"/>
    <w:rsid w:val="00D75BFF"/>
    <w:rsid w:val="00D75C4F"/>
    <w:rsid w:val="00D75CC9"/>
    <w:rsid w:val="00D75E37"/>
    <w:rsid w:val="00D75E73"/>
    <w:rsid w:val="00D76145"/>
    <w:rsid w:val="00D761C0"/>
    <w:rsid w:val="00D76474"/>
    <w:rsid w:val="00D765A0"/>
    <w:rsid w:val="00D76682"/>
    <w:rsid w:val="00D768D7"/>
    <w:rsid w:val="00D769F5"/>
    <w:rsid w:val="00D76A9E"/>
    <w:rsid w:val="00D76BA9"/>
    <w:rsid w:val="00D76EDF"/>
    <w:rsid w:val="00D77228"/>
    <w:rsid w:val="00D773CE"/>
    <w:rsid w:val="00D773DC"/>
    <w:rsid w:val="00D776C7"/>
    <w:rsid w:val="00D77703"/>
    <w:rsid w:val="00D77805"/>
    <w:rsid w:val="00D7782B"/>
    <w:rsid w:val="00D77884"/>
    <w:rsid w:val="00D77B08"/>
    <w:rsid w:val="00D77C7B"/>
    <w:rsid w:val="00D77D3D"/>
    <w:rsid w:val="00D77DAF"/>
    <w:rsid w:val="00D77E65"/>
    <w:rsid w:val="00D77F98"/>
    <w:rsid w:val="00D8015F"/>
    <w:rsid w:val="00D80167"/>
    <w:rsid w:val="00D8018C"/>
    <w:rsid w:val="00D803B4"/>
    <w:rsid w:val="00D80514"/>
    <w:rsid w:val="00D8058B"/>
    <w:rsid w:val="00D80A9C"/>
    <w:rsid w:val="00D80B14"/>
    <w:rsid w:val="00D80BD6"/>
    <w:rsid w:val="00D80D7A"/>
    <w:rsid w:val="00D80F89"/>
    <w:rsid w:val="00D80FE0"/>
    <w:rsid w:val="00D8122A"/>
    <w:rsid w:val="00D812DF"/>
    <w:rsid w:val="00D8133C"/>
    <w:rsid w:val="00D813DB"/>
    <w:rsid w:val="00D81450"/>
    <w:rsid w:val="00D81792"/>
    <w:rsid w:val="00D817B1"/>
    <w:rsid w:val="00D81943"/>
    <w:rsid w:val="00D81BFB"/>
    <w:rsid w:val="00D81CC9"/>
    <w:rsid w:val="00D81CF5"/>
    <w:rsid w:val="00D81E2C"/>
    <w:rsid w:val="00D81E4C"/>
    <w:rsid w:val="00D81EC2"/>
    <w:rsid w:val="00D81EDD"/>
    <w:rsid w:val="00D81EE0"/>
    <w:rsid w:val="00D8205D"/>
    <w:rsid w:val="00D822FD"/>
    <w:rsid w:val="00D8240A"/>
    <w:rsid w:val="00D8248F"/>
    <w:rsid w:val="00D825B2"/>
    <w:rsid w:val="00D82B9F"/>
    <w:rsid w:val="00D82BDD"/>
    <w:rsid w:val="00D82D0B"/>
    <w:rsid w:val="00D82DD9"/>
    <w:rsid w:val="00D82EB5"/>
    <w:rsid w:val="00D82F37"/>
    <w:rsid w:val="00D832D1"/>
    <w:rsid w:val="00D833B6"/>
    <w:rsid w:val="00D834FD"/>
    <w:rsid w:val="00D83512"/>
    <w:rsid w:val="00D836F0"/>
    <w:rsid w:val="00D8370E"/>
    <w:rsid w:val="00D83789"/>
    <w:rsid w:val="00D83853"/>
    <w:rsid w:val="00D838D7"/>
    <w:rsid w:val="00D83913"/>
    <w:rsid w:val="00D83BA0"/>
    <w:rsid w:val="00D83D64"/>
    <w:rsid w:val="00D83FE5"/>
    <w:rsid w:val="00D840BB"/>
    <w:rsid w:val="00D846BB"/>
    <w:rsid w:val="00D847AA"/>
    <w:rsid w:val="00D8497E"/>
    <w:rsid w:val="00D84B32"/>
    <w:rsid w:val="00D84E41"/>
    <w:rsid w:val="00D84FC6"/>
    <w:rsid w:val="00D85085"/>
    <w:rsid w:val="00D852B9"/>
    <w:rsid w:val="00D853A3"/>
    <w:rsid w:val="00D854CC"/>
    <w:rsid w:val="00D85584"/>
    <w:rsid w:val="00D855B1"/>
    <w:rsid w:val="00D85882"/>
    <w:rsid w:val="00D85964"/>
    <w:rsid w:val="00D85A3F"/>
    <w:rsid w:val="00D85CA2"/>
    <w:rsid w:val="00D85DDA"/>
    <w:rsid w:val="00D85EE3"/>
    <w:rsid w:val="00D8600D"/>
    <w:rsid w:val="00D86135"/>
    <w:rsid w:val="00D8629A"/>
    <w:rsid w:val="00D863E6"/>
    <w:rsid w:val="00D86405"/>
    <w:rsid w:val="00D86626"/>
    <w:rsid w:val="00D86A61"/>
    <w:rsid w:val="00D86C13"/>
    <w:rsid w:val="00D86F19"/>
    <w:rsid w:val="00D86FEE"/>
    <w:rsid w:val="00D87087"/>
    <w:rsid w:val="00D870A4"/>
    <w:rsid w:val="00D871C9"/>
    <w:rsid w:val="00D874C8"/>
    <w:rsid w:val="00D875A9"/>
    <w:rsid w:val="00D877C3"/>
    <w:rsid w:val="00D877E7"/>
    <w:rsid w:val="00D879AF"/>
    <w:rsid w:val="00D879F5"/>
    <w:rsid w:val="00D87E6C"/>
    <w:rsid w:val="00D87F89"/>
    <w:rsid w:val="00D90176"/>
    <w:rsid w:val="00D903D2"/>
    <w:rsid w:val="00D904A0"/>
    <w:rsid w:val="00D906F9"/>
    <w:rsid w:val="00D908B0"/>
    <w:rsid w:val="00D90907"/>
    <w:rsid w:val="00D909F2"/>
    <w:rsid w:val="00D90AB3"/>
    <w:rsid w:val="00D90BD1"/>
    <w:rsid w:val="00D90DDA"/>
    <w:rsid w:val="00D90E00"/>
    <w:rsid w:val="00D9102C"/>
    <w:rsid w:val="00D910B4"/>
    <w:rsid w:val="00D91138"/>
    <w:rsid w:val="00D912F3"/>
    <w:rsid w:val="00D9191B"/>
    <w:rsid w:val="00D91B37"/>
    <w:rsid w:val="00D91C21"/>
    <w:rsid w:val="00D91DF8"/>
    <w:rsid w:val="00D91F06"/>
    <w:rsid w:val="00D91FF2"/>
    <w:rsid w:val="00D9201E"/>
    <w:rsid w:val="00D920C2"/>
    <w:rsid w:val="00D92314"/>
    <w:rsid w:val="00D925E9"/>
    <w:rsid w:val="00D92757"/>
    <w:rsid w:val="00D9283A"/>
    <w:rsid w:val="00D92960"/>
    <w:rsid w:val="00D929E9"/>
    <w:rsid w:val="00D92B12"/>
    <w:rsid w:val="00D92B24"/>
    <w:rsid w:val="00D92BA7"/>
    <w:rsid w:val="00D92BD1"/>
    <w:rsid w:val="00D92BE0"/>
    <w:rsid w:val="00D92CC9"/>
    <w:rsid w:val="00D92ED7"/>
    <w:rsid w:val="00D92F3F"/>
    <w:rsid w:val="00D92F6B"/>
    <w:rsid w:val="00D92F86"/>
    <w:rsid w:val="00D92FFC"/>
    <w:rsid w:val="00D93023"/>
    <w:rsid w:val="00D93228"/>
    <w:rsid w:val="00D933ED"/>
    <w:rsid w:val="00D9342F"/>
    <w:rsid w:val="00D93443"/>
    <w:rsid w:val="00D9345F"/>
    <w:rsid w:val="00D938E6"/>
    <w:rsid w:val="00D93958"/>
    <w:rsid w:val="00D9398B"/>
    <w:rsid w:val="00D93C6F"/>
    <w:rsid w:val="00D93C7B"/>
    <w:rsid w:val="00D93CA4"/>
    <w:rsid w:val="00D93DA2"/>
    <w:rsid w:val="00D94201"/>
    <w:rsid w:val="00D942A8"/>
    <w:rsid w:val="00D947AF"/>
    <w:rsid w:val="00D94C24"/>
    <w:rsid w:val="00D94E94"/>
    <w:rsid w:val="00D94FA6"/>
    <w:rsid w:val="00D95224"/>
    <w:rsid w:val="00D952DA"/>
    <w:rsid w:val="00D955A2"/>
    <w:rsid w:val="00D95848"/>
    <w:rsid w:val="00D959EC"/>
    <w:rsid w:val="00D95A47"/>
    <w:rsid w:val="00D95CB7"/>
    <w:rsid w:val="00D95E76"/>
    <w:rsid w:val="00D95F8E"/>
    <w:rsid w:val="00D9603D"/>
    <w:rsid w:val="00D9611A"/>
    <w:rsid w:val="00D961B2"/>
    <w:rsid w:val="00D961D1"/>
    <w:rsid w:val="00D967C5"/>
    <w:rsid w:val="00D968F7"/>
    <w:rsid w:val="00D96A0E"/>
    <w:rsid w:val="00D96C46"/>
    <w:rsid w:val="00D96CD5"/>
    <w:rsid w:val="00D96CFB"/>
    <w:rsid w:val="00D96D08"/>
    <w:rsid w:val="00D96DFC"/>
    <w:rsid w:val="00D96E26"/>
    <w:rsid w:val="00D96E55"/>
    <w:rsid w:val="00D96FDE"/>
    <w:rsid w:val="00D97108"/>
    <w:rsid w:val="00D9749B"/>
    <w:rsid w:val="00D978A7"/>
    <w:rsid w:val="00D979F2"/>
    <w:rsid w:val="00D97B91"/>
    <w:rsid w:val="00D97CB3"/>
    <w:rsid w:val="00D97E15"/>
    <w:rsid w:val="00D97F0A"/>
    <w:rsid w:val="00DA000A"/>
    <w:rsid w:val="00DA01A3"/>
    <w:rsid w:val="00DA01D0"/>
    <w:rsid w:val="00DA01FE"/>
    <w:rsid w:val="00DA0275"/>
    <w:rsid w:val="00DA03C2"/>
    <w:rsid w:val="00DA0447"/>
    <w:rsid w:val="00DA0449"/>
    <w:rsid w:val="00DA05C1"/>
    <w:rsid w:val="00DA0683"/>
    <w:rsid w:val="00DA0824"/>
    <w:rsid w:val="00DA0993"/>
    <w:rsid w:val="00DA09E9"/>
    <w:rsid w:val="00DA0CF9"/>
    <w:rsid w:val="00DA1013"/>
    <w:rsid w:val="00DA12FA"/>
    <w:rsid w:val="00DA13C6"/>
    <w:rsid w:val="00DA1434"/>
    <w:rsid w:val="00DA145B"/>
    <w:rsid w:val="00DA15CF"/>
    <w:rsid w:val="00DA18CC"/>
    <w:rsid w:val="00DA18DB"/>
    <w:rsid w:val="00DA218C"/>
    <w:rsid w:val="00DA2220"/>
    <w:rsid w:val="00DA22C9"/>
    <w:rsid w:val="00DA2446"/>
    <w:rsid w:val="00DA2497"/>
    <w:rsid w:val="00DA2778"/>
    <w:rsid w:val="00DA27FD"/>
    <w:rsid w:val="00DA2A5F"/>
    <w:rsid w:val="00DA2B0D"/>
    <w:rsid w:val="00DA2BAC"/>
    <w:rsid w:val="00DA2BC2"/>
    <w:rsid w:val="00DA2BE2"/>
    <w:rsid w:val="00DA2EFB"/>
    <w:rsid w:val="00DA30B3"/>
    <w:rsid w:val="00DA31D1"/>
    <w:rsid w:val="00DA32C1"/>
    <w:rsid w:val="00DA3734"/>
    <w:rsid w:val="00DA378F"/>
    <w:rsid w:val="00DA37F4"/>
    <w:rsid w:val="00DA383B"/>
    <w:rsid w:val="00DA38A7"/>
    <w:rsid w:val="00DA396F"/>
    <w:rsid w:val="00DA3C4E"/>
    <w:rsid w:val="00DA3C9D"/>
    <w:rsid w:val="00DA3D36"/>
    <w:rsid w:val="00DA3E22"/>
    <w:rsid w:val="00DA3FAD"/>
    <w:rsid w:val="00DA42AA"/>
    <w:rsid w:val="00DA43D2"/>
    <w:rsid w:val="00DA4524"/>
    <w:rsid w:val="00DA4570"/>
    <w:rsid w:val="00DA4739"/>
    <w:rsid w:val="00DA47BC"/>
    <w:rsid w:val="00DA4911"/>
    <w:rsid w:val="00DA492A"/>
    <w:rsid w:val="00DA4A8A"/>
    <w:rsid w:val="00DA4D36"/>
    <w:rsid w:val="00DA4FD6"/>
    <w:rsid w:val="00DA50E2"/>
    <w:rsid w:val="00DA5272"/>
    <w:rsid w:val="00DA5575"/>
    <w:rsid w:val="00DA59CB"/>
    <w:rsid w:val="00DA5B71"/>
    <w:rsid w:val="00DA5FD7"/>
    <w:rsid w:val="00DA602E"/>
    <w:rsid w:val="00DA6192"/>
    <w:rsid w:val="00DA6194"/>
    <w:rsid w:val="00DA61D8"/>
    <w:rsid w:val="00DA61DD"/>
    <w:rsid w:val="00DA6234"/>
    <w:rsid w:val="00DA623E"/>
    <w:rsid w:val="00DA630F"/>
    <w:rsid w:val="00DA63EE"/>
    <w:rsid w:val="00DA6572"/>
    <w:rsid w:val="00DA6681"/>
    <w:rsid w:val="00DA672E"/>
    <w:rsid w:val="00DA675B"/>
    <w:rsid w:val="00DA696A"/>
    <w:rsid w:val="00DA6984"/>
    <w:rsid w:val="00DA69D7"/>
    <w:rsid w:val="00DA6BFB"/>
    <w:rsid w:val="00DA6C35"/>
    <w:rsid w:val="00DA6DDA"/>
    <w:rsid w:val="00DA6EF6"/>
    <w:rsid w:val="00DA6F23"/>
    <w:rsid w:val="00DA71F8"/>
    <w:rsid w:val="00DA723C"/>
    <w:rsid w:val="00DA773E"/>
    <w:rsid w:val="00DA779F"/>
    <w:rsid w:val="00DA7873"/>
    <w:rsid w:val="00DA7AAC"/>
    <w:rsid w:val="00DA7BDB"/>
    <w:rsid w:val="00DA7C24"/>
    <w:rsid w:val="00DA7D80"/>
    <w:rsid w:val="00DA7DF3"/>
    <w:rsid w:val="00DA7E23"/>
    <w:rsid w:val="00DA7EEB"/>
    <w:rsid w:val="00DA7FAE"/>
    <w:rsid w:val="00DB007D"/>
    <w:rsid w:val="00DB010D"/>
    <w:rsid w:val="00DB0231"/>
    <w:rsid w:val="00DB0366"/>
    <w:rsid w:val="00DB0587"/>
    <w:rsid w:val="00DB0721"/>
    <w:rsid w:val="00DB0AC9"/>
    <w:rsid w:val="00DB0B22"/>
    <w:rsid w:val="00DB0B66"/>
    <w:rsid w:val="00DB0C41"/>
    <w:rsid w:val="00DB0EEF"/>
    <w:rsid w:val="00DB10B0"/>
    <w:rsid w:val="00DB1366"/>
    <w:rsid w:val="00DB13B7"/>
    <w:rsid w:val="00DB13BB"/>
    <w:rsid w:val="00DB14BD"/>
    <w:rsid w:val="00DB15FE"/>
    <w:rsid w:val="00DB1612"/>
    <w:rsid w:val="00DB16C3"/>
    <w:rsid w:val="00DB17DC"/>
    <w:rsid w:val="00DB18CF"/>
    <w:rsid w:val="00DB18D9"/>
    <w:rsid w:val="00DB1A29"/>
    <w:rsid w:val="00DB1B63"/>
    <w:rsid w:val="00DB1C14"/>
    <w:rsid w:val="00DB1D00"/>
    <w:rsid w:val="00DB1D9F"/>
    <w:rsid w:val="00DB1DAD"/>
    <w:rsid w:val="00DB21E9"/>
    <w:rsid w:val="00DB2270"/>
    <w:rsid w:val="00DB2273"/>
    <w:rsid w:val="00DB24D0"/>
    <w:rsid w:val="00DB25B3"/>
    <w:rsid w:val="00DB25F1"/>
    <w:rsid w:val="00DB26A1"/>
    <w:rsid w:val="00DB26B3"/>
    <w:rsid w:val="00DB275A"/>
    <w:rsid w:val="00DB2808"/>
    <w:rsid w:val="00DB28A5"/>
    <w:rsid w:val="00DB28BB"/>
    <w:rsid w:val="00DB29E4"/>
    <w:rsid w:val="00DB2B1A"/>
    <w:rsid w:val="00DB2CD3"/>
    <w:rsid w:val="00DB2CD5"/>
    <w:rsid w:val="00DB2ECA"/>
    <w:rsid w:val="00DB2F0F"/>
    <w:rsid w:val="00DB2F11"/>
    <w:rsid w:val="00DB306D"/>
    <w:rsid w:val="00DB3079"/>
    <w:rsid w:val="00DB30BF"/>
    <w:rsid w:val="00DB3358"/>
    <w:rsid w:val="00DB374C"/>
    <w:rsid w:val="00DB3BE5"/>
    <w:rsid w:val="00DB3E1E"/>
    <w:rsid w:val="00DB4196"/>
    <w:rsid w:val="00DB424E"/>
    <w:rsid w:val="00DB4707"/>
    <w:rsid w:val="00DB48AC"/>
    <w:rsid w:val="00DB4A54"/>
    <w:rsid w:val="00DB4CCD"/>
    <w:rsid w:val="00DB4E23"/>
    <w:rsid w:val="00DB4E7B"/>
    <w:rsid w:val="00DB502D"/>
    <w:rsid w:val="00DB54B6"/>
    <w:rsid w:val="00DB5922"/>
    <w:rsid w:val="00DB5BFB"/>
    <w:rsid w:val="00DB5C14"/>
    <w:rsid w:val="00DB5C58"/>
    <w:rsid w:val="00DB5CB1"/>
    <w:rsid w:val="00DB5D57"/>
    <w:rsid w:val="00DB5D9D"/>
    <w:rsid w:val="00DB5E04"/>
    <w:rsid w:val="00DB5E35"/>
    <w:rsid w:val="00DB5E74"/>
    <w:rsid w:val="00DB5EA2"/>
    <w:rsid w:val="00DB5F38"/>
    <w:rsid w:val="00DB6093"/>
    <w:rsid w:val="00DB609B"/>
    <w:rsid w:val="00DB60B0"/>
    <w:rsid w:val="00DB64CA"/>
    <w:rsid w:val="00DB65AC"/>
    <w:rsid w:val="00DB66E4"/>
    <w:rsid w:val="00DB69A7"/>
    <w:rsid w:val="00DB69B5"/>
    <w:rsid w:val="00DB6B85"/>
    <w:rsid w:val="00DB6C30"/>
    <w:rsid w:val="00DB6CEE"/>
    <w:rsid w:val="00DB6E06"/>
    <w:rsid w:val="00DB70FA"/>
    <w:rsid w:val="00DB72EC"/>
    <w:rsid w:val="00DB740C"/>
    <w:rsid w:val="00DB7535"/>
    <w:rsid w:val="00DB765E"/>
    <w:rsid w:val="00DB7697"/>
    <w:rsid w:val="00DB77CC"/>
    <w:rsid w:val="00DB7836"/>
    <w:rsid w:val="00DB7A27"/>
    <w:rsid w:val="00DB7B06"/>
    <w:rsid w:val="00DB7B77"/>
    <w:rsid w:val="00DB7D1C"/>
    <w:rsid w:val="00DB7DB7"/>
    <w:rsid w:val="00DB7ED6"/>
    <w:rsid w:val="00DC0198"/>
    <w:rsid w:val="00DC0233"/>
    <w:rsid w:val="00DC02AE"/>
    <w:rsid w:val="00DC02C1"/>
    <w:rsid w:val="00DC0475"/>
    <w:rsid w:val="00DC04C8"/>
    <w:rsid w:val="00DC0963"/>
    <w:rsid w:val="00DC09D1"/>
    <w:rsid w:val="00DC0B2E"/>
    <w:rsid w:val="00DC0B3B"/>
    <w:rsid w:val="00DC0B6D"/>
    <w:rsid w:val="00DC0DC3"/>
    <w:rsid w:val="00DC0EC9"/>
    <w:rsid w:val="00DC0F0E"/>
    <w:rsid w:val="00DC0FD5"/>
    <w:rsid w:val="00DC0FE9"/>
    <w:rsid w:val="00DC114E"/>
    <w:rsid w:val="00DC1299"/>
    <w:rsid w:val="00DC13FD"/>
    <w:rsid w:val="00DC14E9"/>
    <w:rsid w:val="00DC15F7"/>
    <w:rsid w:val="00DC181A"/>
    <w:rsid w:val="00DC1C30"/>
    <w:rsid w:val="00DC1D96"/>
    <w:rsid w:val="00DC1EC0"/>
    <w:rsid w:val="00DC1F0B"/>
    <w:rsid w:val="00DC1F54"/>
    <w:rsid w:val="00DC20C0"/>
    <w:rsid w:val="00DC2206"/>
    <w:rsid w:val="00DC2326"/>
    <w:rsid w:val="00DC2567"/>
    <w:rsid w:val="00DC259E"/>
    <w:rsid w:val="00DC26AA"/>
    <w:rsid w:val="00DC26AF"/>
    <w:rsid w:val="00DC2732"/>
    <w:rsid w:val="00DC2772"/>
    <w:rsid w:val="00DC2985"/>
    <w:rsid w:val="00DC2A87"/>
    <w:rsid w:val="00DC2C90"/>
    <w:rsid w:val="00DC2D05"/>
    <w:rsid w:val="00DC2D3D"/>
    <w:rsid w:val="00DC2D63"/>
    <w:rsid w:val="00DC2DCD"/>
    <w:rsid w:val="00DC2EEE"/>
    <w:rsid w:val="00DC2FD2"/>
    <w:rsid w:val="00DC3299"/>
    <w:rsid w:val="00DC3725"/>
    <w:rsid w:val="00DC373F"/>
    <w:rsid w:val="00DC37AE"/>
    <w:rsid w:val="00DC3CCC"/>
    <w:rsid w:val="00DC4026"/>
    <w:rsid w:val="00DC4202"/>
    <w:rsid w:val="00DC4386"/>
    <w:rsid w:val="00DC438A"/>
    <w:rsid w:val="00DC4438"/>
    <w:rsid w:val="00DC46CB"/>
    <w:rsid w:val="00DC47F2"/>
    <w:rsid w:val="00DC4EA5"/>
    <w:rsid w:val="00DC4EC8"/>
    <w:rsid w:val="00DC519E"/>
    <w:rsid w:val="00DC51AD"/>
    <w:rsid w:val="00DC5237"/>
    <w:rsid w:val="00DC5298"/>
    <w:rsid w:val="00DC5681"/>
    <w:rsid w:val="00DC57A4"/>
    <w:rsid w:val="00DC5922"/>
    <w:rsid w:val="00DC5BEB"/>
    <w:rsid w:val="00DC5DE4"/>
    <w:rsid w:val="00DC609C"/>
    <w:rsid w:val="00DC6286"/>
    <w:rsid w:val="00DC64AA"/>
    <w:rsid w:val="00DC6690"/>
    <w:rsid w:val="00DC679B"/>
    <w:rsid w:val="00DC6A5F"/>
    <w:rsid w:val="00DC6D97"/>
    <w:rsid w:val="00DC6D9C"/>
    <w:rsid w:val="00DC6E9F"/>
    <w:rsid w:val="00DC6F69"/>
    <w:rsid w:val="00DC70C1"/>
    <w:rsid w:val="00DC712E"/>
    <w:rsid w:val="00DC7165"/>
    <w:rsid w:val="00DC720F"/>
    <w:rsid w:val="00DC72ED"/>
    <w:rsid w:val="00DC73E8"/>
    <w:rsid w:val="00DC74D5"/>
    <w:rsid w:val="00DC7568"/>
    <w:rsid w:val="00DC767A"/>
    <w:rsid w:val="00DC7704"/>
    <w:rsid w:val="00DC7801"/>
    <w:rsid w:val="00DC7913"/>
    <w:rsid w:val="00DC7962"/>
    <w:rsid w:val="00DC7B87"/>
    <w:rsid w:val="00DC7C1E"/>
    <w:rsid w:val="00DC7C86"/>
    <w:rsid w:val="00DC7D39"/>
    <w:rsid w:val="00DC7D84"/>
    <w:rsid w:val="00DC7E01"/>
    <w:rsid w:val="00DC7EBC"/>
    <w:rsid w:val="00DC7F74"/>
    <w:rsid w:val="00DD0235"/>
    <w:rsid w:val="00DD025F"/>
    <w:rsid w:val="00DD048D"/>
    <w:rsid w:val="00DD055B"/>
    <w:rsid w:val="00DD0BE9"/>
    <w:rsid w:val="00DD0BF8"/>
    <w:rsid w:val="00DD0E33"/>
    <w:rsid w:val="00DD0F4D"/>
    <w:rsid w:val="00DD10A6"/>
    <w:rsid w:val="00DD1245"/>
    <w:rsid w:val="00DD12BC"/>
    <w:rsid w:val="00DD131E"/>
    <w:rsid w:val="00DD1414"/>
    <w:rsid w:val="00DD1681"/>
    <w:rsid w:val="00DD1715"/>
    <w:rsid w:val="00DD17D5"/>
    <w:rsid w:val="00DD19EF"/>
    <w:rsid w:val="00DD1C5F"/>
    <w:rsid w:val="00DD1D68"/>
    <w:rsid w:val="00DD1D98"/>
    <w:rsid w:val="00DD1E42"/>
    <w:rsid w:val="00DD1E47"/>
    <w:rsid w:val="00DD1F31"/>
    <w:rsid w:val="00DD1F44"/>
    <w:rsid w:val="00DD219D"/>
    <w:rsid w:val="00DD22DD"/>
    <w:rsid w:val="00DD2555"/>
    <w:rsid w:val="00DD2679"/>
    <w:rsid w:val="00DD274A"/>
    <w:rsid w:val="00DD2751"/>
    <w:rsid w:val="00DD2769"/>
    <w:rsid w:val="00DD27F7"/>
    <w:rsid w:val="00DD28E9"/>
    <w:rsid w:val="00DD30DC"/>
    <w:rsid w:val="00DD312C"/>
    <w:rsid w:val="00DD322C"/>
    <w:rsid w:val="00DD3256"/>
    <w:rsid w:val="00DD343A"/>
    <w:rsid w:val="00DD35B4"/>
    <w:rsid w:val="00DD38D2"/>
    <w:rsid w:val="00DD393D"/>
    <w:rsid w:val="00DD3A7C"/>
    <w:rsid w:val="00DD3A86"/>
    <w:rsid w:val="00DD3A91"/>
    <w:rsid w:val="00DD3E5F"/>
    <w:rsid w:val="00DD4031"/>
    <w:rsid w:val="00DD4121"/>
    <w:rsid w:val="00DD4355"/>
    <w:rsid w:val="00DD4515"/>
    <w:rsid w:val="00DD4605"/>
    <w:rsid w:val="00DD4742"/>
    <w:rsid w:val="00DD474C"/>
    <w:rsid w:val="00DD4A6D"/>
    <w:rsid w:val="00DD4B38"/>
    <w:rsid w:val="00DD4DB9"/>
    <w:rsid w:val="00DD5202"/>
    <w:rsid w:val="00DD54A2"/>
    <w:rsid w:val="00DD54D1"/>
    <w:rsid w:val="00DD54FE"/>
    <w:rsid w:val="00DD5577"/>
    <w:rsid w:val="00DD5A2A"/>
    <w:rsid w:val="00DD5B49"/>
    <w:rsid w:val="00DD5BFF"/>
    <w:rsid w:val="00DD5E71"/>
    <w:rsid w:val="00DD6638"/>
    <w:rsid w:val="00DD67C7"/>
    <w:rsid w:val="00DD6956"/>
    <w:rsid w:val="00DD6A2B"/>
    <w:rsid w:val="00DD6A8C"/>
    <w:rsid w:val="00DD6A99"/>
    <w:rsid w:val="00DD7131"/>
    <w:rsid w:val="00DD71AF"/>
    <w:rsid w:val="00DD71E0"/>
    <w:rsid w:val="00DD7436"/>
    <w:rsid w:val="00DD74C7"/>
    <w:rsid w:val="00DD74FF"/>
    <w:rsid w:val="00DD75B0"/>
    <w:rsid w:val="00DD75CB"/>
    <w:rsid w:val="00DD765A"/>
    <w:rsid w:val="00DD7673"/>
    <w:rsid w:val="00DD7712"/>
    <w:rsid w:val="00DD7B11"/>
    <w:rsid w:val="00DD7CFC"/>
    <w:rsid w:val="00DD7F50"/>
    <w:rsid w:val="00DE0151"/>
    <w:rsid w:val="00DE0436"/>
    <w:rsid w:val="00DE05A7"/>
    <w:rsid w:val="00DE067E"/>
    <w:rsid w:val="00DE071B"/>
    <w:rsid w:val="00DE07CC"/>
    <w:rsid w:val="00DE083F"/>
    <w:rsid w:val="00DE085A"/>
    <w:rsid w:val="00DE0953"/>
    <w:rsid w:val="00DE0A36"/>
    <w:rsid w:val="00DE0A53"/>
    <w:rsid w:val="00DE0AA7"/>
    <w:rsid w:val="00DE0C90"/>
    <w:rsid w:val="00DE0CC6"/>
    <w:rsid w:val="00DE0E3F"/>
    <w:rsid w:val="00DE1019"/>
    <w:rsid w:val="00DE102C"/>
    <w:rsid w:val="00DE1373"/>
    <w:rsid w:val="00DE164A"/>
    <w:rsid w:val="00DE18FA"/>
    <w:rsid w:val="00DE1AF0"/>
    <w:rsid w:val="00DE1EA5"/>
    <w:rsid w:val="00DE2043"/>
    <w:rsid w:val="00DE20CE"/>
    <w:rsid w:val="00DE23D0"/>
    <w:rsid w:val="00DE2440"/>
    <w:rsid w:val="00DE26D4"/>
    <w:rsid w:val="00DE2756"/>
    <w:rsid w:val="00DE2872"/>
    <w:rsid w:val="00DE288B"/>
    <w:rsid w:val="00DE28FB"/>
    <w:rsid w:val="00DE291A"/>
    <w:rsid w:val="00DE2920"/>
    <w:rsid w:val="00DE298D"/>
    <w:rsid w:val="00DE2BE5"/>
    <w:rsid w:val="00DE2D0A"/>
    <w:rsid w:val="00DE30C8"/>
    <w:rsid w:val="00DE30F1"/>
    <w:rsid w:val="00DE310A"/>
    <w:rsid w:val="00DE32F0"/>
    <w:rsid w:val="00DE35AC"/>
    <w:rsid w:val="00DE3613"/>
    <w:rsid w:val="00DE3768"/>
    <w:rsid w:val="00DE3BB1"/>
    <w:rsid w:val="00DE3E5A"/>
    <w:rsid w:val="00DE3EF3"/>
    <w:rsid w:val="00DE3F41"/>
    <w:rsid w:val="00DE40E2"/>
    <w:rsid w:val="00DE40F4"/>
    <w:rsid w:val="00DE4163"/>
    <w:rsid w:val="00DE43B0"/>
    <w:rsid w:val="00DE4473"/>
    <w:rsid w:val="00DE44CA"/>
    <w:rsid w:val="00DE44E7"/>
    <w:rsid w:val="00DE472B"/>
    <w:rsid w:val="00DE484C"/>
    <w:rsid w:val="00DE4947"/>
    <w:rsid w:val="00DE4C56"/>
    <w:rsid w:val="00DE4DC9"/>
    <w:rsid w:val="00DE4FD4"/>
    <w:rsid w:val="00DE4FF4"/>
    <w:rsid w:val="00DE5131"/>
    <w:rsid w:val="00DE516C"/>
    <w:rsid w:val="00DE51CA"/>
    <w:rsid w:val="00DE52C0"/>
    <w:rsid w:val="00DE53EA"/>
    <w:rsid w:val="00DE54F9"/>
    <w:rsid w:val="00DE56FE"/>
    <w:rsid w:val="00DE578C"/>
    <w:rsid w:val="00DE5856"/>
    <w:rsid w:val="00DE5A5F"/>
    <w:rsid w:val="00DE5D3F"/>
    <w:rsid w:val="00DE5F35"/>
    <w:rsid w:val="00DE610E"/>
    <w:rsid w:val="00DE618C"/>
    <w:rsid w:val="00DE62AA"/>
    <w:rsid w:val="00DE63F4"/>
    <w:rsid w:val="00DE64A9"/>
    <w:rsid w:val="00DE64EB"/>
    <w:rsid w:val="00DE6688"/>
    <w:rsid w:val="00DE689B"/>
    <w:rsid w:val="00DE6B7A"/>
    <w:rsid w:val="00DE6D20"/>
    <w:rsid w:val="00DE6E73"/>
    <w:rsid w:val="00DE7489"/>
    <w:rsid w:val="00DE7559"/>
    <w:rsid w:val="00DE7780"/>
    <w:rsid w:val="00DE78F6"/>
    <w:rsid w:val="00DE7B5F"/>
    <w:rsid w:val="00DE7DFA"/>
    <w:rsid w:val="00DE7EF7"/>
    <w:rsid w:val="00DE7F1D"/>
    <w:rsid w:val="00DE7FB4"/>
    <w:rsid w:val="00DF009E"/>
    <w:rsid w:val="00DF04B2"/>
    <w:rsid w:val="00DF0540"/>
    <w:rsid w:val="00DF05ED"/>
    <w:rsid w:val="00DF072C"/>
    <w:rsid w:val="00DF0744"/>
    <w:rsid w:val="00DF0984"/>
    <w:rsid w:val="00DF0A89"/>
    <w:rsid w:val="00DF0C4D"/>
    <w:rsid w:val="00DF0C5A"/>
    <w:rsid w:val="00DF0CF8"/>
    <w:rsid w:val="00DF0F3F"/>
    <w:rsid w:val="00DF1553"/>
    <w:rsid w:val="00DF15BC"/>
    <w:rsid w:val="00DF168B"/>
    <w:rsid w:val="00DF1836"/>
    <w:rsid w:val="00DF18A4"/>
    <w:rsid w:val="00DF1F97"/>
    <w:rsid w:val="00DF2173"/>
    <w:rsid w:val="00DF23F3"/>
    <w:rsid w:val="00DF252D"/>
    <w:rsid w:val="00DF2706"/>
    <w:rsid w:val="00DF2923"/>
    <w:rsid w:val="00DF2AF1"/>
    <w:rsid w:val="00DF2B33"/>
    <w:rsid w:val="00DF2F06"/>
    <w:rsid w:val="00DF3107"/>
    <w:rsid w:val="00DF3138"/>
    <w:rsid w:val="00DF3278"/>
    <w:rsid w:val="00DF337E"/>
    <w:rsid w:val="00DF3390"/>
    <w:rsid w:val="00DF3485"/>
    <w:rsid w:val="00DF356D"/>
    <w:rsid w:val="00DF3919"/>
    <w:rsid w:val="00DF3BA9"/>
    <w:rsid w:val="00DF3F14"/>
    <w:rsid w:val="00DF3F40"/>
    <w:rsid w:val="00DF4048"/>
    <w:rsid w:val="00DF42D2"/>
    <w:rsid w:val="00DF4506"/>
    <w:rsid w:val="00DF4595"/>
    <w:rsid w:val="00DF4677"/>
    <w:rsid w:val="00DF4788"/>
    <w:rsid w:val="00DF4800"/>
    <w:rsid w:val="00DF4947"/>
    <w:rsid w:val="00DF4A05"/>
    <w:rsid w:val="00DF4AA1"/>
    <w:rsid w:val="00DF4E68"/>
    <w:rsid w:val="00DF4EE1"/>
    <w:rsid w:val="00DF50F1"/>
    <w:rsid w:val="00DF52D9"/>
    <w:rsid w:val="00DF5516"/>
    <w:rsid w:val="00DF58BF"/>
    <w:rsid w:val="00DF5AE0"/>
    <w:rsid w:val="00DF5CDB"/>
    <w:rsid w:val="00DF5E85"/>
    <w:rsid w:val="00DF6141"/>
    <w:rsid w:val="00DF61E0"/>
    <w:rsid w:val="00DF6230"/>
    <w:rsid w:val="00DF6257"/>
    <w:rsid w:val="00DF677E"/>
    <w:rsid w:val="00DF6A1E"/>
    <w:rsid w:val="00DF6AA2"/>
    <w:rsid w:val="00DF6C49"/>
    <w:rsid w:val="00DF6C86"/>
    <w:rsid w:val="00DF6D1C"/>
    <w:rsid w:val="00DF6D20"/>
    <w:rsid w:val="00DF705B"/>
    <w:rsid w:val="00DF708C"/>
    <w:rsid w:val="00DF7129"/>
    <w:rsid w:val="00DF722A"/>
    <w:rsid w:val="00DF7333"/>
    <w:rsid w:val="00DF7659"/>
    <w:rsid w:val="00DF77D2"/>
    <w:rsid w:val="00DF7928"/>
    <w:rsid w:val="00DF7BFA"/>
    <w:rsid w:val="00DF7EF7"/>
    <w:rsid w:val="00DF7F09"/>
    <w:rsid w:val="00E0000D"/>
    <w:rsid w:val="00E00304"/>
    <w:rsid w:val="00E0037E"/>
    <w:rsid w:val="00E006F7"/>
    <w:rsid w:val="00E0097E"/>
    <w:rsid w:val="00E00ABB"/>
    <w:rsid w:val="00E00FB5"/>
    <w:rsid w:val="00E011C9"/>
    <w:rsid w:val="00E0125A"/>
    <w:rsid w:val="00E01308"/>
    <w:rsid w:val="00E01621"/>
    <w:rsid w:val="00E01639"/>
    <w:rsid w:val="00E01A25"/>
    <w:rsid w:val="00E01C80"/>
    <w:rsid w:val="00E01F02"/>
    <w:rsid w:val="00E021D9"/>
    <w:rsid w:val="00E022AB"/>
    <w:rsid w:val="00E022ED"/>
    <w:rsid w:val="00E0230B"/>
    <w:rsid w:val="00E025A7"/>
    <w:rsid w:val="00E028E9"/>
    <w:rsid w:val="00E02985"/>
    <w:rsid w:val="00E02A5A"/>
    <w:rsid w:val="00E02A83"/>
    <w:rsid w:val="00E02AA2"/>
    <w:rsid w:val="00E02CDB"/>
    <w:rsid w:val="00E02E09"/>
    <w:rsid w:val="00E02F86"/>
    <w:rsid w:val="00E0321B"/>
    <w:rsid w:val="00E032DE"/>
    <w:rsid w:val="00E0334D"/>
    <w:rsid w:val="00E0346A"/>
    <w:rsid w:val="00E036A0"/>
    <w:rsid w:val="00E036C3"/>
    <w:rsid w:val="00E037F9"/>
    <w:rsid w:val="00E0386F"/>
    <w:rsid w:val="00E03915"/>
    <w:rsid w:val="00E03993"/>
    <w:rsid w:val="00E03C81"/>
    <w:rsid w:val="00E03ED3"/>
    <w:rsid w:val="00E04116"/>
    <w:rsid w:val="00E04160"/>
    <w:rsid w:val="00E041A2"/>
    <w:rsid w:val="00E0436A"/>
    <w:rsid w:val="00E043B4"/>
    <w:rsid w:val="00E04494"/>
    <w:rsid w:val="00E044FB"/>
    <w:rsid w:val="00E04551"/>
    <w:rsid w:val="00E046D4"/>
    <w:rsid w:val="00E04704"/>
    <w:rsid w:val="00E048B0"/>
    <w:rsid w:val="00E04922"/>
    <w:rsid w:val="00E04AB6"/>
    <w:rsid w:val="00E04BB9"/>
    <w:rsid w:val="00E04C13"/>
    <w:rsid w:val="00E04E7E"/>
    <w:rsid w:val="00E04F46"/>
    <w:rsid w:val="00E0506D"/>
    <w:rsid w:val="00E05222"/>
    <w:rsid w:val="00E053EC"/>
    <w:rsid w:val="00E0552F"/>
    <w:rsid w:val="00E05A65"/>
    <w:rsid w:val="00E05C33"/>
    <w:rsid w:val="00E05D7B"/>
    <w:rsid w:val="00E05EF9"/>
    <w:rsid w:val="00E060C7"/>
    <w:rsid w:val="00E062A5"/>
    <w:rsid w:val="00E06514"/>
    <w:rsid w:val="00E06657"/>
    <w:rsid w:val="00E067CD"/>
    <w:rsid w:val="00E0691B"/>
    <w:rsid w:val="00E06922"/>
    <w:rsid w:val="00E0697E"/>
    <w:rsid w:val="00E06AFF"/>
    <w:rsid w:val="00E06CA6"/>
    <w:rsid w:val="00E06F80"/>
    <w:rsid w:val="00E070EA"/>
    <w:rsid w:val="00E07104"/>
    <w:rsid w:val="00E07142"/>
    <w:rsid w:val="00E073D5"/>
    <w:rsid w:val="00E074D4"/>
    <w:rsid w:val="00E075E8"/>
    <w:rsid w:val="00E07D75"/>
    <w:rsid w:val="00E07F1C"/>
    <w:rsid w:val="00E10052"/>
    <w:rsid w:val="00E101E9"/>
    <w:rsid w:val="00E102B5"/>
    <w:rsid w:val="00E1055F"/>
    <w:rsid w:val="00E10597"/>
    <w:rsid w:val="00E109EA"/>
    <w:rsid w:val="00E10B07"/>
    <w:rsid w:val="00E10E0E"/>
    <w:rsid w:val="00E10F4E"/>
    <w:rsid w:val="00E114BF"/>
    <w:rsid w:val="00E11529"/>
    <w:rsid w:val="00E1160A"/>
    <w:rsid w:val="00E11619"/>
    <w:rsid w:val="00E116F7"/>
    <w:rsid w:val="00E11A18"/>
    <w:rsid w:val="00E11AAC"/>
    <w:rsid w:val="00E11BBE"/>
    <w:rsid w:val="00E11BC6"/>
    <w:rsid w:val="00E11C10"/>
    <w:rsid w:val="00E11C7B"/>
    <w:rsid w:val="00E11E12"/>
    <w:rsid w:val="00E11F61"/>
    <w:rsid w:val="00E11F9C"/>
    <w:rsid w:val="00E12080"/>
    <w:rsid w:val="00E12091"/>
    <w:rsid w:val="00E1212A"/>
    <w:rsid w:val="00E12218"/>
    <w:rsid w:val="00E122F4"/>
    <w:rsid w:val="00E12349"/>
    <w:rsid w:val="00E1244D"/>
    <w:rsid w:val="00E12561"/>
    <w:rsid w:val="00E125BB"/>
    <w:rsid w:val="00E12BAC"/>
    <w:rsid w:val="00E12DFA"/>
    <w:rsid w:val="00E12E19"/>
    <w:rsid w:val="00E12EE1"/>
    <w:rsid w:val="00E12F37"/>
    <w:rsid w:val="00E1305D"/>
    <w:rsid w:val="00E132F6"/>
    <w:rsid w:val="00E1330B"/>
    <w:rsid w:val="00E1358A"/>
    <w:rsid w:val="00E13843"/>
    <w:rsid w:val="00E1384D"/>
    <w:rsid w:val="00E139CA"/>
    <w:rsid w:val="00E139F1"/>
    <w:rsid w:val="00E13ADC"/>
    <w:rsid w:val="00E13F9D"/>
    <w:rsid w:val="00E1409A"/>
    <w:rsid w:val="00E141D3"/>
    <w:rsid w:val="00E1461A"/>
    <w:rsid w:val="00E14662"/>
    <w:rsid w:val="00E147A9"/>
    <w:rsid w:val="00E147C9"/>
    <w:rsid w:val="00E14881"/>
    <w:rsid w:val="00E148E1"/>
    <w:rsid w:val="00E14A01"/>
    <w:rsid w:val="00E14C3E"/>
    <w:rsid w:val="00E14D3C"/>
    <w:rsid w:val="00E14D8F"/>
    <w:rsid w:val="00E14EB7"/>
    <w:rsid w:val="00E14EFE"/>
    <w:rsid w:val="00E14FAD"/>
    <w:rsid w:val="00E14FD4"/>
    <w:rsid w:val="00E1526B"/>
    <w:rsid w:val="00E153E6"/>
    <w:rsid w:val="00E153F3"/>
    <w:rsid w:val="00E1578C"/>
    <w:rsid w:val="00E158D4"/>
    <w:rsid w:val="00E1599C"/>
    <w:rsid w:val="00E15A08"/>
    <w:rsid w:val="00E15A19"/>
    <w:rsid w:val="00E15C21"/>
    <w:rsid w:val="00E161F1"/>
    <w:rsid w:val="00E16391"/>
    <w:rsid w:val="00E16694"/>
    <w:rsid w:val="00E16719"/>
    <w:rsid w:val="00E1677A"/>
    <w:rsid w:val="00E1683F"/>
    <w:rsid w:val="00E16B85"/>
    <w:rsid w:val="00E16BBF"/>
    <w:rsid w:val="00E16CFB"/>
    <w:rsid w:val="00E17042"/>
    <w:rsid w:val="00E17050"/>
    <w:rsid w:val="00E1708A"/>
    <w:rsid w:val="00E170AF"/>
    <w:rsid w:val="00E1718E"/>
    <w:rsid w:val="00E172AB"/>
    <w:rsid w:val="00E172D3"/>
    <w:rsid w:val="00E1737E"/>
    <w:rsid w:val="00E177C0"/>
    <w:rsid w:val="00E177E2"/>
    <w:rsid w:val="00E17843"/>
    <w:rsid w:val="00E17972"/>
    <w:rsid w:val="00E17991"/>
    <w:rsid w:val="00E179A1"/>
    <w:rsid w:val="00E17ABB"/>
    <w:rsid w:val="00E17FC0"/>
    <w:rsid w:val="00E17FFD"/>
    <w:rsid w:val="00E20014"/>
    <w:rsid w:val="00E202D2"/>
    <w:rsid w:val="00E202F0"/>
    <w:rsid w:val="00E20322"/>
    <w:rsid w:val="00E206EF"/>
    <w:rsid w:val="00E208A6"/>
    <w:rsid w:val="00E208F5"/>
    <w:rsid w:val="00E20B2A"/>
    <w:rsid w:val="00E20C43"/>
    <w:rsid w:val="00E20E4D"/>
    <w:rsid w:val="00E20EBB"/>
    <w:rsid w:val="00E21028"/>
    <w:rsid w:val="00E21285"/>
    <w:rsid w:val="00E21355"/>
    <w:rsid w:val="00E21461"/>
    <w:rsid w:val="00E2147B"/>
    <w:rsid w:val="00E2161A"/>
    <w:rsid w:val="00E219F4"/>
    <w:rsid w:val="00E21B9D"/>
    <w:rsid w:val="00E21BD2"/>
    <w:rsid w:val="00E21BE7"/>
    <w:rsid w:val="00E21DE1"/>
    <w:rsid w:val="00E22070"/>
    <w:rsid w:val="00E22096"/>
    <w:rsid w:val="00E220D2"/>
    <w:rsid w:val="00E221E6"/>
    <w:rsid w:val="00E221EA"/>
    <w:rsid w:val="00E221F2"/>
    <w:rsid w:val="00E224DF"/>
    <w:rsid w:val="00E225C1"/>
    <w:rsid w:val="00E2262C"/>
    <w:rsid w:val="00E227D7"/>
    <w:rsid w:val="00E22ABE"/>
    <w:rsid w:val="00E22AF9"/>
    <w:rsid w:val="00E22CB7"/>
    <w:rsid w:val="00E22CFA"/>
    <w:rsid w:val="00E22D2A"/>
    <w:rsid w:val="00E22E19"/>
    <w:rsid w:val="00E22E5C"/>
    <w:rsid w:val="00E22FEF"/>
    <w:rsid w:val="00E23169"/>
    <w:rsid w:val="00E23204"/>
    <w:rsid w:val="00E232C8"/>
    <w:rsid w:val="00E2372F"/>
    <w:rsid w:val="00E239D7"/>
    <w:rsid w:val="00E239E1"/>
    <w:rsid w:val="00E23C0A"/>
    <w:rsid w:val="00E23ED5"/>
    <w:rsid w:val="00E24090"/>
    <w:rsid w:val="00E24170"/>
    <w:rsid w:val="00E24293"/>
    <w:rsid w:val="00E24333"/>
    <w:rsid w:val="00E2460C"/>
    <w:rsid w:val="00E246CB"/>
    <w:rsid w:val="00E2474E"/>
    <w:rsid w:val="00E24786"/>
    <w:rsid w:val="00E24ABA"/>
    <w:rsid w:val="00E24AC9"/>
    <w:rsid w:val="00E251E7"/>
    <w:rsid w:val="00E252CA"/>
    <w:rsid w:val="00E25326"/>
    <w:rsid w:val="00E25411"/>
    <w:rsid w:val="00E2545C"/>
    <w:rsid w:val="00E25668"/>
    <w:rsid w:val="00E256D6"/>
    <w:rsid w:val="00E25760"/>
    <w:rsid w:val="00E25A4B"/>
    <w:rsid w:val="00E25C24"/>
    <w:rsid w:val="00E25D9B"/>
    <w:rsid w:val="00E25DE0"/>
    <w:rsid w:val="00E26055"/>
    <w:rsid w:val="00E262AB"/>
    <w:rsid w:val="00E2639E"/>
    <w:rsid w:val="00E263BE"/>
    <w:rsid w:val="00E2647B"/>
    <w:rsid w:val="00E2647F"/>
    <w:rsid w:val="00E2688F"/>
    <w:rsid w:val="00E26BC5"/>
    <w:rsid w:val="00E26BFD"/>
    <w:rsid w:val="00E26CA6"/>
    <w:rsid w:val="00E26D93"/>
    <w:rsid w:val="00E2706A"/>
    <w:rsid w:val="00E274DA"/>
    <w:rsid w:val="00E278E3"/>
    <w:rsid w:val="00E27ACB"/>
    <w:rsid w:val="00E27CD7"/>
    <w:rsid w:val="00E27E39"/>
    <w:rsid w:val="00E301B9"/>
    <w:rsid w:val="00E3029C"/>
    <w:rsid w:val="00E3033B"/>
    <w:rsid w:val="00E30427"/>
    <w:rsid w:val="00E30846"/>
    <w:rsid w:val="00E30951"/>
    <w:rsid w:val="00E30A38"/>
    <w:rsid w:val="00E30DE2"/>
    <w:rsid w:val="00E30E6C"/>
    <w:rsid w:val="00E30E9C"/>
    <w:rsid w:val="00E31050"/>
    <w:rsid w:val="00E3135B"/>
    <w:rsid w:val="00E31448"/>
    <w:rsid w:val="00E31596"/>
    <w:rsid w:val="00E315A3"/>
    <w:rsid w:val="00E31635"/>
    <w:rsid w:val="00E31727"/>
    <w:rsid w:val="00E3179A"/>
    <w:rsid w:val="00E31919"/>
    <w:rsid w:val="00E31924"/>
    <w:rsid w:val="00E31ADC"/>
    <w:rsid w:val="00E31DDD"/>
    <w:rsid w:val="00E31E09"/>
    <w:rsid w:val="00E32142"/>
    <w:rsid w:val="00E322FB"/>
    <w:rsid w:val="00E32554"/>
    <w:rsid w:val="00E32AEE"/>
    <w:rsid w:val="00E32B54"/>
    <w:rsid w:val="00E32B5B"/>
    <w:rsid w:val="00E32BBF"/>
    <w:rsid w:val="00E32CF5"/>
    <w:rsid w:val="00E32D9B"/>
    <w:rsid w:val="00E32DA0"/>
    <w:rsid w:val="00E32E9B"/>
    <w:rsid w:val="00E32ED7"/>
    <w:rsid w:val="00E32EE0"/>
    <w:rsid w:val="00E33380"/>
    <w:rsid w:val="00E33386"/>
    <w:rsid w:val="00E333AB"/>
    <w:rsid w:val="00E334E3"/>
    <w:rsid w:val="00E336A9"/>
    <w:rsid w:val="00E336BF"/>
    <w:rsid w:val="00E336DE"/>
    <w:rsid w:val="00E337B0"/>
    <w:rsid w:val="00E33889"/>
    <w:rsid w:val="00E33BFB"/>
    <w:rsid w:val="00E33D41"/>
    <w:rsid w:val="00E33E29"/>
    <w:rsid w:val="00E33F33"/>
    <w:rsid w:val="00E34030"/>
    <w:rsid w:val="00E34064"/>
    <w:rsid w:val="00E341F4"/>
    <w:rsid w:val="00E3420F"/>
    <w:rsid w:val="00E3489F"/>
    <w:rsid w:val="00E34959"/>
    <w:rsid w:val="00E351CD"/>
    <w:rsid w:val="00E35363"/>
    <w:rsid w:val="00E3557A"/>
    <w:rsid w:val="00E35826"/>
    <w:rsid w:val="00E358EA"/>
    <w:rsid w:val="00E35965"/>
    <w:rsid w:val="00E3598B"/>
    <w:rsid w:val="00E35A64"/>
    <w:rsid w:val="00E35ABF"/>
    <w:rsid w:val="00E35C58"/>
    <w:rsid w:val="00E35ED0"/>
    <w:rsid w:val="00E362FE"/>
    <w:rsid w:val="00E36379"/>
    <w:rsid w:val="00E3642B"/>
    <w:rsid w:val="00E3649A"/>
    <w:rsid w:val="00E36769"/>
    <w:rsid w:val="00E3682D"/>
    <w:rsid w:val="00E36910"/>
    <w:rsid w:val="00E3693E"/>
    <w:rsid w:val="00E36CF9"/>
    <w:rsid w:val="00E36D67"/>
    <w:rsid w:val="00E36FE3"/>
    <w:rsid w:val="00E3764F"/>
    <w:rsid w:val="00E377EA"/>
    <w:rsid w:val="00E37B7F"/>
    <w:rsid w:val="00E37EEF"/>
    <w:rsid w:val="00E40212"/>
    <w:rsid w:val="00E4023E"/>
    <w:rsid w:val="00E402CD"/>
    <w:rsid w:val="00E402D2"/>
    <w:rsid w:val="00E40321"/>
    <w:rsid w:val="00E403C7"/>
    <w:rsid w:val="00E4064B"/>
    <w:rsid w:val="00E406B1"/>
    <w:rsid w:val="00E40813"/>
    <w:rsid w:val="00E4095E"/>
    <w:rsid w:val="00E40B49"/>
    <w:rsid w:val="00E40B9D"/>
    <w:rsid w:val="00E40CA2"/>
    <w:rsid w:val="00E41378"/>
    <w:rsid w:val="00E41516"/>
    <w:rsid w:val="00E41517"/>
    <w:rsid w:val="00E41580"/>
    <w:rsid w:val="00E4161D"/>
    <w:rsid w:val="00E416AD"/>
    <w:rsid w:val="00E41C32"/>
    <w:rsid w:val="00E420C7"/>
    <w:rsid w:val="00E4231F"/>
    <w:rsid w:val="00E42353"/>
    <w:rsid w:val="00E423ED"/>
    <w:rsid w:val="00E42676"/>
    <w:rsid w:val="00E426C7"/>
    <w:rsid w:val="00E42E42"/>
    <w:rsid w:val="00E42E9D"/>
    <w:rsid w:val="00E42F85"/>
    <w:rsid w:val="00E42FA4"/>
    <w:rsid w:val="00E42FE8"/>
    <w:rsid w:val="00E43041"/>
    <w:rsid w:val="00E43048"/>
    <w:rsid w:val="00E430EA"/>
    <w:rsid w:val="00E435E1"/>
    <w:rsid w:val="00E4362D"/>
    <w:rsid w:val="00E43970"/>
    <w:rsid w:val="00E439C5"/>
    <w:rsid w:val="00E43AE3"/>
    <w:rsid w:val="00E43C04"/>
    <w:rsid w:val="00E43CB3"/>
    <w:rsid w:val="00E43E44"/>
    <w:rsid w:val="00E44009"/>
    <w:rsid w:val="00E44018"/>
    <w:rsid w:val="00E4422F"/>
    <w:rsid w:val="00E44286"/>
    <w:rsid w:val="00E44428"/>
    <w:rsid w:val="00E44577"/>
    <w:rsid w:val="00E44C69"/>
    <w:rsid w:val="00E44D4F"/>
    <w:rsid w:val="00E44E34"/>
    <w:rsid w:val="00E44F75"/>
    <w:rsid w:val="00E45018"/>
    <w:rsid w:val="00E4534E"/>
    <w:rsid w:val="00E45371"/>
    <w:rsid w:val="00E453E7"/>
    <w:rsid w:val="00E454D7"/>
    <w:rsid w:val="00E456C6"/>
    <w:rsid w:val="00E45DD9"/>
    <w:rsid w:val="00E46057"/>
    <w:rsid w:val="00E4617D"/>
    <w:rsid w:val="00E461A1"/>
    <w:rsid w:val="00E46655"/>
    <w:rsid w:val="00E466DC"/>
    <w:rsid w:val="00E467BF"/>
    <w:rsid w:val="00E46A33"/>
    <w:rsid w:val="00E46A99"/>
    <w:rsid w:val="00E46B81"/>
    <w:rsid w:val="00E46EF9"/>
    <w:rsid w:val="00E47318"/>
    <w:rsid w:val="00E473A7"/>
    <w:rsid w:val="00E474AA"/>
    <w:rsid w:val="00E47534"/>
    <w:rsid w:val="00E4761E"/>
    <w:rsid w:val="00E476C7"/>
    <w:rsid w:val="00E4778A"/>
    <w:rsid w:val="00E47834"/>
    <w:rsid w:val="00E4799A"/>
    <w:rsid w:val="00E47B8E"/>
    <w:rsid w:val="00E47BA0"/>
    <w:rsid w:val="00E47BB1"/>
    <w:rsid w:val="00E47E17"/>
    <w:rsid w:val="00E47F11"/>
    <w:rsid w:val="00E47F61"/>
    <w:rsid w:val="00E5016E"/>
    <w:rsid w:val="00E5028F"/>
    <w:rsid w:val="00E5031D"/>
    <w:rsid w:val="00E507C3"/>
    <w:rsid w:val="00E50B56"/>
    <w:rsid w:val="00E50C90"/>
    <w:rsid w:val="00E50C92"/>
    <w:rsid w:val="00E50D39"/>
    <w:rsid w:val="00E50E71"/>
    <w:rsid w:val="00E50EE1"/>
    <w:rsid w:val="00E51025"/>
    <w:rsid w:val="00E511E3"/>
    <w:rsid w:val="00E514C3"/>
    <w:rsid w:val="00E51591"/>
    <w:rsid w:val="00E51914"/>
    <w:rsid w:val="00E51BDC"/>
    <w:rsid w:val="00E51E38"/>
    <w:rsid w:val="00E51E50"/>
    <w:rsid w:val="00E51FC5"/>
    <w:rsid w:val="00E51FE9"/>
    <w:rsid w:val="00E52036"/>
    <w:rsid w:val="00E5211D"/>
    <w:rsid w:val="00E522B0"/>
    <w:rsid w:val="00E522EC"/>
    <w:rsid w:val="00E5234B"/>
    <w:rsid w:val="00E52553"/>
    <w:rsid w:val="00E525C4"/>
    <w:rsid w:val="00E528E9"/>
    <w:rsid w:val="00E52A12"/>
    <w:rsid w:val="00E52A24"/>
    <w:rsid w:val="00E52BB0"/>
    <w:rsid w:val="00E52E8E"/>
    <w:rsid w:val="00E52F19"/>
    <w:rsid w:val="00E52F4B"/>
    <w:rsid w:val="00E53041"/>
    <w:rsid w:val="00E53049"/>
    <w:rsid w:val="00E531B8"/>
    <w:rsid w:val="00E531CF"/>
    <w:rsid w:val="00E53278"/>
    <w:rsid w:val="00E53314"/>
    <w:rsid w:val="00E53346"/>
    <w:rsid w:val="00E53600"/>
    <w:rsid w:val="00E53C2B"/>
    <w:rsid w:val="00E53D49"/>
    <w:rsid w:val="00E53EEC"/>
    <w:rsid w:val="00E54177"/>
    <w:rsid w:val="00E544B0"/>
    <w:rsid w:val="00E545DD"/>
    <w:rsid w:val="00E54750"/>
    <w:rsid w:val="00E54872"/>
    <w:rsid w:val="00E54899"/>
    <w:rsid w:val="00E549B3"/>
    <w:rsid w:val="00E54C68"/>
    <w:rsid w:val="00E54ED9"/>
    <w:rsid w:val="00E55130"/>
    <w:rsid w:val="00E5538A"/>
    <w:rsid w:val="00E553B0"/>
    <w:rsid w:val="00E555B3"/>
    <w:rsid w:val="00E55620"/>
    <w:rsid w:val="00E557DF"/>
    <w:rsid w:val="00E55910"/>
    <w:rsid w:val="00E5591B"/>
    <w:rsid w:val="00E55B8D"/>
    <w:rsid w:val="00E55BD6"/>
    <w:rsid w:val="00E55C73"/>
    <w:rsid w:val="00E55EAE"/>
    <w:rsid w:val="00E55F27"/>
    <w:rsid w:val="00E55F96"/>
    <w:rsid w:val="00E561E1"/>
    <w:rsid w:val="00E56245"/>
    <w:rsid w:val="00E562EF"/>
    <w:rsid w:val="00E564D7"/>
    <w:rsid w:val="00E56504"/>
    <w:rsid w:val="00E565A3"/>
    <w:rsid w:val="00E56C46"/>
    <w:rsid w:val="00E56D59"/>
    <w:rsid w:val="00E56EEF"/>
    <w:rsid w:val="00E56F02"/>
    <w:rsid w:val="00E5720B"/>
    <w:rsid w:val="00E573DE"/>
    <w:rsid w:val="00E573E8"/>
    <w:rsid w:val="00E573FB"/>
    <w:rsid w:val="00E57815"/>
    <w:rsid w:val="00E57932"/>
    <w:rsid w:val="00E57CFE"/>
    <w:rsid w:val="00E57F68"/>
    <w:rsid w:val="00E600C5"/>
    <w:rsid w:val="00E60292"/>
    <w:rsid w:val="00E60417"/>
    <w:rsid w:val="00E60424"/>
    <w:rsid w:val="00E60437"/>
    <w:rsid w:val="00E604CC"/>
    <w:rsid w:val="00E604F4"/>
    <w:rsid w:val="00E605D3"/>
    <w:rsid w:val="00E60655"/>
    <w:rsid w:val="00E607D3"/>
    <w:rsid w:val="00E60883"/>
    <w:rsid w:val="00E6089A"/>
    <w:rsid w:val="00E60955"/>
    <w:rsid w:val="00E60A71"/>
    <w:rsid w:val="00E60AAC"/>
    <w:rsid w:val="00E60BB7"/>
    <w:rsid w:val="00E60BE5"/>
    <w:rsid w:val="00E60DAF"/>
    <w:rsid w:val="00E610C4"/>
    <w:rsid w:val="00E61139"/>
    <w:rsid w:val="00E61149"/>
    <w:rsid w:val="00E611FA"/>
    <w:rsid w:val="00E6123F"/>
    <w:rsid w:val="00E61357"/>
    <w:rsid w:val="00E61509"/>
    <w:rsid w:val="00E6182D"/>
    <w:rsid w:val="00E61BA9"/>
    <w:rsid w:val="00E61BDD"/>
    <w:rsid w:val="00E61D06"/>
    <w:rsid w:val="00E61DDB"/>
    <w:rsid w:val="00E61E55"/>
    <w:rsid w:val="00E61FFA"/>
    <w:rsid w:val="00E62092"/>
    <w:rsid w:val="00E62193"/>
    <w:rsid w:val="00E62214"/>
    <w:rsid w:val="00E6244C"/>
    <w:rsid w:val="00E624C6"/>
    <w:rsid w:val="00E625AD"/>
    <w:rsid w:val="00E6274B"/>
    <w:rsid w:val="00E62A38"/>
    <w:rsid w:val="00E62CE1"/>
    <w:rsid w:val="00E62D7B"/>
    <w:rsid w:val="00E62DD3"/>
    <w:rsid w:val="00E62DE1"/>
    <w:rsid w:val="00E62DEF"/>
    <w:rsid w:val="00E62EA2"/>
    <w:rsid w:val="00E63017"/>
    <w:rsid w:val="00E6321A"/>
    <w:rsid w:val="00E63290"/>
    <w:rsid w:val="00E633AB"/>
    <w:rsid w:val="00E6340A"/>
    <w:rsid w:val="00E6345C"/>
    <w:rsid w:val="00E637E8"/>
    <w:rsid w:val="00E638D9"/>
    <w:rsid w:val="00E639E6"/>
    <w:rsid w:val="00E63A53"/>
    <w:rsid w:val="00E63B08"/>
    <w:rsid w:val="00E63C77"/>
    <w:rsid w:val="00E63CA3"/>
    <w:rsid w:val="00E63CE0"/>
    <w:rsid w:val="00E63F9E"/>
    <w:rsid w:val="00E64259"/>
    <w:rsid w:val="00E6433F"/>
    <w:rsid w:val="00E64401"/>
    <w:rsid w:val="00E644D6"/>
    <w:rsid w:val="00E6456E"/>
    <w:rsid w:val="00E64637"/>
    <w:rsid w:val="00E64797"/>
    <w:rsid w:val="00E64940"/>
    <w:rsid w:val="00E649A8"/>
    <w:rsid w:val="00E64A28"/>
    <w:rsid w:val="00E64C38"/>
    <w:rsid w:val="00E64C81"/>
    <w:rsid w:val="00E64D95"/>
    <w:rsid w:val="00E64F20"/>
    <w:rsid w:val="00E64F3A"/>
    <w:rsid w:val="00E65024"/>
    <w:rsid w:val="00E650F6"/>
    <w:rsid w:val="00E651D7"/>
    <w:rsid w:val="00E65205"/>
    <w:rsid w:val="00E65250"/>
    <w:rsid w:val="00E652EF"/>
    <w:rsid w:val="00E654DA"/>
    <w:rsid w:val="00E65668"/>
    <w:rsid w:val="00E65818"/>
    <w:rsid w:val="00E65949"/>
    <w:rsid w:val="00E65BD4"/>
    <w:rsid w:val="00E65C23"/>
    <w:rsid w:val="00E65C91"/>
    <w:rsid w:val="00E65EB4"/>
    <w:rsid w:val="00E6628F"/>
    <w:rsid w:val="00E6652D"/>
    <w:rsid w:val="00E66609"/>
    <w:rsid w:val="00E6679A"/>
    <w:rsid w:val="00E668D7"/>
    <w:rsid w:val="00E66989"/>
    <w:rsid w:val="00E66A81"/>
    <w:rsid w:val="00E66C40"/>
    <w:rsid w:val="00E66DC8"/>
    <w:rsid w:val="00E67094"/>
    <w:rsid w:val="00E670D8"/>
    <w:rsid w:val="00E670FD"/>
    <w:rsid w:val="00E67299"/>
    <w:rsid w:val="00E6741D"/>
    <w:rsid w:val="00E675E1"/>
    <w:rsid w:val="00E6771E"/>
    <w:rsid w:val="00E6795B"/>
    <w:rsid w:val="00E67B53"/>
    <w:rsid w:val="00E67C99"/>
    <w:rsid w:val="00E67F10"/>
    <w:rsid w:val="00E67F97"/>
    <w:rsid w:val="00E67FFB"/>
    <w:rsid w:val="00E7040E"/>
    <w:rsid w:val="00E70590"/>
    <w:rsid w:val="00E706DA"/>
    <w:rsid w:val="00E70994"/>
    <w:rsid w:val="00E70A23"/>
    <w:rsid w:val="00E70AAA"/>
    <w:rsid w:val="00E70AD6"/>
    <w:rsid w:val="00E711BE"/>
    <w:rsid w:val="00E71491"/>
    <w:rsid w:val="00E7151C"/>
    <w:rsid w:val="00E71817"/>
    <w:rsid w:val="00E71911"/>
    <w:rsid w:val="00E71A2A"/>
    <w:rsid w:val="00E71B84"/>
    <w:rsid w:val="00E71D51"/>
    <w:rsid w:val="00E71DCD"/>
    <w:rsid w:val="00E71DE8"/>
    <w:rsid w:val="00E7201A"/>
    <w:rsid w:val="00E720C3"/>
    <w:rsid w:val="00E7236F"/>
    <w:rsid w:val="00E72395"/>
    <w:rsid w:val="00E728AB"/>
    <w:rsid w:val="00E72AA4"/>
    <w:rsid w:val="00E72AA9"/>
    <w:rsid w:val="00E72AB7"/>
    <w:rsid w:val="00E72C1B"/>
    <w:rsid w:val="00E72DE5"/>
    <w:rsid w:val="00E72E4C"/>
    <w:rsid w:val="00E72F47"/>
    <w:rsid w:val="00E72FD0"/>
    <w:rsid w:val="00E730E4"/>
    <w:rsid w:val="00E73166"/>
    <w:rsid w:val="00E731A8"/>
    <w:rsid w:val="00E73262"/>
    <w:rsid w:val="00E732A7"/>
    <w:rsid w:val="00E73383"/>
    <w:rsid w:val="00E733B2"/>
    <w:rsid w:val="00E7349C"/>
    <w:rsid w:val="00E7352F"/>
    <w:rsid w:val="00E73902"/>
    <w:rsid w:val="00E7408B"/>
    <w:rsid w:val="00E747C6"/>
    <w:rsid w:val="00E749CB"/>
    <w:rsid w:val="00E74A11"/>
    <w:rsid w:val="00E74ADF"/>
    <w:rsid w:val="00E74C6B"/>
    <w:rsid w:val="00E74D6B"/>
    <w:rsid w:val="00E74ECC"/>
    <w:rsid w:val="00E74F93"/>
    <w:rsid w:val="00E7512A"/>
    <w:rsid w:val="00E751A7"/>
    <w:rsid w:val="00E751D3"/>
    <w:rsid w:val="00E75204"/>
    <w:rsid w:val="00E752D4"/>
    <w:rsid w:val="00E7540E"/>
    <w:rsid w:val="00E75754"/>
    <w:rsid w:val="00E75773"/>
    <w:rsid w:val="00E757C1"/>
    <w:rsid w:val="00E7599C"/>
    <w:rsid w:val="00E75B35"/>
    <w:rsid w:val="00E75CC2"/>
    <w:rsid w:val="00E75D78"/>
    <w:rsid w:val="00E75DAD"/>
    <w:rsid w:val="00E7607D"/>
    <w:rsid w:val="00E760A4"/>
    <w:rsid w:val="00E7621F"/>
    <w:rsid w:val="00E76415"/>
    <w:rsid w:val="00E7657B"/>
    <w:rsid w:val="00E7659D"/>
    <w:rsid w:val="00E766D2"/>
    <w:rsid w:val="00E766E5"/>
    <w:rsid w:val="00E769F3"/>
    <w:rsid w:val="00E76CFD"/>
    <w:rsid w:val="00E76F79"/>
    <w:rsid w:val="00E76F9F"/>
    <w:rsid w:val="00E77367"/>
    <w:rsid w:val="00E7738B"/>
    <w:rsid w:val="00E773D9"/>
    <w:rsid w:val="00E77532"/>
    <w:rsid w:val="00E77535"/>
    <w:rsid w:val="00E775DD"/>
    <w:rsid w:val="00E7760F"/>
    <w:rsid w:val="00E77613"/>
    <w:rsid w:val="00E77624"/>
    <w:rsid w:val="00E77649"/>
    <w:rsid w:val="00E77727"/>
    <w:rsid w:val="00E7785B"/>
    <w:rsid w:val="00E7790E"/>
    <w:rsid w:val="00E77C2A"/>
    <w:rsid w:val="00E77C7C"/>
    <w:rsid w:val="00E77F84"/>
    <w:rsid w:val="00E80238"/>
    <w:rsid w:val="00E8027B"/>
    <w:rsid w:val="00E8033B"/>
    <w:rsid w:val="00E8067B"/>
    <w:rsid w:val="00E808E6"/>
    <w:rsid w:val="00E80998"/>
    <w:rsid w:val="00E80E56"/>
    <w:rsid w:val="00E80EDE"/>
    <w:rsid w:val="00E8111D"/>
    <w:rsid w:val="00E8122D"/>
    <w:rsid w:val="00E813C1"/>
    <w:rsid w:val="00E814ED"/>
    <w:rsid w:val="00E815E7"/>
    <w:rsid w:val="00E816DF"/>
    <w:rsid w:val="00E8170F"/>
    <w:rsid w:val="00E817D2"/>
    <w:rsid w:val="00E8194F"/>
    <w:rsid w:val="00E819AD"/>
    <w:rsid w:val="00E81A16"/>
    <w:rsid w:val="00E81DB9"/>
    <w:rsid w:val="00E81EA2"/>
    <w:rsid w:val="00E8208E"/>
    <w:rsid w:val="00E820B1"/>
    <w:rsid w:val="00E8217D"/>
    <w:rsid w:val="00E821C4"/>
    <w:rsid w:val="00E82543"/>
    <w:rsid w:val="00E82681"/>
    <w:rsid w:val="00E826A8"/>
    <w:rsid w:val="00E8296F"/>
    <w:rsid w:val="00E829A8"/>
    <w:rsid w:val="00E830C3"/>
    <w:rsid w:val="00E83531"/>
    <w:rsid w:val="00E8370E"/>
    <w:rsid w:val="00E83B5E"/>
    <w:rsid w:val="00E83DD9"/>
    <w:rsid w:val="00E83E7B"/>
    <w:rsid w:val="00E83F51"/>
    <w:rsid w:val="00E83FB2"/>
    <w:rsid w:val="00E8426C"/>
    <w:rsid w:val="00E84531"/>
    <w:rsid w:val="00E8472F"/>
    <w:rsid w:val="00E847E2"/>
    <w:rsid w:val="00E84A93"/>
    <w:rsid w:val="00E84ADA"/>
    <w:rsid w:val="00E84C98"/>
    <w:rsid w:val="00E84D2C"/>
    <w:rsid w:val="00E84E47"/>
    <w:rsid w:val="00E84F71"/>
    <w:rsid w:val="00E84FE9"/>
    <w:rsid w:val="00E84FEE"/>
    <w:rsid w:val="00E850E9"/>
    <w:rsid w:val="00E857F0"/>
    <w:rsid w:val="00E857F6"/>
    <w:rsid w:val="00E859D5"/>
    <w:rsid w:val="00E859E2"/>
    <w:rsid w:val="00E85D3E"/>
    <w:rsid w:val="00E85F3D"/>
    <w:rsid w:val="00E86062"/>
    <w:rsid w:val="00E86262"/>
    <w:rsid w:val="00E867F9"/>
    <w:rsid w:val="00E86968"/>
    <w:rsid w:val="00E8696B"/>
    <w:rsid w:val="00E86A38"/>
    <w:rsid w:val="00E86E9A"/>
    <w:rsid w:val="00E871C4"/>
    <w:rsid w:val="00E872D4"/>
    <w:rsid w:val="00E872FD"/>
    <w:rsid w:val="00E874D4"/>
    <w:rsid w:val="00E87AAE"/>
    <w:rsid w:val="00E87D35"/>
    <w:rsid w:val="00E87D95"/>
    <w:rsid w:val="00E87FFE"/>
    <w:rsid w:val="00E90119"/>
    <w:rsid w:val="00E90143"/>
    <w:rsid w:val="00E90148"/>
    <w:rsid w:val="00E90219"/>
    <w:rsid w:val="00E9035B"/>
    <w:rsid w:val="00E90626"/>
    <w:rsid w:val="00E90813"/>
    <w:rsid w:val="00E908F3"/>
    <w:rsid w:val="00E909AD"/>
    <w:rsid w:val="00E90ACC"/>
    <w:rsid w:val="00E90BA6"/>
    <w:rsid w:val="00E90BB5"/>
    <w:rsid w:val="00E90BCC"/>
    <w:rsid w:val="00E90D44"/>
    <w:rsid w:val="00E90DA7"/>
    <w:rsid w:val="00E90ED8"/>
    <w:rsid w:val="00E912B8"/>
    <w:rsid w:val="00E91310"/>
    <w:rsid w:val="00E91461"/>
    <w:rsid w:val="00E914DB"/>
    <w:rsid w:val="00E915A6"/>
    <w:rsid w:val="00E91612"/>
    <w:rsid w:val="00E916BC"/>
    <w:rsid w:val="00E91725"/>
    <w:rsid w:val="00E917D3"/>
    <w:rsid w:val="00E91890"/>
    <w:rsid w:val="00E918BB"/>
    <w:rsid w:val="00E918FA"/>
    <w:rsid w:val="00E91B40"/>
    <w:rsid w:val="00E91BE5"/>
    <w:rsid w:val="00E91D4C"/>
    <w:rsid w:val="00E91DD0"/>
    <w:rsid w:val="00E91E0E"/>
    <w:rsid w:val="00E91E1C"/>
    <w:rsid w:val="00E91EB9"/>
    <w:rsid w:val="00E91F15"/>
    <w:rsid w:val="00E91F29"/>
    <w:rsid w:val="00E91F4C"/>
    <w:rsid w:val="00E91FC2"/>
    <w:rsid w:val="00E9215C"/>
    <w:rsid w:val="00E92173"/>
    <w:rsid w:val="00E924D8"/>
    <w:rsid w:val="00E925F7"/>
    <w:rsid w:val="00E926E3"/>
    <w:rsid w:val="00E928F5"/>
    <w:rsid w:val="00E92A84"/>
    <w:rsid w:val="00E92BF1"/>
    <w:rsid w:val="00E930B9"/>
    <w:rsid w:val="00E93192"/>
    <w:rsid w:val="00E933E4"/>
    <w:rsid w:val="00E93846"/>
    <w:rsid w:val="00E93893"/>
    <w:rsid w:val="00E938C2"/>
    <w:rsid w:val="00E93D33"/>
    <w:rsid w:val="00E93E2E"/>
    <w:rsid w:val="00E93F06"/>
    <w:rsid w:val="00E93F84"/>
    <w:rsid w:val="00E94100"/>
    <w:rsid w:val="00E94147"/>
    <w:rsid w:val="00E94216"/>
    <w:rsid w:val="00E942F4"/>
    <w:rsid w:val="00E943C1"/>
    <w:rsid w:val="00E945A0"/>
    <w:rsid w:val="00E9462A"/>
    <w:rsid w:val="00E94652"/>
    <w:rsid w:val="00E9484C"/>
    <w:rsid w:val="00E94A14"/>
    <w:rsid w:val="00E94A24"/>
    <w:rsid w:val="00E94AC0"/>
    <w:rsid w:val="00E94E2A"/>
    <w:rsid w:val="00E94ECB"/>
    <w:rsid w:val="00E94FF5"/>
    <w:rsid w:val="00E95016"/>
    <w:rsid w:val="00E952BF"/>
    <w:rsid w:val="00E9540D"/>
    <w:rsid w:val="00E9547A"/>
    <w:rsid w:val="00E954DF"/>
    <w:rsid w:val="00E955DC"/>
    <w:rsid w:val="00E9572F"/>
    <w:rsid w:val="00E95739"/>
    <w:rsid w:val="00E957B4"/>
    <w:rsid w:val="00E95902"/>
    <w:rsid w:val="00E9593B"/>
    <w:rsid w:val="00E95A63"/>
    <w:rsid w:val="00E95FDC"/>
    <w:rsid w:val="00E96073"/>
    <w:rsid w:val="00E9618B"/>
    <w:rsid w:val="00E96265"/>
    <w:rsid w:val="00E96337"/>
    <w:rsid w:val="00E96487"/>
    <w:rsid w:val="00E96BB8"/>
    <w:rsid w:val="00E96E59"/>
    <w:rsid w:val="00E96F69"/>
    <w:rsid w:val="00E97353"/>
    <w:rsid w:val="00E97700"/>
    <w:rsid w:val="00E97791"/>
    <w:rsid w:val="00E977D6"/>
    <w:rsid w:val="00E977DB"/>
    <w:rsid w:val="00E978A5"/>
    <w:rsid w:val="00E9791A"/>
    <w:rsid w:val="00E97A3C"/>
    <w:rsid w:val="00E97C7A"/>
    <w:rsid w:val="00E97EE2"/>
    <w:rsid w:val="00EA015D"/>
    <w:rsid w:val="00EA01B6"/>
    <w:rsid w:val="00EA03BD"/>
    <w:rsid w:val="00EA055A"/>
    <w:rsid w:val="00EA0586"/>
    <w:rsid w:val="00EA05FB"/>
    <w:rsid w:val="00EA079A"/>
    <w:rsid w:val="00EA084C"/>
    <w:rsid w:val="00EA0968"/>
    <w:rsid w:val="00EA0C7E"/>
    <w:rsid w:val="00EA0D4F"/>
    <w:rsid w:val="00EA0E10"/>
    <w:rsid w:val="00EA0E61"/>
    <w:rsid w:val="00EA0F3E"/>
    <w:rsid w:val="00EA0FB4"/>
    <w:rsid w:val="00EA0FC0"/>
    <w:rsid w:val="00EA1085"/>
    <w:rsid w:val="00EA10C6"/>
    <w:rsid w:val="00EA1144"/>
    <w:rsid w:val="00EA1441"/>
    <w:rsid w:val="00EA150C"/>
    <w:rsid w:val="00EA15F9"/>
    <w:rsid w:val="00EA16C0"/>
    <w:rsid w:val="00EA1776"/>
    <w:rsid w:val="00EA177F"/>
    <w:rsid w:val="00EA1856"/>
    <w:rsid w:val="00EA1884"/>
    <w:rsid w:val="00EA198D"/>
    <w:rsid w:val="00EA1A5E"/>
    <w:rsid w:val="00EA1BD8"/>
    <w:rsid w:val="00EA1C64"/>
    <w:rsid w:val="00EA2225"/>
    <w:rsid w:val="00EA2557"/>
    <w:rsid w:val="00EA268D"/>
    <w:rsid w:val="00EA26B6"/>
    <w:rsid w:val="00EA2785"/>
    <w:rsid w:val="00EA28CF"/>
    <w:rsid w:val="00EA29E1"/>
    <w:rsid w:val="00EA2A12"/>
    <w:rsid w:val="00EA2AD9"/>
    <w:rsid w:val="00EA2B3A"/>
    <w:rsid w:val="00EA2CB3"/>
    <w:rsid w:val="00EA2E5D"/>
    <w:rsid w:val="00EA3087"/>
    <w:rsid w:val="00EA318F"/>
    <w:rsid w:val="00EA3194"/>
    <w:rsid w:val="00EA3317"/>
    <w:rsid w:val="00EA3484"/>
    <w:rsid w:val="00EA351C"/>
    <w:rsid w:val="00EA361A"/>
    <w:rsid w:val="00EA3644"/>
    <w:rsid w:val="00EA36B5"/>
    <w:rsid w:val="00EA3700"/>
    <w:rsid w:val="00EA3895"/>
    <w:rsid w:val="00EA3A95"/>
    <w:rsid w:val="00EA3CF4"/>
    <w:rsid w:val="00EA3D03"/>
    <w:rsid w:val="00EA3EC1"/>
    <w:rsid w:val="00EA45EE"/>
    <w:rsid w:val="00EA4716"/>
    <w:rsid w:val="00EA4723"/>
    <w:rsid w:val="00EA4774"/>
    <w:rsid w:val="00EA47DA"/>
    <w:rsid w:val="00EA4878"/>
    <w:rsid w:val="00EA4AD2"/>
    <w:rsid w:val="00EA4C55"/>
    <w:rsid w:val="00EA4E52"/>
    <w:rsid w:val="00EA4E88"/>
    <w:rsid w:val="00EA4FCB"/>
    <w:rsid w:val="00EA5110"/>
    <w:rsid w:val="00EA511C"/>
    <w:rsid w:val="00EA51AF"/>
    <w:rsid w:val="00EA5209"/>
    <w:rsid w:val="00EA5210"/>
    <w:rsid w:val="00EA524B"/>
    <w:rsid w:val="00EA55E3"/>
    <w:rsid w:val="00EA58B2"/>
    <w:rsid w:val="00EA599A"/>
    <w:rsid w:val="00EA5B09"/>
    <w:rsid w:val="00EA5C3B"/>
    <w:rsid w:val="00EA5CB8"/>
    <w:rsid w:val="00EA5E21"/>
    <w:rsid w:val="00EA5FC9"/>
    <w:rsid w:val="00EA608F"/>
    <w:rsid w:val="00EA60C3"/>
    <w:rsid w:val="00EA6166"/>
    <w:rsid w:val="00EA61EC"/>
    <w:rsid w:val="00EA634A"/>
    <w:rsid w:val="00EA64E0"/>
    <w:rsid w:val="00EA64F5"/>
    <w:rsid w:val="00EA66DE"/>
    <w:rsid w:val="00EA6B98"/>
    <w:rsid w:val="00EA6C41"/>
    <w:rsid w:val="00EA6D22"/>
    <w:rsid w:val="00EA6D79"/>
    <w:rsid w:val="00EA6DD6"/>
    <w:rsid w:val="00EA6DFA"/>
    <w:rsid w:val="00EA6E32"/>
    <w:rsid w:val="00EA6E5C"/>
    <w:rsid w:val="00EA6FBF"/>
    <w:rsid w:val="00EA7094"/>
    <w:rsid w:val="00EA728E"/>
    <w:rsid w:val="00EA740C"/>
    <w:rsid w:val="00EA77B6"/>
    <w:rsid w:val="00EA785E"/>
    <w:rsid w:val="00EA79AA"/>
    <w:rsid w:val="00EA7AED"/>
    <w:rsid w:val="00EB0002"/>
    <w:rsid w:val="00EB0136"/>
    <w:rsid w:val="00EB0459"/>
    <w:rsid w:val="00EB0561"/>
    <w:rsid w:val="00EB0563"/>
    <w:rsid w:val="00EB0865"/>
    <w:rsid w:val="00EB0B3E"/>
    <w:rsid w:val="00EB0CE4"/>
    <w:rsid w:val="00EB0E53"/>
    <w:rsid w:val="00EB117A"/>
    <w:rsid w:val="00EB11A1"/>
    <w:rsid w:val="00EB1271"/>
    <w:rsid w:val="00EB12FE"/>
    <w:rsid w:val="00EB16E1"/>
    <w:rsid w:val="00EB17C3"/>
    <w:rsid w:val="00EB19A6"/>
    <w:rsid w:val="00EB1B66"/>
    <w:rsid w:val="00EB1DB6"/>
    <w:rsid w:val="00EB1DBA"/>
    <w:rsid w:val="00EB1EE9"/>
    <w:rsid w:val="00EB1F22"/>
    <w:rsid w:val="00EB1F2D"/>
    <w:rsid w:val="00EB2052"/>
    <w:rsid w:val="00EB24E9"/>
    <w:rsid w:val="00EB2540"/>
    <w:rsid w:val="00EB2599"/>
    <w:rsid w:val="00EB259E"/>
    <w:rsid w:val="00EB27FC"/>
    <w:rsid w:val="00EB2B8B"/>
    <w:rsid w:val="00EB2C5E"/>
    <w:rsid w:val="00EB2D1E"/>
    <w:rsid w:val="00EB2EE0"/>
    <w:rsid w:val="00EB2EEC"/>
    <w:rsid w:val="00EB2F3A"/>
    <w:rsid w:val="00EB3219"/>
    <w:rsid w:val="00EB344E"/>
    <w:rsid w:val="00EB34A3"/>
    <w:rsid w:val="00EB34EE"/>
    <w:rsid w:val="00EB35A3"/>
    <w:rsid w:val="00EB3638"/>
    <w:rsid w:val="00EB36CD"/>
    <w:rsid w:val="00EB36DB"/>
    <w:rsid w:val="00EB3711"/>
    <w:rsid w:val="00EB37A7"/>
    <w:rsid w:val="00EB39E8"/>
    <w:rsid w:val="00EB3BC7"/>
    <w:rsid w:val="00EB3F20"/>
    <w:rsid w:val="00EB4164"/>
    <w:rsid w:val="00EB4192"/>
    <w:rsid w:val="00EB4399"/>
    <w:rsid w:val="00EB43EC"/>
    <w:rsid w:val="00EB448B"/>
    <w:rsid w:val="00EB48A3"/>
    <w:rsid w:val="00EB495B"/>
    <w:rsid w:val="00EB49BD"/>
    <w:rsid w:val="00EB4F22"/>
    <w:rsid w:val="00EB506E"/>
    <w:rsid w:val="00EB5088"/>
    <w:rsid w:val="00EB509D"/>
    <w:rsid w:val="00EB51E2"/>
    <w:rsid w:val="00EB52B0"/>
    <w:rsid w:val="00EB52B6"/>
    <w:rsid w:val="00EB563E"/>
    <w:rsid w:val="00EB5674"/>
    <w:rsid w:val="00EB5726"/>
    <w:rsid w:val="00EB5796"/>
    <w:rsid w:val="00EB5D42"/>
    <w:rsid w:val="00EB60D4"/>
    <w:rsid w:val="00EB6140"/>
    <w:rsid w:val="00EB6349"/>
    <w:rsid w:val="00EB63CD"/>
    <w:rsid w:val="00EB6489"/>
    <w:rsid w:val="00EB65C4"/>
    <w:rsid w:val="00EB66A3"/>
    <w:rsid w:val="00EB66AC"/>
    <w:rsid w:val="00EB6710"/>
    <w:rsid w:val="00EB676F"/>
    <w:rsid w:val="00EB688A"/>
    <w:rsid w:val="00EB6932"/>
    <w:rsid w:val="00EB697C"/>
    <w:rsid w:val="00EB6993"/>
    <w:rsid w:val="00EB6B19"/>
    <w:rsid w:val="00EB6C5B"/>
    <w:rsid w:val="00EB6C85"/>
    <w:rsid w:val="00EB6C95"/>
    <w:rsid w:val="00EB6CD0"/>
    <w:rsid w:val="00EB6E1F"/>
    <w:rsid w:val="00EB6F7B"/>
    <w:rsid w:val="00EB6F8F"/>
    <w:rsid w:val="00EB7394"/>
    <w:rsid w:val="00EB73F6"/>
    <w:rsid w:val="00EB7586"/>
    <w:rsid w:val="00EB769F"/>
    <w:rsid w:val="00EB7731"/>
    <w:rsid w:val="00EB7993"/>
    <w:rsid w:val="00EB79A2"/>
    <w:rsid w:val="00EB7A48"/>
    <w:rsid w:val="00EB7C4F"/>
    <w:rsid w:val="00EB7C85"/>
    <w:rsid w:val="00EB7CF2"/>
    <w:rsid w:val="00EB7CFC"/>
    <w:rsid w:val="00EC00BF"/>
    <w:rsid w:val="00EC01FF"/>
    <w:rsid w:val="00EC0546"/>
    <w:rsid w:val="00EC05FB"/>
    <w:rsid w:val="00EC0619"/>
    <w:rsid w:val="00EC0780"/>
    <w:rsid w:val="00EC0814"/>
    <w:rsid w:val="00EC0B28"/>
    <w:rsid w:val="00EC0B43"/>
    <w:rsid w:val="00EC0CAE"/>
    <w:rsid w:val="00EC0CD6"/>
    <w:rsid w:val="00EC0D80"/>
    <w:rsid w:val="00EC10BC"/>
    <w:rsid w:val="00EC13C5"/>
    <w:rsid w:val="00EC13CF"/>
    <w:rsid w:val="00EC146D"/>
    <w:rsid w:val="00EC157C"/>
    <w:rsid w:val="00EC1655"/>
    <w:rsid w:val="00EC186B"/>
    <w:rsid w:val="00EC18A7"/>
    <w:rsid w:val="00EC1900"/>
    <w:rsid w:val="00EC19D6"/>
    <w:rsid w:val="00EC1B67"/>
    <w:rsid w:val="00EC1B80"/>
    <w:rsid w:val="00EC1E4C"/>
    <w:rsid w:val="00EC207C"/>
    <w:rsid w:val="00EC21D1"/>
    <w:rsid w:val="00EC22CF"/>
    <w:rsid w:val="00EC240B"/>
    <w:rsid w:val="00EC259D"/>
    <w:rsid w:val="00EC2892"/>
    <w:rsid w:val="00EC29A0"/>
    <w:rsid w:val="00EC29FA"/>
    <w:rsid w:val="00EC2B08"/>
    <w:rsid w:val="00EC2BEA"/>
    <w:rsid w:val="00EC2BEF"/>
    <w:rsid w:val="00EC2F84"/>
    <w:rsid w:val="00EC2FB8"/>
    <w:rsid w:val="00EC306E"/>
    <w:rsid w:val="00EC30B6"/>
    <w:rsid w:val="00EC30CB"/>
    <w:rsid w:val="00EC30F5"/>
    <w:rsid w:val="00EC31C6"/>
    <w:rsid w:val="00EC3231"/>
    <w:rsid w:val="00EC333F"/>
    <w:rsid w:val="00EC33A9"/>
    <w:rsid w:val="00EC34BB"/>
    <w:rsid w:val="00EC34E2"/>
    <w:rsid w:val="00EC36C4"/>
    <w:rsid w:val="00EC3920"/>
    <w:rsid w:val="00EC3A44"/>
    <w:rsid w:val="00EC3AB6"/>
    <w:rsid w:val="00EC3C4B"/>
    <w:rsid w:val="00EC3D69"/>
    <w:rsid w:val="00EC3DEA"/>
    <w:rsid w:val="00EC3E07"/>
    <w:rsid w:val="00EC3E32"/>
    <w:rsid w:val="00EC421D"/>
    <w:rsid w:val="00EC431C"/>
    <w:rsid w:val="00EC4571"/>
    <w:rsid w:val="00EC469D"/>
    <w:rsid w:val="00EC46E7"/>
    <w:rsid w:val="00EC46FD"/>
    <w:rsid w:val="00EC49A2"/>
    <w:rsid w:val="00EC4A36"/>
    <w:rsid w:val="00EC4B1C"/>
    <w:rsid w:val="00EC4E5C"/>
    <w:rsid w:val="00EC4F9C"/>
    <w:rsid w:val="00EC524C"/>
    <w:rsid w:val="00EC558C"/>
    <w:rsid w:val="00EC5609"/>
    <w:rsid w:val="00EC560C"/>
    <w:rsid w:val="00EC56D3"/>
    <w:rsid w:val="00EC5836"/>
    <w:rsid w:val="00EC59A3"/>
    <w:rsid w:val="00EC5A46"/>
    <w:rsid w:val="00EC5C6C"/>
    <w:rsid w:val="00EC5C6E"/>
    <w:rsid w:val="00EC5CFC"/>
    <w:rsid w:val="00EC5D48"/>
    <w:rsid w:val="00EC5D63"/>
    <w:rsid w:val="00EC5D9B"/>
    <w:rsid w:val="00EC5DD0"/>
    <w:rsid w:val="00EC5E53"/>
    <w:rsid w:val="00EC604B"/>
    <w:rsid w:val="00EC6552"/>
    <w:rsid w:val="00EC6585"/>
    <w:rsid w:val="00EC6610"/>
    <w:rsid w:val="00EC661E"/>
    <w:rsid w:val="00EC66ED"/>
    <w:rsid w:val="00EC6731"/>
    <w:rsid w:val="00EC67E1"/>
    <w:rsid w:val="00EC6C8A"/>
    <w:rsid w:val="00EC6D39"/>
    <w:rsid w:val="00EC6F76"/>
    <w:rsid w:val="00EC6F7D"/>
    <w:rsid w:val="00EC737D"/>
    <w:rsid w:val="00EC73E4"/>
    <w:rsid w:val="00EC74AE"/>
    <w:rsid w:val="00EC7506"/>
    <w:rsid w:val="00EC753F"/>
    <w:rsid w:val="00EC7777"/>
    <w:rsid w:val="00EC79DD"/>
    <w:rsid w:val="00EC7AAE"/>
    <w:rsid w:val="00EC7C4A"/>
    <w:rsid w:val="00EC7D54"/>
    <w:rsid w:val="00EC7F57"/>
    <w:rsid w:val="00ED00A3"/>
    <w:rsid w:val="00ED01C1"/>
    <w:rsid w:val="00ED0401"/>
    <w:rsid w:val="00ED04DB"/>
    <w:rsid w:val="00ED0AA9"/>
    <w:rsid w:val="00ED0DCC"/>
    <w:rsid w:val="00ED0F68"/>
    <w:rsid w:val="00ED10DB"/>
    <w:rsid w:val="00ED116D"/>
    <w:rsid w:val="00ED13F5"/>
    <w:rsid w:val="00ED13FE"/>
    <w:rsid w:val="00ED187E"/>
    <w:rsid w:val="00ED18C5"/>
    <w:rsid w:val="00ED18F0"/>
    <w:rsid w:val="00ED18F7"/>
    <w:rsid w:val="00ED1D8B"/>
    <w:rsid w:val="00ED1E42"/>
    <w:rsid w:val="00ED2010"/>
    <w:rsid w:val="00ED23C5"/>
    <w:rsid w:val="00ED258A"/>
    <w:rsid w:val="00ED26CA"/>
    <w:rsid w:val="00ED2827"/>
    <w:rsid w:val="00ED294C"/>
    <w:rsid w:val="00ED2B3D"/>
    <w:rsid w:val="00ED2BAF"/>
    <w:rsid w:val="00ED2E4B"/>
    <w:rsid w:val="00ED303F"/>
    <w:rsid w:val="00ED30C5"/>
    <w:rsid w:val="00ED329A"/>
    <w:rsid w:val="00ED338C"/>
    <w:rsid w:val="00ED338E"/>
    <w:rsid w:val="00ED36A9"/>
    <w:rsid w:val="00ED39C9"/>
    <w:rsid w:val="00ED3B81"/>
    <w:rsid w:val="00ED3BCD"/>
    <w:rsid w:val="00ED3D23"/>
    <w:rsid w:val="00ED3F0C"/>
    <w:rsid w:val="00ED4090"/>
    <w:rsid w:val="00ED4182"/>
    <w:rsid w:val="00ED42CD"/>
    <w:rsid w:val="00ED4364"/>
    <w:rsid w:val="00ED4456"/>
    <w:rsid w:val="00ED4535"/>
    <w:rsid w:val="00ED476B"/>
    <w:rsid w:val="00ED480D"/>
    <w:rsid w:val="00ED4AD7"/>
    <w:rsid w:val="00ED4B47"/>
    <w:rsid w:val="00ED4BFE"/>
    <w:rsid w:val="00ED4C84"/>
    <w:rsid w:val="00ED4D20"/>
    <w:rsid w:val="00ED4D2F"/>
    <w:rsid w:val="00ED4D4F"/>
    <w:rsid w:val="00ED4D59"/>
    <w:rsid w:val="00ED4DF1"/>
    <w:rsid w:val="00ED53D5"/>
    <w:rsid w:val="00ED55DD"/>
    <w:rsid w:val="00ED586B"/>
    <w:rsid w:val="00ED591D"/>
    <w:rsid w:val="00ED5A67"/>
    <w:rsid w:val="00ED5C2F"/>
    <w:rsid w:val="00ED5CEE"/>
    <w:rsid w:val="00ED5D63"/>
    <w:rsid w:val="00ED5E57"/>
    <w:rsid w:val="00ED62B8"/>
    <w:rsid w:val="00ED62F6"/>
    <w:rsid w:val="00ED63FE"/>
    <w:rsid w:val="00ED68D5"/>
    <w:rsid w:val="00ED68D7"/>
    <w:rsid w:val="00ED68FF"/>
    <w:rsid w:val="00ED6A60"/>
    <w:rsid w:val="00ED6DB1"/>
    <w:rsid w:val="00ED6E13"/>
    <w:rsid w:val="00ED6EF7"/>
    <w:rsid w:val="00ED7276"/>
    <w:rsid w:val="00ED73AF"/>
    <w:rsid w:val="00ED73E5"/>
    <w:rsid w:val="00ED73E6"/>
    <w:rsid w:val="00ED7611"/>
    <w:rsid w:val="00ED762B"/>
    <w:rsid w:val="00ED7718"/>
    <w:rsid w:val="00ED7959"/>
    <w:rsid w:val="00ED79B9"/>
    <w:rsid w:val="00ED7B85"/>
    <w:rsid w:val="00ED7E90"/>
    <w:rsid w:val="00ED7EAA"/>
    <w:rsid w:val="00ED7F5C"/>
    <w:rsid w:val="00EE006F"/>
    <w:rsid w:val="00EE03DA"/>
    <w:rsid w:val="00EE042C"/>
    <w:rsid w:val="00EE0655"/>
    <w:rsid w:val="00EE0735"/>
    <w:rsid w:val="00EE0978"/>
    <w:rsid w:val="00EE09C3"/>
    <w:rsid w:val="00EE0B9A"/>
    <w:rsid w:val="00EE0E33"/>
    <w:rsid w:val="00EE1217"/>
    <w:rsid w:val="00EE12B5"/>
    <w:rsid w:val="00EE15FD"/>
    <w:rsid w:val="00EE1758"/>
    <w:rsid w:val="00EE17B1"/>
    <w:rsid w:val="00EE199A"/>
    <w:rsid w:val="00EE1C2E"/>
    <w:rsid w:val="00EE1C62"/>
    <w:rsid w:val="00EE1CAE"/>
    <w:rsid w:val="00EE1D84"/>
    <w:rsid w:val="00EE1E5D"/>
    <w:rsid w:val="00EE1F8D"/>
    <w:rsid w:val="00EE228B"/>
    <w:rsid w:val="00EE22F5"/>
    <w:rsid w:val="00EE2358"/>
    <w:rsid w:val="00EE23E2"/>
    <w:rsid w:val="00EE26B7"/>
    <w:rsid w:val="00EE2877"/>
    <w:rsid w:val="00EE2882"/>
    <w:rsid w:val="00EE2BA3"/>
    <w:rsid w:val="00EE306E"/>
    <w:rsid w:val="00EE339F"/>
    <w:rsid w:val="00EE344B"/>
    <w:rsid w:val="00EE35A7"/>
    <w:rsid w:val="00EE35CF"/>
    <w:rsid w:val="00EE3B7A"/>
    <w:rsid w:val="00EE3BCC"/>
    <w:rsid w:val="00EE3CF5"/>
    <w:rsid w:val="00EE3D53"/>
    <w:rsid w:val="00EE3E8C"/>
    <w:rsid w:val="00EE466B"/>
    <w:rsid w:val="00EE48AE"/>
    <w:rsid w:val="00EE48F7"/>
    <w:rsid w:val="00EE49E3"/>
    <w:rsid w:val="00EE4AA5"/>
    <w:rsid w:val="00EE4B9E"/>
    <w:rsid w:val="00EE4C77"/>
    <w:rsid w:val="00EE5064"/>
    <w:rsid w:val="00EE51D0"/>
    <w:rsid w:val="00EE5277"/>
    <w:rsid w:val="00EE532B"/>
    <w:rsid w:val="00EE5448"/>
    <w:rsid w:val="00EE54A5"/>
    <w:rsid w:val="00EE56F6"/>
    <w:rsid w:val="00EE5796"/>
    <w:rsid w:val="00EE596B"/>
    <w:rsid w:val="00EE5C6E"/>
    <w:rsid w:val="00EE5C7B"/>
    <w:rsid w:val="00EE5CF8"/>
    <w:rsid w:val="00EE5D69"/>
    <w:rsid w:val="00EE5D75"/>
    <w:rsid w:val="00EE5DCB"/>
    <w:rsid w:val="00EE6211"/>
    <w:rsid w:val="00EE6267"/>
    <w:rsid w:val="00EE67EF"/>
    <w:rsid w:val="00EE68C2"/>
    <w:rsid w:val="00EE694C"/>
    <w:rsid w:val="00EE6A26"/>
    <w:rsid w:val="00EE6A27"/>
    <w:rsid w:val="00EE6DF4"/>
    <w:rsid w:val="00EE6F2E"/>
    <w:rsid w:val="00EE6FA5"/>
    <w:rsid w:val="00EE7041"/>
    <w:rsid w:val="00EE70E9"/>
    <w:rsid w:val="00EE7204"/>
    <w:rsid w:val="00EE721D"/>
    <w:rsid w:val="00EE7302"/>
    <w:rsid w:val="00EE76D4"/>
    <w:rsid w:val="00EE783B"/>
    <w:rsid w:val="00EE78A9"/>
    <w:rsid w:val="00EE7A3E"/>
    <w:rsid w:val="00EE7C1E"/>
    <w:rsid w:val="00EE7CA5"/>
    <w:rsid w:val="00EE7EDC"/>
    <w:rsid w:val="00EF00C6"/>
    <w:rsid w:val="00EF00E4"/>
    <w:rsid w:val="00EF01DC"/>
    <w:rsid w:val="00EF028E"/>
    <w:rsid w:val="00EF0398"/>
    <w:rsid w:val="00EF0406"/>
    <w:rsid w:val="00EF088F"/>
    <w:rsid w:val="00EF09CA"/>
    <w:rsid w:val="00EF0AD5"/>
    <w:rsid w:val="00EF0CFC"/>
    <w:rsid w:val="00EF0D24"/>
    <w:rsid w:val="00EF10F4"/>
    <w:rsid w:val="00EF12AA"/>
    <w:rsid w:val="00EF134B"/>
    <w:rsid w:val="00EF148A"/>
    <w:rsid w:val="00EF14A1"/>
    <w:rsid w:val="00EF161E"/>
    <w:rsid w:val="00EF1628"/>
    <w:rsid w:val="00EF1770"/>
    <w:rsid w:val="00EF1819"/>
    <w:rsid w:val="00EF18BC"/>
    <w:rsid w:val="00EF19AE"/>
    <w:rsid w:val="00EF1A88"/>
    <w:rsid w:val="00EF1B2B"/>
    <w:rsid w:val="00EF1D8E"/>
    <w:rsid w:val="00EF249D"/>
    <w:rsid w:val="00EF25B3"/>
    <w:rsid w:val="00EF2BD0"/>
    <w:rsid w:val="00EF313A"/>
    <w:rsid w:val="00EF314E"/>
    <w:rsid w:val="00EF3191"/>
    <w:rsid w:val="00EF3221"/>
    <w:rsid w:val="00EF3379"/>
    <w:rsid w:val="00EF34AC"/>
    <w:rsid w:val="00EF3502"/>
    <w:rsid w:val="00EF356F"/>
    <w:rsid w:val="00EF357B"/>
    <w:rsid w:val="00EF35B6"/>
    <w:rsid w:val="00EF35F1"/>
    <w:rsid w:val="00EF38A8"/>
    <w:rsid w:val="00EF3C31"/>
    <w:rsid w:val="00EF3EF9"/>
    <w:rsid w:val="00EF3F03"/>
    <w:rsid w:val="00EF3F2F"/>
    <w:rsid w:val="00EF3F85"/>
    <w:rsid w:val="00EF41F2"/>
    <w:rsid w:val="00EF4238"/>
    <w:rsid w:val="00EF4273"/>
    <w:rsid w:val="00EF4292"/>
    <w:rsid w:val="00EF4378"/>
    <w:rsid w:val="00EF44ED"/>
    <w:rsid w:val="00EF462F"/>
    <w:rsid w:val="00EF4752"/>
    <w:rsid w:val="00EF4879"/>
    <w:rsid w:val="00EF491D"/>
    <w:rsid w:val="00EF4A2F"/>
    <w:rsid w:val="00EF4AEA"/>
    <w:rsid w:val="00EF4B5D"/>
    <w:rsid w:val="00EF4B7B"/>
    <w:rsid w:val="00EF5214"/>
    <w:rsid w:val="00EF5220"/>
    <w:rsid w:val="00EF54BD"/>
    <w:rsid w:val="00EF55B3"/>
    <w:rsid w:val="00EF5734"/>
    <w:rsid w:val="00EF57D8"/>
    <w:rsid w:val="00EF583D"/>
    <w:rsid w:val="00EF5843"/>
    <w:rsid w:val="00EF5942"/>
    <w:rsid w:val="00EF598A"/>
    <w:rsid w:val="00EF5A03"/>
    <w:rsid w:val="00EF5A50"/>
    <w:rsid w:val="00EF5AE5"/>
    <w:rsid w:val="00EF5CAD"/>
    <w:rsid w:val="00EF5EAF"/>
    <w:rsid w:val="00EF62A3"/>
    <w:rsid w:val="00EF633C"/>
    <w:rsid w:val="00EF6426"/>
    <w:rsid w:val="00EF6807"/>
    <w:rsid w:val="00EF68DD"/>
    <w:rsid w:val="00EF6A7D"/>
    <w:rsid w:val="00EF6AFE"/>
    <w:rsid w:val="00EF6BAE"/>
    <w:rsid w:val="00EF6C60"/>
    <w:rsid w:val="00EF6D39"/>
    <w:rsid w:val="00EF6E26"/>
    <w:rsid w:val="00EF6EE5"/>
    <w:rsid w:val="00EF72B8"/>
    <w:rsid w:val="00EF73AE"/>
    <w:rsid w:val="00EF74AC"/>
    <w:rsid w:val="00EF762C"/>
    <w:rsid w:val="00EF7761"/>
    <w:rsid w:val="00EF77F5"/>
    <w:rsid w:val="00EF7998"/>
    <w:rsid w:val="00EF7D29"/>
    <w:rsid w:val="00EF7DB3"/>
    <w:rsid w:val="00F00362"/>
    <w:rsid w:val="00F0071F"/>
    <w:rsid w:val="00F00853"/>
    <w:rsid w:val="00F0085F"/>
    <w:rsid w:val="00F008D8"/>
    <w:rsid w:val="00F00C40"/>
    <w:rsid w:val="00F00DB4"/>
    <w:rsid w:val="00F00DBD"/>
    <w:rsid w:val="00F00E43"/>
    <w:rsid w:val="00F010DD"/>
    <w:rsid w:val="00F01524"/>
    <w:rsid w:val="00F015DB"/>
    <w:rsid w:val="00F0175F"/>
    <w:rsid w:val="00F01B05"/>
    <w:rsid w:val="00F01C84"/>
    <w:rsid w:val="00F01C9A"/>
    <w:rsid w:val="00F01CA0"/>
    <w:rsid w:val="00F02028"/>
    <w:rsid w:val="00F02097"/>
    <w:rsid w:val="00F022ED"/>
    <w:rsid w:val="00F02367"/>
    <w:rsid w:val="00F024C3"/>
    <w:rsid w:val="00F0261E"/>
    <w:rsid w:val="00F026FA"/>
    <w:rsid w:val="00F029F5"/>
    <w:rsid w:val="00F02C0A"/>
    <w:rsid w:val="00F02C35"/>
    <w:rsid w:val="00F02E2A"/>
    <w:rsid w:val="00F02E7C"/>
    <w:rsid w:val="00F02F11"/>
    <w:rsid w:val="00F03116"/>
    <w:rsid w:val="00F032F2"/>
    <w:rsid w:val="00F0334B"/>
    <w:rsid w:val="00F036D6"/>
    <w:rsid w:val="00F03732"/>
    <w:rsid w:val="00F03C5A"/>
    <w:rsid w:val="00F03CB9"/>
    <w:rsid w:val="00F03D17"/>
    <w:rsid w:val="00F03D1D"/>
    <w:rsid w:val="00F03E1E"/>
    <w:rsid w:val="00F03FFF"/>
    <w:rsid w:val="00F040E7"/>
    <w:rsid w:val="00F04103"/>
    <w:rsid w:val="00F04289"/>
    <w:rsid w:val="00F04351"/>
    <w:rsid w:val="00F048D5"/>
    <w:rsid w:val="00F04AD3"/>
    <w:rsid w:val="00F04C3B"/>
    <w:rsid w:val="00F04DDA"/>
    <w:rsid w:val="00F050DE"/>
    <w:rsid w:val="00F05229"/>
    <w:rsid w:val="00F055C1"/>
    <w:rsid w:val="00F05755"/>
    <w:rsid w:val="00F05AE0"/>
    <w:rsid w:val="00F060F9"/>
    <w:rsid w:val="00F062C0"/>
    <w:rsid w:val="00F062EC"/>
    <w:rsid w:val="00F06394"/>
    <w:rsid w:val="00F064DF"/>
    <w:rsid w:val="00F065D7"/>
    <w:rsid w:val="00F066A1"/>
    <w:rsid w:val="00F0681C"/>
    <w:rsid w:val="00F06935"/>
    <w:rsid w:val="00F06D2F"/>
    <w:rsid w:val="00F06E01"/>
    <w:rsid w:val="00F06ED2"/>
    <w:rsid w:val="00F071FB"/>
    <w:rsid w:val="00F07289"/>
    <w:rsid w:val="00F0734B"/>
    <w:rsid w:val="00F0756F"/>
    <w:rsid w:val="00F07A1F"/>
    <w:rsid w:val="00F07A7F"/>
    <w:rsid w:val="00F07A9F"/>
    <w:rsid w:val="00F07C46"/>
    <w:rsid w:val="00F07C8A"/>
    <w:rsid w:val="00F07CF3"/>
    <w:rsid w:val="00F07FC3"/>
    <w:rsid w:val="00F101E5"/>
    <w:rsid w:val="00F10507"/>
    <w:rsid w:val="00F105E4"/>
    <w:rsid w:val="00F107B0"/>
    <w:rsid w:val="00F107DD"/>
    <w:rsid w:val="00F10912"/>
    <w:rsid w:val="00F109E4"/>
    <w:rsid w:val="00F10D0A"/>
    <w:rsid w:val="00F110EC"/>
    <w:rsid w:val="00F113D3"/>
    <w:rsid w:val="00F114E7"/>
    <w:rsid w:val="00F116B0"/>
    <w:rsid w:val="00F11748"/>
    <w:rsid w:val="00F118B0"/>
    <w:rsid w:val="00F119B5"/>
    <w:rsid w:val="00F11A8B"/>
    <w:rsid w:val="00F11B0A"/>
    <w:rsid w:val="00F11CC4"/>
    <w:rsid w:val="00F11D66"/>
    <w:rsid w:val="00F11DAB"/>
    <w:rsid w:val="00F11E66"/>
    <w:rsid w:val="00F12829"/>
    <w:rsid w:val="00F1283E"/>
    <w:rsid w:val="00F129F0"/>
    <w:rsid w:val="00F12A5C"/>
    <w:rsid w:val="00F12A6E"/>
    <w:rsid w:val="00F12B18"/>
    <w:rsid w:val="00F12B73"/>
    <w:rsid w:val="00F12B7C"/>
    <w:rsid w:val="00F12C44"/>
    <w:rsid w:val="00F12C67"/>
    <w:rsid w:val="00F13056"/>
    <w:rsid w:val="00F130C6"/>
    <w:rsid w:val="00F1314F"/>
    <w:rsid w:val="00F13405"/>
    <w:rsid w:val="00F13436"/>
    <w:rsid w:val="00F1362A"/>
    <w:rsid w:val="00F136B8"/>
    <w:rsid w:val="00F13854"/>
    <w:rsid w:val="00F13937"/>
    <w:rsid w:val="00F13BD3"/>
    <w:rsid w:val="00F13C89"/>
    <w:rsid w:val="00F13E70"/>
    <w:rsid w:val="00F13E95"/>
    <w:rsid w:val="00F13EE4"/>
    <w:rsid w:val="00F140B1"/>
    <w:rsid w:val="00F14115"/>
    <w:rsid w:val="00F14285"/>
    <w:rsid w:val="00F1431D"/>
    <w:rsid w:val="00F1436E"/>
    <w:rsid w:val="00F1440D"/>
    <w:rsid w:val="00F14490"/>
    <w:rsid w:val="00F1465B"/>
    <w:rsid w:val="00F1465F"/>
    <w:rsid w:val="00F1479C"/>
    <w:rsid w:val="00F14845"/>
    <w:rsid w:val="00F14B87"/>
    <w:rsid w:val="00F14F97"/>
    <w:rsid w:val="00F15057"/>
    <w:rsid w:val="00F15239"/>
    <w:rsid w:val="00F1557D"/>
    <w:rsid w:val="00F15590"/>
    <w:rsid w:val="00F1571E"/>
    <w:rsid w:val="00F158B8"/>
    <w:rsid w:val="00F1598A"/>
    <w:rsid w:val="00F15D3A"/>
    <w:rsid w:val="00F15D84"/>
    <w:rsid w:val="00F15DDB"/>
    <w:rsid w:val="00F15F98"/>
    <w:rsid w:val="00F1653E"/>
    <w:rsid w:val="00F166E3"/>
    <w:rsid w:val="00F16C3A"/>
    <w:rsid w:val="00F16E44"/>
    <w:rsid w:val="00F170B2"/>
    <w:rsid w:val="00F17110"/>
    <w:rsid w:val="00F172C6"/>
    <w:rsid w:val="00F172E2"/>
    <w:rsid w:val="00F174E6"/>
    <w:rsid w:val="00F177BB"/>
    <w:rsid w:val="00F1790F"/>
    <w:rsid w:val="00F17B0B"/>
    <w:rsid w:val="00F17B1D"/>
    <w:rsid w:val="00F17BA0"/>
    <w:rsid w:val="00F17D4F"/>
    <w:rsid w:val="00F2008B"/>
    <w:rsid w:val="00F20091"/>
    <w:rsid w:val="00F200A3"/>
    <w:rsid w:val="00F20201"/>
    <w:rsid w:val="00F2027A"/>
    <w:rsid w:val="00F206BB"/>
    <w:rsid w:val="00F2097D"/>
    <w:rsid w:val="00F20D88"/>
    <w:rsid w:val="00F20DD2"/>
    <w:rsid w:val="00F20DE5"/>
    <w:rsid w:val="00F20E6C"/>
    <w:rsid w:val="00F2111D"/>
    <w:rsid w:val="00F211BE"/>
    <w:rsid w:val="00F211E4"/>
    <w:rsid w:val="00F212F4"/>
    <w:rsid w:val="00F2149F"/>
    <w:rsid w:val="00F219C7"/>
    <w:rsid w:val="00F21AFB"/>
    <w:rsid w:val="00F21F0C"/>
    <w:rsid w:val="00F22428"/>
    <w:rsid w:val="00F22617"/>
    <w:rsid w:val="00F2281B"/>
    <w:rsid w:val="00F228C3"/>
    <w:rsid w:val="00F22956"/>
    <w:rsid w:val="00F2295C"/>
    <w:rsid w:val="00F229AD"/>
    <w:rsid w:val="00F229E5"/>
    <w:rsid w:val="00F22B31"/>
    <w:rsid w:val="00F22C5D"/>
    <w:rsid w:val="00F22E7F"/>
    <w:rsid w:val="00F2358F"/>
    <w:rsid w:val="00F23601"/>
    <w:rsid w:val="00F23800"/>
    <w:rsid w:val="00F23973"/>
    <w:rsid w:val="00F23A30"/>
    <w:rsid w:val="00F23BA8"/>
    <w:rsid w:val="00F23C4B"/>
    <w:rsid w:val="00F240A5"/>
    <w:rsid w:val="00F2422D"/>
    <w:rsid w:val="00F242C6"/>
    <w:rsid w:val="00F24541"/>
    <w:rsid w:val="00F246E3"/>
    <w:rsid w:val="00F2482D"/>
    <w:rsid w:val="00F248E4"/>
    <w:rsid w:val="00F24ABD"/>
    <w:rsid w:val="00F24AE1"/>
    <w:rsid w:val="00F24BEC"/>
    <w:rsid w:val="00F24D9D"/>
    <w:rsid w:val="00F2500E"/>
    <w:rsid w:val="00F25245"/>
    <w:rsid w:val="00F25515"/>
    <w:rsid w:val="00F25A5F"/>
    <w:rsid w:val="00F25BE9"/>
    <w:rsid w:val="00F25C18"/>
    <w:rsid w:val="00F25DC2"/>
    <w:rsid w:val="00F25EEE"/>
    <w:rsid w:val="00F25F60"/>
    <w:rsid w:val="00F25FFA"/>
    <w:rsid w:val="00F26141"/>
    <w:rsid w:val="00F26378"/>
    <w:rsid w:val="00F264D7"/>
    <w:rsid w:val="00F26502"/>
    <w:rsid w:val="00F26557"/>
    <w:rsid w:val="00F265E1"/>
    <w:rsid w:val="00F2681E"/>
    <w:rsid w:val="00F26822"/>
    <w:rsid w:val="00F26894"/>
    <w:rsid w:val="00F2689F"/>
    <w:rsid w:val="00F2703E"/>
    <w:rsid w:val="00F27042"/>
    <w:rsid w:val="00F27164"/>
    <w:rsid w:val="00F2745E"/>
    <w:rsid w:val="00F27535"/>
    <w:rsid w:val="00F27567"/>
    <w:rsid w:val="00F2767C"/>
    <w:rsid w:val="00F27A0A"/>
    <w:rsid w:val="00F27B6C"/>
    <w:rsid w:val="00F27BAD"/>
    <w:rsid w:val="00F27CB0"/>
    <w:rsid w:val="00F27D1C"/>
    <w:rsid w:val="00F27D7D"/>
    <w:rsid w:val="00F27DDE"/>
    <w:rsid w:val="00F27E43"/>
    <w:rsid w:val="00F3002A"/>
    <w:rsid w:val="00F30031"/>
    <w:rsid w:val="00F30046"/>
    <w:rsid w:val="00F30104"/>
    <w:rsid w:val="00F3020C"/>
    <w:rsid w:val="00F3023B"/>
    <w:rsid w:val="00F3053D"/>
    <w:rsid w:val="00F307D8"/>
    <w:rsid w:val="00F3098C"/>
    <w:rsid w:val="00F30A31"/>
    <w:rsid w:val="00F30AB1"/>
    <w:rsid w:val="00F30B86"/>
    <w:rsid w:val="00F30C7C"/>
    <w:rsid w:val="00F31164"/>
    <w:rsid w:val="00F3139D"/>
    <w:rsid w:val="00F3169F"/>
    <w:rsid w:val="00F318BD"/>
    <w:rsid w:val="00F31A84"/>
    <w:rsid w:val="00F31DE2"/>
    <w:rsid w:val="00F32007"/>
    <w:rsid w:val="00F321DA"/>
    <w:rsid w:val="00F326E1"/>
    <w:rsid w:val="00F32771"/>
    <w:rsid w:val="00F328E9"/>
    <w:rsid w:val="00F3299E"/>
    <w:rsid w:val="00F32A0D"/>
    <w:rsid w:val="00F32A49"/>
    <w:rsid w:val="00F32D07"/>
    <w:rsid w:val="00F32D47"/>
    <w:rsid w:val="00F32FDC"/>
    <w:rsid w:val="00F330D6"/>
    <w:rsid w:val="00F33174"/>
    <w:rsid w:val="00F3343A"/>
    <w:rsid w:val="00F335A4"/>
    <w:rsid w:val="00F3369B"/>
    <w:rsid w:val="00F3379B"/>
    <w:rsid w:val="00F338EB"/>
    <w:rsid w:val="00F33B19"/>
    <w:rsid w:val="00F33B90"/>
    <w:rsid w:val="00F33D2E"/>
    <w:rsid w:val="00F33E3C"/>
    <w:rsid w:val="00F33EDC"/>
    <w:rsid w:val="00F341B6"/>
    <w:rsid w:val="00F34395"/>
    <w:rsid w:val="00F3445B"/>
    <w:rsid w:val="00F34598"/>
    <w:rsid w:val="00F34697"/>
    <w:rsid w:val="00F34701"/>
    <w:rsid w:val="00F3477D"/>
    <w:rsid w:val="00F34B82"/>
    <w:rsid w:val="00F34BCE"/>
    <w:rsid w:val="00F34C81"/>
    <w:rsid w:val="00F34CC7"/>
    <w:rsid w:val="00F34F07"/>
    <w:rsid w:val="00F34FEA"/>
    <w:rsid w:val="00F35151"/>
    <w:rsid w:val="00F3528C"/>
    <w:rsid w:val="00F35329"/>
    <w:rsid w:val="00F35362"/>
    <w:rsid w:val="00F3547F"/>
    <w:rsid w:val="00F35541"/>
    <w:rsid w:val="00F355CB"/>
    <w:rsid w:val="00F35640"/>
    <w:rsid w:val="00F356BE"/>
    <w:rsid w:val="00F358ED"/>
    <w:rsid w:val="00F35BE1"/>
    <w:rsid w:val="00F35C37"/>
    <w:rsid w:val="00F35C3D"/>
    <w:rsid w:val="00F35E0D"/>
    <w:rsid w:val="00F35E68"/>
    <w:rsid w:val="00F35F38"/>
    <w:rsid w:val="00F3604F"/>
    <w:rsid w:val="00F36298"/>
    <w:rsid w:val="00F36349"/>
    <w:rsid w:val="00F3661A"/>
    <w:rsid w:val="00F36682"/>
    <w:rsid w:val="00F366E1"/>
    <w:rsid w:val="00F36920"/>
    <w:rsid w:val="00F36C8C"/>
    <w:rsid w:val="00F36CA3"/>
    <w:rsid w:val="00F36D40"/>
    <w:rsid w:val="00F37055"/>
    <w:rsid w:val="00F370F0"/>
    <w:rsid w:val="00F374A8"/>
    <w:rsid w:val="00F37564"/>
    <w:rsid w:val="00F37587"/>
    <w:rsid w:val="00F376C0"/>
    <w:rsid w:val="00F37960"/>
    <w:rsid w:val="00F37AA0"/>
    <w:rsid w:val="00F37CAE"/>
    <w:rsid w:val="00F37CD2"/>
    <w:rsid w:val="00F400BE"/>
    <w:rsid w:val="00F40163"/>
    <w:rsid w:val="00F403AB"/>
    <w:rsid w:val="00F40416"/>
    <w:rsid w:val="00F40563"/>
    <w:rsid w:val="00F40782"/>
    <w:rsid w:val="00F409E6"/>
    <w:rsid w:val="00F40B73"/>
    <w:rsid w:val="00F40BA0"/>
    <w:rsid w:val="00F40C06"/>
    <w:rsid w:val="00F40D14"/>
    <w:rsid w:val="00F40E32"/>
    <w:rsid w:val="00F415C7"/>
    <w:rsid w:val="00F416B3"/>
    <w:rsid w:val="00F41723"/>
    <w:rsid w:val="00F41808"/>
    <w:rsid w:val="00F41863"/>
    <w:rsid w:val="00F4194A"/>
    <w:rsid w:val="00F41D81"/>
    <w:rsid w:val="00F42231"/>
    <w:rsid w:val="00F42455"/>
    <w:rsid w:val="00F42459"/>
    <w:rsid w:val="00F4267F"/>
    <w:rsid w:val="00F42956"/>
    <w:rsid w:val="00F42D71"/>
    <w:rsid w:val="00F42D95"/>
    <w:rsid w:val="00F42DA1"/>
    <w:rsid w:val="00F42EB6"/>
    <w:rsid w:val="00F42ED3"/>
    <w:rsid w:val="00F4319F"/>
    <w:rsid w:val="00F43217"/>
    <w:rsid w:val="00F4364A"/>
    <w:rsid w:val="00F43731"/>
    <w:rsid w:val="00F4379B"/>
    <w:rsid w:val="00F43883"/>
    <w:rsid w:val="00F438E4"/>
    <w:rsid w:val="00F43967"/>
    <w:rsid w:val="00F43A11"/>
    <w:rsid w:val="00F43ABE"/>
    <w:rsid w:val="00F43B15"/>
    <w:rsid w:val="00F43E4E"/>
    <w:rsid w:val="00F43E58"/>
    <w:rsid w:val="00F43E79"/>
    <w:rsid w:val="00F43F70"/>
    <w:rsid w:val="00F43F7F"/>
    <w:rsid w:val="00F440DF"/>
    <w:rsid w:val="00F44140"/>
    <w:rsid w:val="00F44268"/>
    <w:rsid w:val="00F4434A"/>
    <w:rsid w:val="00F443CC"/>
    <w:rsid w:val="00F444DE"/>
    <w:rsid w:val="00F445C1"/>
    <w:rsid w:val="00F447BA"/>
    <w:rsid w:val="00F448D3"/>
    <w:rsid w:val="00F448D6"/>
    <w:rsid w:val="00F44A01"/>
    <w:rsid w:val="00F44B0E"/>
    <w:rsid w:val="00F44B45"/>
    <w:rsid w:val="00F44CE0"/>
    <w:rsid w:val="00F44F4F"/>
    <w:rsid w:val="00F44FF2"/>
    <w:rsid w:val="00F4503F"/>
    <w:rsid w:val="00F4517F"/>
    <w:rsid w:val="00F452CB"/>
    <w:rsid w:val="00F45333"/>
    <w:rsid w:val="00F455F4"/>
    <w:rsid w:val="00F457E6"/>
    <w:rsid w:val="00F45830"/>
    <w:rsid w:val="00F4595A"/>
    <w:rsid w:val="00F45C11"/>
    <w:rsid w:val="00F45CAA"/>
    <w:rsid w:val="00F45D8B"/>
    <w:rsid w:val="00F463B3"/>
    <w:rsid w:val="00F464B0"/>
    <w:rsid w:val="00F466AB"/>
    <w:rsid w:val="00F466EC"/>
    <w:rsid w:val="00F46745"/>
    <w:rsid w:val="00F467E2"/>
    <w:rsid w:val="00F4688A"/>
    <w:rsid w:val="00F46963"/>
    <w:rsid w:val="00F46ACE"/>
    <w:rsid w:val="00F46CF6"/>
    <w:rsid w:val="00F46DE5"/>
    <w:rsid w:val="00F46FCC"/>
    <w:rsid w:val="00F4728D"/>
    <w:rsid w:val="00F4753F"/>
    <w:rsid w:val="00F4766B"/>
    <w:rsid w:val="00F4773F"/>
    <w:rsid w:val="00F47782"/>
    <w:rsid w:val="00F477ED"/>
    <w:rsid w:val="00F4781A"/>
    <w:rsid w:val="00F47876"/>
    <w:rsid w:val="00F47A87"/>
    <w:rsid w:val="00F47C5E"/>
    <w:rsid w:val="00F47D23"/>
    <w:rsid w:val="00F47D6E"/>
    <w:rsid w:val="00F47DDB"/>
    <w:rsid w:val="00F47F9B"/>
    <w:rsid w:val="00F47F9D"/>
    <w:rsid w:val="00F47FAC"/>
    <w:rsid w:val="00F5006E"/>
    <w:rsid w:val="00F50182"/>
    <w:rsid w:val="00F501DE"/>
    <w:rsid w:val="00F50376"/>
    <w:rsid w:val="00F504D8"/>
    <w:rsid w:val="00F5051B"/>
    <w:rsid w:val="00F5060D"/>
    <w:rsid w:val="00F50696"/>
    <w:rsid w:val="00F50763"/>
    <w:rsid w:val="00F50862"/>
    <w:rsid w:val="00F50933"/>
    <w:rsid w:val="00F50CD5"/>
    <w:rsid w:val="00F50D51"/>
    <w:rsid w:val="00F50D75"/>
    <w:rsid w:val="00F51027"/>
    <w:rsid w:val="00F511B3"/>
    <w:rsid w:val="00F51270"/>
    <w:rsid w:val="00F51399"/>
    <w:rsid w:val="00F513BD"/>
    <w:rsid w:val="00F514D1"/>
    <w:rsid w:val="00F5158E"/>
    <w:rsid w:val="00F51821"/>
    <w:rsid w:val="00F51BAB"/>
    <w:rsid w:val="00F51C88"/>
    <w:rsid w:val="00F51CED"/>
    <w:rsid w:val="00F51DAE"/>
    <w:rsid w:val="00F52018"/>
    <w:rsid w:val="00F52079"/>
    <w:rsid w:val="00F520D1"/>
    <w:rsid w:val="00F521F7"/>
    <w:rsid w:val="00F5236E"/>
    <w:rsid w:val="00F52482"/>
    <w:rsid w:val="00F52534"/>
    <w:rsid w:val="00F528E3"/>
    <w:rsid w:val="00F528EA"/>
    <w:rsid w:val="00F528F7"/>
    <w:rsid w:val="00F529F1"/>
    <w:rsid w:val="00F52B72"/>
    <w:rsid w:val="00F52CFF"/>
    <w:rsid w:val="00F52D8C"/>
    <w:rsid w:val="00F52DAD"/>
    <w:rsid w:val="00F5327D"/>
    <w:rsid w:val="00F53434"/>
    <w:rsid w:val="00F5344F"/>
    <w:rsid w:val="00F534F0"/>
    <w:rsid w:val="00F53579"/>
    <w:rsid w:val="00F53628"/>
    <w:rsid w:val="00F53663"/>
    <w:rsid w:val="00F536A4"/>
    <w:rsid w:val="00F53B6C"/>
    <w:rsid w:val="00F53C84"/>
    <w:rsid w:val="00F53F64"/>
    <w:rsid w:val="00F548B0"/>
    <w:rsid w:val="00F549AA"/>
    <w:rsid w:val="00F549ED"/>
    <w:rsid w:val="00F54A8C"/>
    <w:rsid w:val="00F54A9B"/>
    <w:rsid w:val="00F54B9A"/>
    <w:rsid w:val="00F55021"/>
    <w:rsid w:val="00F5503A"/>
    <w:rsid w:val="00F5539F"/>
    <w:rsid w:val="00F5541D"/>
    <w:rsid w:val="00F5567D"/>
    <w:rsid w:val="00F556DE"/>
    <w:rsid w:val="00F55AE5"/>
    <w:rsid w:val="00F55AF7"/>
    <w:rsid w:val="00F55B0F"/>
    <w:rsid w:val="00F55DE8"/>
    <w:rsid w:val="00F55E16"/>
    <w:rsid w:val="00F55EC9"/>
    <w:rsid w:val="00F5616A"/>
    <w:rsid w:val="00F561BF"/>
    <w:rsid w:val="00F56269"/>
    <w:rsid w:val="00F56323"/>
    <w:rsid w:val="00F565AA"/>
    <w:rsid w:val="00F56630"/>
    <w:rsid w:val="00F566AE"/>
    <w:rsid w:val="00F5671F"/>
    <w:rsid w:val="00F5675F"/>
    <w:rsid w:val="00F56761"/>
    <w:rsid w:val="00F5677B"/>
    <w:rsid w:val="00F56852"/>
    <w:rsid w:val="00F56869"/>
    <w:rsid w:val="00F56992"/>
    <w:rsid w:val="00F56C1D"/>
    <w:rsid w:val="00F56CF1"/>
    <w:rsid w:val="00F56EBC"/>
    <w:rsid w:val="00F56EBD"/>
    <w:rsid w:val="00F56F5D"/>
    <w:rsid w:val="00F57020"/>
    <w:rsid w:val="00F570A8"/>
    <w:rsid w:val="00F5719E"/>
    <w:rsid w:val="00F57273"/>
    <w:rsid w:val="00F572FF"/>
    <w:rsid w:val="00F57348"/>
    <w:rsid w:val="00F5735F"/>
    <w:rsid w:val="00F57394"/>
    <w:rsid w:val="00F5752D"/>
    <w:rsid w:val="00F57637"/>
    <w:rsid w:val="00F5764E"/>
    <w:rsid w:val="00F5784E"/>
    <w:rsid w:val="00F5798B"/>
    <w:rsid w:val="00F57B9F"/>
    <w:rsid w:val="00F57C28"/>
    <w:rsid w:val="00F57E66"/>
    <w:rsid w:val="00F57F88"/>
    <w:rsid w:val="00F57FDF"/>
    <w:rsid w:val="00F6001D"/>
    <w:rsid w:val="00F60059"/>
    <w:rsid w:val="00F603CE"/>
    <w:rsid w:val="00F603EF"/>
    <w:rsid w:val="00F60550"/>
    <w:rsid w:val="00F60A71"/>
    <w:rsid w:val="00F60C0B"/>
    <w:rsid w:val="00F60EE5"/>
    <w:rsid w:val="00F61001"/>
    <w:rsid w:val="00F613ED"/>
    <w:rsid w:val="00F61716"/>
    <w:rsid w:val="00F61748"/>
    <w:rsid w:val="00F619AE"/>
    <w:rsid w:val="00F619D4"/>
    <w:rsid w:val="00F61C4E"/>
    <w:rsid w:val="00F61DAA"/>
    <w:rsid w:val="00F61E4C"/>
    <w:rsid w:val="00F62155"/>
    <w:rsid w:val="00F62247"/>
    <w:rsid w:val="00F6245B"/>
    <w:rsid w:val="00F62463"/>
    <w:rsid w:val="00F624F9"/>
    <w:rsid w:val="00F625C8"/>
    <w:rsid w:val="00F626AA"/>
    <w:rsid w:val="00F62888"/>
    <w:rsid w:val="00F62F28"/>
    <w:rsid w:val="00F63108"/>
    <w:rsid w:val="00F6310B"/>
    <w:rsid w:val="00F6310D"/>
    <w:rsid w:val="00F6348A"/>
    <w:rsid w:val="00F63885"/>
    <w:rsid w:val="00F63945"/>
    <w:rsid w:val="00F6395B"/>
    <w:rsid w:val="00F639AA"/>
    <w:rsid w:val="00F63A3B"/>
    <w:rsid w:val="00F63A9E"/>
    <w:rsid w:val="00F63AB9"/>
    <w:rsid w:val="00F63BAC"/>
    <w:rsid w:val="00F63BE5"/>
    <w:rsid w:val="00F63BFD"/>
    <w:rsid w:val="00F6409A"/>
    <w:rsid w:val="00F6430D"/>
    <w:rsid w:val="00F6449B"/>
    <w:rsid w:val="00F64605"/>
    <w:rsid w:val="00F6477E"/>
    <w:rsid w:val="00F647E0"/>
    <w:rsid w:val="00F6484D"/>
    <w:rsid w:val="00F64947"/>
    <w:rsid w:val="00F64B1B"/>
    <w:rsid w:val="00F64BE2"/>
    <w:rsid w:val="00F64D65"/>
    <w:rsid w:val="00F64DB9"/>
    <w:rsid w:val="00F64DED"/>
    <w:rsid w:val="00F64E0B"/>
    <w:rsid w:val="00F6505F"/>
    <w:rsid w:val="00F65235"/>
    <w:rsid w:val="00F65491"/>
    <w:rsid w:val="00F65831"/>
    <w:rsid w:val="00F658D3"/>
    <w:rsid w:val="00F6599C"/>
    <w:rsid w:val="00F659B1"/>
    <w:rsid w:val="00F65ABE"/>
    <w:rsid w:val="00F65B9B"/>
    <w:rsid w:val="00F65DD3"/>
    <w:rsid w:val="00F65EFB"/>
    <w:rsid w:val="00F65F7D"/>
    <w:rsid w:val="00F66000"/>
    <w:rsid w:val="00F6602B"/>
    <w:rsid w:val="00F6627B"/>
    <w:rsid w:val="00F663E3"/>
    <w:rsid w:val="00F6657A"/>
    <w:rsid w:val="00F66669"/>
    <w:rsid w:val="00F6673F"/>
    <w:rsid w:val="00F667C8"/>
    <w:rsid w:val="00F66875"/>
    <w:rsid w:val="00F66878"/>
    <w:rsid w:val="00F66A81"/>
    <w:rsid w:val="00F66B31"/>
    <w:rsid w:val="00F66F30"/>
    <w:rsid w:val="00F672B6"/>
    <w:rsid w:val="00F67351"/>
    <w:rsid w:val="00F677BF"/>
    <w:rsid w:val="00F678E4"/>
    <w:rsid w:val="00F67B1A"/>
    <w:rsid w:val="00F67CEA"/>
    <w:rsid w:val="00F67D56"/>
    <w:rsid w:val="00F70514"/>
    <w:rsid w:val="00F70655"/>
    <w:rsid w:val="00F70760"/>
    <w:rsid w:val="00F7079B"/>
    <w:rsid w:val="00F707BE"/>
    <w:rsid w:val="00F707F1"/>
    <w:rsid w:val="00F70A2B"/>
    <w:rsid w:val="00F70CAE"/>
    <w:rsid w:val="00F70D9B"/>
    <w:rsid w:val="00F70DC1"/>
    <w:rsid w:val="00F70E57"/>
    <w:rsid w:val="00F70EBA"/>
    <w:rsid w:val="00F70EF0"/>
    <w:rsid w:val="00F70F47"/>
    <w:rsid w:val="00F70F61"/>
    <w:rsid w:val="00F70FCF"/>
    <w:rsid w:val="00F7106B"/>
    <w:rsid w:val="00F71095"/>
    <w:rsid w:val="00F71152"/>
    <w:rsid w:val="00F712F9"/>
    <w:rsid w:val="00F71388"/>
    <w:rsid w:val="00F71522"/>
    <w:rsid w:val="00F71640"/>
    <w:rsid w:val="00F718C7"/>
    <w:rsid w:val="00F7190F"/>
    <w:rsid w:val="00F71A92"/>
    <w:rsid w:val="00F71A94"/>
    <w:rsid w:val="00F71BF6"/>
    <w:rsid w:val="00F71E0C"/>
    <w:rsid w:val="00F71FA6"/>
    <w:rsid w:val="00F71FF7"/>
    <w:rsid w:val="00F720B0"/>
    <w:rsid w:val="00F7213E"/>
    <w:rsid w:val="00F72174"/>
    <w:rsid w:val="00F72208"/>
    <w:rsid w:val="00F723A7"/>
    <w:rsid w:val="00F72464"/>
    <w:rsid w:val="00F72674"/>
    <w:rsid w:val="00F726E9"/>
    <w:rsid w:val="00F7291F"/>
    <w:rsid w:val="00F72AB1"/>
    <w:rsid w:val="00F72D5F"/>
    <w:rsid w:val="00F72DBC"/>
    <w:rsid w:val="00F72F94"/>
    <w:rsid w:val="00F7337A"/>
    <w:rsid w:val="00F733BA"/>
    <w:rsid w:val="00F7350B"/>
    <w:rsid w:val="00F73769"/>
    <w:rsid w:val="00F73874"/>
    <w:rsid w:val="00F739C2"/>
    <w:rsid w:val="00F73AE1"/>
    <w:rsid w:val="00F73C46"/>
    <w:rsid w:val="00F73CF8"/>
    <w:rsid w:val="00F73D2B"/>
    <w:rsid w:val="00F73D6E"/>
    <w:rsid w:val="00F73D7D"/>
    <w:rsid w:val="00F73DDE"/>
    <w:rsid w:val="00F73E5F"/>
    <w:rsid w:val="00F74000"/>
    <w:rsid w:val="00F741A2"/>
    <w:rsid w:val="00F74483"/>
    <w:rsid w:val="00F74645"/>
    <w:rsid w:val="00F7470F"/>
    <w:rsid w:val="00F7477E"/>
    <w:rsid w:val="00F74869"/>
    <w:rsid w:val="00F74B24"/>
    <w:rsid w:val="00F74C43"/>
    <w:rsid w:val="00F74EAD"/>
    <w:rsid w:val="00F74F2B"/>
    <w:rsid w:val="00F7503D"/>
    <w:rsid w:val="00F7510D"/>
    <w:rsid w:val="00F7510E"/>
    <w:rsid w:val="00F75217"/>
    <w:rsid w:val="00F75301"/>
    <w:rsid w:val="00F75A0C"/>
    <w:rsid w:val="00F75B19"/>
    <w:rsid w:val="00F75B62"/>
    <w:rsid w:val="00F75D27"/>
    <w:rsid w:val="00F75E5C"/>
    <w:rsid w:val="00F75E88"/>
    <w:rsid w:val="00F760EB"/>
    <w:rsid w:val="00F7617E"/>
    <w:rsid w:val="00F7650F"/>
    <w:rsid w:val="00F7655D"/>
    <w:rsid w:val="00F76694"/>
    <w:rsid w:val="00F76702"/>
    <w:rsid w:val="00F76A72"/>
    <w:rsid w:val="00F76AE3"/>
    <w:rsid w:val="00F77540"/>
    <w:rsid w:val="00F7764E"/>
    <w:rsid w:val="00F777E5"/>
    <w:rsid w:val="00F778B0"/>
    <w:rsid w:val="00F77B48"/>
    <w:rsid w:val="00F77C8E"/>
    <w:rsid w:val="00F77DA6"/>
    <w:rsid w:val="00F77DC7"/>
    <w:rsid w:val="00F77F2C"/>
    <w:rsid w:val="00F77FBD"/>
    <w:rsid w:val="00F80077"/>
    <w:rsid w:val="00F80171"/>
    <w:rsid w:val="00F80238"/>
    <w:rsid w:val="00F80338"/>
    <w:rsid w:val="00F8040B"/>
    <w:rsid w:val="00F806F3"/>
    <w:rsid w:val="00F80717"/>
    <w:rsid w:val="00F80808"/>
    <w:rsid w:val="00F808D9"/>
    <w:rsid w:val="00F808F0"/>
    <w:rsid w:val="00F80A56"/>
    <w:rsid w:val="00F80AF5"/>
    <w:rsid w:val="00F80BBD"/>
    <w:rsid w:val="00F80C03"/>
    <w:rsid w:val="00F81317"/>
    <w:rsid w:val="00F81499"/>
    <w:rsid w:val="00F816D7"/>
    <w:rsid w:val="00F81702"/>
    <w:rsid w:val="00F817A7"/>
    <w:rsid w:val="00F81862"/>
    <w:rsid w:val="00F818E4"/>
    <w:rsid w:val="00F818F9"/>
    <w:rsid w:val="00F81909"/>
    <w:rsid w:val="00F81A96"/>
    <w:rsid w:val="00F81D6A"/>
    <w:rsid w:val="00F81D74"/>
    <w:rsid w:val="00F81F93"/>
    <w:rsid w:val="00F82370"/>
    <w:rsid w:val="00F823E3"/>
    <w:rsid w:val="00F82521"/>
    <w:rsid w:val="00F8253E"/>
    <w:rsid w:val="00F825B6"/>
    <w:rsid w:val="00F825EA"/>
    <w:rsid w:val="00F826FE"/>
    <w:rsid w:val="00F8281E"/>
    <w:rsid w:val="00F82A57"/>
    <w:rsid w:val="00F82AC3"/>
    <w:rsid w:val="00F82C56"/>
    <w:rsid w:val="00F82C86"/>
    <w:rsid w:val="00F82E08"/>
    <w:rsid w:val="00F830F7"/>
    <w:rsid w:val="00F8318E"/>
    <w:rsid w:val="00F8337D"/>
    <w:rsid w:val="00F834D6"/>
    <w:rsid w:val="00F836B1"/>
    <w:rsid w:val="00F83A1D"/>
    <w:rsid w:val="00F83A26"/>
    <w:rsid w:val="00F83C41"/>
    <w:rsid w:val="00F83D4B"/>
    <w:rsid w:val="00F83E4F"/>
    <w:rsid w:val="00F83F44"/>
    <w:rsid w:val="00F84394"/>
    <w:rsid w:val="00F8444B"/>
    <w:rsid w:val="00F844DF"/>
    <w:rsid w:val="00F8464B"/>
    <w:rsid w:val="00F84812"/>
    <w:rsid w:val="00F84862"/>
    <w:rsid w:val="00F849B2"/>
    <w:rsid w:val="00F84A3C"/>
    <w:rsid w:val="00F84ABB"/>
    <w:rsid w:val="00F84C6E"/>
    <w:rsid w:val="00F84D64"/>
    <w:rsid w:val="00F84DA2"/>
    <w:rsid w:val="00F84E54"/>
    <w:rsid w:val="00F84F28"/>
    <w:rsid w:val="00F84FEF"/>
    <w:rsid w:val="00F85014"/>
    <w:rsid w:val="00F851BE"/>
    <w:rsid w:val="00F85389"/>
    <w:rsid w:val="00F853BD"/>
    <w:rsid w:val="00F85B69"/>
    <w:rsid w:val="00F85B98"/>
    <w:rsid w:val="00F85CAA"/>
    <w:rsid w:val="00F85D26"/>
    <w:rsid w:val="00F85DB6"/>
    <w:rsid w:val="00F85DBA"/>
    <w:rsid w:val="00F8615E"/>
    <w:rsid w:val="00F863C0"/>
    <w:rsid w:val="00F863C6"/>
    <w:rsid w:val="00F8661F"/>
    <w:rsid w:val="00F866D4"/>
    <w:rsid w:val="00F86883"/>
    <w:rsid w:val="00F8688F"/>
    <w:rsid w:val="00F868B9"/>
    <w:rsid w:val="00F86C40"/>
    <w:rsid w:val="00F86D98"/>
    <w:rsid w:val="00F86E1F"/>
    <w:rsid w:val="00F8702E"/>
    <w:rsid w:val="00F870A1"/>
    <w:rsid w:val="00F87312"/>
    <w:rsid w:val="00F876F6"/>
    <w:rsid w:val="00F87728"/>
    <w:rsid w:val="00F87854"/>
    <w:rsid w:val="00F87B08"/>
    <w:rsid w:val="00F87B3A"/>
    <w:rsid w:val="00F87BFA"/>
    <w:rsid w:val="00F87F5E"/>
    <w:rsid w:val="00F90511"/>
    <w:rsid w:val="00F90666"/>
    <w:rsid w:val="00F907BB"/>
    <w:rsid w:val="00F9090A"/>
    <w:rsid w:val="00F90E60"/>
    <w:rsid w:val="00F90F87"/>
    <w:rsid w:val="00F91271"/>
    <w:rsid w:val="00F912B2"/>
    <w:rsid w:val="00F913CA"/>
    <w:rsid w:val="00F91460"/>
    <w:rsid w:val="00F91537"/>
    <w:rsid w:val="00F918EB"/>
    <w:rsid w:val="00F919C4"/>
    <w:rsid w:val="00F91C0F"/>
    <w:rsid w:val="00F91EF3"/>
    <w:rsid w:val="00F920EC"/>
    <w:rsid w:val="00F921A3"/>
    <w:rsid w:val="00F922BD"/>
    <w:rsid w:val="00F9237A"/>
    <w:rsid w:val="00F92401"/>
    <w:rsid w:val="00F926B8"/>
    <w:rsid w:val="00F927E7"/>
    <w:rsid w:val="00F92834"/>
    <w:rsid w:val="00F9288F"/>
    <w:rsid w:val="00F92944"/>
    <w:rsid w:val="00F92BB2"/>
    <w:rsid w:val="00F92C59"/>
    <w:rsid w:val="00F92CC5"/>
    <w:rsid w:val="00F92D54"/>
    <w:rsid w:val="00F92D5D"/>
    <w:rsid w:val="00F92D80"/>
    <w:rsid w:val="00F92FF2"/>
    <w:rsid w:val="00F93044"/>
    <w:rsid w:val="00F93134"/>
    <w:rsid w:val="00F933D6"/>
    <w:rsid w:val="00F9347B"/>
    <w:rsid w:val="00F9377D"/>
    <w:rsid w:val="00F937AE"/>
    <w:rsid w:val="00F938F7"/>
    <w:rsid w:val="00F93B37"/>
    <w:rsid w:val="00F93DFF"/>
    <w:rsid w:val="00F93E6D"/>
    <w:rsid w:val="00F93FAD"/>
    <w:rsid w:val="00F94092"/>
    <w:rsid w:val="00F9415A"/>
    <w:rsid w:val="00F94209"/>
    <w:rsid w:val="00F94278"/>
    <w:rsid w:val="00F94354"/>
    <w:rsid w:val="00F9452B"/>
    <w:rsid w:val="00F94B0B"/>
    <w:rsid w:val="00F94B14"/>
    <w:rsid w:val="00F94D06"/>
    <w:rsid w:val="00F94D25"/>
    <w:rsid w:val="00F94DFA"/>
    <w:rsid w:val="00F94E76"/>
    <w:rsid w:val="00F94ECE"/>
    <w:rsid w:val="00F95077"/>
    <w:rsid w:val="00F95114"/>
    <w:rsid w:val="00F9517B"/>
    <w:rsid w:val="00F951FF"/>
    <w:rsid w:val="00F953CD"/>
    <w:rsid w:val="00F9545C"/>
    <w:rsid w:val="00F954BB"/>
    <w:rsid w:val="00F95548"/>
    <w:rsid w:val="00F9558C"/>
    <w:rsid w:val="00F955B9"/>
    <w:rsid w:val="00F95897"/>
    <w:rsid w:val="00F9591E"/>
    <w:rsid w:val="00F959FA"/>
    <w:rsid w:val="00F95B95"/>
    <w:rsid w:val="00F95BC2"/>
    <w:rsid w:val="00F95C18"/>
    <w:rsid w:val="00F95E08"/>
    <w:rsid w:val="00F95E23"/>
    <w:rsid w:val="00F95EE6"/>
    <w:rsid w:val="00F95EF5"/>
    <w:rsid w:val="00F9674A"/>
    <w:rsid w:val="00F969CF"/>
    <w:rsid w:val="00F96C3D"/>
    <w:rsid w:val="00F96CBA"/>
    <w:rsid w:val="00F96DA5"/>
    <w:rsid w:val="00F96EE1"/>
    <w:rsid w:val="00F96F92"/>
    <w:rsid w:val="00F97155"/>
    <w:rsid w:val="00F97293"/>
    <w:rsid w:val="00F9739D"/>
    <w:rsid w:val="00F9743C"/>
    <w:rsid w:val="00F97466"/>
    <w:rsid w:val="00F97589"/>
    <w:rsid w:val="00FA007D"/>
    <w:rsid w:val="00FA00C4"/>
    <w:rsid w:val="00FA0282"/>
    <w:rsid w:val="00FA031F"/>
    <w:rsid w:val="00FA035B"/>
    <w:rsid w:val="00FA0451"/>
    <w:rsid w:val="00FA06D2"/>
    <w:rsid w:val="00FA07F4"/>
    <w:rsid w:val="00FA08BD"/>
    <w:rsid w:val="00FA0A09"/>
    <w:rsid w:val="00FA0BAE"/>
    <w:rsid w:val="00FA0BDB"/>
    <w:rsid w:val="00FA0C4B"/>
    <w:rsid w:val="00FA0CA7"/>
    <w:rsid w:val="00FA0D65"/>
    <w:rsid w:val="00FA109B"/>
    <w:rsid w:val="00FA10B0"/>
    <w:rsid w:val="00FA11B6"/>
    <w:rsid w:val="00FA11C0"/>
    <w:rsid w:val="00FA1274"/>
    <w:rsid w:val="00FA147F"/>
    <w:rsid w:val="00FA164A"/>
    <w:rsid w:val="00FA16A0"/>
    <w:rsid w:val="00FA181D"/>
    <w:rsid w:val="00FA1BB0"/>
    <w:rsid w:val="00FA1C35"/>
    <w:rsid w:val="00FA1DA0"/>
    <w:rsid w:val="00FA1DB6"/>
    <w:rsid w:val="00FA237A"/>
    <w:rsid w:val="00FA24FC"/>
    <w:rsid w:val="00FA279B"/>
    <w:rsid w:val="00FA2B52"/>
    <w:rsid w:val="00FA2B5C"/>
    <w:rsid w:val="00FA2CD7"/>
    <w:rsid w:val="00FA3090"/>
    <w:rsid w:val="00FA3671"/>
    <w:rsid w:val="00FA3753"/>
    <w:rsid w:val="00FA37D5"/>
    <w:rsid w:val="00FA3AF4"/>
    <w:rsid w:val="00FA3B3A"/>
    <w:rsid w:val="00FA3B41"/>
    <w:rsid w:val="00FA3DC3"/>
    <w:rsid w:val="00FA3DD9"/>
    <w:rsid w:val="00FA3DE2"/>
    <w:rsid w:val="00FA3E39"/>
    <w:rsid w:val="00FA3E51"/>
    <w:rsid w:val="00FA3EC7"/>
    <w:rsid w:val="00FA3EFB"/>
    <w:rsid w:val="00FA3F6C"/>
    <w:rsid w:val="00FA4291"/>
    <w:rsid w:val="00FA4313"/>
    <w:rsid w:val="00FA4462"/>
    <w:rsid w:val="00FA4490"/>
    <w:rsid w:val="00FA44E5"/>
    <w:rsid w:val="00FA46E3"/>
    <w:rsid w:val="00FA471A"/>
    <w:rsid w:val="00FA4B97"/>
    <w:rsid w:val="00FA4E4F"/>
    <w:rsid w:val="00FA4EC8"/>
    <w:rsid w:val="00FA50A1"/>
    <w:rsid w:val="00FA5398"/>
    <w:rsid w:val="00FA5443"/>
    <w:rsid w:val="00FA546E"/>
    <w:rsid w:val="00FA5554"/>
    <w:rsid w:val="00FA57A1"/>
    <w:rsid w:val="00FA5A59"/>
    <w:rsid w:val="00FA5B79"/>
    <w:rsid w:val="00FA5B84"/>
    <w:rsid w:val="00FA5E3E"/>
    <w:rsid w:val="00FA5E6C"/>
    <w:rsid w:val="00FA5F60"/>
    <w:rsid w:val="00FA5FEA"/>
    <w:rsid w:val="00FA60ED"/>
    <w:rsid w:val="00FA6273"/>
    <w:rsid w:val="00FA63C8"/>
    <w:rsid w:val="00FA63EB"/>
    <w:rsid w:val="00FA6402"/>
    <w:rsid w:val="00FA6667"/>
    <w:rsid w:val="00FA6809"/>
    <w:rsid w:val="00FA6817"/>
    <w:rsid w:val="00FA6965"/>
    <w:rsid w:val="00FA6CA8"/>
    <w:rsid w:val="00FA6D65"/>
    <w:rsid w:val="00FA6D7D"/>
    <w:rsid w:val="00FA6FEC"/>
    <w:rsid w:val="00FA7004"/>
    <w:rsid w:val="00FA7038"/>
    <w:rsid w:val="00FA70DE"/>
    <w:rsid w:val="00FA71A5"/>
    <w:rsid w:val="00FA72AD"/>
    <w:rsid w:val="00FA73AE"/>
    <w:rsid w:val="00FA74B0"/>
    <w:rsid w:val="00FA75C0"/>
    <w:rsid w:val="00FA7878"/>
    <w:rsid w:val="00FA787A"/>
    <w:rsid w:val="00FA78C4"/>
    <w:rsid w:val="00FA799F"/>
    <w:rsid w:val="00FA7B02"/>
    <w:rsid w:val="00FA7B82"/>
    <w:rsid w:val="00FA7EDF"/>
    <w:rsid w:val="00FB0199"/>
    <w:rsid w:val="00FB051C"/>
    <w:rsid w:val="00FB05D0"/>
    <w:rsid w:val="00FB0835"/>
    <w:rsid w:val="00FB0B00"/>
    <w:rsid w:val="00FB0B9E"/>
    <w:rsid w:val="00FB0DE9"/>
    <w:rsid w:val="00FB0E2D"/>
    <w:rsid w:val="00FB0ED9"/>
    <w:rsid w:val="00FB0FAF"/>
    <w:rsid w:val="00FB1313"/>
    <w:rsid w:val="00FB1446"/>
    <w:rsid w:val="00FB1470"/>
    <w:rsid w:val="00FB162D"/>
    <w:rsid w:val="00FB1631"/>
    <w:rsid w:val="00FB1A42"/>
    <w:rsid w:val="00FB1F61"/>
    <w:rsid w:val="00FB20D4"/>
    <w:rsid w:val="00FB25CE"/>
    <w:rsid w:val="00FB275A"/>
    <w:rsid w:val="00FB282C"/>
    <w:rsid w:val="00FB287A"/>
    <w:rsid w:val="00FB2C60"/>
    <w:rsid w:val="00FB2C79"/>
    <w:rsid w:val="00FB2CA1"/>
    <w:rsid w:val="00FB2E29"/>
    <w:rsid w:val="00FB2FF8"/>
    <w:rsid w:val="00FB3012"/>
    <w:rsid w:val="00FB3028"/>
    <w:rsid w:val="00FB346C"/>
    <w:rsid w:val="00FB34DE"/>
    <w:rsid w:val="00FB354B"/>
    <w:rsid w:val="00FB356A"/>
    <w:rsid w:val="00FB3732"/>
    <w:rsid w:val="00FB3736"/>
    <w:rsid w:val="00FB39EC"/>
    <w:rsid w:val="00FB3A35"/>
    <w:rsid w:val="00FB3C65"/>
    <w:rsid w:val="00FB3DF2"/>
    <w:rsid w:val="00FB3FDC"/>
    <w:rsid w:val="00FB41BA"/>
    <w:rsid w:val="00FB42C3"/>
    <w:rsid w:val="00FB42C9"/>
    <w:rsid w:val="00FB443B"/>
    <w:rsid w:val="00FB45E7"/>
    <w:rsid w:val="00FB4802"/>
    <w:rsid w:val="00FB490A"/>
    <w:rsid w:val="00FB4AEB"/>
    <w:rsid w:val="00FB4CC2"/>
    <w:rsid w:val="00FB4D22"/>
    <w:rsid w:val="00FB4D4A"/>
    <w:rsid w:val="00FB500F"/>
    <w:rsid w:val="00FB5067"/>
    <w:rsid w:val="00FB5552"/>
    <w:rsid w:val="00FB55C9"/>
    <w:rsid w:val="00FB57CD"/>
    <w:rsid w:val="00FB5934"/>
    <w:rsid w:val="00FB596D"/>
    <w:rsid w:val="00FB5A7A"/>
    <w:rsid w:val="00FB5BEC"/>
    <w:rsid w:val="00FB5BF0"/>
    <w:rsid w:val="00FB5DF9"/>
    <w:rsid w:val="00FB6074"/>
    <w:rsid w:val="00FB61AE"/>
    <w:rsid w:val="00FB64A3"/>
    <w:rsid w:val="00FB65D3"/>
    <w:rsid w:val="00FB6897"/>
    <w:rsid w:val="00FB689F"/>
    <w:rsid w:val="00FB6964"/>
    <w:rsid w:val="00FB6B9A"/>
    <w:rsid w:val="00FB6C31"/>
    <w:rsid w:val="00FB6DA5"/>
    <w:rsid w:val="00FB6F35"/>
    <w:rsid w:val="00FB704A"/>
    <w:rsid w:val="00FB73F9"/>
    <w:rsid w:val="00FB7672"/>
    <w:rsid w:val="00FB7889"/>
    <w:rsid w:val="00FB7894"/>
    <w:rsid w:val="00FB78F9"/>
    <w:rsid w:val="00FB79EC"/>
    <w:rsid w:val="00FB7C91"/>
    <w:rsid w:val="00FB7FA2"/>
    <w:rsid w:val="00FC0395"/>
    <w:rsid w:val="00FC06D8"/>
    <w:rsid w:val="00FC091A"/>
    <w:rsid w:val="00FC0AF7"/>
    <w:rsid w:val="00FC0C33"/>
    <w:rsid w:val="00FC0C96"/>
    <w:rsid w:val="00FC0D0B"/>
    <w:rsid w:val="00FC0E9A"/>
    <w:rsid w:val="00FC101F"/>
    <w:rsid w:val="00FC11AB"/>
    <w:rsid w:val="00FC11F7"/>
    <w:rsid w:val="00FC1273"/>
    <w:rsid w:val="00FC1339"/>
    <w:rsid w:val="00FC1614"/>
    <w:rsid w:val="00FC1702"/>
    <w:rsid w:val="00FC186C"/>
    <w:rsid w:val="00FC189A"/>
    <w:rsid w:val="00FC1969"/>
    <w:rsid w:val="00FC1A54"/>
    <w:rsid w:val="00FC1BC2"/>
    <w:rsid w:val="00FC1C5E"/>
    <w:rsid w:val="00FC1D40"/>
    <w:rsid w:val="00FC1D42"/>
    <w:rsid w:val="00FC205A"/>
    <w:rsid w:val="00FC21B9"/>
    <w:rsid w:val="00FC21DE"/>
    <w:rsid w:val="00FC2466"/>
    <w:rsid w:val="00FC27D7"/>
    <w:rsid w:val="00FC27EC"/>
    <w:rsid w:val="00FC2811"/>
    <w:rsid w:val="00FC2A30"/>
    <w:rsid w:val="00FC2B82"/>
    <w:rsid w:val="00FC2C79"/>
    <w:rsid w:val="00FC2CF9"/>
    <w:rsid w:val="00FC2D24"/>
    <w:rsid w:val="00FC2E71"/>
    <w:rsid w:val="00FC302A"/>
    <w:rsid w:val="00FC32CA"/>
    <w:rsid w:val="00FC32E5"/>
    <w:rsid w:val="00FC3355"/>
    <w:rsid w:val="00FC35CD"/>
    <w:rsid w:val="00FC36CC"/>
    <w:rsid w:val="00FC3AFA"/>
    <w:rsid w:val="00FC3C21"/>
    <w:rsid w:val="00FC3D03"/>
    <w:rsid w:val="00FC3E01"/>
    <w:rsid w:val="00FC3E5B"/>
    <w:rsid w:val="00FC3EFE"/>
    <w:rsid w:val="00FC3F65"/>
    <w:rsid w:val="00FC40B8"/>
    <w:rsid w:val="00FC422B"/>
    <w:rsid w:val="00FC4230"/>
    <w:rsid w:val="00FC44B3"/>
    <w:rsid w:val="00FC46DF"/>
    <w:rsid w:val="00FC4855"/>
    <w:rsid w:val="00FC4C38"/>
    <w:rsid w:val="00FC4E9A"/>
    <w:rsid w:val="00FC4EE9"/>
    <w:rsid w:val="00FC50A4"/>
    <w:rsid w:val="00FC5425"/>
    <w:rsid w:val="00FC545B"/>
    <w:rsid w:val="00FC5515"/>
    <w:rsid w:val="00FC5841"/>
    <w:rsid w:val="00FC58D8"/>
    <w:rsid w:val="00FC5A3C"/>
    <w:rsid w:val="00FC5AA3"/>
    <w:rsid w:val="00FC5D06"/>
    <w:rsid w:val="00FC5F59"/>
    <w:rsid w:val="00FC5F9C"/>
    <w:rsid w:val="00FC6123"/>
    <w:rsid w:val="00FC6127"/>
    <w:rsid w:val="00FC6204"/>
    <w:rsid w:val="00FC6239"/>
    <w:rsid w:val="00FC634D"/>
    <w:rsid w:val="00FC6358"/>
    <w:rsid w:val="00FC6448"/>
    <w:rsid w:val="00FC649A"/>
    <w:rsid w:val="00FC6589"/>
    <w:rsid w:val="00FC66C4"/>
    <w:rsid w:val="00FC67AA"/>
    <w:rsid w:val="00FC680D"/>
    <w:rsid w:val="00FC685C"/>
    <w:rsid w:val="00FC6933"/>
    <w:rsid w:val="00FC698D"/>
    <w:rsid w:val="00FC6A58"/>
    <w:rsid w:val="00FC6A87"/>
    <w:rsid w:val="00FC6A93"/>
    <w:rsid w:val="00FC6BF1"/>
    <w:rsid w:val="00FC6C0F"/>
    <w:rsid w:val="00FC6C1E"/>
    <w:rsid w:val="00FC6D13"/>
    <w:rsid w:val="00FC6DE3"/>
    <w:rsid w:val="00FC703F"/>
    <w:rsid w:val="00FC708B"/>
    <w:rsid w:val="00FC71AE"/>
    <w:rsid w:val="00FC7284"/>
    <w:rsid w:val="00FC739F"/>
    <w:rsid w:val="00FC744B"/>
    <w:rsid w:val="00FC7511"/>
    <w:rsid w:val="00FC7536"/>
    <w:rsid w:val="00FC7592"/>
    <w:rsid w:val="00FC761B"/>
    <w:rsid w:val="00FC76B6"/>
    <w:rsid w:val="00FC76E0"/>
    <w:rsid w:val="00FC773C"/>
    <w:rsid w:val="00FC77A8"/>
    <w:rsid w:val="00FC7800"/>
    <w:rsid w:val="00FC79AF"/>
    <w:rsid w:val="00FC7AFE"/>
    <w:rsid w:val="00FC7F03"/>
    <w:rsid w:val="00FC7FA7"/>
    <w:rsid w:val="00FD00B2"/>
    <w:rsid w:val="00FD00EE"/>
    <w:rsid w:val="00FD01AD"/>
    <w:rsid w:val="00FD025A"/>
    <w:rsid w:val="00FD04FF"/>
    <w:rsid w:val="00FD09F5"/>
    <w:rsid w:val="00FD0B69"/>
    <w:rsid w:val="00FD0E89"/>
    <w:rsid w:val="00FD119D"/>
    <w:rsid w:val="00FD12BC"/>
    <w:rsid w:val="00FD1313"/>
    <w:rsid w:val="00FD1410"/>
    <w:rsid w:val="00FD1745"/>
    <w:rsid w:val="00FD18B4"/>
    <w:rsid w:val="00FD18F2"/>
    <w:rsid w:val="00FD1C3E"/>
    <w:rsid w:val="00FD1D98"/>
    <w:rsid w:val="00FD1E86"/>
    <w:rsid w:val="00FD1EF5"/>
    <w:rsid w:val="00FD2121"/>
    <w:rsid w:val="00FD21E2"/>
    <w:rsid w:val="00FD23CA"/>
    <w:rsid w:val="00FD2404"/>
    <w:rsid w:val="00FD243A"/>
    <w:rsid w:val="00FD26DF"/>
    <w:rsid w:val="00FD27FD"/>
    <w:rsid w:val="00FD284F"/>
    <w:rsid w:val="00FD2A44"/>
    <w:rsid w:val="00FD2B81"/>
    <w:rsid w:val="00FD2C2A"/>
    <w:rsid w:val="00FD2D61"/>
    <w:rsid w:val="00FD2D71"/>
    <w:rsid w:val="00FD2D7D"/>
    <w:rsid w:val="00FD2DDA"/>
    <w:rsid w:val="00FD2FB7"/>
    <w:rsid w:val="00FD3207"/>
    <w:rsid w:val="00FD32DB"/>
    <w:rsid w:val="00FD3A17"/>
    <w:rsid w:val="00FD3A5D"/>
    <w:rsid w:val="00FD3A69"/>
    <w:rsid w:val="00FD3CB2"/>
    <w:rsid w:val="00FD3DF4"/>
    <w:rsid w:val="00FD3E28"/>
    <w:rsid w:val="00FD3EAA"/>
    <w:rsid w:val="00FD3F38"/>
    <w:rsid w:val="00FD4222"/>
    <w:rsid w:val="00FD423B"/>
    <w:rsid w:val="00FD426E"/>
    <w:rsid w:val="00FD4591"/>
    <w:rsid w:val="00FD4982"/>
    <w:rsid w:val="00FD4AFB"/>
    <w:rsid w:val="00FD4B74"/>
    <w:rsid w:val="00FD4F51"/>
    <w:rsid w:val="00FD4FB3"/>
    <w:rsid w:val="00FD5504"/>
    <w:rsid w:val="00FD5609"/>
    <w:rsid w:val="00FD575A"/>
    <w:rsid w:val="00FD585C"/>
    <w:rsid w:val="00FD59F8"/>
    <w:rsid w:val="00FD5A9B"/>
    <w:rsid w:val="00FD5AC4"/>
    <w:rsid w:val="00FD5B61"/>
    <w:rsid w:val="00FD5CFE"/>
    <w:rsid w:val="00FD5D3A"/>
    <w:rsid w:val="00FD611D"/>
    <w:rsid w:val="00FD612B"/>
    <w:rsid w:val="00FD61B2"/>
    <w:rsid w:val="00FD62CC"/>
    <w:rsid w:val="00FD63F1"/>
    <w:rsid w:val="00FD6452"/>
    <w:rsid w:val="00FD6555"/>
    <w:rsid w:val="00FD65D8"/>
    <w:rsid w:val="00FD669C"/>
    <w:rsid w:val="00FD66FC"/>
    <w:rsid w:val="00FD6713"/>
    <w:rsid w:val="00FD67A6"/>
    <w:rsid w:val="00FD6ACD"/>
    <w:rsid w:val="00FD6BD4"/>
    <w:rsid w:val="00FD6CCF"/>
    <w:rsid w:val="00FD6E53"/>
    <w:rsid w:val="00FD7001"/>
    <w:rsid w:val="00FD70C8"/>
    <w:rsid w:val="00FD71FE"/>
    <w:rsid w:val="00FD7289"/>
    <w:rsid w:val="00FD743D"/>
    <w:rsid w:val="00FD7530"/>
    <w:rsid w:val="00FD755E"/>
    <w:rsid w:val="00FD762B"/>
    <w:rsid w:val="00FD7639"/>
    <w:rsid w:val="00FD76B0"/>
    <w:rsid w:val="00FD7844"/>
    <w:rsid w:val="00FD78AB"/>
    <w:rsid w:val="00FD7D91"/>
    <w:rsid w:val="00FD7DA1"/>
    <w:rsid w:val="00FD7EDA"/>
    <w:rsid w:val="00FD7F25"/>
    <w:rsid w:val="00FD7FF0"/>
    <w:rsid w:val="00FE0047"/>
    <w:rsid w:val="00FE0197"/>
    <w:rsid w:val="00FE036C"/>
    <w:rsid w:val="00FE03F5"/>
    <w:rsid w:val="00FE0562"/>
    <w:rsid w:val="00FE0645"/>
    <w:rsid w:val="00FE08A9"/>
    <w:rsid w:val="00FE098A"/>
    <w:rsid w:val="00FE0BF3"/>
    <w:rsid w:val="00FE0FB7"/>
    <w:rsid w:val="00FE12D0"/>
    <w:rsid w:val="00FE15FE"/>
    <w:rsid w:val="00FE167F"/>
    <w:rsid w:val="00FE1F4F"/>
    <w:rsid w:val="00FE1F8B"/>
    <w:rsid w:val="00FE2398"/>
    <w:rsid w:val="00FE2831"/>
    <w:rsid w:val="00FE288B"/>
    <w:rsid w:val="00FE28B7"/>
    <w:rsid w:val="00FE29BB"/>
    <w:rsid w:val="00FE2A93"/>
    <w:rsid w:val="00FE2AD2"/>
    <w:rsid w:val="00FE2D96"/>
    <w:rsid w:val="00FE2DE5"/>
    <w:rsid w:val="00FE2EEF"/>
    <w:rsid w:val="00FE313E"/>
    <w:rsid w:val="00FE3224"/>
    <w:rsid w:val="00FE32D3"/>
    <w:rsid w:val="00FE3614"/>
    <w:rsid w:val="00FE36C4"/>
    <w:rsid w:val="00FE389F"/>
    <w:rsid w:val="00FE3B3B"/>
    <w:rsid w:val="00FE3B65"/>
    <w:rsid w:val="00FE3D57"/>
    <w:rsid w:val="00FE3F72"/>
    <w:rsid w:val="00FE3F77"/>
    <w:rsid w:val="00FE4490"/>
    <w:rsid w:val="00FE44B9"/>
    <w:rsid w:val="00FE4502"/>
    <w:rsid w:val="00FE4575"/>
    <w:rsid w:val="00FE473E"/>
    <w:rsid w:val="00FE48BC"/>
    <w:rsid w:val="00FE4903"/>
    <w:rsid w:val="00FE498A"/>
    <w:rsid w:val="00FE49F5"/>
    <w:rsid w:val="00FE4A1F"/>
    <w:rsid w:val="00FE4A5E"/>
    <w:rsid w:val="00FE4B91"/>
    <w:rsid w:val="00FE4C58"/>
    <w:rsid w:val="00FE4EB6"/>
    <w:rsid w:val="00FE502C"/>
    <w:rsid w:val="00FE5318"/>
    <w:rsid w:val="00FE538D"/>
    <w:rsid w:val="00FE54B5"/>
    <w:rsid w:val="00FE54C5"/>
    <w:rsid w:val="00FE5539"/>
    <w:rsid w:val="00FE5672"/>
    <w:rsid w:val="00FE56E6"/>
    <w:rsid w:val="00FE5790"/>
    <w:rsid w:val="00FE57D2"/>
    <w:rsid w:val="00FE59AD"/>
    <w:rsid w:val="00FE5D18"/>
    <w:rsid w:val="00FE5E5A"/>
    <w:rsid w:val="00FE61BF"/>
    <w:rsid w:val="00FE62D1"/>
    <w:rsid w:val="00FE6501"/>
    <w:rsid w:val="00FE6735"/>
    <w:rsid w:val="00FE6876"/>
    <w:rsid w:val="00FE69C8"/>
    <w:rsid w:val="00FE6A0A"/>
    <w:rsid w:val="00FE6A61"/>
    <w:rsid w:val="00FE6E22"/>
    <w:rsid w:val="00FE6E77"/>
    <w:rsid w:val="00FE6EF6"/>
    <w:rsid w:val="00FE6FB4"/>
    <w:rsid w:val="00FE724E"/>
    <w:rsid w:val="00FE73DD"/>
    <w:rsid w:val="00FE7412"/>
    <w:rsid w:val="00FE75CC"/>
    <w:rsid w:val="00FE7669"/>
    <w:rsid w:val="00FE77C0"/>
    <w:rsid w:val="00FE77EB"/>
    <w:rsid w:val="00FE7908"/>
    <w:rsid w:val="00FE7A24"/>
    <w:rsid w:val="00FE7AC3"/>
    <w:rsid w:val="00FE7AE0"/>
    <w:rsid w:val="00FE7AE1"/>
    <w:rsid w:val="00FE7BC3"/>
    <w:rsid w:val="00FF02A8"/>
    <w:rsid w:val="00FF0703"/>
    <w:rsid w:val="00FF0A11"/>
    <w:rsid w:val="00FF0B5B"/>
    <w:rsid w:val="00FF0C23"/>
    <w:rsid w:val="00FF0EAE"/>
    <w:rsid w:val="00FF0FE9"/>
    <w:rsid w:val="00FF10F6"/>
    <w:rsid w:val="00FF13EF"/>
    <w:rsid w:val="00FF16D1"/>
    <w:rsid w:val="00FF16F7"/>
    <w:rsid w:val="00FF1953"/>
    <w:rsid w:val="00FF19E4"/>
    <w:rsid w:val="00FF1A82"/>
    <w:rsid w:val="00FF1A93"/>
    <w:rsid w:val="00FF1CA1"/>
    <w:rsid w:val="00FF1D3C"/>
    <w:rsid w:val="00FF2112"/>
    <w:rsid w:val="00FF21A6"/>
    <w:rsid w:val="00FF2243"/>
    <w:rsid w:val="00FF2327"/>
    <w:rsid w:val="00FF23A0"/>
    <w:rsid w:val="00FF251B"/>
    <w:rsid w:val="00FF25D1"/>
    <w:rsid w:val="00FF26D4"/>
    <w:rsid w:val="00FF26DA"/>
    <w:rsid w:val="00FF29A4"/>
    <w:rsid w:val="00FF2B54"/>
    <w:rsid w:val="00FF2B64"/>
    <w:rsid w:val="00FF2BD2"/>
    <w:rsid w:val="00FF2C36"/>
    <w:rsid w:val="00FF2DE9"/>
    <w:rsid w:val="00FF2F78"/>
    <w:rsid w:val="00FF3030"/>
    <w:rsid w:val="00FF324A"/>
    <w:rsid w:val="00FF33FA"/>
    <w:rsid w:val="00FF34D7"/>
    <w:rsid w:val="00FF35C6"/>
    <w:rsid w:val="00FF3818"/>
    <w:rsid w:val="00FF39F4"/>
    <w:rsid w:val="00FF3B8C"/>
    <w:rsid w:val="00FF3C35"/>
    <w:rsid w:val="00FF3EEC"/>
    <w:rsid w:val="00FF3F84"/>
    <w:rsid w:val="00FF4159"/>
    <w:rsid w:val="00FF41DE"/>
    <w:rsid w:val="00FF42D1"/>
    <w:rsid w:val="00FF4453"/>
    <w:rsid w:val="00FF4465"/>
    <w:rsid w:val="00FF4716"/>
    <w:rsid w:val="00FF4A67"/>
    <w:rsid w:val="00FF4E76"/>
    <w:rsid w:val="00FF5174"/>
    <w:rsid w:val="00FF57EB"/>
    <w:rsid w:val="00FF595B"/>
    <w:rsid w:val="00FF5B58"/>
    <w:rsid w:val="00FF5D44"/>
    <w:rsid w:val="00FF5DD6"/>
    <w:rsid w:val="00FF5DE3"/>
    <w:rsid w:val="00FF5DF8"/>
    <w:rsid w:val="00FF5E2D"/>
    <w:rsid w:val="00FF5F1F"/>
    <w:rsid w:val="00FF5F52"/>
    <w:rsid w:val="00FF61EB"/>
    <w:rsid w:val="00FF64D3"/>
    <w:rsid w:val="00FF658F"/>
    <w:rsid w:val="00FF6634"/>
    <w:rsid w:val="00FF682B"/>
    <w:rsid w:val="00FF68A2"/>
    <w:rsid w:val="00FF68D7"/>
    <w:rsid w:val="00FF69EA"/>
    <w:rsid w:val="00FF6B35"/>
    <w:rsid w:val="00FF6C35"/>
    <w:rsid w:val="00FF6CB9"/>
    <w:rsid w:val="00FF6D9D"/>
    <w:rsid w:val="00FF6F82"/>
    <w:rsid w:val="00FF70D0"/>
    <w:rsid w:val="00FF71D0"/>
    <w:rsid w:val="00FF7377"/>
    <w:rsid w:val="00FF75FB"/>
    <w:rsid w:val="00FF780D"/>
    <w:rsid w:val="00FF78A7"/>
    <w:rsid w:val="00FF78F1"/>
    <w:rsid w:val="00FF7A25"/>
    <w:rsid w:val="00FF7C09"/>
    <w:rsid w:val="00FF7DA5"/>
    <w:rsid w:val="00FF7E2B"/>
    <w:rsid w:val="00FF7F23"/>
    <w:rsid w:val="011531BF"/>
    <w:rsid w:val="0121E451"/>
    <w:rsid w:val="013A7172"/>
    <w:rsid w:val="014D9DE2"/>
    <w:rsid w:val="0168B1B4"/>
    <w:rsid w:val="016ECC40"/>
    <w:rsid w:val="017B160F"/>
    <w:rsid w:val="01EA7351"/>
    <w:rsid w:val="01F34EBB"/>
    <w:rsid w:val="0293CA55"/>
    <w:rsid w:val="02A49AF1"/>
    <w:rsid w:val="02BD26FB"/>
    <w:rsid w:val="02C5339C"/>
    <w:rsid w:val="0301BE7D"/>
    <w:rsid w:val="031E1870"/>
    <w:rsid w:val="035C23CF"/>
    <w:rsid w:val="039511AB"/>
    <w:rsid w:val="03A71AB0"/>
    <w:rsid w:val="04190534"/>
    <w:rsid w:val="042889B1"/>
    <w:rsid w:val="04734D7F"/>
    <w:rsid w:val="049B8AB6"/>
    <w:rsid w:val="04F6C65A"/>
    <w:rsid w:val="0520B170"/>
    <w:rsid w:val="053FBE22"/>
    <w:rsid w:val="054249AC"/>
    <w:rsid w:val="055836F7"/>
    <w:rsid w:val="055CF894"/>
    <w:rsid w:val="0583E549"/>
    <w:rsid w:val="0585BFDF"/>
    <w:rsid w:val="05B527DA"/>
    <w:rsid w:val="05DD017F"/>
    <w:rsid w:val="062A94B3"/>
    <w:rsid w:val="06375CFF"/>
    <w:rsid w:val="064CF098"/>
    <w:rsid w:val="06AEF10F"/>
    <w:rsid w:val="06B24EA5"/>
    <w:rsid w:val="06CF8827"/>
    <w:rsid w:val="0727C10D"/>
    <w:rsid w:val="072ED381"/>
    <w:rsid w:val="074FDCA1"/>
    <w:rsid w:val="07602EA6"/>
    <w:rsid w:val="0778C209"/>
    <w:rsid w:val="07C91C8A"/>
    <w:rsid w:val="07D59BEF"/>
    <w:rsid w:val="07E3F878"/>
    <w:rsid w:val="07FE4951"/>
    <w:rsid w:val="086094CC"/>
    <w:rsid w:val="088D1893"/>
    <w:rsid w:val="08A50B94"/>
    <w:rsid w:val="08D13634"/>
    <w:rsid w:val="093B998F"/>
    <w:rsid w:val="09841C2F"/>
    <w:rsid w:val="09E0DA67"/>
    <w:rsid w:val="09F0887E"/>
    <w:rsid w:val="0A035EC7"/>
    <w:rsid w:val="0A14D82C"/>
    <w:rsid w:val="0A1F6BD9"/>
    <w:rsid w:val="0A6FF379"/>
    <w:rsid w:val="0A71C475"/>
    <w:rsid w:val="0A904DBA"/>
    <w:rsid w:val="0A953D4D"/>
    <w:rsid w:val="0ACEBE84"/>
    <w:rsid w:val="0AE6D274"/>
    <w:rsid w:val="0B4B7620"/>
    <w:rsid w:val="0B5BF127"/>
    <w:rsid w:val="0B690E63"/>
    <w:rsid w:val="0B94BE50"/>
    <w:rsid w:val="0BE2E963"/>
    <w:rsid w:val="0BFB93C9"/>
    <w:rsid w:val="0C0C027D"/>
    <w:rsid w:val="0C23E9F6"/>
    <w:rsid w:val="0C536F94"/>
    <w:rsid w:val="0C5B93F5"/>
    <w:rsid w:val="0D51FE63"/>
    <w:rsid w:val="0D6912EC"/>
    <w:rsid w:val="0DBE9263"/>
    <w:rsid w:val="0DC1C24C"/>
    <w:rsid w:val="0DC20F1B"/>
    <w:rsid w:val="0DE76961"/>
    <w:rsid w:val="0DF0F383"/>
    <w:rsid w:val="0E108FE8"/>
    <w:rsid w:val="0E12D9B8"/>
    <w:rsid w:val="0E217C35"/>
    <w:rsid w:val="0E314CBE"/>
    <w:rsid w:val="0E33957C"/>
    <w:rsid w:val="0E4C9E5D"/>
    <w:rsid w:val="0E69FBF5"/>
    <w:rsid w:val="0E86DABD"/>
    <w:rsid w:val="0EA708E2"/>
    <w:rsid w:val="0EC9F3CA"/>
    <w:rsid w:val="0ECABE13"/>
    <w:rsid w:val="0EEEB57B"/>
    <w:rsid w:val="0F15EDFC"/>
    <w:rsid w:val="0F1A4EA7"/>
    <w:rsid w:val="0F248710"/>
    <w:rsid w:val="0F5C0A20"/>
    <w:rsid w:val="0FBD254E"/>
    <w:rsid w:val="0FD715AC"/>
    <w:rsid w:val="0FDF27C5"/>
    <w:rsid w:val="10110F37"/>
    <w:rsid w:val="103E2DE9"/>
    <w:rsid w:val="10559820"/>
    <w:rsid w:val="10882A67"/>
    <w:rsid w:val="10A5B91F"/>
    <w:rsid w:val="10CB1278"/>
    <w:rsid w:val="110A5157"/>
    <w:rsid w:val="111564E1"/>
    <w:rsid w:val="1140960B"/>
    <w:rsid w:val="115F9676"/>
    <w:rsid w:val="11759552"/>
    <w:rsid w:val="1183B9DC"/>
    <w:rsid w:val="119EB894"/>
    <w:rsid w:val="11C2724E"/>
    <w:rsid w:val="11E04437"/>
    <w:rsid w:val="11E349A7"/>
    <w:rsid w:val="1238C94B"/>
    <w:rsid w:val="1249D40B"/>
    <w:rsid w:val="126245E9"/>
    <w:rsid w:val="1292F4B6"/>
    <w:rsid w:val="12D35C7C"/>
    <w:rsid w:val="13208560"/>
    <w:rsid w:val="132B6622"/>
    <w:rsid w:val="13301F2D"/>
    <w:rsid w:val="13A49B0B"/>
    <w:rsid w:val="13A8ACB3"/>
    <w:rsid w:val="13B6C3DC"/>
    <w:rsid w:val="13C44698"/>
    <w:rsid w:val="13D736B4"/>
    <w:rsid w:val="13F176B4"/>
    <w:rsid w:val="14760169"/>
    <w:rsid w:val="1486C9F3"/>
    <w:rsid w:val="14A55E18"/>
    <w:rsid w:val="14C00C27"/>
    <w:rsid w:val="14E6937C"/>
    <w:rsid w:val="1537F7EC"/>
    <w:rsid w:val="155F3D77"/>
    <w:rsid w:val="1575EFCF"/>
    <w:rsid w:val="157E54CA"/>
    <w:rsid w:val="157FBFD4"/>
    <w:rsid w:val="1584762C"/>
    <w:rsid w:val="158857D5"/>
    <w:rsid w:val="15AC2497"/>
    <w:rsid w:val="15B7B107"/>
    <w:rsid w:val="15F8C51C"/>
    <w:rsid w:val="1610D4D7"/>
    <w:rsid w:val="166AE153"/>
    <w:rsid w:val="16757013"/>
    <w:rsid w:val="167F56CF"/>
    <w:rsid w:val="16E6C2BA"/>
    <w:rsid w:val="17151B6B"/>
    <w:rsid w:val="17234E4D"/>
    <w:rsid w:val="1742CC8F"/>
    <w:rsid w:val="177CFC4E"/>
    <w:rsid w:val="179D88AC"/>
    <w:rsid w:val="18161909"/>
    <w:rsid w:val="183C46E9"/>
    <w:rsid w:val="187B542D"/>
    <w:rsid w:val="18965B3F"/>
    <w:rsid w:val="18975041"/>
    <w:rsid w:val="18D18FDB"/>
    <w:rsid w:val="18DEE288"/>
    <w:rsid w:val="19075498"/>
    <w:rsid w:val="190A9D3A"/>
    <w:rsid w:val="193F9F94"/>
    <w:rsid w:val="1950C79F"/>
    <w:rsid w:val="1957F6D0"/>
    <w:rsid w:val="196A74CE"/>
    <w:rsid w:val="198A085B"/>
    <w:rsid w:val="19AA56DA"/>
    <w:rsid w:val="19BD1B81"/>
    <w:rsid w:val="19C36ED0"/>
    <w:rsid w:val="19CFCEDE"/>
    <w:rsid w:val="19D7BBD1"/>
    <w:rsid w:val="19E71287"/>
    <w:rsid w:val="1A1428C4"/>
    <w:rsid w:val="1A641835"/>
    <w:rsid w:val="1A80D36F"/>
    <w:rsid w:val="1AB466B0"/>
    <w:rsid w:val="1B3187E5"/>
    <w:rsid w:val="1B9C8FA4"/>
    <w:rsid w:val="1BAFF0CA"/>
    <w:rsid w:val="1BB4AB19"/>
    <w:rsid w:val="1BCED84E"/>
    <w:rsid w:val="1BE8B0C3"/>
    <w:rsid w:val="1BF569A1"/>
    <w:rsid w:val="1C30785D"/>
    <w:rsid w:val="1C3DCF46"/>
    <w:rsid w:val="1C549294"/>
    <w:rsid w:val="1C5B773A"/>
    <w:rsid w:val="1C602736"/>
    <w:rsid w:val="1C8B364A"/>
    <w:rsid w:val="1CC99BEE"/>
    <w:rsid w:val="1D0BE12C"/>
    <w:rsid w:val="1D46624B"/>
    <w:rsid w:val="1D4E4391"/>
    <w:rsid w:val="1DBA2F76"/>
    <w:rsid w:val="1DC0E087"/>
    <w:rsid w:val="1DFF16E2"/>
    <w:rsid w:val="1E834344"/>
    <w:rsid w:val="1EABF930"/>
    <w:rsid w:val="1ECB9005"/>
    <w:rsid w:val="1EDE4277"/>
    <w:rsid w:val="1EE0706A"/>
    <w:rsid w:val="1EE3AF35"/>
    <w:rsid w:val="1EFE5FD6"/>
    <w:rsid w:val="1F115978"/>
    <w:rsid w:val="1F20A16D"/>
    <w:rsid w:val="1F43FA06"/>
    <w:rsid w:val="1F50E134"/>
    <w:rsid w:val="1FD846D0"/>
    <w:rsid w:val="1FDB3468"/>
    <w:rsid w:val="2005D20C"/>
    <w:rsid w:val="200F4150"/>
    <w:rsid w:val="201B0141"/>
    <w:rsid w:val="20244E92"/>
    <w:rsid w:val="20350BB7"/>
    <w:rsid w:val="2035C91F"/>
    <w:rsid w:val="2099F457"/>
    <w:rsid w:val="20A5E55A"/>
    <w:rsid w:val="20BCE474"/>
    <w:rsid w:val="20D40B43"/>
    <w:rsid w:val="2164F8C2"/>
    <w:rsid w:val="217C8212"/>
    <w:rsid w:val="21A93316"/>
    <w:rsid w:val="21C8ACF1"/>
    <w:rsid w:val="21E3AE1A"/>
    <w:rsid w:val="21FBA77E"/>
    <w:rsid w:val="2203DC5A"/>
    <w:rsid w:val="220BC567"/>
    <w:rsid w:val="2217647D"/>
    <w:rsid w:val="22242133"/>
    <w:rsid w:val="2261BF4B"/>
    <w:rsid w:val="22A45C39"/>
    <w:rsid w:val="22DCF2E5"/>
    <w:rsid w:val="22E10403"/>
    <w:rsid w:val="22E1B866"/>
    <w:rsid w:val="23303701"/>
    <w:rsid w:val="233821C1"/>
    <w:rsid w:val="23A09FBE"/>
    <w:rsid w:val="23BE14D1"/>
    <w:rsid w:val="23EF8914"/>
    <w:rsid w:val="23F93217"/>
    <w:rsid w:val="2429A837"/>
    <w:rsid w:val="242B1B0D"/>
    <w:rsid w:val="2438A2AD"/>
    <w:rsid w:val="24586119"/>
    <w:rsid w:val="2463F8C7"/>
    <w:rsid w:val="2477D5A3"/>
    <w:rsid w:val="247E0EBE"/>
    <w:rsid w:val="2495E8D4"/>
    <w:rsid w:val="24AE7BE1"/>
    <w:rsid w:val="24B6E0DD"/>
    <w:rsid w:val="24C16B89"/>
    <w:rsid w:val="24ECA755"/>
    <w:rsid w:val="25082EF3"/>
    <w:rsid w:val="2570FE1D"/>
    <w:rsid w:val="25AADD5B"/>
    <w:rsid w:val="25AC18FE"/>
    <w:rsid w:val="25DDB0EA"/>
    <w:rsid w:val="25F4004A"/>
    <w:rsid w:val="25F96CB4"/>
    <w:rsid w:val="261F02C5"/>
    <w:rsid w:val="26387D6F"/>
    <w:rsid w:val="263DDB0E"/>
    <w:rsid w:val="26639EA7"/>
    <w:rsid w:val="266CF26E"/>
    <w:rsid w:val="26796021"/>
    <w:rsid w:val="267B9353"/>
    <w:rsid w:val="2684CCAD"/>
    <w:rsid w:val="268603E2"/>
    <w:rsid w:val="26A462E7"/>
    <w:rsid w:val="26B97DE5"/>
    <w:rsid w:val="27438072"/>
    <w:rsid w:val="2747E95F"/>
    <w:rsid w:val="275A9129"/>
    <w:rsid w:val="27B74EE3"/>
    <w:rsid w:val="27CCC524"/>
    <w:rsid w:val="2826CF6D"/>
    <w:rsid w:val="283756FD"/>
    <w:rsid w:val="28ADCA62"/>
    <w:rsid w:val="28AF2040"/>
    <w:rsid w:val="28C900E5"/>
    <w:rsid w:val="28E5B191"/>
    <w:rsid w:val="28FDA531"/>
    <w:rsid w:val="29070BC9"/>
    <w:rsid w:val="297CD413"/>
    <w:rsid w:val="297CF1B0"/>
    <w:rsid w:val="299FC2D2"/>
    <w:rsid w:val="29A29695"/>
    <w:rsid w:val="29BB56EA"/>
    <w:rsid w:val="29CC74AE"/>
    <w:rsid w:val="29D65D22"/>
    <w:rsid w:val="29E05D26"/>
    <w:rsid w:val="2A2D8947"/>
    <w:rsid w:val="2ABA22F0"/>
    <w:rsid w:val="2ACBD3C0"/>
    <w:rsid w:val="2B0E8C4D"/>
    <w:rsid w:val="2B19B6B7"/>
    <w:rsid w:val="2B34B17A"/>
    <w:rsid w:val="2B5FDBB3"/>
    <w:rsid w:val="2B998AA0"/>
    <w:rsid w:val="2BA45F5B"/>
    <w:rsid w:val="2BC80EED"/>
    <w:rsid w:val="2BD7ACA8"/>
    <w:rsid w:val="2BE55774"/>
    <w:rsid w:val="2BE6E8EC"/>
    <w:rsid w:val="2BFE01B8"/>
    <w:rsid w:val="2C36C85D"/>
    <w:rsid w:val="2CC856BE"/>
    <w:rsid w:val="2D13A787"/>
    <w:rsid w:val="2D472A52"/>
    <w:rsid w:val="2D4CC059"/>
    <w:rsid w:val="2D4DA7A6"/>
    <w:rsid w:val="2D93C937"/>
    <w:rsid w:val="2DA766FF"/>
    <w:rsid w:val="2DD88C49"/>
    <w:rsid w:val="2DDBBD24"/>
    <w:rsid w:val="2DF04EDF"/>
    <w:rsid w:val="2DF11629"/>
    <w:rsid w:val="2DFCBA99"/>
    <w:rsid w:val="2E0C68BD"/>
    <w:rsid w:val="2E126433"/>
    <w:rsid w:val="2E2A66F7"/>
    <w:rsid w:val="2E6C1830"/>
    <w:rsid w:val="2EED1A07"/>
    <w:rsid w:val="2EF2DC63"/>
    <w:rsid w:val="2EF39EDC"/>
    <w:rsid w:val="2F1779FC"/>
    <w:rsid w:val="2F701D55"/>
    <w:rsid w:val="2F86DFF8"/>
    <w:rsid w:val="2F9264EE"/>
    <w:rsid w:val="2F99CB39"/>
    <w:rsid w:val="2FE20BC9"/>
    <w:rsid w:val="2FE3EA4A"/>
    <w:rsid w:val="2FE418EE"/>
    <w:rsid w:val="2FEC6141"/>
    <w:rsid w:val="2FFAAD9E"/>
    <w:rsid w:val="3008DB3D"/>
    <w:rsid w:val="301D1625"/>
    <w:rsid w:val="3026C484"/>
    <w:rsid w:val="3059303B"/>
    <w:rsid w:val="30674FC3"/>
    <w:rsid w:val="3077E69F"/>
    <w:rsid w:val="30839278"/>
    <w:rsid w:val="30B8B509"/>
    <w:rsid w:val="30EA2A6B"/>
    <w:rsid w:val="30F9ED52"/>
    <w:rsid w:val="3120CD87"/>
    <w:rsid w:val="31352792"/>
    <w:rsid w:val="31661B8B"/>
    <w:rsid w:val="31AB64EE"/>
    <w:rsid w:val="31B17EBB"/>
    <w:rsid w:val="31CBA27F"/>
    <w:rsid w:val="31E42D90"/>
    <w:rsid w:val="3201226B"/>
    <w:rsid w:val="3206B5BC"/>
    <w:rsid w:val="3207F325"/>
    <w:rsid w:val="3208CC24"/>
    <w:rsid w:val="3224B36A"/>
    <w:rsid w:val="323523B3"/>
    <w:rsid w:val="3276930F"/>
    <w:rsid w:val="32DBFF7B"/>
    <w:rsid w:val="3317B866"/>
    <w:rsid w:val="3328B64B"/>
    <w:rsid w:val="333139E2"/>
    <w:rsid w:val="3350E41D"/>
    <w:rsid w:val="336B5E83"/>
    <w:rsid w:val="336C55F8"/>
    <w:rsid w:val="337251E1"/>
    <w:rsid w:val="3390DF82"/>
    <w:rsid w:val="33A190D5"/>
    <w:rsid w:val="33ADBE21"/>
    <w:rsid w:val="33D27E57"/>
    <w:rsid w:val="33D4BC1D"/>
    <w:rsid w:val="33DEECD8"/>
    <w:rsid w:val="33ED5B13"/>
    <w:rsid w:val="3486598C"/>
    <w:rsid w:val="34FDBEE7"/>
    <w:rsid w:val="35316423"/>
    <w:rsid w:val="354C8944"/>
    <w:rsid w:val="358874AE"/>
    <w:rsid w:val="358A19C5"/>
    <w:rsid w:val="358A7822"/>
    <w:rsid w:val="3594492E"/>
    <w:rsid w:val="35B5A962"/>
    <w:rsid w:val="35BA86C3"/>
    <w:rsid w:val="35D4A8F0"/>
    <w:rsid w:val="35F74E58"/>
    <w:rsid w:val="3619EA3E"/>
    <w:rsid w:val="3678D4F6"/>
    <w:rsid w:val="3698B4DA"/>
    <w:rsid w:val="3698E1F7"/>
    <w:rsid w:val="36EFC14F"/>
    <w:rsid w:val="36F06B42"/>
    <w:rsid w:val="371CD6CB"/>
    <w:rsid w:val="372529B4"/>
    <w:rsid w:val="37370C1D"/>
    <w:rsid w:val="3750F4F7"/>
    <w:rsid w:val="3755BEA8"/>
    <w:rsid w:val="3759D5AA"/>
    <w:rsid w:val="3786C0DA"/>
    <w:rsid w:val="37A9D6B4"/>
    <w:rsid w:val="37D56233"/>
    <w:rsid w:val="37EB929B"/>
    <w:rsid w:val="37F674DB"/>
    <w:rsid w:val="38929EFA"/>
    <w:rsid w:val="38987527"/>
    <w:rsid w:val="38BD8BD6"/>
    <w:rsid w:val="38C2A7E2"/>
    <w:rsid w:val="38FDA929"/>
    <w:rsid w:val="3901CB10"/>
    <w:rsid w:val="39140A43"/>
    <w:rsid w:val="391CF233"/>
    <w:rsid w:val="393DF278"/>
    <w:rsid w:val="3951FE5D"/>
    <w:rsid w:val="398FD022"/>
    <w:rsid w:val="3992D915"/>
    <w:rsid w:val="39A4BC22"/>
    <w:rsid w:val="39B4E299"/>
    <w:rsid w:val="39D170F3"/>
    <w:rsid w:val="39EB4D05"/>
    <w:rsid w:val="39F63AB8"/>
    <w:rsid w:val="3A05B121"/>
    <w:rsid w:val="3A136BBB"/>
    <w:rsid w:val="3A14DB44"/>
    <w:rsid w:val="3A1D8B8A"/>
    <w:rsid w:val="3A2070AF"/>
    <w:rsid w:val="3A3914BB"/>
    <w:rsid w:val="3A481A48"/>
    <w:rsid w:val="3A6B3501"/>
    <w:rsid w:val="3AB00D75"/>
    <w:rsid w:val="3AB8DB46"/>
    <w:rsid w:val="3AC9BEFE"/>
    <w:rsid w:val="3AE3D3F8"/>
    <w:rsid w:val="3AFFE998"/>
    <w:rsid w:val="3B0642CA"/>
    <w:rsid w:val="3B251EE8"/>
    <w:rsid w:val="3B2B6809"/>
    <w:rsid w:val="3B367B84"/>
    <w:rsid w:val="3B6CEF66"/>
    <w:rsid w:val="3B78111D"/>
    <w:rsid w:val="3B933DEC"/>
    <w:rsid w:val="3BEB4074"/>
    <w:rsid w:val="3C1D1D10"/>
    <w:rsid w:val="3C2E5E9C"/>
    <w:rsid w:val="3C3A7352"/>
    <w:rsid w:val="3C5D0BBB"/>
    <w:rsid w:val="3C797B51"/>
    <w:rsid w:val="3C983EA9"/>
    <w:rsid w:val="3CE59DAC"/>
    <w:rsid w:val="3CEC4785"/>
    <w:rsid w:val="3D51092C"/>
    <w:rsid w:val="3D6A395A"/>
    <w:rsid w:val="3DC5CA8B"/>
    <w:rsid w:val="3DDB0010"/>
    <w:rsid w:val="3E0EFC17"/>
    <w:rsid w:val="3E15F98A"/>
    <w:rsid w:val="3E1CBE62"/>
    <w:rsid w:val="3E30AC8E"/>
    <w:rsid w:val="3E31C762"/>
    <w:rsid w:val="3E3D7B9E"/>
    <w:rsid w:val="3E64187B"/>
    <w:rsid w:val="3E737F20"/>
    <w:rsid w:val="3F2C0205"/>
    <w:rsid w:val="3F3CF736"/>
    <w:rsid w:val="3F4E87BF"/>
    <w:rsid w:val="3FBAF3FC"/>
    <w:rsid w:val="3FD839D7"/>
    <w:rsid w:val="3FEB43C8"/>
    <w:rsid w:val="4050A0EC"/>
    <w:rsid w:val="405A3348"/>
    <w:rsid w:val="4071FBD5"/>
    <w:rsid w:val="40855858"/>
    <w:rsid w:val="40BA60CB"/>
    <w:rsid w:val="41092AFD"/>
    <w:rsid w:val="411B9092"/>
    <w:rsid w:val="413986C7"/>
    <w:rsid w:val="414BC685"/>
    <w:rsid w:val="41BCFE21"/>
    <w:rsid w:val="41CF1A44"/>
    <w:rsid w:val="41D35094"/>
    <w:rsid w:val="41F5E24B"/>
    <w:rsid w:val="41F6A002"/>
    <w:rsid w:val="420182EF"/>
    <w:rsid w:val="4206E174"/>
    <w:rsid w:val="42177C37"/>
    <w:rsid w:val="422DF4BE"/>
    <w:rsid w:val="423D1F0A"/>
    <w:rsid w:val="4257A339"/>
    <w:rsid w:val="428E98B2"/>
    <w:rsid w:val="433545EA"/>
    <w:rsid w:val="433752CB"/>
    <w:rsid w:val="436695D8"/>
    <w:rsid w:val="437FB75C"/>
    <w:rsid w:val="43AF46C7"/>
    <w:rsid w:val="43B45A33"/>
    <w:rsid w:val="43BC29C3"/>
    <w:rsid w:val="43C7EA01"/>
    <w:rsid w:val="43E9EEBD"/>
    <w:rsid w:val="4402DD6F"/>
    <w:rsid w:val="441AE271"/>
    <w:rsid w:val="44228B09"/>
    <w:rsid w:val="4435422D"/>
    <w:rsid w:val="4471077F"/>
    <w:rsid w:val="4473A168"/>
    <w:rsid w:val="44E056E4"/>
    <w:rsid w:val="45122FB8"/>
    <w:rsid w:val="4521A7CB"/>
    <w:rsid w:val="45572A9B"/>
    <w:rsid w:val="45935CAE"/>
    <w:rsid w:val="45C30337"/>
    <w:rsid w:val="45C71D7C"/>
    <w:rsid w:val="45E95151"/>
    <w:rsid w:val="460B205E"/>
    <w:rsid w:val="461342EE"/>
    <w:rsid w:val="4635E626"/>
    <w:rsid w:val="463C013B"/>
    <w:rsid w:val="46692967"/>
    <w:rsid w:val="46936A3C"/>
    <w:rsid w:val="46B4F97D"/>
    <w:rsid w:val="4712D6F9"/>
    <w:rsid w:val="4727D124"/>
    <w:rsid w:val="4748E12E"/>
    <w:rsid w:val="475DB4CC"/>
    <w:rsid w:val="47940C40"/>
    <w:rsid w:val="4796722C"/>
    <w:rsid w:val="47CD7B8F"/>
    <w:rsid w:val="47FA57B1"/>
    <w:rsid w:val="47FDBDE9"/>
    <w:rsid w:val="4811DBE6"/>
    <w:rsid w:val="482D21F5"/>
    <w:rsid w:val="483BC242"/>
    <w:rsid w:val="4854660F"/>
    <w:rsid w:val="485D50D6"/>
    <w:rsid w:val="486CA283"/>
    <w:rsid w:val="4885A702"/>
    <w:rsid w:val="48999130"/>
    <w:rsid w:val="48E3A65E"/>
    <w:rsid w:val="49382A20"/>
    <w:rsid w:val="49395636"/>
    <w:rsid w:val="49494C6E"/>
    <w:rsid w:val="494D3D07"/>
    <w:rsid w:val="497B438B"/>
    <w:rsid w:val="49D331A8"/>
    <w:rsid w:val="49DC85C2"/>
    <w:rsid w:val="49EA34D1"/>
    <w:rsid w:val="49FF6B5E"/>
    <w:rsid w:val="4A61EBDA"/>
    <w:rsid w:val="4AAB6967"/>
    <w:rsid w:val="4AD9F030"/>
    <w:rsid w:val="4B001F1B"/>
    <w:rsid w:val="4B1B3BFC"/>
    <w:rsid w:val="4BEDF5C3"/>
    <w:rsid w:val="4BFD5DBC"/>
    <w:rsid w:val="4C316089"/>
    <w:rsid w:val="4C38F78A"/>
    <w:rsid w:val="4C5F15EF"/>
    <w:rsid w:val="4C633D8E"/>
    <w:rsid w:val="4C88CC33"/>
    <w:rsid w:val="4CA9A353"/>
    <w:rsid w:val="4CB40674"/>
    <w:rsid w:val="4CEB76AE"/>
    <w:rsid w:val="4D01ECA0"/>
    <w:rsid w:val="4D086BE5"/>
    <w:rsid w:val="4D0F6BB6"/>
    <w:rsid w:val="4D2DBBAC"/>
    <w:rsid w:val="4D397A59"/>
    <w:rsid w:val="4D3DF4B0"/>
    <w:rsid w:val="4D51A2FE"/>
    <w:rsid w:val="4D9E9EF6"/>
    <w:rsid w:val="4DF79EBD"/>
    <w:rsid w:val="4E19755A"/>
    <w:rsid w:val="4E7B0934"/>
    <w:rsid w:val="4EB8A1C9"/>
    <w:rsid w:val="4F2312AF"/>
    <w:rsid w:val="4F63E4BE"/>
    <w:rsid w:val="4F6C34A0"/>
    <w:rsid w:val="4F7DFE5E"/>
    <w:rsid w:val="4FC07695"/>
    <w:rsid w:val="4FC1995A"/>
    <w:rsid w:val="4FEBD3F7"/>
    <w:rsid w:val="4FF692BE"/>
    <w:rsid w:val="506D7870"/>
    <w:rsid w:val="5082A4D4"/>
    <w:rsid w:val="50A25460"/>
    <w:rsid w:val="50A3E186"/>
    <w:rsid w:val="511436FD"/>
    <w:rsid w:val="511540AC"/>
    <w:rsid w:val="511C805B"/>
    <w:rsid w:val="515250FD"/>
    <w:rsid w:val="51AA5565"/>
    <w:rsid w:val="51B5D253"/>
    <w:rsid w:val="51F08263"/>
    <w:rsid w:val="51F17FA4"/>
    <w:rsid w:val="5227E028"/>
    <w:rsid w:val="5255CB22"/>
    <w:rsid w:val="52A66568"/>
    <w:rsid w:val="52ACFBA6"/>
    <w:rsid w:val="52C95A54"/>
    <w:rsid w:val="52CCCE54"/>
    <w:rsid w:val="52D51EFF"/>
    <w:rsid w:val="52E60B7B"/>
    <w:rsid w:val="531F6AA8"/>
    <w:rsid w:val="53541281"/>
    <w:rsid w:val="538D10F2"/>
    <w:rsid w:val="539CC99E"/>
    <w:rsid w:val="53A0C617"/>
    <w:rsid w:val="53AC03C1"/>
    <w:rsid w:val="53FCFD81"/>
    <w:rsid w:val="541BE8C9"/>
    <w:rsid w:val="546150AD"/>
    <w:rsid w:val="5470A1B5"/>
    <w:rsid w:val="547732A3"/>
    <w:rsid w:val="54C55EE8"/>
    <w:rsid w:val="54D65446"/>
    <w:rsid w:val="5505B76D"/>
    <w:rsid w:val="5522523A"/>
    <w:rsid w:val="5544E5B8"/>
    <w:rsid w:val="556DF545"/>
    <w:rsid w:val="5607AC5A"/>
    <w:rsid w:val="5645CB21"/>
    <w:rsid w:val="5649AF8E"/>
    <w:rsid w:val="564FF8BC"/>
    <w:rsid w:val="5659F099"/>
    <w:rsid w:val="568FA920"/>
    <w:rsid w:val="56930BB7"/>
    <w:rsid w:val="56A0118E"/>
    <w:rsid w:val="56CD3D0A"/>
    <w:rsid w:val="56DA0087"/>
    <w:rsid w:val="56EF9C88"/>
    <w:rsid w:val="56F42697"/>
    <w:rsid w:val="571C3B98"/>
    <w:rsid w:val="5746568B"/>
    <w:rsid w:val="5764B95F"/>
    <w:rsid w:val="5769AEE1"/>
    <w:rsid w:val="57802453"/>
    <w:rsid w:val="57BFD942"/>
    <w:rsid w:val="57D7BAE0"/>
    <w:rsid w:val="580C9442"/>
    <w:rsid w:val="586C1015"/>
    <w:rsid w:val="587E9519"/>
    <w:rsid w:val="5897284A"/>
    <w:rsid w:val="58AB5B33"/>
    <w:rsid w:val="58AD8587"/>
    <w:rsid w:val="58B8F331"/>
    <w:rsid w:val="590502E2"/>
    <w:rsid w:val="590671BC"/>
    <w:rsid w:val="59080FCE"/>
    <w:rsid w:val="595CDC8F"/>
    <w:rsid w:val="597CCDDF"/>
    <w:rsid w:val="59D168DF"/>
    <w:rsid w:val="5A08AD3A"/>
    <w:rsid w:val="5A4761E7"/>
    <w:rsid w:val="5A5A507C"/>
    <w:rsid w:val="5A89E6A5"/>
    <w:rsid w:val="5AA2E3E2"/>
    <w:rsid w:val="5ABE6C0B"/>
    <w:rsid w:val="5AC0DEDD"/>
    <w:rsid w:val="5AC9513D"/>
    <w:rsid w:val="5ACA6EE2"/>
    <w:rsid w:val="5AF9C077"/>
    <w:rsid w:val="5B03D910"/>
    <w:rsid w:val="5B3960E4"/>
    <w:rsid w:val="5B429772"/>
    <w:rsid w:val="5BA96C0B"/>
    <w:rsid w:val="5BAC6FB7"/>
    <w:rsid w:val="5BB3D40E"/>
    <w:rsid w:val="5BD0C3B7"/>
    <w:rsid w:val="5BED45EC"/>
    <w:rsid w:val="5BEE588D"/>
    <w:rsid w:val="5C116532"/>
    <w:rsid w:val="5C39348D"/>
    <w:rsid w:val="5C4A342F"/>
    <w:rsid w:val="5C8F81CF"/>
    <w:rsid w:val="5CB40402"/>
    <w:rsid w:val="5CC37E5B"/>
    <w:rsid w:val="5CE742F6"/>
    <w:rsid w:val="5D19CCD5"/>
    <w:rsid w:val="5D2A7BB0"/>
    <w:rsid w:val="5D394686"/>
    <w:rsid w:val="5D668F49"/>
    <w:rsid w:val="5D66EF07"/>
    <w:rsid w:val="5DB38A10"/>
    <w:rsid w:val="5DBC9E78"/>
    <w:rsid w:val="5DE796C4"/>
    <w:rsid w:val="5DF2F46D"/>
    <w:rsid w:val="5E0B9FFF"/>
    <w:rsid w:val="5E2634D7"/>
    <w:rsid w:val="5E2FB15C"/>
    <w:rsid w:val="5E41EB22"/>
    <w:rsid w:val="5E4754B0"/>
    <w:rsid w:val="5E4F5FCC"/>
    <w:rsid w:val="5E7D0097"/>
    <w:rsid w:val="5EB949CE"/>
    <w:rsid w:val="5EC97229"/>
    <w:rsid w:val="5ECF2A1C"/>
    <w:rsid w:val="5ED65766"/>
    <w:rsid w:val="5EF39C25"/>
    <w:rsid w:val="5F025FAA"/>
    <w:rsid w:val="5F0548C1"/>
    <w:rsid w:val="5F2E967F"/>
    <w:rsid w:val="5F5798F4"/>
    <w:rsid w:val="5F786082"/>
    <w:rsid w:val="5FA4D77D"/>
    <w:rsid w:val="5FE5ED2D"/>
    <w:rsid w:val="5FFBD745"/>
    <w:rsid w:val="60006610"/>
    <w:rsid w:val="6008188B"/>
    <w:rsid w:val="601CF969"/>
    <w:rsid w:val="6026454A"/>
    <w:rsid w:val="6035FA31"/>
    <w:rsid w:val="604A6873"/>
    <w:rsid w:val="6082D8DE"/>
    <w:rsid w:val="6088B690"/>
    <w:rsid w:val="60B4DF4A"/>
    <w:rsid w:val="60B78CB1"/>
    <w:rsid w:val="60B78F96"/>
    <w:rsid w:val="6113D5D0"/>
    <w:rsid w:val="615FA79C"/>
    <w:rsid w:val="61663918"/>
    <w:rsid w:val="6180D23C"/>
    <w:rsid w:val="61AFFF45"/>
    <w:rsid w:val="61D3CA4D"/>
    <w:rsid w:val="6205E556"/>
    <w:rsid w:val="6214A536"/>
    <w:rsid w:val="6220D44E"/>
    <w:rsid w:val="623A006C"/>
    <w:rsid w:val="6267D582"/>
    <w:rsid w:val="627918BF"/>
    <w:rsid w:val="62E35F04"/>
    <w:rsid w:val="62F34F55"/>
    <w:rsid w:val="6301B115"/>
    <w:rsid w:val="632BBE7F"/>
    <w:rsid w:val="6331709F"/>
    <w:rsid w:val="633993E2"/>
    <w:rsid w:val="63677824"/>
    <w:rsid w:val="636F4796"/>
    <w:rsid w:val="638BA903"/>
    <w:rsid w:val="63A0E774"/>
    <w:rsid w:val="63A4175E"/>
    <w:rsid w:val="63B8FB3F"/>
    <w:rsid w:val="63C1AA27"/>
    <w:rsid w:val="63D5C635"/>
    <w:rsid w:val="63FA6769"/>
    <w:rsid w:val="643C5BAC"/>
    <w:rsid w:val="645E9A7C"/>
    <w:rsid w:val="6476E40A"/>
    <w:rsid w:val="64860955"/>
    <w:rsid w:val="64AC5230"/>
    <w:rsid w:val="64C3870E"/>
    <w:rsid w:val="64CADAD3"/>
    <w:rsid w:val="64CC5647"/>
    <w:rsid w:val="64CC5B98"/>
    <w:rsid w:val="64E5F51D"/>
    <w:rsid w:val="64F1F985"/>
    <w:rsid w:val="650F6043"/>
    <w:rsid w:val="6530680A"/>
    <w:rsid w:val="6541DD64"/>
    <w:rsid w:val="656A6362"/>
    <w:rsid w:val="657BB2D3"/>
    <w:rsid w:val="657F551A"/>
    <w:rsid w:val="659EB243"/>
    <w:rsid w:val="65D99A86"/>
    <w:rsid w:val="661AFA8C"/>
    <w:rsid w:val="6635959C"/>
    <w:rsid w:val="6665258E"/>
    <w:rsid w:val="667380EB"/>
    <w:rsid w:val="66742293"/>
    <w:rsid w:val="66E48D3D"/>
    <w:rsid w:val="66FD0B43"/>
    <w:rsid w:val="673FBC77"/>
    <w:rsid w:val="674BCC02"/>
    <w:rsid w:val="67A49620"/>
    <w:rsid w:val="67AD3197"/>
    <w:rsid w:val="67D1E0B0"/>
    <w:rsid w:val="6819AA37"/>
    <w:rsid w:val="68271C61"/>
    <w:rsid w:val="68A3B207"/>
    <w:rsid w:val="68C3F42D"/>
    <w:rsid w:val="68D47808"/>
    <w:rsid w:val="6906D574"/>
    <w:rsid w:val="691EE7B5"/>
    <w:rsid w:val="69414C10"/>
    <w:rsid w:val="695D9B39"/>
    <w:rsid w:val="6962CFF5"/>
    <w:rsid w:val="69740BA4"/>
    <w:rsid w:val="69915F6A"/>
    <w:rsid w:val="6996A903"/>
    <w:rsid w:val="69A3F3CD"/>
    <w:rsid w:val="69A7B641"/>
    <w:rsid w:val="6A3D7332"/>
    <w:rsid w:val="6A4727F2"/>
    <w:rsid w:val="6A73D59A"/>
    <w:rsid w:val="6AB0ACD9"/>
    <w:rsid w:val="6AD7CC10"/>
    <w:rsid w:val="6ADF962D"/>
    <w:rsid w:val="6AE6CF77"/>
    <w:rsid w:val="6AE83BF6"/>
    <w:rsid w:val="6B534B06"/>
    <w:rsid w:val="6B591059"/>
    <w:rsid w:val="6B67A975"/>
    <w:rsid w:val="6BDFA292"/>
    <w:rsid w:val="6BFECC6D"/>
    <w:rsid w:val="6C00AE70"/>
    <w:rsid w:val="6C051890"/>
    <w:rsid w:val="6C1825A8"/>
    <w:rsid w:val="6C64A0DC"/>
    <w:rsid w:val="6C7B22A4"/>
    <w:rsid w:val="6C88E149"/>
    <w:rsid w:val="6C90193C"/>
    <w:rsid w:val="6CB42F0C"/>
    <w:rsid w:val="6CBAEAF0"/>
    <w:rsid w:val="6CEE03D7"/>
    <w:rsid w:val="6D369406"/>
    <w:rsid w:val="6D38FC60"/>
    <w:rsid w:val="6D577622"/>
    <w:rsid w:val="6D5AE468"/>
    <w:rsid w:val="6D65F489"/>
    <w:rsid w:val="6D6AA2CE"/>
    <w:rsid w:val="6D853716"/>
    <w:rsid w:val="6DA0E8F1"/>
    <w:rsid w:val="6DD38F2C"/>
    <w:rsid w:val="6DEF3464"/>
    <w:rsid w:val="6E317364"/>
    <w:rsid w:val="6E3E69A8"/>
    <w:rsid w:val="6E706B6E"/>
    <w:rsid w:val="6E7A2BEF"/>
    <w:rsid w:val="6EA86190"/>
    <w:rsid w:val="6EABCD06"/>
    <w:rsid w:val="6EC46A3F"/>
    <w:rsid w:val="6EF473E6"/>
    <w:rsid w:val="6F165F31"/>
    <w:rsid w:val="6F63E546"/>
    <w:rsid w:val="6F66C403"/>
    <w:rsid w:val="6F7A28A0"/>
    <w:rsid w:val="6F7A320F"/>
    <w:rsid w:val="6F88D2FB"/>
    <w:rsid w:val="6FC3308B"/>
    <w:rsid w:val="6FFE27DC"/>
    <w:rsid w:val="70064B7E"/>
    <w:rsid w:val="703A9D21"/>
    <w:rsid w:val="704CE27C"/>
    <w:rsid w:val="70753DED"/>
    <w:rsid w:val="70760DF0"/>
    <w:rsid w:val="7098218C"/>
    <w:rsid w:val="70BC0BBC"/>
    <w:rsid w:val="70F89776"/>
    <w:rsid w:val="71368307"/>
    <w:rsid w:val="71385561"/>
    <w:rsid w:val="7146783A"/>
    <w:rsid w:val="71E30AEF"/>
    <w:rsid w:val="72030902"/>
    <w:rsid w:val="7206DB1A"/>
    <w:rsid w:val="721541A2"/>
    <w:rsid w:val="722E7BE4"/>
    <w:rsid w:val="7236296C"/>
    <w:rsid w:val="72476B30"/>
    <w:rsid w:val="72736EC5"/>
    <w:rsid w:val="72B153E6"/>
    <w:rsid w:val="731E36FC"/>
    <w:rsid w:val="7325F1BD"/>
    <w:rsid w:val="732B07EF"/>
    <w:rsid w:val="73329B4E"/>
    <w:rsid w:val="73394DF1"/>
    <w:rsid w:val="734AC3A4"/>
    <w:rsid w:val="73E6B131"/>
    <w:rsid w:val="73FB6FDD"/>
    <w:rsid w:val="740AE424"/>
    <w:rsid w:val="74132BC0"/>
    <w:rsid w:val="741532D6"/>
    <w:rsid w:val="7428144B"/>
    <w:rsid w:val="74B3F8EB"/>
    <w:rsid w:val="74BB1180"/>
    <w:rsid w:val="74C8849D"/>
    <w:rsid w:val="74D56204"/>
    <w:rsid w:val="74DF5D91"/>
    <w:rsid w:val="74FF2FFA"/>
    <w:rsid w:val="751B2B75"/>
    <w:rsid w:val="756500EE"/>
    <w:rsid w:val="758BD8C4"/>
    <w:rsid w:val="759D3340"/>
    <w:rsid w:val="75D40EFE"/>
    <w:rsid w:val="76161D8E"/>
    <w:rsid w:val="769013BD"/>
    <w:rsid w:val="76D4153C"/>
    <w:rsid w:val="76EF14A6"/>
    <w:rsid w:val="76EF7A36"/>
    <w:rsid w:val="770FA618"/>
    <w:rsid w:val="7722A1EB"/>
    <w:rsid w:val="7731E20B"/>
    <w:rsid w:val="779449F1"/>
    <w:rsid w:val="77A128A4"/>
    <w:rsid w:val="77A616B2"/>
    <w:rsid w:val="77BFC666"/>
    <w:rsid w:val="7803579E"/>
    <w:rsid w:val="783CCB89"/>
    <w:rsid w:val="786C93CF"/>
    <w:rsid w:val="78778A7F"/>
    <w:rsid w:val="7885A31D"/>
    <w:rsid w:val="7896D778"/>
    <w:rsid w:val="78A33873"/>
    <w:rsid w:val="78B1E394"/>
    <w:rsid w:val="78C2D89D"/>
    <w:rsid w:val="78C75340"/>
    <w:rsid w:val="78CE1FF7"/>
    <w:rsid w:val="78CFE583"/>
    <w:rsid w:val="78E1F997"/>
    <w:rsid w:val="7932CF9A"/>
    <w:rsid w:val="7944889C"/>
    <w:rsid w:val="795E7682"/>
    <w:rsid w:val="796978B7"/>
    <w:rsid w:val="79966F39"/>
    <w:rsid w:val="79A9F85B"/>
    <w:rsid w:val="79D72E20"/>
    <w:rsid w:val="7A6870AF"/>
    <w:rsid w:val="7A8AF9D4"/>
    <w:rsid w:val="7A9D634D"/>
    <w:rsid w:val="7ABAC091"/>
    <w:rsid w:val="7ABB6EA2"/>
    <w:rsid w:val="7B123A97"/>
    <w:rsid w:val="7B1A82A0"/>
    <w:rsid w:val="7B27041C"/>
    <w:rsid w:val="7B2C8360"/>
    <w:rsid w:val="7B3183E0"/>
    <w:rsid w:val="7B7EF2B0"/>
    <w:rsid w:val="7B8CB8E3"/>
    <w:rsid w:val="7B9CB5C9"/>
    <w:rsid w:val="7BCE51D5"/>
    <w:rsid w:val="7BE22153"/>
    <w:rsid w:val="7C19F5B2"/>
    <w:rsid w:val="7C3FC991"/>
    <w:rsid w:val="7C58AAA3"/>
    <w:rsid w:val="7C61C6DF"/>
    <w:rsid w:val="7C95A8CF"/>
    <w:rsid w:val="7CBD1B35"/>
    <w:rsid w:val="7CC74212"/>
    <w:rsid w:val="7CDC3D9C"/>
    <w:rsid w:val="7D03218E"/>
    <w:rsid w:val="7D227CDA"/>
    <w:rsid w:val="7D3DA602"/>
    <w:rsid w:val="7DA2D7D3"/>
    <w:rsid w:val="7DE4F211"/>
    <w:rsid w:val="7E06B40B"/>
    <w:rsid w:val="7E2EE887"/>
    <w:rsid w:val="7E549E2B"/>
    <w:rsid w:val="7E5C0AA2"/>
    <w:rsid w:val="7E67DBD8"/>
    <w:rsid w:val="7E9425AE"/>
    <w:rsid w:val="7EB12EDA"/>
    <w:rsid w:val="7EB69286"/>
    <w:rsid w:val="7EC05E2E"/>
    <w:rsid w:val="7EC86991"/>
    <w:rsid w:val="7ED78AC8"/>
    <w:rsid w:val="7EDBCF31"/>
    <w:rsid w:val="7EFE148B"/>
    <w:rsid w:val="7F035CE7"/>
    <w:rsid w:val="7F1DDE3F"/>
    <w:rsid w:val="7F2DCD18"/>
    <w:rsid w:val="7F4F31CE"/>
    <w:rsid w:val="7F607F2E"/>
    <w:rsid w:val="7FACCD6E"/>
    <w:rsid w:val="7FBE7880"/>
    <w:rsid w:val="7FC99BBD"/>
    <w:rsid w:val="7FE9EE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0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0" w:defUnhideWhenUsed="0" w:defQFormat="0" w:count="371">
    <w:lsdException w:name="Normal" w:uiPriority="1" w:qFormat="1"/>
    <w:lsdException w:name="heading 1" w:qFormat="1"/>
    <w:lsdException w:name="heading 2" w:uiPriority="1" w:qFormat="1"/>
    <w:lsdException w:name="heading 3" w:uiPriority="1" w:qFormat="1"/>
    <w:lsdException w:name="heading 4" w:uiPriority="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qFormat="1"/>
    <w:lsdException w:name="Closing" w:uiPriority="2"/>
    <w:lsdException w:name="Signature" w:uiPriority="2"/>
    <w:lsdException w:name="Default Paragraph Font" w:semiHidden="1"/>
    <w:lsdException w:name="Body Text"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atentStyles>
  <w:style w:type="paragraph" w:default="1" w:styleId="Normal">
    <w:name w:val="Normal"/>
    <w:uiPriority w:val="1"/>
    <w:qFormat/>
    <w:rsid w:val="00265382"/>
    <w:pPr>
      <w:spacing w:after="240"/>
      <w:jc w:val="both"/>
    </w:p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link w:val="Heading2Char"/>
    <w:uiPriority w:val="1"/>
    <w:qFormat/>
    <w:pPr>
      <w:keepNext/>
      <w:numPr>
        <w:ilvl w:val="1"/>
        <w:numId w:val="16"/>
      </w:numPr>
      <w:outlineLvl w:val="1"/>
    </w:pPr>
    <w:rPr>
      <w:b/>
    </w:rPr>
  </w:style>
  <w:style w:type="paragraph" w:styleId="Heading3">
    <w:name w:val="heading 3"/>
    <w:basedOn w:val="Normal"/>
    <w:next w:val="Text3"/>
    <w:link w:val="Heading3Char"/>
    <w:uiPriority w:val="1"/>
    <w:qFormat/>
    <w:pPr>
      <w:keepNext/>
      <w:numPr>
        <w:ilvl w:val="2"/>
        <w:numId w:val="16"/>
      </w:numPr>
      <w:outlineLvl w:val="2"/>
    </w:pPr>
    <w:rPr>
      <w:i/>
    </w:rPr>
  </w:style>
  <w:style w:type="paragraph" w:styleId="Heading4">
    <w:name w:val="heading 4"/>
    <w:basedOn w:val="Normal"/>
    <w:next w:val="Text4"/>
    <w:link w:val="Heading4Char"/>
    <w:uiPriority w:val="1"/>
    <w:qFormat/>
    <w:pPr>
      <w:keepNext/>
      <w:numPr>
        <w:ilvl w:val="3"/>
        <w:numId w:val="16"/>
      </w:numPr>
      <w:outlineLvl w:val="3"/>
    </w:pPr>
  </w:style>
  <w:style w:type="paragraph" w:styleId="Heading5">
    <w:name w:val="heading 5"/>
    <w:basedOn w:val="Normal"/>
    <w:next w:val="Normal"/>
    <w:semiHidden/>
    <w:qFormat/>
    <w:rsid w:val="00150F77"/>
    <w:pPr>
      <w:keepNext/>
      <w:numPr>
        <w:ilvl w:val="4"/>
        <w:numId w:val="16"/>
      </w:numPr>
      <w:outlineLvl w:val="4"/>
    </w:pPr>
  </w:style>
  <w:style w:type="paragraph" w:styleId="Heading6">
    <w:name w:val="heading 6"/>
    <w:basedOn w:val="Normal"/>
    <w:next w:val="Normal"/>
    <w:semiHidden/>
    <w:qFormat/>
    <w:rsid w:val="00150F77"/>
    <w:pPr>
      <w:keepNext/>
      <w:numPr>
        <w:ilvl w:val="5"/>
        <w:numId w:val="16"/>
      </w:numPr>
      <w:outlineLvl w:val="5"/>
    </w:pPr>
  </w:style>
  <w:style w:type="paragraph" w:styleId="Heading7">
    <w:name w:val="heading 7"/>
    <w:basedOn w:val="Normal"/>
    <w:next w:val="Normal"/>
    <w:semiHidden/>
    <w:qFormat/>
    <w:rsid w:val="00150F77"/>
    <w:pPr>
      <w:keepNext/>
      <w:numPr>
        <w:ilvl w:val="6"/>
        <w:numId w:val="16"/>
      </w:numPr>
      <w:outlineLvl w:val="6"/>
    </w:pPr>
  </w:style>
  <w:style w:type="paragraph" w:styleId="Heading8">
    <w:name w:val="heading 8"/>
    <w:basedOn w:val="Normal"/>
    <w:next w:val="Normal"/>
    <w:semiHidden/>
    <w:qFormat/>
    <w:rsid w:val="00150F77"/>
    <w:pPr>
      <w:keepNext/>
      <w:numPr>
        <w:ilvl w:val="7"/>
        <w:numId w:val="16"/>
      </w:numPr>
      <w:outlineLvl w:val="7"/>
    </w:pPr>
  </w:style>
  <w:style w:type="paragraph" w:styleId="Heading9">
    <w:name w:val="heading 9"/>
    <w:basedOn w:val="Normal"/>
    <w:next w:val="Normal"/>
    <w:semiHidden/>
    <w:qFormat/>
    <w:rsid w:val="00150F77"/>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A68AE"/>
    <w:pPr>
      <w:spacing w:before="100" w:beforeAutospacing="1" w:after="100" w:afterAutospacing="1"/>
      <w:jc w:val="left"/>
    </w:pPr>
    <w:rPr>
      <w:szCs w:val="24"/>
      <w:lang w:eastAsia="en-GB"/>
    </w:rPr>
  </w:style>
  <w:style w:type="character" w:customStyle="1" w:styleId="normaltextrun">
    <w:name w:val="normaltextrun"/>
    <w:basedOn w:val="DefaultParagraphFont"/>
    <w:rsid w:val="00AA68AE"/>
  </w:style>
  <w:style w:type="character" w:customStyle="1" w:styleId="eop">
    <w:name w:val="eop"/>
    <w:basedOn w:val="DefaultParagraphFont"/>
    <w:rsid w:val="00AA68AE"/>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2,3"/>
    <w:basedOn w:val="Normal"/>
    <w:link w:val="ListParagraphChar"/>
    <w:uiPriority w:val="34"/>
    <w:qFormat/>
    <w:locked/>
    <w:rsid w:val="00AA68AE"/>
    <w:pPr>
      <w:spacing w:after="160" w:line="259" w:lineRule="auto"/>
      <w:ind w:left="720"/>
      <w:contextualSpacing/>
      <w:jc w:val="left"/>
    </w:pPr>
    <w:rPr>
      <w:rFonts w:ascii="Calibri" w:eastAsia="Calibri" w:hAnsi="Calibri"/>
      <w:sz w:val="22"/>
      <w:szCs w:val="22"/>
      <w:lang w:eastAsia="en-GB"/>
    </w:rPr>
  </w:style>
  <w:style w:type="character" w:styleId="CommentReference">
    <w:name w:val="annotation reference"/>
    <w:uiPriority w:val="99"/>
    <w:locked/>
    <w:rsid w:val="00AA68AE"/>
    <w:rPr>
      <w:sz w:val="16"/>
      <w:szCs w:val="16"/>
    </w:rPr>
  </w:style>
  <w:style w:type="paragraph" w:styleId="CommentText">
    <w:name w:val="annotation text"/>
    <w:basedOn w:val="Normal"/>
    <w:link w:val="CommentTextChar"/>
    <w:uiPriority w:val="99"/>
    <w:locked/>
    <w:rsid w:val="00AA68AE"/>
    <w:pPr>
      <w:spacing w:after="160"/>
      <w:jc w:val="left"/>
    </w:pPr>
    <w:rPr>
      <w:rFonts w:ascii="Calibri" w:eastAsia="Calibri" w:hAnsi="Calibri"/>
      <w:sz w:val="20"/>
      <w:lang w:eastAsia="en-GB"/>
    </w:rPr>
  </w:style>
  <w:style w:type="character" w:customStyle="1" w:styleId="CommentTextChar">
    <w:name w:val="Comment Text Char"/>
    <w:basedOn w:val="DefaultParagraphFont"/>
    <w:link w:val="CommentText"/>
    <w:uiPriority w:val="99"/>
    <w:rsid w:val="00AA68AE"/>
    <w:rPr>
      <w:rFonts w:ascii="Calibri" w:eastAsia="Calibri" w:hAnsi="Calibri"/>
      <w:sz w:val="20"/>
      <w:lang w:val="fr-FR" w:eastAsia="en-GB"/>
    </w:rPr>
  </w:style>
  <w:style w:type="character" w:customStyle="1" w:styleId="TitleChar">
    <w:name w:val="Title Char"/>
    <w:rsid w:val="00AA68AE"/>
    <w:rPr>
      <w:b/>
      <w:kern w:val="28"/>
      <w:sz w:val="48"/>
    </w:rPr>
  </w:style>
  <w:style w:type="character" w:customStyle="1" w:styleId="Heading1Char">
    <w:name w:val="Heading 1 Char"/>
    <w:uiPriority w:val="1"/>
    <w:rsid w:val="00AA68AE"/>
    <w:rPr>
      <w:b/>
      <w:smallCaps/>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18"/>
      </w:numPr>
    </w:pPr>
  </w:style>
  <w:style w:type="paragraph" w:customStyle="1" w:styleId="ContNumLevel2">
    <w:name w:val="ContNum (Level 2)"/>
    <w:basedOn w:val="Normal"/>
    <w:uiPriority w:val="1"/>
    <w:pPr>
      <w:numPr>
        <w:ilvl w:val="1"/>
        <w:numId w:val="18"/>
      </w:numPr>
    </w:pPr>
  </w:style>
  <w:style w:type="paragraph" w:customStyle="1" w:styleId="ContNumLevel3">
    <w:name w:val="ContNum (Level 3)"/>
    <w:basedOn w:val="Normal"/>
    <w:uiPriority w:val="1"/>
    <w:pPr>
      <w:numPr>
        <w:ilvl w:val="2"/>
        <w:numId w:val="1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
    <w:basedOn w:val="Normal"/>
    <w:link w:val="FootnoteTextChar"/>
    <w:uiPriority w:val="99"/>
    <w:unhideWhenUsed/>
    <w:qFormat/>
    <w:pPr>
      <w:spacing w:after="120"/>
      <w:ind w:left="357" w:hanging="357"/>
    </w:pPr>
    <w:rPr>
      <w:sz w:val="20"/>
    </w:rPr>
  </w:style>
  <w:style w:type="paragraph" w:customStyle="1" w:styleId="LegalNumPar">
    <w:name w:val="LegalNumPar"/>
    <w:basedOn w:val="Normal"/>
    <w:uiPriority w:val="1"/>
    <w:qFormat/>
    <w:pPr>
      <w:numPr>
        <w:numId w:val="17"/>
      </w:numPr>
      <w:spacing w:line="360" w:lineRule="auto"/>
    </w:pPr>
  </w:style>
  <w:style w:type="paragraph" w:customStyle="1" w:styleId="LegalNumPar2">
    <w:name w:val="LegalNumPar2"/>
    <w:basedOn w:val="Normal"/>
    <w:uiPriority w:val="1"/>
    <w:pPr>
      <w:numPr>
        <w:ilvl w:val="1"/>
        <w:numId w:val="17"/>
      </w:numPr>
      <w:spacing w:line="360" w:lineRule="auto"/>
    </w:pPr>
  </w:style>
  <w:style w:type="paragraph" w:customStyle="1" w:styleId="LegalNumPar3">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customStyle="1" w:styleId="ListBulletLevel2">
    <w:name w:val="List Bullet (Level 2)"/>
    <w:basedOn w:val="Normal"/>
    <w:uiPriority w:val="1"/>
    <w:pPr>
      <w:numPr>
        <w:ilvl w:val="1"/>
        <w:numId w:val="15"/>
      </w:numPr>
    </w:pPr>
  </w:style>
  <w:style w:type="paragraph" w:customStyle="1" w:styleId="ListBulletLevel3">
    <w:name w:val="List Bullet (Level 3)"/>
    <w:basedOn w:val="Normal"/>
    <w:uiPriority w:val="1"/>
    <w:semiHidden/>
    <w:unhideWhenUsed/>
    <w:pPr>
      <w:numPr>
        <w:ilvl w:val="2"/>
        <w:numId w:val="15"/>
      </w:numPr>
    </w:pPr>
  </w:style>
  <w:style w:type="paragraph" w:customStyle="1" w:styleId="ListBulletLevel4">
    <w:name w:val="List Bullet (Level 4)"/>
    <w:basedOn w:val="Normal"/>
    <w:uiPriority w:val="1"/>
    <w:semiHidden/>
    <w:unhideWhenUsed/>
    <w:pPr>
      <w:numPr>
        <w:ilvl w:val="3"/>
        <w:numId w:val="15"/>
      </w:numPr>
    </w:pPr>
  </w:style>
  <w:style w:type="paragraph" w:customStyle="1" w:styleId="ListBullet1">
    <w:name w:val="List Bullet 1"/>
    <w:basedOn w:val="Text1"/>
    <w:uiPriority w:val="1"/>
    <w:pPr>
      <w:numPr>
        <w:numId w:val="1"/>
      </w:numPr>
    </w:pPr>
  </w:style>
  <w:style w:type="paragraph" w:customStyle="1" w:styleId="ListBullet1Level2">
    <w:name w:val="List Bullet 1 (Level 2)"/>
    <w:basedOn w:val="Text1"/>
    <w:uiPriority w:val="1"/>
    <w:pPr>
      <w:numPr>
        <w:ilvl w:val="1"/>
        <w:numId w:val="1"/>
      </w:numPr>
    </w:pPr>
  </w:style>
  <w:style w:type="paragraph" w:customStyle="1" w:styleId="ListBullet1Level3">
    <w:name w:val="List Bullet 1 (Level 3)"/>
    <w:basedOn w:val="Text1"/>
    <w:uiPriority w:val="1"/>
    <w:unhideWhenUsed/>
    <w:pPr>
      <w:numPr>
        <w:ilvl w:val="2"/>
        <w:numId w:val="1"/>
      </w:numPr>
    </w:pPr>
  </w:style>
  <w:style w:type="paragraph" w:customStyle="1" w:styleId="ListBullet1Level4">
    <w:name w:val="List Bullet 1 (Level 4)"/>
    <w:basedOn w:val="Text1"/>
    <w:uiPriority w:val="1"/>
    <w:unhideWhenUsed/>
    <w:pPr>
      <w:numPr>
        <w:ilvl w:val="3"/>
        <w:numId w:val="1"/>
      </w:numPr>
    </w:pPr>
  </w:style>
  <w:style w:type="paragraph" w:styleId="ListBullet2">
    <w:name w:val="List Bullet 2"/>
    <w:basedOn w:val="Text2"/>
    <w:uiPriority w:val="1"/>
    <w:pPr>
      <w:numPr>
        <w:numId w:val="23"/>
      </w:numPr>
      <w:tabs>
        <w:tab w:val="num" w:pos="1361"/>
      </w:tabs>
    </w:pPr>
  </w:style>
  <w:style w:type="paragraph" w:customStyle="1" w:styleId="ListBullet2Level2">
    <w:name w:val="List Bullet 2 (Level 2)"/>
    <w:basedOn w:val="Text2"/>
    <w:uiPriority w:val="1"/>
    <w:pPr>
      <w:numPr>
        <w:ilvl w:val="1"/>
        <w:numId w:val="14"/>
      </w:numPr>
    </w:pPr>
  </w:style>
  <w:style w:type="paragraph" w:customStyle="1" w:styleId="ListBullet2Level3">
    <w:name w:val="List Bullet 2 (Level 3)"/>
    <w:basedOn w:val="Text2"/>
    <w:uiPriority w:val="1"/>
    <w:unhideWhenUsed/>
    <w:pPr>
      <w:numPr>
        <w:ilvl w:val="2"/>
        <w:numId w:val="14"/>
      </w:numPr>
    </w:pPr>
  </w:style>
  <w:style w:type="paragraph" w:customStyle="1" w:styleId="ListBullet2Level4">
    <w:name w:val="List Bullet 2 (Level 4)"/>
    <w:basedOn w:val="Text2"/>
    <w:uiPriority w:val="1"/>
    <w:unhideWhenUsed/>
    <w:pPr>
      <w:numPr>
        <w:ilvl w:val="3"/>
        <w:numId w:val="14"/>
      </w:numPr>
    </w:pPr>
  </w:style>
  <w:style w:type="paragraph" w:styleId="ListBullet3">
    <w:name w:val="List Bullet 3"/>
    <w:basedOn w:val="Text3"/>
    <w:uiPriority w:val="1"/>
    <w:pPr>
      <w:numPr>
        <w:numId w:val="13"/>
      </w:numPr>
    </w:pPr>
  </w:style>
  <w:style w:type="paragraph" w:customStyle="1" w:styleId="ListBullet3Level2">
    <w:name w:val="List Bullet 3 (Level 2)"/>
    <w:basedOn w:val="Text3"/>
    <w:uiPriority w:val="1"/>
    <w:pPr>
      <w:numPr>
        <w:ilvl w:val="1"/>
        <w:numId w:val="13"/>
      </w:numPr>
    </w:pPr>
  </w:style>
  <w:style w:type="paragraph" w:customStyle="1" w:styleId="ListBullet3Level3">
    <w:name w:val="List Bullet 3 (Level 3)"/>
    <w:basedOn w:val="Text3"/>
    <w:uiPriority w:val="1"/>
    <w:unhideWhenUsed/>
    <w:pPr>
      <w:numPr>
        <w:ilvl w:val="2"/>
        <w:numId w:val="13"/>
      </w:numPr>
    </w:pPr>
  </w:style>
  <w:style w:type="paragraph" w:customStyle="1" w:styleId="ListBullet3Level4">
    <w:name w:val="List Bullet 3 (Level 4)"/>
    <w:basedOn w:val="Text3"/>
    <w:uiPriority w:val="1"/>
    <w:semiHidden/>
    <w:unhideWhenUsed/>
    <w:pPr>
      <w:numPr>
        <w:ilvl w:val="3"/>
        <w:numId w:val="13"/>
      </w:numPr>
    </w:pPr>
  </w:style>
  <w:style w:type="paragraph" w:styleId="ListBullet4">
    <w:name w:val="List Bullet 4"/>
    <w:basedOn w:val="Text4"/>
    <w:uiPriority w:val="1"/>
    <w:pPr>
      <w:numPr>
        <w:numId w:val="12"/>
      </w:numPr>
    </w:pPr>
  </w:style>
  <w:style w:type="paragraph" w:customStyle="1" w:styleId="ListBullet4Level2">
    <w:name w:val="List Bullet 4 (Level 2)"/>
    <w:basedOn w:val="Text4"/>
    <w:uiPriority w:val="1"/>
    <w:pPr>
      <w:numPr>
        <w:ilvl w:val="1"/>
        <w:numId w:val="12"/>
      </w:numPr>
    </w:pPr>
  </w:style>
  <w:style w:type="paragraph" w:customStyle="1" w:styleId="ListBullet4Level3">
    <w:name w:val="List Bullet 4 (Level 3)"/>
    <w:basedOn w:val="Text4"/>
    <w:uiPriority w:val="1"/>
    <w:semiHidden/>
    <w:unhideWhenUsed/>
    <w:pPr>
      <w:numPr>
        <w:ilvl w:val="2"/>
        <w:numId w:val="12"/>
      </w:numPr>
    </w:pPr>
  </w:style>
  <w:style w:type="paragraph" w:customStyle="1" w:styleId="ListBullet4Level4">
    <w:name w:val="List Bullet 4 (Level 4)"/>
    <w:basedOn w:val="Text4"/>
    <w:uiPriority w:val="1"/>
    <w:semiHidden/>
    <w:unhideWhenUsed/>
    <w:pPr>
      <w:numPr>
        <w:ilvl w:val="3"/>
        <w:numId w:val="12"/>
      </w:numPr>
    </w:pPr>
  </w:style>
  <w:style w:type="paragraph" w:customStyle="1" w:styleId="ListDash">
    <w:name w:val="List Dash"/>
    <w:basedOn w:val="Normal"/>
    <w:uiPriority w:val="1"/>
    <w:pPr>
      <w:numPr>
        <w:numId w:val="6"/>
      </w:numPr>
    </w:pPr>
  </w:style>
  <w:style w:type="paragraph" w:customStyle="1" w:styleId="ListDashLevel2">
    <w:name w:val="List Dash (Level 2)"/>
    <w:basedOn w:val="Normal"/>
    <w:uiPriority w:val="1"/>
    <w:pPr>
      <w:numPr>
        <w:ilvl w:val="1"/>
        <w:numId w:val="6"/>
      </w:numPr>
    </w:pPr>
  </w:style>
  <w:style w:type="paragraph" w:customStyle="1" w:styleId="ListDashLevel3">
    <w:name w:val="List Dash (Level 3)"/>
    <w:basedOn w:val="Normal"/>
    <w:uiPriority w:val="1"/>
    <w:semiHidden/>
    <w:unhideWhenUsed/>
    <w:pPr>
      <w:numPr>
        <w:ilvl w:val="2"/>
        <w:numId w:val="6"/>
      </w:numPr>
    </w:pPr>
  </w:style>
  <w:style w:type="paragraph" w:customStyle="1" w:styleId="ListDashLevel4">
    <w:name w:val="List Dash (Level 4)"/>
    <w:basedOn w:val="Normal"/>
    <w:uiPriority w:val="1"/>
    <w:semiHidden/>
    <w:unhideWhenUsed/>
    <w:pPr>
      <w:numPr>
        <w:ilvl w:val="3"/>
        <w:numId w:val="6"/>
      </w:numPr>
    </w:pPr>
  </w:style>
  <w:style w:type="paragraph" w:customStyle="1" w:styleId="ListDash1">
    <w:name w:val="List Dash 1"/>
    <w:basedOn w:val="Text1"/>
    <w:uiPriority w:val="1"/>
    <w:pPr>
      <w:numPr>
        <w:numId w:val="5"/>
      </w:numPr>
    </w:pPr>
  </w:style>
  <w:style w:type="paragraph" w:customStyle="1" w:styleId="ListDash1Level2">
    <w:name w:val="List Dash 1 (Level 2)"/>
    <w:basedOn w:val="Text1"/>
    <w:uiPriority w:val="1"/>
    <w:pPr>
      <w:numPr>
        <w:ilvl w:val="1"/>
        <w:numId w:val="5"/>
      </w:numPr>
    </w:pPr>
  </w:style>
  <w:style w:type="paragraph" w:customStyle="1" w:styleId="ListDash1Level3">
    <w:name w:val="List Dash 1 (Level 3)"/>
    <w:basedOn w:val="Text1"/>
    <w:uiPriority w:val="1"/>
    <w:semiHidden/>
    <w:unhideWhenUsed/>
    <w:pPr>
      <w:numPr>
        <w:ilvl w:val="2"/>
        <w:numId w:val="5"/>
      </w:numPr>
    </w:pPr>
  </w:style>
  <w:style w:type="paragraph" w:customStyle="1" w:styleId="ListDash1Level4">
    <w:name w:val="List Dash 1 (Level 4)"/>
    <w:basedOn w:val="Text1"/>
    <w:uiPriority w:val="1"/>
    <w:semiHidden/>
    <w:unhideWhenUsed/>
    <w:pPr>
      <w:numPr>
        <w:ilvl w:val="3"/>
        <w:numId w:val="5"/>
      </w:numPr>
    </w:pPr>
  </w:style>
  <w:style w:type="paragraph" w:customStyle="1" w:styleId="ListDash2">
    <w:name w:val="List Dash 2"/>
    <w:basedOn w:val="Text2"/>
    <w:uiPriority w:val="1"/>
    <w:pPr>
      <w:numPr>
        <w:numId w:val="4"/>
      </w:numPr>
    </w:pPr>
  </w:style>
  <w:style w:type="paragraph" w:customStyle="1" w:styleId="ListDash2Level2">
    <w:name w:val="List Dash 2 (Level 2)"/>
    <w:basedOn w:val="Text2"/>
    <w:uiPriority w:val="1"/>
    <w:pPr>
      <w:numPr>
        <w:ilvl w:val="1"/>
        <w:numId w:val="4"/>
      </w:numPr>
    </w:pPr>
  </w:style>
  <w:style w:type="paragraph" w:customStyle="1" w:styleId="ListDash2Level3">
    <w:name w:val="List Dash 2 (Level 3)"/>
    <w:basedOn w:val="Text2"/>
    <w:uiPriority w:val="1"/>
    <w:unhideWhenUsed/>
    <w:pPr>
      <w:numPr>
        <w:ilvl w:val="2"/>
        <w:numId w:val="4"/>
      </w:numPr>
    </w:pPr>
  </w:style>
  <w:style w:type="paragraph" w:customStyle="1" w:styleId="ListDash2Level4">
    <w:name w:val="List Dash 2 (Level 4)"/>
    <w:basedOn w:val="Text2"/>
    <w:uiPriority w:val="1"/>
    <w:unhideWhenUsed/>
    <w:pPr>
      <w:numPr>
        <w:ilvl w:val="3"/>
        <w:numId w:val="4"/>
      </w:numPr>
    </w:pPr>
  </w:style>
  <w:style w:type="paragraph" w:customStyle="1" w:styleId="ListDash3">
    <w:name w:val="List Dash 3"/>
    <w:basedOn w:val="Text3"/>
    <w:uiPriority w:val="1"/>
    <w:pPr>
      <w:numPr>
        <w:numId w:val="3"/>
      </w:numPr>
    </w:pPr>
  </w:style>
  <w:style w:type="paragraph" w:customStyle="1" w:styleId="ListDash3Level2">
    <w:name w:val="List Dash 3 (Level 2)"/>
    <w:basedOn w:val="Text3"/>
    <w:uiPriority w:val="1"/>
    <w:pPr>
      <w:numPr>
        <w:ilvl w:val="1"/>
        <w:numId w:val="3"/>
      </w:numPr>
    </w:pPr>
  </w:style>
  <w:style w:type="paragraph" w:customStyle="1" w:styleId="ListDash3Level3">
    <w:name w:val="List Dash 3 (Level 3)"/>
    <w:basedOn w:val="Text3"/>
    <w:uiPriority w:val="1"/>
    <w:semiHidden/>
    <w:unhideWhenUsed/>
    <w:pPr>
      <w:numPr>
        <w:ilvl w:val="2"/>
        <w:numId w:val="3"/>
      </w:numPr>
    </w:pPr>
  </w:style>
  <w:style w:type="paragraph" w:customStyle="1" w:styleId="ListDash3Level4">
    <w:name w:val="List Dash 3 (Level 4)"/>
    <w:basedOn w:val="Text3"/>
    <w:uiPriority w:val="1"/>
    <w:semiHidden/>
    <w:unhideWhenUsed/>
    <w:pPr>
      <w:numPr>
        <w:ilvl w:val="3"/>
        <w:numId w:val="3"/>
      </w:numPr>
    </w:pPr>
  </w:style>
  <w:style w:type="paragraph" w:customStyle="1" w:styleId="ListDash4">
    <w:name w:val="List Dash 4"/>
    <w:basedOn w:val="Text4"/>
    <w:uiPriority w:val="1"/>
    <w:pPr>
      <w:numPr>
        <w:numId w:val="2"/>
      </w:numPr>
    </w:pPr>
  </w:style>
  <w:style w:type="paragraph" w:customStyle="1" w:styleId="ListDash4Level2">
    <w:name w:val="List Dash 4 (Level 2)"/>
    <w:basedOn w:val="Text4"/>
    <w:uiPriority w:val="1"/>
    <w:pPr>
      <w:numPr>
        <w:ilvl w:val="1"/>
        <w:numId w:val="2"/>
      </w:numPr>
    </w:pPr>
  </w:style>
  <w:style w:type="paragraph" w:customStyle="1" w:styleId="ListDash4Level3">
    <w:name w:val="List Dash 4 (Level 3)"/>
    <w:basedOn w:val="Text4"/>
    <w:uiPriority w:val="1"/>
    <w:semiHidden/>
    <w:unhideWhenUsed/>
    <w:pPr>
      <w:numPr>
        <w:ilvl w:val="2"/>
        <w:numId w:val="2"/>
      </w:numPr>
    </w:pPr>
  </w:style>
  <w:style w:type="paragraph" w:customStyle="1" w:styleId="ListDash4Level4">
    <w:name w:val="List Dash 4 (Level 4)"/>
    <w:basedOn w:val="Text4"/>
    <w:uiPriority w:val="1"/>
    <w:semiHidden/>
    <w:unhideWhenUsed/>
    <w:pPr>
      <w:numPr>
        <w:ilvl w:val="3"/>
        <w:numId w:val="2"/>
      </w:numPr>
    </w:pPr>
  </w:style>
  <w:style w:type="paragraph" w:styleId="ListNumber">
    <w:name w:val="List Number"/>
    <w:basedOn w:val="Normal"/>
    <w:uiPriority w:val="1"/>
    <w:pPr>
      <w:numPr>
        <w:numId w:val="11"/>
      </w:numPr>
    </w:pPr>
  </w:style>
  <w:style w:type="paragraph" w:customStyle="1" w:styleId="ListNumberLevel2">
    <w:name w:val="List Number (Level 2)"/>
    <w:basedOn w:val="Normal"/>
    <w:uiPriority w:val="1"/>
    <w:pPr>
      <w:numPr>
        <w:ilvl w:val="1"/>
        <w:numId w:val="11"/>
      </w:numPr>
    </w:pPr>
  </w:style>
  <w:style w:type="paragraph" w:customStyle="1" w:styleId="ListNumberLevel3">
    <w:name w:val="List Number (Level 3)"/>
    <w:basedOn w:val="Normal"/>
    <w:uiPriority w:val="1"/>
    <w:semiHidden/>
    <w:unhideWhenUsed/>
    <w:pPr>
      <w:numPr>
        <w:ilvl w:val="2"/>
        <w:numId w:val="11"/>
      </w:numPr>
    </w:pPr>
  </w:style>
  <w:style w:type="paragraph" w:customStyle="1" w:styleId="ListNumberLevel4">
    <w:name w:val="List Number (Level 4)"/>
    <w:basedOn w:val="Normal"/>
    <w:uiPriority w:val="1"/>
    <w:semiHidden/>
    <w:unhideWhenUsed/>
    <w:pPr>
      <w:numPr>
        <w:ilvl w:val="3"/>
        <w:numId w:val="11"/>
      </w:numPr>
    </w:pPr>
  </w:style>
  <w:style w:type="paragraph" w:customStyle="1" w:styleId="ListNumber1">
    <w:name w:val="List Number 1"/>
    <w:basedOn w:val="Text1"/>
    <w:uiPriority w:val="1"/>
    <w:pPr>
      <w:numPr>
        <w:numId w:val="10"/>
      </w:numPr>
    </w:pPr>
  </w:style>
  <w:style w:type="paragraph" w:customStyle="1" w:styleId="ListNumber1Level2">
    <w:name w:val="List Number 1 (Level 2)"/>
    <w:basedOn w:val="Text1"/>
    <w:uiPriority w:val="1"/>
    <w:pPr>
      <w:numPr>
        <w:ilvl w:val="1"/>
        <w:numId w:val="10"/>
      </w:numPr>
    </w:pPr>
  </w:style>
  <w:style w:type="paragraph" w:customStyle="1" w:styleId="ListNumber1Level3">
    <w:name w:val="List Number 1 (Level 3)"/>
    <w:basedOn w:val="Text1"/>
    <w:uiPriority w:val="1"/>
    <w:semiHidden/>
    <w:unhideWhenUsed/>
    <w:pPr>
      <w:numPr>
        <w:ilvl w:val="2"/>
        <w:numId w:val="10"/>
      </w:numPr>
    </w:pPr>
  </w:style>
  <w:style w:type="paragraph" w:customStyle="1" w:styleId="ListNumber1Level4">
    <w:name w:val="List Number 1 (Level 4)"/>
    <w:basedOn w:val="Text1"/>
    <w:uiPriority w:val="1"/>
    <w:semiHidden/>
    <w:unhideWhenUsed/>
    <w:pPr>
      <w:numPr>
        <w:ilvl w:val="3"/>
        <w:numId w:val="10"/>
      </w:numPr>
    </w:pPr>
  </w:style>
  <w:style w:type="paragraph" w:styleId="ListNumber2">
    <w:name w:val="List Number 2"/>
    <w:basedOn w:val="Text2"/>
    <w:uiPriority w:val="1"/>
    <w:pPr>
      <w:numPr>
        <w:numId w:val="9"/>
      </w:numPr>
    </w:pPr>
  </w:style>
  <w:style w:type="paragraph" w:customStyle="1" w:styleId="ListNumber2Level2">
    <w:name w:val="List Number 2 (Level 2)"/>
    <w:basedOn w:val="Text2"/>
    <w:uiPriority w:val="1"/>
    <w:pPr>
      <w:numPr>
        <w:ilvl w:val="1"/>
        <w:numId w:val="9"/>
      </w:numPr>
    </w:pPr>
  </w:style>
  <w:style w:type="paragraph" w:customStyle="1" w:styleId="ListNumber2Level3">
    <w:name w:val="List Number 2 (Level 3)"/>
    <w:basedOn w:val="Text2"/>
    <w:uiPriority w:val="1"/>
    <w:semiHidden/>
    <w:unhideWhenUsed/>
    <w:pPr>
      <w:numPr>
        <w:ilvl w:val="2"/>
        <w:numId w:val="9"/>
      </w:numPr>
    </w:pPr>
  </w:style>
  <w:style w:type="paragraph" w:customStyle="1" w:styleId="ListNumber2Level4">
    <w:name w:val="List Number 2 (Level 4)"/>
    <w:basedOn w:val="Text2"/>
    <w:uiPriority w:val="1"/>
    <w:semiHidden/>
    <w:unhideWhenUsed/>
    <w:pPr>
      <w:numPr>
        <w:ilvl w:val="3"/>
        <w:numId w:val="9"/>
      </w:numPr>
    </w:pPr>
  </w:style>
  <w:style w:type="paragraph" w:styleId="ListNumber3">
    <w:name w:val="List Number 3"/>
    <w:basedOn w:val="Text3"/>
    <w:uiPriority w:val="1"/>
    <w:pPr>
      <w:numPr>
        <w:numId w:val="8"/>
      </w:numPr>
    </w:pPr>
  </w:style>
  <w:style w:type="paragraph" w:customStyle="1" w:styleId="ListNumber3Level2">
    <w:name w:val="List Number 3 (Level 2)"/>
    <w:basedOn w:val="Text3"/>
    <w:uiPriority w:val="1"/>
    <w:pPr>
      <w:numPr>
        <w:ilvl w:val="1"/>
        <w:numId w:val="8"/>
      </w:numPr>
    </w:pPr>
  </w:style>
  <w:style w:type="paragraph" w:customStyle="1" w:styleId="ListNumber3Level3">
    <w:name w:val="List Number 3 (Level 3)"/>
    <w:basedOn w:val="Text3"/>
    <w:uiPriority w:val="1"/>
    <w:semiHidden/>
    <w:unhideWhenUsed/>
    <w:pPr>
      <w:numPr>
        <w:ilvl w:val="2"/>
        <w:numId w:val="8"/>
      </w:numPr>
    </w:pPr>
  </w:style>
  <w:style w:type="paragraph" w:customStyle="1" w:styleId="ListNumber3Level4">
    <w:name w:val="List Number 3 (Level 4)"/>
    <w:basedOn w:val="Text3"/>
    <w:uiPriority w:val="1"/>
    <w:semiHidden/>
    <w:unhideWhenUsed/>
    <w:pPr>
      <w:numPr>
        <w:ilvl w:val="3"/>
        <w:numId w:val="8"/>
      </w:numPr>
    </w:pPr>
  </w:style>
  <w:style w:type="paragraph" w:styleId="ListNumber4">
    <w:name w:val="List Number 4"/>
    <w:basedOn w:val="Text4"/>
    <w:uiPriority w:val="1"/>
    <w:pPr>
      <w:numPr>
        <w:numId w:val="7"/>
      </w:numPr>
    </w:pPr>
  </w:style>
  <w:style w:type="paragraph" w:customStyle="1" w:styleId="ListNumber4Level2">
    <w:name w:val="List Number 4 (Level 2)"/>
    <w:basedOn w:val="Text4"/>
    <w:uiPriority w:val="1"/>
    <w:pPr>
      <w:numPr>
        <w:ilvl w:val="1"/>
        <w:numId w:val="7"/>
      </w:numPr>
    </w:pPr>
  </w:style>
  <w:style w:type="paragraph" w:customStyle="1" w:styleId="ListNumber4Level3">
    <w:name w:val="List Number 4 (Level 3)"/>
    <w:basedOn w:val="Text4"/>
    <w:uiPriority w:val="1"/>
    <w:semiHidden/>
    <w:unhideWhenUsed/>
    <w:pPr>
      <w:numPr>
        <w:ilvl w:val="2"/>
        <w:numId w:val="7"/>
      </w:numPr>
    </w:pPr>
  </w:style>
  <w:style w:type="paragraph" w:customStyle="1" w:styleId="ListNumber4Level4">
    <w:name w:val="List Number 4 (Level 4)"/>
    <w:basedOn w:val="Text4"/>
    <w:uiPriority w:val="1"/>
    <w:semiHidden/>
    <w:unhideWhenUsed/>
    <w:pPr>
      <w:numPr>
        <w:ilvl w:val="3"/>
        <w:numId w:val="7"/>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567"/>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20"/>
      </w:numPr>
    </w:pPr>
  </w:style>
  <w:style w:type="paragraph" w:customStyle="1" w:styleId="TableListBulletLevel2">
    <w:name w:val="Table List Bullet (Level 2)"/>
    <w:basedOn w:val="TableText"/>
    <w:uiPriority w:val="1"/>
    <w:pPr>
      <w:numPr>
        <w:ilvl w:val="1"/>
        <w:numId w:val="20"/>
      </w:numPr>
    </w:pPr>
  </w:style>
  <w:style w:type="paragraph" w:customStyle="1" w:styleId="TableListBulletLevel3">
    <w:name w:val="Table List Bullet (Level 3)"/>
    <w:basedOn w:val="TableText"/>
    <w:uiPriority w:val="1"/>
    <w:semiHidden/>
    <w:unhideWhenUsed/>
    <w:pPr>
      <w:numPr>
        <w:ilvl w:val="2"/>
        <w:numId w:val="20"/>
      </w:numPr>
    </w:pPr>
  </w:style>
  <w:style w:type="paragraph" w:customStyle="1" w:styleId="TableListBulletLevel4">
    <w:name w:val="Table List Bullet (Level 4)"/>
    <w:basedOn w:val="TableText"/>
    <w:uiPriority w:val="1"/>
    <w:semiHidden/>
    <w:unhideWhenUsed/>
    <w:pPr>
      <w:numPr>
        <w:ilvl w:val="3"/>
        <w:numId w:val="20"/>
      </w:numPr>
    </w:pPr>
  </w:style>
  <w:style w:type="paragraph" w:customStyle="1" w:styleId="TableListDash">
    <w:name w:val="Table List Dash"/>
    <w:basedOn w:val="TableText"/>
    <w:uiPriority w:val="1"/>
    <w:pPr>
      <w:numPr>
        <w:numId w:val="21"/>
      </w:numPr>
    </w:pPr>
  </w:style>
  <w:style w:type="paragraph" w:customStyle="1" w:styleId="TableListDashLevel2">
    <w:name w:val="Table List Dash (Level 2)"/>
    <w:basedOn w:val="TableText"/>
    <w:uiPriority w:val="1"/>
    <w:pPr>
      <w:numPr>
        <w:ilvl w:val="1"/>
        <w:numId w:val="21"/>
      </w:numPr>
    </w:pPr>
  </w:style>
  <w:style w:type="paragraph" w:customStyle="1" w:styleId="TableListDashLevel3">
    <w:name w:val="Table List Dash (Level 3)"/>
    <w:basedOn w:val="TableText"/>
    <w:uiPriority w:val="1"/>
    <w:semiHidden/>
    <w:unhideWhenUsed/>
    <w:pPr>
      <w:numPr>
        <w:ilvl w:val="2"/>
        <w:numId w:val="21"/>
      </w:numPr>
    </w:pPr>
  </w:style>
  <w:style w:type="paragraph" w:customStyle="1" w:styleId="TableListDashLevel4">
    <w:name w:val="Table List Dash (Level 4)"/>
    <w:basedOn w:val="TableText"/>
    <w:uiPriority w:val="1"/>
    <w:semiHidden/>
    <w:unhideWhenUsed/>
    <w:pPr>
      <w:numPr>
        <w:ilvl w:val="3"/>
        <w:numId w:val="21"/>
      </w:numPr>
    </w:pPr>
  </w:style>
  <w:style w:type="paragraph" w:customStyle="1" w:styleId="TableListNumber">
    <w:name w:val="Table List Number"/>
    <w:basedOn w:val="TableText"/>
    <w:uiPriority w:val="1"/>
    <w:pPr>
      <w:numPr>
        <w:numId w:val="22"/>
      </w:numPr>
    </w:pPr>
  </w:style>
  <w:style w:type="paragraph" w:customStyle="1" w:styleId="TableListNumberLevel2">
    <w:name w:val="Table List Number (Level 2)"/>
    <w:basedOn w:val="TableText"/>
    <w:uiPriority w:val="1"/>
    <w:pPr>
      <w:numPr>
        <w:ilvl w:val="1"/>
        <w:numId w:val="22"/>
      </w:numPr>
    </w:pPr>
  </w:style>
  <w:style w:type="paragraph" w:customStyle="1" w:styleId="TableListNumberLevel3">
    <w:name w:val="Table List Number (Level 3)"/>
    <w:basedOn w:val="TableText"/>
    <w:uiPriority w:val="1"/>
    <w:semiHidden/>
    <w:unhideWhenUsed/>
    <w:pPr>
      <w:numPr>
        <w:ilvl w:val="2"/>
        <w:numId w:val="22"/>
      </w:numPr>
    </w:pPr>
  </w:style>
  <w:style w:type="paragraph" w:customStyle="1" w:styleId="TableListNumberLevel4">
    <w:name w:val="Table List Number (Level 4)"/>
    <w:basedOn w:val="TableText"/>
    <w:uiPriority w:val="1"/>
    <w:semiHidden/>
    <w:unhideWhenUsed/>
    <w:pPr>
      <w:numPr>
        <w:ilvl w:val="3"/>
        <w:numId w:val="2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CommentSubject">
    <w:name w:val="annotation subject"/>
    <w:basedOn w:val="CommentText"/>
    <w:next w:val="CommentText"/>
    <w:link w:val="CommentSubjectChar"/>
    <w:semiHidden/>
    <w:locked/>
    <w:rsid w:val="00AE43F5"/>
    <w:pPr>
      <w:spacing w:after="240"/>
      <w:jc w:val="both"/>
    </w:pPr>
    <w:rPr>
      <w:rFonts w:ascii="Times New Roman" w:eastAsia="Times New Roman" w:hAnsi="Times New Roman"/>
      <w:b/>
      <w:bCs/>
      <w:lang w:eastAsia="en-IE"/>
    </w:rPr>
  </w:style>
  <w:style w:type="character" w:customStyle="1" w:styleId="CommentSubjectChar">
    <w:name w:val="Comment Subject Char"/>
    <w:basedOn w:val="CommentTextChar"/>
    <w:link w:val="CommentSubject"/>
    <w:semiHidden/>
    <w:rsid w:val="00AE43F5"/>
    <w:rPr>
      <w:rFonts w:ascii="Calibri" w:eastAsia="Calibri" w:hAnsi="Calibri"/>
      <w:b/>
      <w:bCs/>
      <w:sz w:val="20"/>
      <w:lang w:val="fr-FR" w:eastAsia="en-GB"/>
    </w:rPr>
  </w:style>
  <w:style w:type="character" w:customStyle="1" w:styleId="Heading2Char">
    <w:name w:val="Heading 2 Char"/>
    <w:basedOn w:val="DefaultParagraphFont"/>
    <w:link w:val="Heading2"/>
    <w:uiPriority w:val="1"/>
    <w:rsid w:val="00177CAF"/>
    <w:rPr>
      <w:b/>
    </w:rPr>
  </w:style>
  <w:style w:type="paragraph" w:styleId="Revision">
    <w:name w:val="Revision"/>
    <w:hidden/>
    <w:semiHidden/>
    <w:locked/>
    <w:rsid w:val="003C67A7"/>
  </w:style>
  <w:style w:type="character" w:styleId="Hyperlink">
    <w:name w:val="Hyperlink"/>
    <w:basedOn w:val="DefaultParagraphFont"/>
    <w:uiPriority w:val="99"/>
    <w:unhideWhenUsed/>
    <w:locked/>
    <w:rsid w:val="004F6426"/>
    <w:rPr>
      <w:color w:val="0000FF"/>
      <w:u w:val="singl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ListParagraph"/>
    <w:uiPriority w:val="34"/>
    <w:qFormat/>
    <w:locked/>
    <w:rsid w:val="00C00A1C"/>
    <w:rPr>
      <w:rFonts w:ascii="Calibri" w:eastAsia="Calibri" w:hAnsi="Calibri"/>
      <w:sz w:val="22"/>
      <w:szCs w:val="22"/>
      <w:lang w:eastAsia="en-GB"/>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Ref"/>
    <w:basedOn w:val="DefaultParagraphFont"/>
    <w:uiPriority w:val="99"/>
    <w:qFormat/>
    <w:locked/>
    <w:rsid w:val="005A19DA"/>
    <w:rPr>
      <w:vertAlign w:val="superscript"/>
    </w:rPr>
  </w:style>
  <w:style w:type="character" w:customStyle="1" w:styleId="highlight">
    <w:name w:val="highlight"/>
    <w:basedOn w:val="DefaultParagraphFont"/>
    <w:rsid w:val="00EE4C77"/>
  </w:style>
  <w:style w:type="paragraph" w:styleId="NormalWeb">
    <w:name w:val="Normal (Web)"/>
    <w:basedOn w:val="Normal"/>
    <w:uiPriority w:val="99"/>
    <w:unhideWhenUsed/>
    <w:locked/>
    <w:rsid w:val="002A7C21"/>
    <w:pPr>
      <w:spacing w:before="100" w:beforeAutospacing="1" w:after="100" w:afterAutospacing="1"/>
      <w:jc w:val="left"/>
    </w:pPr>
    <w:rPr>
      <w:szCs w:val="24"/>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rsid w:val="002A7C21"/>
    <w:rPr>
      <w:sz w:val="20"/>
    </w:rPr>
  </w:style>
  <w:style w:type="character" w:customStyle="1" w:styleId="markedcontent">
    <w:name w:val="markedcontent"/>
    <w:basedOn w:val="DefaultParagraphFont"/>
    <w:rsid w:val="00491D14"/>
  </w:style>
  <w:style w:type="paragraph" w:customStyle="1" w:styleId="Point0number">
    <w:name w:val="Point 0 (number)"/>
    <w:basedOn w:val="Normal"/>
    <w:rsid w:val="008F15F0"/>
    <w:pPr>
      <w:numPr>
        <w:numId w:val="25"/>
      </w:numPr>
      <w:spacing w:before="120" w:after="120"/>
    </w:pPr>
    <w:rPr>
      <w:rFonts w:eastAsiaTheme="minorHAnsi"/>
      <w:szCs w:val="22"/>
      <w:lang w:eastAsia="en-US"/>
    </w:rPr>
  </w:style>
  <w:style w:type="paragraph" w:customStyle="1" w:styleId="Point1number">
    <w:name w:val="Point 1 (number)"/>
    <w:basedOn w:val="Normal"/>
    <w:rsid w:val="008F15F0"/>
    <w:pPr>
      <w:numPr>
        <w:ilvl w:val="2"/>
        <w:numId w:val="25"/>
      </w:numPr>
      <w:spacing w:before="120" w:after="120"/>
    </w:pPr>
    <w:rPr>
      <w:rFonts w:eastAsiaTheme="minorHAnsi"/>
      <w:szCs w:val="22"/>
      <w:lang w:eastAsia="en-US"/>
    </w:rPr>
  </w:style>
  <w:style w:type="paragraph" w:customStyle="1" w:styleId="Point2number">
    <w:name w:val="Point 2 (number)"/>
    <w:basedOn w:val="Normal"/>
    <w:rsid w:val="008F15F0"/>
    <w:pPr>
      <w:numPr>
        <w:ilvl w:val="4"/>
        <w:numId w:val="25"/>
      </w:numPr>
      <w:spacing w:before="120" w:after="120"/>
    </w:pPr>
    <w:rPr>
      <w:rFonts w:eastAsiaTheme="minorHAnsi"/>
      <w:szCs w:val="22"/>
      <w:lang w:eastAsia="en-US"/>
    </w:rPr>
  </w:style>
  <w:style w:type="paragraph" w:customStyle="1" w:styleId="Point3number">
    <w:name w:val="Point 3 (number)"/>
    <w:basedOn w:val="Normal"/>
    <w:rsid w:val="008F15F0"/>
    <w:pPr>
      <w:numPr>
        <w:ilvl w:val="6"/>
        <w:numId w:val="25"/>
      </w:numPr>
      <w:spacing w:before="120" w:after="120"/>
    </w:pPr>
    <w:rPr>
      <w:rFonts w:eastAsiaTheme="minorHAnsi"/>
      <w:szCs w:val="22"/>
      <w:lang w:eastAsia="en-US"/>
    </w:rPr>
  </w:style>
  <w:style w:type="paragraph" w:customStyle="1" w:styleId="Point0letter">
    <w:name w:val="Point 0 (letter)"/>
    <w:basedOn w:val="Normal"/>
    <w:rsid w:val="008F15F0"/>
    <w:pPr>
      <w:numPr>
        <w:ilvl w:val="1"/>
        <w:numId w:val="25"/>
      </w:numPr>
      <w:spacing w:before="120" w:after="120"/>
    </w:pPr>
    <w:rPr>
      <w:rFonts w:eastAsiaTheme="minorHAnsi"/>
      <w:szCs w:val="22"/>
      <w:lang w:eastAsia="en-US"/>
    </w:rPr>
  </w:style>
  <w:style w:type="paragraph" w:customStyle="1" w:styleId="Point1letter">
    <w:name w:val="Point 1 (letter)"/>
    <w:basedOn w:val="Normal"/>
    <w:rsid w:val="008F15F0"/>
    <w:pPr>
      <w:numPr>
        <w:ilvl w:val="3"/>
        <w:numId w:val="25"/>
      </w:numPr>
      <w:spacing w:before="120" w:after="120"/>
    </w:pPr>
    <w:rPr>
      <w:rFonts w:eastAsiaTheme="minorHAnsi"/>
      <w:szCs w:val="22"/>
      <w:lang w:eastAsia="en-US"/>
    </w:rPr>
  </w:style>
  <w:style w:type="paragraph" w:customStyle="1" w:styleId="Point2letter">
    <w:name w:val="Point 2 (letter)"/>
    <w:basedOn w:val="Normal"/>
    <w:rsid w:val="008F15F0"/>
    <w:pPr>
      <w:numPr>
        <w:ilvl w:val="5"/>
        <w:numId w:val="25"/>
      </w:numPr>
      <w:spacing w:before="120" w:after="120"/>
    </w:pPr>
    <w:rPr>
      <w:rFonts w:eastAsiaTheme="minorHAnsi"/>
      <w:szCs w:val="22"/>
      <w:lang w:eastAsia="en-US"/>
    </w:rPr>
  </w:style>
  <w:style w:type="paragraph" w:customStyle="1" w:styleId="Point3letter">
    <w:name w:val="Point 3 (letter)"/>
    <w:basedOn w:val="Normal"/>
    <w:rsid w:val="008F15F0"/>
    <w:pPr>
      <w:numPr>
        <w:ilvl w:val="7"/>
        <w:numId w:val="25"/>
      </w:numPr>
      <w:spacing w:before="120" w:after="120"/>
    </w:pPr>
    <w:rPr>
      <w:rFonts w:eastAsiaTheme="minorHAnsi"/>
      <w:szCs w:val="22"/>
      <w:lang w:eastAsia="en-US"/>
    </w:rPr>
  </w:style>
  <w:style w:type="paragraph" w:customStyle="1" w:styleId="Point4letter">
    <w:name w:val="Point 4 (letter)"/>
    <w:basedOn w:val="Normal"/>
    <w:rsid w:val="008F15F0"/>
    <w:pPr>
      <w:numPr>
        <w:ilvl w:val="8"/>
        <w:numId w:val="25"/>
      </w:numPr>
      <w:spacing w:before="120" w:after="120"/>
    </w:pPr>
    <w:rPr>
      <w:rFonts w:eastAsiaTheme="minorHAnsi"/>
      <w:szCs w:val="22"/>
      <w:lang w:eastAsia="en-US"/>
    </w:rPr>
  </w:style>
  <w:style w:type="character" w:customStyle="1" w:styleId="ui-provider">
    <w:name w:val="ui-provider"/>
    <w:basedOn w:val="DefaultParagraphFont"/>
    <w:rsid w:val="008E7E3B"/>
  </w:style>
  <w:style w:type="character" w:customStyle="1" w:styleId="cf01">
    <w:name w:val="cf01"/>
    <w:basedOn w:val="DefaultParagraphFont"/>
    <w:rsid w:val="002F4680"/>
    <w:rPr>
      <w:rFonts w:ascii="Segoe UI" w:hAnsi="Segoe UI" w:cs="Segoe UI" w:hint="default"/>
      <w:sz w:val="18"/>
      <w:szCs w:val="18"/>
    </w:rPr>
  </w:style>
  <w:style w:type="character" w:customStyle="1" w:styleId="Heading3Char">
    <w:name w:val="Heading 3 Char"/>
    <w:basedOn w:val="DefaultParagraphFont"/>
    <w:link w:val="Heading3"/>
    <w:uiPriority w:val="1"/>
    <w:rsid w:val="00683A3E"/>
    <w:rPr>
      <w:i/>
    </w:rPr>
  </w:style>
  <w:style w:type="character" w:customStyle="1" w:styleId="Heading4Char">
    <w:name w:val="Heading 4 Char"/>
    <w:basedOn w:val="DefaultParagraphFont"/>
    <w:link w:val="Heading4"/>
    <w:uiPriority w:val="1"/>
    <w:rsid w:val="00683A3E"/>
  </w:style>
  <w:style w:type="character" w:customStyle="1" w:styleId="UnresolvedMention">
    <w:name w:val="Unresolved Mention"/>
    <w:basedOn w:val="DefaultParagraphFont"/>
    <w:semiHidden/>
    <w:locked/>
    <w:rsid w:val="002B2D96"/>
    <w:rPr>
      <w:color w:val="605E5C"/>
      <w:shd w:val="clear" w:color="auto" w:fill="E1DFDD"/>
    </w:rPr>
  </w:style>
  <w:style w:type="paragraph" w:customStyle="1" w:styleId="pf0">
    <w:name w:val="pf0"/>
    <w:basedOn w:val="Normal"/>
    <w:rsid w:val="00211013"/>
    <w:pPr>
      <w:spacing w:before="100" w:beforeAutospacing="1" w:after="100" w:afterAutospacing="1"/>
      <w:jc w:val="left"/>
    </w:pPr>
    <w:rPr>
      <w:szCs w:val="24"/>
    </w:rPr>
  </w:style>
  <w:style w:type="paragraph" w:customStyle="1" w:styleId="pf2">
    <w:name w:val="pf2"/>
    <w:basedOn w:val="Normal"/>
    <w:rsid w:val="00211013"/>
    <w:pPr>
      <w:spacing w:before="100" w:beforeAutospacing="1" w:after="100" w:afterAutospacing="1"/>
      <w:jc w:val="left"/>
    </w:pPr>
    <w:rPr>
      <w:szCs w:val="24"/>
    </w:rPr>
  </w:style>
  <w:style w:type="character" w:customStyle="1" w:styleId="cf11">
    <w:name w:val="cf11"/>
    <w:basedOn w:val="DefaultParagraphFont"/>
    <w:rsid w:val="00211013"/>
    <w:rPr>
      <w:rFonts w:ascii="Segoe UI" w:hAnsi="Segoe UI" w:cs="Segoe UI" w:hint="default"/>
      <w:sz w:val="18"/>
      <w:szCs w:val="18"/>
    </w:rPr>
  </w:style>
  <w:style w:type="paragraph" w:customStyle="1" w:styleId="pf1">
    <w:name w:val="pf1"/>
    <w:basedOn w:val="Normal"/>
    <w:rsid w:val="00211013"/>
    <w:pPr>
      <w:spacing w:before="100" w:beforeAutospacing="1" w:after="100" w:afterAutospacing="1"/>
      <w:jc w:val="left"/>
    </w:pPr>
    <w:rPr>
      <w:szCs w:val="24"/>
    </w:rPr>
  </w:style>
  <w:style w:type="character" w:customStyle="1" w:styleId="cf31">
    <w:name w:val="cf31"/>
    <w:basedOn w:val="DefaultParagraphFont"/>
    <w:rsid w:val="00211013"/>
    <w:rPr>
      <w:rFonts w:ascii="Segoe UI" w:hAnsi="Segoe UI" w:cs="Segoe UI" w:hint="default"/>
      <w:color w:val="00B050"/>
      <w:sz w:val="18"/>
      <w:szCs w:val="18"/>
      <w:shd w:val="clear" w:color="auto" w:fill="FFFF00"/>
    </w:rPr>
  </w:style>
  <w:style w:type="character" w:customStyle="1" w:styleId="scxw60786780">
    <w:name w:val="scxw60786780"/>
    <w:basedOn w:val="DefaultParagraphFont"/>
    <w:rsid w:val="005D2CAB"/>
  </w:style>
  <w:style w:type="character" w:customStyle="1" w:styleId="tabchar">
    <w:name w:val="tabchar"/>
    <w:basedOn w:val="DefaultParagraphFont"/>
    <w:rsid w:val="005D2CAB"/>
  </w:style>
  <w:style w:type="character" w:customStyle="1" w:styleId="scxw261213091">
    <w:name w:val="scxw261213091"/>
    <w:basedOn w:val="DefaultParagraphFont"/>
    <w:rsid w:val="00D97E15"/>
  </w:style>
  <w:style w:type="character" w:customStyle="1" w:styleId="scxw155313215">
    <w:name w:val="scxw155313215"/>
    <w:basedOn w:val="DefaultParagraphFont"/>
    <w:rsid w:val="00386E31"/>
  </w:style>
  <w:style w:type="character" w:customStyle="1" w:styleId="Mention">
    <w:name w:val="Mention"/>
    <w:basedOn w:val="DefaultParagraphFont"/>
    <w:semiHidden/>
    <w:locked/>
    <w:rsid w:val="006503F8"/>
    <w:rPr>
      <w:color w:val="2B579A"/>
      <w:shd w:val="clear" w:color="auto" w:fill="E1DFDD"/>
    </w:rPr>
  </w:style>
  <w:style w:type="character" w:styleId="FollowedHyperlink">
    <w:name w:val="FollowedHyperlink"/>
    <w:basedOn w:val="DefaultParagraphFont"/>
    <w:semiHidden/>
    <w:locked/>
    <w:rsid w:val="006B5C12"/>
    <w:rPr>
      <w:color w:val="954F72" w:themeColor="followedHyperlink"/>
      <w:u w:val="single"/>
    </w:rPr>
  </w:style>
  <w:style w:type="character" w:styleId="Strong">
    <w:name w:val="Strong"/>
    <w:basedOn w:val="DefaultParagraphFont"/>
    <w:uiPriority w:val="22"/>
    <w:qFormat/>
    <w:locked/>
    <w:rsid w:val="00C30DCE"/>
    <w:rPr>
      <w:b/>
      <w:bCs/>
    </w:rPr>
  </w:style>
  <w:style w:type="character" w:customStyle="1" w:styleId="superscript">
    <w:name w:val="superscript"/>
    <w:basedOn w:val="DefaultParagraphFont"/>
    <w:rsid w:val="001E2ABD"/>
  </w:style>
  <w:style w:type="character" w:customStyle="1" w:styleId="Marker">
    <w:name w:val="Marker"/>
    <w:basedOn w:val="DefaultParagraphFont"/>
    <w:rsid w:val="000576D9"/>
    <w:rPr>
      <w:color w:val="0000FF"/>
      <w:shd w:val="clear" w:color="auto" w:fill="auto"/>
    </w:rPr>
  </w:style>
  <w:style w:type="paragraph" w:customStyle="1" w:styleId="Pagedecouverture">
    <w:name w:val="Page de couverture"/>
    <w:basedOn w:val="Normal"/>
    <w:next w:val="Normal"/>
    <w:link w:val="PagedecouvertureChar"/>
    <w:rsid w:val="000576D9"/>
    <w:pPr>
      <w:spacing w:after="0"/>
    </w:pPr>
    <w:rPr>
      <w:rFonts w:eastAsiaTheme="minorHAnsi"/>
      <w:szCs w:val="22"/>
      <w:lang w:eastAsia="en-US"/>
    </w:rPr>
  </w:style>
  <w:style w:type="paragraph" w:customStyle="1" w:styleId="FooterCoverPage">
    <w:name w:val="Footer Cover Page"/>
    <w:basedOn w:val="Normal"/>
    <w:link w:val="FooterCoverPageChar"/>
    <w:rsid w:val="000576D9"/>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0576D9"/>
    <w:rPr>
      <w:rFonts w:eastAsiaTheme="minorHAnsi"/>
      <w:szCs w:val="22"/>
      <w:lang w:eastAsia="en-US"/>
    </w:rPr>
  </w:style>
  <w:style w:type="character" w:customStyle="1" w:styleId="FooterCoverPageChar">
    <w:name w:val="Footer Cover Page Char"/>
    <w:basedOn w:val="PagedecouvertureChar"/>
    <w:link w:val="FooterCoverPage"/>
    <w:rsid w:val="000576D9"/>
    <w:rPr>
      <w:rFonts w:eastAsiaTheme="minorHAnsi"/>
      <w:szCs w:val="22"/>
      <w:lang w:eastAsia="en-US"/>
    </w:rPr>
  </w:style>
  <w:style w:type="paragraph" w:customStyle="1" w:styleId="FooterSensitivity">
    <w:name w:val="Footer Sensitivity"/>
    <w:basedOn w:val="Normal"/>
    <w:link w:val="FooterSensitivityChar"/>
    <w:rsid w:val="000576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0576D9"/>
    <w:rPr>
      <w:rFonts w:eastAsiaTheme="minorHAnsi"/>
      <w:b/>
      <w:sz w:val="32"/>
      <w:szCs w:val="22"/>
      <w:lang w:eastAsia="en-US"/>
    </w:rPr>
  </w:style>
  <w:style w:type="paragraph" w:customStyle="1" w:styleId="HeaderCoverPage">
    <w:name w:val="Header Cover Page"/>
    <w:basedOn w:val="Normal"/>
    <w:link w:val="HeaderCoverPageChar"/>
    <w:rsid w:val="000576D9"/>
    <w:pPr>
      <w:tabs>
        <w:tab w:val="center" w:pos="4535"/>
        <w:tab w:val="right" w:pos="9071"/>
      </w:tabs>
      <w:spacing w:after="120"/>
    </w:pPr>
  </w:style>
  <w:style w:type="character" w:customStyle="1" w:styleId="HeaderCoverPageChar">
    <w:name w:val="Header Cover Page Char"/>
    <w:basedOn w:val="PagedecouvertureChar"/>
    <w:link w:val="HeaderCoverPage"/>
    <w:rsid w:val="000576D9"/>
    <w:rPr>
      <w:rFonts w:eastAsiaTheme="minorHAnsi"/>
      <w:szCs w:val="22"/>
      <w:lang w:eastAsia="en-US"/>
    </w:rPr>
  </w:style>
  <w:style w:type="paragraph" w:customStyle="1" w:styleId="HeaderSensitivity">
    <w:name w:val="Header Sensitivity"/>
    <w:basedOn w:val="Normal"/>
    <w:link w:val="HeaderSensitivityChar"/>
    <w:rsid w:val="000576D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0576D9"/>
    <w:rPr>
      <w:rFonts w:eastAsiaTheme="minorHAnsi"/>
      <w:b/>
      <w:sz w:val="32"/>
      <w:szCs w:val="22"/>
      <w:lang w:eastAsia="en-US"/>
    </w:rPr>
  </w:style>
  <w:style w:type="paragraph" w:customStyle="1" w:styleId="HeaderSensitivityRight">
    <w:name w:val="Header Sensitivity Right"/>
    <w:basedOn w:val="Normal"/>
    <w:link w:val="HeaderSensitivityRightChar"/>
    <w:rsid w:val="004F5474"/>
    <w:pPr>
      <w:spacing w:after="120"/>
      <w:jc w:val="right"/>
    </w:pPr>
    <w:rPr>
      <w:sz w:val="28"/>
    </w:rPr>
  </w:style>
  <w:style w:type="character" w:customStyle="1" w:styleId="HeaderSensitivityRightChar">
    <w:name w:val="Header Sensitivity Right Char"/>
    <w:basedOn w:val="PagedecouvertureChar"/>
    <w:link w:val="HeaderSensitivityRight"/>
    <w:rsid w:val="000576D9"/>
    <w:rPr>
      <w:rFonts w:eastAsiaTheme="minorHAnsi"/>
      <w:sz w:val="28"/>
      <w:szCs w:val="22"/>
      <w:lang w:eastAsia="en-US"/>
    </w:rPr>
  </w:style>
  <w:style w:type="paragraph" w:customStyle="1" w:styleId="Disclaimer">
    <w:name w:val="Disclaimer"/>
    <w:basedOn w:val="Normal"/>
    <w:rsid w:val="005D13D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4F5474"/>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4F5474"/>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4F5474"/>
    <w:pPr>
      <w:spacing w:after="0" w:line="276" w:lineRule="auto"/>
      <w:ind w:left="5103"/>
      <w:jc w:val="left"/>
    </w:pPr>
    <w:rPr>
      <w:rFonts w:eastAsiaTheme="minorHAnsi"/>
      <w:i/>
      <w:sz w:val="28"/>
      <w:szCs w:val="22"/>
      <w:lang w:eastAsia="en-US"/>
    </w:rPr>
  </w:style>
  <w:style w:type="character" w:styleId="EndnoteReference">
    <w:name w:val="endnote reference"/>
    <w:basedOn w:val="DefaultParagraphFont"/>
    <w:semiHidden/>
    <w:locked/>
    <w:rsid w:val="002844FB"/>
    <w:rPr>
      <w:vertAlign w:val="superscript"/>
    </w:rPr>
  </w:style>
  <w:style w:type="paragraph" w:styleId="BodyText">
    <w:name w:val="Body Text"/>
    <w:basedOn w:val="Normal"/>
    <w:link w:val="BodyTextChar"/>
    <w:qFormat/>
    <w:locked/>
    <w:rsid w:val="00BD6BD4"/>
    <w:pPr>
      <w:keepLines/>
      <w:spacing w:after="360" w:line="360" w:lineRule="auto"/>
    </w:pPr>
    <w:rPr>
      <w:rFonts w:asciiTheme="minorHAnsi" w:hAnsiTheme="minorHAnsi" w:cstheme="minorHAnsi"/>
      <w:sz w:val="32"/>
      <w:szCs w:val="32"/>
      <w:lang w:eastAsia="en-US"/>
    </w:rPr>
  </w:style>
  <w:style w:type="character" w:customStyle="1" w:styleId="BodyTextChar">
    <w:name w:val="Body Text Char"/>
    <w:basedOn w:val="DefaultParagraphFont"/>
    <w:link w:val="BodyText"/>
    <w:rsid w:val="00BD6BD4"/>
    <w:rPr>
      <w:rFonts w:asciiTheme="minorHAnsi" w:hAnsiTheme="minorHAnsi" w:cstheme="minorHAns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6032">
      <w:bodyDiv w:val="1"/>
      <w:marLeft w:val="0"/>
      <w:marRight w:val="0"/>
      <w:marTop w:val="0"/>
      <w:marBottom w:val="0"/>
      <w:divBdr>
        <w:top w:val="none" w:sz="0" w:space="0" w:color="auto"/>
        <w:left w:val="none" w:sz="0" w:space="0" w:color="auto"/>
        <w:bottom w:val="none" w:sz="0" w:space="0" w:color="auto"/>
        <w:right w:val="none" w:sz="0" w:space="0" w:color="auto"/>
      </w:divBdr>
    </w:div>
    <w:div w:id="41027597">
      <w:bodyDiv w:val="1"/>
      <w:marLeft w:val="0"/>
      <w:marRight w:val="0"/>
      <w:marTop w:val="0"/>
      <w:marBottom w:val="0"/>
      <w:divBdr>
        <w:top w:val="none" w:sz="0" w:space="0" w:color="auto"/>
        <w:left w:val="none" w:sz="0" w:space="0" w:color="auto"/>
        <w:bottom w:val="none" w:sz="0" w:space="0" w:color="auto"/>
        <w:right w:val="none" w:sz="0" w:space="0" w:color="auto"/>
      </w:divBdr>
    </w:div>
    <w:div w:id="41633796">
      <w:bodyDiv w:val="1"/>
      <w:marLeft w:val="0"/>
      <w:marRight w:val="0"/>
      <w:marTop w:val="0"/>
      <w:marBottom w:val="0"/>
      <w:divBdr>
        <w:top w:val="none" w:sz="0" w:space="0" w:color="auto"/>
        <w:left w:val="none" w:sz="0" w:space="0" w:color="auto"/>
        <w:bottom w:val="none" w:sz="0" w:space="0" w:color="auto"/>
        <w:right w:val="none" w:sz="0" w:space="0" w:color="auto"/>
      </w:divBdr>
    </w:div>
    <w:div w:id="52506816">
      <w:bodyDiv w:val="1"/>
      <w:marLeft w:val="0"/>
      <w:marRight w:val="0"/>
      <w:marTop w:val="0"/>
      <w:marBottom w:val="0"/>
      <w:divBdr>
        <w:top w:val="none" w:sz="0" w:space="0" w:color="auto"/>
        <w:left w:val="none" w:sz="0" w:space="0" w:color="auto"/>
        <w:bottom w:val="none" w:sz="0" w:space="0" w:color="auto"/>
        <w:right w:val="none" w:sz="0" w:space="0" w:color="auto"/>
      </w:divBdr>
    </w:div>
    <w:div w:id="175075694">
      <w:bodyDiv w:val="1"/>
      <w:marLeft w:val="0"/>
      <w:marRight w:val="0"/>
      <w:marTop w:val="0"/>
      <w:marBottom w:val="0"/>
      <w:divBdr>
        <w:top w:val="none" w:sz="0" w:space="0" w:color="auto"/>
        <w:left w:val="none" w:sz="0" w:space="0" w:color="auto"/>
        <w:bottom w:val="none" w:sz="0" w:space="0" w:color="auto"/>
        <w:right w:val="none" w:sz="0" w:space="0" w:color="auto"/>
      </w:divBdr>
    </w:div>
    <w:div w:id="226185127">
      <w:bodyDiv w:val="1"/>
      <w:marLeft w:val="0"/>
      <w:marRight w:val="0"/>
      <w:marTop w:val="0"/>
      <w:marBottom w:val="0"/>
      <w:divBdr>
        <w:top w:val="none" w:sz="0" w:space="0" w:color="auto"/>
        <w:left w:val="none" w:sz="0" w:space="0" w:color="auto"/>
        <w:bottom w:val="none" w:sz="0" w:space="0" w:color="auto"/>
        <w:right w:val="none" w:sz="0" w:space="0" w:color="auto"/>
      </w:divBdr>
    </w:div>
    <w:div w:id="382825357">
      <w:bodyDiv w:val="1"/>
      <w:marLeft w:val="0"/>
      <w:marRight w:val="0"/>
      <w:marTop w:val="0"/>
      <w:marBottom w:val="0"/>
      <w:divBdr>
        <w:top w:val="none" w:sz="0" w:space="0" w:color="auto"/>
        <w:left w:val="none" w:sz="0" w:space="0" w:color="auto"/>
        <w:bottom w:val="none" w:sz="0" w:space="0" w:color="auto"/>
        <w:right w:val="none" w:sz="0" w:space="0" w:color="auto"/>
      </w:divBdr>
    </w:div>
    <w:div w:id="415054538">
      <w:bodyDiv w:val="1"/>
      <w:marLeft w:val="0"/>
      <w:marRight w:val="0"/>
      <w:marTop w:val="0"/>
      <w:marBottom w:val="0"/>
      <w:divBdr>
        <w:top w:val="none" w:sz="0" w:space="0" w:color="auto"/>
        <w:left w:val="none" w:sz="0" w:space="0" w:color="auto"/>
        <w:bottom w:val="none" w:sz="0" w:space="0" w:color="auto"/>
        <w:right w:val="none" w:sz="0" w:space="0" w:color="auto"/>
      </w:divBdr>
    </w:div>
    <w:div w:id="433985664">
      <w:bodyDiv w:val="1"/>
      <w:marLeft w:val="0"/>
      <w:marRight w:val="0"/>
      <w:marTop w:val="0"/>
      <w:marBottom w:val="0"/>
      <w:divBdr>
        <w:top w:val="none" w:sz="0" w:space="0" w:color="auto"/>
        <w:left w:val="none" w:sz="0" w:space="0" w:color="auto"/>
        <w:bottom w:val="none" w:sz="0" w:space="0" w:color="auto"/>
        <w:right w:val="none" w:sz="0" w:space="0" w:color="auto"/>
      </w:divBdr>
    </w:div>
    <w:div w:id="480729209">
      <w:bodyDiv w:val="1"/>
      <w:marLeft w:val="0"/>
      <w:marRight w:val="0"/>
      <w:marTop w:val="0"/>
      <w:marBottom w:val="0"/>
      <w:divBdr>
        <w:top w:val="none" w:sz="0" w:space="0" w:color="auto"/>
        <w:left w:val="none" w:sz="0" w:space="0" w:color="auto"/>
        <w:bottom w:val="none" w:sz="0" w:space="0" w:color="auto"/>
        <w:right w:val="none" w:sz="0" w:space="0" w:color="auto"/>
      </w:divBdr>
    </w:div>
    <w:div w:id="506990045">
      <w:bodyDiv w:val="1"/>
      <w:marLeft w:val="0"/>
      <w:marRight w:val="0"/>
      <w:marTop w:val="0"/>
      <w:marBottom w:val="0"/>
      <w:divBdr>
        <w:top w:val="none" w:sz="0" w:space="0" w:color="auto"/>
        <w:left w:val="none" w:sz="0" w:space="0" w:color="auto"/>
        <w:bottom w:val="none" w:sz="0" w:space="0" w:color="auto"/>
        <w:right w:val="none" w:sz="0" w:space="0" w:color="auto"/>
      </w:divBdr>
    </w:div>
    <w:div w:id="599341117">
      <w:bodyDiv w:val="1"/>
      <w:marLeft w:val="0"/>
      <w:marRight w:val="0"/>
      <w:marTop w:val="0"/>
      <w:marBottom w:val="0"/>
      <w:divBdr>
        <w:top w:val="none" w:sz="0" w:space="0" w:color="auto"/>
        <w:left w:val="none" w:sz="0" w:space="0" w:color="auto"/>
        <w:bottom w:val="none" w:sz="0" w:space="0" w:color="auto"/>
        <w:right w:val="none" w:sz="0" w:space="0" w:color="auto"/>
      </w:divBdr>
    </w:div>
    <w:div w:id="602416108">
      <w:bodyDiv w:val="1"/>
      <w:marLeft w:val="0"/>
      <w:marRight w:val="0"/>
      <w:marTop w:val="0"/>
      <w:marBottom w:val="0"/>
      <w:divBdr>
        <w:top w:val="none" w:sz="0" w:space="0" w:color="auto"/>
        <w:left w:val="none" w:sz="0" w:space="0" w:color="auto"/>
        <w:bottom w:val="none" w:sz="0" w:space="0" w:color="auto"/>
        <w:right w:val="none" w:sz="0" w:space="0" w:color="auto"/>
      </w:divBdr>
    </w:div>
    <w:div w:id="657422043">
      <w:bodyDiv w:val="1"/>
      <w:marLeft w:val="0"/>
      <w:marRight w:val="0"/>
      <w:marTop w:val="0"/>
      <w:marBottom w:val="0"/>
      <w:divBdr>
        <w:top w:val="none" w:sz="0" w:space="0" w:color="auto"/>
        <w:left w:val="none" w:sz="0" w:space="0" w:color="auto"/>
        <w:bottom w:val="none" w:sz="0" w:space="0" w:color="auto"/>
        <w:right w:val="none" w:sz="0" w:space="0" w:color="auto"/>
      </w:divBdr>
    </w:div>
    <w:div w:id="663169974">
      <w:bodyDiv w:val="1"/>
      <w:marLeft w:val="0"/>
      <w:marRight w:val="0"/>
      <w:marTop w:val="0"/>
      <w:marBottom w:val="0"/>
      <w:divBdr>
        <w:top w:val="none" w:sz="0" w:space="0" w:color="auto"/>
        <w:left w:val="none" w:sz="0" w:space="0" w:color="auto"/>
        <w:bottom w:val="none" w:sz="0" w:space="0" w:color="auto"/>
        <w:right w:val="none" w:sz="0" w:space="0" w:color="auto"/>
      </w:divBdr>
    </w:div>
    <w:div w:id="693534672">
      <w:bodyDiv w:val="1"/>
      <w:marLeft w:val="0"/>
      <w:marRight w:val="0"/>
      <w:marTop w:val="0"/>
      <w:marBottom w:val="0"/>
      <w:divBdr>
        <w:top w:val="none" w:sz="0" w:space="0" w:color="auto"/>
        <w:left w:val="none" w:sz="0" w:space="0" w:color="auto"/>
        <w:bottom w:val="none" w:sz="0" w:space="0" w:color="auto"/>
        <w:right w:val="none" w:sz="0" w:space="0" w:color="auto"/>
      </w:divBdr>
    </w:div>
    <w:div w:id="720322841">
      <w:bodyDiv w:val="1"/>
      <w:marLeft w:val="0"/>
      <w:marRight w:val="0"/>
      <w:marTop w:val="0"/>
      <w:marBottom w:val="0"/>
      <w:divBdr>
        <w:top w:val="none" w:sz="0" w:space="0" w:color="auto"/>
        <w:left w:val="none" w:sz="0" w:space="0" w:color="auto"/>
        <w:bottom w:val="none" w:sz="0" w:space="0" w:color="auto"/>
        <w:right w:val="none" w:sz="0" w:space="0" w:color="auto"/>
      </w:divBdr>
    </w:div>
    <w:div w:id="726732352">
      <w:bodyDiv w:val="1"/>
      <w:marLeft w:val="0"/>
      <w:marRight w:val="0"/>
      <w:marTop w:val="0"/>
      <w:marBottom w:val="0"/>
      <w:divBdr>
        <w:top w:val="none" w:sz="0" w:space="0" w:color="auto"/>
        <w:left w:val="none" w:sz="0" w:space="0" w:color="auto"/>
        <w:bottom w:val="none" w:sz="0" w:space="0" w:color="auto"/>
        <w:right w:val="none" w:sz="0" w:space="0" w:color="auto"/>
      </w:divBdr>
    </w:div>
    <w:div w:id="807010829">
      <w:bodyDiv w:val="1"/>
      <w:marLeft w:val="0"/>
      <w:marRight w:val="0"/>
      <w:marTop w:val="0"/>
      <w:marBottom w:val="0"/>
      <w:divBdr>
        <w:top w:val="none" w:sz="0" w:space="0" w:color="auto"/>
        <w:left w:val="none" w:sz="0" w:space="0" w:color="auto"/>
        <w:bottom w:val="none" w:sz="0" w:space="0" w:color="auto"/>
        <w:right w:val="none" w:sz="0" w:space="0" w:color="auto"/>
      </w:divBdr>
    </w:div>
    <w:div w:id="809707856">
      <w:bodyDiv w:val="1"/>
      <w:marLeft w:val="0"/>
      <w:marRight w:val="0"/>
      <w:marTop w:val="0"/>
      <w:marBottom w:val="0"/>
      <w:divBdr>
        <w:top w:val="none" w:sz="0" w:space="0" w:color="auto"/>
        <w:left w:val="none" w:sz="0" w:space="0" w:color="auto"/>
        <w:bottom w:val="none" w:sz="0" w:space="0" w:color="auto"/>
        <w:right w:val="none" w:sz="0" w:space="0" w:color="auto"/>
      </w:divBdr>
    </w:div>
    <w:div w:id="822239105">
      <w:bodyDiv w:val="1"/>
      <w:marLeft w:val="0"/>
      <w:marRight w:val="0"/>
      <w:marTop w:val="0"/>
      <w:marBottom w:val="0"/>
      <w:divBdr>
        <w:top w:val="none" w:sz="0" w:space="0" w:color="auto"/>
        <w:left w:val="none" w:sz="0" w:space="0" w:color="auto"/>
        <w:bottom w:val="none" w:sz="0" w:space="0" w:color="auto"/>
        <w:right w:val="none" w:sz="0" w:space="0" w:color="auto"/>
      </w:divBdr>
    </w:div>
    <w:div w:id="823009213">
      <w:bodyDiv w:val="1"/>
      <w:marLeft w:val="0"/>
      <w:marRight w:val="0"/>
      <w:marTop w:val="0"/>
      <w:marBottom w:val="0"/>
      <w:divBdr>
        <w:top w:val="none" w:sz="0" w:space="0" w:color="auto"/>
        <w:left w:val="none" w:sz="0" w:space="0" w:color="auto"/>
        <w:bottom w:val="none" w:sz="0" w:space="0" w:color="auto"/>
        <w:right w:val="none" w:sz="0" w:space="0" w:color="auto"/>
      </w:divBdr>
    </w:div>
    <w:div w:id="841551927">
      <w:bodyDiv w:val="1"/>
      <w:marLeft w:val="0"/>
      <w:marRight w:val="0"/>
      <w:marTop w:val="0"/>
      <w:marBottom w:val="0"/>
      <w:divBdr>
        <w:top w:val="none" w:sz="0" w:space="0" w:color="auto"/>
        <w:left w:val="none" w:sz="0" w:space="0" w:color="auto"/>
        <w:bottom w:val="none" w:sz="0" w:space="0" w:color="auto"/>
        <w:right w:val="none" w:sz="0" w:space="0" w:color="auto"/>
      </w:divBdr>
    </w:div>
    <w:div w:id="865019040">
      <w:bodyDiv w:val="1"/>
      <w:marLeft w:val="0"/>
      <w:marRight w:val="0"/>
      <w:marTop w:val="0"/>
      <w:marBottom w:val="0"/>
      <w:divBdr>
        <w:top w:val="none" w:sz="0" w:space="0" w:color="auto"/>
        <w:left w:val="none" w:sz="0" w:space="0" w:color="auto"/>
        <w:bottom w:val="none" w:sz="0" w:space="0" w:color="auto"/>
        <w:right w:val="none" w:sz="0" w:space="0" w:color="auto"/>
      </w:divBdr>
    </w:div>
    <w:div w:id="869341636">
      <w:bodyDiv w:val="1"/>
      <w:marLeft w:val="0"/>
      <w:marRight w:val="0"/>
      <w:marTop w:val="0"/>
      <w:marBottom w:val="0"/>
      <w:divBdr>
        <w:top w:val="none" w:sz="0" w:space="0" w:color="auto"/>
        <w:left w:val="none" w:sz="0" w:space="0" w:color="auto"/>
        <w:bottom w:val="none" w:sz="0" w:space="0" w:color="auto"/>
        <w:right w:val="none" w:sz="0" w:space="0" w:color="auto"/>
      </w:divBdr>
      <w:divsChild>
        <w:div w:id="336352982">
          <w:marLeft w:val="0"/>
          <w:marRight w:val="0"/>
          <w:marTop w:val="0"/>
          <w:marBottom w:val="0"/>
          <w:divBdr>
            <w:top w:val="none" w:sz="0" w:space="0" w:color="auto"/>
            <w:left w:val="none" w:sz="0" w:space="0" w:color="auto"/>
            <w:bottom w:val="none" w:sz="0" w:space="0" w:color="auto"/>
            <w:right w:val="none" w:sz="0" w:space="0" w:color="auto"/>
          </w:divBdr>
        </w:div>
        <w:div w:id="1015576623">
          <w:marLeft w:val="0"/>
          <w:marRight w:val="0"/>
          <w:marTop w:val="0"/>
          <w:marBottom w:val="0"/>
          <w:divBdr>
            <w:top w:val="none" w:sz="0" w:space="0" w:color="auto"/>
            <w:left w:val="none" w:sz="0" w:space="0" w:color="auto"/>
            <w:bottom w:val="none" w:sz="0" w:space="0" w:color="auto"/>
            <w:right w:val="none" w:sz="0" w:space="0" w:color="auto"/>
          </w:divBdr>
        </w:div>
        <w:div w:id="1486579803">
          <w:marLeft w:val="0"/>
          <w:marRight w:val="0"/>
          <w:marTop w:val="0"/>
          <w:marBottom w:val="0"/>
          <w:divBdr>
            <w:top w:val="none" w:sz="0" w:space="0" w:color="auto"/>
            <w:left w:val="none" w:sz="0" w:space="0" w:color="auto"/>
            <w:bottom w:val="none" w:sz="0" w:space="0" w:color="auto"/>
            <w:right w:val="none" w:sz="0" w:space="0" w:color="auto"/>
          </w:divBdr>
        </w:div>
        <w:div w:id="1518498652">
          <w:marLeft w:val="0"/>
          <w:marRight w:val="0"/>
          <w:marTop w:val="0"/>
          <w:marBottom w:val="0"/>
          <w:divBdr>
            <w:top w:val="none" w:sz="0" w:space="0" w:color="auto"/>
            <w:left w:val="none" w:sz="0" w:space="0" w:color="auto"/>
            <w:bottom w:val="none" w:sz="0" w:space="0" w:color="auto"/>
            <w:right w:val="none" w:sz="0" w:space="0" w:color="auto"/>
          </w:divBdr>
          <w:divsChild>
            <w:div w:id="264657364">
              <w:marLeft w:val="0"/>
              <w:marRight w:val="0"/>
              <w:marTop w:val="0"/>
              <w:marBottom w:val="0"/>
              <w:divBdr>
                <w:top w:val="none" w:sz="0" w:space="0" w:color="auto"/>
                <w:left w:val="none" w:sz="0" w:space="0" w:color="auto"/>
                <w:bottom w:val="none" w:sz="0" w:space="0" w:color="auto"/>
                <w:right w:val="none" w:sz="0" w:space="0" w:color="auto"/>
              </w:divBdr>
            </w:div>
            <w:div w:id="310840081">
              <w:marLeft w:val="0"/>
              <w:marRight w:val="0"/>
              <w:marTop w:val="0"/>
              <w:marBottom w:val="0"/>
              <w:divBdr>
                <w:top w:val="none" w:sz="0" w:space="0" w:color="auto"/>
                <w:left w:val="none" w:sz="0" w:space="0" w:color="auto"/>
                <w:bottom w:val="none" w:sz="0" w:space="0" w:color="auto"/>
                <w:right w:val="none" w:sz="0" w:space="0" w:color="auto"/>
              </w:divBdr>
            </w:div>
            <w:div w:id="427383825">
              <w:marLeft w:val="0"/>
              <w:marRight w:val="0"/>
              <w:marTop w:val="0"/>
              <w:marBottom w:val="0"/>
              <w:divBdr>
                <w:top w:val="none" w:sz="0" w:space="0" w:color="auto"/>
                <w:left w:val="none" w:sz="0" w:space="0" w:color="auto"/>
                <w:bottom w:val="none" w:sz="0" w:space="0" w:color="auto"/>
                <w:right w:val="none" w:sz="0" w:space="0" w:color="auto"/>
              </w:divBdr>
            </w:div>
            <w:div w:id="944920267">
              <w:marLeft w:val="0"/>
              <w:marRight w:val="0"/>
              <w:marTop w:val="0"/>
              <w:marBottom w:val="0"/>
              <w:divBdr>
                <w:top w:val="none" w:sz="0" w:space="0" w:color="auto"/>
                <w:left w:val="none" w:sz="0" w:space="0" w:color="auto"/>
                <w:bottom w:val="none" w:sz="0" w:space="0" w:color="auto"/>
                <w:right w:val="none" w:sz="0" w:space="0" w:color="auto"/>
              </w:divBdr>
            </w:div>
            <w:div w:id="1600330637">
              <w:marLeft w:val="0"/>
              <w:marRight w:val="0"/>
              <w:marTop w:val="0"/>
              <w:marBottom w:val="0"/>
              <w:divBdr>
                <w:top w:val="none" w:sz="0" w:space="0" w:color="auto"/>
                <w:left w:val="none" w:sz="0" w:space="0" w:color="auto"/>
                <w:bottom w:val="none" w:sz="0" w:space="0" w:color="auto"/>
                <w:right w:val="none" w:sz="0" w:space="0" w:color="auto"/>
              </w:divBdr>
            </w:div>
          </w:divsChild>
        </w:div>
        <w:div w:id="1877159550">
          <w:marLeft w:val="0"/>
          <w:marRight w:val="0"/>
          <w:marTop w:val="0"/>
          <w:marBottom w:val="0"/>
          <w:divBdr>
            <w:top w:val="none" w:sz="0" w:space="0" w:color="auto"/>
            <w:left w:val="none" w:sz="0" w:space="0" w:color="auto"/>
            <w:bottom w:val="none" w:sz="0" w:space="0" w:color="auto"/>
            <w:right w:val="none" w:sz="0" w:space="0" w:color="auto"/>
          </w:divBdr>
        </w:div>
        <w:div w:id="2070181225">
          <w:marLeft w:val="0"/>
          <w:marRight w:val="0"/>
          <w:marTop w:val="0"/>
          <w:marBottom w:val="0"/>
          <w:divBdr>
            <w:top w:val="none" w:sz="0" w:space="0" w:color="auto"/>
            <w:left w:val="none" w:sz="0" w:space="0" w:color="auto"/>
            <w:bottom w:val="none" w:sz="0" w:space="0" w:color="auto"/>
            <w:right w:val="none" w:sz="0" w:space="0" w:color="auto"/>
          </w:divBdr>
        </w:div>
      </w:divsChild>
    </w:div>
    <w:div w:id="909265520">
      <w:bodyDiv w:val="1"/>
      <w:marLeft w:val="0"/>
      <w:marRight w:val="0"/>
      <w:marTop w:val="0"/>
      <w:marBottom w:val="0"/>
      <w:divBdr>
        <w:top w:val="none" w:sz="0" w:space="0" w:color="auto"/>
        <w:left w:val="none" w:sz="0" w:space="0" w:color="auto"/>
        <w:bottom w:val="none" w:sz="0" w:space="0" w:color="auto"/>
        <w:right w:val="none" w:sz="0" w:space="0" w:color="auto"/>
      </w:divBdr>
    </w:div>
    <w:div w:id="914902204">
      <w:bodyDiv w:val="1"/>
      <w:marLeft w:val="0"/>
      <w:marRight w:val="0"/>
      <w:marTop w:val="0"/>
      <w:marBottom w:val="0"/>
      <w:divBdr>
        <w:top w:val="none" w:sz="0" w:space="0" w:color="auto"/>
        <w:left w:val="none" w:sz="0" w:space="0" w:color="auto"/>
        <w:bottom w:val="none" w:sz="0" w:space="0" w:color="auto"/>
        <w:right w:val="none" w:sz="0" w:space="0" w:color="auto"/>
      </w:divBdr>
    </w:div>
    <w:div w:id="946933486">
      <w:bodyDiv w:val="1"/>
      <w:marLeft w:val="0"/>
      <w:marRight w:val="0"/>
      <w:marTop w:val="0"/>
      <w:marBottom w:val="0"/>
      <w:divBdr>
        <w:top w:val="none" w:sz="0" w:space="0" w:color="auto"/>
        <w:left w:val="none" w:sz="0" w:space="0" w:color="auto"/>
        <w:bottom w:val="none" w:sz="0" w:space="0" w:color="auto"/>
        <w:right w:val="none" w:sz="0" w:space="0" w:color="auto"/>
      </w:divBdr>
    </w:div>
    <w:div w:id="956528618">
      <w:bodyDiv w:val="1"/>
      <w:marLeft w:val="0"/>
      <w:marRight w:val="0"/>
      <w:marTop w:val="0"/>
      <w:marBottom w:val="0"/>
      <w:divBdr>
        <w:top w:val="none" w:sz="0" w:space="0" w:color="auto"/>
        <w:left w:val="none" w:sz="0" w:space="0" w:color="auto"/>
        <w:bottom w:val="none" w:sz="0" w:space="0" w:color="auto"/>
        <w:right w:val="none" w:sz="0" w:space="0" w:color="auto"/>
      </w:divBdr>
    </w:div>
    <w:div w:id="1069041269">
      <w:bodyDiv w:val="1"/>
      <w:marLeft w:val="0"/>
      <w:marRight w:val="0"/>
      <w:marTop w:val="0"/>
      <w:marBottom w:val="0"/>
      <w:divBdr>
        <w:top w:val="none" w:sz="0" w:space="0" w:color="auto"/>
        <w:left w:val="none" w:sz="0" w:space="0" w:color="auto"/>
        <w:bottom w:val="none" w:sz="0" w:space="0" w:color="auto"/>
        <w:right w:val="none" w:sz="0" w:space="0" w:color="auto"/>
      </w:divBdr>
    </w:div>
    <w:div w:id="1112020443">
      <w:bodyDiv w:val="1"/>
      <w:marLeft w:val="0"/>
      <w:marRight w:val="0"/>
      <w:marTop w:val="0"/>
      <w:marBottom w:val="0"/>
      <w:divBdr>
        <w:top w:val="none" w:sz="0" w:space="0" w:color="auto"/>
        <w:left w:val="none" w:sz="0" w:space="0" w:color="auto"/>
        <w:bottom w:val="none" w:sz="0" w:space="0" w:color="auto"/>
        <w:right w:val="none" w:sz="0" w:space="0" w:color="auto"/>
      </w:divBdr>
    </w:div>
    <w:div w:id="1122655149">
      <w:bodyDiv w:val="1"/>
      <w:marLeft w:val="0"/>
      <w:marRight w:val="0"/>
      <w:marTop w:val="0"/>
      <w:marBottom w:val="0"/>
      <w:divBdr>
        <w:top w:val="none" w:sz="0" w:space="0" w:color="auto"/>
        <w:left w:val="none" w:sz="0" w:space="0" w:color="auto"/>
        <w:bottom w:val="none" w:sz="0" w:space="0" w:color="auto"/>
        <w:right w:val="none" w:sz="0" w:space="0" w:color="auto"/>
      </w:divBdr>
    </w:div>
    <w:div w:id="1186863908">
      <w:bodyDiv w:val="1"/>
      <w:marLeft w:val="0"/>
      <w:marRight w:val="0"/>
      <w:marTop w:val="0"/>
      <w:marBottom w:val="0"/>
      <w:divBdr>
        <w:top w:val="none" w:sz="0" w:space="0" w:color="auto"/>
        <w:left w:val="none" w:sz="0" w:space="0" w:color="auto"/>
        <w:bottom w:val="none" w:sz="0" w:space="0" w:color="auto"/>
        <w:right w:val="none" w:sz="0" w:space="0" w:color="auto"/>
      </w:divBdr>
    </w:div>
    <w:div w:id="1202204765">
      <w:bodyDiv w:val="1"/>
      <w:marLeft w:val="0"/>
      <w:marRight w:val="0"/>
      <w:marTop w:val="0"/>
      <w:marBottom w:val="0"/>
      <w:divBdr>
        <w:top w:val="none" w:sz="0" w:space="0" w:color="auto"/>
        <w:left w:val="none" w:sz="0" w:space="0" w:color="auto"/>
        <w:bottom w:val="none" w:sz="0" w:space="0" w:color="auto"/>
        <w:right w:val="none" w:sz="0" w:space="0" w:color="auto"/>
      </w:divBdr>
    </w:div>
    <w:div w:id="1241912201">
      <w:bodyDiv w:val="1"/>
      <w:marLeft w:val="0"/>
      <w:marRight w:val="0"/>
      <w:marTop w:val="0"/>
      <w:marBottom w:val="0"/>
      <w:divBdr>
        <w:top w:val="none" w:sz="0" w:space="0" w:color="auto"/>
        <w:left w:val="none" w:sz="0" w:space="0" w:color="auto"/>
        <w:bottom w:val="none" w:sz="0" w:space="0" w:color="auto"/>
        <w:right w:val="none" w:sz="0" w:space="0" w:color="auto"/>
      </w:divBdr>
    </w:div>
    <w:div w:id="1292705759">
      <w:bodyDiv w:val="1"/>
      <w:marLeft w:val="0"/>
      <w:marRight w:val="0"/>
      <w:marTop w:val="0"/>
      <w:marBottom w:val="0"/>
      <w:divBdr>
        <w:top w:val="none" w:sz="0" w:space="0" w:color="auto"/>
        <w:left w:val="none" w:sz="0" w:space="0" w:color="auto"/>
        <w:bottom w:val="none" w:sz="0" w:space="0" w:color="auto"/>
        <w:right w:val="none" w:sz="0" w:space="0" w:color="auto"/>
      </w:divBdr>
    </w:div>
    <w:div w:id="1393113975">
      <w:bodyDiv w:val="1"/>
      <w:marLeft w:val="0"/>
      <w:marRight w:val="0"/>
      <w:marTop w:val="0"/>
      <w:marBottom w:val="0"/>
      <w:divBdr>
        <w:top w:val="none" w:sz="0" w:space="0" w:color="auto"/>
        <w:left w:val="none" w:sz="0" w:space="0" w:color="auto"/>
        <w:bottom w:val="none" w:sz="0" w:space="0" w:color="auto"/>
        <w:right w:val="none" w:sz="0" w:space="0" w:color="auto"/>
      </w:divBdr>
    </w:div>
    <w:div w:id="1419593209">
      <w:bodyDiv w:val="1"/>
      <w:marLeft w:val="0"/>
      <w:marRight w:val="0"/>
      <w:marTop w:val="0"/>
      <w:marBottom w:val="0"/>
      <w:divBdr>
        <w:top w:val="none" w:sz="0" w:space="0" w:color="auto"/>
        <w:left w:val="none" w:sz="0" w:space="0" w:color="auto"/>
        <w:bottom w:val="none" w:sz="0" w:space="0" w:color="auto"/>
        <w:right w:val="none" w:sz="0" w:space="0" w:color="auto"/>
      </w:divBdr>
    </w:div>
    <w:div w:id="1426457863">
      <w:bodyDiv w:val="1"/>
      <w:marLeft w:val="0"/>
      <w:marRight w:val="0"/>
      <w:marTop w:val="0"/>
      <w:marBottom w:val="0"/>
      <w:divBdr>
        <w:top w:val="none" w:sz="0" w:space="0" w:color="auto"/>
        <w:left w:val="none" w:sz="0" w:space="0" w:color="auto"/>
        <w:bottom w:val="none" w:sz="0" w:space="0" w:color="auto"/>
        <w:right w:val="none" w:sz="0" w:space="0" w:color="auto"/>
      </w:divBdr>
    </w:div>
    <w:div w:id="1464810907">
      <w:bodyDiv w:val="1"/>
      <w:marLeft w:val="0"/>
      <w:marRight w:val="0"/>
      <w:marTop w:val="0"/>
      <w:marBottom w:val="0"/>
      <w:divBdr>
        <w:top w:val="none" w:sz="0" w:space="0" w:color="auto"/>
        <w:left w:val="none" w:sz="0" w:space="0" w:color="auto"/>
        <w:bottom w:val="none" w:sz="0" w:space="0" w:color="auto"/>
        <w:right w:val="none" w:sz="0" w:space="0" w:color="auto"/>
      </w:divBdr>
    </w:div>
    <w:div w:id="1481774298">
      <w:bodyDiv w:val="1"/>
      <w:marLeft w:val="0"/>
      <w:marRight w:val="0"/>
      <w:marTop w:val="0"/>
      <w:marBottom w:val="0"/>
      <w:divBdr>
        <w:top w:val="none" w:sz="0" w:space="0" w:color="auto"/>
        <w:left w:val="none" w:sz="0" w:space="0" w:color="auto"/>
        <w:bottom w:val="none" w:sz="0" w:space="0" w:color="auto"/>
        <w:right w:val="none" w:sz="0" w:space="0" w:color="auto"/>
      </w:divBdr>
    </w:div>
    <w:div w:id="1502502222">
      <w:bodyDiv w:val="1"/>
      <w:marLeft w:val="0"/>
      <w:marRight w:val="0"/>
      <w:marTop w:val="0"/>
      <w:marBottom w:val="0"/>
      <w:divBdr>
        <w:top w:val="none" w:sz="0" w:space="0" w:color="auto"/>
        <w:left w:val="none" w:sz="0" w:space="0" w:color="auto"/>
        <w:bottom w:val="none" w:sz="0" w:space="0" w:color="auto"/>
        <w:right w:val="none" w:sz="0" w:space="0" w:color="auto"/>
      </w:divBdr>
      <w:divsChild>
        <w:div w:id="312175079">
          <w:marLeft w:val="0"/>
          <w:marRight w:val="0"/>
          <w:marTop w:val="0"/>
          <w:marBottom w:val="0"/>
          <w:divBdr>
            <w:top w:val="none" w:sz="0" w:space="0" w:color="auto"/>
            <w:left w:val="none" w:sz="0" w:space="0" w:color="auto"/>
            <w:bottom w:val="none" w:sz="0" w:space="0" w:color="auto"/>
            <w:right w:val="none" w:sz="0" w:space="0" w:color="auto"/>
          </w:divBdr>
        </w:div>
        <w:div w:id="446201554">
          <w:marLeft w:val="0"/>
          <w:marRight w:val="0"/>
          <w:marTop w:val="0"/>
          <w:marBottom w:val="0"/>
          <w:divBdr>
            <w:top w:val="none" w:sz="0" w:space="0" w:color="auto"/>
            <w:left w:val="none" w:sz="0" w:space="0" w:color="auto"/>
            <w:bottom w:val="none" w:sz="0" w:space="0" w:color="auto"/>
            <w:right w:val="none" w:sz="0" w:space="0" w:color="auto"/>
          </w:divBdr>
        </w:div>
        <w:div w:id="1339194818">
          <w:marLeft w:val="0"/>
          <w:marRight w:val="0"/>
          <w:marTop w:val="0"/>
          <w:marBottom w:val="0"/>
          <w:divBdr>
            <w:top w:val="none" w:sz="0" w:space="0" w:color="auto"/>
            <w:left w:val="none" w:sz="0" w:space="0" w:color="auto"/>
            <w:bottom w:val="none" w:sz="0" w:space="0" w:color="auto"/>
            <w:right w:val="none" w:sz="0" w:space="0" w:color="auto"/>
          </w:divBdr>
        </w:div>
        <w:div w:id="1588415265">
          <w:marLeft w:val="0"/>
          <w:marRight w:val="0"/>
          <w:marTop w:val="0"/>
          <w:marBottom w:val="0"/>
          <w:divBdr>
            <w:top w:val="none" w:sz="0" w:space="0" w:color="auto"/>
            <w:left w:val="none" w:sz="0" w:space="0" w:color="auto"/>
            <w:bottom w:val="none" w:sz="0" w:space="0" w:color="auto"/>
            <w:right w:val="none" w:sz="0" w:space="0" w:color="auto"/>
          </w:divBdr>
        </w:div>
        <w:div w:id="1780449109">
          <w:marLeft w:val="0"/>
          <w:marRight w:val="0"/>
          <w:marTop w:val="0"/>
          <w:marBottom w:val="0"/>
          <w:divBdr>
            <w:top w:val="none" w:sz="0" w:space="0" w:color="auto"/>
            <w:left w:val="none" w:sz="0" w:space="0" w:color="auto"/>
            <w:bottom w:val="none" w:sz="0" w:space="0" w:color="auto"/>
            <w:right w:val="none" w:sz="0" w:space="0" w:color="auto"/>
          </w:divBdr>
        </w:div>
        <w:div w:id="1828395292">
          <w:marLeft w:val="0"/>
          <w:marRight w:val="0"/>
          <w:marTop w:val="0"/>
          <w:marBottom w:val="0"/>
          <w:divBdr>
            <w:top w:val="none" w:sz="0" w:space="0" w:color="auto"/>
            <w:left w:val="none" w:sz="0" w:space="0" w:color="auto"/>
            <w:bottom w:val="none" w:sz="0" w:space="0" w:color="auto"/>
            <w:right w:val="none" w:sz="0" w:space="0" w:color="auto"/>
          </w:divBdr>
          <w:divsChild>
            <w:div w:id="247229659">
              <w:marLeft w:val="0"/>
              <w:marRight w:val="0"/>
              <w:marTop w:val="0"/>
              <w:marBottom w:val="0"/>
              <w:divBdr>
                <w:top w:val="none" w:sz="0" w:space="0" w:color="auto"/>
                <w:left w:val="none" w:sz="0" w:space="0" w:color="auto"/>
                <w:bottom w:val="none" w:sz="0" w:space="0" w:color="auto"/>
                <w:right w:val="none" w:sz="0" w:space="0" w:color="auto"/>
              </w:divBdr>
            </w:div>
            <w:div w:id="1101221116">
              <w:marLeft w:val="0"/>
              <w:marRight w:val="0"/>
              <w:marTop w:val="0"/>
              <w:marBottom w:val="0"/>
              <w:divBdr>
                <w:top w:val="none" w:sz="0" w:space="0" w:color="auto"/>
                <w:left w:val="none" w:sz="0" w:space="0" w:color="auto"/>
                <w:bottom w:val="none" w:sz="0" w:space="0" w:color="auto"/>
                <w:right w:val="none" w:sz="0" w:space="0" w:color="auto"/>
              </w:divBdr>
            </w:div>
            <w:div w:id="1580673735">
              <w:marLeft w:val="0"/>
              <w:marRight w:val="0"/>
              <w:marTop w:val="0"/>
              <w:marBottom w:val="0"/>
              <w:divBdr>
                <w:top w:val="none" w:sz="0" w:space="0" w:color="auto"/>
                <w:left w:val="none" w:sz="0" w:space="0" w:color="auto"/>
                <w:bottom w:val="none" w:sz="0" w:space="0" w:color="auto"/>
                <w:right w:val="none" w:sz="0" w:space="0" w:color="auto"/>
              </w:divBdr>
            </w:div>
            <w:div w:id="18951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46678">
      <w:bodyDiv w:val="1"/>
      <w:marLeft w:val="0"/>
      <w:marRight w:val="0"/>
      <w:marTop w:val="0"/>
      <w:marBottom w:val="0"/>
      <w:divBdr>
        <w:top w:val="none" w:sz="0" w:space="0" w:color="auto"/>
        <w:left w:val="none" w:sz="0" w:space="0" w:color="auto"/>
        <w:bottom w:val="none" w:sz="0" w:space="0" w:color="auto"/>
        <w:right w:val="none" w:sz="0" w:space="0" w:color="auto"/>
      </w:divBdr>
    </w:div>
    <w:div w:id="1513950933">
      <w:bodyDiv w:val="1"/>
      <w:marLeft w:val="0"/>
      <w:marRight w:val="0"/>
      <w:marTop w:val="0"/>
      <w:marBottom w:val="0"/>
      <w:divBdr>
        <w:top w:val="none" w:sz="0" w:space="0" w:color="auto"/>
        <w:left w:val="none" w:sz="0" w:space="0" w:color="auto"/>
        <w:bottom w:val="none" w:sz="0" w:space="0" w:color="auto"/>
        <w:right w:val="none" w:sz="0" w:space="0" w:color="auto"/>
      </w:divBdr>
    </w:div>
    <w:div w:id="1517963883">
      <w:bodyDiv w:val="1"/>
      <w:marLeft w:val="0"/>
      <w:marRight w:val="0"/>
      <w:marTop w:val="0"/>
      <w:marBottom w:val="0"/>
      <w:divBdr>
        <w:top w:val="none" w:sz="0" w:space="0" w:color="auto"/>
        <w:left w:val="none" w:sz="0" w:space="0" w:color="auto"/>
        <w:bottom w:val="none" w:sz="0" w:space="0" w:color="auto"/>
        <w:right w:val="none" w:sz="0" w:space="0" w:color="auto"/>
      </w:divBdr>
      <w:divsChild>
        <w:div w:id="270012102">
          <w:marLeft w:val="446"/>
          <w:marRight w:val="0"/>
          <w:marTop w:val="0"/>
          <w:marBottom w:val="120"/>
          <w:divBdr>
            <w:top w:val="none" w:sz="0" w:space="0" w:color="auto"/>
            <w:left w:val="none" w:sz="0" w:space="0" w:color="auto"/>
            <w:bottom w:val="none" w:sz="0" w:space="0" w:color="auto"/>
            <w:right w:val="none" w:sz="0" w:space="0" w:color="auto"/>
          </w:divBdr>
        </w:div>
        <w:div w:id="1250651943">
          <w:marLeft w:val="446"/>
          <w:marRight w:val="0"/>
          <w:marTop w:val="0"/>
          <w:marBottom w:val="120"/>
          <w:divBdr>
            <w:top w:val="none" w:sz="0" w:space="0" w:color="auto"/>
            <w:left w:val="none" w:sz="0" w:space="0" w:color="auto"/>
            <w:bottom w:val="none" w:sz="0" w:space="0" w:color="auto"/>
            <w:right w:val="none" w:sz="0" w:space="0" w:color="auto"/>
          </w:divBdr>
        </w:div>
      </w:divsChild>
    </w:div>
    <w:div w:id="1533957010">
      <w:bodyDiv w:val="1"/>
      <w:marLeft w:val="0"/>
      <w:marRight w:val="0"/>
      <w:marTop w:val="0"/>
      <w:marBottom w:val="0"/>
      <w:divBdr>
        <w:top w:val="none" w:sz="0" w:space="0" w:color="auto"/>
        <w:left w:val="none" w:sz="0" w:space="0" w:color="auto"/>
        <w:bottom w:val="none" w:sz="0" w:space="0" w:color="auto"/>
        <w:right w:val="none" w:sz="0" w:space="0" w:color="auto"/>
      </w:divBdr>
    </w:div>
    <w:div w:id="1543710427">
      <w:bodyDiv w:val="1"/>
      <w:marLeft w:val="0"/>
      <w:marRight w:val="0"/>
      <w:marTop w:val="0"/>
      <w:marBottom w:val="0"/>
      <w:divBdr>
        <w:top w:val="none" w:sz="0" w:space="0" w:color="auto"/>
        <w:left w:val="none" w:sz="0" w:space="0" w:color="auto"/>
        <w:bottom w:val="none" w:sz="0" w:space="0" w:color="auto"/>
        <w:right w:val="none" w:sz="0" w:space="0" w:color="auto"/>
      </w:divBdr>
    </w:div>
    <w:div w:id="1554005669">
      <w:bodyDiv w:val="1"/>
      <w:marLeft w:val="0"/>
      <w:marRight w:val="0"/>
      <w:marTop w:val="0"/>
      <w:marBottom w:val="0"/>
      <w:divBdr>
        <w:top w:val="none" w:sz="0" w:space="0" w:color="auto"/>
        <w:left w:val="none" w:sz="0" w:space="0" w:color="auto"/>
        <w:bottom w:val="none" w:sz="0" w:space="0" w:color="auto"/>
        <w:right w:val="none" w:sz="0" w:space="0" w:color="auto"/>
      </w:divBdr>
    </w:div>
    <w:div w:id="1593734259">
      <w:bodyDiv w:val="1"/>
      <w:marLeft w:val="0"/>
      <w:marRight w:val="0"/>
      <w:marTop w:val="0"/>
      <w:marBottom w:val="0"/>
      <w:divBdr>
        <w:top w:val="none" w:sz="0" w:space="0" w:color="auto"/>
        <w:left w:val="none" w:sz="0" w:space="0" w:color="auto"/>
        <w:bottom w:val="none" w:sz="0" w:space="0" w:color="auto"/>
        <w:right w:val="none" w:sz="0" w:space="0" w:color="auto"/>
      </w:divBdr>
    </w:div>
    <w:div w:id="1603339881">
      <w:bodyDiv w:val="1"/>
      <w:marLeft w:val="0"/>
      <w:marRight w:val="0"/>
      <w:marTop w:val="0"/>
      <w:marBottom w:val="0"/>
      <w:divBdr>
        <w:top w:val="none" w:sz="0" w:space="0" w:color="auto"/>
        <w:left w:val="none" w:sz="0" w:space="0" w:color="auto"/>
        <w:bottom w:val="none" w:sz="0" w:space="0" w:color="auto"/>
        <w:right w:val="none" w:sz="0" w:space="0" w:color="auto"/>
      </w:divBdr>
    </w:div>
    <w:div w:id="1635327700">
      <w:bodyDiv w:val="1"/>
      <w:marLeft w:val="0"/>
      <w:marRight w:val="0"/>
      <w:marTop w:val="0"/>
      <w:marBottom w:val="0"/>
      <w:divBdr>
        <w:top w:val="none" w:sz="0" w:space="0" w:color="auto"/>
        <w:left w:val="none" w:sz="0" w:space="0" w:color="auto"/>
        <w:bottom w:val="none" w:sz="0" w:space="0" w:color="auto"/>
        <w:right w:val="none" w:sz="0" w:space="0" w:color="auto"/>
      </w:divBdr>
    </w:div>
    <w:div w:id="1658994194">
      <w:bodyDiv w:val="1"/>
      <w:marLeft w:val="0"/>
      <w:marRight w:val="0"/>
      <w:marTop w:val="0"/>
      <w:marBottom w:val="0"/>
      <w:divBdr>
        <w:top w:val="none" w:sz="0" w:space="0" w:color="auto"/>
        <w:left w:val="none" w:sz="0" w:space="0" w:color="auto"/>
        <w:bottom w:val="none" w:sz="0" w:space="0" w:color="auto"/>
        <w:right w:val="none" w:sz="0" w:space="0" w:color="auto"/>
      </w:divBdr>
    </w:div>
    <w:div w:id="1695032074">
      <w:bodyDiv w:val="1"/>
      <w:marLeft w:val="0"/>
      <w:marRight w:val="0"/>
      <w:marTop w:val="0"/>
      <w:marBottom w:val="0"/>
      <w:divBdr>
        <w:top w:val="none" w:sz="0" w:space="0" w:color="auto"/>
        <w:left w:val="none" w:sz="0" w:space="0" w:color="auto"/>
        <w:bottom w:val="none" w:sz="0" w:space="0" w:color="auto"/>
        <w:right w:val="none" w:sz="0" w:space="0" w:color="auto"/>
      </w:divBdr>
    </w:div>
    <w:div w:id="1717658774">
      <w:bodyDiv w:val="1"/>
      <w:marLeft w:val="0"/>
      <w:marRight w:val="0"/>
      <w:marTop w:val="0"/>
      <w:marBottom w:val="0"/>
      <w:divBdr>
        <w:top w:val="none" w:sz="0" w:space="0" w:color="auto"/>
        <w:left w:val="none" w:sz="0" w:space="0" w:color="auto"/>
        <w:bottom w:val="none" w:sz="0" w:space="0" w:color="auto"/>
        <w:right w:val="none" w:sz="0" w:space="0" w:color="auto"/>
      </w:divBdr>
    </w:div>
    <w:div w:id="1734811898">
      <w:bodyDiv w:val="1"/>
      <w:marLeft w:val="0"/>
      <w:marRight w:val="0"/>
      <w:marTop w:val="0"/>
      <w:marBottom w:val="0"/>
      <w:divBdr>
        <w:top w:val="none" w:sz="0" w:space="0" w:color="auto"/>
        <w:left w:val="none" w:sz="0" w:space="0" w:color="auto"/>
        <w:bottom w:val="none" w:sz="0" w:space="0" w:color="auto"/>
        <w:right w:val="none" w:sz="0" w:space="0" w:color="auto"/>
      </w:divBdr>
    </w:div>
    <w:div w:id="1762679878">
      <w:bodyDiv w:val="1"/>
      <w:marLeft w:val="0"/>
      <w:marRight w:val="0"/>
      <w:marTop w:val="0"/>
      <w:marBottom w:val="0"/>
      <w:divBdr>
        <w:top w:val="none" w:sz="0" w:space="0" w:color="auto"/>
        <w:left w:val="none" w:sz="0" w:space="0" w:color="auto"/>
        <w:bottom w:val="none" w:sz="0" w:space="0" w:color="auto"/>
        <w:right w:val="none" w:sz="0" w:space="0" w:color="auto"/>
      </w:divBdr>
      <w:divsChild>
        <w:div w:id="338242040">
          <w:marLeft w:val="0"/>
          <w:marRight w:val="0"/>
          <w:marTop w:val="0"/>
          <w:marBottom w:val="0"/>
          <w:divBdr>
            <w:top w:val="none" w:sz="0" w:space="0" w:color="auto"/>
            <w:left w:val="none" w:sz="0" w:space="0" w:color="auto"/>
            <w:bottom w:val="none" w:sz="0" w:space="0" w:color="auto"/>
            <w:right w:val="none" w:sz="0" w:space="0" w:color="auto"/>
          </w:divBdr>
        </w:div>
        <w:div w:id="359858394">
          <w:marLeft w:val="0"/>
          <w:marRight w:val="0"/>
          <w:marTop w:val="0"/>
          <w:marBottom w:val="0"/>
          <w:divBdr>
            <w:top w:val="none" w:sz="0" w:space="0" w:color="auto"/>
            <w:left w:val="none" w:sz="0" w:space="0" w:color="auto"/>
            <w:bottom w:val="none" w:sz="0" w:space="0" w:color="auto"/>
            <w:right w:val="none" w:sz="0" w:space="0" w:color="auto"/>
          </w:divBdr>
        </w:div>
        <w:div w:id="756707163">
          <w:marLeft w:val="0"/>
          <w:marRight w:val="0"/>
          <w:marTop w:val="0"/>
          <w:marBottom w:val="0"/>
          <w:divBdr>
            <w:top w:val="none" w:sz="0" w:space="0" w:color="auto"/>
            <w:left w:val="none" w:sz="0" w:space="0" w:color="auto"/>
            <w:bottom w:val="none" w:sz="0" w:space="0" w:color="auto"/>
            <w:right w:val="none" w:sz="0" w:space="0" w:color="auto"/>
          </w:divBdr>
        </w:div>
        <w:div w:id="841241947">
          <w:marLeft w:val="0"/>
          <w:marRight w:val="0"/>
          <w:marTop w:val="0"/>
          <w:marBottom w:val="0"/>
          <w:divBdr>
            <w:top w:val="none" w:sz="0" w:space="0" w:color="auto"/>
            <w:left w:val="none" w:sz="0" w:space="0" w:color="auto"/>
            <w:bottom w:val="none" w:sz="0" w:space="0" w:color="auto"/>
            <w:right w:val="none" w:sz="0" w:space="0" w:color="auto"/>
          </w:divBdr>
        </w:div>
        <w:div w:id="1070230428">
          <w:marLeft w:val="0"/>
          <w:marRight w:val="0"/>
          <w:marTop w:val="0"/>
          <w:marBottom w:val="0"/>
          <w:divBdr>
            <w:top w:val="none" w:sz="0" w:space="0" w:color="auto"/>
            <w:left w:val="none" w:sz="0" w:space="0" w:color="auto"/>
            <w:bottom w:val="none" w:sz="0" w:space="0" w:color="auto"/>
            <w:right w:val="none" w:sz="0" w:space="0" w:color="auto"/>
          </w:divBdr>
          <w:divsChild>
            <w:div w:id="8527532">
              <w:marLeft w:val="0"/>
              <w:marRight w:val="0"/>
              <w:marTop w:val="0"/>
              <w:marBottom w:val="0"/>
              <w:divBdr>
                <w:top w:val="none" w:sz="0" w:space="0" w:color="auto"/>
                <w:left w:val="none" w:sz="0" w:space="0" w:color="auto"/>
                <w:bottom w:val="none" w:sz="0" w:space="0" w:color="auto"/>
                <w:right w:val="none" w:sz="0" w:space="0" w:color="auto"/>
              </w:divBdr>
            </w:div>
            <w:div w:id="690422816">
              <w:marLeft w:val="0"/>
              <w:marRight w:val="0"/>
              <w:marTop w:val="0"/>
              <w:marBottom w:val="0"/>
              <w:divBdr>
                <w:top w:val="none" w:sz="0" w:space="0" w:color="auto"/>
                <w:left w:val="none" w:sz="0" w:space="0" w:color="auto"/>
                <w:bottom w:val="none" w:sz="0" w:space="0" w:color="auto"/>
                <w:right w:val="none" w:sz="0" w:space="0" w:color="auto"/>
              </w:divBdr>
            </w:div>
            <w:div w:id="862787717">
              <w:marLeft w:val="0"/>
              <w:marRight w:val="0"/>
              <w:marTop w:val="0"/>
              <w:marBottom w:val="0"/>
              <w:divBdr>
                <w:top w:val="none" w:sz="0" w:space="0" w:color="auto"/>
                <w:left w:val="none" w:sz="0" w:space="0" w:color="auto"/>
                <w:bottom w:val="none" w:sz="0" w:space="0" w:color="auto"/>
                <w:right w:val="none" w:sz="0" w:space="0" w:color="auto"/>
              </w:divBdr>
            </w:div>
            <w:div w:id="1027222868">
              <w:marLeft w:val="0"/>
              <w:marRight w:val="0"/>
              <w:marTop w:val="0"/>
              <w:marBottom w:val="0"/>
              <w:divBdr>
                <w:top w:val="none" w:sz="0" w:space="0" w:color="auto"/>
                <w:left w:val="none" w:sz="0" w:space="0" w:color="auto"/>
                <w:bottom w:val="none" w:sz="0" w:space="0" w:color="auto"/>
                <w:right w:val="none" w:sz="0" w:space="0" w:color="auto"/>
              </w:divBdr>
            </w:div>
          </w:divsChild>
        </w:div>
        <w:div w:id="1880895468">
          <w:marLeft w:val="0"/>
          <w:marRight w:val="0"/>
          <w:marTop w:val="0"/>
          <w:marBottom w:val="0"/>
          <w:divBdr>
            <w:top w:val="none" w:sz="0" w:space="0" w:color="auto"/>
            <w:left w:val="none" w:sz="0" w:space="0" w:color="auto"/>
            <w:bottom w:val="none" w:sz="0" w:space="0" w:color="auto"/>
            <w:right w:val="none" w:sz="0" w:space="0" w:color="auto"/>
          </w:divBdr>
        </w:div>
      </w:divsChild>
    </w:div>
    <w:div w:id="1791245290">
      <w:bodyDiv w:val="1"/>
      <w:marLeft w:val="0"/>
      <w:marRight w:val="0"/>
      <w:marTop w:val="0"/>
      <w:marBottom w:val="0"/>
      <w:divBdr>
        <w:top w:val="none" w:sz="0" w:space="0" w:color="auto"/>
        <w:left w:val="none" w:sz="0" w:space="0" w:color="auto"/>
        <w:bottom w:val="none" w:sz="0" w:space="0" w:color="auto"/>
        <w:right w:val="none" w:sz="0" w:space="0" w:color="auto"/>
      </w:divBdr>
    </w:div>
    <w:div w:id="1793595524">
      <w:bodyDiv w:val="1"/>
      <w:marLeft w:val="0"/>
      <w:marRight w:val="0"/>
      <w:marTop w:val="0"/>
      <w:marBottom w:val="0"/>
      <w:divBdr>
        <w:top w:val="none" w:sz="0" w:space="0" w:color="auto"/>
        <w:left w:val="none" w:sz="0" w:space="0" w:color="auto"/>
        <w:bottom w:val="none" w:sz="0" w:space="0" w:color="auto"/>
        <w:right w:val="none" w:sz="0" w:space="0" w:color="auto"/>
      </w:divBdr>
    </w:div>
    <w:div w:id="1829444194">
      <w:bodyDiv w:val="1"/>
      <w:marLeft w:val="0"/>
      <w:marRight w:val="0"/>
      <w:marTop w:val="0"/>
      <w:marBottom w:val="0"/>
      <w:divBdr>
        <w:top w:val="none" w:sz="0" w:space="0" w:color="auto"/>
        <w:left w:val="none" w:sz="0" w:space="0" w:color="auto"/>
        <w:bottom w:val="none" w:sz="0" w:space="0" w:color="auto"/>
        <w:right w:val="none" w:sz="0" w:space="0" w:color="auto"/>
      </w:divBdr>
    </w:div>
    <w:div w:id="1942687003">
      <w:bodyDiv w:val="1"/>
      <w:marLeft w:val="0"/>
      <w:marRight w:val="0"/>
      <w:marTop w:val="0"/>
      <w:marBottom w:val="0"/>
      <w:divBdr>
        <w:top w:val="none" w:sz="0" w:space="0" w:color="auto"/>
        <w:left w:val="none" w:sz="0" w:space="0" w:color="auto"/>
        <w:bottom w:val="none" w:sz="0" w:space="0" w:color="auto"/>
        <w:right w:val="none" w:sz="0" w:space="0" w:color="auto"/>
      </w:divBdr>
    </w:div>
    <w:div w:id="1966348094">
      <w:bodyDiv w:val="1"/>
      <w:marLeft w:val="0"/>
      <w:marRight w:val="0"/>
      <w:marTop w:val="0"/>
      <w:marBottom w:val="0"/>
      <w:divBdr>
        <w:top w:val="none" w:sz="0" w:space="0" w:color="auto"/>
        <w:left w:val="none" w:sz="0" w:space="0" w:color="auto"/>
        <w:bottom w:val="none" w:sz="0" w:space="0" w:color="auto"/>
        <w:right w:val="none" w:sz="0" w:space="0" w:color="auto"/>
      </w:divBdr>
    </w:div>
    <w:div w:id="1984574682">
      <w:bodyDiv w:val="1"/>
      <w:marLeft w:val="0"/>
      <w:marRight w:val="0"/>
      <w:marTop w:val="0"/>
      <w:marBottom w:val="0"/>
      <w:divBdr>
        <w:top w:val="none" w:sz="0" w:space="0" w:color="auto"/>
        <w:left w:val="none" w:sz="0" w:space="0" w:color="auto"/>
        <w:bottom w:val="none" w:sz="0" w:space="0" w:color="auto"/>
        <w:right w:val="none" w:sz="0" w:space="0" w:color="auto"/>
      </w:divBdr>
    </w:div>
    <w:div w:id="2058696954">
      <w:bodyDiv w:val="1"/>
      <w:marLeft w:val="0"/>
      <w:marRight w:val="0"/>
      <w:marTop w:val="0"/>
      <w:marBottom w:val="0"/>
      <w:divBdr>
        <w:top w:val="none" w:sz="0" w:space="0" w:color="auto"/>
        <w:left w:val="none" w:sz="0" w:space="0" w:color="auto"/>
        <w:bottom w:val="none" w:sz="0" w:space="0" w:color="auto"/>
        <w:right w:val="none" w:sz="0" w:space="0" w:color="auto"/>
      </w:divBdr>
    </w:div>
    <w:div w:id="2064713072">
      <w:bodyDiv w:val="1"/>
      <w:marLeft w:val="0"/>
      <w:marRight w:val="0"/>
      <w:marTop w:val="0"/>
      <w:marBottom w:val="0"/>
      <w:divBdr>
        <w:top w:val="none" w:sz="0" w:space="0" w:color="auto"/>
        <w:left w:val="none" w:sz="0" w:space="0" w:color="auto"/>
        <w:bottom w:val="none" w:sz="0" w:space="0" w:color="auto"/>
        <w:right w:val="none" w:sz="0" w:space="0" w:color="auto"/>
      </w:divBdr>
    </w:div>
    <w:div w:id="2093623151">
      <w:bodyDiv w:val="1"/>
      <w:marLeft w:val="0"/>
      <w:marRight w:val="0"/>
      <w:marTop w:val="0"/>
      <w:marBottom w:val="0"/>
      <w:divBdr>
        <w:top w:val="none" w:sz="0" w:space="0" w:color="auto"/>
        <w:left w:val="none" w:sz="0" w:space="0" w:color="auto"/>
        <w:bottom w:val="none" w:sz="0" w:space="0" w:color="auto"/>
        <w:right w:val="none" w:sz="0" w:space="0" w:color="auto"/>
      </w:divBdr>
    </w:div>
    <w:div w:id="2098598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ema.europa.eu/en/glossary/mutual-recognition-agre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ma.europa.eu/en/documents/other/good-practice-guidance-patient-healthcare-professional-organisations-prevention-shortages-medicines_en.pdf" TargetMode="External"/><Relationship Id="rId3" Type="http://schemas.openxmlformats.org/officeDocument/2006/relationships/hyperlink" Target="https://eur-lex.europa.eu/legal-content/FR/TXT/PDF/?uri=CELEX:52020DC0724" TargetMode="External"/><Relationship Id="rId7" Type="http://schemas.openxmlformats.org/officeDocument/2006/relationships/hyperlink" Target="file:///C:/Users/balutbi/Downloads/ENISA%20Threat%20Landscape%202022.pdf" TargetMode="External"/><Relationship Id="rId12" Type="http://schemas.openxmlformats.org/officeDocument/2006/relationships/hyperlink" Target="https://health.ec.europa.eu/system/files/2023-03/international_ghs-report-2022_en.pdf" TargetMode="External"/><Relationship Id="rId2" Type="http://schemas.openxmlformats.org/officeDocument/2006/relationships/hyperlink" Target="https://eur-lex.europa.eu/legal-content/FR/TXT/PDF/?uri=CELEX:52020DC0724" TargetMode="External"/><Relationship Id="rId1" Type="http://schemas.openxmlformats.org/officeDocument/2006/relationships/hyperlink" Target="https://www.consilium.europa.eu/fr/press/press-releases/2023/10/06/granada-declaration/" TargetMode="External"/><Relationship Id="rId6" Type="http://schemas.openxmlformats.org/officeDocument/2006/relationships/hyperlink" Target="https://www.ema.europa.eu/en/documents/other/reflection-paper-forecasting-demand-medicinal-products-eu/eea_en.pdf" TargetMode="External"/><Relationship Id="rId11" Type="http://schemas.openxmlformats.org/officeDocument/2006/relationships/hyperlink" Target="https://commission.europa.eu/strategy-and-policy/eu-budget/strategic-technologies-europe-platform_en" TargetMode="External"/><Relationship Id="rId5" Type="http://schemas.openxmlformats.org/officeDocument/2006/relationships/hyperlink" Target="https://health.ec.europa.eu/publications/hera-work-plan-2022_en" TargetMode="External"/><Relationship Id="rId10" Type="http://schemas.openxmlformats.org/officeDocument/2006/relationships/hyperlink" Target="https://dserver.bundestag.de/btd/20/068/2006871.pdf" TargetMode="External"/><Relationship Id="rId4" Type="http://schemas.openxmlformats.org/officeDocument/2006/relationships/hyperlink" Target="https://www.ema.europa.eu/en/documents/other/mssg-solidarity-mechanism_en.pdf" TargetMode="External"/><Relationship Id="rId9" Type="http://schemas.openxmlformats.org/officeDocument/2006/relationships/hyperlink" Target="https://www.ema.europa.eu/en/documents/regulatory-procedural-guideline/good-practices-industry-prevention-human-medicinal-product-shortage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6" ma:contentTypeDescription="Create a new document." ma:contentTypeScope="" ma:versionID="544a6451b61b47519a7c4dd3194982f6">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ab0c97f1ad15360793915f5b6a33503d"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2983581-87cd-4b3a-a77a-777bbb751c49">
      <UserInfo>
        <DisplayName/>
        <AccountId xsi:nil="true"/>
        <AccountType/>
      </UserInfo>
    </SharedWithUsers>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E9995-BAA7-4598-A52B-FE744C9BF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2AF90C-3D1E-4708-8866-B7744330CC62}">
  <ds:schemaRefs>
    <ds:schemaRef ds:uri="http://schemas.microsoft.com/sharepoint/v3/contenttype/forms"/>
  </ds:schemaRefs>
</ds:datastoreItem>
</file>

<file path=customXml/itemProps3.xml><?xml version="1.0" encoding="utf-8"?>
<ds:datastoreItem xmlns:ds="http://schemas.openxmlformats.org/officeDocument/2006/customXml" ds:itemID="{D38CE949-EE59-40A3-9934-058B77C6CE2B}">
  <ds:schemaRefs>
    <ds:schemaRef ds:uri="http://schemas.microsoft.com/office/2006/metadata/properties"/>
    <ds:schemaRef ds:uri="http://schemas.microsoft.com/office/infopath/2007/PartnerControls"/>
    <ds:schemaRef ds:uri="f2983581-87cd-4b3a-a77a-777bbb751c49"/>
    <ds:schemaRef ds:uri="590d3f1b-a5be-4600-95ba-480499bda195"/>
  </ds:schemaRefs>
</ds:datastoreItem>
</file>

<file path=customXml/itemProps4.xml><?xml version="1.0" encoding="utf-8"?>
<ds:datastoreItem xmlns:ds="http://schemas.openxmlformats.org/officeDocument/2006/customXml" ds:itemID="{5DA44332-4463-4C38-A913-D85125B66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8953</Words>
  <Characters>52470</Characters>
  <Application>Microsoft Office Word</Application>
  <DocSecurity>0</DocSecurity>
  <PresentationFormat>Microsoft Word 14.0</PresentationFormat>
  <Lines>832</Lines>
  <Paragraphs>187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61236</CharactersWithSpaces>
  <SharedDoc>false</SharedDoc>
  <HLinks>
    <vt:vector size="66" baseType="variant">
      <vt:variant>
        <vt:i4>6357043</vt:i4>
      </vt:variant>
      <vt:variant>
        <vt:i4>0</vt:i4>
      </vt:variant>
      <vt:variant>
        <vt:i4>0</vt:i4>
      </vt:variant>
      <vt:variant>
        <vt:i4>5</vt:i4>
      </vt:variant>
      <vt:variant>
        <vt:lpwstr>https://www.ema.europa.eu/en/glossary/mutual-recognition-agreement</vt:lpwstr>
      </vt:variant>
      <vt:variant>
        <vt:lpwstr/>
      </vt:variant>
      <vt:variant>
        <vt:i4>786435</vt:i4>
      </vt:variant>
      <vt:variant>
        <vt:i4>39</vt:i4>
      </vt:variant>
      <vt:variant>
        <vt:i4>0</vt:i4>
      </vt:variant>
      <vt:variant>
        <vt:i4>5</vt:i4>
      </vt:variant>
      <vt:variant>
        <vt:lpwstr>https://health.ec.europa.eu/system/files/2023-03/international_ghs-report-2022_en.pdf</vt:lpwstr>
      </vt:variant>
      <vt:variant>
        <vt:lpwstr/>
      </vt:variant>
      <vt:variant>
        <vt:i4>7733335</vt:i4>
      </vt:variant>
      <vt:variant>
        <vt:i4>36</vt:i4>
      </vt:variant>
      <vt:variant>
        <vt:i4>0</vt:i4>
      </vt:variant>
      <vt:variant>
        <vt:i4>5</vt:i4>
      </vt:variant>
      <vt:variant>
        <vt:lpwstr>https://commission.europa.eu/strategy-and-policy/eu-budget/strategic-technologies-europe-platform_en</vt:lpwstr>
      </vt:variant>
      <vt:variant>
        <vt:lpwstr/>
      </vt:variant>
      <vt:variant>
        <vt:i4>6946924</vt:i4>
      </vt:variant>
      <vt:variant>
        <vt:i4>33</vt:i4>
      </vt:variant>
      <vt:variant>
        <vt:i4>0</vt:i4>
      </vt:variant>
      <vt:variant>
        <vt:i4>5</vt:i4>
      </vt:variant>
      <vt:variant>
        <vt:lpwstr>https://dserver.bundestag.de/btd/20/068/2006871.pdf</vt:lpwstr>
      </vt:variant>
      <vt:variant>
        <vt:lpwstr/>
      </vt:variant>
      <vt:variant>
        <vt:i4>4784242</vt:i4>
      </vt:variant>
      <vt:variant>
        <vt:i4>30</vt:i4>
      </vt:variant>
      <vt:variant>
        <vt:i4>0</vt:i4>
      </vt:variant>
      <vt:variant>
        <vt:i4>5</vt:i4>
      </vt:variant>
      <vt:variant>
        <vt:lpwstr>https://www.ema.europa.eu/en/documents/regulatory-procedural-guideline/good-practices-industry-prevention-human-medicinal-product-shortages_en.pdf</vt:lpwstr>
      </vt:variant>
      <vt:variant>
        <vt:lpwstr/>
      </vt:variant>
      <vt:variant>
        <vt:i4>3342339</vt:i4>
      </vt:variant>
      <vt:variant>
        <vt:i4>27</vt:i4>
      </vt:variant>
      <vt:variant>
        <vt:i4>0</vt:i4>
      </vt:variant>
      <vt:variant>
        <vt:i4>5</vt:i4>
      </vt:variant>
      <vt:variant>
        <vt:lpwstr>https://www.ema.europa.eu/en/documents/other/good-practice-guidance-patient-healthcare-professional-organisations-prevention-shortages-medicines_en.pdf</vt:lpwstr>
      </vt:variant>
      <vt:variant>
        <vt:lpwstr/>
      </vt:variant>
      <vt:variant>
        <vt:i4>3080293</vt:i4>
      </vt:variant>
      <vt:variant>
        <vt:i4>24</vt:i4>
      </vt:variant>
      <vt:variant>
        <vt:i4>0</vt:i4>
      </vt:variant>
      <vt:variant>
        <vt:i4>5</vt:i4>
      </vt:variant>
      <vt:variant>
        <vt:lpwstr>C:\Users\balutbi\Downloads\ENISA Threat Landscape 2022.pdf</vt:lpwstr>
      </vt:variant>
      <vt:variant>
        <vt:lpwstr/>
      </vt:variant>
      <vt:variant>
        <vt:i4>65590</vt:i4>
      </vt:variant>
      <vt:variant>
        <vt:i4>21</vt:i4>
      </vt:variant>
      <vt:variant>
        <vt:i4>0</vt:i4>
      </vt:variant>
      <vt:variant>
        <vt:i4>5</vt:i4>
      </vt:variant>
      <vt:variant>
        <vt:lpwstr>https://www.ema.europa.eu/en/documents/other/reflection-paper-forecasting-demand-medicinal-products-eu/eea_en.pdf</vt:lpwstr>
      </vt:variant>
      <vt:variant>
        <vt:lpwstr/>
      </vt:variant>
      <vt:variant>
        <vt:i4>7340047</vt:i4>
      </vt:variant>
      <vt:variant>
        <vt:i4>18</vt:i4>
      </vt:variant>
      <vt:variant>
        <vt:i4>0</vt:i4>
      </vt:variant>
      <vt:variant>
        <vt:i4>5</vt:i4>
      </vt:variant>
      <vt:variant>
        <vt:lpwstr>https://health.ec.europa.eu/publications/hera-work-plan-2022_en</vt:lpwstr>
      </vt:variant>
      <vt:variant>
        <vt:lpwstr/>
      </vt:variant>
      <vt:variant>
        <vt:i4>1310808</vt:i4>
      </vt:variant>
      <vt:variant>
        <vt:i4>6</vt:i4>
      </vt:variant>
      <vt:variant>
        <vt:i4>0</vt:i4>
      </vt:variant>
      <vt:variant>
        <vt:i4>5</vt:i4>
      </vt:variant>
      <vt:variant>
        <vt:lpwstr>https://eur-lex.europa.eu/legal-content/EN/TXT/PDF/?uri=CELEX:52020DC0724</vt:lpwstr>
      </vt:variant>
      <vt:variant>
        <vt:lpwstr/>
      </vt:variant>
      <vt:variant>
        <vt:i4>2359393</vt:i4>
      </vt:variant>
      <vt:variant>
        <vt:i4>0</vt:i4>
      </vt:variant>
      <vt:variant>
        <vt:i4>0</vt:i4>
      </vt:variant>
      <vt:variant>
        <vt:i4>5</vt:i4>
      </vt:variant>
      <vt:variant>
        <vt:lpwstr>https://www.consilium.europa.eu/en/press/press-releases/2023/10/06/granada-declaration/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2023-11-09T14:09:00Z</dcterms:created>
  <dcterms:modified xsi:type="dcterms:W3CDTF">2023-11-10T18:37:00Z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Enabled">
    <vt:lpwstr>true</vt:lpwstr>
  </property>
  <property fmtid="{D5CDD505-2E9C-101B-9397-08002B2CF9AE}" pid="5" name="MSIP_Label_6bd9ddd1-4d20-43f6-abfa-fc3c07406f94_SetDate">
    <vt:lpwstr>2023-10-20T08:41:47Z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ef45be8c-c63c-4db9-a8bc-e7037c887341</vt:lpwstr>
  </property>
  <property fmtid="{D5CDD505-2E9C-101B-9397-08002B2CF9AE}" pid="10" name="MSIP_Label_6bd9ddd1-4d20-43f6-abfa-fc3c07406f94_ContentBits">
    <vt:lpwstr>0</vt:lpwstr>
  </property>
  <property fmtid="{D5CDD505-2E9C-101B-9397-08002B2CF9AE}" pid="11" name="MediaServiceImageTags">
    <vt:lpwstr/>
  </property>
  <property fmtid="{D5CDD505-2E9C-101B-9397-08002B2CF9AE}" pid="12" name="ContentTypeId">
    <vt:lpwstr>0x010100DAD48F1434A9434C98DA00CC7DA69B89</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CP-009</vt:lpwstr>
  </property>
</Properties>
</file>