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6448FF" w14:textId="28EF204A" w:rsidR="00524948" w:rsidRPr="002D7825" w:rsidRDefault="009E020B" w:rsidP="009E020B">
      <w:pPr>
        <w:pStyle w:val="Pagedecouverture"/>
        <w:rPr>
          <w:noProof/>
        </w:rPr>
      </w:pPr>
      <w:r>
        <w:rPr>
          <w:noProof/>
        </w:rPr>
        <w:pict w14:anchorId="0AC86F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E9A300C5-AD97-40A0-857C-E8E1A3CEE5AF" style="width:455.25pt;height:426pt">
            <v:imagedata r:id="rId11" o:title=""/>
          </v:shape>
        </w:pict>
      </w:r>
    </w:p>
    <w:p w14:paraId="5D5168E1" w14:textId="77777777" w:rsidR="003E3187" w:rsidRPr="002D7825" w:rsidRDefault="003E3187" w:rsidP="003E3187">
      <w:pPr>
        <w:rPr>
          <w:noProof/>
        </w:rPr>
        <w:sectPr w:rsidR="003E3187" w:rsidRPr="002D7825" w:rsidSect="009E020B">
          <w:footerReference w:type="default" r:id="rId12"/>
          <w:pgSz w:w="11907" w:h="16839"/>
          <w:pgMar w:top="1134" w:right="1417" w:bottom="1134" w:left="1417" w:header="709" w:footer="709" w:gutter="0"/>
          <w:pgNumType w:start="0"/>
          <w:cols w:space="720"/>
          <w:docGrid w:linePitch="360"/>
        </w:sectPr>
      </w:pPr>
    </w:p>
    <w:p w14:paraId="17315E86" w14:textId="77777777" w:rsidR="00524948" w:rsidRPr="002D7825" w:rsidRDefault="00524948" w:rsidP="003E3187">
      <w:pPr>
        <w:pStyle w:val="Exposdesmotifstitre"/>
        <w:rPr>
          <w:noProof/>
        </w:rPr>
      </w:pPr>
      <w:bookmarkStart w:id="0" w:name="_GoBack"/>
      <w:bookmarkEnd w:id="0"/>
      <w:r w:rsidRPr="002D7825">
        <w:rPr>
          <w:noProof/>
        </w:rPr>
        <w:lastRenderedPageBreak/>
        <w:t>EXPUNERE DE MOTIVE</w:t>
      </w:r>
    </w:p>
    <w:p w14:paraId="5C040BE7" w14:textId="77777777" w:rsidR="00524948" w:rsidRPr="002D7825" w:rsidRDefault="00524948" w:rsidP="00B44338">
      <w:pPr>
        <w:pStyle w:val="ManualHeading1"/>
        <w:rPr>
          <w:noProof/>
        </w:rPr>
      </w:pPr>
      <w:r w:rsidRPr="002D7825">
        <w:rPr>
          <w:noProof/>
        </w:rPr>
        <w:t>1.</w:t>
      </w:r>
      <w:r w:rsidRPr="002D7825">
        <w:rPr>
          <w:noProof/>
        </w:rPr>
        <w:tab/>
        <w:t>CONTEXTUL PROPUNERII</w:t>
      </w:r>
    </w:p>
    <w:p w14:paraId="224972DD" w14:textId="77777777" w:rsidR="003A6874" w:rsidRPr="002D7825" w:rsidRDefault="00524948" w:rsidP="003A6874">
      <w:pPr>
        <w:pStyle w:val="ManualHeading2"/>
        <w:rPr>
          <w:rFonts w:eastAsia="Arial Unicode MS"/>
          <w:noProof/>
        </w:rPr>
      </w:pPr>
      <w:r w:rsidRPr="002D7825">
        <w:rPr>
          <w:noProof/>
          <w:color w:val="000000"/>
          <w:u w:color="000000"/>
          <w:bdr w:val="nil"/>
        </w:rPr>
        <w:t>•</w:t>
      </w:r>
      <w:r w:rsidRPr="002D7825">
        <w:rPr>
          <w:noProof/>
        </w:rPr>
        <w:tab/>
        <w:t>Motivele și obiectivele propunerii</w:t>
      </w:r>
    </w:p>
    <w:p w14:paraId="76C848DF" w14:textId="77777777" w:rsidR="003A6874" w:rsidRPr="002D7825" w:rsidRDefault="003A6874" w:rsidP="003A6874">
      <w:pPr>
        <w:pStyle w:val="Text1"/>
        <w:ind w:left="0"/>
        <w:rPr>
          <w:rFonts w:eastAsia="Arial Unicode MS"/>
          <w:noProof/>
          <w:color w:val="000000"/>
          <w:u w:color="000000"/>
          <w:bdr w:val="nil"/>
        </w:rPr>
      </w:pPr>
      <w:r w:rsidRPr="002D7825">
        <w:rPr>
          <w:noProof/>
          <w:color w:val="000000"/>
          <w:u w:color="000000"/>
          <w:bdr w:val="nil"/>
        </w:rPr>
        <w:t>În 2019, Parlamentul European și Consiliul au adoptat Regulamentul (UE) 2019/1009 de stabilire a normelor privind punerea la dispoziție pe piață a produselor fertilizante UE</w:t>
      </w:r>
      <w:r w:rsidRPr="002D7825">
        <w:rPr>
          <w:rStyle w:val="FootnoteReference"/>
          <w:rFonts w:eastAsia="Arial Unicode MS"/>
          <w:noProof/>
          <w:color w:val="000000"/>
          <w:u w:color="000000"/>
          <w:bdr w:val="nil"/>
          <w:lang w:eastAsia="en-GB"/>
        </w:rPr>
        <w:footnoteReference w:id="2"/>
      </w:r>
      <w:r w:rsidRPr="002D7825">
        <w:rPr>
          <w:noProof/>
          <w:color w:val="000000"/>
          <w:u w:color="000000"/>
          <w:bdr w:val="nil"/>
        </w:rPr>
        <w:t>. Acest regulament înlocuiește normele armonizate privind îngrășămintele CE, astfel cum sunt prevăzute în Regulamentul (CE) nr. 2003/2003</w:t>
      </w:r>
      <w:r w:rsidRPr="002D7825">
        <w:rPr>
          <w:rStyle w:val="FootnoteReference"/>
          <w:rFonts w:eastAsia="Arial Unicode MS"/>
          <w:noProof/>
          <w:color w:val="000000"/>
          <w:u w:color="000000"/>
          <w:bdr w:val="nil"/>
          <w:lang w:eastAsia="en-GB"/>
        </w:rPr>
        <w:footnoteReference w:id="3"/>
      </w:r>
      <w:r w:rsidRPr="002D7825">
        <w:rPr>
          <w:noProof/>
          <w:color w:val="000000"/>
          <w:u w:color="000000"/>
          <w:bdr w:val="nil"/>
        </w:rPr>
        <w:t xml:space="preserve">. </w:t>
      </w:r>
    </w:p>
    <w:p w14:paraId="7CA082E0" w14:textId="77777777" w:rsidR="005642F1" w:rsidRPr="002D7825" w:rsidRDefault="003A6874" w:rsidP="003A6874">
      <w:pPr>
        <w:pStyle w:val="Text1"/>
        <w:ind w:left="0"/>
        <w:rPr>
          <w:rFonts w:eastAsia="Arial Unicode MS"/>
          <w:noProof/>
          <w:color w:val="000000"/>
          <w:u w:color="000000"/>
          <w:bdr w:val="nil"/>
        </w:rPr>
      </w:pPr>
      <w:r w:rsidRPr="002D7825">
        <w:rPr>
          <w:noProof/>
          <w:color w:val="000000"/>
          <w:u w:color="000000"/>
          <w:bdr w:val="nil"/>
        </w:rPr>
        <w:t xml:space="preserve">Regulamentul (UE) 2019/1009 introduce cerințe de etichetare mult mai extinse decât Regulamentul (CE) nr. 2003/2003. Acesta a reflectat noile cerințe și preocupări sociale, precum și faptul că noile norme au deschis considerabil piața UE pentru produse inovatoare și necunoscute, impunându-se, prin urmare, o mai bună informare a utilizatorilor. Cu toate acestea, etichetele care prezintă prea multe informații generează două probleme: acestea sunt deopotrivă dificil de citit de către persoanele interesate, cât și dificil de gestionat de către operatorii economici. Furnizarea unui număr mare de detalii pe o etichetă face dificilă identificarea informațiilor esențiale și poate necesita, de asemenea, actualizări frecvente, sporind astfel costurile de etichetare. </w:t>
      </w:r>
    </w:p>
    <w:p w14:paraId="34C9D2EC" w14:textId="77777777" w:rsidR="003A6874" w:rsidRPr="002D7825" w:rsidRDefault="005642F1" w:rsidP="003A6874">
      <w:pPr>
        <w:pStyle w:val="Text1"/>
        <w:ind w:left="0"/>
        <w:rPr>
          <w:noProof/>
        </w:rPr>
      </w:pPr>
      <w:r w:rsidRPr="002D7825">
        <w:rPr>
          <w:noProof/>
          <w:color w:val="000000"/>
          <w:u w:color="000000"/>
          <w:bdr w:val="nil"/>
        </w:rPr>
        <w:t xml:space="preserve">Prezenta propunere este reglementată de aceleași obiective generale ca și Regulamentul (UE) 2019/1009, și anume asigurarea unui nivel ridicat de protecție a sănătății umane și a mediului și buna funcționare a pieței interne. Ca răspuns la cele două probleme identificate, prezenta propunere urmărește două obiective specifice: îmbunătățirea lizibilității etichetelor și facilitarea gestionării acestora de către operatorii economici. </w:t>
      </w:r>
    </w:p>
    <w:p w14:paraId="3DAD71D7" w14:textId="77777777" w:rsidR="00524948" w:rsidRPr="002D7825" w:rsidRDefault="00524948" w:rsidP="00B44338">
      <w:pPr>
        <w:pStyle w:val="ManualHeading2"/>
        <w:rPr>
          <w:rFonts w:eastAsia="Arial Unicode MS"/>
          <w:noProof/>
          <w:color w:val="000000"/>
          <w:u w:color="000000"/>
          <w:bdr w:val="nil"/>
        </w:rPr>
      </w:pPr>
      <w:r w:rsidRPr="002D7825">
        <w:rPr>
          <w:noProof/>
          <w:color w:val="000000"/>
          <w:u w:color="000000"/>
          <w:bdr w:val="nil"/>
        </w:rPr>
        <w:t>•</w:t>
      </w:r>
      <w:r w:rsidRPr="002D7825">
        <w:rPr>
          <w:noProof/>
        </w:rPr>
        <w:tab/>
        <w:t>Coerența cu normele existente în domeniul de politică vizat</w:t>
      </w:r>
    </w:p>
    <w:p w14:paraId="41F5113C" w14:textId="77777777" w:rsidR="008972F9" w:rsidRPr="002D7825" w:rsidRDefault="00F353A8" w:rsidP="008972F9">
      <w:pPr>
        <w:pStyle w:val="BodyText"/>
        <w:rPr>
          <w:rFonts w:ascii="Times New Roman" w:hAnsi="Times New Roman" w:cs="Times New Roman"/>
          <w:noProof/>
          <w:sz w:val="24"/>
          <w:szCs w:val="24"/>
        </w:rPr>
      </w:pPr>
      <w:r w:rsidRPr="002D7825">
        <w:rPr>
          <w:rFonts w:ascii="Times New Roman" w:hAnsi="Times New Roman"/>
          <w:noProof/>
          <w:sz w:val="24"/>
        </w:rPr>
        <w:t>Produsele fertilizante fac parte din lanțul alimentar și reprezintă o parte semnificativă a prețului produselor agricole. În comunicarea din 2021 privind prețurile energiei</w:t>
      </w:r>
      <w:r w:rsidRPr="002D7825">
        <w:rPr>
          <w:rStyle w:val="FootnoteReference"/>
          <w:rFonts w:ascii="Times New Roman" w:hAnsi="Times New Roman" w:cs="Times New Roman"/>
          <w:noProof/>
          <w:sz w:val="24"/>
          <w:szCs w:val="24"/>
        </w:rPr>
        <w:footnoteReference w:id="4"/>
      </w:r>
      <w:r w:rsidRPr="002D7825">
        <w:rPr>
          <w:rFonts w:ascii="Times New Roman" w:hAnsi="Times New Roman"/>
          <w:noProof/>
          <w:sz w:val="24"/>
        </w:rPr>
        <w:t>, Comisia a recunoscut dificultățile economice cu care se confruntă industria energo-intensivă a îngrășămintelor ca urmare a creșterii dramatice a prețurilor la energie începând cu toamna anului 2021. Astfel cum s-a explicat în Comunicarea din 2022 privind securitatea alimentară</w:t>
      </w:r>
      <w:r w:rsidRPr="002D7825">
        <w:rPr>
          <w:rStyle w:val="FootnoteReference"/>
          <w:rFonts w:ascii="Times New Roman" w:hAnsi="Times New Roman" w:cs="Times New Roman"/>
          <w:noProof/>
          <w:sz w:val="24"/>
          <w:szCs w:val="24"/>
        </w:rPr>
        <w:footnoteReference w:id="5"/>
      </w:r>
      <w:r w:rsidRPr="002D7825">
        <w:rPr>
          <w:rFonts w:ascii="Times New Roman" w:hAnsi="Times New Roman"/>
          <w:noProof/>
          <w:sz w:val="24"/>
        </w:rPr>
        <w:t xml:space="preserve">, războiul de agresiune al Rusiei împotriva Ucrainei a exacerbat dificultățile economice cu care se confruntă deja sectorul industrial. </w:t>
      </w:r>
    </w:p>
    <w:p w14:paraId="71A2F340" w14:textId="22225497" w:rsidR="00F353A8" w:rsidRPr="002D7825" w:rsidRDefault="00F45F7B" w:rsidP="00F353A8">
      <w:pPr>
        <w:pStyle w:val="BodyText"/>
        <w:rPr>
          <w:rFonts w:ascii="Times New Roman" w:hAnsi="Times New Roman" w:cs="Times New Roman"/>
          <w:noProof/>
          <w:sz w:val="24"/>
          <w:szCs w:val="24"/>
        </w:rPr>
      </w:pPr>
      <w:r w:rsidRPr="002D7825">
        <w:rPr>
          <w:rFonts w:ascii="Times New Roman" w:hAnsi="Times New Roman"/>
          <w:noProof/>
          <w:sz w:val="24"/>
        </w:rPr>
        <w:t>Contextul politic și economic dificil actual pledează în favoarea, pe de o parte, a accelerării tendinței actuale de îmbunătățire a eficienței utilizării produselor fertilizante și, pe de altă parte, a raționalizării costurilor de introducere pe piață a produselor fertilizante. Prezenta propunere sprijină ambele tendințe ale politicii privind produsele fertilizante.</w:t>
      </w:r>
      <w:r w:rsidR="002D7825">
        <w:rPr>
          <w:rFonts w:ascii="Times New Roman" w:hAnsi="Times New Roman"/>
          <w:noProof/>
          <w:sz w:val="24"/>
        </w:rPr>
        <w:t xml:space="preserve"> </w:t>
      </w:r>
    </w:p>
    <w:p w14:paraId="135AD0E5" w14:textId="2B1A7CD4" w:rsidR="00F353A8" w:rsidRPr="002D7825" w:rsidRDefault="00C843EF" w:rsidP="00F353A8">
      <w:pPr>
        <w:pStyle w:val="BodyText"/>
        <w:rPr>
          <w:rFonts w:ascii="Times New Roman" w:hAnsi="Times New Roman" w:cs="Times New Roman"/>
          <w:noProof/>
          <w:sz w:val="24"/>
          <w:szCs w:val="24"/>
        </w:rPr>
      </w:pPr>
      <w:r w:rsidRPr="002D7825">
        <w:rPr>
          <w:rFonts w:ascii="Times New Roman" w:hAnsi="Times New Roman"/>
          <w:noProof/>
          <w:sz w:val="24"/>
        </w:rPr>
        <w:lastRenderedPageBreak/>
        <w:t>În ceea ce privește primul aspect, utilizarea mai eficientă a îngrășămintelor, în special, este un element important al Strategiei „De la fermă la consumator”</w:t>
      </w:r>
      <w:r w:rsidRPr="002D7825">
        <w:rPr>
          <w:rStyle w:val="FootnoteReference"/>
          <w:rFonts w:ascii="Times New Roman" w:hAnsi="Times New Roman" w:cs="Times New Roman"/>
          <w:bCs/>
          <w:noProof/>
          <w:sz w:val="24"/>
          <w:szCs w:val="24"/>
        </w:rPr>
        <w:footnoteReference w:id="6"/>
      </w:r>
      <w:r w:rsidRPr="002D7825">
        <w:rPr>
          <w:rFonts w:ascii="Times New Roman" w:hAnsi="Times New Roman"/>
          <w:noProof/>
          <w:sz w:val="24"/>
        </w:rPr>
        <w:t>, care prevede un obiectiv de reducere cu 50 % a pierderilor de nutrienți și vizează reducerea utilizării îngrășămintelor cu 20 % până în 2030. Necesitatea de a spori eficiența utilizării este reiterată în Comunicarea din 2022 privind îngrășămintele</w:t>
      </w:r>
      <w:r w:rsidRPr="002D7825">
        <w:rPr>
          <w:rStyle w:val="FootnoteReference"/>
          <w:rFonts w:ascii="Times New Roman" w:hAnsi="Times New Roman" w:cs="Times New Roman"/>
          <w:noProof/>
          <w:sz w:val="24"/>
          <w:szCs w:val="24"/>
        </w:rPr>
        <w:footnoteReference w:id="7"/>
      </w:r>
      <w:r w:rsidRPr="002D7825">
        <w:rPr>
          <w:rFonts w:ascii="Times New Roman" w:hAnsi="Times New Roman"/>
          <w:noProof/>
          <w:sz w:val="24"/>
        </w:rPr>
        <w:t xml:space="preserve">. Utilizarea instrumentelor digitale este un factor-cheie în acest proces, de exemplu în ceea ce privește urmărirea valorilor de referință și a obiectivelor bilanțului global al </w:t>
      </w:r>
      <w:r w:rsidR="002D7825" w:rsidRPr="002D7825">
        <w:rPr>
          <w:rFonts w:ascii="Times New Roman" w:hAnsi="Times New Roman"/>
          <w:noProof/>
          <w:sz w:val="24"/>
        </w:rPr>
        <w:t>nutrienţilor</w:t>
      </w:r>
      <w:r w:rsidRPr="002D7825">
        <w:rPr>
          <w:rFonts w:ascii="Times New Roman" w:hAnsi="Times New Roman"/>
          <w:noProof/>
          <w:sz w:val="24"/>
        </w:rPr>
        <w:t xml:space="preserve"> la nivel național și colectarea datelor la nivel regional. În plus, o mai bună informare cu privire la proprietățile produselor prin utilizarea etichetelor digitale reprezintă un pas în direcția optimizării instrucțiunilor pentru eficiența utilizării bazate pe aceste proprietăți, ceea ce va duce la o mai bună comunicare a instrucțiunilor de utilizare și va evita fertilizarea excesivă. </w:t>
      </w:r>
    </w:p>
    <w:p w14:paraId="1E0C915F" w14:textId="77777777" w:rsidR="00C843EF" w:rsidRPr="002D7825" w:rsidRDefault="00C843EF" w:rsidP="00C843EF">
      <w:pPr>
        <w:pStyle w:val="BodyText"/>
        <w:rPr>
          <w:rFonts w:ascii="Times New Roman" w:hAnsi="Times New Roman" w:cs="Times New Roman"/>
          <w:noProof/>
          <w:sz w:val="24"/>
          <w:szCs w:val="24"/>
        </w:rPr>
      </w:pPr>
      <w:r w:rsidRPr="002D7825">
        <w:rPr>
          <w:rFonts w:ascii="Times New Roman" w:hAnsi="Times New Roman"/>
          <w:noProof/>
          <w:sz w:val="24"/>
        </w:rPr>
        <w:t>În ceea ce privește a doua chestiune, stabilirea de norme pentru digitalizarea voluntară a etichetelor va genera reduceri ale costurilor pentru operatorii economici pe termen mediu și lung. Aceasta va simplifica și mai mult procesul de etichetare, prin evitarea costurilor inutile și prin reducerea volumului deșeurilor de ambalaje. Condițiile de introducere a îngrășămintelor pe piața UE în vremuri dificile vor fi astfel optimizate.</w:t>
      </w:r>
    </w:p>
    <w:p w14:paraId="6331BB7B" w14:textId="77777777" w:rsidR="005D727F" w:rsidRPr="002D7825" w:rsidRDefault="00C843EF" w:rsidP="00C843EF">
      <w:pPr>
        <w:pStyle w:val="BodyText"/>
        <w:rPr>
          <w:rFonts w:ascii="Times New Roman" w:hAnsi="Times New Roman" w:cs="Times New Roman"/>
          <w:noProof/>
          <w:sz w:val="24"/>
          <w:szCs w:val="24"/>
        </w:rPr>
      </w:pPr>
      <w:r w:rsidRPr="002D7825">
        <w:rPr>
          <w:rFonts w:ascii="Times New Roman" w:hAnsi="Times New Roman"/>
          <w:noProof/>
          <w:sz w:val="24"/>
        </w:rPr>
        <w:t>Prezenta propunere contribuie la procesul mai amplu de digitalizare a sectorului agricol, o prioritate pentru majoritatea statelor membre care au semnat o declarație privind „un viitor digital inteligent și durabil pentru agricultura și zonele rurale ale Europei” la 9 aprilie 2019</w:t>
      </w:r>
      <w:r w:rsidRPr="002D7825">
        <w:rPr>
          <w:rStyle w:val="FootnoteReference"/>
          <w:rFonts w:ascii="Times New Roman" w:hAnsi="Times New Roman" w:cs="Times New Roman"/>
          <w:noProof/>
          <w:sz w:val="24"/>
          <w:szCs w:val="24"/>
        </w:rPr>
        <w:footnoteReference w:id="8"/>
      </w:r>
      <w:r w:rsidRPr="002D7825">
        <w:rPr>
          <w:rFonts w:ascii="Times New Roman" w:hAnsi="Times New Roman"/>
          <w:noProof/>
          <w:sz w:val="24"/>
        </w:rPr>
        <w:t xml:space="preserve">. </w:t>
      </w:r>
    </w:p>
    <w:p w14:paraId="05F252F3" w14:textId="77777777" w:rsidR="00524948" w:rsidRPr="002D7825" w:rsidRDefault="00524948" w:rsidP="00B44338">
      <w:pPr>
        <w:pStyle w:val="ManualHeading2"/>
        <w:rPr>
          <w:rFonts w:eastAsia="Arial Unicode MS"/>
          <w:noProof/>
        </w:rPr>
      </w:pPr>
      <w:r w:rsidRPr="002D7825">
        <w:rPr>
          <w:noProof/>
          <w:color w:val="000000"/>
          <w:u w:color="000000"/>
          <w:bdr w:val="nil"/>
        </w:rPr>
        <w:t>•</w:t>
      </w:r>
      <w:r w:rsidRPr="002D7825">
        <w:rPr>
          <w:noProof/>
        </w:rPr>
        <w:tab/>
        <w:t>Coerența cu alte politici ale UE</w:t>
      </w:r>
    </w:p>
    <w:p w14:paraId="3C64F205" w14:textId="77777777" w:rsidR="00F353A8" w:rsidRPr="002D7825" w:rsidRDefault="00F353A8" w:rsidP="00F353A8">
      <w:pPr>
        <w:pStyle w:val="Text1"/>
        <w:ind w:left="0"/>
        <w:rPr>
          <w:rFonts w:eastAsia="Arial Unicode MS"/>
          <w:noProof/>
          <w:color w:val="000000"/>
          <w:u w:color="000000"/>
          <w:bdr w:val="nil"/>
        </w:rPr>
      </w:pPr>
      <w:r w:rsidRPr="002D7825">
        <w:rPr>
          <w:noProof/>
        </w:rPr>
        <w:t>În Pactul verde</w:t>
      </w:r>
      <w:r w:rsidRPr="002D7825">
        <w:rPr>
          <w:rStyle w:val="FootnoteReference"/>
          <w:rFonts w:eastAsia="Times New Roman"/>
          <w:noProof/>
        </w:rPr>
        <w:footnoteReference w:id="9"/>
      </w:r>
      <w:r w:rsidRPr="002D7825">
        <w:rPr>
          <w:noProof/>
        </w:rPr>
        <w:t>, Comisia și-a anunțat intenția de a aborda dubla provocare a tranziției verzi și a celei digitale. La scurt timp după aceea, pandemia de COVID-19 a modificat radical rolul digitalizării și modul în care este percepută digitalizarea în societățile și economiile noastre și i-a accelerat ritmul.</w:t>
      </w:r>
    </w:p>
    <w:p w14:paraId="07A57712" w14:textId="77777777" w:rsidR="00F353A8" w:rsidRPr="002D7825" w:rsidRDefault="00F353A8" w:rsidP="00F353A8">
      <w:pPr>
        <w:pStyle w:val="BodyText"/>
        <w:rPr>
          <w:rFonts w:ascii="Times New Roman" w:hAnsi="Times New Roman" w:cs="Times New Roman"/>
          <w:noProof/>
          <w:sz w:val="24"/>
          <w:szCs w:val="24"/>
        </w:rPr>
      </w:pPr>
      <w:r w:rsidRPr="002D7825">
        <w:rPr>
          <w:rFonts w:ascii="Times New Roman" w:hAnsi="Times New Roman"/>
          <w:noProof/>
          <w:sz w:val="24"/>
        </w:rPr>
        <w:t>Comunicarea din 2021 privind busola pentru dimensiunea digitală</w:t>
      </w:r>
      <w:r w:rsidRPr="002D7825">
        <w:rPr>
          <w:rStyle w:val="FootnoteReference"/>
          <w:rFonts w:ascii="Times New Roman" w:eastAsia="Times New Roman" w:hAnsi="Times New Roman" w:cs="Times New Roman"/>
          <w:bCs/>
          <w:noProof/>
          <w:sz w:val="24"/>
          <w:szCs w:val="24"/>
        </w:rPr>
        <w:footnoteReference w:id="10"/>
      </w:r>
      <w:r w:rsidRPr="002D7825">
        <w:rPr>
          <w:rFonts w:ascii="Times New Roman" w:hAnsi="Times New Roman"/>
          <w:noProof/>
          <w:sz w:val="24"/>
        </w:rPr>
        <w:t xml:space="preserve"> trasează o cale clară către o viziune și acțiuni comune pentru succesul Europei în deceniul digital. Aceasta propune principiul „digital în mod implicit” și prezintă o cale de urmat pentru digitalizarea pe scară largă a societății. </w:t>
      </w:r>
    </w:p>
    <w:p w14:paraId="71D5AB6D" w14:textId="77777777" w:rsidR="00F353A8" w:rsidRPr="002D7825" w:rsidRDefault="00F353A8" w:rsidP="00F353A8">
      <w:pPr>
        <w:pStyle w:val="BodyText"/>
        <w:rPr>
          <w:rFonts w:ascii="Times New Roman" w:hAnsi="Times New Roman" w:cs="Times New Roman"/>
          <w:noProof/>
          <w:sz w:val="24"/>
          <w:szCs w:val="24"/>
        </w:rPr>
      </w:pPr>
      <w:r w:rsidRPr="002D7825">
        <w:rPr>
          <w:rFonts w:ascii="Times New Roman" w:hAnsi="Times New Roman"/>
          <w:noProof/>
          <w:sz w:val="24"/>
        </w:rPr>
        <w:t>Există, de asemenea, o tendință generală de digitalizare a etichetelor și a documentelor care însoțesc produsele. Există norme privind produsele pentru construcții</w:t>
      </w:r>
      <w:r w:rsidRPr="002D7825">
        <w:rPr>
          <w:rStyle w:val="FootnoteReference"/>
          <w:rFonts w:ascii="Times New Roman" w:hAnsi="Times New Roman" w:cs="Times New Roman"/>
          <w:noProof/>
          <w:sz w:val="24"/>
          <w:szCs w:val="24"/>
        </w:rPr>
        <w:footnoteReference w:id="11"/>
      </w:r>
      <w:r w:rsidRPr="002D7825">
        <w:rPr>
          <w:rFonts w:ascii="Times New Roman" w:hAnsi="Times New Roman"/>
          <w:noProof/>
          <w:sz w:val="24"/>
        </w:rPr>
        <w:t xml:space="preserve"> și dispozitivele </w:t>
      </w:r>
      <w:r w:rsidRPr="002D7825">
        <w:rPr>
          <w:rFonts w:ascii="Times New Roman" w:hAnsi="Times New Roman"/>
          <w:noProof/>
          <w:sz w:val="24"/>
        </w:rPr>
        <w:lastRenderedPageBreak/>
        <w:t>medicale</w:t>
      </w:r>
      <w:r w:rsidRPr="002D7825">
        <w:rPr>
          <w:rStyle w:val="FootnoteReference"/>
          <w:rFonts w:ascii="Times New Roman" w:hAnsi="Times New Roman" w:cs="Times New Roman"/>
          <w:noProof/>
          <w:sz w:val="24"/>
          <w:szCs w:val="24"/>
        </w:rPr>
        <w:footnoteReference w:id="12"/>
      </w:r>
      <w:r w:rsidRPr="002D7825">
        <w:rPr>
          <w:rFonts w:ascii="Times New Roman" w:hAnsi="Times New Roman"/>
          <w:noProof/>
          <w:sz w:val="24"/>
        </w:rPr>
        <w:t xml:space="preserve"> ori sunt în curs de elaborare norme care vizează bateriile</w:t>
      </w:r>
      <w:r w:rsidRPr="002D7825">
        <w:rPr>
          <w:rStyle w:val="FootnoteReference"/>
          <w:rFonts w:ascii="Times New Roman" w:hAnsi="Times New Roman" w:cs="Times New Roman"/>
          <w:noProof/>
          <w:sz w:val="24"/>
          <w:szCs w:val="24"/>
        </w:rPr>
        <w:footnoteReference w:id="13"/>
      </w:r>
      <w:r w:rsidRPr="002D7825">
        <w:rPr>
          <w:rFonts w:ascii="Times New Roman" w:hAnsi="Times New Roman"/>
          <w:noProof/>
          <w:sz w:val="24"/>
        </w:rPr>
        <w:t>, detergenții</w:t>
      </w:r>
      <w:r w:rsidRPr="002D7825">
        <w:rPr>
          <w:rStyle w:val="FootnoteReference"/>
          <w:rFonts w:ascii="Times New Roman" w:hAnsi="Times New Roman" w:cs="Times New Roman"/>
          <w:noProof/>
          <w:sz w:val="24"/>
          <w:szCs w:val="24"/>
        </w:rPr>
        <w:footnoteReference w:id="14"/>
      </w:r>
      <w:r w:rsidRPr="002D7825">
        <w:rPr>
          <w:rFonts w:ascii="Times New Roman" w:hAnsi="Times New Roman"/>
          <w:noProof/>
          <w:sz w:val="24"/>
        </w:rPr>
        <w:t>, cosmeticele</w:t>
      </w:r>
      <w:r w:rsidRPr="002D7825">
        <w:rPr>
          <w:rStyle w:val="FootnoteReference"/>
          <w:rFonts w:ascii="Times New Roman" w:hAnsi="Times New Roman" w:cs="Times New Roman"/>
          <w:noProof/>
          <w:sz w:val="24"/>
          <w:szCs w:val="24"/>
        </w:rPr>
        <w:footnoteReference w:id="15"/>
      </w:r>
      <w:r w:rsidRPr="002D7825">
        <w:rPr>
          <w:rFonts w:ascii="Times New Roman" w:hAnsi="Times New Roman"/>
          <w:noProof/>
          <w:sz w:val="24"/>
        </w:rPr>
        <w:t xml:space="preserve"> și substanțele chimice periculoase</w:t>
      </w:r>
      <w:r w:rsidRPr="002D7825">
        <w:rPr>
          <w:rStyle w:val="FootnoteReference"/>
          <w:rFonts w:ascii="Times New Roman" w:hAnsi="Times New Roman" w:cs="Times New Roman"/>
          <w:noProof/>
          <w:sz w:val="24"/>
          <w:szCs w:val="24"/>
        </w:rPr>
        <w:footnoteReference w:id="16"/>
      </w:r>
      <w:r w:rsidRPr="002D7825">
        <w:rPr>
          <w:rFonts w:ascii="Times New Roman" w:hAnsi="Times New Roman"/>
          <w:noProof/>
          <w:sz w:val="24"/>
        </w:rPr>
        <w:t xml:space="preserve">. </w:t>
      </w:r>
    </w:p>
    <w:p w14:paraId="2D1E7626" w14:textId="77777777" w:rsidR="00F353A8" w:rsidRPr="002D7825" w:rsidRDefault="00855467" w:rsidP="00260DAC">
      <w:pPr>
        <w:pStyle w:val="BodyText"/>
        <w:rPr>
          <w:rFonts w:ascii="Times New Roman" w:hAnsi="Times New Roman" w:cs="Times New Roman"/>
          <w:noProof/>
          <w:sz w:val="24"/>
          <w:szCs w:val="24"/>
        </w:rPr>
      </w:pPr>
      <w:r w:rsidRPr="002D7825">
        <w:rPr>
          <w:rFonts w:ascii="Times New Roman" w:hAnsi="Times New Roman"/>
          <w:noProof/>
          <w:sz w:val="24"/>
        </w:rPr>
        <w:t>Propunerea de regulament privind proiectarea ecologică pentru produsele sustenabile</w:t>
      </w:r>
      <w:r w:rsidRPr="002D7825">
        <w:rPr>
          <w:rStyle w:val="FootnoteReference"/>
          <w:rFonts w:ascii="Times New Roman" w:hAnsi="Times New Roman" w:cs="Times New Roman"/>
          <w:noProof/>
          <w:sz w:val="24"/>
          <w:szCs w:val="24"/>
        </w:rPr>
        <w:footnoteReference w:id="17"/>
      </w:r>
      <w:r w:rsidRPr="002D7825">
        <w:rPr>
          <w:rFonts w:ascii="Times New Roman" w:hAnsi="Times New Roman"/>
          <w:noProof/>
          <w:sz w:val="24"/>
        </w:rPr>
        <w:t xml:space="preserve"> vizează instituirea unui pașaport digital al produsului (PDP). În versiunea propusă de Comisie, pașaportul va introduce adoptarea obligatorie a unor modalități digitale de comunicare a informațiilor cu privire la toate produsele reglementate, inclusiv produsele fertilizante. Aceste informații nu vor viza cerințele de etichetare. Prin urmare, prezenta propunere vine în completarea măsurilor deja propuse pentru digitalizarea altor informații despre produse. </w:t>
      </w:r>
    </w:p>
    <w:p w14:paraId="04A76BE5" w14:textId="581C2F40" w:rsidR="00524948" w:rsidRPr="002D7825" w:rsidRDefault="00F353A8" w:rsidP="00F353A8">
      <w:pPr>
        <w:pStyle w:val="ManualHeading1"/>
        <w:rPr>
          <w:noProof/>
        </w:rPr>
      </w:pPr>
      <w:r w:rsidRPr="002D7825">
        <w:rPr>
          <w:noProof/>
        </w:rPr>
        <w:t>2.</w:t>
      </w:r>
      <w:r w:rsidRPr="002D7825">
        <w:rPr>
          <w:noProof/>
        </w:rPr>
        <w:tab/>
        <w:t>TEMEI JURIDIC, SUBSIDIARITATE ȘI PROPORȚIONALITATE</w:t>
      </w:r>
    </w:p>
    <w:p w14:paraId="25E2ECBC" w14:textId="77777777" w:rsidR="00524948" w:rsidRPr="002D7825" w:rsidRDefault="00524948" w:rsidP="00B44338">
      <w:pPr>
        <w:pStyle w:val="ManualHeading2"/>
        <w:rPr>
          <w:rFonts w:eastAsia="Arial Unicode MS"/>
          <w:noProof/>
          <w:u w:color="000000"/>
          <w:bdr w:val="nil"/>
        </w:rPr>
      </w:pPr>
      <w:r w:rsidRPr="002D7825">
        <w:rPr>
          <w:noProof/>
          <w:u w:color="000000"/>
          <w:bdr w:val="nil"/>
        </w:rPr>
        <w:t>•</w:t>
      </w:r>
      <w:r w:rsidRPr="002D7825">
        <w:rPr>
          <w:noProof/>
        </w:rPr>
        <w:tab/>
      </w:r>
      <w:r w:rsidRPr="002D7825">
        <w:rPr>
          <w:noProof/>
          <w:u w:color="000000"/>
          <w:bdr w:val="nil"/>
        </w:rPr>
        <w:t>Temei juridic</w:t>
      </w:r>
    </w:p>
    <w:p w14:paraId="0DA0B926" w14:textId="1377D462" w:rsidR="00DE339F" w:rsidRPr="002D7825" w:rsidRDefault="00DE339F" w:rsidP="00DE339F">
      <w:pPr>
        <w:pStyle w:val="BodyText"/>
        <w:rPr>
          <w:rFonts w:ascii="Times New Roman" w:hAnsi="Times New Roman" w:cs="Times New Roman"/>
          <w:noProof/>
          <w:sz w:val="24"/>
          <w:szCs w:val="24"/>
        </w:rPr>
      </w:pPr>
      <w:r w:rsidRPr="002D7825">
        <w:rPr>
          <w:rFonts w:ascii="Times New Roman" w:hAnsi="Times New Roman"/>
          <w:noProof/>
          <w:sz w:val="24"/>
        </w:rPr>
        <w:t>Prezenta propunere are același temei juridic ca și Regulamentul (UE) 2019/1009: Articolul 114 din Tratatul privind funcționarea Uniunii Europene referitor la apropierea normelor de drept intern care au ca obiect instituirea și funcționarea pieței interne. Deși Comisia este împuternicită să modifice anexele la Regulamentul (UE) 2019/1009, toate modificările propuse în prezenta inițiativă sunt incluse în această propunere pentru a facilita procesul de adoptare, dat fiind că sunt legate între ele.</w:t>
      </w:r>
    </w:p>
    <w:p w14:paraId="69EB99E7" w14:textId="77777777" w:rsidR="00524948" w:rsidRPr="002D7825" w:rsidRDefault="00524948" w:rsidP="00B44338">
      <w:pPr>
        <w:pStyle w:val="ManualHeading2"/>
        <w:rPr>
          <w:rFonts w:eastAsia="Arial Unicode MS"/>
          <w:noProof/>
          <w:u w:color="000000"/>
          <w:bdr w:val="nil"/>
        </w:rPr>
      </w:pPr>
      <w:r w:rsidRPr="002D7825">
        <w:rPr>
          <w:noProof/>
          <w:u w:color="000000"/>
          <w:bdr w:val="nil"/>
        </w:rPr>
        <w:t>•</w:t>
      </w:r>
      <w:r w:rsidRPr="002D7825">
        <w:rPr>
          <w:noProof/>
        </w:rPr>
        <w:tab/>
      </w:r>
      <w:r w:rsidRPr="002D7825">
        <w:rPr>
          <w:noProof/>
          <w:u w:color="000000"/>
          <w:bdr w:val="nil"/>
        </w:rPr>
        <w:t xml:space="preserve">Subsidiaritatea </w:t>
      </w:r>
    </w:p>
    <w:p w14:paraId="0E7C2E7A" w14:textId="77777777" w:rsidR="00954952" w:rsidRPr="002D7825" w:rsidRDefault="00954952" w:rsidP="00954952">
      <w:pPr>
        <w:pStyle w:val="BodyText"/>
        <w:rPr>
          <w:rFonts w:ascii="Times New Roman" w:hAnsi="Times New Roman" w:cs="Times New Roman"/>
          <w:noProof/>
          <w:sz w:val="24"/>
          <w:szCs w:val="24"/>
        </w:rPr>
      </w:pPr>
      <w:r w:rsidRPr="002D7825">
        <w:rPr>
          <w:rFonts w:ascii="Times New Roman" w:hAnsi="Times New Roman"/>
          <w:noProof/>
          <w:sz w:val="24"/>
        </w:rPr>
        <w:t>Problemele cauzate de supraîncărcarea etichetelor produselor fertilizante UE au o puternică dimensiune transfrontalieră. Îngrășămintele anorganice care intră sub incidența Regulamentului (CE) nr. 2003/2003 sunt produse în câteva state membre ale Uniunii</w:t>
      </w:r>
      <w:r w:rsidRPr="002D7825">
        <w:rPr>
          <w:rStyle w:val="FootnoteReference"/>
          <w:rFonts w:ascii="Times New Roman" w:hAnsi="Times New Roman" w:cs="Times New Roman"/>
          <w:noProof/>
          <w:sz w:val="24"/>
          <w:szCs w:val="24"/>
        </w:rPr>
        <w:footnoteReference w:id="18"/>
      </w:r>
      <w:r w:rsidRPr="002D7825">
        <w:rPr>
          <w:rFonts w:ascii="Times New Roman" w:hAnsi="Times New Roman"/>
          <w:noProof/>
          <w:sz w:val="24"/>
        </w:rPr>
        <w:t xml:space="preserve"> și vândute în întreaga UE. Regulamentul (UE) 2019/1009 urmărește atât menținerea acestor produse în domeniul său de aplicare, cât și includerea unor produse noi, care nu au făcut încă obiectul unor norme de armonizare, sporind astfel potențialul lor pe piața UE. </w:t>
      </w:r>
    </w:p>
    <w:p w14:paraId="4D0FC5F4" w14:textId="77777777" w:rsidR="00954952" w:rsidRPr="002D7825" w:rsidRDefault="00954952" w:rsidP="00954952">
      <w:pPr>
        <w:pStyle w:val="BodyText"/>
        <w:rPr>
          <w:rFonts w:ascii="Times New Roman" w:hAnsi="Times New Roman" w:cs="Times New Roman"/>
          <w:noProof/>
          <w:sz w:val="24"/>
          <w:szCs w:val="24"/>
        </w:rPr>
      </w:pPr>
      <w:r w:rsidRPr="002D7825">
        <w:rPr>
          <w:rFonts w:ascii="Times New Roman" w:hAnsi="Times New Roman"/>
          <w:noProof/>
          <w:sz w:val="24"/>
        </w:rPr>
        <w:t xml:space="preserve">Cerințele detaliate de etichetare prevăzute în anexa III la Regulamentul (UE) 2019/1009 trebuie să figureze pe eticheta fizică. O parte dintre informațiile prevăzute în această anexă fac obiectul unor modificări frecvente și, în conformitate cu același regulament, etichetele anumitor produse trebuie să modificate înainte de a ajunge la utilizatorii finali (de exemplu, eticheta unui amestec de produse fertilizante va conține toate informațiile relevante cu privire la produsele fertilizante UE componente, exprimate în raport cu amestecul final; astfel, înainte ca amestecul să ajungă la utilizatorul final, atât produsele fertilizante UE componente, cât și amestecul în sine aveau o etichetă fizică). Regulamentul se aplică direct în toate statele </w:t>
      </w:r>
      <w:r w:rsidRPr="002D7825">
        <w:rPr>
          <w:rFonts w:ascii="Times New Roman" w:hAnsi="Times New Roman"/>
          <w:noProof/>
          <w:sz w:val="24"/>
        </w:rPr>
        <w:lastRenderedPageBreak/>
        <w:t xml:space="preserve">membre. În plus, statele membre au obligația de a nu împiedica libera circulație a produselor fertilizante UE din motive referitoare la etichetarea lor. Prin urmare, statele membre nu pot adopta măsuri naționale pentru a îmbunătăți lizibilitatea etichetelor fizice sau pentru a evita modificări frecvente ale acestora. </w:t>
      </w:r>
    </w:p>
    <w:p w14:paraId="7129EDFD" w14:textId="77777777" w:rsidR="007B4D50" w:rsidRPr="002D7825" w:rsidRDefault="00954952" w:rsidP="00954952">
      <w:pPr>
        <w:pStyle w:val="BodyText"/>
        <w:rPr>
          <w:rFonts w:ascii="Times New Roman" w:hAnsi="Times New Roman" w:cs="Times New Roman"/>
          <w:noProof/>
          <w:sz w:val="24"/>
          <w:szCs w:val="24"/>
        </w:rPr>
      </w:pPr>
      <w:r w:rsidRPr="002D7825">
        <w:rPr>
          <w:rFonts w:ascii="Times New Roman" w:hAnsi="Times New Roman"/>
          <w:noProof/>
          <w:sz w:val="24"/>
        </w:rPr>
        <w:t xml:space="preserve">Statele membre ar putea adopta norme naționale privind standardele minime pentru digitalizarea etichetelor, atunci când sunt utilizate în mod voluntar și în plus față de etichetele fizice, având în vedere că acest aspect nu este încă reglementat de Regulamentul (UE) 2019/1009. O astfel de abordare ar conduce în mod inevitabil la practici diferite în întreaga UE și ar crea obstacole în calea funcționării pieței interne. Aceasta ar putea duce la inegalități în ceea ce privește economiile potențiale de costuri și comunicarea informațiilor. De asemenea, ar spori costurile suportate de industrie pentru a se adapta la cerințele divergente în materie de etichetare digitală din diferite state membre. </w:t>
      </w:r>
    </w:p>
    <w:p w14:paraId="709C06A2" w14:textId="77777777" w:rsidR="00954952" w:rsidRPr="002D7825" w:rsidRDefault="00E352D0" w:rsidP="00954952">
      <w:pPr>
        <w:pStyle w:val="BodyText"/>
        <w:rPr>
          <w:rFonts w:ascii="Times New Roman" w:hAnsi="Times New Roman" w:cs="Times New Roman"/>
          <w:noProof/>
          <w:sz w:val="24"/>
          <w:szCs w:val="24"/>
        </w:rPr>
      </w:pPr>
      <w:r w:rsidRPr="002D7825">
        <w:rPr>
          <w:rFonts w:ascii="Times New Roman" w:hAnsi="Times New Roman"/>
          <w:noProof/>
          <w:sz w:val="24"/>
        </w:rPr>
        <w:t>În schimb, introducerea condițiilor pentru eticheta digitală la nivelul UE are valoarea adăugată a armonizării diferitelor practici. Prin crearea unor condiții de concurență echitabile, o astfel de inițiativă ar îmbunătăți funcționarea pieței interne, asigurând în același timp standardul ridicat de protecție impus de Regulamentul (UE) 2019/1009. În plus, decizia cu privire la elementele de etichetare ce figurează în prezent pe eticheta fizică și care pot fi furnizate numai în format digital poate fi luată numai la nivelul UE.</w:t>
      </w:r>
    </w:p>
    <w:p w14:paraId="2CB75B48" w14:textId="77777777" w:rsidR="00954952" w:rsidRPr="002D7825" w:rsidRDefault="00954952" w:rsidP="00954952">
      <w:pPr>
        <w:pStyle w:val="BodyText"/>
        <w:rPr>
          <w:rFonts w:ascii="Times New Roman" w:hAnsi="Times New Roman" w:cs="Times New Roman"/>
          <w:noProof/>
          <w:sz w:val="24"/>
          <w:szCs w:val="24"/>
        </w:rPr>
      </w:pPr>
      <w:r w:rsidRPr="002D7825">
        <w:rPr>
          <w:rFonts w:ascii="Times New Roman" w:hAnsi="Times New Roman"/>
          <w:noProof/>
          <w:sz w:val="24"/>
        </w:rPr>
        <w:t xml:space="preserve">Avantajul acțiunii UE constă, de asemenea, în existența unor potențiale economii de scară în cadrul industriei produselor fertilizante. Alinierea cerințelor de etichetare digitală în întreaga UE ar putea facilita utilizarea etichetelor multilingve și, astfel, ar putea sprijini distribuția de produse cu aceeași etichetă în mai multe state membre. </w:t>
      </w:r>
    </w:p>
    <w:p w14:paraId="11359853" w14:textId="098F61D3" w:rsidR="007B4D50" w:rsidRPr="002D7825" w:rsidRDefault="007B4D50" w:rsidP="00954952">
      <w:pPr>
        <w:pStyle w:val="BodyText"/>
        <w:rPr>
          <w:rFonts w:ascii="Times New Roman" w:hAnsi="Times New Roman" w:cs="Times New Roman"/>
          <w:noProof/>
          <w:sz w:val="24"/>
          <w:szCs w:val="24"/>
        </w:rPr>
      </w:pPr>
      <w:r w:rsidRPr="002D7825">
        <w:rPr>
          <w:rFonts w:ascii="Times New Roman" w:hAnsi="Times New Roman"/>
          <w:noProof/>
          <w:sz w:val="24"/>
        </w:rPr>
        <w:t>Prin urmare, prezenta propunere privind digitalizarea voluntară a etichetelor pentru produsele fertilizante UE este necesară și poate aborda în mod eficient problemele identificate.</w:t>
      </w:r>
      <w:r w:rsidR="002D7825">
        <w:rPr>
          <w:rFonts w:ascii="Times New Roman" w:hAnsi="Times New Roman"/>
          <w:noProof/>
          <w:sz w:val="24"/>
        </w:rPr>
        <w:t xml:space="preserve"> </w:t>
      </w:r>
    </w:p>
    <w:p w14:paraId="50216059" w14:textId="77777777" w:rsidR="00524948" w:rsidRPr="002D7825" w:rsidRDefault="00524948" w:rsidP="00B44338">
      <w:pPr>
        <w:pStyle w:val="ManualHeading2"/>
        <w:rPr>
          <w:rFonts w:eastAsia="Arial Unicode MS"/>
          <w:noProof/>
          <w:u w:color="000000"/>
          <w:bdr w:val="nil"/>
        </w:rPr>
      </w:pPr>
      <w:r w:rsidRPr="002D7825">
        <w:rPr>
          <w:noProof/>
          <w:u w:color="000000"/>
          <w:bdr w:val="nil"/>
        </w:rPr>
        <w:t>•</w:t>
      </w:r>
      <w:r w:rsidRPr="002D7825">
        <w:rPr>
          <w:noProof/>
        </w:rPr>
        <w:tab/>
      </w:r>
      <w:r w:rsidRPr="002D7825">
        <w:rPr>
          <w:noProof/>
          <w:u w:color="000000"/>
          <w:bdr w:val="nil"/>
        </w:rPr>
        <w:t>Proporționalitatea</w:t>
      </w:r>
    </w:p>
    <w:p w14:paraId="2B7A1904" w14:textId="77777777" w:rsidR="007B4D50" w:rsidRPr="002D7825" w:rsidRDefault="002D7EF7" w:rsidP="007B4D50">
      <w:pPr>
        <w:pStyle w:val="BodyText"/>
        <w:rPr>
          <w:rFonts w:ascii="Times New Roman" w:hAnsi="Times New Roman" w:cs="Times New Roman"/>
          <w:noProof/>
          <w:sz w:val="24"/>
          <w:szCs w:val="24"/>
        </w:rPr>
      </w:pPr>
      <w:r w:rsidRPr="002D7825">
        <w:rPr>
          <w:rFonts w:ascii="Times New Roman" w:hAnsi="Times New Roman"/>
          <w:noProof/>
          <w:sz w:val="24"/>
        </w:rPr>
        <w:t xml:space="preserve">Inițiativa nu depășește ceea ce este necesar pentru realizarea obiectivelor vizate. Scopul său este de a introduce etichetarea digitală voluntară pentru produsele fertilizante UE. Operatorii economici vor avea posibilitatea de a alege între a furniza elementele de etichetare pe o etichetă fizică sau pe o etichetă digitală. </w:t>
      </w:r>
    </w:p>
    <w:p w14:paraId="061E6A66" w14:textId="4C4AD6D8" w:rsidR="00796AB5" w:rsidRPr="002D7825" w:rsidRDefault="007B4D50" w:rsidP="007B4D50">
      <w:pPr>
        <w:pStyle w:val="BodyText"/>
        <w:rPr>
          <w:rFonts w:ascii="Times New Roman" w:hAnsi="Times New Roman" w:cs="Times New Roman"/>
          <w:noProof/>
          <w:sz w:val="24"/>
          <w:szCs w:val="24"/>
        </w:rPr>
      </w:pPr>
      <w:r w:rsidRPr="002D7825">
        <w:rPr>
          <w:rFonts w:ascii="Times New Roman" w:hAnsi="Times New Roman"/>
          <w:noProof/>
          <w:sz w:val="24"/>
        </w:rPr>
        <w:t>În cazul în care se furnizează o etichetă digitală, prezenta propunere stabilește norme generale pentru a asigura un nivel ridicat de protecție a utilizatorilor de produse fertilizante UE.</w:t>
      </w:r>
      <w:r w:rsidR="002D7825">
        <w:rPr>
          <w:rFonts w:ascii="Times New Roman" w:hAnsi="Times New Roman"/>
          <w:noProof/>
          <w:sz w:val="24"/>
        </w:rPr>
        <w:t xml:space="preserve"> </w:t>
      </w:r>
    </w:p>
    <w:p w14:paraId="57E48A85" w14:textId="7C3E9EE7" w:rsidR="007B4D50" w:rsidRPr="002D7825" w:rsidRDefault="00796AB5" w:rsidP="007B4D50">
      <w:pPr>
        <w:pStyle w:val="BodyText"/>
        <w:rPr>
          <w:rFonts w:ascii="Times New Roman" w:hAnsi="Times New Roman" w:cs="Times New Roman"/>
          <w:noProof/>
          <w:sz w:val="24"/>
          <w:szCs w:val="24"/>
        </w:rPr>
      </w:pPr>
      <w:r w:rsidRPr="002D7825">
        <w:rPr>
          <w:rFonts w:ascii="Times New Roman" w:hAnsi="Times New Roman"/>
          <w:noProof/>
          <w:sz w:val="24"/>
        </w:rPr>
        <w:t>În cadrul evaluării impactului care însoțește prezentul document au fost evaluate opțiuni de politică cu diferite grade de digitalizare. Opțiunea prevăzută în prezenta propunere asigură cel mai bun echilibru între interesele diferitelor părți interesate. Deși oferă posibilitatea furnizării de etichete digitale, aceasta menține pe eticheta fizică a produselor fertilizante UE puse la dispoziția utilizatorilor finali cele mai importante informații, ca răspuns la disponibilitatea acestor utilizatori finali de a se baza numai pe instrumente digitale pentru a avea acces la informații. Ca urmare a evoluției societății, numărul elementelor de etichetare care urmează să fie furnizate numai în format digital ar putea crește în continuare, fapt care este avut în vedere în delegarea de competențe prevăzută în prezenta propunere.</w:t>
      </w:r>
      <w:r w:rsidR="002D7825">
        <w:rPr>
          <w:rFonts w:ascii="Times New Roman" w:hAnsi="Times New Roman"/>
          <w:noProof/>
          <w:sz w:val="24"/>
        </w:rPr>
        <w:t xml:space="preserve"> </w:t>
      </w:r>
    </w:p>
    <w:p w14:paraId="75A2E462" w14:textId="77777777" w:rsidR="00524948" w:rsidRPr="002D7825" w:rsidRDefault="00524948" w:rsidP="00B44338">
      <w:pPr>
        <w:pStyle w:val="ManualHeading1"/>
        <w:rPr>
          <w:noProof/>
        </w:rPr>
      </w:pPr>
      <w:r w:rsidRPr="002D7825">
        <w:rPr>
          <w:noProof/>
        </w:rPr>
        <w:lastRenderedPageBreak/>
        <w:t>3.</w:t>
      </w:r>
      <w:r w:rsidRPr="002D7825">
        <w:rPr>
          <w:noProof/>
        </w:rPr>
        <w:tab/>
        <w:t>REZULTATELE EVALUĂRILOR EX POST, ALE CONSULTĂRILOR CU PĂRȚILE INTERESATE ȘI ALE EVALUĂRILOR IMPACTULUI</w:t>
      </w:r>
    </w:p>
    <w:p w14:paraId="05207C2A" w14:textId="77777777" w:rsidR="00524948" w:rsidRPr="002D7825" w:rsidRDefault="00524948" w:rsidP="00524948">
      <w:pPr>
        <w:pStyle w:val="ManualHeading2"/>
        <w:ind w:left="0" w:firstLine="0"/>
        <w:rPr>
          <w:rFonts w:eastAsia="Arial Unicode MS"/>
          <w:noProof/>
        </w:rPr>
      </w:pPr>
    </w:p>
    <w:p w14:paraId="4A4814C6" w14:textId="77777777" w:rsidR="00524948" w:rsidRPr="002D7825" w:rsidRDefault="00524948" w:rsidP="00B44338">
      <w:pPr>
        <w:pStyle w:val="ManualHeading2"/>
        <w:rPr>
          <w:rFonts w:eastAsia="Arial Unicode MS"/>
          <w:noProof/>
          <w:u w:color="000000"/>
          <w:bdr w:val="nil"/>
        </w:rPr>
      </w:pPr>
      <w:r w:rsidRPr="002D7825">
        <w:rPr>
          <w:noProof/>
          <w:u w:color="000000"/>
          <w:bdr w:val="nil"/>
        </w:rPr>
        <w:t>•</w:t>
      </w:r>
      <w:r w:rsidRPr="002D7825">
        <w:rPr>
          <w:noProof/>
        </w:rPr>
        <w:tab/>
      </w:r>
      <w:r w:rsidRPr="002D7825">
        <w:rPr>
          <w:noProof/>
          <w:u w:color="000000"/>
          <w:bdr w:val="nil"/>
        </w:rPr>
        <w:t>Consultările cu părțile interesate</w:t>
      </w:r>
    </w:p>
    <w:p w14:paraId="4A51CEA4" w14:textId="77777777" w:rsidR="0079322C" w:rsidRPr="002D7825" w:rsidRDefault="0079322C" w:rsidP="0079322C">
      <w:pPr>
        <w:rPr>
          <w:noProof/>
          <w:szCs w:val="24"/>
        </w:rPr>
      </w:pPr>
      <w:r w:rsidRPr="002D7825">
        <w:rPr>
          <w:noProof/>
        </w:rPr>
        <w:t>Au fost efectuate următoarele activități de consultare:</w:t>
      </w:r>
    </w:p>
    <w:p w14:paraId="3F7133D5" w14:textId="77777777" w:rsidR="00D179C5" w:rsidRPr="002D7825" w:rsidRDefault="007F22E4" w:rsidP="002D7825">
      <w:pPr>
        <w:pStyle w:val="BodyText"/>
        <w:keepNext/>
        <w:rPr>
          <w:i/>
          <w:noProof/>
          <w:szCs w:val="24"/>
        </w:rPr>
      </w:pPr>
      <w:r w:rsidRPr="002D7825">
        <w:rPr>
          <w:i/>
          <w:noProof/>
        </w:rPr>
        <w:t xml:space="preserve">Consultarea publică deschisă </w:t>
      </w:r>
    </w:p>
    <w:p w14:paraId="74DE4C71" w14:textId="77777777" w:rsidR="00345F4B" w:rsidRPr="002D7825" w:rsidRDefault="00345F4B" w:rsidP="00345F4B">
      <w:pPr>
        <w:pStyle w:val="BodyText"/>
        <w:rPr>
          <w:rFonts w:ascii="Times New Roman" w:hAnsi="Times New Roman" w:cs="Times New Roman"/>
          <w:noProof/>
          <w:sz w:val="24"/>
          <w:szCs w:val="24"/>
        </w:rPr>
      </w:pPr>
      <w:r w:rsidRPr="002D7825">
        <w:rPr>
          <w:rFonts w:ascii="Times New Roman" w:hAnsi="Times New Roman"/>
          <w:noProof/>
          <w:sz w:val="24"/>
        </w:rPr>
        <w:t xml:space="preserve">Consultarea publică deschisă a confirmat interesul pentru etichetele digitale atât din partea industriei, cât și din partea utilizatorilor. </w:t>
      </w:r>
    </w:p>
    <w:p w14:paraId="0F2771A2" w14:textId="2847D61A" w:rsidR="00D179C5" w:rsidRPr="002D7825" w:rsidRDefault="00D179C5" w:rsidP="00345F4B">
      <w:pPr>
        <w:pStyle w:val="BodyText"/>
        <w:rPr>
          <w:rFonts w:ascii="Times New Roman" w:hAnsi="Times New Roman" w:cs="Times New Roman"/>
          <w:noProof/>
          <w:sz w:val="24"/>
          <w:szCs w:val="24"/>
        </w:rPr>
      </w:pPr>
      <w:r w:rsidRPr="002D7825">
        <w:rPr>
          <w:rFonts w:ascii="Times New Roman" w:hAnsi="Times New Roman"/>
          <w:noProof/>
          <w:sz w:val="24"/>
        </w:rPr>
        <w:t>Peste jumătate dintre respondenți (52,1 %, N = 198) ar răspunde pozitiv sau moderat pozitiv dacă unele informații ar fi eliminate de pe etichetă și ar putea fi obținute doar în format digital. Întrucât 22,7 % nu au știut/nu au putut răspunde, procentajul este mai mare (66,9 %) raportat doar la cei care au răspuns.</w:t>
      </w:r>
    </w:p>
    <w:p w14:paraId="773EFA96" w14:textId="77777777" w:rsidR="00D179C5" w:rsidRPr="002D7825" w:rsidRDefault="00D179C5" w:rsidP="00D179C5">
      <w:pPr>
        <w:pStyle w:val="BodyText"/>
        <w:rPr>
          <w:rFonts w:ascii="Times New Roman" w:hAnsi="Times New Roman" w:cs="Times New Roman"/>
          <w:noProof/>
          <w:sz w:val="24"/>
          <w:szCs w:val="24"/>
        </w:rPr>
      </w:pPr>
      <w:r w:rsidRPr="002D7825">
        <w:rPr>
          <w:rFonts w:ascii="Times New Roman" w:hAnsi="Times New Roman"/>
          <w:noProof/>
          <w:sz w:val="24"/>
        </w:rPr>
        <w:t>Majoritatea respondenților (N = 93, 72 %) ar pune în aplicare etichetarea digitală dacă acest lucru ar fi posibil.</w:t>
      </w:r>
    </w:p>
    <w:p w14:paraId="4620492C" w14:textId="77777777" w:rsidR="00D179C5" w:rsidRPr="002D7825" w:rsidRDefault="00D179C5" w:rsidP="00D179C5">
      <w:pPr>
        <w:pStyle w:val="BodyText"/>
        <w:rPr>
          <w:rFonts w:ascii="Times New Roman" w:hAnsi="Times New Roman" w:cs="Times New Roman"/>
          <w:noProof/>
          <w:sz w:val="24"/>
          <w:szCs w:val="24"/>
        </w:rPr>
      </w:pPr>
      <w:r w:rsidRPr="002D7825">
        <w:rPr>
          <w:rFonts w:ascii="Times New Roman" w:hAnsi="Times New Roman"/>
          <w:noProof/>
          <w:sz w:val="24"/>
        </w:rPr>
        <w:t>Printre principalele beneficii ale unei etichete digitale (N = 195) se numără: posibilitatea de a furniza informații mai detaliate (14 %), posibilitatea de a furniza toate informațiile relevante în cazul în care ambalajul este prea mic (14 %), accesul facil la informații (13 %), accesul la informații actualizate (13 %) și informații în alte limbi (13 %); informații mai relevante/mai specifice, beneficii pentru mediu (19 %) și economii în materie de costuri (8 %).</w:t>
      </w:r>
    </w:p>
    <w:p w14:paraId="5FA4006A" w14:textId="77777777" w:rsidR="00D179C5" w:rsidRPr="002D7825" w:rsidRDefault="00D179C5" w:rsidP="00D179C5">
      <w:pPr>
        <w:pStyle w:val="BodyText"/>
        <w:rPr>
          <w:rFonts w:ascii="Times New Roman" w:hAnsi="Times New Roman" w:cs="Times New Roman"/>
          <w:noProof/>
          <w:sz w:val="24"/>
          <w:szCs w:val="24"/>
        </w:rPr>
      </w:pPr>
      <w:r w:rsidRPr="002D7825">
        <w:rPr>
          <w:rFonts w:ascii="Times New Roman" w:hAnsi="Times New Roman"/>
          <w:noProof/>
          <w:sz w:val="24"/>
        </w:rPr>
        <w:t xml:space="preserve">Printre principalele provocări în ceea ce privește etichetele digitale (N = 200) se numără: dificultatea de a accesa informații (24 %), diferențele dintre informațiile disponibile pe etichetele fizice și cele digitale (22 %), inegalitățile pentru diferite grupuri de populație (22 %) și creșterea costurilor suportate de industrie. </w:t>
      </w:r>
    </w:p>
    <w:p w14:paraId="31B0BDC6" w14:textId="77777777" w:rsidR="00D179C5" w:rsidRPr="002D7825" w:rsidRDefault="0079322C" w:rsidP="003E3187">
      <w:pPr>
        <w:rPr>
          <w:i/>
          <w:noProof/>
        </w:rPr>
      </w:pPr>
      <w:r w:rsidRPr="002D7825">
        <w:rPr>
          <w:i/>
          <w:noProof/>
        </w:rPr>
        <w:t>Interviuri</w:t>
      </w:r>
    </w:p>
    <w:p w14:paraId="646D118B" w14:textId="77777777" w:rsidR="00B51FD4" w:rsidRPr="002D7825" w:rsidRDefault="00D179C5" w:rsidP="003E3187">
      <w:pPr>
        <w:rPr>
          <w:noProof/>
        </w:rPr>
      </w:pPr>
      <w:r w:rsidRPr="002D7825">
        <w:rPr>
          <w:noProof/>
        </w:rPr>
        <w:t xml:space="preserve">Au fost organizate interviuri pentru a colecta informații privind, în special, (i) ceea ce constituie informații esențiale de etichetare pentru diferite categorii de părți interesate, (ii) modelele de utilizare a etichetelor, (iii) beneficiile și dezavantajele etichetării digitale și (iv) practicile industriei în materie de etichetare. Numărul mare de interviuri cu părțile interesate din industrie și cu utilizatorii de produse fertilizante a relevat caracterul adesea divergent al contribuțiilor acestor grupuri în ceea ce privește informațiile specifice de etichetare (de exemplu, conținutul de azot), variind în funcție de categoriile funcționale de produse și de tipurile de utilizatori în cauză. Astfel, informațiile esențiale pentru reprezentanții industriei nu au fost aceleași cu cele furnizate utilizatorilor profesioniști și neprofesioniști. </w:t>
      </w:r>
    </w:p>
    <w:p w14:paraId="4746FFAD" w14:textId="77777777" w:rsidR="0079322C" w:rsidRPr="002D7825" w:rsidRDefault="00B51FD4" w:rsidP="003E3187">
      <w:pPr>
        <w:rPr>
          <w:noProof/>
        </w:rPr>
      </w:pPr>
      <w:r w:rsidRPr="002D7825">
        <w:rPr>
          <w:noProof/>
        </w:rPr>
        <w:t xml:space="preserve">Prezenta propunere ține seama de aceste nevoi divergente și acordă prioritate asigurării utilizării în condiții de siguranță a produselor fertilizante UE și unui nivel ridicat de protecție a sănătății umane și a mediului, prin păstrarea celor mai importante informații pe eticheta fizică a produselor ambalate și vândute utilizatorilor finali. </w:t>
      </w:r>
    </w:p>
    <w:p w14:paraId="09CB6532" w14:textId="77777777" w:rsidR="0098746C" w:rsidRPr="002D7825" w:rsidRDefault="00F519E8" w:rsidP="003E3187">
      <w:pPr>
        <w:rPr>
          <w:noProof/>
        </w:rPr>
      </w:pPr>
      <w:r w:rsidRPr="002D7825">
        <w:rPr>
          <w:i/>
          <w:noProof/>
        </w:rPr>
        <w:t>Sondaj specific în rândul părților interesate</w:t>
      </w:r>
    </w:p>
    <w:p w14:paraId="5AF5DE5E" w14:textId="77777777" w:rsidR="0098746C" w:rsidRPr="002D7825" w:rsidRDefault="0098746C" w:rsidP="003E3187">
      <w:pPr>
        <w:rPr>
          <w:noProof/>
        </w:rPr>
      </w:pPr>
      <w:r w:rsidRPr="002D7825">
        <w:rPr>
          <w:noProof/>
        </w:rPr>
        <w:t>Sondajul a vizat utilizatorii de produse fertilizante (profesioniști și neprofesioniști), sectorul industrial (producători, importatori și distribuitori), precum și organismele de evaluare a conformității și autoritățile de supraveghere a pieței din Franța, Germania, Italia, Lituania, Polonia, România, Danemarca și Spania.</w:t>
      </w:r>
    </w:p>
    <w:p w14:paraId="2560A6A0" w14:textId="77777777" w:rsidR="0098746C" w:rsidRPr="002D7825" w:rsidRDefault="0098746C" w:rsidP="003E3187">
      <w:pPr>
        <w:rPr>
          <w:noProof/>
        </w:rPr>
      </w:pPr>
      <w:r w:rsidRPr="002D7825">
        <w:rPr>
          <w:noProof/>
        </w:rPr>
        <w:lastRenderedPageBreak/>
        <w:t>Din cele 755 de răspunsuri primite, utilizatorii neprofesioniști (și anume grădinarii amatori, persoanele care desfășoară activități în afara sferei unei activități economice) au constituit cel mai mare grup de răspuns (43,6 %), urmați de utilizatorii profesioniști (33,5 %).</w:t>
      </w:r>
    </w:p>
    <w:p w14:paraId="07E4FFE0" w14:textId="77777777" w:rsidR="00F519E8" w:rsidRPr="002D7825" w:rsidRDefault="00F519E8" w:rsidP="00F519E8">
      <w:pPr>
        <w:rPr>
          <w:noProof/>
        </w:rPr>
      </w:pPr>
      <w:r w:rsidRPr="002D7825">
        <w:rPr>
          <w:noProof/>
        </w:rPr>
        <w:t>Sondajul specific a evidențiat, de asemenea, diferențele de percepție în ceea ce privește cele mai importante informații de pe etichetă. În timp ce utilizatorii au considerat că informațiile privind cerințele de siguranță sunt absolut esențiale, în cazul producătorilor eficiența agronomică a fost considerată esențială.</w:t>
      </w:r>
    </w:p>
    <w:p w14:paraId="7738ED3E" w14:textId="77777777" w:rsidR="00F519E8" w:rsidRPr="002D7825" w:rsidRDefault="00F519E8" w:rsidP="00F519E8">
      <w:pPr>
        <w:rPr>
          <w:noProof/>
        </w:rPr>
      </w:pPr>
      <w:r w:rsidRPr="002D7825">
        <w:rPr>
          <w:noProof/>
        </w:rPr>
        <w:t xml:space="preserve">Când au fost întrebați ce format preferă pentru accesarea informațiilor de pe etichetă, majoritatea utilizatorilor profesioniști și neprofesioniști au selectat etichetele fizice. Acest aspect confirmă necesitatea de a păstra cele mai importante informații pe eticheta fizică. </w:t>
      </w:r>
    </w:p>
    <w:p w14:paraId="5DF25E8E" w14:textId="77777777" w:rsidR="0098746C" w:rsidRPr="002D7825" w:rsidRDefault="004B1714" w:rsidP="003E3187">
      <w:pPr>
        <w:rPr>
          <w:noProof/>
        </w:rPr>
      </w:pPr>
      <w:r w:rsidRPr="002D7825">
        <w:rPr>
          <w:noProof/>
        </w:rPr>
        <w:t xml:space="preserve">Producătorii au avut opinii divergente cu privire la măsura în care digitalizarea le-ar permite, în general, să economisească bani. 48,4 % consideră că ar asigura economii financiare (N = 49). </w:t>
      </w:r>
    </w:p>
    <w:p w14:paraId="36225151" w14:textId="77777777" w:rsidR="00204E3C" w:rsidRPr="002D7825" w:rsidRDefault="0079322C" w:rsidP="003E3187">
      <w:pPr>
        <w:rPr>
          <w:noProof/>
        </w:rPr>
      </w:pPr>
      <w:r w:rsidRPr="002D7825">
        <w:rPr>
          <w:i/>
          <w:noProof/>
        </w:rPr>
        <w:t>Grupuri tematice</w:t>
      </w:r>
    </w:p>
    <w:p w14:paraId="5D966132" w14:textId="7917FC9A" w:rsidR="004B1714" w:rsidRPr="002D7825" w:rsidRDefault="00204E3C" w:rsidP="003E3187">
      <w:pPr>
        <w:rPr>
          <w:noProof/>
        </w:rPr>
      </w:pPr>
      <w:r w:rsidRPr="002D7825">
        <w:rPr>
          <w:noProof/>
        </w:rPr>
        <w:t>Au fost organizate opt grupuri tematice cu utilizatori profesioniști și neprofesioniști din Franța, Polonia, România și Spania. Participanții au salutat digitalizarea etichetelor produselor fertilizante UE, care a fost considerată benefică și o tranziție naturală. Au fost exprimate preocupări cu privire la accentuarea efectelor negative ale decalajului digital.</w:t>
      </w:r>
      <w:r w:rsidR="002D7825">
        <w:rPr>
          <w:noProof/>
        </w:rPr>
        <w:t xml:space="preserve"> </w:t>
      </w:r>
    </w:p>
    <w:p w14:paraId="6D1BB405" w14:textId="5DEC8566" w:rsidR="00DF62CA" w:rsidRPr="002D7825" w:rsidRDefault="004B1714" w:rsidP="003E3187">
      <w:pPr>
        <w:rPr>
          <w:noProof/>
        </w:rPr>
      </w:pPr>
      <w:r w:rsidRPr="002D7825">
        <w:rPr>
          <w:noProof/>
        </w:rPr>
        <w:t xml:space="preserve"> Această activitate de consultare a relevat diferențele în materie de percepție dintre utilizatorii profesioniști și cei neprofesioniști în ceea ce privește importanța diverselor categorii de informații. Informațiile privind eficiența agronomică (cum ar fi conținutul de nutrienți) au fost considerate mai importante decât alte tipuri de informații de către utilizatorii profesioniști, în timp ce informațiile post-cumpărare, precum instrucțiunile de utilizare sau condițiile de stocare, nu erau atât de importante deoarece „toată lumea știa ce să facă”. În schimb, utilizatorii neprofesioniști au considerat informațiile privind eficiența agronomică prea tehnice, informațiile post-cumpărare fiind mai importante. În mod similar, utilizatorii profesioniști au fost mai interesați de informații privind conținutul, cum ar fi lista ingredientelor, decât utilizatorii neprofesioniști. </w:t>
      </w:r>
    </w:p>
    <w:p w14:paraId="5AD6237E" w14:textId="77777777" w:rsidR="00455EE2" w:rsidRPr="002D7825" w:rsidRDefault="00F519E8" w:rsidP="003E3187">
      <w:pPr>
        <w:rPr>
          <w:noProof/>
        </w:rPr>
      </w:pPr>
      <w:r w:rsidRPr="002D7825">
        <w:rPr>
          <w:i/>
          <w:noProof/>
        </w:rPr>
        <w:t>Studiu experimental</w:t>
      </w:r>
    </w:p>
    <w:p w14:paraId="641C8664" w14:textId="77777777" w:rsidR="00455EE2" w:rsidRPr="002D7825" w:rsidRDefault="00204E3C" w:rsidP="003E3187">
      <w:pPr>
        <w:rPr>
          <w:noProof/>
        </w:rPr>
      </w:pPr>
      <w:r w:rsidRPr="002D7825">
        <w:rPr>
          <w:noProof/>
        </w:rPr>
        <w:t xml:space="preserve">Studiul experimental a analizat efectele modificărilor în materie de etichetare asupra comportamentelor-cheie în rândul utilizatorilor profesioniști și neprofesioniști ai produselor fertilizante. Exercițiul a vizat înțelegerea comportamentelor pe care utilizatorii le manifestă efectiv atunci când le sunt prezentate etichete digitalizate, în locul solicitării opiniei participanților cu privire la digitalizare. </w:t>
      </w:r>
    </w:p>
    <w:p w14:paraId="355CA091" w14:textId="77777777" w:rsidR="00455EE2" w:rsidRPr="002D7825" w:rsidRDefault="00455EE2" w:rsidP="003E3187">
      <w:pPr>
        <w:rPr>
          <w:noProof/>
        </w:rPr>
      </w:pPr>
      <w:r w:rsidRPr="002D7825">
        <w:rPr>
          <w:noProof/>
        </w:rPr>
        <w:t>Studiul experimental a relevat faptul că, în ceea ce privește utilizarea și depozitarea produselor, utilizatorii profesioniști nu sunt, în cea mai mare parte, afectați de modificările volumului de informații de pe eticheta fizică. Utilizatorii neprofesioniști sunt mai sensibili la simplificarea etichetării decât omologii lor profesioniști.</w:t>
      </w:r>
    </w:p>
    <w:p w14:paraId="3D88A647" w14:textId="77777777" w:rsidR="00204E3C" w:rsidRPr="002D7825" w:rsidRDefault="00204E3C" w:rsidP="003E3187">
      <w:pPr>
        <w:rPr>
          <w:noProof/>
        </w:rPr>
      </w:pPr>
      <w:r w:rsidRPr="002D7825">
        <w:rPr>
          <w:noProof/>
        </w:rPr>
        <w:t xml:space="preserve">În ceea ce privește factorii care influențează înțelegerea etichetelor, ușurința interpretării etichetelor (autoraportate) este legată în mod semnificativ pozitiv de vârsta utilizatorilor profesioniști și neprofesioniști, precum și de experiența acestora în materie de utilizare a produsului fertilizant în cauză. Un volum mai redus de informații pe etichete nu a condus la o modificare semnificativă a modului în care informațiile de pe eticheta în cauză au fost interpretate de cele două grupuri de utilizatori. </w:t>
      </w:r>
    </w:p>
    <w:p w14:paraId="3E5FD633" w14:textId="77777777" w:rsidR="00455EE2" w:rsidRPr="002D7825" w:rsidRDefault="0079322C" w:rsidP="007935A5">
      <w:pPr>
        <w:keepNext/>
        <w:rPr>
          <w:noProof/>
        </w:rPr>
      </w:pPr>
      <w:r w:rsidRPr="002D7825">
        <w:rPr>
          <w:i/>
          <w:noProof/>
        </w:rPr>
        <w:lastRenderedPageBreak/>
        <w:t>Testarea capacității de utilizare</w:t>
      </w:r>
    </w:p>
    <w:p w14:paraId="7DA92549" w14:textId="77777777" w:rsidR="00455EE2" w:rsidRPr="002D7825" w:rsidRDefault="00204E3C" w:rsidP="003E3187">
      <w:pPr>
        <w:rPr>
          <w:noProof/>
        </w:rPr>
      </w:pPr>
      <w:r w:rsidRPr="002D7825">
        <w:rPr>
          <w:noProof/>
        </w:rPr>
        <w:t>Exercițiul nemoderat de testare a capacității de utilizare a testat popularitatea și utilizarea potențială a diferitelor tehnologii digitale care ar putea fi puse în aplicare pe etichetele produselor fertilizante. Dintre cele 48 de persoane testate, 33 au scanat un cod QR, iar 26 au accesat un URL, ceea ce face ca acestea să fie cele mai utilizate opțiuni.</w:t>
      </w:r>
    </w:p>
    <w:p w14:paraId="5D085BA7" w14:textId="77777777" w:rsidR="00455EE2" w:rsidRPr="002D7825" w:rsidRDefault="0079322C" w:rsidP="003E3187">
      <w:pPr>
        <w:rPr>
          <w:noProof/>
        </w:rPr>
      </w:pPr>
      <w:r w:rsidRPr="002D7825">
        <w:rPr>
          <w:i/>
          <w:noProof/>
        </w:rPr>
        <w:t>Reuniunea grupului de experți privind opțiunile pentru digitalizarea etichetelor</w:t>
      </w:r>
      <w:r w:rsidRPr="002D7825">
        <w:rPr>
          <w:noProof/>
        </w:rPr>
        <w:t xml:space="preserve"> </w:t>
      </w:r>
    </w:p>
    <w:p w14:paraId="24B0F282" w14:textId="77777777" w:rsidR="00DB64EA" w:rsidRPr="002D7825" w:rsidRDefault="00455EE2" w:rsidP="003E3187">
      <w:pPr>
        <w:rPr>
          <w:noProof/>
        </w:rPr>
      </w:pPr>
      <w:r w:rsidRPr="002D7825">
        <w:rPr>
          <w:noProof/>
        </w:rPr>
        <w:t xml:space="preserve">La 15 martie 2022 a avut loc o reuniune online a Grupului de experți al Comisiei privind produsele fertilizante. Contribuțiile primite de la membrii și observatorii din cadrul grupului de experți au fost integrate în procesul de elaborare a opțiunilor de politică. Grupul de experți a salutat clasificarea informațiilor și metodologia utilizată pentru elaborarea diferitelor opțiuni de politică. </w:t>
      </w:r>
    </w:p>
    <w:p w14:paraId="33541ABA" w14:textId="77777777" w:rsidR="00204E3C" w:rsidRPr="002D7825" w:rsidRDefault="00DB64EA" w:rsidP="003E3187">
      <w:pPr>
        <w:rPr>
          <w:noProof/>
        </w:rPr>
      </w:pPr>
      <w:r w:rsidRPr="002D7825">
        <w:rPr>
          <w:noProof/>
        </w:rPr>
        <w:t xml:space="preserve">Membrii grupului au exprimat opinii divergente cu privire la necesitatea de a introduce o distincție între utilizatorii neprofesioniști și cei profesioniști. În timp ce unii au subliniat faptul că cele două categorii de utilizatori au comportamente și nevoi diferite în ceea ce privește etichetarea, alții au atras atenția asupra complexității sporite pe care o astfel de distincție ar adăuga-o normelor, precum și asupra dificultăților de punere în aplicare și de supraveghere a pieței. </w:t>
      </w:r>
    </w:p>
    <w:p w14:paraId="3C921F92" w14:textId="77777777" w:rsidR="00C8380B" w:rsidRPr="002D7825" w:rsidRDefault="00C94966" w:rsidP="00C94966">
      <w:pPr>
        <w:rPr>
          <w:noProof/>
        </w:rPr>
      </w:pPr>
      <w:r w:rsidRPr="002D7825">
        <w:rPr>
          <w:i/>
          <w:noProof/>
        </w:rPr>
        <w:t>Sondaj privind costurile și beneficiile diferitelor opțiuni de digitalizare</w:t>
      </w:r>
    </w:p>
    <w:p w14:paraId="4CD20140" w14:textId="77777777" w:rsidR="00C8380B" w:rsidRPr="002D7825" w:rsidRDefault="00204E3C" w:rsidP="003E3187">
      <w:pPr>
        <w:rPr>
          <w:noProof/>
        </w:rPr>
      </w:pPr>
      <w:r w:rsidRPr="002D7825">
        <w:rPr>
          <w:noProof/>
        </w:rPr>
        <w:t xml:space="preserve">În urma reuniunii grupului de experți, a fost realizat un sondaj online pentru colectarea de date privind costurile și beneficiile asociate diferitelor opțiuni de digitalizare. Sondajul a avut 93 de răspunsuri valabile distribuite între diferite grupuri de părți interesate. </w:t>
      </w:r>
    </w:p>
    <w:p w14:paraId="2F86CC97" w14:textId="77777777" w:rsidR="00204E3C" w:rsidRPr="002D7825" w:rsidRDefault="00204E3C" w:rsidP="003E3187">
      <w:pPr>
        <w:rPr>
          <w:noProof/>
        </w:rPr>
      </w:pPr>
      <w:r w:rsidRPr="002D7825">
        <w:rPr>
          <w:noProof/>
        </w:rPr>
        <w:t>Aproximativ 56,3 % dintre respondenți (producători, N = 32) au indicat că furnizează deja unele informații privind etichetarea în format digital. În general, a existat un sprijin ferm pentru normele generale propuse pentru digitalizarea etichetelor (N = 84). În ceea ce privește compararea efectelor etichetelor în cadrul diferitelor opțiuni asupra impactului economic, de mediu și social, răspunsul general a fost că impactul pozitiv este cu atât mai mare cu cât nivelul digitalizării este mai ridicat.</w:t>
      </w:r>
    </w:p>
    <w:p w14:paraId="61639C9D" w14:textId="77777777" w:rsidR="0020593F" w:rsidRPr="002D7825" w:rsidRDefault="0020593F" w:rsidP="0020593F">
      <w:pPr>
        <w:pStyle w:val="ManualHeading2"/>
        <w:rPr>
          <w:rFonts w:eastAsia="Arial Unicode MS"/>
          <w:noProof/>
          <w:u w:color="000000"/>
          <w:bdr w:val="nil"/>
        </w:rPr>
      </w:pPr>
      <w:r w:rsidRPr="002D7825">
        <w:rPr>
          <w:noProof/>
          <w:u w:color="000000"/>
          <w:bdr w:val="nil"/>
        </w:rPr>
        <w:t>•</w:t>
      </w:r>
      <w:r w:rsidRPr="002D7825">
        <w:rPr>
          <w:noProof/>
        </w:rPr>
        <w:tab/>
        <w:t xml:space="preserve">Obținerea și utilizarea expertizei </w:t>
      </w:r>
    </w:p>
    <w:p w14:paraId="457C121F" w14:textId="77777777" w:rsidR="006C02A7" w:rsidRPr="002D7825" w:rsidRDefault="0020593F" w:rsidP="006841B6">
      <w:pPr>
        <w:rPr>
          <w:noProof/>
          <w:szCs w:val="24"/>
        </w:rPr>
      </w:pPr>
      <w:r w:rsidRPr="002D7825">
        <w:rPr>
          <w:noProof/>
        </w:rPr>
        <w:t>Pentru a analiza rezultatele activităților de consultare și impactul diferitelor opțiuni de politică, Comisia a recurs la un contractant extern.</w:t>
      </w:r>
    </w:p>
    <w:p w14:paraId="43CFF5FE" w14:textId="77777777" w:rsidR="00524948" w:rsidRPr="002D7825" w:rsidRDefault="00524948" w:rsidP="00B44338">
      <w:pPr>
        <w:pStyle w:val="ManualHeading2"/>
        <w:rPr>
          <w:rFonts w:eastAsia="Arial Unicode MS"/>
          <w:noProof/>
          <w:u w:color="000000"/>
          <w:bdr w:val="nil"/>
        </w:rPr>
      </w:pPr>
      <w:r w:rsidRPr="002D7825">
        <w:rPr>
          <w:noProof/>
          <w:u w:color="000000"/>
          <w:bdr w:val="nil"/>
        </w:rPr>
        <w:t>•</w:t>
      </w:r>
      <w:r w:rsidRPr="002D7825">
        <w:rPr>
          <w:noProof/>
        </w:rPr>
        <w:tab/>
      </w:r>
      <w:r w:rsidRPr="002D7825">
        <w:rPr>
          <w:noProof/>
          <w:u w:color="000000"/>
          <w:bdr w:val="nil"/>
        </w:rPr>
        <w:t>Evaluarea impactului</w:t>
      </w:r>
    </w:p>
    <w:p w14:paraId="1C1CFD19" w14:textId="77777777" w:rsidR="00351749" w:rsidRPr="002D7825" w:rsidRDefault="00351749" w:rsidP="003E3187">
      <w:pPr>
        <w:rPr>
          <w:noProof/>
        </w:rPr>
      </w:pPr>
      <w:r w:rsidRPr="002D7825">
        <w:rPr>
          <w:noProof/>
        </w:rPr>
        <w:t>În contextul realizării evaluării impactului</w:t>
      </w:r>
      <w:r w:rsidRPr="002D7825">
        <w:rPr>
          <w:rStyle w:val="FootnoteReference"/>
          <w:noProof/>
          <w:szCs w:val="24"/>
        </w:rPr>
        <w:footnoteReference w:id="19"/>
      </w:r>
      <w:r w:rsidRPr="002D7825">
        <w:rPr>
          <w:noProof/>
        </w:rPr>
        <w:t xml:space="preserve">, Comisia a întâmpinat două dificultăți. Regulamentul (UE) 2019/1009 se aplică de la 16 iulie 2022, astfel încât nu era disponibilă nicio experiență concretă în ceea ce privește aplicarea noilor norme. În plus, regulamentul prevede armonizarea opțională a produselor fertilizante UE. Alegerea aplicării sau nu a regulamentului aparține producătorilor de produse fertilizante. Prin urmare, estimarea numărului producătorilor care vor face o astfel de alegere și o vor menține în următorii ani se dovedește a fi dificilă. </w:t>
      </w:r>
    </w:p>
    <w:p w14:paraId="1F266A2C" w14:textId="77777777" w:rsidR="00F94815" w:rsidRPr="002D7825" w:rsidRDefault="00351749" w:rsidP="003E3187">
      <w:pPr>
        <w:rPr>
          <w:noProof/>
        </w:rPr>
      </w:pPr>
      <w:r w:rsidRPr="002D7825">
        <w:rPr>
          <w:noProof/>
        </w:rPr>
        <w:t>Evaluarea impactului a primit avizul favorabil al Comitetului de control normativ la 22 iulie 2022</w:t>
      </w:r>
      <w:r w:rsidRPr="002D7825">
        <w:rPr>
          <w:rStyle w:val="FootnoteReference"/>
          <w:noProof/>
          <w:szCs w:val="24"/>
        </w:rPr>
        <w:footnoteReference w:id="20"/>
      </w:r>
      <w:r w:rsidRPr="002D7825">
        <w:rPr>
          <w:noProof/>
        </w:rPr>
        <w:t xml:space="preserve">. </w:t>
      </w:r>
    </w:p>
    <w:p w14:paraId="1FC3D568" w14:textId="77777777" w:rsidR="004A00C0" w:rsidRPr="002D7825" w:rsidRDefault="004A00C0" w:rsidP="003E3187">
      <w:pPr>
        <w:rPr>
          <w:noProof/>
        </w:rPr>
      </w:pPr>
      <w:r w:rsidRPr="002D7825">
        <w:rPr>
          <w:noProof/>
        </w:rPr>
        <w:lastRenderedPageBreak/>
        <w:t xml:space="preserve">Comisia a evaluat impactul a trei opțiuni de politică (OP): OP1 – numai elaborarea unui document de orientare, OP2 – informațiile pot fi furnizate în format digital pentru produsele fertilizante UE și OP3 – toate informațiile sunt furnizate în format digital pentru anumite categorii de produse. </w:t>
      </w:r>
    </w:p>
    <w:p w14:paraId="36DEABD5" w14:textId="77777777" w:rsidR="004A00C0" w:rsidRPr="002D7825" w:rsidRDefault="004A00C0" w:rsidP="003E3187">
      <w:pPr>
        <w:rPr>
          <w:noProof/>
        </w:rPr>
      </w:pPr>
      <w:r w:rsidRPr="002D7825">
        <w:rPr>
          <w:noProof/>
        </w:rPr>
        <w:t>În ceea ce privește OP2, au fost luate în considerare 5 subopțiuni (OP2a-OP2e). Nivelul digitalizării variază (de la anumite informații care trebuie furnizate pe eticheta digitală până la majoritatea informațiilor care trebuie furnizate pe aceasta). În ceea ce privește unele dintre subopțiuni, se face o distincție între utilizatorii profesioniști și cei neprofesioniști. Impacturile OP2a-OP2e sunt analizate împreună, dat fiind că a fost identificat doar un număr limitat de diferențe.</w:t>
      </w:r>
    </w:p>
    <w:p w14:paraId="1772D4EF" w14:textId="77777777" w:rsidR="00450C23" w:rsidRPr="002D7825" w:rsidRDefault="004A00C0" w:rsidP="004A00C0">
      <w:pPr>
        <w:rPr>
          <w:noProof/>
          <w:color w:val="000000" w:themeColor="text1"/>
        </w:rPr>
      </w:pPr>
      <w:r w:rsidRPr="002D7825">
        <w:rPr>
          <w:noProof/>
          <w:color w:val="000000" w:themeColor="text1"/>
        </w:rPr>
        <w:t>Opțiunea preferată este OP2a combinată cu OP3:</w:t>
      </w:r>
    </w:p>
    <w:p w14:paraId="2B5FA466" w14:textId="77777777" w:rsidR="00450C23" w:rsidRPr="002D7825" w:rsidRDefault="00450C23" w:rsidP="00801B59">
      <w:pPr>
        <w:pStyle w:val="Tiret0"/>
        <w:numPr>
          <w:ilvl w:val="0"/>
          <w:numId w:val="11"/>
        </w:numPr>
        <w:rPr>
          <w:noProof/>
        </w:rPr>
      </w:pPr>
      <w:r w:rsidRPr="002D7825">
        <w:rPr>
          <w:noProof/>
        </w:rPr>
        <w:t xml:space="preserve">OP2a înseamnă digitalizarea opțională a anumitor informații de pe eticheta produselor fertilizante UE, fără a face distincție între utilizatorii profesioniști și neprofesioniști; </w:t>
      </w:r>
    </w:p>
    <w:p w14:paraId="0F32B327" w14:textId="77777777" w:rsidR="004A00C0" w:rsidRPr="002D7825" w:rsidRDefault="004A00C0" w:rsidP="00DF10E5">
      <w:pPr>
        <w:pStyle w:val="Tiret0"/>
        <w:rPr>
          <w:noProof/>
        </w:rPr>
      </w:pPr>
      <w:r w:rsidRPr="002D7825">
        <w:rPr>
          <w:noProof/>
        </w:rPr>
        <w:t>OP3 înseamnă digitalizarea opțională a tuturor informațiilor referitoare la produsele vândute în vrac și produsele care nu sunt vândute utilizatorilor finali, ci altor operatori economici.</w:t>
      </w:r>
    </w:p>
    <w:p w14:paraId="270F8755" w14:textId="77777777" w:rsidR="004A00C0" w:rsidRPr="002D7825" w:rsidRDefault="004A00C0" w:rsidP="004A00C0">
      <w:pPr>
        <w:rPr>
          <w:noProof/>
          <w:color w:val="000000" w:themeColor="text1"/>
        </w:rPr>
      </w:pPr>
      <w:r w:rsidRPr="002D7825">
        <w:rPr>
          <w:noProof/>
          <w:color w:val="000000" w:themeColor="text1"/>
        </w:rPr>
        <w:t xml:space="preserve">În timp ce OP2a are caracterul cel mai prudent în ceea ce privește domeniul de aplicare al informațiilor care urmează să fie furnizate numai în format digital, combinarea acestei opțiuni cu OP3 asigură faptul că obiectivele sunt abordate în cel mai eficient mod, menținând o abordare echilibrată a diferitelor puncte de vedere ale părților interesate. </w:t>
      </w:r>
    </w:p>
    <w:p w14:paraId="19C78925" w14:textId="77777777" w:rsidR="004A00C0" w:rsidRPr="002D7825" w:rsidRDefault="004A00C0" w:rsidP="004A00C0">
      <w:pPr>
        <w:rPr>
          <w:noProof/>
          <w:color w:val="000000" w:themeColor="text1"/>
        </w:rPr>
      </w:pPr>
      <w:r w:rsidRPr="002D7825">
        <w:rPr>
          <w:noProof/>
          <w:color w:val="000000" w:themeColor="text1"/>
        </w:rPr>
        <w:t>În primul rând, opțiunea 2a implică păstrarea pe eticheta fizică a tuturor informațiilor legate de siguranță, precum și a celor mai importante informații privind eficiența agronomică, conținutul și informațiile relevante post-cumpărare. Prin reducerea celorlalte tipuri de informații care trebuie incluse pe eticheta fizică, informațiile privind siguranța vor deveni mai vizibile, contribuind astfel la obiectivul de protecție a sănătății și a mediului. Această opțiune ține seama în cea mai mare măsură de decalajul digital. Eliminarea tuturor informațiilor de pe etichetă, inclusiv a informațiilor privind siguranța, de la opțiunea 3 pentru vânzările către operatorii economici este justificată de grupurile speciale de utilizatori în cauză, care nu sunt utilizatori finali. Operatorii economici cumpără produsele pentru a le pune la dispoziție pe piață și nu pentru a le aplica pe sol. În ceea ce privește produsele în vrac, având în vedere natura produsului în sine, nu există nicio posibilitate de a furniza informațiile pe o etichetă fizică aplicată pe ambalaj, aceasta fiind modalitatea directă de comunicare a informațiilor de etichetare. Este puțin probabil ca înlocuirea prospectului cu o etichetă digitală să aibă un impact semnificativ asupra accesibilității informațiilor.</w:t>
      </w:r>
    </w:p>
    <w:p w14:paraId="16E50BF0" w14:textId="77777777" w:rsidR="004A00C0" w:rsidRPr="002D7825" w:rsidRDefault="004A00C0" w:rsidP="004A00C0">
      <w:pPr>
        <w:rPr>
          <w:noProof/>
          <w:color w:val="000000" w:themeColor="text1"/>
        </w:rPr>
      </w:pPr>
      <w:r w:rsidRPr="002D7825">
        <w:rPr>
          <w:noProof/>
          <w:color w:val="000000" w:themeColor="text1"/>
        </w:rPr>
        <w:t>În al doilea rând, această opțiune combinată va reduce costurile de etichetare și va crea condiții de concurență echitabile între operatorii economici în ceea ce privește utilizarea etichetării digitale. Costurile de etichetare vor fi reduse atât prin includerea mai multor limbi pe eticheta fizică, cât și prin evitarea modificărilor frecvente ale acesteia.</w:t>
      </w:r>
    </w:p>
    <w:p w14:paraId="6C07B234" w14:textId="77777777" w:rsidR="00524948" w:rsidRPr="002D7825" w:rsidRDefault="004A00C0" w:rsidP="002726B2">
      <w:pPr>
        <w:rPr>
          <w:noProof/>
          <w:color w:val="000000" w:themeColor="text1"/>
        </w:rPr>
      </w:pPr>
      <w:r w:rsidRPr="002D7825">
        <w:rPr>
          <w:noProof/>
          <w:color w:val="000000" w:themeColor="text1"/>
        </w:rPr>
        <w:t xml:space="preserve">În cele din urmă, această opțiune combinată este mai ușor de aplicat și respectat, dat fiind că nu se face nicio distincție între utilizatorii profesioniști și cei neprofesioniști. O astfel de distincție nu există în Regulamentul (UE) 2019/1009; aceasta ar fi sporit complexitatea normelor și ar fi îngreunat punerea lor în aplicare. </w:t>
      </w:r>
    </w:p>
    <w:p w14:paraId="7E4C61AF" w14:textId="77777777" w:rsidR="00FC08D4" w:rsidRPr="002D7825" w:rsidRDefault="00FC08D4" w:rsidP="00FC08D4">
      <w:pPr>
        <w:rPr>
          <w:noProof/>
        </w:rPr>
      </w:pPr>
      <w:r w:rsidRPr="002D7825">
        <w:rPr>
          <w:noProof/>
        </w:rPr>
        <w:t xml:space="preserve">Având în vedere baza limitată de date în materie de costuri, o extrapolare completă a costurilor la nivelul UE este problematică și riscă să ofere o imagine falsă. Costurile maxime la nivelul UE pentru întreprinderi în cadrul OP2 (dar și OP3), pe baza datelor obținute din sondajele realizate în rândul părților interesate, ar fi de 0,3 milioane EUR (variind între </w:t>
      </w:r>
      <w:r w:rsidRPr="002D7825">
        <w:rPr>
          <w:noProof/>
        </w:rPr>
        <w:lastRenderedPageBreak/>
        <w:t>0,1 milioane EUR și 0,6 milioane EUR) în cazul costurilor punctuale și de 0,1 milioane EUR (variind între 0,06 milioane EUR și 0,4 milioane EUR) în cazul costurilor curente (anuale). În practică, costurile reale ar fi, cel mai probabil, mai mici decât aceste costuri maxime, deoarece o anumită pondere de întreprinderi ar alege să nu asigure etichetarea digitală.</w:t>
      </w:r>
    </w:p>
    <w:p w14:paraId="534C6CE3" w14:textId="77777777" w:rsidR="00FC08D4" w:rsidRPr="002D7825" w:rsidRDefault="00FC08D4" w:rsidP="00FC08D4">
      <w:pPr>
        <w:rPr>
          <w:noProof/>
        </w:rPr>
      </w:pPr>
      <w:r w:rsidRPr="002D7825">
        <w:rPr>
          <w:noProof/>
        </w:rPr>
        <w:t>Trebuie remarcat faptul că anumite costuri pot fi suportate în plus de operatorul economic care optează pentru etichetarea digitală, în ceea ce privește furnizarea informațiilor prin mijloace alternative, dacă este necesar. Deși astfel de costuri nu au putut fi cuantificate, se preconizează că acestea vor fi marginale, având în vedere că informațiile despre produs ar fi furnizate numai unor ponderi reduse ale piețelor țintă. Pe termen lung, costurile ar fi compensate prin economii legate de actualizarea etichetelor fizice, evitând dubla etichetare și eliberând spațiu pe eticheta fizică pentru informații în mai multe limbi. În plus, OP3 generează beneficii nete estimate la 0,8 milioane, deoarece introduce digitalizarea completă a cerințelor de etichetare pentru produsele vândute în vrac sau pentru produsele care nu sunt vândute utilizatorilor finali.</w:t>
      </w:r>
    </w:p>
    <w:p w14:paraId="35FA131D" w14:textId="77777777" w:rsidR="00FC08D4" w:rsidRPr="002D7825" w:rsidRDefault="00FC08D4" w:rsidP="00FC08D4">
      <w:pPr>
        <w:rPr>
          <w:noProof/>
        </w:rPr>
      </w:pPr>
      <w:r w:rsidRPr="002D7825">
        <w:rPr>
          <w:noProof/>
        </w:rPr>
        <w:t xml:space="preserve">În ceea ce privește impactul direct al OP2a și al OP3 asupra autorităților publice, în pofida aspectelor pozitive legate de ușurința gestionării și compilării datelor online, autoritățile publice ar putea solicita unele investiții în echipamente și formare pentru a facilita accesul la etichetele digitale. </w:t>
      </w:r>
    </w:p>
    <w:p w14:paraId="55BC006C" w14:textId="1E09AEEF" w:rsidR="0042707E" w:rsidRPr="002D7825" w:rsidRDefault="0042707E" w:rsidP="0042707E">
      <w:pPr>
        <w:pStyle w:val="BodyText"/>
        <w:rPr>
          <w:rFonts w:ascii="Times New Roman" w:hAnsi="Times New Roman" w:cs="Times New Roman"/>
          <w:noProof/>
          <w:sz w:val="24"/>
          <w:szCs w:val="24"/>
        </w:rPr>
      </w:pPr>
      <w:r w:rsidRPr="002D7825">
        <w:rPr>
          <w:rFonts w:ascii="Times New Roman" w:hAnsi="Times New Roman"/>
          <w:noProof/>
          <w:sz w:val="24"/>
        </w:rPr>
        <w:t>Estimările pentru opțiunea de politică preferată 2a sugerează faptul că un posibil beneficiu net unic de nivel mediu ar fi negativ pentru toate întreprinderile din UE-27 (și anume -0,1 milioane EUR, pe baza ipotezei că toate întreprinderile care exportă ar obține economii asociate cu cerințe reduse în materie de etichetare fizică). Beneficiile anuale recurente maxime pentru OP2a ar fi de 0,9 milioane EUR pentru toate întreprinderile (UE-27). În cadrul opțiunii 3, posibilul beneficiu net unic maxim ar fi, de asemenea, negativ (și anume -0,5 milioane EUR pe baza acelorași ipoteze ca și în cazul OP2a)</w:t>
      </w:r>
      <w:r w:rsidRPr="002D7825">
        <w:rPr>
          <w:rStyle w:val="FootnoteReference"/>
          <w:rFonts w:ascii="Times New Roman" w:hAnsi="Times New Roman" w:cs="Times New Roman"/>
          <w:noProof/>
          <w:sz w:val="24"/>
          <w:szCs w:val="24"/>
        </w:rPr>
        <w:footnoteReference w:id="21"/>
      </w:r>
      <w:r w:rsidRPr="002D7825">
        <w:rPr>
          <w:noProof/>
        </w:rPr>
        <w:t>.</w:t>
      </w:r>
      <w:r w:rsidR="002D7825">
        <w:rPr>
          <w:noProof/>
        </w:rPr>
        <w:t xml:space="preserve"> </w:t>
      </w:r>
      <w:r w:rsidRPr="002D7825">
        <w:rPr>
          <w:rFonts w:ascii="Times New Roman" w:hAnsi="Times New Roman"/>
          <w:noProof/>
          <w:sz w:val="24"/>
        </w:rPr>
        <w:t>Cu toate acestea, beneficiile nete recurente anuale maxime pentru OP3 ar fi de 3 milioane EUR pentru toate întreprinderile</w:t>
      </w:r>
      <w:r w:rsidRPr="002D7825">
        <w:rPr>
          <w:rStyle w:val="FootnoteReference"/>
          <w:rFonts w:ascii="Times New Roman" w:hAnsi="Times New Roman" w:cs="Times New Roman"/>
          <w:noProof/>
          <w:sz w:val="24"/>
          <w:szCs w:val="24"/>
        </w:rPr>
        <w:footnoteReference w:id="22"/>
      </w:r>
      <w:r w:rsidRPr="002D7825">
        <w:rPr>
          <w:rFonts w:ascii="Times New Roman" w:hAnsi="Times New Roman"/>
          <w:noProof/>
          <w:sz w:val="24"/>
        </w:rPr>
        <w:t xml:space="preserve"> (UE-27).</w:t>
      </w:r>
    </w:p>
    <w:p w14:paraId="2869149D" w14:textId="77777777" w:rsidR="00FC08D4" w:rsidRPr="002D7825" w:rsidRDefault="00FC08D4" w:rsidP="00FC08D4">
      <w:pPr>
        <w:rPr>
          <w:noProof/>
        </w:rPr>
      </w:pPr>
      <w:r w:rsidRPr="002D7825">
        <w:rPr>
          <w:noProof/>
        </w:rPr>
        <w:t xml:space="preserve">Se preconizează că opțiunea preferată va avea beneficii pentru mediu, prin reducerea volumului deșeurilor de ambalaje. Astfel de beneficii nu au putut fi cuantificate. </w:t>
      </w:r>
    </w:p>
    <w:p w14:paraId="62489BA8" w14:textId="77777777" w:rsidR="00FC08D4" w:rsidRPr="002D7825" w:rsidRDefault="00FC08D4" w:rsidP="002726B2">
      <w:pPr>
        <w:rPr>
          <w:noProof/>
        </w:rPr>
      </w:pPr>
      <w:r w:rsidRPr="002D7825">
        <w:rPr>
          <w:noProof/>
        </w:rPr>
        <w:t xml:space="preserve">Nu se preconizează niciun impact social negativ, deoarece, în cadrul OP2a, informațiile considerate esențiale de diferite categorii de utilizatori sunt menținute pe eticheta fizică. Dimpotrivă, se preconizează că lizibilitatea etichetei fizice va fi îmbunătățită, o serie de detalii tehnice fiind transferate pe eticheta digitală. În plus, utilizatorii vor putea profita pe deplin de diversele posibilități create de digitalizare în ceea ce privește accesibilitatea și căutarea de informații specifice în format digital. </w:t>
      </w:r>
    </w:p>
    <w:p w14:paraId="168866F5" w14:textId="77777777" w:rsidR="00524948" w:rsidRPr="002D7825" w:rsidRDefault="00524948" w:rsidP="00B44338">
      <w:pPr>
        <w:pStyle w:val="ManualHeading2"/>
        <w:rPr>
          <w:rFonts w:eastAsia="Arial Unicode MS"/>
          <w:noProof/>
          <w:u w:color="000000"/>
          <w:bdr w:val="nil"/>
        </w:rPr>
      </w:pPr>
      <w:r w:rsidRPr="002D7825">
        <w:rPr>
          <w:noProof/>
          <w:u w:color="000000"/>
          <w:bdr w:val="nil"/>
        </w:rPr>
        <w:t>•</w:t>
      </w:r>
      <w:r w:rsidRPr="002D7825">
        <w:rPr>
          <w:noProof/>
        </w:rPr>
        <w:tab/>
      </w:r>
      <w:r w:rsidRPr="002D7825">
        <w:rPr>
          <w:noProof/>
          <w:u w:color="000000"/>
          <w:bdr w:val="nil"/>
        </w:rPr>
        <w:t>Adecvarea reglementărilor și simplificarea</w:t>
      </w:r>
    </w:p>
    <w:p w14:paraId="09E28033" w14:textId="77777777" w:rsidR="00796AB5" w:rsidRPr="002D7825" w:rsidRDefault="00796AB5" w:rsidP="00796AB5">
      <w:pPr>
        <w:rPr>
          <w:noProof/>
        </w:rPr>
      </w:pPr>
      <w:r w:rsidRPr="002D7825">
        <w:rPr>
          <w:noProof/>
        </w:rPr>
        <w:t>Prezenta propunere vizează simplificarea procesului de asigurare a respectării cerințelor de etichetare în temeiul Regulamentului (UE) 2019/1009 și, prin urmare, reducerea sarcinii pentru operatorii economici, fără a pune în pericol principalele obiective ale regulamentului, inclusiv protecția sănătății umane și a mediului.</w:t>
      </w:r>
    </w:p>
    <w:p w14:paraId="515CEB09" w14:textId="77777777" w:rsidR="00885BC5" w:rsidRPr="002D7825" w:rsidRDefault="00796AB5" w:rsidP="00796AB5">
      <w:pPr>
        <w:pBdr>
          <w:top w:val="nil"/>
          <w:left w:val="nil"/>
          <w:bottom w:val="nil"/>
          <w:right w:val="nil"/>
          <w:between w:val="nil"/>
          <w:bar w:val="nil"/>
        </w:pBdr>
        <w:spacing w:before="0" w:after="240"/>
        <w:rPr>
          <w:noProof/>
        </w:rPr>
      </w:pPr>
      <w:r w:rsidRPr="002D7825">
        <w:rPr>
          <w:noProof/>
        </w:rPr>
        <w:lastRenderedPageBreak/>
        <w:t xml:space="preserve">Prezenta propunere contribuie în mod direct la tabloul de bord REFIT [Domenii 13. Acte normative privind produsele chimice (altele decât REACH)], prin utilizarea instrumentelor digitale pentru a comunica informații referitoare la produsele fertilizante UE. Valorificarea beneficiilor erei digitale va duce la o potențială reducere a sarcinii pentru IMM-uri, la îmbunătățirea procesului de aplicare a legislației și de asigurare a respectării acesteia, consolidând cooperarea dintre autoritățile competente, inclusiv autoritățile vamale și autoritățile de supraveghere a pieței. </w:t>
      </w:r>
    </w:p>
    <w:p w14:paraId="74B18F2F" w14:textId="3FF4E464" w:rsidR="00524948" w:rsidRPr="002D7825" w:rsidRDefault="00327C09" w:rsidP="00796AB5">
      <w:pPr>
        <w:pBdr>
          <w:top w:val="nil"/>
          <w:left w:val="nil"/>
          <w:bottom w:val="nil"/>
          <w:right w:val="nil"/>
          <w:between w:val="nil"/>
          <w:bar w:val="nil"/>
        </w:pBdr>
        <w:spacing w:before="0" w:after="240"/>
        <w:rPr>
          <w:rFonts w:eastAsia="Arial Unicode MS"/>
          <w:noProof/>
        </w:rPr>
      </w:pPr>
      <w:r w:rsidRPr="002D7825">
        <w:rPr>
          <w:noProof/>
        </w:rPr>
        <w:t>Digitalizarea etichetei are în continuare un caracter opțional. Prin urmare, nu sunt necesare măsuri specifice pentru întreprinderile mici și mijlocii, care sunt libere să aleagă momentul potrivit pentru a face această schimbare, dacă este cazul.</w:t>
      </w:r>
      <w:r w:rsidR="002D7825">
        <w:rPr>
          <w:noProof/>
        </w:rPr>
        <w:t xml:space="preserve"> </w:t>
      </w:r>
    </w:p>
    <w:p w14:paraId="5ACEF2E3" w14:textId="77777777" w:rsidR="00524948" w:rsidRPr="002D7825" w:rsidRDefault="00524948" w:rsidP="00B44338">
      <w:pPr>
        <w:pStyle w:val="ManualHeading1"/>
        <w:rPr>
          <w:noProof/>
        </w:rPr>
      </w:pPr>
      <w:r w:rsidRPr="002D7825">
        <w:rPr>
          <w:noProof/>
        </w:rPr>
        <w:t>5.</w:t>
      </w:r>
      <w:r w:rsidRPr="002D7825">
        <w:rPr>
          <w:noProof/>
        </w:rPr>
        <w:tab/>
        <w:t>ALTE ELEMENTE</w:t>
      </w:r>
    </w:p>
    <w:p w14:paraId="5048CF32" w14:textId="77777777" w:rsidR="00524948" w:rsidRPr="002D7825" w:rsidRDefault="00524948" w:rsidP="00B44338">
      <w:pPr>
        <w:pStyle w:val="ManualHeading2"/>
        <w:rPr>
          <w:rFonts w:eastAsia="Arial Unicode MS"/>
          <w:noProof/>
          <w:u w:color="000000"/>
          <w:bdr w:val="nil"/>
        </w:rPr>
      </w:pPr>
      <w:r w:rsidRPr="002D7825">
        <w:rPr>
          <w:noProof/>
          <w:u w:color="000000"/>
          <w:bdr w:val="nil"/>
        </w:rPr>
        <w:t>•</w:t>
      </w:r>
      <w:r w:rsidRPr="002D7825">
        <w:rPr>
          <w:noProof/>
        </w:rPr>
        <w:tab/>
      </w:r>
      <w:r w:rsidRPr="002D7825">
        <w:rPr>
          <w:noProof/>
          <w:u w:color="000000"/>
          <w:bdr w:val="nil"/>
        </w:rPr>
        <w:t>Planuri de punere în aplicare și modalități de monitorizare, evaluare și raportare</w:t>
      </w:r>
    </w:p>
    <w:p w14:paraId="14419E1D" w14:textId="77777777" w:rsidR="00CA1696" w:rsidRPr="002D7825" w:rsidRDefault="009D236F" w:rsidP="00CA1696">
      <w:pPr>
        <w:rPr>
          <w:noProof/>
        </w:rPr>
      </w:pPr>
      <w:r w:rsidRPr="002D7825">
        <w:rPr>
          <w:noProof/>
        </w:rPr>
        <w:t xml:space="preserve">În cadrul evaluării efectuate în conformitate cu articolul 49 din Regulamentul (UE) 2019/1009, Comisia va analiza, de asemenea, modul în care a acționat (sau acționează) această intervenție specifică și va trage concluzii preliminare. Aceasta va fi prima ocazie de a evalua dacă au existat efecte neintenționate sau neașteptate. </w:t>
      </w:r>
    </w:p>
    <w:p w14:paraId="345B760F" w14:textId="77777777" w:rsidR="00796AB5" w:rsidRPr="002D7825" w:rsidRDefault="00CA1696" w:rsidP="00796AB5">
      <w:pPr>
        <w:rPr>
          <w:noProof/>
        </w:rPr>
      </w:pPr>
      <w:r w:rsidRPr="002D7825">
        <w:rPr>
          <w:noProof/>
        </w:rPr>
        <w:t xml:space="preserve">Ulterior, Comisia va monitoriza dacă intervenția UE rămâne adecvată scopului său, dacă trebuie ajustată pentru un nivel sporit de eficacitate, relevanță și coerență sau dacă trebuie pur și simplu abrogată. </w:t>
      </w:r>
    </w:p>
    <w:p w14:paraId="33CCE7C7" w14:textId="77777777" w:rsidR="00524948" w:rsidRPr="002D7825" w:rsidRDefault="00524948" w:rsidP="00B44338">
      <w:pPr>
        <w:pStyle w:val="ManualHeading2"/>
        <w:rPr>
          <w:rFonts w:eastAsia="Arial Unicode MS"/>
          <w:noProof/>
          <w:u w:color="000000"/>
          <w:bdr w:val="nil"/>
        </w:rPr>
      </w:pPr>
      <w:r w:rsidRPr="002D7825">
        <w:rPr>
          <w:noProof/>
          <w:u w:color="000000"/>
          <w:bdr w:val="nil"/>
        </w:rPr>
        <w:t>•</w:t>
      </w:r>
      <w:r w:rsidRPr="002D7825">
        <w:rPr>
          <w:noProof/>
        </w:rPr>
        <w:tab/>
      </w:r>
      <w:r w:rsidRPr="002D7825">
        <w:rPr>
          <w:noProof/>
          <w:u w:color="000000"/>
          <w:bdr w:val="nil"/>
        </w:rPr>
        <w:t>Explicații detaliate cu privire la prevederile specifice ale propunerii</w:t>
      </w:r>
    </w:p>
    <w:p w14:paraId="56E49E53" w14:textId="77777777" w:rsidR="00F4061C" w:rsidRPr="002D7825" w:rsidRDefault="00F4061C" w:rsidP="00F4061C">
      <w:pPr>
        <w:rPr>
          <w:noProof/>
        </w:rPr>
      </w:pPr>
      <w:r w:rsidRPr="002D7825">
        <w:rPr>
          <w:noProof/>
        </w:rPr>
        <w:t xml:space="preserve">Prezenta propunere introduce digitalizarea voluntară a etichetelor produselor fertilizante UE. Alegerea aparține producătorilor, importatorilor sau distribuitorilor de produse fertilizante UE. </w:t>
      </w:r>
    </w:p>
    <w:p w14:paraId="1B9AB89C" w14:textId="77777777" w:rsidR="00C63A58" w:rsidRPr="002D7825" w:rsidRDefault="00C63A58" w:rsidP="00C63A58">
      <w:pPr>
        <w:rPr>
          <w:noProof/>
        </w:rPr>
      </w:pPr>
      <w:r w:rsidRPr="002D7825">
        <w:rPr>
          <w:noProof/>
        </w:rPr>
        <w:t xml:space="preserve">Se propune ca operatorii economici să aibă permisiunea de a furniza toate elementele de etichetare prevăzute în anexa III la Regulamentul (UE) 2019/1009 numai în format digital în următoarele două situații: produsele fertilizante UE sunt vândute fără ambalaj sau produsele fertilizante UE sunt vândute operatorilor economici (care nu sunt utilizatori finali ai produselor). </w:t>
      </w:r>
    </w:p>
    <w:p w14:paraId="19A90613" w14:textId="77777777" w:rsidR="00CF6CE8" w:rsidRPr="002D7825" w:rsidRDefault="00D655AD" w:rsidP="00D655AD">
      <w:pPr>
        <w:rPr>
          <w:noProof/>
        </w:rPr>
      </w:pPr>
      <w:r w:rsidRPr="002D7825">
        <w:rPr>
          <w:noProof/>
        </w:rPr>
        <w:t xml:space="preserve">Operatorii economici care optează pentru etichetarea digitală a produselor fertilizante UE furnizate utilizatorilor finali în ambalaje vor trebui să furnizeze, de asemenea, o etichetă fizică, ce va conține cele mai importante informații. Eticheta fizică va conține toate informațiile privind protecția sănătății umane și a mediului, precum și cele mai importante informații privind eficiența agronomică și conținutul produsului sau informațiile utilizate post-cumpărare. </w:t>
      </w:r>
    </w:p>
    <w:p w14:paraId="045AD2BC" w14:textId="77777777" w:rsidR="00F4061C" w:rsidRPr="002D7825" w:rsidRDefault="00AF2402" w:rsidP="00F4061C">
      <w:pPr>
        <w:rPr>
          <w:noProof/>
        </w:rPr>
      </w:pPr>
      <w:r w:rsidRPr="002D7825">
        <w:rPr>
          <w:noProof/>
        </w:rPr>
        <w:t xml:space="preserve">Odată ce operatorii economici aleg să furnizeze etichete digitale, propunerea stabilește normele generale privind digitalizarea etichetelor. În special, operatorii economici vor trebui să se asigure că eticheta digitală poate fi accesată gratuit și este ușor accesibilă în întreaga UE și vor trebui să țină seama de nevoile grupurilor vulnerabile ale populației. Informațiile de pe etichetele digitale trebuie, de asemenea, să fie furnizate prin mijloace alternative, dacă este necesar. </w:t>
      </w:r>
    </w:p>
    <w:p w14:paraId="2B5322E1" w14:textId="0B616DBC" w:rsidR="00C63A58" w:rsidRPr="002D7825" w:rsidRDefault="00F43431" w:rsidP="00B44338">
      <w:pPr>
        <w:rPr>
          <w:noProof/>
        </w:rPr>
      </w:pPr>
      <w:r w:rsidRPr="002D7825">
        <w:rPr>
          <w:noProof/>
        </w:rPr>
        <w:t xml:space="preserve">Propunerea prevede competența Comisiei de a completa cerințele generale de etichetare digitală și de a adapta în continuare anexa III prin stabilirea elementelor de etichetare care ar </w:t>
      </w:r>
      <w:r w:rsidRPr="002D7825">
        <w:rPr>
          <w:noProof/>
        </w:rPr>
        <w:lastRenderedPageBreak/>
        <w:t xml:space="preserve">putea fi furnizate în format digital atunci când produsele fertilizante UE sunt puse la dispoziția utilizatorilor finali în ambalaj, în funcție de evoluția societății. </w:t>
      </w:r>
    </w:p>
    <w:p w14:paraId="2F6DEE80" w14:textId="33F6D7A9" w:rsidR="00524948" w:rsidRPr="002D7825" w:rsidRDefault="002D7825" w:rsidP="00B44338">
      <w:pPr>
        <w:rPr>
          <w:noProof/>
        </w:rPr>
        <w:sectPr w:rsidR="00524948" w:rsidRPr="002D7825" w:rsidSect="009E020B">
          <w:footerReference w:type="default" r:id="rId13"/>
          <w:footerReference w:type="first" r:id="rId14"/>
          <w:pgSz w:w="11907" w:h="16839"/>
          <w:pgMar w:top="1134" w:right="1417" w:bottom="1134" w:left="1417" w:header="709" w:footer="709" w:gutter="0"/>
          <w:cols w:space="708"/>
          <w:docGrid w:linePitch="360"/>
        </w:sectPr>
      </w:pPr>
      <w:r>
        <w:rPr>
          <w:noProof/>
        </w:rPr>
        <w:t xml:space="preserve"> </w:t>
      </w:r>
    </w:p>
    <w:p w14:paraId="5DA92BBD" w14:textId="3352DB58" w:rsidR="00131C40" w:rsidRDefault="00131C40" w:rsidP="00131C40">
      <w:pPr>
        <w:pStyle w:val="Rfrenceinterinstitutionnelle"/>
        <w:rPr>
          <w:noProof/>
        </w:rPr>
      </w:pPr>
      <w:r w:rsidRPr="00131C40">
        <w:lastRenderedPageBreak/>
        <w:t>2023/0049 (COD)</w:t>
      </w:r>
    </w:p>
    <w:p w14:paraId="27637965" w14:textId="2B61AFFC" w:rsidR="00524948" w:rsidRPr="002D7825" w:rsidRDefault="006218C8" w:rsidP="006218C8">
      <w:pPr>
        <w:pStyle w:val="Statut"/>
        <w:rPr>
          <w:noProof/>
        </w:rPr>
      </w:pPr>
      <w:r w:rsidRPr="002D7825">
        <w:rPr>
          <w:noProof/>
        </w:rPr>
        <w:t>Propunere de</w:t>
      </w:r>
    </w:p>
    <w:p w14:paraId="2E34E9D0" w14:textId="4C0302A1" w:rsidR="00524948" w:rsidRPr="002D7825" w:rsidRDefault="006218C8" w:rsidP="006218C8">
      <w:pPr>
        <w:pStyle w:val="Typedudocument"/>
        <w:rPr>
          <w:noProof/>
        </w:rPr>
      </w:pPr>
      <w:r w:rsidRPr="002D7825">
        <w:rPr>
          <w:noProof/>
        </w:rPr>
        <w:t>REGULAMENT AL PARLAMENTULUI EUROPEAN ȘI AL CONSILIULUI</w:t>
      </w:r>
    </w:p>
    <w:p w14:paraId="3EFAAD66" w14:textId="64815423" w:rsidR="00524948" w:rsidRPr="002D7825" w:rsidRDefault="006218C8" w:rsidP="006218C8">
      <w:pPr>
        <w:pStyle w:val="Titreobjet"/>
        <w:rPr>
          <w:noProof/>
        </w:rPr>
      </w:pPr>
      <w:r w:rsidRPr="002D7825">
        <w:rPr>
          <w:noProof/>
        </w:rPr>
        <w:t>de modificare a Regulamentului (UE) 2019/1009 în ceea ce privește etichetarea digitală a produselor fertilizante UE</w:t>
      </w:r>
    </w:p>
    <w:p w14:paraId="648C80A4" w14:textId="145430D6" w:rsidR="00FD73DE" w:rsidRPr="002D7825" w:rsidRDefault="006218C8" w:rsidP="006218C8">
      <w:pPr>
        <w:pStyle w:val="IntrtEEE"/>
        <w:rPr>
          <w:noProof/>
        </w:rPr>
      </w:pPr>
      <w:r w:rsidRPr="002D7825">
        <w:rPr>
          <w:noProof/>
        </w:rPr>
        <w:t>(Text cu relevanță pentru SEE)</w:t>
      </w:r>
    </w:p>
    <w:p w14:paraId="31DAFDEB" w14:textId="375C21E1" w:rsidR="00524948" w:rsidRPr="002D7825" w:rsidRDefault="00524948" w:rsidP="00281421">
      <w:pPr>
        <w:pStyle w:val="Institutionquiagit"/>
        <w:rPr>
          <w:noProof/>
        </w:rPr>
      </w:pPr>
      <w:r w:rsidRPr="002D7825">
        <w:rPr>
          <w:noProof/>
        </w:rPr>
        <w:t>PARLAMENTUL EUROPEAN ȘI CONSILIUL UNIUNII EUROPENE,</w:t>
      </w:r>
    </w:p>
    <w:p w14:paraId="394BEE5F" w14:textId="77777777" w:rsidR="00524948" w:rsidRPr="002D7825" w:rsidRDefault="00524948" w:rsidP="00B44338">
      <w:pPr>
        <w:rPr>
          <w:noProof/>
        </w:rPr>
      </w:pPr>
      <w:r w:rsidRPr="002D7825">
        <w:rPr>
          <w:noProof/>
        </w:rPr>
        <w:t>având în vedere Tratatul privind funcționarea Uniunii Europene, în special articolul 114,</w:t>
      </w:r>
    </w:p>
    <w:p w14:paraId="31048FB9" w14:textId="33BB77A6" w:rsidR="00524948" w:rsidRPr="002D7825" w:rsidRDefault="00524948" w:rsidP="00B44338">
      <w:pPr>
        <w:rPr>
          <w:noProof/>
        </w:rPr>
      </w:pPr>
      <w:r w:rsidRPr="002D7825">
        <w:rPr>
          <w:noProof/>
        </w:rPr>
        <w:t xml:space="preserve">având în vedere propunerea Comisiei Europene, </w:t>
      </w:r>
    </w:p>
    <w:p w14:paraId="170A848D" w14:textId="77777777" w:rsidR="00524948" w:rsidRPr="002D7825" w:rsidRDefault="00524948" w:rsidP="00B44338">
      <w:pPr>
        <w:rPr>
          <w:noProof/>
        </w:rPr>
      </w:pPr>
      <w:r w:rsidRPr="002D7825">
        <w:rPr>
          <w:noProof/>
        </w:rPr>
        <w:t>după transmiterea proiectului de act legislativ către parlamentele naționale,</w:t>
      </w:r>
    </w:p>
    <w:p w14:paraId="098BCE9F" w14:textId="77777777" w:rsidR="00524948" w:rsidRPr="002D7825" w:rsidRDefault="6913EA63" w:rsidP="00B44338">
      <w:pPr>
        <w:rPr>
          <w:noProof/>
        </w:rPr>
      </w:pPr>
      <w:r w:rsidRPr="002D7825">
        <w:rPr>
          <w:noProof/>
        </w:rPr>
        <w:t>având în vedere avizul Comitetului Economic și Social European</w:t>
      </w:r>
      <w:r w:rsidRPr="002D7825">
        <w:rPr>
          <w:rStyle w:val="FootnoteReference"/>
          <w:noProof/>
        </w:rPr>
        <w:footnoteReference w:id="23"/>
      </w:r>
      <w:r w:rsidRPr="002D7825">
        <w:rPr>
          <w:noProof/>
        </w:rPr>
        <w:t xml:space="preserve">, </w:t>
      </w:r>
    </w:p>
    <w:p w14:paraId="5382627B" w14:textId="77777777" w:rsidR="00524948" w:rsidRPr="002D7825" w:rsidRDefault="00524948" w:rsidP="00B44338">
      <w:pPr>
        <w:rPr>
          <w:noProof/>
        </w:rPr>
      </w:pPr>
      <w:r w:rsidRPr="002D7825">
        <w:rPr>
          <w:noProof/>
        </w:rPr>
        <w:t>hotărând în conformitate cu procedura legislativă ordinară,</w:t>
      </w:r>
    </w:p>
    <w:p w14:paraId="4C08F5C7" w14:textId="77777777" w:rsidR="00524948" w:rsidRPr="002D7825" w:rsidRDefault="00524948" w:rsidP="00B44338">
      <w:pPr>
        <w:rPr>
          <w:noProof/>
        </w:rPr>
      </w:pPr>
      <w:r w:rsidRPr="002D7825">
        <w:rPr>
          <w:noProof/>
        </w:rPr>
        <w:t>întrucât:</w:t>
      </w:r>
    </w:p>
    <w:p w14:paraId="0EC9BF1E" w14:textId="58B9E6F2" w:rsidR="00967876" w:rsidRPr="002D7825" w:rsidRDefault="00B6311E" w:rsidP="00B6311E">
      <w:pPr>
        <w:pStyle w:val="ManualConsidrant"/>
        <w:rPr>
          <w:noProof/>
        </w:rPr>
      </w:pPr>
      <w:r w:rsidRPr="00B6311E">
        <w:t>(1)</w:t>
      </w:r>
      <w:r w:rsidRPr="00B6311E">
        <w:tab/>
      </w:r>
      <w:r w:rsidR="00DE6394" w:rsidRPr="002D7825">
        <w:rPr>
          <w:noProof/>
        </w:rPr>
        <w:t>Anexa III la Regulamentul (UE) 2019/1009 stabilește cerințele de etichetare aplicabile produselor fertilizante UE. Informațiile menționate în anexa III trebuie să figureze pe o etichetă într-un format fizic, care se aplică pe ambalajul respectiv sau, în cazul elementelor de etichetare care nu pot figura pe etichetă din cauza faptului că ambalajul este prea mic, trebuie să fie comunicate într-un prospect separat care însoțește respectivul ambalaj (denumită în continuare „eticheta fizică”). Produsele fără ambalaj sunt însoțite de un prospect. Cerințele de etichetare se referă la diverși parametri legați de eficiența agronomică a produselor fertilizante UE (de exemplu, conținutul de nutrienți dintr-un îngrășământ) și de conținutul acestor produse (de exemplu, cantitatea). Cerințele de etichetare acoperă, de asemenea, informațiile necesare pentru protecția sănătății umane și a mediului atunci când se utilizează produse fertilizante UE (de exemplu, informațiile necesare pentru aplicarea corectă a Directivei 91/676/CEE a Consiliului</w:t>
      </w:r>
      <w:r w:rsidR="00DE6394" w:rsidRPr="002D7825">
        <w:rPr>
          <w:rStyle w:val="FootnoteReference"/>
          <w:noProof/>
        </w:rPr>
        <w:footnoteReference w:id="24"/>
      </w:r>
      <w:r w:rsidR="00DE6394" w:rsidRPr="002D7825">
        <w:rPr>
          <w:noProof/>
        </w:rPr>
        <w:t xml:space="preserve">) și informațiile necesare pentru manipularea și utilizarea corectă a acestor produse după achiziționare (de exemplu, informații privind condițiile de depozitare). </w:t>
      </w:r>
    </w:p>
    <w:p w14:paraId="6CB5A3FC" w14:textId="46B63FC9" w:rsidR="008D257A" w:rsidRPr="002D7825" w:rsidRDefault="00B6311E" w:rsidP="00B6311E">
      <w:pPr>
        <w:pStyle w:val="ManualConsidrant"/>
        <w:rPr>
          <w:noProof/>
        </w:rPr>
      </w:pPr>
      <w:r w:rsidRPr="00B6311E">
        <w:t>(2)</w:t>
      </w:r>
      <w:r w:rsidRPr="00B6311E">
        <w:tab/>
      </w:r>
      <w:r w:rsidR="00AD29E4" w:rsidRPr="002D7825">
        <w:rPr>
          <w:noProof/>
        </w:rPr>
        <w:t xml:space="preserve">Formatul în care produsele fertilizante UE sunt etichetate în conformitate cu Regulamentul (UE) 2019/1009 trebuie să fie adaptat la schimbările tehnologice și societale din domeniul digitalizării. </w:t>
      </w:r>
    </w:p>
    <w:p w14:paraId="0F60DC55" w14:textId="62ED5A83" w:rsidR="00537DC7" w:rsidRPr="002D7825" w:rsidRDefault="00B6311E" w:rsidP="00B6311E">
      <w:pPr>
        <w:pStyle w:val="ManualConsidrant"/>
        <w:rPr>
          <w:noProof/>
        </w:rPr>
      </w:pPr>
      <w:r w:rsidRPr="00B6311E">
        <w:t>(3)</w:t>
      </w:r>
      <w:r w:rsidRPr="00B6311E">
        <w:tab/>
      </w:r>
      <w:r w:rsidR="00051E6C" w:rsidRPr="002D7825">
        <w:rPr>
          <w:noProof/>
        </w:rPr>
        <w:t xml:space="preserve">Furnizarea informațiilor pe o etichetă în format digital („etichetă digitală”) are beneficii clare. Etichetarea digitală poate îmbunătăți comunicarea informațiilor de etichetare, atât prin evitarea supraaglomerării etichetelor fizice, cât și prin posibilitatea utilizatorilor de a se baza pe diferite opțiuni de citire disponibile numai pentru </w:t>
      </w:r>
      <w:r w:rsidR="00051E6C" w:rsidRPr="002D7825">
        <w:rPr>
          <w:noProof/>
        </w:rPr>
        <w:lastRenderedPageBreak/>
        <w:t>formatele digitale, cum ar fi caractere mai mari, căutare automată, difuzoare sau traducerea în alte limbi. În plus, etichetarea digitală a produselor fertilizante UE contribuie la progresele realizate în direcția digitalizării sectorului agricol european și poate facilita obligațiile de raportare ale fermierilor în ceea ce privește utilizarea acestor produse. Etichetarea digitală poate conduce, de asemenea, la o gestionare mai eficientă a obligațiilor de etichetare de către operatorii economici, prin facilitarea actualizării informațiilor de etichetare și autorizarea transmiterii de informații specifice către utilizatori. În plus, etichetarea digitală poate contribui la reducerea costurilor de etichetare de-a lungul întregului lanț de aprovizionare, având în vedere că etichetele produselor fertilizante UE pot fi modificate în urma unei tranzacții între operatorii economici, înainte de a ajunge la utilizatorii finali.</w:t>
      </w:r>
    </w:p>
    <w:p w14:paraId="11F15E02" w14:textId="68CEDC7B" w:rsidR="00233499" w:rsidRPr="002D7825" w:rsidRDefault="00B6311E" w:rsidP="00B6311E">
      <w:pPr>
        <w:pStyle w:val="ManualConsidrant"/>
        <w:rPr>
          <w:noProof/>
        </w:rPr>
      </w:pPr>
      <w:r w:rsidRPr="00B6311E">
        <w:t>(4)</w:t>
      </w:r>
      <w:r w:rsidRPr="00B6311E">
        <w:tab/>
      </w:r>
      <w:r w:rsidR="00250D88" w:rsidRPr="002D7825">
        <w:rPr>
          <w:noProof/>
        </w:rPr>
        <w:t xml:space="preserve">Cu toate acestea, etichetarea digitală poate crea, de asemenea, noi provocări pentru grupurile vulnerabile ale populației, în special pentru persoanele cu competențe digitale inexistente sau insuficiente sau pentru persoanele cu handicap, accentuând astfel decalajul digital. Prin urmare, etichetarea digitală trebuie introdusă în Regulamentul (UE) 2019/1009, în anumite condiții, ținând seama de necesitatea de a asigura un nivel ridicat de protecție a sănătății umane și a mediului, precum și de nivelul de pregătire digitală. </w:t>
      </w:r>
    </w:p>
    <w:p w14:paraId="73B01DE2" w14:textId="0203DA00" w:rsidR="0042707E" w:rsidRPr="002D7825" w:rsidRDefault="00B6311E" w:rsidP="00B6311E">
      <w:pPr>
        <w:pStyle w:val="ManualConsidrant"/>
        <w:rPr>
          <w:noProof/>
        </w:rPr>
      </w:pPr>
      <w:r w:rsidRPr="00B6311E">
        <w:t>(5)</w:t>
      </w:r>
      <w:r w:rsidRPr="00B6311E">
        <w:tab/>
      </w:r>
      <w:r w:rsidR="00B71470" w:rsidRPr="002D7825">
        <w:rPr>
          <w:noProof/>
        </w:rPr>
        <w:t xml:space="preserve">Operatorii economici trebuie să aibă în continuare libertatea de a alege dacă să furnizeze o etichetă digitală sau fizică. Acest aspect va asigura faptul că respectivii operatori economici au flexibilitatea de a opta pentru normele cele mai adecvate situației lor. Este deosebit de important să nu se creeze costuri nejustificate pentru întreprinderile mici și mijlocii, pentru care etichetarea digitală s-ar putea dovedi dificilă, având în vedere tipurile sau volumele reduse de produse fertilizante UE. </w:t>
      </w:r>
    </w:p>
    <w:p w14:paraId="467758EB" w14:textId="5DE05403" w:rsidR="00A96055" w:rsidRPr="002D7825" w:rsidRDefault="00B6311E" w:rsidP="00B6311E">
      <w:pPr>
        <w:pStyle w:val="ManualConsidrant"/>
        <w:rPr>
          <w:noProof/>
        </w:rPr>
      </w:pPr>
      <w:r w:rsidRPr="00B6311E">
        <w:t>(6)</w:t>
      </w:r>
      <w:r w:rsidRPr="00B6311E">
        <w:tab/>
      </w:r>
      <w:r w:rsidR="006578DC" w:rsidRPr="002D7825">
        <w:rPr>
          <w:noProof/>
        </w:rPr>
        <w:t xml:space="preserve">Alegerea furnizării unei etichete digitale aparține în primul rând producătorilor și importatorilor, care sunt responsabili pentru îndeplinirea cerințelor de etichetare prevăzute în anexa III la Regulamentul (UE) 2019/1009. Cu toate acestea, pentru a maximiza utilizarea etichetelor digitale și, prin urmare, pentru a îmbunătăți comunicarea informațiilor către utilizatori, distribuitorii trebuie, de asemenea, să aibă posibilitatea de a digitaliza eticheta produselor fertilizante UE pe care le pun la dispoziție pe piață, pe baza informațiilor deja furnizate de producător. Amploarea etichetării digitale trebuie să depindă de doi factori: dacă produsele fertilizante UE sunt puse la dispoziția operatorilor economici sau a utilizatorilor finali și dacă produsele sunt furnizate cu sau fără ambalaj. </w:t>
      </w:r>
    </w:p>
    <w:p w14:paraId="6B9B05E9" w14:textId="41365ED1" w:rsidR="00AB0029" w:rsidRPr="002D7825" w:rsidRDefault="00B6311E" w:rsidP="00B6311E">
      <w:pPr>
        <w:pStyle w:val="ManualConsidrant"/>
        <w:rPr>
          <w:noProof/>
        </w:rPr>
      </w:pPr>
      <w:r w:rsidRPr="00B6311E">
        <w:t>(7)</w:t>
      </w:r>
      <w:r w:rsidRPr="00B6311E">
        <w:tab/>
      </w:r>
      <w:r w:rsidR="00AB0029" w:rsidRPr="002D7825">
        <w:rPr>
          <w:noProof/>
        </w:rPr>
        <w:t>Operatorilor economici trebuie să li se permită să furnizeze toate elementele de etichetare menționate în anexa III la Regulamentul (UE) 2019/1009 pe o etichetă digitală numai pentru produsele fertilizante UE furnizate altor operatori economici, cu sau fără ambalaj. Utilizarea etichetelor digitale în astfel de cazuri poate reduce costurile de etichetare în lanțul de aprovizionare. Importatorii sau distribuitorii vor avea posibilitatea de a aplica o etichetă fizică pe produsul fertilizant UE direct în limbile oficiale necesare pentru situația lor specifică. În plus, costurile de etichetare pot fi evitate în cazul amestecării, ambalării sau reambalării produselor fertilizante UE, deoarece produsele pot fi etichetate cu o etichetă fizică o singură dată, înainte de a ajunge la utilizatorii finali. Întrucât produsele sunt furnizate operatorilor economici, comunicarea de informații către utilizatorii finali nu este afectată. În cazul în care operatorii economici aleg să furnizeze, pe lângă o etichetă digitală, o etichetă fizică, aceștia trebuie să aibă libertatea de a decide ce elemente de etichetare să includă în eticheta fizică respectivă.</w:t>
      </w:r>
    </w:p>
    <w:p w14:paraId="353EB3FB" w14:textId="6307E704" w:rsidR="00BB1C37" w:rsidRPr="002D7825" w:rsidRDefault="00B6311E" w:rsidP="00B6311E">
      <w:pPr>
        <w:pStyle w:val="ManualConsidrant"/>
        <w:rPr>
          <w:noProof/>
        </w:rPr>
      </w:pPr>
      <w:r w:rsidRPr="00B6311E">
        <w:lastRenderedPageBreak/>
        <w:t>(8)</w:t>
      </w:r>
      <w:r w:rsidRPr="00B6311E">
        <w:tab/>
      </w:r>
      <w:r w:rsidR="01188F76" w:rsidRPr="002D7825">
        <w:rPr>
          <w:noProof/>
        </w:rPr>
        <w:t xml:space="preserve">Etichetele fizice rămân modalitatea preferată de a obține informații pentru utilizatorii finali, deoarece, fiind aplicate pe ambalaje, astfel de etichete fizice oferă acces imediat la informații. În plus, marea majoritate a produselor fertilizante UE disponibile pe piață sunt utilizate de utilizatori profesioniști, cum ar fi fermierii. Deși utilizatorii profesioniști sunt obișnuiți cu produsele fertilizante și se bazează adesea pe consultanță pentru planurile lor de fertilizare, aceștia tind să aparțină unor grupe de vârstă mai înaintată, cu competențe digitale mai reduse. </w:t>
      </w:r>
    </w:p>
    <w:p w14:paraId="418B733C" w14:textId="3831A15B" w:rsidR="002E295B" w:rsidRPr="002D7825" w:rsidRDefault="00B6311E" w:rsidP="00B6311E">
      <w:pPr>
        <w:pStyle w:val="ManualConsidrant"/>
        <w:rPr>
          <w:noProof/>
        </w:rPr>
      </w:pPr>
      <w:r w:rsidRPr="00B6311E">
        <w:t>(9)</w:t>
      </w:r>
      <w:r w:rsidRPr="00B6311E">
        <w:tab/>
      </w:r>
      <w:r w:rsidR="29BAAB0B" w:rsidRPr="002D7825">
        <w:rPr>
          <w:noProof/>
        </w:rPr>
        <w:t>În cazul în care optează pentru etichetarea digitală a produselor fertilizante UE furnizate utilizatorilor finali într-un ambalaj, operatorii economici trebuie, prin urmare, să se asigure că un set minim de informații este disponibil și pe eticheta fizică. În acest context și având în vedere alte norme specifice produselor puse la dispoziție într-un ambalaj, un ambalaj nu trebuie să conțină o greutate care depășește 1 000 kg, în conformitate cu Regulamentul (UE) nr. 142/2011 al Comisiei</w:t>
      </w:r>
      <w:r w:rsidR="29BAAB0B" w:rsidRPr="002D7825">
        <w:rPr>
          <w:rStyle w:val="FootnoteReference"/>
          <w:noProof/>
        </w:rPr>
        <w:footnoteReference w:id="25"/>
      </w:r>
      <w:r w:rsidR="29BAAB0B" w:rsidRPr="002D7825">
        <w:rPr>
          <w:noProof/>
        </w:rPr>
        <w:t xml:space="preserve">. Produsele furnizate într-un ambalaj care depășește această limită trebuie considerate ca fiind furnizate fără ambalaj în sensul Regulamentului (UE) 2019/1009. Acest aspect va aborda, de asemenea, provocările cu care se pot confrunta grupurile vulnerabile ale populației. Informațiile specifice pe care operatorii economici trebuie să fie autorizați să le furnizeze numai pe o etichetă digitală trebuie, prin urmare, să reflecte starea actuală a digitalizării societății și situația specială a utilizatorilor de produse fertilizante UE. Pentru a permite tuturor utilizatorilor finali să facă alegeri în cunoștință de cauză înainte de a cumpăra produse fertilizante UE și pentru a asigura manipularea și utilizarea în condiții de siguranță a acestor produse de către toate grupurile de utilizatori finali, pe eticheta fizică trebuie să figureze întotdeauna informații de etichetare referitoare la protecția sănătății umane și a mediului, precum și informații minime privind eficiența agronomică a produselor fertilizante UE și conținutul și utilizarea acestora. Regulamentul (UE) 2019/1009 trebuie să indice în mod clar ce informații pot fi furnizate numai în format digital. </w:t>
      </w:r>
    </w:p>
    <w:p w14:paraId="1DD0907A" w14:textId="27064FD7" w:rsidR="004C767E" w:rsidRPr="002D7825" w:rsidRDefault="00B6311E" w:rsidP="00B6311E">
      <w:pPr>
        <w:pStyle w:val="ManualConsidrant"/>
        <w:rPr>
          <w:noProof/>
        </w:rPr>
      </w:pPr>
      <w:r w:rsidRPr="00B6311E">
        <w:t>(10)</w:t>
      </w:r>
      <w:r w:rsidRPr="00B6311E">
        <w:tab/>
      </w:r>
      <w:r w:rsidR="002B1F08" w:rsidRPr="002D7825">
        <w:rPr>
          <w:noProof/>
        </w:rPr>
        <w:t>În cazul produselor fertilizante UE furnizate fără ambalaj, operatorii economici trebuie să comunice elementele de etichetare într-un prospect. Spre deosebire de etichetele fizice, prospectul nu are nicio legătură fizică cu produsul în sine și, prin urmare, nu oferă acces imediat la informațiile relevante pentru produs în contextul manipulării acestuia. Furnizarea acelorași elemente de etichetare în format digital ar implica o ajustare a modului în care sunt obținute informațiile, fără a crea riscuri semnificative pentru utilizatori.</w:t>
      </w:r>
      <w:r w:rsidR="002D7825">
        <w:rPr>
          <w:noProof/>
        </w:rPr>
        <w:t xml:space="preserve"> </w:t>
      </w:r>
      <w:r w:rsidR="002B1F08" w:rsidRPr="002D7825">
        <w:rPr>
          <w:noProof/>
        </w:rPr>
        <w:t xml:space="preserve">Prin urmare, operatorilor economici trebuie să li se permită să furnizeze toate elementele de etichetare menționate în anexa III la Regulamentul (UE) 2019/1009 pe o etichetă digitală numai pentru produsele fertilizante UE furnizate fără ambalaj. În cazul în care operatorii economici aleg să furnizeze, pe lângă o etichetă digitală, o etichetă fizică, aceștia trebuie să aibă libertatea de a decide ce elemente de etichetare să includă în eticheta fizică respectivă. </w:t>
      </w:r>
    </w:p>
    <w:p w14:paraId="65435D54" w14:textId="40A57856" w:rsidR="00AC0DDC" w:rsidRPr="002D7825" w:rsidRDefault="00B6311E" w:rsidP="00B6311E">
      <w:pPr>
        <w:pStyle w:val="ManualConsidrant"/>
        <w:rPr>
          <w:noProof/>
        </w:rPr>
      </w:pPr>
      <w:r w:rsidRPr="00B6311E">
        <w:t>(11)</w:t>
      </w:r>
      <w:r w:rsidRPr="00B6311E">
        <w:tab/>
      </w:r>
      <w:r w:rsidR="00AC0DDC" w:rsidRPr="002D7825">
        <w:rPr>
          <w:noProof/>
        </w:rPr>
        <w:t xml:space="preserve">Pentru a asigura condiții de concurență echitabile în rândul operatorilor economici care pun la dispoziție pe piață produse fertilizante UE și pentru a proteja utilizatorii finali ai acestor produse, trebuie stabilite cerințe privind etichetarea digitală. </w:t>
      </w:r>
    </w:p>
    <w:p w14:paraId="64604484" w14:textId="6EBC1604" w:rsidR="00CF6CE8" w:rsidRPr="002D7825" w:rsidRDefault="00B6311E" w:rsidP="00B6311E">
      <w:pPr>
        <w:pStyle w:val="ManualConsidrant"/>
        <w:rPr>
          <w:noProof/>
        </w:rPr>
      </w:pPr>
      <w:r w:rsidRPr="00B6311E">
        <w:lastRenderedPageBreak/>
        <w:t>(12)</w:t>
      </w:r>
      <w:r w:rsidRPr="00B6311E">
        <w:tab/>
      </w:r>
      <w:r w:rsidR="00004B42" w:rsidRPr="002D7825">
        <w:rPr>
          <w:noProof/>
        </w:rPr>
        <w:t xml:space="preserve">Pentru a se asigura că utilizatorii primesc toate elementele de etichetare pe eticheta digitală și nu vor fi nevoiți să compileze informațiile atât de pe o etichetă fizică, cât și de pe o etichetă digitală, operatorii economici care utilizează o etichetă digitală trebuie să aibă obligația de a include toate aceste elemente de etichetare pe eticheta respectivă, chiar dacă acestea figurează și pe eticheta fizică. Eticheta digitală trebuie să conțină, de asemenea, informații care să le permită utilizatorilor finali să identifice și să contacteze producătorul produselor fertilizante UE, întrucât aceasta este o informație esențială, iar furnizarea ei în format digital va facilita legătura dintre produs și eticheta digitală. În plus, având în vedere că produsele fertilizante sunt, de asemenea, introduse pe piață ca produse nearmonizate, este important ca marcajul CE și orice trimitere corespunzătoare la un organism notificat să figureze pe eticheta digitală, astfel încât utilizatorii finali să poată deduce numai din utilizarea etichetei digitale că produsul este comercializat în conformitate cu Regulamentul (UE) 2019/1009. Cu toate acestea, pentru a facilita actualizarea anumitor informații care trebuie furnizate de producători, care se modifică frecvent și nu sunt utilizate zilnic de către utilizatorii finali (mai exact, numărul lotului și data producției), producătorii trebuie să aibă posibilitatea de a alege să furnizeze informațiile fie în format fizic, fie în format digital. </w:t>
      </w:r>
    </w:p>
    <w:p w14:paraId="5C317676" w14:textId="3A767D92" w:rsidR="00AA73F1" w:rsidRPr="002D7825" w:rsidRDefault="00B6311E" w:rsidP="00B6311E">
      <w:pPr>
        <w:pStyle w:val="ManualConsidrant"/>
        <w:rPr>
          <w:noProof/>
        </w:rPr>
      </w:pPr>
      <w:r w:rsidRPr="00B6311E">
        <w:t>(13)</w:t>
      </w:r>
      <w:r w:rsidRPr="00B6311E">
        <w:tab/>
      </w:r>
      <w:r w:rsidR="001C5B87" w:rsidRPr="002D7825">
        <w:rPr>
          <w:noProof/>
        </w:rPr>
        <w:t xml:space="preserve">Întrucât etichetele digitale, la fel ca și etichetele fizice, reprezintă un mijloc de a pune la dispoziția utilizatorilor informații obligatorii privind produsele fertilizante UE, operatorii economici trebuie să asigure accesul liber la etichetele digitale. În plus, pentru a îmbunătăți șansele utilizatorilor de a obține informațiile în practică, informațiile furnizate pe eticheta digitală trebuie să fie ușor accesibile. Operatorii economici nu trebuie să combine informațiile prevăzute de Regulamentul (UE) 2019/1009 cu alte informații care nu sunt solicitate prin Regulamentul (UE) 2019/1009, cum ar fi declarațiile comerciale sau de marketing. Spațiul digital nu are limitări de spațiu tipice în cazul etichetelor fizice aplicate pe ambalaj. Prin urmare, este important ca elementele de etichetare furnizate în conformitate cu Regulamentul (UE) 2019/1009 să rămână concentrate într-un singur loc, astfel încât acestea să nu fie dificil de găsit, printre diverse alte informații pe care operatorii economici le-ar putea furniza. Operatorii economici trebuie, de asemenea, să se asigure că etichetele digitale sunt prezentate într-un mod care ține seama de nevoile grupurilor vulnerabile ale populației, pentru a reduce și mai mult provocările cu care se pot confrunta aceste grupuri. </w:t>
      </w:r>
    </w:p>
    <w:p w14:paraId="709A6607" w14:textId="5A599A04" w:rsidR="00F668E6" w:rsidRPr="002D7825" w:rsidRDefault="00B6311E" w:rsidP="00B6311E">
      <w:pPr>
        <w:pStyle w:val="ManualConsidrant"/>
        <w:rPr>
          <w:noProof/>
        </w:rPr>
      </w:pPr>
      <w:r w:rsidRPr="00B6311E">
        <w:t>(14)</w:t>
      </w:r>
      <w:r w:rsidRPr="00B6311E">
        <w:tab/>
      </w:r>
      <w:r w:rsidR="00375F70" w:rsidRPr="002D7825">
        <w:rPr>
          <w:noProof/>
        </w:rPr>
        <w:t xml:space="preserve">Ținând seama atât de interesul utilizatorilor de a avea acces la informații referitoare la produsele fertilizante UE cu un termen de valabilitate relativ lung, cât și de interesul operatorilor economici de a evita costurile inutile, operatorii economici trebuie să se asigure că eticheta digitală este disponibilă pentru o perioadă de 5 ani de la data introducerii pe piață a produsului fertilizant UE. </w:t>
      </w:r>
    </w:p>
    <w:p w14:paraId="6E492096" w14:textId="4ED84847" w:rsidR="006578DC" w:rsidRPr="002D7825" w:rsidRDefault="00B6311E" w:rsidP="00B6311E">
      <w:pPr>
        <w:pStyle w:val="ManualConsidrant"/>
        <w:rPr>
          <w:noProof/>
        </w:rPr>
      </w:pPr>
      <w:r w:rsidRPr="00B6311E">
        <w:t>(15)</w:t>
      </w:r>
      <w:r w:rsidRPr="00B6311E">
        <w:tab/>
      </w:r>
      <w:r w:rsidR="00375F70" w:rsidRPr="002D7825">
        <w:rPr>
          <w:noProof/>
        </w:rPr>
        <w:t xml:space="preserve">Pentru a reduce orice riscuri potențiale cauzate de indisponibilitatea etichetei digitale pentru grupurile vulnerabile ale populației, în special în ceea ce privește produsele fertilizante UE livrate fără ambalaj utilizatorilor finali, în cazul în care toate elementele de etichetare pot fi furnizate digital, operatorii economici trebuie să fie responsabili de furnizarea elementelor de etichetare prin mijloace alternative către utilizatorii finali, la cerere. Ori de câte ori eticheta digitală este temporar indisponibilă, informațiile trebuie furnizate chiar și în absența unei cereri. </w:t>
      </w:r>
    </w:p>
    <w:p w14:paraId="0674190D" w14:textId="3EEE163F" w:rsidR="00D829A1" w:rsidRPr="002D7825" w:rsidRDefault="00B6311E" w:rsidP="00B6311E">
      <w:pPr>
        <w:pStyle w:val="ManualConsidrant"/>
        <w:rPr>
          <w:noProof/>
        </w:rPr>
      </w:pPr>
      <w:r w:rsidRPr="00B6311E">
        <w:t>(16)</w:t>
      </w:r>
      <w:r w:rsidRPr="00B6311E">
        <w:tab/>
      </w:r>
      <w:r w:rsidR="00D829A1" w:rsidRPr="002D7825">
        <w:rPr>
          <w:noProof/>
        </w:rPr>
        <w:t xml:space="preserve">Cerințele privind documentația tehnică prevăzute în anexa IV la Regulamentul (UE) 2019/1009 trebuie adaptate pentru a ține seama de introducerea etichetelor digitale. În plus, ținând seama de posibilitatea de a furniza numai o etichetă digitală pentru produsele fertilizante UE puse la dispoziția producătorilor de </w:t>
      </w:r>
      <w:r w:rsidR="00D829A1" w:rsidRPr="002D7825">
        <w:rPr>
          <w:noProof/>
        </w:rPr>
        <w:lastRenderedPageBreak/>
        <w:t xml:space="preserve">amestecuri, pentru a facilita supravegherea pieței, documentația tehnică a amestecurilor de produse fertilizante trebuie să includă un specimen al informațiilor furnizate în anexa III la Regulamentul (UE) 2019/1009 cu privire la produsele fertilizante UE componente. </w:t>
      </w:r>
    </w:p>
    <w:p w14:paraId="2EF1B342" w14:textId="3CFC87AF" w:rsidR="00A01E02" w:rsidRPr="002D7825" w:rsidRDefault="00B6311E" w:rsidP="00B6311E">
      <w:pPr>
        <w:pStyle w:val="ManualConsidrant"/>
        <w:rPr>
          <w:noProof/>
        </w:rPr>
      </w:pPr>
      <w:r w:rsidRPr="00B6311E">
        <w:t>(17)</w:t>
      </w:r>
      <w:r w:rsidRPr="00B6311E">
        <w:tab/>
      </w:r>
      <w:r w:rsidR="00A01E02" w:rsidRPr="002D7825">
        <w:rPr>
          <w:noProof/>
        </w:rPr>
        <w:t>Pentru a menține Regulamentul (UE) 2019/1009 actualizat în acord cu progresele tehnice, cu noile dovezi științifice și cu evoluția digitalizării societății, competența de a adopta acte în conformitate cu articolul 290 din Tratatul privind funcționarea Uniunii Europene trebuie delegată Comisiei în ceea ce privește completarea cerințelor privind etichetarea digitală și modificarea anexei III în ceea ce privește elementele de etichetare pe care operatorii economici care pun la dispoziția utilizatorilor finali pe piață produsele fertilizante UE într-un ambalaj le pot furniza numai pe o etichetă digitală.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00A01E02" w:rsidRPr="002D7825">
        <w:rPr>
          <w:rStyle w:val="FootnoteReference"/>
          <w:noProof/>
        </w:rPr>
        <w:footnoteReference w:id="26"/>
      </w:r>
      <w:r w:rsidR="00A01E02" w:rsidRPr="002D7825">
        <w:rPr>
          <w:noProof/>
        </w:rPr>
        <w:t xml:space="preserve">.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 </w:t>
      </w:r>
    </w:p>
    <w:p w14:paraId="0976B2E9" w14:textId="364CD7B8" w:rsidR="006578DC" w:rsidRPr="002D7825" w:rsidRDefault="00B6311E" w:rsidP="00B6311E">
      <w:pPr>
        <w:pStyle w:val="ManualConsidrant"/>
        <w:rPr>
          <w:noProof/>
        </w:rPr>
      </w:pPr>
      <w:r w:rsidRPr="00B6311E">
        <w:t>(18)</w:t>
      </w:r>
      <w:r w:rsidRPr="00B6311E">
        <w:tab/>
      </w:r>
      <w:r w:rsidR="00A01E02" w:rsidRPr="002D7825">
        <w:rPr>
          <w:noProof/>
        </w:rPr>
        <w:t>Atunci când stabilește norme mai detaliate pentru etichetarea digitală, Comisia trebuie să acorde o atenție deosebită altor norme ale Uniunii privind furnizarea de informații referitoare la produse sau substanțe și amestecuri în format digital. Trebuie să fie posibil accesul la toate informațiile prevăzute de diferite norme ale Uniunii într-un singur spațiu digital, astfel încât utilizatorii să aibă acces facil la toate informațiile necesare.</w:t>
      </w:r>
    </w:p>
    <w:p w14:paraId="29BA5682" w14:textId="6105CB15" w:rsidR="00967876" w:rsidRPr="002D7825" w:rsidRDefault="00B6311E" w:rsidP="00B6311E">
      <w:pPr>
        <w:pStyle w:val="ManualConsidrant"/>
        <w:rPr>
          <w:noProof/>
        </w:rPr>
      </w:pPr>
      <w:r w:rsidRPr="00B6311E">
        <w:t>(19)</w:t>
      </w:r>
      <w:r w:rsidRPr="00B6311E">
        <w:tab/>
      </w:r>
      <w:r w:rsidR="00F638A3" w:rsidRPr="002D7825">
        <w:rPr>
          <w:noProof/>
        </w:rPr>
        <w:t>Atunci când decide ce elemente de etichetare pot fi furnizate numai în format digital de către operatorii economici care pun la dispoziția utilizatorilor finali pe piață produse fertilizante UE într-un ambalaj, Comisia trebuie să țină seama de nivelul de pregătire digitală în rândul utilizatorilor de produse fertilizante UE și de necesitatea de a garanta siguranța utilizării unor astfel de produse pentru sănătatea umană și pentru mediu.</w:t>
      </w:r>
      <w:r w:rsidR="002D7825">
        <w:rPr>
          <w:noProof/>
        </w:rPr>
        <w:t xml:space="preserve"> </w:t>
      </w:r>
    </w:p>
    <w:p w14:paraId="6C95861A" w14:textId="441126AE" w:rsidR="00F51F31" w:rsidRPr="002D7825" w:rsidRDefault="00B6311E" w:rsidP="00B6311E">
      <w:pPr>
        <w:pStyle w:val="ManualConsidrant"/>
        <w:rPr>
          <w:noProof/>
        </w:rPr>
      </w:pPr>
      <w:r w:rsidRPr="00B6311E">
        <w:t>(20)</w:t>
      </w:r>
      <w:r w:rsidRPr="00B6311E">
        <w:tab/>
      </w:r>
      <w:r w:rsidR="00F51F31" w:rsidRPr="002D7825">
        <w:rPr>
          <w:noProof/>
        </w:rPr>
        <w:t xml:space="preserve">Prin urmare, Regulamentul (UE) 2019/1009 trebuie modificat în consecință. </w:t>
      </w:r>
    </w:p>
    <w:p w14:paraId="3F467B39" w14:textId="702B3159" w:rsidR="00B47F86" w:rsidRPr="002D7825" w:rsidRDefault="00B6311E" w:rsidP="00B6311E">
      <w:pPr>
        <w:pStyle w:val="ManualConsidrant"/>
        <w:rPr>
          <w:noProof/>
        </w:rPr>
      </w:pPr>
      <w:r w:rsidRPr="00B6311E">
        <w:t>(21)</w:t>
      </w:r>
      <w:r w:rsidRPr="00B6311E">
        <w:tab/>
      </w:r>
      <w:r w:rsidR="00B47F86" w:rsidRPr="002D7825">
        <w:rPr>
          <w:noProof/>
        </w:rPr>
        <w:t xml:space="preserve">Având în vedere că prezentul regulament introduce posibilitatea de a furniza, integral sau parțial, cerințele de etichetare din anexa III numai pe etichetele digitale, aplicarea sa trebuie amânată pentru a asigura o perioadă de timp suficientă pentru elaborarea cerințelor de completare privind etichetarea digitală. </w:t>
      </w:r>
    </w:p>
    <w:p w14:paraId="0DF20337" w14:textId="4875F455" w:rsidR="009554E2" w:rsidRPr="002D7825" w:rsidRDefault="00B6311E" w:rsidP="00B6311E">
      <w:pPr>
        <w:pStyle w:val="ManualConsidrant"/>
        <w:rPr>
          <w:noProof/>
        </w:rPr>
      </w:pPr>
      <w:r w:rsidRPr="00B6311E">
        <w:t>(22)</w:t>
      </w:r>
      <w:r w:rsidRPr="00B6311E">
        <w:tab/>
      </w:r>
      <w:r w:rsidR="00D24E97" w:rsidRPr="002D7825">
        <w:rPr>
          <w:noProof/>
        </w:rPr>
        <w:t xml:space="preserve">Obiectivele specifice ale prezentului regulament, și anume îmbunătățirea lizibilității etichetelor produselor fertilizante UE și facilitarea gestionării acestor etichete de către operatorii economici, nu pot fi realizate în mod satisfăcător de către statele membre. Întrucât, având în vedere amploarea și efectele lor, obiectivele pot fi realizate mai eficient la nivelul Uniunii, Uniunea poate adopta măsuri în conformitate cu principiul subsidiarității stabilit la articolul 5 din Tratatul privind Uniunea Europeană. În conformitate cu principiul proporționalității, astfel cum este prevăzut la articolul respectiv, prin introducerea posibilității de a utiliza etichetarea digitală pentru anumite </w:t>
      </w:r>
      <w:r w:rsidR="00D24E97" w:rsidRPr="002D7825">
        <w:rPr>
          <w:noProof/>
        </w:rPr>
        <w:lastRenderedPageBreak/>
        <w:t>informații, prezentul regulament nu depășește ceea ce este necesar pentru realizarea acestor obiective,</w:t>
      </w:r>
    </w:p>
    <w:p w14:paraId="18720FBA" w14:textId="77777777" w:rsidR="00524948" w:rsidRPr="002D7825" w:rsidRDefault="00524948" w:rsidP="00A77334">
      <w:pPr>
        <w:pStyle w:val="Formuledadoption"/>
        <w:rPr>
          <w:noProof/>
        </w:rPr>
      </w:pPr>
      <w:r w:rsidRPr="002D7825">
        <w:rPr>
          <w:noProof/>
        </w:rPr>
        <w:t>ADOPTĂ PREZENTUL REGULAMENT:</w:t>
      </w:r>
    </w:p>
    <w:p w14:paraId="6AD215A1" w14:textId="77777777" w:rsidR="00524948" w:rsidRPr="002D7825" w:rsidRDefault="00524948" w:rsidP="00B44338">
      <w:pPr>
        <w:pStyle w:val="Titrearticle0"/>
        <w:rPr>
          <w:noProof/>
        </w:rPr>
      </w:pPr>
      <w:r w:rsidRPr="002D7825">
        <w:rPr>
          <w:noProof/>
        </w:rPr>
        <w:t>Articolul 1</w:t>
      </w:r>
    </w:p>
    <w:p w14:paraId="1894B122" w14:textId="77777777" w:rsidR="00524948" w:rsidRPr="002D7825" w:rsidRDefault="003443AA" w:rsidP="00B44338">
      <w:pPr>
        <w:rPr>
          <w:noProof/>
        </w:rPr>
      </w:pPr>
      <w:r w:rsidRPr="002D7825">
        <w:rPr>
          <w:noProof/>
        </w:rPr>
        <w:t>Regulamentul (UE) 2019/1009 se modifică după cum urmează:</w:t>
      </w:r>
    </w:p>
    <w:p w14:paraId="1B5C31B5" w14:textId="219411A7" w:rsidR="00A249E3" w:rsidRPr="002D7825" w:rsidRDefault="00B6311E" w:rsidP="00B6311E">
      <w:pPr>
        <w:pStyle w:val="Point0"/>
        <w:rPr>
          <w:noProof/>
        </w:rPr>
      </w:pPr>
      <w:r w:rsidRPr="00B6311E">
        <w:t>(1)</w:t>
      </w:r>
      <w:r w:rsidRPr="00B6311E">
        <w:tab/>
      </w:r>
      <w:r w:rsidR="003443AA" w:rsidRPr="002D7825">
        <w:rPr>
          <w:noProof/>
        </w:rPr>
        <w:t xml:space="preserve">Articolul 2 se modifică după cum urmează: </w:t>
      </w:r>
    </w:p>
    <w:p w14:paraId="3AEBA3C0" w14:textId="4A365628" w:rsidR="003443AA" w:rsidRPr="002D7825" w:rsidRDefault="00B6311E" w:rsidP="00B6311E">
      <w:pPr>
        <w:pStyle w:val="Point1"/>
        <w:rPr>
          <w:noProof/>
        </w:rPr>
      </w:pPr>
      <w:r w:rsidRPr="00B6311E">
        <w:t>(a)</w:t>
      </w:r>
      <w:r w:rsidRPr="00B6311E">
        <w:tab/>
      </w:r>
      <w:r w:rsidR="00B545F2" w:rsidRPr="002D7825">
        <w:rPr>
          <w:noProof/>
        </w:rPr>
        <w:t>se introduce următorul punct 10a:</w:t>
      </w:r>
    </w:p>
    <w:p w14:paraId="7CF5E306" w14:textId="03AFEF25" w:rsidR="00B44338" w:rsidRPr="002D7825" w:rsidRDefault="782AA301" w:rsidP="009A6B78">
      <w:pPr>
        <w:pStyle w:val="Text2"/>
        <w:rPr>
          <w:noProof/>
        </w:rPr>
      </w:pPr>
      <w:r w:rsidRPr="002D7825">
        <w:rPr>
          <w:noProof/>
        </w:rPr>
        <w:t xml:space="preserve">„10a. «ambalaj» înseamnă un recipient etanș care nu depășește 1 000 kg;”; </w:t>
      </w:r>
    </w:p>
    <w:p w14:paraId="00135B10" w14:textId="4AC03176" w:rsidR="00713BAD" w:rsidRPr="002D7825" w:rsidRDefault="00B6311E" w:rsidP="00B6311E">
      <w:pPr>
        <w:pStyle w:val="Point1"/>
        <w:rPr>
          <w:noProof/>
        </w:rPr>
      </w:pPr>
      <w:r w:rsidRPr="00B6311E">
        <w:t>(b)</w:t>
      </w:r>
      <w:r w:rsidRPr="00B6311E">
        <w:tab/>
      </w:r>
      <w:r w:rsidR="00A249E3" w:rsidRPr="002D7825">
        <w:rPr>
          <w:noProof/>
        </w:rPr>
        <w:t>se introduce următorul punct 16a:</w:t>
      </w:r>
    </w:p>
    <w:p w14:paraId="01992E49" w14:textId="688BC1A9" w:rsidR="006C4436" w:rsidRPr="002D7825" w:rsidRDefault="000351B0" w:rsidP="009A6B78">
      <w:pPr>
        <w:pStyle w:val="Text2"/>
        <w:rPr>
          <w:noProof/>
        </w:rPr>
      </w:pPr>
      <w:r w:rsidRPr="002D7825">
        <w:rPr>
          <w:noProof/>
        </w:rPr>
        <w:t>„16a. «suport de date» înseamnă un simbol al unui cod de bare liniar, un simbol bidimensional sau un alt mediu de captare automată a datelor de identificare care poate fi citit de un dispozitiv;”;</w:t>
      </w:r>
    </w:p>
    <w:p w14:paraId="6C916635" w14:textId="54DD5985" w:rsidR="002F2897" w:rsidRPr="002D7825" w:rsidRDefault="00B6311E" w:rsidP="00B6311E">
      <w:pPr>
        <w:pStyle w:val="Point0"/>
        <w:rPr>
          <w:noProof/>
        </w:rPr>
      </w:pPr>
      <w:r w:rsidRPr="00B6311E">
        <w:t>(2)</w:t>
      </w:r>
      <w:r w:rsidRPr="00B6311E">
        <w:tab/>
      </w:r>
      <w:r w:rsidR="00F71FB6" w:rsidRPr="002D7825">
        <w:rPr>
          <w:noProof/>
        </w:rPr>
        <w:t>Articolul 6 se modifică după cum urmează:</w:t>
      </w:r>
    </w:p>
    <w:p w14:paraId="210AF5E3" w14:textId="26F30A42" w:rsidR="002F2897" w:rsidRPr="002D7825" w:rsidRDefault="00B6311E" w:rsidP="00B6311E">
      <w:pPr>
        <w:pStyle w:val="Point0"/>
        <w:rPr>
          <w:noProof/>
        </w:rPr>
      </w:pPr>
      <w:r w:rsidRPr="00B6311E">
        <w:t>(a)</w:t>
      </w:r>
      <w:r w:rsidRPr="00B6311E">
        <w:tab/>
      </w:r>
      <w:r w:rsidR="008A41DA" w:rsidRPr="002D7825">
        <w:rPr>
          <w:noProof/>
        </w:rPr>
        <w:t>la alineatul (5) se adaugă următorul paragraf:</w:t>
      </w:r>
    </w:p>
    <w:p w14:paraId="3C87BA4A" w14:textId="0EC4E8EE" w:rsidR="002F2897" w:rsidRPr="002D7825" w:rsidRDefault="00904793" w:rsidP="00A93312">
      <w:pPr>
        <w:pStyle w:val="Text2"/>
        <w:rPr>
          <w:rFonts w:eastAsia="Times New Roman"/>
          <w:noProof/>
          <w:szCs w:val="24"/>
        </w:rPr>
      </w:pPr>
      <w:r w:rsidRPr="002D7825">
        <w:rPr>
          <w:noProof/>
        </w:rPr>
        <w:t>„</w:t>
      </w:r>
      <w:r w:rsidRPr="002D7825">
        <w:rPr>
          <w:noProof/>
          <w:shd w:val="clear" w:color="auto" w:fill="FFFFFF"/>
        </w:rPr>
        <w:t>Informațiile menționate la primul paragraf se furnizează fie în format fizic pe ambalaj sau pe documentul de însoțire, în format digital, fie în ambele formate. În cazul în care informațiile sunt furnizate în format digital, se aplică cerințele prevăzute pentru etichetele digitale la articolul 11b și obligațiile prevăzute la articolul 11c.”;</w:t>
      </w:r>
      <w:r w:rsidRPr="002D7825">
        <w:rPr>
          <w:noProof/>
        </w:rPr>
        <w:t xml:space="preserve"> </w:t>
      </w:r>
    </w:p>
    <w:p w14:paraId="3E0284E5" w14:textId="493C3CBD" w:rsidR="00427774" w:rsidRPr="002D7825" w:rsidRDefault="00B6311E" w:rsidP="00B6311E">
      <w:pPr>
        <w:pStyle w:val="Point0"/>
        <w:rPr>
          <w:noProof/>
        </w:rPr>
      </w:pPr>
      <w:r w:rsidRPr="00B6311E">
        <w:t>(b)</w:t>
      </w:r>
      <w:r w:rsidRPr="00B6311E">
        <w:tab/>
      </w:r>
      <w:r w:rsidR="009E32EF" w:rsidRPr="002D7825">
        <w:rPr>
          <w:noProof/>
        </w:rPr>
        <w:t xml:space="preserve">la alineatul (6) se adaugă următorul paragraf: </w:t>
      </w:r>
    </w:p>
    <w:p w14:paraId="01B12122" w14:textId="76396DE3" w:rsidR="009E32EF" w:rsidRPr="002D7825" w:rsidRDefault="0097760F" w:rsidP="00555E64">
      <w:pPr>
        <w:pStyle w:val="Text2"/>
        <w:rPr>
          <w:noProof/>
        </w:rPr>
      </w:pPr>
      <w:r w:rsidRPr="002D7825">
        <w:rPr>
          <w:noProof/>
        </w:rPr>
        <w:t>„Informațiile menționate la primul paragraf se furnizează în format fizic pe ambalaj sau pe documentul de însoțire, sau atât în format fizic pe ambalaj sau pe documentul de însoțire cât și în format digital. În cazul în care informațiile sunt furnizate în format digital, se aplică cerințele prevăzute pentru etichetele digitale la articolul 11b și obligațiile prevăzute la articolul 11c.”;</w:t>
      </w:r>
    </w:p>
    <w:p w14:paraId="0350C3F6" w14:textId="208FD71D" w:rsidR="003443AA" w:rsidRPr="002D7825" w:rsidRDefault="00B6311E" w:rsidP="00B6311E">
      <w:pPr>
        <w:pStyle w:val="Point0"/>
        <w:rPr>
          <w:noProof/>
        </w:rPr>
      </w:pPr>
      <w:r w:rsidRPr="00B6311E">
        <w:t>(c)</w:t>
      </w:r>
      <w:r w:rsidRPr="00B6311E">
        <w:tab/>
      </w:r>
      <w:r w:rsidR="27E1875B" w:rsidRPr="002D7825">
        <w:rPr>
          <w:noProof/>
        </w:rPr>
        <w:t>alineatul (7) se înlocuiește cu următorul text:</w:t>
      </w:r>
    </w:p>
    <w:p w14:paraId="4C7A6718" w14:textId="77777777" w:rsidR="00F0052D" w:rsidRPr="002D7825" w:rsidRDefault="006A3024" w:rsidP="00555E64">
      <w:pPr>
        <w:pStyle w:val="Text2"/>
        <w:rPr>
          <w:noProof/>
        </w:rPr>
      </w:pPr>
      <w:r w:rsidRPr="002D7825">
        <w:rPr>
          <w:noProof/>
        </w:rPr>
        <w:t xml:space="preserve">„(7) Producătorii se asigură că produsele fertilizante UE sunt însoțite de elementele de etichetare prevăzute în anexa III, furnizate în formularul relevant prevăzut la articolul 11a. Respectivele elemente de etichetare sunt: </w:t>
      </w:r>
    </w:p>
    <w:p w14:paraId="0ED1F36F" w14:textId="22047882" w:rsidR="00F0052D" w:rsidRPr="002D7825" w:rsidRDefault="00B6311E" w:rsidP="00B6311E">
      <w:pPr>
        <w:pStyle w:val="Point2"/>
        <w:rPr>
          <w:noProof/>
        </w:rPr>
      </w:pPr>
      <w:r w:rsidRPr="00B6311E">
        <w:t>(a)</w:t>
      </w:r>
      <w:r w:rsidRPr="00B6311E">
        <w:tab/>
      </w:r>
      <w:r w:rsidR="00D75AF2" w:rsidRPr="002D7825">
        <w:rPr>
          <w:noProof/>
        </w:rPr>
        <w:t xml:space="preserve">comunicate într-un limbaj care poate fi ușor înțeles de către utilizatorii finali, după cum se stabilește de către statul membru în cauză; </w:t>
      </w:r>
    </w:p>
    <w:p w14:paraId="2774B4DB" w14:textId="0E1A4CE4" w:rsidR="00F0052D" w:rsidRPr="002D7825" w:rsidRDefault="00B6311E" w:rsidP="00B6311E">
      <w:pPr>
        <w:pStyle w:val="Point2"/>
        <w:rPr>
          <w:noProof/>
        </w:rPr>
      </w:pPr>
      <w:r w:rsidRPr="00B6311E">
        <w:t>(b)</w:t>
      </w:r>
      <w:r w:rsidRPr="00B6311E">
        <w:tab/>
      </w:r>
      <w:r w:rsidR="006A3024" w:rsidRPr="002D7825">
        <w:rPr>
          <w:noProof/>
        </w:rPr>
        <w:t>sunt clare, ușor de înțeles și inteligibile;</w:t>
      </w:r>
    </w:p>
    <w:p w14:paraId="434AECA2" w14:textId="66A975D5" w:rsidR="006A3024" w:rsidRPr="002D7825" w:rsidRDefault="00B6311E" w:rsidP="00B6311E">
      <w:pPr>
        <w:pStyle w:val="Point2"/>
        <w:rPr>
          <w:noProof/>
        </w:rPr>
      </w:pPr>
      <w:r w:rsidRPr="00B6311E">
        <w:t>(c)</w:t>
      </w:r>
      <w:r w:rsidRPr="00B6311E">
        <w:tab/>
      </w:r>
      <w:r w:rsidR="006A3024" w:rsidRPr="002D7825">
        <w:rPr>
          <w:noProof/>
        </w:rPr>
        <w:t>sunt accesibile pentru inspecție în momentul în care produsul fertilizant UE este pus la dispoziție pe piață.”;</w:t>
      </w:r>
    </w:p>
    <w:p w14:paraId="2C64C9BC" w14:textId="3639E8EC" w:rsidR="00427774" w:rsidRPr="002D7825" w:rsidRDefault="00B6311E" w:rsidP="00B6311E">
      <w:pPr>
        <w:pStyle w:val="Point0"/>
        <w:rPr>
          <w:noProof/>
        </w:rPr>
      </w:pPr>
      <w:r w:rsidRPr="00B6311E">
        <w:t>(3)</w:t>
      </w:r>
      <w:r w:rsidRPr="00B6311E">
        <w:tab/>
      </w:r>
      <w:r w:rsidR="008A41DA" w:rsidRPr="002D7825">
        <w:rPr>
          <w:noProof/>
        </w:rPr>
        <w:t xml:space="preserve">la articolul 8, alineatul (4) se înlocuiește cu următorul text: </w:t>
      </w:r>
    </w:p>
    <w:p w14:paraId="319C04B1" w14:textId="4291A68F" w:rsidR="00F0052D" w:rsidRPr="002D7825" w:rsidRDefault="008A41DA" w:rsidP="00904793">
      <w:pPr>
        <w:pStyle w:val="Text2"/>
        <w:ind w:hanging="566"/>
        <w:rPr>
          <w:noProof/>
        </w:rPr>
      </w:pPr>
      <w:r w:rsidRPr="002D7825">
        <w:rPr>
          <w:noProof/>
        </w:rPr>
        <w:t xml:space="preserve">„(4) </w:t>
      </w:r>
      <w:r w:rsidRPr="002D7825">
        <w:rPr>
          <w:noProof/>
        </w:rPr>
        <w:tab/>
        <w:t>Importatorii se asigură că produsele fertilizante UE sunt însoțite de elementele de etichetare prevăzute în anexa III, furnizate în formularul relevant prevăzut la articolul 11a. Respectivele elemente de etichetare sunt:</w:t>
      </w:r>
    </w:p>
    <w:p w14:paraId="496CDA82" w14:textId="1628CC7F" w:rsidR="00F0052D" w:rsidRPr="002D7825" w:rsidRDefault="00B6311E" w:rsidP="00B6311E">
      <w:pPr>
        <w:pStyle w:val="Point1"/>
        <w:rPr>
          <w:noProof/>
        </w:rPr>
      </w:pPr>
      <w:r w:rsidRPr="00B6311E">
        <w:t>(a)</w:t>
      </w:r>
      <w:r w:rsidRPr="00B6311E">
        <w:tab/>
      </w:r>
      <w:r w:rsidR="00115E5C" w:rsidRPr="002D7825">
        <w:rPr>
          <w:noProof/>
        </w:rPr>
        <w:t>comunicate într-un limbaj care poate fi ușor înțeles de către utilizatorii finali, după cum se stabilește de către statul membru în cauză;</w:t>
      </w:r>
    </w:p>
    <w:p w14:paraId="70078FC1" w14:textId="0FB46239" w:rsidR="00115E5C" w:rsidRPr="002D7825" w:rsidRDefault="00B6311E" w:rsidP="00B6311E">
      <w:pPr>
        <w:pStyle w:val="Point1"/>
        <w:rPr>
          <w:noProof/>
        </w:rPr>
      </w:pPr>
      <w:r w:rsidRPr="00B6311E">
        <w:lastRenderedPageBreak/>
        <w:t>(b)</w:t>
      </w:r>
      <w:r w:rsidRPr="00B6311E">
        <w:tab/>
      </w:r>
      <w:r w:rsidR="00115E5C" w:rsidRPr="002D7825">
        <w:rPr>
          <w:noProof/>
        </w:rPr>
        <w:t>sunt accesibile pentru inspecție în momentul în care produsul fertilizant UE este</w:t>
      </w:r>
      <w:r w:rsidR="007935A5">
        <w:rPr>
          <w:noProof/>
        </w:rPr>
        <w:t xml:space="preserve"> </w:t>
      </w:r>
      <w:r w:rsidR="00115E5C" w:rsidRPr="002D7825">
        <w:rPr>
          <w:noProof/>
        </w:rPr>
        <w:t>pus la dispoziție pe piață.”;</w:t>
      </w:r>
    </w:p>
    <w:p w14:paraId="6D22D9D8" w14:textId="209F05F6" w:rsidR="00572D56" w:rsidRPr="002D7825" w:rsidRDefault="00B6311E" w:rsidP="00B6311E">
      <w:pPr>
        <w:pStyle w:val="Point0"/>
        <w:rPr>
          <w:noProof/>
        </w:rPr>
      </w:pPr>
      <w:r w:rsidRPr="00B6311E">
        <w:t>(4)</w:t>
      </w:r>
      <w:r w:rsidRPr="00B6311E">
        <w:tab/>
      </w:r>
      <w:r w:rsidR="00BA58FF" w:rsidRPr="002D7825">
        <w:rPr>
          <w:noProof/>
        </w:rPr>
        <w:t>se inserează următoarele articole 11a, 11b și 11c:</w:t>
      </w:r>
    </w:p>
    <w:p w14:paraId="6D0C21B0" w14:textId="598C35CC" w:rsidR="00572D56" w:rsidRPr="002D7825" w:rsidRDefault="008840A0" w:rsidP="00572D56">
      <w:pPr>
        <w:pStyle w:val="title-article-norm"/>
        <w:shd w:val="clear" w:color="auto" w:fill="FFFFFF"/>
        <w:spacing w:before="240" w:beforeAutospacing="0" w:after="120" w:afterAutospacing="0" w:line="312" w:lineRule="atLeast"/>
        <w:jc w:val="center"/>
        <w:rPr>
          <w:i/>
          <w:iCs/>
          <w:noProof/>
          <w:color w:val="333333"/>
        </w:rPr>
      </w:pPr>
      <w:r w:rsidRPr="002D7825">
        <w:rPr>
          <w:i/>
          <w:noProof/>
          <w:color w:val="333333"/>
        </w:rPr>
        <w:t>„Articolul 11a</w:t>
      </w:r>
    </w:p>
    <w:p w14:paraId="05753E46" w14:textId="77777777" w:rsidR="00572D56" w:rsidRPr="002D7825" w:rsidRDefault="00572D56" w:rsidP="00572D56">
      <w:pPr>
        <w:shd w:val="clear" w:color="auto" w:fill="FFFFFF"/>
        <w:spacing w:before="240" w:line="312" w:lineRule="atLeast"/>
        <w:jc w:val="center"/>
        <w:rPr>
          <w:rFonts w:eastAsia="Times New Roman"/>
          <w:b/>
          <w:bCs/>
          <w:noProof/>
          <w:color w:val="333333"/>
          <w:szCs w:val="24"/>
        </w:rPr>
      </w:pPr>
      <w:r w:rsidRPr="002D7825">
        <w:rPr>
          <w:b/>
          <w:noProof/>
          <w:color w:val="333333"/>
        </w:rPr>
        <w:t xml:space="preserve">Forme de etichetare </w:t>
      </w:r>
    </w:p>
    <w:p w14:paraId="7DE2B51B" w14:textId="2E056922" w:rsidR="00572D56" w:rsidRPr="002D7825" w:rsidRDefault="00B6311E" w:rsidP="00B6311E">
      <w:pPr>
        <w:pStyle w:val="ManualNumPar1"/>
        <w:rPr>
          <w:noProof/>
        </w:rPr>
      </w:pPr>
      <w:r w:rsidRPr="00B6311E">
        <w:t>1.</w:t>
      </w:r>
      <w:r w:rsidRPr="00B6311E">
        <w:tab/>
      </w:r>
      <w:r w:rsidR="00572D56" w:rsidRPr="002D7825">
        <w:rPr>
          <w:noProof/>
        </w:rPr>
        <w:t>În cazul în care produsele fertilizante UE sunt puse la dispoziția operatorilor economici pe piață într-un ambalaj, acestea sunt însoțite de elementele de etichetare prevăzute în anexa III în următorul format:</w:t>
      </w:r>
    </w:p>
    <w:p w14:paraId="7D4AB70E" w14:textId="3361123C" w:rsidR="00572D56" w:rsidRPr="002D7825" w:rsidRDefault="00B6311E" w:rsidP="00B6311E">
      <w:pPr>
        <w:pStyle w:val="Point2"/>
        <w:rPr>
          <w:noProof/>
        </w:rPr>
      </w:pPr>
      <w:r w:rsidRPr="00B6311E">
        <w:t>(a)</w:t>
      </w:r>
      <w:r w:rsidRPr="00B6311E">
        <w:tab/>
      </w:r>
      <w:r w:rsidR="00572D56" w:rsidRPr="002D7825">
        <w:rPr>
          <w:noProof/>
        </w:rPr>
        <w:t>pe o etichetă în format digital („etichetă digitală”); sau</w:t>
      </w:r>
    </w:p>
    <w:p w14:paraId="365D83CE" w14:textId="024BDCC5" w:rsidR="00572D56" w:rsidRPr="002D7825" w:rsidRDefault="00B6311E" w:rsidP="00B6311E">
      <w:pPr>
        <w:pStyle w:val="Point2"/>
        <w:rPr>
          <w:noProof/>
        </w:rPr>
      </w:pPr>
      <w:r w:rsidRPr="00B6311E">
        <w:t>(b)</w:t>
      </w:r>
      <w:r w:rsidRPr="00B6311E">
        <w:tab/>
      </w:r>
      <w:r w:rsidR="00572D56" w:rsidRPr="002D7825">
        <w:rPr>
          <w:noProof/>
        </w:rPr>
        <w:t xml:space="preserve">pe o etichetă într-un format fizic, care se aplică pe ambalajul respectiv sau, în cazul elementelor de etichetare care nu pot figura pe etichetă din cauza faptului că ambalajul este prea mic, trebuie să fie comunicate într-un prospect separat care însoțește respectivul ambalaj („etichetă fizică”). </w:t>
      </w:r>
    </w:p>
    <w:p w14:paraId="3C964915" w14:textId="1CDDC143" w:rsidR="00572D56" w:rsidRPr="002D7825" w:rsidRDefault="00B6311E" w:rsidP="00B6311E">
      <w:pPr>
        <w:pStyle w:val="ManualNumPar1"/>
        <w:rPr>
          <w:noProof/>
        </w:rPr>
      </w:pPr>
      <w:r w:rsidRPr="00B6311E">
        <w:t>2.</w:t>
      </w:r>
      <w:r w:rsidRPr="00B6311E">
        <w:tab/>
      </w:r>
      <w:r w:rsidR="00572D56" w:rsidRPr="002D7825">
        <w:rPr>
          <w:noProof/>
        </w:rPr>
        <w:t>În cazul în care produsele fertilizante UE sunt puse la dispoziția operatorilor economici pe piață fără ambalaj, acestea sunt însoțite de elementele de etichetare prevăzute în anexa III în următorul format:</w:t>
      </w:r>
    </w:p>
    <w:p w14:paraId="6C7E7CE6" w14:textId="35DDE66D" w:rsidR="00572D56" w:rsidRPr="002D7825" w:rsidRDefault="00B6311E" w:rsidP="00B6311E">
      <w:pPr>
        <w:pStyle w:val="Point2"/>
        <w:rPr>
          <w:noProof/>
        </w:rPr>
      </w:pPr>
      <w:r w:rsidRPr="00B6311E">
        <w:t>(a)</w:t>
      </w:r>
      <w:r w:rsidRPr="00B6311E">
        <w:tab/>
      </w:r>
      <w:r w:rsidR="00572D56" w:rsidRPr="002D7825">
        <w:rPr>
          <w:noProof/>
        </w:rPr>
        <w:t>pe o etichetă digitală; sau</w:t>
      </w:r>
    </w:p>
    <w:p w14:paraId="4B8A6E54" w14:textId="4DFB1EEA" w:rsidR="00572D56" w:rsidRPr="002D7825" w:rsidRDefault="00B6311E" w:rsidP="00B6311E">
      <w:pPr>
        <w:pStyle w:val="Point2"/>
        <w:rPr>
          <w:noProof/>
        </w:rPr>
      </w:pPr>
      <w:r w:rsidRPr="00B6311E">
        <w:t>(b)</w:t>
      </w:r>
      <w:r w:rsidRPr="00B6311E">
        <w:tab/>
      </w:r>
      <w:r w:rsidR="00E364C0" w:rsidRPr="002D7825">
        <w:rPr>
          <w:noProof/>
        </w:rPr>
        <w:t>într-un prospect care însoțește produsul fertilizant UE.</w:t>
      </w:r>
    </w:p>
    <w:p w14:paraId="18B76037" w14:textId="566724C9" w:rsidR="00572D56" w:rsidRPr="002D7825" w:rsidRDefault="00B6311E" w:rsidP="00B6311E">
      <w:pPr>
        <w:pStyle w:val="ManualNumPar1"/>
        <w:rPr>
          <w:noProof/>
        </w:rPr>
      </w:pPr>
      <w:r w:rsidRPr="00B6311E">
        <w:t>3.</w:t>
      </w:r>
      <w:r w:rsidRPr="00B6311E">
        <w:tab/>
      </w:r>
      <w:r w:rsidR="00572D56" w:rsidRPr="002D7825">
        <w:rPr>
          <w:noProof/>
        </w:rPr>
        <w:t>În cazul în care produsele fertilizante UE sunt puse la dispoziția utilizatorilor finali pe piață într-un ambalaj, acestea sunt însoțite de elementele de etichetare prevăzute în anexa III în următorul format:</w:t>
      </w:r>
    </w:p>
    <w:p w14:paraId="4DF2CD56" w14:textId="28260A55" w:rsidR="00E364C0" w:rsidRPr="002D7825" w:rsidRDefault="00B6311E" w:rsidP="00B6311E">
      <w:pPr>
        <w:pStyle w:val="Point2"/>
        <w:rPr>
          <w:noProof/>
        </w:rPr>
      </w:pPr>
      <w:r w:rsidRPr="00B6311E">
        <w:t>(a)</w:t>
      </w:r>
      <w:r w:rsidRPr="00B6311E">
        <w:tab/>
      </w:r>
      <w:r w:rsidR="00E364C0" w:rsidRPr="002D7825">
        <w:rPr>
          <w:noProof/>
        </w:rPr>
        <w:t>pe o etichetă fizică; sau</w:t>
      </w:r>
    </w:p>
    <w:p w14:paraId="76BC2E49" w14:textId="2FFD6C07" w:rsidR="00E364C0" w:rsidRPr="002D7825" w:rsidRDefault="00B6311E" w:rsidP="00B6311E">
      <w:pPr>
        <w:pStyle w:val="Point2"/>
        <w:rPr>
          <w:noProof/>
        </w:rPr>
      </w:pPr>
      <w:r w:rsidRPr="00B6311E">
        <w:t>(b)</w:t>
      </w:r>
      <w:r w:rsidRPr="00B6311E">
        <w:tab/>
      </w:r>
      <w:r w:rsidR="00E364C0" w:rsidRPr="002D7825">
        <w:rPr>
          <w:noProof/>
        </w:rPr>
        <w:t>pe o etichetă digitală și reproduse pe o etichetă fizică.</w:t>
      </w:r>
    </w:p>
    <w:p w14:paraId="2C48A2C1" w14:textId="77777777" w:rsidR="00572D56" w:rsidRPr="002D7825" w:rsidRDefault="00572D56" w:rsidP="009A6B78">
      <w:pPr>
        <w:pStyle w:val="Text2"/>
        <w:rPr>
          <w:noProof/>
        </w:rPr>
      </w:pPr>
      <w:r w:rsidRPr="002D7825">
        <w:rPr>
          <w:noProof/>
        </w:rPr>
        <w:t xml:space="preserve">Prin derogare de la litera (b), elementele de etichetare marcate cu un asterisc în anexa III nu trebuie să fie reproduse pe eticheta fizică. </w:t>
      </w:r>
    </w:p>
    <w:p w14:paraId="79987FE1" w14:textId="25E3D209" w:rsidR="00572D56" w:rsidRPr="002D7825" w:rsidRDefault="00B6311E" w:rsidP="00B6311E">
      <w:pPr>
        <w:pStyle w:val="ManualNumPar1"/>
        <w:rPr>
          <w:noProof/>
        </w:rPr>
      </w:pPr>
      <w:r w:rsidRPr="00B6311E">
        <w:t>4.</w:t>
      </w:r>
      <w:r w:rsidRPr="00B6311E">
        <w:tab/>
      </w:r>
      <w:r w:rsidR="00572D56" w:rsidRPr="002D7825">
        <w:rPr>
          <w:noProof/>
        </w:rPr>
        <w:t>În cazul în care produsele fertilizante UE sunt puse la dispoziția utilizatorilor finali pe piață fără ambalaj, acestea sunt însoțite de elementele de etichetare prevăzute în anexa III în următorul format:</w:t>
      </w:r>
    </w:p>
    <w:p w14:paraId="6A6EDCA9" w14:textId="7571B2C3" w:rsidR="00572D56" w:rsidRPr="002D7825" w:rsidRDefault="00B6311E" w:rsidP="00B6311E">
      <w:pPr>
        <w:pStyle w:val="Point2"/>
        <w:rPr>
          <w:noProof/>
        </w:rPr>
      </w:pPr>
      <w:r w:rsidRPr="00B6311E">
        <w:t>(a)</w:t>
      </w:r>
      <w:r w:rsidRPr="00B6311E">
        <w:tab/>
      </w:r>
      <w:r w:rsidR="00572D56" w:rsidRPr="002D7825">
        <w:rPr>
          <w:noProof/>
        </w:rPr>
        <w:t>pe o etichetă digitală; sau</w:t>
      </w:r>
    </w:p>
    <w:p w14:paraId="3A143E66" w14:textId="5BC025A9" w:rsidR="00572D56" w:rsidRPr="002D7825" w:rsidRDefault="00B6311E" w:rsidP="00B6311E">
      <w:pPr>
        <w:pStyle w:val="Point2"/>
        <w:rPr>
          <w:noProof/>
        </w:rPr>
      </w:pPr>
      <w:r w:rsidRPr="00B6311E">
        <w:t>(b)</w:t>
      </w:r>
      <w:r w:rsidRPr="00B6311E">
        <w:tab/>
      </w:r>
      <w:r w:rsidR="00572D56" w:rsidRPr="002D7825">
        <w:rPr>
          <w:noProof/>
        </w:rPr>
        <w:t xml:space="preserve">într-un prospect care însoțește produsul fertilizant UE. </w:t>
      </w:r>
    </w:p>
    <w:p w14:paraId="35AAA453" w14:textId="095D4F84" w:rsidR="00F50BAC" w:rsidRPr="002D7825" w:rsidRDefault="00B6311E" w:rsidP="00B6311E">
      <w:pPr>
        <w:pStyle w:val="ManualNumPar1"/>
        <w:rPr>
          <w:noProof/>
        </w:rPr>
      </w:pPr>
      <w:r w:rsidRPr="00B6311E">
        <w:t>5.</w:t>
      </w:r>
      <w:r w:rsidRPr="00B6311E">
        <w:tab/>
      </w:r>
      <w:r w:rsidR="00572D56" w:rsidRPr="002D7825">
        <w:rPr>
          <w:noProof/>
        </w:rPr>
        <w:t>În cazul în care operatorii economici furnizează o etichetă digitală în conformitate cu prezentul articol, aceștia respectă cerințele prevăzute la articolele 11b și 11c.</w:t>
      </w:r>
    </w:p>
    <w:p w14:paraId="6E6ED2C0" w14:textId="77777777" w:rsidR="00A73D7C" w:rsidRPr="002D7825" w:rsidRDefault="00A73D7C" w:rsidP="00555E64">
      <w:pPr>
        <w:pStyle w:val="title-article-norm"/>
        <w:shd w:val="clear" w:color="auto" w:fill="FFFFFF"/>
        <w:spacing w:before="240" w:beforeAutospacing="0" w:after="120" w:afterAutospacing="0" w:line="312" w:lineRule="atLeast"/>
        <w:jc w:val="center"/>
        <w:rPr>
          <w:i/>
          <w:noProof/>
        </w:rPr>
      </w:pPr>
      <w:r w:rsidRPr="002D7825">
        <w:rPr>
          <w:i/>
          <w:noProof/>
        </w:rPr>
        <w:t>Articolul 11b</w:t>
      </w:r>
    </w:p>
    <w:p w14:paraId="2C97FE58" w14:textId="77777777" w:rsidR="00A73D7C" w:rsidRPr="002D7825" w:rsidRDefault="00916EC5" w:rsidP="009A61E8">
      <w:pPr>
        <w:jc w:val="center"/>
        <w:rPr>
          <w:rFonts w:eastAsia="Times New Roman"/>
          <w:b/>
          <w:i/>
          <w:noProof/>
          <w:color w:val="333333"/>
          <w:szCs w:val="24"/>
        </w:rPr>
      </w:pPr>
      <w:r w:rsidRPr="002D7825">
        <w:rPr>
          <w:b/>
          <w:noProof/>
        </w:rPr>
        <w:t>Cerințe privind etichetele digitale</w:t>
      </w:r>
    </w:p>
    <w:p w14:paraId="5E0553B4" w14:textId="1F729225" w:rsidR="00734CE7" w:rsidRPr="002D7825" w:rsidRDefault="00B6311E" w:rsidP="00B6311E">
      <w:pPr>
        <w:pStyle w:val="ManualNumPar1"/>
        <w:rPr>
          <w:noProof/>
        </w:rPr>
      </w:pPr>
      <w:r w:rsidRPr="00B6311E">
        <w:t>1.</w:t>
      </w:r>
      <w:r w:rsidRPr="00B6311E">
        <w:tab/>
      </w:r>
      <w:r w:rsidR="00734CE7" w:rsidRPr="002D7825">
        <w:rPr>
          <w:noProof/>
        </w:rPr>
        <w:t xml:space="preserve">Eticheta digitală include: </w:t>
      </w:r>
    </w:p>
    <w:p w14:paraId="0D690326" w14:textId="07674299" w:rsidR="00734CE7" w:rsidRPr="002D7825" w:rsidRDefault="00B6311E" w:rsidP="00B6311E">
      <w:pPr>
        <w:pStyle w:val="Point2"/>
        <w:rPr>
          <w:noProof/>
        </w:rPr>
      </w:pPr>
      <w:r w:rsidRPr="00B6311E">
        <w:t>(a)</w:t>
      </w:r>
      <w:r w:rsidRPr="00B6311E">
        <w:tab/>
      </w:r>
      <w:r w:rsidR="00734CE7" w:rsidRPr="002D7825">
        <w:rPr>
          <w:noProof/>
        </w:rPr>
        <w:t>informațiile solicitate în temeiul articolului 6 alineatul (6); </w:t>
      </w:r>
    </w:p>
    <w:p w14:paraId="10AA8BB8" w14:textId="03F27460" w:rsidR="00734CE7" w:rsidRPr="002D7825" w:rsidRDefault="00B6311E" w:rsidP="00B6311E">
      <w:pPr>
        <w:pStyle w:val="Point2"/>
        <w:rPr>
          <w:noProof/>
        </w:rPr>
      </w:pPr>
      <w:r w:rsidRPr="00B6311E">
        <w:t>(b)</w:t>
      </w:r>
      <w:r w:rsidRPr="00B6311E">
        <w:tab/>
      </w:r>
      <w:r w:rsidR="00734CE7" w:rsidRPr="002D7825">
        <w:rPr>
          <w:noProof/>
        </w:rPr>
        <w:t>marcajul CE și, după caz, numărul de identificare al organismului notificat, în conformitate cu articolele 17 și 18;</w:t>
      </w:r>
    </w:p>
    <w:p w14:paraId="79BECD2F" w14:textId="188D6899" w:rsidR="00734CE7" w:rsidRPr="002D7825" w:rsidRDefault="00B6311E" w:rsidP="00B6311E">
      <w:pPr>
        <w:pStyle w:val="Point2"/>
        <w:rPr>
          <w:noProof/>
        </w:rPr>
      </w:pPr>
      <w:r w:rsidRPr="00B6311E">
        <w:lastRenderedPageBreak/>
        <w:t>(c)</w:t>
      </w:r>
      <w:r w:rsidRPr="00B6311E">
        <w:tab/>
      </w:r>
      <w:r w:rsidR="00734CE7" w:rsidRPr="002D7825">
        <w:rPr>
          <w:noProof/>
        </w:rPr>
        <w:t xml:space="preserve"> toate elementele de etichetare prevăzute în anexa III, cu excepția datei de producție, în cazul în care data respectivă a fost menționată pe eticheta fizică. </w:t>
      </w:r>
    </w:p>
    <w:p w14:paraId="27D27EE2" w14:textId="587EEE6B" w:rsidR="005403F1" w:rsidRPr="002D7825" w:rsidRDefault="00B6311E" w:rsidP="00B6311E">
      <w:pPr>
        <w:pStyle w:val="ManualNumPar1"/>
        <w:rPr>
          <w:noProof/>
        </w:rPr>
      </w:pPr>
      <w:r w:rsidRPr="00B6311E">
        <w:t>2.</w:t>
      </w:r>
      <w:r w:rsidRPr="00B6311E">
        <w:tab/>
      </w:r>
      <w:r w:rsidR="00EB25C5" w:rsidRPr="002D7825">
        <w:rPr>
          <w:noProof/>
        </w:rPr>
        <w:t xml:space="preserve">Informațiile menționate la alineatul (1) se furnizează într-un singur loc și sunt separate de orice informații care nu sunt furnizate în temeiul prezentului regulament. </w:t>
      </w:r>
    </w:p>
    <w:p w14:paraId="515A72DA" w14:textId="739C914B" w:rsidR="00D5712C" w:rsidRPr="002D7825" w:rsidRDefault="00B6311E" w:rsidP="00B6311E">
      <w:pPr>
        <w:pStyle w:val="ManualNumPar1"/>
        <w:rPr>
          <w:noProof/>
        </w:rPr>
      </w:pPr>
      <w:r w:rsidRPr="00B6311E">
        <w:t>3.</w:t>
      </w:r>
      <w:r w:rsidRPr="00B6311E">
        <w:tab/>
      </w:r>
      <w:r w:rsidR="006D4251" w:rsidRPr="002D7825">
        <w:rPr>
          <w:noProof/>
        </w:rPr>
        <w:t xml:space="preserve">Eticheta digitală este: </w:t>
      </w:r>
    </w:p>
    <w:p w14:paraId="15F4EB5E" w14:textId="404A0B34" w:rsidR="00115E5C" w:rsidRPr="002D7825" w:rsidRDefault="00B6311E" w:rsidP="00B6311E">
      <w:pPr>
        <w:pStyle w:val="Point2"/>
        <w:rPr>
          <w:noProof/>
        </w:rPr>
      </w:pPr>
      <w:r w:rsidRPr="00B6311E">
        <w:t>(a)</w:t>
      </w:r>
      <w:r w:rsidRPr="00B6311E">
        <w:tab/>
      </w:r>
      <w:r w:rsidR="00D5712C" w:rsidRPr="002D7825">
        <w:rPr>
          <w:noProof/>
        </w:rPr>
        <w:t>accesibilă în mod gratuit;</w:t>
      </w:r>
    </w:p>
    <w:p w14:paraId="50DA9B4C" w14:textId="2F78971D" w:rsidR="00D5712C" w:rsidRPr="002D7825" w:rsidRDefault="00B6311E" w:rsidP="00B6311E">
      <w:pPr>
        <w:pStyle w:val="Point2"/>
        <w:rPr>
          <w:noProof/>
        </w:rPr>
      </w:pPr>
      <w:r w:rsidRPr="00B6311E">
        <w:t>(b)</w:t>
      </w:r>
      <w:r w:rsidRPr="00B6311E">
        <w:tab/>
      </w:r>
      <w:r w:rsidR="00115E5C" w:rsidRPr="002D7825">
        <w:rPr>
          <w:noProof/>
        </w:rPr>
        <w:t xml:space="preserve">accesibilă în mod facil și direct, fără a fi necesară înregistrarea în prealabil, descărcarea sau instalarea de aplicații ori furnizarea unei parole; accesibilă tuturor utilizatorilor potențiali din Uniune; </w:t>
      </w:r>
    </w:p>
    <w:p w14:paraId="6D8494D7" w14:textId="1722DCAD" w:rsidR="00D5712C" w:rsidRPr="002D7825" w:rsidRDefault="00B6311E" w:rsidP="00B6311E">
      <w:pPr>
        <w:pStyle w:val="Point2"/>
        <w:rPr>
          <w:noProof/>
        </w:rPr>
      </w:pPr>
      <w:r w:rsidRPr="00B6311E">
        <w:t>(c)</w:t>
      </w:r>
      <w:r w:rsidRPr="00B6311E">
        <w:tab/>
      </w:r>
      <w:r w:rsidR="00D5712C" w:rsidRPr="002D7825">
        <w:rPr>
          <w:noProof/>
        </w:rPr>
        <w:t>consultabilă; </w:t>
      </w:r>
    </w:p>
    <w:p w14:paraId="124EDAF8" w14:textId="6B00C217" w:rsidR="00115E5C" w:rsidRPr="002D7825" w:rsidRDefault="00B6311E" w:rsidP="00B6311E">
      <w:pPr>
        <w:pStyle w:val="Point2"/>
        <w:rPr>
          <w:noProof/>
        </w:rPr>
      </w:pPr>
      <w:r w:rsidRPr="00B6311E">
        <w:t>(d)</w:t>
      </w:r>
      <w:r w:rsidRPr="00B6311E">
        <w:tab/>
      </w:r>
      <w:r w:rsidR="00D5712C" w:rsidRPr="002D7825">
        <w:rPr>
          <w:noProof/>
        </w:rPr>
        <w:t xml:space="preserve">prezentată într-un mod care răspunde, de asemenea, nevoilor grupurilor vulnerabile și sprijină, după caz, adaptările necesare pentru a facilita accesul acestor grupuri la informații; </w:t>
      </w:r>
    </w:p>
    <w:p w14:paraId="76330E11" w14:textId="222E730F" w:rsidR="00F65045" w:rsidRPr="002D7825" w:rsidRDefault="00B6311E" w:rsidP="00B6311E">
      <w:pPr>
        <w:pStyle w:val="Point2"/>
        <w:rPr>
          <w:noProof/>
        </w:rPr>
      </w:pPr>
      <w:r w:rsidRPr="00B6311E">
        <w:t>(e)</w:t>
      </w:r>
      <w:r w:rsidRPr="00B6311E">
        <w:tab/>
      </w:r>
      <w:r w:rsidR="780E2F79" w:rsidRPr="002D7825">
        <w:rPr>
          <w:noProof/>
        </w:rPr>
        <w:t>disponibilă pentru o perioadă de 5 ani din momentul în care produsul fertilizant UE este introdus pe piață, inclusiv în caz de insolvență, lichidare sau încetare a activității în Uniune a operatorului economic care l-a creat.</w:t>
      </w:r>
    </w:p>
    <w:p w14:paraId="1FAFA84D" w14:textId="77777777" w:rsidR="006D5F82" w:rsidRPr="002D7825" w:rsidRDefault="004317BA" w:rsidP="007C1642">
      <w:pPr>
        <w:pStyle w:val="Text1"/>
        <w:rPr>
          <w:noProof/>
        </w:rPr>
      </w:pPr>
      <w:r w:rsidRPr="002D7825">
        <w:rPr>
          <w:noProof/>
        </w:rPr>
        <w:t>În cazul în care eticheta digitală este disponibilă în mai multe limbi, alegerea limbii nu este condiționată de localizarea geografică.</w:t>
      </w:r>
    </w:p>
    <w:p w14:paraId="30D84AD8" w14:textId="447A4824" w:rsidR="002765ED" w:rsidRPr="002D7825" w:rsidRDefault="00B6311E" w:rsidP="00B6311E">
      <w:pPr>
        <w:pStyle w:val="ManualNumPar1"/>
        <w:rPr>
          <w:noProof/>
        </w:rPr>
      </w:pPr>
      <w:r w:rsidRPr="00B6311E">
        <w:t>4.</w:t>
      </w:r>
      <w:r w:rsidRPr="00B6311E">
        <w:tab/>
      </w:r>
      <w:r w:rsidR="002765ED" w:rsidRPr="002D7825">
        <w:rPr>
          <w:noProof/>
        </w:rPr>
        <w:t>Un suport de date utilizat pentru o etichetă digitală se imprimă ori se aplică în mod fizic pe ambalaj sau, în cazul în care produsele fertilizante UE sunt puse la dispoziție pe piață fără ambalaj, pe documentul de însoțire sau pe prospect, în mod vizibil, lizibil și într-un mod care să permită prelucrarea sa automată de către dispozitive digitale. </w:t>
      </w:r>
    </w:p>
    <w:p w14:paraId="74BC1523" w14:textId="77777777" w:rsidR="002765ED" w:rsidRPr="002D7825" w:rsidRDefault="002765ED" w:rsidP="006A6F64">
      <w:pPr>
        <w:ind w:left="1276"/>
        <w:rPr>
          <w:noProof/>
          <w:lang w:eastAsia="en-GB"/>
        </w:rPr>
      </w:pPr>
    </w:p>
    <w:p w14:paraId="6E83C34B" w14:textId="77777777" w:rsidR="00916EC5" w:rsidRPr="002D7825" w:rsidRDefault="00916EC5" w:rsidP="0024722B">
      <w:pPr>
        <w:ind w:left="1276"/>
        <w:jc w:val="center"/>
        <w:rPr>
          <w:i/>
          <w:noProof/>
        </w:rPr>
      </w:pPr>
      <w:r w:rsidRPr="002D7825">
        <w:rPr>
          <w:i/>
          <w:noProof/>
        </w:rPr>
        <w:t>Articolul 11c</w:t>
      </w:r>
    </w:p>
    <w:p w14:paraId="4FE7FD85" w14:textId="77777777" w:rsidR="00916EC5" w:rsidRPr="002D7825" w:rsidRDefault="00916EC5" w:rsidP="0024722B">
      <w:pPr>
        <w:ind w:left="1276"/>
        <w:jc w:val="center"/>
        <w:rPr>
          <w:b/>
          <w:noProof/>
        </w:rPr>
      </w:pPr>
      <w:r w:rsidRPr="002D7825">
        <w:rPr>
          <w:b/>
          <w:noProof/>
        </w:rPr>
        <w:t>Obligațiile operatorilor economici care furnizează o etichetă digitală</w:t>
      </w:r>
    </w:p>
    <w:p w14:paraId="11F5B91A" w14:textId="400615AC" w:rsidR="005403F1" w:rsidRPr="002D7825" w:rsidRDefault="00B6311E" w:rsidP="00B6311E">
      <w:pPr>
        <w:pStyle w:val="ManualNumPar1"/>
        <w:rPr>
          <w:noProof/>
        </w:rPr>
      </w:pPr>
      <w:r w:rsidRPr="00B6311E">
        <w:t>1.</w:t>
      </w:r>
      <w:r w:rsidRPr="00B6311E">
        <w:tab/>
      </w:r>
      <w:r w:rsidR="007F1FD8" w:rsidRPr="002D7825">
        <w:rPr>
          <w:noProof/>
        </w:rPr>
        <w:t>Operatorii economici care furnizează o etichetă digitală nu urmăresc, nu analizează și nu utilizează nicio informație privind utilizarea în alte scopuri decât cele absolut necesare pentru furnizarea informațiilor relevante în format digital.</w:t>
      </w:r>
    </w:p>
    <w:p w14:paraId="1ACACF7F" w14:textId="29265E8D" w:rsidR="002F471D" w:rsidRPr="002D7825" w:rsidRDefault="00B6311E" w:rsidP="00B6311E">
      <w:pPr>
        <w:pStyle w:val="ManualNumPar1"/>
        <w:rPr>
          <w:noProof/>
        </w:rPr>
      </w:pPr>
      <w:r w:rsidRPr="00B6311E">
        <w:t>2.</w:t>
      </w:r>
      <w:r w:rsidRPr="00B6311E">
        <w:tab/>
      </w:r>
      <w:r w:rsidR="00FE67F4" w:rsidRPr="002D7825">
        <w:rPr>
          <w:noProof/>
        </w:rPr>
        <w:t>La cererea utilizatorilor finali sau în lipsa unei astfel de cereri în cazul în care eticheta digitală este temporar indisponibilă la momentul achiziției, operatorii economici care pun la dispoziția utilizatorilor finali respectivi pe piață produse fertilizante UE furnizează informațiile incluse pe eticheta digitală, prin mijloace alternative și în mod gratuit.”;</w:t>
      </w:r>
    </w:p>
    <w:p w14:paraId="718705B0" w14:textId="43E7A80A" w:rsidR="00BA7E80" w:rsidRPr="002D7825" w:rsidRDefault="00B6311E" w:rsidP="00B6311E">
      <w:pPr>
        <w:pStyle w:val="Point0"/>
        <w:rPr>
          <w:noProof/>
        </w:rPr>
      </w:pPr>
      <w:r w:rsidRPr="00B6311E">
        <w:t>(5)</w:t>
      </w:r>
      <w:r w:rsidRPr="00B6311E">
        <w:tab/>
      </w:r>
      <w:r w:rsidR="00387690" w:rsidRPr="002D7825">
        <w:rPr>
          <w:noProof/>
        </w:rPr>
        <w:t>la articolul 42 se adaugă următoarele alineate (9) și (10):</w:t>
      </w:r>
    </w:p>
    <w:p w14:paraId="63F226DF" w14:textId="2B68C4EC" w:rsidR="00D858AF" w:rsidRPr="002D7825" w:rsidRDefault="104B7524" w:rsidP="00555E64">
      <w:pPr>
        <w:pStyle w:val="Text1"/>
        <w:rPr>
          <w:rFonts w:eastAsia="Times New Roman"/>
          <w:noProof/>
          <w:color w:val="333333"/>
        </w:rPr>
      </w:pPr>
      <w:r w:rsidRPr="002D7825">
        <w:rPr>
          <w:noProof/>
        </w:rPr>
        <w:t>„(9) Până la [</w:t>
      </w:r>
      <w:r w:rsidRPr="002D7825">
        <w:rPr>
          <w:i/>
          <w:noProof/>
        </w:rPr>
        <w:t>OP: a se introduce data = prima zi a lunii care urmează după 30 de luni de la data intrării în vigoare a prezentului regulament</w:t>
      </w:r>
      <w:r w:rsidRPr="002D7825">
        <w:rPr>
          <w:noProof/>
        </w:rPr>
        <w:t xml:space="preserve">], Comisia adoptă acte delegate în conformitate cu articolul 44 pentru a completa articolele 11b și 11c prin stabilirea unor cerințe specifice pentru etichetarea digitală a produselor fertilizante UE și a condițiilor pentru îndeplinirea obligațiilor operatorilor economici care furnizează o etichetă digitală. Cerințele respective stabilesc, în special, tipurile de soluții tehnice electronice pe care operatorii economici le pot utiliza pentru </w:t>
      </w:r>
      <w:r w:rsidRPr="002D7825">
        <w:rPr>
          <w:noProof/>
        </w:rPr>
        <w:lastRenderedPageBreak/>
        <w:t>furnizarea etichetei digitale, precum și mijloacele alternative de furnizare a informațiilor menționate la articolul 11c alineatul (2). Atunci când adoptă respectivele acte delegate, Comisia: </w:t>
      </w:r>
    </w:p>
    <w:p w14:paraId="5BCA359E" w14:textId="5EB43F27" w:rsidR="00D858AF" w:rsidRPr="002D7825" w:rsidRDefault="00B6311E" w:rsidP="00B6311E">
      <w:pPr>
        <w:pStyle w:val="Point1"/>
        <w:rPr>
          <w:noProof/>
        </w:rPr>
      </w:pPr>
      <w:r w:rsidRPr="00B6311E">
        <w:t>(a)</w:t>
      </w:r>
      <w:r w:rsidRPr="00B6311E">
        <w:tab/>
      </w:r>
      <w:r w:rsidR="00D858AF" w:rsidRPr="002D7825">
        <w:rPr>
          <w:noProof/>
        </w:rPr>
        <w:t>asigură coerența cu alte acte relevante ale Uniunii; </w:t>
      </w:r>
    </w:p>
    <w:p w14:paraId="7777CADB" w14:textId="1972A86E" w:rsidR="00D858AF" w:rsidRPr="002D7825" w:rsidRDefault="00B6311E" w:rsidP="00B6311E">
      <w:pPr>
        <w:pStyle w:val="Point1"/>
        <w:rPr>
          <w:noProof/>
        </w:rPr>
      </w:pPr>
      <w:r w:rsidRPr="00B6311E">
        <w:t>(b)</w:t>
      </w:r>
      <w:r w:rsidRPr="00B6311E">
        <w:tab/>
      </w:r>
      <w:r w:rsidR="00D858AF" w:rsidRPr="002D7825">
        <w:rPr>
          <w:noProof/>
        </w:rPr>
        <w:t>încurajează inovarea;</w:t>
      </w:r>
      <w:r w:rsidR="002D7825">
        <w:rPr>
          <w:noProof/>
        </w:rPr>
        <w:t xml:space="preserve"> </w:t>
      </w:r>
    </w:p>
    <w:p w14:paraId="49AE394E" w14:textId="2D57B976" w:rsidR="00521BFA" w:rsidRPr="002D7825" w:rsidRDefault="00B6311E" w:rsidP="00B6311E">
      <w:pPr>
        <w:pStyle w:val="Point1"/>
        <w:rPr>
          <w:noProof/>
        </w:rPr>
      </w:pPr>
      <w:r w:rsidRPr="00B6311E">
        <w:t>(c)</w:t>
      </w:r>
      <w:r w:rsidRPr="00B6311E">
        <w:tab/>
      </w:r>
      <w:r w:rsidR="00D858AF" w:rsidRPr="002D7825">
        <w:rPr>
          <w:noProof/>
          <w:color w:val="333333"/>
        </w:rPr>
        <w:t>asigură neutralitatea tehnologică</w:t>
      </w:r>
      <w:r w:rsidR="00D858AF" w:rsidRPr="002D7825">
        <w:rPr>
          <w:noProof/>
        </w:rPr>
        <w:t>, neimpunând constrângeri cu privire la alegerea tehnologiei sau a echipamentelor, în limitele compatibilității și ale evitării interferențelor;</w:t>
      </w:r>
    </w:p>
    <w:p w14:paraId="3BD94804" w14:textId="32C792CE" w:rsidR="0099346B" w:rsidRPr="002D7825" w:rsidRDefault="00B6311E" w:rsidP="00B6311E">
      <w:pPr>
        <w:pStyle w:val="Point1"/>
        <w:rPr>
          <w:noProof/>
        </w:rPr>
      </w:pPr>
      <w:r w:rsidRPr="00B6311E">
        <w:t>(d)</w:t>
      </w:r>
      <w:r w:rsidRPr="00B6311E">
        <w:tab/>
      </w:r>
      <w:r w:rsidR="00521BFA" w:rsidRPr="002D7825">
        <w:rPr>
          <w:noProof/>
        </w:rPr>
        <w:t>asigură că etichetarea digitală nu compromite siguranța utilizatorului final și a mediului;</w:t>
      </w:r>
    </w:p>
    <w:p w14:paraId="19ACA3C3" w14:textId="212C1252" w:rsidR="00D34E29" w:rsidRPr="002D7825" w:rsidRDefault="00B6311E" w:rsidP="00B6311E">
      <w:pPr>
        <w:pStyle w:val="Point1"/>
        <w:rPr>
          <w:noProof/>
        </w:rPr>
      </w:pPr>
      <w:r w:rsidRPr="00B6311E">
        <w:t>(e)</w:t>
      </w:r>
      <w:r w:rsidRPr="00B6311E">
        <w:tab/>
      </w:r>
      <w:r w:rsidR="0099346B" w:rsidRPr="002D7825">
        <w:rPr>
          <w:noProof/>
        </w:rPr>
        <w:t>ține seama de nivelul de pregătire digitală în rândul utilizatorilor finali ai produselor fertilizante UE.</w:t>
      </w:r>
      <w:r w:rsidR="002D7825">
        <w:rPr>
          <w:noProof/>
        </w:rPr>
        <w:t xml:space="preserve"> </w:t>
      </w:r>
    </w:p>
    <w:p w14:paraId="0F132F4F" w14:textId="77777777" w:rsidR="00757B61" w:rsidRPr="002D7825" w:rsidRDefault="007E03C7" w:rsidP="00555E64">
      <w:pPr>
        <w:pStyle w:val="Text1"/>
        <w:rPr>
          <w:noProof/>
        </w:rPr>
      </w:pPr>
      <w:r w:rsidRPr="002D7825">
        <w:rPr>
          <w:noProof/>
        </w:rPr>
        <w:t xml:space="preserve">(10) Comisia este împuternicită să adopte acte delegate în conformitate cu articolul 44 pentru a modifica anexa III în ceea ce privește informațiile de etichetare pe care operatorii economici le pot furniza pe o etichetă digitală numai în conformitate cu articolul 11a alineatul (3) litera (b), în vederea adaptării anexei respective la progresele tehnice și științifice sau la nivelul de pregătire digitală în rândul utilizatorilor finali ai produselor fertilizante UE. Atunci când adoptă respectivele acte delegate, Comisia ține seama de nevoia de a asigura de un nivel ridicat de protecție a sănătății umane și a mediului.”; </w:t>
      </w:r>
    </w:p>
    <w:p w14:paraId="6E0A9767" w14:textId="7DC8F355" w:rsidR="00757B61" w:rsidRPr="002D7825" w:rsidRDefault="00B6311E" w:rsidP="00B6311E">
      <w:pPr>
        <w:pStyle w:val="Point0"/>
        <w:rPr>
          <w:noProof/>
        </w:rPr>
      </w:pPr>
      <w:r w:rsidRPr="00B6311E">
        <w:t>(6)</w:t>
      </w:r>
      <w:r w:rsidRPr="00B6311E">
        <w:tab/>
      </w:r>
      <w:r w:rsidR="00757B61" w:rsidRPr="002D7825">
        <w:rPr>
          <w:noProof/>
        </w:rPr>
        <w:t xml:space="preserve">Anexa III se modifică în conformitate cu anexa I la prezentul regulament; </w:t>
      </w:r>
    </w:p>
    <w:p w14:paraId="275F42FB" w14:textId="07A270AB" w:rsidR="00757B61" w:rsidRPr="002D7825" w:rsidRDefault="00B6311E" w:rsidP="00B6311E">
      <w:pPr>
        <w:pStyle w:val="Point0"/>
        <w:rPr>
          <w:noProof/>
        </w:rPr>
      </w:pPr>
      <w:r w:rsidRPr="00B6311E">
        <w:t>(7)</w:t>
      </w:r>
      <w:r w:rsidRPr="00B6311E">
        <w:tab/>
      </w:r>
      <w:r w:rsidR="00757B61" w:rsidRPr="002D7825">
        <w:rPr>
          <w:noProof/>
        </w:rPr>
        <w:t>Anexa IV se modifică în conformitate cu anexa II la prezentul regulament.</w:t>
      </w:r>
    </w:p>
    <w:p w14:paraId="0C9954B4" w14:textId="77777777" w:rsidR="00757B61" w:rsidRPr="002D7825" w:rsidRDefault="00757B61" w:rsidP="00757B61">
      <w:pPr>
        <w:pStyle w:val="Titrearticle0"/>
        <w:rPr>
          <w:noProof/>
        </w:rPr>
      </w:pPr>
      <w:r w:rsidRPr="002D7825">
        <w:rPr>
          <w:noProof/>
        </w:rPr>
        <w:t>Articolul 2</w:t>
      </w:r>
    </w:p>
    <w:p w14:paraId="715335BC" w14:textId="77777777" w:rsidR="00757B61" w:rsidRPr="002D7825" w:rsidRDefault="00757B61" w:rsidP="00757B61">
      <w:pPr>
        <w:rPr>
          <w:noProof/>
        </w:rPr>
      </w:pPr>
      <w:r w:rsidRPr="002D7825">
        <w:rPr>
          <w:noProof/>
        </w:rPr>
        <w:t xml:space="preserve">Prezentul regulament intră în vigoare în a douăzecea zi de la data publicării în </w:t>
      </w:r>
      <w:r w:rsidRPr="002D7825">
        <w:rPr>
          <w:i/>
          <w:noProof/>
        </w:rPr>
        <w:t>Jurnalul Oficial al Uniunii Europene</w:t>
      </w:r>
      <w:r w:rsidRPr="002D7825">
        <w:rPr>
          <w:noProof/>
        </w:rPr>
        <w:t>.</w:t>
      </w:r>
    </w:p>
    <w:p w14:paraId="20415DEB" w14:textId="77777777" w:rsidR="00FF5DE9" w:rsidRPr="002D7825" w:rsidRDefault="00B47F86" w:rsidP="00757B61">
      <w:pPr>
        <w:rPr>
          <w:noProof/>
        </w:rPr>
      </w:pPr>
      <w:r w:rsidRPr="002D7825">
        <w:rPr>
          <w:noProof/>
        </w:rPr>
        <w:t>Se aplică de la [</w:t>
      </w:r>
      <w:r w:rsidRPr="002D7825">
        <w:rPr>
          <w:i/>
          <w:noProof/>
        </w:rPr>
        <w:t>OP: a se introduce data = prima zi a lunii care urmează după 30 de luni de la data intrării în vigoare a prezentului regulament</w:t>
      </w:r>
      <w:r w:rsidRPr="002D7825">
        <w:rPr>
          <w:noProof/>
        </w:rPr>
        <w:t>].</w:t>
      </w:r>
    </w:p>
    <w:p w14:paraId="06BCB426" w14:textId="77777777" w:rsidR="00757B61" w:rsidRPr="002D7825" w:rsidRDefault="00757B61" w:rsidP="00757B61">
      <w:pPr>
        <w:pStyle w:val="Applicationdirecte"/>
        <w:rPr>
          <w:noProof/>
        </w:rPr>
      </w:pPr>
      <w:r w:rsidRPr="002D7825">
        <w:rPr>
          <w:noProof/>
        </w:rPr>
        <w:t>Prezentul regulament este obligatoriu în toate elementele sale și se aplică direct în toate statele membre.</w:t>
      </w:r>
    </w:p>
    <w:p w14:paraId="1057DCFD" w14:textId="5F8569B0" w:rsidR="00757B61" w:rsidRPr="002D7825" w:rsidRDefault="00B34AF5" w:rsidP="008917A6">
      <w:pPr>
        <w:pStyle w:val="Fait"/>
        <w:rPr>
          <w:noProof/>
        </w:rPr>
      </w:pPr>
      <w:r w:rsidRPr="00B34AF5">
        <w:t>Adoptat la Bruxelles,</w:t>
      </w:r>
    </w:p>
    <w:p w14:paraId="15C59ED1" w14:textId="77777777" w:rsidR="00757B61" w:rsidRPr="002D7825" w:rsidRDefault="00757B61" w:rsidP="008917A6">
      <w:pPr>
        <w:pStyle w:val="Institutionquisigne"/>
        <w:rPr>
          <w:noProof/>
        </w:rPr>
      </w:pPr>
      <w:r w:rsidRPr="002D7825">
        <w:rPr>
          <w:noProof/>
        </w:rPr>
        <w:t>Pentru Parlamentul European,</w:t>
      </w:r>
      <w:r w:rsidRPr="002D7825">
        <w:rPr>
          <w:noProof/>
        </w:rPr>
        <w:tab/>
        <w:t>Pentru Consiliu,</w:t>
      </w:r>
    </w:p>
    <w:p w14:paraId="596A87A6" w14:textId="77777777" w:rsidR="00757B61" w:rsidRPr="002D7825" w:rsidRDefault="00757B61" w:rsidP="00757B61">
      <w:pPr>
        <w:pStyle w:val="Personnequisigne"/>
        <w:rPr>
          <w:noProof/>
        </w:rPr>
      </w:pPr>
      <w:r w:rsidRPr="002D7825">
        <w:rPr>
          <w:noProof/>
        </w:rPr>
        <w:t>Președinta</w:t>
      </w:r>
      <w:r w:rsidRPr="002D7825">
        <w:rPr>
          <w:noProof/>
        </w:rPr>
        <w:tab/>
        <w:t>Președintele</w:t>
      </w:r>
    </w:p>
    <w:sectPr w:rsidR="00757B61" w:rsidRPr="002D7825" w:rsidSect="009E020B">
      <w:footnotePr>
        <w:numRestart w:val="eachSect"/>
      </w:footnotePr>
      <w:pgSz w:w="11907" w:h="16839"/>
      <w:pgMar w:top="1134" w:right="1417" w:bottom="1134" w:left="1417" w:header="709" w:footer="709"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23E57C0" w16cex:dateUtc="2022-10-04T11:39:08.694Z"/>
  <w16cex:commentExtensible w16cex:durableId="283E561D" w16cex:dateUtc="2022-10-04T12:03:45.53Z"/>
  <w16cex:commentExtensible w16cex:durableId="4DD90A9C" w16cex:dateUtc="2022-10-04T12:07:14.259Z"/>
  <w16cex:commentExtensible w16cex:durableId="7280CFA1" w16cex:dateUtc="2022-10-07T05:50:42.639Z"/>
  <w16cex:commentExtensible w16cex:durableId="27EA06C7" w16cex:dateUtc="2022-10-07T05:51:21.359Z"/>
  <w16cex:commentExtensible w16cex:durableId="095695D6" w16cex:dateUtc="2022-10-07T05:51:51.072Z"/>
  <w16cex:commentExtensible w16cex:durableId="06FBAE54" w16cex:dateUtc="2022-10-12T14:10:36.287Z"/>
  <w16cex:commentExtensible w16cex:durableId="66129A8F" w16cex:dateUtc="2022-10-12T15:45:23.679Z"/>
  <w16cex:commentExtensible w16cex:durableId="50C5F787" w16cex:dateUtc="2022-10-12T15:46:40.784Z"/>
  <w16cex:commentExtensible w16cex:durableId="1A61393C" w16cex:dateUtc="2022-10-12T15:50:32.374Z"/>
  <w16cex:commentExtensible w16cex:durableId="5D08BA86" w16cex:dateUtc="2022-10-12T15:57:21.179Z"/>
  <w16cex:commentExtensible w16cex:durableId="3D0B9D90" w16cex:dateUtc="2022-10-12T15:58:48.034Z"/>
  <w16cex:commentExtensible w16cex:durableId="70B76624" w16cex:dateUtc="2022-10-12T16:00:04.996Z"/>
  <w16cex:commentExtensible w16cex:durableId="46ECB02D" w16cex:dateUtc="2022-10-12T16:04:09.257Z"/>
  <w16cex:commentExtensible w16cex:durableId="2AB6EFDF" w16cex:dateUtc="2022-10-12T16:04:46.322Z"/>
</w16cex:commentsExtensible>
</file>

<file path=word/commentsIds.xml><?xml version="1.0" encoding="utf-8"?>
<w16cid:commentsIds xmlns:mc="http://schemas.openxmlformats.org/markup-compatibility/2006" xmlns:w16cid="http://schemas.microsoft.com/office/word/2016/wordml/cid" mc:Ignorable="w16cid">
  <w16cid:commentId w16cid:paraId="0B29C4D8" w16cid:durableId="76E2C81E"/>
  <w16cid:commentId w16cid:paraId="24BAF57A" w16cid:durableId="02201259"/>
  <w16cid:commentId w16cid:paraId="369BCBED" w16cid:durableId="74807A5F"/>
  <w16cid:commentId w16cid:paraId="7B58E5EE" w16cid:durableId="325270F1"/>
  <w16cid:commentId w16cid:paraId="0ACA67B2" w16cid:durableId="786DB0B9"/>
  <w16cid:commentId w16cid:paraId="1ABCC226" w16cid:durableId="12CB4CBD"/>
  <w16cid:commentId w16cid:paraId="0E081D35" w16cid:durableId="695AC3B3"/>
  <w16cid:commentId w16cid:paraId="4884433A" w16cid:durableId="1046FC00"/>
  <w16cid:commentId w16cid:paraId="27F73FAC" w16cid:durableId="7058ADD7"/>
  <w16cid:commentId w16cid:paraId="5648A55B" w16cid:durableId="66185DB3"/>
  <w16cid:commentId w16cid:paraId="0FD5B054" w16cid:durableId="6357FE67"/>
  <w16cid:commentId w16cid:paraId="071E965A" w16cid:durableId="3A4F3DFC"/>
  <w16cid:commentId w16cid:paraId="441DBA3B" w16cid:durableId="1BDAAA2D"/>
  <w16cid:commentId w16cid:paraId="6B18F5F1" w16cid:durableId="1A83E6EB"/>
  <w16cid:commentId w16cid:paraId="5FC52FD5" w16cid:durableId="20FF5940"/>
  <w16cid:commentId w16cid:paraId="3FD89672" w16cid:durableId="6201645E"/>
  <w16cid:commentId w16cid:paraId="2E0E8AD4" w16cid:durableId="28C7E36A"/>
  <w16cid:commentId w16cid:paraId="55791F4A" w16cid:durableId="20FE0AE8"/>
  <w16cid:commentId w16cid:paraId="551EC6BC" w16cid:durableId="35E9D5A6"/>
  <w16cid:commentId w16cid:paraId="6E5A6580" w16cid:durableId="3B2E7861"/>
  <w16cid:commentId w16cid:paraId="7D0779BF" w16cid:durableId="02F419D3"/>
  <w16cid:commentId w16cid:paraId="7ED7A79B" w16cid:durableId="33A92002"/>
  <w16cid:commentId w16cid:paraId="0E0EAAD6" w16cid:durableId="42BD0A0F"/>
  <w16cid:commentId w16cid:paraId="0101F96D" w16cid:durableId="64FCF462"/>
  <w16cid:commentId w16cid:paraId="2352BF95" w16cid:durableId="419E1B04"/>
  <w16cid:commentId w16cid:paraId="7EDCF822" w16cid:durableId="03301BB4"/>
  <w16cid:commentId w16cid:paraId="3A92B785" w16cid:durableId="71EA20A8"/>
  <w16cid:commentId w16cid:paraId="5478A2CE" w16cid:durableId="6DB3A3F4"/>
  <w16cid:commentId w16cid:paraId="7C99BE96" w16cid:durableId="23D2FE2F"/>
  <w16cid:commentId w16cid:paraId="0FF2DF03" w16cid:durableId="6DB1E055"/>
  <w16cid:commentId w16cid:paraId="63A904A2" w16cid:durableId="5F534096"/>
  <w16cid:commentId w16cid:paraId="21832B03" w16cid:durableId="1CDD5E5F"/>
  <w16cid:commentId w16cid:paraId="40E3E3CD" w16cid:durableId="14B63083"/>
  <w16cid:commentId w16cid:paraId="681D2171" w16cid:durableId="052910AF"/>
  <w16cid:commentId w16cid:paraId="783B79D2" w16cid:durableId="06D7E58B"/>
  <w16cid:commentId w16cid:paraId="5266B925" w16cid:durableId="564C0CB2"/>
  <w16cid:commentId w16cid:paraId="075BCD29" w16cid:durableId="3C7F2238"/>
  <w16cid:commentId w16cid:paraId="7F07967B" w16cid:durableId="54D25EFB"/>
  <w16cid:commentId w16cid:paraId="36EEA9CB" w16cid:durableId="6CCEF9BD"/>
  <w16cid:commentId w16cid:paraId="276E77D5" w16cid:durableId="483351B4"/>
  <w16cid:commentId w16cid:paraId="57582C29" w16cid:durableId="2AB75122"/>
  <w16cid:commentId w16cid:paraId="4F3EE36F" w16cid:durableId="24C768B8"/>
  <w16cid:commentId w16cid:paraId="26BCC9F5" w16cid:durableId="1CFED3C1"/>
  <w16cid:commentId w16cid:paraId="28D6FADB" w16cid:durableId="1985568D"/>
  <w16cid:commentId w16cid:paraId="35C6814B" w16cid:durableId="25910176"/>
  <w16cid:commentId w16cid:paraId="6096D547" w16cid:durableId="4D685785"/>
  <w16cid:commentId w16cid:paraId="4AFED1AF" w16cid:durableId="07B0CC10"/>
  <w16cid:commentId w16cid:paraId="76E4033E" w16cid:durableId="413E3DFB"/>
  <w16cid:commentId w16cid:paraId="2195FFF6" w16cid:durableId="34918E5E"/>
  <w16cid:commentId w16cid:paraId="2D00F674" w16cid:durableId="00F1A2A7"/>
  <w16cid:commentId w16cid:paraId="01B91FB9" w16cid:durableId="7176D738"/>
  <w16cid:commentId w16cid:paraId="2AE655E2" w16cid:durableId="5356B4BD"/>
  <w16cid:commentId w16cid:paraId="3FC02FE4" w16cid:durableId="2CCB033D"/>
  <w16cid:commentId w16cid:paraId="7C70CA51" w16cid:durableId="33F966D0"/>
  <w16cid:commentId w16cid:paraId="398FF3E5" w16cid:durableId="26C03AD6"/>
  <w16cid:commentId w16cid:paraId="0EA0B4B2" w16cid:durableId="4339A81C"/>
  <w16cid:commentId w16cid:paraId="617983F5" w16cid:durableId="3F630849"/>
  <w16cid:commentId w16cid:paraId="5802BDB6" w16cid:durableId="0F8385FD"/>
  <w16cid:commentId w16cid:paraId="122008D2" w16cid:durableId="70B455EC"/>
  <w16cid:commentId w16cid:paraId="4F898184" w16cid:durableId="753D9505"/>
  <w16cid:commentId w16cid:paraId="25C6E301" w16cid:durableId="20E12C14"/>
  <w16cid:commentId w16cid:paraId="2EA67A17" w16cid:durableId="7BA71FBE"/>
  <w16cid:commentId w16cid:paraId="5E7ACD94" w16cid:durableId="6C73FDD0"/>
  <w16cid:commentId w16cid:paraId="2138CB17" w16cid:durableId="02A6CD82"/>
  <w16cid:commentId w16cid:paraId="59113D3C" w16cid:durableId="06C51D1D"/>
  <w16cid:commentId w16cid:paraId="61AA876D" w16cid:durableId="467AA008"/>
  <w16cid:commentId w16cid:paraId="1B446547" w16cid:durableId="25990D79"/>
  <w16cid:commentId w16cid:paraId="559C6CE6" w16cid:durableId="16B1997E"/>
  <w16cid:commentId w16cid:paraId="3EE77FA2" w16cid:durableId="13AC0160"/>
  <w16cid:commentId w16cid:paraId="661ACD22" w16cid:durableId="4AB34C8D"/>
  <w16cid:commentId w16cid:paraId="4F14ABAE" w16cid:durableId="25824226"/>
  <w16cid:commentId w16cid:paraId="4272D2AA" w16cid:durableId="53F5846E"/>
  <w16cid:commentId w16cid:paraId="1099F499" w16cid:durableId="342F112A"/>
  <w16cid:commentId w16cid:paraId="63DA53C7" w16cid:durableId="323E57C0"/>
  <w16cid:commentId w16cid:paraId="7658EB49" w16cid:durableId="283E561D"/>
  <w16cid:commentId w16cid:paraId="08331D73" w16cid:durableId="4DD90A9C"/>
  <w16cid:commentId w16cid:paraId="13D2BB79" w16cid:durableId="7280CFA1"/>
  <w16cid:commentId w16cid:paraId="4D66A329" w16cid:durableId="27EA06C7"/>
  <w16cid:commentId w16cid:paraId="6203E613" w16cid:durableId="095695D6"/>
  <w16cid:commentId w16cid:paraId="3CEC604E" w16cid:durableId="06FBAE54"/>
  <w16cid:commentId w16cid:paraId="68E5172A" w16cid:durableId="66129A8F"/>
  <w16cid:commentId w16cid:paraId="5C9B125B" w16cid:durableId="50C5F787"/>
  <w16cid:commentId w16cid:paraId="2BF9A30C" w16cid:durableId="1A61393C"/>
  <w16cid:commentId w16cid:paraId="5FF4AF76" w16cid:durableId="5D08BA86"/>
  <w16cid:commentId w16cid:paraId="4C74D7AB" w16cid:durableId="3D0B9D90"/>
  <w16cid:commentId w16cid:paraId="51AA445E" w16cid:durableId="70B76624"/>
  <w16cid:commentId w16cid:paraId="40483ACB" w16cid:durableId="46ECB02D"/>
  <w16cid:commentId w16cid:paraId="08006418" w16cid:durableId="2AB6EFDF"/>
  <w16cid:commentId w16cid:paraId="28A71191" w16cid:durableId="2F5F41B3"/>
  <w16cid:commentId w16cid:paraId="45AF4A44" w16cid:durableId="442C559F"/>
  <w16cid:commentId w16cid:paraId="4169D9B9" w16cid:durableId="64BAB0F6"/>
  <w16cid:commentId w16cid:paraId="6225DC5C" w16cid:durableId="19318E2E"/>
  <w16cid:commentId w16cid:paraId="65344C8A" w16cid:durableId="57C23D61"/>
  <w16cid:commentId w16cid:paraId="68D8AC5A" w16cid:durableId="4C4D3757"/>
  <w16cid:commentId w16cid:paraId="56122044" w16cid:durableId="57B3EAFF"/>
  <w16cid:commentId w16cid:paraId="2FB60115" w16cid:durableId="094534C5"/>
  <w16cid:commentId w16cid:paraId="47B318DB" w16cid:durableId="5B3E2079"/>
  <w16cid:commentId w16cid:paraId="67EB846C" w16cid:durableId="381A4BB6"/>
  <w16cid:commentId w16cid:paraId="5ADCE8AA" w16cid:durableId="48AAB642"/>
  <w16cid:commentId w16cid:paraId="24C23352" w16cid:durableId="3A5FF2B4"/>
  <w16cid:commentId w16cid:paraId="539607B5" w16cid:durableId="0366353C"/>
  <w16cid:commentId w16cid:paraId="4B6FB6C0" w16cid:durableId="0B302766"/>
  <w16cid:commentId w16cid:paraId="726587F5" w16cid:durableId="2809EBBB"/>
  <w16cid:commentId w16cid:paraId="0BE62123" w16cid:durableId="752C63B1"/>
  <w16cid:commentId w16cid:paraId="09B115DE" w16cid:durableId="285B272F"/>
  <w16cid:commentId w16cid:paraId="014CC913" w16cid:durableId="6D1C7ED6"/>
  <w16cid:commentId w16cid:paraId="489CE6CA" w16cid:durableId="5E186026"/>
  <w16cid:commentId w16cid:paraId="08A6687A" w16cid:durableId="4052281C"/>
  <w16cid:commentId w16cid:paraId="05F3357B" w16cid:durableId="129276B3"/>
  <w16cid:commentId w16cid:paraId="16DA6AF7" w16cid:durableId="4A4D7026"/>
  <w16cid:commentId w16cid:paraId="7964D64C" w16cid:durableId="75AC09D9"/>
  <w16cid:commentId w16cid:paraId="3E87D397" w16cid:durableId="654AE84D"/>
  <w16cid:commentId w16cid:paraId="6EFBF8CB" w16cid:durableId="04216A6A"/>
  <w16cid:commentId w16cid:paraId="617414B4" w16cid:durableId="4C3FBD35"/>
  <w16cid:commentId w16cid:paraId="09F84F0C" w16cid:durableId="149BE324"/>
  <w16cid:commentId w16cid:paraId="5E1C8F23" w16cid:durableId="1741CCAC"/>
  <w16cid:commentId w16cid:paraId="52286BB0" w16cid:durableId="1A8608A2"/>
  <w16cid:commentId w16cid:paraId="61DAB0D2" w16cid:durableId="1F59B60D"/>
  <w16cid:commentId w16cid:paraId="543573B3" w16cid:durableId="33267913"/>
  <w16cid:commentId w16cid:paraId="4643E788" w16cid:durableId="608F59C3"/>
  <w16cid:commentId w16cid:paraId="282D3365" w16cid:durableId="1912061E"/>
  <w16cid:commentId w16cid:paraId="680BD071" w16cid:durableId="1416324E"/>
  <w16cid:commentId w16cid:paraId="65907BB3" w16cid:durableId="777B0326"/>
  <w16cid:commentId w16cid:paraId="1C7AF840" w16cid:durableId="715CCF4F"/>
  <w16cid:commentId w16cid:paraId="1A650DA1" w16cid:durableId="139527FB"/>
  <w16cid:commentId w16cid:paraId="078EBB30" w16cid:durableId="4B9691A8"/>
  <w16cid:commentId w16cid:paraId="58E29D7D" w16cid:durableId="0CB8445D"/>
  <w16cid:commentId w16cid:paraId="48CABFF9" w16cid:durableId="3B3390CA"/>
  <w16cid:commentId w16cid:paraId="7C1DDF51" w16cid:durableId="79357677"/>
  <w16cid:commentId w16cid:paraId="2B915783" w16cid:durableId="5B6E6908"/>
  <w16cid:commentId w16cid:paraId="2206F9DE" w16cid:durableId="461947DF"/>
  <w16cid:commentId w16cid:paraId="6B923C58" w16cid:durableId="774497D8"/>
  <w16cid:commentId w16cid:paraId="58E548A8" w16cid:durableId="102FF5AB"/>
  <w16cid:commentId w16cid:paraId="2EF66D1D" w16cid:durableId="7840E35B"/>
  <w16cid:commentId w16cid:paraId="4F244D53" w16cid:durableId="067E3164"/>
  <w16cid:commentId w16cid:paraId="52647F1E" w16cid:durableId="22088B80"/>
  <w16cid:commentId w16cid:paraId="262E5940" w16cid:durableId="743AEA84"/>
  <w16cid:commentId w16cid:paraId="047D184A" w16cid:durableId="10C31C0F"/>
  <w16cid:commentId w16cid:paraId="5574A75C" w16cid:durableId="79510420"/>
  <w16cid:commentId w16cid:paraId="2BC0652C" w16cid:durableId="435A9928"/>
  <w16cid:commentId w16cid:paraId="49CDBCC9" w16cid:durableId="26A983BE"/>
  <w16cid:commentId w16cid:paraId="019B642F" w16cid:durableId="741255A0"/>
  <w16cid:commentId w16cid:paraId="7A9C5297" w16cid:durableId="6425AA34"/>
  <w16cid:commentId w16cid:paraId="74D038F1" w16cid:durableId="6511D18C"/>
  <w16cid:commentId w16cid:paraId="66DEDBC3" w16cid:durableId="4E804BC5"/>
  <w16cid:commentId w16cid:paraId="72E2E30E" w16cid:durableId="7F6FC8A8"/>
  <w16cid:commentId w16cid:paraId="4172AD79" w16cid:durableId="6C4CFF36"/>
  <w16cid:commentId w16cid:paraId="72326CA9" w16cid:durableId="0B82802C"/>
  <w16cid:commentId w16cid:paraId="5A4271F0" w16cid:durableId="37B15433"/>
  <w16cid:commentId w16cid:paraId="0A198BAA" w16cid:durableId="40721E53"/>
  <w16cid:commentId w16cid:paraId="03041786" w16cid:durableId="6EBF2C22"/>
  <w16cid:commentId w16cid:paraId="420B3547" w16cid:durableId="3BE46A6C"/>
  <w16cid:commentId w16cid:paraId="068DBD35" w16cid:durableId="04F3D2A3"/>
  <w16cid:commentId w16cid:paraId="6E912988" w16cid:durableId="681B5C7E"/>
  <w16cid:commentId w16cid:paraId="789C994D" w16cid:durableId="214DEC96"/>
  <w16cid:commentId w16cid:paraId="3E4DE09E" w16cid:durableId="6F5002ED"/>
  <w16cid:commentId w16cid:paraId="1BA6618D" w16cid:durableId="13B5243F"/>
  <w16cid:commentId w16cid:paraId="78D88DD7" w16cid:durableId="36AD1C6B"/>
  <w16cid:commentId w16cid:paraId="72D4F2BB" w16cid:durableId="61973BB6"/>
  <w16cid:commentId w16cid:paraId="2BA8EBE8" w16cid:durableId="5CC49586"/>
  <w16cid:commentId w16cid:paraId="1BDE21DB" w16cid:durableId="60643A79"/>
  <w16cid:commentId w16cid:paraId="1D04E31C" w16cid:durableId="22E4CF5C"/>
  <w16cid:commentId w16cid:paraId="4D3221A3" w16cid:durableId="471CB1A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A1AC8" w14:textId="77777777" w:rsidR="00974CF1" w:rsidRDefault="00974CF1" w:rsidP="00524948">
      <w:pPr>
        <w:spacing w:before="0" w:after="0"/>
      </w:pPr>
      <w:r>
        <w:separator/>
      </w:r>
    </w:p>
  </w:endnote>
  <w:endnote w:type="continuationSeparator" w:id="0">
    <w:p w14:paraId="446EE2D1" w14:textId="77777777" w:rsidR="00974CF1" w:rsidRDefault="00974CF1" w:rsidP="00524948">
      <w:pPr>
        <w:spacing w:before="0" w:after="0"/>
      </w:pPr>
      <w:r>
        <w:continuationSeparator/>
      </w:r>
    </w:p>
  </w:endnote>
  <w:endnote w:type="continuationNotice" w:id="1">
    <w:p w14:paraId="3DAF6B51" w14:textId="77777777" w:rsidR="00974CF1" w:rsidRDefault="00974CF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4CC10" w14:textId="5E3390AE" w:rsidR="006218C8" w:rsidRPr="009E020B" w:rsidRDefault="009E020B" w:rsidP="009E020B">
    <w:pPr>
      <w:pStyle w:val="Footer"/>
      <w:rPr>
        <w:rFonts w:ascii="Arial" w:hAnsi="Arial" w:cs="Arial"/>
        <w:b/>
        <w:sz w:val="48"/>
      </w:rPr>
    </w:pPr>
    <w:r w:rsidRPr="009E020B">
      <w:rPr>
        <w:rFonts w:ascii="Arial" w:hAnsi="Arial" w:cs="Arial"/>
        <w:b/>
        <w:sz w:val="48"/>
      </w:rPr>
      <w:t>RO</w:t>
    </w:r>
    <w:r w:rsidRPr="009E020B">
      <w:rPr>
        <w:rFonts w:ascii="Arial" w:hAnsi="Arial" w:cs="Arial"/>
        <w:b/>
        <w:sz w:val="48"/>
      </w:rPr>
      <w:tab/>
    </w:r>
    <w:r w:rsidRPr="009E020B">
      <w:rPr>
        <w:rFonts w:ascii="Arial" w:hAnsi="Arial" w:cs="Arial"/>
        <w:b/>
        <w:sz w:val="48"/>
      </w:rPr>
      <w:tab/>
    </w:r>
    <w:r w:rsidRPr="009E020B">
      <w:tab/>
    </w:r>
    <w:r w:rsidRPr="009E020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5073E" w14:textId="3515C01A" w:rsidR="009E020B" w:rsidRPr="009E020B" w:rsidRDefault="009E020B" w:rsidP="009E020B">
    <w:pPr>
      <w:pStyle w:val="Footer"/>
      <w:rPr>
        <w:rFonts w:ascii="Arial" w:hAnsi="Arial" w:cs="Arial"/>
        <w:b/>
        <w:sz w:val="48"/>
      </w:rPr>
    </w:pPr>
    <w:r w:rsidRPr="009E020B">
      <w:rPr>
        <w:rFonts w:ascii="Arial" w:hAnsi="Arial" w:cs="Arial"/>
        <w:b/>
        <w:sz w:val="48"/>
      </w:rPr>
      <w:t>RO</w:t>
    </w:r>
    <w:r w:rsidRPr="009E020B">
      <w:rPr>
        <w:rFonts w:ascii="Arial" w:hAnsi="Arial" w:cs="Arial"/>
        <w:b/>
        <w:sz w:val="48"/>
      </w:rPr>
      <w:tab/>
    </w:r>
    <w:r>
      <w:fldChar w:fldCharType="begin"/>
    </w:r>
    <w:r>
      <w:instrText xml:space="preserve"> PAGE  \* MERGEFORMAT </w:instrText>
    </w:r>
    <w:r>
      <w:fldChar w:fldCharType="separate"/>
    </w:r>
    <w:r w:rsidR="008917A6">
      <w:rPr>
        <w:noProof/>
      </w:rPr>
      <w:t>20</w:t>
    </w:r>
    <w:r>
      <w:fldChar w:fldCharType="end"/>
    </w:r>
    <w:r>
      <w:tab/>
    </w:r>
    <w:r w:rsidRPr="009E020B">
      <w:tab/>
    </w:r>
    <w:r w:rsidRPr="009E020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4D075" w14:textId="77777777" w:rsidR="009E020B" w:rsidRPr="009E020B" w:rsidRDefault="009E020B" w:rsidP="009E0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866D4B" w14:textId="77777777" w:rsidR="00974CF1" w:rsidRDefault="00974CF1" w:rsidP="00524948">
      <w:pPr>
        <w:spacing w:before="0" w:after="0"/>
      </w:pPr>
      <w:r>
        <w:separator/>
      </w:r>
    </w:p>
  </w:footnote>
  <w:footnote w:type="continuationSeparator" w:id="0">
    <w:p w14:paraId="747C83E6" w14:textId="77777777" w:rsidR="00974CF1" w:rsidRDefault="00974CF1" w:rsidP="00524948">
      <w:pPr>
        <w:spacing w:before="0" w:after="0"/>
      </w:pPr>
      <w:r>
        <w:continuationSeparator/>
      </w:r>
    </w:p>
  </w:footnote>
  <w:footnote w:type="continuationNotice" w:id="1">
    <w:p w14:paraId="24869181" w14:textId="77777777" w:rsidR="00974CF1" w:rsidRDefault="00974CF1">
      <w:pPr>
        <w:spacing w:before="0" w:after="0"/>
      </w:pPr>
    </w:p>
  </w:footnote>
  <w:footnote w:id="2">
    <w:p w14:paraId="0F77BB7D" w14:textId="77777777" w:rsidR="00974CF1" w:rsidRPr="00BD52BD" w:rsidRDefault="00974CF1">
      <w:pPr>
        <w:pStyle w:val="FootnoteText"/>
      </w:pPr>
      <w:r>
        <w:rPr>
          <w:rStyle w:val="FootnoteReference"/>
        </w:rPr>
        <w:footnoteRef/>
      </w:r>
      <w:r>
        <w:tab/>
        <w:t>Regulamentul (UE) 2019/1009 al Parlamentului European și al Consiliului din 5 iunie 2019 de stabilire a normelor privind punerea la dispoziție pe piață a produselor fertilizante UE și de modificare a Regulamentelor (CE) nr. 1069/2009 și (CE) nr. 1107/2009 și de abrogare a Regulamentului (CE) nr. 2003/2003, JO L 170, 25.6.2019, p. 1.</w:t>
      </w:r>
    </w:p>
  </w:footnote>
  <w:footnote w:id="3">
    <w:p w14:paraId="7F605125" w14:textId="77777777" w:rsidR="00974CF1" w:rsidRPr="00BD52BD" w:rsidRDefault="00974CF1">
      <w:pPr>
        <w:pStyle w:val="FootnoteText"/>
      </w:pPr>
      <w:r>
        <w:rPr>
          <w:rStyle w:val="FootnoteReference"/>
        </w:rPr>
        <w:footnoteRef/>
      </w:r>
      <w:r>
        <w:tab/>
        <w:t>Regulamentul (CE) nr. 2003/2003 al Parlamentului European și al Consiliului din 13 octombrie 2003 privind îngrășămintele, JO L 304, 21.11.2003, p. 1.</w:t>
      </w:r>
    </w:p>
  </w:footnote>
  <w:footnote w:id="4">
    <w:p w14:paraId="2D15F520" w14:textId="77777777" w:rsidR="00974CF1" w:rsidRPr="00BD52BD" w:rsidRDefault="00974CF1">
      <w:pPr>
        <w:pStyle w:val="FootnoteText"/>
      </w:pPr>
      <w:r>
        <w:rPr>
          <w:rStyle w:val="FootnoteReference"/>
        </w:rPr>
        <w:footnoteRef/>
      </w:r>
      <w:r>
        <w:tab/>
        <w:t>Comunicare a Comisiei către Parlamentul European, Consiliul European, Consiliu, Comitetul Economic și Social European și Comitetul Regiunilor din 13 octombrie 2021 – Un set de măsuri de acțiune și de sprijin pentru abordarea creșterii prețurilor energiei, COM(2021) 660 final.</w:t>
      </w:r>
    </w:p>
  </w:footnote>
  <w:footnote w:id="5">
    <w:p w14:paraId="3E6989B1" w14:textId="77777777" w:rsidR="00974CF1" w:rsidRPr="00BD52BD" w:rsidRDefault="00974CF1">
      <w:pPr>
        <w:pStyle w:val="FootnoteText"/>
      </w:pPr>
      <w:r>
        <w:rPr>
          <w:rStyle w:val="FootnoteReference"/>
        </w:rPr>
        <w:footnoteRef/>
      </w:r>
      <w:r>
        <w:tab/>
        <w:t>Comunicare a Comisiei către Parlamentul European, Consiliul European, Consiliu, Comitetul Economic și Social European și Comitetul Regiunilor din 23 martie 2022 – Garantarea securității alimentare și consolidarea rezilienței sistemelor alimentare, COM(2022) 133</w:t>
      </w:r>
    </w:p>
  </w:footnote>
  <w:footnote w:id="6">
    <w:p w14:paraId="71D42690" w14:textId="77777777" w:rsidR="00974CF1" w:rsidRPr="00BD52BD" w:rsidRDefault="00974CF1">
      <w:pPr>
        <w:pStyle w:val="FootnoteText"/>
      </w:pPr>
      <w:r>
        <w:rPr>
          <w:rStyle w:val="FootnoteReference"/>
        </w:rPr>
        <w:footnoteRef/>
      </w:r>
      <w:r>
        <w:tab/>
        <w:t>Comunicare a Comisiei către Parlamentul European, Consiliu, Comitetul Economic și Social European și Comitetul Regiunilor din 20 mai 2020, O Strategie „De la fermă la consumator” pentru un sistem alimentar echitabil, sănătos și ecologic, COM(2020) 381 final.</w:t>
      </w:r>
    </w:p>
  </w:footnote>
  <w:footnote w:id="7">
    <w:p w14:paraId="72D8454A" w14:textId="77777777" w:rsidR="00DF10E5" w:rsidRPr="00DF10E5" w:rsidRDefault="00DF10E5">
      <w:pPr>
        <w:pStyle w:val="FootnoteText"/>
      </w:pPr>
      <w:r>
        <w:rPr>
          <w:rStyle w:val="FootnoteReference"/>
        </w:rPr>
        <w:footnoteRef/>
      </w:r>
      <w:r>
        <w:tab/>
        <w:t>Comunicare a Comisiei către Parlamentul European, Consiliu, Comitetul Economic și Social European și Comitetul Regiunilor din 9 noiembrie 2022, Asigurarea disponibilității și accesibilității prețurilor îngrășămintelor, COM(2022) 590 final.</w:t>
      </w:r>
    </w:p>
  </w:footnote>
  <w:footnote w:id="8">
    <w:p w14:paraId="6DE72622" w14:textId="3575B827" w:rsidR="00974CF1" w:rsidRPr="00BD52BD" w:rsidRDefault="00974CF1">
      <w:pPr>
        <w:pStyle w:val="FootnoteText"/>
      </w:pPr>
      <w:r>
        <w:rPr>
          <w:rStyle w:val="FootnoteReference"/>
        </w:rPr>
        <w:footnoteRef/>
      </w:r>
      <w:r>
        <w:tab/>
        <w:t>Declarație: Un viitor digital inteligent și durabil pentru agricultura și zonele rurale ale Europei (smartagrihubs.eu)</w:t>
      </w:r>
    </w:p>
  </w:footnote>
  <w:footnote w:id="9">
    <w:p w14:paraId="57AEE91A" w14:textId="77777777" w:rsidR="00974CF1" w:rsidRPr="00BD52BD" w:rsidRDefault="00974CF1">
      <w:pPr>
        <w:pStyle w:val="FootnoteText"/>
      </w:pPr>
      <w:r>
        <w:rPr>
          <w:rStyle w:val="FootnoteReference"/>
        </w:rPr>
        <w:footnoteRef/>
      </w:r>
      <w:r>
        <w:tab/>
        <w:t>Comunicare a Comisiei către Parlamentul European, Consiliul European, Consiliu, Comitetul Economic și Social European și Comitetul Regiunilor, Pactul verde european, COM/2019/640, 11.12.2019.</w:t>
      </w:r>
    </w:p>
  </w:footnote>
  <w:footnote w:id="10">
    <w:p w14:paraId="6C3162EF" w14:textId="77777777" w:rsidR="00974CF1" w:rsidRPr="002D7825" w:rsidRDefault="00974CF1">
      <w:pPr>
        <w:pStyle w:val="FootnoteText"/>
      </w:pPr>
      <w:r>
        <w:rPr>
          <w:rStyle w:val="FootnoteReference"/>
        </w:rPr>
        <w:footnoteRef/>
      </w:r>
      <w:r>
        <w:tab/>
      </w:r>
      <w:r w:rsidRPr="002D7825">
        <w:t>Comunicare a Comisiei către Parlamentul European, Consiliu, Comitetul Economic și Social European și Comitetul Regiunilor, Busola pentru dimensiunea digitală 2030: modelul european pentru deceniul digital, COM(2021) 118, 9.3.2021.</w:t>
      </w:r>
    </w:p>
  </w:footnote>
  <w:footnote w:id="11">
    <w:p w14:paraId="3DAD5885" w14:textId="77777777" w:rsidR="00974CF1" w:rsidRPr="002D7825" w:rsidRDefault="00974CF1">
      <w:pPr>
        <w:pStyle w:val="FootnoteText"/>
      </w:pPr>
      <w:r w:rsidRPr="002D7825">
        <w:rPr>
          <w:rStyle w:val="FootnoteReference"/>
        </w:rPr>
        <w:footnoteRef/>
      </w:r>
      <w:r w:rsidRPr="002D7825">
        <w:tab/>
        <w:t>Regulamentul (UE) nr. 305/2011 al Parlamentului European și al Consiliului din 9 martie 2011 de stabilire a unor condiții armonizate pentru comercializarea produselor pentru construcții și de abrogare a Directivei 89/106/CEE a Consiliului, JO L 88, 4.4.2011, p. 5.</w:t>
      </w:r>
    </w:p>
  </w:footnote>
  <w:footnote w:id="12">
    <w:p w14:paraId="3E29BD29" w14:textId="77777777" w:rsidR="00974CF1" w:rsidRPr="002D7825" w:rsidRDefault="00974CF1">
      <w:pPr>
        <w:pStyle w:val="FootnoteText"/>
      </w:pPr>
      <w:r w:rsidRPr="002D7825">
        <w:rPr>
          <w:rStyle w:val="FootnoteReference"/>
        </w:rPr>
        <w:footnoteRef/>
      </w:r>
      <w:r w:rsidRPr="002D7825">
        <w:tab/>
        <w:t>Regulamentul (UE) 2017/745 al Parlamentului European și al Consiliului din 5 aprilie 2017 privind dispozitivele medicale, de modificare a Directivei 2001/83/CE, a Regulamentului (CE) nr. 178/2002 și a Regulamentului (CE) nr. 1223/2009 și de abrogare a Directivelor 90/385/CEE și 93/42/CEE ale Consiliului, JO L 117, 5.5.2017, p. 1.</w:t>
      </w:r>
    </w:p>
  </w:footnote>
  <w:footnote w:id="13">
    <w:p w14:paraId="624A9560" w14:textId="77777777" w:rsidR="00974CF1" w:rsidRPr="002D7825" w:rsidRDefault="00974CF1">
      <w:pPr>
        <w:pStyle w:val="FootnoteText"/>
        <w:rPr>
          <w:sz w:val="22"/>
        </w:rPr>
      </w:pPr>
      <w:r>
        <w:rPr>
          <w:rStyle w:val="FootnoteReference"/>
        </w:rPr>
        <w:footnoteRef/>
      </w:r>
      <w:r>
        <w:tab/>
      </w:r>
      <w:r w:rsidRPr="002D7825">
        <w:t>Propunere de Regulament al Parlamentului European și al Consiliului privind bateriile și deșeurile de baterii, de abrogare a Directivei 2006/66/CE și de modificare a Regulamentului (UE) 2019/1020, COM(2020) 798 final.</w:t>
      </w:r>
    </w:p>
  </w:footnote>
  <w:footnote w:id="14">
    <w:p w14:paraId="625168A7" w14:textId="42635183" w:rsidR="00974CF1" w:rsidRPr="00BD52BD" w:rsidRDefault="00974CF1">
      <w:pPr>
        <w:pStyle w:val="FootnoteText"/>
      </w:pPr>
      <w:r>
        <w:rPr>
          <w:rStyle w:val="FootnoteReference"/>
        </w:rPr>
        <w:footnoteRef/>
      </w:r>
      <w:r>
        <w:tab/>
      </w:r>
      <w:hyperlink r:id="rId1" w:history="1">
        <w:r>
          <w:rPr>
            <w:rStyle w:val="Hyperlink"/>
          </w:rPr>
          <w:t>Detergenți – simplificarea și actualizarea normelor UE (europa.eu)</w:t>
        </w:r>
      </w:hyperlink>
      <w:r w:rsidR="002D7825">
        <w:t xml:space="preserve"> </w:t>
      </w:r>
    </w:p>
  </w:footnote>
  <w:footnote w:id="15">
    <w:p w14:paraId="6828B445" w14:textId="77777777" w:rsidR="00974CF1" w:rsidRPr="00BD52BD" w:rsidRDefault="00974CF1">
      <w:pPr>
        <w:pStyle w:val="FootnoteText"/>
      </w:pPr>
      <w:r>
        <w:rPr>
          <w:rStyle w:val="FootnoteReference"/>
        </w:rPr>
        <w:footnoteRef/>
      </w:r>
      <w:r>
        <w:tab/>
      </w:r>
      <w:hyperlink r:id="rId2" w:history="1">
        <w:r>
          <w:rPr>
            <w:rStyle w:val="Hyperlink"/>
          </w:rPr>
          <w:t>Strategia UE pentru promovarea sustenabilității în domeniul substanțelor chimice: regulamentul privind produsele cosmetice (revizuire) (europa.eu)</w:t>
        </w:r>
      </w:hyperlink>
    </w:p>
  </w:footnote>
  <w:footnote w:id="16">
    <w:p w14:paraId="7C98A097" w14:textId="77777777" w:rsidR="00974CF1" w:rsidRPr="00BD52BD" w:rsidRDefault="00974CF1">
      <w:pPr>
        <w:pStyle w:val="FootnoteText"/>
      </w:pPr>
      <w:r>
        <w:rPr>
          <w:rStyle w:val="FootnoteReference"/>
        </w:rPr>
        <w:footnoteRef/>
      </w:r>
      <w:r>
        <w:tab/>
      </w:r>
      <w:hyperlink r:id="rId3" w:history="1">
        <w:r>
          <w:rPr>
            <w:rStyle w:val="Hyperlink"/>
          </w:rPr>
          <w:t>Substanțe chimice – simplificarea și digitalizarea cerințelor de etichetare (europa.eu)</w:t>
        </w:r>
      </w:hyperlink>
    </w:p>
  </w:footnote>
  <w:footnote w:id="17">
    <w:p w14:paraId="0655C5C8" w14:textId="77777777" w:rsidR="00974CF1" w:rsidRPr="002D7825" w:rsidRDefault="00974CF1">
      <w:pPr>
        <w:pStyle w:val="FootnoteText"/>
        <w:rPr>
          <w:sz w:val="22"/>
        </w:rPr>
      </w:pPr>
      <w:r>
        <w:rPr>
          <w:rStyle w:val="FootnoteReference"/>
        </w:rPr>
        <w:footnoteRef/>
      </w:r>
      <w:r>
        <w:tab/>
      </w:r>
      <w:r w:rsidRPr="002D7825">
        <w:t>Propunere de Regulament al Parlamentului European și al Consiliului de instituire a unui cadru pentru stabilirea cerințelor în materie de proiectare ecologică pentru produsele sustenabile și de abrogare a Directivei 2009/125/CE, COM/2022/142 final, 30.3.2022.</w:t>
      </w:r>
    </w:p>
  </w:footnote>
  <w:footnote w:id="18">
    <w:p w14:paraId="23914620" w14:textId="77777777" w:rsidR="00974CF1" w:rsidRPr="00BD52BD" w:rsidRDefault="00974CF1">
      <w:pPr>
        <w:pStyle w:val="FootnoteText"/>
      </w:pPr>
      <w:r>
        <w:rPr>
          <w:rStyle w:val="FootnoteReference"/>
        </w:rPr>
        <w:footnoteRef/>
      </w:r>
      <w:r>
        <w:tab/>
        <w:t>A se vedea nota de subsol 26.</w:t>
      </w:r>
    </w:p>
  </w:footnote>
  <w:footnote w:id="19">
    <w:p w14:paraId="173C0382" w14:textId="77777777" w:rsidR="00974CF1" w:rsidRPr="005749CF" w:rsidRDefault="00974CF1">
      <w:pPr>
        <w:pStyle w:val="FootnoteText"/>
      </w:pPr>
      <w:r>
        <w:rPr>
          <w:rStyle w:val="FootnoteReference"/>
        </w:rPr>
        <w:footnoteRef/>
      </w:r>
      <w:r>
        <w:tab/>
        <w:t>Link către rezumatul EI</w:t>
      </w:r>
    </w:p>
  </w:footnote>
  <w:footnote w:id="20">
    <w:p w14:paraId="745F4972" w14:textId="77777777" w:rsidR="00974CF1" w:rsidRPr="005749CF" w:rsidRDefault="00974CF1">
      <w:pPr>
        <w:pStyle w:val="FootnoteText"/>
      </w:pPr>
      <w:r>
        <w:rPr>
          <w:rStyle w:val="FootnoteReference"/>
        </w:rPr>
        <w:footnoteRef/>
      </w:r>
      <w:r>
        <w:tab/>
        <w:t>Link către aviz</w:t>
      </w:r>
    </w:p>
  </w:footnote>
  <w:footnote w:id="21">
    <w:p w14:paraId="0691959A" w14:textId="77777777" w:rsidR="00974CF1" w:rsidRPr="00DC2A2E" w:rsidRDefault="00974CF1">
      <w:pPr>
        <w:pStyle w:val="FootnoteText"/>
      </w:pPr>
      <w:r>
        <w:rPr>
          <w:rStyle w:val="FootnoteReference"/>
        </w:rPr>
        <w:footnoteRef/>
      </w:r>
      <w:r>
        <w:tab/>
        <w:t>Costurile unice sunt prevăzute că vor rămâne aceleași în cadrul OP2 și OP3. A se vedea anexa 4 pentru o defalcare completă a calculelor costurilor și beneficiilor.</w:t>
      </w:r>
    </w:p>
  </w:footnote>
  <w:footnote w:id="22">
    <w:p w14:paraId="1A24D9BD" w14:textId="77777777" w:rsidR="00974CF1" w:rsidRPr="005749CF" w:rsidRDefault="00974CF1">
      <w:pPr>
        <w:pStyle w:val="FootnoteText"/>
      </w:pPr>
      <w:r>
        <w:rPr>
          <w:rStyle w:val="FootnoteReference"/>
        </w:rPr>
        <w:footnoteRef/>
      </w:r>
      <w:r>
        <w:tab/>
        <w:t>În ceea ce privește OP3, 14 % din numărul total al întreprinderilor se presupune că furnizează numai produse în vrac sau produse care sunt vândute utilizatorilor industriali (de exemplu, producători de amestecuri).</w:t>
      </w:r>
    </w:p>
  </w:footnote>
  <w:footnote w:id="23">
    <w:p w14:paraId="12C1E242" w14:textId="53F2ADD0" w:rsidR="00974CF1" w:rsidRPr="005018E7" w:rsidRDefault="00974CF1">
      <w:pPr>
        <w:pStyle w:val="FootnoteText"/>
      </w:pPr>
      <w:r>
        <w:rPr>
          <w:rStyle w:val="FootnoteReference"/>
        </w:rPr>
        <w:footnoteRef/>
      </w:r>
      <w:r>
        <w:tab/>
        <w:t>JO C , , p. .</w:t>
      </w:r>
    </w:p>
  </w:footnote>
  <w:footnote w:id="24">
    <w:p w14:paraId="3311B31A" w14:textId="77777777" w:rsidR="00974CF1" w:rsidRPr="002B73A8" w:rsidRDefault="00974CF1">
      <w:pPr>
        <w:pStyle w:val="FootnoteText"/>
      </w:pPr>
      <w:r>
        <w:rPr>
          <w:rStyle w:val="FootnoteReference"/>
        </w:rPr>
        <w:footnoteRef/>
      </w:r>
      <w:r>
        <w:tab/>
        <w:t>Directiva 91/676/CEE a Consiliului din 12 decembrie 1991 privind protecția apelor împotriva poluării cu nitrați proveniți din surse agricole (JO L 375, 31.12.1991, p. 1).</w:t>
      </w:r>
    </w:p>
  </w:footnote>
  <w:footnote w:id="25">
    <w:p w14:paraId="4910BDF8" w14:textId="77777777" w:rsidR="00DF10E5" w:rsidRPr="00DF10E5" w:rsidRDefault="00DF10E5">
      <w:pPr>
        <w:pStyle w:val="FootnoteText"/>
      </w:pPr>
      <w:r>
        <w:rPr>
          <w:rStyle w:val="FootnoteReference"/>
        </w:rPr>
        <w:footnoteRef/>
      </w:r>
      <w:r>
        <w:tab/>
        <w:t>Regulamentul (UE) nr. 142/2011 al Comisiei din 25 februarie 2011 de punere în aplicare a Regulamentului (CE) nr. 1069/2009 al Parlamentului European și al Consiliului de stabilire a unor norme sanitare privind subprodusele de origine animală și produsele derivate care nu sunt destinate consumului uman și de punere în aplicare a Directivei 97/78/CE a Consiliului în ceea ce privește anumite probe și produse care sunt scutite de la controalele sanitar-veterinare la frontieră în conformitate cu directiva menționată, JO L 54, 26.2.2011, p. 1.</w:t>
      </w:r>
    </w:p>
  </w:footnote>
  <w:footnote w:id="26">
    <w:p w14:paraId="22549E8C" w14:textId="77777777" w:rsidR="00DF10E5" w:rsidRPr="00DF10E5" w:rsidRDefault="00DF10E5">
      <w:pPr>
        <w:pStyle w:val="FootnoteText"/>
      </w:pPr>
      <w:r>
        <w:rPr>
          <w:rStyle w:val="FootnoteReference"/>
        </w:rPr>
        <w:footnoteRef/>
      </w:r>
      <w:r>
        <w:tab/>
        <w:t>JO L 123, 12.5.2016,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FB6ABC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7166C2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5F684D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7D45E3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4289B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BA8E86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41028C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65CC94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2"/>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2"/>
  </w:num>
  <w:num w:numId="23">
    <w:abstractNumId w:val="21"/>
  </w:num>
  <w:num w:numId="24">
    <w:abstractNumId w:val="11"/>
  </w:num>
  <w:num w:numId="25">
    <w:abstractNumId w:val="13"/>
  </w:num>
  <w:num w:numId="26">
    <w:abstractNumId w:val="14"/>
  </w:num>
  <w:num w:numId="27">
    <w:abstractNumId w:val="9"/>
  </w:num>
  <w:num w:numId="28">
    <w:abstractNumId w:val="20"/>
  </w:num>
  <w:num w:numId="29">
    <w:abstractNumId w:val="8"/>
  </w:num>
  <w:num w:numId="30">
    <w:abstractNumId w:val="15"/>
  </w:num>
  <w:num w:numId="31">
    <w:abstractNumId w:val="17"/>
  </w:num>
  <w:num w:numId="32">
    <w:abstractNumId w:val="18"/>
  </w:num>
  <w:num w:numId="33">
    <w:abstractNumId w:val="10"/>
  </w:num>
  <w:num w:numId="34">
    <w:abstractNumId w:val="16"/>
  </w:num>
  <w:num w:numId="35">
    <w:abstractNumId w:val="2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en-AU" w:vendorID="64" w:dllVersion="131078" w:nlCheck="1" w:checkStyle="1"/>
  <w:attachedTemplate r:id="rId1"/>
  <w:revisionView w:markup="0"/>
  <w:defaultTabStop w:val="720"/>
  <w:hyphenationZone w:val="425"/>
  <w:characterSpacingControl w:val="doNotCompress"/>
  <w:hdrShapeDefaults>
    <o:shapedefaults v:ext="edit" spidmax="798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3-02-22 09:46:54"/>
    <w:docVar w:name="DQCNUMB_1" w:val="139"/>
    <w:docVar w:name="DQCNUMB_10" w:val="169"/>
    <w:docVar w:name="DQCNUMB_11" w:val="172"/>
    <w:docVar w:name="DQCNUMB_12" w:val="175"/>
    <w:docVar w:name="DQCNUMB_13" w:val="179"/>
    <w:docVar w:name="DQCNUMB_14" w:val="180"/>
    <w:docVar w:name="DQCNUMB_15" w:val="188"/>
    <w:docVar w:name="DQCNUMB_16" w:val="192"/>
    <w:docVar w:name="DQCNUMB_17" w:val="193"/>
    <w:docVar w:name="DQCNUMB_18" w:val="194"/>
    <w:docVar w:name="DQCNUMB_19" w:val="196"/>
    <w:docVar w:name="DQCNUMB_2" w:val="141"/>
    <w:docVar w:name="DQCNUMB_20" w:val="197"/>
    <w:docVar w:name="DQCNUMB_21" w:val="198"/>
    <w:docVar w:name="DQCNUMB_22" w:val="199"/>
    <w:docVar w:name="DQCNUMB_23" w:val="200"/>
    <w:docVar w:name="DQCNUMB_24" w:val="202"/>
    <w:docVar w:name="DQCNUMB_25" w:val="203"/>
    <w:docVar w:name="DQCNUMB_26" w:val="173"/>
    <w:docVar w:name="DQCNUMB_27" w:val="174"/>
    <w:docVar w:name="DQCNUMB_28" w:val="175"/>
    <w:docVar w:name="DQCNUMB_29" w:val="176"/>
    <w:docVar w:name="DQCNUMB_3" w:val="149"/>
    <w:docVar w:name="DQCNUMB_30" w:val="177"/>
    <w:docVar w:name="DQCNUMB_31" w:val="178"/>
    <w:docVar w:name="DQCNUMB_32" w:val="179"/>
    <w:docVar w:name="DQCNUMB_33" w:val="180"/>
    <w:docVar w:name="DQCNUMB_34" w:val="181"/>
    <w:docVar w:name="DQCNUMB_35" w:val="182"/>
    <w:docVar w:name="DQCNUMB_36" w:val="183"/>
    <w:docVar w:name="DQCNUMB_37" w:val="184"/>
    <w:docVar w:name="DQCNUMB_38" w:val="185"/>
    <w:docVar w:name="DQCNUMB_39" w:val="186"/>
    <w:docVar w:name="DQCNUMB_4" w:val="150"/>
    <w:docVar w:name="DQCNUMB_40" w:val="187"/>
    <w:docVar w:name="DQCNUMB_41" w:val="188"/>
    <w:docVar w:name="DQCNUMB_42" w:val="189"/>
    <w:docVar w:name="DQCNUMB_43" w:val="190"/>
    <w:docVar w:name="DQCNUMB_44" w:val="191"/>
    <w:docVar w:name="DQCNUMB_45" w:val="192"/>
    <w:docVar w:name="DQCNUMB_46" w:val="193"/>
    <w:docVar w:name="DQCNUMB_47" w:val="194"/>
    <w:docVar w:name="DQCNUMB_48" w:val="195"/>
    <w:docVar w:name="DQCNUMB_49" w:val="196"/>
    <w:docVar w:name="DQCNUMB_5" w:val="151"/>
    <w:docVar w:name="DQCNUMB_50" w:val="197"/>
    <w:docVar w:name="DQCNUMB_51" w:val="198"/>
    <w:docVar w:name="DQCNUMB_52" w:val="199"/>
    <w:docVar w:name="DQCNUMB_53" w:val="200"/>
    <w:docVar w:name="DQCNUMB_54" w:val="201"/>
    <w:docVar w:name="DQCNUMB_55" w:val="202"/>
    <w:docVar w:name="DQCNUMB_56" w:val="203"/>
    <w:docVar w:name="DQCNUMB_57" w:val="204"/>
    <w:docVar w:name="DQCNUMB_58" w:val="205"/>
    <w:docVar w:name="DQCNUMB_59" w:val="206"/>
    <w:docVar w:name="DQCNUMB_6" w:val="159"/>
    <w:docVar w:name="DQCNUMB_60" w:val="207"/>
    <w:docVar w:name="DQCNUMB_61" w:val="208"/>
    <w:docVar w:name="DQCNUMB_62" w:val="209"/>
    <w:docVar w:name="DQCNUMB_63" w:val="210"/>
    <w:docVar w:name="DQCNUMB_64" w:val="211"/>
    <w:docVar w:name="DQCNUMB_65" w:val="212"/>
    <w:docVar w:name="DQCNUMB_66" w:val="220"/>
    <w:docVar w:name="DQCNUMB_67" w:val="221"/>
    <w:docVar w:name="DQCNUMB_68" w:val="222"/>
    <w:docVar w:name="DQCNUMB_69" w:val="223"/>
    <w:docVar w:name="DQCNUMB_7" w:val="162"/>
    <w:docVar w:name="DQCNUMB_8" w:val="165"/>
    <w:docVar w:name="DQCNUMB_9" w:val="16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9A300C5-AD97-40A0-857C-E8E1A3CEE5AF"/>
    <w:docVar w:name="LW_COVERPAGE_TYPE" w:val="1"/>
    <w:docVar w:name="LW_CROSSREFERENCE" w:val="{SEC(2023) 99 final} - {SWD(2023) 48 final} - {SWD(2023) 49 final} - {SWD(2023) 50 final}"/>
    <w:docVar w:name="LW_DocType" w:val="COM"/>
    <w:docVar w:name="LW_EMISSION" w:val="27.2.2023"/>
    <w:docVar w:name="LW_EMISSION_ISODATE" w:val="2023-02-27"/>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Text cu relevanță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49"/>
    <w:docVar w:name="LW_REF.II.NEW.CP_YEAR" w:val="2023"/>
    <w:docVar w:name="LW_REF.INST.NEW" w:val="COM"/>
    <w:docVar w:name="LW_REF.INST.NEW_ADOPTED" w:val="final"/>
    <w:docVar w:name="LW_REF.INST.NEW_TEXT" w:val="(2023) 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19/1009 în ceea ce privește etichetarea digitală a produselor fertilizante UE"/>
    <w:docVar w:name="LW_TYPE.DOC.CP" w:val="REGULAMENT AL PARLAMENTULUI EUROPEAN ȘI AL CONSILIULUI"/>
    <w:docVar w:name="LwApiVersions" w:val="LW4CoDe 1.23.2.0; LW 8.0, Build 20211117"/>
  </w:docVars>
  <w:rsids>
    <w:rsidRoot w:val="00524948"/>
    <w:rsid w:val="00000DEC"/>
    <w:rsid w:val="00001354"/>
    <w:rsid w:val="000014FE"/>
    <w:rsid w:val="0000292B"/>
    <w:rsid w:val="000044FE"/>
    <w:rsid w:val="00004B42"/>
    <w:rsid w:val="00004F8E"/>
    <w:rsid w:val="00010B6E"/>
    <w:rsid w:val="00015CE7"/>
    <w:rsid w:val="00017E07"/>
    <w:rsid w:val="00020984"/>
    <w:rsid w:val="00021766"/>
    <w:rsid w:val="00023F24"/>
    <w:rsid w:val="00030348"/>
    <w:rsid w:val="000351B0"/>
    <w:rsid w:val="00036FEE"/>
    <w:rsid w:val="0003773E"/>
    <w:rsid w:val="000426B6"/>
    <w:rsid w:val="000437EB"/>
    <w:rsid w:val="00044004"/>
    <w:rsid w:val="000440AE"/>
    <w:rsid w:val="00047F64"/>
    <w:rsid w:val="00050044"/>
    <w:rsid w:val="00051E6C"/>
    <w:rsid w:val="00053787"/>
    <w:rsid w:val="00053B0B"/>
    <w:rsid w:val="000554A2"/>
    <w:rsid w:val="000576F3"/>
    <w:rsid w:val="000609FB"/>
    <w:rsid w:val="0006458A"/>
    <w:rsid w:val="000663DC"/>
    <w:rsid w:val="0006795E"/>
    <w:rsid w:val="0007264A"/>
    <w:rsid w:val="00074A75"/>
    <w:rsid w:val="00074F7B"/>
    <w:rsid w:val="00081444"/>
    <w:rsid w:val="00083B65"/>
    <w:rsid w:val="00084B21"/>
    <w:rsid w:val="000850F2"/>
    <w:rsid w:val="000870E9"/>
    <w:rsid w:val="00091E09"/>
    <w:rsid w:val="00095F4E"/>
    <w:rsid w:val="000A04AA"/>
    <w:rsid w:val="000A08C0"/>
    <w:rsid w:val="000A787E"/>
    <w:rsid w:val="000A78D4"/>
    <w:rsid w:val="000B0D67"/>
    <w:rsid w:val="000B343F"/>
    <w:rsid w:val="000B5CF2"/>
    <w:rsid w:val="000B728A"/>
    <w:rsid w:val="000B7A7D"/>
    <w:rsid w:val="000C14DB"/>
    <w:rsid w:val="000C3066"/>
    <w:rsid w:val="000C4700"/>
    <w:rsid w:val="000C5D3B"/>
    <w:rsid w:val="000D45FB"/>
    <w:rsid w:val="000D6305"/>
    <w:rsid w:val="000D7053"/>
    <w:rsid w:val="000D7FB4"/>
    <w:rsid w:val="000E37AA"/>
    <w:rsid w:val="000F04E2"/>
    <w:rsid w:val="0010079A"/>
    <w:rsid w:val="00102B5C"/>
    <w:rsid w:val="0010445C"/>
    <w:rsid w:val="0010640C"/>
    <w:rsid w:val="0011071B"/>
    <w:rsid w:val="001134BA"/>
    <w:rsid w:val="0011557D"/>
    <w:rsid w:val="001158A9"/>
    <w:rsid w:val="00115E5C"/>
    <w:rsid w:val="00123021"/>
    <w:rsid w:val="00130738"/>
    <w:rsid w:val="00131C40"/>
    <w:rsid w:val="001340E1"/>
    <w:rsid w:val="00135E77"/>
    <w:rsid w:val="00137137"/>
    <w:rsid w:val="00140D55"/>
    <w:rsid w:val="00143F4E"/>
    <w:rsid w:val="00144A7B"/>
    <w:rsid w:val="00144CA8"/>
    <w:rsid w:val="001453CA"/>
    <w:rsid w:val="00146FCF"/>
    <w:rsid w:val="001517D4"/>
    <w:rsid w:val="00152434"/>
    <w:rsid w:val="00152894"/>
    <w:rsid w:val="001555FD"/>
    <w:rsid w:val="0016248A"/>
    <w:rsid w:val="00162C42"/>
    <w:rsid w:val="001638D1"/>
    <w:rsid w:val="00164387"/>
    <w:rsid w:val="0016512B"/>
    <w:rsid w:val="001665BC"/>
    <w:rsid w:val="00167F38"/>
    <w:rsid w:val="00171FC1"/>
    <w:rsid w:val="00174D8D"/>
    <w:rsid w:val="0018356A"/>
    <w:rsid w:val="00185F68"/>
    <w:rsid w:val="00186FDF"/>
    <w:rsid w:val="00187CFB"/>
    <w:rsid w:val="00193CDA"/>
    <w:rsid w:val="001953EF"/>
    <w:rsid w:val="00195A50"/>
    <w:rsid w:val="00196D6A"/>
    <w:rsid w:val="001A0657"/>
    <w:rsid w:val="001A0847"/>
    <w:rsid w:val="001A2379"/>
    <w:rsid w:val="001A39B8"/>
    <w:rsid w:val="001A503F"/>
    <w:rsid w:val="001A558F"/>
    <w:rsid w:val="001B0479"/>
    <w:rsid w:val="001B2F21"/>
    <w:rsid w:val="001B30B1"/>
    <w:rsid w:val="001B6670"/>
    <w:rsid w:val="001B74F0"/>
    <w:rsid w:val="001B758B"/>
    <w:rsid w:val="001C20D6"/>
    <w:rsid w:val="001C448B"/>
    <w:rsid w:val="001C4497"/>
    <w:rsid w:val="001C5B87"/>
    <w:rsid w:val="001D3476"/>
    <w:rsid w:val="001D598E"/>
    <w:rsid w:val="001D6175"/>
    <w:rsid w:val="001E04A3"/>
    <w:rsid w:val="001E4312"/>
    <w:rsid w:val="001E4483"/>
    <w:rsid w:val="001F02C9"/>
    <w:rsid w:val="001F2BA6"/>
    <w:rsid w:val="001F4BD4"/>
    <w:rsid w:val="00204B7C"/>
    <w:rsid w:val="00204E3C"/>
    <w:rsid w:val="0020593F"/>
    <w:rsid w:val="00205CE1"/>
    <w:rsid w:val="00205D7D"/>
    <w:rsid w:val="002065B8"/>
    <w:rsid w:val="0021076D"/>
    <w:rsid w:val="002128E5"/>
    <w:rsid w:val="002131EE"/>
    <w:rsid w:val="00214078"/>
    <w:rsid w:val="002167D2"/>
    <w:rsid w:val="00220E16"/>
    <w:rsid w:val="0022137C"/>
    <w:rsid w:val="0022275F"/>
    <w:rsid w:val="002235BF"/>
    <w:rsid w:val="00223BA8"/>
    <w:rsid w:val="00223EAF"/>
    <w:rsid w:val="00224F37"/>
    <w:rsid w:val="00233499"/>
    <w:rsid w:val="002339EF"/>
    <w:rsid w:val="00236F34"/>
    <w:rsid w:val="00242BF3"/>
    <w:rsid w:val="002435C9"/>
    <w:rsid w:val="00245D0A"/>
    <w:rsid w:val="00246633"/>
    <w:rsid w:val="0024722B"/>
    <w:rsid w:val="002479BA"/>
    <w:rsid w:val="00250657"/>
    <w:rsid w:val="00250D88"/>
    <w:rsid w:val="00251917"/>
    <w:rsid w:val="00253881"/>
    <w:rsid w:val="002604DE"/>
    <w:rsid w:val="00260DAC"/>
    <w:rsid w:val="00261BDD"/>
    <w:rsid w:val="00263230"/>
    <w:rsid w:val="00265B68"/>
    <w:rsid w:val="00266FFE"/>
    <w:rsid w:val="00270365"/>
    <w:rsid w:val="00272125"/>
    <w:rsid w:val="002721DC"/>
    <w:rsid w:val="002726B2"/>
    <w:rsid w:val="00272989"/>
    <w:rsid w:val="002765ED"/>
    <w:rsid w:val="00276FD2"/>
    <w:rsid w:val="002771DC"/>
    <w:rsid w:val="002803D6"/>
    <w:rsid w:val="002812F5"/>
    <w:rsid w:val="00281421"/>
    <w:rsid w:val="002873C5"/>
    <w:rsid w:val="0029067E"/>
    <w:rsid w:val="00290DF7"/>
    <w:rsid w:val="00291153"/>
    <w:rsid w:val="002941CB"/>
    <w:rsid w:val="002A1BE2"/>
    <w:rsid w:val="002A2587"/>
    <w:rsid w:val="002A2CC2"/>
    <w:rsid w:val="002A6414"/>
    <w:rsid w:val="002B06E7"/>
    <w:rsid w:val="002B1F08"/>
    <w:rsid w:val="002B73A8"/>
    <w:rsid w:val="002C00C9"/>
    <w:rsid w:val="002C0621"/>
    <w:rsid w:val="002C2AEA"/>
    <w:rsid w:val="002C5BF1"/>
    <w:rsid w:val="002D5819"/>
    <w:rsid w:val="002D612C"/>
    <w:rsid w:val="002D7825"/>
    <w:rsid w:val="002D7A1E"/>
    <w:rsid w:val="002D7EF7"/>
    <w:rsid w:val="002E295B"/>
    <w:rsid w:val="002E2A2C"/>
    <w:rsid w:val="002E2F33"/>
    <w:rsid w:val="002E58AF"/>
    <w:rsid w:val="002E5F59"/>
    <w:rsid w:val="002F2897"/>
    <w:rsid w:val="002F31DC"/>
    <w:rsid w:val="002F37D5"/>
    <w:rsid w:val="002F471D"/>
    <w:rsid w:val="002F4A34"/>
    <w:rsid w:val="002F6E6E"/>
    <w:rsid w:val="003028D1"/>
    <w:rsid w:val="00310941"/>
    <w:rsid w:val="003115DE"/>
    <w:rsid w:val="003144A8"/>
    <w:rsid w:val="00315E2A"/>
    <w:rsid w:val="00316759"/>
    <w:rsid w:val="00320A42"/>
    <w:rsid w:val="003248F9"/>
    <w:rsid w:val="00326A50"/>
    <w:rsid w:val="003272ED"/>
    <w:rsid w:val="00327C09"/>
    <w:rsid w:val="00331D79"/>
    <w:rsid w:val="00334A44"/>
    <w:rsid w:val="003355D3"/>
    <w:rsid w:val="003379FF"/>
    <w:rsid w:val="003402A5"/>
    <w:rsid w:val="00340FC6"/>
    <w:rsid w:val="003414DE"/>
    <w:rsid w:val="003443AA"/>
    <w:rsid w:val="00345439"/>
    <w:rsid w:val="00345F4B"/>
    <w:rsid w:val="00351749"/>
    <w:rsid w:val="003548BC"/>
    <w:rsid w:val="0035605C"/>
    <w:rsid w:val="00363E6E"/>
    <w:rsid w:val="0036422D"/>
    <w:rsid w:val="0037029C"/>
    <w:rsid w:val="0037040B"/>
    <w:rsid w:val="003710A6"/>
    <w:rsid w:val="00375F70"/>
    <w:rsid w:val="003779DD"/>
    <w:rsid w:val="00385860"/>
    <w:rsid w:val="0038630E"/>
    <w:rsid w:val="00387690"/>
    <w:rsid w:val="00387F01"/>
    <w:rsid w:val="00396ACD"/>
    <w:rsid w:val="00397815"/>
    <w:rsid w:val="003A0A5B"/>
    <w:rsid w:val="003A1DA6"/>
    <w:rsid w:val="003A21B4"/>
    <w:rsid w:val="003A5425"/>
    <w:rsid w:val="003A5F38"/>
    <w:rsid w:val="003A6874"/>
    <w:rsid w:val="003A7725"/>
    <w:rsid w:val="003A784C"/>
    <w:rsid w:val="003B1848"/>
    <w:rsid w:val="003B3132"/>
    <w:rsid w:val="003B61D5"/>
    <w:rsid w:val="003B642D"/>
    <w:rsid w:val="003B6DAF"/>
    <w:rsid w:val="003C19F7"/>
    <w:rsid w:val="003C7C49"/>
    <w:rsid w:val="003D3BA2"/>
    <w:rsid w:val="003D4B38"/>
    <w:rsid w:val="003D5BFA"/>
    <w:rsid w:val="003E3187"/>
    <w:rsid w:val="003E5E40"/>
    <w:rsid w:val="003E7F07"/>
    <w:rsid w:val="003F019C"/>
    <w:rsid w:val="00403705"/>
    <w:rsid w:val="00404626"/>
    <w:rsid w:val="00405F62"/>
    <w:rsid w:val="004150E6"/>
    <w:rsid w:val="004154BA"/>
    <w:rsid w:val="00415C27"/>
    <w:rsid w:val="00416DC2"/>
    <w:rsid w:val="004223D5"/>
    <w:rsid w:val="00423338"/>
    <w:rsid w:val="00425250"/>
    <w:rsid w:val="00425D6B"/>
    <w:rsid w:val="004264BC"/>
    <w:rsid w:val="00427011"/>
    <w:rsid w:val="0042707E"/>
    <w:rsid w:val="00427774"/>
    <w:rsid w:val="004317BA"/>
    <w:rsid w:val="00435A92"/>
    <w:rsid w:val="00436541"/>
    <w:rsid w:val="00436C32"/>
    <w:rsid w:val="00437AA5"/>
    <w:rsid w:val="0044008C"/>
    <w:rsid w:val="00441A4D"/>
    <w:rsid w:val="004431FD"/>
    <w:rsid w:val="00444368"/>
    <w:rsid w:val="00446A5A"/>
    <w:rsid w:val="00450C23"/>
    <w:rsid w:val="004511E1"/>
    <w:rsid w:val="004526D3"/>
    <w:rsid w:val="0045400E"/>
    <w:rsid w:val="0045441D"/>
    <w:rsid w:val="0045599F"/>
    <w:rsid w:val="004559C5"/>
    <w:rsid w:val="00455EE2"/>
    <w:rsid w:val="00460B81"/>
    <w:rsid w:val="00463505"/>
    <w:rsid w:val="00464603"/>
    <w:rsid w:val="004664DC"/>
    <w:rsid w:val="004672B3"/>
    <w:rsid w:val="00477096"/>
    <w:rsid w:val="00482240"/>
    <w:rsid w:val="004837D9"/>
    <w:rsid w:val="00491B06"/>
    <w:rsid w:val="00492396"/>
    <w:rsid w:val="00496D54"/>
    <w:rsid w:val="004A00C0"/>
    <w:rsid w:val="004A12C2"/>
    <w:rsid w:val="004A2746"/>
    <w:rsid w:val="004A3B34"/>
    <w:rsid w:val="004A51E1"/>
    <w:rsid w:val="004A7AD9"/>
    <w:rsid w:val="004B1714"/>
    <w:rsid w:val="004B1D6A"/>
    <w:rsid w:val="004B2D77"/>
    <w:rsid w:val="004B3780"/>
    <w:rsid w:val="004B67E0"/>
    <w:rsid w:val="004B7361"/>
    <w:rsid w:val="004B7A24"/>
    <w:rsid w:val="004C023C"/>
    <w:rsid w:val="004C02EC"/>
    <w:rsid w:val="004C175F"/>
    <w:rsid w:val="004C193E"/>
    <w:rsid w:val="004C1CA2"/>
    <w:rsid w:val="004C3C0C"/>
    <w:rsid w:val="004C49B0"/>
    <w:rsid w:val="004C7243"/>
    <w:rsid w:val="004C767E"/>
    <w:rsid w:val="004D1AA5"/>
    <w:rsid w:val="004D2E7E"/>
    <w:rsid w:val="004D7E3A"/>
    <w:rsid w:val="004E0321"/>
    <w:rsid w:val="004E03D0"/>
    <w:rsid w:val="004E19F9"/>
    <w:rsid w:val="004E45CF"/>
    <w:rsid w:val="004E63F0"/>
    <w:rsid w:val="004E684A"/>
    <w:rsid w:val="004E6B21"/>
    <w:rsid w:val="004E7AE7"/>
    <w:rsid w:val="004F1A4B"/>
    <w:rsid w:val="004F232D"/>
    <w:rsid w:val="004F3FD9"/>
    <w:rsid w:val="004F4177"/>
    <w:rsid w:val="004F526A"/>
    <w:rsid w:val="0050116A"/>
    <w:rsid w:val="005018E7"/>
    <w:rsid w:val="00503E63"/>
    <w:rsid w:val="005049FF"/>
    <w:rsid w:val="00504FA1"/>
    <w:rsid w:val="005052D5"/>
    <w:rsid w:val="0050751F"/>
    <w:rsid w:val="00507632"/>
    <w:rsid w:val="00516344"/>
    <w:rsid w:val="00516753"/>
    <w:rsid w:val="00517205"/>
    <w:rsid w:val="00517A01"/>
    <w:rsid w:val="00521BFA"/>
    <w:rsid w:val="00523275"/>
    <w:rsid w:val="00523689"/>
    <w:rsid w:val="00523E9B"/>
    <w:rsid w:val="00524948"/>
    <w:rsid w:val="00524C69"/>
    <w:rsid w:val="00525D92"/>
    <w:rsid w:val="00526F13"/>
    <w:rsid w:val="0053346F"/>
    <w:rsid w:val="00537DC7"/>
    <w:rsid w:val="005403F1"/>
    <w:rsid w:val="00542487"/>
    <w:rsid w:val="00543A5E"/>
    <w:rsid w:val="00546B54"/>
    <w:rsid w:val="0055107B"/>
    <w:rsid w:val="0055346D"/>
    <w:rsid w:val="005551E1"/>
    <w:rsid w:val="00555E64"/>
    <w:rsid w:val="00556C27"/>
    <w:rsid w:val="005642F1"/>
    <w:rsid w:val="00564E62"/>
    <w:rsid w:val="005663C8"/>
    <w:rsid w:val="00567757"/>
    <w:rsid w:val="00572D56"/>
    <w:rsid w:val="00572D5B"/>
    <w:rsid w:val="005749CF"/>
    <w:rsid w:val="00580E85"/>
    <w:rsid w:val="00582810"/>
    <w:rsid w:val="005841BA"/>
    <w:rsid w:val="00584638"/>
    <w:rsid w:val="005903A0"/>
    <w:rsid w:val="00591288"/>
    <w:rsid w:val="00591A0D"/>
    <w:rsid w:val="00593FF8"/>
    <w:rsid w:val="00595540"/>
    <w:rsid w:val="00596C40"/>
    <w:rsid w:val="00597276"/>
    <w:rsid w:val="005A011B"/>
    <w:rsid w:val="005A041D"/>
    <w:rsid w:val="005A42D5"/>
    <w:rsid w:val="005A54F7"/>
    <w:rsid w:val="005B2603"/>
    <w:rsid w:val="005B5FA6"/>
    <w:rsid w:val="005C15FC"/>
    <w:rsid w:val="005C1C63"/>
    <w:rsid w:val="005C465B"/>
    <w:rsid w:val="005C52BF"/>
    <w:rsid w:val="005D0828"/>
    <w:rsid w:val="005D4213"/>
    <w:rsid w:val="005D727F"/>
    <w:rsid w:val="005E0689"/>
    <w:rsid w:val="005E0D35"/>
    <w:rsid w:val="005E1A2E"/>
    <w:rsid w:val="005E3E76"/>
    <w:rsid w:val="005E440D"/>
    <w:rsid w:val="005E5DD7"/>
    <w:rsid w:val="005E6A43"/>
    <w:rsid w:val="005E719E"/>
    <w:rsid w:val="005F21C7"/>
    <w:rsid w:val="005F2271"/>
    <w:rsid w:val="005F4497"/>
    <w:rsid w:val="005F47DB"/>
    <w:rsid w:val="005F51F2"/>
    <w:rsid w:val="005F7098"/>
    <w:rsid w:val="00600808"/>
    <w:rsid w:val="006017D2"/>
    <w:rsid w:val="006053A6"/>
    <w:rsid w:val="00606965"/>
    <w:rsid w:val="0060750D"/>
    <w:rsid w:val="00607526"/>
    <w:rsid w:val="00610E0B"/>
    <w:rsid w:val="006117CF"/>
    <w:rsid w:val="0061212B"/>
    <w:rsid w:val="006131B7"/>
    <w:rsid w:val="00621415"/>
    <w:rsid w:val="006218C8"/>
    <w:rsid w:val="006258CF"/>
    <w:rsid w:val="0062625D"/>
    <w:rsid w:val="00626DA5"/>
    <w:rsid w:val="00630B83"/>
    <w:rsid w:val="0063301D"/>
    <w:rsid w:val="006340D0"/>
    <w:rsid w:val="006356B0"/>
    <w:rsid w:val="0063617D"/>
    <w:rsid w:val="00643461"/>
    <w:rsid w:val="0064619E"/>
    <w:rsid w:val="00647247"/>
    <w:rsid w:val="00650C01"/>
    <w:rsid w:val="00650FD9"/>
    <w:rsid w:val="00651841"/>
    <w:rsid w:val="00651DC8"/>
    <w:rsid w:val="00652A79"/>
    <w:rsid w:val="006578DC"/>
    <w:rsid w:val="00657D36"/>
    <w:rsid w:val="00660FC8"/>
    <w:rsid w:val="0066415D"/>
    <w:rsid w:val="006654AB"/>
    <w:rsid w:val="00665D64"/>
    <w:rsid w:val="00666208"/>
    <w:rsid w:val="00670902"/>
    <w:rsid w:val="006721E2"/>
    <w:rsid w:val="00677767"/>
    <w:rsid w:val="00680E26"/>
    <w:rsid w:val="0068219A"/>
    <w:rsid w:val="00682392"/>
    <w:rsid w:val="006841B6"/>
    <w:rsid w:val="0068751C"/>
    <w:rsid w:val="00694B6B"/>
    <w:rsid w:val="00694D18"/>
    <w:rsid w:val="0069585B"/>
    <w:rsid w:val="00696241"/>
    <w:rsid w:val="006A3024"/>
    <w:rsid w:val="006A4D10"/>
    <w:rsid w:val="006A6F64"/>
    <w:rsid w:val="006B1694"/>
    <w:rsid w:val="006B180F"/>
    <w:rsid w:val="006C02A7"/>
    <w:rsid w:val="006C123C"/>
    <w:rsid w:val="006C1F9D"/>
    <w:rsid w:val="006C4436"/>
    <w:rsid w:val="006C50D2"/>
    <w:rsid w:val="006D3D88"/>
    <w:rsid w:val="006D4251"/>
    <w:rsid w:val="006D44E8"/>
    <w:rsid w:val="006D5F82"/>
    <w:rsid w:val="006E30F4"/>
    <w:rsid w:val="006E4AD9"/>
    <w:rsid w:val="006E50B2"/>
    <w:rsid w:val="006E5A64"/>
    <w:rsid w:val="006F15A7"/>
    <w:rsid w:val="006F2B5E"/>
    <w:rsid w:val="006F63C4"/>
    <w:rsid w:val="006F735C"/>
    <w:rsid w:val="006F7EFE"/>
    <w:rsid w:val="0070094A"/>
    <w:rsid w:val="00701564"/>
    <w:rsid w:val="0070402A"/>
    <w:rsid w:val="007046C3"/>
    <w:rsid w:val="00706D43"/>
    <w:rsid w:val="007072AE"/>
    <w:rsid w:val="00707E56"/>
    <w:rsid w:val="00713BAD"/>
    <w:rsid w:val="00716054"/>
    <w:rsid w:val="00716329"/>
    <w:rsid w:val="00720802"/>
    <w:rsid w:val="007223E0"/>
    <w:rsid w:val="00722B21"/>
    <w:rsid w:val="00723FD8"/>
    <w:rsid w:val="00726090"/>
    <w:rsid w:val="007320C5"/>
    <w:rsid w:val="00732E0D"/>
    <w:rsid w:val="0073387B"/>
    <w:rsid w:val="00734CE7"/>
    <w:rsid w:val="00737724"/>
    <w:rsid w:val="00742F70"/>
    <w:rsid w:val="00744552"/>
    <w:rsid w:val="0074652C"/>
    <w:rsid w:val="007505B6"/>
    <w:rsid w:val="00750D22"/>
    <w:rsid w:val="00754640"/>
    <w:rsid w:val="0075531B"/>
    <w:rsid w:val="007567C7"/>
    <w:rsid w:val="00756BBB"/>
    <w:rsid w:val="00756C15"/>
    <w:rsid w:val="00757B61"/>
    <w:rsid w:val="0076154D"/>
    <w:rsid w:val="00764C76"/>
    <w:rsid w:val="00765764"/>
    <w:rsid w:val="007678F8"/>
    <w:rsid w:val="0077209B"/>
    <w:rsid w:val="00772961"/>
    <w:rsid w:val="00782059"/>
    <w:rsid w:val="0078241F"/>
    <w:rsid w:val="00782698"/>
    <w:rsid w:val="00783A8B"/>
    <w:rsid w:val="00784F3A"/>
    <w:rsid w:val="00786116"/>
    <w:rsid w:val="0078785A"/>
    <w:rsid w:val="0079322C"/>
    <w:rsid w:val="00793290"/>
    <w:rsid w:val="007935A5"/>
    <w:rsid w:val="00793E6B"/>
    <w:rsid w:val="00793EFA"/>
    <w:rsid w:val="00796AB5"/>
    <w:rsid w:val="007A585B"/>
    <w:rsid w:val="007B0762"/>
    <w:rsid w:val="007B09B7"/>
    <w:rsid w:val="007B13F8"/>
    <w:rsid w:val="007B2017"/>
    <w:rsid w:val="007B397D"/>
    <w:rsid w:val="007B42A2"/>
    <w:rsid w:val="007B4D50"/>
    <w:rsid w:val="007C0F10"/>
    <w:rsid w:val="007C1642"/>
    <w:rsid w:val="007C1805"/>
    <w:rsid w:val="007C7BDC"/>
    <w:rsid w:val="007D0861"/>
    <w:rsid w:val="007D3D06"/>
    <w:rsid w:val="007D734F"/>
    <w:rsid w:val="007E010B"/>
    <w:rsid w:val="007E03C7"/>
    <w:rsid w:val="007E093B"/>
    <w:rsid w:val="007E366E"/>
    <w:rsid w:val="007E70B3"/>
    <w:rsid w:val="007F088E"/>
    <w:rsid w:val="007F1FD8"/>
    <w:rsid w:val="007F22E4"/>
    <w:rsid w:val="007F7554"/>
    <w:rsid w:val="00800BC4"/>
    <w:rsid w:val="00801B59"/>
    <w:rsid w:val="00802FC2"/>
    <w:rsid w:val="00804EB0"/>
    <w:rsid w:val="0080693E"/>
    <w:rsid w:val="00806C3E"/>
    <w:rsid w:val="0080742E"/>
    <w:rsid w:val="00814AFA"/>
    <w:rsid w:val="00815978"/>
    <w:rsid w:val="0082167C"/>
    <w:rsid w:val="00823821"/>
    <w:rsid w:val="00823F20"/>
    <w:rsid w:val="00833452"/>
    <w:rsid w:val="00834461"/>
    <w:rsid w:val="00836FC9"/>
    <w:rsid w:val="0083700A"/>
    <w:rsid w:val="0084024A"/>
    <w:rsid w:val="00842332"/>
    <w:rsid w:val="00842DDC"/>
    <w:rsid w:val="0084566B"/>
    <w:rsid w:val="008460FD"/>
    <w:rsid w:val="00847677"/>
    <w:rsid w:val="00852405"/>
    <w:rsid w:val="00855467"/>
    <w:rsid w:val="00857806"/>
    <w:rsid w:val="00864EA5"/>
    <w:rsid w:val="00866CD9"/>
    <w:rsid w:val="00870927"/>
    <w:rsid w:val="00871067"/>
    <w:rsid w:val="0087222D"/>
    <w:rsid w:val="0087330B"/>
    <w:rsid w:val="00873437"/>
    <w:rsid w:val="008742E6"/>
    <w:rsid w:val="00874C91"/>
    <w:rsid w:val="00880C76"/>
    <w:rsid w:val="0088136F"/>
    <w:rsid w:val="00881CDD"/>
    <w:rsid w:val="00883595"/>
    <w:rsid w:val="008840A0"/>
    <w:rsid w:val="00884664"/>
    <w:rsid w:val="00885BC5"/>
    <w:rsid w:val="008914EE"/>
    <w:rsid w:val="008917A6"/>
    <w:rsid w:val="008918E5"/>
    <w:rsid w:val="00893634"/>
    <w:rsid w:val="00893768"/>
    <w:rsid w:val="008954D2"/>
    <w:rsid w:val="008972F9"/>
    <w:rsid w:val="00897DB6"/>
    <w:rsid w:val="008A41DA"/>
    <w:rsid w:val="008A4CE9"/>
    <w:rsid w:val="008B2D4A"/>
    <w:rsid w:val="008B6650"/>
    <w:rsid w:val="008B79B7"/>
    <w:rsid w:val="008C3428"/>
    <w:rsid w:val="008D257A"/>
    <w:rsid w:val="008D3F3C"/>
    <w:rsid w:val="008D4B20"/>
    <w:rsid w:val="008D56B4"/>
    <w:rsid w:val="008E2694"/>
    <w:rsid w:val="008E4D3D"/>
    <w:rsid w:val="008E54D0"/>
    <w:rsid w:val="008E614B"/>
    <w:rsid w:val="008E66EF"/>
    <w:rsid w:val="008F7052"/>
    <w:rsid w:val="008F7201"/>
    <w:rsid w:val="00901740"/>
    <w:rsid w:val="00904793"/>
    <w:rsid w:val="00904A50"/>
    <w:rsid w:val="0090540B"/>
    <w:rsid w:val="0091287E"/>
    <w:rsid w:val="00912C41"/>
    <w:rsid w:val="00913349"/>
    <w:rsid w:val="00914CB5"/>
    <w:rsid w:val="00915B33"/>
    <w:rsid w:val="00916EC5"/>
    <w:rsid w:val="009210D8"/>
    <w:rsid w:val="00922C11"/>
    <w:rsid w:val="00924472"/>
    <w:rsid w:val="00925AC7"/>
    <w:rsid w:val="00925D04"/>
    <w:rsid w:val="009263C3"/>
    <w:rsid w:val="00930642"/>
    <w:rsid w:val="00933E4B"/>
    <w:rsid w:val="00935E73"/>
    <w:rsid w:val="00937591"/>
    <w:rsid w:val="00940731"/>
    <w:rsid w:val="009468C0"/>
    <w:rsid w:val="00952F65"/>
    <w:rsid w:val="00954952"/>
    <w:rsid w:val="009554E2"/>
    <w:rsid w:val="0096098E"/>
    <w:rsid w:val="00962E5F"/>
    <w:rsid w:val="009630CF"/>
    <w:rsid w:val="009632EE"/>
    <w:rsid w:val="00967876"/>
    <w:rsid w:val="00967DA3"/>
    <w:rsid w:val="00971FEC"/>
    <w:rsid w:val="00973C24"/>
    <w:rsid w:val="00974CF1"/>
    <w:rsid w:val="00975DE0"/>
    <w:rsid w:val="009772BD"/>
    <w:rsid w:val="0097760F"/>
    <w:rsid w:val="0097774B"/>
    <w:rsid w:val="00982285"/>
    <w:rsid w:val="0098746C"/>
    <w:rsid w:val="0099346B"/>
    <w:rsid w:val="00993768"/>
    <w:rsid w:val="009940CC"/>
    <w:rsid w:val="0099478E"/>
    <w:rsid w:val="00994866"/>
    <w:rsid w:val="00994C8E"/>
    <w:rsid w:val="009950DA"/>
    <w:rsid w:val="009957C5"/>
    <w:rsid w:val="00997A6A"/>
    <w:rsid w:val="009A06A2"/>
    <w:rsid w:val="009A1857"/>
    <w:rsid w:val="009A1EFB"/>
    <w:rsid w:val="009A4F3F"/>
    <w:rsid w:val="009A61E8"/>
    <w:rsid w:val="009A6B78"/>
    <w:rsid w:val="009B104E"/>
    <w:rsid w:val="009B163F"/>
    <w:rsid w:val="009B6437"/>
    <w:rsid w:val="009B7501"/>
    <w:rsid w:val="009B7D55"/>
    <w:rsid w:val="009C05E8"/>
    <w:rsid w:val="009C2AA9"/>
    <w:rsid w:val="009C5080"/>
    <w:rsid w:val="009C5D38"/>
    <w:rsid w:val="009D236F"/>
    <w:rsid w:val="009D2C70"/>
    <w:rsid w:val="009D35BA"/>
    <w:rsid w:val="009D4700"/>
    <w:rsid w:val="009D7929"/>
    <w:rsid w:val="009E01AC"/>
    <w:rsid w:val="009E020B"/>
    <w:rsid w:val="009E24F8"/>
    <w:rsid w:val="009E32EF"/>
    <w:rsid w:val="009F0AF0"/>
    <w:rsid w:val="009F3C41"/>
    <w:rsid w:val="009F462D"/>
    <w:rsid w:val="00A00E61"/>
    <w:rsid w:val="00A01030"/>
    <w:rsid w:val="00A01E02"/>
    <w:rsid w:val="00A07274"/>
    <w:rsid w:val="00A07DF4"/>
    <w:rsid w:val="00A118E0"/>
    <w:rsid w:val="00A13DB1"/>
    <w:rsid w:val="00A1569B"/>
    <w:rsid w:val="00A17D4C"/>
    <w:rsid w:val="00A2027E"/>
    <w:rsid w:val="00A241A9"/>
    <w:rsid w:val="00A249E3"/>
    <w:rsid w:val="00A262FB"/>
    <w:rsid w:val="00A263FF"/>
    <w:rsid w:val="00A33BAF"/>
    <w:rsid w:val="00A36C20"/>
    <w:rsid w:val="00A41E35"/>
    <w:rsid w:val="00A46C3C"/>
    <w:rsid w:val="00A518B6"/>
    <w:rsid w:val="00A51AB2"/>
    <w:rsid w:val="00A51BF2"/>
    <w:rsid w:val="00A54B5C"/>
    <w:rsid w:val="00A565C7"/>
    <w:rsid w:val="00A57762"/>
    <w:rsid w:val="00A653BC"/>
    <w:rsid w:val="00A71D5C"/>
    <w:rsid w:val="00A73D7C"/>
    <w:rsid w:val="00A75C88"/>
    <w:rsid w:val="00A76BFC"/>
    <w:rsid w:val="00A77334"/>
    <w:rsid w:val="00A8092C"/>
    <w:rsid w:val="00A865C8"/>
    <w:rsid w:val="00A869B7"/>
    <w:rsid w:val="00A8755B"/>
    <w:rsid w:val="00A93312"/>
    <w:rsid w:val="00A9353C"/>
    <w:rsid w:val="00A96055"/>
    <w:rsid w:val="00A96C8B"/>
    <w:rsid w:val="00AA73F1"/>
    <w:rsid w:val="00AA79AC"/>
    <w:rsid w:val="00AB0029"/>
    <w:rsid w:val="00AB480C"/>
    <w:rsid w:val="00AC0DDC"/>
    <w:rsid w:val="00AC46CB"/>
    <w:rsid w:val="00AC4832"/>
    <w:rsid w:val="00AD29E4"/>
    <w:rsid w:val="00AD6AFC"/>
    <w:rsid w:val="00AE2D70"/>
    <w:rsid w:val="00AE4B9B"/>
    <w:rsid w:val="00AE5B53"/>
    <w:rsid w:val="00AE64F5"/>
    <w:rsid w:val="00AF0261"/>
    <w:rsid w:val="00AF06F1"/>
    <w:rsid w:val="00AF2402"/>
    <w:rsid w:val="00AF4CF4"/>
    <w:rsid w:val="00B042C6"/>
    <w:rsid w:val="00B06811"/>
    <w:rsid w:val="00B1228F"/>
    <w:rsid w:val="00B21A76"/>
    <w:rsid w:val="00B21C7B"/>
    <w:rsid w:val="00B2348D"/>
    <w:rsid w:val="00B27292"/>
    <w:rsid w:val="00B3106E"/>
    <w:rsid w:val="00B315A4"/>
    <w:rsid w:val="00B335D3"/>
    <w:rsid w:val="00B34AF5"/>
    <w:rsid w:val="00B34BAF"/>
    <w:rsid w:val="00B44338"/>
    <w:rsid w:val="00B475B2"/>
    <w:rsid w:val="00B47C35"/>
    <w:rsid w:val="00B47F86"/>
    <w:rsid w:val="00B50436"/>
    <w:rsid w:val="00B50524"/>
    <w:rsid w:val="00B51FD4"/>
    <w:rsid w:val="00B545F2"/>
    <w:rsid w:val="00B55F60"/>
    <w:rsid w:val="00B614D9"/>
    <w:rsid w:val="00B6311E"/>
    <w:rsid w:val="00B631AE"/>
    <w:rsid w:val="00B63F3A"/>
    <w:rsid w:val="00B64CE6"/>
    <w:rsid w:val="00B71470"/>
    <w:rsid w:val="00B727C2"/>
    <w:rsid w:val="00B73630"/>
    <w:rsid w:val="00B75DBB"/>
    <w:rsid w:val="00B762F3"/>
    <w:rsid w:val="00B77569"/>
    <w:rsid w:val="00B80959"/>
    <w:rsid w:val="00B8167F"/>
    <w:rsid w:val="00B91A9D"/>
    <w:rsid w:val="00B942AF"/>
    <w:rsid w:val="00B94AEC"/>
    <w:rsid w:val="00BA05C3"/>
    <w:rsid w:val="00BA0E5D"/>
    <w:rsid w:val="00BA30E4"/>
    <w:rsid w:val="00BA36FE"/>
    <w:rsid w:val="00BA3A1B"/>
    <w:rsid w:val="00BA58FF"/>
    <w:rsid w:val="00BA5E3B"/>
    <w:rsid w:val="00BA7E80"/>
    <w:rsid w:val="00BB1C37"/>
    <w:rsid w:val="00BB21AA"/>
    <w:rsid w:val="00BB3333"/>
    <w:rsid w:val="00BB6E01"/>
    <w:rsid w:val="00BC0095"/>
    <w:rsid w:val="00BC1E6A"/>
    <w:rsid w:val="00BC354C"/>
    <w:rsid w:val="00BC46A3"/>
    <w:rsid w:val="00BC57D1"/>
    <w:rsid w:val="00BC73D7"/>
    <w:rsid w:val="00BD15EA"/>
    <w:rsid w:val="00BD52BD"/>
    <w:rsid w:val="00BD6D1F"/>
    <w:rsid w:val="00BD7FB5"/>
    <w:rsid w:val="00BE2DBE"/>
    <w:rsid w:val="00BE3F89"/>
    <w:rsid w:val="00BE7889"/>
    <w:rsid w:val="00BF61D3"/>
    <w:rsid w:val="00C0573E"/>
    <w:rsid w:val="00C06B39"/>
    <w:rsid w:val="00C12563"/>
    <w:rsid w:val="00C13BD9"/>
    <w:rsid w:val="00C15C42"/>
    <w:rsid w:val="00C21A33"/>
    <w:rsid w:val="00C21D35"/>
    <w:rsid w:val="00C3556D"/>
    <w:rsid w:val="00C35ADE"/>
    <w:rsid w:val="00C3731F"/>
    <w:rsid w:val="00C40119"/>
    <w:rsid w:val="00C408D5"/>
    <w:rsid w:val="00C40AFB"/>
    <w:rsid w:val="00C40E3E"/>
    <w:rsid w:val="00C44DB5"/>
    <w:rsid w:val="00C45B50"/>
    <w:rsid w:val="00C47B6D"/>
    <w:rsid w:val="00C53A1A"/>
    <w:rsid w:val="00C55276"/>
    <w:rsid w:val="00C610DC"/>
    <w:rsid w:val="00C612BA"/>
    <w:rsid w:val="00C63A58"/>
    <w:rsid w:val="00C653E0"/>
    <w:rsid w:val="00C8062A"/>
    <w:rsid w:val="00C81081"/>
    <w:rsid w:val="00C8380B"/>
    <w:rsid w:val="00C83C6A"/>
    <w:rsid w:val="00C83ECF"/>
    <w:rsid w:val="00C843EF"/>
    <w:rsid w:val="00C85F94"/>
    <w:rsid w:val="00C862CE"/>
    <w:rsid w:val="00C90D7B"/>
    <w:rsid w:val="00C90E0F"/>
    <w:rsid w:val="00C90FC7"/>
    <w:rsid w:val="00C94966"/>
    <w:rsid w:val="00C95DD2"/>
    <w:rsid w:val="00C96512"/>
    <w:rsid w:val="00C97BB5"/>
    <w:rsid w:val="00CA1696"/>
    <w:rsid w:val="00CA5E10"/>
    <w:rsid w:val="00CB147A"/>
    <w:rsid w:val="00CB267C"/>
    <w:rsid w:val="00CB4613"/>
    <w:rsid w:val="00CB6EE6"/>
    <w:rsid w:val="00CC134F"/>
    <w:rsid w:val="00CC3C0C"/>
    <w:rsid w:val="00CD0BD2"/>
    <w:rsid w:val="00CD4559"/>
    <w:rsid w:val="00CD4E3D"/>
    <w:rsid w:val="00CD65C0"/>
    <w:rsid w:val="00CE11BB"/>
    <w:rsid w:val="00CE39CF"/>
    <w:rsid w:val="00CE3CD0"/>
    <w:rsid w:val="00CE74C0"/>
    <w:rsid w:val="00CF0057"/>
    <w:rsid w:val="00CF0D2B"/>
    <w:rsid w:val="00CF0D33"/>
    <w:rsid w:val="00CF1290"/>
    <w:rsid w:val="00CF23AA"/>
    <w:rsid w:val="00CF2FFA"/>
    <w:rsid w:val="00CF6638"/>
    <w:rsid w:val="00CF6CE8"/>
    <w:rsid w:val="00D015A4"/>
    <w:rsid w:val="00D07069"/>
    <w:rsid w:val="00D117F1"/>
    <w:rsid w:val="00D13B26"/>
    <w:rsid w:val="00D14CA9"/>
    <w:rsid w:val="00D16D56"/>
    <w:rsid w:val="00D179C5"/>
    <w:rsid w:val="00D17A22"/>
    <w:rsid w:val="00D2035E"/>
    <w:rsid w:val="00D21565"/>
    <w:rsid w:val="00D22B39"/>
    <w:rsid w:val="00D24B8B"/>
    <w:rsid w:val="00D24E97"/>
    <w:rsid w:val="00D26610"/>
    <w:rsid w:val="00D269E6"/>
    <w:rsid w:val="00D276BE"/>
    <w:rsid w:val="00D331B7"/>
    <w:rsid w:val="00D34E29"/>
    <w:rsid w:val="00D368C8"/>
    <w:rsid w:val="00D36F01"/>
    <w:rsid w:val="00D42DE6"/>
    <w:rsid w:val="00D460FC"/>
    <w:rsid w:val="00D46AA6"/>
    <w:rsid w:val="00D46BF5"/>
    <w:rsid w:val="00D46D38"/>
    <w:rsid w:val="00D504AA"/>
    <w:rsid w:val="00D527C1"/>
    <w:rsid w:val="00D5360B"/>
    <w:rsid w:val="00D5379A"/>
    <w:rsid w:val="00D54DBC"/>
    <w:rsid w:val="00D55195"/>
    <w:rsid w:val="00D56DDD"/>
    <w:rsid w:val="00D5712C"/>
    <w:rsid w:val="00D61714"/>
    <w:rsid w:val="00D62F2F"/>
    <w:rsid w:val="00D64DFE"/>
    <w:rsid w:val="00D655AD"/>
    <w:rsid w:val="00D659ED"/>
    <w:rsid w:val="00D65F12"/>
    <w:rsid w:val="00D67F7F"/>
    <w:rsid w:val="00D70B9D"/>
    <w:rsid w:val="00D71513"/>
    <w:rsid w:val="00D75AF2"/>
    <w:rsid w:val="00D7614C"/>
    <w:rsid w:val="00D829A1"/>
    <w:rsid w:val="00D84DBA"/>
    <w:rsid w:val="00D85566"/>
    <w:rsid w:val="00D858AF"/>
    <w:rsid w:val="00D90A02"/>
    <w:rsid w:val="00DA0D20"/>
    <w:rsid w:val="00DA5106"/>
    <w:rsid w:val="00DA5565"/>
    <w:rsid w:val="00DB06AE"/>
    <w:rsid w:val="00DB141B"/>
    <w:rsid w:val="00DB23D0"/>
    <w:rsid w:val="00DB4B20"/>
    <w:rsid w:val="00DB5F16"/>
    <w:rsid w:val="00DB64EA"/>
    <w:rsid w:val="00DC0B09"/>
    <w:rsid w:val="00DC1E17"/>
    <w:rsid w:val="00DC2A2E"/>
    <w:rsid w:val="00DC444F"/>
    <w:rsid w:val="00DC6E52"/>
    <w:rsid w:val="00DD293F"/>
    <w:rsid w:val="00DD391E"/>
    <w:rsid w:val="00DD743A"/>
    <w:rsid w:val="00DE027F"/>
    <w:rsid w:val="00DE29F0"/>
    <w:rsid w:val="00DE339F"/>
    <w:rsid w:val="00DE6394"/>
    <w:rsid w:val="00DF0365"/>
    <w:rsid w:val="00DF1001"/>
    <w:rsid w:val="00DF10E5"/>
    <w:rsid w:val="00DF20A9"/>
    <w:rsid w:val="00DF360F"/>
    <w:rsid w:val="00DF59F7"/>
    <w:rsid w:val="00DF62CA"/>
    <w:rsid w:val="00DF6976"/>
    <w:rsid w:val="00E0192E"/>
    <w:rsid w:val="00E07235"/>
    <w:rsid w:val="00E074C1"/>
    <w:rsid w:val="00E12E54"/>
    <w:rsid w:val="00E12F7C"/>
    <w:rsid w:val="00E13B2C"/>
    <w:rsid w:val="00E17A89"/>
    <w:rsid w:val="00E26455"/>
    <w:rsid w:val="00E312AD"/>
    <w:rsid w:val="00E316EC"/>
    <w:rsid w:val="00E32D00"/>
    <w:rsid w:val="00E33C9F"/>
    <w:rsid w:val="00E352D0"/>
    <w:rsid w:val="00E354EB"/>
    <w:rsid w:val="00E35942"/>
    <w:rsid w:val="00E364C0"/>
    <w:rsid w:val="00E37EFB"/>
    <w:rsid w:val="00E41FFE"/>
    <w:rsid w:val="00E4239D"/>
    <w:rsid w:val="00E42A2A"/>
    <w:rsid w:val="00E431C3"/>
    <w:rsid w:val="00E4526F"/>
    <w:rsid w:val="00E455B3"/>
    <w:rsid w:val="00E500D9"/>
    <w:rsid w:val="00E82924"/>
    <w:rsid w:val="00E91554"/>
    <w:rsid w:val="00E92AB7"/>
    <w:rsid w:val="00E9350E"/>
    <w:rsid w:val="00E9402C"/>
    <w:rsid w:val="00E94E99"/>
    <w:rsid w:val="00E979AB"/>
    <w:rsid w:val="00EA66BE"/>
    <w:rsid w:val="00EA6A34"/>
    <w:rsid w:val="00EB1C94"/>
    <w:rsid w:val="00EB25C5"/>
    <w:rsid w:val="00EB5E5E"/>
    <w:rsid w:val="00EB767F"/>
    <w:rsid w:val="00EC08B3"/>
    <w:rsid w:val="00EC39BC"/>
    <w:rsid w:val="00EC758E"/>
    <w:rsid w:val="00ED41F6"/>
    <w:rsid w:val="00ED5AA7"/>
    <w:rsid w:val="00ED5DC3"/>
    <w:rsid w:val="00EE140B"/>
    <w:rsid w:val="00EE2325"/>
    <w:rsid w:val="00EE325D"/>
    <w:rsid w:val="00EE47F5"/>
    <w:rsid w:val="00EE4B25"/>
    <w:rsid w:val="00EE5537"/>
    <w:rsid w:val="00EF03C2"/>
    <w:rsid w:val="00EF4CE7"/>
    <w:rsid w:val="00EF4F95"/>
    <w:rsid w:val="00F0052D"/>
    <w:rsid w:val="00F008CE"/>
    <w:rsid w:val="00F03EDB"/>
    <w:rsid w:val="00F07DEF"/>
    <w:rsid w:val="00F113C0"/>
    <w:rsid w:val="00F15715"/>
    <w:rsid w:val="00F16A68"/>
    <w:rsid w:val="00F17265"/>
    <w:rsid w:val="00F26B7A"/>
    <w:rsid w:val="00F34A16"/>
    <w:rsid w:val="00F3527D"/>
    <w:rsid w:val="00F353A8"/>
    <w:rsid w:val="00F36158"/>
    <w:rsid w:val="00F36D18"/>
    <w:rsid w:val="00F37250"/>
    <w:rsid w:val="00F372C2"/>
    <w:rsid w:val="00F4061C"/>
    <w:rsid w:val="00F40D96"/>
    <w:rsid w:val="00F4262E"/>
    <w:rsid w:val="00F43431"/>
    <w:rsid w:val="00F4595D"/>
    <w:rsid w:val="00F45F7B"/>
    <w:rsid w:val="00F50BAC"/>
    <w:rsid w:val="00F519E8"/>
    <w:rsid w:val="00F51F31"/>
    <w:rsid w:val="00F53B13"/>
    <w:rsid w:val="00F54517"/>
    <w:rsid w:val="00F60619"/>
    <w:rsid w:val="00F60982"/>
    <w:rsid w:val="00F62ABD"/>
    <w:rsid w:val="00F638A3"/>
    <w:rsid w:val="00F65045"/>
    <w:rsid w:val="00F65419"/>
    <w:rsid w:val="00F668E6"/>
    <w:rsid w:val="00F675EE"/>
    <w:rsid w:val="00F71F22"/>
    <w:rsid w:val="00F71FB6"/>
    <w:rsid w:val="00F723D3"/>
    <w:rsid w:val="00F76EAB"/>
    <w:rsid w:val="00F80C82"/>
    <w:rsid w:val="00F816D0"/>
    <w:rsid w:val="00F84623"/>
    <w:rsid w:val="00F84964"/>
    <w:rsid w:val="00F85E60"/>
    <w:rsid w:val="00F866AE"/>
    <w:rsid w:val="00F86929"/>
    <w:rsid w:val="00F87F53"/>
    <w:rsid w:val="00F922E6"/>
    <w:rsid w:val="00F92AC0"/>
    <w:rsid w:val="00F92DC8"/>
    <w:rsid w:val="00F93596"/>
    <w:rsid w:val="00F94815"/>
    <w:rsid w:val="00F95230"/>
    <w:rsid w:val="00F967C5"/>
    <w:rsid w:val="00F97B1D"/>
    <w:rsid w:val="00FA2A0F"/>
    <w:rsid w:val="00FA3EB2"/>
    <w:rsid w:val="00FB0C52"/>
    <w:rsid w:val="00FB10C3"/>
    <w:rsid w:val="00FB5C55"/>
    <w:rsid w:val="00FB62DB"/>
    <w:rsid w:val="00FC08D4"/>
    <w:rsid w:val="00FC2396"/>
    <w:rsid w:val="00FC4F54"/>
    <w:rsid w:val="00FC5B83"/>
    <w:rsid w:val="00FC5E82"/>
    <w:rsid w:val="00FD0D95"/>
    <w:rsid w:val="00FD33D5"/>
    <w:rsid w:val="00FD73DE"/>
    <w:rsid w:val="00FE009B"/>
    <w:rsid w:val="00FE215C"/>
    <w:rsid w:val="00FE22F0"/>
    <w:rsid w:val="00FE67F4"/>
    <w:rsid w:val="00FE7B0C"/>
    <w:rsid w:val="00FF3441"/>
    <w:rsid w:val="00FF546C"/>
    <w:rsid w:val="00FF5DE9"/>
    <w:rsid w:val="01188F76"/>
    <w:rsid w:val="01F6526B"/>
    <w:rsid w:val="02B509A0"/>
    <w:rsid w:val="05D3F0AB"/>
    <w:rsid w:val="0686CB38"/>
    <w:rsid w:val="07EDF69A"/>
    <w:rsid w:val="0B27AF33"/>
    <w:rsid w:val="104B7524"/>
    <w:rsid w:val="159D0071"/>
    <w:rsid w:val="18584A89"/>
    <w:rsid w:val="188D6236"/>
    <w:rsid w:val="18B64503"/>
    <w:rsid w:val="19F749DF"/>
    <w:rsid w:val="1A95C58F"/>
    <w:rsid w:val="1A9EF9D4"/>
    <w:rsid w:val="1C50AF54"/>
    <w:rsid w:val="1CF30829"/>
    <w:rsid w:val="1F1B0456"/>
    <w:rsid w:val="1FE15FC2"/>
    <w:rsid w:val="2012A166"/>
    <w:rsid w:val="2043D148"/>
    <w:rsid w:val="22D17EFF"/>
    <w:rsid w:val="23498AF9"/>
    <w:rsid w:val="24043CB8"/>
    <w:rsid w:val="258B1EE7"/>
    <w:rsid w:val="27E1875B"/>
    <w:rsid w:val="280EBBE6"/>
    <w:rsid w:val="28DF7E73"/>
    <w:rsid w:val="2994E608"/>
    <w:rsid w:val="29BAAB0B"/>
    <w:rsid w:val="2BFB8197"/>
    <w:rsid w:val="2C2A5345"/>
    <w:rsid w:val="2C611E85"/>
    <w:rsid w:val="2DBD324A"/>
    <w:rsid w:val="2E3BBE2C"/>
    <w:rsid w:val="2E75ACE2"/>
    <w:rsid w:val="2F6D58B0"/>
    <w:rsid w:val="32C8E934"/>
    <w:rsid w:val="33259F31"/>
    <w:rsid w:val="3516F218"/>
    <w:rsid w:val="356B8E5B"/>
    <w:rsid w:val="37267B66"/>
    <w:rsid w:val="3A4EBC6B"/>
    <w:rsid w:val="3B622284"/>
    <w:rsid w:val="3C227D0F"/>
    <w:rsid w:val="3C353085"/>
    <w:rsid w:val="3C40C94B"/>
    <w:rsid w:val="3C77424F"/>
    <w:rsid w:val="3CFCA75F"/>
    <w:rsid w:val="3D273D43"/>
    <w:rsid w:val="3D9BB137"/>
    <w:rsid w:val="3F459797"/>
    <w:rsid w:val="40671D14"/>
    <w:rsid w:val="41CC8DB4"/>
    <w:rsid w:val="41FAAE66"/>
    <w:rsid w:val="43748E6D"/>
    <w:rsid w:val="44F6AA36"/>
    <w:rsid w:val="4AE7FACB"/>
    <w:rsid w:val="4B67C28C"/>
    <w:rsid w:val="4BA70C3E"/>
    <w:rsid w:val="4BC4DB3B"/>
    <w:rsid w:val="4BD0A143"/>
    <w:rsid w:val="4E9E4CC5"/>
    <w:rsid w:val="4EBF2E9A"/>
    <w:rsid w:val="4F2B8173"/>
    <w:rsid w:val="4F68E0F6"/>
    <w:rsid w:val="56C595D4"/>
    <w:rsid w:val="56E47978"/>
    <w:rsid w:val="58BEE4B7"/>
    <w:rsid w:val="5940AB76"/>
    <w:rsid w:val="5CE06176"/>
    <w:rsid w:val="5D38878D"/>
    <w:rsid w:val="61892FE4"/>
    <w:rsid w:val="618C5FA7"/>
    <w:rsid w:val="62139AD9"/>
    <w:rsid w:val="62405AC5"/>
    <w:rsid w:val="6247FAAF"/>
    <w:rsid w:val="64AD7708"/>
    <w:rsid w:val="677814B6"/>
    <w:rsid w:val="67BB67FF"/>
    <w:rsid w:val="6913EA63"/>
    <w:rsid w:val="6AC0D2CD"/>
    <w:rsid w:val="6B6AEFFE"/>
    <w:rsid w:val="6BABA028"/>
    <w:rsid w:val="6CDF637C"/>
    <w:rsid w:val="6E532225"/>
    <w:rsid w:val="6EB1D0BE"/>
    <w:rsid w:val="6FDF3D3A"/>
    <w:rsid w:val="709CA8F1"/>
    <w:rsid w:val="74294659"/>
    <w:rsid w:val="77727056"/>
    <w:rsid w:val="780E2F79"/>
    <w:rsid w:val="782AA301"/>
    <w:rsid w:val="7863B173"/>
    <w:rsid w:val="7A79AC7F"/>
    <w:rsid w:val="7B8B98A4"/>
    <w:rsid w:val="7C015F58"/>
    <w:rsid w:val="7C4D3E64"/>
    <w:rsid w:val="7C662494"/>
    <w:rsid w:val="7C6B547E"/>
    <w:rsid w:val="7CB28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3051A5D9"/>
  <w15:docId w15:val="{D20E4ED7-5636-4D82-B0DB-4E6DD8E7B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3443AA"/>
    <w:pPr>
      <w:numPr>
        <w:numId w:val="1"/>
      </w:numPr>
      <w:contextualSpacing/>
    </w:pPr>
  </w:style>
  <w:style w:type="paragraph" w:styleId="ListBullet2">
    <w:name w:val="List Bullet 2"/>
    <w:basedOn w:val="Normal"/>
    <w:uiPriority w:val="99"/>
    <w:semiHidden/>
    <w:unhideWhenUsed/>
    <w:rsid w:val="003443AA"/>
    <w:pPr>
      <w:numPr>
        <w:numId w:val="2"/>
      </w:numPr>
      <w:contextualSpacing/>
    </w:pPr>
  </w:style>
  <w:style w:type="paragraph" w:styleId="ListBullet3">
    <w:name w:val="List Bullet 3"/>
    <w:basedOn w:val="Normal"/>
    <w:uiPriority w:val="99"/>
    <w:semiHidden/>
    <w:unhideWhenUsed/>
    <w:rsid w:val="003443AA"/>
    <w:pPr>
      <w:numPr>
        <w:numId w:val="3"/>
      </w:numPr>
      <w:contextualSpacing/>
    </w:pPr>
  </w:style>
  <w:style w:type="paragraph" w:styleId="ListBullet4">
    <w:name w:val="List Bullet 4"/>
    <w:basedOn w:val="Normal"/>
    <w:uiPriority w:val="99"/>
    <w:semiHidden/>
    <w:unhideWhenUsed/>
    <w:rsid w:val="003443AA"/>
    <w:pPr>
      <w:numPr>
        <w:numId w:val="4"/>
      </w:numPr>
      <w:contextualSpacing/>
    </w:pPr>
  </w:style>
  <w:style w:type="character" w:styleId="CommentReference">
    <w:name w:val="annotation reference"/>
    <w:basedOn w:val="DefaultParagraphFont"/>
    <w:uiPriority w:val="99"/>
    <w:unhideWhenUsed/>
    <w:qFormat/>
    <w:rsid w:val="00FF3441"/>
    <w:rPr>
      <w:sz w:val="16"/>
      <w:szCs w:val="16"/>
    </w:rPr>
  </w:style>
  <w:style w:type="paragraph" w:styleId="CommentText">
    <w:name w:val="annotation text"/>
    <w:aliases w:val="Char2"/>
    <w:basedOn w:val="Normal"/>
    <w:link w:val="CommentTextChar"/>
    <w:uiPriority w:val="99"/>
    <w:unhideWhenUsed/>
    <w:rsid w:val="00FF3441"/>
    <w:rPr>
      <w:sz w:val="20"/>
      <w:szCs w:val="20"/>
    </w:rPr>
  </w:style>
  <w:style w:type="character" w:customStyle="1" w:styleId="CommentTextChar">
    <w:name w:val="Comment Text Char"/>
    <w:aliases w:val="Char2 Char"/>
    <w:basedOn w:val="DefaultParagraphFont"/>
    <w:link w:val="CommentText"/>
    <w:uiPriority w:val="99"/>
    <w:rsid w:val="00FF3441"/>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FF3441"/>
    <w:rPr>
      <w:b/>
      <w:bCs/>
    </w:rPr>
  </w:style>
  <w:style w:type="character" w:customStyle="1" w:styleId="CommentSubjectChar">
    <w:name w:val="Comment Subject Char"/>
    <w:basedOn w:val="CommentTextChar"/>
    <w:link w:val="CommentSubject"/>
    <w:uiPriority w:val="99"/>
    <w:semiHidden/>
    <w:rsid w:val="00FF3441"/>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FF344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441"/>
    <w:rPr>
      <w:rFonts w:ascii="Segoe UI" w:hAnsi="Segoe UI" w:cs="Segoe UI"/>
      <w:sz w:val="18"/>
      <w:szCs w:val="18"/>
      <w:lang w:val="ro-RO"/>
    </w:rPr>
  </w:style>
  <w:style w:type="paragraph" w:customStyle="1" w:styleId="norm">
    <w:name w:val="norm"/>
    <w:basedOn w:val="Normal"/>
    <w:rsid w:val="00FF3441"/>
    <w:pPr>
      <w:spacing w:before="100" w:beforeAutospacing="1" w:after="100" w:afterAutospacing="1"/>
      <w:jc w:val="left"/>
    </w:pPr>
    <w:rPr>
      <w:rFonts w:eastAsia="Times New Roman"/>
      <w:szCs w:val="24"/>
      <w:lang w:eastAsia="en-GB"/>
    </w:rPr>
  </w:style>
  <w:style w:type="character" w:styleId="Hyperlink">
    <w:name w:val="Hyperlink"/>
    <w:basedOn w:val="DefaultParagraphFont"/>
    <w:uiPriority w:val="99"/>
    <w:unhideWhenUsed/>
    <w:rsid w:val="00516344"/>
    <w:rPr>
      <w:color w:val="0000FF"/>
      <w:u w:val="single"/>
    </w:rPr>
  </w:style>
  <w:style w:type="character" w:customStyle="1" w:styleId="boldface">
    <w:name w:val="boldface"/>
    <w:basedOn w:val="DefaultParagraphFont"/>
    <w:rsid w:val="00516344"/>
  </w:style>
  <w:style w:type="paragraph" w:customStyle="1" w:styleId="title-article-norm">
    <w:name w:val="title-article-norm"/>
    <w:basedOn w:val="Normal"/>
    <w:rsid w:val="009B163F"/>
    <w:pPr>
      <w:spacing w:before="100" w:beforeAutospacing="1" w:after="100" w:afterAutospacing="1"/>
      <w:jc w:val="left"/>
    </w:pPr>
    <w:rPr>
      <w:rFonts w:eastAsia="Times New Roman"/>
      <w:szCs w:val="24"/>
      <w:lang w:eastAsia="en-GB"/>
    </w:rPr>
  </w:style>
  <w:style w:type="paragraph" w:customStyle="1" w:styleId="stitle-article-norm">
    <w:name w:val="stitle-article-norm"/>
    <w:basedOn w:val="Normal"/>
    <w:rsid w:val="009B163F"/>
    <w:pPr>
      <w:spacing w:before="100" w:beforeAutospacing="1" w:after="100" w:afterAutospacing="1"/>
      <w:jc w:val="left"/>
    </w:pPr>
    <w:rPr>
      <w:rFonts w:eastAsia="Times New Roman"/>
      <w:szCs w:val="24"/>
      <w:lang w:eastAsia="en-GB"/>
    </w:rPr>
  </w:style>
  <w:style w:type="paragraph" w:customStyle="1" w:styleId="li">
    <w:name w:val="li"/>
    <w:basedOn w:val="Normal"/>
    <w:rsid w:val="001A558F"/>
    <w:pPr>
      <w:spacing w:before="100" w:beforeAutospacing="1" w:after="100" w:afterAutospacing="1"/>
      <w:jc w:val="left"/>
    </w:pPr>
    <w:rPr>
      <w:rFonts w:eastAsia="Times New Roman"/>
      <w:szCs w:val="24"/>
      <w:lang w:eastAsia="en-GB"/>
    </w:rPr>
  </w:style>
  <w:style w:type="paragraph" w:styleId="BodyText">
    <w:name w:val="Body Text"/>
    <w:basedOn w:val="Normal"/>
    <w:link w:val="BodyTextChar"/>
    <w:uiPriority w:val="99"/>
    <w:unhideWhenUsed/>
    <w:qFormat/>
    <w:rsid w:val="00F353A8"/>
    <w:pPr>
      <w:spacing w:before="0"/>
    </w:pPr>
    <w:rPr>
      <w:rFonts w:ascii="Arial" w:hAnsi="Arial" w:cstheme="minorBidi"/>
      <w:kern w:val="18"/>
      <w:sz w:val="22"/>
    </w:rPr>
  </w:style>
  <w:style w:type="character" w:customStyle="1" w:styleId="BodyTextChar">
    <w:name w:val="Body Text Char"/>
    <w:basedOn w:val="DefaultParagraphFont"/>
    <w:link w:val="BodyText"/>
    <w:uiPriority w:val="99"/>
    <w:rsid w:val="00F353A8"/>
    <w:rPr>
      <w:rFonts w:ascii="Arial" w:hAnsi="Arial"/>
      <w:kern w:val="18"/>
      <w:lang w:val="ro-RO"/>
    </w:rPr>
  </w:style>
  <w:style w:type="paragraph" w:customStyle="1" w:styleId="StyleStyleBodyTextAfter0ptVerdana">
    <w:name w:val="Style Style Body Text + After:  0 pt + Verdana"/>
    <w:basedOn w:val="Normal"/>
    <w:link w:val="StyleStyleBodyTextAfter0ptVerdanaChar"/>
    <w:rsid w:val="001A0847"/>
    <w:pPr>
      <w:spacing w:after="0"/>
    </w:pPr>
    <w:rPr>
      <w:rFonts w:ascii="Verdana" w:eastAsia="Times New Roman" w:hAnsi="Verdana"/>
      <w:color w:val="333333"/>
      <w:kern w:val="18"/>
      <w:sz w:val="20"/>
      <w:szCs w:val="20"/>
      <w:lang w:eastAsia="en-GB"/>
    </w:rPr>
  </w:style>
  <w:style w:type="character" w:customStyle="1" w:styleId="StyleStyleBodyTextAfter0ptVerdanaChar">
    <w:name w:val="Style Style Body Text + After:  0 pt + Verdana Char"/>
    <w:basedOn w:val="DefaultParagraphFont"/>
    <w:link w:val="StyleStyleBodyTextAfter0ptVerdana"/>
    <w:rsid w:val="001A0847"/>
    <w:rPr>
      <w:rFonts w:ascii="Verdana" w:eastAsia="Times New Roman" w:hAnsi="Verdana" w:cs="Times New Roman"/>
      <w:color w:val="333333"/>
      <w:kern w:val="18"/>
      <w:sz w:val="20"/>
      <w:szCs w:val="20"/>
      <w:lang w:val="ro-RO" w:eastAsia="en-GB"/>
    </w:rPr>
  </w:style>
  <w:style w:type="paragraph" w:customStyle="1" w:styleId="oj-normal">
    <w:name w:val="oj-normal"/>
    <w:basedOn w:val="Normal"/>
    <w:rsid w:val="00B50436"/>
    <w:pPr>
      <w:spacing w:before="100" w:beforeAutospacing="1" w:after="100" w:afterAutospacing="1"/>
      <w:jc w:val="left"/>
    </w:pPr>
    <w:rPr>
      <w:rFonts w:eastAsia="Times New Roman"/>
      <w:szCs w:val="24"/>
      <w:lang w:eastAsia="en-GB"/>
    </w:rPr>
  </w:style>
  <w:style w:type="character" w:customStyle="1" w:styleId="normaltextrun">
    <w:name w:val="normaltextrun"/>
    <w:basedOn w:val="DefaultParagraphFont"/>
    <w:rsid w:val="00967876"/>
  </w:style>
  <w:style w:type="character" w:customStyle="1" w:styleId="no-parag">
    <w:name w:val="no-parag"/>
    <w:basedOn w:val="DefaultParagraphFont"/>
    <w:rsid w:val="00B50524"/>
  </w:style>
  <w:style w:type="paragraph" w:customStyle="1" w:styleId="ti-art">
    <w:name w:val="ti-art"/>
    <w:basedOn w:val="Normal"/>
    <w:rsid w:val="001A39B8"/>
    <w:pPr>
      <w:spacing w:before="100" w:beforeAutospacing="1" w:after="100" w:afterAutospacing="1"/>
      <w:jc w:val="left"/>
    </w:pPr>
    <w:rPr>
      <w:rFonts w:eastAsia="Times New Roman"/>
      <w:szCs w:val="24"/>
      <w:lang w:eastAsia="en-GB"/>
    </w:rPr>
  </w:style>
  <w:style w:type="paragraph" w:customStyle="1" w:styleId="Normal1">
    <w:name w:val="Normal1"/>
    <w:basedOn w:val="Normal"/>
    <w:rsid w:val="001A39B8"/>
    <w:pPr>
      <w:spacing w:before="100" w:beforeAutospacing="1" w:after="100" w:afterAutospacing="1"/>
      <w:jc w:val="left"/>
    </w:pPr>
    <w:rPr>
      <w:rFonts w:eastAsia="Times New Roman"/>
      <w:szCs w:val="24"/>
      <w:lang w:eastAsia="en-GB"/>
    </w:rPr>
  </w:style>
  <w:style w:type="paragraph" w:customStyle="1" w:styleId="titrearticle">
    <w:name w:val="titrearticle"/>
    <w:basedOn w:val="Normal"/>
    <w:rsid w:val="001A39B8"/>
    <w:pPr>
      <w:spacing w:before="100" w:beforeAutospacing="1" w:after="100" w:afterAutospacing="1"/>
      <w:jc w:val="left"/>
    </w:pPr>
    <w:rPr>
      <w:rFonts w:eastAsia="Times New Roman"/>
      <w:szCs w:val="24"/>
      <w:lang w:eastAsia="en-GB"/>
    </w:rPr>
  </w:style>
  <w:style w:type="character" w:customStyle="1" w:styleId="num">
    <w:name w:val="num"/>
    <w:basedOn w:val="DefaultParagraphFont"/>
    <w:rsid w:val="001A39B8"/>
  </w:style>
  <w:style w:type="paragraph" w:customStyle="1" w:styleId="text10">
    <w:name w:val="text1"/>
    <w:basedOn w:val="Normal"/>
    <w:rsid w:val="001A39B8"/>
    <w:pPr>
      <w:spacing w:before="100" w:beforeAutospacing="1" w:after="100" w:afterAutospacing="1"/>
      <w:jc w:val="left"/>
    </w:pPr>
    <w:rPr>
      <w:rFonts w:eastAsia="Times New Roman"/>
      <w:szCs w:val="24"/>
      <w:lang w:eastAsia="en-GB"/>
    </w:rPr>
  </w:style>
  <w:style w:type="character" w:styleId="FollowedHyperlink">
    <w:name w:val="FollowedHyperlink"/>
    <w:basedOn w:val="DefaultParagraphFont"/>
    <w:uiPriority w:val="99"/>
    <w:semiHidden/>
    <w:unhideWhenUsed/>
    <w:rsid w:val="00526F13"/>
    <w:rPr>
      <w:color w:val="800080"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B75DBB"/>
    <w:pPr>
      <w:spacing w:after="0" w:line="240" w:lineRule="auto"/>
    </w:pPr>
    <w:rPr>
      <w:rFonts w:ascii="Times New Roman" w:hAnsi="Times New Roman" w:cs="Times New Roman"/>
      <w:sz w:val="24"/>
    </w:rPr>
  </w:style>
  <w:style w:type="paragraph" w:styleId="ListParagraph">
    <w:name w:val="List Paragraph"/>
    <w:basedOn w:val="Normal"/>
    <w:uiPriority w:val="34"/>
    <w:qFormat/>
    <w:rsid w:val="00A249E3"/>
    <w:pPr>
      <w:ind w:left="720"/>
      <w:contextualSpacing/>
    </w:pPr>
  </w:style>
  <w:style w:type="paragraph" w:customStyle="1" w:styleId="Titrearticle0">
    <w:name w:val="Titre article"/>
    <w:basedOn w:val="Normal"/>
    <w:next w:val="Normal"/>
    <w:pPr>
      <w:keepNext/>
      <w:spacing w:before="360"/>
      <w:jc w:val="center"/>
    </w:pPr>
    <w:rPr>
      <w:i/>
    </w:rPr>
  </w:style>
  <w:style w:type="paragraph" w:styleId="Caption">
    <w:name w:val="caption"/>
    <w:basedOn w:val="Normal"/>
    <w:next w:val="Normal"/>
    <w:uiPriority w:val="35"/>
    <w:semiHidden/>
    <w:unhideWhenUsed/>
    <w:qFormat/>
    <w:rsid w:val="00D46D38"/>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46D38"/>
    <w:pPr>
      <w:spacing w:after="0"/>
    </w:pPr>
  </w:style>
  <w:style w:type="paragraph" w:styleId="ListNumber">
    <w:name w:val="List Number"/>
    <w:basedOn w:val="Normal"/>
    <w:uiPriority w:val="99"/>
    <w:semiHidden/>
    <w:unhideWhenUsed/>
    <w:rsid w:val="00D46D38"/>
    <w:pPr>
      <w:numPr>
        <w:numId w:val="6"/>
      </w:numPr>
      <w:contextualSpacing/>
    </w:pPr>
  </w:style>
  <w:style w:type="paragraph" w:styleId="ListNumber2">
    <w:name w:val="List Number 2"/>
    <w:basedOn w:val="Normal"/>
    <w:uiPriority w:val="99"/>
    <w:semiHidden/>
    <w:unhideWhenUsed/>
    <w:rsid w:val="00D46D38"/>
    <w:pPr>
      <w:numPr>
        <w:numId w:val="7"/>
      </w:numPr>
      <w:contextualSpacing/>
    </w:pPr>
  </w:style>
  <w:style w:type="paragraph" w:styleId="ListNumber3">
    <w:name w:val="List Number 3"/>
    <w:basedOn w:val="Normal"/>
    <w:uiPriority w:val="99"/>
    <w:semiHidden/>
    <w:unhideWhenUsed/>
    <w:rsid w:val="00D46D38"/>
    <w:pPr>
      <w:numPr>
        <w:numId w:val="8"/>
      </w:numPr>
      <w:contextualSpacing/>
    </w:pPr>
  </w:style>
  <w:style w:type="paragraph" w:styleId="ListNumber4">
    <w:name w:val="List Number 4"/>
    <w:basedOn w:val="Normal"/>
    <w:uiPriority w:val="99"/>
    <w:semiHidden/>
    <w:unhideWhenUsed/>
    <w:rsid w:val="00D46D38"/>
    <w:pPr>
      <w:numPr>
        <w:numId w:val="9"/>
      </w:numPr>
      <w:contextualSpacing/>
    </w:pPr>
  </w:style>
  <w:style w:type="paragraph" w:customStyle="1" w:styleId="Titrearticle00">
    <w:name w:val="Titre article0"/>
    <w:basedOn w:val="Normal"/>
    <w:next w:val="Normal"/>
    <w:pPr>
      <w:keepNext/>
      <w:spacing w:before="360"/>
      <w:jc w:val="center"/>
    </w:pPr>
    <w:rPr>
      <w:i/>
    </w:rPr>
  </w:style>
  <w:style w:type="paragraph" w:customStyle="1" w:styleId="Instiu">
    <w:name w:val="Instiu"/>
    <w:basedOn w:val="Institutionquiagit"/>
    <w:rsid w:val="00281421"/>
  </w:style>
  <w:style w:type="paragraph" w:customStyle="1" w:styleId="Titrearticle1">
    <w:name w:val="Titre article1"/>
    <w:basedOn w:val="Normal"/>
    <w:next w:val="Normal"/>
    <w:pPr>
      <w:keepNext/>
      <w:spacing w:before="360"/>
      <w:jc w:val="center"/>
    </w:pPr>
    <w:rPr>
      <w:i/>
    </w:rPr>
  </w:style>
  <w:style w:type="paragraph" w:customStyle="1" w:styleId="Titrearticle2">
    <w:name w:val="Titre article2"/>
    <w:basedOn w:val="Normal"/>
    <w:next w:val="Normal"/>
    <w:pPr>
      <w:keepNext/>
      <w:spacing w:before="360"/>
      <w:jc w:val="center"/>
    </w:pPr>
    <w:rPr>
      <w:i/>
    </w:rPr>
  </w:style>
  <w:style w:type="paragraph" w:customStyle="1" w:styleId="Titrearticle3">
    <w:name w:val="Titre article3"/>
    <w:basedOn w:val="Normal"/>
    <w:next w:val="Normal"/>
    <w:pPr>
      <w:keepNext/>
      <w:spacing w:before="360"/>
      <w:jc w:val="center"/>
    </w:pPr>
    <w:rPr>
      <w:i/>
    </w:rPr>
  </w:style>
  <w:style w:type="paragraph" w:customStyle="1" w:styleId="Titrearticle4">
    <w:name w:val="Titre article4"/>
    <w:basedOn w:val="Normal"/>
    <w:next w:val="Normal"/>
    <w:pPr>
      <w:keepNext/>
      <w:spacing w:before="360"/>
      <w:jc w:val="center"/>
    </w:pPr>
    <w:rPr>
      <w:i/>
    </w:rPr>
  </w:style>
  <w:style w:type="paragraph" w:customStyle="1" w:styleId="Titrearticle000">
    <w:name w:val="Titre article00"/>
    <w:basedOn w:val="Normal"/>
    <w:next w:val="Normal"/>
    <w:rsid w:val="00EE5537"/>
    <w:pPr>
      <w:keepNext/>
      <w:spacing w:before="360"/>
      <w:jc w:val="center"/>
    </w:pPr>
    <w:rPr>
      <w:i/>
    </w:rPr>
  </w:style>
  <w:style w:type="paragraph" w:customStyle="1" w:styleId="Titrearticle10">
    <w:name w:val="Titre article10"/>
    <w:basedOn w:val="Normal"/>
    <w:next w:val="Normal"/>
    <w:rsid w:val="00EE5537"/>
    <w:pPr>
      <w:keepNext/>
      <w:spacing w:before="360"/>
      <w:jc w:val="center"/>
    </w:pPr>
    <w:rPr>
      <w:i/>
    </w:rPr>
  </w:style>
  <w:style w:type="paragraph" w:customStyle="1" w:styleId="Titrearticle20">
    <w:name w:val="Titre article20"/>
    <w:basedOn w:val="Normal"/>
    <w:next w:val="Normal"/>
    <w:rsid w:val="00EE5537"/>
    <w:pPr>
      <w:keepNext/>
      <w:spacing w:before="360"/>
      <w:jc w:val="center"/>
    </w:pPr>
    <w:rPr>
      <w:i/>
    </w:rPr>
  </w:style>
  <w:style w:type="paragraph" w:customStyle="1" w:styleId="Titrearticle30">
    <w:name w:val="Titre article30"/>
    <w:basedOn w:val="Normal"/>
    <w:next w:val="Normal"/>
    <w:rsid w:val="00EE5537"/>
    <w:pPr>
      <w:keepNext/>
      <w:spacing w:before="360"/>
      <w:jc w:val="center"/>
    </w:pPr>
    <w:rPr>
      <w:i/>
    </w:rPr>
  </w:style>
  <w:style w:type="paragraph" w:customStyle="1" w:styleId="Titrearticle40">
    <w:name w:val="Titre article40"/>
    <w:basedOn w:val="Normal"/>
    <w:next w:val="Normal"/>
    <w:rsid w:val="00EE5537"/>
    <w:pPr>
      <w:keepNext/>
      <w:spacing w:before="360"/>
      <w:jc w:val="center"/>
    </w:pPr>
    <w:rPr>
      <w:i/>
    </w:rPr>
  </w:style>
  <w:style w:type="paragraph" w:customStyle="1" w:styleId="Titrearticle5">
    <w:name w:val="Titre article"/>
    <w:basedOn w:val="Normal"/>
    <w:next w:val="Normal"/>
    <w:pPr>
      <w:keepNext/>
      <w:spacing w:before="360"/>
      <w:jc w:val="center"/>
    </w:pPr>
    <w:rPr>
      <w:i/>
    </w:rPr>
  </w:style>
  <w:style w:type="paragraph" w:customStyle="1" w:styleId="Titrearticle6">
    <w:name w:val="Titre article"/>
    <w:basedOn w:val="Normal"/>
    <w:next w:val="Normal"/>
    <w:pPr>
      <w:keepNext/>
      <w:spacing w:before="360"/>
      <w:jc w:val="center"/>
    </w:pPr>
    <w:rPr>
      <w:i/>
    </w:rPr>
  </w:style>
  <w:style w:type="paragraph" w:customStyle="1" w:styleId="Titrearticle7">
    <w:name w:val="Titre article"/>
    <w:basedOn w:val="Normal"/>
    <w:next w:val="Normal"/>
    <w:pPr>
      <w:keepNext/>
      <w:spacing w:before="360"/>
      <w:jc w:val="center"/>
    </w:pPr>
    <w:rPr>
      <w:i/>
    </w:rPr>
  </w:style>
  <w:style w:type="paragraph" w:customStyle="1" w:styleId="Titrearticle8">
    <w:name w:val="Titre article"/>
    <w:basedOn w:val="Normal"/>
    <w:next w:val="Normal"/>
    <w:pPr>
      <w:keepNext/>
      <w:spacing w:before="360"/>
      <w:jc w:val="center"/>
    </w:pPr>
    <w:rPr>
      <w:i/>
    </w:rPr>
  </w:style>
  <w:style w:type="paragraph" w:customStyle="1" w:styleId="Titrearticle9">
    <w:name w:val="Titre article"/>
    <w:basedOn w:val="Normal"/>
    <w:next w:val="Normal"/>
    <w:pPr>
      <w:keepNext/>
      <w:spacing w:before="360"/>
      <w:jc w:val="center"/>
    </w:pPr>
    <w:rPr>
      <w:i/>
    </w:rPr>
  </w:style>
  <w:style w:type="paragraph" w:customStyle="1" w:styleId="Titrearticlea">
    <w:name w:val="Titre article"/>
    <w:basedOn w:val="Normal"/>
    <w:next w:val="Normal"/>
    <w:pPr>
      <w:keepNext/>
      <w:spacing w:before="360"/>
      <w:jc w:val="center"/>
    </w:pPr>
    <w:rPr>
      <w:i/>
    </w:rPr>
  </w:style>
  <w:style w:type="paragraph" w:customStyle="1" w:styleId="Titrearticleb">
    <w:name w:val="Titre article"/>
    <w:basedOn w:val="Normal"/>
    <w:next w:val="Normal"/>
    <w:pPr>
      <w:keepNext/>
      <w:spacing w:before="360"/>
      <w:jc w:val="center"/>
    </w:pPr>
    <w:rPr>
      <w:i/>
    </w:rPr>
  </w:style>
  <w:style w:type="paragraph" w:customStyle="1" w:styleId="Titrearticlec">
    <w:name w:val="Titre article"/>
    <w:basedOn w:val="Normal"/>
    <w:next w:val="Normal"/>
    <w:pPr>
      <w:keepNext/>
      <w:spacing w:before="360"/>
      <w:jc w:val="center"/>
    </w:pPr>
    <w:rPr>
      <w:i/>
    </w:rPr>
  </w:style>
  <w:style w:type="paragraph" w:customStyle="1" w:styleId="Titrearticled">
    <w:name w:val="Titre article"/>
    <w:basedOn w:val="Normal"/>
    <w:next w:val="Normal"/>
    <w:pPr>
      <w:keepNext/>
      <w:spacing w:before="360"/>
      <w:jc w:val="center"/>
    </w:pPr>
    <w:rPr>
      <w:i/>
    </w:rPr>
  </w:style>
  <w:style w:type="paragraph" w:customStyle="1" w:styleId="Titrearticlee">
    <w:name w:val="Titre article"/>
    <w:basedOn w:val="Normal"/>
    <w:next w:val="Normal"/>
    <w:pPr>
      <w:keepNext/>
      <w:spacing w:before="360"/>
      <w:jc w:val="center"/>
    </w:pPr>
    <w:rPr>
      <w:i/>
    </w:rPr>
  </w:style>
  <w:style w:type="paragraph" w:customStyle="1" w:styleId="Titrearticlef">
    <w:name w:val="Titre article"/>
    <w:basedOn w:val="Normal"/>
    <w:next w:val="Normal"/>
    <w:pPr>
      <w:keepNext/>
      <w:spacing w:before="360"/>
      <w:jc w:val="center"/>
    </w:pPr>
    <w:rPr>
      <w:i/>
    </w:rPr>
  </w:style>
  <w:style w:type="paragraph" w:customStyle="1" w:styleId="Titrearticlef0">
    <w:name w:val="Titre article"/>
    <w:basedOn w:val="Normal"/>
    <w:next w:val="Normal"/>
    <w:pPr>
      <w:keepNext/>
      <w:spacing w:before="360"/>
      <w:jc w:val="center"/>
    </w:pPr>
    <w:rPr>
      <w:i/>
    </w:rPr>
  </w:style>
  <w:style w:type="paragraph" w:customStyle="1" w:styleId="Titrearticlef1">
    <w:name w:val="Titre article"/>
    <w:basedOn w:val="Normal"/>
    <w:next w:val="Normal"/>
    <w:pPr>
      <w:keepNext/>
      <w:spacing w:before="360"/>
      <w:jc w:val="center"/>
    </w:pPr>
    <w:rPr>
      <w:i/>
    </w:rPr>
  </w:style>
  <w:style w:type="paragraph" w:customStyle="1" w:styleId="Titrearticlef2">
    <w:name w:val="Titre article"/>
    <w:basedOn w:val="Normal"/>
    <w:next w:val="Normal"/>
    <w:pPr>
      <w:keepNext/>
      <w:spacing w:before="360"/>
      <w:jc w:val="center"/>
    </w:pPr>
    <w:rPr>
      <w:i/>
    </w:rPr>
  </w:style>
  <w:style w:type="paragraph" w:customStyle="1" w:styleId="Titrearticlef3">
    <w:name w:val="Titre article"/>
    <w:basedOn w:val="Normal"/>
    <w:next w:val="Normal"/>
    <w:pPr>
      <w:keepNext/>
      <w:spacing w:before="360"/>
      <w:jc w:val="center"/>
    </w:pPr>
    <w:rPr>
      <w:i/>
    </w:rPr>
  </w:style>
  <w:style w:type="paragraph" w:customStyle="1" w:styleId="Titrearticlef4">
    <w:name w:val="Titre article"/>
    <w:basedOn w:val="Normal"/>
    <w:next w:val="Normal"/>
    <w:pPr>
      <w:keepNext/>
      <w:spacing w:before="360"/>
      <w:jc w:val="center"/>
    </w:pPr>
    <w:rPr>
      <w:i/>
    </w:rPr>
  </w:style>
  <w:style w:type="paragraph" w:customStyle="1" w:styleId="Titrearticlef5">
    <w:name w:val="Titre article"/>
    <w:basedOn w:val="Normal"/>
    <w:next w:val="Normal"/>
    <w:pPr>
      <w:keepNext/>
      <w:spacing w:before="360"/>
      <w:jc w:val="center"/>
    </w:pPr>
    <w:rPr>
      <w:i/>
    </w:rPr>
  </w:style>
  <w:style w:type="paragraph" w:styleId="Header">
    <w:name w:val="header"/>
    <w:basedOn w:val="Normal"/>
    <w:link w:val="HeaderChar"/>
    <w:uiPriority w:val="99"/>
    <w:unhideWhenUsed/>
    <w:rsid w:val="009E020B"/>
    <w:pPr>
      <w:tabs>
        <w:tab w:val="center" w:pos="4535"/>
        <w:tab w:val="right" w:pos="9071"/>
      </w:tabs>
      <w:spacing w:before="0"/>
    </w:pPr>
  </w:style>
  <w:style w:type="character" w:customStyle="1" w:styleId="HeaderChar">
    <w:name w:val="Header Char"/>
    <w:basedOn w:val="DefaultParagraphFont"/>
    <w:link w:val="Header"/>
    <w:uiPriority w:val="99"/>
    <w:rsid w:val="009E020B"/>
    <w:rPr>
      <w:rFonts w:ascii="Times New Roman" w:hAnsi="Times New Roman" w:cs="Times New Roman"/>
      <w:sz w:val="24"/>
      <w:lang w:val="ro-RO"/>
    </w:rPr>
  </w:style>
  <w:style w:type="paragraph" w:styleId="Footer">
    <w:name w:val="footer"/>
    <w:basedOn w:val="Normal"/>
    <w:link w:val="FooterChar"/>
    <w:uiPriority w:val="99"/>
    <w:unhideWhenUsed/>
    <w:rsid w:val="009E020B"/>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9E020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9E020B"/>
    <w:pPr>
      <w:tabs>
        <w:tab w:val="center" w:pos="7285"/>
        <w:tab w:val="right" w:pos="14003"/>
      </w:tabs>
      <w:spacing w:before="0"/>
    </w:pPr>
  </w:style>
  <w:style w:type="paragraph" w:customStyle="1" w:styleId="FooterLandscape">
    <w:name w:val="FooterLandscape"/>
    <w:basedOn w:val="Normal"/>
    <w:rsid w:val="009E020B"/>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E020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E020B"/>
    <w:pPr>
      <w:spacing w:before="0"/>
      <w:jc w:val="right"/>
    </w:pPr>
    <w:rPr>
      <w:sz w:val="28"/>
    </w:rPr>
  </w:style>
  <w:style w:type="paragraph" w:customStyle="1" w:styleId="FooterSensitivity">
    <w:name w:val="Footer Sensitivity"/>
    <w:basedOn w:val="Normal"/>
    <w:rsid w:val="009E020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425250"/>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f6"/>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f6">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f6"/>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22645">
      <w:bodyDiv w:val="1"/>
      <w:marLeft w:val="0"/>
      <w:marRight w:val="0"/>
      <w:marTop w:val="0"/>
      <w:marBottom w:val="0"/>
      <w:divBdr>
        <w:top w:val="none" w:sz="0" w:space="0" w:color="auto"/>
        <w:left w:val="none" w:sz="0" w:space="0" w:color="auto"/>
        <w:bottom w:val="none" w:sz="0" w:space="0" w:color="auto"/>
        <w:right w:val="none" w:sz="0" w:space="0" w:color="auto"/>
      </w:divBdr>
    </w:div>
    <w:div w:id="148794842">
      <w:bodyDiv w:val="1"/>
      <w:marLeft w:val="0"/>
      <w:marRight w:val="0"/>
      <w:marTop w:val="0"/>
      <w:marBottom w:val="0"/>
      <w:divBdr>
        <w:top w:val="none" w:sz="0" w:space="0" w:color="auto"/>
        <w:left w:val="none" w:sz="0" w:space="0" w:color="auto"/>
        <w:bottom w:val="none" w:sz="0" w:space="0" w:color="auto"/>
        <w:right w:val="none" w:sz="0" w:space="0" w:color="auto"/>
      </w:divBdr>
      <w:divsChild>
        <w:div w:id="1788809518">
          <w:marLeft w:val="0"/>
          <w:marRight w:val="0"/>
          <w:marTop w:val="0"/>
          <w:marBottom w:val="0"/>
          <w:divBdr>
            <w:top w:val="none" w:sz="0" w:space="0" w:color="auto"/>
            <w:left w:val="none" w:sz="0" w:space="0" w:color="auto"/>
            <w:bottom w:val="none" w:sz="0" w:space="0" w:color="auto"/>
            <w:right w:val="none" w:sz="0" w:space="0" w:color="auto"/>
          </w:divBdr>
          <w:divsChild>
            <w:div w:id="2004776117">
              <w:marLeft w:val="0"/>
              <w:marRight w:val="0"/>
              <w:marTop w:val="0"/>
              <w:marBottom w:val="0"/>
              <w:divBdr>
                <w:top w:val="none" w:sz="0" w:space="0" w:color="auto"/>
                <w:left w:val="none" w:sz="0" w:space="0" w:color="auto"/>
                <w:bottom w:val="none" w:sz="0" w:space="0" w:color="auto"/>
                <w:right w:val="none" w:sz="0" w:space="0" w:color="auto"/>
              </w:divBdr>
            </w:div>
          </w:divsChild>
        </w:div>
        <w:div w:id="1076440985">
          <w:marLeft w:val="0"/>
          <w:marRight w:val="0"/>
          <w:marTop w:val="0"/>
          <w:marBottom w:val="0"/>
          <w:divBdr>
            <w:top w:val="none" w:sz="0" w:space="0" w:color="auto"/>
            <w:left w:val="none" w:sz="0" w:space="0" w:color="auto"/>
            <w:bottom w:val="none" w:sz="0" w:space="0" w:color="auto"/>
            <w:right w:val="none" w:sz="0" w:space="0" w:color="auto"/>
          </w:divBdr>
          <w:divsChild>
            <w:div w:id="764569465">
              <w:marLeft w:val="0"/>
              <w:marRight w:val="0"/>
              <w:marTop w:val="0"/>
              <w:marBottom w:val="0"/>
              <w:divBdr>
                <w:top w:val="none" w:sz="0" w:space="0" w:color="auto"/>
                <w:left w:val="none" w:sz="0" w:space="0" w:color="auto"/>
                <w:bottom w:val="none" w:sz="0" w:space="0" w:color="auto"/>
                <w:right w:val="none" w:sz="0" w:space="0" w:color="auto"/>
              </w:divBdr>
            </w:div>
          </w:divsChild>
        </w:div>
        <w:div w:id="1443380181">
          <w:marLeft w:val="0"/>
          <w:marRight w:val="0"/>
          <w:marTop w:val="0"/>
          <w:marBottom w:val="0"/>
          <w:divBdr>
            <w:top w:val="none" w:sz="0" w:space="0" w:color="auto"/>
            <w:left w:val="none" w:sz="0" w:space="0" w:color="auto"/>
            <w:bottom w:val="none" w:sz="0" w:space="0" w:color="auto"/>
            <w:right w:val="none" w:sz="0" w:space="0" w:color="auto"/>
          </w:divBdr>
          <w:divsChild>
            <w:div w:id="151416285">
              <w:marLeft w:val="0"/>
              <w:marRight w:val="0"/>
              <w:marTop w:val="0"/>
              <w:marBottom w:val="0"/>
              <w:divBdr>
                <w:top w:val="none" w:sz="0" w:space="0" w:color="auto"/>
                <w:left w:val="none" w:sz="0" w:space="0" w:color="auto"/>
                <w:bottom w:val="none" w:sz="0" w:space="0" w:color="auto"/>
                <w:right w:val="none" w:sz="0" w:space="0" w:color="auto"/>
              </w:divBdr>
            </w:div>
          </w:divsChild>
        </w:div>
        <w:div w:id="349255604">
          <w:marLeft w:val="0"/>
          <w:marRight w:val="0"/>
          <w:marTop w:val="0"/>
          <w:marBottom w:val="0"/>
          <w:divBdr>
            <w:top w:val="none" w:sz="0" w:space="0" w:color="auto"/>
            <w:left w:val="none" w:sz="0" w:space="0" w:color="auto"/>
            <w:bottom w:val="none" w:sz="0" w:space="0" w:color="auto"/>
            <w:right w:val="none" w:sz="0" w:space="0" w:color="auto"/>
          </w:divBdr>
          <w:divsChild>
            <w:div w:id="199737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82527">
      <w:bodyDiv w:val="1"/>
      <w:marLeft w:val="0"/>
      <w:marRight w:val="0"/>
      <w:marTop w:val="0"/>
      <w:marBottom w:val="0"/>
      <w:divBdr>
        <w:top w:val="none" w:sz="0" w:space="0" w:color="auto"/>
        <w:left w:val="none" w:sz="0" w:space="0" w:color="auto"/>
        <w:bottom w:val="none" w:sz="0" w:space="0" w:color="auto"/>
        <w:right w:val="none" w:sz="0" w:space="0" w:color="auto"/>
      </w:divBdr>
      <w:divsChild>
        <w:div w:id="1628704649">
          <w:marLeft w:val="0"/>
          <w:marRight w:val="0"/>
          <w:marTop w:val="0"/>
          <w:marBottom w:val="0"/>
          <w:divBdr>
            <w:top w:val="none" w:sz="0" w:space="0" w:color="auto"/>
            <w:left w:val="none" w:sz="0" w:space="0" w:color="auto"/>
            <w:bottom w:val="none" w:sz="0" w:space="0" w:color="auto"/>
            <w:right w:val="none" w:sz="0" w:space="0" w:color="auto"/>
          </w:divBdr>
          <w:divsChild>
            <w:div w:id="35219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200">
      <w:bodyDiv w:val="1"/>
      <w:marLeft w:val="0"/>
      <w:marRight w:val="0"/>
      <w:marTop w:val="0"/>
      <w:marBottom w:val="0"/>
      <w:divBdr>
        <w:top w:val="none" w:sz="0" w:space="0" w:color="auto"/>
        <w:left w:val="none" w:sz="0" w:space="0" w:color="auto"/>
        <w:bottom w:val="none" w:sz="0" w:space="0" w:color="auto"/>
        <w:right w:val="none" w:sz="0" w:space="0" w:color="auto"/>
      </w:divBdr>
    </w:div>
    <w:div w:id="215702988">
      <w:bodyDiv w:val="1"/>
      <w:marLeft w:val="0"/>
      <w:marRight w:val="0"/>
      <w:marTop w:val="0"/>
      <w:marBottom w:val="0"/>
      <w:divBdr>
        <w:top w:val="none" w:sz="0" w:space="0" w:color="auto"/>
        <w:left w:val="none" w:sz="0" w:space="0" w:color="auto"/>
        <w:bottom w:val="none" w:sz="0" w:space="0" w:color="auto"/>
        <w:right w:val="none" w:sz="0" w:space="0" w:color="auto"/>
      </w:divBdr>
      <w:divsChild>
        <w:div w:id="522861322">
          <w:marLeft w:val="0"/>
          <w:marRight w:val="0"/>
          <w:marTop w:val="0"/>
          <w:marBottom w:val="0"/>
          <w:divBdr>
            <w:top w:val="none" w:sz="0" w:space="0" w:color="auto"/>
            <w:left w:val="none" w:sz="0" w:space="0" w:color="auto"/>
            <w:bottom w:val="none" w:sz="0" w:space="0" w:color="auto"/>
            <w:right w:val="none" w:sz="0" w:space="0" w:color="auto"/>
          </w:divBdr>
        </w:div>
      </w:divsChild>
    </w:div>
    <w:div w:id="299457254">
      <w:bodyDiv w:val="1"/>
      <w:marLeft w:val="0"/>
      <w:marRight w:val="0"/>
      <w:marTop w:val="0"/>
      <w:marBottom w:val="0"/>
      <w:divBdr>
        <w:top w:val="none" w:sz="0" w:space="0" w:color="auto"/>
        <w:left w:val="none" w:sz="0" w:space="0" w:color="auto"/>
        <w:bottom w:val="none" w:sz="0" w:space="0" w:color="auto"/>
        <w:right w:val="none" w:sz="0" w:space="0" w:color="auto"/>
      </w:divBdr>
    </w:div>
    <w:div w:id="339747005">
      <w:bodyDiv w:val="1"/>
      <w:marLeft w:val="0"/>
      <w:marRight w:val="0"/>
      <w:marTop w:val="0"/>
      <w:marBottom w:val="0"/>
      <w:divBdr>
        <w:top w:val="none" w:sz="0" w:space="0" w:color="auto"/>
        <w:left w:val="none" w:sz="0" w:space="0" w:color="auto"/>
        <w:bottom w:val="none" w:sz="0" w:space="0" w:color="auto"/>
        <w:right w:val="none" w:sz="0" w:space="0" w:color="auto"/>
      </w:divBdr>
      <w:divsChild>
        <w:div w:id="1811701928">
          <w:marLeft w:val="0"/>
          <w:marRight w:val="0"/>
          <w:marTop w:val="0"/>
          <w:marBottom w:val="0"/>
          <w:divBdr>
            <w:top w:val="none" w:sz="0" w:space="0" w:color="auto"/>
            <w:left w:val="none" w:sz="0" w:space="0" w:color="auto"/>
            <w:bottom w:val="none" w:sz="0" w:space="0" w:color="auto"/>
            <w:right w:val="none" w:sz="0" w:space="0" w:color="auto"/>
          </w:divBdr>
          <w:divsChild>
            <w:div w:id="190640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144869">
      <w:bodyDiv w:val="1"/>
      <w:marLeft w:val="0"/>
      <w:marRight w:val="0"/>
      <w:marTop w:val="0"/>
      <w:marBottom w:val="0"/>
      <w:divBdr>
        <w:top w:val="none" w:sz="0" w:space="0" w:color="auto"/>
        <w:left w:val="none" w:sz="0" w:space="0" w:color="auto"/>
        <w:bottom w:val="none" w:sz="0" w:space="0" w:color="auto"/>
        <w:right w:val="none" w:sz="0" w:space="0" w:color="auto"/>
      </w:divBdr>
      <w:divsChild>
        <w:div w:id="976951069">
          <w:marLeft w:val="0"/>
          <w:marRight w:val="0"/>
          <w:marTop w:val="0"/>
          <w:marBottom w:val="0"/>
          <w:divBdr>
            <w:top w:val="none" w:sz="0" w:space="0" w:color="auto"/>
            <w:left w:val="none" w:sz="0" w:space="0" w:color="auto"/>
            <w:bottom w:val="none" w:sz="0" w:space="0" w:color="auto"/>
            <w:right w:val="none" w:sz="0" w:space="0" w:color="auto"/>
          </w:divBdr>
        </w:div>
        <w:div w:id="896358138">
          <w:marLeft w:val="0"/>
          <w:marRight w:val="0"/>
          <w:marTop w:val="0"/>
          <w:marBottom w:val="0"/>
          <w:divBdr>
            <w:top w:val="none" w:sz="0" w:space="0" w:color="auto"/>
            <w:left w:val="none" w:sz="0" w:space="0" w:color="auto"/>
            <w:bottom w:val="none" w:sz="0" w:space="0" w:color="auto"/>
            <w:right w:val="none" w:sz="0" w:space="0" w:color="auto"/>
          </w:divBdr>
        </w:div>
        <w:div w:id="1465000703">
          <w:marLeft w:val="0"/>
          <w:marRight w:val="0"/>
          <w:marTop w:val="0"/>
          <w:marBottom w:val="0"/>
          <w:divBdr>
            <w:top w:val="none" w:sz="0" w:space="0" w:color="auto"/>
            <w:left w:val="none" w:sz="0" w:space="0" w:color="auto"/>
            <w:bottom w:val="none" w:sz="0" w:space="0" w:color="auto"/>
            <w:right w:val="none" w:sz="0" w:space="0" w:color="auto"/>
          </w:divBdr>
        </w:div>
      </w:divsChild>
    </w:div>
    <w:div w:id="484204069">
      <w:bodyDiv w:val="1"/>
      <w:marLeft w:val="0"/>
      <w:marRight w:val="0"/>
      <w:marTop w:val="0"/>
      <w:marBottom w:val="0"/>
      <w:divBdr>
        <w:top w:val="none" w:sz="0" w:space="0" w:color="auto"/>
        <w:left w:val="none" w:sz="0" w:space="0" w:color="auto"/>
        <w:bottom w:val="none" w:sz="0" w:space="0" w:color="auto"/>
        <w:right w:val="none" w:sz="0" w:space="0" w:color="auto"/>
      </w:divBdr>
      <w:divsChild>
        <w:div w:id="1516844959">
          <w:marLeft w:val="0"/>
          <w:marRight w:val="0"/>
          <w:marTop w:val="0"/>
          <w:marBottom w:val="0"/>
          <w:divBdr>
            <w:top w:val="none" w:sz="0" w:space="0" w:color="auto"/>
            <w:left w:val="none" w:sz="0" w:space="0" w:color="auto"/>
            <w:bottom w:val="none" w:sz="0" w:space="0" w:color="auto"/>
            <w:right w:val="none" w:sz="0" w:space="0" w:color="auto"/>
          </w:divBdr>
          <w:divsChild>
            <w:div w:id="503278263">
              <w:marLeft w:val="0"/>
              <w:marRight w:val="0"/>
              <w:marTop w:val="0"/>
              <w:marBottom w:val="0"/>
              <w:divBdr>
                <w:top w:val="none" w:sz="0" w:space="0" w:color="auto"/>
                <w:left w:val="none" w:sz="0" w:space="0" w:color="auto"/>
                <w:bottom w:val="none" w:sz="0" w:space="0" w:color="auto"/>
                <w:right w:val="none" w:sz="0" w:space="0" w:color="auto"/>
              </w:divBdr>
            </w:div>
            <w:div w:id="481893547">
              <w:marLeft w:val="0"/>
              <w:marRight w:val="0"/>
              <w:marTop w:val="0"/>
              <w:marBottom w:val="0"/>
              <w:divBdr>
                <w:top w:val="none" w:sz="0" w:space="0" w:color="auto"/>
                <w:left w:val="none" w:sz="0" w:space="0" w:color="auto"/>
                <w:bottom w:val="none" w:sz="0" w:space="0" w:color="auto"/>
                <w:right w:val="none" w:sz="0" w:space="0" w:color="auto"/>
              </w:divBdr>
            </w:div>
            <w:div w:id="487356736">
              <w:marLeft w:val="0"/>
              <w:marRight w:val="0"/>
              <w:marTop w:val="0"/>
              <w:marBottom w:val="0"/>
              <w:divBdr>
                <w:top w:val="none" w:sz="0" w:space="0" w:color="auto"/>
                <w:left w:val="none" w:sz="0" w:space="0" w:color="auto"/>
                <w:bottom w:val="none" w:sz="0" w:space="0" w:color="auto"/>
                <w:right w:val="none" w:sz="0" w:space="0" w:color="auto"/>
              </w:divBdr>
            </w:div>
            <w:div w:id="534194704">
              <w:marLeft w:val="0"/>
              <w:marRight w:val="0"/>
              <w:marTop w:val="0"/>
              <w:marBottom w:val="0"/>
              <w:divBdr>
                <w:top w:val="none" w:sz="0" w:space="0" w:color="auto"/>
                <w:left w:val="none" w:sz="0" w:space="0" w:color="auto"/>
                <w:bottom w:val="none" w:sz="0" w:space="0" w:color="auto"/>
                <w:right w:val="none" w:sz="0" w:space="0" w:color="auto"/>
              </w:divBdr>
            </w:div>
            <w:div w:id="90054137">
              <w:marLeft w:val="0"/>
              <w:marRight w:val="0"/>
              <w:marTop w:val="0"/>
              <w:marBottom w:val="0"/>
              <w:divBdr>
                <w:top w:val="none" w:sz="0" w:space="0" w:color="auto"/>
                <w:left w:val="none" w:sz="0" w:space="0" w:color="auto"/>
                <w:bottom w:val="none" w:sz="0" w:space="0" w:color="auto"/>
                <w:right w:val="none" w:sz="0" w:space="0" w:color="auto"/>
              </w:divBdr>
            </w:div>
          </w:divsChild>
        </w:div>
        <w:div w:id="1948386067">
          <w:marLeft w:val="0"/>
          <w:marRight w:val="0"/>
          <w:marTop w:val="0"/>
          <w:marBottom w:val="0"/>
          <w:divBdr>
            <w:top w:val="none" w:sz="0" w:space="0" w:color="auto"/>
            <w:left w:val="none" w:sz="0" w:space="0" w:color="auto"/>
            <w:bottom w:val="none" w:sz="0" w:space="0" w:color="auto"/>
            <w:right w:val="none" w:sz="0" w:space="0" w:color="auto"/>
          </w:divBdr>
          <w:divsChild>
            <w:div w:id="681971795">
              <w:marLeft w:val="0"/>
              <w:marRight w:val="0"/>
              <w:marTop w:val="0"/>
              <w:marBottom w:val="0"/>
              <w:divBdr>
                <w:top w:val="none" w:sz="0" w:space="0" w:color="auto"/>
                <w:left w:val="none" w:sz="0" w:space="0" w:color="auto"/>
                <w:bottom w:val="none" w:sz="0" w:space="0" w:color="auto"/>
                <w:right w:val="none" w:sz="0" w:space="0" w:color="auto"/>
              </w:divBdr>
            </w:div>
            <w:div w:id="1812013251">
              <w:marLeft w:val="0"/>
              <w:marRight w:val="0"/>
              <w:marTop w:val="0"/>
              <w:marBottom w:val="0"/>
              <w:divBdr>
                <w:top w:val="none" w:sz="0" w:space="0" w:color="auto"/>
                <w:left w:val="none" w:sz="0" w:space="0" w:color="auto"/>
                <w:bottom w:val="none" w:sz="0" w:space="0" w:color="auto"/>
                <w:right w:val="none" w:sz="0" w:space="0" w:color="auto"/>
              </w:divBdr>
            </w:div>
            <w:div w:id="140538888">
              <w:marLeft w:val="0"/>
              <w:marRight w:val="0"/>
              <w:marTop w:val="0"/>
              <w:marBottom w:val="0"/>
              <w:divBdr>
                <w:top w:val="none" w:sz="0" w:space="0" w:color="auto"/>
                <w:left w:val="none" w:sz="0" w:space="0" w:color="auto"/>
                <w:bottom w:val="none" w:sz="0" w:space="0" w:color="auto"/>
                <w:right w:val="none" w:sz="0" w:space="0" w:color="auto"/>
              </w:divBdr>
            </w:div>
            <w:div w:id="1466695911">
              <w:marLeft w:val="0"/>
              <w:marRight w:val="0"/>
              <w:marTop w:val="0"/>
              <w:marBottom w:val="0"/>
              <w:divBdr>
                <w:top w:val="none" w:sz="0" w:space="0" w:color="auto"/>
                <w:left w:val="none" w:sz="0" w:space="0" w:color="auto"/>
                <w:bottom w:val="none" w:sz="0" w:space="0" w:color="auto"/>
                <w:right w:val="none" w:sz="0" w:space="0" w:color="auto"/>
              </w:divBdr>
            </w:div>
            <w:div w:id="624505729">
              <w:marLeft w:val="0"/>
              <w:marRight w:val="0"/>
              <w:marTop w:val="0"/>
              <w:marBottom w:val="0"/>
              <w:divBdr>
                <w:top w:val="none" w:sz="0" w:space="0" w:color="auto"/>
                <w:left w:val="none" w:sz="0" w:space="0" w:color="auto"/>
                <w:bottom w:val="none" w:sz="0" w:space="0" w:color="auto"/>
                <w:right w:val="none" w:sz="0" w:space="0" w:color="auto"/>
              </w:divBdr>
            </w:div>
          </w:divsChild>
        </w:div>
        <w:div w:id="955213158">
          <w:marLeft w:val="0"/>
          <w:marRight w:val="0"/>
          <w:marTop w:val="0"/>
          <w:marBottom w:val="0"/>
          <w:divBdr>
            <w:top w:val="none" w:sz="0" w:space="0" w:color="auto"/>
            <w:left w:val="none" w:sz="0" w:space="0" w:color="auto"/>
            <w:bottom w:val="none" w:sz="0" w:space="0" w:color="auto"/>
            <w:right w:val="none" w:sz="0" w:space="0" w:color="auto"/>
          </w:divBdr>
          <w:divsChild>
            <w:div w:id="1447506787">
              <w:marLeft w:val="0"/>
              <w:marRight w:val="0"/>
              <w:marTop w:val="0"/>
              <w:marBottom w:val="0"/>
              <w:divBdr>
                <w:top w:val="none" w:sz="0" w:space="0" w:color="auto"/>
                <w:left w:val="none" w:sz="0" w:space="0" w:color="auto"/>
                <w:bottom w:val="none" w:sz="0" w:space="0" w:color="auto"/>
                <w:right w:val="none" w:sz="0" w:space="0" w:color="auto"/>
              </w:divBdr>
            </w:div>
            <w:div w:id="1188105085">
              <w:marLeft w:val="0"/>
              <w:marRight w:val="0"/>
              <w:marTop w:val="0"/>
              <w:marBottom w:val="0"/>
              <w:divBdr>
                <w:top w:val="none" w:sz="0" w:space="0" w:color="auto"/>
                <w:left w:val="none" w:sz="0" w:space="0" w:color="auto"/>
                <w:bottom w:val="none" w:sz="0" w:space="0" w:color="auto"/>
                <w:right w:val="none" w:sz="0" w:space="0" w:color="auto"/>
              </w:divBdr>
            </w:div>
            <w:div w:id="240792736">
              <w:marLeft w:val="0"/>
              <w:marRight w:val="0"/>
              <w:marTop w:val="0"/>
              <w:marBottom w:val="0"/>
              <w:divBdr>
                <w:top w:val="none" w:sz="0" w:space="0" w:color="auto"/>
                <w:left w:val="none" w:sz="0" w:space="0" w:color="auto"/>
                <w:bottom w:val="none" w:sz="0" w:space="0" w:color="auto"/>
                <w:right w:val="none" w:sz="0" w:space="0" w:color="auto"/>
              </w:divBdr>
            </w:div>
            <w:div w:id="636760237">
              <w:marLeft w:val="0"/>
              <w:marRight w:val="0"/>
              <w:marTop w:val="0"/>
              <w:marBottom w:val="0"/>
              <w:divBdr>
                <w:top w:val="none" w:sz="0" w:space="0" w:color="auto"/>
                <w:left w:val="none" w:sz="0" w:space="0" w:color="auto"/>
                <w:bottom w:val="none" w:sz="0" w:space="0" w:color="auto"/>
                <w:right w:val="none" w:sz="0" w:space="0" w:color="auto"/>
              </w:divBdr>
            </w:div>
            <w:div w:id="943154084">
              <w:marLeft w:val="0"/>
              <w:marRight w:val="0"/>
              <w:marTop w:val="0"/>
              <w:marBottom w:val="0"/>
              <w:divBdr>
                <w:top w:val="none" w:sz="0" w:space="0" w:color="auto"/>
                <w:left w:val="none" w:sz="0" w:space="0" w:color="auto"/>
                <w:bottom w:val="none" w:sz="0" w:space="0" w:color="auto"/>
                <w:right w:val="none" w:sz="0" w:space="0" w:color="auto"/>
              </w:divBdr>
            </w:div>
          </w:divsChild>
        </w:div>
        <w:div w:id="175969736">
          <w:marLeft w:val="0"/>
          <w:marRight w:val="0"/>
          <w:marTop w:val="0"/>
          <w:marBottom w:val="0"/>
          <w:divBdr>
            <w:top w:val="none" w:sz="0" w:space="0" w:color="auto"/>
            <w:left w:val="none" w:sz="0" w:space="0" w:color="auto"/>
            <w:bottom w:val="none" w:sz="0" w:space="0" w:color="auto"/>
            <w:right w:val="none" w:sz="0" w:space="0" w:color="auto"/>
          </w:divBdr>
          <w:divsChild>
            <w:div w:id="666640068">
              <w:marLeft w:val="0"/>
              <w:marRight w:val="0"/>
              <w:marTop w:val="0"/>
              <w:marBottom w:val="0"/>
              <w:divBdr>
                <w:top w:val="none" w:sz="0" w:space="0" w:color="auto"/>
                <w:left w:val="none" w:sz="0" w:space="0" w:color="auto"/>
                <w:bottom w:val="none" w:sz="0" w:space="0" w:color="auto"/>
                <w:right w:val="none" w:sz="0" w:space="0" w:color="auto"/>
              </w:divBdr>
            </w:div>
            <w:div w:id="1191916915">
              <w:marLeft w:val="0"/>
              <w:marRight w:val="0"/>
              <w:marTop w:val="0"/>
              <w:marBottom w:val="0"/>
              <w:divBdr>
                <w:top w:val="none" w:sz="0" w:space="0" w:color="auto"/>
                <w:left w:val="none" w:sz="0" w:space="0" w:color="auto"/>
                <w:bottom w:val="none" w:sz="0" w:space="0" w:color="auto"/>
                <w:right w:val="none" w:sz="0" w:space="0" w:color="auto"/>
              </w:divBdr>
            </w:div>
            <w:div w:id="447285296">
              <w:marLeft w:val="0"/>
              <w:marRight w:val="0"/>
              <w:marTop w:val="0"/>
              <w:marBottom w:val="0"/>
              <w:divBdr>
                <w:top w:val="none" w:sz="0" w:space="0" w:color="auto"/>
                <w:left w:val="none" w:sz="0" w:space="0" w:color="auto"/>
                <w:bottom w:val="none" w:sz="0" w:space="0" w:color="auto"/>
                <w:right w:val="none" w:sz="0" w:space="0" w:color="auto"/>
              </w:divBdr>
            </w:div>
            <w:div w:id="176820132">
              <w:marLeft w:val="0"/>
              <w:marRight w:val="0"/>
              <w:marTop w:val="0"/>
              <w:marBottom w:val="0"/>
              <w:divBdr>
                <w:top w:val="none" w:sz="0" w:space="0" w:color="auto"/>
                <w:left w:val="none" w:sz="0" w:space="0" w:color="auto"/>
                <w:bottom w:val="none" w:sz="0" w:space="0" w:color="auto"/>
                <w:right w:val="none" w:sz="0" w:space="0" w:color="auto"/>
              </w:divBdr>
            </w:div>
            <w:div w:id="1963221059">
              <w:marLeft w:val="0"/>
              <w:marRight w:val="0"/>
              <w:marTop w:val="0"/>
              <w:marBottom w:val="0"/>
              <w:divBdr>
                <w:top w:val="none" w:sz="0" w:space="0" w:color="auto"/>
                <w:left w:val="none" w:sz="0" w:space="0" w:color="auto"/>
                <w:bottom w:val="none" w:sz="0" w:space="0" w:color="auto"/>
                <w:right w:val="none" w:sz="0" w:space="0" w:color="auto"/>
              </w:divBdr>
            </w:div>
          </w:divsChild>
        </w:div>
        <w:div w:id="800464887">
          <w:marLeft w:val="0"/>
          <w:marRight w:val="0"/>
          <w:marTop w:val="0"/>
          <w:marBottom w:val="0"/>
          <w:divBdr>
            <w:top w:val="none" w:sz="0" w:space="0" w:color="auto"/>
            <w:left w:val="none" w:sz="0" w:space="0" w:color="auto"/>
            <w:bottom w:val="none" w:sz="0" w:space="0" w:color="auto"/>
            <w:right w:val="none" w:sz="0" w:space="0" w:color="auto"/>
          </w:divBdr>
        </w:div>
        <w:div w:id="1602105103">
          <w:marLeft w:val="0"/>
          <w:marRight w:val="0"/>
          <w:marTop w:val="0"/>
          <w:marBottom w:val="0"/>
          <w:divBdr>
            <w:top w:val="none" w:sz="0" w:space="0" w:color="auto"/>
            <w:left w:val="none" w:sz="0" w:space="0" w:color="auto"/>
            <w:bottom w:val="none" w:sz="0" w:space="0" w:color="auto"/>
            <w:right w:val="none" w:sz="0" w:space="0" w:color="auto"/>
          </w:divBdr>
        </w:div>
        <w:div w:id="1464496988">
          <w:marLeft w:val="0"/>
          <w:marRight w:val="0"/>
          <w:marTop w:val="0"/>
          <w:marBottom w:val="0"/>
          <w:divBdr>
            <w:top w:val="none" w:sz="0" w:space="0" w:color="auto"/>
            <w:left w:val="none" w:sz="0" w:space="0" w:color="auto"/>
            <w:bottom w:val="none" w:sz="0" w:space="0" w:color="auto"/>
            <w:right w:val="none" w:sz="0" w:space="0" w:color="auto"/>
          </w:divBdr>
        </w:div>
        <w:div w:id="821654390">
          <w:marLeft w:val="0"/>
          <w:marRight w:val="0"/>
          <w:marTop w:val="0"/>
          <w:marBottom w:val="0"/>
          <w:divBdr>
            <w:top w:val="none" w:sz="0" w:space="0" w:color="auto"/>
            <w:left w:val="none" w:sz="0" w:space="0" w:color="auto"/>
            <w:bottom w:val="none" w:sz="0" w:space="0" w:color="auto"/>
            <w:right w:val="none" w:sz="0" w:space="0" w:color="auto"/>
          </w:divBdr>
        </w:div>
        <w:div w:id="498812443">
          <w:marLeft w:val="0"/>
          <w:marRight w:val="0"/>
          <w:marTop w:val="0"/>
          <w:marBottom w:val="0"/>
          <w:divBdr>
            <w:top w:val="none" w:sz="0" w:space="0" w:color="auto"/>
            <w:left w:val="none" w:sz="0" w:space="0" w:color="auto"/>
            <w:bottom w:val="none" w:sz="0" w:space="0" w:color="auto"/>
            <w:right w:val="none" w:sz="0" w:space="0" w:color="auto"/>
          </w:divBdr>
        </w:div>
      </w:divsChild>
    </w:div>
    <w:div w:id="491412324">
      <w:bodyDiv w:val="1"/>
      <w:marLeft w:val="0"/>
      <w:marRight w:val="0"/>
      <w:marTop w:val="0"/>
      <w:marBottom w:val="0"/>
      <w:divBdr>
        <w:top w:val="none" w:sz="0" w:space="0" w:color="auto"/>
        <w:left w:val="none" w:sz="0" w:space="0" w:color="auto"/>
        <w:bottom w:val="none" w:sz="0" w:space="0" w:color="auto"/>
        <w:right w:val="none" w:sz="0" w:space="0" w:color="auto"/>
      </w:divBdr>
    </w:div>
    <w:div w:id="563613189">
      <w:bodyDiv w:val="1"/>
      <w:marLeft w:val="0"/>
      <w:marRight w:val="0"/>
      <w:marTop w:val="0"/>
      <w:marBottom w:val="0"/>
      <w:divBdr>
        <w:top w:val="none" w:sz="0" w:space="0" w:color="auto"/>
        <w:left w:val="none" w:sz="0" w:space="0" w:color="auto"/>
        <w:bottom w:val="none" w:sz="0" w:space="0" w:color="auto"/>
        <w:right w:val="none" w:sz="0" w:space="0" w:color="auto"/>
      </w:divBdr>
    </w:div>
    <w:div w:id="713965576">
      <w:bodyDiv w:val="1"/>
      <w:marLeft w:val="0"/>
      <w:marRight w:val="0"/>
      <w:marTop w:val="0"/>
      <w:marBottom w:val="0"/>
      <w:divBdr>
        <w:top w:val="none" w:sz="0" w:space="0" w:color="auto"/>
        <w:left w:val="none" w:sz="0" w:space="0" w:color="auto"/>
        <w:bottom w:val="none" w:sz="0" w:space="0" w:color="auto"/>
        <w:right w:val="none" w:sz="0" w:space="0" w:color="auto"/>
      </w:divBdr>
    </w:div>
    <w:div w:id="730230514">
      <w:bodyDiv w:val="1"/>
      <w:marLeft w:val="0"/>
      <w:marRight w:val="0"/>
      <w:marTop w:val="0"/>
      <w:marBottom w:val="0"/>
      <w:divBdr>
        <w:top w:val="none" w:sz="0" w:space="0" w:color="auto"/>
        <w:left w:val="none" w:sz="0" w:space="0" w:color="auto"/>
        <w:bottom w:val="none" w:sz="0" w:space="0" w:color="auto"/>
        <w:right w:val="none" w:sz="0" w:space="0" w:color="auto"/>
      </w:divBdr>
    </w:div>
    <w:div w:id="866139770">
      <w:bodyDiv w:val="1"/>
      <w:marLeft w:val="0"/>
      <w:marRight w:val="0"/>
      <w:marTop w:val="0"/>
      <w:marBottom w:val="0"/>
      <w:divBdr>
        <w:top w:val="none" w:sz="0" w:space="0" w:color="auto"/>
        <w:left w:val="none" w:sz="0" w:space="0" w:color="auto"/>
        <w:bottom w:val="none" w:sz="0" w:space="0" w:color="auto"/>
        <w:right w:val="none" w:sz="0" w:space="0" w:color="auto"/>
      </w:divBdr>
      <w:divsChild>
        <w:div w:id="1227372739">
          <w:marLeft w:val="0"/>
          <w:marRight w:val="0"/>
          <w:marTop w:val="0"/>
          <w:marBottom w:val="0"/>
          <w:divBdr>
            <w:top w:val="none" w:sz="0" w:space="0" w:color="auto"/>
            <w:left w:val="none" w:sz="0" w:space="0" w:color="auto"/>
            <w:bottom w:val="none" w:sz="0" w:space="0" w:color="auto"/>
            <w:right w:val="none" w:sz="0" w:space="0" w:color="auto"/>
          </w:divBdr>
          <w:divsChild>
            <w:div w:id="170239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731485">
      <w:bodyDiv w:val="1"/>
      <w:marLeft w:val="0"/>
      <w:marRight w:val="0"/>
      <w:marTop w:val="0"/>
      <w:marBottom w:val="0"/>
      <w:divBdr>
        <w:top w:val="none" w:sz="0" w:space="0" w:color="auto"/>
        <w:left w:val="none" w:sz="0" w:space="0" w:color="auto"/>
        <w:bottom w:val="none" w:sz="0" w:space="0" w:color="auto"/>
        <w:right w:val="none" w:sz="0" w:space="0" w:color="auto"/>
      </w:divBdr>
    </w:div>
    <w:div w:id="902980891">
      <w:bodyDiv w:val="1"/>
      <w:marLeft w:val="0"/>
      <w:marRight w:val="0"/>
      <w:marTop w:val="0"/>
      <w:marBottom w:val="0"/>
      <w:divBdr>
        <w:top w:val="none" w:sz="0" w:space="0" w:color="auto"/>
        <w:left w:val="none" w:sz="0" w:space="0" w:color="auto"/>
        <w:bottom w:val="none" w:sz="0" w:space="0" w:color="auto"/>
        <w:right w:val="none" w:sz="0" w:space="0" w:color="auto"/>
      </w:divBdr>
      <w:divsChild>
        <w:div w:id="1403522192">
          <w:marLeft w:val="0"/>
          <w:marRight w:val="0"/>
          <w:marTop w:val="0"/>
          <w:marBottom w:val="0"/>
          <w:divBdr>
            <w:top w:val="none" w:sz="0" w:space="0" w:color="auto"/>
            <w:left w:val="none" w:sz="0" w:space="0" w:color="auto"/>
            <w:bottom w:val="none" w:sz="0" w:space="0" w:color="auto"/>
            <w:right w:val="none" w:sz="0" w:space="0" w:color="auto"/>
          </w:divBdr>
        </w:div>
        <w:div w:id="1853909191">
          <w:marLeft w:val="0"/>
          <w:marRight w:val="0"/>
          <w:marTop w:val="0"/>
          <w:marBottom w:val="0"/>
          <w:divBdr>
            <w:top w:val="none" w:sz="0" w:space="0" w:color="auto"/>
            <w:left w:val="none" w:sz="0" w:space="0" w:color="auto"/>
            <w:bottom w:val="none" w:sz="0" w:space="0" w:color="auto"/>
            <w:right w:val="none" w:sz="0" w:space="0" w:color="auto"/>
          </w:divBdr>
        </w:div>
      </w:divsChild>
    </w:div>
    <w:div w:id="972254191">
      <w:bodyDiv w:val="1"/>
      <w:marLeft w:val="0"/>
      <w:marRight w:val="0"/>
      <w:marTop w:val="0"/>
      <w:marBottom w:val="0"/>
      <w:divBdr>
        <w:top w:val="none" w:sz="0" w:space="0" w:color="auto"/>
        <w:left w:val="none" w:sz="0" w:space="0" w:color="auto"/>
        <w:bottom w:val="none" w:sz="0" w:space="0" w:color="auto"/>
        <w:right w:val="none" w:sz="0" w:space="0" w:color="auto"/>
      </w:divBdr>
      <w:divsChild>
        <w:div w:id="2105228166">
          <w:marLeft w:val="0"/>
          <w:marRight w:val="0"/>
          <w:marTop w:val="0"/>
          <w:marBottom w:val="0"/>
          <w:divBdr>
            <w:top w:val="none" w:sz="0" w:space="0" w:color="auto"/>
            <w:left w:val="none" w:sz="0" w:space="0" w:color="auto"/>
            <w:bottom w:val="none" w:sz="0" w:space="0" w:color="auto"/>
            <w:right w:val="none" w:sz="0" w:space="0" w:color="auto"/>
          </w:divBdr>
        </w:div>
        <w:div w:id="493840117">
          <w:marLeft w:val="0"/>
          <w:marRight w:val="0"/>
          <w:marTop w:val="0"/>
          <w:marBottom w:val="0"/>
          <w:divBdr>
            <w:top w:val="none" w:sz="0" w:space="0" w:color="auto"/>
            <w:left w:val="none" w:sz="0" w:space="0" w:color="auto"/>
            <w:bottom w:val="none" w:sz="0" w:space="0" w:color="auto"/>
            <w:right w:val="none" w:sz="0" w:space="0" w:color="auto"/>
          </w:divBdr>
        </w:div>
        <w:div w:id="2047438410">
          <w:marLeft w:val="0"/>
          <w:marRight w:val="0"/>
          <w:marTop w:val="0"/>
          <w:marBottom w:val="0"/>
          <w:divBdr>
            <w:top w:val="none" w:sz="0" w:space="0" w:color="auto"/>
            <w:left w:val="none" w:sz="0" w:space="0" w:color="auto"/>
            <w:bottom w:val="none" w:sz="0" w:space="0" w:color="auto"/>
            <w:right w:val="none" w:sz="0" w:space="0" w:color="auto"/>
          </w:divBdr>
        </w:div>
      </w:divsChild>
    </w:div>
    <w:div w:id="997226294">
      <w:bodyDiv w:val="1"/>
      <w:marLeft w:val="0"/>
      <w:marRight w:val="0"/>
      <w:marTop w:val="0"/>
      <w:marBottom w:val="0"/>
      <w:divBdr>
        <w:top w:val="none" w:sz="0" w:space="0" w:color="auto"/>
        <w:left w:val="none" w:sz="0" w:space="0" w:color="auto"/>
        <w:bottom w:val="none" w:sz="0" w:space="0" w:color="auto"/>
        <w:right w:val="none" w:sz="0" w:space="0" w:color="auto"/>
      </w:divBdr>
      <w:divsChild>
        <w:div w:id="664473845">
          <w:marLeft w:val="0"/>
          <w:marRight w:val="0"/>
          <w:marTop w:val="0"/>
          <w:marBottom w:val="0"/>
          <w:divBdr>
            <w:top w:val="none" w:sz="0" w:space="0" w:color="auto"/>
            <w:left w:val="none" w:sz="0" w:space="0" w:color="auto"/>
            <w:bottom w:val="none" w:sz="0" w:space="0" w:color="auto"/>
            <w:right w:val="none" w:sz="0" w:space="0" w:color="auto"/>
          </w:divBdr>
          <w:divsChild>
            <w:div w:id="11298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35824">
      <w:bodyDiv w:val="1"/>
      <w:marLeft w:val="0"/>
      <w:marRight w:val="0"/>
      <w:marTop w:val="0"/>
      <w:marBottom w:val="0"/>
      <w:divBdr>
        <w:top w:val="none" w:sz="0" w:space="0" w:color="auto"/>
        <w:left w:val="none" w:sz="0" w:space="0" w:color="auto"/>
        <w:bottom w:val="none" w:sz="0" w:space="0" w:color="auto"/>
        <w:right w:val="none" w:sz="0" w:space="0" w:color="auto"/>
      </w:divBdr>
    </w:div>
    <w:div w:id="1290011279">
      <w:bodyDiv w:val="1"/>
      <w:marLeft w:val="0"/>
      <w:marRight w:val="0"/>
      <w:marTop w:val="0"/>
      <w:marBottom w:val="0"/>
      <w:divBdr>
        <w:top w:val="none" w:sz="0" w:space="0" w:color="auto"/>
        <w:left w:val="none" w:sz="0" w:space="0" w:color="auto"/>
        <w:bottom w:val="none" w:sz="0" w:space="0" w:color="auto"/>
        <w:right w:val="none" w:sz="0" w:space="0" w:color="auto"/>
      </w:divBdr>
      <w:divsChild>
        <w:div w:id="638455767">
          <w:marLeft w:val="0"/>
          <w:marRight w:val="0"/>
          <w:marTop w:val="0"/>
          <w:marBottom w:val="0"/>
          <w:divBdr>
            <w:top w:val="none" w:sz="0" w:space="0" w:color="auto"/>
            <w:left w:val="none" w:sz="0" w:space="0" w:color="auto"/>
            <w:bottom w:val="none" w:sz="0" w:space="0" w:color="auto"/>
            <w:right w:val="none" w:sz="0" w:space="0" w:color="auto"/>
          </w:divBdr>
        </w:div>
      </w:divsChild>
    </w:div>
    <w:div w:id="1443763613">
      <w:bodyDiv w:val="1"/>
      <w:marLeft w:val="0"/>
      <w:marRight w:val="0"/>
      <w:marTop w:val="0"/>
      <w:marBottom w:val="0"/>
      <w:divBdr>
        <w:top w:val="none" w:sz="0" w:space="0" w:color="auto"/>
        <w:left w:val="none" w:sz="0" w:space="0" w:color="auto"/>
        <w:bottom w:val="none" w:sz="0" w:space="0" w:color="auto"/>
        <w:right w:val="none" w:sz="0" w:space="0" w:color="auto"/>
      </w:divBdr>
    </w:div>
    <w:div w:id="1473519703">
      <w:bodyDiv w:val="1"/>
      <w:marLeft w:val="0"/>
      <w:marRight w:val="0"/>
      <w:marTop w:val="0"/>
      <w:marBottom w:val="0"/>
      <w:divBdr>
        <w:top w:val="none" w:sz="0" w:space="0" w:color="auto"/>
        <w:left w:val="none" w:sz="0" w:space="0" w:color="auto"/>
        <w:bottom w:val="none" w:sz="0" w:space="0" w:color="auto"/>
        <w:right w:val="none" w:sz="0" w:space="0" w:color="auto"/>
      </w:divBdr>
      <w:divsChild>
        <w:div w:id="1729375258">
          <w:marLeft w:val="0"/>
          <w:marRight w:val="0"/>
          <w:marTop w:val="0"/>
          <w:marBottom w:val="0"/>
          <w:divBdr>
            <w:top w:val="none" w:sz="0" w:space="0" w:color="auto"/>
            <w:left w:val="none" w:sz="0" w:space="0" w:color="auto"/>
            <w:bottom w:val="none" w:sz="0" w:space="0" w:color="auto"/>
            <w:right w:val="none" w:sz="0" w:space="0" w:color="auto"/>
          </w:divBdr>
        </w:div>
      </w:divsChild>
    </w:div>
    <w:div w:id="1494637608">
      <w:bodyDiv w:val="1"/>
      <w:marLeft w:val="0"/>
      <w:marRight w:val="0"/>
      <w:marTop w:val="0"/>
      <w:marBottom w:val="0"/>
      <w:divBdr>
        <w:top w:val="none" w:sz="0" w:space="0" w:color="auto"/>
        <w:left w:val="none" w:sz="0" w:space="0" w:color="auto"/>
        <w:bottom w:val="none" w:sz="0" w:space="0" w:color="auto"/>
        <w:right w:val="none" w:sz="0" w:space="0" w:color="auto"/>
      </w:divBdr>
    </w:div>
    <w:div w:id="1673336866">
      <w:bodyDiv w:val="1"/>
      <w:marLeft w:val="0"/>
      <w:marRight w:val="0"/>
      <w:marTop w:val="0"/>
      <w:marBottom w:val="0"/>
      <w:divBdr>
        <w:top w:val="none" w:sz="0" w:space="0" w:color="auto"/>
        <w:left w:val="none" w:sz="0" w:space="0" w:color="auto"/>
        <w:bottom w:val="none" w:sz="0" w:space="0" w:color="auto"/>
        <w:right w:val="none" w:sz="0" w:space="0" w:color="auto"/>
      </w:divBdr>
      <w:divsChild>
        <w:div w:id="794909971">
          <w:marLeft w:val="0"/>
          <w:marRight w:val="0"/>
          <w:marTop w:val="0"/>
          <w:marBottom w:val="0"/>
          <w:divBdr>
            <w:top w:val="none" w:sz="0" w:space="0" w:color="auto"/>
            <w:left w:val="none" w:sz="0" w:space="0" w:color="auto"/>
            <w:bottom w:val="none" w:sz="0" w:space="0" w:color="auto"/>
            <w:right w:val="none" w:sz="0" w:space="0" w:color="auto"/>
          </w:divBdr>
        </w:div>
      </w:divsChild>
    </w:div>
    <w:div w:id="1867205899">
      <w:bodyDiv w:val="1"/>
      <w:marLeft w:val="0"/>
      <w:marRight w:val="0"/>
      <w:marTop w:val="0"/>
      <w:marBottom w:val="0"/>
      <w:divBdr>
        <w:top w:val="none" w:sz="0" w:space="0" w:color="auto"/>
        <w:left w:val="none" w:sz="0" w:space="0" w:color="auto"/>
        <w:bottom w:val="none" w:sz="0" w:space="0" w:color="auto"/>
        <w:right w:val="none" w:sz="0" w:space="0" w:color="auto"/>
      </w:divBdr>
      <w:divsChild>
        <w:div w:id="2118910530">
          <w:marLeft w:val="0"/>
          <w:marRight w:val="0"/>
          <w:marTop w:val="0"/>
          <w:marBottom w:val="0"/>
          <w:divBdr>
            <w:top w:val="none" w:sz="0" w:space="0" w:color="auto"/>
            <w:left w:val="none" w:sz="0" w:space="0" w:color="auto"/>
            <w:bottom w:val="none" w:sz="0" w:space="0" w:color="auto"/>
            <w:right w:val="none" w:sz="0" w:space="0" w:color="auto"/>
          </w:divBdr>
          <w:divsChild>
            <w:div w:id="522330470">
              <w:marLeft w:val="0"/>
              <w:marRight w:val="0"/>
              <w:marTop w:val="120"/>
              <w:marBottom w:val="0"/>
              <w:divBdr>
                <w:top w:val="none" w:sz="0" w:space="0" w:color="auto"/>
                <w:left w:val="none" w:sz="0" w:space="0" w:color="auto"/>
                <w:bottom w:val="none" w:sz="0" w:space="0" w:color="auto"/>
                <w:right w:val="none" w:sz="0" w:space="0" w:color="auto"/>
              </w:divBdr>
            </w:div>
            <w:div w:id="1468864020">
              <w:marLeft w:val="0"/>
              <w:marRight w:val="0"/>
              <w:marTop w:val="0"/>
              <w:marBottom w:val="0"/>
              <w:divBdr>
                <w:top w:val="none" w:sz="0" w:space="0" w:color="auto"/>
                <w:left w:val="none" w:sz="0" w:space="0" w:color="auto"/>
                <w:bottom w:val="none" w:sz="0" w:space="0" w:color="auto"/>
                <w:right w:val="none" w:sz="0" w:space="0" w:color="auto"/>
              </w:divBdr>
            </w:div>
          </w:divsChild>
        </w:div>
        <w:div w:id="886768249">
          <w:marLeft w:val="0"/>
          <w:marRight w:val="0"/>
          <w:marTop w:val="0"/>
          <w:marBottom w:val="0"/>
          <w:divBdr>
            <w:top w:val="none" w:sz="0" w:space="0" w:color="auto"/>
            <w:left w:val="none" w:sz="0" w:space="0" w:color="auto"/>
            <w:bottom w:val="none" w:sz="0" w:space="0" w:color="auto"/>
            <w:right w:val="none" w:sz="0" w:space="0" w:color="auto"/>
          </w:divBdr>
          <w:divsChild>
            <w:div w:id="439571533">
              <w:marLeft w:val="0"/>
              <w:marRight w:val="0"/>
              <w:marTop w:val="120"/>
              <w:marBottom w:val="0"/>
              <w:divBdr>
                <w:top w:val="none" w:sz="0" w:space="0" w:color="auto"/>
                <w:left w:val="none" w:sz="0" w:space="0" w:color="auto"/>
                <w:bottom w:val="none" w:sz="0" w:space="0" w:color="auto"/>
                <w:right w:val="none" w:sz="0" w:space="0" w:color="auto"/>
              </w:divBdr>
            </w:div>
            <w:div w:id="107801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53404">
      <w:bodyDiv w:val="1"/>
      <w:marLeft w:val="0"/>
      <w:marRight w:val="0"/>
      <w:marTop w:val="0"/>
      <w:marBottom w:val="0"/>
      <w:divBdr>
        <w:top w:val="none" w:sz="0" w:space="0" w:color="auto"/>
        <w:left w:val="none" w:sz="0" w:space="0" w:color="auto"/>
        <w:bottom w:val="none" w:sz="0" w:space="0" w:color="auto"/>
        <w:right w:val="none" w:sz="0" w:space="0" w:color="auto"/>
      </w:divBdr>
      <w:divsChild>
        <w:div w:id="1182478924">
          <w:marLeft w:val="0"/>
          <w:marRight w:val="0"/>
          <w:marTop w:val="0"/>
          <w:marBottom w:val="0"/>
          <w:divBdr>
            <w:top w:val="none" w:sz="0" w:space="0" w:color="auto"/>
            <w:left w:val="none" w:sz="0" w:space="0" w:color="auto"/>
            <w:bottom w:val="none" w:sz="0" w:space="0" w:color="auto"/>
            <w:right w:val="none" w:sz="0" w:space="0" w:color="auto"/>
          </w:divBdr>
          <w:divsChild>
            <w:div w:id="1282302935">
              <w:marLeft w:val="0"/>
              <w:marRight w:val="0"/>
              <w:marTop w:val="0"/>
              <w:marBottom w:val="0"/>
              <w:divBdr>
                <w:top w:val="none" w:sz="0" w:space="0" w:color="auto"/>
                <w:left w:val="none" w:sz="0" w:space="0" w:color="auto"/>
                <w:bottom w:val="none" w:sz="0" w:space="0" w:color="auto"/>
                <w:right w:val="none" w:sz="0" w:space="0" w:color="auto"/>
              </w:divBdr>
            </w:div>
            <w:div w:id="1212306033">
              <w:marLeft w:val="0"/>
              <w:marRight w:val="0"/>
              <w:marTop w:val="0"/>
              <w:marBottom w:val="0"/>
              <w:divBdr>
                <w:top w:val="none" w:sz="0" w:space="0" w:color="auto"/>
                <w:left w:val="none" w:sz="0" w:space="0" w:color="auto"/>
                <w:bottom w:val="none" w:sz="0" w:space="0" w:color="auto"/>
                <w:right w:val="none" w:sz="0" w:space="0" w:color="auto"/>
              </w:divBdr>
            </w:div>
            <w:div w:id="2038121352">
              <w:marLeft w:val="0"/>
              <w:marRight w:val="0"/>
              <w:marTop w:val="0"/>
              <w:marBottom w:val="0"/>
              <w:divBdr>
                <w:top w:val="none" w:sz="0" w:space="0" w:color="auto"/>
                <w:left w:val="none" w:sz="0" w:space="0" w:color="auto"/>
                <w:bottom w:val="none" w:sz="0" w:space="0" w:color="auto"/>
                <w:right w:val="none" w:sz="0" w:space="0" w:color="auto"/>
              </w:divBdr>
            </w:div>
            <w:div w:id="1854957125">
              <w:marLeft w:val="0"/>
              <w:marRight w:val="0"/>
              <w:marTop w:val="0"/>
              <w:marBottom w:val="0"/>
              <w:divBdr>
                <w:top w:val="none" w:sz="0" w:space="0" w:color="auto"/>
                <w:left w:val="none" w:sz="0" w:space="0" w:color="auto"/>
                <w:bottom w:val="none" w:sz="0" w:space="0" w:color="auto"/>
                <w:right w:val="none" w:sz="0" w:space="0" w:color="auto"/>
              </w:divBdr>
            </w:div>
            <w:div w:id="872379285">
              <w:marLeft w:val="0"/>
              <w:marRight w:val="0"/>
              <w:marTop w:val="0"/>
              <w:marBottom w:val="0"/>
              <w:divBdr>
                <w:top w:val="none" w:sz="0" w:space="0" w:color="auto"/>
                <w:left w:val="none" w:sz="0" w:space="0" w:color="auto"/>
                <w:bottom w:val="none" w:sz="0" w:space="0" w:color="auto"/>
                <w:right w:val="none" w:sz="0" w:space="0" w:color="auto"/>
              </w:divBdr>
            </w:div>
          </w:divsChild>
        </w:div>
        <w:div w:id="1264194226">
          <w:marLeft w:val="0"/>
          <w:marRight w:val="0"/>
          <w:marTop w:val="0"/>
          <w:marBottom w:val="0"/>
          <w:divBdr>
            <w:top w:val="none" w:sz="0" w:space="0" w:color="auto"/>
            <w:left w:val="none" w:sz="0" w:space="0" w:color="auto"/>
            <w:bottom w:val="none" w:sz="0" w:space="0" w:color="auto"/>
            <w:right w:val="none" w:sz="0" w:space="0" w:color="auto"/>
          </w:divBdr>
          <w:divsChild>
            <w:div w:id="252783257">
              <w:marLeft w:val="0"/>
              <w:marRight w:val="0"/>
              <w:marTop w:val="0"/>
              <w:marBottom w:val="0"/>
              <w:divBdr>
                <w:top w:val="none" w:sz="0" w:space="0" w:color="auto"/>
                <w:left w:val="none" w:sz="0" w:space="0" w:color="auto"/>
                <w:bottom w:val="none" w:sz="0" w:space="0" w:color="auto"/>
                <w:right w:val="none" w:sz="0" w:space="0" w:color="auto"/>
              </w:divBdr>
            </w:div>
            <w:div w:id="656692704">
              <w:marLeft w:val="0"/>
              <w:marRight w:val="0"/>
              <w:marTop w:val="0"/>
              <w:marBottom w:val="0"/>
              <w:divBdr>
                <w:top w:val="none" w:sz="0" w:space="0" w:color="auto"/>
                <w:left w:val="none" w:sz="0" w:space="0" w:color="auto"/>
                <w:bottom w:val="none" w:sz="0" w:space="0" w:color="auto"/>
                <w:right w:val="none" w:sz="0" w:space="0" w:color="auto"/>
              </w:divBdr>
            </w:div>
            <w:div w:id="517279103">
              <w:marLeft w:val="0"/>
              <w:marRight w:val="0"/>
              <w:marTop w:val="0"/>
              <w:marBottom w:val="0"/>
              <w:divBdr>
                <w:top w:val="none" w:sz="0" w:space="0" w:color="auto"/>
                <w:left w:val="none" w:sz="0" w:space="0" w:color="auto"/>
                <w:bottom w:val="none" w:sz="0" w:space="0" w:color="auto"/>
                <w:right w:val="none" w:sz="0" w:space="0" w:color="auto"/>
              </w:divBdr>
            </w:div>
            <w:div w:id="178661410">
              <w:marLeft w:val="0"/>
              <w:marRight w:val="0"/>
              <w:marTop w:val="0"/>
              <w:marBottom w:val="0"/>
              <w:divBdr>
                <w:top w:val="none" w:sz="0" w:space="0" w:color="auto"/>
                <w:left w:val="none" w:sz="0" w:space="0" w:color="auto"/>
                <w:bottom w:val="none" w:sz="0" w:space="0" w:color="auto"/>
                <w:right w:val="none" w:sz="0" w:space="0" w:color="auto"/>
              </w:divBdr>
            </w:div>
            <w:div w:id="1287010443">
              <w:marLeft w:val="0"/>
              <w:marRight w:val="0"/>
              <w:marTop w:val="0"/>
              <w:marBottom w:val="0"/>
              <w:divBdr>
                <w:top w:val="none" w:sz="0" w:space="0" w:color="auto"/>
                <w:left w:val="none" w:sz="0" w:space="0" w:color="auto"/>
                <w:bottom w:val="none" w:sz="0" w:space="0" w:color="auto"/>
                <w:right w:val="none" w:sz="0" w:space="0" w:color="auto"/>
              </w:divBdr>
            </w:div>
          </w:divsChild>
        </w:div>
        <w:div w:id="702677170">
          <w:marLeft w:val="0"/>
          <w:marRight w:val="0"/>
          <w:marTop w:val="0"/>
          <w:marBottom w:val="0"/>
          <w:divBdr>
            <w:top w:val="none" w:sz="0" w:space="0" w:color="auto"/>
            <w:left w:val="none" w:sz="0" w:space="0" w:color="auto"/>
            <w:bottom w:val="none" w:sz="0" w:space="0" w:color="auto"/>
            <w:right w:val="none" w:sz="0" w:space="0" w:color="auto"/>
          </w:divBdr>
          <w:divsChild>
            <w:div w:id="441463636">
              <w:marLeft w:val="0"/>
              <w:marRight w:val="0"/>
              <w:marTop w:val="0"/>
              <w:marBottom w:val="0"/>
              <w:divBdr>
                <w:top w:val="none" w:sz="0" w:space="0" w:color="auto"/>
                <w:left w:val="none" w:sz="0" w:space="0" w:color="auto"/>
                <w:bottom w:val="none" w:sz="0" w:space="0" w:color="auto"/>
                <w:right w:val="none" w:sz="0" w:space="0" w:color="auto"/>
              </w:divBdr>
            </w:div>
            <w:div w:id="12923116">
              <w:marLeft w:val="0"/>
              <w:marRight w:val="0"/>
              <w:marTop w:val="0"/>
              <w:marBottom w:val="0"/>
              <w:divBdr>
                <w:top w:val="none" w:sz="0" w:space="0" w:color="auto"/>
                <w:left w:val="none" w:sz="0" w:space="0" w:color="auto"/>
                <w:bottom w:val="none" w:sz="0" w:space="0" w:color="auto"/>
                <w:right w:val="none" w:sz="0" w:space="0" w:color="auto"/>
              </w:divBdr>
            </w:div>
            <w:div w:id="2111899109">
              <w:marLeft w:val="0"/>
              <w:marRight w:val="0"/>
              <w:marTop w:val="0"/>
              <w:marBottom w:val="0"/>
              <w:divBdr>
                <w:top w:val="none" w:sz="0" w:space="0" w:color="auto"/>
                <w:left w:val="none" w:sz="0" w:space="0" w:color="auto"/>
                <w:bottom w:val="none" w:sz="0" w:space="0" w:color="auto"/>
                <w:right w:val="none" w:sz="0" w:space="0" w:color="auto"/>
              </w:divBdr>
            </w:div>
            <w:div w:id="1440565550">
              <w:marLeft w:val="0"/>
              <w:marRight w:val="0"/>
              <w:marTop w:val="0"/>
              <w:marBottom w:val="0"/>
              <w:divBdr>
                <w:top w:val="none" w:sz="0" w:space="0" w:color="auto"/>
                <w:left w:val="none" w:sz="0" w:space="0" w:color="auto"/>
                <w:bottom w:val="none" w:sz="0" w:space="0" w:color="auto"/>
                <w:right w:val="none" w:sz="0" w:space="0" w:color="auto"/>
              </w:divBdr>
            </w:div>
            <w:div w:id="517307398">
              <w:marLeft w:val="0"/>
              <w:marRight w:val="0"/>
              <w:marTop w:val="0"/>
              <w:marBottom w:val="0"/>
              <w:divBdr>
                <w:top w:val="none" w:sz="0" w:space="0" w:color="auto"/>
                <w:left w:val="none" w:sz="0" w:space="0" w:color="auto"/>
                <w:bottom w:val="none" w:sz="0" w:space="0" w:color="auto"/>
                <w:right w:val="none" w:sz="0" w:space="0" w:color="auto"/>
              </w:divBdr>
            </w:div>
          </w:divsChild>
        </w:div>
        <w:div w:id="1245796678">
          <w:marLeft w:val="0"/>
          <w:marRight w:val="0"/>
          <w:marTop w:val="0"/>
          <w:marBottom w:val="0"/>
          <w:divBdr>
            <w:top w:val="none" w:sz="0" w:space="0" w:color="auto"/>
            <w:left w:val="none" w:sz="0" w:space="0" w:color="auto"/>
            <w:bottom w:val="none" w:sz="0" w:space="0" w:color="auto"/>
            <w:right w:val="none" w:sz="0" w:space="0" w:color="auto"/>
          </w:divBdr>
          <w:divsChild>
            <w:div w:id="725757442">
              <w:marLeft w:val="0"/>
              <w:marRight w:val="0"/>
              <w:marTop w:val="0"/>
              <w:marBottom w:val="0"/>
              <w:divBdr>
                <w:top w:val="none" w:sz="0" w:space="0" w:color="auto"/>
                <w:left w:val="none" w:sz="0" w:space="0" w:color="auto"/>
                <w:bottom w:val="none" w:sz="0" w:space="0" w:color="auto"/>
                <w:right w:val="none" w:sz="0" w:space="0" w:color="auto"/>
              </w:divBdr>
            </w:div>
            <w:div w:id="431827637">
              <w:marLeft w:val="0"/>
              <w:marRight w:val="0"/>
              <w:marTop w:val="0"/>
              <w:marBottom w:val="0"/>
              <w:divBdr>
                <w:top w:val="none" w:sz="0" w:space="0" w:color="auto"/>
                <w:left w:val="none" w:sz="0" w:space="0" w:color="auto"/>
                <w:bottom w:val="none" w:sz="0" w:space="0" w:color="auto"/>
                <w:right w:val="none" w:sz="0" w:space="0" w:color="auto"/>
              </w:divBdr>
            </w:div>
            <w:div w:id="1887914411">
              <w:marLeft w:val="0"/>
              <w:marRight w:val="0"/>
              <w:marTop w:val="0"/>
              <w:marBottom w:val="0"/>
              <w:divBdr>
                <w:top w:val="none" w:sz="0" w:space="0" w:color="auto"/>
                <w:left w:val="none" w:sz="0" w:space="0" w:color="auto"/>
                <w:bottom w:val="none" w:sz="0" w:space="0" w:color="auto"/>
                <w:right w:val="none" w:sz="0" w:space="0" w:color="auto"/>
              </w:divBdr>
            </w:div>
            <w:div w:id="1228615606">
              <w:marLeft w:val="0"/>
              <w:marRight w:val="0"/>
              <w:marTop w:val="0"/>
              <w:marBottom w:val="0"/>
              <w:divBdr>
                <w:top w:val="none" w:sz="0" w:space="0" w:color="auto"/>
                <w:left w:val="none" w:sz="0" w:space="0" w:color="auto"/>
                <w:bottom w:val="none" w:sz="0" w:space="0" w:color="auto"/>
                <w:right w:val="none" w:sz="0" w:space="0" w:color="auto"/>
              </w:divBdr>
            </w:div>
            <w:div w:id="1879005008">
              <w:marLeft w:val="0"/>
              <w:marRight w:val="0"/>
              <w:marTop w:val="0"/>
              <w:marBottom w:val="0"/>
              <w:divBdr>
                <w:top w:val="none" w:sz="0" w:space="0" w:color="auto"/>
                <w:left w:val="none" w:sz="0" w:space="0" w:color="auto"/>
                <w:bottom w:val="none" w:sz="0" w:space="0" w:color="auto"/>
                <w:right w:val="none" w:sz="0" w:space="0" w:color="auto"/>
              </w:divBdr>
            </w:div>
          </w:divsChild>
        </w:div>
        <w:div w:id="2119522956">
          <w:marLeft w:val="0"/>
          <w:marRight w:val="0"/>
          <w:marTop w:val="0"/>
          <w:marBottom w:val="0"/>
          <w:divBdr>
            <w:top w:val="none" w:sz="0" w:space="0" w:color="auto"/>
            <w:left w:val="none" w:sz="0" w:space="0" w:color="auto"/>
            <w:bottom w:val="none" w:sz="0" w:space="0" w:color="auto"/>
            <w:right w:val="none" w:sz="0" w:space="0" w:color="auto"/>
          </w:divBdr>
        </w:div>
        <w:div w:id="1651665178">
          <w:marLeft w:val="0"/>
          <w:marRight w:val="0"/>
          <w:marTop w:val="0"/>
          <w:marBottom w:val="0"/>
          <w:divBdr>
            <w:top w:val="none" w:sz="0" w:space="0" w:color="auto"/>
            <w:left w:val="none" w:sz="0" w:space="0" w:color="auto"/>
            <w:bottom w:val="none" w:sz="0" w:space="0" w:color="auto"/>
            <w:right w:val="none" w:sz="0" w:space="0" w:color="auto"/>
          </w:divBdr>
        </w:div>
        <w:div w:id="660158006">
          <w:marLeft w:val="0"/>
          <w:marRight w:val="0"/>
          <w:marTop w:val="0"/>
          <w:marBottom w:val="0"/>
          <w:divBdr>
            <w:top w:val="none" w:sz="0" w:space="0" w:color="auto"/>
            <w:left w:val="none" w:sz="0" w:space="0" w:color="auto"/>
            <w:bottom w:val="none" w:sz="0" w:space="0" w:color="auto"/>
            <w:right w:val="none" w:sz="0" w:space="0" w:color="auto"/>
          </w:divBdr>
        </w:div>
        <w:div w:id="1082486059">
          <w:marLeft w:val="0"/>
          <w:marRight w:val="0"/>
          <w:marTop w:val="0"/>
          <w:marBottom w:val="0"/>
          <w:divBdr>
            <w:top w:val="none" w:sz="0" w:space="0" w:color="auto"/>
            <w:left w:val="none" w:sz="0" w:space="0" w:color="auto"/>
            <w:bottom w:val="none" w:sz="0" w:space="0" w:color="auto"/>
            <w:right w:val="none" w:sz="0" w:space="0" w:color="auto"/>
          </w:divBdr>
        </w:div>
        <w:div w:id="803697535">
          <w:marLeft w:val="0"/>
          <w:marRight w:val="0"/>
          <w:marTop w:val="0"/>
          <w:marBottom w:val="0"/>
          <w:divBdr>
            <w:top w:val="none" w:sz="0" w:space="0" w:color="auto"/>
            <w:left w:val="none" w:sz="0" w:space="0" w:color="auto"/>
            <w:bottom w:val="none" w:sz="0" w:space="0" w:color="auto"/>
            <w:right w:val="none" w:sz="0" w:space="0" w:color="auto"/>
          </w:divBdr>
        </w:div>
      </w:divsChild>
    </w:div>
    <w:div w:id="1913273979">
      <w:bodyDiv w:val="1"/>
      <w:marLeft w:val="0"/>
      <w:marRight w:val="0"/>
      <w:marTop w:val="0"/>
      <w:marBottom w:val="0"/>
      <w:divBdr>
        <w:top w:val="none" w:sz="0" w:space="0" w:color="auto"/>
        <w:left w:val="none" w:sz="0" w:space="0" w:color="auto"/>
        <w:bottom w:val="none" w:sz="0" w:space="0" w:color="auto"/>
        <w:right w:val="none" w:sz="0" w:space="0" w:color="auto"/>
      </w:divBdr>
    </w:div>
    <w:div w:id="2029721610">
      <w:bodyDiv w:val="1"/>
      <w:marLeft w:val="0"/>
      <w:marRight w:val="0"/>
      <w:marTop w:val="0"/>
      <w:marBottom w:val="0"/>
      <w:divBdr>
        <w:top w:val="none" w:sz="0" w:space="0" w:color="auto"/>
        <w:left w:val="none" w:sz="0" w:space="0" w:color="auto"/>
        <w:bottom w:val="none" w:sz="0" w:space="0" w:color="auto"/>
        <w:right w:val="none" w:sz="0" w:space="0" w:color="auto"/>
      </w:divBdr>
    </w:div>
    <w:div w:id="214561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2cae6aa4268346bf"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721d2ea249f14507"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law/better-regulation/have-your-say/initiatives/12992-Substante-chimice-simplificarea-si-digitalizarea-cerintelor-de-etichetare/feedback_ro?p_id=25999602" TargetMode="External"/><Relationship Id="rId2" Type="http://schemas.openxmlformats.org/officeDocument/2006/relationships/hyperlink" Target="https://ec.europa.eu/info/law/better-regulation/have-your-say/initiatives/13197-Strategia-UE-pentru-promovarea-sustenabilitatii-in-domeniul-substantelor-chimice-regulamentul-privind-produsele-cosmetice-revizuire-_ro" TargetMode="External"/><Relationship Id="rId1" Type="http://schemas.openxmlformats.org/officeDocument/2006/relationships/hyperlink" Target="https://ec.europa.eu/info/law/better-regulation/have-your-say/initiatives/13116-Detergenti-simplificarea-si-actualizarea-normelor-UE_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8" ma:contentTypeDescription="Create a new document." ma:contentTypeScope="" ma:versionID="de18c3c07a4350fed90f4d255fcc0cce">
  <xsd:schema xmlns:xsd="http://www.w3.org/2001/XMLSchema" xmlns:xs="http://www.w3.org/2001/XMLSchema" xmlns:p="http://schemas.microsoft.com/office/2006/metadata/properties" xmlns:ns2="a280f3ed-f921-4226-9525-27fa6d577539" xmlns:ns3="278287c8-5be4-4613-8138-480f9be48247" targetNamespace="http://schemas.microsoft.com/office/2006/metadata/properties" ma:root="true" ma:fieldsID="54ffe0618738853778dfb65892242a02" ns2:_="" ns3:_="">
    <xsd:import namespace="a280f3ed-f921-4226-9525-27fa6d577539"/>
    <xsd:import namespace="278287c8-5be4-4613-8138-480f9be482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8287c8-5be4-4613-8138-480f9be482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429B6C4-A4B0-4625-9A1E-61E628FEDD52}">
  <ds:schemaRefs>
    <ds:schemaRef ds:uri="http://schemas.microsoft.com/sharepoint/v3/contenttype/forms"/>
  </ds:schemaRefs>
</ds:datastoreItem>
</file>

<file path=customXml/itemProps2.xml><?xml version="1.0" encoding="utf-8"?>
<ds:datastoreItem xmlns:ds="http://schemas.openxmlformats.org/officeDocument/2006/customXml" ds:itemID="{BC0E92B3-2610-489E-B22B-538C4A506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2300EB-276C-4C10-B22B-B9EB30E43FC0}">
  <ds:schemaRefs>
    <ds:schemaRef ds:uri="http://purl.org/dc/elements/1.1/"/>
    <ds:schemaRef ds:uri="http://schemas.microsoft.com/office/2006/metadata/properties"/>
    <ds:schemaRef ds:uri="a280f3ed-f921-4226-9525-27fa6d577539"/>
    <ds:schemaRef ds:uri="http://purl.org/dc/terms/"/>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59493976-2822-4285-B656-201FC137A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197</TotalTime>
  <Pages>21</Pages>
  <Words>8372</Words>
  <Characters>50485</Characters>
  <Application>Microsoft Office Word</Application>
  <DocSecurity>0</DocSecurity>
  <Lines>776</Lines>
  <Paragraphs>241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137</cp:revision>
  <cp:lastPrinted>2022-11-17T15:16:00Z</cp:lastPrinted>
  <dcterms:created xsi:type="dcterms:W3CDTF">2023-01-20T13:01:00Z</dcterms:created>
  <dcterms:modified xsi:type="dcterms:W3CDTF">2023-02-22T08:46:00Z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8.1, Build 20230124</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ContentTypeId">
    <vt:lpwstr>0x010100F099A588E0F14746BFAC081FD6A566B8</vt:lpwstr>
  </property>
  <property fmtid="{D5CDD505-2E9C-101B-9397-08002B2CF9AE}" pid="11" name="MSIP_Label_6bd9ddd1-4d20-43f6-abfa-fc3c07406f94_Enabled">
    <vt:lpwstr>true</vt:lpwstr>
  </property>
  <property fmtid="{D5CDD505-2E9C-101B-9397-08002B2CF9AE}" pid="12" name="MSIP_Label_6bd9ddd1-4d20-43f6-abfa-fc3c07406f94_SetDate">
    <vt:lpwstr>2022-09-30T12:56:21Z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8082d34a-fa8c-41db-9d9e-501ba9b9ffcd</vt:lpwstr>
  </property>
  <property fmtid="{D5CDD505-2E9C-101B-9397-08002B2CF9AE}" pid="17" name="MSIP_Label_6bd9ddd1-4d20-43f6-abfa-fc3c07406f94_ContentBits">
    <vt:lpwstr>0</vt:lpwstr>
  </property>
  <property fmtid="{D5CDD505-2E9C-101B-9397-08002B2CF9AE}" pid="18" name="DQCStatus">
    <vt:lpwstr>Green (DQC version 03)</vt:lpwstr>
  </property>
</Properties>
</file>