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16C" w:rsidRPr="00852CA0" w:rsidRDefault="00DB537E" w:rsidP="00DB537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7F70B8E-7F78-4C38-ABF3-1BA375583304" style="width:455.25pt;height:355.5pt">
            <v:imagedata r:id="rId8" o:title=""/>
          </v:shape>
        </w:pict>
      </w:r>
    </w:p>
    <w:p w:rsidR="00ED216C" w:rsidRPr="00852CA0" w:rsidRDefault="00ED216C" w:rsidP="00ED216C">
      <w:pPr>
        <w:rPr>
          <w:noProof/>
        </w:rPr>
        <w:sectPr w:rsidR="00ED216C" w:rsidRPr="00852CA0" w:rsidSect="00DB537E">
          <w:footerReference w:type="even" r:id="rId9"/>
          <w:footerReference w:type="default" r:id="rId10"/>
          <w:pgSz w:w="11907" w:h="16839"/>
          <w:pgMar w:top="1134" w:right="1417" w:bottom="1134" w:left="1417" w:header="709" w:footer="709" w:gutter="0"/>
          <w:pgNumType w:start="0"/>
          <w:cols w:space="720"/>
          <w:docGrid w:linePitch="360"/>
        </w:sectPr>
      </w:pPr>
    </w:p>
    <w:p w:rsidR="00ED216C" w:rsidRPr="00852CA0" w:rsidRDefault="00ED216C" w:rsidP="00BB6B30">
      <w:pPr>
        <w:pStyle w:val="Exposdesmotifstitre"/>
        <w:rPr>
          <w:noProof/>
        </w:rPr>
      </w:pPr>
      <w:bookmarkStart w:id="0" w:name="_GoBack"/>
      <w:bookmarkEnd w:id="0"/>
      <w:r w:rsidRPr="00852CA0">
        <w:rPr>
          <w:noProof/>
        </w:rPr>
        <w:lastRenderedPageBreak/>
        <w:t>EXPUNERE DE MOTIVE</w:t>
      </w:r>
    </w:p>
    <w:p w:rsidR="00ED216C" w:rsidRPr="00852CA0" w:rsidRDefault="00ED216C" w:rsidP="00BB6B30">
      <w:pPr>
        <w:pStyle w:val="ManualHeading1"/>
        <w:rPr>
          <w:noProof/>
        </w:rPr>
      </w:pPr>
      <w:r w:rsidRPr="00852CA0">
        <w:rPr>
          <w:noProof/>
        </w:rPr>
        <w:t>1.</w:t>
      </w:r>
      <w:r w:rsidRPr="00852CA0">
        <w:rPr>
          <w:noProof/>
        </w:rPr>
        <w:tab/>
        <w:t>CONTEXTUL PROPUNERII</w:t>
      </w:r>
    </w:p>
    <w:p w:rsidR="00ED216C" w:rsidRPr="00852CA0" w:rsidRDefault="00ED216C" w:rsidP="00044058">
      <w:pPr>
        <w:pStyle w:val="ManualHeading2"/>
        <w:rPr>
          <w:rFonts w:eastAsia="Arial Unicode MS"/>
          <w:noProof/>
        </w:rPr>
      </w:pPr>
      <w:r w:rsidRPr="00852CA0">
        <w:rPr>
          <w:noProof/>
          <w:color w:val="000000"/>
          <w:u w:color="000000"/>
          <w:bdr w:val="nil"/>
        </w:rPr>
        <w:t>•</w:t>
      </w:r>
      <w:r w:rsidRPr="00852CA0">
        <w:rPr>
          <w:noProof/>
          <w:color w:val="000000"/>
          <w:u w:color="000000"/>
          <w:bdr w:val="nil"/>
        </w:rPr>
        <w:tab/>
      </w:r>
      <w:r w:rsidRPr="00852CA0">
        <w:rPr>
          <w:noProof/>
        </w:rPr>
        <w:t>Temeiurile și obiectivele propunerii</w:t>
      </w:r>
    </w:p>
    <w:p w:rsidR="00ED216C" w:rsidRPr="00852CA0" w:rsidRDefault="00ED216C" w:rsidP="00ED216C">
      <w:pPr>
        <w:rPr>
          <w:noProof/>
          <w:szCs w:val="24"/>
        </w:rPr>
      </w:pPr>
      <w:r w:rsidRPr="00852CA0">
        <w:rPr>
          <w:noProof/>
        </w:rPr>
        <w:t>Prezenta propunere se referă la decizia de stabilire a poziției care urmează să fie adoptată de statele membre în cadrul Conferinței privind Carta energiei în legătură cu adoptarea preconizată a amendamentelor propuse la Tratatul privind Carta energiei și aprobarea (i) modificărilor și schimbărilor propuse ale anexelor la Tratatul privind Carta energiei, (ii) a schimbărilor propuse ale înțelegerilor, declarațiilor și deciziilor și (iii) a unei decizii privind intrarea în vigoare și aplicarea cu titlu provizoriu a amendamentelor la Tratatul privind Carta energiei și a modificărilor anexelor sale. Adoptarea amendamentelor la Tratatul privind Carta energiei și aprobările suplimentare urmează să fie adoptate simultan de Conferința privind Carta energiei.</w:t>
      </w:r>
    </w:p>
    <w:p w:rsidR="00ED216C" w:rsidRPr="00852CA0" w:rsidRDefault="00ED216C" w:rsidP="00ED216C">
      <w:pPr>
        <w:rPr>
          <w:b/>
          <w:bCs/>
          <w:noProof/>
          <w:szCs w:val="24"/>
        </w:rPr>
      </w:pPr>
      <w:r w:rsidRPr="00852CA0">
        <w:rPr>
          <w:b/>
          <w:noProof/>
        </w:rPr>
        <w:t>Tratatul privind Carta energiei</w:t>
      </w:r>
    </w:p>
    <w:p w:rsidR="00ED216C" w:rsidRPr="00852CA0" w:rsidRDefault="00ED216C" w:rsidP="00ED216C">
      <w:pPr>
        <w:rPr>
          <w:noProof/>
          <w:szCs w:val="24"/>
        </w:rPr>
      </w:pPr>
      <w:r w:rsidRPr="00852CA0">
        <w:rPr>
          <w:noProof/>
        </w:rPr>
        <w:t>Tratatul privind Carta energiei (TCE)</w:t>
      </w:r>
      <w:r w:rsidR="00611577" w:rsidRPr="00852CA0">
        <w:rPr>
          <w:noProof/>
        </w:rPr>
        <w:t xml:space="preserve"> </w:t>
      </w:r>
      <w:bookmarkStart w:id="1" w:name="_Int_6EOkFy9V"/>
      <w:r w:rsidRPr="00852CA0">
        <w:rPr>
          <w:noProof/>
        </w:rPr>
        <w:t>este</w:t>
      </w:r>
      <w:bookmarkEnd w:id="1"/>
      <w:r w:rsidRPr="00852CA0">
        <w:rPr>
          <w:noProof/>
        </w:rPr>
        <w:t xml:space="preserve"> un acord comercial și de investiții multilateral aplicabil sectorului energetic, care a fost semnat în 1994 și a intrat în vigoare în 1998. TCE conține dispoziții privind protecția investițiilor, comerțul și tranzitul de materiale și produse energetice, precum și mecanismele de soluționare a litigiilor. TCE stabilește, de asemenea, un cadru pentru cooperarea internațională în domeniul energiei între părțile sale contractante. Uniunea Europeană este parte la TCE</w:t>
      </w:r>
      <w:r w:rsidRPr="00852CA0">
        <w:rPr>
          <w:rStyle w:val="FootnoteReference"/>
          <w:noProof/>
          <w:szCs w:val="24"/>
        </w:rPr>
        <w:footnoteReference w:id="1"/>
      </w:r>
      <w:r w:rsidRPr="00852CA0">
        <w:rPr>
          <w:noProof/>
        </w:rPr>
        <w:t>, împreună cu Euratom și cu majoritatea statelor membre ale UE, precum și cu Japonia, Regatul Unit, Elveția, Turcia și cu majoritatea țărilor din Balcanii de Vest și cu fosta URSS, cu excepția Rusiei</w:t>
      </w:r>
      <w:r w:rsidRPr="00852CA0">
        <w:rPr>
          <w:rStyle w:val="FootnoteReference"/>
          <w:noProof/>
          <w:szCs w:val="24"/>
        </w:rPr>
        <w:footnoteReference w:id="2"/>
      </w:r>
      <w:r w:rsidRPr="00852CA0">
        <w:rPr>
          <w:noProof/>
        </w:rPr>
        <w:t xml:space="preserve"> și a Belarusului</w:t>
      </w:r>
      <w:r w:rsidRPr="00852CA0">
        <w:rPr>
          <w:rStyle w:val="FootnoteReference"/>
          <w:noProof/>
          <w:szCs w:val="24"/>
        </w:rPr>
        <w:footnoteReference w:id="3"/>
      </w:r>
      <w:r w:rsidRPr="00852CA0">
        <w:rPr>
          <w:noProof/>
        </w:rPr>
        <w:t xml:space="preserve">. </w:t>
      </w:r>
      <w:bookmarkStart w:id="2" w:name="_Hlk158295638"/>
      <w:r w:rsidRPr="00852CA0">
        <w:rPr>
          <w:noProof/>
        </w:rPr>
        <w:t xml:space="preserve">La 7 iulie 2023, Comisia Europeană a prezentat o propunere de decizie a Consiliului de retragere a Uniunii Europene din TCE. Această propunere se află în prezent în curs de examinare în cadrul Consiliului. </w:t>
      </w:r>
    </w:p>
    <w:bookmarkEnd w:id="2"/>
    <w:p w:rsidR="00ED216C" w:rsidRPr="00852CA0" w:rsidRDefault="00ED216C" w:rsidP="00ED216C">
      <w:pPr>
        <w:rPr>
          <w:b/>
          <w:bCs/>
          <w:noProof/>
          <w:szCs w:val="24"/>
        </w:rPr>
      </w:pPr>
      <w:r w:rsidRPr="00852CA0">
        <w:rPr>
          <w:b/>
          <w:noProof/>
        </w:rPr>
        <w:t>Conferința privind Carta Energiei</w:t>
      </w:r>
    </w:p>
    <w:p w:rsidR="00ED216C" w:rsidRPr="00852CA0" w:rsidRDefault="00ED216C" w:rsidP="00ED216C">
      <w:pPr>
        <w:rPr>
          <w:noProof/>
          <w:szCs w:val="24"/>
        </w:rPr>
      </w:pPr>
      <w:r w:rsidRPr="00852CA0">
        <w:rPr>
          <w:noProof/>
        </w:rPr>
        <w:t xml:space="preserve">Conferința privind Carta energiei este organul de conducere și de decizie pentru Carta energiei și a fost instituită prin TCE. Toate statele sau organizațiile regionale de integrare economică (precum UE) care au semnat TCE sau au aderat la acesta sunt membre ale conferinței, care se reunește periodic pentru a discuta aspecte care afectează cooperarea în domeniul energiei între semnatarii TCE, pentru a revizui punerea în aplicare a dispozițiilor TCE și ale Protocolului privind eficiența energetică și aspectele conexe referitoare la mediu, precum și pentru a examina posibile noi instrumente și activități comune în cadrul Cartei energiei. În special, Conferința privind Carta energiei adoptă textele amendamentelor la TCE și aprobă modificările și schimbările tehnice aduse anexelor la TCE. Atunci când Conferința privind Carta energiei votează amendamentele propuse la textul TCE, decizia sa de adoptare a amendamentelor se ia prin votul în unanimitate al părților contractante prezente și care votează. UE dispune de un număr de voturi egal cu numărul statelor sale membre care sunt părți contractante la TCE, cu condiția ca UE să nu își exercite dreptul de vot în cazul în care statele sale membre își exercită dreptul lor de vot și viceversa. </w:t>
      </w:r>
    </w:p>
    <w:p w:rsidR="009151D1" w:rsidRPr="00852CA0" w:rsidRDefault="009151D1" w:rsidP="00ED216C">
      <w:pPr>
        <w:rPr>
          <w:b/>
          <w:bCs/>
          <w:noProof/>
          <w:szCs w:val="24"/>
        </w:rPr>
      </w:pPr>
    </w:p>
    <w:p w:rsidR="00ED216C" w:rsidRPr="00852CA0" w:rsidRDefault="00CC7716" w:rsidP="00ED216C">
      <w:pPr>
        <w:rPr>
          <w:b/>
          <w:bCs/>
          <w:noProof/>
          <w:szCs w:val="24"/>
        </w:rPr>
      </w:pPr>
      <w:r w:rsidRPr="00852CA0">
        <w:rPr>
          <w:b/>
          <w:noProof/>
        </w:rPr>
        <w:t>Decizii care urmează să fie luate în cadrul Conferinței privind Carta energiei</w:t>
      </w:r>
    </w:p>
    <w:p w:rsidR="00ED216C" w:rsidRPr="00852CA0" w:rsidRDefault="00A73DCC" w:rsidP="00ED216C">
      <w:pPr>
        <w:rPr>
          <w:noProof/>
        </w:rPr>
      </w:pPr>
      <w:r w:rsidRPr="00852CA0">
        <w:rPr>
          <w:noProof/>
        </w:rPr>
        <w:t xml:space="preserve">În urma celei de a 33-a reuniuni a Conferinței privind Carta energiei din 22 noiembrie 2022, se preconizează că, în cursul anului 2024, conferința va prezenta din nou părților contractante propunerea de a lua patru decizii referitoare la modernizarea TCE. Aceste decizii vor fi luate simultan pentru: </w:t>
      </w:r>
    </w:p>
    <w:p w:rsidR="00ED216C" w:rsidRPr="00852CA0" w:rsidRDefault="00ED216C" w:rsidP="00D83BC1">
      <w:pPr>
        <w:pStyle w:val="Tiret0"/>
        <w:numPr>
          <w:ilvl w:val="0"/>
          <w:numId w:val="9"/>
        </w:numPr>
        <w:rPr>
          <w:noProof/>
        </w:rPr>
      </w:pPr>
      <w:r w:rsidRPr="00852CA0">
        <w:rPr>
          <w:noProof/>
        </w:rPr>
        <w:t>a adopta amendamentele propuse la textul TCE;</w:t>
      </w:r>
    </w:p>
    <w:p w:rsidR="00ED216C" w:rsidRPr="00852CA0" w:rsidRDefault="00ED216C" w:rsidP="004A7778">
      <w:pPr>
        <w:pStyle w:val="Tiret0"/>
        <w:rPr>
          <w:noProof/>
        </w:rPr>
      </w:pPr>
      <w:r w:rsidRPr="00852CA0">
        <w:rPr>
          <w:noProof/>
        </w:rPr>
        <w:t>a aproba modificările și schimbările propuse ale anexelor la TCE;</w:t>
      </w:r>
    </w:p>
    <w:p w:rsidR="00ED216C" w:rsidRPr="00852CA0" w:rsidRDefault="00ED216C" w:rsidP="004A7778">
      <w:pPr>
        <w:pStyle w:val="Tiret0"/>
        <w:rPr>
          <w:noProof/>
        </w:rPr>
      </w:pPr>
      <w:r w:rsidRPr="00852CA0">
        <w:rPr>
          <w:noProof/>
        </w:rPr>
        <w:t>a aproba schimbările propuse ale înțelegerilor, declarațiilor și deciziilor și</w:t>
      </w:r>
    </w:p>
    <w:p w:rsidR="00ED216C" w:rsidRPr="00852CA0" w:rsidRDefault="00ED216C" w:rsidP="004A7778">
      <w:pPr>
        <w:pStyle w:val="Tiret0"/>
        <w:rPr>
          <w:noProof/>
        </w:rPr>
      </w:pPr>
      <w:r w:rsidRPr="00852CA0">
        <w:rPr>
          <w:noProof/>
        </w:rPr>
        <w:t>a aproba decizia privind intrarea în vigoare și aplicarea cu titlu provizoriu a amendamentelor la textul TCE și a schimbărilor/modificărilor anexelor la acesta.</w:t>
      </w:r>
    </w:p>
    <w:p w:rsidR="00ED216C" w:rsidRPr="00852CA0" w:rsidRDefault="00ED216C" w:rsidP="00ED216C">
      <w:pPr>
        <w:rPr>
          <w:noProof/>
        </w:rPr>
      </w:pPr>
      <w:r w:rsidRPr="00852CA0">
        <w:rPr>
          <w:noProof/>
        </w:rPr>
        <w:t>În lipsa unei actualizări substanțiale după anii 1990, TCE a devenit din ce în ce mai perimat. De asemenea, a devenit unul dintre cele mai controversate tratate de investiții din lume, statele membre ale UE fiind ținta principală a cererilor de despăgubire ale investitorilor, majoritatea având sediul în alte țări ale UE. Prin urmare, în noiembrie 2018 a fost inițiat un proces de modernizare. Conferința privind Carta energiei a aprobat mai întâi o listă de subiecte de discuție, în special în ceea ce privește dispozițiile referitoare la protecția investițiilor. Ulterior, UE a propus eliminarea măsurilor de protecție pentru investițiile în combustibilii fosili.</w:t>
      </w:r>
    </w:p>
    <w:p w:rsidR="00ED216C" w:rsidRPr="00852CA0" w:rsidRDefault="00ED216C" w:rsidP="00ED216C">
      <w:pPr>
        <w:rPr>
          <w:noProof/>
          <w:szCs w:val="24"/>
        </w:rPr>
      </w:pPr>
      <w:r w:rsidRPr="00852CA0">
        <w:rPr>
          <w:noProof/>
        </w:rPr>
        <w:t xml:space="preserve">După 15 runde de negocieri multilaterale desfășurate între iulie 2019 și iunie 2022, s-a ajuns la un „acord de principiu” în vederea încheierii negocierilor în cadrul Conferinței extraordinare privind Carta energiei din 24 iunie 2022, care a avut loc la Bruxelles. Textul revizuit al TCE și al anexelor la acesta au făcut apoi obiectul unei revizuiri juridice. Ulterior, proiectele finale de decizii care conțin textele revizuite au fost comunicate la 19 august 2022 tuturor părților contractante, inclusiv UE, Euratom și tuturor statelor membre ale UE care sunt părți contractante la TCE. </w:t>
      </w:r>
    </w:p>
    <w:p w:rsidR="00ED216C" w:rsidRPr="00852CA0" w:rsidRDefault="00E42922" w:rsidP="00ED216C">
      <w:pPr>
        <w:rPr>
          <w:noProof/>
          <w:szCs w:val="24"/>
        </w:rPr>
      </w:pPr>
      <w:r w:rsidRPr="00852CA0">
        <w:rPr>
          <w:noProof/>
        </w:rPr>
        <w:t xml:space="preserve">Deciziile legate de modernizarea TCE vor face obiectul unui vot în unanimitate. În cazul în care votul este încununat de succes, deciziile de modernizare a TCE vor fi considerate „adoptate” de Conferința privind Carta energiei. Această adoptare va declanșa procese ulterioare de ratificare, aplicare cu titlu provizoriu și, în final, de intrare în vigoare a diferitelor elemente ale pachetului de reformă. </w:t>
      </w:r>
    </w:p>
    <w:p w:rsidR="00750350" w:rsidRPr="00852CA0" w:rsidRDefault="00750350" w:rsidP="00ED216C">
      <w:pPr>
        <w:rPr>
          <w:noProof/>
        </w:rPr>
      </w:pPr>
      <w:r w:rsidRPr="00852CA0">
        <w:rPr>
          <w:noProof/>
        </w:rPr>
        <w:t>Aplicarea cu titlu provizoriu a amendamentelor la TCE și a celorlalte elemente ale modernizării va fi reglementată de decizia privind intrarea în vigoare și aplicarea provizorie a amendamentelor aduse textului TCE și a schimbărilor/modificărilor anexelor la acesta. În conformitate cu această decizie, se preconizează că modernizarea va fi aplicată cu titlu provizoriu de către toate părțile contractante în mod automat în urma adoptării, începând cu o dată prestabilită. De asemenea, orice parte contractantă poate transmite depozitarului (Portugalia) o declarație conform căreia nu este în măsură să accepte aplicarea provizorie a amendamentelor la TCE, permițând efectiv fiecărei părți contractante să renunțe la aplicarea provizorie. Secretariatul TCE va face publice aceste declarații. Chiar dacă o parte contractantă face inițial o astfel de declarație, aceasta poate în orice moment să o retragă din nou, acest lucru permițându-i să aplice modernizarea TCE cu titlu provizoriu la un moment ulterior.</w:t>
      </w:r>
    </w:p>
    <w:p w:rsidR="00E320E4" w:rsidRPr="00852CA0" w:rsidRDefault="00ED216C" w:rsidP="00ED216C">
      <w:pPr>
        <w:rPr>
          <w:noProof/>
        </w:rPr>
      </w:pPr>
      <w:r w:rsidRPr="00852CA0">
        <w:rPr>
          <w:noProof/>
        </w:rPr>
        <w:t>Prezenta propunere de decizie în temeiul articolului 218 alineatul (9) din TFUE urmărește să stabilească poziția care urmează să fie adoptată de statele membre în cadrul Conferinței privind Carta energiei, care urmează să fie exprimată fie în cadrul unei reuniuni, fie în cadrul unei proceduri scrise, după caz, cu privire la deciziile descrise mai sus.</w:t>
      </w:r>
    </w:p>
    <w:p w:rsidR="001A6871" w:rsidRPr="00852CA0" w:rsidRDefault="0030090D" w:rsidP="00ED216C">
      <w:pPr>
        <w:rPr>
          <w:noProof/>
          <w:szCs w:val="24"/>
        </w:rPr>
      </w:pPr>
      <w:bookmarkStart w:id="3" w:name="_Hlk159452527"/>
      <w:r w:rsidRPr="00852CA0">
        <w:rPr>
          <w:noProof/>
        </w:rPr>
        <w:t>În același timp, Comisia propune adoptarea unui acord între Uniunea Europeană, Euratom și statele membre privind interpretarea TCE. Acest acord ar trebui să includă în special o confirmare a faptului că o clauză precum articolul 26 din TCE nu putea în trecut și nu poate</w:t>
      </w:r>
      <w:r w:rsidR="00611577" w:rsidRPr="00852CA0">
        <w:rPr>
          <w:noProof/>
        </w:rPr>
        <w:t xml:space="preserve"> </w:t>
      </w:r>
      <w:r w:rsidRPr="00852CA0">
        <w:rPr>
          <w:noProof/>
        </w:rPr>
        <w:t xml:space="preserve">în prezent sau în viitor să servească drept temei juridic pentru o procedură de arbitraj inițiată de un investitor dintr-un stat membru cu privire la investiții într-un alt stat membru și că clauza de caducitate prevăzută la articolul 47 alineatul (3) din TCE nu se poate extinde și nu a fost destinată să se extindă la astfel de proceduri. Acesta ar trebui, de asemenea, să stabilească obligațiile statelor membre în cazul în care acestea sunt implicate în proceduri de arbitraj ca urmare a unei cereri întemeiate pe articolul 26 din TCE. </w:t>
      </w:r>
    </w:p>
    <w:p w:rsidR="004919F6" w:rsidRPr="00852CA0" w:rsidRDefault="004919F6" w:rsidP="004919F6">
      <w:pPr>
        <w:rPr>
          <w:noProof/>
          <w:szCs w:val="24"/>
        </w:rPr>
      </w:pPr>
      <w:r w:rsidRPr="00852CA0">
        <w:rPr>
          <w:noProof/>
        </w:rPr>
        <w:t>Interpretarea coerentă a Uniunii a fost că TCE nu se aplică și nu a avut scopul de a fi aplicat litigiilor dintre un stat membru și un investitor al unui alt stat membru cu privire la o investiție realizată de acesta din urmă în primul stat membru. Această interpretare a fost confirmată în mod specific de Curtea de Justiție a Uniunii Europene (CJUE) în hotărârea sa</w:t>
      </w:r>
      <w:r w:rsidRPr="00852CA0">
        <w:rPr>
          <w:i/>
          <w:iCs/>
          <w:noProof/>
        </w:rPr>
        <w:t xml:space="preserve"> Komstroy</w:t>
      </w:r>
      <w:r w:rsidRPr="00852CA0">
        <w:rPr>
          <w:rStyle w:val="FootnoteReference"/>
          <w:noProof/>
        </w:rPr>
        <w:footnoteReference w:id="4"/>
      </w:r>
      <w:r w:rsidRPr="00852CA0">
        <w:rPr>
          <w:noProof/>
        </w:rPr>
        <w:t>. Cu toate acestea, instanțele de arbitraj au statuat și continuă să considere că nu sunt obligate să respecte hotărârile CJUE. Pentru a evita ca instanțele să își mențină competența în astfel de litigii, este necesar să se reitereze, în mod expres și neechivoc, interpretarea autentică a TCE. Cea mai adecvată modalitate de a face acest lucru este prin intermediul unui acord de drept internațional cutumiar, astfel cum a fost codificat în Convenția de la Viena privind dreptul tratatelor.</w:t>
      </w:r>
    </w:p>
    <w:p w:rsidR="004919F6" w:rsidRPr="00852CA0" w:rsidRDefault="004919F6" w:rsidP="004919F6">
      <w:pPr>
        <w:rPr>
          <w:noProof/>
          <w:szCs w:val="24"/>
        </w:rPr>
      </w:pPr>
      <w:r w:rsidRPr="00852CA0">
        <w:rPr>
          <w:noProof/>
        </w:rPr>
        <w:t>Deși acest acord va codifica interpretarea UE și a statelor sale membre într-un instrument separat de drept public internațional (ceea ce este posibil datorită naturii bilaterale a obligațiilor), modernizarea TCE va încorpora, în textul propriu-zis și în textul unei clauze „pentru o mai mare certitudine”, înțelegerea de către toate părțile contractante a faptului că articolul 26 nu se aplică în interiorul UE. Ambele elemente vor contribui la eliminarea oricărei ambiguități și la eliminarea riscurilor prezente sau viitoare ale arbitrajului intra-UE în temeiul TCE, cu gradul necesar de securitate juridică.</w:t>
      </w:r>
    </w:p>
    <w:bookmarkEnd w:id="3"/>
    <w:p w:rsidR="00ED216C" w:rsidRPr="00852CA0" w:rsidRDefault="00ED216C" w:rsidP="00ED216C">
      <w:pPr>
        <w:rPr>
          <w:b/>
          <w:noProof/>
        </w:rPr>
      </w:pPr>
      <w:r w:rsidRPr="00852CA0">
        <w:rPr>
          <w:b/>
          <w:noProof/>
        </w:rPr>
        <w:t xml:space="preserve">Poziția care urmează să fie adoptată </w:t>
      </w:r>
    </w:p>
    <w:p w:rsidR="00ED216C" w:rsidRPr="00852CA0" w:rsidRDefault="00ED216C" w:rsidP="00ED216C">
      <w:pPr>
        <w:rPr>
          <w:noProof/>
        </w:rPr>
      </w:pPr>
      <w:r w:rsidRPr="00852CA0">
        <w:rPr>
          <w:noProof/>
        </w:rPr>
        <w:t xml:space="preserve">Comisia propune ca statele membre care sunt părți la Tratatul privind Carta energiei să adopte pozițiile descrise la punctele 1-4 de mai jos în cadrul reuniunii Tratatului privind Carta energiei sau în cadrul unei proceduri scrise, după caz. </w:t>
      </w:r>
    </w:p>
    <w:p w:rsidR="00ED216C" w:rsidRPr="00852CA0" w:rsidRDefault="00ED216C" w:rsidP="004A7778">
      <w:pPr>
        <w:rPr>
          <w:i/>
          <w:noProof/>
          <w:u w:val="single"/>
        </w:rPr>
      </w:pPr>
      <w:r w:rsidRPr="00852CA0">
        <w:rPr>
          <w:i/>
          <w:noProof/>
          <w:u w:val="single"/>
        </w:rPr>
        <w:t>În ceea ce privește adoptarea amendamentelor propuse la textul TCE</w:t>
      </w:r>
    </w:p>
    <w:p w:rsidR="00ED216C" w:rsidRPr="00852CA0" w:rsidRDefault="00ED216C" w:rsidP="00ED216C">
      <w:pPr>
        <w:rPr>
          <w:noProof/>
          <w:szCs w:val="24"/>
        </w:rPr>
      </w:pPr>
      <w:r w:rsidRPr="00852CA0">
        <w:rPr>
          <w:noProof/>
        </w:rPr>
        <w:t>Amendamentele propuse la textul TCE constau în îmbunătățiri substanțiale care vor alinia efectiv TCE la standardele moderne de protecție a investițiilor și la pozițiile UE în cadrul altor foruri (de exemplu, UNCITRAL</w:t>
      </w:r>
      <w:r w:rsidRPr="00852CA0">
        <w:rPr>
          <w:rStyle w:val="FootnoteReference"/>
          <w:noProof/>
          <w:szCs w:val="24"/>
        </w:rPr>
        <w:footnoteReference w:id="5"/>
      </w:r>
      <w:r w:rsidRPr="00852CA0">
        <w:rPr>
          <w:noProof/>
        </w:rPr>
        <w:t>). Amendamentele vor alinia, de asemenea, TCE la abordarea UE privind protecția investițiilor din acordurile sale de liber schimb și de investiții recent convenite.</w:t>
      </w:r>
    </w:p>
    <w:p w:rsidR="00ED216C" w:rsidRPr="00852CA0" w:rsidRDefault="00ED216C" w:rsidP="00ED216C">
      <w:pPr>
        <w:rPr>
          <w:noProof/>
        </w:rPr>
      </w:pPr>
      <w:r w:rsidRPr="00852CA0">
        <w:rPr>
          <w:noProof/>
        </w:rPr>
        <w:t xml:space="preserve">În special, TCE modificat conține: </w:t>
      </w:r>
    </w:p>
    <w:p w:rsidR="00ED216C" w:rsidRPr="00852CA0" w:rsidRDefault="00ED216C" w:rsidP="004A7778">
      <w:pPr>
        <w:pStyle w:val="Tiret0"/>
        <w:rPr>
          <w:noProof/>
        </w:rPr>
      </w:pPr>
      <w:r w:rsidRPr="00852CA0">
        <w:rPr>
          <w:b/>
          <w:bCs/>
          <w:noProof/>
        </w:rPr>
        <w:t>noi dispoziții privind protecția investițiilor, în conformitate cu standardele moderne și cu pozițiile UE</w:t>
      </w:r>
      <w:r w:rsidRPr="00852CA0">
        <w:rPr>
          <w:noProof/>
        </w:rPr>
        <w:t>, reafirmând dreptul părților contractante de a lua măsuri pentru realizarea obiectivelor politice legitime („</w:t>
      </w:r>
      <w:r w:rsidRPr="00852CA0">
        <w:rPr>
          <w:b/>
          <w:noProof/>
        </w:rPr>
        <w:t>dreptul de a reglementa</w:t>
      </w:r>
      <w:r w:rsidRPr="00852CA0">
        <w:rPr>
          <w:noProof/>
        </w:rPr>
        <w:t>”), inclusiv în ceea ce privește combaterea schimbărilor climatice. Vor fi protejați numai investitorii cu un interes economic real, fără a se acorda protecție societăților de tip „cutie poștală”</w:t>
      </w:r>
      <w:r w:rsidRPr="00852CA0">
        <w:rPr>
          <w:rStyle w:val="FootnoteReference"/>
          <w:noProof/>
          <w:szCs w:val="24"/>
        </w:rPr>
        <w:footnoteReference w:id="6"/>
      </w:r>
      <w:r w:rsidRPr="00852CA0">
        <w:rPr>
          <w:noProof/>
        </w:rPr>
        <w:t>;</w:t>
      </w:r>
    </w:p>
    <w:p w:rsidR="00ED216C" w:rsidRPr="00852CA0" w:rsidRDefault="00ED216C" w:rsidP="004A7778">
      <w:pPr>
        <w:pStyle w:val="Tiret0"/>
        <w:rPr>
          <w:noProof/>
        </w:rPr>
      </w:pPr>
      <w:r w:rsidRPr="00852CA0">
        <w:rPr>
          <w:b/>
          <w:bCs/>
          <w:noProof/>
        </w:rPr>
        <w:t>noi dispoziții privind soluționarea litigiilor</w:t>
      </w:r>
      <w:r w:rsidRPr="00852CA0">
        <w:rPr>
          <w:noProof/>
        </w:rPr>
        <w:t>, protejarea părților contractante de cererile abuzive, asigurarea securității costurilor și introducerea unui nivel ridicat de transparență a procedurilor;</w:t>
      </w:r>
    </w:p>
    <w:p w:rsidR="00ED216C" w:rsidRPr="00852CA0" w:rsidRDefault="00ED216C" w:rsidP="004A7778">
      <w:pPr>
        <w:pStyle w:val="Tiret0"/>
        <w:rPr>
          <w:noProof/>
        </w:rPr>
      </w:pPr>
      <w:r w:rsidRPr="00852CA0">
        <w:rPr>
          <w:b/>
          <w:bCs/>
          <w:noProof/>
        </w:rPr>
        <w:t>noi dispoziții privind dezvoltarea durabilă</w:t>
      </w:r>
      <w:r w:rsidRPr="00852CA0">
        <w:rPr>
          <w:noProof/>
        </w:rPr>
        <w:t>, în special în ceea ce privește schimbările climatice și tranziția către o energie curată, care să prevadă un mecanism de acțiune în caz de nealiniere, într-un mod care nu a fost niciodată realizat în cadrul unui tratat multilateral de investiții;</w:t>
      </w:r>
    </w:p>
    <w:p w:rsidR="00ED216C" w:rsidRPr="00852CA0" w:rsidRDefault="00ED216C" w:rsidP="004A7778">
      <w:pPr>
        <w:pStyle w:val="Tiret0"/>
        <w:rPr>
          <w:noProof/>
        </w:rPr>
      </w:pPr>
      <w:r w:rsidRPr="00852CA0">
        <w:rPr>
          <w:noProof/>
        </w:rPr>
        <w:t xml:space="preserve">în plus, UE a garantat dispoziții pentru organizațiile de integrare economică regională (cum ar fi UE), confirmând în mod expres că nu a fost și </w:t>
      </w:r>
      <w:r w:rsidRPr="00852CA0">
        <w:rPr>
          <w:b/>
          <w:bCs/>
          <w:noProof/>
        </w:rPr>
        <w:t>nu este posibil să se utilizeze arbitrajul în materie de investiții în interiorul UE în temeiul TCE</w:t>
      </w:r>
      <w:r w:rsidRPr="00852CA0">
        <w:rPr>
          <w:rStyle w:val="FootnoteReference"/>
          <w:noProof/>
        </w:rPr>
        <w:footnoteReference w:id="7"/>
      </w:r>
      <w:r w:rsidRPr="00852CA0">
        <w:rPr>
          <w:noProof/>
        </w:rPr>
        <w:t>, în conformitate cu jurisprudența Curții de Justiție a UE</w:t>
      </w:r>
      <w:r w:rsidRPr="00852CA0">
        <w:rPr>
          <w:rStyle w:val="FootnoteReference"/>
          <w:noProof/>
        </w:rPr>
        <w:footnoteReference w:id="8"/>
      </w:r>
      <w:r w:rsidRPr="00852CA0">
        <w:rPr>
          <w:noProof/>
        </w:rPr>
        <w:t xml:space="preserve">; </w:t>
      </w:r>
    </w:p>
    <w:p w:rsidR="00ED216C" w:rsidRPr="00852CA0" w:rsidRDefault="00ED216C" w:rsidP="004A7778">
      <w:pPr>
        <w:pStyle w:val="Tiret0"/>
        <w:rPr>
          <w:noProof/>
        </w:rPr>
      </w:pPr>
      <w:r w:rsidRPr="00852CA0">
        <w:rPr>
          <w:b/>
          <w:bCs/>
          <w:noProof/>
        </w:rPr>
        <w:t>clarificări substanțiale cu privire la dispozițiile legate de tranzit</w:t>
      </w:r>
      <w:r w:rsidRPr="00852CA0">
        <w:rPr>
          <w:noProof/>
        </w:rPr>
        <w:t xml:space="preserve"> pentru a ține seama de cerințele piețelor integrate ale energiei cu drepturi de acces ale terților, cum este cazul în UE, fără a crea noi obligații pentru UE</w:t>
      </w:r>
      <w:r w:rsidRPr="00852CA0">
        <w:rPr>
          <w:rStyle w:val="FootnoteReference"/>
          <w:noProof/>
        </w:rPr>
        <w:footnoteReference w:id="9"/>
      </w:r>
      <w:r w:rsidRPr="00852CA0">
        <w:rPr>
          <w:noProof/>
        </w:rPr>
        <w:t>;</w:t>
      </w:r>
    </w:p>
    <w:p w:rsidR="00ED216C" w:rsidRPr="00852CA0" w:rsidRDefault="00ED216C" w:rsidP="004A7778">
      <w:pPr>
        <w:pStyle w:val="Tiret0"/>
        <w:rPr>
          <w:noProof/>
        </w:rPr>
      </w:pPr>
      <w:r w:rsidRPr="00852CA0">
        <w:rPr>
          <w:b/>
          <w:bCs/>
          <w:noProof/>
        </w:rPr>
        <w:t>o definiție actualizată a activității economice în sectorul energetic</w:t>
      </w:r>
      <w:r w:rsidRPr="00852CA0">
        <w:rPr>
          <w:noProof/>
        </w:rPr>
        <w:t>, care, împreună cu anexele EM/EM I, EQ/EQ I și NI (a se vedea punctul 2 de mai jos), permite alinierea protecției investițiilor în UE la obiectivele UE.</w:t>
      </w:r>
    </w:p>
    <w:p w:rsidR="00750350" w:rsidRPr="00852CA0" w:rsidRDefault="00750350" w:rsidP="00ED216C">
      <w:pPr>
        <w:rPr>
          <w:noProof/>
        </w:rPr>
      </w:pPr>
      <w:r w:rsidRPr="00852CA0">
        <w:rPr>
          <w:noProof/>
        </w:rPr>
        <w:t>Adoptarea amendamentelor la textul TCE nu produce, în principiu, efecte juridice. În temeiul dreptului internațional, acest fapt nu este echivalent cu o semnătură, ci cu parafarea textului negociat.</w:t>
      </w:r>
    </w:p>
    <w:p w:rsidR="00ED216C" w:rsidRPr="00852CA0" w:rsidRDefault="00ED216C" w:rsidP="00ED216C">
      <w:pPr>
        <w:rPr>
          <w:noProof/>
        </w:rPr>
      </w:pPr>
      <w:r w:rsidRPr="00852CA0">
        <w:rPr>
          <w:noProof/>
        </w:rPr>
        <w:t xml:space="preserve">Prin urmare, Comisia propune ca, în cadrul Conferinței privind Carta energiei, statele membre să ia o poziție care să nu împiedice </w:t>
      </w:r>
      <w:r w:rsidRPr="00852CA0">
        <w:rPr>
          <w:b/>
          <w:bCs/>
          <w:noProof/>
        </w:rPr>
        <w:t>adoptarea</w:t>
      </w:r>
      <w:r w:rsidRPr="00852CA0">
        <w:rPr>
          <w:noProof/>
        </w:rPr>
        <w:t xml:space="preserve"> amendamentelor propuse la TCE. </w:t>
      </w:r>
    </w:p>
    <w:p w:rsidR="00ED216C" w:rsidRPr="00852CA0" w:rsidRDefault="00ED216C" w:rsidP="004A7778">
      <w:pPr>
        <w:rPr>
          <w:i/>
          <w:noProof/>
          <w:u w:val="single"/>
        </w:rPr>
      </w:pPr>
      <w:r w:rsidRPr="00852CA0">
        <w:rPr>
          <w:i/>
          <w:noProof/>
          <w:u w:val="single"/>
        </w:rPr>
        <w:t>În ceea ce privește aprobarea modificărilor și schimbărilor propuse ale anexelor</w:t>
      </w:r>
    </w:p>
    <w:p w:rsidR="00ED216C" w:rsidRPr="00852CA0" w:rsidRDefault="00750350" w:rsidP="00ED216C">
      <w:pPr>
        <w:rPr>
          <w:noProof/>
        </w:rPr>
      </w:pPr>
      <w:r w:rsidRPr="00852CA0">
        <w:rPr>
          <w:noProof/>
        </w:rPr>
        <w:t xml:space="preserve">Articolul 34 alineatul (3) litera (m) din TCE prevede o procedură simplificată care împuternicește Conferința să adopte modificări ale anexelor la TCE. Modificările propuse ale anexelor la TCE aduc o modificare esențială tratatului actual: excluderea, prin </w:t>
      </w:r>
      <w:r w:rsidRPr="00852CA0">
        <w:rPr>
          <w:b/>
          <w:bCs/>
          <w:noProof/>
        </w:rPr>
        <w:t>anexa NI, a anumitor materiale, produse și activități energetice din domeniul de aplicare al protecției investițiilor în temeiul părții III din TCE</w:t>
      </w:r>
      <w:r w:rsidRPr="00852CA0">
        <w:rPr>
          <w:noProof/>
        </w:rPr>
        <w:t xml:space="preserve">. Prin urmare, UE a obținut dreptul de a limita protecția investițiilor în UE după cum urmează: </w:t>
      </w:r>
    </w:p>
    <w:p w:rsidR="00ED216C" w:rsidRPr="00852CA0" w:rsidRDefault="00ED216C" w:rsidP="004A7778">
      <w:pPr>
        <w:pStyle w:val="Tiret0"/>
        <w:rPr>
          <w:noProof/>
        </w:rPr>
      </w:pPr>
      <w:r w:rsidRPr="00852CA0">
        <w:rPr>
          <w:noProof/>
        </w:rPr>
        <w:t xml:space="preserve">excluderea protecției pentru </w:t>
      </w:r>
      <w:r w:rsidRPr="00852CA0">
        <w:rPr>
          <w:b/>
          <w:bCs/>
          <w:noProof/>
        </w:rPr>
        <w:t>toate investițiile noi în combustibili fosili din UE la o dată specifică după adoptare</w:t>
      </w:r>
      <w:r w:rsidRPr="00852CA0">
        <w:rPr>
          <w:noProof/>
        </w:rPr>
        <w:t>, cu o perioadă de tranziție pentru infrastructura și centralele pe gaz adaptate pentru utilizarea hidrogenului sau a gazului cu emisii scăzute de dioxid de carbon și care emit mai puțin de 380 g de CO2/kWh – până la 31</w:t>
      </w:r>
      <w:r w:rsidR="00852CA0" w:rsidRPr="00852CA0">
        <w:rPr>
          <w:noProof/>
        </w:rPr>
        <w:t> </w:t>
      </w:r>
      <w:r w:rsidRPr="00852CA0">
        <w:rPr>
          <w:noProof/>
        </w:rPr>
        <w:t>decembrie</w:t>
      </w:r>
      <w:r w:rsidR="00852CA0" w:rsidRPr="00852CA0">
        <w:rPr>
          <w:noProof/>
        </w:rPr>
        <w:t> </w:t>
      </w:r>
      <w:r w:rsidRPr="00852CA0">
        <w:rPr>
          <w:noProof/>
        </w:rPr>
        <w:t xml:space="preserve">2030 în mod implicit sau până la 15 august 2033 dacă acestea înlocuiesc o instalație pe bază de cărbune, turbă sau șisturi bituminoase; </w:t>
      </w:r>
    </w:p>
    <w:p w:rsidR="00ED216C" w:rsidRPr="00852CA0" w:rsidRDefault="00ED216C" w:rsidP="004A7778">
      <w:pPr>
        <w:pStyle w:val="Tiret0"/>
        <w:rPr>
          <w:noProof/>
        </w:rPr>
      </w:pPr>
      <w:r w:rsidRPr="00852CA0">
        <w:rPr>
          <w:noProof/>
        </w:rPr>
        <w:t>excluderea protecției pentru</w:t>
      </w:r>
      <w:r w:rsidRPr="00852CA0">
        <w:rPr>
          <w:b/>
          <w:bCs/>
          <w:noProof/>
        </w:rPr>
        <w:t xml:space="preserve"> toate investițiile existente în combustibili fosili din UE începând cu 10 ani de la intrarea în vigoare (sau de la intrarea în aplicare cu titlu provizoriu) a amendamentelor aduse TCE</w:t>
      </w:r>
      <w:r w:rsidRPr="00852CA0">
        <w:rPr>
          <w:noProof/>
        </w:rPr>
        <w:t xml:space="preserve"> și până cel târziu la 31</w:t>
      </w:r>
      <w:r w:rsidR="00852CA0" w:rsidRPr="00852CA0">
        <w:rPr>
          <w:noProof/>
        </w:rPr>
        <w:t> </w:t>
      </w:r>
      <w:r w:rsidRPr="00852CA0">
        <w:rPr>
          <w:noProof/>
        </w:rPr>
        <w:t>decembrie</w:t>
      </w:r>
      <w:r w:rsidR="00852CA0" w:rsidRPr="00852CA0">
        <w:rPr>
          <w:noProof/>
        </w:rPr>
        <w:t> </w:t>
      </w:r>
      <w:r w:rsidRPr="00852CA0">
        <w:rPr>
          <w:noProof/>
        </w:rPr>
        <w:t xml:space="preserve">2040; </w:t>
      </w:r>
    </w:p>
    <w:p w:rsidR="00ED216C" w:rsidRPr="00852CA0" w:rsidRDefault="00ED216C" w:rsidP="004A7778">
      <w:pPr>
        <w:pStyle w:val="Tiret0"/>
        <w:rPr>
          <w:noProof/>
        </w:rPr>
      </w:pPr>
      <w:r w:rsidRPr="00852CA0">
        <w:rPr>
          <w:noProof/>
        </w:rPr>
        <w:t xml:space="preserve">protecția doar a </w:t>
      </w:r>
      <w:r w:rsidRPr="00852CA0">
        <w:rPr>
          <w:b/>
          <w:bCs/>
          <w:noProof/>
        </w:rPr>
        <w:t>hidrogenului și a combustibililor sintetici din surse regenerabile și cu emisii scăzute de dioxid de carbon</w:t>
      </w:r>
      <w:r w:rsidRPr="00852CA0">
        <w:rPr>
          <w:noProof/>
        </w:rPr>
        <w:t xml:space="preserve">; </w:t>
      </w:r>
    </w:p>
    <w:p w:rsidR="00ED216C" w:rsidRPr="00852CA0" w:rsidRDefault="00ED216C" w:rsidP="004A7778">
      <w:pPr>
        <w:pStyle w:val="Tiret0"/>
        <w:rPr>
          <w:noProof/>
        </w:rPr>
      </w:pPr>
      <w:r w:rsidRPr="00852CA0">
        <w:rPr>
          <w:noProof/>
        </w:rPr>
        <w:t xml:space="preserve">excluderea protecției pentru activitățile de </w:t>
      </w:r>
      <w:r w:rsidRPr="00852CA0">
        <w:rPr>
          <w:b/>
          <w:bCs/>
          <w:noProof/>
        </w:rPr>
        <w:t>captare, utilizare și stocare a dioxidului de carbon</w:t>
      </w:r>
      <w:r w:rsidRPr="00852CA0">
        <w:rPr>
          <w:noProof/>
        </w:rPr>
        <w:t>.</w:t>
      </w:r>
    </w:p>
    <w:p w:rsidR="00ED216C" w:rsidRPr="00852CA0" w:rsidRDefault="00ED216C" w:rsidP="00ED216C">
      <w:pPr>
        <w:rPr>
          <w:noProof/>
        </w:rPr>
      </w:pPr>
      <w:r w:rsidRPr="00852CA0">
        <w:rPr>
          <w:noProof/>
        </w:rPr>
        <w:t>Modificările propuse</w:t>
      </w:r>
      <w:r w:rsidRPr="00852CA0">
        <w:rPr>
          <w:b/>
          <w:bCs/>
          <w:noProof/>
        </w:rPr>
        <w:t xml:space="preserve"> aliniază, de asemenea, domeniul de aplicare al TCE la noul peisaj al tehnologiilor din surse regenerabile și cu emisii scăzute de dioxid de carbon necesare pentru tranziția către o energie verde</w:t>
      </w:r>
      <w:r w:rsidRPr="00852CA0">
        <w:rPr>
          <w:noProof/>
        </w:rPr>
        <w:t>.</w:t>
      </w:r>
      <w:r w:rsidRPr="00852CA0">
        <w:rPr>
          <w:b/>
          <w:noProof/>
        </w:rPr>
        <w:t xml:space="preserve"> </w:t>
      </w:r>
      <w:r w:rsidRPr="00852CA0">
        <w:rPr>
          <w:b/>
          <w:bCs/>
          <w:noProof/>
        </w:rPr>
        <w:t>Acest lucru se va realiza prin modificarea anexei EM/EMI</w:t>
      </w:r>
      <w:r w:rsidRPr="00852CA0">
        <w:rPr>
          <w:noProof/>
        </w:rPr>
        <w:t xml:space="preserve"> (adăugarea de noi materiale și produse energetice, de exemplu hidrogen și combustibili derivați, cum ar fi amoniacul și metanolul, biomasa, biogazul și combustibilii sintetici) </w:t>
      </w:r>
      <w:r w:rsidRPr="00852CA0">
        <w:rPr>
          <w:b/>
          <w:bCs/>
          <w:noProof/>
        </w:rPr>
        <w:t>și a anexei EQ/EQ I</w:t>
      </w:r>
      <w:r w:rsidRPr="00852CA0">
        <w:rPr>
          <w:noProof/>
        </w:rPr>
        <w:t xml:space="preserve"> (adăugarea de noi echipamente energetice, de exemplu, diverse materiale izolante, precum și sticla izolantă cu pereți multipli). </w:t>
      </w:r>
    </w:p>
    <w:p w:rsidR="00ED216C" w:rsidRPr="00852CA0" w:rsidRDefault="00ED216C" w:rsidP="00ED216C">
      <w:pPr>
        <w:rPr>
          <w:noProof/>
          <w:szCs w:val="24"/>
        </w:rPr>
      </w:pPr>
      <w:r w:rsidRPr="00852CA0">
        <w:rPr>
          <w:noProof/>
        </w:rPr>
        <w:t xml:space="preserve">În plus, au fost create noi anexe pentru a pune în aplicare </w:t>
      </w:r>
      <w:r w:rsidRPr="00852CA0">
        <w:rPr>
          <w:b/>
          <w:bCs/>
          <w:noProof/>
        </w:rPr>
        <w:t>principiul reciprocității</w:t>
      </w:r>
      <w:r w:rsidRPr="00852CA0">
        <w:rPr>
          <w:noProof/>
        </w:rPr>
        <w:t>, conform căruia părțile contractante nu pot fi obligate să protejeze investițiile altor părți contractante dacă aceste investiții au fost excluse de acestea din urmă în anexa NI, fie prin neaplicarea mecanismului de soluționare a litigiilor dintre investitori și stat prevăzut la articolul 26 din TCE (</w:t>
      </w:r>
      <w:r w:rsidRPr="00852CA0">
        <w:rPr>
          <w:b/>
          <w:bCs/>
          <w:noProof/>
        </w:rPr>
        <w:t>noua anexă IA-NI</w:t>
      </w:r>
      <w:r w:rsidRPr="00852CA0">
        <w:rPr>
          <w:noProof/>
        </w:rPr>
        <w:t>), fie prin neaplicarea integrală a părții III privind protecția investițiilor (</w:t>
      </w:r>
      <w:r w:rsidRPr="00852CA0">
        <w:rPr>
          <w:b/>
          <w:bCs/>
          <w:noProof/>
        </w:rPr>
        <w:t>noua anexă NPT</w:t>
      </w:r>
      <w:r w:rsidRPr="00852CA0">
        <w:rPr>
          <w:noProof/>
        </w:rPr>
        <w:t xml:space="preserve">). </w:t>
      </w:r>
    </w:p>
    <w:p w:rsidR="00ED216C" w:rsidRPr="00852CA0" w:rsidRDefault="00ED216C" w:rsidP="00ED216C">
      <w:pPr>
        <w:rPr>
          <w:noProof/>
          <w:szCs w:val="24"/>
        </w:rPr>
      </w:pPr>
      <w:r w:rsidRPr="00852CA0">
        <w:rPr>
          <w:noProof/>
        </w:rPr>
        <w:t xml:space="preserve">Prin urmare, Comisia propune ca, în cadrul Conferinței privind Carta energiei, statele membre să ia o poziție care să nu împiedice </w:t>
      </w:r>
      <w:r w:rsidRPr="00852CA0">
        <w:rPr>
          <w:b/>
          <w:bCs/>
          <w:noProof/>
        </w:rPr>
        <w:t>aprobarea</w:t>
      </w:r>
      <w:r w:rsidRPr="00852CA0">
        <w:rPr>
          <w:noProof/>
        </w:rPr>
        <w:t xml:space="preserve"> schimbărilor și modificărilor propuse ale anexelor la TCE. </w:t>
      </w:r>
    </w:p>
    <w:p w:rsidR="00ED216C" w:rsidRPr="00852CA0" w:rsidRDefault="00ED216C" w:rsidP="004A7778">
      <w:pPr>
        <w:rPr>
          <w:i/>
          <w:noProof/>
          <w:u w:val="single"/>
        </w:rPr>
      </w:pPr>
      <w:r w:rsidRPr="00852CA0">
        <w:rPr>
          <w:i/>
          <w:noProof/>
          <w:u w:val="single"/>
        </w:rPr>
        <w:t>În ceea ce privește aprobarea schimbărilor propuse ale înțelegerilor, declarațiilor și deciziilor</w:t>
      </w:r>
    </w:p>
    <w:p w:rsidR="00ED216C" w:rsidRPr="00852CA0" w:rsidRDefault="00ED216C" w:rsidP="00ED216C">
      <w:pPr>
        <w:rPr>
          <w:noProof/>
          <w:szCs w:val="24"/>
        </w:rPr>
      </w:pPr>
      <w:r w:rsidRPr="00852CA0">
        <w:rPr>
          <w:noProof/>
        </w:rPr>
        <w:t>Schimbările introduse în înțelegeri, declarații și decizii se referă la corectarea dispozițiilor caduce (de exemplu, înlocuirea termenului „Comunitățile Europene” cu „Uniunea Europeană”), precum și la clarificări suplimentare pentru textul TCE (de exemplu, clarificarea faptului că termenul „subvenție” include „ajutorul de stat”, astfel cum este definit în legislația UE). Aprobarea unor astfel de modificări ale înțelegerilor, declarațiilor și deciziilor va conferi mai multă claritate și precizie textului TCE.</w:t>
      </w:r>
    </w:p>
    <w:p w:rsidR="00ED216C" w:rsidRPr="00852CA0" w:rsidRDefault="00ED216C" w:rsidP="00ED216C">
      <w:pPr>
        <w:rPr>
          <w:noProof/>
        </w:rPr>
      </w:pPr>
      <w:r w:rsidRPr="00852CA0">
        <w:rPr>
          <w:noProof/>
        </w:rPr>
        <w:t xml:space="preserve">Prin urmare, Comisia propune ca, în cadrul Conferinței privind Carta energiei, statele membre să ia cu privire la această chestiune o poziție care să nu împiedice </w:t>
      </w:r>
      <w:r w:rsidRPr="00852CA0">
        <w:rPr>
          <w:b/>
          <w:bCs/>
          <w:noProof/>
        </w:rPr>
        <w:t>aprobarea</w:t>
      </w:r>
      <w:r w:rsidRPr="00852CA0">
        <w:rPr>
          <w:noProof/>
        </w:rPr>
        <w:t xml:space="preserve"> schimbărilor propuse ale înțelegerilor, declarațiilor și deciziilor. </w:t>
      </w:r>
    </w:p>
    <w:p w:rsidR="00ED216C" w:rsidRPr="00852CA0" w:rsidRDefault="00ED216C" w:rsidP="004A7778">
      <w:pPr>
        <w:rPr>
          <w:i/>
          <w:noProof/>
          <w:u w:val="single"/>
        </w:rPr>
      </w:pPr>
      <w:r w:rsidRPr="00852CA0">
        <w:rPr>
          <w:i/>
          <w:noProof/>
          <w:u w:val="single"/>
        </w:rPr>
        <w:t>În ceea ce privește aprobarea deciziei privind intrarea în vigoare și aplicarea cu titlu provizoriu a amendamentelor la textul TCE și a schimbărilor/modificărilor anexelor la acesta</w:t>
      </w:r>
    </w:p>
    <w:p w:rsidR="00ED216C" w:rsidRPr="00852CA0" w:rsidRDefault="00ED216C" w:rsidP="00ED216C">
      <w:pPr>
        <w:rPr>
          <w:noProof/>
        </w:rPr>
      </w:pPr>
      <w:r w:rsidRPr="00852CA0">
        <w:rPr>
          <w:noProof/>
        </w:rPr>
        <w:t xml:space="preserve">Conferința va aproba o decizie care prevede următoarele modalități de intrare în vigoare și de aplicare cu titlu provizoriu a amendamentelor propuse la TCE și a schimbărilor anexelor la acesta: </w:t>
      </w:r>
    </w:p>
    <w:p w:rsidR="00ED216C" w:rsidRPr="00852CA0" w:rsidRDefault="00ED216C" w:rsidP="004A7778">
      <w:pPr>
        <w:pStyle w:val="Tiret0"/>
        <w:rPr>
          <w:noProof/>
        </w:rPr>
      </w:pPr>
      <w:r w:rsidRPr="00852CA0">
        <w:rPr>
          <w:b/>
          <w:bCs/>
          <w:noProof/>
        </w:rPr>
        <w:t>amendamentele aduse textului TCE</w:t>
      </w:r>
      <w:r w:rsidRPr="00852CA0">
        <w:rPr>
          <w:noProof/>
        </w:rPr>
        <w:t xml:space="preserve"> vor intra în vigoare în conformitate cu articolul 42 alineatul (4) din TCE. Aceasta înseamnă că amendamentele vor intra în vigoare după ce trei pătrimi dintre părțile contractante le vor ratifica. În plus, decizia prevede că amendamentele vor fi aplicate cu titlu provizoriu de către toate părțile contractante, cu excepția cazului în care acestea depun o declarație conform căreia nu sunt în măsură să facă acest lucru; </w:t>
      </w:r>
    </w:p>
    <w:p w:rsidR="00ED216C" w:rsidRPr="00852CA0" w:rsidRDefault="00ED216C" w:rsidP="004A7778">
      <w:pPr>
        <w:pStyle w:val="Tiret0"/>
        <w:rPr>
          <w:noProof/>
        </w:rPr>
      </w:pPr>
      <w:r w:rsidRPr="00852CA0">
        <w:rPr>
          <w:b/>
          <w:bCs/>
          <w:noProof/>
        </w:rPr>
        <w:t>schimbări aduse secțiunii C din anexa NI</w:t>
      </w:r>
      <w:r w:rsidRPr="00852CA0">
        <w:rPr>
          <w:noProof/>
        </w:rPr>
        <w:t xml:space="preserve">, care conține în special normele care prevăd perioada de tranziție de 10 ani pentru eliminarea treptată a protecției investițiilor existente în combustibilii fosili în UE, </w:t>
      </w:r>
      <w:r w:rsidRPr="00852CA0">
        <w:rPr>
          <w:b/>
          <w:bCs/>
          <w:noProof/>
        </w:rPr>
        <w:t>precum și schimbări aduse altor anexe</w:t>
      </w:r>
      <w:r w:rsidRPr="00852CA0">
        <w:rPr>
          <w:noProof/>
        </w:rPr>
        <w:t>: aceste schimbări vor intra în vigoare odată cu intrarea în vigoare a amendamentelor la TCE (a se vedea mai sus). Secțiunea C din anexa NI și modificările aduse altor anexe vor fi aplicate cu titlu provizoriu de către toate părțile contractante, cu excepția cazului în care acestea fac o declarație contrară (a se vedea mai sus);</w:t>
      </w:r>
      <w:r w:rsidR="00611577" w:rsidRPr="00852CA0">
        <w:rPr>
          <w:noProof/>
        </w:rPr>
        <w:t xml:space="preserve"> </w:t>
      </w:r>
    </w:p>
    <w:p w:rsidR="00ED216C" w:rsidRPr="00852CA0" w:rsidRDefault="00ED216C" w:rsidP="004A7778">
      <w:pPr>
        <w:pStyle w:val="Tiret0"/>
        <w:rPr>
          <w:noProof/>
        </w:rPr>
      </w:pPr>
      <w:r w:rsidRPr="00852CA0">
        <w:rPr>
          <w:b/>
          <w:bCs/>
          <w:noProof/>
        </w:rPr>
        <w:t>schimbările aduse secțiunii B din anexa NI</w:t>
      </w:r>
      <w:r w:rsidRPr="00852CA0">
        <w:rPr>
          <w:noProof/>
        </w:rPr>
        <w:t xml:space="preserve">, care conține în special normele care prevăd excluderea noilor investiții în combustibili fosili de la protecție în UE, vor intra în vigoare în mod automat la data specificată în decizia conferinței, fără nicio ratificare suplimentară; </w:t>
      </w:r>
    </w:p>
    <w:p w:rsidR="00ED216C" w:rsidRPr="00852CA0" w:rsidRDefault="00ED216C" w:rsidP="004A7778">
      <w:pPr>
        <w:pStyle w:val="Tiret0"/>
        <w:rPr>
          <w:noProof/>
        </w:rPr>
      </w:pPr>
      <w:r w:rsidRPr="00852CA0">
        <w:rPr>
          <w:b/>
          <w:bCs/>
          <w:noProof/>
        </w:rPr>
        <w:t>schimbările aduse înțelegerilor, declarațiilor și deciziilor</w:t>
      </w:r>
      <w:r w:rsidRPr="00852CA0">
        <w:rPr>
          <w:noProof/>
        </w:rPr>
        <w:t xml:space="preserve"> vor intra în vigoare la data adoptării în măsura în care se referă la corectarea referințelor caduce. Schimbările rămase vor intra în vigoare odată cu intrarea în vigoare a amendamentelor la TCE. Între timp, acestea se vor aplica cu titlu provizoriu în același mod ca amendamentele la TCE.</w:t>
      </w:r>
    </w:p>
    <w:p w:rsidR="00ED216C" w:rsidRPr="00852CA0" w:rsidRDefault="00ED216C" w:rsidP="00ED216C">
      <w:pPr>
        <w:rPr>
          <w:noProof/>
        </w:rPr>
      </w:pPr>
      <w:r w:rsidRPr="00852CA0">
        <w:rPr>
          <w:noProof/>
        </w:rPr>
        <w:t xml:space="preserve">Modalitățile de intrare în vigoare și de aplicare cu titlu provizoriu a amendamentelor la TCE și a secțiunii C din anexa NI, precum și a schimbărilor aduse altor anexe, sunt în conformitate cu dispozițiile TCE inițial în ceea ce privește intrarea în vigoare și aplicarea cu titlu provizoriu. În plus, UE s-a asigurat că secțiunea B din anexa NI va intra în vigoare în mod automat la data specificată în decizia conferinței, asigurând în continuare menținerea datei de intrare în vigoare a excepției UE pentru investițiile în combustibili fosili în ceea ce privește noile investiții. </w:t>
      </w:r>
    </w:p>
    <w:p w:rsidR="00ED216C" w:rsidRPr="00852CA0" w:rsidRDefault="00ED216C" w:rsidP="00ED216C">
      <w:pPr>
        <w:rPr>
          <w:noProof/>
        </w:rPr>
      </w:pPr>
      <w:r w:rsidRPr="00852CA0">
        <w:rPr>
          <w:noProof/>
        </w:rPr>
        <w:t>Prin urmare, Comisia propune ca, în cadrul Conferinței privind Carta energiei, statele membre să ia pe această temă o poziție care să nu împiedice</w:t>
      </w:r>
      <w:r w:rsidRPr="00852CA0">
        <w:rPr>
          <w:b/>
          <w:bCs/>
          <w:noProof/>
        </w:rPr>
        <w:t xml:space="preserve"> aprobarea</w:t>
      </w:r>
      <w:r w:rsidRPr="00852CA0">
        <w:rPr>
          <w:noProof/>
        </w:rPr>
        <w:t xml:space="preserve"> deciziei privind intrarea în vigoare și aplicarea cu titlu provizoriu a amendamentelor la textul TCE și a schimbărilor/modificărilor anexelor la acesta.</w:t>
      </w:r>
    </w:p>
    <w:p w:rsidR="00ED216C" w:rsidRPr="00852CA0" w:rsidRDefault="00ED216C" w:rsidP="00ED216C">
      <w:pPr>
        <w:rPr>
          <w:noProof/>
        </w:rPr>
      </w:pPr>
      <w:r w:rsidRPr="00852CA0">
        <w:rPr>
          <w:noProof/>
        </w:rPr>
        <w:t xml:space="preserve">Obiectul deciziilor avute în vedere privește un domeniu pentru care Uniunea are competență externă exclusivă în temeiul articolului 3 alineatul (1) din TFUE, și anume politica comercială comună. Deciziile avute în vedere se referă la normele privind comerțul și protecția investițiilor străine directe, care intră în domeniul de competență exclusivă a Uniunii. </w:t>
      </w:r>
      <w:bookmarkStart w:id="4" w:name="_Hlk158296704"/>
      <w:r w:rsidRPr="00852CA0">
        <w:rPr>
          <w:noProof/>
        </w:rPr>
        <w:t>Având în vedere faptul că Comisia Europeană a prezentat propuneri de decizii ale Consiliului privind retragerea UE și, respectiv, a Euratom din TCE, se preconizează că Uniunea Europeană și Euratom, deși sunt încă părți contractante la TCE la momentul votului privind deciziile sus-menționate ale Conferinței privind Carta energiei, nu vor fi prezente și nici nu vor vota. Prin urmare, prezenta propunere urmărește să stabilească poziția care urmează să fie adoptată de statele membre care rămân părți contractante la TCE fie la reuniunea Conferinței privind Carta energiei, în cazul în care acestea decid să participe, fie în cadrul proceduri scrise, după caz. Acest fapt nu aduce atingere repartizării competențelor dintre Uniune și statele membre.</w:t>
      </w:r>
    </w:p>
    <w:bookmarkEnd w:id="4"/>
    <w:p w:rsidR="00ED216C" w:rsidRPr="00852CA0" w:rsidRDefault="00ED216C" w:rsidP="00550536">
      <w:pPr>
        <w:pStyle w:val="ManualHeading1"/>
        <w:rPr>
          <w:noProof/>
        </w:rPr>
      </w:pPr>
      <w:r w:rsidRPr="00852CA0">
        <w:rPr>
          <w:noProof/>
        </w:rPr>
        <w:t>2.</w:t>
      </w:r>
      <w:r w:rsidRPr="00852CA0">
        <w:rPr>
          <w:noProof/>
        </w:rPr>
        <w:tab/>
        <w:t>TEMEI JURIDIC, SUBSIDIARITATE ȘI PROPORȚIONALITATE</w:t>
      </w:r>
    </w:p>
    <w:p w:rsidR="00ED216C" w:rsidRPr="00852CA0" w:rsidRDefault="00ED216C" w:rsidP="00A4693B">
      <w:pPr>
        <w:pStyle w:val="ManualHeading2"/>
        <w:rPr>
          <w:rFonts w:eastAsia="Arial Unicode MS"/>
          <w:noProof/>
          <w:u w:color="000000"/>
          <w:bdr w:val="nil"/>
        </w:rPr>
      </w:pPr>
      <w:r w:rsidRPr="00852CA0">
        <w:rPr>
          <w:noProof/>
          <w:u w:color="000000"/>
          <w:bdr w:val="nil"/>
        </w:rPr>
        <w:t>•</w:t>
      </w:r>
      <w:r w:rsidRPr="00852CA0">
        <w:rPr>
          <w:noProof/>
          <w:u w:color="000000"/>
          <w:bdr w:val="nil"/>
        </w:rPr>
        <w:tab/>
        <w:t>Temei juridic</w:t>
      </w:r>
    </w:p>
    <w:p w:rsidR="00ED216C" w:rsidRPr="00852CA0" w:rsidRDefault="00ED216C" w:rsidP="00ED216C">
      <w:pPr>
        <w:rPr>
          <w:b/>
          <w:noProof/>
        </w:rPr>
      </w:pPr>
      <w:r w:rsidRPr="00852CA0">
        <w:rPr>
          <w:b/>
          <w:noProof/>
        </w:rPr>
        <w:t xml:space="preserve">Temei juridic procedural </w:t>
      </w:r>
    </w:p>
    <w:p w:rsidR="00ED216C" w:rsidRPr="00852CA0" w:rsidRDefault="00ED216C" w:rsidP="00ED216C">
      <w:pPr>
        <w:rPr>
          <w:i/>
          <w:noProof/>
        </w:rPr>
      </w:pPr>
      <w:r w:rsidRPr="00852CA0">
        <w:rPr>
          <w:i/>
          <w:noProof/>
        </w:rPr>
        <w:t>Principii</w:t>
      </w:r>
    </w:p>
    <w:p w:rsidR="00ED216C" w:rsidRPr="00852CA0" w:rsidRDefault="00ED216C" w:rsidP="00ED216C">
      <w:pPr>
        <w:rPr>
          <w:noProof/>
        </w:rPr>
      </w:pPr>
      <w:r w:rsidRPr="00852CA0">
        <w:rPr>
          <w:noProof/>
        </w:rPr>
        <w:t>Articolul 218 alineatul (9) din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00611577" w:rsidRPr="00852CA0">
        <w:rPr>
          <w:noProof/>
        </w:rPr>
        <w:t xml:space="preserve"> </w:t>
      </w:r>
    </w:p>
    <w:p w:rsidR="00E320E4" w:rsidRPr="00852CA0" w:rsidRDefault="00ED216C" w:rsidP="00ED216C">
      <w:pPr>
        <w:rPr>
          <w:i/>
          <w:noProof/>
          <w:szCs w:val="24"/>
        </w:rPr>
      </w:pPr>
      <w:r w:rsidRPr="00852CA0">
        <w:rPr>
          <w:noProof/>
        </w:rPr>
        <w:t>Conceptul de „acte cu efecte juridice” include actele care au efecte juridice în temeiul normelor de drept internațional aplicabile organismului în cauză. Sunt, de asemenea, incluse instrumentele care nu au un caracter obligatoriu în temeiul dreptului internațional, dar care „au vocația de a influența în mod decisiv conținutul reglementării adoptate de legiuitorul Uniunii”</w:t>
      </w:r>
      <w:r w:rsidRPr="00852CA0">
        <w:rPr>
          <w:rStyle w:val="FootnoteReference"/>
          <w:noProof/>
        </w:rPr>
        <w:footnoteReference w:id="10"/>
      </w:r>
      <w:r w:rsidRPr="00852CA0">
        <w:rPr>
          <w:noProof/>
        </w:rPr>
        <w:t>.</w:t>
      </w:r>
    </w:p>
    <w:p w:rsidR="00ED216C" w:rsidRPr="00852CA0" w:rsidRDefault="00ED216C" w:rsidP="00ED216C">
      <w:pPr>
        <w:rPr>
          <w:i/>
          <w:noProof/>
        </w:rPr>
      </w:pPr>
      <w:r w:rsidRPr="00852CA0">
        <w:rPr>
          <w:i/>
          <w:noProof/>
        </w:rPr>
        <w:t>Aplicarea la cazul în discuție</w:t>
      </w:r>
    </w:p>
    <w:p w:rsidR="00ED216C" w:rsidRPr="00852CA0" w:rsidRDefault="00ED216C" w:rsidP="00ED216C">
      <w:pPr>
        <w:rPr>
          <w:noProof/>
          <w:szCs w:val="24"/>
        </w:rPr>
      </w:pPr>
      <w:r w:rsidRPr="00852CA0">
        <w:rPr>
          <w:noProof/>
        </w:rPr>
        <w:t xml:space="preserve">Conferința privind Carta energiei este un organism creat printr-un acord, și anume Tratatul privind Carta energiei. </w:t>
      </w:r>
    </w:p>
    <w:p w:rsidR="00ED216C" w:rsidRPr="00852CA0" w:rsidRDefault="00ED216C" w:rsidP="00ED216C">
      <w:pPr>
        <w:rPr>
          <w:noProof/>
          <w:szCs w:val="24"/>
        </w:rPr>
      </w:pPr>
      <w:r w:rsidRPr="00852CA0">
        <w:rPr>
          <w:noProof/>
        </w:rPr>
        <w:t>Actele pe care Conferința privind Carta energiei este invitată să le adopte sunt acte cu efecte juridice. Aceste acte vor avea caracter obligatoriu în temeiul dreptului internațional.</w:t>
      </w:r>
    </w:p>
    <w:p w:rsidR="00ED216C" w:rsidRPr="00852CA0" w:rsidRDefault="00ED216C" w:rsidP="00ED216C">
      <w:pPr>
        <w:rPr>
          <w:noProof/>
          <w:szCs w:val="24"/>
        </w:rPr>
      </w:pPr>
      <w:r w:rsidRPr="00852CA0">
        <w:rPr>
          <w:noProof/>
        </w:rPr>
        <w:t>Deciziile care urmează să fie adoptate de Conferința privind Carta energiei pentru aprobarea modificărilor și schimbărilor propuse ale anexelor la TCE, precum și pentru aprobarea schimbărilor propuse ale înțelegerilor, declarațiilor și deciziilor constituie acte cu efecte juridice obligatorii în temeiul dreptului internațional. Acest lucru se datorează faptului că TCE acordă Conferinței privind Carta energiei competența de a modifica anexele, înțelegerile, declarațiile și deciziile la TCE, fără a fi necesară ratificarea ulterioară de către părțile contractante. În temeiul articolului 48 din TCE, anexele și deciziile fac parte integrantă din tratat.</w:t>
      </w:r>
    </w:p>
    <w:p w:rsidR="00ED216C" w:rsidRPr="00852CA0" w:rsidRDefault="00ED216C" w:rsidP="00ED216C">
      <w:pPr>
        <w:rPr>
          <w:noProof/>
          <w:szCs w:val="24"/>
        </w:rPr>
      </w:pPr>
      <w:r w:rsidRPr="00852CA0">
        <w:rPr>
          <w:noProof/>
        </w:rPr>
        <w:t>Decizia care urmează să fie adoptată de Conferința privind Carta energiei de a aproba decizia privind intrarea în vigoare și aplicarea cu titlu provizoriu a amendamentelor la textul TCE și a schimbărilor/modificărilor aduse anexelor sale constituie un act cu efecte juridice obligatorii în temeiul dreptului internațional, deoarece obligă părțile contractante să aplice cu titlu provizoriu textul modificat al TCE și schimbările aduse anumitor secțiuni din anexele sale începând cu o dată stabilită, în cazul în care nu se depune nicio declarație contrară în timp util.</w:t>
      </w:r>
    </w:p>
    <w:p w:rsidR="00ED216C" w:rsidRPr="00852CA0" w:rsidRDefault="00ED216C" w:rsidP="00ED216C">
      <w:pPr>
        <w:rPr>
          <w:noProof/>
          <w:szCs w:val="24"/>
        </w:rPr>
      </w:pPr>
      <w:r w:rsidRPr="00852CA0">
        <w:rPr>
          <w:noProof/>
        </w:rPr>
        <w:t>Decizia care urmează să fie adoptată de Conferința privind Carta energiei de a adopta amendamentele propuse la textul TCE constituie, în circumstanțele specifice ale cazului, un act cu efecte juridice obligatorii în temeiul dreptului internațional, deoarece urmează să fie adoptată simultan cu decizia privind intrarea în vigoare și aplicarea cu titlu provizoriu a amendamentelor la textul TCE (a se vedea mai sus), care obligă părțile contractante să aplice cu titlu provizoriu aceste amendamente începând cu o dată stabilită, în cazul în care nu se depune nicio declarație contrară în timp util.</w:t>
      </w:r>
    </w:p>
    <w:p w:rsidR="00ED216C" w:rsidRPr="00852CA0" w:rsidRDefault="00ED216C" w:rsidP="00ED216C">
      <w:pPr>
        <w:rPr>
          <w:noProof/>
          <w:szCs w:val="24"/>
        </w:rPr>
      </w:pPr>
      <w:r w:rsidRPr="00852CA0">
        <w:rPr>
          <w:noProof/>
        </w:rPr>
        <w:t>Deciziile avute în vedere nu completează și nu modifică cadrul instituțional al TCE.</w:t>
      </w:r>
    </w:p>
    <w:p w:rsidR="00E320E4" w:rsidRPr="00852CA0" w:rsidRDefault="00ED216C" w:rsidP="00ED216C">
      <w:pPr>
        <w:rPr>
          <w:noProof/>
        </w:rPr>
      </w:pPr>
      <w:r w:rsidRPr="00852CA0">
        <w:rPr>
          <w:noProof/>
        </w:rPr>
        <w:t xml:space="preserve">Prin urmare, temeiul juridic procedural al deciziei propuse este articolul 218 alineatul (9) din TFUE. </w:t>
      </w:r>
    </w:p>
    <w:p w:rsidR="00ED216C" w:rsidRPr="00852CA0" w:rsidRDefault="00ED216C" w:rsidP="00ED216C">
      <w:pPr>
        <w:rPr>
          <w:noProof/>
        </w:rPr>
      </w:pPr>
      <w:r w:rsidRPr="00852CA0">
        <w:rPr>
          <w:b/>
          <w:noProof/>
        </w:rPr>
        <w:t>Temei juridic material</w:t>
      </w:r>
    </w:p>
    <w:p w:rsidR="00ED216C" w:rsidRPr="00852CA0" w:rsidRDefault="00ED216C" w:rsidP="00ED216C">
      <w:pPr>
        <w:rPr>
          <w:i/>
          <w:noProof/>
        </w:rPr>
      </w:pPr>
      <w:r w:rsidRPr="00852CA0">
        <w:rPr>
          <w:i/>
          <w:noProof/>
        </w:rPr>
        <w:t>Principii</w:t>
      </w:r>
    </w:p>
    <w:p w:rsidR="00ED216C" w:rsidRPr="00852CA0" w:rsidRDefault="00ED216C" w:rsidP="00ED216C">
      <w:pPr>
        <w:rPr>
          <w:noProof/>
        </w:rPr>
      </w:pPr>
      <w:r w:rsidRPr="00852CA0">
        <w:rPr>
          <w:noProof/>
        </w:rPr>
        <w:t>Temeiul juridic material al unei decizii adoptate în temeiul articolului 218 alineatul (9) din TFUE depinde în primul rând de obiectivul și de conținutul deciziilor avute în vedere cu privire la care se adoptă o poziție în numele Uniunii. În cazul în care deciziile avute în vedere urmăresc două obiective sau includ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ED216C" w:rsidRPr="00852CA0" w:rsidRDefault="00ED216C" w:rsidP="00ED216C">
      <w:pPr>
        <w:rPr>
          <w:noProof/>
        </w:rPr>
      </w:pPr>
      <w:r w:rsidRPr="00852CA0">
        <w:rPr>
          <w:noProof/>
        </w:rPr>
        <w:t>În ceea ce privește deciziile avute în vedere care urmăresc simultan mai multe obiective sau care includ mai multe elemente care sunt legate între ele în mod inextricabil, fără ca vreunul să fie accesoriu în raport cu un altul, temeiul juridic material al unei decizii adoptate în temeiul articolului 218 alineatul (9) din TFUE va trebui să includă, în mod excepțional, diferitele temeiuri juridice relevante.</w:t>
      </w:r>
    </w:p>
    <w:p w:rsidR="00ED216C" w:rsidRPr="00852CA0" w:rsidRDefault="00ED216C" w:rsidP="00ED216C">
      <w:pPr>
        <w:rPr>
          <w:i/>
          <w:noProof/>
        </w:rPr>
      </w:pPr>
      <w:r w:rsidRPr="00852CA0">
        <w:rPr>
          <w:i/>
          <w:noProof/>
        </w:rPr>
        <w:t>Aplicarea la cazul în discuție</w:t>
      </w:r>
    </w:p>
    <w:p w:rsidR="00ED216C" w:rsidRPr="00852CA0" w:rsidRDefault="00ED216C" w:rsidP="00ED216C">
      <w:pPr>
        <w:rPr>
          <w:noProof/>
        </w:rPr>
      </w:pPr>
      <w:r w:rsidRPr="00852CA0">
        <w:rPr>
          <w:noProof/>
        </w:rPr>
        <w:t>Deciziile avute în vedere urmăresc obiective și au componente în domeniul energiei și al politicii comerciale comune. Aceste aspecte ale deciziilor avute în vedere sunt legate în mod inextricabil între ele, fără ca vreunul să fie accesoriu în raport cu un altul.</w:t>
      </w:r>
    </w:p>
    <w:p w:rsidR="00ED216C" w:rsidRPr="00852CA0" w:rsidRDefault="00ED216C" w:rsidP="00ED216C">
      <w:pPr>
        <w:rPr>
          <w:noProof/>
        </w:rPr>
      </w:pPr>
      <w:r w:rsidRPr="00852CA0">
        <w:rPr>
          <w:noProof/>
        </w:rPr>
        <w:t>Prin urmare, temeiul juridic material al deciziei propuse cuprinde următoarele dispoziții: articolul 194 alineatul (2) și articolul 207 din TFUE.</w:t>
      </w:r>
    </w:p>
    <w:p w:rsidR="00ED216C" w:rsidRPr="00852CA0" w:rsidRDefault="00ED216C" w:rsidP="00ED216C">
      <w:pPr>
        <w:rPr>
          <w:noProof/>
        </w:rPr>
      </w:pPr>
      <w:r w:rsidRPr="00852CA0">
        <w:rPr>
          <w:b/>
          <w:noProof/>
        </w:rPr>
        <w:t>Concluzie</w:t>
      </w:r>
      <w:r w:rsidRPr="00852CA0">
        <w:rPr>
          <w:noProof/>
        </w:rPr>
        <w:t xml:space="preserve"> </w:t>
      </w:r>
    </w:p>
    <w:p w:rsidR="00ED216C" w:rsidRPr="00852CA0" w:rsidRDefault="00ED216C" w:rsidP="00ED216C">
      <w:pPr>
        <w:rPr>
          <w:noProof/>
        </w:rPr>
      </w:pPr>
      <w:r w:rsidRPr="00852CA0">
        <w:rPr>
          <w:noProof/>
        </w:rPr>
        <w:t>Temeiul juridic al propunerii de decizie a Consiliului ar trebui să fie articolul 194 alineatul (2) și articolul 207 din TFUE, coroborate cu articolul 218 alineatul (9) din TFUE.</w:t>
      </w:r>
    </w:p>
    <w:p w:rsidR="00ED216C" w:rsidRPr="00852CA0" w:rsidRDefault="00ED216C" w:rsidP="00ED216C">
      <w:pPr>
        <w:rPr>
          <w:b/>
          <w:noProof/>
        </w:rPr>
      </w:pPr>
      <w:r w:rsidRPr="00852CA0">
        <w:rPr>
          <w:b/>
          <w:noProof/>
        </w:rPr>
        <w:t>Publicarea actelor avute în vedere</w:t>
      </w:r>
    </w:p>
    <w:p w:rsidR="00ED216C" w:rsidRPr="00852CA0" w:rsidRDefault="00ED216C" w:rsidP="00ED216C">
      <w:pPr>
        <w:rPr>
          <w:noProof/>
        </w:rPr>
      </w:pPr>
      <w:r w:rsidRPr="00852CA0">
        <w:rPr>
          <w:noProof/>
        </w:rPr>
        <w:t xml:space="preserve">Întrucât deciziile Conferinței privind Carta energiei vor modifica anexele la TCE, este oportun ca acestea să fie publicate în </w:t>
      </w:r>
      <w:r w:rsidRPr="00852CA0">
        <w:rPr>
          <w:i/>
          <w:iCs/>
          <w:noProof/>
        </w:rPr>
        <w:t>Jurnalul Oficial al Uniunii Europene</w:t>
      </w:r>
      <w:r w:rsidRPr="00852CA0">
        <w:rPr>
          <w:noProof/>
        </w:rPr>
        <w:t xml:space="preserve"> după adoptare.</w:t>
      </w:r>
    </w:p>
    <w:p w:rsidR="00ED216C" w:rsidRPr="00852CA0" w:rsidRDefault="00ED216C">
      <w:pPr>
        <w:spacing w:before="0" w:after="200" w:line="276" w:lineRule="auto"/>
        <w:jc w:val="left"/>
        <w:rPr>
          <w:noProof/>
        </w:rPr>
      </w:pPr>
      <w:r w:rsidRPr="00852CA0">
        <w:rPr>
          <w:noProof/>
        </w:rPr>
        <w:br w:type="page"/>
      </w:r>
    </w:p>
    <w:p w:rsidR="00717CC0" w:rsidRDefault="00135A59">
      <w:pPr>
        <w:pStyle w:val="Rfrenceinterinstitutionnelle"/>
        <w:rPr>
          <w:noProof/>
        </w:rPr>
      </w:pPr>
      <w:r>
        <w:rPr>
          <w:noProof/>
        </w:rPr>
        <w:t>2024/0057 (NLE)</w:t>
      </w:r>
    </w:p>
    <w:p w:rsidR="00ED216C" w:rsidRPr="00852CA0" w:rsidRDefault="00611577" w:rsidP="00611577">
      <w:pPr>
        <w:pStyle w:val="Statut"/>
        <w:rPr>
          <w:noProof/>
        </w:rPr>
      </w:pPr>
      <w:r w:rsidRPr="00852CA0">
        <w:rPr>
          <w:noProof/>
        </w:rPr>
        <w:t>Propunere de</w:t>
      </w:r>
    </w:p>
    <w:p w:rsidR="00ED216C" w:rsidRPr="00852CA0" w:rsidRDefault="00611577" w:rsidP="00611577">
      <w:pPr>
        <w:pStyle w:val="Typedudocument"/>
        <w:rPr>
          <w:noProof/>
        </w:rPr>
      </w:pPr>
      <w:r w:rsidRPr="00852CA0">
        <w:rPr>
          <w:noProof/>
        </w:rPr>
        <w:t>DECIZIE A CONSILIULUI</w:t>
      </w:r>
    </w:p>
    <w:p w:rsidR="00ED216C" w:rsidRPr="00852CA0" w:rsidRDefault="00611577" w:rsidP="00611577">
      <w:pPr>
        <w:pStyle w:val="Titreobjet"/>
        <w:rPr>
          <w:noProof/>
        </w:rPr>
      </w:pPr>
      <w:r w:rsidRPr="00852CA0">
        <w:rPr>
          <w:noProof/>
        </w:rPr>
        <w:t>privind poziția care urmează să fie adoptată în numele Uniunii Europene în cadrul Conferinței privind Carta energiei</w:t>
      </w:r>
    </w:p>
    <w:p w:rsidR="00ED216C" w:rsidRPr="00852CA0" w:rsidRDefault="00ED216C" w:rsidP="00197315">
      <w:pPr>
        <w:pStyle w:val="Institutionquiagit"/>
        <w:rPr>
          <w:noProof/>
        </w:rPr>
      </w:pPr>
      <w:r w:rsidRPr="00852CA0">
        <w:rPr>
          <w:noProof/>
        </w:rPr>
        <w:t>CONSILIUL UNIUNII EUROPENE,</w:t>
      </w:r>
    </w:p>
    <w:p w:rsidR="00ED216C" w:rsidRPr="00852CA0" w:rsidRDefault="00ED216C" w:rsidP="00197315">
      <w:pPr>
        <w:rPr>
          <w:noProof/>
        </w:rPr>
      </w:pPr>
      <w:r w:rsidRPr="00852CA0">
        <w:rPr>
          <w:noProof/>
        </w:rPr>
        <w:t>având în vedere Tratatul privind funcționarea Uniunii Europene, în special articolul 194 alineatul (2) și articolul 207, coroborate cu articolul 218 alineatul (9),</w:t>
      </w:r>
    </w:p>
    <w:p w:rsidR="00ED216C" w:rsidRPr="00852CA0" w:rsidRDefault="00ED216C" w:rsidP="00197315">
      <w:pPr>
        <w:rPr>
          <w:noProof/>
        </w:rPr>
      </w:pPr>
      <w:r w:rsidRPr="00852CA0">
        <w:rPr>
          <w:noProof/>
        </w:rPr>
        <w:t>având în vedere propunerea Comisiei Europene,</w:t>
      </w:r>
    </w:p>
    <w:p w:rsidR="00ED216C" w:rsidRPr="00852CA0" w:rsidRDefault="00ED216C" w:rsidP="00197315">
      <w:pPr>
        <w:rPr>
          <w:noProof/>
        </w:rPr>
      </w:pPr>
      <w:r w:rsidRPr="00852CA0">
        <w:rPr>
          <w:noProof/>
        </w:rPr>
        <w:t>întrucât:</w:t>
      </w:r>
    </w:p>
    <w:p w:rsidR="00ED216C" w:rsidRPr="00852CA0" w:rsidRDefault="00537E4B" w:rsidP="00537E4B">
      <w:pPr>
        <w:pStyle w:val="ManualConsidrant"/>
        <w:rPr>
          <w:rFonts w:asciiTheme="minorHAnsi" w:eastAsiaTheme="minorEastAsia" w:hAnsiTheme="minorHAnsi" w:cstheme="minorBidi"/>
          <w:noProof/>
          <w:szCs w:val="24"/>
        </w:rPr>
      </w:pPr>
      <w:r w:rsidRPr="00852CA0">
        <w:rPr>
          <w:noProof/>
        </w:rPr>
        <w:t>(1)</w:t>
      </w:r>
      <w:r w:rsidRPr="00852CA0">
        <w:rPr>
          <w:noProof/>
        </w:rPr>
        <w:tab/>
        <w:t>Tratatul privind Carta energiei (denumit în continuare „acordul”) a fost încheiat de Uniune prin Decizia 98/181/CE, CECO, Euratom a Consiliului și a Comisiei din 23 septembrie 1997 privind încheierea de către Comunitățile Europene a Tratatului privind Carta energiei și a Protocolului la Carta energiei privind eficiența energetică și aspectele conexe referitoare la mediu (JO L 69, 9.3.1998, p. 1-116) și a intrat în vigoare la 16 aprilie 1998.</w:t>
      </w:r>
    </w:p>
    <w:p w:rsidR="00475B78" w:rsidRPr="00852CA0" w:rsidRDefault="00537E4B" w:rsidP="00537E4B">
      <w:pPr>
        <w:pStyle w:val="ManualConsidrant"/>
        <w:rPr>
          <w:noProof/>
        </w:rPr>
      </w:pPr>
      <w:r w:rsidRPr="00852CA0">
        <w:rPr>
          <w:noProof/>
        </w:rPr>
        <w:t>(2)</w:t>
      </w:r>
      <w:r w:rsidRPr="00852CA0">
        <w:rPr>
          <w:noProof/>
        </w:rPr>
        <w:tab/>
        <w:t>În lipsa unei actualizări substanțiale a acordului după anii 1990, acesta a devenit din ce în ce mai perimat.</w:t>
      </w:r>
    </w:p>
    <w:p w:rsidR="00ED216C" w:rsidRPr="00852CA0" w:rsidRDefault="00261221" w:rsidP="00537E4B">
      <w:pPr>
        <w:pStyle w:val="ManualConsidrant"/>
        <w:rPr>
          <w:noProof/>
        </w:rPr>
      </w:pPr>
      <w:r w:rsidRPr="00852CA0">
        <w:rPr>
          <w:noProof/>
        </w:rPr>
        <w:t xml:space="preserve">(3) </w:t>
      </w:r>
      <w:r w:rsidRPr="00852CA0">
        <w:rPr>
          <w:noProof/>
        </w:rPr>
        <w:tab/>
        <w:t>În temeiul articolului 34 la acord, Conferința privind Carta energiei adoptă textele amendamentelor la acord și aprobă modificările și schimbările tehnice aduse anexelor la acord.</w:t>
      </w:r>
    </w:p>
    <w:p w:rsidR="00ED216C" w:rsidRPr="00852CA0" w:rsidRDefault="00B66DEB" w:rsidP="00537E4B">
      <w:pPr>
        <w:pStyle w:val="ManualConsidrant"/>
        <w:rPr>
          <w:noProof/>
        </w:rPr>
      </w:pPr>
      <w:r w:rsidRPr="00852CA0">
        <w:rPr>
          <w:noProof/>
        </w:rPr>
        <w:t xml:space="preserve">(4) </w:t>
      </w:r>
      <w:r w:rsidRPr="00852CA0">
        <w:rPr>
          <w:noProof/>
        </w:rPr>
        <w:tab/>
        <w:t>Conferința privind Carta energiei urmează să adopte amendamentele propuse la Tratatul privind Carta energiei și să aprobe (i) modificările și schimbările propuse ale anexelor la Tratatul privind Carta energiei, (ii) schimbările propuse ale înțelegerilor, declarațiilor și deciziilor și (iii) decizia privind intrarea în vigoare și aplicarea cu titlu provizoriu a amendamentelor la Tratatul privind Carta energiei și a schimbărilor/modificărilor anexelor la acesta. Se preconizează că, în cursul anului</w:t>
      </w:r>
      <w:r w:rsidR="00852CA0" w:rsidRPr="00852CA0">
        <w:rPr>
          <w:noProof/>
        </w:rPr>
        <w:t> </w:t>
      </w:r>
      <w:r w:rsidRPr="00852CA0">
        <w:rPr>
          <w:noProof/>
        </w:rPr>
        <w:t xml:space="preserve">2024, Conferința va prezenta din nou amendamentele propuse spre adoptare, fie în cadrul unei reuniuni, fie prin procedură scrisă, după caz. </w:t>
      </w:r>
    </w:p>
    <w:p w:rsidR="00ED216C" w:rsidRPr="00852CA0" w:rsidRDefault="00537E4B" w:rsidP="002F3EC1">
      <w:pPr>
        <w:pStyle w:val="ManualConsidrant"/>
        <w:rPr>
          <w:noProof/>
        </w:rPr>
      </w:pPr>
      <w:r w:rsidRPr="00852CA0">
        <w:rPr>
          <w:noProof/>
        </w:rPr>
        <w:t>(5)</w:t>
      </w:r>
      <w:r w:rsidRPr="00852CA0">
        <w:rPr>
          <w:noProof/>
        </w:rPr>
        <w:tab/>
      </w:r>
      <w:bookmarkStart w:id="5" w:name="_Hlk158297061"/>
      <w:r w:rsidRPr="00852CA0">
        <w:rPr>
          <w:noProof/>
        </w:rPr>
        <w:t>Este oportun să se stabilească poziția care urmează să fie adoptată de statele membre care sunt părți contractante la Tratatul privind Carta energiei. Acest fapt nu aduce atingere repartizării competențelor dintre Uniune și statele membre.</w:t>
      </w:r>
    </w:p>
    <w:p w:rsidR="006C41D3" w:rsidRPr="00852CA0" w:rsidRDefault="002F3EC1" w:rsidP="00475B78">
      <w:pPr>
        <w:pStyle w:val="ManualConsidrant"/>
        <w:rPr>
          <w:noProof/>
        </w:rPr>
      </w:pPr>
      <w:r w:rsidRPr="00852CA0">
        <w:rPr>
          <w:noProof/>
        </w:rPr>
        <w:t>(</w:t>
      </w:r>
      <w:bookmarkStart w:id="6" w:name="_Hlk158975638"/>
      <w:r w:rsidRPr="00852CA0">
        <w:rPr>
          <w:noProof/>
        </w:rPr>
        <w:t>6)</w:t>
      </w:r>
      <w:r w:rsidRPr="00852CA0">
        <w:rPr>
          <w:noProof/>
        </w:rPr>
        <w:tab/>
        <w:t>În paralel, Comisia Europeană a prezentat propuneri de decizii ale Consiliului privind retragerea UE și a Euratom din acord, care urmează să fie adoptate împreună cu prezenta propunere.</w:t>
      </w:r>
    </w:p>
    <w:p w:rsidR="00020B68" w:rsidRPr="00852CA0" w:rsidRDefault="006C41D3" w:rsidP="006C41D3">
      <w:pPr>
        <w:pStyle w:val="ManualConsidrant"/>
        <w:rPr>
          <w:noProof/>
        </w:rPr>
      </w:pPr>
      <w:r w:rsidRPr="00852CA0">
        <w:rPr>
          <w:noProof/>
        </w:rPr>
        <w:t>(7)</w:t>
      </w:r>
      <w:r w:rsidRPr="00852CA0">
        <w:rPr>
          <w:noProof/>
        </w:rPr>
        <w:tab/>
        <w:t>Întrucât domeniile reglementate de Tratatul privind Carta energiei intră în mare parte în sfera de competență exclusivă a Uniunii, statele membre nu pot rămâne părți contractante la Tratatul privind Carta energiei după retragerea Uniunii, cu excepția cazului în care sunt autorizate de Uniune să facă acest lucru. Prin urmare, odată ce retragerea Uniunii din Tratatul privind Carta energiei produce efecte și în absența unei autorizații din partea Uniunii de a rămâne părți contractante, statele membre vor trebui să se retragă din Tratatul privind Carta energiei într-un termen rezonabil.</w:t>
      </w:r>
    </w:p>
    <w:bookmarkEnd w:id="5"/>
    <w:bookmarkEnd w:id="6"/>
    <w:p w:rsidR="00ED216C" w:rsidRPr="00852CA0" w:rsidRDefault="00ED216C" w:rsidP="00197315">
      <w:pPr>
        <w:pStyle w:val="Formuledadoption"/>
        <w:rPr>
          <w:noProof/>
        </w:rPr>
      </w:pPr>
      <w:r w:rsidRPr="00852CA0">
        <w:rPr>
          <w:noProof/>
        </w:rPr>
        <w:t xml:space="preserve">ADOPTĂ PREZENTA DECIZIE: </w:t>
      </w:r>
    </w:p>
    <w:p w:rsidR="00ED216C" w:rsidRPr="00852CA0" w:rsidRDefault="00ED216C" w:rsidP="00197315">
      <w:pPr>
        <w:pStyle w:val="Titrearticle"/>
        <w:rPr>
          <w:noProof/>
        </w:rPr>
      </w:pPr>
      <w:r w:rsidRPr="00852CA0">
        <w:rPr>
          <w:noProof/>
        </w:rPr>
        <w:t>Articolul 1</w:t>
      </w:r>
    </w:p>
    <w:p w:rsidR="00501385" w:rsidRPr="00852CA0" w:rsidRDefault="000D047D" w:rsidP="00160F18">
      <w:pPr>
        <w:rPr>
          <w:noProof/>
        </w:rPr>
      </w:pPr>
      <w:r w:rsidRPr="00852CA0">
        <w:rPr>
          <w:noProof/>
        </w:rPr>
        <w:t xml:space="preserve">Poziția care urmează să fie adoptată de statele membre care sunt părți contractante la Tratatul privind Carta energiei în cadrul Conferinței privind Carta energiei este următoarea: </w:t>
      </w:r>
    </w:p>
    <w:p w:rsidR="00ED216C" w:rsidRPr="00852CA0" w:rsidRDefault="00537E4B" w:rsidP="00537E4B">
      <w:pPr>
        <w:pStyle w:val="Point1"/>
        <w:rPr>
          <w:rFonts w:asciiTheme="minorHAnsi" w:eastAsiaTheme="minorEastAsia" w:hAnsiTheme="minorHAnsi" w:cstheme="minorBidi"/>
          <w:noProof/>
          <w:szCs w:val="24"/>
        </w:rPr>
      </w:pPr>
      <w:r w:rsidRPr="00852CA0">
        <w:rPr>
          <w:noProof/>
        </w:rPr>
        <w:t>(a)</w:t>
      </w:r>
      <w:r w:rsidRPr="00852CA0">
        <w:rPr>
          <w:noProof/>
        </w:rPr>
        <w:tab/>
        <w:t>de a nu împiedica adoptarea de către conferință a amendamentelor propuse la Tratatul privind Carta energiei;</w:t>
      </w:r>
    </w:p>
    <w:p w:rsidR="00ED216C" w:rsidRPr="00852CA0" w:rsidRDefault="00537E4B" w:rsidP="00537E4B">
      <w:pPr>
        <w:pStyle w:val="Point1"/>
        <w:rPr>
          <w:rFonts w:asciiTheme="minorHAnsi" w:eastAsiaTheme="minorEastAsia" w:hAnsiTheme="minorHAnsi" w:cstheme="minorBidi"/>
          <w:noProof/>
          <w:szCs w:val="24"/>
        </w:rPr>
      </w:pPr>
      <w:r w:rsidRPr="00852CA0">
        <w:rPr>
          <w:noProof/>
        </w:rPr>
        <w:t>(b)</w:t>
      </w:r>
      <w:r w:rsidRPr="00852CA0">
        <w:rPr>
          <w:noProof/>
        </w:rPr>
        <w:tab/>
        <w:t>de a nu împiedica adoptarea modificărilor și schimbărilor propuse ale anexelor la Tratatul privind Carta energiei;</w:t>
      </w:r>
    </w:p>
    <w:p w:rsidR="00ED216C" w:rsidRPr="00852CA0" w:rsidRDefault="00537E4B" w:rsidP="00537E4B">
      <w:pPr>
        <w:pStyle w:val="Point1"/>
        <w:rPr>
          <w:rFonts w:asciiTheme="minorHAnsi" w:eastAsiaTheme="minorEastAsia" w:hAnsiTheme="minorHAnsi" w:cstheme="minorBidi"/>
          <w:noProof/>
          <w:szCs w:val="24"/>
        </w:rPr>
      </w:pPr>
      <w:r w:rsidRPr="00852CA0">
        <w:rPr>
          <w:noProof/>
        </w:rPr>
        <w:t>(c)</w:t>
      </w:r>
      <w:r w:rsidRPr="00852CA0">
        <w:rPr>
          <w:noProof/>
        </w:rPr>
        <w:tab/>
        <w:t>de a nu împiedica aprobarea schimbărilor propuse ale înțelegerilor, declarațiilor și deciziilor, precum și</w:t>
      </w:r>
    </w:p>
    <w:p w:rsidR="00ED216C" w:rsidRPr="00852CA0" w:rsidRDefault="00537E4B" w:rsidP="00537E4B">
      <w:pPr>
        <w:pStyle w:val="Point1"/>
        <w:rPr>
          <w:rFonts w:asciiTheme="minorHAnsi" w:eastAsiaTheme="minorEastAsia" w:hAnsiTheme="minorHAnsi" w:cstheme="minorBidi"/>
          <w:noProof/>
          <w:szCs w:val="24"/>
        </w:rPr>
      </w:pPr>
      <w:r w:rsidRPr="00852CA0">
        <w:rPr>
          <w:noProof/>
        </w:rPr>
        <w:t>(d)</w:t>
      </w:r>
      <w:r w:rsidRPr="00852CA0">
        <w:rPr>
          <w:noProof/>
        </w:rPr>
        <w:tab/>
        <w:t>de a nu împiedica aprobarea deciziei privind intrarea în vigoare și aplicarea cu titlu provizoriu a amendamentelor la Tratatul privind Carta energiei și a schimbărilor/modificărilor anexelor la acesta.</w:t>
      </w:r>
    </w:p>
    <w:p w:rsidR="00ED216C" w:rsidRPr="00852CA0" w:rsidRDefault="00ED216C" w:rsidP="00050E3E">
      <w:pPr>
        <w:pStyle w:val="Titrearticle"/>
        <w:rPr>
          <w:noProof/>
        </w:rPr>
      </w:pPr>
      <w:r w:rsidRPr="00852CA0">
        <w:rPr>
          <w:noProof/>
        </w:rPr>
        <w:t>Articolul 2</w:t>
      </w:r>
    </w:p>
    <w:p w:rsidR="00ED216C" w:rsidRPr="00852CA0" w:rsidRDefault="00ED216C" w:rsidP="00197315">
      <w:pPr>
        <w:keepNext/>
        <w:keepLines/>
        <w:rPr>
          <w:noProof/>
        </w:rPr>
      </w:pPr>
      <w:r w:rsidRPr="00852CA0">
        <w:rPr>
          <w:noProof/>
        </w:rPr>
        <w:t>Prezenta decizie se adresează statelor membre care sunt părți contractante la Tratatul privind Carta energiei.</w:t>
      </w:r>
    </w:p>
    <w:p w:rsidR="00ED216C" w:rsidRPr="00852CA0" w:rsidRDefault="00611577" w:rsidP="00050E3E">
      <w:pPr>
        <w:pStyle w:val="Fait"/>
        <w:rPr>
          <w:noProof/>
        </w:rPr>
      </w:pPr>
      <w:r>
        <w:rPr>
          <w:noProof/>
        </w:rPr>
        <w:t>Adoptată la Bruxelles,</w:t>
      </w:r>
    </w:p>
    <w:p w:rsidR="00ED216C" w:rsidRPr="00852CA0" w:rsidRDefault="00ED216C" w:rsidP="00050E3E">
      <w:pPr>
        <w:pStyle w:val="Institutionquisigne"/>
        <w:rPr>
          <w:noProof/>
        </w:rPr>
      </w:pPr>
      <w:r w:rsidRPr="00852CA0">
        <w:rPr>
          <w:noProof/>
        </w:rPr>
        <w:tab/>
        <w:t>Pentru Consiliu</w:t>
      </w:r>
    </w:p>
    <w:p w:rsidR="00ED216C" w:rsidRPr="00852CA0" w:rsidRDefault="00ED216C" w:rsidP="00ED216C">
      <w:pPr>
        <w:pStyle w:val="Personnequisigne"/>
        <w:rPr>
          <w:noProof/>
        </w:rPr>
      </w:pPr>
      <w:r w:rsidRPr="00852CA0">
        <w:rPr>
          <w:noProof/>
        </w:rPr>
        <w:tab/>
        <w:t>Președintele</w:t>
      </w:r>
    </w:p>
    <w:sectPr w:rsidR="00ED216C" w:rsidRPr="00852CA0" w:rsidSect="00DB537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6DA" w:rsidRDefault="00D876DA" w:rsidP="00ED216C">
      <w:pPr>
        <w:spacing w:before="0" w:after="0"/>
      </w:pPr>
      <w:r>
        <w:separator/>
      </w:r>
    </w:p>
  </w:endnote>
  <w:endnote w:type="continuationSeparator" w:id="0">
    <w:p w:rsidR="00D876DA" w:rsidRDefault="00D876DA" w:rsidP="00ED216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7E" w:rsidRPr="00DB537E" w:rsidRDefault="00DB537E" w:rsidP="00DB537E">
    <w:pPr>
      <w:pStyle w:val="Footer"/>
      <w:rPr>
        <w:rFonts w:ascii="Arial" w:hAnsi="Arial" w:cs="Arial"/>
        <w:b/>
        <w:sz w:val="48"/>
      </w:rPr>
    </w:pPr>
    <w:r w:rsidRPr="00DB537E">
      <w:rPr>
        <w:rFonts w:ascii="Arial" w:hAnsi="Arial" w:cs="Arial"/>
        <w:b/>
        <w:sz w:val="48"/>
      </w:rPr>
      <w:t>RO</w:t>
    </w:r>
    <w:r w:rsidRPr="00DB537E">
      <w:rPr>
        <w:rFonts w:ascii="Arial" w:hAnsi="Arial" w:cs="Arial"/>
        <w:b/>
        <w:sz w:val="48"/>
      </w:rPr>
      <w:tab/>
    </w:r>
    <w:r w:rsidRPr="00DB537E">
      <w:rPr>
        <w:rFonts w:ascii="Arial" w:hAnsi="Arial" w:cs="Arial"/>
        <w:b/>
        <w:sz w:val="48"/>
      </w:rPr>
      <w:tab/>
    </w:r>
    <w:r w:rsidRPr="00DB537E">
      <w:tab/>
    </w:r>
    <w:r w:rsidRPr="00DB537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7E" w:rsidRPr="00DB537E" w:rsidRDefault="00DB537E" w:rsidP="00DB537E">
    <w:pPr>
      <w:pStyle w:val="Footer"/>
      <w:rPr>
        <w:rFonts w:ascii="Arial" w:hAnsi="Arial" w:cs="Arial"/>
        <w:b/>
        <w:sz w:val="48"/>
      </w:rPr>
    </w:pPr>
    <w:r w:rsidRPr="00DB537E">
      <w:rPr>
        <w:rFonts w:ascii="Arial" w:hAnsi="Arial" w:cs="Arial"/>
        <w:b/>
        <w:sz w:val="48"/>
      </w:rPr>
      <w:t>RO</w:t>
    </w:r>
    <w:r w:rsidRPr="00DB537E">
      <w:rPr>
        <w:rFonts w:ascii="Arial" w:hAnsi="Arial" w:cs="Arial"/>
        <w:b/>
        <w:sz w:val="48"/>
      </w:rPr>
      <w:tab/>
    </w:r>
    <w:r w:rsidRPr="00DB537E">
      <w:rPr>
        <w:rFonts w:ascii="Arial" w:hAnsi="Arial" w:cs="Arial"/>
        <w:b/>
        <w:sz w:val="48"/>
      </w:rPr>
      <w:tab/>
    </w:r>
    <w:r w:rsidRPr="00DB537E">
      <w:tab/>
    </w:r>
    <w:r w:rsidRPr="00DB537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7E" w:rsidRDefault="00DB53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7E" w:rsidRPr="00DB537E" w:rsidRDefault="00DB537E" w:rsidP="00DB537E">
    <w:pPr>
      <w:pStyle w:val="Footer"/>
      <w:rPr>
        <w:rFonts w:ascii="Arial" w:hAnsi="Arial" w:cs="Arial"/>
        <w:b/>
        <w:sz w:val="48"/>
      </w:rPr>
    </w:pPr>
    <w:r w:rsidRPr="00DB537E">
      <w:rPr>
        <w:rFonts w:ascii="Arial" w:hAnsi="Arial" w:cs="Arial"/>
        <w:b/>
        <w:sz w:val="48"/>
      </w:rPr>
      <w:t>RO</w:t>
    </w:r>
    <w:r w:rsidRPr="00DB537E">
      <w:rPr>
        <w:rFonts w:ascii="Arial" w:hAnsi="Arial" w:cs="Arial"/>
        <w:b/>
        <w:sz w:val="48"/>
      </w:rPr>
      <w:tab/>
    </w:r>
    <w:r>
      <w:fldChar w:fldCharType="begin"/>
    </w:r>
    <w:r>
      <w:instrText xml:space="preserve"> PAGE  \* MERGEFORMAT </w:instrText>
    </w:r>
    <w:r>
      <w:fldChar w:fldCharType="separate"/>
    </w:r>
    <w:r w:rsidR="00050E3E">
      <w:rPr>
        <w:noProof/>
      </w:rPr>
      <w:t>10</w:t>
    </w:r>
    <w:r>
      <w:fldChar w:fldCharType="end"/>
    </w:r>
    <w:r>
      <w:tab/>
    </w:r>
    <w:r w:rsidRPr="00DB537E">
      <w:tab/>
    </w:r>
    <w:r w:rsidRPr="00DB537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7E" w:rsidRDefault="00DB537E" w:rsidP="00DB5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6DA" w:rsidRDefault="00D876DA" w:rsidP="00ED216C">
      <w:pPr>
        <w:spacing w:before="0" w:after="0"/>
      </w:pPr>
      <w:r>
        <w:separator/>
      </w:r>
    </w:p>
  </w:footnote>
  <w:footnote w:type="continuationSeparator" w:id="0">
    <w:p w:rsidR="00D876DA" w:rsidRDefault="00D876DA" w:rsidP="00ED216C">
      <w:pPr>
        <w:spacing w:before="0" w:after="0"/>
      </w:pPr>
      <w:r>
        <w:continuationSeparator/>
      </w:r>
    </w:p>
  </w:footnote>
  <w:footnote w:id="1">
    <w:p w:rsidR="00ED216C" w:rsidRDefault="00ED216C" w:rsidP="00ED216C">
      <w:pPr>
        <w:pStyle w:val="FootnoteText"/>
      </w:pPr>
      <w:r>
        <w:rPr>
          <w:rStyle w:val="FootnoteReference"/>
        </w:rPr>
        <w:footnoteRef/>
      </w:r>
      <w:r>
        <w:tab/>
        <w:t xml:space="preserve">Decizia </w:t>
      </w:r>
      <w:r w:rsidRPr="00852CA0">
        <w:t>98</w:t>
      </w:r>
      <w:r>
        <w:t>/</w:t>
      </w:r>
      <w:r w:rsidRPr="00852CA0">
        <w:t>181</w:t>
      </w:r>
      <w:r>
        <w:t xml:space="preserve">/CE, CECO, Euratom a Consiliului și a Comisiei din </w:t>
      </w:r>
      <w:r w:rsidRPr="00852CA0">
        <w:t>23</w:t>
      </w:r>
      <w:r>
        <w:t xml:space="preserve"> septembrie </w:t>
      </w:r>
      <w:r w:rsidRPr="00852CA0">
        <w:t>1997</w:t>
      </w:r>
      <w:r>
        <w:t xml:space="preserve"> privind încheierea de către Comunitățile Europene a Tratatului privind Carta energiei și a Protocolului la Carta energiei privind eficiența energetică și aspectele conexe referitoare la mediu (JO L </w:t>
      </w:r>
      <w:r w:rsidRPr="00852CA0">
        <w:t>69</w:t>
      </w:r>
      <w:r>
        <w:t xml:space="preserve">, </w:t>
      </w:r>
      <w:r w:rsidRPr="00852CA0">
        <w:t>9</w:t>
      </w:r>
      <w:r>
        <w:t>.</w:t>
      </w:r>
      <w:r w:rsidRPr="00852CA0">
        <w:t>3</w:t>
      </w:r>
      <w:r>
        <w:t>.</w:t>
      </w:r>
      <w:r w:rsidRPr="00852CA0">
        <w:t>1998</w:t>
      </w:r>
      <w:r>
        <w:t>, p. </w:t>
      </w:r>
      <w:r w:rsidRPr="00852CA0">
        <w:t>1</w:t>
      </w:r>
      <w:r>
        <w:t>).</w:t>
      </w:r>
    </w:p>
  </w:footnote>
  <w:footnote w:id="2">
    <w:p w:rsidR="00ED216C" w:rsidRPr="009D0146" w:rsidRDefault="00ED216C" w:rsidP="00ED216C">
      <w:pPr>
        <w:pStyle w:val="FootnoteText"/>
      </w:pPr>
      <w:r>
        <w:rPr>
          <w:rStyle w:val="FootnoteReference"/>
        </w:rPr>
        <w:footnoteRef/>
      </w:r>
      <w:r>
        <w:tab/>
        <w:t xml:space="preserve">Conferința extraordinară privind Carta energiei din </w:t>
      </w:r>
      <w:r w:rsidRPr="00852CA0">
        <w:t>24</w:t>
      </w:r>
      <w:r>
        <w:t xml:space="preserve"> iunie </w:t>
      </w:r>
      <w:r w:rsidRPr="00852CA0">
        <w:t>2022</w:t>
      </w:r>
      <w:r>
        <w:t xml:space="preserve"> a retras statutul de observator al Federației Ruse.</w:t>
      </w:r>
    </w:p>
  </w:footnote>
  <w:footnote w:id="3">
    <w:p w:rsidR="00ED216C" w:rsidRPr="009D0146" w:rsidRDefault="00ED216C" w:rsidP="00ED216C">
      <w:pPr>
        <w:pStyle w:val="FootnoteText"/>
      </w:pPr>
      <w:r>
        <w:rPr>
          <w:rStyle w:val="FootnoteReference"/>
        </w:rPr>
        <w:footnoteRef/>
      </w:r>
      <w:r>
        <w:tab/>
        <w:t xml:space="preserve">Conferința extraordinară privind Carta energiei din </w:t>
      </w:r>
      <w:r w:rsidRPr="00852CA0">
        <w:t>24</w:t>
      </w:r>
      <w:r>
        <w:t xml:space="preserve"> iunie </w:t>
      </w:r>
      <w:r w:rsidRPr="00852CA0">
        <w:t>2022</w:t>
      </w:r>
      <w:r>
        <w:t xml:space="preserve"> a retras statutul de observator al Belarusului și aplicarea provizorie a TCE de către Belarus.</w:t>
      </w:r>
    </w:p>
  </w:footnote>
  <w:footnote w:id="4">
    <w:p w:rsidR="004919F6" w:rsidRDefault="004919F6" w:rsidP="004919F6">
      <w:pPr>
        <w:pStyle w:val="FootnoteText"/>
      </w:pPr>
      <w:r>
        <w:rPr>
          <w:rStyle w:val="FootnoteReference"/>
        </w:rPr>
        <w:footnoteRef/>
      </w:r>
      <w:r>
        <w:tab/>
        <w:t>Cauza C-</w:t>
      </w:r>
      <w:r w:rsidRPr="00852CA0">
        <w:t>741</w:t>
      </w:r>
      <w:r>
        <w:t>/</w:t>
      </w:r>
      <w:r w:rsidRPr="00852CA0">
        <w:t>19</w:t>
      </w:r>
      <w:r>
        <w:t xml:space="preserve"> </w:t>
      </w:r>
      <w:r>
        <w:rPr>
          <w:i/>
        </w:rPr>
        <w:t>Republica Moldova/Komstroy LLC</w:t>
      </w:r>
      <w:r>
        <w:t xml:space="preserve">, </w:t>
      </w:r>
      <w:r w:rsidRPr="00852CA0">
        <w:t>2</w:t>
      </w:r>
      <w:r>
        <w:t xml:space="preserve"> septembrie </w:t>
      </w:r>
      <w:r w:rsidRPr="00852CA0">
        <w:t>2021</w:t>
      </w:r>
      <w:r>
        <w:t>.</w:t>
      </w:r>
    </w:p>
  </w:footnote>
  <w:footnote w:id="5">
    <w:p w:rsidR="00ED216C" w:rsidRPr="00C13A23" w:rsidRDefault="00ED216C" w:rsidP="00ED216C">
      <w:pPr>
        <w:pStyle w:val="FootnoteText"/>
      </w:pPr>
      <w:r>
        <w:rPr>
          <w:rStyle w:val="FootnoteReference"/>
        </w:rPr>
        <w:footnoteRef/>
      </w:r>
      <w:r>
        <w:tab/>
        <w:t>Comisia Organizației Națiunilor Unite pentru dreptul comercial internațional.</w:t>
      </w:r>
    </w:p>
  </w:footnote>
  <w:footnote w:id="6">
    <w:p w:rsidR="00ED216C" w:rsidRDefault="00ED216C" w:rsidP="00ED216C">
      <w:pPr>
        <w:pStyle w:val="FootnoteText"/>
      </w:pPr>
      <w:r>
        <w:rPr>
          <w:rStyle w:val="FootnoteReference"/>
        </w:rPr>
        <w:footnoteRef/>
      </w:r>
      <w:r>
        <w:tab/>
        <w:t>Societățile de tip „cutie poștală” sunt societăți care au o adresă profesională pe teritoriul unei părți contractante la TCE fără a desfășura nicio activitate economică efectivă pe teritoriul unei astfel de părți contractante, singurul lor scop fiind acela de a solicita protecție în temeiul TCE.</w:t>
      </w:r>
    </w:p>
  </w:footnote>
  <w:footnote w:id="7">
    <w:p w:rsidR="00ED216C" w:rsidRPr="00C13A23" w:rsidRDefault="00ED216C" w:rsidP="00ED216C">
      <w:pPr>
        <w:pStyle w:val="FootnoteText"/>
      </w:pPr>
      <w:r>
        <w:rPr>
          <w:rStyle w:val="FootnoteReference"/>
        </w:rPr>
        <w:footnoteRef/>
      </w:r>
      <w:r>
        <w:tab/>
        <w:t xml:space="preserve">Astfel de cereri au reprezentat majoritatea covârșitoare a acțiunilor împotriva țărilor UE în ultimul deceniu, în pofida poziției Comisiei, confirmată de Curtea de Justiție a UE, potrivit căreia legislația UE împiedică arbitrajul în materie de investiții în interiorul UE. </w:t>
      </w:r>
    </w:p>
  </w:footnote>
  <w:footnote w:id="8">
    <w:p w:rsidR="00ED216C" w:rsidRPr="00C13A23" w:rsidRDefault="00ED216C" w:rsidP="00ED216C">
      <w:pPr>
        <w:pStyle w:val="FootnoteText"/>
      </w:pPr>
      <w:r>
        <w:rPr>
          <w:rStyle w:val="FootnoteReference"/>
        </w:rPr>
        <w:footnoteRef/>
      </w:r>
      <w:r>
        <w:tab/>
        <w:t>Cauza C-</w:t>
      </w:r>
      <w:r w:rsidRPr="00852CA0">
        <w:t>284</w:t>
      </w:r>
      <w:r>
        <w:t>/</w:t>
      </w:r>
      <w:r w:rsidRPr="00852CA0">
        <w:t>16</w:t>
      </w:r>
      <w:r>
        <w:t xml:space="preserve"> </w:t>
      </w:r>
      <w:r>
        <w:rPr>
          <w:i/>
        </w:rPr>
        <w:t>Republica Slovacă/Achmea BV</w:t>
      </w:r>
      <w:r>
        <w:t xml:space="preserve">, </w:t>
      </w:r>
      <w:r w:rsidRPr="00852CA0">
        <w:t>6</w:t>
      </w:r>
      <w:r>
        <w:t xml:space="preserve"> martie </w:t>
      </w:r>
      <w:r w:rsidRPr="00852CA0">
        <w:t>2018</w:t>
      </w:r>
      <w:r>
        <w:t>, și C-</w:t>
      </w:r>
      <w:r w:rsidRPr="00852CA0">
        <w:t>741</w:t>
      </w:r>
      <w:r>
        <w:t>/</w:t>
      </w:r>
      <w:r w:rsidRPr="00852CA0">
        <w:t>19</w:t>
      </w:r>
      <w:r>
        <w:t xml:space="preserve"> </w:t>
      </w:r>
      <w:r>
        <w:rPr>
          <w:i/>
        </w:rPr>
        <w:t>Republica Moldova/Komstroy LLC</w:t>
      </w:r>
      <w:r>
        <w:t xml:space="preserve">, </w:t>
      </w:r>
      <w:r w:rsidRPr="00852CA0">
        <w:t>2</w:t>
      </w:r>
      <w:r>
        <w:t xml:space="preserve"> septembrie </w:t>
      </w:r>
      <w:r w:rsidRPr="00852CA0">
        <w:t>2021</w:t>
      </w:r>
      <w:r>
        <w:t>.</w:t>
      </w:r>
    </w:p>
  </w:footnote>
  <w:footnote w:id="9">
    <w:p w:rsidR="00ED216C" w:rsidRPr="002049CA" w:rsidRDefault="00ED216C" w:rsidP="00ED216C">
      <w:pPr>
        <w:pStyle w:val="FootnoteText"/>
      </w:pPr>
      <w:r>
        <w:rPr>
          <w:rStyle w:val="FootnoteReference"/>
        </w:rPr>
        <w:footnoteRef/>
      </w:r>
      <w:r>
        <w:tab/>
        <w:t>Este important de remarcat faptul că noile angajamente legate de accesul terților, mecanismele de alocare a capacității și tarife sunt angajamente care „depun toate eforturile”, care „fac obiectul” legilor și reglementărilor UE și, prin urmare, ar trebui respectate numai dacă nu aduc atingere cadrului juridic al UE și angajamentelor internaționale ale UE.</w:t>
      </w:r>
    </w:p>
  </w:footnote>
  <w:footnote w:id="10">
    <w:p w:rsidR="00ED216C" w:rsidRPr="008A599D" w:rsidRDefault="00ED216C" w:rsidP="00ED216C">
      <w:pPr>
        <w:pStyle w:val="FootnoteText"/>
      </w:pPr>
      <w:r>
        <w:rPr>
          <w:rStyle w:val="FootnoteReference"/>
        </w:rPr>
        <w:footnoteRef/>
      </w:r>
      <w:r>
        <w:tab/>
        <w:t xml:space="preserve">Hotărârea Curții de Justiție din </w:t>
      </w:r>
      <w:r w:rsidRPr="00852CA0">
        <w:t>7</w:t>
      </w:r>
      <w:r>
        <w:t xml:space="preserve"> octombrie </w:t>
      </w:r>
      <w:r w:rsidRPr="00852CA0">
        <w:t>2014</w:t>
      </w:r>
      <w:r>
        <w:t>, Germania/Consiliul, C-</w:t>
      </w:r>
      <w:r w:rsidRPr="00852CA0">
        <w:t>399</w:t>
      </w:r>
      <w:r>
        <w:t>/</w:t>
      </w:r>
      <w:r w:rsidRPr="00852CA0">
        <w:t>12</w:t>
      </w:r>
      <w:r>
        <w:t>, ECLI:EU:C:</w:t>
      </w:r>
      <w:r w:rsidRPr="00852CA0">
        <w:t>2014</w:t>
      </w:r>
      <w:r>
        <w:t>:</w:t>
      </w:r>
      <w:r w:rsidRPr="00852CA0">
        <w:t>2258</w:t>
      </w:r>
      <w:r>
        <w:t xml:space="preserve">, punctele </w:t>
      </w:r>
      <w:r w:rsidRPr="00852CA0">
        <w:t>61</w:t>
      </w:r>
      <w:r>
        <w:t>-</w:t>
      </w:r>
      <w:r w:rsidRPr="00852CA0">
        <w:t>64</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7E" w:rsidRDefault="00DB53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37E" w:rsidRDefault="00DB53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87B82DF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F04903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2D67E5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D366E2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0EBB1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448AF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55464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A60175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4-03-12 09:30: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7F70B8E-7F78-4C38-ABF3-1BA375583304"/>
    <w:docVar w:name="LW_COVERPAGE_TYPE" w:val="1"/>
    <w:docVar w:name="LW_CROSSREFERENCE" w:val="&lt;UNUSED&gt;"/>
    <w:docVar w:name="LW_DocType" w:val="COM"/>
    <w:docVar w:name="LW_EMISSION" w:val="1.3.2024"/>
    <w:docVar w:name="LW_EMISSION_ISODATE" w:val="2024-03-01"/>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57"/>
    <w:docVar w:name="LW_REF.II.NEW.CP_YEAR" w:val="2024"/>
    <w:docVar w:name="LW_REF.INST.NEW" w:val="COM"/>
    <w:docVar w:name="LW_REF.INST.NEW_ADOPTED" w:val="final"/>
    <w:docVar w:name="LW_REF.INST.NEW_TEXT" w:val="(2024) 1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onferin\u539?ei privind Carta energiei"/>
    <w:docVar w:name="LW_TYPE.DOC.CP" w:val="DECIZIE A CONSILIULUI"/>
    <w:docVar w:name="LwApiVersions" w:val="LW4CoDe 1.24.5.0; LW 9.0, Build 20240221"/>
  </w:docVars>
  <w:rsids>
    <w:rsidRoot w:val="00ED216C"/>
    <w:rsid w:val="00020AC3"/>
    <w:rsid w:val="00020B68"/>
    <w:rsid w:val="00050E3E"/>
    <w:rsid w:val="00051225"/>
    <w:rsid w:val="0006122C"/>
    <w:rsid w:val="000613EC"/>
    <w:rsid w:val="00077009"/>
    <w:rsid w:val="000B7A7D"/>
    <w:rsid w:val="000C094E"/>
    <w:rsid w:val="000C3ABA"/>
    <w:rsid w:val="000C6B82"/>
    <w:rsid w:val="000D047D"/>
    <w:rsid w:val="000D558B"/>
    <w:rsid w:val="001040F4"/>
    <w:rsid w:val="00104297"/>
    <w:rsid w:val="001062C2"/>
    <w:rsid w:val="00112AE7"/>
    <w:rsid w:val="00112D7A"/>
    <w:rsid w:val="00125141"/>
    <w:rsid w:val="00132C58"/>
    <w:rsid w:val="00152894"/>
    <w:rsid w:val="00160F18"/>
    <w:rsid w:val="00176A12"/>
    <w:rsid w:val="001857D5"/>
    <w:rsid w:val="001A6871"/>
    <w:rsid w:val="001A6B8D"/>
    <w:rsid w:val="001C1D0E"/>
    <w:rsid w:val="001C5CE2"/>
    <w:rsid w:val="001F143C"/>
    <w:rsid w:val="00213322"/>
    <w:rsid w:val="002146DF"/>
    <w:rsid w:val="0022767A"/>
    <w:rsid w:val="00231880"/>
    <w:rsid w:val="00256FA5"/>
    <w:rsid w:val="00260C6D"/>
    <w:rsid w:val="00261221"/>
    <w:rsid w:val="0026254B"/>
    <w:rsid w:val="002D3261"/>
    <w:rsid w:val="002F0ECF"/>
    <w:rsid w:val="002F3EC1"/>
    <w:rsid w:val="0030090D"/>
    <w:rsid w:val="003078EA"/>
    <w:rsid w:val="003134A2"/>
    <w:rsid w:val="00316096"/>
    <w:rsid w:val="0032008B"/>
    <w:rsid w:val="00347D26"/>
    <w:rsid w:val="0036521C"/>
    <w:rsid w:val="0039445A"/>
    <w:rsid w:val="00396ACD"/>
    <w:rsid w:val="003A31E4"/>
    <w:rsid w:val="003C50D1"/>
    <w:rsid w:val="003E2431"/>
    <w:rsid w:val="003F48A7"/>
    <w:rsid w:val="00437AA5"/>
    <w:rsid w:val="00446EF1"/>
    <w:rsid w:val="00475B78"/>
    <w:rsid w:val="004905D6"/>
    <w:rsid w:val="004919F6"/>
    <w:rsid w:val="00492396"/>
    <w:rsid w:val="004A1AF8"/>
    <w:rsid w:val="004A7778"/>
    <w:rsid w:val="004D2B7F"/>
    <w:rsid w:val="004E19F9"/>
    <w:rsid w:val="004E2D21"/>
    <w:rsid w:val="004E706D"/>
    <w:rsid w:val="00501385"/>
    <w:rsid w:val="00511EEF"/>
    <w:rsid w:val="00516D76"/>
    <w:rsid w:val="00517205"/>
    <w:rsid w:val="0051763F"/>
    <w:rsid w:val="00517708"/>
    <w:rsid w:val="005254D7"/>
    <w:rsid w:val="00537E4B"/>
    <w:rsid w:val="00542487"/>
    <w:rsid w:val="00551810"/>
    <w:rsid w:val="005649E4"/>
    <w:rsid w:val="00564DAF"/>
    <w:rsid w:val="005669B3"/>
    <w:rsid w:val="00582810"/>
    <w:rsid w:val="00590170"/>
    <w:rsid w:val="00595540"/>
    <w:rsid w:val="005B0CB3"/>
    <w:rsid w:val="005B5FA6"/>
    <w:rsid w:val="00611577"/>
    <w:rsid w:val="0065132C"/>
    <w:rsid w:val="00651729"/>
    <w:rsid w:val="006654AB"/>
    <w:rsid w:val="00666A9D"/>
    <w:rsid w:val="00671EC9"/>
    <w:rsid w:val="006764DB"/>
    <w:rsid w:val="006841FB"/>
    <w:rsid w:val="006B032C"/>
    <w:rsid w:val="006B73BD"/>
    <w:rsid w:val="006C1698"/>
    <w:rsid w:val="006C41D3"/>
    <w:rsid w:val="006D50A4"/>
    <w:rsid w:val="006E6735"/>
    <w:rsid w:val="006F1A19"/>
    <w:rsid w:val="006F7EFE"/>
    <w:rsid w:val="00704461"/>
    <w:rsid w:val="00706977"/>
    <w:rsid w:val="00717CC0"/>
    <w:rsid w:val="007216D7"/>
    <w:rsid w:val="00750350"/>
    <w:rsid w:val="00761B70"/>
    <w:rsid w:val="00781B61"/>
    <w:rsid w:val="007B16BE"/>
    <w:rsid w:val="007B6E39"/>
    <w:rsid w:val="007D0861"/>
    <w:rsid w:val="007E010B"/>
    <w:rsid w:val="00802FC2"/>
    <w:rsid w:val="00852CA0"/>
    <w:rsid w:val="00865E8E"/>
    <w:rsid w:val="00866ACE"/>
    <w:rsid w:val="008B39CF"/>
    <w:rsid w:val="008E2694"/>
    <w:rsid w:val="009151D1"/>
    <w:rsid w:val="00940731"/>
    <w:rsid w:val="009466FC"/>
    <w:rsid w:val="00951371"/>
    <w:rsid w:val="009571EF"/>
    <w:rsid w:val="009639B3"/>
    <w:rsid w:val="0098029A"/>
    <w:rsid w:val="00991A1F"/>
    <w:rsid w:val="00991E3E"/>
    <w:rsid w:val="009957C5"/>
    <w:rsid w:val="009A2270"/>
    <w:rsid w:val="009B0651"/>
    <w:rsid w:val="009B7350"/>
    <w:rsid w:val="009C7845"/>
    <w:rsid w:val="009D2CD4"/>
    <w:rsid w:val="009F5E07"/>
    <w:rsid w:val="009F6923"/>
    <w:rsid w:val="00A02755"/>
    <w:rsid w:val="00A0462E"/>
    <w:rsid w:val="00A15408"/>
    <w:rsid w:val="00A25068"/>
    <w:rsid w:val="00A3148C"/>
    <w:rsid w:val="00A565C7"/>
    <w:rsid w:val="00A672F5"/>
    <w:rsid w:val="00A73DCC"/>
    <w:rsid w:val="00AD00BE"/>
    <w:rsid w:val="00AE4CED"/>
    <w:rsid w:val="00AE78BB"/>
    <w:rsid w:val="00AF0312"/>
    <w:rsid w:val="00AF4141"/>
    <w:rsid w:val="00B15A44"/>
    <w:rsid w:val="00B5707D"/>
    <w:rsid w:val="00B66DEB"/>
    <w:rsid w:val="00B82CF7"/>
    <w:rsid w:val="00BB3D01"/>
    <w:rsid w:val="00BC70DD"/>
    <w:rsid w:val="00BD325F"/>
    <w:rsid w:val="00BD6566"/>
    <w:rsid w:val="00C27AD4"/>
    <w:rsid w:val="00C3731F"/>
    <w:rsid w:val="00C521C6"/>
    <w:rsid w:val="00C608B1"/>
    <w:rsid w:val="00C7343D"/>
    <w:rsid w:val="00CB0904"/>
    <w:rsid w:val="00CC6258"/>
    <w:rsid w:val="00CC7716"/>
    <w:rsid w:val="00CE6BF7"/>
    <w:rsid w:val="00CF1CA7"/>
    <w:rsid w:val="00CF2B19"/>
    <w:rsid w:val="00D02840"/>
    <w:rsid w:val="00D13994"/>
    <w:rsid w:val="00D5335C"/>
    <w:rsid w:val="00D5506C"/>
    <w:rsid w:val="00D60152"/>
    <w:rsid w:val="00D6700A"/>
    <w:rsid w:val="00D7223C"/>
    <w:rsid w:val="00D82DEA"/>
    <w:rsid w:val="00D83BC1"/>
    <w:rsid w:val="00D876DA"/>
    <w:rsid w:val="00D94548"/>
    <w:rsid w:val="00D9511D"/>
    <w:rsid w:val="00D96393"/>
    <w:rsid w:val="00DA21B6"/>
    <w:rsid w:val="00DB0BD3"/>
    <w:rsid w:val="00DB4B20"/>
    <w:rsid w:val="00DB537E"/>
    <w:rsid w:val="00DC3F3C"/>
    <w:rsid w:val="00DD5881"/>
    <w:rsid w:val="00E02B92"/>
    <w:rsid w:val="00E030CA"/>
    <w:rsid w:val="00E07235"/>
    <w:rsid w:val="00E12331"/>
    <w:rsid w:val="00E320E4"/>
    <w:rsid w:val="00E33C9F"/>
    <w:rsid w:val="00E42922"/>
    <w:rsid w:val="00E64B84"/>
    <w:rsid w:val="00E81098"/>
    <w:rsid w:val="00E979AB"/>
    <w:rsid w:val="00EC1B1E"/>
    <w:rsid w:val="00EC39BC"/>
    <w:rsid w:val="00ED216C"/>
    <w:rsid w:val="00ED4F71"/>
    <w:rsid w:val="00EE140B"/>
    <w:rsid w:val="00EE77D2"/>
    <w:rsid w:val="00F03BF2"/>
    <w:rsid w:val="00F050CF"/>
    <w:rsid w:val="00F06F66"/>
    <w:rsid w:val="00F11F73"/>
    <w:rsid w:val="00F57C7C"/>
    <w:rsid w:val="00F63F5F"/>
    <w:rsid w:val="00F66BF6"/>
    <w:rsid w:val="00F753CE"/>
    <w:rsid w:val="00F8019C"/>
    <w:rsid w:val="00F862E2"/>
    <w:rsid w:val="00F90227"/>
    <w:rsid w:val="00FC2396"/>
    <w:rsid w:val="00FD522B"/>
    <w:rsid w:val="00FE75D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3CA6B77-CA2D-45E6-B264-F4EE079C3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16C"/>
    <w:pPr>
      <w:spacing w:before="0" w:after="200" w:line="276" w:lineRule="auto"/>
      <w:ind w:left="720"/>
      <w:contextualSpacing/>
      <w:jc w:val="left"/>
    </w:pPr>
    <w:rPr>
      <w:rFonts w:asciiTheme="minorHAnsi" w:hAnsiTheme="minorHAnsi" w:cstheme="minorBidi"/>
      <w:sz w:val="22"/>
    </w:rPr>
  </w:style>
  <w:style w:type="paragraph" w:styleId="Caption">
    <w:name w:val="caption"/>
    <w:basedOn w:val="Normal"/>
    <w:next w:val="Normal"/>
    <w:uiPriority w:val="35"/>
    <w:semiHidden/>
    <w:unhideWhenUsed/>
    <w:qFormat/>
    <w:rsid w:val="00A672F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672F5"/>
    <w:pPr>
      <w:spacing w:after="0"/>
    </w:pPr>
  </w:style>
  <w:style w:type="paragraph" w:styleId="ListBullet">
    <w:name w:val="List Bullet"/>
    <w:basedOn w:val="Normal"/>
    <w:uiPriority w:val="99"/>
    <w:semiHidden/>
    <w:unhideWhenUsed/>
    <w:rsid w:val="00A672F5"/>
    <w:pPr>
      <w:numPr>
        <w:numId w:val="1"/>
      </w:numPr>
      <w:contextualSpacing/>
    </w:pPr>
  </w:style>
  <w:style w:type="paragraph" w:styleId="ListBullet2">
    <w:name w:val="List Bullet 2"/>
    <w:basedOn w:val="Normal"/>
    <w:uiPriority w:val="99"/>
    <w:semiHidden/>
    <w:unhideWhenUsed/>
    <w:rsid w:val="00A672F5"/>
    <w:pPr>
      <w:numPr>
        <w:numId w:val="2"/>
      </w:numPr>
      <w:contextualSpacing/>
    </w:pPr>
  </w:style>
  <w:style w:type="paragraph" w:styleId="ListBullet3">
    <w:name w:val="List Bullet 3"/>
    <w:basedOn w:val="Normal"/>
    <w:uiPriority w:val="99"/>
    <w:semiHidden/>
    <w:unhideWhenUsed/>
    <w:rsid w:val="00A672F5"/>
    <w:pPr>
      <w:numPr>
        <w:numId w:val="3"/>
      </w:numPr>
      <w:contextualSpacing/>
    </w:pPr>
  </w:style>
  <w:style w:type="paragraph" w:styleId="ListBullet4">
    <w:name w:val="List Bullet 4"/>
    <w:basedOn w:val="Normal"/>
    <w:uiPriority w:val="99"/>
    <w:semiHidden/>
    <w:unhideWhenUsed/>
    <w:rsid w:val="00A672F5"/>
    <w:pPr>
      <w:numPr>
        <w:numId w:val="4"/>
      </w:numPr>
      <w:contextualSpacing/>
    </w:pPr>
  </w:style>
  <w:style w:type="paragraph" w:styleId="ListNumber">
    <w:name w:val="List Number"/>
    <w:basedOn w:val="Normal"/>
    <w:uiPriority w:val="99"/>
    <w:semiHidden/>
    <w:unhideWhenUsed/>
    <w:rsid w:val="00A672F5"/>
    <w:pPr>
      <w:numPr>
        <w:numId w:val="5"/>
      </w:numPr>
      <w:contextualSpacing/>
    </w:pPr>
  </w:style>
  <w:style w:type="paragraph" w:styleId="ListNumber2">
    <w:name w:val="List Number 2"/>
    <w:basedOn w:val="Normal"/>
    <w:uiPriority w:val="99"/>
    <w:semiHidden/>
    <w:unhideWhenUsed/>
    <w:rsid w:val="00A672F5"/>
    <w:pPr>
      <w:numPr>
        <w:numId w:val="6"/>
      </w:numPr>
      <w:contextualSpacing/>
    </w:pPr>
  </w:style>
  <w:style w:type="paragraph" w:styleId="ListNumber3">
    <w:name w:val="List Number 3"/>
    <w:basedOn w:val="Normal"/>
    <w:uiPriority w:val="99"/>
    <w:semiHidden/>
    <w:unhideWhenUsed/>
    <w:rsid w:val="00A672F5"/>
    <w:pPr>
      <w:numPr>
        <w:numId w:val="7"/>
      </w:numPr>
      <w:contextualSpacing/>
    </w:pPr>
  </w:style>
  <w:style w:type="paragraph" w:styleId="ListNumber4">
    <w:name w:val="List Number 4"/>
    <w:basedOn w:val="Normal"/>
    <w:uiPriority w:val="99"/>
    <w:semiHidden/>
    <w:unhideWhenUsed/>
    <w:rsid w:val="00A672F5"/>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777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778"/>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501385"/>
    <w:rPr>
      <w:b/>
      <w:bCs/>
    </w:rPr>
  </w:style>
  <w:style w:type="character" w:customStyle="1" w:styleId="CommentSubjectChar">
    <w:name w:val="Comment Subject Char"/>
    <w:basedOn w:val="CommentTextChar"/>
    <w:link w:val="CommentSubject"/>
    <w:uiPriority w:val="99"/>
    <w:semiHidden/>
    <w:rsid w:val="00501385"/>
    <w:rPr>
      <w:rFonts w:ascii="Times New Roman" w:hAnsi="Times New Roman" w:cs="Times New Roman"/>
      <w:b/>
      <w:bCs/>
      <w:sz w:val="20"/>
      <w:szCs w:val="20"/>
      <w:lang w:val="ro-RO"/>
    </w:rPr>
  </w:style>
  <w:style w:type="character" w:styleId="Hyperlink">
    <w:name w:val="Hyperlink"/>
    <w:basedOn w:val="DefaultParagraphFont"/>
    <w:uiPriority w:val="99"/>
    <w:unhideWhenUsed/>
    <w:rsid w:val="00501385"/>
    <w:rPr>
      <w:color w:val="0000FF" w:themeColor="hyperlink"/>
      <w:u w:val="single"/>
    </w:rPr>
  </w:style>
  <w:style w:type="paragraph" w:styleId="Revision">
    <w:name w:val="Revision"/>
    <w:hidden/>
    <w:uiPriority w:val="99"/>
    <w:semiHidden/>
    <w:rsid w:val="00A73DCC"/>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D60152"/>
    <w:rPr>
      <w:color w:val="605E5C"/>
      <w:shd w:val="clear" w:color="auto" w:fill="E1DFDD"/>
    </w:rPr>
  </w:style>
  <w:style w:type="character" w:customStyle="1" w:styleId="HeaderChar">
    <w:name w:val="Header Char"/>
    <w:basedOn w:val="DefaultParagraphFont"/>
    <w:link w:val="Header"/>
    <w:uiPriority w:val="99"/>
    <w:rsid w:val="00DB537E"/>
    <w:rPr>
      <w:rFonts w:ascii="Times New Roman" w:hAnsi="Times New Roman" w:cs="Times New Roman"/>
      <w:sz w:val="24"/>
      <w:lang w:val="ro-RO"/>
    </w:rPr>
  </w:style>
  <w:style w:type="character" w:customStyle="1" w:styleId="FooterChar">
    <w:name w:val="Footer Char"/>
    <w:basedOn w:val="DefaultParagraphFont"/>
    <w:link w:val="Footer"/>
    <w:uiPriority w:val="99"/>
    <w:rsid w:val="00DB537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B537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B537E"/>
    <w:pPr>
      <w:spacing w:before="0"/>
      <w:jc w:val="right"/>
    </w:pPr>
    <w:rPr>
      <w:sz w:val="28"/>
    </w:rPr>
  </w:style>
  <w:style w:type="paragraph" w:customStyle="1" w:styleId="FooterSensitivity">
    <w:name w:val="Footer Sensitivity"/>
    <w:basedOn w:val="Normal"/>
    <w:rsid w:val="00DB53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DB537E"/>
    <w:pPr>
      <w:tabs>
        <w:tab w:val="center" w:pos="4535"/>
        <w:tab w:val="right" w:pos="9071"/>
      </w:tabs>
      <w:spacing w:before="0"/>
    </w:pPr>
  </w:style>
  <w:style w:type="paragraph" w:customStyle="1" w:styleId="HeaderLandscape">
    <w:name w:val="HeaderLandscape"/>
    <w:basedOn w:val="Normal"/>
    <w:rsid w:val="00DB537E"/>
    <w:pPr>
      <w:tabs>
        <w:tab w:val="center" w:pos="7285"/>
        <w:tab w:val="right" w:pos="14003"/>
      </w:tabs>
      <w:spacing w:before="0"/>
    </w:pPr>
  </w:style>
  <w:style w:type="paragraph" w:styleId="Footer">
    <w:name w:val="footer"/>
    <w:basedOn w:val="Normal"/>
    <w:link w:val="FooterChar"/>
    <w:uiPriority w:val="99"/>
    <w:unhideWhenUsed/>
    <w:rsid w:val="00DB537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B537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550557">
      <w:bodyDiv w:val="1"/>
      <w:marLeft w:val="0"/>
      <w:marRight w:val="0"/>
      <w:marTop w:val="0"/>
      <w:marBottom w:val="0"/>
      <w:divBdr>
        <w:top w:val="none" w:sz="0" w:space="0" w:color="auto"/>
        <w:left w:val="none" w:sz="0" w:space="0" w:color="auto"/>
        <w:bottom w:val="none" w:sz="0" w:space="0" w:color="auto"/>
        <w:right w:val="none" w:sz="0" w:space="0" w:color="auto"/>
      </w:divBdr>
    </w:div>
    <w:div w:id="1183011798">
      <w:bodyDiv w:val="1"/>
      <w:marLeft w:val="0"/>
      <w:marRight w:val="0"/>
      <w:marTop w:val="0"/>
      <w:marBottom w:val="0"/>
      <w:divBdr>
        <w:top w:val="none" w:sz="0" w:space="0" w:color="auto"/>
        <w:left w:val="none" w:sz="0" w:space="0" w:color="auto"/>
        <w:bottom w:val="none" w:sz="0" w:space="0" w:color="auto"/>
        <w:right w:val="none" w:sz="0" w:space="0" w:color="auto"/>
      </w:divBdr>
    </w:div>
    <w:div w:id="1476946202">
      <w:bodyDiv w:val="1"/>
      <w:marLeft w:val="0"/>
      <w:marRight w:val="0"/>
      <w:marTop w:val="0"/>
      <w:marBottom w:val="0"/>
      <w:divBdr>
        <w:top w:val="none" w:sz="0" w:space="0" w:color="auto"/>
        <w:left w:val="none" w:sz="0" w:space="0" w:color="auto"/>
        <w:bottom w:val="none" w:sz="0" w:space="0" w:color="auto"/>
        <w:right w:val="none" w:sz="0" w:space="0" w:color="auto"/>
      </w:divBdr>
    </w:div>
    <w:div w:id="1927959656">
      <w:bodyDiv w:val="1"/>
      <w:marLeft w:val="0"/>
      <w:marRight w:val="0"/>
      <w:marTop w:val="0"/>
      <w:marBottom w:val="0"/>
      <w:divBdr>
        <w:top w:val="none" w:sz="0" w:space="0" w:color="auto"/>
        <w:left w:val="none" w:sz="0" w:space="0" w:color="auto"/>
        <w:bottom w:val="none" w:sz="0" w:space="0" w:color="auto"/>
        <w:right w:val="none" w:sz="0" w:space="0" w:color="auto"/>
      </w:divBdr>
    </w:div>
    <w:div w:id="196800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18530-3477-4569-9B46-83DFA409B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10</Pages>
  <Words>4287</Words>
  <Characters>24437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2024-03-10T22:03:00Z</dcterms:created>
  <dcterms:modified xsi:type="dcterms:W3CDTF">2024-03-12T08:30:00Z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2024-02-07T17:33:52Z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18591ef7-b241-4e75-85d2-c547ee2c03e9</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