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9FA3A1" w14:textId="72E3009E" w:rsidR="00255966" w:rsidRDefault="00A37E28" w:rsidP="00A37E28">
      <w:pPr>
        <w:pStyle w:val="Pagedecouverture"/>
        <w:rPr>
          <w:noProof/>
        </w:rPr>
      </w:pPr>
      <w:bookmarkStart w:id="0" w:name="_Ref155625292"/>
      <w:bookmarkStart w:id="1" w:name="LW_BM_COVERPAGE"/>
      <w:r>
        <w:rPr>
          <w:noProof/>
        </w:rPr>
        <w:pict w14:anchorId="1FCDE8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6AADA0A-D36D-4E6B-B221-815D605F3FDF" style="width:455.25pt;height:351.75pt">
            <v:imagedata r:id="rId15" o:title=""/>
          </v:shape>
        </w:pict>
      </w:r>
    </w:p>
    <w:bookmarkEnd w:id="1"/>
    <w:p w14:paraId="0C5539FF" w14:textId="77777777" w:rsidR="00255966" w:rsidRDefault="00255966" w:rsidP="00255966">
      <w:pPr>
        <w:rPr>
          <w:noProof/>
        </w:rPr>
        <w:sectPr w:rsidR="00255966" w:rsidSect="00A37E28">
          <w:headerReference w:type="even" r:id="rId16"/>
          <w:headerReference w:type="default" r:id="rId17"/>
          <w:footerReference w:type="even" r:id="rId18"/>
          <w:footerReference w:type="default" r:id="rId19"/>
          <w:headerReference w:type="first" r:id="rId20"/>
          <w:footerReference w:type="first" r:id="rId21"/>
          <w:endnotePr>
            <w:numFmt w:val="lowerLetter"/>
          </w:endnotePr>
          <w:pgSz w:w="11906" w:h="16838"/>
          <w:pgMar w:top="1134" w:right="1417" w:bottom="1134" w:left="1417" w:header="709" w:footer="709" w:gutter="0"/>
          <w:pgNumType w:start="0"/>
          <w:cols w:space="720"/>
          <w:docGrid w:linePitch="326"/>
        </w:sectPr>
      </w:pPr>
    </w:p>
    <w:p w14:paraId="3EC59E81" w14:textId="480DB9D9" w:rsidR="00553387" w:rsidRPr="00CC26F0" w:rsidRDefault="30E74420" w:rsidP="000C0D27">
      <w:pPr>
        <w:pStyle w:val="Heading1"/>
        <w:rPr>
          <w:noProof/>
        </w:rPr>
      </w:pPr>
      <w:bookmarkStart w:id="2" w:name="_GoBack"/>
      <w:bookmarkEnd w:id="2"/>
      <w:r>
        <w:rPr>
          <w:noProof/>
        </w:rPr>
        <w:lastRenderedPageBreak/>
        <w:t xml:space="preserve">Introduction </w:t>
      </w:r>
      <w:bookmarkEnd w:id="0"/>
    </w:p>
    <w:p w14:paraId="6AEC7C13" w14:textId="5CAEF510" w:rsidR="00120BF3" w:rsidRDefault="0CB2569B" w:rsidP="006719DD">
      <w:pPr>
        <w:pStyle w:val="NormalWeb"/>
        <w:spacing w:before="0" w:beforeAutospacing="0" w:after="120" w:afterAutospacing="0"/>
        <w:jc w:val="both"/>
        <w:rPr>
          <w:rStyle w:val="normaltextrun"/>
          <w:b/>
          <w:smallCaps/>
          <w:noProof/>
          <w:szCs w:val="20"/>
        </w:rPr>
      </w:pPr>
      <w:bookmarkStart w:id="3" w:name="_Ref155624042"/>
      <w:r>
        <w:rPr>
          <w:rStyle w:val="normaltextrun"/>
          <w:b/>
          <w:noProof/>
        </w:rPr>
        <w:t>Depuis près d’une décennie, les pénuries de main-d’œuvre et de compétences s’aggravent dans tous les États membres.</w:t>
      </w:r>
      <w:r>
        <w:rPr>
          <w:rStyle w:val="normaltextrun"/>
          <w:noProof/>
        </w:rPr>
        <w:t xml:space="preserve"> </w:t>
      </w:r>
      <w:r>
        <w:rPr>
          <w:noProof/>
        </w:rPr>
        <w:t>Cette tendance a été temporairement interrompue par la pandémie de COVID-</w:t>
      </w:r>
      <w:r w:rsidRPr="002C3F74">
        <w:rPr>
          <w:noProof/>
        </w:rPr>
        <w:t>19</w:t>
      </w:r>
      <w:r>
        <w:rPr>
          <w:noProof/>
        </w:rPr>
        <w:t>, mais au lendemain de celle-ci, les pénuries sont fortement reparties à la hausse sous l’effet de la reprise économique dans les États membres, de l’évolution de la demande de compétences et de la situation démographique, ainsi que des conséquences des évolutions géopolitiques en cours et de la volonté de l’UE d’instaurer une autonomie stratégique ouverte.</w:t>
      </w:r>
      <w:r>
        <w:rPr>
          <w:rStyle w:val="normaltextrun"/>
          <w:noProof/>
        </w:rPr>
        <w:t xml:space="preserve"> Les pénuries de main-d’œuvre et de compétences demeurent importantes malgré le récent ralentissement économique. Dernièrement, la Commission a recensé </w:t>
      </w:r>
      <w:r w:rsidRPr="002C3F74">
        <w:rPr>
          <w:rStyle w:val="normaltextrun"/>
          <w:noProof/>
        </w:rPr>
        <w:t>42</w:t>
      </w:r>
      <w:r>
        <w:rPr>
          <w:rStyle w:val="normaltextrun"/>
          <w:noProof/>
        </w:rPr>
        <w:t> professions qu’elle considère comme des professions en pénurie à l’échelle de l’UE</w:t>
      </w:r>
      <w:r w:rsidR="00120BF3" w:rsidRPr="00630322">
        <w:rPr>
          <w:rStyle w:val="normaltextrun"/>
          <w:noProof/>
          <w:vertAlign w:val="superscript"/>
        </w:rPr>
        <w:footnoteReference w:id="2"/>
      </w:r>
      <w:r>
        <w:rPr>
          <w:rStyle w:val="normaltextrun"/>
          <w:noProof/>
        </w:rPr>
        <w:t>. En outre, les entreprises déclarent de plus en plus fréquemment être dans l’incapacité à trouver les compétences spécifiques nécessaires pour pourvoir les emplois vacants</w:t>
      </w:r>
      <w:r w:rsidR="00120BF3" w:rsidRPr="00630322">
        <w:rPr>
          <w:rStyle w:val="FootnoteReference"/>
          <w:noProof/>
        </w:rPr>
        <w:footnoteReference w:id="3"/>
      </w:r>
      <w:r>
        <w:rPr>
          <w:rStyle w:val="normaltextrun"/>
          <w:noProof/>
        </w:rPr>
        <w:t>.</w:t>
      </w:r>
    </w:p>
    <w:p w14:paraId="0D60CAE2" w14:textId="3EFC5DCD" w:rsidR="00120BF3" w:rsidRDefault="0CB2569B" w:rsidP="006719DD">
      <w:pPr>
        <w:pStyle w:val="NormalWeb"/>
        <w:spacing w:before="0" w:beforeAutospacing="0" w:after="120" w:afterAutospacing="0"/>
        <w:jc w:val="both"/>
        <w:rPr>
          <w:noProof/>
        </w:rPr>
      </w:pPr>
      <w:r>
        <w:rPr>
          <w:b/>
          <w:noProof/>
        </w:rPr>
        <w:t xml:space="preserve">Les pénuries de main-d’œuvre et de compétences ont des conséquences à la fois économiques et sociales et constituent un problème auquel il convient de s’attaquer d’urgence. </w:t>
      </w:r>
      <w:r>
        <w:rPr>
          <w:noProof/>
        </w:rPr>
        <w:t>Faute de mesures d’atténuation, ces pénuries risquent d’entamer la capacité de l’UE à innover et à attirer des investissements, affaiblissant ainsi sa compétitivité et entravant son potentiel de croissance ainsi que le financement de son modèle de protection sociale. Il existe également un risque que les inégalités s’accroissent et que certaines personnes ne parviennent pas à suivre la rapidité des changements, ce qui aurait des conséquences négatives sur la cohésion de nos sociétés et la santé de nos démocraties. En outre, une pénurie de travailleurs dotés des compétences requises pourrait nuire aux transitions écologique et numérique, ainsi qu’à la compétitivité, à la sécurité et à l’autonomie stratégique ouverte de l’UE à une époque où il nous faut consolider chacun de ces éléments pour garantir la résilience de l’UE.</w:t>
      </w:r>
      <w:r>
        <w:rPr>
          <w:b/>
          <w:noProof/>
        </w:rPr>
        <w:t xml:space="preserve"> </w:t>
      </w:r>
      <w:r>
        <w:rPr>
          <w:noProof/>
        </w:rPr>
        <w:t>Si les pénuries peuvent, dans certains cas, conduire à une amélioration des conditions de travail et à une meilleure inclusion des personnes issues de groupes sous-représentés en raison d’une concurrence accrue entre les employeurs pour attirer les travailleurs, elles peuvent aussi entraîner une augmentation de l’intensité de travail et du stress professionnel pour les travailleurs des secteurs et des professions touchés.</w:t>
      </w:r>
    </w:p>
    <w:p w14:paraId="5553FBD2" w14:textId="5DFD03AA" w:rsidR="00120BF3" w:rsidRDefault="00120BF3" w:rsidP="006719DD">
      <w:pPr>
        <w:pStyle w:val="NormalWeb"/>
        <w:spacing w:before="0" w:beforeAutospacing="0" w:after="120" w:afterAutospacing="0"/>
        <w:jc w:val="both"/>
        <w:rPr>
          <w:rStyle w:val="normaltextrun"/>
          <w:rFonts w:eastAsiaTheme="minorEastAsia"/>
          <w:noProof/>
        </w:rPr>
      </w:pPr>
      <w:r>
        <w:rPr>
          <w:rStyle w:val="normaltextrun"/>
          <w:b/>
          <w:noProof/>
        </w:rPr>
        <w:t>Parce qu’ils sont au plus près du marché du travail, les partenaires sociaux, y compris au niveau sectoriel, ont une bonne compréhension des besoins des employeurs et des travailleurs.</w:t>
      </w:r>
      <w:r>
        <w:rPr>
          <w:rStyle w:val="normaltextrun"/>
          <w:noProof/>
        </w:rPr>
        <w:t xml:space="preserve"> </w:t>
      </w:r>
      <w:r>
        <w:rPr>
          <w:noProof/>
        </w:rPr>
        <w:t xml:space="preserve">C’est pourquoi la présidente von der Leyen, en coopération avec la présidence belge du Conseil de l’UE, a organisé un sommet des partenaires sociaux à Val Duchesse le </w:t>
      </w:r>
      <w:r w:rsidRPr="002C3F74">
        <w:rPr>
          <w:noProof/>
        </w:rPr>
        <w:t>31</w:t>
      </w:r>
      <w:r>
        <w:rPr>
          <w:noProof/>
        </w:rPr>
        <w:t xml:space="preserve"> janvier </w:t>
      </w:r>
      <w:r w:rsidRPr="002C3F74">
        <w:rPr>
          <w:noProof/>
        </w:rPr>
        <w:t>2024</w:t>
      </w:r>
      <w:r>
        <w:rPr>
          <w:noProof/>
        </w:rPr>
        <w:t xml:space="preserve">. </w:t>
      </w:r>
      <w:r>
        <w:rPr>
          <w:rStyle w:val="normaltextrun"/>
          <w:noProof/>
        </w:rPr>
        <w:t>Dans la déclaration de Val Duchesse</w:t>
      </w:r>
      <w:r w:rsidR="00733CB6" w:rsidRPr="00733CB6">
        <w:rPr>
          <w:rStyle w:val="FootnoteReference"/>
          <w:noProof/>
        </w:rPr>
        <w:footnoteReference w:id="4"/>
      </w:r>
      <w:r>
        <w:rPr>
          <w:rStyle w:val="normaltextrun"/>
          <w:noProof/>
        </w:rPr>
        <w:t>, les signataires se sont notamment clairement engagés à attirer davantage de personnes sur le marché du travail, à améliorer les conditions de travail, à faciliter la reconnaissance des qualifications et à intégrer les travailleurs venant de l’étranger, grâce au dialogue social et à la négociation collective.</w:t>
      </w:r>
    </w:p>
    <w:p w14:paraId="3FDC82C4" w14:textId="7C19F1B6" w:rsidR="00067F95" w:rsidRPr="00630322" w:rsidRDefault="00A45810" w:rsidP="006719DD">
      <w:pPr>
        <w:pStyle w:val="NormalWeb"/>
        <w:spacing w:before="0" w:beforeAutospacing="0" w:after="120" w:afterAutospacing="0"/>
        <w:jc w:val="both"/>
        <w:rPr>
          <w:rStyle w:val="normaltextrun"/>
          <w:rFonts w:eastAsiaTheme="minorEastAsia"/>
          <w:noProof/>
        </w:rPr>
      </w:pPr>
      <w:r>
        <w:rPr>
          <w:rStyle w:val="normaltextrun"/>
          <w:b/>
          <w:noProof/>
        </w:rPr>
        <w:lastRenderedPageBreak/>
        <w:t>L’Union ne part pas de zéro. Le présent plan d’action s’appuie sur les nombreuses initiatives déjà mises en place par les États membres et les partenaires sociaux, notamment l’actuelle Année européenne des compétences.</w:t>
      </w:r>
      <w:r>
        <w:rPr>
          <w:rStyle w:val="normaltextrun"/>
          <w:noProof/>
        </w:rPr>
        <w:t xml:space="preserve"> Il vise à orienter les mesures pertinentes à court et moyen termes, en rendant possibles de nouvelles mesures concrètes, en particulier au niveau sectoriel, que l’UE, les États membres et les partenaires sociaux adopteront ou devraient adopter pour relever les défis découlant des pénuries de main-d’œuvre et de compétences. De plus, il ouvre la voie à d’éventuelles mesures ou initiatives ultérieures.</w:t>
      </w:r>
    </w:p>
    <w:p w14:paraId="16174773" w14:textId="2360BC0C" w:rsidR="008358FC" w:rsidRPr="00630322" w:rsidRDefault="27928788" w:rsidP="008358FC">
      <w:pPr>
        <w:pStyle w:val="Heading1"/>
        <w:rPr>
          <w:noProof/>
        </w:rPr>
      </w:pPr>
      <w:r>
        <w:rPr>
          <w:noProof/>
        </w:rPr>
        <w:t>Principaux facteurs responsables des pénuries, rôle du dialogue social et domaines d’action prioritaires</w:t>
      </w:r>
    </w:p>
    <w:bookmarkEnd w:id="3"/>
    <w:p w14:paraId="1D2CD373" w14:textId="72A74607" w:rsidR="00684C6C" w:rsidRPr="00630322" w:rsidRDefault="00684C6C" w:rsidP="006719DD">
      <w:pPr>
        <w:pStyle w:val="NormalWeb"/>
        <w:spacing w:before="0" w:beforeAutospacing="0" w:after="120" w:afterAutospacing="0"/>
        <w:jc w:val="both"/>
        <w:rPr>
          <w:noProof/>
        </w:rPr>
      </w:pPr>
      <w:r>
        <w:rPr>
          <w:noProof/>
        </w:rPr>
        <w:t xml:space="preserve">Le rapport annuel de </w:t>
      </w:r>
      <w:r w:rsidRPr="002C3F74">
        <w:rPr>
          <w:noProof/>
        </w:rPr>
        <w:t>2023</w:t>
      </w:r>
      <w:r>
        <w:rPr>
          <w:noProof/>
        </w:rPr>
        <w:t xml:space="preserve"> sur l’évolution de l’emploi et de la situation sociale en Europe (rapport ESDE)</w:t>
      </w:r>
      <w:r w:rsidRPr="00630322">
        <w:rPr>
          <w:rStyle w:val="FootnoteReference"/>
          <w:noProof/>
        </w:rPr>
        <w:footnoteReference w:id="5"/>
      </w:r>
      <w:r>
        <w:rPr>
          <w:noProof/>
        </w:rPr>
        <w:t>, intitulé «</w:t>
      </w:r>
      <w:r>
        <w:rPr>
          <w:i/>
          <w:noProof/>
        </w:rPr>
        <w:t>Addressing labour shortages and skills gaps in the EU</w:t>
      </w:r>
      <w:r>
        <w:rPr>
          <w:noProof/>
        </w:rPr>
        <w:t xml:space="preserve">» (Remédier aux pénuries de main-d’œuvre et de compétences dans l’UE), présente des éléments factuels et des analyses tangibles sur les </w:t>
      </w:r>
      <w:r>
        <w:rPr>
          <w:rStyle w:val="normaltextrun"/>
          <w:noProof/>
        </w:rPr>
        <w:t>pénuries</w:t>
      </w:r>
      <w:r>
        <w:rPr>
          <w:noProof/>
        </w:rPr>
        <w:t xml:space="preserve"> de main-d’œuvre persistantes et l’évolution des besoins de compétences dans l’UE. Il établit les trois principaux facteurs responsables des pénuries de main-d’œuvre et de compétences dans l’Union, énoncés ci-après:</w:t>
      </w:r>
    </w:p>
    <w:p w14:paraId="53F210E9" w14:textId="16368277" w:rsidR="00BA3233" w:rsidRPr="00630322" w:rsidRDefault="001C51E4" w:rsidP="006719DD">
      <w:pPr>
        <w:pStyle w:val="ListParagraph"/>
        <w:numPr>
          <w:ilvl w:val="0"/>
          <w:numId w:val="262"/>
        </w:numPr>
        <w:spacing w:after="120"/>
        <w:ind w:left="357" w:hanging="357"/>
        <w:contextualSpacing w:val="0"/>
        <w:rPr>
          <w:noProof/>
        </w:rPr>
      </w:pPr>
      <w:r>
        <w:rPr>
          <w:b/>
          <w:noProof/>
        </w:rPr>
        <w:t>L’évolution démographique, qui entraîne une diminution de l’offre de main-d’œuvre et une augmentation de la demande de certains services.</w:t>
      </w:r>
      <w:r>
        <w:rPr>
          <w:noProof/>
        </w:rPr>
        <w:t xml:space="preserve"> Entre </w:t>
      </w:r>
      <w:r w:rsidRPr="002C3F74">
        <w:rPr>
          <w:noProof/>
        </w:rPr>
        <w:t>2009</w:t>
      </w:r>
      <w:r>
        <w:rPr>
          <w:noProof/>
        </w:rPr>
        <w:t xml:space="preserve"> et </w:t>
      </w:r>
      <w:r w:rsidRPr="002C3F74">
        <w:rPr>
          <w:noProof/>
        </w:rPr>
        <w:t>2023</w:t>
      </w:r>
      <w:r>
        <w:rPr>
          <w:noProof/>
        </w:rPr>
        <w:t xml:space="preserve">, la population en âge de travailler dans l’UE est passée de </w:t>
      </w:r>
      <w:r w:rsidRPr="002C3F74">
        <w:rPr>
          <w:noProof/>
        </w:rPr>
        <w:t>272</w:t>
      </w:r>
      <w:r>
        <w:rPr>
          <w:noProof/>
        </w:rPr>
        <w:t xml:space="preserve"> millions à </w:t>
      </w:r>
      <w:r w:rsidRPr="002C3F74">
        <w:rPr>
          <w:noProof/>
        </w:rPr>
        <w:t>263</w:t>
      </w:r>
      <w:r>
        <w:rPr>
          <w:noProof/>
        </w:rPr>
        <w:t> millions</w:t>
      </w:r>
      <w:r w:rsidR="00733CB6" w:rsidRPr="006719DD">
        <w:rPr>
          <w:noProof/>
          <w:vertAlign w:val="superscript"/>
        </w:rPr>
        <w:footnoteReference w:id="6"/>
      </w:r>
      <w:r>
        <w:rPr>
          <w:noProof/>
        </w:rPr>
        <w:t xml:space="preserve"> et devrait continuer de chuter pour s’établir à </w:t>
      </w:r>
      <w:r w:rsidRPr="002C3F74">
        <w:rPr>
          <w:noProof/>
        </w:rPr>
        <w:t>236</w:t>
      </w:r>
      <w:r>
        <w:rPr>
          <w:noProof/>
        </w:rPr>
        <w:t> millions d’ici à </w:t>
      </w:r>
      <w:r w:rsidRPr="002C3F74">
        <w:rPr>
          <w:noProof/>
        </w:rPr>
        <w:t>2050</w:t>
      </w:r>
      <w:r>
        <w:rPr>
          <w:noProof/>
        </w:rPr>
        <w:t>. Dans le même temps, les besoins de soins de la population âgée s’intensifient. Les effets combinés de la diminution de la population en âge de travailler et de l’augmentation de la demande de services spécifiques, tels que les soins de santé et les soins de longue durée, risquent fort de contribuer de manière significative aux pénuries à moyen et à long termes</w:t>
      </w:r>
      <w:r w:rsidR="00684C6C" w:rsidRPr="00630322">
        <w:rPr>
          <w:rStyle w:val="FootnoteReference"/>
          <w:noProof/>
        </w:rPr>
        <w:footnoteReference w:id="7"/>
      </w:r>
      <w:r>
        <w:rPr>
          <w:noProof/>
        </w:rPr>
        <w:t>.</w:t>
      </w:r>
    </w:p>
    <w:p w14:paraId="53690D49" w14:textId="4437D5E3" w:rsidR="00684C6C" w:rsidRDefault="00733CB6" w:rsidP="006719DD">
      <w:pPr>
        <w:pStyle w:val="ListParagraph"/>
        <w:numPr>
          <w:ilvl w:val="0"/>
          <w:numId w:val="262"/>
        </w:numPr>
        <w:spacing w:after="120"/>
        <w:ind w:left="357" w:hanging="357"/>
        <w:contextualSpacing w:val="0"/>
        <w:rPr>
          <w:noProof/>
        </w:rPr>
      </w:pPr>
      <w:r>
        <w:rPr>
          <w:b/>
          <w:noProof/>
        </w:rPr>
        <w:t>L’importante croissance de l’emploi attendue du fait des transitions écologique et numérique, le besoin accru de sécurité et la recherche d’une autonomie stratégique ouverte et d’une plus grande résilience, qui se répercutent sur les compétences nécessaires sur le marché du travail.</w:t>
      </w:r>
      <w:r>
        <w:rPr>
          <w:noProof/>
        </w:rPr>
        <w:t xml:space="preserve"> Actuellement, les pénuries de compétences concernent tous les niveaux de qualification et tous les profils universitaires et techniques, mais elles sont particulièrement importantes dans certains domaines, comme les sciences, les technologies, l’ingénierie et les mathématiques.</w:t>
      </w:r>
    </w:p>
    <w:p w14:paraId="39BDF2DF" w14:textId="2D154A52" w:rsidR="00684C6C" w:rsidRDefault="00733CB6" w:rsidP="006719DD">
      <w:pPr>
        <w:pStyle w:val="ListParagraph"/>
        <w:numPr>
          <w:ilvl w:val="0"/>
          <w:numId w:val="262"/>
        </w:numPr>
        <w:spacing w:after="120"/>
        <w:ind w:left="357" w:hanging="357"/>
        <w:contextualSpacing w:val="0"/>
        <w:rPr>
          <w:noProof/>
        </w:rPr>
      </w:pPr>
      <w:r>
        <w:rPr>
          <w:b/>
          <w:noProof/>
        </w:rPr>
        <w:t>Les mauvaises conditions de travail dans certaines professions et certains secteurs, qui entraînent des difficultés à recruter et/ou à retenir les travailleurs.</w:t>
      </w:r>
      <w:r>
        <w:rPr>
          <w:noProof/>
        </w:rPr>
        <w:t xml:space="preserve"> L’inadéquation et la pénibilité des conditions de travail, par exemple un niveau de stress professionnel supérieur à la moyenne et des bas salaires, jouent un rôle déterminant dans la persistance des pénuries de main-d’œuvre dans certaines professions et certains secteurs.</w:t>
      </w:r>
    </w:p>
    <w:p w14:paraId="6A060CDF" w14:textId="75739E08" w:rsidR="5F921F05" w:rsidRPr="00E02AC2" w:rsidRDefault="00467EAD" w:rsidP="006719DD">
      <w:pPr>
        <w:pStyle w:val="NormalWeb"/>
        <w:spacing w:before="0" w:beforeAutospacing="0" w:after="120" w:afterAutospacing="0"/>
        <w:jc w:val="both"/>
        <w:rPr>
          <w:noProof/>
        </w:rPr>
      </w:pPr>
      <w:r>
        <w:rPr>
          <w:b/>
          <w:noProof/>
        </w:rPr>
        <w:lastRenderedPageBreak/>
        <w:t>En réaction à la déclaration de Val Duchesse, la Commission a demandé aux partenaires sociaux européens</w:t>
      </w:r>
      <w:r w:rsidR="00373612" w:rsidRPr="006935C6">
        <w:rPr>
          <w:noProof/>
          <w:vertAlign w:val="superscript"/>
          <w:lang w:val="en-IE"/>
        </w:rPr>
        <w:footnoteReference w:id="8"/>
      </w:r>
      <w:r>
        <w:rPr>
          <w:b/>
          <w:noProof/>
        </w:rPr>
        <w:t xml:space="preserve"> d’exprimer leur point de vue sur le présent plan d’action. </w:t>
      </w:r>
      <w:r>
        <w:rPr>
          <w:noProof/>
        </w:rPr>
        <w:t xml:space="preserve">Elle les a donc réunis le </w:t>
      </w:r>
      <w:r w:rsidRPr="002C3F74">
        <w:rPr>
          <w:noProof/>
        </w:rPr>
        <w:t>21</w:t>
      </w:r>
      <w:r>
        <w:rPr>
          <w:noProof/>
        </w:rPr>
        <w:t xml:space="preserve"> février </w:t>
      </w:r>
      <w:r w:rsidRPr="002C3F74">
        <w:rPr>
          <w:noProof/>
        </w:rPr>
        <w:t>2024</w:t>
      </w:r>
      <w:r>
        <w:rPr>
          <w:noProof/>
        </w:rPr>
        <w:t>. À la suite de cette audition, les partenaires sociaux ont informé la Commission de leur intention de prendre des mesures pour remédier au problème des pénuries de main-d’œuvre et de compétences. La plupart sont des mesures unilatérales prises soit par une organisation patronale soit par un syndicat. Toutefois, au niveau sectoriel, certaines sont bilatérales et associent à la fois l’organisation patronale et le syndicat correspondant. La Commission salue ces mesures, présentées dans les sections correspondant aux principaux domaines d’action dans lesquels elles s’inscrivent.</w:t>
      </w:r>
    </w:p>
    <w:tbl>
      <w:tblPr>
        <w:tblStyle w:val="TableGrid"/>
        <w:tblW w:w="0" w:type="auto"/>
        <w:tblLook w:val="04A0" w:firstRow="1" w:lastRow="0" w:firstColumn="1" w:lastColumn="0" w:noHBand="0" w:noVBand="1"/>
      </w:tblPr>
      <w:tblGrid>
        <w:gridCol w:w="8602"/>
      </w:tblGrid>
      <w:tr w:rsidR="00E02AC2" w14:paraId="01DA8653" w14:textId="77777777" w:rsidTr="00E02AC2">
        <w:tc>
          <w:tcPr>
            <w:tcW w:w="8602" w:type="dxa"/>
          </w:tcPr>
          <w:p w14:paraId="553AC685" w14:textId="24D0F200" w:rsidR="00E02AC2" w:rsidRDefault="00E02AC2" w:rsidP="006719DD">
            <w:pPr>
              <w:spacing w:after="120"/>
              <w:rPr>
                <w:b/>
                <w:bCs/>
                <w:i/>
                <w:iCs/>
                <w:noProof/>
              </w:rPr>
            </w:pPr>
            <w:r>
              <w:rPr>
                <w:b/>
                <w:i/>
                <w:noProof/>
              </w:rPr>
              <w:t>Compte tenu du rôle crucial que joue le dialogue social dans la lutte contre les pénuries de main-d’œuvre et de compétences, le sommet de Val Duchesse ne saurait être que le début d’un processus de longue durée et axé sur les résultats visant à relever ce défi.</w:t>
            </w:r>
          </w:p>
          <w:p w14:paraId="112DA57F" w14:textId="0EE4DD93" w:rsidR="00DC4D58" w:rsidRPr="00897049" w:rsidRDefault="00897049" w:rsidP="006719DD">
            <w:pPr>
              <w:spacing w:after="120"/>
              <w:rPr>
                <w:b/>
                <w:bCs/>
                <w:i/>
                <w:iCs/>
                <w:noProof/>
              </w:rPr>
            </w:pPr>
            <w:r>
              <w:rPr>
                <w:b/>
                <w:i/>
                <w:noProof/>
              </w:rPr>
              <w:t>À cette fin, la Commission:</w:t>
            </w:r>
          </w:p>
          <w:p w14:paraId="608EDC9C" w14:textId="7EE0A50A" w:rsidR="00E14C7B" w:rsidRDefault="00E14C7B" w:rsidP="00742E67">
            <w:pPr>
              <w:pStyle w:val="ListParagraph"/>
              <w:numPr>
                <w:ilvl w:val="0"/>
                <w:numId w:val="261"/>
              </w:numPr>
              <w:ind w:left="337" w:hanging="337"/>
              <w:rPr>
                <w:noProof/>
              </w:rPr>
            </w:pPr>
            <w:r>
              <w:rPr>
                <w:noProof/>
              </w:rPr>
              <w:t>proposera des financements pour renforcer les efforts déployés par les partenaires sociaux afin de remédier aux pénuries de main-d’œuvre et de compétences</w:t>
            </w:r>
            <w:r w:rsidR="001C444B">
              <w:rPr>
                <w:rStyle w:val="FootnoteReference"/>
                <w:noProof/>
                <w:lang w:val="en-IE"/>
              </w:rPr>
              <w:footnoteReference w:id="9"/>
            </w:r>
            <w:r>
              <w:rPr>
                <w:noProof/>
              </w:rPr>
              <w:t>;</w:t>
            </w:r>
          </w:p>
          <w:p w14:paraId="151BEB6C" w14:textId="30BE52A4" w:rsidR="00E14C7B" w:rsidRDefault="00E14C7B" w:rsidP="00742E67">
            <w:pPr>
              <w:pStyle w:val="ListParagraph"/>
              <w:numPr>
                <w:ilvl w:val="0"/>
                <w:numId w:val="261"/>
              </w:numPr>
              <w:ind w:left="337" w:hanging="337"/>
              <w:rPr>
                <w:noProof/>
              </w:rPr>
            </w:pPr>
            <w:r>
              <w:rPr>
                <w:noProof/>
              </w:rPr>
              <w:t>invite les partenaires sociaux à présenter des projets opérationnels susceptibles de remédier aux pénuries existantes et attendues;</w:t>
            </w:r>
          </w:p>
          <w:p w14:paraId="46AD4FC8" w14:textId="54D375E4" w:rsidR="00E02AC2" w:rsidRPr="00E02AC2" w:rsidRDefault="00E14C7B" w:rsidP="006719DD">
            <w:pPr>
              <w:pStyle w:val="ListParagraph"/>
              <w:numPr>
                <w:ilvl w:val="0"/>
                <w:numId w:val="261"/>
              </w:numPr>
              <w:spacing w:after="120"/>
              <w:ind w:left="335" w:hanging="335"/>
              <w:rPr>
                <w:noProof/>
              </w:rPr>
            </w:pPr>
            <w:r>
              <w:rPr>
                <w:noProof/>
              </w:rPr>
              <w:t>invite les partenaires sociaux à concentrer leurs efforts en matière de dialogue social sur les secteurs spécifiques qui en ont le plus besoin.</w:t>
            </w:r>
          </w:p>
        </w:tc>
      </w:tr>
    </w:tbl>
    <w:p w14:paraId="76C4D990" w14:textId="36797689" w:rsidR="00684C6C" w:rsidRPr="00630322" w:rsidRDefault="00C57E03" w:rsidP="006719DD">
      <w:pPr>
        <w:pStyle w:val="paragraph"/>
        <w:spacing w:before="240" w:beforeAutospacing="0" w:after="120" w:afterAutospacing="0"/>
        <w:jc w:val="both"/>
        <w:textAlignment w:val="baseline"/>
        <w:rPr>
          <w:noProof/>
        </w:rPr>
      </w:pPr>
      <w:r>
        <w:rPr>
          <w:noProof/>
        </w:rPr>
        <w:t xml:space="preserve">En s’appuyant sur le rapport ESDE susmentionné et sur les retours d’information des partenaires sociaux, le présent plan d’action couvre </w:t>
      </w:r>
      <w:r>
        <w:rPr>
          <w:b/>
          <w:noProof/>
        </w:rPr>
        <w:t>les principaux domaines d’action</w:t>
      </w:r>
      <w:r>
        <w:rPr>
          <w:noProof/>
        </w:rPr>
        <w:t xml:space="preserve"> à l’échelle européenne, nationale, régionale et des partenaires sociaux, à savoir:</w:t>
      </w:r>
    </w:p>
    <w:p w14:paraId="14C1FAD3" w14:textId="0B2875EF" w:rsidR="00684C6C" w:rsidRPr="00630322" w:rsidRDefault="7389F96E" w:rsidP="006719DD">
      <w:pPr>
        <w:pStyle w:val="paragraph"/>
        <w:numPr>
          <w:ilvl w:val="0"/>
          <w:numId w:val="138"/>
        </w:numPr>
        <w:spacing w:before="0" w:beforeAutospacing="0" w:after="120" w:afterAutospacing="0"/>
        <w:ind w:left="357" w:hanging="357"/>
        <w:jc w:val="both"/>
        <w:textAlignment w:val="baseline"/>
        <w:rPr>
          <w:noProof/>
        </w:rPr>
      </w:pPr>
      <w:r>
        <w:rPr>
          <w:noProof/>
        </w:rPr>
        <w:t xml:space="preserve">le soutien de la </w:t>
      </w:r>
      <w:r>
        <w:rPr>
          <w:b/>
          <w:noProof/>
        </w:rPr>
        <w:t>mise en activité</w:t>
      </w:r>
      <w:r>
        <w:rPr>
          <w:noProof/>
        </w:rPr>
        <w:t xml:space="preserve"> des personnes sous-représentées sur le marché du travail;</w:t>
      </w:r>
    </w:p>
    <w:p w14:paraId="70C0222D" w14:textId="77777777" w:rsidR="00684C6C" w:rsidRPr="00630322" w:rsidRDefault="00684C6C" w:rsidP="006719DD">
      <w:pPr>
        <w:pStyle w:val="paragraph"/>
        <w:numPr>
          <w:ilvl w:val="0"/>
          <w:numId w:val="138"/>
        </w:numPr>
        <w:spacing w:before="0" w:beforeAutospacing="0" w:after="120" w:afterAutospacing="0"/>
        <w:ind w:left="357" w:hanging="357"/>
        <w:jc w:val="both"/>
        <w:textAlignment w:val="baseline"/>
        <w:rPr>
          <w:noProof/>
        </w:rPr>
      </w:pPr>
      <w:r>
        <w:rPr>
          <w:noProof/>
        </w:rPr>
        <w:t xml:space="preserve">le soutien des </w:t>
      </w:r>
      <w:r>
        <w:rPr>
          <w:b/>
          <w:noProof/>
        </w:rPr>
        <w:t>compétences, de la formation</w:t>
      </w:r>
      <w:r>
        <w:rPr>
          <w:noProof/>
        </w:rPr>
        <w:t xml:space="preserve"> et de </w:t>
      </w:r>
      <w:r>
        <w:rPr>
          <w:b/>
          <w:noProof/>
        </w:rPr>
        <w:t>l’enseignement</w:t>
      </w:r>
      <w:r>
        <w:rPr>
          <w:noProof/>
        </w:rPr>
        <w:t>;</w:t>
      </w:r>
    </w:p>
    <w:p w14:paraId="15EC1B07" w14:textId="77777777" w:rsidR="00684C6C" w:rsidRPr="00630322" w:rsidRDefault="00684C6C" w:rsidP="006719DD">
      <w:pPr>
        <w:pStyle w:val="paragraph"/>
        <w:numPr>
          <w:ilvl w:val="0"/>
          <w:numId w:val="138"/>
        </w:numPr>
        <w:spacing w:before="0" w:beforeAutospacing="0" w:after="120" w:afterAutospacing="0"/>
        <w:ind w:left="357" w:hanging="357"/>
        <w:jc w:val="both"/>
        <w:textAlignment w:val="baseline"/>
        <w:rPr>
          <w:noProof/>
        </w:rPr>
      </w:pPr>
      <w:r>
        <w:rPr>
          <w:noProof/>
        </w:rPr>
        <w:t xml:space="preserve">l’amélioration des </w:t>
      </w:r>
      <w:r>
        <w:rPr>
          <w:b/>
          <w:noProof/>
        </w:rPr>
        <w:t>conditions de travail</w:t>
      </w:r>
      <w:r>
        <w:rPr>
          <w:noProof/>
        </w:rPr>
        <w:t>;</w:t>
      </w:r>
    </w:p>
    <w:p w14:paraId="1DD586A1" w14:textId="77777777" w:rsidR="00684C6C" w:rsidRPr="00630322" w:rsidRDefault="00684C6C" w:rsidP="006719DD">
      <w:pPr>
        <w:pStyle w:val="paragraph"/>
        <w:numPr>
          <w:ilvl w:val="0"/>
          <w:numId w:val="138"/>
        </w:numPr>
        <w:spacing w:before="0" w:beforeAutospacing="0" w:after="120" w:afterAutospacing="0"/>
        <w:ind w:left="357" w:hanging="357"/>
        <w:jc w:val="both"/>
        <w:textAlignment w:val="baseline"/>
        <w:rPr>
          <w:noProof/>
        </w:rPr>
      </w:pPr>
      <w:r>
        <w:rPr>
          <w:noProof/>
        </w:rPr>
        <w:t xml:space="preserve">l’amélioration de la </w:t>
      </w:r>
      <w:r>
        <w:rPr>
          <w:b/>
          <w:noProof/>
        </w:rPr>
        <w:t>mobilité équitable des travailleurs et des apprenants au sein de l’UE</w:t>
      </w:r>
      <w:r>
        <w:rPr>
          <w:noProof/>
        </w:rPr>
        <w:t>;</w:t>
      </w:r>
    </w:p>
    <w:p w14:paraId="239A92FA" w14:textId="77777777" w:rsidR="00684C6C" w:rsidRDefault="00684C6C" w:rsidP="006719DD">
      <w:pPr>
        <w:pStyle w:val="paragraph"/>
        <w:numPr>
          <w:ilvl w:val="0"/>
          <w:numId w:val="138"/>
        </w:numPr>
        <w:spacing w:before="0" w:beforeAutospacing="0" w:after="120" w:afterAutospacing="0"/>
        <w:ind w:left="357" w:hanging="357"/>
        <w:jc w:val="both"/>
        <w:textAlignment w:val="baseline"/>
        <w:rPr>
          <w:noProof/>
        </w:rPr>
      </w:pPr>
      <w:r>
        <w:rPr>
          <w:noProof/>
        </w:rPr>
        <w:t>l’</w:t>
      </w:r>
      <w:r>
        <w:rPr>
          <w:b/>
          <w:noProof/>
        </w:rPr>
        <w:t>attraction des talents</w:t>
      </w:r>
      <w:r>
        <w:rPr>
          <w:noProof/>
        </w:rPr>
        <w:t xml:space="preserve"> issus de </w:t>
      </w:r>
      <w:r>
        <w:rPr>
          <w:b/>
          <w:noProof/>
        </w:rPr>
        <w:t>pays tiers</w:t>
      </w:r>
      <w:r>
        <w:rPr>
          <w:noProof/>
        </w:rPr>
        <w:t>.</w:t>
      </w:r>
    </w:p>
    <w:p w14:paraId="4F6E49FB" w14:textId="1C58CF59" w:rsidR="00684C6C" w:rsidRPr="00684C6C" w:rsidRDefault="22C06FDA" w:rsidP="26E4C805">
      <w:pPr>
        <w:pStyle w:val="Heading1"/>
        <w:rPr>
          <w:noProof/>
        </w:rPr>
      </w:pPr>
      <w:r>
        <w:rPr>
          <w:noProof/>
        </w:rPr>
        <w:lastRenderedPageBreak/>
        <w:t>Principaux domaines d’action pour remédier aux pénuries de main-d’œuvre et de compétences</w:t>
      </w:r>
    </w:p>
    <w:p w14:paraId="5D113185" w14:textId="663A3470" w:rsidR="00FC385D" w:rsidRPr="00630322" w:rsidRDefault="450E5E02" w:rsidP="00DE55F6">
      <w:pPr>
        <w:pStyle w:val="Heading2"/>
        <w:rPr>
          <w:noProof/>
        </w:rPr>
      </w:pPr>
      <w:r>
        <w:rPr>
          <w:noProof/>
        </w:rPr>
        <w:t>Soutenir la mise en activité des personnes sous-représentées sur le marché du travail</w:t>
      </w:r>
    </w:p>
    <w:p w14:paraId="79192044" w14:textId="123EA070" w:rsidR="002E3943" w:rsidRPr="00630322" w:rsidRDefault="3F3904E6" w:rsidP="006719DD">
      <w:pPr>
        <w:pStyle w:val="NormalWeb"/>
        <w:spacing w:before="0" w:beforeAutospacing="0" w:after="120" w:afterAutospacing="0"/>
        <w:jc w:val="both"/>
        <w:rPr>
          <w:b/>
          <w:noProof/>
        </w:rPr>
      </w:pPr>
      <w:r>
        <w:rPr>
          <w:b/>
          <w:noProof/>
        </w:rPr>
        <w:t>Accroître la participation au marché du travail est essentiel pour remédier aux pénuries de main-d’œuvre</w:t>
      </w:r>
      <w:r>
        <w:rPr>
          <w:noProof/>
        </w:rPr>
        <w:t>.</w:t>
      </w:r>
      <w:r>
        <w:rPr>
          <w:b/>
          <w:noProof/>
        </w:rPr>
        <w:t xml:space="preserve"> </w:t>
      </w:r>
      <w:r>
        <w:rPr>
          <w:noProof/>
        </w:rPr>
        <w:t xml:space="preserve">Malgré des améliorations constantes du taux d’emploi dans l’UE, un important potentiel inexploité reste en dehors du marché du travail. Au total, </w:t>
      </w:r>
      <w:r w:rsidRPr="002C3F74">
        <w:rPr>
          <w:noProof/>
        </w:rPr>
        <w:t>21</w:t>
      </w:r>
      <w:r>
        <w:rPr>
          <w:noProof/>
        </w:rPr>
        <w:t xml:space="preserve"> % de la population actuelle âgée de </w:t>
      </w:r>
      <w:r w:rsidRPr="002C3F74">
        <w:rPr>
          <w:noProof/>
        </w:rPr>
        <w:t>20</w:t>
      </w:r>
      <w:r>
        <w:rPr>
          <w:noProof/>
        </w:rPr>
        <w:t xml:space="preserve"> à </w:t>
      </w:r>
      <w:r w:rsidRPr="002C3F74">
        <w:rPr>
          <w:noProof/>
        </w:rPr>
        <w:t>64</w:t>
      </w:r>
      <w:r>
        <w:rPr>
          <w:noProof/>
        </w:rPr>
        <w:t> ans est toujours inactive</w:t>
      </w:r>
      <w:r w:rsidR="00205F04">
        <w:rPr>
          <w:rStyle w:val="FootnoteReference"/>
          <w:noProof/>
        </w:rPr>
        <w:footnoteReference w:id="10"/>
      </w:r>
      <w:r>
        <w:rPr>
          <w:noProof/>
        </w:rPr>
        <w:t>. La participation au marché du travail peut encore progresser en mettant l’accent sur les groupes de population qui y sont actuellement sous-représentés, notamment dans les zones rurales et côtières ainsi que dans les régions reculées et ultrapériphériques</w:t>
      </w:r>
      <w:r w:rsidR="00490D5F">
        <w:rPr>
          <w:rStyle w:val="FootnoteReference"/>
          <w:noProof/>
        </w:rPr>
        <w:footnoteReference w:id="11"/>
      </w:r>
      <w:r>
        <w:rPr>
          <w:noProof/>
        </w:rPr>
        <w:t>. Ces groupes incluent les femmes, les travailleurs peu qualifiés (c’est-à-dire les personnes ayant un niveau d’enseignement secondaire voire inférieur), les travailleurs âgés, les jeunes et les personnes issues de l’immigration</w:t>
      </w:r>
      <w:r w:rsidR="007024E6" w:rsidRPr="00630322">
        <w:rPr>
          <w:rStyle w:val="FootnoteReference"/>
          <w:noProof/>
        </w:rPr>
        <w:footnoteReference w:id="12"/>
      </w:r>
      <w:r>
        <w:rPr>
          <w:noProof/>
        </w:rPr>
        <w:t xml:space="preserve"> ou de minorités raciales ou ethniques. C’est dans les trois premiers groupes que le potentiel inexploité est le plus important. Si leur taux d’activité à l’échelle de l’UE augmentait pour atteindre celui enregistré dans les trois États membres où les taux d’activité sont les plus élevés pour ces groupes (graphique </w:t>
      </w:r>
      <w:r w:rsidRPr="002C3F74">
        <w:rPr>
          <w:noProof/>
        </w:rPr>
        <w:t>1</w:t>
      </w:r>
      <w:r>
        <w:rPr>
          <w:noProof/>
        </w:rPr>
        <w:t xml:space="preserve">), le marché du travail accueillerait, pour chacun d’entre eux respectivement, </w:t>
      </w:r>
      <w:r w:rsidRPr="002C3F74">
        <w:rPr>
          <w:noProof/>
        </w:rPr>
        <w:t>17</w:t>
      </w:r>
      <w:r>
        <w:rPr>
          <w:noProof/>
        </w:rPr>
        <w:t xml:space="preserve">, </w:t>
      </w:r>
      <w:r w:rsidRPr="002C3F74">
        <w:rPr>
          <w:noProof/>
        </w:rPr>
        <w:t>13</w:t>
      </w:r>
      <w:r>
        <w:rPr>
          <w:noProof/>
        </w:rPr>
        <w:t xml:space="preserve"> et </w:t>
      </w:r>
      <w:r w:rsidRPr="002C3F74">
        <w:rPr>
          <w:noProof/>
        </w:rPr>
        <w:t>11</w:t>
      </w:r>
      <w:r>
        <w:rPr>
          <w:noProof/>
        </w:rPr>
        <w:t> millions de personnes supplémentaires d’ici à </w:t>
      </w:r>
      <w:r w:rsidRPr="002C3F74">
        <w:rPr>
          <w:noProof/>
        </w:rPr>
        <w:t>2030</w:t>
      </w:r>
      <w:r w:rsidR="00C63572" w:rsidRPr="00630322">
        <w:rPr>
          <w:rStyle w:val="FootnoteReference"/>
          <w:noProof/>
        </w:rPr>
        <w:footnoteReference w:id="13"/>
      </w:r>
      <w:r>
        <w:rPr>
          <w:noProof/>
        </w:rPr>
        <w:t>.</w:t>
      </w:r>
    </w:p>
    <w:p w14:paraId="113AE311" w14:textId="39E923AC" w:rsidR="00303B5D" w:rsidRPr="00630322" w:rsidRDefault="003935BA" w:rsidP="00303B5D">
      <w:pPr>
        <w:pStyle w:val="FigureTitle2"/>
        <w:rPr>
          <w:noProof/>
        </w:rPr>
      </w:pPr>
      <w:r>
        <w:rPr>
          <w:noProof/>
        </w:rPr>
        <w:lastRenderedPageBreak/>
        <w:t>Graphique </w:t>
      </w:r>
      <w:r w:rsidRPr="00630322">
        <w:rPr>
          <w:noProof/>
          <w:color w:val="2B579A"/>
        </w:rPr>
        <w:fldChar w:fldCharType="begin" w:fldLock="1"/>
      </w:r>
      <w:r w:rsidRPr="00630322">
        <w:rPr>
          <w:noProof/>
        </w:rPr>
        <w:instrText>SEQ Figure \* ARABIC</w:instrText>
      </w:r>
      <w:r w:rsidRPr="00630322">
        <w:rPr>
          <w:noProof/>
          <w:color w:val="2B579A"/>
        </w:rPr>
        <w:fldChar w:fldCharType="separate"/>
      </w:r>
      <w:r w:rsidRPr="002C3F74">
        <w:rPr>
          <w:noProof/>
        </w:rPr>
        <w:t>1</w:t>
      </w:r>
      <w:r w:rsidRPr="00630322">
        <w:rPr>
          <w:noProof/>
          <w:color w:val="2B579A"/>
        </w:rPr>
        <w:fldChar w:fldCharType="end"/>
      </w:r>
      <w:r>
        <w:rPr>
          <w:noProof/>
        </w:rPr>
        <w:t>: Les femmes, les personnes âgées et les travailleurs peu qualifiés représentent le principal potentiel de main-d’œuvre inexploité dans l’UE</w:t>
      </w:r>
    </w:p>
    <w:p w14:paraId="1B25B2C2" w14:textId="5AD7885A" w:rsidR="00303B5D" w:rsidRPr="00630322" w:rsidRDefault="009D11BA" w:rsidP="00303B5D">
      <w:pPr>
        <w:pStyle w:val="FigureBody2"/>
        <w:rPr>
          <w:noProof/>
        </w:rPr>
      </w:pPr>
      <w:r>
        <w:rPr>
          <w:noProof/>
        </w:rPr>
        <w:t xml:space="preserve"> </w:t>
      </w:r>
      <w:r w:rsidR="003272AA">
        <w:rPr>
          <w:noProof/>
          <w:lang w:val="en-GB" w:eastAsia="en-GB"/>
        </w:rPr>
        <w:drawing>
          <wp:inline distT="0" distB="0" distL="0" distR="0" wp14:anchorId="1996C2CF" wp14:editId="056A5D05">
            <wp:extent cx="5472430" cy="3126105"/>
            <wp:effectExtent l="0" t="0" r="13970" b="17145"/>
            <wp:docPr id="1" name="Chart 1">
              <a:extLst xmlns:a="http://schemas.openxmlformats.org/drawingml/2006/main">
                <a:ext uri="{FF2B5EF4-FFF2-40B4-BE49-F238E27FC236}">
                  <a16:creationId xmlns:a16="http://schemas.microsoft.com/office/drawing/2014/main" id="{259C696B-3039-C63E-5540-9E0C1828E3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58F98AED" w14:textId="7D0C5775" w:rsidR="001A1C8A" w:rsidRDefault="001A1C8A" w:rsidP="001A1C8A">
      <w:pPr>
        <w:pStyle w:val="FigureSource2"/>
        <w:spacing w:after="0"/>
        <w:rPr>
          <w:noProof/>
        </w:rPr>
      </w:pPr>
      <w:r>
        <w:rPr>
          <w:noProof/>
        </w:rPr>
        <w:t xml:space="preserve">Source: ESDE </w:t>
      </w:r>
      <w:r w:rsidRPr="002C3F74">
        <w:rPr>
          <w:noProof/>
        </w:rPr>
        <w:t>2023</w:t>
      </w:r>
      <w:r>
        <w:rPr>
          <w:noProof/>
        </w:rPr>
        <w:t>.</w:t>
      </w:r>
    </w:p>
    <w:p w14:paraId="78538867" w14:textId="2DE83021" w:rsidR="001A1C8A" w:rsidRPr="00791FDB" w:rsidRDefault="008642F3" w:rsidP="001A1C8A">
      <w:pPr>
        <w:pStyle w:val="FigureSource2"/>
        <w:spacing w:after="0"/>
        <w:rPr>
          <w:noProof/>
        </w:rPr>
      </w:pPr>
      <w:r>
        <w:rPr>
          <w:noProof/>
        </w:rPr>
        <w:t>Remarque: le taux d’activité cible (axe de gauche) est la moyenne des taux d’activité dans les trois États membres affichant les taux les plus élevés pour chacun de ces groupes. L’augmentation de la population active à l’échelle de l’UE (axe de droite) indique le nombre de personnes supplémentaires qui pourraient entrer sur le marché du travail si le taux d’activité cible était atteint.</w:t>
      </w:r>
    </w:p>
    <w:p w14:paraId="79D1022F" w14:textId="77777777" w:rsidR="00660BA7" w:rsidRDefault="00660BA7" w:rsidP="006719DD">
      <w:pPr>
        <w:pStyle w:val="NormalWeb"/>
        <w:spacing w:before="0" w:beforeAutospacing="0" w:after="120" w:afterAutospacing="0"/>
        <w:jc w:val="both"/>
        <w:rPr>
          <w:b/>
          <w:noProof/>
        </w:rPr>
      </w:pPr>
    </w:p>
    <w:p w14:paraId="5B6A3DBD" w14:textId="3CC7738F" w:rsidR="00D634B0" w:rsidRDefault="00804A83" w:rsidP="006719DD">
      <w:pPr>
        <w:pStyle w:val="NormalWeb"/>
        <w:spacing w:before="0" w:beforeAutospacing="0" w:after="120" w:afterAutospacing="0"/>
        <w:jc w:val="both"/>
        <w:rPr>
          <w:noProof/>
        </w:rPr>
      </w:pPr>
      <w:r>
        <w:rPr>
          <w:b/>
          <w:noProof/>
        </w:rPr>
        <w:t>Les principaux obstacles à l’emploi varient pour chaque groupe sous-représenté.</w:t>
      </w:r>
      <w:r w:rsidRPr="00660BA7">
        <w:rPr>
          <w:bCs/>
          <w:noProof/>
        </w:rPr>
        <w:t xml:space="preserve"> </w:t>
      </w:r>
      <w:r>
        <w:rPr>
          <w:noProof/>
        </w:rPr>
        <w:t>Les femmes affichent des taux d’emploi plus faibles que les hommes et occupent plus souvent des emplois à temps partiel, principalement en raison d’un partage inégal du travail domestique non rémunéré et des responsabilités familiales. Il existe également d’autres obstacles structurels, tels que le manque de services d’éducation et d’accueil de la petite enfance</w:t>
      </w:r>
      <w:r w:rsidR="00C209C6">
        <w:rPr>
          <w:rStyle w:val="FootnoteReference"/>
          <w:noProof/>
        </w:rPr>
        <w:footnoteReference w:id="14"/>
      </w:r>
      <w:r>
        <w:rPr>
          <w:noProof/>
        </w:rPr>
        <w:t xml:space="preserve"> abordables et de qualité qui permettraient aux parents et aux personnes ayant des responsabilités familiales de travailler à temps plein, ou encore les mesures fiscales qui dissuadent les travailleurs d’augmenter leur temps de travail. En ce qui concerne les personnes ayant un niveau d’enseignement secondaire ou inférieur , les obstacles à l’emploi comprennent le manque d’égalité des chances dans l’accès à une éducation inclusive de qualité et l’incidence des exigences croissantes en matière de compétences. L’emploi des travailleurs âgés est souvent entravé par les rigidités des règles en matière de retraite, par l’évolution rapide des exigences en matière de compétences combinée à un taux plus faible de participation à la formation, et par des conditions de travail inadaptées aux besoins spécifiques de ce groupe, notamment en ce qui concerne les pratiques et les environnements de travail. Les jeunes sont confrontés à une segmentation du marché du travail et ils sont caractérisés par le fait qu’ils représentent une part supérieure à la moyenne des contrats de travail irrégulier ou temporaire. Les personnes handicapées se heurtent à un manque de lieux de travail adaptés ainsi qu’à des processus de recrutement et des </w:t>
      </w:r>
      <w:r>
        <w:rPr>
          <w:noProof/>
        </w:rPr>
        <w:lastRenderedPageBreak/>
        <w:t>systèmes d’éducation non inclusifs. Quant aux personnes issues de l’immigration ou de minorités raciales ou ethniques, l’inadéquation des compétences par rapport aux besoins, l’insuffisance des compétences, les difficultés linguistiques, la discrimination et l’accès faible ou inexistant aux services de soutien sont autant d’obstacles à l’entrée sur le marché du travail.</w:t>
      </w:r>
    </w:p>
    <w:p w14:paraId="56BACD4E" w14:textId="3B3D8DDE" w:rsidR="00C17BAF" w:rsidRPr="00630322" w:rsidRDefault="00660BA7" w:rsidP="006719DD">
      <w:pPr>
        <w:pStyle w:val="NormalWeb"/>
        <w:spacing w:before="0" w:beforeAutospacing="0" w:after="120" w:afterAutospacing="0"/>
        <w:jc w:val="both"/>
        <w:rPr>
          <w:noProof/>
        </w:rPr>
      </w:pPr>
      <w:r>
        <w:rPr>
          <w:b/>
          <w:noProof/>
          <w:color w:val="2B579A"/>
          <w:shd w:val="clear" w:color="auto" w:fill="E6E6E6"/>
          <w:lang w:val="en-GB"/>
        </w:rPr>
        <mc:AlternateContent>
          <mc:Choice Requires="wps">
            <w:drawing>
              <wp:anchor distT="45720" distB="45720" distL="114300" distR="114300" simplePos="0" relativeHeight="251658240" behindDoc="1" locked="0" layoutInCell="1" allowOverlap="1" wp14:anchorId="18C1C492" wp14:editId="6E98C4BC">
                <wp:simplePos x="0" y="0"/>
                <wp:positionH relativeFrom="margin">
                  <wp:posOffset>-10160</wp:posOffset>
                </wp:positionH>
                <wp:positionV relativeFrom="paragraph">
                  <wp:posOffset>614680</wp:posOffset>
                </wp:positionV>
                <wp:extent cx="2463800" cy="3892550"/>
                <wp:effectExtent l="0" t="0" r="12700" b="12700"/>
                <wp:wrapTight wrapText="bothSides">
                  <wp:wrapPolygon edited="0">
                    <wp:start x="0" y="0"/>
                    <wp:lineTo x="0" y="21565"/>
                    <wp:lineTo x="21544" y="21565"/>
                    <wp:lineTo x="21544" y="0"/>
                    <wp:lineTo x="0" y="0"/>
                  </wp:wrapPolygon>
                </wp:wrapTigh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3800" cy="3892550"/>
                        </a:xfrm>
                        <a:prstGeom prst="rect">
                          <a:avLst/>
                        </a:prstGeom>
                        <a:solidFill>
                          <a:srgbClr val="FFFFFF"/>
                        </a:solidFill>
                        <a:ln w="9525">
                          <a:solidFill>
                            <a:srgbClr val="000000"/>
                          </a:solidFill>
                          <a:miter lim="800000"/>
                          <a:headEnd/>
                          <a:tailEnd/>
                        </a:ln>
                      </wps:spPr>
                      <wps:txbx>
                        <w:txbxContent>
                          <w:p w14:paraId="0BAFE319" w14:textId="5397CDC9" w:rsidR="004F39F8" w:rsidRDefault="00D3759F" w:rsidP="006719DD">
                            <w:pPr>
                              <w:spacing w:after="120"/>
                            </w:pPr>
                            <w:r>
                              <w:t xml:space="preserve">La </w:t>
                            </w:r>
                            <w:r>
                              <w:rPr>
                                <w:b/>
                              </w:rPr>
                              <w:t>Pologne</w:t>
                            </w:r>
                            <w:r>
                              <w:t xml:space="preserve"> prévoit la création de plus de 100 000 nouvelles places d’accueil pour les enfants de moins de 3 ans, en associant les financements de la facilité pour la reprise et la résilience (FRR) et du FSE+.</w:t>
                            </w:r>
                          </w:p>
                          <w:p w14:paraId="08E595A7" w14:textId="78A1E085" w:rsidR="00730E00" w:rsidRDefault="00730E00" w:rsidP="006719DD">
                            <w:pPr>
                              <w:spacing w:after="120"/>
                            </w:pPr>
                            <w:r>
                              <w:t xml:space="preserve">En </w:t>
                            </w:r>
                            <w:r>
                              <w:rPr>
                                <w:b/>
                                <w:bCs/>
                              </w:rPr>
                              <w:t>Italie</w:t>
                            </w:r>
                            <w:r>
                              <w:t xml:space="preserve">, le </w:t>
                            </w:r>
                            <w:r>
                              <w:rPr>
                                <w:i/>
                              </w:rPr>
                              <w:t>programme pour une employabilité garantie des travailleurs</w:t>
                            </w:r>
                            <w:r>
                              <w:t xml:space="preserve"> (GOL) est un exemple de mesure d’activation du marché du travail ciblant les groupes sous-représentés, financée par la FRR. Ce programme devrait profiter à 3 millions de bénéficiaires, en particulier des femmes, des chômeurs de longue durée, des personnes handicapées et des personnes de moins de 30 ans ou de plus de 55 ans, qui devraient représenter au moins 75 % des personnes soutenues.</w:t>
                            </w:r>
                          </w:p>
                          <w:p w14:paraId="68ACE519" w14:textId="1E4BC9B0" w:rsidR="00730E00" w:rsidRDefault="00730E0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C1C492" id="_x0000_t202" coordsize="21600,21600" o:spt="202" path="m,l,21600r21600,l21600,xe">
                <v:stroke joinstyle="miter"/>
                <v:path gradientshapeok="t" o:connecttype="rect"/>
              </v:shapetype>
              <v:shape id="Text Box 2" o:spid="_x0000_s1026" type="#_x0000_t202" style="position:absolute;left:0;text-align:left;margin-left:-.8pt;margin-top:48.4pt;width:194pt;height:306.5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">
                <v:textbox>
                  <w:txbxContent>
                    <w:p w14:paraId="0BAFE319" w14:textId="5397CDC9" w:rsidR="004F39F8" w:rsidRDefault="00D3759F" w:rsidP="006719DD">
                      <w:pPr>
                        <w:spacing w:after="120"/>
                      </w:pPr>
                      <w:r>
                        <w:t xml:space="preserve">La </w:t>
                      </w:r>
                      <w:r>
                        <w:rPr>
                          <w:b/>
                        </w:rPr>
                        <w:t>Pologne</w:t>
                      </w:r>
                      <w:r>
                        <w:t xml:space="preserve"> prévoit la création de plus de 100 000 nouvelles places d’accueil pour les enfants de moins de 3 ans, en associant les financements de la facilité pour la reprise et la résilience (FRR) et du FSE+.</w:t>
                      </w:r>
                    </w:p>
                    <w:p w14:paraId="08E595A7" w14:textId="78A1E085" w:rsidR="00730E00" w:rsidRDefault="00730E00" w:rsidP="006719DD">
                      <w:pPr>
                        <w:spacing w:after="120"/>
                      </w:pPr>
                      <w:r>
                        <w:t xml:space="preserve">En </w:t>
                      </w:r>
                      <w:r>
                        <w:rPr>
                          <w:b/>
                          <w:bCs/>
                        </w:rPr>
                        <w:t>Italie</w:t>
                      </w:r>
                      <w:r>
                        <w:t xml:space="preserve">, le </w:t>
                      </w:r>
                      <w:r>
                        <w:rPr>
                          <w:i/>
                        </w:rPr>
                        <w:t>programme pour une employabilité garantie des travailleurs</w:t>
                      </w:r>
                      <w:r>
                        <w:t xml:space="preserve"> (GOL) est un exemple de mesure d’activation du marché du travail ciblant les groupes sous-représentés, financée par la FRR. Ce programme devrait profiter à 3 millions de bénéficiaires, en particulier des femmes, des chômeurs de longue durée, des personnes handicapées et des personnes de moins de 30 ans ou de plus de 55 ans, qui devraient représenter au moins 75 % des personnes soutenues.</w:t>
                      </w:r>
                    </w:p>
                    <w:p w14:paraId="68ACE519" w14:textId="1E4BC9B0" w:rsidR="00730E00" w:rsidRDefault="00730E00"/>
                  </w:txbxContent>
                </v:textbox>
                <w10:wrap type="tight" anchorx="margin"/>
              </v:shape>
            </w:pict>
          </mc:Fallback>
        </mc:AlternateContent>
      </w:r>
      <w:r w:rsidR="5C71FE5F">
        <w:rPr>
          <w:b/>
          <w:noProof/>
        </w:rPr>
        <w:t>Améliorer les taux de participation au marché du travail suppose donc d’adopter un large éventail de politiques adaptées à chaque groupe sous-représenté pour cibler les causes spécifiques profondes.</w:t>
      </w:r>
      <w:r w:rsidR="5C71FE5F">
        <w:rPr>
          <w:noProof/>
        </w:rPr>
        <w:t xml:space="preserve"> Ces politiques comprennent des mesures visant à améliorer le soutien et les incitations à l’emploi, par exemple des réformes des politiques actives du marché du travail, des réformes fiscales visant à réduire le coin fiscal</w:t>
      </w:r>
      <w:r w:rsidR="00E44458">
        <w:rPr>
          <w:rStyle w:val="FootnoteReference"/>
          <w:noProof/>
        </w:rPr>
        <w:footnoteReference w:id="15"/>
      </w:r>
      <w:r w:rsidR="5C71FE5F">
        <w:rPr>
          <w:noProof/>
        </w:rPr>
        <w:t xml:space="preserve"> pour les deuxièmes salaires et les bas revenus</w:t>
      </w:r>
      <w:r w:rsidR="00E44458">
        <w:rPr>
          <w:rStyle w:val="FootnoteReference"/>
          <w:noProof/>
        </w:rPr>
        <w:footnoteReference w:id="16"/>
      </w:r>
      <w:r w:rsidR="5C71FE5F">
        <w:rPr>
          <w:noProof/>
        </w:rPr>
        <w:t>, des réformes des prestations sociales pour renforcer les incitations à intégrer le marché du travail, ou des réformes des systèmes de retraite</w:t>
      </w:r>
      <w:r w:rsidR="00476838" w:rsidRPr="00630322">
        <w:rPr>
          <w:rStyle w:val="FootnoteReference"/>
          <w:noProof/>
        </w:rPr>
        <w:footnoteReference w:id="17"/>
      </w:r>
      <w:r w:rsidR="5C71FE5F">
        <w:rPr>
          <w:noProof/>
        </w:rPr>
        <w:t>. Les mesures d’activation devraient être complétées par des mesures qui offrent un accès réel à des services d’éducation et d’accueil de la petite enfance et à des services de soins à long terme abordables et de qualité.</w:t>
      </w:r>
    </w:p>
    <w:p w14:paraId="56D4FED4" w14:textId="752F59AE" w:rsidR="00303B5D" w:rsidRPr="00630322" w:rsidRDefault="4B66D85D" w:rsidP="006719DD">
      <w:pPr>
        <w:pStyle w:val="NormalWeb"/>
        <w:spacing w:before="0" w:beforeAutospacing="0" w:after="120" w:afterAutospacing="0"/>
        <w:jc w:val="both"/>
        <w:rPr>
          <w:noProof/>
        </w:rPr>
      </w:pPr>
      <w:r>
        <w:rPr>
          <w:b/>
          <w:noProof/>
        </w:rPr>
        <w:t>L’UE a déjà adopté plusieurs initiatives qui sont en cours de mise en œuvre:</w:t>
      </w:r>
      <w:r>
        <w:rPr>
          <w:noProof/>
        </w:rPr>
        <w:t xml:space="preserve"> la stratégie en faveur de l’égalité entre les hommes et les femmes</w:t>
      </w:r>
      <w:r w:rsidR="00EB7915" w:rsidRPr="68945C3D">
        <w:rPr>
          <w:rStyle w:val="FootnoteReference"/>
          <w:noProof/>
        </w:rPr>
        <w:footnoteReference w:id="18"/>
      </w:r>
      <w:r>
        <w:rPr>
          <w:noProof/>
        </w:rPr>
        <w:t xml:space="preserve"> comprend des mesures visant à accroître la participation des femmes au marché du travail, en ciblant des domaines tels que la réduction de l’écart de rémunération entre les femmes et les hommes, en encourageant une répartition égale des congés familiaux et des formules souples de travail, mais aussi en garantissant des services d’éducation et d’accueil de la petite enfance et des services de soins à long terme, et en luttant contre les stéréotypes sexistes; la garantie pour la jeunesse</w:t>
      </w:r>
      <w:r w:rsidR="00053564" w:rsidRPr="00630322">
        <w:rPr>
          <w:rStyle w:val="FootnoteReference"/>
          <w:noProof/>
        </w:rPr>
        <w:footnoteReference w:id="19"/>
      </w:r>
      <w:r>
        <w:rPr>
          <w:noProof/>
        </w:rPr>
        <w:t xml:space="preserve"> et l’initiative ALMA</w:t>
      </w:r>
      <w:r w:rsidR="00053564" w:rsidRPr="00630322">
        <w:rPr>
          <w:rStyle w:val="FootnoteReference"/>
          <w:noProof/>
        </w:rPr>
        <w:footnoteReference w:id="20"/>
      </w:r>
      <w:r>
        <w:rPr>
          <w:noProof/>
        </w:rPr>
        <w:t xml:space="preserve"> ciblent le chômage des jeunes; le train de mesures sur l’emploi des </w:t>
      </w:r>
      <w:r>
        <w:rPr>
          <w:noProof/>
        </w:rPr>
        <w:lastRenderedPageBreak/>
        <w:t>personnes handicapées</w:t>
      </w:r>
      <w:r w:rsidR="00053564" w:rsidRPr="00630322">
        <w:rPr>
          <w:rStyle w:val="FootnoteReference"/>
          <w:noProof/>
        </w:rPr>
        <w:footnoteReference w:id="21"/>
      </w:r>
      <w:r>
        <w:rPr>
          <w:noProof/>
        </w:rPr>
        <w:t xml:space="preserve"> vise à améliorer les perspectives des personnes handicapées sur le marché du travail; et le plan d’action en faveur de l’intégration et de l’inclusion pour la période </w:t>
      </w:r>
      <w:r w:rsidRPr="002C3F74">
        <w:rPr>
          <w:noProof/>
        </w:rPr>
        <w:t>2021</w:t>
      </w:r>
      <w:r>
        <w:rPr>
          <w:noProof/>
        </w:rPr>
        <w:t>-</w:t>
      </w:r>
      <w:r w:rsidRPr="002C3F74">
        <w:rPr>
          <w:noProof/>
        </w:rPr>
        <w:t>2027</w:t>
      </w:r>
      <w:r w:rsidR="00053564" w:rsidRPr="00630322">
        <w:rPr>
          <w:rStyle w:val="FootnoteReference"/>
          <w:noProof/>
        </w:rPr>
        <w:footnoteReference w:id="22"/>
      </w:r>
      <w:r>
        <w:rPr>
          <w:noProof/>
        </w:rPr>
        <w:t xml:space="preserve"> a pour objectif d’améliorer les perspectives d’emploi des personnes issues de l’immigration. Une vue d’ensemble des initiatives en cours figure en annexe.</w:t>
      </w:r>
    </w:p>
    <w:p w14:paraId="63091D1B" w14:textId="490BE429" w:rsidR="007060E1" w:rsidRDefault="662169F1" w:rsidP="00766470">
      <w:pPr>
        <w:pStyle w:val="NormalWeb"/>
        <w:spacing w:before="0" w:beforeAutospacing="0" w:after="120" w:afterAutospacing="0"/>
        <w:jc w:val="both"/>
        <w:rPr>
          <w:noProof/>
        </w:rPr>
      </w:pPr>
      <w:r>
        <w:rPr>
          <w:b/>
          <w:noProof/>
        </w:rPr>
        <w:t>Les politiques actives de l’emploi et du marché du travail constituent un élément clé des plans pour la reprise et la résilience des États membres et des programmes du Fonds social européen plus (FSE+).</w:t>
      </w:r>
      <w:r>
        <w:rPr>
          <w:noProof/>
        </w:rPr>
        <w:t xml:space="preserve"> Dans leur grande majorité, les États membres prônent une accélération de l’entrée des jeunes sur le marché du travail, au titre des engagements qu’ils ont pris pour mettre en œuvre la garantie renforcée pour la jeunesse. En outre, pour accroître la mise en activité des femmes, de nombreux États membres prévoient d’importants investissements dans l’éducation et l’accueil de la petite enfance; plusieurs favorisent également les mesures d’activation du marché du travail ciblant les personnes issues de l’immigration. De plus, plusieurs États membres renforcent actuellement les capacités des services publics de l’emploi et réforment la mise en œuvre des politiques actives du marché du travail par l’intermédiaire de l’instrument d’appui technique</w:t>
      </w:r>
      <w:r w:rsidR="00E819B8">
        <w:rPr>
          <w:rStyle w:val="FootnoteReference"/>
          <w:noProof/>
        </w:rPr>
        <w:footnoteReference w:id="23"/>
      </w:r>
      <w:r>
        <w:rPr>
          <w:noProof/>
        </w:rPr>
        <w:t>.</w:t>
      </w:r>
    </w:p>
    <w:p w14:paraId="113BEC22" w14:textId="77777777" w:rsidR="00766470" w:rsidRPr="00CC26F0" w:rsidRDefault="00766470" w:rsidP="006719DD">
      <w:pPr>
        <w:pStyle w:val="NormalWeb"/>
        <w:spacing w:before="0" w:beforeAutospacing="0" w:after="120" w:afterAutospacing="0"/>
        <w:jc w:val="both"/>
        <w:rPr>
          <w:noProof/>
        </w:rPr>
      </w:pPr>
    </w:p>
    <w:tbl>
      <w:tblPr>
        <w:tblStyle w:val="TableGrid"/>
        <w:tblW w:w="0" w:type="auto"/>
        <w:tblLook w:val="04A0" w:firstRow="1" w:lastRow="0" w:firstColumn="1" w:lastColumn="0" w:noHBand="0" w:noVBand="1"/>
      </w:tblPr>
      <w:tblGrid>
        <w:gridCol w:w="8602"/>
      </w:tblGrid>
      <w:tr w:rsidR="00D66ADA" w:rsidRPr="00CC26F0" w14:paraId="44912910" w14:textId="77777777" w:rsidTr="0D21381C">
        <w:tc>
          <w:tcPr>
            <w:tcW w:w="8602" w:type="dxa"/>
          </w:tcPr>
          <w:p w14:paraId="750FB706" w14:textId="22280616" w:rsidR="00D42C33" w:rsidRDefault="00EB6DA9" w:rsidP="006719DD">
            <w:pPr>
              <w:spacing w:after="120"/>
              <w:rPr>
                <w:bCs/>
                <w:noProof/>
                <w:u w:val="single"/>
              </w:rPr>
            </w:pPr>
            <w:r>
              <w:rPr>
                <w:b/>
                <w:i/>
                <w:noProof/>
              </w:rPr>
              <w:t xml:space="preserve">Si le grand objectif de l’UE, selon lequel au moins </w:t>
            </w:r>
            <w:r w:rsidRPr="002C3F74">
              <w:rPr>
                <w:b/>
                <w:i/>
                <w:noProof/>
              </w:rPr>
              <w:t>78</w:t>
            </w:r>
            <w:r>
              <w:rPr>
                <w:b/>
                <w:i/>
                <w:noProof/>
              </w:rPr>
              <w:t> % de la population en âge de travailler devrait avoir un emploi d’ici à </w:t>
            </w:r>
            <w:r w:rsidRPr="002C3F74">
              <w:rPr>
                <w:b/>
                <w:i/>
                <w:noProof/>
              </w:rPr>
              <w:t>2030</w:t>
            </w:r>
            <w:r>
              <w:rPr>
                <w:b/>
                <w:i/>
                <w:noProof/>
              </w:rPr>
              <w:t>, est atteignable, d’autres mesures sont nécessaires à tous les niveaux pour activer les groupes sous-représentés et, si possible, dépasser cet objectif.</w:t>
            </w:r>
          </w:p>
          <w:p w14:paraId="5E469095" w14:textId="16E044C8" w:rsidR="009B59CF" w:rsidRPr="00630322" w:rsidRDefault="009B59CF" w:rsidP="006719DD">
            <w:pPr>
              <w:autoSpaceDE w:val="0"/>
              <w:autoSpaceDN w:val="0"/>
              <w:spacing w:after="120"/>
              <w:rPr>
                <w:noProof/>
              </w:rPr>
            </w:pPr>
            <w:r>
              <w:rPr>
                <w:noProof/>
                <w:u w:val="single"/>
              </w:rPr>
              <w:t>À cette fin, la Commission</w:t>
            </w:r>
            <w:r>
              <w:rPr>
                <w:noProof/>
              </w:rPr>
              <w:t>:</w:t>
            </w:r>
          </w:p>
          <w:p w14:paraId="361E6E5E" w14:textId="24BAD71C" w:rsidR="001A5679" w:rsidRPr="00294779" w:rsidRDefault="38BE0E8F" w:rsidP="006719DD">
            <w:pPr>
              <w:pStyle w:val="ListBullet2Level2"/>
              <w:numPr>
                <w:ilvl w:val="0"/>
                <w:numId w:val="160"/>
              </w:numPr>
              <w:spacing w:after="120"/>
              <w:ind w:left="335" w:hanging="335"/>
              <w:rPr>
                <w:noProof/>
              </w:rPr>
            </w:pPr>
            <w:r>
              <w:rPr>
                <w:noProof/>
              </w:rPr>
              <w:t>financera, au titre du volet «innovation sociale» du FSE+, des projets relatifs à l’objectif «</w:t>
            </w:r>
            <w:r>
              <w:rPr>
                <w:b/>
                <w:noProof/>
              </w:rPr>
              <w:t>zéro chômage de longue durée</w:t>
            </w:r>
            <w:r>
              <w:rPr>
                <w:noProof/>
              </w:rPr>
              <w:t>»</w:t>
            </w:r>
            <w:r w:rsidR="001A5679" w:rsidRPr="00294779">
              <w:rPr>
                <w:noProof/>
                <w:vertAlign w:val="superscript"/>
              </w:rPr>
              <w:footnoteReference w:id="24"/>
            </w:r>
            <w:r>
              <w:rPr>
                <w:noProof/>
              </w:rPr>
              <w:t xml:space="preserve"> et définira les points forts et les points faibles de ces projets afin de diffuser les bonnes pratiques dans l’ensemble de l’UE; </w:t>
            </w:r>
          </w:p>
          <w:p w14:paraId="22938D25" w14:textId="2EDB1C4C" w:rsidR="00DB31CB" w:rsidRPr="00294779" w:rsidRDefault="3C75E074" w:rsidP="006719DD">
            <w:pPr>
              <w:pStyle w:val="ListBullet2Level2"/>
              <w:numPr>
                <w:ilvl w:val="0"/>
                <w:numId w:val="160"/>
              </w:numPr>
              <w:spacing w:after="120"/>
              <w:ind w:left="335" w:hanging="335"/>
              <w:rPr>
                <w:noProof/>
              </w:rPr>
            </w:pPr>
            <w:r>
              <w:rPr>
                <w:noProof/>
              </w:rPr>
              <w:t xml:space="preserve">financera, au titre du volet «innovation sociale» du FSE+, des projets </w:t>
            </w:r>
            <w:r>
              <w:rPr>
                <w:b/>
                <w:noProof/>
              </w:rPr>
              <w:t>d’activation et de perfectionnement professionnel</w:t>
            </w:r>
            <w:r>
              <w:rPr>
                <w:noProof/>
              </w:rPr>
              <w:t xml:space="preserve"> à l’intention des jeunes ne travaillant pas, ne suivant pas d’études ou de formation (NEET); </w:t>
            </w:r>
          </w:p>
          <w:p w14:paraId="0187A08E" w14:textId="26D96242" w:rsidR="006B36DC" w:rsidRPr="009B2FFA" w:rsidRDefault="006B36DC" w:rsidP="006719DD">
            <w:pPr>
              <w:pStyle w:val="ListBullet2Level2"/>
              <w:numPr>
                <w:ilvl w:val="0"/>
                <w:numId w:val="160"/>
              </w:numPr>
              <w:spacing w:after="120"/>
              <w:ind w:left="335" w:hanging="335"/>
              <w:rPr>
                <w:noProof/>
                <w:szCs w:val="24"/>
              </w:rPr>
            </w:pPr>
            <w:r>
              <w:rPr>
                <w:noProof/>
              </w:rPr>
              <w:t xml:space="preserve">financera, au titre du mécanisme thématique relevant du Fonds «Asile, migration et intégration» (FAMI), des projets visant à promouvoir </w:t>
            </w:r>
            <w:r>
              <w:rPr>
                <w:b/>
                <w:noProof/>
              </w:rPr>
              <w:t>des initiatives multipartites en faveur de l’intégration des migrants</w:t>
            </w:r>
            <w:r>
              <w:rPr>
                <w:noProof/>
              </w:rPr>
              <w:t xml:space="preserve"> sur le marché du travail;</w:t>
            </w:r>
          </w:p>
          <w:p w14:paraId="74EE75BD" w14:textId="7C9B3EDC" w:rsidR="00DB31CB" w:rsidRPr="00294779" w:rsidRDefault="00984330" w:rsidP="006719DD">
            <w:pPr>
              <w:pStyle w:val="ListBullet2Level2"/>
              <w:numPr>
                <w:ilvl w:val="0"/>
                <w:numId w:val="160"/>
              </w:numPr>
              <w:spacing w:after="120"/>
              <w:ind w:left="335" w:hanging="335"/>
              <w:rPr>
                <w:noProof/>
              </w:rPr>
            </w:pPr>
            <w:r>
              <w:rPr>
                <w:noProof/>
              </w:rPr>
              <w:t xml:space="preserve">étudiera les </w:t>
            </w:r>
            <w:r>
              <w:rPr>
                <w:b/>
                <w:noProof/>
              </w:rPr>
              <w:t>causes de l’emploi à temps partiel involontaire</w:t>
            </w:r>
            <w:r>
              <w:rPr>
                <w:noProof/>
              </w:rPr>
              <w:t xml:space="preserve"> afin de mieux comprendre les obstacles qui empêchent les travailleurs à temps partiel involontaires, en particulier les femmes, de travailler à temps plein, et explorera les possibilités d’action de l’UE en la matière; </w:t>
            </w:r>
          </w:p>
          <w:p w14:paraId="7B27D582" w14:textId="747E3A47" w:rsidR="00DB31CB" w:rsidRPr="00294779" w:rsidRDefault="00C10B98" w:rsidP="006719DD">
            <w:pPr>
              <w:pStyle w:val="ListBullet2Level2"/>
              <w:numPr>
                <w:ilvl w:val="0"/>
                <w:numId w:val="160"/>
              </w:numPr>
              <w:spacing w:after="120"/>
              <w:ind w:left="335" w:hanging="335"/>
              <w:rPr>
                <w:noProof/>
              </w:rPr>
            </w:pPr>
            <w:r>
              <w:rPr>
                <w:b/>
                <w:noProof/>
              </w:rPr>
              <w:lastRenderedPageBreak/>
              <w:t>analysera les politiques nationales en matière de congé maladie</w:t>
            </w:r>
            <w:r>
              <w:rPr>
                <w:noProof/>
              </w:rPr>
              <w:t xml:space="preserve"> et étudiera leur incidence sur la santé et la productivité des travailleurs, dans le but de recenser les bonnes pratiques pour les travailleurs et les entreprises, y compris en conseillant un retour progressif au travail après de longs arrêts maladie;</w:t>
            </w:r>
          </w:p>
          <w:p w14:paraId="3DDA9399" w14:textId="62089378" w:rsidR="00E729A7" w:rsidRPr="00294779" w:rsidRDefault="005503D9" w:rsidP="006719DD">
            <w:pPr>
              <w:pStyle w:val="ListBullet2Level2"/>
              <w:numPr>
                <w:ilvl w:val="0"/>
                <w:numId w:val="160"/>
              </w:numPr>
              <w:spacing w:after="120"/>
              <w:ind w:left="335" w:hanging="335"/>
              <w:rPr>
                <w:noProof/>
              </w:rPr>
            </w:pPr>
            <w:r>
              <w:rPr>
                <w:noProof/>
              </w:rPr>
              <w:t>évaluera l’</w:t>
            </w:r>
            <w:r>
              <w:rPr>
                <w:b/>
                <w:noProof/>
              </w:rPr>
              <w:t>incidence des réformes de la retraite</w:t>
            </w:r>
            <w:r>
              <w:rPr>
                <w:noProof/>
              </w:rPr>
              <w:t xml:space="preserve"> introduisant davantage de </w:t>
            </w:r>
            <w:r>
              <w:rPr>
                <w:b/>
                <w:noProof/>
              </w:rPr>
              <w:t>possibilités en matière de retraite flexible</w:t>
            </w:r>
            <w:r>
              <w:rPr>
                <w:noProof/>
              </w:rPr>
              <w:t xml:space="preserve"> et permettant de combiner les revenus de retraite avec un salaire, afin d’encourager une plus grande participation des travailleurs âgés au marché du travail tout en favorisant un vieillissement plus actif et en meilleure santé.</w:t>
            </w:r>
          </w:p>
          <w:p w14:paraId="4EBAD424" w14:textId="5F00DCB0" w:rsidR="00C76B64" w:rsidRDefault="00367B35" w:rsidP="006719DD">
            <w:pPr>
              <w:pStyle w:val="ListBullet2Level2"/>
              <w:numPr>
                <w:ilvl w:val="0"/>
                <w:numId w:val="0"/>
              </w:numPr>
              <w:spacing w:after="120"/>
              <w:rPr>
                <w:noProof/>
              </w:rPr>
            </w:pPr>
            <w:r>
              <w:rPr>
                <w:noProof/>
                <w:u w:val="single"/>
              </w:rPr>
              <w:t>La Commission invite les États membres à</w:t>
            </w:r>
            <w:r>
              <w:rPr>
                <w:noProof/>
              </w:rPr>
              <w:t>:</w:t>
            </w:r>
          </w:p>
          <w:p w14:paraId="396F4B97" w14:textId="4245CBDA" w:rsidR="006D1858" w:rsidRDefault="5A2EC4B2" w:rsidP="006719DD">
            <w:pPr>
              <w:pStyle w:val="ListBullet2"/>
              <w:numPr>
                <w:ilvl w:val="0"/>
                <w:numId w:val="160"/>
              </w:numPr>
              <w:spacing w:after="120"/>
              <w:ind w:left="335"/>
              <w:rPr>
                <w:noProof/>
              </w:rPr>
            </w:pPr>
            <w:r>
              <w:rPr>
                <w:b/>
                <w:noProof/>
              </w:rPr>
              <w:t>mettre pleinement en œuvre les initiatives de l’UE</w:t>
            </w:r>
            <w:r>
              <w:rPr>
                <w:noProof/>
              </w:rPr>
              <w:t xml:space="preserve"> visant à activer les groupes sous-représentés, notamment la garantie renforcée pour la jeunesse, la recommandation du Conseil concernant l’éducation et l’accueil de la petite enfance</w:t>
            </w:r>
            <w:r w:rsidR="00AD3F5E" w:rsidRPr="43AE5014">
              <w:rPr>
                <w:noProof/>
                <w:color w:val="000000" w:themeColor="text1"/>
                <w:vertAlign w:val="superscript"/>
              </w:rPr>
              <w:footnoteReference w:id="25"/>
            </w:r>
            <w:r>
              <w:rPr>
                <w:noProof/>
              </w:rPr>
              <w:t>, la recommandation du Conseil relative à l’intégration des chômeurs de longue durée sur le marché du travail, la stratégie en faveur des droits des personnes handicapées (</w:t>
            </w:r>
            <w:r w:rsidRPr="002C3F74">
              <w:rPr>
                <w:noProof/>
              </w:rPr>
              <w:t>2021</w:t>
            </w:r>
            <w:r>
              <w:rPr>
                <w:noProof/>
              </w:rPr>
              <w:t>-</w:t>
            </w:r>
            <w:r w:rsidRPr="002C3F74">
              <w:rPr>
                <w:noProof/>
              </w:rPr>
              <w:t>2030</w:t>
            </w:r>
            <w:r>
              <w:rPr>
                <w:noProof/>
              </w:rPr>
              <w:t>)</w:t>
            </w:r>
            <w:r w:rsidR="00AD3F5E" w:rsidRPr="00CC26F0">
              <w:rPr>
                <w:rStyle w:val="FootnoteReference"/>
                <w:noProof/>
              </w:rPr>
              <w:footnoteReference w:id="26"/>
            </w:r>
            <w:r>
              <w:rPr>
                <w:noProof/>
              </w:rPr>
              <w:t>, la recommandation du Conseil relative à un revenu minimum adéquat pour garantir une inclusion active</w:t>
            </w:r>
            <w:r w:rsidR="00AD3F5E" w:rsidRPr="00CC26F0">
              <w:rPr>
                <w:rStyle w:val="FootnoteReference"/>
                <w:noProof/>
              </w:rPr>
              <w:footnoteReference w:id="27"/>
            </w:r>
            <w:r>
              <w:rPr>
                <w:noProof/>
              </w:rPr>
              <w:t>, le plan d’action de l’UE sur l’intégration et l’inclusion, et la recommandation du Conseil sur l’égalité, l’inclusion et la participation des Roms</w:t>
            </w:r>
            <w:r w:rsidR="00AD3F5E" w:rsidRPr="0049286A">
              <w:rPr>
                <w:rStyle w:val="FootnoteReference"/>
                <w:noProof/>
              </w:rPr>
              <w:footnoteReference w:id="28"/>
            </w:r>
            <w:r>
              <w:rPr>
                <w:noProof/>
              </w:rPr>
              <w:t>;</w:t>
            </w:r>
          </w:p>
          <w:p w14:paraId="7B75CCFD" w14:textId="0FA8E3EA" w:rsidR="00BF5245" w:rsidRDefault="00BF5245" w:rsidP="006719DD">
            <w:pPr>
              <w:pStyle w:val="ListBullet2"/>
              <w:numPr>
                <w:ilvl w:val="0"/>
                <w:numId w:val="160"/>
              </w:numPr>
              <w:spacing w:after="120"/>
              <w:ind w:left="335" w:hanging="337"/>
              <w:rPr>
                <w:noProof/>
              </w:rPr>
            </w:pPr>
            <w:r>
              <w:rPr>
                <w:noProof/>
              </w:rPr>
              <w:t xml:space="preserve">garantir une </w:t>
            </w:r>
            <w:r>
              <w:rPr>
                <w:b/>
                <w:noProof/>
              </w:rPr>
              <w:t>meilleure coordination entre les ministères et les services publics de l’emploi</w:t>
            </w:r>
            <w:r>
              <w:rPr>
                <w:noProof/>
              </w:rPr>
              <w:t>, notamment une meilleure collecte de données, un ciblage plus approprié et des mesures de prévention visant à améliorer l’efficacité des politiques d’activation;</w:t>
            </w:r>
          </w:p>
          <w:p w14:paraId="618A509D" w14:textId="743CD9E2" w:rsidR="00DF0482" w:rsidRDefault="00765AB0" w:rsidP="006719DD">
            <w:pPr>
              <w:pStyle w:val="ListBullet2"/>
              <w:numPr>
                <w:ilvl w:val="0"/>
                <w:numId w:val="160"/>
              </w:numPr>
              <w:spacing w:after="120"/>
              <w:ind w:left="335" w:hanging="337"/>
              <w:rPr>
                <w:noProof/>
              </w:rPr>
            </w:pPr>
            <w:r>
              <w:rPr>
                <w:b/>
                <w:noProof/>
              </w:rPr>
              <w:t>mener des réformes fiscales</w:t>
            </w:r>
            <w:r>
              <w:rPr>
                <w:noProof/>
              </w:rPr>
              <w:t xml:space="preserve"> en vue de réduire le coin fiscal pour les deuxièmes salaires et les bas revenus et, de manière générale, reporter les revenus fiscaux découlant du travail vers d’autres sources de revenus;</w:t>
            </w:r>
          </w:p>
          <w:p w14:paraId="141FE6A1" w14:textId="6F14EF2D" w:rsidR="00B51CBE" w:rsidRPr="00630322" w:rsidRDefault="339A6DE4" w:rsidP="006719DD">
            <w:pPr>
              <w:pStyle w:val="ListBullet2"/>
              <w:numPr>
                <w:ilvl w:val="0"/>
                <w:numId w:val="160"/>
              </w:numPr>
              <w:spacing w:after="120"/>
              <w:ind w:left="335" w:hanging="335"/>
              <w:rPr>
                <w:noProof/>
              </w:rPr>
            </w:pPr>
            <w:r>
              <w:rPr>
                <w:b/>
                <w:noProof/>
              </w:rPr>
              <w:t>mener des réformes des prestations sociales</w:t>
            </w:r>
            <w:r>
              <w:rPr>
                <w:noProof/>
              </w:rPr>
              <w:t xml:space="preserve"> qui s’attaquent aux poches d’inactivité et apportent un soutien suffisant aux personnes qui peuvent travailler afin qu’elles réintègrent progressivement le marché du travail.</w:t>
            </w:r>
          </w:p>
          <w:p w14:paraId="493D9669" w14:textId="0708ADE0" w:rsidR="00F75C31" w:rsidRPr="00630322" w:rsidRDefault="00F75C31" w:rsidP="006719DD">
            <w:pPr>
              <w:pStyle w:val="ListBullet2"/>
              <w:numPr>
                <w:ilvl w:val="0"/>
                <w:numId w:val="0"/>
              </w:numPr>
              <w:spacing w:after="120"/>
              <w:rPr>
                <w:noProof/>
              </w:rPr>
            </w:pPr>
            <w:r>
              <w:rPr>
                <w:noProof/>
                <w:u w:val="single"/>
              </w:rPr>
              <w:t>La Commission se félicite de la volonté des partenaires sociaux de</w:t>
            </w:r>
            <w:r>
              <w:rPr>
                <w:noProof/>
              </w:rPr>
              <w:t>:</w:t>
            </w:r>
          </w:p>
          <w:p w14:paraId="5AC01D80" w14:textId="66EC6EFC" w:rsidR="003460B3" w:rsidRDefault="00134BF0" w:rsidP="006719DD">
            <w:pPr>
              <w:pStyle w:val="ListBullet2"/>
              <w:numPr>
                <w:ilvl w:val="0"/>
                <w:numId w:val="160"/>
              </w:numPr>
              <w:spacing w:after="120"/>
              <w:ind w:left="335" w:hanging="335"/>
              <w:rPr>
                <w:noProof/>
              </w:rPr>
            </w:pPr>
            <w:r>
              <w:rPr>
                <w:noProof/>
              </w:rPr>
              <w:t xml:space="preserve">veiller à ce que les </w:t>
            </w:r>
            <w:r>
              <w:rPr>
                <w:b/>
                <w:noProof/>
              </w:rPr>
              <w:t>lieux de travail soient non discriminatoires, accueillants et accessibles pour tous</w:t>
            </w:r>
            <w:r>
              <w:rPr>
                <w:noProof/>
              </w:rPr>
              <w:t>, indépendamment du genre, de l’âge, de la nationalité et de toute autre circonstance personnelle du travailleur</w:t>
            </w:r>
            <w:r w:rsidR="000203F2" w:rsidRPr="004E445B">
              <w:rPr>
                <w:rStyle w:val="FootnoteReference"/>
                <w:noProof/>
              </w:rPr>
              <w:footnoteReference w:id="29"/>
            </w:r>
            <w:r>
              <w:rPr>
                <w:noProof/>
              </w:rPr>
              <w:t>;</w:t>
            </w:r>
          </w:p>
          <w:p w14:paraId="17388BCC" w14:textId="77777777" w:rsidR="00134BF0" w:rsidRDefault="00803DC7" w:rsidP="006719DD">
            <w:pPr>
              <w:pStyle w:val="ListBullet2"/>
              <w:numPr>
                <w:ilvl w:val="0"/>
                <w:numId w:val="160"/>
              </w:numPr>
              <w:spacing w:after="120"/>
              <w:ind w:left="335" w:hanging="335"/>
              <w:rPr>
                <w:noProof/>
              </w:rPr>
            </w:pPr>
            <w:r>
              <w:rPr>
                <w:b/>
                <w:noProof/>
              </w:rPr>
              <w:t>encourager la négociation collective</w:t>
            </w:r>
            <w:r>
              <w:rPr>
                <w:noProof/>
              </w:rPr>
              <w:t xml:space="preserve"> afin de trouver des solutions adaptées pour promouvoir </w:t>
            </w:r>
            <w:r>
              <w:rPr>
                <w:b/>
                <w:noProof/>
              </w:rPr>
              <w:t>l’emploi des travailleurs âgés</w:t>
            </w:r>
            <w:r w:rsidR="00134BF0">
              <w:rPr>
                <w:rStyle w:val="FootnoteReference"/>
                <w:noProof/>
              </w:rPr>
              <w:footnoteReference w:id="30"/>
            </w:r>
            <w:r>
              <w:rPr>
                <w:noProof/>
              </w:rPr>
              <w:t>; </w:t>
            </w:r>
          </w:p>
          <w:p w14:paraId="6F57D1D8" w14:textId="77777777" w:rsidR="00134BF0" w:rsidRDefault="00134BF0" w:rsidP="006719DD">
            <w:pPr>
              <w:pStyle w:val="ListBullet2"/>
              <w:numPr>
                <w:ilvl w:val="0"/>
                <w:numId w:val="160"/>
              </w:numPr>
              <w:spacing w:after="120"/>
              <w:ind w:left="335" w:hanging="335"/>
              <w:rPr>
                <w:noProof/>
              </w:rPr>
            </w:pPr>
            <w:r>
              <w:rPr>
                <w:noProof/>
              </w:rPr>
              <w:t xml:space="preserve">renforcer la </w:t>
            </w:r>
            <w:r>
              <w:rPr>
                <w:b/>
                <w:noProof/>
              </w:rPr>
              <w:t>collaboration entre les services privés et publics de l’emploi</w:t>
            </w:r>
            <w:r>
              <w:rPr>
                <w:noProof/>
              </w:rPr>
              <w:t xml:space="preserve"> afin d’améliorer l’adéquation entre l’offre et la demande d’emploi dans l’ensemble de l’UE</w:t>
            </w:r>
            <w:r w:rsidRPr="43AE5014">
              <w:rPr>
                <w:rStyle w:val="FootnoteReference"/>
                <w:noProof/>
              </w:rPr>
              <w:footnoteReference w:id="31"/>
            </w:r>
            <w:r>
              <w:rPr>
                <w:noProof/>
              </w:rPr>
              <w:t>;</w:t>
            </w:r>
          </w:p>
          <w:p w14:paraId="171A4947" w14:textId="30C25AAE" w:rsidR="00134BF0" w:rsidRDefault="00134BF0" w:rsidP="006719DD">
            <w:pPr>
              <w:pStyle w:val="ListBullet2"/>
              <w:numPr>
                <w:ilvl w:val="0"/>
                <w:numId w:val="160"/>
              </w:numPr>
              <w:spacing w:after="120"/>
              <w:ind w:left="335" w:hanging="335"/>
              <w:rPr>
                <w:noProof/>
              </w:rPr>
            </w:pPr>
            <w:r>
              <w:rPr>
                <w:noProof/>
              </w:rPr>
              <w:t xml:space="preserve">promouvoir </w:t>
            </w:r>
            <w:r>
              <w:rPr>
                <w:b/>
                <w:noProof/>
              </w:rPr>
              <w:t>l’esprit d’entreprise</w:t>
            </w:r>
            <w:r w:rsidR="001E0108" w:rsidRPr="43AE5014">
              <w:rPr>
                <w:rStyle w:val="FootnoteReference"/>
                <w:noProof/>
              </w:rPr>
              <w:footnoteReference w:id="32"/>
            </w:r>
            <w:r>
              <w:rPr>
                <w:noProof/>
              </w:rPr>
              <w:t>, en cultivant les compétences</w:t>
            </w:r>
            <w:r w:rsidR="001E0108" w:rsidRPr="43AE5014">
              <w:rPr>
                <w:rStyle w:val="FootnoteReference"/>
                <w:noProof/>
              </w:rPr>
              <w:footnoteReference w:id="33"/>
            </w:r>
            <w:r>
              <w:rPr>
                <w:noProof/>
              </w:rPr>
              <w:t xml:space="preserve"> et en soutenant les futurs entrepreneurs dans la création d’entreprises, notamment en encourageant les femmes et les personnes issues de l’immigration à devenir entrepreneurs</w:t>
            </w:r>
            <w:r>
              <w:rPr>
                <w:rStyle w:val="FootnoteReference"/>
                <w:noProof/>
              </w:rPr>
              <w:footnoteReference w:id="34"/>
            </w:r>
            <w:r>
              <w:rPr>
                <w:noProof/>
              </w:rPr>
              <w:t>;</w:t>
            </w:r>
          </w:p>
          <w:p w14:paraId="6679DB5E" w14:textId="77777777" w:rsidR="005B1979" w:rsidRDefault="005B1979" w:rsidP="006719DD">
            <w:pPr>
              <w:pStyle w:val="ListBullet2"/>
              <w:numPr>
                <w:ilvl w:val="0"/>
                <w:numId w:val="160"/>
              </w:numPr>
              <w:spacing w:after="120"/>
              <w:ind w:left="335" w:hanging="335"/>
              <w:rPr>
                <w:noProof/>
              </w:rPr>
            </w:pPr>
            <w:r>
              <w:rPr>
                <w:b/>
                <w:noProof/>
              </w:rPr>
              <w:t>mettre en activité les groupes sous-représentés</w:t>
            </w:r>
            <w:r>
              <w:rPr>
                <w:noProof/>
              </w:rPr>
              <w:t xml:space="preserve"> en encourageant la diversité, l’égalité, l’inclusion et la non-discrimination</w:t>
            </w:r>
            <w:r>
              <w:rPr>
                <w:rStyle w:val="FootnoteReference"/>
                <w:noProof/>
              </w:rPr>
              <w:footnoteReference w:id="35"/>
            </w:r>
            <w:r>
              <w:rPr>
                <w:noProof/>
              </w:rPr>
              <w:t>;</w:t>
            </w:r>
          </w:p>
          <w:p w14:paraId="038C9DDF" w14:textId="194BB0C5" w:rsidR="002A6384" w:rsidRPr="00CC26F0" w:rsidRDefault="14A2BF00" w:rsidP="006719DD">
            <w:pPr>
              <w:pStyle w:val="ListBullet2"/>
              <w:numPr>
                <w:ilvl w:val="0"/>
                <w:numId w:val="160"/>
              </w:numPr>
              <w:spacing w:after="120"/>
              <w:ind w:left="335" w:hanging="335"/>
              <w:rPr>
                <w:noProof/>
              </w:rPr>
            </w:pPr>
            <w:r>
              <w:rPr>
                <w:noProof/>
              </w:rPr>
              <w:t xml:space="preserve">au niveau sectoriel, mettre en œuvre et promouvoir davantage l’accord autonome sur </w:t>
            </w:r>
            <w:r>
              <w:rPr>
                <w:b/>
                <w:noProof/>
              </w:rPr>
              <w:t>les femmes dans le secteur ferroviaire</w:t>
            </w:r>
            <w:r>
              <w:rPr>
                <w:noProof/>
              </w:rPr>
              <w:t>, afin de lutter contre les disparités entre les hommes et les femmes dans la main-d’œuvre ferroviaire</w:t>
            </w:r>
            <w:r w:rsidR="00FA5443">
              <w:rPr>
                <w:rStyle w:val="FootnoteReference"/>
                <w:noProof/>
              </w:rPr>
              <w:footnoteReference w:id="36"/>
            </w:r>
            <w:r>
              <w:rPr>
                <w:noProof/>
              </w:rPr>
              <w:t>.</w:t>
            </w:r>
          </w:p>
        </w:tc>
      </w:tr>
    </w:tbl>
    <w:p w14:paraId="383B86CD" w14:textId="77777777" w:rsidR="00562082" w:rsidRPr="00CC26F0" w:rsidRDefault="00562082" w:rsidP="00926852">
      <w:pPr>
        <w:spacing w:after="80"/>
        <w:rPr>
          <w:noProof/>
        </w:rPr>
      </w:pPr>
    </w:p>
    <w:p w14:paraId="5C152B0E" w14:textId="42B6F7EE" w:rsidR="00562082" w:rsidRPr="00D82411" w:rsidRDefault="27928788" w:rsidP="00562082">
      <w:pPr>
        <w:pStyle w:val="Heading2"/>
        <w:rPr>
          <w:noProof/>
        </w:rPr>
      </w:pPr>
      <w:r>
        <w:rPr>
          <w:noProof/>
        </w:rPr>
        <w:t xml:space="preserve">Soutenir les compétences, la formation et l’enseignement </w:t>
      </w:r>
    </w:p>
    <w:p w14:paraId="0923D58F" w14:textId="0DEF0A9F" w:rsidR="00D85FBC" w:rsidRDefault="4FBDD426" w:rsidP="006719DD">
      <w:pPr>
        <w:pStyle w:val="NormalWeb"/>
        <w:spacing w:before="0" w:beforeAutospacing="0" w:after="120" w:afterAutospacing="0"/>
        <w:jc w:val="both"/>
        <w:rPr>
          <w:noProof/>
        </w:rPr>
      </w:pPr>
      <w:r>
        <w:rPr>
          <w:b/>
          <w:noProof/>
        </w:rPr>
        <w:t xml:space="preserve">Les pénuries de compétences sont signalées par des entreprises de toutes tailles et de tous secteurs de l’économie de l’UE, et plus particulièrement par les PME. </w:t>
      </w:r>
      <w:r>
        <w:rPr>
          <w:noProof/>
        </w:rPr>
        <w:t>En réponse à une enquête d’Eurofound</w:t>
      </w:r>
      <w:r w:rsidR="008D38A9" w:rsidRPr="00630322">
        <w:rPr>
          <w:rStyle w:val="FootnoteReference"/>
          <w:noProof/>
        </w:rPr>
        <w:footnoteReference w:id="37"/>
      </w:r>
      <w:r>
        <w:rPr>
          <w:noProof/>
        </w:rPr>
        <w:t xml:space="preserve">, de nombreuses entreprises de l’UE ont déclaré qu’au moins </w:t>
      </w:r>
      <w:r w:rsidRPr="002C3F74">
        <w:rPr>
          <w:noProof/>
        </w:rPr>
        <w:t>60</w:t>
      </w:r>
      <w:r>
        <w:rPr>
          <w:noProof/>
        </w:rPr>
        <w:t> % de leurs nouveaux salariés ne possédaient pas les compétences requises. En outre, selon un récent Eurobaromètre</w:t>
      </w:r>
      <w:r w:rsidR="00182D8F" w:rsidRPr="00630322">
        <w:rPr>
          <w:rStyle w:val="FootnoteReference"/>
          <w:noProof/>
        </w:rPr>
        <w:footnoteReference w:id="38"/>
      </w:r>
      <w:r>
        <w:rPr>
          <w:noProof/>
        </w:rPr>
        <w:t>, près de quatre PME sur cinq ont déclaré qu’il leur était difficile de trouver des travailleurs dotés des compétences adéquates, et plus de la moitié d’entre elles avaient des difficultés à retenir les travailleurs qualifiés.</w:t>
      </w:r>
    </w:p>
    <w:p w14:paraId="7F81E96F" w14:textId="26771EE6" w:rsidR="003673F7" w:rsidRDefault="5D46F408" w:rsidP="00D73247">
      <w:pPr>
        <w:pStyle w:val="NormalWeb"/>
        <w:spacing w:before="0" w:beforeAutospacing="0" w:after="120" w:afterAutospacing="0"/>
        <w:jc w:val="both"/>
        <w:rPr>
          <w:noProof/>
        </w:rPr>
      </w:pPr>
      <w:r>
        <w:rPr>
          <w:b/>
          <w:noProof/>
        </w:rPr>
        <w:t>Les pénuries de compétences risquent d’augmenter avec la croissance de l’emploi et les nouvelles exigences relatives aux tâches découlant des transitions écologique et numérique, ainsi que dans les domaines où l’UE doit renforcer sa résilience et garantir son autonomie stratégique ouverte.</w:t>
      </w:r>
      <w:r>
        <w:rPr>
          <w:noProof/>
        </w:rPr>
        <w:t xml:space="preserve"> D’ici à </w:t>
      </w:r>
      <w:r w:rsidRPr="002C3F74">
        <w:rPr>
          <w:noProof/>
        </w:rPr>
        <w:t>2030</w:t>
      </w:r>
      <w:r>
        <w:rPr>
          <w:noProof/>
        </w:rPr>
        <w:t xml:space="preserve">, </w:t>
      </w:r>
      <w:r w:rsidRPr="002C3F74">
        <w:rPr>
          <w:noProof/>
        </w:rPr>
        <w:t>3</w:t>
      </w:r>
      <w:r>
        <w:rPr>
          <w:noProof/>
        </w:rPr>
        <w:t>,</w:t>
      </w:r>
      <w:r w:rsidRPr="002C3F74">
        <w:rPr>
          <w:noProof/>
        </w:rPr>
        <w:t>5</w:t>
      </w:r>
      <w:r>
        <w:rPr>
          <w:noProof/>
        </w:rPr>
        <w:t> millions</w:t>
      </w:r>
      <w:r w:rsidR="00EA17A5" w:rsidRPr="00893040">
        <w:rPr>
          <w:rStyle w:val="FootnoteReference"/>
          <w:noProof/>
        </w:rPr>
        <w:footnoteReference w:id="39"/>
      </w:r>
      <w:r>
        <w:rPr>
          <w:noProof/>
        </w:rPr>
        <w:t xml:space="preserve"> de nouveaux emplois devraient être créés dans le secteur des énergies renouvelables</w:t>
      </w:r>
      <w:r w:rsidR="00EA17A5" w:rsidRPr="0057441E">
        <w:rPr>
          <w:rStyle w:val="FootnoteReference"/>
          <w:noProof/>
        </w:rPr>
        <w:footnoteReference w:id="40"/>
      </w:r>
      <w:r>
        <w:rPr>
          <w:noProof/>
        </w:rPr>
        <w:t>. La transition vers une économie circulaire aura également des répercussions sur les marchés du travail dans tous les secteurs</w:t>
      </w:r>
      <w:r w:rsidR="008D1617">
        <w:rPr>
          <w:rStyle w:val="FootnoteReference"/>
          <w:noProof/>
        </w:rPr>
        <w:footnoteReference w:id="41"/>
      </w:r>
      <w:r>
        <w:rPr>
          <w:noProof/>
        </w:rPr>
        <w:t xml:space="preserve"> et le développement des compétences sera essentiel pour soutenir tous les secteurs de l’économie bleue. Dans ces domaines, les pénuries de compétences pourraient ralentir la croissance du secteur des technologies énergétiques propres</w:t>
      </w:r>
      <w:r w:rsidR="00CC2865" w:rsidRPr="00893040">
        <w:rPr>
          <w:rStyle w:val="FootnoteReference"/>
          <w:noProof/>
        </w:rPr>
        <w:footnoteReference w:id="42"/>
      </w:r>
      <w:r>
        <w:rPr>
          <w:noProof/>
        </w:rPr>
        <w:t>. Dans le domaine du numérique, l’utilisation accrue de technologies avancées, telles que l’intelligence artificielle (IA) et les mégadonnées, en plus d’accroître les risques liés à la cybersécurité, amplifiera les besoins en matière de perfectionnement professionnel</w:t>
      </w:r>
      <w:r w:rsidR="00033CE3">
        <w:rPr>
          <w:rStyle w:val="FootnoteReference"/>
          <w:noProof/>
        </w:rPr>
        <w:footnoteReference w:id="43"/>
      </w:r>
      <w:r>
        <w:rPr>
          <w:noProof/>
        </w:rPr>
        <w:t xml:space="preserve">. Aujourd’hui déjà, environ </w:t>
      </w:r>
      <w:r w:rsidRPr="002C3F74">
        <w:rPr>
          <w:noProof/>
        </w:rPr>
        <w:t>63</w:t>
      </w:r>
      <w:r>
        <w:rPr>
          <w:noProof/>
        </w:rPr>
        <w:t> % des entreprises européennes qui tentent de recruter des spécialistes des technologies de l’information et de la communication (TIC) rencontrent des difficultés à pourvoir les emplois vacants</w:t>
      </w:r>
      <w:r w:rsidRPr="4C9F4E50">
        <w:rPr>
          <w:noProof/>
          <w:vertAlign w:val="superscript"/>
        </w:rPr>
        <w:footnoteReference w:id="44"/>
      </w:r>
      <w:r>
        <w:rPr>
          <w:noProof/>
        </w:rPr>
        <w:t>, emplois dont le nombre devrait plus que doubler d’ici à </w:t>
      </w:r>
      <w:r w:rsidRPr="002C3F74">
        <w:rPr>
          <w:noProof/>
        </w:rPr>
        <w:t>2030</w:t>
      </w:r>
      <w:r w:rsidR="00D757CD" w:rsidRPr="00630322">
        <w:rPr>
          <w:rStyle w:val="FootnoteReference"/>
          <w:noProof/>
        </w:rPr>
        <w:footnoteReference w:id="45"/>
      </w:r>
      <w:r>
        <w:rPr>
          <w:noProof/>
        </w:rPr>
        <w:t>. Le secteur de la défense, central pour la sécurité et la prospérité à long terme de l’UE, est également touché par des pénuries de main-d’œuvre et de compétences qui risquent de s’aggraver à l’avenir pour cause de sous-investissement dans de nouveaux programmes de défense et compte tenu de la nécessité d’attirer plus de jeunes talents</w:t>
      </w:r>
      <w:r w:rsidR="00E80687" w:rsidRPr="005763F2">
        <w:rPr>
          <w:rStyle w:val="FootnoteReference"/>
          <w:noProof/>
        </w:rPr>
        <w:footnoteReference w:id="46"/>
      </w:r>
      <w:r>
        <w:rPr>
          <w:noProof/>
        </w:rPr>
        <w:t>.</w:t>
      </w:r>
    </w:p>
    <w:p w14:paraId="738A32FA" w14:textId="42E92CAE" w:rsidR="005E49B8" w:rsidRPr="00630322" w:rsidRDefault="68D776FB" w:rsidP="006719DD">
      <w:pPr>
        <w:pStyle w:val="NormalWeb"/>
        <w:spacing w:before="0" w:beforeAutospacing="0" w:after="120" w:afterAutospacing="0"/>
        <w:jc w:val="both"/>
        <w:rPr>
          <w:noProof/>
        </w:rPr>
      </w:pPr>
      <w:r>
        <w:rPr>
          <w:b/>
          <w:noProof/>
        </w:rPr>
        <w:t>La part croissante de jeunes ayant un très faible niveau de compétences de base accentue le risque de futures pénuries de compétences.</w:t>
      </w:r>
      <w:r>
        <w:rPr>
          <w:noProof/>
        </w:rPr>
        <w:t xml:space="preserve"> Les enquêtes internationales à grande échelle, dont le programme international pour le suivi des acquis des élèves (PISA), fournissent de solides données indiquant que les jeunes ont de plus en plus de lacunes dans les compétences de base en lecture, en mathématiques et en sciences. Dans le même temps, la part de jeunes dotés d’un niveau excellent est en baisse</w:t>
      </w:r>
      <w:r w:rsidR="0041391E" w:rsidRPr="00630322">
        <w:rPr>
          <w:rStyle w:val="FootnoteReference"/>
          <w:noProof/>
        </w:rPr>
        <w:footnoteReference w:id="47"/>
      </w:r>
      <w:r>
        <w:rPr>
          <w:noProof/>
        </w:rPr>
        <w:t>. Les personnes ayant un très faible niveau de compétences de base se heurteront à des difficultés majeures à leur entrée sur le marché du travail, en raison de leur employabilité limitée. L’amélioration des performances des systèmes éducatifs permettrait d’éviter la survenue de futures pénuries de compétences. Il sera donc primordial de remédier au manque croissant d’enseignants qualifiés, même pour maintenir les compétences de base et les résultats scolaires.</w:t>
      </w:r>
    </w:p>
    <w:p w14:paraId="49DA54A0" w14:textId="37458508" w:rsidR="00C61695" w:rsidRDefault="79B922AD" w:rsidP="006719DD">
      <w:pPr>
        <w:pStyle w:val="NormalWeb"/>
        <w:spacing w:before="0" w:beforeAutospacing="0" w:after="120" w:afterAutospacing="0"/>
        <w:jc w:val="both"/>
        <w:rPr>
          <w:noProof/>
        </w:rPr>
      </w:pPr>
      <w:r>
        <w:rPr>
          <w:b/>
          <w:noProof/>
        </w:rPr>
        <w:t>Dans le cadre de l’espace européen de l’éducation</w:t>
      </w:r>
      <w:r w:rsidR="002267DA" w:rsidRPr="00E24C3B">
        <w:rPr>
          <w:rStyle w:val="FootnoteReference"/>
          <w:b/>
          <w:bCs/>
          <w:noProof/>
        </w:rPr>
        <w:footnoteReference w:id="48"/>
      </w:r>
      <w:r>
        <w:rPr>
          <w:b/>
          <w:noProof/>
        </w:rPr>
        <w:t>, l’UE encourage la mise en place d’un enseignement inclusif et de qualité, offrant une égalité des chances dès le plus jeune âge, conformément au premier principe du socle européen des droits sociaux.</w:t>
      </w:r>
      <w:r>
        <w:rPr>
          <w:noProof/>
        </w:rPr>
        <w:t xml:space="preserve"> Les dépenses en matière d’enseignement sont associées à un taux élevé de retour sur investissement, notamment lorsqu’elles sont combinées à des réformes visant à rendre les systèmes éducatifs plus souples et plus réactifs aux besoins du marché du travail</w:t>
      </w:r>
      <w:r w:rsidR="009D073E" w:rsidRPr="000B1A58">
        <w:rPr>
          <w:rStyle w:val="FootnoteReference"/>
          <w:noProof/>
        </w:rPr>
        <w:footnoteReference w:id="49"/>
      </w:r>
      <w:r>
        <w:rPr>
          <w:noProof/>
        </w:rPr>
        <w:t>.</w:t>
      </w:r>
      <w:bookmarkStart w:id="5" w:name="_Hlk159324765"/>
      <w:r>
        <w:rPr>
          <w:noProof/>
        </w:rPr>
        <w:t xml:space="preserve"> L’enseignement et la formation initiaux devraient fournir les compétences nécessaires à un monde du travail en pleine mutation dans un contexte d’évolution technologique et d’automatisation, notamment des compétences numériques, entrepreneuriales, sociales, écologiques et civiques. Le renforcement de la collaboration entre l’enseignement secondaire de deuxième cycle, l’enseignement supérieur et la formation, y compris l’enseignement et la formation professionnels, d’une part, et les acteurs du marché du travail, d’autre part, permettra d’accroître l’adéquation de l’enseignement aux besoins du marché du travail.</w:t>
      </w:r>
    </w:p>
    <w:bookmarkEnd w:id="5"/>
    <w:p w14:paraId="67FA9C59" w14:textId="64A06B93" w:rsidR="00996F42" w:rsidRDefault="0A46A096" w:rsidP="00033B16">
      <w:pPr>
        <w:spacing w:after="120"/>
        <w:rPr>
          <w:noProof/>
        </w:rPr>
      </w:pPr>
      <w:r>
        <w:rPr>
          <w:b/>
          <w:noProof/>
        </w:rPr>
        <w:t xml:space="preserve">La formation continue tout au long de la carrière professionnelle est essentielle pour faire face à l’évolution des besoins de compétences. </w:t>
      </w:r>
      <w:r>
        <w:rPr>
          <w:noProof/>
        </w:rPr>
        <w:t>À cette fin, les États membres se sont engagés à prendre des mesures pour atteindre le grand objectif du plan d’action du socle européen des droits sociaux</w:t>
      </w:r>
      <w:r w:rsidR="002D1ED9" w:rsidRPr="00630322">
        <w:rPr>
          <w:rStyle w:val="FootnoteReference"/>
          <w:noProof/>
        </w:rPr>
        <w:footnoteReference w:id="50"/>
      </w:r>
      <w:r>
        <w:rPr>
          <w:noProof/>
        </w:rPr>
        <w:t xml:space="preserve"> en matière d’éducation des adultes, à savoir une participation annuelle d’au moins </w:t>
      </w:r>
      <w:r w:rsidRPr="002C3F74">
        <w:rPr>
          <w:noProof/>
        </w:rPr>
        <w:t>60</w:t>
      </w:r>
      <w:r>
        <w:rPr>
          <w:noProof/>
        </w:rPr>
        <w:t> % des adultes à des activités de formation d’ici à </w:t>
      </w:r>
      <w:r w:rsidRPr="002C3F74">
        <w:rPr>
          <w:noProof/>
        </w:rPr>
        <w:t>2030</w:t>
      </w:r>
      <w:r>
        <w:rPr>
          <w:noProof/>
        </w:rPr>
        <w:t>.</w:t>
      </w:r>
    </w:p>
    <w:p w14:paraId="6C4A6895" w14:textId="6A65F26B" w:rsidR="00E14E27" w:rsidRDefault="0DAECF69" w:rsidP="006719DD">
      <w:pPr>
        <w:pStyle w:val="NormalWeb"/>
        <w:spacing w:before="0" w:beforeAutospacing="0" w:after="120" w:afterAutospacing="0"/>
        <w:jc w:val="both"/>
        <w:rPr>
          <w:noProof/>
        </w:rPr>
      </w:pPr>
      <w:r>
        <w:rPr>
          <w:b/>
          <w:noProof/>
        </w:rPr>
        <w:t xml:space="preserve">Plusieurs initiatives de l’UE contribuent déjà à remédier aux pénuries de compétences, mais leur mise en œuvre, y compris au moyen d’une approche sectorielle, doit être renforcée. </w:t>
      </w:r>
      <w:r>
        <w:rPr>
          <w:noProof/>
        </w:rPr>
        <w:t>La stratégie européenne en matière de compétences</w:t>
      </w:r>
      <w:r w:rsidR="00E14E27" w:rsidRPr="00987B13">
        <w:rPr>
          <w:noProof/>
          <w:vertAlign w:val="superscript"/>
        </w:rPr>
        <w:footnoteReference w:id="51"/>
      </w:r>
      <w:r>
        <w:rPr>
          <w:noProof/>
        </w:rPr>
        <w:t xml:space="preserve"> est le cadre stratégique de l’UE pour répondre aux besoins de perfectionnement et de reconversion professionnels. Elle a permis le lancement de douze mesures visant à faire avancer les transitions numérique et écologique, à encourager une reprise équitable, à garantir la compétitivité et à renforcer la résilience. Ces mesures sont déjà toutes en place, notamment les initiatives relatives aux comptes de formation individuels</w:t>
      </w:r>
      <w:r w:rsidR="00E14E27" w:rsidRPr="00766470">
        <w:rPr>
          <w:rStyle w:val="FootnoteReference"/>
          <w:noProof/>
        </w:rPr>
        <w:footnoteReference w:id="52"/>
      </w:r>
      <w:r>
        <w:rPr>
          <w:noProof/>
        </w:rPr>
        <w:t>, aux microcertifications</w:t>
      </w:r>
      <w:r w:rsidR="00E14E27" w:rsidRPr="00766470">
        <w:rPr>
          <w:rStyle w:val="FootnoteReference"/>
          <w:noProof/>
        </w:rPr>
        <w:footnoteReference w:id="53"/>
      </w:r>
      <w:r>
        <w:rPr>
          <w:noProof/>
        </w:rPr>
        <w:t>, aux parcours de renforcement des compétences pour les adultes peu qualifiés</w:t>
      </w:r>
      <w:r w:rsidR="00E14E27" w:rsidRPr="00766470">
        <w:rPr>
          <w:rStyle w:val="FootnoteReference"/>
          <w:noProof/>
        </w:rPr>
        <w:footnoteReference w:id="54"/>
      </w:r>
      <w:r>
        <w:rPr>
          <w:noProof/>
        </w:rPr>
        <w:t xml:space="preserve"> ainsi qu’à l’enseignement et à la formation professionnels</w:t>
      </w:r>
      <w:r w:rsidR="00134BF0" w:rsidRPr="00766470">
        <w:rPr>
          <w:rStyle w:val="FootnoteReference"/>
          <w:noProof/>
        </w:rPr>
        <w:footnoteReference w:id="55"/>
      </w:r>
      <w:r>
        <w:rPr>
          <w:noProof/>
        </w:rPr>
        <w:t>. La communication intitulée «Mettre à profit les talents dans les régions européennes»</w:t>
      </w:r>
      <w:r w:rsidR="000A72FE" w:rsidRPr="00DA6B31">
        <w:rPr>
          <w:rStyle w:val="FootnoteReference"/>
          <w:noProof/>
        </w:rPr>
        <w:footnoteReference w:id="56"/>
      </w:r>
      <w:r>
        <w:rPr>
          <w:noProof/>
        </w:rPr>
        <w:t xml:space="preserve"> établit un cadre d’action visant à rendre toutes les régions attrayantes, notamment via le perfectionnement et la reconversion professionnels. Elle se penche ainsi sur le phénomène problématique de la «fuite des cerveaux» qui touche certaines régions d’Europe. L’attention devrait désormais être portée sur la mise en œuvre de ces mesures pour faire en sorte qu’elles permettent de remédier aux pénuries de compétences existantes. Dans le cadre du pacte pour les compétences, vingt partenariats sectoriels ont été créés dans l’espoir de permettre à plus de </w:t>
      </w:r>
      <w:r w:rsidRPr="002C3F74">
        <w:rPr>
          <w:noProof/>
        </w:rPr>
        <w:t>10</w:t>
      </w:r>
      <w:r>
        <w:rPr>
          <w:noProof/>
        </w:rPr>
        <w:t> millions de personnes de se perfectionner. Il est nécessaire de veiller à ce que les engagements existants soient effectivement honorés, notamment par l’allocation de ressources financières suffisantes à ces programmes, tout en continuant d’encourager de nouveaux engagements. Plusieurs académies européennes des compétences ont été instituées pour remédier aux pénuries de compétences spécifiques à des secteurs clés. L’Académie européenne de l’alliance européenne pour les batteries</w:t>
      </w:r>
      <w:r w:rsidR="00995B1E" w:rsidRPr="00766470">
        <w:rPr>
          <w:rStyle w:val="FootnoteReference"/>
          <w:noProof/>
        </w:rPr>
        <w:footnoteReference w:id="57"/>
      </w:r>
      <w:r>
        <w:rPr>
          <w:noProof/>
        </w:rPr>
        <w:t xml:space="preserve">, qui a bénéficié d’un financement d’amorçage au titre du FSE+, a déjà dispensé des formations directement à quelque </w:t>
      </w:r>
      <w:r w:rsidRPr="002C3F74">
        <w:rPr>
          <w:noProof/>
        </w:rPr>
        <w:t>50</w:t>
      </w:r>
      <w:r>
        <w:rPr>
          <w:noProof/>
        </w:rPr>
        <w:t> </w:t>
      </w:r>
      <w:r w:rsidRPr="002C3F74">
        <w:rPr>
          <w:noProof/>
        </w:rPr>
        <w:t>000</w:t>
      </w:r>
      <w:r>
        <w:rPr>
          <w:noProof/>
        </w:rPr>
        <w:t xml:space="preserve"> travailleurs, ce qui a profité indirectement à plus de </w:t>
      </w:r>
      <w:r w:rsidRPr="002C3F74">
        <w:rPr>
          <w:noProof/>
        </w:rPr>
        <w:t>100</w:t>
      </w:r>
      <w:r>
        <w:rPr>
          <w:noProof/>
        </w:rPr>
        <w:t> </w:t>
      </w:r>
      <w:r w:rsidRPr="002C3F74">
        <w:rPr>
          <w:noProof/>
        </w:rPr>
        <w:t>000</w:t>
      </w:r>
      <w:r>
        <w:rPr>
          <w:noProof/>
        </w:rPr>
        <w:t> personnes. D’autres académies des compétences, telles que l’académie pour les cybercompétences, l’académie du nouveau Bauhaus européen pour le secteur de la construction et les académies mises en place en conséquence du règlement pour une industrie «zéro net»</w:t>
      </w:r>
      <w:r w:rsidR="004D137F" w:rsidRPr="00D146AB">
        <w:rPr>
          <w:rStyle w:val="CommentTextChar"/>
          <w:noProof/>
          <w:sz w:val="24"/>
          <w:vertAlign w:val="superscript"/>
        </w:rPr>
        <w:footnoteReference w:id="58"/>
      </w:r>
      <w:r>
        <w:rPr>
          <w:noProof/>
        </w:rPr>
        <w:t xml:space="preserve">, soutiendront les efforts de formation à grande échelle afin de contribuer à la double transition dans des secteurs liés à l’hydrogène, à l’énergie solaire, aux matières premières et au vent, entre autres. L’Année européenne des compétences en cours souligne la manière </w:t>
      </w:r>
      <w:r w:rsidR="00660BA7">
        <w:rPr>
          <w:b/>
          <w:noProof/>
          <w:color w:val="2B579A"/>
          <w:lang w:val="en-GB"/>
        </w:rPr>
        <mc:AlternateContent>
          <mc:Choice Requires="wps">
            <w:drawing>
              <wp:anchor distT="0" distB="0" distL="114300" distR="114300" simplePos="0" relativeHeight="251658242" behindDoc="0" locked="0" layoutInCell="1" allowOverlap="1" wp14:anchorId="76D1C2E3" wp14:editId="55FA452D">
                <wp:simplePos x="0" y="0"/>
                <wp:positionH relativeFrom="margin">
                  <wp:posOffset>708</wp:posOffset>
                </wp:positionH>
                <wp:positionV relativeFrom="paragraph">
                  <wp:posOffset>2836273</wp:posOffset>
                </wp:positionV>
                <wp:extent cx="2606675" cy="3824804"/>
                <wp:effectExtent l="0" t="0" r="22225" b="23495"/>
                <wp:wrapSquare wrapText="bothSides"/>
                <wp:docPr id="4" name="Text Box 4"/>
                <wp:cNvGraphicFramePr/>
                <a:graphic xmlns:a="http://schemas.openxmlformats.org/drawingml/2006/main">
                  <a:graphicData uri="http://schemas.microsoft.com/office/word/2010/wordprocessingShape">
                    <wps:wsp>
                      <wps:cNvSpPr txBox="1"/>
                      <wps:spPr>
                        <a:xfrm>
                          <a:off x="0" y="0"/>
                          <a:ext cx="2606675" cy="3824804"/>
                        </a:xfrm>
                        <a:prstGeom prst="rect">
                          <a:avLst/>
                        </a:prstGeom>
                        <a:solidFill>
                          <a:schemeClr val="lt1"/>
                        </a:solidFill>
                        <a:ln w="6350">
                          <a:solidFill>
                            <a:prstClr val="black"/>
                          </a:solidFill>
                        </a:ln>
                      </wps:spPr>
                      <wps:txbx>
                        <w:txbxContent>
                          <w:p w14:paraId="281420F4" w14:textId="2DA58578" w:rsidR="00BA1F92" w:rsidRPr="00C40FD7" w:rsidRDefault="00BA1F92" w:rsidP="006719DD">
                            <w:pPr>
                              <w:tabs>
                                <w:tab w:val="left" w:pos="2070"/>
                              </w:tabs>
                              <w:spacing w:after="120"/>
                            </w:pPr>
                            <w:r>
                              <w:t xml:space="preserve">Les mesures de perfectionnement professionnel financées par la FRR et par le FSE+ en </w:t>
                            </w:r>
                            <w:r>
                              <w:rPr>
                                <w:b/>
                              </w:rPr>
                              <w:t>Grèce</w:t>
                            </w:r>
                            <w:r>
                              <w:t xml:space="preserve"> permettront, entre autres, de développer les compétences numériques et écologiques de plus de 500 000 bénéficiaires. Ces investissements ont été précédés d’une réforme du système d’apprentissage tout au long de la vie qui visait à garantir l’adéquation au marché du travail de la formation proposée. </w:t>
                            </w:r>
                          </w:p>
                          <w:p w14:paraId="2740EB63" w14:textId="05B2F9EC" w:rsidR="00BA1F92" w:rsidRPr="00C40FD7" w:rsidRDefault="00BA1F92" w:rsidP="006719DD">
                            <w:pPr>
                              <w:tabs>
                                <w:tab w:val="left" w:pos="2070"/>
                              </w:tabs>
                              <w:spacing w:after="120"/>
                            </w:pPr>
                            <w:r>
                              <w:t xml:space="preserve">Dans son plan pour la reprise et la résilience, la </w:t>
                            </w:r>
                            <w:r>
                              <w:rPr>
                                <w:b/>
                              </w:rPr>
                              <w:t>Lettonie</w:t>
                            </w:r>
                            <w:r>
                              <w:t xml:space="preserve"> a mis en place des comptes de formation individuels qui ont déjà permis d’aider 3 500 adultes. </w:t>
                            </w:r>
                          </w:p>
                          <w:p w14:paraId="0092F808" w14:textId="7917AB67" w:rsidR="00BA1F92" w:rsidRPr="00BE468A" w:rsidRDefault="00BA1F92" w:rsidP="006719DD">
                            <w:pPr>
                              <w:tabs>
                                <w:tab w:val="left" w:pos="2070"/>
                              </w:tabs>
                              <w:spacing w:after="120"/>
                            </w:pPr>
                            <w:r>
                              <w:t xml:space="preserve">Le </w:t>
                            </w:r>
                            <w:r>
                              <w:rPr>
                                <w:b/>
                              </w:rPr>
                              <w:t>Portugal</w:t>
                            </w:r>
                            <w:r>
                              <w:t xml:space="preserve"> a aidé au moins 100 000 adultes à relever leur niveau de qualification en s’appuyant sur le soutien de la FRR.</w:t>
                            </w:r>
                          </w:p>
                          <w:p w14:paraId="2141EDD3" w14:textId="77777777" w:rsidR="00BA1F92" w:rsidRDefault="00BA1F9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D1C2E3" id="Text Box 4" o:spid="_x0000_s1027" type="#_x0000_t202" style="position:absolute;left:0;text-align:left;margin-left:.05pt;margin-top:223.35pt;width:205.25pt;height:301.1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" fillcolor="white [3201]" strokeweight=".5pt">
                <v:textbox>
                  <w:txbxContent>
                    <w:p w14:paraId="281420F4" w14:textId="2DA58578" w:rsidR="00BA1F92" w:rsidRPr="00C40FD7" w:rsidRDefault="00BA1F92" w:rsidP="006719DD">
                      <w:pPr>
                        <w:tabs>
                          <w:tab w:val="left" w:pos="2070"/>
                        </w:tabs>
                        <w:spacing w:after="120"/>
                      </w:pPr>
                      <w:r>
                        <w:t xml:space="preserve">Les mesures de perfectionnement professionnel financées par la FRR et par le FSE+ en </w:t>
                      </w:r>
                      <w:r>
                        <w:rPr>
                          <w:b/>
                        </w:rPr>
                        <w:t>Grèce</w:t>
                      </w:r>
                      <w:r>
                        <w:t xml:space="preserve"> permettront, entre autres, de développer les compétences numériques et écologiques de plus de 500 000 bénéficiaires. Ces investissements ont été précédés d’une réforme du système d’apprentissage tout au long de la vie qui visait à garantir l’adéquation au marché du travail de la formation proposée. </w:t>
                      </w:r>
                    </w:p>
                    <w:p w14:paraId="2740EB63" w14:textId="05B2F9EC" w:rsidR="00BA1F92" w:rsidRPr="00C40FD7" w:rsidRDefault="00BA1F92" w:rsidP="006719DD">
                      <w:pPr>
                        <w:tabs>
                          <w:tab w:val="left" w:pos="2070"/>
                        </w:tabs>
                        <w:spacing w:after="120"/>
                      </w:pPr>
                      <w:r>
                        <w:t xml:space="preserve">Dans son plan pour la reprise et la résilience, la </w:t>
                      </w:r>
                      <w:r>
                        <w:rPr>
                          <w:b/>
                        </w:rPr>
                        <w:t>Lettonie</w:t>
                      </w:r>
                      <w:r>
                        <w:t xml:space="preserve"> a mis en place des comptes de formation individuels qui ont déjà permis d’aider 3 500 adultes. </w:t>
                      </w:r>
                    </w:p>
                    <w:p w14:paraId="0092F808" w14:textId="7917AB67" w:rsidR="00BA1F92" w:rsidRPr="00BE468A" w:rsidRDefault="00BA1F92" w:rsidP="006719DD">
                      <w:pPr>
                        <w:tabs>
                          <w:tab w:val="left" w:pos="2070"/>
                        </w:tabs>
                        <w:spacing w:after="120"/>
                      </w:pPr>
                      <w:r>
                        <w:t xml:space="preserve">Le </w:t>
                      </w:r>
                      <w:r>
                        <w:rPr>
                          <w:b/>
                        </w:rPr>
                        <w:t>Portugal</w:t>
                      </w:r>
                      <w:r>
                        <w:t xml:space="preserve"> a aidé au moins 100 000 adultes à relever leur niveau de qualification en s’appuyant sur le soutien de la FRR.</w:t>
                      </w:r>
                    </w:p>
                    <w:p w14:paraId="2141EDD3" w14:textId="77777777" w:rsidR="00BA1F92" w:rsidRDefault="00BA1F92"/>
                  </w:txbxContent>
                </v:textbox>
                <w10:wrap type="square" anchorx="margin"/>
              </v:shape>
            </w:pict>
          </mc:Fallback>
        </mc:AlternateContent>
      </w:r>
      <w:r>
        <w:rPr>
          <w:noProof/>
        </w:rPr>
        <w:t xml:space="preserve">dont ces actions peuvent contribuer à remédier aux pénuries de main-d’œuvre et de compétences. </w:t>
      </w:r>
    </w:p>
    <w:p w14:paraId="3FF3EF1D" w14:textId="6411D3FA" w:rsidR="00E14E27" w:rsidRPr="00630322" w:rsidRDefault="00DC4E03" w:rsidP="006719DD">
      <w:pPr>
        <w:pStyle w:val="NormalWeb"/>
        <w:spacing w:before="0" w:beforeAutospacing="0" w:after="120" w:afterAutospacing="0"/>
        <w:jc w:val="both"/>
        <w:rPr>
          <w:noProof/>
        </w:rPr>
      </w:pPr>
      <w:r>
        <w:rPr>
          <w:b/>
          <w:noProof/>
        </w:rPr>
        <w:t>Améliorer la collecte des données sur les pénuries de main-d’œuvre et de compétences est essentiel pour élaborer de meilleures politiques.</w:t>
      </w:r>
      <w:r>
        <w:rPr>
          <w:noProof/>
        </w:rPr>
        <w:t xml:space="preserve"> Les principales sources de données sur les pénuries de main-d’œuvre et de compétences au niveau de l’Union sont les statistiques d’Eurostat sur les emplois vacants et des sources fondées sur des enquêtes, telles que les enquêtes de conjoncture de l’UE, les enquêtes des services européens de l’emploi (EURES), les enquêtes sur les pénuries de compétences, les prévisions du Cedefop ainsi que de nouvelles sources de données, comme le «Web Intelligence Hub» d’Eurostat</w:t>
      </w:r>
      <w:r w:rsidR="00BB2C86">
        <w:rPr>
          <w:rStyle w:val="FootnoteReference"/>
          <w:noProof/>
        </w:rPr>
        <w:footnoteReference w:id="59"/>
      </w:r>
      <w:r>
        <w:rPr>
          <w:noProof/>
        </w:rPr>
        <w:t>. Toutefois, il convient de redoubler d’efforts pour mettre en place une action concertée visant à améliorer la disponibilité et la couverture des données, y compris en ce qui concerne l’évolution démographique.</w:t>
      </w:r>
    </w:p>
    <w:p w14:paraId="3BE21577" w14:textId="0244DCC6" w:rsidR="002737CE" w:rsidRPr="00630322" w:rsidRDefault="2C6DFF76" w:rsidP="006719DD">
      <w:pPr>
        <w:pStyle w:val="NormalWeb"/>
        <w:spacing w:before="0" w:beforeAutospacing="0" w:after="120" w:afterAutospacing="0"/>
        <w:jc w:val="both"/>
        <w:rPr>
          <w:noProof/>
        </w:rPr>
      </w:pPr>
      <w:r>
        <w:rPr>
          <w:rStyle w:val="normaltextrun"/>
          <w:b/>
          <w:noProof/>
        </w:rPr>
        <w:t>Les stratégies et investissements des États membres visant à remédier aux pénuries de main-d’œuvre et de compétences bénéficient d’un important soutien du budget de l’UE (</w:t>
      </w:r>
      <w:r w:rsidRPr="002C3F74">
        <w:rPr>
          <w:rStyle w:val="normaltextrun"/>
          <w:b/>
          <w:noProof/>
        </w:rPr>
        <w:t>65</w:t>
      </w:r>
      <w:r>
        <w:rPr>
          <w:rStyle w:val="normaltextrun"/>
          <w:b/>
          <w:noProof/>
        </w:rPr>
        <w:t> milliards d’euros).</w:t>
      </w:r>
      <w:r>
        <w:rPr>
          <w:rStyle w:val="normaltextrun"/>
          <w:noProof/>
        </w:rPr>
        <w:t xml:space="preserve"> Le FSE+</w:t>
      </w:r>
      <w:r>
        <w:rPr>
          <w:noProof/>
        </w:rPr>
        <w:t xml:space="preserve"> </w:t>
      </w:r>
      <w:r>
        <w:rPr>
          <w:rStyle w:val="normaltextrun"/>
          <w:noProof/>
        </w:rPr>
        <w:t>soutient notamment l’enseignement et la formation professionnels, l’apprentissage, la formation tout au long de la vie et les transitions professionnelles. La FRR appuie les réformes et les investissements des États membres dans le domaine de l’éducation et des compétences de manière générale, par exemple au moyen de réformes visant à améliorer la veille stratégique sur les besoins en compétences, le développement des compétences et la gouvernance en la matière, notamment la reconnaissance des qualifications. En outre, un soutien technique est disponible pour les réformes nationales visant à améliorer la qualité et le financement de l’enseignement et de la formation pour adultes.</w:t>
      </w:r>
    </w:p>
    <w:tbl>
      <w:tblPr>
        <w:tblStyle w:val="TableGrid"/>
        <w:tblW w:w="0" w:type="auto"/>
        <w:tblLook w:val="04A0" w:firstRow="1" w:lastRow="0" w:firstColumn="1" w:lastColumn="0" w:noHBand="0" w:noVBand="1"/>
      </w:tblPr>
      <w:tblGrid>
        <w:gridCol w:w="8602"/>
      </w:tblGrid>
      <w:tr w:rsidR="00CC26F0" w:rsidRPr="00630322" w14:paraId="7708CE04" w14:textId="77777777" w:rsidTr="0D21381C">
        <w:tc>
          <w:tcPr>
            <w:tcW w:w="8602" w:type="dxa"/>
          </w:tcPr>
          <w:p w14:paraId="3B09EE56" w14:textId="1AFE073F" w:rsidR="00562082" w:rsidRPr="00630322" w:rsidRDefault="00DA55D3" w:rsidP="00800D3D">
            <w:pPr>
              <w:pStyle w:val="ListBullet1"/>
              <w:numPr>
                <w:ilvl w:val="0"/>
                <w:numId w:val="0"/>
              </w:numPr>
              <w:tabs>
                <w:tab w:val="num" w:pos="283"/>
              </w:tabs>
              <w:spacing w:after="120"/>
              <w:rPr>
                <w:b/>
                <w:i/>
                <w:iCs/>
                <w:noProof/>
              </w:rPr>
            </w:pPr>
            <w:r>
              <w:rPr>
                <w:b/>
                <w:i/>
                <w:noProof/>
              </w:rPr>
              <w:t xml:space="preserve">Malgré les nombreuses initiatives prises par l’UE, les États membres et les partenaires sociaux, il convient d’accélérer la mise en œuvre et de tirer un meilleur parti du potentiel de financement européen afin d’atteindre l’objectif de l’UE selon lequel au moins </w:t>
            </w:r>
            <w:r w:rsidRPr="002C3F74">
              <w:rPr>
                <w:b/>
                <w:i/>
                <w:noProof/>
              </w:rPr>
              <w:t>60</w:t>
            </w:r>
            <w:r>
              <w:rPr>
                <w:b/>
                <w:i/>
                <w:noProof/>
              </w:rPr>
              <w:t> % des adultes devraient participer à une formation chaque année d’ici à </w:t>
            </w:r>
            <w:r w:rsidRPr="002C3F74">
              <w:rPr>
                <w:b/>
                <w:i/>
                <w:noProof/>
              </w:rPr>
              <w:t>2030</w:t>
            </w:r>
            <w:r>
              <w:rPr>
                <w:b/>
                <w:i/>
                <w:noProof/>
              </w:rPr>
              <w:t xml:space="preserve"> et de faire en sorte que le premier principe du socle des droits sociaux, relatif à l’éducation, la formation et l’apprentissage tout au long de la vie, devienne une réalité.</w:t>
            </w:r>
          </w:p>
          <w:p w14:paraId="07093B67" w14:textId="4C25B99A" w:rsidR="00562082" w:rsidRPr="00630322" w:rsidRDefault="009D5EDE" w:rsidP="006719DD">
            <w:pPr>
              <w:pStyle w:val="ListBullet2"/>
              <w:numPr>
                <w:ilvl w:val="0"/>
                <w:numId w:val="0"/>
              </w:numPr>
              <w:spacing w:after="120"/>
              <w:rPr>
                <w:noProof/>
              </w:rPr>
            </w:pPr>
            <w:r>
              <w:rPr>
                <w:noProof/>
                <w:u w:val="single"/>
              </w:rPr>
              <w:t>À cette fin, la Commission</w:t>
            </w:r>
            <w:r>
              <w:rPr>
                <w:noProof/>
              </w:rPr>
              <w:t>:</w:t>
            </w:r>
          </w:p>
          <w:p w14:paraId="3C868C74" w14:textId="77450D63" w:rsidR="00DB369A" w:rsidRPr="007B3B5D" w:rsidRDefault="2487B53C" w:rsidP="00033B16">
            <w:pPr>
              <w:pStyle w:val="ListBullet2Level2"/>
              <w:numPr>
                <w:ilvl w:val="0"/>
                <w:numId w:val="204"/>
              </w:numPr>
              <w:spacing w:after="120"/>
              <w:rPr>
                <w:noProof/>
              </w:rPr>
            </w:pPr>
            <w:r>
              <w:rPr>
                <w:b/>
                <w:noProof/>
              </w:rPr>
              <w:t>encouragera la création et la mise en œuvre de nouveaux partenariats sectoriels et régionaux pour les compétences</w:t>
            </w:r>
            <w:r>
              <w:rPr>
                <w:noProof/>
              </w:rPr>
              <w:t xml:space="preserve"> au titre du pacte pour les compétences</w:t>
            </w:r>
            <w:r w:rsidR="007376C4" w:rsidRPr="007B3B5D">
              <w:rPr>
                <w:rStyle w:val="FootnoteReference"/>
                <w:noProof/>
              </w:rPr>
              <w:footnoteReference w:id="60"/>
            </w:r>
            <w:r>
              <w:rPr>
                <w:noProof/>
              </w:rPr>
              <w:t xml:space="preserve"> et soutiendra le lancement et l’intensification des travaux de toutes les </w:t>
            </w:r>
            <w:r>
              <w:rPr>
                <w:b/>
                <w:noProof/>
              </w:rPr>
              <w:t>académies des compétences</w:t>
            </w:r>
            <w:r>
              <w:rPr>
                <w:noProof/>
              </w:rPr>
              <w:t xml:space="preserve"> dans le domaine des technologies «zéro net» et des cybercompétences, notamment via les </w:t>
            </w:r>
            <w:r>
              <w:rPr>
                <w:b/>
                <w:noProof/>
              </w:rPr>
              <w:t>alliances du plan de coopération sectorielle</w:t>
            </w:r>
            <w:r>
              <w:rPr>
                <w:noProof/>
              </w:rPr>
              <w:t>. La Commission offrira également des services de soutien aux membres du pacte, assortis d’informations sur les financements disponibles pour le perfectionnement et la reconversion professionnels;</w:t>
            </w:r>
          </w:p>
          <w:p w14:paraId="004DBD91" w14:textId="3B190FCC" w:rsidR="004F14FD" w:rsidRPr="00294779" w:rsidRDefault="264C9FAA" w:rsidP="00033B16">
            <w:pPr>
              <w:pStyle w:val="ListBullet2Level2"/>
              <w:numPr>
                <w:ilvl w:val="0"/>
                <w:numId w:val="204"/>
              </w:numPr>
              <w:spacing w:after="120"/>
              <w:rPr>
                <w:noProof/>
              </w:rPr>
            </w:pPr>
            <w:r>
              <w:rPr>
                <w:noProof/>
              </w:rPr>
              <w:t xml:space="preserve">cofinancera </w:t>
            </w:r>
            <w:r>
              <w:rPr>
                <w:b/>
                <w:noProof/>
              </w:rPr>
              <w:t>davantage de centres d’excellence professionnelle</w:t>
            </w:r>
            <w:r w:rsidR="00F25508" w:rsidRPr="004F15F4">
              <w:rPr>
                <w:rStyle w:val="FootnoteReference"/>
                <w:noProof/>
              </w:rPr>
              <w:footnoteReference w:id="61"/>
            </w:r>
            <w:r>
              <w:rPr>
                <w:noProof/>
              </w:rPr>
              <w:t xml:space="preserve">, avec pour objectif de soutenir au moins </w:t>
            </w:r>
            <w:r w:rsidRPr="002C3F74">
              <w:rPr>
                <w:noProof/>
              </w:rPr>
              <w:t>100</w:t>
            </w:r>
            <w:r>
              <w:rPr>
                <w:noProof/>
              </w:rPr>
              <w:t> projets d’ici à </w:t>
            </w:r>
            <w:r w:rsidRPr="002C3F74">
              <w:rPr>
                <w:noProof/>
              </w:rPr>
              <w:t>2027</w:t>
            </w:r>
            <w:r>
              <w:rPr>
                <w:noProof/>
              </w:rPr>
              <w:t xml:space="preserve">, afin de contribuer aux stratégies européennes et régionales en matière de développement, d’innovation et de spécialisation intelligente; </w:t>
            </w:r>
          </w:p>
          <w:p w14:paraId="1317AAD3" w14:textId="3460CED3" w:rsidR="00087FFB" w:rsidRPr="00294779" w:rsidRDefault="529D7F8C" w:rsidP="00033B16">
            <w:pPr>
              <w:pStyle w:val="ListBullet2Level2"/>
              <w:numPr>
                <w:ilvl w:val="0"/>
                <w:numId w:val="204"/>
              </w:numPr>
              <w:spacing w:after="120"/>
              <w:rPr>
                <w:noProof/>
              </w:rPr>
            </w:pPr>
            <w:r>
              <w:rPr>
                <w:noProof/>
              </w:rPr>
              <w:t>collaborera avec les États membres et les partenaires sociaux pour adopter, en </w:t>
            </w:r>
            <w:r w:rsidRPr="002C3F74">
              <w:rPr>
                <w:noProof/>
              </w:rPr>
              <w:t>2025</w:t>
            </w:r>
            <w:r>
              <w:rPr>
                <w:noProof/>
              </w:rPr>
              <w:t xml:space="preserve">, une </w:t>
            </w:r>
            <w:r>
              <w:rPr>
                <w:b/>
                <w:noProof/>
              </w:rPr>
              <w:t>nouvelle déclaration sur l’enseignement et la formation professionnels</w:t>
            </w:r>
            <w:r>
              <w:rPr>
                <w:noProof/>
              </w:rPr>
              <w:t xml:space="preserve"> (EFP) dans le cadre du processus de Copenhague</w:t>
            </w:r>
            <w:r w:rsidR="004151B7" w:rsidRPr="00294779">
              <w:rPr>
                <w:rStyle w:val="FootnoteReference"/>
                <w:noProof/>
              </w:rPr>
              <w:footnoteReference w:id="62"/>
            </w:r>
            <w:r>
              <w:rPr>
                <w:noProof/>
              </w:rPr>
              <w:t>, et ce afin de mieux aligner les mesures et réformes dans le domaine de l’EFP sur les nouvelles évolutions du marché du travail et sur les conséquences de l’évolution technologique, notamment l’intelligence artificielle;</w:t>
            </w:r>
          </w:p>
          <w:p w14:paraId="5795CF52" w14:textId="00EB4415" w:rsidR="004C7E1B" w:rsidRPr="00294779" w:rsidRDefault="146A4ACA" w:rsidP="00033B16">
            <w:pPr>
              <w:pStyle w:val="ListBullet2Level2"/>
              <w:numPr>
                <w:ilvl w:val="0"/>
                <w:numId w:val="204"/>
              </w:numPr>
              <w:spacing w:after="120"/>
              <w:rPr>
                <w:noProof/>
              </w:rPr>
            </w:pPr>
            <w:r>
              <w:rPr>
                <w:b/>
                <w:noProof/>
              </w:rPr>
              <w:t>améliorera la veille stratégique sur les besoins en compétences et la collecte de données</w:t>
            </w:r>
            <w:r>
              <w:rPr>
                <w:noProof/>
              </w:rPr>
              <w:t>, en coordination étroite avec les agences de l’UE (Eurofound, Autorité européenne du travail et Cedefop), afin d’élargir la portée des informations harmonisées et comparables disponibles concernant les pénuries de main-d’œuvre et de compétences à l’échelle de l’UE.</w:t>
            </w:r>
          </w:p>
          <w:p w14:paraId="05824B57" w14:textId="70B434C9" w:rsidR="00A0791A" w:rsidRPr="00294779" w:rsidRDefault="00362F29" w:rsidP="006719DD">
            <w:pPr>
              <w:pStyle w:val="ListBullet2"/>
              <w:numPr>
                <w:ilvl w:val="0"/>
                <w:numId w:val="0"/>
              </w:numPr>
              <w:spacing w:after="120"/>
              <w:rPr>
                <w:noProof/>
              </w:rPr>
            </w:pPr>
            <w:r>
              <w:rPr>
                <w:noProof/>
                <w:u w:val="single"/>
              </w:rPr>
              <w:t>La Commission invite les États membres à</w:t>
            </w:r>
            <w:r>
              <w:rPr>
                <w:noProof/>
              </w:rPr>
              <w:t>:</w:t>
            </w:r>
          </w:p>
          <w:p w14:paraId="66CDF2A9" w14:textId="73CA2D88" w:rsidR="00686F6A" w:rsidRPr="00851C17" w:rsidRDefault="157A3F9B" w:rsidP="00033B16">
            <w:pPr>
              <w:pStyle w:val="ListBullet2Level2"/>
              <w:numPr>
                <w:ilvl w:val="0"/>
                <w:numId w:val="204"/>
              </w:numPr>
              <w:spacing w:after="120"/>
              <w:rPr>
                <w:noProof/>
              </w:rPr>
            </w:pPr>
            <w:r>
              <w:rPr>
                <w:b/>
                <w:noProof/>
              </w:rPr>
              <w:t>mettre pleinement en œuvre les initiatives de la stratégie européenne en matière de compétences</w:t>
            </w:r>
            <w:r>
              <w:rPr>
                <w:noProof/>
              </w:rPr>
              <w:t xml:space="preserve"> avec la participation des partenaires sociaux et des parties prenantes concernées, en encourageant une approche sectorielle qui réponde aux pénuries les plus pressantes dans l’UE. Plus particulièrement, les États membres devraient mettre en place des programmes visant à donner accès à des comptes de formation individuels pour les adultes, à encourager la création, le déploiement et la reconnaissance des microcertifications, à faire entrer en vigueur les plans nationaux de mise en œuvre dans le prolongement de la recommandation du Conseil de </w:t>
            </w:r>
            <w:r w:rsidRPr="002C3F74">
              <w:rPr>
                <w:noProof/>
              </w:rPr>
              <w:t>2020</w:t>
            </w:r>
            <w:r>
              <w:rPr>
                <w:noProof/>
              </w:rPr>
              <w:t xml:space="preserve"> sur l’enseignement et la formation professionnels, à corriger les lacunes mises en lumière par le rapport d’évaluation</w:t>
            </w:r>
            <w:r w:rsidR="004955AC" w:rsidRPr="00A6338F">
              <w:rPr>
                <w:rStyle w:val="FootnoteReference"/>
                <w:noProof/>
              </w:rPr>
              <w:footnoteReference w:id="63"/>
            </w:r>
            <w:r>
              <w:rPr>
                <w:noProof/>
              </w:rPr>
              <w:t xml:space="preserve"> concernant la recommandation du Conseil sur les parcours de renforcement des compétences, et à faire appliquer les recommandations du Conseil en matière d’éducation et de formation numériques;</w:t>
            </w:r>
          </w:p>
          <w:p w14:paraId="2DFC3F64" w14:textId="575430F2" w:rsidR="007B3B5D" w:rsidRPr="009E58C9" w:rsidRDefault="007B3B5D" w:rsidP="007B3B5D">
            <w:pPr>
              <w:pStyle w:val="ListBullet2Level2"/>
              <w:numPr>
                <w:ilvl w:val="0"/>
                <w:numId w:val="204"/>
              </w:numPr>
              <w:tabs>
                <w:tab w:val="clear" w:pos="284"/>
              </w:tabs>
              <w:spacing w:after="160"/>
              <w:ind w:left="337" w:hanging="337"/>
              <w:rPr>
                <w:noProof/>
              </w:rPr>
            </w:pPr>
            <w:r>
              <w:rPr>
                <w:noProof/>
              </w:rPr>
              <w:t xml:space="preserve">soutenir la mise en œuvre de </w:t>
            </w:r>
            <w:r>
              <w:rPr>
                <w:b/>
                <w:noProof/>
              </w:rPr>
              <w:t>partenariats en matière de compétences</w:t>
            </w:r>
            <w:r>
              <w:rPr>
                <w:noProof/>
              </w:rPr>
              <w:t xml:space="preserve">, dans le cadre du pacte pour les compétences, et le déploiement des </w:t>
            </w:r>
            <w:r>
              <w:rPr>
                <w:b/>
                <w:noProof/>
              </w:rPr>
              <w:t>académies des compétences</w:t>
            </w:r>
            <w:r>
              <w:rPr>
                <w:noProof/>
              </w:rPr>
              <w:t xml:space="preserve"> pour l’industrie «zéro net», y compris en mettant à disposition des financements suffisants;</w:t>
            </w:r>
          </w:p>
          <w:p w14:paraId="2EE95E21" w14:textId="5C9F7B6C" w:rsidR="008D20CF" w:rsidRPr="00630322" w:rsidRDefault="00FC07A5" w:rsidP="00033B16">
            <w:pPr>
              <w:pStyle w:val="ListBullet2Level2"/>
              <w:numPr>
                <w:ilvl w:val="0"/>
                <w:numId w:val="204"/>
              </w:numPr>
              <w:spacing w:after="120"/>
              <w:rPr>
                <w:noProof/>
              </w:rPr>
            </w:pPr>
            <w:r>
              <w:rPr>
                <w:noProof/>
              </w:rPr>
              <w:t xml:space="preserve">concevoir et mettre en œuvre des </w:t>
            </w:r>
            <w:r>
              <w:rPr>
                <w:b/>
                <w:noProof/>
              </w:rPr>
              <w:t>stratégies nationales pour les compétences</w:t>
            </w:r>
            <w:r>
              <w:rPr>
                <w:noProof/>
              </w:rPr>
              <w:t>, exhaustives, sur mesure et adaptées à la situation nationale, en faisant intervenir les parties prenantes concernées, y compris les partenaires sociaux;</w:t>
            </w:r>
          </w:p>
          <w:p w14:paraId="23C78F42" w14:textId="678DADC0" w:rsidR="0061715A" w:rsidRDefault="00FC07A5" w:rsidP="00033B16">
            <w:pPr>
              <w:pStyle w:val="ListBullet2Level2"/>
              <w:numPr>
                <w:ilvl w:val="0"/>
                <w:numId w:val="204"/>
              </w:numPr>
              <w:spacing w:after="120"/>
              <w:rPr>
                <w:noProof/>
              </w:rPr>
            </w:pPr>
            <w:r>
              <w:rPr>
                <w:b/>
                <w:noProof/>
              </w:rPr>
              <w:t>développer les analyses du marché du travail</w:t>
            </w:r>
            <w:r>
              <w:rPr>
                <w:noProof/>
              </w:rPr>
              <w:t>, la veille stratégique sur les besoins en compétences et les prévisions en la matière, et utiliser les informations ainsi obtenues pour revoir les programmes de formation, en se concentrant sur les secteurs confrontés à des pénuries de compétences;</w:t>
            </w:r>
          </w:p>
          <w:p w14:paraId="75BF6B10" w14:textId="7F82B356" w:rsidR="00D9030D" w:rsidRPr="00630322" w:rsidRDefault="00FC7852" w:rsidP="00033B16">
            <w:pPr>
              <w:pStyle w:val="ListParagraph"/>
              <w:numPr>
                <w:ilvl w:val="0"/>
                <w:numId w:val="204"/>
              </w:numPr>
              <w:spacing w:after="120"/>
              <w:contextualSpacing w:val="0"/>
              <w:rPr>
                <w:noProof/>
              </w:rPr>
            </w:pPr>
            <w:r>
              <w:rPr>
                <w:b/>
                <w:noProof/>
              </w:rPr>
              <w:t>adapter les programmes</w:t>
            </w:r>
            <w:r>
              <w:rPr>
                <w:noProof/>
              </w:rPr>
              <w:t xml:space="preserve"> de l’enseignement et de la formation initiaux afin de renforcer les compétences et les aptitudes permettant aux étudiants de mieux </w:t>
            </w:r>
            <w:r>
              <w:rPr>
                <w:b/>
                <w:noProof/>
              </w:rPr>
              <w:t>répondre aux besoins du marché du travail</w:t>
            </w:r>
            <w:r>
              <w:rPr>
                <w:noProof/>
              </w:rPr>
              <w:t>, avec le soutien de la Commission consistant à faciliter l’échange et la diffusion des bonnes pratiques, le suivi des diplômés et, en accord avec les États membres, le suivi des réformes nationales</w:t>
            </w:r>
            <w:r w:rsidR="00D9030D">
              <w:rPr>
                <w:rStyle w:val="FootnoteReference"/>
                <w:noProof/>
              </w:rPr>
              <w:footnoteReference w:id="64"/>
            </w:r>
            <w:r>
              <w:rPr>
                <w:noProof/>
              </w:rPr>
              <w:t>.</w:t>
            </w:r>
          </w:p>
          <w:p w14:paraId="369A65B1" w14:textId="6D4EB500" w:rsidR="00862051" w:rsidRPr="00630322" w:rsidRDefault="00E20438" w:rsidP="006719DD">
            <w:pPr>
              <w:pStyle w:val="ListBullet2"/>
              <w:numPr>
                <w:ilvl w:val="0"/>
                <w:numId w:val="0"/>
              </w:numPr>
              <w:spacing w:after="120"/>
              <w:rPr>
                <w:noProof/>
              </w:rPr>
            </w:pPr>
            <w:r>
              <w:rPr>
                <w:noProof/>
                <w:u w:val="single"/>
              </w:rPr>
              <w:t>La Commission se félicite de la volonté des partenaires sociaux de</w:t>
            </w:r>
            <w:r>
              <w:rPr>
                <w:noProof/>
              </w:rPr>
              <w:t>:</w:t>
            </w:r>
          </w:p>
          <w:p w14:paraId="0EA3A681" w14:textId="47914A67" w:rsidR="00C653C0" w:rsidRPr="00294779" w:rsidRDefault="00791887" w:rsidP="00DB369A">
            <w:pPr>
              <w:pStyle w:val="ListBullet2Level2"/>
              <w:numPr>
                <w:ilvl w:val="0"/>
                <w:numId w:val="204"/>
              </w:numPr>
              <w:spacing w:after="120"/>
              <w:rPr>
                <w:noProof/>
              </w:rPr>
            </w:pPr>
            <w:r>
              <w:rPr>
                <w:b/>
                <w:noProof/>
              </w:rPr>
              <w:t>concevoir et mettre en œuvre des mesures visant à promouvoir le perfectionnement et la reconversion professionnels dans le cadre du dialogue social</w:t>
            </w:r>
            <w:r w:rsidR="00D9030D">
              <w:rPr>
                <w:rStyle w:val="FootnoteReference"/>
                <w:noProof/>
              </w:rPr>
              <w:footnoteReference w:id="65"/>
            </w:r>
            <w:r>
              <w:rPr>
                <w:noProof/>
              </w:rPr>
              <w:t>, soutenir la reconnaissance des compétences et contribuer au recensement des compétences en pénurie</w:t>
            </w:r>
            <w:r w:rsidR="00D9030D">
              <w:rPr>
                <w:rStyle w:val="FootnoteReference"/>
                <w:noProof/>
              </w:rPr>
              <w:footnoteReference w:id="66"/>
            </w:r>
            <w:r>
              <w:rPr>
                <w:noProof/>
              </w:rPr>
              <w:t>, en se fondant sur les informations dont ils disposent et sur la veille stratégique sur les besoins en compétences;</w:t>
            </w:r>
          </w:p>
          <w:p w14:paraId="49EA1811" w14:textId="1B3BA36A" w:rsidR="0028005A" w:rsidRPr="00294779" w:rsidRDefault="004E3572" w:rsidP="00DB369A">
            <w:pPr>
              <w:pStyle w:val="ListBullet2Level2"/>
              <w:numPr>
                <w:ilvl w:val="0"/>
                <w:numId w:val="204"/>
              </w:numPr>
              <w:spacing w:after="120"/>
              <w:rPr>
                <w:noProof/>
              </w:rPr>
            </w:pPr>
            <w:r>
              <w:rPr>
                <w:noProof/>
              </w:rPr>
              <w:t xml:space="preserve">contribuer à la </w:t>
            </w:r>
            <w:r>
              <w:rPr>
                <w:b/>
                <w:noProof/>
              </w:rPr>
              <w:t>mise à jour des programmes et des qualifications de l’EFP</w:t>
            </w:r>
            <w:r>
              <w:rPr>
                <w:noProof/>
              </w:rPr>
              <w:t xml:space="preserve"> et à l’alignement de la formation sur les besoins de compétences du marché du travail, en se fondant sur les informations dont ils disposent et sur la veille stratégique sur les besoins en compétences</w:t>
            </w:r>
            <w:r w:rsidR="00D9030D">
              <w:rPr>
                <w:rStyle w:val="FootnoteReference"/>
                <w:noProof/>
              </w:rPr>
              <w:footnoteReference w:id="67"/>
            </w:r>
            <w:r>
              <w:rPr>
                <w:noProof/>
              </w:rPr>
              <w:t>;</w:t>
            </w:r>
          </w:p>
          <w:p w14:paraId="20B35981" w14:textId="52347CBD" w:rsidR="00880066" w:rsidRPr="00294779" w:rsidRDefault="54F8C2CF" w:rsidP="00DB369A">
            <w:pPr>
              <w:pStyle w:val="ListBullet2Level2"/>
              <w:numPr>
                <w:ilvl w:val="0"/>
                <w:numId w:val="204"/>
              </w:numPr>
              <w:spacing w:after="120"/>
              <w:rPr>
                <w:noProof/>
              </w:rPr>
            </w:pPr>
            <w:r>
              <w:rPr>
                <w:noProof/>
              </w:rPr>
              <w:t>soutenir l’</w:t>
            </w:r>
            <w:r>
              <w:rPr>
                <w:b/>
                <w:noProof/>
              </w:rPr>
              <w:t>apprentissage</w:t>
            </w:r>
            <w:r w:rsidR="00D9030D">
              <w:rPr>
                <w:rStyle w:val="FootnoteReference"/>
                <w:noProof/>
              </w:rPr>
              <w:footnoteReference w:id="68"/>
            </w:r>
            <w:r>
              <w:rPr>
                <w:noProof/>
              </w:rPr>
              <w:t xml:space="preserve"> et les partenariats entre prestataires d’EFP et employeurs</w:t>
            </w:r>
            <w:r w:rsidR="00D9030D">
              <w:rPr>
                <w:rStyle w:val="FootnoteReference"/>
                <w:noProof/>
              </w:rPr>
              <w:footnoteReference w:id="69"/>
            </w:r>
            <w:r>
              <w:rPr>
                <w:noProof/>
              </w:rPr>
              <w:t xml:space="preserve">, </w:t>
            </w:r>
            <w:r>
              <w:rPr>
                <w:b/>
                <w:noProof/>
              </w:rPr>
              <w:t>renforcer les cadres d’EFP</w:t>
            </w:r>
            <w:r>
              <w:rPr>
                <w:noProof/>
              </w:rPr>
              <w:t xml:space="preserve"> grâce à la création de centres de formation sectoriels</w:t>
            </w:r>
            <w:r w:rsidR="00D9030D">
              <w:rPr>
                <w:rStyle w:val="FootnoteReference"/>
                <w:noProof/>
              </w:rPr>
              <w:footnoteReference w:id="70"/>
            </w:r>
            <w:r>
              <w:rPr>
                <w:noProof/>
              </w:rPr>
              <w:t>, soutenir l’accompagnement par un coach, le tutorat, l’apprentissage entre pairs et l’acquisition de compétences entrepreneuriales</w:t>
            </w:r>
            <w:r w:rsidR="00D9030D">
              <w:rPr>
                <w:rStyle w:val="FootnoteReference"/>
                <w:noProof/>
              </w:rPr>
              <w:footnoteReference w:id="71"/>
            </w:r>
            <w:r>
              <w:rPr>
                <w:noProof/>
              </w:rPr>
              <w:t>, et promouvoir le développement de compétences vertes, numériques et à l’épreuve du temps</w:t>
            </w:r>
            <w:r w:rsidR="00D9030D">
              <w:rPr>
                <w:rStyle w:val="FootnoteReference"/>
                <w:noProof/>
              </w:rPr>
              <w:footnoteReference w:id="72"/>
            </w:r>
            <w:r>
              <w:rPr>
                <w:noProof/>
              </w:rPr>
              <w:t>;</w:t>
            </w:r>
          </w:p>
          <w:p w14:paraId="3FE18970" w14:textId="42C19985" w:rsidR="000D674A" w:rsidRDefault="54F8C2CF" w:rsidP="00DB369A">
            <w:pPr>
              <w:pStyle w:val="ListBullet2Level2"/>
              <w:numPr>
                <w:ilvl w:val="0"/>
                <w:numId w:val="204"/>
              </w:numPr>
              <w:spacing w:after="120"/>
              <w:rPr>
                <w:noProof/>
              </w:rPr>
            </w:pPr>
            <w:r>
              <w:rPr>
                <w:noProof/>
              </w:rPr>
              <w:t xml:space="preserve">au niveau sectoriel, collaborer davantage sur les microcertifications et </w:t>
            </w:r>
            <w:r>
              <w:rPr>
                <w:b/>
                <w:noProof/>
              </w:rPr>
              <w:t>former les travailleurs des services de soins de longue durée</w:t>
            </w:r>
            <w:r>
              <w:rPr>
                <w:noProof/>
              </w:rPr>
              <w:t xml:space="preserve"> à la prestation de soins plus centrés sur la personne et aux compétences nécessaires pour numériser les services en s’appuyant sur le projet «Care</w:t>
            </w:r>
            <w:r w:rsidRPr="002C3F74">
              <w:rPr>
                <w:noProof/>
              </w:rPr>
              <w:t>4</w:t>
            </w:r>
            <w:r>
              <w:rPr>
                <w:noProof/>
              </w:rPr>
              <w:t>Skills»</w:t>
            </w:r>
            <w:r w:rsidR="00F53B42" w:rsidRPr="00294779">
              <w:rPr>
                <w:rStyle w:val="FootnoteReference"/>
                <w:noProof/>
              </w:rPr>
              <w:footnoteReference w:id="73"/>
            </w:r>
            <w:r>
              <w:rPr>
                <w:noProof/>
              </w:rPr>
              <w:t>;</w:t>
            </w:r>
          </w:p>
          <w:p w14:paraId="4DAC81FD" w14:textId="22F15FC2" w:rsidR="00D9030D" w:rsidRDefault="00D9030D" w:rsidP="00DB369A">
            <w:pPr>
              <w:pStyle w:val="ListBullet2Level2"/>
              <w:numPr>
                <w:ilvl w:val="0"/>
                <w:numId w:val="204"/>
              </w:numPr>
              <w:spacing w:after="120"/>
              <w:rPr>
                <w:noProof/>
              </w:rPr>
            </w:pPr>
            <w:r>
              <w:rPr>
                <w:noProof/>
              </w:rPr>
              <w:t>présenter, d’ici la fin du dernier trimestre de </w:t>
            </w:r>
            <w:r w:rsidRPr="002C3F74">
              <w:rPr>
                <w:noProof/>
              </w:rPr>
              <w:t>2024</w:t>
            </w:r>
            <w:r>
              <w:rPr>
                <w:noProof/>
              </w:rPr>
              <w:t xml:space="preserve">, une </w:t>
            </w:r>
            <w:r>
              <w:rPr>
                <w:b/>
                <w:noProof/>
              </w:rPr>
              <w:t>déclaration commune</w:t>
            </w:r>
            <w:r>
              <w:rPr>
                <w:noProof/>
              </w:rPr>
              <w:t xml:space="preserve"> visant à </w:t>
            </w:r>
            <w:r>
              <w:rPr>
                <w:b/>
                <w:noProof/>
              </w:rPr>
              <w:t>lutter contre les pénuries de compétences et de main-d’œuvre</w:t>
            </w:r>
            <w:r>
              <w:rPr>
                <w:noProof/>
              </w:rPr>
              <w:t xml:space="preserve"> et à utiliser le réseau européen des services publics de l’emploi comme forum de dialogue, d’apprentissage mutuel et d’évaluation comparative des stratégies mises en œuvre pour lutter contre l’inadéquation des compétences par rapport aux besoins du marché du travail</w:t>
            </w:r>
            <w:r>
              <w:rPr>
                <w:rStyle w:val="FootnoteReference"/>
                <w:noProof/>
              </w:rPr>
              <w:footnoteReference w:id="74"/>
            </w:r>
            <w:r>
              <w:rPr>
                <w:noProof/>
              </w:rPr>
              <w:t>;</w:t>
            </w:r>
          </w:p>
          <w:p w14:paraId="4520101B" w14:textId="08F7BE93" w:rsidR="001D5CB5" w:rsidRDefault="001D5CB5" w:rsidP="001D5CB5">
            <w:pPr>
              <w:pStyle w:val="ListBullet2Level2"/>
              <w:numPr>
                <w:ilvl w:val="0"/>
                <w:numId w:val="204"/>
              </w:numPr>
              <w:spacing w:after="120"/>
              <w:rPr>
                <w:noProof/>
              </w:rPr>
            </w:pPr>
            <w:r>
              <w:rPr>
                <w:noProof/>
              </w:rPr>
              <w:t>s’appuyer sur le dialogue social et la négociation collective pour remédier au manque de compétences et de main-d’œuvre dans le secteur de l’hôtellerie et de la restauration, en négociant les conditions d’emploi, en promouvant l’enseignement et la formation, et en fournissant un cadre protecteur pour la mobilité des travailleurs migrants issus de pays tiers</w:t>
            </w:r>
            <w:r>
              <w:rPr>
                <w:rStyle w:val="FootnoteReference"/>
                <w:noProof/>
              </w:rPr>
              <w:footnoteReference w:id="75"/>
            </w:r>
            <w:r>
              <w:rPr>
                <w:noProof/>
              </w:rPr>
              <w:t>;</w:t>
            </w:r>
          </w:p>
          <w:p w14:paraId="229CDE4C" w14:textId="666449B7" w:rsidR="00D9030D" w:rsidRPr="00630322" w:rsidRDefault="0032060F" w:rsidP="00DB369A">
            <w:pPr>
              <w:pStyle w:val="ListBullet2Level2"/>
              <w:numPr>
                <w:ilvl w:val="0"/>
                <w:numId w:val="204"/>
              </w:numPr>
              <w:spacing w:after="120"/>
              <w:rPr>
                <w:noProof/>
              </w:rPr>
            </w:pPr>
            <w:r>
              <w:rPr>
                <w:b/>
                <w:noProof/>
              </w:rPr>
              <w:t>tirer davantage parti des possibilités de financement de l’UE</w:t>
            </w:r>
            <w:r>
              <w:rPr>
                <w:noProof/>
              </w:rPr>
              <w:t xml:space="preserve"> afin de soutenir les activités de perfectionnement et de reconversion professionnels</w:t>
            </w:r>
            <w:r w:rsidR="00D9030D">
              <w:rPr>
                <w:rStyle w:val="FootnoteReference"/>
                <w:noProof/>
              </w:rPr>
              <w:footnoteReference w:id="76"/>
            </w:r>
            <w:r>
              <w:rPr>
                <w:noProof/>
              </w:rPr>
              <w:t>.</w:t>
            </w:r>
          </w:p>
        </w:tc>
      </w:tr>
    </w:tbl>
    <w:p w14:paraId="0FE1155F" w14:textId="425875DB" w:rsidR="003038D7" w:rsidRPr="00630322" w:rsidRDefault="38E2EACA" w:rsidP="00C65E8B">
      <w:pPr>
        <w:pStyle w:val="Heading2"/>
        <w:spacing w:before="240"/>
        <w:ind w:left="1065" w:hanging="590"/>
        <w:rPr>
          <w:noProof/>
        </w:rPr>
      </w:pPr>
      <w:r>
        <w:rPr>
          <w:noProof/>
        </w:rPr>
        <w:t>Améliorer les conditions de travail</w:t>
      </w:r>
    </w:p>
    <w:p w14:paraId="7695664B" w14:textId="20F35D56" w:rsidR="00BA3233" w:rsidRDefault="20D81AC8" w:rsidP="006719DD">
      <w:pPr>
        <w:spacing w:after="120"/>
        <w:rPr>
          <w:noProof/>
        </w:rPr>
      </w:pPr>
      <w:r>
        <w:rPr>
          <w:b/>
          <w:noProof/>
        </w:rPr>
        <w:t xml:space="preserve">Promouvoir des conditions de travail équitables peut contribuer à remédier aux pénuries de main-d’œuvre dans certains secteurs ou professions. </w:t>
      </w:r>
      <w:r>
        <w:rPr>
          <w:noProof/>
        </w:rPr>
        <w:t>Cela vaut tout particulièrement pour certaines professions nécessitant davantage de compétences manuelles et un niveau d’éducation plus faible, ou celles qui présentent des risques plus importants pour la santé et la sécurité et qui se caractérisent par un niveau de stress au travail élevé</w:t>
      </w:r>
      <w:r w:rsidR="00221C0A" w:rsidRPr="00630322">
        <w:rPr>
          <w:rStyle w:val="FootnoteReference"/>
          <w:noProof/>
        </w:rPr>
        <w:footnoteReference w:id="77"/>
      </w:r>
      <w:r>
        <w:rPr>
          <w:noProof/>
        </w:rPr>
        <w:t xml:space="preserve"> et/ou des revenus faibles</w:t>
      </w:r>
      <w:r w:rsidR="00D77541">
        <w:rPr>
          <w:rStyle w:val="FootnoteReference"/>
          <w:noProof/>
          <w:lang w:val="en-IE"/>
        </w:rPr>
        <w:footnoteReference w:id="78"/>
      </w:r>
      <w:r>
        <w:rPr>
          <w:noProof/>
        </w:rPr>
        <w:t>.</w:t>
      </w:r>
    </w:p>
    <w:p w14:paraId="358C09CD" w14:textId="315BBB7D" w:rsidR="00C05E5F" w:rsidRDefault="00C05E5F" w:rsidP="006719DD">
      <w:pPr>
        <w:spacing w:after="120"/>
        <w:rPr>
          <w:noProof/>
          <w:szCs w:val="24"/>
        </w:rPr>
      </w:pPr>
      <w:r>
        <w:rPr>
          <w:noProof/>
        </w:rPr>
        <w:t xml:space="preserve">Des </w:t>
      </w:r>
      <w:r>
        <w:rPr>
          <w:b/>
          <w:noProof/>
        </w:rPr>
        <w:t>salaires adéquats</w:t>
      </w:r>
      <w:r>
        <w:rPr>
          <w:noProof/>
        </w:rPr>
        <w:t xml:space="preserve">, y compris des salaires minimaux, peuvent contribuer à réduire les pénuries de main-d’œuvre dans certains secteurs, en tenant également compte des coûts de la vie et de l’équilibre entre l’offre et la demande de main-d’œuvre selon la situation géographique. </w:t>
      </w:r>
      <w:r>
        <w:rPr>
          <w:b/>
          <w:noProof/>
        </w:rPr>
        <w:t>La santé et la sécurité</w:t>
      </w:r>
      <w:r>
        <w:rPr>
          <w:noProof/>
        </w:rPr>
        <w:t xml:space="preserve"> au travail, des lieux de travail adaptés, l’offre </w:t>
      </w:r>
      <w:r>
        <w:rPr>
          <w:b/>
          <w:noProof/>
        </w:rPr>
        <w:t>de formation et de possibilités d’évolution de carrière</w:t>
      </w:r>
      <w:r>
        <w:rPr>
          <w:noProof/>
        </w:rPr>
        <w:t xml:space="preserve">, l’accès à une protection sociale adéquate et l’équilibre entre vie professionnelle et vie privée, y compris le </w:t>
      </w:r>
      <w:r>
        <w:rPr>
          <w:b/>
          <w:noProof/>
        </w:rPr>
        <w:t>droit à la déconnexion</w:t>
      </w:r>
      <w:r>
        <w:rPr>
          <w:noProof/>
        </w:rPr>
        <w:t xml:space="preserve"> et l’accès à des formes souples de travail, sont autant d’éléments qui améliorent la qualité de l’emploi et, partant, participent à réduire les pénuries de main-d’œuvre. Diminuer le </w:t>
      </w:r>
      <w:r>
        <w:rPr>
          <w:b/>
          <w:noProof/>
        </w:rPr>
        <w:t>stress au travail</w:t>
      </w:r>
      <w:r>
        <w:rPr>
          <w:noProof/>
        </w:rPr>
        <w:t xml:space="preserve"> pourrait également permettre d’attirer et de retenir les travailleurs dans certains secteurs (graphique </w:t>
      </w:r>
      <w:r w:rsidRPr="002C3F74">
        <w:rPr>
          <w:noProof/>
        </w:rPr>
        <w:t>2</w:t>
      </w:r>
      <w:r>
        <w:rPr>
          <w:noProof/>
        </w:rPr>
        <w:t>).</w:t>
      </w:r>
    </w:p>
    <w:p w14:paraId="2A356566" w14:textId="33506723" w:rsidR="00BA3233" w:rsidRDefault="67ADB760" w:rsidP="0D21381C">
      <w:pPr>
        <w:spacing w:after="0" w:line="20" w:lineRule="atLeast"/>
        <w:rPr>
          <w:b/>
          <w:bCs/>
          <w:noProof/>
        </w:rPr>
      </w:pPr>
      <w:r>
        <w:rPr>
          <w:b/>
          <w:noProof/>
        </w:rPr>
        <w:t>Graphique </w:t>
      </w:r>
      <w:r w:rsidRPr="002C3F74">
        <w:rPr>
          <w:b/>
          <w:noProof/>
        </w:rPr>
        <w:t>2</w:t>
      </w:r>
      <w:r>
        <w:rPr>
          <w:b/>
          <w:noProof/>
        </w:rPr>
        <w:t xml:space="preserve"> – Le niveau de stress au travail est le plus élevé dans les secteurs des soins de santé, des soins résidentiels et des transports</w:t>
      </w:r>
    </w:p>
    <w:p w14:paraId="1D5B69F1" w14:textId="68D19E53" w:rsidR="00BA3233" w:rsidRDefault="67ADB760" w:rsidP="0D21381C">
      <w:pPr>
        <w:spacing w:after="0" w:line="20" w:lineRule="atLeast"/>
        <w:rPr>
          <w:b/>
          <w:bCs/>
          <w:noProof/>
          <w:sz w:val="22"/>
          <w:szCs w:val="22"/>
        </w:rPr>
      </w:pPr>
      <w:r>
        <w:rPr>
          <w:b/>
          <w:noProof/>
          <w:sz w:val="22"/>
        </w:rPr>
        <w:t>Indice de qualité de l’emploi (%), par sous-secteur, UE-</w:t>
      </w:r>
      <w:r w:rsidRPr="002C3F74">
        <w:rPr>
          <w:b/>
          <w:noProof/>
          <w:sz w:val="22"/>
        </w:rPr>
        <w:t>27</w:t>
      </w:r>
    </w:p>
    <w:p w14:paraId="4BA6A865" w14:textId="23668480" w:rsidR="00BA3233" w:rsidRDefault="003272AA" w:rsidP="00BA3233">
      <w:pPr>
        <w:spacing w:after="100" w:line="20" w:lineRule="atLeast"/>
        <w:rPr>
          <w:noProof/>
        </w:rPr>
      </w:pPr>
      <w:r>
        <w:rPr>
          <w:noProof/>
          <w:lang w:val="en-GB" w:eastAsia="en-GB"/>
        </w:rPr>
        <w:drawing>
          <wp:inline distT="0" distB="0" distL="0" distR="0" wp14:anchorId="2EF5D6E0" wp14:editId="154003BD">
            <wp:extent cx="5806886" cy="2572603"/>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815737" cy="2576524"/>
                    </a:xfrm>
                    <a:prstGeom prst="rect">
                      <a:avLst/>
                    </a:prstGeom>
                  </pic:spPr>
                </pic:pic>
              </a:graphicData>
            </a:graphic>
          </wp:inline>
        </w:drawing>
      </w:r>
    </w:p>
    <w:p w14:paraId="6A37C52A" w14:textId="69EA8DFA" w:rsidR="00BA3233" w:rsidRDefault="67ADB760" w:rsidP="0D21381C">
      <w:pPr>
        <w:spacing w:after="0" w:line="20" w:lineRule="atLeast"/>
        <w:rPr>
          <w:noProof/>
          <w:sz w:val="16"/>
          <w:szCs w:val="16"/>
        </w:rPr>
      </w:pPr>
      <w:r>
        <w:rPr>
          <w:noProof/>
          <w:sz w:val="16"/>
        </w:rPr>
        <w:t>Source: «Employment and Social Developments in Europe» (Évolutions de l’emploi et évolutions sociales en Europe), Commission européenne (</w:t>
      </w:r>
      <w:r w:rsidRPr="002C3F74">
        <w:rPr>
          <w:noProof/>
          <w:sz w:val="16"/>
        </w:rPr>
        <w:t>2023</w:t>
      </w:r>
      <w:r>
        <w:rPr>
          <w:noProof/>
          <w:sz w:val="16"/>
        </w:rPr>
        <w:t xml:space="preserve">), sur la base de l’enquête d’Eurofound de </w:t>
      </w:r>
      <w:r w:rsidRPr="002C3F74">
        <w:rPr>
          <w:noProof/>
          <w:sz w:val="16"/>
        </w:rPr>
        <w:t>2021</w:t>
      </w:r>
      <w:r>
        <w:rPr>
          <w:noProof/>
          <w:sz w:val="16"/>
        </w:rPr>
        <w:t xml:space="preserve"> sur les conditions d’emploi en Europe.</w:t>
      </w:r>
    </w:p>
    <w:p w14:paraId="24F23893" w14:textId="69D6D0C0" w:rsidR="00BA3233" w:rsidRDefault="00BA3233" w:rsidP="0D21381C">
      <w:pPr>
        <w:spacing w:after="100" w:line="20" w:lineRule="atLeast"/>
        <w:rPr>
          <w:noProof/>
        </w:rPr>
      </w:pPr>
    </w:p>
    <w:p w14:paraId="3A8BC208" w14:textId="2E917AB7" w:rsidR="005E66C1" w:rsidRDefault="005E66C1" w:rsidP="006719DD">
      <w:pPr>
        <w:spacing w:after="120"/>
        <w:rPr>
          <w:noProof/>
        </w:rPr>
      </w:pPr>
      <w:r>
        <w:rPr>
          <w:b/>
          <w:noProof/>
        </w:rPr>
        <w:t>L’incidence des conditions de travail sur les pénuries de main-d’œuvre varie selon les secteurs et les régions, ce qui suppose une approche adaptée aux problèmes rencontrés.</w:t>
      </w:r>
      <w:r>
        <w:rPr>
          <w:noProof/>
        </w:rPr>
        <w:t xml:space="preserve"> D’après Eurofound, plus de </w:t>
      </w:r>
      <w:r w:rsidRPr="002C3F74">
        <w:rPr>
          <w:noProof/>
        </w:rPr>
        <w:t>40</w:t>
      </w:r>
      <w:r>
        <w:rPr>
          <w:noProof/>
        </w:rPr>
        <w:t xml:space="preserve"> % des techniciens de surface, des cuisiniers et des soignants, et plus de </w:t>
      </w:r>
      <w:r w:rsidRPr="002C3F74">
        <w:rPr>
          <w:noProof/>
        </w:rPr>
        <w:t>30</w:t>
      </w:r>
      <w:r>
        <w:rPr>
          <w:noProof/>
        </w:rPr>
        <w:t> % des travailleurs du bâtiment et des chauffeurs déclarent rencontrer de grandes difficultés pour joindre les deux bouts</w:t>
      </w:r>
      <w:r w:rsidRPr="003D5459">
        <w:rPr>
          <w:rStyle w:val="FootnoteReference"/>
          <w:noProof/>
        </w:rPr>
        <w:footnoteReference w:id="79"/>
      </w:r>
      <w:r>
        <w:rPr>
          <w:noProof/>
        </w:rPr>
        <w:t>. Près de la moitié des travailleurs dans les secteurs des soins de santé, des soins résidentiels et des transports rapportent de hauts niveaux de stress au travail</w:t>
      </w:r>
      <w:r w:rsidRPr="0D21381C">
        <w:rPr>
          <w:rStyle w:val="FootnoteReference"/>
          <w:noProof/>
        </w:rPr>
        <w:footnoteReference w:id="80"/>
      </w:r>
      <w:r>
        <w:rPr>
          <w:noProof/>
        </w:rPr>
        <w:t>. Les pénuries dans les secteurs des soins de santé et des soins résidentiels, notamment parmi les infirmiers et les professionnels des soins de santé primaires, sont principalement dues à un stress au travail important ainsi qu’à des conditions de santé et de sécurité inadéquates, notamment au risque de violence au travail</w:t>
      </w:r>
      <w:r w:rsidRPr="71B8D984">
        <w:rPr>
          <w:noProof/>
          <w:vertAlign w:val="superscript"/>
        </w:rPr>
        <w:footnoteReference w:id="81"/>
      </w:r>
      <w:r>
        <w:rPr>
          <w:noProof/>
        </w:rPr>
        <w:t>. La crise de la COVID-</w:t>
      </w:r>
      <w:r w:rsidRPr="002C3F74">
        <w:rPr>
          <w:noProof/>
        </w:rPr>
        <w:t>19</w:t>
      </w:r>
      <w:r>
        <w:rPr>
          <w:noProof/>
        </w:rPr>
        <w:t xml:space="preserve"> a encore amplifié ces problèmes</w:t>
      </w:r>
      <w:r w:rsidRPr="71B8D984">
        <w:rPr>
          <w:noProof/>
          <w:vertAlign w:val="superscript"/>
        </w:rPr>
        <w:footnoteReference w:id="82"/>
      </w:r>
      <w:r>
        <w:rPr>
          <w:noProof/>
        </w:rPr>
        <w:t>. Dans les zones rurales, le faible attrait des conditions de vie et l’accès limité aux services peuvent aggraver ces pénuries</w:t>
      </w:r>
      <w:r w:rsidR="00CD3EC6" w:rsidRPr="71B8D984">
        <w:rPr>
          <w:noProof/>
          <w:vertAlign w:val="superscript"/>
          <w:lang w:val="en-IE"/>
        </w:rPr>
        <w:footnoteReference w:id="83"/>
      </w:r>
      <w:r>
        <w:rPr>
          <w:noProof/>
        </w:rPr>
        <w:t>. Les travailleurs agricoles font également état d’un haut niveau de stress au travail, de risques pour leur santé et leur sécurité et de préoccupations financières</w:t>
      </w:r>
      <w:r w:rsidRPr="0D21381C">
        <w:rPr>
          <w:rStyle w:val="FootnoteReference"/>
          <w:noProof/>
        </w:rPr>
        <w:footnoteReference w:id="84"/>
      </w:r>
      <w:r>
        <w:rPr>
          <w:noProof/>
        </w:rPr>
        <w:t>. Dans ce secteur, certaines pénuries de main-d’œuvre sont également causées par le travail précaire et le faible respect des normes en matière de santé et de sécurité au travail</w:t>
      </w:r>
      <w:r w:rsidRPr="71B8D984">
        <w:rPr>
          <w:noProof/>
          <w:vertAlign w:val="superscript"/>
        </w:rPr>
        <w:footnoteReference w:id="85"/>
      </w:r>
      <w:r>
        <w:rPr>
          <w:noProof/>
        </w:rPr>
        <w:t>. Le secteur des transports fait face à un manque de chauffeurs, notamment en raison de la longue durée du travail</w:t>
      </w:r>
      <w:r w:rsidRPr="0D21381C">
        <w:rPr>
          <w:rStyle w:val="FootnoteReference"/>
          <w:noProof/>
          <w:lang w:val="en-IE"/>
        </w:rPr>
        <w:footnoteReference w:id="86"/>
      </w:r>
      <w:r>
        <w:rPr>
          <w:noProof/>
        </w:rPr>
        <w:t xml:space="preserve"> et de la mauvaise application des normes en matière de travail et de sécurité</w:t>
      </w:r>
      <w:r w:rsidRPr="0D21381C">
        <w:rPr>
          <w:rStyle w:val="FootnoteReference"/>
          <w:noProof/>
          <w:lang w:val="en-IE"/>
        </w:rPr>
        <w:footnoteReference w:id="87"/>
      </w:r>
      <w:r>
        <w:rPr>
          <w:noProof/>
        </w:rPr>
        <w:t>.</w:t>
      </w:r>
    </w:p>
    <w:p w14:paraId="04FF391A" w14:textId="4EED8465" w:rsidR="005D3F59" w:rsidRPr="00630322" w:rsidRDefault="005D3F59" w:rsidP="006719DD">
      <w:pPr>
        <w:spacing w:after="120"/>
        <w:rPr>
          <w:noProof/>
        </w:rPr>
      </w:pPr>
      <w:r>
        <w:rPr>
          <w:b/>
          <w:noProof/>
        </w:rPr>
        <w:t>La négociation collective est essentielle pour garantir des conditions de travail équitables.</w:t>
      </w:r>
      <w:r>
        <w:rPr>
          <w:noProof/>
        </w:rPr>
        <w:t xml:space="preserve"> Un dialogue social et une négociation collective efficaces constituent les outils </w:t>
      </w:r>
      <w:r w:rsidR="0031332A">
        <w:rPr>
          <w:noProof/>
          <w:color w:val="2B579A"/>
          <w:shd w:val="clear" w:color="auto" w:fill="E6E6E6"/>
          <w:lang w:val="en-GB" w:eastAsia="en-GB"/>
        </w:rPr>
        <mc:AlternateContent>
          <mc:Choice Requires="wps">
            <w:drawing>
              <wp:anchor distT="45720" distB="45720" distL="114300" distR="114300" simplePos="0" relativeHeight="251658243" behindDoc="0" locked="0" layoutInCell="1" allowOverlap="1" wp14:anchorId="3F47FF35" wp14:editId="3044474C">
                <wp:simplePos x="0" y="0"/>
                <wp:positionH relativeFrom="margin">
                  <wp:align>left</wp:align>
                </wp:positionH>
                <wp:positionV relativeFrom="paragraph">
                  <wp:posOffset>0</wp:posOffset>
                </wp:positionV>
                <wp:extent cx="3208020" cy="4524375"/>
                <wp:effectExtent l="0" t="0" r="11430" b="28575"/>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8020" cy="4524973"/>
                        </a:xfrm>
                        <a:prstGeom prst="rect">
                          <a:avLst/>
                        </a:prstGeom>
                        <a:solidFill>
                          <a:srgbClr val="FFFFFF"/>
                        </a:solidFill>
                        <a:ln w="9525">
                          <a:solidFill>
                            <a:srgbClr val="000000"/>
                          </a:solidFill>
                          <a:miter lim="800000"/>
                          <a:headEnd/>
                          <a:tailEnd/>
                        </a:ln>
                      </wps:spPr>
                      <wps:txbx>
                        <w:txbxContent>
                          <w:p w14:paraId="6CC2FF69" w14:textId="77777777" w:rsidR="00223AED" w:rsidRDefault="00223AED" w:rsidP="006719DD">
                            <w:pPr>
                              <w:spacing w:after="120"/>
                            </w:pPr>
                            <w:r>
                              <w:t>Le plan de l’</w:t>
                            </w:r>
                            <w:r>
                              <w:rPr>
                                <w:b/>
                              </w:rPr>
                              <w:t>Espagne</w:t>
                            </w:r>
                            <w:r>
                              <w:t xml:space="preserve"> pour la reprise et la résilience contient une réforme visant à améliorer les conditions de travail dans le secteur des soins de santé. Pour remédier aux pénuries d’infirmiers et de médecins, cette réforme réduira le recours à des contrats temporaires, encouragera le déploiement de professionnels dans les régions reculées et améliorera l’environnement et les conditions de travail dans ce secteur. </w:t>
                            </w:r>
                          </w:p>
                          <w:p w14:paraId="0FCD5B61" w14:textId="77777777" w:rsidR="00223AED" w:rsidRDefault="00223AED" w:rsidP="006719DD">
                            <w:pPr>
                              <w:spacing w:after="120"/>
                            </w:pPr>
                            <w:r>
                              <w:t xml:space="preserve">En </w:t>
                            </w:r>
                            <w:r>
                              <w:rPr>
                                <w:b/>
                              </w:rPr>
                              <w:t>Slovénie</w:t>
                            </w:r>
                            <w:r>
                              <w:t xml:space="preserve">, une convention collective renégociée dans le secteur du papier a permis de fixer un salaire de base plus élevé, rendant l’emploi dans le secteur plus attrayant. </w:t>
                            </w:r>
                          </w:p>
                          <w:p w14:paraId="54375202" w14:textId="77777777" w:rsidR="00223AED" w:rsidRPr="00BE468A" w:rsidRDefault="00223AED" w:rsidP="006719DD">
                            <w:pPr>
                              <w:spacing w:after="120"/>
                            </w:pPr>
                            <w:r>
                              <w:t xml:space="preserve">Pour stimuler l’offre de formation dans des secteurs touchés par des pénuries de main-d’œuvre, le plan </w:t>
                            </w:r>
                            <w:r>
                              <w:rPr>
                                <w:b/>
                              </w:rPr>
                              <w:t>slovaque</w:t>
                            </w:r>
                            <w:r>
                              <w:t xml:space="preserve"> pour la reprise et la résilience contient une mesure visant à ce qu’au moins 60 % des enseignants de l’enseignement primaire et du premier cycle de l’enseignement secondaire puissent suivre une formation. Dans le même temps, aux </w:t>
                            </w:r>
                            <w:r>
                              <w:rPr>
                                <w:b/>
                              </w:rPr>
                              <w:t>Pays-Bas</w:t>
                            </w:r>
                            <w:r>
                              <w:t>, la négociation collective dans le secteur automobile a contribué à retenir les travailleurs en leur offrant la possibilité d’acquérir de nouvelles compétences.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7FF35" id="Text Box 5" o:spid="_x0000_s1028" type="#_x0000_t202" style="position:absolute;left:0;text-align:left;margin-left:0;margin-top:0;width:252.6pt;height:356.25pt;z-index:251658243;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">
                <v:textbox>
                  <w:txbxContent>
                    <w:p w14:paraId="6CC2FF69" w14:textId="77777777" w:rsidR="00223AED" w:rsidRDefault="00223AED" w:rsidP="006719DD">
                      <w:pPr>
                        <w:spacing w:after="120"/>
                      </w:pPr>
                      <w:r>
                        <w:t>Le plan de l’</w:t>
                      </w:r>
                      <w:r>
                        <w:rPr>
                          <w:b/>
                        </w:rPr>
                        <w:t>Espagne</w:t>
                      </w:r>
                      <w:r>
                        <w:t xml:space="preserve"> pour la reprise et la résilience contient une réforme visant à améliorer les conditions de travail dans le secteur des soins de santé. Pour remédier aux pénuries d’infirmiers et de médecins, cette réforme réduira le recours à des contrats temporaires, encouragera le déploiement de professionnels dans les régions reculées et améliorera l’environnement et les conditions de travail dans ce secteur. </w:t>
                      </w:r>
                    </w:p>
                    <w:p w14:paraId="0FCD5B61" w14:textId="77777777" w:rsidR="00223AED" w:rsidRDefault="00223AED" w:rsidP="006719DD">
                      <w:pPr>
                        <w:spacing w:after="120"/>
                      </w:pPr>
                      <w:r>
                        <w:t xml:space="preserve">En </w:t>
                      </w:r>
                      <w:r>
                        <w:rPr>
                          <w:b/>
                        </w:rPr>
                        <w:t>Slovénie</w:t>
                      </w:r>
                      <w:r>
                        <w:t xml:space="preserve">, une convention collective renégociée dans le secteur du papier a permis de fixer un salaire de base plus élevé, rendant l’emploi dans le secteur plus attrayant. </w:t>
                      </w:r>
                    </w:p>
                    <w:p w14:paraId="54375202" w14:textId="77777777" w:rsidR="00223AED" w:rsidRPr="00BE468A" w:rsidRDefault="00223AED" w:rsidP="006719DD">
                      <w:pPr>
                        <w:spacing w:after="120"/>
                      </w:pPr>
                      <w:r>
                        <w:t xml:space="preserve">Pour stimuler l’offre de formation dans des secteurs touchés par des pénuries de main-d’œuvre, le plan </w:t>
                      </w:r>
                      <w:r>
                        <w:rPr>
                          <w:b/>
                        </w:rPr>
                        <w:t>slovaque</w:t>
                      </w:r>
                      <w:r>
                        <w:t xml:space="preserve"> pour la reprise et la résilience contient une mesure visant à ce qu’au moins 60 % des enseignants de l’enseignement primaire et du premier cycle de l’enseignement secondaire puissent suivre une formation. Dans le même temps, aux </w:t>
                      </w:r>
                      <w:r>
                        <w:rPr>
                          <w:b/>
                        </w:rPr>
                        <w:t>Pays-Bas</w:t>
                      </w:r>
                      <w:r>
                        <w:t>, la négociation collective dans le secteur automobile a contribué à retenir les travailleurs en leur offrant la possibilité d’acquérir de nouvelles compétences.</w:t>
                      </w:r>
                    </w:p>
                  </w:txbxContent>
                </v:textbox>
                <w10:wrap type="square" anchorx="margin"/>
              </v:shape>
            </w:pict>
          </mc:Fallback>
        </mc:AlternateContent>
      </w:r>
      <w:r>
        <w:rPr>
          <w:noProof/>
        </w:rPr>
        <w:t>les plus efficaces pour améliorer les conditions de travail et, ainsi, remédier aux pénuries de main-d’œuvre. Dans cette optique, il convient de consulter les partenaires sociaux au sujet de la législation, nouvelle ou renforcée, sur les conditions de travail afin d’en optimiser les effets.</w:t>
      </w:r>
    </w:p>
    <w:p w14:paraId="7504B9DB" w14:textId="466FED40" w:rsidR="00FD4EC1" w:rsidRPr="00CC26F0" w:rsidRDefault="604E39C9" w:rsidP="006719DD">
      <w:pPr>
        <w:spacing w:after="120"/>
        <w:rPr>
          <w:noProof/>
        </w:rPr>
      </w:pPr>
      <w:r>
        <w:rPr>
          <w:b/>
          <w:noProof/>
        </w:rPr>
        <w:t>Ces dernières années, l’UE a introduit plusieurs initiatives</w:t>
      </w:r>
      <w:r>
        <w:rPr>
          <w:noProof/>
        </w:rPr>
        <w:t xml:space="preserve"> pour promouvoir des conditions de travail équitables et des salaires adéquats. Celles-ci comprennent la directive relative à des salaires minimaux adéquats dans l’UE</w:t>
      </w:r>
      <w:r w:rsidR="00612B77" w:rsidRPr="00630322">
        <w:rPr>
          <w:noProof/>
          <w:vertAlign w:val="superscript"/>
        </w:rPr>
        <w:footnoteReference w:id="88"/>
      </w:r>
      <w:r>
        <w:rPr>
          <w:noProof/>
        </w:rPr>
        <w:t>, la directive relative à des conditions de travail transparentes et prévisibles</w:t>
      </w:r>
      <w:r w:rsidR="00620EE4">
        <w:rPr>
          <w:rStyle w:val="FootnoteReference"/>
          <w:noProof/>
        </w:rPr>
        <w:footnoteReference w:id="89"/>
      </w:r>
      <w:r>
        <w:rPr>
          <w:noProof/>
        </w:rPr>
        <w:t>, le cadre stratégique pour la santé et la sécurité au travail pour la période </w:t>
      </w:r>
      <w:r w:rsidRPr="002C3F74">
        <w:rPr>
          <w:noProof/>
        </w:rPr>
        <w:t>2021</w:t>
      </w:r>
      <w:r>
        <w:rPr>
          <w:noProof/>
        </w:rPr>
        <w:t>-</w:t>
      </w:r>
      <w:r w:rsidRPr="002C3F74">
        <w:rPr>
          <w:noProof/>
        </w:rPr>
        <w:t>2027</w:t>
      </w:r>
      <w:r w:rsidR="00942645" w:rsidRPr="00DA6B31">
        <w:rPr>
          <w:rStyle w:val="FootnoteReference"/>
          <w:noProof/>
        </w:rPr>
        <w:footnoteReference w:id="90"/>
      </w:r>
      <w:r>
        <w:rPr>
          <w:noProof/>
        </w:rPr>
        <w:t>, ainsi que la proposition de directive relative à l’amélioration des conditions de travail dans le cadre du travail via une plateforme (voir annexe).</w:t>
      </w:r>
    </w:p>
    <w:tbl>
      <w:tblPr>
        <w:tblStyle w:val="TableGrid"/>
        <w:tblW w:w="0" w:type="auto"/>
        <w:tblLook w:val="04A0" w:firstRow="1" w:lastRow="0" w:firstColumn="1" w:lastColumn="0" w:noHBand="0" w:noVBand="1"/>
      </w:tblPr>
      <w:tblGrid>
        <w:gridCol w:w="8602"/>
      </w:tblGrid>
      <w:tr w:rsidR="00CC26F0" w:rsidRPr="00CC26F0" w14:paraId="77814BB2" w14:textId="77777777" w:rsidTr="0D21381C">
        <w:tc>
          <w:tcPr>
            <w:tcW w:w="8602" w:type="dxa"/>
          </w:tcPr>
          <w:p w14:paraId="1F438EF2" w14:textId="6A8A843D" w:rsidR="008731DF" w:rsidRPr="00CC26F0" w:rsidRDefault="009E61E0">
            <w:pPr>
              <w:pStyle w:val="ListBullet1"/>
              <w:numPr>
                <w:ilvl w:val="0"/>
                <w:numId w:val="0"/>
              </w:numPr>
              <w:spacing w:after="120"/>
              <w:rPr>
                <w:b/>
                <w:i/>
                <w:noProof/>
              </w:rPr>
            </w:pPr>
            <w:r>
              <w:rPr>
                <w:b/>
                <w:i/>
                <w:noProof/>
              </w:rPr>
              <w:t>Pour améliorer encore les conditions de travail, il convient d’adopter de nouvelles mesures visant à consolider et à faire pleinement respecter le droit du travail de l’Union, ainsi qu’à renforcer la négociation collective.</w:t>
            </w:r>
          </w:p>
          <w:p w14:paraId="00A4BB7F" w14:textId="67874F2A" w:rsidR="009E1281" w:rsidRPr="00CC26F0" w:rsidRDefault="000D357A" w:rsidP="006719DD">
            <w:pPr>
              <w:pStyle w:val="ListBullet1"/>
              <w:numPr>
                <w:ilvl w:val="0"/>
                <w:numId w:val="0"/>
              </w:numPr>
              <w:spacing w:after="120"/>
              <w:ind w:left="284" w:hanging="284"/>
              <w:rPr>
                <w:noProof/>
              </w:rPr>
            </w:pPr>
            <w:r>
              <w:rPr>
                <w:noProof/>
                <w:u w:val="single"/>
              </w:rPr>
              <w:t>À cette fin, la Commission</w:t>
            </w:r>
            <w:r>
              <w:rPr>
                <w:noProof/>
              </w:rPr>
              <w:t>:</w:t>
            </w:r>
          </w:p>
          <w:p w14:paraId="75C0D014" w14:textId="6E1C99E1" w:rsidR="003F5006" w:rsidRPr="004F15F4" w:rsidRDefault="003F5006" w:rsidP="006719DD">
            <w:pPr>
              <w:pStyle w:val="ListBullet2Level2"/>
              <w:numPr>
                <w:ilvl w:val="0"/>
                <w:numId w:val="55"/>
              </w:numPr>
              <w:tabs>
                <w:tab w:val="clear" w:pos="284"/>
              </w:tabs>
              <w:spacing w:after="120"/>
              <w:ind w:left="335" w:hanging="335"/>
              <w:rPr>
                <w:noProof/>
              </w:rPr>
            </w:pPr>
            <w:r>
              <w:rPr>
                <w:noProof/>
              </w:rPr>
              <w:t xml:space="preserve">adoptera une proposition de </w:t>
            </w:r>
            <w:r>
              <w:rPr>
                <w:b/>
                <w:noProof/>
              </w:rPr>
              <w:t>cadre de qualité renforcé pour les stages</w:t>
            </w:r>
            <w:r>
              <w:rPr>
                <w:noProof/>
              </w:rPr>
              <w:t xml:space="preserve"> afin d’améliorer les parcours permettant aux jeunes d’acquérir une expérience professionnelle, d’affiner leurs compétences et d’accéder au marché du travail;</w:t>
            </w:r>
          </w:p>
          <w:p w14:paraId="2F3BCC70" w14:textId="5F0016A3" w:rsidR="00876410" w:rsidRPr="00294779" w:rsidRDefault="00876410" w:rsidP="006719DD">
            <w:pPr>
              <w:pStyle w:val="ListBullet2Level2"/>
              <w:numPr>
                <w:ilvl w:val="0"/>
                <w:numId w:val="55"/>
              </w:numPr>
              <w:spacing w:after="120"/>
              <w:rPr>
                <w:noProof/>
              </w:rPr>
            </w:pPr>
            <w:r>
              <w:rPr>
                <w:noProof/>
              </w:rPr>
              <w:t>lancera, dans la continuité du rapport d’initiative législative du Parlement européen sur le droit à la déconnexion et au télétravail</w:t>
            </w:r>
            <w:r w:rsidR="002A7AB4">
              <w:rPr>
                <w:rStyle w:val="FootnoteReference"/>
                <w:noProof/>
              </w:rPr>
              <w:footnoteReference w:id="91"/>
            </w:r>
            <w:r>
              <w:rPr>
                <w:noProof/>
              </w:rPr>
              <w:t xml:space="preserve">, une première phase de consultation des partenaires sociaux dans le but de proposer une </w:t>
            </w:r>
            <w:r>
              <w:rPr>
                <w:b/>
                <w:noProof/>
              </w:rPr>
              <w:t>initiative sur le télétravail et le droit à la déconnexion</w:t>
            </w:r>
            <w:r>
              <w:rPr>
                <w:noProof/>
              </w:rPr>
              <w:t xml:space="preserve"> afin de garantir l’équilibre entre vie professionnelle et vie privée des travailleurs dans le contexte de la numérisation croissante du monde du travail, ainsi que de protéger leur santé physique et mentale et, ce faisant, la qualité générale de leur emploi;</w:t>
            </w:r>
          </w:p>
          <w:p w14:paraId="4962D1E6" w14:textId="21715C6F" w:rsidR="00F823ED" w:rsidRPr="00294779" w:rsidRDefault="00533295" w:rsidP="00981CA0">
            <w:pPr>
              <w:pStyle w:val="ListBullet2Level2"/>
              <w:numPr>
                <w:ilvl w:val="0"/>
                <w:numId w:val="55"/>
              </w:numPr>
              <w:spacing w:after="120"/>
              <w:rPr>
                <w:noProof/>
              </w:rPr>
            </w:pPr>
            <w:r>
              <w:rPr>
                <w:noProof/>
              </w:rPr>
              <w:t>adoptera, au troisième trimestre de </w:t>
            </w:r>
            <w:r w:rsidRPr="002C3F74">
              <w:rPr>
                <w:noProof/>
              </w:rPr>
              <w:t>2024</w:t>
            </w:r>
            <w:r>
              <w:rPr>
                <w:noProof/>
              </w:rPr>
              <w:t xml:space="preserve">, une proposition de </w:t>
            </w:r>
            <w:r>
              <w:rPr>
                <w:b/>
                <w:noProof/>
              </w:rPr>
              <w:t>sixième modification de la directive sur les agents cancérigènes, mutagènes et les substances reprotoxiques</w:t>
            </w:r>
            <w:r w:rsidRPr="00294779">
              <w:rPr>
                <w:rStyle w:val="FootnoteReference"/>
                <w:noProof/>
              </w:rPr>
              <w:footnoteReference w:id="92"/>
            </w:r>
            <w:r>
              <w:rPr>
                <w:noProof/>
              </w:rPr>
              <w:t xml:space="preserve"> en vue d’améliorer la santé et la sécurité des travailleurs en ciblant cinq substances ou groupes de substances pertinentes;</w:t>
            </w:r>
          </w:p>
          <w:p w14:paraId="57657EF6" w14:textId="07BBD9F0" w:rsidR="00F5436A" w:rsidRDefault="00A474CB" w:rsidP="006719DD">
            <w:pPr>
              <w:pStyle w:val="ListBullet2Level2"/>
              <w:numPr>
                <w:ilvl w:val="0"/>
                <w:numId w:val="55"/>
              </w:numPr>
              <w:tabs>
                <w:tab w:val="clear" w:pos="284"/>
              </w:tabs>
              <w:spacing w:after="120"/>
              <w:ind w:left="337" w:hanging="337"/>
              <w:rPr>
                <w:noProof/>
              </w:rPr>
            </w:pPr>
            <w:r>
              <w:rPr>
                <w:b/>
                <w:noProof/>
              </w:rPr>
              <w:t>analysera l’incidence des technologies de numérisation et d’automatisation, y compris l’intelligence artificielle</w:t>
            </w:r>
            <w:r>
              <w:rPr>
                <w:noProof/>
              </w:rPr>
              <w:t>, sur les marchés du travail, et évaluera l’éventuelle nécessité de réglementer à l’avenir l’utilisation des algorithmes dans le monde du travail</w:t>
            </w:r>
            <w:r w:rsidR="00F5436A" w:rsidRPr="00294779">
              <w:rPr>
                <w:rStyle w:val="FootnoteReference"/>
                <w:noProof/>
                <w:lang w:eastAsia="en-US"/>
              </w:rPr>
              <w:footnoteReference w:id="93"/>
            </w:r>
            <w:r>
              <w:rPr>
                <w:noProof/>
              </w:rPr>
              <w:t>;</w:t>
            </w:r>
          </w:p>
          <w:p w14:paraId="3385A38D" w14:textId="14CF932E" w:rsidR="001C64D4" w:rsidRPr="004F15F4" w:rsidRDefault="45892164" w:rsidP="00A51FA7">
            <w:pPr>
              <w:pStyle w:val="ListBullet2Level2"/>
              <w:numPr>
                <w:ilvl w:val="0"/>
                <w:numId w:val="55"/>
              </w:numPr>
              <w:spacing w:after="120"/>
              <w:ind w:left="337" w:hanging="337"/>
              <w:rPr>
                <w:noProof/>
              </w:rPr>
            </w:pPr>
            <w:r>
              <w:rPr>
                <w:noProof/>
              </w:rPr>
              <w:t xml:space="preserve">réalisera une enquête sur la </w:t>
            </w:r>
            <w:r>
              <w:rPr>
                <w:b/>
                <w:noProof/>
              </w:rPr>
              <w:t>santé mentale du personnel de santé</w:t>
            </w:r>
            <w:r>
              <w:rPr>
                <w:noProof/>
              </w:rPr>
              <w:t xml:space="preserve"> et présentera certaines orientations pour la protéger</w:t>
            </w:r>
            <w:r w:rsidR="00F5436A" w:rsidRPr="00630322">
              <w:rPr>
                <w:rStyle w:val="FootnoteReference"/>
                <w:noProof/>
              </w:rPr>
              <w:footnoteReference w:id="94"/>
            </w:r>
            <w:r>
              <w:rPr>
                <w:noProof/>
              </w:rPr>
              <w:t xml:space="preserve"> dans le cadre du programme «L’UE pour la santé»;</w:t>
            </w:r>
          </w:p>
          <w:p w14:paraId="29113EFE" w14:textId="14F3D369" w:rsidR="002B76D2" w:rsidRPr="00D578A3" w:rsidRDefault="002B76D2" w:rsidP="006719DD">
            <w:pPr>
              <w:pStyle w:val="ListBullet2Level2"/>
              <w:numPr>
                <w:ilvl w:val="0"/>
                <w:numId w:val="55"/>
              </w:numPr>
              <w:spacing w:after="120"/>
              <w:rPr>
                <w:noProof/>
                <w:szCs w:val="24"/>
              </w:rPr>
            </w:pPr>
            <w:r>
              <w:rPr>
                <w:noProof/>
              </w:rPr>
              <w:t xml:space="preserve">effectuera avec les États membres un examen par les pairs sur les approches législatives et répressives nationales pour atténuer les </w:t>
            </w:r>
            <w:r>
              <w:rPr>
                <w:b/>
                <w:noProof/>
              </w:rPr>
              <w:t>risques psychosociaux</w:t>
            </w:r>
            <w:r>
              <w:rPr>
                <w:noProof/>
              </w:rPr>
              <w:t xml:space="preserve"> au travail dans les États membres, dans le but de préparer une éventuelle initiative à l’échelle de l’UE à moyen terme, selon les résultats de l’examen et les informations fournies par les partenaires sociaux;</w:t>
            </w:r>
          </w:p>
          <w:p w14:paraId="04391875" w14:textId="219D8936" w:rsidR="00F01840" w:rsidRPr="00D578A3" w:rsidRDefault="00F01840" w:rsidP="006719DD">
            <w:pPr>
              <w:pStyle w:val="ListBullet2Level2"/>
              <w:numPr>
                <w:ilvl w:val="0"/>
                <w:numId w:val="55"/>
              </w:numPr>
              <w:spacing w:after="120"/>
              <w:rPr>
                <w:noProof/>
              </w:rPr>
            </w:pPr>
            <w:r>
              <w:rPr>
                <w:noProof/>
              </w:rPr>
              <w:t xml:space="preserve">au niveau sectoriel, assurera un suivi du rapport d’initiative législative du Parlement européen sur la </w:t>
            </w:r>
            <w:r>
              <w:rPr>
                <w:b/>
                <w:noProof/>
              </w:rPr>
              <w:t>situation sociale et professionnelle des artistes et des travailleurs des industries culturelles et créatives</w:t>
            </w:r>
            <w:r>
              <w:rPr>
                <w:noProof/>
              </w:rPr>
              <w:t>. Dans ce cadre, la Commission entend lancer plusieurs initiatives telles que le renforcement de la mise en œuvre et de l’application des règles existantes et le recensement de toute lacune réglementaire qu’il conviendrait de combler grâce à d’autres initiatives et propositions;</w:t>
            </w:r>
          </w:p>
          <w:p w14:paraId="18BB11C1" w14:textId="690228C0" w:rsidR="000E4A22" w:rsidRPr="00294779" w:rsidRDefault="45892164" w:rsidP="006719DD">
            <w:pPr>
              <w:pStyle w:val="ListBullet2Level2"/>
              <w:numPr>
                <w:ilvl w:val="0"/>
                <w:numId w:val="55"/>
              </w:numPr>
              <w:tabs>
                <w:tab w:val="clear" w:pos="284"/>
              </w:tabs>
              <w:spacing w:after="120"/>
              <w:ind w:left="337" w:hanging="337"/>
              <w:rPr>
                <w:noProof/>
              </w:rPr>
            </w:pPr>
            <w:r>
              <w:rPr>
                <w:noProof/>
              </w:rPr>
              <w:t xml:space="preserve">proposera une </w:t>
            </w:r>
            <w:r>
              <w:rPr>
                <w:b/>
                <w:noProof/>
              </w:rPr>
              <w:t>recommandation du Conseil sur des carrières attractives et durables dans l’enseignement supérieur</w:t>
            </w:r>
            <w:r>
              <w:rPr>
                <w:noProof/>
              </w:rPr>
              <w:t xml:space="preserve"> afin de favoriser des conditions de travail plus attrayantes dans le secteur de l’enseignement supérieur et d’améliorer la gouvernance en la matière;</w:t>
            </w:r>
          </w:p>
          <w:p w14:paraId="380FB609" w14:textId="3764747D" w:rsidR="00C31C5B" w:rsidRDefault="2A610172" w:rsidP="006719DD">
            <w:pPr>
              <w:pStyle w:val="ListBullet2Level2"/>
              <w:numPr>
                <w:ilvl w:val="0"/>
                <w:numId w:val="55"/>
              </w:numPr>
              <w:tabs>
                <w:tab w:val="clear" w:pos="284"/>
              </w:tabs>
              <w:spacing w:after="120"/>
              <w:ind w:left="337" w:hanging="337"/>
              <w:rPr>
                <w:noProof/>
              </w:rPr>
            </w:pPr>
            <w:r>
              <w:rPr>
                <w:noProof/>
              </w:rPr>
              <w:t xml:space="preserve">organisera une </w:t>
            </w:r>
            <w:r>
              <w:rPr>
                <w:b/>
                <w:noProof/>
              </w:rPr>
              <w:t xml:space="preserve">conférence participative sur le marché du travail, le </w:t>
            </w:r>
            <w:r w:rsidRPr="002C3F74">
              <w:rPr>
                <w:b/>
                <w:noProof/>
              </w:rPr>
              <w:t>23</w:t>
            </w:r>
            <w:r>
              <w:rPr>
                <w:b/>
                <w:noProof/>
              </w:rPr>
              <w:t xml:space="preserve"> avril </w:t>
            </w:r>
            <w:r w:rsidRPr="002C3F74">
              <w:rPr>
                <w:b/>
                <w:noProof/>
              </w:rPr>
              <w:t>2024</w:t>
            </w:r>
            <w:r>
              <w:rPr>
                <w:b/>
                <w:noProof/>
              </w:rPr>
              <w:t>, réunissant les parties prenantes pertinentes du secteur des transports</w:t>
            </w:r>
            <w:r>
              <w:rPr>
                <w:noProof/>
              </w:rPr>
              <w:t>, un secteur particulièrement touché par les pénuries de main-d’œuvre, et encouragera l’échange de bonnes pratiques et de solutions.</w:t>
            </w:r>
          </w:p>
          <w:p w14:paraId="6E7988EB" w14:textId="12E24424" w:rsidR="00DB6879" w:rsidRPr="00294779" w:rsidRDefault="004D3EB6" w:rsidP="006719DD">
            <w:pPr>
              <w:pStyle w:val="ListBullet1"/>
              <w:numPr>
                <w:ilvl w:val="0"/>
                <w:numId w:val="0"/>
              </w:numPr>
              <w:spacing w:after="120"/>
              <w:ind w:left="284" w:hanging="284"/>
              <w:rPr>
                <w:noProof/>
                <w:u w:val="single"/>
              </w:rPr>
            </w:pPr>
            <w:r>
              <w:rPr>
                <w:noProof/>
                <w:u w:val="single"/>
              </w:rPr>
              <w:t>La Commission invite les États membres à:</w:t>
            </w:r>
          </w:p>
          <w:p w14:paraId="5DF501E4" w14:textId="6DA11326" w:rsidR="00AE0AA9" w:rsidRPr="00294779" w:rsidRDefault="76205E1D" w:rsidP="006719DD">
            <w:pPr>
              <w:pStyle w:val="ListBullet2Level2"/>
              <w:numPr>
                <w:ilvl w:val="0"/>
                <w:numId w:val="55"/>
              </w:numPr>
              <w:tabs>
                <w:tab w:val="clear" w:pos="284"/>
              </w:tabs>
              <w:spacing w:after="120"/>
              <w:ind w:left="329" w:hanging="329"/>
              <w:rPr>
                <w:noProof/>
              </w:rPr>
            </w:pPr>
            <w:r>
              <w:rPr>
                <w:b/>
                <w:noProof/>
              </w:rPr>
              <w:t>mettre pleinement en œuvre les initiatives de l’UE</w:t>
            </w:r>
            <w:r>
              <w:rPr>
                <w:noProof/>
              </w:rPr>
              <w:t xml:space="preserve"> visant à améliorer les conditions de travail, notamment en veillant à la transposition correcte et en temps utile de la directive relative à des salaires minimaux adéquats et des directives de l’UE sur la santé et la sécurité au travail mettant à jour la directive sur l’amiante au travail</w:t>
            </w:r>
            <w:r w:rsidR="00AF289F" w:rsidRPr="00294779">
              <w:rPr>
                <w:rStyle w:val="FootnoteReference"/>
                <w:noProof/>
              </w:rPr>
              <w:footnoteReference w:id="95"/>
            </w:r>
            <w:r>
              <w:rPr>
                <w:noProof/>
              </w:rPr>
              <w:t>, la directive sur les agents cancérigènes ou mutagènes et les substances reprotoxiques (</w:t>
            </w:r>
            <w:r w:rsidRPr="002C3F74">
              <w:rPr>
                <w:noProof/>
              </w:rPr>
              <w:t>5</w:t>
            </w:r>
            <w:r>
              <w:rPr>
                <w:noProof/>
                <w:vertAlign w:val="superscript"/>
              </w:rPr>
              <w:t>e</w:t>
            </w:r>
            <w:r>
              <w:rPr>
                <w:noProof/>
              </w:rPr>
              <w:t> modification) et la directive sur les agents chimiques</w:t>
            </w:r>
            <w:r w:rsidR="00AF289F" w:rsidRPr="00294779">
              <w:rPr>
                <w:rStyle w:val="FootnoteReference"/>
                <w:noProof/>
              </w:rPr>
              <w:footnoteReference w:id="96"/>
            </w:r>
            <w:r>
              <w:rPr>
                <w:noProof/>
              </w:rPr>
              <w:t>;</w:t>
            </w:r>
          </w:p>
          <w:p w14:paraId="36D6F355" w14:textId="43BB888A" w:rsidR="009A0107" w:rsidRDefault="62AEEF82" w:rsidP="006719DD">
            <w:pPr>
              <w:pStyle w:val="ListBullet2Level2"/>
              <w:numPr>
                <w:ilvl w:val="0"/>
                <w:numId w:val="55"/>
              </w:numPr>
              <w:tabs>
                <w:tab w:val="clear" w:pos="284"/>
              </w:tabs>
              <w:spacing w:after="120"/>
              <w:ind w:left="329" w:hanging="329"/>
              <w:rPr>
                <w:noProof/>
              </w:rPr>
            </w:pPr>
            <w:r>
              <w:rPr>
                <w:noProof/>
              </w:rPr>
              <w:t>garantir l’</w:t>
            </w:r>
            <w:r>
              <w:rPr>
                <w:b/>
                <w:noProof/>
              </w:rPr>
              <w:t>application effective du droit du travail</w:t>
            </w:r>
            <w:r>
              <w:rPr>
                <w:noProof/>
              </w:rPr>
              <w:t xml:space="preserve"> et, par conséquent, faciliter le processus d’inspection du travail, en raccourcissant les procédures permettant aux travailleurs de relever et de rapporter les abus, en durcissant les sanctions et en empêchant les entreprises de se soustraire aux amendes, tout en cherchant à réduire au minimum les charges administratives non nécessaires, en particulier pour les PME;</w:t>
            </w:r>
          </w:p>
          <w:p w14:paraId="41DAE710" w14:textId="77777777" w:rsidR="00C37C6C" w:rsidRDefault="00C37C6C" w:rsidP="006719DD">
            <w:pPr>
              <w:pStyle w:val="ListBullet2Level2"/>
              <w:numPr>
                <w:ilvl w:val="0"/>
                <w:numId w:val="55"/>
              </w:numPr>
              <w:tabs>
                <w:tab w:val="clear" w:pos="284"/>
              </w:tabs>
              <w:spacing w:after="120"/>
              <w:ind w:left="329" w:hanging="329"/>
              <w:rPr>
                <w:noProof/>
              </w:rPr>
            </w:pPr>
            <w:r>
              <w:rPr>
                <w:noProof/>
              </w:rPr>
              <w:t xml:space="preserve">mettre en œuvre la recommandation du Conseil visant à </w:t>
            </w:r>
            <w:r>
              <w:rPr>
                <w:b/>
                <w:noProof/>
              </w:rPr>
              <w:t>assurer une transition équitable vers la neutralité climatique</w:t>
            </w:r>
            <w:r>
              <w:rPr>
                <w:noProof/>
              </w:rPr>
              <w:t xml:space="preserve">, notamment dans le cadre du futur observatoire de la transition juste, et poursuivre les efforts en adoptant des mesures pertinentes notamment en ce qui concerne la manière de </w:t>
            </w:r>
            <w:r>
              <w:rPr>
                <w:b/>
                <w:noProof/>
              </w:rPr>
              <w:t>créer des conditions de travail attrayantes dans les secteurs verts</w:t>
            </w:r>
            <w:r>
              <w:rPr>
                <w:noProof/>
              </w:rPr>
              <w:t>;</w:t>
            </w:r>
          </w:p>
          <w:p w14:paraId="42294B82" w14:textId="57689C4E" w:rsidR="008D736B" w:rsidRPr="004F15F4" w:rsidRDefault="45892164" w:rsidP="006719DD">
            <w:pPr>
              <w:pStyle w:val="ListBullet2Level2"/>
              <w:numPr>
                <w:ilvl w:val="0"/>
                <w:numId w:val="55"/>
              </w:numPr>
              <w:tabs>
                <w:tab w:val="clear" w:pos="284"/>
              </w:tabs>
              <w:spacing w:after="120"/>
              <w:ind w:left="329" w:hanging="329"/>
              <w:rPr>
                <w:noProof/>
              </w:rPr>
            </w:pPr>
            <w:r>
              <w:rPr>
                <w:noProof/>
              </w:rPr>
              <w:t xml:space="preserve">au niveau sectoriel, concevoir des stratégies pour </w:t>
            </w:r>
            <w:r>
              <w:rPr>
                <w:b/>
                <w:noProof/>
              </w:rPr>
              <w:t>attirer et retenir les infirmiers</w:t>
            </w:r>
            <w:r>
              <w:rPr>
                <w:noProof/>
              </w:rPr>
              <w:t xml:space="preserve"> en améliorant les conditions de travail et en proposant un tutorat aux jeunes professionnels, avec le soutien du programme «L’UE pour la santé».</w:t>
            </w:r>
          </w:p>
          <w:p w14:paraId="137A0DBC" w14:textId="63412DC8" w:rsidR="00862051" w:rsidRPr="00294779" w:rsidRDefault="004D3EB6" w:rsidP="006719DD">
            <w:pPr>
              <w:pStyle w:val="ListBullet2"/>
              <w:numPr>
                <w:ilvl w:val="0"/>
                <w:numId w:val="0"/>
              </w:numPr>
              <w:spacing w:after="120"/>
              <w:rPr>
                <w:noProof/>
              </w:rPr>
            </w:pPr>
            <w:r>
              <w:rPr>
                <w:noProof/>
                <w:u w:val="single"/>
              </w:rPr>
              <w:t>La Commission se félicite de la volonté des partenaires sociaux de</w:t>
            </w:r>
            <w:r>
              <w:rPr>
                <w:noProof/>
              </w:rPr>
              <w:t>:</w:t>
            </w:r>
          </w:p>
          <w:p w14:paraId="0B8D6C6B" w14:textId="34996C1D" w:rsidR="00070002" w:rsidRPr="00294779" w:rsidRDefault="342DE1A4" w:rsidP="006719DD">
            <w:pPr>
              <w:pStyle w:val="ListBullet2Level2"/>
              <w:numPr>
                <w:ilvl w:val="0"/>
                <w:numId w:val="55"/>
              </w:numPr>
              <w:tabs>
                <w:tab w:val="clear" w:pos="284"/>
              </w:tabs>
              <w:spacing w:after="120"/>
              <w:ind w:left="329" w:hanging="329"/>
              <w:rPr>
                <w:noProof/>
              </w:rPr>
            </w:pPr>
            <w:r>
              <w:rPr>
                <w:noProof/>
              </w:rPr>
              <w:t xml:space="preserve">remédier aux </w:t>
            </w:r>
            <w:r>
              <w:rPr>
                <w:b/>
                <w:noProof/>
              </w:rPr>
              <w:t>mauvaises conditions de travail par la négociation collective</w:t>
            </w:r>
            <w:r>
              <w:rPr>
                <w:noProof/>
              </w:rPr>
              <w:t xml:space="preserve"> dans les secteurs caractérisés par des conditions de travail inadéquates, tels que les secteurs de la santé, des soins de longue durée, des transports, du bâtiment, de l’agriculture (par exemple les travailleurs saisonniers) et de l’éducation</w:t>
            </w:r>
            <w:r w:rsidR="00942645" w:rsidRPr="494DE218">
              <w:rPr>
                <w:rStyle w:val="FootnoteReference"/>
                <w:noProof/>
                <w:lang w:val="en-IE"/>
              </w:rPr>
              <w:footnoteReference w:id="97"/>
            </w:r>
            <w:r>
              <w:rPr>
                <w:noProof/>
              </w:rPr>
              <w:t>;</w:t>
            </w:r>
          </w:p>
          <w:p w14:paraId="7CE1F765" w14:textId="1AC2E426" w:rsidR="002C3643" w:rsidRPr="00294779" w:rsidRDefault="7741F7D8" w:rsidP="006719DD">
            <w:pPr>
              <w:pStyle w:val="ListBullet2Level2"/>
              <w:numPr>
                <w:ilvl w:val="0"/>
                <w:numId w:val="55"/>
              </w:numPr>
              <w:tabs>
                <w:tab w:val="clear" w:pos="284"/>
                <w:tab w:val="num" w:pos="330"/>
              </w:tabs>
              <w:spacing w:after="120"/>
              <w:ind w:left="330" w:hanging="330"/>
              <w:rPr>
                <w:noProof/>
              </w:rPr>
            </w:pPr>
            <w:r>
              <w:rPr>
                <w:noProof/>
              </w:rPr>
              <w:t xml:space="preserve">s’investir dans les négociations sur la mise à jour des lignes directrices multisectorielles visant à </w:t>
            </w:r>
            <w:r>
              <w:rPr>
                <w:b/>
                <w:noProof/>
              </w:rPr>
              <w:t>lutter contre la violence et le harcèlement de tiers</w:t>
            </w:r>
            <w:r>
              <w:rPr>
                <w:noProof/>
              </w:rPr>
              <w:t xml:space="preserve">, en ce qui concerne le travail dans le </w:t>
            </w:r>
            <w:r>
              <w:rPr>
                <w:b/>
                <w:noProof/>
              </w:rPr>
              <w:t>secteur de la santé</w:t>
            </w:r>
            <w:r w:rsidR="00217249" w:rsidRPr="00607611">
              <w:rPr>
                <w:noProof/>
                <w:vertAlign w:val="superscript"/>
              </w:rPr>
              <w:footnoteReference w:id="98"/>
            </w:r>
            <w:r>
              <w:rPr>
                <w:noProof/>
              </w:rPr>
              <w:t>;</w:t>
            </w:r>
          </w:p>
          <w:p w14:paraId="58D57342" w14:textId="56863C81" w:rsidR="00942645" w:rsidRPr="000B489E" w:rsidRDefault="00942645" w:rsidP="006719DD">
            <w:pPr>
              <w:numPr>
                <w:ilvl w:val="0"/>
                <w:numId w:val="55"/>
              </w:numPr>
              <w:tabs>
                <w:tab w:val="clear" w:pos="284"/>
                <w:tab w:val="num" w:pos="330"/>
              </w:tabs>
              <w:spacing w:after="120"/>
              <w:ind w:left="330" w:hanging="330"/>
              <w:rPr>
                <w:noProof/>
              </w:rPr>
            </w:pPr>
            <w:r>
              <w:rPr>
                <w:noProof/>
              </w:rPr>
              <w:t xml:space="preserve">améliorer les </w:t>
            </w:r>
            <w:r>
              <w:rPr>
                <w:b/>
                <w:noProof/>
              </w:rPr>
              <w:t>conditions de travail dans le secteur de l’éducation</w:t>
            </w:r>
            <w:r>
              <w:rPr>
                <w:noProof/>
              </w:rPr>
              <w:t xml:space="preserve"> par la négociation collective à tous les niveaux, en garantissant des salaires compétitifs, en promouvant le bien-être, la réduction des risques et l’équilibre entre vie professionnelle et vie privée, ainsi qu’en investissant dans le développement professionnel</w:t>
            </w:r>
            <w:r>
              <w:rPr>
                <w:rStyle w:val="FootnoteReference"/>
                <w:noProof/>
              </w:rPr>
              <w:footnoteReference w:id="99"/>
            </w:r>
            <w:r>
              <w:rPr>
                <w:noProof/>
              </w:rPr>
              <w:t>;</w:t>
            </w:r>
          </w:p>
          <w:p w14:paraId="383DF3EB" w14:textId="76CBFB73" w:rsidR="00E24C49" w:rsidRPr="0022740E" w:rsidRDefault="60A56D39" w:rsidP="006719DD">
            <w:pPr>
              <w:pStyle w:val="ListBullet2Level2"/>
              <w:numPr>
                <w:ilvl w:val="0"/>
                <w:numId w:val="55"/>
              </w:numPr>
              <w:tabs>
                <w:tab w:val="clear" w:pos="284"/>
                <w:tab w:val="num" w:pos="330"/>
              </w:tabs>
              <w:spacing w:after="120"/>
              <w:ind w:left="330" w:hanging="330"/>
              <w:rPr>
                <w:noProof/>
              </w:rPr>
            </w:pPr>
            <w:r>
              <w:rPr>
                <w:noProof/>
              </w:rPr>
              <w:t xml:space="preserve">travailler sur des recommandations visant à </w:t>
            </w:r>
            <w:r>
              <w:rPr>
                <w:b/>
                <w:noProof/>
              </w:rPr>
              <w:t>améliorer les conditions de travail dans les services sociaux</w:t>
            </w:r>
            <w:r>
              <w:rPr>
                <w:noProof/>
              </w:rPr>
              <w:t xml:space="preserve">, notamment dans le </w:t>
            </w:r>
            <w:r>
              <w:rPr>
                <w:b/>
                <w:noProof/>
              </w:rPr>
              <w:t>secteur des soins de longue durée</w:t>
            </w:r>
            <w:r>
              <w:rPr>
                <w:noProof/>
              </w:rPr>
              <w:t>, dans le cadre du projet IWorCon</w:t>
            </w:r>
            <w:r w:rsidR="00D62353" w:rsidRPr="0022740E">
              <w:rPr>
                <w:noProof/>
                <w:vertAlign w:val="superscript"/>
              </w:rPr>
              <w:footnoteReference w:id="100"/>
            </w:r>
            <w:r>
              <w:rPr>
                <w:noProof/>
                <w:vertAlign w:val="superscript"/>
              </w:rPr>
              <w:t xml:space="preserve">, </w:t>
            </w:r>
            <w:r w:rsidR="00AA6D7F" w:rsidRPr="0022740E">
              <w:rPr>
                <w:noProof/>
                <w:vertAlign w:val="superscript"/>
              </w:rPr>
              <w:footnoteReference w:id="101"/>
            </w:r>
            <w:r>
              <w:rPr>
                <w:noProof/>
              </w:rPr>
              <w:t>;</w:t>
            </w:r>
          </w:p>
          <w:p w14:paraId="032F7AFD" w14:textId="6AF7996E" w:rsidR="008D5DF9" w:rsidRPr="0022740E" w:rsidRDefault="008D5DF9" w:rsidP="006719DD">
            <w:pPr>
              <w:pStyle w:val="ListBullet2Level2"/>
              <w:numPr>
                <w:ilvl w:val="0"/>
                <w:numId w:val="55"/>
              </w:numPr>
              <w:tabs>
                <w:tab w:val="clear" w:pos="284"/>
                <w:tab w:val="num" w:pos="330"/>
              </w:tabs>
              <w:spacing w:after="120"/>
              <w:ind w:left="330" w:hanging="330"/>
              <w:rPr>
                <w:noProof/>
              </w:rPr>
            </w:pPr>
            <w:bookmarkStart w:id="6" w:name="_Hlk161070682"/>
            <w:r>
              <w:rPr>
                <w:noProof/>
              </w:rPr>
              <w:t xml:space="preserve">œuvrer ensemble à la mise en place d’un </w:t>
            </w:r>
            <w:r>
              <w:rPr>
                <w:b/>
                <w:noProof/>
              </w:rPr>
              <w:t>cadre européen pour de meilleures conditions de travail des chauffeurs originaires de pays tiers</w:t>
            </w:r>
            <w:bookmarkEnd w:id="6"/>
            <w:r w:rsidRPr="0022740E">
              <w:rPr>
                <w:rStyle w:val="FootnoteReference"/>
                <w:noProof/>
              </w:rPr>
              <w:footnoteReference w:id="102"/>
            </w:r>
            <w:r>
              <w:rPr>
                <w:noProof/>
              </w:rPr>
              <w:t>;</w:t>
            </w:r>
          </w:p>
          <w:p w14:paraId="31391FAF" w14:textId="0C71F419" w:rsidR="00612B5E" w:rsidRPr="00987B13" w:rsidRDefault="00990EE4" w:rsidP="006719DD">
            <w:pPr>
              <w:pStyle w:val="ListBullet2Level2"/>
              <w:numPr>
                <w:ilvl w:val="0"/>
                <w:numId w:val="55"/>
              </w:numPr>
              <w:tabs>
                <w:tab w:val="clear" w:pos="284"/>
                <w:tab w:val="num" w:pos="330"/>
              </w:tabs>
              <w:spacing w:after="120"/>
              <w:ind w:left="330" w:hanging="330"/>
              <w:rPr>
                <w:i/>
                <w:iCs/>
                <w:noProof/>
              </w:rPr>
            </w:pPr>
            <w:r>
              <w:rPr>
                <w:noProof/>
              </w:rPr>
              <w:t xml:space="preserve">promouvoir la </w:t>
            </w:r>
            <w:r>
              <w:rPr>
                <w:b/>
                <w:noProof/>
              </w:rPr>
              <w:t>charte mondiale des chauffeurs</w:t>
            </w:r>
            <w:r>
              <w:rPr>
                <w:noProof/>
              </w:rPr>
              <w:t xml:space="preserve"> qui vise l’amélioration du </w:t>
            </w:r>
            <w:r>
              <w:rPr>
                <w:b/>
                <w:noProof/>
              </w:rPr>
              <w:t>traitement des chauffeurs sur les sites de livraison</w:t>
            </w:r>
            <w:r>
              <w:rPr>
                <w:noProof/>
              </w:rPr>
              <w:t xml:space="preserve"> et le renforcement des </w:t>
            </w:r>
            <w:r>
              <w:rPr>
                <w:b/>
                <w:noProof/>
              </w:rPr>
              <w:t>normes de santé et de sécurité pour les conducteurs de camion</w:t>
            </w:r>
            <w:r>
              <w:rPr>
                <w:noProof/>
              </w:rPr>
              <w:t>, notamment au moment du chargement et du déchargement</w:t>
            </w:r>
            <w:r w:rsidRPr="004F15F4">
              <w:rPr>
                <w:rStyle w:val="FootnoteReference"/>
                <w:noProof/>
              </w:rPr>
              <w:footnoteReference w:id="103"/>
            </w:r>
            <w:r>
              <w:rPr>
                <w:noProof/>
              </w:rPr>
              <w:t>.</w:t>
            </w:r>
          </w:p>
        </w:tc>
      </w:tr>
    </w:tbl>
    <w:p w14:paraId="3641E4AD" w14:textId="1E2B7C77" w:rsidR="00F64E65" w:rsidRPr="00CC26F0" w:rsidRDefault="5730B9E2" w:rsidP="00970B7F">
      <w:pPr>
        <w:pStyle w:val="Heading2"/>
        <w:spacing w:before="240" w:line="259" w:lineRule="auto"/>
        <w:ind w:left="1065" w:hanging="590"/>
        <w:rPr>
          <w:bCs/>
          <w:noProof/>
        </w:rPr>
      </w:pPr>
      <w:r>
        <w:rPr>
          <w:noProof/>
        </w:rPr>
        <w:t>Améliorer la mobilité équitable des travailleurs et des apprenants au sein de l’UE</w:t>
      </w:r>
    </w:p>
    <w:p w14:paraId="644E6CE1" w14:textId="0770E2FF" w:rsidR="00CE35F5" w:rsidRPr="00CC26F0" w:rsidRDefault="3B92161B" w:rsidP="006719DD">
      <w:pPr>
        <w:spacing w:after="120"/>
        <w:rPr>
          <w:noProof/>
        </w:rPr>
      </w:pPr>
      <w:r>
        <w:rPr>
          <w:b/>
          <w:noProof/>
        </w:rPr>
        <w:t>La mobilité équitable de la main-d’œuvre peut contribuer à remédier aux pénuries qui sévissent particulièrement dans certains pays ou certaines régions et dans une moindre mesure dans d’autres.</w:t>
      </w:r>
      <w:r>
        <w:rPr>
          <w:noProof/>
        </w:rPr>
        <w:t xml:space="preserve"> En </w:t>
      </w:r>
      <w:r w:rsidRPr="002C3F74">
        <w:rPr>
          <w:noProof/>
        </w:rPr>
        <w:t>2023</w:t>
      </w:r>
      <w:r>
        <w:rPr>
          <w:noProof/>
        </w:rPr>
        <w:t xml:space="preserve">, près de </w:t>
      </w:r>
      <w:r w:rsidRPr="002C3F74">
        <w:rPr>
          <w:noProof/>
        </w:rPr>
        <w:t>10</w:t>
      </w:r>
      <w:r>
        <w:rPr>
          <w:noProof/>
        </w:rPr>
        <w:t>,</w:t>
      </w:r>
      <w:r w:rsidRPr="002C3F74">
        <w:rPr>
          <w:noProof/>
        </w:rPr>
        <w:t>7</w:t>
      </w:r>
      <w:r>
        <w:rPr>
          <w:noProof/>
        </w:rPr>
        <w:t xml:space="preserve"> millions de citoyens de l’UE âgés de </w:t>
      </w:r>
      <w:r w:rsidRPr="002C3F74">
        <w:rPr>
          <w:noProof/>
        </w:rPr>
        <w:t>15</w:t>
      </w:r>
      <w:r>
        <w:rPr>
          <w:noProof/>
        </w:rPr>
        <w:t xml:space="preserve"> à </w:t>
      </w:r>
      <w:r w:rsidRPr="002C3F74">
        <w:rPr>
          <w:noProof/>
        </w:rPr>
        <w:t>64</w:t>
      </w:r>
      <w:r>
        <w:rPr>
          <w:noProof/>
        </w:rPr>
        <w:t> ans vivaient dans un État membre de l’UE autre que leur État membre d’origine</w:t>
      </w:r>
      <w:r w:rsidR="00D634B0">
        <w:rPr>
          <w:rStyle w:val="FootnoteReference"/>
          <w:noProof/>
        </w:rPr>
        <w:footnoteReference w:id="104"/>
      </w:r>
      <w:r>
        <w:rPr>
          <w:noProof/>
        </w:rPr>
        <w:t xml:space="preserve">. Plus de </w:t>
      </w:r>
      <w:r w:rsidRPr="002C3F74">
        <w:rPr>
          <w:noProof/>
        </w:rPr>
        <w:t>7</w:t>
      </w:r>
      <w:r>
        <w:rPr>
          <w:noProof/>
        </w:rPr>
        <w:t>,</w:t>
      </w:r>
      <w:r w:rsidRPr="002C3F74">
        <w:rPr>
          <w:noProof/>
        </w:rPr>
        <w:t>5</w:t>
      </w:r>
      <w:r>
        <w:rPr>
          <w:noProof/>
        </w:rPr>
        <w:t xml:space="preserve"> millions étaient actifs sur le marché du travail, ce qui représente environ </w:t>
      </w:r>
      <w:r w:rsidRPr="002C3F74">
        <w:rPr>
          <w:noProof/>
        </w:rPr>
        <w:t>3</w:t>
      </w:r>
      <w:r>
        <w:rPr>
          <w:noProof/>
        </w:rPr>
        <w:t>,</w:t>
      </w:r>
      <w:r w:rsidRPr="002C3F74">
        <w:rPr>
          <w:noProof/>
        </w:rPr>
        <w:t>6</w:t>
      </w:r>
      <w:r>
        <w:rPr>
          <w:noProof/>
        </w:rPr>
        <w:t> % de la main-d’œuvre totale de l’UE</w:t>
      </w:r>
      <w:r w:rsidR="00D634B0">
        <w:rPr>
          <w:rStyle w:val="FootnoteReference"/>
          <w:noProof/>
        </w:rPr>
        <w:footnoteReference w:id="105"/>
      </w:r>
      <w:r>
        <w:rPr>
          <w:noProof/>
        </w:rPr>
        <w:t>. L’Autorité européenne du travail (AET) a été instituée pour veiller à ce que le droit à la libre circulation des travailleurs soit équitablement et effectivement appliqué en facilitant l’accès à l’information, le renforcement des capacités et la coopération entre les États membres ainsi qu’en promouvant une application et un respect réels du droit de l’UE en la matière. Depuis </w:t>
      </w:r>
      <w:r w:rsidRPr="002C3F74">
        <w:rPr>
          <w:noProof/>
        </w:rPr>
        <w:t>2021</w:t>
      </w:r>
      <w:r>
        <w:rPr>
          <w:noProof/>
        </w:rPr>
        <w:t>, l’AET gère également le réseau européen des services de l’emploi (EURES), afin de faciliter la mise en adéquation des offres et des demandes d’emploi transfrontières. Néanmoins, cette transition a rencontré un certain nombre de difficultés et, à ce jour, le nombre d’utilisateurs du réseau EURES est inférieur à celui des années précédentes.</w:t>
      </w:r>
    </w:p>
    <w:p w14:paraId="2771F870" w14:textId="375CE325" w:rsidR="008E5128" w:rsidRDefault="0432F693" w:rsidP="006719DD">
      <w:pPr>
        <w:spacing w:after="120"/>
        <w:rPr>
          <w:noProof/>
        </w:rPr>
      </w:pPr>
      <w:r>
        <w:rPr>
          <w:b/>
          <w:noProof/>
        </w:rPr>
        <w:t xml:space="preserve">Dans ce contexte, la coordination de la sécurité sociale dans l’UE garantit que les personnes qui déménagent dans un autre État membre restent pleinement couvertes par la sécurité sociale. </w:t>
      </w:r>
      <w:r>
        <w:rPr>
          <w:noProof/>
        </w:rPr>
        <w:t>Une évolution vers des systèmes de sécurité sociale plus intégrés sur le plan numérique pourrait simplifier la mobilité des travailleurs et des apprenants,</w:t>
      </w:r>
      <w:r>
        <w:rPr>
          <w:b/>
          <w:noProof/>
        </w:rPr>
        <w:t xml:space="preserve"> </w:t>
      </w:r>
      <w:r>
        <w:rPr>
          <w:noProof/>
        </w:rPr>
        <w:t>contribuant ainsi à réduire les obstacles à la mobilité des travailleurs et des apprenants et à faciliter l’exercice de leurs droits en matière de sécurité sociale dans d’autres pays de l’UE. Elle pourrait également permettre aux citoyens de l’UE d’avoir plus facilement accès à des possibilités d’emploi dans l’ensemble de l’UE. Les mesures prises jusqu’à présent en faveur de la numérisation de la coordination en matière de sécurité sociale incluent la mise en place de l’échange électronique d’informations sur la sécurité sociale (EESSI) et le lancement de l’initiative sur le passeport européen de sécurité sociale (ESSPASS), qui recherche des solutions numériques permettant de vérifier les documents relatifs aux droits à la sécurité sociale des citoyens dans d’autres pays de l’UE</w:t>
      </w:r>
      <w:r w:rsidR="00FF1F73" w:rsidRPr="00630322">
        <w:rPr>
          <w:rStyle w:val="FootnoteReference"/>
          <w:noProof/>
        </w:rPr>
        <w:footnoteReference w:id="106"/>
      </w:r>
      <w:r>
        <w:rPr>
          <w:noProof/>
        </w:rPr>
        <w:t>. Les entreprises ont établi que la déclaration nécessaire au détachement transfrontière de travailleurs représentait une charge administrative importante. La Commission a réagi à ce constat en facilitant la conclusion d’un accord sur un formulaire commun pour la déclaration des travailleurs détachés, à l’intention des États membres intéressés et en recherchant des possibilités de création d’un portail électronique commun pour ces déclarations.</w:t>
      </w:r>
    </w:p>
    <w:p w14:paraId="4BD11504" w14:textId="7FC4455E" w:rsidR="004A319F" w:rsidRPr="00630322" w:rsidRDefault="26EE7AC7" w:rsidP="006719DD">
      <w:pPr>
        <w:spacing w:after="120"/>
        <w:rPr>
          <w:noProof/>
        </w:rPr>
      </w:pPr>
      <w:r>
        <w:rPr>
          <w:b/>
          <w:noProof/>
        </w:rPr>
        <w:t>L’accès transfrontière aux professions réglementées est régi par une directive de l’UE sur la reconnaissance mutuelle des qualifications professionnelles par les États membres</w:t>
      </w:r>
      <w:r w:rsidR="00B068A8" w:rsidRPr="00157272">
        <w:rPr>
          <w:rStyle w:val="FootnoteReference"/>
          <w:noProof/>
          <w:lang w:val="en-IE"/>
        </w:rPr>
        <w:footnoteReference w:id="107"/>
      </w:r>
      <w:r>
        <w:rPr>
          <w:noProof/>
        </w:rPr>
        <w:t>. La directive prévoit actuellement un mécanisme permettant aux citoyens d’exercer une profession réglementée dans un autre État membre mais l’expérience montre que les procédures de reconnaissance peuvent être améliorées et rendues plus simples et plus rapides afin de favoriser la mobilité dans l’UE.</w:t>
      </w:r>
    </w:p>
    <w:p w14:paraId="42A6B985" w14:textId="27A616E8" w:rsidR="00A242D7" w:rsidRDefault="18D39AD6" w:rsidP="006719DD">
      <w:pPr>
        <w:spacing w:after="120"/>
        <w:rPr>
          <w:noProof/>
        </w:rPr>
      </w:pPr>
      <w:r>
        <w:rPr>
          <w:b/>
          <w:noProof/>
        </w:rPr>
        <w:t>L’augmentation de la mobilité à des fins d’apprentissage est susceptible de réduire les pénuries de main-d’œuvre en améliorant l’employabilité des participants</w:t>
      </w:r>
      <w:r>
        <w:rPr>
          <w:noProof/>
        </w:rPr>
        <w:t>, notamment parce qu’elle leur permet de développer leurs compétences linguistiques et transversales ou qu’elle sert de tremplin vers une expérience professionnelle dans un autre pays</w:t>
      </w:r>
      <w:r w:rsidR="00A242D7" w:rsidRPr="00630322">
        <w:rPr>
          <w:rStyle w:val="FootnoteReference"/>
          <w:noProof/>
        </w:rPr>
        <w:footnoteReference w:id="108"/>
      </w:r>
      <w:r>
        <w:rPr>
          <w:noProof/>
        </w:rPr>
        <w:t>. Accroître la mobilité à des fins d’apprentissage nécessite l’élimination d’obstacles tels que la charge administrative, les barrières linguistiques, le soutien financier parfois insuffisant et le manque de reconnaissance automatique des qualifications</w:t>
      </w:r>
      <w:r w:rsidR="003D4F45">
        <w:rPr>
          <w:rStyle w:val="FootnoteReference"/>
          <w:noProof/>
        </w:rPr>
        <w:footnoteReference w:id="109"/>
      </w:r>
      <w:r>
        <w:rPr>
          <w:noProof/>
        </w:rPr>
        <w:t>. Ces obstacles peuvent être particulièrement importants pour les apprenants ayant moins de perspectives ou issus de milieux socio-économiques moins favorisés.</w:t>
      </w:r>
    </w:p>
    <w:p w14:paraId="611E3FAF" w14:textId="29C985CB" w:rsidR="001375F2" w:rsidRDefault="2D4BCA8B" w:rsidP="006719DD">
      <w:pPr>
        <w:spacing w:after="120"/>
        <w:rPr>
          <w:noProof/>
        </w:rPr>
      </w:pPr>
      <w:r>
        <w:rPr>
          <w:b/>
          <w:noProof/>
        </w:rPr>
        <w:t>La proposition de recommandation du Conseil intitulée «L’Europe en mouvement»</w:t>
      </w:r>
      <w:r w:rsidR="004A319F" w:rsidRPr="002E7125">
        <w:rPr>
          <w:rStyle w:val="FootnoteReference"/>
          <w:noProof/>
        </w:rPr>
        <w:footnoteReference w:id="110"/>
      </w:r>
      <w:r>
        <w:rPr>
          <w:b/>
          <w:noProof/>
        </w:rPr>
        <w:t xml:space="preserve"> contient des objectifs ambitieux pour la mobilité à des fins d’apprentissage d’ici à </w:t>
      </w:r>
      <w:r w:rsidRPr="002C3F74">
        <w:rPr>
          <w:b/>
          <w:noProof/>
        </w:rPr>
        <w:t>2030</w:t>
      </w:r>
      <w:r>
        <w:rPr>
          <w:b/>
          <w:noProof/>
        </w:rPr>
        <w:t xml:space="preserve">. </w:t>
      </w:r>
      <w:r>
        <w:rPr>
          <w:noProof/>
        </w:rPr>
        <w:t>Ceux-ci incluent la part des diplômés participant à la mobilité à des fins d’apprentissage dans l’enseignement supérieur (</w:t>
      </w:r>
      <w:r w:rsidRPr="002C3F74">
        <w:rPr>
          <w:noProof/>
        </w:rPr>
        <w:t>25</w:t>
      </w:r>
      <w:r>
        <w:rPr>
          <w:noProof/>
        </w:rPr>
        <w:t> %) et l’enseignement professionnel (</w:t>
      </w:r>
      <w:r w:rsidRPr="002C3F74">
        <w:rPr>
          <w:noProof/>
        </w:rPr>
        <w:t>15</w:t>
      </w:r>
      <w:r>
        <w:rPr>
          <w:noProof/>
        </w:rPr>
        <w:t> %). Plus particulièrement, la mobilité des apprentis et des autres apprenants participant à l’enseignement et à la formation professionnels appelle des efforts supplémentaires. L’intégration accrue de la mobilité à des fins d’apprentissage dans les programmes d’enseignement et de formation, les campagnes d’information, le renforcement de l’apprentissage linguistique et la reconnaissance automatique des résultats de l’enseignement devraient ouvrir la voie à la réalisation de ces objectifs. La proposition contient également un quota pour la participation des étudiants défavorisés (</w:t>
      </w:r>
      <w:r w:rsidRPr="002C3F74">
        <w:rPr>
          <w:noProof/>
        </w:rPr>
        <w:t>20</w:t>
      </w:r>
      <w:r>
        <w:rPr>
          <w:noProof/>
        </w:rPr>
        <w:t> %) et des principes visant tout particulièrement à soutenir la mobilité des apprentis qui se heurtent à des obstacles spécifiques.</w:t>
      </w:r>
    </w:p>
    <w:p w14:paraId="2A1F1114" w14:textId="09A16543" w:rsidR="009F24E8" w:rsidRDefault="009F24E8" w:rsidP="009F24E8">
      <w:pPr>
        <w:spacing w:after="120"/>
        <w:rPr>
          <w:noProof/>
        </w:rPr>
      </w:pPr>
      <w:r>
        <w:rPr>
          <w:noProof/>
        </w:rPr>
        <w:t>Toutes ces mesures sont également conformes aux efforts déployés par la Commission pour simplifier les règles existantes et réduire la charge administrative qui pèse sur les entreprises</w:t>
      </w:r>
      <w:r w:rsidRPr="009F24E8">
        <w:rPr>
          <w:rStyle w:val="FootnoteReference"/>
          <w:noProof/>
          <w:lang w:val="en-IE"/>
        </w:rPr>
        <w:footnoteReference w:id="111"/>
      </w:r>
      <w:r>
        <w:rPr>
          <w:noProof/>
        </w:rPr>
        <w:t>.</w:t>
      </w:r>
    </w:p>
    <w:p w14:paraId="6219B416" w14:textId="77777777" w:rsidR="009F24E8" w:rsidRPr="009D023F" w:rsidRDefault="009F24E8" w:rsidP="006719DD">
      <w:pPr>
        <w:spacing w:after="120"/>
        <w:rPr>
          <w:noProof/>
          <w:lang w:val="fr-BE"/>
        </w:rPr>
      </w:pPr>
    </w:p>
    <w:tbl>
      <w:tblPr>
        <w:tblStyle w:val="TableGrid"/>
        <w:tblW w:w="0" w:type="auto"/>
        <w:tblLook w:val="04A0" w:firstRow="1" w:lastRow="0" w:firstColumn="1" w:lastColumn="0" w:noHBand="0" w:noVBand="1"/>
      </w:tblPr>
      <w:tblGrid>
        <w:gridCol w:w="8602"/>
      </w:tblGrid>
      <w:tr w:rsidR="00CC26F0" w:rsidRPr="00CC26F0" w14:paraId="6A933170" w14:textId="77777777" w:rsidTr="0D21381C">
        <w:tc>
          <w:tcPr>
            <w:tcW w:w="0" w:type="auto"/>
          </w:tcPr>
          <w:p w14:paraId="03292E28" w14:textId="079D60C5" w:rsidR="00E56687" w:rsidRPr="000C46A1" w:rsidRDefault="00890E09" w:rsidP="00157272">
            <w:pPr>
              <w:pStyle w:val="ListBullet1"/>
              <w:numPr>
                <w:ilvl w:val="0"/>
                <w:numId w:val="0"/>
              </w:numPr>
              <w:spacing w:after="120"/>
              <w:rPr>
                <w:noProof/>
              </w:rPr>
            </w:pPr>
            <w:r>
              <w:rPr>
                <w:b/>
                <w:i/>
                <w:noProof/>
              </w:rPr>
              <w:t>Pour améliorer encore la mobilité équitable des travailleurs et des apprenants dans l’UE, de nouvelles mesures sont nécessaires.</w:t>
            </w:r>
          </w:p>
          <w:p w14:paraId="5DDC73B2" w14:textId="358CC0CC" w:rsidR="00761735" w:rsidRPr="000C46A1" w:rsidRDefault="60C1E2BF" w:rsidP="006719DD">
            <w:pPr>
              <w:pStyle w:val="ListBullet1"/>
              <w:numPr>
                <w:ilvl w:val="0"/>
                <w:numId w:val="0"/>
              </w:numPr>
              <w:spacing w:after="120"/>
              <w:ind w:left="284" w:hanging="284"/>
              <w:rPr>
                <w:noProof/>
              </w:rPr>
            </w:pPr>
            <w:r>
              <w:rPr>
                <w:noProof/>
                <w:u w:val="single"/>
              </w:rPr>
              <w:t>À cette fin, la Commission</w:t>
            </w:r>
            <w:r>
              <w:rPr>
                <w:noProof/>
              </w:rPr>
              <w:t>:</w:t>
            </w:r>
          </w:p>
          <w:p w14:paraId="09D749A0" w14:textId="561B517A" w:rsidR="001555E6" w:rsidRPr="004F15F4" w:rsidRDefault="23905348" w:rsidP="006719DD">
            <w:pPr>
              <w:pStyle w:val="ListParagraph"/>
              <w:numPr>
                <w:ilvl w:val="0"/>
                <w:numId w:val="55"/>
              </w:numPr>
              <w:tabs>
                <w:tab w:val="clear" w:pos="284"/>
                <w:tab w:val="num" w:pos="330"/>
              </w:tabs>
              <w:spacing w:after="120"/>
              <w:ind w:left="329" w:hanging="329"/>
              <w:contextualSpacing w:val="0"/>
              <w:rPr>
                <w:noProof/>
              </w:rPr>
            </w:pPr>
            <w:r>
              <w:rPr>
                <w:noProof/>
              </w:rPr>
              <w:t>en coopération avec l’AET, mettra en place des synergies supplémentaires entre le réseau EURES et EUROPASS pour offrir de meilleurs services aux États membres, aux demandeurs d’emploi et aux employeurs, et tirer ainsi le meilleur parti du potentiel d’EURES et augmenter le nombre de placements transfrontières;</w:t>
            </w:r>
          </w:p>
          <w:p w14:paraId="564D092C" w14:textId="3F097D27" w:rsidR="622370F8" w:rsidRPr="002E7125" w:rsidRDefault="6DBCC8C0" w:rsidP="006719DD">
            <w:pPr>
              <w:pStyle w:val="ListBullet2Level2"/>
              <w:numPr>
                <w:ilvl w:val="0"/>
                <w:numId w:val="55"/>
              </w:numPr>
              <w:tabs>
                <w:tab w:val="clear" w:pos="284"/>
                <w:tab w:val="num" w:pos="330"/>
              </w:tabs>
              <w:spacing w:after="120"/>
              <w:ind w:left="330" w:hanging="330"/>
              <w:rPr>
                <w:noProof/>
              </w:rPr>
            </w:pPr>
            <w:r>
              <w:rPr>
                <w:noProof/>
              </w:rPr>
              <w:t xml:space="preserve">promouvra la conclusion en temps utile d’un accord sur un formulaire commun </w:t>
            </w:r>
            <w:r>
              <w:rPr>
                <w:b/>
                <w:noProof/>
              </w:rPr>
              <w:t>de déclaration des travailleurs détachés au format électronique</w:t>
            </w:r>
            <w:r>
              <w:rPr>
                <w:noProof/>
              </w:rPr>
              <w:t>, et l’utilisation généralisée de ce formulaire, ainsi que la création d’un portail numérique multilingue sur lequel les entreprises pourront enregistrer des déclarations de détachement pour les États membres qui décideront d’avoir recours à cet outil, ce qui contribuera à réduire la charge administrative;</w:t>
            </w:r>
          </w:p>
          <w:p w14:paraId="2E76BB85" w14:textId="73CD23C7" w:rsidR="002E7125" w:rsidRPr="002E7125" w:rsidRDefault="02B0FF73">
            <w:pPr>
              <w:pStyle w:val="ListBullet2Level2"/>
              <w:numPr>
                <w:ilvl w:val="0"/>
                <w:numId w:val="55"/>
              </w:numPr>
              <w:tabs>
                <w:tab w:val="clear" w:pos="284"/>
                <w:tab w:val="num" w:pos="330"/>
              </w:tabs>
              <w:spacing w:after="120"/>
              <w:ind w:left="330" w:hanging="330"/>
              <w:rPr>
                <w:b/>
                <w:noProof/>
              </w:rPr>
            </w:pPr>
            <w:r>
              <w:rPr>
                <w:noProof/>
              </w:rPr>
              <w:t xml:space="preserve">encouragera l’AET à travailler en étroite coopération avec les États membres et les partenaires sociaux sur un </w:t>
            </w:r>
            <w:r>
              <w:rPr>
                <w:b/>
                <w:noProof/>
              </w:rPr>
              <w:t>outil visant à faciliter le calcul de la rémunération des travailleurs détachés</w:t>
            </w:r>
            <w:r>
              <w:rPr>
                <w:noProof/>
              </w:rPr>
              <w:t>;</w:t>
            </w:r>
          </w:p>
          <w:p w14:paraId="54BC086B" w14:textId="63143DCE" w:rsidR="00DF2E7F" w:rsidRPr="0055156B" w:rsidRDefault="31D4D5F2" w:rsidP="006719DD">
            <w:pPr>
              <w:pStyle w:val="ListBullet2Level2"/>
              <w:numPr>
                <w:ilvl w:val="0"/>
                <w:numId w:val="55"/>
              </w:numPr>
              <w:tabs>
                <w:tab w:val="clear" w:pos="284"/>
                <w:tab w:val="num" w:pos="330"/>
              </w:tabs>
              <w:spacing w:after="120"/>
              <w:ind w:left="330" w:hanging="330"/>
              <w:rPr>
                <w:b/>
                <w:noProof/>
              </w:rPr>
            </w:pPr>
            <w:r>
              <w:rPr>
                <w:noProof/>
              </w:rPr>
              <w:t>mettra à jour les recommandations des États membres concernant la manière de réformer l’</w:t>
            </w:r>
            <w:r>
              <w:rPr>
                <w:b/>
                <w:noProof/>
              </w:rPr>
              <w:t>accès aux professions réglementées</w:t>
            </w:r>
            <w:r w:rsidR="00E44FBC" w:rsidRPr="0055156B">
              <w:rPr>
                <w:rStyle w:val="FootnoteReference"/>
                <w:noProof/>
              </w:rPr>
              <w:footnoteReference w:id="112"/>
            </w:r>
            <w:r>
              <w:rPr>
                <w:noProof/>
              </w:rPr>
              <w:t>;</w:t>
            </w:r>
          </w:p>
          <w:p w14:paraId="49B47798" w14:textId="1FE2890C" w:rsidR="00A402C1" w:rsidRPr="002A1830" w:rsidRDefault="00C36E22" w:rsidP="006719DD">
            <w:pPr>
              <w:pStyle w:val="ListBullet2Level2"/>
              <w:numPr>
                <w:ilvl w:val="0"/>
                <w:numId w:val="55"/>
              </w:numPr>
              <w:tabs>
                <w:tab w:val="clear" w:pos="284"/>
                <w:tab w:val="num" w:pos="330"/>
              </w:tabs>
              <w:spacing w:after="120"/>
              <w:ind w:left="330" w:hanging="330"/>
              <w:rPr>
                <w:bCs/>
                <w:noProof/>
              </w:rPr>
            </w:pPr>
            <w:r>
              <w:rPr>
                <w:noProof/>
              </w:rPr>
              <w:t xml:space="preserve">étudiera la possibilité d’une réforme plus vaste du système de l’UE sur la </w:t>
            </w:r>
            <w:r>
              <w:rPr>
                <w:b/>
                <w:noProof/>
              </w:rPr>
              <w:t>reconnaissance des qualifications et la validation des compétences</w:t>
            </w:r>
            <w:r>
              <w:rPr>
                <w:noProof/>
              </w:rPr>
              <w:t>, pour garantir que le cadre juridique, les outils et les systèmes existants sont ambitieux, à l’épreuve du temps et contribuent à un marché unique opérationnel;</w:t>
            </w:r>
          </w:p>
          <w:p w14:paraId="6E5AE965" w14:textId="50B05FA9" w:rsidR="002E7125" w:rsidRDefault="1F5F8353">
            <w:pPr>
              <w:pStyle w:val="ListBullet2Level2"/>
              <w:numPr>
                <w:ilvl w:val="0"/>
                <w:numId w:val="55"/>
              </w:numPr>
              <w:tabs>
                <w:tab w:val="clear" w:pos="284"/>
                <w:tab w:val="num" w:pos="330"/>
              </w:tabs>
              <w:spacing w:after="120"/>
              <w:ind w:left="330" w:hanging="330"/>
              <w:rPr>
                <w:noProof/>
              </w:rPr>
            </w:pPr>
            <w:r>
              <w:rPr>
                <w:b/>
                <w:noProof/>
              </w:rPr>
              <w:t>encouragera davantage la mobilité des apprentis</w:t>
            </w:r>
            <w:r>
              <w:rPr>
                <w:noProof/>
              </w:rPr>
              <w:t xml:space="preserve"> par l’intermédiaire de l’Alliance européenne pour l’apprentissage (EafA) et de la </w:t>
            </w:r>
            <w:r>
              <w:rPr>
                <w:b/>
                <w:noProof/>
              </w:rPr>
              <w:t>boîte à outil</w:t>
            </w:r>
            <w:r>
              <w:rPr>
                <w:noProof/>
              </w:rPr>
              <w:t>s pour la mobilité des apprentis</w:t>
            </w:r>
            <w:r w:rsidR="313161C9" w:rsidRPr="00157272">
              <w:rPr>
                <w:rStyle w:val="FootnoteReference"/>
                <w:noProof/>
              </w:rPr>
              <w:footnoteReference w:id="113"/>
            </w:r>
            <w:r>
              <w:rPr>
                <w:noProof/>
              </w:rPr>
              <w:t xml:space="preserve">, ainsi que le lancement de </w:t>
            </w:r>
            <w:r>
              <w:rPr>
                <w:b/>
                <w:noProof/>
              </w:rPr>
              <w:t>projets d’expérimentation</w:t>
            </w:r>
            <w:r>
              <w:rPr>
                <w:noProof/>
              </w:rPr>
              <w:t xml:space="preserve"> transnationaux spécifiques dans le cadre d’Erasmus+</w:t>
            </w:r>
            <w:r w:rsidR="313161C9" w:rsidRPr="00157272">
              <w:rPr>
                <w:rStyle w:val="FootnoteReference"/>
                <w:noProof/>
              </w:rPr>
              <w:footnoteReference w:id="114"/>
            </w:r>
            <w:r>
              <w:rPr>
                <w:noProof/>
              </w:rPr>
              <w:t>;</w:t>
            </w:r>
          </w:p>
          <w:p w14:paraId="17124E65" w14:textId="3C88D184" w:rsidR="00EF184D" w:rsidRPr="004F15F4" w:rsidRDefault="30850A21" w:rsidP="006719DD">
            <w:pPr>
              <w:pStyle w:val="ListBullet2Level2"/>
              <w:numPr>
                <w:ilvl w:val="0"/>
                <w:numId w:val="55"/>
              </w:numPr>
              <w:tabs>
                <w:tab w:val="clear" w:pos="284"/>
                <w:tab w:val="num" w:pos="330"/>
              </w:tabs>
              <w:spacing w:after="120"/>
              <w:ind w:left="330" w:hanging="330"/>
              <w:rPr>
                <w:noProof/>
              </w:rPr>
            </w:pPr>
            <w:r>
              <w:rPr>
                <w:noProof/>
              </w:rPr>
              <w:t xml:space="preserve">proposera un </w:t>
            </w:r>
            <w:r>
              <w:rPr>
                <w:b/>
                <w:noProof/>
              </w:rPr>
              <w:t>train de mesures sur l’enseignement supérieur</w:t>
            </w:r>
            <w:r>
              <w:rPr>
                <w:noProof/>
              </w:rPr>
              <w:t xml:space="preserve"> comprenant une initiative sur une feuille de route vers un diplôme européen ainsi qu’une proposition de recommandation du Conseil relative à un système européen d’assurance de la qualité et de reconnaissance des diplômes dans l’enseignement supérieur, dans le but de faciliter encore la mobilité des étudiants en supprimant les derniers obstacles à la reconnaissance automatique des qualifications et des périodes d’apprentissage à l’étranger.</w:t>
            </w:r>
          </w:p>
          <w:p w14:paraId="7F6C2ED0" w14:textId="4ED1CB7F" w:rsidR="00454AA7" w:rsidRPr="00294779" w:rsidRDefault="56E930C4" w:rsidP="006719DD">
            <w:pPr>
              <w:pStyle w:val="ListBullet2"/>
              <w:numPr>
                <w:ilvl w:val="0"/>
                <w:numId w:val="0"/>
              </w:numPr>
              <w:spacing w:after="120"/>
              <w:rPr>
                <w:noProof/>
              </w:rPr>
            </w:pPr>
            <w:r>
              <w:rPr>
                <w:noProof/>
                <w:u w:val="single"/>
              </w:rPr>
              <w:t>La Commission invite les États membres à</w:t>
            </w:r>
            <w:r>
              <w:rPr>
                <w:noProof/>
              </w:rPr>
              <w:t>:</w:t>
            </w:r>
          </w:p>
          <w:p w14:paraId="48505F71" w14:textId="77777777" w:rsidR="00857730" w:rsidRDefault="00857730" w:rsidP="006719DD">
            <w:pPr>
              <w:pStyle w:val="ListBullet2Level2"/>
              <w:numPr>
                <w:ilvl w:val="0"/>
                <w:numId w:val="55"/>
              </w:numPr>
              <w:spacing w:after="120"/>
              <w:rPr>
                <w:noProof/>
              </w:rPr>
            </w:pPr>
            <w:r>
              <w:rPr>
                <w:noProof/>
              </w:rPr>
              <w:t xml:space="preserve">adopter rapidement puis mettre en œuvre la proposition de </w:t>
            </w:r>
            <w:r>
              <w:rPr>
                <w:b/>
                <w:noProof/>
              </w:rPr>
              <w:t>recommandation du Conseil intitulée «L’Europe en mouvement</w:t>
            </w:r>
            <w:r>
              <w:rPr>
                <w:noProof/>
              </w:rPr>
              <w:t xml:space="preserve"> — Des possibilités de mobilité à des fins d’apprentissage pour tous»;</w:t>
            </w:r>
          </w:p>
          <w:p w14:paraId="4185D2D5" w14:textId="1952A91E" w:rsidR="0027187A" w:rsidRPr="00294779" w:rsidRDefault="77C848AA" w:rsidP="006719DD">
            <w:pPr>
              <w:pStyle w:val="ListBullet2Level2"/>
              <w:numPr>
                <w:ilvl w:val="0"/>
                <w:numId w:val="55"/>
              </w:numPr>
              <w:tabs>
                <w:tab w:val="clear" w:pos="284"/>
                <w:tab w:val="num" w:pos="330"/>
              </w:tabs>
              <w:spacing w:after="120"/>
              <w:ind w:left="330" w:hanging="330"/>
              <w:rPr>
                <w:noProof/>
              </w:rPr>
            </w:pPr>
            <w:r>
              <w:rPr>
                <w:noProof/>
              </w:rPr>
              <w:t>augmenter le nombre d’</w:t>
            </w:r>
            <w:r>
              <w:rPr>
                <w:b/>
                <w:noProof/>
              </w:rPr>
              <w:t>inspections concertées et communes avec l’AET</w:t>
            </w:r>
            <w:r>
              <w:rPr>
                <w:noProof/>
              </w:rPr>
              <w:t xml:space="preserve"> et garantir le suivi nécessaire;</w:t>
            </w:r>
          </w:p>
          <w:p w14:paraId="2C5AD2C2" w14:textId="469BC982" w:rsidR="0027187A" w:rsidRPr="00294779" w:rsidRDefault="77C848AA" w:rsidP="006719DD">
            <w:pPr>
              <w:pStyle w:val="ListBullet2Level2"/>
              <w:numPr>
                <w:ilvl w:val="0"/>
                <w:numId w:val="55"/>
              </w:numPr>
              <w:tabs>
                <w:tab w:val="clear" w:pos="284"/>
                <w:tab w:val="num" w:pos="330"/>
              </w:tabs>
              <w:spacing w:after="120"/>
              <w:ind w:left="330" w:hanging="330"/>
              <w:rPr>
                <w:noProof/>
              </w:rPr>
            </w:pPr>
            <w:r>
              <w:rPr>
                <w:b/>
                <w:noProof/>
              </w:rPr>
              <w:t>soutenir davantage la numérisation de la coordination de la sécurité sociale</w:t>
            </w:r>
            <w:r>
              <w:rPr>
                <w:noProof/>
              </w:rPr>
              <w:t>, notamment en complétant la mise en œuvre de l’EESSI d’ici à décembre </w:t>
            </w:r>
            <w:r w:rsidRPr="002C3F74">
              <w:rPr>
                <w:noProof/>
              </w:rPr>
              <w:t>2024</w:t>
            </w:r>
            <w:r>
              <w:rPr>
                <w:noProof/>
              </w:rPr>
              <w:t xml:space="preserve"> au plus tard et en s’investissant pleinement dans les activités pilotes de l’ESSPASS;</w:t>
            </w:r>
          </w:p>
          <w:p w14:paraId="7A1A5A8C" w14:textId="618E67A1" w:rsidR="0027187A" w:rsidRPr="00294779" w:rsidRDefault="00B87071" w:rsidP="006719DD">
            <w:pPr>
              <w:pStyle w:val="ListBullet2Level2"/>
              <w:numPr>
                <w:ilvl w:val="0"/>
                <w:numId w:val="55"/>
              </w:numPr>
              <w:tabs>
                <w:tab w:val="clear" w:pos="284"/>
                <w:tab w:val="num" w:pos="330"/>
              </w:tabs>
              <w:spacing w:after="120"/>
              <w:ind w:left="330" w:hanging="330"/>
              <w:rPr>
                <w:b/>
                <w:noProof/>
              </w:rPr>
            </w:pPr>
            <w:r>
              <w:rPr>
                <w:b/>
                <w:noProof/>
              </w:rPr>
              <w:t>utiliser le formulaire commun pour la déclaration électronique</w:t>
            </w:r>
            <w:r>
              <w:rPr>
                <w:noProof/>
              </w:rPr>
              <w:t xml:space="preserve"> du détachement de travailleurs au sein du marché unique;</w:t>
            </w:r>
          </w:p>
          <w:p w14:paraId="34D58A00" w14:textId="08477BA6" w:rsidR="0027187A" w:rsidRPr="00294779" w:rsidRDefault="16304D64" w:rsidP="006719DD">
            <w:pPr>
              <w:pStyle w:val="ListBullet2Level2"/>
              <w:numPr>
                <w:ilvl w:val="0"/>
                <w:numId w:val="55"/>
              </w:numPr>
              <w:tabs>
                <w:tab w:val="clear" w:pos="284"/>
                <w:tab w:val="num" w:pos="330"/>
              </w:tabs>
              <w:spacing w:after="120"/>
              <w:ind w:left="330" w:hanging="330"/>
              <w:rPr>
                <w:noProof/>
              </w:rPr>
            </w:pPr>
            <w:r>
              <w:rPr>
                <w:b/>
                <w:noProof/>
              </w:rPr>
              <w:t>réaliser des progrès dans la mise en œuvre des recommandations du Conseil adoptées dans le cadre de l’espace européen de l’éducation</w:t>
            </w:r>
            <w:r>
              <w:rPr>
                <w:noProof/>
              </w:rPr>
              <w:t xml:space="preserve"> et collaborer avec la Commission européenne et les parties prenantes sur la future intégration du diplôme européen dans les cadres nationaux de certification;</w:t>
            </w:r>
          </w:p>
          <w:p w14:paraId="7F1C03DA" w14:textId="395F43E8" w:rsidR="0027187A" w:rsidRPr="00630322" w:rsidRDefault="16304D64" w:rsidP="006719DD">
            <w:pPr>
              <w:pStyle w:val="ListBullet2Level2"/>
              <w:numPr>
                <w:ilvl w:val="0"/>
                <w:numId w:val="55"/>
              </w:numPr>
              <w:tabs>
                <w:tab w:val="clear" w:pos="284"/>
                <w:tab w:val="num" w:pos="330"/>
              </w:tabs>
              <w:spacing w:after="120"/>
              <w:ind w:left="329" w:hanging="329"/>
              <w:rPr>
                <w:noProof/>
              </w:rPr>
            </w:pPr>
            <w:r>
              <w:rPr>
                <w:noProof/>
              </w:rPr>
              <w:t xml:space="preserve">conformément aux conclusions du Conseil de </w:t>
            </w:r>
            <w:r w:rsidRPr="002C3F74">
              <w:rPr>
                <w:noProof/>
              </w:rPr>
              <w:t>2023</w:t>
            </w:r>
            <w:r>
              <w:rPr>
                <w:noProof/>
              </w:rPr>
              <w:t xml:space="preserve"> sur les nouvelles mesures à prendre pour </w:t>
            </w:r>
            <w:r>
              <w:rPr>
                <w:b/>
                <w:noProof/>
              </w:rPr>
              <w:t>faire de la reconnaissance mutuelle automatique de l’enseignement et de la formation une réalité</w:t>
            </w:r>
            <w:r>
              <w:rPr>
                <w:noProof/>
              </w:rPr>
              <w:t>, prendre des mesures pour supprimer les derniers obstacles à la reconnaissance automatique.</w:t>
            </w:r>
          </w:p>
          <w:p w14:paraId="672E9D90" w14:textId="16BCE264" w:rsidR="00862051" w:rsidRPr="00157272" w:rsidRDefault="00C7588F" w:rsidP="006719DD">
            <w:pPr>
              <w:pStyle w:val="ListBullet2"/>
              <w:numPr>
                <w:ilvl w:val="0"/>
                <w:numId w:val="0"/>
              </w:numPr>
              <w:spacing w:after="120"/>
              <w:rPr>
                <w:noProof/>
              </w:rPr>
            </w:pPr>
            <w:r>
              <w:rPr>
                <w:noProof/>
                <w:u w:val="single"/>
              </w:rPr>
              <w:t>La Commission se félicite de la volonté des partenaires sociaux de</w:t>
            </w:r>
            <w:r>
              <w:rPr>
                <w:noProof/>
              </w:rPr>
              <w:t>:</w:t>
            </w:r>
          </w:p>
          <w:p w14:paraId="6D78B6E6" w14:textId="6745D843" w:rsidR="00D622D1" w:rsidRPr="00E61939" w:rsidRDefault="318A429B" w:rsidP="006719DD">
            <w:pPr>
              <w:pStyle w:val="ListBullet2Level2"/>
              <w:numPr>
                <w:ilvl w:val="0"/>
                <w:numId w:val="55"/>
              </w:numPr>
              <w:tabs>
                <w:tab w:val="clear" w:pos="284"/>
                <w:tab w:val="num" w:pos="330"/>
              </w:tabs>
              <w:spacing w:after="120"/>
              <w:ind w:left="329" w:hanging="329"/>
              <w:rPr>
                <w:noProof/>
              </w:rPr>
            </w:pPr>
            <w:r>
              <w:rPr>
                <w:noProof/>
              </w:rPr>
              <w:t xml:space="preserve">recenser, en collaboration avec la Commission et les États membres, un certain nombre de </w:t>
            </w:r>
            <w:r>
              <w:rPr>
                <w:b/>
                <w:noProof/>
              </w:rPr>
              <w:t>professions réglementées prioritaires dans lesquelles les pénuries sont les plus graves</w:t>
            </w:r>
            <w:r>
              <w:rPr>
                <w:noProof/>
              </w:rPr>
              <w:t xml:space="preserve"> pour favoriser la mobilité des travailleurs dans ces professions</w:t>
            </w:r>
            <w:r w:rsidR="00046CA5" w:rsidRPr="00157272">
              <w:rPr>
                <w:rStyle w:val="FootnoteReference"/>
                <w:noProof/>
              </w:rPr>
              <w:footnoteReference w:id="115"/>
            </w:r>
            <w:r>
              <w:rPr>
                <w:noProof/>
              </w:rPr>
              <w:t>;</w:t>
            </w:r>
          </w:p>
          <w:p w14:paraId="0BD65735" w14:textId="7D867C8B" w:rsidR="00E56687" w:rsidRPr="00A6338F" w:rsidRDefault="5E3CC46F" w:rsidP="006719DD">
            <w:pPr>
              <w:pStyle w:val="ListBullet2Level2"/>
              <w:numPr>
                <w:ilvl w:val="0"/>
                <w:numId w:val="55"/>
              </w:numPr>
              <w:tabs>
                <w:tab w:val="clear" w:pos="284"/>
                <w:tab w:val="num" w:pos="330"/>
              </w:tabs>
              <w:spacing w:after="120"/>
              <w:ind w:left="329" w:hanging="329"/>
              <w:rPr>
                <w:noProof/>
              </w:rPr>
            </w:pPr>
            <w:r>
              <w:rPr>
                <w:noProof/>
              </w:rPr>
              <w:t xml:space="preserve">encourager la </w:t>
            </w:r>
            <w:r>
              <w:rPr>
                <w:b/>
                <w:noProof/>
              </w:rPr>
              <w:t>mobilité transnationale des apprentis</w:t>
            </w:r>
            <w:r>
              <w:rPr>
                <w:noProof/>
              </w:rPr>
              <w:t xml:space="preserve"> et </w:t>
            </w:r>
            <w:r>
              <w:rPr>
                <w:b/>
                <w:noProof/>
              </w:rPr>
              <w:t>des jeunes professionnels</w:t>
            </w:r>
            <w:r>
              <w:rPr>
                <w:noProof/>
              </w:rPr>
              <w:t xml:space="preserve"> en créant des partenariats entre les prestataires d’EFP et les PME en fonction des besoins de compétences des entreprises</w:t>
            </w:r>
            <w:r w:rsidR="00046CA5" w:rsidRPr="00157272">
              <w:rPr>
                <w:rStyle w:val="FootnoteReference"/>
                <w:noProof/>
              </w:rPr>
              <w:footnoteReference w:id="116"/>
            </w:r>
            <w:r>
              <w:rPr>
                <w:noProof/>
              </w:rPr>
              <w:t>;</w:t>
            </w:r>
          </w:p>
          <w:p w14:paraId="34BF76FE" w14:textId="2B64EA84" w:rsidR="004D3FE5" w:rsidRDefault="48BAC347" w:rsidP="006719DD">
            <w:pPr>
              <w:pStyle w:val="ListBullet2Level2"/>
              <w:numPr>
                <w:ilvl w:val="0"/>
                <w:numId w:val="55"/>
              </w:numPr>
              <w:tabs>
                <w:tab w:val="clear" w:pos="284"/>
                <w:tab w:val="num" w:pos="330"/>
              </w:tabs>
              <w:spacing w:after="120"/>
              <w:ind w:left="329" w:hanging="329"/>
              <w:rPr>
                <w:noProof/>
              </w:rPr>
            </w:pPr>
            <w:r>
              <w:rPr>
                <w:noProof/>
              </w:rPr>
              <w:t>soutenir l’</w:t>
            </w:r>
            <w:r>
              <w:rPr>
                <w:b/>
                <w:noProof/>
              </w:rPr>
              <w:t>élimination des obstacles à la mobilité des travailleurs qualifiés</w:t>
            </w:r>
            <w:r>
              <w:rPr>
                <w:noProof/>
              </w:rPr>
              <w:t>, tels que les clauses de non-concurrence dans les contrats de travail</w:t>
            </w:r>
            <w:r w:rsidR="004D3FE5" w:rsidRPr="00157272">
              <w:rPr>
                <w:rStyle w:val="FootnoteReference"/>
                <w:noProof/>
              </w:rPr>
              <w:footnoteReference w:id="117"/>
            </w:r>
            <w:r>
              <w:rPr>
                <w:noProof/>
              </w:rPr>
              <w:t>;</w:t>
            </w:r>
          </w:p>
          <w:p w14:paraId="304334CE" w14:textId="4520420B" w:rsidR="5B817285" w:rsidRPr="004F15F4" w:rsidRDefault="48BAC347" w:rsidP="006719DD">
            <w:pPr>
              <w:pStyle w:val="ListBullet2Level2"/>
              <w:numPr>
                <w:ilvl w:val="0"/>
                <w:numId w:val="55"/>
              </w:numPr>
              <w:tabs>
                <w:tab w:val="clear" w:pos="284"/>
                <w:tab w:val="num" w:pos="330"/>
              </w:tabs>
              <w:spacing w:after="120"/>
              <w:ind w:left="329" w:hanging="329"/>
              <w:rPr>
                <w:noProof/>
              </w:rPr>
            </w:pPr>
            <w:r>
              <w:rPr>
                <w:noProof/>
              </w:rPr>
              <w:t xml:space="preserve">au niveau sectoriel, travailler avec la Commission sur une </w:t>
            </w:r>
            <w:r>
              <w:rPr>
                <w:b/>
                <w:noProof/>
              </w:rPr>
              <w:t>future recommandation du Conseil de l’UE sur les vérifications transfrontières des antécédents du personnel de sécurité</w:t>
            </w:r>
            <w:r w:rsidR="007E49FB" w:rsidRPr="00157272">
              <w:rPr>
                <w:rStyle w:val="FootnoteReference"/>
                <w:noProof/>
              </w:rPr>
              <w:footnoteReference w:id="118"/>
            </w:r>
            <w:r>
              <w:rPr>
                <w:noProof/>
              </w:rPr>
              <w:t>;</w:t>
            </w:r>
          </w:p>
          <w:p w14:paraId="4C1F5F2D" w14:textId="598593E8" w:rsidR="00E56687" w:rsidRPr="00630322" w:rsidRDefault="0585C624" w:rsidP="006719DD">
            <w:pPr>
              <w:pStyle w:val="ListBullet2Level2"/>
              <w:numPr>
                <w:ilvl w:val="0"/>
                <w:numId w:val="55"/>
              </w:numPr>
              <w:tabs>
                <w:tab w:val="clear" w:pos="284"/>
                <w:tab w:val="num" w:pos="330"/>
              </w:tabs>
              <w:spacing w:after="120"/>
              <w:ind w:left="329" w:hanging="329"/>
              <w:rPr>
                <w:noProof/>
              </w:rPr>
            </w:pPr>
            <w:r>
              <w:rPr>
                <w:noProof/>
              </w:rPr>
              <w:t xml:space="preserve">encourager la </w:t>
            </w:r>
            <w:r>
              <w:rPr>
                <w:b/>
                <w:noProof/>
              </w:rPr>
              <w:t>mobilité à des fins d’apprentissage</w:t>
            </w:r>
            <w:r>
              <w:rPr>
                <w:noProof/>
              </w:rPr>
              <w:t xml:space="preserve"> dans le cadre de </w:t>
            </w:r>
            <w:r>
              <w:rPr>
                <w:b/>
                <w:noProof/>
              </w:rPr>
              <w:t>l’environnement scolaire traditionnel</w:t>
            </w:r>
            <w:r w:rsidR="00A1094C" w:rsidRPr="00157272">
              <w:rPr>
                <w:rStyle w:val="FootnoteReference"/>
                <w:noProof/>
              </w:rPr>
              <w:footnoteReference w:id="119"/>
            </w:r>
            <w:r>
              <w:rPr>
                <w:noProof/>
              </w:rPr>
              <w:t>.</w:t>
            </w:r>
          </w:p>
        </w:tc>
      </w:tr>
    </w:tbl>
    <w:p w14:paraId="37D92BDF" w14:textId="77777777" w:rsidR="004F11D0" w:rsidRPr="00B86F89" w:rsidRDefault="004F11D0" w:rsidP="004F11D0">
      <w:pPr>
        <w:pStyle w:val="Heading2"/>
        <w:spacing w:before="240"/>
        <w:ind w:left="1065" w:hanging="590"/>
        <w:rPr>
          <w:noProof/>
        </w:rPr>
      </w:pPr>
      <w:r w:rsidRPr="00B86F89">
        <w:rPr>
          <w:noProof/>
        </w:rPr>
        <w:t>Attirer des talents issus de pays tiers</w:t>
      </w:r>
    </w:p>
    <w:p w14:paraId="2174D46B" w14:textId="77777777" w:rsidR="004F11D0" w:rsidRPr="00B86F89" w:rsidRDefault="004F11D0" w:rsidP="004F11D0">
      <w:pPr>
        <w:spacing w:after="120"/>
        <w:rPr>
          <w:noProof/>
        </w:rPr>
      </w:pPr>
      <w:bookmarkStart w:id="7" w:name="_Hlk160615864"/>
      <w:r w:rsidRPr="00B86F89">
        <w:rPr>
          <w:b/>
          <w:noProof/>
        </w:rPr>
        <w:t>En complément des efforts visant à mettre à profit les talents de l’Union, une gestion ordonnée de la mobilité depuis des pays tiers a aussi un rôle important à jouer pour remédier aux pénuries de main-d’œuvre et de compétences</w:t>
      </w:r>
      <w:r w:rsidRPr="00B86F89">
        <w:rPr>
          <w:noProof/>
        </w:rPr>
        <w:t>. L’UE peine cependant à exploiter tout son potentiel d’attractivité auprès des talents internationaux. Une mise en correspondance facilitée des offres et des demandes d’emploi ainsi que des conditions de travail justes et équitables garanties aux ressortissants de pays tiers peuvent contribuer à attirer des talents issus de pays extérieurs à l’UE. Dans le cadre du train de mesures sur la mobilité des compétences et des talents (</w:t>
      </w:r>
      <w:r w:rsidRPr="00B86F89">
        <w:rPr>
          <w:rStyle w:val="FootnoteReference"/>
          <w:noProof/>
          <w:lang w:val="en-IE"/>
        </w:rPr>
        <w:footnoteReference w:id="120"/>
      </w:r>
      <w:r w:rsidRPr="00B86F89">
        <w:rPr>
          <w:noProof/>
        </w:rPr>
        <w:t>), le réservoir européen de talents (</w:t>
      </w:r>
      <w:r w:rsidRPr="00B86F89">
        <w:rPr>
          <w:noProof/>
          <w:vertAlign w:val="superscript"/>
        </w:rPr>
        <w:footnoteReference w:id="121"/>
      </w:r>
      <w:r w:rsidRPr="00B86F89">
        <w:rPr>
          <w:noProof/>
        </w:rPr>
        <w:t>) récemment proposé vise à faciliter le recrutement de demandeurs d’emploi originaires de pays tiers dans des professions en pénurie à l’échelle de l’UE, à tous les niveaux de compétences. Il s’agira de la première plateforme en ligne à l’échelle de l’UE qui, une fois mise en place, sera ouverte à tout ressortissant de pays tiers souhaitant travailler légalement dans l’Union, et sur laquelle les États membres participants pourront enregistrer les offres d’emploi d’employeurs établis sur leur territoire. Cette mesure pourra ainsi compléter les dispositions relatives à la circulation des personnes physiques contenues dans les accords de libre-échange de l’UE, qui facilitent également la fourniture de services par des professionnels hautement qualifiés issus de pays tiers. Par ailleurs, outre les protections pour les travailleurs migrants prévues dans la refonte de la directive sur le permis unique (</w:t>
      </w:r>
      <w:r w:rsidRPr="00B86F89">
        <w:rPr>
          <w:rStyle w:val="FootnoteReference"/>
          <w:noProof/>
        </w:rPr>
        <w:footnoteReference w:id="122"/>
      </w:r>
      <w:r w:rsidRPr="00B86F89">
        <w:rPr>
          <w:noProof/>
        </w:rPr>
        <w:t>), telles que des garanties procédurales ou des droits spécifiques accordés sur la base de ce permis, le réservoir européen de talents comportera des garanties destinées à prévenir toutes pratiques abusives ou déloyales, visant à rappeler que les ressortissants de pays tiers recrutés par son intermédiaire bénéficieront, une fois en poste, des mêmes droits et obligations que les travailleurs de l’UE</w:t>
      </w:r>
      <w:bookmarkEnd w:id="7"/>
      <w:r w:rsidRPr="00B86F89">
        <w:rPr>
          <w:noProof/>
        </w:rPr>
        <w:t>, notamment en ce qui concerne le respect de la législation et des principes de l’UE, afin de garantir une intégration harmonieuse dans les communautés locales.</w:t>
      </w:r>
    </w:p>
    <w:p w14:paraId="1A05CE83" w14:textId="77777777" w:rsidR="004F11D0" w:rsidRPr="00B86F89" w:rsidRDefault="004F11D0" w:rsidP="004F11D0">
      <w:pPr>
        <w:spacing w:after="120"/>
        <w:rPr>
          <w:noProof/>
        </w:rPr>
      </w:pPr>
      <w:r w:rsidRPr="00B86F89">
        <w:rPr>
          <w:b/>
          <w:noProof/>
          <w:color w:val="2B579A"/>
          <w:shd w:val="clear" w:color="auto" w:fill="E6E6E6"/>
          <w:lang w:val="en-GB" w:eastAsia="en-GB"/>
        </w:rPr>
        <mc:AlternateContent>
          <mc:Choice Requires="wps">
            <w:drawing>
              <wp:anchor distT="0" distB="0" distL="114300" distR="114300" simplePos="0" relativeHeight="251660291" behindDoc="0" locked="0" layoutInCell="1" allowOverlap="1" wp14:anchorId="069D84DA" wp14:editId="5C1A0380">
                <wp:simplePos x="0" y="0"/>
                <wp:positionH relativeFrom="margin">
                  <wp:align>left</wp:align>
                </wp:positionH>
                <wp:positionV relativeFrom="paragraph">
                  <wp:posOffset>38100</wp:posOffset>
                </wp:positionV>
                <wp:extent cx="2272030" cy="2927350"/>
                <wp:effectExtent l="0" t="0" r="13970" b="25400"/>
                <wp:wrapSquare wrapText="bothSides"/>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2272030" cy="2927350"/>
                        </a:xfrm>
                        <a:prstGeom prst="rect">
                          <a:avLst/>
                        </a:prstGeom>
                        <a:solidFill>
                          <a:srgbClr val="FFFFFF"/>
                        </a:solidFill>
                        <a:ln w="9525">
                          <a:solidFill>
                            <a:srgbClr val="000000"/>
                          </a:solidFill>
                          <a:miter/>
                        </a:ln>
                      </wps:spPr>
                      <wps:txbx>
                        <w:txbxContent>
                          <w:p w14:paraId="507F1F1B" w14:textId="77777777" w:rsidR="004F11D0" w:rsidRPr="00970B7F" w:rsidRDefault="004F11D0" w:rsidP="004F11D0">
                            <w:pPr>
                              <w:spacing w:after="120"/>
                            </w:pPr>
                            <w:r>
                              <w:t>En novembre 2023, l’</w:t>
                            </w:r>
                            <w:r>
                              <w:rPr>
                                <w:b/>
                              </w:rPr>
                              <w:t>Estonie</w:t>
                            </w:r>
                            <w:r>
                              <w:t xml:space="preserve">, la </w:t>
                            </w:r>
                            <w:r>
                              <w:rPr>
                                <w:b/>
                                <w:bCs/>
                              </w:rPr>
                              <w:t>Lettonie</w:t>
                            </w:r>
                            <w:r>
                              <w:t xml:space="preserve"> et la </w:t>
                            </w:r>
                            <w:r>
                              <w:rPr>
                                <w:b/>
                              </w:rPr>
                              <w:t>Lituanie</w:t>
                            </w:r>
                            <w:r>
                              <w:t xml:space="preserve"> ont lancé le projet «Digital Explorers 2», qui bénéficie du soutien de la Commission par l’intermédiaire de la facilité de partenariat en matière de migration. Ce projet facilite l’échange de talents et de connaissances entre l’UE et les pays tiers. Au cours des deux ans et demi à venir, des professionnels des </w:t>
                            </w:r>
                            <w:r>
                              <w:rPr>
                                <w:color w:val="000000"/>
                              </w:rPr>
                              <w:t>T</w:t>
                            </w:r>
                            <w:r>
                              <w:t>IC du Nigeria, du Kenya et de l’Arménie travailleront dans des entreprises et des start-up établies dans les pays baltes.</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069D84DA" id="Rectangle 7" o:spid="_x0000_s1029" style="position:absolute;left:0;text-align:left;margin-left:0;margin-top:3pt;width:178.9pt;height:230.5pt;z-index:251660291;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">
                <v:textbox>
                  <w:txbxContent>
                    <w:p w14:paraId="507F1F1B" w14:textId="77777777" w:rsidR="004F11D0" w:rsidRPr="00970B7F" w:rsidRDefault="004F11D0" w:rsidP="004F11D0">
                      <w:pPr>
                        <w:spacing w:after="120"/>
                      </w:pPr>
                      <w:r>
                        <w:t>En novembre 2023, l’</w:t>
                      </w:r>
                      <w:r>
                        <w:rPr>
                          <w:b/>
                        </w:rPr>
                        <w:t>Estonie</w:t>
                      </w:r>
                      <w:r>
                        <w:t xml:space="preserve">, la </w:t>
                      </w:r>
                      <w:r>
                        <w:rPr>
                          <w:b/>
                          <w:bCs/>
                        </w:rPr>
                        <w:t>Lettonie</w:t>
                      </w:r>
                      <w:r>
                        <w:t xml:space="preserve"> et la </w:t>
                      </w:r>
                      <w:r>
                        <w:rPr>
                          <w:b/>
                        </w:rPr>
                        <w:t>Lituanie</w:t>
                      </w:r>
                      <w:r>
                        <w:t xml:space="preserve"> ont lancé le projet «Digital Explorers 2», qui bénéficie du soutien de la Commission par l’intermédiaire de la facilité de partenariat en matière de migration. Ce projet facilite l’échange de talents et de connaissances entre l’UE et les pays tiers. Au cours des deux ans et demi à venir, des professionnels des </w:t>
                      </w:r>
                      <w:r>
                        <w:rPr>
                          <w:color w:val="000000"/>
                        </w:rPr>
                        <w:t>T</w:t>
                      </w:r>
                      <w:r>
                        <w:t>IC du Nigeria, du Kenya et de l’Arménie travailleront dans des entreprises et des start-up établies dans les pays baltes.</w:t>
                      </w:r>
                    </w:p>
                  </w:txbxContent>
                </v:textbox>
                <w10:wrap type="square" anchorx="margin"/>
              </v:rect>
            </w:pict>
          </mc:Fallback>
        </mc:AlternateContent>
      </w:r>
      <w:r w:rsidRPr="00B86F89">
        <w:rPr>
          <w:b/>
          <w:bCs/>
          <w:noProof/>
        </w:rPr>
        <w:t>Les partenariats pour les talents peuvent également renforcer les voies légales d’accès à l’UE et, dans un même temps, associer les pays partenaires de façon stratégique à la gestion de la migration, notamment en contribuant à réduire la migration irrégulière et en encourageant les partenaires à coopérer en matière de retour et de réadmission.</w:t>
      </w:r>
      <w:r w:rsidRPr="00B86F89">
        <w:rPr>
          <w:noProof/>
        </w:rPr>
        <w:t xml:space="preserve"> Jusqu’à présent, des partenariats pour les talents ont été établis avec le Maroc, la Tunisie, l’Égypte, le Pakistan et le Bangladesh (</w:t>
      </w:r>
      <w:r w:rsidRPr="00B86F89">
        <w:rPr>
          <w:noProof/>
          <w:vertAlign w:val="superscript"/>
        </w:rPr>
        <w:footnoteReference w:id="123"/>
      </w:r>
      <w:r w:rsidRPr="00B86F89">
        <w:rPr>
          <w:noProof/>
        </w:rPr>
        <w:t>). Ces partenariats fournissent un cadre d’action et de financement pour renforcer la coopération entre l’Union européenne, les États membres et les principaux pays partenaires en ce qui concerne la mobilité et le développement des compétences d’une manière mutuellement bénéfique. Les programmes et initiatives de la Commission (</w:t>
      </w:r>
      <w:r w:rsidRPr="00B86F89">
        <w:rPr>
          <w:rStyle w:val="FootnoteReference"/>
          <w:noProof/>
        </w:rPr>
        <w:footnoteReference w:id="124"/>
      </w:r>
      <w:r w:rsidRPr="00B86F89">
        <w:rPr>
          <w:noProof/>
        </w:rPr>
        <w:t xml:space="preserve">) axés sur la mobilité des migrants depuis des pays partenaires pour étudier, travailler ou se former dans l’UE contribuent aux partenariats pour les talents, dans une logique d’intérêt mutuel tant pour les pays d’origine que pour les pays de destination. En outre, dans le cadre de la stratégie exhaustive «Global Gateway», l’UE soutient </w:t>
      </w:r>
      <w:bookmarkStart w:id="8" w:name="_Hlk161313519"/>
      <w:r w:rsidRPr="00B86F89">
        <w:rPr>
          <w:noProof/>
        </w:rPr>
        <w:t>l’enseignement et la formation techniques et professionnels ainsi que le développement des compétences dans les pays partenaires</w:t>
      </w:r>
      <w:bookmarkStart w:id="9" w:name="_Hlk159519535"/>
      <w:bookmarkEnd w:id="8"/>
      <w:r w:rsidRPr="00B86F89">
        <w:rPr>
          <w:noProof/>
        </w:rPr>
        <w:t xml:space="preserve"> (</w:t>
      </w:r>
      <w:r w:rsidRPr="00B86F89">
        <w:rPr>
          <w:rStyle w:val="FootnoteReference"/>
          <w:noProof/>
        </w:rPr>
        <w:footnoteReference w:id="125"/>
      </w:r>
      <w:r w:rsidRPr="00B86F89">
        <w:rPr>
          <w:noProof/>
        </w:rPr>
        <w:t>).</w:t>
      </w:r>
    </w:p>
    <w:bookmarkEnd w:id="9"/>
    <w:p w14:paraId="6BD02F8F" w14:textId="77777777" w:rsidR="004F11D0" w:rsidRPr="00B86F89" w:rsidRDefault="004F11D0" w:rsidP="004F11D0">
      <w:pPr>
        <w:spacing w:after="120"/>
        <w:rPr>
          <w:b/>
          <w:bCs/>
          <w:i/>
          <w:iCs/>
          <w:noProof/>
        </w:rPr>
      </w:pPr>
      <w:r w:rsidRPr="00B86F89">
        <w:rPr>
          <w:b/>
          <w:noProof/>
        </w:rPr>
        <w:t>La validation des compétences et la reconnaissance des qualifications jouent également un rôle clé dans le recrutement de talents issus de pays tiers</w:t>
      </w:r>
      <w:r w:rsidRPr="00B86F89">
        <w:rPr>
          <w:noProof/>
        </w:rPr>
        <w:t>. La lenteur ou la complexité des processus de reconnaissance des compétences et des qualifications peuvent restreindre les possibilités d’emploi des ressortissants de pays tiers et avoir un effet dissuasif auprès des employeurs. Comme il ressort du train de mesures sur la mobilité des compétences et des talents (</w:t>
      </w:r>
      <w:r w:rsidRPr="00B86F89">
        <w:rPr>
          <w:rStyle w:val="FootnoteReference"/>
          <w:noProof/>
        </w:rPr>
        <w:footnoteReference w:id="126"/>
      </w:r>
      <w:r w:rsidRPr="00B86F89">
        <w:rPr>
          <w:noProof/>
        </w:rPr>
        <w:t>), la réalité des marchés du travail nécessite des approches donnant la priorité aux compétences. La recommandation de la Commission sur la reconnaissance des qualifications des ressortissants de pays tiers (</w:t>
      </w:r>
      <w:r w:rsidRPr="00B86F89">
        <w:rPr>
          <w:rStyle w:val="FootnoteReference"/>
          <w:noProof/>
        </w:rPr>
        <w:footnoteReference w:id="127"/>
      </w:r>
      <w:r w:rsidRPr="00B86F89">
        <w:rPr>
          <w:noProof/>
        </w:rPr>
        <w:t>), également adoptée dans le cadre du train de mesures sur la mobilité des compétences et des talents, fournit des orientations aux États membres sur la manière de simplifier et d’accélérer la validation de compétences et la reconnaissance de qualifications acquises en dehors de l’UE, afin de faciliter l’accès aux professions réglementées et à des programmes d’apprentissage ainsi qu’à des visas ou à des permis de travail et de séjour.</w:t>
      </w:r>
    </w:p>
    <w:tbl>
      <w:tblPr>
        <w:tblStyle w:val="TableGrid"/>
        <w:tblW w:w="0" w:type="auto"/>
        <w:tblLook w:val="04A0" w:firstRow="1" w:lastRow="0" w:firstColumn="1" w:lastColumn="0" w:noHBand="0" w:noVBand="1"/>
      </w:tblPr>
      <w:tblGrid>
        <w:gridCol w:w="8602"/>
      </w:tblGrid>
      <w:tr w:rsidR="004F11D0" w:rsidRPr="00B86F89" w14:paraId="19CD6B63" w14:textId="77777777" w:rsidTr="009D4872">
        <w:trPr>
          <w:trHeight w:val="5230"/>
        </w:trPr>
        <w:tc>
          <w:tcPr>
            <w:tcW w:w="8602" w:type="dxa"/>
          </w:tcPr>
          <w:p w14:paraId="2CBD7517" w14:textId="77777777" w:rsidR="004F11D0" w:rsidRPr="00B86F89" w:rsidRDefault="004F11D0" w:rsidP="009D4872">
            <w:pPr>
              <w:pStyle w:val="ListBullet1"/>
              <w:numPr>
                <w:ilvl w:val="0"/>
                <w:numId w:val="0"/>
              </w:numPr>
              <w:spacing w:after="120"/>
              <w:rPr>
                <w:noProof/>
              </w:rPr>
            </w:pPr>
            <w:r w:rsidRPr="00B86F89">
              <w:rPr>
                <w:b/>
                <w:i/>
                <w:noProof/>
              </w:rPr>
              <w:t>Afin d’attirer davantage de talents issus de pays tiers pour combler les pénuries au sein de l’UE, des mesures supplémentaires sont nécessaires pour garantir l’efficacité des politiques en matière de mise en correspondance des offres et des demandes d’emploi, d’une part, et d’intégration, d’autre part, ainsi que pour assurer des conditions de travail justes et équitables.</w:t>
            </w:r>
          </w:p>
          <w:p w14:paraId="7B41BBCF" w14:textId="77777777" w:rsidR="004F11D0" w:rsidRPr="00B86F89" w:rsidRDefault="004F11D0" w:rsidP="009D4872">
            <w:pPr>
              <w:pStyle w:val="ListBullet2"/>
              <w:numPr>
                <w:ilvl w:val="0"/>
                <w:numId w:val="0"/>
              </w:numPr>
              <w:spacing w:after="120"/>
              <w:rPr>
                <w:noProof/>
              </w:rPr>
            </w:pPr>
            <w:r w:rsidRPr="00B86F89">
              <w:rPr>
                <w:noProof/>
                <w:u w:val="single"/>
              </w:rPr>
              <w:t>À cette fin, la Commission</w:t>
            </w:r>
            <w:r w:rsidRPr="00B86F89">
              <w:rPr>
                <w:noProof/>
              </w:rPr>
              <w:t>:</w:t>
            </w:r>
          </w:p>
          <w:p w14:paraId="23CEE6D7" w14:textId="77777777" w:rsidR="004F11D0" w:rsidRPr="00B86F89" w:rsidRDefault="004F11D0" w:rsidP="009D4872">
            <w:pPr>
              <w:pStyle w:val="ListBullet2Level2"/>
              <w:numPr>
                <w:ilvl w:val="0"/>
                <w:numId w:val="55"/>
              </w:numPr>
              <w:tabs>
                <w:tab w:val="clear" w:pos="284"/>
              </w:tabs>
              <w:spacing w:after="120"/>
              <w:ind w:left="329" w:hanging="329"/>
              <w:rPr>
                <w:noProof/>
              </w:rPr>
            </w:pPr>
            <w:r w:rsidRPr="00B86F89">
              <w:rPr>
                <w:noProof/>
              </w:rPr>
              <w:t xml:space="preserve">étudiera des façons de </w:t>
            </w:r>
            <w:r w:rsidRPr="00B86F89">
              <w:rPr>
                <w:b/>
                <w:noProof/>
              </w:rPr>
              <w:t>soutenir davantage les pays tiers dans l’élaboration de programmes d’études et de modules de formation</w:t>
            </w:r>
            <w:r w:rsidRPr="00B86F89">
              <w:rPr>
                <w:noProof/>
              </w:rPr>
              <w:t>, y compris dans le cadre des partenariats pour les talents et par l’aide apportée au titre des programmes de financement de l’UE;</w:t>
            </w:r>
          </w:p>
          <w:p w14:paraId="537A9CA6" w14:textId="77777777" w:rsidR="004F11D0" w:rsidRPr="00B86F89" w:rsidRDefault="004F11D0" w:rsidP="009D4872">
            <w:pPr>
              <w:pStyle w:val="ListBullet2Level2"/>
              <w:numPr>
                <w:ilvl w:val="0"/>
                <w:numId w:val="55"/>
              </w:numPr>
              <w:tabs>
                <w:tab w:val="clear" w:pos="284"/>
              </w:tabs>
              <w:spacing w:after="120"/>
              <w:ind w:left="329" w:hanging="329"/>
              <w:rPr>
                <w:noProof/>
              </w:rPr>
            </w:pPr>
            <w:r w:rsidRPr="00B86F89">
              <w:rPr>
                <w:b/>
                <w:noProof/>
              </w:rPr>
              <w:t>mettra en place le réservoir européen de talents</w:t>
            </w:r>
            <w:r w:rsidRPr="00B86F89">
              <w:rPr>
                <w:noProof/>
              </w:rPr>
              <w:t>, une fois que la proposition correspondante aura été adoptée par les colégislateurs, afin de faciliter le recrutement à l’international de ressortissants de pays tiers résidant en dehors de l’UE;</w:t>
            </w:r>
          </w:p>
          <w:p w14:paraId="21D85E47" w14:textId="77777777" w:rsidR="004F11D0" w:rsidRPr="00B86F89" w:rsidRDefault="004F11D0" w:rsidP="009D4872">
            <w:pPr>
              <w:pStyle w:val="ListBullet2Level2"/>
              <w:numPr>
                <w:ilvl w:val="0"/>
                <w:numId w:val="55"/>
              </w:numPr>
              <w:tabs>
                <w:tab w:val="clear" w:pos="284"/>
              </w:tabs>
              <w:spacing w:after="120"/>
              <w:ind w:left="329" w:hanging="329"/>
              <w:rPr>
                <w:noProof/>
              </w:rPr>
            </w:pPr>
            <w:r w:rsidRPr="00B86F89">
              <w:rPr>
                <w:b/>
                <w:noProof/>
              </w:rPr>
              <w:t>intensifiera la coopération en matière de compétences et de voies légales d’accès</w:t>
            </w:r>
            <w:r w:rsidRPr="00B86F89">
              <w:rPr>
                <w:noProof/>
              </w:rPr>
              <w:t xml:space="preserve"> avec les pays partenaires non membres de l’UE, notamment en renforçant et en explorant de nouveaux partenariats pour les talents dans le cadre d’une coopération stratégique et globale en matière de gestion de la migration et d’autres initiatives de coopération pertinentes, tout en prévenant la «fuite des cerveaux» et en la transformant en un «afflux de cerveaux» dans les pays partenaires;</w:t>
            </w:r>
          </w:p>
          <w:p w14:paraId="04A598B2" w14:textId="77777777" w:rsidR="004F11D0" w:rsidRPr="00B86F89" w:rsidRDefault="004F11D0" w:rsidP="009D4872">
            <w:pPr>
              <w:pStyle w:val="ListBullet2Level2"/>
              <w:numPr>
                <w:ilvl w:val="0"/>
                <w:numId w:val="55"/>
              </w:numPr>
              <w:tabs>
                <w:tab w:val="clear" w:pos="284"/>
              </w:tabs>
              <w:spacing w:after="120"/>
              <w:ind w:left="329" w:hanging="329"/>
              <w:rPr>
                <w:b/>
                <w:noProof/>
              </w:rPr>
            </w:pPr>
            <w:r w:rsidRPr="00B86F89">
              <w:rPr>
                <w:noProof/>
              </w:rPr>
              <w:t xml:space="preserve">intensifiera le </w:t>
            </w:r>
            <w:r w:rsidRPr="00B86F89">
              <w:rPr>
                <w:b/>
                <w:noProof/>
              </w:rPr>
              <w:t>dialogue avec les États membres et les partenaires sociaux</w:t>
            </w:r>
            <w:r w:rsidRPr="00B86F89">
              <w:rPr>
                <w:noProof/>
              </w:rPr>
              <w:t xml:space="preserve"> sur des questions associant migration légale et emploi par l’intermédiaire de la </w:t>
            </w:r>
            <w:r w:rsidRPr="00B86F89">
              <w:rPr>
                <w:b/>
                <w:noProof/>
              </w:rPr>
              <w:t>plateforme pour la migration de la main-d’œuvre</w:t>
            </w:r>
            <w:r w:rsidRPr="00B86F89">
              <w:rPr>
                <w:noProof/>
              </w:rPr>
              <w:t>.</w:t>
            </w:r>
          </w:p>
          <w:p w14:paraId="5FDFA267" w14:textId="77777777" w:rsidR="004F11D0" w:rsidRPr="00B86F89" w:rsidRDefault="004F11D0" w:rsidP="009D4872">
            <w:pPr>
              <w:pStyle w:val="ListBullet2"/>
              <w:numPr>
                <w:ilvl w:val="0"/>
                <w:numId w:val="0"/>
              </w:numPr>
              <w:spacing w:after="120"/>
              <w:rPr>
                <w:noProof/>
              </w:rPr>
            </w:pPr>
            <w:r w:rsidRPr="00B86F89">
              <w:rPr>
                <w:noProof/>
                <w:u w:val="single"/>
              </w:rPr>
              <w:t>La Commission invite les États membres à:</w:t>
            </w:r>
          </w:p>
          <w:p w14:paraId="21663D09" w14:textId="77777777" w:rsidR="004F11D0" w:rsidRPr="00B86F89" w:rsidRDefault="004F11D0" w:rsidP="009D4872">
            <w:pPr>
              <w:pStyle w:val="ListBullet2Level2"/>
              <w:numPr>
                <w:ilvl w:val="0"/>
                <w:numId w:val="55"/>
              </w:numPr>
              <w:tabs>
                <w:tab w:val="clear" w:pos="284"/>
                <w:tab w:val="num" w:pos="330"/>
              </w:tabs>
              <w:spacing w:after="120"/>
              <w:ind w:left="330" w:hanging="330"/>
              <w:rPr>
                <w:noProof/>
              </w:rPr>
            </w:pPr>
            <w:r w:rsidRPr="00B86F89">
              <w:rPr>
                <w:noProof/>
              </w:rPr>
              <w:t xml:space="preserve">continuer à </w:t>
            </w:r>
            <w:r w:rsidRPr="00B86F89">
              <w:rPr>
                <w:b/>
                <w:noProof/>
              </w:rPr>
              <w:t>nouer des partenariats pour les talents</w:t>
            </w:r>
            <w:r w:rsidRPr="00B86F89">
              <w:rPr>
                <w:noProof/>
              </w:rPr>
              <w:t xml:space="preserve"> afin de renforcer les voies de migration légales, en lançant de nouveaux programmes de mobilité avec, le cas échéant, un soutien financier de l’UE, et au moyen de feuilles de route convenues d’un commun accord pour ces partenariats;</w:t>
            </w:r>
          </w:p>
          <w:p w14:paraId="6A404028" w14:textId="77777777" w:rsidR="004F11D0" w:rsidRPr="00B86F89" w:rsidRDefault="004F11D0" w:rsidP="009D4872">
            <w:pPr>
              <w:pStyle w:val="ListBullet2Level2"/>
              <w:numPr>
                <w:ilvl w:val="0"/>
                <w:numId w:val="55"/>
              </w:numPr>
              <w:spacing w:after="120"/>
              <w:rPr>
                <w:noProof/>
              </w:rPr>
            </w:pPr>
            <w:r w:rsidRPr="00B86F89">
              <w:rPr>
                <w:b/>
                <w:noProof/>
              </w:rPr>
              <w:t>créer une culture de l’accueil</w:t>
            </w:r>
            <w:r w:rsidRPr="00B86F89">
              <w:rPr>
                <w:noProof/>
              </w:rPr>
              <w:t xml:space="preserve"> et mettre en place une politique d’intégration efficace en faveur des travailleurs — et de leurs familles — englobant l’éducation et la formation, l’emploi, la santé et le logement, conformément au plan d’action de l’UE sur l’intégration et l’inclusion (</w:t>
            </w:r>
            <w:r w:rsidRPr="00B86F89">
              <w:rPr>
                <w:rStyle w:val="FootnoteReference"/>
                <w:noProof/>
              </w:rPr>
              <w:footnoteReference w:id="128"/>
            </w:r>
            <w:r w:rsidRPr="00B86F89">
              <w:rPr>
                <w:noProof/>
              </w:rPr>
              <w:t>), et dans le respect des valeurs européennes communes;</w:t>
            </w:r>
          </w:p>
          <w:p w14:paraId="3DEA4015" w14:textId="77777777" w:rsidR="004F11D0" w:rsidRPr="00B86F89" w:rsidRDefault="004F11D0" w:rsidP="009D4872">
            <w:pPr>
              <w:pStyle w:val="ListBullet2Level2"/>
              <w:numPr>
                <w:ilvl w:val="0"/>
                <w:numId w:val="55"/>
              </w:numPr>
              <w:tabs>
                <w:tab w:val="clear" w:pos="284"/>
                <w:tab w:val="num" w:pos="330"/>
              </w:tabs>
              <w:spacing w:after="120"/>
              <w:ind w:left="330" w:hanging="330"/>
              <w:rPr>
                <w:noProof/>
              </w:rPr>
            </w:pPr>
            <w:r w:rsidRPr="00B86F89">
              <w:rPr>
                <w:noProof/>
              </w:rPr>
              <w:t xml:space="preserve">mener rapidement à bien la transposition complète de la </w:t>
            </w:r>
            <w:r w:rsidRPr="00B86F89">
              <w:rPr>
                <w:b/>
                <w:noProof/>
              </w:rPr>
              <w:t>directive révisée relative à la carte bleue européenne</w:t>
            </w:r>
            <w:r w:rsidRPr="00B86F89">
              <w:rPr>
                <w:noProof/>
              </w:rPr>
              <w:t xml:space="preserve"> (</w:t>
            </w:r>
            <w:r w:rsidRPr="00B86F89">
              <w:rPr>
                <w:rStyle w:val="FootnoteReference"/>
                <w:noProof/>
                <w:lang w:val="en-IE"/>
              </w:rPr>
              <w:footnoteReference w:id="129"/>
            </w:r>
            <w:r w:rsidRPr="00B86F89">
              <w:rPr>
                <w:noProof/>
              </w:rPr>
              <w:t xml:space="preserve">) et tirer pleinement parti de la flexibilité accrue prévue dans la </w:t>
            </w:r>
            <w:r w:rsidRPr="00B86F89">
              <w:rPr>
                <w:b/>
                <w:noProof/>
              </w:rPr>
              <w:t>refonte de la directive sur le permis unique</w:t>
            </w:r>
            <w:r w:rsidRPr="00B86F89">
              <w:rPr>
                <w:noProof/>
              </w:rPr>
              <w:t xml:space="preserve"> pour simplifier les procédures d’immigration une fois que la refonte sera entrée en vigueur;</w:t>
            </w:r>
          </w:p>
          <w:p w14:paraId="5EA941A4" w14:textId="77777777" w:rsidR="004F11D0" w:rsidRPr="00B86F89" w:rsidRDefault="004F11D0" w:rsidP="009D4872">
            <w:pPr>
              <w:pStyle w:val="ListBullet2Level2"/>
              <w:numPr>
                <w:ilvl w:val="0"/>
                <w:numId w:val="55"/>
              </w:numPr>
              <w:tabs>
                <w:tab w:val="clear" w:pos="284"/>
                <w:tab w:val="num" w:pos="330"/>
              </w:tabs>
              <w:spacing w:after="120"/>
              <w:ind w:left="330" w:hanging="330"/>
              <w:rPr>
                <w:noProof/>
              </w:rPr>
            </w:pPr>
            <w:r w:rsidRPr="00B86F89">
              <w:rPr>
                <w:b/>
                <w:noProof/>
              </w:rPr>
              <w:t>appliquer de manière cohérente les législations nationales et de l’UE</w:t>
            </w:r>
            <w:r w:rsidRPr="00B86F89">
              <w:rPr>
                <w:noProof/>
              </w:rPr>
              <w:t xml:space="preserve"> pour lutter contre l’exploitation des travailleurs migrants et leur garantir l’égalité de traitement, dans la droite ligne de la directive relative aux sanctions à l’encontre des employeurs (</w:t>
            </w:r>
            <w:r w:rsidRPr="00B86F89">
              <w:rPr>
                <w:rStyle w:val="FootnoteReference"/>
                <w:noProof/>
              </w:rPr>
              <w:footnoteReference w:id="130"/>
            </w:r>
            <w:r w:rsidRPr="00B86F89">
              <w:rPr>
                <w:noProof/>
              </w:rPr>
              <w:t>), et la protection accrue prévue dans la refonte de la directive sur le permis unique.</w:t>
            </w:r>
          </w:p>
          <w:p w14:paraId="1E480C84" w14:textId="77777777" w:rsidR="004F11D0" w:rsidRPr="00B86F89" w:rsidRDefault="004F11D0" w:rsidP="009D4872">
            <w:pPr>
              <w:pStyle w:val="ListBullet2"/>
              <w:numPr>
                <w:ilvl w:val="0"/>
                <w:numId w:val="0"/>
              </w:numPr>
              <w:spacing w:after="120"/>
              <w:rPr>
                <w:noProof/>
              </w:rPr>
            </w:pPr>
            <w:r w:rsidRPr="00B86F89">
              <w:rPr>
                <w:noProof/>
                <w:u w:val="single"/>
              </w:rPr>
              <w:t>La Commission se félicite de la volonté des partenaires sociaux de</w:t>
            </w:r>
            <w:r w:rsidRPr="00B86F89">
              <w:rPr>
                <w:noProof/>
              </w:rPr>
              <w:t>:</w:t>
            </w:r>
          </w:p>
          <w:p w14:paraId="4D14F8EC" w14:textId="77777777" w:rsidR="004F11D0" w:rsidRPr="00B86F89" w:rsidRDefault="004F11D0" w:rsidP="009D4872">
            <w:pPr>
              <w:pStyle w:val="ListParagraph"/>
              <w:numPr>
                <w:ilvl w:val="0"/>
                <w:numId w:val="55"/>
              </w:numPr>
              <w:tabs>
                <w:tab w:val="clear" w:pos="284"/>
              </w:tabs>
              <w:spacing w:after="120"/>
              <w:ind w:left="329" w:hanging="329"/>
              <w:contextualSpacing w:val="0"/>
              <w:rPr>
                <w:noProof/>
              </w:rPr>
            </w:pPr>
            <w:r w:rsidRPr="00B86F89">
              <w:rPr>
                <w:noProof/>
              </w:rPr>
              <w:t xml:space="preserve">continuer à mettre leur expertise à contribution dans la </w:t>
            </w:r>
            <w:r w:rsidRPr="00B86F89">
              <w:rPr>
                <w:b/>
                <w:noProof/>
              </w:rPr>
              <w:t>création du réservoir européen de talents</w:t>
            </w:r>
            <w:r w:rsidRPr="00B86F89">
              <w:rPr>
                <w:noProof/>
              </w:rPr>
              <w:t xml:space="preserve"> (</w:t>
            </w:r>
            <w:r w:rsidRPr="00B86F89">
              <w:rPr>
                <w:rStyle w:val="FootnoteReference"/>
                <w:noProof/>
                <w:lang w:val="en-IE"/>
              </w:rPr>
              <w:footnoteReference w:id="131"/>
            </w:r>
            <w:r w:rsidRPr="00B86F89">
              <w:rPr>
                <w:noProof/>
              </w:rPr>
              <w:t>);</w:t>
            </w:r>
          </w:p>
          <w:p w14:paraId="389E4ED3" w14:textId="77777777" w:rsidR="004F11D0" w:rsidRPr="00B86F89" w:rsidRDefault="004F11D0" w:rsidP="009D4872">
            <w:pPr>
              <w:pStyle w:val="ListBullet2Level2"/>
              <w:numPr>
                <w:ilvl w:val="0"/>
                <w:numId w:val="55"/>
              </w:numPr>
              <w:tabs>
                <w:tab w:val="clear" w:pos="284"/>
              </w:tabs>
              <w:spacing w:after="120"/>
              <w:ind w:left="329" w:hanging="329"/>
              <w:rPr>
                <w:noProof/>
              </w:rPr>
            </w:pPr>
            <w:r w:rsidRPr="00B86F89">
              <w:rPr>
                <w:noProof/>
              </w:rPr>
              <w:t xml:space="preserve">veiller à ce que </w:t>
            </w:r>
            <w:r w:rsidRPr="00B86F89">
              <w:rPr>
                <w:b/>
                <w:noProof/>
              </w:rPr>
              <w:t>les travailleurs migrants bénéficient de conditions équitables et décentes</w:t>
            </w:r>
            <w:r w:rsidRPr="00B86F89">
              <w:rPr>
                <w:noProof/>
              </w:rPr>
              <w:t xml:space="preserve"> d’accès à l’emploi, en évitant toute discrimination et en leur assurant l’égalité de traitement avec les ressortissants de l’UE et des conditions de travail équitables (</w:t>
            </w:r>
            <w:r w:rsidRPr="00B86F89">
              <w:rPr>
                <w:noProof/>
                <w:vertAlign w:val="superscript"/>
              </w:rPr>
              <w:footnoteReference w:id="132"/>
            </w:r>
            <w:r w:rsidRPr="00B86F89">
              <w:rPr>
                <w:noProof/>
              </w:rPr>
              <w:t>);</w:t>
            </w:r>
          </w:p>
          <w:p w14:paraId="2C42CD5E" w14:textId="77777777" w:rsidR="004F11D0" w:rsidRPr="00B86F89" w:rsidRDefault="004F11D0" w:rsidP="009D4872">
            <w:pPr>
              <w:pStyle w:val="ListParagraph"/>
              <w:numPr>
                <w:ilvl w:val="0"/>
                <w:numId w:val="55"/>
              </w:numPr>
              <w:tabs>
                <w:tab w:val="clear" w:pos="284"/>
              </w:tabs>
              <w:spacing w:after="120"/>
              <w:ind w:left="329" w:hanging="329"/>
              <w:contextualSpacing w:val="0"/>
              <w:rPr>
                <w:b/>
                <w:bCs/>
                <w:i/>
                <w:iCs/>
                <w:noProof/>
              </w:rPr>
            </w:pPr>
            <w:r w:rsidRPr="00B86F89">
              <w:rPr>
                <w:noProof/>
              </w:rPr>
              <w:t xml:space="preserve">mener des travaux communs visant à assurer un </w:t>
            </w:r>
            <w:r w:rsidRPr="00B86F89">
              <w:rPr>
                <w:b/>
                <w:noProof/>
              </w:rPr>
              <w:t>traitement équitable aux conducteurs professionnels issus de pays tiers</w:t>
            </w:r>
            <w:r w:rsidRPr="00B86F89">
              <w:rPr>
                <w:noProof/>
              </w:rPr>
              <w:t xml:space="preserve"> et à contribuer à la création d’un cadre européen transparent et harmonisé pour faciliter la reconnaissance de compétences et de qualifications professionnelles acquises dans des pays tiers (</w:t>
            </w:r>
            <w:r w:rsidRPr="00B86F89">
              <w:rPr>
                <w:rStyle w:val="FootnoteReference"/>
                <w:noProof/>
              </w:rPr>
              <w:footnoteReference w:id="133"/>
            </w:r>
            <w:r w:rsidRPr="00B86F89">
              <w:rPr>
                <w:noProof/>
              </w:rPr>
              <w:t>).</w:t>
            </w:r>
          </w:p>
        </w:tc>
      </w:tr>
    </w:tbl>
    <w:p w14:paraId="789D7F71" w14:textId="77777777" w:rsidR="004F11D0" w:rsidRPr="00B86F89" w:rsidRDefault="004F11D0" w:rsidP="004F11D0">
      <w:pPr>
        <w:pStyle w:val="Heading1"/>
        <w:rPr>
          <w:noProof/>
        </w:rPr>
      </w:pPr>
      <w:r w:rsidRPr="00B86F89">
        <w:rPr>
          <w:noProof/>
        </w:rPr>
        <w:t>Conclusions</w:t>
      </w:r>
    </w:p>
    <w:p w14:paraId="4D2F0105" w14:textId="77777777" w:rsidR="004F11D0" w:rsidRPr="00B86F89" w:rsidRDefault="004F11D0" w:rsidP="004F11D0">
      <w:pPr>
        <w:pStyle w:val="Text2"/>
        <w:spacing w:after="120"/>
        <w:ind w:left="0"/>
        <w:rPr>
          <w:noProof/>
        </w:rPr>
      </w:pPr>
      <w:r w:rsidRPr="00B86F89">
        <w:rPr>
          <w:b/>
          <w:noProof/>
        </w:rPr>
        <w:t>La mise en œuvre effective du présent plan d’action nécessite une approche pangouvernementale qui soit adoptée tant à l’échelle de l’UE que de ses États membres, en étroite coopération avec les partenaires sociaux.</w:t>
      </w:r>
      <w:r w:rsidRPr="00B86F89">
        <w:rPr>
          <w:bCs/>
          <w:noProof/>
        </w:rPr>
        <w:t xml:space="preserve"> </w:t>
      </w:r>
      <w:r w:rsidRPr="00B86F89">
        <w:rPr>
          <w:noProof/>
        </w:rPr>
        <w:t>Les pénuries de main-d’œuvre et de compétences constituent un obstacle majeur à la croissance durable et inclusive de l’UE, à sa compétitivité et aux transitions écologique et numérique. Ces pénuries sont également susceptibles d’entraver la résilience globale de l’UE et les efforts que celle-ci engage pour renforcer son autonomie stratégique ouverte et sa sécurité. Elles résultent de l’évolution démographique, de la fluctuation des besoins en compétences sur le marché du travail et, parfois, de mauvaises conditions de travail. Elles diffèrent d’un secteur, d’une profession et d’une région à l’autre, d’où la nécessité d’apporter des réponses stratégiques au cas par cas. De nombreuses actions sont déjà en cours et, pour de nombreuses initiatives de l’UE, toute la difficulté consiste à les mettre en œuvre de façon effective sur le terrain et au niveau sectoriel. La Commission est déterminée à aider les États membres et les partenaires sociaux à utiliser efficacement les fonds et les instruments dont ils disposent à cette fin.</w:t>
      </w:r>
    </w:p>
    <w:p w14:paraId="1F46F71B" w14:textId="77777777" w:rsidR="004F11D0" w:rsidRPr="00B86F89" w:rsidRDefault="004F11D0" w:rsidP="004F11D0">
      <w:pPr>
        <w:pStyle w:val="Text2"/>
        <w:spacing w:after="120"/>
        <w:ind w:left="0"/>
        <w:rPr>
          <w:rStyle w:val="normaltextrun"/>
          <w:rFonts w:eastAsiaTheme="minorEastAsia"/>
          <w:noProof/>
        </w:rPr>
      </w:pPr>
      <w:r w:rsidRPr="00B86F89">
        <w:rPr>
          <w:b/>
          <w:noProof/>
        </w:rPr>
        <w:t xml:space="preserve">La Commission, les États membres et les partenaires sociaux doivent poursuivre leur action concertée pour remédier aux pénuries de main-d’œuvre et de compétences. </w:t>
      </w:r>
      <w:r w:rsidRPr="00B86F89">
        <w:rPr>
          <w:noProof/>
        </w:rPr>
        <w:t xml:space="preserve">Cet objectif s’inscrit dans la droite ligne de la déclaration de Val Duchesse, dans laquelle la Commission, la présidence belge du Conseil de l’UE et les partenaires sociaux </w:t>
      </w:r>
      <w:r w:rsidRPr="00B86F89">
        <w:rPr>
          <w:rStyle w:val="normaltextrun"/>
          <w:noProof/>
        </w:rPr>
        <w:t>se sont engagés à prendre des mesures pour s’attaquer aux causes profondes des pénuries de main-d’œuvre et de compétences</w:t>
      </w:r>
      <w:r w:rsidRPr="00B86F89">
        <w:rPr>
          <w:noProof/>
        </w:rPr>
        <w:t xml:space="preserve">, chacun </w:t>
      </w:r>
      <w:r w:rsidRPr="00B86F89">
        <w:rPr>
          <w:rStyle w:val="normaltextrun"/>
          <w:noProof/>
        </w:rPr>
        <w:t xml:space="preserve">dans son domaine de compétence, mais </w:t>
      </w:r>
      <w:r w:rsidRPr="00B86F89">
        <w:rPr>
          <w:noProof/>
        </w:rPr>
        <w:t xml:space="preserve">en </w:t>
      </w:r>
      <w:r w:rsidRPr="00B86F89">
        <w:rPr>
          <w:rStyle w:val="normaltextrun"/>
          <w:noProof/>
        </w:rPr>
        <w:t xml:space="preserve">étroite coopération. </w:t>
      </w:r>
      <w:r w:rsidRPr="00B86F89">
        <w:rPr>
          <w:noProof/>
        </w:rPr>
        <w:t xml:space="preserve">Le présent plan d’action définit donc un certain nombre de mesures que la Commission entend prendre et que les </w:t>
      </w:r>
      <w:r w:rsidRPr="00B86F89">
        <w:rPr>
          <w:rStyle w:val="normaltextrun"/>
          <w:noProof/>
        </w:rPr>
        <w:t xml:space="preserve">États membres sont invités à mettre en œuvre. Il met également en évidence </w:t>
      </w:r>
      <w:r w:rsidRPr="00B86F89">
        <w:rPr>
          <w:noProof/>
        </w:rPr>
        <w:t>une série de</w:t>
      </w:r>
      <w:r w:rsidRPr="00B86F89">
        <w:rPr>
          <w:rStyle w:val="normaltextrun"/>
          <w:noProof/>
        </w:rPr>
        <w:t xml:space="preserve"> mesures clés envisagées par les partenaires sociaux dans le prolongement du sommet de Val Duchesse afin de remédier aux pénuries de main-d’œuvre et de compétences.</w:t>
      </w:r>
    </w:p>
    <w:p w14:paraId="00829BEE" w14:textId="77777777" w:rsidR="004F11D0" w:rsidRPr="00B86F89" w:rsidRDefault="004F11D0" w:rsidP="004F11D0">
      <w:pPr>
        <w:pStyle w:val="Text2"/>
        <w:spacing w:after="120"/>
        <w:ind w:left="0"/>
        <w:rPr>
          <w:noProof/>
        </w:rPr>
      </w:pPr>
      <w:r w:rsidRPr="00B86F89">
        <w:rPr>
          <w:rStyle w:val="normaltextrun"/>
          <w:b/>
          <w:noProof/>
        </w:rPr>
        <w:t>Une action globale sera essentielle pour libérer le potentiel de croissance de l’UE et faire progresser ses priorités stratégiques</w:t>
      </w:r>
      <w:r w:rsidRPr="00B86F89">
        <w:rPr>
          <w:rStyle w:val="normaltextrun"/>
          <w:noProof/>
        </w:rPr>
        <w:t xml:space="preserve">. La réduction des pénuries de main-d’œuvre et de compétences </w:t>
      </w:r>
      <w:r w:rsidRPr="00B86F89">
        <w:rPr>
          <w:noProof/>
        </w:rPr>
        <w:t xml:space="preserve">aura pour effet de stimuler l’attractivité de l’UE en matière d’innovation et d’investissements, de renforcer sa base industrielle et d’assurer sa compétitivité. Cette action contribuera également à préserver les systèmes de protection sociale et la cohésion sociale globale au sein de l’UE. </w:t>
      </w:r>
      <w:r w:rsidRPr="00B86F89">
        <w:rPr>
          <w:rStyle w:val="normaltextrun"/>
          <w:noProof/>
        </w:rPr>
        <w:t xml:space="preserve">Les progrès accomplis dans la mise en œuvre du </w:t>
      </w:r>
      <w:r w:rsidRPr="00B86F89">
        <w:rPr>
          <w:noProof/>
        </w:rPr>
        <w:t>présent plan d’action feront l’objet d’un suivi dans le cadre du Semestre européen, notamment à la lumière des lignes directrices pour l’emploi et des recommandations pertinentes propres à chaque pays. La Commission invitera le Comité de l’emploi et le Comité de la protection sociale à organiser régulièrement des échanges tripartites sur cet enjeu, avec la participation des partenaires sociaux européens et nationaux. De cette façon, la Commission continuera de promouvoir un effort collectif visant à remédier aux pénuries de main-d’œuvre et de compétences dans l’UE.</w:t>
      </w:r>
    </w:p>
    <w:p w14:paraId="2DA4BA20" w14:textId="77777777" w:rsidR="004F11D0" w:rsidRPr="00B86F89" w:rsidRDefault="004F11D0" w:rsidP="004F11D0">
      <w:pPr>
        <w:spacing w:after="0"/>
        <w:jc w:val="left"/>
        <w:rPr>
          <w:noProof/>
        </w:rPr>
      </w:pPr>
      <w:r w:rsidRPr="00B86F89">
        <w:rPr>
          <w:noProof/>
        </w:rPr>
        <w:br w:type="page"/>
      </w:r>
    </w:p>
    <w:p w14:paraId="23852E1A" w14:textId="0B4F9754" w:rsidR="004F11D0" w:rsidRPr="00B86F89" w:rsidRDefault="007210E8" w:rsidP="007210E8">
      <w:pPr>
        <w:pStyle w:val="AnnexTitle"/>
        <w:numPr>
          <w:ilvl w:val="0"/>
          <w:numId w:val="0"/>
        </w:numPr>
        <w:rPr>
          <w:noProof/>
        </w:rPr>
      </w:pPr>
      <w:bookmarkStart w:id="10" w:name="_Ref151994523"/>
      <w:r>
        <w:rPr>
          <w:noProof/>
        </w:rPr>
        <w:t>Annexe A</w:t>
      </w:r>
      <w:r>
        <w:rPr>
          <w:noProof/>
        </w:rPr>
        <w:tab/>
      </w:r>
      <w:r>
        <w:rPr>
          <w:noProof/>
        </w:rPr>
        <w:tab/>
      </w:r>
      <w:r w:rsidR="004F11D0" w:rsidRPr="00B86F89">
        <w:rPr>
          <w:noProof/>
        </w:rPr>
        <w:t>Aperçu des initiatives récentes et futures</w:t>
      </w:r>
      <w:bookmarkEnd w:id="10"/>
    </w:p>
    <w:p w14:paraId="47465D92" w14:textId="77777777" w:rsidR="004F11D0" w:rsidRPr="00B86F89" w:rsidRDefault="004F11D0" w:rsidP="004F11D0">
      <w:pPr>
        <w:pStyle w:val="Text1"/>
        <w:ind w:left="0"/>
        <w:rPr>
          <w:noProof/>
        </w:rPr>
      </w:pPr>
      <w:r w:rsidRPr="00B86F89">
        <w:rPr>
          <w:noProof/>
        </w:rPr>
        <w:t>Ces cinq dernières années, la Commission a mis en place un large éventail de politiques et d’instruments visant à remédier aux pénuries de main-d’œuvre et de compétences, et dont la plupart s’inscrivent dans le cadre du plan d’action sur le socle européen des droits sociaux et du Semestre européen.</w:t>
      </w:r>
    </w:p>
    <w:p w14:paraId="71807C1F" w14:textId="77777777" w:rsidR="004F11D0" w:rsidRPr="00B86F89" w:rsidRDefault="004F11D0" w:rsidP="004F11D0">
      <w:pPr>
        <w:pStyle w:val="Heading1"/>
        <w:numPr>
          <w:ilvl w:val="0"/>
          <w:numId w:val="65"/>
        </w:numPr>
        <w:tabs>
          <w:tab w:val="clear" w:pos="482"/>
          <w:tab w:val="num" w:pos="284"/>
          <w:tab w:val="num" w:pos="360"/>
        </w:tabs>
        <w:ind w:left="284" w:hanging="284"/>
        <w:rPr>
          <w:noProof/>
        </w:rPr>
      </w:pPr>
      <w:r w:rsidRPr="00B86F89">
        <w:rPr>
          <w:noProof/>
        </w:rPr>
        <w:t>Politiques d’activation</w:t>
      </w:r>
    </w:p>
    <w:p w14:paraId="69269DC1" w14:textId="77777777" w:rsidR="004F11D0" w:rsidRPr="00B86F89" w:rsidRDefault="004F11D0" w:rsidP="004F11D0">
      <w:pPr>
        <w:pStyle w:val="ListBullet1"/>
        <w:spacing w:after="120"/>
        <w:ind w:left="284" w:hanging="284"/>
        <w:rPr>
          <w:noProof/>
        </w:rPr>
      </w:pPr>
      <w:r w:rsidRPr="00B86F89">
        <w:rPr>
          <w:noProof/>
        </w:rPr>
        <w:t xml:space="preserve">La </w:t>
      </w:r>
      <w:r w:rsidRPr="00B86F89">
        <w:rPr>
          <w:b/>
          <w:noProof/>
        </w:rPr>
        <w:t>directive concernant l’équilibre entre vie professionnelle et vie privée</w:t>
      </w:r>
      <w:r w:rsidRPr="00B86F89">
        <w:rPr>
          <w:noProof/>
        </w:rPr>
        <w:t xml:space="preserve"> (</w:t>
      </w:r>
      <w:r w:rsidRPr="00B86F89">
        <w:rPr>
          <w:rStyle w:val="FootnoteReference"/>
          <w:noProof/>
        </w:rPr>
        <w:footnoteReference w:id="134"/>
      </w:r>
      <w:r w:rsidRPr="00B86F89">
        <w:rPr>
          <w:noProof/>
        </w:rPr>
        <w:t>) modernise les cadres juridiques et politiques de l’UE existants afin de favoriser davantage l’équilibre entre vie professionnelle et vie privée des parents et des aidants, d’encourager un partage plus équitable du congé parental entre les hommes et les femmes, et de remédier à la sous-représentation des femmes sur le marché du travail.</w:t>
      </w:r>
    </w:p>
    <w:p w14:paraId="097EF5EB" w14:textId="77777777" w:rsidR="004F11D0" w:rsidRPr="00B86F89" w:rsidRDefault="004F11D0" w:rsidP="004F11D0">
      <w:pPr>
        <w:pStyle w:val="ListBullet1"/>
        <w:spacing w:after="120"/>
        <w:rPr>
          <w:noProof/>
        </w:rPr>
      </w:pPr>
      <w:r w:rsidRPr="00B86F89">
        <w:rPr>
          <w:noProof/>
        </w:rPr>
        <w:t xml:space="preserve">La </w:t>
      </w:r>
      <w:r w:rsidRPr="00B86F89">
        <w:rPr>
          <w:b/>
          <w:noProof/>
        </w:rPr>
        <w:t>garantie renforcée pour la jeunesse</w:t>
      </w:r>
      <w:r w:rsidRPr="00B86F89">
        <w:rPr>
          <w:noProof/>
        </w:rPr>
        <w:t xml:space="preserve"> (</w:t>
      </w:r>
      <w:r w:rsidRPr="00B86F89">
        <w:rPr>
          <w:rStyle w:val="FootnoteReference"/>
          <w:noProof/>
        </w:rPr>
        <w:footnoteReference w:id="135"/>
      </w:r>
      <w:r w:rsidRPr="00B86F89">
        <w:rPr>
          <w:noProof/>
        </w:rPr>
        <w:t xml:space="preserve">) désigne l’engagement pris par tous les États membres pour faire en sorte que tous les </w:t>
      </w:r>
      <w:r w:rsidRPr="00B86F89">
        <w:rPr>
          <w:rStyle w:val="Strong"/>
          <w:noProof/>
        </w:rPr>
        <w:t xml:space="preserve">jeunes de moins de </w:t>
      </w:r>
      <w:r w:rsidRPr="002C3F74">
        <w:rPr>
          <w:rStyle w:val="Strong"/>
          <w:noProof/>
        </w:rPr>
        <w:t>30</w:t>
      </w:r>
      <w:r w:rsidRPr="00B86F89">
        <w:rPr>
          <w:rStyle w:val="Strong"/>
          <w:noProof/>
        </w:rPr>
        <w:t> ans</w:t>
      </w:r>
      <w:r w:rsidRPr="00B86F89">
        <w:rPr>
          <w:noProof/>
        </w:rPr>
        <w:t xml:space="preserve"> se voient proposer un emploi de qualité, une formation continue, un apprentissage ou un </w:t>
      </w:r>
      <w:hyperlink r:id="rId24" w:history="1">
        <w:r w:rsidRPr="00B86F89">
          <w:rPr>
            <w:noProof/>
          </w:rPr>
          <w:t>stage</w:t>
        </w:r>
      </w:hyperlink>
      <w:r w:rsidRPr="00B86F89">
        <w:rPr>
          <w:noProof/>
        </w:rPr>
        <w:t xml:space="preserve"> dans les quatre mois suivant la perte de leur emploi ou leur sortie du système éducatif.</w:t>
      </w:r>
    </w:p>
    <w:p w14:paraId="66ACF510" w14:textId="77777777" w:rsidR="004F11D0" w:rsidRPr="00B86F89" w:rsidRDefault="004F11D0" w:rsidP="004F11D0">
      <w:pPr>
        <w:pStyle w:val="ListBullet1"/>
        <w:spacing w:after="120"/>
        <w:rPr>
          <w:noProof/>
        </w:rPr>
      </w:pPr>
      <w:r w:rsidRPr="00B86F89">
        <w:rPr>
          <w:noProof/>
        </w:rPr>
        <w:t xml:space="preserve">La </w:t>
      </w:r>
      <w:r w:rsidRPr="00B86F89">
        <w:rPr>
          <w:b/>
          <w:noProof/>
        </w:rPr>
        <w:t>recommandation relative à l’intégration des chômeurs de longue durée sur le marché du travail</w:t>
      </w:r>
      <w:r w:rsidRPr="00B86F89">
        <w:rPr>
          <w:noProof/>
        </w:rPr>
        <w:t xml:space="preserve"> (</w:t>
      </w:r>
      <w:r w:rsidRPr="00B86F89">
        <w:rPr>
          <w:noProof/>
          <w:vertAlign w:val="superscript"/>
        </w:rPr>
        <w:footnoteReference w:id="136"/>
      </w:r>
      <w:r w:rsidRPr="00B86F89">
        <w:rPr>
          <w:noProof/>
        </w:rPr>
        <w:t xml:space="preserve">) encourage les États membres à faire en sorte que les chômeurs de longue durée soient inscrits auprès d’un service de l’emploi, reçoivent une évaluation individuelle approfondie afin de déterminer leurs besoins et se voient proposer un accord d’intégration professionnelle au plus tard </w:t>
      </w:r>
      <w:r w:rsidRPr="002C3F74">
        <w:rPr>
          <w:noProof/>
        </w:rPr>
        <w:t>18</w:t>
      </w:r>
      <w:r w:rsidRPr="00B86F89">
        <w:rPr>
          <w:noProof/>
        </w:rPr>
        <w:t xml:space="preserve"> mois après la perte de leur emploi. </w:t>
      </w:r>
    </w:p>
    <w:p w14:paraId="1442459A" w14:textId="77777777" w:rsidR="004F11D0" w:rsidRPr="00B86F89" w:rsidRDefault="004F11D0" w:rsidP="004F11D0">
      <w:pPr>
        <w:pStyle w:val="ListBullet1"/>
        <w:spacing w:after="120"/>
        <w:rPr>
          <w:noProof/>
        </w:rPr>
      </w:pPr>
      <w:r w:rsidRPr="00B86F89">
        <w:rPr>
          <w:noProof/>
        </w:rPr>
        <w:t xml:space="preserve">La </w:t>
      </w:r>
      <w:r w:rsidRPr="00B86F89">
        <w:rPr>
          <w:b/>
          <w:noProof/>
        </w:rPr>
        <w:t>recommandation du Conseil relative à un revenu minimum adéquat pour garantir une inclusion active</w:t>
      </w:r>
      <w:r w:rsidRPr="00B86F89">
        <w:rPr>
          <w:noProof/>
        </w:rPr>
        <w:t xml:space="preserve"> vise à atteindre des niveaux d’emploi élevés, d’une part, en promouvant une aide au revenu adéquate et un accès effectif aux services et, d’autre part, en favorisant l’intégration sur le marché du travail des personnes qui sont en mesure de travailler, conformément à l’approche d’inclusion active.</w:t>
      </w:r>
    </w:p>
    <w:p w14:paraId="4D74CFCE" w14:textId="77777777" w:rsidR="004F11D0" w:rsidRPr="00B86F89" w:rsidRDefault="004F11D0" w:rsidP="004F11D0">
      <w:pPr>
        <w:pStyle w:val="ListBullet1"/>
        <w:spacing w:after="120"/>
        <w:rPr>
          <w:noProof/>
        </w:rPr>
      </w:pPr>
      <w:r w:rsidRPr="00B86F89">
        <w:rPr>
          <w:noProof/>
        </w:rPr>
        <w:t xml:space="preserve">La </w:t>
      </w:r>
      <w:r w:rsidRPr="00B86F89">
        <w:rPr>
          <w:b/>
          <w:noProof/>
        </w:rPr>
        <w:t>stratégie européenne en matière de soins</w:t>
      </w:r>
      <w:r w:rsidRPr="00B86F89">
        <w:rPr>
          <w:noProof/>
        </w:rPr>
        <w:t xml:space="preserve"> (</w:t>
      </w:r>
      <w:r w:rsidRPr="00B86F89">
        <w:rPr>
          <w:rStyle w:val="FootnoteReference"/>
          <w:noProof/>
        </w:rPr>
        <w:footnoteReference w:id="137"/>
      </w:r>
      <w:r w:rsidRPr="00B86F89">
        <w:rPr>
          <w:noProof/>
        </w:rPr>
        <w:t xml:space="preserve">) vise à doter l’ensemble de l’UE de services de soins de qualité, abordables et accessibles et à améliorer la situation tant des aidants (professionnels ou informels) que des bénéficiaires de soins. Cette stratégie s’accompagne d’une </w:t>
      </w:r>
      <w:r w:rsidRPr="00B86F89">
        <w:rPr>
          <w:b/>
          <w:noProof/>
        </w:rPr>
        <w:t>recommandation du Conseil sur l’accès à des soins de longue durée abordables et de qualité</w:t>
      </w:r>
      <w:r w:rsidRPr="00B86F89">
        <w:rPr>
          <w:noProof/>
        </w:rPr>
        <w:t xml:space="preserve">, qui définit un cadre pour les réformes stratégiques et les investissements dans les États membres, et de la </w:t>
      </w:r>
      <w:r w:rsidRPr="00B86F89">
        <w:rPr>
          <w:b/>
          <w:noProof/>
        </w:rPr>
        <w:t>recommandation du Conseil concernant l’éducation et l’accueil de la petite enfance</w:t>
      </w:r>
      <w:r w:rsidRPr="00B86F89">
        <w:rPr>
          <w:noProof/>
        </w:rPr>
        <w:t xml:space="preserve"> (</w:t>
      </w:r>
      <w:r w:rsidRPr="00B86F89">
        <w:rPr>
          <w:rStyle w:val="FootnoteReference"/>
          <w:noProof/>
        </w:rPr>
        <w:footnoteReference w:id="138"/>
      </w:r>
      <w:r w:rsidRPr="00B86F89">
        <w:rPr>
          <w:noProof/>
        </w:rPr>
        <w:t xml:space="preserve">), qui encourage les États membres à accroître la participation à ces services. Elle s’inscrit dans le prolongement des «objectifs de Barcelone» initiaux fixés par le Conseil européen en </w:t>
      </w:r>
      <w:r w:rsidRPr="002C3F74">
        <w:rPr>
          <w:noProof/>
        </w:rPr>
        <w:t>2002</w:t>
      </w:r>
      <w:r w:rsidRPr="00B86F89">
        <w:rPr>
          <w:noProof/>
        </w:rPr>
        <w:t xml:space="preserve"> et complète la </w:t>
      </w:r>
      <w:r w:rsidRPr="00B86F89">
        <w:rPr>
          <w:b/>
          <w:noProof/>
        </w:rPr>
        <w:t>recommandation du Conseil relative à des systèmes de qualité pour l’éducation et l’accueil de la petite enfance</w:t>
      </w:r>
      <w:r w:rsidRPr="00B86F89">
        <w:rPr>
          <w:noProof/>
        </w:rPr>
        <w:t xml:space="preserve"> (</w:t>
      </w:r>
      <w:r w:rsidRPr="00B86F89">
        <w:rPr>
          <w:noProof/>
          <w:vertAlign w:val="superscript"/>
        </w:rPr>
        <w:footnoteReference w:id="139"/>
      </w:r>
      <w:r w:rsidRPr="00B86F89">
        <w:rPr>
          <w:noProof/>
        </w:rPr>
        <w:t>).</w:t>
      </w:r>
    </w:p>
    <w:p w14:paraId="1554E7C8" w14:textId="77777777" w:rsidR="004F11D0" w:rsidRPr="00B86F89" w:rsidRDefault="004F11D0" w:rsidP="004F11D0">
      <w:pPr>
        <w:pStyle w:val="ListBullet1"/>
        <w:spacing w:after="120"/>
        <w:rPr>
          <w:noProof/>
        </w:rPr>
      </w:pPr>
      <w:r w:rsidRPr="00B86F89">
        <w:rPr>
          <w:noProof/>
        </w:rPr>
        <w:t xml:space="preserve">Le </w:t>
      </w:r>
      <w:r w:rsidRPr="00B86F89">
        <w:rPr>
          <w:b/>
          <w:noProof/>
        </w:rPr>
        <w:t>train de mesures en faveur de l’emploi des personnes handicapées</w:t>
      </w:r>
      <w:r w:rsidRPr="00B86F89">
        <w:rPr>
          <w:noProof/>
        </w:rPr>
        <w:t xml:space="preserve">, qui s’inscrit dans le cadre de la stratégie en faveur des droits des personnes handicapées </w:t>
      </w:r>
      <w:r w:rsidRPr="002C3F74">
        <w:rPr>
          <w:noProof/>
        </w:rPr>
        <w:t>2021</w:t>
      </w:r>
      <w:r w:rsidRPr="00B86F89">
        <w:rPr>
          <w:noProof/>
        </w:rPr>
        <w:t>-</w:t>
      </w:r>
      <w:r w:rsidRPr="002C3F74">
        <w:rPr>
          <w:noProof/>
        </w:rPr>
        <w:t>2030</w:t>
      </w:r>
      <w:r w:rsidRPr="00B86F89">
        <w:rPr>
          <w:noProof/>
        </w:rPr>
        <w:t xml:space="preserve"> (</w:t>
      </w:r>
      <w:r w:rsidRPr="00B86F89">
        <w:rPr>
          <w:rStyle w:val="FootnoteReference"/>
          <w:noProof/>
        </w:rPr>
        <w:footnoteReference w:id="140"/>
      </w:r>
      <w:r w:rsidRPr="00B86F89">
        <w:rPr>
          <w:noProof/>
        </w:rPr>
        <w:t>), vise à promouvoir l’emploi des personnes handicapées dans le contexte d’une transition écologique et numérique équitable.</w:t>
      </w:r>
    </w:p>
    <w:p w14:paraId="754CA43E" w14:textId="77777777" w:rsidR="004F11D0" w:rsidRPr="00B86F89" w:rsidRDefault="004F11D0" w:rsidP="004F11D0">
      <w:pPr>
        <w:pStyle w:val="ListBullet1"/>
        <w:spacing w:after="120"/>
        <w:ind w:left="284" w:hanging="284"/>
        <w:rPr>
          <w:noProof/>
        </w:rPr>
      </w:pPr>
      <w:r w:rsidRPr="00B86F89">
        <w:rPr>
          <w:noProof/>
        </w:rPr>
        <w:t xml:space="preserve">L’initiative </w:t>
      </w:r>
      <w:r w:rsidRPr="00B86F89">
        <w:rPr>
          <w:b/>
          <w:noProof/>
        </w:rPr>
        <w:t>ALMA</w:t>
      </w:r>
      <w:r w:rsidRPr="00B86F89">
        <w:rPr>
          <w:noProof/>
        </w:rPr>
        <w:t xml:space="preserve"> (Aim, Learn, Master, Achieve — orientation, apprentissage, maîtrise, réussite) est une initiative d’autonomisation sociale en faveur des jeunes défavorisés âgés de </w:t>
      </w:r>
      <w:r w:rsidRPr="002C3F74">
        <w:rPr>
          <w:noProof/>
        </w:rPr>
        <w:t>18</w:t>
      </w:r>
      <w:r w:rsidRPr="00B86F89">
        <w:rPr>
          <w:noProof/>
        </w:rPr>
        <w:t xml:space="preserve"> à </w:t>
      </w:r>
      <w:r w:rsidRPr="002C3F74">
        <w:rPr>
          <w:noProof/>
        </w:rPr>
        <w:t>29</w:t>
      </w:r>
      <w:r w:rsidRPr="00B86F89">
        <w:rPr>
          <w:noProof/>
        </w:rPr>
        <w:t> ans qui ne travaillent pas et ne suivent pas d’études ni de formation (NEET).</w:t>
      </w:r>
    </w:p>
    <w:p w14:paraId="1845CE65" w14:textId="77777777" w:rsidR="004F11D0" w:rsidRPr="00B86F89" w:rsidRDefault="004F11D0" w:rsidP="004F11D0">
      <w:pPr>
        <w:pStyle w:val="ListBullet1"/>
        <w:spacing w:after="120"/>
        <w:ind w:left="284" w:hanging="284"/>
        <w:rPr>
          <w:noProof/>
        </w:rPr>
      </w:pPr>
      <w:r w:rsidRPr="00B86F89">
        <w:rPr>
          <w:noProof/>
        </w:rPr>
        <w:t xml:space="preserve">La </w:t>
      </w:r>
      <w:r w:rsidRPr="00B86F89">
        <w:rPr>
          <w:b/>
          <w:noProof/>
        </w:rPr>
        <w:t>boîte à outils «démographie»</w:t>
      </w:r>
      <w:r w:rsidRPr="00B86F89">
        <w:rPr>
          <w:noProof/>
        </w:rPr>
        <w:t xml:space="preserve"> (</w:t>
      </w:r>
      <w:r w:rsidRPr="00B86F89">
        <w:rPr>
          <w:rStyle w:val="FootnoteReference"/>
          <w:noProof/>
        </w:rPr>
        <w:footnoteReference w:id="141"/>
      </w:r>
      <w:r w:rsidRPr="00B86F89">
        <w:rPr>
          <w:noProof/>
        </w:rPr>
        <w:t>) définit une approche globale de l’évolution démographique articulée autour de quatre piliers: faciliter la conciliation de la vie professionnelle et de la vie privée des parents, permettre aux jeunes de réaliser leur potentiel, soutenir un vieillissement actif et en bonne santé, et attirer des talents issus de pays tiers.</w:t>
      </w:r>
    </w:p>
    <w:p w14:paraId="490BB383" w14:textId="77777777" w:rsidR="004F11D0" w:rsidRPr="00B86F89" w:rsidRDefault="004F11D0" w:rsidP="004F11D0">
      <w:pPr>
        <w:pStyle w:val="ListBullet1"/>
        <w:spacing w:after="120"/>
        <w:ind w:left="284" w:hanging="284"/>
        <w:rPr>
          <w:noProof/>
        </w:rPr>
      </w:pPr>
      <w:r w:rsidRPr="00B86F89">
        <w:rPr>
          <w:noProof/>
        </w:rPr>
        <w:t xml:space="preserve">Le </w:t>
      </w:r>
      <w:r w:rsidRPr="00B86F89">
        <w:rPr>
          <w:b/>
          <w:noProof/>
        </w:rPr>
        <w:t>plan d’action pour l’économie sociale</w:t>
      </w:r>
      <w:r w:rsidRPr="00B86F89">
        <w:rPr>
          <w:noProof/>
        </w:rPr>
        <w:t xml:space="preserve"> (</w:t>
      </w:r>
      <w:r w:rsidRPr="00B86F89">
        <w:rPr>
          <w:noProof/>
          <w:vertAlign w:val="superscript"/>
        </w:rPr>
        <w:footnoteReference w:id="142"/>
      </w:r>
      <w:r w:rsidRPr="00B86F89">
        <w:rPr>
          <w:noProof/>
        </w:rPr>
        <w:t xml:space="preserve">) définit des mesures spécifiques visant à renforcer l’économie sociale, y compris des entités telles que les entreprises sociales d’insertion par le travail qui assurent l’intégration sociale et professionnelle de groupes défavorisés. La </w:t>
      </w:r>
      <w:r w:rsidRPr="00B86F89">
        <w:rPr>
          <w:b/>
          <w:noProof/>
        </w:rPr>
        <w:t>recommandation du Conseil relative à la mise en place des conditions-cadres de l’économie sociale</w:t>
      </w:r>
      <w:r w:rsidRPr="00B86F89">
        <w:rPr>
          <w:noProof/>
        </w:rPr>
        <w:t xml:space="preserve"> (</w:t>
      </w:r>
      <w:r w:rsidRPr="00B86F89">
        <w:rPr>
          <w:noProof/>
          <w:vertAlign w:val="superscript"/>
        </w:rPr>
        <w:footnoteReference w:id="143"/>
      </w:r>
      <w:r w:rsidRPr="00B86F89">
        <w:rPr>
          <w:noProof/>
        </w:rPr>
        <w:t>) réaffirme cet engagement.</w:t>
      </w:r>
    </w:p>
    <w:p w14:paraId="60F2729E" w14:textId="77777777" w:rsidR="004F11D0" w:rsidRPr="00B86F89" w:rsidRDefault="004F11D0" w:rsidP="004F11D0">
      <w:pPr>
        <w:pStyle w:val="ListBullet1"/>
        <w:spacing w:after="120"/>
        <w:rPr>
          <w:noProof/>
        </w:rPr>
      </w:pPr>
      <w:r w:rsidRPr="00B86F89">
        <w:rPr>
          <w:noProof/>
        </w:rPr>
        <w:t xml:space="preserve">Les </w:t>
      </w:r>
      <w:r w:rsidRPr="00B86F89">
        <w:rPr>
          <w:b/>
          <w:noProof/>
        </w:rPr>
        <w:t>stratégies pour une Union de l’égalité</w:t>
      </w:r>
      <w:r w:rsidRPr="00B86F89">
        <w:rPr>
          <w:noProof/>
        </w:rPr>
        <w:t xml:space="preserve"> adoptées par la Commission en </w:t>
      </w:r>
      <w:r w:rsidRPr="002C3F74">
        <w:rPr>
          <w:noProof/>
        </w:rPr>
        <w:t>2020</w:t>
      </w:r>
      <w:r w:rsidRPr="00B86F89">
        <w:rPr>
          <w:noProof/>
        </w:rPr>
        <w:t xml:space="preserve"> et </w:t>
      </w:r>
      <w:r w:rsidRPr="002C3F74">
        <w:rPr>
          <w:noProof/>
        </w:rPr>
        <w:t>2021</w:t>
      </w:r>
      <w:r w:rsidRPr="00B86F89">
        <w:rPr>
          <w:noProof/>
        </w:rPr>
        <w:t xml:space="preserve"> (</w:t>
      </w:r>
      <w:r w:rsidRPr="00B86F89">
        <w:rPr>
          <w:noProof/>
          <w:vertAlign w:val="superscript"/>
        </w:rPr>
        <w:footnoteReference w:id="144"/>
      </w:r>
      <w:r w:rsidRPr="00B86F89">
        <w:rPr>
          <w:noProof/>
        </w:rPr>
        <w:t>) visent à créer les conditions permettant à chacun de vivre, de s’épanouir et d’exercer des responsabilités dans la société indépendamment du genre, de la race ou de l’origine ethnique, de la religion ou des convictions, d’un handicap, de l’âge ou de l’orientation sexuelle. Chacune de ces stratégies comprend des mesures concrètes visant à soutenir l’activation du marché du travail.</w:t>
      </w:r>
    </w:p>
    <w:p w14:paraId="502402EB" w14:textId="77777777" w:rsidR="004F11D0" w:rsidRPr="00B86F89" w:rsidRDefault="004F11D0" w:rsidP="004F11D0">
      <w:pPr>
        <w:pStyle w:val="ListBullet1"/>
        <w:spacing w:after="120"/>
        <w:rPr>
          <w:noProof/>
        </w:rPr>
      </w:pPr>
      <w:r w:rsidRPr="00B86F89">
        <w:rPr>
          <w:noProof/>
        </w:rPr>
        <w:t xml:space="preserve">Les </w:t>
      </w:r>
      <w:r w:rsidRPr="00B86F89">
        <w:rPr>
          <w:b/>
          <w:noProof/>
        </w:rPr>
        <w:t>panels de citoyens européens</w:t>
      </w:r>
      <w:r w:rsidRPr="00B86F89">
        <w:rPr>
          <w:noProof/>
        </w:rPr>
        <w:t xml:space="preserve"> visent à donner la parole aux citoyens, dans le prolongement de la conférence sur l’avenir de l’Europe.</w:t>
      </w:r>
    </w:p>
    <w:p w14:paraId="1090E450" w14:textId="77777777" w:rsidR="004F11D0" w:rsidRPr="00B86F89" w:rsidRDefault="004F11D0" w:rsidP="004F11D0">
      <w:pPr>
        <w:pStyle w:val="ListBullet1"/>
        <w:spacing w:after="120"/>
        <w:rPr>
          <w:noProof/>
        </w:rPr>
      </w:pPr>
      <w:r w:rsidRPr="00B86F89">
        <w:rPr>
          <w:noProof/>
        </w:rPr>
        <w:t xml:space="preserve">La </w:t>
      </w:r>
      <w:r w:rsidRPr="00B86F89">
        <w:rPr>
          <w:b/>
          <w:noProof/>
        </w:rPr>
        <w:t xml:space="preserve">stratégie de l’UE en faveur de l’égalité entre les hommes et les femmes </w:t>
      </w:r>
      <w:r w:rsidRPr="002C3F74">
        <w:rPr>
          <w:b/>
          <w:noProof/>
        </w:rPr>
        <w:t>2020</w:t>
      </w:r>
      <w:r w:rsidRPr="00B86F89">
        <w:rPr>
          <w:b/>
          <w:noProof/>
        </w:rPr>
        <w:t>-</w:t>
      </w:r>
      <w:r w:rsidRPr="002C3F74">
        <w:rPr>
          <w:b/>
          <w:noProof/>
        </w:rPr>
        <w:t>2025</w:t>
      </w:r>
      <w:r w:rsidRPr="00B86F89">
        <w:rPr>
          <w:noProof/>
        </w:rPr>
        <w:t xml:space="preserve"> (</w:t>
      </w:r>
      <w:r w:rsidRPr="00B86F89">
        <w:rPr>
          <w:noProof/>
          <w:vertAlign w:val="superscript"/>
        </w:rPr>
        <w:footnoteReference w:id="145"/>
      </w:r>
      <w:r w:rsidRPr="00B86F89">
        <w:rPr>
          <w:noProof/>
        </w:rPr>
        <w:t xml:space="preserve">) présente des objectifs stratégiques et des actions afin d’accomplir des progrès significatifs d’ici à </w:t>
      </w:r>
      <w:r w:rsidRPr="002C3F74">
        <w:rPr>
          <w:noProof/>
        </w:rPr>
        <w:t>2025</w:t>
      </w:r>
      <w:r w:rsidRPr="00B86F89">
        <w:rPr>
          <w:noProof/>
        </w:rPr>
        <w:t xml:space="preserve"> vers l’égalité entre les hommes et les femmes en Europe. L’objectif est de parvenir à une Union où les femmes et les hommes, les filles et les garçons, dans toute leur diversité, seront libres de suivre la voie qu’ils ou elles auront choisie dans la vie, auront les mêmes chances de mener une vie prospère et pourront participer à notre société européenne et la diriger en toute égalité. Parmi les initiatives actuelles, citons notamment la mise en œuvre de règles en matière de transparence des rémunérations (</w:t>
      </w:r>
      <w:r w:rsidRPr="00B86F89">
        <w:rPr>
          <w:noProof/>
          <w:vertAlign w:val="superscript"/>
        </w:rPr>
        <w:footnoteReference w:id="146"/>
      </w:r>
      <w:r w:rsidRPr="00B86F89">
        <w:rPr>
          <w:noProof/>
        </w:rPr>
        <w:t xml:space="preserve">), les objectifs de Barcelone pour </w:t>
      </w:r>
      <w:r w:rsidRPr="002C3F74">
        <w:rPr>
          <w:noProof/>
        </w:rPr>
        <w:t>2030</w:t>
      </w:r>
      <w:r w:rsidRPr="00B86F89">
        <w:rPr>
          <w:noProof/>
        </w:rPr>
        <w:t xml:space="preserve"> en matière d’éducation et d’accueil de la petite enfance (</w:t>
      </w:r>
      <w:r w:rsidRPr="00B86F89">
        <w:rPr>
          <w:noProof/>
          <w:vertAlign w:val="superscript"/>
        </w:rPr>
        <w:footnoteReference w:id="147"/>
      </w:r>
      <w:r w:rsidRPr="00B86F89">
        <w:rPr>
          <w:noProof/>
        </w:rPr>
        <w:t>), et les règles relatives à l’équilibre entre vie professionnelle et vie privée (</w:t>
      </w:r>
      <w:r w:rsidRPr="00B86F89">
        <w:rPr>
          <w:noProof/>
          <w:vertAlign w:val="superscript"/>
        </w:rPr>
        <w:footnoteReference w:id="148"/>
      </w:r>
      <w:r w:rsidRPr="00B86F89">
        <w:rPr>
          <w:noProof/>
        </w:rPr>
        <w:t>).</w:t>
      </w:r>
    </w:p>
    <w:p w14:paraId="21939CF8" w14:textId="77777777" w:rsidR="004F11D0" w:rsidRPr="00B86F89" w:rsidRDefault="004F11D0" w:rsidP="004F11D0">
      <w:pPr>
        <w:pStyle w:val="ListBullet1"/>
        <w:rPr>
          <w:noProof/>
        </w:rPr>
      </w:pPr>
      <w:r w:rsidRPr="00B86F89">
        <w:rPr>
          <w:noProof/>
        </w:rPr>
        <w:t xml:space="preserve">La </w:t>
      </w:r>
      <w:r w:rsidRPr="00B86F89">
        <w:rPr>
          <w:b/>
          <w:noProof/>
        </w:rPr>
        <w:t>plateforme européenne des chartes de la diversité</w:t>
      </w:r>
      <w:r w:rsidRPr="00B86F89">
        <w:rPr>
          <w:noProof/>
        </w:rPr>
        <w:t xml:space="preserve"> promeut la diversité et l’inclusion sur le lieu de travail.</w:t>
      </w:r>
    </w:p>
    <w:p w14:paraId="36F989A5" w14:textId="77777777" w:rsidR="004F11D0" w:rsidRPr="00B86F89" w:rsidRDefault="004F11D0" w:rsidP="004F11D0">
      <w:pPr>
        <w:pStyle w:val="ListBullet1"/>
        <w:rPr>
          <w:noProof/>
        </w:rPr>
      </w:pPr>
      <w:r w:rsidRPr="00B86F89">
        <w:rPr>
          <w:noProof/>
        </w:rPr>
        <w:t xml:space="preserve">Dans la </w:t>
      </w:r>
      <w:r w:rsidRPr="00B86F89">
        <w:rPr>
          <w:b/>
          <w:noProof/>
        </w:rPr>
        <w:t>recommandation du Conseil sur l’égalité, l’inclusion et la participation des Roms</w:t>
      </w:r>
      <w:r w:rsidRPr="00B86F89">
        <w:rPr>
          <w:noProof/>
        </w:rPr>
        <w:t xml:space="preserve"> (</w:t>
      </w:r>
      <w:r w:rsidRPr="00B86F89">
        <w:rPr>
          <w:noProof/>
          <w:vertAlign w:val="superscript"/>
        </w:rPr>
        <w:footnoteReference w:id="149"/>
      </w:r>
      <w:r w:rsidRPr="00B86F89">
        <w:rPr>
          <w:noProof/>
        </w:rPr>
        <w:t>), les États membres s’engagent à combattre l’antitsiganisme et à améliorer la situation des Roms, notamment en ce qui concerne l’emploi et l’éducation.</w:t>
      </w:r>
    </w:p>
    <w:p w14:paraId="1E225795" w14:textId="77777777" w:rsidR="004F11D0" w:rsidRPr="00B86F89" w:rsidRDefault="004F11D0" w:rsidP="004F11D0">
      <w:pPr>
        <w:pStyle w:val="ListBullet1"/>
        <w:rPr>
          <w:noProof/>
        </w:rPr>
      </w:pPr>
      <w:r w:rsidRPr="00B86F89">
        <w:rPr>
          <w:noProof/>
        </w:rPr>
        <w:t>L’</w:t>
      </w:r>
      <w:r w:rsidRPr="00B86F89">
        <w:rPr>
          <w:b/>
          <w:noProof/>
        </w:rPr>
        <w:t>instrument d’appui technique</w:t>
      </w:r>
      <w:r w:rsidRPr="00B86F89">
        <w:rPr>
          <w:noProof/>
        </w:rPr>
        <w:t xml:space="preserve"> (TSI) aide les États membres, sur demande, à accroître encore leur offre de main-d’œuvre en renforçant les capacités des services publics de l’emploi et en réformant la mise en œuvre des politiques actives du marché du travail (PAMT), par exemple dans le cadre de son initiative phare «Youth FIRST» (La jeunesse d’abord) de </w:t>
      </w:r>
      <w:r w:rsidRPr="002C3F74">
        <w:rPr>
          <w:noProof/>
        </w:rPr>
        <w:t>2023</w:t>
      </w:r>
      <w:r w:rsidRPr="00B86F89">
        <w:rPr>
          <w:noProof/>
        </w:rPr>
        <w:t xml:space="preserve">, ou par une meilleure coordination et intégration de l’aide sociale et des soins de santé dans le cadre de son initiative phare de </w:t>
      </w:r>
      <w:r w:rsidRPr="002C3F74">
        <w:rPr>
          <w:noProof/>
        </w:rPr>
        <w:t>2023</w:t>
      </w:r>
      <w:r w:rsidRPr="00B86F89">
        <w:rPr>
          <w:noProof/>
        </w:rPr>
        <w:t xml:space="preserve"> sur les soins intégrés centrés sur les personnes.</w:t>
      </w:r>
    </w:p>
    <w:p w14:paraId="2686C466" w14:textId="77777777" w:rsidR="004F11D0" w:rsidRPr="00B86F89" w:rsidRDefault="004F11D0" w:rsidP="004F11D0">
      <w:pPr>
        <w:pStyle w:val="ListBullet1"/>
        <w:spacing w:after="0"/>
        <w:rPr>
          <w:noProof/>
        </w:rPr>
      </w:pPr>
      <w:r w:rsidRPr="00B86F89">
        <w:rPr>
          <w:noProof/>
        </w:rPr>
        <w:t xml:space="preserve">La </w:t>
      </w:r>
      <w:r w:rsidRPr="00B86F89">
        <w:rPr>
          <w:b/>
          <w:noProof/>
        </w:rPr>
        <w:t>communication intitulée «Donner la priorité aux citoyens, assurer une croissance durable et inclusive, libérer le potentiel des régions ultrapériphériques de l’Union»</w:t>
      </w:r>
      <w:r w:rsidRPr="00B86F89">
        <w:rPr>
          <w:noProof/>
        </w:rPr>
        <w:t xml:space="preserve"> (</w:t>
      </w:r>
      <w:r w:rsidRPr="00B86F89">
        <w:rPr>
          <w:rStyle w:val="FootnoteReference"/>
          <w:noProof/>
        </w:rPr>
        <w:footnoteReference w:id="150"/>
      </w:r>
      <w:r w:rsidRPr="00B86F89">
        <w:rPr>
          <w:noProof/>
        </w:rPr>
        <w:t>) invite les États membres et les régions ultrapériphériques à recenser les besoins en compétences, à favoriser le perfectionnement professionnel des travailleurs dans le secteur du tourisme et à promouvoir le développement de compétences écologiques et numériques.</w:t>
      </w:r>
    </w:p>
    <w:p w14:paraId="1B294BA8" w14:textId="77777777" w:rsidR="004F11D0" w:rsidRPr="00B86F89" w:rsidRDefault="004F11D0" w:rsidP="004F11D0">
      <w:pPr>
        <w:pStyle w:val="Heading1"/>
        <w:numPr>
          <w:ilvl w:val="0"/>
          <w:numId w:val="65"/>
        </w:numPr>
        <w:tabs>
          <w:tab w:val="clear" w:pos="482"/>
          <w:tab w:val="num" w:pos="284"/>
        </w:tabs>
        <w:ind w:left="284" w:hanging="284"/>
        <w:rPr>
          <w:noProof/>
        </w:rPr>
      </w:pPr>
      <w:r w:rsidRPr="00B86F89">
        <w:rPr>
          <w:noProof/>
        </w:rPr>
        <w:t>Politiques en matière de compétences</w:t>
      </w:r>
    </w:p>
    <w:p w14:paraId="1A483444" w14:textId="77777777" w:rsidR="004F11D0" w:rsidRPr="00B86F89" w:rsidRDefault="004F11D0" w:rsidP="004F11D0">
      <w:pPr>
        <w:pStyle w:val="ListBullet2"/>
        <w:numPr>
          <w:ilvl w:val="0"/>
          <w:numId w:val="25"/>
        </w:numPr>
        <w:rPr>
          <w:b/>
          <w:bCs/>
          <w:noProof/>
        </w:rPr>
      </w:pPr>
      <w:r w:rsidRPr="00B86F89">
        <w:rPr>
          <w:noProof/>
        </w:rPr>
        <w:t xml:space="preserve">La </w:t>
      </w:r>
      <w:r w:rsidRPr="00B86F89">
        <w:rPr>
          <w:b/>
          <w:noProof/>
        </w:rPr>
        <w:t>stratégie européenne en matière de compétences</w:t>
      </w:r>
      <w:r w:rsidRPr="00B86F89">
        <w:rPr>
          <w:noProof/>
        </w:rPr>
        <w:t xml:space="preserve"> de </w:t>
      </w:r>
      <w:r w:rsidRPr="002C3F74">
        <w:rPr>
          <w:noProof/>
        </w:rPr>
        <w:t>2020</w:t>
      </w:r>
      <w:r w:rsidRPr="00B86F89">
        <w:rPr>
          <w:noProof/>
        </w:rPr>
        <w:t xml:space="preserve"> (</w:t>
      </w:r>
      <w:r w:rsidRPr="00B86F89">
        <w:rPr>
          <w:rStyle w:val="FootnoteReference"/>
          <w:noProof/>
        </w:rPr>
        <w:footnoteReference w:id="151"/>
      </w:r>
      <w:r w:rsidRPr="00B86F89">
        <w:rPr>
          <w:noProof/>
        </w:rPr>
        <w:t>) est une stratégie définie par la Commission dans les domaines de l’éducation et de la formation, qui comprend douze actions visant à faire progresser les transitions numérique et écologique, à promouvoir une reprise équitable, à assurer la compétitivité et à renforcer la résilience. Elle englobe:</w:t>
      </w:r>
    </w:p>
    <w:p w14:paraId="5F09CC13" w14:textId="77777777" w:rsidR="004F11D0" w:rsidRPr="00B86F89" w:rsidRDefault="004F11D0" w:rsidP="004F11D0">
      <w:pPr>
        <w:pStyle w:val="ListDash1Level2"/>
        <w:tabs>
          <w:tab w:val="clear" w:pos="1049"/>
          <w:tab w:val="num" w:pos="567"/>
        </w:tabs>
        <w:spacing w:after="120"/>
        <w:ind w:left="567"/>
        <w:rPr>
          <w:noProof/>
        </w:rPr>
      </w:pPr>
      <w:r w:rsidRPr="00B86F89">
        <w:rPr>
          <w:noProof/>
        </w:rPr>
        <w:t xml:space="preserve">la </w:t>
      </w:r>
      <w:r w:rsidRPr="00B86F89">
        <w:rPr>
          <w:b/>
          <w:noProof/>
        </w:rPr>
        <w:t>recommandation du Conseil en matière d’enseignement et de formation professionnels</w:t>
      </w:r>
      <w:r w:rsidRPr="00B86F89">
        <w:rPr>
          <w:noProof/>
        </w:rPr>
        <w:t>, qui définit des principes clés pour faire en sorte que l’enseignement et la formation professionnels s’adaptent rapidement aux besoins du marché du travail et offrent des possibilités d’apprentissage de qualité aux jeunes et aux adultes,</w:t>
      </w:r>
    </w:p>
    <w:p w14:paraId="15E6D7A9" w14:textId="77777777" w:rsidR="004F11D0" w:rsidRPr="00B86F89" w:rsidRDefault="004F11D0" w:rsidP="004F11D0">
      <w:pPr>
        <w:pStyle w:val="ListDash1Level2"/>
        <w:tabs>
          <w:tab w:val="clear" w:pos="1049"/>
          <w:tab w:val="num" w:pos="567"/>
        </w:tabs>
        <w:spacing w:after="120"/>
        <w:ind w:left="567"/>
        <w:rPr>
          <w:noProof/>
        </w:rPr>
      </w:pPr>
      <w:r w:rsidRPr="00B86F89">
        <w:rPr>
          <w:noProof/>
        </w:rPr>
        <w:t xml:space="preserve">le </w:t>
      </w:r>
      <w:r w:rsidRPr="00B86F89">
        <w:rPr>
          <w:b/>
          <w:noProof/>
        </w:rPr>
        <w:t>pacte pour les compétences</w:t>
      </w:r>
      <w:r w:rsidRPr="00B86F89">
        <w:rPr>
          <w:noProof/>
        </w:rPr>
        <w:t>, qui réunit des organisations publiques et privées, y compris des employeurs et des syndicats, pour prendre des mesures concrètes en vue du perfectionnement et de la reconversion professionnels des personnes en Europe,</w:t>
      </w:r>
    </w:p>
    <w:p w14:paraId="53EC314E" w14:textId="77777777" w:rsidR="004F11D0" w:rsidRPr="00B86F89" w:rsidRDefault="004F11D0" w:rsidP="004F11D0">
      <w:pPr>
        <w:pStyle w:val="ListDash1Level2"/>
        <w:tabs>
          <w:tab w:val="clear" w:pos="1049"/>
          <w:tab w:val="num" w:pos="567"/>
        </w:tabs>
        <w:spacing w:after="120"/>
        <w:ind w:left="567"/>
        <w:rPr>
          <w:noProof/>
        </w:rPr>
      </w:pPr>
      <w:r w:rsidRPr="00B86F89">
        <w:rPr>
          <w:noProof/>
        </w:rPr>
        <w:t xml:space="preserve">les </w:t>
      </w:r>
      <w:r w:rsidRPr="00B86F89">
        <w:rPr>
          <w:b/>
          <w:noProof/>
        </w:rPr>
        <w:t>alliances sectorielles pour les compétences</w:t>
      </w:r>
      <w:r w:rsidRPr="00B86F89">
        <w:rPr>
          <w:noProof/>
        </w:rPr>
        <w:t>, qui rassemblent des acteurs clés des écosystèmes industriels pour recourir à la veille stratégique sur les besoins en compétences et mettre en œuvre une stratégie sectorielle en matière de compétences afin de remédier aux pénuries dans ce domaine,</w:t>
      </w:r>
    </w:p>
    <w:p w14:paraId="272C5F0B" w14:textId="77777777" w:rsidR="004F11D0" w:rsidRPr="00B86F89" w:rsidRDefault="004F11D0" w:rsidP="004F11D0">
      <w:pPr>
        <w:pStyle w:val="ListDash1Level2"/>
        <w:tabs>
          <w:tab w:val="clear" w:pos="1049"/>
          <w:tab w:val="num" w:pos="567"/>
        </w:tabs>
        <w:spacing w:after="120"/>
        <w:ind w:left="567"/>
        <w:rPr>
          <w:noProof/>
        </w:rPr>
      </w:pPr>
      <w:r w:rsidRPr="00B86F89">
        <w:rPr>
          <w:noProof/>
        </w:rPr>
        <w:t xml:space="preserve">la </w:t>
      </w:r>
      <w:r w:rsidRPr="00B86F89">
        <w:rPr>
          <w:b/>
          <w:noProof/>
        </w:rPr>
        <w:t xml:space="preserve">résolution du Conseil sur un nouvel agenda européen dans le domaine de l’éducation et de la formation des adultes </w:t>
      </w:r>
      <w:r w:rsidRPr="002C3F74">
        <w:rPr>
          <w:b/>
          <w:noProof/>
        </w:rPr>
        <w:t>2021</w:t>
      </w:r>
      <w:r w:rsidRPr="00B86F89">
        <w:rPr>
          <w:b/>
          <w:noProof/>
        </w:rPr>
        <w:t>-</w:t>
      </w:r>
      <w:r w:rsidRPr="002C3F74">
        <w:rPr>
          <w:b/>
          <w:noProof/>
        </w:rPr>
        <w:t>2030</w:t>
      </w:r>
      <w:r w:rsidRPr="00B86F89">
        <w:rPr>
          <w:noProof/>
        </w:rPr>
        <w:t>, qui souligne la nécessité d’accroître sensiblement la participation des adultes à l’apprentissage formel, non formel et informel,</w:t>
      </w:r>
    </w:p>
    <w:p w14:paraId="6C46FD70" w14:textId="77777777" w:rsidR="004F11D0" w:rsidRPr="00B86F89" w:rsidRDefault="004F11D0" w:rsidP="004F11D0">
      <w:pPr>
        <w:pStyle w:val="ListDash1Level2"/>
        <w:tabs>
          <w:tab w:val="clear" w:pos="1049"/>
          <w:tab w:val="num" w:pos="567"/>
        </w:tabs>
        <w:spacing w:after="120"/>
        <w:ind w:left="567"/>
        <w:rPr>
          <w:noProof/>
        </w:rPr>
      </w:pPr>
      <w:r w:rsidRPr="00B86F89">
        <w:rPr>
          <w:noProof/>
        </w:rPr>
        <w:t xml:space="preserve">la </w:t>
      </w:r>
      <w:r w:rsidRPr="00B86F89">
        <w:rPr>
          <w:b/>
          <w:noProof/>
        </w:rPr>
        <w:t>recommandation du Conseil relative aux comptes de formation individuels</w:t>
      </w:r>
      <w:r w:rsidRPr="00B86F89">
        <w:rPr>
          <w:noProof/>
        </w:rPr>
        <w:t>, dans laquelle il est recommandé aux États membres d’envisager la création de comptes de formation individuels, qui donneront à leurs titulaires la possibilité et les moyens de participer à des formations adaptées au marché du travail et faciliteront leur accès à l’emploi ou leur maintien sur le marché du travail, parallèlement à la mise en place d’un cadre facilitateur,</w:t>
      </w:r>
    </w:p>
    <w:p w14:paraId="7A75A6B9" w14:textId="77777777" w:rsidR="004F11D0" w:rsidRPr="00B86F89" w:rsidRDefault="004F11D0" w:rsidP="004F11D0">
      <w:pPr>
        <w:pStyle w:val="ListDash1Level2"/>
        <w:tabs>
          <w:tab w:val="clear" w:pos="1049"/>
          <w:tab w:val="num" w:pos="567"/>
        </w:tabs>
        <w:spacing w:after="120"/>
        <w:ind w:left="567"/>
        <w:rPr>
          <w:noProof/>
        </w:rPr>
      </w:pPr>
      <w:r w:rsidRPr="00B86F89">
        <w:rPr>
          <w:noProof/>
        </w:rPr>
        <w:t xml:space="preserve">la </w:t>
      </w:r>
      <w:r w:rsidRPr="00B86F89">
        <w:rPr>
          <w:b/>
          <w:noProof/>
        </w:rPr>
        <w:t>recommandation du Conseil sur les microcertifications</w:t>
      </w:r>
      <w:r w:rsidRPr="00B86F89">
        <w:rPr>
          <w:noProof/>
        </w:rPr>
        <w:t>, qui recommande aux États membres d’adopter une approche européenne en la matière et, en particulier, d’utiliser une définition commune à l’UE, des normes européennes et des principes clés pour la conception et la délivrance de microcertifications. Les microcertifications attestent les acquis d’apprentissage obtenus par un apprenant à la suite d’un petit volume d’apprentissage.</w:t>
      </w:r>
    </w:p>
    <w:p w14:paraId="0E89FCEC" w14:textId="77777777" w:rsidR="004F11D0" w:rsidRPr="00B86F89" w:rsidRDefault="004F11D0" w:rsidP="004F11D0">
      <w:pPr>
        <w:pStyle w:val="ListBullet1"/>
        <w:tabs>
          <w:tab w:val="clear" w:pos="283"/>
          <w:tab w:val="num" w:pos="765"/>
        </w:tabs>
        <w:spacing w:after="120"/>
        <w:rPr>
          <w:noProof/>
        </w:rPr>
      </w:pPr>
      <w:r w:rsidRPr="00B86F89">
        <w:rPr>
          <w:noProof/>
        </w:rPr>
        <w:t>Le but principal de l’</w:t>
      </w:r>
      <w:r w:rsidRPr="00B86F89">
        <w:rPr>
          <w:b/>
          <w:noProof/>
        </w:rPr>
        <w:t>Année européenne des compétences</w:t>
      </w:r>
      <w:r w:rsidRPr="00B86F89">
        <w:rPr>
          <w:noProof/>
        </w:rPr>
        <w:t xml:space="preserve"> (mai </w:t>
      </w:r>
      <w:r w:rsidRPr="002C3F74">
        <w:rPr>
          <w:noProof/>
        </w:rPr>
        <w:t>2023</w:t>
      </w:r>
      <w:r w:rsidRPr="00B86F89">
        <w:rPr>
          <w:noProof/>
        </w:rPr>
        <w:t xml:space="preserve">-mai </w:t>
      </w:r>
      <w:r w:rsidRPr="002C3F74">
        <w:rPr>
          <w:noProof/>
        </w:rPr>
        <w:t>2024</w:t>
      </w:r>
      <w:r w:rsidRPr="00B86F89">
        <w:rPr>
          <w:noProof/>
        </w:rPr>
        <w:t>) est de sensibiliser et de mobiliser un large éventail d’acteurs pour donner un nouvel élan à la reconversion et au perfectionnement professionnels autour de quatre objectifs clés: l’investissement, la pertinence des compétences, la mise en adéquation des aspirations et des compétences des personnes avec les possibilités offertes sur le marché du travail, et l’attraction de talents issus de pays tiers. La communication intitulée «Mettre à profit les talents dans les régions européennes» (</w:t>
      </w:r>
      <w:r w:rsidRPr="00B86F89">
        <w:rPr>
          <w:rStyle w:val="FootnoteReference"/>
          <w:noProof/>
        </w:rPr>
        <w:footnoteReference w:id="152"/>
      </w:r>
      <w:r w:rsidRPr="00B86F89">
        <w:rPr>
          <w:noProof/>
        </w:rPr>
        <w:t>) (portant notamment sur le mécanisme de valorisation des talents) et les propositions de la Commission de recommandations du Conseil visant à fournir une éducation et une formation numériques de qualité, inclusives et accessibles ont été présentées dans le cadre de l’Année européenne des compétences.</w:t>
      </w:r>
    </w:p>
    <w:p w14:paraId="5EB8AAFF" w14:textId="77777777" w:rsidR="004F11D0" w:rsidRPr="00B86F89" w:rsidRDefault="004F11D0" w:rsidP="004F11D0">
      <w:pPr>
        <w:pStyle w:val="ListBullet1"/>
        <w:rPr>
          <w:noProof/>
          <w:szCs w:val="24"/>
        </w:rPr>
      </w:pPr>
      <w:r w:rsidRPr="00B86F89">
        <w:rPr>
          <w:noProof/>
        </w:rPr>
        <w:t xml:space="preserve">La </w:t>
      </w:r>
      <w:r w:rsidRPr="00B86F89">
        <w:rPr>
          <w:b/>
          <w:noProof/>
        </w:rPr>
        <w:t xml:space="preserve">recommandation du Conseil de </w:t>
      </w:r>
      <w:r w:rsidRPr="002C3F74">
        <w:rPr>
          <w:b/>
          <w:noProof/>
        </w:rPr>
        <w:t>2023</w:t>
      </w:r>
      <w:r w:rsidRPr="00B86F89">
        <w:rPr>
          <w:b/>
          <w:noProof/>
        </w:rPr>
        <w:t xml:space="preserve"> relative aux principaux facteurs favorisant la réussite de l’éducation et de la formation numériques</w:t>
      </w:r>
      <w:r w:rsidRPr="00B86F89">
        <w:rPr>
          <w:noProof/>
        </w:rPr>
        <w:t xml:space="preserve"> appelle les États membres de l’UE à garantir l’accès universel à une éducation et à une formation numériques inclusives et de qualité, tandis que la </w:t>
      </w:r>
      <w:r w:rsidRPr="00B86F89">
        <w:rPr>
          <w:b/>
          <w:noProof/>
        </w:rPr>
        <w:t>recommandation du Conseil sur l’amélioration de l’enseignement des compétences et aptitudes numériques dans le domaine de l’éducation et de la formation</w:t>
      </w:r>
      <w:r w:rsidRPr="00B86F89">
        <w:rPr>
          <w:noProof/>
        </w:rPr>
        <w:t xml:space="preserve">, également datée de </w:t>
      </w:r>
      <w:r w:rsidRPr="002C3F74">
        <w:rPr>
          <w:noProof/>
        </w:rPr>
        <w:t>2023</w:t>
      </w:r>
      <w:r w:rsidRPr="00B86F89">
        <w:rPr>
          <w:noProof/>
        </w:rPr>
        <w:t>, invite les États membres à assurer un enseignement cohérent des compétences numériques dans tous les secteurs de l’éducation et de la formation.</w:t>
      </w:r>
    </w:p>
    <w:p w14:paraId="6D84DA7E" w14:textId="77777777" w:rsidR="004F11D0" w:rsidRPr="00B86F89" w:rsidRDefault="004F11D0" w:rsidP="004F11D0">
      <w:pPr>
        <w:pStyle w:val="ListBullet1"/>
        <w:numPr>
          <w:ilvl w:val="0"/>
          <w:numId w:val="267"/>
        </w:numPr>
        <w:spacing w:after="120"/>
        <w:rPr>
          <w:noProof/>
          <w:szCs w:val="24"/>
        </w:rPr>
      </w:pPr>
      <w:r w:rsidRPr="00B86F89">
        <w:rPr>
          <w:noProof/>
        </w:rPr>
        <w:t xml:space="preserve">La </w:t>
      </w:r>
      <w:r w:rsidRPr="00B86F89">
        <w:rPr>
          <w:b/>
          <w:noProof/>
        </w:rPr>
        <w:t xml:space="preserve">recommandation du Conseil de </w:t>
      </w:r>
      <w:r w:rsidRPr="002C3F74">
        <w:rPr>
          <w:b/>
          <w:noProof/>
        </w:rPr>
        <w:t>2022</w:t>
      </w:r>
      <w:r w:rsidRPr="00B86F89">
        <w:rPr>
          <w:b/>
          <w:noProof/>
        </w:rPr>
        <w:t xml:space="preserve"> concernant l’initiative «Passeport pour la réussite scolaire»</w:t>
      </w:r>
      <w:r w:rsidRPr="00B86F89">
        <w:rPr>
          <w:noProof/>
        </w:rPr>
        <w:t xml:space="preserve"> vise à promouvoir de meilleurs résultats scolaires pour tous les apprenants, indépendamment de leur milieu socio-économique, culturel ou personnel, pour ainsi améliorer la dimension inclusive de l’éducation.</w:t>
      </w:r>
    </w:p>
    <w:p w14:paraId="1CBEF628" w14:textId="77777777" w:rsidR="004F11D0" w:rsidRPr="00B86F89" w:rsidRDefault="004F11D0" w:rsidP="004F11D0">
      <w:pPr>
        <w:pStyle w:val="ListBullet1"/>
        <w:numPr>
          <w:ilvl w:val="0"/>
          <w:numId w:val="267"/>
        </w:numPr>
        <w:spacing w:after="120"/>
        <w:rPr>
          <w:noProof/>
          <w:szCs w:val="24"/>
        </w:rPr>
      </w:pPr>
      <w:r w:rsidRPr="00B86F89">
        <w:rPr>
          <w:noProof/>
        </w:rPr>
        <w:t xml:space="preserve">Développement des compétences clés conformément à la </w:t>
      </w:r>
      <w:r w:rsidRPr="00B86F89">
        <w:rPr>
          <w:b/>
          <w:noProof/>
        </w:rPr>
        <w:t xml:space="preserve">recommandation du Conseil de </w:t>
      </w:r>
      <w:r w:rsidRPr="002C3F74">
        <w:rPr>
          <w:b/>
          <w:noProof/>
        </w:rPr>
        <w:t>2018</w:t>
      </w:r>
      <w:r w:rsidRPr="00B86F89">
        <w:rPr>
          <w:b/>
          <w:noProof/>
        </w:rPr>
        <w:t xml:space="preserve"> relative aux compétences clés pour l’éducation et la formation tout au long de la vie la vie</w:t>
      </w:r>
      <w:r w:rsidRPr="00B86F89">
        <w:rPr>
          <w:noProof/>
        </w:rPr>
        <w:t>. Aujourd’hui, les exigences en matière de compétences ont changé, dans la mesure où davantage d’emplois sont automatisés, où les technologies jouent un rôle plus important dans tous les domaines du travail et de la vie, et où les compétences entrepreneuriales, sociales et civiques deviennent de plus en plus importantes pour garantir la résilience et la capacité d’adaptation au changement.</w:t>
      </w:r>
    </w:p>
    <w:p w14:paraId="64F62309" w14:textId="77777777" w:rsidR="004F11D0" w:rsidRPr="00B86F89" w:rsidRDefault="004F11D0" w:rsidP="004F11D0">
      <w:pPr>
        <w:pStyle w:val="ListBullet1"/>
        <w:numPr>
          <w:ilvl w:val="0"/>
          <w:numId w:val="267"/>
        </w:numPr>
        <w:spacing w:after="120"/>
        <w:rPr>
          <w:noProof/>
        </w:rPr>
      </w:pPr>
      <w:r w:rsidRPr="00B86F89">
        <w:rPr>
          <w:noProof/>
        </w:rPr>
        <w:t xml:space="preserve">La </w:t>
      </w:r>
      <w:r w:rsidRPr="00B86F89">
        <w:rPr>
          <w:b/>
          <w:noProof/>
        </w:rPr>
        <w:t xml:space="preserve">recommandation du Conseil de </w:t>
      </w:r>
      <w:r w:rsidRPr="002C3F74">
        <w:rPr>
          <w:b/>
          <w:noProof/>
        </w:rPr>
        <w:t>2022</w:t>
      </w:r>
      <w:r w:rsidRPr="00B86F89">
        <w:rPr>
          <w:b/>
          <w:noProof/>
        </w:rPr>
        <w:t xml:space="preserve"> sur l’apprentissage au service de la transition écologique et du développement durable</w:t>
      </w:r>
      <w:r w:rsidRPr="00B86F89">
        <w:rPr>
          <w:noProof/>
        </w:rPr>
        <w:t xml:space="preserve"> soutient les États membres de l’UE dans les efforts qu’ils déploient pour doter les apprenants et les éducateurs des connaissances, des compétences et des attitudes nécessaires à une économie et à une société plus écologiques et durables.</w:t>
      </w:r>
    </w:p>
    <w:p w14:paraId="51AB0D8D" w14:textId="77777777" w:rsidR="004F11D0" w:rsidRPr="00B86F89" w:rsidRDefault="004F11D0" w:rsidP="004F11D0">
      <w:pPr>
        <w:pStyle w:val="ListBullet1"/>
        <w:rPr>
          <w:bCs/>
          <w:noProof/>
        </w:rPr>
      </w:pPr>
      <w:r w:rsidRPr="00B86F89">
        <w:rPr>
          <w:noProof/>
        </w:rPr>
        <w:t xml:space="preserve">La recommandation du Conseil de </w:t>
      </w:r>
      <w:r w:rsidRPr="002C3F74">
        <w:rPr>
          <w:noProof/>
        </w:rPr>
        <w:t>2022</w:t>
      </w:r>
      <w:r w:rsidRPr="00B86F89">
        <w:rPr>
          <w:noProof/>
        </w:rPr>
        <w:t xml:space="preserve"> sur l’apprentissage au service de la transition écologique et du développement durable soutient les États membres de l’UE dans les efforts qu’ils déploient pour doter les apprenants et les éducateurs des connaissances, des compétences et des attitudes nécessaires à une économie et à une société plus écologiques et durables. Les </w:t>
      </w:r>
      <w:r w:rsidRPr="00B86F89">
        <w:rPr>
          <w:b/>
          <w:noProof/>
        </w:rPr>
        <w:t>académies de l’industrie «zéro net»</w:t>
      </w:r>
      <w:r w:rsidRPr="00B86F89">
        <w:rPr>
          <w:noProof/>
        </w:rPr>
        <w:t>, qui s’inscrivent dans le cadre du règlement pour une industrie «zéro net» (</w:t>
      </w:r>
      <w:r w:rsidRPr="00B86F89">
        <w:rPr>
          <w:rStyle w:val="FootnoteReference"/>
          <w:noProof/>
        </w:rPr>
        <w:footnoteReference w:id="153"/>
      </w:r>
      <w:r w:rsidRPr="00B86F89">
        <w:rPr>
          <w:noProof/>
        </w:rPr>
        <w:t>), visent à déployer des programmes de perfectionnement et de reconversion professionnels dans des industries stratégiques pour la transition vers une énergie propre, telles que les matières premières, l’hydrogène, l’énergie solaire et les technologies éoliennes.</w:t>
      </w:r>
    </w:p>
    <w:p w14:paraId="2A33A8AD" w14:textId="77777777" w:rsidR="004F11D0" w:rsidRPr="00B86F89" w:rsidRDefault="004F11D0" w:rsidP="004F11D0">
      <w:pPr>
        <w:pStyle w:val="ListBullet1"/>
        <w:tabs>
          <w:tab w:val="clear" w:pos="283"/>
          <w:tab w:val="num" w:pos="765"/>
        </w:tabs>
        <w:spacing w:after="120"/>
        <w:rPr>
          <w:noProof/>
        </w:rPr>
      </w:pPr>
      <w:r w:rsidRPr="00B86F89">
        <w:rPr>
          <w:noProof/>
        </w:rPr>
        <w:t xml:space="preserve">Le </w:t>
      </w:r>
      <w:r w:rsidRPr="00B86F89">
        <w:rPr>
          <w:b/>
          <w:noProof/>
        </w:rPr>
        <w:t>programme pour une Europe numérique</w:t>
      </w:r>
      <w:r w:rsidRPr="00B86F89">
        <w:rPr>
          <w:noProof/>
        </w:rPr>
        <w:t xml:space="preserve"> soutient le développement de programmes d’éducation et de formation (par exemple, des programmes de licence et de master) dans les technologies de pointe. Il vise à favoriser l’excellence dans les établissements d’enseignement supérieur pour les hisser au rang de leaders mondiaux en matière de formation de spécialistes du numérique, à accroître les capacités de l’offre de formation en technologies de pointe et à cultiver et à attirer les talents numériques (étudiants comme enseignants).</w:t>
      </w:r>
    </w:p>
    <w:p w14:paraId="1ADAAF25" w14:textId="77777777" w:rsidR="004F11D0" w:rsidRPr="00B86F89" w:rsidRDefault="004F11D0" w:rsidP="004F11D0">
      <w:pPr>
        <w:pStyle w:val="ListBullet1"/>
        <w:tabs>
          <w:tab w:val="clear" w:pos="283"/>
          <w:tab w:val="num" w:pos="765"/>
        </w:tabs>
        <w:spacing w:after="120"/>
        <w:rPr>
          <w:noProof/>
        </w:rPr>
      </w:pPr>
      <w:r w:rsidRPr="00B86F89">
        <w:rPr>
          <w:noProof/>
        </w:rPr>
        <w:t xml:space="preserve">Le </w:t>
      </w:r>
      <w:r w:rsidRPr="00B86F89">
        <w:rPr>
          <w:b/>
          <w:noProof/>
        </w:rPr>
        <w:t>plan d’action en matière d’éducation numérique (</w:t>
      </w:r>
      <w:r w:rsidRPr="002C3F74">
        <w:rPr>
          <w:b/>
          <w:noProof/>
        </w:rPr>
        <w:t>2021</w:t>
      </w:r>
      <w:r w:rsidRPr="00B86F89">
        <w:rPr>
          <w:b/>
          <w:noProof/>
        </w:rPr>
        <w:t>-</w:t>
      </w:r>
      <w:r w:rsidRPr="002C3F74">
        <w:rPr>
          <w:b/>
          <w:noProof/>
        </w:rPr>
        <w:t>2027</w:t>
      </w:r>
      <w:r w:rsidRPr="00B86F89">
        <w:rPr>
          <w:b/>
          <w:noProof/>
        </w:rPr>
        <w:t>)</w:t>
      </w:r>
      <w:r w:rsidRPr="00B86F89">
        <w:rPr>
          <w:noProof/>
        </w:rPr>
        <w:t>, qui définit un ensemble d’actions visant à soutenir le développement des compétences numériques.</w:t>
      </w:r>
    </w:p>
    <w:p w14:paraId="527DDE0E" w14:textId="77777777" w:rsidR="004F11D0" w:rsidRPr="00B86F89" w:rsidRDefault="004F11D0" w:rsidP="004F11D0">
      <w:pPr>
        <w:pStyle w:val="ListBullet1"/>
        <w:tabs>
          <w:tab w:val="clear" w:pos="283"/>
          <w:tab w:val="num" w:pos="765"/>
        </w:tabs>
        <w:spacing w:after="120"/>
        <w:rPr>
          <w:noProof/>
        </w:rPr>
      </w:pPr>
      <w:r w:rsidRPr="00B86F89">
        <w:rPr>
          <w:noProof/>
        </w:rPr>
        <w:t xml:space="preserve">La Commission a adopté un </w:t>
      </w:r>
      <w:r w:rsidRPr="00B86F89">
        <w:rPr>
          <w:b/>
          <w:noProof/>
        </w:rPr>
        <w:t>nouveau programme européen d’innovation</w:t>
      </w:r>
      <w:r w:rsidRPr="00B86F89">
        <w:rPr>
          <w:noProof/>
        </w:rPr>
        <w:t>, qui vise à propulser l’Europe au-devant de la scène émergente en matière d’innovation et de start-up dans le domaine des deep tech. Ce programme a pour objectif d’aider l’Europe à mettre au point de nouvelles technologies pour répondre aux enjeux sociétaux urgents et les mettre à disposition sur le marché. L’une des cinq initiatives phares met l’accent sur les talents et les compétences ainsi que sur la promotion, l’attraction et la rétention de talents, ce qui, grâce à une série d’initiatives, assurera le développement de compétences essentielles dans le domaine des deep tech et le transfert de ces compétences tant au sein de l’UE qu’à destination de celle-ci.</w:t>
      </w:r>
    </w:p>
    <w:p w14:paraId="41BCA118" w14:textId="77777777" w:rsidR="004F11D0" w:rsidRPr="00B86F89" w:rsidRDefault="004F11D0" w:rsidP="004F11D0">
      <w:pPr>
        <w:pStyle w:val="ListBullet1"/>
        <w:rPr>
          <w:noProof/>
        </w:rPr>
      </w:pPr>
      <w:r w:rsidRPr="00B86F89">
        <w:rPr>
          <w:noProof/>
        </w:rPr>
        <w:t xml:space="preserve">La </w:t>
      </w:r>
      <w:r w:rsidRPr="00B86F89">
        <w:rPr>
          <w:b/>
          <w:noProof/>
        </w:rPr>
        <w:t>stratégie européenne en faveur des universités</w:t>
      </w:r>
      <w:r w:rsidRPr="00B86F89">
        <w:rPr>
          <w:noProof/>
        </w:rPr>
        <w:t xml:space="preserve"> souligne l’importance de la reconversion et du perfectionnement professionnels, y compris dans la perspective de la double transition. Elle favorise la coopération entre les universités et avec les écosystèmes industriels.</w:t>
      </w:r>
    </w:p>
    <w:p w14:paraId="7C7CDFAB" w14:textId="77777777" w:rsidR="004F11D0" w:rsidRPr="00B86F89" w:rsidRDefault="004F11D0" w:rsidP="004F11D0">
      <w:pPr>
        <w:pStyle w:val="ListBullet1"/>
        <w:tabs>
          <w:tab w:val="clear" w:pos="283"/>
          <w:tab w:val="num" w:pos="765"/>
        </w:tabs>
        <w:ind w:left="284" w:hanging="284"/>
        <w:rPr>
          <w:noProof/>
        </w:rPr>
      </w:pPr>
      <w:r w:rsidRPr="00B86F89">
        <w:rPr>
          <w:noProof/>
        </w:rPr>
        <w:t xml:space="preserve">Le </w:t>
      </w:r>
      <w:r w:rsidRPr="00B86F89">
        <w:rPr>
          <w:b/>
          <w:noProof/>
        </w:rPr>
        <w:t>Fonds européen d’ajustement à la mondialisation en faveur des travailleurs licenciés</w:t>
      </w:r>
      <w:r w:rsidRPr="00B86F89">
        <w:rPr>
          <w:noProof/>
        </w:rPr>
        <w:t xml:space="preserve"> (FEM) </w:t>
      </w:r>
      <w:r w:rsidRPr="002C3F74">
        <w:rPr>
          <w:noProof/>
        </w:rPr>
        <w:t>2021</w:t>
      </w:r>
      <w:r w:rsidRPr="00B86F89">
        <w:rPr>
          <w:noProof/>
        </w:rPr>
        <w:t>-</w:t>
      </w:r>
      <w:r w:rsidRPr="002C3F74">
        <w:rPr>
          <w:noProof/>
        </w:rPr>
        <w:t>2027</w:t>
      </w:r>
      <w:r w:rsidRPr="00B86F89">
        <w:rPr>
          <w:noProof/>
        </w:rPr>
        <w:t xml:space="preserve"> est un instrument spécifique par lequel l’UE vise à exprimer sa solidarité envers les travailleurs indépendants et les travailleurs qui ont été licenciés en raison d’une restructuration, ainsi qu’à les aider à retrouver un emploi, notamment grâce à des mesures de perfectionnement et de reconversion professionnels.</w:t>
      </w:r>
    </w:p>
    <w:p w14:paraId="5D9DAE09" w14:textId="77777777" w:rsidR="004F11D0" w:rsidRPr="00B86F89" w:rsidRDefault="004F11D0" w:rsidP="004F11D0">
      <w:pPr>
        <w:pStyle w:val="ListBullet1"/>
        <w:tabs>
          <w:tab w:val="clear" w:pos="283"/>
          <w:tab w:val="num" w:pos="765"/>
        </w:tabs>
        <w:spacing w:after="120"/>
        <w:rPr>
          <w:noProof/>
        </w:rPr>
      </w:pPr>
      <w:r w:rsidRPr="00B86F89">
        <w:rPr>
          <w:noProof/>
        </w:rPr>
        <w:t xml:space="preserve">Le </w:t>
      </w:r>
      <w:r w:rsidRPr="00B86F89">
        <w:rPr>
          <w:b/>
          <w:noProof/>
        </w:rPr>
        <w:t>mécanisme de valorisation des talents</w:t>
      </w:r>
      <w:r w:rsidRPr="00B86F89">
        <w:rPr>
          <w:noProof/>
        </w:rPr>
        <w:t xml:space="preserve"> aide les régions de l’UE à attirer, à former et à retenir des talents, et à faire face aux conséquences de la transition démographique. Dans ce contexte, la plateforme «Harnessing Talent» (Mettre à profit les talents) joue un rôle de catalyseur de la collaboration, en permettant l’échange d’idées, de connaissances et de ressources.</w:t>
      </w:r>
    </w:p>
    <w:p w14:paraId="052A867C" w14:textId="77777777" w:rsidR="004F11D0" w:rsidRPr="00B86F89" w:rsidRDefault="004F11D0" w:rsidP="004F11D0">
      <w:pPr>
        <w:pStyle w:val="ListBullet1"/>
        <w:spacing w:after="120"/>
        <w:rPr>
          <w:noProof/>
        </w:rPr>
      </w:pPr>
      <w:r w:rsidRPr="00B86F89">
        <w:rPr>
          <w:noProof/>
        </w:rPr>
        <w:t>L’</w:t>
      </w:r>
      <w:r w:rsidRPr="00B86F89">
        <w:rPr>
          <w:b/>
          <w:noProof/>
        </w:rPr>
        <w:t>académie des compétences en matière de cybersécurité</w:t>
      </w:r>
      <w:r w:rsidRPr="00B86F89">
        <w:rPr>
          <w:noProof/>
        </w:rPr>
        <w:t xml:space="preserve">, lancée par la Commission en avril </w:t>
      </w:r>
      <w:r w:rsidRPr="002C3F74">
        <w:rPr>
          <w:noProof/>
        </w:rPr>
        <w:t>2023</w:t>
      </w:r>
      <w:r w:rsidRPr="00B86F89">
        <w:rPr>
          <w:noProof/>
        </w:rPr>
        <w:t>, vise à rassembler les initiatives existantes en matière de cybercompétences et à améliorer leur coordination dans l’optique de combler la pénurie de talents dans le secteur de la cybersécurité. Ses quatre piliers poursuivent différents objectifs, à savoir: i) établir une approche européenne commune de la formation à la cybersécurité; ii) assurer une meilleure canalisation des possibilités de financement pour les activités liées aux compétences; iii) renforcer la participation des parties prenantes pour combler la pénurie de compétences dans le secteur de la cybersécurité, y compris par des mesures visant à améliorer l’équilibre entre les hommes et les femmes; et iv) élaborer une méthodologie pour suivre les progrès accomplis.</w:t>
      </w:r>
    </w:p>
    <w:p w14:paraId="4B75F626" w14:textId="77777777" w:rsidR="004F11D0" w:rsidRPr="00B86F89" w:rsidRDefault="004F11D0" w:rsidP="004F11D0">
      <w:pPr>
        <w:pStyle w:val="ListBullet1"/>
        <w:spacing w:after="120"/>
        <w:rPr>
          <w:noProof/>
        </w:rPr>
      </w:pPr>
      <w:r w:rsidRPr="00B86F89">
        <w:rPr>
          <w:noProof/>
        </w:rPr>
        <w:t>L’</w:t>
      </w:r>
      <w:r w:rsidRPr="00B86F89">
        <w:rPr>
          <w:b/>
          <w:noProof/>
        </w:rPr>
        <w:t>instrument d’appui technique</w:t>
      </w:r>
      <w:r w:rsidRPr="00B86F89">
        <w:rPr>
          <w:noProof/>
        </w:rPr>
        <w:t xml:space="preserve"> aide les États membres, sur demande, à concevoir et à mettre en œuvre des réformes structurelles visant à promouvoir le perfectionnement et la reconversion professionnels de la population, notamment par l’intermédiaire de son initiative phare de </w:t>
      </w:r>
      <w:r w:rsidRPr="002C3F74">
        <w:rPr>
          <w:noProof/>
        </w:rPr>
        <w:t>2024</w:t>
      </w:r>
      <w:r w:rsidRPr="00B86F89">
        <w:rPr>
          <w:noProof/>
        </w:rPr>
        <w:t xml:space="preserve"> sur les compétences et de son initiative phare de </w:t>
      </w:r>
      <w:r w:rsidRPr="002C3F74">
        <w:rPr>
          <w:noProof/>
        </w:rPr>
        <w:t>2023</w:t>
      </w:r>
      <w:r w:rsidRPr="00B86F89">
        <w:rPr>
          <w:noProof/>
        </w:rPr>
        <w:t xml:space="preserve"> sur les compétences numériques du personnel de santé. En </w:t>
      </w:r>
      <w:r w:rsidRPr="002C3F74">
        <w:rPr>
          <w:noProof/>
        </w:rPr>
        <w:t>2025</w:t>
      </w:r>
      <w:r w:rsidRPr="00B86F89">
        <w:rPr>
          <w:noProof/>
        </w:rPr>
        <w:t>, l’instrument d’appui technique continuera de soutenir les politiques actives du marché du travail et les réformes des compétences dans le contexte des défis démographiques, socio-économiques et technologiques.</w:t>
      </w:r>
    </w:p>
    <w:p w14:paraId="0770E500" w14:textId="77777777" w:rsidR="004F11D0" w:rsidRPr="00B86F89" w:rsidRDefault="004F11D0" w:rsidP="004F11D0">
      <w:pPr>
        <w:pStyle w:val="ListBullet1"/>
        <w:spacing w:after="120"/>
        <w:rPr>
          <w:noProof/>
        </w:rPr>
      </w:pPr>
      <w:r w:rsidRPr="00B86F89">
        <w:rPr>
          <w:noProof/>
        </w:rPr>
        <w:t xml:space="preserve">La Commission a annoncé deux nouvelles initiatives pilotes visant à développer les talents dans le secteur spatial et à susciter l’intérêt pour celui-ci: un </w:t>
      </w:r>
      <w:r w:rsidRPr="00B86F89">
        <w:rPr>
          <w:b/>
          <w:noProof/>
        </w:rPr>
        <w:t>programme de placement professionnel</w:t>
      </w:r>
      <w:r w:rsidRPr="00B86F89">
        <w:rPr>
          <w:noProof/>
        </w:rPr>
        <w:t xml:space="preserve"> pour les étudiants et diplômés universitaires, et le </w:t>
      </w:r>
      <w:r w:rsidRPr="00B86F89">
        <w:rPr>
          <w:b/>
          <w:noProof/>
        </w:rPr>
        <w:t>camp d’été spatial CASSINI</w:t>
      </w:r>
      <w:r w:rsidRPr="00B86F89">
        <w:rPr>
          <w:noProof/>
        </w:rPr>
        <w:t xml:space="preserve">, destiné aux étudiants âgés de </w:t>
      </w:r>
      <w:r w:rsidRPr="002C3F74">
        <w:rPr>
          <w:noProof/>
        </w:rPr>
        <w:t>14</w:t>
      </w:r>
      <w:r w:rsidRPr="00B86F89">
        <w:rPr>
          <w:noProof/>
        </w:rPr>
        <w:t xml:space="preserve"> à </w:t>
      </w:r>
      <w:r w:rsidRPr="002C3F74">
        <w:rPr>
          <w:noProof/>
        </w:rPr>
        <w:t>18</w:t>
      </w:r>
      <w:r w:rsidRPr="00B86F89">
        <w:rPr>
          <w:noProof/>
        </w:rPr>
        <w:t xml:space="preserve"> ans. Ces initiatives viennent compléter le </w:t>
      </w:r>
      <w:r w:rsidRPr="00B86F89">
        <w:rPr>
          <w:b/>
          <w:noProof/>
        </w:rPr>
        <w:t>projet SpaceSUITE</w:t>
      </w:r>
      <w:r w:rsidRPr="00B86F89">
        <w:rPr>
          <w:noProof/>
        </w:rPr>
        <w:t xml:space="preserve">, s’appuyant sur le </w:t>
      </w:r>
      <w:r w:rsidRPr="00B86F89">
        <w:rPr>
          <w:b/>
          <w:noProof/>
        </w:rPr>
        <w:t>partenariat à grande échelle en matière de compétences Space</w:t>
      </w:r>
      <w:r w:rsidRPr="002C3F74">
        <w:rPr>
          <w:b/>
          <w:noProof/>
        </w:rPr>
        <w:t>4</w:t>
      </w:r>
      <w:r w:rsidRPr="00B86F89">
        <w:rPr>
          <w:b/>
          <w:noProof/>
        </w:rPr>
        <w:t>GEO</w:t>
      </w:r>
      <w:r w:rsidRPr="00B86F89">
        <w:rPr>
          <w:noProof/>
        </w:rPr>
        <w:t>, qui vise à renforcer la compétitivité de l’industrie spatiale de l’UE par le développement des compétences et l’apprentissage tout au long de la vie.</w:t>
      </w:r>
    </w:p>
    <w:p w14:paraId="110DF8A2" w14:textId="77777777" w:rsidR="004F11D0" w:rsidRPr="00B86F89" w:rsidRDefault="004F11D0" w:rsidP="004F11D0">
      <w:pPr>
        <w:pStyle w:val="ListBullet1"/>
        <w:spacing w:after="120"/>
        <w:rPr>
          <w:noProof/>
        </w:rPr>
      </w:pPr>
      <w:r w:rsidRPr="00B86F89">
        <w:rPr>
          <w:noProof/>
        </w:rPr>
        <w:t xml:space="preserve">Dans la </w:t>
      </w:r>
      <w:r w:rsidRPr="00B86F89">
        <w:rPr>
          <w:b/>
          <w:noProof/>
        </w:rPr>
        <w:t>stratégie pour l’industrie européenne de la défense</w:t>
      </w:r>
      <w:r w:rsidRPr="00B86F89">
        <w:rPr>
          <w:noProof/>
        </w:rPr>
        <w:t xml:space="preserve"> récemment publiée, la Commission a annoncé qu’elle entendait étudier des mesures visant à améliorer la mobilité de la main-d’œuvre et à soutenir l’éducation liée à la défense, notamment grâce aux possibilités offertes par les programmes industriels de l’UE dans le domaine de la défense et par la coopération entre les prestataires d’enseignement, y compris le </w:t>
      </w:r>
      <w:r w:rsidRPr="00B86F89">
        <w:rPr>
          <w:b/>
          <w:noProof/>
        </w:rPr>
        <w:t>Collège européen de sécurité et de défense</w:t>
      </w:r>
      <w:r w:rsidRPr="00B86F89">
        <w:rPr>
          <w:noProof/>
        </w:rPr>
        <w:t>. Les États membres peuvent également s’appuyer sur le cadre européen des compétences en matière de durabilité GreenComp, qui énonce les compétences que tous les apprenants doivent développer en matière d’environnement et de durabilité, ainsi que sur le cadre commun de compétences financières de l’UE et de l’OCDE pour les adultes et pour les enfants et les jeunes, qui définit les aptitudes et attitudes nécessaires aux citoyens pour pouvoir prendre des décisions éclairées en ce qui concerne leurs finances.</w:t>
      </w:r>
    </w:p>
    <w:p w14:paraId="60082B34" w14:textId="77777777" w:rsidR="004F11D0" w:rsidRPr="00B86F89" w:rsidRDefault="004F11D0" w:rsidP="004F11D0">
      <w:pPr>
        <w:pStyle w:val="ListBullet1"/>
        <w:rPr>
          <w:rFonts w:ascii="Arial" w:hAnsi="Arial" w:cs="Arial"/>
          <w:noProof/>
          <w:sz w:val="20"/>
        </w:rPr>
      </w:pPr>
      <w:r w:rsidRPr="00B86F89">
        <w:rPr>
          <w:noProof/>
        </w:rPr>
        <w:t>En outre, l’Institut européen d’innovation et de technologie (EIT) mène activement l’</w:t>
      </w:r>
      <w:r w:rsidRPr="00B86F89">
        <w:rPr>
          <w:b/>
          <w:noProof/>
        </w:rPr>
        <w:t>initiative pour les talents deep tech</w:t>
      </w:r>
      <w:r w:rsidRPr="00B86F89">
        <w:rPr>
          <w:noProof/>
        </w:rPr>
        <w:t xml:space="preserve"> dans le but de renforcer les compétences d’un million de personnes dans les domaines des deep tech d’ici à </w:t>
      </w:r>
      <w:r w:rsidRPr="002C3F74">
        <w:rPr>
          <w:noProof/>
        </w:rPr>
        <w:t>2025</w:t>
      </w:r>
      <w:r w:rsidRPr="00B86F89">
        <w:rPr>
          <w:noProof/>
        </w:rPr>
        <w:t>. Cette initiative met l’accent sur la promotion des technologies de pointe et sur le développement d’une culture durable de l’entrepreneuriat et de l’innovation dans le domaine de l’éducation et de la formation.</w:t>
      </w:r>
    </w:p>
    <w:p w14:paraId="346E4741" w14:textId="77777777" w:rsidR="004F11D0" w:rsidRPr="00B86F89" w:rsidRDefault="004F11D0" w:rsidP="004F11D0">
      <w:pPr>
        <w:pStyle w:val="ListBullet1"/>
        <w:rPr>
          <w:noProof/>
        </w:rPr>
      </w:pPr>
      <w:r w:rsidRPr="00B86F89">
        <w:rPr>
          <w:noProof/>
        </w:rPr>
        <w:t>L’</w:t>
      </w:r>
      <w:r w:rsidRPr="00B86F89">
        <w:rPr>
          <w:b/>
          <w:noProof/>
        </w:rPr>
        <w:t>Académie du nouveau Bauhaus européen</w:t>
      </w:r>
      <w:r w:rsidRPr="00B86F89">
        <w:rPr>
          <w:noProof/>
        </w:rPr>
        <w:t xml:space="preserve"> accélérera le perfectionnement et la reconversion professionnels dans l’écosystème de la construction, afin de soutenir la transition d’une économie de la construction extractive, minérale et basée sur les hydrocarbures fossiles vers une bioéconomie régénérative et un système circulaire de réutilisation des matériaux.</w:t>
      </w:r>
    </w:p>
    <w:p w14:paraId="05B04888" w14:textId="77777777" w:rsidR="004F11D0" w:rsidRPr="00B86F89" w:rsidRDefault="004F11D0" w:rsidP="004F11D0">
      <w:pPr>
        <w:pStyle w:val="Heading1"/>
        <w:numPr>
          <w:ilvl w:val="0"/>
          <w:numId w:val="65"/>
        </w:numPr>
        <w:tabs>
          <w:tab w:val="clear" w:pos="482"/>
          <w:tab w:val="num" w:pos="284"/>
        </w:tabs>
        <w:ind w:left="284" w:hanging="284"/>
        <w:rPr>
          <w:noProof/>
        </w:rPr>
      </w:pPr>
      <w:r w:rsidRPr="00B86F89">
        <w:rPr>
          <w:noProof/>
        </w:rPr>
        <w:t>Politiques visant à améliorer les conditions de travail</w:t>
      </w:r>
    </w:p>
    <w:p w14:paraId="56DB3A8F" w14:textId="77777777" w:rsidR="004F11D0" w:rsidRPr="00B86F89" w:rsidRDefault="004F11D0" w:rsidP="004F11D0">
      <w:pPr>
        <w:pStyle w:val="ListBullet1"/>
        <w:spacing w:after="120"/>
        <w:rPr>
          <w:noProof/>
        </w:rPr>
      </w:pPr>
      <w:r w:rsidRPr="00B86F89">
        <w:rPr>
          <w:noProof/>
        </w:rPr>
        <w:t xml:space="preserve">La </w:t>
      </w:r>
      <w:r w:rsidRPr="00B86F89">
        <w:rPr>
          <w:b/>
          <w:noProof/>
        </w:rPr>
        <w:t>directive relative à des salaires minimaux adéquats dans l’UE</w:t>
      </w:r>
      <w:r w:rsidRPr="00B86F89">
        <w:rPr>
          <w:noProof/>
        </w:rPr>
        <w:t xml:space="preserve"> (</w:t>
      </w:r>
      <w:r w:rsidRPr="00B86F89">
        <w:rPr>
          <w:rStyle w:val="FootnoteReference"/>
          <w:noProof/>
        </w:rPr>
        <w:footnoteReference w:id="154"/>
      </w:r>
      <w:r w:rsidRPr="00B86F89">
        <w:rPr>
          <w:noProof/>
        </w:rPr>
        <w:t>) établit un cadre européen commun visant à garantir un niveau adéquat de protection offerte par des salaires minimaux et à promouvoir les négociations collectives sur la fixation des salaires.</w:t>
      </w:r>
    </w:p>
    <w:p w14:paraId="33625FC9" w14:textId="77777777" w:rsidR="004F11D0" w:rsidRPr="00B86F89" w:rsidRDefault="004F11D0" w:rsidP="004F11D0">
      <w:pPr>
        <w:pStyle w:val="ListBullet1"/>
        <w:spacing w:after="120"/>
        <w:rPr>
          <w:iCs/>
          <w:noProof/>
        </w:rPr>
      </w:pPr>
      <w:r w:rsidRPr="00B86F89">
        <w:rPr>
          <w:noProof/>
        </w:rPr>
        <w:t xml:space="preserve">La proposition de </w:t>
      </w:r>
      <w:r w:rsidRPr="00B86F89">
        <w:rPr>
          <w:b/>
          <w:noProof/>
        </w:rPr>
        <w:t>directive de la Commission relative à l’amélioration des conditions de travail dans le cadre du travail via une plateforme</w:t>
      </w:r>
      <w:r w:rsidRPr="00B86F89">
        <w:rPr>
          <w:noProof/>
        </w:rPr>
        <w:t xml:space="preserve"> (</w:t>
      </w:r>
      <w:r w:rsidRPr="00B86F89">
        <w:rPr>
          <w:rStyle w:val="FootnoteReference"/>
          <w:noProof/>
        </w:rPr>
        <w:footnoteReference w:id="155"/>
      </w:r>
      <w:r w:rsidRPr="00B86F89">
        <w:rPr>
          <w:noProof/>
        </w:rPr>
        <w:t>) vise à améliorer les conditions de travail des travailleurs des plateformes.</w:t>
      </w:r>
    </w:p>
    <w:p w14:paraId="600161B5" w14:textId="77777777" w:rsidR="004F11D0" w:rsidRPr="00B86F89" w:rsidRDefault="004F11D0" w:rsidP="004F11D0">
      <w:pPr>
        <w:pStyle w:val="ListBullet1"/>
        <w:spacing w:after="120" w:line="259" w:lineRule="auto"/>
        <w:rPr>
          <w:noProof/>
        </w:rPr>
      </w:pPr>
      <w:r w:rsidRPr="00B86F89">
        <w:rPr>
          <w:noProof/>
        </w:rPr>
        <w:t>La</w:t>
      </w:r>
      <w:r w:rsidRPr="00B86F89">
        <w:rPr>
          <w:b/>
          <w:noProof/>
        </w:rPr>
        <w:t xml:space="preserve"> directive relative à des conditions de travail transparentes et prévisibles</w:t>
      </w:r>
      <w:r w:rsidRPr="00B86F89">
        <w:rPr>
          <w:noProof/>
        </w:rPr>
        <w:t xml:space="preserve"> (</w:t>
      </w:r>
      <w:r w:rsidRPr="00B86F89">
        <w:rPr>
          <w:rStyle w:val="FootnoteReference"/>
          <w:noProof/>
        </w:rPr>
        <w:footnoteReference w:id="156"/>
      </w:r>
      <w:r w:rsidRPr="00B86F89">
        <w:rPr>
          <w:noProof/>
        </w:rPr>
        <w:t>) confère de nouveaux droits substantiels à tous les travailleurs européens, en particulier à ceux qui occupent des formes d’emploi précaires, tout en renforçant l’information dont ils doivent bénéficier sur leur relation de travail et en les plaçant dans une meilleure position pour défendre leurs droits.</w:t>
      </w:r>
    </w:p>
    <w:p w14:paraId="300E45BB" w14:textId="77777777" w:rsidR="004F11D0" w:rsidRPr="00B86F89" w:rsidRDefault="004F11D0" w:rsidP="004F11D0">
      <w:pPr>
        <w:pStyle w:val="ListBullet1"/>
        <w:spacing w:after="120"/>
        <w:rPr>
          <w:noProof/>
        </w:rPr>
      </w:pPr>
      <w:r w:rsidRPr="00B86F89">
        <w:rPr>
          <w:noProof/>
        </w:rPr>
        <w:t xml:space="preserve">Le </w:t>
      </w:r>
      <w:r w:rsidRPr="00B86F89">
        <w:rPr>
          <w:b/>
          <w:noProof/>
        </w:rPr>
        <w:t xml:space="preserve">cadre stratégique en matière de santé et de sécurité au travail pour la période </w:t>
      </w:r>
      <w:r w:rsidRPr="002C3F74">
        <w:rPr>
          <w:b/>
          <w:noProof/>
        </w:rPr>
        <w:t>2021</w:t>
      </w:r>
      <w:r w:rsidRPr="00B86F89">
        <w:rPr>
          <w:b/>
          <w:noProof/>
        </w:rPr>
        <w:t>-</w:t>
      </w:r>
      <w:r w:rsidRPr="002C3F74">
        <w:rPr>
          <w:b/>
          <w:noProof/>
        </w:rPr>
        <w:t>2027</w:t>
      </w:r>
      <w:r w:rsidRPr="00B86F89">
        <w:rPr>
          <w:noProof/>
        </w:rPr>
        <w:t xml:space="preserve"> (</w:t>
      </w:r>
      <w:r w:rsidRPr="00B86F89">
        <w:rPr>
          <w:rStyle w:val="FootnoteReference"/>
          <w:noProof/>
        </w:rPr>
        <w:footnoteReference w:id="157"/>
      </w:r>
      <w:r w:rsidRPr="00B86F89">
        <w:rPr>
          <w:noProof/>
        </w:rPr>
        <w:t>) définit les principales priorités et actions destinées à améliorer la santé et la sécurité des travailleurs sur leur lieu de travail.</w:t>
      </w:r>
    </w:p>
    <w:p w14:paraId="2E95DCC5" w14:textId="77777777" w:rsidR="004F11D0" w:rsidRPr="00B86F89" w:rsidRDefault="004F11D0" w:rsidP="004F11D0">
      <w:pPr>
        <w:pStyle w:val="ListBullet1"/>
        <w:spacing w:after="120"/>
        <w:rPr>
          <w:noProof/>
        </w:rPr>
      </w:pPr>
      <w:r w:rsidRPr="00B86F89">
        <w:rPr>
          <w:noProof/>
        </w:rPr>
        <w:t xml:space="preserve">Un élément clé de la </w:t>
      </w:r>
      <w:r w:rsidRPr="00B86F89">
        <w:rPr>
          <w:b/>
          <w:noProof/>
        </w:rPr>
        <w:t xml:space="preserve">stratégie européenne en matière de soins </w:t>
      </w:r>
      <w:r w:rsidRPr="00B86F89">
        <w:rPr>
          <w:bCs/>
          <w:noProof/>
        </w:rPr>
        <w:t>(</w:t>
      </w:r>
      <w:r w:rsidRPr="00B86F89">
        <w:rPr>
          <w:rStyle w:val="FootnoteReference"/>
          <w:noProof/>
        </w:rPr>
        <w:footnoteReference w:id="158"/>
      </w:r>
      <w:r w:rsidRPr="00B86F89">
        <w:rPr>
          <w:bCs/>
          <w:noProof/>
        </w:rPr>
        <w:t>)</w:t>
      </w:r>
      <w:r w:rsidRPr="00B86F89">
        <w:rPr>
          <w:noProof/>
        </w:rPr>
        <w:t xml:space="preserve">, de la </w:t>
      </w:r>
      <w:r w:rsidRPr="00B86F89">
        <w:rPr>
          <w:b/>
          <w:noProof/>
        </w:rPr>
        <w:t>recommandation du Conseil sur l’accès à des soins de longue durée de haute qualité</w:t>
      </w:r>
      <w:r w:rsidRPr="00B86F89">
        <w:rPr>
          <w:noProof/>
        </w:rPr>
        <w:t xml:space="preserve"> et de la </w:t>
      </w:r>
      <w:r w:rsidRPr="00B86F89">
        <w:rPr>
          <w:b/>
          <w:noProof/>
        </w:rPr>
        <w:t>recommandation du Conseil concernant l’éducation et l’accueil de la petite enfance</w:t>
      </w:r>
      <w:r w:rsidRPr="00B86F89">
        <w:rPr>
          <w:noProof/>
        </w:rPr>
        <w:t xml:space="preserve"> est l’amélioration des conditions de travail des aidants.</w:t>
      </w:r>
    </w:p>
    <w:p w14:paraId="46433022" w14:textId="77777777" w:rsidR="004F11D0" w:rsidRPr="00B86F89" w:rsidRDefault="004F11D0" w:rsidP="004F11D0">
      <w:pPr>
        <w:pStyle w:val="ListBullet1"/>
        <w:spacing w:after="120"/>
        <w:rPr>
          <w:noProof/>
        </w:rPr>
      </w:pPr>
      <w:r w:rsidRPr="00B86F89">
        <w:rPr>
          <w:noProof/>
        </w:rPr>
        <w:t xml:space="preserve">La </w:t>
      </w:r>
      <w:r w:rsidRPr="00B86F89">
        <w:rPr>
          <w:b/>
          <w:noProof/>
        </w:rPr>
        <w:t>recommandation relative à l’accès des travailleurs salariés et non salariés à la protection sociale</w:t>
      </w:r>
      <w:r w:rsidRPr="00B86F89">
        <w:rPr>
          <w:noProof/>
        </w:rPr>
        <w:t xml:space="preserve"> (</w:t>
      </w:r>
      <w:r w:rsidRPr="00B86F89">
        <w:rPr>
          <w:noProof/>
          <w:vertAlign w:val="superscript"/>
        </w:rPr>
        <w:footnoteReference w:id="159"/>
      </w:r>
      <w:r w:rsidRPr="00B86F89">
        <w:rPr>
          <w:noProof/>
        </w:rPr>
        <w:t>) vise à garantir à chacun l’accès à la protection sociale, en particulier aux travailleurs atypiques et aux travailleurs non salariés.</w:t>
      </w:r>
    </w:p>
    <w:p w14:paraId="1A9A5588" w14:textId="77777777" w:rsidR="004F11D0" w:rsidRPr="00B86F89" w:rsidRDefault="004F11D0" w:rsidP="004F11D0">
      <w:pPr>
        <w:pStyle w:val="ListBullet1"/>
        <w:rPr>
          <w:noProof/>
        </w:rPr>
      </w:pPr>
      <w:r w:rsidRPr="00B86F89">
        <w:rPr>
          <w:noProof/>
        </w:rPr>
        <w:t xml:space="preserve">La </w:t>
      </w:r>
      <w:r w:rsidRPr="00B86F89">
        <w:rPr>
          <w:b/>
          <w:noProof/>
        </w:rPr>
        <w:t xml:space="preserve">politique agricole commune (PAC) </w:t>
      </w:r>
      <w:r w:rsidRPr="002C3F74">
        <w:rPr>
          <w:b/>
          <w:noProof/>
        </w:rPr>
        <w:t>2023</w:t>
      </w:r>
      <w:r w:rsidRPr="00B86F89">
        <w:rPr>
          <w:b/>
          <w:noProof/>
        </w:rPr>
        <w:t>-</w:t>
      </w:r>
      <w:r w:rsidRPr="002C3F74">
        <w:rPr>
          <w:b/>
          <w:noProof/>
        </w:rPr>
        <w:t>2027</w:t>
      </w:r>
      <w:r w:rsidRPr="00B86F89">
        <w:rPr>
          <w:b/>
          <w:noProof/>
        </w:rPr>
        <w:t xml:space="preserve"> a introduit un mécanisme de conditionnalité sociale</w:t>
      </w:r>
      <w:r w:rsidRPr="00B86F89">
        <w:rPr>
          <w:noProof/>
        </w:rPr>
        <w:t xml:space="preserve"> par lequel les paiements aux agriculteurs sont liés au respect des dispositions de l’UE en matière de droit du travail relatives à des conditions de travail transparentes et prévisibles, à la sécurité et à la santé au travail, ainsi qu’à l’obligation imposée aux États membres de soutenir la fourniture de services de conseil aux exploitations dans le domaine des conditions de travail et à la possibilité d’un soutien aux investissements sectoriels en faveur de l’amélioration des conditions de travail.</w:t>
      </w:r>
    </w:p>
    <w:p w14:paraId="2DCFF955" w14:textId="77777777" w:rsidR="004F11D0" w:rsidRPr="00B86F89" w:rsidRDefault="004F11D0" w:rsidP="004F11D0">
      <w:pPr>
        <w:pStyle w:val="ListBullet1"/>
        <w:spacing w:after="120"/>
        <w:rPr>
          <w:noProof/>
        </w:rPr>
      </w:pPr>
      <w:r w:rsidRPr="00B86F89">
        <w:rPr>
          <w:b/>
          <w:noProof/>
        </w:rPr>
        <w:t>Recommandation de la Commission sur les moyens de prendre en compte les effets de l’automatisation et de la numérisation sur la main-d’œuvre dans le secteur des transports</w:t>
      </w:r>
      <w:r w:rsidRPr="00B86F89">
        <w:rPr>
          <w:noProof/>
        </w:rPr>
        <w:t xml:space="preserve"> (</w:t>
      </w:r>
      <w:r w:rsidRPr="00B86F89">
        <w:rPr>
          <w:noProof/>
          <w:vertAlign w:val="superscript"/>
        </w:rPr>
        <w:footnoteReference w:id="160"/>
      </w:r>
      <w:r w:rsidRPr="00B86F89">
        <w:rPr>
          <w:noProof/>
        </w:rPr>
        <w:t>).</w:t>
      </w:r>
    </w:p>
    <w:p w14:paraId="1E9CEAD4" w14:textId="77777777" w:rsidR="004F11D0" w:rsidRPr="00B86F89" w:rsidRDefault="004F11D0" w:rsidP="004F11D0">
      <w:pPr>
        <w:pStyle w:val="ListBullet1"/>
        <w:spacing w:after="120"/>
        <w:rPr>
          <w:noProof/>
        </w:rPr>
      </w:pPr>
      <w:r w:rsidRPr="00B86F89">
        <w:rPr>
          <w:noProof/>
        </w:rPr>
        <w:t xml:space="preserve">La </w:t>
      </w:r>
      <w:r w:rsidRPr="00B86F89">
        <w:rPr>
          <w:b/>
          <w:noProof/>
        </w:rPr>
        <w:t>communication de la Commission sur une approche globale en matière de santé mentale</w:t>
      </w:r>
      <w:r w:rsidRPr="00B86F89">
        <w:rPr>
          <w:noProof/>
          <w:sz w:val="26"/>
        </w:rPr>
        <w:t xml:space="preserve"> (</w:t>
      </w:r>
      <w:r w:rsidRPr="00B86F89">
        <w:rPr>
          <w:rStyle w:val="FootnoteReference"/>
          <w:noProof/>
          <w:sz w:val="26"/>
          <w:szCs w:val="26"/>
          <w:lang w:val="en-IE"/>
        </w:rPr>
        <w:footnoteReference w:id="161"/>
      </w:r>
      <w:r w:rsidRPr="00B86F89">
        <w:rPr>
          <w:noProof/>
          <w:sz w:val="26"/>
        </w:rPr>
        <w:t>)</w:t>
      </w:r>
      <w:r w:rsidRPr="00B86F89">
        <w:rPr>
          <w:noProof/>
          <w:color w:val="2B579A"/>
        </w:rPr>
        <w:t xml:space="preserve"> </w:t>
      </w:r>
      <w:r w:rsidRPr="00B86F89">
        <w:rPr>
          <w:noProof/>
        </w:rPr>
        <w:t>comprend une initiative phare sur les compétences des professionnels de la santé et une initiative phare sur la santé mentale du personnel de santé.</w:t>
      </w:r>
    </w:p>
    <w:p w14:paraId="04E97C4B" w14:textId="77777777" w:rsidR="004F11D0" w:rsidRPr="00B86F89" w:rsidRDefault="004F11D0" w:rsidP="004F11D0">
      <w:pPr>
        <w:pStyle w:val="ListBullet1"/>
        <w:spacing w:after="120"/>
        <w:rPr>
          <w:noProof/>
        </w:rPr>
      </w:pPr>
      <w:r w:rsidRPr="00B86F89">
        <w:rPr>
          <w:noProof/>
        </w:rPr>
        <w:t xml:space="preserve">Le </w:t>
      </w:r>
      <w:r w:rsidRPr="00B86F89">
        <w:rPr>
          <w:b/>
          <w:noProof/>
        </w:rPr>
        <w:t>train de mesures sur la mobilité </w:t>
      </w:r>
      <w:r w:rsidRPr="002C3F74">
        <w:rPr>
          <w:b/>
          <w:noProof/>
        </w:rPr>
        <w:t>1</w:t>
      </w:r>
      <w:r w:rsidRPr="00B86F89">
        <w:rPr>
          <w:noProof/>
        </w:rPr>
        <w:t xml:space="preserve"> comporte un large éventail d’initiatives visant à relever les principaux défis qui touchent les transports et la mobilité en Europe. Entre autres avantages, ce train de mesures améliore considérablement les conditions de travail dans le secteur du transport routier.</w:t>
      </w:r>
    </w:p>
    <w:p w14:paraId="0C520258" w14:textId="77777777" w:rsidR="004F11D0" w:rsidRPr="00B86F89" w:rsidRDefault="004F11D0" w:rsidP="004F11D0">
      <w:pPr>
        <w:pStyle w:val="ListBullet1"/>
        <w:spacing w:after="120"/>
        <w:rPr>
          <w:noProof/>
        </w:rPr>
      </w:pPr>
      <w:r w:rsidRPr="00B86F89">
        <w:rPr>
          <w:noProof/>
        </w:rPr>
        <w:t xml:space="preserve">La </w:t>
      </w:r>
      <w:r w:rsidRPr="00B86F89">
        <w:rPr>
          <w:b/>
          <w:noProof/>
        </w:rPr>
        <w:t>recommandation du Conseil sur un cadre européen pour attirer et retenir les chercheurs, l’innovation et les entrepreneurs talentueux en Europe</w:t>
      </w:r>
      <w:r w:rsidRPr="00B86F89">
        <w:rPr>
          <w:noProof/>
        </w:rPr>
        <w:t xml:space="preserve"> sous-tend les travaux visant à attirer et à retenir les talents dans les domaines de la recherche, de l’innovation et de l’entrepreneuriat en Europe et soutient le nouveau cadre européen des compétences pour les chercheurs (ResearchComp).</w:t>
      </w:r>
    </w:p>
    <w:p w14:paraId="4130AD2E" w14:textId="77777777" w:rsidR="004F11D0" w:rsidRPr="00B86F89" w:rsidRDefault="004F11D0" w:rsidP="004F11D0">
      <w:pPr>
        <w:pStyle w:val="ListBullet1"/>
        <w:spacing w:after="120"/>
        <w:rPr>
          <w:noProof/>
        </w:rPr>
      </w:pPr>
      <w:r w:rsidRPr="00B86F89">
        <w:rPr>
          <w:noProof/>
        </w:rPr>
        <w:t xml:space="preserve">La </w:t>
      </w:r>
      <w:r w:rsidRPr="00B86F89">
        <w:rPr>
          <w:b/>
          <w:noProof/>
        </w:rPr>
        <w:t>plateforme de l’industrie «zéro net»</w:t>
      </w:r>
      <w:r w:rsidRPr="00B86F89">
        <w:rPr>
          <w:noProof/>
        </w:rPr>
        <w:t xml:space="preserve">, un </w:t>
      </w:r>
      <w:r w:rsidRPr="00B86F89">
        <w:rPr>
          <w:b/>
          <w:noProof/>
        </w:rPr>
        <w:t>instrument prévu par le règlement pour une industrie «zéro net»</w:t>
      </w:r>
      <w:r w:rsidRPr="00B86F89">
        <w:rPr>
          <w:noProof/>
        </w:rPr>
        <w:t>, vise à favoriser les perspectives de carrière et des conditions de travail de qualité dans les emplois relevant des industries des technologies «zéro net».</w:t>
      </w:r>
    </w:p>
    <w:p w14:paraId="037094EE" w14:textId="77777777" w:rsidR="004F11D0" w:rsidRPr="00B86F89" w:rsidRDefault="004F11D0" w:rsidP="004F11D0">
      <w:pPr>
        <w:pStyle w:val="Heading1"/>
        <w:numPr>
          <w:ilvl w:val="0"/>
          <w:numId w:val="65"/>
        </w:numPr>
        <w:tabs>
          <w:tab w:val="clear" w:pos="482"/>
          <w:tab w:val="num" w:pos="284"/>
        </w:tabs>
        <w:ind w:left="284" w:hanging="284"/>
        <w:rPr>
          <w:noProof/>
        </w:rPr>
      </w:pPr>
      <w:r w:rsidRPr="00B86F89">
        <w:rPr>
          <w:noProof/>
        </w:rPr>
        <w:t xml:space="preserve">Politiques visant à améliorer la mobilité intraeuropéenne </w:t>
      </w:r>
    </w:p>
    <w:p w14:paraId="110E326D" w14:textId="77777777" w:rsidR="004F11D0" w:rsidRPr="00B86F89" w:rsidRDefault="004F11D0" w:rsidP="004F11D0">
      <w:pPr>
        <w:pStyle w:val="ListBullet1"/>
        <w:spacing w:after="120"/>
        <w:rPr>
          <w:noProof/>
        </w:rPr>
      </w:pPr>
      <w:r w:rsidRPr="00B86F89">
        <w:rPr>
          <w:noProof/>
        </w:rPr>
        <w:t xml:space="preserve">Créée en </w:t>
      </w:r>
      <w:r w:rsidRPr="002C3F74">
        <w:rPr>
          <w:noProof/>
        </w:rPr>
        <w:t>2019</w:t>
      </w:r>
      <w:r w:rsidRPr="00B86F89">
        <w:rPr>
          <w:noProof/>
        </w:rPr>
        <w:t>, l’</w:t>
      </w:r>
      <w:r w:rsidRPr="00B86F89">
        <w:rPr>
          <w:b/>
          <w:noProof/>
        </w:rPr>
        <w:t>Autorité européenne du travail</w:t>
      </w:r>
      <w:r w:rsidRPr="00B86F89">
        <w:rPr>
          <w:noProof/>
        </w:rPr>
        <w:t xml:space="preserve"> a pour vocation de veiller à ce que la mobilité de la main-d’œuvre soit mise en pratique de manière équitable et effective grâce à un accès facilité à l’information, au renforcement des capacités et à la coopération entre les États membres, ainsi que par un soutien à l’application et au respect effectifs du droit de l’Union dans ce domaine.</w:t>
      </w:r>
    </w:p>
    <w:p w14:paraId="68B12968" w14:textId="77777777" w:rsidR="004F11D0" w:rsidRPr="00B86F89" w:rsidRDefault="004F11D0" w:rsidP="004F11D0">
      <w:pPr>
        <w:pStyle w:val="ListBullet1"/>
        <w:spacing w:after="120"/>
        <w:rPr>
          <w:noProof/>
        </w:rPr>
      </w:pPr>
      <w:r w:rsidRPr="00B86F89">
        <w:rPr>
          <w:noProof/>
        </w:rPr>
        <w:t xml:space="preserve">L’introduction et la mise en œuvre d’un </w:t>
      </w:r>
      <w:r w:rsidRPr="00B86F89">
        <w:rPr>
          <w:b/>
          <w:noProof/>
        </w:rPr>
        <w:t>formulaire commun pour déclarer les détachements de travailleurs</w:t>
      </w:r>
      <w:r w:rsidRPr="00B86F89">
        <w:rPr>
          <w:noProof/>
        </w:rPr>
        <w:t xml:space="preserve"> et la mise en place d’un portail électronique commun pour ces déclarations.</w:t>
      </w:r>
    </w:p>
    <w:p w14:paraId="6F8E6241" w14:textId="77777777" w:rsidR="004F11D0" w:rsidRPr="00B86F89" w:rsidRDefault="004F11D0" w:rsidP="004F11D0">
      <w:pPr>
        <w:pStyle w:val="ListBullet1"/>
        <w:spacing w:after="120"/>
        <w:rPr>
          <w:noProof/>
        </w:rPr>
      </w:pPr>
      <w:r w:rsidRPr="00B86F89">
        <w:rPr>
          <w:noProof/>
        </w:rPr>
        <w:t xml:space="preserve">Le portail </w:t>
      </w:r>
      <w:r w:rsidRPr="00B86F89">
        <w:rPr>
          <w:b/>
          <w:noProof/>
        </w:rPr>
        <w:t>EURES</w:t>
      </w:r>
      <w:r w:rsidRPr="00B86F89">
        <w:rPr>
          <w:noProof/>
        </w:rPr>
        <w:t xml:space="preserve"> facilite la mise en correspondance des offres et des demandes d’emploi par-delà les frontières et rend opérationnelle la coopération entre les services de l’emploi des différents États membres. Dans le cadre des </w:t>
      </w:r>
      <w:r w:rsidRPr="00B86F89">
        <w:rPr>
          <w:b/>
          <w:noProof/>
        </w:rPr>
        <w:t>«programmes de mobilité ciblés EURES»</w:t>
      </w:r>
      <w:r w:rsidRPr="00B86F89">
        <w:rPr>
          <w:noProof/>
        </w:rPr>
        <w:t>, la Commission soutient les partenariats qui aident des groupes cibles de travailleurs à faire des choix en matière de mobilité.</w:t>
      </w:r>
    </w:p>
    <w:p w14:paraId="445C51E5" w14:textId="77777777" w:rsidR="004F11D0" w:rsidRPr="00B86F89" w:rsidRDefault="004F11D0" w:rsidP="004F11D0">
      <w:pPr>
        <w:pStyle w:val="ListBullet1"/>
        <w:spacing w:after="120"/>
        <w:rPr>
          <w:noProof/>
        </w:rPr>
      </w:pPr>
      <w:r w:rsidRPr="00B86F89">
        <w:rPr>
          <w:noProof/>
        </w:rPr>
        <w:t xml:space="preserve">La plateforme </w:t>
      </w:r>
      <w:r w:rsidRPr="00B86F89">
        <w:rPr>
          <w:b/>
          <w:noProof/>
        </w:rPr>
        <w:t>Europass</w:t>
      </w:r>
      <w:r w:rsidRPr="00B86F89">
        <w:rPr>
          <w:noProof/>
        </w:rPr>
        <w:t xml:space="preserve"> aide les utilisateurs à gérer leur carrière. Elle leur permet de documenter leurs compétences et leur expérience professionnelle, de créer un profil personnel (en y incluant des CV et des lettres de motivation), de gérer leurs compétences et de sauvegarder des justificatifs numériques pour postuler à des formations ou à des emplois dans l’ensemble de l’UE.</w:t>
      </w:r>
    </w:p>
    <w:p w14:paraId="24BEA8D1" w14:textId="77777777" w:rsidR="004F11D0" w:rsidRPr="00B86F89" w:rsidRDefault="004F11D0" w:rsidP="004F11D0">
      <w:pPr>
        <w:pStyle w:val="ListBullet1"/>
        <w:spacing w:after="120"/>
        <w:rPr>
          <w:noProof/>
        </w:rPr>
      </w:pPr>
      <w:r w:rsidRPr="00B86F89">
        <w:rPr>
          <w:noProof/>
        </w:rPr>
        <w:t xml:space="preserve">La </w:t>
      </w:r>
      <w:r w:rsidRPr="00B86F89">
        <w:rPr>
          <w:b/>
          <w:noProof/>
        </w:rPr>
        <w:t>classification européenne des aptitudes, des compétences et des professions</w:t>
      </w:r>
      <w:r w:rsidRPr="00B86F89">
        <w:rPr>
          <w:noProof/>
        </w:rPr>
        <w:t xml:space="preserve"> (</w:t>
      </w:r>
      <w:r w:rsidRPr="00B86F89">
        <w:rPr>
          <w:b/>
          <w:noProof/>
        </w:rPr>
        <w:t>ESCO</w:t>
      </w:r>
      <w:r w:rsidRPr="00B86F89">
        <w:rPr>
          <w:noProof/>
        </w:rPr>
        <w:t xml:space="preserve">) est une classification multilingue qui fournit des descriptions normalisées de </w:t>
      </w:r>
      <w:r w:rsidRPr="002C3F74">
        <w:rPr>
          <w:noProof/>
        </w:rPr>
        <w:t>3</w:t>
      </w:r>
      <w:r w:rsidRPr="00B86F89">
        <w:rPr>
          <w:noProof/>
        </w:rPr>
        <w:t> </w:t>
      </w:r>
      <w:r w:rsidRPr="002C3F74">
        <w:rPr>
          <w:noProof/>
        </w:rPr>
        <w:t>008</w:t>
      </w:r>
      <w:r w:rsidRPr="00B86F89">
        <w:rPr>
          <w:noProof/>
        </w:rPr>
        <w:t xml:space="preserve"> professions et de </w:t>
      </w:r>
      <w:r w:rsidRPr="002C3F74">
        <w:rPr>
          <w:noProof/>
        </w:rPr>
        <w:t>13</w:t>
      </w:r>
      <w:r w:rsidRPr="00B86F89">
        <w:rPr>
          <w:noProof/>
        </w:rPr>
        <w:t> </w:t>
      </w:r>
      <w:r w:rsidRPr="002C3F74">
        <w:rPr>
          <w:noProof/>
        </w:rPr>
        <w:t>890</w:t>
      </w:r>
      <w:r w:rsidRPr="00B86F89">
        <w:rPr>
          <w:noProof/>
        </w:rPr>
        <w:t> compétences et concepts de connaissance. Elle est utilisée par des organisations publiques et privées dans toute l’UE pour la mise en correspondance des offres et des demandes d’emploi, l’élaboration de programmes d’études, l’orientation professionnelle, la veille stratégique sur les besoins en compétences et l’analyse du marché du travail.</w:t>
      </w:r>
    </w:p>
    <w:p w14:paraId="415F1F9C" w14:textId="77777777" w:rsidR="004F11D0" w:rsidRPr="00B86F89" w:rsidRDefault="004F11D0" w:rsidP="004F11D0">
      <w:pPr>
        <w:pStyle w:val="ListBullet1"/>
        <w:spacing w:after="120"/>
        <w:rPr>
          <w:rFonts w:ascii="Calibri" w:eastAsia="Calibri" w:hAnsi="Calibri" w:cs="Calibri"/>
          <w:noProof/>
          <w:sz w:val="22"/>
          <w:szCs w:val="22"/>
        </w:rPr>
      </w:pPr>
      <w:r w:rsidRPr="00B86F89">
        <w:rPr>
          <w:noProof/>
        </w:rPr>
        <w:t xml:space="preserve">Le </w:t>
      </w:r>
      <w:r w:rsidRPr="00B86F89">
        <w:rPr>
          <w:b/>
          <w:noProof/>
        </w:rPr>
        <w:t>cadre européen des certifications (CEC)</w:t>
      </w:r>
      <w:r w:rsidRPr="00B86F89">
        <w:rPr>
          <w:noProof/>
        </w:rPr>
        <w:t xml:space="preserve"> est un outil qui contribue à améliorer la transparence et la comparabilité des qualifications.</w:t>
      </w:r>
    </w:p>
    <w:p w14:paraId="794C7AA9" w14:textId="77777777" w:rsidR="004F11D0" w:rsidRPr="00B86F89" w:rsidRDefault="004F11D0" w:rsidP="004F11D0">
      <w:pPr>
        <w:pStyle w:val="ListBullet1"/>
        <w:spacing w:after="120"/>
        <w:rPr>
          <w:noProof/>
        </w:rPr>
      </w:pPr>
      <w:r w:rsidRPr="00B86F89">
        <w:rPr>
          <w:noProof/>
        </w:rPr>
        <w:t xml:space="preserve">Les </w:t>
      </w:r>
      <w:r w:rsidRPr="00B86F89">
        <w:rPr>
          <w:b/>
          <w:noProof/>
        </w:rPr>
        <w:t>justificatifs numériques européens</w:t>
      </w:r>
      <w:r w:rsidRPr="00B86F89">
        <w:rPr>
          <w:noProof/>
        </w:rPr>
        <w:t xml:space="preserve"> sont de plus en plus utilisés en Europe. Vérifiables instantanément, ils facilitent la mise en correspondance de profils qualifiés avec des emplois ainsi que les procédures de recrutement et de reconnaissance.</w:t>
      </w:r>
    </w:p>
    <w:p w14:paraId="060AA12E" w14:textId="77777777" w:rsidR="004F11D0" w:rsidRPr="00B86F89" w:rsidRDefault="004F11D0" w:rsidP="004F11D0">
      <w:pPr>
        <w:pStyle w:val="ListBullet1"/>
        <w:spacing w:after="120"/>
        <w:rPr>
          <w:noProof/>
        </w:rPr>
      </w:pPr>
      <w:r w:rsidRPr="00B86F89">
        <w:rPr>
          <w:noProof/>
        </w:rPr>
        <w:t xml:space="preserve">La proposition de recommandation du Conseil intitulée </w:t>
      </w:r>
      <w:r w:rsidRPr="00B86F89">
        <w:rPr>
          <w:b/>
          <w:noProof/>
        </w:rPr>
        <w:t>«L’Europe en mouvement — Des possibilités de mobilité à des fins d’éducation et de formation offertes à tous»</w:t>
      </w:r>
      <w:r w:rsidRPr="00B86F89">
        <w:rPr>
          <w:noProof/>
        </w:rPr>
        <w:t xml:space="preserve">, adoptée en novembre </w:t>
      </w:r>
      <w:r w:rsidRPr="002C3F74">
        <w:rPr>
          <w:noProof/>
        </w:rPr>
        <w:t>2023</w:t>
      </w:r>
      <w:r w:rsidRPr="00B86F89">
        <w:rPr>
          <w:noProof/>
        </w:rPr>
        <w:t>, fixe des objectifs concrets pour la proportion de diplômés qui devraient avoir une expérience de mobilité à des fins d’apprentissage.</w:t>
      </w:r>
    </w:p>
    <w:p w14:paraId="60D617E2" w14:textId="77777777" w:rsidR="004F11D0" w:rsidRPr="00B86F89" w:rsidRDefault="004F11D0" w:rsidP="004F11D0">
      <w:pPr>
        <w:pStyle w:val="ListBullet1"/>
        <w:spacing w:after="120" w:line="259" w:lineRule="auto"/>
        <w:rPr>
          <w:noProof/>
        </w:rPr>
      </w:pPr>
      <w:r w:rsidRPr="00B86F89">
        <w:rPr>
          <w:noProof/>
        </w:rPr>
        <w:t xml:space="preserve">La </w:t>
      </w:r>
      <w:r w:rsidRPr="00B86F89">
        <w:rPr>
          <w:b/>
          <w:noProof/>
        </w:rPr>
        <w:t>révision du règlement (CE) nº </w:t>
      </w:r>
      <w:r w:rsidRPr="002C3F74">
        <w:rPr>
          <w:b/>
          <w:noProof/>
        </w:rPr>
        <w:t>883</w:t>
      </w:r>
      <w:r w:rsidRPr="00B86F89">
        <w:rPr>
          <w:b/>
          <w:noProof/>
        </w:rPr>
        <w:t>/</w:t>
      </w:r>
      <w:r w:rsidRPr="002C3F74">
        <w:rPr>
          <w:b/>
          <w:noProof/>
        </w:rPr>
        <w:t>2004</w:t>
      </w:r>
      <w:r w:rsidRPr="00B86F89">
        <w:rPr>
          <w:b/>
          <w:noProof/>
        </w:rPr>
        <w:t xml:space="preserve"> et du règlement (CE) nº </w:t>
      </w:r>
      <w:r w:rsidRPr="002C3F74">
        <w:rPr>
          <w:b/>
          <w:noProof/>
        </w:rPr>
        <w:t>987</w:t>
      </w:r>
      <w:r w:rsidRPr="00B86F89">
        <w:rPr>
          <w:b/>
          <w:noProof/>
        </w:rPr>
        <w:t>/</w:t>
      </w:r>
      <w:r w:rsidRPr="002C3F74">
        <w:rPr>
          <w:b/>
          <w:noProof/>
        </w:rPr>
        <w:t>2009</w:t>
      </w:r>
      <w:r w:rsidRPr="00B86F89">
        <w:rPr>
          <w:b/>
          <w:noProof/>
        </w:rPr>
        <w:t xml:space="preserve"> sur les règles en matière de coordination de la sécurité sociale</w:t>
      </w:r>
      <w:r w:rsidRPr="00B86F89">
        <w:rPr>
          <w:noProof/>
        </w:rPr>
        <w:t xml:space="preserve"> (en attente).</w:t>
      </w:r>
    </w:p>
    <w:p w14:paraId="105F1F75" w14:textId="77777777" w:rsidR="004F11D0" w:rsidRPr="00B86F89" w:rsidRDefault="004F11D0" w:rsidP="004F11D0">
      <w:pPr>
        <w:pStyle w:val="Heading1"/>
        <w:numPr>
          <w:ilvl w:val="0"/>
          <w:numId w:val="65"/>
        </w:numPr>
        <w:tabs>
          <w:tab w:val="clear" w:pos="482"/>
          <w:tab w:val="num" w:pos="284"/>
        </w:tabs>
        <w:ind w:left="284" w:hanging="284"/>
        <w:rPr>
          <w:noProof/>
        </w:rPr>
      </w:pPr>
      <w:r w:rsidRPr="00B86F89">
        <w:rPr>
          <w:noProof/>
        </w:rPr>
        <w:t>Politiques visant à attirer les talents de l’étranger</w:t>
      </w:r>
    </w:p>
    <w:p w14:paraId="2C4683A0" w14:textId="77777777" w:rsidR="004F11D0" w:rsidRPr="00B86F89" w:rsidRDefault="004F11D0" w:rsidP="004F11D0">
      <w:pPr>
        <w:pStyle w:val="ListBullet1"/>
        <w:rPr>
          <w:noProof/>
        </w:rPr>
      </w:pPr>
      <w:r w:rsidRPr="00B86F89">
        <w:rPr>
          <w:noProof/>
        </w:rPr>
        <w:t xml:space="preserve">Les </w:t>
      </w:r>
      <w:r w:rsidRPr="00B86F89">
        <w:rPr>
          <w:b/>
          <w:noProof/>
        </w:rPr>
        <w:t>partenariats pour les talents</w:t>
      </w:r>
      <w:r w:rsidRPr="00B86F89">
        <w:rPr>
          <w:noProof/>
        </w:rPr>
        <w:t xml:space="preserve"> fournissent un cadre visant à renforcer la coopération entre l’Union européenne, les États membres et les principaux pays partenaires en matière de mobilité et de développement des compétences d’une manière mutuellement bénéfique, conformément au pacte sur la migration et l’asile. De tels partenariats ont été établis avec le Maroc, la Tunisie, l’Égypte, le Pakistan et le Bangladesh. Le financement de l’UE prévu au titre de l’instrument IVCDCI — Europe dans le monde et le Fonds «Asile, migration et intégration» peuvent bénéficier à des initiatives visant à faciliter l’emploi et la mobilité à des fins d’apprentissage dans l’UE dans le cadre des partenariats pour les talents, selon un principe de mutualité des avantages. Les programmes et initiatives de la Commission européenne axés sur la mobilité des ressortissants de pays partenaires pour étudier, travailler ou se former dans l’UE contribuent aux partenariats pour les talents, notamment en fournissant aux pays partenaires une aide au renforcement des capacités dans des domaines tels que la veille stratégique sur le marché du travail et les besoins en compétences, l’enseignement et la formation professionnels, l’intégration des migrants retournant dans leur pays d’origine et la mobilisation de la diaspora.</w:t>
      </w:r>
    </w:p>
    <w:p w14:paraId="28346CD7" w14:textId="77777777" w:rsidR="004F11D0" w:rsidRPr="00B86F89" w:rsidRDefault="004F11D0" w:rsidP="004F11D0">
      <w:pPr>
        <w:pStyle w:val="ListBullet1"/>
        <w:rPr>
          <w:noProof/>
        </w:rPr>
      </w:pPr>
      <w:r w:rsidRPr="00B86F89">
        <w:rPr>
          <w:noProof/>
        </w:rPr>
        <w:t xml:space="preserve">La </w:t>
      </w:r>
      <w:r w:rsidRPr="00B86F89">
        <w:rPr>
          <w:b/>
          <w:noProof/>
        </w:rPr>
        <w:t>plateforme pour la migration de la main-d’œuvre</w:t>
      </w:r>
      <w:r w:rsidRPr="00B86F89">
        <w:rPr>
          <w:noProof/>
        </w:rPr>
        <w:t xml:space="preserve"> facilite la collaboration entre la Commission et des représentants des États membres disposant d’une expertise en matière de politiques de migration et d’emploi afin de discuter de défis communs, tels que les pénuries de main-d’œuvre, et d’améliorer l’échange d’informations. Elle sera nécessaire pour permettre la mise en œuvre effective des initiatives de l’UE en matière de migration légale et d’emploi. La continuité et la régularité des échanges avec les partenaires sociaux représentés au sein de la plateforme sera également assurée.</w:t>
      </w:r>
    </w:p>
    <w:p w14:paraId="7E40342A" w14:textId="77777777" w:rsidR="004F11D0" w:rsidRPr="00B86F89" w:rsidDel="00E134BA" w:rsidRDefault="004F11D0" w:rsidP="004F11D0">
      <w:pPr>
        <w:pStyle w:val="ListBullet1"/>
        <w:rPr>
          <w:noProof/>
        </w:rPr>
      </w:pPr>
      <w:r w:rsidRPr="00B86F89">
        <w:rPr>
          <w:noProof/>
        </w:rPr>
        <w:t xml:space="preserve">Le </w:t>
      </w:r>
      <w:r w:rsidRPr="00B86F89">
        <w:rPr>
          <w:b/>
          <w:noProof/>
        </w:rPr>
        <w:t>train de mesures sur la mobilité des compétences et des talents</w:t>
      </w:r>
      <w:r w:rsidRPr="00B86F89">
        <w:rPr>
          <w:noProof/>
        </w:rPr>
        <w:t xml:space="preserve">, qui s’inscrit dans le prolongement du discours prononcé en </w:t>
      </w:r>
      <w:r w:rsidRPr="002C3F74">
        <w:rPr>
          <w:noProof/>
        </w:rPr>
        <w:t>2022</w:t>
      </w:r>
      <w:r w:rsidRPr="00B86F89">
        <w:rPr>
          <w:noProof/>
        </w:rPr>
        <w:t xml:space="preserve"> par la présidente von der Leyen sur l’état de l’Union, présente un ensemble d’initiatives visant à faire de l’UE une destination plus attrayante pour les talents issus de pays tiers. Outre le </w:t>
      </w:r>
      <w:r w:rsidRPr="00B86F89">
        <w:rPr>
          <w:b/>
          <w:noProof/>
        </w:rPr>
        <w:t>réservoir européen de talents</w:t>
      </w:r>
      <w:r w:rsidRPr="00B86F89">
        <w:rPr>
          <w:noProof/>
        </w:rPr>
        <w:t xml:space="preserve"> et la </w:t>
      </w:r>
      <w:r w:rsidRPr="00B86F89">
        <w:rPr>
          <w:b/>
          <w:noProof/>
        </w:rPr>
        <w:t>recommandation «L’Europe en mouvement» sur la mobilité à des fins d’apprentissage</w:t>
      </w:r>
      <w:r w:rsidRPr="00B86F89">
        <w:rPr>
          <w:noProof/>
        </w:rPr>
        <w:t xml:space="preserve">, il inclut la </w:t>
      </w:r>
      <w:hyperlink r:id="rId25">
        <w:r w:rsidRPr="00B86F89">
          <w:rPr>
            <w:b/>
            <w:noProof/>
          </w:rPr>
          <w:t>recommandation de la Commission sur la reconnaissance des qualifications des ressortissants de pays tiers</w:t>
        </w:r>
      </w:hyperlink>
      <w:r w:rsidRPr="00B86F89">
        <w:rPr>
          <w:noProof/>
        </w:rPr>
        <w:t>, qui encourage les États membres à simplifier et à accélérer la reconnaissance des compétences et des qualifications des ressortissants de pays tiers.</w:t>
      </w:r>
    </w:p>
    <w:p w14:paraId="001E3B14" w14:textId="77777777" w:rsidR="004F11D0" w:rsidRPr="00B86F89" w:rsidRDefault="004F11D0" w:rsidP="004F11D0">
      <w:pPr>
        <w:pStyle w:val="ListBullet1"/>
        <w:spacing w:after="120"/>
        <w:rPr>
          <w:noProof/>
        </w:rPr>
      </w:pPr>
      <w:r w:rsidRPr="00B86F89">
        <w:rPr>
          <w:noProof/>
        </w:rPr>
        <w:t xml:space="preserve">Le </w:t>
      </w:r>
      <w:r w:rsidRPr="00B86F89">
        <w:rPr>
          <w:b/>
          <w:noProof/>
        </w:rPr>
        <w:t xml:space="preserve">plan d’action en faveur de l’intégration et de l’inclusion </w:t>
      </w:r>
      <w:r w:rsidRPr="002C3F74">
        <w:rPr>
          <w:b/>
          <w:noProof/>
        </w:rPr>
        <w:t>2021</w:t>
      </w:r>
      <w:r w:rsidRPr="00B86F89">
        <w:rPr>
          <w:b/>
          <w:noProof/>
        </w:rPr>
        <w:t>-</w:t>
      </w:r>
      <w:r w:rsidRPr="002C3F74">
        <w:rPr>
          <w:b/>
          <w:noProof/>
        </w:rPr>
        <w:t>2027</w:t>
      </w:r>
      <w:r w:rsidRPr="00B86F89">
        <w:rPr>
          <w:noProof/>
        </w:rPr>
        <w:t xml:space="preserve"> propose des actions concrètes en vue d’aider les États membres et d’autres acteurs concernés à surmonter les difficultés liées à l’intégration auxquelles les migrants et les citoyens de l’UE issus de l’immigration sont confrontés.</w:t>
      </w:r>
    </w:p>
    <w:p w14:paraId="22CD1FA5" w14:textId="77777777" w:rsidR="004F11D0" w:rsidRPr="00B86F89" w:rsidRDefault="004F11D0" w:rsidP="004F11D0">
      <w:pPr>
        <w:pStyle w:val="ListBullet1"/>
        <w:spacing w:after="120"/>
        <w:rPr>
          <w:noProof/>
        </w:rPr>
      </w:pPr>
      <w:r w:rsidRPr="00B86F89">
        <w:rPr>
          <w:noProof/>
        </w:rPr>
        <w:t xml:space="preserve">La </w:t>
      </w:r>
      <w:r w:rsidRPr="00B86F89">
        <w:rPr>
          <w:b/>
          <w:noProof/>
        </w:rPr>
        <w:t>directive «carte bleue» révisée</w:t>
      </w:r>
      <w:r w:rsidRPr="00B86F89">
        <w:rPr>
          <w:noProof/>
        </w:rPr>
        <w:t xml:space="preserve"> facilitera le recrutement de travailleurs hautement qualifiés dans l’UE par l’introduction de règles plus efficaces, y compris des conditions d’admission plus souples, des droits renforcés et la possibilité de circuler plus facilement d’un État membre de l’UE à l’autre pour y travailler.</w:t>
      </w:r>
    </w:p>
    <w:p w14:paraId="3243CB52" w14:textId="77777777" w:rsidR="004F11D0" w:rsidRPr="00B86F89" w:rsidRDefault="004F11D0" w:rsidP="004F11D0">
      <w:pPr>
        <w:pStyle w:val="ListBullet1"/>
        <w:spacing w:after="120"/>
        <w:rPr>
          <w:noProof/>
        </w:rPr>
      </w:pPr>
      <w:r w:rsidRPr="00B86F89">
        <w:rPr>
          <w:noProof/>
        </w:rPr>
        <w:t xml:space="preserve">Une fois adoptée, la </w:t>
      </w:r>
      <w:r w:rsidRPr="00B86F89">
        <w:rPr>
          <w:b/>
          <w:noProof/>
        </w:rPr>
        <w:t>proposition de refonte de la directive sur les résidents de longue durée</w:t>
      </w:r>
      <w:r w:rsidRPr="00B86F89">
        <w:rPr>
          <w:noProof/>
        </w:rPr>
        <w:t xml:space="preserve"> contribuera à la création d’un système plus efficace, cohérent et équitable pour l’acquisition du statut de résident de longue durée dans l’UE.</w:t>
      </w:r>
    </w:p>
    <w:p w14:paraId="6DDBCA80" w14:textId="77777777" w:rsidR="004F11D0" w:rsidRPr="00B86F89" w:rsidRDefault="004F11D0" w:rsidP="004F11D0">
      <w:pPr>
        <w:pStyle w:val="ListBullet1"/>
        <w:spacing w:after="120"/>
        <w:rPr>
          <w:noProof/>
        </w:rPr>
      </w:pPr>
      <w:r w:rsidRPr="00B86F89">
        <w:rPr>
          <w:noProof/>
        </w:rPr>
        <w:t xml:space="preserve">La </w:t>
      </w:r>
      <w:r w:rsidRPr="00B86F89">
        <w:rPr>
          <w:b/>
          <w:noProof/>
        </w:rPr>
        <w:t>refonte de la directive «permis unique»</w:t>
      </w:r>
      <w:r w:rsidRPr="00B86F89">
        <w:rPr>
          <w:noProof/>
        </w:rPr>
        <w:t xml:space="preserve">, sur laquelle les colégislateurs sont parvenus à un accord politique en décembre </w:t>
      </w:r>
      <w:r w:rsidRPr="002C3F74">
        <w:rPr>
          <w:noProof/>
        </w:rPr>
        <w:t>2023</w:t>
      </w:r>
      <w:r w:rsidRPr="00B86F89">
        <w:rPr>
          <w:noProof/>
        </w:rPr>
        <w:t>, contribuera à faciliter le recrutement de ressortissants de pays tiers en rationalisant la procédure de permis unique, tout en la rendant plus efficace pour les travailleurs et les employeurs de pays tiers.</w:t>
      </w:r>
    </w:p>
    <w:p w14:paraId="23F475CE" w14:textId="77777777" w:rsidR="004F11D0" w:rsidRPr="00B86F89" w:rsidRDefault="004F11D0" w:rsidP="004F11D0">
      <w:pPr>
        <w:pStyle w:val="ListBullet1"/>
        <w:spacing w:after="120"/>
        <w:rPr>
          <w:noProof/>
        </w:rPr>
      </w:pPr>
      <w:r w:rsidRPr="00B86F89">
        <w:rPr>
          <w:noProof/>
        </w:rPr>
        <w:t xml:space="preserve">L’initiative phare </w:t>
      </w:r>
      <w:r w:rsidRPr="002C3F74">
        <w:rPr>
          <w:noProof/>
        </w:rPr>
        <w:t>2023</w:t>
      </w:r>
      <w:r w:rsidRPr="00B86F89">
        <w:rPr>
          <w:noProof/>
        </w:rPr>
        <w:t xml:space="preserve"> relevant de l’instrument d’appui technique sur l’intégration des migrants et l’attraction des talents peut également contribuer aux réformes des États membres visant à attirer et à intégrer des migrants pour combler les pénuries sur le marché du travail.</w:t>
      </w:r>
    </w:p>
    <w:p w14:paraId="7458297D" w14:textId="77777777" w:rsidR="004F11D0" w:rsidRPr="00B86F89" w:rsidRDefault="004F11D0" w:rsidP="004F11D0">
      <w:pPr>
        <w:pStyle w:val="ListBullet1"/>
        <w:rPr>
          <w:noProof/>
          <w:sz w:val="22"/>
          <w:szCs w:val="22"/>
          <w14:ligatures w14:val="standardContextual"/>
        </w:rPr>
      </w:pPr>
      <w:r w:rsidRPr="00B86F89">
        <w:rPr>
          <w:noProof/>
        </w:rPr>
        <w:t xml:space="preserve">Évaluer les qualifications et les compétences des </w:t>
      </w:r>
      <w:r w:rsidRPr="00B86F89">
        <w:rPr>
          <w:b/>
          <w:noProof/>
        </w:rPr>
        <w:t>chauffeurs de bus et des camionneurs</w:t>
      </w:r>
      <w:r w:rsidRPr="00B86F89">
        <w:rPr>
          <w:noProof/>
        </w:rPr>
        <w:t xml:space="preserve"> de plusieurs pays tiers et les comparer aux exigences correspondantes qui s’appliquent au sein de l’UE afin d’aider les États membres à rationaliser les qualifications complémentaires nécessaires dans l’UE.</w:t>
      </w:r>
    </w:p>
    <w:p w14:paraId="753C8F73" w14:textId="77777777" w:rsidR="004F11D0" w:rsidRPr="00B86F89" w:rsidRDefault="004F11D0" w:rsidP="004F11D0">
      <w:pPr>
        <w:pStyle w:val="Heading1"/>
        <w:numPr>
          <w:ilvl w:val="0"/>
          <w:numId w:val="65"/>
        </w:numPr>
        <w:tabs>
          <w:tab w:val="clear" w:pos="482"/>
          <w:tab w:val="num" w:pos="284"/>
        </w:tabs>
        <w:ind w:left="284" w:hanging="284"/>
        <w:rPr>
          <w:noProof/>
        </w:rPr>
      </w:pPr>
      <w:r w:rsidRPr="00B86F89">
        <w:rPr>
          <w:noProof/>
        </w:rPr>
        <w:t>Fonds visant à remédier aux pénuries de main-d’œuvre et de compétences</w:t>
      </w:r>
    </w:p>
    <w:p w14:paraId="2F583679" w14:textId="77777777" w:rsidR="004F11D0" w:rsidRPr="00B86F89" w:rsidRDefault="004F11D0" w:rsidP="004F11D0">
      <w:pPr>
        <w:pStyle w:val="Text1"/>
        <w:ind w:left="0"/>
        <w:rPr>
          <w:noProof/>
        </w:rPr>
      </w:pPr>
      <w:r w:rsidRPr="00B86F89">
        <w:rPr>
          <w:noProof/>
        </w:rPr>
        <w:t xml:space="preserve">Le budget de l’UE et NextGenerationEU fournissent une enveloppe conséquente pour financer des mesures de </w:t>
      </w:r>
      <w:r w:rsidRPr="00B86F89">
        <w:rPr>
          <w:b/>
          <w:noProof/>
        </w:rPr>
        <w:t>formation, de reconversion et de perfectionnement professionnels</w:t>
      </w:r>
      <w:r w:rsidRPr="00B86F89">
        <w:rPr>
          <w:noProof/>
        </w:rPr>
        <w:t>, y compris:</w:t>
      </w:r>
    </w:p>
    <w:p w14:paraId="662E97FF" w14:textId="77777777" w:rsidR="004F11D0" w:rsidRPr="00B86F89" w:rsidRDefault="004F11D0" w:rsidP="004F11D0">
      <w:pPr>
        <w:pStyle w:val="ListBullet1"/>
        <w:spacing w:after="120"/>
        <w:rPr>
          <w:noProof/>
        </w:rPr>
      </w:pPr>
      <w:r w:rsidRPr="00B86F89">
        <w:rPr>
          <w:noProof/>
        </w:rPr>
        <w:t xml:space="preserve">le </w:t>
      </w:r>
      <w:r w:rsidRPr="00B86F89">
        <w:rPr>
          <w:b/>
          <w:noProof/>
        </w:rPr>
        <w:t>Fonds social européen plus (FSE+)</w:t>
      </w:r>
      <w:r w:rsidRPr="00B86F89">
        <w:rPr>
          <w:noProof/>
        </w:rPr>
        <w:t xml:space="preserve"> est le principal instrument de l’UE en matière d’investissement dans le capital humain qui contribue aux politiques de l’UE dans les domaines social, de l’emploi, de l’éducation et des compétences, ainsi qu’aux réformes structurelles dans ces mêmes domaines. Avec un budget de </w:t>
      </w:r>
      <w:r w:rsidRPr="002C3F74">
        <w:rPr>
          <w:noProof/>
        </w:rPr>
        <w:t>43</w:t>
      </w:r>
      <w:r w:rsidRPr="00B86F89">
        <w:rPr>
          <w:noProof/>
        </w:rPr>
        <w:t>,</w:t>
      </w:r>
      <w:r w:rsidRPr="002C3F74">
        <w:rPr>
          <w:noProof/>
        </w:rPr>
        <w:t>3</w:t>
      </w:r>
      <w:r w:rsidRPr="00B86F89">
        <w:rPr>
          <w:noProof/>
        </w:rPr>
        <w:t xml:space="preserve"> milliards d’euros (soit près d’un tiers de l’enveloppe totale du FSE+) consacré aux compétences pour la période </w:t>
      </w:r>
      <w:r w:rsidRPr="002C3F74">
        <w:rPr>
          <w:noProof/>
        </w:rPr>
        <w:t>2021</w:t>
      </w:r>
      <w:r w:rsidRPr="00B86F89">
        <w:rPr>
          <w:noProof/>
        </w:rPr>
        <w:t>-</w:t>
      </w:r>
      <w:r w:rsidRPr="002C3F74">
        <w:rPr>
          <w:noProof/>
        </w:rPr>
        <w:t>2027</w:t>
      </w:r>
      <w:r w:rsidRPr="00B86F89">
        <w:rPr>
          <w:noProof/>
        </w:rPr>
        <w:t>, il apporte un soutien considérable à formation, à la reconversion et au perfectionnement professionnels (</w:t>
      </w:r>
      <w:r w:rsidRPr="00B86F89">
        <w:rPr>
          <w:noProof/>
          <w:vertAlign w:val="superscript"/>
        </w:rPr>
        <w:footnoteReference w:id="162"/>
      </w:r>
      <w:r w:rsidRPr="00B86F89">
        <w:rPr>
          <w:noProof/>
        </w:rPr>
        <w:t>);</w:t>
      </w:r>
    </w:p>
    <w:p w14:paraId="2489FBE3" w14:textId="77777777" w:rsidR="004F11D0" w:rsidRPr="00B86F89" w:rsidRDefault="004F11D0" w:rsidP="004F11D0">
      <w:pPr>
        <w:pStyle w:val="ListBullet1"/>
        <w:spacing w:after="120"/>
        <w:rPr>
          <w:noProof/>
          <w:color w:val="000000" w:themeColor="text1"/>
        </w:rPr>
      </w:pPr>
      <w:r w:rsidRPr="00B86F89">
        <w:rPr>
          <w:noProof/>
          <w:color w:val="000000" w:themeColor="text1"/>
        </w:rPr>
        <w:t xml:space="preserve">la </w:t>
      </w:r>
      <w:r w:rsidRPr="00B86F89">
        <w:rPr>
          <w:b/>
          <w:noProof/>
          <w:color w:val="000000" w:themeColor="text1"/>
        </w:rPr>
        <w:t>facilité pour la reprise et la résilience (FRR)</w:t>
      </w:r>
      <w:r w:rsidRPr="00B86F89">
        <w:rPr>
          <w:noProof/>
          <w:color w:val="000000" w:themeColor="text1"/>
        </w:rPr>
        <w:t xml:space="preserve"> qui est mise à contribution, entre autres, dans huit domaines clés: l’éducation et la formation des adultes; les compétences et les emplois verts; le capital humain dans la numérisation; l’aide à l’emploi (hors emploi des jeunes) et la création d’emplois; l’aide à l’emploi des jeunes et la création d’emplois; la modernisation des institutions du marché du travail; l’éducation et l’accueil de la petite enfance, ainsi que l’enseignement général, professionnel et supérieur (ces huit domaines représentent au total un coût estimé à </w:t>
      </w:r>
      <w:r w:rsidRPr="002C3F74">
        <w:rPr>
          <w:noProof/>
          <w:color w:val="000000" w:themeColor="text1"/>
        </w:rPr>
        <w:t>94</w:t>
      </w:r>
      <w:r w:rsidRPr="00B86F89">
        <w:rPr>
          <w:noProof/>
          <w:color w:val="000000" w:themeColor="text1"/>
        </w:rPr>
        <w:t>,</w:t>
      </w:r>
      <w:r w:rsidRPr="002C3F74">
        <w:rPr>
          <w:noProof/>
          <w:color w:val="000000" w:themeColor="text1"/>
        </w:rPr>
        <w:t>4</w:t>
      </w:r>
      <w:r w:rsidRPr="00B86F89">
        <w:rPr>
          <w:noProof/>
          <w:color w:val="000000" w:themeColor="text1"/>
        </w:rPr>
        <w:t xml:space="preserve"> milliards d’euros pour les réformes et les investissements combinés, ce qui correspond à environ </w:t>
      </w:r>
      <w:r w:rsidRPr="002C3F74">
        <w:rPr>
          <w:noProof/>
          <w:color w:val="000000" w:themeColor="text1"/>
        </w:rPr>
        <w:t>15</w:t>
      </w:r>
      <w:r w:rsidRPr="00B86F89">
        <w:rPr>
          <w:noProof/>
          <w:color w:val="000000" w:themeColor="text1"/>
        </w:rPr>
        <w:t xml:space="preserve"> % de l’enveloppe financière totale de la FRR aux prix de </w:t>
      </w:r>
      <w:r w:rsidRPr="002C3F74">
        <w:rPr>
          <w:noProof/>
          <w:color w:val="000000" w:themeColor="text1"/>
        </w:rPr>
        <w:t>2022</w:t>
      </w:r>
      <w:r w:rsidRPr="00B86F89">
        <w:rPr>
          <w:noProof/>
          <w:color w:val="000000" w:themeColor="text1"/>
        </w:rPr>
        <w:t>). Ces mesures visent à relever certains des défis qui se posent aux systèmes d’éducation et de formation dans l’ensemble de l’UE en matière de qualité, d’équité et d’adéquation au marché du travail, y compris pour remédier aux pénuries de compétences (</w:t>
      </w:r>
      <w:r w:rsidRPr="00B86F89">
        <w:rPr>
          <w:noProof/>
          <w:color w:val="000000" w:themeColor="text1"/>
          <w:vertAlign w:val="superscript"/>
        </w:rPr>
        <w:footnoteReference w:id="163"/>
      </w:r>
      <w:r w:rsidRPr="00B86F89">
        <w:rPr>
          <w:noProof/>
          <w:color w:val="000000" w:themeColor="text1"/>
        </w:rPr>
        <w:t>).</w:t>
      </w:r>
    </w:p>
    <w:p w14:paraId="5C90FCAB" w14:textId="77777777" w:rsidR="004F11D0" w:rsidRPr="00B86F89" w:rsidRDefault="004F11D0" w:rsidP="004F11D0">
      <w:pPr>
        <w:pStyle w:val="ListBullet1"/>
        <w:spacing w:after="120"/>
        <w:rPr>
          <w:noProof/>
        </w:rPr>
      </w:pPr>
      <w:r w:rsidRPr="00B86F89">
        <w:rPr>
          <w:b/>
          <w:noProof/>
        </w:rPr>
        <w:t>Erasmus+</w:t>
      </w:r>
      <w:r w:rsidRPr="00B86F89">
        <w:rPr>
          <w:noProof/>
        </w:rPr>
        <w:t xml:space="preserve"> (</w:t>
      </w:r>
      <w:r w:rsidRPr="002C3F74">
        <w:rPr>
          <w:noProof/>
        </w:rPr>
        <w:t>26</w:t>
      </w:r>
      <w:r w:rsidRPr="00B86F89">
        <w:rPr>
          <w:noProof/>
        </w:rPr>
        <w:t>,</w:t>
      </w:r>
      <w:r w:rsidRPr="002C3F74">
        <w:rPr>
          <w:noProof/>
        </w:rPr>
        <w:t>2</w:t>
      </w:r>
      <w:r w:rsidRPr="00B86F89">
        <w:rPr>
          <w:noProof/>
        </w:rPr>
        <w:t xml:space="preserve"> milliards d’euros), qui soutient également le développement des apprenants, du personnel et des établissements dans les domaines de l’éducation et de la formation des adultes ainsi que de l’enseignement et de la formation professionnels. </w:t>
      </w:r>
    </w:p>
    <w:p w14:paraId="413A17B8" w14:textId="77777777" w:rsidR="004F11D0" w:rsidRPr="00B86F89" w:rsidRDefault="004F11D0" w:rsidP="004F11D0">
      <w:pPr>
        <w:pStyle w:val="ListBullet1"/>
        <w:spacing w:after="120"/>
        <w:rPr>
          <w:noProof/>
        </w:rPr>
      </w:pPr>
      <w:r w:rsidRPr="00B86F89">
        <w:rPr>
          <w:b/>
          <w:noProof/>
        </w:rPr>
        <w:t>InvestEU</w:t>
      </w:r>
      <w:r w:rsidRPr="00B86F89">
        <w:rPr>
          <w:noProof/>
        </w:rPr>
        <w:t xml:space="preserve"> (</w:t>
      </w:r>
      <w:r w:rsidRPr="002C3F74">
        <w:rPr>
          <w:noProof/>
        </w:rPr>
        <w:t>4</w:t>
      </w:r>
      <w:r w:rsidRPr="00B86F89">
        <w:rPr>
          <w:noProof/>
        </w:rPr>
        <w:t>,</w:t>
      </w:r>
      <w:r w:rsidRPr="002C3F74">
        <w:rPr>
          <w:noProof/>
        </w:rPr>
        <w:t>9</w:t>
      </w:r>
      <w:r w:rsidRPr="00B86F89">
        <w:rPr>
          <w:noProof/>
        </w:rPr>
        <w:t xml:space="preserve"> milliards d’euros), un instrument financier qui vise à mobiliser des investissements publics et privés au cours de la période </w:t>
      </w:r>
      <w:r w:rsidRPr="002C3F74">
        <w:rPr>
          <w:noProof/>
        </w:rPr>
        <w:t>2021</w:t>
      </w:r>
      <w:r w:rsidRPr="00B86F89">
        <w:rPr>
          <w:noProof/>
        </w:rPr>
        <w:t>-</w:t>
      </w:r>
      <w:r w:rsidRPr="002C3F74">
        <w:rPr>
          <w:noProof/>
        </w:rPr>
        <w:t>2027</w:t>
      </w:r>
      <w:r w:rsidRPr="00B86F89">
        <w:rPr>
          <w:noProof/>
        </w:rPr>
        <w:t xml:space="preserve"> sous la forme de garanties et qui inclut un volet «Investissements sociaux et compétences» englobant à la fois la demande et l’offre de compétences.</w:t>
      </w:r>
    </w:p>
    <w:p w14:paraId="6CACC163" w14:textId="77777777" w:rsidR="004F11D0" w:rsidRPr="00B86F89" w:rsidRDefault="004F11D0" w:rsidP="004F11D0">
      <w:pPr>
        <w:pStyle w:val="ListBullet1"/>
        <w:spacing w:after="120"/>
        <w:rPr>
          <w:noProof/>
        </w:rPr>
      </w:pPr>
      <w:r w:rsidRPr="00B86F89">
        <w:rPr>
          <w:noProof/>
        </w:rPr>
        <w:t xml:space="preserve">Les </w:t>
      </w:r>
      <w:r w:rsidRPr="00B86F89">
        <w:rPr>
          <w:b/>
          <w:noProof/>
        </w:rPr>
        <w:t>lignes budgétaires dites «de prérogative» pour le dialogue social</w:t>
      </w:r>
      <w:r w:rsidRPr="00B86F89">
        <w:rPr>
          <w:noProof/>
        </w:rPr>
        <w:t xml:space="preserve"> prévoient des financements pour soutenir le travail accompli par les partenaires sociaux afin de remédier aux pénuries de main-d’œuvre et de compétences au moyen de deux appels à propositions dans le cadre du dialogue social (actions de formation et d’information pour les organisations de travailleurs, et appels à propositions en faveur du dialogue social).</w:t>
      </w:r>
    </w:p>
    <w:p w14:paraId="3A83E11C" w14:textId="77777777" w:rsidR="004F11D0" w:rsidRPr="00B86F89" w:rsidRDefault="004F11D0" w:rsidP="004F11D0">
      <w:pPr>
        <w:pStyle w:val="ListBullet1"/>
        <w:numPr>
          <w:ilvl w:val="0"/>
          <w:numId w:val="0"/>
        </w:numPr>
        <w:spacing w:after="120"/>
        <w:rPr>
          <w:noProof/>
        </w:rPr>
      </w:pPr>
      <w:r w:rsidRPr="00B86F89">
        <w:rPr>
          <w:noProof/>
        </w:rPr>
        <w:t xml:space="preserve">En ce qui concerne le FSE+, il s’agit de l’un des principaux instruments de financement visant à concrétiser les priorités politiques de l’Union, dont les transitions écologique et numérique, la résilience et la mise en œuvre du socle européen des droits sociaux. Dans un contexte de pénuries de main-d’œuvre et de compétences, il importe à la fois d’investir dans les personnes déjà présentes sur le marché du travail, mais aussi d’intégrer à la main-d’œuvre les personnes qui en sont exclues, le potentiel inexploité. Prenant appui sur les </w:t>
      </w:r>
      <w:r w:rsidRPr="002C3F74">
        <w:rPr>
          <w:noProof/>
        </w:rPr>
        <w:t>20</w:t>
      </w:r>
      <w:r w:rsidRPr="00B86F89">
        <w:rPr>
          <w:noProof/>
        </w:rPr>
        <w:t> principes du socle européen des droits sociaux, le financement alloué au titre du FSE+ se concentre donc sur les objectifs suivants (</w:t>
      </w:r>
      <w:r w:rsidRPr="00B86F89">
        <w:rPr>
          <w:noProof/>
          <w:vertAlign w:val="superscript"/>
        </w:rPr>
        <w:footnoteReference w:id="164"/>
      </w:r>
      <w:r w:rsidRPr="00B86F89">
        <w:rPr>
          <w:noProof/>
        </w:rPr>
        <w:t>):</w:t>
      </w:r>
    </w:p>
    <w:p w14:paraId="705FC99C" w14:textId="77777777" w:rsidR="004F11D0" w:rsidRPr="00B86F89" w:rsidRDefault="004F11D0" w:rsidP="004F11D0">
      <w:pPr>
        <w:pStyle w:val="ListBullet1"/>
        <w:spacing w:after="120"/>
        <w:rPr>
          <w:noProof/>
        </w:rPr>
      </w:pPr>
      <w:r w:rsidRPr="00B86F89">
        <w:rPr>
          <w:noProof/>
        </w:rPr>
        <w:t>inclusion sociale: inclusion active, égalité d’accès à des services de qualité et modernisation des systèmes de protection sociale, intégration socio-économique des ressortissants de pays tiers, intégration socio-économique des communautés marginalisées, telles que les Roms, intégration sociale des personnes exposées au risque de pauvreté ou d’exclusion sociale, lutte contre la privation matérielle;</w:t>
      </w:r>
    </w:p>
    <w:p w14:paraId="25C648BB" w14:textId="77777777" w:rsidR="004F11D0" w:rsidRPr="00B86F89" w:rsidRDefault="004F11D0" w:rsidP="004F11D0">
      <w:pPr>
        <w:pStyle w:val="ListBullet1"/>
        <w:spacing w:after="120"/>
        <w:rPr>
          <w:noProof/>
        </w:rPr>
      </w:pPr>
      <w:r w:rsidRPr="00B86F89">
        <w:rPr>
          <w:noProof/>
        </w:rPr>
        <w:t>éducation et compétences: de meilleurs systèmes d’éducation et de formation à tous les niveaux, l’égalité d’accès à une éducation et à une formation de qualité, le perfectionnement et la reconversion professionnels, et l’apprentissage tout au long de la vie pour tous;</w:t>
      </w:r>
    </w:p>
    <w:p w14:paraId="42E0E681" w14:textId="77777777" w:rsidR="004F11D0" w:rsidRPr="00B86F89" w:rsidRDefault="004F11D0" w:rsidP="004F11D0">
      <w:pPr>
        <w:pStyle w:val="ListBullet1"/>
        <w:spacing w:after="120"/>
        <w:rPr>
          <w:noProof/>
        </w:rPr>
      </w:pPr>
      <w:r w:rsidRPr="00B86F89">
        <w:rPr>
          <w:noProof/>
        </w:rPr>
        <w:t>emploi: l’accès à un emploi de qualité pour tous, y compris l’emploi des jeunes, la modernisation des institutions et des services du marché du travail, la participation équilibrée des hommes et des femmes au marché du travail, l’adaptation des travailleurs, des entreprises et des entrepreneurs au changement.</w:t>
      </w:r>
    </w:p>
    <w:p w14:paraId="48F7C206" w14:textId="77777777" w:rsidR="004F11D0" w:rsidRPr="00B86F89" w:rsidRDefault="004F11D0" w:rsidP="004F11D0">
      <w:pPr>
        <w:pStyle w:val="Text1"/>
        <w:ind w:left="0"/>
        <w:rPr>
          <w:noProof/>
        </w:rPr>
      </w:pPr>
      <w:r w:rsidRPr="00B86F89">
        <w:rPr>
          <w:noProof/>
        </w:rPr>
        <w:t>Parmi les autres programmes susceptibles de soutenir l’éducation, la formation et le développement des compétences, citons le Fonds européen d’ajustement à la mondialisation en faveur des travailleurs licenciés, le Fonds européen de développement régional (</w:t>
      </w:r>
      <w:r w:rsidRPr="00B86F89">
        <w:rPr>
          <w:noProof/>
          <w:vertAlign w:val="superscript"/>
        </w:rPr>
        <w:footnoteReference w:id="165"/>
      </w:r>
      <w:r w:rsidRPr="00B86F89">
        <w:rPr>
          <w:noProof/>
        </w:rPr>
        <w:t>), le Fonds pour une transition juste, le corps européen de solidarité, le programme pour l’environnement et l’action pour le climat (LIFE), le Fonds européen pour les affaires maritimes, la pêche et l’aquaculture (Feampa), le Fonds pour la modernisation, le programme «L’UE pour la santé», l’instrument d’appui technique ainsi que l’instrument de voisinage, de coopération au développement et de coopération internationale. Aux efforts de l’UE en matière de perfectionnement et de reconversion professionnels s’ajoutent des politiques et programmes sectoriels (</w:t>
      </w:r>
      <w:r w:rsidRPr="00B86F89">
        <w:rPr>
          <w:rStyle w:val="FootnoteReference"/>
          <w:noProof/>
        </w:rPr>
        <w:footnoteReference w:id="166"/>
      </w:r>
      <w:r w:rsidRPr="00B86F89">
        <w:rPr>
          <w:noProof/>
        </w:rPr>
        <w:t>).</w:t>
      </w:r>
    </w:p>
    <w:p w14:paraId="63DB2DE1" w14:textId="77777777" w:rsidR="004F11D0" w:rsidRPr="00B86F89" w:rsidRDefault="004F11D0" w:rsidP="004F11D0">
      <w:pPr>
        <w:pStyle w:val="Text1"/>
        <w:ind w:left="0"/>
        <w:rPr>
          <w:noProof/>
        </w:rPr>
      </w:pPr>
      <w:r w:rsidRPr="00B86F89">
        <w:rPr>
          <w:noProof/>
        </w:rPr>
        <w:t xml:space="preserve">Les programmes susmentionnés prévoient en outre un soutien aux </w:t>
      </w:r>
      <w:r w:rsidRPr="00B86F89">
        <w:rPr>
          <w:b/>
          <w:noProof/>
        </w:rPr>
        <w:t>mesures d’activation</w:t>
      </w:r>
      <w:r w:rsidRPr="00B86F89">
        <w:rPr>
          <w:noProof/>
        </w:rPr>
        <w:t xml:space="preserve"> et aux mesures liées à l’</w:t>
      </w:r>
      <w:r w:rsidRPr="00B86F89">
        <w:rPr>
          <w:b/>
          <w:noProof/>
        </w:rPr>
        <w:t>amélioration des conditions de travail</w:t>
      </w:r>
      <w:r w:rsidRPr="00B86F89">
        <w:rPr>
          <w:noProof/>
        </w:rPr>
        <w:t xml:space="preserve">. Le FSE+, par exemple, apporte un soutien essentiel à la suppression des barrières à l’emploi, notamment par la promotion de services d’éducation et d’accueil de la petite enfance accessibles, abordables et de qualité, en conformité avec la stratégie européenne en matière de soins et la directive de l’UE concernant l’équilibre entre vie professionnelle et vie privée. Les programmes nationaux menés dans le cadre du FSE+ visent à combler l’écart entre les hommes et les femmes en matière d’emploi et à faire de l’emploi des jeunes une priorité. Les États membres où le taux de jeunes ne travaillant pas et ne suivant pas d’études ou de formation est supérieur à la moyenne devraient consacrer au moins </w:t>
      </w:r>
      <w:r w:rsidRPr="002C3F74">
        <w:rPr>
          <w:noProof/>
        </w:rPr>
        <w:t>12</w:t>
      </w:r>
      <w:r w:rsidRPr="00B86F89">
        <w:rPr>
          <w:noProof/>
        </w:rPr>
        <w:t>,</w:t>
      </w:r>
      <w:r w:rsidRPr="002C3F74">
        <w:rPr>
          <w:noProof/>
        </w:rPr>
        <w:t>5</w:t>
      </w:r>
      <w:r w:rsidRPr="00B86F89">
        <w:rPr>
          <w:noProof/>
        </w:rPr>
        <w:t> % de leurs ressources FSE+ à des actions ciblées de soutien aux jeunes. Les investissements réalisés au titre du FSE+ améliorent les perspectives en matière d’emploi pour les jeunes, les personnes âgées, les personnes issues de l’immigration et les personnes ayant un faible niveau d’instruction afin de lutter contre les pénuries de main-d’œuvre.</w:t>
      </w:r>
    </w:p>
    <w:p w14:paraId="5B32FF5A" w14:textId="12D6D612" w:rsidR="6B947092" w:rsidRPr="004F11D0" w:rsidRDefault="004F11D0" w:rsidP="004F11D0">
      <w:pPr>
        <w:pStyle w:val="Text1"/>
        <w:ind w:left="0"/>
        <w:rPr>
          <w:noProof/>
          <w:lang w:val="fr-BE"/>
        </w:rPr>
      </w:pPr>
      <w:r w:rsidRPr="00B86F89">
        <w:rPr>
          <w:noProof/>
        </w:rPr>
        <w:t xml:space="preserve">Ces dernières années, un soutien financier substantiel a également été mis à disposition pour favoriser l’emploi et les compétences en faveur de la </w:t>
      </w:r>
      <w:r w:rsidRPr="00B86F89">
        <w:rPr>
          <w:b/>
          <w:noProof/>
        </w:rPr>
        <w:t>transition écologique</w:t>
      </w:r>
      <w:r w:rsidRPr="00B86F89">
        <w:rPr>
          <w:noProof/>
        </w:rPr>
        <w:t xml:space="preserve">, et ce, au titre de divers instruments de financement de l’UE, tels que le Fonds social européen+ (pour une enveloppe totale de </w:t>
      </w:r>
      <w:r w:rsidRPr="002C3F74">
        <w:rPr>
          <w:noProof/>
        </w:rPr>
        <w:t>9</w:t>
      </w:r>
      <w:r w:rsidRPr="00B86F89">
        <w:rPr>
          <w:noProof/>
        </w:rPr>
        <w:t>,</w:t>
      </w:r>
      <w:r w:rsidRPr="002C3F74">
        <w:rPr>
          <w:noProof/>
        </w:rPr>
        <w:t>6</w:t>
      </w:r>
      <w:r w:rsidRPr="00B86F89">
        <w:rPr>
          <w:noProof/>
        </w:rPr>
        <w:t xml:space="preserve"> milliards d’euros, dont </w:t>
      </w:r>
      <w:r w:rsidRPr="002C3F74">
        <w:rPr>
          <w:noProof/>
        </w:rPr>
        <w:t>5</w:t>
      </w:r>
      <w:r w:rsidRPr="00B86F89">
        <w:rPr>
          <w:noProof/>
        </w:rPr>
        <w:t>,</w:t>
      </w:r>
      <w:r w:rsidRPr="002C3F74">
        <w:rPr>
          <w:noProof/>
        </w:rPr>
        <w:t>8</w:t>
      </w:r>
      <w:r w:rsidRPr="00B86F89">
        <w:rPr>
          <w:noProof/>
        </w:rPr>
        <w:t> milliards d’euros de la part de l’UE), la politique de cohésion, le mécanisme pour une transition juste, la facilité pour la reprise et la résilience (</w:t>
      </w:r>
      <w:r w:rsidRPr="002C3F74">
        <w:rPr>
          <w:noProof/>
        </w:rPr>
        <w:t>1</w:t>
      </w:r>
      <w:r w:rsidRPr="00B86F89">
        <w:rPr>
          <w:noProof/>
        </w:rPr>
        <w:t>,</w:t>
      </w:r>
      <w:r w:rsidRPr="002C3F74">
        <w:rPr>
          <w:noProof/>
        </w:rPr>
        <w:t>5</w:t>
      </w:r>
      <w:r w:rsidRPr="00B86F89">
        <w:rPr>
          <w:noProof/>
        </w:rPr>
        <w:t> milliard d’euros), ainsi que le plan REPowerEU.</w:t>
      </w:r>
    </w:p>
    <w:sectPr w:rsidR="6B947092" w:rsidRPr="004F11D0" w:rsidSect="00255966">
      <w:headerReference w:type="even" r:id="rId26"/>
      <w:headerReference w:type="default" r:id="rId27"/>
      <w:footerReference w:type="even" r:id="rId28"/>
      <w:footerReference w:type="default" r:id="rId29"/>
      <w:headerReference w:type="first" r:id="rId30"/>
      <w:footerReference w:type="first" r:id="rId31"/>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1EA06A" w14:textId="77777777" w:rsidR="002F105B" w:rsidRDefault="002F105B">
      <w:pPr>
        <w:spacing w:after="0"/>
      </w:pPr>
      <w:r>
        <w:separator/>
      </w:r>
    </w:p>
  </w:endnote>
  <w:endnote w:type="continuationSeparator" w:id="0">
    <w:p w14:paraId="09F21E4C" w14:textId="77777777" w:rsidR="002F105B" w:rsidRDefault="002F105B">
      <w:pPr>
        <w:spacing w:after="0"/>
      </w:pPr>
      <w:r>
        <w:continuationSeparator/>
      </w:r>
    </w:p>
  </w:endnote>
  <w:endnote w:type="continuationNotice" w:id="1">
    <w:p w14:paraId="78239F08" w14:textId="77777777" w:rsidR="002F105B" w:rsidRDefault="002F105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charset w:val="00"/>
    <w:family w:val="roman"/>
    <w:pitch w:val="default"/>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16B09" w14:textId="623E19D6" w:rsidR="00A37E28" w:rsidRPr="00A37E28" w:rsidRDefault="00A37E28" w:rsidP="00A37E28">
    <w:pPr>
      <w:pStyle w:val="FooterCoverPage"/>
      <w:rPr>
        <w:rFonts w:ascii="Arial" w:hAnsi="Arial" w:cs="Arial"/>
        <w:b/>
        <w:sz w:val="48"/>
      </w:rPr>
    </w:pPr>
    <w:r w:rsidRPr="00A37E28">
      <w:rPr>
        <w:rFonts w:ascii="Arial" w:hAnsi="Arial" w:cs="Arial"/>
        <w:b/>
        <w:sz w:val="48"/>
      </w:rPr>
      <w:t>FR</w:t>
    </w:r>
    <w:r w:rsidRPr="00A37E28">
      <w:rPr>
        <w:rFonts w:ascii="Arial" w:hAnsi="Arial" w:cs="Arial"/>
        <w:b/>
        <w:sz w:val="48"/>
      </w:rPr>
      <w:tab/>
    </w:r>
    <w:r w:rsidRPr="00A37E28">
      <w:rPr>
        <w:rFonts w:ascii="Arial" w:hAnsi="Arial" w:cs="Arial"/>
        <w:b/>
        <w:sz w:val="48"/>
      </w:rPr>
      <w:tab/>
    </w:r>
    <w:r w:rsidRPr="00A37E28">
      <w:tab/>
    </w:r>
    <w:r w:rsidRPr="00A37E2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18C2AA" w14:textId="1E8F4D60" w:rsidR="00A37E28" w:rsidRPr="00A37E28" w:rsidRDefault="00A37E28" w:rsidP="00A37E28">
    <w:pPr>
      <w:pStyle w:val="FooterCoverPage"/>
      <w:rPr>
        <w:rFonts w:ascii="Arial" w:hAnsi="Arial" w:cs="Arial"/>
        <w:b/>
        <w:sz w:val="48"/>
      </w:rPr>
    </w:pPr>
    <w:r w:rsidRPr="00A37E28">
      <w:rPr>
        <w:rFonts w:ascii="Arial" w:hAnsi="Arial" w:cs="Arial"/>
        <w:b/>
        <w:sz w:val="48"/>
      </w:rPr>
      <w:t>FR</w:t>
    </w:r>
    <w:r w:rsidRPr="00A37E28">
      <w:rPr>
        <w:rFonts w:ascii="Arial" w:hAnsi="Arial" w:cs="Arial"/>
        <w:b/>
        <w:sz w:val="48"/>
      </w:rPr>
      <w:tab/>
    </w:r>
    <w:r w:rsidRPr="00A37E28">
      <w:rPr>
        <w:rFonts w:ascii="Arial" w:hAnsi="Arial" w:cs="Arial"/>
        <w:b/>
        <w:sz w:val="48"/>
      </w:rPr>
      <w:tab/>
    </w:r>
    <w:r w:rsidRPr="00A37E28">
      <w:tab/>
    </w:r>
    <w:r w:rsidRPr="00A37E2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D534FE" w14:textId="77777777" w:rsidR="00A37E28" w:rsidRPr="00A37E28" w:rsidRDefault="00A37E28" w:rsidP="00A37E28">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43DA7B" w14:textId="77777777" w:rsidR="00255966" w:rsidRDefault="00255966">
    <w:pPr>
      <w:pStyle w:val="FooterLine"/>
      <w:jc w:val="center"/>
    </w:pPr>
    <w:r>
      <w:rPr>
        <w:color w:val="2B579A"/>
        <w:shd w:val="clear" w:color="auto" w:fill="E6E6E6"/>
      </w:rPr>
      <w:fldChar w:fldCharType="begin"/>
    </w:r>
    <w:r>
      <w:instrText>PAGE   \* MERGEFORMAT</w:instrText>
    </w:r>
    <w:r>
      <w:rPr>
        <w:color w:val="2B579A"/>
        <w:shd w:val="clear" w:color="auto" w:fill="E6E6E6"/>
      </w:rPr>
      <w:fldChar w:fldCharType="separate"/>
    </w:r>
    <w:r>
      <w:t>1</w:t>
    </w:r>
    <w:r>
      <w:rPr>
        <w:color w:val="2B579A"/>
        <w:shd w:val="clear" w:color="auto" w:fill="E6E6E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E5CCF1" w14:textId="329EF285" w:rsidR="00255966" w:rsidRDefault="00255966">
    <w:pPr>
      <w:pStyle w:val="FooterLine"/>
      <w:jc w:val="center"/>
    </w:pPr>
    <w:r>
      <w:rPr>
        <w:color w:val="2B579A"/>
        <w:shd w:val="clear" w:color="auto" w:fill="E6E6E6"/>
      </w:rPr>
      <w:fldChar w:fldCharType="begin"/>
    </w:r>
    <w:r>
      <w:instrText>PAGE   \* MERGEFORMAT</w:instrText>
    </w:r>
    <w:r>
      <w:rPr>
        <w:color w:val="2B579A"/>
        <w:shd w:val="clear" w:color="auto" w:fill="E6E6E6"/>
      </w:rPr>
      <w:fldChar w:fldCharType="separate"/>
    </w:r>
    <w:r w:rsidR="00A37E28">
      <w:rPr>
        <w:noProof/>
      </w:rPr>
      <w:t>3</w:t>
    </w:r>
    <w:r>
      <w:rPr>
        <w:color w:val="2B579A"/>
        <w:shd w:val="clear" w:color="auto" w:fill="E6E6E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395E4" w14:textId="77777777" w:rsidR="00255966" w:rsidRDefault="002559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C6F51F" w14:textId="77777777" w:rsidR="002F105B" w:rsidRDefault="002F105B">
      <w:pPr>
        <w:spacing w:after="0"/>
      </w:pPr>
      <w:r>
        <w:separator/>
      </w:r>
    </w:p>
  </w:footnote>
  <w:footnote w:type="continuationSeparator" w:id="0">
    <w:p w14:paraId="0220D9D6" w14:textId="77777777" w:rsidR="002F105B" w:rsidRDefault="002F105B">
      <w:pPr>
        <w:spacing w:after="0"/>
      </w:pPr>
      <w:r>
        <w:continuationSeparator/>
      </w:r>
    </w:p>
  </w:footnote>
  <w:footnote w:type="continuationNotice" w:id="1">
    <w:p w14:paraId="73FD77D9" w14:textId="77777777" w:rsidR="002F105B" w:rsidRDefault="002F105B">
      <w:pPr>
        <w:spacing w:after="0"/>
      </w:pPr>
    </w:p>
  </w:footnote>
  <w:footnote w:id="2">
    <w:p w14:paraId="5140900D" w14:textId="7BAA8371" w:rsidR="00120BF3" w:rsidRPr="00630322" w:rsidRDefault="00120BF3" w:rsidP="00742E67">
      <w:pPr>
        <w:spacing w:after="60"/>
        <w:ind w:left="360" w:hanging="360"/>
        <w:rPr>
          <w:sz w:val="20"/>
        </w:rPr>
      </w:pPr>
      <w:r>
        <w:rPr>
          <w:sz w:val="20"/>
          <w:vertAlign w:val="superscript"/>
        </w:rPr>
        <w:footnoteRef/>
      </w:r>
      <w:r>
        <w:rPr>
          <w:sz w:val="20"/>
        </w:rPr>
        <w:tab/>
        <w:t>Proposition de règlement du Parlement européen et du Conseil portant création d’un réservoir européen de talents [COM(</w:t>
      </w:r>
      <w:r w:rsidRPr="002C3F74">
        <w:rPr>
          <w:sz w:val="20"/>
        </w:rPr>
        <w:t>2023</w:t>
      </w:r>
      <w:r>
        <w:rPr>
          <w:sz w:val="20"/>
        </w:rPr>
        <w:t>) </w:t>
      </w:r>
      <w:r w:rsidRPr="002C3F74">
        <w:rPr>
          <w:sz w:val="20"/>
        </w:rPr>
        <w:t>716</w:t>
      </w:r>
      <w:r>
        <w:rPr>
          <w:sz w:val="20"/>
        </w:rPr>
        <w:t>] qui, si elle est validée par les colégislateurs, ouvrira la voie à une approche stratégique visant à pourvoir les emplois vacants dans les professions en pénurie.</w:t>
      </w:r>
    </w:p>
  </w:footnote>
  <w:footnote w:id="3">
    <w:p w14:paraId="34E313CC" w14:textId="77777777" w:rsidR="00120BF3" w:rsidRPr="00B52526" w:rsidRDefault="00120BF3" w:rsidP="00742E67">
      <w:pPr>
        <w:pStyle w:val="FootnoteText"/>
        <w:spacing w:after="60"/>
        <w:ind w:left="360" w:hanging="360"/>
      </w:pPr>
      <w:r>
        <w:rPr>
          <w:rStyle w:val="FootnoteReference"/>
        </w:rPr>
        <w:footnoteRef/>
      </w:r>
      <w:r>
        <w:tab/>
        <w:t>Flash Eurobaromètre FL</w:t>
      </w:r>
      <w:r w:rsidRPr="002C3F74">
        <w:t>529</w:t>
      </w:r>
      <w:r>
        <w:t xml:space="preserve"> (</w:t>
      </w:r>
      <w:r w:rsidRPr="002C3F74">
        <w:t>2023</w:t>
      </w:r>
      <w:r>
        <w:t>). European Year of Skills – Skills shortages, recruitment and retention strategies in small and medium-sized enterprises (Année européenne des compétences – Pénuries de compétences, stratégies de recrutement et de fidélisation dans les petites et moyennes entreprises). Pour de plus amples informations, voir la section </w:t>
      </w:r>
      <w:r w:rsidRPr="002C3F74">
        <w:t>2</w:t>
      </w:r>
      <w:r>
        <w:t>.</w:t>
      </w:r>
      <w:r w:rsidRPr="002C3F74">
        <w:t>2</w:t>
      </w:r>
      <w:r>
        <w:t>.</w:t>
      </w:r>
    </w:p>
  </w:footnote>
  <w:footnote w:id="4">
    <w:p w14:paraId="748E7CD8" w14:textId="58BEFCC3" w:rsidR="00733CB6" w:rsidRPr="00733CB6" w:rsidRDefault="00134BF0" w:rsidP="00742E67">
      <w:pPr>
        <w:pStyle w:val="FootnoteText"/>
        <w:spacing w:after="60"/>
        <w:ind w:left="360" w:hanging="360"/>
      </w:pPr>
      <w:r>
        <w:rPr>
          <w:rStyle w:val="FootnoteReference"/>
        </w:rPr>
        <w:footnoteRef/>
      </w:r>
      <w:r>
        <w:tab/>
      </w:r>
      <w:hyperlink r:id="rId1" w:history="1">
        <w:r>
          <w:rPr>
            <w:rStyle w:val="Hyperlink"/>
          </w:rPr>
          <w:t xml:space="preserve">Tripartite Declaration for a Thriving European Social Dialogue (déclaration tripartite pour un dialogue social européen fructueux), signée le </w:t>
        </w:r>
        <w:r w:rsidRPr="002C3F74">
          <w:rPr>
            <w:rStyle w:val="Hyperlink"/>
          </w:rPr>
          <w:t>31</w:t>
        </w:r>
        <w:r>
          <w:rPr>
            <w:rStyle w:val="Hyperlink"/>
          </w:rPr>
          <w:t xml:space="preserve"> janvier </w:t>
        </w:r>
        <w:r w:rsidRPr="002C3F74">
          <w:rPr>
            <w:rStyle w:val="Hyperlink"/>
          </w:rPr>
          <w:t>2024</w:t>
        </w:r>
        <w:r>
          <w:rPr>
            <w:rStyle w:val="Hyperlink"/>
          </w:rPr>
          <w:t xml:space="preserve"> à Val Duchesse</w:t>
        </w:r>
      </w:hyperlink>
      <w:r>
        <w:t>.</w:t>
      </w:r>
    </w:p>
  </w:footnote>
  <w:footnote w:id="5">
    <w:p w14:paraId="6ED0D7FC" w14:textId="25663B5B" w:rsidR="00684C6C" w:rsidRPr="004C2CD1" w:rsidRDefault="00684C6C" w:rsidP="006719DD">
      <w:pPr>
        <w:pStyle w:val="FootnoteText"/>
        <w:spacing w:after="60"/>
      </w:pPr>
      <w:r>
        <w:rPr>
          <w:rStyle w:val="FootnoteReference"/>
        </w:rPr>
        <w:footnoteRef/>
      </w:r>
      <w:r>
        <w:tab/>
        <w:t>Commission européenne (</w:t>
      </w:r>
      <w:r w:rsidRPr="002C3F74">
        <w:t>2023</w:t>
      </w:r>
      <w:r>
        <w:t xml:space="preserve">), «Employment and Social Developments in Europe. Annual Review </w:t>
      </w:r>
      <w:r w:rsidRPr="002C3F74">
        <w:t>2023</w:t>
      </w:r>
      <w:r>
        <w:t xml:space="preserve">» (Rapport annuel de </w:t>
      </w:r>
      <w:r w:rsidRPr="002C3F74">
        <w:t>2023</w:t>
      </w:r>
      <w:r>
        <w:t xml:space="preserve"> sur l’évolution de l’emploi et de la situation sociale en Europe).</w:t>
      </w:r>
    </w:p>
  </w:footnote>
  <w:footnote w:id="6">
    <w:p w14:paraId="31FD0249" w14:textId="3BBC6CA6" w:rsidR="43AE5014" w:rsidRDefault="43AE5014" w:rsidP="006719DD">
      <w:pPr>
        <w:pStyle w:val="FootnoteText"/>
        <w:spacing w:after="60"/>
      </w:pPr>
      <w:r>
        <w:rPr>
          <w:vertAlign w:val="superscript"/>
        </w:rPr>
        <w:footnoteRef/>
      </w:r>
      <w:r>
        <w:t xml:space="preserve"> </w:t>
      </w:r>
      <w:r>
        <w:tab/>
        <w:t xml:space="preserve">Population au </w:t>
      </w:r>
      <w:r w:rsidRPr="002C3F74">
        <w:t>1</w:t>
      </w:r>
      <w:r>
        <w:rPr>
          <w:vertAlign w:val="superscript"/>
        </w:rPr>
        <w:t>er</w:t>
      </w:r>
      <w:r>
        <w:t> janvier, ventilée par groupe d’âge et par sexe, source: Eurostat, demo_pjangroup.</w:t>
      </w:r>
    </w:p>
  </w:footnote>
  <w:footnote w:id="7">
    <w:p w14:paraId="1EC1C331" w14:textId="45EE0AA9" w:rsidR="00684C6C" w:rsidRPr="00893040" w:rsidRDefault="00684C6C" w:rsidP="006719DD">
      <w:pPr>
        <w:pStyle w:val="FootnoteText"/>
        <w:spacing w:after="60"/>
      </w:pPr>
      <w:r>
        <w:rPr>
          <w:rStyle w:val="FootnoteReference"/>
        </w:rPr>
        <w:footnoteRef/>
      </w:r>
      <w:r>
        <w:tab/>
        <w:t>Communication de la Commission intitulée «L’évolution démographique en Europe: une panoplie d’instruments d’action» [COM(</w:t>
      </w:r>
      <w:r w:rsidRPr="002C3F74">
        <w:t>2023</w:t>
      </w:r>
      <w:r>
        <w:t>) </w:t>
      </w:r>
      <w:r w:rsidRPr="002C3F74">
        <w:t>577</w:t>
      </w:r>
      <w:r>
        <w:t xml:space="preserve"> final]; Stratégie européenne en matière de soins [COM(</w:t>
      </w:r>
      <w:r w:rsidRPr="002C3F74">
        <w:t>2022</w:t>
      </w:r>
      <w:r>
        <w:t>) </w:t>
      </w:r>
      <w:r w:rsidRPr="002C3F74">
        <w:t>440</w:t>
      </w:r>
      <w:r>
        <w:t xml:space="preserve"> final]; Rapports sur l’incidence des évolutions démographiques [SWD(</w:t>
      </w:r>
      <w:r w:rsidRPr="002C3F74">
        <w:t>2023</w:t>
      </w:r>
      <w:r>
        <w:t>) </w:t>
      </w:r>
      <w:r w:rsidRPr="002C3F74">
        <w:t>21</w:t>
      </w:r>
      <w:r>
        <w:t xml:space="preserve"> et COM(</w:t>
      </w:r>
      <w:r w:rsidRPr="002C3F74">
        <w:t>2020</w:t>
      </w:r>
      <w:r>
        <w:t>) </w:t>
      </w:r>
      <w:r w:rsidRPr="002C3F74">
        <w:t>109</w:t>
      </w:r>
      <w:r>
        <w:t>].</w:t>
      </w:r>
    </w:p>
  </w:footnote>
  <w:footnote w:id="8">
    <w:p w14:paraId="15A9D827" w14:textId="29122704" w:rsidR="00373612" w:rsidRDefault="00373612" w:rsidP="006719DD">
      <w:pPr>
        <w:pStyle w:val="FootnoteText"/>
        <w:spacing w:after="60"/>
      </w:pPr>
      <w:r>
        <w:rPr>
          <w:vertAlign w:val="superscript"/>
        </w:rPr>
        <w:footnoteRef/>
      </w:r>
      <w:r>
        <w:tab/>
        <w:t>Les partenaires sociaux européens sont les organisations patronales et syndicales au niveau de l’Union qui participent au dialogue social européen, conformément aux articles </w:t>
      </w:r>
      <w:r w:rsidRPr="002C3F74">
        <w:t>154</w:t>
      </w:r>
      <w:r>
        <w:t xml:space="preserve"> et </w:t>
      </w:r>
      <w:r w:rsidRPr="002C3F74">
        <w:t>155</w:t>
      </w:r>
      <w:r>
        <w:t xml:space="preserve"> du traité sur le fonctionnement de l’Union européenne. Une communication de la Commission de </w:t>
      </w:r>
      <w:r w:rsidRPr="002C3F74">
        <w:t>1993</w:t>
      </w:r>
      <w:r>
        <w:t xml:space="preserve"> a établi les critères auxquels les organisations européennes de partenaires sociaux doivent répondre [COM(</w:t>
      </w:r>
      <w:r w:rsidRPr="002C3F74">
        <w:t>93</w:t>
      </w:r>
      <w:r>
        <w:t>) </w:t>
      </w:r>
      <w:r w:rsidRPr="002C3F74">
        <w:t>600</w:t>
      </w:r>
      <w:r>
        <w:t xml:space="preserve"> final]. La Commission publie régulièrement une liste des organisations reconnues comme partenaires sociaux européens. En septembre </w:t>
      </w:r>
      <w:r w:rsidRPr="002C3F74">
        <w:t>2023</w:t>
      </w:r>
      <w:r>
        <w:t xml:space="preserve">, cette liste comprenait </w:t>
      </w:r>
      <w:r w:rsidRPr="002C3F74">
        <w:t>88</w:t>
      </w:r>
      <w:r>
        <w:t> organisations.</w:t>
      </w:r>
    </w:p>
  </w:footnote>
  <w:footnote w:id="9">
    <w:p w14:paraId="781F7D21" w14:textId="1AF57D34" w:rsidR="001C444B" w:rsidRPr="006719DD" w:rsidRDefault="001C444B" w:rsidP="006719DD">
      <w:pPr>
        <w:pStyle w:val="FootnoteText"/>
        <w:spacing w:after="60"/>
      </w:pPr>
      <w:r>
        <w:rPr>
          <w:rStyle w:val="FootnoteReference"/>
        </w:rPr>
        <w:footnoteRef/>
      </w:r>
      <w:r>
        <w:tab/>
        <w:t>Les lignes budgétaires consacrées au dialogue social permettent à la Commission de soutenir les projets des partenaires sociaux européens et nationaux en lançant chaque année deux appels à propositions ouverts sur le dialogue social et les mesures d’information et de formation des travailleurs. Ces projets aident les partenaires sociaux à renforcer leurs capacités et à partager les connaissances dans des domaines associés aux pénuries de main-d’œuvre et de compétences.</w:t>
      </w:r>
    </w:p>
  </w:footnote>
  <w:footnote w:id="10">
    <w:p w14:paraId="0CD99FF2" w14:textId="1CE12879" w:rsidR="00205F04" w:rsidRPr="00987B13" w:rsidRDefault="00795352" w:rsidP="00467EAD">
      <w:pPr>
        <w:pStyle w:val="FootnoteText"/>
        <w:spacing w:after="60"/>
        <w:ind w:left="360" w:hanging="360"/>
        <w:jc w:val="left"/>
      </w:pPr>
      <w:r>
        <w:rPr>
          <w:rStyle w:val="FootnoteReference"/>
        </w:rPr>
        <w:footnoteRef/>
      </w:r>
      <w:r>
        <w:tab/>
        <w:t>Les jeunes inactifs comprennent également les jeunes en cours de formation.</w:t>
      </w:r>
    </w:p>
  </w:footnote>
  <w:footnote w:id="11">
    <w:p w14:paraId="533EF27E" w14:textId="56F8D7A9" w:rsidR="00490D5F" w:rsidRPr="00E24C3B" w:rsidRDefault="00490D5F">
      <w:pPr>
        <w:pStyle w:val="FootnoteText"/>
      </w:pPr>
      <w:r>
        <w:rPr>
          <w:rStyle w:val="FootnoteReference"/>
        </w:rPr>
        <w:footnoteRef/>
      </w:r>
      <w:r>
        <w:tab/>
        <w:t>Les régions ultrapériphériques de l’UE souffrent des taux de chômage des jeunes les plus élevés de l’UE et affichent des taux particulièrement élevés de jeunes ne travaillant pas et ne suivant pas d’études ou de formation (NEET).</w:t>
      </w:r>
    </w:p>
  </w:footnote>
  <w:footnote w:id="12">
    <w:p w14:paraId="300387E5" w14:textId="2A410AB2" w:rsidR="007024E6" w:rsidRPr="00630322" w:rsidRDefault="007024E6" w:rsidP="00467EAD">
      <w:pPr>
        <w:pStyle w:val="pf0"/>
        <w:spacing w:before="0" w:beforeAutospacing="0" w:after="60" w:afterAutospacing="0"/>
        <w:ind w:left="360" w:hanging="360"/>
        <w:jc w:val="both"/>
      </w:pPr>
      <w:r>
        <w:rPr>
          <w:rStyle w:val="FootnoteReference"/>
          <w:sz w:val="20"/>
          <w:szCs w:val="20"/>
        </w:rPr>
        <w:footnoteRef/>
      </w:r>
      <w:r>
        <w:rPr>
          <w:sz w:val="20"/>
        </w:rPr>
        <w:tab/>
        <w:t>Cela concerne tant les ressortissants de pays tiers et les ressortissants des États membres de l’UE qui avaient la nationalité d’un pays tiers et sont devenus citoyens de l’UE que les citoyens de l’UE dont les parents sont nés dans un pays tiers.</w:t>
      </w:r>
    </w:p>
  </w:footnote>
  <w:footnote w:id="13">
    <w:p w14:paraId="7C3FECF0" w14:textId="1C442356" w:rsidR="00C63572" w:rsidRPr="00742E67" w:rsidRDefault="00804068" w:rsidP="00467EAD">
      <w:pPr>
        <w:pStyle w:val="FootnoteText"/>
        <w:spacing w:after="60"/>
        <w:ind w:left="360" w:hanging="360"/>
      </w:pPr>
      <w:r>
        <w:rPr>
          <w:rStyle w:val="FootnoteReference"/>
        </w:rPr>
        <w:footnoteRef/>
      </w:r>
      <w:r>
        <w:tab/>
        <w:t>Commission européenne (</w:t>
      </w:r>
      <w:r w:rsidRPr="002C3F74">
        <w:t>2023</w:t>
      </w:r>
      <w:r>
        <w:t xml:space="preserve">), «Employment and Social Developments in Europe. Annual Review </w:t>
      </w:r>
      <w:r w:rsidRPr="002C3F74">
        <w:t>2023</w:t>
      </w:r>
      <w:r>
        <w:t xml:space="preserve">» (Rapport annuel de </w:t>
      </w:r>
      <w:r w:rsidRPr="002C3F74">
        <w:t>2023</w:t>
      </w:r>
      <w:r>
        <w:t xml:space="preserve"> sur l’évolution de l’emploi et de la situation sociale en Europe).</w:t>
      </w:r>
      <w:bookmarkStart w:id="4" w:name="_Hlk160559845"/>
      <w:r>
        <w:t xml:space="preserve"> Ces chiffres ne sont pas cumulatifs car les trois groupes se recoupent.</w:t>
      </w:r>
      <w:bookmarkEnd w:id="4"/>
      <w:r>
        <w:t xml:space="preserve"> En ce qui concerne les femmes et les personnes peu qualifiées, ce potentiel repose sur le fait que ces deux groupes représentent une part de la population relativement importante, tandis que, dans le cas des travailleurs âgés, il découle de l’écart relativement entre leur taux d’activité et les taux affichés dans les pays présentant les meilleurs résultats.</w:t>
      </w:r>
    </w:p>
  </w:footnote>
  <w:footnote w:id="14">
    <w:p w14:paraId="5F14022A" w14:textId="624DB34B" w:rsidR="00C209C6" w:rsidRPr="00AD2F5B" w:rsidRDefault="00E44458" w:rsidP="00660BA7">
      <w:pPr>
        <w:pStyle w:val="FootnoteText"/>
        <w:ind w:left="142" w:hanging="142"/>
      </w:pPr>
      <w:r>
        <w:rPr>
          <w:rStyle w:val="FootnoteReference"/>
        </w:rPr>
        <w:footnoteRef/>
      </w:r>
      <w:r>
        <w:t xml:space="preserve"> </w:t>
      </w:r>
      <w:hyperlink r:id="rId2" w:history="1">
        <w:r>
          <w:rPr>
            <w:rStyle w:val="Hyperlink"/>
          </w:rPr>
          <w:t>Commission européenne (</w:t>
        </w:r>
        <w:r w:rsidRPr="002C3F74">
          <w:rPr>
            <w:rStyle w:val="Hyperlink"/>
          </w:rPr>
          <w:t>2023</w:t>
        </w:r>
        <w:r>
          <w:rPr>
            <w:rStyle w:val="Hyperlink"/>
          </w:rPr>
          <w:t>), «Staff shortages in early childhood education and care (ECEC), Policy brief» (note d’orientation intitulée «Pénuries de main-d’œuvre dans l’éducation et l’accueil de la petite enfance»)</w:t>
        </w:r>
      </w:hyperlink>
      <w:r w:rsidR="00660BA7" w:rsidRPr="00660BA7">
        <w:rPr>
          <w:sz w:val="24"/>
          <w:szCs w:val="24"/>
          <w:lang w:eastAsia="en-GB"/>
        </w:rPr>
        <w:t>.</w:t>
      </w:r>
    </w:p>
  </w:footnote>
  <w:footnote w:id="15">
    <w:p w14:paraId="5167E103" w14:textId="3A932658" w:rsidR="00E44458" w:rsidRPr="00E24C3B" w:rsidRDefault="00E44458">
      <w:pPr>
        <w:pStyle w:val="FootnoteText"/>
      </w:pPr>
      <w:r>
        <w:rPr>
          <w:rStyle w:val="FootnoteReference"/>
        </w:rPr>
        <w:footnoteRef/>
      </w:r>
      <w:r>
        <w:tab/>
        <w:t>Le coin fiscal désigne la pression fiscale et contributive supportée par les employeurs et les salariés.</w:t>
      </w:r>
    </w:p>
  </w:footnote>
  <w:footnote w:id="16">
    <w:p w14:paraId="5316F8B4" w14:textId="702E4477" w:rsidR="00E44458" w:rsidRPr="00E24C3B" w:rsidRDefault="00E44458">
      <w:pPr>
        <w:pStyle w:val="FootnoteText"/>
      </w:pPr>
      <w:r>
        <w:rPr>
          <w:rStyle w:val="FootnoteReference"/>
        </w:rPr>
        <w:footnoteRef/>
      </w:r>
      <w:r>
        <w:tab/>
        <w:t>Commission européenne (</w:t>
      </w:r>
      <w:r w:rsidRPr="002C3F74">
        <w:t>2023</w:t>
      </w:r>
      <w:r>
        <w:t xml:space="preserve">), «Annual Report on Taxation </w:t>
      </w:r>
      <w:r w:rsidRPr="002C3F74">
        <w:t>2023</w:t>
      </w:r>
      <w:r>
        <w:t xml:space="preserve">» (Rapport annuel </w:t>
      </w:r>
      <w:r w:rsidRPr="002C3F74">
        <w:t>2023</w:t>
      </w:r>
      <w:r>
        <w:t xml:space="preserve"> sur la fiscalité).</w:t>
      </w:r>
    </w:p>
  </w:footnote>
  <w:footnote w:id="17">
    <w:p w14:paraId="12CA87CF" w14:textId="00A9A4D2" w:rsidR="00476838" w:rsidRPr="00630322" w:rsidRDefault="00476838">
      <w:pPr>
        <w:pStyle w:val="FootnoteText"/>
        <w:spacing w:after="60"/>
        <w:ind w:left="360" w:hanging="360"/>
      </w:pPr>
      <w:r>
        <w:rPr>
          <w:rStyle w:val="FootnoteReference"/>
        </w:rPr>
        <w:footnoteRef/>
      </w:r>
      <w:r>
        <w:tab/>
        <w:t xml:space="preserve">Semestre européen </w:t>
      </w:r>
      <w:r w:rsidRPr="002C3F74">
        <w:t>2023</w:t>
      </w:r>
      <w:r>
        <w:t xml:space="preserve">: Recommandations par pays/recommandations de la Commission, Direction générale des affaires économiques et financières, </w:t>
      </w:r>
      <w:r w:rsidRPr="002C3F74">
        <w:t>24</w:t>
      </w:r>
      <w:r>
        <w:t xml:space="preserve"> mai </w:t>
      </w:r>
      <w:r w:rsidRPr="002C3F74">
        <w:t>2023</w:t>
      </w:r>
      <w:r>
        <w:t>.</w:t>
      </w:r>
    </w:p>
  </w:footnote>
  <w:footnote w:id="18">
    <w:p w14:paraId="53B469A5" w14:textId="3E228533" w:rsidR="68945C3D" w:rsidRDefault="68945C3D" w:rsidP="006719DD">
      <w:pPr>
        <w:pStyle w:val="FootnoteText"/>
        <w:spacing w:after="60"/>
      </w:pPr>
      <w:r>
        <w:rPr>
          <w:rStyle w:val="FootnoteReference"/>
        </w:rPr>
        <w:footnoteRef/>
      </w:r>
      <w:r>
        <w:tab/>
        <w:t xml:space="preserve">Communication de la Commission au Parlement européen, au Conseil, au Comité économique et social européen et au Comité des régions intitulée «Une Union de l’égalité: stratégie en faveur de l’égalité entre les hommes et les femmes </w:t>
      </w:r>
      <w:r w:rsidRPr="002C3F74">
        <w:t>2020</w:t>
      </w:r>
      <w:r>
        <w:t>-</w:t>
      </w:r>
      <w:r w:rsidRPr="002C3F74">
        <w:t>2025</w:t>
      </w:r>
      <w:r>
        <w:t>» [COM(</w:t>
      </w:r>
      <w:r w:rsidRPr="002C3F74">
        <w:t>2020</w:t>
      </w:r>
      <w:r>
        <w:t>) </w:t>
      </w:r>
      <w:r w:rsidRPr="002C3F74">
        <w:t>152</w:t>
      </w:r>
      <w:r>
        <w:t xml:space="preserve"> final], qui s’inscrit dans les </w:t>
      </w:r>
      <w:hyperlink r:id="rId3" w:history="1">
        <w:r>
          <w:rPr>
            <w:rStyle w:val="Hyperlink"/>
          </w:rPr>
          <w:t>stratégies de l’Union pour l’égalité</w:t>
        </w:r>
      </w:hyperlink>
      <w:r>
        <w:t>.</w:t>
      </w:r>
    </w:p>
  </w:footnote>
  <w:footnote w:id="19">
    <w:p w14:paraId="5BE19FCC" w14:textId="0724B5F4" w:rsidR="00053564" w:rsidRPr="00630322" w:rsidRDefault="00053564">
      <w:pPr>
        <w:pStyle w:val="FootnoteText"/>
        <w:spacing w:after="60"/>
      </w:pPr>
      <w:r>
        <w:rPr>
          <w:rStyle w:val="FootnoteReference"/>
        </w:rPr>
        <w:footnoteRef/>
      </w:r>
      <w:r>
        <w:tab/>
        <w:t xml:space="preserve">Recommandation du Conseil du </w:t>
      </w:r>
      <w:r w:rsidRPr="002C3F74">
        <w:t>30</w:t>
      </w:r>
      <w:r>
        <w:t xml:space="preserve"> octobre </w:t>
      </w:r>
      <w:r w:rsidRPr="002C3F74">
        <w:t>2020</w:t>
      </w:r>
      <w:r>
        <w:t xml:space="preserve"> relative à «Un pont vers l’emploi – Renforcer la garantie pour la jeunesse» et remplaçant la recommandation du Conseil du </w:t>
      </w:r>
      <w:r w:rsidRPr="002C3F74">
        <w:t>22</w:t>
      </w:r>
      <w:r>
        <w:t xml:space="preserve"> avril </w:t>
      </w:r>
      <w:r w:rsidRPr="002C3F74">
        <w:t>2013</w:t>
      </w:r>
      <w:r>
        <w:t xml:space="preserve"> sur l’établissement d’une garantie pour la jeunesse (</w:t>
      </w:r>
      <w:r w:rsidRPr="002C3F74">
        <w:t>2020</w:t>
      </w:r>
      <w:r>
        <w:t>/C </w:t>
      </w:r>
      <w:r w:rsidRPr="002C3F74">
        <w:t>372</w:t>
      </w:r>
      <w:r>
        <w:t>/</w:t>
      </w:r>
      <w:r w:rsidRPr="002C3F74">
        <w:t>01</w:t>
      </w:r>
      <w:r>
        <w:t>) (JO C </w:t>
      </w:r>
      <w:r w:rsidRPr="002C3F74">
        <w:t>372</w:t>
      </w:r>
      <w:r>
        <w:t xml:space="preserve"> du </w:t>
      </w:r>
      <w:r w:rsidRPr="002C3F74">
        <w:t>4</w:t>
      </w:r>
      <w:r>
        <w:t>.</w:t>
      </w:r>
      <w:r w:rsidRPr="002C3F74">
        <w:t>11</w:t>
      </w:r>
      <w:r>
        <w:t>.</w:t>
      </w:r>
      <w:r w:rsidRPr="002C3F74">
        <w:t>2020</w:t>
      </w:r>
      <w:r>
        <w:t>, p. </w:t>
      </w:r>
      <w:r w:rsidRPr="002C3F74">
        <w:t>1</w:t>
      </w:r>
      <w:r>
        <w:t>).</w:t>
      </w:r>
    </w:p>
  </w:footnote>
  <w:footnote w:id="20">
    <w:p w14:paraId="1361E718" w14:textId="349062B8" w:rsidR="00053564" w:rsidRPr="00630322" w:rsidRDefault="00053564">
      <w:pPr>
        <w:pStyle w:val="FootnoteText"/>
        <w:spacing w:after="60"/>
      </w:pPr>
      <w:r>
        <w:rPr>
          <w:rStyle w:val="FootnoteReference"/>
        </w:rPr>
        <w:footnoteRef/>
      </w:r>
      <w:r>
        <w:tab/>
        <w:t xml:space="preserve">Voir: </w:t>
      </w:r>
      <w:hyperlink r:id="rId4" w:history="1">
        <w:r>
          <w:t>ALMA: une initiative d’inclusion active pour les jeunes – Emploi, affaires sociales et inclusion – Commission européenne (europa.eu)</w:t>
        </w:r>
      </w:hyperlink>
      <w:r>
        <w:t>.</w:t>
      </w:r>
    </w:p>
  </w:footnote>
  <w:footnote w:id="21">
    <w:p w14:paraId="2C4B274E" w14:textId="77777777" w:rsidR="00053564" w:rsidRPr="00630322" w:rsidRDefault="00053564">
      <w:pPr>
        <w:pStyle w:val="FootnoteText"/>
        <w:spacing w:after="60"/>
      </w:pPr>
      <w:r>
        <w:rPr>
          <w:rStyle w:val="FootnoteReference"/>
        </w:rPr>
        <w:footnoteRef/>
      </w:r>
      <w:r>
        <w:tab/>
        <w:t xml:space="preserve">Communication de la Commission intitulée «Union de l’égalité: Stratégie en faveur des droits des personnes handicapées </w:t>
      </w:r>
      <w:r w:rsidRPr="002C3F74">
        <w:t>2021</w:t>
      </w:r>
      <w:r>
        <w:t>-</w:t>
      </w:r>
      <w:r w:rsidRPr="002C3F74">
        <w:t>2030</w:t>
      </w:r>
      <w:r>
        <w:t>» [COM(</w:t>
      </w:r>
      <w:r w:rsidRPr="002C3F74">
        <w:t>2021</w:t>
      </w:r>
      <w:r>
        <w:t xml:space="preserve">) </w:t>
      </w:r>
      <w:r w:rsidRPr="002C3F74">
        <w:t>101</w:t>
      </w:r>
      <w:r>
        <w:t xml:space="preserve"> final].</w:t>
      </w:r>
    </w:p>
  </w:footnote>
  <w:footnote w:id="22">
    <w:p w14:paraId="345C2849" w14:textId="77777777" w:rsidR="00053564" w:rsidRPr="00630322" w:rsidRDefault="00053564">
      <w:pPr>
        <w:pStyle w:val="FootnoteText"/>
        <w:spacing w:after="60"/>
      </w:pPr>
      <w:r>
        <w:rPr>
          <w:rStyle w:val="FootnoteReference"/>
        </w:rPr>
        <w:footnoteRef/>
      </w:r>
      <w:r>
        <w:tab/>
        <w:t xml:space="preserve">Communication de la Commission intitulée «Plan d’action en faveur de l’intégration et de l’inclusion pour la période </w:t>
      </w:r>
      <w:r w:rsidRPr="002C3F74">
        <w:t>2021</w:t>
      </w:r>
      <w:r>
        <w:t>-</w:t>
      </w:r>
      <w:r w:rsidRPr="002C3F74">
        <w:t>2027</w:t>
      </w:r>
      <w:r>
        <w:t>» [COM(</w:t>
      </w:r>
      <w:r w:rsidRPr="002C3F74">
        <w:t>2020</w:t>
      </w:r>
      <w:r>
        <w:t>) </w:t>
      </w:r>
      <w:r w:rsidRPr="002C3F74">
        <w:t>758</w:t>
      </w:r>
      <w:r>
        <w:t>].</w:t>
      </w:r>
    </w:p>
  </w:footnote>
  <w:footnote w:id="23">
    <w:p w14:paraId="46E45874" w14:textId="298EB027" w:rsidR="00E819B8" w:rsidRPr="006719DD" w:rsidRDefault="00E819B8" w:rsidP="006719DD">
      <w:pPr>
        <w:pStyle w:val="FootnoteText"/>
        <w:spacing w:after="60"/>
      </w:pPr>
      <w:r>
        <w:rPr>
          <w:rStyle w:val="FootnoteReference"/>
        </w:rPr>
        <w:footnoteRef/>
      </w:r>
      <w:r>
        <w:tab/>
        <w:t xml:space="preserve">L’instrument d’appui technique est un instrument qui est disponible à la demande des États membres. Règlement (UE) </w:t>
      </w:r>
      <w:r w:rsidRPr="002C3F74">
        <w:t>2021</w:t>
      </w:r>
      <w:r>
        <w:t>/</w:t>
      </w:r>
      <w:r w:rsidRPr="002C3F74">
        <w:t>240</w:t>
      </w:r>
      <w:r>
        <w:t xml:space="preserve"> du Parlement européen et du Conseil du </w:t>
      </w:r>
      <w:r w:rsidRPr="002C3F74">
        <w:t>10</w:t>
      </w:r>
      <w:r>
        <w:t xml:space="preserve"> février </w:t>
      </w:r>
      <w:r w:rsidRPr="002C3F74">
        <w:t>2021</w:t>
      </w:r>
      <w:r>
        <w:t xml:space="preserve"> établissant un instrument d’appui technique (JO L </w:t>
      </w:r>
      <w:r w:rsidRPr="002C3F74">
        <w:t>57</w:t>
      </w:r>
      <w:r>
        <w:t xml:space="preserve"> du </w:t>
      </w:r>
      <w:r w:rsidRPr="002C3F74">
        <w:t>18</w:t>
      </w:r>
      <w:r>
        <w:t>.</w:t>
      </w:r>
      <w:r w:rsidRPr="002C3F74">
        <w:t>2</w:t>
      </w:r>
      <w:r>
        <w:t>.</w:t>
      </w:r>
      <w:r w:rsidRPr="002C3F74">
        <w:t>2021</w:t>
      </w:r>
      <w:r>
        <w:t>, p. </w:t>
      </w:r>
      <w:r w:rsidRPr="002C3F74">
        <w:t>1</w:t>
      </w:r>
      <w:r>
        <w:t>).</w:t>
      </w:r>
    </w:p>
  </w:footnote>
  <w:footnote w:id="24">
    <w:p w14:paraId="6150FB06" w14:textId="4FAFED16" w:rsidR="001A5679" w:rsidRPr="00630322" w:rsidRDefault="001A5679" w:rsidP="006719DD">
      <w:pPr>
        <w:pStyle w:val="FootnoteText"/>
        <w:spacing w:after="60"/>
      </w:pPr>
      <w:r>
        <w:rPr>
          <w:vertAlign w:val="superscript"/>
        </w:rPr>
        <w:footnoteRef/>
      </w:r>
      <w:r>
        <w:tab/>
        <w:t>Les projets relatifs à l’objectif «zéro chômage de longue durée» visent à lutter contre le chômage de longue durée en mettant en œuvre des stratégies ciblées via la création d’emploi, la «garantie emploi» et les réseaux de soutien communautaire, afin d’offrir des perspectives d’emploi durables pour tous, en particulier les personnes âgées, au sein de la communité ou de la région ciblée.</w:t>
      </w:r>
    </w:p>
  </w:footnote>
  <w:footnote w:id="25">
    <w:p w14:paraId="230AC016" w14:textId="7E0E517C" w:rsidR="0D21381C" w:rsidRDefault="00E02AC2" w:rsidP="006719DD">
      <w:pPr>
        <w:spacing w:after="60"/>
        <w:ind w:left="357" w:hanging="357"/>
      </w:pPr>
      <w:r>
        <w:rPr>
          <w:sz w:val="20"/>
          <w:vertAlign w:val="superscript"/>
        </w:rPr>
        <w:footnoteRef/>
      </w:r>
      <w:r>
        <w:tab/>
      </w:r>
      <w:r>
        <w:rPr>
          <w:sz w:val="20"/>
        </w:rPr>
        <w:t xml:space="preserve">Recommandation du Conseil du </w:t>
      </w:r>
      <w:r w:rsidRPr="002C3F74">
        <w:rPr>
          <w:sz w:val="20"/>
        </w:rPr>
        <w:t>8</w:t>
      </w:r>
      <w:r>
        <w:rPr>
          <w:sz w:val="20"/>
        </w:rPr>
        <w:t xml:space="preserve"> décembre </w:t>
      </w:r>
      <w:r w:rsidRPr="002C3F74">
        <w:rPr>
          <w:sz w:val="20"/>
        </w:rPr>
        <w:t>2022</w:t>
      </w:r>
      <w:r>
        <w:rPr>
          <w:sz w:val="20"/>
        </w:rPr>
        <w:t xml:space="preserve"> concernant l’éducation et l’accueil de la petite enfance: les objectifs de Barcelone pour </w:t>
      </w:r>
      <w:r w:rsidRPr="002C3F74">
        <w:rPr>
          <w:sz w:val="20"/>
        </w:rPr>
        <w:t>2030</w:t>
      </w:r>
      <w:r>
        <w:rPr>
          <w:sz w:val="20"/>
        </w:rPr>
        <w:t xml:space="preserve"> (</w:t>
      </w:r>
      <w:r w:rsidRPr="002C3F74">
        <w:rPr>
          <w:sz w:val="20"/>
        </w:rPr>
        <w:t>2022</w:t>
      </w:r>
      <w:r>
        <w:rPr>
          <w:sz w:val="20"/>
        </w:rPr>
        <w:t xml:space="preserve">/C </w:t>
      </w:r>
      <w:r w:rsidRPr="002C3F74">
        <w:rPr>
          <w:sz w:val="20"/>
        </w:rPr>
        <w:t>484</w:t>
      </w:r>
      <w:r>
        <w:rPr>
          <w:sz w:val="20"/>
        </w:rPr>
        <w:t>/</w:t>
      </w:r>
      <w:r w:rsidRPr="002C3F74">
        <w:rPr>
          <w:sz w:val="20"/>
        </w:rPr>
        <w:t>01</w:t>
      </w:r>
      <w:r>
        <w:rPr>
          <w:sz w:val="20"/>
        </w:rPr>
        <w:t xml:space="preserve">). Voir également la recommandation du Conseil du </w:t>
      </w:r>
      <w:r w:rsidRPr="002C3F74">
        <w:rPr>
          <w:sz w:val="20"/>
        </w:rPr>
        <w:t>22</w:t>
      </w:r>
      <w:r>
        <w:rPr>
          <w:sz w:val="20"/>
        </w:rPr>
        <w:t xml:space="preserve"> mai </w:t>
      </w:r>
      <w:r w:rsidRPr="002C3F74">
        <w:rPr>
          <w:sz w:val="20"/>
        </w:rPr>
        <w:t>2019</w:t>
      </w:r>
      <w:r>
        <w:rPr>
          <w:sz w:val="20"/>
        </w:rPr>
        <w:t xml:space="preserve"> relative à des systèmes de qualité pour l’éducation et l’accueil de la petite enfance (</w:t>
      </w:r>
      <w:r w:rsidRPr="002C3F74">
        <w:rPr>
          <w:sz w:val="20"/>
        </w:rPr>
        <w:t>2019</w:t>
      </w:r>
      <w:r>
        <w:rPr>
          <w:sz w:val="20"/>
        </w:rPr>
        <w:t xml:space="preserve">/C </w:t>
      </w:r>
      <w:r w:rsidRPr="002C3F74">
        <w:rPr>
          <w:sz w:val="20"/>
        </w:rPr>
        <w:t>189</w:t>
      </w:r>
      <w:r>
        <w:rPr>
          <w:sz w:val="20"/>
        </w:rPr>
        <w:t>/</w:t>
      </w:r>
      <w:r w:rsidRPr="002C3F74">
        <w:rPr>
          <w:sz w:val="20"/>
        </w:rPr>
        <w:t>02</w:t>
      </w:r>
      <w:r>
        <w:rPr>
          <w:sz w:val="20"/>
        </w:rPr>
        <w:t>).</w:t>
      </w:r>
    </w:p>
  </w:footnote>
  <w:footnote w:id="26">
    <w:p w14:paraId="1ABB53FF" w14:textId="77777777" w:rsidR="00AD3F5E" w:rsidRPr="00630322" w:rsidRDefault="00AD3F5E" w:rsidP="006719DD">
      <w:pPr>
        <w:pStyle w:val="FootnoteText"/>
        <w:spacing w:after="60"/>
      </w:pPr>
      <w:r>
        <w:rPr>
          <w:rStyle w:val="FootnoteReference"/>
        </w:rPr>
        <w:footnoteRef/>
      </w:r>
      <w:r>
        <w:t xml:space="preserve"> Communication intitulée «Union de l’égalité intitulée: Stratégie en faveur des droits des personnes handicapées </w:t>
      </w:r>
      <w:r w:rsidRPr="002C3F74">
        <w:t>2021</w:t>
      </w:r>
      <w:r>
        <w:t>-</w:t>
      </w:r>
      <w:r w:rsidRPr="002C3F74">
        <w:t>2030</w:t>
      </w:r>
      <w:r>
        <w:t>» [COM(</w:t>
      </w:r>
      <w:r w:rsidRPr="002C3F74">
        <w:t>2021</w:t>
      </w:r>
      <w:r>
        <w:t>) </w:t>
      </w:r>
      <w:r w:rsidRPr="002C3F74">
        <w:t>101</w:t>
      </w:r>
      <w:r>
        <w:t xml:space="preserve"> final].</w:t>
      </w:r>
    </w:p>
  </w:footnote>
  <w:footnote w:id="27">
    <w:p w14:paraId="1F921144" w14:textId="266504D2" w:rsidR="00AD3F5E" w:rsidRPr="00595F02" w:rsidRDefault="380E93BF" w:rsidP="006719DD">
      <w:pPr>
        <w:pStyle w:val="FootnoteText"/>
        <w:spacing w:after="60"/>
      </w:pPr>
      <w:r>
        <w:rPr>
          <w:rStyle w:val="FootnoteReference"/>
        </w:rPr>
        <w:footnoteRef/>
      </w:r>
      <w:r>
        <w:t xml:space="preserve"> Recommandation du Conseil du </w:t>
      </w:r>
      <w:r w:rsidRPr="002C3F74">
        <w:t>30</w:t>
      </w:r>
      <w:r>
        <w:t xml:space="preserve"> janvier </w:t>
      </w:r>
      <w:r w:rsidRPr="002C3F74">
        <w:t>2023</w:t>
      </w:r>
      <w:r>
        <w:t xml:space="preserve"> relative à un revenu minimum adéquat pour garantir une inclusion active (</w:t>
      </w:r>
      <w:r w:rsidRPr="002C3F74">
        <w:t>2023</w:t>
      </w:r>
      <w:r>
        <w:t xml:space="preserve">/C </w:t>
      </w:r>
      <w:r w:rsidRPr="002C3F74">
        <w:t>41</w:t>
      </w:r>
      <w:r>
        <w:t>/</w:t>
      </w:r>
      <w:r w:rsidRPr="002C3F74">
        <w:t>01</w:t>
      </w:r>
      <w:r>
        <w:t>).</w:t>
      </w:r>
    </w:p>
  </w:footnote>
  <w:footnote w:id="28">
    <w:p w14:paraId="41AD16F3" w14:textId="0658FBA9" w:rsidR="00AD3F5E" w:rsidRPr="00630322" w:rsidRDefault="00AD3F5E" w:rsidP="006719DD">
      <w:pPr>
        <w:pStyle w:val="FootnoteText"/>
        <w:spacing w:after="60"/>
      </w:pPr>
      <w:r>
        <w:rPr>
          <w:rStyle w:val="FootnoteReference"/>
        </w:rPr>
        <w:footnoteRef/>
      </w:r>
      <w:r>
        <w:t xml:space="preserve"> Recommandation du Conseil du </w:t>
      </w:r>
      <w:r w:rsidRPr="002C3F74">
        <w:t>12</w:t>
      </w:r>
      <w:r>
        <w:t xml:space="preserve"> mars </w:t>
      </w:r>
      <w:r w:rsidRPr="002C3F74">
        <w:t>2021</w:t>
      </w:r>
      <w:r>
        <w:t xml:space="preserve"> sur l’égalité, l’inclusion et la participation des Roms (</w:t>
      </w:r>
      <w:r w:rsidRPr="002C3F74">
        <w:t>2021</w:t>
      </w:r>
      <w:r>
        <w:t xml:space="preserve">/C </w:t>
      </w:r>
      <w:r w:rsidRPr="002C3F74">
        <w:t>93</w:t>
      </w:r>
      <w:r>
        <w:t>/</w:t>
      </w:r>
      <w:r w:rsidRPr="002C3F74">
        <w:t>01</w:t>
      </w:r>
      <w:r>
        <w:t>).</w:t>
      </w:r>
    </w:p>
  </w:footnote>
  <w:footnote w:id="29">
    <w:p w14:paraId="3114647F" w14:textId="33FF508C" w:rsidR="000203F2" w:rsidRPr="00817673" w:rsidRDefault="000203F2" w:rsidP="000833C3">
      <w:pPr>
        <w:pStyle w:val="FootnoteText"/>
        <w:spacing w:after="60"/>
        <w:ind w:left="360" w:hanging="360"/>
      </w:pPr>
      <w:r>
        <w:rPr>
          <w:rStyle w:val="FootnoteReference"/>
        </w:rPr>
        <w:footnoteRef/>
      </w:r>
      <w:r>
        <w:tab/>
        <w:t>Confédération européenne des industries du bois (CEI-Bois), Confédération des associations nationales de l’hôtellerie, de la restauration, des cafés et établissements similaires de l’Union européenne et de l’espace économique européen (HOTREC), Comité syndical européen de l’éducation (CSEE), Fédération européenne des employeurs de l’éducation (FEEE).</w:t>
      </w:r>
    </w:p>
  </w:footnote>
  <w:footnote w:id="30">
    <w:p w14:paraId="2509AD79" w14:textId="1EBB2E61" w:rsidR="00134BF0" w:rsidRPr="00685828" w:rsidRDefault="00134BF0" w:rsidP="00766470">
      <w:pPr>
        <w:pStyle w:val="FootnoteText"/>
        <w:spacing w:after="60"/>
      </w:pPr>
      <w:r>
        <w:rPr>
          <w:rStyle w:val="FootnoteReference"/>
        </w:rPr>
        <w:footnoteRef/>
      </w:r>
      <w:r>
        <w:tab/>
        <w:t>Union européenne de l’artisanat et des petites et moyennes entreprises (SMEunited).</w:t>
      </w:r>
    </w:p>
  </w:footnote>
  <w:footnote w:id="31">
    <w:p w14:paraId="7F50D3E5" w14:textId="01314794" w:rsidR="00134BF0" w:rsidRPr="009D023F" w:rsidRDefault="00134BF0" w:rsidP="00766470">
      <w:pPr>
        <w:pStyle w:val="FootnoteText"/>
        <w:spacing w:after="60"/>
        <w:rPr>
          <w:lang w:val="en-US"/>
        </w:rPr>
      </w:pPr>
      <w:r>
        <w:rPr>
          <w:rStyle w:val="FootnoteReference"/>
        </w:rPr>
        <w:footnoteRef/>
      </w:r>
      <w:r w:rsidRPr="009D023F">
        <w:rPr>
          <w:lang w:val="en-US"/>
        </w:rPr>
        <w:tab/>
        <w:t>World Employment Confederation-Europe (WEC-Europe).</w:t>
      </w:r>
    </w:p>
  </w:footnote>
  <w:footnote w:id="32">
    <w:p w14:paraId="5ADDE955" w14:textId="77777777" w:rsidR="001E0108" w:rsidRPr="00595B12" w:rsidRDefault="001E0108" w:rsidP="006719DD">
      <w:pPr>
        <w:pStyle w:val="FootnoteText"/>
        <w:spacing w:after="60"/>
      </w:pPr>
      <w:r>
        <w:rPr>
          <w:rStyle w:val="FootnoteReference"/>
        </w:rPr>
        <w:footnoteRef/>
      </w:r>
      <w:r>
        <w:tab/>
        <w:t>Groupe européen des employeurs de la chimie (ECEG).</w:t>
      </w:r>
    </w:p>
  </w:footnote>
  <w:footnote w:id="33">
    <w:p w14:paraId="0E4D4683" w14:textId="67929488" w:rsidR="001E0108" w:rsidRPr="00595B12" w:rsidRDefault="001E0108" w:rsidP="006719DD">
      <w:pPr>
        <w:pStyle w:val="FootnoteText"/>
        <w:spacing w:after="60"/>
      </w:pPr>
      <w:r>
        <w:rPr>
          <w:rStyle w:val="FootnoteReference"/>
        </w:rPr>
        <w:footnoteRef/>
      </w:r>
      <w:r>
        <w:tab/>
        <w:t>HOTREC.</w:t>
      </w:r>
    </w:p>
  </w:footnote>
  <w:footnote w:id="34">
    <w:p w14:paraId="4596C0E5" w14:textId="20DAF872" w:rsidR="00134BF0" w:rsidRPr="00685828" w:rsidRDefault="00134BF0" w:rsidP="00766470">
      <w:pPr>
        <w:pStyle w:val="FootnoteText"/>
        <w:spacing w:after="60"/>
      </w:pPr>
      <w:r>
        <w:rPr>
          <w:rStyle w:val="FootnoteReference"/>
        </w:rPr>
        <w:footnoteRef/>
      </w:r>
      <w:r>
        <w:tab/>
        <w:t>SMEunited.</w:t>
      </w:r>
    </w:p>
  </w:footnote>
  <w:footnote w:id="35">
    <w:p w14:paraId="4372D899" w14:textId="77777777" w:rsidR="005B1979" w:rsidRPr="00685828" w:rsidRDefault="005B1979" w:rsidP="00766470">
      <w:pPr>
        <w:pStyle w:val="FootnoteText"/>
        <w:spacing w:after="60"/>
      </w:pPr>
      <w:r>
        <w:rPr>
          <w:rStyle w:val="FootnoteReference"/>
        </w:rPr>
        <w:footnoteRef/>
      </w:r>
      <w:r>
        <w:tab/>
        <w:t xml:space="preserve"> Confédération européenne des services de sécurité (CoESS) et Union internationale des syndicats (UNI-Europa), tel qu’annoncé dans leur déclaration commune sur la diversité, l’égalité, l’inclusion et la non-discrimination.</w:t>
      </w:r>
    </w:p>
  </w:footnote>
  <w:footnote w:id="36">
    <w:p w14:paraId="27EC4365" w14:textId="77777777" w:rsidR="00FA5443" w:rsidRPr="004F15F4" w:rsidRDefault="00FA5443" w:rsidP="00766470">
      <w:pPr>
        <w:pStyle w:val="FootnoteText"/>
        <w:spacing w:after="60"/>
        <w:ind w:left="360" w:hanging="360"/>
      </w:pPr>
      <w:r>
        <w:rPr>
          <w:rStyle w:val="FootnoteReference"/>
        </w:rPr>
        <w:footnoteRef/>
      </w:r>
      <w:r>
        <w:tab/>
        <w:t>Communauté des chemins de fer européens (CCFE) et Fédération européenne des travailleurs des transports (ETF).</w:t>
      </w:r>
    </w:p>
  </w:footnote>
  <w:footnote w:id="37">
    <w:p w14:paraId="2A54EE3F" w14:textId="77777777" w:rsidR="008D38A9" w:rsidRPr="00630322" w:rsidRDefault="00AF075C" w:rsidP="00766470">
      <w:pPr>
        <w:pStyle w:val="FootnoteText"/>
        <w:spacing w:after="60"/>
        <w:ind w:left="360" w:hanging="360"/>
      </w:pPr>
      <w:r>
        <w:rPr>
          <w:rStyle w:val="FootnoteReference"/>
        </w:rPr>
        <w:footnoteRef/>
      </w:r>
      <w:r>
        <w:tab/>
        <w:t xml:space="preserve">Enquête Eurofound </w:t>
      </w:r>
      <w:r w:rsidRPr="002C3F74">
        <w:t>2019</w:t>
      </w:r>
      <w:r>
        <w:t xml:space="preserve"> sur les entreprises européennes.</w:t>
      </w:r>
    </w:p>
  </w:footnote>
  <w:footnote w:id="38">
    <w:p w14:paraId="1744AF58" w14:textId="77777777" w:rsidR="00182D8F" w:rsidRPr="00630322" w:rsidRDefault="00182D8F" w:rsidP="00766470">
      <w:pPr>
        <w:pStyle w:val="FootnoteText"/>
        <w:spacing w:after="60"/>
      </w:pPr>
      <w:r>
        <w:rPr>
          <w:rStyle w:val="FootnoteReference"/>
        </w:rPr>
        <w:footnoteRef/>
      </w:r>
      <w:r>
        <w:tab/>
        <w:t>Flash Eurobaromètre FL</w:t>
      </w:r>
      <w:r w:rsidRPr="002C3F74">
        <w:t>529</w:t>
      </w:r>
      <w:r>
        <w:t xml:space="preserve"> (</w:t>
      </w:r>
      <w:r w:rsidRPr="002C3F74">
        <w:t>2023</w:t>
      </w:r>
      <w:r>
        <w:t>). European Year of Skills – Skills shortages, recruitment and retention strategies in small and medium-sized enterprises (Année européenne des compétences – Pénuries de compétences, stratégies de recrutement et de fidélisation dans les petites et moyennes entreprises).</w:t>
      </w:r>
    </w:p>
  </w:footnote>
  <w:footnote w:id="39">
    <w:p w14:paraId="4B383322" w14:textId="77777777" w:rsidR="00EA17A5" w:rsidRPr="00987B13" w:rsidRDefault="00EA17A5" w:rsidP="00766470">
      <w:pPr>
        <w:pStyle w:val="FootnoteText"/>
        <w:spacing w:after="60"/>
        <w:ind w:left="360" w:hanging="360"/>
      </w:pPr>
      <w:r>
        <w:rPr>
          <w:rStyle w:val="FootnoteReference"/>
        </w:rPr>
        <w:footnoteRef/>
      </w:r>
      <w:r>
        <w:tab/>
        <w:t>Rapport de la Commission au Parlement européen et au Conseil intitulé «Progrès réalisés en matière de compétitivité des énergies propres» [COM(</w:t>
      </w:r>
      <w:r w:rsidRPr="002C3F74">
        <w:t>2023</w:t>
      </w:r>
      <w:r>
        <w:t xml:space="preserve">) </w:t>
      </w:r>
      <w:r w:rsidRPr="002C3F74">
        <w:t>652</w:t>
      </w:r>
      <w:r>
        <w:t xml:space="preserve"> final].</w:t>
      </w:r>
    </w:p>
  </w:footnote>
  <w:footnote w:id="40">
    <w:p w14:paraId="460E876D" w14:textId="77777777" w:rsidR="00EA17A5" w:rsidRPr="00893040" w:rsidRDefault="00EA17A5" w:rsidP="00766470">
      <w:pPr>
        <w:pStyle w:val="FootnoteText"/>
        <w:spacing w:after="60"/>
        <w:ind w:left="360" w:hanging="360"/>
      </w:pPr>
      <w:r>
        <w:rPr>
          <w:rStyle w:val="FootnoteReference"/>
        </w:rPr>
        <w:footnoteRef/>
      </w:r>
      <w:r>
        <w:tab/>
        <w:t>Communication de la Commission au Parlement européen, au Conseil européen, au Conseil, au Comité économique et social européen et au Comité des régions: Plan REPowerEU [COM(</w:t>
      </w:r>
      <w:r w:rsidRPr="002C3F74">
        <w:t>2022</w:t>
      </w:r>
      <w:r>
        <w:t xml:space="preserve">) </w:t>
      </w:r>
      <w:r w:rsidRPr="002C3F74">
        <w:t>230</w:t>
      </w:r>
      <w:r>
        <w:t xml:space="preserve"> final].</w:t>
      </w:r>
    </w:p>
  </w:footnote>
  <w:footnote w:id="41">
    <w:p w14:paraId="57827B3E" w14:textId="2D5B299F" w:rsidR="008D1617" w:rsidRPr="007D1241" w:rsidRDefault="008D1617" w:rsidP="006719DD">
      <w:pPr>
        <w:pStyle w:val="FootnoteText"/>
        <w:spacing w:after="60"/>
      </w:pPr>
      <w:r>
        <w:rPr>
          <w:rStyle w:val="FootnoteReference"/>
        </w:rPr>
        <w:footnoteRef/>
      </w:r>
      <w:r>
        <w:tab/>
        <w:t>«Impacts of circular economy policies on the labour market» (Effets des politiques de l’économie circulaire sur le marché du travail), Office des publications de l’UE.</w:t>
      </w:r>
    </w:p>
  </w:footnote>
  <w:footnote w:id="42">
    <w:p w14:paraId="6D97693C" w14:textId="77777777" w:rsidR="00CC2865" w:rsidRPr="00987B13" w:rsidRDefault="00CC2865" w:rsidP="00766470">
      <w:pPr>
        <w:pStyle w:val="FootnoteText"/>
        <w:spacing w:after="60"/>
        <w:ind w:left="360" w:hanging="360"/>
      </w:pPr>
      <w:r>
        <w:rPr>
          <w:rStyle w:val="FootnoteReference"/>
        </w:rPr>
        <w:footnoteRef/>
      </w:r>
      <w:r>
        <w:tab/>
        <w:t>Rapport de la Commission au Parlement européen et au Conseil intitulé «Progrès réalisés en matière de compétitivité des énergies propres» [COM(</w:t>
      </w:r>
      <w:r w:rsidRPr="002C3F74">
        <w:t>2023</w:t>
      </w:r>
      <w:r>
        <w:t xml:space="preserve">) </w:t>
      </w:r>
      <w:r w:rsidRPr="002C3F74">
        <w:t>652</w:t>
      </w:r>
      <w:r>
        <w:t xml:space="preserve"> final].</w:t>
      </w:r>
    </w:p>
  </w:footnote>
  <w:footnote w:id="43">
    <w:p w14:paraId="1246A4A5" w14:textId="0663E1DC" w:rsidR="00033CE3" w:rsidRPr="005A00C9" w:rsidRDefault="00033CE3" w:rsidP="00766470">
      <w:pPr>
        <w:pStyle w:val="FootnoteText"/>
        <w:spacing w:after="60"/>
      </w:pPr>
      <w:r>
        <w:rPr>
          <w:rStyle w:val="FootnoteReference"/>
        </w:rPr>
        <w:footnoteRef/>
      </w:r>
      <w:r>
        <w:tab/>
        <w:t xml:space="preserve">Des investissements à cet égard sont encouragés par la proposition de législation relative à l’intelligence artificielle, le programme d’action pour la décennie numérique </w:t>
      </w:r>
      <w:r w:rsidRPr="002C3F74">
        <w:t>2030</w:t>
      </w:r>
      <w:r>
        <w:t>, la communication de la Commission intitulée «Remédier à la pénurie de talents dans le secteur de la cybersécurité pour renforcer la compétitivité, la croissance et la résilience de l’UE», la recommandation du Conseil relative à l’amélioration de la transmission des compétences numériques dans l’éducation et la formation, le programme pour une Europe numérique, le train de mesures sur l’innovation en matière d’IA et certains projets des centres d’excellence professionnelle.</w:t>
      </w:r>
    </w:p>
  </w:footnote>
  <w:footnote w:id="44">
    <w:p w14:paraId="3C760C79" w14:textId="40DC75CF" w:rsidR="3441A5B5" w:rsidRDefault="47FAA117" w:rsidP="006719DD">
      <w:pPr>
        <w:spacing w:after="60"/>
        <w:rPr>
          <w:sz w:val="20"/>
        </w:rPr>
      </w:pPr>
      <w:r>
        <w:rPr>
          <w:sz w:val="20"/>
          <w:vertAlign w:val="superscript"/>
        </w:rPr>
        <w:footnoteRef/>
      </w:r>
      <w:r>
        <w:rPr>
          <w:sz w:val="20"/>
        </w:rPr>
        <w:t xml:space="preserve"> Enquête de l’UE sur l’utilisation des TIC et le commerce en ligne dans les entreprises.</w:t>
      </w:r>
    </w:p>
  </w:footnote>
  <w:footnote w:id="45">
    <w:p w14:paraId="6F351609" w14:textId="3CFE5441" w:rsidR="00D757CD" w:rsidRPr="00987B13" w:rsidRDefault="00D757CD" w:rsidP="00766470">
      <w:pPr>
        <w:pStyle w:val="FootnoteText"/>
        <w:spacing w:after="60"/>
        <w:ind w:left="360" w:hanging="360"/>
      </w:pPr>
      <w:r>
        <w:rPr>
          <w:rStyle w:val="FootnoteReference"/>
        </w:rPr>
        <w:footnoteRef/>
      </w:r>
      <w:r>
        <w:tab/>
        <w:t>Commission européenne (</w:t>
      </w:r>
      <w:r w:rsidRPr="002C3F74">
        <w:t>2023</w:t>
      </w:r>
      <w:r>
        <w:t xml:space="preserve">), «Employment and Social Developments in Europe. Annual Review </w:t>
      </w:r>
      <w:r w:rsidRPr="002C3F74">
        <w:t>2023</w:t>
      </w:r>
      <w:r>
        <w:t xml:space="preserve">» (Rapport annuel de </w:t>
      </w:r>
      <w:r w:rsidRPr="002C3F74">
        <w:t>2023</w:t>
      </w:r>
      <w:r>
        <w:t xml:space="preserve"> sur l’évolution de l’emploi et de la situation sociale en Europe).</w:t>
      </w:r>
    </w:p>
  </w:footnote>
  <w:footnote w:id="46">
    <w:p w14:paraId="717B219E" w14:textId="58E16074" w:rsidR="00E80687" w:rsidRPr="00742E67" w:rsidRDefault="00E80687" w:rsidP="00766470">
      <w:pPr>
        <w:pStyle w:val="FootnoteText"/>
        <w:spacing w:after="60"/>
      </w:pPr>
      <w:r>
        <w:rPr>
          <w:rStyle w:val="FootnoteReference"/>
        </w:rPr>
        <w:footnoteRef/>
      </w:r>
      <w:r>
        <w:tab/>
        <w:t>Communication conjointe de la Commission au Parlement européen, au Conseil européen, au Conseil, au Comité économique et social européen et au Comité des régions sur une nouvelle stratégie pour l’industrie européenne de la défense [JOIN(</w:t>
      </w:r>
      <w:r w:rsidRPr="002C3F74">
        <w:t>2024</w:t>
      </w:r>
      <w:r>
        <w:t xml:space="preserve">) </w:t>
      </w:r>
      <w:r w:rsidRPr="002C3F74">
        <w:t>10</w:t>
      </w:r>
      <w:r>
        <w:t xml:space="preserve"> final].</w:t>
      </w:r>
    </w:p>
  </w:footnote>
  <w:footnote w:id="47">
    <w:p w14:paraId="162D15F7" w14:textId="12BCD868" w:rsidR="0041391E" w:rsidRPr="00630322" w:rsidRDefault="0041391E" w:rsidP="00766470">
      <w:pPr>
        <w:pStyle w:val="FootnoteText"/>
        <w:spacing w:after="60"/>
        <w:ind w:left="360" w:hanging="360"/>
      </w:pPr>
      <w:r>
        <w:rPr>
          <w:rStyle w:val="FootnoteReference"/>
        </w:rPr>
        <w:footnoteRef/>
      </w:r>
      <w:r>
        <w:tab/>
        <w:t xml:space="preserve">D’après les données PISA les plus récentes, la part des jeunes (de moins de </w:t>
      </w:r>
      <w:r w:rsidRPr="002C3F74">
        <w:t>15</w:t>
      </w:r>
      <w:r>
        <w:t xml:space="preserve"> ans) ayant un niveau très faible dans ces compétences de base est passée, pour les mathématiques, de </w:t>
      </w:r>
      <w:r w:rsidRPr="002C3F74">
        <w:t>22</w:t>
      </w:r>
      <w:r>
        <w:t>,</w:t>
      </w:r>
      <w:r w:rsidRPr="002C3F74">
        <w:t>9</w:t>
      </w:r>
      <w:r>
        <w:t> % en </w:t>
      </w:r>
      <w:r w:rsidRPr="002C3F74">
        <w:t>2018</w:t>
      </w:r>
      <w:r>
        <w:t xml:space="preserve"> à </w:t>
      </w:r>
      <w:r w:rsidRPr="002C3F74">
        <w:t>29</w:t>
      </w:r>
      <w:r>
        <w:t>,</w:t>
      </w:r>
      <w:r w:rsidRPr="002C3F74">
        <w:t>5</w:t>
      </w:r>
      <w:r>
        <w:t> % en </w:t>
      </w:r>
      <w:r w:rsidRPr="002C3F74">
        <w:t>2022</w:t>
      </w:r>
      <w:r>
        <w:t xml:space="preserve"> (https://www.oecd.org/publication/resultats-du-pisa-</w:t>
      </w:r>
      <w:r w:rsidRPr="002C3F74">
        <w:t>2022</w:t>
      </w:r>
      <w:r>
        <w:t>/).</w:t>
      </w:r>
    </w:p>
  </w:footnote>
  <w:footnote w:id="48">
    <w:p w14:paraId="37ED3B2C" w14:textId="49B3C654" w:rsidR="002267DA" w:rsidRPr="00630322" w:rsidRDefault="002267DA" w:rsidP="00766470">
      <w:pPr>
        <w:pStyle w:val="FootnoteText"/>
        <w:spacing w:after="60"/>
        <w:ind w:left="360" w:hanging="360"/>
      </w:pPr>
      <w:r>
        <w:rPr>
          <w:rStyle w:val="FootnoteReference"/>
        </w:rPr>
        <w:footnoteRef/>
      </w:r>
      <w:r>
        <w:tab/>
        <w:t>Communication de la Commission relative à la réalisation d’un espace européen de l’éducation d’ici à </w:t>
      </w:r>
      <w:r w:rsidRPr="002C3F74">
        <w:t>2025</w:t>
      </w:r>
      <w:r>
        <w:t xml:space="preserve"> [COM(</w:t>
      </w:r>
      <w:r w:rsidRPr="002C3F74">
        <w:t>2020</w:t>
      </w:r>
      <w:r>
        <w:t xml:space="preserve">) </w:t>
      </w:r>
      <w:r w:rsidRPr="002C3F74">
        <w:t>625</w:t>
      </w:r>
      <w:r>
        <w:t xml:space="preserve"> final] et résolution du Conseil du </w:t>
      </w:r>
      <w:r w:rsidRPr="002C3F74">
        <w:t>26</w:t>
      </w:r>
      <w:r>
        <w:t xml:space="preserve"> février </w:t>
      </w:r>
      <w:r w:rsidRPr="002C3F74">
        <w:t>2021</w:t>
      </w:r>
      <w:r>
        <w:t xml:space="preserve"> relative à un cadre stratégique pour la coopération européenne dans le domaine de l’éducation et de la formation, dans la perspective de l’espace européen de l’éducation et au-delà (</w:t>
      </w:r>
      <w:r w:rsidRPr="002C3F74">
        <w:t>2021</w:t>
      </w:r>
      <w:r>
        <w:t>-</w:t>
      </w:r>
      <w:r w:rsidRPr="002C3F74">
        <w:t>2030</w:t>
      </w:r>
      <w:r>
        <w:t>) (</w:t>
      </w:r>
      <w:r w:rsidRPr="002C3F74">
        <w:t>2021</w:t>
      </w:r>
      <w:r>
        <w:t xml:space="preserve">/C </w:t>
      </w:r>
      <w:r w:rsidRPr="002C3F74">
        <w:t>66</w:t>
      </w:r>
      <w:r>
        <w:t>/</w:t>
      </w:r>
      <w:r w:rsidRPr="002C3F74">
        <w:t>01</w:t>
      </w:r>
      <w:r>
        <w:t>).</w:t>
      </w:r>
    </w:p>
  </w:footnote>
  <w:footnote w:id="49">
    <w:p w14:paraId="6D506267" w14:textId="689BCA2B" w:rsidR="009D073E" w:rsidRPr="00630322" w:rsidRDefault="009D073E" w:rsidP="00766470">
      <w:pPr>
        <w:pStyle w:val="FootnoteText"/>
        <w:spacing w:after="60"/>
        <w:ind w:left="360" w:hanging="360"/>
      </w:pPr>
      <w:r>
        <w:rPr>
          <w:rStyle w:val="FootnoteReference"/>
        </w:rPr>
        <w:footnoteRef/>
      </w:r>
      <w:r>
        <w:tab/>
        <w:t>Commission européenne, Direction générale de l’éducation, de la jeunesse, du sport et de la culture, Réseau d’experts européens en matière d’économie de l’éducation, Algan, Y., Brunello, G., Goreichy, E., Hristova, A., (</w:t>
      </w:r>
      <w:r w:rsidRPr="002C3F74">
        <w:t>2021</w:t>
      </w:r>
      <w:r>
        <w:t>), «Boosting social and economic resilience in Europe by investing in education» (Stimuler la résilience sociale et économique de l’Europe en investissant dans l’enseignement). Rapport analytique de l’EENEE Nº </w:t>
      </w:r>
      <w:r w:rsidRPr="002C3F74">
        <w:t>42</w:t>
      </w:r>
      <w:r>
        <w:t>, Office des publications de l’UE, Luxembourg.</w:t>
      </w:r>
    </w:p>
  </w:footnote>
  <w:footnote w:id="50">
    <w:p w14:paraId="4E24CAB1" w14:textId="6C510F68" w:rsidR="002D1ED9" w:rsidRPr="00630322" w:rsidRDefault="002D1ED9" w:rsidP="007D5FDB">
      <w:pPr>
        <w:pStyle w:val="FootnoteText"/>
        <w:spacing w:after="60"/>
        <w:ind w:left="360" w:hanging="360"/>
      </w:pPr>
      <w:r>
        <w:rPr>
          <w:rStyle w:val="FootnoteReference"/>
        </w:rPr>
        <w:footnoteRef/>
      </w:r>
      <w:r>
        <w:tab/>
        <w:t>Communication de la Commission intitulée «Plan d’action sur le socle européen des droits sociaux» [COM(</w:t>
      </w:r>
      <w:r w:rsidRPr="002C3F74">
        <w:t>2021</w:t>
      </w:r>
      <w:r>
        <w:t xml:space="preserve">) </w:t>
      </w:r>
      <w:r w:rsidRPr="002C3F74">
        <w:t>102</w:t>
      </w:r>
      <w:r>
        <w:t xml:space="preserve"> final].</w:t>
      </w:r>
    </w:p>
  </w:footnote>
  <w:footnote w:id="51">
    <w:p w14:paraId="6C47B515" w14:textId="794BDD63" w:rsidR="00E14E27" w:rsidRPr="00630322" w:rsidRDefault="00E14E27" w:rsidP="007D5FDB">
      <w:pPr>
        <w:pStyle w:val="FootnoteText"/>
        <w:spacing w:after="60"/>
        <w:ind w:left="360" w:hanging="360"/>
      </w:pPr>
      <w:r>
        <w:rPr>
          <w:rStyle w:val="FootnoteReference"/>
        </w:rPr>
        <w:footnoteRef/>
      </w:r>
      <w:r>
        <w:t xml:space="preserve"> </w:t>
      </w:r>
      <w:r>
        <w:tab/>
        <w:t xml:space="preserve">Communication de la Commission du </w:t>
      </w:r>
      <w:r w:rsidRPr="002C3F74">
        <w:t>1</w:t>
      </w:r>
      <w:r>
        <w:rPr>
          <w:vertAlign w:val="superscript"/>
        </w:rPr>
        <w:t>er</w:t>
      </w:r>
      <w:r>
        <w:t xml:space="preserve"> juillet </w:t>
      </w:r>
      <w:r w:rsidRPr="002C3F74">
        <w:t>2020</w:t>
      </w:r>
      <w:r>
        <w:t xml:space="preserve"> intitulée «Stratégie européenne en matière de compétences en faveur de la compétitivité durable, de l’équité sociale et de la résilience» [COM(</w:t>
      </w:r>
      <w:r w:rsidRPr="002C3F74">
        <w:t>2020</w:t>
      </w:r>
      <w:r>
        <w:t>) </w:t>
      </w:r>
      <w:r w:rsidRPr="002C3F74">
        <w:t>274</w:t>
      </w:r>
      <w:r>
        <w:t xml:space="preserve"> final].</w:t>
      </w:r>
    </w:p>
  </w:footnote>
  <w:footnote w:id="52">
    <w:p w14:paraId="15FAE509" w14:textId="6E7909E3" w:rsidR="00E14E27" w:rsidRPr="00630322" w:rsidRDefault="00E14E27" w:rsidP="007D5FDB">
      <w:pPr>
        <w:pStyle w:val="FootnoteText"/>
        <w:spacing w:after="60"/>
        <w:ind w:left="360" w:hanging="360"/>
      </w:pPr>
      <w:r>
        <w:rPr>
          <w:rStyle w:val="FootnoteReference"/>
        </w:rPr>
        <w:footnoteRef/>
      </w:r>
      <w:r>
        <w:tab/>
        <w:t xml:space="preserve">Recommandation du Conseil du </w:t>
      </w:r>
      <w:r w:rsidRPr="002C3F74">
        <w:t>16</w:t>
      </w:r>
      <w:r>
        <w:t xml:space="preserve"> juin </w:t>
      </w:r>
      <w:r w:rsidRPr="002C3F74">
        <w:t>2022</w:t>
      </w:r>
      <w:r>
        <w:t xml:space="preserve"> relative aux comptes de formation individuels (</w:t>
      </w:r>
      <w:r w:rsidRPr="002C3F74">
        <w:t>2022</w:t>
      </w:r>
      <w:r>
        <w:t>/C </w:t>
      </w:r>
      <w:r w:rsidRPr="002C3F74">
        <w:t>243</w:t>
      </w:r>
      <w:r>
        <w:t>/</w:t>
      </w:r>
      <w:r w:rsidRPr="002C3F74">
        <w:t>03</w:t>
      </w:r>
      <w:r>
        <w:t>).</w:t>
      </w:r>
    </w:p>
  </w:footnote>
  <w:footnote w:id="53">
    <w:p w14:paraId="55314E3B" w14:textId="347D2B19" w:rsidR="00E14E27" w:rsidRPr="00630322" w:rsidRDefault="00E14E27" w:rsidP="007D5FDB">
      <w:pPr>
        <w:pStyle w:val="FootnoteText"/>
        <w:spacing w:after="60"/>
        <w:ind w:left="360" w:hanging="360"/>
      </w:pPr>
      <w:r>
        <w:rPr>
          <w:rStyle w:val="FootnoteReference"/>
        </w:rPr>
        <w:footnoteRef/>
      </w:r>
      <w:r>
        <w:tab/>
        <w:t xml:space="preserve">Recommandation du Conseil du </w:t>
      </w:r>
      <w:r w:rsidRPr="002C3F74">
        <w:t>16</w:t>
      </w:r>
      <w:r>
        <w:t xml:space="preserve"> juin </w:t>
      </w:r>
      <w:r w:rsidRPr="002C3F74">
        <w:t>2022</w:t>
      </w:r>
      <w:r>
        <w:t xml:space="preserve"> sur une approche européenne des microcertifications pour l’apprentissage tout au long de la vie et l’employabilité (</w:t>
      </w:r>
      <w:r w:rsidRPr="002C3F74">
        <w:t>2022</w:t>
      </w:r>
      <w:r>
        <w:t xml:space="preserve">/C </w:t>
      </w:r>
      <w:r w:rsidRPr="002C3F74">
        <w:t>243</w:t>
      </w:r>
      <w:r>
        <w:t>/</w:t>
      </w:r>
      <w:r w:rsidRPr="002C3F74">
        <w:t>02</w:t>
      </w:r>
      <w:r>
        <w:t>).</w:t>
      </w:r>
    </w:p>
  </w:footnote>
  <w:footnote w:id="54">
    <w:p w14:paraId="5F92FD9B" w14:textId="40EB2BA2" w:rsidR="00E14E27" w:rsidRPr="00630322" w:rsidRDefault="00E14E27" w:rsidP="007D5FDB">
      <w:pPr>
        <w:pStyle w:val="FootnoteText"/>
        <w:spacing w:after="60"/>
        <w:ind w:left="360" w:hanging="360"/>
      </w:pPr>
      <w:r>
        <w:rPr>
          <w:rStyle w:val="FootnoteReference"/>
        </w:rPr>
        <w:footnoteRef/>
      </w:r>
      <w:r>
        <w:tab/>
        <w:t xml:space="preserve">Recommandation du Conseil du </w:t>
      </w:r>
      <w:r w:rsidRPr="002C3F74">
        <w:t>19</w:t>
      </w:r>
      <w:r>
        <w:t xml:space="preserve"> décembre </w:t>
      </w:r>
      <w:r w:rsidRPr="002C3F74">
        <w:t>2016</w:t>
      </w:r>
      <w:r>
        <w:t xml:space="preserve"> relative à des parcours de renforcement des compétences: de nouvelles perspectives pour les adultes (</w:t>
      </w:r>
      <w:r w:rsidRPr="002C3F74">
        <w:t>2016</w:t>
      </w:r>
      <w:r>
        <w:t xml:space="preserve">/C </w:t>
      </w:r>
      <w:r w:rsidRPr="002C3F74">
        <w:t>484</w:t>
      </w:r>
      <w:r>
        <w:t>/</w:t>
      </w:r>
      <w:r w:rsidRPr="002C3F74">
        <w:t>01</w:t>
      </w:r>
      <w:r>
        <w:t>).</w:t>
      </w:r>
    </w:p>
  </w:footnote>
  <w:footnote w:id="55">
    <w:p w14:paraId="5BFDA15D" w14:textId="58763CE6" w:rsidR="00134BF0" w:rsidRPr="00134BF0" w:rsidRDefault="00134BF0" w:rsidP="007D5FDB">
      <w:pPr>
        <w:pStyle w:val="FootnoteText"/>
        <w:spacing w:after="60"/>
      </w:pPr>
      <w:r>
        <w:rPr>
          <w:rStyle w:val="FootnoteReference"/>
        </w:rPr>
        <w:footnoteRef/>
      </w:r>
      <w:r>
        <w:tab/>
        <w:t xml:space="preserve">Recommandation du Conseil du </w:t>
      </w:r>
      <w:r w:rsidRPr="002C3F74">
        <w:t>24</w:t>
      </w:r>
      <w:r>
        <w:t xml:space="preserve"> novembre </w:t>
      </w:r>
      <w:r w:rsidRPr="002C3F74">
        <w:t>2020</w:t>
      </w:r>
      <w:r>
        <w:t xml:space="preserve"> en matière d’enseignement et de formation professionnels (EFP) en faveur de la compétitivité durable, de l’équité sociale et de la résilience (</w:t>
      </w:r>
      <w:r w:rsidRPr="002C3F74">
        <w:t>2020</w:t>
      </w:r>
      <w:r>
        <w:t>/C </w:t>
      </w:r>
      <w:r w:rsidRPr="002C3F74">
        <w:t>417</w:t>
      </w:r>
      <w:r>
        <w:t>/</w:t>
      </w:r>
      <w:r w:rsidRPr="002C3F74">
        <w:t>01</w:t>
      </w:r>
      <w:r>
        <w:t>).</w:t>
      </w:r>
    </w:p>
  </w:footnote>
  <w:footnote w:id="56">
    <w:p w14:paraId="0C361D35" w14:textId="5A3A7BD0" w:rsidR="00002718" w:rsidRPr="00FA500E" w:rsidRDefault="005B527D">
      <w:pPr>
        <w:pStyle w:val="FootnoteText"/>
      </w:pPr>
      <w:r>
        <w:rPr>
          <w:rStyle w:val="FootnoteReference"/>
        </w:rPr>
        <w:footnoteRef/>
      </w:r>
      <w:r>
        <w:tab/>
        <w:t>Communication de la Commission intitulée «Mettre à profit les talents dans les régions européennes» [COM (</w:t>
      </w:r>
      <w:r w:rsidRPr="002C3F74">
        <w:t>2023</w:t>
      </w:r>
      <w:r>
        <w:t>) </w:t>
      </w:r>
      <w:r w:rsidRPr="002C3F74">
        <w:t>32</w:t>
      </w:r>
      <w:r>
        <w:t xml:space="preserve"> final].</w:t>
      </w:r>
    </w:p>
  </w:footnote>
  <w:footnote w:id="57">
    <w:p w14:paraId="3A8C8661" w14:textId="1E11AF60" w:rsidR="00995B1E" w:rsidRPr="00630322" w:rsidRDefault="00995B1E" w:rsidP="007D5FDB">
      <w:pPr>
        <w:pStyle w:val="FootnoteText"/>
        <w:spacing w:after="60"/>
        <w:ind w:left="360" w:hanging="360"/>
      </w:pPr>
      <w:r>
        <w:rPr>
          <w:rStyle w:val="FootnoteReference"/>
        </w:rPr>
        <w:footnoteRef/>
      </w:r>
      <w:r>
        <w:tab/>
        <w:t xml:space="preserve">L’Alliance européenne pour les batteries (AEB) a été lancée en octobre </w:t>
      </w:r>
      <w:r w:rsidRPr="002C3F74">
        <w:t>2017</w:t>
      </w:r>
      <w:r>
        <w:t xml:space="preserve"> par la Commission européenne dans le but de faire de l’UE le leader mondial en matière de technologie des batteries durables. Coordonnée par l’Institut européen d’innovation et de technologie (EIT), cette alliance compte </w:t>
      </w:r>
      <w:r w:rsidRPr="002C3F74">
        <w:t>700</w:t>
      </w:r>
      <w:r>
        <w:t xml:space="preserve"> membres professionnels. L’académie européenne de l’alliance européenne pour les batteries, créée dans le cadre de l’AEB pour remédier aux pénuries de compétences dans la chaîne de valeur européenne des batteries, devrait former </w:t>
      </w:r>
      <w:r w:rsidRPr="002C3F74">
        <w:t>800</w:t>
      </w:r>
      <w:r>
        <w:t> </w:t>
      </w:r>
      <w:r w:rsidRPr="002C3F74">
        <w:t>000</w:t>
      </w:r>
      <w:r>
        <w:t> travailleurs d’ici </w:t>
      </w:r>
      <w:r w:rsidRPr="002C3F74">
        <w:t>2025</w:t>
      </w:r>
      <w:r>
        <w:t xml:space="preserve">. L’EIT dirigera également l’académie solaire photovoltaïque européenne, dont le lancement est prévu pour </w:t>
      </w:r>
      <w:r w:rsidRPr="002C3F74">
        <w:t>2024</w:t>
      </w:r>
      <w:r>
        <w:t xml:space="preserve">. </w:t>
      </w:r>
      <w:r>
        <w:rPr>
          <w:rStyle w:val="FootnoteTextChar"/>
        </w:rPr>
        <w:t>Le campus de l’EIT consolide le portefeuille d’initiatives en matière d’enseignement et de formation en proposant un guichet unique à même d’offrir aux apprenants et aux entreprises des parcours d’apprentissage souples pour le perfectionnement professionnel.</w:t>
      </w:r>
    </w:p>
  </w:footnote>
  <w:footnote w:id="58">
    <w:p w14:paraId="1B98C6BD" w14:textId="0401EE92" w:rsidR="004D137F" w:rsidRPr="00630322" w:rsidRDefault="004D137F" w:rsidP="007D5FDB">
      <w:pPr>
        <w:pStyle w:val="title-bold"/>
        <w:shd w:val="clear" w:color="auto" w:fill="FFFFFF"/>
        <w:spacing w:before="0" w:beforeAutospacing="0" w:after="60" w:afterAutospacing="0"/>
        <w:ind w:left="360" w:hanging="360"/>
        <w:jc w:val="both"/>
        <w:rPr>
          <w:sz w:val="20"/>
          <w:szCs w:val="20"/>
        </w:rPr>
      </w:pPr>
      <w:r>
        <w:rPr>
          <w:rStyle w:val="FootnoteReference"/>
          <w:sz w:val="20"/>
          <w:szCs w:val="20"/>
        </w:rPr>
        <w:footnoteRef/>
      </w:r>
      <w:r>
        <w:rPr>
          <w:sz w:val="20"/>
        </w:rPr>
        <w:tab/>
        <w:t>Proposition de règlement du Parlement européen et du Conseil relatif à l’établissement d’un cadre de mesures en vue de renforcer l’écosystème européen de la fabrication de produits de technologie «zéro net» (règlement pour une industrie «zéro net») [COM(</w:t>
      </w:r>
      <w:r w:rsidRPr="002C3F74">
        <w:rPr>
          <w:sz w:val="20"/>
        </w:rPr>
        <w:t>2023</w:t>
      </w:r>
      <w:r>
        <w:rPr>
          <w:sz w:val="20"/>
        </w:rPr>
        <w:t>) </w:t>
      </w:r>
      <w:r w:rsidRPr="002C3F74">
        <w:rPr>
          <w:sz w:val="20"/>
        </w:rPr>
        <w:t>161</w:t>
      </w:r>
      <w:r>
        <w:rPr>
          <w:sz w:val="20"/>
        </w:rPr>
        <w:t xml:space="preserve"> final].</w:t>
      </w:r>
    </w:p>
  </w:footnote>
  <w:footnote w:id="59">
    <w:p w14:paraId="39DD4BF8" w14:textId="2ED8540A" w:rsidR="00BB2C86" w:rsidRPr="006719DD" w:rsidRDefault="00BB2C86" w:rsidP="006719DD">
      <w:pPr>
        <w:pStyle w:val="FootnoteText"/>
        <w:spacing w:after="60"/>
      </w:pPr>
      <w:r>
        <w:rPr>
          <w:rStyle w:val="FootnoteReference"/>
        </w:rPr>
        <w:footnoteRef/>
      </w:r>
      <w:r>
        <w:tab/>
        <w:t xml:space="preserve">Les </w:t>
      </w:r>
      <w:hyperlink r:id="rId5" w:anchor="Job_vacancies:_online_job_advertisements" w:history="1">
        <w:r>
          <w:rPr>
            <w:rStyle w:val="Hyperlink"/>
          </w:rPr>
          <w:t>statistiques d’Eurostat sur les emplois vacants</w:t>
        </w:r>
      </w:hyperlink>
      <w:r>
        <w:t xml:space="preserve">, le </w:t>
      </w:r>
      <w:hyperlink r:id="rId6" w:history="1">
        <w:r>
          <w:rPr>
            <w:rStyle w:val="Hyperlink"/>
          </w:rPr>
          <w:t>«Web Intelligence Hub»</w:t>
        </w:r>
      </w:hyperlink>
      <w:r>
        <w:t xml:space="preserve"> </w:t>
      </w:r>
      <w:r w:rsidR="00A34FCE">
        <w:t xml:space="preserve">et </w:t>
      </w:r>
      <w:r>
        <w:t xml:space="preserve">l’outil </w:t>
      </w:r>
      <w:hyperlink r:id="rId7" w:history="1">
        <w:r>
          <w:rPr>
            <w:rStyle w:val="Hyperlink"/>
          </w:rPr>
          <w:t>«Skills-OVATE»</w:t>
        </w:r>
      </w:hyperlink>
      <w:r>
        <w:t>.</w:t>
      </w:r>
    </w:p>
  </w:footnote>
  <w:footnote w:id="60">
    <w:p w14:paraId="1AB914AB" w14:textId="1E68C52B" w:rsidR="007376C4" w:rsidRPr="00630322" w:rsidRDefault="00A05B75" w:rsidP="00766470">
      <w:pPr>
        <w:pStyle w:val="FootnoteText"/>
        <w:spacing w:after="60"/>
        <w:ind w:left="360" w:hanging="360"/>
      </w:pPr>
      <w:r>
        <w:rPr>
          <w:rStyle w:val="FootnoteReference"/>
        </w:rPr>
        <w:footnoteRef/>
      </w:r>
      <w:r>
        <w:tab/>
        <w:t>Dans ce contexte, les États membres sont invités à lancer des pactes nationaux et régionaux pour les compétences dans le domaine agroalimentaire afin de promouvoir la mise en œuvre de la stratégie en matière de perfectionnement et de reconversion professionnels à l’échelle de l’UE, conçue dans le cadre du partenariat général, dans le but de cibler au mieux les outils et de les adapter aux spécificités locales du secteur agricole.</w:t>
      </w:r>
    </w:p>
  </w:footnote>
  <w:footnote w:id="61">
    <w:p w14:paraId="28F2AA4E" w14:textId="277FC7E2" w:rsidR="00F25508" w:rsidRPr="004F15F4" w:rsidRDefault="00F25508" w:rsidP="00766470">
      <w:pPr>
        <w:pStyle w:val="FootnoteText"/>
        <w:spacing w:after="60"/>
        <w:ind w:left="360" w:hanging="360"/>
      </w:pPr>
      <w:r>
        <w:rPr>
          <w:rStyle w:val="FootnoteReference"/>
        </w:rPr>
        <w:footnoteRef/>
      </w:r>
      <w:r>
        <w:tab/>
        <w:t>Les centres d’excellence professionnelle (CEP) sont constitués de réseaux de partenaires qui construisent des «écosystèmes de compétences» locaux afin de doter les jeunes et les adultes de compétences professionnelles de haute qualité, et contribuent au développement régional, à l’innovation, aux pôles industriels, aux stratégies de spécialisation intelligente et à l’inclusion sociale.</w:t>
      </w:r>
    </w:p>
  </w:footnote>
  <w:footnote w:id="62">
    <w:p w14:paraId="6A372FFC" w14:textId="01FA8285" w:rsidR="004151B7" w:rsidRPr="00630322" w:rsidRDefault="004151B7" w:rsidP="007D5FDB">
      <w:pPr>
        <w:pStyle w:val="FootnoteText"/>
        <w:spacing w:after="60"/>
        <w:ind w:left="360" w:hanging="360"/>
      </w:pPr>
      <w:r>
        <w:rPr>
          <w:rStyle w:val="FootnoteReference"/>
        </w:rPr>
        <w:footnoteRef/>
      </w:r>
      <w:r>
        <w:t xml:space="preserve"> </w:t>
      </w:r>
      <w:r>
        <w:tab/>
        <w:t xml:space="preserve">La déclaration de Copenhague de </w:t>
      </w:r>
      <w:r w:rsidRPr="002C3F74">
        <w:t>2002</w:t>
      </w:r>
      <w:r>
        <w:t xml:space="preserve"> a consacré la stratégie européenne pour une coopération renforcée en matière d’EFP, communément appelée «processus de Copenhague». Le processus de Copenhague fournit une plateforme tripartite pour intensifier, compléter et rendre opérationnelle la politique de l’UE en matière d’EFP, par l’intermédiaire d’une série de déclarations. La déclaration actuelle, la déclaration d’Osnabrück, expire à la fin de </w:t>
      </w:r>
      <w:r w:rsidRPr="002C3F74">
        <w:t>2025</w:t>
      </w:r>
      <w:r>
        <w:t>.</w:t>
      </w:r>
    </w:p>
  </w:footnote>
  <w:footnote w:id="63">
    <w:p w14:paraId="58E41989" w14:textId="5426F1A3" w:rsidR="004955AC" w:rsidRPr="00630322" w:rsidRDefault="004955AC" w:rsidP="007D5FDB">
      <w:pPr>
        <w:pStyle w:val="FootnoteText"/>
        <w:spacing w:after="60"/>
        <w:ind w:left="360" w:hanging="360"/>
      </w:pPr>
      <w:r>
        <w:rPr>
          <w:rStyle w:val="FootnoteReference"/>
        </w:rPr>
        <w:footnoteRef/>
      </w:r>
      <w:r>
        <w:tab/>
        <w:t xml:space="preserve">Rapport de la Commission au Conseil intitulé «Évaluation de la recommandation du Conseil du </w:t>
      </w:r>
      <w:r w:rsidRPr="002C3F74">
        <w:t>19</w:t>
      </w:r>
      <w:r>
        <w:t xml:space="preserve"> décembre </w:t>
      </w:r>
      <w:r w:rsidRPr="002C3F74">
        <w:t>2016</w:t>
      </w:r>
      <w:r>
        <w:t xml:space="preserve"> relative à des parcours de renforcement des compétences: de nouvelles perspectives pour les adultes [COM(</w:t>
      </w:r>
      <w:r w:rsidRPr="002C3F74">
        <w:t>2023</w:t>
      </w:r>
      <w:r>
        <w:t>) </w:t>
      </w:r>
      <w:r w:rsidRPr="002C3F74">
        <w:t>439</w:t>
      </w:r>
      <w:r>
        <w:t xml:space="preserve"> final].</w:t>
      </w:r>
    </w:p>
  </w:footnote>
  <w:footnote w:id="64">
    <w:p w14:paraId="1539C228" w14:textId="7510DCBE" w:rsidR="00D9030D" w:rsidRPr="000B489E" w:rsidRDefault="00D9030D" w:rsidP="007D5FDB">
      <w:pPr>
        <w:pStyle w:val="FootnoteText"/>
        <w:spacing w:after="60"/>
      </w:pPr>
      <w:r>
        <w:rPr>
          <w:rStyle w:val="FootnoteReference"/>
        </w:rPr>
        <w:footnoteRef/>
      </w:r>
      <w:r>
        <w:tab/>
        <w:t>Par exemple dans le contexte du laboratoire d’apprentissage.</w:t>
      </w:r>
    </w:p>
  </w:footnote>
  <w:footnote w:id="65">
    <w:p w14:paraId="73874454" w14:textId="70505A2F" w:rsidR="00D9030D" w:rsidRPr="000B489E" w:rsidRDefault="00D9030D" w:rsidP="007D5FDB">
      <w:pPr>
        <w:pStyle w:val="FootnoteText"/>
        <w:spacing w:after="60"/>
      </w:pPr>
      <w:r>
        <w:rPr>
          <w:rStyle w:val="FootnoteReference"/>
        </w:rPr>
        <w:footnoteRef/>
      </w:r>
      <w:r>
        <w:tab/>
        <w:t>Représentation du commerce de gros, de détail et international auprès de l’Union européenne (EuroCommerce), Conseil des employeurs européens de la métallurgie, de l’ingénierie et de la technologie (CEEMET).</w:t>
      </w:r>
    </w:p>
  </w:footnote>
  <w:footnote w:id="66">
    <w:p w14:paraId="2755410E" w14:textId="4E2DAFA7" w:rsidR="00D9030D" w:rsidRPr="009D6E26" w:rsidRDefault="00D9030D" w:rsidP="007D5FDB">
      <w:pPr>
        <w:pStyle w:val="FootnoteText"/>
        <w:spacing w:after="60"/>
      </w:pPr>
      <w:r>
        <w:rPr>
          <w:rStyle w:val="FootnoteReference"/>
        </w:rPr>
        <w:footnoteRef/>
      </w:r>
      <w:r>
        <w:tab/>
        <w:t>HOTREC.</w:t>
      </w:r>
    </w:p>
  </w:footnote>
  <w:footnote w:id="67">
    <w:p w14:paraId="45D4CB09" w14:textId="2051643D" w:rsidR="00D9030D" w:rsidRPr="000B489E" w:rsidRDefault="00D9030D" w:rsidP="007D5FDB">
      <w:pPr>
        <w:pStyle w:val="FootnoteText"/>
        <w:spacing w:after="60"/>
      </w:pPr>
      <w:r>
        <w:rPr>
          <w:rStyle w:val="FootnoteReference"/>
        </w:rPr>
        <w:footnoteRef/>
      </w:r>
      <w:r>
        <w:tab/>
        <w:t>ECEG.</w:t>
      </w:r>
    </w:p>
  </w:footnote>
  <w:footnote w:id="68">
    <w:p w14:paraId="3424C9F2" w14:textId="193A4FF9" w:rsidR="00D9030D" w:rsidRPr="000B489E" w:rsidRDefault="00D9030D" w:rsidP="007D5FDB">
      <w:pPr>
        <w:pStyle w:val="FootnoteText"/>
        <w:spacing w:after="60"/>
      </w:pPr>
      <w:r>
        <w:rPr>
          <w:rStyle w:val="FootnoteReference"/>
        </w:rPr>
        <w:footnoteRef/>
      </w:r>
      <w:r>
        <w:tab/>
        <w:t>HOTREC.</w:t>
      </w:r>
    </w:p>
  </w:footnote>
  <w:footnote w:id="69">
    <w:p w14:paraId="71D72762" w14:textId="2F83185E" w:rsidR="00D9030D" w:rsidRPr="000B489E" w:rsidRDefault="00D9030D" w:rsidP="007D5FDB">
      <w:pPr>
        <w:pStyle w:val="FootnoteText"/>
        <w:spacing w:after="60"/>
      </w:pPr>
      <w:r>
        <w:rPr>
          <w:rStyle w:val="FootnoteReference"/>
        </w:rPr>
        <w:footnoteRef/>
      </w:r>
      <w:r>
        <w:tab/>
        <w:t>SMEunited, CEI-Bois.</w:t>
      </w:r>
    </w:p>
  </w:footnote>
  <w:footnote w:id="70">
    <w:p w14:paraId="660EBEC7" w14:textId="4243623E" w:rsidR="00D9030D" w:rsidRPr="000B489E" w:rsidRDefault="00D9030D" w:rsidP="007D5FDB">
      <w:pPr>
        <w:pStyle w:val="FootnoteText"/>
        <w:spacing w:after="60"/>
      </w:pPr>
      <w:r>
        <w:rPr>
          <w:rStyle w:val="FootnoteReference"/>
        </w:rPr>
        <w:footnoteRef/>
      </w:r>
      <w:r>
        <w:tab/>
        <w:t>CoESS.</w:t>
      </w:r>
    </w:p>
  </w:footnote>
  <w:footnote w:id="71">
    <w:p w14:paraId="78E5A1ED" w14:textId="51B891EF" w:rsidR="00D9030D" w:rsidRPr="00336803" w:rsidRDefault="00D9030D" w:rsidP="007D5FDB">
      <w:pPr>
        <w:pStyle w:val="FootnoteText"/>
        <w:spacing w:after="60"/>
      </w:pPr>
      <w:r>
        <w:rPr>
          <w:rStyle w:val="FootnoteReference"/>
        </w:rPr>
        <w:footnoteRef/>
      </w:r>
      <w:r>
        <w:tab/>
        <w:t>HOTREC, SMEunited.</w:t>
      </w:r>
    </w:p>
  </w:footnote>
  <w:footnote w:id="72">
    <w:p w14:paraId="359CBC87" w14:textId="49FA1BF8" w:rsidR="00D9030D" w:rsidRPr="000B489E" w:rsidRDefault="00D9030D" w:rsidP="007D5FDB">
      <w:pPr>
        <w:pStyle w:val="FootnoteText"/>
        <w:spacing w:after="60"/>
      </w:pPr>
      <w:r>
        <w:rPr>
          <w:rStyle w:val="FootnoteReference"/>
        </w:rPr>
        <w:footnoteRef/>
      </w:r>
      <w:r>
        <w:tab/>
        <w:t>Association d’entreprises fournissant des services d’intérêt général (SGI Europe), ECEG, Union européenne de la navigation fluviale et Organisation européenne des bateliers, Fondation européenne pour la formation (ETF) dans le domaine de la navigation maritime et intérieure.</w:t>
      </w:r>
    </w:p>
  </w:footnote>
  <w:footnote w:id="73">
    <w:p w14:paraId="6678ED02" w14:textId="4084E477" w:rsidR="00F53B42" w:rsidRPr="009F4AEC" w:rsidRDefault="00A05B75" w:rsidP="007D5FDB">
      <w:pPr>
        <w:pStyle w:val="FootnoteText"/>
        <w:spacing w:after="60"/>
      </w:pPr>
      <w:r>
        <w:rPr>
          <w:rStyle w:val="FootnoteReference"/>
        </w:rPr>
        <w:footnoteRef/>
      </w:r>
      <w:r>
        <w:tab/>
        <w:t>Projet inclus dans le pacte pour les compétences. Engagement conjoint de la Fédération européenne des employeurs sociaux (FEES) et de la Fédération syndicale européenne des services publics (FSESP).</w:t>
      </w:r>
    </w:p>
  </w:footnote>
  <w:footnote w:id="74">
    <w:p w14:paraId="1E7F5D4D" w14:textId="4B15D5BC" w:rsidR="00D9030D" w:rsidRPr="000B489E" w:rsidRDefault="00D9030D" w:rsidP="007D5FDB">
      <w:pPr>
        <w:pStyle w:val="FootnoteText"/>
        <w:spacing w:after="60"/>
      </w:pPr>
      <w:r>
        <w:rPr>
          <w:rStyle w:val="FootnoteReference"/>
        </w:rPr>
        <w:footnoteRef/>
      </w:r>
      <w:r>
        <w:tab/>
        <w:t>UNI-Europa et WEC.</w:t>
      </w:r>
    </w:p>
  </w:footnote>
  <w:footnote w:id="75">
    <w:p w14:paraId="3D5E1D1D" w14:textId="77777777" w:rsidR="001D5CB5" w:rsidRPr="00C73049" w:rsidRDefault="001D5CB5" w:rsidP="001D5CB5">
      <w:pPr>
        <w:pStyle w:val="FootnoteText"/>
      </w:pPr>
      <w:r>
        <w:rPr>
          <w:rStyle w:val="FootnoteReference"/>
        </w:rPr>
        <w:footnoteRef/>
      </w:r>
      <w:r>
        <w:tab/>
        <w:t>HOTREC et Fédération européenne des syndicats de l’alimentation, de l’agriculture et du tourisme (EFFAT).</w:t>
      </w:r>
    </w:p>
  </w:footnote>
  <w:footnote w:id="76">
    <w:p w14:paraId="172B118A" w14:textId="52ED1126" w:rsidR="00D9030D" w:rsidRPr="000B489E" w:rsidRDefault="00D9030D" w:rsidP="007D5FDB">
      <w:pPr>
        <w:pStyle w:val="FootnoteText"/>
        <w:spacing w:after="60"/>
      </w:pPr>
      <w:r>
        <w:rPr>
          <w:rStyle w:val="FootnoteReference"/>
        </w:rPr>
        <w:footnoteRef/>
      </w:r>
      <w:r>
        <w:tab/>
        <w:t>ECEG, engagement conjoint de la FEES et de la FSESP.</w:t>
      </w:r>
    </w:p>
  </w:footnote>
  <w:footnote w:id="77">
    <w:p w14:paraId="6510907D" w14:textId="77777777" w:rsidR="00221C0A" w:rsidRPr="00987B13" w:rsidRDefault="00221C0A" w:rsidP="007D5FDB">
      <w:pPr>
        <w:pStyle w:val="FootnoteText"/>
        <w:spacing w:after="60"/>
      </w:pPr>
      <w:r>
        <w:rPr>
          <w:rStyle w:val="FootnoteReference"/>
        </w:rPr>
        <w:footnoteRef/>
      </w:r>
      <w:r>
        <w:tab/>
        <w:t>Le stress au travail est une forme de stress psychosocial qui survient sur le lieu de travail lorsque les exigences auxquelles les travailleurs sont confrontés excèdent les ressources dont ils disposent pour y faire face (voir l’indice du stress au travail de l’OCDE).</w:t>
      </w:r>
    </w:p>
  </w:footnote>
  <w:footnote w:id="78">
    <w:p w14:paraId="7DAD26B6" w14:textId="058EDCF3" w:rsidR="00D77541" w:rsidRPr="004F15F4" w:rsidRDefault="00D77541" w:rsidP="007D5FDB">
      <w:pPr>
        <w:pStyle w:val="FootnoteText"/>
        <w:spacing w:after="60"/>
      </w:pPr>
      <w:r>
        <w:rPr>
          <w:rStyle w:val="FootnoteReference"/>
        </w:rPr>
        <w:footnoteRef/>
      </w:r>
      <w:r>
        <w:tab/>
        <w:t>Commission européenne (</w:t>
      </w:r>
      <w:r w:rsidRPr="002C3F74">
        <w:t>2023</w:t>
      </w:r>
      <w:r>
        <w:t xml:space="preserve">), «Employment and Social Developments in Europe» (évolutions de l’emploi et évolutions sociales en Europe), Rapport annuel </w:t>
      </w:r>
      <w:r w:rsidRPr="002C3F74">
        <w:t>2023</w:t>
      </w:r>
      <w:r>
        <w:t xml:space="preserve"> et enquête d’Eurofound de </w:t>
      </w:r>
      <w:r w:rsidRPr="002C3F74">
        <w:t>2021</w:t>
      </w:r>
      <w:r>
        <w:t xml:space="preserve"> sur les conditions de travail en Europe. Plus de </w:t>
      </w:r>
      <w:r w:rsidRPr="002C3F74">
        <w:t>40</w:t>
      </w:r>
      <w:r>
        <w:t xml:space="preserve"> % des techniciens de surface, des cuisiniers et des soignants, et plus de </w:t>
      </w:r>
      <w:r w:rsidRPr="002C3F74">
        <w:t>30</w:t>
      </w:r>
      <w:r>
        <w:t> % des travailleurs du bâtiment ainsi que des chauffeurs déclarent rencontrer de grandes difficultés pour joindre les deux bouts. Près de la moitié des travailleurs dans les secteurs des soins de santé, des soins résidentiels et des transports rapportent de hauts niveaux de stress au travail.</w:t>
      </w:r>
    </w:p>
  </w:footnote>
  <w:footnote w:id="79">
    <w:p w14:paraId="68C1E1E7" w14:textId="77777777" w:rsidR="005E66C1" w:rsidRPr="00795D1B" w:rsidRDefault="005E66C1" w:rsidP="005E66C1">
      <w:pPr>
        <w:pStyle w:val="FootnoteText"/>
      </w:pPr>
      <w:r>
        <w:rPr>
          <w:rStyle w:val="FootnoteReference"/>
        </w:rPr>
        <w:footnoteRef/>
      </w:r>
      <w:r>
        <w:tab/>
      </w:r>
      <w:hyperlink r:id="rId8" w:history="1">
        <w:r>
          <w:rPr>
            <w:rStyle w:val="Hyperlink"/>
          </w:rPr>
          <w:t>Enquête d’Eurofound de </w:t>
        </w:r>
        <w:r w:rsidRPr="002C3F74">
          <w:rPr>
            <w:rStyle w:val="Hyperlink"/>
          </w:rPr>
          <w:t>2021</w:t>
        </w:r>
        <w:r>
          <w:rPr>
            <w:rStyle w:val="Hyperlink"/>
          </w:rPr>
          <w:t xml:space="preserve"> sur les conditions de travail en Europe</w:t>
        </w:r>
      </w:hyperlink>
    </w:p>
  </w:footnote>
  <w:footnote w:id="80">
    <w:p w14:paraId="7104423E" w14:textId="77777777" w:rsidR="005E66C1" w:rsidRDefault="005E66C1" w:rsidP="005E66C1">
      <w:pPr>
        <w:pStyle w:val="FootnoteText"/>
      </w:pPr>
      <w:r>
        <w:rPr>
          <w:rStyle w:val="FootnoteReference"/>
        </w:rPr>
        <w:footnoteRef/>
      </w:r>
      <w:r>
        <w:tab/>
      </w:r>
      <w:hyperlink r:id="rId9">
        <w:r>
          <w:rPr>
            <w:rStyle w:val="Hyperlink"/>
          </w:rPr>
          <w:t>Enquête d’Eurofound de </w:t>
        </w:r>
        <w:r w:rsidRPr="002C3F74">
          <w:rPr>
            <w:rStyle w:val="Hyperlink"/>
          </w:rPr>
          <w:t>2021</w:t>
        </w:r>
        <w:r>
          <w:rPr>
            <w:rStyle w:val="Hyperlink"/>
          </w:rPr>
          <w:t xml:space="preserve"> sur les conditions de travail en Europe</w:t>
        </w:r>
      </w:hyperlink>
    </w:p>
  </w:footnote>
  <w:footnote w:id="81">
    <w:p w14:paraId="4B6E30DF" w14:textId="54BF04CF" w:rsidR="005E66C1" w:rsidRPr="00A04BDB" w:rsidRDefault="005E66C1" w:rsidP="003318E4">
      <w:pPr>
        <w:spacing w:after="60"/>
        <w:ind w:left="360" w:hanging="360"/>
        <w:rPr>
          <w:sz w:val="20"/>
        </w:rPr>
      </w:pPr>
      <w:r>
        <w:rPr>
          <w:sz w:val="20"/>
          <w:vertAlign w:val="superscript"/>
        </w:rPr>
        <w:footnoteRef/>
      </w:r>
      <w:r>
        <w:rPr>
          <w:sz w:val="20"/>
        </w:rPr>
        <w:tab/>
        <w:t>Commission européenne (</w:t>
      </w:r>
      <w:r w:rsidRPr="002C3F74">
        <w:rPr>
          <w:sz w:val="20"/>
        </w:rPr>
        <w:t>2023</w:t>
      </w:r>
      <w:r>
        <w:rPr>
          <w:sz w:val="20"/>
        </w:rPr>
        <w:t xml:space="preserve">), Rapport annuel de </w:t>
      </w:r>
      <w:r w:rsidRPr="002C3F74">
        <w:rPr>
          <w:sz w:val="20"/>
        </w:rPr>
        <w:t>2023</w:t>
      </w:r>
      <w:r>
        <w:rPr>
          <w:sz w:val="20"/>
        </w:rPr>
        <w:t xml:space="preserve"> sur l’évolution de l’emploi et de la situation sociale en Europe.</w:t>
      </w:r>
    </w:p>
  </w:footnote>
  <w:footnote w:id="82">
    <w:p w14:paraId="5D55A7A9" w14:textId="3F284B52" w:rsidR="005E66C1" w:rsidRPr="00607611" w:rsidRDefault="005E66C1" w:rsidP="003318E4">
      <w:pPr>
        <w:spacing w:after="60"/>
        <w:ind w:left="360" w:hanging="360"/>
        <w:rPr>
          <w:sz w:val="20"/>
        </w:rPr>
      </w:pPr>
      <w:r>
        <w:rPr>
          <w:sz w:val="20"/>
          <w:vertAlign w:val="superscript"/>
        </w:rPr>
        <w:footnoteRef/>
      </w:r>
      <w:r>
        <w:rPr>
          <w:sz w:val="20"/>
        </w:rPr>
        <w:tab/>
        <w:t>Commission européenne (</w:t>
      </w:r>
      <w:r w:rsidRPr="002C3F74">
        <w:rPr>
          <w:sz w:val="20"/>
        </w:rPr>
        <w:t>2023</w:t>
      </w:r>
      <w:r>
        <w:rPr>
          <w:sz w:val="20"/>
        </w:rPr>
        <w:t xml:space="preserve">), Rapport annuel de </w:t>
      </w:r>
      <w:r w:rsidRPr="002C3F74">
        <w:rPr>
          <w:sz w:val="20"/>
        </w:rPr>
        <w:t>2023</w:t>
      </w:r>
      <w:r>
        <w:rPr>
          <w:sz w:val="20"/>
        </w:rPr>
        <w:t xml:space="preserve"> sur l’évolution de l’emploi et de la situation sociale en Europe.</w:t>
      </w:r>
    </w:p>
  </w:footnote>
  <w:footnote w:id="83">
    <w:p w14:paraId="5772EA3B" w14:textId="77777777" w:rsidR="00CD3EC6" w:rsidRPr="00607611" w:rsidRDefault="00CD3EC6" w:rsidP="00A04BDB">
      <w:pPr>
        <w:spacing w:after="60"/>
        <w:ind w:left="357" w:hanging="357"/>
        <w:rPr>
          <w:sz w:val="20"/>
        </w:rPr>
      </w:pPr>
      <w:r>
        <w:rPr>
          <w:sz w:val="20"/>
          <w:vertAlign w:val="superscript"/>
        </w:rPr>
        <w:footnoteRef/>
      </w:r>
      <w:r>
        <w:rPr>
          <w:sz w:val="20"/>
        </w:rPr>
        <w:tab/>
        <w:t>Stratégie européenne en matière de soins [COM(</w:t>
      </w:r>
      <w:r w:rsidRPr="002C3F74">
        <w:rPr>
          <w:sz w:val="20"/>
        </w:rPr>
        <w:t>2022</w:t>
      </w:r>
      <w:r>
        <w:rPr>
          <w:sz w:val="20"/>
        </w:rPr>
        <w:t>) </w:t>
      </w:r>
      <w:r w:rsidRPr="002C3F74">
        <w:rPr>
          <w:sz w:val="20"/>
        </w:rPr>
        <w:t>440</w:t>
      </w:r>
      <w:r>
        <w:rPr>
          <w:sz w:val="20"/>
        </w:rPr>
        <w:t>].</w:t>
      </w:r>
    </w:p>
  </w:footnote>
  <w:footnote w:id="84">
    <w:p w14:paraId="3A0DF7A1" w14:textId="77777777" w:rsidR="005E66C1" w:rsidRDefault="005E66C1" w:rsidP="003318E4">
      <w:pPr>
        <w:pStyle w:val="FootnoteText"/>
        <w:spacing w:after="60"/>
        <w:ind w:left="360" w:hanging="360"/>
      </w:pPr>
      <w:r>
        <w:rPr>
          <w:rStyle w:val="FootnoteReference"/>
        </w:rPr>
        <w:footnoteRef/>
      </w:r>
      <w:r>
        <w:tab/>
        <w:t>«L’avenir de l’agriculture en Europe et son incidence sur la santé et la sécurité au travail (SST)», Rapport de l’Agence européenne pour la sécurité et la santé au travail (</w:t>
      </w:r>
      <w:r w:rsidRPr="002C3F74">
        <w:t>2021</w:t>
      </w:r>
      <w:r>
        <w:t>).</w:t>
      </w:r>
    </w:p>
  </w:footnote>
  <w:footnote w:id="85">
    <w:p w14:paraId="44E1B148" w14:textId="54AE8728" w:rsidR="005E66C1" w:rsidRPr="00607611" w:rsidRDefault="005E66C1" w:rsidP="003318E4">
      <w:pPr>
        <w:spacing w:after="60"/>
        <w:ind w:left="360" w:hanging="360"/>
        <w:rPr>
          <w:sz w:val="20"/>
        </w:rPr>
      </w:pPr>
      <w:r>
        <w:rPr>
          <w:sz w:val="20"/>
          <w:vertAlign w:val="superscript"/>
        </w:rPr>
        <w:footnoteRef/>
      </w:r>
      <w:r>
        <w:rPr>
          <w:sz w:val="20"/>
          <w:vertAlign w:val="superscript"/>
        </w:rPr>
        <w:tab/>
      </w:r>
      <w:r>
        <w:rPr>
          <w:sz w:val="20"/>
        </w:rPr>
        <w:t>«L’avenir de l’agriculture en Europe et son incidence sur la santé et la sécurité au travail (SST)», Rapport de l’Agence européenne pour la sécurité et la santé au travail (</w:t>
      </w:r>
      <w:r w:rsidRPr="002C3F74">
        <w:rPr>
          <w:sz w:val="20"/>
        </w:rPr>
        <w:t>2021</w:t>
      </w:r>
      <w:r>
        <w:rPr>
          <w:sz w:val="20"/>
        </w:rPr>
        <w:t>).</w:t>
      </w:r>
    </w:p>
  </w:footnote>
  <w:footnote w:id="86">
    <w:p w14:paraId="215AF02C" w14:textId="77777777" w:rsidR="005E66C1" w:rsidRPr="00547D06" w:rsidRDefault="005E66C1" w:rsidP="005E66C1">
      <w:pPr>
        <w:pStyle w:val="FootnoteText"/>
      </w:pPr>
      <w:r>
        <w:rPr>
          <w:rStyle w:val="FootnoteReference"/>
        </w:rPr>
        <w:footnoteRef/>
      </w:r>
      <w:r>
        <w:tab/>
        <w:t>Emploi et questions sociales dans le monde, «La valeur du travail essentiel», OIT (</w:t>
      </w:r>
      <w:r w:rsidRPr="002C3F74">
        <w:t>2023</w:t>
      </w:r>
      <w:r>
        <w:t>).</w:t>
      </w:r>
    </w:p>
  </w:footnote>
  <w:footnote w:id="87">
    <w:p w14:paraId="38BC99BB" w14:textId="79ED86FC" w:rsidR="005E66C1" w:rsidRPr="00547D06" w:rsidRDefault="005E66C1" w:rsidP="005E66C1">
      <w:pPr>
        <w:pStyle w:val="FootnoteText"/>
      </w:pPr>
      <w:r>
        <w:rPr>
          <w:rStyle w:val="FootnoteReference"/>
        </w:rPr>
        <w:footnoteRef/>
      </w:r>
      <w:r>
        <w:tab/>
        <w:t>Commission européenne (</w:t>
      </w:r>
      <w:r w:rsidRPr="002C3F74">
        <w:t>2023</w:t>
      </w:r>
      <w:r>
        <w:t xml:space="preserve">), Rapport annuel de </w:t>
      </w:r>
      <w:r w:rsidRPr="002C3F74">
        <w:t>2023</w:t>
      </w:r>
      <w:r>
        <w:t xml:space="preserve"> sur l’évolution de l’emploi et de la situation sociale en Europe.</w:t>
      </w:r>
    </w:p>
  </w:footnote>
  <w:footnote w:id="88">
    <w:p w14:paraId="0A7ADA02" w14:textId="77777777" w:rsidR="00612B77" w:rsidRPr="00630322" w:rsidRDefault="00612B77" w:rsidP="008D67AB">
      <w:pPr>
        <w:pStyle w:val="FootnoteText"/>
        <w:spacing w:after="60"/>
      </w:pPr>
      <w:r>
        <w:rPr>
          <w:rStyle w:val="FootnoteReference"/>
        </w:rPr>
        <w:footnoteRef/>
      </w:r>
      <w:r>
        <w:tab/>
        <w:t xml:space="preserve">Directive (UE) </w:t>
      </w:r>
      <w:r w:rsidRPr="002C3F74">
        <w:t>2022</w:t>
      </w:r>
      <w:r>
        <w:t>/</w:t>
      </w:r>
      <w:r w:rsidRPr="002C3F74">
        <w:t>2041</w:t>
      </w:r>
      <w:r>
        <w:t xml:space="preserve"> du Parlement européen et du Conseil du </w:t>
      </w:r>
      <w:r w:rsidRPr="002C3F74">
        <w:t>19</w:t>
      </w:r>
      <w:r>
        <w:t xml:space="preserve"> octobre </w:t>
      </w:r>
      <w:r w:rsidRPr="002C3F74">
        <w:t>2022</w:t>
      </w:r>
      <w:r>
        <w:t xml:space="preserve"> relative à des salaires minimaux adéquats dans l’Union européenne.</w:t>
      </w:r>
    </w:p>
  </w:footnote>
  <w:footnote w:id="89">
    <w:p w14:paraId="567C4EF2" w14:textId="6F5E2962" w:rsidR="00620EE4" w:rsidRPr="00620EE4" w:rsidRDefault="00620EE4" w:rsidP="006719DD">
      <w:pPr>
        <w:pStyle w:val="FootnoteText"/>
        <w:spacing w:after="60"/>
      </w:pPr>
      <w:r>
        <w:rPr>
          <w:rStyle w:val="FootnoteReference"/>
        </w:rPr>
        <w:footnoteRef/>
      </w:r>
      <w:r>
        <w:tab/>
        <w:t xml:space="preserve">Directive (UE) </w:t>
      </w:r>
      <w:r w:rsidRPr="002C3F74">
        <w:t>2019</w:t>
      </w:r>
      <w:r>
        <w:t>/</w:t>
      </w:r>
      <w:r w:rsidRPr="002C3F74">
        <w:t>1152</w:t>
      </w:r>
      <w:r>
        <w:t xml:space="preserve"> du Parlement européen et du Conseil du </w:t>
      </w:r>
      <w:r w:rsidRPr="002C3F74">
        <w:t>20</w:t>
      </w:r>
      <w:r>
        <w:t xml:space="preserve"> juin </w:t>
      </w:r>
      <w:r w:rsidRPr="002C3F74">
        <w:t>2019</w:t>
      </w:r>
      <w:r>
        <w:t xml:space="preserve"> relative à des conditions de travail transparentes et prévisibles dans l’Union européenne.</w:t>
      </w:r>
    </w:p>
  </w:footnote>
  <w:footnote w:id="90">
    <w:p w14:paraId="05D5115A" w14:textId="2ABCDE32" w:rsidR="00942645" w:rsidRPr="00607611" w:rsidRDefault="00942645" w:rsidP="008D67AB">
      <w:pPr>
        <w:pStyle w:val="FootnoteText"/>
        <w:spacing w:after="60"/>
      </w:pPr>
      <w:r>
        <w:rPr>
          <w:rStyle w:val="FootnoteReference"/>
        </w:rPr>
        <w:footnoteRef/>
      </w:r>
      <w:r>
        <w:tab/>
        <w:t xml:space="preserve">Résolution du Parlement européen du </w:t>
      </w:r>
      <w:r w:rsidRPr="002C3F74">
        <w:t>10</w:t>
      </w:r>
      <w:r>
        <w:t xml:space="preserve"> mars </w:t>
      </w:r>
      <w:r w:rsidRPr="002C3F74">
        <w:t>2022</w:t>
      </w:r>
      <w:r>
        <w:t xml:space="preserve"> sur un nouveau cadre stratégique de l’Union pour la santé et la sécurité au travail après </w:t>
      </w:r>
      <w:r w:rsidRPr="002C3F74">
        <w:t>2020</w:t>
      </w:r>
      <w:r>
        <w:t xml:space="preserve"> (meilleure protection des travailleurs contre l’exposition à des substances nocives, le stress au travail et les troubles musculo-squelettiques) [</w:t>
      </w:r>
      <w:hyperlink r:id="rId10" w:history="1">
        <w:r w:rsidRPr="002C3F74">
          <w:t>2021</w:t>
        </w:r>
        <w:r>
          <w:t>/</w:t>
        </w:r>
        <w:r w:rsidRPr="002C3F74">
          <w:t>2165</w:t>
        </w:r>
        <w:r>
          <w:t>(INI)</w:t>
        </w:r>
      </w:hyperlink>
      <w:r>
        <w:t>].</w:t>
      </w:r>
    </w:p>
  </w:footnote>
  <w:footnote w:id="91">
    <w:p w14:paraId="5841F755" w14:textId="3C6C60EE" w:rsidR="002A7AB4" w:rsidRPr="00BC3022" w:rsidRDefault="002A7AB4" w:rsidP="006719DD">
      <w:pPr>
        <w:pStyle w:val="FootnoteText"/>
        <w:spacing w:after="60"/>
      </w:pPr>
      <w:r>
        <w:rPr>
          <w:rStyle w:val="FootnoteReference"/>
        </w:rPr>
        <w:footnoteRef/>
      </w:r>
      <w:r>
        <w:tab/>
        <w:t xml:space="preserve">Résolution du Parlement européen du </w:t>
      </w:r>
      <w:r w:rsidRPr="002C3F74">
        <w:t>21</w:t>
      </w:r>
      <w:r>
        <w:t xml:space="preserve"> janvier </w:t>
      </w:r>
      <w:r w:rsidRPr="002C3F74">
        <w:t>2021</w:t>
      </w:r>
      <w:r>
        <w:t xml:space="preserve"> contenant des recommandations à la Commission sur le droit à la déconnexion [</w:t>
      </w:r>
      <w:r w:rsidRPr="002C3F74">
        <w:t>2019</w:t>
      </w:r>
      <w:r>
        <w:t>/</w:t>
      </w:r>
      <w:r w:rsidRPr="002C3F74">
        <w:t>2181</w:t>
      </w:r>
      <w:r>
        <w:t>(INL)].</w:t>
      </w:r>
    </w:p>
  </w:footnote>
  <w:footnote w:id="92">
    <w:p w14:paraId="56320979" w14:textId="0D5CCC42" w:rsidR="00533295" w:rsidRPr="00987B13" w:rsidRDefault="00533295" w:rsidP="008D67AB">
      <w:pPr>
        <w:pStyle w:val="FootnoteText"/>
        <w:spacing w:after="60"/>
      </w:pPr>
      <w:r>
        <w:rPr>
          <w:rStyle w:val="FootnoteReference"/>
        </w:rPr>
        <w:footnoteRef/>
      </w:r>
      <w:r>
        <w:tab/>
        <w:t xml:space="preserve">Directive (UE) </w:t>
      </w:r>
      <w:r w:rsidRPr="002C3F74">
        <w:t>2022</w:t>
      </w:r>
      <w:r>
        <w:t>/</w:t>
      </w:r>
      <w:r w:rsidRPr="002C3F74">
        <w:t>431</w:t>
      </w:r>
      <w:r>
        <w:t xml:space="preserve"> du Parlement européen et du Conseil du </w:t>
      </w:r>
      <w:r w:rsidRPr="002C3F74">
        <w:t>9</w:t>
      </w:r>
      <w:r>
        <w:t xml:space="preserve"> mars </w:t>
      </w:r>
      <w:r w:rsidRPr="002C3F74">
        <w:t>2022</w:t>
      </w:r>
      <w:r>
        <w:t xml:space="preserve"> modifiant la directive </w:t>
      </w:r>
      <w:r w:rsidRPr="002C3F74">
        <w:t>2004</w:t>
      </w:r>
      <w:r>
        <w:t>/</w:t>
      </w:r>
      <w:r w:rsidRPr="002C3F74">
        <w:t>37</w:t>
      </w:r>
      <w:r>
        <w:t>/CE concernant la protection des travailleurs contre les risques liés à l’exposition à des agents cancérigènes ou mutagènes au travail (JO L </w:t>
      </w:r>
      <w:r w:rsidRPr="002C3F74">
        <w:t>88</w:t>
      </w:r>
      <w:r>
        <w:t xml:space="preserve"> du </w:t>
      </w:r>
      <w:r w:rsidRPr="002C3F74">
        <w:t>16</w:t>
      </w:r>
      <w:r>
        <w:t>.</w:t>
      </w:r>
      <w:r w:rsidRPr="002C3F74">
        <w:t>3</w:t>
      </w:r>
      <w:r>
        <w:t>.</w:t>
      </w:r>
      <w:r w:rsidRPr="002C3F74">
        <w:t>2022</w:t>
      </w:r>
      <w:r>
        <w:t>, p. </w:t>
      </w:r>
      <w:r w:rsidRPr="002C3F74">
        <w:t>1</w:t>
      </w:r>
      <w:r>
        <w:t>)</w:t>
      </w:r>
      <w:r w:rsidR="00660BA7">
        <w:t>.</w:t>
      </w:r>
    </w:p>
  </w:footnote>
  <w:footnote w:id="93">
    <w:p w14:paraId="6BFE6C2F" w14:textId="4CA4E990" w:rsidR="00F5436A" w:rsidRPr="00482374" w:rsidRDefault="00F5436A" w:rsidP="007D5FDB">
      <w:pPr>
        <w:pStyle w:val="FootnoteText"/>
        <w:spacing w:after="60"/>
      </w:pPr>
      <w:r>
        <w:rPr>
          <w:rStyle w:val="FootnoteReference"/>
        </w:rPr>
        <w:footnoteRef/>
      </w:r>
      <w:r>
        <w:tab/>
        <w:t>Dans le prolongement de l’engagement pris dans la communication de la Commission intitulée «De meilleures conditions de travail pour une Europe sociale plus forte: tirer pleinement parti de la numérisation pour l’avenir du travail» [COM(</w:t>
      </w:r>
      <w:r w:rsidRPr="002C3F74">
        <w:t>2021</w:t>
      </w:r>
      <w:r>
        <w:t>) </w:t>
      </w:r>
      <w:r w:rsidRPr="002C3F74">
        <w:t>761</w:t>
      </w:r>
      <w:r>
        <w:t xml:space="preserve"> final].</w:t>
      </w:r>
    </w:p>
  </w:footnote>
  <w:footnote w:id="94">
    <w:p w14:paraId="68CF002E" w14:textId="77777777" w:rsidR="00F5436A" w:rsidRPr="00630322" w:rsidRDefault="00F5436A" w:rsidP="007D5FDB">
      <w:pPr>
        <w:pStyle w:val="FootnoteText"/>
        <w:spacing w:after="60"/>
      </w:pPr>
      <w:r>
        <w:rPr>
          <w:rStyle w:val="FootnoteReference"/>
        </w:rPr>
        <w:footnoteRef/>
      </w:r>
      <w:r>
        <w:tab/>
        <w:t xml:space="preserve">Communication de </w:t>
      </w:r>
      <w:r w:rsidRPr="002C3F74">
        <w:t>2023</w:t>
      </w:r>
      <w:r>
        <w:t xml:space="preserve"> sur une approche globale en matière de santé mentale.</w:t>
      </w:r>
    </w:p>
  </w:footnote>
  <w:footnote w:id="95">
    <w:p w14:paraId="3014FE19" w14:textId="131F6B1D" w:rsidR="00AF289F" w:rsidRPr="00987B13" w:rsidRDefault="00B63C5D" w:rsidP="007D5FDB">
      <w:pPr>
        <w:pStyle w:val="FootnoteText"/>
        <w:spacing w:after="60"/>
        <w:ind w:left="360" w:hanging="360"/>
      </w:pPr>
      <w:r>
        <w:rPr>
          <w:rStyle w:val="FootnoteReference"/>
        </w:rPr>
        <w:footnoteRef/>
      </w:r>
      <w:r>
        <w:tab/>
        <w:t xml:space="preserve">Directive </w:t>
      </w:r>
      <w:r w:rsidRPr="002C3F74">
        <w:t>2009</w:t>
      </w:r>
      <w:r>
        <w:t>/</w:t>
      </w:r>
      <w:r w:rsidRPr="002C3F74">
        <w:t>148</w:t>
      </w:r>
      <w:r>
        <w:t xml:space="preserve">/CE du Parlement européen et du Conseil du </w:t>
      </w:r>
      <w:r w:rsidRPr="002C3F74">
        <w:t>30</w:t>
      </w:r>
      <w:r>
        <w:t xml:space="preserve"> novembre </w:t>
      </w:r>
      <w:r w:rsidRPr="002C3F74">
        <w:t>2009</w:t>
      </w:r>
      <w:r>
        <w:t xml:space="preserve"> concernant la protection des travailleurs contre les risques liés à une exposition à l’amiante pendant le travail (JO L </w:t>
      </w:r>
      <w:r w:rsidRPr="002C3F74">
        <w:t>330</w:t>
      </w:r>
      <w:r>
        <w:t xml:space="preserve"> du </w:t>
      </w:r>
      <w:r w:rsidRPr="002C3F74">
        <w:t>16</w:t>
      </w:r>
      <w:r>
        <w:t>.</w:t>
      </w:r>
      <w:r w:rsidRPr="002C3F74">
        <w:t>12</w:t>
      </w:r>
      <w:r>
        <w:t>.</w:t>
      </w:r>
      <w:r w:rsidRPr="002C3F74">
        <w:t>2009</w:t>
      </w:r>
      <w:r>
        <w:t>, p. </w:t>
      </w:r>
      <w:r w:rsidRPr="002C3F74">
        <w:t>28</w:t>
      </w:r>
      <w:r>
        <w:t>)</w:t>
      </w:r>
      <w:r w:rsidR="00660BA7">
        <w:t>.</w:t>
      </w:r>
    </w:p>
  </w:footnote>
  <w:footnote w:id="96">
    <w:p w14:paraId="3064C453" w14:textId="5A57EA0B" w:rsidR="00AF289F" w:rsidRPr="00987B13" w:rsidRDefault="00AF289F" w:rsidP="007D5FDB">
      <w:pPr>
        <w:pStyle w:val="FootnoteText"/>
        <w:spacing w:after="60"/>
        <w:ind w:left="360" w:hanging="360"/>
      </w:pPr>
      <w:r>
        <w:rPr>
          <w:rStyle w:val="FootnoteReference"/>
        </w:rPr>
        <w:footnoteRef/>
      </w:r>
      <w:r>
        <w:tab/>
        <w:t xml:space="preserve">Directive </w:t>
      </w:r>
      <w:r w:rsidRPr="002C3F74">
        <w:t>98</w:t>
      </w:r>
      <w:r>
        <w:t>/</w:t>
      </w:r>
      <w:r w:rsidRPr="002C3F74">
        <w:t>24</w:t>
      </w:r>
      <w:r>
        <w:t xml:space="preserve">/CE du Conseil du </w:t>
      </w:r>
      <w:r w:rsidRPr="002C3F74">
        <w:t>7</w:t>
      </w:r>
      <w:r>
        <w:t xml:space="preserve"> avril </w:t>
      </w:r>
      <w:r w:rsidRPr="002C3F74">
        <w:t>1998</w:t>
      </w:r>
      <w:r>
        <w:t xml:space="preserve"> concernant la protection de la santé et de la sécurité des travailleurs contre les risques liés à des agents chimiques sur le lieu de travail (JO L </w:t>
      </w:r>
      <w:r w:rsidRPr="002C3F74">
        <w:t>131</w:t>
      </w:r>
      <w:r>
        <w:t xml:space="preserve"> du </w:t>
      </w:r>
      <w:r w:rsidRPr="002C3F74">
        <w:t>5</w:t>
      </w:r>
      <w:r>
        <w:t>.</w:t>
      </w:r>
      <w:r w:rsidRPr="002C3F74">
        <w:t>5</w:t>
      </w:r>
      <w:r>
        <w:t>.</w:t>
      </w:r>
      <w:r w:rsidRPr="002C3F74">
        <w:t>1998</w:t>
      </w:r>
      <w:r>
        <w:t>, p. </w:t>
      </w:r>
      <w:r w:rsidRPr="002C3F74">
        <w:t>11</w:t>
      </w:r>
      <w:r>
        <w:t>).</w:t>
      </w:r>
    </w:p>
  </w:footnote>
  <w:footnote w:id="97">
    <w:p w14:paraId="7CD55592" w14:textId="153278EF" w:rsidR="00942645" w:rsidRPr="000B489E" w:rsidRDefault="00942645" w:rsidP="008D67AB">
      <w:pPr>
        <w:pStyle w:val="FootnoteText"/>
        <w:spacing w:after="60"/>
      </w:pPr>
      <w:r>
        <w:rPr>
          <w:rStyle w:val="FootnoteReference"/>
        </w:rPr>
        <w:footnoteRef/>
      </w:r>
      <w:r>
        <w:tab/>
        <w:t>CoESS, FSESP, ETF, Confédération européenne des syndicats (CES), CSEE, FEEE, FEES, et IndustriAll Europe.</w:t>
      </w:r>
    </w:p>
  </w:footnote>
  <w:footnote w:id="98">
    <w:p w14:paraId="425604A1" w14:textId="1F5A5E35" w:rsidR="00217249" w:rsidRPr="004F15F4" w:rsidRDefault="00217249" w:rsidP="008D67AB">
      <w:pPr>
        <w:pStyle w:val="FootnoteText"/>
        <w:spacing w:after="60"/>
        <w:ind w:left="360" w:hanging="360"/>
      </w:pPr>
      <w:r>
        <w:rPr>
          <w:rStyle w:val="FootnoteReference"/>
        </w:rPr>
        <w:footnoteRef/>
      </w:r>
      <w:r>
        <w:tab/>
        <w:t>FSESP et Association européenne des employeurs du secteur hospitalier et de la santé (HOSPEEM).</w:t>
      </w:r>
    </w:p>
  </w:footnote>
  <w:footnote w:id="99">
    <w:p w14:paraId="0FB3A0C4" w14:textId="0A5A2757" w:rsidR="00942645" w:rsidRPr="000B489E" w:rsidRDefault="00942645" w:rsidP="008D67AB">
      <w:pPr>
        <w:pStyle w:val="FootnoteText"/>
        <w:spacing w:after="60"/>
      </w:pPr>
      <w:r>
        <w:rPr>
          <w:rStyle w:val="FootnoteReference"/>
        </w:rPr>
        <w:footnoteRef/>
      </w:r>
      <w:r>
        <w:tab/>
        <w:t>CSEE et FEEE.</w:t>
      </w:r>
    </w:p>
  </w:footnote>
  <w:footnote w:id="100">
    <w:p w14:paraId="7BF255B5" w14:textId="5B8EBF52" w:rsidR="00D62353" w:rsidRPr="004F15F4" w:rsidRDefault="003901F5" w:rsidP="008D67AB">
      <w:pPr>
        <w:pStyle w:val="FootnoteText"/>
        <w:spacing w:after="60"/>
        <w:ind w:left="360" w:hanging="360"/>
      </w:pPr>
      <w:r>
        <w:rPr>
          <w:rStyle w:val="FootnoteReference"/>
        </w:rPr>
        <w:footnoteRef/>
      </w:r>
      <w:r>
        <w:tab/>
        <w:t>Le projet IWorCon vise à améliorer les conditions de travail dans le secteur des services sociaux pour rendre ce secteur plus attrayant.</w:t>
      </w:r>
    </w:p>
  </w:footnote>
  <w:footnote w:id="101">
    <w:p w14:paraId="7EC75961" w14:textId="4026270A" w:rsidR="00AA6D7F" w:rsidRPr="004F15F4" w:rsidRDefault="00AA6D7F" w:rsidP="008D67AB">
      <w:pPr>
        <w:pStyle w:val="FootnoteText"/>
        <w:spacing w:after="60"/>
        <w:ind w:left="360" w:hanging="360"/>
      </w:pPr>
      <w:r>
        <w:rPr>
          <w:rStyle w:val="FootnoteReference"/>
        </w:rPr>
        <w:footnoteRef/>
      </w:r>
      <w:r>
        <w:tab/>
        <w:t>FEES et FSESP.</w:t>
      </w:r>
    </w:p>
  </w:footnote>
  <w:footnote w:id="102">
    <w:p w14:paraId="7A811E87" w14:textId="21E616B4" w:rsidR="008D5DF9" w:rsidRPr="0022740E" w:rsidRDefault="008D5DF9" w:rsidP="00251387">
      <w:pPr>
        <w:pStyle w:val="FootnoteText"/>
        <w:spacing w:after="60"/>
        <w:ind w:left="360" w:hanging="360"/>
      </w:pPr>
      <w:r>
        <w:rPr>
          <w:rStyle w:val="FootnoteReference"/>
        </w:rPr>
        <w:footnoteRef/>
      </w:r>
      <w:r>
        <w:tab/>
        <w:t>Union internationale des transports routiers (IRU) et ETF.</w:t>
      </w:r>
    </w:p>
  </w:footnote>
  <w:footnote w:id="103">
    <w:p w14:paraId="492AF4DB" w14:textId="66ACD04A" w:rsidR="00990EE4" w:rsidRPr="004F15F4" w:rsidRDefault="00990EE4" w:rsidP="008D67AB">
      <w:pPr>
        <w:pStyle w:val="FootnoteText"/>
        <w:spacing w:after="60"/>
        <w:ind w:left="360" w:hanging="360"/>
      </w:pPr>
      <w:r>
        <w:rPr>
          <w:rStyle w:val="FootnoteReference"/>
        </w:rPr>
        <w:footnoteRef/>
      </w:r>
      <w:r>
        <w:tab/>
        <w:t>IRU.</w:t>
      </w:r>
    </w:p>
  </w:footnote>
  <w:footnote w:id="104">
    <w:p w14:paraId="5AA433B9" w14:textId="09BC005F" w:rsidR="00D634B0" w:rsidRPr="006719DD" w:rsidRDefault="00D634B0" w:rsidP="006719DD">
      <w:pPr>
        <w:pStyle w:val="FootnoteText"/>
        <w:spacing w:after="60"/>
      </w:pPr>
      <w:r>
        <w:rPr>
          <w:rStyle w:val="FootnoteReference"/>
        </w:rPr>
        <w:footnoteRef/>
      </w:r>
      <w:r>
        <w:tab/>
        <w:t xml:space="preserve">Population au </w:t>
      </w:r>
      <w:r w:rsidRPr="002C3F74">
        <w:t>1</w:t>
      </w:r>
      <w:r>
        <w:rPr>
          <w:vertAlign w:val="superscript"/>
        </w:rPr>
        <w:t>er</w:t>
      </w:r>
      <w:r>
        <w:t xml:space="preserve"> janvier </w:t>
      </w:r>
      <w:r w:rsidRPr="002C3F74">
        <w:t>2022</w:t>
      </w:r>
      <w:r>
        <w:t>. Source: Eurostat, statistiques sur la population et la migration.</w:t>
      </w:r>
    </w:p>
  </w:footnote>
  <w:footnote w:id="105">
    <w:p w14:paraId="590BC363" w14:textId="0D59B156" w:rsidR="00D634B0" w:rsidRPr="006719DD" w:rsidRDefault="00D634B0" w:rsidP="006719DD">
      <w:pPr>
        <w:pStyle w:val="FootnoteText"/>
        <w:spacing w:after="60"/>
      </w:pPr>
      <w:r>
        <w:rPr>
          <w:rStyle w:val="FootnoteReference"/>
        </w:rPr>
        <w:footnoteRef/>
      </w:r>
      <w:r>
        <w:tab/>
        <w:t xml:space="preserve">Source: Eurostat, enquête sur les forces de travail. De plus, on comptait </w:t>
      </w:r>
      <w:r w:rsidRPr="002C3F74">
        <w:t>1</w:t>
      </w:r>
      <w:r>
        <w:t>,</w:t>
      </w:r>
      <w:r w:rsidRPr="002C3F74">
        <w:t>7</w:t>
      </w:r>
      <w:r>
        <w:t xml:space="preserve"> million de travailleurs frontaliers et </w:t>
      </w:r>
      <w:r w:rsidRPr="002C3F74">
        <w:t>3</w:t>
      </w:r>
      <w:r>
        <w:t>,</w:t>
      </w:r>
      <w:r w:rsidRPr="002C3F74">
        <w:t>6</w:t>
      </w:r>
      <w:r>
        <w:t> millions de travailleurs détachés dans l’UE en </w:t>
      </w:r>
      <w:r w:rsidRPr="002C3F74">
        <w:t>2021</w:t>
      </w:r>
      <w:r>
        <w:t xml:space="preserve"> (rapport annuel de </w:t>
      </w:r>
      <w:r w:rsidRPr="002C3F74">
        <w:t>2022</w:t>
      </w:r>
      <w:r>
        <w:t xml:space="preserve"> sur la mobilité de la main-d’œuvre au sein de l’UE).</w:t>
      </w:r>
    </w:p>
  </w:footnote>
  <w:footnote w:id="106">
    <w:p w14:paraId="6FD3DFA1" w14:textId="6684F381" w:rsidR="00FF1F73" w:rsidRPr="00630322" w:rsidRDefault="00FF1F73" w:rsidP="00C45737">
      <w:pPr>
        <w:pStyle w:val="FootnoteText"/>
        <w:spacing w:after="60"/>
        <w:ind w:left="360" w:hanging="360"/>
      </w:pPr>
      <w:r>
        <w:rPr>
          <w:rStyle w:val="FootnoteReference"/>
        </w:rPr>
        <w:footnoteRef/>
      </w:r>
      <w:r>
        <w:tab/>
        <w:t xml:space="preserve">Communication de la Commission du </w:t>
      </w:r>
      <w:r w:rsidRPr="002C3F74">
        <w:t>6</w:t>
      </w:r>
      <w:r>
        <w:t xml:space="preserve"> septembre </w:t>
      </w:r>
      <w:r w:rsidRPr="002C3F74">
        <w:t>2023</w:t>
      </w:r>
      <w:r>
        <w:t xml:space="preserve"> sur la numérisation dans le domaine de la coordination de la sécurité sociale: faciliter la libre circulation au sein du marché unique [COM(</w:t>
      </w:r>
      <w:r w:rsidRPr="002C3F74">
        <w:t>2023</w:t>
      </w:r>
      <w:r>
        <w:t>) </w:t>
      </w:r>
      <w:r w:rsidRPr="002C3F74">
        <w:t>501</w:t>
      </w:r>
      <w:r>
        <w:t>].</w:t>
      </w:r>
    </w:p>
  </w:footnote>
  <w:footnote w:id="107">
    <w:p w14:paraId="34017F09" w14:textId="184A0F9E" w:rsidR="00B068A8" w:rsidRPr="00607611" w:rsidRDefault="00B068A8" w:rsidP="00C45737">
      <w:pPr>
        <w:pStyle w:val="FootnoteText"/>
        <w:spacing w:after="60"/>
        <w:ind w:left="360" w:hanging="360"/>
      </w:pPr>
      <w:r>
        <w:rPr>
          <w:rStyle w:val="FootnoteReference"/>
        </w:rPr>
        <w:footnoteRef/>
      </w:r>
      <w:r>
        <w:tab/>
        <w:t xml:space="preserve">Directive </w:t>
      </w:r>
      <w:r w:rsidRPr="002C3F74">
        <w:t>2005</w:t>
      </w:r>
      <w:r>
        <w:t>/</w:t>
      </w:r>
      <w:r w:rsidRPr="002C3F74">
        <w:t>36</w:t>
      </w:r>
      <w:r>
        <w:t xml:space="preserve">/CE du Parlement européen et du Conseil du </w:t>
      </w:r>
      <w:r w:rsidRPr="002C3F74">
        <w:t>7</w:t>
      </w:r>
      <w:r>
        <w:t xml:space="preserve"> septembre </w:t>
      </w:r>
      <w:r w:rsidRPr="002C3F74">
        <w:t>2005</w:t>
      </w:r>
      <w:r>
        <w:t xml:space="preserve"> relative à la reconnaissance des qualifications professionnelles (JO L </w:t>
      </w:r>
      <w:r w:rsidRPr="002C3F74">
        <w:t>255</w:t>
      </w:r>
      <w:r>
        <w:t xml:space="preserve"> du </w:t>
      </w:r>
      <w:r w:rsidRPr="002C3F74">
        <w:t>30</w:t>
      </w:r>
      <w:r>
        <w:t>.</w:t>
      </w:r>
      <w:r w:rsidRPr="002C3F74">
        <w:t>9</w:t>
      </w:r>
      <w:r>
        <w:t>.</w:t>
      </w:r>
      <w:r w:rsidRPr="002C3F74">
        <w:t>2005</w:t>
      </w:r>
      <w:r>
        <w:t>, p. </w:t>
      </w:r>
      <w:r w:rsidRPr="002C3F74">
        <w:t>22</w:t>
      </w:r>
      <w:r>
        <w:t>).</w:t>
      </w:r>
    </w:p>
  </w:footnote>
  <w:footnote w:id="108">
    <w:p w14:paraId="26395AE1" w14:textId="77777777" w:rsidR="00A242D7" w:rsidRPr="00630322" w:rsidRDefault="00A242D7" w:rsidP="00C45737">
      <w:pPr>
        <w:pStyle w:val="FootnoteText"/>
        <w:spacing w:after="60"/>
        <w:ind w:left="360" w:hanging="360"/>
      </w:pPr>
      <w:r>
        <w:rPr>
          <w:rStyle w:val="FootnoteReference"/>
        </w:rPr>
        <w:footnoteRef/>
      </w:r>
      <w:r>
        <w:tab/>
        <w:t>Document de travail des services de la Commission accompagnant la proposition de recommandation du Conseil intitulée «L’Europe en mouvement – Des possibilités de mobilité à des fins d’éducation et de formation offertes à tous» [SWD(</w:t>
      </w:r>
      <w:r w:rsidRPr="002C3F74">
        <w:t>2023</w:t>
      </w:r>
      <w:r>
        <w:t>) </w:t>
      </w:r>
      <w:r w:rsidRPr="002C3F74">
        <w:t>719</w:t>
      </w:r>
      <w:r>
        <w:t>].</w:t>
      </w:r>
    </w:p>
  </w:footnote>
  <w:footnote w:id="109">
    <w:p w14:paraId="10384C94" w14:textId="6D98FD0F" w:rsidR="003D4F45" w:rsidRPr="006719DD" w:rsidRDefault="003D4F45" w:rsidP="006719DD">
      <w:pPr>
        <w:pStyle w:val="FootnoteText"/>
        <w:spacing w:after="60"/>
      </w:pPr>
      <w:r>
        <w:rPr>
          <w:rStyle w:val="FootnoteReference"/>
        </w:rPr>
        <w:footnoteRef/>
      </w:r>
      <w:r>
        <w:tab/>
        <w:t xml:space="preserve">Comme l’indique le rapport de </w:t>
      </w:r>
      <w:r w:rsidRPr="002C3F74">
        <w:t>2023</w:t>
      </w:r>
      <w:r>
        <w:t xml:space="preserve"> sur la mise en œuvre de la recommandation du Conseil de </w:t>
      </w:r>
      <w:r w:rsidRPr="002C3F74">
        <w:t>2018</w:t>
      </w:r>
      <w:r>
        <w:t xml:space="preserve"> en faveur de la reconnaissance automatique, des efforts supplémentaires sont nécessaires pour parvenir à une reconnaissance automatique des qualifications et des périodes d’apprentissage à l’étranger, tant au niveau de l’enseignement supérieur que de l’enseignement secondaire.</w:t>
      </w:r>
    </w:p>
  </w:footnote>
  <w:footnote w:id="110">
    <w:p w14:paraId="637CCED5" w14:textId="331E8979" w:rsidR="004A319F" w:rsidRPr="00630322" w:rsidRDefault="004A319F" w:rsidP="00C45737">
      <w:pPr>
        <w:pStyle w:val="FootnoteText"/>
        <w:spacing w:after="60"/>
        <w:ind w:left="360" w:hanging="360"/>
      </w:pPr>
      <w:r>
        <w:rPr>
          <w:rStyle w:val="FootnoteReference"/>
        </w:rPr>
        <w:footnoteRef/>
      </w:r>
      <w:r>
        <w:tab/>
        <w:t xml:space="preserve">Proposition de recommandation du Conseil du </w:t>
      </w:r>
      <w:r w:rsidRPr="002C3F74">
        <w:t>17</w:t>
      </w:r>
      <w:r>
        <w:t xml:space="preserve"> novembre </w:t>
      </w:r>
      <w:r w:rsidRPr="002C3F74">
        <w:t>2023</w:t>
      </w:r>
      <w:r>
        <w:t xml:space="preserve"> intitulée «L’Europe en mouvement – Des possibilités de mobilité à des fins d’éducation et de formation offertes à tous» [COM(</w:t>
      </w:r>
      <w:r w:rsidRPr="002C3F74">
        <w:t>2023</w:t>
      </w:r>
      <w:r>
        <w:t>) </w:t>
      </w:r>
      <w:r w:rsidRPr="002C3F74">
        <w:t>719</w:t>
      </w:r>
      <w:r>
        <w:t xml:space="preserve"> final].</w:t>
      </w:r>
    </w:p>
  </w:footnote>
  <w:footnote w:id="111">
    <w:p w14:paraId="04DEED62" w14:textId="77777777" w:rsidR="009F24E8" w:rsidRPr="0022740E" w:rsidRDefault="009F24E8" w:rsidP="009F24E8">
      <w:pPr>
        <w:pStyle w:val="FootnoteText"/>
        <w:spacing w:after="60"/>
      </w:pPr>
      <w:r>
        <w:rPr>
          <w:rStyle w:val="FootnoteReference"/>
        </w:rPr>
        <w:footnoteRef/>
      </w:r>
      <w:r>
        <w:tab/>
        <w:t xml:space="preserve"> Comme annoncé dans le programme de travail de la Commission pour </w:t>
      </w:r>
      <w:r w:rsidRPr="002C3F74">
        <w:t>2024</w:t>
      </w:r>
      <w:r>
        <w:t xml:space="preserve">, disponible </w:t>
      </w:r>
      <w:hyperlink r:id="rId11" w:history="1">
        <w:r>
          <w:rPr>
            <w:rStyle w:val="Hyperlink"/>
          </w:rPr>
          <w:t>en ligne</w:t>
        </w:r>
      </w:hyperlink>
      <w:r>
        <w:t>.</w:t>
      </w:r>
    </w:p>
  </w:footnote>
  <w:footnote w:id="112">
    <w:p w14:paraId="1EDB5A83" w14:textId="132EABC2" w:rsidR="00E44FBC" w:rsidRDefault="00E44FBC" w:rsidP="00E44FBC">
      <w:pPr>
        <w:pStyle w:val="FootnoteText"/>
        <w:spacing w:after="60"/>
        <w:ind w:left="360" w:hanging="360"/>
      </w:pPr>
      <w:r>
        <w:rPr>
          <w:rStyle w:val="FootnoteReference"/>
        </w:rPr>
        <w:footnoteRef/>
      </w:r>
      <w:r>
        <w:tab/>
        <w:t>Afin de mettre à jour les précédentes orientations figurant dans le document de travail des services de la Commission sur les recommandations de réformes en matière de réglementation des services professionnels [COM(</w:t>
      </w:r>
      <w:r w:rsidRPr="002C3F74">
        <w:t>2021</w:t>
      </w:r>
      <w:r>
        <w:t>) </w:t>
      </w:r>
      <w:r w:rsidRPr="002C3F74">
        <w:t>385</w:t>
      </w:r>
      <w:r>
        <w:t xml:space="preserve"> final].</w:t>
      </w:r>
    </w:p>
  </w:footnote>
  <w:footnote w:id="113">
    <w:p w14:paraId="5319F30E" w14:textId="007FEC60" w:rsidR="63800625" w:rsidRDefault="63800625" w:rsidP="00C45737">
      <w:pPr>
        <w:pStyle w:val="FootnoteText"/>
        <w:spacing w:after="60"/>
        <w:ind w:left="360" w:hanging="360"/>
      </w:pPr>
      <w:r>
        <w:rPr>
          <w:rStyle w:val="FootnoteReference"/>
        </w:rPr>
        <w:footnoteRef/>
      </w:r>
      <w:r>
        <w:tab/>
        <w:t>Boîte à outils de l’EafA pour la mobilité des apprentis.</w:t>
      </w:r>
    </w:p>
  </w:footnote>
  <w:footnote w:id="114">
    <w:p w14:paraId="2E25E1BE" w14:textId="36282932" w:rsidR="63800625" w:rsidRDefault="63800625" w:rsidP="00C45737">
      <w:pPr>
        <w:pStyle w:val="FootnoteText"/>
        <w:spacing w:after="60"/>
        <w:ind w:left="360" w:hanging="360"/>
      </w:pPr>
      <w:r>
        <w:rPr>
          <w:rStyle w:val="FootnoteReference"/>
        </w:rPr>
        <w:footnoteRef/>
      </w:r>
      <w:r>
        <w:tab/>
        <w:t>Appel à l’expérimentation de politiques Erasmus+ sur les structures et réseaux de soutien de la mobilité des apprentis.</w:t>
      </w:r>
    </w:p>
  </w:footnote>
  <w:footnote w:id="115">
    <w:p w14:paraId="4FDDA495" w14:textId="3093D73A" w:rsidR="00046CA5" w:rsidRPr="000B489E" w:rsidRDefault="00046CA5" w:rsidP="007D5FDB">
      <w:pPr>
        <w:pStyle w:val="FootnoteText"/>
        <w:spacing w:after="60"/>
      </w:pPr>
      <w:r>
        <w:rPr>
          <w:rStyle w:val="FootnoteReference"/>
        </w:rPr>
        <w:footnoteRef/>
      </w:r>
      <w:r>
        <w:tab/>
        <w:t>BusinessEurope.</w:t>
      </w:r>
    </w:p>
  </w:footnote>
  <w:footnote w:id="116">
    <w:p w14:paraId="783F7796" w14:textId="0E4E8C53" w:rsidR="00046CA5" w:rsidRPr="000B489E" w:rsidRDefault="00046CA5" w:rsidP="007D5FDB">
      <w:pPr>
        <w:pStyle w:val="FootnoteText"/>
        <w:spacing w:after="60"/>
      </w:pPr>
      <w:r>
        <w:rPr>
          <w:rStyle w:val="FootnoteReference"/>
        </w:rPr>
        <w:footnoteRef/>
      </w:r>
      <w:r>
        <w:tab/>
        <w:t xml:space="preserve">SMEunited. </w:t>
      </w:r>
    </w:p>
  </w:footnote>
  <w:footnote w:id="117">
    <w:p w14:paraId="28C43AE9" w14:textId="766A1654" w:rsidR="004D3FE5" w:rsidRPr="00607611" w:rsidRDefault="004D3FE5" w:rsidP="00742E67">
      <w:pPr>
        <w:pStyle w:val="FootnoteText"/>
        <w:spacing w:after="60"/>
        <w:ind w:left="360" w:hanging="360"/>
      </w:pPr>
      <w:r>
        <w:rPr>
          <w:rStyle w:val="FootnoteReference"/>
        </w:rPr>
        <w:footnoteRef/>
      </w:r>
      <w:r>
        <w:tab/>
        <w:t>Eurocadres.</w:t>
      </w:r>
    </w:p>
  </w:footnote>
  <w:footnote w:id="118">
    <w:p w14:paraId="676D5A6A" w14:textId="5EE78DF9" w:rsidR="007E49FB" w:rsidRPr="004F15F4" w:rsidRDefault="00157272" w:rsidP="00742E67">
      <w:pPr>
        <w:pStyle w:val="FootnoteText"/>
        <w:spacing w:after="60"/>
        <w:ind w:left="360" w:hanging="360"/>
      </w:pPr>
      <w:r>
        <w:rPr>
          <w:rStyle w:val="FootnoteReference"/>
        </w:rPr>
        <w:footnoteRef/>
      </w:r>
      <w:r>
        <w:tab/>
        <w:t>Confédération européenne des services de sécurité.</w:t>
      </w:r>
    </w:p>
  </w:footnote>
  <w:footnote w:id="119">
    <w:p w14:paraId="53734149" w14:textId="64B42CFA" w:rsidR="00A1094C" w:rsidRPr="00660BA7" w:rsidRDefault="00A1094C" w:rsidP="00742E67">
      <w:pPr>
        <w:pStyle w:val="FootnoteText"/>
        <w:spacing w:after="60"/>
        <w:ind w:left="360" w:hanging="360"/>
        <w:rPr>
          <w:lang w:val="fr-BE"/>
        </w:rPr>
      </w:pPr>
      <w:r>
        <w:rPr>
          <w:rStyle w:val="FootnoteReference"/>
        </w:rPr>
        <w:footnoteRef/>
      </w:r>
      <w:r w:rsidRPr="00660BA7">
        <w:rPr>
          <w:lang w:val="fr-BE"/>
        </w:rPr>
        <w:tab/>
        <w:t>HOTREC.</w:t>
      </w:r>
    </w:p>
  </w:footnote>
  <w:footnote w:id="120">
    <w:p w14:paraId="319C00CB" w14:textId="77777777" w:rsidR="004F11D0" w:rsidRPr="00630322" w:rsidRDefault="004F11D0" w:rsidP="004F11D0">
      <w:pPr>
        <w:pStyle w:val="FootnoteText"/>
        <w:spacing w:after="60"/>
        <w:ind w:left="360" w:hanging="360"/>
      </w:pPr>
      <w:r>
        <w:t>(</w:t>
      </w:r>
      <w:r>
        <w:rPr>
          <w:rStyle w:val="FootnoteReference"/>
        </w:rPr>
        <w:footnoteRef/>
      </w:r>
      <w:r>
        <w:t>)</w:t>
      </w:r>
      <w:r>
        <w:tab/>
        <w:t xml:space="preserve">Communication de la Commission du </w:t>
      </w:r>
      <w:r w:rsidRPr="002C3F74">
        <w:t>15</w:t>
      </w:r>
      <w:r>
        <w:t xml:space="preserve"> novembre </w:t>
      </w:r>
      <w:r w:rsidRPr="002C3F74">
        <w:t>2023</w:t>
      </w:r>
      <w:r>
        <w:t xml:space="preserve"> sur les compétences et la mobilité des talents [COM(</w:t>
      </w:r>
      <w:r w:rsidRPr="002C3F74">
        <w:t>2023</w:t>
      </w:r>
      <w:r>
        <w:t>) </w:t>
      </w:r>
      <w:r w:rsidRPr="002C3F74">
        <w:t>715</w:t>
      </w:r>
      <w:r>
        <w:t xml:space="preserve"> final].</w:t>
      </w:r>
    </w:p>
  </w:footnote>
  <w:footnote w:id="121">
    <w:p w14:paraId="48D729B6" w14:textId="77777777" w:rsidR="004F11D0" w:rsidRPr="00630322" w:rsidRDefault="004F11D0" w:rsidP="004F11D0">
      <w:pPr>
        <w:pStyle w:val="FootnoteText"/>
        <w:spacing w:after="60"/>
        <w:ind w:left="360" w:hanging="360"/>
      </w:pPr>
      <w:r>
        <w:t>(</w:t>
      </w:r>
      <w:r>
        <w:rPr>
          <w:vertAlign w:val="superscript"/>
        </w:rPr>
        <w:footnoteRef/>
      </w:r>
      <w:r>
        <w:t>) Proposition de règlement du Parlement européen et du Conseil portant création d’un réservoir européen de talents [COM(</w:t>
      </w:r>
      <w:r w:rsidRPr="002C3F74">
        <w:t>2023</w:t>
      </w:r>
      <w:r>
        <w:t>) </w:t>
      </w:r>
      <w:r w:rsidRPr="002C3F74">
        <w:t>716</w:t>
      </w:r>
      <w:r>
        <w:t>].</w:t>
      </w:r>
    </w:p>
  </w:footnote>
  <w:footnote w:id="122">
    <w:p w14:paraId="01680D47" w14:textId="77777777" w:rsidR="004F11D0" w:rsidRPr="00987B13" w:rsidRDefault="004F11D0" w:rsidP="004F11D0">
      <w:pPr>
        <w:pStyle w:val="FootnoteText"/>
        <w:spacing w:after="60"/>
        <w:ind w:left="360" w:hanging="360"/>
      </w:pPr>
      <w:r>
        <w:t>(</w:t>
      </w:r>
      <w:r>
        <w:rPr>
          <w:rStyle w:val="FootnoteReference"/>
        </w:rPr>
        <w:footnoteRef/>
      </w:r>
      <w:r>
        <w:t>)</w:t>
      </w:r>
      <w:r>
        <w:tab/>
        <w:t>Proposition de directive du Parlement européen et du Conseil établissant une procédure de demande unique en vue de la délivrance d’un permis unique autorisant les ressortissants de pays tiers à résider et à travailler sur le territoire d’un État membre et établissant un socle commun de droits pour les travailleurs issus de pays tiers qui résident légalement dans un État membre (refonte) [COM(</w:t>
      </w:r>
      <w:r w:rsidRPr="002C3F74">
        <w:t>2022</w:t>
      </w:r>
      <w:r>
        <w:t>) </w:t>
      </w:r>
      <w:r w:rsidRPr="002C3F74">
        <w:t>655</w:t>
      </w:r>
      <w:r>
        <w:t xml:space="preserve"> final].</w:t>
      </w:r>
    </w:p>
  </w:footnote>
  <w:footnote w:id="123">
    <w:p w14:paraId="0FD20E53" w14:textId="77777777" w:rsidR="004F11D0" w:rsidRPr="00630322" w:rsidRDefault="004F11D0" w:rsidP="004F11D0">
      <w:pPr>
        <w:pStyle w:val="title-bold"/>
        <w:shd w:val="clear" w:color="auto" w:fill="FFFFFF"/>
        <w:spacing w:before="0" w:beforeAutospacing="0" w:after="60" w:afterAutospacing="0"/>
        <w:ind w:left="360" w:hanging="360"/>
        <w:jc w:val="both"/>
        <w:rPr>
          <w:sz w:val="20"/>
        </w:rPr>
      </w:pPr>
      <w:r>
        <w:rPr>
          <w:sz w:val="20"/>
        </w:rPr>
        <w:t>(</w:t>
      </w:r>
      <w:r>
        <w:rPr>
          <w:sz w:val="20"/>
          <w:vertAlign w:val="superscript"/>
        </w:rPr>
        <w:footnoteRef/>
      </w:r>
      <w:r>
        <w:rPr>
          <w:sz w:val="20"/>
        </w:rPr>
        <w:t>) Communication de la Commission au Parlement européen, au Conseil, au Comité économique et social européen et au Comité des régions — Attirer des compétences et des talents dans l’UE [COM(</w:t>
      </w:r>
      <w:r w:rsidRPr="002C3F74">
        <w:rPr>
          <w:sz w:val="20"/>
        </w:rPr>
        <w:t>2022</w:t>
      </w:r>
      <w:r>
        <w:rPr>
          <w:sz w:val="20"/>
        </w:rPr>
        <w:t>) </w:t>
      </w:r>
      <w:r w:rsidRPr="002C3F74">
        <w:rPr>
          <w:sz w:val="20"/>
        </w:rPr>
        <w:t>657</w:t>
      </w:r>
      <w:r>
        <w:rPr>
          <w:sz w:val="20"/>
        </w:rPr>
        <w:t>].</w:t>
      </w:r>
    </w:p>
  </w:footnote>
  <w:footnote w:id="124">
    <w:p w14:paraId="087C3C1B" w14:textId="77777777" w:rsidR="004F11D0" w:rsidRPr="00987B13" w:rsidRDefault="004F11D0" w:rsidP="004F11D0">
      <w:pPr>
        <w:pStyle w:val="FootnoteText"/>
        <w:spacing w:after="60"/>
        <w:ind w:left="360" w:hanging="360"/>
      </w:pPr>
      <w:r>
        <w:t>(</w:t>
      </w:r>
      <w:r>
        <w:rPr>
          <w:rStyle w:val="FootnoteReference"/>
        </w:rPr>
        <w:footnoteRef/>
      </w:r>
      <w:r>
        <w:t>)</w:t>
      </w:r>
      <w:r>
        <w:tab/>
        <w:t>L’initiative de la Commission intitulée «Pour une approche globale de la gouvernance de la migration et de la mobilité de main-d’œuvre en Afrique du Nord» (THAMM) est un exemple de programme qui soutient la création de partenariats pour les talents en renforçant la gouvernance de la migration de main-d’œuvre dans cette région et en mettant en place des programmes de mobilité vers l’Europe depuis le Maroc, la Tunisie et l’Égypte.</w:t>
      </w:r>
    </w:p>
  </w:footnote>
  <w:footnote w:id="125">
    <w:p w14:paraId="211A8E65" w14:textId="77777777" w:rsidR="004F11D0" w:rsidRPr="00E24C3B" w:rsidRDefault="004F11D0" w:rsidP="004F11D0">
      <w:pPr>
        <w:pStyle w:val="FootnoteText"/>
      </w:pPr>
      <w:r>
        <w:t>(</w:t>
      </w:r>
      <w:r>
        <w:rPr>
          <w:rStyle w:val="FootnoteReference"/>
        </w:rPr>
        <w:footnoteRef/>
      </w:r>
      <w:r>
        <w:t>)</w:t>
      </w:r>
      <w:r>
        <w:tab/>
        <w:t>Communication conjointe au Parlement européen, au Conseil, au Comité économique et social européen, au Comité des régions et à la Banque européenne d’investissement sur la stratégie «Global Gateway» [JOIN(</w:t>
      </w:r>
      <w:r w:rsidRPr="002C3F74">
        <w:t>2021</w:t>
      </w:r>
      <w:r>
        <w:t>) </w:t>
      </w:r>
      <w:r w:rsidRPr="002C3F74">
        <w:t>30</w:t>
      </w:r>
      <w:r>
        <w:t>].</w:t>
      </w:r>
    </w:p>
  </w:footnote>
  <w:footnote w:id="126">
    <w:p w14:paraId="12D58BD4" w14:textId="77777777" w:rsidR="004F11D0" w:rsidRPr="00630322" w:rsidRDefault="004F11D0" w:rsidP="004F11D0">
      <w:pPr>
        <w:pStyle w:val="FootnoteText"/>
        <w:spacing w:after="60"/>
        <w:ind w:left="360" w:hanging="360"/>
      </w:pPr>
      <w:r>
        <w:t>(</w:t>
      </w:r>
      <w:r>
        <w:rPr>
          <w:rStyle w:val="FootnoteReference"/>
        </w:rPr>
        <w:footnoteRef/>
      </w:r>
      <w:r>
        <w:t>)</w:t>
      </w:r>
      <w:r>
        <w:tab/>
        <w:t xml:space="preserve">Communication de la Commission du </w:t>
      </w:r>
      <w:r w:rsidRPr="002C3F74">
        <w:t>15</w:t>
      </w:r>
      <w:r>
        <w:t xml:space="preserve"> novembre </w:t>
      </w:r>
      <w:r w:rsidRPr="002C3F74">
        <w:t>2023</w:t>
      </w:r>
      <w:r>
        <w:t xml:space="preserve"> sur les compétences et la mobilité des talents [COM(</w:t>
      </w:r>
      <w:r w:rsidRPr="002C3F74">
        <w:t>2023</w:t>
      </w:r>
      <w:r>
        <w:t>) </w:t>
      </w:r>
      <w:r w:rsidRPr="002C3F74">
        <w:t>715</w:t>
      </w:r>
      <w:r>
        <w:t>].</w:t>
      </w:r>
    </w:p>
  </w:footnote>
  <w:footnote w:id="127">
    <w:p w14:paraId="2561F8A8" w14:textId="77777777" w:rsidR="004F11D0" w:rsidRPr="006719DD" w:rsidRDefault="004F11D0" w:rsidP="004F11D0">
      <w:pPr>
        <w:pStyle w:val="FootnoteText"/>
        <w:spacing w:after="60"/>
      </w:pPr>
      <w:r>
        <w:t>(</w:t>
      </w:r>
      <w:r>
        <w:rPr>
          <w:rStyle w:val="FootnoteReference"/>
        </w:rPr>
        <w:footnoteRef/>
      </w:r>
      <w:r>
        <w:t>)</w:t>
      </w:r>
      <w:r>
        <w:tab/>
        <w:t xml:space="preserve">Recommandation de la Commission du </w:t>
      </w:r>
      <w:r w:rsidRPr="002C3F74">
        <w:t>15</w:t>
      </w:r>
      <w:r>
        <w:t xml:space="preserve"> novembre </w:t>
      </w:r>
      <w:r w:rsidRPr="002C3F74">
        <w:t>2023</w:t>
      </w:r>
      <w:r>
        <w:t xml:space="preserve"> sur la reconnaissance des qualifications des ressortissants de pays tiers [COM(</w:t>
      </w:r>
      <w:r w:rsidRPr="002C3F74">
        <w:t>2023</w:t>
      </w:r>
      <w:r>
        <w:t>) </w:t>
      </w:r>
      <w:r w:rsidRPr="002C3F74">
        <w:t>7700</w:t>
      </w:r>
      <w:r>
        <w:t>].</w:t>
      </w:r>
    </w:p>
  </w:footnote>
  <w:footnote w:id="128">
    <w:p w14:paraId="3A8CFC71" w14:textId="77777777" w:rsidR="004F11D0" w:rsidRPr="00987B13" w:rsidRDefault="004F11D0" w:rsidP="004F11D0">
      <w:pPr>
        <w:pStyle w:val="FootnoteText"/>
        <w:spacing w:after="60"/>
        <w:ind w:left="360" w:hanging="360"/>
      </w:pPr>
      <w:r>
        <w:t>(</w:t>
      </w:r>
      <w:r>
        <w:rPr>
          <w:rStyle w:val="FootnoteReference"/>
        </w:rPr>
        <w:footnoteRef/>
      </w:r>
      <w:r>
        <w:t>)</w:t>
      </w:r>
      <w:r>
        <w:tab/>
        <w:t xml:space="preserve">Communication de la Commission au Parlement européen, au Conseil, au Comité économique et social européen et au Comité des régions — Plan d’action en faveur de l’intégration et de l’inclusion pour la période </w:t>
      </w:r>
      <w:r w:rsidRPr="002C3F74">
        <w:t>2021</w:t>
      </w:r>
      <w:r>
        <w:t>-</w:t>
      </w:r>
      <w:r w:rsidRPr="002C3F74">
        <w:t>2027</w:t>
      </w:r>
      <w:r>
        <w:t xml:space="preserve"> [COM(</w:t>
      </w:r>
      <w:r w:rsidRPr="002C3F74">
        <w:t>2020</w:t>
      </w:r>
      <w:r>
        <w:t>) </w:t>
      </w:r>
      <w:r w:rsidRPr="002C3F74">
        <w:t>758</w:t>
      </w:r>
      <w:r>
        <w:t xml:space="preserve"> final].</w:t>
      </w:r>
    </w:p>
  </w:footnote>
  <w:footnote w:id="129">
    <w:p w14:paraId="4DBD4E1C" w14:textId="77777777" w:rsidR="004F11D0" w:rsidRPr="00987B13" w:rsidRDefault="004F11D0" w:rsidP="004F11D0">
      <w:pPr>
        <w:pStyle w:val="FootnoteText"/>
        <w:spacing w:after="60"/>
        <w:ind w:left="360" w:hanging="360"/>
      </w:pPr>
      <w:r>
        <w:t>(</w:t>
      </w:r>
      <w:r>
        <w:rPr>
          <w:rStyle w:val="FootnoteReference"/>
        </w:rPr>
        <w:footnoteRef/>
      </w:r>
      <w:r>
        <w:t>)</w:t>
      </w:r>
      <w:r>
        <w:tab/>
        <w:t xml:space="preserve">Directive (UE) </w:t>
      </w:r>
      <w:r w:rsidRPr="002C3F74">
        <w:t>2021</w:t>
      </w:r>
      <w:r>
        <w:t>/</w:t>
      </w:r>
      <w:r w:rsidRPr="002C3F74">
        <w:t>1883</w:t>
      </w:r>
      <w:r>
        <w:t xml:space="preserve"> du Parlement européen et du Conseil du </w:t>
      </w:r>
      <w:r w:rsidRPr="002C3F74">
        <w:t>20</w:t>
      </w:r>
      <w:r>
        <w:t xml:space="preserve"> octobre </w:t>
      </w:r>
      <w:r w:rsidRPr="002C3F74">
        <w:t>2021</w:t>
      </w:r>
      <w:r>
        <w:t xml:space="preserve"> établissant les conditions d’entrée et de séjour des ressortissants de pays tiers aux fins d’un emploi hautement qualifié, et abrogeant la directive </w:t>
      </w:r>
      <w:r w:rsidRPr="002C3F74">
        <w:t>2009</w:t>
      </w:r>
      <w:r>
        <w:t>/</w:t>
      </w:r>
      <w:r w:rsidRPr="002C3F74">
        <w:t>50</w:t>
      </w:r>
      <w:r>
        <w:t>/CE du Conseil (JO L </w:t>
      </w:r>
      <w:r w:rsidRPr="002C3F74">
        <w:t>382</w:t>
      </w:r>
      <w:r>
        <w:t xml:space="preserve"> du </w:t>
      </w:r>
      <w:r w:rsidRPr="002C3F74">
        <w:t>28</w:t>
      </w:r>
      <w:r>
        <w:t>.</w:t>
      </w:r>
      <w:r w:rsidRPr="002C3F74">
        <w:t>10</w:t>
      </w:r>
      <w:r>
        <w:t>.</w:t>
      </w:r>
      <w:r w:rsidRPr="002C3F74">
        <w:t>2021</w:t>
      </w:r>
      <w:r>
        <w:t>, p. </w:t>
      </w:r>
      <w:r w:rsidRPr="002C3F74">
        <w:t>1</w:t>
      </w:r>
      <w:r>
        <w:t>).</w:t>
      </w:r>
    </w:p>
  </w:footnote>
  <w:footnote w:id="130">
    <w:p w14:paraId="726A5C3D" w14:textId="77777777" w:rsidR="004F11D0" w:rsidRPr="00987B13" w:rsidRDefault="004F11D0" w:rsidP="004F11D0">
      <w:pPr>
        <w:pStyle w:val="FootnoteText"/>
        <w:spacing w:after="60"/>
        <w:ind w:left="360" w:hanging="360"/>
      </w:pPr>
      <w:r>
        <w:t>(</w:t>
      </w:r>
      <w:r>
        <w:rPr>
          <w:rStyle w:val="FootnoteReference"/>
        </w:rPr>
        <w:footnoteRef/>
      </w:r>
      <w:r>
        <w:t>)</w:t>
      </w:r>
      <w:r>
        <w:tab/>
        <w:t xml:space="preserve">Directive </w:t>
      </w:r>
      <w:r w:rsidRPr="002C3F74">
        <w:t>2009</w:t>
      </w:r>
      <w:r>
        <w:t>/</w:t>
      </w:r>
      <w:r w:rsidRPr="002C3F74">
        <w:t>52</w:t>
      </w:r>
      <w:r>
        <w:t xml:space="preserve">/CE du Parlement européen et du Conseil du </w:t>
      </w:r>
      <w:r w:rsidRPr="002C3F74">
        <w:t>18</w:t>
      </w:r>
      <w:r>
        <w:t> juin </w:t>
      </w:r>
      <w:r w:rsidRPr="002C3F74">
        <w:t>2009</w:t>
      </w:r>
      <w:r>
        <w:t xml:space="preserve"> prévoyant des normes minimales concernant les sanctions et les mesures à l’encontre des employeurs de ressortissants de pays tiers en séjour irrégulier (JO L </w:t>
      </w:r>
      <w:r w:rsidRPr="002C3F74">
        <w:t>168</w:t>
      </w:r>
      <w:r>
        <w:t xml:space="preserve"> du </w:t>
      </w:r>
      <w:r w:rsidRPr="002C3F74">
        <w:t>30</w:t>
      </w:r>
      <w:r>
        <w:t>.</w:t>
      </w:r>
      <w:r w:rsidRPr="002C3F74">
        <w:t>6</w:t>
      </w:r>
      <w:r>
        <w:t>.</w:t>
      </w:r>
      <w:r w:rsidRPr="002C3F74">
        <w:t>2009</w:t>
      </w:r>
      <w:r>
        <w:t>, p. </w:t>
      </w:r>
      <w:r w:rsidRPr="002C3F74">
        <w:t>24</w:t>
      </w:r>
      <w:r>
        <w:t>).</w:t>
      </w:r>
    </w:p>
  </w:footnote>
  <w:footnote w:id="131">
    <w:p w14:paraId="756188B8" w14:textId="77777777" w:rsidR="004F11D0" w:rsidRPr="000B489E" w:rsidRDefault="004F11D0" w:rsidP="004F11D0">
      <w:pPr>
        <w:pStyle w:val="FootnoteText"/>
        <w:spacing w:after="60"/>
      </w:pPr>
      <w:r>
        <w:t>(</w:t>
      </w:r>
      <w:r>
        <w:rPr>
          <w:rStyle w:val="FootnoteReference"/>
        </w:rPr>
        <w:footnoteRef/>
      </w:r>
      <w:r>
        <w:t>)</w:t>
      </w:r>
      <w:r>
        <w:tab/>
        <w:t xml:space="preserve"> BusinessEurope, ECEG, HOTREC et SMEunited.</w:t>
      </w:r>
    </w:p>
  </w:footnote>
  <w:footnote w:id="132">
    <w:p w14:paraId="39C6DEB9" w14:textId="77777777" w:rsidR="004F11D0" w:rsidRPr="004F15F4" w:rsidRDefault="004F11D0" w:rsidP="004F11D0">
      <w:pPr>
        <w:spacing w:after="60"/>
        <w:rPr>
          <w:sz w:val="20"/>
        </w:rPr>
      </w:pPr>
      <w:r>
        <w:rPr>
          <w:sz w:val="20"/>
        </w:rPr>
        <w:t>(</w:t>
      </w:r>
      <w:r>
        <w:rPr>
          <w:sz w:val="20"/>
          <w:vertAlign w:val="superscript"/>
        </w:rPr>
        <w:footnoteRef/>
      </w:r>
      <w:r>
        <w:rPr>
          <w:sz w:val="20"/>
        </w:rPr>
        <w:t>) Confédération européenne des syndicats indépendants (CESI), CES et IndustriAll.</w:t>
      </w:r>
    </w:p>
  </w:footnote>
  <w:footnote w:id="133">
    <w:p w14:paraId="1D5B3DFE" w14:textId="77777777" w:rsidR="004F11D0" w:rsidRPr="00033B16" w:rsidRDefault="004F11D0" w:rsidP="004F11D0">
      <w:pPr>
        <w:pStyle w:val="FootnoteText"/>
        <w:spacing w:after="60"/>
        <w:ind w:left="360" w:hanging="360"/>
      </w:pPr>
      <w:r>
        <w:t>(</w:t>
      </w:r>
      <w:r>
        <w:rPr>
          <w:rStyle w:val="FootnoteReference"/>
        </w:rPr>
        <w:footnoteRef/>
      </w:r>
      <w:r>
        <w:t>)</w:t>
      </w:r>
      <w:r>
        <w:tab/>
        <w:t xml:space="preserve"> IRU.</w:t>
      </w:r>
    </w:p>
  </w:footnote>
  <w:footnote w:id="134">
    <w:p w14:paraId="50660A7F" w14:textId="77777777" w:rsidR="004F11D0" w:rsidRPr="00630322" w:rsidRDefault="004F11D0" w:rsidP="004F11D0">
      <w:pPr>
        <w:pStyle w:val="FootnoteText"/>
        <w:spacing w:after="60"/>
        <w:ind w:left="360" w:hanging="360"/>
      </w:pPr>
      <w:r>
        <w:t>(</w:t>
      </w:r>
      <w:r>
        <w:rPr>
          <w:rStyle w:val="FootnoteReference"/>
        </w:rPr>
        <w:footnoteRef/>
      </w:r>
      <w:r>
        <w:t>)</w:t>
      </w:r>
      <w:r>
        <w:tab/>
        <w:t xml:space="preserve">Directive (UE) </w:t>
      </w:r>
      <w:r w:rsidRPr="002C3F74">
        <w:t>2019</w:t>
      </w:r>
      <w:r>
        <w:t>/</w:t>
      </w:r>
      <w:r w:rsidRPr="002C3F74">
        <w:t>1158</w:t>
      </w:r>
      <w:r>
        <w:t xml:space="preserve"> du Parlement européen et du Conseil du </w:t>
      </w:r>
      <w:r w:rsidRPr="002C3F74">
        <w:t>20</w:t>
      </w:r>
      <w:r>
        <w:t xml:space="preserve"> juin </w:t>
      </w:r>
      <w:r w:rsidRPr="002C3F74">
        <w:t>2019</w:t>
      </w:r>
      <w:r>
        <w:t xml:space="preserve"> concernant l’équilibre entre vie professionnelle et vie privée des parents et des aidants et abrogeant la directive </w:t>
      </w:r>
      <w:r w:rsidRPr="002C3F74">
        <w:t>2010</w:t>
      </w:r>
      <w:r>
        <w:t>/</w:t>
      </w:r>
      <w:r w:rsidRPr="002C3F74">
        <w:t>18</w:t>
      </w:r>
      <w:r>
        <w:t>/UE du Conseil.</w:t>
      </w:r>
    </w:p>
  </w:footnote>
  <w:footnote w:id="135">
    <w:p w14:paraId="75AD8014" w14:textId="77777777" w:rsidR="004F11D0" w:rsidRPr="00630322" w:rsidRDefault="004F11D0" w:rsidP="004F11D0">
      <w:pPr>
        <w:pStyle w:val="FootnoteText"/>
        <w:spacing w:after="60"/>
        <w:ind w:left="360" w:hanging="360"/>
      </w:pPr>
      <w:r>
        <w:t>(</w:t>
      </w:r>
      <w:r>
        <w:rPr>
          <w:rStyle w:val="FootnoteReference"/>
        </w:rPr>
        <w:footnoteRef/>
      </w:r>
      <w:r>
        <w:t>)</w:t>
      </w:r>
      <w:r>
        <w:tab/>
        <w:t xml:space="preserve">Recommandation du Conseil du </w:t>
      </w:r>
      <w:r w:rsidRPr="002C3F74">
        <w:t>30</w:t>
      </w:r>
      <w:r>
        <w:t xml:space="preserve"> octobre </w:t>
      </w:r>
      <w:r w:rsidRPr="002C3F74">
        <w:t>2020</w:t>
      </w:r>
      <w:r>
        <w:t xml:space="preserve"> relative à «Un pont vers l’emploi — Renforcer la garantie pour la jeunesse» et remplaçant la recommandation du Conseil du </w:t>
      </w:r>
      <w:r w:rsidRPr="002C3F74">
        <w:t>22</w:t>
      </w:r>
      <w:r>
        <w:t xml:space="preserve"> avril </w:t>
      </w:r>
      <w:r w:rsidRPr="002C3F74">
        <w:t>2013</w:t>
      </w:r>
      <w:r>
        <w:t xml:space="preserve"> sur l’établissement d’une garantie pour la jeunesse (</w:t>
      </w:r>
      <w:r w:rsidRPr="002C3F74">
        <w:t>2020</w:t>
      </w:r>
      <w:r>
        <w:t>/C </w:t>
      </w:r>
      <w:r w:rsidRPr="002C3F74">
        <w:t>372</w:t>
      </w:r>
      <w:r>
        <w:t>/</w:t>
      </w:r>
      <w:r w:rsidRPr="002C3F74">
        <w:t>01</w:t>
      </w:r>
      <w:r>
        <w:t>).</w:t>
      </w:r>
    </w:p>
  </w:footnote>
  <w:footnote w:id="136">
    <w:p w14:paraId="1C176638" w14:textId="77777777" w:rsidR="004F11D0" w:rsidRPr="00630322" w:rsidRDefault="004F11D0" w:rsidP="004F11D0">
      <w:pPr>
        <w:pStyle w:val="FootnoteText"/>
        <w:spacing w:after="60"/>
        <w:ind w:left="360" w:hanging="360"/>
      </w:pPr>
      <w:r>
        <w:t>(</w:t>
      </w:r>
      <w:r>
        <w:rPr>
          <w:vertAlign w:val="superscript"/>
        </w:rPr>
        <w:footnoteRef/>
      </w:r>
      <w:r>
        <w:t>)</w:t>
      </w:r>
      <w:r>
        <w:tab/>
        <w:t xml:space="preserve">Recommandation du Conseil du </w:t>
      </w:r>
      <w:r w:rsidRPr="002C3F74">
        <w:t>15</w:t>
      </w:r>
      <w:r>
        <w:t xml:space="preserve"> février </w:t>
      </w:r>
      <w:r w:rsidRPr="002C3F74">
        <w:t>2016</w:t>
      </w:r>
      <w:r>
        <w:t xml:space="preserve"> relative à l’intégration des chômeurs de longue durée sur le marché du travail (JO C </w:t>
      </w:r>
      <w:r w:rsidRPr="002C3F74">
        <w:t>67</w:t>
      </w:r>
      <w:r>
        <w:t>).</w:t>
      </w:r>
    </w:p>
  </w:footnote>
  <w:footnote w:id="137">
    <w:p w14:paraId="48B93C00" w14:textId="77777777" w:rsidR="004F11D0" w:rsidRPr="00630322" w:rsidRDefault="004F11D0" w:rsidP="004F11D0">
      <w:pPr>
        <w:pStyle w:val="FootnoteText"/>
        <w:spacing w:after="60"/>
        <w:ind w:left="360" w:hanging="360"/>
      </w:pPr>
      <w:r>
        <w:t>(</w:t>
      </w:r>
      <w:r>
        <w:rPr>
          <w:rStyle w:val="FootnoteReference"/>
        </w:rPr>
        <w:footnoteRef/>
      </w:r>
      <w:r>
        <w:t>)</w:t>
      </w:r>
      <w:r>
        <w:tab/>
        <w:t>Communication de la Commission sur la stratégie européenne en matière de soins [COM(</w:t>
      </w:r>
      <w:r w:rsidRPr="002C3F74">
        <w:t>2022</w:t>
      </w:r>
      <w:r>
        <w:t>) </w:t>
      </w:r>
      <w:r w:rsidRPr="002C3F74">
        <w:t>440</w:t>
      </w:r>
      <w:r>
        <w:t xml:space="preserve"> final].</w:t>
      </w:r>
    </w:p>
  </w:footnote>
  <w:footnote w:id="138">
    <w:p w14:paraId="053F94AF" w14:textId="77777777" w:rsidR="004F11D0" w:rsidRPr="00630322" w:rsidRDefault="004F11D0" w:rsidP="004F11D0">
      <w:pPr>
        <w:pStyle w:val="FootnoteText"/>
        <w:spacing w:after="60"/>
        <w:ind w:left="360" w:hanging="360"/>
      </w:pPr>
      <w:r>
        <w:t>(</w:t>
      </w:r>
      <w:r>
        <w:rPr>
          <w:rStyle w:val="FootnoteReference"/>
        </w:rPr>
        <w:footnoteRef/>
      </w:r>
      <w:r>
        <w:t>)</w:t>
      </w:r>
      <w:r>
        <w:tab/>
        <w:t xml:space="preserve">Recommandation du Conseil du </w:t>
      </w:r>
      <w:r w:rsidRPr="002C3F74">
        <w:t>8</w:t>
      </w:r>
      <w:r>
        <w:t xml:space="preserve"> décembre </w:t>
      </w:r>
      <w:r w:rsidRPr="002C3F74">
        <w:t>2022</w:t>
      </w:r>
      <w:r>
        <w:t xml:space="preserve"> concernant l’éducation et l’accueil de la petite enfance: les objectifs de Barcelone pour </w:t>
      </w:r>
      <w:r w:rsidRPr="002C3F74">
        <w:t>2030</w:t>
      </w:r>
      <w:r>
        <w:t xml:space="preserve"> (</w:t>
      </w:r>
      <w:r w:rsidRPr="002C3F74">
        <w:t>2022</w:t>
      </w:r>
      <w:r>
        <w:t xml:space="preserve">/C </w:t>
      </w:r>
      <w:r w:rsidRPr="002C3F74">
        <w:t>484</w:t>
      </w:r>
      <w:r>
        <w:t>/</w:t>
      </w:r>
      <w:r w:rsidRPr="002C3F74">
        <w:t>01</w:t>
      </w:r>
      <w:r>
        <w:t>).</w:t>
      </w:r>
    </w:p>
  </w:footnote>
  <w:footnote w:id="139">
    <w:p w14:paraId="7337B864" w14:textId="77777777" w:rsidR="004F11D0" w:rsidRPr="00630322" w:rsidRDefault="004F11D0" w:rsidP="004F11D0">
      <w:pPr>
        <w:pStyle w:val="FootnoteText"/>
        <w:spacing w:after="60"/>
        <w:ind w:left="360" w:hanging="360"/>
      </w:pPr>
      <w:r>
        <w:t>(</w:t>
      </w:r>
      <w:r>
        <w:rPr>
          <w:rStyle w:val="FootnoteReference"/>
        </w:rPr>
        <w:footnoteRef/>
      </w:r>
      <w:r>
        <w:t>)</w:t>
      </w:r>
      <w:r>
        <w:tab/>
        <w:t xml:space="preserve">Recommandation du Conseil du </w:t>
      </w:r>
      <w:r w:rsidRPr="002C3F74">
        <w:t>22</w:t>
      </w:r>
      <w:r>
        <w:t xml:space="preserve"> mai </w:t>
      </w:r>
      <w:r w:rsidRPr="002C3F74">
        <w:t>2019</w:t>
      </w:r>
      <w:r>
        <w:t xml:space="preserve"> relative à des systèmes de qualité pour l’éducation et l’accueil de la petite enfance (</w:t>
      </w:r>
      <w:r w:rsidRPr="002C3F74">
        <w:t>2019</w:t>
      </w:r>
      <w:r>
        <w:t xml:space="preserve">/C </w:t>
      </w:r>
      <w:r w:rsidRPr="002C3F74">
        <w:t>189</w:t>
      </w:r>
      <w:r>
        <w:t>/</w:t>
      </w:r>
      <w:r w:rsidRPr="002C3F74">
        <w:t>02</w:t>
      </w:r>
      <w:r>
        <w:t>).</w:t>
      </w:r>
    </w:p>
  </w:footnote>
  <w:footnote w:id="140">
    <w:p w14:paraId="3BA9C4B9" w14:textId="77777777" w:rsidR="004F11D0" w:rsidRPr="00630322" w:rsidRDefault="004F11D0" w:rsidP="004F11D0">
      <w:pPr>
        <w:pStyle w:val="FootnoteText"/>
        <w:spacing w:after="60"/>
      </w:pPr>
      <w:r>
        <w:t>(</w:t>
      </w:r>
      <w:r>
        <w:rPr>
          <w:rStyle w:val="FootnoteReference"/>
        </w:rPr>
        <w:footnoteRef/>
      </w:r>
      <w:r>
        <w:t>)</w:t>
      </w:r>
      <w:r>
        <w:tab/>
        <w:t xml:space="preserve">Communication sur une Union de l’égalité intitulée «Stratégie en faveur des droits des personnes handicapées </w:t>
      </w:r>
      <w:r w:rsidRPr="002C3F74">
        <w:t>2021</w:t>
      </w:r>
      <w:r>
        <w:t>-</w:t>
      </w:r>
      <w:r w:rsidRPr="002C3F74">
        <w:t>2030</w:t>
      </w:r>
      <w:r>
        <w:t>» [COM(</w:t>
      </w:r>
      <w:r w:rsidRPr="002C3F74">
        <w:t>2021</w:t>
      </w:r>
      <w:r>
        <w:t>) </w:t>
      </w:r>
      <w:r w:rsidRPr="002C3F74">
        <w:t>101</w:t>
      </w:r>
      <w:r>
        <w:t>].</w:t>
      </w:r>
    </w:p>
  </w:footnote>
  <w:footnote w:id="141">
    <w:p w14:paraId="7AECB25D" w14:textId="77777777" w:rsidR="004F11D0" w:rsidRPr="00630322" w:rsidRDefault="004F11D0" w:rsidP="004F11D0">
      <w:pPr>
        <w:pStyle w:val="FootnoteText"/>
        <w:spacing w:after="60"/>
      </w:pPr>
      <w:r>
        <w:t>(</w:t>
      </w:r>
      <w:r>
        <w:rPr>
          <w:rStyle w:val="FootnoteReference"/>
        </w:rPr>
        <w:footnoteRef/>
      </w:r>
      <w:r>
        <w:t>)</w:t>
      </w:r>
      <w:r>
        <w:tab/>
        <w:t>Communication de la Commission intitulée «L’évolution démographique en Europe: une panoplie d’instruments d’action» [COM(</w:t>
      </w:r>
      <w:r w:rsidRPr="002C3F74">
        <w:t>2023</w:t>
      </w:r>
      <w:r>
        <w:t>) </w:t>
      </w:r>
      <w:r w:rsidRPr="002C3F74">
        <w:t>577</w:t>
      </w:r>
      <w:r>
        <w:t>].</w:t>
      </w:r>
    </w:p>
  </w:footnote>
  <w:footnote w:id="142">
    <w:p w14:paraId="65838CB9" w14:textId="77777777" w:rsidR="004F11D0" w:rsidRPr="00630322" w:rsidRDefault="004F11D0" w:rsidP="004F11D0">
      <w:pPr>
        <w:pStyle w:val="FootnoteText"/>
        <w:spacing w:after="60"/>
      </w:pPr>
      <w:r>
        <w:t>(</w:t>
      </w:r>
      <w:r>
        <w:rPr>
          <w:vertAlign w:val="superscript"/>
        </w:rPr>
        <w:footnoteRef/>
      </w:r>
      <w:r>
        <w:t>)</w:t>
      </w:r>
      <w:r>
        <w:tab/>
        <w:t xml:space="preserve">Communication de la </w:t>
      </w:r>
      <w:r>
        <w:rPr>
          <w:color w:val="333333"/>
        </w:rPr>
        <w:t>Commission intitulée «Construire une économie au service des personnes: plan d’action pour l’économie sociale» [COM(</w:t>
      </w:r>
      <w:r w:rsidRPr="002C3F74">
        <w:rPr>
          <w:color w:val="333333"/>
        </w:rPr>
        <w:t>2021</w:t>
      </w:r>
      <w:r>
        <w:rPr>
          <w:color w:val="333333"/>
        </w:rPr>
        <w:t>) </w:t>
      </w:r>
      <w:r w:rsidRPr="002C3F74">
        <w:rPr>
          <w:color w:val="333333"/>
        </w:rPr>
        <w:t>778</w:t>
      </w:r>
      <w:r>
        <w:rPr>
          <w:color w:val="333333"/>
        </w:rPr>
        <w:t>].</w:t>
      </w:r>
    </w:p>
  </w:footnote>
  <w:footnote w:id="143">
    <w:p w14:paraId="02BA87A0" w14:textId="77777777" w:rsidR="004F11D0" w:rsidRPr="00630322" w:rsidRDefault="004F11D0" w:rsidP="004F11D0">
      <w:pPr>
        <w:pStyle w:val="FootnoteText"/>
        <w:spacing w:after="60"/>
      </w:pPr>
      <w:r>
        <w:t>(</w:t>
      </w:r>
      <w:r>
        <w:rPr>
          <w:vertAlign w:val="superscript"/>
        </w:rPr>
        <w:footnoteRef/>
      </w:r>
      <w:r>
        <w:t>)</w:t>
      </w:r>
      <w:r>
        <w:rPr>
          <w:vertAlign w:val="superscript"/>
        </w:rPr>
        <w:t xml:space="preserve"> </w:t>
      </w:r>
      <w:r>
        <w:t xml:space="preserve">Recommandation du Conseil du </w:t>
      </w:r>
      <w:r w:rsidRPr="002C3F74">
        <w:t>27</w:t>
      </w:r>
      <w:r>
        <w:t xml:space="preserve"> novembre </w:t>
      </w:r>
      <w:r w:rsidRPr="002C3F74">
        <w:t>2023</w:t>
      </w:r>
      <w:r>
        <w:t xml:space="preserve"> relative à la mise en place des conditions-cadres de l’économie sociale (C/</w:t>
      </w:r>
      <w:r w:rsidRPr="002C3F74">
        <w:t>2023</w:t>
      </w:r>
      <w:r>
        <w:t>/</w:t>
      </w:r>
      <w:r w:rsidRPr="002C3F74">
        <w:t>1344</w:t>
      </w:r>
      <w:r>
        <w:t>).</w:t>
      </w:r>
    </w:p>
  </w:footnote>
  <w:footnote w:id="144">
    <w:p w14:paraId="48F1C69D" w14:textId="77777777" w:rsidR="004F11D0" w:rsidRPr="00A86003" w:rsidRDefault="004F11D0" w:rsidP="004F11D0">
      <w:pPr>
        <w:spacing w:after="60"/>
        <w:ind w:left="360" w:hanging="360"/>
        <w:rPr>
          <w:rFonts w:eastAsia="Times New Roman Bold"/>
          <w:sz w:val="20"/>
        </w:rPr>
      </w:pPr>
      <w:r>
        <w:rPr>
          <w:sz w:val="20"/>
        </w:rPr>
        <w:t>(</w:t>
      </w:r>
      <w:r>
        <w:rPr>
          <w:sz w:val="20"/>
          <w:vertAlign w:val="superscript"/>
        </w:rPr>
        <w:footnoteRef/>
      </w:r>
      <w:r>
        <w:rPr>
          <w:sz w:val="20"/>
        </w:rPr>
        <w:t>)</w:t>
      </w:r>
      <w:r>
        <w:rPr>
          <w:sz w:val="20"/>
        </w:rPr>
        <w:tab/>
        <w:t xml:space="preserve">Elles incluent la stratégie en faveur de l’égalité entre les hommes et les femmes </w:t>
      </w:r>
      <w:r w:rsidRPr="002C3F74">
        <w:rPr>
          <w:sz w:val="20"/>
        </w:rPr>
        <w:t>2020</w:t>
      </w:r>
      <w:r>
        <w:rPr>
          <w:sz w:val="20"/>
        </w:rPr>
        <w:t>-</w:t>
      </w:r>
      <w:r w:rsidRPr="002C3F74">
        <w:rPr>
          <w:sz w:val="20"/>
        </w:rPr>
        <w:t>2025</w:t>
      </w:r>
      <w:r>
        <w:rPr>
          <w:sz w:val="20"/>
        </w:rPr>
        <w:t xml:space="preserve">, la stratégie en faveur de l’égalité de traitement à l’égard des personnes LGBTIQ pour la période </w:t>
      </w:r>
      <w:r w:rsidRPr="002C3F74">
        <w:rPr>
          <w:sz w:val="20"/>
        </w:rPr>
        <w:t>2020</w:t>
      </w:r>
      <w:r>
        <w:rPr>
          <w:sz w:val="20"/>
        </w:rPr>
        <w:t>-</w:t>
      </w:r>
      <w:r w:rsidRPr="002C3F74">
        <w:rPr>
          <w:sz w:val="20"/>
        </w:rPr>
        <w:t>2025</w:t>
      </w:r>
      <w:r>
        <w:rPr>
          <w:sz w:val="20"/>
        </w:rPr>
        <w:t xml:space="preserve">, le cadre stratégique de l’UE en faveur des Roms </w:t>
      </w:r>
      <w:r w:rsidRPr="002C3F74">
        <w:rPr>
          <w:sz w:val="20"/>
        </w:rPr>
        <w:t>2020</w:t>
      </w:r>
      <w:r>
        <w:rPr>
          <w:sz w:val="20"/>
        </w:rPr>
        <w:t>-</w:t>
      </w:r>
      <w:r w:rsidRPr="002C3F74">
        <w:rPr>
          <w:sz w:val="20"/>
        </w:rPr>
        <w:t>2030</w:t>
      </w:r>
      <w:r>
        <w:rPr>
          <w:sz w:val="20"/>
        </w:rPr>
        <w:t xml:space="preserve">, le plan d’action de l’UE contre le racisme </w:t>
      </w:r>
      <w:r w:rsidRPr="002C3F74">
        <w:rPr>
          <w:sz w:val="20"/>
        </w:rPr>
        <w:t>2020</w:t>
      </w:r>
      <w:r>
        <w:rPr>
          <w:sz w:val="20"/>
        </w:rPr>
        <w:t>-</w:t>
      </w:r>
      <w:r w:rsidRPr="002C3F74">
        <w:rPr>
          <w:sz w:val="20"/>
        </w:rPr>
        <w:t>2025</w:t>
      </w:r>
      <w:r>
        <w:rPr>
          <w:sz w:val="20"/>
        </w:rPr>
        <w:t xml:space="preserve"> et la stratégie en faveur des droits des personnes handicapées </w:t>
      </w:r>
      <w:r w:rsidRPr="002C3F74">
        <w:rPr>
          <w:sz w:val="20"/>
        </w:rPr>
        <w:t>2021</w:t>
      </w:r>
      <w:r>
        <w:rPr>
          <w:sz w:val="20"/>
        </w:rPr>
        <w:t>-</w:t>
      </w:r>
      <w:r w:rsidRPr="002C3F74">
        <w:rPr>
          <w:sz w:val="20"/>
        </w:rPr>
        <w:t>2030</w:t>
      </w:r>
      <w:r>
        <w:rPr>
          <w:sz w:val="20"/>
        </w:rPr>
        <w:t>.</w:t>
      </w:r>
    </w:p>
  </w:footnote>
  <w:footnote w:id="145">
    <w:p w14:paraId="7E5D456F" w14:textId="77777777" w:rsidR="004F11D0" w:rsidRPr="00A86003" w:rsidRDefault="004F11D0" w:rsidP="004F11D0">
      <w:pPr>
        <w:spacing w:after="60"/>
        <w:ind w:left="360" w:hanging="360"/>
        <w:rPr>
          <w:sz w:val="20"/>
        </w:rPr>
      </w:pPr>
      <w:r>
        <w:rPr>
          <w:sz w:val="20"/>
        </w:rPr>
        <w:t>(</w:t>
      </w:r>
      <w:r>
        <w:rPr>
          <w:sz w:val="20"/>
          <w:vertAlign w:val="superscript"/>
        </w:rPr>
        <w:footnoteRef/>
      </w:r>
      <w:r>
        <w:rPr>
          <w:sz w:val="20"/>
        </w:rPr>
        <w:t>)</w:t>
      </w:r>
      <w:r>
        <w:rPr>
          <w:sz w:val="20"/>
        </w:rPr>
        <w:tab/>
        <w:t xml:space="preserve">Communication de la Commission au Parlement européen, au Conseil, au Comité économique et social européen et au Comité des régions intitulée «Une Union de l’égalité: stratégie en faveur de l’égalité entre les hommes et les femmes </w:t>
      </w:r>
      <w:r w:rsidRPr="002C3F74">
        <w:rPr>
          <w:sz w:val="20"/>
        </w:rPr>
        <w:t>2020</w:t>
      </w:r>
      <w:r>
        <w:rPr>
          <w:sz w:val="20"/>
        </w:rPr>
        <w:t>-</w:t>
      </w:r>
      <w:r w:rsidRPr="002C3F74">
        <w:rPr>
          <w:sz w:val="20"/>
        </w:rPr>
        <w:t>2025</w:t>
      </w:r>
      <w:r>
        <w:rPr>
          <w:sz w:val="20"/>
        </w:rPr>
        <w:t>» [COM(</w:t>
      </w:r>
      <w:r w:rsidRPr="002C3F74">
        <w:rPr>
          <w:sz w:val="20"/>
        </w:rPr>
        <w:t>2020</w:t>
      </w:r>
      <w:r>
        <w:rPr>
          <w:sz w:val="20"/>
        </w:rPr>
        <w:t>) </w:t>
      </w:r>
      <w:r w:rsidRPr="002C3F74">
        <w:rPr>
          <w:sz w:val="20"/>
        </w:rPr>
        <w:t>152</w:t>
      </w:r>
      <w:r>
        <w:rPr>
          <w:sz w:val="20"/>
        </w:rPr>
        <w:t>].</w:t>
      </w:r>
    </w:p>
  </w:footnote>
  <w:footnote w:id="146">
    <w:p w14:paraId="5B3DA058" w14:textId="77777777" w:rsidR="004F11D0" w:rsidRPr="00A86003" w:rsidRDefault="004F11D0" w:rsidP="004F11D0">
      <w:pPr>
        <w:spacing w:after="60"/>
        <w:ind w:left="360" w:hanging="360"/>
        <w:rPr>
          <w:sz w:val="20"/>
        </w:rPr>
      </w:pPr>
      <w:r>
        <w:rPr>
          <w:sz w:val="20"/>
        </w:rPr>
        <w:t>(</w:t>
      </w:r>
      <w:r>
        <w:rPr>
          <w:sz w:val="20"/>
          <w:vertAlign w:val="superscript"/>
        </w:rPr>
        <w:footnoteRef/>
      </w:r>
      <w:r>
        <w:rPr>
          <w:sz w:val="20"/>
        </w:rPr>
        <w:t>)</w:t>
      </w:r>
      <w:r>
        <w:rPr>
          <w:sz w:val="20"/>
        </w:rPr>
        <w:tab/>
        <w:t xml:space="preserve">Directive (UE) </w:t>
      </w:r>
      <w:r w:rsidRPr="002C3F74">
        <w:rPr>
          <w:sz w:val="20"/>
        </w:rPr>
        <w:t>2023</w:t>
      </w:r>
      <w:r>
        <w:rPr>
          <w:sz w:val="20"/>
        </w:rPr>
        <w:t>/</w:t>
      </w:r>
      <w:r w:rsidRPr="002C3F74">
        <w:rPr>
          <w:sz w:val="20"/>
        </w:rPr>
        <w:t>970</w:t>
      </w:r>
      <w:r>
        <w:rPr>
          <w:sz w:val="20"/>
        </w:rPr>
        <w:t xml:space="preserve"> du Parlement européen et du Conseil du </w:t>
      </w:r>
      <w:r w:rsidRPr="002C3F74">
        <w:rPr>
          <w:sz w:val="20"/>
        </w:rPr>
        <w:t>10</w:t>
      </w:r>
      <w:r>
        <w:rPr>
          <w:sz w:val="20"/>
        </w:rPr>
        <w:t xml:space="preserve"> mai </w:t>
      </w:r>
      <w:r w:rsidRPr="002C3F74">
        <w:rPr>
          <w:sz w:val="20"/>
        </w:rPr>
        <w:t>2023</w:t>
      </w:r>
      <w:r>
        <w:rPr>
          <w:sz w:val="20"/>
        </w:rPr>
        <w:t xml:space="preserve"> visant à renforcer l’application du principe de l’égalité des rémunérations entre les femmes et les hommes pour un même travail ou un travail de même valeur par la transparence des rémunérations et les mécanismes d’application du droit.</w:t>
      </w:r>
    </w:p>
  </w:footnote>
  <w:footnote w:id="147">
    <w:p w14:paraId="663D34E5" w14:textId="77777777" w:rsidR="004F11D0" w:rsidRPr="00A86003" w:rsidRDefault="004F11D0" w:rsidP="004F11D0">
      <w:pPr>
        <w:spacing w:after="60"/>
        <w:ind w:left="360" w:hanging="360"/>
        <w:rPr>
          <w:sz w:val="20"/>
        </w:rPr>
      </w:pPr>
      <w:r>
        <w:rPr>
          <w:sz w:val="20"/>
        </w:rPr>
        <w:t>(</w:t>
      </w:r>
      <w:r>
        <w:rPr>
          <w:sz w:val="20"/>
          <w:vertAlign w:val="superscript"/>
        </w:rPr>
        <w:footnoteRef/>
      </w:r>
      <w:r>
        <w:rPr>
          <w:sz w:val="20"/>
        </w:rPr>
        <w:t>)</w:t>
      </w:r>
      <w:r>
        <w:rPr>
          <w:sz w:val="20"/>
        </w:rPr>
        <w:tab/>
        <w:t xml:space="preserve">Recommandation du Conseil du </w:t>
      </w:r>
      <w:r w:rsidRPr="002C3F74">
        <w:rPr>
          <w:sz w:val="20"/>
        </w:rPr>
        <w:t>22</w:t>
      </w:r>
      <w:r>
        <w:rPr>
          <w:sz w:val="20"/>
        </w:rPr>
        <w:t xml:space="preserve"> mai </w:t>
      </w:r>
      <w:r w:rsidRPr="002C3F74">
        <w:rPr>
          <w:sz w:val="20"/>
        </w:rPr>
        <w:t>2019</w:t>
      </w:r>
      <w:r>
        <w:rPr>
          <w:sz w:val="20"/>
        </w:rPr>
        <w:t xml:space="preserve"> relative à des systèmes de qualité pour l’éducation et l’accueil de la petite enfance, ST/</w:t>
      </w:r>
      <w:r w:rsidRPr="002C3F74">
        <w:rPr>
          <w:sz w:val="20"/>
        </w:rPr>
        <w:t>9014</w:t>
      </w:r>
      <w:r>
        <w:rPr>
          <w:sz w:val="20"/>
        </w:rPr>
        <w:t>/</w:t>
      </w:r>
      <w:r w:rsidRPr="002C3F74">
        <w:rPr>
          <w:sz w:val="20"/>
        </w:rPr>
        <w:t>2019</w:t>
      </w:r>
      <w:r>
        <w:rPr>
          <w:sz w:val="20"/>
        </w:rPr>
        <w:t>/INIT.</w:t>
      </w:r>
    </w:p>
  </w:footnote>
  <w:footnote w:id="148">
    <w:p w14:paraId="552328BB" w14:textId="77777777" w:rsidR="004F11D0" w:rsidRPr="00A86003" w:rsidRDefault="004F11D0" w:rsidP="004F11D0">
      <w:pPr>
        <w:spacing w:after="60"/>
        <w:ind w:left="360" w:hanging="360"/>
        <w:rPr>
          <w:sz w:val="20"/>
        </w:rPr>
      </w:pPr>
      <w:r>
        <w:rPr>
          <w:sz w:val="20"/>
        </w:rPr>
        <w:t>(</w:t>
      </w:r>
      <w:r>
        <w:rPr>
          <w:sz w:val="20"/>
          <w:vertAlign w:val="superscript"/>
        </w:rPr>
        <w:footnoteRef/>
      </w:r>
      <w:r>
        <w:rPr>
          <w:sz w:val="20"/>
        </w:rPr>
        <w:t>)</w:t>
      </w:r>
      <w:r>
        <w:rPr>
          <w:sz w:val="20"/>
        </w:rPr>
        <w:tab/>
        <w:t xml:space="preserve">Directive (UE) </w:t>
      </w:r>
      <w:r w:rsidRPr="002C3F74">
        <w:rPr>
          <w:sz w:val="20"/>
        </w:rPr>
        <w:t>2019</w:t>
      </w:r>
      <w:r>
        <w:rPr>
          <w:sz w:val="20"/>
        </w:rPr>
        <w:t>/</w:t>
      </w:r>
      <w:r w:rsidRPr="002C3F74">
        <w:rPr>
          <w:sz w:val="20"/>
        </w:rPr>
        <w:t>1158</w:t>
      </w:r>
      <w:r>
        <w:rPr>
          <w:sz w:val="20"/>
        </w:rPr>
        <w:t xml:space="preserve"> du Parlement européen et du Conseil du </w:t>
      </w:r>
      <w:r w:rsidRPr="002C3F74">
        <w:rPr>
          <w:sz w:val="20"/>
        </w:rPr>
        <w:t>20</w:t>
      </w:r>
      <w:r>
        <w:rPr>
          <w:sz w:val="20"/>
        </w:rPr>
        <w:t xml:space="preserve"> juin </w:t>
      </w:r>
      <w:r w:rsidRPr="002C3F74">
        <w:rPr>
          <w:sz w:val="20"/>
        </w:rPr>
        <w:t>2019</w:t>
      </w:r>
      <w:r>
        <w:rPr>
          <w:sz w:val="20"/>
        </w:rPr>
        <w:t xml:space="preserve"> concernant l’équilibre entre vie professionnelle et vie privée des parents et des aidants et abrogeant la directive </w:t>
      </w:r>
      <w:r w:rsidRPr="002C3F74">
        <w:rPr>
          <w:sz w:val="20"/>
        </w:rPr>
        <w:t>2010</w:t>
      </w:r>
      <w:r>
        <w:rPr>
          <w:sz w:val="20"/>
        </w:rPr>
        <w:t>/</w:t>
      </w:r>
      <w:r w:rsidRPr="002C3F74">
        <w:rPr>
          <w:sz w:val="20"/>
        </w:rPr>
        <w:t>18</w:t>
      </w:r>
      <w:r>
        <w:rPr>
          <w:sz w:val="20"/>
        </w:rPr>
        <w:t>/UE du Conseil.</w:t>
      </w:r>
    </w:p>
  </w:footnote>
  <w:footnote w:id="149">
    <w:p w14:paraId="40DE6B38" w14:textId="77777777" w:rsidR="004F11D0" w:rsidRPr="00630322" w:rsidRDefault="004F11D0" w:rsidP="004F11D0">
      <w:pPr>
        <w:pStyle w:val="title-bold"/>
        <w:spacing w:before="0" w:beforeAutospacing="0" w:after="60" w:afterAutospacing="0"/>
        <w:ind w:left="360" w:hanging="360"/>
        <w:rPr>
          <w:sz w:val="20"/>
        </w:rPr>
      </w:pPr>
      <w:r>
        <w:rPr>
          <w:sz w:val="20"/>
        </w:rPr>
        <w:t>(</w:t>
      </w:r>
      <w:r>
        <w:rPr>
          <w:sz w:val="20"/>
          <w:vertAlign w:val="superscript"/>
        </w:rPr>
        <w:footnoteRef/>
      </w:r>
      <w:r>
        <w:rPr>
          <w:sz w:val="20"/>
        </w:rPr>
        <w:t xml:space="preserve">) Recommandation du Conseil du </w:t>
      </w:r>
      <w:r w:rsidRPr="002C3F74">
        <w:rPr>
          <w:sz w:val="20"/>
        </w:rPr>
        <w:t>12</w:t>
      </w:r>
      <w:r>
        <w:rPr>
          <w:sz w:val="20"/>
        </w:rPr>
        <w:t xml:space="preserve"> mars </w:t>
      </w:r>
      <w:r w:rsidRPr="002C3F74">
        <w:rPr>
          <w:sz w:val="20"/>
        </w:rPr>
        <w:t>2021</w:t>
      </w:r>
      <w:r>
        <w:rPr>
          <w:sz w:val="20"/>
        </w:rPr>
        <w:t xml:space="preserve"> sur l’égalité, l’inclusion et la participation des Roms (</w:t>
      </w:r>
      <w:r w:rsidRPr="002C3F74">
        <w:rPr>
          <w:sz w:val="20"/>
        </w:rPr>
        <w:t>2021</w:t>
      </w:r>
      <w:r>
        <w:rPr>
          <w:sz w:val="20"/>
        </w:rPr>
        <w:t xml:space="preserve">/C </w:t>
      </w:r>
      <w:r w:rsidRPr="002C3F74">
        <w:rPr>
          <w:sz w:val="20"/>
        </w:rPr>
        <w:t>93</w:t>
      </w:r>
      <w:r>
        <w:rPr>
          <w:sz w:val="20"/>
        </w:rPr>
        <w:t>/</w:t>
      </w:r>
      <w:r w:rsidRPr="002C3F74">
        <w:rPr>
          <w:sz w:val="20"/>
        </w:rPr>
        <w:t>01</w:t>
      </w:r>
      <w:r>
        <w:rPr>
          <w:sz w:val="20"/>
        </w:rPr>
        <w:t>, ST/</w:t>
      </w:r>
      <w:r w:rsidRPr="002C3F74">
        <w:rPr>
          <w:sz w:val="20"/>
        </w:rPr>
        <w:t>6070</w:t>
      </w:r>
      <w:r>
        <w:rPr>
          <w:sz w:val="20"/>
        </w:rPr>
        <w:t>/</w:t>
      </w:r>
      <w:r w:rsidRPr="002C3F74">
        <w:rPr>
          <w:sz w:val="20"/>
        </w:rPr>
        <w:t>2021</w:t>
      </w:r>
      <w:r>
        <w:rPr>
          <w:sz w:val="20"/>
        </w:rPr>
        <w:t>/INIT).</w:t>
      </w:r>
    </w:p>
  </w:footnote>
  <w:footnote w:id="150">
    <w:p w14:paraId="2FC422A7" w14:textId="77777777" w:rsidR="004F11D0" w:rsidRPr="00E24C3B" w:rsidRDefault="004F11D0" w:rsidP="004F11D0">
      <w:pPr>
        <w:pStyle w:val="FootnoteText"/>
      </w:pPr>
      <w:r>
        <w:t>(</w:t>
      </w:r>
      <w:r>
        <w:rPr>
          <w:rStyle w:val="FootnoteReference"/>
        </w:rPr>
        <w:footnoteRef/>
      </w:r>
      <w:r>
        <w:t>)</w:t>
      </w:r>
      <w:r>
        <w:tab/>
        <w:t>Communication de la Commission au Parlement européen, au Conseil, au Comité économique et social européen et au Comité des régions intitulée «Donner la priorité aux citoyens, assurer une croissance durable et inclusive, libérer le potentiel des régions ultrapériphériques de l’Union» [COM(</w:t>
      </w:r>
      <w:r w:rsidRPr="002C3F74">
        <w:t>2022</w:t>
      </w:r>
      <w:r>
        <w:t>) </w:t>
      </w:r>
      <w:r w:rsidRPr="002C3F74">
        <w:t>198</w:t>
      </w:r>
      <w:r>
        <w:t xml:space="preserve"> final].</w:t>
      </w:r>
    </w:p>
  </w:footnote>
  <w:footnote w:id="151">
    <w:p w14:paraId="12723C4F" w14:textId="77777777" w:rsidR="004F11D0" w:rsidRPr="00630322" w:rsidRDefault="004F11D0" w:rsidP="004F11D0">
      <w:pPr>
        <w:pStyle w:val="FootnoteText"/>
        <w:spacing w:after="60"/>
        <w:ind w:left="360" w:hanging="360"/>
      </w:pPr>
      <w:r>
        <w:t>(</w:t>
      </w:r>
      <w:r>
        <w:rPr>
          <w:rStyle w:val="FootnoteReference"/>
        </w:rPr>
        <w:footnoteRef/>
      </w:r>
      <w:r>
        <w:t>)</w:t>
      </w:r>
      <w:r>
        <w:tab/>
        <w:t xml:space="preserve">Communication de la Commission du </w:t>
      </w:r>
      <w:r w:rsidRPr="002C3F74">
        <w:t>1</w:t>
      </w:r>
      <w:r>
        <w:rPr>
          <w:vertAlign w:val="superscript"/>
        </w:rPr>
        <w:t>er</w:t>
      </w:r>
      <w:r>
        <w:t xml:space="preserve"> juillet </w:t>
      </w:r>
      <w:r w:rsidRPr="002C3F74">
        <w:t>2020</w:t>
      </w:r>
      <w:r>
        <w:t xml:space="preserve"> intitulée «Stratégie européenne en matière de compétences en faveur de la compétitivité durable, de l’équité sociale et de la résilience» [COM(</w:t>
      </w:r>
      <w:r w:rsidRPr="002C3F74">
        <w:t>2020</w:t>
      </w:r>
      <w:r>
        <w:t>) </w:t>
      </w:r>
      <w:r w:rsidRPr="002C3F74">
        <w:t>0274</w:t>
      </w:r>
      <w:r>
        <w:t>].</w:t>
      </w:r>
    </w:p>
  </w:footnote>
  <w:footnote w:id="152">
    <w:p w14:paraId="43805BCB" w14:textId="77777777" w:rsidR="004F11D0" w:rsidRPr="00630322" w:rsidRDefault="004F11D0" w:rsidP="004F11D0">
      <w:pPr>
        <w:pStyle w:val="FootnoteText"/>
        <w:spacing w:after="60"/>
        <w:ind w:left="360" w:hanging="360"/>
      </w:pPr>
      <w:r>
        <w:t>(</w:t>
      </w:r>
      <w:r>
        <w:rPr>
          <w:rStyle w:val="FootnoteReference"/>
        </w:rPr>
        <w:footnoteRef/>
      </w:r>
      <w:r>
        <w:t>)</w:t>
      </w:r>
      <w:r>
        <w:tab/>
        <w:t>Communication de la Commission au Parlement européen, au Conseil, au Comité économique et social européen et au Comité des régions intitulée «Mettre à profit les talents dans les régions européennes» [COM(</w:t>
      </w:r>
      <w:r w:rsidRPr="002C3F74">
        <w:t>2023</w:t>
      </w:r>
      <w:r>
        <w:t>) </w:t>
      </w:r>
      <w:r w:rsidRPr="002C3F74">
        <w:t>32</w:t>
      </w:r>
      <w:r>
        <w:t xml:space="preserve"> final].</w:t>
      </w:r>
    </w:p>
  </w:footnote>
  <w:footnote w:id="153">
    <w:p w14:paraId="2E4E6452" w14:textId="77777777" w:rsidR="004F11D0" w:rsidRPr="00630322" w:rsidRDefault="004F11D0" w:rsidP="004F11D0">
      <w:pPr>
        <w:pStyle w:val="FootnoteText"/>
        <w:spacing w:after="60"/>
        <w:ind w:left="360" w:hanging="360"/>
      </w:pPr>
      <w:r>
        <w:t>(</w:t>
      </w:r>
      <w:r>
        <w:rPr>
          <w:rStyle w:val="FootnoteReference"/>
        </w:rPr>
        <w:footnoteRef/>
      </w:r>
      <w:r>
        <w:t>)</w:t>
      </w:r>
      <w:r>
        <w:tab/>
        <w:t>Proposition de règlement du Parlement européen et du Conseil relatif à l’établissement d’un cadre de mesures en vue de renforcer l’écosystème européen de la fabrication de produits de technologie «zéro net» [règlement pour une industrie «zéro net», COM(</w:t>
      </w:r>
      <w:r w:rsidRPr="002C3F74">
        <w:t>2023</w:t>
      </w:r>
      <w:r>
        <w:t>) </w:t>
      </w:r>
      <w:r w:rsidRPr="002C3F74">
        <w:t>161</w:t>
      </w:r>
      <w:r>
        <w:t>].</w:t>
      </w:r>
    </w:p>
  </w:footnote>
  <w:footnote w:id="154">
    <w:p w14:paraId="106B7502" w14:textId="77777777" w:rsidR="004F11D0" w:rsidRPr="00630322" w:rsidRDefault="004F11D0" w:rsidP="004F11D0">
      <w:pPr>
        <w:pStyle w:val="FootnoteText"/>
        <w:spacing w:after="60"/>
        <w:ind w:left="360" w:hanging="360"/>
      </w:pPr>
      <w:r>
        <w:t>(</w:t>
      </w:r>
      <w:r>
        <w:rPr>
          <w:rStyle w:val="FootnoteReference"/>
        </w:rPr>
        <w:footnoteRef/>
      </w:r>
      <w:r>
        <w:t>)</w:t>
      </w:r>
      <w:r>
        <w:tab/>
        <w:t xml:space="preserve">Directive (UE) </w:t>
      </w:r>
      <w:r w:rsidRPr="002C3F74">
        <w:t>2022</w:t>
      </w:r>
      <w:r>
        <w:t>/</w:t>
      </w:r>
      <w:r w:rsidRPr="002C3F74">
        <w:t>2041</w:t>
      </w:r>
      <w:r>
        <w:t xml:space="preserve"> du Parlement européen et du Conseil relative à des salaires minimaux adéquats dans l’Union européenne.</w:t>
      </w:r>
    </w:p>
  </w:footnote>
  <w:footnote w:id="155">
    <w:p w14:paraId="057491B1" w14:textId="77777777" w:rsidR="004F11D0" w:rsidRPr="00630322" w:rsidRDefault="004F11D0" w:rsidP="004F11D0">
      <w:pPr>
        <w:pStyle w:val="FootnoteText"/>
        <w:spacing w:after="60"/>
      </w:pPr>
      <w:r>
        <w:t>(</w:t>
      </w:r>
      <w:r>
        <w:rPr>
          <w:rStyle w:val="FootnoteReference"/>
        </w:rPr>
        <w:footnoteRef/>
      </w:r>
      <w:r>
        <w:t>)</w:t>
      </w:r>
      <w:r>
        <w:tab/>
        <w:t>Proposition de directive du Parlement européen et du Conseil relative à l’amélioration des conditions de travail dans le cadre du travail via une plateforme [COM(</w:t>
      </w:r>
      <w:r w:rsidRPr="002C3F74">
        <w:t>2021</w:t>
      </w:r>
      <w:r>
        <w:t>) </w:t>
      </w:r>
      <w:r w:rsidRPr="002C3F74">
        <w:t>762</w:t>
      </w:r>
      <w:r>
        <w:t>].</w:t>
      </w:r>
    </w:p>
  </w:footnote>
  <w:footnote w:id="156">
    <w:p w14:paraId="6405DD1C" w14:textId="77777777" w:rsidR="004F11D0" w:rsidRPr="00630322" w:rsidRDefault="004F11D0" w:rsidP="004F11D0">
      <w:pPr>
        <w:spacing w:after="60"/>
        <w:ind w:left="284" w:hanging="284"/>
        <w:rPr>
          <w:sz w:val="20"/>
        </w:rPr>
      </w:pPr>
      <w:r>
        <w:rPr>
          <w:sz w:val="20"/>
        </w:rPr>
        <w:t>(</w:t>
      </w:r>
      <w:r>
        <w:rPr>
          <w:sz w:val="20"/>
          <w:vertAlign w:val="superscript"/>
        </w:rPr>
        <w:footnoteRef/>
      </w:r>
      <w:r>
        <w:rPr>
          <w:sz w:val="20"/>
        </w:rPr>
        <w:t xml:space="preserve">) Directive (UE) </w:t>
      </w:r>
      <w:r w:rsidRPr="002C3F74">
        <w:rPr>
          <w:sz w:val="20"/>
        </w:rPr>
        <w:t>2019</w:t>
      </w:r>
      <w:r>
        <w:rPr>
          <w:sz w:val="20"/>
        </w:rPr>
        <w:t>/</w:t>
      </w:r>
      <w:r w:rsidRPr="002C3F74">
        <w:rPr>
          <w:sz w:val="20"/>
        </w:rPr>
        <w:t>1152</w:t>
      </w:r>
      <w:r>
        <w:rPr>
          <w:sz w:val="20"/>
        </w:rPr>
        <w:t xml:space="preserve"> du Parlement européen et du Conseil du </w:t>
      </w:r>
      <w:r w:rsidRPr="002C3F74">
        <w:rPr>
          <w:sz w:val="20"/>
        </w:rPr>
        <w:t>20</w:t>
      </w:r>
      <w:r>
        <w:rPr>
          <w:sz w:val="20"/>
        </w:rPr>
        <w:t xml:space="preserve"> juin </w:t>
      </w:r>
      <w:r w:rsidRPr="002C3F74">
        <w:rPr>
          <w:sz w:val="20"/>
        </w:rPr>
        <w:t>2019</w:t>
      </w:r>
      <w:r>
        <w:rPr>
          <w:sz w:val="20"/>
        </w:rPr>
        <w:t xml:space="preserve"> relative à des conditions de travail transparentes et prévisibles dans l’Union européenne.</w:t>
      </w:r>
    </w:p>
  </w:footnote>
  <w:footnote w:id="157">
    <w:p w14:paraId="500062A6" w14:textId="77777777" w:rsidR="004F11D0" w:rsidRPr="00630322" w:rsidRDefault="004F11D0" w:rsidP="004F11D0">
      <w:pPr>
        <w:pStyle w:val="FootnoteText"/>
        <w:spacing w:after="60"/>
      </w:pPr>
      <w:r>
        <w:t>(</w:t>
      </w:r>
      <w:r>
        <w:rPr>
          <w:rStyle w:val="FootnoteReference"/>
        </w:rPr>
        <w:footnoteRef/>
      </w:r>
      <w:r>
        <w:t>)</w:t>
      </w:r>
      <w:r>
        <w:tab/>
        <w:t xml:space="preserve">Résolution du Parlement européen du </w:t>
      </w:r>
      <w:r w:rsidRPr="002C3F74">
        <w:t>10</w:t>
      </w:r>
      <w:r>
        <w:t xml:space="preserve"> mars </w:t>
      </w:r>
      <w:r w:rsidRPr="002C3F74">
        <w:t>2022</w:t>
      </w:r>
      <w:r>
        <w:t xml:space="preserve"> sur un nouveau cadre stratégique de l’Union pour la santé et la sécurité au travail après </w:t>
      </w:r>
      <w:r w:rsidRPr="002C3F74">
        <w:t>2020</w:t>
      </w:r>
      <w:r>
        <w:t xml:space="preserve"> (meilleure protection des travailleurs contre l’exposition à des substances nocives, le stress au travail et les troubles musculo-squelettiques) [</w:t>
      </w:r>
      <w:hyperlink r:id="rId12" w:history="1">
        <w:r w:rsidRPr="002C3F74">
          <w:t>2021</w:t>
        </w:r>
        <w:r>
          <w:t>/</w:t>
        </w:r>
        <w:r w:rsidRPr="002C3F74">
          <w:t>2165</w:t>
        </w:r>
        <w:r>
          <w:t>(INI)</w:t>
        </w:r>
      </w:hyperlink>
      <w:r>
        <w:t>].</w:t>
      </w:r>
    </w:p>
  </w:footnote>
  <w:footnote w:id="158">
    <w:p w14:paraId="39D54E3A" w14:textId="77777777" w:rsidR="004F11D0" w:rsidRPr="00630322" w:rsidRDefault="004F11D0" w:rsidP="004F11D0">
      <w:pPr>
        <w:pStyle w:val="FootnoteText"/>
        <w:spacing w:after="60"/>
      </w:pPr>
      <w:r>
        <w:t>(</w:t>
      </w:r>
      <w:r>
        <w:rPr>
          <w:rStyle w:val="FootnoteReference"/>
        </w:rPr>
        <w:footnoteRef/>
      </w:r>
      <w:r>
        <w:t>)</w:t>
      </w:r>
      <w:r>
        <w:tab/>
        <w:t>Communication de la Commission sur la stratégie européenne en matière de soins [SWD(</w:t>
      </w:r>
      <w:r w:rsidRPr="002C3F74">
        <w:t>2022</w:t>
      </w:r>
      <w:r>
        <w:t>) </w:t>
      </w:r>
      <w:r w:rsidRPr="002C3F74">
        <w:t>440</w:t>
      </w:r>
      <w:r>
        <w:t>].</w:t>
      </w:r>
    </w:p>
  </w:footnote>
  <w:footnote w:id="159">
    <w:p w14:paraId="4726CB54" w14:textId="77777777" w:rsidR="004F11D0" w:rsidRPr="00630322" w:rsidRDefault="004F11D0" w:rsidP="004F11D0">
      <w:pPr>
        <w:pStyle w:val="FootnoteText"/>
        <w:spacing w:after="60"/>
      </w:pPr>
      <w:r>
        <w:t>(</w:t>
      </w:r>
      <w:r>
        <w:rPr>
          <w:rStyle w:val="FootnoteReference"/>
        </w:rPr>
        <w:footnoteRef/>
      </w:r>
      <w:r>
        <w:t>)</w:t>
      </w:r>
      <w:r>
        <w:tab/>
        <w:t xml:space="preserve">Recommandation du Conseil du </w:t>
      </w:r>
      <w:r w:rsidRPr="002C3F74">
        <w:t>8</w:t>
      </w:r>
      <w:r>
        <w:t xml:space="preserve"> novembre </w:t>
      </w:r>
      <w:r w:rsidRPr="002C3F74">
        <w:t>2019</w:t>
      </w:r>
      <w:r>
        <w:t xml:space="preserve"> relative à l’accès des travailleurs salariés et non salariés à la protection sociale (</w:t>
      </w:r>
      <w:r w:rsidRPr="002C3F74">
        <w:t>2019</w:t>
      </w:r>
      <w:r>
        <w:t>/C </w:t>
      </w:r>
      <w:r w:rsidRPr="002C3F74">
        <w:t>387</w:t>
      </w:r>
      <w:r>
        <w:t>/</w:t>
      </w:r>
      <w:r w:rsidRPr="002C3F74">
        <w:t>01</w:t>
      </w:r>
      <w:r>
        <w:t>).</w:t>
      </w:r>
    </w:p>
  </w:footnote>
  <w:footnote w:id="160">
    <w:p w14:paraId="36534190" w14:textId="77777777" w:rsidR="004F11D0" w:rsidRPr="00630322" w:rsidRDefault="004F11D0" w:rsidP="004F11D0">
      <w:pPr>
        <w:spacing w:after="60"/>
        <w:rPr>
          <w:sz w:val="20"/>
        </w:rPr>
      </w:pPr>
      <w:r>
        <w:rPr>
          <w:sz w:val="20"/>
        </w:rPr>
        <w:t>(</w:t>
      </w:r>
      <w:r>
        <w:rPr>
          <w:rStyle w:val="FootnoteReference"/>
          <w:sz w:val="20"/>
        </w:rPr>
        <w:footnoteRef/>
      </w:r>
      <w:r>
        <w:rPr>
          <w:rStyle w:val="FootnoteReference"/>
          <w:sz w:val="20"/>
          <w:vertAlign w:val="baseline"/>
        </w:rPr>
        <w:t>)</w:t>
      </w:r>
      <w:r>
        <w:rPr>
          <w:sz w:val="20"/>
        </w:rPr>
        <w:t xml:space="preserve"> EUR-Lex - </w:t>
      </w:r>
      <w:r w:rsidRPr="002C3F74">
        <w:rPr>
          <w:sz w:val="20"/>
        </w:rPr>
        <w:t>32024</w:t>
      </w:r>
      <w:r>
        <w:rPr>
          <w:sz w:val="20"/>
        </w:rPr>
        <w:t>H</w:t>
      </w:r>
      <w:r w:rsidRPr="002C3F74">
        <w:rPr>
          <w:sz w:val="20"/>
        </w:rPr>
        <w:t>0236</w:t>
      </w:r>
      <w:r>
        <w:rPr>
          <w:sz w:val="20"/>
        </w:rPr>
        <w:t xml:space="preserve"> - EN - EUR-Lex (europa.eu).</w:t>
      </w:r>
    </w:p>
  </w:footnote>
  <w:footnote w:id="161">
    <w:p w14:paraId="3307084E" w14:textId="77777777" w:rsidR="004F11D0" w:rsidRPr="00987B13" w:rsidRDefault="004F11D0" w:rsidP="004F11D0">
      <w:pPr>
        <w:pStyle w:val="FootnoteText"/>
        <w:spacing w:after="60"/>
      </w:pPr>
      <w:r>
        <w:t>(</w:t>
      </w:r>
      <w:r>
        <w:rPr>
          <w:rStyle w:val="FootnoteReference"/>
        </w:rPr>
        <w:footnoteRef/>
      </w:r>
      <w:r>
        <w:t>)</w:t>
      </w:r>
      <w:r>
        <w:rPr>
          <w:color w:val="2B579A"/>
          <w:shd w:val="clear" w:color="auto" w:fill="E6E6E6"/>
        </w:rPr>
        <w:tab/>
      </w:r>
      <w:r>
        <w:t>Communication de la Commission sur une approche globale en matière de santé mentale [COM(</w:t>
      </w:r>
      <w:r w:rsidRPr="002C3F74">
        <w:t>2023</w:t>
      </w:r>
      <w:r>
        <w:t>) </w:t>
      </w:r>
      <w:r w:rsidRPr="002C3F74">
        <w:t>298</w:t>
      </w:r>
      <w:r>
        <w:t>].</w:t>
      </w:r>
    </w:p>
  </w:footnote>
  <w:footnote w:id="162">
    <w:p w14:paraId="2FD66DC1" w14:textId="77777777" w:rsidR="004F11D0" w:rsidRPr="00630322" w:rsidRDefault="004F11D0" w:rsidP="004F11D0">
      <w:pPr>
        <w:spacing w:after="60"/>
        <w:ind w:left="360" w:hanging="360"/>
        <w:rPr>
          <w:sz w:val="20"/>
        </w:rPr>
      </w:pPr>
      <w:r>
        <w:rPr>
          <w:sz w:val="20"/>
        </w:rPr>
        <w:t>(</w:t>
      </w:r>
      <w:r>
        <w:rPr>
          <w:sz w:val="20"/>
          <w:vertAlign w:val="superscript"/>
        </w:rPr>
        <w:footnoteRef/>
      </w:r>
      <w:r>
        <w:rPr>
          <w:sz w:val="20"/>
        </w:rPr>
        <w:t>)</w:t>
      </w:r>
      <w:r>
        <w:rPr>
          <w:sz w:val="20"/>
        </w:rPr>
        <w:tab/>
        <w:t xml:space="preserve">Plus d’informations sur </w:t>
      </w:r>
      <w:hyperlink r:id="rId13" w:history="1">
        <w:r>
          <w:rPr>
            <w:rStyle w:val="Hyperlink"/>
            <w:sz w:val="20"/>
          </w:rPr>
          <w:t>https://commission.europa.eu/strategy-and-policy/eu-budget/performance-and-reporting/programme-performance-statements/european-social-fund-performance_en</w:t>
        </w:r>
      </w:hyperlink>
      <w:r>
        <w:rPr>
          <w:sz w:val="20"/>
        </w:rPr>
        <w:t xml:space="preserve"> (en anglais).</w:t>
      </w:r>
    </w:p>
  </w:footnote>
  <w:footnote w:id="163">
    <w:p w14:paraId="503D61A6" w14:textId="77777777" w:rsidR="004F11D0" w:rsidRPr="00630322" w:rsidRDefault="004F11D0" w:rsidP="004F11D0">
      <w:pPr>
        <w:spacing w:after="60"/>
        <w:ind w:left="360" w:hanging="360"/>
        <w:rPr>
          <w:sz w:val="20"/>
        </w:rPr>
      </w:pPr>
      <w:r>
        <w:rPr>
          <w:sz w:val="20"/>
        </w:rPr>
        <w:t>(</w:t>
      </w:r>
      <w:r>
        <w:rPr>
          <w:sz w:val="20"/>
          <w:vertAlign w:val="superscript"/>
        </w:rPr>
        <w:footnoteRef/>
      </w:r>
      <w:r>
        <w:rPr>
          <w:sz w:val="20"/>
        </w:rPr>
        <w:t>)</w:t>
      </w:r>
      <w:r>
        <w:rPr>
          <w:sz w:val="20"/>
        </w:rPr>
        <w:tab/>
        <w:t>Parmi ces mesures figurent la création de places d’étudiants supplémentaires dans l’enseignement supérieur dans des domaines d’études très demandés sur le marché du travail, la révision des programmes dans l’enseignement scolaire et supérieur, le soutien à l’enseignement et à la formation professionnels, ainsi que des mesures d’éducation et de formation des adultes visant à faciliter les transitions écologique et numérique.</w:t>
      </w:r>
    </w:p>
  </w:footnote>
  <w:footnote w:id="164">
    <w:p w14:paraId="5DD803A8" w14:textId="77777777" w:rsidR="004F11D0" w:rsidRPr="00987B13" w:rsidRDefault="004F11D0" w:rsidP="004F11D0">
      <w:pPr>
        <w:spacing w:after="60"/>
        <w:rPr>
          <w:rFonts w:eastAsia="Calibri"/>
          <w:sz w:val="20"/>
        </w:rPr>
      </w:pPr>
      <w:r>
        <w:rPr>
          <w:sz w:val="20"/>
        </w:rPr>
        <w:t>(</w:t>
      </w:r>
      <w:r>
        <w:rPr>
          <w:sz w:val="20"/>
          <w:vertAlign w:val="superscript"/>
        </w:rPr>
        <w:footnoteRef/>
      </w:r>
      <w:r>
        <w:rPr>
          <w:sz w:val="20"/>
        </w:rPr>
        <w:t>) Pour plus d’informations sur les fonds de cohésion: https://cohesiondata.ec.europa.eu/cohesion_overview/</w:t>
      </w:r>
      <w:r w:rsidRPr="002C3F74">
        <w:rPr>
          <w:sz w:val="20"/>
        </w:rPr>
        <w:t>21</w:t>
      </w:r>
      <w:r>
        <w:rPr>
          <w:sz w:val="20"/>
        </w:rPr>
        <w:t>-</w:t>
      </w:r>
      <w:r w:rsidRPr="002C3F74">
        <w:rPr>
          <w:sz w:val="20"/>
        </w:rPr>
        <w:t>27</w:t>
      </w:r>
      <w:r>
        <w:rPr>
          <w:sz w:val="20"/>
        </w:rPr>
        <w:t>.</w:t>
      </w:r>
    </w:p>
  </w:footnote>
  <w:footnote w:id="165">
    <w:p w14:paraId="43112284" w14:textId="77777777" w:rsidR="004F11D0" w:rsidRPr="00630322" w:rsidRDefault="004F11D0" w:rsidP="004F11D0">
      <w:pPr>
        <w:spacing w:after="60"/>
        <w:ind w:left="360" w:hanging="360"/>
        <w:rPr>
          <w:sz w:val="20"/>
        </w:rPr>
      </w:pPr>
      <w:r>
        <w:rPr>
          <w:sz w:val="20"/>
        </w:rPr>
        <w:t>(</w:t>
      </w:r>
      <w:r>
        <w:rPr>
          <w:sz w:val="20"/>
          <w:vertAlign w:val="superscript"/>
        </w:rPr>
        <w:footnoteRef/>
      </w:r>
      <w:r>
        <w:rPr>
          <w:sz w:val="20"/>
        </w:rPr>
        <w:t xml:space="preserve">) Pour la période </w:t>
      </w:r>
      <w:r w:rsidRPr="002C3F74">
        <w:rPr>
          <w:sz w:val="20"/>
        </w:rPr>
        <w:t>2021</w:t>
      </w:r>
      <w:r>
        <w:rPr>
          <w:sz w:val="20"/>
        </w:rPr>
        <w:t>-</w:t>
      </w:r>
      <w:r w:rsidRPr="002C3F74">
        <w:rPr>
          <w:sz w:val="20"/>
        </w:rPr>
        <w:t>2027</w:t>
      </w:r>
      <w:r>
        <w:rPr>
          <w:sz w:val="20"/>
        </w:rPr>
        <w:t xml:space="preserve">, environ </w:t>
      </w:r>
      <w:r w:rsidRPr="002C3F74">
        <w:rPr>
          <w:sz w:val="20"/>
        </w:rPr>
        <w:t>8</w:t>
      </w:r>
      <w:r>
        <w:rPr>
          <w:sz w:val="20"/>
        </w:rPr>
        <w:t>,</w:t>
      </w:r>
      <w:r w:rsidRPr="002C3F74">
        <w:rPr>
          <w:sz w:val="20"/>
        </w:rPr>
        <w:t>4</w:t>
      </w:r>
      <w:r>
        <w:rPr>
          <w:sz w:val="20"/>
        </w:rPr>
        <w:t> milliards d’euros sont prévus au titre du Fonds européen de développement régional (FEDER) afin de soutenir le développement des compétences, l’éducation et la formation. L’objectif est d’améliorer l’employabilité et les compétences pour mieux répondre aux besoins du marché du travail, notamment en ce qui concerne les stratégies de spécialisation intelligente, la transition industrielle et l’entrepreneuriat.</w:t>
      </w:r>
    </w:p>
  </w:footnote>
  <w:footnote w:id="166">
    <w:p w14:paraId="0365FDAB" w14:textId="77777777" w:rsidR="004F11D0" w:rsidRPr="00AD47B7" w:rsidRDefault="004F11D0" w:rsidP="004F11D0">
      <w:pPr>
        <w:pStyle w:val="FootnoteText"/>
        <w:spacing w:after="60"/>
      </w:pPr>
      <w:r>
        <w:t>(</w:t>
      </w:r>
      <w:r>
        <w:rPr>
          <w:rStyle w:val="FootnoteReference"/>
        </w:rPr>
        <w:footnoteRef/>
      </w:r>
      <w:r>
        <w:t>)</w:t>
      </w:r>
      <w:r>
        <w:tab/>
        <w:t xml:space="preserve">Dans le secteur de l’agriculture, par exemple, environ </w:t>
      </w:r>
      <w:r w:rsidRPr="002C3F74">
        <w:t>2</w:t>
      </w:r>
      <w:r>
        <w:t> milliards d’euros seront consacrés, au titre de la PAC </w:t>
      </w:r>
      <w:r w:rsidRPr="002C3F74">
        <w:t>2023</w:t>
      </w:r>
      <w:r>
        <w:t>-</w:t>
      </w:r>
      <w:r w:rsidRPr="002C3F74">
        <w:t>2027</w:t>
      </w:r>
      <w:r>
        <w:t>, au perfectionnement et à la reconversion professionnels des agriculteurs, des sylviculteurs et des conseillers agricoles au moyen d’un soutien spécifique à l’échange de connaissances, au conseil et à la formation.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D61BEC" w14:textId="77777777" w:rsidR="00A37E28" w:rsidRPr="00A37E28" w:rsidRDefault="00A37E28" w:rsidP="00A37E28">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AD8BAC" w14:textId="77777777" w:rsidR="00A37E28" w:rsidRPr="00A37E28" w:rsidRDefault="00A37E28" w:rsidP="00A37E28">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AD0581" w14:textId="77777777" w:rsidR="00A37E28" w:rsidRPr="00A37E28" w:rsidRDefault="00A37E28" w:rsidP="00A37E28">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15FCA" w14:textId="77777777" w:rsidR="00255966" w:rsidRDefault="0025596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AC99D7" w14:textId="77777777" w:rsidR="00255966" w:rsidRDefault="0025596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00B28" w14:textId="77777777" w:rsidR="00255966" w:rsidRDefault="002559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CC671B6"/>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004BBDDD"/>
    <w:multiLevelType w:val="hybridMultilevel"/>
    <w:tmpl w:val="FBF0E222"/>
    <w:lvl w:ilvl="0" w:tplc="D73CB7F0">
      <w:start w:val="1"/>
      <w:numFmt w:val="bullet"/>
      <w:lvlText w:val=""/>
      <w:lvlJc w:val="left"/>
      <w:pPr>
        <w:ind w:left="720" w:hanging="360"/>
      </w:pPr>
      <w:rPr>
        <w:rFonts w:ascii="Symbol" w:hAnsi="Symbol" w:hint="default"/>
      </w:rPr>
    </w:lvl>
    <w:lvl w:ilvl="1" w:tplc="FF7A9F98">
      <w:start w:val="1"/>
      <w:numFmt w:val="bullet"/>
      <w:lvlText w:val="o"/>
      <w:lvlJc w:val="left"/>
      <w:pPr>
        <w:ind w:left="1440" w:hanging="360"/>
      </w:pPr>
      <w:rPr>
        <w:rFonts w:ascii="Courier New" w:hAnsi="Courier New" w:hint="default"/>
      </w:rPr>
    </w:lvl>
    <w:lvl w:ilvl="2" w:tplc="19D45532">
      <w:start w:val="1"/>
      <w:numFmt w:val="bullet"/>
      <w:lvlText w:val=""/>
      <w:lvlJc w:val="left"/>
      <w:pPr>
        <w:ind w:left="2160" w:hanging="360"/>
      </w:pPr>
      <w:rPr>
        <w:rFonts w:ascii="Wingdings" w:hAnsi="Wingdings" w:hint="default"/>
      </w:rPr>
    </w:lvl>
    <w:lvl w:ilvl="3" w:tplc="FB547D5C">
      <w:start w:val="1"/>
      <w:numFmt w:val="bullet"/>
      <w:lvlText w:val="o"/>
      <w:lvlJc w:val="left"/>
      <w:pPr>
        <w:ind w:left="2880" w:hanging="360"/>
      </w:pPr>
      <w:rPr>
        <w:rFonts w:ascii="&quot;Courier New&quot;" w:hAnsi="&quot;Courier New&quot;" w:hint="default"/>
      </w:rPr>
    </w:lvl>
    <w:lvl w:ilvl="4" w:tplc="B8681D98">
      <w:start w:val="1"/>
      <w:numFmt w:val="bullet"/>
      <w:lvlText w:val="o"/>
      <w:lvlJc w:val="left"/>
      <w:pPr>
        <w:ind w:left="3600" w:hanging="360"/>
      </w:pPr>
      <w:rPr>
        <w:rFonts w:ascii="Courier New" w:hAnsi="Courier New" w:hint="default"/>
      </w:rPr>
    </w:lvl>
    <w:lvl w:ilvl="5" w:tplc="D89C89F2">
      <w:start w:val="1"/>
      <w:numFmt w:val="bullet"/>
      <w:lvlText w:val=""/>
      <w:lvlJc w:val="left"/>
      <w:pPr>
        <w:ind w:left="4320" w:hanging="360"/>
      </w:pPr>
      <w:rPr>
        <w:rFonts w:ascii="Wingdings" w:hAnsi="Wingdings" w:hint="default"/>
      </w:rPr>
    </w:lvl>
    <w:lvl w:ilvl="6" w:tplc="99CA7C2A">
      <w:start w:val="1"/>
      <w:numFmt w:val="bullet"/>
      <w:lvlText w:val=""/>
      <w:lvlJc w:val="left"/>
      <w:pPr>
        <w:ind w:left="5040" w:hanging="360"/>
      </w:pPr>
      <w:rPr>
        <w:rFonts w:ascii="Symbol" w:hAnsi="Symbol" w:hint="default"/>
      </w:rPr>
    </w:lvl>
    <w:lvl w:ilvl="7" w:tplc="CEA2BC82">
      <w:start w:val="1"/>
      <w:numFmt w:val="bullet"/>
      <w:lvlText w:val="o"/>
      <w:lvlJc w:val="left"/>
      <w:pPr>
        <w:ind w:left="5760" w:hanging="360"/>
      </w:pPr>
      <w:rPr>
        <w:rFonts w:ascii="Courier New" w:hAnsi="Courier New" w:hint="default"/>
      </w:rPr>
    </w:lvl>
    <w:lvl w:ilvl="8" w:tplc="60DC4D66">
      <w:start w:val="1"/>
      <w:numFmt w:val="bullet"/>
      <w:lvlText w:val=""/>
      <w:lvlJc w:val="left"/>
      <w:pPr>
        <w:ind w:left="6480" w:hanging="360"/>
      </w:pPr>
      <w:rPr>
        <w:rFonts w:ascii="Wingdings" w:hAnsi="Wingdings" w:hint="default"/>
      </w:rPr>
    </w:lvl>
  </w:abstractNum>
  <w:abstractNum w:abstractNumId="2" w15:restartNumberingAfterBreak="0">
    <w:nsid w:val="00FA2C4E"/>
    <w:multiLevelType w:val="hybridMultilevel"/>
    <w:tmpl w:val="D348119E"/>
    <w:lvl w:ilvl="0" w:tplc="D2EEAF3E">
      <w:start w:val="1"/>
      <w:numFmt w:val="bullet"/>
      <w:lvlText w:val="-"/>
      <w:lvlJc w:val="left"/>
      <w:pPr>
        <w:ind w:left="643" w:hanging="360"/>
      </w:pPr>
      <w:rPr>
        <w:rFonts w:ascii="Calibri" w:eastAsiaTheme="minorHAnsi" w:hAnsi="Calibri" w:cs="Calibri" w:hint="default"/>
      </w:rPr>
    </w:lvl>
    <w:lvl w:ilvl="1" w:tplc="18090003" w:tentative="1">
      <w:start w:val="1"/>
      <w:numFmt w:val="bullet"/>
      <w:lvlText w:val="o"/>
      <w:lvlJc w:val="left"/>
      <w:pPr>
        <w:ind w:left="1363" w:hanging="360"/>
      </w:pPr>
      <w:rPr>
        <w:rFonts w:ascii="Courier New" w:hAnsi="Courier New" w:cs="Courier New" w:hint="default"/>
      </w:rPr>
    </w:lvl>
    <w:lvl w:ilvl="2" w:tplc="18090005" w:tentative="1">
      <w:start w:val="1"/>
      <w:numFmt w:val="bullet"/>
      <w:lvlText w:val=""/>
      <w:lvlJc w:val="left"/>
      <w:pPr>
        <w:ind w:left="2083" w:hanging="360"/>
      </w:pPr>
      <w:rPr>
        <w:rFonts w:ascii="Wingdings" w:hAnsi="Wingdings" w:hint="default"/>
      </w:rPr>
    </w:lvl>
    <w:lvl w:ilvl="3" w:tplc="18090001" w:tentative="1">
      <w:start w:val="1"/>
      <w:numFmt w:val="bullet"/>
      <w:lvlText w:val=""/>
      <w:lvlJc w:val="left"/>
      <w:pPr>
        <w:ind w:left="2803" w:hanging="360"/>
      </w:pPr>
      <w:rPr>
        <w:rFonts w:ascii="Symbol" w:hAnsi="Symbol" w:hint="default"/>
      </w:rPr>
    </w:lvl>
    <w:lvl w:ilvl="4" w:tplc="18090003" w:tentative="1">
      <w:start w:val="1"/>
      <w:numFmt w:val="bullet"/>
      <w:lvlText w:val="o"/>
      <w:lvlJc w:val="left"/>
      <w:pPr>
        <w:ind w:left="3523" w:hanging="360"/>
      </w:pPr>
      <w:rPr>
        <w:rFonts w:ascii="Courier New" w:hAnsi="Courier New" w:cs="Courier New" w:hint="default"/>
      </w:rPr>
    </w:lvl>
    <w:lvl w:ilvl="5" w:tplc="18090005" w:tentative="1">
      <w:start w:val="1"/>
      <w:numFmt w:val="bullet"/>
      <w:lvlText w:val=""/>
      <w:lvlJc w:val="left"/>
      <w:pPr>
        <w:ind w:left="4243" w:hanging="360"/>
      </w:pPr>
      <w:rPr>
        <w:rFonts w:ascii="Wingdings" w:hAnsi="Wingdings" w:hint="default"/>
      </w:rPr>
    </w:lvl>
    <w:lvl w:ilvl="6" w:tplc="18090001" w:tentative="1">
      <w:start w:val="1"/>
      <w:numFmt w:val="bullet"/>
      <w:lvlText w:val=""/>
      <w:lvlJc w:val="left"/>
      <w:pPr>
        <w:ind w:left="4963" w:hanging="360"/>
      </w:pPr>
      <w:rPr>
        <w:rFonts w:ascii="Symbol" w:hAnsi="Symbol" w:hint="default"/>
      </w:rPr>
    </w:lvl>
    <w:lvl w:ilvl="7" w:tplc="18090003" w:tentative="1">
      <w:start w:val="1"/>
      <w:numFmt w:val="bullet"/>
      <w:lvlText w:val="o"/>
      <w:lvlJc w:val="left"/>
      <w:pPr>
        <w:ind w:left="5683" w:hanging="360"/>
      </w:pPr>
      <w:rPr>
        <w:rFonts w:ascii="Courier New" w:hAnsi="Courier New" w:cs="Courier New" w:hint="default"/>
      </w:rPr>
    </w:lvl>
    <w:lvl w:ilvl="8" w:tplc="18090005" w:tentative="1">
      <w:start w:val="1"/>
      <w:numFmt w:val="bullet"/>
      <w:lvlText w:val=""/>
      <w:lvlJc w:val="left"/>
      <w:pPr>
        <w:ind w:left="6403" w:hanging="360"/>
      </w:pPr>
      <w:rPr>
        <w:rFonts w:ascii="Wingdings" w:hAnsi="Wingdings" w:hint="default"/>
      </w:rPr>
    </w:lvl>
  </w:abstractNum>
  <w:abstractNum w:abstractNumId="3" w15:restartNumberingAfterBreak="0">
    <w:nsid w:val="0129B3D6"/>
    <w:multiLevelType w:val="hybridMultilevel"/>
    <w:tmpl w:val="C2605FB8"/>
    <w:lvl w:ilvl="0" w:tplc="A49C677A">
      <w:start w:val="1"/>
      <w:numFmt w:val="bullet"/>
      <w:lvlText w:val="·"/>
      <w:lvlJc w:val="left"/>
      <w:pPr>
        <w:ind w:left="720" w:hanging="360"/>
      </w:pPr>
      <w:rPr>
        <w:rFonts w:ascii="Symbol" w:hAnsi="Symbol" w:hint="default"/>
      </w:rPr>
    </w:lvl>
    <w:lvl w:ilvl="1" w:tplc="1D50FC5C">
      <w:start w:val="1"/>
      <w:numFmt w:val="bullet"/>
      <w:lvlText w:val="o"/>
      <w:lvlJc w:val="left"/>
      <w:pPr>
        <w:ind w:left="1440" w:hanging="360"/>
      </w:pPr>
      <w:rPr>
        <w:rFonts w:ascii="Courier New" w:hAnsi="Courier New" w:hint="default"/>
      </w:rPr>
    </w:lvl>
    <w:lvl w:ilvl="2" w:tplc="06DECC02">
      <w:start w:val="1"/>
      <w:numFmt w:val="bullet"/>
      <w:lvlText w:val=""/>
      <w:lvlJc w:val="left"/>
      <w:pPr>
        <w:ind w:left="2160" w:hanging="360"/>
      </w:pPr>
      <w:rPr>
        <w:rFonts w:ascii="Wingdings" w:hAnsi="Wingdings" w:hint="default"/>
      </w:rPr>
    </w:lvl>
    <w:lvl w:ilvl="3" w:tplc="EFD42454">
      <w:start w:val="1"/>
      <w:numFmt w:val="bullet"/>
      <w:lvlText w:val=""/>
      <w:lvlJc w:val="left"/>
      <w:pPr>
        <w:ind w:left="2880" w:hanging="360"/>
      </w:pPr>
      <w:rPr>
        <w:rFonts w:ascii="Symbol" w:hAnsi="Symbol" w:hint="default"/>
      </w:rPr>
    </w:lvl>
    <w:lvl w:ilvl="4" w:tplc="27E2978C">
      <w:start w:val="1"/>
      <w:numFmt w:val="bullet"/>
      <w:lvlText w:val="o"/>
      <w:lvlJc w:val="left"/>
      <w:pPr>
        <w:ind w:left="3600" w:hanging="360"/>
      </w:pPr>
      <w:rPr>
        <w:rFonts w:ascii="Courier New" w:hAnsi="Courier New" w:hint="default"/>
      </w:rPr>
    </w:lvl>
    <w:lvl w:ilvl="5" w:tplc="600E6BDE">
      <w:start w:val="1"/>
      <w:numFmt w:val="bullet"/>
      <w:lvlText w:val=""/>
      <w:lvlJc w:val="left"/>
      <w:pPr>
        <w:ind w:left="4320" w:hanging="360"/>
      </w:pPr>
      <w:rPr>
        <w:rFonts w:ascii="Wingdings" w:hAnsi="Wingdings" w:hint="default"/>
      </w:rPr>
    </w:lvl>
    <w:lvl w:ilvl="6" w:tplc="C3F04128">
      <w:start w:val="1"/>
      <w:numFmt w:val="bullet"/>
      <w:lvlText w:val=""/>
      <w:lvlJc w:val="left"/>
      <w:pPr>
        <w:ind w:left="5040" w:hanging="360"/>
      </w:pPr>
      <w:rPr>
        <w:rFonts w:ascii="Symbol" w:hAnsi="Symbol" w:hint="default"/>
      </w:rPr>
    </w:lvl>
    <w:lvl w:ilvl="7" w:tplc="1F847B12">
      <w:start w:val="1"/>
      <w:numFmt w:val="bullet"/>
      <w:lvlText w:val="o"/>
      <w:lvlJc w:val="left"/>
      <w:pPr>
        <w:ind w:left="5760" w:hanging="360"/>
      </w:pPr>
      <w:rPr>
        <w:rFonts w:ascii="Courier New" w:hAnsi="Courier New" w:hint="default"/>
      </w:rPr>
    </w:lvl>
    <w:lvl w:ilvl="8" w:tplc="ECD2D072">
      <w:start w:val="1"/>
      <w:numFmt w:val="bullet"/>
      <w:lvlText w:val=""/>
      <w:lvlJc w:val="left"/>
      <w:pPr>
        <w:ind w:left="6480" w:hanging="360"/>
      </w:pPr>
      <w:rPr>
        <w:rFonts w:ascii="Wingdings" w:hAnsi="Wingdings" w:hint="default"/>
      </w:rPr>
    </w:lvl>
  </w:abstractNum>
  <w:abstractNum w:abstractNumId="4" w15:restartNumberingAfterBreak="0">
    <w:nsid w:val="0129C1DE"/>
    <w:multiLevelType w:val="hybridMultilevel"/>
    <w:tmpl w:val="AAA053F2"/>
    <w:lvl w:ilvl="0" w:tplc="E738DE5C">
      <w:start w:val="1"/>
      <w:numFmt w:val="bullet"/>
      <w:lvlText w:val="·"/>
      <w:lvlJc w:val="left"/>
      <w:pPr>
        <w:ind w:left="720" w:hanging="360"/>
      </w:pPr>
      <w:rPr>
        <w:rFonts w:ascii="Symbol" w:hAnsi="Symbol" w:hint="default"/>
      </w:rPr>
    </w:lvl>
    <w:lvl w:ilvl="1" w:tplc="310CF96C">
      <w:start w:val="1"/>
      <w:numFmt w:val="bullet"/>
      <w:lvlText w:val="o"/>
      <w:lvlJc w:val="left"/>
      <w:pPr>
        <w:ind w:left="1440" w:hanging="360"/>
      </w:pPr>
      <w:rPr>
        <w:rFonts w:ascii="Courier New" w:hAnsi="Courier New" w:hint="default"/>
      </w:rPr>
    </w:lvl>
    <w:lvl w:ilvl="2" w:tplc="5686AF02">
      <w:start w:val="1"/>
      <w:numFmt w:val="bullet"/>
      <w:lvlText w:val=""/>
      <w:lvlJc w:val="left"/>
      <w:pPr>
        <w:ind w:left="2160" w:hanging="360"/>
      </w:pPr>
      <w:rPr>
        <w:rFonts w:ascii="Wingdings" w:hAnsi="Wingdings" w:hint="default"/>
      </w:rPr>
    </w:lvl>
    <w:lvl w:ilvl="3" w:tplc="5F3C1062">
      <w:start w:val="1"/>
      <w:numFmt w:val="bullet"/>
      <w:lvlText w:val=""/>
      <w:lvlJc w:val="left"/>
      <w:pPr>
        <w:ind w:left="2880" w:hanging="360"/>
      </w:pPr>
      <w:rPr>
        <w:rFonts w:ascii="Symbol" w:hAnsi="Symbol" w:hint="default"/>
      </w:rPr>
    </w:lvl>
    <w:lvl w:ilvl="4" w:tplc="CAA21F84">
      <w:start w:val="1"/>
      <w:numFmt w:val="bullet"/>
      <w:lvlText w:val="o"/>
      <w:lvlJc w:val="left"/>
      <w:pPr>
        <w:ind w:left="3600" w:hanging="360"/>
      </w:pPr>
      <w:rPr>
        <w:rFonts w:ascii="Courier New" w:hAnsi="Courier New" w:hint="default"/>
      </w:rPr>
    </w:lvl>
    <w:lvl w:ilvl="5" w:tplc="94FAC546">
      <w:start w:val="1"/>
      <w:numFmt w:val="bullet"/>
      <w:lvlText w:val=""/>
      <w:lvlJc w:val="left"/>
      <w:pPr>
        <w:ind w:left="4320" w:hanging="360"/>
      </w:pPr>
      <w:rPr>
        <w:rFonts w:ascii="Wingdings" w:hAnsi="Wingdings" w:hint="default"/>
      </w:rPr>
    </w:lvl>
    <w:lvl w:ilvl="6" w:tplc="C6D677D4">
      <w:start w:val="1"/>
      <w:numFmt w:val="bullet"/>
      <w:lvlText w:val=""/>
      <w:lvlJc w:val="left"/>
      <w:pPr>
        <w:ind w:left="5040" w:hanging="360"/>
      </w:pPr>
      <w:rPr>
        <w:rFonts w:ascii="Symbol" w:hAnsi="Symbol" w:hint="default"/>
      </w:rPr>
    </w:lvl>
    <w:lvl w:ilvl="7" w:tplc="664289C4">
      <w:start w:val="1"/>
      <w:numFmt w:val="bullet"/>
      <w:lvlText w:val="o"/>
      <w:lvlJc w:val="left"/>
      <w:pPr>
        <w:ind w:left="5760" w:hanging="360"/>
      </w:pPr>
      <w:rPr>
        <w:rFonts w:ascii="Courier New" w:hAnsi="Courier New" w:hint="default"/>
      </w:rPr>
    </w:lvl>
    <w:lvl w:ilvl="8" w:tplc="A3BAB570">
      <w:start w:val="1"/>
      <w:numFmt w:val="bullet"/>
      <w:lvlText w:val=""/>
      <w:lvlJc w:val="left"/>
      <w:pPr>
        <w:ind w:left="6480" w:hanging="360"/>
      </w:pPr>
      <w:rPr>
        <w:rFonts w:ascii="Wingdings" w:hAnsi="Wingdings" w:hint="default"/>
      </w:rPr>
    </w:lvl>
  </w:abstractNum>
  <w:abstractNum w:abstractNumId="5" w15:restartNumberingAfterBreak="0">
    <w:nsid w:val="01A26486"/>
    <w:multiLevelType w:val="hybridMultilevel"/>
    <w:tmpl w:val="8F10EEEA"/>
    <w:lvl w:ilvl="0" w:tplc="45123E98">
      <w:start w:val="1"/>
      <w:numFmt w:val="bullet"/>
      <w:lvlText w:val=""/>
      <w:lvlJc w:val="left"/>
      <w:pPr>
        <w:ind w:left="720" w:hanging="360"/>
      </w:pPr>
      <w:rPr>
        <w:rFonts w:ascii="Symbol" w:hAnsi="Symbol"/>
      </w:rPr>
    </w:lvl>
    <w:lvl w:ilvl="1" w:tplc="D50E079A">
      <w:start w:val="1"/>
      <w:numFmt w:val="bullet"/>
      <w:lvlText w:val=""/>
      <w:lvlJc w:val="left"/>
      <w:pPr>
        <w:ind w:left="720" w:hanging="360"/>
      </w:pPr>
      <w:rPr>
        <w:rFonts w:ascii="Symbol" w:hAnsi="Symbol"/>
      </w:rPr>
    </w:lvl>
    <w:lvl w:ilvl="2" w:tplc="1ABC0500">
      <w:start w:val="1"/>
      <w:numFmt w:val="bullet"/>
      <w:lvlText w:val=""/>
      <w:lvlJc w:val="left"/>
      <w:pPr>
        <w:ind w:left="720" w:hanging="360"/>
      </w:pPr>
      <w:rPr>
        <w:rFonts w:ascii="Symbol" w:hAnsi="Symbol"/>
      </w:rPr>
    </w:lvl>
    <w:lvl w:ilvl="3" w:tplc="5510C530">
      <w:start w:val="1"/>
      <w:numFmt w:val="bullet"/>
      <w:lvlText w:val=""/>
      <w:lvlJc w:val="left"/>
      <w:pPr>
        <w:ind w:left="720" w:hanging="360"/>
      </w:pPr>
      <w:rPr>
        <w:rFonts w:ascii="Symbol" w:hAnsi="Symbol"/>
      </w:rPr>
    </w:lvl>
    <w:lvl w:ilvl="4" w:tplc="644C54F6">
      <w:start w:val="1"/>
      <w:numFmt w:val="bullet"/>
      <w:lvlText w:val=""/>
      <w:lvlJc w:val="left"/>
      <w:pPr>
        <w:ind w:left="720" w:hanging="360"/>
      </w:pPr>
      <w:rPr>
        <w:rFonts w:ascii="Symbol" w:hAnsi="Symbol"/>
      </w:rPr>
    </w:lvl>
    <w:lvl w:ilvl="5" w:tplc="EEACC0FC">
      <w:start w:val="1"/>
      <w:numFmt w:val="bullet"/>
      <w:lvlText w:val=""/>
      <w:lvlJc w:val="left"/>
      <w:pPr>
        <w:ind w:left="720" w:hanging="360"/>
      </w:pPr>
      <w:rPr>
        <w:rFonts w:ascii="Symbol" w:hAnsi="Symbol"/>
      </w:rPr>
    </w:lvl>
    <w:lvl w:ilvl="6" w:tplc="2FC032C2">
      <w:start w:val="1"/>
      <w:numFmt w:val="bullet"/>
      <w:lvlText w:val=""/>
      <w:lvlJc w:val="left"/>
      <w:pPr>
        <w:ind w:left="720" w:hanging="360"/>
      </w:pPr>
      <w:rPr>
        <w:rFonts w:ascii="Symbol" w:hAnsi="Symbol"/>
      </w:rPr>
    </w:lvl>
    <w:lvl w:ilvl="7" w:tplc="BA387574">
      <w:start w:val="1"/>
      <w:numFmt w:val="bullet"/>
      <w:lvlText w:val=""/>
      <w:lvlJc w:val="left"/>
      <w:pPr>
        <w:ind w:left="720" w:hanging="360"/>
      </w:pPr>
      <w:rPr>
        <w:rFonts w:ascii="Symbol" w:hAnsi="Symbol"/>
      </w:rPr>
    </w:lvl>
    <w:lvl w:ilvl="8" w:tplc="804C7916">
      <w:start w:val="1"/>
      <w:numFmt w:val="bullet"/>
      <w:lvlText w:val=""/>
      <w:lvlJc w:val="left"/>
      <w:pPr>
        <w:ind w:left="720" w:hanging="360"/>
      </w:pPr>
      <w:rPr>
        <w:rFonts w:ascii="Symbol" w:hAnsi="Symbol"/>
      </w:rPr>
    </w:lvl>
  </w:abstractNum>
  <w:abstractNum w:abstractNumId="6" w15:restartNumberingAfterBreak="0">
    <w:nsid w:val="03AA2F0A"/>
    <w:multiLevelType w:val="hybridMultilevel"/>
    <w:tmpl w:val="15AE21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42F405B"/>
    <w:multiLevelType w:val="hybridMultilevel"/>
    <w:tmpl w:val="41A02BFE"/>
    <w:lvl w:ilvl="0" w:tplc="18090003">
      <w:start w:val="1"/>
      <w:numFmt w:val="bullet"/>
      <w:lvlText w:val="o"/>
      <w:lvlJc w:val="left"/>
      <w:pPr>
        <w:ind w:left="1288" w:hanging="360"/>
      </w:pPr>
      <w:rPr>
        <w:rFonts w:ascii="Courier New" w:hAnsi="Courier New" w:cs="Courier New" w:hint="default"/>
      </w:rPr>
    </w:lvl>
    <w:lvl w:ilvl="1" w:tplc="18090003" w:tentative="1">
      <w:start w:val="1"/>
      <w:numFmt w:val="bullet"/>
      <w:lvlText w:val="o"/>
      <w:lvlJc w:val="left"/>
      <w:pPr>
        <w:ind w:left="2008" w:hanging="360"/>
      </w:pPr>
      <w:rPr>
        <w:rFonts w:ascii="Courier New" w:hAnsi="Courier New" w:cs="Courier New" w:hint="default"/>
      </w:rPr>
    </w:lvl>
    <w:lvl w:ilvl="2" w:tplc="18090005" w:tentative="1">
      <w:start w:val="1"/>
      <w:numFmt w:val="bullet"/>
      <w:lvlText w:val=""/>
      <w:lvlJc w:val="left"/>
      <w:pPr>
        <w:ind w:left="2728" w:hanging="360"/>
      </w:pPr>
      <w:rPr>
        <w:rFonts w:ascii="Wingdings" w:hAnsi="Wingdings" w:hint="default"/>
      </w:rPr>
    </w:lvl>
    <w:lvl w:ilvl="3" w:tplc="18090001" w:tentative="1">
      <w:start w:val="1"/>
      <w:numFmt w:val="bullet"/>
      <w:lvlText w:val=""/>
      <w:lvlJc w:val="left"/>
      <w:pPr>
        <w:ind w:left="3448" w:hanging="360"/>
      </w:pPr>
      <w:rPr>
        <w:rFonts w:ascii="Symbol" w:hAnsi="Symbol" w:hint="default"/>
      </w:rPr>
    </w:lvl>
    <w:lvl w:ilvl="4" w:tplc="18090003" w:tentative="1">
      <w:start w:val="1"/>
      <w:numFmt w:val="bullet"/>
      <w:lvlText w:val="o"/>
      <w:lvlJc w:val="left"/>
      <w:pPr>
        <w:ind w:left="4168" w:hanging="360"/>
      </w:pPr>
      <w:rPr>
        <w:rFonts w:ascii="Courier New" w:hAnsi="Courier New" w:cs="Courier New" w:hint="default"/>
      </w:rPr>
    </w:lvl>
    <w:lvl w:ilvl="5" w:tplc="18090005" w:tentative="1">
      <w:start w:val="1"/>
      <w:numFmt w:val="bullet"/>
      <w:lvlText w:val=""/>
      <w:lvlJc w:val="left"/>
      <w:pPr>
        <w:ind w:left="4888" w:hanging="360"/>
      </w:pPr>
      <w:rPr>
        <w:rFonts w:ascii="Wingdings" w:hAnsi="Wingdings" w:hint="default"/>
      </w:rPr>
    </w:lvl>
    <w:lvl w:ilvl="6" w:tplc="18090001" w:tentative="1">
      <w:start w:val="1"/>
      <w:numFmt w:val="bullet"/>
      <w:lvlText w:val=""/>
      <w:lvlJc w:val="left"/>
      <w:pPr>
        <w:ind w:left="5608" w:hanging="360"/>
      </w:pPr>
      <w:rPr>
        <w:rFonts w:ascii="Symbol" w:hAnsi="Symbol" w:hint="default"/>
      </w:rPr>
    </w:lvl>
    <w:lvl w:ilvl="7" w:tplc="18090003" w:tentative="1">
      <w:start w:val="1"/>
      <w:numFmt w:val="bullet"/>
      <w:lvlText w:val="o"/>
      <w:lvlJc w:val="left"/>
      <w:pPr>
        <w:ind w:left="6328" w:hanging="360"/>
      </w:pPr>
      <w:rPr>
        <w:rFonts w:ascii="Courier New" w:hAnsi="Courier New" w:cs="Courier New" w:hint="default"/>
      </w:rPr>
    </w:lvl>
    <w:lvl w:ilvl="8" w:tplc="18090005" w:tentative="1">
      <w:start w:val="1"/>
      <w:numFmt w:val="bullet"/>
      <w:lvlText w:val=""/>
      <w:lvlJc w:val="left"/>
      <w:pPr>
        <w:ind w:left="7048" w:hanging="360"/>
      </w:pPr>
      <w:rPr>
        <w:rFonts w:ascii="Wingdings" w:hAnsi="Wingdings" w:hint="default"/>
      </w:rPr>
    </w:lvl>
  </w:abstractNum>
  <w:abstractNum w:abstractNumId="8" w15:restartNumberingAfterBreak="0">
    <w:nsid w:val="05374D62"/>
    <w:multiLevelType w:val="hybridMultilevel"/>
    <w:tmpl w:val="D5A83E50"/>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55E15B1"/>
    <w:multiLevelType w:val="hybridMultilevel"/>
    <w:tmpl w:val="CF582306"/>
    <w:lvl w:ilvl="0" w:tplc="18090003">
      <w:start w:val="1"/>
      <w:numFmt w:val="bullet"/>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081E1A37"/>
    <w:multiLevelType w:val="hybridMultilevel"/>
    <w:tmpl w:val="BAB080B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1" w15:restartNumberingAfterBreak="0">
    <w:nsid w:val="09C45AD5"/>
    <w:multiLevelType w:val="hybridMultilevel"/>
    <w:tmpl w:val="CA3CE864"/>
    <w:lvl w:ilvl="0" w:tplc="C6D091A2">
      <w:start w:val="1"/>
      <w:numFmt w:val="bullet"/>
      <w:lvlText w:val=""/>
      <w:lvlJc w:val="left"/>
      <w:pPr>
        <w:ind w:left="720" w:hanging="360"/>
      </w:pPr>
      <w:rPr>
        <w:rFonts w:ascii="Symbol" w:hAnsi="Symbol"/>
      </w:rPr>
    </w:lvl>
    <w:lvl w:ilvl="1" w:tplc="99002F9E">
      <w:start w:val="1"/>
      <w:numFmt w:val="bullet"/>
      <w:lvlText w:val=""/>
      <w:lvlJc w:val="left"/>
      <w:pPr>
        <w:ind w:left="720" w:hanging="360"/>
      </w:pPr>
      <w:rPr>
        <w:rFonts w:ascii="Symbol" w:hAnsi="Symbol"/>
      </w:rPr>
    </w:lvl>
    <w:lvl w:ilvl="2" w:tplc="50F67D62">
      <w:start w:val="1"/>
      <w:numFmt w:val="bullet"/>
      <w:lvlText w:val=""/>
      <w:lvlJc w:val="left"/>
      <w:pPr>
        <w:ind w:left="720" w:hanging="360"/>
      </w:pPr>
      <w:rPr>
        <w:rFonts w:ascii="Symbol" w:hAnsi="Symbol"/>
      </w:rPr>
    </w:lvl>
    <w:lvl w:ilvl="3" w:tplc="A81A7998">
      <w:start w:val="1"/>
      <w:numFmt w:val="bullet"/>
      <w:lvlText w:val=""/>
      <w:lvlJc w:val="left"/>
      <w:pPr>
        <w:ind w:left="720" w:hanging="360"/>
      </w:pPr>
      <w:rPr>
        <w:rFonts w:ascii="Symbol" w:hAnsi="Symbol"/>
      </w:rPr>
    </w:lvl>
    <w:lvl w:ilvl="4" w:tplc="2AEAD414">
      <w:start w:val="1"/>
      <w:numFmt w:val="bullet"/>
      <w:lvlText w:val=""/>
      <w:lvlJc w:val="left"/>
      <w:pPr>
        <w:ind w:left="720" w:hanging="360"/>
      </w:pPr>
      <w:rPr>
        <w:rFonts w:ascii="Symbol" w:hAnsi="Symbol"/>
      </w:rPr>
    </w:lvl>
    <w:lvl w:ilvl="5" w:tplc="94C02BB8">
      <w:start w:val="1"/>
      <w:numFmt w:val="bullet"/>
      <w:lvlText w:val=""/>
      <w:lvlJc w:val="left"/>
      <w:pPr>
        <w:ind w:left="720" w:hanging="360"/>
      </w:pPr>
      <w:rPr>
        <w:rFonts w:ascii="Symbol" w:hAnsi="Symbol"/>
      </w:rPr>
    </w:lvl>
    <w:lvl w:ilvl="6" w:tplc="8256C2B6">
      <w:start w:val="1"/>
      <w:numFmt w:val="bullet"/>
      <w:lvlText w:val=""/>
      <w:lvlJc w:val="left"/>
      <w:pPr>
        <w:ind w:left="720" w:hanging="360"/>
      </w:pPr>
      <w:rPr>
        <w:rFonts w:ascii="Symbol" w:hAnsi="Symbol"/>
      </w:rPr>
    </w:lvl>
    <w:lvl w:ilvl="7" w:tplc="6EB0CC72">
      <w:start w:val="1"/>
      <w:numFmt w:val="bullet"/>
      <w:lvlText w:val=""/>
      <w:lvlJc w:val="left"/>
      <w:pPr>
        <w:ind w:left="720" w:hanging="360"/>
      </w:pPr>
      <w:rPr>
        <w:rFonts w:ascii="Symbol" w:hAnsi="Symbol"/>
      </w:rPr>
    </w:lvl>
    <w:lvl w:ilvl="8" w:tplc="AFB68C84">
      <w:start w:val="1"/>
      <w:numFmt w:val="bullet"/>
      <w:lvlText w:val=""/>
      <w:lvlJc w:val="left"/>
      <w:pPr>
        <w:ind w:left="720" w:hanging="360"/>
      </w:pPr>
      <w:rPr>
        <w:rFonts w:ascii="Symbol" w:hAnsi="Symbol"/>
      </w:rPr>
    </w:lvl>
  </w:abstractNum>
  <w:abstractNum w:abstractNumId="12" w15:restartNumberingAfterBreak="0">
    <w:nsid w:val="0A2900F7"/>
    <w:multiLevelType w:val="multilevel"/>
    <w:tmpl w:val="6B8E83DA"/>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0AB32B0C"/>
    <w:multiLevelType w:val="hybridMultilevel"/>
    <w:tmpl w:val="5BE257F4"/>
    <w:lvl w:ilvl="0" w:tplc="900A7ACC">
      <w:start w:val="1"/>
      <w:numFmt w:val="bullet"/>
      <w:lvlText w:val=""/>
      <w:lvlJc w:val="left"/>
      <w:pPr>
        <w:ind w:left="720" w:hanging="360"/>
      </w:pPr>
      <w:rPr>
        <w:rFonts w:ascii="Symbol" w:hAnsi="Symbol"/>
      </w:rPr>
    </w:lvl>
    <w:lvl w:ilvl="1" w:tplc="524EE33A">
      <w:start w:val="1"/>
      <w:numFmt w:val="bullet"/>
      <w:lvlText w:val=""/>
      <w:lvlJc w:val="left"/>
      <w:pPr>
        <w:ind w:left="720" w:hanging="360"/>
      </w:pPr>
      <w:rPr>
        <w:rFonts w:ascii="Symbol" w:hAnsi="Symbol"/>
      </w:rPr>
    </w:lvl>
    <w:lvl w:ilvl="2" w:tplc="D6E8314E">
      <w:start w:val="1"/>
      <w:numFmt w:val="bullet"/>
      <w:lvlText w:val=""/>
      <w:lvlJc w:val="left"/>
      <w:pPr>
        <w:ind w:left="720" w:hanging="360"/>
      </w:pPr>
      <w:rPr>
        <w:rFonts w:ascii="Symbol" w:hAnsi="Symbol"/>
      </w:rPr>
    </w:lvl>
    <w:lvl w:ilvl="3" w:tplc="F5820C30">
      <w:start w:val="1"/>
      <w:numFmt w:val="bullet"/>
      <w:lvlText w:val=""/>
      <w:lvlJc w:val="left"/>
      <w:pPr>
        <w:ind w:left="720" w:hanging="360"/>
      </w:pPr>
      <w:rPr>
        <w:rFonts w:ascii="Symbol" w:hAnsi="Symbol"/>
      </w:rPr>
    </w:lvl>
    <w:lvl w:ilvl="4" w:tplc="DE4E11C8">
      <w:start w:val="1"/>
      <w:numFmt w:val="bullet"/>
      <w:lvlText w:val=""/>
      <w:lvlJc w:val="left"/>
      <w:pPr>
        <w:ind w:left="720" w:hanging="360"/>
      </w:pPr>
      <w:rPr>
        <w:rFonts w:ascii="Symbol" w:hAnsi="Symbol"/>
      </w:rPr>
    </w:lvl>
    <w:lvl w:ilvl="5" w:tplc="76DA2628">
      <w:start w:val="1"/>
      <w:numFmt w:val="bullet"/>
      <w:lvlText w:val=""/>
      <w:lvlJc w:val="left"/>
      <w:pPr>
        <w:ind w:left="720" w:hanging="360"/>
      </w:pPr>
      <w:rPr>
        <w:rFonts w:ascii="Symbol" w:hAnsi="Symbol"/>
      </w:rPr>
    </w:lvl>
    <w:lvl w:ilvl="6" w:tplc="52F84EBC">
      <w:start w:val="1"/>
      <w:numFmt w:val="bullet"/>
      <w:lvlText w:val=""/>
      <w:lvlJc w:val="left"/>
      <w:pPr>
        <w:ind w:left="720" w:hanging="360"/>
      </w:pPr>
      <w:rPr>
        <w:rFonts w:ascii="Symbol" w:hAnsi="Symbol"/>
      </w:rPr>
    </w:lvl>
    <w:lvl w:ilvl="7" w:tplc="E8CEA36C">
      <w:start w:val="1"/>
      <w:numFmt w:val="bullet"/>
      <w:lvlText w:val=""/>
      <w:lvlJc w:val="left"/>
      <w:pPr>
        <w:ind w:left="720" w:hanging="360"/>
      </w:pPr>
      <w:rPr>
        <w:rFonts w:ascii="Symbol" w:hAnsi="Symbol"/>
      </w:rPr>
    </w:lvl>
    <w:lvl w:ilvl="8" w:tplc="D6A86D98">
      <w:start w:val="1"/>
      <w:numFmt w:val="bullet"/>
      <w:lvlText w:val=""/>
      <w:lvlJc w:val="left"/>
      <w:pPr>
        <w:ind w:left="720" w:hanging="360"/>
      </w:pPr>
      <w:rPr>
        <w:rFonts w:ascii="Symbol" w:hAnsi="Symbol"/>
      </w:rPr>
    </w:lvl>
  </w:abstractNum>
  <w:abstractNum w:abstractNumId="14" w15:restartNumberingAfterBreak="0">
    <w:nsid w:val="0B69E51B"/>
    <w:multiLevelType w:val="hybridMultilevel"/>
    <w:tmpl w:val="FFFFFFFF"/>
    <w:lvl w:ilvl="0" w:tplc="A2AE6D2A">
      <w:start w:val="1"/>
      <w:numFmt w:val="bullet"/>
      <w:lvlText w:val=""/>
      <w:lvlJc w:val="left"/>
      <w:pPr>
        <w:ind w:left="720" w:hanging="360"/>
      </w:pPr>
      <w:rPr>
        <w:rFonts w:ascii="Symbol" w:hAnsi="Symbol" w:hint="default"/>
      </w:rPr>
    </w:lvl>
    <w:lvl w:ilvl="1" w:tplc="7EDC4224">
      <w:start w:val="1"/>
      <w:numFmt w:val="bullet"/>
      <w:lvlText w:val="o"/>
      <w:lvlJc w:val="left"/>
      <w:pPr>
        <w:ind w:left="1440" w:hanging="360"/>
      </w:pPr>
      <w:rPr>
        <w:rFonts w:ascii="Courier New" w:hAnsi="Courier New" w:hint="default"/>
      </w:rPr>
    </w:lvl>
    <w:lvl w:ilvl="2" w:tplc="D0C488AA">
      <w:start w:val="1"/>
      <w:numFmt w:val="bullet"/>
      <w:lvlText w:val=""/>
      <w:lvlJc w:val="left"/>
      <w:pPr>
        <w:ind w:left="2160" w:hanging="360"/>
      </w:pPr>
      <w:rPr>
        <w:rFonts w:ascii="Wingdings" w:hAnsi="Wingdings" w:hint="default"/>
      </w:rPr>
    </w:lvl>
    <w:lvl w:ilvl="3" w:tplc="6B34089E">
      <w:start w:val="1"/>
      <w:numFmt w:val="bullet"/>
      <w:lvlText w:val=""/>
      <w:lvlJc w:val="left"/>
      <w:pPr>
        <w:ind w:left="2880" w:hanging="360"/>
      </w:pPr>
      <w:rPr>
        <w:rFonts w:ascii="Symbol" w:hAnsi="Symbol" w:hint="default"/>
      </w:rPr>
    </w:lvl>
    <w:lvl w:ilvl="4" w:tplc="EAA2F102">
      <w:start w:val="1"/>
      <w:numFmt w:val="bullet"/>
      <w:lvlText w:val="o"/>
      <w:lvlJc w:val="left"/>
      <w:pPr>
        <w:ind w:left="3600" w:hanging="360"/>
      </w:pPr>
      <w:rPr>
        <w:rFonts w:ascii="Courier New" w:hAnsi="Courier New" w:hint="default"/>
      </w:rPr>
    </w:lvl>
    <w:lvl w:ilvl="5" w:tplc="75EA15AC">
      <w:start w:val="1"/>
      <w:numFmt w:val="bullet"/>
      <w:lvlText w:val=""/>
      <w:lvlJc w:val="left"/>
      <w:pPr>
        <w:ind w:left="4320" w:hanging="360"/>
      </w:pPr>
      <w:rPr>
        <w:rFonts w:ascii="Wingdings" w:hAnsi="Wingdings" w:hint="default"/>
      </w:rPr>
    </w:lvl>
    <w:lvl w:ilvl="6" w:tplc="B3A4186C">
      <w:start w:val="1"/>
      <w:numFmt w:val="bullet"/>
      <w:lvlText w:val=""/>
      <w:lvlJc w:val="left"/>
      <w:pPr>
        <w:ind w:left="5040" w:hanging="360"/>
      </w:pPr>
      <w:rPr>
        <w:rFonts w:ascii="Symbol" w:hAnsi="Symbol" w:hint="default"/>
      </w:rPr>
    </w:lvl>
    <w:lvl w:ilvl="7" w:tplc="4E5EEABA">
      <w:start w:val="1"/>
      <w:numFmt w:val="bullet"/>
      <w:lvlText w:val="o"/>
      <w:lvlJc w:val="left"/>
      <w:pPr>
        <w:ind w:left="5760" w:hanging="360"/>
      </w:pPr>
      <w:rPr>
        <w:rFonts w:ascii="Courier New" w:hAnsi="Courier New" w:hint="default"/>
      </w:rPr>
    </w:lvl>
    <w:lvl w:ilvl="8" w:tplc="8B92DECA">
      <w:start w:val="1"/>
      <w:numFmt w:val="bullet"/>
      <w:lvlText w:val=""/>
      <w:lvlJc w:val="left"/>
      <w:pPr>
        <w:ind w:left="6480" w:hanging="360"/>
      </w:pPr>
      <w:rPr>
        <w:rFonts w:ascii="Wingdings" w:hAnsi="Wingdings" w:hint="default"/>
      </w:rPr>
    </w:lvl>
  </w:abstractNum>
  <w:abstractNum w:abstractNumId="15" w15:restartNumberingAfterBreak="0">
    <w:nsid w:val="0EFB7115"/>
    <w:multiLevelType w:val="multilevel"/>
    <w:tmpl w:val="FAC8529E"/>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0FAB4CDD"/>
    <w:multiLevelType w:val="multilevel"/>
    <w:tmpl w:val="04A6A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0F20E6A"/>
    <w:multiLevelType w:val="hybridMultilevel"/>
    <w:tmpl w:val="3DA6945C"/>
    <w:lvl w:ilvl="0" w:tplc="21B6C78A">
      <w:start w:val="1"/>
      <w:numFmt w:val="bullet"/>
      <w:lvlText w:val="·"/>
      <w:lvlJc w:val="left"/>
      <w:pPr>
        <w:ind w:left="720" w:hanging="360"/>
      </w:pPr>
      <w:rPr>
        <w:rFonts w:ascii="Symbol" w:hAnsi="Symbol" w:hint="default"/>
      </w:rPr>
    </w:lvl>
    <w:lvl w:ilvl="1" w:tplc="7278D504">
      <w:start w:val="1"/>
      <w:numFmt w:val="bullet"/>
      <w:lvlText w:val="o"/>
      <w:lvlJc w:val="left"/>
      <w:pPr>
        <w:ind w:left="1440" w:hanging="360"/>
      </w:pPr>
      <w:rPr>
        <w:rFonts w:ascii="Courier New" w:hAnsi="Courier New" w:hint="default"/>
      </w:rPr>
    </w:lvl>
    <w:lvl w:ilvl="2" w:tplc="B94E8784">
      <w:start w:val="1"/>
      <w:numFmt w:val="bullet"/>
      <w:lvlText w:val=""/>
      <w:lvlJc w:val="left"/>
      <w:pPr>
        <w:ind w:left="2160" w:hanging="360"/>
      </w:pPr>
      <w:rPr>
        <w:rFonts w:ascii="Wingdings" w:hAnsi="Wingdings" w:hint="default"/>
      </w:rPr>
    </w:lvl>
    <w:lvl w:ilvl="3" w:tplc="7AF0C2EE">
      <w:start w:val="1"/>
      <w:numFmt w:val="bullet"/>
      <w:lvlText w:val=""/>
      <w:lvlJc w:val="left"/>
      <w:pPr>
        <w:ind w:left="2880" w:hanging="360"/>
      </w:pPr>
      <w:rPr>
        <w:rFonts w:ascii="Symbol" w:hAnsi="Symbol" w:hint="default"/>
      </w:rPr>
    </w:lvl>
    <w:lvl w:ilvl="4" w:tplc="B17097D0">
      <w:start w:val="1"/>
      <w:numFmt w:val="bullet"/>
      <w:lvlText w:val="o"/>
      <w:lvlJc w:val="left"/>
      <w:pPr>
        <w:ind w:left="3600" w:hanging="360"/>
      </w:pPr>
      <w:rPr>
        <w:rFonts w:ascii="Courier New" w:hAnsi="Courier New" w:hint="default"/>
      </w:rPr>
    </w:lvl>
    <w:lvl w:ilvl="5" w:tplc="ACA4A076">
      <w:start w:val="1"/>
      <w:numFmt w:val="bullet"/>
      <w:lvlText w:val=""/>
      <w:lvlJc w:val="left"/>
      <w:pPr>
        <w:ind w:left="4320" w:hanging="360"/>
      </w:pPr>
      <w:rPr>
        <w:rFonts w:ascii="Wingdings" w:hAnsi="Wingdings" w:hint="default"/>
      </w:rPr>
    </w:lvl>
    <w:lvl w:ilvl="6" w:tplc="653ADBD2">
      <w:start w:val="1"/>
      <w:numFmt w:val="bullet"/>
      <w:lvlText w:val=""/>
      <w:lvlJc w:val="left"/>
      <w:pPr>
        <w:ind w:left="5040" w:hanging="360"/>
      </w:pPr>
      <w:rPr>
        <w:rFonts w:ascii="Symbol" w:hAnsi="Symbol" w:hint="default"/>
      </w:rPr>
    </w:lvl>
    <w:lvl w:ilvl="7" w:tplc="9B92CDC2">
      <w:start w:val="1"/>
      <w:numFmt w:val="bullet"/>
      <w:lvlText w:val="o"/>
      <w:lvlJc w:val="left"/>
      <w:pPr>
        <w:ind w:left="5760" w:hanging="360"/>
      </w:pPr>
      <w:rPr>
        <w:rFonts w:ascii="Courier New" w:hAnsi="Courier New" w:hint="default"/>
      </w:rPr>
    </w:lvl>
    <w:lvl w:ilvl="8" w:tplc="2408A510">
      <w:start w:val="1"/>
      <w:numFmt w:val="bullet"/>
      <w:lvlText w:val=""/>
      <w:lvlJc w:val="left"/>
      <w:pPr>
        <w:ind w:left="6480" w:hanging="360"/>
      </w:pPr>
      <w:rPr>
        <w:rFonts w:ascii="Wingdings" w:hAnsi="Wingdings" w:hint="default"/>
      </w:rPr>
    </w:lvl>
  </w:abstractNum>
  <w:abstractNum w:abstractNumId="18" w15:restartNumberingAfterBreak="0">
    <w:nsid w:val="120B7201"/>
    <w:multiLevelType w:val="multilevel"/>
    <w:tmpl w:val="3DBA5912"/>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120B8345"/>
    <w:multiLevelType w:val="multilevel"/>
    <w:tmpl w:val="3432E63A"/>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1262685D"/>
    <w:multiLevelType w:val="multilevel"/>
    <w:tmpl w:val="C446362E"/>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12E62D40"/>
    <w:multiLevelType w:val="hybridMultilevel"/>
    <w:tmpl w:val="D004DE78"/>
    <w:lvl w:ilvl="0" w:tplc="2A6251A0">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143D0A16"/>
    <w:multiLevelType w:val="multilevel"/>
    <w:tmpl w:val="51941ED8"/>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14996626"/>
    <w:multiLevelType w:val="hybridMultilevel"/>
    <w:tmpl w:val="053E60E8"/>
    <w:lvl w:ilvl="0" w:tplc="14F44428">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72F0AC5"/>
    <w:multiLevelType w:val="multilevel"/>
    <w:tmpl w:val="D5083B12"/>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1801554A"/>
    <w:multiLevelType w:val="hybridMultilevel"/>
    <w:tmpl w:val="15862F2A"/>
    <w:lvl w:ilvl="0" w:tplc="E75E86B8">
      <w:start w:val="1"/>
      <w:numFmt w:val="bullet"/>
      <w:lvlText w:val=""/>
      <w:lvlJc w:val="left"/>
      <w:pPr>
        <w:ind w:left="720" w:hanging="360"/>
      </w:pPr>
      <w:rPr>
        <w:rFonts w:ascii="Symbol" w:hAnsi="Symbol" w:hint="default"/>
      </w:rPr>
    </w:lvl>
    <w:lvl w:ilvl="1" w:tplc="B078812E">
      <w:start w:val="1"/>
      <w:numFmt w:val="bullet"/>
      <w:lvlText w:val="o"/>
      <w:lvlJc w:val="left"/>
      <w:pPr>
        <w:ind w:left="1440" w:hanging="360"/>
      </w:pPr>
      <w:rPr>
        <w:rFonts w:ascii="Courier New" w:hAnsi="Courier New" w:hint="default"/>
      </w:rPr>
    </w:lvl>
    <w:lvl w:ilvl="2" w:tplc="54BC48CE">
      <w:start w:val="1"/>
      <w:numFmt w:val="bullet"/>
      <w:lvlText w:val=""/>
      <w:lvlJc w:val="left"/>
      <w:pPr>
        <w:ind w:left="2160" w:hanging="360"/>
      </w:pPr>
      <w:rPr>
        <w:rFonts w:ascii="Wingdings" w:hAnsi="Wingdings" w:hint="default"/>
      </w:rPr>
    </w:lvl>
    <w:lvl w:ilvl="3" w:tplc="5C7448A8">
      <w:start w:val="1"/>
      <w:numFmt w:val="bullet"/>
      <w:lvlText w:val="o"/>
      <w:lvlJc w:val="left"/>
      <w:pPr>
        <w:ind w:left="2880" w:hanging="360"/>
      </w:pPr>
      <w:rPr>
        <w:rFonts w:ascii="&quot;Courier New&quot;" w:hAnsi="&quot;Courier New&quot;" w:hint="default"/>
      </w:rPr>
    </w:lvl>
    <w:lvl w:ilvl="4" w:tplc="E4041296">
      <w:start w:val="1"/>
      <w:numFmt w:val="bullet"/>
      <w:lvlText w:val="o"/>
      <w:lvlJc w:val="left"/>
      <w:pPr>
        <w:ind w:left="3600" w:hanging="360"/>
      </w:pPr>
      <w:rPr>
        <w:rFonts w:ascii="Courier New" w:hAnsi="Courier New" w:hint="default"/>
      </w:rPr>
    </w:lvl>
    <w:lvl w:ilvl="5" w:tplc="84BA67AC">
      <w:start w:val="1"/>
      <w:numFmt w:val="bullet"/>
      <w:lvlText w:val=""/>
      <w:lvlJc w:val="left"/>
      <w:pPr>
        <w:ind w:left="4320" w:hanging="360"/>
      </w:pPr>
      <w:rPr>
        <w:rFonts w:ascii="Wingdings" w:hAnsi="Wingdings" w:hint="default"/>
      </w:rPr>
    </w:lvl>
    <w:lvl w:ilvl="6" w:tplc="90244364">
      <w:start w:val="1"/>
      <w:numFmt w:val="bullet"/>
      <w:lvlText w:val=""/>
      <w:lvlJc w:val="left"/>
      <w:pPr>
        <w:ind w:left="5040" w:hanging="360"/>
      </w:pPr>
      <w:rPr>
        <w:rFonts w:ascii="Symbol" w:hAnsi="Symbol" w:hint="default"/>
      </w:rPr>
    </w:lvl>
    <w:lvl w:ilvl="7" w:tplc="C1F20A58">
      <w:start w:val="1"/>
      <w:numFmt w:val="bullet"/>
      <w:lvlText w:val="o"/>
      <w:lvlJc w:val="left"/>
      <w:pPr>
        <w:ind w:left="5760" w:hanging="360"/>
      </w:pPr>
      <w:rPr>
        <w:rFonts w:ascii="Courier New" w:hAnsi="Courier New" w:hint="default"/>
      </w:rPr>
    </w:lvl>
    <w:lvl w:ilvl="8" w:tplc="3B58F6F0">
      <w:start w:val="1"/>
      <w:numFmt w:val="bullet"/>
      <w:lvlText w:val=""/>
      <w:lvlJc w:val="left"/>
      <w:pPr>
        <w:ind w:left="6480" w:hanging="360"/>
      </w:pPr>
      <w:rPr>
        <w:rFonts w:ascii="Wingdings" w:hAnsi="Wingdings" w:hint="default"/>
      </w:rPr>
    </w:lvl>
  </w:abstractNum>
  <w:abstractNum w:abstractNumId="26" w15:restartNumberingAfterBreak="0">
    <w:nsid w:val="18A057AF"/>
    <w:multiLevelType w:val="multilevel"/>
    <w:tmpl w:val="28023060"/>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ind w:left="644" w:hanging="360"/>
      </w:pPr>
      <w:rPr>
        <w:rFonts w:ascii="Courier New" w:hAnsi="Courier New" w:cs="Courier New" w:hint="default"/>
      </w:rPr>
    </w:lvl>
    <w:lvl w:ilvl="2">
      <w:start w:val="1"/>
      <w:numFmt w:val="bullet"/>
      <w:lvlText w:val=""/>
      <w:lvlJc w:val="left"/>
      <w:pPr>
        <w:tabs>
          <w:tab w:val="num" w:pos="851"/>
        </w:tabs>
        <w:ind w:left="851" w:hanging="284"/>
      </w:pPr>
      <w:rPr>
        <w:rFonts w:ascii="Symbol" w:hAnsi="Symbol"/>
      </w:rPr>
    </w:lvl>
    <w:lvl w:ilvl="3">
      <w:start w:val="1"/>
      <w:numFmt w:val="bullet"/>
      <w:lvlText w:val="o"/>
      <w:lvlJc w:val="left"/>
      <w:pPr>
        <w:ind w:left="1211" w:hanging="360"/>
      </w:pPr>
      <w:rPr>
        <w:rFonts w:ascii="Courier New" w:hAnsi="Courier New" w:cs="Courier New"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19741C39"/>
    <w:multiLevelType w:val="hybridMultilevel"/>
    <w:tmpl w:val="E83E4BDE"/>
    <w:lvl w:ilvl="0" w:tplc="18090003">
      <w:start w:val="1"/>
      <w:numFmt w:val="bullet"/>
      <w:lvlText w:val="o"/>
      <w:lvlJc w:val="left"/>
      <w:pPr>
        <w:ind w:left="1288" w:hanging="360"/>
      </w:pPr>
      <w:rPr>
        <w:rFonts w:ascii="Courier New" w:hAnsi="Courier New" w:cs="Courier New" w:hint="default"/>
      </w:rPr>
    </w:lvl>
    <w:lvl w:ilvl="1" w:tplc="18090003" w:tentative="1">
      <w:start w:val="1"/>
      <w:numFmt w:val="bullet"/>
      <w:lvlText w:val="o"/>
      <w:lvlJc w:val="left"/>
      <w:pPr>
        <w:ind w:left="2008" w:hanging="360"/>
      </w:pPr>
      <w:rPr>
        <w:rFonts w:ascii="Courier New" w:hAnsi="Courier New" w:cs="Courier New" w:hint="default"/>
      </w:rPr>
    </w:lvl>
    <w:lvl w:ilvl="2" w:tplc="18090005" w:tentative="1">
      <w:start w:val="1"/>
      <w:numFmt w:val="bullet"/>
      <w:lvlText w:val=""/>
      <w:lvlJc w:val="left"/>
      <w:pPr>
        <w:ind w:left="2728" w:hanging="360"/>
      </w:pPr>
      <w:rPr>
        <w:rFonts w:ascii="Wingdings" w:hAnsi="Wingdings" w:hint="default"/>
      </w:rPr>
    </w:lvl>
    <w:lvl w:ilvl="3" w:tplc="18090001" w:tentative="1">
      <w:start w:val="1"/>
      <w:numFmt w:val="bullet"/>
      <w:lvlText w:val=""/>
      <w:lvlJc w:val="left"/>
      <w:pPr>
        <w:ind w:left="3448" w:hanging="360"/>
      </w:pPr>
      <w:rPr>
        <w:rFonts w:ascii="Symbol" w:hAnsi="Symbol" w:hint="default"/>
      </w:rPr>
    </w:lvl>
    <w:lvl w:ilvl="4" w:tplc="18090003" w:tentative="1">
      <w:start w:val="1"/>
      <w:numFmt w:val="bullet"/>
      <w:lvlText w:val="o"/>
      <w:lvlJc w:val="left"/>
      <w:pPr>
        <w:ind w:left="4168" w:hanging="360"/>
      </w:pPr>
      <w:rPr>
        <w:rFonts w:ascii="Courier New" w:hAnsi="Courier New" w:cs="Courier New" w:hint="default"/>
      </w:rPr>
    </w:lvl>
    <w:lvl w:ilvl="5" w:tplc="18090005" w:tentative="1">
      <w:start w:val="1"/>
      <w:numFmt w:val="bullet"/>
      <w:lvlText w:val=""/>
      <w:lvlJc w:val="left"/>
      <w:pPr>
        <w:ind w:left="4888" w:hanging="360"/>
      </w:pPr>
      <w:rPr>
        <w:rFonts w:ascii="Wingdings" w:hAnsi="Wingdings" w:hint="default"/>
      </w:rPr>
    </w:lvl>
    <w:lvl w:ilvl="6" w:tplc="18090001" w:tentative="1">
      <w:start w:val="1"/>
      <w:numFmt w:val="bullet"/>
      <w:lvlText w:val=""/>
      <w:lvlJc w:val="left"/>
      <w:pPr>
        <w:ind w:left="5608" w:hanging="360"/>
      </w:pPr>
      <w:rPr>
        <w:rFonts w:ascii="Symbol" w:hAnsi="Symbol" w:hint="default"/>
      </w:rPr>
    </w:lvl>
    <w:lvl w:ilvl="7" w:tplc="18090003" w:tentative="1">
      <w:start w:val="1"/>
      <w:numFmt w:val="bullet"/>
      <w:lvlText w:val="o"/>
      <w:lvlJc w:val="left"/>
      <w:pPr>
        <w:ind w:left="6328" w:hanging="360"/>
      </w:pPr>
      <w:rPr>
        <w:rFonts w:ascii="Courier New" w:hAnsi="Courier New" w:cs="Courier New" w:hint="default"/>
      </w:rPr>
    </w:lvl>
    <w:lvl w:ilvl="8" w:tplc="18090005" w:tentative="1">
      <w:start w:val="1"/>
      <w:numFmt w:val="bullet"/>
      <w:lvlText w:val=""/>
      <w:lvlJc w:val="left"/>
      <w:pPr>
        <w:ind w:left="7048" w:hanging="360"/>
      </w:pPr>
      <w:rPr>
        <w:rFonts w:ascii="Wingdings" w:hAnsi="Wingdings" w:hint="default"/>
      </w:rPr>
    </w:lvl>
  </w:abstractNum>
  <w:abstractNum w:abstractNumId="28" w15:restartNumberingAfterBreak="0">
    <w:nsid w:val="1B6642EC"/>
    <w:multiLevelType w:val="multilevel"/>
    <w:tmpl w:val="BC1282DA"/>
    <w:lvl w:ilvl="0">
      <w:start w:val="1"/>
      <w:numFmt w:val="bullet"/>
      <w:lvlText w:val="o"/>
      <w:lvlJc w:val="left"/>
      <w:pPr>
        <w:tabs>
          <w:tab w:val="num" w:pos="284"/>
        </w:tabs>
        <w:ind w:left="284" w:hanging="284"/>
      </w:pPr>
      <w:rPr>
        <w:rFonts w:ascii="Courier New" w:hAnsi="Courier New" w:cs="Courier New" w:hint="default"/>
      </w:rPr>
    </w:lvl>
    <w:lvl w:ilvl="1">
      <w:start w:val="1"/>
      <w:numFmt w:val="bullet"/>
      <w:lvlText w:val="o"/>
      <w:lvlJc w:val="left"/>
      <w:pPr>
        <w:ind w:left="644" w:hanging="360"/>
      </w:pPr>
      <w:rPr>
        <w:rFonts w:ascii="Courier New" w:hAnsi="Courier New" w:cs="Courier New" w:hint="default"/>
      </w:rPr>
    </w:lvl>
    <w:lvl w:ilvl="2">
      <w:start w:val="1"/>
      <w:numFmt w:val="bullet"/>
      <w:lvlText w:val=""/>
      <w:lvlJc w:val="left"/>
      <w:pPr>
        <w:tabs>
          <w:tab w:val="num" w:pos="851"/>
        </w:tabs>
        <w:ind w:left="851" w:hanging="284"/>
      </w:pPr>
      <w:rPr>
        <w:rFonts w:ascii="Symbol" w:hAnsi="Symbol"/>
      </w:rPr>
    </w:lvl>
    <w:lvl w:ilvl="3">
      <w:start w:val="1"/>
      <w:numFmt w:val="bullet"/>
      <w:lvlText w:val="o"/>
      <w:lvlJc w:val="left"/>
      <w:pPr>
        <w:ind w:left="1211" w:hanging="360"/>
      </w:pPr>
      <w:rPr>
        <w:rFonts w:ascii="Courier New" w:hAnsi="Courier New" w:cs="Courier New"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1C7B624F"/>
    <w:multiLevelType w:val="hybridMultilevel"/>
    <w:tmpl w:val="6040FA00"/>
    <w:name w:val="ListDash2Numbering"/>
    <w:lvl w:ilvl="0" w:tplc="64C44546">
      <w:start w:val="1"/>
      <w:numFmt w:val="bullet"/>
      <w:pStyle w:val="ListDash2"/>
      <w:lvlText w:val="–"/>
      <w:lvlJc w:val="left"/>
      <w:pPr>
        <w:tabs>
          <w:tab w:val="num" w:pos="284"/>
        </w:tabs>
        <w:ind w:left="284" w:hanging="284"/>
      </w:pPr>
      <w:rPr>
        <w:rFonts w:ascii="Times New Roman" w:hAnsi="Times New Roman" w:hint="default"/>
      </w:rPr>
    </w:lvl>
    <w:lvl w:ilvl="1" w:tplc="F3B62D70">
      <w:start w:val="1"/>
      <w:numFmt w:val="bullet"/>
      <w:pStyle w:val="ListDash2Level2"/>
      <w:lvlText w:val="–"/>
      <w:lvlJc w:val="left"/>
      <w:pPr>
        <w:tabs>
          <w:tab w:val="num" w:pos="567"/>
        </w:tabs>
        <w:ind w:left="567" w:hanging="283"/>
      </w:pPr>
      <w:rPr>
        <w:rFonts w:ascii="Times New Roman" w:hAnsi="Times New Roman" w:hint="default"/>
      </w:rPr>
    </w:lvl>
    <w:lvl w:ilvl="2" w:tplc="9620F8D0">
      <w:start w:val="1"/>
      <w:numFmt w:val="bullet"/>
      <w:pStyle w:val="ListDash2Level3"/>
      <w:lvlText w:val="–"/>
      <w:lvlJc w:val="left"/>
      <w:pPr>
        <w:tabs>
          <w:tab w:val="num" w:pos="851"/>
        </w:tabs>
        <w:ind w:left="851" w:hanging="284"/>
      </w:pPr>
      <w:rPr>
        <w:rFonts w:ascii="Times New Roman" w:hAnsi="Times New Roman" w:hint="default"/>
      </w:rPr>
    </w:lvl>
    <w:lvl w:ilvl="3" w:tplc="F9F26DA4">
      <w:start w:val="1"/>
      <w:numFmt w:val="bullet"/>
      <w:pStyle w:val="ListDash2Level4"/>
      <w:lvlText w:val="–"/>
      <w:lvlJc w:val="left"/>
      <w:pPr>
        <w:tabs>
          <w:tab w:val="num" w:pos="1134"/>
        </w:tabs>
        <w:ind w:left="1134" w:hanging="283"/>
      </w:pPr>
      <w:rPr>
        <w:rFonts w:ascii="Times New Roman" w:hAnsi="Times New Roman" w:hint="default"/>
      </w:rPr>
    </w:lvl>
    <w:lvl w:ilvl="4" w:tplc="BC8CE914">
      <w:numFmt w:val="decimal"/>
      <w:lvlText w:val=""/>
      <w:lvlJc w:val="left"/>
    </w:lvl>
    <w:lvl w:ilvl="5" w:tplc="3E98DE24">
      <w:numFmt w:val="decimal"/>
      <w:lvlText w:val=""/>
      <w:lvlJc w:val="left"/>
    </w:lvl>
    <w:lvl w:ilvl="6" w:tplc="C96E1ECC">
      <w:numFmt w:val="decimal"/>
      <w:lvlText w:val=""/>
      <w:lvlJc w:val="left"/>
    </w:lvl>
    <w:lvl w:ilvl="7" w:tplc="FE7EADBC">
      <w:numFmt w:val="decimal"/>
      <w:lvlText w:val=""/>
      <w:lvlJc w:val="left"/>
    </w:lvl>
    <w:lvl w:ilvl="8" w:tplc="90D016BE">
      <w:numFmt w:val="decimal"/>
      <w:lvlText w:val=""/>
      <w:lvlJc w:val="left"/>
    </w:lvl>
  </w:abstractNum>
  <w:abstractNum w:abstractNumId="30" w15:restartNumberingAfterBreak="0">
    <w:nsid w:val="1F6DFC95"/>
    <w:multiLevelType w:val="hybridMultilevel"/>
    <w:tmpl w:val="9C24AAFE"/>
    <w:lvl w:ilvl="0" w:tplc="85C8CA98">
      <w:start w:val="1"/>
      <w:numFmt w:val="bullet"/>
      <w:lvlText w:val=""/>
      <w:lvlJc w:val="left"/>
      <w:pPr>
        <w:ind w:left="1080" w:hanging="360"/>
      </w:pPr>
      <w:rPr>
        <w:rFonts w:ascii="Symbol" w:hAnsi="Symbol" w:hint="default"/>
      </w:rPr>
    </w:lvl>
    <w:lvl w:ilvl="1" w:tplc="C8FE48A2">
      <w:start w:val="1"/>
      <w:numFmt w:val="bullet"/>
      <w:lvlText w:val="o"/>
      <w:lvlJc w:val="left"/>
      <w:pPr>
        <w:ind w:left="1800" w:hanging="360"/>
      </w:pPr>
      <w:rPr>
        <w:rFonts w:ascii="Courier New" w:hAnsi="Courier New" w:hint="default"/>
      </w:rPr>
    </w:lvl>
    <w:lvl w:ilvl="2" w:tplc="D66A292C">
      <w:start w:val="1"/>
      <w:numFmt w:val="bullet"/>
      <w:lvlText w:val=""/>
      <w:lvlJc w:val="left"/>
      <w:pPr>
        <w:ind w:left="2520" w:hanging="360"/>
      </w:pPr>
      <w:rPr>
        <w:rFonts w:ascii="Wingdings" w:hAnsi="Wingdings" w:hint="default"/>
      </w:rPr>
    </w:lvl>
    <w:lvl w:ilvl="3" w:tplc="07CC5DE0">
      <w:start w:val="1"/>
      <w:numFmt w:val="bullet"/>
      <w:lvlText w:val="o"/>
      <w:lvlJc w:val="left"/>
      <w:pPr>
        <w:ind w:left="3240" w:hanging="360"/>
      </w:pPr>
      <w:rPr>
        <w:rFonts w:ascii="&quot;Courier New&quot;" w:hAnsi="&quot;Courier New&quot;" w:hint="default"/>
      </w:rPr>
    </w:lvl>
    <w:lvl w:ilvl="4" w:tplc="C2C6C556">
      <w:start w:val="1"/>
      <w:numFmt w:val="bullet"/>
      <w:lvlText w:val="o"/>
      <w:lvlJc w:val="left"/>
      <w:pPr>
        <w:ind w:left="3960" w:hanging="360"/>
      </w:pPr>
      <w:rPr>
        <w:rFonts w:ascii="Courier New" w:hAnsi="Courier New" w:hint="default"/>
      </w:rPr>
    </w:lvl>
    <w:lvl w:ilvl="5" w:tplc="0D0254F2">
      <w:start w:val="1"/>
      <w:numFmt w:val="bullet"/>
      <w:lvlText w:val=""/>
      <w:lvlJc w:val="left"/>
      <w:pPr>
        <w:ind w:left="4680" w:hanging="360"/>
      </w:pPr>
      <w:rPr>
        <w:rFonts w:ascii="Wingdings" w:hAnsi="Wingdings" w:hint="default"/>
      </w:rPr>
    </w:lvl>
    <w:lvl w:ilvl="6" w:tplc="5A4C8BEA">
      <w:start w:val="1"/>
      <w:numFmt w:val="bullet"/>
      <w:lvlText w:val=""/>
      <w:lvlJc w:val="left"/>
      <w:pPr>
        <w:ind w:left="5400" w:hanging="360"/>
      </w:pPr>
      <w:rPr>
        <w:rFonts w:ascii="Symbol" w:hAnsi="Symbol" w:hint="default"/>
      </w:rPr>
    </w:lvl>
    <w:lvl w:ilvl="7" w:tplc="23140C5A">
      <w:start w:val="1"/>
      <w:numFmt w:val="bullet"/>
      <w:lvlText w:val="o"/>
      <w:lvlJc w:val="left"/>
      <w:pPr>
        <w:ind w:left="6120" w:hanging="360"/>
      </w:pPr>
      <w:rPr>
        <w:rFonts w:ascii="Courier New" w:hAnsi="Courier New" w:hint="default"/>
      </w:rPr>
    </w:lvl>
    <w:lvl w:ilvl="8" w:tplc="4C18AEA4">
      <w:start w:val="1"/>
      <w:numFmt w:val="bullet"/>
      <w:lvlText w:val=""/>
      <w:lvlJc w:val="left"/>
      <w:pPr>
        <w:ind w:left="6840" w:hanging="360"/>
      </w:pPr>
      <w:rPr>
        <w:rFonts w:ascii="Wingdings" w:hAnsi="Wingdings" w:hint="default"/>
      </w:rPr>
    </w:lvl>
  </w:abstractNum>
  <w:abstractNum w:abstractNumId="31" w15:restartNumberingAfterBreak="0">
    <w:nsid w:val="23E00966"/>
    <w:multiLevelType w:val="hybridMultilevel"/>
    <w:tmpl w:val="5B345AEC"/>
    <w:lvl w:ilvl="0" w:tplc="AF921BC4">
      <w:start w:val="1"/>
      <w:numFmt w:val="bullet"/>
      <w:lvlText w:val=""/>
      <w:lvlJc w:val="left"/>
      <w:pPr>
        <w:ind w:left="643" w:hanging="360"/>
      </w:pPr>
      <w:rPr>
        <w:rFonts w:ascii="Symbol" w:hAnsi="Symbol" w:hint="default"/>
      </w:rPr>
    </w:lvl>
    <w:lvl w:ilvl="1" w:tplc="FFFFFFFF" w:tentative="1">
      <w:start w:val="1"/>
      <w:numFmt w:val="bullet"/>
      <w:lvlText w:val="o"/>
      <w:lvlJc w:val="left"/>
      <w:pPr>
        <w:ind w:left="1363" w:hanging="360"/>
      </w:pPr>
      <w:rPr>
        <w:rFonts w:ascii="Courier New" w:hAnsi="Courier New" w:cs="Courier New" w:hint="default"/>
      </w:rPr>
    </w:lvl>
    <w:lvl w:ilvl="2" w:tplc="FFFFFFFF" w:tentative="1">
      <w:start w:val="1"/>
      <w:numFmt w:val="bullet"/>
      <w:lvlText w:val=""/>
      <w:lvlJc w:val="left"/>
      <w:pPr>
        <w:ind w:left="2083" w:hanging="360"/>
      </w:pPr>
      <w:rPr>
        <w:rFonts w:ascii="Wingdings" w:hAnsi="Wingdings" w:hint="default"/>
      </w:rPr>
    </w:lvl>
    <w:lvl w:ilvl="3" w:tplc="FFFFFFFF" w:tentative="1">
      <w:start w:val="1"/>
      <w:numFmt w:val="bullet"/>
      <w:lvlText w:val=""/>
      <w:lvlJc w:val="left"/>
      <w:pPr>
        <w:ind w:left="2803" w:hanging="360"/>
      </w:pPr>
      <w:rPr>
        <w:rFonts w:ascii="Symbol" w:hAnsi="Symbol" w:hint="default"/>
      </w:rPr>
    </w:lvl>
    <w:lvl w:ilvl="4" w:tplc="FFFFFFFF" w:tentative="1">
      <w:start w:val="1"/>
      <w:numFmt w:val="bullet"/>
      <w:lvlText w:val="o"/>
      <w:lvlJc w:val="left"/>
      <w:pPr>
        <w:ind w:left="3523" w:hanging="360"/>
      </w:pPr>
      <w:rPr>
        <w:rFonts w:ascii="Courier New" w:hAnsi="Courier New" w:cs="Courier New" w:hint="default"/>
      </w:rPr>
    </w:lvl>
    <w:lvl w:ilvl="5" w:tplc="FFFFFFFF" w:tentative="1">
      <w:start w:val="1"/>
      <w:numFmt w:val="bullet"/>
      <w:lvlText w:val=""/>
      <w:lvlJc w:val="left"/>
      <w:pPr>
        <w:ind w:left="4243" w:hanging="360"/>
      </w:pPr>
      <w:rPr>
        <w:rFonts w:ascii="Wingdings" w:hAnsi="Wingdings" w:hint="default"/>
      </w:rPr>
    </w:lvl>
    <w:lvl w:ilvl="6" w:tplc="FFFFFFFF" w:tentative="1">
      <w:start w:val="1"/>
      <w:numFmt w:val="bullet"/>
      <w:lvlText w:val=""/>
      <w:lvlJc w:val="left"/>
      <w:pPr>
        <w:ind w:left="4963" w:hanging="360"/>
      </w:pPr>
      <w:rPr>
        <w:rFonts w:ascii="Symbol" w:hAnsi="Symbol" w:hint="default"/>
      </w:rPr>
    </w:lvl>
    <w:lvl w:ilvl="7" w:tplc="FFFFFFFF" w:tentative="1">
      <w:start w:val="1"/>
      <w:numFmt w:val="bullet"/>
      <w:lvlText w:val="o"/>
      <w:lvlJc w:val="left"/>
      <w:pPr>
        <w:ind w:left="5683" w:hanging="360"/>
      </w:pPr>
      <w:rPr>
        <w:rFonts w:ascii="Courier New" w:hAnsi="Courier New" w:cs="Courier New" w:hint="default"/>
      </w:rPr>
    </w:lvl>
    <w:lvl w:ilvl="8" w:tplc="FFFFFFFF" w:tentative="1">
      <w:start w:val="1"/>
      <w:numFmt w:val="bullet"/>
      <w:lvlText w:val=""/>
      <w:lvlJc w:val="left"/>
      <w:pPr>
        <w:ind w:left="6403" w:hanging="360"/>
      </w:pPr>
      <w:rPr>
        <w:rFonts w:ascii="Wingdings" w:hAnsi="Wingdings" w:hint="default"/>
      </w:rPr>
    </w:lvl>
  </w:abstractNum>
  <w:abstractNum w:abstractNumId="32" w15:restartNumberingAfterBreak="0">
    <w:nsid w:val="26635B5C"/>
    <w:multiLevelType w:val="hybridMultilevel"/>
    <w:tmpl w:val="3DBA6BD4"/>
    <w:lvl w:ilvl="0" w:tplc="18090003">
      <w:start w:val="1"/>
      <w:numFmt w:val="bullet"/>
      <w:lvlText w:val="o"/>
      <w:lvlJc w:val="left"/>
      <w:pPr>
        <w:ind w:left="1004" w:hanging="360"/>
      </w:pPr>
      <w:rPr>
        <w:rFonts w:ascii="Courier New" w:hAnsi="Courier New" w:cs="Courier New" w:hint="default"/>
      </w:rPr>
    </w:lvl>
    <w:lvl w:ilvl="1" w:tplc="18090003" w:tentative="1">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33" w15:restartNumberingAfterBreak="0">
    <w:nsid w:val="269F5A29"/>
    <w:multiLevelType w:val="hybridMultilevel"/>
    <w:tmpl w:val="581A7132"/>
    <w:lvl w:ilvl="0" w:tplc="13CCDF2E">
      <w:start w:val="1"/>
      <w:numFmt w:val="bullet"/>
      <w:lvlText w:val=""/>
      <w:lvlJc w:val="left"/>
      <w:pPr>
        <w:ind w:left="720" w:hanging="360"/>
      </w:pPr>
      <w:rPr>
        <w:rFonts w:ascii="Symbol" w:hAnsi="Symbol"/>
      </w:rPr>
    </w:lvl>
    <w:lvl w:ilvl="1" w:tplc="9A06747E">
      <w:start w:val="1"/>
      <w:numFmt w:val="bullet"/>
      <w:lvlText w:val=""/>
      <w:lvlJc w:val="left"/>
      <w:pPr>
        <w:ind w:left="720" w:hanging="360"/>
      </w:pPr>
      <w:rPr>
        <w:rFonts w:ascii="Symbol" w:hAnsi="Symbol"/>
      </w:rPr>
    </w:lvl>
    <w:lvl w:ilvl="2" w:tplc="85D858CE">
      <w:start w:val="1"/>
      <w:numFmt w:val="bullet"/>
      <w:lvlText w:val=""/>
      <w:lvlJc w:val="left"/>
      <w:pPr>
        <w:ind w:left="720" w:hanging="360"/>
      </w:pPr>
      <w:rPr>
        <w:rFonts w:ascii="Symbol" w:hAnsi="Symbol"/>
      </w:rPr>
    </w:lvl>
    <w:lvl w:ilvl="3" w:tplc="407C3338">
      <w:start w:val="1"/>
      <w:numFmt w:val="bullet"/>
      <w:lvlText w:val=""/>
      <w:lvlJc w:val="left"/>
      <w:pPr>
        <w:ind w:left="720" w:hanging="360"/>
      </w:pPr>
      <w:rPr>
        <w:rFonts w:ascii="Symbol" w:hAnsi="Symbol"/>
      </w:rPr>
    </w:lvl>
    <w:lvl w:ilvl="4" w:tplc="58A0744A">
      <w:start w:val="1"/>
      <w:numFmt w:val="bullet"/>
      <w:lvlText w:val=""/>
      <w:lvlJc w:val="left"/>
      <w:pPr>
        <w:ind w:left="720" w:hanging="360"/>
      </w:pPr>
      <w:rPr>
        <w:rFonts w:ascii="Symbol" w:hAnsi="Symbol"/>
      </w:rPr>
    </w:lvl>
    <w:lvl w:ilvl="5" w:tplc="C33448FC">
      <w:start w:val="1"/>
      <w:numFmt w:val="bullet"/>
      <w:lvlText w:val=""/>
      <w:lvlJc w:val="left"/>
      <w:pPr>
        <w:ind w:left="720" w:hanging="360"/>
      </w:pPr>
      <w:rPr>
        <w:rFonts w:ascii="Symbol" w:hAnsi="Symbol"/>
      </w:rPr>
    </w:lvl>
    <w:lvl w:ilvl="6" w:tplc="3A4CE454">
      <w:start w:val="1"/>
      <w:numFmt w:val="bullet"/>
      <w:lvlText w:val=""/>
      <w:lvlJc w:val="left"/>
      <w:pPr>
        <w:ind w:left="720" w:hanging="360"/>
      </w:pPr>
      <w:rPr>
        <w:rFonts w:ascii="Symbol" w:hAnsi="Symbol"/>
      </w:rPr>
    </w:lvl>
    <w:lvl w:ilvl="7" w:tplc="FC96C34A">
      <w:start w:val="1"/>
      <w:numFmt w:val="bullet"/>
      <w:lvlText w:val=""/>
      <w:lvlJc w:val="left"/>
      <w:pPr>
        <w:ind w:left="720" w:hanging="360"/>
      </w:pPr>
      <w:rPr>
        <w:rFonts w:ascii="Symbol" w:hAnsi="Symbol"/>
      </w:rPr>
    </w:lvl>
    <w:lvl w:ilvl="8" w:tplc="870ECD32">
      <w:start w:val="1"/>
      <w:numFmt w:val="bullet"/>
      <w:lvlText w:val=""/>
      <w:lvlJc w:val="left"/>
      <w:pPr>
        <w:ind w:left="720" w:hanging="360"/>
      </w:pPr>
      <w:rPr>
        <w:rFonts w:ascii="Symbol" w:hAnsi="Symbol"/>
      </w:rPr>
    </w:lvl>
  </w:abstractNum>
  <w:abstractNum w:abstractNumId="34" w15:restartNumberingAfterBreak="0">
    <w:nsid w:val="2787BC4B"/>
    <w:multiLevelType w:val="hybridMultilevel"/>
    <w:tmpl w:val="FFFFFFFF"/>
    <w:lvl w:ilvl="0" w:tplc="751ACBD4">
      <w:start w:val="1"/>
      <w:numFmt w:val="bullet"/>
      <w:lvlText w:val=""/>
      <w:lvlJc w:val="left"/>
      <w:pPr>
        <w:ind w:left="720" w:hanging="360"/>
      </w:pPr>
      <w:rPr>
        <w:rFonts w:ascii="Symbol" w:hAnsi="Symbol" w:hint="default"/>
      </w:rPr>
    </w:lvl>
    <w:lvl w:ilvl="1" w:tplc="0AA224EE">
      <w:start w:val="1"/>
      <w:numFmt w:val="bullet"/>
      <w:lvlText w:val="o"/>
      <w:lvlJc w:val="left"/>
      <w:pPr>
        <w:ind w:left="1440" w:hanging="360"/>
      </w:pPr>
      <w:rPr>
        <w:rFonts w:ascii="&quot;Courier New&quot;" w:hAnsi="&quot;Courier New&quot;" w:hint="default"/>
      </w:rPr>
    </w:lvl>
    <w:lvl w:ilvl="2" w:tplc="40F2CDD0">
      <w:start w:val="1"/>
      <w:numFmt w:val="bullet"/>
      <w:lvlText w:val=""/>
      <w:lvlJc w:val="left"/>
      <w:pPr>
        <w:ind w:left="2160" w:hanging="360"/>
      </w:pPr>
      <w:rPr>
        <w:rFonts w:ascii="Wingdings" w:hAnsi="Wingdings" w:hint="default"/>
      </w:rPr>
    </w:lvl>
    <w:lvl w:ilvl="3" w:tplc="4CAE2880">
      <w:start w:val="1"/>
      <w:numFmt w:val="bullet"/>
      <w:lvlText w:val=""/>
      <w:lvlJc w:val="left"/>
      <w:pPr>
        <w:ind w:left="2880" w:hanging="360"/>
      </w:pPr>
      <w:rPr>
        <w:rFonts w:ascii="Symbol" w:hAnsi="Symbol" w:hint="default"/>
      </w:rPr>
    </w:lvl>
    <w:lvl w:ilvl="4" w:tplc="3D369C4A">
      <w:start w:val="1"/>
      <w:numFmt w:val="bullet"/>
      <w:lvlText w:val="o"/>
      <w:lvlJc w:val="left"/>
      <w:pPr>
        <w:ind w:left="3600" w:hanging="360"/>
      </w:pPr>
      <w:rPr>
        <w:rFonts w:ascii="Courier New" w:hAnsi="Courier New" w:hint="default"/>
      </w:rPr>
    </w:lvl>
    <w:lvl w:ilvl="5" w:tplc="381E5098">
      <w:start w:val="1"/>
      <w:numFmt w:val="bullet"/>
      <w:lvlText w:val=""/>
      <w:lvlJc w:val="left"/>
      <w:pPr>
        <w:ind w:left="4320" w:hanging="360"/>
      </w:pPr>
      <w:rPr>
        <w:rFonts w:ascii="Wingdings" w:hAnsi="Wingdings" w:hint="default"/>
      </w:rPr>
    </w:lvl>
    <w:lvl w:ilvl="6" w:tplc="5622AC2A">
      <w:start w:val="1"/>
      <w:numFmt w:val="bullet"/>
      <w:lvlText w:val=""/>
      <w:lvlJc w:val="left"/>
      <w:pPr>
        <w:ind w:left="5040" w:hanging="360"/>
      </w:pPr>
      <w:rPr>
        <w:rFonts w:ascii="Symbol" w:hAnsi="Symbol" w:hint="default"/>
      </w:rPr>
    </w:lvl>
    <w:lvl w:ilvl="7" w:tplc="49EE91B2">
      <w:start w:val="1"/>
      <w:numFmt w:val="bullet"/>
      <w:lvlText w:val="o"/>
      <w:lvlJc w:val="left"/>
      <w:pPr>
        <w:ind w:left="5760" w:hanging="360"/>
      </w:pPr>
      <w:rPr>
        <w:rFonts w:ascii="Courier New" w:hAnsi="Courier New" w:hint="default"/>
      </w:rPr>
    </w:lvl>
    <w:lvl w:ilvl="8" w:tplc="F0CC6DC6">
      <w:start w:val="1"/>
      <w:numFmt w:val="bullet"/>
      <w:lvlText w:val=""/>
      <w:lvlJc w:val="left"/>
      <w:pPr>
        <w:ind w:left="6480" w:hanging="360"/>
      </w:pPr>
      <w:rPr>
        <w:rFonts w:ascii="Wingdings" w:hAnsi="Wingdings" w:hint="default"/>
      </w:rPr>
    </w:lvl>
  </w:abstractNum>
  <w:abstractNum w:abstractNumId="35" w15:restartNumberingAfterBreak="0">
    <w:nsid w:val="28601E82"/>
    <w:multiLevelType w:val="hybridMultilevel"/>
    <w:tmpl w:val="14EE441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2B03724A"/>
    <w:multiLevelType w:val="hybridMultilevel"/>
    <w:tmpl w:val="DAF80042"/>
    <w:lvl w:ilvl="0" w:tplc="474203C4">
      <w:start w:val="1"/>
      <w:numFmt w:val="bullet"/>
      <w:lvlText w:val="·"/>
      <w:lvlJc w:val="left"/>
      <w:pPr>
        <w:ind w:left="720" w:hanging="360"/>
      </w:pPr>
      <w:rPr>
        <w:rFonts w:ascii="Symbol" w:hAnsi="Symbol" w:hint="default"/>
      </w:rPr>
    </w:lvl>
    <w:lvl w:ilvl="1" w:tplc="F85ECD9A">
      <w:start w:val="1"/>
      <w:numFmt w:val="bullet"/>
      <w:lvlText w:val="o"/>
      <w:lvlJc w:val="left"/>
      <w:pPr>
        <w:ind w:left="1440" w:hanging="360"/>
      </w:pPr>
      <w:rPr>
        <w:rFonts w:ascii="Courier New" w:hAnsi="Courier New" w:hint="default"/>
      </w:rPr>
    </w:lvl>
    <w:lvl w:ilvl="2" w:tplc="1F4CFFAE">
      <w:start w:val="1"/>
      <w:numFmt w:val="bullet"/>
      <w:lvlText w:val=""/>
      <w:lvlJc w:val="left"/>
      <w:pPr>
        <w:ind w:left="2160" w:hanging="360"/>
      </w:pPr>
      <w:rPr>
        <w:rFonts w:ascii="Wingdings" w:hAnsi="Wingdings" w:hint="default"/>
      </w:rPr>
    </w:lvl>
    <w:lvl w:ilvl="3" w:tplc="745C799E">
      <w:start w:val="1"/>
      <w:numFmt w:val="bullet"/>
      <w:lvlText w:val=""/>
      <w:lvlJc w:val="left"/>
      <w:pPr>
        <w:ind w:left="2880" w:hanging="360"/>
      </w:pPr>
      <w:rPr>
        <w:rFonts w:ascii="Symbol" w:hAnsi="Symbol" w:hint="default"/>
      </w:rPr>
    </w:lvl>
    <w:lvl w:ilvl="4" w:tplc="47469D68">
      <w:start w:val="1"/>
      <w:numFmt w:val="bullet"/>
      <w:lvlText w:val="o"/>
      <w:lvlJc w:val="left"/>
      <w:pPr>
        <w:ind w:left="3600" w:hanging="360"/>
      </w:pPr>
      <w:rPr>
        <w:rFonts w:ascii="Courier New" w:hAnsi="Courier New" w:hint="default"/>
      </w:rPr>
    </w:lvl>
    <w:lvl w:ilvl="5" w:tplc="40B83368">
      <w:start w:val="1"/>
      <w:numFmt w:val="bullet"/>
      <w:lvlText w:val=""/>
      <w:lvlJc w:val="left"/>
      <w:pPr>
        <w:ind w:left="4320" w:hanging="360"/>
      </w:pPr>
      <w:rPr>
        <w:rFonts w:ascii="Wingdings" w:hAnsi="Wingdings" w:hint="default"/>
      </w:rPr>
    </w:lvl>
    <w:lvl w:ilvl="6" w:tplc="9590647E">
      <w:start w:val="1"/>
      <w:numFmt w:val="bullet"/>
      <w:lvlText w:val=""/>
      <w:lvlJc w:val="left"/>
      <w:pPr>
        <w:ind w:left="5040" w:hanging="360"/>
      </w:pPr>
      <w:rPr>
        <w:rFonts w:ascii="Symbol" w:hAnsi="Symbol" w:hint="default"/>
      </w:rPr>
    </w:lvl>
    <w:lvl w:ilvl="7" w:tplc="8A1AAD5A">
      <w:start w:val="1"/>
      <w:numFmt w:val="bullet"/>
      <w:lvlText w:val="o"/>
      <w:lvlJc w:val="left"/>
      <w:pPr>
        <w:ind w:left="5760" w:hanging="360"/>
      </w:pPr>
      <w:rPr>
        <w:rFonts w:ascii="Courier New" w:hAnsi="Courier New" w:hint="default"/>
      </w:rPr>
    </w:lvl>
    <w:lvl w:ilvl="8" w:tplc="CCC2BF4A">
      <w:start w:val="1"/>
      <w:numFmt w:val="bullet"/>
      <w:lvlText w:val=""/>
      <w:lvlJc w:val="left"/>
      <w:pPr>
        <w:ind w:left="6480" w:hanging="360"/>
      </w:pPr>
      <w:rPr>
        <w:rFonts w:ascii="Wingdings" w:hAnsi="Wingdings" w:hint="default"/>
      </w:rPr>
    </w:lvl>
  </w:abstractNum>
  <w:abstractNum w:abstractNumId="37" w15:restartNumberingAfterBreak="0">
    <w:nsid w:val="2B4CCBAB"/>
    <w:multiLevelType w:val="hybridMultilevel"/>
    <w:tmpl w:val="FFFFFFFF"/>
    <w:lvl w:ilvl="0" w:tplc="AAF29280">
      <w:start w:val="1"/>
      <w:numFmt w:val="bullet"/>
      <w:lvlText w:val=""/>
      <w:lvlJc w:val="left"/>
      <w:pPr>
        <w:ind w:left="720" w:hanging="360"/>
      </w:pPr>
      <w:rPr>
        <w:rFonts w:ascii="Symbol" w:hAnsi="Symbol" w:hint="default"/>
      </w:rPr>
    </w:lvl>
    <w:lvl w:ilvl="1" w:tplc="D696D5CC">
      <w:start w:val="1"/>
      <w:numFmt w:val="bullet"/>
      <w:lvlText w:val="o"/>
      <w:lvlJc w:val="left"/>
      <w:pPr>
        <w:ind w:left="1440" w:hanging="360"/>
      </w:pPr>
      <w:rPr>
        <w:rFonts w:ascii="Courier New" w:hAnsi="Courier New" w:hint="default"/>
      </w:rPr>
    </w:lvl>
    <w:lvl w:ilvl="2" w:tplc="8C725628">
      <w:start w:val="1"/>
      <w:numFmt w:val="bullet"/>
      <w:lvlText w:val=""/>
      <w:lvlJc w:val="left"/>
      <w:pPr>
        <w:ind w:left="2160" w:hanging="360"/>
      </w:pPr>
      <w:rPr>
        <w:rFonts w:ascii="Wingdings" w:hAnsi="Wingdings" w:hint="default"/>
      </w:rPr>
    </w:lvl>
    <w:lvl w:ilvl="3" w:tplc="96CC74CC">
      <w:start w:val="1"/>
      <w:numFmt w:val="bullet"/>
      <w:lvlText w:val=""/>
      <w:lvlJc w:val="left"/>
      <w:pPr>
        <w:ind w:left="2880" w:hanging="360"/>
      </w:pPr>
      <w:rPr>
        <w:rFonts w:ascii="Symbol" w:hAnsi="Symbol" w:hint="default"/>
      </w:rPr>
    </w:lvl>
    <w:lvl w:ilvl="4" w:tplc="16FC0DF0">
      <w:start w:val="1"/>
      <w:numFmt w:val="bullet"/>
      <w:lvlText w:val="o"/>
      <w:lvlJc w:val="left"/>
      <w:pPr>
        <w:ind w:left="3600" w:hanging="360"/>
      </w:pPr>
      <w:rPr>
        <w:rFonts w:ascii="Courier New" w:hAnsi="Courier New" w:hint="default"/>
      </w:rPr>
    </w:lvl>
    <w:lvl w:ilvl="5" w:tplc="19148080">
      <w:start w:val="1"/>
      <w:numFmt w:val="bullet"/>
      <w:lvlText w:val=""/>
      <w:lvlJc w:val="left"/>
      <w:pPr>
        <w:ind w:left="4320" w:hanging="360"/>
      </w:pPr>
      <w:rPr>
        <w:rFonts w:ascii="Wingdings" w:hAnsi="Wingdings" w:hint="default"/>
      </w:rPr>
    </w:lvl>
    <w:lvl w:ilvl="6" w:tplc="23DAE66C">
      <w:start w:val="1"/>
      <w:numFmt w:val="bullet"/>
      <w:lvlText w:val=""/>
      <w:lvlJc w:val="left"/>
      <w:pPr>
        <w:ind w:left="5040" w:hanging="360"/>
      </w:pPr>
      <w:rPr>
        <w:rFonts w:ascii="Symbol" w:hAnsi="Symbol" w:hint="default"/>
      </w:rPr>
    </w:lvl>
    <w:lvl w:ilvl="7" w:tplc="45984C66">
      <w:start w:val="1"/>
      <w:numFmt w:val="bullet"/>
      <w:lvlText w:val="o"/>
      <w:lvlJc w:val="left"/>
      <w:pPr>
        <w:ind w:left="5760" w:hanging="360"/>
      </w:pPr>
      <w:rPr>
        <w:rFonts w:ascii="Courier New" w:hAnsi="Courier New" w:hint="default"/>
      </w:rPr>
    </w:lvl>
    <w:lvl w:ilvl="8" w:tplc="5B623A74">
      <w:start w:val="1"/>
      <w:numFmt w:val="bullet"/>
      <w:lvlText w:val=""/>
      <w:lvlJc w:val="left"/>
      <w:pPr>
        <w:ind w:left="6480" w:hanging="360"/>
      </w:pPr>
      <w:rPr>
        <w:rFonts w:ascii="Wingdings" w:hAnsi="Wingdings" w:hint="default"/>
      </w:rPr>
    </w:lvl>
  </w:abstractNum>
  <w:abstractNum w:abstractNumId="38" w15:restartNumberingAfterBreak="0">
    <w:nsid w:val="2C8DFDF8"/>
    <w:multiLevelType w:val="hybridMultilevel"/>
    <w:tmpl w:val="67FA7346"/>
    <w:name w:val="ListBullet2Numbering"/>
    <w:lvl w:ilvl="0" w:tplc="AA32B1D0">
      <w:start w:val="1"/>
      <w:numFmt w:val="bullet"/>
      <w:lvlText w:val=""/>
      <w:lvlJc w:val="left"/>
      <w:pPr>
        <w:tabs>
          <w:tab w:val="num" w:pos="284"/>
        </w:tabs>
        <w:ind w:left="284" w:hanging="284"/>
      </w:pPr>
      <w:rPr>
        <w:rFonts w:ascii="Symbol" w:hAnsi="Symbol" w:hint="default"/>
      </w:rPr>
    </w:lvl>
    <w:lvl w:ilvl="1" w:tplc="2898CEDC">
      <w:start w:val="1"/>
      <w:numFmt w:val="bullet"/>
      <w:pStyle w:val="ListBullet2Level2"/>
      <w:lvlText w:val=""/>
      <w:lvlJc w:val="left"/>
      <w:pPr>
        <w:tabs>
          <w:tab w:val="num" w:pos="567"/>
        </w:tabs>
        <w:ind w:left="567" w:hanging="283"/>
      </w:pPr>
      <w:rPr>
        <w:rFonts w:ascii="Symbol" w:hAnsi="Symbol" w:hint="default"/>
      </w:rPr>
    </w:lvl>
    <w:lvl w:ilvl="2" w:tplc="5860F46C">
      <w:start w:val="1"/>
      <w:numFmt w:val="bullet"/>
      <w:pStyle w:val="ListBullet2Level3"/>
      <w:lvlText w:val=""/>
      <w:lvlJc w:val="left"/>
      <w:pPr>
        <w:tabs>
          <w:tab w:val="num" w:pos="851"/>
        </w:tabs>
        <w:ind w:left="851" w:hanging="284"/>
      </w:pPr>
      <w:rPr>
        <w:rFonts w:ascii="Symbol" w:hAnsi="Symbol" w:hint="default"/>
      </w:rPr>
    </w:lvl>
    <w:lvl w:ilvl="3" w:tplc="6D642E98">
      <w:start w:val="1"/>
      <w:numFmt w:val="bullet"/>
      <w:pStyle w:val="ListBullet2Level4"/>
      <w:lvlText w:val=""/>
      <w:lvlJc w:val="left"/>
      <w:pPr>
        <w:tabs>
          <w:tab w:val="num" w:pos="1134"/>
        </w:tabs>
        <w:ind w:left="1134" w:hanging="283"/>
      </w:pPr>
      <w:rPr>
        <w:rFonts w:ascii="Symbol" w:hAnsi="Symbol" w:hint="default"/>
      </w:rPr>
    </w:lvl>
    <w:lvl w:ilvl="4" w:tplc="F17A9DA4">
      <w:numFmt w:val="decimal"/>
      <w:lvlText w:val=""/>
      <w:lvlJc w:val="left"/>
    </w:lvl>
    <w:lvl w:ilvl="5" w:tplc="06D68610">
      <w:numFmt w:val="decimal"/>
      <w:lvlText w:val=""/>
      <w:lvlJc w:val="left"/>
    </w:lvl>
    <w:lvl w:ilvl="6" w:tplc="BD3A0186">
      <w:numFmt w:val="decimal"/>
      <w:lvlText w:val=""/>
      <w:lvlJc w:val="left"/>
    </w:lvl>
    <w:lvl w:ilvl="7" w:tplc="B1244CC4">
      <w:numFmt w:val="decimal"/>
      <w:lvlText w:val=""/>
      <w:lvlJc w:val="left"/>
    </w:lvl>
    <w:lvl w:ilvl="8" w:tplc="8648E286">
      <w:numFmt w:val="decimal"/>
      <w:lvlText w:val=""/>
      <w:lvlJc w:val="left"/>
    </w:lvl>
  </w:abstractNum>
  <w:abstractNum w:abstractNumId="39" w15:restartNumberingAfterBreak="0">
    <w:nsid w:val="2CB4E947"/>
    <w:multiLevelType w:val="hybridMultilevel"/>
    <w:tmpl w:val="FFFFFFFF"/>
    <w:lvl w:ilvl="0" w:tplc="915C143A">
      <w:start w:val="1"/>
      <w:numFmt w:val="bullet"/>
      <w:lvlText w:val="·"/>
      <w:lvlJc w:val="left"/>
      <w:pPr>
        <w:ind w:left="720" w:hanging="360"/>
      </w:pPr>
      <w:rPr>
        <w:rFonts w:ascii="Symbol" w:hAnsi="Symbol" w:hint="default"/>
      </w:rPr>
    </w:lvl>
    <w:lvl w:ilvl="1" w:tplc="3C7A5C94">
      <w:start w:val="1"/>
      <w:numFmt w:val="bullet"/>
      <w:lvlText w:val="o"/>
      <w:lvlJc w:val="left"/>
      <w:pPr>
        <w:ind w:left="1440" w:hanging="360"/>
      </w:pPr>
      <w:rPr>
        <w:rFonts w:ascii="Courier New" w:hAnsi="Courier New" w:hint="default"/>
      </w:rPr>
    </w:lvl>
    <w:lvl w:ilvl="2" w:tplc="2626090C">
      <w:start w:val="1"/>
      <w:numFmt w:val="bullet"/>
      <w:lvlText w:val=""/>
      <w:lvlJc w:val="left"/>
      <w:pPr>
        <w:ind w:left="2160" w:hanging="360"/>
      </w:pPr>
      <w:rPr>
        <w:rFonts w:ascii="Wingdings" w:hAnsi="Wingdings" w:hint="default"/>
      </w:rPr>
    </w:lvl>
    <w:lvl w:ilvl="3" w:tplc="75827820">
      <w:start w:val="1"/>
      <w:numFmt w:val="bullet"/>
      <w:lvlText w:val=""/>
      <w:lvlJc w:val="left"/>
      <w:pPr>
        <w:ind w:left="2880" w:hanging="360"/>
      </w:pPr>
      <w:rPr>
        <w:rFonts w:ascii="Symbol" w:hAnsi="Symbol" w:hint="default"/>
      </w:rPr>
    </w:lvl>
    <w:lvl w:ilvl="4" w:tplc="C21AD1F2">
      <w:start w:val="1"/>
      <w:numFmt w:val="bullet"/>
      <w:lvlText w:val="o"/>
      <w:lvlJc w:val="left"/>
      <w:pPr>
        <w:ind w:left="3600" w:hanging="360"/>
      </w:pPr>
      <w:rPr>
        <w:rFonts w:ascii="Courier New" w:hAnsi="Courier New" w:hint="default"/>
      </w:rPr>
    </w:lvl>
    <w:lvl w:ilvl="5" w:tplc="DEB6788E">
      <w:start w:val="1"/>
      <w:numFmt w:val="bullet"/>
      <w:lvlText w:val=""/>
      <w:lvlJc w:val="left"/>
      <w:pPr>
        <w:ind w:left="4320" w:hanging="360"/>
      </w:pPr>
      <w:rPr>
        <w:rFonts w:ascii="Wingdings" w:hAnsi="Wingdings" w:hint="default"/>
      </w:rPr>
    </w:lvl>
    <w:lvl w:ilvl="6" w:tplc="4B1CF8C4">
      <w:start w:val="1"/>
      <w:numFmt w:val="bullet"/>
      <w:lvlText w:val=""/>
      <w:lvlJc w:val="left"/>
      <w:pPr>
        <w:ind w:left="5040" w:hanging="360"/>
      </w:pPr>
      <w:rPr>
        <w:rFonts w:ascii="Symbol" w:hAnsi="Symbol" w:hint="default"/>
      </w:rPr>
    </w:lvl>
    <w:lvl w:ilvl="7" w:tplc="40E03284">
      <w:start w:val="1"/>
      <w:numFmt w:val="bullet"/>
      <w:lvlText w:val="o"/>
      <w:lvlJc w:val="left"/>
      <w:pPr>
        <w:ind w:left="5760" w:hanging="360"/>
      </w:pPr>
      <w:rPr>
        <w:rFonts w:ascii="Courier New" w:hAnsi="Courier New" w:hint="default"/>
      </w:rPr>
    </w:lvl>
    <w:lvl w:ilvl="8" w:tplc="53BCCC4A">
      <w:start w:val="1"/>
      <w:numFmt w:val="bullet"/>
      <w:lvlText w:val=""/>
      <w:lvlJc w:val="left"/>
      <w:pPr>
        <w:ind w:left="6480" w:hanging="360"/>
      </w:pPr>
      <w:rPr>
        <w:rFonts w:ascii="Wingdings" w:hAnsi="Wingdings" w:hint="default"/>
      </w:rPr>
    </w:lvl>
  </w:abstractNum>
  <w:abstractNum w:abstractNumId="40" w15:restartNumberingAfterBreak="0">
    <w:nsid w:val="2D293CE3"/>
    <w:multiLevelType w:val="multilevel"/>
    <w:tmpl w:val="042C4524"/>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1" w15:restartNumberingAfterBreak="0">
    <w:nsid w:val="2D293CF4"/>
    <w:multiLevelType w:val="multilevel"/>
    <w:tmpl w:val="03A89900"/>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2" w15:restartNumberingAfterBreak="0">
    <w:nsid w:val="2FB89882"/>
    <w:multiLevelType w:val="hybridMultilevel"/>
    <w:tmpl w:val="F1DE77CE"/>
    <w:lvl w:ilvl="0" w:tplc="909AF6B0">
      <w:start w:val="1"/>
      <w:numFmt w:val="bullet"/>
      <w:lvlText w:val=""/>
      <w:lvlJc w:val="left"/>
      <w:pPr>
        <w:ind w:left="720" w:hanging="360"/>
      </w:pPr>
      <w:rPr>
        <w:rFonts w:ascii="Symbol" w:hAnsi="Symbol" w:hint="default"/>
      </w:rPr>
    </w:lvl>
    <w:lvl w:ilvl="1" w:tplc="3E1C4BCC">
      <w:start w:val="1"/>
      <w:numFmt w:val="bullet"/>
      <w:lvlText w:val="o"/>
      <w:lvlJc w:val="left"/>
      <w:pPr>
        <w:ind w:left="1440" w:hanging="360"/>
      </w:pPr>
      <w:rPr>
        <w:rFonts w:ascii="Courier New" w:hAnsi="Courier New" w:hint="default"/>
      </w:rPr>
    </w:lvl>
    <w:lvl w:ilvl="2" w:tplc="3510FEC6">
      <w:start w:val="1"/>
      <w:numFmt w:val="bullet"/>
      <w:lvlText w:val=""/>
      <w:lvlJc w:val="left"/>
      <w:pPr>
        <w:ind w:left="2160" w:hanging="360"/>
      </w:pPr>
      <w:rPr>
        <w:rFonts w:ascii="Wingdings" w:hAnsi="Wingdings" w:hint="default"/>
      </w:rPr>
    </w:lvl>
    <w:lvl w:ilvl="3" w:tplc="90548090">
      <w:start w:val="1"/>
      <w:numFmt w:val="bullet"/>
      <w:lvlText w:val=""/>
      <w:lvlJc w:val="left"/>
      <w:pPr>
        <w:ind w:left="2880" w:hanging="360"/>
      </w:pPr>
      <w:rPr>
        <w:rFonts w:ascii="Symbol" w:hAnsi="Symbol" w:hint="default"/>
      </w:rPr>
    </w:lvl>
    <w:lvl w:ilvl="4" w:tplc="B9D838A8">
      <w:start w:val="1"/>
      <w:numFmt w:val="bullet"/>
      <w:lvlText w:val="o"/>
      <w:lvlJc w:val="left"/>
      <w:pPr>
        <w:ind w:left="3600" w:hanging="360"/>
      </w:pPr>
      <w:rPr>
        <w:rFonts w:ascii="Courier New" w:hAnsi="Courier New" w:hint="default"/>
      </w:rPr>
    </w:lvl>
    <w:lvl w:ilvl="5" w:tplc="FDB013BA">
      <w:start w:val="1"/>
      <w:numFmt w:val="bullet"/>
      <w:lvlText w:val=""/>
      <w:lvlJc w:val="left"/>
      <w:pPr>
        <w:ind w:left="4320" w:hanging="360"/>
      </w:pPr>
      <w:rPr>
        <w:rFonts w:ascii="Wingdings" w:hAnsi="Wingdings" w:hint="default"/>
      </w:rPr>
    </w:lvl>
    <w:lvl w:ilvl="6" w:tplc="40DEDC34">
      <w:start w:val="1"/>
      <w:numFmt w:val="bullet"/>
      <w:lvlText w:val=""/>
      <w:lvlJc w:val="left"/>
      <w:pPr>
        <w:ind w:left="5040" w:hanging="360"/>
      </w:pPr>
      <w:rPr>
        <w:rFonts w:ascii="Symbol" w:hAnsi="Symbol" w:hint="default"/>
      </w:rPr>
    </w:lvl>
    <w:lvl w:ilvl="7" w:tplc="6B5AC638">
      <w:start w:val="1"/>
      <w:numFmt w:val="bullet"/>
      <w:lvlText w:val="o"/>
      <w:lvlJc w:val="left"/>
      <w:pPr>
        <w:ind w:left="5760" w:hanging="360"/>
      </w:pPr>
      <w:rPr>
        <w:rFonts w:ascii="Courier New" w:hAnsi="Courier New" w:hint="default"/>
      </w:rPr>
    </w:lvl>
    <w:lvl w:ilvl="8" w:tplc="D0386952">
      <w:start w:val="1"/>
      <w:numFmt w:val="bullet"/>
      <w:lvlText w:val=""/>
      <w:lvlJc w:val="left"/>
      <w:pPr>
        <w:ind w:left="6480" w:hanging="360"/>
      </w:pPr>
      <w:rPr>
        <w:rFonts w:ascii="Wingdings" w:hAnsi="Wingdings" w:hint="default"/>
      </w:rPr>
    </w:lvl>
  </w:abstractNum>
  <w:abstractNum w:abstractNumId="43" w15:restartNumberingAfterBreak="0">
    <w:nsid w:val="2FC3B0A9"/>
    <w:multiLevelType w:val="hybridMultilevel"/>
    <w:tmpl w:val="BD7E399E"/>
    <w:lvl w:ilvl="0" w:tplc="C3BA4D2A">
      <w:start w:val="1"/>
      <w:numFmt w:val="bullet"/>
      <w:lvlText w:val=""/>
      <w:lvlJc w:val="left"/>
      <w:pPr>
        <w:ind w:left="720" w:hanging="360"/>
      </w:pPr>
      <w:rPr>
        <w:rFonts w:ascii="Symbol" w:hAnsi="Symbol" w:hint="default"/>
      </w:rPr>
    </w:lvl>
    <w:lvl w:ilvl="1" w:tplc="A17CC216">
      <w:start w:val="1"/>
      <w:numFmt w:val="bullet"/>
      <w:lvlText w:val="o"/>
      <w:lvlJc w:val="left"/>
      <w:pPr>
        <w:ind w:left="1440" w:hanging="360"/>
      </w:pPr>
      <w:rPr>
        <w:rFonts w:ascii="Courier New" w:hAnsi="Courier New" w:hint="default"/>
      </w:rPr>
    </w:lvl>
    <w:lvl w:ilvl="2" w:tplc="3C2AAA4E">
      <w:start w:val="1"/>
      <w:numFmt w:val="bullet"/>
      <w:lvlText w:val=""/>
      <w:lvlJc w:val="left"/>
      <w:pPr>
        <w:ind w:left="2160" w:hanging="360"/>
      </w:pPr>
      <w:rPr>
        <w:rFonts w:ascii="Wingdings" w:hAnsi="Wingdings" w:hint="default"/>
      </w:rPr>
    </w:lvl>
    <w:lvl w:ilvl="3" w:tplc="FF74B710">
      <w:start w:val="1"/>
      <w:numFmt w:val="bullet"/>
      <w:lvlText w:val="o"/>
      <w:lvlJc w:val="left"/>
      <w:pPr>
        <w:ind w:left="2880" w:hanging="360"/>
      </w:pPr>
      <w:rPr>
        <w:rFonts w:ascii="&quot;Courier New&quot;" w:hAnsi="&quot;Courier New&quot;" w:hint="default"/>
      </w:rPr>
    </w:lvl>
    <w:lvl w:ilvl="4" w:tplc="5F26961A">
      <w:start w:val="1"/>
      <w:numFmt w:val="bullet"/>
      <w:lvlText w:val="o"/>
      <w:lvlJc w:val="left"/>
      <w:pPr>
        <w:ind w:left="3600" w:hanging="360"/>
      </w:pPr>
      <w:rPr>
        <w:rFonts w:ascii="Courier New" w:hAnsi="Courier New" w:hint="default"/>
      </w:rPr>
    </w:lvl>
    <w:lvl w:ilvl="5" w:tplc="ED0A34E2">
      <w:start w:val="1"/>
      <w:numFmt w:val="bullet"/>
      <w:lvlText w:val=""/>
      <w:lvlJc w:val="left"/>
      <w:pPr>
        <w:ind w:left="4320" w:hanging="360"/>
      </w:pPr>
      <w:rPr>
        <w:rFonts w:ascii="Wingdings" w:hAnsi="Wingdings" w:hint="default"/>
      </w:rPr>
    </w:lvl>
    <w:lvl w:ilvl="6" w:tplc="13483332">
      <w:start w:val="1"/>
      <w:numFmt w:val="bullet"/>
      <w:lvlText w:val=""/>
      <w:lvlJc w:val="left"/>
      <w:pPr>
        <w:ind w:left="5040" w:hanging="360"/>
      </w:pPr>
      <w:rPr>
        <w:rFonts w:ascii="Symbol" w:hAnsi="Symbol" w:hint="default"/>
      </w:rPr>
    </w:lvl>
    <w:lvl w:ilvl="7" w:tplc="9004784C">
      <w:start w:val="1"/>
      <w:numFmt w:val="bullet"/>
      <w:lvlText w:val="o"/>
      <w:lvlJc w:val="left"/>
      <w:pPr>
        <w:ind w:left="5760" w:hanging="360"/>
      </w:pPr>
      <w:rPr>
        <w:rFonts w:ascii="Courier New" w:hAnsi="Courier New" w:hint="default"/>
      </w:rPr>
    </w:lvl>
    <w:lvl w:ilvl="8" w:tplc="93162010">
      <w:start w:val="1"/>
      <w:numFmt w:val="bullet"/>
      <w:lvlText w:val=""/>
      <w:lvlJc w:val="left"/>
      <w:pPr>
        <w:ind w:left="6480" w:hanging="360"/>
      </w:pPr>
      <w:rPr>
        <w:rFonts w:ascii="Wingdings" w:hAnsi="Wingdings" w:hint="default"/>
      </w:rPr>
    </w:lvl>
  </w:abstractNum>
  <w:abstractNum w:abstractNumId="44" w15:restartNumberingAfterBreak="0">
    <w:nsid w:val="311B251D"/>
    <w:multiLevelType w:val="hybridMultilevel"/>
    <w:tmpl w:val="27149DC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5" w15:restartNumberingAfterBreak="0">
    <w:nsid w:val="3187D17F"/>
    <w:multiLevelType w:val="hybridMultilevel"/>
    <w:tmpl w:val="FFFFFFFF"/>
    <w:lvl w:ilvl="0" w:tplc="E95A9E88">
      <w:start w:val="1"/>
      <w:numFmt w:val="bullet"/>
      <w:lvlText w:val=""/>
      <w:lvlJc w:val="left"/>
      <w:pPr>
        <w:ind w:left="720" w:hanging="360"/>
      </w:pPr>
      <w:rPr>
        <w:rFonts w:ascii="Symbol" w:hAnsi="Symbol" w:hint="default"/>
      </w:rPr>
    </w:lvl>
    <w:lvl w:ilvl="1" w:tplc="7584AF1E">
      <w:start w:val="1"/>
      <w:numFmt w:val="bullet"/>
      <w:lvlText w:val="o"/>
      <w:lvlJc w:val="left"/>
      <w:pPr>
        <w:ind w:left="1440" w:hanging="360"/>
      </w:pPr>
      <w:rPr>
        <w:rFonts w:ascii="&quot;Courier New&quot;" w:hAnsi="&quot;Courier New&quot;" w:hint="default"/>
      </w:rPr>
    </w:lvl>
    <w:lvl w:ilvl="2" w:tplc="BC6AC804">
      <w:start w:val="1"/>
      <w:numFmt w:val="bullet"/>
      <w:lvlText w:val=""/>
      <w:lvlJc w:val="left"/>
      <w:pPr>
        <w:ind w:left="2160" w:hanging="360"/>
      </w:pPr>
      <w:rPr>
        <w:rFonts w:ascii="Wingdings" w:hAnsi="Wingdings" w:hint="default"/>
      </w:rPr>
    </w:lvl>
    <w:lvl w:ilvl="3" w:tplc="C9AA2DCA">
      <w:start w:val="1"/>
      <w:numFmt w:val="bullet"/>
      <w:lvlText w:val=""/>
      <w:lvlJc w:val="left"/>
      <w:pPr>
        <w:ind w:left="2880" w:hanging="360"/>
      </w:pPr>
      <w:rPr>
        <w:rFonts w:ascii="Symbol" w:hAnsi="Symbol" w:hint="default"/>
      </w:rPr>
    </w:lvl>
    <w:lvl w:ilvl="4" w:tplc="E26AB850">
      <w:start w:val="1"/>
      <w:numFmt w:val="bullet"/>
      <w:lvlText w:val="o"/>
      <w:lvlJc w:val="left"/>
      <w:pPr>
        <w:ind w:left="3600" w:hanging="360"/>
      </w:pPr>
      <w:rPr>
        <w:rFonts w:ascii="Courier New" w:hAnsi="Courier New" w:hint="default"/>
      </w:rPr>
    </w:lvl>
    <w:lvl w:ilvl="5" w:tplc="76FAF4AE">
      <w:start w:val="1"/>
      <w:numFmt w:val="bullet"/>
      <w:lvlText w:val=""/>
      <w:lvlJc w:val="left"/>
      <w:pPr>
        <w:ind w:left="4320" w:hanging="360"/>
      </w:pPr>
      <w:rPr>
        <w:rFonts w:ascii="Wingdings" w:hAnsi="Wingdings" w:hint="default"/>
      </w:rPr>
    </w:lvl>
    <w:lvl w:ilvl="6" w:tplc="60423B8E">
      <w:start w:val="1"/>
      <w:numFmt w:val="bullet"/>
      <w:lvlText w:val=""/>
      <w:lvlJc w:val="left"/>
      <w:pPr>
        <w:ind w:left="5040" w:hanging="360"/>
      </w:pPr>
      <w:rPr>
        <w:rFonts w:ascii="Symbol" w:hAnsi="Symbol" w:hint="default"/>
      </w:rPr>
    </w:lvl>
    <w:lvl w:ilvl="7" w:tplc="055289CE">
      <w:start w:val="1"/>
      <w:numFmt w:val="bullet"/>
      <w:lvlText w:val="o"/>
      <w:lvlJc w:val="left"/>
      <w:pPr>
        <w:ind w:left="5760" w:hanging="360"/>
      </w:pPr>
      <w:rPr>
        <w:rFonts w:ascii="Courier New" w:hAnsi="Courier New" w:hint="default"/>
      </w:rPr>
    </w:lvl>
    <w:lvl w:ilvl="8" w:tplc="31B8D06A">
      <w:start w:val="1"/>
      <w:numFmt w:val="bullet"/>
      <w:lvlText w:val=""/>
      <w:lvlJc w:val="left"/>
      <w:pPr>
        <w:ind w:left="6480" w:hanging="360"/>
      </w:pPr>
      <w:rPr>
        <w:rFonts w:ascii="Wingdings" w:hAnsi="Wingdings" w:hint="default"/>
      </w:rPr>
    </w:lvl>
  </w:abstractNum>
  <w:abstractNum w:abstractNumId="46" w15:restartNumberingAfterBreak="0">
    <w:nsid w:val="34B96B8E"/>
    <w:multiLevelType w:val="hybridMultilevel"/>
    <w:tmpl w:val="C55AABCE"/>
    <w:lvl w:ilvl="0" w:tplc="A1A850D4">
      <w:start w:val="1"/>
      <w:numFmt w:val="bullet"/>
      <w:lvlText w:val=""/>
      <w:lvlJc w:val="left"/>
      <w:pPr>
        <w:ind w:left="720" w:hanging="360"/>
      </w:pPr>
      <w:rPr>
        <w:rFonts w:ascii="Symbol" w:hAnsi="Symbol"/>
      </w:rPr>
    </w:lvl>
    <w:lvl w:ilvl="1" w:tplc="2402D5C4">
      <w:start w:val="1"/>
      <w:numFmt w:val="bullet"/>
      <w:lvlText w:val=""/>
      <w:lvlJc w:val="left"/>
      <w:pPr>
        <w:ind w:left="720" w:hanging="360"/>
      </w:pPr>
      <w:rPr>
        <w:rFonts w:ascii="Symbol" w:hAnsi="Symbol"/>
      </w:rPr>
    </w:lvl>
    <w:lvl w:ilvl="2" w:tplc="46EC5C70">
      <w:start w:val="1"/>
      <w:numFmt w:val="bullet"/>
      <w:lvlText w:val=""/>
      <w:lvlJc w:val="left"/>
      <w:pPr>
        <w:ind w:left="720" w:hanging="360"/>
      </w:pPr>
      <w:rPr>
        <w:rFonts w:ascii="Symbol" w:hAnsi="Symbol"/>
      </w:rPr>
    </w:lvl>
    <w:lvl w:ilvl="3" w:tplc="9D02BB0A">
      <w:start w:val="1"/>
      <w:numFmt w:val="bullet"/>
      <w:lvlText w:val=""/>
      <w:lvlJc w:val="left"/>
      <w:pPr>
        <w:ind w:left="720" w:hanging="360"/>
      </w:pPr>
      <w:rPr>
        <w:rFonts w:ascii="Symbol" w:hAnsi="Symbol"/>
      </w:rPr>
    </w:lvl>
    <w:lvl w:ilvl="4" w:tplc="EFC01A76">
      <w:start w:val="1"/>
      <w:numFmt w:val="bullet"/>
      <w:lvlText w:val=""/>
      <w:lvlJc w:val="left"/>
      <w:pPr>
        <w:ind w:left="720" w:hanging="360"/>
      </w:pPr>
      <w:rPr>
        <w:rFonts w:ascii="Symbol" w:hAnsi="Symbol"/>
      </w:rPr>
    </w:lvl>
    <w:lvl w:ilvl="5" w:tplc="92CC256A">
      <w:start w:val="1"/>
      <w:numFmt w:val="bullet"/>
      <w:lvlText w:val=""/>
      <w:lvlJc w:val="left"/>
      <w:pPr>
        <w:ind w:left="720" w:hanging="360"/>
      </w:pPr>
      <w:rPr>
        <w:rFonts w:ascii="Symbol" w:hAnsi="Symbol"/>
      </w:rPr>
    </w:lvl>
    <w:lvl w:ilvl="6" w:tplc="B5422092">
      <w:start w:val="1"/>
      <w:numFmt w:val="bullet"/>
      <w:lvlText w:val=""/>
      <w:lvlJc w:val="left"/>
      <w:pPr>
        <w:ind w:left="720" w:hanging="360"/>
      </w:pPr>
      <w:rPr>
        <w:rFonts w:ascii="Symbol" w:hAnsi="Symbol"/>
      </w:rPr>
    </w:lvl>
    <w:lvl w:ilvl="7" w:tplc="C3B22B14">
      <w:start w:val="1"/>
      <w:numFmt w:val="bullet"/>
      <w:lvlText w:val=""/>
      <w:lvlJc w:val="left"/>
      <w:pPr>
        <w:ind w:left="720" w:hanging="360"/>
      </w:pPr>
      <w:rPr>
        <w:rFonts w:ascii="Symbol" w:hAnsi="Symbol"/>
      </w:rPr>
    </w:lvl>
    <w:lvl w:ilvl="8" w:tplc="F23A55E4">
      <w:start w:val="1"/>
      <w:numFmt w:val="bullet"/>
      <w:lvlText w:val=""/>
      <w:lvlJc w:val="left"/>
      <w:pPr>
        <w:ind w:left="720" w:hanging="360"/>
      </w:pPr>
      <w:rPr>
        <w:rFonts w:ascii="Symbol" w:hAnsi="Symbol"/>
      </w:rPr>
    </w:lvl>
  </w:abstractNum>
  <w:abstractNum w:abstractNumId="47" w15:restartNumberingAfterBreak="0">
    <w:nsid w:val="36093496"/>
    <w:multiLevelType w:val="hybridMultilevel"/>
    <w:tmpl w:val="A9B616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36324F1E"/>
    <w:multiLevelType w:val="multilevel"/>
    <w:tmpl w:val="DA965262"/>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9" w15:restartNumberingAfterBreak="0">
    <w:nsid w:val="375F71F4"/>
    <w:multiLevelType w:val="multilevel"/>
    <w:tmpl w:val="BA7A6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7CB1E1C"/>
    <w:multiLevelType w:val="multilevel"/>
    <w:tmpl w:val="FBE0629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1" w15:restartNumberingAfterBreak="0">
    <w:nsid w:val="39699AE4"/>
    <w:multiLevelType w:val="hybridMultilevel"/>
    <w:tmpl w:val="C3A641F0"/>
    <w:lvl w:ilvl="0" w:tplc="18E2EEC2">
      <w:start w:val="1"/>
      <w:numFmt w:val="bullet"/>
      <w:lvlText w:val=""/>
      <w:lvlJc w:val="left"/>
      <w:pPr>
        <w:ind w:left="720" w:hanging="360"/>
      </w:pPr>
      <w:rPr>
        <w:rFonts w:ascii="Symbol" w:hAnsi="Symbol" w:hint="default"/>
      </w:rPr>
    </w:lvl>
    <w:lvl w:ilvl="1" w:tplc="240A0D1A">
      <w:start w:val="1"/>
      <w:numFmt w:val="bullet"/>
      <w:lvlText w:val="o"/>
      <w:lvlJc w:val="left"/>
      <w:pPr>
        <w:ind w:left="1440" w:hanging="360"/>
      </w:pPr>
      <w:rPr>
        <w:rFonts w:ascii="Courier New" w:hAnsi="Courier New" w:hint="default"/>
      </w:rPr>
    </w:lvl>
    <w:lvl w:ilvl="2" w:tplc="EF202200">
      <w:start w:val="1"/>
      <w:numFmt w:val="bullet"/>
      <w:lvlText w:val=""/>
      <w:lvlJc w:val="left"/>
      <w:pPr>
        <w:ind w:left="2160" w:hanging="360"/>
      </w:pPr>
      <w:rPr>
        <w:rFonts w:ascii="Wingdings" w:hAnsi="Wingdings" w:hint="default"/>
      </w:rPr>
    </w:lvl>
    <w:lvl w:ilvl="3" w:tplc="D62CE974">
      <w:start w:val="1"/>
      <w:numFmt w:val="bullet"/>
      <w:lvlText w:val="o"/>
      <w:lvlJc w:val="left"/>
      <w:pPr>
        <w:ind w:left="2880" w:hanging="360"/>
      </w:pPr>
      <w:rPr>
        <w:rFonts w:ascii="&quot;Courier New&quot;" w:hAnsi="&quot;Courier New&quot;" w:hint="default"/>
      </w:rPr>
    </w:lvl>
    <w:lvl w:ilvl="4" w:tplc="B4F25E8E">
      <w:start w:val="1"/>
      <w:numFmt w:val="bullet"/>
      <w:lvlText w:val="o"/>
      <w:lvlJc w:val="left"/>
      <w:pPr>
        <w:ind w:left="3600" w:hanging="360"/>
      </w:pPr>
      <w:rPr>
        <w:rFonts w:ascii="Courier New" w:hAnsi="Courier New" w:hint="default"/>
      </w:rPr>
    </w:lvl>
    <w:lvl w:ilvl="5" w:tplc="F208C9DE">
      <w:start w:val="1"/>
      <w:numFmt w:val="bullet"/>
      <w:lvlText w:val=""/>
      <w:lvlJc w:val="left"/>
      <w:pPr>
        <w:ind w:left="4320" w:hanging="360"/>
      </w:pPr>
      <w:rPr>
        <w:rFonts w:ascii="Wingdings" w:hAnsi="Wingdings" w:hint="default"/>
      </w:rPr>
    </w:lvl>
    <w:lvl w:ilvl="6" w:tplc="0888A55C">
      <w:start w:val="1"/>
      <w:numFmt w:val="bullet"/>
      <w:lvlText w:val=""/>
      <w:lvlJc w:val="left"/>
      <w:pPr>
        <w:ind w:left="5040" w:hanging="360"/>
      </w:pPr>
      <w:rPr>
        <w:rFonts w:ascii="Symbol" w:hAnsi="Symbol" w:hint="default"/>
      </w:rPr>
    </w:lvl>
    <w:lvl w:ilvl="7" w:tplc="2CC6EC3A">
      <w:start w:val="1"/>
      <w:numFmt w:val="bullet"/>
      <w:lvlText w:val="o"/>
      <w:lvlJc w:val="left"/>
      <w:pPr>
        <w:ind w:left="5760" w:hanging="360"/>
      </w:pPr>
      <w:rPr>
        <w:rFonts w:ascii="Courier New" w:hAnsi="Courier New" w:hint="default"/>
      </w:rPr>
    </w:lvl>
    <w:lvl w:ilvl="8" w:tplc="3648B4E4">
      <w:start w:val="1"/>
      <w:numFmt w:val="bullet"/>
      <w:lvlText w:val=""/>
      <w:lvlJc w:val="left"/>
      <w:pPr>
        <w:ind w:left="6480" w:hanging="360"/>
      </w:pPr>
      <w:rPr>
        <w:rFonts w:ascii="Wingdings" w:hAnsi="Wingdings" w:hint="default"/>
      </w:rPr>
    </w:lvl>
  </w:abstractNum>
  <w:abstractNum w:abstractNumId="52" w15:restartNumberingAfterBreak="0">
    <w:nsid w:val="39F43627"/>
    <w:multiLevelType w:val="hybridMultilevel"/>
    <w:tmpl w:val="FFFFFFFF"/>
    <w:lvl w:ilvl="0" w:tplc="EAB852B2">
      <w:start w:val="1"/>
      <w:numFmt w:val="bullet"/>
      <w:lvlText w:val="·"/>
      <w:lvlJc w:val="left"/>
      <w:pPr>
        <w:ind w:left="720" w:hanging="360"/>
      </w:pPr>
      <w:rPr>
        <w:rFonts w:ascii="Symbol" w:hAnsi="Symbol" w:hint="default"/>
      </w:rPr>
    </w:lvl>
    <w:lvl w:ilvl="1" w:tplc="CAB281C4">
      <w:start w:val="1"/>
      <w:numFmt w:val="bullet"/>
      <w:lvlText w:val="o"/>
      <w:lvlJc w:val="left"/>
      <w:pPr>
        <w:ind w:left="1440" w:hanging="360"/>
      </w:pPr>
      <w:rPr>
        <w:rFonts w:ascii="Courier New" w:hAnsi="Courier New" w:hint="default"/>
      </w:rPr>
    </w:lvl>
    <w:lvl w:ilvl="2" w:tplc="CE8E9438">
      <w:start w:val="1"/>
      <w:numFmt w:val="bullet"/>
      <w:lvlText w:val=""/>
      <w:lvlJc w:val="left"/>
      <w:pPr>
        <w:ind w:left="2160" w:hanging="360"/>
      </w:pPr>
      <w:rPr>
        <w:rFonts w:ascii="Wingdings" w:hAnsi="Wingdings" w:hint="default"/>
      </w:rPr>
    </w:lvl>
    <w:lvl w:ilvl="3" w:tplc="8D1E5E82">
      <w:start w:val="1"/>
      <w:numFmt w:val="bullet"/>
      <w:lvlText w:val=""/>
      <w:lvlJc w:val="left"/>
      <w:pPr>
        <w:ind w:left="2880" w:hanging="360"/>
      </w:pPr>
      <w:rPr>
        <w:rFonts w:ascii="Symbol" w:hAnsi="Symbol" w:hint="default"/>
      </w:rPr>
    </w:lvl>
    <w:lvl w:ilvl="4" w:tplc="0FC8D456">
      <w:start w:val="1"/>
      <w:numFmt w:val="bullet"/>
      <w:lvlText w:val="o"/>
      <w:lvlJc w:val="left"/>
      <w:pPr>
        <w:ind w:left="3600" w:hanging="360"/>
      </w:pPr>
      <w:rPr>
        <w:rFonts w:ascii="Courier New" w:hAnsi="Courier New" w:hint="default"/>
      </w:rPr>
    </w:lvl>
    <w:lvl w:ilvl="5" w:tplc="64E89DBA">
      <w:start w:val="1"/>
      <w:numFmt w:val="bullet"/>
      <w:lvlText w:val=""/>
      <w:lvlJc w:val="left"/>
      <w:pPr>
        <w:ind w:left="4320" w:hanging="360"/>
      </w:pPr>
      <w:rPr>
        <w:rFonts w:ascii="Wingdings" w:hAnsi="Wingdings" w:hint="default"/>
      </w:rPr>
    </w:lvl>
    <w:lvl w:ilvl="6" w:tplc="6862DD5A">
      <w:start w:val="1"/>
      <w:numFmt w:val="bullet"/>
      <w:lvlText w:val=""/>
      <w:lvlJc w:val="left"/>
      <w:pPr>
        <w:ind w:left="5040" w:hanging="360"/>
      </w:pPr>
      <w:rPr>
        <w:rFonts w:ascii="Symbol" w:hAnsi="Symbol" w:hint="default"/>
      </w:rPr>
    </w:lvl>
    <w:lvl w:ilvl="7" w:tplc="83F85D28">
      <w:start w:val="1"/>
      <w:numFmt w:val="bullet"/>
      <w:lvlText w:val="o"/>
      <w:lvlJc w:val="left"/>
      <w:pPr>
        <w:ind w:left="5760" w:hanging="360"/>
      </w:pPr>
      <w:rPr>
        <w:rFonts w:ascii="Courier New" w:hAnsi="Courier New" w:hint="default"/>
      </w:rPr>
    </w:lvl>
    <w:lvl w:ilvl="8" w:tplc="4820877C">
      <w:start w:val="1"/>
      <w:numFmt w:val="bullet"/>
      <w:lvlText w:val=""/>
      <w:lvlJc w:val="left"/>
      <w:pPr>
        <w:ind w:left="6480" w:hanging="360"/>
      </w:pPr>
      <w:rPr>
        <w:rFonts w:ascii="Wingdings" w:hAnsi="Wingdings" w:hint="default"/>
      </w:rPr>
    </w:lvl>
  </w:abstractNum>
  <w:abstractNum w:abstractNumId="53" w15:restartNumberingAfterBreak="0">
    <w:nsid w:val="3A1DACB0"/>
    <w:multiLevelType w:val="hybridMultilevel"/>
    <w:tmpl w:val="878A581A"/>
    <w:lvl w:ilvl="0" w:tplc="4EC41AE8">
      <w:start w:val="1"/>
      <w:numFmt w:val="bullet"/>
      <w:lvlText w:val="·"/>
      <w:lvlJc w:val="left"/>
      <w:pPr>
        <w:ind w:left="720" w:hanging="360"/>
      </w:pPr>
      <w:rPr>
        <w:rFonts w:ascii="Symbol" w:hAnsi="Symbol" w:hint="default"/>
      </w:rPr>
    </w:lvl>
    <w:lvl w:ilvl="1" w:tplc="B8E6FACC">
      <w:start w:val="1"/>
      <w:numFmt w:val="bullet"/>
      <w:lvlText w:val="o"/>
      <w:lvlJc w:val="left"/>
      <w:pPr>
        <w:ind w:left="1440" w:hanging="360"/>
      </w:pPr>
      <w:rPr>
        <w:rFonts w:ascii="Courier New" w:hAnsi="Courier New" w:hint="default"/>
      </w:rPr>
    </w:lvl>
    <w:lvl w:ilvl="2" w:tplc="2690D276">
      <w:start w:val="1"/>
      <w:numFmt w:val="bullet"/>
      <w:lvlText w:val=""/>
      <w:lvlJc w:val="left"/>
      <w:pPr>
        <w:ind w:left="2160" w:hanging="360"/>
      </w:pPr>
      <w:rPr>
        <w:rFonts w:ascii="Wingdings" w:hAnsi="Wingdings" w:hint="default"/>
      </w:rPr>
    </w:lvl>
    <w:lvl w:ilvl="3" w:tplc="B92AF83E">
      <w:start w:val="1"/>
      <w:numFmt w:val="bullet"/>
      <w:lvlText w:val=""/>
      <w:lvlJc w:val="left"/>
      <w:pPr>
        <w:ind w:left="2880" w:hanging="360"/>
      </w:pPr>
      <w:rPr>
        <w:rFonts w:ascii="Symbol" w:hAnsi="Symbol" w:hint="default"/>
      </w:rPr>
    </w:lvl>
    <w:lvl w:ilvl="4" w:tplc="EEE451F4">
      <w:start w:val="1"/>
      <w:numFmt w:val="bullet"/>
      <w:lvlText w:val="o"/>
      <w:lvlJc w:val="left"/>
      <w:pPr>
        <w:ind w:left="3600" w:hanging="360"/>
      </w:pPr>
      <w:rPr>
        <w:rFonts w:ascii="Courier New" w:hAnsi="Courier New" w:hint="default"/>
      </w:rPr>
    </w:lvl>
    <w:lvl w:ilvl="5" w:tplc="95F0A6F6">
      <w:start w:val="1"/>
      <w:numFmt w:val="bullet"/>
      <w:lvlText w:val=""/>
      <w:lvlJc w:val="left"/>
      <w:pPr>
        <w:ind w:left="4320" w:hanging="360"/>
      </w:pPr>
      <w:rPr>
        <w:rFonts w:ascii="Wingdings" w:hAnsi="Wingdings" w:hint="default"/>
      </w:rPr>
    </w:lvl>
    <w:lvl w:ilvl="6" w:tplc="B48CD406">
      <w:start w:val="1"/>
      <w:numFmt w:val="bullet"/>
      <w:lvlText w:val=""/>
      <w:lvlJc w:val="left"/>
      <w:pPr>
        <w:ind w:left="5040" w:hanging="360"/>
      </w:pPr>
      <w:rPr>
        <w:rFonts w:ascii="Symbol" w:hAnsi="Symbol" w:hint="default"/>
      </w:rPr>
    </w:lvl>
    <w:lvl w:ilvl="7" w:tplc="7D1ADDF6">
      <w:start w:val="1"/>
      <w:numFmt w:val="bullet"/>
      <w:lvlText w:val="o"/>
      <w:lvlJc w:val="left"/>
      <w:pPr>
        <w:ind w:left="5760" w:hanging="360"/>
      </w:pPr>
      <w:rPr>
        <w:rFonts w:ascii="Courier New" w:hAnsi="Courier New" w:hint="default"/>
      </w:rPr>
    </w:lvl>
    <w:lvl w:ilvl="8" w:tplc="AD1813D0">
      <w:start w:val="1"/>
      <w:numFmt w:val="bullet"/>
      <w:lvlText w:val=""/>
      <w:lvlJc w:val="left"/>
      <w:pPr>
        <w:ind w:left="6480" w:hanging="360"/>
      </w:pPr>
      <w:rPr>
        <w:rFonts w:ascii="Wingdings" w:hAnsi="Wingdings" w:hint="default"/>
      </w:rPr>
    </w:lvl>
  </w:abstractNum>
  <w:abstractNum w:abstractNumId="54" w15:restartNumberingAfterBreak="0">
    <w:nsid w:val="3A7730C4"/>
    <w:multiLevelType w:val="hybridMultilevel"/>
    <w:tmpl w:val="850E14B6"/>
    <w:name w:val="ListBullet1Numbering"/>
    <w:lvl w:ilvl="0" w:tplc="9BDE1F06">
      <w:start w:val="1"/>
      <w:numFmt w:val="bullet"/>
      <w:pStyle w:val="ListBullet1"/>
      <w:lvlText w:val=""/>
      <w:lvlJc w:val="left"/>
      <w:pPr>
        <w:tabs>
          <w:tab w:val="num" w:pos="283"/>
        </w:tabs>
        <w:ind w:left="283" w:hanging="283"/>
      </w:pPr>
      <w:rPr>
        <w:rFonts w:ascii="Symbol" w:hAnsi="Symbol" w:hint="default"/>
      </w:rPr>
    </w:lvl>
    <w:lvl w:ilvl="1" w:tplc="86807B72">
      <w:start w:val="1"/>
      <w:numFmt w:val="bullet"/>
      <w:pStyle w:val="ListBullet1Level2"/>
      <w:lvlText w:val=""/>
      <w:lvlJc w:val="left"/>
      <w:pPr>
        <w:tabs>
          <w:tab w:val="num" w:pos="567"/>
        </w:tabs>
        <w:ind w:left="567" w:hanging="284"/>
      </w:pPr>
      <w:rPr>
        <w:rFonts w:ascii="Symbol" w:hAnsi="Symbol" w:hint="default"/>
      </w:rPr>
    </w:lvl>
    <w:lvl w:ilvl="2" w:tplc="34A64CB8">
      <w:start w:val="1"/>
      <w:numFmt w:val="bullet"/>
      <w:pStyle w:val="ListBullet1Level3"/>
      <w:lvlText w:val=""/>
      <w:lvlJc w:val="left"/>
      <w:pPr>
        <w:tabs>
          <w:tab w:val="num" w:pos="850"/>
        </w:tabs>
        <w:ind w:left="850" w:hanging="283"/>
      </w:pPr>
      <w:rPr>
        <w:rFonts w:ascii="Symbol" w:hAnsi="Symbol" w:hint="default"/>
      </w:rPr>
    </w:lvl>
    <w:lvl w:ilvl="3" w:tplc="8218685C">
      <w:start w:val="1"/>
      <w:numFmt w:val="bullet"/>
      <w:pStyle w:val="ListBullet1Level4"/>
      <w:lvlText w:val=""/>
      <w:lvlJc w:val="left"/>
      <w:pPr>
        <w:tabs>
          <w:tab w:val="num" w:pos="1134"/>
        </w:tabs>
        <w:ind w:left="1134" w:hanging="284"/>
      </w:pPr>
      <w:rPr>
        <w:rFonts w:ascii="Symbol" w:hAnsi="Symbol" w:hint="default"/>
      </w:rPr>
    </w:lvl>
    <w:lvl w:ilvl="4" w:tplc="29586532">
      <w:numFmt w:val="decimal"/>
      <w:lvlText w:val=""/>
      <w:lvlJc w:val="left"/>
    </w:lvl>
    <w:lvl w:ilvl="5" w:tplc="B8B697E8">
      <w:numFmt w:val="decimal"/>
      <w:lvlText w:val=""/>
      <w:lvlJc w:val="left"/>
    </w:lvl>
    <w:lvl w:ilvl="6" w:tplc="0DB4312C">
      <w:numFmt w:val="decimal"/>
      <w:lvlText w:val=""/>
      <w:lvlJc w:val="left"/>
    </w:lvl>
    <w:lvl w:ilvl="7" w:tplc="E9EA4E50">
      <w:numFmt w:val="decimal"/>
      <w:lvlText w:val=""/>
      <w:lvlJc w:val="left"/>
    </w:lvl>
    <w:lvl w:ilvl="8" w:tplc="B80887D0">
      <w:numFmt w:val="decimal"/>
      <w:lvlText w:val=""/>
      <w:lvlJc w:val="left"/>
    </w:lvl>
  </w:abstractNum>
  <w:abstractNum w:abstractNumId="55" w15:restartNumberingAfterBreak="0">
    <w:nsid w:val="3BE15B22"/>
    <w:multiLevelType w:val="hybridMultilevel"/>
    <w:tmpl w:val="FDE0074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6" w15:restartNumberingAfterBreak="0">
    <w:nsid w:val="3BE459C2"/>
    <w:multiLevelType w:val="hybridMultilevel"/>
    <w:tmpl w:val="776AAD3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7" w15:restartNumberingAfterBreak="0">
    <w:nsid w:val="3FB07B78"/>
    <w:multiLevelType w:val="hybridMultilevel"/>
    <w:tmpl w:val="02827C26"/>
    <w:lvl w:ilvl="0" w:tplc="442A6E16">
      <w:start w:val="1"/>
      <w:numFmt w:val="bullet"/>
      <w:lvlText w:val=""/>
      <w:lvlJc w:val="left"/>
      <w:pPr>
        <w:ind w:left="720" w:hanging="360"/>
      </w:pPr>
      <w:rPr>
        <w:rFonts w:ascii="Symbol" w:hAnsi="Symbol"/>
      </w:rPr>
    </w:lvl>
    <w:lvl w:ilvl="1" w:tplc="B9CEAE40">
      <w:start w:val="1"/>
      <w:numFmt w:val="bullet"/>
      <w:lvlText w:val=""/>
      <w:lvlJc w:val="left"/>
      <w:pPr>
        <w:ind w:left="720" w:hanging="360"/>
      </w:pPr>
      <w:rPr>
        <w:rFonts w:ascii="Symbol" w:hAnsi="Symbol"/>
      </w:rPr>
    </w:lvl>
    <w:lvl w:ilvl="2" w:tplc="3DA09E0A">
      <w:start w:val="1"/>
      <w:numFmt w:val="bullet"/>
      <w:lvlText w:val=""/>
      <w:lvlJc w:val="left"/>
      <w:pPr>
        <w:ind w:left="720" w:hanging="360"/>
      </w:pPr>
      <w:rPr>
        <w:rFonts w:ascii="Symbol" w:hAnsi="Symbol"/>
      </w:rPr>
    </w:lvl>
    <w:lvl w:ilvl="3" w:tplc="8482E3C8">
      <w:start w:val="1"/>
      <w:numFmt w:val="bullet"/>
      <w:lvlText w:val=""/>
      <w:lvlJc w:val="left"/>
      <w:pPr>
        <w:ind w:left="720" w:hanging="360"/>
      </w:pPr>
      <w:rPr>
        <w:rFonts w:ascii="Symbol" w:hAnsi="Symbol"/>
      </w:rPr>
    </w:lvl>
    <w:lvl w:ilvl="4" w:tplc="FCCCE7C0">
      <w:start w:val="1"/>
      <w:numFmt w:val="bullet"/>
      <w:lvlText w:val=""/>
      <w:lvlJc w:val="left"/>
      <w:pPr>
        <w:ind w:left="720" w:hanging="360"/>
      </w:pPr>
      <w:rPr>
        <w:rFonts w:ascii="Symbol" w:hAnsi="Symbol"/>
      </w:rPr>
    </w:lvl>
    <w:lvl w:ilvl="5" w:tplc="320EC5E2">
      <w:start w:val="1"/>
      <w:numFmt w:val="bullet"/>
      <w:lvlText w:val=""/>
      <w:lvlJc w:val="left"/>
      <w:pPr>
        <w:ind w:left="720" w:hanging="360"/>
      </w:pPr>
      <w:rPr>
        <w:rFonts w:ascii="Symbol" w:hAnsi="Symbol"/>
      </w:rPr>
    </w:lvl>
    <w:lvl w:ilvl="6" w:tplc="14F8CABE">
      <w:start w:val="1"/>
      <w:numFmt w:val="bullet"/>
      <w:lvlText w:val=""/>
      <w:lvlJc w:val="left"/>
      <w:pPr>
        <w:ind w:left="720" w:hanging="360"/>
      </w:pPr>
      <w:rPr>
        <w:rFonts w:ascii="Symbol" w:hAnsi="Symbol"/>
      </w:rPr>
    </w:lvl>
    <w:lvl w:ilvl="7" w:tplc="99CEE1BA">
      <w:start w:val="1"/>
      <w:numFmt w:val="bullet"/>
      <w:lvlText w:val=""/>
      <w:lvlJc w:val="left"/>
      <w:pPr>
        <w:ind w:left="720" w:hanging="360"/>
      </w:pPr>
      <w:rPr>
        <w:rFonts w:ascii="Symbol" w:hAnsi="Symbol"/>
      </w:rPr>
    </w:lvl>
    <w:lvl w:ilvl="8" w:tplc="1B26E8C2">
      <w:start w:val="1"/>
      <w:numFmt w:val="bullet"/>
      <w:lvlText w:val=""/>
      <w:lvlJc w:val="left"/>
      <w:pPr>
        <w:ind w:left="720" w:hanging="360"/>
      </w:pPr>
      <w:rPr>
        <w:rFonts w:ascii="Symbol" w:hAnsi="Symbol"/>
      </w:rPr>
    </w:lvl>
  </w:abstractNum>
  <w:abstractNum w:abstractNumId="58" w15:restartNumberingAfterBreak="0">
    <w:nsid w:val="4152379B"/>
    <w:multiLevelType w:val="multilevel"/>
    <w:tmpl w:val="825EADBA"/>
    <w:lvl w:ilvl="0">
      <w:start w:val="1"/>
      <w:numFmt w:val="bullet"/>
      <w:lvlText w:val=""/>
      <w:lvlJc w:val="left"/>
      <w:pPr>
        <w:tabs>
          <w:tab w:val="num" w:pos="284"/>
        </w:tabs>
        <w:ind w:left="284" w:hanging="284"/>
      </w:pPr>
      <w:rPr>
        <w:rFonts w:ascii="Symbol" w:hAnsi="Symbol" w:hint="default"/>
      </w:rPr>
    </w:lvl>
    <w:lvl w:ilvl="1">
      <w:start w:val="1"/>
      <w:numFmt w:val="bullet"/>
      <w:lvlText w:val="o"/>
      <w:lvlJc w:val="left"/>
      <w:pPr>
        <w:ind w:left="644" w:hanging="360"/>
      </w:pPr>
      <w:rPr>
        <w:rFonts w:ascii="Courier New" w:hAnsi="Courier New" w:cs="Courier New" w:hint="default"/>
      </w:rPr>
    </w:lvl>
    <w:lvl w:ilvl="2">
      <w:start w:val="1"/>
      <w:numFmt w:val="bullet"/>
      <w:lvlText w:val=""/>
      <w:lvlJc w:val="left"/>
      <w:pPr>
        <w:tabs>
          <w:tab w:val="num" w:pos="851"/>
        </w:tabs>
        <w:ind w:left="851" w:hanging="284"/>
      </w:pPr>
      <w:rPr>
        <w:rFonts w:ascii="Symbol" w:hAnsi="Symbol"/>
      </w:rPr>
    </w:lvl>
    <w:lvl w:ilvl="3">
      <w:start w:val="1"/>
      <w:numFmt w:val="bullet"/>
      <w:lvlText w:val="o"/>
      <w:lvlJc w:val="left"/>
      <w:pPr>
        <w:ind w:left="1211" w:hanging="360"/>
      </w:pPr>
      <w:rPr>
        <w:rFonts w:ascii="Courier New" w:hAnsi="Courier New" w:cs="Courier New"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9" w15:restartNumberingAfterBreak="0">
    <w:nsid w:val="42237290"/>
    <w:multiLevelType w:val="multilevel"/>
    <w:tmpl w:val="8C10D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29E662A"/>
    <w:multiLevelType w:val="multilevel"/>
    <w:tmpl w:val="CAA0DE3A"/>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1" w15:restartNumberingAfterBreak="0">
    <w:nsid w:val="44DA225A"/>
    <w:multiLevelType w:val="hybridMultilevel"/>
    <w:tmpl w:val="3DBEFE58"/>
    <w:lvl w:ilvl="0" w:tplc="0D8631EC">
      <w:start w:val="1"/>
      <w:numFmt w:val="bullet"/>
      <w:lvlText w:val="·"/>
      <w:lvlJc w:val="left"/>
      <w:pPr>
        <w:ind w:left="720" w:hanging="360"/>
      </w:pPr>
      <w:rPr>
        <w:rFonts w:ascii="Symbol" w:hAnsi="Symbol" w:hint="default"/>
      </w:rPr>
    </w:lvl>
    <w:lvl w:ilvl="1" w:tplc="A4ACD270">
      <w:start w:val="1"/>
      <w:numFmt w:val="bullet"/>
      <w:lvlText w:val="o"/>
      <w:lvlJc w:val="left"/>
      <w:pPr>
        <w:ind w:left="1440" w:hanging="360"/>
      </w:pPr>
      <w:rPr>
        <w:rFonts w:ascii="Courier New" w:hAnsi="Courier New" w:hint="default"/>
      </w:rPr>
    </w:lvl>
    <w:lvl w:ilvl="2" w:tplc="B7302C8E">
      <w:start w:val="1"/>
      <w:numFmt w:val="bullet"/>
      <w:lvlText w:val=""/>
      <w:lvlJc w:val="left"/>
      <w:pPr>
        <w:ind w:left="2160" w:hanging="360"/>
      </w:pPr>
      <w:rPr>
        <w:rFonts w:ascii="Wingdings" w:hAnsi="Wingdings" w:hint="default"/>
      </w:rPr>
    </w:lvl>
    <w:lvl w:ilvl="3" w:tplc="B5C01788">
      <w:start w:val="1"/>
      <w:numFmt w:val="bullet"/>
      <w:lvlText w:val=""/>
      <w:lvlJc w:val="left"/>
      <w:pPr>
        <w:ind w:left="2880" w:hanging="360"/>
      </w:pPr>
      <w:rPr>
        <w:rFonts w:ascii="Symbol" w:hAnsi="Symbol" w:hint="default"/>
      </w:rPr>
    </w:lvl>
    <w:lvl w:ilvl="4" w:tplc="2BBC23C2">
      <w:start w:val="1"/>
      <w:numFmt w:val="bullet"/>
      <w:lvlText w:val="o"/>
      <w:lvlJc w:val="left"/>
      <w:pPr>
        <w:ind w:left="3600" w:hanging="360"/>
      </w:pPr>
      <w:rPr>
        <w:rFonts w:ascii="Courier New" w:hAnsi="Courier New" w:hint="default"/>
      </w:rPr>
    </w:lvl>
    <w:lvl w:ilvl="5" w:tplc="1688C8D4">
      <w:start w:val="1"/>
      <w:numFmt w:val="bullet"/>
      <w:lvlText w:val=""/>
      <w:lvlJc w:val="left"/>
      <w:pPr>
        <w:ind w:left="4320" w:hanging="360"/>
      </w:pPr>
      <w:rPr>
        <w:rFonts w:ascii="Wingdings" w:hAnsi="Wingdings" w:hint="default"/>
      </w:rPr>
    </w:lvl>
    <w:lvl w:ilvl="6" w:tplc="1E8EB226">
      <w:start w:val="1"/>
      <w:numFmt w:val="bullet"/>
      <w:lvlText w:val=""/>
      <w:lvlJc w:val="left"/>
      <w:pPr>
        <w:ind w:left="5040" w:hanging="360"/>
      </w:pPr>
      <w:rPr>
        <w:rFonts w:ascii="Symbol" w:hAnsi="Symbol" w:hint="default"/>
      </w:rPr>
    </w:lvl>
    <w:lvl w:ilvl="7" w:tplc="DE5E7656">
      <w:start w:val="1"/>
      <w:numFmt w:val="bullet"/>
      <w:lvlText w:val="o"/>
      <w:lvlJc w:val="left"/>
      <w:pPr>
        <w:ind w:left="5760" w:hanging="360"/>
      </w:pPr>
      <w:rPr>
        <w:rFonts w:ascii="Courier New" w:hAnsi="Courier New" w:hint="default"/>
      </w:rPr>
    </w:lvl>
    <w:lvl w:ilvl="8" w:tplc="404025EC">
      <w:start w:val="1"/>
      <w:numFmt w:val="bullet"/>
      <w:lvlText w:val=""/>
      <w:lvlJc w:val="left"/>
      <w:pPr>
        <w:ind w:left="6480" w:hanging="360"/>
      </w:pPr>
      <w:rPr>
        <w:rFonts w:ascii="Wingdings" w:hAnsi="Wingdings" w:hint="default"/>
      </w:rPr>
    </w:lvl>
  </w:abstractNum>
  <w:abstractNum w:abstractNumId="62" w15:restartNumberingAfterBreak="0">
    <w:nsid w:val="44F235CC"/>
    <w:multiLevelType w:val="hybridMultilevel"/>
    <w:tmpl w:val="FCA25D9C"/>
    <w:lvl w:ilvl="0" w:tplc="A6C2ED56">
      <w:start w:val="1"/>
      <w:numFmt w:val="bullet"/>
      <w:lvlText w:val="·"/>
      <w:lvlJc w:val="left"/>
      <w:pPr>
        <w:ind w:left="720" w:hanging="360"/>
      </w:pPr>
      <w:rPr>
        <w:rFonts w:ascii="Symbol" w:hAnsi="Symbol" w:hint="default"/>
      </w:rPr>
    </w:lvl>
    <w:lvl w:ilvl="1" w:tplc="B9F222D0">
      <w:start w:val="1"/>
      <w:numFmt w:val="bullet"/>
      <w:lvlText w:val="o"/>
      <w:lvlJc w:val="left"/>
      <w:pPr>
        <w:ind w:left="1440" w:hanging="360"/>
      </w:pPr>
      <w:rPr>
        <w:rFonts w:ascii="Courier New" w:hAnsi="Courier New" w:hint="default"/>
      </w:rPr>
    </w:lvl>
    <w:lvl w:ilvl="2" w:tplc="C7BE64A4">
      <w:start w:val="1"/>
      <w:numFmt w:val="bullet"/>
      <w:lvlText w:val=""/>
      <w:lvlJc w:val="left"/>
      <w:pPr>
        <w:ind w:left="2160" w:hanging="360"/>
      </w:pPr>
      <w:rPr>
        <w:rFonts w:ascii="Wingdings" w:hAnsi="Wingdings" w:hint="default"/>
      </w:rPr>
    </w:lvl>
    <w:lvl w:ilvl="3" w:tplc="79F64720">
      <w:start w:val="1"/>
      <w:numFmt w:val="bullet"/>
      <w:lvlText w:val=""/>
      <w:lvlJc w:val="left"/>
      <w:pPr>
        <w:ind w:left="2880" w:hanging="360"/>
      </w:pPr>
      <w:rPr>
        <w:rFonts w:ascii="Symbol" w:hAnsi="Symbol" w:hint="default"/>
      </w:rPr>
    </w:lvl>
    <w:lvl w:ilvl="4" w:tplc="0F98B388">
      <w:start w:val="1"/>
      <w:numFmt w:val="bullet"/>
      <w:lvlText w:val="o"/>
      <w:lvlJc w:val="left"/>
      <w:pPr>
        <w:ind w:left="3600" w:hanging="360"/>
      </w:pPr>
      <w:rPr>
        <w:rFonts w:ascii="Courier New" w:hAnsi="Courier New" w:hint="default"/>
      </w:rPr>
    </w:lvl>
    <w:lvl w:ilvl="5" w:tplc="F92CCFE6">
      <w:start w:val="1"/>
      <w:numFmt w:val="bullet"/>
      <w:lvlText w:val=""/>
      <w:lvlJc w:val="left"/>
      <w:pPr>
        <w:ind w:left="4320" w:hanging="360"/>
      </w:pPr>
      <w:rPr>
        <w:rFonts w:ascii="Wingdings" w:hAnsi="Wingdings" w:hint="default"/>
      </w:rPr>
    </w:lvl>
    <w:lvl w:ilvl="6" w:tplc="25489610">
      <w:start w:val="1"/>
      <w:numFmt w:val="bullet"/>
      <w:lvlText w:val=""/>
      <w:lvlJc w:val="left"/>
      <w:pPr>
        <w:ind w:left="5040" w:hanging="360"/>
      </w:pPr>
      <w:rPr>
        <w:rFonts w:ascii="Symbol" w:hAnsi="Symbol" w:hint="default"/>
      </w:rPr>
    </w:lvl>
    <w:lvl w:ilvl="7" w:tplc="5E58C840">
      <w:start w:val="1"/>
      <w:numFmt w:val="bullet"/>
      <w:lvlText w:val="o"/>
      <w:lvlJc w:val="left"/>
      <w:pPr>
        <w:ind w:left="5760" w:hanging="360"/>
      </w:pPr>
      <w:rPr>
        <w:rFonts w:ascii="Courier New" w:hAnsi="Courier New" w:hint="default"/>
      </w:rPr>
    </w:lvl>
    <w:lvl w:ilvl="8" w:tplc="D67872F8">
      <w:start w:val="1"/>
      <w:numFmt w:val="bullet"/>
      <w:lvlText w:val=""/>
      <w:lvlJc w:val="left"/>
      <w:pPr>
        <w:ind w:left="6480" w:hanging="360"/>
      </w:pPr>
      <w:rPr>
        <w:rFonts w:ascii="Wingdings" w:hAnsi="Wingdings" w:hint="default"/>
      </w:rPr>
    </w:lvl>
  </w:abstractNum>
  <w:abstractNum w:abstractNumId="63" w15:restartNumberingAfterBreak="0">
    <w:nsid w:val="459AF00E"/>
    <w:multiLevelType w:val="hybridMultilevel"/>
    <w:tmpl w:val="04548210"/>
    <w:lvl w:ilvl="0" w:tplc="29DE813C">
      <w:start w:val="1"/>
      <w:numFmt w:val="bullet"/>
      <w:lvlText w:val="·"/>
      <w:lvlJc w:val="left"/>
      <w:pPr>
        <w:ind w:left="720" w:hanging="360"/>
      </w:pPr>
      <w:rPr>
        <w:rFonts w:ascii="Symbol" w:hAnsi="Symbol" w:hint="default"/>
      </w:rPr>
    </w:lvl>
    <w:lvl w:ilvl="1" w:tplc="563A8040">
      <w:start w:val="1"/>
      <w:numFmt w:val="bullet"/>
      <w:lvlText w:val="o"/>
      <w:lvlJc w:val="left"/>
      <w:pPr>
        <w:ind w:left="1440" w:hanging="360"/>
      </w:pPr>
      <w:rPr>
        <w:rFonts w:ascii="Courier New" w:hAnsi="Courier New" w:hint="default"/>
      </w:rPr>
    </w:lvl>
    <w:lvl w:ilvl="2" w:tplc="BD1673A8">
      <w:start w:val="1"/>
      <w:numFmt w:val="bullet"/>
      <w:lvlText w:val=""/>
      <w:lvlJc w:val="left"/>
      <w:pPr>
        <w:ind w:left="2160" w:hanging="360"/>
      </w:pPr>
      <w:rPr>
        <w:rFonts w:ascii="Wingdings" w:hAnsi="Wingdings" w:hint="default"/>
      </w:rPr>
    </w:lvl>
    <w:lvl w:ilvl="3" w:tplc="70BEBD7A">
      <w:start w:val="1"/>
      <w:numFmt w:val="bullet"/>
      <w:lvlText w:val=""/>
      <w:lvlJc w:val="left"/>
      <w:pPr>
        <w:ind w:left="2880" w:hanging="360"/>
      </w:pPr>
      <w:rPr>
        <w:rFonts w:ascii="Symbol" w:hAnsi="Symbol" w:hint="default"/>
      </w:rPr>
    </w:lvl>
    <w:lvl w:ilvl="4" w:tplc="664C0F82">
      <w:start w:val="1"/>
      <w:numFmt w:val="bullet"/>
      <w:lvlText w:val="o"/>
      <w:lvlJc w:val="left"/>
      <w:pPr>
        <w:ind w:left="3600" w:hanging="360"/>
      </w:pPr>
      <w:rPr>
        <w:rFonts w:ascii="Courier New" w:hAnsi="Courier New" w:hint="default"/>
      </w:rPr>
    </w:lvl>
    <w:lvl w:ilvl="5" w:tplc="2B6E8156">
      <w:start w:val="1"/>
      <w:numFmt w:val="bullet"/>
      <w:lvlText w:val=""/>
      <w:lvlJc w:val="left"/>
      <w:pPr>
        <w:ind w:left="4320" w:hanging="360"/>
      </w:pPr>
      <w:rPr>
        <w:rFonts w:ascii="Wingdings" w:hAnsi="Wingdings" w:hint="default"/>
      </w:rPr>
    </w:lvl>
    <w:lvl w:ilvl="6" w:tplc="40ECFAF6">
      <w:start w:val="1"/>
      <w:numFmt w:val="bullet"/>
      <w:lvlText w:val=""/>
      <w:lvlJc w:val="left"/>
      <w:pPr>
        <w:ind w:left="5040" w:hanging="360"/>
      </w:pPr>
      <w:rPr>
        <w:rFonts w:ascii="Symbol" w:hAnsi="Symbol" w:hint="default"/>
      </w:rPr>
    </w:lvl>
    <w:lvl w:ilvl="7" w:tplc="5908E2B8">
      <w:start w:val="1"/>
      <w:numFmt w:val="bullet"/>
      <w:lvlText w:val="o"/>
      <w:lvlJc w:val="left"/>
      <w:pPr>
        <w:ind w:left="5760" w:hanging="360"/>
      </w:pPr>
      <w:rPr>
        <w:rFonts w:ascii="Courier New" w:hAnsi="Courier New" w:hint="default"/>
      </w:rPr>
    </w:lvl>
    <w:lvl w:ilvl="8" w:tplc="685E6D32">
      <w:start w:val="1"/>
      <w:numFmt w:val="bullet"/>
      <w:lvlText w:val=""/>
      <w:lvlJc w:val="left"/>
      <w:pPr>
        <w:ind w:left="6480" w:hanging="360"/>
      </w:pPr>
      <w:rPr>
        <w:rFonts w:ascii="Wingdings" w:hAnsi="Wingdings" w:hint="default"/>
      </w:rPr>
    </w:lvl>
  </w:abstractNum>
  <w:abstractNum w:abstractNumId="64" w15:restartNumberingAfterBreak="0">
    <w:nsid w:val="472E7092"/>
    <w:multiLevelType w:val="hybridMultilevel"/>
    <w:tmpl w:val="FFFFFFFF"/>
    <w:lvl w:ilvl="0" w:tplc="2368C838">
      <w:start w:val="1"/>
      <w:numFmt w:val="bullet"/>
      <w:lvlText w:val="·"/>
      <w:lvlJc w:val="left"/>
      <w:pPr>
        <w:ind w:left="720" w:hanging="360"/>
      </w:pPr>
      <w:rPr>
        <w:rFonts w:ascii="Symbol" w:hAnsi="Symbol" w:hint="default"/>
      </w:rPr>
    </w:lvl>
    <w:lvl w:ilvl="1" w:tplc="A7422CC0">
      <w:start w:val="1"/>
      <w:numFmt w:val="bullet"/>
      <w:lvlText w:val="o"/>
      <w:lvlJc w:val="left"/>
      <w:pPr>
        <w:ind w:left="1440" w:hanging="360"/>
      </w:pPr>
      <w:rPr>
        <w:rFonts w:ascii="Courier New" w:hAnsi="Courier New" w:hint="default"/>
      </w:rPr>
    </w:lvl>
    <w:lvl w:ilvl="2" w:tplc="3DD22A52">
      <w:start w:val="1"/>
      <w:numFmt w:val="bullet"/>
      <w:lvlText w:val=""/>
      <w:lvlJc w:val="left"/>
      <w:pPr>
        <w:ind w:left="2160" w:hanging="360"/>
      </w:pPr>
      <w:rPr>
        <w:rFonts w:ascii="Wingdings" w:hAnsi="Wingdings" w:hint="default"/>
      </w:rPr>
    </w:lvl>
    <w:lvl w:ilvl="3" w:tplc="DD5EF950">
      <w:start w:val="1"/>
      <w:numFmt w:val="bullet"/>
      <w:lvlText w:val=""/>
      <w:lvlJc w:val="left"/>
      <w:pPr>
        <w:ind w:left="2880" w:hanging="360"/>
      </w:pPr>
      <w:rPr>
        <w:rFonts w:ascii="Symbol" w:hAnsi="Symbol" w:hint="default"/>
      </w:rPr>
    </w:lvl>
    <w:lvl w:ilvl="4" w:tplc="14704CB8">
      <w:start w:val="1"/>
      <w:numFmt w:val="bullet"/>
      <w:lvlText w:val="o"/>
      <w:lvlJc w:val="left"/>
      <w:pPr>
        <w:ind w:left="3600" w:hanging="360"/>
      </w:pPr>
      <w:rPr>
        <w:rFonts w:ascii="Courier New" w:hAnsi="Courier New" w:hint="default"/>
      </w:rPr>
    </w:lvl>
    <w:lvl w:ilvl="5" w:tplc="A3E62E0A">
      <w:start w:val="1"/>
      <w:numFmt w:val="bullet"/>
      <w:lvlText w:val=""/>
      <w:lvlJc w:val="left"/>
      <w:pPr>
        <w:ind w:left="4320" w:hanging="360"/>
      </w:pPr>
      <w:rPr>
        <w:rFonts w:ascii="Wingdings" w:hAnsi="Wingdings" w:hint="default"/>
      </w:rPr>
    </w:lvl>
    <w:lvl w:ilvl="6" w:tplc="B9BCD762">
      <w:start w:val="1"/>
      <w:numFmt w:val="bullet"/>
      <w:lvlText w:val=""/>
      <w:lvlJc w:val="left"/>
      <w:pPr>
        <w:ind w:left="5040" w:hanging="360"/>
      </w:pPr>
      <w:rPr>
        <w:rFonts w:ascii="Symbol" w:hAnsi="Symbol" w:hint="default"/>
      </w:rPr>
    </w:lvl>
    <w:lvl w:ilvl="7" w:tplc="83FA7E14">
      <w:start w:val="1"/>
      <w:numFmt w:val="bullet"/>
      <w:lvlText w:val="o"/>
      <w:lvlJc w:val="left"/>
      <w:pPr>
        <w:ind w:left="5760" w:hanging="360"/>
      </w:pPr>
      <w:rPr>
        <w:rFonts w:ascii="Courier New" w:hAnsi="Courier New" w:hint="default"/>
      </w:rPr>
    </w:lvl>
    <w:lvl w:ilvl="8" w:tplc="4A727C20">
      <w:start w:val="1"/>
      <w:numFmt w:val="bullet"/>
      <w:lvlText w:val=""/>
      <w:lvlJc w:val="left"/>
      <w:pPr>
        <w:ind w:left="6480" w:hanging="360"/>
      </w:pPr>
      <w:rPr>
        <w:rFonts w:ascii="Wingdings" w:hAnsi="Wingdings" w:hint="default"/>
      </w:rPr>
    </w:lvl>
  </w:abstractNum>
  <w:abstractNum w:abstractNumId="65" w15:restartNumberingAfterBreak="0">
    <w:nsid w:val="481DCC48"/>
    <w:multiLevelType w:val="hybridMultilevel"/>
    <w:tmpl w:val="EBDA9F90"/>
    <w:lvl w:ilvl="0" w:tplc="E1B0A406">
      <w:start w:val="1"/>
      <w:numFmt w:val="bullet"/>
      <w:lvlText w:val=""/>
      <w:lvlJc w:val="left"/>
      <w:pPr>
        <w:ind w:left="1080" w:hanging="360"/>
      </w:pPr>
      <w:rPr>
        <w:rFonts w:ascii="Symbol" w:hAnsi="Symbol" w:hint="default"/>
      </w:rPr>
    </w:lvl>
    <w:lvl w:ilvl="1" w:tplc="21C879D4">
      <w:start w:val="1"/>
      <w:numFmt w:val="bullet"/>
      <w:lvlText w:val="o"/>
      <w:lvlJc w:val="left"/>
      <w:pPr>
        <w:ind w:left="1800" w:hanging="360"/>
      </w:pPr>
      <w:rPr>
        <w:rFonts w:ascii="Courier New" w:hAnsi="Courier New" w:hint="default"/>
      </w:rPr>
    </w:lvl>
    <w:lvl w:ilvl="2" w:tplc="443E7F5C">
      <w:start w:val="1"/>
      <w:numFmt w:val="bullet"/>
      <w:lvlText w:val=""/>
      <w:lvlJc w:val="left"/>
      <w:pPr>
        <w:ind w:left="2520" w:hanging="360"/>
      </w:pPr>
      <w:rPr>
        <w:rFonts w:ascii="Wingdings" w:hAnsi="Wingdings" w:hint="default"/>
      </w:rPr>
    </w:lvl>
    <w:lvl w:ilvl="3" w:tplc="557836CC">
      <w:start w:val="1"/>
      <w:numFmt w:val="bullet"/>
      <w:lvlText w:val="o"/>
      <w:lvlJc w:val="left"/>
      <w:pPr>
        <w:ind w:left="3240" w:hanging="360"/>
      </w:pPr>
      <w:rPr>
        <w:rFonts w:ascii="&quot;Courier New&quot;" w:hAnsi="&quot;Courier New&quot;" w:hint="default"/>
      </w:rPr>
    </w:lvl>
    <w:lvl w:ilvl="4" w:tplc="931AEE38">
      <w:start w:val="1"/>
      <w:numFmt w:val="bullet"/>
      <w:lvlText w:val="o"/>
      <w:lvlJc w:val="left"/>
      <w:pPr>
        <w:ind w:left="3960" w:hanging="360"/>
      </w:pPr>
      <w:rPr>
        <w:rFonts w:ascii="Courier New" w:hAnsi="Courier New" w:hint="default"/>
      </w:rPr>
    </w:lvl>
    <w:lvl w:ilvl="5" w:tplc="79AAEDFE">
      <w:start w:val="1"/>
      <w:numFmt w:val="bullet"/>
      <w:lvlText w:val=""/>
      <w:lvlJc w:val="left"/>
      <w:pPr>
        <w:ind w:left="4680" w:hanging="360"/>
      </w:pPr>
      <w:rPr>
        <w:rFonts w:ascii="Wingdings" w:hAnsi="Wingdings" w:hint="default"/>
      </w:rPr>
    </w:lvl>
    <w:lvl w:ilvl="6" w:tplc="E69EE6BC">
      <w:start w:val="1"/>
      <w:numFmt w:val="bullet"/>
      <w:lvlText w:val=""/>
      <w:lvlJc w:val="left"/>
      <w:pPr>
        <w:ind w:left="5400" w:hanging="360"/>
      </w:pPr>
      <w:rPr>
        <w:rFonts w:ascii="Symbol" w:hAnsi="Symbol" w:hint="default"/>
      </w:rPr>
    </w:lvl>
    <w:lvl w:ilvl="7" w:tplc="81DE8254">
      <w:start w:val="1"/>
      <w:numFmt w:val="bullet"/>
      <w:lvlText w:val="o"/>
      <w:lvlJc w:val="left"/>
      <w:pPr>
        <w:ind w:left="6120" w:hanging="360"/>
      </w:pPr>
      <w:rPr>
        <w:rFonts w:ascii="Courier New" w:hAnsi="Courier New" w:hint="default"/>
      </w:rPr>
    </w:lvl>
    <w:lvl w:ilvl="8" w:tplc="366052E6">
      <w:start w:val="1"/>
      <w:numFmt w:val="bullet"/>
      <w:lvlText w:val=""/>
      <w:lvlJc w:val="left"/>
      <w:pPr>
        <w:ind w:left="6840" w:hanging="360"/>
      </w:pPr>
      <w:rPr>
        <w:rFonts w:ascii="Wingdings" w:hAnsi="Wingdings" w:hint="default"/>
      </w:rPr>
    </w:lvl>
  </w:abstractNum>
  <w:abstractNum w:abstractNumId="66" w15:restartNumberingAfterBreak="0">
    <w:nsid w:val="49FC7BA4"/>
    <w:multiLevelType w:val="hybridMultilevel"/>
    <w:tmpl w:val="4998D1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7" w15:restartNumberingAfterBreak="0">
    <w:nsid w:val="4A16809F"/>
    <w:multiLevelType w:val="hybridMultilevel"/>
    <w:tmpl w:val="49F6B022"/>
    <w:lvl w:ilvl="0" w:tplc="90323C96">
      <w:start w:val="1"/>
      <w:numFmt w:val="bullet"/>
      <w:lvlText w:val="·"/>
      <w:lvlJc w:val="left"/>
      <w:pPr>
        <w:ind w:left="720" w:hanging="360"/>
      </w:pPr>
      <w:rPr>
        <w:rFonts w:ascii="Symbol" w:hAnsi="Symbol" w:hint="default"/>
      </w:rPr>
    </w:lvl>
    <w:lvl w:ilvl="1" w:tplc="C03E9824">
      <w:start w:val="1"/>
      <w:numFmt w:val="bullet"/>
      <w:lvlText w:val="o"/>
      <w:lvlJc w:val="left"/>
      <w:pPr>
        <w:ind w:left="1440" w:hanging="360"/>
      </w:pPr>
      <w:rPr>
        <w:rFonts w:ascii="Courier New" w:hAnsi="Courier New" w:hint="default"/>
      </w:rPr>
    </w:lvl>
    <w:lvl w:ilvl="2" w:tplc="032E5312">
      <w:start w:val="1"/>
      <w:numFmt w:val="bullet"/>
      <w:lvlText w:val=""/>
      <w:lvlJc w:val="left"/>
      <w:pPr>
        <w:ind w:left="2160" w:hanging="360"/>
      </w:pPr>
      <w:rPr>
        <w:rFonts w:ascii="Wingdings" w:hAnsi="Wingdings" w:hint="default"/>
      </w:rPr>
    </w:lvl>
    <w:lvl w:ilvl="3" w:tplc="340ABEB4">
      <w:start w:val="1"/>
      <w:numFmt w:val="bullet"/>
      <w:lvlText w:val=""/>
      <w:lvlJc w:val="left"/>
      <w:pPr>
        <w:ind w:left="2880" w:hanging="360"/>
      </w:pPr>
      <w:rPr>
        <w:rFonts w:ascii="Symbol" w:hAnsi="Symbol" w:hint="default"/>
      </w:rPr>
    </w:lvl>
    <w:lvl w:ilvl="4" w:tplc="985EE74C">
      <w:start w:val="1"/>
      <w:numFmt w:val="bullet"/>
      <w:lvlText w:val="o"/>
      <w:lvlJc w:val="left"/>
      <w:pPr>
        <w:ind w:left="3600" w:hanging="360"/>
      </w:pPr>
      <w:rPr>
        <w:rFonts w:ascii="Courier New" w:hAnsi="Courier New" w:hint="default"/>
      </w:rPr>
    </w:lvl>
    <w:lvl w:ilvl="5" w:tplc="1494C166">
      <w:start w:val="1"/>
      <w:numFmt w:val="bullet"/>
      <w:lvlText w:val=""/>
      <w:lvlJc w:val="left"/>
      <w:pPr>
        <w:ind w:left="4320" w:hanging="360"/>
      </w:pPr>
      <w:rPr>
        <w:rFonts w:ascii="Wingdings" w:hAnsi="Wingdings" w:hint="default"/>
      </w:rPr>
    </w:lvl>
    <w:lvl w:ilvl="6" w:tplc="EF644D5E">
      <w:start w:val="1"/>
      <w:numFmt w:val="bullet"/>
      <w:lvlText w:val=""/>
      <w:lvlJc w:val="left"/>
      <w:pPr>
        <w:ind w:left="5040" w:hanging="360"/>
      </w:pPr>
      <w:rPr>
        <w:rFonts w:ascii="Symbol" w:hAnsi="Symbol" w:hint="default"/>
      </w:rPr>
    </w:lvl>
    <w:lvl w:ilvl="7" w:tplc="74765C4C">
      <w:start w:val="1"/>
      <w:numFmt w:val="bullet"/>
      <w:lvlText w:val="o"/>
      <w:lvlJc w:val="left"/>
      <w:pPr>
        <w:ind w:left="5760" w:hanging="360"/>
      </w:pPr>
      <w:rPr>
        <w:rFonts w:ascii="Courier New" w:hAnsi="Courier New" w:hint="default"/>
      </w:rPr>
    </w:lvl>
    <w:lvl w:ilvl="8" w:tplc="2FCC1A80">
      <w:start w:val="1"/>
      <w:numFmt w:val="bullet"/>
      <w:lvlText w:val=""/>
      <w:lvlJc w:val="left"/>
      <w:pPr>
        <w:ind w:left="6480" w:hanging="360"/>
      </w:pPr>
      <w:rPr>
        <w:rFonts w:ascii="Wingdings" w:hAnsi="Wingdings" w:hint="default"/>
      </w:rPr>
    </w:lvl>
  </w:abstractNum>
  <w:abstractNum w:abstractNumId="68" w15:restartNumberingAfterBreak="0">
    <w:nsid w:val="4B5D6AC3"/>
    <w:multiLevelType w:val="hybridMultilevel"/>
    <w:tmpl w:val="F3C6A224"/>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9" w15:restartNumberingAfterBreak="0">
    <w:nsid w:val="4B7F12B8"/>
    <w:multiLevelType w:val="hybridMultilevel"/>
    <w:tmpl w:val="AD8A0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C5E032A"/>
    <w:multiLevelType w:val="hybridMultilevel"/>
    <w:tmpl w:val="40D8E8D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4E1A63DF"/>
    <w:multiLevelType w:val="multilevel"/>
    <w:tmpl w:val="6DFA7ED8"/>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2" w15:restartNumberingAfterBreak="0">
    <w:nsid w:val="4E1A982C"/>
    <w:multiLevelType w:val="multilevel"/>
    <w:tmpl w:val="ACE07E82"/>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3" w15:restartNumberingAfterBreak="0">
    <w:nsid w:val="4EB65969"/>
    <w:multiLevelType w:val="hybridMultilevel"/>
    <w:tmpl w:val="C200EC7C"/>
    <w:lvl w:ilvl="0" w:tplc="D3D88BB6">
      <w:start w:val="1"/>
      <w:numFmt w:val="bullet"/>
      <w:lvlText w:val=""/>
      <w:lvlJc w:val="left"/>
      <w:pPr>
        <w:ind w:left="720" w:hanging="360"/>
      </w:pPr>
      <w:rPr>
        <w:rFonts w:ascii="Symbol" w:hAnsi="Symbol"/>
      </w:rPr>
    </w:lvl>
    <w:lvl w:ilvl="1" w:tplc="585EA4B6">
      <w:start w:val="1"/>
      <w:numFmt w:val="bullet"/>
      <w:lvlText w:val=""/>
      <w:lvlJc w:val="left"/>
      <w:pPr>
        <w:ind w:left="720" w:hanging="360"/>
      </w:pPr>
      <w:rPr>
        <w:rFonts w:ascii="Symbol" w:hAnsi="Symbol"/>
      </w:rPr>
    </w:lvl>
    <w:lvl w:ilvl="2" w:tplc="5EE85846">
      <w:start w:val="1"/>
      <w:numFmt w:val="bullet"/>
      <w:lvlText w:val=""/>
      <w:lvlJc w:val="left"/>
      <w:pPr>
        <w:ind w:left="720" w:hanging="360"/>
      </w:pPr>
      <w:rPr>
        <w:rFonts w:ascii="Symbol" w:hAnsi="Symbol"/>
      </w:rPr>
    </w:lvl>
    <w:lvl w:ilvl="3" w:tplc="D2523AA4">
      <w:start w:val="1"/>
      <w:numFmt w:val="bullet"/>
      <w:lvlText w:val=""/>
      <w:lvlJc w:val="left"/>
      <w:pPr>
        <w:ind w:left="720" w:hanging="360"/>
      </w:pPr>
      <w:rPr>
        <w:rFonts w:ascii="Symbol" w:hAnsi="Symbol"/>
      </w:rPr>
    </w:lvl>
    <w:lvl w:ilvl="4" w:tplc="0C60048C">
      <w:start w:val="1"/>
      <w:numFmt w:val="bullet"/>
      <w:lvlText w:val=""/>
      <w:lvlJc w:val="left"/>
      <w:pPr>
        <w:ind w:left="720" w:hanging="360"/>
      </w:pPr>
      <w:rPr>
        <w:rFonts w:ascii="Symbol" w:hAnsi="Symbol"/>
      </w:rPr>
    </w:lvl>
    <w:lvl w:ilvl="5" w:tplc="F25899F8">
      <w:start w:val="1"/>
      <w:numFmt w:val="bullet"/>
      <w:lvlText w:val=""/>
      <w:lvlJc w:val="left"/>
      <w:pPr>
        <w:ind w:left="720" w:hanging="360"/>
      </w:pPr>
      <w:rPr>
        <w:rFonts w:ascii="Symbol" w:hAnsi="Symbol"/>
      </w:rPr>
    </w:lvl>
    <w:lvl w:ilvl="6" w:tplc="6F50ADBE">
      <w:start w:val="1"/>
      <w:numFmt w:val="bullet"/>
      <w:lvlText w:val=""/>
      <w:lvlJc w:val="left"/>
      <w:pPr>
        <w:ind w:left="720" w:hanging="360"/>
      </w:pPr>
      <w:rPr>
        <w:rFonts w:ascii="Symbol" w:hAnsi="Symbol"/>
      </w:rPr>
    </w:lvl>
    <w:lvl w:ilvl="7" w:tplc="BD086AA4">
      <w:start w:val="1"/>
      <w:numFmt w:val="bullet"/>
      <w:lvlText w:val=""/>
      <w:lvlJc w:val="left"/>
      <w:pPr>
        <w:ind w:left="720" w:hanging="360"/>
      </w:pPr>
      <w:rPr>
        <w:rFonts w:ascii="Symbol" w:hAnsi="Symbol"/>
      </w:rPr>
    </w:lvl>
    <w:lvl w:ilvl="8" w:tplc="92ECE81E">
      <w:start w:val="1"/>
      <w:numFmt w:val="bullet"/>
      <w:lvlText w:val=""/>
      <w:lvlJc w:val="left"/>
      <w:pPr>
        <w:ind w:left="720" w:hanging="360"/>
      </w:pPr>
      <w:rPr>
        <w:rFonts w:ascii="Symbol" w:hAnsi="Symbol"/>
      </w:rPr>
    </w:lvl>
  </w:abstractNum>
  <w:abstractNum w:abstractNumId="74" w15:restartNumberingAfterBreak="0">
    <w:nsid w:val="4EF67271"/>
    <w:multiLevelType w:val="hybridMultilevel"/>
    <w:tmpl w:val="6128AC2C"/>
    <w:lvl w:ilvl="0" w:tplc="AC34F9A4">
      <w:start w:val="4"/>
      <w:numFmt w:val="bullet"/>
      <w:lvlText w:val=""/>
      <w:lvlJc w:val="left"/>
      <w:pPr>
        <w:ind w:left="360" w:hanging="360"/>
      </w:pPr>
      <w:rPr>
        <w:rFonts w:ascii="Symbol" w:eastAsia="Times New Roman" w:hAnsi="Symbol" w:cs="Times New Roman" w:hint="default"/>
      </w:rPr>
    </w:lvl>
    <w:lvl w:ilvl="1" w:tplc="18090003" w:tentative="1">
      <w:start w:val="1"/>
      <w:numFmt w:val="bullet"/>
      <w:lvlText w:val="o"/>
      <w:lvlJc w:val="left"/>
      <w:pPr>
        <w:ind w:left="363" w:hanging="360"/>
      </w:pPr>
      <w:rPr>
        <w:rFonts w:ascii="Courier New" w:hAnsi="Courier New" w:cs="Courier New" w:hint="default"/>
      </w:rPr>
    </w:lvl>
    <w:lvl w:ilvl="2" w:tplc="18090005" w:tentative="1">
      <w:start w:val="1"/>
      <w:numFmt w:val="bullet"/>
      <w:lvlText w:val=""/>
      <w:lvlJc w:val="left"/>
      <w:pPr>
        <w:ind w:left="1083" w:hanging="360"/>
      </w:pPr>
      <w:rPr>
        <w:rFonts w:ascii="Wingdings" w:hAnsi="Wingdings" w:hint="default"/>
      </w:rPr>
    </w:lvl>
    <w:lvl w:ilvl="3" w:tplc="18090001" w:tentative="1">
      <w:start w:val="1"/>
      <w:numFmt w:val="bullet"/>
      <w:lvlText w:val=""/>
      <w:lvlJc w:val="left"/>
      <w:pPr>
        <w:ind w:left="1803" w:hanging="360"/>
      </w:pPr>
      <w:rPr>
        <w:rFonts w:ascii="Symbol" w:hAnsi="Symbol" w:hint="default"/>
      </w:rPr>
    </w:lvl>
    <w:lvl w:ilvl="4" w:tplc="18090003" w:tentative="1">
      <w:start w:val="1"/>
      <w:numFmt w:val="bullet"/>
      <w:lvlText w:val="o"/>
      <w:lvlJc w:val="left"/>
      <w:pPr>
        <w:ind w:left="2523" w:hanging="360"/>
      </w:pPr>
      <w:rPr>
        <w:rFonts w:ascii="Courier New" w:hAnsi="Courier New" w:cs="Courier New" w:hint="default"/>
      </w:rPr>
    </w:lvl>
    <w:lvl w:ilvl="5" w:tplc="18090005" w:tentative="1">
      <w:start w:val="1"/>
      <w:numFmt w:val="bullet"/>
      <w:lvlText w:val=""/>
      <w:lvlJc w:val="left"/>
      <w:pPr>
        <w:ind w:left="3243" w:hanging="360"/>
      </w:pPr>
      <w:rPr>
        <w:rFonts w:ascii="Wingdings" w:hAnsi="Wingdings" w:hint="default"/>
      </w:rPr>
    </w:lvl>
    <w:lvl w:ilvl="6" w:tplc="18090001" w:tentative="1">
      <w:start w:val="1"/>
      <w:numFmt w:val="bullet"/>
      <w:lvlText w:val=""/>
      <w:lvlJc w:val="left"/>
      <w:pPr>
        <w:ind w:left="3963" w:hanging="360"/>
      </w:pPr>
      <w:rPr>
        <w:rFonts w:ascii="Symbol" w:hAnsi="Symbol" w:hint="default"/>
      </w:rPr>
    </w:lvl>
    <w:lvl w:ilvl="7" w:tplc="18090003" w:tentative="1">
      <w:start w:val="1"/>
      <w:numFmt w:val="bullet"/>
      <w:lvlText w:val="o"/>
      <w:lvlJc w:val="left"/>
      <w:pPr>
        <w:ind w:left="4683" w:hanging="360"/>
      </w:pPr>
      <w:rPr>
        <w:rFonts w:ascii="Courier New" w:hAnsi="Courier New" w:cs="Courier New" w:hint="default"/>
      </w:rPr>
    </w:lvl>
    <w:lvl w:ilvl="8" w:tplc="18090005" w:tentative="1">
      <w:start w:val="1"/>
      <w:numFmt w:val="bullet"/>
      <w:lvlText w:val=""/>
      <w:lvlJc w:val="left"/>
      <w:pPr>
        <w:ind w:left="5403" w:hanging="360"/>
      </w:pPr>
      <w:rPr>
        <w:rFonts w:ascii="Wingdings" w:hAnsi="Wingdings" w:hint="default"/>
      </w:rPr>
    </w:lvl>
  </w:abstractNum>
  <w:abstractNum w:abstractNumId="75" w15:restartNumberingAfterBreak="0">
    <w:nsid w:val="4F111272"/>
    <w:multiLevelType w:val="hybridMultilevel"/>
    <w:tmpl w:val="9BD83D32"/>
    <w:lvl w:ilvl="0" w:tplc="C7A2344C">
      <w:start w:val="1"/>
      <w:numFmt w:val="bullet"/>
      <w:lvlText w:val=""/>
      <w:lvlJc w:val="left"/>
      <w:pPr>
        <w:tabs>
          <w:tab w:val="num" w:pos="284"/>
        </w:tabs>
        <w:ind w:left="284" w:hanging="284"/>
      </w:pPr>
      <w:rPr>
        <w:rFonts w:ascii="Symbol" w:hAnsi="Symbol" w:hint="default"/>
      </w:rPr>
    </w:lvl>
    <w:lvl w:ilvl="1" w:tplc="CDDAB6E2">
      <w:start w:val="1"/>
      <w:numFmt w:val="bullet"/>
      <w:lvlText w:val="o"/>
      <w:lvlJc w:val="left"/>
      <w:pPr>
        <w:ind w:left="644" w:hanging="360"/>
      </w:pPr>
      <w:rPr>
        <w:rFonts w:ascii="Courier New" w:hAnsi="Courier New" w:hint="default"/>
      </w:rPr>
    </w:lvl>
    <w:lvl w:ilvl="2" w:tplc="9D3A24B4">
      <w:start w:val="1"/>
      <w:numFmt w:val="bullet"/>
      <w:lvlText w:val=""/>
      <w:lvlJc w:val="left"/>
      <w:pPr>
        <w:tabs>
          <w:tab w:val="num" w:pos="851"/>
        </w:tabs>
        <w:ind w:left="851" w:hanging="284"/>
      </w:pPr>
      <w:rPr>
        <w:rFonts w:ascii="Symbol" w:hAnsi="Symbol" w:hint="default"/>
      </w:rPr>
    </w:lvl>
    <w:lvl w:ilvl="3" w:tplc="883E59AE">
      <w:start w:val="1"/>
      <w:numFmt w:val="bullet"/>
      <w:lvlText w:val="o"/>
      <w:lvlJc w:val="left"/>
      <w:pPr>
        <w:ind w:left="1211" w:hanging="360"/>
      </w:pPr>
      <w:rPr>
        <w:rFonts w:ascii="Courier New" w:hAnsi="Courier New" w:hint="default"/>
      </w:rPr>
    </w:lvl>
    <w:lvl w:ilvl="4" w:tplc="E618EC42">
      <w:numFmt w:val="decimal"/>
      <w:lvlText w:val=""/>
      <w:lvlJc w:val="left"/>
    </w:lvl>
    <w:lvl w:ilvl="5" w:tplc="3B0C9D04">
      <w:numFmt w:val="decimal"/>
      <w:lvlText w:val=""/>
      <w:lvlJc w:val="left"/>
    </w:lvl>
    <w:lvl w:ilvl="6" w:tplc="1B4A2A62">
      <w:numFmt w:val="decimal"/>
      <w:lvlText w:val=""/>
      <w:lvlJc w:val="left"/>
    </w:lvl>
    <w:lvl w:ilvl="7" w:tplc="717E806E">
      <w:numFmt w:val="decimal"/>
      <w:lvlText w:val=""/>
      <w:lvlJc w:val="left"/>
    </w:lvl>
    <w:lvl w:ilvl="8" w:tplc="9DA67F90">
      <w:numFmt w:val="decimal"/>
      <w:lvlText w:val=""/>
      <w:lvlJc w:val="left"/>
    </w:lvl>
  </w:abstractNum>
  <w:abstractNum w:abstractNumId="76" w15:restartNumberingAfterBreak="0">
    <w:nsid w:val="50325FC2"/>
    <w:multiLevelType w:val="hybridMultilevel"/>
    <w:tmpl w:val="8CD09EB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7" w15:restartNumberingAfterBreak="0">
    <w:nsid w:val="5072619B"/>
    <w:multiLevelType w:val="multilevel"/>
    <w:tmpl w:val="CDEC7626"/>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8" w15:restartNumberingAfterBreak="0">
    <w:nsid w:val="50729B52"/>
    <w:multiLevelType w:val="multilevel"/>
    <w:tmpl w:val="2F984058"/>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9" w15:restartNumberingAfterBreak="0">
    <w:nsid w:val="52DE543B"/>
    <w:multiLevelType w:val="hybridMultilevel"/>
    <w:tmpl w:val="6150BB9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0" w15:restartNumberingAfterBreak="0">
    <w:nsid w:val="538F6E1A"/>
    <w:multiLevelType w:val="hybridMultilevel"/>
    <w:tmpl w:val="3FA2B6A8"/>
    <w:lvl w:ilvl="0" w:tplc="CAB286E4">
      <w:start w:val="1"/>
      <w:numFmt w:val="bullet"/>
      <w:lvlText w:val=""/>
      <w:lvlJc w:val="left"/>
      <w:pPr>
        <w:ind w:left="720" w:hanging="360"/>
      </w:pPr>
      <w:rPr>
        <w:rFonts w:ascii="Symbol" w:hAnsi="Symbol"/>
      </w:rPr>
    </w:lvl>
    <w:lvl w:ilvl="1" w:tplc="4AA40760">
      <w:start w:val="1"/>
      <w:numFmt w:val="bullet"/>
      <w:lvlText w:val=""/>
      <w:lvlJc w:val="left"/>
      <w:pPr>
        <w:ind w:left="720" w:hanging="360"/>
      </w:pPr>
      <w:rPr>
        <w:rFonts w:ascii="Symbol" w:hAnsi="Symbol"/>
      </w:rPr>
    </w:lvl>
    <w:lvl w:ilvl="2" w:tplc="2EF02534">
      <w:start w:val="1"/>
      <w:numFmt w:val="bullet"/>
      <w:lvlText w:val=""/>
      <w:lvlJc w:val="left"/>
      <w:pPr>
        <w:ind w:left="720" w:hanging="360"/>
      </w:pPr>
      <w:rPr>
        <w:rFonts w:ascii="Symbol" w:hAnsi="Symbol"/>
      </w:rPr>
    </w:lvl>
    <w:lvl w:ilvl="3" w:tplc="A66E701E">
      <w:start w:val="1"/>
      <w:numFmt w:val="bullet"/>
      <w:lvlText w:val=""/>
      <w:lvlJc w:val="left"/>
      <w:pPr>
        <w:ind w:left="720" w:hanging="360"/>
      </w:pPr>
      <w:rPr>
        <w:rFonts w:ascii="Symbol" w:hAnsi="Symbol"/>
      </w:rPr>
    </w:lvl>
    <w:lvl w:ilvl="4" w:tplc="B85AC72A">
      <w:start w:val="1"/>
      <w:numFmt w:val="bullet"/>
      <w:lvlText w:val=""/>
      <w:lvlJc w:val="left"/>
      <w:pPr>
        <w:ind w:left="720" w:hanging="360"/>
      </w:pPr>
      <w:rPr>
        <w:rFonts w:ascii="Symbol" w:hAnsi="Symbol"/>
      </w:rPr>
    </w:lvl>
    <w:lvl w:ilvl="5" w:tplc="2B2A43FA">
      <w:start w:val="1"/>
      <w:numFmt w:val="bullet"/>
      <w:lvlText w:val=""/>
      <w:lvlJc w:val="left"/>
      <w:pPr>
        <w:ind w:left="720" w:hanging="360"/>
      </w:pPr>
      <w:rPr>
        <w:rFonts w:ascii="Symbol" w:hAnsi="Symbol"/>
      </w:rPr>
    </w:lvl>
    <w:lvl w:ilvl="6" w:tplc="628AD81E">
      <w:start w:val="1"/>
      <w:numFmt w:val="bullet"/>
      <w:lvlText w:val=""/>
      <w:lvlJc w:val="left"/>
      <w:pPr>
        <w:ind w:left="720" w:hanging="360"/>
      </w:pPr>
      <w:rPr>
        <w:rFonts w:ascii="Symbol" w:hAnsi="Symbol"/>
      </w:rPr>
    </w:lvl>
    <w:lvl w:ilvl="7" w:tplc="8806E354">
      <w:start w:val="1"/>
      <w:numFmt w:val="bullet"/>
      <w:lvlText w:val=""/>
      <w:lvlJc w:val="left"/>
      <w:pPr>
        <w:ind w:left="720" w:hanging="360"/>
      </w:pPr>
      <w:rPr>
        <w:rFonts w:ascii="Symbol" w:hAnsi="Symbol"/>
      </w:rPr>
    </w:lvl>
    <w:lvl w:ilvl="8" w:tplc="CC08D83E">
      <w:start w:val="1"/>
      <w:numFmt w:val="bullet"/>
      <w:lvlText w:val=""/>
      <w:lvlJc w:val="left"/>
      <w:pPr>
        <w:ind w:left="720" w:hanging="360"/>
      </w:pPr>
      <w:rPr>
        <w:rFonts w:ascii="Symbol" w:hAnsi="Symbol"/>
      </w:rPr>
    </w:lvl>
  </w:abstractNum>
  <w:abstractNum w:abstractNumId="81" w15:restartNumberingAfterBreak="0">
    <w:nsid w:val="54A2EA6F"/>
    <w:multiLevelType w:val="hybridMultilevel"/>
    <w:tmpl w:val="6170651A"/>
    <w:lvl w:ilvl="0" w:tplc="0384536C">
      <w:start w:val="1"/>
      <w:numFmt w:val="bullet"/>
      <w:lvlText w:val="o"/>
      <w:lvlJc w:val="left"/>
      <w:pPr>
        <w:ind w:left="720" w:hanging="360"/>
      </w:pPr>
      <w:rPr>
        <w:rFonts w:ascii="&quot;Courier New&quot;" w:hAnsi="&quot;Courier New&quot;" w:hint="default"/>
      </w:rPr>
    </w:lvl>
    <w:lvl w:ilvl="1" w:tplc="EAD452C6">
      <w:start w:val="1"/>
      <w:numFmt w:val="bullet"/>
      <w:lvlText w:val="o"/>
      <w:lvlJc w:val="left"/>
      <w:pPr>
        <w:ind w:left="1440" w:hanging="360"/>
      </w:pPr>
      <w:rPr>
        <w:rFonts w:ascii="Courier New" w:hAnsi="Courier New" w:hint="default"/>
      </w:rPr>
    </w:lvl>
    <w:lvl w:ilvl="2" w:tplc="E49A7682">
      <w:start w:val="1"/>
      <w:numFmt w:val="bullet"/>
      <w:lvlText w:val=""/>
      <w:lvlJc w:val="left"/>
      <w:pPr>
        <w:ind w:left="2160" w:hanging="360"/>
      </w:pPr>
      <w:rPr>
        <w:rFonts w:ascii="Wingdings" w:hAnsi="Wingdings" w:hint="default"/>
      </w:rPr>
    </w:lvl>
    <w:lvl w:ilvl="3" w:tplc="EAAC5D9A">
      <w:start w:val="1"/>
      <w:numFmt w:val="bullet"/>
      <w:lvlText w:val=""/>
      <w:lvlJc w:val="left"/>
      <w:pPr>
        <w:ind w:left="2880" w:hanging="360"/>
      </w:pPr>
      <w:rPr>
        <w:rFonts w:ascii="Symbol" w:hAnsi="Symbol" w:hint="default"/>
      </w:rPr>
    </w:lvl>
    <w:lvl w:ilvl="4" w:tplc="6A5CB8B2">
      <w:start w:val="1"/>
      <w:numFmt w:val="bullet"/>
      <w:lvlText w:val="o"/>
      <w:lvlJc w:val="left"/>
      <w:pPr>
        <w:ind w:left="3600" w:hanging="360"/>
      </w:pPr>
      <w:rPr>
        <w:rFonts w:ascii="Courier New" w:hAnsi="Courier New" w:hint="default"/>
      </w:rPr>
    </w:lvl>
    <w:lvl w:ilvl="5" w:tplc="12D60D82">
      <w:start w:val="1"/>
      <w:numFmt w:val="bullet"/>
      <w:lvlText w:val=""/>
      <w:lvlJc w:val="left"/>
      <w:pPr>
        <w:ind w:left="4320" w:hanging="360"/>
      </w:pPr>
      <w:rPr>
        <w:rFonts w:ascii="Wingdings" w:hAnsi="Wingdings" w:hint="default"/>
      </w:rPr>
    </w:lvl>
    <w:lvl w:ilvl="6" w:tplc="8720792E">
      <w:start w:val="1"/>
      <w:numFmt w:val="bullet"/>
      <w:lvlText w:val=""/>
      <w:lvlJc w:val="left"/>
      <w:pPr>
        <w:ind w:left="5040" w:hanging="360"/>
      </w:pPr>
      <w:rPr>
        <w:rFonts w:ascii="Symbol" w:hAnsi="Symbol" w:hint="default"/>
      </w:rPr>
    </w:lvl>
    <w:lvl w:ilvl="7" w:tplc="685E5F56">
      <w:start w:val="1"/>
      <w:numFmt w:val="bullet"/>
      <w:lvlText w:val="o"/>
      <w:lvlJc w:val="left"/>
      <w:pPr>
        <w:ind w:left="5760" w:hanging="360"/>
      </w:pPr>
      <w:rPr>
        <w:rFonts w:ascii="Courier New" w:hAnsi="Courier New" w:hint="default"/>
      </w:rPr>
    </w:lvl>
    <w:lvl w:ilvl="8" w:tplc="C3FC47F2">
      <w:start w:val="1"/>
      <w:numFmt w:val="bullet"/>
      <w:lvlText w:val=""/>
      <w:lvlJc w:val="left"/>
      <w:pPr>
        <w:ind w:left="6480" w:hanging="360"/>
      </w:pPr>
      <w:rPr>
        <w:rFonts w:ascii="Wingdings" w:hAnsi="Wingdings" w:hint="default"/>
      </w:rPr>
    </w:lvl>
  </w:abstractNum>
  <w:abstractNum w:abstractNumId="82" w15:restartNumberingAfterBreak="0">
    <w:nsid w:val="57256AD1"/>
    <w:multiLevelType w:val="hybridMultilevel"/>
    <w:tmpl w:val="D6120F04"/>
    <w:lvl w:ilvl="0" w:tplc="1000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3" w15:restartNumberingAfterBreak="0">
    <w:nsid w:val="5803394F"/>
    <w:multiLevelType w:val="hybridMultilevel"/>
    <w:tmpl w:val="AEB01DE6"/>
    <w:lvl w:ilvl="0" w:tplc="5E22C0D8">
      <w:start w:val="1"/>
      <w:numFmt w:val="bullet"/>
      <w:lvlText w:val=""/>
      <w:lvlJc w:val="left"/>
      <w:pPr>
        <w:ind w:left="720" w:hanging="360"/>
      </w:pPr>
      <w:rPr>
        <w:rFonts w:ascii="Symbol" w:hAnsi="Symbol"/>
      </w:rPr>
    </w:lvl>
    <w:lvl w:ilvl="1" w:tplc="B972F84A">
      <w:start w:val="1"/>
      <w:numFmt w:val="bullet"/>
      <w:lvlText w:val=""/>
      <w:lvlJc w:val="left"/>
      <w:pPr>
        <w:ind w:left="720" w:hanging="360"/>
      </w:pPr>
      <w:rPr>
        <w:rFonts w:ascii="Symbol" w:hAnsi="Symbol"/>
      </w:rPr>
    </w:lvl>
    <w:lvl w:ilvl="2" w:tplc="D76E4448">
      <w:start w:val="1"/>
      <w:numFmt w:val="bullet"/>
      <w:lvlText w:val=""/>
      <w:lvlJc w:val="left"/>
      <w:pPr>
        <w:ind w:left="720" w:hanging="360"/>
      </w:pPr>
      <w:rPr>
        <w:rFonts w:ascii="Symbol" w:hAnsi="Symbol"/>
      </w:rPr>
    </w:lvl>
    <w:lvl w:ilvl="3" w:tplc="105CEA94">
      <w:start w:val="1"/>
      <w:numFmt w:val="bullet"/>
      <w:lvlText w:val=""/>
      <w:lvlJc w:val="left"/>
      <w:pPr>
        <w:ind w:left="720" w:hanging="360"/>
      </w:pPr>
      <w:rPr>
        <w:rFonts w:ascii="Symbol" w:hAnsi="Symbol"/>
      </w:rPr>
    </w:lvl>
    <w:lvl w:ilvl="4" w:tplc="C568A70C">
      <w:start w:val="1"/>
      <w:numFmt w:val="bullet"/>
      <w:lvlText w:val=""/>
      <w:lvlJc w:val="left"/>
      <w:pPr>
        <w:ind w:left="720" w:hanging="360"/>
      </w:pPr>
      <w:rPr>
        <w:rFonts w:ascii="Symbol" w:hAnsi="Symbol"/>
      </w:rPr>
    </w:lvl>
    <w:lvl w:ilvl="5" w:tplc="2062A4B2">
      <w:start w:val="1"/>
      <w:numFmt w:val="bullet"/>
      <w:lvlText w:val=""/>
      <w:lvlJc w:val="left"/>
      <w:pPr>
        <w:ind w:left="720" w:hanging="360"/>
      </w:pPr>
      <w:rPr>
        <w:rFonts w:ascii="Symbol" w:hAnsi="Symbol"/>
      </w:rPr>
    </w:lvl>
    <w:lvl w:ilvl="6" w:tplc="E22075D0">
      <w:start w:val="1"/>
      <w:numFmt w:val="bullet"/>
      <w:lvlText w:val=""/>
      <w:lvlJc w:val="left"/>
      <w:pPr>
        <w:ind w:left="720" w:hanging="360"/>
      </w:pPr>
      <w:rPr>
        <w:rFonts w:ascii="Symbol" w:hAnsi="Symbol"/>
      </w:rPr>
    </w:lvl>
    <w:lvl w:ilvl="7" w:tplc="0F70B720">
      <w:start w:val="1"/>
      <w:numFmt w:val="bullet"/>
      <w:lvlText w:val=""/>
      <w:lvlJc w:val="left"/>
      <w:pPr>
        <w:ind w:left="720" w:hanging="360"/>
      </w:pPr>
      <w:rPr>
        <w:rFonts w:ascii="Symbol" w:hAnsi="Symbol"/>
      </w:rPr>
    </w:lvl>
    <w:lvl w:ilvl="8" w:tplc="F94C8006">
      <w:start w:val="1"/>
      <w:numFmt w:val="bullet"/>
      <w:lvlText w:val=""/>
      <w:lvlJc w:val="left"/>
      <w:pPr>
        <w:ind w:left="720" w:hanging="360"/>
      </w:pPr>
      <w:rPr>
        <w:rFonts w:ascii="Symbol" w:hAnsi="Symbol"/>
      </w:rPr>
    </w:lvl>
  </w:abstractNum>
  <w:abstractNum w:abstractNumId="84" w15:restartNumberingAfterBreak="0">
    <w:nsid w:val="58AE3892"/>
    <w:multiLevelType w:val="hybridMultilevel"/>
    <w:tmpl w:val="FFFFFFFF"/>
    <w:lvl w:ilvl="0" w:tplc="E31E7792">
      <w:start w:val="1"/>
      <w:numFmt w:val="bullet"/>
      <w:lvlText w:val="·"/>
      <w:lvlJc w:val="left"/>
      <w:pPr>
        <w:ind w:left="720" w:hanging="360"/>
      </w:pPr>
      <w:rPr>
        <w:rFonts w:ascii="Symbol" w:hAnsi="Symbol" w:hint="default"/>
      </w:rPr>
    </w:lvl>
    <w:lvl w:ilvl="1" w:tplc="A6385EDE">
      <w:start w:val="1"/>
      <w:numFmt w:val="bullet"/>
      <w:lvlText w:val="o"/>
      <w:lvlJc w:val="left"/>
      <w:pPr>
        <w:ind w:left="1440" w:hanging="360"/>
      </w:pPr>
      <w:rPr>
        <w:rFonts w:ascii="Courier New" w:hAnsi="Courier New" w:hint="default"/>
      </w:rPr>
    </w:lvl>
    <w:lvl w:ilvl="2" w:tplc="0380BF10">
      <w:start w:val="1"/>
      <w:numFmt w:val="bullet"/>
      <w:lvlText w:val=""/>
      <w:lvlJc w:val="left"/>
      <w:pPr>
        <w:ind w:left="2160" w:hanging="360"/>
      </w:pPr>
      <w:rPr>
        <w:rFonts w:ascii="Wingdings" w:hAnsi="Wingdings" w:hint="default"/>
      </w:rPr>
    </w:lvl>
    <w:lvl w:ilvl="3" w:tplc="398E8EAC">
      <w:start w:val="1"/>
      <w:numFmt w:val="bullet"/>
      <w:lvlText w:val=""/>
      <w:lvlJc w:val="left"/>
      <w:pPr>
        <w:ind w:left="2880" w:hanging="360"/>
      </w:pPr>
      <w:rPr>
        <w:rFonts w:ascii="Symbol" w:hAnsi="Symbol" w:hint="default"/>
      </w:rPr>
    </w:lvl>
    <w:lvl w:ilvl="4" w:tplc="F746F328">
      <w:start w:val="1"/>
      <w:numFmt w:val="bullet"/>
      <w:lvlText w:val="o"/>
      <w:lvlJc w:val="left"/>
      <w:pPr>
        <w:ind w:left="3600" w:hanging="360"/>
      </w:pPr>
      <w:rPr>
        <w:rFonts w:ascii="Courier New" w:hAnsi="Courier New" w:hint="default"/>
      </w:rPr>
    </w:lvl>
    <w:lvl w:ilvl="5" w:tplc="0B9A8C66">
      <w:start w:val="1"/>
      <w:numFmt w:val="bullet"/>
      <w:lvlText w:val=""/>
      <w:lvlJc w:val="left"/>
      <w:pPr>
        <w:ind w:left="4320" w:hanging="360"/>
      </w:pPr>
      <w:rPr>
        <w:rFonts w:ascii="Wingdings" w:hAnsi="Wingdings" w:hint="default"/>
      </w:rPr>
    </w:lvl>
    <w:lvl w:ilvl="6" w:tplc="A484EACE">
      <w:start w:val="1"/>
      <w:numFmt w:val="bullet"/>
      <w:lvlText w:val=""/>
      <w:lvlJc w:val="left"/>
      <w:pPr>
        <w:ind w:left="5040" w:hanging="360"/>
      </w:pPr>
      <w:rPr>
        <w:rFonts w:ascii="Symbol" w:hAnsi="Symbol" w:hint="default"/>
      </w:rPr>
    </w:lvl>
    <w:lvl w:ilvl="7" w:tplc="6ECC1108">
      <w:start w:val="1"/>
      <w:numFmt w:val="bullet"/>
      <w:lvlText w:val="o"/>
      <w:lvlJc w:val="left"/>
      <w:pPr>
        <w:ind w:left="5760" w:hanging="360"/>
      </w:pPr>
      <w:rPr>
        <w:rFonts w:ascii="Courier New" w:hAnsi="Courier New" w:hint="default"/>
      </w:rPr>
    </w:lvl>
    <w:lvl w:ilvl="8" w:tplc="C29C50B0">
      <w:start w:val="1"/>
      <w:numFmt w:val="bullet"/>
      <w:lvlText w:val=""/>
      <w:lvlJc w:val="left"/>
      <w:pPr>
        <w:ind w:left="6480" w:hanging="360"/>
      </w:pPr>
      <w:rPr>
        <w:rFonts w:ascii="Wingdings" w:hAnsi="Wingdings" w:hint="default"/>
      </w:rPr>
    </w:lvl>
  </w:abstractNum>
  <w:abstractNum w:abstractNumId="85" w15:restartNumberingAfterBreak="0">
    <w:nsid w:val="59965671"/>
    <w:multiLevelType w:val="hybridMultilevel"/>
    <w:tmpl w:val="FFFFFFFF"/>
    <w:lvl w:ilvl="0" w:tplc="FB36EBB6">
      <w:start w:val="1"/>
      <w:numFmt w:val="bullet"/>
      <w:lvlText w:val="·"/>
      <w:lvlJc w:val="left"/>
      <w:pPr>
        <w:ind w:left="720" w:hanging="360"/>
      </w:pPr>
      <w:rPr>
        <w:rFonts w:ascii="Symbol" w:hAnsi="Symbol" w:hint="default"/>
      </w:rPr>
    </w:lvl>
    <w:lvl w:ilvl="1" w:tplc="3DCAD8AA">
      <w:start w:val="1"/>
      <w:numFmt w:val="bullet"/>
      <w:lvlText w:val="o"/>
      <w:lvlJc w:val="left"/>
      <w:pPr>
        <w:ind w:left="1440" w:hanging="360"/>
      </w:pPr>
      <w:rPr>
        <w:rFonts w:ascii="Courier New" w:hAnsi="Courier New" w:hint="default"/>
      </w:rPr>
    </w:lvl>
    <w:lvl w:ilvl="2" w:tplc="9F4003C2">
      <w:start w:val="1"/>
      <w:numFmt w:val="bullet"/>
      <w:lvlText w:val=""/>
      <w:lvlJc w:val="left"/>
      <w:pPr>
        <w:ind w:left="2160" w:hanging="360"/>
      </w:pPr>
      <w:rPr>
        <w:rFonts w:ascii="Wingdings" w:hAnsi="Wingdings" w:hint="default"/>
      </w:rPr>
    </w:lvl>
    <w:lvl w:ilvl="3" w:tplc="848A41FC">
      <w:start w:val="1"/>
      <w:numFmt w:val="bullet"/>
      <w:lvlText w:val=""/>
      <w:lvlJc w:val="left"/>
      <w:pPr>
        <w:ind w:left="2880" w:hanging="360"/>
      </w:pPr>
      <w:rPr>
        <w:rFonts w:ascii="Symbol" w:hAnsi="Symbol" w:hint="default"/>
      </w:rPr>
    </w:lvl>
    <w:lvl w:ilvl="4" w:tplc="F0CA133A">
      <w:start w:val="1"/>
      <w:numFmt w:val="bullet"/>
      <w:lvlText w:val="o"/>
      <w:lvlJc w:val="left"/>
      <w:pPr>
        <w:ind w:left="3600" w:hanging="360"/>
      </w:pPr>
      <w:rPr>
        <w:rFonts w:ascii="Courier New" w:hAnsi="Courier New" w:hint="default"/>
      </w:rPr>
    </w:lvl>
    <w:lvl w:ilvl="5" w:tplc="0756C7AE">
      <w:start w:val="1"/>
      <w:numFmt w:val="bullet"/>
      <w:lvlText w:val=""/>
      <w:lvlJc w:val="left"/>
      <w:pPr>
        <w:ind w:left="4320" w:hanging="360"/>
      </w:pPr>
      <w:rPr>
        <w:rFonts w:ascii="Wingdings" w:hAnsi="Wingdings" w:hint="default"/>
      </w:rPr>
    </w:lvl>
    <w:lvl w:ilvl="6" w:tplc="F126BF84">
      <w:start w:val="1"/>
      <w:numFmt w:val="bullet"/>
      <w:lvlText w:val=""/>
      <w:lvlJc w:val="left"/>
      <w:pPr>
        <w:ind w:left="5040" w:hanging="360"/>
      </w:pPr>
      <w:rPr>
        <w:rFonts w:ascii="Symbol" w:hAnsi="Symbol" w:hint="default"/>
      </w:rPr>
    </w:lvl>
    <w:lvl w:ilvl="7" w:tplc="BBBCACE4">
      <w:start w:val="1"/>
      <w:numFmt w:val="bullet"/>
      <w:lvlText w:val="o"/>
      <w:lvlJc w:val="left"/>
      <w:pPr>
        <w:ind w:left="5760" w:hanging="360"/>
      </w:pPr>
      <w:rPr>
        <w:rFonts w:ascii="Courier New" w:hAnsi="Courier New" w:hint="default"/>
      </w:rPr>
    </w:lvl>
    <w:lvl w:ilvl="8" w:tplc="240C3D58">
      <w:start w:val="1"/>
      <w:numFmt w:val="bullet"/>
      <w:lvlText w:val=""/>
      <w:lvlJc w:val="left"/>
      <w:pPr>
        <w:ind w:left="6480" w:hanging="360"/>
      </w:pPr>
      <w:rPr>
        <w:rFonts w:ascii="Wingdings" w:hAnsi="Wingdings" w:hint="default"/>
      </w:rPr>
    </w:lvl>
  </w:abstractNum>
  <w:abstractNum w:abstractNumId="86" w15:restartNumberingAfterBreak="0">
    <w:nsid w:val="5B792B8F"/>
    <w:multiLevelType w:val="hybridMultilevel"/>
    <w:tmpl w:val="B21C7CEE"/>
    <w:lvl w:ilvl="0" w:tplc="4FC47F64">
      <w:start w:val="1"/>
      <w:numFmt w:val="bullet"/>
      <w:lvlText w:val="o"/>
      <w:lvlJc w:val="left"/>
      <w:pPr>
        <w:ind w:left="720" w:hanging="360"/>
      </w:pPr>
      <w:rPr>
        <w:rFonts w:ascii="&quot;Courier New&quot;" w:hAnsi="&quot;Courier New&quot;" w:hint="default"/>
      </w:rPr>
    </w:lvl>
    <w:lvl w:ilvl="1" w:tplc="C384498A">
      <w:start w:val="1"/>
      <w:numFmt w:val="bullet"/>
      <w:lvlText w:val="o"/>
      <w:lvlJc w:val="left"/>
      <w:pPr>
        <w:ind w:left="1440" w:hanging="360"/>
      </w:pPr>
      <w:rPr>
        <w:rFonts w:ascii="Courier New" w:hAnsi="Courier New" w:hint="default"/>
      </w:rPr>
    </w:lvl>
    <w:lvl w:ilvl="2" w:tplc="8F02D964">
      <w:start w:val="1"/>
      <w:numFmt w:val="bullet"/>
      <w:lvlText w:val=""/>
      <w:lvlJc w:val="left"/>
      <w:pPr>
        <w:ind w:left="2160" w:hanging="360"/>
      </w:pPr>
      <w:rPr>
        <w:rFonts w:ascii="Wingdings" w:hAnsi="Wingdings" w:hint="default"/>
      </w:rPr>
    </w:lvl>
    <w:lvl w:ilvl="3" w:tplc="7592DF2A">
      <w:start w:val="1"/>
      <w:numFmt w:val="bullet"/>
      <w:lvlText w:val=""/>
      <w:lvlJc w:val="left"/>
      <w:pPr>
        <w:ind w:left="2880" w:hanging="360"/>
      </w:pPr>
      <w:rPr>
        <w:rFonts w:ascii="Symbol" w:hAnsi="Symbol" w:hint="default"/>
      </w:rPr>
    </w:lvl>
    <w:lvl w:ilvl="4" w:tplc="CBF643E8">
      <w:start w:val="1"/>
      <w:numFmt w:val="bullet"/>
      <w:lvlText w:val="o"/>
      <w:lvlJc w:val="left"/>
      <w:pPr>
        <w:ind w:left="3600" w:hanging="360"/>
      </w:pPr>
      <w:rPr>
        <w:rFonts w:ascii="Courier New" w:hAnsi="Courier New" w:hint="default"/>
      </w:rPr>
    </w:lvl>
    <w:lvl w:ilvl="5" w:tplc="7318016A">
      <w:start w:val="1"/>
      <w:numFmt w:val="bullet"/>
      <w:lvlText w:val=""/>
      <w:lvlJc w:val="left"/>
      <w:pPr>
        <w:ind w:left="4320" w:hanging="360"/>
      </w:pPr>
      <w:rPr>
        <w:rFonts w:ascii="Wingdings" w:hAnsi="Wingdings" w:hint="default"/>
      </w:rPr>
    </w:lvl>
    <w:lvl w:ilvl="6" w:tplc="80F0E306">
      <w:start w:val="1"/>
      <w:numFmt w:val="bullet"/>
      <w:lvlText w:val=""/>
      <w:lvlJc w:val="left"/>
      <w:pPr>
        <w:ind w:left="5040" w:hanging="360"/>
      </w:pPr>
      <w:rPr>
        <w:rFonts w:ascii="Symbol" w:hAnsi="Symbol" w:hint="default"/>
      </w:rPr>
    </w:lvl>
    <w:lvl w:ilvl="7" w:tplc="E69235FE">
      <w:start w:val="1"/>
      <w:numFmt w:val="bullet"/>
      <w:lvlText w:val="o"/>
      <w:lvlJc w:val="left"/>
      <w:pPr>
        <w:ind w:left="5760" w:hanging="360"/>
      </w:pPr>
      <w:rPr>
        <w:rFonts w:ascii="Courier New" w:hAnsi="Courier New" w:hint="default"/>
      </w:rPr>
    </w:lvl>
    <w:lvl w:ilvl="8" w:tplc="AF26F0FA">
      <w:start w:val="1"/>
      <w:numFmt w:val="bullet"/>
      <w:lvlText w:val=""/>
      <w:lvlJc w:val="left"/>
      <w:pPr>
        <w:ind w:left="6480" w:hanging="360"/>
      </w:pPr>
      <w:rPr>
        <w:rFonts w:ascii="Wingdings" w:hAnsi="Wingdings" w:hint="default"/>
      </w:rPr>
    </w:lvl>
  </w:abstractNum>
  <w:abstractNum w:abstractNumId="87" w15:restartNumberingAfterBreak="0">
    <w:nsid w:val="5C4D3CA2"/>
    <w:multiLevelType w:val="hybridMultilevel"/>
    <w:tmpl w:val="C05C3A16"/>
    <w:lvl w:ilvl="0" w:tplc="1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8" w15:restartNumberingAfterBreak="0">
    <w:nsid w:val="5DB65BA1"/>
    <w:multiLevelType w:val="hybridMultilevel"/>
    <w:tmpl w:val="FD16E7D0"/>
    <w:lvl w:ilvl="0" w:tplc="AF6A09CC">
      <w:start w:val="1"/>
      <w:numFmt w:val="bullet"/>
      <w:lvlText w:val="·"/>
      <w:lvlJc w:val="left"/>
      <w:pPr>
        <w:ind w:left="720" w:hanging="360"/>
      </w:pPr>
      <w:rPr>
        <w:rFonts w:ascii="Symbol" w:hAnsi="Symbol" w:hint="default"/>
      </w:rPr>
    </w:lvl>
    <w:lvl w:ilvl="1" w:tplc="2CF04046">
      <w:start w:val="1"/>
      <w:numFmt w:val="bullet"/>
      <w:lvlText w:val="o"/>
      <w:lvlJc w:val="left"/>
      <w:pPr>
        <w:ind w:left="1440" w:hanging="360"/>
      </w:pPr>
      <w:rPr>
        <w:rFonts w:ascii="Courier New" w:hAnsi="Courier New" w:hint="default"/>
      </w:rPr>
    </w:lvl>
    <w:lvl w:ilvl="2" w:tplc="165899E2">
      <w:start w:val="1"/>
      <w:numFmt w:val="bullet"/>
      <w:lvlText w:val=""/>
      <w:lvlJc w:val="left"/>
      <w:pPr>
        <w:ind w:left="2160" w:hanging="360"/>
      </w:pPr>
      <w:rPr>
        <w:rFonts w:ascii="Wingdings" w:hAnsi="Wingdings" w:hint="default"/>
      </w:rPr>
    </w:lvl>
    <w:lvl w:ilvl="3" w:tplc="E222C2B2">
      <w:start w:val="1"/>
      <w:numFmt w:val="bullet"/>
      <w:lvlText w:val=""/>
      <w:lvlJc w:val="left"/>
      <w:pPr>
        <w:ind w:left="2880" w:hanging="360"/>
      </w:pPr>
      <w:rPr>
        <w:rFonts w:ascii="Symbol" w:hAnsi="Symbol" w:hint="default"/>
      </w:rPr>
    </w:lvl>
    <w:lvl w:ilvl="4" w:tplc="C69E4556">
      <w:start w:val="1"/>
      <w:numFmt w:val="bullet"/>
      <w:lvlText w:val="o"/>
      <w:lvlJc w:val="left"/>
      <w:pPr>
        <w:ind w:left="3600" w:hanging="360"/>
      </w:pPr>
      <w:rPr>
        <w:rFonts w:ascii="Courier New" w:hAnsi="Courier New" w:hint="default"/>
      </w:rPr>
    </w:lvl>
    <w:lvl w:ilvl="5" w:tplc="89F64BDE">
      <w:start w:val="1"/>
      <w:numFmt w:val="bullet"/>
      <w:lvlText w:val=""/>
      <w:lvlJc w:val="left"/>
      <w:pPr>
        <w:ind w:left="4320" w:hanging="360"/>
      </w:pPr>
      <w:rPr>
        <w:rFonts w:ascii="Wingdings" w:hAnsi="Wingdings" w:hint="default"/>
      </w:rPr>
    </w:lvl>
    <w:lvl w:ilvl="6" w:tplc="0B1692D6">
      <w:start w:val="1"/>
      <w:numFmt w:val="bullet"/>
      <w:lvlText w:val=""/>
      <w:lvlJc w:val="left"/>
      <w:pPr>
        <w:ind w:left="5040" w:hanging="360"/>
      </w:pPr>
      <w:rPr>
        <w:rFonts w:ascii="Symbol" w:hAnsi="Symbol" w:hint="default"/>
      </w:rPr>
    </w:lvl>
    <w:lvl w:ilvl="7" w:tplc="A842601A">
      <w:start w:val="1"/>
      <w:numFmt w:val="bullet"/>
      <w:lvlText w:val="o"/>
      <w:lvlJc w:val="left"/>
      <w:pPr>
        <w:ind w:left="5760" w:hanging="360"/>
      </w:pPr>
      <w:rPr>
        <w:rFonts w:ascii="Courier New" w:hAnsi="Courier New" w:hint="default"/>
      </w:rPr>
    </w:lvl>
    <w:lvl w:ilvl="8" w:tplc="46FCA9EC">
      <w:start w:val="1"/>
      <w:numFmt w:val="bullet"/>
      <w:lvlText w:val=""/>
      <w:lvlJc w:val="left"/>
      <w:pPr>
        <w:ind w:left="6480" w:hanging="360"/>
      </w:pPr>
      <w:rPr>
        <w:rFonts w:ascii="Wingdings" w:hAnsi="Wingdings" w:hint="default"/>
      </w:rPr>
    </w:lvl>
  </w:abstractNum>
  <w:abstractNum w:abstractNumId="89" w15:restartNumberingAfterBreak="0">
    <w:nsid w:val="5E2A2087"/>
    <w:multiLevelType w:val="hybridMultilevel"/>
    <w:tmpl w:val="FFFFFFFF"/>
    <w:lvl w:ilvl="0" w:tplc="E4540632">
      <w:start w:val="1"/>
      <w:numFmt w:val="bullet"/>
      <w:lvlText w:val="·"/>
      <w:lvlJc w:val="left"/>
      <w:pPr>
        <w:ind w:left="720" w:hanging="360"/>
      </w:pPr>
      <w:rPr>
        <w:rFonts w:ascii="Symbol" w:hAnsi="Symbol" w:hint="default"/>
      </w:rPr>
    </w:lvl>
    <w:lvl w:ilvl="1" w:tplc="07127EB0">
      <w:start w:val="1"/>
      <w:numFmt w:val="bullet"/>
      <w:lvlText w:val="o"/>
      <w:lvlJc w:val="left"/>
      <w:pPr>
        <w:ind w:left="1440" w:hanging="360"/>
      </w:pPr>
      <w:rPr>
        <w:rFonts w:ascii="Courier New" w:hAnsi="Courier New" w:hint="default"/>
      </w:rPr>
    </w:lvl>
    <w:lvl w:ilvl="2" w:tplc="CB4CCD1E">
      <w:start w:val="1"/>
      <w:numFmt w:val="bullet"/>
      <w:lvlText w:val=""/>
      <w:lvlJc w:val="left"/>
      <w:pPr>
        <w:ind w:left="2160" w:hanging="360"/>
      </w:pPr>
      <w:rPr>
        <w:rFonts w:ascii="Wingdings" w:hAnsi="Wingdings" w:hint="default"/>
      </w:rPr>
    </w:lvl>
    <w:lvl w:ilvl="3" w:tplc="965CD86C">
      <w:start w:val="1"/>
      <w:numFmt w:val="bullet"/>
      <w:lvlText w:val=""/>
      <w:lvlJc w:val="left"/>
      <w:pPr>
        <w:ind w:left="2880" w:hanging="360"/>
      </w:pPr>
      <w:rPr>
        <w:rFonts w:ascii="Symbol" w:hAnsi="Symbol" w:hint="default"/>
      </w:rPr>
    </w:lvl>
    <w:lvl w:ilvl="4" w:tplc="57E44100">
      <w:start w:val="1"/>
      <w:numFmt w:val="bullet"/>
      <w:lvlText w:val="o"/>
      <w:lvlJc w:val="left"/>
      <w:pPr>
        <w:ind w:left="3600" w:hanging="360"/>
      </w:pPr>
      <w:rPr>
        <w:rFonts w:ascii="Courier New" w:hAnsi="Courier New" w:hint="default"/>
      </w:rPr>
    </w:lvl>
    <w:lvl w:ilvl="5" w:tplc="1F8483BC">
      <w:start w:val="1"/>
      <w:numFmt w:val="bullet"/>
      <w:lvlText w:val=""/>
      <w:lvlJc w:val="left"/>
      <w:pPr>
        <w:ind w:left="4320" w:hanging="360"/>
      </w:pPr>
      <w:rPr>
        <w:rFonts w:ascii="Wingdings" w:hAnsi="Wingdings" w:hint="default"/>
      </w:rPr>
    </w:lvl>
    <w:lvl w:ilvl="6" w:tplc="5B683DB2">
      <w:start w:val="1"/>
      <w:numFmt w:val="bullet"/>
      <w:lvlText w:val=""/>
      <w:lvlJc w:val="left"/>
      <w:pPr>
        <w:ind w:left="5040" w:hanging="360"/>
      </w:pPr>
      <w:rPr>
        <w:rFonts w:ascii="Symbol" w:hAnsi="Symbol" w:hint="default"/>
      </w:rPr>
    </w:lvl>
    <w:lvl w:ilvl="7" w:tplc="3DEAC42E">
      <w:start w:val="1"/>
      <w:numFmt w:val="bullet"/>
      <w:lvlText w:val="o"/>
      <w:lvlJc w:val="left"/>
      <w:pPr>
        <w:ind w:left="5760" w:hanging="360"/>
      </w:pPr>
      <w:rPr>
        <w:rFonts w:ascii="Courier New" w:hAnsi="Courier New" w:hint="default"/>
      </w:rPr>
    </w:lvl>
    <w:lvl w:ilvl="8" w:tplc="A98A8D38">
      <w:start w:val="1"/>
      <w:numFmt w:val="bullet"/>
      <w:lvlText w:val=""/>
      <w:lvlJc w:val="left"/>
      <w:pPr>
        <w:ind w:left="6480" w:hanging="360"/>
      </w:pPr>
      <w:rPr>
        <w:rFonts w:ascii="Wingdings" w:hAnsi="Wingdings" w:hint="default"/>
      </w:rPr>
    </w:lvl>
  </w:abstractNum>
  <w:abstractNum w:abstractNumId="90" w15:restartNumberingAfterBreak="0">
    <w:nsid w:val="5F046658"/>
    <w:multiLevelType w:val="hybridMultilevel"/>
    <w:tmpl w:val="C6740A3E"/>
    <w:lvl w:ilvl="0" w:tplc="1000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60C0669F"/>
    <w:multiLevelType w:val="hybridMultilevel"/>
    <w:tmpl w:val="8CD441D0"/>
    <w:lvl w:ilvl="0" w:tplc="FFFFFFFF">
      <w:start w:val="1"/>
      <w:numFmt w:val="upp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620F14CC"/>
    <w:multiLevelType w:val="hybridMultilevel"/>
    <w:tmpl w:val="17068F78"/>
    <w:lvl w:ilvl="0" w:tplc="1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3" w15:restartNumberingAfterBreak="0">
    <w:nsid w:val="65F70115"/>
    <w:multiLevelType w:val="hybridMultilevel"/>
    <w:tmpl w:val="80E44B50"/>
    <w:lvl w:ilvl="0" w:tplc="C76AE8D4">
      <w:start w:val="1"/>
      <w:numFmt w:val="bullet"/>
      <w:lvlText w:val=""/>
      <w:lvlJc w:val="left"/>
      <w:pPr>
        <w:ind w:left="720" w:hanging="360"/>
      </w:pPr>
      <w:rPr>
        <w:rFonts w:ascii="Symbol" w:hAnsi="Symbol"/>
      </w:rPr>
    </w:lvl>
    <w:lvl w:ilvl="1" w:tplc="B0D20F62">
      <w:start w:val="1"/>
      <w:numFmt w:val="bullet"/>
      <w:lvlText w:val=""/>
      <w:lvlJc w:val="left"/>
      <w:pPr>
        <w:ind w:left="720" w:hanging="360"/>
      </w:pPr>
      <w:rPr>
        <w:rFonts w:ascii="Symbol" w:hAnsi="Symbol"/>
      </w:rPr>
    </w:lvl>
    <w:lvl w:ilvl="2" w:tplc="6D7210B4">
      <w:start w:val="1"/>
      <w:numFmt w:val="bullet"/>
      <w:lvlText w:val=""/>
      <w:lvlJc w:val="left"/>
      <w:pPr>
        <w:ind w:left="720" w:hanging="360"/>
      </w:pPr>
      <w:rPr>
        <w:rFonts w:ascii="Symbol" w:hAnsi="Symbol"/>
      </w:rPr>
    </w:lvl>
    <w:lvl w:ilvl="3" w:tplc="10DAC3EC">
      <w:start w:val="1"/>
      <w:numFmt w:val="bullet"/>
      <w:lvlText w:val=""/>
      <w:lvlJc w:val="left"/>
      <w:pPr>
        <w:ind w:left="720" w:hanging="360"/>
      </w:pPr>
      <w:rPr>
        <w:rFonts w:ascii="Symbol" w:hAnsi="Symbol"/>
      </w:rPr>
    </w:lvl>
    <w:lvl w:ilvl="4" w:tplc="B06E03D4">
      <w:start w:val="1"/>
      <w:numFmt w:val="bullet"/>
      <w:lvlText w:val=""/>
      <w:lvlJc w:val="left"/>
      <w:pPr>
        <w:ind w:left="720" w:hanging="360"/>
      </w:pPr>
      <w:rPr>
        <w:rFonts w:ascii="Symbol" w:hAnsi="Symbol"/>
      </w:rPr>
    </w:lvl>
    <w:lvl w:ilvl="5" w:tplc="550883B6">
      <w:start w:val="1"/>
      <w:numFmt w:val="bullet"/>
      <w:lvlText w:val=""/>
      <w:lvlJc w:val="left"/>
      <w:pPr>
        <w:ind w:left="720" w:hanging="360"/>
      </w:pPr>
      <w:rPr>
        <w:rFonts w:ascii="Symbol" w:hAnsi="Symbol"/>
      </w:rPr>
    </w:lvl>
    <w:lvl w:ilvl="6" w:tplc="3CA29B02">
      <w:start w:val="1"/>
      <w:numFmt w:val="bullet"/>
      <w:lvlText w:val=""/>
      <w:lvlJc w:val="left"/>
      <w:pPr>
        <w:ind w:left="720" w:hanging="360"/>
      </w:pPr>
      <w:rPr>
        <w:rFonts w:ascii="Symbol" w:hAnsi="Symbol"/>
      </w:rPr>
    </w:lvl>
    <w:lvl w:ilvl="7" w:tplc="1FC093B4">
      <w:start w:val="1"/>
      <w:numFmt w:val="bullet"/>
      <w:lvlText w:val=""/>
      <w:lvlJc w:val="left"/>
      <w:pPr>
        <w:ind w:left="720" w:hanging="360"/>
      </w:pPr>
      <w:rPr>
        <w:rFonts w:ascii="Symbol" w:hAnsi="Symbol"/>
      </w:rPr>
    </w:lvl>
    <w:lvl w:ilvl="8" w:tplc="ECECD6BA">
      <w:start w:val="1"/>
      <w:numFmt w:val="bullet"/>
      <w:lvlText w:val=""/>
      <w:lvlJc w:val="left"/>
      <w:pPr>
        <w:ind w:left="720" w:hanging="360"/>
      </w:pPr>
      <w:rPr>
        <w:rFonts w:ascii="Symbol" w:hAnsi="Symbol"/>
      </w:rPr>
    </w:lvl>
  </w:abstractNum>
  <w:abstractNum w:abstractNumId="94" w15:restartNumberingAfterBreak="0">
    <w:nsid w:val="67AC0721"/>
    <w:multiLevelType w:val="hybridMultilevel"/>
    <w:tmpl w:val="5162AD8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95" w15:restartNumberingAfterBreak="0">
    <w:nsid w:val="6870605A"/>
    <w:multiLevelType w:val="hybridMultilevel"/>
    <w:tmpl w:val="EF96EE32"/>
    <w:lvl w:ilvl="0" w:tplc="1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6" w15:restartNumberingAfterBreak="0">
    <w:nsid w:val="6977472E"/>
    <w:multiLevelType w:val="multilevel"/>
    <w:tmpl w:val="C4F463E6"/>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7" w15:restartNumberingAfterBreak="0">
    <w:nsid w:val="6A396935"/>
    <w:multiLevelType w:val="hybridMultilevel"/>
    <w:tmpl w:val="AD2274EC"/>
    <w:lvl w:ilvl="0" w:tplc="F91AE118">
      <w:start w:val="1"/>
      <w:numFmt w:val="bullet"/>
      <w:lvlText w:val=""/>
      <w:lvlJc w:val="left"/>
      <w:pPr>
        <w:ind w:left="720" w:hanging="360"/>
      </w:pPr>
      <w:rPr>
        <w:rFonts w:ascii="Symbol" w:hAnsi="Symbol"/>
      </w:rPr>
    </w:lvl>
    <w:lvl w:ilvl="1" w:tplc="18AAB90C">
      <w:start w:val="1"/>
      <w:numFmt w:val="bullet"/>
      <w:lvlText w:val=""/>
      <w:lvlJc w:val="left"/>
      <w:pPr>
        <w:ind w:left="720" w:hanging="360"/>
      </w:pPr>
      <w:rPr>
        <w:rFonts w:ascii="Symbol" w:hAnsi="Symbol"/>
      </w:rPr>
    </w:lvl>
    <w:lvl w:ilvl="2" w:tplc="877C3786">
      <w:start w:val="1"/>
      <w:numFmt w:val="bullet"/>
      <w:lvlText w:val=""/>
      <w:lvlJc w:val="left"/>
      <w:pPr>
        <w:ind w:left="720" w:hanging="360"/>
      </w:pPr>
      <w:rPr>
        <w:rFonts w:ascii="Symbol" w:hAnsi="Symbol"/>
      </w:rPr>
    </w:lvl>
    <w:lvl w:ilvl="3" w:tplc="79BCC1E8">
      <w:start w:val="1"/>
      <w:numFmt w:val="bullet"/>
      <w:lvlText w:val=""/>
      <w:lvlJc w:val="left"/>
      <w:pPr>
        <w:ind w:left="720" w:hanging="360"/>
      </w:pPr>
      <w:rPr>
        <w:rFonts w:ascii="Symbol" w:hAnsi="Symbol"/>
      </w:rPr>
    </w:lvl>
    <w:lvl w:ilvl="4" w:tplc="9B904AEA">
      <w:start w:val="1"/>
      <w:numFmt w:val="bullet"/>
      <w:lvlText w:val=""/>
      <w:lvlJc w:val="left"/>
      <w:pPr>
        <w:ind w:left="720" w:hanging="360"/>
      </w:pPr>
      <w:rPr>
        <w:rFonts w:ascii="Symbol" w:hAnsi="Symbol"/>
      </w:rPr>
    </w:lvl>
    <w:lvl w:ilvl="5" w:tplc="503216E8">
      <w:start w:val="1"/>
      <w:numFmt w:val="bullet"/>
      <w:lvlText w:val=""/>
      <w:lvlJc w:val="left"/>
      <w:pPr>
        <w:ind w:left="720" w:hanging="360"/>
      </w:pPr>
      <w:rPr>
        <w:rFonts w:ascii="Symbol" w:hAnsi="Symbol"/>
      </w:rPr>
    </w:lvl>
    <w:lvl w:ilvl="6" w:tplc="1CC4D1DE">
      <w:start w:val="1"/>
      <w:numFmt w:val="bullet"/>
      <w:lvlText w:val=""/>
      <w:lvlJc w:val="left"/>
      <w:pPr>
        <w:ind w:left="720" w:hanging="360"/>
      </w:pPr>
      <w:rPr>
        <w:rFonts w:ascii="Symbol" w:hAnsi="Symbol"/>
      </w:rPr>
    </w:lvl>
    <w:lvl w:ilvl="7" w:tplc="AD2E28D0">
      <w:start w:val="1"/>
      <w:numFmt w:val="bullet"/>
      <w:lvlText w:val=""/>
      <w:lvlJc w:val="left"/>
      <w:pPr>
        <w:ind w:left="720" w:hanging="360"/>
      </w:pPr>
      <w:rPr>
        <w:rFonts w:ascii="Symbol" w:hAnsi="Symbol"/>
      </w:rPr>
    </w:lvl>
    <w:lvl w:ilvl="8" w:tplc="2CCE337A">
      <w:start w:val="1"/>
      <w:numFmt w:val="bullet"/>
      <w:lvlText w:val=""/>
      <w:lvlJc w:val="left"/>
      <w:pPr>
        <w:ind w:left="720" w:hanging="360"/>
      </w:pPr>
      <w:rPr>
        <w:rFonts w:ascii="Symbol" w:hAnsi="Symbol"/>
      </w:rPr>
    </w:lvl>
  </w:abstractNum>
  <w:abstractNum w:abstractNumId="98" w15:restartNumberingAfterBreak="0">
    <w:nsid w:val="6C6A6875"/>
    <w:multiLevelType w:val="hybridMultilevel"/>
    <w:tmpl w:val="1FC072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9" w15:restartNumberingAfterBreak="0">
    <w:nsid w:val="6F1C43C6"/>
    <w:multiLevelType w:val="hybridMultilevel"/>
    <w:tmpl w:val="AC58591A"/>
    <w:lvl w:ilvl="0" w:tplc="18090001">
      <w:start w:val="1"/>
      <w:numFmt w:val="bullet"/>
      <w:lvlText w:val=""/>
      <w:lvlJc w:val="left"/>
      <w:pPr>
        <w:ind w:left="770" w:hanging="360"/>
      </w:pPr>
      <w:rPr>
        <w:rFonts w:ascii="Symbol" w:hAnsi="Symbol" w:hint="default"/>
      </w:rPr>
    </w:lvl>
    <w:lvl w:ilvl="1" w:tplc="18090003">
      <w:start w:val="1"/>
      <w:numFmt w:val="bullet"/>
      <w:lvlText w:val="o"/>
      <w:lvlJc w:val="left"/>
      <w:pPr>
        <w:ind w:left="1490" w:hanging="360"/>
      </w:pPr>
      <w:rPr>
        <w:rFonts w:ascii="Courier New" w:hAnsi="Courier New" w:cs="Courier New" w:hint="default"/>
      </w:rPr>
    </w:lvl>
    <w:lvl w:ilvl="2" w:tplc="18090005">
      <w:start w:val="1"/>
      <w:numFmt w:val="bullet"/>
      <w:lvlText w:val=""/>
      <w:lvlJc w:val="left"/>
      <w:pPr>
        <w:ind w:left="2210" w:hanging="360"/>
      </w:pPr>
      <w:rPr>
        <w:rFonts w:ascii="Wingdings" w:hAnsi="Wingdings" w:hint="default"/>
      </w:rPr>
    </w:lvl>
    <w:lvl w:ilvl="3" w:tplc="18090001">
      <w:start w:val="1"/>
      <w:numFmt w:val="bullet"/>
      <w:lvlText w:val=""/>
      <w:lvlJc w:val="left"/>
      <w:pPr>
        <w:ind w:left="2930" w:hanging="360"/>
      </w:pPr>
      <w:rPr>
        <w:rFonts w:ascii="Symbol" w:hAnsi="Symbol" w:hint="default"/>
      </w:rPr>
    </w:lvl>
    <w:lvl w:ilvl="4" w:tplc="18090003">
      <w:start w:val="1"/>
      <w:numFmt w:val="bullet"/>
      <w:lvlText w:val="o"/>
      <w:lvlJc w:val="left"/>
      <w:pPr>
        <w:ind w:left="3650" w:hanging="360"/>
      </w:pPr>
      <w:rPr>
        <w:rFonts w:ascii="Courier New" w:hAnsi="Courier New" w:cs="Courier New" w:hint="default"/>
      </w:rPr>
    </w:lvl>
    <w:lvl w:ilvl="5" w:tplc="18090005">
      <w:start w:val="1"/>
      <w:numFmt w:val="bullet"/>
      <w:lvlText w:val=""/>
      <w:lvlJc w:val="left"/>
      <w:pPr>
        <w:ind w:left="4370" w:hanging="360"/>
      </w:pPr>
      <w:rPr>
        <w:rFonts w:ascii="Wingdings" w:hAnsi="Wingdings" w:hint="default"/>
      </w:rPr>
    </w:lvl>
    <w:lvl w:ilvl="6" w:tplc="18090001">
      <w:start w:val="1"/>
      <w:numFmt w:val="bullet"/>
      <w:lvlText w:val=""/>
      <w:lvlJc w:val="left"/>
      <w:pPr>
        <w:ind w:left="5090" w:hanging="360"/>
      </w:pPr>
      <w:rPr>
        <w:rFonts w:ascii="Symbol" w:hAnsi="Symbol" w:hint="default"/>
      </w:rPr>
    </w:lvl>
    <w:lvl w:ilvl="7" w:tplc="18090003">
      <w:start w:val="1"/>
      <w:numFmt w:val="bullet"/>
      <w:lvlText w:val="o"/>
      <w:lvlJc w:val="left"/>
      <w:pPr>
        <w:ind w:left="5810" w:hanging="360"/>
      </w:pPr>
      <w:rPr>
        <w:rFonts w:ascii="Courier New" w:hAnsi="Courier New" w:cs="Courier New" w:hint="default"/>
      </w:rPr>
    </w:lvl>
    <w:lvl w:ilvl="8" w:tplc="18090005">
      <w:start w:val="1"/>
      <w:numFmt w:val="bullet"/>
      <w:lvlText w:val=""/>
      <w:lvlJc w:val="left"/>
      <w:pPr>
        <w:ind w:left="6530" w:hanging="360"/>
      </w:pPr>
      <w:rPr>
        <w:rFonts w:ascii="Wingdings" w:hAnsi="Wingdings" w:hint="default"/>
      </w:rPr>
    </w:lvl>
  </w:abstractNum>
  <w:abstractNum w:abstractNumId="100" w15:restartNumberingAfterBreak="0">
    <w:nsid w:val="6F334713"/>
    <w:multiLevelType w:val="hybridMultilevel"/>
    <w:tmpl w:val="A1DE4490"/>
    <w:lvl w:ilvl="0" w:tplc="AC34F9A4">
      <w:start w:val="4"/>
      <w:numFmt w:val="bullet"/>
      <w:lvlText w:val=""/>
      <w:lvlJc w:val="left"/>
      <w:pPr>
        <w:ind w:left="1437" w:hanging="360"/>
      </w:pPr>
      <w:rPr>
        <w:rFonts w:ascii="Symbol" w:eastAsia="Times New Roman" w:hAnsi="Symbol" w:cs="Times New Roman" w:hint="default"/>
      </w:rPr>
    </w:lvl>
    <w:lvl w:ilvl="1" w:tplc="18090003" w:tentative="1">
      <w:start w:val="1"/>
      <w:numFmt w:val="bullet"/>
      <w:lvlText w:val="o"/>
      <w:lvlJc w:val="left"/>
      <w:pPr>
        <w:ind w:left="2157" w:hanging="360"/>
      </w:pPr>
      <w:rPr>
        <w:rFonts w:ascii="Courier New" w:hAnsi="Courier New" w:cs="Courier New" w:hint="default"/>
      </w:rPr>
    </w:lvl>
    <w:lvl w:ilvl="2" w:tplc="18090005" w:tentative="1">
      <w:start w:val="1"/>
      <w:numFmt w:val="bullet"/>
      <w:lvlText w:val=""/>
      <w:lvlJc w:val="left"/>
      <w:pPr>
        <w:ind w:left="2877" w:hanging="360"/>
      </w:pPr>
      <w:rPr>
        <w:rFonts w:ascii="Wingdings" w:hAnsi="Wingdings" w:hint="default"/>
      </w:rPr>
    </w:lvl>
    <w:lvl w:ilvl="3" w:tplc="18090001" w:tentative="1">
      <w:start w:val="1"/>
      <w:numFmt w:val="bullet"/>
      <w:lvlText w:val=""/>
      <w:lvlJc w:val="left"/>
      <w:pPr>
        <w:ind w:left="3597" w:hanging="360"/>
      </w:pPr>
      <w:rPr>
        <w:rFonts w:ascii="Symbol" w:hAnsi="Symbol" w:hint="default"/>
      </w:rPr>
    </w:lvl>
    <w:lvl w:ilvl="4" w:tplc="18090003" w:tentative="1">
      <w:start w:val="1"/>
      <w:numFmt w:val="bullet"/>
      <w:lvlText w:val="o"/>
      <w:lvlJc w:val="left"/>
      <w:pPr>
        <w:ind w:left="4317" w:hanging="360"/>
      </w:pPr>
      <w:rPr>
        <w:rFonts w:ascii="Courier New" w:hAnsi="Courier New" w:cs="Courier New" w:hint="default"/>
      </w:rPr>
    </w:lvl>
    <w:lvl w:ilvl="5" w:tplc="18090005" w:tentative="1">
      <w:start w:val="1"/>
      <w:numFmt w:val="bullet"/>
      <w:lvlText w:val=""/>
      <w:lvlJc w:val="left"/>
      <w:pPr>
        <w:ind w:left="5037" w:hanging="360"/>
      </w:pPr>
      <w:rPr>
        <w:rFonts w:ascii="Wingdings" w:hAnsi="Wingdings" w:hint="default"/>
      </w:rPr>
    </w:lvl>
    <w:lvl w:ilvl="6" w:tplc="18090001" w:tentative="1">
      <w:start w:val="1"/>
      <w:numFmt w:val="bullet"/>
      <w:lvlText w:val=""/>
      <w:lvlJc w:val="left"/>
      <w:pPr>
        <w:ind w:left="5757" w:hanging="360"/>
      </w:pPr>
      <w:rPr>
        <w:rFonts w:ascii="Symbol" w:hAnsi="Symbol" w:hint="default"/>
      </w:rPr>
    </w:lvl>
    <w:lvl w:ilvl="7" w:tplc="18090003" w:tentative="1">
      <w:start w:val="1"/>
      <w:numFmt w:val="bullet"/>
      <w:lvlText w:val="o"/>
      <w:lvlJc w:val="left"/>
      <w:pPr>
        <w:ind w:left="6477" w:hanging="360"/>
      </w:pPr>
      <w:rPr>
        <w:rFonts w:ascii="Courier New" w:hAnsi="Courier New" w:cs="Courier New" w:hint="default"/>
      </w:rPr>
    </w:lvl>
    <w:lvl w:ilvl="8" w:tplc="18090005" w:tentative="1">
      <w:start w:val="1"/>
      <w:numFmt w:val="bullet"/>
      <w:lvlText w:val=""/>
      <w:lvlJc w:val="left"/>
      <w:pPr>
        <w:ind w:left="7197" w:hanging="360"/>
      </w:pPr>
      <w:rPr>
        <w:rFonts w:ascii="Wingdings" w:hAnsi="Wingdings" w:hint="default"/>
      </w:rPr>
    </w:lvl>
  </w:abstractNum>
  <w:abstractNum w:abstractNumId="101" w15:restartNumberingAfterBreak="0">
    <w:nsid w:val="6F6EE264"/>
    <w:multiLevelType w:val="hybridMultilevel"/>
    <w:tmpl w:val="FFFFFFFF"/>
    <w:lvl w:ilvl="0" w:tplc="E670DD70">
      <w:start w:val="1"/>
      <w:numFmt w:val="bullet"/>
      <w:lvlText w:val=""/>
      <w:lvlJc w:val="left"/>
      <w:pPr>
        <w:ind w:left="720" w:hanging="360"/>
      </w:pPr>
      <w:rPr>
        <w:rFonts w:ascii="Symbol" w:hAnsi="Symbol" w:hint="default"/>
      </w:rPr>
    </w:lvl>
    <w:lvl w:ilvl="1" w:tplc="CECCFE3A">
      <w:start w:val="1"/>
      <w:numFmt w:val="bullet"/>
      <w:lvlText w:val="o"/>
      <w:lvlJc w:val="left"/>
      <w:pPr>
        <w:ind w:left="1440" w:hanging="360"/>
      </w:pPr>
      <w:rPr>
        <w:rFonts w:ascii="&quot;Courier New&quot;" w:hAnsi="&quot;Courier New&quot;" w:hint="default"/>
      </w:rPr>
    </w:lvl>
    <w:lvl w:ilvl="2" w:tplc="A266A55A">
      <w:start w:val="1"/>
      <w:numFmt w:val="bullet"/>
      <w:lvlText w:val=""/>
      <w:lvlJc w:val="left"/>
      <w:pPr>
        <w:ind w:left="2160" w:hanging="360"/>
      </w:pPr>
      <w:rPr>
        <w:rFonts w:ascii="Wingdings" w:hAnsi="Wingdings" w:hint="default"/>
      </w:rPr>
    </w:lvl>
    <w:lvl w:ilvl="3" w:tplc="14289B60">
      <w:start w:val="1"/>
      <w:numFmt w:val="bullet"/>
      <w:lvlText w:val=""/>
      <w:lvlJc w:val="left"/>
      <w:pPr>
        <w:ind w:left="2880" w:hanging="360"/>
      </w:pPr>
      <w:rPr>
        <w:rFonts w:ascii="Symbol" w:hAnsi="Symbol" w:hint="default"/>
      </w:rPr>
    </w:lvl>
    <w:lvl w:ilvl="4" w:tplc="4364C732">
      <w:start w:val="1"/>
      <w:numFmt w:val="bullet"/>
      <w:lvlText w:val="o"/>
      <w:lvlJc w:val="left"/>
      <w:pPr>
        <w:ind w:left="3600" w:hanging="360"/>
      </w:pPr>
      <w:rPr>
        <w:rFonts w:ascii="Courier New" w:hAnsi="Courier New" w:hint="default"/>
      </w:rPr>
    </w:lvl>
    <w:lvl w:ilvl="5" w:tplc="83C24C00">
      <w:start w:val="1"/>
      <w:numFmt w:val="bullet"/>
      <w:lvlText w:val=""/>
      <w:lvlJc w:val="left"/>
      <w:pPr>
        <w:ind w:left="4320" w:hanging="360"/>
      </w:pPr>
      <w:rPr>
        <w:rFonts w:ascii="Wingdings" w:hAnsi="Wingdings" w:hint="default"/>
      </w:rPr>
    </w:lvl>
    <w:lvl w:ilvl="6" w:tplc="29E2217E">
      <w:start w:val="1"/>
      <w:numFmt w:val="bullet"/>
      <w:lvlText w:val=""/>
      <w:lvlJc w:val="left"/>
      <w:pPr>
        <w:ind w:left="5040" w:hanging="360"/>
      </w:pPr>
      <w:rPr>
        <w:rFonts w:ascii="Symbol" w:hAnsi="Symbol" w:hint="default"/>
      </w:rPr>
    </w:lvl>
    <w:lvl w:ilvl="7" w:tplc="2BBEA59E">
      <w:start w:val="1"/>
      <w:numFmt w:val="bullet"/>
      <w:lvlText w:val="o"/>
      <w:lvlJc w:val="left"/>
      <w:pPr>
        <w:ind w:left="5760" w:hanging="360"/>
      </w:pPr>
      <w:rPr>
        <w:rFonts w:ascii="Courier New" w:hAnsi="Courier New" w:hint="default"/>
      </w:rPr>
    </w:lvl>
    <w:lvl w:ilvl="8" w:tplc="36CC9E36">
      <w:start w:val="1"/>
      <w:numFmt w:val="bullet"/>
      <w:lvlText w:val=""/>
      <w:lvlJc w:val="left"/>
      <w:pPr>
        <w:ind w:left="6480" w:hanging="360"/>
      </w:pPr>
      <w:rPr>
        <w:rFonts w:ascii="Wingdings" w:hAnsi="Wingdings" w:hint="default"/>
      </w:rPr>
    </w:lvl>
  </w:abstractNum>
  <w:abstractNum w:abstractNumId="102" w15:restartNumberingAfterBreak="0">
    <w:nsid w:val="709D53EB"/>
    <w:multiLevelType w:val="hybridMultilevel"/>
    <w:tmpl w:val="B7ACC0EE"/>
    <w:lvl w:ilvl="0" w:tplc="FD44CD1A">
      <w:start w:val="1"/>
      <w:numFmt w:val="bullet"/>
      <w:lvlText w:val="·"/>
      <w:lvlJc w:val="left"/>
      <w:pPr>
        <w:ind w:left="720" w:hanging="360"/>
      </w:pPr>
      <w:rPr>
        <w:rFonts w:ascii="Symbol" w:hAnsi="Symbol" w:hint="default"/>
      </w:rPr>
    </w:lvl>
    <w:lvl w:ilvl="1" w:tplc="084A816E">
      <w:start w:val="1"/>
      <w:numFmt w:val="bullet"/>
      <w:lvlText w:val="o"/>
      <w:lvlJc w:val="left"/>
      <w:pPr>
        <w:ind w:left="1440" w:hanging="360"/>
      </w:pPr>
      <w:rPr>
        <w:rFonts w:ascii="Courier New" w:hAnsi="Courier New" w:hint="default"/>
      </w:rPr>
    </w:lvl>
    <w:lvl w:ilvl="2" w:tplc="F0AED3A8">
      <w:start w:val="1"/>
      <w:numFmt w:val="bullet"/>
      <w:lvlText w:val=""/>
      <w:lvlJc w:val="left"/>
      <w:pPr>
        <w:ind w:left="2160" w:hanging="360"/>
      </w:pPr>
      <w:rPr>
        <w:rFonts w:ascii="Wingdings" w:hAnsi="Wingdings" w:hint="default"/>
      </w:rPr>
    </w:lvl>
    <w:lvl w:ilvl="3" w:tplc="584E1D4E">
      <w:start w:val="1"/>
      <w:numFmt w:val="bullet"/>
      <w:lvlText w:val=""/>
      <w:lvlJc w:val="left"/>
      <w:pPr>
        <w:ind w:left="2880" w:hanging="360"/>
      </w:pPr>
      <w:rPr>
        <w:rFonts w:ascii="Symbol" w:hAnsi="Symbol" w:hint="default"/>
      </w:rPr>
    </w:lvl>
    <w:lvl w:ilvl="4" w:tplc="8D50B774">
      <w:start w:val="1"/>
      <w:numFmt w:val="bullet"/>
      <w:lvlText w:val="o"/>
      <w:lvlJc w:val="left"/>
      <w:pPr>
        <w:ind w:left="3600" w:hanging="360"/>
      </w:pPr>
      <w:rPr>
        <w:rFonts w:ascii="Courier New" w:hAnsi="Courier New" w:hint="default"/>
      </w:rPr>
    </w:lvl>
    <w:lvl w:ilvl="5" w:tplc="5D20EA18">
      <w:start w:val="1"/>
      <w:numFmt w:val="bullet"/>
      <w:lvlText w:val=""/>
      <w:lvlJc w:val="left"/>
      <w:pPr>
        <w:ind w:left="4320" w:hanging="360"/>
      </w:pPr>
      <w:rPr>
        <w:rFonts w:ascii="Wingdings" w:hAnsi="Wingdings" w:hint="default"/>
      </w:rPr>
    </w:lvl>
    <w:lvl w:ilvl="6" w:tplc="2A8A40F6">
      <w:start w:val="1"/>
      <w:numFmt w:val="bullet"/>
      <w:lvlText w:val=""/>
      <w:lvlJc w:val="left"/>
      <w:pPr>
        <w:ind w:left="5040" w:hanging="360"/>
      </w:pPr>
      <w:rPr>
        <w:rFonts w:ascii="Symbol" w:hAnsi="Symbol" w:hint="default"/>
      </w:rPr>
    </w:lvl>
    <w:lvl w:ilvl="7" w:tplc="7496FA04">
      <w:start w:val="1"/>
      <w:numFmt w:val="bullet"/>
      <w:lvlText w:val="o"/>
      <w:lvlJc w:val="left"/>
      <w:pPr>
        <w:ind w:left="5760" w:hanging="360"/>
      </w:pPr>
      <w:rPr>
        <w:rFonts w:ascii="Courier New" w:hAnsi="Courier New" w:hint="default"/>
      </w:rPr>
    </w:lvl>
    <w:lvl w:ilvl="8" w:tplc="F9EA1114">
      <w:start w:val="1"/>
      <w:numFmt w:val="bullet"/>
      <w:lvlText w:val=""/>
      <w:lvlJc w:val="left"/>
      <w:pPr>
        <w:ind w:left="6480" w:hanging="360"/>
      </w:pPr>
      <w:rPr>
        <w:rFonts w:ascii="Wingdings" w:hAnsi="Wingdings" w:hint="default"/>
      </w:rPr>
    </w:lvl>
  </w:abstractNum>
  <w:abstractNum w:abstractNumId="103" w15:restartNumberingAfterBreak="0">
    <w:nsid w:val="71690392"/>
    <w:multiLevelType w:val="hybridMultilevel"/>
    <w:tmpl w:val="5B16B7D4"/>
    <w:lvl w:ilvl="0" w:tplc="BBA4F720">
      <w:start w:val="1"/>
      <w:numFmt w:val="bullet"/>
      <w:lvlText w:val=""/>
      <w:lvlJc w:val="left"/>
      <w:pPr>
        <w:ind w:left="720" w:hanging="360"/>
      </w:pPr>
      <w:rPr>
        <w:rFonts w:ascii="Symbol" w:hAnsi="Symbol" w:hint="default"/>
      </w:rPr>
    </w:lvl>
    <w:lvl w:ilvl="1" w:tplc="2C0629D2">
      <w:start w:val="1"/>
      <w:numFmt w:val="bullet"/>
      <w:lvlText w:val="o"/>
      <w:lvlJc w:val="left"/>
      <w:pPr>
        <w:ind w:left="1440" w:hanging="360"/>
      </w:pPr>
      <w:rPr>
        <w:rFonts w:ascii="Courier New" w:hAnsi="Courier New" w:hint="default"/>
      </w:rPr>
    </w:lvl>
    <w:lvl w:ilvl="2" w:tplc="AB86A048">
      <w:start w:val="1"/>
      <w:numFmt w:val="bullet"/>
      <w:lvlText w:val=""/>
      <w:lvlJc w:val="left"/>
      <w:pPr>
        <w:ind w:left="2160" w:hanging="360"/>
      </w:pPr>
      <w:rPr>
        <w:rFonts w:ascii="Wingdings" w:hAnsi="Wingdings" w:hint="default"/>
      </w:rPr>
    </w:lvl>
    <w:lvl w:ilvl="3" w:tplc="663EC7C8">
      <w:start w:val="1"/>
      <w:numFmt w:val="bullet"/>
      <w:lvlText w:val="o"/>
      <w:lvlJc w:val="left"/>
      <w:pPr>
        <w:ind w:left="2880" w:hanging="360"/>
      </w:pPr>
      <w:rPr>
        <w:rFonts w:ascii="&quot;Courier New&quot;" w:hAnsi="&quot;Courier New&quot;" w:hint="default"/>
      </w:rPr>
    </w:lvl>
    <w:lvl w:ilvl="4" w:tplc="FEEE8554">
      <w:start w:val="1"/>
      <w:numFmt w:val="bullet"/>
      <w:lvlText w:val="o"/>
      <w:lvlJc w:val="left"/>
      <w:pPr>
        <w:ind w:left="3600" w:hanging="360"/>
      </w:pPr>
      <w:rPr>
        <w:rFonts w:ascii="Courier New" w:hAnsi="Courier New" w:hint="default"/>
      </w:rPr>
    </w:lvl>
    <w:lvl w:ilvl="5" w:tplc="5A3633A4">
      <w:start w:val="1"/>
      <w:numFmt w:val="bullet"/>
      <w:lvlText w:val=""/>
      <w:lvlJc w:val="left"/>
      <w:pPr>
        <w:ind w:left="4320" w:hanging="360"/>
      </w:pPr>
      <w:rPr>
        <w:rFonts w:ascii="Wingdings" w:hAnsi="Wingdings" w:hint="default"/>
      </w:rPr>
    </w:lvl>
    <w:lvl w:ilvl="6" w:tplc="93D0165C">
      <w:start w:val="1"/>
      <w:numFmt w:val="bullet"/>
      <w:lvlText w:val=""/>
      <w:lvlJc w:val="left"/>
      <w:pPr>
        <w:ind w:left="5040" w:hanging="360"/>
      </w:pPr>
      <w:rPr>
        <w:rFonts w:ascii="Symbol" w:hAnsi="Symbol" w:hint="default"/>
      </w:rPr>
    </w:lvl>
    <w:lvl w:ilvl="7" w:tplc="1B3C2CCA">
      <w:start w:val="1"/>
      <w:numFmt w:val="bullet"/>
      <w:lvlText w:val="o"/>
      <w:lvlJc w:val="left"/>
      <w:pPr>
        <w:ind w:left="5760" w:hanging="360"/>
      </w:pPr>
      <w:rPr>
        <w:rFonts w:ascii="Courier New" w:hAnsi="Courier New" w:hint="default"/>
      </w:rPr>
    </w:lvl>
    <w:lvl w:ilvl="8" w:tplc="9ACAD966">
      <w:start w:val="1"/>
      <w:numFmt w:val="bullet"/>
      <w:lvlText w:val=""/>
      <w:lvlJc w:val="left"/>
      <w:pPr>
        <w:ind w:left="6480" w:hanging="360"/>
      </w:pPr>
      <w:rPr>
        <w:rFonts w:ascii="Wingdings" w:hAnsi="Wingdings" w:hint="default"/>
      </w:rPr>
    </w:lvl>
  </w:abstractNum>
  <w:abstractNum w:abstractNumId="104" w15:restartNumberingAfterBreak="0">
    <w:nsid w:val="71987A8D"/>
    <w:multiLevelType w:val="hybridMultilevel"/>
    <w:tmpl w:val="FFFFFFFF"/>
    <w:lvl w:ilvl="0" w:tplc="569E4186">
      <w:start w:val="1"/>
      <w:numFmt w:val="bullet"/>
      <w:lvlText w:val="·"/>
      <w:lvlJc w:val="left"/>
      <w:pPr>
        <w:ind w:left="720" w:hanging="360"/>
      </w:pPr>
      <w:rPr>
        <w:rFonts w:ascii="Symbol" w:hAnsi="Symbol" w:hint="default"/>
      </w:rPr>
    </w:lvl>
    <w:lvl w:ilvl="1" w:tplc="0E8ECE0C">
      <w:start w:val="1"/>
      <w:numFmt w:val="bullet"/>
      <w:lvlText w:val="o"/>
      <w:lvlJc w:val="left"/>
      <w:pPr>
        <w:ind w:left="1440" w:hanging="360"/>
      </w:pPr>
      <w:rPr>
        <w:rFonts w:ascii="Courier New" w:hAnsi="Courier New" w:hint="default"/>
      </w:rPr>
    </w:lvl>
    <w:lvl w:ilvl="2" w:tplc="3362B9FC">
      <w:start w:val="1"/>
      <w:numFmt w:val="bullet"/>
      <w:lvlText w:val=""/>
      <w:lvlJc w:val="left"/>
      <w:pPr>
        <w:ind w:left="2160" w:hanging="360"/>
      </w:pPr>
      <w:rPr>
        <w:rFonts w:ascii="Wingdings" w:hAnsi="Wingdings" w:hint="default"/>
      </w:rPr>
    </w:lvl>
    <w:lvl w:ilvl="3" w:tplc="A1048F40">
      <w:start w:val="1"/>
      <w:numFmt w:val="bullet"/>
      <w:lvlText w:val=""/>
      <w:lvlJc w:val="left"/>
      <w:pPr>
        <w:ind w:left="2880" w:hanging="360"/>
      </w:pPr>
      <w:rPr>
        <w:rFonts w:ascii="Symbol" w:hAnsi="Symbol" w:hint="default"/>
      </w:rPr>
    </w:lvl>
    <w:lvl w:ilvl="4" w:tplc="FB3010B0">
      <w:start w:val="1"/>
      <w:numFmt w:val="bullet"/>
      <w:lvlText w:val="o"/>
      <w:lvlJc w:val="left"/>
      <w:pPr>
        <w:ind w:left="3600" w:hanging="360"/>
      </w:pPr>
      <w:rPr>
        <w:rFonts w:ascii="Courier New" w:hAnsi="Courier New" w:hint="default"/>
      </w:rPr>
    </w:lvl>
    <w:lvl w:ilvl="5" w:tplc="97762E62">
      <w:start w:val="1"/>
      <w:numFmt w:val="bullet"/>
      <w:lvlText w:val=""/>
      <w:lvlJc w:val="left"/>
      <w:pPr>
        <w:ind w:left="4320" w:hanging="360"/>
      </w:pPr>
      <w:rPr>
        <w:rFonts w:ascii="Wingdings" w:hAnsi="Wingdings" w:hint="default"/>
      </w:rPr>
    </w:lvl>
    <w:lvl w:ilvl="6" w:tplc="C0BA1BBA">
      <w:start w:val="1"/>
      <w:numFmt w:val="bullet"/>
      <w:lvlText w:val=""/>
      <w:lvlJc w:val="left"/>
      <w:pPr>
        <w:ind w:left="5040" w:hanging="360"/>
      </w:pPr>
      <w:rPr>
        <w:rFonts w:ascii="Symbol" w:hAnsi="Symbol" w:hint="default"/>
      </w:rPr>
    </w:lvl>
    <w:lvl w:ilvl="7" w:tplc="FB4E86DE">
      <w:start w:val="1"/>
      <w:numFmt w:val="bullet"/>
      <w:lvlText w:val="o"/>
      <w:lvlJc w:val="left"/>
      <w:pPr>
        <w:ind w:left="5760" w:hanging="360"/>
      </w:pPr>
      <w:rPr>
        <w:rFonts w:ascii="Courier New" w:hAnsi="Courier New" w:hint="default"/>
      </w:rPr>
    </w:lvl>
    <w:lvl w:ilvl="8" w:tplc="9086CECA">
      <w:start w:val="1"/>
      <w:numFmt w:val="bullet"/>
      <w:lvlText w:val=""/>
      <w:lvlJc w:val="left"/>
      <w:pPr>
        <w:ind w:left="6480" w:hanging="360"/>
      </w:pPr>
      <w:rPr>
        <w:rFonts w:ascii="Wingdings" w:hAnsi="Wingdings" w:hint="default"/>
      </w:rPr>
    </w:lvl>
  </w:abstractNum>
  <w:abstractNum w:abstractNumId="105" w15:restartNumberingAfterBreak="0">
    <w:nsid w:val="71AB40C7"/>
    <w:multiLevelType w:val="hybridMultilevel"/>
    <w:tmpl w:val="FFFFFFFF"/>
    <w:lvl w:ilvl="0" w:tplc="254ACE3C">
      <w:start w:val="1"/>
      <w:numFmt w:val="bullet"/>
      <w:lvlText w:val=""/>
      <w:lvlJc w:val="left"/>
      <w:pPr>
        <w:ind w:left="720" w:hanging="360"/>
      </w:pPr>
      <w:rPr>
        <w:rFonts w:ascii="Symbol" w:hAnsi="Symbol" w:hint="default"/>
      </w:rPr>
    </w:lvl>
    <w:lvl w:ilvl="1" w:tplc="924AC816">
      <w:start w:val="1"/>
      <w:numFmt w:val="bullet"/>
      <w:lvlText w:val="o"/>
      <w:lvlJc w:val="left"/>
      <w:pPr>
        <w:ind w:left="1440" w:hanging="360"/>
      </w:pPr>
      <w:rPr>
        <w:rFonts w:ascii="Courier New" w:hAnsi="Courier New" w:hint="default"/>
      </w:rPr>
    </w:lvl>
    <w:lvl w:ilvl="2" w:tplc="8B50FA66">
      <w:start w:val="1"/>
      <w:numFmt w:val="bullet"/>
      <w:lvlText w:val=""/>
      <w:lvlJc w:val="left"/>
      <w:pPr>
        <w:ind w:left="2160" w:hanging="360"/>
      </w:pPr>
      <w:rPr>
        <w:rFonts w:ascii="Wingdings" w:hAnsi="Wingdings" w:hint="default"/>
      </w:rPr>
    </w:lvl>
    <w:lvl w:ilvl="3" w:tplc="A3CAE846">
      <w:start w:val="1"/>
      <w:numFmt w:val="bullet"/>
      <w:lvlText w:val=""/>
      <w:lvlJc w:val="left"/>
      <w:pPr>
        <w:ind w:left="2880" w:hanging="360"/>
      </w:pPr>
      <w:rPr>
        <w:rFonts w:ascii="Symbol" w:hAnsi="Symbol" w:hint="default"/>
      </w:rPr>
    </w:lvl>
    <w:lvl w:ilvl="4" w:tplc="7C183A2C">
      <w:start w:val="1"/>
      <w:numFmt w:val="bullet"/>
      <w:lvlText w:val="o"/>
      <w:lvlJc w:val="left"/>
      <w:pPr>
        <w:ind w:left="3600" w:hanging="360"/>
      </w:pPr>
      <w:rPr>
        <w:rFonts w:ascii="Courier New" w:hAnsi="Courier New" w:hint="default"/>
      </w:rPr>
    </w:lvl>
    <w:lvl w:ilvl="5" w:tplc="3596118E">
      <w:start w:val="1"/>
      <w:numFmt w:val="bullet"/>
      <w:lvlText w:val=""/>
      <w:lvlJc w:val="left"/>
      <w:pPr>
        <w:ind w:left="4320" w:hanging="360"/>
      </w:pPr>
      <w:rPr>
        <w:rFonts w:ascii="Wingdings" w:hAnsi="Wingdings" w:hint="default"/>
      </w:rPr>
    </w:lvl>
    <w:lvl w:ilvl="6" w:tplc="E262779C">
      <w:start w:val="1"/>
      <w:numFmt w:val="bullet"/>
      <w:lvlText w:val=""/>
      <w:lvlJc w:val="left"/>
      <w:pPr>
        <w:ind w:left="5040" w:hanging="360"/>
      </w:pPr>
      <w:rPr>
        <w:rFonts w:ascii="Symbol" w:hAnsi="Symbol" w:hint="default"/>
      </w:rPr>
    </w:lvl>
    <w:lvl w:ilvl="7" w:tplc="2B84EB28">
      <w:start w:val="1"/>
      <w:numFmt w:val="bullet"/>
      <w:lvlText w:val="o"/>
      <w:lvlJc w:val="left"/>
      <w:pPr>
        <w:ind w:left="5760" w:hanging="360"/>
      </w:pPr>
      <w:rPr>
        <w:rFonts w:ascii="Courier New" w:hAnsi="Courier New" w:hint="default"/>
      </w:rPr>
    </w:lvl>
    <w:lvl w:ilvl="8" w:tplc="2160D15A">
      <w:start w:val="1"/>
      <w:numFmt w:val="bullet"/>
      <w:lvlText w:val=""/>
      <w:lvlJc w:val="left"/>
      <w:pPr>
        <w:ind w:left="6480" w:hanging="360"/>
      </w:pPr>
      <w:rPr>
        <w:rFonts w:ascii="Wingdings" w:hAnsi="Wingdings" w:hint="default"/>
      </w:rPr>
    </w:lvl>
  </w:abstractNum>
  <w:abstractNum w:abstractNumId="106" w15:restartNumberingAfterBreak="0">
    <w:nsid w:val="732C25E9"/>
    <w:multiLevelType w:val="hybridMultilevel"/>
    <w:tmpl w:val="AC76D548"/>
    <w:lvl w:ilvl="0" w:tplc="D4E0100A">
      <w:start w:val="1"/>
      <w:numFmt w:val="bullet"/>
      <w:lvlText w:val=""/>
      <w:lvlJc w:val="left"/>
      <w:pPr>
        <w:ind w:left="720" w:hanging="360"/>
      </w:pPr>
      <w:rPr>
        <w:rFonts w:ascii="Symbol" w:hAnsi="Symbol" w:hint="default"/>
      </w:rPr>
    </w:lvl>
    <w:lvl w:ilvl="1" w:tplc="945E6C36">
      <w:start w:val="1"/>
      <w:numFmt w:val="bullet"/>
      <w:lvlText w:val="o"/>
      <w:lvlJc w:val="left"/>
      <w:pPr>
        <w:ind w:left="1440" w:hanging="360"/>
      </w:pPr>
      <w:rPr>
        <w:rFonts w:ascii="&quot;Courier New&quot;" w:hAnsi="&quot;Courier New&quot;" w:hint="default"/>
      </w:rPr>
    </w:lvl>
    <w:lvl w:ilvl="2" w:tplc="BA0A87C8">
      <w:start w:val="1"/>
      <w:numFmt w:val="bullet"/>
      <w:lvlText w:val=""/>
      <w:lvlJc w:val="left"/>
      <w:pPr>
        <w:ind w:left="2160" w:hanging="360"/>
      </w:pPr>
      <w:rPr>
        <w:rFonts w:ascii="Wingdings" w:hAnsi="Wingdings" w:hint="default"/>
      </w:rPr>
    </w:lvl>
    <w:lvl w:ilvl="3" w:tplc="AE0ED4BE">
      <w:start w:val="1"/>
      <w:numFmt w:val="bullet"/>
      <w:lvlText w:val=""/>
      <w:lvlJc w:val="left"/>
      <w:pPr>
        <w:ind w:left="2880" w:hanging="360"/>
      </w:pPr>
      <w:rPr>
        <w:rFonts w:ascii="Symbol" w:hAnsi="Symbol" w:hint="default"/>
      </w:rPr>
    </w:lvl>
    <w:lvl w:ilvl="4" w:tplc="024A2F02">
      <w:start w:val="1"/>
      <w:numFmt w:val="bullet"/>
      <w:lvlText w:val="o"/>
      <w:lvlJc w:val="left"/>
      <w:pPr>
        <w:ind w:left="3600" w:hanging="360"/>
      </w:pPr>
      <w:rPr>
        <w:rFonts w:ascii="Courier New" w:hAnsi="Courier New" w:hint="default"/>
      </w:rPr>
    </w:lvl>
    <w:lvl w:ilvl="5" w:tplc="AEE87EFC">
      <w:start w:val="1"/>
      <w:numFmt w:val="bullet"/>
      <w:lvlText w:val=""/>
      <w:lvlJc w:val="left"/>
      <w:pPr>
        <w:ind w:left="4320" w:hanging="360"/>
      </w:pPr>
      <w:rPr>
        <w:rFonts w:ascii="Wingdings" w:hAnsi="Wingdings" w:hint="default"/>
      </w:rPr>
    </w:lvl>
    <w:lvl w:ilvl="6" w:tplc="24E2479A">
      <w:start w:val="1"/>
      <w:numFmt w:val="bullet"/>
      <w:lvlText w:val=""/>
      <w:lvlJc w:val="left"/>
      <w:pPr>
        <w:ind w:left="5040" w:hanging="360"/>
      </w:pPr>
      <w:rPr>
        <w:rFonts w:ascii="Symbol" w:hAnsi="Symbol" w:hint="default"/>
      </w:rPr>
    </w:lvl>
    <w:lvl w:ilvl="7" w:tplc="41DC1DD8">
      <w:start w:val="1"/>
      <w:numFmt w:val="bullet"/>
      <w:lvlText w:val="o"/>
      <w:lvlJc w:val="left"/>
      <w:pPr>
        <w:ind w:left="5760" w:hanging="360"/>
      </w:pPr>
      <w:rPr>
        <w:rFonts w:ascii="Courier New" w:hAnsi="Courier New" w:hint="default"/>
      </w:rPr>
    </w:lvl>
    <w:lvl w:ilvl="8" w:tplc="35C8AC80">
      <w:start w:val="1"/>
      <w:numFmt w:val="bullet"/>
      <w:lvlText w:val=""/>
      <w:lvlJc w:val="left"/>
      <w:pPr>
        <w:ind w:left="6480" w:hanging="360"/>
      </w:pPr>
      <w:rPr>
        <w:rFonts w:ascii="Wingdings" w:hAnsi="Wingdings" w:hint="default"/>
      </w:rPr>
    </w:lvl>
  </w:abstractNum>
  <w:abstractNum w:abstractNumId="107" w15:restartNumberingAfterBreak="0">
    <w:nsid w:val="766419A8"/>
    <w:multiLevelType w:val="hybridMultilevel"/>
    <w:tmpl w:val="EBDAC3C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08" w15:restartNumberingAfterBreak="0">
    <w:nsid w:val="7AA1C19D"/>
    <w:multiLevelType w:val="hybridMultilevel"/>
    <w:tmpl w:val="FFFFFFFF"/>
    <w:lvl w:ilvl="0" w:tplc="0952F610">
      <w:start w:val="1"/>
      <w:numFmt w:val="bullet"/>
      <w:lvlText w:val=""/>
      <w:lvlJc w:val="left"/>
      <w:pPr>
        <w:ind w:left="720" w:hanging="360"/>
      </w:pPr>
      <w:rPr>
        <w:rFonts w:ascii="Symbol" w:hAnsi="Symbol" w:hint="default"/>
      </w:rPr>
    </w:lvl>
    <w:lvl w:ilvl="1" w:tplc="803E6E0E">
      <w:start w:val="1"/>
      <w:numFmt w:val="bullet"/>
      <w:lvlText w:val="o"/>
      <w:lvlJc w:val="left"/>
      <w:pPr>
        <w:ind w:left="1440" w:hanging="360"/>
      </w:pPr>
      <w:rPr>
        <w:rFonts w:ascii="Courier New" w:hAnsi="Courier New" w:hint="default"/>
      </w:rPr>
    </w:lvl>
    <w:lvl w:ilvl="2" w:tplc="A60CBD34">
      <w:start w:val="1"/>
      <w:numFmt w:val="bullet"/>
      <w:lvlText w:val=""/>
      <w:lvlJc w:val="left"/>
      <w:pPr>
        <w:ind w:left="2160" w:hanging="360"/>
      </w:pPr>
      <w:rPr>
        <w:rFonts w:ascii="Wingdings" w:hAnsi="Wingdings" w:hint="default"/>
      </w:rPr>
    </w:lvl>
    <w:lvl w:ilvl="3" w:tplc="EF28885E">
      <w:start w:val="1"/>
      <w:numFmt w:val="bullet"/>
      <w:lvlText w:val=""/>
      <w:lvlJc w:val="left"/>
      <w:pPr>
        <w:ind w:left="2880" w:hanging="360"/>
      </w:pPr>
      <w:rPr>
        <w:rFonts w:ascii="Symbol" w:hAnsi="Symbol" w:hint="default"/>
      </w:rPr>
    </w:lvl>
    <w:lvl w:ilvl="4" w:tplc="F5DCB064">
      <w:start w:val="1"/>
      <w:numFmt w:val="bullet"/>
      <w:lvlText w:val="o"/>
      <w:lvlJc w:val="left"/>
      <w:pPr>
        <w:ind w:left="3600" w:hanging="360"/>
      </w:pPr>
      <w:rPr>
        <w:rFonts w:ascii="Courier New" w:hAnsi="Courier New" w:hint="default"/>
      </w:rPr>
    </w:lvl>
    <w:lvl w:ilvl="5" w:tplc="5F56F1A2">
      <w:start w:val="1"/>
      <w:numFmt w:val="bullet"/>
      <w:lvlText w:val=""/>
      <w:lvlJc w:val="left"/>
      <w:pPr>
        <w:ind w:left="4320" w:hanging="360"/>
      </w:pPr>
      <w:rPr>
        <w:rFonts w:ascii="Wingdings" w:hAnsi="Wingdings" w:hint="default"/>
      </w:rPr>
    </w:lvl>
    <w:lvl w:ilvl="6" w:tplc="70584F1E">
      <w:start w:val="1"/>
      <w:numFmt w:val="bullet"/>
      <w:lvlText w:val=""/>
      <w:lvlJc w:val="left"/>
      <w:pPr>
        <w:ind w:left="5040" w:hanging="360"/>
      </w:pPr>
      <w:rPr>
        <w:rFonts w:ascii="Symbol" w:hAnsi="Symbol" w:hint="default"/>
      </w:rPr>
    </w:lvl>
    <w:lvl w:ilvl="7" w:tplc="9C90C042">
      <w:start w:val="1"/>
      <w:numFmt w:val="bullet"/>
      <w:lvlText w:val="o"/>
      <w:lvlJc w:val="left"/>
      <w:pPr>
        <w:ind w:left="5760" w:hanging="360"/>
      </w:pPr>
      <w:rPr>
        <w:rFonts w:ascii="Courier New" w:hAnsi="Courier New" w:hint="default"/>
      </w:rPr>
    </w:lvl>
    <w:lvl w:ilvl="8" w:tplc="19C4D636">
      <w:start w:val="1"/>
      <w:numFmt w:val="bullet"/>
      <w:lvlText w:val=""/>
      <w:lvlJc w:val="left"/>
      <w:pPr>
        <w:ind w:left="6480" w:hanging="360"/>
      </w:pPr>
      <w:rPr>
        <w:rFonts w:ascii="Wingdings" w:hAnsi="Wingdings" w:hint="default"/>
      </w:rPr>
    </w:lvl>
  </w:abstractNum>
  <w:abstractNum w:abstractNumId="109" w15:restartNumberingAfterBreak="0">
    <w:nsid w:val="7C65145E"/>
    <w:multiLevelType w:val="multilevel"/>
    <w:tmpl w:val="88EA066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110" w15:restartNumberingAfterBreak="0">
    <w:nsid w:val="7C651460"/>
    <w:multiLevelType w:val="singleLevel"/>
    <w:tmpl w:val="7604F822"/>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86"/>
  </w:num>
  <w:num w:numId="2">
    <w:abstractNumId w:val="1"/>
  </w:num>
  <w:num w:numId="3">
    <w:abstractNumId w:val="88"/>
  </w:num>
  <w:num w:numId="4">
    <w:abstractNumId w:val="51"/>
  </w:num>
  <w:num w:numId="5">
    <w:abstractNumId w:val="103"/>
  </w:num>
  <w:num w:numId="6">
    <w:abstractNumId w:val="30"/>
  </w:num>
  <w:num w:numId="7">
    <w:abstractNumId w:val="67"/>
  </w:num>
  <w:num w:numId="8">
    <w:abstractNumId w:val="43"/>
  </w:num>
  <w:num w:numId="9">
    <w:abstractNumId w:val="65"/>
  </w:num>
  <w:num w:numId="10">
    <w:abstractNumId w:val="102"/>
  </w:num>
  <w:num w:numId="11">
    <w:abstractNumId w:val="53"/>
  </w:num>
  <w:num w:numId="12">
    <w:abstractNumId w:val="61"/>
  </w:num>
  <w:num w:numId="13">
    <w:abstractNumId w:val="63"/>
  </w:num>
  <w:num w:numId="14">
    <w:abstractNumId w:val="25"/>
  </w:num>
  <w:num w:numId="15">
    <w:abstractNumId w:val="36"/>
  </w:num>
  <w:num w:numId="16">
    <w:abstractNumId w:val="17"/>
  </w:num>
  <w:num w:numId="17">
    <w:abstractNumId w:val="3"/>
  </w:num>
  <w:num w:numId="18">
    <w:abstractNumId w:val="4"/>
  </w:num>
  <w:num w:numId="19">
    <w:abstractNumId w:val="106"/>
  </w:num>
  <w:num w:numId="20">
    <w:abstractNumId w:val="42"/>
  </w:num>
  <w:num w:numId="21">
    <w:abstractNumId w:val="81"/>
  </w:num>
  <w:num w:numId="22">
    <w:abstractNumId w:val="108"/>
  </w:num>
  <w:num w:numId="23">
    <w:abstractNumId w:val="37"/>
  </w:num>
  <w:num w:numId="24">
    <w:abstractNumId w:val="105"/>
  </w:num>
  <w:num w:numId="25">
    <w:abstractNumId w:val="38"/>
  </w:num>
  <w:num w:numId="26">
    <w:abstractNumId w:val="54"/>
  </w:num>
  <w:num w:numId="27">
    <w:abstractNumId w:val="54"/>
  </w:num>
  <w:num w:numId="28">
    <w:abstractNumId w:val="38"/>
  </w:num>
  <w:num w:numId="29">
    <w:abstractNumId w:val="38"/>
  </w:num>
  <w:num w:numId="30">
    <w:abstractNumId w:val="54"/>
  </w:num>
  <w:num w:numId="31">
    <w:abstractNumId w:val="23"/>
  </w:num>
  <w:num w:numId="32">
    <w:abstractNumId w:val="12"/>
  </w:num>
  <w:num w:numId="33">
    <w:abstractNumId w:val="48"/>
  </w:num>
  <w:num w:numId="34">
    <w:abstractNumId w:val="29"/>
  </w:num>
  <w:num w:numId="35">
    <w:abstractNumId w:val="50"/>
  </w:num>
  <w:num w:numId="36">
    <w:abstractNumId w:val="77"/>
  </w:num>
  <w:num w:numId="37">
    <w:abstractNumId w:val="96"/>
  </w:num>
  <w:num w:numId="38">
    <w:abstractNumId w:val="15"/>
  </w:num>
  <w:num w:numId="39">
    <w:abstractNumId w:val="24"/>
  </w:num>
  <w:num w:numId="40">
    <w:abstractNumId w:val="60"/>
  </w:num>
  <w:num w:numId="41">
    <w:abstractNumId w:val="18"/>
  </w:num>
  <w:num w:numId="42">
    <w:abstractNumId w:val="20"/>
  </w:num>
  <w:num w:numId="43">
    <w:abstractNumId w:val="22"/>
  </w:num>
  <w:num w:numId="44">
    <w:abstractNumId w:val="38"/>
  </w:num>
  <w:num w:numId="45">
    <w:abstractNumId w:val="72"/>
  </w:num>
  <w:num w:numId="46">
    <w:abstractNumId w:val="109"/>
  </w:num>
  <w:num w:numId="47">
    <w:abstractNumId w:val="40"/>
  </w:num>
  <w:num w:numId="48">
    <w:abstractNumId w:val="41"/>
  </w:num>
  <w:num w:numId="49">
    <w:abstractNumId w:val="110"/>
  </w:num>
  <w:num w:numId="50">
    <w:abstractNumId w:val="71"/>
  </w:num>
  <w:num w:numId="51">
    <w:abstractNumId w:val="78"/>
  </w:num>
  <w:num w:numId="52">
    <w:abstractNumId w:val="19"/>
  </w:num>
  <w:num w:numId="53">
    <w:abstractNumId w:val="54"/>
  </w:num>
  <w:num w:numId="54">
    <w:abstractNumId w:val="38"/>
  </w:num>
  <w:num w:numId="55">
    <w:abstractNumId w:val="75"/>
  </w:num>
  <w:num w:numId="56">
    <w:abstractNumId w:val="54"/>
  </w:num>
  <w:num w:numId="57">
    <w:abstractNumId w:val="0"/>
  </w:num>
  <w:num w:numId="58">
    <w:abstractNumId w:val="0"/>
  </w:num>
  <w:num w:numId="59">
    <w:abstractNumId w:val="0"/>
  </w:num>
  <w:num w:numId="60">
    <w:abstractNumId w:val="0"/>
  </w:num>
  <w:num w:numId="61">
    <w:abstractNumId w:val="0"/>
  </w:num>
  <w:num w:numId="62">
    <w:abstractNumId w:val="38"/>
  </w:num>
  <w:num w:numId="63">
    <w:abstractNumId w:val="0"/>
  </w:num>
  <w:num w:numId="64">
    <w:abstractNumId w:val="0"/>
  </w:num>
  <w:num w:numId="65">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54"/>
  </w:num>
  <w:num w:numId="67">
    <w:abstractNumId w:val="109"/>
  </w:num>
  <w:num w:numId="68">
    <w:abstractNumId w:val="0"/>
  </w:num>
  <w:num w:numId="69">
    <w:abstractNumId w:val="2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70">
    <w:abstractNumId w:val="29"/>
  </w:num>
  <w:num w:numId="71">
    <w:abstractNumId w:val="38"/>
  </w:num>
  <w:num w:numId="72">
    <w:abstractNumId w:val="0"/>
  </w:num>
  <w:num w:numId="73">
    <w:abstractNumId w:val="0"/>
  </w:num>
  <w:num w:numId="74">
    <w:abstractNumId w:val="0"/>
  </w:num>
  <w:num w:numId="75">
    <w:abstractNumId w:val="0"/>
  </w:num>
  <w:num w:numId="76">
    <w:abstractNumId w:val="0"/>
  </w:num>
  <w:num w:numId="77">
    <w:abstractNumId w:val="0"/>
  </w:num>
  <w:num w:numId="78">
    <w:abstractNumId w:val="0"/>
  </w:num>
  <w:num w:numId="79">
    <w:abstractNumId w:val="0"/>
  </w:num>
  <w:num w:numId="80">
    <w:abstractNumId w:val="0"/>
  </w:num>
  <w:num w:numId="81">
    <w:abstractNumId w:val="38"/>
  </w:num>
  <w:num w:numId="82">
    <w:abstractNumId w:val="0"/>
  </w:num>
  <w:num w:numId="83">
    <w:abstractNumId w:val="0"/>
  </w:num>
  <w:num w:numId="84">
    <w:abstractNumId w:val="0"/>
  </w:num>
  <w:num w:numId="85">
    <w:abstractNumId w:val="92"/>
  </w:num>
  <w:num w:numId="86">
    <w:abstractNumId w:val="38"/>
  </w:num>
  <w:num w:numId="87">
    <w:abstractNumId w:val="0"/>
  </w:num>
  <w:num w:numId="88">
    <w:abstractNumId w:val="66"/>
  </w:num>
  <w:num w:numId="89">
    <w:abstractNumId w:val="0"/>
  </w:num>
  <w:num w:numId="90">
    <w:abstractNumId w:val="10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69"/>
  </w:num>
  <w:num w:numId="92">
    <w:abstractNumId w:val="49"/>
  </w:num>
  <w:num w:numId="93">
    <w:abstractNumId w:val="0"/>
  </w:num>
  <w:num w:numId="94">
    <w:abstractNumId w:val="38"/>
  </w:num>
  <w:num w:numId="95">
    <w:abstractNumId w:val="0"/>
  </w:num>
  <w:num w:numId="96">
    <w:abstractNumId w:val="38"/>
  </w:num>
  <w:num w:numId="97">
    <w:abstractNumId w:val="28"/>
  </w:num>
  <w:num w:numId="98">
    <w:abstractNumId w:val="0"/>
  </w:num>
  <w:num w:numId="99">
    <w:abstractNumId w:val="0"/>
  </w:num>
  <w:num w:numId="100">
    <w:abstractNumId w:val="0"/>
  </w:num>
  <w:num w:numId="101">
    <w:abstractNumId w:val="0"/>
  </w:num>
  <w:num w:numId="102">
    <w:abstractNumId w:val="0"/>
  </w:num>
  <w:num w:numId="103">
    <w:abstractNumId w:val="0"/>
  </w:num>
  <w:num w:numId="104">
    <w:abstractNumId w:val="0"/>
  </w:num>
  <w:num w:numId="105">
    <w:abstractNumId w:val="0"/>
  </w:num>
  <w:num w:numId="106">
    <w:abstractNumId w:val="10"/>
  </w:num>
  <w:num w:numId="107">
    <w:abstractNumId w:val="70"/>
  </w:num>
  <w:num w:numId="108">
    <w:abstractNumId w:val="0"/>
  </w:num>
  <w:num w:numId="109">
    <w:abstractNumId w:val="0"/>
  </w:num>
  <w:num w:numId="110">
    <w:abstractNumId w:val="0"/>
  </w:num>
  <w:num w:numId="111">
    <w:abstractNumId w:val="0"/>
  </w:num>
  <w:num w:numId="112">
    <w:abstractNumId w:val="0"/>
  </w:num>
  <w:num w:numId="113">
    <w:abstractNumId w:val="68"/>
  </w:num>
  <w:num w:numId="114">
    <w:abstractNumId w:val="9"/>
  </w:num>
  <w:num w:numId="115">
    <w:abstractNumId w:val="95"/>
  </w:num>
  <w:num w:numId="116">
    <w:abstractNumId w:val="29"/>
  </w:num>
  <w:num w:numId="117">
    <w:abstractNumId w:val="54"/>
  </w:num>
  <w:num w:numId="118">
    <w:abstractNumId w:val="38"/>
  </w:num>
  <w:num w:numId="119">
    <w:abstractNumId w:val="85"/>
  </w:num>
  <w:num w:numId="120">
    <w:abstractNumId w:val="104"/>
  </w:num>
  <w:num w:numId="121">
    <w:abstractNumId w:val="64"/>
  </w:num>
  <w:num w:numId="122">
    <w:abstractNumId w:val="89"/>
  </w:num>
  <w:num w:numId="123">
    <w:abstractNumId w:val="0"/>
  </w:num>
  <w:num w:numId="124">
    <w:abstractNumId w:val="6"/>
  </w:num>
  <w:num w:numId="125">
    <w:abstractNumId w:val="0"/>
  </w:num>
  <w:num w:numId="126">
    <w:abstractNumId w:val="46"/>
  </w:num>
  <w:num w:numId="127">
    <w:abstractNumId w:val="57"/>
  </w:num>
  <w:num w:numId="128">
    <w:abstractNumId w:val="80"/>
  </w:num>
  <w:num w:numId="129">
    <w:abstractNumId w:val="0"/>
  </w:num>
  <w:num w:numId="130">
    <w:abstractNumId w:val="38"/>
  </w:num>
  <w:num w:numId="131">
    <w:abstractNumId w:val="38"/>
  </w:num>
  <w:num w:numId="132">
    <w:abstractNumId w:val="38"/>
  </w:num>
  <w:num w:numId="133">
    <w:abstractNumId w:val="38"/>
  </w:num>
  <w:num w:numId="134">
    <w:abstractNumId w:val="109"/>
  </w:num>
  <w:num w:numId="135">
    <w:abstractNumId w:val="8"/>
  </w:num>
  <w:num w:numId="136">
    <w:abstractNumId w:val="21"/>
  </w:num>
  <w:num w:numId="137">
    <w:abstractNumId w:val="91"/>
  </w:num>
  <w:num w:numId="138">
    <w:abstractNumId w:val="82"/>
  </w:num>
  <w:num w:numId="139">
    <w:abstractNumId w:val="90"/>
  </w:num>
  <w:num w:numId="140">
    <w:abstractNumId w:val="0"/>
  </w:num>
  <w:num w:numId="141">
    <w:abstractNumId w:val="0"/>
  </w:num>
  <w:num w:numId="142">
    <w:abstractNumId w:val="0"/>
  </w:num>
  <w:num w:numId="143">
    <w:abstractNumId w:val="0"/>
  </w:num>
  <w:num w:numId="144">
    <w:abstractNumId w:val="38"/>
  </w:num>
  <w:num w:numId="145">
    <w:abstractNumId w:val="56"/>
  </w:num>
  <w:num w:numId="146">
    <w:abstractNumId w:val="56"/>
  </w:num>
  <w:num w:numId="147">
    <w:abstractNumId w:val="0"/>
  </w:num>
  <w:num w:numId="148">
    <w:abstractNumId w:val="0"/>
  </w:num>
  <w:num w:numId="149">
    <w:abstractNumId w:val="0"/>
  </w:num>
  <w:num w:numId="150">
    <w:abstractNumId w:val="76"/>
  </w:num>
  <w:num w:numId="151">
    <w:abstractNumId w:val="0"/>
  </w:num>
  <w:num w:numId="152">
    <w:abstractNumId w:val="0"/>
  </w:num>
  <w:num w:numId="153">
    <w:abstractNumId w:val="0"/>
  </w:num>
  <w:num w:numId="154">
    <w:abstractNumId w:val="0"/>
  </w:num>
  <w:num w:numId="155">
    <w:abstractNumId w:val="0"/>
  </w:num>
  <w:num w:numId="156">
    <w:abstractNumId w:val="0"/>
  </w:num>
  <w:num w:numId="157">
    <w:abstractNumId w:val="0"/>
  </w:num>
  <w:num w:numId="158">
    <w:abstractNumId w:val="0"/>
  </w:num>
  <w:num w:numId="159">
    <w:abstractNumId w:val="0"/>
  </w:num>
  <w:num w:numId="160">
    <w:abstractNumId w:val="79"/>
  </w:num>
  <w:num w:numId="161">
    <w:abstractNumId w:val="0"/>
  </w:num>
  <w:num w:numId="162">
    <w:abstractNumId w:val="0"/>
  </w:num>
  <w:num w:numId="163">
    <w:abstractNumId w:val="0"/>
  </w:num>
  <w:num w:numId="164">
    <w:abstractNumId w:val="0"/>
  </w:num>
  <w:num w:numId="165">
    <w:abstractNumId w:val="0"/>
  </w:num>
  <w:num w:numId="166">
    <w:abstractNumId w:val="0"/>
  </w:num>
  <w:num w:numId="167">
    <w:abstractNumId w:val="38"/>
  </w:num>
  <w:num w:numId="168">
    <w:abstractNumId w:val="62"/>
  </w:num>
  <w:num w:numId="169">
    <w:abstractNumId w:val="0"/>
  </w:num>
  <w:num w:numId="170">
    <w:abstractNumId w:val="47"/>
  </w:num>
  <w:num w:numId="171">
    <w:abstractNumId w:val="44"/>
  </w:num>
  <w:num w:numId="172">
    <w:abstractNumId w:val="0"/>
  </w:num>
  <w:num w:numId="173">
    <w:abstractNumId w:val="0"/>
  </w:num>
  <w:num w:numId="174">
    <w:abstractNumId w:val="0"/>
  </w:num>
  <w:num w:numId="175">
    <w:abstractNumId w:val="0"/>
  </w:num>
  <w:num w:numId="176">
    <w:abstractNumId w:val="0"/>
  </w:num>
  <w:num w:numId="177">
    <w:abstractNumId w:val="0"/>
  </w:num>
  <w:num w:numId="178">
    <w:abstractNumId w:val="14"/>
  </w:num>
  <w:num w:numId="179">
    <w:abstractNumId w:val="0"/>
  </w:num>
  <w:num w:numId="180">
    <w:abstractNumId w:val="0"/>
  </w:num>
  <w:num w:numId="181">
    <w:abstractNumId w:val="0"/>
  </w:num>
  <w:num w:numId="182">
    <w:abstractNumId w:val="0"/>
  </w:num>
  <w:num w:numId="183">
    <w:abstractNumId w:val="0"/>
  </w:num>
  <w:num w:numId="184">
    <w:abstractNumId w:val="101"/>
  </w:num>
  <w:num w:numId="185">
    <w:abstractNumId w:val="34"/>
  </w:num>
  <w:num w:numId="186">
    <w:abstractNumId w:val="45"/>
  </w:num>
  <w:num w:numId="187">
    <w:abstractNumId w:val="39"/>
  </w:num>
  <w:num w:numId="188">
    <w:abstractNumId w:val="84"/>
  </w:num>
  <w:num w:numId="189">
    <w:abstractNumId w:val="52"/>
  </w:num>
  <w:num w:numId="190">
    <w:abstractNumId w:val="0"/>
  </w:num>
  <w:num w:numId="191">
    <w:abstractNumId w:val="0"/>
  </w:num>
  <w:num w:numId="192">
    <w:abstractNumId w:val="0"/>
  </w:num>
  <w:num w:numId="193">
    <w:abstractNumId w:val="27"/>
  </w:num>
  <w:num w:numId="194">
    <w:abstractNumId w:val="7"/>
  </w:num>
  <w:num w:numId="195">
    <w:abstractNumId w:val="32"/>
  </w:num>
  <w:num w:numId="196">
    <w:abstractNumId w:val="38"/>
  </w:num>
  <w:num w:numId="197">
    <w:abstractNumId w:val="38"/>
  </w:num>
  <w:num w:numId="198">
    <w:abstractNumId w:val="0"/>
  </w:num>
  <w:num w:numId="199">
    <w:abstractNumId w:val="0"/>
  </w:num>
  <w:num w:numId="200">
    <w:abstractNumId w:val="0"/>
  </w:num>
  <w:num w:numId="201">
    <w:abstractNumId w:val="0"/>
  </w:num>
  <w:num w:numId="202">
    <w:abstractNumId w:val="0"/>
  </w:num>
  <w:num w:numId="203">
    <w:abstractNumId w:val="0"/>
  </w:num>
  <w:num w:numId="204">
    <w:abstractNumId w:val="58"/>
  </w:num>
  <w:num w:numId="205">
    <w:abstractNumId w:val="26"/>
  </w:num>
  <w:num w:numId="206">
    <w:abstractNumId w:val="0"/>
  </w:num>
  <w:num w:numId="207">
    <w:abstractNumId w:val="0"/>
  </w:num>
  <w:num w:numId="208">
    <w:abstractNumId w:val="100"/>
  </w:num>
  <w:num w:numId="209">
    <w:abstractNumId w:val="74"/>
  </w:num>
  <w:num w:numId="210">
    <w:abstractNumId w:val="0"/>
  </w:num>
  <w:num w:numId="211">
    <w:abstractNumId w:val="83"/>
  </w:num>
  <w:num w:numId="212">
    <w:abstractNumId w:val="0"/>
  </w:num>
  <w:num w:numId="213">
    <w:abstractNumId w:val="38"/>
  </w:num>
  <w:num w:numId="214">
    <w:abstractNumId w:val="38"/>
  </w:num>
  <w:num w:numId="215">
    <w:abstractNumId w:val="38"/>
  </w:num>
  <w:num w:numId="216">
    <w:abstractNumId w:val="0"/>
  </w:num>
  <w:num w:numId="217">
    <w:abstractNumId w:val="54"/>
  </w:num>
  <w:num w:numId="218">
    <w:abstractNumId w:val="0"/>
  </w:num>
  <w:num w:numId="219">
    <w:abstractNumId w:val="0"/>
  </w:num>
  <w:num w:numId="220">
    <w:abstractNumId w:val="0"/>
  </w:num>
  <w:num w:numId="221">
    <w:abstractNumId w:val="0"/>
  </w:num>
  <w:num w:numId="222">
    <w:abstractNumId w:val="0"/>
  </w:num>
  <w:num w:numId="223">
    <w:abstractNumId w:val="0"/>
  </w:num>
  <w:num w:numId="224">
    <w:abstractNumId w:val="0"/>
  </w:num>
  <w:num w:numId="225">
    <w:abstractNumId w:val="0"/>
  </w:num>
  <w:num w:numId="226">
    <w:abstractNumId w:val="0"/>
  </w:num>
  <w:num w:numId="227">
    <w:abstractNumId w:val="33"/>
  </w:num>
  <w:num w:numId="228">
    <w:abstractNumId w:val="73"/>
  </w:num>
  <w:num w:numId="229">
    <w:abstractNumId w:val="0"/>
  </w:num>
  <w:num w:numId="230">
    <w:abstractNumId w:val="87"/>
  </w:num>
  <w:num w:numId="231">
    <w:abstractNumId w:val="0"/>
  </w:num>
  <w:num w:numId="232">
    <w:abstractNumId w:val="0"/>
  </w:num>
  <w:num w:numId="233">
    <w:abstractNumId w:val="94"/>
  </w:num>
  <w:num w:numId="234">
    <w:abstractNumId w:val="0"/>
  </w:num>
  <w:num w:numId="235">
    <w:abstractNumId w:val="94"/>
  </w:num>
  <w:num w:numId="236">
    <w:abstractNumId w:val="0"/>
  </w:num>
  <w:num w:numId="237">
    <w:abstractNumId w:val="0"/>
  </w:num>
  <w:num w:numId="238">
    <w:abstractNumId w:val="0"/>
  </w:num>
  <w:num w:numId="239">
    <w:abstractNumId w:val="99"/>
  </w:num>
  <w:num w:numId="240">
    <w:abstractNumId w:val="38"/>
  </w:num>
  <w:num w:numId="241">
    <w:abstractNumId w:val="38"/>
  </w:num>
  <w:num w:numId="242">
    <w:abstractNumId w:val="38"/>
  </w:num>
  <w:num w:numId="243">
    <w:abstractNumId w:val="99"/>
  </w:num>
  <w:num w:numId="244">
    <w:abstractNumId w:val="0"/>
  </w:num>
  <w:num w:numId="245">
    <w:abstractNumId w:val="0"/>
  </w:num>
  <w:num w:numId="246">
    <w:abstractNumId w:val="0"/>
  </w:num>
  <w:num w:numId="247">
    <w:abstractNumId w:val="0"/>
  </w:num>
  <w:num w:numId="248">
    <w:abstractNumId w:val="0"/>
  </w:num>
  <w:num w:numId="249">
    <w:abstractNumId w:val="0"/>
  </w:num>
  <w:num w:numId="250">
    <w:abstractNumId w:val="0"/>
  </w:num>
  <w:num w:numId="251">
    <w:abstractNumId w:val="107"/>
  </w:num>
  <w:num w:numId="252">
    <w:abstractNumId w:val="107"/>
  </w:num>
  <w:num w:numId="253">
    <w:abstractNumId w:val="0"/>
  </w:num>
  <w:num w:numId="254">
    <w:abstractNumId w:val="16"/>
  </w:num>
  <w:num w:numId="255">
    <w:abstractNumId w:val="0"/>
  </w:num>
  <w:num w:numId="256">
    <w:abstractNumId w:val="0"/>
  </w:num>
  <w:num w:numId="257">
    <w:abstractNumId w:val="0"/>
  </w:num>
  <w:num w:numId="258">
    <w:abstractNumId w:val="0"/>
  </w:num>
  <w:num w:numId="259">
    <w:abstractNumId w:val="97"/>
  </w:num>
  <w:num w:numId="260">
    <w:abstractNumId w:val="0"/>
  </w:num>
  <w:num w:numId="261">
    <w:abstractNumId w:val="98"/>
  </w:num>
  <w:num w:numId="262">
    <w:abstractNumId w:val="55"/>
  </w:num>
  <w:num w:numId="263">
    <w:abstractNumId w:val="38"/>
  </w:num>
  <w:num w:numId="264">
    <w:abstractNumId w:val="38"/>
  </w:num>
  <w:num w:numId="265">
    <w:abstractNumId w:val="38"/>
  </w:num>
  <w:num w:numId="266">
    <w:abstractNumId w:val="2"/>
  </w:num>
  <w:num w:numId="267">
    <w:abstractNumId w:val="31"/>
  </w:num>
  <w:num w:numId="268">
    <w:abstractNumId w:val="0"/>
  </w:num>
  <w:num w:numId="269">
    <w:abstractNumId w:val="0"/>
  </w:num>
  <w:num w:numId="270">
    <w:abstractNumId w:val="0"/>
  </w:num>
  <w:num w:numId="271">
    <w:abstractNumId w:val="0"/>
  </w:num>
  <w:num w:numId="272">
    <w:abstractNumId w:val="0"/>
  </w:num>
  <w:num w:numId="273">
    <w:abstractNumId w:val="0"/>
  </w:num>
  <w:num w:numId="274">
    <w:abstractNumId w:val="11"/>
  </w:num>
  <w:num w:numId="275">
    <w:abstractNumId w:val="0"/>
  </w:num>
  <w:num w:numId="276">
    <w:abstractNumId w:val="0"/>
  </w:num>
  <w:num w:numId="277">
    <w:abstractNumId w:val="0"/>
  </w:num>
  <w:num w:numId="278">
    <w:abstractNumId w:val="0"/>
  </w:num>
  <w:num w:numId="279">
    <w:abstractNumId w:val="0"/>
  </w:num>
  <w:num w:numId="280">
    <w:abstractNumId w:val="5"/>
  </w:num>
  <w:num w:numId="281">
    <w:abstractNumId w:val="0"/>
  </w:num>
  <w:num w:numId="282">
    <w:abstractNumId w:val="0"/>
  </w:num>
  <w:num w:numId="283">
    <w:abstractNumId w:val="0"/>
  </w:num>
  <w:num w:numId="284">
    <w:abstractNumId w:val="35"/>
  </w:num>
  <w:num w:numId="285">
    <w:abstractNumId w:val="0"/>
  </w:num>
  <w:num w:numId="286">
    <w:abstractNumId w:val="13"/>
  </w:num>
  <w:num w:numId="287">
    <w:abstractNumId w:val="0"/>
  </w:num>
  <w:num w:numId="288">
    <w:abstractNumId w:val="93"/>
  </w:num>
  <w:num w:numId="289">
    <w:abstractNumId w:val="0"/>
  </w:num>
  <w:num w:numId="290">
    <w:abstractNumId w:val="0"/>
  </w:num>
  <w:num w:numId="291">
    <w:abstractNumId w:val="0"/>
  </w:num>
  <w:num w:numId="292">
    <w:abstractNumId w:val="0"/>
  </w:num>
  <w:num w:numId="293">
    <w:abstractNumId w:val="0"/>
  </w:num>
  <w:num w:numId="294">
    <w:abstractNumId w:val="0"/>
  </w:num>
  <w:num w:numId="295">
    <w:abstractNumId w:val="0"/>
  </w:num>
  <w:num w:numId="296">
    <w:abstractNumId w:val="0"/>
  </w:num>
  <w:num w:numId="297">
    <w:abstractNumId w:val="0"/>
  </w:num>
  <w:num w:numId="298">
    <w:abstractNumId w:val="0"/>
  </w:num>
  <w:num w:numId="299">
    <w:abstractNumId w:val="0"/>
  </w:num>
  <w:num w:numId="300">
    <w:abstractNumId w:val="0"/>
  </w:num>
  <w:num w:numId="301">
    <w:abstractNumId w:val="0"/>
  </w:num>
  <w:num w:numId="302">
    <w:abstractNumId w:val="0"/>
  </w:num>
  <w:num w:numId="303">
    <w:abstractNumId w:val="38"/>
  </w:num>
  <w:num w:numId="304">
    <w:abstractNumId w:val="59"/>
  </w:num>
  <w:num w:numId="305">
    <w:abstractNumId w:val="54"/>
  </w:num>
  <w:num w:numId="306">
    <w:abstractNumId w:val="0"/>
  </w:num>
  <w:num w:numId="307">
    <w:abstractNumId w:val="0"/>
  </w:num>
  <w:num w:numId="308">
    <w:abstractNumId w:val="0"/>
  </w:num>
  <w:num w:numId="309">
    <w:abstractNumId w:val="0"/>
  </w:num>
  <w:num w:numId="310">
    <w:abstractNumId w:val="0"/>
  </w:num>
  <w:num w:numId="311">
    <w:abstractNumId w:val="0"/>
  </w:num>
  <w:num w:numId="312">
    <w:abstractNumId w:val="0"/>
  </w:num>
  <w:num w:numId="313">
    <w:abstractNumId w:val="54"/>
  </w:num>
  <w:num w:numId="314">
    <w:abstractNumId w:val="54"/>
  </w:num>
  <w:num w:numId="315">
    <w:abstractNumId w:val="75"/>
  </w:num>
  <w:numIdMacAtCleanup w:val="3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A6AADA0A-D36D-4E6B-B221-815D605F3FDF"/>
    <w:docVar w:name="LW_COVERPAGE_TYPE" w:val="1"/>
    <w:docVar w:name="LW_CROSSREFERENCE" w:val="&lt;UNUSED&gt;"/>
    <w:docVar w:name="LW_DocType" w:val="8B5F001986C441DEB228AB30F9963E53"/>
    <w:docVar w:name="LW_EMISSION" w:val="20.3.2024"/>
    <w:docVar w:name="LW_EMISSION_ISODATE" w:val="2024-03-20"/>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4) 13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énuries de main-d'\u339?uvre et de compétences dans l'UE: plan d'action_x000d__x000b__x000d__x000b_"/>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0D551A"/>
    <w:rsid w:val="000001B9"/>
    <w:rsid w:val="000001F5"/>
    <w:rsid w:val="000002A2"/>
    <w:rsid w:val="00000343"/>
    <w:rsid w:val="000003D9"/>
    <w:rsid w:val="0000049E"/>
    <w:rsid w:val="00000511"/>
    <w:rsid w:val="000005B2"/>
    <w:rsid w:val="00000686"/>
    <w:rsid w:val="000006C1"/>
    <w:rsid w:val="000006DA"/>
    <w:rsid w:val="000006F3"/>
    <w:rsid w:val="000007F4"/>
    <w:rsid w:val="00000806"/>
    <w:rsid w:val="000008CD"/>
    <w:rsid w:val="00000A83"/>
    <w:rsid w:val="00000C4E"/>
    <w:rsid w:val="00000D9F"/>
    <w:rsid w:val="00000DAE"/>
    <w:rsid w:val="00000DBD"/>
    <w:rsid w:val="0000102F"/>
    <w:rsid w:val="00001119"/>
    <w:rsid w:val="00001544"/>
    <w:rsid w:val="0000164F"/>
    <w:rsid w:val="00001690"/>
    <w:rsid w:val="0000183A"/>
    <w:rsid w:val="0000186A"/>
    <w:rsid w:val="00001B2E"/>
    <w:rsid w:val="00001DD2"/>
    <w:rsid w:val="00001ECC"/>
    <w:rsid w:val="0000200A"/>
    <w:rsid w:val="0000205E"/>
    <w:rsid w:val="00002080"/>
    <w:rsid w:val="00002107"/>
    <w:rsid w:val="00002119"/>
    <w:rsid w:val="00002161"/>
    <w:rsid w:val="0000222E"/>
    <w:rsid w:val="00002285"/>
    <w:rsid w:val="0000228F"/>
    <w:rsid w:val="0000229E"/>
    <w:rsid w:val="000023A0"/>
    <w:rsid w:val="000023FE"/>
    <w:rsid w:val="00002401"/>
    <w:rsid w:val="000024AD"/>
    <w:rsid w:val="000024E4"/>
    <w:rsid w:val="000026AE"/>
    <w:rsid w:val="000026BD"/>
    <w:rsid w:val="000026C5"/>
    <w:rsid w:val="00002718"/>
    <w:rsid w:val="000027E7"/>
    <w:rsid w:val="0000285A"/>
    <w:rsid w:val="000028DA"/>
    <w:rsid w:val="000029C7"/>
    <w:rsid w:val="00002A20"/>
    <w:rsid w:val="00002BB6"/>
    <w:rsid w:val="00002C87"/>
    <w:rsid w:val="00002CFE"/>
    <w:rsid w:val="00002FCA"/>
    <w:rsid w:val="000031C7"/>
    <w:rsid w:val="0000330B"/>
    <w:rsid w:val="0000335F"/>
    <w:rsid w:val="0000342B"/>
    <w:rsid w:val="00003587"/>
    <w:rsid w:val="0000360D"/>
    <w:rsid w:val="0000364C"/>
    <w:rsid w:val="0000371C"/>
    <w:rsid w:val="000038C0"/>
    <w:rsid w:val="000038DE"/>
    <w:rsid w:val="0000393F"/>
    <w:rsid w:val="00003A1A"/>
    <w:rsid w:val="00003ADF"/>
    <w:rsid w:val="00003C1E"/>
    <w:rsid w:val="00003E1F"/>
    <w:rsid w:val="00003E7D"/>
    <w:rsid w:val="00003F7E"/>
    <w:rsid w:val="00004006"/>
    <w:rsid w:val="000040C5"/>
    <w:rsid w:val="000040FA"/>
    <w:rsid w:val="000040FE"/>
    <w:rsid w:val="00004148"/>
    <w:rsid w:val="0000425B"/>
    <w:rsid w:val="000042C8"/>
    <w:rsid w:val="00004396"/>
    <w:rsid w:val="0000449D"/>
    <w:rsid w:val="00004704"/>
    <w:rsid w:val="00004747"/>
    <w:rsid w:val="0000482D"/>
    <w:rsid w:val="000049F8"/>
    <w:rsid w:val="00004AA3"/>
    <w:rsid w:val="00004AFD"/>
    <w:rsid w:val="00004BF9"/>
    <w:rsid w:val="00004C62"/>
    <w:rsid w:val="00004C71"/>
    <w:rsid w:val="00004DDE"/>
    <w:rsid w:val="00004E21"/>
    <w:rsid w:val="00004EEA"/>
    <w:rsid w:val="00004F15"/>
    <w:rsid w:val="00004F67"/>
    <w:rsid w:val="000050D4"/>
    <w:rsid w:val="00005238"/>
    <w:rsid w:val="000052E0"/>
    <w:rsid w:val="0000537A"/>
    <w:rsid w:val="0000542E"/>
    <w:rsid w:val="0000556E"/>
    <w:rsid w:val="000055C3"/>
    <w:rsid w:val="000057A5"/>
    <w:rsid w:val="000057F2"/>
    <w:rsid w:val="00005900"/>
    <w:rsid w:val="000059B6"/>
    <w:rsid w:val="000059C7"/>
    <w:rsid w:val="000059D4"/>
    <w:rsid w:val="00005ACE"/>
    <w:rsid w:val="00005AE3"/>
    <w:rsid w:val="00005B09"/>
    <w:rsid w:val="00005B58"/>
    <w:rsid w:val="00005BB5"/>
    <w:rsid w:val="00005BC0"/>
    <w:rsid w:val="00005D9D"/>
    <w:rsid w:val="00005DA4"/>
    <w:rsid w:val="00005DFA"/>
    <w:rsid w:val="00005DFF"/>
    <w:rsid w:val="00005ED4"/>
    <w:rsid w:val="00006221"/>
    <w:rsid w:val="0000622C"/>
    <w:rsid w:val="000062D1"/>
    <w:rsid w:val="000062E3"/>
    <w:rsid w:val="00006336"/>
    <w:rsid w:val="00006404"/>
    <w:rsid w:val="0000641D"/>
    <w:rsid w:val="0000648E"/>
    <w:rsid w:val="00006654"/>
    <w:rsid w:val="000069E4"/>
    <w:rsid w:val="00006A6C"/>
    <w:rsid w:val="00006A8D"/>
    <w:rsid w:val="00006AE9"/>
    <w:rsid w:val="00006BDB"/>
    <w:rsid w:val="00006C48"/>
    <w:rsid w:val="00006C64"/>
    <w:rsid w:val="00006CDD"/>
    <w:rsid w:val="00006D07"/>
    <w:rsid w:val="00006D22"/>
    <w:rsid w:val="00006E72"/>
    <w:rsid w:val="00006E78"/>
    <w:rsid w:val="000070D0"/>
    <w:rsid w:val="0000711D"/>
    <w:rsid w:val="00007151"/>
    <w:rsid w:val="00007197"/>
    <w:rsid w:val="000071D3"/>
    <w:rsid w:val="0000730E"/>
    <w:rsid w:val="0000733A"/>
    <w:rsid w:val="000074A5"/>
    <w:rsid w:val="00007679"/>
    <w:rsid w:val="000076A9"/>
    <w:rsid w:val="000076C1"/>
    <w:rsid w:val="000076D0"/>
    <w:rsid w:val="00007932"/>
    <w:rsid w:val="00007A2C"/>
    <w:rsid w:val="00007A4C"/>
    <w:rsid w:val="00007B8D"/>
    <w:rsid w:val="00007B98"/>
    <w:rsid w:val="00007DCB"/>
    <w:rsid w:val="00007FB8"/>
    <w:rsid w:val="00010087"/>
    <w:rsid w:val="000100AE"/>
    <w:rsid w:val="0001026C"/>
    <w:rsid w:val="000102F5"/>
    <w:rsid w:val="00010345"/>
    <w:rsid w:val="0001040C"/>
    <w:rsid w:val="0001048F"/>
    <w:rsid w:val="00010494"/>
    <w:rsid w:val="00010649"/>
    <w:rsid w:val="00010984"/>
    <w:rsid w:val="00010A88"/>
    <w:rsid w:val="00010B37"/>
    <w:rsid w:val="00010C55"/>
    <w:rsid w:val="00010D41"/>
    <w:rsid w:val="00010F2A"/>
    <w:rsid w:val="0001105B"/>
    <w:rsid w:val="00011188"/>
    <w:rsid w:val="000111AB"/>
    <w:rsid w:val="000111F5"/>
    <w:rsid w:val="00011349"/>
    <w:rsid w:val="00011399"/>
    <w:rsid w:val="00011550"/>
    <w:rsid w:val="000115D0"/>
    <w:rsid w:val="000116ED"/>
    <w:rsid w:val="000119FF"/>
    <w:rsid w:val="00011A7F"/>
    <w:rsid w:val="00011AAD"/>
    <w:rsid w:val="00011AEA"/>
    <w:rsid w:val="00011B2C"/>
    <w:rsid w:val="00011B7E"/>
    <w:rsid w:val="00011BE9"/>
    <w:rsid w:val="00011C8B"/>
    <w:rsid w:val="00011CF1"/>
    <w:rsid w:val="00011DB4"/>
    <w:rsid w:val="00011E40"/>
    <w:rsid w:val="00011E52"/>
    <w:rsid w:val="00012023"/>
    <w:rsid w:val="00012077"/>
    <w:rsid w:val="000120AB"/>
    <w:rsid w:val="0001212B"/>
    <w:rsid w:val="00012209"/>
    <w:rsid w:val="0001229D"/>
    <w:rsid w:val="000122A9"/>
    <w:rsid w:val="00012525"/>
    <w:rsid w:val="00012595"/>
    <w:rsid w:val="00012614"/>
    <w:rsid w:val="000126D0"/>
    <w:rsid w:val="0001278F"/>
    <w:rsid w:val="000128CC"/>
    <w:rsid w:val="000129B7"/>
    <w:rsid w:val="00012AB2"/>
    <w:rsid w:val="00012BF7"/>
    <w:rsid w:val="00012C3D"/>
    <w:rsid w:val="00012C6E"/>
    <w:rsid w:val="00012CE4"/>
    <w:rsid w:val="00012D6F"/>
    <w:rsid w:val="00012DC8"/>
    <w:rsid w:val="00012E58"/>
    <w:rsid w:val="00012F9B"/>
    <w:rsid w:val="0001312F"/>
    <w:rsid w:val="00013252"/>
    <w:rsid w:val="0001343D"/>
    <w:rsid w:val="000135CE"/>
    <w:rsid w:val="00013626"/>
    <w:rsid w:val="0001365C"/>
    <w:rsid w:val="0001379F"/>
    <w:rsid w:val="000137DF"/>
    <w:rsid w:val="0001391A"/>
    <w:rsid w:val="00013BD5"/>
    <w:rsid w:val="00013C3A"/>
    <w:rsid w:val="00013EB3"/>
    <w:rsid w:val="000140B9"/>
    <w:rsid w:val="0001418A"/>
    <w:rsid w:val="000142AD"/>
    <w:rsid w:val="000143AC"/>
    <w:rsid w:val="00014572"/>
    <w:rsid w:val="0001468C"/>
    <w:rsid w:val="0001468D"/>
    <w:rsid w:val="000146C8"/>
    <w:rsid w:val="00014849"/>
    <w:rsid w:val="000148A7"/>
    <w:rsid w:val="00014C64"/>
    <w:rsid w:val="00014CAD"/>
    <w:rsid w:val="00014DAE"/>
    <w:rsid w:val="00014DFD"/>
    <w:rsid w:val="00014EC6"/>
    <w:rsid w:val="00014F1D"/>
    <w:rsid w:val="00014FD9"/>
    <w:rsid w:val="0001508B"/>
    <w:rsid w:val="000150E8"/>
    <w:rsid w:val="000151A8"/>
    <w:rsid w:val="000152C1"/>
    <w:rsid w:val="000154E4"/>
    <w:rsid w:val="000155B6"/>
    <w:rsid w:val="000155DF"/>
    <w:rsid w:val="000156CE"/>
    <w:rsid w:val="000156E1"/>
    <w:rsid w:val="0001574F"/>
    <w:rsid w:val="00015783"/>
    <w:rsid w:val="0001589F"/>
    <w:rsid w:val="00015A70"/>
    <w:rsid w:val="00015A8E"/>
    <w:rsid w:val="00015A9D"/>
    <w:rsid w:val="00015AEA"/>
    <w:rsid w:val="00015B97"/>
    <w:rsid w:val="00015C87"/>
    <w:rsid w:val="00015D3C"/>
    <w:rsid w:val="00015D79"/>
    <w:rsid w:val="00015DA0"/>
    <w:rsid w:val="00015DD7"/>
    <w:rsid w:val="00015E26"/>
    <w:rsid w:val="00015E35"/>
    <w:rsid w:val="00016078"/>
    <w:rsid w:val="000160C6"/>
    <w:rsid w:val="00016120"/>
    <w:rsid w:val="000161B9"/>
    <w:rsid w:val="000161F5"/>
    <w:rsid w:val="0001624E"/>
    <w:rsid w:val="00016364"/>
    <w:rsid w:val="000163A4"/>
    <w:rsid w:val="000163CA"/>
    <w:rsid w:val="00016403"/>
    <w:rsid w:val="000166A0"/>
    <w:rsid w:val="00016707"/>
    <w:rsid w:val="00016753"/>
    <w:rsid w:val="0001679A"/>
    <w:rsid w:val="0001686B"/>
    <w:rsid w:val="00016878"/>
    <w:rsid w:val="00016981"/>
    <w:rsid w:val="00016D11"/>
    <w:rsid w:val="00016DBA"/>
    <w:rsid w:val="00016E6F"/>
    <w:rsid w:val="00016ED1"/>
    <w:rsid w:val="00016F85"/>
    <w:rsid w:val="00017028"/>
    <w:rsid w:val="00017062"/>
    <w:rsid w:val="0001706D"/>
    <w:rsid w:val="000170A5"/>
    <w:rsid w:val="0001721B"/>
    <w:rsid w:val="00017252"/>
    <w:rsid w:val="00017297"/>
    <w:rsid w:val="00017347"/>
    <w:rsid w:val="00017389"/>
    <w:rsid w:val="0001779C"/>
    <w:rsid w:val="000177E8"/>
    <w:rsid w:val="0001786C"/>
    <w:rsid w:val="00017A0F"/>
    <w:rsid w:val="00017A50"/>
    <w:rsid w:val="00017AC6"/>
    <w:rsid w:val="00017ACB"/>
    <w:rsid w:val="00017AF8"/>
    <w:rsid w:val="00017B5A"/>
    <w:rsid w:val="00017B9A"/>
    <w:rsid w:val="00017BFD"/>
    <w:rsid w:val="00017CDC"/>
    <w:rsid w:val="00017CEB"/>
    <w:rsid w:val="00017E0F"/>
    <w:rsid w:val="00017F59"/>
    <w:rsid w:val="00017FC6"/>
    <w:rsid w:val="00020023"/>
    <w:rsid w:val="000200D0"/>
    <w:rsid w:val="00020138"/>
    <w:rsid w:val="0002013D"/>
    <w:rsid w:val="00020148"/>
    <w:rsid w:val="00020167"/>
    <w:rsid w:val="00020204"/>
    <w:rsid w:val="000202B4"/>
    <w:rsid w:val="000203D6"/>
    <w:rsid w:val="000203F2"/>
    <w:rsid w:val="0002047C"/>
    <w:rsid w:val="00020539"/>
    <w:rsid w:val="00020688"/>
    <w:rsid w:val="0002072C"/>
    <w:rsid w:val="00020790"/>
    <w:rsid w:val="00020796"/>
    <w:rsid w:val="00020841"/>
    <w:rsid w:val="0002089B"/>
    <w:rsid w:val="000208CB"/>
    <w:rsid w:val="000208D5"/>
    <w:rsid w:val="00020967"/>
    <w:rsid w:val="00020992"/>
    <w:rsid w:val="00020998"/>
    <w:rsid w:val="00020A55"/>
    <w:rsid w:val="00020AD7"/>
    <w:rsid w:val="00020B0E"/>
    <w:rsid w:val="00020B78"/>
    <w:rsid w:val="00020D5B"/>
    <w:rsid w:val="00020DC6"/>
    <w:rsid w:val="00020ED0"/>
    <w:rsid w:val="00020EDB"/>
    <w:rsid w:val="000210AD"/>
    <w:rsid w:val="0002113C"/>
    <w:rsid w:val="000211CB"/>
    <w:rsid w:val="000212E2"/>
    <w:rsid w:val="000214F5"/>
    <w:rsid w:val="00021527"/>
    <w:rsid w:val="000216AB"/>
    <w:rsid w:val="00021770"/>
    <w:rsid w:val="00021797"/>
    <w:rsid w:val="000217BB"/>
    <w:rsid w:val="0002188B"/>
    <w:rsid w:val="000218E8"/>
    <w:rsid w:val="00021995"/>
    <w:rsid w:val="000219B3"/>
    <w:rsid w:val="00021A41"/>
    <w:rsid w:val="00021A80"/>
    <w:rsid w:val="00021AA0"/>
    <w:rsid w:val="00021B5B"/>
    <w:rsid w:val="00021B83"/>
    <w:rsid w:val="00021B94"/>
    <w:rsid w:val="00021C61"/>
    <w:rsid w:val="00021CBC"/>
    <w:rsid w:val="00021DD1"/>
    <w:rsid w:val="00021F4D"/>
    <w:rsid w:val="00021FA4"/>
    <w:rsid w:val="00021FD8"/>
    <w:rsid w:val="00021FE2"/>
    <w:rsid w:val="00021FFC"/>
    <w:rsid w:val="00022080"/>
    <w:rsid w:val="0002213A"/>
    <w:rsid w:val="00022327"/>
    <w:rsid w:val="000223E1"/>
    <w:rsid w:val="000224E4"/>
    <w:rsid w:val="00022501"/>
    <w:rsid w:val="0002250C"/>
    <w:rsid w:val="00022914"/>
    <w:rsid w:val="00022935"/>
    <w:rsid w:val="0002293B"/>
    <w:rsid w:val="00022A08"/>
    <w:rsid w:val="00022B73"/>
    <w:rsid w:val="00022E6D"/>
    <w:rsid w:val="00022E75"/>
    <w:rsid w:val="00022EFE"/>
    <w:rsid w:val="00022F9C"/>
    <w:rsid w:val="00022F9E"/>
    <w:rsid w:val="00022FB6"/>
    <w:rsid w:val="000234F3"/>
    <w:rsid w:val="00023631"/>
    <w:rsid w:val="000236A4"/>
    <w:rsid w:val="0002380C"/>
    <w:rsid w:val="0002389E"/>
    <w:rsid w:val="0002392B"/>
    <w:rsid w:val="00023978"/>
    <w:rsid w:val="00023B82"/>
    <w:rsid w:val="00023BFA"/>
    <w:rsid w:val="00023C11"/>
    <w:rsid w:val="00023E36"/>
    <w:rsid w:val="00023ED4"/>
    <w:rsid w:val="0002402B"/>
    <w:rsid w:val="00024222"/>
    <w:rsid w:val="00024370"/>
    <w:rsid w:val="0002472B"/>
    <w:rsid w:val="0002473F"/>
    <w:rsid w:val="00024793"/>
    <w:rsid w:val="00024A81"/>
    <w:rsid w:val="00024C02"/>
    <w:rsid w:val="00024CF6"/>
    <w:rsid w:val="00024D9E"/>
    <w:rsid w:val="00024DFC"/>
    <w:rsid w:val="00024E3D"/>
    <w:rsid w:val="00024EFD"/>
    <w:rsid w:val="00024FD3"/>
    <w:rsid w:val="0002516E"/>
    <w:rsid w:val="000251A8"/>
    <w:rsid w:val="0002524E"/>
    <w:rsid w:val="00025400"/>
    <w:rsid w:val="00025494"/>
    <w:rsid w:val="000255FC"/>
    <w:rsid w:val="000256BC"/>
    <w:rsid w:val="0002580C"/>
    <w:rsid w:val="00025851"/>
    <w:rsid w:val="00025B41"/>
    <w:rsid w:val="00025C3C"/>
    <w:rsid w:val="00025C82"/>
    <w:rsid w:val="00025D1C"/>
    <w:rsid w:val="00025D61"/>
    <w:rsid w:val="00025D8C"/>
    <w:rsid w:val="00025DC4"/>
    <w:rsid w:val="00025E9D"/>
    <w:rsid w:val="00025F13"/>
    <w:rsid w:val="00025F5B"/>
    <w:rsid w:val="00025F76"/>
    <w:rsid w:val="00025FA1"/>
    <w:rsid w:val="00025FC8"/>
    <w:rsid w:val="00026001"/>
    <w:rsid w:val="00026021"/>
    <w:rsid w:val="000260E5"/>
    <w:rsid w:val="0002612A"/>
    <w:rsid w:val="00026152"/>
    <w:rsid w:val="00026217"/>
    <w:rsid w:val="00026465"/>
    <w:rsid w:val="00026784"/>
    <w:rsid w:val="00026893"/>
    <w:rsid w:val="00026ACF"/>
    <w:rsid w:val="00026C1B"/>
    <w:rsid w:val="00026CAF"/>
    <w:rsid w:val="00026D09"/>
    <w:rsid w:val="00026E5B"/>
    <w:rsid w:val="00026F1E"/>
    <w:rsid w:val="00027038"/>
    <w:rsid w:val="0002712B"/>
    <w:rsid w:val="0002737E"/>
    <w:rsid w:val="00027470"/>
    <w:rsid w:val="000275D2"/>
    <w:rsid w:val="000276EE"/>
    <w:rsid w:val="000276FA"/>
    <w:rsid w:val="000277ED"/>
    <w:rsid w:val="00027A6B"/>
    <w:rsid w:val="00027E59"/>
    <w:rsid w:val="00027E6E"/>
    <w:rsid w:val="00027F18"/>
    <w:rsid w:val="00027F30"/>
    <w:rsid w:val="0002B71F"/>
    <w:rsid w:val="00030204"/>
    <w:rsid w:val="0003023E"/>
    <w:rsid w:val="00030279"/>
    <w:rsid w:val="00030367"/>
    <w:rsid w:val="00030496"/>
    <w:rsid w:val="000304CE"/>
    <w:rsid w:val="00030519"/>
    <w:rsid w:val="00030552"/>
    <w:rsid w:val="00030664"/>
    <w:rsid w:val="000306AD"/>
    <w:rsid w:val="000306EA"/>
    <w:rsid w:val="0003073B"/>
    <w:rsid w:val="000308C9"/>
    <w:rsid w:val="000308DC"/>
    <w:rsid w:val="00030916"/>
    <w:rsid w:val="00030922"/>
    <w:rsid w:val="000309ED"/>
    <w:rsid w:val="00030B82"/>
    <w:rsid w:val="00030E51"/>
    <w:rsid w:val="00030E76"/>
    <w:rsid w:val="00030EFC"/>
    <w:rsid w:val="00030F66"/>
    <w:rsid w:val="00030F9C"/>
    <w:rsid w:val="000310D9"/>
    <w:rsid w:val="00031117"/>
    <w:rsid w:val="00031140"/>
    <w:rsid w:val="0003119A"/>
    <w:rsid w:val="000312C5"/>
    <w:rsid w:val="000313E6"/>
    <w:rsid w:val="00031458"/>
    <w:rsid w:val="0003154C"/>
    <w:rsid w:val="000315A1"/>
    <w:rsid w:val="00031965"/>
    <w:rsid w:val="00031A1C"/>
    <w:rsid w:val="00031C0F"/>
    <w:rsid w:val="00031D9D"/>
    <w:rsid w:val="00031E18"/>
    <w:rsid w:val="00031E1A"/>
    <w:rsid w:val="00031E27"/>
    <w:rsid w:val="00031F34"/>
    <w:rsid w:val="00032142"/>
    <w:rsid w:val="000321F3"/>
    <w:rsid w:val="0003227D"/>
    <w:rsid w:val="000324FD"/>
    <w:rsid w:val="00032563"/>
    <w:rsid w:val="00032586"/>
    <w:rsid w:val="00032595"/>
    <w:rsid w:val="0003290F"/>
    <w:rsid w:val="000329CE"/>
    <w:rsid w:val="00032A02"/>
    <w:rsid w:val="00032A1E"/>
    <w:rsid w:val="00032A6A"/>
    <w:rsid w:val="00032B80"/>
    <w:rsid w:val="00032B83"/>
    <w:rsid w:val="00032B87"/>
    <w:rsid w:val="00032BB3"/>
    <w:rsid w:val="00032BBE"/>
    <w:rsid w:val="00032CF8"/>
    <w:rsid w:val="00032D15"/>
    <w:rsid w:val="00032D7E"/>
    <w:rsid w:val="00032E12"/>
    <w:rsid w:val="00032EB7"/>
    <w:rsid w:val="00032F17"/>
    <w:rsid w:val="00032F1F"/>
    <w:rsid w:val="0003311F"/>
    <w:rsid w:val="00033129"/>
    <w:rsid w:val="00033139"/>
    <w:rsid w:val="000331C5"/>
    <w:rsid w:val="0003322E"/>
    <w:rsid w:val="000332C2"/>
    <w:rsid w:val="00033416"/>
    <w:rsid w:val="00033521"/>
    <w:rsid w:val="0003397C"/>
    <w:rsid w:val="00033997"/>
    <w:rsid w:val="000339FF"/>
    <w:rsid w:val="00033B16"/>
    <w:rsid w:val="00033BBB"/>
    <w:rsid w:val="00033BC2"/>
    <w:rsid w:val="00033CE3"/>
    <w:rsid w:val="00033D54"/>
    <w:rsid w:val="00033D7B"/>
    <w:rsid w:val="00033D7E"/>
    <w:rsid w:val="00033DE8"/>
    <w:rsid w:val="00033EDD"/>
    <w:rsid w:val="00033F75"/>
    <w:rsid w:val="00033FF7"/>
    <w:rsid w:val="00034081"/>
    <w:rsid w:val="00034107"/>
    <w:rsid w:val="00034119"/>
    <w:rsid w:val="00034255"/>
    <w:rsid w:val="00034402"/>
    <w:rsid w:val="00034668"/>
    <w:rsid w:val="00034711"/>
    <w:rsid w:val="0003486B"/>
    <w:rsid w:val="00034ACA"/>
    <w:rsid w:val="00034B64"/>
    <w:rsid w:val="00034EA4"/>
    <w:rsid w:val="00035033"/>
    <w:rsid w:val="00035050"/>
    <w:rsid w:val="000350A4"/>
    <w:rsid w:val="000350E7"/>
    <w:rsid w:val="000351E5"/>
    <w:rsid w:val="0003525C"/>
    <w:rsid w:val="00035467"/>
    <w:rsid w:val="000354F1"/>
    <w:rsid w:val="0003576A"/>
    <w:rsid w:val="000357E3"/>
    <w:rsid w:val="000357F1"/>
    <w:rsid w:val="0003589D"/>
    <w:rsid w:val="0003599B"/>
    <w:rsid w:val="000359D1"/>
    <w:rsid w:val="00035A5D"/>
    <w:rsid w:val="00035AB3"/>
    <w:rsid w:val="00035AC8"/>
    <w:rsid w:val="00035ACF"/>
    <w:rsid w:val="00035B7E"/>
    <w:rsid w:val="00035DBF"/>
    <w:rsid w:val="00035E0E"/>
    <w:rsid w:val="00035E0F"/>
    <w:rsid w:val="00035FE7"/>
    <w:rsid w:val="00036041"/>
    <w:rsid w:val="000360E6"/>
    <w:rsid w:val="00036211"/>
    <w:rsid w:val="0003621B"/>
    <w:rsid w:val="0003634D"/>
    <w:rsid w:val="000363A8"/>
    <w:rsid w:val="000363D9"/>
    <w:rsid w:val="0003640E"/>
    <w:rsid w:val="00036445"/>
    <w:rsid w:val="00036604"/>
    <w:rsid w:val="0003664B"/>
    <w:rsid w:val="00036A6F"/>
    <w:rsid w:val="00036D32"/>
    <w:rsid w:val="00036D39"/>
    <w:rsid w:val="00036DB3"/>
    <w:rsid w:val="00036DC5"/>
    <w:rsid w:val="00036F74"/>
    <w:rsid w:val="0003706F"/>
    <w:rsid w:val="00037241"/>
    <w:rsid w:val="000372C6"/>
    <w:rsid w:val="00037461"/>
    <w:rsid w:val="00037575"/>
    <w:rsid w:val="00037597"/>
    <w:rsid w:val="000375E4"/>
    <w:rsid w:val="000375E5"/>
    <w:rsid w:val="000376C2"/>
    <w:rsid w:val="000376CA"/>
    <w:rsid w:val="00037732"/>
    <w:rsid w:val="00037736"/>
    <w:rsid w:val="000378FC"/>
    <w:rsid w:val="00037922"/>
    <w:rsid w:val="000379CB"/>
    <w:rsid w:val="00037A2D"/>
    <w:rsid w:val="00037A6E"/>
    <w:rsid w:val="00037CAF"/>
    <w:rsid w:val="00037D69"/>
    <w:rsid w:val="00037DCC"/>
    <w:rsid w:val="00037E46"/>
    <w:rsid w:val="00037EAC"/>
    <w:rsid w:val="00037ECA"/>
    <w:rsid w:val="00037EDD"/>
    <w:rsid w:val="00037EFB"/>
    <w:rsid w:val="0004002E"/>
    <w:rsid w:val="0004011F"/>
    <w:rsid w:val="000401A9"/>
    <w:rsid w:val="00040268"/>
    <w:rsid w:val="000402A2"/>
    <w:rsid w:val="0004030B"/>
    <w:rsid w:val="00040336"/>
    <w:rsid w:val="00040352"/>
    <w:rsid w:val="0004036A"/>
    <w:rsid w:val="000404CE"/>
    <w:rsid w:val="0004051E"/>
    <w:rsid w:val="00040537"/>
    <w:rsid w:val="000405A9"/>
    <w:rsid w:val="000405B5"/>
    <w:rsid w:val="00040952"/>
    <w:rsid w:val="0004098C"/>
    <w:rsid w:val="00040A62"/>
    <w:rsid w:val="00040AEA"/>
    <w:rsid w:val="00040B65"/>
    <w:rsid w:val="00040BB7"/>
    <w:rsid w:val="00040C80"/>
    <w:rsid w:val="00040E08"/>
    <w:rsid w:val="00040EA7"/>
    <w:rsid w:val="00040EBA"/>
    <w:rsid w:val="00040EC3"/>
    <w:rsid w:val="00040EF4"/>
    <w:rsid w:val="00040F8B"/>
    <w:rsid w:val="00041004"/>
    <w:rsid w:val="00041180"/>
    <w:rsid w:val="00041413"/>
    <w:rsid w:val="00041490"/>
    <w:rsid w:val="00041532"/>
    <w:rsid w:val="0004153E"/>
    <w:rsid w:val="000415BA"/>
    <w:rsid w:val="00041653"/>
    <w:rsid w:val="0004177D"/>
    <w:rsid w:val="00041910"/>
    <w:rsid w:val="00041957"/>
    <w:rsid w:val="000419F9"/>
    <w:rsid w:val="00041A01"/>
    <w:rsid w:val="00041A3B"/>
    <w:rsid w:val="00041A92"/>
    <w:rsid w:val="00041B59"/>
    <w:rsid w:val="00041DAC"/>
    <w:rsid w:val="00041E45"/>
    <w:rsid w:val="00041EAA"/>
    <w:rsid w:val="00041F4A"/>
    <w:rsid w:val="00041FAD"/>
    <w:rsid w:val="00042045"/>
    <w:rsid w:val="00042052"/>
    <w:rsid w:val="00042060"/>
    <w:rsid w:val="0004206C"/>
    <w:rsid w:val="00042107"/>
    <w:rsid w:val="0004219D"/>
    <w:rsid w:val="000421CB"/>
    <w:rsid w:val="00042300"/>
    <w:rsid w:val="000423CA"/>
    <w:rsid w:val="000424A9"/>
    <w:rsid w:val="00042770"/>
    <w:rsid w:val="0004284F"/>
    <w:rsid w:val="00042851"/>
    <w:rsid w:val="000428C2"/>
    <w:rsid w:val="0004293A"/>
    <w:rsid w:val="00042A30"/>
    <w:rsid w:val="00042AD5"/>
    <w:rsid w:val="00042AF6"/>
    <w:rsid w:val="00042B4C"/>
    <w:rsid w:val="00042B7E"/>
    <w:rsid w:val="00042CF5"/>
    <w:rsid w:val="00042CF6"/>
    <w:rsid w:val="00042D57"/>
    <w:rsid w:val="00042D96"/>
    <w:rsid w:val="00042DBA"/>
    <w:rsid w:val="0004315D"/>
    <w:rsid w:val="00043194"/>
    <w:rsid w:val="000431BC"/>
    <w:rsid w:val="00043319"/>
    <w:rsid w:val="00043426"/>
    <w:rsid w:val="000435A5"/>
    <w:rsid w:val="000436AC"/>
    <w:rsid w:val="000437E6"/>
    <w:rsid w:val="00043A92"/>
    <w:rsid w:val="00043AA3"/>
    <w:rsid w:val="00043B7C"/>
    <w:rsid w:val="00043BA7"/>
    <w:rsid w:val="00043C1C"/>
    <w:rsid w:val="00043C3B"/>
    <w:rsid w:val="00043D83"/>
    <w:rsid w:val="00043DD2"/>
    <w:rsid w:val="00043EB3"/>
    <w:rsid w:val="00043EF1"/>
    <w:rsid w:val="00043F48"/>
    <w:rsid w:val="00043F50"/>
    <w:rsid w:val="00043F65"/>
    <w:rsid w:val="00043F82"/>
    <w:rsid w:val="00043FF3"/>
    <w:rsid w:val="0004415E"/>
    <w:rsid w:val="000441A0"/>
    <w:rsid w:val="00044254"/>
    <w:rsid w:val="0004429B"/>
    <w:rsid w:val="00044374"/>
    <w:rsid w:val="000443B4"/>
    <w:rsid w:val="000443C0"/>
    <w:rsid w:val="000443CE"/>
    <w:rsid w:val="000443EE"/>
    <w:rsid w:val="000444AD"/>
    <w:rsid w:val="00044610"/>
    <w:rsid w:val="00044725"/>
    <w:rsid w:val="000449C0"/>
    <w:rsid w:val="00044AED"/>
    <w:rsid w:val="00044AF9"/>
    <w:rsid w:val="00044BEA"/>
    <w:rsid w:val="00044C63"/>
    <w:rsid w:val="00044CF4"/>
    <w:rsid w:val="00044DC8"/>
    <w:rsid w:val="00044F08"/>
    <w:rsid w:val="0004539F"/>
    <w:rsid w:val="000453ED"/>
    <w:rsid w:val="0004541C"/>
    <w:rsid w:val="0004556F"/>
    <w:rsid w:val="00045651"/>
    <w:rsid w:val="00045664"/>
    <w:rsid w:val="00045721"/>
    <w:rsid w:val="00045776"/>
    <w:rsid w:val="00045950"/>
    <w:rsid w:val="000459A3"/>
    <w:rsid w:val="000459B9"/>
    <w:rsid w:val="00045AB6"/>
    <w:rsid w:val="00045B26"/>
    <w:rsid w:val="00045C87"/>
    <w:rsid w:val="00045D32"/>
    <w:rsid w:val="00045DA7"/>
    <w:rsid w:val="00045DDC"/>
    <w:rsid w:val="00045E59"/>
    <w:rsid w:val="00045F62"/>
    <w:rsid w:val="00045FD5"/>
    <w:rsid w:val="00045FF3"/>
    <w:rsid w:val="00046184"/>
    <w:rsid w:val="000462F6"/>
    <w:rsid w:val="0004643D"/>
    <w:rsid w:val="0004644E"/>
    <w:rsid w:val="00046758"/>
    <w:rsid w:val="000467DF"/>
    <w:rsid w:val="0004683E"/>
    <w:rsid w:val="000469C5"/>
    <w:rsid w:val="00046CA5"/>
    <w:rsid w:val="00046CAA"/>
    <w:rsid w:val="00046CD2"/>
    <w:rsid w:val="00046E1A"/>
    <w:rsid w:val="00046E50"/>
    <w:rsid w:val="00046F0E"/>
    <w:rsid w:val="00046FF6"/>
    <w:rsid w:val="00047002"/>
    <w:rsid w:val="00047077"/>
    <w:rsid w:val="00047086"/>
    <w:rsid w:val="0004717A"/>
    <w:rsid w:val="00047226"/>
    <w:rsid w:val="000472BC"/>
    <w:rsid w:val="000472D0"/>
    <w:rsid w:val="000472E5"/>
    <w:rsid w:val="00047412"/>
    <w:rsid w:val="000474DE"/>
    <w:rsid w:val="00047606"/>
    <w:rsid w:val="0004766A"/>
    <w:rsid w:val="000476D7"/>
    <w:rsid w:val="00047714"/>
    <w:rsid w:val="00047740"/>
    <w:rsid w:val="000477A0"/>
    <w:rsid w:val="000477E8"/>
    <w:rsid w:val="0004787A"/>
    <w:rsid w:val="000478FB"/>
    <w:rsid w:val="00047904"/>
    <w:rsid w:val="0004793E"/>
    <w:rsid w:val="00047A78"/>
    <w:rsid w:val="00047AC5"/>
    <w:rsid w:val="00047BD3"/>
    <w:rsid w:val="00047D1B"/>
    <w:rsid w:val="00047D5F"/>
    <w:rsid w:val="00047D80"/>
    <w:rsid w:val="00047DC3"/>
    <w:rsid w:val="00047EAF"/>
    <w:rsid w:val="00047F2D"/>
    <w:rsid w:val="00047FC5"/>
    <w:rsid w:val="00047FDF"/>
    <w:rsid w:val="00047FE5"/>
    <w:rsid w:val="0005006B"/>
    <w:rsid w:val="00050156"/>
    <w:rsid w:val="00050282"/>
    <w:rsid w:val="000503DC"/>
    <w:rsid w:val="00050406"/>
    <w:rsid w:val="00050429"/>
    <w:rsid w:val="00050681"/>
    <w:rsid w:val="00050A7A"/>
    <w:rsid w:val="00050DBB"/>
    <w:rsid w:val="00050F47"/>
    <w:rsid w:val="000510ED"/>
    <w:rsid w:val="0005112C"/>
    <w:rsid w:val="0005113E"/>
    <w:rsid w:val="00051147"/>
    <w:rsid w:val="0005118D"/>
    <w:rsid w:val="000511EF"/>
    <w:rsid w:val="00051219"/>
    <w:rsid w:val="00051277"/>
    <w:rsid w:val="00051342"/>
    <w:rsid w:val="0005145D"/>
    <w:rsid w:val="000514EB"/>
    <w:rsid w:val="000516BA"/>
    <w:rsid w:val="000517B6"/>
    <w:rsid w:val="0005183D"/>
    <w:rsid w:val="0005186E"/>
    <w:rsid w:val="0005194C"/>
    <w:rsid w:val="00051B5A"/>
    <w:rsid w:val="00051B9B"/>
    <w:rsid w:val="00051C45"/>
    <w:rsid w:val="00051D77"/>
    <w:rsid w:val="00051DA9"/>
    <w:rsid w:val="00051DBE"/>
    <w:rsid w:val="00051DC5"/>
    <w:rsid w:val="00051E9A"/>
    <w:rsid w:val="00051E9B"/>
    <w:rsid w:val="00052022"/>
    <w:rsid w:val="00052048"/>
    <w:rsid w:val="000520F3"/>
    <w:rsid w:val="00052297"/>
    <w:rsid w:val="00052477"/>
    <w:rsid w:val="000524D7"/>
    <w:rsid w:val="00052636"/>
    <w:rsid w:val="0005272B"/>
    <w:rsid w:val="000527E1"/>
    <w:rsid w:val="00052854"/>
    <w:rsid w:val="00052913"/>
    <w:rsid w:val="00052A7F"/>
    <w:rsid w:val="00052C34"/>
    <w:rsid w:val="00052E62"/>
    <w:rsid w:val="00052F17"/>
    <w:rsid w:val="000530A2"/>
    <w:rsid w:val="00053152"/>
    <w:rsid w:val="00053179"/>
    <w:rsid w:val="00053217"/>
    <w:rsid w:val="00053348"/>
    <w:rsid w:val="00053390"/>
    <w:rsid w:val="000533BB"/>
    <w:rsid w:val="00053406"/>
    <w:rsid w:val="00053499"/>
    <w:rsid w:val="0005355F"/>
    <w:rsid w:val="00053564"/>
    <w:rsid w:val="000536BE"/>
    <w:rsid w:val="00053786"/>
    <w:rsid w:val="00053903"/>
    <w:rsid w:val="00053A8E"/>
    <w:rsid w:val="00053B8E"/>
    <w:rsid w:val="00053BD9"/>
    <w:rsid w:val="00053CC8"/>
    <w:rsid w:val="00053EAB"/>
    <w:rsid w:val="00053F29"/>
    <w:rsid w:val="00053F95"/>
    <w:rsid w:val="00053FEA"/>
    <w:rsid w:val="00054067"/>
    <w:rsid w:val="000541D1"/>
    <w:rsid w:val="000541EC"/>
    <w:rsid w:val="0005420E"/>
    <w:rsid w:val="00054292"/>
    <w:rsid w:val="0005444E"/>
    <w:rsid w:val="0005447A"/>
    <w:rsid w:val="0005447B"/>
    <w:rsid w:val="0005447D"/>
    <w:rsid w:val="000544EA"/>
    <w:rsid w:val="00054500"/>
    <w:rsid w:val="000545DF"/>
    <w:rsid w:val="000545F3"/>
    <w:rsid w:val="00054680"/>
    <w:rsid w:val="0005485E"/>
    <w:rsid w:val="0005486C"/>
    <w:rsid w:val="000548C2"/>
    <w:rsid w:val="000549F1"/>
    <w:rsid w:val="00054A07"/>
    <w:rsid w:val="00054A81"/>
    <w:rsid w:val="00054BFD"/>
    <w:rsid w:val="00054DE5"/>
    <w:rsid w:val="00054E60"/>
    <w:rsid w:val="00054F8C"/>
    <w:rsid w:val="00054FD0"/>
    <w:rsid w:val="0005501F"/>
    <w:rsid w:val="00055022"/>
    <w:rsid w:val="0005512D"/>
    <w:rsid w:val="00055158"/>
    <w:rsid w:val="000553D4"/>
    <w:rsid w:val="000553D7"/>
    <w:rsid w:val="000555D7"/>
    <w:rsid w:val="000556DF"/>
    <w:rsid w:val="00055970"/>
    <w:rsid w:val="00055A70"/>
    <w:rsid w:val="00055B32"/>
    <w:rsid w:val="00055B57"/>
    <w:rsid w:val="00055D93"/>
    <w:rsid w:val="00055E2A"/>
    <w:rsid w:val="00055E7A"/>
    <w:rsid w:val="00055E90"/>
    <w:rsid w:val="00055EC6"/>
    <w:rsid w:val="00055FED"/>
    <w:rsid w:val="00056000"/>
    <w:rsid w:val="000561D6"/>
    <w:rsid w:val="000562B2"/>
    <w:rsid w:val="000562D1"/>
    <w:rsid w:val="0005630B"/>
    <w:rsid w:val="0005649E"/>
    <w:rsid w:val="000564C8"/>
    <w:rsid w:val="0005665A"/>
    <w:rsid w:val="0005675E"/>
    <w:rsid w:val="0005693D"/>
    <w:rsid w:val="00056946"/>
    <w:rsid w:val="0005695F"/>
    <w:rsid w:val="000569B0"/>
    <w:rsid w:val="000569DE"/>
    <w:rsid w:val="00056A5A"/>
    <w:rsid w:val="00056CC2"/>
    <w:rsid w:val="00056E9F"/>
    <w:rsid w:val="00056F0E"/>
    <w:rsid w:val="00056F65"/>
    <w:rsid w:val="00056F9B"/>
    <w:rsid w:val="0005709C"/>
    <w:rsid w:val="00057127"/>
    <w:rsid w:val="0005712B"/>
    <w:rsid w:val="0005717B"/>
    <w:rsid w:val="00057292"/>
    <w:rsid w:val="000572EB"/>
    <w:rsid w:val="000573CC"/>
    <w:rsid w:val="00057570"/>
    <w:rsid w:val="000575AA"/>
    <w:rsid w:val="000575E7"/>
    <w:rsid w:val="00057BD4"/>
    <w:rsid w:val="00057BDE"/>
    <w:rsid w:val="00057D0F"/>
    <w:rsid w:val="00057D11"/>
    <w:rsid w:val="00057E3F"/>
    <w:rsid w:val="00057E55"/>
    <w:rsid w:val="00057EC6"/>
    <w:rsid w:val="00057F21"/>
    <w:rsid w:val="0006003F"/>
    <w:rsid w:val="0006006E"/>
    <w:rsid w:val="0006017B"/>
    <w:rsid w:val="0006023B"/>
    <w:rsid w:val="00060285"/>
    <w:rsid w:val="0006043C"/>
    <w:rsid w:val="0006048F"/>
    <w:rsid w:val="000604E4"/>
    <w:rsid w:val="000604F8"/>
    <w:rsid w:val="000605FC"/>
    <w:rsid w:val="0006064C"/>
    <w:rsid w:val="00060666"/>
    <w:rsid w:val="00060798"/>
    <w:rsid w:val="00060A79"/>
    <w:rsid w:val="00060A9A"/>
    <w:rsid w:val="00060B1C"/>
    <w:rsid w:val="00060DAD"/>
    <w:rsid w:val="00060E87"/>
    <w:rsid w:val="00060F2F"/>
    <w:rsid w:val="00060FD0"/>
    <w:rsid w:val="0006101A"/>
    <w:rsid w:val="00061022"/>
    <w:rsid w:val="000610B3"/>
    <w:rsid w:val="000610B8"/>
    <w:rsid w:val="00061123"/>
    <w:rsid w:val="00061138"/>
    <w:rsid w:val="00061248"/>
    <w:rsid w:val="00061361"/>
    <w:rsid w:val="000613F4"/>
    <w:rsid w:val="00061420"/>
    <w:rsid w:val="00061534"/>
    <w:rsid w:val="000615DD"/>
    <w:rsid w:val="00061780"/>
    <w:rsid w:val="000617EA"/>
    <w:rsid w:val="00061805"/>
    <w:rsid w:val="000618D2"/>
    <w:rsid w:val="00061A91"/>
    <w:rsid w:val="00061AC8"/>
    <w:rsid w:val="00061D36"/>
    <w:rsid w:val="00061E05"/>
    <w:rsid w:val="00061E8B"/>
    <w:rsid w:val="0006233E"/>
    <w:rsid w:val="00062369"/>
    <w:rsid w:val="000623BC"/>
    <w:rsid w:val="00062431"/>
    <w:rsid w:val="00062633"/>
    <w:rsid w:val="000626FB"/>
    <w:rsid w:val="000628C3"/>
    <w:rsid w:val="000628C7"/>
    <w:rsid w:val="000628EE"/>
    <w:rsid w:val="0006293D"/>
    <w:rsid w:val="00062A25"/>
    <w:rsid w:val="00062CDA"/>
    <w:rsid w:val="00062CE0"/>
    <w:rsid w:val="00062CF6"/>
    <w:rsid w:val="00062D27"/>
    <w:rsid w:val="00062D37"/>
    <w:rsid w:val="00062E3A"/>
    <w:rsid w:val="00062E65"/>
    <w:rsid w:val="00062E66"/>
    <w:rsid w:val="00062EA2"/>
    <w:rsid w:val="00062FC0"/>
    <w:rsid w:val="00063094"/>
    <w:rsid w:val="000630F0"/>
    <w:rsid w:val="000631AA"/>
    <w:rsid w:val="00063301"/>
    <w:rsid w:val="0006344A"/>
    <w:rsid w:val="000634E0"/>
    <w:rsid w:val="000635D4"/>
    <w:rsid w:val="00063C2E"/>
    <w:rsid w:val="00063EF8"/>
    <w:rsid w:val="00063F47"/>
    <w:rsid w:val="00064117"/>
    <w:rsid w:val="00064150"/>
    <w:rsid w:val="00064204"/>
    <w:rsid w:val="0006429E"/>
    <w:rsid w:val="00064377"/>
    <w:rsid w:val="00064625"/>
    <w:rsid w:val="00064785"/>
    <w:rsid w:val="000648AE"/>
    <w:rsid w:val="00064932"/>
    <w:rsid w:val="00064952"/>
    <w:rsid w:val="000649B7"/>
    <w:rsid w:val="00064A8D"/>
    <w:rsid w:val="00064B4A"/>
    <w:rsid w:val="00064BEF"/>
    <w:rsid w:val="00064C66"/>
    <w:rsid w:val="00064F31"/>
    <w:rsid w:val="00065022"/>
    <w:rsid w:val="00065131"/>
    <w:rsid w:val="00065133"/>
    <w:rsid w:val="0006517E"/>
    <w:rsid w:val="00065188"/>
    <w:rsid w:val="00065265"/>
    <w:rsid w:val="000652C0"/>
    <w:rsid w:val="000652E8"/>
    <w:rsid w:val="00065301"/>
    <w:rsid w:val="000653AF"/>
    <w:rsid w:val="0006544A"/>
    <w:rsid w:val="000654AB"/>
    <w:rsid w:val="000654EE"/>
    <w:rsid w:val="0006558E"/>
    <w:rsid w:val="00065609"/>
    <w:rsid w:val="000656F6"/>
    <w:rsid w:val="00065737"/>
    <w:rsid w:val="000657FB"/>
    <w:rsid w:val="00065867"/>
    <w:rsid w:val="0006591D"/>
    <w:rsid w:val="00065967"/>
    <w:rsid w:val="000659BA"/>
    <w:rsid w:val="00065A14"/>
    <w:rsid w:val="00065DCF"/>
    <w:rsid w:val="00065E08"/>
    <w:rsid w:val="00065F91"/>
    <w:rsid w:val="00066019"/>
    <w:rsid w:val="0006608C"/>
    <w:rsid w:val="0006612B"/>
    <w:rsid w:val="000662AB"/>
    <w:rsid w:val="00066338"/>
    <w:rsid w:val="00066400"/>
    <w:rsid w:val="00066491"/>
    <w:rsid w:val="00066553"/>
    <w:rsid w:val="0006658D"/>
    <w:rsid w:val="0006668C"/>
    <w:rsid w:val="000666B0"/>
    <w:rsid w:val="000666E8"/>
    <w:rsid w:val="00066875"/>
    <w:rsid w:val="00066953"/>
    <w:rsid w:val="00066BC8"/>
    <w:rsid w:val="00066C14"/>
    <w:rsid w:val="00066C7E"/>
    <w:rsid w:val="00066D06"/>
    <w:rsid w:val="00066D51"/>
    <w:rsid w:val="00066D5A"/>
    <w:rsid w:val="00066E1C"/>
    <w:rsid w:val="00066E85"/>
    <w:rsid w:val="00066F5F"/>
    <w:rsid w:val="00066F6C"/>
    <w:rsid w:val="0006702D"/>
    <w:rsid w:val="000672E9"/>
    <w:rsid w:val="0006760F"/>
    <w:rsid w:val="000676F5"/>
    <w:rsid w:val="0006771D"/>
    <w:rsid w:val="0006777E"/>
    <w:rsid w:val="000677E9"/>
    <w:rsid w:val="000678DF"/>
    <w:rsid w:val="00067916"/>
    <w:rsid w:val="00067C3D"/>
    <w:rsid w:val="00067C62"/>
    <w:rsid w:val="00067C8D"/>
    <w:rsid w:val="00067CAB"/>
    <w:rsid w:val="00067D44"/>
    <w:rsid w:val="00067E46"/>
    <w:rsid w:val="00067E7C"/>
    <w:rsid w:val="00067E8E"/>
    <w:rsid w:val="00067F95"/>
    <w:rsid w:val="00070002"/>
    <w:rsid w:val="000700E6"/>
    <w:rsid w:val="0007020F"/>
    <w:rsid w:val="0007032E"/>
    <w:rsid w:val="00070376"/>
    <w:rsid w:val="000704EF"/>
    <w:rsid w:val="0007050D"/>
    <w:rsid w:val="00070717"/>
    <w:rsid w:val="0007071D"/>
    <w:rsid w:val="00070770"/>
    <w:rsid w:val="000707A4"/>
    <w:rsid w:val="00070908"/>
    <w:rsid w:val="00070962"/>
    <w:rsid w:val="00070A21"/>
    <w:rsid w:val="00070A49"/>
    <w:rsid w:val="00070A54"/>
    <w:rsid w:val="00070A5A"/>
    <w:rsid w:val="00070A8C"/>
    <w:rsid w:val="00070A98"/>
    <w:rsid w:val="00070A9C"/>
    <w:rsid w:val="00070B40"/>
    <w:rsid w:val="00070BDC"/>
    <w:rsid w:val="000711E8"/>
    <w:rsid w:val="00071222"/>
    <w:rsid w:val="00071226"/>
    <w:rsid w:val="0007142F"/>
    <w:rsid w:val="00071438"/>
    <w:rsid w:val="00071545"/>
    <w:rsid w:val="00071588"/>
    <w:rsid w:val="000715AF"/>
    <w:rsid w:val="000715CA"/>
    <w:rsid w:val="000715E5"/>
    <w:rsid w:val="000716A4"/>
    <w:rsid w:val="000717C1"/>
    <w:rsid w:val="00071898"/>
    <w:rsid w:val="00071A26"/>
    <w:rsid w:val="00071A3E"/>
    <w:rsid w:val="00071C0A"/>
    <w:rsid w:val="00071D4B"/>
    <w:rsid w:val="00071F62"/>
    <w:rsid w:val="00071F88"/>
    <w:rsid w:val="00071F94"/>
    <w:rsid w:val="00071FC7"/>
    <w:rsid w:val="0007207A"/>
    <w:rsid w:val="0007211A"/>
    <w:rsid w:val="0007214B"/>
    <w:rsid w:val="000721F3"/>
    <w:rsid w:val="000725D1"/>
    <w:rsid w:val="00072872"/>
    <w:rsid w:val="00072903"/>
    <w:rsid w:val="00072AC6"/>
    <w:rsid w:val="00072C34"/>
    <w:rsid w:val="00072CBA"/>
    <w:rsid w:val="00072D14"/>
    <w:rsid w:val="00072D52"/>
    <w:rsid w:val="00072E29"/>
    <w:rsid w:val="000730B4"/>
    <w:rsid w:val="000730D0"/>
    <w:rsid w:val="000730EC"/>
    <w:rsid w:val="000730F1"/>
    <w:rsid w:val="0007312F"/>
    <w:rsid w:val="000732EE"/>
    <w:rsid w:val="0007341B"/>
    <w:rsid w:val="00073484"/>
    <w:rsid w:val="00073490"/>
    <w:rsid w:val="000735D6"/>
    <w:rsid w:val="00073676"/>
    <w:rsid w:val="00073692"/>
    <w:rsid w:val="000736EC"/>
    <w:rsid w:val="00073717"/>
    <w:rsid w:val="00073801"/>
    <w:rsid w:val="00073842"/>
    <w:rsid w:val="00073866"/>
    <w:rsid w:val="00073877"/>
    <w:rsid w:val="0007387F"/>
    <w:rsid w:val="000738C0"/>
    <w:rsid w:val="0007393B"/>
    <w:rsid w:val="0007396B"/>
    <w:rsid w:val="00073BED"/>
    <w:rsid w:val="00073C79"/>
    <w:rsid w:val="00073CD1"/>
    <w:rsid w:val="00073F3B"/>
    <w:rsid w:val="00073FE8"/>
    <w:rsid w:val="0007412E"/>
    <w:rsid w:val="000741BF"/>
    <w:rsid w:val="000742B8"/>
    <w:rsid w:val="000742FC"/>
    <w:rsid w:val="00074398"/>
    <w:rsid w:val="00074576"/>
    <w:rsid w:val="000745E8"/>
    <w:rsid w:val="00074659"/>
    <w:rsid w:val="000746C7"/>
    <w:rsid w:val="000747BC"/>
    <w:rsid w:val="000747EF"/>
    <w:rsid w:val="00074809"/>
    <w:rsid w:val="00074961"/>
    <w:rsid w:val="00074987"/>
    <w:rsid w:val="00074C77"/>
    <w:rsid w:val="00074DBE"/>
    <w:rsid w:val="00074E05"/>
    <w:rsid w:val="00074F99"/>
    <w:rsid w:val="00074FBD"/>
    <w:rsid w:val="00074FDB"/>
    <w:rsid w:val="0007500C"/>
    <w:rsid w:val="00075038"/>
    <w:rsid w:val="00075320"/>
    <w:rsid w:val="00075359"/>
    <w:rsid w:val="00075414"/>
    <w:rsid w:val="00075441"/>
    <w:rsid w:val="000754BC"/>
    <w:rsid w:val="00075658"/>
    <w:rsid w:val="000756A9"/>
    <w:rsid w:val="0007594D"/>
    <w:rsid w:val="00075A3C"/>
    <w:rsid w:val="00075AA5"/>
    <w:rsid w:val="00075B2C"/>
    <w:rsid w:val="00075B3D"/>
    <w:rsid w:val="00075C50"/>
    <w:rsid w:val="00075D65"/>
    <w:rsid w:val="00075D76"/>
    <w:rsid w:val="00075EE0"/>
    <w:rsid w:val="00075F27"/>
    <w:rsid w:val="00075F48"/>
    <w:rsid w:val="0007604C"/>
    <w:rsid w:val="0007611E"/>
    <w:rsid w:val="00076232"/>
    <w:rsid w:val="000762B3"/>
    <w:rsid w:val="00076349"/>
    <w:rsid w:val="0007635E"/>
    <w:rsid w:val="00076407"/>
    <w:rsid w:val="000764AB"/>
    <w:rsid w:val="000764D1"/>
    <w:rsid w:val="000764F2"/>
    <w:rsid w:val="000765B8"/>
    <w:rsid w:val="00076724"/>
    <w:rsid w:val="00076768"/>
    <w:rsid w:val="0007678D"/>
    <w:rsid w:val="000767D3"/>
    <w:rsid w:val="0007680B"/>
    <w:rsid w:val="00076833"/>
    <w:rsid w:val="000768DB"/>
    <w:rsid w:val="000769AA"/>
    <w:rsid w:val="000769C1"/>
    <w:rsid w:val="000769CF"/>
    <w:rsid w:val="000769EC"/>
    <w:rsid w:val="00076B7A"/>
    <w:rsid w:val="00076C1B"/>
    <w:rsid w:val="00076C38"/>
    <w:rsid w:val="00076CDC"/>
    <w:rsid w:val="00076EC2"/>
    <w:rsid w:val="00076ED2"/>
    <w:rsid w:val="00077209"/>
    <w:rsid w:val="000772B0"/>
    <w:rsid w:val="00077459"/>
    <w:rsid w:val="000775BF"/>
    <w:rsid w:val="0007782D"/>
    <w:rsid w:val="00077893"/>
    <w:rsid w:val="00077AC1"/>
    <w:rsid w:val="00077C1E"/>
    <w:rsid w:val="00077CDD"/>
    <w:rsid w:val="00077EBC"/>
    <w:rsid w:val="00077F51"/>
    <w:rsid w:val="00080027"/>
    <w:rsid w:val="00080066"/>
    <w:rsid w:val="0008007D"/>
    <w:rsid w:val="00080090"/>
    <w:rsid w:val="000800B9"/>
    <w:rsid w:val="000803DE"/>
    <w:rsid w:val="00080410"/>
    <w:rsid w:val="0008052E"/>
    <w:rsid w:val="000805D5"/>
    <w:rsid w:val="00080629"/>
    <w:rsid w:val="000808EE"/>
    <w:rsid w:val="00080B70"/>
    <w:rsid w:val="00080BBE"/>
    <w:rsid w:val="00080D01"/>
    <w:rsid w:val="00080D1A"/>
    <w:rsid w:val="00080DE5"/>
    <w:rsid w:val="00081099"/>
    <w:rsid w:val="000810B7"/>
    <w:rsid w:val="000810E8"/>
    <w:rsid w:val="00081112"/>
    <w:rsid w:val="00081298"/>
    <w:rsid w:val="000812A8"/>
    <w:rsid w:val="0008130F"/>
    <w:rsid w:val="00081327"/>
    <w:rsid w:val="000813AB"/>
    <w:rsid w:val="000814BD"/>
    <w:rsid w:val="000814CC"/>
    <w:rsid w:val="0008152C"/>
    <w:rsid w:val="00081559"/>
    <w:rsid w:val="0008170F"/>
    <w:rsid w:val="000817EA"/>
    <w:rsid w:val="00081829"/>
    <w:rsid w:val="00081957"/>
    <w:rsid w:val="000819BD"/>
    <w:rsid w:val="00081A39"/>
    <w:rsid w:val="00081AB1"/>
    <w:rsid w:val="00081AE8"/>
    <w:rsid w:val="00081B72"/>
    <w:rsid w:val="00081C06"/>
    <w:rsid w:val="00081C4D"/>
    <w:rsid w:val="00081D29"/>
    <w:rsid w:val="00081D55"/>
    <w:rsid w:val="00081E1F"/>
    <w:rsid w:val="00081FD6"/>
    <w:rsid w:val="00082109"/>
    <w:rsid w:val="00082174"/>
    <w:rsid w:val="000822CA"/>
    <w:rsid w:val="0008242D"/>
    <w:rsid w:val="00082495"/>
    <w:rsid w:val="000826D6"/>
    <w:rsid w:val="000826F3"/>
    <w:rsid w:val="00082780"/>
    <w:rsid w:val="00082873"/>
    <w:rsid w:val="0008294C"/>
    <w:rsid w:val="000829B7"/>
    <w:rsid w:val="00082BC8"/>
    <w:rsid w:val="00082C84"/>
    <w:rsid w:val="00082CBA"/>
    <w:rsid w:val="00082D90"/>
    <w:rsid w:val="00082DFF"/>
    <w:rsid w:val="00082F10"/>
    <w:rsid w:val="00082F1D"/>
    <w:rsid w:val="00082F5A"/>
    <w:rsid w:val="0008303E"/>
    <w:rsid w:val="00083201"/>
    <w:rsid w:val="00083284"/>
    <w:rsid w:val="0008335A"/>
    <w:rsid w:val="000833C3"/>
    <w:rsid w:val="000834DB"/>
    <w:rsid w:val="000834E9"/>
    <w:rsid w:val="0008369A"/>
    <w:rsid w:val="0008374D"/>
    <w:rsid w:val="000839A1"/>
    <w:rsid w:val="00083A94"/>
    <w:rsid w:val="00083AF3"/>
    <w:rsid w:val="00083AF7"/>
    <w:rsid w:val="00083B16"/>
    <w:rsid w:val="00083CF6"/>
    <w:rsid w:val="00083D4E"/>
    <w:rsid w:val="00083DA4"/>
    <w:rsid w:val="00083F09"/>
    <w:rsid w:val="00083F8A"/>
    <w:rsid w:val="00083FE6"/>
    <w:rsid w:val="00084052"/>
    <w:rsid w:val="000840C0"/>
    <w:rsid w:val="000841B9"/>
    <w:rsid w:val="00084216"/>
    <w:rsid w:val="00084286"/>
    <w:rsid w:val="00084290"/>
    <w:rsid w:val="000842E4"/>
    <w:rsid w:val="000843A2"/>
    <w:rsid w:val="000843E1"/>
    <w:rsid w:val="000844D5"/>
    <w:rsid w:val="000845CA"/>
    <w:rsid w:val="000845FC"/>
    <w:rsid w:val="00084B89"/>
    <w:rsid w:val="00084C80"/>
    <w:rsid w:val="00084C95"/>
    <w:rsid w:val="00084E7A"/>
    <w:rsid w:val="00084E8F"/>
    <w:rsid w:val="00084E9A"/>
    <w:rsid w:val="00084F22"/>
    <w:rsid w:val="00084F2C"/>
    <w:rsid w:val="000853F6"/>
    <w:rsid w:val="00085441"/>
    <w:rsid w:val="00085556"/>
    <w:rsid w:val="000855C8"/>
    <w:rsid w:val="000855D8"/>
    <w:rsid w:val="000855E4"/>
    <w:rsid w:val="000855F0"/>
    <w:rsid w:val="00085694"/>
    <w:rsid w:val="0008582E"/>
    <w:rsid w:val="00085A77"/>
    <w:rsid w:val="00085AA3"/>
    <w:rsid w:val="00085ADA"/>
    <w:rsid w:val="00085B12"/>
    <w:rsid w:val="00085B5C"/>
    <w:rsid w:val="00085C29"/>
    <w:rsid w:val="00085CB0"/>
    <w:rsid w:val="00085CD8"/>
    <w:rsid w:val="00085D6B"/>
    <w:rsid w:val="00085E80"/>
    <w:rsid w:val="00085EAE"/>
    <w:rsid w:val="00085F94"/>
    <w:rsid w:val="0008624B"/>
    <w:rsid w:val="00086385"/>
    <w:rsid w:val="00086445"/>
    <w:rsid w:val="000865CB"/>
    <w:rsid w:val="0008667E"/>
    <w:rsid w:val="000866C6"/>
    <w:rsid w:val="0008671B"/>
    <w:rsid w:val="00086771"/>
    <w:rsid w:val="00086809"/>
    <w:rsid w:val="0008699A"/>
    <w:rsid w:val="000869CA"/>
    <w:rsid w:val="00086A80"/>
    <w:rsid w:val="00086AB3"/>
    <w:rsid w:val="00086B2A"/>
    <w:rsid w:val="00086BA2"/>
    <w:rsid w:val="00086C0C"/>
    <w:rsid w:val="00086C3F"/>
    <w:rsid w:val="00086C79"/>
    <w:rsid w:val="00086D7A"/>
    <w:rsid w:val="00086E38"/>
    <w:rsid w:val="00086E60"/>
    <w:rsid w:val="00086E84"/>
    <w:rsid w:val="00086F02"/>
    <w:rsid w:val="00086F8E"/>
    <w:rsid w:val="0008701B"/>
    <w:rsid w:val="0008717A"/>
    <w:rsid w:val="00087265"/>
    <w:rsid w:val="00087291"/>
    <w:rsid w:val="00087387"/>
    <w:rsid w:val="000873A6"/>
    <w:rsid w:val="00087422"/>
    <w:rsid w:val="00087522"/>
    <w:rsid w:val="0008754E"/>
    <w:rsid w:val="000876E7"/>
    <w:rsid w:val="000876F8"/>
    <w:rsid w:val="0008781F"/>
    <w:rsid w:val="000878A5"/>
    <w:rsid w:val="000878F6"/>
    <w:rsid w:val="00087A45"/>
    <w:rsid w:val="00087B80"/>
    <w:rsid w:val="00087BB0"/>
    <w:rsid w:val="00087BF2"/>
    <w:rsid w:val="00087C1C"/>
    <w:rsid w:val="00087C97"/>
    <w:rsid w:val="00087DBE"/>
    <w:rsid w:val="00087ED2"/>
    <w:rsid w:val="00087FFB"/>
    <w:rsid w:val="000896A9"/>
    <w:rsid w:val="0009006A"/>
    <w:rsid w:val="0009007A"/>
    <w:rsid w:val="000901C8"/>
    <w:rsid w:val="000901E3"/>
    <w:rsid w:val="000902FB"/>
    <w:rsid w:val="00090357"/>
    <w:rsid w:val="000904CB"/>
    <w:rsid w:val="00090503"/>
    <w:rsid w:val="0009053E"/>
    <w:rsid w:val="0009069A"/>
    <w:rsid w:val="00090749"/>
    <w:rsid w:val="000907B9"/>
    <w:rsid w:val="000907E2"/>
    <w:rsid w:val="00090858"/>
    <w:rsid w:val="00090969"/>
    <w:rsid w:val="000909CC"/>
    <w:rsid w:val="00090B00"/>
    <w:rsid w:val="00090C0F"/>
    <w:rsid w:val="00090C44"/>
    <w:rsid w:val="00090DAC"/>
    <w:rsid w:val="00090DC3"/>
    <w:rsid w:val="00090DFB"/>
    <w:rsid w:val="00090ECE"/>
    <w:rsid w:val="00090F42"/>
    <w:rsid w:val="0009130F"/>
    <w:rsid w:val="00091338"/>
    <w:rsid w:val="00091406"/>
    <w:rsid w:val="00091438"/>
    <w:rsid w:val="00091486"/>
    <w:rsid w:val="000915BA"/>
    <w:rsid w:val="00091773"/>
    <w:rsid w:val="00091820"/>
    <w:rsid w:val="00091927"/>
    <w:rsid w:val="000919F1"/>
    <w:rsid w:val="00091A56"/>
    <w:rsid w:val="00091A79"/>
    <w:rsid w:val="00091C0D"/>
    <w:rsid w:val="00091DF5"/>
    <w:rsid w:val="00091E51"/>
    <w:rsid w:val="00091E71"/>
    <w:rsid w:val="00091ED4"/>
    <w:rsid w:val="00091EE3"/>
    <w:rsid w:val="00091F0F"/>
    <w:rsid w:val="000921FF"/>
    <w:rsid w:val="000922C1"/>
    <w:rsid w:val="00092387"/>
    <w:rsid w:val="000923CD"/>
    <w:rsid w:val="0009241C"/>
    <w:rsid w:val="000924E6"/>
    <w:rsid w:val="00092550"/>
    <w:rsid w:val="00092586"/>
    <w:rsid w:val="000925B7"/>
    <w:rsid w:val="0009263B"/>
    <w:rsid w:val="00092752"/>
    <w:rsid w:val="000927B3"/>
    <w:rsid w:val="00092915"/>
    <w:rsid w:val="00092A21"/>
    <w:rsid w:val="00092AF9"/>
    <w:rsid w:val="00092BFB"/>
    <w:rsid w:val="00092DA0"/>
    <w:rsid w:val="00092EE8"/>
    <w:rsid w:val="00092F58"/>
    <w:rsid w:val="000930C6"/>
    <w:rsid w:val="00093124"/>
    <w:rsid w:val="00093155"/>
    <w:rsid w:val="0009323B"/>
    <w:rsid w:val="000932A9"/>
    <w:rsid w:val="000933F1"/>
    <w:rsid w:val="000934B6"/>
    <w:rsid w:val="0009354B"/>
    <w:rsid w:val="000935C7"/>
    <w:rsid w:val="0009362A"/>
    <w:rsid w:val="000937F7"/>
    <w:rsid w:val="000937FE"/>
    <w:rsid w:val="0009380A"/>
    <w:rsid w:val="00093810"/>
    <w:rsid w:val="00093838"/>
    <w:rsid w:val="000938DC"/>
    <w:rsid w:val="00093992"/>
    <w:rsid w:val="000939D2"/>
    <w:rsid w:val="00093BB2"/>
    <w:rsid w:val="00093C7E"/>
    <w:rsid w:val="00093C98"/>
    <w:rsid w:val="00093CF1"/>
    <w:rsid w:val="00093D09"/>
    <w:rsid w:val="00093E9A"/>
    <w:rsid w:val="00094171"/>
    <w:rsid w:val="00094172"/>
    <w:rsid w:val="000942B7"/>
    <w:rsid w:val="00094337"/>
    <w:rsid w:val="00094452"/>
    <w:rsid w:val="0009447A"/>
    <w:rsid w:val="00094527"/>
    <w:rsid w:val="000946F6"/>
    <w:rsid w:val="000947F3"/>
    <w:rsid w:val="00094845"/>
    <w:rsid w:val="00094895"/>
    <w:rsid w:val="000948AA"/>
    <w:rsid w:val="000948CC"/>
    <w:rsid w:val="0009494F"/>
    <w:rsid w:val="00094991"/>
    <w:rsid w:val="00094A10"/>
    <w:rsid w:val="00094AD6"/>
    <w:rsid w:val="00094D0F"/>
    <w:rsid w:val="00094D42"/>
    <w:rsid w:val="00094E4A"/>
    <w:rsid w:val="00094E66"/>
    <w:rsid w:val="00095021"/>
    <w:rsid w:val="00095145"/>
    <w:rsid w:val="00095281"/>
    <w:rsid w:val="0009545F"/>
    <w:rsid w:val="000954B6"/>
    <w:rsid w:val="0009555E"/>
    <w:rsid w:val="00095654"/>
    <w:rsid w:val="000956FA"/>
    <w:rsid w:val="00095758"/>
    <w:rsid w:val="00095822"/>
    <w:rsid w:val="00095B1F"/>
    <w:rsid w:val="00095B92"/>
    <w:rsid w:val="00095BC8"/>
    <w:rsid w:val="00095C31"/>
    <w:rsid w:val="00095C3B"/>
    <w:rsid w:val="00095C3F"/>
    <w:rsid w:val="00095C84"/>
    <w:rsid w:val="00095D38"/>
    <w:rsid w:val="00095D6A"/>
    <w:rsid w:val="00095DD9"/>
    <w:rsid w:val="00095FAC"/>
    <w:rsid w:val="0009606F"/>
    <w:rsid w:val="0009608A"/>
    <w:rsid w:val="00096093"/>
    <w:rsid w:val="000960BB"/>
    <w:rsid w:val="00096140"/>
    <w:rsid w:val="0009618C"/>
    <w:rsid w:val="00096210"/>
    <w:rsid w:val="00096484"/>
    <w:rsid w:val="000964C9"/>
    <w:rsid w:val="00096535"/>
    <w:rsid w:val="00096541"/>
    <w:rsid w:val="000965A3"/>
    <w:rsid w:val="00096621"/>
    <w:rsid w:val="00096652"/>
    <w:rsid w:val="000967C5"/>
    <w:rsid w:val="0009697B"/>
    <w:rsid w:val="00096CA7"/>
    <w:rsid w:val="00096CD0"/>
    <w:rsid w:val="00096D6D"/>
    <w:rsid w:val="00096E2A"/>
    <w:rsid w:val="00096E50"/>
    <w:rsid w:val="00096EE7"/>
    <w:rsid w:val="00096F6C"/>
    <w:rsid w:val="00096FD5"/>
    <w:rsid w:val="00097082"/>
    <w:rsid w:val="00097101"/>
    <w:rsid w:val="00097178"/>
    <w:rsid w:val="00097198"/>
    <w:rsid w:val="00097429"/>
    <w:rsid w:val="000975DF"/>
    <w:rsid w:val="000975E5"/>
    <w:rsid w:val="00097761"/>
    <w:rsid w:val="00097933"/>
    <w:rsid w:val="0009797D"/>
    <w:rsid w:val="000979EB"/>
    <w:rsid w:val="00097B2E"/>
    <w:rsid w:val="00097EE1"/>
    <w:rsid w:val="00097EE2"/>
    <w:rsid w:val="00097FFE"/>
    <w:rsid w:val="000A0078"/>
    <w:rsid w:val="000A01AA"/>
    <w:rsid w:val="000A02C4"/>
    <w:rsid w:val="000A02F9"/>
    <w:rsid w:val="000A0525"/>
    <w:rsid w:val="000A0593"/>
    <w:rsid w:val="000A05E2"/>
    <w:rsid w:val="000A05F9"/>
    <w:rsid w:val="000A060F"/>
    <w:rsid w:val="000A06A8"/>
    <w:rsid w:val="000A075B"/>
    <w:rsid w:val="000A089F"/>
    <w:rsid w:val="000A08E1"/>
    <w:rsid w:val="000A0965"/>
    <w:rsid w:val="000A0A13"/>
    <w:rsid w:val="000A0A78"/>
    <w:rsid w:val="000A0AF3"/>
    <w:rsid w:val="000A0BC1"/>
    <w:rsid w:val="000A0BC7"/>
    <w:rsid w:val="000A0D1F"/>
    <w:rsid w:val="000A0D75"/>
    <w:rsid w:val="000A0D92"/>
    <w:rsid w:val="000A0E46"/>
    <w:rsid w:val="000A0E56"/>
    <w:rsid w:val="000A0ED6"/>
    <w:rsid w:val="000A0EF5"/>
    <w:rsid w:val="000A0F1F"/>
    <w:rsid w:val="000A0F79"/>
    <w:rsid w:val="000A10CA"/>
    <w:rsid w:val="000A110F"/>
    <w:rsid w:val="000A1146"/>
    <w:rsid w:val="000A116A"/>
    <w:rsid w:val="000A1216"/>
    <w:rsid w:val="000A12A7"/>
    <w:rsid w:val="000A12C6"/>
    <w:rsid w:val="000A14DF"/>
    <w:rsid w:val="000A16E3"/>
    <w:rsid w:val="000A1887"/>
    <w:rsid w:val="000A1900"/>
    <w:rsid w:val="000A1912"/>
    <w:rsid w:val="000A199B"/>
    <w:rsid w:val="000A19DA"/>
    <w:rsid w:val="000A19F3"/>
    <w:rsid w:val="000A1A0E"/>
    <w:rsid w:val="000A1AFD"/>
    <w:rsid w:val="000A1C62"/>
    <w:rsid w:val="000A1DC3"/>
    <w:rsid w:val="000A2019"/>
    <w:rsid w:val="000A206C"/>
    <w:rsid w:val="000A2078"/>
    <w:rsid w:val="000A20D8"/>
    <w:rsid w:val="000A212E"/>
    <w:rsid w:val="000A220B"/>
    <w:rsid w:val="000A220D"/>
    <w:rsid w:val="000A2288"/>
    <w:rsid w:val="000A2317"/>
    <w:rsid w:val="000A264F"/>
    <w:rsid w:val="000A26D3"/>
    <w:rsid w:val="000A2762"/>
    <w:rsid w:val="000A28CD"/>
    <w:rsid w:val="000A29D1"/>
    <w:rsid w:val="000A2A39"/>
    <w:rsid w:val="000A2A77"/>
    <w:rsid w:val="000A2ABE"/>
    <w:rsid w:val="000A2AD1"/>
    <w:rsid w:val="000A2CB3"/>
    <w:rsid w:val="000A2CC4"/>
    <w:rsid w:val="000A2DC3"/>
    <w:rsid w:val="000A2EAB"/>
    <w:rsid w:val="000A2FDF"/>
    <w:rsid w:val="000A3264"/>
    <w:rsid w:val="000A3293"/>
    <w:rsid w:val="000A334E"/>
    <w:rsid w:val="000A3495"/>
    <w:rsid w:val="000A35FE"/>
    <w:rsid w:val="000A3664"/>
    <w:rsid w:val="000A375D"/>
    <w:rsid w:val="000A37E8"/>
    <w:rsid w:val="000A37EB"/>
    <w:rsid w:val="000A3833"/>
    <w:rsid w:val="000A3877"/>
    <w:rsid w:val="000A3887"/>
    <w:rsid w:val="000A38F6"/>
    <w:rsid w:val="000A3908"/>
    <w:rsid w:val="000A396E"/>
    <w:rsid w:val="000A3A2F"/>
    <w:rsid w:val="000A3A53"/>
    <w:rsid w:val="000A3CB6"/>
    <w:rsid w:val="000A3E0F"/>
    <w:rsid w:val="000A3E2A"/>
    <w:rsid w:val="000A3E8C"/>
    <w:rsid w:val="000A4025"/>
    <w:rsid w:val="000A404F"/>
    <w:rsid w:val="000A413B"/>
    <w:rsid w:val="000A443A"/>
    <w:rsid w:val="000A446D"/>
    <w:rsid w:val="000A44E3"/>
    <w:rsid w:val="000A4581"/>
    <w:rsid w:val="000A4631"/>
    <w:rsid w:val="000A489A"/>
    <w:rsid w:val="000A4974"/>
    <w:rsid w:val="000A4991"/>
    <w:rsid w:val="000A4DBA"/>
    <w:rsid w:val="000A4F77"/>
    <w:rsid w:val="000A5027"/>
    <w:rsid w:val="000A5056"/>
    <w:rsid w:val="000A5102"/>
    <w:rsid w:val="000A5195"/>
    <w:rsid w:val="000A530C"/>
    <w:rsid w:val="000A536F"/>
    <w:rsid w:val="000A53EF"/>
    <w:rsid w:val="000A549D"/>
    <w:rsid w:val="000A5681"/>
    <w:rsid w:val="000A5700"/>
    <w:rsid w:val="000A57B9"/>
    <w:rsid w:val="000A58AE"/>
    <w:rsid w:val="000A58D8"/>
    <w:rsid w:val="000A58DF"/>
    <w:rsid w:val="000A59A4"/>
    <w:rsid w:val="000A5A31"/>
    <w:rsid w:val="000A5AAD"/>
    <w:rsid w:val="000A5AF3"/>
    <w:rsid w:val="000A5D36"/>
    <w:rsid w:val="000A5D9B"/>
    <w:rsid w:val="000A5EFF"/>
    <w:rsid w:val="000A5F3B"/>
    <w:rsid w:val="000A5FDD"/>
    <w:rsid w:val="000A60BD"/>
    <w:rsid w:val="000A60C6"/>
    <w:rsid w:val="000A614D"/>
    <w:rsid w:val="000A6154"/>
    <w:rsid w:val="000A618E"/>
    <w:rsid w:val="000A620E"/>
    <w:rsid w:val="000A6489"/>
    <w:rsid w:val="000A6536"/>
    <w:rsid w:val="000A65C8"/>
    <w:rsid w:val="000A65DA"/>
    <w:rsid w:val="000A6677"/>
    <w:rsid w:val="000A673F"/>
    <w:rsid w:val="000A68B5"/>
    <w:rsid w:val="000A692C"/>
    <w:rsid w:val="000A6A3F"/>
    <w:rsid w:val="000A6A7A"/>
    <w:rsid w:val="000A6AF9"/>
    <w:rsid w:val="000A6B2D"/>
    <w:rsid w:val="000A6CC0"/>
    <w:rsid w:val="000A6D18"/>
    <w:rsid w:val="000A6D65"/>
    <w:rsid w:val="000A6DA0"/>
    <w:rsid w:val="000A6DD5"/>
    <w:rsid w:val="000A6FA4"/>
    <w:rsid w:val="000A703B"/>
    <w:rsid w:val="000A7047"/>
    <w:rsid w:val="000A7086"/>
    <w:rsid w:val="000A71FB"/>
    <w:rsid w:val="000A72FE"/>
    <w:rsid w:val="000A7486"/>
    <w:rsid w:val="000A75B4"/>
    <w:rsid w:val="000A75C2"/>
    <w:rsid w:val="000A76B1"/>
    <w:rsid w:val="000A76C3"/>
    <w:rsid w:val="000A77CD"/>
    <w:rsid w:val="000A77E1"/>
    <w:rsid w:val="000A785A"/>
    <w:rsid w:val="000A7876"/>
    <w:rsid w:val="000A7D4A"/>
    <w:rsid w:val="000A7D88"/>
    <w:rsid w:val="000A7F75"/>
    <w:rsid w:val="000AE9FF"/>
    <w:rsid w:val="000B0001"/>
    <w:rsid w:val="000B006E"/>
    <w:rsid w:val="000B0073"/>
    <w:rsid w:val="000B018A"/>
    <w:rsid w:val="000B0194"/>
    <w:rsid w:val="000B019E"/>
    <w:rsid w:val="000B045D"/>
    <w:rsid w:val="000B04F2"/>
    <w:rsid w:val="000B050D"/>
    <w:rsid w:val="000B06F5"/>
    <w:rsid w:val="000B0723"/>
    <w:rsid w:val="000B0760"/>
    <w:rsid w:val="000B07FC"/>
    <w:rsid w:val="000B08C6"/>
    <w:rsid w:val="000B0969"/>
    <w:rsid w:val="000B0970"/>
    <w:rsid w:val="000B09C3"/>
    <w:rsid w:val="000B0ADF"/>
    <w:rsid w:val="000B0AEB"/>
    <w:rsid w:val="000B0C83"/>
    <w:rsid w:val="000B0E39"/>
    <w:rsid w:val="000B112A"/>
    <w:rsid w:val="000B115F"/>
    <w:rsid w:val="000B1409"/>
    <w:rsid w:val="000B146F"/>
    <w:rsid w:val="000B15E1"/>
    <w:rsid w:val="000B1604"/>
    <w:rsid w:val="000B1617"/>
    <w:rsid w:val="000B163D"/>
    <w:rsid w:val="000B1644"/>
    <w:rsid w:val="000B167E"/>
    <w:rsid w:val="000B16DE"/>
    <w:rsid w:val="000B1A58"/>
    <w:rsid w:val="000B1D7C"/>
    <w:rsid w:val="000B1DCE"/>
    <w:rsid w:val="000B1EB7"/>
    <w:rsid w:val="000B201C"/>
    <w:rsid w:val="000B20FF"/>
    <w:rsid w:val="000B212A"/>
    <w:rsid w:val="000B2286"/>
    <w:rsid w:val="000B22FF"/>
    <w:rsid w:val="000B23A1"/>
    <w:rsid w:val="000B23B5"/>
    <w:rsid w:val="000B2473"/>
    <w:rsid w:val="000B248D"/>
    <w:rsid w:val="000B285F"/>
    <w:rsid w:val="000B2896"/>
    <w:rsid w:val="000B29EE"/>
    <w:rsid w:val="000B2A6E"/>
    <w:rsid w:val="000B2D57"/>
    <w:rsid w:val="000B2DC8"/>
    <w:rsid w:val="000B2ECD"/>
    <w:rsid w:val="000B2EDD"/>
    <w:rsid w:val="000B2FA6"/>
    <w:rsid w:val="000B32D1"/>
    <w:rsid w:val="000B3362"/>
    <w:rsid w:val="000B33D1"/>
    <w:rsid w:val="000B340A"/>
    <w:rsid w:val="000B34B2"/>
    <w:rsid w:val="000B350D"/>
    <w:rsid w:val="000B3522"/>
    <w:rsid w:val="000B3545"/>
    <w:rsid w:val="000B3866"/>
    <w:rsid w:val="000B386A"/>
    <w:rsid w:val="000B38BF"/>
    <w:rsid w:val="000B39EE"/>
    <w:rsid w:val="000B39F2"/>
    <w:rsid w:val="000B3A3A"/>
    <w:rsid w:val="000B3AE8"/>
    <w:rsid w:val="000B3B2C"/>
    <w:rsid w:val="000B3B8D"/>
    <w:rsid w:val="000B3BD0"/>
    <w:rsid w:val="000B3C58"/>
    <w:rsid w:val="000B3DCE"/>
    <w:rsid w:val="000B3E1B"/>
    <w:rsid w:val="000B3E6B"/>
    <w:rsid w:val="000B3EFD"/>
    <w:rsid w:val="000B3F6B"/>
    <w:rsid w:val="000B400A"/>
    <w:rsid w:val="000B40C8"/>
    <w:rsid w:val="000B41AB"/>
    <w:rsid w:val="000B41E6"/>
    <w:rsid w:val="000B4226"/>
    <w:rsid w:val="000B42B8"/>
    <w:rsid w:val="000B42CB"/>
    <w:rsid w:val="000B4391"/>
    <w:rsid w:val="000B4430"/>
    <w:rsid w:val="000B4477"/>
    <w:rsid w:val="000B4531"/>
    <w:rsid w:val="000B45C1"/>
    <w:rsid w:val="000B4792"/>
    <w:rsid w:val="000B47FA"/>
    <w:rsid w:val="000B499E"/>
    <w:rsid w:val="000B4AA2"/>
    <w:rsid w:val="000B4AF6"/>
    <w:rsid w:val="000B4CFD"/>
    <w:rsid w:val="000B4D3F"/>
    <w:rsid w:val="000B4DC4"/>
    <w:rsid w:val="000B4E2A"/>
    <w:rsid w:val="000B4F0D"/>
    <w:rsid w:val="000B509C"/>
    <w:rsid w:val="000B50F5"/>
    <w:rsid w:val="000B52D7"/>
    <w:rsid w:val="000B5565"/>
    <w:rsid w:val="000B5652"/>
    <w:rsid w:val="000B573B"/>
    <w:rsid w:val="000B5771"/>
    <w:rsid w:val="000B579C"/>
    <w:rsid w:val="000B57D4"/>
    <w:rsid w:val="000B5847"/>
    <w:rsid w:val="000B599E"/>
    <w:rsid w:val="000B59FE"/>
    <w:rsid w:val="000B5A05"/>
    <w:rsid w:val="000B5A78"/>
    <w:rsid w:val="000B5B61"/>
    <w:rsid w:val="000B5CC5"/>
    <w:rsid w:val="000B5CF0"/>
    <w:rsid w:val="000B5D8C"/>
    <w:rsid w:val="000B5E4B"/>
    <w:rsid w:val="000B5E7C"/>
    <w:rsid w:val="000B5FDD"/>
    <w:rsid w:val="000B6096"/>
    <w:rsid w:val="000B60C9"/>
    <w:rsid w:val="000B60F1"/>
    <w:rsid w:val="000B6258"/>
    <w:rsid w:val="000B62CA"/>
    <w:rsid w:val="000B63E1"/>
    <w:rsid w:val="000B64A2"/>
    <w:rsid w:val="000B64B0"/>
    <w:rsid w:val="000B6530"/>
    <w:rsid w:val="000B6596"/>
    <w:rsid w:val="000B675F"/>
    <w:rsid w:val="000B690A"/>
    <w:rsid w:val="000B6949"/>
    <w:rsid w:val="000B6A33"/>
    <w:rsid w:val="000B6AC1"/>
    <w:rsid w:val="000B6B2C"/>
    <w:rsid w:val="000B6C13"/>
    <w:rsid w:val="000B6D6D"/>
    <w:rsid w:val="000B6D6F"/>
    <w:rsid w:val="000B6D81"/>
    <w:rsid w:val="000B6D9C"/>
    <w:rsid w:val="000B6DF4"/>
    <w:rsid w:val="000B6E34"/>
    <w:rsid w:val="000B6E81"/>
    <w:rsid w:val="000B6E82"/>
    <w:rsid w:val="000B6F82"/>
    <w:rsid w:val="000B717D"/>
    <w:rsid w:val="000B7284"/>
    <w:rsid w:val="000B7317"/>
    <w:rsid w:val="000B7344"/>
    <w:rsid w:val="000B740A"/>
    <w:rsid w:val="000B752A"/>
    <w:rsid w:val="000B7569"/>
    <w:rsid w:val="000B769C"/>
    <w:rsid w:val="000B76E1"/>
    <w:rsid w:val="000B76F2"/>
    <w:rsid w:val="000B7869"/>
    <w:rsid w:val="000B79DF"/>
    <w:rsid w:val="000B7A4A"/>
    <w:rsid w:val="000B7A6F"/>
    <w:rsid w:val="000B7C6C"/>
    <w:rsid w:val="000B7E02"/>
    <w:rsid w:val="000B7F01"/>
    <w:rsid w:val="000B7F21"/>
    <w:rsid w:val="000C002B"/>
    <w:rsid w:val="000C004D"/>
    <w:rsid w:val="000C00AE"/>
    <w:rsid w:val="000C0288"/>
    <w:rsid w:val="000C02F4"/>
    <w:rsid w:val="000C0357"/>
    <w:rsid w:val="000C042C"/>
    <w:rsid w:val="000C043E"/>
    <w:rsid w:val="000C0502"/>
    <w:rsid w:val="000C0514"/>
    <w:rsid w:val="000C0623"/>
    <w:rsid w:val="000C06D7"/>
    <w:rsid w:val="000C076A"/>
    <w:rsid w:val="000C076F"/>
    <w:rsid w:val="000C07E0"/>
    <w:rsid w:val="000C096A"/>
    <w:rsid w:val="000C0A13"/>
    <w:rsid w:val="000C0C07"/>
    <w:rsid w:val="000C0D27"/>
    <w:rsid w:val="000C0FAC"/>
    <w:rsid w:val="000C0FD9"/>
    <w:rsid w:val="000C110B"/>
    <w:rsid w:val="000C13A7"/>
    <w:rsid w:val="000C15FA"/>
    <w:rsid w:val="000C161D"/>
    <w:rsid w:val="000C1761"/>
    <w:rsid w:val="000C17BB"/>
    <w:rsid w:val="000C18E0"/>
    <w:rsid w:val="000C18FE"/>
    <w:rsid w:val="000C1971"/>
    <w:rsid w:val="000C1989"/>
    <w:rsid w:val="000C19F6"/>
    <w:rsid w:val="000C1AEE"/>
    <w:rsid w:val="000C1CF9"/>
    <w:rsid w:val="000C1D05"/>
    <w:rsid w:val="000C1D4C"/>
    <w:rsid w:val="000C1E17"/>
    <w:rsid w:val="000C1E96"/>
    <w:rsid w:val="000C1E9F"/>
    <w:rsid w:val="000C1EB9"/>
    <w:rsid w:val="000C1EE2"/>
    <w:rsid w:val="000C1FAC"/>
    <w:rsid w:val="000C1FE4"/>
    <w:rsid w:val="000C203A"/>
    <w:rsid w:val="000C20E8"/>
    <w:rsid w:val="000C22B1"/>
    <w:rsid w:val="000C22B3"/>
    <w:rsid w:val="000C22CB"/>
    <w:rsid w:val="000C247F"/>
    <w:rsid w:val="000C2508"/>
    <w:rsid w:val="000C25BE"/>
    <w:rsid w:val="000C2608"/>
    <w:rsid w:val="000C2878"/>
    <w:rsid w:val="000C28D2"/>
    <w:rsid w:val="000C2969"/>
    <w:rsid w:val="000C2983"/>
    <w:rsid w:val="000C2A46"/>
    <w:rsid w:val="000C2AA7"/>
    <w:rsid w:val="000C2B6F"/>
    <w:rsid w:val="000C2BB4"/>
    <w:rsid w:val="000C2BD7"/>
    <w:rsid w:val="000C2C04"/>
    <w:rsid w:val="000C2D89"/>
    <w:rsid w:val="000C2DC4"/>
    <w:rsid w:val="000C2E9D"/>
    <w:rsid w:val="000C2F06"/>
    <w:rsid w:val="000C3066"/>
    <w:rsid w:val="000C3128"/>
    <w:rsid w:val="000C321C"/>
    <w:rsid w:val="000C326A"/>
    <w:rsid w:val="000C3286"/>
    <w:rsid w:val="000C32A1"/>
    <w:rsid w:val="000C32A8"/>
    <w:rsid w:val="000C32C8"/>
    <w:rsid w:val="000C338E"/>
    <w:rsid w:val="000C33FA"/>
    <w:rsid w:val="000C3452"/>
    <w:rsid w:val="000C355F"/>
    <w:rsid w:val="000C356A"/>
    <w:rsid w:val="000C3667"/>
    <w:rsid w:val="000C370E"/>
    <w:rsid w:val="000C3711"/>
    <w:rsid w:val="000C37A6"/>
    <w:rsid w:val="000C38C9"/>
    <w:rsid w:val="000C3935"/>
    <w:rsid w:val="000C39B6"/>
    <w:rsid w:val="000C39BA"/>
    <w:rsid w:val="000C39D1"/>
    <w:rsid w:val="000C3A91"/>
    <w:rsid w:val="000C3C74"/>
    <w:rsid w:val="000C3CEC"/>
    <w:rsid w:val="000C3D1F"/>
    <w:rsid w:val="000C3D48"/>
    <w:rsid w:val="000C3E68"/>
    <w:rsid w:val="000C3EB8"/>
    <w:rsid w:val="000C3FBD"/>
    <w:rsid w:val="000C3FF8"/>
    <w:rsid w:val="000C40DC"/>
    <w:rsid w:val="000C4170"/>
    <w:rsid w:val="000C41A0"/>
    <w:rsid w:val="000C42E7"/>
    <w:rsid w:val="000C44C9"/>
    <w:rsid w:val="000C44F4"/>
    <w:rsid w:val="000C4565"/>
    <w:rsid w:val="000C4669"/>
    <w:rsid w:val="000C469A"/>
    <w:rsid w:val="000C46A1"/>
    <w:rsid w:val="000C46FA"/>
    <w:rsid w:val="000C4742"/>
    <w:rsid w:val="000C48D4"/>
    <w:rsid w:val="000C4A9C"/>
    <w:rsid w:val="000C4B39"/>
    <w:rsid w:val="000C4B86"/>
    <w:rsid w:val="000C4C30"/>
    <w:rsid w:val="000C4C3B"/>
    <w:rsid w:val="000C4C67"/>
    <w:rsid w:val="000C4E87"/>
    <w:rsid w:val="000C4EF7"/>
    <w:rsid w:val="000C4F72"/>
    <w:rsid w:val="000C4FE1"/>
    <w:rsid w:val="000C5058"/>
    <w:rsid w:val="000C51C6"/>
    <w:rsid w:val="000C52CF"/>
    <w:rsid w:val="000C5314"/>
    <w:rsid w:val="000C535B"/>
    <w:rsid w:val="000C549A"/>
    <w:rsid w:val="000C55B9"/>
    <w:rsid w:val="000C55DA"/>
    <w:rsid w:val="000C5695"/>
    <w:rsid w:val="000C569F"/>
    <w:rsid w:val="000C5700"/>
    <w:rsid w:val="000C5746"/>
    <w:rsid w:val="000C5891"/>
    <w:rsid w:val="000C5893"/>
    <w:rsid w:val="000C598A"/>
    <w:rsid w:val="000C59F6"/>
    <w:rsid w:val="000C5A47"/>
    <w:rsid w:val="000C5C28"/>
    <w:rsid w:val="000C5D59"/>
    <w:rsid w:val="000C5D61"/>
    <w:rsid w:val="000C5E0E"/>
    <w:rsid w:val="000C5E76"/>
    <w:rsid w:val="000C5EB2"/>
    <w:rsid w:val="000C5F3B"/>
    <w:rsid w:val="000C5FE9"/>
    <w:rsid w:val="000C6548"/>
    <w:rsid w:val="000C6623"/>
    <w:rsid w:val="000C6751"/>
    <w:rsid w:val="000C677B"/>
    <w:rsid w:val="000C679B"/>
    <w:rsid w:val="000C6945"/>
    <w:rsid w:val="000C6A21"/>
    <w:rsid w:val="000C6A99"/>
    <w:rsid w:val="000C6B09"/>
    <w:rsid w:val="000C6CE9"/>
    <w:rsid w:val="000C6E03"/>
    <w:rsid w:val="000C6E76"/>
    <w:rsid w:val="000C6EA7"/>
    <w:rsid w:val="000C6EEE"/>
    <w:rsid w:val="000C7026"/>
    <w:rsid w:val="000C70EA"/>
    <w:rsid w:val="000C74B9"/>
    <w:rsid w:val="000C74DE"/>
    <w:rsid w:val="000C7580"/>
    <w:rsid w:val="000C7723"/>
    <w:rsid w:val="000C77E2"/>
    <w:rsid w:val="000C7822"/>
    <w:rsid w:val="000C782A"/>
    <w:rsid w:val="000C783F"/>
    <w:rsid w:val="000C7871"/>
    <w:rsid w:val="000C78E0"/>
    <w:rsid w:val="000C7976"/>
    <w:rsid w:val="000C797B"/>
    <w:rsid w:val="000C7982"/>
    <w:rsid w:val="000C7AA9"/>
    <w:rsid w:val="000C7B5D"/>
    <w:rsid w:val="000C7BB3"/>
    <w:rsid w:val="000C7C2A"/>
    <w:rsid w:val="000C7E65"/>
    <w:rsid w:val="000C7FAD"/>
    <w:rsid w:val="000D01A1"/>
    <w:rsid w:val="000D01F7"/>
    <w:rsid w:val="000D0219"/>
    <w:rsid w:val="000D0276"/>
    <w:rsid w:val="000D0398"/>
    <w:rsid w:val="000D03D9"/>
    <w:rsid w:val="000D03DA"/>
    <w:rsid w:val="000D03E3"/>
    <w:rsid w:val="000D05B2"/>
    <w:rsid w:val="000D05CC"/>
    <w:rsid w:val="000D086D"/>
    <w:rsid w:val="000D08CB"/>
    <w:rsid w:val="000D08D6"/>
    <w:rsid w:val="000D08F2"/>
    <w:rsid w:val="000D094A"/>
    <w:rsid w:val="000D0977"/>
    <w:rsid w:val="000D09C1"/>
    <w:rsid w:val="000D0A67"/>
    <w:rsid w:val="000D0A93"/>
    <w:rsid w:val="000D0AB7"/>
    <w:rsid w:val="000D0C48"/>
    <w:rsid w:val="000D0C7E"/>
    <w:rsid w:val="000D0E00"/>
    <w:rsid w:val="000D0E34"/>
    <w:rsid w:val="000D0E3A"/>
    <w:rsid w:val="000D0E79"/>
    <w:rsid w:val="000D0ED2"/>
    <w:rsid w:val="000D0EE6"/>
    <w:rsid w:val="000D0F27"/>
    <w:rsid w:val="000D102B"/>
    <w:rsid w:val="000D1075"/>
    <w:rsid w:val="000D112E"/>
    <w:rsid w:val="000D1195"/>
    <w:rsid w:val="000D1203"/>
    <w:rsid w:val="000D12B9"/>
    <w:rsid w:val="000D1376"/>
    <w:rsid w:val="000D14E6"/>
    <w:rsid w:val="000D15F5"/>
    <w:rsid w:val="000D17E2"/>
    <w:rsid w:val="000D17FF"/>
    <w:rsid w:val="000D186E"/>
    <w:rsid w:val="000D192B"/>
    <w:rsid w:val="000D19C3"/>
    <w:rsid w:val="000D1A01"/>
    <w:rsid w:val="000D1B4F"/>
    <w:rsid w:val="000D1BAD"/>
    <w:rsid w:val="000D1C3C"/>
    <w:rsid w:val="000D1C4E"/>
    <w:rsid w:val="000D1C71"/>
    <w:rsid w:val="000D1C97"/>
    <w:rsid w:val="000D1D22"/>
    <w:rsid w:val="000D1E1B"/>
    <w:rsid w:val="000D1E7E"/>
    <w:rsid w:val="000D1EB0"/>
    <w:rsid w:val="000D1EB3"/>
    <w:rsid w:val="000D1F14"/>
    <w:rsid w:val="000D1F56"/>
    <w:rsid w:val="000D209B"/>
    <w:rsid w:val="000D21D6"/>
    <w:rsid w:val="000D2267"/>
    <w:rsid w:val="000D2412"/>
    <w:rsid w:val="000D250E"/>
    <w:rsid w:val="000D25FE"/>
    <w:rsid w:val="000D26BF"/>
    <w:rsid w:val="000D2771"/>
    <w:rsid w:val="000D27B0"/>
    <w:rsid w:val="000D290C"/>
    <w:rsid w:val="000D29F7"/>
    <w:rsid w:val="000D2AA9"/>
    <w:rsid w:val="000D2B5D"/>
    <w:rsid w:val="000D2BB6"/>
    <w:rsid w:val="000D2DE0"/>
    <w:rsid w:val="000D2E35"/>
    <w:rsid w:val="000D2F3D"/>
    <w:rsid w:val="000D2F8D"/>
    <w:rsid w:val="000D31E6"/>
    <w:rsid w:val="000D31E8"/>
    <w:rsid w:val="000D3257"/>
    <w:rsid w:val="000D3325"/>
    <w:rsid w:val="000D334B"/>
    <w:rsid w:val="000D351E"/>
    <w:rsid w:val="000D357A"/>
    <w:rsid w:val="000D35C7"/>
    <w:rsid w:val="000D37E8"/>
    <w:rsid w:val="000D396D"/>
    <w:rsid w:val="000D3E80"/>
    <w:rsid w:val="000D3ED5"/>
    <w:rsid w:val="000D3F04"/>
    <w:rsid w:val="000D3FCA"/>
    <w:rsid w:val="000D40B4"/>
    <w:rsid w:val="000D40C7"/>
    <w:rsid w:val="000D41A1"/>
    <w:rsid w:val="000D41F7"/>
    <w:rsid w:val="000D42B0"/>
    <w:rsid w:val="000D42CC"/>
    <w:rsid w:val="000D4336"/>
    <w:rsid w:val="000D4351"/>
    <w:rsid w:val="000D4448"/>
    <w:rsid w:val="000D4682"/>
    <w:rsid w:val="000D46A7"/>
    <w:rsid w:val="000D46D6"/>
    <w:rsid w:val="000D4712"/>
    <w:rsid w:val="000D4769"/>
    <w:rsid w:val="000D47C9"/>
    <w:rsid w:val="000D480D"/>
    <w:rsid w:val="000D48CA"/>
    <w:rsid w:val="000D4967"/>
    <w:rsid w:val="000D4B31"/>
    <w:rsid w:val="000D4BBF"/>
    <w:rsid w:val="000D4CC0"/>
    <w:rsid w:val="000D4D5B"/>
    <w:rsid w:val="000D4DBC"/>
    <w:rsid w:val="000D4DC4"/>
    <w:rsid w:val="000D4DD4"/>
    <w:rsid w:val="000D4E52"/>
    <w:rsid w:val="000D4E7D"/>
    <w:rsid w:val="000D4EB3"/>
    <w:rsid w:val="000D4F37"/>
    <w:rsid w:val="000D4FEC"/>
    <w:rsid w:val="000D5135"/>
    <w:rsid w:val="000D5257"/>
    <w:rsid w:val="000D542B"/>
    <w:rsid w:val="000D544E"/>
    <w:rsid w:val="000D5492"/>
    <w:rsid w:val="000D54AF"/>
    <w:rsid w:val="000D54CA"/>
    <w:rsid w:val="000D551A"/>
    <w:rsid w:val="000D57E4"/>
    <w:rsid w:val="000D5814"/>
    <w:rsid w:val="000D591E"/>
    <w:rsid w:val="000D5B20"/>
    <w:rsid w:val="000D5C22"/>
    <w:rsid w:val="000D5CCB"/>
    <w:rsid w:val="000D5D83"/>
    <w:rsid w:val="000D6244"/>
    <w:rsid w:val="000D6336"/>
    <w:rsid w:val="000D64F5"/>
    <w:rsid w:val="000D6606"/>
    <w:rsid w:val="000D66AF"/>
    <w:rsid w:val="000D674A"/>
    <w:rsid w:val="000D69D5"/>
    <w:rsid w:val="000D6A52"/>
    <w:rsid w:val="000D6B86"/>
    <w:rsid w:val="000D6BC9"/>
    <w:rsid w:val="000D6CAF"/>
    <w:rsid w:val="000D6D28"/>
    <w:rsid w:val="000D6DA0"/>
    <w:rsid w:val="000D6E81"/>
    <w:rsid w:val="000D6F81"/>
    <w:rsid w:val="000D6FA4"/>
    <w:rsid w:val="000D705E"/>
    <w:rsid w:val="000D7146"/>
    <w:rsid w:val="000D72F1"/>
    <w:rsid w:val="000D7348"/>
    <w:rsid w:val="000D73D6"/>
    <w:rsid w:val="000D74B0"/>
    <w:rsid w:val="000D74C9"/>
    <w:rsid w:val="000D74CD"/>
    <w:rsid w:val="000D74DF"/>
    <w:rsid w:val="000D74E6"/>
    <w:rsid w:val="000D7636"/>
    <w:rsid w:val="000D785B"/>
    <w:rsid w:val="000D78E1"/>
    <w:rsid w:val="000D7960"/>
    <w:rsid w:val="000D79D1"/>
    <w:rsid w:val="000D7AA1"/>
    <w:rsid w:val="000D7AA2"/>
    <w:rsid w:val="000D7BD1"/>
    <w:rsid w:val="000D7BFD"/>
    <w:rsid w:val="000D7CCD"/>
    <w:rsid w:val="000D7DD5"/>
    <w:rsid w:val="000D7E56"/>
    <w:rsid w:val="000D7EA5"/>
    <w:rsid w:val="000D7F3A"/>
    <w:rsid w:val="000D7F9C"/>
    <w:rsid w:val="000D7FB0"/>
    <w:rsid w:val="000E00A0"/>
    <w:rsid w:val="000E00C2"/>
    <w:rsid w:val="000E0136"/>
    <w:rsid w:val="000E0326"/>
    <w:rsid w:val="000E0375"/>
    <w:rsid w:val="000E03CD"/>
    <w:rsid w:val="000E03F1"/>
    <w:rsid w:val="000E0460"/>
    <w:rsid w:val="000E04A7"/>
    <w:rsid w:val="000E0505"/>
    <w:rsid w:val="000E0575"/>
    <w:rsid w:val="000E06B7"/>
    <w:rsid w:val="000E0701"/>
    <w:rsid w:val="000E0762"/>
    <w:rsid w:val="000E09E4"/>
    <w:rsid w:val="000E09F7"/>
    <w:rsid w:val="000E0A47"/>
    <w:rsid w:val="000E0A90"/>
    <w:rsid w:val="000E0AD0"/>
    <w:rsid w:val="000E0B77"/>
    <w:rsid w:val="000E0BB4"/>
    <w:rsid w:val="000E0D4E"/>
    <w:rsid w:val="000E0D7E"/>
    <w:rsid w:val="000E0FBE"/>
    <w:rsid w:val="000E0FCD"/>
    <w:rsid w:val="000E0FD5"/>
    <w:rsid w:val="000E10E0"/>
    <w:rsid w:val="000E10E1"/>
    <w:rsid w:val="000E10F3"/>
    <w:rsid w:val="000E1112"/>
    <w:rsid w:val="000E12FA"/>
    <w:rsid w:val="000E15A8"/>
    <w:rsid w:val="000E1691"/>
    <w:rsid w:val="000E17A8"/>
    <w:rsid w:val="000E1810"/>
    <w:rsid w:val="000E1816"/>
    <w:rsid w:val="000E195F"/>
    <w:rsid w:val="000E196B"/>
    <w:rsid w:val="000E1B74"/>
    <w:rsid w:val="000E1BDD"/>
    <w:rsid w:val="000E1BFD"/>
    <w:rsid w:val="000E1CA6"/>
    <w:rsid w:val="000E1F54"/>
    <w:rsid w:val="000E1FFB"/>
    <w:rsid w:val="000E2077"/>
    <w:rsid w:val="000E250A"/>
    <w:rsid w:val="000E2547"/>
    <w:rsid w:val="000E256A"/>
    <w:rsid w:val="000E265F"/>
    <w:rsid w:val="000E26A3"/>
    <w:rsid w:val="000E29D8"/>
    <w:rsid w:val="000E29DD"/>
    <w:rsid w:val="000E2AD4"/>
    <w:rsid w:val="000E2B09"/>
    <w:rsid w:val="000E2C36"/>
    <w:rsid w:val="000E2E86"/>
    <w:rsid w:val="000E3102"/>
    <w:rsid w:val="000E312E"/>
    <w:rsid w:val="000E317C"/>
    <w:rsid w:val="000E3226"/>
    <w:rsid w:val="000E3394"/>
    <w:rsid w:val="000E3446"/>
    <w:rsid w:val="000E3672"/>
    <w:rsid w:val="000E36DB"/>
    <w:rsid w:val="000E396D"/>
    <w:rsid w:val="000E39DF"/>
    <w:rsid w:val="000E3A30"/>
    <w:rsid w:val="000E3ADF"/>
    <w:rsid w:val="000E3B62"/>
    <w:rsid w:val="000E3B7F"/>
    <w:rsid w:val="000E3BE7"/>
    <w:rsid w:val="000E3C71"/>
    <w:rsid w:val="000E3CCA"/>
    <w:rsid w:val="000E3CE8"/>
    <w:rsid w:val="000E3D4A"/>
    <w:rsid w:val="000E3F12"/>
    <w:rsid w:val="000E3F2B"/>
    <w:rsid w:val="000E3F62"/>
    <w:rsid w:val="000E4185"/>
    <w:rsid w:val="000E41CD"/>
    <w:rsid w:val="000E4201"/>
    <w:rsid w:val="000E421E"/>
    <w:rsid w:val="000E42D1"/>
    <w:rsid w:val="000E42F3"/>
    <w:rsid w:val="000E431E"/>
    <w:rsid w:val="000E434F"/>
    <w:rsid w:val="000E4561"/>
    <w:rsid w:val="000E457B"/>
    <w:rsid w:val="000E4633"/>
    <w:rsid w:val="000E4637"/>
    <w:rsid w:val="000E47B2"/>
    <w:rsid w:val="000E47B8"/>
    <w:rsid w:val="000E48DA"/>
    <w:rsid w:val="000E492B"/>
    <w:rsid w:val="000E4992"/>
    <w:rsid w:val="000E4A22"/>
    <w:rsid w:val="000E4AB4"/>
    <w:rsid w:val="000E4B02"/>
    <w:rsid w:val="000E4B93"/>
    <w:rsid w:val="000E4C9B"/>
    <w:rsid w:val="000E4CEB"/>
    <w:rsid w:val="000E4CFD"/>
    <w:rsid w:val="000E4D8D"/>
    <w:rsid w:val="000E4E04"/>
    <w:rsid w:val="000E4E51"/>
    <w:rsid w:val="000E4F75"/>
    <w:rsid w:val="000E4FD7"/>
    <w:rsid w:val="000E4FFB"/>
    <w:rsid w:val="000E5028"/>
    <w:rsid w:val="000E509F"/>
    <w:rsid w:val="000E5153"/>
    <w:rsid w:val="000E52C1"/>
    <w:rsid w:val="000E52EC"/>
    <w:rsid w:val="000E5320"/>
    <w:rsid w:val="000E5370"/>
    <w:rsid w:val="000E544B"/>
    <w:rsid w:val="000E55FF"/>
    <w:rsid w:val="000E56DE"/>
    <w:rsid w:val="000E5777"/>
    <w:rsid w:val="000E583F"/>
    <w:rsid w:val="000E5877"/>
    <w:rsid w:val="000E5927"/>
    <w:rsid w:val="000E5AC5"/>
    <w:rsid w:val="000E5B79"/>
    <w:rsid w:val="000E5B9F"/>
    <w:rsid w:val="000E5CBA"/>
    <w:rsid w:val="000E5D62"/>
    <w:rsid w:val="000E5E98"/>
    <w:rsid w:val="000E5EF9"/>
    <w:rsid w:val="000E5F3C"/>
    <w:rsid w:val="000E5F60"/>
    <w:rsid w:val="000E601A"/>
    <w:rsid w:val="000E6118"/>
    <w:rsid w:val="000E62D9"/>
    <w:rsid w:val="000E6435"/>
    <w:rsid w:val="000E6461"/>
    <w:rsid w:val="000E646E"/>
    <w:rsid w:val="000E6526"/>
    <w:rsid w:val="000E655A"/>
    <w:rsid w:val="000E65C5"/>
    <w:rsid w:val="000E679D"/>
    <w:rsid w:val="000E67CE"/>
    <w:rsid w:val="000E696A"/>
    <w:rsid w:val="000E69B3"/>
    <w:rsid w:val="000E69F1"/>
    <w:rsid w:val="000E69FC"/>
    <w:rsid w:val="000E6A39"/>
    <w:rsid w:val="000E6A7C"/>
    <w:rsid w:val="000E6B63"/>
    <w:rsid w:val="000E6D3E"/>
    <w:rsid w:val="000E6F11"/>
    <w:rsid w:val="000E6F75"/>
    <w:rsid w:val="000E6FC6"/>
    <w:rsid w:val="000E710B"/>
    <w:rsid w:val="000E71CE"/>
    <w:rsid w:val="000E71E8"/>
    <w:rsid w:val="000E7207"/>
    <w:rsid w:val="000E72A5"/>
    <w:rsid w:val="000E73A9"/>
    <w:rsid w:val="000E756F"/>
    <w:rsid w:val="000E75BE"/>
    <w:rsid w:val="000E75DE"/>
    <w:rsid w:val="000E769D"/>
    <w:rsid w:val="000E76AC"/>
    <w:rsid w:val="000E76DA"/>
    <w:rsid w:val="000E7770"/>
    <w:rsid w:val="000E79BC"/>
    <w:rsid w:val="000E7A3B"/>
    <w:rsid w:val="000E7A4E"/>
    <w:rsid w:val="000E7B01"/>
    <w:rsid w:val="000E7B83"/>
    <w:rsid w:val="000E7DCA"/>
    <w:rsid w:val="000E7E3E"/>
    <w:rsid w:val="000E7F40"/>
    <w:rsid w:val="000E7FAF"/>
    <w:rsid w:val="000F0041"/>
    <w:rsid w:val="000F0063"/>
    <w:rsid w:val="000F031B"/>
    <w:rsid w:val="000F04F5"/>
    <w:rsid w:val="000F05A7"/>
    <w:rsid w:val="000F05EC"/>
    <w:rsid w:val="000F065D"/>
    <w:rsid w:val="000F06FB"/>
    <w:rsid w:val="000F0718"/>
    <w:rsid w:val="000F074C"/>
    <w:rsid w:val="000F0929"/>
    <w:rsid w:val="000F098C"/>
    <w:rsid w:val="000F09B5"/>
    <w:rsid w:val="000F0B36"/>
    <w:rsid w:val="000F0BEE"/>
    <w:rsid w:val="000F0D2A"/>
    <w:rsid w:val="000F0DE7"/>
    <w:rsid w:val="000F0E20"/>
    <w:rsid w:val="000F0EC8"/>
    <w:rsid w:val="000F0EFA"/>
    <w:rsid w:val="000F0F10"/>
    <w:rsid w:val="000F0F2F"/>
    <w:rsid w:val="000F1286"/>
    <w:rsid w:val="000F130B"/>
    <w:rsid w:val="000F1354"/>
    <w:rsid w:val="000F13F8"/>
    <w:rsid w:val="000F1443"/>
    <w:rsid w:val="000F14CD"/>
    <w:rsid w:val="000F15D5"/>
    <w:rsid w:val="000F1651"/>
    <w:rsid w:val="000F1699"/>
    <w:rsid w:val="000F16D3"/>
    <w:rsid w:val="000F1956"/>
    <w:rsid w:val="000F1C8B"/>
    <w:rsid w:val="000F1F0F"/>
    <w:rsid w:val="000F1F1C"/>
    <w:rsid w:val="000F1F5E"/>
    <w:rsid w:val="000F1FF3"/>
    <w:rsid w:val="000F2026"/>
    <w:rsid w:val="000F2086"/>
    <w:rsid w:val="000F20C2"/>
    <w:rsid w:val="000F22DF"/>
    <w:rsid w:val="000F2333"/>
    <w:rsid w:val="000F239A"/>
    <w:rsid w:val="000F23E6"/>
    <w:rsid w:val="000F23E7"/>
    <w:rsid w:val="000F2449"/>
    <w:rsid w:val="000F24F1"/>
    <w:rsid w:val="000F2540"/>
    <w:rsid w:val="000F25C7"/>
    <w:rsid w:val="000F2603"/>
    <w:rsid w:val="000F26F4"/>
    <w:rsid w:val="000F2867"/>
    <w:rsid w:val="000F28BF"/>
    <w:rsid w:val="000F29CD"/>
    <w:rsid w:val="000F2A57"/>
    <w:rsid w:val="000F2B31"/>
    <w:rsid w:val="000F2B5D"/>
    <w:rsid w:val="000F2B7E"/>
    <w:rsid w:val="000F2CAC"/>
    <w:rsid w:val="000F2DF4"/>
    <w:rsid w:val="000F3016"/>
    <w:rsid w:val="000F306A"/>
    <w:rsid w:val="000F30C0"/>
    <w:rsid w:val="000F310E"/>
    <w:rsid w:val="000F322D"/>
    <w:rsid w:val="000F3256"/>
    <w:rsid w:val="000F331B"/>
    <w:rsid w:val="000F337D"/>
    <w:rsid w:val="000F33B7"/>
    <w:rsid w:val="000F3548"/>
    <w:rsid w:val="000F3772"/>
    <w:rsid w:val="000F37A9"/>
    <w:rsid w:val="000F3890"/>
    <w:rsid w:val="000F3900"/>
    <w:rsid w:val="000F3E31"/>
    <w:rsid w:val="000F3EF6"/>
    <w:rsid w:val="000F3F5F"/>
    <w:rsid w:val="000F3F8D"/>
    <w:rsid w:val="000F3F91"/>
    <w:rsid w:val="000F3FFB"/>
    <w:rsid w:val="000F4055"/>
    <w:rsid w:val="000F40A0"/>
    <w:rsid w:val="000F4193"/>
    <w:rsid w:val="000F41BA"/>
    <w:rsid w:val="000F4288"/>
    <w:rsid w:val="000F441B"/>
    <w:rsid w:val="000F4535"/>
    <w:rsid w:val="000F462D"/>
    <w:rsid w:val="000F46FD"/>
    <w:rsid w:val="000F470A"/>
    <w:rsid w:val="000F47E6"/>
    <w:rsid w:val="000F48C0"/>
    <w:rsid w:val="000F4D54"/>
    <w:rsid w:val="000F4D61"/>
    <w:rsid w:val="000F4DE6"/>
    <w:rsid w:val="000F4F4B"/>
    <w:rsid w:val="000F4FC4"/>
    <w:rsid w:val="000F501F"/>
    <w:rsid w:val="000F502C"/>
    <w:rsid w:val="000F5174"/>
    <w:rsid w:val="000F51B4"/>
    <w:rsid w:val="000F51DA"/>
    <w:rsid w:val="000F5297"/>
    <w:rsid w:val="000F531D"/>
    <w:rsid w:val="000F53B7"/>
    <w:rsid w:val="000F5410"/>
    <w:rsid w:val="000F55D3"/>
    <w:rsid w:val="000F55DF"/>
    <w:rsid w:val="000F5822"/>
    <w:rsid w:val="000F58B9"/>
    <w:rsid w:val="000F58C4"/>
    <w:rsid w:val="000F59EA"/>
    <w:rsid w:val="000F5A02"/>
    <w:rsid w:val="000F5ACC"/>
    <w:rsid w:val="000F5AEA"/>
    <w:rsid w:val="000F5B27"/>
    <w:rsid w:val="000F5BFE"/>
    <w:rsid w:val="000F5C08"/>
    <w:rsid w:val="000F5DC2"/>
    <w:rsid w:val="000F5DCE"/>
    <w:rsid w:val="000F5DF0"/>
    <w:rsid w:val="000F5ECE"/>
    <w:rsid w:val="000F5F28"/>
    <w:rsid w:val="000F617B"/>
    <w:rsid w:val="000F624E"/>
    <w:rsid w:val="000F62DF"/>
    <w:rsid w:val="000F6341"/>
    <w:rsid w:val="000F636A"/>
    <w:rsid w:val="000F63A0"/>
    <w:rsid w:val="000F6536"/>
    <w:rsid w:val="000F6647"/>
    <w:rsid w:val="000F6750"/>
    <w:rsid w:val="000F6926"/>
    <w:rsid w:val="000F699A"/>
    <w:rsid w:val="000F69C7"/>
    <w:rsid w:val="000F6A14"/>
    <w:rsid w:val="000F6D38"/>
    <w:rsid w:val="000F6E62"/>
    <w:rsid w:val="000F6F17"/>
    <w:rsid w:val="000F6F39"/>
    <w:rsid w:val="000F6F6D"/>
    <w:rsid w:val="000F6F89"/>
    <w:rsid w:val="000F6F8F"/>
    <w:rsid w:val="000F70F2"/>
    <w:rsid w:val="000F7140"/>
    <w:rsid w:val="000F7174"/>
    <w:rsid w:val="000F71A7"/>
    <w:rsid w:val="000F7341"/>
    <w:rsid w:val="000F7382"/>
    <w:rsid w:val="000F73D6"/>
    <w:rsid w:val="000F74D8"/>
    <w:rsid w:val="000F7510"/>
    <w:rsid w:val="000F7607"/>
    <w:rsid w:val="000F778F"/>
    <w:rsid w:val="000F7826"/>
    <w:rsid w:val="000F7893"/>
    <w:rsid w:val="000F78DF"/>
    <w:rsid w:val="000F7A4E"/>
    <w:rsid w:val="000F7BC5"/>
    <w:rsid w:val="000F7C68"/>
    <w:rsid w:val="000F7D89"/>
    <w:rsid w:val="00100038"/>
    <w:rsid w:val="00100088"/>
    <w:rsid w:val="00100092"/>
    <w:rsid w:val="001001CD"/>
    <w:rsid w:val="001001D5"/>
    <w:rsid w:val="001002F4"/>
    <w:rsid w:val="00100325"/>
    <w:rsid w:val="00100362"/>
    <w:rsid w:val="00100377"/>
    <w:rsid w:val="00100450"/>
    <w:rsid w:val="001004AF"/>
    <w:rsid w:val="00100710"/>
    <w:rsid w:val="00100802"/>
    <w:rsid w:val="00100839"/>
    <w:rsid w:val="001008B0"/>
    <w:rsid w:val="00100920"/>
    <w:rsid w:val="00100923"/>
    <w:rsid w:val="00100BC5"/>
    <w:rsid w:val="00100C4C"/>
    <w:rsid w:val="00100C95"/>
    <w:rsid w:val="0010107F"/>
    <w:rsid w:val="001011C3"/>
    <w:rsid w:val="0010127F"/>
    <w:rsid w:val="001012A4"/>
    <w:rsid w:val="00101504"/>
    <w:rsid w:val="001016AF"/>
    <w:rsid w:val="00101708"/>
    <w:rsid w:val="00101754"/>
    <w:rsid w:val="001017E8"/>
    <w:rsid w:val="001017F5"/>
    <w:rsid w:val="0010185E"/>
    <w:rsid w:val="001018C1"/>
    <w:rsid w:val="0010192E"/>
    <w:rsid w:val="00101933"/>
    <w:rsid w:val="0010197B"/>
    <w:rsid w:val="00101BE9"/>
    <w:rsid w:val="00101C07"/>
    <w:rsid w:val="00101C09"/>
    <w:rsid w:val="00101CFA"/>
    <w:rsid w:val="00101D11"/>
    <w:rsid w:val="00101E36"/>
    <w:rsid w:val="00101E54"/>
    <w:rsid w:val="00101E5A"/>
    <w:rsid w:val="0010202A"/>
    <w:rsid w:val="0010214D"/>
    <w:rsid w:val="00102395"/>
    <w:rsid w:val="001023DC"/>
    <w:rsid w:val="001024CA"/>
    <w:rsid w:val="001025ED"/>
    <w:rsid w:val="00102860"/>
    <w:rsid w:val="001028B1"/>
    <w:rsid w:val="0010290B"/>
    <w:rsid w:val="0010296C"/>
    <w:rsid w:val="00102C0A"/>
    <w:rsid w:val="00102C4B"/>
    <w:rsid w:val="00102EB0"/>
    <w:rsid w:val="00102EDC"/>
    <w:rsid w:val="00102EED"/>
    <w:rsid w:val="00102F3F"/>
    <w:rsid w:val="00102F87"/>
    <w:rsid w:val="00102FC7"/>
    <w:rsid w:val="00103071"/>
    <w:rsid w:val="001030DE"/>
    <w:rsid w:val="001030E9"/>
    <w:rsid w:val="00103150"/>
    <w:rsid w:val="00103183"/>
    <w:rsid w:val="001031D5"/>
    <w:rsid w:val="00103236"/>
    <w:rsid w:val="0010339B"/>
    <w:rsid w:val="0010344D"/>
    <w:rsid w:val="0010345C"/>
    <w:rsid w:val="00103581"/>
    <w:rsid w:val="00103731"/>
    <w:rsid w:val="001037D2"/>
    <w:rsid w:val="00103814"/>
    <w:rsid w:val="001038DC"/>
    <w:rsid w:val="0010394B"/>
    <w:rsid w:val="001039BD"/>
    <w:rsid w:val="001039E2"/>
    <w:rsid w:val="00103A64"/>
    <w:rsid w:val="00103AE2"/>
    <w:rsid w:val="00103B5F"/>
    <w:rsid w:val="00103BBD"/>
    <w:rsid w:val="00103CB3"/>
    <w:rsid w:val="00103CC6"/>
    <w:rsid w:val="00103CF7"/>
    <w:rsid w:val="00103D68"/>
    <w:rsid w:val="00103D6C"/>
    <w:rsid w:val="00103EB1"/>
    <w:rsid w:val="00104014"/>
    <w:rsid w:val="001040EC"/>
    <w:rsid w:val="001041AB"/>
    <w:rsid w:val="00104283"/>
    <w:rsid w:val="001042AA"/>
    <w:rsid w:val="001043B1"/>
    <w:rsid w:val="00104555"/>
    <w:rsid w:val="00104575"/>
    <w:rsid w:val="00104635"/>
    <w:rsid w:val="00104709"/>
    <w:rsid w:val="00104761"/>
    <w:rsid w:val="001047C7"/>
    <w:rsid w:val="00104828"/>
    <w:rsid w:val="00104865"/>
    <w:rsid w:val="00104A08"/>
    <w:rsid w:val="00104B98"/>
    <w:rsid w:val="00104BC2"/>
    <w:rsid w:val="00104C44"/>
    <w:rsid w:val="00104D29"/>
    <w:rsid w:val="00104D91"/>
    <w:rsid w:val="00104E3D"/>
    <w:rsid w:val="00104ED2"/>
    <w:rsid w:val="00104F2F"/>
    <w:rsid w:val="00104F48"/>
    <w:rsid w:val="00104F69"/>
    <w:rsid w:val="001051E5"/>
    <w:rsid w:val="00105220"/>
    <w:rsid w:val="00105244"/>
    <w:rsid w:val="00105511"/>
    <w:rsid w:val="001055E6"/>
    <w:rsid w:val="0010560D"/>
    <w:rsid w:val="0010587B"/>
    <w:rsid w:val="00105B25"/>
    <w:rsid w:val="00105C73"/>
    <w:rsid w:val="00105F6E"/>
    <w:rsid w:val="00105F8E"/>
    <w:rsid w:val="00105FCF"/>
    <w:rsid w:val="00106096"/>
    <w:rsid w:val="001060BE"/>
    <w:rsid w:val="001060C3"/>
    <w:rsid w:val="00106128"/>
    <w:rsid w:val="001061C1"/>
    <w:rsid w:val="00106468"/>
    <w:rsid w:val="00106522"/>
    <w:rsid w:val="001065CF"/>
    <w:rsid w:val="001066CA"/>
    <w:rsid w:val="001066FF"/>
    <w:rsid w:val="0010683F"/>
    <w:rsid w:val="0010684B"/>
    <w:rsid w:val="00106A85"/>
    <w:rsid w:val="00106C2A"/>
    <w:rsid w:val="00106D21"/>
    <w:rsid w:val="00106E21"/>
    <w:rsid w:val="00106EB0"/>
    <w:rsid w:val="00106EED"/>
    <w:rsid w:val="00106F3A"/>
    <w:rsid w:val="00106F7E"/>
    <w:rsid w:val="00106FF2"/>
    <w:rsid w:val="00106FF7"/>
    <w:rsid w:val="0010701B"/>
    <w:rsid w:val="00107153"/>
    <w:rsid w:val="00107252"/>
    <w:rsid w:val="00107312"/>
    <w:rsid w:val="00107315"/>
    <w:rsid w:val="001073AF"/>
    <w:rsid w:val="001074E2"/>
    <w:rsid w:val="001074F5"/>
    <w:rsid w:val="001076DB"/>
    <w:rsid w:val="00107992"/>
    <w:rsid w:val="001079F6"/>
    <w:rsid w:val="00107A6A"/>
    <w:rsid w:val="00107A87"/>
    <w:rsid w:val="00107AE0"/>
    <w:rsid w:val="00107AF7"/>
    <w:rsid w:val="00107BEE"/>
    <w:rsid w:val="00107C38"/>
    <w:rsid w:val="00107C75"/>
    <w:rsid w:val="00107CA7"/>
    <w:rsid w:val="00107D6A"/>
    <w:rsid w:val="00107D94"/>
    <w:rsid w:val="00107F1D"/>
    <w:rsid w:val="00107FF5"/>
    <w:rsid w:val="00110031"/>
    <w:rsid w:val="0011012C"/>
    <w:rsid w:val="001101C3"/>
    <w:rsid w:val="001102A5"/>
    <w:rsid w:val="001103D1"/>
    <w:rsid w:val="0011043D"/>
    <w:rsid w:val="00110529"/>
    <w:rsid w:val="00110582"/>
    <w:rsid w:val="00110658"/>
    <w:rsid w:val="0011067D"/>
    <w:rsid w:val="001106D1"/>
    <w:rsid w:val="0011073E"/>
    <w:rsid w:val="00110875"/>
    <w:rsid w:val="001108F3"/>
    <w:rsid w:val="001109E8"/>
    <w:rsid w:val="001109FF"/>
    <w:rsid w:val="00110A0A"/>
    <w:rsid w:val="00110A94"/>
    <w:rsid w:val="00110ABB"/>
    <w:rsid w:val="00110ABD"/>
    <w:rsid w:val="00110AED"/>
    <w:rsid w:val="00110B74"/>
    <w:rsid w:val="00110C9B"/>
    <w:rsid w:val="00110E8D"/>
    <w:rsid w:val="00110ECD"/>
    <w:rsid w:val="00111052"/>
    <w:rsid w:val="00111356"/>
    <w:rsid w:val="00111446"/>
    <w:rsid w:val="00111464"/>
    <w:rsid w:val="0011146D"/>
    <w:rsid w:val="001114E5"/>
    <w:rsid w:val="00111559"/>
    <w:rsid w:val="00111827"/>
    <w:rsid w:val="0011191A"/>
    <w:rsid w:val="001119F0"/>
    <w:rsid w:val="00111C04"/>
    <w:rsid w:val="00111C6F"/>
    <w:rsid w:val="00111D63"/>
    <w:rsid w:val="00111E5B"/>
    <w:rsid w:val="00111EC0"/>
    <w:rsid w:val="00111F03"/>
    <w:rsid w:val="00111F9C"/>
    <w:rsid w:val="0011210B"/>
    <w:rsid w:val="00112117"/>
    <w:rsid w:val="0011214E"/>
    <w:rsid w:val="00112161"/>
    <w:rsid w:val="0011229B"/>
    <w:rsid w:val="001123FB"/>
    <w:rsid w:val="0011242A"/>
    <w:rsid w:val="001124A7"/>
    <w:rsid w:val="00112738"/>
    <w:rsid w:val="00112866"/>
    <w:rsid w:val="00112879"/>
    <w:rsid w:val="00112960"/>
    <w:rsid w:val="00112B9A"/>
    <w:rsid w:val="00112BE7"/>
    <w:rsid w:val="00112CBA"/>
    <w:rsid w:val="00112CD3"/>
    <w:rsid w:val="00112F71"/>
    <w:rsid w:val="00112FB3"/>
    <w:rsid w:val="00113043"/>
    <w:rsid w:val="00113067"/>
    <w:rsid w:val="00113082"/>
    <w:rsid w:val="0011308F"/>
    <w:rsid w:val="00113209"/>
    <w:rsid w:val="0011323A"/>
    <w:rsid w:val="0011337B"/>
    <w:rsid w:val="0011354D"/>
    <w:rsid w:val="0011369F"/>
    <w:rsid w:val="00113763"/>
    <w:rsid w:val="001137D0"/>
    <w:rsid w:val="00113839"/>
    <w:rsid w:val="00113A5C"/>
    <w:rsid w:val="00113C34"/>
    <w:rsid w:val="00113D17"/>
    <w:rsid w:val="00113D6B"/>
    <w:rsid w:val="00113DDF"/>
    <w:rsid w:val="00113FB1"/>
    <w:rsid w:val="0011405C"/>
    <w:rsid w:val="00114221"/>
    <w:rsid w:val="00114254"/>
    <w:rsid w:val="001142C0"/>
    <w:rsid w:val="001142D4"/>
    <w:rsid w:val="0011433C"/>
    <w:rsid w:val="001143CB"/>
    <w:rsid w:val="00114488"/>
    <w:rsid w:val="001144C1"/>
    <w:rsid w:val="00114544"/>
    <w:rsid w:val="00114573"/>
    <w:rsid w:val="00114575"/>
    <w:rsid w:val="00114596"/>
    <w:rsid w:val="00114605"/>
    <w:rsid w:val="00114628"/>
    <w:rsid w:val="00114634"/>
    <w:rsid w:val="001146A5"/>
    <w:rsid w:val="00114929"/>
    <w:rsid w:val="001149B0"/>
    <w:rsid w:val="001149FF"/>
    <w:rsid w:val="00114A1D"/>
    <w:rsid w:val="00114BA5"/>
    <w:rsid w:val="00114C14"/>
    <w:rsid w:val="00114C6E"/>
    <w:rsid w:val="00114D10"/>
    <w:rsid w:val="00114D86"/>
    <w:rsid w:val="00114D9A"/>
    <w:rsid w:val="00115045"/>
    <w:rsid w:val="00115068"/>
    <w:rsid w:val="00115095"/>
    <w:rsid w:val="0011517A"/>
    <w:rsid w:val="001151A9"/>
    <w:rsid w:val="001151AA"/>
    <w:rsid w:val="00115305"/>
    <w:rsid w:val="0011543E"/>
    <w:rsid w:val="001154E5"/>
    <w:rsid w:val="00115529"/>
    <w:rsid w:val="001155B7"/>
    <w:rsid w:val="00115664"/>
    <w:rsid w:val="00115A82"/>
    <w:rsid w:val="00115AAF"/>
    <w:rsid w:val="00115CBA"/>
    <w:rsid w:val="00115D2B"/>
    <w:rsid w:val="00115D87"/>
    <w:rsid w:val="00115D8A"/>
    <w:rsid w:val="00115DB2"/>
    <w:rsid w:val="00115E55"/>
    <w:rsid w:val="00115F28"/>
    <w:rsid w:val="0011617C"/>
    <w:rsid w:val="001161DE"/>
    <w:rsid w:val="00116333"/>
    <w:rsid w:val="001163B8"/>
    <w:rsid w:val="00116480"/>
    <w:rsid w:val="001165CE"/>
    <w:rsid w:val="0011668E"/>
    <w:rsid w:val="0011674C"/>
    <w:rsid w:val="001168D6"/>
    <w:rsid w:val="0011693D"/>
    <w:rsid w:val="00116983"/>
    <w:rsid w:val="00116A80"/>
    <w:rsid w:val="00116AF2"/>
    <w:rsid w:val="00116AF9"/>
    <w:rsid w:val="00116CFC"/>
    <w:rsid w:val="00116D50"/>
    <w:rsid w:val="00116DC7"/>
    <w:rsid w:val="00116EAC"/>
    <w:rsid w:val="00116EC2"/>
    <w:rsid w:val="00116F72"/>
    <w:rsid w:val="00117057"/>
    <w:rsid w:val="00117060"/>
    <w:rsid w:val="001170C6"/>
    <w:rsid w:val="00117194"/>
    <w:rsid w:val="00117212"/>
    <w:rsid w:val="00117342"/>
    <w:rsid w:val="00117467"/>
    <w:rsid w:val="001174E5"/>
    <w:rsid w:val="001175E7"/>
    <w:rsid w:val="0011762D"/>
    <w:rsid w:val="00117669"/>
    <w:rsid w:val="00117812"/>
    <w:rsid w:val="0011784E"/>
    <w:rsid w:val="00117931"/>
    <w:rsid w:val="00117961"/>
    <w:rsid w:val="00117A12"/>
    <w:rsid w:val="00117DE1"/>
    <w:rsid w:val="00117E9F"/>
    <w:rsid w:val="00117EDE"/>
    <w:rsid w:val="00117FB3"/>
    <w:rsid w:val="001192AB"/>
    <w:rsid w:val="001200A5"/>
    <w:rsid w:val="0012012F"/>
    <w:rsid w:val="001201E5"/>
    <w:rsid w:val="00120219"/>
    <w:rsid w:val="00120325"/>
    <w:rsid w:val="0012043F"/>
    <w:rsid w:val="00120443"/>
    <w:rsid w:val="00120494"/>
    <w:rsid w:val="001204D2"/>
    <w:rsid w:val="001205FE"/>
    <w:rsid w:val="0012078C"/>
    <w:rsid w:val="0012081D"/>
    <w:rsid w:val="00120840"/>
    <w:rsid w:val="001208B0"/>
    <w:rsid w:val="001208F5"/>
    <w:rsid w:val="001208F7"/>
    <w:rsid w:val="00120B2C"/>
    <w:rsid w:val="00120BAD"/>
    <w:rsid w:val="00120BF3"/>
    <w:rsid w:val="00120D1F"/>
    <w:rsid w:val="00120FBF"/>
    <w:rsid w:val="0012100C"/>
    <w:rsid w:val="00121065"/>
    <w:rsid w:val="00121131"/>
    <w:rsid w:val="001212C1"/>
    <w:rsid w:val="001212C6"/>
    <w:rsid w:val="00121306"/>
    <w:rsid w:val="00121359"/>
    <w:rsid w:val="001216B3"/>
    <w:rsid w:val="0012173B"/>
    <w:rsid w:val="001218BB"/>
    <w:rsid w:val="0012197D"/>
    <w:rsid w:val="0012198D"/>
    <w:rsid w:val="00121E87"/>
    <w:rsid w:val="00121F8F"/>
    <w:rsid w:val="001220FF"/>
    <w:rsid w:val="00122146"/>
    <w:rsid w:val="001222BA"/>
    <w:rsid w:val="00122478"/>
    <w:rsid w:val="001224BF"/>
    <w:rsid w:val="001225D1"/>
    <w:rsid w:val="001225DA"/>
    <w:rsid w:val="00122766"/>
    <w:rsid w:val="001227F9"/>
    <w:rsid w:val="00122812"/>
    <w:rsid w:val="00122900"/>
    <w:rsid w:val="00122A0B"/>
    <w:rsid w:val="00122A44"/>
    <w:rsid w:val="00122B9F"/>
    <w:rsid w:val="00122C17"/>
    <w:rsid w:val="00122CA6"/>
    <w:rsid w:val="00122E8B"/>
    <w:rsid w:val="00122F14"/>
    <w:rsid w:val="00123050"/>
    <w:rsid w:val="00123098"/>
    <w:rsid w:val="0012312A"/>
    <w:rsid w:val="0012328E"/>
    <w:rsid w:val="0012337E"/>
    <w:rsid w:val="00123476"/>
    <w:rsid w:val="001236D8"/>
    <w:rsid w:val="00123755"/>
    <w:rsid w:val="00123757"/>
    <w:rsid w:val="00123770"/>
    <w:rsid w:val="001238E7"/>
    <w:rsid w:val="00123928"/>
    <w:rsid w:val="00123AA9"/>
    <w:rsid w:val="00123AEF"/>
    <w:rsid w:val="00123BAB"/>
    <w:rsid w:val="00123C67"/>
    <w:rsid w:val="00123C69"/>
    <w:rsid w:val="00123C87"/>
    <w:rsid w:val="00123C97"/>
    <w:rsid w:val="00123CF4"/>
    <w:rsid w:val="00123E58"/>
    <w:rsid w:val="00123F44"/>
    <w:rsid w:val="00123FE6"/>
    <w:rsid w:val="0012406F"/>
    <w:rsid w:val="001240F3"/>
    <w:rsid w:val="00124238"/>
    <w:rsid w:val="0012423C"/>
    <w:rsid w:val="00124328"/>
    <w:rsid w:val="001243C4"/>
    <w:rsid w:val="001243CB"/>
    <w:rsid w:val="00124462"/>
    <w:rsid w:val="001244B3"/>
    <w:rsid w:val="001244C9"/>
    <w:rsid w:val="001244F0"/>
    <w:rsid w:val="0012458D"/>
    <w:rsid w:val="00124606"/>
    <w:rsid w:val="00124619"/>
    <w:rsid w:val="0012471A"/>
    <w:rsid w:val="0012488F"/>
    <w:rsid w:val="00124A16"/>
    <w:rsid w:val="00124A27"/>
    <w:rsid w:val="00124ADC"/>
    <w:rsid w:val="00124B64"/>
    <w:rsid w:val="00124B7F"/>
    <w:rsid w:val="00124C8C"/>
    <w:rsid w:val="00124D82"/>
    <w:rsid w:val="00124D87"/>
    <w:rsid w:val="00124DBB"/>
    <w:rsid w:val="00124E2A"/>
    <w:rsid w:val="00124E2D"/>
    <w:rsid w:val="00124F26"/>
    <w:rsid w:val="0012510B"/>
    <w:rsid w:val="0012516D"/>
    <w:rsid w:val="001251A8"/>
    <w:rsid w:val="001251CD"/>
    <w:rsid w:val="0012533D"/>
    <w:rsid w:val="00125361"/>
    <w:rsid w:val="00125455"/>
    <w:rsid w:val="001254A9"/>
    <w:rsid w:val="00125737"/>
    <w:rsid w:val="00125744"/>
    <w:rsid w:val="00125A63"/>
    <w:rsid w:val="00125A7D"/>
    <w:rsid w:val="00125B24"/>
    <w:rsid w:val="00125BA1"/>
    <w:rsid w:val="00125BC5"/>
    <w:rsid w:val="00125BDE"/>
    <w:rsid w:val="00125CCD"/>
    <w:rsid w:val="00125EAE"/>
    <w:rsid w:val="00125F42"/>
    <w:rsid w:val="00125F52"/>
    <w:rsid w:val="0012603E"/>
    <w:rsid w:val="0012609D"/>
    <w:rsid w:val="001260C0"/>
    <w:rsid w:val="001261E4"/>
    <w:rsid w:val="0012621C"/>
    <w:rsid w:val="001263A2"/>
    <w:rsid w:val="001263BE"/>
    <w:rsid w:val="001266B6"/>
    <w:rsid w:val="00126768"/>
    <w:rsid w:val="0012687B"/>
    <w:rsid w:val="0012687C"/>
    <w:rsid w:val="00126923"/>
    <w:rsid w:val="0012696B"/>
    <w:rsid w:val="00126AAD"/>
    <w:rsid w:val="00126AFB"/>
    <w:rsid w:val="00126B22"/>
    <w:rsid w:val="00126B36"/>
    <w:rsid w:val="00126BDB"/>
    <w:rsid w:val="00126C43"/>
    <w:rsid w:val="00126DC1"/>
    <w:rsid w:val="00126DC9"/>
    <w:rsid w:val="00127044"/>
    <w:rsid w:val="001270DA"/>
    <w:rsid w:val="0012719D"/>
    <w:rsid w:val="001271E6"/>
    <w:rsid w:val="001271E7"/>
    <w:rsid w:val="001271FB"/>
    <w:rsid w:val="0012727B"/>
    <w:rsid w:val="00127297"/>
    <w:rsid w:val="00127346"/>
    <w:rsid w:val="0012735F"/>
    <w:rsid w:val="001273FC"/>
    <w:rsid w:val="00127533"/>
    <w:rsid w:val="0012753A"/>
    <w:rsid w:val="00127567"/>
    <w:rsid w:val="00127586"/>
    <w:rsid w:val="0012780D"/>
    <w:rsid w:val="00127841"/>
    <w:rsid w:val="001278C4"/>
    <w:rsid w:val="0012796B"/>
    <w:rsid w:val="0012797E"/>
    <w:rsid w:val="00127984"/>
    <w:rsid w:val="00127AD4"/>
    <w:rsid w:val="00127B69"/>
    <w:rsid w:val="00127B7C"/>
    <w:rsid w:val="00127BE0"/>
    <w:rsid w:val="00127C5F"/>
    <w:rsid w:val="00127CF1"/>
    <w:rsid w:val="00127D39"/>
    <w:rsid w:val="00127E0F"/>
    <w:rsid w:val="0013003A"/>
    <w:rsid w:val="001300F1"/>
    <w:rsid w:val="00130325"/>
    <w:rsid w:val="00130380"/>
    <w:rsid w:val="0013040A"/>
    <w:rsid w:val="00130521"/>
    <w:rsid w:val="001307C1"/>
    <w:rsid w:val="001308F0"/>
    <w:rsid w:val="00130973"/>
    <w:rsid w:val="001309E9"/>
    <w:rsid w:val="00130A05"/>
    <w:rsid w:val="00130A45"/>
    <w:rsid w:val="00130AC5"/>
    <w:rsid w:val="00130AC6"/>
    <w:rsid w:val="00130BE9"/>
    <w:rsid w:val="00130DEE"/>
    <w:rsid w:val="00130E53"/>
    <w:rsid w:val="00130E68"/>
    <w:rsid w:val="00130E7B"/>
    <w:rsid w:val="00130E87"/>
    <w:rsid w:val="00130FE0"/>
    <w:rsid w:val="00131000"/>
    <w:rsid w:val="00131006"/>
    <w:rsid w:val="00131046"/>
    <w:rsid w:val="00131061"/>
    <w:rsid w:val="00131133"/>
    <w:rsid w:val="00131228"/>
    <w:rsid w:val="00131341"/>
    <w:rsid w:val="00131392"/>
    <w:rsid w:val="0013139C"/>
    <w:rsid w:val="00131522"/>
    <w:rsid w:val="00131561"/>
    <w:rsid w:val="0013156C"/>
    <w:rsid w:val="00131574"/>
    <w:rsid w:val="0013169B"/>
    <w:rsid w:val="001316AC"/>
    <w:rsid w:val="001316C6"/>
    <w:rsid w:val="0013177F"/>
    <w:rsid w:val="00131833"/>
    <w:rsid w:val="00131989"/>
    <w:rsid w:val="001319AE"/>
    <w:rsid w:val="00131AE7"/>
    <w:rsid w:val="00131BDF"/>
    <w:rsid w:val="00131C69"/>
    <w:rsid w:val="00131C89"/>
    <w:rsid w:val="0013207A"/>
    <w:rsid w:val="00132135"/>
    <w:rsid w:val="00132199"/>
    <w:rsid w:val="0013219D"/>
    <w:rsid w:val="001322B6"/>
    <w:rsid w:val="00132717"/>
    <w:rsid w:val="00132848"/>
    <w:rsid w:val="00132877"/>
    <w:rsid w:val="001328F6"/>
    <w:rsid w:val="00132DA1"/>
    <w:rsid w:val="00132EEA"/>
    <w:rsid w:val="00132FF8"/>
    <w:rsid w:val="001330A3"/>
    <w:rsid w:val="001332B6"/>
    <w:rsid w:val="001333AD"/>
    <w:rsid w:val="00133573"/>
    <w:rsid w:val="00133674"/>
    <w:rsid w:val="00133687"/>
    <w:rsid w:val="0013369C"/>
    <w:rsid w:val="0013369E"/>
    <w:rsid w:val="001336BC"/>
    <w:rsid w:val="001336DC"/>
    <w:rsid w:val="001336DE"/>
    <w:rsid w:val="00133732"/>
    <w:rsid w:val="00133769"/>
    <w:rsid w:val="001338E6"/>
    <w:rsid w:val="00133983"/>
    <w:rsid w:val="001339A8"/>
    <w:rsid w:val="001339CF"/>
    <w:rsid w:val="00133A2F"/>
    <w:rsid w:val="00133AF6"/>
    <w:rsid w:val="00133B3D"/>
    <w:rsid w:val="00133E0A"/>
    <w:rsid w:val="00133E96"/>
    <w:rsid w:val="00133EE4"/>
    <w:rsid w:val="00133EF6"/>
    <w:rsid w:val="00133F0E"/>
    <w:rsid w:val="001340C2"/>
    <w:rsid w:val="00134193"/>
    <w:rsid w:val="00134217"/>
    <w:rsid w:val="001343C5"/>
    <w:rsid w:val="001343C9"/>
    <w:rsid w:val="0013452F"/>
    <w:rsid w:val="0013453D"/>
    <w:rsid w:val="0013455D"/>
    <w:rsid w:val="001346F1"/>
    <w:rsid w:val="00134914"/>
    <w:rsid w:val="00134977"/>
    <w:rsid w:val="0013499F"/>
    <w:rsid w:val="001349C4"/>
    <w:rsid w:val="001349F4"/>
    <w:rsid w:val="00134AFB"/>
    <w:rsid w:val="00134BF0"/>
    <w:rsid w:val="00134C0F"/>
    <w:rsid w:val="00134C7A"/>
    <w:rsid w:val="00134D76"/>
    <w:rsid w:val="00134E2F"/>
    <w:rsid w:val="00134EBE"/>
    <w:rsid w:val="00134F25"/>
    <w:rsid w:val="00134F80"/>
    <w:rsid w:val="00134FC9"/>
    <w:rsid w:val="001350C1"/>
    <w:rsid w:val="00135275"/>
    <w:rsid w:val="0013532D"/>
    <w:rsid w:val="0013536B"/>
    <w:rsid w:val="001354E3"/>
    <w:rsid w:val="001355ED"/>
    <w:rsid w:val="00135656"/>
    <w:rsid w:val="0013569D"/>
    <w:rsid w:val="00135720"/>
    <w:rsid w:val="00135923"/>
    <w:rsid w:val="00135957"/>
    <w:rsid w:val="001359C4"/>
    <w:rsid w:val="00135B35"/>
    <w:rsid w:val="00135B3F"/>
    <w:rsid w:val="00135D01"/>
    <w:rsid w:val="00135D0A"/>
    <w:rsid w:val="00135D9B"/>
    <w:rsid w:val="00135EA5"/>
    <w:rsid w:val="00135F29"/>
    <w:rsid w:val="00135FE1"/>
    <w:rsid w:val="0013601C"/>
    <w:rsid w:val="00136083"/>
    <w:rsid w:val="0013618A"/>
    <w:rsid w:val="001361C0"/>
    <w:rsid w:val="0013621B"/>
    <w:rsid w:val="0013621C"/>
    <w:rsid w:val="0013626B"/>
    <w:rsid w:val="0013627A"/>
    <w:rsid w:val="0013627D"/>
    <w:rsid w:val="001362E1"/>
    <w:rsid w:val="0013634D"/>
    <w:rsid w:val="0013634F"/>
    <w:rsid w:val="00136400"/>
    <w:rsid w:val="00136531"/>
    <w:rsid w:val="001365F5"/>
    <w:rsid w:val="00136621"/>
    <w:rsid w:val="001366E4"/>
    <w:rsid w:val="0013673E"/>
    <w:rsid w:val="001367F3"/>
    <w:rsid w:val="00136A51"/>
    <w:rsid w:val="00136A9C"/>
    <w:rsid w:val="00136B27"/>
    <w:rsid w:val="00136B30"/>
    <w:rsid w:val="00136C12"/>
    <w:rsid w:val="00136C5F"/>
    <w:rsid w:val="00136C87"/>
    <w:rsid w:val="00136CE5"/>
    <w:rsid w:val="00136F6B"/>
    <w:rsid w:val="001371F4"/>
    <w:rsid w:val="001372DB"/>
    <w:rsid w:val="00137368"/>
    <w:rsid w:val="0013744D"/>
    <w:rsid w:val="00137501"/>
    <w:rsid w:val="00137539"/>
    <w:rsid w:val="0013753E"/>
    <w:rsid w:val="001375F2"/>
    <w:rsid w:val="00137657"/>
    <w:rsid w:val="001376E9"/>
    <w:rsid w:val="00137714"/>
    <w:rsid w:val="00137755"/>
    <w:rsid w:val="0013777E"/>
    <w:rsid w:val="001377CE"/>
    <w:rsid w:val="00137833"/>
    <w:rsid w:val="00137A08"/>
    <w:rsid w:val="00137AC0"/>
    <w:rsid w:val="00137AE9"/>
    <w:rsid w:val="00137B38"/>
    <w:rsid w:val="00137B60"/>
    <w:rsid w:val="00137BF5"/>
    <w:rsid w:val="00137BF6"/>
    <w:rsid w:val="00137C82"/>
    <w:rsid w:val="00137DEF"/>
    <w:rsid w:val="00137F0B"/>
    <w:rsid w:val="00140098"/>
    <w:rsid w:val="00140136"/>
    <w:rsid w:val="0014020A"/>
    <w:rsid w:val="0014027B"/>
    <w:rsid w:val="00140379"/>
    <w:rsid w:val="001403E6"/>
    <w:rsid w:val="001404C3"/>
    <w:rsid w:val="0014059D"/>
    <w:rsid w:val="001405ED"/>
    <w:rsid w:val="00140600"/>
    <w:rsid w:val="0014069F"/>
    <w:rsid w:val="00140732"/>
    <w:rsid w:val="001407D2"/>
    <w:rsid w:val="001407F9"/>
    <w:rsid w:val="00140897"/>
    <w:rsid w:val="001408A5"/>
    <w:rsid w:val="001408B2"/>
    <w:rsid w:val="00140985"/>
    <w:rsid w:val="00140A2C"/>
    <w:rsid w:val="00140A39"/>
    <w:rsid w:val="00140A88"/>
    <w:rsid w:val="00140AC2"/>
    <w:rsid w:val="00140B50"/>
    <w:rsid w:val="00140C6B"/>
    <w:rsid w:val="00140FF0"/>
    <w:rsid w:val="00141322"/>
    <w:rsid w:val="0014154F"/>
    <w:rsid w:val="0014176A"/>
    <w:rsid w:val="00141821"/>
    <w:rsid w:val="00141894"/>
    <w:rsid w:val="00141ADC"/>
    <w:rsid w:val="00141B76"/>
    <w:rsid w:val="00141D06"/>
    <w:rsid w:val="00141EE4"/>
    <w:rsid w:val="00141F0D"/>
    <w:rsid w:val="00141FAB"/>
    <w:rsid w:val="00142040"/>
    <w:rsid w:val="0014208F"/>
    <w:rsid w:val="001420AC"/>
    <w:rsid w:val="0014218A"/>
    <w:rsid w:val="001421B0"/>
    <w:rsid w:val="00142215"/>
    <w:rsid w:val="0014231B"/>
    <w:rsid w:val="00142337"/>
    <w:rsid w:val="0014238C"/>
    <w:rsid w:val="001424A8"/>
    <w:rsid w:val="001424C3"/>
    <w:rsid w:val="001424D8"/>
    <w:rsid w:val="0014250F"/>
    <w:rsid w:val="001425FB"/>
    <w:rsid w:val="0014269F"/>
    <w:rsid w:val="001426FE"/>
    <w:rsid w:val="00142715"/>
    <w:rsid w:val="00142734"/>
    <w:rsid w:val="001427E9"/>
    <w:rsid w:val="001427F1"/>
    <w:rsid w:val="001429CF"/>
    <w:rsid w:val="00142A7F"/>
    <w:rsid w:val="00142A92"/>
    <w:rsid w:val="00142A9A"/>
    <w:rsid w:val="00142AF9"/>
    <w:rsid w:val="00142C10"/>
    <w:rsid w:val="00142C81"/>
    <w:rsid w:val="00142D06"/>
    <w:rsid w:val="00142D24"/>
    <w:rsid w:val="00142D99"/>
    <w:rsid w:val="001430F7"/>
    <w:rsid w:val="001430F8"/>
    <w:rsid w:val="001433F9"/>
    <w:rsid w:val="00143409"/>
    <w:rsid w:val="00143823"/>
    <w:rsid w:val="001438D4"/>
    <w:rsid w:val="00143AF3"/>
    <w:rsid w:val="00143B8D"/>
    <w:rsid w:val="00143BB6"/>
    <w:rsid w:val="00143CBB"/>
    <w:rsid w:val="00143D03"/>
    <w:rsid w:val="00143DF4"/>
    <w:rsid w:val="00143EDA"/>
    <w:rsid w:val="00143F8D"/>
    <w:rsid w:val="0014418F"/>
    <w:rsid w:val="001441CF"/>
    <w:rsid w:val="001441FD"/>
    <w:rsid w:val="00144482"/>
    <w:rsid w:val="0014451E"/>
    <w:rsid w:val="001446D9"/>
    <w:rsid w:val="001447A0"/>
    <w:rsid w:val="00144854"/>
    <w:rsid w:val="0014491F"/>
    <w:rsid w:val="0014493E"/>
    <w:rsid w:val="00144A14"/>
    <w:rsid w:val="00144A58"/>
    <w:rsid w:val="00144C65"/>
    <w:rsid w:val="00144D13"/>
    <w:rsid w:val="00144D85"/>
    <w:rsid w:val="00144F4F"/>
    <w:rsid w:val="00144F9F"/>
    <w:rsid w:val="00144FC1"/>
    <w:rsid w:val="00145006"/>
    <w:rsid w:val="00145055"/>
    <w:rsid w:val="001452A9"/>
    <w:rsid w:val="001454DC"/>
    <w:rsid w:val="00145563"/>
    <w:rsid w:val="001455B1"/>
    <w:rsid w:val="001455D1"/>
    <w:rsid w:val="001455F7"/>
    <w:rsid w:val="00145714"/>
    <w:rsid w:val="0014579D"/>
    <w:rsid w:val="00145811"/>
    <w:rsid w:val="0014599E"/>
    <w:rsid w:val="00145B6E"/>
    <w:rsid w:val="00145DB7"/>
    <w:rsid w:val="00145DFF"/>
    <w:rsid w:val="00145E72"/>
    <w:rsid w:val="00145ED6"/>
    <w:rsid w:val="00145F77"/>
    <w:rsid w:val="001462B5"/>
    <w:rsid w:val="0014632F"/>
    <w:rsid w:val="00146398"/>
    <w:rsid w:val="001463D9"/>
    <w:rsid w:val="00146437"/>
    <w:rsid w:val="0014645B"/>
    <w:rsid w:val="001464B1"/>
    <w:rsid w:val="001466FB"/>
    <w:rsid w:val="00146760"/>
    <w:rsid w:val="0014678D"/>
    <w:rsid w:val="001467B2"/>
    <w:rsid w:val="00146848"/>
    <w:rsid w:val="00146923"/>
    <w:rsid w:val="00146985"/>
    <w:rsid w:val="00146A53"/>
    <w:rsid w:val="00146B97"/>
    <w:rsid w:val="00146C8F"/>
    <w:rsid w:val="00146D1D"/>
    <w:rsid w:val="00146EE6"/>
    <w:rsid w:val="00146F6E"/>
    <w:rsid w:val="00146F71"/>
    <w:rsid w:val="00146F76"/>
    <w:rsid w:val="00146F88"/>
    <w:rsid w:val="00146FBE"/>
    <w:rsid w:val="0014705F"/>
    <w:rsid w:val="001470F0"/>
    <w:rsid w:val="00147116"/>
    <w:rsid w:val="00147139"/>
    <w:rsid w:val="001472E0"/>
    <w:rsid w:val="0014731A"/>
    <w:rsid w:val="0014731C"/>
    <w:rsid w:val="0014738F"/>
    <w:rsid w:val="00147492"/>
    <w:rsid w:val="00147499"/>
    <w:rsid w:val="0014752A"/>
    <w:rsid w:val="0014763C"/>
    <w:rsid w:val="00147795"/>
    <w:rsid w:val="001477A1"/>
    <w:rsid w:val="001477D0"/>
    <w:rsid w:val="001477E7"/>
    <w:rsid w:val="0014785E"/>
    <w:rsid w:val="00147861"/>
    <w:rsid w:val="001479C4"/>
    <w:rsid w:val="00147A46"/>
    <w:rsid w:val="00147ADE"/>
    <w:rsid w:val="00147BB3"/>
    <w:rsid w:val="00147C4C"/>
    <w:rsid w:val="00147D23"/>
    <w:rsid w:val="00147D24"/>
    <w:rsid w:val="00147D32"/>
    <w:rsid w:val="00147DB9"/>
    <w:rsid w:val="00147EC2"/>
    <w:rsid w:val="00150076"/>
    <w:rsid w:val="001501AE"/>
    <w:rsid w:val="00150402"/>
    <w:rsid w:val="001504EC"/>
    <w:rsid w:val="001505ED"/>
    <w:rsid w:val="001507CE"/>
    <w:rsid w:val="001509BA"/>
    <w:rsid w:val="00150A16"/>
    <w:rsid w:val="00150BCE"/>
    <w:rsid w:val="00150DA2"/>
    <w:rsid w:val="00150DBD"/>
    <w:rsid w:val="00150DC3"/>
    <w:rsid w:val="00150E27"/>
    <w:rsid w:val="00150E53"/>
    <w:rsid w:val="0015111A"/>
    <w:rsid w:val="0015117D"/>
    <w:rsid w:val="001511C6"/>
    <w:rsid w:val="00151211"/>
    <w:rsid w:val="00151247"/>
    <w:rsid w:val="001512F8"/>
    <w:rsid w:val="001514BA"/>
    <w:rsid w:val="00151720"/>
    <w:rsid w:val="00151727"/>
    <w:rsid w:val="00151777"/>
    <w:rsid w:val="001517C3"/>
    <w:rsid w:val="001518E2"/>
    <w:rsid w:val="00151AFC"/>
    <w:rsid w:val="00151CE6"/>
    <w:rsid w:val="00151CFA"/>
    <w:rsid w:val="00151CFB"/>
    <w:rsid w:val="00151D0C"/>
    <w:rsid w:val="00151D2B"/>
    <w:rsid w:val="00151E5E"/>
    <w:rsid w:val="00151EE9"/>
    <w:rsid w:val="00151F3F"/>
    <w:rsid w:val="00151FAE"/>
    <w:rsid w:val="0015203B"/>
    <w:rsid w:val="0015207D"/>
    <w:rsid w:val="0015214B"/>
    <w:rsid w:val="0015215F"/>
    <w:rsid w:val="00152238"/>
    <w:rsid w:val="001523A9"/>
    <w:rsid w:val="00152463"/>
    <w:rsid w:val="001524B4"/>
    <w:rsid w:val="00152604"/>
    <w:rsid w:val="0015269F"/>
    <w:rsid w:val="001526CF"/>
    <w:rsid w:val="001526D8"/>
    <w:rsid w:val="00152722"/>
    <w:rsid w:val="00152750"/>
    <w:rsid w:val="0015290B"/>
    <w:rsid w:val="00152A1B"/>
    <w:rsid w:val="00152AE8"/>
    <w:rsid w:val="00152BA9"/>
    <w:rsid w:val="00152CA9"/>
    <w:rsid w:val="00152CB7"/>
    <w:rsid w:val="00152DDC"/>
    <w:rsid w:val="00152F57"/>
    <w:rsid w:val="00152F90"/>
    <w:rsid w:val="00152FF4"/>
    <w:rsid w:val="00153000"/>
    <w:rsid w:val="00153187"/>
    <w:rsid w:val="00153191"/>
    <w:rsid w:val="00153210"/>
    <w:rsid w:val="00153219"/>
    <w:rsid w:val="001534CA"/>
    <w:rsid w:val="00153592"/>
    <w:rsid w:val="001535D0"/>
    <w:rsid w:val="00153631"/>
    <w:rsid w:val="00153740"/>
    <w:rsid w:val="00153788"/>
    <w:rsid w:val="0015380B"/>
    <w:rsid w:val="001538C5"/>
    <w:rsid w:val="001538F5"/>
    <w:rsid w:val="001539E9"/>
    <w:rsid w:val="00153A08"/>
    <w:rsid w:val="00153A0C"/>
    <w:rsid w:val="00153A9F"/>
    <w:rsid w:val="00153B71"/>
    <w:rsid w:val="00153B87"/>
    <w:rsid w:val="00153BA9"/>
    <w:rsid w:val="00153C45"/>
    <w:rsid w:val="00153C4D"/>
    <w:rsid w:val="00153C56"/>
    <w:rsid w:val="00153D61"/>
    <w:rsid w:val="00153D8F"/>
    <w:rsid w:val="00153E2D"/>
    <w:rsid w:val="00153EB8"/>
    <w:rsid w:val="001540FE"/>
    <w:rsid w:val="0015417A"/>
    <w:rsid w:val="001541C2"/>
    <w:rsid w:val="0015423A"/>
    <w:rsid w:val="00154384"/>
    <w:rsid w:val="00154400"/>
    <w:rsid w:val="0015440E"/>
    <w:rsid w:val="00154502"/>
    <w:rsid w:val="00154957"/>
    <w:rsid w:val="00154971"/>
    <w:rsid w:val="001549BE"/>
    <w:rsid w:val="00154A1A"/>
    <w:rsid w:val="00154A67"/>
    <w:rsid w:val="00154A9F"/>
    <w:rsid w:val="00154B4F"/>
    <w:rsid w:val="00154B67"/>
    <w:rsid w:val="00154C26"/>
    <w:rsid w:val="00154CD1"/>
    <w:rsid w:val="00154D1C"/>
    <w:rsid w:val="00154D92"/>
    <w:rsid w:val="00154DA1"/>
    <w:rsid w:val="00154E6B"/>
    <w:rsid w:val="00154FFB"/>
    <w:rsid w:val="00155013"/>
    <w:rsid w:val="0015502A"/>
    <w:rsid w:val="0015504F"/>
    <w:rsid w:val="0015507A"/>
    <w:rsid w:val="001550B4"/>
    <w:rsid w:val="0015513F"/>
    <w:rsid w:val="0015514E"/>
    <w:rsid w:val="001551FA"/>
    <w:rsid w:val="00155283"/>
    <w:rsid w:val="00155437"/>
    <w:rsid w:val="00155525"/>
    <w:rsid w:val="001555E6"/>
    <w:rsid w:val="00155620"/>
    <w:rsid w:val="00155883"/>
    <w:rsid w:val="001558F9"/>
    <w:rsid w:val="00155A63"/>
    <w:rsid w:val="00155D42"/>
    <w:rsid w:val="00155FCF"/>
    <w:rsid w:val="00156052"/>
    <w:rsid w:val="00156074"/>
    <w:rsid w:val="001560F6"/>
    <w:rsid w:val="00156175"/>
    <w:rsid w:val="00156180"/>
    <w:rsid w:val="001561CE"/>
    <w:rsid w:val="00156225"/>
    <w:rsid w:val="00156389"/>
    <w:rsid w:val="00156447"/>
    <w:rsid w:val="0015649B"/>
    <w:rsid w:val="00156538"/>
    <w:rsid w:val="0015655C"/>
    <w:rsid w:val="001565BA"/>
    <w:rsid w:val="001565CE"/>
    <w:rsid w:val="00156690"/>
    <w:rsid w:val="00156710"/>
    <w:rsid w:val="00156833"/>
    <w:rsid w:val="001569AE"/>
    <w:rsid w:val="00156AEB"/>
    <w:rsid w:val="00156D54"/>
    <w:rsid w:val="00156DB6"/>
    <w:rsid w:val="00156F90"/>
    <w:rsid w:val="00157082"/>
    <w:rsid w:val="00157109"/>
    <w:rsid w:val="00157222"/>
    <w:rsid w:val="00157272"/>
    <w:rsid w:val="001572A3"/>
    <w:rsid w:val="001572E8"/>
    <w:rsid w:val="001573C6"/>
    <w:rsid w:val="00157470"/>
    <w:rsid w:val="00157491"/>
    <w:rsid w:val="001574F9"/>
    <w:rsid w:val="0015767C"/>
    <w:rsid w:val="00157684"/>
    <w:rsid w:val="001577DB"/>
    <w:rsid w:val="001578AC"/>
    <w:rsid w:val="001578E8"/>
    <w:rsid w:val="001578F4"/>
    <w:rsid w:val="0015792D"/>
    <w:rsid w:val="00157941"/>
    <w:rsid w:val="00157A49"/>
    <w:rsid w:val="00157AF6"/>
    <w:rsid w:val="00157B32"/>
    <w:rsid w:val="00157C88"/>
    <w:rsid w:val="00157DA3"/>
    <w:rsid w:val="00157EA1"/>
    <w:rsid w:val="0016026D"/>
    <w:rsid w:val="00160272"/>
    <w:rsid w:val="001602A6"/>
    <w:rsid w:val="001602D3"/>
    <w:rsid w:val="001602E7"/>
    <w:rsid w:val="0016035C"/>
    <w:rsid w:val="00160370"/>
    <w:rsid w:val="001604D6"/>
    <w:rsid w:val="0016053C"/>
    <w:rsid w:val="001605C5"/>
    <w:rsid w:val="001606D2"/>
    <w:rsid w:val="0016076E"/>
    <w:rsid w:val="0016084F"/>
    <w:rsid w:val="001608CE"/>
    <w:rsid w:val="001608E1"/>
    <w:rsid w:val="001609F3"/>
    <w:rsid w:val="00160AC7"/>
    <w:rsid w:val="00160B00"/>
    <w:rsid w:val="00160B49"/>
    <w:rsid w:val="00160B50"/>
    <w:rsid w:val="00160D05"/>
    <w:rsid w:val="00160D26"/>
    <w:rsid w:val="001611AB"/>
    <w:rsid w:val="001611E0"/>
    <w:rsid w:val="0016123A"/>
    <w:rsid w:val="001612AA"/>
    <w:rsid w:val="00161347"/>
    <w:rsid w:val="00161424"/>
    <w:rsid w:val="001616CE"/>
    <w:rsid w:val="00161760"/>
    <w:rsid w:val="00161829"/>
    <w:rsid w:val="00161839"/>
    <w:rsid w:val="00161863"/>
    <w:rsid w:val="00161882"/>
    <w:rsid w:val="001618C8"/>
    <w:rsid w:val="00161956"/>
    <w:rsid w:val="001619F8"/>
    <w:rsid w:val="00161A3C"/>
    <w:rsid w:val="00161A3F"/>
    <w:rsid w:val="00161B6E"/>
    <w:rsid w:val="00161B7E"/>
    <w:rsid w:val="00161BA8"/>
    <w:rsid w:val="00161C41"/>
    <w:rsid w:val="00161EC1"/>
    <w:rsid w:val="00161F62"/>
    <w:rsid w:val="00161FF0"/>
    <w:rsid w:val="00162016"/>
    <w:rsid w:val="0016201E"/>
    <w:rsid w:val="0016209B"/>
    <w:rsid w:val="0016210E"/>
    <w:rsid w:val="00162417"/>
    <w:rsid w:val="0016243C"/>
    <w:rsid w:val="00162441"/>
    <w:rsid w:val="00162499"/>
    <w:rsid w:val="001624B1"/>
    <w:rsid w:val="00162581"/>
    <w:rsid w:val="001625B5"/>
    <w:rsid w:val="001625C0"/>
    <w:rsid w:val="001625E1"/>
    <w:rsid w:val="00162607"/>
    <w:rsid w:val="00162708"/>
    <w:rsid w:val="00162738"/>
    <w:rsid w:val="0016276A"/>
    <w:rsid w:val="001628A6"/>
    <w:rsid w:val="001628FE"/>
    <w:rsid w:val="00162912"/>
    <w:rsid w:val="0016294C"/>
    <w:rsid w:val="001629F9"/>
    <w:rsid w:val="00162A1D"/>
    <w:rsid w:val="00162A25"/>
    <w:rsid w:val="00162A86"/>
    <w:rsid w:val="00162B3F"/>
    <w:rsid w:val="00162C38"/>
    <w:rsid w:val="00162CA7"/>
    <w:rsid w:val="00162CAF"/>
    <w:rsid w:val="00162D8D"/>
    <w:rsid w:val="00162E06"/>
    <w:rsid w:val="00162E0C"/>
    <w:rsid w:val="00162E98"/>
    <w:rsid w:val="00162F7A"/>
    <w:rsid w:val="00163015"/>
    <w:rsid w:val="0016316A"/>
    <w:rsid w:val="001631C6"/>
    <w:rsid w:val="001631FF"/>
    <w:rsid w:val="00163222"/>
    <w:rsid w:val="00163234"/>
    <w:rsid w:val="0016323D"/>
    <w:rsid w:val="0016327D"/>
    <w:rsid w:val="001632AC"/>
    <w:rsid w:val="0016331B"/>
    <w:rsid w:val="0016339B"/>
    <w:rsid w:val="00163451"/>
    <w:rsid w:val="0016359B"/>
    <w:rsid w:val="00163739"/>
    <w:rsid w:val="00163753"/>
    <w:rsid w:val="00163874"/>
    <w:rsid w:val="001638ED"/>
    <w:rsid w:val="001639B8"/>
    <w:rsid w:val="001639FB"/>
    <w:rsid w:val="00163A83"/>
    <w:rsid w:val="00163AF7"/>
    <w:rsid w:val="00163B32"/>
    <w:rsid w:val="00163B7C"/>
    <w:rsid w:val="00163B90"/>
    <w:rsid w:val="00163BC5"/>
    <w:rsid w:val="00163D0A"/>
    <w:rsid w:val="00163D18"/>
    <w:rsid w:val="00163D8F"/>
    <w:rsid w:val="00163E19"/>
    <w:rsid w:val="00163E7E"/>
    <w:rsid w:val="00164056"/>
    <w:rsid w:val="001640F2"/>
    <w:rsid w:val="0016412F"/>
    <w:rsid w:val="001641BA"/>
    <w:rsid w:val="001641BC"/>
    <w:rsid w:val="001644DD"/>
    <w:rsid w:val="001644FC"/>
    <w:rsid w:val="00164562"/>
    <w:rsid w:val="0016470A"/>
    <w:rsid w:val="001647FF"/>
    <w:rsid w:val="00164854"/>
    <w:rsid w:val="00164863"/>
    <w:rsid w:val="0016498C"/>
    <w:rsid w:val="00164994"/>
    <w:rsid w:val="00164A30"/>
    <w:rsid w:val="00164A4D"/>
    <w:rsid w:val="00164A68"/>
    <w:rsid w:val="00164B01"/>
    <w:rsid w:val="00164B5E"/>
    <w:rsid w:val="00164B6A"/>
    <w:rsid w:val="00164BFA"/>
    <w:rsid w:val="00164C60"/>
    <w:rsid w:val="00164DCE"/>
    <w:rsid w:val="00164E4D"/>
    <w:rsid w:val="00164EF0"/>
    <w:rsid w:val="00164F0E"/>
    <w:rsid w:val="00164FBB"/>
    <w:rsid w:val="00164FFC"/>
    <w:rsid w:val="00165129"/>
    <w:rsid w:val="0016524D"/>
    <w:rsid w:val="0016530C"/>
    <w:rsid w:val="0016536A"/>
    <w:rsid w:val="00165658"/>
    <w:rsid w:val="00165758"/>
    <w:rsid w:val="00165A01"/>
    <w:rsid w:val="00165A9D"/>
    <w:rsid w:val="00165B03"/>
    <w:rsid w:val="00165B15"/>
    <w:rsid w:val="00165BBB"/>
    <w:rsid w:val="00165C0A"/>
    <w:rsid w:val="00165D2A"/>
    <w:rsid w:val="00165D7B"/>
    <w:rsid w:val="00165E42"/>
    <w:rsid w:val="00165E66"/>
    <w:rsid w:val="00165E7C"/>
    <w:rsid w:val="00165F7C"/>
    <w:rsid w:val="00166009"/>
    <w:rsid w:val="00166031"/>
    <w:rsid w:val="00166056"/>
    <w:rsid w:val="00166058"/>
    <w:rsid w:val="001661D0"/>
    <w:rsid w:val="0016623A"/>
    <w:rsid w:val="0016624F"/>
    <w:rsid w:val="001663CA"/>
    <w:rsid w:val="001664ED"/>
    <w:rsid w:val="001665D2"/>
    <w:rsid w:val="001665D8"/>
    <w:rsid w:val="00166606"/>
    <w:rsid w:val="0016660D"/>
    <w:rsid w:val="00166643"/>
    <w:rsid w:val="001667CA"/>
    <w:rsid w:val="00166999"/>
    <w:rsid w:val="00166A67"/>
    <w:rsid w:val="00166A90"/>
    <w:rsid w:val="00166B7C"/>
    <w:rsid w:val="00166BB6"/>
    <w:rsid w:val="00166C06"/>
    <w:rsid w:val="00166CC1"/>
    <w:rsid w:val="00166F0D"/>
    <w:rsid w:val="00166F84"/>
    <w:rsid w:val="00166FE5"/>
    <w:rsid w:val="00167095"/>
    <w:rsid w:val="00167167"/>
    <w:rsid w:val="00167454"/>
    <w:rsid w:val="0016746A"/>
    <w:rsid w:val="00167504"/>
    <w:rsid w:val="00167545"/>
    <w:rsid w:val="001676C1"/>
    <w:rsid w:val="0016770E"/>
    <w:rsid w:val="00167825"/>
    <w:rsid w:val="00167828"/>
    <w:rsid w:val="001678E4"/>
    <w:rsid w:val="00167963"/>
    <w:rsid w:val="00167BC7"/>
    <w:rsid w:val="00167D38"/>
    <w:rsid w:val="00167D57"/>
    <w:rsid w:val="00167D69"/>
    <w:rsid w:val="00167E02"/>
    <w:rsid w:val="00167EBD"/>
    <w:rsid w:val="001700C4"/>
    <w:rsid w:val="001700E1"/>
    <w:rsid w:val="00170132"/>
    <w:rsid w:val="00170148"/>
    <w:rsid w:val="001701BB"/>
    <w:rsid w:val="0017029B"/>
    <w:rsid w:val="001702F4"/>
    <w:rsid w:val="00170311"/>
    <w:rsid w:val="00170359"/>
    <w:rsid w:val="001703A2"/>
    <w:rsid w:val="00170436"/>
    <w:rsid w:val="001704AC"/>
    <w:rsid w:val="00170540"/>
    <w:rsid w:val="00170572"/>
    <w:rsid w:val="00170652"/>
    <w:rsid w:val="00170874"/>
    <w:rsid w:val="00170985"/>
    <w:rsid w:val="001709A2"/>
    <w:rsid w:val="001709D3"/>
    <w:rsid w:val="00170C5A"/>
    <w:rsid w:val="00170C85"/>
    <w:rsid w:val="00170D53"/>
    <w:rsid w:val="00170E0D"/>
    <w:rsid w:val="0017108C"/>
    <w:rsid w:val="0017112F"/>
    <w:rsid w:val="0017134D"/>
    <w:rsid w:val="001713DD"/>
    <w:rsid w:val="001714E0"/>
    <w:rsid w:val="0017154D"/>
    <w:rsid w:val="00171562"/>
    <w:rsid w:val="001715D8"/>
    <w:rsid w:val="00171670"/>
    <w:rsid w:val="00171825"/>
    <w:rsid w:val="00171842"/>
    <w:rsid w:val="00171872"/>
    <w:rsid w:val="001718F5"/>
    <w:rsid w:val="001719DC"/>
    <w:rsid w:val="00171A41"/>
    <w:rsid w:val="00171B41"/>
    <w:rsid w:val="00171C0C"/>
    <w:rsid w:val="00171C1A"/>
    <w:rsid w:val="00171CB3"/>
    <w:rsid w:val="00171D63"/>
    <w:rsid w:val="00171E8F"/>
    <w:rsid w:val="00171EA4"/>
    <w:rsid w:val="00171FC7"/>
    <w:rsid w:val="00171FCF"/>
    <w:rsid w:val="001724B4"/>
    <w:rsid w:val="001724FF"/>
    <w:rsid w:val="00172526"/>
    <w:rsid w:val="00172563"/>
    <w:rsid w:val="001726C0"/>
    <w:rsid w:val="00172834"/>
    <w:rsid w:val="0017285A"/>
    <w:rsid w:val="001729BF"/>
    <w:rsid w:val="00172A17"/>
    <w:rsid w:val="00172A4B"/>
    <w:rsid w:val="00172A6F"/>
    <w:rsid w:val="00172AB2"/>
    <w:rsid w:val="00172B16"/>
    <w:rsid w:val="00172C3C"/>
    <w:rsid w:val="00172DDE"/>
    <w:rsid w:val="00172F44"/>
    <w:rsid w:val="00173050"/>
    <w:rsid w:val="001730B5"/>
    <w:rsid w:val="00173101"/>
    <w:rsid w:val="0017310F"/>
    <w:rsid w:val="001732B7"/>
    <w:rsid w:val="00173419"/>
    <w:rsid w:val="0017341D"/>
    <w:rsid w:val="00173465"/>
    <w:rsid w:val="001734E6"/>
    <w:rsid w:val="00173553"/>
    <w:rsid w:val="001735FD"/>
    <w:rsid w:val="0017365D"/>
    <w:rsid w:val="0017377A"/>
    <w:rsid w:val="00173783"/>
    <w:rsid w:val="001739AF"/>
    <w:rsid w:val="00173AAC"/>
    <w:rsid w:val="00173B09"/>
    <w:rsid w:val="00173C67"/>
    <w:rsid w:val="00173D8A"/>
    <w:rsid w:val="00173F67"/>
    <w:rsid w:val="00174084"/>
    <w:rsid w:val="001741D5"/>
    <w:rsid w:val="001741FC"/>
    <w:rsid w:val="00174277"/>
    <w:rsid w:val="001743E2"/>
    <w:rsid w:val="00174472"/>
    <w:rsid w:val="001744A9"/>
    <w:rsid w:val="0017453A"/>
    <w:rsid w:val="0017454A"/>
    <w:rsid w:val="00174643"/>
    <w:rsid w:val="00174854"/>
    <w:rsid w:val="00174887"/>
    <w:rsid w:val="001748D0"/>
    <w:rsid w:val="00174AB2"/>
    <w:rsid w:val="00174B0A"/>
    <w:rsid w:val="00174C23"/>
    <w:rsid w:val="00174C48"/>
    <w:rsid w:val="00174C7C"/>
    <w:rsid w:val="00174CC1"/>
    <w:rsid w:val="00174E0B"/>
    <w:rsid w:val="00174E11"/>
    <w:rsid w:val="00174EA9"/>
    <w:rsid w:val="00174EEE"/>
    <w:rsid w:val="00174F6D"/>
    <w:rsid w:val="001750EB"/>
    <w:rsid w:val="0017527D"/>
    <w:rsid w:val="001752B2"/>
    <w:rsid w:val="0017534F"/>
    <w:rsid w:val="001753AD"/>
    <w:rsid w:val="0017540A"/>
    <w:rsid w:val="00175465"/>
    <w:rsid w:val="00175497"/>
    <w:rsid w:val="001755F5"/>
    <w:rsid w:val="0017565F"/>
    <w:rsid w:val="001756B5"/>
    <w:rsid w:val="00175735"/>
    <w:rsid w:val="0017574B"/>
    <w:rsid w:val="00175823"/>
    <w:rsid w:val="00175859"/>
    <w:rsid w:val="00175927"/>
    <w:rsid w:val="001759F9"/>
    <w:rsid w:val="00175A48"/>
    <w:rsid w:val="00175D18"/>
    <w:rsid w:val="00175D39"/>
    <w:rsid w:val="00175E68"/>
    <w:rsid w:val="00175F27"/>
    <w:rsid w:val="00175F96"/>
    <w:rsid w:val="00175FAA"/>
    <w:rsid w:val="0017621D"/>
    <w:rsid w:val="001762B4"/>
    <w:rsid w:val="001762DD"/>
    <w:rsid w:val="001763C0"/>
    <w:rsid w:val="00176470"/>
    <w:rsid w:val="001764D3"/>
    <w:rsid w:val="001764F7"/>
    <w:rsid w:val="00176577"/>
    <w:rsid w:val="001765A4"/>
    <w:rsid w:val="00176608"/>
    <w:rsid w:val="001767E5"/>
    <w:rsid w:val="0017681D"/>
    <w:rsid w:val="0017682C"/>
    <w:rsid w:val="0017699B"/>
    <w:rsid w:val="00176A82"/>
    <w:rsid w:val="00176B27"/>
    <w:rsid w:val="00176B3D"/>
    <w:rsid w:val="00176BD5"/>
    <w:rsid w:val="00176DCA"/>
    <w:rsid w:val="00176E98"/>
    <w:rsid w:val="00176EDF"/>
    <w:rsid w:val="00176EF9"/>
    <w:rsid w:val="00176F39"/>
    <w:rsid w:val="00176FAA"/>
    <w:rsid w:val="00177133"/>
    <w:rsid w:val="00177206"/>
    <w:rsid w:val="001773F9"/>
    <w:rsid w:val="00177407"/>
    <w:rsid w:val="0017747D"/>
    <w:rsid w:val="001774A4"/>
    <w:rsid w:val="00177556"/>
    <w:rsid w:val="001775E4"/>
    <w:rsid w:val="0017761E"/>
    <w:rsid w:val="00177712"/>
    <w:rsid w:val="001777DC"/>
    <w:rsid w:val="0017786F"/>
    <w:rsid w:val="0017787E"/>
    <w:rsid w:val="00177952"/>
    <w:rsid w:val="00177A2A"/>
    <w:rsid w:val="00177AC4"/>
    <w:rsid w:val="00177BEA"/>
    <w:rsid w:val="00177CDA"/>
    <w:rsid w:val="00177D5E"/>
    <w:rsid w:val="00177DEB"/>
    <w:rsid w:val="00177FBB"/>
    <w:rsid w:val="00180015"/>
    <w:rsid w:val="00180071"/>
    <w:rsid w:val="001801CF"/>
    <w:rsid w:val="00180365"/>
    <w:rsid w:val="001804EC"/>
    <w:rsid w:val="0018052E"/>
    <w:rsid w:val="00180552"/>
    <w:rsid w:val="00180727"/>
    <w:rsid w:val="0018080A"/>
    <w:rsid w:val="00180A69"/>
    <w:rsid w:val="00180AFB"/>
    <w:rsid w:val="00180B84"/>
    <w:rsid w:val="00180BA6"/>
    <w:rsid w:val="00180CA9"/>
    <w:rsid w:val="00180CC4"/>
    <w:rsid w:val="00180CCF"/>
    <w:rsid w:val="00180D6E"/>
    <w:rsid w:val="00180DAA"/>
    <w:rsid w:val="00180DEF"/>
    <w:rsid w:val="00180E26"/>
    <w:rsid w:val="00180EA7"/>
    <w:rsid w:val="00180EAD"/>
    <w:rsid w:val="00180EDD"/>
    <w:rsid w:val="00180F77"/>
    <w:rsid w:val="00180FBC"/>
    <w:rsid w:val="001811FA"/>
    <w:rsid w:val="0018150E"/>
    <w:rsid w:val="00181546"/>
    <w:rsid w:val="001815D5"/>
    <w:rsid w:val="001816FF"/>
    <w:rsid w:val="00181771"/>
    <w:rsid w:val="001817DA"/>
    <w:rsid w:val="001818B5"/>
    <w:rsid w:val="00181A91"/>
    <w:rsid w:val="00181AC1"/>
    <w:rsid w:val="00181C00"/>
    <w:rsid w:val="00181C2E"/>
    <w:rsid w:val="00181C82"/>
    <w:rsid w:val="00181DAA"/>
    <w:rsid w:val="00181DED"/>
    <w:rsid w:val="00181E8F"/>
    <w:rsid w:val="00181F2E"/>
    <w:rsid w:val="00181FFB"/>
    <w:rsid w:val="00182026"/>
    <w:rsid w:val="00182115"/>
    <w:rsid w:val="00182259"/>
    <w:rsid w:val="00182273"/>
    <w:rsid w:val="00182292"/>
    <w:rsid w:val="001822CB"/>
    <w:rsid w:val="001823CD"/>
    <w:rsid w:val="00182433"/>
    <w:rsid w:val="001824E0"/>
    <w:rsid w:val="001825DB"/>
    <w:rsid w:val="00182801"/>
    <w:rsid w:val="0018283E"/>
    <w:rsid w:val="001828C3"/>
    <w:rsid w:val="00182969"/>
    <w:rsid w:val="00182A40"/>
    <w:rsid w:val="00182AE7"/>
    <w:rsid w:val="00182C2C"/>
    <w:rsid w:val="00182D8F"/>
    <w:rsid w:val="00182DE3"/>
    <w:rsid w:val="00182E41"/>
    <w:rsid w:val="00182E84"/>
    <w:rsid w:val="00182F0A"/>
    <w:rsid w:val="00183404"/>
    <w:rsid w:val="001839A2"/>
    <w:rsid w:val="00183B21"/>
    <w:rsid w:val="00183D3D"/>
    <w:rsid w:val="00183DC6"/>
    <w:rsid w:val="00183E0B"/>
    <w:rsid w:val="00183E4B"/>
    <w:rsid w:val="00183E6F"/>
    <w:rsid w:val="00183F91"/>
    <w:rsid w:val="00183FA5"/>
    <w:rsid w:val="00184011"/>
    <w:rsid w:val="001840A2"/>
    <w:rsid w:val="001840F2"/>
    <w:rsid w:val="00184334"/>
    <w:rsid w:val="001843BE"/>
    <w:rsid w:val="0018446F"/>
    <w:rsid w:val="00184518"/>
    <w:rsid w:val="00184719"/>
    <w:rsid w:val="001848C3"/>
    <w:rsid w:val="00184AD6"/>
    <w:rsid w:val="00184B62"/>
    <w:rsid w:val="00184F31"/>
    <w:rsid w:val="00184FBE"/>
    <w:rsid w:val="0018518C"/>
    <w:rsid w:val="001851B9"/>
    <w:rsid w:val="001851F0"/>
    <w:rsid w:val="001852D8"/>
    <w:rsid w:val="001853F1"/>
    <w:rsid w:val="00185692"/>
    <w:rsid w:val="0018569B"/>
    <w:rsid w:val="001857D3"/>
    <w:rsid w:val="001858A7"/>
    <w:rsid w:val="00185984"/>
    <w:rsid w:val="00185AED"/>
    <w:rsid w:val="00185B03"/>
    <w:rsid w:val="00185B88"/>
    <w:rsid w:val="00185BC2"/>
    <w:rsid w:val="00185C27"/>
    <w:rsid w:val="00185CAB"/>
    <w:rsid w:val="00185CC5"/>
    <w:rsid w:val="00185CFC"/>
    <w:rsid w:val="00185D74"/>
    <w:rsid w:val="00185E03"/>
    <w:rsid w:val="00185EE3"/>
    <w:rsid w:val="0018628D"/>
    <w:rsid w:val="00186326"/>
    <w:rsid w:val="00186654"/>
    <w:rsid w:val="001866DF"/>
    <w:rsid w:val="00186920"/>
    <w:rsid w:val="00186A77"/>
    <w:rsid w:val="00186AEF"/>
    <w:rsid w:val="00186BF0"/>
    <w:rsid w:val="00186F07"/>
    <w:rsid w:val="00186F5D"/>
    <w:rsid w:val="0018717C"/>
    <w:rsid w:val="001871B6"/>
    <w:rsid w:val="001872D3"/>
    <w:rsid w:val="001875D8"/>
    <w:rsid w:val="00187640"/>
    <w:rsid w:val="001879C5"/>
    <w:rsid w:val="001879F8"/>
    <w:rsid w:val="00187B91"/>
    <w:rsid w:val="00187B9A"/>
    <w:rsid w:val="00187C3B"/>
    <w:rsid w:val="00187EE8"/>
    <w:rsid w:val="00187F4D"/>
    <w:rsid w:val="00187FEF"/>
    <w:rsid w:val="00190117"/>
    <w:rsid w:val="0019014B"/>
    <w:rsid w:val="00190188"/>
    <w:rsid w:val="001901CB"/>
    <w:rsid w:val="001901E8"/>
    <w:rsid w:val="00190245"/>
    <w:rsid w:val="00190268"/>
    <w:rsid w:val="0019047D"/>
    <w:rsid w:val="00190574"/>
    <w:rsid w:val="0019079A"/>
    <w:rsid w:val="001907EF"/>
    <w:rsid w:val="0019088D"/>
    <w:rsid w:val="00190919"/>
    <w:rsid w:val="001909D1"/>
    <w:rsid w:val="00190B9E"/>
    <w:rsid w:val="00190C13"/>
    <w:rsid w:val="00190C3B"/>
    <w:rsid w:val="00190D4F"/>
    <w:rsid w:val="00190E04"/>
    <w:rsid w:val="00190F59"/>
    <w:rsid w:val="00190FBC"/>
    <w:rsid w:val="0019109D"/>
    <w:rsid w:val="001910B4"/>
    <w:rsid w:val="0019120B"/>
    <w:rsid w:val="0019120F"/>
    <w:rsid w:val="00191266"/>
    <w:rsid w:val="001912E6"/>
    <w:rsid w:val="001912F9"/>
    <w:rsid w:val="001912FC"/>
    <w:rsid w:val="0019137B"/>
    <w:rsid w:val="0019144A"/>
    <w:rsid w:val="001914E8"/>
    <w:rsid w:val="00191548"/>
    <w:rsid w:val="00191580"/>
    <w:rsid w:val="0019165A"/>
    <w:rsid w:val="00191742"/>
    <w:rsid w:val="00191A6F"/>
    <w:rsid w:val="00191AC6"/>
    <w:rsid w:val="00191BB8"/>
    <w:rsid w:val="00191BE4"/>
    <w:rsid w:val="00191C66"/>
    <w:rsid w:val="00191D86"/>
    <w:rsid w:val="00191DBE"/>
    <w:rsid w:val="00191E48"/>
    <w:rsid w:val="001920CC"/>
    <w:rsid w:val="001921CE"/>
    <w:rsid w:val="00192208"/>
    <w:rsid w:val="00192378"/>
    <w:rsid w:val="0019238C"/>
    <w:rsid w:val="00192396"/>
    <w:rsid w:val="00192454"/>
    <w:rsid w:val="0019246D"/>
    <w:rsid w:val="00192880"/>
    <w:rsid w:val="001928A3"/>
    <w:rsid w:val="00192943"/>
    <w:rsid w:val="00192967"/>
    <w:rsid w:val="00192977"/>
    <w:rsid w:val="001929FB"/>
    <w:rsid w:val="00192A07"/>
    <w:rsid w:val="00192BA7"/>
    <w:rsid w:val="00192DAB"/>
    <w:rsid w:val="00192DEA"/>
    <w:rsid w:val="00192DFF"/>
    <w:rsid w:val="00192F0B"/>
    <w:rsid w:val="00192F58"/>
    <w:rsid w:val="00193005"/>
    <w:rsid w:val="00193134"/>
    <w:rsid w:val="00193176"/>
    <w:rsid w:val="001933DC"/>
    <w:rsid w:val="001933EA"/>
    <w:rsid w:val="00193415"/>
    <w:rsid w:val="00193569"/>
    <w:rsid w:val="00193591"/>
    <w:rsid w:val="00193598"/>
    <w:rsid w:val="0019367F"/>
    <w:rsid w:val="0019370D"/>
    <w:rsid w:val="0019391B"/>
    <w:rsid w:val="00193DD8"/>
    <w:rsid w:val="00193E17"/>
    <w:rsid w:val="00193E37"/>
    <w:rsid w:val="00193F71"/>
    <w:rsid w:val="00193FEC"/>
    <w:rsid w:val="0019403A"/>
    <w:rsid w:val="001940B3"/>
    <w:rsid w:val="001940FF"/>
    <w:rsid w:val="001942B6"/>
    <w:rsid w:val="001944C8"/>
    <w:rsid w:val="001944F5"/>
    <w:rsid w:val="00194827"/>
    <w:rsid w:val="001948AD"/>
    <w:rsid w:val="00194932"/>
    <w:rsid w:val="00194B20"/>
    <w:rsid w:val="00194B9D"/>
    <w:rsid w:val="00194C32"/>
    <w:rsid w:val="00194C56"/>
    <w:rsid w:val="00194C81"/>
    <w:rsid w:val="00194D78"/>
    <w:rsid w:val="0019504B"/>
    <w:rsid w:val="00195083"/>
    <w:rsid w:val="001950A9"/>
    <w:rsid w:val="001950E8"/>
    <w:rsid w:val="00195212"/>
    <w:rsid w:val="0019526B"/>
    <w:rsid w:val="00195290"/>
    <w:rsid w:val="0019531F"/>
    <w:rsid w:val="001953DB"/>
    <w:rsid w:val="0019541F"/>
    <w:rsid w:val="00195476"/>
    <w:rsid w:val="001954E1"/>
    <w:rsid w:val="001955F3"/>
    <w:rsid w:val="00195778"/>
    <w:rsid w:val="00195916"/>
    <w:rsid w:val="0019598B"/>
    <w:rsid w:val="00195A96"/>
    <w:rsid w:val="00195AA3"/>
    <w:rsid w:val="00195AF2"/>
    <w:rsid w:val="00195C3E"/>
    <w:rsid w:val="00195D84"/>
    <w:rsid w:val="00195DCB"/>
    <w:rsid w:val="00195E2E"/>
    <w:rsid w:val="00195E9B"/>
    <w:rsid w:val="00195EA8"/>
    <w:rsid w:val="00195F29"/>
    <w:rsid w:val="00195FB6"/>
    <w:rsid w:val="00195FFD"/>
    <w:rsid w:val="00196232"/>
    <w:rsid w:val="00196270"/>
    <w:rsid w:val="001962A1"/>
    <w:rsid w:val="0019636D"/>
    <w:rsid w:val="0019639D"/>
    <w:rsid w:val="0019642E"/>
    <w:rsid w:val="001964F7"/>
    <w:rsid w:val="00196586"/>
    <w:rsid w:val="0019667B"/>
    <w:rsid w:val="00196686"/>
    <w:rsid w:val="00196894"/>
    <w:rsid w:val="001968A3"/>
    <w:rsid w:val="00196975"/>
    <w:rsid w:val="001969E0"/>
    <w:rsid w:val="00196AF3"/>
    <w:rsid w:val="00196B22"/>
    <w:rsid w:val="00196C0D"/>
    <w:rsid w:val="00196C25"/>
    <w:rsid w:val="00196C45"/>
    <w:rsid w:val="00196C7F"/>
    <w:rsid w:val="00196CA7"/>
    <w:rsid w:val="00196EDD"/>
    <w:rsid w:val="00196EDE"/>
    <w:rsid w:val="00196FBD"/>
    <w:rsid w:val="0019702E"/>
    <w:rsid w:val="00197225"/>
    <w:rsid w:val="00197286"/>
    <w:rsid w:val="00197375"/>
    <w:rsid w:val="001973BC"/>
    <w:rsid w:val="001973E9"/>
    <w:rsid w:val="001973FE"/>
    <w:rsid w:val="001974DC"/>
    <w:rsid w:val="00197533"/>
    <w:rsid w:val="0019757F"/>
    <w:rsid w:val="001976CF"/>
    <w:rsid w:val="001977B5"/>
    <w:rsid w:val="0019789A"/>
    <w:rsid w:val="001978B3"/>
    <w:rsid w:val="00197AAF"/>
    <w:rsid w:val="00197AB0"/>
    <w:rsid w:val="00197AFE"/>
    <w:rsid w:val="00197DAA"/>
    <w:rsid w:val="00197E12"/>
    <w:rsid w:val="00197E3C"/>
    <w:rsid w:val="00197E98"/>
    <w:rsid w:val="00197EB3"/>
    <w:rsid w:val="00197EF2"/>
    <w:rsid w:val="00197FDF"/>
    <w:rsid w:val="001A033A"/>
    <w:rsid w:val="001A04F7"/>
    <w:rsid w:val="001A06A5"/>
    <w:rsid w:val="001A0773"/>
    <w:rsid w:val="001A0855"/>
    <w:rsid w:val="001A086B"/>
    <w:rsid w:val="001A09E9"/>
    <w:rsid w:val="001A0AC2"/>
    <w:rsid w:val="001A0B66"/>
    <w:rsid w:val="001A0B6F"/>
    <w:rsid w:val="001A0BB9"/>
    <w:rsid w:val="001A0C32"/>
    <w:rsid w:val="001A0CA3"/>
    <w:rsid w:val="001A0CA4"/>
    <w:rsid w:val="001A0D38"/>
    <w:rsid w:val="001A0DDC"/>
    <w:rsid w:val="001A0E3F"/>
    <w:rsid w:val="001A115D"/>
    <w:rsid w:val="001A121C"/>
    <w:rsid w:val="001A1221"/>
    <w:rsid w:val="001A12D3"/>
    <w:rsid w:val="001A12F9"/>
    <w:rsid w:val="001A15EA"/>
    <w:rsid w:val="001A15F9"/>
    <w:rsid w:val="001A1675"/>
    <w:rsid w:val="001A1820"/>
    <w:rsid w:val="001A188C"/>
    <w:rsid w:val="001A1BBB"/>
    <w:rsid w:val="001A1C8A"/>
    <w:rsid w:val="001A1CA0"/>
    <w:rsid w:val="001A1E1D"/>
    <w:rsid w:val="001A1E4D"/>
    <w:rsid w:val="001A1FC0"/>
    <w:rsid w:val="001A205D"/>
    <w:rsid w:val="001A20B4"/>
    <w:rsid w:val="001A2343"/>
    <w:rsid w:val="001A2360"/>
    <w:rsid w:val="001A2465"/>
    <w:rsid w:val="001A250F"/>
    <w:rsid w:val="001A251E"/>
    <w:rsid w:val="001A2557"/>
    <w:rsid w:val="001A2611"/>
    <w:rsid w:val="001A26E1"/>
    <w:rsid w:val="001A2734"/>
    <w:rsid w:val="001A273C"/>
    <w:rsid w:val="001A2797"/>
    <w:rsid w:val="001A29BA"/>
    <w:rsid w:val="001A2AD8"/>
    <w:rsid w:val="001A2AFD"/>
    <w:rsid w:val="001A2B28"/>
    <w:rsid w:val="001A2B58"/>
    <w:rsid w:val="001A2C8B"/>
    <w:rsid w:val="001A2D5B"/>
    <w:rsid w:val="001A2D66"/>
    <w:rsid w:val="001A3024"/>
    <w:rsid w:val="001A30CA"/>
    <w:rsid w:val="001A3148"/>
    <w:rsid w:val="001A31AE"/>
    <w:rsid w:val="001A3280"/>
    <w:rsid w:val="001A32CF"/>
    <w:rsid w:val="001A3380"/>
    <w:rsid w:val="001A33D1"/>
    <w:rsid w:val="001A3475"/>
    <w:rsid w:val="001A34C7"/>
    <w:rsid w:val="001A352F"/>
    <w:rsid w:val="001A375C"/>
    <w:rsid w:val="001A3767"/>
    <w:rsid w:val="001A3867"/>
    <w:rsid w:val="001A3901"/>
    <w:rsid w:val="001A398A"/>
    <w:rsid w:val="001A3A2A"/>
    <w:rsid w:val="001A3A6E"/>
    <w:rsid w:val="001A3D46"/>
    <w:rsid w:val="001A3EAE"/>
    <w:rsid w:val="001A3EB0"/>
    <w:rsid w:val="001A3EC8"/>
    <w:rsid w:val="001A3F26"/>
    <w:rsid w:val="001A3FDF"/>
    <w:rsid w:val="001A3FE1"/>
    <w:rsid w:val="001A4047"/>
    <w:rsid w:val="001A411A"/>
    <w:rsid w:val="001A41C8"/>
    <w:rsid w:val="001A4288"/>
    <w:rsid w:val="001A4298"/>
    <w:rsid w:val="001A4299"/>
    <w:rsid w:val="001A42F1"/>
    <w:rsid w:val="001A4342"/>
    <w:rsid w:val="001A4350"/>
    <w:rsid w:val="001A442F"/>
    <w:rsid w:val="001A4494"/>
    <w:rsid w:val="001A4744"/>
    <w:rsid w:val="001A47F6"/>
    <w:rsid w:val="001A4B72"/>
    <w:rsid w:val="001A4D02"/>
    <w:rsid w:val="001A4DF4"/>
    <w:rsid w:val="001A4F30"/>
    <w:rsid w:val="001A500C"/>
    <w:rsid w:val="001A500F"/>
    <w:rsid w:val="001A50F5"/>
    <w:rsid w:val="001A5133"/>
    <w:rsid w:val="001A51C6"/>
    <w:rsid w:val="001A5223"/>
    <w:rsid w:val="001A5239"/>
    <w:rsid w:val="001A5457"/>
    <w:rsid w:val="001A54D8"/>
    <w:rsid w:val="001A5541"/>
    <w:rsid w:val="001A560A"/>
    <w:rsid w:val="001A5613"/>
    <w:rsid w:val="001A5679"/>
    <w:rsid w:val="001A57B4"/>
    <w:rsid w:val="001A584C"/>
    <w:rsid w:val="001A5A9B"/>
    <w:rsid w:val="001A5C3F"/>
    <w:rsid w:val="001A5E6E"/>
    <w:rsid w:val="001A5F11"/>
    <w:rsid w:val="001A5F87"/>
    <w:rsid w:val="001A5FDA"/>
    <w:rsid w:val="001A6029"/>
    <w:rsid w:val="001A6180"/>
    <w:rsid w:val="001A6192"/>
    <w:rsid w:val="001A631B"/>
    <w:rsid w:val="001A64D6"/>
    <w:rsid w:val="001A65F1"/>
    <w:rsid w:val="001A66CC"/>
    <w:rsid w:val="001A67B9"/>
    <w:rsid w:val="001A67FA"/>
    <w:rsid w:val="001A687A"/>
    <w:rsid w:val="001A68CB"/>
    <w:rsid w:val="001A694A"/>
    <w:rsid w:val="001A69B7"/>
    <w:rsid w:val="001A6A13"/>
    <w:rsid w:val="001A6AB9"/>
    <w:rsid w:val="001A6BE1"/>
    <w:rsid w:val="001A6D80"/>
    <w:rsid w:val="001A6E2E"/>
    <w:rsid w:val="001A6EE2"/>
    <w:rsid w:val="001A6F25"/>
    <w:rsid w:val="001A6F79"/>
    <w:rsid w:val="001A7164"/>
    <w:rsid w:val="001A71A2"/>
    <w:rsid w:val="001A7237"/>
    <w:rsid w:val="001A745A"/>
    <w:rsid w:val="001A7494"/>
    <w:rsid w:val="001A754A"/>
    <w:rsid w:val="001A7677"/>
    <w:rsid w:val="001A76E8"/>
    <w:rsid w:val="001A7723"/>
    <w:rsid w:val="001A7782"/>
    <w:rsid w:val="001A77D6"/>
    <w:rsid w:val="001A7849"/>
    <w:rsid w:val="001A793B"/>
    <w:rsid w:val="001A7988"/>
    <w:rsid w:val="001A7C88"/>
    <w:rsid w:val="001A7D50"/>
    <w:rsid w:val="001A7E3F"/>
    <w:rsid w:val="001A7E5A"/>
    <w:rsid w:val="001A7E69"/>
    <w:rsid w:val="001B007A"/>
    <w:rsid w:val="001B00B9"/>
    <w:rsid w:val="001B00BD"/>
    <w:rsid w:val="001B02B7"/>
    <w:rsid w:val="001B02E4"/>
    <w:rsid w:val="001B0324"/>
    <w:rsid w:val="001B0554"/>
    <w:rsid w:val="001B05A1"/>
    <w:rsid w:val="001B0736"/>
    <w:rsid w:val="001B07E8"/>
    <w:rsid w:val="001B0976"/>
    <w:rsid w:val="001B0A33"/>
    <w:rsid w:val="001B0BE1"/>
    <w:rsid w:val="001B0BFD"/>
    <w:rsid w:val="001B0C8F"/>
    <w:rsid w:val="001B0D22"/>
    <w:rsid w:val="001B0DFA"/>
    <w:rsid w:val="001B0DFC"/>
    <w:rsid w:val="001B0E24"/>
    <w:rsid w:val="001B0EFC"/>
    <w:rsid w:val="001B0F43"/>
    <w:rsid w:val="001B0FBD"/>
    <w:rsid w:val="001B1172"/>
    <w:rsid w:val="001B11D9"/>
    <w:rsid w:val="001B12FB"/>
    <w:rsid w:val="001B130D"/>
    <w:rsid w:val="001B1347"/>
    <w:rsid w:val="001B1369"/>
    <w:rsid w:val="001B139F"/>
    <w:rsid w:val="001B13E3"/>
    <w:rsid w:val="001B141E"/>
    <w:rsid w:val="001B1467"/>
    <w:rsid w:val="001B1473"/>
    <w:rsid w:val="001B15A7"/>
    <w:rsid w:val="001B165B"/>
    <w:rsid w:val="001B169C"/>
    <w:rsid w:val="001B16EC"/>
    <w:rsid w:val="001B18AE"/>
    <w:rsid w:val="001B1906"/>
    <w:rsid w:val="001B1930"/>
    <w:rsid w:val="001B1A92"/>
    <w:rsid w:val="001B1AC8"/>
    <w:rsid w:val="001B1B20"/>
    <w:rsid w:val="001B1B5C"/>
    <w:rsid w:val="001B1B5D"/>
    <w:rsid w:val="001B1C1C"/>
    <w:rsid w:val="001B1CBE"/>
    <w:rsid w:val="001B1D91"/>
    <w:rsid w:val="001B1D93"/>
    <w:rsid w:val="001B1E61"/>
    <w:rsid w:val="001B1ED5"/>
    <w:rsid w:val="001B1F08"/>
    <w:rsid w:val="001B1F93"/>
    <w:rsid w:val="001B20A6"/>
    <w:rsid w:val="001B20AD"/>
    <w:rsid w:val="001B20D7"/>
    <w:rsid w:val="001B2144"/>
    <w:rsid w:val="001B21DF"/>
    <w:rsid w:val="001B2261"/>
    <w:rsid w:val="001B226E"/>
    <w:rsid w:val="001B22E0"/>
    <w:rsid w:val="001B232E"/>
    <w:rsid w:val="001B23A3"/>
    <w:rsid w:val="001B23A5"/>
    <w:rsid w:val="001B2476"/>
    <w:rsid w:val="001B261B"/>
    <w:rsid w:val="001B263C"/>
    <w:rsid w:val="001B2687"/>
    <w:rsid w:val="001B26C9"/>
    <w:rsid w:val="001B271A"/>
    <w:rsid w:val="001B27B0"/>
    <w:rsid w:val="001B2836"/>
    <w:rsid w:val="001B2A94"/>
    <w:rsid w:val="001B2C0C"/>
    <w:rsid w:val="001B2CC4"/>
    <w:rsid w:val="001B2CD2"/>
    <w:rsid w:val="001B2DBC"/>
    <w:rsid w:val="001B2FE1"/>
    <w:rsid w:val="001B312F"/>
    <w:rsid w:val="001B3196"/>
    <w:rsid w:val="001B3319"/>
    <w:rsid w:val="001B3326"/>
    <w:rsid w:val="001B34B8"/>
    <w:rsid w:val="001B3688"/>
    <w:rsid w:val="001B36CC"/>
    <w:rsid w:val="001B3727"/>
    <w:rsid w:val="001B375C"/>
    <w:rsid w:val="001B37CC"/>
    <w:rsid w:val="001B37FA"/>
    <w:rsid w:val="001B3917"/>
    <w:rsid w:val="001B3929"/>
    <w:rsid w:val="001B39E4"/>
    <w:rsid w:val="001B3B3F"/>
    <w:rsid w:val="001B3B74"/>
    <w:rsid w:val="001B3BD3"/>
    <w:rsid w:val="001B3C70"/>
    <w:rsid w:val="001B3E2D"/>
    <w:rsid w:val="001B3F29"/>
    <w:rsid w:val="001B4073"/>
    <w:rsid w:val="001B40B0"/>
    <w:rsid w:val="001B40CF"/>
    <w:rsid w:val="001B4170"/>
    <w:rsid w:val="001B42AA"/>
    <w:rsid w:val="001B4325"/>
    <w:rsid w:val="001B4665"/>
    <w:rsid w:val="001B46D8"/>
    <w:rsid w:val="001B47C8"/>
    <w:rsid w:val="001B498E"/>
    <w:rsid w:val="001B49ED"/>
    <w:rsid w:val="001B4A68"/>
    <w:rsid w:val="001B4C9A"/>
    <w:rsid w:val="001B4CA6"/>
    <w:rsid w:val="001B4D0E"/>
    <w:rsid w:val="001B4D44"/>
    <w:rsid w:val="001B4F74"/>
    <w:rsid w:val="001B500E"/>
    <w:rsid w:val="001B50EB"/>
    <w:rsid w:val="001B5142"/>
    <w:rsid w:val="001B53B0"/>
    <w:rsid w:val="001B5462"/>
    <w:rsid w:val="001B549C"/>
    <w:rsid w:val="001B55A7"/>
    <w:rsid w:val="001B56BA"/>
    <w:rsid w:val="001B5CA9"/>
    <w:rsid w:val="001B5D59"/>
    <w:rsid w:val="001B5D7E"/>
    <w:rsid w:val="001B5DAF"/>
    <w:rsid w:val="001B5E3A"/>
    <w:rsid w:val="001B5EA2"/>
    <w:rsid w:val="001B5FB2"/>
    <w:rsid w:val="001B5FCF"/>
    <w:rsid w:val="001B611F"/>
    <w:rsid w:val="001B6133"/>
    <w:rsid w:val="001B6142"/>
    <w:rsid w:val="001B61E1"/>
    <w:rsid w:val="001B6297"/>
    <w:rsid w:val="001B6420"/>
    <w:rsid w:val="001B656A"/>
    <w:rsid w:val="001B6690"/>
    <w:rsid w:val="001B67CF"/>
    <w:rsid w:val="001B6871"/>
    <w:rsid w:val="001B68E6"/>
    <w:rsid w:val="001B697C"/>
    <w:rsid w:val="001B6A70"/>
    <w:rsid w:val="001B6A99"/>
    <w:rsid w:val="001B6E68"/>
    <w:rsid w:val="001B6EE9"/>
    <w:rsid w:val="001B6EF6"/>
    <w:rsid w:val="001B6F5F"/>
    <w:rsid w:val="001B701F"/>
    <w:rsid w:val="001B70A2"/>
    <w:rsid w:val="001B70C7"/>
    <w:rsid w:val="001B717C"/>
    <w:rsid w:val="001B71B3"/>
    <w:rsid w:val="001B7251"/>
    <w:rsid w:val="001B7316"/>
    <w:rsid w:val="001B74CD"/>
    <w:rsid w:val="001B76A7"/>
    <w:rsid w:val="001B76B4"/>
    <w:rsid w:val="001B774F"/>
    <w:rsid w:val="001B7798"/>
    <w:rsid w:val="001B77FD"/>
    <w:rsid w:val="001B7A35"/>
    <w:rsid w:val="001B7AA5"/>
    <w:rsid w:val="001B7D29"/>
    <w:rsid w:val="001B7D39"/>
    <w:rsid w:val="001B7DC8"/>
    <w:rsid w:val="001B7E39"/>
    <w:rsid w:val="001B7E8A"/>
    <w:rsid w:val="001B7E95"/>
    <w:rsid w:val="001B7F3E"/>
    <w:rsid w:val="001B7F4A"/>
    <w:rsid w:val="001B7FF2"/>
    <w:rsid w:val="001C007F"/>
    <w:rsid w:val="001C0369"/>
    <w:rsid w:val="001C057A"/>
    <w:rsid w:val="001C05D8"/>
    <w:rsid w:val="001C0736"/>
    <w:rsid w:val="001C0848"/>
    <w:rsid w:val="001C08A4"/>
    <w:rsid w:val="001C08F4"/>
    <w:rsid w:val="001C0924"/>
    <w:rsid w:val="001C0941"/>
    <w:rsid w:val="001C0AD3"/>
    <w:rsid w:val="001C0AFD"/>
    <w:rsid w:val="001C0BC5"/>
    <w:rsid w:val="001C0CA7"/>
    <w:rsid w:val="001C0CC7"/>
    <w:rsid w:val="001C0F9C"/>
    <w:rsid w:val="001C1123"/>
    <w:rsid w:val="001C114A"/>
    <w:rsid w:val="001C1169"/>
    <w:rsid w:val="001C12E4"/>
    <w:rsid w:val="001C1570"/>
    <w:rsid w:val="001C1636"/>
    <w:rsid w:val="001C168C"/>
    <w:rsid w:val="001C17C3"/>
    <w:rsid w:val="001C1830"/>
    <w:rsid w:val="001C184C"/>
    <w:rsid w:val="001C19FC"/>
    <w:rsid w:val="001C1B08"/>
    <w:rsid w:val="001C1CC3"/>
    <w:rsid w:val="001C1DD3"/>
    <w:rsid w:val="001C1F09"/>
    <w:rsid w:val="001C2256"/>
    <w:rsid w:val="001C232A"/>
    <w:rsid w:val="001C23F3"/>
    <w:rsid w:val="001C241E"/>
    <w:rsid w:val="001C24F1"/>
    <w:rsid w:val="001C24F6"/>
    <w:rsid w:val="001C24FC"/>
    <w:rsid w:val="001C252B"/>
    <w:rsid w:val="001C2672"/>
    <w:rsid w:val="001C2688"/>
    <w:rsid w:val="001C26CD"/>
    <w:rsid w:val="001C2911"/>
    <w:rsid w:val="001C2940"/>
    <w:rsid w:val="001C29A4"/>
    <w:rsid w:val="001C2A91"/>
    <w:rsid w:val="001C2AB4"/>
    <w:rsid w:val="001C2B27"/>
    <w:rsid w:val="001C2B89"/>
    <w:rsid w:val="001C2BD5"/>
    <w:rsid w:val="001C2EEC"/>
    <w:rsid w:val="001C2F08"/>
    <w:rsid w:val="001C317D"/>
    <w:rsid w:val="001C31D1"/>
    <w:rsid w:val="001C335C"/>
    <w:rsid w:val="001C347E"/>
    <w:rsid w:val="001C348E"/>
    <w:rsid w:val="001C34EB"/>
    <w:rsid w:val="001C35C1"/>
    <w:rsid w:val="001C36D7"/>
    <w:rsid w:val="001C3726"/>
    <w:rsid w:val="001C37DC"/>
    <w:rsid w:val="001C37E4"/>
    <w:rsid w:val="001C394B"/>
    <w:rsid w:val="001C395F"/>
    <w:rsid w:val="001C3C69"/>
    <w:rsid w:val="001C3CAD"/>
    <w:rsid w:val="001C3CD3"/>
    <w:rsid w:val="001C3DB9"/>
    <w:rsid w:val="001C3DD1"/>
    <w:rsid w:val="001C3E08"/>
    <w:rsid w:val="001C3E60"/>
    <w:rsid w:val="001C4030"/>
    <w:rsid w:val="001C40A3"/>
    <w:rsid w:val="001C40E0"/>
    <w:rsid w:val="001C419A"/>
    <w:rsid w:val="001C41BA"/>
    <w:rsid w:val="001C42EA"/>
    <w:rsid w:val="001C43E6"/>
    <w:rsid w:val="001C443E"/>
    <w:rsid w:val="001C444B"/>
    <w:rsid w:val="001C44D4"/>
    <w:rsid w:val="001C450A"/>
    <w:rsid w:val="001C4528"/>
    <w:rsid w:val="001C4620"/>
    <w:rsid w:val="001C4688"/>
    <w:rsid w:val="001C46D7"/>
    <w:rsid w:val="001C4803"/>
    <w:rsid w:val="001C4B28"/>
    <w:rsid w:val="001C4C3D"/>
    <w:rsid w:val="001C4C8E"/>
    <w:rsid w:val="001C4CB6"/>
    <w:rsid w:val="001C4CC1"/>
    <w:rsid w:val="001C4D0A"/>
    <w:rsid w:val="001C4EB6"/>
    <w:rsid w:val="001C4EEB"/>
    <w:rsid w:val="001C50F3"/>
    <w:rsid w:val="001C5125"/>
    <w:rsid w:val="001C51A7"/>
    <w:rsid w:val="001C51E4"/>
    <w:rsid w:val="001C5220"/>
    <w:rsid w:val="001C527D"/>
    <w:rsid w:val="001C529D"/>
    <w:rsid w:val="001C541F"/>
    <w:rsid w:val="001C5425"/>
    <w:rsid w:val="001C54E0"/>
    <w:rsid w:val="001C5551"/>
    <w:rsid w:val="001C55DC"/>
    <w:rsid w:val="001C5629"/>
    <w:rsid w:val="001C563E"/>
    <w:rsid w:val="001C5847"/>
    <w:rsid w:val="001C586C"/>
    <w:rsid w:val="001C58D0"/>
    <w:rsid w:val="001C5A1C"/>
    <w:rsid w:val="001C5A2C"/>
    <w:rsid w:val="001C5A95"/>
    <w:rsid w:val="001C5AC6"/>
    <w:rsid w:val="001C5AE5"/>
    <w:rsid w:val="001C5AF2"/>
    <w:rsid w:val="001C5BE9"/>
    <w:rsid w:val="001C5BF4"/>
    <w:rsid w:val="001C5C0D"/>
    <w:rsid w:val="001C5CD9"/>
    <w:rsid w:val="001C5D0D"/>
    <w:rsid w:val="001C5D42"/>
    <w:rsid w:val="001C5EA6"/>
    <w:rsid w:val="001C5EC3"/>
    <w:rsid w:val="001C6001"/>
    <w:rsid w:val="001C60ED"/>
    <w:rsid w:val="001C636A"/>
    <w:rsid w:val="001C648E"/>
    <w:rsid w:val="001C64D4"/>
    <w:rsid w:val="001C655D"/>
    <w:rsid w:val="001C661C"/>
    <w:rsid w:val="001C66E5"/>
    <w:rsid w:val="001C6862"/>
    <w:rsid w:val="001C68E1"/>
    <w:rsid w:val="001C695A"/>
    <w:rsid w:val="001C6965"/>
    <w:rsid w:val="001C697D"/>
    <w:rsid w:val="001C69CF"/>
    <w:rsid w:val="001C69FA"/>
    <w:rsid w:val="001C6C25"/>
    <w:rsid w:val="001C6C81"/>
    <w:rsid w:val="001C6EE9"/>
    <w:rsid w:val="001C70A6"/>
    <w:rsid w:val="001C70AC"/>
    <w:rsid w:val="001C70BC"/>
    <w:rsid w:val="001C710B"/>
    <w:rsid w:val="001C716D"/>
    <w:rsid w:val="001C724F"/>
    <w:rsid w:val="001C72CE"/>
    <w:rsid w:val="001C7434"/>
    <w:rsid w:val="001C7508"/>
    <w:rsid w:val="001C7601"/>
    <w:rsid w:val="001C771B"/>
    <w:rsid w:val="001C77D3"/>
    <w:rsid w:val="001C77FF"/>
    <w:rsid w:val="001C780B"/>
    <w:rsid w:val="001C7823"/>
    <w:rsid w:val="001C7837"/>
    <w:rsid w:val="001C7853"/>
    <w:rsid w:val="001C79C3"/>
    <w:rsid w:val="001C79D0"/>
    <w:rsid w:val="001C7A2B"/>
    <w:rsid w:val="001C7A30"/>
    <w:rsid w:val="001C7A45"/>
    <w:rsid w:val="001C7A6A"/>
    <w:rsid w:val="001C7B5A"/>
    <w:rsid w:val="001C7BB5"/>
    <w:rsid w:val="001C7C6E"/>
    <w:rsid w:val="001C7CE8"/>
    <w:rsid w:val="001C7D8D"/>
    <w:rsid w:val="001C7E7A"/>
    <w:rsid w:val="001C7E7D"/>
    <w:rsid w:val="001C7EAB"/>
    <w:rsid w:val="001C7EEC"/>
    <w:rsid w:val="001D007A"/>
    <w:rsid w:val="001D01DD"/>
    <w:rsid w:val="001D02AB"/>
    <w:rsid w:val="001D042E"/>
    <w:rsid w:val="001D0465"/>
    <w:rsid w:val="001D0774"/>
    <w:rsid w:val="001D08E2"/>
    <w:rsid w:val="001D09B7"/>
    <w:rsid w:val="001D09E4"/>
    <w:rsid w:val="001D0B1B"/>
    <w:rsid w:val="001D0BA0"/>
    <w:rsid w:val="001D0D23"/>
    <w:rsid w:val="001D0DBF"/>
    <w:rsid w:val="001D0E20"/>
    <w:rsid w:val="001D0E26"/>
    <w:rsid w:val="001D10ED"/>
    <w:rsid w:val="001D111A"/>
    <w:rsid w:val="001D132A"/>
    <w:rsid w:val="001D14ED"/>
    <w:rsid w:val="001D1544"/>
    <w:rsid w:val="001D1576"/>
    <w:rsid w:val="001D1764"/>
    <w:rsid w:val="001D186B"/>
    <w:rsid w:val="001D1884"/>
    <w:rsid w:val="001D1A45"/>
    <w:rsid w:val="001D1A7E"/>
    <w:rsid w:val="001D1AB5"/>
    <w:rsid w:val="001D1AFE"/>
    <w:rsid w:val="001D1FC6"/>
    <w:rsid w:val="001D200E"/>
    <w:rsid w:val="001D2025"/>
    <w:rsid w:val="001D2071"/>
    <w:rsid w:val="001D20D0"/>
    <w:rsid w:val="001D219D"/>
    <w:rsid w:val="001D21CD"/>
    <w:rsid w:val="001D2227"/>
    <w:rsid w:val="001D242C"/>
    <w:rsid w:val="001D244E"/>
    <w:rsid w:val="001D246C"/>
    <w:rsid w:val="001D26A6"/>
    <w:rsid w:val="001D26D4"/>
    <w:rsid w:val="001D275C"/>
    <w:rsid w:val="001D280D"/>
    <w:rsid w:val="001D2818"/>
    <w:rsid w:val="001D28A3"/>
    <w:rsid w:val="001D28DA"/>
    <w:rsid w:val="001D2AA2"/>
    <w:rsid w:val="001D2AF2"/>
    <w:rsid w:val="001D2C06"/>
    <w:rsid w:val="001D2C89"/>
    <w:rsid w:val="001D2DCD"/>
    <w:rsid w:val="001D2F15"/>
    <w:rsid w:val="001D2F42"/>
    <w:rsid w:val="001D2FF0"/>
    <w:rsid w:val="001D2FF4"/>
    <w:rsid w:val="001D3158"/>
    <w:rsid w:val="001D3173"/>
    <w:rsid w:val="001D330B"/>
    <w:rsid w:val="001D33EF"/>
    <w:rsid w:val="001D3531"/>
    <w:rsid w:val="001D3602"/>
    <w:rsid w:val="001D3804"/>
    <w:rsid w:val="001D38E6"/>
    <w:rsid w:val="001D3B3A"/>
    <w:rsid w:val="001D3DB8"/>
    <w:rsid w:val="001D3DF5"/>
    <w:rsid w:val="001D3E68"/>
    <w:rsid w:val="001D40F9"/>
    <w:rsid w:val="001D421A"/>
    <w:rsid w:val="001D42C6"/>
    <w:rsid w:val="001D4303"/>
    <w:rsid w:val="001D432B"/>
    <w:rsid w:val="001D441B"/>
    <w:rsid w:val="001D4420"/>
    <w:rsid w:val="001D4576"/>
    <w:rsid w:val="001D4640"/>
    <w:rsid w:val="001D46FE"/>
    <w:rsid w:val="001D4707"/>
    <w:rsid w:val="001D473C"/>
    <w:rsid w:val="001D4799"/>
    <w:rsid w:val="001D47D4"/>
    <w:rsid w:val="001D4BF8"/>
    <w:rsid w:val="001D4CFC"/>
    <w:rsid w:val="001D4D2A"/>
    <w:rsid w:val="001D4D46"/>
    <w:rsid w:val="001D4D4A"/>
    <w:rsid w:val="001D4ED6"/>
    <w:rsid w:val="001D4EE8"/>
    <w:rsid w:val="001D4F5C"/>
    <w:rsid w:val="001D5028"/>
    <w:rsid w:val="001D519C"/>
    <w:rsid w:val="001D5281"/>
    <w:rsid w:val="001D5559"/>
    <w:rsid w:val="001D5670"/>
    <w:rsid w:val="001D56BA"/>
    <w:rsid w:val="001D5903"/>
    <w:rsid w:val="001D590D"/>
    <w:rsid w:val="001D5AEE"/>
    <w:rsid w:val="001D5CB5"/>
    <w:rsid w:val="001D5D35"/>
    <w:rsid w:val="001D5DFB"/>
    <w:rsid w:val="001D5E68"/>
    <w:rsid w:val="001D5F19"/>
    <w:rsid w:val="001D5F61"/>
    <w:rsid w:val="001D5F87"/>
    <w:rsid w:val="001D5F91"/>
    <w:rsid w:val="001D5FD6"/>
    <w:rsid w:val="001D6048"/>
    <w:rsid w:val="001D6053"/>
    <w:rsid w:val="001D60D1"/>
    <w:rsid w:val="001D6131"/>
    <w:rsid w:val="001D61B6"/>
    <w:rsid w:val="001D6216"/>
    <w:rsid w:val="001D62FF"/>
    <w:rsid w:val="001D631C"/>
    <w:rsid w:val="001D6379"/>
    <w:rsid w:val="001D63AE"/>
    <w:rsid w:val="001D646D"/>
    <w:rsid w:val="001D64E7"/>
    <w:rsid w:val="001D6567"/>
    <w:rsid w:val="001D65A2"/>
    <w:rsid w:val="001D666B"/>
    <w:rsid w:val="001D676A"/>
    <w:rsid w:val="001D6818"/>
    <w:rsid w:val="001D6829"/>
    <w:rsid w:val="001D68B6"/>
    <w:rsid w:val="001D698F"/>
    <w:rsid w:val="001D69A7"/>
    <w:rsid w:val="001D69CF"/>
    <w:rsid w:val="001D6A61"/>
    <w:rsid w:val="001D6A76"/>
    <w:rsid w:val="001D6AAF"/>
    <w:rsid w:val="001D6C98"/>
    <w:rsid w:val="001D6E91"/>
    <w:rsid w:val="001D7031"/>
    <w:rsid w:val="001D717B"/>
    <w:rsid w:val="001D71CE"/>
    <w:rsid w:val="001D71E7"/>
    <w:rsid w:val="001D7329"/>
    <w:rsid w:val="001D7493"/>
    <w:rsid w:val="001D7576"/>
    <w:rsid w:val="001D75D2"/>
    <w:rsid w:val="001D7753"/>
    <w:rsid w:val="001D77FD"/>
    <w:rsid w:val="001D781C"/>
    <w:rsid w:val="001D7A5A"/>
    <w:rsid w:val="001D7B73"/>
    <w:rsid w:val="001D7BCB"/>
    <w:rsid w:val="001D7BEE"/>
    <w:rsid w:val="001D7DEB"/>
    <w:rsid w:val="001D7E3F"/>
    <w:rsid w:val="001D7FE8"/>
    <w:rsid w:val="001DF00E"/>
    <w:rsid w:val="001E0108"/>
    <w:rsid w:val="001E033F"/>
    <w:rsid w:val="001E0446"/>
    <w:rsid w:val="001E050E"/>
    <w:rsid w:val="001E058D"/>
    <w:rsid w:val="001E0599"/>
    <w:rsid w:val="001E05C4"/>
    <w:rsid w:val="001E07BF"/>
    <w:rsid w:val="001E0866"/>
    <w:rsid w:val="001E0881"/>
    <w:rsid w:val="001E08C5"/>
    <w:rsid w:val="001E094F"/>
    <w:rsid w:val="001E0959"/>
    <w:rsid w:val="001E0ACF"/>
    <w:rsid w:val="001E0B1C"/>
    <w:rsid w:val="001E0B27"/>
    <w:rsid w:val="001E0B87"/>
    <w:rsid w:val="001E0BD5"/>
    <w:rsid w:val="001E0C7E"/>
    <w:rsid w:val="001E0D97"/>
    <w:rsid w:val="001E0DFD"/>
    <w:rsid w:val="001E0F08"/>
    <w:rsid w:val="001E10E0"/>
    <w:rsid w:val="001E10F8"/>
    <w:rsid w:val="001E12B3"/>
    <w:rsid w:val="001E143B"/>
    <w:rsid w:val="001E146A"/>
    <w:rsid w:val="001E14E5"/>
    <w:rsid w:val="001E161C"/>
    <w:rsid w:val="001E161E"/>
    <w:rsid w:val="001E164F"/>
    <w:rsid w:val="001E169C"/>
    <w:rsid w:val="001E16A5"/>
    <w:rsid w:val="001E16A8"/>
    <w:rsid w:val="001E16D5"/>
    <w:rsid w:val="001E16E2"/>
    <w:rsid w:val="001E195B"/>
    <w:rsid w:val="001E1972"/>
    <w:rsid w:val="001E197F"/>
    <w:rsid w:val="001E19A3"/>
    <w:rsid w:val="001E1A02"/>
    <w:rsid w:val="001E1B88"/>
    <w:rsid w:val="001E1B92"/>
    <w:rsid w:val="001E1BEE"/>
    <w:rsid w:val="001E1CB8"/>
    <w:rsid w:val="001E1CBA"/>
    <w:rsid w:val="001E1E31"/>
    <w:rsid w:val="001E1E96"/>
    <w:rsid w:val="001E1E9A"/>
    <w:rsid w:val="001E1F01"/>
    <w:rsid w:val="001E2076"/>
    <w:rsid w:val="001E21CA"/>
    <w:rsid w:val="001E2222"/>
    <w:rsid w:val="001E2258"/>
    <w:rsid w:val="001E22D9"/>
    <w:rsid w:val="001E2390"/>
    <w:rsid w:val="001E23F6"/>
    <w:rsid w:val="001E2405"/>
    <w:rsid w:val="001E258A"/>
    <w:rsid w:val="001E268F"/>
    <w:rsid w:val="001E269E"/>
    <w:rsid w:val="001E27AA"/>
    <w:rsid w:val="001E280C"/>
    <w:rsid w:val="001E2832"/>
    <w:rsid w:val="001E290B"/>
    <w:rsid w:val="001E295B"/>
    <w:rsid w:val="001E299C"/>
    <w:rsid w:val="001E2B0F"/>
    <w:rsid w:val="001E2B5F"/>
    <w:rsid w:val="001E2D5A"/>
    <w:rsid w:val="001E2E40"/>
    <w:rsid w:val="001E2E5C"/>
    <w:rsid w:val="001E3043"/>
    <w:rsid w:val="001E3064"/>
    <w:rsid w:val="001E30B2"/>
    <w:rsid w:val="001E3315"/>
    <w:rsid w:val="001E33B0"/>
    <w:rsid w:val="001E3526"/>
    <w:rsid w:val="001E3621"/>
    <w:rsid w:val="001E3730"/>
    <w:rsid w:val="001E37B1"/>
    <w:rsid w:val="001E3ABC"/>
    <w:rsid w:val="001E3BEC"/>
    <w:rsid w:val="001E3BF4"/>
    <w:rsid w:val="001E3C52"/>
    <w:rsid w:val="001E3CAD"/>
    <w:rsid w:val="001E3E09"/>
    <w:rsid w:val="001E3E11"/>
    <w:rsid w:val="001E3EF2"/>
    <w:rsid w:val="001E3F06"/>
    <w:rsid w:val="001E3F2D"/>
    <w:rsid w:val="001E4146"/>
    <w:rsid w:val="001E42AB"/>
    <w:rsid w:val="001E43AC"/>
    <w:rsid w:val="001E449A"/>
    <w:rsid w:val="001E44AA"/>
    <w:rsid w:val="001E4538"/>
    <w:rsid w:val="001E4741"/>
    <w:rsid w:val="001E4785"/>
    <w:rsid w:val="001E4900"/>
    <w:rsid w:val="001E49B8"/>
    <w:rsid w:val="001E49EB"/>
    <w:rsid w:val="001E4A5E"/>
    <w:rsid w:val="001E4DCD"/>
    <w:rsid w:val="001E4DD3"/>
    <w:rsid w:val="001E4E33"/>
    <w:rsid w:val="001E4EBF"/>
    <w:rsid w:val="001E4FD3"/>
    <w:rsid w:val="001E5038"/>
    <w:rsid w:val="001E5040"/>
    <w:rsid w:val="001E507E"/>
    <w:rsid w:val="001E50D5"/>
    <w:rsid w:val="001E52B5"/>
    <w:rsid w:val="001E5349"/>
    <w:rsid w:val="001E53C5"/>
    <w:rsid w:val="001E53F4"/>
    <w:rsid w:val="001E54C7"/>
    <w:rsid w:val="001E5744"/>
    <w:rsid w:val="001E5752"/>
    <w:rsid w:val="001E58E7"/>
    <w:rsid w:val="001E599C"/>
    <w:rsid w:val="001E5A1A"/>
    <w:rsid w:val="001E5A1B"/>
    <w:rsid w:val="001E5B8B"/>
    <w:rsid w:val="001E5C1B"/>
    <w:rsid w:val="001E5C82"/>
    <w:rsid w:val="001E5CA4"/>
    <w:rsid w:val="001E5F59"/>
    <w:rsid w:val="001E6002"/>
    <w:rsid w:val="001E61A0"/>
    <w:rsid w:val="001E62F9"/>
    <w:rsid w:val="001E63D8"/>
    <w:rsid w:val="001E644E"/>
    <w:rsid w:val="001E64A8"/>
    <w:rsid w:val="001E65AA"/>
    <w:rsid w:val="001E6686"/>
    <w:rsid w:val="001E6725"/>
    <w:rsid w:val="001E6800"/>
    <w:rsid w:val="001E6851"/>
    <w:rsid w:val="001E689C"/>
    <w:rsid w:val="001E68C8"/>
    <w:rsid w:val="001E68FE"/>
    <w:rsid w:val="001E6913"/>
    <w:rsid w:val="001E6932"/>
    <w:rsid w:val="001E69CB"/>
    <w:rsid w:val="001E6B12"/>
    <w:rsid w:val="001E6BA0"/>
    <w:rsid w:val="001E6BBD"/>
    <w:rsid w:val="001E6D47"/>
    <w:rsid w:val="001E6E9E"/>
    <w:rsid w:val="001E6EA4"/>
    <w:rsid w:val="001E71C3"/>
    <w:rsid w:val="001E7211"/>
    <w:rsid w:val="001E725D"/>
    <w:rsid w:val="001E72A6"/>
    <w:rsid w:val="001E73C1"/>
    <w:rsid w:val="001E7435"/>
    <w:rsid w:val="001E7460"/>
    <w:rsid w:val="001E759D"/>
    <w:rsid w:val="001E763B"/>
    <w:rsid w:val="001E7664"/>
    <w:rsid w:val="001E7724"/>
    <w:rsid w:val="001E785C"/>
    <w:rsid w:val="001E7868"/>
    <w:rsid w:val="001E79C7"/>
    <w:rsid w:val="001E7A6E"/>
    <w:rsid w:val="001E7A7A"/>
    <w:rsid w:val="001E7C4F"/>
    <w:rsid w:val="001E7C56"/>
    <w:rsid w:val="001E7C9C"/>
    <w:rsid w:val="001E7DB9"/>
    <w:rsid w:val="001E7F1B"/>
    <w:rsid w:val="001E7FE7"/>
    <w:rsid w:val="001EF181"/>
    <w:rsid w:val="001F0096"/>
    <w:rsid w:val="001F00FA"/>
    <w:rsid w:val="001F0105"/>
    <w:rsid w:val="001F0172"/>
    <w:rsid w:val="001F0305"/>
    <w:rsid w:val="001F0308"/>
    <w:rsid w:val="001F041F"/>
    <w:rsid w:val="001F062E"/>
    <w:rsid w:val="001F0849"/>
    <w:rsid w:val="001F097D"/>
    <w:rsid w:val="001F0D0C"/>
    <w:rsid w:val="001F0D53"/>
    <w:rsid w:val="001F0F16"/>
    <w:rsid w:val="001F1007"/>
    <w:rsid w:val="001F1015"/>
    <w:rsid w:val="001F105B"/>
    <w:rsid w:val="001F12A2"/>
    <w:rsid w:val="001F1552"/>
    <w:rsid w:val="001F15E8"/>
    <w:rsid w:val="001F1631"/>
    <w:rsid w:val="001F163E"/>
    <w:rsid w:val="001F186F"/>
    <w:rsid w:val="001F187C"/>
    <w:rsid w:val="001F1F75"/>
    <w:rsid w:val="001F2017"/>
    <w:rsid w:val="001F2136"/>
    <w:rsid w:val="001F2148"/>
    <w:rsid w:val="001F21D5"/>
    <w:rsid w:val="001F2212"/>
    <w:rsid w:val="001F224B"/>
    <w:rsid w:val="001F22BA"/>
    <w:rsid w:val="001F22BF"/>
    <w:rsid w:val="001F2396"/>
    <w:rsid w:val="001F2571"/>
    <w:rsid w:val="001F257B"/>
    <w:rsid w:val="001F297A"/>
    <w:rsid w:val="001F299C"/>
    <w:rsid w:val="001F2A34"/>
    <w:rsid w:val="001F2A4B"/>
    <w:rsid w:val="001F2A9D"/>
    <w:rsid w:val="001F2B1B"/>
    <w:rsid w:val="001F2BA0"/>
    <w:rsid w:val="001F2BB4"/>
    <w:rsid w:val="001F2C1D"/>
    <w:rsid w:val="001F2CB7"/>
    <w:rsid w:val="001F2CBA"/>
    <w:rsid w:val="001F2EBE"/>
    <w:rsid w:val="001F2FD7"/>
    <w:rsid w:val="001F309F"/>
    <w:rsid w:val="001F31C7"/>
    <w:rsid w:val="001F31C8"/>
    <w:rsid w:val="001F3287"/>
    <w:rsid w:val="001F35AD"/>
    <w:rsid w:val="001F36AA"/>
    <w:rsid w:val="001F375F"/>
    <w:rsid w:val="001F378F"/>
    <w:rsid w:val="001F3877"/>
    <w:rsid w:val="001F38C4"/>
    <w:rsid w:val="001F393D"/>
    <w:rsid w:val="001F398D"/>
    <w:rsid w:val="001F3B37"/>
    <w:rsid w:val="001F3BA8"/>
    <w:rsid w:val="001F3C0B"/>
    <w:rsid w:val="001F3C18"/>
    <w:rsid w:val="001F3C8F"/>
    <w:rsid w:val="001F3CA5"/>
    <w:rsid w:val="001F3CBB"/>
    <w:rsid w:val="001F3CD5"/>
    <w:rsid w:val="001F3D2B"/>
    <w:rsid w:val="001F3E22"/>
    <w:rsid w:val="001F3E66"/>
    <w:rsid w:val="001F3ED6"/>
    <w:rsid w:val="001F3FDF"/>
    <w:rsid w:val="001F40E0"/>
    <w:rsid w:val="001F4182"/>
    <w:rsid w:val="001F41F9"/>
    <w:rsid w:val="001F4278"/>
    <w:rsid w:val="001F42AE"/>
    <w:rsid w:val="001F42C3"/>
    <w:rsid w:val="001F4313"/>
    <w:rsid w:val="001F431B"/>
    <w:rsid w:val="001F43B6"/>
    <w:rsid w:val="001F44D1"/>
    <w:rsid w:val="001F44FB"/>
    <w:rsid w:val="001F46D6"/>
    <w:rsid w:val="001F4753"/>
    <w:rsid w:val="001F47BF"/>
    <w:rsid w:val="001F4896"/>
    <w:rsid w:val="001F493A"/>
    <w:rsid w:val="001F4AC6"/>
    <w:rsid w:val="001F4B43"/>
    <w:rsid w:val="001F4BD5"/>
    <w:rsid w:val="001F4DAF"/>
    <w:rsid w:val="001F4E85"/>
    <w:rsid w:val="001F507A"/>
    <w:rsid w:val="001F5125"/>
    <w:rsid w:val="001F5137"/>
    <w:rsid w:val="001F52CA"/>
    <w:rsid w:val="001F54A4"/>
    <w:rsid w:val="001F54AC"/>
    <w:rsid w:val="001F557A"/>
    <w:rsid w:val="001F55CE"/>
    <w:rsid w:val="001F5600"/>
    <w:rsid w:val="001F56FF"/>
    <w:rsid w:val="001F5705"/>
    <w:rsid w:val="001F5898"/>
    <w:rsid w:val="001F597F"/>
    <w:rsid w:val="001F59B0"/>
    <w:rsid w:val="001F5A35"/>
    <w:rsid w:val="001F5A4A"/>
    <w:rsid w:val="001F5A4F"/>
    <w:rsid w:val="001F5AB8"/>
    <w:rsid w:val="001F5AF0"/>
    <w:rsid w:val="001F5B01"/>
    <w:rsid w:val="001F5BCA"/>
    <w:rsid w:val="001F5C48"/>
    <w:rsid w:val="001F5E18"/>
    <w:rsid w:val="001F5F66"/>
    <w:rsid w:val="001F602E"/>
    <w:rsid w:val="001F6072"/>
    <w:rsid w:val="001F617D"/>
    <w:rsid w:val="001F61B7"/>
    <w:rsid w:val="001F6226"/>
    <w:rsid w:val="001F643F"/>
    <w:rsid w:val="001F6477"/>
    <w:rsid w:val="001F65D7"/>
    <w:rsid w:val="001F6659"/>
    <w:rsid w:val="001F66D7"/>
    <w:rsid w:val="001F67B4"/>
    <w:rsid w:val="001F6817"/>
    <w:rsid w:val="001F6854"/>
    <w:rsid w:val="001F6984"/>
    <w:rsid w:val="001F6A11"/>
    <w:rsid w:val="001F6B87"/>
    <w:rsid w:val="001F6CD7"/>
    <w:rsid w:val="001F6E0C"/>
    <w:rsid w:val="001F6E54"/>
    <w:rsid w:val="001F6ECF"/>
    <w:rsid w:val="001F6F46"/>
    <w:rsid w:val="001F6F86"/>
    <w:rsid w:val="001F70F1"/>
    <w:rsid w:val="001F710D"/>
    <w:rsid w:val="001F718B"/>
    <w:rsid w:val="001F71A8"/>
    <w:rsid w:val="001F71F1"/>
    <w:rsid w:val="001F725E"/>
    <w:rsid w:val="001F748C"/>
    <w:rsid w:val="001F7525"/>
    <w:rsid w:val="001F757B"/>
    <w:rsid w:val="001F76CF"/>
    <w:rsid w:val="001F76E8"/>
    <w:rsid w:val="001F7746"/>
    <w:rsid w:val="001F77D3"/>
    <w:rsid w:val="001F77E5"/>
    <w:rsid w:val="001F77FE"/>
    <w:rsid w:val="001F791E"/>
    <w:rsid w:val="001F79E5"/>
    <w:rsid w:val="001F7AE5"/>
    <w:rsid w:val="001F7B27"/>
    <w:rsid w:val="001F7B5B"/>
    <w:rsid w:val="001F7B65"/>
    <w:rsid w:val="001F7CD2"/>
    <w:rsid w:val="001F7DE7"/>
    <w:rsid w:val="001F7E1B"/>
    <w:rsid w:val="001F7E8C"/>
    <w:rsid w:val="001F7F71"/>
    <w:rsid w:val="001F7FE8"/>
    <w:rsid w:val="00200178"/>
    <w:rsid w:val="0020022C"/>
    <w:rsid w:val="00200287"/>
    <w:rsid w:val="002004BB"/>
    <w:rsid w:val="002005FC"/>
    <w:rsid w:val="0020090E"/>
    <w:rsid w:val="00200976"/>
    <w:rsid w:val="00200BD4"/>
    <w:rsid w:val="00200C3A"/>
    <w:rsid w:val="00200D61"/>
    <w:rsid w:val="00200D6F"/>
    <w:rsid w:val="00200DD9"/>
    <w:rsid w:val="00200EE8"/>
    <w:rsid w:val="00200F71"/>
    <w:rsid w:val="00200FAC"/>
    <w:rsid w:val="00200FBA"/>
    <w:rsid w:val="0020118A"/>
    <w:rsid w:val="00201192"/>
    <w:rsid w:val="00201296"/>
    <w:rsid w:val="0020135A"/>
    <w:rsid w:val="00201390"/>
    <w:rsid w:val="00201438"/>
    <w:rsid w:val="0020151F"/>
    <w:rsid w:val="00201694"/>
    <w:rsid w:val="0020172E"/>
    <w:rsid w:val="002017E9"/>
    <w:rsid w:val="00201867"/>
    <w:rsid w:val="002018DE"/>
    <w:rsid w:val="0020190E"/>
    <w:rsid w:val="002019A5"/>
    <w:rsid w:val="00201A95"/>
    <w:rsid w:val="00201AD4"/>
    <w:rsid w:val="00201C19"/>
    <w:rsid w:val="00201D39"/>
    <w:rsid w:val="00201F2C"/>
    <w:rsid w:val="00202016"/>
    <w:rsid w:val="00202178"/>
    <w:rsid w:val="00202344"/>
    <w:rsid w:val="002023D9"/>
    <w:rsid w:val="00202421"/>
    <w:rsid w:val="00202519"/>
    <w:rsid w:val="0020263A"/>
    <w:rsid w:val="002028D2"/>
    <w:rsid w:val="00202939"/>
    <w:rsid w:val="00202958"/>
    <w:rsid w:val="00202A25"/>
    <w:rsid w:val="00202A33"/>
    <w:rsid w:val="00202B21"/>
    <w:rsid w:val="00202B66"/>
    <w:rsid w:val="00202B87"/>
    <w:rsid w:val="00202BB3"/>
    <w:rsid w:val="00202C44"/>
    <w:rsid w:val="00202C8C"/>
    <w:rsid w:val="00202D48"/>
    <w:rsid w:val="00202D98"/>
    <w:rsid w:val="00202DAF"/>
    <w:rsid w:val="00202E7F"/>
    <w:rsid w:val="00202EC4"/>
    <w:rsid w:val="00202F16"/>
    <w:rsid w:val="002030AA"/>
    <w:rsid w:val="00203105"/>
    <w:rsid w:val="0020318A"/>
    <w:rsid w:val="00203196"/>
    <w:rsid w:val="00203326"/>
    <w:rsid w:val="002033C0"/>
    <w:rsid w:val="00203495"/>
    <w:rsid w:val="002034F9"/>
    <w:rsid w:val="002035A4"/>
    <w:rsid w:val="002035A7"/>
    <w:rsid w:val="00203693"/>
    <w:rsid w:val="002036C3"/>
    <w:rsid w:val="00203708"/>
    <w:rsid w:val="0020372B"/>
    <w:rsid w:val="00203875"/>
    <w:rsid w:val="002039BA"/>
    <w:rsid w:val="00203A93"/>
    <w:rsid w:val="00203B55"/>
    <w:rsid w:val="00203B5C"/>
    <w:rsid w:val="00203B7F"/>
    <w:rsid w:val="00203D85"/>
    <w:rsid w:val="00203FC1"/>
    <w:rsid w:val="002041BE"/>
    <w:rsid w:val="002041E8"/>
    <w:rsid w:val="002042E2"/>
    <w:rsid w:val="002044AD"/>
    <w:rsid w:val="002044B6"/>
    <w:rsid w:val="002045AA"/>
    <w:rsid w:val="00204621"/>
    <w:rsid w:val="002047D5"/>
    <w:rsid w:val="00204802"/>
    <w:rsid w:val="00204835"/>
    <w:rsid w:val="00204B2C"/>
    <w:rsid w:val="00204B59"/>
    <w:rsid w:val="00204B85"/>
    <w:rsid w:val="00204BE8"/>
    <w:rsid w:val="00204C39"/>
    <w:rsid w:val="00204CA3"/>
    <w:rsid w:val="00204CCB"/>
    <w:rsid w:val="00204DB9"/>
    <w:rsid w:val="00204E04"/>
    <w:rsid w:val="00204E11"/>
    <w:rsid w:val="00204EAE"/>
    <w:rsid w:val="00204FD2"/>
    <w:rsid w:val="0020503B"/>
    <w:rsid w:val="0020504D"/>
    <w:rsid w:val="00205081"/>
    <w:rsid w:val="002050CD"/>
    <w:rsid w:val="00205172"/>
    <w:rsid w:val="002052BB"/>
    <w:rsid w:val="002052CB"/>
    <w:rsid w:val="002053AC"/>
    <w:rsid w:val="00205489"/>
    <w:rsid w:val="002054EE"/>
    <w:rsid w:val="0020564C"/>
    <w:rsid w:val="002056B9"/>
    <w:rsid w:val="002056EF"/>
    <w:rsid w:val="0020584B"/>
    <w:rsid w:val="0020594D"/>
    <w:rsid w:val="002059AD"/>
    <w:rsid w:val="002059E6"/>
    <w:rsid w:val="00205A99"/>
    <w:rsid w:val="00205B3A"/>
    <w:rsid w:val="00205C4F"/>
    <w:rsid w:val="00205CC4"/>
    <w:rsid w:val="00205CDB"/>
    <w:rsid w:val="00205D54"/>
    <w:rsid w:val="00205E4D"/>
    <w:rsid w:val="00205EF7"/>
    <w:rsid w:val="00205F04"/>
    <w:rsid w:val="00206010"/>
    <w:rsid w:val="0020602D"/>
    <w:rsid w:val="0020608B"/>
    <w:rsid w:val="00206235"/>
    <w:rsid w:val="0020636A"/>
    <w:rsid w:val="00206450"/>
    <w:rsid w:val="002064FE"/>
    <w:rsid w:val="00206522"/>
    <w:rsid w:val="002065A6"/>
    <w:rsid w:val="002065AD"/>
    <w:rsid w:val="002065CF"/>
    <w:rsid w:val="0020662A"/>
    <w:rsid w:val="002067ED"/>
    <w:rsid w:val="00206ADE"/>
    <w:rsid w:val="00206B52"/>
    <w:rsid w:val="00206B9E"/>
    <w:rsid w:val="00206BBA"/>
    <w:rsid w:val="00206BC8"/>
    <w:rsid w:val="00206CEC"/>
    <w:rsid w:val="00206D90"/>
    <w:rsid w:val="00206E81"/>
    <w:rsid w:val="00206EE0"/>
    <w:rsid w:val="002070F5"/>
    <w:rsid w:val="002072DF"/>
    <w:rsid w:val="00207323"/>
    <w:rsid w:val="00207383"/>
    <w:rsid w:val="00207415"/>
    <w:rsid w:val="002076E4"/>
    <w:rsid w:val="00207731"/>
    <w:rsid w:val="00207812"/>
    <w:rsid w:val="00207872"/>
    <w:rsid w:val="0020799C"/>
    <w:rsid w:val="002079D2"/>
    <w:rsid w:val="00207A16"/>
    <w:rsid w:val="00207B92"/>
    <w:rsid w:val="00207BC0"/>
    <w:rsid w:val="00207BFA"/>
    <w:rsid w:val="00207CE1"/>
    <w:rsid w:val="00207D5D"/>
    <w:rsid w:val="00207DD2"/>
    <w:rsid w:val="00207FBC"/>
    <w:rsid w:val="00210145"/>
    <w:rsid w:val="0021027D"/>
    <w:rsid w:val="002102B3"/>
    <w:rsid w:val="00210301"/>
    <w:rsid w:val="002104A8"/>
    <w:rsid w:val="00210511"/>
    <w:rsid w:val="00210555"/>
    <w:rsid w:val="002105EC"/>
    <w:rsid w:val="002106C1"/>
    <w:rsid w:val="0021082C"/>
    <w:rsid w:val="00210862"/>
    <w:rsid w:val="00210936"/>
    <w:rsid w:val="0021099E"/>
    <w:rsid w:val="002109AA"/>
    <w:rsid w:val="00210A52"/>
    <w:rsid w:val="00210B06"/>
    <w:rsid w:val="00210C07"/>
    <w:rsid w:val="00210D06"/>
    <w:rsid w:val="00210F05"/>
    <w:rsid w:val="00210F8C"/>
    <w:rsid w:val="0021106C"/>
    <w:rsid w:val="002110D7"/>
    <w:rsid w:val="0021122F"/>
    <w:rsid w:val="002112E1"/>
    <w:rsid w:val="002112F1"/>
    <w:rsid w:val="002112FE"/>
    <w:rsid w:val="0021144F"/>
    <w:rsid w:val="0021147D"/>
    <w:rsid w:val="002114D2"/>
    <w:rsid w:val="002114FB"/>
    <w:rsid w:val="00211658"/>
    <w:rsid w:val="002119B3"/>
    <w:rsid w:val="002119E6"/>
    <w:rsid w:val="00211AE8"/>
    <w:rsid w:val="00211BA1"/>
    <w:rsid w:val="00211BC7"/>
    <w:rsid w:val="00211C20"/>
    <w:rsid w:val="00211DB2"/>
    <w:rsid w:val="00211DEA"/>
    <w:rsid w:val="00211FF1"/>
    <w:rsid w:val="002120EA"/>
    <w:rsid w:val="002121E2"/>
    <w:rsid w:val="0021222E"/>
    <w:rsid w:val="002124BC"/>
    <w:rsid w:val="002124FC"/>
    <w:rsid w:val="00212685"/>
    <w:rsid w:val="0021272D"/>
    <w:rsid w:val="00212802"/>
    <w:rsid w:val="00212873"/>
    <w:rsid w:val="00212879"/>
    <w:rsid w:val="002128DC"/>
    <w:rsid w:val="002129BE"/>
    <w:rsid w:val="00212A04"/>
    <w:rsid w:val="00212A20"/>
    <w:rsid w:val="00212A6D"/>
    <w:rsid w:val="00212AAE"/>
    <w:rsid w:val="00212AB0"/>
    <w:rsid w:val="00212AC5"/>
    <w:rsid w:val="00212C0F"/>
    <w:rsid w:val="00212F38"/>
    <w:rsid w:val="00212FF1"/>
    <w:rsid w:val="002130A3"/>
    <w:rsid w:val="00213131"/>
    <w:rsid w:val="00213143"/>
    <w:rsid w:val="00213144"/>
    <w:rsid w:val="00213187"/>
    <w:rsid w:val="0021330D"/>
    <w:rsid w:val="002135C5"/>
    <w:rsid w:val="002136AD"/>
    <w:rsid w:val="00213710"/>
    <w:rsid w:val="00213743"/>
    <w:rsid w:val="00213783"/>
    <w:rsid w:val="00213789"/>
    <w:rsid w:val="00213884"/>
    <w:rsid w:val="002138B4"/>
    <w:rsid w:val="00213B32"/>
    <w:rsid w:val="00213C93"/>
    <w:rsid w:val="00213D23"/>
    <w:rsid w:val="00213DFE"/>
    <w:rsid w:val="00213E35"/>
    <w:rsid w:val="00213EE4"/>
    <w:rsid w:val="00213FD4"/>
    <w:rsid w:val="00213FFE"/>
    <w:rsid w:val="0021406A"/>
    <w:rsid w:val="00214077"/>
    <w:rsid w:val="00214176"/>
    <w:rsid w:val="00214401"/>
    <w:rsid w:val="00214411"/>
    <w:rsid w:val="002145E0"/>
    <w:rsid w:val="002145FA"/>
    <w:rsid w:val="00214654"/>
    <w:rsid w:val="0021465F"/>
    <w:rsid w:val="002146E2"/>
    <w:rsid w:val="00214749"/>
    <w:rsid w:val="0021475B"/>
    <w:rsid w:val="002148E4"/>
    <w:rsid w:val="00214923"/>
    <w:rsid w:val="0021497D"/>
    <w:rsid w:val="002149E7"/>
    <w:rsid w:val="00214AF9"/>
    <w:rsid w:val="00214B10"/>
    <w:rsid w:val="00214BBE"/>
    <w:rsid w:val="00214BE4"/>
    <w:rsid w:val="00214CBC"/>
    <w:rsid w:val="00214CFF"/>
    <w:rsid w:val="00214D09"/>
    <w:rsid w:val="00214D44"/>
    <w:rsid w:val="00214D4C"/>
    <w:rsid w:val="00214DDC"/>
    <w:rsid w:val="00214E75"/>
    <w:rsid w:val="00214F06"/>
    <w:rsid w:val="002150F4"/>
    <w:rsid w:val="00215125"/>
    <w:rsid w:val="0021513F"/>
    <w:rsid w:val="0021528E"/>
    <w:rsid w:val="002152A1"/>
    <w:rsid w:val="00215460"/>
    <w:rsid w:val="002154C4"/>
    <w:rsid w:val="00215667"/>
    <w:rsid w:val="00215701"/>
    <w:rsid w:val="002157AD"/>
    <w:rsid w:val="00215893"/>
    <w:rsid w:val="002158A5"/>
    <w:rsid w:val="00215B93"/>
    <w:rsid w:val="00215CE5"/>
    <w:rsid w:val="00215D4E"/>
    <w:rsid w:val="00215E18"/>
    <w:rsid w:val="00215ECB"/>
    <w:rsid w:val="00215F20"/>
    <w:rsid w:val="00215F2F"/>
    <w:rsid w:val="00215F8E"/>
    <w:rsid w:val="00215FBF"/>
    <w:rsid w:val="00215FD0"/>
    <w:rsid w:val="0021607F"/>
    <w:rsid w:val="00216133"/>
    <w:rsid w:val="0021625E"/>
    <w:rsid w:val="00216292"/>
    <w:rsid w:val="00216469"/>
    <w:rsid w:val="00216480"/>
    <w:rsid w:val="002164E9"/>
    <w:rsid w:val="00216512"/>
    <w:rsid w:val="0021668C"/>
    <w:rsid w:val="002166C0"/>
    <w:rsid w:val="00216706"/>
    <w:rsid w:val="0021673F"/>
    <w:rsid w:val="0021683B"/>
    <w:rsid w:val="0021689C"/>
    <w:rsid w:val="002168A6"/>
    <w:rsid w:val="00216A88"/>
    <w:rsid w:val="00216B58"/>
    <w:rsid w:val="00216D87"/>
    <w:rsid w:val="00216E5A"/>
    <w:rsid w:val="00216E5D"/>
    <w:rsid w:val="00216F34"/>
    <w:rsid w:val="00216F8F"/>
    <w:rsid w:val="00217249"/>
    <w:rsid w:val="0021728B"/>
    <w:rsid w:val="00217359"/>
    <w:rsid w:val="002173B6"/>
    <w:rsid w:val="002174AF"/>
    <w:rsid w:val="002175F7"/>
    <w:rsid w:val="00217632"/>
    <w:rsid w:val="0021767F"/>
    <w:rsid w:val="002176E1"/>
    <w:rsid w:val="00217739"/>
    <w:rsid w:val="002178F1"/>
    <w:rsid w:val="0021792E"/>
    <w:rsid w:val="0021794B"/>
    <w:rsid w:val="0021794C"/>
    <w:rsid w:val="0021797A"/>
    <w:rsid w:val="00217A60"/>
    <w:rsid w:val="00217B8D"/>
    <w:rsid w:val="00217BF1"/>
    <w:rsid w:val="00217C75"/>
    <w:rsid w:val="00217EE8"/>
    <w:rsid w:val="00217EF2"/>
    <w:rsid w:val="0021A504"/>
    <w:rsid w:val="00220034"/>
    <w:rsid w:val="0022006A"/>
    <w:rsid w:val="0022006F"/>
    <w:rsid w:val="00220099"/>
    <w:rsid w:val="002200EB"/>
    <w:rsid w:val="0022014A"/>
    <w:rsid w:val="00220191"/>
    <w:rsid w:val="002201CA"/>
    <w:rsid w:val="00220231"/>
    <w:rsid w:val="0022030C"/>
    <w:rsid w:val="002203D4"/>
    <w:rsid w:val="0022050C"/>
    <w:rsid w:val="00220548"/>
    <w:rsid w:val="00220934"/>
    <w:rsid w:val="002209BB"/>
    <w:rsid w:val="00220A2B"/>
    <w:rsid w:val="00220A7E"/>
    <w:rsid w:val="00220C30"/>
    <w:rsid w:val="00220C71"/>
    <w:rsid w:val="00220CC5"/>
    <w:rsid w:val="00220D2C"/>
    <w:rsid w:val="00220DD8"/>
    <w:rsid w:val="00220E1E"/>
    <w:rsid w:val="00220E69"/>
    <w:rsid w:val="00220F75"/>
    <w:rsid w:val="00220FCD"/>
    <w:rsid w:val="00221052"/>
    <w:rsid w:val="00221163"/>
    <w:rsid w:val="002211E5"/>
    <w:rsid w:val="002212BA"/>
    <w:rsid w:val="0022132B"/>
    <w:rsid w:val="002214DA"/>
    <w:rsid w:val="00221568"/>
    <w:rsid w:val="00221627"/>
    <w:rsid w:val="0022168D"/>
    <w:rsid w:val="00221774"/>
    <w:rsid w:val="00221826"/>
    <w:rsid w:val="00221884"/>
    <w:rsid w:val="002219AD"/>
    <w:rsid w:val="002219D2"/>
    <w:rsid w:val="00221A39"/>
    <w:rsid w:val="00221B43"/>
    <w:rsid w:val="00221BAE"/>
    <w:rsid w:val="00221BE5"/>
    <w:rsid w:val="00221C0A"/>
    <w:rsid w:val="00221C30"/>
    <w:rsid w:val="00221C3D"/>
    <w:rsid w:val="00221D5B"/>
    <w:rsid w:val="00221D76"/>
    <w:rsid w:val="00221E7A"/>
    <w:rsid w:val="00221F3B"/>
    <w:rsid w:val="00221F46"/>
    <w:rsid w:val="00221F7B"/>
    <w:rsid w:val="00221F8F"/>
    <w:rsid w:val="0022211E"/>
    <w:rsid w:val="0022214D"/>
    <w:rsid w:val="0022217C"/>
    <w:rsid w:val="002221B0"/>
    <w:rsid w:val="00222242"/>
    <w:rsid w:val="002222E6"/>
    <w:rsid w:val="002222FB"/>
    <w:rsid w:val="0022236E"/>
    <w:rsid w:val="0022246A"/>
    <w:rsid w:val="002226C1"/>
    <w:rsid w:val="0022271D"/>
    <w:rsid w:val="00222957"/>
    <w:rsid w:val="00222A6B"/>
    <w:rsid w:val="00222AB9"/>
    <w:rsid w:val="00222ABF"/>
    <w:rsid w:val="00222ACC"/>
    <w:rsid w:val="00222B02"/>
    <w:rsid w:val="00222B15"/>
    <w:rsid w:val="00222B77"/>
    <w:rsid w:val="00222C01"/>
    <w:rsid w:val="00222E91"/>
    <w:rsid w:val="00222FC6"/>
    <w:rsid w:val="00223095"/>
    <w:rsid w:val="002230CA"/>
    <w:rsid w:val="002230DC"/>
    <w:rsid w:val="0022312B"/>
    <w:rsid w:val="00223229"/>
    <w:rsid w:val="00223513"/>
    <w:rsid w:val="00223551"/>
    <w:rsid w:val="00223606"/>
    <w:rsid w:val="0022360F"/>
    <w:rsid w:val="00223A7C"/>
    <w:rsid w:val="00223AED"/>
    <w:rsid w:val="00223E86"/>
    <w:rsid w:val="00223EA7"/>
    <w:rsid w:val="00223F0F"/>
    <w:rsid w:val="00223F5C"/>
    <w:rsid w:val="00224010"/>
    <w:rsid w:val="002240FA"/>
    <w:rsid w:val="00224121"/>
    <w:rsid w:val="002241D7"/>
    <w:rsid w:val="002241FE"/>
    <w:rsid w:val="002242D4"/>
    <w:rsid w:val="0022431B"/>
    <w:rsid w:val="002243C3"/>
    <w:rsid w:val="00224550"/>
    <w:rsid w:val="0022460A"/>
    <w:rsid w:val="00224658"/>
    <w:rsid w:val="0022465E"/>
    <w:rsid w:val="0022476F"/>
    <w:rsid w:val="00224872"/>
    <w:rsid w:val="00224926"/>
    <w:rsid w:val="00224A74"/>
    <w:rsid w:val="00224B16"/>
    <w:rsid w:val="00224DE8"/>
    <w:rsid w:val="00224E9B"/>
    <w:rsid w:val="00224F3F"/>
    <w:rsid w:val="00224F87"/>
    <w:rsid w:val="00224FDF"/>
    <w:rsid w:val="00225035"/>
    <w:rsid w:val="00225233"/>
    <w:rsid w:val="0022539B"/>
    <w:rsid w:val="002254A7"/>
    <w:rsid w:val="002254B2"/>
    <w:rsid w:val="00225642"/>
    <w:rsid w:val="00225829"/>
    <w:rsid w:val="00225838"/>
    <w:rsid w:val="0022583C"/>
    <w:rsid w:val="0022585F"/>
    <w:rsid w:val="002258F0"/>
    <w:rsid w:val="00225918"/>
    <w:rsid w:val="00225947"/>
    <w:rsid w:val="00225959"/>
    <w:rsid w:val="00225970"/>
    <w:rsid w:val="002259E1"/>
    <w:rsid w:val="00225A2D"/>
    <w:rsid w:val="00225AEC"/>
    <w:rsid w:val="00225B49"/>
    <w:rsid w:val="00225C18"/>
    <w:rsid w:val="00225D92"/>
    <w:rsid w:val="00225DAD"/>
    <w:rsid w:val="00225E21"/>
    <w:rsid w:val="00225EB0"/>
    <w:rsid w:val="00225EC3"/>
    <w:rsid w:val="0022608B"/>
    <w:rsid w:val="0022612F"/>
    <w:rsid w:val="00226171"/>
    <w:rsid w:val="0022619D"/>
    <w:rsid w:val="002261CD"/>
    <w:rsid w:val="00226217"/>
    <w:rsid w:val="00226233"/>
    <w:rsid w:val="002264EA"/>
    <w:rsid w:val="00226629"/>
    <w:rsid w:val="002267DA"/>
    <w:rsid w:val="002268F1"/>
    <w:rsid w:val="00226934"/>
    <w:rsid w:val="0022697F"/>
    <w:rsid w:val="00226B13"/>
    <w:rsid w:val="00226B3F"/>
    <w:rsid w:val="00226BE6"/>
    <w:rsid w:val="00226C9D"/>
    <w:rsid w:val="00226D03"/>
    <w:rsid w:val="00226D67"/>
    <w:rsid w:val="00226DF1"/>
    <w:rsid w:val="00226E02"/>
    <w:rsid w:val="00226E32"/>
    <w:rsid w:val="00226E9F"/>
    <w:rsid w:val="00226F69"/>
    <w:rsid w:val="002270AB"/>
    <w:rsid w:val="0022717D"/>
    <w:rsid w:val="00227199"/>
    <w:rsid w:val="002271F9"/>
    <w:rsid w:val="00227373"/>
    <w:rsid w:val="002273AA"/>
    <w:rsid w:val="002273E5"/>
    <w:rsid w:val="0022740E"/>
    <w:rsid w:val="0022742B"/>
    <w:rsid w:val="00227596"/>
    <w:rsid w:val="002276E2"/>
    <w:rsid w:val="002276FE"/>
    <w:rsid w:val="00227721"/>
    <w:rsid w:val="002277C3"/>
    <w:rsid w:val="00227A11"/>
    <w:rsid w:val="00227BBD"/>
    <w:rsid w:val="00227C17"/>
    <w:rsid w:val="00227D67"/>
    <w:rsid w:val="00227DCA"/>
    <w:rsid w:val="00227F99"/>
    <w:rsid w:val="00230217"/>
    <w:rsid w:val="00230222"/>
    <w:rsid w:val="00230272"/>
    <w:rsid w:val="0023027F"/>
    <w:rsid w:val="0023028A"/>
    <w:rsid w:val="002302C7"/>
    <w:rsid w:val="0023040A"/>
    <w:rsid w:val="0023051D"/>
    <w:rsid w:val="002306B0"/>
    <w:rsid w:val="00230762"/>
    <w:rsid w:val="00230799"/>
    <w:rsid w:val="002308A5"/>
    <w:rsid w:val="002308F7"/>
    <w:rsid w:val="00230A0C"/>
    <w:rsid w:val="00230A9A"/>
    <w:rsid w:val="00230B13"/>
    <w:rsid w:val="00230BCF"/>
    <w:rsid w:val="00230C7E"/>
    <w:rsid w:val="00230CAC"/>
    <w:rsid w:val="00230D55"/>
    <w:rsid w:val="0023101D"/>
    <w:rsid w:val="002311C5"/>
    <w:rsid w:val="00231481"/>
    <w:rsid w:val="002314BE"/>
    <w:rsid w:val="002314E3"/>
    <w:rsid w:val="00231519"/>
    <w:rsid w:val="00231610"/>
    <w:rsid w:val="0023167D"/>
    <w:rsid w:val="00231721"/>
    <w:rsid w:val="002317AF"/>
    <w:rsid w:val="002318B8"/>
    <w:rsid w:val="002319FB"/>
    <w:rsid w:val="00231AAF"/>
    <w:rsid w:val="00231AF5"/>
    <w:rsid w:val="00231B5F"/>
    <w:rsid w:val="00231CD2"/>
    <w:rsid w:val="00231D18"/>
    <w:rsid w:val="00231D72"/>
    <w:rsid w:val="00231E63"/>
    <w:rsid w:val="00231EE3"/>
    <w:rsid w:val="00231F01"/>
    <w:rsid w:val="00231F3B"/>
    <w:rsid w:val="00231FB9"/>
    <w:rsid w:val="00232030"/>
    <w:rsid w:val="00232168"/>
    <w:rsid w:val="002321F2"/>
    <w:rsid w:val="00232359"/>
    <w:rsid w:val="0023239C"/>
    <w:rsid w:val="0023270B"/>
    <w:rsid w:val="002327D0"/>
    <w:rsid w:val="002327F5"/>
    <w:rsid w:val="0023295E"/>
    <w:rsid w:val="002329BC"/>
    <w:rsid w:val="002329DA"/>
    <w:rsid w:val="00232B32"/>
    <w:rsid w:val="00232BAE"/>
    <w:rsid w:val="00232BEF"/>
    <w:rsid w:val="00232C21"/>
    <w:rsid w:val="00232CDD"/>
    <w:rsid w:val="00232F25"/>
    <w:rsid w:val="00232F79"/>
    <w:rsid w:val="00233204"/>
    <w:rsid w:val="0023320D"/>
    <w:rsid w:val="0023323F"/>
    <w:rsid w:val="0023324B"/>
    <w:rsid w:val="0023337B"/>
    <w:rsid w:val="00233486"/>
    <w:rsid w:val="002334CF"/>
    <w:rsid w:val="002335C3"/>
    <w:rsid w:val="002335D4"/>
    <w:rsid w:val="002336FF"/>
    <w:rsid w:val="00233770"/>
    <w:rsid w:val="00233899"/>
    <w:rsid w:val="0023389C"/>
    <w:rsid w:val="002338B6"/>
    <w:rsid w:val="002339B1"/>
    <w:rsid w:val="00233AE6"/>
    <w:rsid w:val="00233DC1"/>
    <w:rsid w:val="00234041"/>
    <w:rsid w:val="0023404D"/>
    <w:rsid w:val="00234257"/>
    <w:rsid w:val="0023434F"/>
    <w:rsid w:val="00234422"/>
    <w:rsid w:val="00234633"/>
    <w:rsid w:val="002346C5"/>
    <w:rsid w:val="002347E6"/>
    <w:rsid w:val="0023482E"/>
    <w:rsid w:val="00234851"/>
    <w:rsid w:val="002348DA"/>
    <w:rsid w:val="00234909"/>
    <w:rsid w:val="002349E8"/>
    <w:rsid w:val="002349F6"/>
    <w:rsid w:val="00234A14"/>
    <w:rsid w:val="00234C24"/>
    <w:rsid w:val="00234C38"/>
    <w:rsid w:val="00234CD0"/>
    <w:rsid w:val="00234D04"/>
    <w:rsid w:val="00234D32"/>
    <w:rsid w:val="00234D83"/>
    <w:rsid w:val="00234DC2"/>
    <w:rsid w:val="00234FA4"/>
    <w:rsid w:val="00235055"/>
    <w:rsid w:val="00235060"/>
    <w:rsid w:val="00235135"/>
    <w:rsid w:val="00235147"/>
    <w:rsid w:val="00235298"/>
    <w:rsid w:val="002353B0"/>
    <w:rsid w:val="002353E9"/>
    <w:rsid w:val="00235552"/>
    <w:rsid w:val="00235603"/>
    <w:rsid w:val="002356CB"/>
    <w:rsid w:val="0023571F"/>
    <w:rsid w:val="0023572F"/>
    <w:rsid w:val="002357D9"/>
    <w:rsid w:val="00235920"/>
    <w:rsid w:val="002359B2"/>
    <w:rsid w:val="002359C2"/>
    <w:rsid w:val="00235E90"/>
    <w:rsid w:val="00235FA1"/>
    <w:rsid w:val="00235FB4"/>
    <w:rsid w:val="00235FF5"/>
    <w:rsid w:val="0023618E"/>
    <w:rsid w:val="002361CD"/>
    <w:rsid w:val="002361D7"/>
    <w:rsid w:val="002361DA"/>
    <w:rsid w:val="00236243"/>
    <w:rsid w:val="002363F9"/>
    <w:rsid w:val="00236451"/>
    <w:rsid w:val="00236496"/>
    <w:rsid w:val="00236615"/>
    <w:rsid w:val="0023661F"/>
    <w:rsid w:val="00236732"/>
    <w:rsid w:val="00236787"/>
    <w:rsid w:val="002367F7"/>
    <w:rsid w:val="0023681A"/>
    <w:rsid w:val="00236ADA"/>
    <w:rsid w:val="00236B34"/>
    <w:rsid w:val="00236BB4"/>
    <w:rsid w:val="00236BD8"/>
    <w:rsid w:val="00236C49"/>
    <w:rsid w:val="00236D29"/>
    <w:rsid w:val="00236E95"/>
    <w:rsid w:val="00237022"/>
    <w:rsid w:val="00237045"/>
    <w:rsid w:val="0023707C"/>
    <w:rsid w:val="0023710E"/>
    <w:rsid w:val="002371CA"/>
    <w:rsid w:val="0023725A"/>
    <w:rsid w:val="002372DC"/>
    <w:rsid w:val="00237358"/>
    <w:rsid w:val="0023738C"/>
    <w:rsid w:val="0023739C"/>
    <w:rsid w:val="00237494"/>
    <w:rsid w:val="00237523"/>
    <w:rsid w:val="00237536"/>
    <w:rsid w:val="0023758C"/>
    <w:rsid w:val="00237691"/>
    <w:rsid w:val="002376ED"/>
    <w:rsid w:val="00237831"/>
    <w:rsid w:val="002379E8"/>
    <w:rsid w:val="002379FE"/>
    <w:rsid w:val="00237A18"/>
    <w:rsid w:val="00237B19"/>
    <w:rsid w:val="00237B2A"/>
    <w:rsid w:val="00237BC4"/>
    <w:rsid w:val="00237BD5"/>
    <w:rsid w:val="00237CA0"/>
    <w:rsid w:val="00237CAF"/>
    <w:rsid w:val="00237E47"/>
    <w:rsid w:val="00237EA9"/>
    <w:rsid w:val="00237EAE"/>
    <w:rsid w:val="00237F78"/>
    <w:rsid w:val="0023C780"/>
    <w:rsid w:val="002400B6"/>
    <w:rsid w:val="00240315"/>
    <w:rsid w:val="00240399"/>
    <w:rsid w:val="0024047A"/>
    <w:rsid w:val="00240482"/>
    <w:rsid w:val="002405EC"/>
    <w:rsid w:val="0024065E"/>
    <w:rsid w:val="00240720"/>
    <w:rsid w:val="002407A8"/>
    <w:rsid w:val="002407CF"/>
    <w:rsid w:val="002408C1"/>
    <w:rsid w:val="002408FC"/>
    <w:rsid w:val="0024090C"/>
    <w:rsid w:val="0024095A"/>
    <w:rsid w:val="002409DB"/>
    <w:rsid w:val="00240AD8"/>
    <w:rsid w:val="00240B98"/>
    <w:rsid w:val="00240C83"/>
    <w:rsid w:val="00240D9B"/>
    <w:rsid w:val="00240DEA"/>
    <w:rsid w:val="00240F10"/>
    <w:rsid w:val="00240FCC"/>
    <w:rsid w:val="00241046"/>
    <w:rsid w:val="002413DF"/>
    <w:rsid w:val="002413EA"/>
    <w:rsid w:val="0024150D"/>
    <w:rsid w:val="002416EF"/>
    <w:rsid w:val="0024185D"/>
    <w:rsid w:val="00241980"/>
    <w:rsid w:val="00241A27"/>
    <w:rsid w:val="00241A85"/>
    <w:rsid w:val="00241B6C"/>
    <w:rsid w:val="00241B79"/>
    <w:rsid w:val="00241C21"/>
    <w:rsid w:val="00241C30"/>
    <w:rsid w:val="00241C63"/>
    <w:rsid w:val="00241CD3"/>
    <w:rsid w:val="00241DB3"/>
    <w:rsid w:val="00241DBE"/>
    <w:rsid w:val="00241DE8"/>
    <w:rsid w:val="00241E5E"/>
    <w:rsid w:val="00242079"/>
    <w:rsid w:val="002420F8"/>
    <w:rsid w:val="00242136"/>
    <w:rsid w:val="002423CA"/>
    <w:rsid w:val="002423D9"/>
    <w:rsid w:val="002424A0"/>
    <w:rsid w:val="00242588"/>
    <w:rsid w:val="002425B5"/>
    <w:rsid w:val="002425D4"/>
    <w:rsid w:val="002426BC"/>
    <w:rsid w:val="0024278D"/>
    <w:rsid w:val="0024283E"/>
    <w:rsid w:val="00242873"/>
    <w:rsid w:val="00242912"/>
    <w:rsid w:val="0024291E"/>
    <w:rsid w:val="0024295F"/>
    <w:rsid w:val="002429A2"/>
    <w:rsid w:val="002429CC"/>
    <w:rsid w:val="00242A07"/>
    <w:rsid w:val="00242AAA"/>
    <w:rsid w:val="00242B52"/>
    <w:rsid w:val="00242BFC"/>
    <w:rsid w:val="00242BFF"/>
    <w:rsid w:val="00242D57"/>
    <w:rsid w:val="00242DCC"/>
    <w:rsid w:val="00242E61"/>
    <w:rsid w:val="00242EC7"/>
    <w:rsid w:val="00242F27"/>
    <w:rsid w:val="0024306F"/>
    <w:rsid w:val="00243129"/>
    <w:rsid w:val="0024322C"/>
    <w:rsid w:val="00243277"/>
    <w:rsid w:val="0024327D"/>
    <w:rsid w:val="00243494"/>
    <w:rsid w:val="00243689"/>
    <w:rsid w:val="0024368D"/>
    <w:rsid w:val="00243B25"/>
    <w:rsid w:val="00243B85"/>
    <w:rsid w:val="00243BAF"/>
    <w:rsid w:val="00243C94"/>
    <w:rsid w:val="00243C9B"/>
    <w:rsid w:val="00243D57"/>
    <w:rsid w:val="00243DCC"/>
    <w:rsid w:val="00243E00"/>
    <w:rsid w:val="00243E35"/>
    <w:rsid w:val="002441C6"/>
    <w:rsid w:val="0024423F"/>
    <w:rsid w:val="002442C6"/>
    <w:rsid w:val="0024432D"/>
    <w:rsid w:val="002443E1"/>
    <w:rsid w:val="00244424"/>
    <w:rsid w:val="002445EF"/>
    <w:rsid w:val="0024480C"/>
    <w:rsid w:val="00244814"/>
    <w:rsid w:val="002448B3"/>
    <w:rsid w:val="002449C0"/>
    <w:rsid w:val="00244BCB"/>
    <w:rsid w:val="00244BE5"/>
    <w:rsid w:val="00244C13"/>
    <w:rsid w:val="00244C27"/>
    <w:rsid w:val="00244C34"/>
    <w:rsid w:val="00244CA8"/>
    <w:rsid w:val="00244D07"/>
    <w:rsid w:val="00244DD1"/>
    <w:rsid w:val="00244E77"/>
    <w:rsid w:val="00244F4F"/>
    <w:rsid w:val="00244F62"/>
    <w:rsid w:val="002450A1"/>
    <w:rsid w:val="0024515A"/>
    <w:rsid w:val="002451A1"/>
    <w:rsid w:val="00245208"/>
    <w:rsid w:val="0024525D"/>
    <w:rsid w:val="00245413"/>
    <w:rsid w:val="002454AD"/>
    <w:rsid w:val="002454B3"/>
    <w:rsid w:val="00245548"/>
    <w:rsid w:val="002455BA"/>
    <w:rsid w:val="00245634"/>
    <w:rsid w:val="0024563F"/>
    <w:rsid w:val="00245729"/>
    <w:rsid w:val="00245833"/>
    <w:rsid w:val="002458D3"/>
    <w:rsid w:val="00245B86"/>
    <w:rsid w:val="00245C15"/>
    <w:rsid w:val="00245C97"/>
    <w:rsid w:val="00245CC2"/>
    <w:rsid w:val="00245CC3"/>
    <w:rsid w:val="00245E61"/>
    <w:rsid w:val="00245EB1"/>
    <w:rsid w:val="00245ED1"/>
    <w:rsid w:val="00245FA8"/>
    <w:rsid w:val="00245FDF"/>
    <w:rsid w:val="00246028"/>
    <w:rsid w:val="00246100"/>
    <w:rsid w:val="00246140"/>
    <w:rsid w:val="00246150"/>
    <w:rsid w:val="0024618A"/>
    <w:rsid w:val="002461F8"/>
    <w:rsid w:val="00246240"/>
    <w:rsid w:val="0024630A"/>
    <w:rsid w:val="00246314"/>
    <w:rsid w:val="00246333"/>
    <w:rsid w:val="0024636C"/>
    <w:rsid w:val="002466B6"/>
    <w:rsid w:val="002469DC"/>
    <w:rsid w:val="00246B31"/>
    <w:rsid w:val="00246DE3"/>
    <w:rsid w:val="00246EC6"/>
    <w:rsid w:val="0024707F"/>
    <w:rsid w:val="00247213"/>
    <w:rsid w:val="00247242"/>
    <w:rsid w:val="002472D5"/>
    <w:rsid w:val="002473D8"/>
    <w:rsid w:val="002473E8"/>
    <w:rsid w:val="00247474"/>
    <w:rsid w:val="002474FC"/>
    <w:rsid w:val="002475A0"/>
    <w:rsid w:val="0024772D"/>
    <w:rsid w:val="00247908"/>
    <w:rsid w:val="00247C4C"/>
    <w:rsid w:val="00247E07"/>
    <w:rsid w:val="00247E63"/>
    <w:rsid w:val="00247E66"/>
    <w:rsid w:val="00247EA4"/>
    <w:rsid w:val="00247ED1"/>
    <w:rsid w:val="00247FEF"/>
    <w:rsid w:val="0024A9A3"/>
    <w:rsid w:val="002500D9"/>
    <w:rsid w:val="0025012C"/>
    <w:rsid w:val="00250198"/>
    <w:rsid w:val="002504E5"/>
    <w:rsid w:val="002506BE"/>
    <w:rsid w:val="002506ED"/>
    <w:rsid w:val="00250710"/>
    <w:rsid w:val="0025077A"/>
    <w:rsid w:val="002507AB"/>
    <w:rsid w:val="002507E9"/>
    <w:rsid w:val="00250907"/>
    <w:rsid w:val="0025091D"/>
    <w:rsid w:val="00250A47"/>
    <w:rsid w:val="00250AF9"/>
    <w:rsid w:val="00250B27"/>
    <w:rsid w:val="00250C74"/>
    <w:rsid w:val="00250D29"/>
    <w:rsid w:val="00250E5B"/>
    <w:rsid w:val="00250EAB"/>
    <w:rsid w:val="00250EDE"/>
    <w:rsid w:val="00250F6D"/>
    <w:rsid w:val="00250F7B"/>
    <w:rsid w:val="002510B0"/>
    <w:rsid w:val="002510CC"/>
    <w:rsid w:val="00251119"/>
    <w:rsid w:val="00251184"/>
    <w:rsid w:val="00251189"/>
    <w:rsid w:val="002511F0"/>
    <w:rsid w:val="00251240"/>
    <w:rsid w:val="002512E0"/>
    <w:rsid w:val="002512FB"/>
    <w:rsid w:val="0025136F"/>
    <w:rsid w:val="00251372"/>
    <w:rsid w:val="00251387"/>
    <w:rsid w:val="002513E6"/>
    <w:rsid w:val="00251585"/>
    <w:rsid w:val="002516AE"/>
    <w:rsid w:val="0025170D"/>
    <w:rsid w:val="00251A3F"/>
    <w:rsid w:val="00251AFC"/>
    <w:rsid w:val="00251BA7"/>
    <w:rsid w:val="00251C3E"/>
    <w:rsid w:val="00251DBC"/>
    <w:rsid w:val="00251E1C"/>
    <w:rsid w:val="00251E46"/>
    <w:rsid w:val="00251F46"/>
    <w:rsid w:val="00251FA4"/>
    <w:rsid w:val="00251FB0"/>
    <w:rsid w:val="00251FC1"/>
    <w:rsid w:val="00252025"/>
    <w:rsid w:val="00252057"/>
    <w:rsid w:val="0025205E"/>
    <w:rsid w:val="002520A9"/>
    <w:rsid w:val="002520B1"/>
    <w:rsid w:val="002520EC"/>
    <w:rsid w:val="0025217D"/>
    <w:rsid w:val="0025221E"/>
    <w:rsid w:val="00252313"/>
    <w:rsid w:val="00252345"/>
    <w:rsid w:val="00252375"/>
    <w:rsid w:val="002523DE"/>
    <w:rsid w:val="0025248F"/>
    <w:rsid w:val="0025249C"/>
    <w:rsid w:val="00252544"/>
    <w:rsid w:val="00252614"/>
    <w:rsid w:val="0025268C"/>
    <w:rsid w:val="002526E9"/>
    <w:rsid w:val="002527B5"/>
    <w:rsid w:val="0025281D"/>
    <w:rsid w:val="002528E4"/>
    <w:rsid w:val="00252A20"/>
    <w:rsid w:val="00252AE2"/>
    <w:rsid w:val="00252B52"/>
    <w:rsid w:val="00252BC5"/>
    <w:rsid w:val="00252D4A"/>
    <w:rsid w:val="00252D61"/>
    <w:rsid w:val="00252E01"/>
    <w:rsid w:val="00252E65"/>
    <w:rsid w:val="00252F03"/>
    <w:rsid w:val="00253136"/>
    <w:rsid w:val="00253145"/>
    <w:rsid w:val="00253198"/>
    <w:rsid w:val="0025327D"/>
    <w:rsid w:val="002532F7"/>
    <w:rsid w:val="00253854"/>
    <w:rsid w:val="002539E6"/>
    <w:rsid w:val="002539EF"/>
    <w:rsid w:val="00253AD7"/>
    <w:rsid w:val="00253AFD"/>
    <w:rsid w:val="00253B06"/>
    <w:rsid w:val="00253BC9"/>
    <w:rsid w:val="00253CBB"/>
    <w:rsid w:val="00253CCB"/>
    <w:rsid w:val="00253D4B"/>
    <w:rsid w:val="00253D86"/>
    <w:rsid w:val="00253D87"/>
    <w:rsid w:val="00253DF5"/>
    <w:rsid w:val="00253E27"/>
    <w:rsid w:val="00253E93"/>
    <w:rsid w:val="00253F20"/>
    <w:rsid w:val="0025404F"/>
    <w:rsid w:val="00254232"/>
    <w:rsid w:val="00254350"/>
    <w:rsid w:val="0025446D"/>
    <w:rsid w:val="00254528"/>
    <w:rsid w:val="0025456F"/>
    <w:rsid w:val="00254603"/>
    <w:rsid w:val="002546BB"/>
    <w:rsid w:val="002546D1"/>
    <w:rsid w:val="002546D2"/>
    <w:rsid w:val="0025476C"/>
    <w:rsid w:val="002547B1"/>
    <w:rsid w:val="00254827"/>
    <w:rsid w:val="00254845"/>
    <w:rsid w:val="00254A18"/>
    <w:rsid w:val="00254B02"/>
    <w:rsid w:val="00254BD6"/>
    <w:rsid w:val="00254DBA"/>
    <w:rsid w:val="00254DCC"/>
    <w:rsid w:val="00254E0C"/>
    <w:rsid w:val="002550D2"/>
    <w:rsid w:val="00255107"/>
    <w:rsid w:val="002551C5"/>
    <w:rsid w:val="0025523E"/>
    <w:rsid w:val="0025529F"/>
    <w:rsid w:val="00255452"/>
    <w:rsid w:val="002554A1"/>
    <w:rsid w:val="0025569B"/>
    <w:rsid w:val="00255871"/>
    <w:rsid w:val="002558E9"/>
    <w:rsid w:val="00255938"/>
    <w:rsid w:val="00255966"/>
    <w:rsid w:val="002559E0"/>
    <w:rsid w:val="00255A05"/>
    <w:rsid w:val="00255A11"/>
    <w:rsid w:val="00255A25"/>
    <w:rsid w:val="00255B37"/>
    <w:rsid w:val="00255D16"/>
    <w:rsid w:val="00255EFC"/>
    <w:rsid w:val="0025607D"/>
    <w:rsid w:val="002560C7"/>
    <w:rsid w:val="00256104"/>
    <w:rsid w:val="00256163"/>
    <w:rsid w:val="00256194"/>
    <w:rsid w:val="00256212"/>
    <w:rsid w:val="002563E3"/>
    <w:rsid w:val="00256407"/>
    <w:rsid w:val="00256452"/>
    <w:rsid w:val="002564AE"/>
    <w:rsid w:val="00256509"/>
    <w:rsid w:val="0025656E"/>
    <w:rsid w:val="002565CB"/>
    <w:rsid w:val="002565F8"/>
    <w:rsid w:val="0025664A"/>
    <w:rsid w:val="0025672D"/>
    <w:rsid w:val="00256757"/>
    <w:rsid w:val="00256776"/>
    <w:rsid w:val="002568D1"/>
    <w:rsid w:val="00256AB6"/>
    <w:rsid w:val="00256B6F"/>
    <w:rsid w:val="00256B9A"/>
    <w:rsid w:val="00256BA6"/>
    <w:rsid w:val="00256C86"/>
    <w:rsid w:val="00256DE5"/>
    <w:rsid w:val="00256F30"/>
    <w:rsid w:val="00256F39"/>
    <w:rsid w:val="00256F44"/>
    <w:rsid w:val="00256FFC"/>
    <w:rsid w:val="002571A5"/>
    <w:rsid w:val="00257205"/>
    <w:rsid w:val="0025724F"/>
    <w:rsid w:val="00257263"/>
    <w:rsid w:val="002573ED"/>
    <w:rsid w:val="0025762F"/>
    <w:rsid w:val="00257717"/>
    <w:rsid w:val="002579B8"/>
    <w:rsid w:val="00257AD0"/>
    <w:rsid w:val="00257B70"/>
    <w:rsid w:val="00257B9E"/>
    <w:rsid w:val="00257CB4"/>
    <w:rsid w:val="00257CD8"/>
    <w:rsid w:val="00257E15"/>
    <w:rsid w:val="00257EF8"/>
    <w:rsid w:val="00257FE3"/>
    <w:rsid w:val="0025FAA5"/>
    <w:rsid w:val="00260019"/>
    <w:rsid w:val="002601F3"/>
    <w:rsid w:val="00260234"/>
    <w:rsid w:val="002602D7"/>
    <w:rsid w:val="002603E3"/>
    <w:rsid w:val="00260638"/>
    <w:rsid w:val="00260648"/>
    <w:rsid w:val="002606B0"/>
    <w:rsid w:val="002606E7"/>
    <w:rsid w:val="0026083A"/>
    <w:rsid w:val="002608F0"/>
    <w:rsid w:val="00260982"/>
    <w:rsid w:val="00260A81"/>
    <w:rsid w:val="00260ACE"/>
    <w:rsid w:val="00260C2A"/>
    <w:rsid w:val="00260C80"/>
    <w:rsid w:val="00260CA5"/>
    <w:rsid w:val="00260CDA"/>
    <w:rsid w:val="00260F11"/>
    <w:rsid w:val="0026110F"/>
    <w:rsid w:val="00261222"/>
    <w:rsid w:val="002612D3"/>
    <w:rsid w:val="00261330"/>
    <w:rsid w:val="00261373"/>
    <w:rsid w:val="002613C7"/>
    <w:rsid w:val="00261417"/>
    <w:rsid w:val="002616C6"/>
    <w:rsid w:val="00261876"/>
    <w:rsid w:val="002618DA"/>
    <w:rsid w:val="00261AD0"/>
    <w:rsid w:val="00261ADB"/>
    <w:rsid w:val="00261BAE"/>
    <w:rsid w:val="00261C09"/>
    <w:rsid w:val="00261C0D"/>
    <w:rsid w:val="00261C3E"/>
    <w:rsid w:val="00261C5E"/>
    <w:rsid w:val="00261C98"/>
    <w:rsid w:val="00261CFD"/>
    <w:rsid w:val="00261EC3"/>
    <w:rsid w:val="00261F06"/>
    <w:rsid w:val="002620F5"/>
    <w:rsid w:val="002621A0"/>
    <w:rsid w:val="00262224"/>
    <w:rsid w:val="00262243"/>
    <w:rsid w:val="0026226B"/>
    <w:rsid w:val="00262406"/>
    <w:rsid w:val="00262445"/>
    <w:rsid w:val="00262574"/>
    <w:rsid w:val="002625F8"/>
    <w:rsid w:val="00262609"/>
    <w:rsid w:val="002626C2"/>
    <w:rsid w:val="002626F0"/>
    <w:rsid w:val="0026273D"/>
    <w:rsid w:val="00262863"/>
    <w:rsid w:val="002628E8"/>
    <w:rsid w:val="002629F1"/>
    <w:rsid w:val="00262A32"/>
    <w:rsid w:val="00262AA8"/>
    <w:rsid w:val="00262ADA"/>
    <w:rsid w:val="00262D22"/>
    <w:rsid w:val="00262DF9"/>
    <w:rsid w:val="00262E7C"/>
    <w:rsid w:val="00262E97"/>
    <w:rsid w:val="00262F15"/>
    <w:rsid w:val="00262F5A"/>
    <w:rsid w:val="002633DF"/>
    <w:rsid w:val="00263400"/>
    <w:rsid w:val="0026346A"/>
    <w:rsid w:val="002634A8"/>
    <w:rsid w:val="00263564"/>
    <w:rsid w:val="0026366F"/>
    <w:rsid w:val="002637B9"/>
    <w:rsid w:val="00263812"/>
    <w:rsid w:val="00263887"/>
    <w:rsid w:val="00263900"/>
    <w:rsid w:val="00263917"/>
    <w:rsid w:val="00263A1A"/>
    <w:rsid w:val="00263B5D"/>
    <w:rsid w:val="00263D21"/>
    <w:rsid w:val="00263E4E"/>
    <w:rsid w:val="00263E68"/>
    <w:rsid w:val="00263E6E"/>
    <w:rsid w:val="00263E7C"/>
    <w:rsid w:val="00264030"/>
    <w:rsid w:val="00264086"/>
    <w:rsid w:val="0026413D"/>
    <w:rsid w:val="00264152"/>
    <w:rsid w:val="002641D3"/>
    <w:rsid w:val="00264206"/>
    <w:rsid w:val="00264208"/>
    <w:rsid w:val="00264230"/>
    <w:rsid w:val="00264263"/>
    <w:rsid w:val="0026426E"/>
    <w:rsid w:val="0026429F"/>
    <w:rsid w:val="00264341"/>
    <w:rsid w:val="002643AA"/>
    <w:rsid w:val="002643AF"/>
    <w:rsid w:val="002643F2"/>
    <w:rsid w:val="0026442C"/>
    <w:rsid w:val="00264587"/>
    <w:rsid w:val="0026463B"/>
    <w:rsid w:val="002646AF"/>
    <w:rsid w:val="002646E7"/>
    <w:rsid w:val="002647B0"/>
    <w:rsid w:val="00264937"/>
    <w:rsid w:val="00264999"/>
    <w:rsid w:val="002649AC"/>
    <w:rsid w:val="00264A01"/>
    <w:rsid w:val="00264A5B"/>
    <w:rsid w:val="00264B33"/>
    <w:rsid w:val="00264BD9"/>
    <w:rsid w:val="00264CE1"/>
    <w:rsid w:val="00264EF5"/>
    <w:rsid w:val="00264F42"/>
    <w:rsid w:val="00264FC5"/>
    <w:rsid w:val="0026508B"/>
    <w:rsid w:val="00265114"/>
    <w:rsid w:val="0026513E"/>
    <w:rsid w:val="002651FA"/>
    <w:rsid w:val="0026522C"/>
    <w:rsid w:val="002652A2"/>
    <w:rsid w:val="00265355"/>
    <w:rsid w:val="002653FD"/>
    <w:rsid w:val="002654D2"/>
    <w:rsid w:val="002654D3"/>
    <w:rsid w:val="002654ED"/>
    <w:rsid w:val="0026555F"/>
    <w:rsid w:val="00265585"/>
    <w:rsid w:val="002655F8"/>
    <w:rsid w:val="0026581F"/>
    <w:rsid w:val="00265842"/>
    <w:rsid w:val="002658BA"/>
    <w:rsid w:val="00265AB8"/>
    <w:rsid w:val="00265BC4"/>
    <w:rsid w:val="00265BEA"/>
    <w:rsid w:val="00265C94"/>
    <w:rsid w:val="00265D81"/>
    <w:rsid w:val="00265E4C"/>
    <w:rsid w:val="00265E7F"/>
    <w:rsid w:val="00265F51"/>
    <w:rsid w:val="00265F67"/>
    <w:rsid w:val="002664C6"/>
    <w:rsid w:val="002664E0"/>
    <w:rsid w:val="002666BD"/>
    <w:rsid w:val="00266777"/>
    <w:rsid w:val="00266A6E"/>
    <w:rsid w:val="00266B55"/>
    <w:rsid w:val="00266BE5"/>
    <w:rsid w:val="00266C17"/>
    <w:rsid w:val="00266C5D"/>
    <w:rsid w:val="00266C61"/>
    <w:rsid w:val="00266EB2"/>
    <w:rsid w:val="00266F1E"/>
    <w:rsid w:val="00266F79"/>
    <w:rsid w:val="002672E3"/>
    <w:rsid w:val="0026736F"/>
    <w:rsid w:val="002673D0"/>
    <w:rsid w:val="0026750A"/>
    <w:rsid w:val="00267513"/>
    <w:rsid w:val="00267612"/>
    <w:rsid w:val="002676CA"/>
    <w:rsid w:val="002677B4"/>
    <w:rsid w:val="002677C0"/>
    <w:rsid w:val="002677CD"/>
    <w:rsid w:val="002677FF"/>
    <w:rsid w:val="00267AAA"/>
    <w:rsid w:val="00267B09"/>
    <w:rsid w:val="00267CCE"/>
    <w:rsid w:val="00267CE4"/>
    <w:rsid w:val="00267DDF"/>
    <w:rsid w:val="00267DEB"/>
    <w:rsid w:val="00267F4E"/>
    <w:rsid w:val="0026A7D6"/>
    <w:rsid w:val="00270014"/>
    <w:rsid w:val="002700A9"/>
    <w:rsid w:val="002700CF"/>
    <w:rsid w:val="00270152"/>
    <w:rsid w:val="0027016D"/>
    <w:rsid w:val="00270352"/>
    <w:rsid w:val="00270354"/>
    <w:rsid w:val="00270379"/>
    <w:rsid w:val="002703E0"/>
    <w:rsid w:val="00270424"/>
    <w:rsid w:val="0027066C"/>
    <w:rsid w:val="002706F6"/>
    <w:rsid w:val="0027079A"/>
    <w:rsid w:val="00270824"/>
    <w:rsid w:val="0027086D"/>
    <w:rsid w:val="00270876"/>
    <w:rsid w:val="0027099C"/>
    <w:rsid w:val="00270ACB"/>
    <w:rsid w:val="00270BBB"/>
    <w:rsid w:val="00270BD6"/>
    <w:rsid w:val="00270BE7"/>
    <w:rsid w:val="00270C12"/>
    <w:rsid w:val="00270CBC"/>
    <w:rsid w:val="00270CE4"/>
    <w:rsid w:val="00270DD9"/>
    <w:rsid w:val="00270DE0"/>
    <w:rsid w:val="00270E13"/>
    <w:rsid w:val="00270E19"/>
    <w:rsid w:val="00270EF8"/>
    <w:rsid w:val="00270F87"/>
    <w:rsid w:val="00270FC5"/>
    <w:rsid w:val="0027100A"/>
    <w:rsid w:val="00271066"/>
    <w:rsid w:val="002710E1"/>
    <w:rsid w:val="002710F9"/>
    <w:rsid w:val="00271163"/>
    <w:rsid w:val="0027119B"/>
    <w:rsid w:val="00271291"/>
    <w:rsid w:val="00271296"/>
    <w:rsid w:val="0027142A"/>
    <w:rsid w:val="0027144B"/>
    <w:rsid w:val="00271520"/>
    <w:rsid w:val="0027168A"/>
    <w:rsid w:val="002716CA"/>
    <w:rsid w:val="002716EF"/>
    <w:rsid w:val="00271755"/>
    <w:rsid w:val="002717F0"/>
    <w:rsid w:val="0027184C"/>
    <w:rsid w:val="0027187A"/>
    <w:rsid w:val="0027190D"/>
    <w:rsid w:val="002719C8"/>
    <w:rsid w:val="00271A11"/>
    <w:rsid w:val="00271B5D"/>
    <w:rsid w:val="00271C22"/>
    <w:rsid w:val="00271D9C"/>
    <w:rsid w:val="00271E4B"/>
    <w:rsid w:val="00271E88"/>
    <w:rsid w:val="00271F80"/>
    <w:rsid w:val="00272103"/>
    <w:rsid w:val="0027211D"/>
    <w:rsid w:val="002721BA"/>
    <w:rsid w:val="002721C5"/>
    <w:rsid w:val="00272329"/>
    <w:rsid w:val="00272470"/>
    <w:rsid w:val="00272514"/>
    <w:rsid w:val="00272534"/>
    <w:rsid w:val="002725DD"/>
    <w:rsid w:val="002726D8"/>
    <w:rsid w:val="002726E8"/>
    <w:rsid w:val="002727C9"/>
    <w:rsid w:val="002727D4"/>
    <w:rsid w:val="00272893"/>
    <w:rsid w:val="00272978"/>
    <w:rsid w:val="00272AC2"/>
    <w:rsid w:val="00272ADB"/>
    <w:rsid w:val="00272B63"/>
    <w:rsid w:val="00272C0B"/>
    <w:rsid w:val="00272C56"/>
    <w:rsid w:val="00272F0D"/>
    <w:rsid w:val="00273444"/>
    <w:rsid w:val="0027357D"/>
    <w:rsid w:val="002735AC"/>
    <w:rsid w:val="002735CC"/>
    <w:rsid w:val="00273614"/>
    <w:rsid w:val="002737B7"/>
    <w:rsid w:val="002737CE"/>
    <w:rsid w:val="0027387C"/>
    <w:rsid w:val="002739A0"/>
    <w:rsid w:val="00273AA1"/>
    <w:rsid w:val="00273BA0"/>
    <w:rsid w:val="00273CA8"/>
    <w:rsid w:val="00273CAF"/>
    <w:rsid w:val="00273CB9"/>
    <w:rsid w:val="00273CBF"/>
    <w:rsid w:val="00273D35"/>
    <w:rsid w:val="00273D3A"/>
    <w:rsid w:val="00273D88"/>
    <w:rsid w:val="00273DBD"/>
    <w:rsid w:val="00273DF0"/>
    <w:rsid w:val="00273E15"/>
    <w:rsid w:val="00273F0E"/>
    <w:rsid w:val="00273F4A"/>
    <w:rsid w:val="00273FAD"/>
    <w:rsid w:val="00273FD9"/>
    <w:rsid w:val="00274018"/>
    <w:rsid w:val="002741A5"/>
    <w:rsid w:val="002741D8"/>
    <w:rsid w:val="0027444E"/>
    <w:rsid w:val="00274473"/>
    <w:rsid w:val="0027458D"/>
    <w:rsid w:val="0027460C"/>
    <w:rsid w:val="002748F8"/>
    <w:rsid w:val="0027491B"/>
    <w:rsid w:val="00274B08"/>
    <w:rsid w:val="00274C05"/>
    <w:rsid w:val="00274CF9"/>
    <w:rsid w:val="00274D9E"/>
    <w:rsid w:val="00274F80"/>
    <w:rsid w:val="0027509A"/>
    <w:rsid w:val="002750A0"/>
    <w:rsid w:val="0027515B"/>
    <w:rsid w:val="00275199"/>
    <w:rsid w:val="00275229"/>
    <w:rsid w:val="002753DC"/>
    <w:rsid w:val="0027548B"/>
    <w:rsid w:val="00275521"/>
    <w:rsid w:val="0027576F"/>
    <w:rsid w:val="0027595A"/>
    <w:rsid w:val="00275B07"/>
    <w:rsid w:val="00275B1B"/>
    <w:rsid w:val="00275B25"/>
    <w:rsid w:val="00275C14"/>
    <w:rsid w:val="00275C4A"/>
    <w:rsid w:val="00275CBF"/>
    <w:rsid w:val="00275D4B"/>
    <w:rsid w:val="00275D5D"/>
    <w:rsid w:val="00275DAA"/>
    <w:rsid w:val="00275F72"/>
    <w:rsid w:val="00276018"/>
    <w:rsid w:val="002762F2"/>
    <w:rsid w:val="00276401"/>
    <w:rsid w:val="002764D6"/>
    <w:rsid w:val="00276704"/>
    <w:rsid w:val="0027673D"/>
    <w:rsid w:val="00276855"/>
    <w:rsid w:val="00276A7D"/>
    <w:rsid w:val="00276AD2"/>
    <w:rsid w:val="00276B1A"/>
    <w:rsid w:val="00276CC3"/>
    <w:rsid w:val="002770EB"/>
    <w:rsid w:val="0027720C"/>
    <w:rsid w:val="002773B4"/>
    <w:rsid w:val="00277466"/>
    <w:rsid w:val="002777B5"/>
    <w:rsid w:val="00277899"/>
    <w:rsid w:val="00277973"/>
    <w:rsid w:val="00277A05"/>
    <w:rsid w:val="00277D08"/>
    <w:rsid w:val="00277D9A"/>
    <w:rsid w:val="00277EC1"/>
    <w:rsid w:val="00277F8A"/>
    <w:rsid w:val="00277FB0"/>
    <w:rsid w:val="00277FF4"/>
    <w:rsid w:val="00280051"/>
    <w:rsid w:val="0028005A"/>
    <w:rsid w:val="002800C1"/>
    <w:rsid w:val="002800E0"/>
    <w:rsid w:val="0028010D"/>
    <w:rsid w:val="00280234"/>
    <w:rsid w:val="0028024E"/>
    <w:rsid w:val="0028041B"/>
    <w:rsid w:val="0028045D"/>
    <w:rsid w:val="00280493"/>
    <w:rsid w:val="0028049F"/>
    <w:rsid w:val="002804CD"/>
    <w:rsid w:val="002804F0"/>
    <w:rsid w:val="002805CE"/>
    <w:rsid w:val="002805E8"/>
    <w:rsid w:val="00280638"/>
    <w:rsid w:val="00280644"/>
    <w:rsid w:val="00280753"/>
    <w:rsid w:val="002807FA"/>
    <w:rsid w:val="00280B48"/>
    <w:rsid w:val="00280BB0"/>
    <w:rsid w:val="00280BF2"/>
    <w:rsid w:val="00280CA8"/>
    <w:rsid w:val="00280D89"/>
    <w:rsid w:val="00280E93"/>
    <w:rsid w:val="00280FBB"/>
    <w:rsid w:val="00281116"/>
    <w:rsid w:val="002813AB"/>
    <w:rsid w:val="002813EA"/>
    <w:rsid w:val="0028140E"/>
    <w:rsid w:val="002814A9"/>
    <w:rsid w:val="00281504"/>
    <w:rsid w:val="00281520"/>
    <w:rsid w:val="002816CD"/>
    <w:rsid w:val="0028173F"/>
    <w:rsid w:val="00281755"/>
    <w:rsid w:val="002817B6"/>
    <w:rsid w:val="002818A2"/>
    <w:rsid w:val="002818A4"/>
    <w:rsid w:val="00281918"/>
    <w:rsid w:val="002819C7"/>
    <w:rsid w:val="002819D0"/>
    <w:rsid w:val="002819FF"/>
    <w:rsid w:val="00281EA1"/>
    <w:rsid w:val="00281F94"/>
    <w:rsid w:val="00282042"/>
    <w:rsid w:val="0028223B"/>
    <w:rsid w:val="002822EE"/>
    <w:rsid w:val="0028235F"/>
    <w:rsid w:val="00282502"/>
    <w:rsid w:val="0028252F"/>
    <w:rsid w:val="0028259D"/>
    <w:rsid w:val="002825FF"/>
    <w:rsid w:val="0028260F"/>
    <w:rsid w:val="00282713"/>
    <w:rsid w:val="002827BF"/>
    <w:rsid w:val="002827DB"/>
    <w:rsid w:val="00282872"/>
    <w:rsid w:val="002828E5"/>
    <w:rsid w:val="002829B0"/>
    <w:rsid w:val="00282B70"/>
    <w:rsid w:val="00282BBA"/>
    <w:rsid w:val="00282D0A"/>
    <w:rsid w:val="00282D84"/>
    <w:rsid w:val="00282E37"/>
    <w:rsid w:val="00282E63"/>
    <w:rsid w:val="00283072"/>
    <w:rsid w:val="0028309C"/>
    <w:rsid w:val="002830C4"/>
    <w:rsid w:val="002830D6"/>
    <w:rsid w:val="002831B9"/>
    <w:rsid w:val="002831E2"/>
    <w:rsid w:val="002832A8"/>
    <w:rsid w:val="00283577"/>
    <w:rsid w:val="0028367C"/>
    <w:rsid w:val="002836E2"/>
    <w:rsid w:val="0028370D"/>
    <w:rsid w:val="00283729"/>
    <w:rsid w:val="00283873"/>
    <w:rsid w:val="0028389D"/>
    <w:rsid w:val="002839B1"/>
    <w:rsid w:val="00283A7E"/>
    <w:rsid w:val="00283AB6"/>
    <w:rsid w:val="00283B15"/>
    <w:rsid w:val="00283BC5"/>
    <w:rsid w:val="00283C00"/>
    <w:rsid w:val="00283C89"/>
    <w:rsid w:val="00283CF9"/>
    <w:rsid w:val="00283D3A"/>
    <w:rsid w:val="00283D61"/>
    <w:rsid w:val="00283DC1"/>
    <w:rsid w:val="00283DF4"/>
    <w:rsid w:val="00283F05"/>
    <w:rsid w:val="00283FDD"/>
    <w:rsid w:val="00284001"/>
    <w:rsid w:val="002840D0"/>
    <w:rsid w:val="0028427B"/>
    <w:rsid w:val="002842D3"/>
    <w:rsid w:val="002844B7"/>
    <w:rsid w:val="002845E5"/>
    <w:rsid w:val="00284611"/>
    <w:rsid w:val="002848D4"/>
    <w:rsid w:val="002849A4"/>
    <w:rsid w:val="00284C2A"/>
    <w:rsid w:val="00284C72"/>
    <w:rsid w:val="00284ECF"/>
    <w:rsid w:val="00284EEC"/>
    <w:rsid w:val="00284F40"/>
    <w:rsid w:val="00284F75"/>
    <w:rsid w:val="0028506E"/>
    <w:rsid w:val="00285223"/>
    <w:rsid w:val="002852AB"/>
    <w:rsid w:val="0028534B"/>
    <w:rsid w:val="0028536C"/>
    <w:rsid w:val="002853B0"/>
    <w:rsid w:val="00285411"/>
    <w:rsid w:val="00285480"/>
    <w:rsid w:val="002854CD"/>
    <w:rsid w:val="002854F5"/>
    <w:rsid w:val="002854FD"/>
    <w:rsid w:val="002855B7"/>
    <w:rsid w:val="00285629"/>
    <w:rsid w:val="002856D2"/>
    <w:rsid w:val="00285790"/>
    <w:rsid w:val="002857B3"/>
    <w:rsid w:val="00285803"/>
    <w:rsid w:val="00285807"/>
    <w:rsid w:val="00285AF7"/>
    <w:rsid w:val="00285CA9"/>
    <w:rsid w:val="00285CBB"/>
    <w:rsid w:val="00285D02"/>
    <w:rsid w:val="00285FD8"/>
    <w:rsid w:val="0028604B"/>
    <w:rsid w:val="00286081"/>
    <w:rsid w:val="0028617F"/>
    <w:rsid w:val="00286340"/>
    <w:rsid w:val="00286440"/>
    <w:rsid w:val="00286461"/>
    <w:rsid w:val="00286528"/>
    <w:rsid w:val="00286676"/>
    <w:rsid w:val="002866E9"/>
    <w:rsid w:val="002868F9"/>
    <w:rsid w:val="00286B32"/>
    <w:rsid w:val="00286C2E"/>
    <w:rsid w:val="00286DE4"/>
    <w:rsid w:val="00286E34"/>
    <w:rsid w:val="00286EB5"/>
    <w:rsid w:val="00286EC2"/>
    <w:rsid w:val="00286EE3"/>
    <w:rsid w:val="00286F92"/>
    <w:rsid w:val="00287083"/>
    <w:rsid w:val="0028715A"/>
    <w:rsid w:val="0028728E"/>
    <w:rsid w:val="002875EB"/>
    <w:rsid w:val="00287615"/>
    <w:rsid w:val="0028765D"/>
    <w:rsid w:val="00287858"/>
    <w:rsid w:val="002879C8"/>
    <w:rsid w:val="002879F0"/>
    <w:rsid w:val="00287B26"/>
    <w:rsid w:val="00287BC1"/>
    <w:rsid w:val="00287BDA"/>
    <w:rsid w:val="00287C16"/>
    <w:rsid w:val="00287C4B"/>
    <w:rsid w:val="00287D11"/>
    <w:rsid w:val="00287F8F"/>
    <w:rsid w:val="0029001D"/>
    <w:rsid w:val="00290033"/>
    <w:rsid w:val="00290069"/>
    <w:rsid w:val="00290113"/>
    <w:rsid w:val="002903DD"/>
    <w:rsid w:val="002903FE"/>
    <w:rsid w:val="00290529"/>
    <w:rsid w:val="002905F3"/>
    <w:rsid w:val="00290798"/>
    <w:rsid w:val="00290806"/>
    <w:rsid w:val="002908D3"/>
    <w:rsid w:val="00290B6C"/>
    <w:rsid w:val="00290C6C"/>
    <w:rsid w:val="00290C82"/>
    <w:rsid w:val="00290C9B"/>
    <w:rsid w:val="00290CCC"/>
    <w:rsid w:val="00290E62"/>
    <w:rsid w:val="00290F30"/>
    <w:rsid w:val="00290F6A"/>
    <w:rsid w:val="0029109D"/>
    <w:rsid w:val="002910D2"/>
    <w:rsid w:val="00291158"/>
    <w:rsid w:val="00291170"/>
    <w:rsid w:val="002912C2"/>
    <w:rsid w:val="002914BB"/>
    <w:rsid w:val="00291504"/>
    <w:rsid w:val="0029155A"/>
    <w:rsid w:val="0029176B"/>
    <w:rsid w:val="002917C7"/>
    <w:rsid w:val="002919D9"/>
    <w:rsid w:val="00291AD1"/>
    <w:rsid w:val="00291AE2"/>
    <w:rsid w:val="00291C2D"/>
    <w:rsid w:val="00291C89"/>
    <w:rsid w:val="00291C9E"/>
    <w:rsid w:val="00291D66"/>
    <w:rsid w:val="00291E45"/>
    <w:rsid w:val="00291EA9"/>
    <w:rsid w:val="00291FDD"/>
    <w:rsid w:val="00292084"/>
    <w:rsid w:val="00292095"/>
    <w:rsid w:val="002920D3"/>
    <w:rsid w:val="00292237"/>
    <w:rsid w:val="002922AC"/>
    <w:rsid w:val="002923B8"/>
    <w:rsid w:val="0029240E"/>
    <w:rsid w:val="002924C8"/>
    <w:rsid w:val="002928E8"/>
    <w:rsid w:val="00292999"/>
    <w:rsid w:val="0029299A"/>
    <w:rsid w:val="00292AF0"/>
    <w:rsid w:val="00292C07"/>
    <w:rsid w:val="00292C5F"/>
    <w:rsid w:val="00292E0F"/>
    <w:rsid w:val="00292E4C"/>
    <w:rsid w:val="00292E8F"/>
    <w:rsid w:val="00292EA7"/>
    <w:rsid w:val="00292F6A"/>
    <w:rsid w:val="00292FEB"/>
    <w:rsid w:val="0029304F"/>
    <w:rsid w:val="002931EB"/>
    <w:rsid w:val="002932D0"/>
    <w:rsid w:val="002933A5"/>
    <w:rsid w:val="00293469"/>
    <w:rsid w:val="002936EA"/>
    <w:rsid w:val="0029378F"/>
    <w:rsid w:val="002937BB"/>
    <w:rsid w:val="002937C0"/>
    <w:rsid w:val="002937C2"/>
    <w:rsid w:val="002937CE"/>
    <w:rsid w:val="002937EE"/>
    <w:rsid w:val="002937FA"/>
    <w:rsid w:val="00293B73"/>
    <w:rsid w:val="00293BEE"/>
    <w:rsid w:val="00293C61"/>
    <w:rsid w:val="00293C7F"/>
    <w:rsid w:val="00293D8C"/>
    <w:rsid w:val="00293DB5"/>
    <w:rsid w:val="00293E45"/>
    <w:rsid w:val="00293EE9"/>
    <w:rsid w:val="00294275"/>
    <w:rsid w:val="00294289"/>
    <w:rsid w:val="002942B5"/>
    <w:rsid w:val="002943CF"/>
    <w:rsid w:val="002944E6"/>
    <w:rsid w:val="00294580"/>
    <w:rsid w:val="0029467D"/>
    <w:rsid w:val="00294779"/>
    <w:rsid w:val="002947D8"/>
    <w:rsid w:val="00294943"/>
    <w:rsid w:val="00294B60"/>
    <w:rsid w:val="00294C79"/>
    <w:rsid w:val="00294CB4"/>
    <w:rsid w:val="00294DE4"/>
    <w:rsid w:val="00294E81"/>
    <w:rsid w:val="00294EC9"/>
    <w:rsid w:val="00294FAD"/>
    <w:rsid w:val="00294FCC"/>
    <w:rsid w:val="002950BD"/>
    <w:rsid w:val="002951C7"/>
    <w:rsid w:val="002952A9"/>
    <w:rsid w:val="002952D4"/>
    <w:rsid w:val="00295343"/>
    <w:rsid w:val="00295350"/>
    <w:rsid w:val="00295405"/>
    <w:rsid w:val="00295483"/>
    <w:rsid w:val="002954AD"/>
    <w:rsid w:val="00295536"/>
    <w:rsid w:val="002955B0"/>
    <w:rsid w:val="0029570B"/>
    <w:rsid w:val="00295846"/>
    <w:rsid w:val="00295899"/>
    <w:rsid w:val="00295A3E"/>
    <w:rsid w:val="00295ACC"/>
    <w:rsid w:val="00295CC5"/>
    <w:rsid w:val="00295D8C"/>
    <w:rsid w:val="00295E24"/>
    <w:rsid w:val="00295E2E"/>
    <w:rsid w:val="00295F39"/>
    <w:rsid w:val="002960B5"/>
    <w:rsid w:val="00296130"/>
    <w:rsid w:val="0029619A"/>
    <w:rsid w:val="002961A4"/>
    <w:rsid w:val="00296271"/>
    <w:rsid w:val="002962B6"/>
    <w:rsid w:val="0029633B"/>
    <w:rsid w:val="0029647A"/>
    <w:rsid w:val="002965C3"/>
    <w:rsid w:val="0029668C"/>
    <w:rsid w:val="002968A0"/>
    <w:rsid w:val="00296966"/>
    <w:rsid w:val="002969C6"/>
    <w:rsid w:val="002969F8"/>
    <w:rsid w:val="00296A14"/>
    <w:rsid w:val="00296A35"/>
    <w:rsid w:val="00296A45"/>
    <w:rsid w:val="00296B81"/>
    <w:rsid w:val="00296BCA"/>
    <w:rsid w:val="00296CDE"/>
    <w:rsid w:val="00296CE9"/>
    <w:rsid w:val="00296E32"/>
    <w:rsid w:val="00296E6A"/>
    <w:rsid w:val="00296ECA"/>
    <w:rsid w:val="00296EE7"/>
    <w:rsid w:val="00296F86"/>
    <w:rsid w:val="00296FCA"/>
    <w:rsid w:val="00297099"/>
    <w:rsid w:val="002970D1"/>
    <w:rsid w:val="00297132"/>
    <w:rsid w:val="00297133"/>
    <w:rsid w:val="002971AC"/>
    <w:rsid w:val="00297233"/>
    <w:rsid w:val="0029734B"/>
    <w:rsid w:val="00297373"/>
    <w:rsid w:val="002973CA"/>
    <w:rsid w:val="002973FE"/>
    <w:rsid w:val="0029767C"/>
    <w:rsid w:val="002976D7"/>
    <w:rsid w:val="00297844"/>
    <w:rsid w:val="0029791F"/>
    <w:rsid w:val="00297949"/>
    <w:rsid w:val="002979FF"/>
    <w:rsid w:val="00297AAA"/>
    <w:rsid w:val="00297AB2"/>
    <w:rsid w:val="00297B58"/>
    <w:rsid w:val="00297BA2"/>
    <w:rsid w:val="00297BC7"/>
    <w:rsid w:val="00297BF0"/>
    <w:rsid w:val="00297C2B"/>
    <w:rsid w:val="00297D34"/>
    <w:rsid w:val="00297DCF"/>
    <w:rsid w:val="00297E23"/>
    <w:rsid w:val="00297FD8"/>
    <w:rsid w:val="0029FB87"/>
    <w:rsid w:val="002A019F"/>
    <w:rsid w:val="002A0283"/>
    <w:rsid w:val="002A02E7"/>
    <w:rsid w:val="002A02F6"/>
    <w:rsid w:val="002A034A"/>
    <w:rsid w:val="002A0350"/>
    <w:rsid w:val="002A0359"/>
    <w:rsid w:val="002A03D2"/>
    <w:rsid w:val="002A0427"/>
    <w:rsid w:val="002A04D5"/>
    <w:rsid w:val="002A04EC"/>
    <w:rsid w:val="002A0510"/>
    <w:rsid w:val="002A055D"/>
    <w:rsid w:val="002A06A2"/>
    <w:rsid w:val="002A09DC"/>
    <w:rsid w:val="002A0B4E"/>
    <w:rsid w:val="002A0C4A"/>
    <w:rsid w:val="002A0E44"/>
    <w:rsid w:val="002A0E85"/>
    <w:rsid w:val="002A0E8D"/>
    <w:rsid w:val="002A0EB5"/>
    <w:rsid w:val="002A0F88"/>
    <w:rsid w:val="002A112B"/>
    <w:rsid w:val="002A118B"/>
    <w:rsid w:val="002A1190"/>
    <w:rsid w:val="002A12D3"/>
    <w:rsid w:val="002A13C8"/>
    <w:rsid w:val="002A1419"/>
    <w:rsid w:val="002A1498"/>
    <w:rsid w:val="002A1649"/>
    <w:rsid w:val="002A16AF"/>
    <w:rsid w:val="002A1706"/>
    <w:rsid w:val="002A1830"/>
    <w:rsid w:val="002A1872"/>
    <w:rsid w:val="002A18C4"/>
    <w:rsid w:val="002A190C"/>
    <w:rsid w:val="002A190D"/>
    <w:rsid w:val="002A191A"/>
    <w:rsid w:val="002A1A8E"/>
    <w:rsid w:val="002A1CA6"/>
    <w:rsid w:val="002A1D2C"/>
    <w:rsid w:val="002A1D57"/>
    <w:rsid w:val="002A1DB3"/>
    <w:rsid w:val="002A1EF6"/>
    <w:rsid w:val="002A1F44"/>
    <w:rsid w:val="002A200A"/>
    <w:rsid w:val="002A2046"/>
    <w:rsid w:val="002A204B"/>
    <w:rsid w:val="002A2075"/>
    <w:rsid w:val="002A20EC"/>
    <w:rsid w:val="002A21F6"/>
    <w:rsid w:val="002A22FB"/>
    <w:rsid w:val="002A2304"/>
    <w:rsid w:val="002A231F"/>
    <w:rsid w:val="002A244A"/>
    <w:rsid w:val="002A2611"/>
    <w:rsid w:val="002A26BD"/>
    <w:rsid w:val="002A27C3"/>
    <w:rsid w:val="002A27E3"/>
    <w:rsid w:val="002A29DF"/>
    <w:rsid w:val="002A2A0D"/>
    <w:rsid w:val="002A2A5D"/>
    <w:rsid w:val="002A2AD9"/>
    <w:rsid w:val="002A2B27"/>
    <w:rsid w:val="002A2B46"/>
    <w:rsid w:val="002A2DA2"/>
    <w:rsid w:val="002A2E9B"/>
    <w:rsid w:val="002A3260"/>
    <w:rsid w:val="002A329C"/>
    <w:rsid w:val="002A3654"/>
    <w:rsid w:val="002A3694"/>
    <w:rsid w:val="002A375E"/>
    <w:rsid w:val="002A3952"/>
    <w:rsid w:val="002A39B2"/>
    <w:rsid w:val="002A39DA"/>
    <w:rsid w:val="002A3A48"/>
    <w:rsid w:val="002A3A9A"/>
    <w:rsid w:val="002A3A9C"/>
    <w:rsid w:val="002A3EC4"/>
    <w:rsid w:val="002A3F3E"/>
    <w:rsid w:val="002A4019"/>
    <w:rsid w:val="002A4023"/>
    <w:rsid w:val="002A410A"/>
    <w:rsid w:val="002A4165"/>
    <w:rsid w:val="002A41BF"/>
    <w:rsid w:val="002A4227"/>
    <w:rsid w:val="002A4356"/>
    <w:rsid w:val="002A4368"/>
    <w:rsid w:val="002A4622"/>
    <w:rsid w:val="002A4650"/>
    <w:rsid w:val="002A4935"/>
    <w:rsid w:val="002A4971"/>
    <w:rsid w:val="002A49D5"/>
    <w:rsid w:val="002A4A54"/>
    <w:rsid w:val="002A4AFE"/>
    <w:rsid w:val="002A4BAA"/>
    <w:rsid w:val="002A4BC0"/>
    <w:rsid w:val="002A4C3C"/>
    <w:rsid w:val="002A4C6B"/>
    <w:rsid w:val="002A4C82"/>
    <w:rsid w:val="002A4D35"/>
    <w:rsid w:val="002A4ED2"/>
    <w:rsid w:val="002A4F2C"/>
    <w:rsid w:val="002A5010"/>
    <w:rsid w:val="002A5168"/>
    <w:rsid w:val="002A5232"/>
    <w:rsid w:val="002A5265"/>
    <w:rsid w:val="002A53F3"/>
    <w:rsid w:val="002A5484"/>
    <w:rsid w:val="002A5494"/>
    <w:rsid w:val="002A549C"/>
    <w:rsid w:val="002A557D"/>
    <w:rsid w:val="002A565A"/>
    <w:rsid w:val="002A56E1"/>
    <w:rsid w:val="002A58F6"/>
    <w:rsid w:val="002A5B0E"/>
    <w:rsid w:val="002A5B83"/>
    <w:rsid w:val="002A5BD9"/>
    <w:rsid w:val="002A5D75"/>
    <w:rsid w:val="002A5EBB"/>
    <w:rsid w:val="002A5F25"/>
    <w:rsid w:val="002A5F7F"/>
    <w:rsid w:val="002A6035"/>
    <w:rsid w:val="002A6071"/>
    <w:rsid w:val="002A60A6"/>
    <w:rsid w:val="002A6199"/>
    <w:rsid w:val="002A6201"/>
    <w:rsid w:val="002A62BE"/>
    <w:rsid w:val="002A637E"/>
    <w:rsid w:val="002A6384"/>
    <w:rsid w:val="002A63FB"/>
    <w:rsid w:val="002A6459"/>
    <w:rsid w:val="002A6522"/>
    <w:rsid w:val="002A6546"/>
    <w:rsid w:val="002A6602"/>
    <w:rsid w:val="002A6727"/>
    <w:rsid w:val="002A675A"/>
    <w:rsid w:val="002A68F4"/>
    <w:rsid w:val="002A6959"/>
    <w:rsid w:val="002A699F"/>
    <w:rsid w:val="002A69D8"/>
    <w:rsid w:val="002A69F2"/>
    <w:rsid w:val="002A69FE"/>
    <w:rsid w:val="002A6A41"/>
    <w:rsid w:val="002A6A62"/>
    <w:rsid w:val="002A6B9F"/>
    <w:rsid w:val="002A6D02"/>
    <w:rsid w:val="002A6DDB"/>
    <w:rsid w:val="002A6E55"/>
    <w:rsid w:val="002A707D"/>
    <w:rsid w:val="002A70E5"/>
    <w:rsid w:val="002A71A6"/>
    <w:rsid w:val="002A71FE"/>
    <w:rsid w:val="002A7302"/>
    <w:rsid w:val="002A7327"/>
    <w:rsid w:val="002A7349"/>
    <w:rsid w:val="002A736D"/>
    <w:rsid w:val="002A73AD"/>
    <w:rsid w:val="002A73BF"/>
    <w:rsid w:val="002A73CF"/>
    <w:rsid w:val="002A743D"/>
    <w:rsid w:val="002A7543"/>
    <w:rsid w:val="002A7580"/>
    <w:rsid w:val="002A76B3"/>
    <w:rsid w:val="002A77C7"/>
    <w:rsid w:val="002A7831"/>
    <w:rsid w:val="002A7836"/>
    <w:rsid w:val="002A7838"/>
    <w:rsid w:val="002A78AB"/>
    <w:rsid w:val="002A78FC"/>
    <w:rsid w:val="002A78FD"/>
    <w:rsid w:val="002A79FF"/>
    <w:rsid w:val="002A7A5E"/>
    <w:rsid w:val="002A7A78"/>
    <w:rsid w:val="002A7AB4"/>
    <w:rsid w:val="002A7C14"/>
    <w:rsid w:val="002A7CDD"/>
    <w:rsid w:val="002A7E5C"/>
    <w:rsid w:val="002A7F27"/>
    <w:rsid w:val="002A7FD0"/>
    <w:rsid w:val="002A7FDB"/>
    <w:rsid w:val="002A9587"/>
    <w:rsid w:val="002A9D82"/>
    <w:rsid w:val="002B00AE"/>
    <w:rsid w:val="002B00CF"/>
    <w:rsid w:val="002B0123"/>
    <w:rsid w:val="002B0218"/>
    <w:rsid w:val="002B022C"/>
    <w:rsid w:val="002B0373"/>
    <w:rsid w:val="002B05F1"/>
    <w:rsid w:val="002B05F4"/>
    <w:rsid w:val="002B0641"/>
    <w:rsid w:val="002B06EB"/>
    <w:rsid w:val="002B0763"/>
    <w:rsid w:val="002B07E3"/>
    <w:rsid w:val="002B08C0"/>
    <w:rsid w:val="002B08DB"/>
    <w:rsid w:val="002B0BFD"/>
    <w:rsid w:val="002B0D9D"/>
    <w:rsid w:val="002B10FE"/>
    <w:rsid w:val="002B1160"/>
    <w:rsid w:val="002B1172"/>
    <w:rsid w:val="002B12B0"/>
    <w:rsid w:val="002B1350"/>
    <w:rsid w:val="002B13A8"/>
    <w:rsid w:val="002B142B"/>
    <w:rsid w:val="002B14C4"/>
    <w:rsid w:val="002B15CF"/>
    <w:rsid w:val="002B15D2"/>
    <w:rsid w:val="002B1656"/>
    <w:rsid w:val="002B1672"/>
    <w:rsid w:val="002B168D"/>
    <w:rsid w:val="002B16A5"/>
    <w:rsid w:val="002B16A7"/>
    <w:rsid w:val="002B193B"/>
    <w:rsid w:val="002B196B"/>
    <w:rsid w:val="002B19A1"/>
    <w:rsid w:val="002B1A3E"/>
    <w:rsid w:val="002B1B54"/>
    <w:rsid w:val="002B1B7E"/>
    <w:rsid w:val="002B1B94"/>
    <w:rsid w:val="002B1E86"/>
    <w:rsid w:val="002B1EB9"/>
    <w:rsid w:val="002B217B"/>
    <w:rsid w:val="002B21E7"/>
    <w:rsid w:val="002B25F5"/>
    <w:rsid w:val="002B2607"/>
    <w:rsid w:val="002B271D"/>
    <w:rsid w:val="002B27BA"/>
    <w:rsid w:val="002B2806"/>
    <w:rsid w:val="002B2B30"/>
    <w:rsid w:val="002B2BA7"/>
    <w:rsid w:val="002B2C3E"/>
    <w:rsid w:val="002B2C95"/>
    <w:rsid w:val="002B2D1C"/>
    <w:rsid w:val="002B2E29"/>
    <w:rsid w:val="002B2E42"/>
    <w:rsid w:val="002B2E76"/>
    <w:rsid w:val="002B2EAC"/>
    <w:rsid w:val="002B2F2D"/>
    <w:rsid w:val="002B2F41"/>
    <w:rsid w:val="002B302A"/>
    <w:rsid w:val="002B3201"/>
    <w:rsid w:val="002B3635"/>
    <w:rsid w:val="002B36D8"/>
    <w:rsid w:val="002B379B"/>
    <w:rsid w:val="002B37A7"/>
    <w:rsid w:val="002B38CC"/>
    <w:rsid w:val="002B3AAD"/>
    <w:rsid w:val="002B3C12"/>
    <w:rsid w:val="002B3C42"/>
    <w:rsid w:val="002B3C84"/>
    <w:rsid w:val="002B3C96"/>
    <w:rsid w:val="002B3CD9"/>
    <w:rsid w:val="002B3D63"/>
    <w:rsid w:val="002B401C"/>
    <w:rsid w:val="002B4200"/>
    <w:rsid w:val="002B42BD"/>
    <w:rsid w:val="002B439D"/>
    <w:rsid w:val="002B4666"/>
    <w:rsid w:val="002B46AE"/>
    <w:rsid w:val="002B46D8"/>
    <w:rsid w:val="002B47DE"/>
    <w:rsid w:val="002B47F1"/>
    <w:rsid w:val="002B4AF8"/>
    <w:rsid w:val="002B4B2D"/>
    <w:rsid w:val="002B4E65"/>
    <w:rsid w:val="002B4ED2"/>
    <w:rsid w:val="002B4EEF"/>
    <w:rsid w:val="002B51C4"/>
    <w:rsid w:val="002B5229"/>
    <w:rsid w:val="002B5391"/>
    <w:rsid w:val="002B5560"/>
    <w:rsid w:val="002B56A7"/>
    <w:rsid w:val="002B5793"/>
    <w:rsid w:val="002B57DE"/>
    <w:rsid w:val="002B58E6"/>
    <w:rsid w:val="002B5A09"/>
    <w:rsid w:val="002B5AEA"/>
    <w:rsid w:val="002B5C76"/>
    <w:rsid w:val="002B5C8E"/>
    <w:rsid w:val="002B5D5F"/>
    <w:rsid w:val="002B5E59"/>
    <w:rsid w:val="002B5E8E"/>
    <w:rsid w:val="002B5EAC"/>
    <w:rsid w:val="002B5ED9"/>
    <w:rsid w:val="002B5F13"/>
    <w:rsid w:val="002B5F6B"/>
    <w:rsid w:val="002B6043"/>
    <w:rsid w:val="002B60B6"/>
    <w:rsid w:val="002B60F4"/>
    <w:rsid w:val="002B60F9"/>
    <w:rsid w:val="002B61F9"/>
    <w:rsid w:val="002B64A8"/>
    <w:rsid w:val="002B64E5"/>
    <w:rsid w:val="002B663A"/>
    <w:rsid w:val="002B668C"/>
    <w:rsid w:val="002B6867"/>
    <w:rsid w:val="002B68C2"/>
    <w:rsid w:val="002B6921"/>
    <w:rsid w:val="002B6964"/>
    <w:rsid w:val="002B6995"/>
    <w:rsid w:val="002B69DF"/>
    <w:rsid w:val="002B6BE4"/>
    <w:rsid w:val="002B6BE8"/>
    <w:rsid w:val="002B6D9B"/>
    <w:rsid w:val="002B6F43"/>
    <w:rsid w:val="002B6F6C"/>
    <w:rsid w:val="002B70F4"/>
    <w:rsid w:val="002B720C"/>
    <w:rsid w:val="002B723E"/>
    <w:rsid w:val="002B7367"/>
    <w:rsid w:val="002B738F"/>
    <w:rsid w:val="002B7575"/>
    <w:rsid w:val="002B757C"/>
    <w:rsid w:val="002B75F6"/>
    <w:rsid w:val="002B7683"/>
    <w:rsid w:val="002B76D2"/>
    <w:rsid w:val="002B76D8"/>
    <w:rsid w:val="002B78D5"/>
    <w:rsid w:val="002B7A02"/>
    <w:rsid w:val="002B7B32"/>
    <w:rsid w:val="002B7BD0"/>
    <w:rsid w:val="002B7BD7"/>
    <w:rsid w:val="002B7C22"/>
    <w:rsid w:val="002B7E0D"/>
    <w:rsid w:val="002B7E66"/>
    <w:rsid w:val="002C004B"/>
    <w:rsid w:val="002C00B3"/>
    <w:rsid w:val="002C00CE"/>
    <w:rsid w:val="002C00CF"/>
    <w:rsid w:val="002C00FB"/>
    <w:rsid w:val="002C00FC"/>
    <w:rsid w:val="002C0146"/>
    <w:rsid w:val="002C0152"/>
    <w:rsid w:val="002C0367"/>
    <w:rsid w:val="002C03B2"/>
    <w:rsid w:val="002C07C2"/>
    <w:rsid w:val="002C07E5"/>
    <w:rsid w:val="002C0869"/>
    <w:rsid w:val="002C0960"/>
    <w:rsid w:val="002C0A90"/>
    <w:rsid w:val="002C0B30"/>
    <w:rsid w:val="002C0C2A"/>
    <w:rsid w:val="002C0C94"/>
    <w:rsid w:val="002C0D23"/>
    <w:rsid w:val="002C0DDD"/>
    <w:rsid w:val="002C0EAE"/>
    <w:rsid w:val="002C0FDE"/>
    <w:rsid w:val="002C1106"/>
    <w:rsid w:val="002C1151"/>
    <w:rsid w:val="002C11B2"/>
    <w:rsid w:val="002C13D1"/>
    <w:rsid w:val="002C14F8"/>
    <w:rsid w:val="002C1519"/>
    <w:rsid w:val="002C15E2"/>
    <w:rsid w:val="002C175B"/>
    <w:rsid w:val="002C177A"/>
    <w:rsid w:val="002C17B7"/>
    <w:rsid w:val="002C1838"/>
    <w:rsid w:val="002C1970"/>
    <w:rsid w:val="002C1A0B"/>
    <w:rsid w:val="002C1AE8"/>
    <w:rsid w:val="002C1BB5"/>
    <w:rsid w:val="002C1BB9"/>
    <w:rsid w:val="002C1C5A"/>
    <w:rsid w:val="002C1CF3"/>
    <w:rsid w:val="002C1E4A"/>
    <w:rsid w:val="002C1E6B"/>
    <w:rsid w:val="002C1EAE"/>
    <w:rsid w:val="002C21BD"/>
    <w:rsid w:val="002C22FA"/>
    <w:rsid w:val="002C2343"/>
    <w:rsid w:val="002C23A7"/>
    <w:rsid w:val="002C2410"/>
    <w:rsid w:val="002C2474"/>
    <w:rsid w:val="002C24B3"/>
    <w:rsid w:val="002C25BF"/>
    <w:rsid w:val="002C26A7"/>
    <w:rsid w:val="002C2732"/>
    <w:rsid w:val="002C283C"/>
    <w:rsid w:val="002C2992"/>
    <w:rsid w:val="002C2A28"/>
    <w:rsid w:val="002C2AE4"/>
    <w:rsid w:val="002C2B38"/>
    <w:rsid w:val="002C2B71"/>
    <w:rsid w:val="002C2BFD"/>
    <w:rsid w:val="002C2C2E"/>
    <w:rsid w:val="002C2C42"/>
    <w:rsid w:val="002C2D0F"/>
    <w:rsid w:val="002C2E17"/>
    <w:rsid w:val="002C2E52"/>
    <w:rsid w:val="002C2F1F"/>
    <w:rsid w:val="002C303A"/>
    <w:rsid w:val="002C3078"/>
    <w:rsid w:val="002C30D3"/>
    <w:rsid w:val="002C30F5"/>
    <w:rsid w:val="002C31D9"/>
    <w:rsid w:val="002C3215"/>
    <w:rsid w:val="002C3227"/>
    <w:rsid w:val="002C34C2"/>
    <w:rsid w:val="002C34E2"/>
    <w:rsid w:val="002C35BF"/>
    <w:rsid w:val="002C3610"/>
    <w:rsid w:val="002C3643"/>
    <w:rsid w:val="002C386C"/>
    <w:rsid w:val="002C3968"/>
    <w:rsid w:val="002C3AAE"/>
    <w:rsid w:val="002C3B78"/>
    <w:rsid w:val="002C3BA5"/>
    <w:rsid w:val="002C3BDE"/>
    <w:rsid w:val="002C3D2D"/>
    <w:rsid w:val="002C3D7C"/>
    <w:rsid w:val="002C3E1B"/>
    <w:rsid w:val="002C3E6F"/>
    <w:rsid w:val="002C3F74"/>
    <w:rsid w:val="002C3FCA"/>
    <w:rsid w:val="002C401A"/>
    <w:rsid w:val="002C404D"/>
    <w:rsid w:val="002C40F9"/>
    <w:rsid w:val="002C4266"/>
    <w:rsid w:val="002C428F"/>
    <w:rsid w:val="002C44BA"/>
    <w:rsid w:val="002C44DB"/>
    <w:rsid w:val="002C4716"/>
    <w:rsid w:val="002C47F1"/>
    <w:rsid w:val="002C4946"/>
    <w:rsid w:val="002C49F1"/>
    <w:rsid w:val="002C4A12"/>
    <w:rsid w:val="002C4ABE"/>
    <w:rsid w:val="002C4BEE"/>
    <w:rsid w:val="002C4E62"/>
    <w:rsid w:val="002C4FBA"/>
    <w:rsid w:val="002C4FF7"/>
    <w:rsid w:val="002C5385"/>
    <w:rsid w:val="002C5397"/>
    <w:rsid w:val="002C53CB"/>
    <w:rsid w:val="002C54D5"/>
    <w:rsid w:val="002C5646"/>
    <w:rsid w:val="002C5763"/>
    <w:rsid w:val="002C57A6"/>
    <w:rsid w:val="002C5AE2"/>
    <w:rsid w:val="002C5B89"/>
    <w:rsid w:val="002C5E61"/>
    <w:rsid w:val="002C5EE1"/>
    <w:rsid w:val="002C5F0A"/>
    <w:rsid w:val="002C5FBD"/>
    <w:rsid w:val="002C6196"/>
    <w:rsid w:val="002C62C5"/>
    <w:rsid w:val="002C62D2"/>
    <w:rsid w:val="002C639B"/>
    <w:rsid w:val="002C63EF"/>
    <w:rsid w:val="002C6432"/>
    <w:rsid w:val="002C64B8"/>
    <w:rsid w:val="002C655D"/>
    <w:rsid w:val="002C65AA"/>
    <w:rsid w:val="002C65E1"/>
    <w:rsid w:val="002C67E7"/>
    <w:rsid w:val="002C682C"/>
    <w:rsid w:val="002C683F"/>
    <w:rsid w:val="002C68EA"/>
    <w:rsid w:val="002C68EB"/>
    <w:rsid w:val="002C6B15"/>
    <w:rsid w:val="002C6CAC"/>
    <w:rsid w:val="002C6CF5"/>
    <w:rsid w:val="002C6D96"/>
    <w:rsid w:val="002C6DBC"/>
    <w:rsid w:val="002C6E7C"/>
    <w:rsid w:val="002C6E98"/>
    <w:rsid w:val="002C6F12"/>
    <w:rsid w:val="002C70CC"/>
    <w:rsid w:val="002C7117"/>
    <w:rsid w:val="002C715F"/>
    <w:rsid w:val="002C730D"/>
    <w:rsid w:val="002C739F"/>
    <w:rsid w:val="002C7655"/>
    <w:rsid w:val="002C7682"/>
    <w:rsid w:val="002C7770"/>
    <w:rsid w:val="002C77FA"/>
    <w:rsid w:val="002C7886"/>
    <w:rsid w:val="002C78A2"/>
    <w:rsid w:val="002C7A1D"/>
    <w:rsid w:val="002C7B23"/>
    <w:rsid w:val="002C7CCE"/>
    <w:rsid w:val="002C7D24"/>
    <w:rsid w:val="002C7D67"/>
    <w:rsid w:val="002C7F8E"/>
    <w:rsid w:val="002C7F97"/>
    <w:rsid w:val="002D0018"/>
    <w:rsid w:val="002D0095"/>
    <w:rsid w:val="002D01E9"/>
    <w:rsid w:val="002D0284"/>
    <w:rsid w:val="002D0328"/>
    <w:rsid w:val="002D0355"/>
    <w:rsid w:val="002D04EA"/>
    <w:rsid w:val="002D0545"/>
    <w:rsid w:val="002D0566"/>
    <w:rsid w:val="002D05A1"/>
    <w:rsid w:val="002D06BF"/>
    <w:rsid w:val="002D0729"/>
    <w:rsid w:val="002D0A3D"/>
    <w:rsid w:val="002D0A6D"/>
    <w:rsid w:val="002D0BE5"/>
    <w:rsid w:val="002D0BEA"/>
    <w:rsid w:val="002D0C36"/>
    <w:rsid w:val="002D0C46"/>
    <w:rsid w:val="002D0CBC"/>
    <w:rsid w:val="002D0DD7"/>
    <w:rsid w:val="002D0E85"/>
    <w:rsid w:val="002D0EB8"/>
    <w:rsid w:val="002D0F6E"/>
    <w:rsid w:val="002D0F90"/>
    <w:rsid w:val="002D1048"/>
    <w:rsid w:val="002D10C7"/>
    <w:rsid w:val="002D1239"/>
    <w:rsid w:val="002D1244"/>
    <w:rsid w:val="002D13B7"/>
    <w:rsid w:val="002D14B2"/>
    <w:rsid w:val="002D14E1"/>
    <w:rsid w:val="002D1628"/>
    <w:rsid w:val="002D1653"/>
    <w:rsid w:val="002D1789"/>
    <w:rsid w:val="002D1797"/>
    <w:rsid w:val="002D1866"/>
    <w:rsid w:val="002D1908"/>
    <w:rsid w:val="002D1A49"/>
    <w:rsid w:val="002D1AAA"/>
    <w:rsid w:val="002D1ACC"/>
    <w:rsid w:val="002D1AFA"/>
    <w:rsid w:val="002D1B4A"/>
    <w:rsid w:val="002D1B5F"/>
    <w:rsid w:val="002D1C67"/>
    <w:rsid w:val="002D1CF1"/>
    <w:rsid w:val="002D1DEC"/>
    <w:rsid w:val="002D1E1A"/>
    <w:rsid w:val="002D1E54"/>
    <w:rsid w:val="002D1ED9"/>
    <w:rsid w:val="002D1F8A"/>
    <w:rsid w:val="002D205B"/>
    <w:rsid w:val="002D20C0"/>
    <w:rsid w:val="002D2123"/>
    <w:rsid w:val="002D2133"/>
    <w:rsid w:val="002D2207"/>
    <w:rsid w:val="002D24CF"/>
    <w:rsid w:val="002D2567"/>
    <w:rsid w:val="002D25D4"/>
    <w:rsid w:val="002D25E2"/>
    <w:rsid w:val="002D2839"/>
    <w:rsid w:val="002D2857"/>
    <w:rsid w:val="002D28A6"/>
    <w:rsid w:val="002D28C8"/>
    <w:rsid w:val="002D2A6B"/>
    <w:rsid w:val="002D2AE6"/>
    <w:rsid w:val="002D2D8E"/>
    <w:rsid w:val="002D2F24"/>
    <w:rsid w:val="002D2F41"/>
    <w:rsid w:val="002D30C3"/>
    <w:rsid w:val="002D318A"/>
    <w:rsid w:val="002D323E"/>
    <w:rsid w:val="002D327C"/>
    <w:rsid w:val="002D3284"/>
    <w:rsid w:val="002D3350"/>
    <w:rsid w:val="002D3607"/>
    <w:rsid w:val="002D3654"/>
    <w:rsid w:val="002D370A"/>
    <w:rsid w:val="002D375D"/>
    <w:rsid w:val="002D377A"/>
    <w:rsid w:val="002D3838"/>
    <w:rsid w:val="002D38A3"/>
    <w:rsid w:val="002D38AB"/>
    <w:rsid w:val="002D3907"/>
    <w:rsid w:val="002D391F"/>
    <w:rsid w:val="002D3A40"/>
    <w:rsid w:val="002D3A74"/>
    <w:rsid w:val="002D3AB8"/>
    <w:rsid w:val="002D3C9F"/>
    <w:rsid w:val="002D3CDE"/>
    <w:rsid w:val="002D3DF1"/>
    <w:rsid w:val="002D3EF1"/>
    <w:rsid w:val="002D3F16"/>
    <w:rsid w:val="002D3F34"/>
    <w:rsid w:val="002D3F47"/>
    <w:rsid w:val="002D3F8D"/>
    <w:rsid w:val="002D4363"/>
    <w:rsid w:val="002D43B7"/>
    <w:rsid w:val="002D43B8"/>
    <w:rsid w:val="002D458C"/>
    <w:rsid w:val="002D469B"/>
    <w:rsid w:val="002D47F4"/>
    <w:rsid w:val="002D483C"/>
    <w:rsid w:val="002D486C"/>
    <w:rsid w:val="002D49F1"/>
    <w:rsid w:val="002D4A2B"/>
    <w:rsid w:val="002D4A8E"/>
    <w:rsid w:val="002D4B54"/>
    <w:rsid w:val="002D4BEE"/>
    <w:rsid w:val="002D4C10"/>
    <w:rsid w:val="002D4C2D"/>
    <w:rsid w:val="002D4C7F"/>
    <w:rsid w:val="002D4C8E"/>
    <w:rsid w:val="002D4D44"/>
    <w:rsid w:val="002D4D47"/>
    <w:rsid w:val="002D4DC4"/>
    <w:rsid w:val="002D4E62"/>
    <w:rsid w:val="002D4E6E"/>
    <w:rsid w:val="002D4F51"/>
    <w:rsid w:val="002D4F86"/>
    <w:rsid w:val="002D4F91"/>
    <w:rsid w:val="002D5032"/>
    <w:rsid w:val="002D5071"/>
    <w:rsid w:val="002D5251"/>
    <w:rsid w:val="002D52C2"/>
    <w:rsid w:val="002D5352"/>
    <w:rsid w:val="002D5471"/>
    <w:rsid w:val="002D54B8"/>
    <w:rsid w:val="002D56C6"/>
    <w:rsid w:val="002D5774"/>
    <w:rsid w:val="002D5793"/>
    <w:rsid w:val="002D57B8"/>
    <w:rsid w:val="002D5840"/>
    <w:rsid w:val="002D5938"/>
    <w:rsid w:val="002D59B7"/>
    <w:rsid w:val="002D5AFE"/>
    <w:rsid w:val="002D5B5A"/>
    <w:rsid w:val="002D5C35"/>
    <w:rsid w:val="002D5C7E"/>
    <w:rsid w:val="002D5D0E"/>
    <w:rsid w:val="002D5D42"/>
    <w:rsid w:val="002D5DDB"/>
    <w:rsid w:val="002D5DE4"/>
    <w:rsid w:val="002D5F70"/>
    <w:rsid w:val="002D609E"/>
    <w:rsid w:val="002D6159"/>
    <w:rsid w:val="002D620D"/>
    <w:rsid w:val="002D62A5"/>
    <w:rsid w:val="002D62E8"/>
    <w:rsid w:val="002D63B4"/>
    <w:rsid w:val="002D64F1"/>
    <w:rsid w:val="002D6567"/>
    <w:rsid w:val="002D65D2"/>
    <w:rsid w:val="002D66E6"/>
    <w:rsid w:val="002D6736"/>
    <w:rsid w:val="002D6835"/>
    <w:rsid w:val="002D6874"/>
    <w:rsid w:val="002D6951"/>
    <w:rsid w:val="002D696D"/>
    <w:rsid w:val="002D6A4F"/>
    <w:rsid w:val="002D6B0D"/>
    <w:rsid w:val="002D6B9E"/>
    <w:rsid w:val="002D6C63"/>
    <w:rsid w:val="002D6CF7"/>
    <w:rsid w:val="002D6D4F"/>
    <w:rsid w:val="002D6D92"/>
    <w:rsid w:val="002D6DA6"/>
    <w:rsid w:val="002D704A"/>
    <w:rsid w:val="002D704B"/>
    <w:rsid w:val="002D723F"/>
    <w:rsid w:val="002D73BE"/>
    <w:rsid w:val="002D7415"/>
    <w:rsid w:val="002D748F"/>
    <w:rsid w:val="002D769B"/>
    <w:rsid w:val="002D77A2"/>
    <w:rsid w:val="002D7814"/>
    <w:rsid w:val="002D781B"/>
    <w:rsid w:val="002D78E3"/>
    <w:rsid w:val="002D79F3"/>
    <w:rsid w:val="002D7D52"/>
    <w:rsid w:val="002D7EA5"/>
    <w:rsid w:val="002D7F44"/>
    <w:rsid w:val="002E01C0"/>
    <w:rsid w:val="002E020B"/>
    <w:rsid w:val="002E03C4"/>
    <w:rsid w:val="002E0406"/>
    <w:rsid w:val="002E050F"/>
    <w:rsid w:val="002E05BA"/>
    <w:rsid w:val="002E07D3"/>
    <w:rsid w:val="002E08C6"/>
    <w:rsid w:val="002E0946"/>
    <w:rsid w:val="002E0A0F"/>
    <w:rsid w:val="002E0A8F"/>
    <w:rsid w:val="002E0A96"/>
    <w:rsid w:val="002E0AB5"/>
    <w:rsid w:val="002E0AC3"/>
    <w:rsid w:val="002E0C15"/>
    <w:rsid w:val="002E0D84"/>
    <w:rsid w:val="002E0DBF"/>
    <w:rsid w:val="002E0F49"/>
    <w:rsid w:val="002E0F9F"/>
    <w:rsid w:val="002E0FCA"/>
    <w:rsid w:val="002E0FFC"/>
    <w:rsid w:val="002E10CD"/>
    <w:rsid w:val="002E10D0"/>
    <w:rsid w:val="002E120F"/>
    <w:rsid w:val="002E1245"/>
    <w:rsid w:val="002E14CF"/>
    <w:rsid w:val="002E14D7"/>
    <w:rsid w:val="002E155C"/>
    <w:rsid w:val="002E15E3"/>
    <w:rsid w:val="002E170E"/>
    <w:rsid w:val="002E17C4"/>
    <w:rsid w:val="002E1928"/>
    <w:rsid w:val="002E194B"/>
    <w:rsid w:val="002E1965"/>
    <w:rsid w:val="002E1A65"/>
    <w:rsid w:val="002E1A8C"/>
    <w:rsid w:val="002E1B9F"/>
    <w:rsid w:val="002E1BB3"/>
    <w:rsid w:val="002E1C56"/>
    <w:rsid w:val="002E1CEC"/>
    <w:rsid w:val="002E1D5A"/>
    <w:rsid w:val="002E1DBF"/>
    <w:rsid w:val="002E1EA1"/>
    <w:rsid w:val="002E1EB8"/>
    <w:rsid w:val="002E1ED0"/>
    <w:rsid w:val="002E1FA3"/>
    <w:rsid w:val="002E1FD9"/>
    <w:rsid w:val="002E2052"/>
    <w:rsid w:val="002E217C"/>
    <w:rsid w:val="002E23A4"/>
    <w:rsid w:val="002E2682"/>
    <w:rsid w:val="002E279E"/>
    <w:rsid w:val="002E281F"/>
    <w:rsid w:val="002E2823"/>
    <w:rsid w:val="002E2876"/>
    <w:rsid w:val="002E2BCE"/>
    <w:rsid w:val="002E2C2A"/>
    <w:rsid w:val="002E2C45"/>
    <w:rsid w:val="002E2D4B"/>
    <w:rsid w:val="002E2EDF"/>
    <w:rsid w:val="002E2F8F"/>
    <w:rsid w:val="002E303E"/>
    <w:rsid w:val="002E30E9"/>
    <w:rsid w:val="002E32E4"/>
    <w:rsid w:val="002E3316"/>
    <w:rsid w:val="002E3417"/>
    <w:rsid w:val="002E3500"/>
    <w:rsid w:val="002E3593"/>
    <w:rsid w:val="002E3640"/>
    <w:rsid w:val="002E36AA"/>
    <w:rsid w:val="002E3718"/>
    <w:rsid w:val="002E377A"/>
    <w:rsid w:val="002E37F9"/>
    <w:rsid w:val="002E3943"/>
    <w:rsid w:val="002E39A7"/>
    <w:rsid w:val="002E39F0"/>
    <w:rsid w:val="002E3AA4"/>
    <w:rsid w:val="002E3AFB"/>
    <w:rsid w:val="002E3C43"/>
    <w:rsid w:val="002E3C5A"/>
    <w:rsid w:val="002E3C99"/>
    <w:rsid w:val="002E3CF0"/>
    <w:rsid w:val="002E3CF5"/>
    <w:rsid w:val="002E3EB5"/>
    <w:rsid w:val="002E400C"/>
    <w:rsid w:val="002E408B"/>
    <w:rsid w:val="002E40C7"/>
    <w:rsid w:val="002E41B6"/>
    <w:rsid w:val="002E4396"/>
    <w:rsid w:val="002E449F"/>
    <w:rsid w:val="002E44F0"/>
    <w:rsid w:val="002E4683"/>
    <w:rsid w:val="002E46EF"/>
    <w:rsid w:val="002E483E"/>
    <w:rsid w:val="002E492E"/>
    <w:rsid w:val="002E497D"/>
    <w:rsid w:val="002E499F"/>
    <w:rsid w:val="002E4A87"/>
    <w:rsid w:val="002E4AB9"/>
    <w:rsid w:val="002E4AE0"/>
    <w:rsid w:val="002E4B93"/>
    <w:rsid w:val="002E4C20"/>
    <w:rsid w:val="002E4C3F"/>
    <w:rsid w:val="002E4D15"/>
    <w:rsid w:val="002E4D31"/>
    <w:rsid w:val="002E50CC"/>
    <w:rsid w:val="002E51B2"/>
    <w:rsid w:val="002E5417"/>
    <w:rsid w:val="002E5443"/>
    <w:rsid w:val="002E55CB"/>
    <w:rsid w:val="002E56A1"/>
    <w:rsid w:val="002E579A"/>
    <w:rsid w:val="002E5804"/>
    <w:rsid w:val="002E583B"/>
    <w:rsid w:val="002E5995"/>
    <w:rsid w:val="002E59CE"/>
    <w:rsid w:val="002E5AA2"/>
    <w:rsid w:val="002E5BA3"/>
    <w:rsid w:val="002E5C1E"/>
    <w:rsid w:val="002E5CB1"/>
    <w:rsid w:val="002E5CED"/>
    <w:rsid w:val="002E5D40"/>
    <w:rsid w:val="002E5F3D"/>
    <w:rsid w:val="002E6017"/>
    <w:rsid w:val="002E6076"/>
    <w:rsid w:val="002E6095"/>
    <w:rsid w:val="002E60E1"/>
    <w:rsid w:val="002E6398"/>
    <w:rsid w:val="002E662F"/>
    <w:rsid w:val="002E664A"/>
    <w:rsid w:val="002E674A"/>
    <w:rsid w:val="002E68E4"/>
    <w:rsid w:val="002E6975"/>
    <w:rsid w:val="002E699C"/>
    <w:rsid w:val="002E69D1"/>
    <w:rsid w:val="002E6AA1"/>
    <w:rsid w:val="002E6BE8"/>
    <w:rsid w:val="002E6D82"/>
    <w:rsid w:val="002E6ED7"/>
    <w:rsid w:val="002E70B2"/>
    <w:rsid w:val="002E7125"/>
    <w:rsid w:val="002E71C5"/>
    <w:rsid w:val="002E73CB"/>
    <w:rsid w:val="002E7439"/>
    <w:rsid w:val="002E745F"/>
    <w:rsid w:val="002E751D"/>
    <w:rsid w:val="002E7647"/>
    <w:rsid w:val="002E7667"/>
    <w:rsid w:val="002E77C6"/>
    <w:rsid w:val="002E77EC"/>
    <w:rsid w:val="002E7985"/>
    <w:rsid w:val="002E79C4"/>
    <w:rsid w:val="002E7AF1"/>
    <w:rsid w:val="002E7B2A"/>
    <w:rsid w:val="002E7CB6"/>
    <w:rsid w:val="002E7D4F"/>
    <w:rsid w:val="002E7E3A"/>
    <w:rsid w:val="002E7EA0"/>
    <w:rsid w:val="002E7FD9"/>
    <w:rsid w:val="002F0067"/>
    <w:rsid w:val="002F00B3"/>
    <w:rsid w:val="002F0128"/>
    <w:rsid w:val="002F0271"/>
    <w:rsid w:val="002F03CD"/>
    <w:rsid w:val="002F0633"/>
    <w:rsid w:val="002F0638"/>
    <w:rsid w:val="002F063D"/>
    <w:rsid w:val="002F06F4"/>
    <w:rsid w:val="002F0732"/>
    <w:rsid w:val="002F0759"/>
    <w:rsid w:val="002F0884"/>
    <w:rsid w:val="002F0976"/>
    <w:rsid w:val="002F0AB9"/>
    <w:rsid w:val="002F0B3B"/>
    <w:rsid w:val="002F0B92"/>
    <w:rsid w:val="002F0C03"/>
    <w:rsid w:val="002F0CDF"/>
    <w:rsid w:val="002F0CF0"/>
    <w:rsid w:val="002F0E9F"/>
    <w:rsid w:val="002F0F71"/>
    <w:rsid w:val="002F105B"/>
    <w:rsid w:val="002F10C1"/>
    <w:rsid w:val="002F118F"/>
    <w:rsid w:val="002F13E5"/>
    <w:rsid w:val="002F140C"/>
    <w:rsid w:val="002F1535"/>
    <w:rsid w:val="002F1547"/>
    <w:rsid w:val="002F169D"/>
    <w:rsid w:val="002F178C"/>
    <w:rsid w:val="002F17A5"/>
    <w:rsid w:val="002F17C2"/>
    <w:rsid w:val="002F18F6"/>
    <w:rsid w:val="002F19A7"/>
    <w:rsid w:val="002F19ED"/>
    <w:rsid w:val="002F1C25"/>
    <w:rsid w:val="002F1E9D"/>
    <w:rsid w:val="002F1EE6"/>
    <w:rsid w:val="002F1EFF"/>
    <w:rsid w:val="002F20A3"/>
    <w:rsid w:val="002F20C2"/>
    <w:rsid w:val="002F212D"/>
    <w:rsid w:val="002F2252"/>
    <w:rsid w:val="002F234C"/>
    <w:rsid w:val="002F234D"/>
    <w:rsid w:val="002F2445"/>
    <w:rsid w:val="002F24C0"/>
    <w:rsid w:val="002F24F4"/>
    <w:rsid w:val="002F2642"/>
    <w:rsid w:val="002F26E0"/>
    <w:rsid w:val="002F2846"/>
    <w:rsid w:val="002F2867"/>
    <w:rsid w:val="002F28FF"/>
    <w:rsid w:val="002F2926"/>
    <w:rsid w:val="002F29A1"/>
    <w:rsid w:val="002F29F3"/>
    <w:rsid w:val="002F2A1D"/>
    <w:rsid w:val="002F2BDF"/>
    <w:rsid w:val="002F2C58"/>
    <w:rsid w:val="002F2C78"/>
    <w:rsid w:val="002F2CAD"/>
    <w:rsid w:val="002F2DEC"/>
    <w:rsid w:val="002F2E15"/>
    <w:rsid w:val="002F2FCA"/>
    <w:rsid w:val="002F2FDC"/>
    <w:rsid w:val="002F30A0"/>
    <w:rsid w:val="002F30B4"/>
    <w:rsid w:val="002F30E8"/>
    <w:rsid w:val="002F32D2"/>
    <w:rsid w:val="002F33E8"/>
    <w:rsid w:val="002F347B"/>
    <w:rsid w:val="002F34A6"/>
    <w:rsid w:val="002F35DB"/>
    <w:rsid w:val="002F380B"/>
    <w:rsid w:val="002F3925"/>
    <w:rsid w:val="002F39E6"/>
    <w:rsid w:val="002F3A33"/>
    <w:rsid w:val="002F3C18"/>
    <w:rsid w:val="002F3CA8"/>
    <w:rsid w:val="002F3CFD"/>
    <w:rsid w:val="002F3DED"/>
    <w:rsid w:val="002F3E4F"/>
    <w:rsid w:val="002F3F02"/>
    <w:rsid w:val="002F4007"/>
    <w:rsid w:val="002F4042"/>
    <w:rsid w:val="002F40AE"/>
    <w:rsid w:val="002F40BB"/>
    <w:rsid w:val="002F40FE"/>
    <w:rsid w:val="002F413B"/>
    <w:rsid w:val="002F4163"/>
    <w:rsid w:val="002F41C9"/>
    <w:rsid w:val="002F4211"/>
    <w:rsid w:val="002F4320"/>
    <w:rsid w:val="002F439D"/>
    <w:rsid w:val="002F43E8"/>
    <w:rsid w:val="002F4521"/>
    <w:rsid w:val="002F46B5"/>
    <w:rsid w:val="002F4749"/>
    <w:rsid w:val="002F47FE"/>
    <w:rsid w:val="002F4864"/>
    <w:rsid w:val="002F48DB"/>
    <w:rsid w:val="002F48FC"/>
    <w:rsid w:val="002F4B9B"/>
    <w:rsid w:val="002F4D3C"/>
    <w:rsid w:val="002F4D53"/>
    <w:rsid w:val="002F4E1C"/>
    <w:rsid w:val="002F4E32"/>
    <w:rsid w:val="002F4E9A"/>
    <w:rsid w:val="002F4EA7"/>
    <w:rsid w:val="002F4F33"/>
    <w:rsid w:val="002F4FFB"/>
    <w:rsid w:val="002F509C"/>
    <w:rsid w:val="002F50C9"/>
    <w:rsid w:val="002F514B"/>
    <w:rsid w:val="002F52D3"/>
    <w:rsid w:val="002F5321"/>
    <w:rsid w:val="002F53AC"/>
    <w:rsid w:val="002F5466"/>
    <w:rsid w:val="002F558F"/>
    <w:rsid w:val="002F5605"/>
    <w:rsid w:val="002F5665"/>
    <w:rsid w:val="002F5693"/>
    <w:rsid w:val="002F57A3"/>
    <w:rsid w:val="002F5804"/>
    <w:rsid w:val="002F588A"/>
    <w:rsid w:val="002F5A8C"/>
    <w:rsid w:val="002F5B40"/>
    <w:rsid w:val="002F5CA8"/>
    <w:rsid w:val="002F5DAB"/>
    <w:rsid w:val="002F5E54"/>
    <w:rsid w:val="002F5ED7"/>
    <w:rsid w:val="002F5F4C"/>
    <w:rsid w:val="002F6223"/>
    <w:rsid w:val="002F6272"/>
    <w:rsid w:val="002F6273"/>
    <w:rsid w:val="002F62EF"/>
    <w:rsid w:val="002F6304"/>
    <w:rsid w:val="002F64DB"/>
    <w:rsid w:val="002F6602"/>
    <w:rsid w:val="002F669E"/>
    <w:rsid w:val="002F67F0"/>
    <w:rsid w:val="002F6967"/>
    <w:rsid w:val="002F69A5"/>
    <w:rsid w:val="002F6A13"/>
    <w:rsid w:val="002F6B3A"/>
    <w:rsid w:val="002F6B59"/>
    <w:rsid w:val="002F6D2F"/>
    <w:rsid w:val="002F6D3E"/>
    <w:rsid w:val="002F6D74"/>
    <w:rsid w:val="002F6E69"/>
    <w:rsid w:val="002F6ED3"/>
    <w:rsid w:val="002F6FEB"/>
    <w:rsid w:val="002F704B"/>
    <w:rsid w:val="002F70CE"/>
    <w:rsid w:val="002F7185"/>
    <w:rsid w:val="002F732F"/>
    <w:rsid w:val="002F7338"/>
    <w:rsid w:val="002F75F5"/>
    <w:rsid w:val="002F7649"/>
    <w:rsid w:val="002F76AD"/>
    <w:rsid w:val="002F7727"/>
    <w:rsid w:val="002F781F"/>
    <w:rsid w:val="002F7922"/>
    <w:rsid w:val="002F79F9"/>
    <w:rsid w:val="002F7B80"/>
    <w:rsid w:val="002F7BE3"/>
    <w:rsid w:val="002F7CDF"/>
    <w:rsid w:val="002F7E2E"/>
    <w:rsid w:val="003000FF"/>
    <w:rsid w:val="0030028D"/>
    <w:rsid w:val="00300508"/>
    <w:rsid w:val="0030072B"/>
    <w:rsid w:val="00300B5B"/>
    <w:rsid w:val="00300BCC"/>
    <w:rsid w:val="00300C24"/>
    <w:rsid w:val="00300C8B"/>
    <w:rsid w:val="00300C9D"/>
    <w:rsid w:val="00300D91"/>
    <w:rsid w:val="00300DE6"/>
    <w:rsid w:val="00300F4A"/>
    <w:rsid w:val="00300F59"/>
    <w:rsid w:val="00300FBD"/>
    <w:rsid w:val="0030104C"/>
    <w:rsid w:val="00301068"/>
    <w:rsid w:val="00301252"/>
    <w:rsid w:val="0030126A"/>
    <w:rsid w:val="00301272"/>
    <w:rsid w:val="003013F3"/>
    <w:rsid w:val="00301445"/>
    <w:rsid w:val="00301507"/>
    <w:rsid w:val="003015E4"/>
    <w:rsid w:val="003015FD"/>
    <w:rsid w:val="003016E5"/>
    <w:rsid w:val="003016F6"/>
    <w:rsid w:val="003016FC"/>
    <w:rsid w:val="00301780"/>
    <w:rsid w:val="0030190A"/>
    <w:rsid w:val="00301919"/>
    <w:rsid w:val="00301B77"/>
    <w:rsid w:val="00301B9F"/>
    <w:rsid w:val="00301BF6"/>
    <w:rsid w:val="00301C3D"/>
    <w:rsid w:val="00301CDC"/>
    <w:rsid w:val="00301D2B"/>
    <w:rsid w:val="00301D6A"/>
    <w:rsid w:val="00301D6B"/>
    <w:rsid w:val="00301E13"/>
    <w:rsid w:val="00301F1D"/>
    <w:rsid w:val="00301F68"/>
    <w:rsid w:val="00301F8D"/>
    <w:rsid w:val="003023F7"/>
    <w:rsid w:val="003024EE"/>
    <w:rsid w:val="0030256E"/>
    <w:rsid w:val="003025CD"/>
    <w:rsid w:val="003027B9"/>
    <w:rsid w:val="00302923"/>
    <w:rsid w:val="003029A6"/>
    <w:rsid w:val="003029BC"/>
    <w:rsid w:val="00302A67"/>
    <w:rsid w:val="00302AE5"/>
    <w:rsid w:val="00302B41"/>
    <w:rsid w:val="00302CCB"/>
    <w:rsid w:val="00302D46"/>
    <w:rsid w:val="00302D66"/>
    <w:rsid w:val="00302D75"/>
    <w:rsid w:val="00302EBE"/>
    <w:rsid w:val="003030FB"/>
    <w:rsid w:val="0030310A"/>
    <w:rsid w:val="003031D7"/>
    <w:rsid w:val="00303221"/>
    <w:rsid w:val="0030328A"/>
    <w:rsid w:val="0030333A"/>
    <w:rsid w:val="003033AE"/>
    <w:rsid w:val="003033DA"/>
    <w:rsid w:val="00303696"/>
    <w:rsid w:val="00303760"/>
    <w:rsid w:val="003038D7"/>
    <w:rsid w:val="003038DC"/>
    <w:rsid w:val="0030399E"/>
    <w:rsid w:val="003039FD"/>
    <w:rsid w:val="00303B16"/>
    <w:rsid w:val="00303B5D"/>
    <w:rsid w:val="00303BAC"/>
    <w:rsid w:val="00303C44"/>
    <w:rsid w:val="00303D15"/>
    <w:rsid w:val="00303DF7"/>
    <w:rsid w:val="00303E8A"/>
    <w:rsid w:val="00303F92"/>
    <w:rsid w:val="00303FDF"/>
    <w:rsid w:val="003040CE"/>
    <w:rsid w:val="00304120"/>
    <w:rsid w:val="00304123"/>
    <w:rsid w:val="003042BB"/>
    <w:rsid w:val="003042C5"/>
    <w:rsid w:val="0030449E"/>
    <w:rsid w:val="003045DD"/>
    <w:rsid w:val="003045DE"/>
    <w:rsid w:val="00304600"/>
    <w:rsid w:val="00304768"/>
    <w:rsid w:val="003047CD"/>
    <w:rsid w:val="00304A09"/>
    <w:rsid w:val="00304A53"/>
    <w:rsid w:val="00304A89"/>
    <w:rsid w:val="00304A98"/>
    <w:rsid w:val="00304C7E"/>
    <w:rsid w:val="00304D3A"/>
    <w:rsid w:val="00304E6B"/>
    <w:rsid w:val="00304F10"/>
    <w:rsid w:val="00304F12"/>
    <w:rsid w:val="00304FBF"/>
    <w:rsid w:val="00304FC3"/>
    <w:rsid w:val="00305221"/>
    <w:rsid w:val="0030534B"/>
    <w:rsid w:val="0030545C"/>
    <w:rsid w:val="003054A2"/>
    <w:rsid w:val="00305507"/>
    <w:rsid w:val="0030569D"/>
    <w:rsid w:val="003056B7"/>
    <w:rsid w:val="00305720"/>
    <w:rsid w:val="0030576D"/>
    <w:rsid w:val="003057D9"/>
    <w:rsid w:val="003057E2"/>
    <w:rsid w:val="0030592B"/>
    <w:rsid w:val="00305942"/>
    <w:rsid w:val="003059FD"/>
    <w:rsid w:val="00305A36"/>
    <w:rsid w:val="00305B0C"/>
    <w:rsid w:val="00305B2D"/>
    <w:rsid w:val="00305B48"/>
    <w:rsid w:val="00305BD7"/>
    <w:rsid w:val="00305C96"/>
    <w:rsid w:val="00305D0A"/>
    <w:rsid w:val="00305D61"/>
    <w:rsid w:val="00305EF4"/>
    <w:rsid w:val="00306140"/>
    <w:rsid w:val="00306199"/>
    <w:rsid w:val="003061B5"/>
    <w:rsid w:val="003062E1"/>
    <w:rsid w:val="00306414"/>
    <w:rsid w:val="003064F4"/>
    <w:rsid w:val="00306547"/>
    <w:rsid w:val="003065D5"/>
    <w:rsid w:val="0030664B"/>
    <w:rsid w:val="0030665D"/>
    <w:rsid w:val="003066FB"/>
    <w:rsid w:val="003067C7"/>
    <w:rsid w:val="0030686B"/>
    <w:rsid w:val="00306971"/>
    <w:rsid w:val="0030698A"/>
    <w:rsid w:val="00306B22"/>
    <w:rsid w:val="00306C04"/>
    <w:rsid w:val="00306CA0"/>
    <w:rsid w:val="00306CB9"/>
    <w:rsid w:val="00306CD1"/>
    <w:rsid w:val="00306F33"/>
    <w:rsid w:val="00306F50"/>
    <w:rsid w:val="00306F7B"/>
    <w:rsid w:val="00306FB9"/>
    <w:rsid w:val="00307037"/>
    <w:rsid w:val="003070A2"/>
    <w:rsid w:val="00307114"/>
    <w:rsid w:val="0030725F"/>
    <w:rsid w:val="0030734A"/>
    <w:rsid w:val="00307350"/>
    <w:rsid w:val="00307380"/>
    <w:rsid w:val="003075E7"/>
    <w:rsid w:val="00307705"/>
    <w:rsid w:val="00307A1F"/>
    <w:rsid w:val="00307A2B"/>
    <w:rsid w:val="00307B79"/>
    <w:rsid w:val="00307C56"/>
    <w:rsid w:val="00307E6B"/>
    <w:rsid w:val="00307E88"/>
    <w:rsid w:val="00307ED6"/>
    <w:rsid w:val="00307EFC"/>
    <w:rsid w:val="0031010A"/>
    <w:rsid w:val="00310174"/>
    <w:rsid w:val="003101C0"/>
    <w:rsid w:val="003102E1"/>
    <w:rsid w:val="003103CC"/>
    <w:rsid w:val="003103F9"/>
    <w:rsid w:val="00310420"/>
    <w:rsid w:val="003105D4"/>
    <w:rsid w:val="0031073A"/>
    <w:rsid w:val="0031088B"/>
    <w:rsid w:val="0031092F"/>
    <w:rsid w:val="00310950"/>
    <w:rsid w:val="00310A85"/>
    <w:rsid w:val="00310B09"/>
    <w:rsid w:val="00310B2D"/>
    <w:rsid w:val="00310B78"/>
    <w:rsid w:val="00310B88"/>
    <w:rsid w:val="00310CC4"/>
    <w:rsid w:val="00310CDA"/>
    <w:rsid w:val="00310E8F"/>
    <w:rsid w:val="00311174"/>
    <w:rsid w:val="003112ED"/>
    <w:rsid w:val="003112FE"/>
    <w:rsid w:val="00311401"/>
    <w:rsid w:val="00311413"/>
    <w:rsid w:val="0031147C"/>
    <w:rsid w:val="003114B1"/>
    <w:rsid w:val="003114B8"/>
    <w:rsid w:val="003114DD"/>
    <w:rsid w:val="0031151F"/>
    <w:rsid w:val="00311534"/>
    <w:rsid w:val="003115EA"/>
    <w:rsid w:val="003116E3"/>
    <w:rsid w:val="0031172D"/>
    <w:rsid w:val="003118E9"/>
    <w:rsid w:val="003118F1"/>
    <w:rsid w:val="0031192A"/>
    <w:rsid w:val="003119E7"/>
    <w:rsid w:val="00311A57"/>
    <w:rsid w:val="00311D13"/>
    <w:rsid w:val="00311D4A"/>
    <w:rsid w:val="00311DC8"/>
    <w:rsid w:val="00311F3A"/>
    <w:rsid w:val="00311FC4"/>
    <w:rsid w:val="003120CE"/>
    <w:rsid w:val="0031214D"/>
    <w:rsid w:val="0031216C"/>
    <w:rsid w:val="003121EF"/>
    <w:rsid w:val="00312223"/>
    <w:rsid w:val="00312238"/>
    <w:rsid w:val="00312399"/>
    <w:rsid w:val="003124D9"/>
    <w:rsid w:val="0031258F"/>
    <w:rsid w:val="00312636"/>
    <w:rsid w:val="0031263B"/>
    <w:rsid w:val="00312651"/>
    <w:rsid w:val="003126F4"/>
    <w:rsid w:val="003126F7"/>
    <w:rsid w:val="00312704"/>
    <w:rsid w:val="003127B4"/>
    <w:rsid w:val="00312816"/>
    <w:rsid w:val="00312A06"/>
    <w:rsid w:val="00312A26"/>
    <w:rsid w:val="00312A99"/>
    <w:rsid w:val="00312AA4"/>
    <w:rsid w:val="00312B6A"/>
    <w:rsid w:val="00312D3E"/>
    <w:rsid w:val="00312E5F"/>
    <w:rsid w:val="00312F28"/>
    <w:rsid w:val="00312F76"/>
    <w:rsid w:val="00312FA2"/>
    <w:rsid w:val="00312FA5"/>
    <w:rsid w:val="00313033"/>
    <w:rsid w:val="0031304B"/>
    <w:rsid w:val="003131E4"/>
    <w:rsid w:val="0031332A"/>
    <w:rsid w:val="003133D8"/>
    <w:rsid w:val="0031343E"/>
    <w:rsid w:val="003134F2"/>
    <w:rsid w:val="003135B1"/>
    <w:rsid w:val="003136AB"/>
    <w:rsid w:val="003136F1"/>
    <w:rsid w:val="0031374F"/>
    <w:rsid w:val="003137C0"/>
    <w:rsid w:val="0031389A"/>
    <w:rsid w:val="003139B6"/>
    <w:rsid w:val="00313AF1"/>
    <w:rsid w:val="00313B95"/>
    <w:rsid w:val="00313C41"/>
    <w:rsid w:val="00313DCA"/>
    <w:rsid w:val="00313E45"/>
    <w:rsid w:val="00313E8D"/>
    <w:rsid w:val="00313F4C"/>
    <w:rsid w:val="00313F60"/>
    <w:rsid w:val="00313F8C"/>
    <w:rsid w:val="00313F8E"/>
    <w:rsid w:val="00313FAC"/>
    <w:rsid w:val="00313FBE"/>
    <w:rsid w:val="0031401C"/>
    <w:rsid w:val="0031408A"/>
    <w:rsid w:val="0031420E"/>
    <w:rsid w:val="003142E9"/>
    <w:rsid w:val="0031439A"/>
    <w:rsid w:val="003143A0"/>
    <w:rsid w:val="00314441"/>
    <w:rsid w:val="0031444A"/>
    <w:rsid w:val="00314461"/>
    <w:rsid w:val="00314584"/>
    <w:rsid w:val="0031460B"/>
    <w:rsid w:val="0031487E"/>
    <w:rsid w:val="00314A91"/>
    <w:rsid w:val="00314B4B"/>
    <w:rsid w:val="00314CDE"/>
    <w:rsid w:val="00314D0E"/>
    <w:rsid w:val="00314E54"/>
    <w:rsid w:val="00314E8C"/>
    <w:rsid w:val="00314ECF"/>
    <w:rsid w:val="00314F36"/>
    <w:rsid w:val="00314F58"/>
    <w:rsid w:val="00314F7C"/>
    <w:rsid w:val="00314FE7"/>
    <w:rsid w:val="003150D9"/>
    <w:rsid w:val="003150FC"/>
    <w:rsid w:val="00315106"/>
    <w:rsid w:val="00315295"/>
    <w:rsid w:val="003153BD"/>
    <w:rsid w:val="00315410"/>
    <w:rsid w:val="00315526"/>
    <w:rsid w:val="0031567A"/>
    <w:rsid w:val="003156E3"/>
    <w:rsid w:val="003157B8"/>
    <w:rsid w:val="003157CC"/>
    <w:rsid w:val="003157F3"/>
    <w:rsid w:val="0031593F"/>
    <w:rsid w:val="00315A9D"/>
    <w:rsid w:val="00315AB0"/>
    <w:rsid w:val="00315ADE"/>
    <w:rsid w:val="00315B54"/>
    <w:rsid w:val="00315B85"/>
    <w:rsid w:val="00315BF7"/>
    <w:rsid w:val="00315DF8"/>
    <w:rsid w:val="00315ECC"/>
    <w:rsid w:val="00315EE7"/>
    <w:rsid w:val="00315F3D"/>
    <w:rsid w:val="00316161"/>
    <w:rsid w:val="0031618A"/>
    <w:rsid w:val="003162BA"/>
    <w:rsid w:val="003163C7"/>
    <w:rsid w:val="00316446"/>
    <w:rsid w:val="003164BD"/>
    <w:rsid w:val="00316502"/>
    <w:rsid w:val="00316578"/>
    <w:rsid w:val="00316584"/>
    <w:rsid w:val="0031661E"/>
    <w:rsid w:val="00316691"/>
    <w:rsid w:val="00316699"/>
    <w:rsid w:val="00316856"/>
    <w:rsid w:val="0031686B"/>
    <w:rsid w:val="00316946"/>
    <w:rsid w:val="00316995"/>
    <w:rsid w:val="00316F38"/>
    <w:rsid w:val="00316FA3"/>
    <w:rsid w:val="00317040"/>
    <w:rsid w:val="0031705A"/>
    <w:rsid w:val="00317077"/>
    <w:rsid w:val="003170D7"/>
    <w:rsid w:val="00317180"/>
    <w:rsid w:val="003171BC"/>
    <w:rsid w:val="0031734D"/>
    <w:rsid w:val="003175F4"/>
    <w:rsid w:val="0031772E"/>
    <w:rsid w:val="00317839"/>
    <w:rsid w:val="00317903"/>
    <w:rsid w:val="00317AA9"/>
    <w:rsid w:val="00317AC8"/>
    <w:rsid w:val="00317BD2"/>
    <w:rsid w:val="00317C34"/>
    <w:rsid w:val="00317C4F"/>
    <w:rsid w:val="00317D29"/>
    <w:rsid w:val="00317D74"/>
    <w:rsid w:val="00317FDB"/>
    <w:rsid w:val="0031B98F"/>
    <w:rsid w:val="003200D8"/>
    <w:rsid w:val="00320167"/>
    <w:rsid w:val="00320272"/>
    <w:rsid w:val="003202C9"/>
    <w:rsid w:val="00320368"/>
    <w:rsid w:val="003204D7"/>
    <w:rsid w:val="0032060F"/>
    <w:rsid w:val="0032062F"/>
    <w:rsid w:val="00320631"/>
    <w:rsid w:val="0032078E"/>
    <w:rsid w:val="0032086C"/>
    <w:rsid w:val="0032086E"/>
    <w:rsid w:val="00320898"/>
    <w:rsid w:val="003209A8"/>
    <w:rsid w:val="003209AD"/>
    <w:rsid w:val="00320CE7"/>
    <w:rsid w:val="00320D60"/>
    <w:rsid w:val="00320E37"/>
    <w:rsid w:val="00320F41"/>
    <w:rsid w:val="00320FB4"/>
    <w:rsid w:val="00320FD5"/>
    <w:rsid w:val="003211C2"/>
    <w:rsid w:val="003211CB"/>
    <w:rsid w:val="003213B0"/>
    <w:rsid w:val="003214E3"/>
    <w:rsid w:val="00321508"/>
    <w:rsid w:val="00321534"/>
    <w:rsid w:val="003215CA"/>
    <w:rsid w:val="00321714"/>
    <w:rsid w:val="0032174B"/>
    <w:rsid w:val="00321872"/>
    <w:rsid w:val="0032188E"/>
    <w:rsid w:val="003218E5"/>
    <w:rsid w:val="00321B82"/>
    <w:rsid w:val="00321B8F"/>
    <w:rsid w:val="00321BF7"/>
    <w:rsid w:val="00321CFE"/>
    <w:rsid w:val="00321E45"/>
    <w:rsid w:val="0032204D"/>
    <w:rsid w:val="0032206D"/>
    <w:rsid w:val="003220EE"/>
    <w:rsid w:val="0032210B"/>
    <w:rsid w:val="003221DE"/>
    <w:rsid w:val="00322295"/>
    <w:rsid w:val="003223B5"/>
    <w:rsid w:val="00322442"/>
    <w:rsid w:val="00322484"/>
    <w:rsid w:val="00322527"/>
    <w:rsid w:val="0032255A"/>
    <w:rsid w:val="00322572"/>
    <w:rsid w:val="003226A6"/>
    <w:rsid w:val="003226E2"/>
    <w:rsid w:val="003226FF"/>
    <w:rsid w:val="0032286A"/>
    <w:rsid w:val="003228EA"/>
    <w:rsid w:val="003229D0"/>
    <w:rsid w:val="00322A36"/>
    <w:rsid w:val="00322A4A"/>
    <w:rsid w:val="00322BD4"/>
    <w:rsid w:val="00322BDA"/>
    <w:rsid w:val="00322C75"/>
    <w:rsid w:val="00322CDB"/>
    <w:rsid w:val="00322CE4"/>
    <w:rsid w:val="00322DAF"/>
    <w:rsid w:val="00322E59"/>
    <w:rsid w:val="00322E7D"/>
    <w:rsid w:val="00322E86"/>
    <w:rsid w:val="00322F90"/>
    <w:rsid w:val="00322F98"/>
    <w:rsid w:val="00322FE0"/>
    <w:rsid w:val="00323028"/>
    <w:rsid w:val="00323189"/>
    <w:rsid w:val="003231AF"/>
    <w:rsid w:val="003231FC"/>
    <w:rsid w:val="0032324B"/>
    <w:rsid w:val="003233AC"/>
    <w:rsid w:val="003233D0"/>
    <w:rsid w:val="003233E5"/>
    <w:rsid w:val="00323409"/>
    <w:rsid w:val="0032352A"/>
    <w:rsid w:val="00323799"/>
    <w:rsid w:val="003237C7"/>
    <w:rsid w:val="003237DB"/>
    <w:rsid w:val="003238E0"/>
    <w:rsid w:val="00323932"/>
    <w:rsid w:val="00323960"/>
    <w:rsid w:val="003239AB"/>
    <w:rsid w:val="00323A29"/>
    <w:rsid w:val="00323C7F"/>
    <w:rsid w:val="00323D53"/>
    <w:rsid w:val="00323D9A"/>
    <w:rsid w:val="00323E59"/>
    <w:rsid w:val="00323EAA"/>
    <w:rsid w:val="00323EEA"/>
    <w:rsid w:val="00323F8A"/>
    <w:rsid w:val="00323FB8"/>
    <w:rsid w:val="00324023"/>
    <w:rsid w:val="00324058"/>
    <w:rsid w:val="00324069"/>
    <w:rsid w:val="003240DD"/>
    <w:rsid w:val="00324249"/>
    <w:rsid w:val="00324370"/>
    <w:rsid w:val="00324388"/>
    <w:rsid w:val="003244A1"/>
    <w:rsid w:val="00324532"/>
    <w:rsid w:val="00324567"/>
    <w:rsid w:val="003245FE"/>
    <w:rsid w:val="0032468F"/>
    <w:rsid w:val="003247E0"/>
    <w:rsid w:val="00324802"/>
    <w:rsid w:val="003248A7"/>
    <w:rsid w:val="003248B8"/>
    <w:rsid w:val="003248E5"/>
    <w:rsid w:val="00324B15"/>
    <w:rsid w:val="00324B35"/>
    <w:rsid w:val="00324CF5"/>
    <w:rsid w:val="00324D70"/>
    <w:rsid w:val="0032518C"/>
    <w:rsid w:val="003251A5"/>
    <w:rsid w:val="003251B1"/>
    <w:rsid w:val="003253E0"/>
    <w:rsid w:val="003254BF"/>
    <w:rsid w:val="003255A9"/>
    <w:rsid w:val="00325614"/>
    <w:rsid w:val="0032562A"/>
    <w:rsid w:val="003257EE"/>
    <w:rsid w:val="003259A7"/>
    <w:rsid w:val="003259E1"/>
    <w:rsid w:val="00325AD5"/>
    <w:rsid w:val="00325BD8"/>
    <w:rsid w:val="00325D86"/>
    <w:rsid w:val="00325E13"/>
    <w:rsid w:val="00325E54"/>
    <w:rsid w:val="00325F16"/>
    <w:rsid w:val="0032606E"/>
    <w:rsid w:val="003260C6"/>
    <w:rsid w:val="0032614A"/>
    <w:rsid w:val="003261F6"/>
    <w:rsid w:val="00326268"/>
    <w:rsid w:val="0032632A"/>
    <w:rsid w:val="003263CE"/>
    <w:rsid w:val="00326406"/>
    <w:rsid w:val="00326584"/>
    <w:rsid w:val="00326608"/>
    <w:rsid w:val="003266DE"/>
    <w:rsid w:val="003267F3"/>
    <w:rsid w:val="00326874"/>
    <w:rsid w:val="003268A7"/>
    <w:rsid w:val="003268B1"/>
    <w:rsid w:val="003268D8"/>
    <w:rsid w:val="00326900"/>
    <w:rsid w:val="00326AD9"/>
    <w:rsid w:val="00326BD1"/>
    <w:rsid w:val="00326C36"/>
    <w:rsid w:val="00326D02"/>
    <w:rsid w:val="00326E59"/>
    <w:rsid w:val="00327030"/>
    <w:rsid w:val="003270F4"/>
    <w:rsid w:val="00327163"/>
    <w:rsid w:val="0032726D"/>
    <w:rsid w:val="003272AA"/>
    <w:rsid w:val="003273CA"/>
    <w:rsid w:val="0032750B"/>
    <w:rsid w:val="00327519"/>
    <w:rsid w:val="00327523"/>
    <w:rsid w:val="003275B8"/>
    <w:rsid w:val="003275E2"/>
    <w:rsid w:val="00327624"/>
    <w:rsid w:val="003278E0"/>
    <w:rsid w:val="003279E7"/>
    <w:rsid w:val="003279F5"/>
    <w:rsid w:val="00327AFD"/>
    <w:rsid w:val="00327B36"/>
    <w:rsid w:val="00327B74"/>
    <w:rsid w:val="00327BA1"/>
    <w:rsid w:val="00327C54"/>
    <w:rsid w:val="00327CA4"/>
    <w:rsid w:val="00327CBC"/>
    <w:rsid w:val="00327EC7"/>
    <w:rsid w:val="00327F71"/>
    <w:rsid w:val="00330291"/>
    <w:rsid w:val="0033030E"/>
    <w:rsid w:val="003303A0"/>
    <w:rsid w:val="003303B6"/>
    <w:rsid w:val="003303D8"/>
    <w:rsid w:val="003305A5"/>
    <w:rsid w:val="00330679"/>
    <w:rsid w:val="003307BC"/>
    <w:rsid w:val="003307CA"/>
    <w:rsid w:val="0033086E"/>
    <w:rsid w:val="003308C4"/>
    <w:rsid w:val="00330A5D"/>
    <w:rsid w:val="00330A91"/>
    <w:rsid w:val="00330B04"/>
    <w:rsid w:val="00330B4E"/>
    <w:rsid w:val="00330C16"/>
    <w:rsid w:val="00330C4F"/>
    <w:rsid w:val="00330C81"/>
    <w:rsid w:val="00330D32"/>
    <w:rsid w:val="00330D75"/>
    <w:rsid w:val="00330D9A"/>
    <w:rsid w:val="00330F60"/>
    <w:rsid w:val="00330F7B"/>
    <w:rsid w:val="00330FC9"/>
    <w:rsid w:val="0033108C"/>
    <w:rsid w:val="0033113F"/>
    <w:rsid w:val="003311C9"/>
    <w:rsid w:val="00331201"/>
    <w:rsid w:val="003313C3"/>
    <w:rsid w:val="0033147E"/>
    <w:rsid w:val="00331512"/>
    <w:rsid w:val="00331525"/>
    <w:rsid w:val="00331534"/>
    <w:rsid w:val="0033159E"/>
    <w:rsid w:val="00331652"/>
    <w:rsid w:val="00331663"/>
    <w:rsid w:val="00331714"/>
    <w:rsid w:val="0033175C"/>
    <w:rsid w:val="0033176C"/>
    <w:rsid w:val="0033178D"/>
    <w:rsid w:val="0033179C"/>
    <w:rsid w:val="00331809"/>
    <w:rsid w:val="0033182C"/>
    <w:rsid w:val="003318E4"/>
    <w:rsid w:val="003319C7"/>
    <w:rsid w:val="003319F5"/>
    <w:rsid w:val="00331A8E"/>
    <w:rsid w:val="00331B2B"/>
    <w:rsid w:val="00331D0E"/>
    <w:rsid w:val="00331D45"/>
    <w:rsid w:val="00331F41"/>
    <w:rsid w:val="00331F6E"/>
    <w:rsid w:val="00331F79"/>
    <w:rsid w:val="00332051"/>
    <w:rsid w:val="00332078"/>
    <w:rsid w:val="0033213C"/>
    <w:rsid w:val="00332205"/>
    <w:rsid w:val="00332371"/>
    <w:rsid w:val="0033250E"/>
    <w:rsid w:val="0033266C"/>
    <w:rsid w:val="00332809"/>
    <w:rsid w:val="0033281F"/>
    <w:rsid w:val="003328C8"/>
    <w:rsid w:val="003328F0"/>
    <w:rsid w:val="003329A7"/>
    <w:rsid w:val="00332A5C"/>
    <w:rsid w:val="00332C3B"/>
    <w:rsid w:val="00332CCF"/>
    <w:rsid w:val="00332D3D"/>
    <w:rsid w:val="00332E65"/>
    <w:rsid w:val="00332EF3"/>
    <w:rsid w:val="00332F63"/>
    <w:rsid w:val="0033309B"/>
    <w:rsid w:val="003330A6"/>
    <w:rsid w:val="00333211"/>
    <w:rsid w:val="003332A4"/>
    <w:rsid w:val="003332EE"/>
    <w:rsid w:val="003333E8"/>
    <w:rsid w:val="003334AF"/>
    <w:rsid w:val="003334DE"/>
    <w:rsid w:val="00333596"/>
    <w:rsid w:val="00333672"/>
    <w:rsid w:val="00333689"/>
    <w:rsid w:val="003336B1"/>
    <w:rsid w:val="0033371C"/>
    <w:rsid w:val="0033379D"/>
    <w:rsid w:val="00333846"/>
    <w:rsid w:val="003338E0"/>
    <w:rsid w:val="0033393B"/>
    <w:rsid w:val="003339A0"/>
    <w:rsid w:val="00333AF5"/>
    <w:rsid w:val="00333B9D"/>
    <w:rsid w:val="00333BB1"/>
    <w:rsid w:val="00333C52"/>
    <w:rsid w:val="00333CCA"/>
    <w:rsid w:val="00333DF6"/>
    <w:rsid w:val="00333E99"/>
    <w:rsid w:val="00333EB6"/>
    <w:rsid w:val="00333F44"/>
    <w:rsid w:val="00333FE6"/>
    <w:rsid w:val="00334171"/>
    <w:rsid w:val="00334231"/>
    <w:rsid w:val="003342AF"/>
    <w:rsid w:val="0033439C"/>
    <w:rsid w:val="00334531"/>
    <w:rsid w:val="003346A5"/>
    <w:rsid w:val="00334731"/>
    <w:rsid w:val="0033491D"/>
    <w:rsid w:val="00334984"/>
    <w:rsid w:val="00334A8D"/>
    <w:rsid w:val="00334AE7"/>
    <w:rsid w:val="00334BD8"/>
    <w:rsid w:val="00334D50"/>
    <w:rsid w:val="00334DF7"/>
    <w:rsid w:val="00334F2C"/>
    <w:rsid w:val="00334F41"/>
    <w:rsid w:val="00335397"/>
    <w:rsid w:val="003354DC"/>
    <w:rsid w:val="003355EA"/>
    <w:rsid w:val="003356AB"/>
    <w:rsid w:val="003356E4"/>
    <w:rsid w:val="003357EF"/>
    <w:rsid w:val="0033582D"/>
    <w:rsid w:val="00335948"/>
    <w:rsid w:val="00335A08"/>
    <w:rsid w:val="00335BFB"/>
    <w:rsid w:val="00335C7D"/>
    <w:rsid w:val="00335CAF"/>
    <w:rsid w:val="00335D36"/>
    <w:rsid w:val="00335DC3"/>
    <w:rsid w:val="00335E5F"/>
    <w:rsid w:val="00335E7F"/>
    <w:rsid w:val="00335FDA"/>
    <w:rsid w:val="003360D4"/>
    <w:rsid w:val="00336122"/>
    <w:rsid w:val="003361C1"/>
    <w:rsid w:val="003361DD"/>
    <w:rsid w:val="00336299"/>
    <w:rsid w:val="0033632F"/>
    <w:rsid w:val="0033639B"/>
    <w:rsid w:val="003363FD"/>
    <w:rsid w:val="00336484"/>
    <w:rsid w:val="00336494"/>
    <w:rsid w:val="003364BC"/>
    <w:rsid w:val="00336537"/>
    <w:rsid w:val="00336549"/>
    <w:rsid w:val="0033691D"/>
    <w:rsid w:val="00336A2D"/>
    <w:rsid w:val="00336AB9"/>
    <w:rsid w:val="00336AFB"/>
    <w:rsid w:val="00336B26"/>
    <w:rsid w:val="00336BD6"/>
    <w:rsid w:val="00336BE1"/>
    <w:rsid w:val="00336C53"/>
    <w:rsid w:val="00336C98"/>
    <w:rsid w:val="00336D07"/>
    <w:rsid w:val="00336D75"/>
    <w:rsid w:val="00336E1D"/>
    <w:rsid w:val="00336E49"/>
    <w:rsid w:val="00336F1E"/>
    <w:rsid w:val="00336F7E"/>
    <w:rsid w:val="00336FD9"/>
    <w:rsid w:val="0033711D"/>
    <w:rsid w:val="00337185"/>
    <w:rsid w:val="00337299"/>
    <w:rsid w:val="003372A2"/>
    <w:rsid w:val="003373A3"/>
    <w:rsid w:val="00337490"/>
    <w:rsid w:val="003377AF"/>
    <w:rsid w:val="003377DD"/>
    <w:rsid w:val="0033787F"/>
    <w:rsid w:val="00337914"/>
    <w:rsid w:val="00337948"/>
    <w:rsid w:val="00337B04"/>
    <w:rsid w:val="00337BE7"/>
    <w:rsid w:val="00337C63"/>
    <w:rsid w:val="00337DB5"/>
    <w:rsid w:val="00337E92"/>
    <w:rsid w:val="00337EF8"/>
    <w:rsid w:val="00337FE9"/>
    <w:rsid w:val="003400E5"/>
    <w:rsid w:val="00340179"/>
    <w:rsid w:val="0034031B"/>
    <w:rsid w:val="003403D3"/>
    <w:rsid w:val="003406B8"/>
    <w:rsid w:val="003406D3"/>
    <w:rsid w:val="003407D7"/>
    <w:rsid w:val="00340838"/>
    <w:rsid w:val="0034085F"/>
    <w:rsid w:val="00340878"/>
    <w:rsid w:val="003409C9"/>
    <w:rsid w:val="00340A23"/>
    <w:rsid w:val="00340A77"/>
    <w:rsid w:val="00340C88"/>
    <w:rsid w:val="00340D21"/>
    <w:rsid w:val="00340E3D"/>
    <w:rsid w:val="00340F73"/>
    <w:rsid w:val="00341112"/>
    <w:rsid w:val="0034117A"/>
    <w:rsid w:val="003411F3"/>
    <w:rsid w:val="00341415"/>
    <w:rsid w:val="00341558"/>
    <w:rsid w:val="0034178A"/>
    <w:rsid w:val="0034179D"/>
    <w:rsid w:val="003417E3"/>
    <w:rsid w:val="00341945"/>
    <w:rsid w:val="00341A7E"/>
    <w:rsid w:val="00341CC1"/>
    <w:rsid w:val="00342076"/>
    <w:rsid w:val="003420FC"/>
    <w:rsid w:val="0034211E"/>
    <w:rsid w:val="00342145"/>
    <w:rsid w:val="003421A5"/>
    <w:rsid w:val="003421B0"/>
    <w:rsid w:val="0034232D"/>
    <w:rsid w:val="0034243D"/>
    <w:rsid w:val="00342511"/>
    <w:rsid w:val="0034257F"/>
    <w:rsid w:val="003425C7"/>
    <w:rsid w:val="00342637"/>
    <w:rsid w:val="00342673"/>
    <w:rsid w:val="003428EA"/>
    <w:rsid w:val="003429CE"/>
    <w:rsid w:val="00342C3A"/>
    <w:rsid w:val="00342E2C"/>
    <w:rsid w:val="00342F25"/>
    <w:rsid w:val="00342F38"/>
    <w:rsid w:val="00342F8D"/>
    <w:rsid w:val="00343081"/>
    <w:rsid w:val="00343144"/>
    <w:rsid w:val="00343257"/>
    <w:rsid w:val="003432D3"/>
    <w:rsid w:val="0034348D"/>
    <w:rsid w:val="003434C0"/>
    <w:rsid w:val="00343558"/>
    <w:rsid w:val="00343630"/>
    <w:rsid w:val="00343647"/>
    <w:rsid w:val="0034369E"/>
    <w:rsid w:val="003436E6"/>
    <w:rsid w:val="00343753"/>
    <w:rsid w:val="0034389A"/>
    <w:rsid w:val="00343914"/>
    <w:rsid w:val="0034392B"/>
    <w:rsid w:val="003439CD"/>
    <w:rsid w:val="00343B68"/>
    <w:rsid w:val="00343B85"/>
    <w:rsid w:val="00343E54"/>
    <w:rsid w:val="00343F43"/>
    <w:rsid w:val="00344060"/>
    <w:rsid w:val="0034419F"/>
    <w:rsid w:val="0034429F"/>
    <w:rsid w:val="003442A1"/>
    <w:rsid w:val="003443BD"/>
    <w:rsid w:val="00344409"/>
    <w:rsid w:val="0034444D"/>
    <w:rsid w:val="003444A3"/>
    <w:rsid w:val="003444B2"/>
    <w:rsid w:val="0034452E"/>
    <w:rsid w:val="0034461B"/>
    <w:rsid w:val="0034484C"/>
    <w:rsid w:val="0034486F"/>
    <w:rsid w:val="00344884"/>
    <w:rsid w:val="003448CC"/>
    <w:rsid w:val="003449FA"/>
    <w:rsid w:val="00344F2A"/>
    <w:rsid w:val="00344F62"/>
    <w:rsid w:val="00344FAC"/>
    <w:rsid w:val="00345090"/>
    <w:rsid w:val="003451B7"/>
    <w:rsid w:val="0034522D"/>
    <w:rsid w:val="00345292"/>
    <w:rsid w:val="003452D2"/>
    <w:rsid w:val="003452EB"/>
    <w:rsid w:val="00345342"/>
    <w:rsid w:val="003453C3"/>
    <w:rsid w:val="00345412"/>
    <w:rsid w:val="00345633"/>
    <w:rsid w:val="0034565E"/>
    <w:rsid w:val="00345695"/>
    <w:rsid w:val="0034578B"/>
    <w:rsid w:val="003457C4"/>
    <w:rsid w:val="00345855"/>
    <w:rsid w:val="00345859"/>
    <w:rsid w:val="003458C4"/>
    <w:rsid w:val="003458FD"/>
    <w:rsid w:val="00345934"/>
    <w:rsid w:val="003459B4"/>
    <w:rsid w:val="003459CC"/>
    <w:rsid w:val="003459D1"/>
    <w:rsid w:val="003459EF"/>
    <w:rsid w:val="003459F0"/>
    <w:rsid w:val="00345AA5"/>
    <w:rsid w:val="00345AF4"/>
    <w:rsid w:val="00345B51"/>
    <w:rsid w:val="00345C69"/>
    <w:rsid w:val="00345CA1"/>
    <w:rsid w:val="00345DB7"/>
    <w:rsid w:val="00345EE8"/>
    <w:rsid w:val="003460A5"/>
    <w:rsid w:val="003460B3"/>
    <w:rsid w:val="0034611B"/>
    <w:rsid w:val="0034612D"/>
    <w:rsid w:val="003461BB"/>
    <w:rsid w:val="003461FD"/>
    <w:rsid w:val="003463B7"/>
    <w:rsid w:val="003464ED"/>
    <w:rsid w:val="003464FC"/>
    <w:rsid w:val="003466BC"/>
    <w:rsid w:val="00346774"/>
    <w:rsid w:val="0034680B"/>
    <w:rsid w:val="003469D9"/>
    <w:rsid w:val="00346A10"/>
    <w:rsid w:val="00346A70"/>
    <w:rsid w:val="00346B5B"/>
    <w:rsid w:val="00346B9C"/>
    <w:rsid w:val="00346DD4"/>
    <w:rsid w:val="00346DDE"/>
    <w:rsid w:val="00346ED6"/>
    <w:rsid w:val="0034706F"/>
    <w:rsid w:val="003470BC"/>
    <w:rsid w:val="003470BF"/>
    <w:rsid w:val="003471AA"/>
    <w:rsid w:val="003472F4"/>
    <w:rsid w:val="00347352"/>
    <w:rsid w:val="0034735E"/>
    <w:rsid w:val="003474EA"/>
    <w:rsid w:val="003474FB"/>
    <w:rsid w:val="003476DF"/>
    <w:rsid w:val="00347798"/>
    <w:rsid w:val="003477B1"/>
    <w:rsid w:val="003477F7"/>
    <w:rsid w:val="0034783B"/>
    <w:rsid w:val="00347860"/>
    <w:rsid w:val="00347877"/>
    <w:rsid w:val="003478AC"/>
    <w:rsid w:val="00347A31"/>
    <w:rsid w:val="00347A89"/>
    <w:rsid w:val="00347ADA"/>
    <w:rsid w:val="00347C09"/>
    <w:rsid w:val="00347C26"/>
    <w:rsid w:val="00347F01"/>
    <w:rsid w:val="00347F60"/>
    <w:rsid w:val="00347FE8"/>
    <w:rsid w:val="00348533"/>
    <w:rsid w:val="003500C5"/>
    <w:rsid w:val="003501B9"/>
    <w:rsid w:val="003501F9"/>
    <w:rsid w:val="003502BF"/>
    <w:rsid w:val="00350340"/>
    <w:rsid w:val="00350350"/>
    <w:rsid w:val="0035035C"/>
    <w:rsid w:val="0035036D"/>
    <w:rsid w:val="0035037D"/>
    <w:rsid w:val="00350387"/>
    <w:rsid w:val="003503AF"/>
    <w:rsid w:val="003503E0"/>
    <w:rsid w:val="003503E5"/>
    <w:rsid w:val="00350404"/>
    <w:rsid w:val="0035043F"/>
    <w:rsid w:val="0035046D"/>
    <w:rsid w:val="003504F3"/>
    <w:rsid w:val="00350505"/>
    <w:rsid w:val="00350558"/>
    <w:rsid w:val="00350645"/>
    <w:rsid w:val="00350724"/>
    <w:rsid w:val="00350738"/>
    <w:rsid w:val="0035073B"/>
    <w:rsid w:val="00350785"/>
    <w:rsid w:val="003507AE"/>
    <w:rsid w:val="003507F0"/>
    <w:rsid w:val="00350803"/>
    <w:rsid w:val="003508CE"/>
    <w:rsid w:val="003508F1"/>
    <w:rsid w:val="00350A00"/>
    <w:rsid w:val="00350ACA"/>
    <w:rsid w:val="00350B22"/>
    <w:rsid w:val="00350B2D"/>
    <w:rsid w:val="00350B5A"/>
    <w:rsid w:val="00350B6C"/>
    <w:rsid w:val="00350E6D"/>
    <w:rsid w:val="00350ECA"/>
    <w:rsid w:val="00350F29"/>
    <w:rsid w:val="00351287"/>
    <w:rsid w:val="00351344"/>
    <w:rsid w:val="00351391"/>
    <w:rsid w:val="003514DB"/>
    <w:rsid w:val="003514E4"/>
    <w:rsid w:val="00351682"/>
    <w:rsid w:val="0035182B"/>
    <w:rsid w:val="00351A4F"/>
    <w:rsid w:val="00351C33"/>
    <w:rsid w:val="00351C5E"/>
    <w:rsid w:val="00351CAC"/>
    <w:rsid w:val="00351CB1"/>
    <w:rsid w:val="00351D0E"/>
    <w:rsid w:val="00351D1E"/>
    <w:rsid w:val="00351D27"/>
    <w:rsid w:val="00351F9D"/>
    <w:rsid w:val="00352057"/>
    <w:rsid w:val="003520DF"/>
    <w:rsid w:val="00352279"/>
    <w:rsid w:val="003522B1"/>
    <w:rsid w:val="003522B8"/>
    <w:rsid w:val="003523B2"/>
    <w:rsid w:val="00352414"/>
    <w:rsid w:val="00352453"/>
    <w:rsid w:val="00352500"/>
    <w:rsid w:val="0035272D"/>
    <w:rsid w:val="00352777"/>
    <w:rsid w:val="003527BB"/>
    <w:rsid w:val="00352853"/>
    <w:rsid w:val="00352A05"/>
    <w:rsid w:val="00352AC3"/>
    <w:rsid w:val="00352B24"/>
    <w:rsid w:val="00352BD3"/>
    <w:rsid w:val="00352BFC"/>
    <w:rsid w:val="00352D59"/>
    <w:rsid w:val="00352E03"/>
    <w:rsid w:val="00352E0F"/>
    <w:rsid w:val="00352E5A"/>
    <w:rsid w:val="00352E9C"/>
    <w:rsid w:val="00352EB7"/>
    <w:rsid w:val="00352F8E"/>
    <w:rsid w:val="00353300"/>
    <w:rsid w:val="003533FE"/>
    <w:rsid w:val="0035342E"/>
    <w:rsid w:val="0035348C"/>
    <w:rsid w:val="0035368E"/>
    <w:rsid w:val="003539B9"/>
    <w:rsid w:val="00353A08"/>
    <w:rsid w:val="00353E6E"/>
    <w:rsid w:val="0035403F"/>
    <w:rsid w:val="0035407E"/>
    <w:rsid w:val="00354096"/>
    <w:rsid w:val="003542B5"/>
    <w:rsid w:val="003543AD"/>
    <w:rsid w:val="003543BA"/>
    <w:rsid w:val="00354438"/>
    <w:rsid w:val="00354542"/>
    <w:rsid w:val="0035463F"/>
    <w:rsid w:val="00354746"/>
    <w:rsid w:val="003549D7"/>
    <w:rsid w:val="00354A21"/>
    <w:rsid w:val="00354B7E"/>
    <w:rsid w:val="00354B9B"/>
    <w:rsid w:val="00354BCE"/>
    <w:rsid w:val="00354C2B"/>
    <w:rsid w:val="00354F51"/>
    <w:rsid w:val="00354FD4"/>
    <w:rsid w:val="00354FD5"/>
    <w:rsid w:val="003551CD"/>
    <w:rsid w:val="0035526D"/>
    <w:rsid w:val="003552A5"/>
    <w:rsid w:val="003552F4"/>
    <w:rsid w:val="00355310"/>
    <w:rsid w:val="0035597C"/>
    <w:rsid w:val="003559CB"/>
    <w:rsid w:val="00355BED"/>
    <w:rsid w:val="00355C25"/>
    <w:rsid w:val="00355D42"/>
    <w:rsid w:val="00355D69"/>
    <w:rsid w:val="00355DC4"/>
    <w:rsid w:val="00355E5D"/>
    <w:rsid w:val="00355F53"/>
    <w:rsid w:val="00355F79"/>
    <w:rsid w:val="0035601F"/>
    <w:rsid w:val="0035602C"/>
    <w:rsid w:val="0035619B"/>
    <w:rsid w:val="00356217"/>
    <w:rsid w:val="00356370"/>
    <w:rsid w:val="0035653A"/>
    <w:rsid w:val="003566DD"/>
    <w:rsid w:val="00356751"/>
    <w:rsid w:val="00356957"/>
    <w:rsid w:val="003569E3"/>
    <w:rsid w:val="00356A54"/>
    <w:rsid w:val="00356BDE"/>
    <w:rsid w:val="00356C53"/>
    <w:rsid w:val="00356C6A"/>
    <w:rsid w:val="00356C6D"/>
    <w:rsid w:val="00356D3F"/>
    <w:rsid w:val="00356F30"/>
    <w:rsid w:val="00357014"/>
    <w:rsid w:val="00357133"/>
    <w:rsid w:val="00357251"/>
    <w:rsid w:val="00357259"/>
    <w:rsid w:val="003572B1"/>
    <w:rsid w:val="003572D8"/>
    <w:rsid w:val="00357341"/>
    <w:rsid w:val="003573C3"/>
    <w:rsid w:val="0035748C"/>
    <w:rsid w:val="003574A5"/>
    <w:rsid w:val="00357545"/>
    <w:rsid w:val="00357551"/>
    <w:rsid w:val="00357572"/>
    <w:rsid w:val="00357609"/>
    <w:rsid w:val="00357764"/>
    <w:rsid w:val="00357824"/>
    <w:rsid w:val="00357833"/>
    <w:rsid w:val="0035790B"/>
    <w:rsid w:val="00357ACC"/>
    <w:rsid w:val="00357B29"/>
    <w:rsid w:val="00357C22"/>
    <w:rsid w:val="00357C35"/>
    <w:rsid w:val="00357D4B"/>
    <w:rsid w:val="00357F09"/>
    <w:rsid w:val="00357F55"/>
    <w:rsid w:val="00357F80"/>
    <w:rsid w:val="00360052"/>
    <w:rsid w:val="00360074"/>
    <w:rsid w:val="00360080"/>
    <w:rsid w:val="003601A2"/>
    <w:rsid w:val="003601F4"/>
    <w:rsid w:val="003602BB"/>
    <w:rsid w:val="003603B6"/>
    <w:rsid w:val="003604FE"/>
    <w:rsid w:val="00360535"/>
    <w:rsid w:val="0036055D"/>
    <w:rsid w:val="003605BD"/>
    <w:rsid w:val="003606B7"/>
    <w:rsid w:val="003607D4"/>
    <w:rsid w:val="0036088B"/>
    <w:rsid w:val="00360893"/>
    <w:rsid w:val="0036089C"/>
    <w:rsid w:val="00360A04"/>
    <w:rsid w:val="00360A12"/>
    <w:rsid w:val="00360A68"/>
    <w:rsid w:val="00360BB4"/>
    <w:rsid w:val="00360BEF"/>
    <w:rsid w:val="00360C32"/>
    <w:rsid w:val="00360C57"/>
    <w:rsid w:val="00360FDB"/>
    <w:rsid w:val="00360FED"/>
    <w:rsid w:val="0036105F"/>
    <w:rsid w:val="0036129C"/>
    <w:rsid w:val="0036135D"/>
    <w:rsid w:val="003613D4"/>
    <w:rsid w:val="00361413"/>
    <w:rsid w:val="0036168E"/>
    <w:rsid w:val="003617FC"/>
    <w:rsid w:val="00361800"/>
    <w:rsid w:val="003618DC"/>
    <w:rsid w:val="00361902"/>
    <w:rsid w:val="00361AE2"/>
    <w:rsid w:val="00361CFB"/>
    <w:rsid w:val="00361D9F"/>
    <w:rsid w:val="00361EF9"/>
    <w:rsid w:val="00361F12"/>
    <w:rsid w:val="00361FB7"/>
    <w:rsid w:val="0036204C"/>
    <w:rsid w:val="003620FF"/>
    <w:rsid w:val="00362244"/>
    <w:rsid w:val="0036241F"/>
    <w:rsid w:val="0036243E"/>
    <w:rsid w:val="00362500"/>
    <w:rsid w:val="003625B8"/>
    <w:rsid w:val="003625CB"/>
    <w:rsid w:val="003626A6"/>
    <w:rsid w:val="0036284F"/>
    <w:rsid w:val="00362AA7"/>
    <w:rsid w:val="00362B14"/>
    <w:rsid w:val="00362C86"/>
    <w:rsid w:val="00362CD9"/>
    <w:rsid w:val="00362D91"/>
    <w:rsid w:val="00362F16"/>
    <w:rsid w:val="00362F29"/>
    <w:rsid w:val="00363088"/>
    <w:rsid w:val="003630DF"/>
    <w:rsid w:val="0036319E"/>
    <w:rsid w:val="00363238"/>
    <w:rsid w:val="00363271"/>
    <w:rsid w:val="00363421"/>
    <w:rsid w:val="00363478"/>
    <w:rsid w:val="0036350F"/>
    <w:rsid w:val="00363550"/>
    <w:rsid w:val="0036355C"/>
    <w:rsid w:val="0036355D"/>
    <w:rsid w:val="003635C2"/>
    <w:rsid w:val="003635D8"/>
    <w:rsid w:val="003637B4"/>
    <w:rsid w:val="0036396E"/>
    <w:rsid w:val="003639D1"/>
    <w:rsid w:val="003639FC"/>
    <w:rsid w:val="00363A46"/>
    <w:rsid w:val="00363ABE"/>
    <w:rsid w:val="00363C4D"/>
    <w:rsid w:val="00363C57"/>
    <w:rsid w:val="00363D4F"/>
    <w:rsid w:val="00363D73"/>
    <w:rsid w:val="00363D98"/>
    <w:rsid w:val="00363DB5"/>
    <w:rsid w:val="00364041"/>
    <w:rsid w:val="003640C7"/>
    <w:rsid w:val="0036423F"/>
    <w:rsid w:val="00364261"/>
    <w:rsid w:val="00364305"/>
    <w:rsid w:val="00364368"/>
    <w:rsid w:val="00364392"/>
    <w:rsid w:val="00364596"/>
    <w:rsid w:val="003645F8"/>
    <w:rsid w:val="00364720"/>
    <w:rsid w:val="00364989"/>
    <w:rsid w:val="003649D7"/>
    <w:rsid w:val="00364A8B"/>
    <w:rsid w:val="00364B81"/>
    <w:rsid w:val="00364BDF"/>
    <w:rsid w:val="00364BE4"/>
    <w:rsid w:val="00364C20"/>
    <w:rsid w:val="00364FAD"/>
    <w:rsid w:val="0036503F"/>
    <w:rsid w:val="003651DE"/>
    <w:rsid w:val="003654D0"/>
    <w:rsid w:val="003654EF"/>
    <w:rsid w:val="003655BE"/>
    <w:rsid w:val="003657F4"/>
    <w:rsid w:val="003658F0"/>
    <w:rsid w:val="00365907"/>
    <w:rsid w:val="00365944"/>
    <w:rsid w:val="003659B8"/>
    <w:rsid w:val="00365C60"/>
    <w:rsid w:val="00365C6D"/>
    <w:rsid w:val="00365C89"/>
    <w:rsid w:val="00365C90"/>
    <w:rsid w:val="00365C94"/>
    <w:rsid w:val="00365DDD"/>
    <w:rsid w:val="0036618A"/>
    <w:rsid w:val="00366190"/>
    <w:rsid w:val="003661CE"/>
    <w:rsid w:val="00366428"/>
    <w:rsid w:val="00366A33"/>
    <w:rsid w:val="00366B1B"/>
    <w:rsid w:val="00366BF4"/>
    <w:rsid w:val="00366C30"/>
    <w:rsid w:val="00366CCA"/>
    <w:rsid w:val="00366CDD"/>
    <w:rsid w:val="00366DD1"/>
    <w:rsid w:val="00366E2E"/>
    <w:rsid w:val="00366EAF"/>
    <w:rsid w:val="00366ED2"/>
    <w:rsid w:val="00367091"/>
    <w:rsid w:val="003670BB"/>
    <w:rsid w:val="003670C5"/>
    <w:rsid w:val="00367108"/>
    <w:rsid w:val="00367237"/>
    <w:rsid w:val="003672AC"/>
    <w:rsid w:val="0036735E"/>
    <w:rsid w:val="003673F7"/>
    <w:rsid w:val="00367516"/>
    <w:rsid w:val="00367598"/>
    <w:rsid w:val="003676A0"/>
    <w:rsid w:val="003678D6"/>
    <w:rsid w:val="0036795C"/>
    <w:rsid w:val="00367970"/>
    <w:rsid w:val="00367B35"/>
    <w:rsid w:val="00367DFC"/>
    <w:rsid w:val="00367E8C"/>
    <w:rsid w:val="00367F25"/>
    <w:rsid w:val="00367F40"/>
    <w:rsid w:val="00367F70"/>
    <w:rsid w:val="00367F7A"/>
    <w:rsid w:val="003701AF"/>
    <w:rsid w:val="0037026B"/>
    <w:rsid w:val="00370316"/>
    <w:rsid w:val="0037046F"/>
    <w:rsid w:val="003704B4"/>
    <w:rsid w:val="00370514"/>
    <w:rsid w:val="00370541"/>
    <w:rsid w:val="0037055B"/>
    <w:rsid w:val="0037067F"/>
    <w:rsid w:val="00370789"/>
    <w:rsid w:val="0037083A"/>
    <w:rsid w:val="00370D69"/>
    <w:rsid w:val="00370DBA"/>
    <w:rsid w:val="00370DFB"/>
    <w:rsid w:val="00370E79"/>
    <w:rsid w:val="0037107E"/>
    <w:rsid w:val="00371158"/>
    <w:rsid w:val="00371206"/>
    <w:rsid w:val="003712EC"/>
    <w:rsid w:val="003712F6"/>
    <w:rsid w:val="00371386"/>
    <w:rsid w:val="003713F2"/>
    <w:rsid w:val="00371494"/>
    <w:rsid w:val="0037157B"/>
    <w:rsid w:val="0037181E"/>
    <w:rsid w:val="00371AA3"/>
    <w:rsid w:val="00371DC3"/>
    <w:rsid w:val="00371E90"/>
    <w:rsid w:val="00371FCC"/>
    <w:rsid w:val="003721E9"/>
    <w:rsid w:val="00372309"/>
    <w:rsid w:val="0037236B"/>
    <w:rsid w:val="00372388"/>
    <w:rsid w:val="00372553"/>
    <w:rsid w:val="00372579"/>
    <w:rsid w:val="0037257B"/>
    <w:rsid w:val="003725D2"/>
    <w:rsid w:val="0037264F"/>
    <w:rsid w:val="003726D7"/>
    <w:rsid w:val="0037272A"/>
    <w:rsid w:val="00372738"/>
    <w:rsid w:val="003727F4"/>
    <w:rsid w:val="003728D2"/>
    <w:rsid w:val="003729F7"/>
    <w:rsid w:val="00372A2D"/>
    <w:rsid w:val="00372AA8"/>
    <w:rsid w:val="00372F6E"/>
    <w:rsid w:val="00373085"/>
    <w:rsid w:val="0037311B"/>
    <w:rsid w:val="0037315F"/>
    <w:rsid w:val="0037319D"/>
    <w:rsid w:val="003732D9"/>
    <w:rsid w:val="00373491"/>
    <w:rsid w:val="00373496"/>
    <w:rsid w:val="003735BD"/>
    <w:rsid w:val="00373612"/>
    <w:rsid w:val="0037365E"/>
    <w:rsid w:val="00373754"/>
    <w:rsid w:val="003738AA"/>
    <w:rsid w:val="003738C5"/>
    <w:rsid w:val="00373930"/>
    <w:rsid w:val="00373935"/>
    <w:rsid w:val="0037398E"/>
    <w:rsid w:val="00373A04"/>
    <w:rsid w:val="00373A33"/>
    <w:rsid w:val="00373B34"/>
    <w:rsid w:val="00373D03"/>
    <w:rsid w:val="00373D6A"/>
    <w:rsid w:val="003740BC"/>
    <w:rsid w:val="00374160"/>
    <w:rsid w:val="003742A7"/>
    <w:rsid w:val="003742CF"/>
    <w:rsid w:val="003743AF"/>
    <w:rsid w:val="0037453D"/>
    <w:rsid w:val="00374556"/>
    <w:rsid w:val="003745C5"/>
    <w:rsid w:val="00374704"/>
    <w:rsid w:val="00374896"/>
    <w:rsid w:val="00374929"/>
    <w:rsid w:val="003749B0"/>
    <w:rsid w:val="003749B2"/>
    <w:rsid w:val="003749B8"/>
    <w:rsid w:val="003749C6"/>
    <w:rsid w:val="00374B59"/>
    <w:rsid w:val="00374E1F"/>
    <w:rsid w:val="00374E8E"/>
    <w:rsid w:val="00375113"/>
    <w:rsid w:val="00375121"/>
    <w:rsid w:val="0037518B"/>
    <w:rsid w:val="003752E4"/>
    <w:rsid w:val="00375373"/>
    <w:rsid w:val="003754DD"/>
    <w:rsid w:val="00375556"/>
    <w:rsid w:val="00375628"/>
    <w:rsid w:val="00375632"/>
    <w:rsid w:val="00375684"/>
    <w:rsid w:val="00375770"/>
    <w:rsid w:val="0037581C"/>
    <w:rsid w:val="003758E7"/>
    <w:rsid w:val="0037591C"/>
    <w:rsid w:val="00375964"/>
    <w:rsid w:val="00375B71"/>
    <w:rsid w:val="00375BCC"/>
    <w:rsid w:val="00375BE6"/>
    <w:rsid w:val="00375C4F"/>
    <w:rsid w:val="00375C89"/>
    <w:rsid w:val="00375D12"/>
    <w:rsid w:val="00375EE7"/>
    <w:rsid w:val="00375F37"/>
    <w:rsid w:val="00376004"/>
    <w:rsid w:val="00376159"/>
    <w:rsid w:val="0037615B"/>
    <w:rsid w:val="00376183"/>
    <w:rsid w:val="00376216"/>
    <w:rsid w:val="003762AC"/>
    <w:rsid w:val="003763F1"/>
    <w:rsid w:val="00376633"/>
    <w:rsid w:val="00376828"/>
    <w:rsid w:val="00376859"/>
    <w:rsid w:val="003768B2"/>
    <w:rsid w:val="003768F6"/>
    <w:rsid w:val="00376C68"/>
    <w:rsid w:val="00376E07"/>
    <w:rsid w:val="00376F4F"/>
    <w:rsid w:val="003771FB"/>
    <w:rsid w:val="00377255"/>
    <w:rsid w:val="003772C5"/>
    <w:rsid w:val="003773C2"/>
    <w:rsid w:val="003773ED"/>
    <w:rsid w:val="0037760A"/>
    <w:rsid w:val="00377610"/>
    <w:rsid w:val="0037769E"/>
    <w:rsid w:val="00377701"/>
    <w:rsid w:val="00377782"/>
    <w:rsid w:val="0037782F"/>
    <w:rsid w:val="0037788F"/>
    <w:rsid w:val="003779C2"/>
    <w:rsid w:val="00377BB9"/>
    <w:rsid w:val="00377C3A"/>
    <w:rsid w:val="00377D61"/>
    <w:rsid w:val="0038017E"/>
    <w:rsid w:val="003801A6"/>
    <w:rsid w:val="003801C1"/>
    <w:rsid w:val="00380442"/>
    <w:rsid w:val="003804F6"/>
    <w:rsid w:val="00380523"/>
    <w:rsid w:val="0038064F"/>
    <w:rsid w:val="003807AE"/>
    <w:rsid w:val="003807B0"/>
    <w:rsid w:val="0038088B"/>
    <w:rsid w:val="0038098B"/>
    <w:rsid w:val="00380A13"/>
    <w:rsid w:val="00380B10"/>
    <w:rsid w:val="00380B6B"/>
    <w:rsid w:val="00380BBC"/>
    <w:rsid w:val="00380C9A"/>
    <w:rsid w:val="00380D52"/>
    <w:rsid w:val="00380E64"/>
    <w:rsid w:val="00381064"/>
    <w:rsid w:val="00381099"/>
    <w:rsid w:val="0038110A"/>
    <w:rsid w:val="003811AA"/>
    <w:rsid w:val="003811F3"/>
    <w:rsid w:val="0038127B"/>
    <w:rsid w:val="00381376"/>
    <w:rsid w:val="00381533"/>
    <w:rsid w:val="00381787"/>
    <w:rsid w:val="00381875"/>
    <w:rsid w:val="003818D2"/>
    <w:rsid w:val="003819A3"/>
    <w:rsid w:val="003819A5"/>
    <w:rsid w:val="00381A96"/>
    <w:rsid w:val="00381C32"/>
    <w:rsid w:val="00381D10"/>
    <w:rsid w:val="00381D11"/>
    <w:rsid w:val="00381D13"/>
    <w:rsid w:val="00381EA3"/>
    <w:rsid w:val="00381F2B"/>
    <w:rsid w:val="00381FF0"/>
    <w:rsid w:val="0038207C"/>
    <w:rsid w:val="00382210"/>
    <w:rsid w:val="003823BD"/>
    <w:rsid w:val="00382491"/>
    <w:rsid w:val="00382639"/>
    <w:rsid w:val="00382881"/>
    <w:rsid w:val="00382952"/>
    <w:rsid w:val="00382AE7"/>
    <w:rsid w:val="00382BEA"/>
    <w:rsid w:val="00382C0A"/>
    <w:rsid w:val="00382C65"/>
    <w:rsid w:val="00382FCD"/>
    <w:rsid w:val="00383009"/>
    <w:rsid w:val="003830D9"/>
    <w:rsid w:val="00383221"/>
    <w:rsid w:val="0038336D"/>
    <w:rsid w:val="003834AC"/>
    <w:rsid w:val="00383625"/>
    <w:rsid w:val="00383653"/>
    <w:rsid w:val="003836DF"/>
    <w:rsid w:val="00383791"/>
    <w:rsid w:val="003837E7"/>
    <w:rsid w:val="0038385E"/>
    <w:rsid w:val="003838E2"/>
    <w:rsid w:val="003839AF"/>
    <w:rsid w:val="00383A23"/>
    <w:rsid w:val="00383B45"/>
    <w:rsid w:val="00383C45"/>
    <w:rsid w:val="00383C6E"/>
    <w:rsid w:val="00383CE0"/>
    <w:rsid w:val="00383E17"/>
    <w:rsid w:val="00383E38"/>
    <w:rsid w:val="00383F7C"/>
    <w:rsid w:val="00383F92"/>
    <w:rsid w:val="0038407B"/>
    <w:rsid w:val="00384080"/>
    <w:rsid w:val="003840AB"/>
    <w:rsid w:val="003840B2"/>
    <w:rsid w:val="00384167"/>
    <w:rsid w:val="003841C7"/>
    <w:rsid w:val="00384204"/>
    <w:rsid w:val="00384401"/>
    <w:rsid w:val="003845C7"/>
    <w:rsid w:val="0038468B"/>
    <w:rsid w:val="00384774"/>
    <w:rsid w:val="003847BC"/>
    <w:rsid w:val="003847FF"/>
    <w:rsid w:val="00384842"/>
    <w:rsid w:val="00384869"/>
    <w:rsid w:val="003848DA"/>
    <w:rsid w:val="00384919"/>
    <w:rsid w:val="00384984"/>
    <w:rsid w:val="00384BE2"/>
    <w:rsid w:val="00384C27"/>
    <w:rsid w:val="00384D0B"/>
    <w:rsid w:val="00384D37"/>
    <w:rsid w:val="00384D6D"/>
    <w:rsid w:val="00384DCF"/>
    <w:rsid w:val="00384DF6"/>
    <w:rsid w:val="00384F67"/>
    <w:rsid w:val="00385004"/>
    <w:rsid w:val="003850BF"/>
    <w:rsid w:val="003850D3"/>
    <w:rsid w:val="0038510D"/>
    <w:rsid w:val="00385219"/>
    <w:rsid w:val="0038530C"/>
    <w:rsid w:val="003853C6"/>
    <w:rsid w:val="003853EB"/>
    <w:rsid w:val="0038542F"/>
    <w:rsid w:val="003854FA"/>
    <w:rsid w:val="00385613"/>
    <w:rsid w:val="00385692"/>
    <w:rsid w:val="00385708"/>
    <w:rsid w:val="003857C9"/>
    <w:rsid w:val="00385805"/>
    <w:rsid w:val="00385D2D"/>
    <w:rsid w:val="00385DFB"/>
    <w:rsid w:val="00385E57"/>
    <w:rsid w:val="00385EDD"/>
    <w:rsid w:val="00385F3B"/>
    <w:rsid w:val="00385F87"/>
    <w:rsid w:val="003860F6"/>
    <w:rsid w:val="003862E1"/>
    <w:rsid w:val="00386304"/>
    <w:rsid w:val="00386369"/>
    <w:rsid w:val="003864D0"/>
    <w:rsid w:val="0038657F"/>
    <w:rsid w:val="003865D4"/>
    <w:rsid w:val="00386600"/>
    <w:rsid w:val="0038668F"/>
    <w:rsid w:val="003866CD"/>
    <w:rsid w:val="003867E0"/>
    <w:rsid w:val="003867E6"/>
    <w:rsid w:val="0038681E"/>
    <w:rsid w:val="0038686A"/>
    <w:rsid w:val="0038695A"/>
    <w:rsid w:val="00386A2A"/>
    <w:rsid w:val="00386AC6"/>
    <w:rsid w:val="00386AC9"/>
    <w:rsid w:val="00386B11"/>
    <w:rsid w:val="00386CAE"/>
    <w:rsid w:val="00386D06"/>
    <w:rsid w:val="00386D59"/>
    <w:rsid w:val="00386E01"/>
    <w:rsid w:val="00386E3C"/>
    <w:rsid w:val="00386E71"/>
    <w:rsid w:val="00386F2D"/>
    <w:rsid w:val="00386F6D"/>
    <w:rsid w:val="00387038"/>
    <w:rsid w:val="0038718B"/>
    <w:rsid w:val="003871C5"/>
    <w:rsid w:val="003871FF"/>
    <w:rsid w:val="00387234"/>
    <w:rsid w:val="00387351"/>
    <w:rsid w:val="00387358"/>
    <w:rsid w:val="003873C0"/>
    <w:rsid w:val="003873C1"/>
    <w:rsid w:val="003874BE"/>
    <w:rsid w:val="003875B9"/>
    <w:rsid w:val="003875EF"/>
    <w:rsid w:val="00387684"/>
    <w:rsid w:val="00387697"/>
    <w:rsid w:val="00387786"/>
    <w:rsid w:val="003878BE"/>
    <w:rsid w:val="00387923"/>
    <w:rsid w:val="00387A2A"/>
    <w:rsid w:val="00387A4E"/>
    <w:rsid w:val="00387BAC"/>
    <w:rsid w:val="00387BBC"/>
    <w:rsid w:val="00387C3A"/>
    <w:rsid w:val="00387C5A"/>
    <w:rsid w:val="00387C7C"/>
    <w:rsid w:val="00387E63"/>
    <w:rsid w:val="00387E7A"/>
    <w:rsid w:val="00387EA2"/>
    <w:rsid w:val="00387EC5"/>
    <w:rsid w:val="003901F5"/>
    <w:rsid w:val="003902AB"/>
    <w:rsid w:val="003902B5"/>
    <w:rsid w:val="00390319"/>
    <w:rsid w:val="00390324"/>
    <w:rsid w:val="003903D5"/>
    <w:rsid w:val="003903F1"/>
    <w:rsid w:val="0039055D"/>
    <w:rsid w:val="003905D4"/>
    <w:rsid w:val="00390664"/>
    <w:rsid w:val="00390697"/>
    <w:rsid w:val="00390777"/>
    <w:rsid w:val="0039077E"/>
    <w:rsid w:val="00390804"/>
    <w:rsid w:val="00390892"/>
    <w:rsid w:val="003908D9"/>
    <w:rsid w:val="00390957"/>
    <w:rsid w:val="00390B0E"/>
    <w:rsid w:val="00390C94"/>
    <w:rsid w:val="00390D3C"/>
    <w:rsid w:val="00390E0A"/>
    <w:rsid w:val="00390F1D"/>
    <w:rsid w:val="00391013"/>
    <w:rsid w:val="003910F6"/>
    <w:rsid w:val="00391158"/>
    <w:rsid w:val="003911BE"/>
    <w:rsid w:val="003911C0"/>
    <w:rsid w:val="0039121C"/>
    <w:rsid w:val="003912C7"/>
    <w:rsid w:val="003912CF"/>
    <w:rsid w:val="0039136D"/>
    <w:rsid w:val="003913D9"/>
    <w:rsid w:val="003913DF"/>
    <w:rsid w:val="00391435"/>
    <w:rsid w:val="003914C3"/>
    <w:rsid w:val="0039165A"/>
    <w:rsid w:val="0039166D"/>
    <w:rsid w:val="003916A1"/>
    <w:rsid w:val="003916C2"/>
    <w:rsid w:val="00391793"/>
    <w:rsid w:val="003918A0"/>
    <w:rsid w:val="00391938"/>
    <w:rsid w:val="00391AD1"/>
    <w:rsid w:val="00391BE0"/>
    <w:rsid w:val="00391C5C"/>
    <w:rsid w:val="00391D70"/>
    <w:rsid w:val="00391DDD"/>
    <w:rsid w:val="00391F72"/>
    <w:rsid w:val="0039233C"/>
    <w:rsid w:val="003923CB"/>
    <w:rsid w:val="003923F6"/>
    <w:rsid w:val="0039247E"/>
    <w:rsid w:val="003925A2"/>
    <w:rsid w:val="003925EC"/>
    <w:rsid w:val="0039262F"/>
    <w:rsid w:val="00392953"/>
    <w:rsid w:val="0039298D"/>
    <w:rsid w:val="00392ABE"/>
    <w:rsid w:val="00392BE7"/>
    <w:rsid w:val="00392C52"/>
    <w:rsid w:val="00392E33"/>
    <w:rsid w:val="00392F44"/>
    <w:rsid w:val="00392F8A"/>
    <w:rsid w:val="003931E6"/>
    <w:rsid w:val="00393292"/>
    <w:rsid w:val="003932B9"/>
    <w:rsid w:val="003932DA"/>
    <w:rsid w:val="003932F5"/>
    <w:rsid w:val="0039331A"/>
    <w:rsid w:val="00393386"/>
    <w:rsid w:val="003933C5"/>
    <w:rsid w:val="00393488"/>
    <w:rsid w:val="003934EB"/>
    <w:rsid w:val="003935BA"/>
    <w:rsid w:val="00393667"/>
    <w:rsid w:val="00393697"/>
    <w:rsid w:val="00393736"/>
    <w:rsid w:val="00393750"/>
    <w:rsid w:val="003939B0"/>
    <w:rsid w:val="00393A55"/>
    <w:rsid w:val="00393B22"/>
    <w:rsid w:val="00393B46"/>
    <w:rsid w:val="00393C0D"/>
    <w:rsid w:val="00393CB3"/>
    <w:rsid w:val="00393D0F"/>
    <w:rsid w:val="00393E29"/>
    <w:rsid w:val="00393E80"/>
    <w:rsid w:val="00393EFA"/>
    <w:rsid w:val="00393FC9"/>
    <w:rsid w:val="00394081"/>
    <w:rsid w:val="00394092"/>
    <w:rsid w:val="00394102"/>
    <w:rsid w:val="00394191"/>
    <w:rsid w:val="00394267"/>
    <w:rsid w:val="003942B6"/>
    <w:rsid w:val="003942FF"/>
    <w:rsid w:val="003943E2"/>
    <w:rsid w:val="003946E8"/>
    <w:rsid w:val="003947E8"/>
    <w:rsid w:val="00394858"/>
    <w:rsid w:val="00394933"/>
    <w:rsid w:val="00394A62"/>
    <w:rsid w:val="00394BAE"/>
    <w:rsid w:val="00394C21"/>
    <w:rsid w:val="00394C39"/>
    <w:rsid w:val="00394C4A"/>
    <w:rsid w:val="00394CF7"/>
    <w:rsid w:val="00394E36"/>
    <w:rsid w:val="00394E6A"/>
    <w:rsid w:val="00395014"/>
    <w:rsid w:val="00395058"/>
    <w:rsid w:val="0039507F"/>
    <w:rsid w:val="0039515C"/>
    <w:rsid w:val="00395169"/>
    <w:rsid w:val="003952F8"/>
    <w:rsid w:val="00395337"/>
    <w:rsid w:val="00395373"/>
    <w:rsid w:val="00395543"/>
    <w:rsid w:val="003956BA"/>
    <w:rsid w:val="003956EE"/>
    <w:rsid w:val="00395744"/>
    <w:rsid w:val="003957A7"/>
    <w:rsid w:val="003957C7"/>
    <w:rsid w:val="003958C7"/>
    <w:rsid w:val="00395911"/>
    <w:rsid w:val="0039593C"/>
    <w:rsid w:val="00395959"/>
    <w:rsid w:val="0039596C"/>
    <w:rsid w:val="0039598B"/>
    <w:rsid w:val="00395C49"/>
    <w:rsid w:val="00395CAE"/>
    <w:rsid w:val="00395CD7"/>
    <w:rsid w:val="00395D52"/>
    <w:rsid w:val="00395E96"/>
    <w:rsid w:val="0039602B"/>
    <w:rsid w:val="00396070"/>
    <w:rsid w:val="0039610D"/>
    <w:rsid w:val="00396195"/>
    <w:rsid w:val="003961DA"/>
    <w:rsid w:val="003961E0"/>
    <w:rsid w:val="003962E0"/>
    <w:rsid w:val="00396306"/>
    <w:rsid w:val="003963A5"/>
    <w:rsid w:val="00396485"/>
    <w:rsid w:val="00396528"/>
    <w:rsid w:val="00396544"/>
    <w:rsid w:val="003966A2"/>
    <w:rsid w:val="00396712"/>
    <w:rsid w:val="00396732"/>
    <w:rsid w:val="003969F3"/>
    <w:rsid w:val="00396A5C"/>
    <w:rsid w:val="00396D21"/>
    <w:rsid w:val="00396D8E"/>
    <w:rsid w:val="00396F3C"/>
    <w:rsid w:val="00396FDF"/>
    <w:rsid w:val="00397032"/>
    <w:rsid w:val="003970DA"/>
    <w:rsid w:val="00397135"/>
    <w:rsid w:val="0039716F"/>
    <w:rsid w:val="003971D9"/>
    <w:rsid w:val="00397592"/>
    <w:rsid w:val="00397603"/>
    <w:rsid w:val="0039762A"/>
    <w:rsid w:val="0039763D"/>
    <w:rsid w:val="00397647"/>
    <w:rsid w:val="003977B5"/>
    <w:rsid w:val="00397935"/>
    <w:rsid w:val="00397947"/>
    <w:rsid w:val="003979F6"/>
    <w:rsid w:val="00397A34"/>
    <w:rsid w:val="00397B05"/>
    <w:rsid w:val="00397BA5"/>
    <w:rsid w:val="00397CD9"/>
    <w:rsid w:val="00397DD4"/>
    <w:rsid w:val="00397DD6"/>
    <w:rsid w:val="00397E94"/>
    <w:rsid w:val="00397F93"/>
    <w:rsid w:val="003A0160"/>
    <w:rsid w:val="003A01DE"/>
    <w:rsid w:val="003A01F3"/>
    <w:rsid w:val="003A03BF"/>
    <w:rsid w:val="003A048C"/>
    <w:rsid w:val="003A04FE"/>
    <w:rsid w:val="003A064F"/>
    <w:rsid w:val="003A0690"/>
    <w:rsid w:val="003A0778"/>
    <w:rsid w:val="003A0790"/>
    <w:rsid w:val="003A0849"/>
    <w:rsid w:val="003A084D"/>
    <w:rsid w:val="003A08AE"/>
    <w:rsid w:val="003A09BE"/>
    <w:rsid w:val="003A09D1"/>
    <w:rsid w:val="003A0ABE"/>
    <w:rsid w:val="003A0C11"/>
    <w:rsid w:val="003A0D10"/>
    <w:rsid w:val="003A0DC7"/>
    <w:rsid w:val="003A0EA4"/>
    <w:rsid w:val="003A0FB2"/>
    <w:rsid w:val="003A1224"/>
    <w:rsid w:val="003A1378"/>
    <w:rsid w:val="003A1443"/>
    <w:rsid w:val="003A14C0"/>
    <w:rsid w:val="003A14F9"/>
    <w:rsid w:val="003A1516"/>
    <w:rsid w:val="003A156A"/>
    <w:rsid w:val="003A1751"/>
    <w:rsid w:val="003A1792"/>
    <w:rsid w:val="003A18ED"/>
    <w:rsid w:val="003A193D"/>
    <w:rsid w:val="003A1A1B"/>
    <w:rsid w:val="003A1A47"/>
    <w:rsid w:val="003A1A61"/>
    <w:rsid w:val="003A1ABE"/>
    <w:rsid w:val="003A1B37"/>
    <w:rsid w:val="003A1B7F"/>
    <w:rsid w:val="003A1BA8"/>
    <w:rsid w:val="003A1BBE"/>
    <w:rsid w:val="003A1BDD"/>
    <w:rsid w:val="003A1CA6"/>
    <w:rsid w:val="003A1D2D"/>
    <w:rsid w:val="003A201F"/>
    <w:rsid w:val="003A21CB"/>
    <w:rsid w:val="003A224A"/>
    <w:rsid w:val="003A24F0"/>
    <w:rsid w:val="003A24F2"/>
    <w:rsid w:val="003A25A1"/>
    <w:rsid w:val="003A25AE"/>
    <w:rsid w:val="003A25D8"/>
    <w:rsid w:val="003A2646"/>
    <w:rsid w:val="003A2729"/>
    <w:rsid w:val="003A28A2"/>
    <w:rsid w:val="003A2913"/>
    <w:rsid w:val="003A2914"/>
    <w:rsid w:val="003A29DF"/>
    <w:rsid w:val="003A2B87"/>
    <w:rsid w:val="003A2BF5"/>
    <w:rsid w:val="003A2CA0"/>
    <w:rsid w:val="003A2D20"/>
    <w:rsid w:val="003A2DAC"/>
    <w:rsid w:val="003A2DD3"/>
    <w:rsid w:val="003A2DE9"/>
    <w:rsid w:val="003A2F31"/>
    <w:rsid w:val="003A3068"/>
    <w:rsid w:val="003A3176"/>
    <w:rsid w:val="003A3190"/>
    <w:rsid w:val="003A340C"/>
    <w:rsid w:val="003A3440"/>
    <w:rsid w:val="003A34F6"/>
    <w:rsid w:val="003A3547"/>
    <w:rsid w:val="003A3644"/>
    <w:rsid w:val="003A369E"/>
    <w:rsid w:val="003A39CB"/>
    <w:rsid w:val="003A39CF"/>
    <w:rsid w:val="003A3AF0"/>
    <w:rsid w:val="003A3B85"/>
    <w:rsid w:val="003A3C2C"/>
    <w:rsid w:val="003A3C97"/>
    <w:rsid w:val="003A3EA4"/>
    <w:rsid w:val="003A3EC2"/>
    <w:rsid w:val="003A423B"/>
    <w:rsid w:val="003A4276"/>
    <w:rsid w:val="003A4312"/>
    <w:rsid w:val="003A4369"/>
    <w:rsid w:val="003A43E6"/>
    <w:rsid w:val="003A441E"/>
    <w:rsid w:val="003A4515"/>
    <w:rsid w:val="003A4543"/>
    <w:rsid w:val="003A45B1"/>
    <w:rsid w:val="003A4791"/>
    <w:rsid w:val="003A47F0"/>
    <w:rsid w:val="003A4817"/>
    <w:rsid w:val="003A4826"/>
    <w:rsid w:val="003A4A4B"/>
    <w:rsid w:val="003A4AA0"/>
    <w:rsid w:val="003A4AD1"/>
    <w:rsid w:val="003A4B87"/>
    <w:rsid w:val="003A4CCF"/>
    <w:rsid w:val="003A4EDE"/>
    <w:rsid w:val="003A512F"/>
    <w:rsid w:val="003A5355"/>
    <w:rsid w:val="003A5408"/>
    <w:rsid w:val="003A544D"/>
    <w:rsid w:val="003A552C"/>
    <w:rsid w:val="003A5559"/>
    <w:rsid w:val="003A567A"/>
    <w:rsid w:val="003A569B"/>
    <w:rsid w:val="003A5718"/>
    <w:rsid w:val="003A5769"/>
    <w:rsid w:val="003A58A0"/>
    <w:rsid w:val="003A58B2"/>
    <w:rsid w:val="003A58BA"/>
    <w:rsid w:val="003A58F6"/>
    <w:rsid w:val="003A58FC"/>
    <w:rsid w:val="003A5D48"/>
    <w:rsid w:val="003A5DB6"/>
    <w:rsid w:val="003A5DDA"/>
    <w:rsid w:val="003A5F8B"/>
    <w:rsid w:val="003A6001"/>
    <w:rsid w:val="003A610C"/>
    <w:rsid w:val="003A61DB"/>
    <w:rsid w:val="003A621E"/>
    <w:rsid w:val="003A638D"/>
    <w:rsid w:val="003A65FD"/>
    <w:rsid w:val="003A673F"/>
    <w:rsid w:val="003A6789"/>
    <w:rsid w:val="003A6937"/>
    <w:rsid w:val="003A69D4"/>
    <w:rsid w:val="003A6ADF"/>
    <w:rsid w:val="003A6B85"/>
    <w:rsid w:val="003A6C54"/>
    <w:rsid w:val="003A6E64"/>
    <w:rsid w:val="003A6E75"/>
    <w:rsid w:val="003A6E8D"/>
    <w:rsid w:val="003A6F2E"/>
    <w:rsid w:val="003A6F81"/>
    <w:rsid w:val="003A6F95"/>
    <w:rsid w:val="003A7051"/>
    <w:rsid w:val="003A7124"/>
    <w:rsid w:val="003A7145"/>
    <w:rsid w:val="003A723D"/>
    <w:rsid w:val="003A72A5"/>
    <w:rsid w:val="003A72F8"/>
    <w:rsid w:val="003A738D"/>
    <w:rsid w:val="003A73B9"/>
    <w:rsid w:val="003A73CA"/>
    <w:rsid w:val="003A7438"/>
    <w:rsid w:val="003A756B"/>
    <w:rsid w:val="003A7576"/>
    <w:rsid w:val="003A75DB"/>
    <w:rsid w:val="003A7609"/>
    <w:rsid w:val="003A7735"/>
    <w:rsid w:val="003A7956"/>
    <w:rsid w:val="003A7A6A"/>
    <w:rsid w:val="003A7B89"/>
    <w:rsid w:val="003A7E3E"/>
    <w:rsid w:val="003A7EBE"/>
    <w:rsid w:val="003A7F2A"/>
    <w:rsid w:val="003A7F77"/>
    <w:rsid w:val="003B0072"/>
    <w:rsid w:val="003B026D"/>
    <w:rsid w:val="003B0270"/>
    <w:rsid w:val="003B027E"/>
    <w:rsid w:val="003B0329"/>
    <w:rsid w:val="003B041B"/>
    <w:rsid w:val="003B0453"/>
    <w:rsid w:val="003B0503"/>
    <w:rsid w:val="003B0568"/>
    <w:rsid w:val="003B066F"/>
    <w:rsid w:val="003B06D0"/>
    <w:rsid w:val="003B06FE"/>
    <w:rsid w:val="003B0747"/>
    <w:rsid w:val="003B0796"/>
    <w:rsid w:val="003B07D9"/>
    <w:rsid w:val="003B093A"/>
    <w:rsid w:val="003B0A8B"/>
    <w:rsid w:val="003B0AFE"/>
    <w:rsid w:val="003B0C9A"/>
    <w:rsid w:val="003B0F01"/>
    <w:rsid w:val="003B0FA2"/>
    <w:rsid w:val="003B0FD4"/>
    <w:rsid w:val="003B10A9"/>
    <w:rsid w:val="003B111B"/>
    <w:rsid w:val="003B11B7"/>
    <w:rsid w:val="003B1275"/>
    <w:rsid w:val="003B12B4"/>
    <w:rsid w:val="003B12E4"/>
    <w:rsid w:val="003B1361"/>
    <w:rsid w:val="003B13F1"/>
    <w:rsid w:val="003B1579"/>
    <w:rsid w:val="003B15C5"/>
    <w:rsid w:val="003B164F"/>
    <w:rsid w:val="003B1765"/>
    <w:rsid w:val="003B17F3"/>
    <w:rsid w:val="003B1930"/>
    <w:rsid w:val="003B19B8"/>
    <w:rsid w:val="003B1A5D"/>
    <w:rsid w:val="003B1B30"/>
    <w:rsid w:val="003B1D56"/>
    <w:rsid w:val="003B1D64"/>
    <w:rsid w:val="003B1D6A"/>
    <w:rsid w:val="003B1DC6"/>
    <w:rsid w:val="003B1EBA"/>
    <w:rsid w:val="003B202C"/>
    <w:rsid w:val="003B2242"/>
    <w:rsid w:val="003B229E"/>
    <w:rsid w:val="003B22A2"/>
    <w:rsid w:val="003B237D"/>
    <w:rsid w:val="003B23B8"/>
    <w:rsid w:val="003B24FB"/>
    <w:rsid w:val="003B25BD"/>
    <w:rsid w:val="003B2700"/>
    <w:rsid w:val="003B2745"/>
    <w:rsid w:val="003B27D8"/>
    <w:rsid w:val="003B289C"/>
    <w:rsid w:val="003B28EA"/>
    <w:rsid w:val="003B2ACD"/>
    <w:rsid w:val="003B2C5F"/>
    <w:rsid w:val="003B2FBC"/>
    <w:rsid w:val="003B3054"/>
    <w:rsid w:val="003B306E"/>
    <w:rsid w:val="003B30AD"/>
    <w:rsid w:val="003B30FD"/>
    <w:rsid w:val="003B3103"/>
    <w:rsid w:val="003B3283"/>
    <w:rsid w:val="003B330A"/>
    <w:rsid w:val="003B3370"/>
    <w:rsid w:val="003B33B1"/>
    <w:rsid w:val="003B33EE"/>
    <w:rsid w:val="003B359D"/>
    <w:rsid w:val="003B35F5"/>
    <w:rsid w:val="003B36AA"/>
    <w:rsid w:val="003B36BA"/>
    <w:rsid w:val="003B3861"/>
    <w:rsid w:val="003B38F8"/>
    <w:rsid w:val="003B3913"/>
    <w:rsid w:val="003B3955"/>
    <w:rsid w:val="003B396A"/>
    <w:rsid w:val="003B3A05"/>
    <w:rsid w:val="003B3A74"/>
    <w:rsid w:val="003B3A88"/>
    <w:rsid w:val="003B3D03"/>
    <w:rsid w:val="003B3DE7"/>
    <w:rsid w:val="003B3EA3"/>
    <w:rsid w:val="003B3F25"/>
    <w:rsid w:val="003B3F96"/>
    <w:rsid w:val="003B3FAD"/>
    <w:rsid w:val="003B3FBB"/>
    <w:rsid w:val="003B4073"/>
    <w:rsid w:val="003B4105"/>
    <w:rsid w:val="003B41DA"/>
    <w:rsid w:val="003B435B"/>
    <w:rsid w:val="003B44FA"/>
    <w:rsid w:val="003B4605"/>
    <w:rsid w:val="003B4655"/>
    <w:rsid w:val="003B465B"/>
    <w:rsid w:val="003B46BD"/>
    <w:rsid w:val="003B481C"/>
    <w:rsid w:val="003B4B18"/>
    <w:rsid w:val="003B4E50"/>
    <w:rsid w:val="003B4F62"/>
    <w:rsid w:val="003B500C"/>
    <w:rsid w:val="003B5022"/>
    <w:rsid w:val="003B5254"/>
    <w:rsid w:val="003B5327"/>
    <w:rsid w:val="003B539B"/>
    <w:rsid w:val="003B53B5"/>
    <w:rsid w:val="003B53F2"/>
    <w:rsid w:val="003B548B"/>
    <w:rsid w:val="003B562C"/>
    <w:rsid w:val="003B564D"/>
    <w:rsid w:val="003B5760"/>
    <w:rsid w:val="003B57D6"/>
    <w:rsid w:val="003B5812"/>
    <w:rsid w:val="003B5A20"/>
    <w:rsid w:val="003B5C40"/>
    <w:rsid w:val="003B5C52"/>
    <w:rsid w:val="003B5C83"/>
    <w:rsid w:val="003B5C87"/>
    <w:rsid w:val="003B5CDD"/>
    <w:rsid w:val="003B5EEE"/>
    <w:rsid w:val="003B6021"/>
    <w:rsid w:val="003B60F6"/>
    <w:rsid w:val="003B6108"/>
    <w:rsid w:val="003B6198"/>
    <w:rsid w:val="003B63ED"/>
    <w:rsid w:val="003B6606"/>
    <w:rsid w:val="003B66D9"/>
    <w:rsid w:val="003B6771"/>
    <w:rsid w:val="003B6870"/>
    <w:rsid w:val="003B6883"/>
    <w:rsid w:val="003B69A1"/>
    <w:rsid w:val="003B6A0A"/>
    <w:rsid w:val="003B6A6D"/>
    <w:rsid w:val="003B6A92"/>
    <w:rsid w:val="003B6ACC"/>
    <w:rsid w:val="003B6BBE"/>
    <w:rsid w:val="003B6C5F"/>
    <w:rsid w:val="003B6E03"/>
    <w:rsid w:val="003B6E9E"/>
    <w:rsid w:val="003B6F47"/>
    <w:rsid w:val="003B6F73"/>
    <w:rsid w:val="003B7000"/>
    <w:rsid w:val="003B712E"/>
    <w:rsid w:val="003B7338"/>
    <w:rsid w:val="003B73AF"/>
    <w:rsid w:val="003B73BC"/>
    <w:rsid w:val="003B7677"/>
    <w:rsid w:val="003B767A"/>
    <w:rsid w:val="003B76DC"/>
    <w:rsid w:val="003B782A"/>
    <w:rsid w:val="003B78A2"/>
    <w:rsid w:val="003B7CD7"/>
    <w:rsid w:val="003B7DCE"/>
    <w:rsid w:val="003B7E1C"/>
    <w:rsid w:val="003B7E2A"/>
    <w:rsid w:val="003B7F45"/>
    <w:rsid w:val="003B7F59"/>
    <w:rsid w:val="003B7FC8"/>
    <w:rsid w:val="003C0018"/>
    <w:rsid w:val="003C00B2"/>
    <w:rsid w:val="003C00E7"/>
    <w:rsid w:val="003C01B4"/>
    <w:rsid w:val="003C0278"/>
    <w:rsid w:val="003C03D2"/>
    <w:rsid w:val="003C0411"/>
    <w:rsid w:val="003C0524"/>
    <w:rsid w:val="003C05C9"/>
    <w:rsid w:val="003C0642"/>
    <w:rsid w:val="003C0879"/>
    <w:rsid w:val="003C09A9"/>
    <w:rsid w:val="003C09BD"/>
    <w:rsid w:val="003C0A78"/>
    <w:rsid w:val="003C0C85"/>
    <w:rsid w:val="003C0CBC"/>
    <w:rsid w:val="003C0CC5"/>
    <w:rsid w:val="003C0E9D"/>
    <w:rsid w:val="003C0EA5"/>
    <w:rsid w:val="003C0EB7"/>
    <w:rsid w:val="003C1216"/>
    <w:rsid w:val="003C12C5"/>
    <w:rsid w:val="003C12FD"/>
    <w:rsid w:val="003C1321"/>
    <w:rsid w:val="003C1428"/>
    <w:rsid w:val="003C150C"/>
    <w:rsid w:val="003C1785"/>
    <w:rsid w:val="003C18EA"/>
    <w:rsid w:val="003C1979"/>
    <w:rsid w:val="003C19A2"/>
    <w:rsid w:val="003C19B1"/>
    <w:rsid w:val="003C1B7B"/>
    <w:rsid w:val="003C1B8C"/>
    <w:rsid w:val="003C1B98"/>
    <w:rsid w:val="003C1C85"/>
    <w:rsid w:val="003C1C89"/>
    <w:rsid w:val="003C1C9F"/>
    <w:rsid w:val="003C1CCF"/>
    <w:rsid w:val="003C1D54"/>
    <w:rsid w:val="003C1E76"/>
    <w:rsid w:val="003C1F82"/>
    <w:rsid w:val="003C2008"/>
    <w:rsid w:val="003C20FC"/>
    <w:rsid w:val="003C2132"/>
    <w:rsid w:val="003C21B2"/>
    <w:rsid w:val="003C21B9"/>
    <w:rsid w:val="003C2233"/>
    <w:rsid w:val="003C22C2"/>
    <w:rsid w:val="003C23AC"/>
    <w:rsid w:val="003C23CA"/>
    <w:rsid w:val="003C2462"/>
    <w:rsid w:val="003C2512"/>
    <w:rsid w:val="003C2872"/>
    <w:rsid w:val="003C293C"/>
    <w:rsid w:val="003C2A64"/>
    <w:rsid w:val="003C2ABF"/>
    <w:rsid w:val="003C2AC4"/>
    <w:rsid w:val="003C2AD7"/>
    <w:rsid w:val="003C2AEB"/>
    <w:rsid w:val="003C2E31"/>
    <w:rsid w:val="003C30C4"/>
    <w:rsid w:val="003C3167"/>
    <w:rsid w:val="003C320B"/>
    <w:rsid w:val="003C333B"/>
    <w:rsid w:val="003C33E4"/>
    <w:rsid w:val="003C3565"/>
    <w:rsid w:val="003C35DC"/>
    <w:rsid w:val="003C3608"/>
    <w:rsid w:val="003C369C"/>
    <w:rsid w:val="003C37E4"/>
    <w:rsid w:val="003C38F3"/>
    <w:rsid w:val="003C391F"/>
    <w:rsid w:val="003C398E"/>
    <w:rsid w:val="003C3AB1"/>
    <w:rsid w:val="003C3B3B"/>
    <w:rsid w:val="003C3D0C"/>
    <w:rsid w:val="003C3D3F"/>
    <w:rsid w:val="003C3DE1"/>
    <w:rsid w:val="003C3E3E"/>
    <w:rsid w:val="003C3E8E"/>
    <w:rsid w:val="003C3F0D"/>
    <w:rsid w:val="003C3FF8"/>
    <w:rsid w:val="003C4034"/>
    <w:rsid w:val="003C40D6"/>
    <w:rsid w:val="003C41A8"/>
    <w:rsid w:val="003C4218"/>
    <w:rsid w:val="003C428E"/>
    <w:rsid w:val="003C4469"/>
    <w:rsid w:val="003C44B6"/>
    <w:rsid w:val="003C4560"/>
    <w:rsid w:val="003C46E8"/>
    <w:rsid w:val="003C4731"/>
    <w:rsid w:val="003C484B"/>
    <w:rsid w:val="003C4853"/>
    <w:rsid w:val="003C4A08"/>
    <w:rsid w:val="003C4A85"/>
    <w:rsid w:val="003C4ADC"/>
    <w:rsid w:val="003C4B0C"/>
    <w:rsid w:val="003C4BEE"/>
    <w:rsid w:val="003C4D4B"/>
    <w:rsid w:val="003C4D5A"/>
    <w:rsid w:val="003C4FA0"/>
    <w:rsid w:val="003C50E1"/>
    <w:rsid w:val="003C511D"/>
    <w:rsid w:val="003C51D9"/>
    <w:rsid w:val="003C538C"/>
    <w:rsid w:val="003C53A6"/>
    <w:rsid w:val="003C53EE"/>
    <w:rsid w:val="003C5488"/>
    <w:rsid w:val="003C5657"/>
    <w:rsid w:val="003C5718"/>
    <w:rsid w:val="003C5768"/>
    <w:rsid w:val="003C57A5"/>
    <w:rsid w:val="003C5930"/>
    <w:rsid w:val="003C59F5"/>
    <w:rsid w:val="003C5C28"/>
    <w:rsid w:val="003C5E89"/>
    <w:rsid w:val="003C5F2A"/>
    <w:rsid w:val="003C6029"/>
    <w:rsid w:val="003C6248"/>
    <w:rsid w:val="003C624C"/>
    <w:rsid w:val="003C624F"/>
    <w:rsid w:val="003C62F2"/>
    <w:rsid w:val="003C635B"/>
    <w:rsid w:val="003C637A"/>
    <w:rsid w:val="003C64DA"/>
    <w:rsid w:val="003C65F2"/>
    <w:rsid w:val="003C67C2"/>
    <w:rsid w:val="003C67D5"/>
    <w:rsid w:val="003C68E9"/>
    <w:rsid w:val="003C6AE5"/>
    <w:rsid w:val="003C6B8D"/>
    <w:rsid w:val="003C6B9D"/>
    <w:rsid w:val="003C6C66"/>
    <w:rsid w:val="003C6D98"/>
    <w:rsid w:val="003C6D9B"/>
    <w:rsid w:val="003C6EC6"/>
    <w:rsid w:val="003C6EF9"/>
    <w:rsid w:val="003C6F26"/>
    <w:rsid w:val="003C6F8C"/>
    <w:rsid w:val="003C70BF"/>
    <w:rsid w:val="003C72CF"/>
    <w:rsid w:val="003C7347"/>
    <w:rsid w:val="003C735E"/>
    <w:rsid w:val="003C73AC"/>
    <w:rsid w:val="003C7403"/>
    <w:rsid w:val="003C7569"/>
    <w:rsid w:val="003C76CD"/>
    <w:rsid w:val="003C771A"/>
    <w:rsid w:val="003C7817"/>
    <w:rsid w:val="003C794D"/>
    <w:rsid w:val="003C795B"/>
    <w:rsid w:val="003C7A32"/>
    <w:rsid w:val="003C7ACF"/>
    <w:rsid w:val="003C7C66"/>
    <w:rsid w:val="003C7E4D"/>
    <w:rsid w:val="003C7F3D"/>
    <w:rsid w:val="003C7F51"/>
    <w:rsid w:val="003D00C2"/>
    <w:rsid w:val="003D0553"/>
    <w:rsid w:val="003D07AE"/>
    <w:rsid w:val="003D0822"/>
    <w:rsid w:val="003D0A96"/>
    <w:rsid w:val="003D0B75"/>
    <w:rsid w:val="003D0C38"/>
    <w:rsid w:val="003D0C61"/>
    <w:rsid w:val="003D0D88"/>
    <w:rsid w:val="003D0DDB"/>
    <w:rsid w:val="003D0E97"/>
    <w:rsid w:val="003D0EAF"/>
    <w:rsid w:val="003D0F0D"/>
    <w:rsid w:val="003D0F28"/>
    <w:rsid w:val="003D0FFE"/>
    <w:rsid w:val="003D100A"/>
    <w:rsid w:val="003D11A0"/>
    <w:rsid w:val="003D11CB"/>
    <w:rsid w:val="003D1205"/>
    <w:rsid w:val="003D1291"/>
    <w:rsid w:val="003D1613"/>
    <w:rsid w:val="003D1617"/>
    <w:rsid w:val="003D18B4"/>
    <w:rsid w:val="003D18BF"/>
    <w:rsid w:val="003D19F1"/>
    <w:rsid w:val="003D1BD5"/>
    <w:rsid w:val="003D1BE9"/>
    <w:rsid w:val="003D1D0A"/>
    <w:rsid w:val="003D1DA0"/>
    <w:rsid w:val="003D20B6"/>
    <w:rsid w:val="003D23AB"/>
    <w:rsid w:val="003D2428"/>
    <w:rsid w:val="003D2529"/>
    <w:rsid w:val="003D2593"/>
    <w:rsid w:val="003D264B"/>
    <w:rsid w:val="003D26AF"/>
    <w:rsid w:val="003D2768"/>
    <w:rsid w:val="003D27F2"/>
    <w:rsid w:val="003D282C"/>
    <w:rsid w:val="003D28F8"/>
    <w:rsid w:val="003D28FC"/>
    <w:rsid w:val="003D2A55"/>
    <w:rsid w:val="003D2AB8"/>
    <w:rsid w:val="003D2BBB"/>
    <w:rsid w:val="003D2C7D"/>
    <w:rsid w:val="003D2CD2"/>
    <w:rsid w:val="003D2CD8"/>
    <w:rsid w:val="003D2DA3"/>
    <w:rsid w:val="003D2EDB"/>
    <w:rsid w:val="003D2F61"/>
    <w:rsid w:val="003D3009"/>
    <w:rsid w:val="003D30FF"/>
    <w:rsid w:val="003D354E"/>
    <w:rsid w:val="003D3570"/>
    <w:rsid w:val="003D36B4"/>
    <w:rsid w:val="003D3711"/>
    <w:rsid w:val="003D3721"/>
    <w:rsid w:val="003D3774"/>
    <w:rsid w:val="003D37B2"/>
    <w:rsid w:val="003D37B6"/>
    <w:rsid w:val="003D37B9"/>
    <w:rsid w:val="003D384D"/>
    <w:rsid w:val="003D3860"/>
    <w:rsid w:val="003D38CA"/>
    <w:rsid w:val="003D392E"/>
    <w:rsid w:val="003D393E"/>
    <w:rsid w:val="003D39C5"/>
    <w:rsid w:val="003D3B55"/>
    <w:rsid w:val="003D3D67"/>
    <w:rsid w:val="003D3ECB"/>
    <w:rsid w:val="003D3EE4"/>
    <w:rsid w:val="003D3F57"/>
    <w:rsid w:val="003D3FDA"/>
    <w:rsid w:val="003D40E4"/>
    <w:rsid w:val="003D41C0"/>
    <w:rsid w:val="003D426D"/>
    <w:rsid w:val="003D43A8"/>
    <w:rsid w:val="003D43D1"/>
    <w:rsid w:val="003D448D"/>
    <w:rsid w:val="003D4553"/>
    <w:rsid w:val="003D45CB"/>
    <w:rsid w:val="003D45CC"/>
    <w:rsid w:val="003D46ED"/>
    <w:rsid w:val="003D4774"/>
    <w:rsid w:val="003D47D2"/>
    <w:rsid w:val="003D49A1"/>
    <w:rsid w:val="003D4A8F"/>
    <w:rsid w:val="003D4AC4"/>
    <w:rsid w:val="003D4B30"/>
    <w:rsid w:val="003D4B37"/>
    <w:rsid w:val="003D4C9D"/>
    <w:rsid w:val="003D4E83"/>
    <w:rsid w:val="003D4F45"/>
    <w:rsid w:val="003D4FD0"/>
    <w:rsid w:val="003D4FDF"/>
    <w:rsid w:val="003D5112"/>
    <w:rsid w:val="003D518E"/>
    <w:rsid w:val="003D5244"/>
    <w:rsid w:val="003D527F"/>
    <w:rsid w:val="003D5310"/>
    <w:rsid w:val="003D5366"/>
    <w:rsid w:val="003D5459"/>
    <w:rsid w:val="003D5484"/>
    <w:rsid w:val="003D561E"/>
    <w:rsid w:val="003D57BD"/>
    <w:rsid w:val="003D57C8"/>
    <w:rsid w:val="003D599E"/>
    <w:rsid w:val="003D59E3"/>
    <w:rsid w:val="003D5A32"/>
    <w:rsid w:val="003D5BF1"/>
    <w:rsid w:val="003D5D8B"/>
    <w:rsid w:val="003D60B8"/>
    <w:rsid w:val="003D6143"/>
    <w:rsid w:val="003D6180"/>
    <w:rsid w:val="003D62A7"/>
    <w:rsid w:val="003D6339"/>
    <w:rsid w:val="003D641E"/>
    <w:rsid w:val="003D6443"/>
    <w:rsid w:val="003D652F"/>
    <w:rsid w:val="003D6756"/>
    <w:rsid w:val="003D67A5"/>
    <w:rsid w:val="003D6903"/>
    <w:rsid w:val="003D6960"/>
    <w:rsid w:val="003D6A2F"/>
    <w:rsid w:val="003D6B83"/>
    <w:rsid w:val="003D6BF5"/>
    <w:rsid w:val="003D6CB9"/>
    <w:rsid w:val="003D6D92"/>
    <w:rsid w:val="003D6DCB"/>
    <w:rsid w:val="003D7036"/>
    <w:rsid w:val="003D715E"/>
    <w:rsid w:val="003D719A"/>
    <w:rsid w:val="003D7234"/>
    <w:rsid w:val="003D7277"/>
    <w:rsid w:val="003D748F"/>
    <w:rsid w:val="003D74D0"/>
    <w:rsid w:val="003D7516"/>
    <w:rsid w:val="003D75E1"/>
    <w:rsid w:val="003D7641"/>
    <w:rsid w:val="003D76FE"/>
    <w:rsid w:val="003D771F"/>
    <w:rsid w:val="003D774C"/>
    <w:rsid w:val="003D775C"/>
    <w:rsid w:val="003D786F"/>
    <w:rsid w:val="003D79D1"/>
    <w:rsid w:val="003D7A98"/>
    <w:rsid w:val="003D7AC1"/>
    <w:rsid w:val="003D7C56"/>
    <w:rsid w:val="003D7C8D"/>
    <w:rsid w:val="003D7CC3"/>
    <w:rsid w:val="003D7CC8"/>
    <w:rsid w:val="003D7D6C"/>
    <w:rsid w:val="003D7DF5"/>
    <w:rsid w:val="003D7F41"/>
    <w:rsid w:val="003D7F4F"/>
    <w:rsid w:val="003D7FE8"/>
    <w:rsid w:val="003E00EC"/>
    <w:rsid w:val="003E0174"/>
    <w:rsid w:val="003E01E4"/>
    <w:rsid w:val="003E0222"/>
    <w:rsid w:val="003E03D0"/>
    <w:rsid w:val="003E043A"/>
    <w:rsid w:val="003E052D"/>
    <w:rsid w:val="003E05D8"/>
    <w:rsid w:val="003E05EF"/>
    <w:rsid w:val="003E0676"/>
    <w:rsid w:val="003E0682"/>
    <w:rsid w:val="003E06A0"/>
    <w:rsid w:val="003E071E"/>
    <w:rsid w:val="003E0827"/>
    <w:rsid w:val="003E0924"/>
    <w:rsid w:val="003E0A40"/>
    <w:rsid w:val="003E0A42"/>
    <w:rsid w:val="003E0AE3"/>
    <w:rsid w:val="003E0AEC"/>
    <w:rsid w:val="003E0BC2"/>
    <w:rsid w:val="003E0EB1"/>
    <w:rsid w:val="003E0EF2"/>
    <w:rsid w:val="003E1122"/>
    <w:rsid w:val="003E125B"/>
    <w:rsid w:val="003E1288"/>
    <w:rsid w:val="003E12A0"/>
    <w:rsid w:val="003E13DE"/>
    <w:rsid w:val="003E1435"/>
    <w:rsid w:val="003E14AE"/>
    <w:rsid w:val="003E14C9"/>
    <w:rsid w:val="003E1708"/>
    <w:rsid w:val="003E173F"/>
    <w:rsid w:val="003E18D2"/>
    <w:rsid w:val="003E1A0D"/>
    <w:rsid w:val="003E1A44"/>
    <w:rsid w:val="003E1BAE"/>
    <w:rsid w:val="003E1BE5"/>
    <w:rsid w:val="003E1C86"/>
    <w:rsid w:val="003E1E8D"/>
    <w:rsid w:val="003E1F6B"/>
    <w:rsid w:val="003E1FAA"/>
    <w:rsid w:val="003E219C"/>
    <w:rsid w:val="003E22F0"/>
    <w:rsid w:val="003E2318"/>
    <w:rsid w:val="003E23E7"/>
    <w:rsid w:val="003E23FE"/>
    <w:rsid w:val="003E2418"/>
    <w:rsid w:val="003E2571"/>
    <w:rsid w:val="003E2630"/>
    <w:rsid w:val="003E265F"/>
    <w:rsid w:val="003E266A"/>
    <w:rsid w:val="003E2A90"/>
    <w:rsid w:val="003E2DB0"/>
    <w:rsid w:val="003E2E25"/>
    <w:rsid w:val="003E2F05"/>
    <w:rsid w:val="003E2FA3"/>
    <w:rsid w:val="003E3144"/>
    <w:rsid w:val="003E314C"/>
    <w:rsid w:val="003E321B"/>
    <w:rsid w:val="003E3282"/>
    <w:rsid w:val="003E32C3"/>
    <w:rsid w:val="003E3365"/>
    <w:rsid w:val="003E3541"/>
    <w:rsid w:val="003E397A"/>
    <w:rsid w:val="003E3A11"/>
    <w:rsid w:val="003E3A24"/>
    <w:rsid w:val="003E3A55"/>
    <w:rsid w:val="003E3A8F"/>
    <w:rsid w:val="003E3B3F"/>
    <w:rsid w:val="003E3B8A"/>
    <w:rsid w:val="003E3D33"/>
    <w:rsid w:val="003E3D85"/>
    <w:rsid w:val="003E3DE5"/>
    <w:rsid w:val="003E3E54"/>
    <w:rsid w:val="003E3F90"/>
    <w:rsid w:val="003E3FAD"/>
    <w:rsid w:val="003E3FC1"/>
    <w:rsid w:val="003E3FEC"/>
    <w:rsid w:val="003E400D"/>
    <w:rsid w:val="003E4063"/>
    <w:rsid w:val="003E40FC"/>
    <w:rsid w:val="003E41D8"/>
    <w:rsid w:val="003E4375"/>
    <w:rsid w:val="003E44B9"/>
    <w:rsid w:val="003E44BF"/>
    <w:rsid w:val="003E44DD"/>
    <w:rsid w:val="003E4550"/>
    <w:rsid w:val="003E4565"/>
    <w:rsid w:val="003E463F"/>
    <w:rsid w:val="003E46BC"/>
    <w:rsid w:val="003E46EE"/>
    <w:rsid w:val="003E4762"/>
    <w:rsid w:val="003E4797"/>
    <w:rsid w:val="003E48FE"/>
    <w:rsid w:val="003E4A5F"/>
    <w:rsid w:val="003E4ABB"/>
    <w:rsid w:val="003E4BB6"/>
    <w:rsid w:val="003E4C52"/>
    <w:rsid w:val="003E4D80"/>
    <w:rsid w:val="003E4E06"/>
    <w:rsid w:val="003E4E10"/>
    <w:rsid w:val="003E4E6B"/>
    <w:rsid w:val="003E4F11"/>
    <w:rsid w:val="003E5046"/>
    <w:rsid w:val="003E5093"/>
    <w:rsid w:val="003E517E"/>
    <w:rsid w:val="003E52A1"/>
    <w:rsid w:val="003E531B"/>
    <w:rsid w:val="003E53CA"/>
    <w:rsid w:val="003E5445"/>
    <w:rsid w:val="003E56B7"/>
    <w:rsid w:val="003E56BA"/>
    <w:rsid w:val="003E57ED"/>
    <w:rsid w:val="003E5BCB"/>
    <w:rsid w:val="003E5BFC"/>
    <w:rsid w:val="003E5DA5"/>
    <w:rsid w:val="003E5E6D"/>
    <w:rsid w:val="003E5F37"/>
    <w:rsid w:val="003E5F54"/>
    <w:rsid w:val="003E5FA2"/>
    <w:rsid w:val="003E601F"/>
    <w:rsid w:val="003E607E"/>
    <w:rsid w:val="003E60E3"/>
    <w:rsid w:val="003E6224"/>
    <w:rsid w:val="003E6253"/>
    <w:rsid w:val="003E62A8"/>
    <w:rsid w:val="003E62DE"/>
    <w:rsid w:val="003E6377"/>
    <w:rsid w:val="003E6459"/>
    <w:rsid w:val="003E653C"/>
    <w:rsid w:val="003E6801"/>
    <w:rsid w:val="003E68A4"/>
    <w:rsid w:val="003E691D"/>
    <w:rsid w:val="003E69C0"/>
    <w:rsid w:val="003E69E6"/>
    <w:rsid w:val="003E69FD"/>
    <w:rsid w:val="003E6A2C"/>
    <w:rsid w:val="003E6AF0"/>
    <w:rsid w:val="003E6C85"/>
    <w:rsid w:val="003E6D34"/>
    <w:rsid w:val="003E6D47"/>
    <w:rsid w:val="003E6D93"/>
    <w:rsid w:val="003E6E1A"/>
    <w:rsid w:val="003E6F0D"/>
    <w:rsid w:val="003E7183"/>
    <w:rsid w:val="003E71BD"/>
    <w:rsid w:val="003E7200"/>
    <w:rsid w:val="003E7270"/>
    <w:rsid w:val="003E7271"/>
    <w:rsid w:val="003E7285"/>
    <w:rsid w:val="003E7294"/>
    <w:rsid w:val="003E733C"/>
    <w:rsid w:val="003E736C"/>
    <w:rsid w:val="003E74AC"/>
    <w:rsid w:val="003E7638"/>
    <w:rsid w:val="003E76B2"/>
    <w:rsid w:val="003E76CB"/>
    <w:rsid w:val="003E7721"/>
    <w:rsid w:val="003E7781"/>
    <w:rsid w:val="003E7939"/>
    <w:rsid w:val="003E7A04"/>
    <w:rsid w:val="003E7A11"/>
    <w:rsid w:val="003E7A46"/>
    <w:rsid w:val="003E7B3D"/>
    <w:rsid w:val="003E7BE8"/>
    <w:rsid w:val="003E7C65"/>
    <w:rsid w:val="003E7CEB"/>
    <w:rsid w:val="003E7DBD"/>
    <w:rsid w:val="003E7F5E"/>
    <w:rsid w:val="003F0158"/>
    <w:rsid w:val="003F01E7"/>
    <w:rsid w:val="003F02AC"/>
    <w:rsid w:val="003F02B0"/>
    <w:rsid w:val="003F053A"/>
    <w:rsid w:val="003F056A"/>
    <w:rsid w:val="003F05D6"/>
    <w:rsid w:val="003F0649"/>
    <w:rsid w:val="003F098C"/>
    <w:rsid w:val="003F09B1"/>
    <w:rsid w:val="003F0A28"/>
    <w:rsid w:val="003F0A87"/>
    <w:rsid w:val="003F0B44"/>
    <w:rsid w:val="003F0BC7"/>
    <w:rsid w:val="003F0BD2"/>
    <w:rsid w:val="003F0C26"/>
    <w:rsid w:val="003F0E67"/>
    <w:rsid w:val="003F0F2E"/>
    <w:rsid w:val="003F0F81"/>
    <w:rsid w:val="003F1137"/>
    <w:rsid w:val="003F11B2"/>
    <w:rsid w:val="003F1245"/>
    <w:rsid w:val="003F1278"/>
    <w:rsid w:val="003F1301"/>
    <w:rsid w:val="003F1687"/>
    <w:rsid w:val="003F16D1"/>
    <w:rsid w:val="003F17A7"/>
    <w:rsid w:val="003F1822"/>
    <w:rsid w:val="003F1828"/>
    <w:rsid w:val="003F18BE"/>
    <w:rsid w:val="003F1AFA"/>
    <w:rsid w:val="003F1E28"/>
    <w:rsid w:val="003F2148"/>
    <w:rsid w:val="003F216B"/>
    <w:rsid w:val="003F21FE"/>
    <w:rsid w:val="003F2204"/>
    <w:rsid w:val="003F2282"/>
    <w:rsid w:val="003F22E5"/>
    <w:rsid w:val="003F2467"/>
    <w:rsid w:val="003F250C"/>
    <w:rsid w:val="003F2529"/>
    <w:rsid w:val="003F25BC"/>
    <w:rsid w:val="003F26F2"/>
    <w:rsid w:val="003F2710"/>
    <w:rsid w:val="003F27A0"/>
    <w:rsid w:val="003F29B6"/>
    <w:rsid w:val="003F29F1"/>
    <w:rsid w:val="003F2A74"/>
    <w:rsid w:val="003F2A9B"/>
    <w:rsid w:val="003F2B5C"/>
    <w:rsid w:val="003F2BCA"/>
    <w:rsid w:val="003F2C74"/>
    <w:rsid w:val="003F2CAB"/>
    <w:rsid w:val="003F2DD9"/>
    <w:rsid w:val="003F2E27"/>
    <w:rsid w:val="003F2E99"/>
    <w:rsid w:val="003F2F20"/>
    <w:rsid w:val="003F2FDA"/>
    <w:rsid w:val="003F3068"/>
    <w:rsid w:val="003F306E"/>
    <w:rsid w:val="003F30FB"/>
    <w:rsid w:val="003F31DE"/>
    <w:rsid w:val="003F31E6"/>
    <w:rsid w:val="003F3269"/>
    <w:rsid w:val="003F3327"/>
    <w:rsid w:val="003F3353"/>
    <w:rsid w:val="003F33B3"/>
    <w:rsid w:val="003F342D"/>
    <w:rsid w:val="003F3580"/>
    <w:rsid w:val="003F35B6"/>
    <w:rsid w:val="003F35E5"/>
    <w:rsid w:val="003F3775"/>
    <w:rsid w:val="003F37E9"/>
    <w:rsid w:val="003F37FB"/>
    <w:rsid w:val="003F3B7A"/>
    <w:rsid w:val="003F3C1C"/>
    <w:rsid w:val="003F3CAF"/>
    <w:rsid w:val="003F3DC2"/>
    <w:rsid w:val="003F3F19"/>
    <w:rsid w:val="003F40E3"/>
    <w:rsid w:val="003F4165"/>
    <w:rsid w:val="003F4190"/>
    <w:rsid w:val="003F41A2"/>
    <w:rsid w:val="003F41EA"/>
    <w:rsid w:val="003F41F3"/>
    <w:rsid w:val="003F4275"/>
    <w:rsid w:val="003F42BA"/>
    <w:rsid w:val="003F42DB"/>
    <w:rsid w:val="003F4357"/>
    <w:rsid w:val="003F4388"/>
    <w:rsid w:val="003F4395"/>
    <w:rsid w:val="003F46BA"/>
    <w:rsid w:val="003F47F9"/>
    <w:rsid w:val="003F48AE"/>
    <w:rsid w:val="003F48FD"/>
    <w:rsid w:val="003F4C5A"/>
    <w:rsid w:val="003F4D59"/>
    <w:rsid w:val="003F4D6C"/>
    <w:rsid w:val="003F4D95"/>
    <w:rsid w:val="003F4E35"/>
    <w:rsid w:val="003F4F1A"/>
    <w:rsid w:val="003F4FA6"/>
    <w:rsid w:val="003F5006"/>
    <w:rsid w:val="003F5065"/>
    <w:rsid w:val="003F5084"/>
    <w:rsid w:val="003F5099"/>
    <w:rsid w:val="003F51CF"/>
    <w:rsid w:val="003F53DF"/>
    <w:rsid w:val="003F53E2"/>
    <w:rsid w:val="003F54BF"/>
    <w:rsid w:val="003F551D"/>
    <w:rsid w:val="003F5546"/>
    <w:rsid w:val="003F5682"/>
    <w:rsid w:val="003F56E4"/>
    <w:rsid w:val="003F574D"/>
    <w:rsid w:val="003F59FF"/>
    <w:rsid w:val="003F5A3C"/>
    <w:rsid w:val="003F5BEB"/>
    <w:rsid w:val="003F5C07"/>
    <w:rsid w:val="003F5CAD"/>
    <w:rsid w:val="003F5D2F"/>
    <w:rsid w:val="003F5D49"/>
    <w:rsid w:val="003F5DEC"/>
    <w:rsid w:val="003F5F3C"/>
    <w:rsid w:val="003F5F47"/>
    <w:rsid w:val="003F5FE7"/>
    <w:rsid w:val="003F6025"/>
    <w:rsid w:val="003F6180"/>
    <w:rsid w:val="003F621F"/>
    <w:rsid w:val="003F6282"/>
    <w:rsid w:val="003F6381"/>
    <w:rsid w:val="003F63C5"/>
    <w:rsid w:val="003F652E"/>
    <w:rsid w:val="003F65A5"/>
    <w:rsid w:val="003F6622"/>
    <w:rsid w:val="003F67C7"/>
    <w:rsid w:val="003F6973"/>
    <w:rsid w:val="003F69E7"/>
    <w:rsid w:val="003F6C30"/>
    <w:rsid w:val="003F6CC4"/>
    <w:rsid w:val="003F6CCA"/>
    <w:rsid w:val="003F6D37"/>
    <w:rsid w:val="003F6D4B"/>
    <w:rsid w:val="003F6DA7"/>
    <w:rsid w:val="003F6DAE"/>
    <w:rsid w:val="003F6F9B"/>
    <w:rsid w:val="003F707F"/>
    <w:rsid w:val="003F710F"/>
    <w:rsid w:val="003F717D"/>
    <w:rsid w:val="003F7182"/>
    <w:rsid w:val="003F7186"/>
    <w:rsid w:val="003F7220"/>
    <w:rsid w:val="003F7274"/>
    <w:rsid w:val="003F72F7"/>
    <w:rsid w:val="003F73BF"/>
    <w:rsid w:val="003F74DA"/>
    <w:rsid w:val="003F7590"/>
    <w:rsid w:val="003F7811"/>
    <w:rsid w:val="003F7866"/>
    <w:rsid w:val="003F78AB"/>
    <w:rsid w:val="003F78D5"/>
    <w:rsid w:val="003F78E9"/>
    <w:rsid w:val="003F78EA"/>
    <w:rsid w:val="003F79B4"/>
    <w:rsid w:val="003F7A19"/>
    <w:rsid w:val="003F7A56"/>
    <w:rsid w:val="003F7A60"/>
    <w:rsid w:val="003F7A92"/>
    <w:rsid w:val="003F7B05"/>
    <w:rsid w:val="003F7B83"/>
    <w:rsid w:val="003F7C84"/>
    <w:rsid w:val="003F7D78"/>
    <w:rsid w:val="0040000A"/>
    <w:rsid w:val="00400095"/>
    <w:rsid w:val="0040009B"/>
    <w:rsid w:val="004000DC"/>
    <w:rsid w:val="004000E1"/>
    <w:rsid w:val="00400201"/>
    <w:rsid w:val="00400253"/>
    <w:rsid w:val="00400257"/>
    <w:rsid w:val="0040025E"/>
    <w:rsid w:val="00400595"/>
    <w:rsid w:val="004006AB"/>
    <w:rsid w:val="004006D7"/>
    <w:rsid w:val="004006DD"/>
    <w:rsid w:val="00400847"/>
    <w:rsid w:val="004008B8"/>
    <w:rsid w:val="004008BB"/>
    <w:rsid w:val="004009AB"/>
    <w:rsid w:val="00400A2B"/>
    <w:rsid w:val="00400B69"/>
    <w:rsid w:val="00400C31"/>
    <w:rsid w:val="00400C4B"/>
    <w:rsid w:val="00400CB6"/>
    <w:rsid w:val="00400CEA"/>
    <w:rsid w:val="00400EC9"/>
    <w:rsid w:val="00401004"/>
    <w:rsid w:val="00401066"/>
    <w:rsid w:val="00401093"/>
    <w:rsid w:val="004010E5"/>
    <w:rsid w:val="00401292"/>
    <w:rsid w:val="0040132E"/>
    <w:rsid w:val="004014BB"/>
    <w:rsid w:val="00401535"/>
    <w:rsid w:val="0040158E"/>
    <w:rsid w:val="004015A8"/>
    <w:rsid w:val="00401715"/>
    <w:rsid w:val="00401768"/>
    <w:rsid w:val="00401834"/>
    <w:rsid w:val="0040199D"/>
    <w:rsid w:val="00401A37"/>
    <w:rsid w:val="00401B5E"/>
    <w:rsid w:val="00401BCC"/>
    <w:rsid w:val="00401BD9"/>
    <w:rsid w:val="00401C46"/>
    <w:rsid w:val="00401C82"/>
    <w:rsid w:val="00401E6E"/>
    <w:rsid w:val="00401E8D"/>
    <w:rsid w:val="00402035"/>
    <w:rsid w:val="0040223C"/>
    <w:rsid w:val="00402357"/>
    <w:rsid w:val="0040237B"/>
    <w:rsid w:val="0040260A"/>
    <w:rsid w:val="004026C9"/>
    <w:rsid w:val="00402734"/>
    <w:rsid w:val="004027A1"/>
    <w:rsid w:val="004027F5"/>
    <w:rsid w:val="004028EE"/>
    <w:rsid w:val="00402BBE"/>
    <w:rsid w:val="00402E06"/>
    <w:rsid w:val="00402E3C"/>
    <w:rsid w:val="00402EFE"/>
    <w:rsid w:val="00403032"/>
    <w:rsid w:val="004030C8"/>
    <w:rsid w:val="0040318F"/>
    <w:rsid w:val="0040321E"/>
    <w:rsid w:val="004032CC"/>
    <w:rsid w:val="00403668"/>
    <w:rsid w:val="0040369C"/>
    <w:rsid w:val="00403843"/>
    <w:rsid w:val="004039CF"/>
    <w:rsid w:val="004039D2"/>
    <w:rsid w:val="00403AA0"/>
    <w:rsid w:val="00403B11"/>
    <w:rsid w:val="00403B75"/>
    <w:rsid w:val="00403CD5"/>
    <w:rsid w:val="00403D06"/>
    <w:rsid w:val="00403D35"/>
    <w:rsid w:val="00403D7B"/>
    <w:rsid w:val="00403DF4"/>
    <w:rsid w:val="00403E93"/>
    <w:rsid w:val="00403FD3"/>
    <w:rsid w:val="0040418B"/>
    <w:rsid w:val="004041F5"/>
    <w:rsid w:val="00404293"/>
    <w:rsid w:val="004042C6"/>
    <w:rsid w:val="004043C0"/>
    <w:rsid w:val="004043FF"/>
    <w:rsid w:val="004044BD"/>
    <w:rsid w:val="004045D1"/>
    <w:rsid w:val="004045DD"/>
    <w:rsid w:val="0040478E"/>
    <w:rsid w:val="00404871"/>
    <w:rsid w:val="004048FC"/>
    <w:rsid w:val="0040494E"/>
    <w:rsid w:val="004049E6"/>
    <w:rsid w:val="004049FB"/>
    <w:rsid w:val="00404A80"/>
    <w:rsid w:val="00404AE1"/>
    <w:rsid w:val="00404B17"/>
    <w:rsid w:val="00404BBB"/>
    <w:rsid w:val="00404CCD"/>
    <w:rsid w:val="00404DB8"/>
    <w:rsid w:val="00404F57"/>
    <w:rsid w:val="00404FDB"/>
    <w:rsid w:val="004050C4"/>
    <w:rsid w:val="004051C6"/>
    <w:rsid w:val="00405276"/>
    <w:rsid w:val="004052F6"/>
    <w:rsid w:val="00405472"/>
    <w:rsid w:val="0040563C"/>
    <w:rsid w:val="004058A6"/>
    <w:rsid w:val="004058F9"/>
    <w:rsid w:val="00405A3C"/>
    <w:rsid w:val="00405B3E"/>
    <w:rsid w:val="00405C07"/>
    <w:rsid w:val="00405D31"/>
    <w:rsid w:val="00405D51"/>
    <w:rsid w:val="00405E06"/>
    <w:rsid w:val="00405E50"/>
    <w:rsid w:val="00405F62"/>
    <w:rsid w:val="0040609D"/>
    <w:rsid w:val="004060D6"/>
    <w:rsid w:val="00406221"/>
    <w:rsid w:val="0040626A"/>
    <w:rsid w:val="00406285"/>
    <w:rsid w:val="004063A9"/>
    <w:rsid w:val="0040641A"/>
    <w:rsid w:val="004065B3"/>
    <w:rsid w:val="00406633"/>
    <w:rsid w:val="004066CD"/>
    <w:rsid w:val="004067B6"/>
    <w:rsid w:val="004067D7"/>
    <w:rsid w:val="0040699F"/>
    <w:rsid w:val="00406AF4"/>
    <w:rsid w:val="00406B29"/>
    <w:rsid w:val="00406BAC"/>
    <w:rsid w:val="00406CD2"/>
    <w:rsid w:val="00406CFA"/>
    <w:rsid w:val="00406DEF"/>
    <w:rsid w:val="00407126"/>
    <w:rsid w:val="004071DD"/>
    <w:rsid w:val="004073F5"/>
    <w:rsid w:val="0040752D"/>
    <w:rsid w:val="00407764"/>
    <w:rsid w:val="00407863"/>
    <w:rsid w:val="0040787E"/>
    <w:rsid w:val="00407972"/>
    <w:rsid w:val="00407BFA"/>
    <w:rsid w:val="00407CCF"/>
    <w:rsid w:val="00407E43"/>
    <w:rsid w:val="00407E96"/>
    <w:rsid w:val="00407F0C"/>
    <w:rsid w:val="00407FB7"/>
    <w:rsid w:val="00410052"/>
    <w:rsid w:val="004101BA"/>
    <w:rsid w:val="004102D5"/>
    <w:rsid w:val="00410437"/>
    <w:rsid w:val="00410655"/>
    <w:rsid w:val="004106A0"/>
    <w:rsid w:val="00410756"/>
    <w:rsid w:val="00410859"/>
    <w:rsid w:val="00410864"/>
    <w:rsid w:val="00410ADA"/>
    <w:rsid w:val="00410B8B"/>
    <w:rsid w:val="00410CAE"/>
    <w:rsid w:val="00410CFC"/>
    <w:rsid w:val="00411276"/>
    <w:rsid w:val="00411306"/>
    <w:rsid w:val="00411336"/>
    <w:rsid w:val="004114B6"/>
    <w:rsid w:val="004114E6"/>
    <w:rsid w:val="00411520"/>
    <w:rsid w:val="0041156F"/>
    <w:rsid w:val="004115ED"/>
    <w:rsid w:val="00411667"/>
    <w:rsid w:val="004117D6"/>
    <w:rsid w:val="004117EF"/>
    <w:rsid w:val="00411957"/>
    <w:rsid w:val="004119AB"/>
    <w:rsid w:val="004119B5"/>
    <w:rsid w:val="004119DC"/>
    <w:rsid w:val="00411A42"/>
    <w:rsid w:val="00411B3B"/>
    <w:rsid w:val="00411D16"/>
    <w:rsid w:val="00411D3C"/>
    <w:rsid w:val="00411E9A"/>
    <w:rsid w:val="00411FBD"/>
    <w:rsid w:val="00411FC3"/>
    <w:rsid w:val="00412006"/>
    <w:rsid w:val="00412043"/>
    <w:rsid w:val="0041206D"/>
    <w:rsid w:val="0041216B"/>
    <w:rsid w:val="004121D4"/>
    <w:rsid w:val="00412259"/>
    <w:rsid w:val="00412280"/>
    <w:rsid w:val="004124FB"/>
    <w:rsid w:val="004125DC"/>
    <w:rsid w:val="00412A3D"/>
    <w:rsid w:val="00412A5E"/>
    <w:rsid w:val="00412B2D"/>
    <w:rsid w:val="00412B3D"/>
    <w:rsid w:val="00412BDD"/>
    <w:rsid w:val="00412C1C"/>
    <w:rsid w:val="00412D42"/>
    <w:rsid w:val="00412DD9"/>
    <w:rsid w:val="00412F74"/>
    <w:rsid w:val="00412F94"/>
    <w:rsid w:val="0041309B"/>
    <w:rsid w:val="00413176"/>
    <w:rsid w:val="004132FB"/>
    <w:rsid w:val="004133E0"/>
    <w:rsid w:val="004134AB"/>
    <w:rsid w:val="004134C2"/>
    <w:rsid w:val="004134C4"/>
    <w:rsid w:val="004134C7"/>
    <w:rsid w:val="00413563"/>
    <w:rsid w:val="004135AB"/>
    <w:rsid w:val="00413613"/>
    <w:rsid w:val="00413813"/>
    <w:rsid w:val="00413855"/>
    <w:rsid w:val="00413856"/>
    <w:rsid w:val="004138E4"/>
    <w:rsid w:val="0041391E"/>
    <w:rsid w:val="00413967"/>
    <w:rsid w:val="0041399E"/>
    <w:rsid w:val="00413A8F"/>
    <w:rsid w:val="00413AD8"/>
    <w:rsid w:val="00413B0F"/>
    <w:rsid w:val="00413BCC"/>
    <w:rsid w:val="00413C4E"/>
    <w:rsid w:val="00413CB0"/>
    <w:rsid w:val="00413CD4"/>
    <w:rsid w:val="00413CF2"/>
    <w:rsid w:val="00413DB9"/>
    <w:rsid w:val="00413E0A"/>
    <w:rsid w:val="00413E37"/>
    <w:rsid w:val="00413E76"/>
    <w:rsid w:val="00413EF5"/>
    <w:rsid w:val="00413F74"/>
    <w:rsid w:val="00413FBC"/>
    <w:rsid w:val="00413FDE"/>
    <w:rsid w:val="00414088"/>
    <w:rsid w:val="00414192"/>
    <w:rsid w:val="0041431D"/>
    <w:rsid w:val="00414492"/>
    <w:rsid w:val="004144D1"/>
    <w:rsid w:val="004144FA"/>
    <w:rsid w:val="004146E7"/>
    <w:rsid w:val="00414717"/>
    <w:rsid w:val="004147A2"/>
    <w:rsid w:val="00414940"/>
    <w:rsid w:val="00414966"/>
    <w:rsid w:val="00414BE2"/>
    <w:rsid w:val="00414C27"/>
    <w:rsid w:val="00414C88"/>
    <w:rsid w:val="00414D41"/>
    <w:rsid w:val="00414DAB"/>
    <w:rsid w:val="00414DCE"/>
    <w:rsid w:val="00414E5B"/>
    <w:rsid w:val="00414FA7"/>
    <w:rsid w:val="0041506E"/>
    <w:rsid w:val="004151B7"/>
    <w:rsid w:val="0041520E"/>
    <w:rsid w:val="004152A9"/>
    <w:rsid w:val="004154F1"/>
    <w:rsid w:val="00415831"/>
    <w:rsid w:val="0041593B"/>
    <w:rsid w:val="00415A1F"/>
    <w:rsid w:val="00415AAC"/>
    <w:rsid w:val="00415BE6"/>
    <w:rsid w:val="00415BE9"/>
    <w:rsid w:val="00415C5E"/>
    <w:rsid w:val="00415C67"/>
    <w:rsid w:val="00415CE9"/>
    <w:rsid w:val="00415DAB"/>
    <w:rsid w:val="00415FA7"/>
    <w:rsid w:val="0041600A"/>
    <w:rsid w:val="0041607E"/>
    <w:rsid w:val="004160D1"/>
    <w:rsid w:val="004160F2"/>
    <w:rsid w:val="00416178"/>
    <w:rsid w:val="004162F1"/>
    <w:rsid w:val="00416315"/>
    <w:rsid w:val="004164D3"/>
    <w:rsid w:val="0041652A"/>
    <w:rsid w:val="00416671"/>
    <w:rsid w:val="0041668F"/>
    <w:rsid w:val="00416714"/>
    <w:rsid w:val="00416742"/>
    <w:rsid w:val="00416792"/>
    <w:rsid w:val="004168D1"/>
    <w:rsid w:val="00416962"/>
    <w:rsid w:val="004169BB"/>
    <w:rsid w:val="00416A3A"/>
    <w:rsid w:val="00416A86"/>
    <w:rsid w:val="00416C26"/>
    <w:rsid w:val="00416C4E"/>
    <w:rsid w:val="00416C87"/>
    <w:rsid w:val="00416F39"/>
    <w:rsid w:val="00417161"/>
    <w:rsid w:val="00417353"/>
    <w:rsid w:val="00417382"/>
    <w:rsid w:val="0041750F"/>
    <w:rsid w:val="00417597"/>
    <w:rsid w:val="004176A5"/>
    <w:rsid w:val="004176C9"/>
    <w:rsid w:val="00417703"/>
    <w:rsid w:val="0041770E"/>
    <w:rsid w:val="004177DA"/>
    <w:rsid w:val="00417865"/>
    <w:rsid w:val="00417909"/>
    <w:rsid w:val="004179A5"/>
    <w:rsid w:val="00417A7E"/>
    <w:rsid w:val="00417AB7"/>
    <w:rsid w:val="00417C50"/>
    <w:rsid w:val="00417CEA"/>
    <w:rsid w:val="00417D65"/>
    <w:rsid w:val="00417D6D"/>
    <w:rsid w:val="00417DDF"/>
    <w:rsid w:val="00420006"/>
    <w:rsid w:val="0042010D"/>
    <w:rsid w:val="00420134"/>
    <w:rsid w:val="00420157"/>
    <w:rsid w:val="004202E8"/>
    <w:rsid w:val="00420449"/>
    <w:rsid w:val="00420496"/>
    <w:rsid w:val="004204A9"/>
    <w:rsid w:val="004205A6"/>
    <w:rsid w:val="004206F7"/>
    <w:rsid w:val="00420741"/>
    <w:rsid w:val="00420753"/>
    <w:rsid w:val="004207FE"/>
    <w:rsid w:val="004208EC"/>
    <w:rsid w:val="004209A3"/>
    <w:rsid w:val="00420A7A"/>
    <w:rsid w:val="00420AFF"/>
    <w:rsid w:val="00420B37"/>
    <w:rsid w:val="00420B94"/>
    <w:rsid w:val="00420C07"/>
    <w:rsid w:val="00420C08"/>
    <w:rsid w:val="00420CBF"/>
    <w:rsid w:val="00420D63"/>
    <w:rsid w:val="00420DBD"/>
    <w:rsid w:val="00420E30"/>
    <w:rsid w:val="00420EFB"/>
    <w:rsid w:val="00420F01"/>
    <w:rsid w:val="004210E4"/>
    <w:rsid w:val="00421219"/>
    <w:rsid w:val="0042135C"/>
    <w:rsid w:val="00421458"/>
    <w:rsid w:val="0042152F"/>
    <w:rsid w:val="0042158D"/>
    <w:rsid w:val="004216E3"/>
    <w:rsid w:val="0042175A"/>
    <w:rsid w:val="004218FD"/>
    <w:rsid w:val="00421951"/>
    <w:rsid w:val="00421984"/>
    <w:rsid w:val="00421992"/>
    <w:rsid w:val="00421AB1"/>
    <w:rsid w:val="00421C0F"/>
    <w:rsid w:val="00421CDC"/>
    <w:rsid w:val="00421D67"/>
    <w:rsid w:val="00421E1B"/>
    <w:rsid w:val="00421EAF"/>
    <w:rsid w:val="00421F24"/>
    <w:rsid w:val="00422054"/>
    <w:rsid w:val="00422094"/>
    <w:rsid w:val="004220C8"/>
    <w:rsid w:val="004222F2"/>
    <w:rsid w:val="0042234F"/>
    <w:rsid w:val="00422377"/>
    <w:rsid w:val="00422499"/>
    <w:rsid w:val="0042261E"/>
    <w:rsid w:val="00422687"/>
    <w:rsid w:val="004226D6"/>
    <w:rsid w:val="00422724"/>
    <w:rsid w:val="0042274F"/>
    <w:rsid w:val="004227E5"/>
    <w:rsid w:val="00422AEF"/>
    <w:rsid w:val="00422D57"/>
    <w:rsid w:val="00422D7A"/>
    <w:rsid w:val="00422E43"/>
    <w:rsid w:val="00423096"/>
    <w:rsid w:val="004231D4"/>
    <w:rsid w:val="00423389"/>
    <w:rsid w:val="004234F3"/>
    <w:rsid w:val="0042350E"/>
    <w:rsid w:val="004235D0"/>
    <w:rsid w:val="004236C3"/>
    <w:rsid w:val="00423737"/>
    <w:rsid w:val="0042376A"/>
    <w:rsid w:val="004238BF"/>
    <w:rsid w:val="0042398F"/>
    <w:rsid w:val="00423A16"/>
    <w:rsid w:val="00423AA6"/>
    <w:rsid w:val="00423C3A"/>
    <w:rsid w:val="00423C70"/>
    <w:rsid w:val="00423CAF"/>
    <w:rsid w:val="00423CF4"/>
    <w:rsid w:val="00423D9C"/>
    <w:rsid w:val="00423E37"/>
    <w:rsid w:val="00423EA1"/>
    <w:rsid w:val="00423EC7"/>
    <w:rsid w:val="00423EEE"/>
    <w:rsid w:val="00423FA2"/>
    <w:rsid w:val="0042400E"/>
    <w:rsid w:val="0042405A"/>
    <w:rsid w:val="00424385"/>
    <w:rsid w:val="0042444F"/>
    <w:rsid w:val="004245E1"/>
    <w:rsid w:val="00424780"/>
    <w:rsid w:val="00424810"/>
    <w:rsid w:val="004248A7"/>
    <w:rsid w:val="00424901"/>
    <w:rsid w:val="00424A2D"/>
    <w:rsid w:val="00424AE5"/>
    <w:rsid w:val="00424BC7"/>
    <w:rsid w:val="00424C53"/>
    <w:rsid w:val="00424EE1"/>
    <w:rsid w:val="00424FB2"/>
    <w:rsid w:val="0042508F"/>
    <w:rsid w:val="004252A7"/>
    <w:rsid w:val="0042534D"/>
    <w:rsid w:val="0042535D"/>
    <w:rsid w:val="00425389"/>
    <w:rsid w:val="00425417"/>
    <w:rsid w:val="00425526"/>
    <w:rsid w:val="0042552A"/>
    <w:rsid w:val="004255A1"/>
    <w:rsid w:val="004255F3"/>
    <w:rsid w:val="00425616"/>
    <w:rsid w:val="00425643"/>
    <w:rsid w:val="00425654"/>
    <w:rsid w:val="00425740"/>
    <w:rsid w:val="00425866"/>
    <w:rsid w:val="0042587E"/>
    <w:rsid w:val="004258AE"/>
    <w:rsid w:val="004258C6"/>
    <w:rsid w:val="00425903"/>
    <w:rsid w:val="00425962"/>
    <w:rsid w:val="004259A5"/>
    <w:rsid w:val="004259E8"/>
    <w:rsid w:val="004259EC"/>
    <w:rsid w:val="00425A4A"/>
    <w:rsid w:val="00425ACB"/>
    <w:rsid w:val="00425AF4"/>
    <w:rsid w:val="00425CD4"/>
    <w:rsid w:val="00425EC9"/>
    <w:rsid w:val="00425FAE"/>
    <w:rsid w:val="00425FB0"/>
    <w:rsid w:val="00425FD4"/>
    <w:rsid w:val="00426043"/>
    <w:rsid w:val="0042604D"/>
    <w:rsid w:val="00426054"/>
    <w:rsid w:val="00426077"/>
    <w:rsid w:val="004260C0"/>
    <w:rsid w:val="004260E3"/>
    <w:rsid w:val="004260F2"/>
    <w:rsid w:val="0042638A"/>
    <w:rsid w:val="00426426"/>
    <w:rsid w:val="00426460"/>
    <w:rsid w:val="004265E1"/>
    <w:rsid w:val="00426649"/>
    <w:rsid w:val="004267F6"/>
    <w:rsid w:val="0042685C"/>
    <w:rsid w:val="00426871"/>
    <w:rsid w:val="00426971"/>
    <w:rsid w:val="004269A8"/>
    <w:rsid w:val="004269EF"/>
    <w:rsid w:val="00426AA6"/>
    <w:rsid w:val="00426B53"/>
    <w:rsid w:val="00426D3D"/>
    <w:rsid w:val="00426DD9"/>
    <w:rsid w:val="00426DE6"/>
    <w:rsid w:val="00426FEE"/>
    <w:rsid w:val="00427012"/>
    <w:rsid w:val="00427088"/>
    <w:rsid w:val="004270C6"/>
    <w:rsid w:val="004270CD"/>
    <w:rsid w:val="0042719A"/>
    <w:rsid w:val="004271E0"/>
    <w:rsid w:val="00427282"/>
    <w:rsid w:val="004272D1"/>
    <w:rsid w:val="0042739B"/>
    <w:rsid w:val="0042759C"/>
    <w:rsid w:val="004275CD"/>
    <w:rsid w:val="00427609"/>
    <w:rsid w:val="004277DA"/>
    <w:rsid w:val="00427884"/>
    <w:rsid w:val="004278C2"/>
    <w:rsid w:val="00427905"/>
    <w:rsid w:val="00427B1A"/>
    <w:rsid w:val="00427B72"/>
    <w:rsid w:val="00427BA9"/>
    <w:rsid w:val="00427BC2"/>
    <w:rsid w:val="00427C4E"/>
    <w:rsid w:val="00427D12"/>
    <w:rsid w:val="00427D4F"/>
    <w:rsid w:val="00427DF0"/>
    <w:rsid w:val="0042C177"/>
    <w:rsid w:val="00430121"/>
    <w:rsid w:val="004302AB"/>
    <w:rsid w:val="004303B5"/>
    <w:rsid w:val="004303DE"/>
    <w:rsid w:val="004306D7"/>
    <w:rsid w:val="00430735"/>
    <w:rsid w:val="004307A1"/>
    <w:rsid w:val="00430853"/>
    <w:rsid w:val="00430855"/>
    <w:rsid w:val="00430865"/>
    <w:rsid w:val="00430872"/>
    <w:rsid w:val="004308D7"/>
    <w:rsid w:val="0043091E"/>
    <w:rsid w:val="0043092E"/>
    <w:rsid w:val="0043094B"/>
    <w:rsid w:val="00430A47"/>
    <w:rsid w:val="00430ABE"/>
    <w:rsid w:val="00430BBB"/>
    <w:rsid w:val="00430BBC"/>
    <w:rsid w:val="00430E46"/>
    <w:rsid w:val="00430E68"/>
    <w:rsid w:val="00430F13"/>
    <w:rsid w:val="00431148"/>
    <w:rsid w:val="0043123D"/>
    <w:rsid w:val="004312DB"/>
    <w:rsid w:val="004312E2"/>
    <w:rsid w:val="00431307"/>
    <w:rsid w:val="0043131C"/>
    <w:rsid w:val="00431352"/>
    <w:rsid w:val="00431415"/>
    <w:rsid w:val="004314F4"/>
    <w:rsid w:val="004315EC"/>
    <w:rsid w:val="00431626"/>
    <w:rsid w:val="004316B8"/>
    <w:rsid w:val="00431727"/>
    <w:rsid w:val="00431790"/>
    <w:rsid w:val="004318B4"/>
    <w:rsid w:val="004319E9"/>
    <w:rsid w:val="00431A43"/>
    <w:rsid w:val="00431B7D"/>
    <w:rsid w:val="00431C9B"/>
    <w:rsid w:val="00431D14"/>
    <w:rsid w:val="00431D5F"/>
    <w:rsid w:val="00431E11"/>
    <w:rsid w:val="00431F4D"/>
    <w:rsid w:val="0043200F"/>
    <w:rsid w:val="0043202A"/>
    <w:rsid w:val="0043203A"/>
    <w:rsid w:val="004321C9"/>
    <w:rsid w:val="0043222A"/>
    <w:rsid w:val="00432433"/>
    <w:rsid w:val="004324CC"/>
    <w:rsid w:val="00432504"/>
    <w:rsid w:val="00432508"/>
    <w:rsid w:val="00432558"/>
    <w:rsid w:val="004326CB"/>
    <w:rsid w:val="004326F5"/>
    <w:rsid w:val="00432819"/>
    <w:rsid w:val="004328FE"/>
    <w:rsid w:val="004329F5"/>
    <w:rsid w:val="00432A0B"/>
    <w:rsid w:val="00432BDC"/>
    <w:rsid w:val="00432C9D"/>
    <w:rsid w:val="00432EBD"/>
    <w:rsid w:val="00432F4E"/>
    <w:rsid w:val="00432F64"/>
    <w:rsid w:val="00432F72"/>
    <w:rsid w:val="00432FAD"/>
    <w:rsid w:val="00432FBD"/>
    <w:rsid w:val="00432FD3"/>
    <w:rsid w:val="004331C2"/>
    <w:rsid w:val="00433293"/>
    <w:rsid w:val="004332DB"/>
    <w:rsid w:val="00433406"/>
    <w:rsid w:val="0043344A"/>
    <w:rsid w:val="004334B5"/>
    <w:rsid w:val="004338F7"/>
    <w:rsid w:val="0043394A"/>
    <w:rsid w:val="00433980"/>
    <w:rsid w:val="00433B72"/>
    <w:rsid w:val="00433C38"/>
    <w:rsid w:val="00433C5A"/>
    <w:rsid w:val="00433C8F"/>
    <w:rsid w:val="00433D96"/>
    <w:rsid w:val="00433E9B"/>
    <w:rsid w:val="00433F6D"/>
    <w:rsid w:val="00433F97"/>
    <w:rsid w:val="00433FF0"/>
    <w:rsid w:val="00434035"/>
    <w:rsid w:val="00434108"/>
    <w:rsid w:val="004341D4"/>
    <w:rsid w:val="00434349"/>
    <w:rsid w:val="0043444A"/>
    <w:rsid w:val="00434450"/>
    <w:rsid w:val="00434620"/>
    <w:rsid w:val="00434662"/>
    <w:rsid w:val="00434685"/>
    <w:rsid w:val="00434740"/>
    <w:rsid w:val="0043475A"/>
    <w:rsid w:val="004348E6"/>
    <w:rsid w:val="004349A5"/>
    <w:rsid w:val="00434B62"/>
    <w:rsid w:val="00434CB0"/>
    <w:rsid w:val="00434CD6"/>
    <w:rsid w:val="00434CF8"/>
    <w:rsid w:val="00434D32"/>
    <w:rsid w:val="00434E4F"/>
    <w:rsid w:val="00434EA1"/>
    <w:rsid w:val="00434ECF"/>
    <w:rsid w:val="00434F4A"/>
    <w:rsid w:val="00434F93"/>
    <w:rsid w:val="00434FBF"/>
    <w:rsid w:val="004350CB"/>
    <w:rsid w:val="00435152"/>
    <w:rsid w:val="0043515D"/>
    <w:rsid w:val="00435277"/>
    <w:rsid w:val="00435320"/>
    <w:rsid w:val="004353DA"/>
    <w:rsid w:val="00435536"/>
    <w:rsid w:val="00435666"/>
    <w:rsid w:val="00435759"/>
    <w:rsid w:val="004357F7"/>
    <w:rsid w:val="0043587B"/>
    <w:rsid w:val="004358C7"/>
    <w:rsid w:val="004358CB"/>
    <w:rsid w:val="00435A7D"/>
    <w:rsid w:val="00435B1D"/>
    <w:rsid w:val="00435D65"/>
    <w:rsid w:val="00435E96"/>
    <w:rsid w:val="0043607C"/>
    <w:rsid w:val="0043611E"/>
    <w:rsid w:val="004361CB"/>
    <w:rsid w:val="004362C1"/>
    <w:rsid w:val="0043639A"/>
    <w:rsid w:val="00436463"/>
    <w:rsid w:val="004364C0"/>
    <w:rsid w:val="00436508"/>
    <w:rsid w:val="0043653F"/>
    <w:rsid w:val="00436573"/>
    <w:rsid w:val="004367CC"/>
    <w:rsid w:val="004368F8"/>
    <w:rsid w:val="00436960"/>
    <w:rsid w:val="004369ED"/>
    <w:rsid w:val="004369F0"/>
    <w:rsid w:val="00436A54"/>
    <w:rsid w:val="00436A6A"/>
    <w:rsid w:val="00436C25"/>
    <w:rsid w:val="00436C8C"/>
    <w:rsid w:val="00436C96"/>
    <w:rsid w:val="00436D68"/>
    <w:rsid w:val="00436DFE"/>
    <w:rsid w:val="00436E1B"/>
    <w:rsid w:val="00436E84"/>
    <w:rsid w:val="00436EB8"/>
    <w:rsid w:val="00437019"/>
    <w:rsid w:val="004370E2"/>
    <w:rsid w:val="0043717B"/>
    <w:rsid w:val="00437196"/>
    <w:rsid w:val="00437286"/>
    <w:rsid w:val="004372A8"/>
    <w:rsid w:val="004372AD"/>
    <w:rsid w:val="004372E5"/>
    <w:rsid w:val="00437510"/>
    <w:rsid w:val="0043755A"/>
    <w:rsid w:val="00437570"/>
    <w:rsid w:val="004375D0"/>
    <w:rsid w:val="004375DF"/>
    <w:rsid w:val="00437628"/>
    <w:rsid w:val="00437790"/>
    <w:rsid w:val="0043785B"/>
    <w:rsid w:val="00437985"/>
    <w:rsid w:val="0043799F"/>
    <w:rsid w:val="00437A73"/>
    <w:rsid w:val="00437A7F"/>
    <w:rsid w:val="00437B43"/>
    <w:rsid w:val="00437BC9"/>
    <w:rsid w:val="00437D1A"/>
    <w:rsid w:val="00437D98"/>
    <w:rsid w:val="00437E94"/>
    <w:rsid w:val="004400A7"/>
    <w:rsid w:val="004400F1"/>
    <w:rsid w:val="00440231"/>
    <w:rsid w:val="0044031E"/>
    <w:rsid w:val="0044046A"/>
    <w:rsid w:val="004404B3"/>
    <w:rsid w:val="004404DE"/>
    <w:rsid w:val="004404F8"/>
    <w:rsid w:val="0044056A"/>
    <w:rsid w:val="00440690"/>
    <w:rsid w:val="004406A9"/>
    <w:rsid w:val="004406DF"/>
    <w:rsid w:val="00440747"/>
    <w:rsid w:val="00440890"/>
    <w:rsid w:val="00440BD1"/>
    <w:rsid w:val="00440C7F"/>
    <w:rsid w:val="00440C81"/>
    <w:rsid w:val="00440CAC"/>
    <w:rsid w:val="00440CF6"/>
    <w:rsid w:val="00440D5E"/>
    <w:rsid w:val="00440EF6"/>
    <w:rsid w:val="00440F58"/>
    <w:rsid w:val="00440FE3"/>
    <w:rsid w:val="00440FEE"/>
    <w:rsid w:val="00441044"/>
    <w:rsid w:val="004411F1"/>
    <w:rsid w:val="00441448"/>
    <w:rsid w:val="0044149A"/>
    <w:rsid w:val="00441541"/>
    <w:rsid w:val="004415B6"/>
    <w:rsid w:val="004415DF"/>
    <w:rsid w:val="00441795"/>
    <w:rsid w:val="0044182C"/>
    <w:rsid w:val="0044185B"/>
    <w:rsid w:val="00441884"/>
    <w:rsid w:val="00441927"/>
    <w:rsid w:val="00441971"/>
    <w:rsid w:val="00441A1E"/>
    <w:rsid w:val="00441B00"/>
    <w:rsid w:val="00441D50"/>
    <w:rsid w:val="00441EC0"/>
    <w:rsid w:val="00441EE5"/>
    <w:rsid w:val="00441F29"/>
    <w:rsid w:val="00441F84"/>
    <w:rsid w:val="00442000"/>
    <w:rsid w:val="00442180"/>
    <w:rsid w:val="00442246"/>
    <w:rsid w:val="0044236F"/>
    <w:rsid w:val="004423BC"/>
    <w:rsid w:val="00442456"/>
    <w:rsid w:val="00442585"/>
    <w:rsid w:val="004426C2"/>
    <w:rsid w:val="0044273A"/>
    <w:rsid w:val="0044283A"/>
    <w:rsid w:val="00442846"/>
    <w:rsid w:val="00442991"/>
    <w:rsid w:val="00442A4F"/>
    <w:rsid w:val="00442AB0"/>
    <w:rsid w:val="00442C5E"/>
    <w:rsid w:val="00442C81"/>
    <w:rsid w:val="00442CB5"/>
    <w:rsid w:val="00442E9A"/>
    <w:rsid w:val="00442EEB"/>
    <w:rsid w:val="00442F7C"/>
    <w:rsid w:val="00442FCD"/>
    <w:rsid w:val="00443102"/>
    <w:rsid w:val="004431C0"/>
    <w:rsid w:val="00443327"/>
    <w:rsid w:val="00443397"/>
    <w:rsid w:val="004433EF"/>
    <w:rsid w:val="00443450"/>
    <w:rsid w:val="00443460"/>
    <w:rsid w:val="004434A4"/>
    <w:rsid w:val="00443534"/>
    <w:rsid w:val="004435C8"/>
    <w:rsid w:val="00443710"/>
    <w:rsid w:val="0044374A"/>
    <w:rsid w:val="00443789"/>
    <w:rsid w:val="004437D2"/>
    <w:rsid w:val="004438F9"/>
    <w:rsid w:val="0044391F"/>
    <w:rsid w:val="00443A52"/>
    <w:rsid w:val="00443B0E"/>
    <w:rsid w:val="00443BA2"/>
    <w:rsid w:val="00443BF5"/>
    <w:rsid w:val="00443D5C"/>
    <w:rsid w:val="00443DA4"/>
    <w:rsid w:val="00443E35"/>
    <w:rsid w:val="00443E63"/>
    <w:rsid w:val="00443E88"/>
    <w:rsid w:val="00443EFE"/>
    <w:rsid w:val="00443F0D"/>
    <w:rsid w:val="00443F1E"/>
    <w:rsid w:val="004442BF"/>
    <w:rsid w:val="00444364"/>
    <w:rsid w:val="004443B4"/>
    <w:rsid w:val="00444491"/>
    <w:rsid w:val="004444B0"/>
    <w:rsid w:val="00444587"/>
    <w:rsid w:val="004445A6"/>
    <w:rsid w:val="004445A7"/>
    <w:rsid w:val="00444672"/>
    <w:rsid w:val="00444674"/>
    <w:rsid w:val="004446BE"/>
    <w:rsid w:val="004446D4"/>
    <w:rsid w:val="00444925"/>
    <w:rsid w:val="0044493B"/>
    <w:rsid w:val="00444BA3"/>
    <w:rsid w:val="00444BE5"/>
    <w:rsid w:val="00444C8F"/>
    <w:rsid w:val="00444CAF"/>
    <w:rsid w:val="00444CE7"/>
    <w:rsid w:val="00444D4E"/>
    <w:rsid w:val="00444E00"/>
    <w:rsid w:val="00444EAD"/>
    <w:rsid w:val="00444F55"/>
    <w:rsid w:val="0044509F"/>
    <w:rsid w:val="00445138"/>
    <w:rsid w:val="00445243"/>
    <w:rsid w:val="004452E3"/>
    <w:rsid w:val="00445331"/>
    <w:rsid w:val="00445351"/>
    <w:rsid w:val="00445352"/>
    <w:rsid w:val="0044536A"/>
    <w:rsid w:val="00445382"/>
    <w:rsid w:val="004453F7"/>
    <w:rsid w:val="00445595"/>
    <w:rsid w:val="00445727"/>
    <w:rsid w:val="004458AF"/>
    <w:rsid w:val="0044590A"/>
    <w:rsid w:val="0044598D"/>
    <w:rsid w:val="00445B86"/>
    <w:rsid w:val="00445BCC"/>
    <w:rsid w:val="00445C09"/>
    <w:rsid w:val="00445C44"/>
    <w:rsid w:val="00445D91"/>
    <w:rsid w:val="0044600C"/>
    <w:rsid w:val="004460ED"/>
    <w:rsid w:val="00446101"/>
    <w:rsid w:val="00446155"/>
    <w:rsid w:val="00446157"/>
    <w:rsid w:val="00446289"/>
    <w:rsid w:val="00446365"/>
    <w:rsid w:val="004464AD"/>
    <w:rsid w:val="004464E4"/>
    <w:rsid w:val="004464EB"/>
    <w:rsid w:val="0044656D"/>
    <w:rsid w:val="00446609"/>
    <w:rsid w:val="00446612"/>
    <w:rsid w:val="00446659"/>
    <w:rsid w:val="00446801"/>
    <w:rsid w:val="00446A26"/>
    <w:rsid w:val="00446A90"/>
    <w:rsid w:val="00446AD0"/>
    <w:rsid w:val="00446AF6"/>
    <w:rsid w:val="00446BCB"/>
    <w:rsid w:val="00446C4F"/>
    <w:rsid w:val="00446C76"/>
    <w:rsid w:val="00446C91"/>
    <w:rsid w:val="00446E61"/>
    <w:rsid w:val="00446EAB"/>
    <w:rsid w:val="00446ED7"/>
    <w:rsid w:val="00446F2B"/>
    <w:rsid w:val="00446F95"/>
    <w:rsid w:val="00447034"/>
    <w:rsid w:val="00447174"/>
    <w:rsid w:val="004471D7"/>
    <w:rsid w:val="004471F1"/>
    <w:rsid w:val="00447276"/>
    <w:rsid w:val="0044727E"/>
    <w:rsid w:val="004474E3"/>
    <w:rsid w:val="00447658"/>
    <w:rsid w:val="0044785D"/>
    <w:rsid w:val="004478DF"/>
    <w:rsid w:val="00447950"/>
    <w:rsid w:val="00447953"/>
    <w:rsid w:val="00447ACF"/>
    <w:rsid w:val="00447CC7"/>
    <w:rsid w:val="00447CDE"/>
    <w:rsid w:val="00447E82"/>
    <w:rsid w:val="00447FAA"/>
    <w:rsid w:val="00447FEB"/>
    <w:rsid w:val="00450098"/>
    <w:rsid w:val="004500E8"/>
    <w:rsid w:val="004501A1"/>
    <w:rsid w:val="00450234"/>
    <w:rsid w:val="00450577"/>
    <w:rsid w:val="004505FF"/>
    <w:rsid w:val="00450866"/>
    <w:rsid w:val="004508BD"/>
    <w:rsid w:val="00450923"/>
    <w:rsid w:val="004509E9"/>
    <w:rsid w:val="004509F2"/>
    <w:rsid w:val="00450A04"/>
    <w:rsid w:val="00450A90"/>
    <w:rsid w:val="00450B19"/>
    <w:rsid w:val="00450C3C"/>
    <w:rsid w:val="00450C85"/>
    <w:rsid w:val="00450C8D"/>
    <w:rsid w:val="00450CEC"/>
    <w:rsid w:val="00450E73"/>
    <w:rsid w:val="00450F02"/>
    <w:rsid w:val="00451053"/>
    <w:rsid w:val="0045112A"/>
    <w:rsid w:val="004511F8"/>
    <w:rsid w:val="00451246"/>
    <w:rsid w:val="004513CB"/>
    <w:rsid w:val="004514B1"/>
    <w:rsid w:val="00451502"/>
    <w:rsid w:val="00451614"/>
    <w:rsid w:val="0045162A"/>
    <w:rsid w:val="0045169E"/>
    <w:rsid w:val="004516C7"/>
    <w:rsid w:val="0045173E"/>
    <w:rsid w:val="00451771"/>
    <w:rsid w:val="004517B7"/>
    <w:rsid w:val="004517BB"/>
    <w:rsid w:val="00451892"/>
    <w:rsid w:val="004518D5"/>
    <w:rsid w:val="004518F5"/>
    <w:rsid w:val="00451ADB"/>
    <w:rsid w:val="00451B91"/>
    <w:rsid w:val="00451BF4"/>
    <w:rsid w:val="00451CEE"/>
    <w:rsid w:val="00451D5F"/>
    <w:rsid w:val="00451E26"/>
    <w:rsid w:val="00451E9B"/>
    <w:rsid w:val="00451EC9"/>
    <w:rsid w:val="00451F04"/>
    <w:rsid w:val="00451F26"/>
    <w:rsid w:val="004520A6"/>
    <w:rsid w:val="004520AA"/>
    <w:rsid w:val="004521F3"/>
    <w:rsid w:val="00452287"/>
    <w:rsid w:val="004522A9"/>
    <w:rsid w:val="0045239F"/>
    <w:rsid w:val="004523CC"/>
    <w:rsid w:val="00452455"/>
    <w:rsid w:val="00452506"/>
    <w:rsid w:val="004525B7"/>
    <w:rsid w:val="004525C7"/>
    <w:rsid w:val="004525EE"/>
    <w:rsid w:val="00452716"/>
    <w:rsid w:val="004528BF"/>
    <w:rsid w:val="00452A0A"/>
    <w:rsid w:val="00452EF8"/>
    <w:rsid w:val="00452F1D"/>
    <w:rsid w:val="00452F31"/>
    <w:rsid w:val="00452FBC"/>
    <w:rsid w:val="00453003"/>
    <w:rsid w:val="00453052"/>
    <w:rsid w:val="004530D3"/>
    <w:rsid w:val="004530F0"/>
    <w:rsid w:val="00453117"/>
    <w:rsid w:val="00453120"/>
    <w:rsid w:val="0045326C"/>
    <w:rsid w:val="00453290"/>
    <w:rsid w:val="004532B7"/>
    <w:rsid w:val="00453334"/>
    <w:rsid w:val="00453375"/>
    <w:rsid w:val="00453594"/>
    <w:rsid w:val="004535D8"/>
    <w:rsid w:val="0045370B"/>
    <w:rsid w:val="0045385E"/>
    <w:rsid w:val="00453893"/>
    <w:rsid w:val="004538B3"/>
    <w:rsid w:val="00453A7B"/>
    <w:rsid w:val="00453AB9"/>
    <w:rsid w:val="00453C4B"/>
    <w:rsid w:val="00453C79"/>
    <w:rsid w:val="00453D7D"/>
    <w:rsid w:val="00453F49"/>
    <w:rsid w:val="0045410C"/>
    <w:rsid w:val="004541E2"/>
    <w:rsid w:val="004541FF"/>
    <w:rsid w:val="004542C3"/>
    <w:rsid w:val="0045433E"/>
    <w:rsid w:val="00454604"/>
    <w:rsid w:val="00454613"/>
    <w:rsid w:val="00454719"/>
    <w:rsid w:val="0045477E"/>
    <w:rsid w:val="004547BF"/>
    <w:rsid w:val="004548A0"/>
    <w:rsid w:val="004549ED"/>
    <w:rsid w:val="00454A13"/>
    <w:rsid w:val="00454A60"/>
    <w:rsid w:val="00454A88"/>
    <w:rsid w:val="00454A9F"/>
    <w:rsid w:val="00454AA7"/>
    <w:rsid w:val="00454B05"/>
    <w:rsid w:val="00454B36"/>
    <w:rsid w:val="00454CE5"/>
    <w:rsid w:val="00454D88"/>
    <w:rsid w:val="00454E31"/>
    <w:rsid w:val="00454F27"/>
    <w:rsid w:val="00454FAE"/>
    <w:rsid w:val="00454FF9"/>
    <w:rsid w:val="0045501F"/>
    <w:rsid w:val="00455023"/>
    <w:rsid w:val="004550CE"/>
    <w:rsid w:val="0045510F"/>
    <w:rsid w:val="00455569"/>
    <w:rsid w:val="004555DA"/>
    <w:rsid w:val="0045561B"/>
    <w:rsid w:val="00455637"/>
    <w:rsid w:val="0045566B"/>
    <w:rsid w:val="0045575B"/>
    <w:rsid w:val="0045578E"/>
    <w:rsid w:val="004558F1"/>
    <w:rsid w:val="00455966"/>
    <w:rsid w:val="00455995"/>
    <w:rsid w:val="004559A9"/>
    <w:rsid w:val="00455A01"/>
    <w:rsid w:val="00455AEE"/>
    <w:rsid w:val="00455AF9"/>
    <w:rsid w:val="00455B56"/>
    <w:rsid w:val="00455BD0"/>
    <w:rsid w:val="00455BE1"/>
    <w:rsid w:val="00455C73"/>
    <w:rsid w:val="00455CF3"/>
    <w:rsid w:val="00455D35"/>
    <w:rsid w:val="00455DAA"/>
    <w:rsid w:val="00456170"/>
    <w:rsid w:val="004561B1"/>
    <w:rsid w:val="004561F0"/>
    <w:rsid w:val="0045640F"/>
    <w:rsid w:val="00456470"/>
    <w:rsid w:val="0045676E"/>
    <w:rsid w:val="004567D5"/>
    <w:rsid w:val="004568CF"/>
    <w:rsid w:val="004568E0"/>
    <w:rsid w:val="0045694C"/>
    <w:rsid w:val="004569C8"/>
    <w:rsid w:val="00456A35"/>
    <w:rsid w:val="00456B13"/>
    <w:rsid w:val="00456BBA"/>
    <w:rsid w:val="00456BEB"/>
    <w:rsid w:val="00456C2D"/>
    <w:rsid w:val="00456C6F"/>
    <w:rsid w:val="00456C87"/>
    <w:rsid w:val="00456CEA"/>
    <w:rsid w:val="00456D18"/>
    <w:rsid w:val="00456E34"/>
    <w:rsid w:val="00457059"/>
    <w:rsid w:val="00457151"/>
    <w:rsid w:val="0045716F"/>
    <w:rsid w:val="004571E5"/>
    <w:rsid w:val="004571E8"/>
    <w:rsid w:val="00457287"/>
    <w:rsid w:val="00457320"/>
    <w:rsid w:val="0045734B"/>
    <w:rsid w:val="00457374"/>
    <w:rsid w:val="004573A3"/>
    <w:rsid w:val="004573DC"/>
    <w:rsid w:val="00457486"/>
    <w:rsid w:val="0045756A"/>
    <w:rsid w:val="00457597"/>
    <w:rsid w:val="0045790F"/>
    <w:rsid w:val="00457958"/>
    <w:rsid w:val="00457B42"/>
    <w:rsid w:val="00457BAC"/>
    <w:rsid w:val="00457C64"/>
    <w:rsid w:val="00457CA8"/>
    <w:rsid w:val="00457D53"/>
    <w:rsid w:val="00457F5E"/>
    <w:rsid w:val="00460174"/>
    <w:rsid w:val="004603BD"/>
    <w:rsid w:val="0046054C"/>
    <w:rsid w:val="00460567"/>
    <w:rsid w:val="004605DA"/>
    <w:rsid w:val="0046062D"/>
    <w:rsid w:val="00460786"/>
    <w:rsid w:val="004608C7"/>
    <w:rsid w:val="0046093A"/>
    <w:rsid w:val="004609CA"/>
    <w:rsid w:val="00460A6D"/>
    <w:rsid w:val="00460C35"/>
    <w:rsid w:val="00460C3F"/>
    <w:rsid w:val="00460CAE"/>
    <w:rsid w:val="00460D79"/>
    <w:rsid w:val="00460E21"/>
    <w:rsid w:val="00460FA4"/>
    <w:rsid w:val="00461007"/>
    <w:rsid w:val="00461159"/>
    <w:rsid w:val="0046116F"/>
    <w:rsid w:val="0046127B"/>
    <w:rsid w:val="0046135A"/>
    <w:rsid w:val="0046145E"/>
    <w:rsid w:val="00461593"/>
    <w:rsid w:val="00461632"/>
    <w:rsid w:val="004616CB"/>
    <w:rsid w:val="004616D6"/>
    <w:rsid w:val="0046181F"/>
    <w:rsid w:val="004619AA"/>
    <w:rsid w:val="00461A71"/>
    <w:rsid w:val="00461AA8"/>
    <w:rsid w:val="00461C89"/>
    <w:rsid w:val="00461F99"/>
    <w:rsid w:val="0046200B"/>
    <w:rsid w:val="0046204C"/>
    <w:rsid w:val="004622A4"/>
    <w:rsid w:val="0046239B"/>
    <w:rsid w:val="004623DD"/>
    <w:rsid w:val="004623EF"/>
    <w:rsid w:val="00462495"/>
    <w:rsid w:val="004625FF"/>
    <w:rsid w:val="00462622"/>
    <w:rsid w:val="0046266E"/>
    <w:rsid w:val="00462791"/>
    <w:rsid w:val="004627A6"/>
    <w:rsid w:val="0046282D"/>
    <w:rsid w:val="00462953"/>
    <w:rsid w:val="004629D7"/>
    <w:rsid w:val="00462AF7"/>
    <w:rsid w:val="00462B1E"/>
    <w:rsid w:val="00462BB9"/>
    <w:rsid w:val="00462C0B"/>
    <w:rsid w:val="00462D28"/>
    <w:rsid w:val="00462D99"/>
    <w:rsid w:val="00462DE0"/>
    <w:rsid w:val="00462F7C"/>
    <w:rsid w:val="00462FF7"/>
    <w:rsid w:val="0046308F"/>
    <w:rsid w:val="004633EE"/>
    <w:rsid w:val="00463675"/>
    <w:rsid w:val="00463693"/>
    <w:rsid w:val="004638F8"/>
    <w:rsid w:val="00463933"/>
    <w:rsid w:val="004639EA"/>
    <w:rsid w:val="00463B50"/>
    <w:rsid w:val="00463D63"/>
    <w:rsid w:val="00463E25"/>
    <w:rsid w:val="00463F38"/>
    <w:rsid w:val="004640AF"/>
    <w:rsid w:val="00464180"/>
    <w:rsid w:val="0046430A"/>
    <w:rsid w:val="004643BD"/>
    <w:rsid w:val="0046442B"/>
    <w:rsid w:val="0046446F"/>
    <w:rsid w:val="00464523"/>
    <w:rsid w:val="0046466D"/>
    <w:rsid w:val="004646F7"/>
    <w:rsid w:val="00464831"/>
    <w:rsid w:val="00464953"/>
    <w:rsid w:val="0046497A"/>
    <w:rsid w:val="00464B40"/>
    <w:rsid w:val="00464BFA"/>
    <w:rsid w:val="00464C8C"/>
    <w:rsid w:val="00464CE3"/>
    <w:rsid w:val="00464DAA"/>
    <w:rsid w:val="00464EE9"/>
    <w:rsid w:val="00464FC3"/>
    <w:rsid w:val="004650A6"/>
    <w:rsid w:val="004650C8"/>
    <w:rsid w:val="00465190"/>
    <w:rsid w:val="004651DE"/>
    <w:rsid w:val="004651FB"/>
    <w:rsid w:val="004652A8"/>
    <w:rsid w:val="004652DB"/>
    <w:rsid w:val="0046532D"/>
    <w:rsid w:val="004653AA"/>
    <w:rsid w:val="004653D5"/>
    <w:rsid w:val="0046547D"/>
    <w:rsid w:val="004655DD"/>
    <w:rsid w:val="00465679"/>
    <w:rsid w:val="00465721"/>
    <w:rsid w:val="0046577C"/>
    <w:rsid w:val="004657FE"/>
    <w:rsid w:val="00465843"/>
    <w:rsid w:val="0046589D"/>
    <w:rsid w:val="00465A81"/>
    <w:rsid w:val="00465AA0"/>
    <w:rsid w:val="00465AFC"/>
    <w:rsid w:val="00465D18"/>
    <w:rsid w:val="004660EB"/>
    <w:rsid w:val="00466137"/>
    <w:rsid w:val="004661EC"/>
    <w:rsid w:val="004661FA"/>
    <w:rsid w:val="00466300"/>
    <w:rsid w:val="00466320"/>
    <w:rsid w:val="00466354"/>
    <w:rsid w:val="004663C2"/>
    <w:rsid w:val="004663DF"/>
    <w:rsid w:val="0046674B"/>
    <w:rsid w:val="00466755"/>
    <w:rsid w:val="004667DA"/>
    <w:rsid w:val="00466871"/>
    <w:rsid w:val="004668E3"/>
    <w:rsid w:val="004669D6"/>
    <w:rsid w:val="00466A00"/>
    <w:rsid w:val="00466A8A"/>
    <w:rsid w:val="00466B28"/>
    <w:rsid w:val="00466B60"/>
    <w:rsid w:val="00466C15"/>
    <w:rsid w:val="00466C68"/>
    <w:rsid w:val="00466D90"/>
    <w:rsid w:val="00466DE3"/>
    <w:rsid w:val="00466E15"/>
    <w:rsid w:val="00466EE7"/>
    <w:rsid w:val="004670BC"/>
    <w:rsid w:val="00467151"/>
    <w:rsid w:val="004672A0"/>
    <w:rsid w:val="004672AD"/>
    <w:rsid w:val="00467306"/>
    <w:rsid w:val="00467318"/>
    <w:rsid w:val="004674EE"/>
    <w:rsid w:val="004675C1"/>
    <w:rsid w:val="004676BE"/>
    <w:rsid w:val="0046778E"/>
    <w:rsid w:val="00467870"/>
    <w:rsid w:val="0046792E"/>
    <w:rsid w:val="00467A0B"/>
    <w:rsid w:val="00467A55"/>
    <w:rsid w:val="00467AD0"/>
    <w:rsid w:val="00467CB7"/>
    <w:rsid w:val="00467DA5"/>
    <w:rsid w:val="00467EAD"/>
    <w:rsid w:val="00467F86"/>
    <w:rsid w:val="004700E1"/>
    <w:rsid w:val="004701A9"/>
    <w:rsid w:val="00470293"/>
    <w:rsid w:val="00470295"/>
    <w:rsid w:val="004704FA"/>
    <w:rsid w:val="00470619"/>
    <w:rsid w:val="0047068B"/>
    <w:rsid w:val="0047077A"/>
    <w:rsid w:val="00470921"/>
    <w:rsid w:val="00470972"/>
    <w:rsid w:val="004709EA"/>
    <w:rsid w:val="00470A72"/>
    <w:rsid w:val="00470A79"/>
    <w:rsid w:val="00470BAE"/>
    <w:rsid w:val="00470C57"/>
    <w:rsid w:val="00470CCC"/>
    <w:rsid w:val="00470E3B"/>
    <w:rsid w:val="00470E61"/>
    <w:rsid w:val="00470E94"/>
    <w:rsid w:val="00470E9B"/>
    <w:rsid w:val="00470ED0"/>
    <w:rsid w:val="00470EDD"/>
    <w:rsid w:val="00470FB5"/>
    <w:rsid w:val="00471080"/>
    <w:rsid w:val="004712BA"/>
    <w:rsid w:val="004712E9"/>
    <w:rsid w:val="004713BB"/>
    <w:rsid w:val="004715B1"/>
    <w:rsid w:val="0047160B"/>
    <w:rsid w:val="0047184B"/>
    <w:rsid w:val="004719F3"/>
    <w:rsid w:val="00471B08"/>
    <w:rsid w:val="00471B22"/>
    <w:rsid w:val="00471B37"/>
    <w:rsid w:val="00471B48"/>
    <w:rsid w:val="00471C56"/>
    <w:rsid w:val="00471C95"/>
    <w:rsid w:val="00471D4A"/>
    <w:rsid w:val="00471E28"/>
    <w:rsid w:val="00471F07"/>
    <w:rsid w:val="00471F6E"/>
    <w:rsid w:val="00471F9F"/>
    <w:rsid w:val="00472014"/>
    <w:rsid w:val="0047201C"/>
    <w:rsid w:val="004720FB"/>
    <w:rsid w:val="0047226B"/>
    <w:rsid w:val="004722C6"/>
    <w:rsid w:val="004722F9"/>
    <w:rsid w:val="00472346"/>
    <w:rsid w:val="00472475"/>
    <w:rsid w:val="004724BE"/>
    <w:rsid w:val="00472529"/>
    <w:rsid w:val="0047257B"/>
    <w:rsid w:val="0047266C"/>
    <w:rsid w:val="004728D3"/>
    <w:rsid w:val="0047293A"/>
    <w:rsid w:val="00472958"/>
    <w:rsid w:val="00472B26"/>
    <w:rsid w:val="00472C90"/>
    <w:rsid w:val="00472CB9"/>
    <w:rsid w:val="00472F27"/>
    <w:rsid w:val="00472F9A"/>
    <w:rsid w:val="00472FDA"/>
    <w:rsid w:val="0047306A"/>
    <w:rsid w:val="00473091"/>
    <w:rsid w:val="00473124"/>
    <w:rsid w:val="0047322B"/>
    <w:rsid w:val="004732A3"/>
    <w:rsid w:val="004737DD"/>
    <w:rsid w:val="00473874"/>
    <w:rsid w:val="004739CC"/>
    <w:rsid w:val="004739CE"/>
    <w:rsid w:val="00473A3F"/>
    <w:rsid w:val="00473BD0"/>
    <w:rsid w:val="00473CF0"/>
    <w:rsid w:val="00473DA0"/>
    <w:rsid w:val="00473DFB"/>
    <w:rsid w:val="00473E15"/>
    <w:rsid w:val="00473E83"/>
    <w:rsid w:val="00473F29"/>
    <w:rsid w:val="00473F96"/>
    <w:rsid w:val="00474165"/>
    <w:rsid w:val="004742C8"/>
    <w:rsid w:val="00474327"/>
    <w:rsid w:val="004743F7"/>
    <w:rsid w:val="004743FB"/>
    <w:rsid w:val="0047440E"/>
    <w:rsid w:val="00474622"/>
    <w:rsid w:val="0047495B"/>
    <w:rsid w:val="004749B1"/>
    <w:rsid w:val="00474A35"/>
    <w:rsid w:val="00474A45"/>
    <w:rsid w:val="00474AF5"/>
    <w:rsid w:val="00474B1E"/>
    <w:rsid w:val="00474B3C"/>
    <w:rsid w:val="00474C4C"/>
    <w:rsid w:val="00474E57"/>
    <w:rsid w:val="00474ECE"/>
    <w:rsid w:val="00474F27"/>
    <w:rsid w:val="00474F8B"/>
    <w:rsid w:val="0047505A"/>
    <w:rsid w:val="004750B1"/>
    <w:rsid w:val="00475187"/>
    <w:rsid w:val="0047520E"/>
    <w:rsid w:val="00475535"/>
    <w:rsid w:val="004755F2"/>
    <w:rsid w:val="00475678"/>
    <w:rsid w:val="00475A0B"/>
    <w:rsid w:val="00475A54"/>
    <w:rsid w:val="00475A9F"/>
    <w:rsid w:val="00475AC5"/>
    <w:rsid w:val="00475B2E"/>
    <w:rsid w:val="00475BB4"/>
    <w:rsid w:val="00475C0C"/>
    <w:rsid w:val="00475CCE"/>
    <w:rsid w:val="00475E5D"/>
    <w:rsid w:val="00475EAB"/>
    <w:rsid w:val="004760B0"/>
    <w:rsid w:val="004760B2"/>
    <w:rsid w:val="004761A5"/>
    <w:rsid w:val="0047639E"/>
    <w:rsid w:val="0047643B"/>
    <w:rsid w:val="0047646E"/>
    <w:rsid w:val="00476518"/>
    <w:rsid w:val="00476519"/>
    <w:rsid w:val="00476545"/>
    <w:rsid w:val="0047657B"/>
    <w:rsid w:val="0047678E"/>
    <w:rsid w:val="00476838"/>
    <w:rsid w:val="004768A1"/>
    <w:rsid w:val="004768DF"/>
    <w:rsid w:val="004768F7"/>
    <w:rsid w:val="00476907"/>
    <w:rsid w:val="00476928"/>
    <w:rsid w:val="00476997"/>
    <w:rsid w:val="00476A0C"/>
    <w:rsid w:val="00476A7D"/>
    <w:rsid w:val="00476C75"/>
    <w:rsid w:val="00476DE4"/>
    <w:rsid w:val="00476DF1"/>
    <w:rsid w:val="00476E28"/>
    <w:rsid w:val="00476E38"/>
    <w:rsid w:val="00476E68"/>
    <w:rsid w:val="00476F35"/>
    <w:rsid w:val="00476FBC"/>
    <w:rsid w:val="00477008"/>
    <w:rsid w:val="004770E0"/>
    <w:rsid w:val="00477129"/>
    <w:rsid w:val="004771FD"/>
    <w:rsid w:val="00477499"/>
    <w:rsid w:val="004774B8"/>
    <w:rsid w:val="0047755A"/>
    <w:rsid w:val="004775E7"/>
    <w:rsid w:val="0047775D"/>
    <w:rsid w:val="0047775E"/>
    <w:rsid w:val="0047779F"/>
    <w:rsid w:val="00477A7C"/>
    <w:rsid w:val="00477AA8"/>
    <w:rsid w:val="00477ABC"/>
    <w:rsid w:val="00477AF0"/>
    <w:rsid w:val="00477B3C"/>
    <w:rsid w:val="00477CB8"/>
    <w:rsid w:val="00477CD4"/>
    <w:rsid w:val="00477D21"/>
    <w:rsid w:val="00477E33"/>
    <w:rsid w:val="00477E92"/>
    <w:rsid w:val="00477EE8"/>
    <w:rsid w:val="00477F28"/>
    <w:rsid w:val="00480008"/>
    <w:rsid w:val="004800E7"/>
    <w:rsid w:val="0048019B"/>
    <w:rsid w:val="004801B7"/>
    <w:rsid w:val="004801E3"/>
    <w:rsid w:val="004801F6"/>
    <w:rsid w:val="0048028C"/>
    <w:rsid w:val="0048043B"/>
    <w:rsid w:val="00480526"/>
    <w:rsid w:val="00480559"/>
    <w:rsid w:val="00480598"/>
    <w:rsid w:val="004805E2"/>
    <w:rsid w:val="0048080A"/>
    <w:rsid w:val="00480852"/>
    <w:rsid w:val="004808E4"/>
    <w:rsid w:val="0048093B"/>
    <w:rsid w:val="00480C3B"/>
    <w:rsid w:val="00480C64"/>
    <w:rsid w:val="00480E96"/>
    <w:rsid w:val="00480EF6"/>
    <w:rsid w:val="00480F8F"/>
    <w:rsid w:val="00480F9B"/>
    <w:rsid w:val="00480FC2"/>
    <w:rsid w:val="00480FD5"/>
    <w:rsid w:val="0048105B"/>
    <w:rsid w:val="004811B8"/>
    <w:rsid w:val="004811FE"/>
    <w:rsid w:val="0048139D"/>
    <w:rsid w:val="00481463"/>
    <w:rsid w:val="0048149E"/>
    <w:rsid w:val="004814CA"/>
    <w:rsid w:val="004815E2"/>
    <w:rsid w:val="00481665"/>
    <w:rsid w:val="00481678"/>
    <w:rsid w:val="00481707"/>
    <w:rsid w:val="00481871"/>
    <w:rsid w:val="0048196C"/>
    <w:rsid w:val="00481987"/>
    <w:rsid w:val="004819E8"/>
    <w:rsid w:val="00481BE4"/>
    <w:rsid w:val="00481C77"/>
    <w:rsid w:val="00481C98"/>
    <w:rsid w:val="00481CA3"/>
    <w:rsid w:val="00481D0E"/>
    <w:rsid w:val="00481EAD"/>
    <w:rsid w:val="00481F71"/>
    <w:rsid w:val="00482079"/>
    <w:rsid w:val="0048210F"/>
    <w:rsid w:val="00482295"/>
    <w:rsid w:val="004822B6"/>
    <w:rsid w:val="00482302"/>
    <w:rsid w:val="00482374"/>
    <w:rsid w:val="004823CC"/>
    <w:rsid w:val="00482440"/>
    <w:rsid w:val="004826A5"/>
    <w:rsid w:val="00482726"/>
    <w:rsid w:val="004827AA"/>
    <w:rsid w:val="0048280B"/>
    <w:rsid w:val="00482840"/>
    <w:rsid w:val="00482B39"/>
    <w:rsid w:val="00482BA1"/>
    <w:rsid w:val="00482BAA"/>
    <w:rsid w:val="00482C84"/>
    <w:rsid w:val="00482D26"/>
    <w:rsid w:val="00482D8F"/>
    <w:rsid w:val="00482E67"/>
    <w:rsid w:val="004830B6"/>
    <w:rsid w:val="004830C6"/>
    <w:rsid w:val="0048314F"/>
    <w:rsid w:val="00483233"/>
    <w:rsid w:val="004832EF"/>
    <w:rsid w:val="0048348B"/>
    <w:rsid w:val="00483534"/>
    <w:rsid w:val="004835DF"/>
    <w:rsid w:val="00483633"/>
    <w:rsid w:val="004837B5"/>
    <w:rsid w:val="004837EA"/>
    <w:rsid w:val="0048391C"/>
    <w:rsid w:val="004839B3"/>
    <w:rsid w:val="00483B23"/>
    <w:rsid w:val="00483B73"/>
    <w:rsid w:val="00483C27"/>
    <w:rsid w:val="00483C83"/>
    <w:rsid w:val="00483D78"/>
    <w:rsid w:val="00483D92"/>
    <w:rsid w:val="00483F8F"/>
    <w:rsid w:val="00483FD3"/>
    <w:rsid w:val="00484007"/>
    <w:rsid w:val="00484020"/>
    <w:rsid w:val="00484035"/>
    <w:rsid w:val="00484174"/>
    <w:rsid w:val="00484269"/>
    <w:rsid w:val="004842C3"/>
    <w:rsid w:val="004844DC"/>
    <w:rsid w:val="004844F8"/>
    <w:rsid w:val="00484598"/>
    <w:rsid w:val="004845DC"/>
    <w:rsid w:val="00484634"/>
    <w:rsid w:val="0048484C"/>
    <w:rsid w:val="00484953"/>
    <w:rsid w:val="0048498C"/>
    <w:rsid w:val="004849AE"/>
    <w:rsid w:val="00484AE2"/>
    <w:rsid w:val="00484B73"/>
    <w:rsid w:val="00484C92"/>
    <w:rsid w:val="00484E45"/>
    <w:rsid w:val="00484E5F"/>
    <w:rsid w:val="00484FA5"/>
    <w:rsid w:val="00485128"/>
    <w:rsid w:val="0048519A"/>
    <w:rsid w:val="0048523B"/>
    <w:rsid w:val="00485258"/>
    <w:rsid w:val="0048529B"/>
    <w:rsid w:val="00485328"/>
    <w:rsid w:val="004855CC"/>
    <w:rsid w:val="00485646"/>
    <w:rsid w:val="00485794"/>
    <w:rsid w:val="0048587A"/>
    <w:rsid w:val="00485A7F"/>
    <w:rsid w:val="00485AEF"/>
    <w:rsid w:val="00485B3D"/>
    <w:rsid w:val="00485C63"/>
    <w:rsid w:val="00485CE4"/>
    <w:rsid w:val="00485CE9"/>
    <w:rsid w:val="00485D3A"/>
    <w:rsid w:val="00485E15"/>
    <w:rsid w:val="00485EA4"/>
    <w:rsid w:val="00486181"/>
    <w:rsid w:val="0048618B"/>
    <w:rsid w:val="004864D7"/>
    <w:rsid w:val="00486557"/>
    <w:rsid w:val="004865AE"/>
    <w:rsid w:val="00486670"/>
    <w:rsid w:val="004867A4"/>
    <w:rsid w:val="004867A7"/>
    <w:rsid w:val="004869B5"/>
    <w:rsid w:val="004869EF"/>
    <w:rsid w:val="00486A88"/>
    <w:rsid w:val="00486BCB"/>
    <w:rsid w:val="00486DD6"/>
    <w:rsid w:val="00486DFC"/>
    <w:rsid w:val="00486E1F"/>
    <w:rsid w:val="00486E2E"/>
    <w:rsid w:val="00486E38"/>
    <w:rsid w:val="00486E82"/>
    <w:rsid w:val="0048706A"/>
    <w:rsid w:val="004870E0"/>
    <w:rsid w:val="00487101"/>
    <w:rsid w:val="00487155"/>
    <w:rsid w:val="00487298"/>
    <w:rsid w:val="004872FE"/>
    <w:rsid w:val="004873E3"/>
    <w:rsid w:val="0048748C"/>
    <w:rsid w:val="00487497"/>
    <w:rsid w:val="004874BC"/>
    <w:rsid w:val="0048751F"/>
    <w:rsid w:val="00487586"/>
    <w:rsid w:val="00487592"/>
    <w:rsid w:val="004875C6"/>
    <w:rsid w:val="004877B6"/>
    <w:rsid w:val="0048781A"/>
    <w:rsid w:val="00487B66"/>
    <w:rsid w:val="00487B8E"/>
    <w:rsid w:val="00487B97"/>
    <w:rsid w:val="00487C19"/>
    <w:rsid w:val="00487DAE"/>
    <w:rsid w:val="00487F86"/>
    <w:rsid w:val="00487FB6"/>
    <w:rsid w:val="00487FD9"/>
    <w:rsid w:val="004880B1"/>
    <w:rsid w:val="0049007C"/>
    <w:rsid w:val="004900DF"/>
    <w:rsid w:val="00490128"/>
    <w:rsid w:val="0049013A"/>
    <w:rsid w:val="0049022F"/>
    <w:rsid w:val="0049035F"/>
    <w:rsid w:val="0049037F"/>
    <w:rsid w:val="004903A0"/>
    <w:rsid w:val="004903C8"/>
    <w:rsid w:val="0049044A"/>
    <w:rsid w:val="00490459"/>
    <w:rsid w:val="0049045E"/>
    <w:rsid w:val="00490588"/>
    <w:rsid w:val="004905C2"/>
    <w:rsid w:val="00490679"/>
    <w:rsid w:val="004906ED"/>
    <w:rsid w:val="004907D9"/>
    <w:rsid w:val="0049081B"/>
    <w:rsid w:val="00490992"/>
    <w:rsid w:val="004909E2"/>
    <w:rsid w:val="00490AB6"/>
    <w:rsid w:val="00490ABC"/>
    <w:rsid w:val="00490C0C"/>
    <w:rsid w:val="00490C6D"/>
    <w:rsid w:val="00490C6F"/>
    <w:rsid w:val="00490D1E"/>
    <w:rsid w:val="00490D5F"/>
    <w:rsid w:val="00490D67"/>
    <w:rsid w:val="00490D9F"/>
    <w:rsid w:val="00490F53"/>
    <w:rsid w:val="0049112D"/>
    <w:rsid w:val="0049113E"/>
    <w:rsid w:val="0049114A"/>
    <w:rsid w:val="00491296"/>
    <w:rsid w:val="00491326"/>
    <w:rsid w:val="00491379"/>
    <w:rsid w:val="0049140B"/>
    <w:rsid w:val="00491524"/>
    <w:rsid w:val="00491659"/>
    <w:rsid w:val="004916C3"/>
    <w:rsid w:val="0049176C"/>
    <w:rsid w:val="004917BD"/>
    <w:rsid w:val="00491894"/>
    <w:rsid w:val="0049196B"/>
    <w:rsid w:val="004919C9"/>
    <w:rsid w:val="00491AD6"/>
    <w:rsid w:val="00491B23"/>
    <w:rsid w:val="00491C59"/>
    <w:rsid w:val="00491CBA"/>
    <w:rsid w:val="00491D76"/>
    <w:rsid w:val="00491DD3"/>
    <w:rsid w:val="00491E2D"/>
    <w:rsid w:val="00491E34"/>
    <w:rsid w:val="00491EB8"/>
    <w:rsid w:val="00492177"/>
    <w:rsid w:val="004921A9"/>
    <w:rsid w:val="004921FD"/>
    <w:rsid w:val="0049237D"/>
    <w:rsid w:val="004924A9"/>
    <w:rsid w:val="004926CA"/>
    <w:rsid w:val="0049270D"/>
    <w:rsid w:val="004927D1"/>
    <w:rsid w:val="0049282C"/>
    <w:rsid w:val="00492849"/>
    <w:rsid w:val="0049286A"/>
    <w:rsid w:val="00492897"/>
    <w:rsid w:val="004928B2"/>
    <w:rsid w:val="004928EF"/>
    <w:rsid w:val="0049295B"/>
    <w:rsid w:val="004929B4"/>
    <w:rsid w:val="00492A2B"/>
    <w:rsid w:val="00492A86"/>
    <w:rsid w:val="00492A8D"/>
    <w:rsid w:val="00492AEF"/>
    <w:rsid w:val="00492B52"/>
    <w:rsid w:val="00492C8A"/>
    <w:rsid w:val="00492D9D"/>
    <w:rsid w:val="00492E74"/>
    <w:rsid w:val="00492F0B"/>
    <w:rsid w:val="00492F82"/>
    <w:rsid w:val="00492F95"/>
    <w:rsid w:val="0049305B"/>
    <w:rsid w:val="0049333C"/>
    <w:rsid w:val="00493526"/>
    <w:rsid w:val="004936FE"/>
    <w:rsid w:val="00493706"/>
    <w:rsid w:val="0049379B"/>
    <w:rsid w:val="0049387A"/>
    <w:rsid w:val="0049388D"/>
    <w:rsid w:val="00493A3A"/>
    <w:rsid w:val="00493A4B"/>
    <w:rsid w:val="00493A60"/>
    <w:rsid w:val="00493C27"/>
    <w:rsid w:val="00493CAA"/>
    <w:rsid w:val="00493D64"/>
    <w:rsid w:val="00493D7A"/>
    <w:rsid w:val="00493DB0"/>
    <w:rsid w:val="00493DD6"/>
    <w:rsid w:val="00493FC2"/>
    <w:rsid w:val="00494164"/>
    <w:rsid w:val="004942BA"/>
    <w:rsid w:val="004943CA"/>
    <w:rsid w:val="00494483"/>
    <w:rsid w:val="0049456D"/>
    <w:rsid w:val="004945F3"/>
    <w:rsid w:val="00494634"/>
    <w:rsid w:val="00494681"/>
    <w:rsid w:val="004946E1"/>
    <w:rsid w:val="0049471F"/>
    <w:rsid w:val="00494781"/>
    <w:rsid w:val="00494795"/>
    <w:rsid w:val="004947EB"/>
    <w:rsid w:val="00494865"/>
    <w:rsid w:val="00494966"/>
    <w:rsid w:val="004949EC"/>
    <w:rsid w:val="00494A21"/>
    <w:rsid w:val="00494A4B"/>
    <w:rsid w:val="00494A7E"/>
    <w:rsid w:val="00494BDC"/>
    <w:rsid w:val="00494C41"/>
    <w:rsid w:val="00494C9F"/>
    <w:rsid w:val="00494D29"/>
    <w:rsid w:val="00494DFB"/>
    <w:rsid w:val="00494E90"/>
    <w:rsid w:val="00494F63"/>
    <w:rsid w:val="00495063"/>
    <w:rsid w:val="00495135"/>
    <w:rsid w:val="004952A1"/>
    <w:rsid w:val="004953F7"/>
    <w:rsid w:val="00495416"/>
    <w:rsid w:val="00495457"/>
    <w:rsid w:val="004954D1"/>
    <w:rsid w:val="004955AC"/>
    <w:rsid w:val="0049566C"/>
    <w:rsid w:val="00495957"/>
    <w:rsid w:val="00495959"/>
    <w:rsid w:val="004959A7"/>
    <w:rsid w:val="00495A24"/>
    <w:rsid w:val="00495D73"/>
    <w:rsid w:val="00495D88"/>
    <w:rsid w:val="00495EAA"/>
    <w:rsid w:val="00495EB3"/>
    <w:rsid w:val="00495ECE"/>
    <w:rsid w:val="00495F90"/>
    <w:rsid w:val="00496023"/>
    <w:rsid w:val="00496062"/>
    <w:rsid w:val="004960FE"/>
    <w:rsid w:val="00496167"/>
    <w:rsid w:val="004961D0"/>
    <w:rsid w:val="0049625A"/>
    <w:rsid w:val="00496279"/>
    <w:rsid w:val="004962DE"/>
    <w:rsid w:val="00496302"/>
    <w:rsid w:val="00496349"/>
    <w:rsid w:val="004963AC"/>
    <w:rsid w:val="004964AB"/>
    <w:rsid w:val="004964BA"/>
    <w:rsid w:val="004964E1"/>
    <w:rsid w:val="0049688E"/>
    <w:rsid w:val="00496936"/>
    <w:rsid w:val="004969BD"/>
    <w:rsid w:val="00496AA9"/>
    <w:rsid w:val="00496AFC"/>
    <w:rsid w:val="00496B44"/>
    <w:rsid w:val="00496B59"/>
    <w:rsid w:val="00496B5E"/>
    <w:rsid w:val="00496CD5"/>
    <w:rsid w:val="00496E1D"/>
    <w:rsid w:val="00496E37"/>
    <w:rsid w:val="00496E72"/>
    <w:rsid w:val="00496E90"/>
    <w:rsid w:val="00496FE8"/>
    <w:rsid w:val="00497001"/>
    <w:rsid w:val="0049706F"/>
    <w:rsid w:val="00497077"/>
    <w:rsid w:val="00497182"/>
    <w:rsid w:val="0049724B"/>
    <w:rsid w:val="004972D5"/>
    <w:rsid w:val="0049734A"/>
    <w:rsid w:val="00497495"/>
    <w:rsid w:val="00497568"/>
    <w:rsid w:val="0049760D"/>
    <w:rsid w:val="00497697"/>
    <w:rsid w:val="004976D2"/>
    <w:rsid w:val="00497733"/>
    <w:rsid w:val="00497794"/>
    <w:rsid w:val="0049783F"/>
    <w:rsid w:val="00497847"/>
    <w:rsid w:val="0049789C"/>
    <w:rsid w:val="00497924"/>
    <w:rsid w:val="00497955"/>
    <w:rsid w:val="00497BC9"/>
    <w:rsid w:val="00497BCB"/>
    <w:rsid w:val="00497BF3"/>
    <w:rsid w:val="00497CFE"/>
    <w:rsid w:val="00497DF1"/>
    <w:rsid w:val="00497E90"/>
    <w:rsid w:val="00497EF4"/>
    <w:rsid w:val="00497F45"/>
    <w:rsid w:val="00497FCD"/>
    <w:rsid w:val="004A00DC"/>
    <w:rsid w:val="004A00E8"/>
    <w:rsid w:val="004A01D9"/>
    <w:rsid w:val="004A01E4"/>
    <w:rsid w:val="004A04B4"/>
    <w:rsid w:val="004A07A5"/>
    <w:rsid w:val="004A084D"/>
    <w:rsid w:val="004A08F5"/>
    <w:rsid w:val="004A095E"/>
    <w:rsid w:val="004A09F7"/>
    <w:rsid w:val="004A0AAD"/>
    <w:rsid w:val="004A0B32"/>
    <w:rsid w:val="004A0C40"/>
    <w:rsid w:val="004A0C67"/>
    <w:rsid w:val="004A0CE5"/>
    <w:rsid w:val="004A0EB2"/>
    <w:rsid w:val="004A0FA5"/>
    <w:rsid w:val="004A1076"/>
    <w:rsid w:val="004A125D"/>
    <w:rsid w:val="004A1288"/>
    <w:rsid w:val="004A131D"/>
    <w:rsid w:val="004A14B5"/>
    <w:rsid w:val="004A161E"/>
    <w:rsid w:val="004A1708"/>
    <w:rsid w:val="004A17BD"/>
    <w:rsid w:val="004A17EE"/>
    <w:rsid w:val="004A1879"/>
    <w:rsid w:val="004A18B0"/>
    <w:rsid w:val="004A18C6"/>
    <w:rsid w:val="004A1946"/>
    <w:rsid w:val="004A1967"/>
    <w:rsid w:val="004A1ACC"/>
    <w:rsid w:val="004A1D05"/>
    <w:rsid w:val="004A1DF8"/>
    <w:rsid w:val="004A1E8B"/>
    <w:rsid w:val="004A1F1E"/>
    <w:rsid w:val="004A235C"/>
    <w:rsid w:val="004A258C"/>
    <w:rsid w:val="004A26FC"/>
    <w:rsid w:val="004A273D"/>
    <w:rsid w:val="004A2755"/>
    <w:rsid w:val="004A27B0"/>
    <w:rsid w:val="004A281A"/>
    <w:rsid w:val="004A2840"/>
    <w:rsid w:val="004A298B"/>
    <w:rsid w:val="004A2A6D"/>
    <w:rsid w:val="004A2A98"/>
    <w:rsid w:val="004A2AEB"/>
    <w:rsid w:val="004A2C73"/>
    <w:rsid w:val="004A2CC2"/>
    <w:rsid w:val="004A2DA5"/>
    <w:rsid w:val="004A312C"/>
    <w:rsid w:val="004A3193"/>
    <w:rsid w:val="004A319F"/>
    <w:rsid w:val="004A32B0"/>
    <w:rsid w:val="004A32F7"/>
    <w:rsid w:val="004A348A"/>
    <w:rsid w:val="004A3528"/>
    <w:rsid w:val="004A35C3"/>
    <w:rsid w:val="004A35C8"/>
    <w:rsid w:val="004A375E"/>
    <w:rsid w:val="004A377B"/>
    <w:rsid w:val="004A37B0"/>
    <w:rsid w:val="004A37E2"/>
    <w:rsid w:val="004A3846"/>
    <w:rsid w:val="004A38F8"/>
    <w:rsid w:val="004A3901"/>
    <w:rsid w:val="004A3924"/>
    <w:rsid w:val="004A395D"/>
    <w:rsid w:val="004A39A8"/>
    <w:rsid w:val="004A3B9A"/>
    <w:rsid w:val="004A3C05"/>
    <w:rsid w:val="004A3D12"/>
    <w:rsid w:val="004A3DD1"/>
    <w:rsid w:val="004A3E91"/>
    <w:rsid w:val="004A3F83"/>
    <w:rsid w:val="004A3FA4"/>
    <w:rsid w:val="004A40A6"/>
    <w:rsid w:val="004A40C7"/>
    <w:rsid w:val="004A421A"/>
    <w:rsid w:val="004A42ED"/>
    <w:rsid w:val="004A4361"/>
    <w:rsid w:val="004A4437"/>
    <w:rsid w:val="004A446D"/>
    <w:rsid w:val="004A4482"/>
    <w:rsid w:val="004A44B6"/>
    <w:rsid w:val="004A44EE"/>
    <w:rsid w:val="004A4640"/>
    <w:rsid w:val="004A48B7"/>
    <w:rsid w:val="004A4958"/>
    <w:rsid w:val="004A4A25"/>
    <w:rsid w:val="004A4BED"/>
    <w:rsid w:val="004A4C21"/>
    <w:rsid w:val="004A4D1F"/>
    <w:rsid w:val="004A4EF4"/>
    <w:rsid w:val="004A4F17"/>
    <w:rsid w:val="004A4F66"/>
    <w:rsid w:val="004A5019"/>
    <w:rsid w:val="004A5185"/>
    <w:rsid w:val="004A5221"/>
    <w:rsid w:val="004A52B4"/>
    <w:rsid w:val="004A52DB"/>
    <w:rsid w:val="004A5360"/>
    <w:rsid w:val="004A537E"/>
    <w:rsid w:val="004A53C6"/>
    <w:rsid w:val="004A5520"/>
    <w:rsid w:val="004A5794"/>
    <w:rsid w:val="004A580A"/>
    <w:rsid w:val="004A580C"/>
    <w:rsid w:val="004A585C"/>
    <w:rsid w:val="004A59D2"/>
    <w:rsid w:val="004A5ADB"/>
    <w:rsid w:val="004A5B6D"/>
    <w:rsid w:val="004A5CB6"/>
    <w:rsid w:val="004A5D07"/>
    <w:rsid w:val="004A5DC6"/>
    <w:rsid w:val="004A5E41"/>
    <w:rsid w:val="004A5F07"/>
    <w:rsid w:val="004A608A"/>
    <w:rsid w:val="004A6110"/>
    <w:rsid w:val="004A61A9"/>
    <w:rsid w:val="004A6229"/>
    <w:rsid w:val="004A6232"/>
    <w:rsid w:val="004A63D7"/>
    <w:rsid w:val="004A65D5"/>
    <w:rsid w:val="004A65D7"/>
    <w:rsid w:val="004A667C"/>
    <w:rsid w:val="004A6742"/>
    <w:rsid w:val="004A679C"/>
    <w:rsid w:val="004A688A"/>
    <w:rsid w:val="004A69AE"/>
    <w:rsid w:val="004A6ABD"/>
    <w:rsid w:val="004A6BA2"/>
    <w:rsid w:val="004A6BAC"/>
    <w:rsid w:val="004A6C8A"/>
    <w:rsid w:val="004A6D13"/>
    <w:rsid w:val="004A6E5D"/>
    <w:rsid w:val="004A6F04"/>
    <w:rsid w:val="004A6F18"/>
    <w:rsid w:val="004A6F43"/>
    <w:rsid w:val="004A6F44"/>
    <w:rsid w:val="004A6F49"/>
    <w:rsid w:val="004A6F71"/>
    <w:rsid w:val="004A6F92"/>
    <w:rsid w:val="004A7107"/>
    <w:rsid w:val="004A718F"/>
    <w:rsid w:val="004A719C"/>
    <w:rsid w:val="004A72F2"/>
    <w:rsid w:val="004A7380"/>
    <w:rsid w:val="004A738F"/>
    <w:rsid w:val="004A73A2"/>
    <w:rsid w:val="004A746F"/>
    <w:rsid w:val="004A7483"/>
    <w:rsid w:val="004A7583"/>
    <w:rsid w:val="004A7777"/>
    <w:rsid w:val="004A78F7"/>
    <w:rsid w:val="004A7963"/>
    <w:rsid w:val="004A7A38"/>
    <w:rsid w:val="004A7A9F"/>
    <w:rsid w:val="004A7AFE"/>
    <w:rsid w:val="004A7C93"/>
    <w:rsid w:val="004A7D7D"/>
    <w:rsid w:val="004A7D95"/>
    <w:rsid w:val="004A7D9F"/>
    <w:rsid w:val="004A7E47"/>
    <w:rsid w:val="004A7EE9"/>
    <w:rsid w:val="004B005D"/>
    <w:rsid w:val="004B0108"/>
    <w:rsid w:val="004B023C"/>
    <w:rsid w:val="004B029D"/>
    <w:rsid w:val="004B02D3"/>
    <w:rsid w:val="004B042E"/>
    <w:rsid w:val="004B04CC"/>
    <w:rsid w:val="004B04E2"/>
    <w:rsid w:val="004B04F5"/>
    <w:rsid w:val="004B0525"/>
    <w:rsid w:val="004B052D"/>
    <w:rsid w:val="004B0802"/>
    <w:rsid w:val="004B0874"/>
    <w:rsid w:val="004B09DC"/>
    <w:rsid w:val="004B09F8"/>
    <w:rsid w:val="004B0B94"/>
    <w:rsid w:val="004B0C1E"/>
    <w:rsid w:val="004B0C4B"/>
    <w:rsid w:val="004B0D6D"/>
    <w:rsid w:val="004B0F78"/>
    <w:rsid w:val="004B13E3"/>
    <w:rsid w:val="004B1451"/>
    <w:rsid w:val="004B15ED"/>
    <w:rsid w:val="004B162C"/>
    <w:rsid w:val="004B1760"/>
    <w:rsid w:val="004B17A2"/>
    <w:rsid w:val="004B17BE"/>
    <w:rsid w:val="004B1815"/>
    <w:rsid w:val="004B18BA"/>
    <w:rsid w:val="004B18BE"/>
    <w:rsid w:val="004B1A2E"/>
    <w:rsid w:val="004B1A5E"/>
    <w:rsid w:val="004B1BEE"/>
    <w:rsid w:val="004B1C55"/>
    <w:rsid w:val="004B1CD9"/>
    <w:rsid w:val="004B1D33"/>
    <w:rsid w:val="004B1D69"/>
    <w:rsid w:val="004B1F53"/>
    <w:rsid w:val="004B1F98"/>
    <w:rsid w:val="004B1FEB"/>
    <w:rsid w:val="004B2038"/>
    <w:rsid w:val="004B2083"/>
    <w:rsid w:val="004B20E7"/>
    <w:rsid w:val="004B2128"/>
    <w:rsid w:val="004B2162"/>
    <w:rsid w:val="004B23BB"/>
    <w:rsid w:val="004B241E"/>
    <w:rsid w:val="004B2612"/>
    <w:rsid w:val="004B275E"/>
    <w:rsid w:val="004B27DA"/>
    <w:rsid w:val="004B27EC"/>
    <w:rsid w:val="004B2882"/>
    <w:rsid w:val="004B28BF"/>
    <w:rsid w:val="004B28E3"/>
    <w:rsid w:val="004B2C0E"/>
    <w:rsid w:val="004B2C12"/>
    <w:rsid w:val="004B2C1C"/>
    <w:rsid w:val="004B2C25"/>
    <w:rsid w:val="004B2CA9"/>
    <w:rsid w:val="004B2CBE"/>
    <w:rsid w:val="004B2D03"/>
    <w:rsid w:val="004B2E1C"/>
    <w:rsid w:val="004B2F0D"/>
    <w:rsid w:val="004B300C"/>
    <w:rsid w:val="004B302C"/>
    <w:rsid w:val="004B30ED"/>
    <w:rsid w:val="004B3185"/>
    <w:rsid w:val="004B3256"/>
    <w:rsid w:val="004B3267"/>
    <w:rsid w:val="004B32E7"/>
    <w:rsid w:val="004B34F4"/>
    <w:rsid w:val="004B370B"/>
    <w:rsid w:val="004B3762"/>
    <w:rsid w:val="004B37CC"/>
    <w:rsid w:val="004B37D2"/>
    <w:rsid w:val="004B391B"/>
    <w:rsid w:val="004B39F4"/>
    <w:rsid w:val="004B3B81"/>
    <w:rsid w:val="004B3C04"/>
    <w:rsid w:val="004B3C24"/>
    <w:rsid w:val="004B3C66"/>
    <w:rsid w:val="004B3CC3"/>
    <w:rsid w:val="004B3D88"/>
    <w:rsid w:val="004B3DBB"/>
    <w:rsid w:val="004B3DC8"/>
    <w:rsid w:val="004B3DD3"/>
    <w:rsid w:val="004B3EA0"/>
    <w:rsid w:val="004B3EF5"/>
    <w:rsid w:val="004B3F38"/>
    <w:rsid w:val="004B40B9"/>
    <w:rsid w:val="004B40E6"/>
    <w:rsid w:val="004B40FE"/>
    <w:rsid w:val="004B428C"/>
    <w:rsid w:val="004B429A"/>
    <w:rsid w:val="004B43A8"/>
    <w:rsid w:val="004B4545"/>
    <w:rsid w:val="004B457F"/>
    <w:rsid w:val="004B489A"/>
    <w:rsid w:val="004B48CD"/>
    <w:rsid w:val="004B4904"/>
    <w:rsid w:val="004B4AF3"/>
    <w:rsid w:val="004B4B97"/>
    <w:rsid w:val="004B4CCE"/>
    <w:rsid w:val="004B4E11"/>
    <w:rsid w:val="004B4E3C"/>
    <w:rsid w:val="004B4F1A"/>
    <w:rsid w:val="004B5000"/>
    <w:rsid w:val="004B502D"/>
    <w:rsid w:val="004B518C"/>
    <w:rsid w:val="004B51A4"/>
    <w:rsid w:val="004B52D3"/>
    <w:rsid w:val="004B54F3"/>
    <w:rsid w:val="004B55A5"/>
    <w:rsid w:val="004B57FD"/>
    <w:rsid w:val="004B5811"/>
    <w:rsid w:val="004B59FD"/>
    <w:rsid w:val="004B5B12"/>
    <w:rsid w:val="004B5B14"/>
    <w:rsid w:val="004B5B41"/>
    <w:rsid w:val="004B5B4B"/>
    <w:rsid w:val="004B5C22"/>
    <w:rsid w:val="004B5C52"/>
    <w:rsid w:val="004B5D18"/>
    <w:rsid w:val="004B5DA0"/>
    <w:rsid w:val="004B5E08"/>
    <w:rsid w:val="004B5E1F"/>
    <w:rsid w:val="004B5E9A"/>
    <w:rsid w:val="004B5EC7"/>
    <w:rsid w:val="004B6065"/>
    <w:rsid w:val="004B6069"/>
    <w:rsid w:val="004B6344"/>
    <w:rsid w:val="004B63FE"/>
    <w:rsid w:val="004B6423"/>
    <w:rsid w:val="004B6566"/>
    <w:rsid w:val="004B659E"/>
    <w:rsid w:val="004B67F0"/>
    <w:rsid w:val="004B6855"/>
    <w:rsid w:val="004B688E"/>
    <w:rsid w:val="004B689F"/>
    <w:rsid w:val="004B69C1"/>
    <w:rsid w:val="004B69E5"/>
    <w:rsid w:val="004B6D1B"/>
    <w:rsid w:val="004B6DC3"/>
    <w:rsid w:val="004B6DE5"/>
    <w:rsid w:val="004B6DEF"/>
    <w:rsid w:val="004B6E77"/>
    <w:rsid w:val="004B6EAD"/>
    <w:rsid w:val="004B6FE3"/>
    <w:rsid w:val="004B708D"/>
    <w:rsid w:val="004B70BA"/>
    <w:rsid w:val="004B70D6"/>
    <w:rsid w:val="004B7293"/>
    <w:rsid w:val="004B75F5"/>
    <w:rsid w:val="004B7632"/>
    <w:rsid w:val="004B7657"/>
    <w:rsid w:val="004B770F"/>
    <w:rsid w:val="004B7727"/>
    <w:rsid w:val="004B7919"/>
    <w:rsid w:val="004B7935"/>
    <w:rsid w:val="004B7AE7"/>
    <w:rsid w:val="004B7B93"/>
    <w:rsid w:val="004B7BDD"/>
    <w:rsid w:val="004B7BE9"/>
    <w:rsid w:val="004B7C6B"/>
    <w:rsid w:val="004B7CCD"/>
    <w:rsid w:val="004B7D0A"/>
    <w:rsid w:val="004B7D50"/>
    <w:rsid w:val="004B7F36"/>
    <w:rsid w:val="004BA460"/>
    <w:rsid w:val="004C00F2"/>
    <w:rsid w:val="004C01CC"/>
    <w:rsid w:val="004C0269"/>
    <w:rsid w:val="004C041E"/>
    <w:rsid w:val="004C0525"/>
    <w:rsid w:val="004C056A"/>
    <w:rsid w:val="004C0573"/>
    <w:rsid w:val="004C0627"/>
    <w:rsid w:val="004C0754"/>
    <w:rsid w:val="004C0851"/>
    <w:rsid w:val="004C08AF"/>
    <w:rsid w:val="004C0929"/>
    <w:rsid w:val="004C0944"/>
    <w:rsid w:val="004C0A39"/>
    <w:rsid w:val="004C0B32"/>
    <w:rsid w:val="004C0C3A"/>
    <w:rsid w:val="004C0CBB"/>
    <w:rsid w:val="004C0D1C"/>
    <w:rsid w:val="004C0DA8"/>
    <w:rsid w:val="004C0F18"/>
    <w:rsid w:val="004C0F1D"/>
    <w:rsid w:val="004C0F4F"/>
    <w:rsid w:val="004C0F54"/>
    <w:rsid w:val="004C1057"/>
    <w:rsid w:val="004C1209"/>
    <w:rsid w:val="004C132E"/>
    <w:rsid w:val="004C138F"/>
    <w:rsid w:val="004C139B"/>
    <w:rsid w:val="004C16AB"/>
    <w:rsid w:val="004C1821"/>
    <w:rsid w:val="004C196F"/>
    <w:rsid w:val="004C19E5"/>
    <w:rsid w:val="004C19E6"/>
    <w:rsid w:val="004C1CFF"/>
    <w:rsid w:val="004C1D86"/>
    <w:rsid w:val="004C1EF8"/>
    <w:rsid w:val="004C201B"/>
    <w:rsid w:val="004C20B5"/>
    <w:rsid w:val="004C20CF"/>
    <w:rsid w:val="004C231D"/>
    <w:rsid w:val="004C23A4"/>
    <w:rsid w:val="004C23C8"/>
    <w:rsid w:val="004C23F9"/>
    <w:rsid w:val="004C247C"/>
    <w:rsid w:val="004C2673"/>
    <w:rsid w:val="004C2996"/>
    <w:rsid w:val="004C29A2"/>
    <w:rsid w:val="004C29C7"/>
    <w:rsid w:val="004C29DF"/>
    <w:rsid w:val="004C2A15"/>
    <w:rsid w:val="004C2AA3"/>
    <w:rsid w:val="004C2C65"/>
    <w:rsid w:val="004C2CF4"/>
    <w:rsid w:val="004C2D56"/>
    <w:rsid w:val="004C2D5D"/>
    <w:rsid w:val="004C2D91"/>
    <w:rsid w:val="004C2DA9"/>
    <w:rsid w:val="004C2DBF"/>
    <w:rsid w:val="004C2DC9"/>
    <w:rsid w:val="004C2DD0"/>
    <w:rsid w:val="004C2E42"/>
    <w:rsid w:val="004C2E8E"/>
    <w:rsid w:val="004C2F89"/>
    <w:rsid w:val="004C2F94"/>
    <w:rsid w:val="004C3015"/>
    <w:rsid w:val="004C3056"/>
    <w:rsid w:val="004C3081"/>
    <w:rsid w:val="004C30C2"/>
    <w:rsid w:val="004C30FE"/>
    <w:rsid w:val="004C3197"/>
    <w:rsid w:val="004C31AC"/>
    <w:rsid w:val="004C3243"/>
    <w:rsid w:val="004C328E"/>
    <w:rsid w:val="004C3465"/>
    <w:rsid w:val="004C3478"/>
    <w:rsid w:val="004C34C2"/>
    <w:rsid w:val="004C34FB"/>
    <w:rsid w:val="004C3551"/>
    <w:rsid w:val="004C36EA"/>
    <w:rsid w:val="004C376F"/>
    <w:rsid w:val="004C384A"/>
    <w:rsid w:val="004C389A"/>
    <w:rsid w:val="004C390F"/>
    <w:rsid w:val="004C3A7B"/>
    <w:rsid w:val="004C3A7F"/>
    <w:rsid w:val="004C3AD7"/>
    <w:rsid w:val="004C3AFD"/>
    <w:rsid w:val="004C3C23"/>
    <w:rsid w:val="004C3E37"/>
    <w:rsid w:val="004C3E6E"/>
    <w:rsid w:val="004C3E85"/>
    <w:rsid w:val="004C3EC5"/>
    <w:rsid w:val="004C3F5F"/>
    <w:rsid w:val="004C3F8E"/>
    <w:rsid w:val="004C400B"/>
    <w:rsid w:val="004C4029"/>
    <w:rsid w:val="004C40C6"/>
    <w:rsid w:val="004C40D4"/>
    <w:rsid w:val="004C4103"/>
    <w:rsid w:val="004C4276"/>
    <w:rsid w:val="004C4330"/>
    <w:rsid w:val="004C43E7"/>
    <w:rsid w:val="004C4758"/>
    <w:rsid w:val="004C478C"/>
    <w:rsid w:val="004C4797"/>
    <w:rsid w:val="004C47F5"/>
    <w:rsid w:val="004C4929"/>
    <w:rsid w:val="004C494F"/>
    <w:rsid w:val="004C49E0"/>
    <w:rsid w:val="004C4A93"/>
    <w:rsid w:val="004C4AE4"/>
    <w:rsid w:val="004C4D57"/>
    <w:rsid w:val="004C4EFF"/>
    <w:rsid w:val="004C4F15"/>
    <w:rsid w:val="004C4F60"/>
    <w:rsid w:val="004C500C"/>
    <w:rsid w:val="004C50F8"/>
    <w:rsid w:val="004C5121"/>
    <w:rsid w:val="004C515E"/>
    <w:rsid w:val="004C526F"/>
    <w:rsid w:val="004C528F"/>
    <w:rsid w:val="004C52CB"/>
    <w:rsid w:val="004C52D6"/>
    <w:rsid w:val="004C53C5"/>
    <w:rsid w:val="004C549F"/>
    <w:rsid w:val="004C5501"/>
    <w:rsid w:val="004C55B5"/>
    <w:rsid w:val="004C5606"/>
    <w:rsid w:val="004C5623"/>
    <w:rsid w:val="004C568C"/>
    <w:rsid w:val="004C56CD"/>
    <w:rsid w:val="004C579C"/>
    <w:rsid w:val="004C5841"/>
    <w:rsid w:val="004C5877"/>
    <w:rsid w:val="004C5910"/>
    <w:rsid w:val="004C5AB8"/>
    <w:rsid w:val="004C5C48"/>
    <w:rsid w:val="004C5C5E"/>
    <w:rsid w:val="004C5D02"/>
    <w:rsid w:val="004C5F53"/>
    <w:rsid w:val="004C5F9B"/>
    <w:rsid w:val="004C6026"/>
    <w:rsid w:val="004C6042"/>
    <w:rsid w:val="004C616C"/>
    <w:rsid w:val="004C6222"/>
    <w:rsid w:val="004C62EF"/>
    <w:rsid w:val="004C6301"/>
    <w:rsid w:val="004C635C"/>
    <w:rsid w:val="004C6562"/>
    <w:rsid w:val="004C66A1"/>
    <w:rsid w:val="004C6836"/>
    <w:rsid w:val="004C6929"/>
    <w:rsid w:val="004C6A4B"/>
    <w:rsid w:val="004C6BD9"/>
    <w:rsid w:val="004C6C64"/>
    <w:rsid w:val="004C6D67"/>
    <w:rsid w:val="004C6F04"/>
    <w:rsid w:val="004C7000"/>
    <w:rsid w:val="004C716A"/>
    <w:rsid w:val="004C719C"/>
    <w:rsid w:val="004C7387"/>
    <w:rsid w:val="004C73DD"/>
    <w:rsid w:val="004C74E3"/>
    <w:rsid w:val="004C75A6"/>
    <w:rsid w:val="004C75E0"/>
    <w:rsid w:val="004C7696"/>
    <w:rsid w:val="004C76CC"/>
    <w:rsid w:val="004C76EA"/>
    <w:rsid w:val="004C7943"/>
    <w:rsid w:val="004C7B45"/>
    <w:rsid w:val="004C7B60"/>
    <w:rsid w:val="004C7C1A"/>
    <w:rsid w:val="004C7C4A"/>
    <w:rsid w:val="004C7CAA"/>
    <w:rsid w:val="004C7CF4"/>
    <w:rsid w:val="004C7D1B"/>
    <w:rsid w:val="004C7DF4"/>
    <w:rsid w:val="004C7E1B"/>
    <w:rsid w:val="004C7E2A"/>
    <w:rsid w:val="004C7F4F"/>
    <w:rsid w:val="004D02FC"/>
    <w:rsid w:val="004D0330"/>
    <w:rsid w:val="004D0335"/>
    <w:rsid w:val="004D03A1"/>
    <w:rsid w:val="004D05C0"/>
    <w:rsid w:val="004D0617"/>
    <w:rsid w:val="004D061B"/>
    <w:rsid w:val="004D06D9"/>
    <w:rsid w:val="004D0854"/>
    <w:rsid w:val="004D0979"/>
    <w:rsid w:val="004D09C0"/>
    <w:rsid w:val="004D0A01"/>
    <w:rsid w:val="004D0A08"/>
    <w:rsid w:val="004D0A12"/>
    <w:rsid w:val="004D0A7C"/>
    <w:rsid w:val="004D0B40"/>
    <w:rsid w:val="004D0CFA"/>
    <w:rsid w:val="004D0D50"/>
    <w:rsid w:val="004D0D7B"/>
    <w:rsid w:val="004D0DA8"/>
    <w:rsid w:val="004D0E15"/>
    <w:rsid w:val="004D0EC0"/>
    <w:rsid w:val="004D0F0F"/>
    <w:rsid w:val="004D0F57"/>
    <w:rsid w:val="004D0FAA"/>
    <w:rsid w:val="004D1142"/>
    <w:rsid w:val="004D1277"/>
    <w:rsid w:val="004D1314"/>
    <w:rsid w:val="004D132B"/>
    <w:rsid w:val="004D1350"/>
    <w:rsid w:val="004D1377"/>
    <w:rsid w:val="004D137F"/>
    <w:rsid w:val="004D140D"/>
    <w:rsid w:val="004D1472"/>
    <w:rsid w:val="004D1528"/>
    <w:rsid w:val="004D16F3"/>
    <w:rsid w:val="004D1723"/>
    <w:rsid w:val="004D173B"/>
    <w:rsid w:val="004D19BC"/>
    <w:rsid w:val="004D1A1B"/>
    <w:rsid w:val="004D1B49"/>
    <w:rsid w:val="004D1B90"/>
    <w:rsid w:val="004D1E43"/>
    <w:rsid w:val="004D2016"/>
    <w:rsid w:val="004D20AB"/>
    <w:rsid w:val="004D2103"/>
    <w:rsid w:val="004D2106"/>
    <w:rsid w:val="004D21FB"/>
    <w:rsid w:val="004D2224"/>
    <w:rsid w:val="004D22C4"/>
    <w:rsid w:val="004D2325"/>
    <w:rsid w:val="004D23A2"/>
    <w:rsid w:val="004D23C6"/>
    <w:rsid w:val="004D244C"/>
    <w:rsid w:val="004D250A"/>
    <w:rsid w:val="004D251E"/>
    <w:rsid w:val="004D2551"/>
    <w:rsid w:val="004D25F5"/>
    <w:rsid w:val="004D263F"/>
    <w:rsid w:val="004D2698"/>
    <w:rsid w:val="004D26C5"/>
    <w:rsid w:val="004D26CF"/>
    <w:rsid w:val="004D27A6"/>
    <w:rsid w:val="004D2854"/>
    <w:rsid w:val="004D28E8"/>
    <w:rsid w:val="004D2903"/>
    <w:rsid w:val="004D2B32"/>
    <w:rsid w:val="004D2C37"/>
    <w:rsid w:val="004D2DFA"/>
    <w:rsid w:val="004D3087"/>
    <w:rsid w:val="004D3105"/>
    <w:rsid w:val="004D3187"/>
    <w:rsid w:val="004D31D9"/>
    <w:rsid w:val="004D31DD"/>
    <w:rsid w:val="004D3216"/>
    <w:rsid w:val="004D3271"/>
    <w:rsid w:val="004D343E"/>
    <w:rsid w:val="004D3445"/>
    <w:rsid w:val="004D3464"/>
    <w:rsid w:val="004D3469"/>
    <w:rsid w:val="004D3479"/>
    <w:rsid w:val="004D360A"/>
    <w:rsid w:val="004D366E"/>
    <w:rsid w:val="004D367E"/>
    <w:rsid w:val="004D36FA"/>
    <w:rsid w:val="004D37FE"/>
    <w:rsid w:val="004D3821"/>
    <w:rsid w:val="004D3827"/>
    <w:rsid w:val="004D38EC"/>
    <w:rsid w:val="004D3913"/>
    <w:rsid w:val="004D3B29"/>
    <w:rsid w:val="004D3C56"/>
    <w:rsid w:val="004D3D09"/>
    <w:rsid w:val="004D3E1F"/>
    <w:rsid w:val="004D3EB6"/>
    <w:rsid w:val="004D3ED1"/>
    <w:rsid w:val="004D3F7D"/>
    <w:rsid w:val="004D3F8A"/>
    <w:rsid w:val="004D3FE5"/>
    <w:rsid w:val="004D4036"/>
    <w:rsid w:val="004D41D2"/>
    <w:rsid w:val="004D430E"/>
    <w:rsid w:val="004D43A8"/>
    <w:rsid w:val="004D4421"/>
    <w:rsid w:val="004D457C"/>
    <w:rsid w:val="004D46FE"/>
    <w:rsid w:val="004D499A"/>
    <w:rsid w:val="004D49E5"/>
    <w:rsid w:val="004D4AD5"/>
    <w:rsid w:val="004D4CB4"/>
    <w:rsid w:val="004D4DB1"/>
    <w:rsid w:val="004D4E28"/>
    <w:rsid w:val="004D4E8B"/>
    <w:rsid w:val="004D4FD7"/>
    <w:rsid w:val="004D502A"/>
    <w:rsid w:val="004D50B5"/>
    <w:rsid w:val="004D50E2"/>
    <w:rsid w:val="004D51FA"/>
    <w:rsid w:val="004D52A0"/>
    <w:rsid w:val="004D543A"/>
    <w:rsid w:val="004D56D5"/>
    <w:rsid w:val="004D578C"/>
    <w:rsid w:val="004D57F3"/>
    <w:rsid w:val="004D58C7"/>
    <w:rsid w:val="004D59F3"/>
    <w:rsid w:val="004D5A71"/>
    <w:rsid w:val="004D5A75"/>
    <w:rsid w:val="004D5A7A"/>
    <w:rsid w:val="004D5B5E"/>
    <w:rsid w:val="004D5BBB"/>
    <w:rsid w:val="004D5BD5"/>
    <w:rsid w:val="004D5D02"/>
    <w:rsid w:val="004D5D7F"/>
    <w:rsid w:val="004D5E3B"/>
    <w:rsid w:val="004D5E7E"/>
    <w:rsid w:val="004D5E94"/>
    <w:rsid w:val="004D5ECE"/>
    <w:rsid w:val="004D5F14"/>
    <w:rsid w:val="004D5F72"/>
    <w:rsid w:val="004D6012"/>
    <w:rsid w:val="004D603A"/>
    <w:rsid w:val="004D6046"/>
    <w:rsid w:val="004D6188"/>
    <w:rsid w:val="004D62BA"/>
    <w:rsid w:val="004D62C6"/>
    <w:rsid w:val="004D6437"/>
    <w:rsid w:val="004D661F"/>
    <w:rsid w:val="004D6692"/>
    <w:rsid w:val="004D66EE"/>
    <w:rsid w:val="004D682A"/>
    <w:rsid w:val="004D682B"/>
    <w:rsid w:val="004D6864"/>
    <w:rsid w:val="004D6901"/>
    <w:rsid w:val="004D69D5"/>
    <w:rsid w:val="004D6A51"/>
    <w:rsid w:val="004D6B34"/>
    <w:rsid w:val="004D6B52"/>
    <w:rsid w:val="004D6E17"/>
    <w:rsid w:val="004D6E23"/>
    <w:rsid w:val="004D6E6E"/>
    <w:rsid w:val="004D6EE7"/>
    <w:rsid w:val="004D6F55"/>
    <w:rsid w:val="004D7029"/>
    <w:rsid w:val="004D736E"/>
    <w:rsid w:val="004D73F8"/>
    <w:rsid w:val="004D7450"/>
    <w:rsid w:val="004D7537"/>
    <w:rsid w:val="004D762F"/>
    <w:rsid w:val="004D7681"/>
    <w:rsid w:val="004D775F"/>
    <w:rsid w:val="004D77DE"/>
    <w:rsid w:val="004D7848"/>
    <w:rsid w:val="004D7874"/>
    <w:rsid w:val="004D78D0"/>
    <w:rsid w:val="004D7D3E"/>
    <w:rsid w:val="004D7E38"/>
    <w:rsid w:val="004D7E64"/>
    <w:rsid w:val="004D7E9D"/>
    <w:rsid w:val="004D7EAF"/>
    <w:rsid w:val="004D7F57"/>
    <w:rsid w:val="004E002D"/>
    <w:rsid w:val="004E0271"/>
    <w:rsid w:val="004E0298"/>
    <w:rsid w:val="004E0304"/>
    <w:rsid w:val="004E03AB"/>
    <w:rsid w:val="004E0418"/>
    <w:rsid w:val="004E0476"/>
    <w:rsid w:val="004E05EC"/>
    <w:rsid w:val="004E0656"/>
    <w:rsid w:val="004E065F"/>
    <w:rsid w:val="004E07D8"/>
    <w:rsid w:val="004E07D9"/>
    <w:rsid w:val="004E09E2"/>
    <w:rsid w:val="004E0A12"/>
    <w:rsid w:val="004E0B0A"/>
    <w:rsid w:val="004E0B49"/>
    <w:rsid w:val="004E0D7E"/>
    <w:rsid w:val="004E0D9F"/>
    <w:rsid w:val="004E0DCC"/>
    <w:rsid w:val="004E0DE7"/>
    <w:rsid w:val="004E0E65"/>
    <w:rsid w:val="004E0F62"/>
    <w:rsid w:val="004E0F68"/>
    <w:rsid w:val="004E0F74"/>
    <w:rsid w:val="004E11C6"/>
    <w:rsid w:val="004E11DF"/>
    <w:rsid w:val="004E1323"/>
    <w:rsid w:val="004E141B"/>
    <w:rsid w:val="004E14EC"/>
    <w:rsid w:val="004E14FF"/>
    <w:rsid w:val="004E15CD"/>
    <w:rsid w:val="004E15EE"/>
    <w:rsid w:val="004E166F"/>
    <w:rsid w:val="004E16E2"/>
    <w:rsid w:val="004E1735"/>
    <w:rsid w:val="004E17A0"/>
    <w:rsid w:val="004E17BD"/>
    <w:rsid w:val="004E17E6"/>
    <w:rsid w:val="004E17F6"/>
    <w:rsid w:val="004E1877"/>
    <w:rsid w:val="004E1964"/>
    <w:rsid w:val="004E1A37"/>
    <w:rsid w:val="004E1A57"/>
    <w:rsid w:val="004E1C52"/>
    <w:rsid w:val="004E1C54"/>
    <w:rsid w:val="004E1C5D"/>
    <w:rsid w:val="004E1CD3"/>
    <w:rsid w:val="004E1D3C"/>
    <w:rsid w:val="004E1E5D"/>
    <w:rsid w:val="004E1EBC"/>
    <w:rsid w:val="004E1EEA"/>
    <w:rsid w:val="004E1F5E"/>
    <w:rsid w:val="004E1FD8"/>
    <w:rsid w:val="004E2085"/>
    <w:rsid w:val="004E212F"/>
    <w:rsid w:val="004E2173"/>
    <w:rsid w:val="004E21B2"/>
    <w:rsid w:val="004E2211"/>
    <w:rsid w:val="004E2560"/>
    <w:rsid w:val="004E25AA"/>
    <w:rsid w:val="004E2726"/>
    <w:rsid w:val="004E2759"/>
    <w:rsid w:val="004E28AB"/>
    <w:rsid w:val="004E28FE"/>
    <w:rsid w:val="004E2971"/>
    <w:rsid w:val="004E29D1"/>
    <w:rsid w:val="004E2A9C"/>
    <w:rsid w:val="004E2B45"/>
    <w:rsid w:val="004E2C88"/>
    <w:rsid w:val="004E2CFD"/>
    <w:rsid w:val="004E2DF0"/>
    <w:rsid w:val="004E2E3A"/>
    <w:rsid w:val="004E2F1D"/>
    <w:rsid w:val="004E2FA0"/>
    <w:rsid w:val="004E2FF2"/>
    <w:rsid w:val="004E3146"/>
    <w:rsid w:val="004E31AF"/>
    <w:rsid w:val="004E3343"/>
    <w:rsid w:val="004E339E"/>
    <w:rsid w:val="004E3572"/>
    <w:rsid w:val="004E3586"/>
    <w:rsid w:val="004E371B"/>
    <w:rsid w:val="004E3770"/>
    <w:rsid w:val="004E386D"/>
    <w:rsid w:val="004E3906"/>
    <w:rsid w:val="004E3907"/>
    <w:rsid w:val="004E3A91"/>
    <w:rsid w:val="004E3BB8"/>
    <w:rsid w:val="004E3C92"/>
    <w:rsid w:val="004E3CF0"/>
    <w:rsid w:val="004E3DCF"/>
    <w:rsid w:val="004E3E8D"/>
    <w:rsid w:val="004E3F8C"/>
    <w:rsid w:val="004E4024"/>
    <w:rsid w:val="004E4091"/>
    <w:rsid w:val="004E4151"/>
    <w:rsid w:val="004E4172"/>
    <w:rsid w:val="004E41A9"/>
    <w:rsid w:val="004E41AE"/>
    <w:rsid w:val="004E42D6"/>
    <w:rsid w:val="004E4346"/>
    <w:rsid w:val="004E43E7"/>
    <w:rsid w:val="004E4431"/>
    <w:rsid w:val="004E445B"/>
    <w:rsid w:val="004E464C"/>
    <w:rsid w:val="004E473C"/>
    <w:rsid w:val="004E4878"/>
    <w:rsid w:val="004E48AD"/>
    <w:rsid w:val="004E494E"/>
    <w:rsid w:val="004E4A1B"/>
    <w:rsid w:val="004E4B39"/>
    <w:rsid w:val="004E4B47"/>
    <w:rsid w:val="004E4C25"/>
    <w:rsid w:val="004E4C40"/>
    <w:rsid w:val="004E4D87"/>
    <w:rsid w:val="004E4D88"/>
    <w:rsid w:val="004E4E0D"/>
    <w:rsid w:val="004E4E4B"/>
    <w:rsid w:val="004E4E58"/>
    <w:rsid w:val="004E5138"/>
    <w:rsid w:val="004E5301"/>
    <w:rsid w:val="004E5343"/>
    <w:rsid w:val="004E56B6"/>
    <w:rsid w:val="004E56D0"/>
    <w:rsid w:val="004E5849"/>
    <w:rsid w:val="004E5908"/>
    <w:rsid w:val="004E59AF"/>
    <w:rsid w:val="004E5B0F"/>
    <w:rsid w:val="004E5D2F"/>
    <w:rsid w:val="004E5EF8"/>
    <w:rsid w:val="004E5F6B"/>
    <w:rsid w:val="004E602E"/>
    <w:rsid w:val="004E60AF"/>
    <w:rsid w:val="004E610F"/>
    <w:rsid w:val="004E6154"/>
    <w:rsid w:val="004E61E5"/>
    <w:rsid w:val="004E625D"/>
    <w:rsid w:val="004E63AD"/>
    <w:rsid w:val="004E6575"/>
    <w:rsid w:val="004E675C"/>
    <w:rsid w:val="004E67BF"/>
    <w:rsid w:val="004E6832"/>
    <w:rsid w:val="004E6ABB"/>
    <w:rsid w:val="004E6C42"/>
    <w:rsid w:val="004E6DF7"/>
    <w:rsid w:val="004E6E1C"/>
    <w:rsid w:val="004E6E84"/>
    <w:rsid w:val="004E711A"/>
    <w:rsid w:val="004E71C5"/>
    <w:rsid w:val="004E71CD"/>
    <w:rsid w:val="004E7225"/>
    <w:rsid w:val="004E726D"/>
    <w:rsid w:val="004E729E"/>
    <w:rsid w:val="004E7327"/>
    <w:rsid w:val="004E7351"/>
    <w:rsid w:val="004E7460"/>
    <w:rsid w:val="004E7568"/>
    <w:rsid w:val="004E76F8"/>
    <w:rsid w:val="004E777C"/>
    <w:rsid w:val="004E7790"/>
    <w:rsid w:val="004E77D1"/>
    <w:rsid w:val="004E784C"/>
    <w:rsid w:val="004E785C"/>
    <w:rsid w:val="004E7866"/>
    <w:rsid w:val="004E7897"/>
    <w:rsid w:val="004E78DF"/>
    <w:rsid w:val="004E7993"/>
    <w:rsid w:val="004E79AF"/>
    <w:rsid w:val="004E7A25"/>
    <w:rsid w:val="004E7A32"/>
    <w:rsid w:val="004E7C09"/>
    <w:rsid w:val="004E7C8E"/>
    <w:rsid w:val="004E7DE6"/>
    <w:rsid w:val="004E7E68"/>
    <w:rsid w:val="004E7EB0"/>
    <w:rsid w:val="004F0003"/>
    <w:rsid w:val="004F00B6"/>
    <w:rsid w:val="004F00C4"/>
    <w:rsid w:val="004F0224"/>
    <w:rsid w:val="004F0242"/>
    <w:rsid w:val="004F048E"/>
    <w:rsid w:val="004F0494"/>
    <w:rsid w:val="004F04A3"/>
    <w:rsid w:val="004F0503"/>
    <w:rsid w:val="004F05B8"/>
    <w:rsid w:val="004F070E"/>
    <w:rsid w:val="004F0885"/>
    <w:rsid w:val="004F08F2"/>
    <w:rsid w:val="004F0944"/>
    <w:rsid w:val="004F09F4"/>
    <w:rsid w:val="004F0A95"/>
    <w:rsid w:val="004F0C7D"/>
    <w:rsid w:val="004F0EA2"/>
    <w:rsid w:val="004F1008"/>
    <w:rsid w:val="004F112A"/>
    <w:rsid w:val="004F11D0"/>
    <w:rsid w:val="004F12E0"/>
    <w:rsid w:val="004F133B"/>
    <w:rsid w:val="004F14FC"/>
    <w:rsid w:val="004F14FD"/>
    <w:rsid w:val="004F15BE"/>
    <w:rsid w:val="004F15F4"/>
    <w:rsid w:val="004F179D"/>
    <w:rsid w:val="004F185A"/>
    <w:rsid w:val="004F18D9"/>
    <w:rsid w:val="004F18F5"/>
    <w:rsid w:val="004F18FA"/>
    <w:rsid w:val="004F18FC"/>
    <w:rsid w:val="004F1900"/>
    <w:rsid w:val="004F191F"/>
    <w:rsid w:val="004F1A6F"/>
    <w:rsid w:val="004F1B8F"/>
    <w:rsid w:val="004F1BFB"/>
    <w:rsid w:val="004F1C21"/>
    <w:rsid w:val="004F1E5F"/>
    <w:rsid w:val="004F1E94"/>
    <w:rsid w:val="004F2120"/>
    <w:rsid w:val="004F2195"/>
    <w:rsid w:val="004F21AC"/>
    <w:rsid w:val="004F21CE"/>
    <w:rsid w:val="004F21EE"/>
    <w:rsid w:val="004F2369"/>
    <w:rsid w:val="004F23CA"/>
    <w:rsid w:val="004F243B"/>
    <w:rsid w:val="004F248A"/>
    <w:rsid w:val="004F2602"/>
    <w:rsid w:val="004F2608"/>
    <w:rsid w:val="004F2645"/>
    <w:rsid w:val="004F26CA"/>
    <w:rsid w:val="004F2743"/>
    <w:rsid w:val="004F27B5"/>
    <w:rsid w:val="004F27C2"/>
    <w:rsid w:val="004F28A5"/>
    <w:rsid w:val="004F292F"/>
    <w:rsid w:val="004F2A1D"/>
    <w:rsid w:val="004F2A3F"/>
    <w:rsid w:val="004F2A81"/>
    <w:rsid w:val="004F2BEE"/>
    <w:rsid w:val="004F2C01"/>
    <w:rsid w:val="004F2D06"/>
    <w:rsid w:val="004F2DDD"/>
    <w:rsid w:val="004F2E02"/>
    <w:rsid w:val="004F3038"/>
    <w:rsid w:val="004F306F"/>
    <w:rsid w:val="004F307E"/>
    <w:rsid w:val="004F314F"/>
    <w:rsid w:val="004F325C"/>
    <w:rsid w:val="004F34E0"/>
    <w:rsid w:val="004F3802"/>
    <w:rsid w:val="004F393F"/>
    <w:rsid w:val="004F39F8"/>
    <w:rsid w:val="004F3A34"/>
    <w:rsid w:val="004F3A56"/>
    <w:rsid w:val="004F3B94"/>
    <w:rsid w:val="004F3BC2"/>
    <w:rsid w:val="004F3BFB"/>
    <w:rsid w:val="004F3C0B"/>
    <w:rsid w:val="004F3C5F"/>
    <w:rsid w:val="004F3E00"/>
    <w:rsid w:val="004F3E77"/>
    <w:rsid w:val="004F3F64"/>
    <w:rsid w:val="004F3F95"/>
    <w:rsid w:val="004F4036"/>
    <w:rsid w:val="004F418F"/>
    <w:rsid w:val="004F41A6"/>
    <w:rsid w:val="004F41B4"/>
    <w:rsid w:val="004F4232"/>
    <w:rsid w:val="004F4415"/>
    <w:rsid w:val="004F44E5"/>
    <w:rsid w:val="004F457F"/>
    <w:rsid w:val="004F4652"/>
    <w:rsid w:val="004F4687"/>
    <w:rsid w:val="004F47AC"/>
    <w:rsid w:val="004F49C5"/>
    <w:rsid w:val="004F4C5A"/>
    <w:rsid w:val="004F4D80"/>
    <w:rsid w:val="004F4E07"/>
    <w:rsid w:val="004F4E69"/>
    <w:rsid w:val="004F4E74"/>
    <w:rsid w:val="004F4E79"/>
    <w:rsid w:val="004F4F0B"/>
    <w:rsid w:val="004F4F1C"/>
    <w:rsid w:val="004F502F"/>
    <w:rsid w:val="004F50E7"/>
    <w:rsid w:val="004F51B6"/>
    <w:rsid w:val="004F5258"/>
    <w:rsid w:val="004F528C"/>
    <w:rsid w:val="004F52A7"/>
    <w:rsid w:val="004F55CB"/>
    <w:rsid w:val="004F5723"/>
    <w:rsid w:val="004F5866"/>
    <w:rsid w:val="004F594B"/>
    <w:rsid w:val="004F5C0C"/>
    <w:rsid w:val="004F5C17"/>
    <w:rsid w:val="004F5C4B"/>
    <w:rsid w:val="004F5DC6"/>
    <w:rsid w:val="004F5EC7"/>
    <w:rsid w:val="004F5F6C"/>
    <w:rsid w:val="004F6183"/>
    <w:rsid w:val="004F61D3"/>
    <w:rsid w:val="004F6253"/>
    <w:rsid w:val="004F63D8"/>
    <w:rsid w:val="004F6470"/>
    <w:rsid w:val="004F6483"/>
    <w:rsid w:val="004F64CA"/>
    <w:rsid w:val="004F6674"/>
    <w:rsid w:val="004F673C"/>
    <w:rsid w:val="004F6869"/>
    <w:rsid w:val="004F6947"/>
    <w:rsid w:val="004F6A72"/>
    <w:rsid w:val="004F6B89"/>
    <w:rsid w:val="004F6BD4"/>
    <w:rsid w:val="004F6C97"/>
    <w:rsid w:val="004F6CBC"/>
    <w:rsid w:val="004F6CD9"/>
    <w:rsid w:val="004F6D2E"/>
    <w:rsid w:val="004F6E1E"/>
    <w:rsid w:val="004F7109"/>
    <w:rsid w:val="004F720D"/>
    <w:rsid w:val="004F722B"/>
    <w:rsid w:val="004F730B"/>
    <w:rsid w:val="004F73E4"/>
    <w:rsid w:val="004F74E3"/>
    <w:rsid w:val="004F759C"/>
    <w:rsid w:val="004F75A2"/>
    <w:rsid w:val="004F769F"/>
    <w:rsid w:val="004F76D2"/>
    <w:rsid w:val="004F77B7"/>
    <w:rsid w:val="004F798F"/>
    <w:rsid w:val="004F799A"/>
    <w:rsid w:val="004F7A12"/>
    <w:rsid w:val="004F7AB2"/>
    <w:rsid w:val="004F7B5D"/>
    <w:rsid w:val="004F7B81"/>
    <w:rsid w:val="004F7BFB"/>
    <w:rsid w:val="004F7C95"/>
    <w:rsid w:val="004F7DD8"/>
    <w:rsid w:val="004F7DF1"/>
    <w:rsid w:val="004F7EE9"/>
    <w:rsid w:val="004F7EF6"/>
    <w:rsid w:val="004F7F02"/>
    <w:rsid w:val="004F7FAB"/>
    <w:rsid w:val="00500047"/>
    <w:rsid w:val="0050006F"/>
    <w:rsid w:val="005000E7"/>
    <w:rsid w:val="00500238"/>
    <w:rsid w:val="005003D0"/>
    <w:rsid w:val="005004A9"/>
    <w:rsid w:val="00500598"/>
    <w:rsid w:val="005005E3"/>
    <w:rsid w:val="005005F7"/>
    <w:rsid w:val="00500661"/>
    <w:rsid w:val="00500679"/>
    <w:rsid w:val="005006D9"/>
    <w:rsid w:val="005007BD"/>
    <w:rsid w:val="0050088F"/>
    <w:rsid w:val="005008E3"/>
    <w:rsid w:val="0050097A"/>
    <w:rsid w:val="00500996"/>
    <w:rsid w:val="00500A2C"/>
    <w:rsid w:val="00500C89"/>
    <w:rsid w:val="00500CB8"/>
    <w:rsid w:val="00500D08"/>
    <w:rsid w:val="00500D50"/>
    <w:rsid w:val="00500F89"/>
    <w:rsid w:val="00501078"/>
    <w:rsid w:val="005011BA"/>
    <w:rsid w:val="005012AD"/>
    <w:rsid w:val="005012BD"/>
    <w:rsid w:val="00501461"/>
    <w:rsid w:val="005014D6"/>
    <w:rsid w:val="0050175F"/>
    <w:rsid w:val="0050185D"/>
    <w:rsid w:val="00501909"/>
    <w:rsid w:val="00501914"/>
    <w:rsid w:val="0050193F"/>
    <w:rsid w:val="00501947"/>
    <w:rsid w:val="00501953"/>
    <w:rsid w:val="00501A71"/>
    <w:rsid w:val="00501A89"/>
    <w:rsid w:val="00501B45"/>
    <w:rsid w:val="00501B79"/>
    <w:rsid w:val="00502068"/>
    <w:rsid w:val="0050215F"/>
    <w:rsid w:val="0050219A"/>
    <w:rsid w:val="005022B3"/>
    <w:rsid w:val="005022EF"/>
    <w:rsid w:val="00502470"/>
    <w:rsid w:val="00502473"/>
    <w:rsid w:val="005024B9"/>
    <w:rsid w:val="005024E2"/>
    <w:rsid w:val="0050253C"/>
    <w:rsid w:val="005025D1"/>
    <w:rsid w:val="0050261F"/>
    <w:rsid w:val="0050265E"/>
    <w:rsid w:val="005027D1"/>
    <w:rsid w:val="00502803"/>
    <w:rsid w:val="00502855"/>
    <w:rsid w:val="005028FD"/>
    <w:rsid w:val="00502CD5"/>
    <w:rsid w:val="00502DAF"/>
    <w:rsid w:val="00502E2B"/>
    <w:rsid w:val="00502E2C"/>
    <w:rsid w:val="00502F26"/>
    <w:rsid w:val="00503040"/>
    <w:rsid w:val="005031A4"/>
    <w:rsid w:val="0050321F"/>
    <w:rsid w:val="005034D4"/>
    <w:rsid w:val="00503550"/>
    <w:rsid w:val="005035A1"/>
    <w:rsid w:val="005035DC"/>
    <w:rsid w:val="00503717"/>
    <w:rsid w:val="005037F5"/>
    <w:rsid w:val="0050380A"/>
    <w:rsid w:val="0050394D"/>
    <w:rsid w:val="005039BD"/>
    <w:rsid w:val="00503B89"/>
    <w:rsid w:val="00503C3A"/>
    <w:rsid w:val="00503CE3"/>
    <w:rsid w:val="00503CEA"/>
    <w:rsid w:val="00503D34"/>
    <w:rsid w:val="00503E5F"/>
    <w:rsid w:val="00503EAE"/>
    <w:rsid w:val="00504011"/>
    <w:rsid w:val="00504155"/>
    <w:rsid w:val="00504266"/>
    <w:rsid w:val="00504436"/>
    <w:rsid w:val="0050455F"/>
    <w:rsid w:val="0050456D"/>
    <w:rsid w:val="0050466D"/>
    <w:rsid w:val="005046CD"/>
    <w:rsid w:val="00504794"/>
    <w:rsid w:val="0050491F"/>
    <w:rsid w:val="00504923"/>
    <w:rsid w:val="005049C4"/>
    <w:rsid w:val="00504ABE"/>
    <w:rsid w:val="00504AEA"/>
    <w:rsid w:val="00504B7C"/>
    <w:rsid w:val="00504D9A"/>
    <w:rsid w:val="00504E6F"/>
    <w:rsid w:val="00504ECB"/>
    <w:rsid w:val="00504FCF"/>
    <w:rsid w:val="005050D2"/>
    <w:rsid w:val="005050E6"/>
    <w:rsid w:val="0050544C"/>
    <w:rsid w:val="0050552D"/>
    <w:rsid w:val="0050553A"/>
    <w:rsid w:val="0050555E"/>
    <w:rsid w:val="005055B6"/>
    <w:rsid w:val="00505623"/>
    <w:rsid w:val="005056B9"/>
    <w:rsid w:val="00505785"/>
    <w:rsid w:val="005057F7"/>
    <w:rsid w:val="00505888"/>
    <w:rsid w:val="005059B2"/>
    <w:rsid w:val="00505B44"/>
    <w:rsid w:val="00505B90"/>
    <w:rsid w:val="00505D2A"/>
    <w:rsid w:val="00505E85"/>
    <w:rsid w:val="00505E86"/>
    <w:rsid w:val="0050611F"/>
    <w:rsid w:val="005062AF"/>
    <w:rsid w:val="005062D3"/>
    <w:rsid w:val="005063DA"/>
    <w:rsid w:val="005064C4"/>
    <w:rsid w:val="00506579"/>
    <w:rsid w:val="00506635"/>
    <w:rsid w:val="00506654"/>
    <w:rsid w:val="005066A0"/>
    <w:rsid w:val="00506795"/>
    <w:rsid w:val="0050679E"/>
    <w:rsid w:val="0050689B"/>
    <w:rsid w:val="0050695A"/>
    <w:rsid w:val="00506A77"/>
    <w:rsid w:val="00506AF7"/>
    <w:rsid w:val="00506BBE"/>
    <w:rsid w:val="00506CE0"/>
    <w:rsid w:val="00506D5F"/>
    <w:rsid w:val="00506DD3"/>
    <w:rsid w:val="00506E49"/>
    <w:rsid w:val="00506E61"/>
    <w:rsid w:val="00506E94"/>
    <w:rsid w:val="00506F00"/>
    <w:rsid w:val="00506F5E"/>
    <w:rsid w:val="0050705C"/>
    <w:rsid w:val="00507095"/>
    <w:rsid w:val="00507116"/>
    <w:rsid w:val="00507344"/>
    <w:rsid w:val="00507345"/>
    <w:rsid w:val="0050758B"/>
    <w:rsid w:val="00507617"/>
    <w:rsid w:val="005078EB"/>
    <w:rsid w:val="005079D1"/>
    <w:rsid w:val="00507A8A"/>
    <w:rsid w:val="00507B3B"/>
    <w:rsid w:val="00507D3C"/>
    <w:rsid w:val="00507D59"/>
    <w:rsid w:val="00507FCD"/>
    <w:rsid w:val="00507FD8"/>
    <w:rsid w:val="00510093"/>
    <w:rsid w:val="00510159"/>
    <w:rsid w:val="00510217"/>
    <w:rsid w:val="00510357"/>
    <w:rsid w:val="00510596"/>
    <w:rsid w:val="005106CE"/>
    <w:rsid w:val="0051080C"/>
    <w:rsid w:val="005108E9"/>
    <w:rsid w:val="00510A07"/>
    <w:rsid w:val="00510B76"/>
    <w:rsid w:val="00510D23"/>
    <w:rsid w:val="00510EE1"/>
    <w:rsid w:val="00511085"/>
    <w:rsid w:val="00511165"/>
    <w:rsid w:val="005111AD"/>
    <w:rsid w:val="0051123E"/>
    <w:rsid w:val="005112BD"/>
    <w:rsid w:val="0051134A"/>
    <w:rsid w:val="00511391"/>
    <w:rsid w:val="00511447"/>
    <w:rsid w:val="00511490"/>
    <w:rsid w:val="00511522"/>
    <w:rsid w:val="005115BA"/>
    <w:rsid w:val="0051166B"/>
    <w:rsid w:val="005116CD"/>
    <w:rsid w:val="005116FC"/>
    <w:rsid w:val="0051180F"/>
    <w:rsid w:val="005118F1"/>
    <w:rsid w:val="00511978"/>
    <w:rsid w:val="0051198C"/>
    <w:rsid w:val="005119D4"/>
    <w:rsid w:val="00511A06"/>
    <w:rsid w:val="00511A9B"/>
    <w:rsid w:val="00511B95"/>
    <w:rsid w:val="00511BB5"/>
    <w:rsid w:val="00511C67"/>
    <w:rsid w:val="00511C88"/>
    <w:rsid w:val="00511CC9"/>
    <w:rsid w:val="00511D6F"/>
    <w:rsid w:val="00511F93"/>
    <w:rsid w:val="005120B7"/>
    <w:rsid w:val="00512194"/>
    <w:rsid w:val="00512204"/>
    <w:rsid w:val="005122AC"/>
    <w:rsid w:val="005122DC"/>
    <w:rsid w:val="00512545"/>
    <w:rsid w:val="0051256C"/>
    <w:rsid w:val="0051263E"/>
    <w:rsid w:val="0051267D"/>
    <w:rsid w:val="005127A7"/>
    <w:rsid w:val="0051284F"/>
    <w:rsid w:val="00512870"/>
    <w:rsid w:val="005128F3"/>
    <w:rsid w:val="005128F4"/>
    <w:rsid w:val="00512AEF"/>
    <w:rsid w:val="00512B76"/>
    <w:rsid w:val="00512C47"/>
    <w:rsid w:val="00512CED"/>
    <w:rsid w:val="00512EE6"/>
    <w:rsid w:val="00512F5A"/>
    <w:rsid w:val="00512F91"/>
    <w:rsid w:val="00513135"/>
    <w:rsid w:val="00513137"/>
    <w:rsid w:val="005131A5"/>
    <w:rsid w:val="005131AE"/>
    <w:rsid w:val="00513202"/>
    <w:rsid w:val="00513299"/>
    <w:rsid w:val="0051329C"/>
    <w:rsid w:val="00513754"/>
    <w:rsid w:val="005137A7"/>
    <w:rsid w:val="0051380D"/>
    <w:rsid w:val="005138FD"/>
    <w:rsid w:val="00513920"/>
    <w:rsid w:val="005139EB"/>
    <w:rsid w:val="00513ADE"/>
    <w:rsid w:val="00513B38"/>
    <w:rsid w:val="00513B66"/>
    <w:rsid w:val="00513E94"/>
    <w:rsid w:val="00513EE5"/>
    <w:rsid w:val="00513F3F"/>
    <w:rsid w:val="00513F42"/>
    <w:rsid w:val="00513FA5"/>
    <w:rsid w:val="0051407F"/>
    <w:rsid w:val="00514115"/>
    <w:rsid w:val="00514143"/>
    <w:rsid w:val="005141E1"/>
    <w:rsid w:val="005141FB"/>
    <w:rsid w:val="00514242"/>
    <w:rsid w:val="0051443C"/>
    <w:rsid w:val="0051444C"/>
    <w:rsid w:val="0051454F"/>
    <w:rsid w:val="00514556"/>
    <w:rsid w:val="00514703"/>
    <w:rsid w:val="00514798"/>
    <w:rsid w:val="005147B1"/>
    <w:rsid w:val="005147B9"/>
    <w:rsid w:val="005148C8"/>
    <w:rsid w:val="00514939"/>
    <w:rsid w:val="005149BC"/>
    <w:rsid w:val="00514A24"/>
    <w:rsid w:val="00514B30"/>
    <w:rsid w:val="00514C4F"/>
    <w:rsid w:val="00514CB3"/>
    <w:rsid w:val="00514CC1"/>
    <w:rsid w:val="00514E2C"/>
    <w:rsid w:val="00514F21"/>
    <w:rsid w:val="00514F49"/>
    <w:rsid w:val="00514F8B"/>
    <w:rsid w:val="00514FBF"/>
    <w:rsid w:val="0051503D"/>
    <w:rsid w:val="00515085"/>
    <w:rsid w:val="005151C2"/>
    <w:rsid w:val="00515204"/>
    <w:rsid w:val="005154AD"/>
    <w:rsid w:val="00515503"/>
    <w:rsid w:val="005155E2"/>
    <w:rsid w:val="005156AE"/>
    <w:rsid w:val="005156D9"/>
    <w:rsid w:val="00515823"/>
    <w:rsid w:val="00515887"/>
    <w:rsid w:val="0051595D"/>
    <w:rsid w:val="00515ACE"/>
    <w:rsid w:val="00515B91"/>
    <w:rsid w:val="00515C5A"/>
    <w:rsid w:val="00515CEB"/>
    <w:rsid w:val="00515D42"/>
    <w:rsid w:val="00515E79"/>
    <w:rsid w:val="00515F71"/>
    <w:rsid w:val="00516070"/>
    <w:rsid w:val="00516172"/>
    <w:rsid w:val="005161BE"/>
    <w:rsid w:val="0051621D"/>
    <w:rsid w:val="00516241"/>
    <w:rsid w:val="00516328"/>
    <w:rsid w:val="005163BB"/>
    <w:rsid w:val="0051646D"/>
    <w:rsid w:val="005164D1"/>
    <w:rsid w:val="00516503"/>
    <w:rsid w:val="0051658E"/>
    <w:rsid w:val="00516797"/>
    <w:rsid w:val="00516825"/>
    <w:rsid w:val="00516BD2"/>
    <w:rsid w:val="00516EBA"/>
    <w:rsid w:val="00516F96"/>
    <w:rsid w:val="00517110"/>
    <w:rsid w:val="00517164"/>
    <w:rsid w:val="005171F2"/>
    <w:rsid w:val="00517281"/>
    <w:rsid w:val="0051748E"/>
    <w:rsid w:val="00517547"/>
    <w:rsid w:val="005175BC"/>
    <w:rsid w:val="005177C4"/>
    <w:rsid w:val="00517820"/>
    <w:rsid w:val="00517A88"/>
    <w:rsid w:val="00517B54"/>
    <w:rsid w:val="00517B6D"/>
    <w:rsid w:val="00517C01"/>
    <w:rsid w:val="00517C46"/>
    <w:rsid w:val="00517D47"/>
    <w:rsid w:val="00517D80"/>
    <w:rsid w:val="00517E25"/>
    <w:rsid w:val="00517E2A"/>
    <w:rsid w:val="00517E3A"/>
    <w:rsid w:val="00517E85"/>
    <w:rsid w:val="00517F8E"/>
    <w:rsid w:val="00517FFA"/>
    <w:rsid w:val="0052003E"/>
    <w:rsid w:val="005201F5"/>
    <w:rsid w:val="00520337"/>
    <w:rsid w:val="0052035C"/>
    <w:rsid w:val="005203A7"/>
    <w:rsid w:val="00520409"/>
    <w:rsid w:val="005204C1"/>
    <w:rsid w:val="005205DD"/>
    <w:rsid w:val="005206B4"/>
    <w:rsid w:val="005206E0"/>
    <w:rsid w:val="00520720"/>
    <w:rsid w:val="005207D8"/>
    <w:rsid w:val="005207F2"/>
    <w:rsid w:val="00520843"/>
    <w:rsid w:val="00520848"/>
    <w:rsid w:val="00520896"/>
    <w:rsid w:val="005208BD"/>
    <w:rsid w:val="00520A6C"/>
    <w:rsid w:val="00520BFA"/>
    <w:rsid w:val="00520CC0"/>
    <w:rsid w:val="00520DE0"/>
    <w:rsid w:val="00520E3C"/>
    <w:rsid w:val="00520E64"/>
    <w:rsid w:val="00520E97"/>
    <w:rsid w:val="00520FC1"/>
    <w:rsid w:val="00521195"/>
    <w:rsid w:val="0052125F"/>
    <w:rsid w:val="0052137E"/>
    <w:rsid w:val="005214BA"/>
    <w:rsid w:val="0052162F"/>
    <w:rsid w:val="00521676"/>
    <w:rsid w:val="0052169F"/>
    <w:rsid w:val="005217D9"/>
    <w:rsid w:val="0052199F"/>
    <w:rsid w:val="005219D5"/>
    <w:rsid w:val="00521A10"/>
    <w:rsid w:val="00521BE1"/>
    <w:rsid w:val="00521CA9"/>
    <w:rsid w:val="00521D77"/>
    <w:rsid w:val="00521E50"/>
    <w:rsid w:val="00521F34"/>
    <w:rsid w:val="00521F6F"/>
    <w:rsid w:val="00522056"/>
    <w:rsid w:val="005220AC"/>
    <w:rsid w:val="00522107"/>
    <w:rsid w:val="0052210D"/>
    <w:rsid w:val="005221B9"/>
    <w:rsid w:val="005225EE"/>
    <w:rsid w:val="005227BC"/>
    <w:rsid w:val="005227CA"/>
    <w:rsid w:val="00522854"/>
    <w:rsid w:val="0052296A"/>
    <w:rsid w:val="005229C6"/>
    <w:rsid w:val="005229E2"/>
    <w:rsid w:val="00522A22"/>
    <w:rsid w:val="00522AEC"/>
    <w:rsid w:val="00522CAC"/>
    <w:rsid w:val="00522D5D"/>
    <w:rsid w:val="00522E57"/>
    <w:rsid w:val="00522F0A"/>
    <w:rsid w:val="00522FA0"/>
    <w:rsid w:val="00523035"/>
    <w:rsid w:val="00523046"/>
    <w:rsid w:val="00523097"/>
    <w:rsid w:val="005230BB"/>
    <w:rsid w:val="00523200"/>
    <w:rsid w:val="0052342E"/>
    <w:rsid w:val="00523467"/>
    <w:rsid w:val="005235EF"/>
    <w:rsid w:val="00523636"/>
    <w:rsid w:val="00523877"/>
    <w:rsid w:val="00523887"/>
    <w:rsid w:val="00523965"/>
    <w:rsid w:val="005239FB"/>
    <w:rsid w:val="00523AEE"/>
    <w:rsid w:val="00523B7C"/>
    <w:rsid w:val="00523C67"/>
    <w:rsid w:val="00523CB2"/>
    <w:rsid w:val="00523E2E"/>
    <w:rsid w:val="00523EF2"/>
    <w:rsid w:val="00523F55"/>
    <w:rsid w:val="00523FA3"/>
    <w:rsid w:val="00523FC2"/>
    <w:rsid w:val="00523FEF"/>
    <w:rsid w:val="005240C7"/>
    <w:rsid w:val="00524121"/>
    <w:rsid w:val="0052419E"/>
    <w:rsid w:val="005242F4"/>
    <w:rsid w:val="0052434F"/>
    <w:rsid w:val="00524480"/>
    <w:rsid w:val="0052462B"/>
    <w:rsid w:val="005246FA"/>
    <w:rsid w:val="00524769"/>
    <w:rsid w:val="005247B2"/>
    <w:rsid w:val="005247D4"/>
    <w:rsid w:val="00524881"/>
    <w:rsid w:val="005248B6"/>
    <w:rsid w:val="005248D9"/>
    <w:rsid w:val="00524979"/>
    <w:rsid w:val="005249E7"/>
    <w:rsid w:val="00524B36"/>
    <w:rsid w:val="00524B6D"/>
    <w:rsid w:val="00524B86"/>
    <w:rsid w:val="00524C34"/>
    <w:rsid w:val="00524DBB"/>
    <w:rsid w:val="00524E81"/>
    <w:rsid w:val="00524F3A"/>
    <w:rsid w:val="00524F95"/>
    <w:rsid w:val="00524FC5"/>
    <w:rsid w:val="0052514F"/>
    <w:rsid w:val="0052516E"/>
    <w:rsid w:val="005251A1"/>
    <w:rsid w:val="00525261"/>
    <w:rsid w:val="00525352"/>
    <w:rsid w:val="005254BF"/>
    <w:rsid w:val="00525556"/>
    <w:rsid w:val="005255B9"/>
    <w:rsid w:val="005255EE"/>
    <w:rsid w:val="0052571F"/>
    <w:rsid w:val="005258DB"/>
    <w:rsid w:val="0052592C"/>
    <w:rsid w:val="00525A5A"/>
    <w:rsid w:val="00525A95"/>
    <w:rsid w:val="00525BA2"/>
    <w:rsid w:val="00525C78"/>
    <w:rsid w:val="00525D9E"/>
    <w:rsid w:val="0052608D"/>
    <w:rsid w:val="00526093"/>
    <w:rsid w:val="005260AB"/>
    <w:rsid w:val="005261A2"/>
    <w:rsid w:val="005261C7"/>
    <w:rsid w:val="005262C9"/>
    <w:rsid w:val="005262D1"/>
    <w:rsid w:val="005263AD"/>
    <w:rsid w:val="00526443"/>
    <w:rsid w:val="0052647A"/>
    <w:rsid w:val="00526562"/>
    <w:rsid w:val="005267C5"/>
    <w:rsid w:val="005267CE"/>
    <w:rsid w:val="0052688D"/>
    <w:rsid w:val="005268B2"/>
    <w:rsid w:val="005268D3"/>
    <w:rsid w:val="005269A2"/>
    <w:rsid w:val="00526A72"/>
    <w:rsid w:val="00526CFB"/>
    <w:rsid w:val="00526D2E"/>
    <w:rsid w:val="00526E0E"/>
    <w:rsid w:val="00526E94"/>
    <w:rsid w:val="00526F31"/>
    <w:rsid w:val="00527287"/>
    <w:rsid w:val="0052739B"/>
    <w:rsid w:val="00527408"/>
    <w:rsid w:val="005274A9"/>
    <w:rsid w:val="005274C3"/>
    <w:rsid w:val="00527530"/>
    <w:rsid w:val="00527789"/>
    <w:rsid w:val="0052784C"/>
    <w:rsid w:val="0052789B"/>
    <w:rsid w:val="005279EB"/>
    <w:rsid w:val="00527D0D"/>
    <w:rsid w:val="00527FE6"/>
    <w:rsid w:val="0052BE10"/>
    <w:rsid w:val="0053000A"/>
    <w:rsid w:val="00530147"/>
    <w:rsid w:val="00530394"/>
    <w:rsid w:val="005303AA"/>
    <w:rsid w:val="00530469"/>
    <w:rsid w:val="005304BA"/>
    <w:rsid w:val="005304E0"/>
    <w:rsid w:val="00530630"/>
    <w:rsid w:val="0053064E"/>
    <w:rsid w:val="005306A3"/>
    <w:rsid w:val="005306D8"/>
    <w:rsid w:val="005306E1"/>
    <w:rsid w:val="0053072C"/>
    <w:rsid w:val="0053074D"/>
    <w:rsid w:val="0053076B"/>
    <w:rsid w:val="005308CE"/>
    <w:rsid w:val="00530929"/>
    <w:rsid w:val="0053099D"/>
    <w:rsid w:val="005309CD"/>
    <w:rsid w:val="00530B74"/>
    <w:rsid w:val="00530C33"/>
    <w:rsid w:val="00530D0F"/>
    <w:rsid w:val="00530D50"/>
    <w:rsid w:val="00530DA0"/>
    <w:rsid w:val="00530E0A"/>
    <w:rsid w:val="00530E47"/>
    <w:rsid w:val="00530E98"/>
    <w:rsid w:val="00530F14"/>
    <w:rsid w:val="00530F2B"/>
    <w:rsid w:val="0053107C"/>
    <w:rsid w:val="0053108F"/>
    <w:rsid w:val="00531131"/>
    <w:rsid w:val="005311D3"/>
    <w:rsid w:val="005311E6"/>
    <w:rsid w:val="00531341"/>
    <w:rsid w:val="0053134A"/>
    <w:rsid w:val="00531425"/>
    <w:rsid w:val="0053148A"/>
    <w:rsid w:val="005314CE"/>
    <w:rsid w:val="005314E9"/>
    <w:rsid w:val="0053152E"/>
    <w:rsid w:val="005315E8"/>
    <w:rsid w:val="00531601"/>
    <w:rsid w:val="00531607"/>
    <w:rsid w:val="00531702"/>
    <w:rsid w:val="00531772"/>
    <w:rsid w:val="005317F3"/>
    <w:rsid w:val="00531856"/>
    <w:rsid w:val="005318DA"/>
    <w:rsid w:val="0053199E"/>
    <w:rsid w:val="00531AF4"/>
    <w:rsid w:val="00531B24"/>
    <w:rsid w:val="00531C15"/>
    <w:rsid w:val="00531C20"/>
    <w:rsid w:val="00531C83"/>
    <w:rsid w:val="00531DA3"/>
    <w:rsid w:val="00531DB4"/>
    <w:rsid w:val="00531E54"/>
    <w:rsid w:val="00531E59"/>
    <w:rsid w:val="00531F35"/>
    <w:rsid w:val="00531F9C"/>
    <w:rsid w:val="00531FFB"/>
    <w:rsid w:val="0053207C"/>
    <w:rsid w:val="00532310"/>
    <w:rsid w:val="00532319"/>
    <w:rsid w:val="0053234D"/>
    <w:rsid w:val="005324CB"/>
    <w:rsid w:val="005324FF"/>
    <w:rsid w:val="00532558"/>
    <w:rsid w:val="00532655"/>
    <w:rsid w:val="00532657"/>
    <w:rsid w:val="00532667"/>
    <w:rsid w:val="0053269F"/>
    <w:rsid w:val="00532932"/>
    <w:rsid w:val="00532997"/>
    <w:rsid w:val="005329C2"/>
    <w:rsid w:val="005329DD"/>
    <w:rsid w:val="005329EE"/>
    <w:rsid w:val="00532A7E"/>
    <w:rsid w:val="00532A8B"/>
    <w:rsid w:val="00532A94"/>
    <w:rsid w:val="00532C7B"/>
    <w:rsid w:val="00532DA6"/>
    <w:rsid w:val="00532DC0"/>
    <w:rsid w:val="00532DCA"/>
    <w:rsid w:val="00532E0F"/>
    <w:rsid w:val="00532F0E"/>
    <w:rsid w:val="00532F1E"/>
    <w:rsid w:val="00532FD6"/>
    <w:rsid w:val="00532FDA"/>
    <w:rsid w:val="00533039"/>
    <w:rsid w:val="00533061"/>
    <w:rsid w:val="00533115"/>
    <w:rsid w:val="005331A4"/>
    <w:rsid w:val="0053320C"/>
    <w:rsid w:val="00533295"/>
    <w:rsid w:val="005332A1"/>
    <w:rsid w:val="00533573"/>
    <w:rsid w:val="005337C8"/>
    <w:rsid w:val="00533909"/>
    <w:rsid w:val="00533A09"/>
    <w:rsid w:val="00533E64"/>
    <w:rsid w:val="005341CB"/>
    <w:rsid w:val="00534260"/>
    <w:rsid w:val="005342F6"/>
    <w:rsid w:val="005343A1"/>
    <w:rsid w:val="0053440A"/>
    <w:rsid w:val="00534420"/>
    <w:rsid w:val="0053465F"/>
    <w:rsid w:val="0053486B"/>
    <w:rsid w:val="00534886"/>
    <w:rsid w:val="0053493B"/>
    <w:rsid w:val="005349BB"/>
    <w:rsid w:val="005349D4"/>
    <w:rsid w:val="00534CC4"/>
    <w:rsid w:val="005350AA"/>
    <w:rsid w:val="005350F7"/>
    <w:rsid w:val="00535314"/>
    <w:rsid w:val="00535338"/>
    <w:rsid w:val="005353A7"/>
    <w:rsid w:val="005354B1"/>
    <w:rsid w:val="00535520"/>
    <w:rsid w:val="00535547"/>
    <w:rsid w:val="00535596"/>
    <w:rsid w:val="005355C5"/>
    <w:rsid w:val="005356A0"/>
    <w:rsid w:val="005356CC"/>
    <w:rsid w:val="005356FD"/>
    <w:rsid w:val="00535744"/>
    <w:rsid w:val="0053581F"/>
    <w:rsid w:val="005358F3"/>
    <w:rsid w:val="0053599E"/>
    <w:rsid w:val="005359ED"/>
    <w:rsid w:val="00535A73"/>
    <w:rsid w:val="00535A78"/>
    <w:rsid w:val="00535AAB"/>
    <w:rsid w:val="00535B3B"/>
    <w:rsid w:val="00535C5F"/>
    <w:rsid w:val="00535D0E"/>
    <w:rsid w:val="00535D26"/>
    <w:rsid w:val="00535D9E"/>
    <w:rsid w:val="00535DC8"/>
    <w:rsid w:val="00535F4C"/>
    <w:rsid w:val="00535F7D"/>
    <w:rsid w:val="00536053"/>
    <w:rsid w:val="00536186"/>
    <w:rsid w:val="005361D5"/>
    <w:rsid w:val="0053622F"/>
    <w:rsid w:val="00536268"/>
    <w:rsid w:val="005362A3"/>
    <w:rsid w:val="00536422"/>
    <w:rsid w:val="0053656F"/>
    <w:rsid w:val="00536581"/>
    <w:rsid w:val="0053667B"/>
    <w:rsid w:val="005366C8"/>
    <w:rsid w:val="005366CE"/>
    <w:rsid w:val="005368F1"/>
    <w:rsid w:val="00536A35"/>
    <w:rsid w:val="00536C53"/>
    <w:rsid w:val="00536E54"/>
    <w:rsid w:val="00536E67"/>
    <w:rsid w:val="00536E7E"/>
    <w:rsid w:val="0053700E"/>
    <w:rsid w:val="0053706E"/>
    <w:rsid w:val="00537149"/>
    <w:rsid w:val="00537591"/>
    <w:rsid w:val="00537983"/>
    <w:rsid w:val="00537A02"/>
    <w:rsid w:val="00537B0F"/>
    <w:rsid w:val="00537B29"/>
    <w:rsid w:val="00537B6C"/>
    <w:rsid w:val="00537BEA"/>
    <w:rsid w:val="00537C17"/>
    <w:rsid w:val="00537C40"/>
    <w:rsid w:val="00537E1D"/>
    <w:rsid w:val="00537ED9"/>
    <w:rsid w:val="00537F76"/>
    <w:rsid w:val="00540093"/>
    <w:rsid w:val="0054033A"/>
    <w:rsid w:val="00540371"/>
    <w:rsid w:val="0054042E"/>
    <w:rsid w:val="00540612"/>
    <w:rsid w:val="005406D7"/>
    <w:rsid w:val="005406E4"/>
    <w:rsid w:val="00540717"/>
    <w:rsid w:val="0054099E"/>
    <w:rsid w:val="00540A27"/>
    <w:rsid w:val="00540A62"/>
    <w:rsid w:val="00540BDE"/>
    <w:rsid w:val="00540C56"/>
    <w:rsid w:val="00540C63"/>
    <w:rsid w:val="00540FDF"/>
    <w:rsid w:val="0054101C"/>
    <w:rsid w:val="005410FB"/>
    <w:rsid w:val="00541141"/>
    <w:rsid w:val="005411E1"/>
    <w:rsid w:val="005412F9"/>
    <w:rsid w:val="005412FF"/>
    <w:rsid w:val="005413F2"/>
    <w:rsid w:val="005414D3"/>
    <w:rsid w:val="0054160E"/>
    <w:rsid w:val="005416DA"/>
    <w:rsid w:val="0054189C"/>
    <w:rsid w:val="005419EA"/>
    <w:rsid w:val="00541AD7"/>
    <w:rsid w:val="00541B9B"/>
    <w:rsid w:val="00541C51"/>
    <w:rsid w:val="00541CC0"/>
    <w:rsid w:val="00541D9E"/>
    <w:rsid w:val="00541DF1"/>
    <w:rsid w:val="00541E0E"/>
    <w:rsid w:val="00541E36"/>
    <w:rsid w:val="00541EE3"/>
    <w:rsid w:val="00541FB8"/>
    <w:rsid w:val="00542157"/>
    <w:rsid w:val="005421D8"/>
    <w:rsid w:val="00542424"/>
    <w:rsid w:val="0054256F"/>
    <w:rsid w:val="00542628"/>
    <w:rsid w:val="005426AE"/>
    <w:rsid w:val="00542775"/>
    <w:rsid w:val="005428A1"/>
    <w:rsid w:val="005428D6"/>
    <w:rsid w:val="00542930"/>
    <w:rsid w:val="00542967"/>
    <w:rsid w:val="00542972"/>
    <w:rsid w:val="005429B8"/>
    <w:rsid w:val="00542B34"/>
    <w:rsid w:val="00542CC7"/>
    <w:rsid w:val="00542DA9"/>
    <w:rsid w:val="00542E2C"/>
    <w:rsid w:val="00542E60"/>
    <w:rsid w:val="005430C8"/>
    <w:rsid w:val="005430CF"/>
    <w:rsid w:val="00543159"/>
    <w:rsid w:val="005432CB"/>
    <w:rsid w:val="005432ED"/>
    <w:rsid w:val="005433BF"/>
    <w:rsid w:val="00543422"/>
    <w:rsid w:val="00543426"/>
    <w:rsid w:val="00543435"/>
    <w:rsid w:val="00543488"/>
    <w:rsid w:val="00543535"/>
    <w:rsid w:val="00543685"/>
    <w:rsid w:val="0054375A"/>
    <w:rsid w:val="00543761"/>
    <w:rsid w:val="0054378C"/>
    <w:rsid w:val="005438A3"/>
    <w:rsid w:val="005438C1"/>
    <w:rsid w:val="00543923"/>
    <w:rsid w:val="00543934"/>
    <w:rsid w:val="00543A3B"/>
    <w:rsid w:val="00543A46"/>
    <w:rsid w:val="00543A74"/>
    <w:rsid w:val="00543A99"/>
    <w:rsid w:val="00543AB2"/>
    <w:rsid w:val="00543B86"/>
    <w:rsid w:val="00543CD3"/>
    <w:rsid w:val="00543DA0"/>
    <w:rsid w:val="00543E1B"/>
    <w:rsid w:val="00544206"/>
    <w:rsid w:val="005442F8"/>
    <w:rsid w:val="00544337"/>
    <w:rsid w:val="00544390"/>
    <w:rsid w:val="00544402"/>
    <w:rsid w:val="00544432"/>
    <w:rsid w:val="00544681"/>
    <w:rsid w:val="00544835"/>
    <w:rsid w:val="00544856"/>
    <w:rsid w:val="005448ED"/>
    <w:rsid w:val="005448F5"/>
    <w:rsid w:val="00544953"/>
    <w:rsid w:val="00544995"/>
    <w:rsid w:val="00544A00"/>
    <w:rsid w:val="00544A8B"/>
    <w:rsid w:val="00544BBC"/>
    <w:rsid w:val="00544C46"/>
    <w:rsid w:val="00544C9A"/>
    <w:rsid w:val="00544D0B"/>
    <w:rsid w:val="00545002"/>
    <w:rsid w:val="00545008"/>
    <w:rsid w:val="00545052"/>
    <w:rsid w:val="00545098"/>
    <w:rsid w:val="005450BD"/>
    <w:rsid w:val="005450CC"/>
    <w:rsid w:val="00545389"/>
    <w:rsid w:val="00545455"/>
    <w:rsid w:val="00545672"/>
    <w:rsid w:val="005457C0"/>
    <w:rsid w:val="00545853"/>
    <w:rsid w:val="00545890"/>
    <w:rsid w:val="005459BA"/>
    <w:rsid w:val="00545AAB"/>
    <w:rsid w:val="00545B4F"/>
    <w:rsid w:val="00545B51"/>
    <w:rsid w:val="00545B8C"/>
    <w:rsid w:val="00545DB0"/>
    <w:rsid w:val="00545E49"/>
    <w:rsid w:val="00545F22"/>
    <w:rsid w:val="00545F99"/>
    <w:rsid w:val="00545FA5"/>
    <w:rsid w:val="00546176"/>
    <w:rsid w:val="005462A2"/>
    <w:rsid w:val="005463A1"/>
    <w:rsid w:val="005463E5"/>
    <w:rsid w:val="005463E9"/>
    <w:rsid w:val="0054641E"/>
    <w:rsid w:val="0054642F"/>
    <w:rsid w:val="0054643F"/>
    <w:rsid w:val="0054647F"/>
    <w:rsid w:val="0054654A"/>
    <w:rsid w:val="005465D6"/>
    <w:rsid w:val="00546611"/>
    <w:rsid w:val="005466B7"/>
    <w:rsid w:val="005466B8"/>
    <w:rsid w:val="00546A0F"/>
    <w:rsid w:val="00546A10"/>
    <w:rsid w:val="00546A82"/>
    <w:rsid w:val="00546AB8"/>
    <w:rsid w:val="00546BE2"/>
    <w:rsid w:val="00546EA8"/>
    <w:rsid w:val="00546EB8"/>
    <w:rsid w:val="00546EBF"/>
    <w:rsid w:val="00546EE2"/>
    <w:rsid w:val="00547185"/>
    <w:rsid w:val="00547192"/>
    <w:rsid w:val="00547203"/>
    <w:rsid w:val="0054723A"/>
    <w:rsid w:val="005472D4"/>
    <w:rsid w:val="0054731E"/>
    <w:rsid w:val="0054747D"/>
    <w:rsid w:val="005475C0"/>
    <w:rsid w:val="005475D7"/>
    <w:rsid w:val="005476B1"/>
    <w:rsid w:val="005476CF"/>
    <w:rsid w:val="00547861"/>
    <w:rsid w:val="005478B6"/>
    <w:rsid w:val="005478C2"/>
    <w:rsid w:val="00547918"/>
    <w:rsid w:val="00547A40"/>
    <w:rsid w:val="00547A71"/>
    <w:rsid w:val="00547BA0"/>
    <w:rsid w:val="00547CBB"/>
    <w:rsid w:val="00547D06"/>
    <w:rsid w:val="00547E24"/>
    <w:rsid w:val="00547EF1"/>
    <w:rsid w:val="00547F1A"/>
    <w:rsid w:val="00547F89"/>
    <w:rsid w:val="00547FFC"/>
    <w:rsid w:val="00550063"/>
    <w:rsid w:val="005502A2"/>
    <w:rsid w:val="0055036F"/>
    <w:rsid w:val="0055038D"/>
    <w:rsid w:val="005503D9"/>
    <w:rsid w:val="005504A2"/>
    <w:rsid w:val="005504AB"/>
    <w:rsid w:val="005504BB"/>
    <w:rsid w:val="005506E5"/>
    <w:rsid w:val="00550727"/>
    <w:rsid w:val="00550851"/>
    <w:rsid w:val="005508DF"/>
    <w:rsid w:val="005508E2"/>
    <w:rsid w:val="00550B42"/>
    <w:rsid w:val="00550B59"/>
    <w:rsid w:val="00550BFA"/>
    <w:rsid w:val="00550C69"/>
    <w:rsid w:val="00550D98"/>
    <w:rsid w:val="00550E20"/>
    <w:rsid w:val="00550F00"/>
    <w:rsid w:val="00550F19"/>
    <w:rsid w:val="00550F5C"/>
    <w:rsid w:val="00550FCA"/>
    <w:rsid w:val="00551035"/>
    <w:rsid w:val="0055105B"/>
    <w:rsid w:val="00551067"/>
    <w:rsid w:val="005510A1"/>
    <w:rsid w:val="005512F0"/>
    <w:rsid w:val="0055146F"/>
    <w:rsid w:val="0055148D"/>
    <w:rsid w:val="00551569"/>
    <w:rsid w:val="0055156B"/>
    <w:rsid w:val="00551606"/>
    <w:rsid w:val="00551640"/>
    <w:rsid w:val="0055168C"/>
    <w:rsid w:val="005516A7"/>
    <w:rsid w:val="00551714"/>
    <w:rsid w:val="0055177B"/>
    <w:rsid w:val="005517D6"/>
    <w:rsid w:val="005518D5"/>
    <w:rsid w:val="005519D4"/>
    <w:rsid w:val="00551AA9"/>
    <w:rsid w:val="00551AB8"/>
    <w:rsid w:val="00551AD3"/>
    <w:rsid w:val="00551AEE"/>
    <w:rsid w:val="00551B9C"/>
    <w:rsid w:val="00551C7D"/>
    <w:rsid w:val="00551D09"/>
    <w:rsid w:val="00551DBE"/>
    <w:rsid w:val="00551E90"/>
    <w:rsid w:val="00551F84"/>
    <w:rsid w:val="00552072"/>
    <w:rsid w:val="00552084"/>
    <w:rsid w:val="005520C0"/>
    <w:rsid w:val="0055215A"/>
    <w:rsid w:val="00552327"/>
    <w:rsid w:val="0055239B"/>
    <w:rsid w:val="005523C6"/>
    <w:rsid w:val="00552594"/>
    <w:rsid w:val="0055259D"/>
    <w:rsid w:val="005525B0"/>
    <w:rsid w:val="00552720"/>
    <w:rsid w:val="0055273A"/>
    <w:rsid w:val="005528C5"/>
    <w:rsid w:val="00552AD6"/>
    <w:rsid w:val="00552B41"/>
    <w:rsid w:val="00552BA0"/>
    <w:rsid w:val="00552DCE"/>
    <w:rsid w:val="00552E2A"/>
    <w:rsid w:val="00552E57"/>
    <w:rsid w:val="00553126"/>
    <w:rsid w:val="0055315C"/>
    <w:rsid w:val="0055322A"/>
    <w:rsid w:val="00553240"/>
    <w:rsid w:val="005532DE"/>
    <w:rsid w:val="0055330B"/>
    <w:rsid w:val="00553387"/>
    <w:rsid w:val="005533E0"/>
    <w:rsid w:val="0055341A"/>
    <w:rsid w:val="005534C7"/>
    <w:rsid w:val="00553670"/>
    <w:rsid w:val="005537A1"/>
    <w:rsid w:val="005539A3"/>
    <w:rsid w:val="005539AA"/>
    <w:rsid w:val="00553A2C"/>
    <w:rsid w:val="00553A4D"/>
    <w:rsid w:val="00553A5E"/>
    <w:rsid w:val="00553AB4"/>
    <w:rsid w:val="00553ABD"/>
    <w:rsid w:val="00553DF0"/>
    <w:rsid w:val="00553F53"/>
    <w:rsid w:val="005541C0"/>
    <w:rsid w:val="0055422E"/>
    <w:rsid w:val="00554509"/>
    <w:rsid w:val="00554533"/>
    <w:rsid w:val="005545AC"/>
    <w:rsid w:val="0055460E"/>
    <w:rsid w:val="00554634"/>
    <w:rsid w:val="0055475F"/>
    <w:rsid w:val="005547B6"/>
    <w:rsid w:val="005547FD"/>
    <w:rsid w:val="00554844"/>
    <w:rsid w:val="005548DF"/>
    <w:rsid w:val="005549A7"/>
    <w:rsid w:val="00554A5B"/>
    <w:rsid w:val="00554AD6"/>
    <w:rsid w:val="00554AE1"/>
    <w:rsid w:val="00554B24"/>
    <w:rsid w:val="00554BE8"/>
    <w:rsid w:val="00554BFA"/>
    <w:rsid w:val="00554D42"/>
    <w:rsid w:val="00554E5C"/>
    <w:rsid w:val="00554E78"/>
    <w:rsid w:val="00555052"/>
    <w:rsid w:val="00555272"/>
    <w:rsid w:val="0055532E"/>
    <w:rsid w:val="00555406"/>
    <w:rsid w:val="00555430"/>
    <w:rsid w:val="005554B1"/>
    <w:rsid w:val="005555A3"/>
    <w:rsid w:val="005555E6"/>
    <w:rsid w:val="0055565A"/>
    <w:rsid w:val="005556A1"/>
    <w:rsid w:val="00555796"/>
    <w:rsid w:val="005557E1"/>
    <w:rsid w:val="0055582A"/>
    <w:rsid w:val="0055586E"/>
    <w:rsid w:val="00555916"/>
    <w:rsid w:val="00555AFA"/>
    <w:rsid w:val="00555B7E"/>
    <w:rsid w:val="00555C44"/>
    <w:rsid w:val="00555D70"/>
    <w:rsid w:val="00555E5E"/>
    <w:rsid w:val="00555EBA"/>
    <w:rsid w:val="00555FE2"/>
    <w:rsid w:val="0055611F"/>
    <w:rsid w:val="00556134"/>
    <w:rsid w:val="00556247"/>
    <w:rsid w:val="0055632F"/>
    <w:rsid w:val="005563EA"/>
    <w:rsid w:val="00556419"/>
    <w:rsid w:val="00556481"/>
    <w:rsid w:val="00556574"/>
    <w:rsid w:val="0055658F"/>
    <w:rsid w:val="00556607"/>
    <w:rsid w:val="00556612"/>
    <w:rsid w:val="00556690"/>
    <w:rsid w:val="00556707"/>
    <w:rsid w:val="0055679D"/>
    <w:rsid w:val="005567B2"/>
    <w:rsid w:val="00556806"/>
    <w:rsid w:val="0055684C"/>
    <w:rsid w:val="0055697A"/>
    <w:rsid w:val="00556A8E"/>
    <w:rsid w:val="00556AE6"/>
    <w:rsid w:val="00556B18"/>
    <w:rsid w:val="00556C4F"/>
    <w:rsid w:val="00556CC6"/>
    <w:rsid w:val="00556CFC"/>
    <w:rsid w:val="00556FCE"/>
    <w:rsid w:val="00556FDF"/>
    <w:rsid w:val="00557040"/>
    <w:rsid w:val="005570D7"/>
    <w:rsid w:val="005571A7"/>
    <w:rsid w:val="005571AA"/>
    <w:rsid w:val="00557244"/>
    <w:rsid w:val="00557395"/>
    <w:rsid w:val="0055739C"/>
    <w:rsid w:val="005573D3"/>
    <w:rsid w:val="0055750D"/>
    <w:rsid w:val="005575F3"/>
    <w:rsid w:val="00557718"/>
    <w:rsid w:val="0055772D"/>
    <w:rsid w:val="0055779E"/>
    <w:rsid w:val="0055787A"/>
    <w:rsid w:val="005578C9"/>
    <w:rsid w:val="00557E84"/>
    <w:rsid w:val="0055B23C"/>
    <w:rsid w:val="00560021"/>
    <w:rsid w:val="0056006E"/>
    <w:rsid w:val="0056014A"/>
    <w:rsid w:val="0056015D"/>
    <w:rsid w:val="00560216"/>
    <w:rsid w:val="005602ED"/>
    <w:rsid w:val="005603B3"/>
    <w:rsid w:val="005603F5"/>
    <w:rsid w:val="0056042F"/>
    <w:rsid w:val="00560431"/>
    <w:rsid w:val="0056047F"/>
    <w:rsid w:val="005604B1"/>
    <w:rsid w:val="005604DD"/>
    <w:rsid w:val="0056055A"/>
    <w:rsid w:val="0056068F"/>
    <w:rsid w:val="005606AF"/>
    <w:rsid w:val="005607B4"/>
    <w:rsid w:val="005607F8"/>
    <w:rsid w:val="00560819"/>
    <w:rsid w:val="00560A0C"/>
    <w:rsid w:val="00560A3B"/>
    <w:rsid w:val="00560B7A"/>
    <w:rsid w:val="00560DEC"/>
    <w:rsid w:val="00560F2E"/>
    <w:rsid w:val="00560F74"/>
    <w:rsid w:val="00561018"/>
    <w:rsid w:val="0056117A"/>
    <w:rsid w:val="00561265"/>
    <w:rsid w:val="00561398"/>
    <w:rsid w:val="005613DC"/>
    <w:rsid w:val="00561403"/>
    <w:rsid w:val="00561462"/>
    <w:rsid w:val="005614C7"/>
    <w:rsid w:val="0056150E"/>
    <w:rsid w:val="0056165C"/>
    <w:rsid w:val="0056179A"/>
    <w:rsid w:val="0056187A"/>
    <w:rsid w:val="00561A1A"/>
    <w:rsid w:val="00561A85"/>
    <w:rsid w:val="00561AC2"/>
    <w:rsid w:val="00561BDF"/>
    <w:rsid w:val="00561BE1"/>
    <w:rsid w:val="00561BEF"/>
    <w:rsid w:val="00561BF3"/>
    <w:rsid w:val="00561CCD"/>
    <w:rsid w:val="00561D47"/>
    <w:rsid w:val="00561DD3"/>
    <w:rsid w:val="00561FA9"/>
    <w:rsid w:val="00561FDB"/>
    <w:rsid w:val="00562023"/>
    <w:rsid w:val="00562059"/>
    <w:rsid w:val="0056205E"/>
    <w:rsid w:val="00562072"/>
    <w:rsid w:val="00562082"/>
    <w:rsid w:val="0056226C"/>
    <w:rsid w:val="00562381"/>
    <w:rsid w:val="005623BE"/>
    <w:rsid w:val="00562513"/>
    <w:rsid w:val="0056265E"/>
    <w:rsid w:val="00562682"/>
    <w:rsid w:val="005626AD"/>
    <w:rsid w:val="00562710"/>
    <w:rsid w:val="00562AA7"/>
    <w:rsid w:val="00562AF5"/>
    <w:rsid w:val="00562B69"/>
    <w:rsid w:val="00562D4E"/>
    <w:rsid w:val="00562D9D"/>
    <w:rsid w:val="00562E5C"/>
    <w:rsid w:val="00562EF1"/>
    <w:rsid w:val="00562F20"/>
    <w:rsid w:val="00562F6F"/>
    <w:rsid w:val="00562FFD"/>
    <w:rsid w:val="005630A9"/>
    <w:rsid w:val="005632E8"/>
    <w:rsid w:val="0056331B"/>
    <w:rsid w:val="005633A6"/>
    <w:rsid w:val="005633C4"/>
    <w:rsid w:val="005633CE"/>
    <w:rsid w:val="00563489"/>
    <w:rsid w:val="00563541"/>
    <w:rsid w:val="0056360B"/>
    <w:rsid w:val="0056373E"/>
    <w:rsid w:val="00563D20"/>
    <w:rsid w:val="00563D75"/>
    <w:rsid w:val="00563DD8"/>
    <w:rsid w:val="00563E74"/>
    <w:rsid w:val="00563E9A"/>
    <w:rsid w:val="00563EBF"/>
    <w:rsid w:val="0056402B"/>
    <w:rsid w:val="0056408C"/>
    <w:rsid w:val="00564206"/>
    <w:rsid w:val="005642C9"/>
    <w:rsid w:val="005643D6"/>
    <w:rsid w:val="00564471"/>
    <w:rsid w:val="00564501"/>
    <w:rsid w:val="0056454A"/>
    <w:rsid w:val="00564554"/>
    <w:rsid w:val="0056480C"/>
    <w:rsid w:val="00564933"/>
    <w:rsid w:val="00564A69"/>
    <w:rsid w:val="00564B8E"/>
    <w:rsid w:val="00564BF0"/>
    <w:rsid w:val="00564C98"/>
    <w:rsid w:val="00564DDC"/>
    <w:rsid w:val="00564DE0"/>
    <w:rsid w:val="00564E78"/>
    <w:rsid w:val="00564E7C"/>
    <w:rsid w:val="00564EA7"/>
    <w:rsid w:val="00564EB6"/>
    <w:rsid w:val="00564FD2"/>
    <w:rsid w:val="005650C2"/>
    <w:rsid w:val="0056514B"/>
    <w:rsid w:val="00565153"/>
    <w:rsid w:val="0056521C"/>
    <w:rsid w:val="00565342"/>
    <w:rsid w:val="00565383"/>
    <w:rsid w:val="00565490"/>
    <w:rsid w:val="005655EB"/>
    <w:rsid w:val="00565661"/>
    <w:rsid w:val="00565785"/>
    <w:rsid w:val="005658C7"/>
    <w:rsid w:val="00565932"/>
    <w:rsid w:val="00565944"/>
    <w:rsid w:val="0056598F"/>
    <w:rsid w:val="00565A4F"/>
    <w:rsid w:val="00565AD2"/>
    <w:rsid w:val="00565B10"/>
    <w:rsid w:val="00565B5E"/>
    <w:rsid w:val="00565CEE"/>
    <w:rsid w:val="00565E53"/>
    <w:rsid w:val="00565E94"/>
    <w:rsid w:val="00566084"/>
    <w:rsid w:val="0056608A"/>
    <w:rsid w:val="00566114"/>
    <w:rsid w:val="00566231"/>
    <w:rsid w:val="00566280"/>
    <w:rsid w:val="005662F2"/>
    <w:rsid w:val="0056632F"/>
    <w:rsid w:val="005663D4"/>
    <w:rsid w:val="005664B9"/>
    <w:rsid w:val="00566679"/>
    <w:rsid w:val="0056667A"/>
    <w:rsid w:val="00566727"/>
    <w:rsid w:val="0056673A"/>
    <w:rsid w:val="0056681F"/>
    <w:rsid w:val="005668C2"/>
    <w:rsid w:val="005669AF"/>
    <w:rsid w:val="00566C94"/>
    <w:rsid w:val="00566CC7"/>
    <w:rsid w:val="00566ED8"/>
    <w:rsid w:val="00567074"/>
    <w:rsid w:val="005672A9"/>
    <w:rsid w:val="005672D8"/>
    <w:rsid w:val="0056739A"/>
    <w:rsid w:val="0056748E"/>
    <w:rsid w:val="00567493"/>
    <w:rsid w:val="00567518"/>
    <w:rsid w:val="005675B1"/>
    <w:rsid w:val="0056761A"/>
    <w:rsid w:val="005677CF"/>
    <w:rsid w:val="00567870"/>
    <w:rsid w:val="0056788D"/>
    <w:rsid w:val="005678B5"/>
    <w:rsid w:val="00567A00"/>
    <w:rsid w:val="00567DD7"/>
    <w:rsid w:val="00567E72"/>
    <w:rsid w:val="0057009E"/>
    <w:rsid w:val="005700A8"/>
    <w:rsid w:val="00570107"/>
    <w:rsid w:val="00570181"/>
    <w:rsid w:val="00570184"/>
    <w:rsid w:val="005701BB"/>
    <w:rsid w:val="005701C8"/>
    <w:rsid w:val="0057029B"/>
    <w:rsid w:val="005702B8"/>
    <w:rsid w:val="005702C9"/>
    <w:rsid w:val="0057034D"/>
    <w:rsid w:val="005703CA"/>
    <w:rsid w:val="005703FA"/>
    <w:rsid w:val="00570576"/>
    <w:rsid w:val="0057058A"/>
    <w:rsid w:val="005706B5"/>
    <w:rsid w:val="005707C3"/>
    <w:rsid w:val="005709D9"/>
    <w:rsid w:val="00570A47"/>
    <w:rsid w:val="00570B6B"/>
    <w:rsid w:val="00570BA9"/>
    <w:rsid w:val="00570BC9"/>
    <w:rsid w:val="00570BDD"/>
    <w:rsid w:val="00570C38"/>
    <w:rsid w:val="00570DBE"/>
    <w:rsid w:val="00570DD5"/>
    <w:rsid w:val="00570FCB"/>
    <w:rsid w:val="005710C2"/>
    <w:rsid w:val="00571143"/>
    <w:rsid w:val="00571174"/>
    <w:rsid w:val="005711BC"/>
    <w:rsid w:val="00571335"/>
    <w:rsid w:val="005715AF"/>
    <w:rsid w:val="0057160E"/>
    <w:rsid w:val="0057169E"/>
    <w:rsid w:val="0057187D"/>
    <w:rsid w:val="005718B9"/>
    <w:rsid w:val="00571991"/>
    <w:rsid w:val="005719E9"/>
    <w:rsid w:val="00571A4D"/>
    <w:rsid w:val="00571ACD"/>
    <w:rsid w:val="00571B13"/>
    <w:rsid w:val="00571BB9"/>
    <w:rsid w:val="00571BFB"/>
    <w:rsid w:val="00571CA6"/>
    <w:rsid w:val="00571DCB"/>
    <w:rsid w:val="00571F5B"/>
    <w:rsid w:val="00571F61"/>
    <w:rsid w:val="00571FC5"/>
    <w:rsid w:val="0057201B"/>
    <w:rsid w:val="005720D0"/>
    <w:rsid w:val="005721C2"/>
    <w:rsid w:val="00572211"/>
    <w:rsid w:val="005723C0"/>
    <w:rsid w:val="0057250B"/>
    <w:rsid w:val="00572595"/>
    <w:rsid w:val="0057261E"/>
    <w:rsid w:val="00572674"/>
    <w:rsid w:val="005728BE"/>
    <w:rsid w:val="005728CB"/>
    <w:rsid w:val="00572921"/>
    <w:rsid w:val="005729CE"/>
    <w:rsid w:val="00572A89"/>
    <w:rsid w:val="00572B0C"/>
    <w:rsid w:val="00572B4F"/>
    <w:rsid w:val="00572C56"/>
    <w:rsid w:val="00572CE2"/>
    <w:rsid w:val="00572DCD"/>
    <w:rsid w:val="00572E9C"/>
    <w:rsid w:val="00572FE2"/>
    <w:rsid w:val="005731D7"/>
    <w:rsid w:val="00573301"/>
    <w:rsid w:val="00573395"/>
    <w:rsid w:val="00573777"/>
    <w:rsid w:val="005737A8"/>
    <w:rsid w:val="005738E8"/>
    <w:rsid w:val="005739EB"/>
    <w:rsid w:val="00573A26"/>
    <w:rsid w:val="00573A50"/>
    <w:rsid w:val="00573A86"/>
    <w:rsid w:val="00573ACE"/>
    <w:rsid w:val="00573C37"/>
    <w:rsid w:val="00573EB3"/>
    <w:rsid w:val="00573F1B"/>
    <w:rsid w:val="00574008"/>
    <w:rsid w:val="00574187"/>
    <w:rsid w:val="0057419E"/>
    <w:rsid w:val="0057428F"/>
    <w:rsid w:val="00574336"/>
    <w:rsid w:val="005743C5"/>
    <w:rsid w:val="0057441E"/>
    <w:rsid w:val="0057442E"/>
    <w:rsid w:val="00574523"/>
    <w:rsid w:val="00574550"/>
    <w:rsid w:val="00574787"/>
    <w:rsid w:val="00574790"/>
    <w:rsid w:val="005747DB"/>
    <w:rsid w:val="00574823"/>
    <w:rsid w:val="00574879"/>
    <w:rsid w:val="00574DA4"/>
    <w:rsid w:val="00574DBF"/>
    <w:rsid w:val="00574E34"/>
    <w:rsid w:val="00574F3A"/>
    <w:rsid w:val="0057505F"/>
    <w:rsid w:val="00575065"/>
    <w:rsid w:val="00575086"/>
    <w:rsid w:val="005750F4"/>
    <w:rsid w:val="00575143"/>
    <w:rsid w:val="005751C1"/>
    <w:rsid w:val="00575233"/>
    <w:rsid w:val="00575327"/>
    <w:rsid w:val="005753D8"/>
    <w:rsid w:val="005754D3"/>
    <w:rsid w:val="00575532"/>
    <w:rsid w:val="0057562B"/>
    <w:rsid w:val="00575689"/>
    <w:rsid w:val="005757EA"/>
    <w:rsid w:val="00575850"/>
    <w:rsid w:val="00575855"/>
    <w:rsid w:val="0057585A"/>
    <w:rsid w:val="0057588A"/>
    <w:rsid w:val="0057590D"/>
    <w:rsid w:val="00575984"/>
    <w:rsid w:val="00575A92"/>
    <w:rsid w:val="00575ADA"/>
    <w:rsid w:val="00575AEC"/>
    <w:rsid w:val="00575C11"/>
    <w:rsid w:val="00575C40"/>
    <w:rsid w:val="00575CDE"/>
    <w:rsid w:val="00575D34"/>
    <w:rsid w:val="00575D3C"/>
    <w:rsid w:val="00575DCE"/>
    <w:rsid w:val="00575DDB"/>
    <w:rsid w:val="00575F25"/>
    <w:rsid w:val="00575FAD"/>
    <w:rsid w:val="00576054"/>
    <w:rsid w:val="0057608B"/>
    <w:rsid w:val="00576184"/>
    <w:rsid w:val="005761A4"/>
    <w:rsid w:val="0057629F"/>
    <w:rsid w:val="0057638E"/>
    <w:rsid w:val="00576397"/>
    <w:rsid w:val="005763CE"/>
    <w:rsid w:val="005763F2"/>
    <w:rsid w:val="00576425"/>
    <w:rsid w:val="00576495"/>
    <w:rsid w:val="00576496"/>
    <w:rsid w:val="005766C8"/>
    <w:rsid w:val="0057676E"/>
    <w:rsid w:val="005767FD"/>
    <w:rsid w:val="00576929"/>
    <w:rsid w:val="00576A32"/>
    <w:rsid w:val="00576AFA"/>
    <w:rsid w:val="00576BE6"/>
    <w:rsid w:val="00576C99"/>
    <w:rsid w:val="00576E04"/>
    <w:rsid w:val="00576EE3"/>
    <w:rsid w:val="00576EE7"/>
    <w:rsid w:val="00577347"/>
    <w:rsid w:val="005773B5"/>
    <w:rsid w:val="005773BA"/>
    <w:rsid w:val="00577435"/>
    <w:rsid w:val="00577620"/>
    <w:rsid w:val="005776B4"/>
    <w:rsid w:val="005776E3"/>
    <w:rsid w:val="00577741"/>
    <w:rsid w:val="005777A3"/>
    <w:rsid w:val="0057784E"/>
    <w:rsid w:val="00577876"/>
    <w:rsid w:val="00577929"/>
    <w:rsid w:val="00577934"/>
    <w:rsid w:val="0057795F"/>
    <w:rsid w:val="00577979"/>
    <w:rsid w:val="00577997"/>
    <w:rsid w:val="005779B5"/>
    <w:rsid w:val="00577A3C"/>
    <w:rsid w:val="00577A6F"/>
    <w:rsid w:val="00577B80"/>
    <w:rsid w:val="00577C66"/>
    <w:rsid w:val="00577D56"/>
    <w:rsid w:val="00577DDE"/>
    <w:rsid w:val="00577E3D"/>
    <w:rsid w:val="00577EB3"/>
    <w:rsid w:val="00577F2B"/>
    <w:rsid w:val="00577FAA"/>
    <w:rsid w:val="005801FC"/>
    <w:rsid w:val="00580361"/>
    <w:rsid w:val="005803F6"/>
    <w:rsid w:val="005804C4"/>
    <w:rsid w:val="00580582"/>
    <w:rsid w:val="0058071C"/>
    <w:rsid w:val="0058092C"/>
    <w:rsid w:val="0058094E"/>
    <w:rsid w:val="00580955"/>
    <w:rsid w:val="00580AEC"/>
    <w:rsid w:val="00580D2F"/>
    <w:rsid w:val="00580DCE"/>
    <w:rsid w:val="00580E9F"/>
    <w:rsid w:val="00580EA5"/>
    <w:rsid w:val="00580EA8"/>
    <w:rsid w:val="00580F76"/>
    <w:rsid w:val="0058126C"/>
    <w:rsid w:val="005812CD"/>
    <w:rsid w:val="005813A0"/>
    <w:rsid w:val="005813A6"/>
    <w:rsid w:val="005813E4"/>
    <w:rsid w:val="0058142D"/>
    <w:rsid w:val="005814DB"/>
    <w:rsid w:val="00581522"/>
    <w:rsid w:val="00581547"/>
    <w:rsid w:val="0058168C"/>
    <w:rsid w:val="0058172D"/>
    <w:rsid w:val="00581827"/>
    <w:rsid w:val="005818DA"/>
    <w:rsid w:val="00581A13"/>
    <w:rsid w:val="00581AA7"/>
    <w:rsid w:val="00581C01"/>
    <w:rsid w:val="00581C41"/>
    <w:rsid w:val="00581D25"/>
    <w:rsid w:val="00581D92"/>
    <w:rsid w:val="00581F1F"/>
    <w:rsid w:val="00581FB2"/>
    <w:rsid w:val="00582032"/>
    <w:rsid w:val="005820A7"/>
    <w:rsid w:val="00582200"/>
    <w:rsid w:val="005822C5"/>
    <w:rsid w:val="00582355"/>
    <w:rsid w:val="0058245A"/>
    <w:rsid w:val="005824F4"/>
    <w:rsid w:val="00582501"/>
    <w:rsid w:val="0058258B"/>
    <w:rsid w:val="00582801"/>
    <w:rsid w:val="00582882"/>
    <w:rsid w:val="00582888"/>
    <w:rsid w:val="005828C0"/>
    <w:rsid w:val="00582913"/>
    <w:rsid w:val="00582961"/>
    <w:rsid w:val="00582992"/>
    <w:rsid w:val="00582999"/>
    <w:rsid w:val="00582A06"/>
    <w:rsid w:val="00582ACC"/>
    <w:rsid w:val="00582C6E"/>
    <w:rsid w:val="00582D5C"/>
    <w:rsid w:val="00582D9B"/>
    <w:rsid w:val="0058305C"/>
    <w:rsid w:val="005830F2"/>
    <w:rsid w:val="005831C2"/>
    <w:rsid w:val="005831CC"/>
    <w:rsid w:val="005833F7"/>
    <w:rsid w:val="005835E0"/>
    <w:rsid w:val="0058361F"/>
    <w:rsid w:val="00583667"/>
    <w:rsid w:val="005836FF"/>
    <w:rsid w:val="0058389C"/>
    <w:rsid w:val="00583959"/>
    <w:rsid w:val="00583AC6"/>
    <w:rsid w:val="00583CE6"/>
    <w:rsid w:val="00583D8F"/>
    <w:rsid w:val="00583DE2"/>
    <w:rsid w:val="00583E63"/>
    <w:rsid w:val="00583F0B"/>
    <w:rsid w:val="005841BA"/>
    <w:rsid w:val="005841C8"/>
    <w:rsid w:val="005841F2"/>
    <w:rsid w:val="005842D0"/>
    <w:rsid w:val="005842F1"/>
    <w:rsid w:val="005843D2"/>
    <w:rsid w:val="00584424"/>
    <w:rsid w:val="005844C5"/>
    <w:rsid w:val="00584580"/>
    <w:rsid w:val="00584807"/>
    <w:rsid w:val="005848EC"/>
    <w:rsid w:val="00584936"/>
    <w:rsid w:val="00584A63"/>
    <w:rsid w:val="00584B21"/>
    <w:rsid w:val="00584B47"/>
    <w:rsid w:val="00584C5D"/>
    <w:rsid w:val="00584C83"/>
    <w:rsid w:val="00584CB6"/>
    <w:rsid w:val="00584D65"/>
    <w:rsid w:val="00584D87"/>
    <w:rsid w:val="00584D9D"/>
    <w:rsid w:val="00585039"/>
    <w:rsid w:val="005850BA"/>
    <w:rsid w:val="005850F0"/>
    <w:rsid w:val="00585141"/>
    <w:rsid w:val="005851F2"/>
    <w:rsid w:val="005854C0"/>
    <w:rsid w:val="00585564"/>
    <w:rsid w:val="00585694"/>
    <w:rsid w:val="005856D8"/>
    <w:rsid w:val="00585733"/>
    <w:rsid w:val="00585783"/>
    <w:rsid w:val="00585827"/>
    <w:rsid w:val="0058589D"/>
    <w:rsid w:val="00585988"/>
    <w:rsid w:val="00585A6D"/>
    <w:rsid w:val="00585A73"/>
    <w:rsid w:val="00585BAB"/>
    <w:rsid w:val="00585C41"/>
    <w:rsid w:val="00585C85"/>
    <w:rsid w:val="00585CD3"/>
    <w:rsid w:val="00585CF3"/>
    <w:rsid w:val="00585E69"/>
    <w:rsid w:val="00585EC9"/>
    <w:rsid w:val="00585F08"/>
    <w:rsid w:val="00585F20"/>
    <w:rsid w:val="00585F3A"/>
    <w:rsid w:val="00585F45"/>
    <w:rsid w:val="00585FFB"/>
    <w:rsid w:val="0058602F"/>
    <w:rsid w:val="00586090"/>
    <w:rsid w:val="005860FA"/>
    <w:rsid w:val="00586173"/>
    <w:rsid w:val="005861FE"/>
    <w:rsid w:val="00586262"/>
    <w:rsid w:val="005862C6"/>
    <w:rsid w:val="005862E5"/>
    <w:rsid w:val="005862F8"/>
    <w:rsid w:val="0058672F"/>
    <w:rsid w:val="005867C6"/>
    <w:rsid w:val="0058687A"/>
    <w:rsid w:val="005868B4"/>
    <w:rsid w:val="00586925"/>
    <w:rsid w:val="00586980"/>
    <w:rsid w:val="00586AE4"/>
    <w:rsid w:val="00586B8D"/>
    <w:rsid w:val="00586BB2"/>
    <w:rsid w:val="00586C7E"/>
    <w:rsid w:val="00586D33"/>
    <w:rsid w:val="00586FE6"/>
    <w:rsid w:val="00586FF4"/>
    <w:rsid w:val="00587169"/>
    <w:rsid w:val="00587182"/>
    <w:rsid w:val="005871DB"/>
    <w:rsid w:val="00587382"/>
    <w:rsid w:val="005874A4"/>
    <w:rsid w:val="00587512"/>
    <w:rsid w:val="005875F4"/>
    <w:rsid w:val="00587663"/>
    <w:rsid w:val="00587713"/>
    <w:rsid w:val="00587744"/>
    <w:rsid w:val="005877CB"/>
    <w:rsid w:val="005877D7"/>
    <w:rsid w:val="005878BE"/>
    <w:rsid w:val="005878D2"/>
    <w:rsid w:val="005879BB"/>
    <w:rsid w:val="005879E2"/>
    <w:rsid w:val="00587B86"/>
    <w:rsid w:val="00587C8D"/>
    <w:rsid w:val="00587CCA"/>
    <w:rsid w:val="00587D28"/>
    <w:rsid w:val="00587D2D"/>
    <w:rsid w:val="00587D5B"/>
    <w:rsid w:val="00587E55"/>
    <w:rsid w:val="00587E84"/>
    <w:rsid w:val="00587EDC"/>
    <w:rsid w:val="00587FBC"/>
    <w:rsid w:val="00590113"/>
    <w:rsid w:val="0059017E"/>
    <w:rsid w:val="0059029F"/>
    <w:rsid w:val="005902C5"/>
    <w:rsid w:val="00590359"/>
    <w:rsid w:val="005904B5"/>
    <w:rsid w:val="005904E0"/>
    <w:rsid w:val="00590541"/>
    <w:rsid w:val="00590547"/>
    <w:rsid w:val="0059062B"/>
    <w:rsid w:val="005906D3"/>
    <w:rsid w:val="00590719"/>
    <w:rsid w:val="0059073A"/>
    <w:rsid w:val="00590745"/>
    <w:rsid w:val="005908BB"/>
    <w:rsid w:val="00590A43"/>
    <w:rsid w:val="00590CEF"/>
    <w:rsid w:val="00590CF2"/>
    <w:rsid w:val="00590E17"/>
    <w:rsid w:val="00590E54"/>
    <w:rsid w:val="00590F3A"/>
    <w:rsid w:val="0059100B"/>
    <w:rsid w:val="005910F0"/>
    <w:rsid w:val="0059112C"/>
    <w:rsid w:val="0059119F"/>
    <w:rsid w:val="00591281"/>
    <w:rsid w:val="005913D4"/>
    <w:rsid w:val="00591734"/>
    <w:rsid w:val="0059177D"/>
    <w:rsid w:val="0059179B"/>
    <w:rsid w:val="0059185F"/>
    <w:rsid w:val="00591998"/>
    <w:rsid w:val="005919A1"/>
    <w:rsid w:val="005919AA"/>
    <w:rsid w:val="00591A9F"/>
    <w:rsid w:val="00591AEF"/>
    <w:rsid w:val="00591BAC"/>
    <w:rsid w:val="00591D04"/>
    <w:rsid w:val="00591D6C"/>
    <w:rsid w:val="00591D89"/>
    <w:rsid w:val="00591D93"/>
    <w:rsid w:val="00591DE7"/>
    <w:rsid w:val="00591DFC"/>
    <w:rsid w:val="00591E31"/>
    <w:rsid w:val="00591EE6"/>
    <w:rsid w:val="00592039"/>
    <w:rsid w:val="00592284"/>
    <w:rsid w:val="005922F8"/>
    <w:rsid w:val="0059259B"/>
    <w:rsid w:val="0059260C"/>
    <w:rsid w:val="005926CA"/>
    <w:rsid w:val="005928D1"/>
    <w:rsid w:val="005928FA"/>
    <w:rsid w:val="00592913"/>
    <w:rsid w:val="00592A08"/>
    <w:rsid w:val="00592A6A"/>
    <w:rsid w:val="00592B06"/>
    <w:rsid w:val="00592C38"/>
    <w:rsid w:val="00592C42"/>
    <w:rsid w:val="00592DE1"/>
    <w:rsid w:val="00592F05"/>
    <w:rsid w:val="00592F6D"/>
    <w:rsid w:val="00593055"/>
    <w:rsid w:val="005930F2"/>
    <w:rsid w:val="00593196"/>
    <w:rsid w:val="005931BF"/>
    <w:rsid w:val="005932DE"/>
    <w:rsid w:val="00593390"/>
    <w:rsid w:val="005933E6"/>
    <w:rsid w:val="005934D1"/>
    <w:rsid w:val="005935BE"/>
    <w:rsid w:val="005935C0"/>
    <w:rsid w:val="0059368B"/>
    <w:rsid w:val="005936DA"/>
    <w:rsid w:val="00593829"/>
    <w:rsid w:val="00593A76"/>
    <w:rsid w:val="00593A9D"/>
    <w:rsid w:val="00593AA7"/>
    <w:rsid w:val="00593B1C"/>
    <w:rsid w:val="00593B71"/>
    <w:rsid w:val="00593B7A"/>
    <w:rsid w:val="00593CA0"/>
    <w:rsid w:val="00593CD1"/>
    <w:rsid w:val="00593CDD"/>
    <w:rsid w:val="00593D49"/>
    <w:rsid w:val="00593EDF"/>
    <w:rsid w:val="00594010"/>
    <w:rsid w:val="00594325"/>
    <w:rsid w:val="0059453D"/>
    <w:rsid w:val="005945D2"/>
    <w:rsid w:val="00594730"/>
    <w:rsid w:val="00594802"/>
    <w:rsid w:val="00594840"/>
    <w:rsid w:val="0059485F"/>
    <w:rsid w:val="00594965"/>
    <w:rsid w:val="0059496B"/>
    <w:rsid w:val="005949D8"/>
    <w:rsid w:val="005949E9"/>
    <w:rsid w:val="00594A72"/>
    <w:rsid w:val="00594ADE"/>
    <w:rsid w:val="00594B22"/>
    <w:rsid w:val="00594B8C"/>
    <w:rsid w:val="00594BDB"/>
    <w:rsid w:val="00594BE8"/>
    <w:rsid w:val="00594C2B"/>
    <w:rsid w:val="00594CE0"/>
    <w:rsid w:val="00594CEB"/>
    <w:rsid w:val="00594D12"/>
    <w:rsid w:val="00594D56"/>
    <w:rsid w:val="00594D77"/>
    <w:rsid w:val="00594E9B"/>
    <w:rsid w:val="00594F09"/>
    <w:rsid w:val="0059514C"/>
    <w:rsid w:val="0059517E"/>
    <w:rsid w:val="0059521F"/>
    <w:rsid w:val="005952A0"/>
    <w:rsid w:val="005953C8"/>
    <w:rsid w:val="00595403"/>
    <w:rsid w:val="00595436"/>
    <w:rsid w:val="005954B3"/>
    <w:rsid w:val="00595529"/>
    <w:rsid w:val="005955B0"/>
    <w:rsid w:val="0059585C"/>
    <w:rsid w:val="0059592F"/>
    <w:rsid w:val="00595A6D"/>
    <w:rsid w:val="00595B12"/>
    <w:rsid w:val="00595B82"/>
    <w:rsid w:val="00595CF2"/>
    <w:rsid w:val="00595D08"/>
    <w:rsid w:val="00595DD8"/>
    <w:rsid w:val="00595E1A"/>
    <w:rsid w:val="00595E76"/>
    <w:rsid w:val="00595E8A"/>
    <w:rsid w:val="00595F02"/>
    <w:rsid w:val="00595F08"/>
    <w:rsid w:val="00596254"/>
    <w:rsid w:val="005962EA"/>
    <w:rsid w:val="00596367"/>
    <w:rsid w:val="005963E4"/>
    <w:rsid w:val="00596467"/>
    <w:rsid w:val="005964F2"/>
    <w:rsid w:val="0059653B"/>
    <w:rsid w:val="005965D4"/>
    <w:rsid w:val="00596744"/>
    <w:rsid w:val="0059678D"/>
    <w:rsid w:val="005967C4"/>
    <w:rsid w:val="0059684F"/>
    <w:rsid w:val="0059687A"/>
    <w:rsid w:val="005968CB"/>
    <w:rsid w:val="00596A29"/>
    <w:rsid w:val="00596A93"/>
    <w:rsid w:val="00596B9B"/>
    <w:rsid w:val="00596CA0"/>
    <w:rsid w:val="00596CB8"/>
    <w:rsid w:val="00596DA9"/>
    <w:rsid w:val="00596F19"/>
    <w:rsid w:val="00596F42"/>
    <w:rsid w:val="00596F95"/>
    <w:rsid w:val="00596FFD"/>
    <w:rsid w:val="00597014"/>
    <w:rsid w:val="00597072"/>
    <w:rsid w:val="005970AE"/>
    <w:rsid w:val="005970C2"/>
    <w:rsid w:val="00597112"/>
    <w:rsid w:val="005973BE"/>
    <w:rsid w:val="00597418"/>
    <w:rsid w:val="0059744B"/>
    <w:rsid w:val="005974EF"/>
    <w:rsid w:val="00597500"/>
    <w:rsid w:val="005975E7"/>
    <w:rsid w:val="00597791"/>
    <w:rsid w:val="005977D7"/>
    <w:rsid w:val="00597848"/>
    <w:rsid w:val="00597A53"/>
    <w:rsid w:val="00597A5E"/>
    <w:rsid w:val="00597A9F"/>
    <w:rsid w:val="00597B08"/>
    <w:rsid w:val="00597BC9"/>
    <w:rsid w:val="00597BE6"/>
    <w:rsid w:val="00597C1C"/>
    <w:rsid w:val="00597CB1"/>
    <w:rsid w:val="00597CC5"/>
    <w:rsid w:val="00597D6E"/>
    <w:rsid w:val="00597DD3"/>
    <w:rsid w:val="00597E49"/>
    <w:rsid w:val="00597EAC"/>
    <w:rsid w:val="00597EEF"/>
    <w:rsid w:val="005A011C"/>
    <w:rsid w:val="005A015D"/>
    <w:rsid w:val="005A016B"/>
    <w:rsid w:val="005A01E8"/>
    <w:rsid w:val="005A01EE"/>
    <w:rsid w:val="005A02A5"/>
    <w:rsid w:val="005A0595"/>
    <w:rsid w:val="005A0685"/>
    <w:rsid w:val="005A0771"/>
    <w:rsid w:val="005A0792"/>
    <w:rsid w:val="005A07C7"/>
    <w:rsid w:val="005A07D4"/>
    <w:rsid w:val="005A09FF"/>
    <w:rsid w:val="005A0A72"/>
    <w:rsid w:val="005A0A9C"/>
    <w:rsid w:val="005A0BAB"/>
    <w:rsid w:val="005A0BD8"/>
    <w:rsid w:val="005A0C29"/>
    <w:rsid w:val="005A0CC1"/>
    <w:rsid w:val="005A0D6A"/>
    <w:rsid w:val="005A0DF3"/>
    <w:rsid w:val="005A1031"/>
    <w:rsid w:val="005A1121"/>
    <w:rsid w:val="005A112B"/>
    <w:rsid w:val="005A117C"/>
    <w:rsid w:val="005A1199"/>
    <w:rsid w:val="005A12B4"/>
    <w:rsid w:val="005A12FC"/>
    <w:rsid w:val="005A1347"/>
    <w:rsid w:val="005A154D"/>
    <w:rsid w:val="005A177D"/>
    <w:rsid w:val="005A18E1"/>
    <w:rsid w:val="005A1923"/>
    <w:rsid w:val="005A19EE"/>
    <w:rsid w:val="005A1A93"/>
    <w:rsid w:val="005A1B03"/>
    <w:rsid w:val="005A1B09"/>
    <w:rsid w:val="005A1C99"/>
    <w:rsid w:val="005A1CAD"/>
    <w:rsid w:val="005A1D55"/>
    <w:rsid w:val="005A1D81"/>
    <w:rsid w:val="005A1F32"/>
    <w:rsid w:val="005A1FAA"/>
    <w:rsid w:val="005A2017"/>
    <w:rsid w:val="005A20C7"/>
    <w:rsid w:val="005A212B"/>
    <w:rsid w:val="005A2236"/>
    <w:rsid w:val="005A2410"/>
    <w:rsid w:val="005A2502"/>
    <w:rsid w:val="005A263F"/>
    <w:rsid w:val="005A27FF"/>
    <w:rsid w:val="005A2A1A"/>
    <w:rsid w:val="005A2A7D"/>
    <w:rsid w:val="005A2AFA"/>
    <w:rsid w:val="005A2B8A"/>
    <w:rsid w:val="005A2BCB"/>
    <w:rsid w:val="005A2C24"/>
    <w:rsid w:val="005A2C29"/>
    <w:rsid w:val="005A2D03"/>
    <w:rsid w:val="005A2F3F"/>
    <w:rsid w:val="005A2F54"/>
    <w:rsid w:val="005A2F63"/>
    <w:rsid w:val="005A303A"/>
    <w:rsid w:val="005A30C7"/>
    <w:rsid w:val="005A314C"/>
    <w:rsid w:val="005A3389"/>
    <w:rsid w:val="005A33A3"/>
    <w:rsid w:val="005A33D9"/>
    <w:rsid w:val="005A33F0"/>
    <w:rsid w:val="005A34EE"/>
    <w:rsid w:val="005A3517"/>
    <w:rsid w:val="005A3577"/>
    <w:rsid w:val="005A3752"/>
    <w:rsid w:val="005A376D"/>
    <w:rsid w:val="005A378D"/>
    <w:rsid w:val="005A3798"/>
    <w:rsid w:val="005A3858"/>
    <w:rsid w:val="005A39E5"/>
    <w:rsid w:val="005A3AED"/>
    <w:rsid w:val="005A3BD2"/>
    <w:rsid w:val="005A3BEE"/>
    <w:rsid w:val="005A3C1E"/>
    <w:rsid w:val="005A3F5B"/>
    <w:rsid w:val="005A3F82"/>
    <w:rsid w:val="005A4010"/>
    <w:rsid w:val="005A4276"/>
    <w:rsid w:val="005A4386"/>
    <w:rsid w:val="005A4412"/>
    <w:rsid w:val="005A4575"/>
    <w:rsid w:val="005A45B8"/>
    <w:rsid w:val="005A47E8"/>
    <w:rsid w:val="005A485B"/>
    <w:rsid w:val="005A4882"/>
    <w:rsid w:val="005A4A4D"/>
    <w:rsid w:val="005A4AA6"/>
    <w:rsid w:val="005A4B81"/>
    <w:rsid w:val="005A4BA1"/>
    <w:rsid w:val="005A4CC3"/>
    <w:rsid w:val="005A4D40"/>
    <w:rsid w:val="005A4D44"/>
    <w:rsid w:val="005A4D7F"/>
    <w:rsid w:val="005A4DC2"/>
    <w:rsid w:val="005A4F08"/>
    <w:rsid w:val="005A4F1B"/>
    <w:rsid w:val="005A501D"/>
    <w:rsid w:val="005A511A"/>
    <w:rsid w:val="005A52DB"/>
    <w:rsid w:val="005A5339"/>
    <w:rsid w:val="005A5375"/>
    <w:rsid w:val="005A5382"/>
    <w:rsid w:val="005A54F6"/>
    <w:rsid w:val="005A5526"/>
    <w:rsid w:val="005A55F9"/>
    <w:rsid w:val="005A5608"/>
    <w:rsid w:val="005A57BF"/>
    <w:rsid w:val="005A5879"/>
    <w:rsid w:val="005A58C2"/>
    <w:rsid w:val="005A5909"/>
    <w:rsid w:val="005A5929"/>
    <w:rsid w:val="005A5A44"/>
    <w:rsid w:val="005A5BB7"/>
    <w:rsid w:val="005A5D19"/>
    <w:rsid w:val="005A5D3E"/>
    <w:rsid w:val="005A5E60"/>
    <w:rsid w:val="005A5ED2"/>
    <w:rsid w:val="005A6049"/>
    <w:rsid w:val="005A61D3"/>
    <w:rsid w:val="005A620C"/>
    <w:rsid w:val="005A624B"/>
    <w:rsid w:val="005A626E"/>
    <w:rsid w:val="005A6356"/>
    <w:rsid w:val="005A644E"/>
    <w:rsid w:val="005A64CD"/>
    <w:rsid w:val="005A664E"/>
    <w:rsid w:val="005A6681"/>
    <w:rsid w:val="005A66D1"/>
    <w:rsid w:val="005A6791"/>
    <w:rsid w:val="005A6798"/>
    <w:rsid w:val="005A6840"/>
    <w:rsid w:val="005A689E"/>
    <w:rsid w:val="005A69BD"/>
    <w:rsid w:val="005A6DC2"/>
    <w:rsid w:val="005A6DDF"/>
    <w:rsid w:val="005A6EBB"/>
    <w:rsid w:val="005A6EE1"/>
    <w:rsid w:val="005A6FF6"/>
    <w:rsid w:val="005A709F"/>
    <w:rsid w:val="005A70BA"/>
    <w:rsid w:val="005A71D1"/>
    <w:rsid w:val="005A7291"/>
    <w:rsid w:val="005A7383"/>
    <w:rsid w:val="005A73A0"/>
    <w:rsid w:val="005A73C2"/>
    <w:rsid w:val="005A749F"/>
    <w:rsid w:val="005A74A7"/>
    <w:rsid w:val="005A74DC"/>
    <w:rsid w:val="005A7592"/>
    <w:rsid w:val="005A75B6"/>
    <w:rsid w:val="005A7686"/>
    <w:rsid w:val="005A7689"/>
    <w:rsid w:val="005A76B5"/>
    <w:rsid w:val="005A76E0"/>
    <w:rsid w:val="005A7733"/>
    <w:rsid w:val="005A77F3"/>
    <w:rsid w:val="005A7801"/>
    <w:rsid w:val="005A783B"/>
    <w:rsid w:val="005A7874"/>
    <w:rsid w:val="005A79F6"/>
    <w:rsid w:val="005A7A70"/>
    <w:rsid w:val="005A7CC0"/>
    <w:rsid w:val="005A7CE6"/>
    <w:rsid w:val="005A7CFF"/>
    <w:rsid w:val="005A7D83"/>
    <w:rsid w:val="005A7DFE"/>
    <w:rsid w:val="005A7E74"/>
    <w:rsid w:val="005A7ED4"/>
    <w:rsid w:val="005A7EE9"/>
    <w:rsid w:val="005A7FFC"/>
    <w:rsid w:val="005B003C"/>
    <w:rsid w:val="005B0086"/>
    <w:rsid w:val="005B009A"/>
    <w:rsid w:val="005B02FA"/>
    <w:rsid w:val="005B0342"/>
    <w:rsid w:val="005B04DC"/>
    <w:rsid w:val="005B0573"/>
    <w:rsid w:val="005B0649"/>
    <w:rsid w:val="005B099A"/>
    <w:rsid w:val="005B0BDB"/>
    <w:rsid w:val="005B0C00"/>
    <w:rsid w:val="005B0C2A"/>
    <w:rsid w:val="005B0CB7"/>
    <w:rsid w:val="005B0CE3"/>
    <w:rsid w:val="005B0CEF"/>
    <w:rsid w:val="005B0E8B"/>
    <w:rsid w:val="005B1070"/>
    <w:rsid w:val="005B10AC"/>
    <w:rsid w:val="005B12F1"/>
    <w:rsid w:val="005B146D"/>
    <w:rsid w:val="005B1489"/>
    <w:rsid w:val="005B14E7"/>
    <w:rsid w:val="005B1511"/>
    <w:rsid w:val="005B157B"/>
    <w:rsid w:val="005B166C"/>
    <w:rsid w:val="005B1962"/>
    <w:rsid w:val="005B1979"/>
    <w:rsid w:val="005B19B1"/>
    <w:rsid w:val="005B1A2D"/>
    <w:rsid w:val="005B1A2E"/>
    <w:rsid w:val="005B1ACE"/>
    <w:rsid w:val="005B1AF0"/>
    <w:rsid w:val="005B1B32"/>
    <w:rsid w:val="005B1B4E"/>
    <w:rsid w:val="005B1C70"/>
    <w:rsid w:val="005B1ECD"/>
    <w:rsid w:val="005B200D"/>
    <w:rsid w:val="005B20FE"/>
    <w:rsid w:val="005B2119"/>
    <w:rsid w:val="005B2150"/>
    <w:rsid w:val="005B23E5"/>
    <w:rsid w:val="005B25F2"/>
    <w:rsid w:val="005B2606"/>
    <w:rsid w:val="005B269D"/>
    <w:rsid w:val="005B2755"/>
    <w:rsid w:val="005B282E"/>
    <w:rsid w:val="005B286B"/>
    <w:rsid w:val="005B2904"/>
    <w:rsid w:val="005B29D6"/>
    <w:rsid w:val="005B29DB"/>
    <w:rsid w:val="005B29E1"/>
    <w:rsid w:val="005B2B9F"/>
    <w:rsid w:val="005B2BF2"/>
    <w:rsid w:val="005B2BFD"/>
    <w:rsid w:val="005B2CA4"/>
    <w:rsid w:val="005B2D0E"/>
    <w:rsid w:val="005B2D16"/>
    <w:rsid w:val="005B2D1A"/>
    <w:rsid w:val="005B2DE4"/>
    <w:rsid w:val="005B2E91"/>
    <w:rsid w:val="005B30B7"/>
    <w:rsid w:val="005B3100"/>
    <w:rsid w:val="005B3181"/>
    <w:rsid w:val="005B3204"/>
    <w:rsid w:val="005B32F6"/>
    <w:rsid w:val="005B33E8"/>
    <w:rsid w:val="005B33FD"/>
    <w:rsid w:val="005B3454"/>
    <w:rsid w:val="005B3496"/>
    <w:rsid w:val="005B3519"/>
    <w:rsid w:val="005B35C2"/>
    <w:rsid w:val="005B3609"/>
    <w:rsid w:val="005B36FB"/>
    <w:rsid w:val="005B38BE"/>
    <w:rsid w:val="005B3914"/>
    <w:rsid w:val="005B398B"/>
    <w:rsid w:val="005B3A13"/>
    <w:rsid w:val="005B3A24"/>
    <w:rsid w:val="005B3A6E"/>
    <w:rsid w:val="005B3A8F"/>
    <w:rsid w:val="005B3D90"/>
    <w:rsid w:val="005B3D9B"/>
    <w:rsid w:val="005B3DE6"/>
    <w:rsid w:val="005B3E52"/>
    <w:rsid w:val="005B3E6E"/>
    <w:rsid w:val="005B3EE0"/>
    <w:rsid w:val="005B3FAD"/>
    <w:rsid w:val="005B3FD5"/>
    <w:rsid w:val="005B402C"/>
    <w:rsid w:val="005B40D0"/>
    <w:rsid w:val="005B41ED"/>
    <w:rsid w:val="005B426F"/>
    <w:rsid w:val="005B433A"/>
    <w:rsid w:val="005B43A2"/>
    <w:rsid w:val="005B44C3"/>
    <w:rsid w:val="005B453B"/>
    <w:rsid w:val="005B4647"/>
    <w:rsid w:val="005B46E9"/>
    <w:rsid w:val="005B4797"/>
    <w:rsid w:val="005B486E"/>
    <w:rsid w:val="005B4A0B"/>
    <w:rsid w:val="005B4A20"/>
    <w:rsid w:val="005B4AA7"/>
    <w:rsid w:val="005B4BE9"/>
    <w:rsid w:val="005B4C2A"/>
    <w:rsid w:val="005B4C2E"/>
    <w:rsid w:val="005B4D85"/>
    <w:rsid w:val="005B4E45"/>
    <w:rsid w:val="005B4F22"/>
    <w:rsid w:val="005B4F42"/>
    <w:rsid w:val="005B50B3"/>
    <w:rsid w:val="005B51C4"/>
    <w:rsid w:val="005B5221"/>
    <w:rsid w:val="005B527D"/>
    <w:rsid w:val="005B52EC"/>
    <w:rsid w:val="005B5337"/>
    <w:rsid w:val="005B5413"/>
    <w:rsid w:val="005B56E2"/>
    <w:rsid w:val="005B5843"/>
    <w:rsid w:val="005B58EC"/>
    <w:rsid w:val="005B5B02"/>
    <w:rsid w:val="005B5B44"/>
    <w:rsid w:val="005B5B66"/>
    <w:rsid w:val="005B5BC0"/>
    <w:rsid w:val="005B5D23"/>
    <w:rsid w:val="005B5D3B"/>
    <w:rsid w:val="005B5DB3"/>
    <w:rsid w:val="005B5EAA"/>
    <w:rsid w:val="005B60DB"/>
    <w:rsid w:val="005B6169"/>
    <w:rsid w:val="005B6317"/>
    <w:rsid w:val="005B6377"/>
    <w:rsid w:val="005B63AC"/>
    <w:rsid w:val="005B63E0"/>
    <w:rsid w:val="005B664C"/>
    <w:rsid w:val="005B66B2"/>
    <w:rsid w:val="005B67B5"/>
    <w:rsid w:val="005B6806"/>
    <w:rsid w:val="005B6880"/>
    <w:rsid w:val="005B6A98"/>
    <w:rsid w:val="005B6B09"/>
    <w:rsid w:val="005B6B95"/>
    <w:rsid w:val="005B6C79"/>
    <w:rsid w:val="005B6D88"/>
    <w:rsid w:val="005B6FBD"/>
    <w:rsid w:val="005B7038"/>
    <w:rsid w:val="005B70CE"/>
    <w:rsid w:val="005B7130"/>
    <w:rsid w:val="005B72F0"/>
    <w:rsid w:val="005B73BE"/>
    <w:rsid w:val="005B73C0"/>
    <w:rsid w:val="005B79FB"/>
    <w:rsid w:val="005B7A16"/>
    <w:rsid w:val="005B7AD4"/>
    <w:rsid w:val="005B7B41"/>
    <w:rsid w:val="005B7B9B"/>
    <w:rsid w:val="005B7BC6"/>
    <w:rsid w:val="005B7DE3"/>
    <w:rsid w:val="005B7F9A"/>
    <w:rsid w:val="005B7FF1"/>
    <w:rsid w:val="005C0026"/>
    <w:rsid w:val="005C0098"/>
    <w:rsid w:val="005C027C"/>
    <w:rsid w:val="005C02AA"/>
    <w:rsid w:val="005C0362"/>
    <w:rsid w:val="005C03C9"/>
    <w:rsid w:val="005C044E"/>
    <w:rsid w:val="005C0473"/>
    <w:rsid w:val="005C04B4"/>
    <w:rsid w:val="005C050B"/>
    <w:rsid w:val="005C055B"/>
    <w:rsid w:val="005C06AB"/>
    <w:rsid w:val="005C089C"/>
    <w:rsid w:val="005C0966"/>
    <w:rsid w:val="005C0978"/>
    <w:rsid w:val="005C09C9"/>
    <w:rsid w:val="005C0AEE"/>
    <w:rsid w:val="005C0AF5"/>
    <w:rsid w:val="005C0C24"/>
    <w:rsid w:val="005C0C8E"/>
    <w:rsid w:val="005C0D29"/>
    <w:rsid w:val="005C0D3F"/>
    <w:rsid w:val="005C0D88"/>
    <w:rsid w:val="005C0D93"/>
    <w:rsid w:val="005C102F"/>
    <w:rsid w:val="005C1098"/>
    <w:rsid w:val="005C136E"/>
    <w:rsid w:val="005C1372"/>
    <w:rsid w:val="005C1525"/>
    <w:rsid w:val="005C160E"/>
    <w:rsid w:val="005C1821"/>
    <w:rsid w:val="005C1825"/>
    <w:rsid w:val="005C1844"/>
    <w:rsid w:val="005C18AE"/>
    <w:rsid w:val="005C18E0"/>
    <w:rsid w:val="005C197D"/>
    <w:rsid w:val="005C1B2C"/>
    <w:rsid w:val="005C1B44"/>
    <w:rsid w:val="005C1B8C"/>
    <w:rsid w:val="005C1CD3"/>
    <w:rsid w:val="005C1CFD"/>
    <w:rsid w:val="005C1E7D"/>
    <w:rsid w:val="005C1EAF"/>
    <w:rsid w:val="005C1EC5"/>
    <w:rsid w:val="005C1F2A"/>
    <w:rsid w:val="005C1F53"/>
    <w:rsid w:val="005C20B9"/>
    <w:rsid w:val="005C222E"/>
    <w:rsid w:val="005C22B4"/>
    <w:rsid w:val="005C23FC"/>
    <w:rsid w:val="005C247C"/>
    <w:rsid w:val="005C247D"/>
    <w:rsid w:val="005C2504"/>
    <w:rsid w:val="005C25FA"/>
    <w:rsid w:val="005C268B"/>
    <w:rsid w:val="005C26DA"/>
    <w:rsid w:val="005C274E"/>
    <w:rsid w:val="005C275A"/>
    <w:rsid w:val="005C2966"/>
    <w:rsid w:val="005C29DC"/>
    <w:rsid w:val="005C2B04"/>
    <w:rsid w:val="005C2BA8"/>
    <w:rsid w:val="005C2F4E"/>
    <w:rsid w:val="005C3119"/>
    <w:rsid w:val="005C313F"/>
    <w:rsid w:val="005C314E"/>
    <w:rsid w:val="005C3166"/>
    <w:rsid w:val="005C3170"/>
    <w:rsid w:val="005C3172"/>
    <w:rsid w:val="005C31FB"/>
    <w:rsid w:val="005C32D6"/>
    <w:rsid w:val="005C32EA"/>
    <w:rsid w:val="005C3328"/>
    <w:rsid w:val="005C3435"/>
    <w:rsid w:val="005C3567"/>
    <w:rsid w:val="005C35C1"/>
    <w:rsid w:val="005C367B"/>
    <w:rsid w:val="005C370C"/>
    <w:rsid w:val="005C381B"/>
    <w:rsid w:val="005C392F"/>
    <w:rsid w:val="005C3970"/>
    <w:rsid w:val="005C3992"/>
    <w:rsid w:val="005C3A5D"/>
    <w:rsid w:val="005C3B3B"/>
    <w:rsid w:val="005C3E9C"/>
    <w:rsid w:val="005C3EC5"/>
    <w:rsid w:val="005C417D"/>
    <w:rsid w:val="005C41B6"/>
    <w:rsid w:val="005C41B8"/>
    <w:rsid w:val="005C4260"/>
    <w:rsid w:val="005C44F5"/>
    <w:rsid w:val="005C46C0"/>
    <w:rsid w:val="005C4725"/>
    <w:rsid w:val="005C4730"/>
    <w:rsid w:val="005C47E4"/>
    <w:rsid w:val="005C4896"/>
    <w:rsid w:val="005C494B"/>
    <w:rsid w:val="005C495D"/>
    <w:rsid w:val="005C497A"/>
    <w:rsid w:val="005C4B13"/>
    <w:rsid w:val="005C4B1E"/>
    <w:rsid w:val="005C4B8B"/>
    <w:rsid w:val="005C4BE5"/>
    <w:rsid w:val="005C4CE9"/>
    <w:rsid w:val="005C4DE9"/>
    <w:rsid w:val="005C4EE8"/>
    <w:rsid w:val="005C5047"/>
    <w:rsid w:val="005C50B1"/>
    <w:rsid w:val="005C51B4"/>
    <w:rsid w:val="005C5344"/>
    <w:rsid w:val="005C5359"/>
    <w:rsid w:val="005C543A"/>
    <w:rsid w:val="005C547D"/>
    <w:rsid w:val="005C5482"/>
    <w:rsid w:val="005C5489"/>
    <w:rsid w:val="005C5530"/>
    <w:rsid w:val="005C557F"/>
    <w:rsid w:val="005C55DE"/>
    <w:rsid w:val="005C56BB"/>
    <w:rsid w:val="005C5754"/>
    <w:rsid w:val="005C57B2"/>
    <w:rsid w:val="005C57DC"/>
    <w:rsid w:val="005C5816"/>
    <w:rsid w:val="005C58EB"/>
    <w:rsid w:val="005C5B63"/>
    <w:rsid w:val="005C5CB0"/>
    <w:rsid w:val="005C5CFB"/>
    <w:rsid w:val="005C5D2F"/>
    <w:rsid w:val="005C5DB4"/>
    <w:rsid w:val="005C5E82"/>
    <w:rsid w:val="005C61D0"/>
    <w:rsid w:val="005C623E"/>
    <w:rsid w:val="005C6245"/>
    <w:rsid w:val="005C62A3"/>
    <w:rsid w:val="005C62F7"/>
    <w:rsid w:val="005C6375"/>
    <w:rsid w:val="005C654C"/>
    <w:rsid w:val="005C6592"/>
    <w:rsid w:val="005C67CA"/>
    <w:rsid w:val="005C6826"/>
    <w:rsid w:val="005C68A0"/>
    <w:rsid w:val="005C68E2"/>
    <w:rsid w:val="005C69DC"/>
    <w:rsid w:val="005C6C05"/>
    <w:rsid w:val="005C6E31"/>
    <w:rsid w:val="005C6E59"/>
    <w:rsid w:val="005C6E9C"/>
    <w:rsid w:val="005C6EE9"/>
    <w:rsid w:val="005C6F33"/>
    <w:rsid w:val="005C6F3F"/>
    <w:rsid w:val="005C6F86"/>
    <w:rsid w:val="005C71D0"/>
    <w:rsid w:val="005C71E6"/>
    <w:rsid w:val="005C722D"/>
    <w:rsid w:val="005C72E6"/>
    <w:rsid w:val="005C7356"/>
    <w:rsid w:val="005C7400"/>
    <w:rsid w:val="005C7457"/>
    <w:rsid w:val="005C74C3"/>
    <w:rsid w:val="005C74CB"/>
    <w:rsid w:val="005C74DC"/>
    <w:rsid w:val="005C75D0"/>
    <w:rsid w:val="005C7667"/>
    <w:rsid w:val="005C77DC"/>
    <w:rsid w:val="005C786A"/>
    <w:rsid w:val="005C78EA"/>
    <w:rsid w:val="005C78FE"/>
    <w:rsid w:val="005C792E"/>
    <w:rsid w:val="005C7955"/>
    <w:rsid w:val="005C79FE"/>
    <w:rsid w:val="005C7A1C"/>
    <w:rsid w:val="005C7A28"/>
    <w:rsid w:val="005C7AB9"/>
    <w:rsid w:val="005C7B06"/>
    <w:rsid w:val="005C7B13"/>
    <w:rsid w:val="005C7B9A"/>
    <w:rsid w:val="005C7D71"/>
    <w:rsid w:val="005C7DE2"/>
    <w:rsid w:val="005C7EB7"/>
    <w:rsid w:val="005C7FD0"/>
    <w:rsid w:val="005D0058"/>
    <w:rsid w:val="005D0098"/>
    <w:rsid w:val="005D0173"/>
    <w:rsid w:val="005D01D4"/>
    <w:rsid w:val="005D01DB"/>
    <w:rsid w:val="005D031D"/>
    <w:rsid w:val="005D03A8"/>
    <w:rsid w:val="005D03F0"/>
    <w:rsid w:val="005D042F"/>
    <w:rsid w:val="005D0469"/>
    <w:rsid w:val="005D04A8"/>
    <w:rsid w:val="005D055C"/>
    <w:rsid w:val="005D05C0"/>
    <w:rsid w:val="005D07D1"/>
    <w:rsid w:val="005D088F"/>
    <w:rsid w:val="005D094C"/>
    <w:rsid w:val="005D0AAE"/>
    <w:rsid w:val="005D0B59"/>
    <w:rsid w:val="005D0DBF"/>
    <w:rsid w:val="005D0DC3"/>
    <w:rsid w:val="005D0E39"/>
    <w:rsid w:val="005D0EB5"/>
    <w:rsid w:val="005D0ECA"/>
    <w:rsid w:val="005D0EDB"/>
    <w:rsid w:val="005D1041"/>
    <w:rsid w:val="005D1075"/>
    <w:rsid w:val="005D11F0"/>
    <w:rsid w:val="005D1214"/>
    <w:rsid w:val="005D12B6"/>
    <w:rsid w:val="005D12F3"/>
    <w:rsid w:val="005D133D"/>
    <w:rsid w:val="005D13BF"/>
    <w:rsid w:val="005D1421"/>
    <w:rsid w:val="005D1475"/>
    <w:rsid w:val="005D14DC"/>
    <w:rsid w:val="005D162C"/>
    <w:rsid w:val="005D16DA"/>
    <w:rsid w:val="005D174D"/>
    <w:rsid w:val="005D174F"/>
    <w:rsid w:val="005D175C"/>
    <w:rsid w:val="005D19A9"/>
    <w:rsid w:val="005D19B4"/>
    <w:rsid w:val="005D1B2D"/>
    <w:rsid w:val="005D1D80"/>
    <w:rsid w:val="005D1F7E"/>
    <w:rsid w:val="005D1FC3"/>
    <w:rsid w:val="005D2038"/>
    <w:rsid w:val="005D207D"/>
    <w:rsid w:val="005D20E7"/>
    <w:rsid w:val="005D2147"/>
    <w:rsid w:val="005D21AA"/>
    <w:rsid w:val="005D24AD"/>
    <w:rsid w:val="005D2563"/>
    <w:rsid w:val="005D25ED"/>
    <w:rsid w:val="005D2694"/>
    <w:rsid w:val="005D274B"/>
    <w:rsid w:val="005D285A"/>
    <w:rsid w:val="005D296F"/>
    <w:rsid w:val="005D2A65"/>
    <w:rsid w:val="005D2AA8"/>
    <w:rsid w:val="005D2BC8"/>
    <w:rsid w:val="005D2C32"/>
    <w:rsid w:val="005D2DC1"/>
    <w:rsid w:val="005D2E10"/>
    <w:rsid w:val="005D314F"/>
    <w:rsid w:val="005D3602"/>
    <w:rsid w:val="005D3645"/>
    <w:rsid w:val="005D36E1"/>
    <w:rsid w:val="005D372D"/>
    <w:rsid w:val="005D385E"/>
    <w:rsid w:val="005D3871"/>
    <w:rsid w:val="005D3AEB"/>
    <w:rsid w:val="005D3BC7"/>
    <w:rsid w:val="005D3D55"/>
    <w:rsid w:val="005D3E16"/>
    <w:rsid w:val="005D3E36"/>
    <w:rsid w:val="005D3EF9"/>
    <w:rsid w:val="005D3F2B"/>
    <w:rsid w:val="005D3F59"/>
    <w:rsid w:val="005D3FA2"/>
    <w:rsid w:val="005D3FC0"/>
    <w:rsid w:val="005D409B"/>
    <w:rsid w:val="005D40A8"/>
    <w:rsid w:val="005D40DD"/>
    <w:rsid w:val="005D416B"/>
    <w:rsid w:val="005D41FA"/>
    <w:rsid w:val="005D42F2"/>
    <w:rsid w:val="005D4300"/>
    <w:rsid w:val="005D43B8"/>
    <w:rsid w:val="005D4499"/>
    <w:rsid w:val="005D44A4"/>
    <w:rsid w:val="005D4522"/>
    <w:rsid w:val="005D4613"/>
    <w:rsid w:val="005D47A6"/>
    <w:rsid w:val="005D4842"/>
    <w:rsid w:val="005D4911"/>
    <w:rsid w:val="005D4C91"/>
    <w:rsid w:val="005D4EBD"/>
    <w:rsid w:val="005D52CD"/>
    <w:rsid w:val="005D5433"/>
    <w:rsid w:val="005D54CD"/>
    <w:rsid w:val="005D54E8"/>
    <w:rsid w:val="005D5748"/>
    <w:rsid w:val="005D594F"/>
    <w:rsid w:val="005D5954"/>
    <w:rsid w:val="005D5964"/>
    <w:rsid w:val="005D596D"/>
    <w:rsid w:val="005D5AA2"/>
    <w:rsid w:val="005D5BD9"/>
    <w:rsid w:val="005D5C2B"/>
    <w:rsid w:val="005D5CFF"/>
    <w:rsid w:val="005D5D27"/>
    <w:rsid w:val="005D5D8F"/>
    <w:rsid w:val="005D5F12"/>
    <w:rsid w:val="005D5F7A"/>
    <w:rsid w:val="005D6004"/>
    <w:rsid w:val="005D6063"/>
    <w:rsid w:val="005D6081"/>
    <w:rsid w:val="005D6122"/>
    <w:rsid w:val="005D623D"/>
    <w:rsid w:val="005D6379"/>
    <w:rsid w:val="005D63C0"/>
    <w:rsid w:val="005D644E"/>
    <w:rsid w:val="005D653B"/>
    <w:rsid w:val="005D65A5"/>
    <w:rsid w:val="005D661C"/>
    <w:rsid w:val="005D679C"/>
    <w:rsid w:val="005D67D5"/>
    <w:rsid w:val="005D6A3A"/>
    <w:rsid w:val="005D6AA7"/>
    <w:rsid w:val="005D6B0B"/>
    <w:rsid w:val="005D6C6A"/>
    <w:rsid w:val="005D6CF5"/>
    <w:rsid w:val="005D6D06"/>
    <w:rsid w:val="005D6D23"/>
    <w:rsid w:val="005D6DD1"/>
    <w:rsid w:val="005D6EEC"/>
    <w:rsid w:val="005D710C"/>
    <w:rsid w:val="005D7122"/>
    <w:rsid w:val="005D7180"/>
    <w:rsid w:val="005D72DE"/>
    <w:rsid w:val="005D72F6"/>
    <w:rsid w:val="005D73B9"/>
    <w:rsid w:val="005D7471"/>
    <w:rsid w:val="005D7479"/>
    <w:rsid w:val="005D74CC"/>
    <w:rsid w:val="005D755A"/>
    <w:rsid w:val="005D7576"/>
    <w:rsid w:val="005D7626"/>
    <w:rsid w:val="005D76D0"/>
    <w:rsid w:val="005D7747"/>
    <w:rsid w:val="005D7823"/>
    <w:rsid w:val="005D7943"/>
    <w:rsid w:val="005D797C"/>
    <w:rsid w:val="005D7A8E"/>
    <w:rsid w:val="005D7ABC"/>
    <w:rsid w:val="005D7B8D"/>
    <w:rsid w:val="005D7BD8"/>
    <w:rsid w:val="005D7CCF"/>
    <w:rsid w:val="005D7D4A"/>
    <w:rsid w:val="005D7D58"/>
    <w:rsid w:val="005D7DF0"/>
    <w:rsid w:val="005D7F14"/>
    <w:rsid w:val="005D7F16"/>
    <w:rsid w:val="005DEAB5"/>
    <w:rsid w:val="005E0162"/>
    <w:rsid w:val="005E01EC"/>
    <w:rsid w:val="005E033D"/>
    <w:rsid w:val="005E0351"/>
    <w:rsid w:val="005E0377"/>
    <w:rsid w:val="005E039D"/>
    <w:rsid w:val="005E04B3"/>
    <w:rsid w:val="005E059B"/>
    <w:rsid w:val="005E0631"/>
    <w:rsid w:val="005E06C4"/>
    <w:rsid w:val="005E08AE"/>
    <w:rsid w:val="005E08ED"/>
    <w:rsid w:val="005E08F0"/>
    <w:rsid w:val="005E093B"/>
    <w:rsid w:val="005E0951"/>
    <w:rsid w:val="005E0ADC"/>
    <w:rsid w:val="005E0AF1"/>
    <w:rsid w:val="005E0B68"/>
    <w:rsid w:val="005E0C3D"/>
    <w:rsid w:val="005E0C42"/>
    <w:rsid w:val="005E0D0A"/>
    <w:rsid w:val="005E0DBD"/>
    <w:rsid w:val="005E0DC6"/>
    <w:rsid w:val="005E0DEB"/>
    <w:rsid w:val="005E0EAC"/>
    <w:rsid w:val="005E0F08"/>
    <w:rsid w:val="005E0F39"/>
    <w:rsid w:val="005E0F52"/>
    <w:rsid w:val="005E0F77"/>
    <w:rsid w:val="005E101F"/>
    <w:rsid w:val="005E108D"/>
    <w:rsid w:val="005E13C5"/>
    <w:rsid w:val="005E1498"/>
    <w:rsid w:val="005E14F4"/>
    <w:rsid w:val="005E1534"/>
    <w:rsid w:val="005E15B9"/>
    <w:rsid w:val="005E1633"/>
    <w:rsid w:val="005E1774"/>
    <w:rsid w:val="005E186C"/>
    <w:rsid w:val="005E1B1E"/>
    <w:rsid w:val="005E1B7E"/>
    <w:rsid w:val="005E1D08"/>
    <w:rsid w:val="005E1E8C"/>
    <w:rsid w:val="005E1F3C"/>
    <w:rsid w:val="005E1F3E"/>
    <w:rsid w:val="005E1F4B"/>
    <w:rsid w:val="005E1F4D"/>
    <w:rsid w:val="005E1F61"/>
    <w:rsid w:val="005E1F99"/>
    <w:rsid w:val="005E2233"/>
    <w:rsid w:val="005E223F"/>
    <w:rsid w:val="005E22AE"/>
    <w:rsid w:val="005E237D"/>
    <w:rsid w:val="005E23DA"/>
    <w:rsid w:val="005E23F5"/>
    <w:rsid w:val="005E2473"/>
    <w:rsid w:val="005E2528"/>
    <w:rsid w:val="005E2546"/>
    <w:rsid w:val="005E282D"/>
    <w:rsid w:val="005E2936"/>
    <w:rsid w:val="005E29C3"/>
    <w:rsid w:val="005E2E1E"/>
    <w:rsid w:val="005E2F52"/>
    <w:rsid w:val="005E3018"/>
    <w:rsid w:val="005E30A7"/>
    <w:rsid w:val="005E3154"/>
    <w:rsid w:val="005E333F"/>
    <w:rsid w:val="005E33E4"/>
    <w:rsid w:val="005E33E8"/>
    <w:rsid w:val="005E3500"/>
    <w:rsid w:val="005E3595"/>
    <w:rsid w:val="005E3638"/>
    <w:rsid w:val="005E369A"/>
    <w:rsid w:val="005E373F"/>
    <w:rsid w:val="005E39B9"/>
    <w:rsid w:val="005E39BA"/>
    <w:rsid w:val="005E39C5"/>
    <w:rsid w:val="005E3BF0"/>
    <w:rsid w:val="005E3E86"/>
    <w:rsid w:val="005E3F07"/>
    <w:rsid w:val="005E3F13"/>
    <w:rsid w:val="005E3F62"/>
    <w:rsid w:val="005E3FC6"/>
    <w:rsid w:val="005E40D1"/>
    <w:rsid w:val="005E4140"/>
    <w:rsid w:val="005E42DB"/>
    <w:rsid w:val="005E4300"/>
    <w:rsid w:val="005E43DD"/>
    <w:rsid w:val="005E43F2"/>
    <w:rsid w:val="005E4454"/>
    <w:rsid w:val="005E44C2"/>
    <w:rsid w:val="005E4743"/>
    <w:rsid w:val="005E482F"/>
    <w:rsid w:val="005E4886"/>
    <w:rsid w:val="005E4902"/>
    <w:rsid w:val="005E49B8"/>
    <w:rsid w:val="005E4A6D"/>
    <w:rsid w:val="005E4A9C"/>
    <w:rsid w:val="005E4AD1"/>
    <w:rsid w:val="005E4BB7"/>
    <w:rsid w:val="005E4BE3"/>
    <w:rsid w:val="005E4C15"/>
    <w:rsid w:val="005E4FA2"/>
    <w:rsid w:val="005E4FDA"/>
    <w:rsid w:val="005E4FE2"/>
    <w:rsid w:val="005E5278"/>
    <w:rsid w:val="005E539C"/>
    <w:rsid w:val="005E5473"/>
    <w:rsid w:val="005E5552"/>
    <w:rsid w:val="005E574E"/>
    <w:rsid w:val="005E5814"/>
    <w:rsid w:val="005E5885"/>
    <w:rsid w:val="005E59A7"/>
    <w:rsid w:val="005E5BFA"/>
    <w:rsid w:val="005E5BFE"/>
    <w:rsid w:val="005E5C4B"/>
    <w:rsid w:val="005E5D59"/>
    <w:rsid w:val="005E5DF6"/>
    <w:rsid w:val="005E5E74"/>
    <w:rsid w:val="005E5F0B"/>
    <w:rsid w:val="005E5FB2"/>
    <w:rsid w:val="005E6175"/>
    <w:rsid w:val="005E61A9"/>
    <w:rsid w:val="005E6234"/>
    <w:rsid w:val="005E628B"/>
    <w:rsid w:val="005E6312"/>
    <w:rsid w:val="005E6317"/>
    <w:rsid w:val="005E655D"/>
    <w:rsid w:val="005E656B"/>
    <w:rsid w:val="005E66C1"/>
    <w:rsid w:val="005E67D6"/>
    <w:rsid w:val="005E694D"/>
    <w:rsid w:val="005E697D"/>
    <w:rsid w:val="005E6A2B"/>
    <w:rsid w:val="005E6ACA"/>
    <w:rsid w:val="005E6B59"/>
    <w:rsid w:val="005E6B7E"/>
    <w:rsid w:val="005E6BB4"/>
    <w:rsid w:val="005E6C35"/>
    <w:rsid w:val="005E6CD1"/>
    <w:rsid w:val="005E6E12"/>
    <w:rsid w:val="005E6ECA"/>
    <w:rsid w:val="005E7299"/>
    <w:rsid w:val="005E72FA"/>
    <w:rsid w:val="005E7403"/>
    <w:rsid w:val="005E746F"/>
    <w:rsid w:val="005E74C9"/>
    <w:rsid w:val="005E7504"/>
    <w:rsid w:val="005E78BE"/>
    <w:rsid w:val="005E78CA"/>
    <w:rsid w:val="005E7A4A"/>
    <w:rsid w:val="005E7A85"/>
    <w:rsid w:val="005E7D68"/>
    <w:rsid w:val="005E7D75"/>
    <w:rsid w:val="005E7D96"/>
    <w:rsid w:val="005E7F18"/>
    <w:rsid w:val="005F0080"/>
    <w:rsid w:val="005F0159"/>
    <w:rsid w:val="005F0288"/>
    <w:rsid w:val="005F03E6"/>
    <w:rsid w:val="005F056B"/>
    <w:rsid w:val="005F058A"/>
    <w:rsid w:val="005F061C"/>
    <w:rsid w:val="005F0726"/>
    <w:rsid w:val="005F07E1"/>
    <w:rsid w:val="005F0811"/>
    <w:rsid w:val="005F0846"/>
    <w:rsid w:val="005F0860"/>
    <w:rsid w:val="005F08F0"/>
    <w:rsid w:val="005F09D3"/>
    <w:rsid w:val="005F0A1D"/>
    <w:rsid w:val="005F0A75"/>
    <w:rsid w:val="005F0B86"/>
    <w:rsid w:val="005F0C78"/>
    <w:rsid w:val="005F0F64"/>
    <w:rsid w:val="005F0F93"/>
    <w:rsid w:val="005F0FB7"/>
    <w:rsid w:val="005F103E"/>
    <w:rsid w:val="005F1126"/>
    <w:rsid w:val="005F1166"/>
    <w:rsid w:val="005F11D0"/>
    <w:rsid w:val="005F11E8"/>
    <w:rsid w:val="005F1271"/>
    <w:rsid w:val="005F1274"/>
    <w:rsid w:val="005F12E7"/>
    <w:rsid w:val="005F1474"/>
    <w:rsid w:val="005F14D5"/>
    <w:rsid w:val="005F157B"/>
    <w:rsid w:val="005F158C"/>
    <w:rsid w:val="005F1633"/>
    <w:rsid w:val="005F18F2"/>
    <w:rsid w:val="005F1989"/>
    <w:rsid w:val="005F19FE"/>
    <w:rsid w:val="005F1A0B"/>
    <w:rsid w:val="005F1B4E"/>
    <w:rsid w:val="005F1E7D"/>
    <w:rsid w:val="005F1F9B"/>
    <w:rsid w:val="005F2015"/>
    <w:rsid w:val="005F2111"/>
    <w:rsid w:val="005F217C"/>
    <w:rsid w:val="005F223D"/>
    <w:rsid w:val="005F229B"/>
    <w:rsid w:val="005F2327"/>
    <w:rsid w:val="005F2377"/>
    <w:rsid w:val="005F243D"/>
    <w:rsid w:val="005F2494"/>
    <w:rsid w:val="005F2543"/>
    <w:rsid w:val="005F25D4"/>
    <w:rsid w:val="005F2814"/>
    <w:rsid w:val="005F2839"/>
    <w:rsid w:val="005F2A6D"/>
    <w:rsid w:val="005F2E05"/>
    <w:rsid w:val="005F2EF0"/>
    <w:rsid w:val="005F3145"/>
    <w:rsid w:val="005F3320"/>
    <w:rsid w:val="005F339B"/>
    <w:rsid w:val="005F34CC"/>
    <w:rsid w:val="005F35D2"/>
    <w:rsid w:val="005F35DA"/>
    <w:rsid w:val="005F3633"/>
    <w:rsid w:val="005F368C"/>
    <w:rsid w:val="005F3804"/>
    <w:rsid w:val="005F38E4"/>
    <w:rsid w:val="005F3916"/>
    <w:rsid w:val="005F3B56"/>
    <w:rsid w:val="005F3B66"/>
    <w:rsid w:val="005F3CDA"/>
    <w:rsid w:val="005F3E6B"/>
    <w:rsid w:val="005F3E96"/>
    <w:rsid w:val="005F3F5C"/>
    <w:rsid w:val="005F4155"/>
    <w:rsid w:val="005F41A9"/>
    <w:rsid w:val="005F4336"/>
    <w:rsid w:val="005F43E3"/>
    <w:rsid w:val="005F44F7"/>
    <w:rsid w:val="005F4535"/>
    <w:rsid w:val="005F4735"/>
    <w:rsid w:val="005F47D4"/>
    <w:rsid w:val="005F487C"/>
    <w:rsid w:val="005F491D"/>
    <w:rsid w:val="005F496F"/>
    <w:rsid w:val="005F4A6C"/>
    <w:rsid w:val="005F4B69"/>
    <w:rsid w:val="005F4C55"/>
    <w:rsid w:val="005F4D83"/>
    <w:rsid w:val="005F4E44"/>
    <w:rsid w:val="005F4EC3"/>
    <w:rsid w:val="005F4F6C"/>
    <w:rsid w:val="005F500E"/>
    <w:rsid w:val="005F5063"/>
    <w:rsid w:val="005F50F1"/>
    <w:rsid w:val="005F5178"/>
    <w:rsid w:val="005F518D"/>
    <w:rsid w:val="005F51DC"/>
    <w:rsid w:val="005F5237"/>
    <w:rsid w:val="005F52AC"/>
    <w:rsid w:val="005F531C"/>
    <w:rsid w:val="005F53EC"/>
    <w:rsid w:val="005F53F0"/>
    <w:rsid w:val="005F5555"/>
    <w:rsid w:val="005F55B0"/>
    <w:rsid w:val="005F575C"/>
    <w:rsid w:val="005F5889"/>
    <w:rsid w:val="005F5ABA"/>
    <w:rsid w:val="005F5BD8"/>
    <w:rsid w:val="005F5BFC"/>
    <w:rsid w:val="005F5CCE"/>
    <w:rsid w:val="005F5E17"/>
    <w:rsid w:val="005F5E62"/>
    <w:rsid w:val="005F5EFE"/>
    <w:rsid w:val="005F607E"/>
    <w:rsid w:val="005F6177"/>
    <w:rsid w:val="005F617D"/>
    <w:rsid w:val="005F61A8"/>
    <w:rsid w:val="005F6276"/>
    <w:rsid w:val="005F6341"/>
    <w:rsid w:val="005F646B"/>
    <w:rsid w:val="005F64B2"/>
    <w:rsid w:val="005F65AB"/>
    <w:rsid w:val="005F6666"/>
    <w:rsid w:val="005F669A"/>
    <w:rsid w:val="005F6725"/>
    <w:rsid w:val="005F6819"/>
    <w:rsid w:val="005F684F"/>
    <w:rsid w:val="005F6B03"/>
    <w:rsid w:val="005F6C24"/>
    <w:rsid w:val="005F6D04"/>
    <w:rsid w:val="005F6D44"/>
    <w:rsid w:val="005F6D7B"/>
    <w:rsid w:val="005F6E47"/>
    <w:rsid w:val="005F6E78"/>
    <w:rsid w:val="005F6FF9"/>
    <w:rsid w:val="005F71BD"/>
    <w:rsid w:val="005F728E"/>
    <w:rsid w:val="005F737B"/>
    <w:rsid w:val="005F7390"/>
    <w:rsid w:val="005F742A"/>
    <w:rsid w:val="005F745C"/>
    <w:rsid w:val="005F746E"/>
    <w:rsid w:val="005F751F"/>
    <w:rsid w:val="005F7781"/>
    <w:rsid w:val="005F7859"/>
    <w:rsid w:val="005F7870"/>
    <w:rsid w:val="005F78B8"/>
    <w:rsid w:val="005F78C1"/>
    <w:rsid w:val="005F78CF"/>
    <w:rsid w:val="005F7924"/>
    <w:rsid w:val="005F7994"/>
    <w:rsid w:val="005F7A8A"/>
    <w:rsid w:val="005F7B41"/>
    <w:rsid w:val="005F7C55"/>
    <w:rsid w:val="005F7CD1"/>
    <w:rsid w:val="005F7D07"/>
    <w:rsid w:val="005F7DD0"/>
    <w:rsid w:val="005F7E85"/>
    <w:rsid w:val="005F7EF3"/>
    <w:rsid w:val="005F7F1C"/>
    <w:rsid w:val="005FCD2D"/>
    <w:rsid w:val="006000ED"/>
    <w:rsid w:val="00600117"/>
    <w:rsid w:val="00600174"/>
    <w:rsid w:val="006001CD"/>
    <w:rsid w:val="0060027A"/>
    <w:rsid w:val="0060027B"/>
    <w:rsid w:val="006002AE"/>
    <w:rsid w:val="006002B1"/>
    <w:rsid w:val="006002F7"/>
    <w:rsid w:val="006004AC"/>
    <w:rsid w:val="006004BB"/>
    <w:rsid w:val="006004CF"/>
    <w:rsid w:val="006004DD"/>
    <w:rsid w:val="00600603"/>
    <w:rsid w:val="0060065F"/>
    <w:rsid w:val="0060076B"/>
    <w:rsid w:val="0060077A"/>
    <w:rsid w:val="00600881"/>
    <w:rsid w:val="006008CF"/>
    <w:rsid w:val="006009BA"/>
    <w:rsid w:val="00600AB0"/>
    <w:rsid w:val="00600AC7"/>
    <w:rsid w:val="00600B77"/>
    <w:rsid w:val="00600BA9"/>
    <w:rsid w:val="00600BD1"/>
    <w:rsid w:val="00600CB1"/>
    <w:rsid w:val="00600CDE"/>
    <w:rsid w:val="00600D02"/>
    <w:rsid w:val="00600D80"/>
    <w:rsid w:val="00600DB8"/>
    <w:rsid w:val="00600EAF"/>
    <w:rsid w:val="00601076"/>
    <w:rsid w:val="006010BD"/>
    <w:rsid w:val="00601137"/>
    <w:rsid w:val="00601161"/>
    <w:rsid w:val="006011D1"/>
    <w:rsid w:val="00601226"/>
    <w:rsid w:val="0060122C"/>
    <w:rsid w:val="0060123A"/>
    <w:rsid w:val="006012F9"/>
    <w:rsid w:val="006014B5"/>
    <w:rsid w:val="0060150F"/>
    <w:rsid w:val="00601510"/>
    <w:rsid w:val="006016F5"/>
    <w:rsid w:val="006017CF"/>
    <w:rsid w:val="006018AE"/>
    <w:rsid w:val="0060191D"/>
    <w:rsid w:val="00601BBF"/>
    <w:rsid w:val="00601CC5"/>
    <w:rsid w:val="00601D03"/>
    <w:rsid w:val="00601FD7"/>
    <w:rsid w:val="00601FDC"/>
    <w:rsid w:val="006020DA"/>
    <w:rsid w:val="006020F7"/>
    <w:rsid w:val="006021E6"/>
    <w:rsid w:val="006022A6"/>
    <w:rsid w:val="006022DB"/>
    <w:rsid w:val="006023E2"/>
    <w:rsid w:val="00602429"/>
    <w:rsid w:val="006024FC"/>
    <w:rsid w:val="00602520"/>
    <w:rsid w:val="00602522"/>
    <w:rsid w:val="0060258C"/>
    <w:rsid w:val="0060271F"/>
    <w:rsid w:val="006027EB"/>
    <w:rsid w:val="0060292B"/>
    <w:rsid w:val="00602944"/>
    <w:rsid w:val="006029D9"/>
    <w:rsid w:val="00602A0C"/>
    <w:rsid w:val="00602AFF"/>
    <w:rsid w:val="00602DB1"/>
    <w:rsid w:val="00602EE4"/>
    <w:rsid w:val="00602F55"/>
    <w:rsid w:val="00603095"/>
    <w:rsid w:val="0060324C"/>
    <w:rsid w:val="00603250"/>
    <w:rsid w:val="006032D9"/>
    <w:rsid w:val="006032DE"/>
    <w:rsid w:val="006033E2"/>
    <w:rsid w:val="00603498"/>
    <w:rsid w:val="006034C4"/>
    <w:rsid w:val="006035CE"/>
    <w:rsid w:val="006035EB"/>
    <w:rsid w:val="00603619"/>
    <w:rsid w:val="0060369C"/>
    <w:rsid w:val="0060398B"/>
    <w:rsid w:val="00603A58"/>
    <w:rsid w:val="00603A88"/>
    <w:rsid w:val="00603B5A"/>
    <w:rsid w:val="00603BAE"/>
    <w:rsid w:val="00603DE9"/>
    <w:rsid w:val="00603E71"/>
    <w:rsid w:val="00603FD5"/>
    <w:rsid w:val="00604194"/>
    <w:rsid w:val="006041E7"/>
    <w:rsid w:val="00604386"/>
    <w:rsid w:val="006043D5"/>
    <w:rsid w:val="0060445E"/>
    <w:rsid w:val="0060449C"/>
    <w:rsid w:val="006045A8"/>
    <w:rsid w:val="006046C9"/>
    <w:rsid w:val="00604AFF"/>
    <w:rsid w:val="00604BDD"/>
    <w:rsid w:val="00604C23"/>
    <w:rsid w:val="00604C3D"/>
    <w:rsid w:val="00604E01"/>
    <w:rsid w:val="00604FB0"/>
    <w:rsid w:val="00604FC8"/>
    <w:rsid w:val="0060500D"/>
    <w:rsid w:val="00605019"/>
    <w:rsid w:val="00605065"/>
    <w:rsid w:val="00605298"/>
    <w:rsid w:val="00605314"/>
    <w:rsid w:val="0060540D"/>
    <w:rsid w:val="0060544D"/>
    <w:rsid w:val="00605454"/>
    <w:rsid w:val="0060547F"/>
    <w:rsid w:val="00605730"/>
    <w:rsid w:val="00605847"/>
    <w:rsid w:val="006058C7"/>
    <w:rsid w:val="00605947"/>
    <w:rsid w:val="006059DA"/>
    <w:rsid w:val="00605A9F"/>
    <w:rsid w:val="00605AC9"/>
    <w:rsid w:val="00605BB5"/>
    <w:rsid w:val="00605D59"/>
    <w:rsid w:val="00605D7C"/>
    <w:rsid w:val="00605DED"/>
    <w:rsid w:val="00605F43"/>
    <w:rsid w:val="00605F65"/>
    <w:rsid w:val="0060619A"/>
    <w:rsid w:val="006061A7"/>
    <w:rsid w:val="006061E0"/>
    <w:rsid w:val="00606311"/>
    <w:rsid w:val="0060636D"/>
    <w:rsid w:val="00606374"/>
    <w:rsid w:val="006063C6"/>
    <w:rsid w:val="006065D6"/>
    <w:rsid w:val="006065DC"/>
    <w:rsid w:val="006066F6"/>
    <w:rsid w:val="0060681B"/>
    <w:rsid w:val="0060682A"/>
    <w:rsid w:val="00606A8A"/>
    <w:rsid w:val="00606AE1"/>
    <w:rsid w:val="00606C0E"/>
    <w:rsid w:val="00606C2F"/>
    <w:rsid w:val="00606D7F"/>
    <w:rsid w:val="00606DBE"/>
    <w:rsid w:val="00606E05"/>
    <w:rsid w:val="00606F7B"/>
    <w:rsid w:val="006070F0"/>
    <w:rsid w:val="0060711A"/>
    <w:rsid w:val="006071C6"/>
    <w:rsid w:val="006073BE"/>
    <w:rsid w:val="006074E2"/>
    <w:rsid w:val="00607611"/>
    <w:rsid w:val="00607784"/>
    <w:rsid w:val="00607836"/>
    <w:rsid w:val="00607885"/>
    <w:rsid w:val="00607B0E"/>
    <w:rsid w:val="00607CEA"/>
    <w:rsid w:val="00607D41"/>
    <w:rsid w:val="00607D8F"/>
    <w:rsid w:val="00607DFD"/>
    <w:rsid w:val="00607F5E"/>
    <w:rsid w:val="0061006C"/>
    <w:rsid w:val="0061012A"/>
    <w:rsid w:val="00610141"/>
    <w:rsid w:val="00610190"/>
    <w:rsid w:val="006101AC"/>
    <w:rsid w:val="006102F5"/>
    <w:rsid w:val="00610337"/>
    <w:rsid w:val="00610424"/>
    <w:rsid w:val="0061042C"/>
    <w:rsid w:val="006104DA"/>
    <w:rsid w:val="00610562"/>
    <w:rsid w:val="00610663"/>
    <w:rsid w:val="00610664"/>
    <w:rsid w:val="006106A7"/>
    <w:rsid w:val="006106BF"/>
    <w:rsid w:val="00610829"/>
    <w:rsid w:val="00610879"/>
    <w:rsid w:val="006108E3"/>
    <w:rsid w:val="00610943"/>
    <w:rsid w:val="006109D8"/>
    <w:rsid w:val="00610A62"/>
    <w:rsid w:val="00610D31"/>
    <w:rsid w:val="00610D52"/>
    <w:rsid w:val="00610E5F"/>
    <w:rsid w:val="00610F04"/>
    <w:rsid w:val="00610F05"/>
    <w:rsid w:val="00611021"/>
    <w:rsid w:val="0061113C"/>
    <w:rsid w:val="0061118E"/>
    <w:rsid w:val="006111EB"/>
    <w:rsid w:val="00611218"/>
    <w:rsid w:val="006112D7"/>
    <w:rsid w:val="00611312"/>
    <w:rsid w:val="006114C1"/>
    <w:rsid w:val="0061154F"/>
    <w:rsid w:val="0061160A"/>
    <w:rsid w:val="00611761"/>
    <w:rsid w:val="00611770"/>
    <w:rsid w:val="0061185B"/>
    <w:rsid w:val="00611937"/>
    <w:rsid w:val="00611BB1"/>
    <w:rsid w:val="00611CD8"/>
    <w:rsid w:val="00611E63"/>
    <w:rsid w:val="00611E6B"/>
    <w:rsid w:val="0061200B"/>
    <w:rsid w:val="00612022"/>
    <w:rsid w:val="0061223F"/>
    <w:rsid w:val="00612293"/>
    <w:rsid w:val="0061230D"/>
    <w:rsid w:val="0061232C"/>
    <w:rsid w:val="006125FD"/>
    <w:rsid w:val="00612794"/>
    <w:rsid w:val="00612814"/>
    <w:rsid w:val="00612852"/>
    <w:rsid w:val="00612887"/>
    <w:rsid w:val="00612AFA"/>
    <w:rsid w:val="00612B5E"/>
    <w:rsid w:val="00612B77"/>
    <w:rsid w:val="00612B83"/>
    <w:rsid w:val="00612BA1"/>
    <w:rsid w:val="00612BC5"/>
    <w:rsid w:val="00612C14"/>
    <w:rsid w:val="00612C44"/>
    <w:rsid w:val="00612D28"/>
    <w:rsid w:val="00612E05"/>
    <w:rsid w:val="0061306E"/>
    <w:rsid w:val="006132E4"/>
    <w:rsid w:val="006132F8"/>
    <w:rsid w:val="0061338A"/>
    <w:rsid w:val="006133ED"/>
    <w:rsid w:val="00613431"/>
    <w:rsid w:val="0061350E"/>
    <w:rsid w:val="00613634"/>
    <w:rsid w:val="006136FC"/>
    <w:rsid w:val="0061376B"/>
    <w:rsid w:val="006139FE"/>
    <w:rsid w:val="00613A17"/>
    <w:rsid w:val="00613A7F"/>
    <w:rsid w:val="00613BA0"/>
    <w:rsid w:val="00613BD1"/>
    <w:rsid w:val="00613C72"/>
    <w:rsid w:val="00613CCA"/>
    <w:rsid w:val="00613DE5"/>
    <w:rsid w:val="00613E39"/>
    <w:rsid w:val="00613EC8"/>
    <w:rsid w:val="00613EEB"/>
    <w:rsid w:val="00613FB9"/>
    <w:rsid w:val="0061407D"/>
    <w:rsid w:val="00614189"/>
    <w:rsid w:val="006141EA"/>
    <w:rsid w:val="006142DE"/>
    <w:rsid w:val="0061434C"/>
    <w:rsid w:val="00614449"/>
    <w:rsid w:val="0061444C"/>
    <w:rsid w:val="00614492"/>
    <w:rsid w:val="006144A4"/>
    <w:rsid w:val="006144C3"/>
    <w:rsid w:val="00614737"/>
    <w:rsid w:val="00614834"/>
    <w:rsid w:val="00614869"/>
    <w:rsid w:val="006148AA"/>
    <w:rsid w:val="00614922"/>
    <w:rsid w:val="0061493E"/>
    <w:rsid w:val="00614A9A"/>
    <w:rsid w:val="00614B66"/>
    <w:rsid w:val="00614B7E"/>
    <w:rsid w:val="00614B95"/>
    <w:rsid w:val="00614C00"/>
    <w:rsid w:val="00614C1F"/>
    <w:rsid w:val="00614CAA"/>
    <w:rsid w:val="00614CD9"/>
    <w:rsid w:val="00614D3E"/>
    <w:rsid w:val="00614D41"/>
    <w:rsid w:val="00614D4B"/>
    <w:rsid w:val="00614D4F"/>
    <w:rsid w:val="00614D62"/>
    <w:rsid w:val="00614E94"/>
    <w:rsid w:val="00614F1F"/>
    <w:rsid w:val="00615067"/>
    <w:rsid w:val="00615389"/>
    <w:rsid w:val="006156B8"/>
    <w:rsid w:val="0061582D"/>
    <w:rsid w:val="00615890"/>
    <w:rsid w:val="00615895"/>
    <w:rsid w:val="006159CC"/>
    <w:rsid w:val="00615B16"/>
    <w:rsid w:val="00615B17"/>
    <w:rsid w:val="00616066"/>
    <w:rsid w:val="006160B7"/>
    <w:rsid w:val="006160F1"/>
    <w:rsid w:val="006162F1"/>
    <w:rsid w:val="0061632C"/>
    <w:rsid w:val="006163BB"/>
    <w:rsid w:val="006164D1"/>
    <w:rsid w:val="00616534"/>
    <w:rsid w:val="006167EB"/>
    <w:rsid w:val="0061698D"/>
    <w:rsid w:val="00616A7F"/>
    <w:rsid w:val="00616B10"/>
    <w:rsid w:val="00616B25"/>
    <w:rsid w:val="00616B89"/>
    <w:rsid w:val="00616B8F"/>
    <w:rsid w:val="00616C0A"/>
    <w:rsid w:val="00616C25"/>
    <w:rsid w:val="00616C67"/>
    <w:rsid w:val="00616D07"/>
    <w:rsid w:val="00616D70"/>
    <w:rsid w:val="00616DFB"/>
    <w:rsid w:val="00616E3C"/>
    <w:rsid w:val="00616E97"/>
    <w:rsid w:val="00616EDF"/>
    <w:rsid w:val="00616FC1"/>
    <w:rsid w:val="00616FE0"/>
    <w:rsid w:val="0061715A"/>
    <w:rsid w:val="00617214"/>
    <w:rsid w:val="00617330"/>
    <w:rsid w:val="00617379"/>
    <w:rsid w:val="00617402"/>
    <w:rsid w:val="00617438"/>
    <w:rsid w:val="00617472"/>
    <w:rsid w:val="00617483"/>
    <w:rsid w:val="006174D2"/>
    <w:rsid w:val="006174F0"/>
    <w:rsid w:val="00617746"/>
    <w:rsid w:val="006177C6"/>
    <w:rsid w:val="006177D5"/>
    <w:rsid w:val="006177E1"/>
    <w:rsid w:val="00617826"/>
    <w:rsid w:val="00617873"/>
    <w:rsid w:val="00617B02"/>
    <w:rsid w:val="00617BBE"/>
    <w:rsid w:val="00617BD7"/>
    <w:rsid w:val="00617EBB"/>
    <w:rsid w:val="00617FB2"/>
    <w:rsid w:val="00618C0C"/>
    <w:rsid w:val="006200BA"/>
    <w:rsid w:val="006201B6"/>
    <w:rsid w:val="00620340"/>
    <w:rsid w:val="00620382"/>
    <w:rsid w:val="0062042A"/>
    <w:rsid w:val="00620450"/>
    <w:rsid w:val="00620471"/>
    <w:rsid w:val="00620488"/>
    <w:rsid w:val="006204AB"/>
    <w:rsid w:val="006204B8"/>
    <w:rsid w:val="00620614"/>
    <w:rsid w:val="00620656"/>
    <w:rsid w:val="0062071A"/>
    <w:rsid w:val="00620749"/>
    <w:rsid w:val="0062076C"/>
    <w:rsid w:val="006208BD"/>
    <w:rsid w:val="00620998"/>
    <w:rsid w:val="00620AAA"/>
    <w:rsid w:val="00620ADE"/>
    <w:rsid w:val="00620BCE"/>
    <w:rsid w:val="00620BE9"/>
    <w:rsid w:val="00620C67"/>
    <w:rsid w:val="00620D47"/>
    <w:rsid w:val="00620D79"/>
    <w:rsid w:val="00620E44"/>
    <w:rsid w:val="00620E4D"/>
    <w:rsid w:val="00620EE4"/>
    <w:rsid w:val="00621056"/>
    <w:rsid w:val="0062112A"/>
    <w:rsid w:val="006211B2"/>
    <w:rsid w:val="006213E0"/>
    <w:rsid w:val="006214DB"/>
    <w:rsid w:val="0062153C"/>
    <w:rsid w:val="006215A2"/>
    <w:rsid w:val="0062180A"/>
    <w:rsid w:val="00621848"/>
    <w:rsid w:val="0062199A"/>
    <w:rsid w:val="00621AD9"/>
    <w:rsid w:val="00621B18"/>
    <w:rsid w:val="00621B49"/>
    <w:rsid w:val="00621B5B"/>
    <w:rsid w:val="00621D5A"/>
    <w:rsid w:val="00621E87"/>
    <w:rsid w:val="00621ED1"/>
    <w:rsid w:val="00621EDE"/>
    <w:rsid w:val="00621F95"/>
    <w:rsid w:val="00622092"/>
    <w:rsid w:val="006220CB"/>
    <w:rsid w:val="00622111"/>
    <w:rsid w:val="006221D1"/>
    <w:rsid w:val="00622279"/>
    <w:rsid w:val="006222A8"/>
    <w:rsid w:val="00622540"/>
    <w:rsid w:val="00622594"/>
    <w:rsid w:val="00622716"/>
    <w:rsid w:val="0062271C"/>
    <w:rsid w:val="0062271D"/>
    <w:rsid w:val="00622745"/>
    <w:rsid w:val="00622761"/>
    <w:rsid w:val="00622779"/>
    <w:rsid w:val="00622784"/>
    <w:rsid w:val="00622792"/>
    <w:rsid w:val="0062279C"/>
    <w:rsid w:val="00622867"/>
    <w:rsid w:val="006228AB"/>
    <w:rsid w:val="006228B4"/>
    <w:rsid w:val="006228FD"/>
    <w:rsid w:val="0062295D"/>
    <w:rsid w:val="00622A08"/>
    <w:rsid w:val="00622A73"/>
    <w:rsid w:val="00622A74"/>
    <w:rsid w:val="00622B36"/>
    <w:rsid w:val="00622B9D"/>
    <w:rsid w:val="00622BE1"/>
    <w:rsid w:val="00622C23"/>
    <w:rsid w:val="00622E05"/>
    <w:rsid w:val="00622E4E"/>
    <w:rsid w:val="00622E4F"/>
    <w:rsid w:val="00622E8A"/>
    <w:rsid w:val="00622E95"/>
    <w:rsid w:val="00622EF9"/>
    <w:rsid w:val="006231A2"/>
    <w:rsid w:val="006231E7"/>
    <w:rsid w:val="0062324E"/>
    <w:rsid w:val="006232C8"/>
    <w:rsid w:val="00623457"/>
    <w:rsid w:val="00623465"/>
    <w:rsid w:val="006236CE"/>
    <w:rsid w:val="00623717"/>
    <w:rsid w:val="0062372B"/>
    <w:rsid w:val="00623777"/>
    <w:rsid w:val="0062394B"/>
    <w:rsid w:val="00623B0A"/>
    <w:rsid w:val="00623B58"/>
    <w:rsid w:val="00623B60"/>
    <w:rsid w:val="00623B99"/>
    <w:rsid w:val="00623C81"/>
    <w:rsid w:val="00623CC1"/>
    <w:rsid w:val="00623CCD"/>
    <w:rsid w:val="00623E2E"/>
    <w:rsid w:val="00623EB6"/>
    <w:rsid w:val="00623F9C"/>
    <w:rsid w:val="006240A3"/>
    <w:rsid w:val="006241D9"/>
    <w:rsid w:val="006241FC"/>
    <w:rsid w:val="00624378"/>
    <w:rsid w:val="00624403"/>
    <w:rsid w:val="00624421"/>
    <w:rsid w:val="00624424"/>
    <w:rsid w:val="00624437"/>
    <w:rsid w:val="00624443"/>
    <w:rsid w:val="00624457"/>
    <w:rsid w:val="00624822"/>
    <w:rsid w:val="0062495C"/>
    <w:rsid w:val="00624996"/>
    <w:rsid w:val="00624AA7"/>
    <w:rsid w:val="00624ABE"/>
    <w:rsid w:val="00624BAE"/>
    <w:rsid w:val="00624BF9"/>
    <w:rsid w:val="00624C2D"/>
    <w:rsid w:val="00624C93"/>
    <w:rsid w:val="00624D91"/>
    <w:rsid w:val="00624D96"/>
    <w:rsid w:val="00624E56"/>
    <w:rsid w:val="00624EB0"/>
    <w:rsid w:val="00624F0C"/>
    <w:rsid w:val="00624F9A"/>
    <w:rsid w:val="006251B4"/>
    <w:rsid w:val="006254A3"/>
    <w:rsid w:val="0062553F"/>
    <w:rsid w:val="00625585"/>
    <w:rsid w:val="0062576E"/>
    <w:rsid w:val="0062581B"/>
    <w:rsid w:val="0062588F"/>
    <w:rsid w:val="00625986"/>
    <w:rsid w:val="00625993"/>
    <w:rsid w:val="006259DA"/>
    <w:rsid w:val="00625A6E"/>
    <w:rsid w:val="00625D66"/>
    <w:rsid w:val="00625DAD"/>
    <w:rsid w:val="00625EB0"/>
    <w:rsid w:val="00625FA0"/>
    <w:rsid w:val="0062613F"/>
    <w:rsid w:val="006262B3"/>
    <w:rsid w:val="00626355"/>
    <w:rsid w:val="0062636C"/>
    <w:rsid w:val="00626494"/>
    <w:rsid w:val="00626517"/>
    <w:rsid w:val="00626551"/>
    <w:rsid w:val="00626580"/>
    <w:rsid w:val="0062661C"/>
    <w:rsid w:val="00626627"/>
    <w:rsid w:val="006266E1"/>
    <w:rsid w:val="006268E1"/>
    <w:rsid w:val="006268F6"/>
    <w:rsid w:val="0062694C"/>
    <w:rsid w:val="00626A2A"/>
    <w:rsid w:val="00626BDA"/>
    <w:rsid w:val="00626C48"/>
    <w:rsid w:val="00626C89"/>
    <w:rsid w:val="00626D1E"/>
    <w:rsid w:val="00626D3A"/>
    <w:rsid w:val="00626DAA"/>
    <w:rsid w:val="00626E12"/>
    <w:rsid w:val="00626E2D"/>
    <w:rsid w:val="00626F86"/>
    <w:rsid w:val="00626FBE"/>
    <w:rsid w:val="00626FFA"/>
    <w:rsid w:val="006271B3"/>
    <w:rsid w:val="0062720F"/>
    <w:rsid w:val="00627211"/>
    <w:rsid w:val="0062721D"/>
    <w:rsid w:val="0062724E"/>
    <w:rsid w:val="0062747C"/>
    <w:rsid w:val="00627560"/>
    <w:rsid w:val="006275DE"/>
    <w:rsid w:val="00627690"/>
    <w:rsid w:val="00627748"/>
    <w:rsid w:val="00627792"/>
    <w:rsid w:val="0062779B"/>
    <w:rsid w:val="006277A5"/>
    <w:rsid w:val="006277B2"/>
    <w:rsid w:val="006277E3"/>
    <w:rsid w:val="00627AA5"/>
    <w:rsid w:val="00627B33"/>
    <w:rsid w:val="00627B79"/>
    <w:rsid w:val="00627C97"/>
    <w:rsid w:val="00627E11"/>
    <w:rsid w:val="00627ECA"/>
    <w:rsid w:val="00627F83"/>
    <w:rsid w:val="00627F9D"/>
    <w:rsid w:val="006301DB"/>
    <w:rsid w:val="00630214"/>
    <w:rsid w:val="006302C2"/>
    <w:rsid w:val="00630322"/>
    <w:rsid w:val="00630358"/>
    <w:rsid w:val="006303B9"/>
    <w:rsid w:val="0063057B"/>
    <w:rsid w:val="00630720"/>
    <w:rsid w:val="006309D4"/>
    <w:rsid w:val="00630A78"/>
    <w:rsid w:val="00630AFB"/>
    <w:rsid w:val="00630BF2"/>
    <w:rsid w:val="00630CA1"/>
    <w:rsid w:val="00630CF0"/>
    <w:rsid w:val="00630DDC"/>
    <w:rsid w:val="00630F56"/>
    <w:rsid w:val="00631050"/>
    <w:rsid w:val="00631117"/>
    <w:rsid w:val="00631195"/>
    <w:rsid w:val="00631239"/>
    <w:rsid w:val="00631240"/>
    <w:rsid w:val="00631313"/>
    <w:rsid w:val="006313E0"/>
    <w:rsid w:val="00631423"/>
    <w:rsid w:val="0063147D"/>
    <w:rsid w:val="006314BE"/>
    <w:rsid w:val="0063153F"/>
    <w:rsid w:val="006316A7"/>
    <w:rsid w:val="006317DB"/>
    <w:rsid w:val="006318B2"/>
    <w:rsid w:val="00631939"/>
    <w:rsid w:val="0063194A"/>
    <w:rsid w:val="006319C5"/>
    <w:rsid w:val="00631A00"/>
    <w:rsid w:val="00631B5E"/>
    <w:rsid w:val="00631D1F"/>
    <w:rsid w:val="00631F10"/>
    <w:rsid w:val="00631F25"/>
    <w:rsid w:val="00631F3C"/>
    <w:rsid w:val="00631F85"/>
    <w:rsid w:val="00631FD4"/>
    <w:rsid w:val="006320BF"/>
    <w:rsid w:val="0063213B"/>
    <w:rsid w:val="00632218"/>
    <w:rsid w:val="00632274"/>
    <w:rsid w:val="006323E4"/>
    <w:rsid w:val="00632431"/>
    <w:rsid w:val="0063243E"/>
    <w:rsid w:val="006324D0"/>
    <w:rsid w:val="00632627"/>
    <w:rsid w:val="0063268F"/>
    <w:rsid w:val="00632725"/>
    <w:rsid w:val="00632776"/>
    <w:rsid w:val="00632829"/>
    <w:rsid w:val="0063292E"/>
    <w:rsid w:val="00632943"/>
    <w:rsid w:val="00632AE8"/>
    <w:rsid w:val="00632B9B"/>
    <w:rsid w:val="00632D07"/>
    <w:rsid w:val="00632D83"/>
    <w:rsid w:val="00632D92"/>
    <w:rsid w:val="00632D9D"/>
    <w:rsid w:val="00632E35"/>
    <w:rsid w:val="00632EB3"/>
    <w:rsid w:val="00632F6C"/>
    <w:rsid w:val="0063300E"/>
    <w:rsid w:val="00633091"/>
    <w:rsid w:val="00633133"/>
    <w:rsid w:val="00633301"/>
    <w:rsid w:val="0063344B"/>
    <w:rsid w:val="00633751"/>
    <w:rsid w:val="0063382B"/>
    <w:rsid w:val="006338BB"/>
    <w:rsid w:val="006339B6"/>
    <w:rsid w:val="00633ADC"/>
    <w:rsid w:val="00633B85"/>
    <w:rsid w:val="00633C44"/>
    <w:rsid w:val="00633C74"/>
    <w:rsid w:val="00633D5C"/>
    <w:rsid w:val="00633D89"/>
    <w:rsid w:val="00633EEE"/>
    <w:rsid w:val="00633FB0"/>
    <w:rsid w:val="006340B2"/>
    <w:rsid w:val="00634499"/>
    <w:rsid w:val="006344FB"/>
    <w:rsid w:val="0063454A"/>
    <w:rsid w:val="006346D3"/>
    <w:rsid w:val="00634981"/>
    <w:rsid w:val="00634A94"/>
    <w:rsid w:val="00634AD2"/>
    <w:rsid w:val="00634CC0"/>
    <w:rsid w:val="00634CD6"/>
    <w:rsid w:val="00634CEC"/>
    <w:rsid w:val="00634D2B"/>
    <w:rsid w:val="00634D72"/>
    <w:rsid w:val="00634E17"/>
    <w:rsid w:val="00634E59"/>
    <w:rsid w:val="00634E76"/>
    <w:rsid w:val="00634F5E"/>
    <w:rsid w:val="00634F7D"/>
    <w:rsid w:val="00634FAD"/>
    <w:rsid w:val="006351B0"/>
    <w:rsid w:val="006352FC"/>
    <w:rsid w:val="00635415"/>
    <w:rsid w:val="0063542E"/>
    <w:rsid w:val="006354F8"/>
    <w:rsid w:val="006355EB"/>
    <w:rsid w:val="006357A1"/>
    <w:rsid w:val="00635844"/>
    <w:rsid w:val="00635870"/>
    <w:rsid w:val="00635956"/>
    <w:rsid w:val="006359B2"/>
    <w:rsid w:val="00635DDF"/>
    <w:rsid w:val="00635E0A"/>
    <w:rsid w:val="00636228"/>
    <w:rsid w:val="0063622C"/>
    <w:rsid w:val="0063623E"/>
    <w:rsid w:val="0063630B"/>
    <w:rsid w:val="0063651B"/>
    <w:rsid w:val="0063660D"/>
    <w:rsid w:val="00636806"/>
    <w:rsid w:val="006368BD"/>
    <w:rsid w:val="00636909"/>
    <w:rsid w:val="00636B59"/>
    <w:rsid w:val="00636B83"/>
    <w:rsid w:val="00636B96"/>
    <w:rsid w:val="00636BA9"/>
    <w:rsid w:val="00636C20"/>
    <w:rsid w:val="00636C4A"/>
    <w:rsid w:val="00636D09"/>
    <w:rsid w:val="00636DD2"/>
    <w:rsid w:val="00636EA1"/>
    <w:rsid w:val="00636F86"/>
    <w:rsid w:val="006372EE"/>
    <w:rsid w:val="006374DF"/>
    <w:rsid w:val="006375C6"/>
    <w:rsid w:val="0063788C"/>
    <w:rsid w:val="00637A27"/>
    <w:rsid w:val="00637AA0"/>
    <w:rsid w:val="00637AB0"/>
    <w:rsid w:val="00637B40"/>
    <w:rsid w:val="00637BE4"/>
    <w:rsid w:val="00637C94"/>
    <w:rsid w:val="00637CAF"/>
    <w:rsid w:val="00637E59"/>
    <w:rsid w:val="00637E83"/>
    <w:rsid w:val="00637F07"/>
    <w:rsid w:val="00637FF3"/>
    <w:rsid w:val="00640281"/>
    <w:rsid w:val="006403EB"/>
    <w:rsid w:val="00640407"/>
    <w:rsid w:val="006404D2"/>
    <w:rsid w:val="0064056B"/>
    <w:rsid w:val="0064057C"/>
    <w:rsid w:val="00640647"/>
    <w:rsid w:val="00640714"/>
    <w:rsid w:val="006407E5"/>
    <w:rsid w:val="00640A1A"/>
    <w:rsid w:val="00640A7C"/>
    <w:rsid w:val="00640AF0"/>
    <w:rsid w:val="00640C6E"/>
    <w:rsid w:val="00640E3E"/>
    <w:rsid w:val="00640F58"/>
    <w:rsid w:val="0064103D"/>
    <w:rsid w:val="00641109"/>
    <w:rsid w:val="0064116C"/>
    <w:rsid w:val="0064128D"/>
    <w:rsid w:val="006412D6"/>
    <w:rsid w:val="006412F3"/>
    <w:rsid w:val="006413B1"/>
    <w:rsid w:val="006413B5"/>
    <w:rsid w:val="00641420"/>
    <w:rsid w:val="006414DA"/>
    <w:rsid w:val="00641502"/>
    <w:rsid w:val="00641742"/>
    <w:rsid w:val="00641827"/>
    <w:rsid w:val="00641907"/>
    <w:rsid w:val="006419AD"/>
    <w:rsid w:val="00641A34"/>
    <w:rsid w:val="00641AEA"/>
    <w:rsid w:val="00641B01"/>
    <w:rsid w:val="00641BAC"/>
    <w:rsid w:val="00641CB0"/>
    <w:rsid w:val="00641EC4"/>
    <w:rsid w:val="0064210E"/>
    <w:rsid w:val="0064217B"/>
    <w:rsid w:val="00642188"/>
    <w:rsid w:val="006421D1"/>
    <w:rsid w:val="006422EC"/>
    <w:rsid w:val="00642351"/>
    <w:rsid w:val="00642352"/>
    <w:rsid w:val="0064236C"/>
    <w:rsid w:val="0064237E"/>
    <w:rsid w:val="00642542"/>
    <w:rsid w:val="006426E1"/>
    <w:rsid w:val="0064278E"/>
    <w:rsid w:val="006427C3"/>
    <w:rsid w:val="00642998"/>
    <w:rsid w:val="00642CF2"/>
    <w:rsid w:val="00642D84"/>
    <w:rsid w:val="00642EAB"/>
    <w:rsid w:val="00642FF3"/>
    <w:rsid w:val="0064307C"/>
    <w:rsid w:val="006430B9"/>
    <w:rsid w:val="00643346"/>
    <w:rsid w:val="006434D8"/>
    <w:rsid w:val="006434F7"/>
    <w:rsid w:val="006435A5"/>
    <w:rsid w:val="00643607"/>
    <w:rsid w:val="00643629"/>
    <w:rsid w:val="006436EA"/>
    <w:rsid w:val="00643982"/>
    <w:rsid w:val="00643B19"/>
    <w:rsid w:val="00643CC8"/>
    <w:rsid w:val="00643D08"/>
    <w:rsid w:val="00643D18"/>
    <w:rsid w:val="00643DCD"/>
    <w:rsid w:val="00643FA6"/>
    <w:rsid w:val="00643FAB"/>
    <w:rsid w:val="00643FF1"/>
    <w:rsid w:val="0064402E"/>
    <w:rsid w:val="0064406A"/>
    <w:rsid w:val="006440AB"/>
    <w:rsid w:val="00644130"/>
    <w:rsid w:val="006441B0"/>
    <w:rsid w:val="006441D4"/>
    <w:rsid w:val="0064436A"/>
    <w:rsid w:val="006443B3"/>
    <w:rsid w:val="00644443"/>
    <w:rsid w:val="00644471"/>
    <w:rsid w:val="0064448A"/>
    <w:rsid w:val="006444B2"/>
    <w:rsid w:val="006444E2"/>
    <w:rsid w:val="0064469B"/>
    <w:rsid w:val="006446FE"/>
    <w:rsid w:val="0064473B"/>
    <w:rsid w:val="00644850"/>
    <w:rsid w:val="0064490E"/>
    <w:rsid w:val="006449DC"/>
    <w:rsid w:val="00644B32"/>
    <w:rsid w:val="00644CA7"/>
    <w:rsid w:val="00644CE9"/>
    <w:rsid w:val="00644DEE"/>
    <w:rsid w:val="00644F75"/>
    <w:rsid w:val="00645016"/>
    <w:rsid w:val="006450B9"/>
    <w:rsid w:val="006451BA"/>
    <w:rsid w:val="006451C4"/>
    <w:rsid w:val="00645260"/>
    <w:rsid w:val="006452CE"/>
    <w:rsid w:val="00645375"/>
    <w:rsid w:val="00645376"/>
    <w:rsid w:val="0064551D"/>
    <w:rsid w:val="00645560"/>
    <w:rsid w:val="00645845"/>
    <w:rsid w:val="00645934"/>
    <w:rsid w:val="00645987"/>
    <w:rsid w:val="00645B5B"/>
    <w:rsid w:val="00645C9A"/>
    <w:rsid w:val="00645E83"/>
    <w:rsid w:val="00645EE7"/>
    <w:rsid w:val="00646025"/>
    <w:rsid w:val="006462C5"/>
    <w:rsid w:val="006462CC"/>
    <w:rsid w:val="006462F3"/>
    <w:rsid w:val="006463B3"/>
    <w:rsid w:val="006463E5"/>
    <w:rsid w:val="00646410"/>
    <w:rsid w:val="00646480"/>
    <w:rsid w:val="00646559"/>
    <w:rsid w:val="006466F5"/>
    <w:rsid w:val="0064672C"/>
    <w:rsid w:val="00646740"/>
    <w:rsid w:val="00646895"/>
    <w:rsid w:val="00646929"/>
    <w:rsid w:val="0064699F"/>
    <w:rsid w:val="006469AE"/>
    <w:rsid w:val="00646AD6"/>
    <w:rsid w:val="00646AF7"/>
    <w:rsid w:val="00646B7D"/>
    <w:rsid w:val="00646C85"/>
    <w:rsid w:val="00646D1D"/>
    <w:rsid w:val="00646E03"/>
    <w:rsid w:val="00646E79"/>
    <w:rsid w:val="00646EBE"/>
    <w:rsid w:val="00646F2E"/>
    <w:rsid w:val="00646F53"/>
    <w:rsid w:val="00647007"/>
    <w:rsid w:val="0064703C"/>
    <w:rsid w:val="0064708A"/>
    <w:rsid w:val="00647106"/>
    <w:rsid w:val="00647124"/>
    <w:rsid w:val="00647225"/>
    <w:rsid w:val="006474B1"/>
    <w:rsid w:val="0064758A"/>
    <w:rsid w:val="00647619"/>
    <w:rsid w:val="00647698"/>
    <w:rsid w:val="00647717"/>
    <w:rsid w:val="006477F3"/>
    <w:rsid w:val="006478BF"/>
    <w:rsid w:val="006479EC"/>
    <w:rsid w:val="00647A0B"/>
    <w:rsid w:val="00647AE9"/>
    <w:rsid w:val="00647B10"/>
    <w:rsid w:val="00647B4A"/>
    <w:rsid w:val="00647B8D"/>
    <w:rsid w:val="00647B99"/>
    <w:rsid w:val="00647BB5"/>
    <w:rsid w:val="00647BE8"/>
    <w:rsid w:val="00647C69"/>
    <w:rsid w:val="00647DCB"/>
    <w:rsid w:val="00647DF6"/>
    <w:rsid w:val="00647E23"/>
    <w:rsid w:val="00647E33"/>
    <w:rsid w:val="00647EF3"/>
    <w:rsid w:val="00647F12"/>
    <w:rsid w:val="00647F9A"/>
    <w:rsid w:val="00647FAE"/>
    <w:rsid w:val="0065001E"/>
    <w:rsid w:val="0065009B"/>
    <w:rsid w:val="006500E0"/>
    <w:rsid w:val="006502AE"/>
    <w:rsid w:val="00650316"/>
    <w:rsid w:val="00650327"/>
    <w:rsid w:val="0065033F"/>
    <w:rsid w:val="006504E1"/>
    <w:rsid w:val="00650509"/>
    <w:rsid w:val="00650535"/>
    <w:rsid w:val="006507CD"/>
    <w:rsid w:val="006508DA"/>
    <w:rsid w:val="006509AF"/>
    <w:rsid w:val="00650AB8"/>
    <w:rsid w:val="00650B74"/>
    <w:rsid w:val="00650B90"/>
    <w:rsid w:val="00650F11"/>
    <w:rsid w:val="00650F9F"/>
    <w:rsid w:val="0065112F"/>
    <w:rsid w:val="0065113B"/>
    <w:rsid w:val="006512C3"/>
    <w:rsid w:val="0065131A"/>
    <w:rsid w:val="006513B0"/>
    <w:rsid w:val="00651428"/>
    <w:rsid w:val="00651450"/>
    <w:rsid w:val="00651549"/>
    <w:rsid w:val="00651556"/>
    <w:rsid w:val="0065166C"/>
    <w:rsid w:val="006516A0"/>
    <w:rsid w:val="0065172E"/>
    <w:rsid w:val="0065179F"/>
    <w:rsid w:val="006517BB"/>
    <w:rsid w:val="00651814"/>
    <w:rsid w:val="00651894"/>
    <w:rsid w:val="006518A8"/>
    <w:rsid w:val="006519F9"/>
    <w:rsid w:val="00651ABF"/>
    <w:rsid w:val="00651BE4"/>
    <w:rsid w:val="00651C6E"/>
    <w:rsid w:val="00651D62"/>
    <w:rsid w:val="00651FDE"/>
    <w:rsid w:val="0065213D"/>
    <w:rsid w:val="0065222C"/>
    <w:rsid w:val="0065224D"/>
    <w:rsid w:val="006522E9"/>
    <w:rsid w:val="006523C2"/>
    <w:rsid w:val="00652457"/>
    <w:rsid w:val="006525AC"/>
    <w:rsid w:val="006525C4"/>
    <w:rsid w:val="006527BF"/>
    <w:rsid w:val="006528D8"/>
    <w:rsid w:val="006528DC"/>
    <w:rsid w:val="00652A6A"/>
    <w:rsid w:val="00652C57"/>
    <w:rsid w:val="00652D1D"/>
    <w:rsid w:val="0065311B"/>
    <w:rsid w:val="00653120"/>
    <w:rsid w:val="0065318F"/>
    <w:rsid w:val="006531B0"/>
    <w:rsid w:val="0065320E"/>
    <w:rsid w:val="006532F3"/>
    <w:rsid w:val="00653307"/>
    <w:rsid w:val="006533EF"/>
    <w:rsid w:val="006534E2"/>
    <w:rsid w:val="00653500"/>
    <w:rsid w:val="00653605"/>
    <w:rsid w:val="00653609"/>
    <w:rsid w:val="00653894"/>
    <w:rsid w:val="006538BD"/>
    <w:rsid w:val="006539A9"/>
    <w:rsid w:val="00653B9F"/>
    <w:rsid w:val="00653E11"/>
    <w:rsid w:val="00653E80"/>
    <w:rsid w:val="00653FDB"/>
    <w:rsid w:val="00654066"/>
    <w:rsid w:val="00654111"/>
    <w:rsid w:val="0065411B"/>
    <w:rsid w:val="006542B3"/>
    <w:rsid w:val="00654348"/>
    <w:rsid w:val="006543C8"/>
    <w:rsid w:val="00654513"/>
    <w:rsid w:val="006545B0"/>
    <w:rsid w:val="006545B7"/>
    <w:rsid w:val="006545BC"/>
    <w:rsid w:val="0065462E"/>
    <w:rsid w:val="00654657"/>
    <w:rsid w:val="006546AD"/>
    <w:rsid w:val="006546E6"/>
    <w:rsid w:val="0065477B"/>
    <w:rsid w:val="006547D0"/>
    <w:rsid w:val="006547F7"/>
    <w:rsid w:val="00654893"/>
    <w:rsid w:val="00654970"/>
    <w:rsid w:val="00654A1A"/>
    <w:rsid w:val="00654B03"/>
    <w:rsid w:val="00654BBF"/>
    <w:rsid w:val="00654BFC"/>
    <w:rsid w:val="00654C66"/>
    <w:rsid w:val="00654D31"/>
    <w:rsid w:val="00654D87"/>
    <w:rsid w:val="00654DF8"/>
    <w:rsid w:val="00654F40"/>
    <w:rsid w:val="006551A9"/>
    <w:rsid w:val="00655287"/>
    <w:rsid w:val="00655459"/>
    <w:rsid w:val="00655596"/>
    <w:rsid w:val="00655679"/>
    <w:rsid w:val="006556BA"/>
    <w:rsid w:val="006559B6"/>
    <w:rsid w:val="00655A80"/>
    <w:rsid w:val="00655B24"/>
    <w:rsid w:val="00655B3C"/>
    <w:rsid w:val="00655B82"/>
    <w:rsid w:val="00655B93"/>
    <w:rsid w:val="00655C10"/>
    <w:rsid w:val="00655C55"/>
    <w:rsid w:val="00655CA4"/>
    <w:rsid w:val="00655CBD"/>
    <w:rsid w:val="00655DC1"/>
    <w:rsid w:val="00655E3C"/>
    <w:rsid w:val="00655E7F"/>
    <w:rsid w:val="00655EA9"/>
    <w:rsid w:val="00655F3A"/>
    <w:rsid w:val="00656225"/>
    <w:rsid w:val="00656410"/>
    <w:rsid w:val="006565E3"/>
    <w:rsid w:val="006566EB"/>
    <w:rsid w:val="006566F4"/>
    <w:rsid w:val="006567A6"/>
    <w:rsid w:val="0065685F"/>
    <w:rsid w:val="006568D3"/>
    <w:rsid w:val="006568EA"/>
    <w:rsid w:val="00656942"/>
    <w:rsid w:val="00656A32"/>
    <w:rsid w:val="00656A77"/>
    <w:rsid w:val="00656B37"/>
    <w:rsid w:val="00656CC6"/>
    <w:rsid w:val="00656CFB"/>
    <w:rsid w:val="00656E8D"/>
    <w:rsid w:val="00656EB4"/>
    <w:rsid w:val="00657060"/>
    <w:rsid w:val="00657099"/>
    <w:rsid w:val="006570A3"/>
    <w:rsid w:val="0065725E"/>
    <w:rsid w:val="006572FC"/>
    <w:rsid w:val="006573D8"/>
    <w:rsid w:val="006573EC"/>
    <w:rsid w:val="00657635"/>
    <w:rsid w:val="0065777C"/>
    <w:rsid w:val="00657793"/>
    <w:rsid w:val="006577BA"/>
    <w:rsid w:val="006578F4"/>
    <w:rsid w:val="00657979"/>
    <w:rsid w:val="00657A0C"/>
    <w:rsid w:val="00657B1B"/>
    <w:rsid w:val="00657B62"/>
    <w:rsid w:val="00657C72"/>
    <w:rsid w:val="00657D73"/>
    <w:rsid w:val="0065BBDA"/>
    <w:rsid w:val="0066008C"/>
    <w:rsid w:val="00660092"/>
    <w:rsid w:val="00660096"/>
    <w:rsid w:val="006600BC"/>
    <w:rsid w:val="00660306"/>
    <w:rsid w:val="0066032E"/>
    <w:rsid w:val="006603D9"/>
    <w:rsid w:val="00660598"/>
    <w:rsid w:val="006605CC"/>
    <w:rsid w:val="006605EC"/>
    <w:rsid w:val="006607A9"/>
    <w:rsid w:val="00660892"/>
    <w:rsid w:val="006608D1"/>
    <w:rsid w:val="00660A34"/>
    <w:rsid w:val="00660A37"/>
    <w:rsid w:val="00660A6B"/>
    <w:rsid w:val="00660AF7"/>
    <w:rsid w:val="00660B50"/>
    <w:rsid w:val="00660BA7"/>
    <w:rsid w:val="00660C76"/>
    <w:rsid w:val="00660E6C"/>
    <w:rsid w:val="00660EC5"/>
    <w:rsid w:val="00660F83"/>
    <w:rsid w:val="006610ED"/>
    <w:rsid w:val="0066134F"/>
    <w:rsid w:val="0066148A"/>
    <w:rsid w:val="006614A6"/>
    <w:rsid w:val="006614F0"/>
    <w:rsid w:val="006614FB"/>
    <w:rsid w:val="0066156F"/>
    <w:rsid w:val="00661571"/>
    <w:rsid w:val="006615A4"/>
    <w:rsid w:val="006615A9"/>
    <w:rsid w:val="006615DB"/>
    <w:rsid w:val="00661682"/>
    <w:rsid w:val="006618C6"/>
    <w:rsid w:val="00661A0D"/>
    <w:rsid w:val="00661AAA"/>
    <w:rsid w:val="00661B6A"/>
    <w:rsid w:val="00661D75"/>
    <w:rsid w:val="00661F52"/>
    <w:rsid w:val="00662184"/>
    <w:rsid w:val="0066232D"/>
    <w:rsid w:val="0066256B"/>
    <w:rsid w:val="00662650"/>
    <w:rsid w:val="00662666"/>
    <w:rsid w:val="00662759"/>
    <w:rsid w:val="00662808"/>
    <w:rsid w:val="0066283B"/>
    <w:rsid w:val="0066289A"/>
    <w:rsid w:val="006628CB"/>
    <w:rsid w:val="00662A2A"/>
    <w:rsid w:val="00662A2E"/>
    <w:rsid w:val="00662A62"/>
    <w:rsid w:val="00662B11"/>
    <w:rsid w:val="00662BFD"/>
    <w:rsid w:val="00662DB4"/>
    <w:rsid w:val="00662DED"/>
    <w:rsid w:val="00662F14"/>
    <w:rsid w:val="0066300B"/>
    <w:rsid w:val="006633D9"/>
    <w:rsid w:val="006633F9"/>
    <w:rsid w:val="00663403"/>
    <w:rsid w:val="00663628"/>
    <w:rsid w:val="00663673"/>
    <w:rsid w:val="006636DC"/>
    <w:rsid w:val="006637E2"/>
    <w:rsid w:val="00663804"/>
    <w:rsid w:val="0066391B"/>
    <w:rsid w:val="00663A05"/>
    <w:rsid w:val="00663A5C"/>
    <w:rsid w:val="00663AA1"/>
    <w:rsid w:val="00663B88"/>
    <w:rsid w:val="00663BCE"/>
    <w:rsid w:val="00663C4A"/>
    <w:rsid w:val="00663C92"/>
    <w:rsid w:val="00663DD4"/>
    <w:rsid w:val="00663E25"/>
    <w:rsid w:val="00663EE9"/>
    <w:rsid w:val="006640B5"/>
    <w:rsid w:val="006641C8"/>
    <w:rsid w:val="006641FB"/>
    <w:rsid w:val="0066425E"/>
    <w:rsid w:val="006642EA"/>
    <w:rsid w:val="006644F6"/>
    <w:rsid w:val="0066461B"/>
    <w:rsid w:val="00664711"/>
    <w:rsid w:val="00664760"/>
    <w:rsid w:val="00664848"/>
    <w:rsid w:val="0066487B"/>
    <w:rsid w:val="00664B86"/>
    <w:rsid w:val="00664C1C"/>
    <w:rsid w:val="00664C65"/>
    <w:rsid w:val="00664D30"/>
    <w:rsid w:val="00664D9E"/>
    <w:rsid w:val="00664F2F"/>
    <w:rsid w:val="00664F55"/>
    <w:rsid w:val="00664F63"/>
    <w:rsid w:val="006650A9"/>
    <w:rsid w:val="006652B7"/>
    <w:rsid w:val="006653D1"/>
    <w:rsid w:val="006654C8"/>
    <w:rsid w:val="00665520"/>
    <w:rsid w:val="006655AD"/>
    <w:rsid w:val="00665617"/>
    <w:rsid w:val="0066567B"/>
    <w:rsid w:val="006658B6"/>
    <w:rsid w:val="006658BC"/>
    <w:rsid w:val="006658E1"/>
    <w:rsid w:val="00665946"/>
    <w:rsid w:val="006659C7"/>
    <w:rsid w:val="00665A4A"/>
    <w:rsid w:val="00665B44"/>
    <w:rsid w:val="00665BD7"/>
    <w:rsid w:val="00665CEB"/>
    <w:rsid w:val="00665CF7"/>
    <w:rsid w:val="00665CF9"/>
    <w:rsid w:val="00665E42"/>
    <w:rsid w:val="00665FAC"/>
    <w:rsid w:val="00666050"/>
    <w:rsid w:val="006660AF"/>
    <w:rsid w:val="0066616A"/>
    <w:rsid w:val="0066623B"/>
    <w:rsid w:val="00666270"/>
    <w:rsid w:val="00666302"/>
    <w:rsid w:val="00666313"/>
    <w:rsid w:val="00666388"/>
    <w:rsid w:val="006663F4"/>
    <w:rsid w:val="006664FA"/>
    <w:rsid w:val="0066652B"/>
    <w:rsid w:val="00666572"/>
    <w:rsid w:val="00666738"/>
    <w:rsid w:val="0066680D"/>
    <w:rsid w:val="00666811"/>
    <w:rsid w:val="00666821"/>
    <w:rsid w:val="0066683F"/>
    <w:rsid w:val="00666880"/>
    <w:rsid w:val="006669D6"/>
    <w:rsid w:val="00666A60"/>
    <w:rsid w:val="00666B80"/>
    <w:rsid w:val="00666CA2"/>
    <w:rsid w:val="00666CAE"/>
    <w:rsid w:val="00666D48"/>
    <w:rsid w:val="00666E6B"/>
    <w:rsid w:val="00666F5A"/>
    <w:rsid w:val="0066718F"/>
    <w:rsid w:val="0066724A"/>
    <w:rsid w:val="006672FE"/>
    <w:rsid w:val="00667360"/>
    <w:rsid w:val="0066736E"/>
    <w:rsid w:val="00667390"/>
    <w:rsid w:val="006673C0"/>
    <w:rsid w:val="00667415"/>
    <w:rsid w:val="006675BF"/>
    <w:rsid w:val="00667615"/>
    <w:rsid w:val="0066766C"/>
    <w:rsid w:val="00667686"/>
    <w:rsid w:val="006676FC"/>
    <w:rsid w:val="006677C9"/>
    <w:rsid w:val="006677FF"/>
    <w:rsid w:val="006678A8"/>
    <w:rsid w:val="006678D4"/>
    <w:rsid w:val="0066795B"/>
    <w:rsid w:val="00667AE8"/>
    <w:rsid w:val="00667B50"/>
    <w:rsid w:val="00667C79"/>
    <w:rsid w:val="00667CFC"/>
    <w:rsid w:val="00667E19"/>
    <w:rsid w:val="00667FF9"/>
    <w:rsid w:val="0067001D"/>
    <w:rsid w:val="006701C0"/>
    <w:rsid w:val="00670393"/>
    <w:rsid w:val="006703B6"/>
    <w:rsid w:val="0067046E"/>
    <w:rsid w:val="00670681"/>
    <w:rsid w:val="006706C3"/>
    <w:rsid w:val="00670713"/>
    <w:rsid w:val="006707CF"/>
    <w:rsid w:val="006707D3"/>
    <w:rsid w:val="006707DA"/>
    <w:rsid w:val="006707E4"/>
    <w:rsid w:val="00670985"/>
    <w:rsid w:val="00670A6C"/>
    <w:rsid w:val="00670B43"/>
    <w:rsid w:val="00670E06"/>
    <w:rsid w:val="00670E29"/>
    <w:rsid w:val="00670E32"/>
    <w:rsid w:val="00670FF5"/>
    <w:rsid w:val="0067119D"/>
    <w:rsid w:val="00671200"/>
    <w:rsid w:val="00671252"/>
    <w:rsid w:val="00671388"/>
    <w:rsid w:val="0067148E"/>
    <w:rsid w:val="006715EB"/>
    <w:rsid w:val="00671618"/>
    <w:rsid w:val="0067169D"/>
    <w:rsid w:val="006716DA"/>
    <w:rsid w:val="006717F0"/>
    <w:rsid w:val="00671838"/>
    <w:rsid w:val="0067199A"/>
    <w:rsid w:val="006719DD"/>
    <w:rsid w:val="00671A28"/>
    <w:rsid w:val="00671A93"/>
    <w:rsid w:val="00671C64"/>
    <w:rsid w:val="00671CD9"/>
    <w:rsid w:val="00671D45"/>
    <w:rsid w:val="00671F17"/>
    <w:rsid w:val="006720E7"/>
    <w:rsid w:val="00672180"/>
    <w:rsid w:val="006721C4"/>
    <w:rsid w:val="00672200"/>
    <w:rsid w:val="006722FA"/>
    <w:rsid w:val="0067242A"/>
    <w:rsid w:val="00672456"/>
    <w:rsid w:val="006725D6"/>
    <w:rsid w:val="006725F3"/>
    <w:rsid w:val="00672640"/>
    <w:rsid w:val="0067270E"/>
    <w:rsid w:val="006727A7"/>
    <w:rsid w:val="006727AA"/>
    <w:rsid w:val="006727F1"/>
    <w:rsid w:val="00672805"/>
    <w:rsid w:val="006728A0"/>
    <w:rsid w:val="00672A43"/>
    <w:rsid w:val="00672A85"/>
    <w:rsid w:val="00672BFC"/>
    <w:rsid w:val="00672C6C"/>
    <w:rsid w:val="00672C6E"/>
    <w:rsid w:val="00672C74"/>
    <w:rsid w:val="00672D00"/>
    <w:rsid w:val="00672D0D"/>
    <w:rsid w:val="00672E0D"/>
    <w:rsid w:val="00672EE6"/>
    <w:rsid w:val="006730CC"/>
    <w:rsid w:val="00673161"/>
    <w:rsid w:val="006731C1"/>
    <w:rsid w:val="00673202"/>
    <w:rsid w:val="006732ED"/>
    <w:rsid w:val="006733CC"/>
    <w:rsid w:val="006734BE"/>
    <w:rsid w:val="0067352B"/>
    <w:rsid w:val="00673591"/>
    <w:rsid w:val="00673891"/>
    <w:rsid w:val="0067391D"/>
    <w:rsid w:val="00673955"/>
    <w:rsid w:val="00673964"/>
    <w:rsid w:val="00673A0C"/>
    <w:rsid w:val="00673A3A"/>
    <w:rsid w:val="00673CB1"/>
    <w:rsid w:val="00673CD9"/>
    <w:rsid w:val="00673D0D"/>
    <w:rsid w:val="00673D7C"/>
    <w:rsid w:val="00673DA1"/>
    <w:rsid w:val="00673DEB"/>
    <w:rsid w:val="00673E1C"/>
    <w:rsid w:val="00673F28"/>
    <w:rsid w:val="00673F65"/>
    <w:rsid w:val="00674084"/>
    <w:rsid w:val="00674366"/>
    <w:rsid w:val="006743B5"/>
    <w:rsid w:val="006744A4"/>
    <w:rsid w:val="00674690"/>
    <w:rsid w:val="006748B0"/>
    <w:rsid w:val="006748B1"/>
    <w:rsid w:val="00674969"/>
    <w:rsid w:val="00674978"/>
    <w:rsid w:val="00674992"/>
    <w:rsid w:val="00674A73"/>
    <w:rsid w:val="00674AD6"/>
    <w:rsid w:val="00674B52"/>
    <w:rsid w:val="00674B54"/>
    <w:rsid w:val="00674BDC"/>
    <w:rsid w:val="00674C14"/>
    <w:rsid w:val="00674C47"/>
    <w:rsid w:val="00674E2B"/>
    <w:rsid w:val="00674F07"/>
    <w:rsid w:val="00674F84"/>
    <w:rsid w:val="0067505C"/>
    <w:rsid w:val="0067519C"/>
    <w:rsid w:val="0067537D"/>
    <w:rsid w:val="0067555D"/>
    <w:rsid w:val="006755E5"/>
    <w:rsid w:val="00675676"/>
    <w:rsid w:val="00675771"/>
    <w:rsid w:val="00675780"/>
    <w:rsid w:val="00675797"/>
    <w:rsid w:val="0067589D"/>
    <w:rsid w:val="006758EA"/>
    <w:rsid w:val="006758F3"/>
    <w:rsid w:val="0067595C"/>
    <w:rsid w:val="00675A3C"/>
    <w:rsid w:val="00675A6F"/>
    <w:rsid w:val="00675B1E"/>
    <w:rsid w:val="00675BD9"/>
    <w:rsid w:val="00675C35"/>
    <w:rsid w:val="00675D79"/>
    <w:rsid w:val="00675F2F"/>
    <w:rsid w:val="00675F94"/>
    <w:rsid w:val="006760E5"/>
    <w:rsid w:val="00676173"/>
    <w:rsid w:val="00676237"/>
    <w:rsid w:val="006762BE"/>
    <w:rsid w:val="006762D0"/>
    <w:rsid w:val="006764FD"/>
    <w:rsid w:val="006765A4"/>
    <w:rsid w:val="006765EA"/>
    <w:rsid w:val="00676607"/>
    <w:rsid w:val="006766BF"/>
    <w:rsid w:val="006767B0"/>
    <w:rsid w:val="00676803"/>
    <w:rsid w:val="006769A3"/>
    <w:rsid w:val="00676AB1"/>
    <w:rsid w:val="00676ABB"/>
    <w:rsid w:val="00676B42"/>
    <w:rsid w:val="00676B6A"/>
    <w:rsid w:val="00676B9B"/>
    <w:rsid w:val="00676B9D"/>
    <w:rsid w:val="00676C06"/>
    <w:rsid w:val="00676E7E"/>
    <w:rsid w:val="00676ECC"/>
    <w:rsid w:val="00676F3C"/>
    <w:rsid w:val="00676F8B"/>
    <w:rsid w:val="0067702A"/>
    <w:rsid w:val="0067705B"/>
    <w:rsid w:val="006770F8"/>
    <w:rsid w:val="00677137"/>
    <w:rsid w:val="0067721F"/>
    <w:rsid w:val="00677295"/>
    <w:rsid w:val="006772B4"/>
    <w:rsid w:val="006772D6"/>
    <w:rsid w:val="006772E2"/>
    <w:rsid w:val="00677359"/>
    <w:rsid w:val="0067737B"/>
    <w:rsid w:val="006773AC"/>
    <w:rsid w:val="006773FC"/>
    <w:rsid w:val="006774E4"/>
    <w:rsid w:val="0067753B"/>
    <w:rsid w:val="006776BA"/>
    <w:rsid w:val="0067778C"/>
    <w:rsid w:val="00677790"/>
    <w:rsid w:val="006777F0"/>
    <w:rsid w:val="006778B7"/>
    <w:rsid w:val="00677900"/>
    <w:rsid w:val="00677989"/>
    <w:rsid w:val="00677998"/>
    <w:rsid w:val="00677C6E"/>
    <w:rsid w:val="00677CF3"/>
    <w:rsid w:val="00677DA5"/>
    <w:rsid w:val="00677DC2"/>
    <w:rsid w:val="00677E5F"/>
    <w:rsid w:val="00677E77"/>
    <w:rsid w:val="00677EB8"/>
    <w:rsid w:val="00677EC5"/>
    <w:rsid w:val="00677F92"/>
    <w:rsid w:val="006800EB"/>
    <w:rsid w:val="00680247"/>
    <w:rsid w:val="006802D2"/>
    <w:rsid w:val="00680358"/>
    <w:rsid w:val="006803A2"/>
    <w:rsid w:val="00680454"/>
    <w:rsid w:val="00680634"/>
    <w:rsid w:val="006806B0"/>
    <w:rsid w:val="006807F7"/>
    <w:rsid w:val="006808E2"/>
    <w:rsid w:val="00680A13"/>
    <w:rsid w:val="00680AE3"/>
    <w:rsid w:val="00680BD9"/>
    <w:rsid w:val="00680C0A"/>
    <w:rsid w:val="00680C5F"/>
    <w:rsid w:val="00680C6D"/>
    <w:rsid w:val="00680C75"/>
    <w:rsid w:val="00680CA5"/>
    <w:rsid w:val="00680E97"/>
    <w:rsid w:val="00680FFB"/>
    <w:rsid w:val="00681051"/>
    <w:rsid w:val="006811D3"/>
    <w:rsid w:val="0068121F"/>
    <w:rsid w:val="006812F3"/>
    <w:rsid w:val="0068134B"/>
    <w:rsid w:val="0068136B"/>
    <w:rsid w:val="006813EC"/>
    <w:rsid w:val="00681532"/>
    <w:rsid w:val="006815BC"/>
    <w:rsid w:val="00681698"/>
    <w:rsid w:val="006816CB"/>
    <w:rsid w:val="0068173F"/>
    <w:rsid w:val="0068176B"/>
    <w:rsid w:val="0068188F"/>
    <w:rsid w:val="00681A35"/>
    <w:rsid w:val="00681A9E"/>
    <w:rsid w:val="00681B15"/>
    <w:rsid w:val="00681C6E"/>
    <w:rsid w:val="00681EDD"/>
    <w:rsid w:val="00681FD9"/>
    <w:rsid w:val="00681FDD"/>
    <w:rsid w:val="0068202F"/>
    <w:rsid w:val="006820B7"/>
    <w:rsid w:val="00682160"/>
    <w:rsid w:val="0068243D"/>
    <w:rsid w:val="0068244E"/>
    <w:rsid w:val="0068253D"/>
    <w:rsid w:val="0068258E"/>
    <w:rsid w:val="00682634"/>
    <w:rsid w:val="0068263A"/>
    <w:rsid w:val="00682793"/>
    <w:rsid w:val="006827A6"/>
    <w:rsid w:val="00682B15"/>
    <w:rsid w:val="00682B3D"/>
    <w:rsid w:val="00682BBE"/>
    <w:rsid w:val="00682ECC"/>
    <w:rsid w:val="00682EFA"/>
    <w:rsid w:val="00682F2D"/>
    <w:rsid w:val="00682F90"/>
    <w:rsid w:val="006830D0"/>
    <w:rsid w:val="006831B2"/>
    <w:rsid w:val="00683201"/>
    <w:rsid w:val="006833A2"/>
    <w:rsid w:val="00683477"/>
    <w:rsid w:val="006834EF"/>
    <w:rsid w:val="0068361E"/>
    <w:rsid w:val="00683625"/>
    <w:rsid w:val="006836A5"/>
    <w:rsid w:val="006837A4"/>
    <w:rsid w:val="00683871"/>
    <w:rsid w:val="00683910"/>
    <w:rsid w:val="00683952"/>
    <w:rsid w:val="00683997"/>
    <w:rsid w:val="006839E8"/>
    <w:rsid w:val="00683A43"/>
    <w:rsid w:val="00683A44"/>
    <w:rsid w:val="00683A9C"/>
    <w:rsid w:val="00683BD2"/>
    <w:rsid w:val="00683C81"/>
    <w:rsid w:val="00683CB6"/>
    <w:rsid w:val="00683D75"/>
    <w:rsid w:val="00683EF4"/>
    <w:rsid w:val="00683F9D"/>
    <w:rsid w:val="00684039"/>
    <w:rsid w:val="0068404C"/>
    <w:rsid w:val="0068406C"/>
    <w:rsid w:val="006840FC"/>
    <w:rsid w:val="0068414D"/>
    <w:rsid w:val="00684268"/>
    <w:rsid w:val="00684300"/>
    <w:rsid w:val="006843B4"/>
    <w:rsid w:val="006843E8"/>
    <w:rsid w:val="0068462A"/>
    <w:rsid w:val="0068464D"/>
    <w:rsid w:val="0068465E"/>
    <w:rsid w:val="006846CB"/>
    <w:rsid w:val="006846CF"/>
    <w:rsid w:val="00684995"/>
    <w:rsid w:val="006849B1"/>
    <w:rsid w:val="00684A81"/>
    <w:rsid w:val="00684C0E"/>
    <w:rsid w:val="00684C6C"/>
    <w:rsid w:val="00684F20"/>
    <w:rsid w:val="0068508B"/>
    <w:rsid w:val="0068521A"/>
    <w:rsid w:val="00685349"/>
    <w:rsid w:val="006854B9"/>
    <w:rsid w:val="006854F5"/>
    <w:rsid w:val="00685597"/>
    <w:rsid w:val="00685700"/>
    <w:rsid w:val="00685754"/>
    <w:rsid w:val="00685759"/>
    <w:rsid w:val="006858B3"/>
    <w:rsid w:val="006859E1"/>
    <w:rsid w:val="00685A40"/>
    <w:rsid w:val="00685A44"/>
    <w:rsid w:val="00685ABA"/>
    <w:rsid w:val="00685D49"/>
    <w:rsid w:val="00685DF9"/>
    <w:rsid w:val="00685ECB"/>
    <w:rsid w:val="00685FC1"/>
    <w:rsid w:val="00686022"/>
    <w:rsid w:val="00686237"/>
    <w:rsid w:val="00686298"/>
    <w:rsid w:val="0068635F"/>
    <w:rsid w:val="00686383"/>
    <w:rsid w:val="006863E4"/>
    <w:rsid w:val="00686644"/>
    <w:rsid w:val="006868EF"/>
    <w:rsid w:val="00686971"/>
    <w:rsid w:val="00686A6B"/>
    <w:rsid w:val="00686A6F"/>
    <w:rsid w:val="00686B70"/>
    <w:rsid w:val="00686BFD"/>
    <w:rsid w:val="00686D68"/>
    <w:rsid w:val="00686F2B"/>
    <w:rsid w:val="00686F2E"/>
    <w:rsid w:val="00686F3A"/>
    <w:rsid w:val="00686F4C"/>
    <w:rsid w:val="00686F6A"/>
    <w:rsid w:val="00686F7A"/>
    <w:rsid w:val="00686FE1"/>
    <w:rsid w:val="00687078"/>
    <w:rsid w:val="00687152"/>
    <w:rsid w:val="0068717A"/>
    <w:rsid w:val="006872CF"/>
    <w:rsid w:val="00687332"/>
    <w:rsid w:val="00687355"/>
    <w:rsid w:val="0068739C"/>
    <w:rsid w:val="006873C9"/>
    <w:rsid w:val="00687450"/>
    <w:rsid w:val="006874E7"/>
    <w:rsid w:val="00687641"/>
    <w:rsid w:val="006876AE"/>
    <w:rsid w:val="0068780C"/>
    <w:rsid w:val="006878BC"/>
    <w:rsid w:val="00687970"/>
    <w:rsid w:val="0068799D"/>
    <w:rsid w:val="006879B7"/>
    <w:rsid w:val="00687A27"/>
    <w:rsid w:val="00687B4B"/>
    <w:rsid w:val="00687C38"/>
    <w:rsid w:val="00687CE8"/>
    <w:rsid w:val="00687EFC"/>
    <w:rsid w:val="00687FD1"/>
    <w:rsid w:val="00690047"/>
    <w:rsid w:val="00690050"/>
    <w:rsid w:val="0069007E"/>
    <w:rsid w:val="006900C7"/>
    <w:rsid w:val="006900E4"/>
    <w:rsid w:val="00690130"/>
    <w:rsid w:val="00690140"/>
    <w:rsid w:val="006901A2"/>
    <w:rsid w:val="006901A9"/>
    <w:rsid w:val="0069062E"/>
    <w:rsid w:val="00690662"/>
    <w:rsid w:val="00690785"/>
    <w:rsid w:val="006908FD"/>
    <w:rsid w:val="00690932"/>
    <w:rsid w:val="00690C55"/>
    <w:rsid w:val="00690CB3"/>
    <w:rsid w:val="00690CC6"/>
    <w:rsid w:val="00690D72"/>
    <w:rsid w:val="00690D82"/>
    <w:rsid w:val="00691300"/>
    <w:rsid w:val="0069139D"/>
    <w:rsid w:val="0069169E"/>
    <w:rsid w:val="00691830"/>
    <w:rsid w:val="0069183F"/>
    <w:rsid w:val="00691945"/>
    <w:rsid w:val="00691A02"/>
    <w:rsid w:val="00691A0A"/>
    <w:rsid w:val="00691ABB"/>
    <w:rsid w:val="00691BC5"/>
    <w:rsid w:val="00691C5B"/>
    <w:rsid w:val="00691CB7"/>
    <w:rsid w:val="00691CC4"/>
    <w:rsid w:val="00691D64"/>
    <w:rsid w:val="00691DB7"/>
    <w:rsid w:val="00691E91"/>
    <w:rsid w:val="00691EC6"/>
    <w:rsid w:val="00691F22"/>
    <w:rsid w:val="00691F9A"/>
    <w:rsid w:val="00691FBA"/>
    <w:rsid w:val="00691FCE"/>
    <w:rsid w:val="00691FD9"/>
    <w:rsid w:val="00692057"/>
    <w:rsid w:val="00692132"/>
    <w:rsid w:val="006921BF"/>
    <w:rsid w:val="00692310"/>
    <w:rsid w:val="00692340"/>
    <w:rsid w:val="00692387"/>
    <w:rsid w:val="006923A4"/>
    <w:rsid w:val="0069249A"/>
    <w:rsid w:val="006925F6"/>
    <w:rsid w:val="00692776"/>
    <w:rsid w:val="006927C8"/>
    <w:rsid w:val="00692985"/>
    <w:rsid w:val="00692AC6"/>
    <w:rsid w:val="00692B1A"/>
    <w:rsid w:val="00692BC4"/>
    <w:rsid w:val="00692BDB"/>
    <w:rsid w:val="00692C36"/>
    <w:rsid w:val="00692C3B"/>
    <w:rsid w:val="00692C5F"/>
    <w:rsid w:val="00692CF8"/>
    <w:rsid w:val="00692CFF"/>
    <w:rsid w:val="00692D07"/>
    <w:rsid w:val="00692D38"/>
    <w:rsid w:val="00692EC8"/>
    <w:rsid w:val="00692EE8"/>
    <w:rsid w:val="00693032"/>
    <w:rsid w:val="00693088"/>
    <w:rsid w:val="00693132"/>
    <w:rsid w:val="00693326"/>
    <w:rsid w:val="00693389"/>
    <w:rsid w:val="00693393"/>
    <w:rsid w:val="006933BA"/>
    <w:rsid w:val="0069351F"/>
    <w:rsid w:val="0069359E"/>
    <w:rsid w:val="006935C6"/>
    <w:rsid w:val="00693695"/>
    <w:rsid w:val="0069378B"/>
    <w:rsid w:val="006937B5"/>
    <w:rsid w:val="00693ACC"/>
    <w:rsid w:val="00693C21"/>
    <w:rsid w:val="00693C9D"/>
    <w:rsid w:val="00693CD2"/>
    <w:rsid w:val="00693CD4"/>
    <w:rsid w:val="00693CF5"/>
    <w:rsid w:val="00693DD4"/>
    <w:rsid w:val="00693E10"/>
    <w:rsid w:val="00693EFD"/>
    <w:rsid w:val="00693F69"/>
    <w:rsid w:val="00693FC9"/>
    <w:rsid w:val="0069404A"/>
    <w:rsid w:val="006940BE"/>
    <w:rsid w:val="0069416C"/>
    <w:rsid w:val="00694274"/>
    <w:rsid w:val="006942EC"/>
    <w:rsid w:val="006944E2"/>
    <w:rsid w:val="006945B7"/>
    <w:rsid w:val="006945DA"/>
    <w:rsid w:val="00694661"/>
    <w:rsid w:val="0069476B"/>
    <w:rsid w:val="006948D3"/>
    <w:rsid w:val="00694940"/>
    <w:rsid w:val="00694A29"/>
    <w:rsid w:val="00694B37"/>
    <w:rsid w:val="00694B90"/>
    <w:rsid w:val="00694C8D"/>
    <w:rsid w:val="00694DFA"/>
    <w:rsid w:val="0069501E"/>
    <w:rsid w:val="00695213"/>
    <w:rsid w:val="00695508"/>
    <w:rsid w:val="0069552C"/>
    <w:rsid w:val="00695589"/>
    <w:rsid w:val="00695595"/>
    <w:rsid w:val="006956B5"/>
    <w:rsid w:val="0069576E"/>
    <w:rsid w:val="0069579B"/>
    <w:rsid w:val="006957CE"/>
    <w:rsid w:val="006959A0"/>
    <w:rsid w:val="006959B4"/>
    <w:rsid w:val="006959E7"/>
    <w:rsid w:val="00695B1F"/>
    <w:rsid w:val="00695B37"/>
    <w:rsid w:val="00695B5F"/>
    <w:rsid w:val="00695B9F"/>
    <w:rsid w:val="00695BA6"/>
    <w:rsid w:val="00695F6B"/>
    <w:rsid w:val="00695F7E"/>
    <w:rsid w:val="006960BC"/>
    <w:rsid w:val="006960D1"/>
    <w:rsid w:val="00696134"/>
    <w:rsid w:val="00696164"/>
    <w:rsid w:val="00696184"/>
    <w:rsid w:val="0069630A"/>
    <w:rsid w:val="00696443"/>
    <w:rsid w:val="006967D6"/>
    <w:rsid w:val="00696836"/>
    <w:rsid w:val="0069684D"/>
    <w:rsid w:val="0069693A"/>
    <w:rsid w:val="00696ABA"/>
    <w:rsid w:val="00696AE5"/>
    <w:rsid w:val="00696B0E"/>
    <w:rsid w:val="00696B26"/>
    <w:rsid w:val="00696B50"/>
    <w:rsid w:val="00696D08"/>
    <w:rsid w:val="00696D27"/>
    <w:rsid w:val="00696D55"/>
    <w:rsid w:val="00696E14"/>
    <w:rsid w:val="00696E16"/>
    <w:rsid w:val="0069701C"/>
    <w:rsid w:val="006970FB"/>
    <w:rsid w:val="0069718B"/>
    <w:rsid w:val="006971CE"/>
    <w:rsid w:val="0069729A"/>
    <w:rsid w:val="00697326"/>
    <w:rsid w:val="00697367"/>
    <w:rsid w:val="0069737C"/>
    <w:rsid w:val="006974B2"/>
    <w:rsid w:val="006975EC"/>
    <w:rsid w:val="0069762E"/>
    <w:rsid w:val="006976B2"/>
    <w:rsid w:val="00697713"/>
    <w:rsid w:val="00697718"/>
    <w:rsid w:val="0069778D"/>
    <w:rsid w:val="00697802"/>
    <w:rsid w:val="00697892"/>
    <w:rsid w:val="006978B6"/>
    <w:rsid w:val="00697A1F"/>
    <w:rsid w:val="00697A31"/>
    <w:rsid w:val="00697A58"/>
    <w:rsid w:val="00697C06"/>
    <w:rsid w:val="00697C67"/>
    <w:rsid w:val="00697DD4"/>
    <w:rsid w:val="00697ECB"/>
    <w:rsid w:val="00697F29"/>
    <w:rsid w:val="00697F82"/>
    <w:rsid w:val="00697FEE"/>
    <w:rsid w:val="006A0019"/>
    <w:rsid w:val="006A0172"/>
    <w:rsid w:val="006A02B6"/>
    <w:rsid w:val="006A03F3"/>
    <w:rsid w:val="006A0545"/>
    <w:rsid w:val="006A0592"/>
    <w:rsid w:val="006A0717"/>
    <w:rsid w:val="006A0750"/>
    <w:rsid w:val="006A0800"/>
    <w:rsid w:val="006A081E"/>
    <w:rsid w:val="006A085E"/>
    <w:rsid w:val="006A0893"/>
    <w:rsid w:val="006A0A6C"/>
    <w:rsid w:val="006A0A7E"/>
    <w:rsid w:val="006A0B59"/>
    <w:rsid w:val="006A0B6B"/>
    <w:rsid w:val="006A0BBF"/>
    <w:rsid w:val="006A0CB0"/>
    <w:rsid w:val="006A0E68"/>
    <w:rsid w:val="006A0F08"/>
    <w:rsid w:val="006A0FE2"/>
    <w:rsid w:val="006A107F"/>
    <w:rsid w:val="006A12AD"/>
    <w:rsid w:val="006A12B7"/>
    <w:rsid w:val="006A1439"/>
    <w:rsid w:val="006A14B9"/>
    <w:rsid w:val="006A14F3"/>
    <w:rsid w:val="006A1564"/>
    <w:rsid w:val="006A15B2"/>
    <w:rsid w:val="006A1738"/>
    <w:rsid w:val="006A176C"/>
    <w:rsid w:val="006A17D6"/>
    <w:rsid w:val="006A17DA"/>
    <w:rsid w:val="006A18E3"/>
    <w:rsid w:val="006A19FF"/>
    <w:rsid w:val="006A1A6C"/>
    <w:rsid w:val="006A1C76"/>
    <w:rsid w:val="006A1DE3"/>
    <w:rsid w:val="006A1FDB"/>
    <w:rsid w:val="006A20BE"/>
    <w:rsid w:val="006A224D"/>
    <w:rsid w:val="006A22B6"/>
    <w:rsid w:val="006A22E0"/>
    <w:rsid w:val="006A22F2"/>
    <w:rsid w:val="006A23D2"/>
    <w:rsid w:val="006A2403"/>
    <w:rsid w:val="006A2428"/>
    <w:rsid w:val="006A25B0"/>
    <w:rsid w:val="006A25FC"/>
    <w:rsid w:val="006A2678"/>
    <w:rsid w:val="006A2737"/>
    <w:rsid w:val="006A2879"/>
    <w:rsid w:val="006A2881"/>
    <w:rsid w:val="006A28B2"/>
    <w:rsid w:val="006A2BF0"/>
    <w:rsid w:val="006A2BFC"/>
    <w:rsid w:val="006A2C4B"/>
    <w:rsid w:val="006A2D37"/>
    <w:rsid w:val="006A2E7A"/>
    <w:rsid w:val="006A2E9E"/>
    <w:rsid w:val="006A2F12"/>
    <w:rsid w:val="006A2FA3"/>
    <w:rsid w:val="006A2FF7"/>
    <w:rsid w:val="006A303B"/>
    <w:rsid w:val="006A3074"/>
    <w:rsid w:val="006A307E"/>
    <w:rsid w:val="006A30F6"/>
    <w:rsid w:val="006A311E"/>
    <w:rsid w:val="006A3138"/>
    <w:rsid w:val="006A3184"/>
    <w:rsid w:val="006A3289"/>
    <w:rsid w:val="006A32BC"/>
    <w:rsid w:val="006A33AA"/>
    <w:rsid w:val="006A3426"/>
    <w:rsid w:val="006A356B"/>
    <w:rsid w:val="006A35B8"/>
    <w:rsid w:val="006A3789"/>
    <w:rsid w:val="006A389E"/>
    <w:rsid w:val="006A3905"/>
    <w:rsid w:val="006A3942"/>
    <w:rsid w:val="006A399C"/>
    <w:rsid w:val="006A39C1"/>
    <w:rsid w:val="006A3A4C"/>
    <w:rsid w:val="006A3B3B"/>
    <w:rsid w:val="006A3BCB"/>
    <w:rsid w:val="006A3CAA"/>
    <w:rsid w:val="006A411C"/>
    <w:rsid w:val="006A4371"/>
    <w:rsid w:val="006A437D"/>
    <w:rsid w:val="006A4383"/>
    <w:rsid w:val="006A43E0"/>
    <w:rsid w:val="006A4400"/>
    <w:rsid w:val="006A441C"/>
    <w:rsid w:val="006A4482"/>
    <w:rsid w:val="006A44A0"/>
    <w:rsid w:val="006A450A"/>
    <w:rsid w:val="006A45F5"/>
    <w:rsid w:val="006A46FC"/>
    <w:rsid w:val="006A49BF"/>
    <w:rsid w:val="006A49E7"/>
    <w:rsid w:val="006A49EF"/>
    <w:rsid w:val="006A4A29"/>
    <w:rsid w:val="006A4AE0"/>
    <w:rsid w:val="006A4B45"/>
    <w:rsid w:val="006A4C26"/>
    <w:rsid w:val="006A4CAC"/>
    <w:rsid w:val="006A4D12"/>
    <w:rsid w:val="006A4D33"/>
    <w:rsid w:val="006A4E81"/>
    <w:rsid w:val="006A4E85"/>
    <w:rsid w:val="006A4EBB"/>
    <w:rsid w:val="006A4F69"/>
    <w:rsid w:val="006A4FE8"/>
    <w:rsid w:val="006A5126"/>
    <w:rsid w:val="006A51AB"/>
    <w:rsid w:val="006A51D1"/>
    <w:rsid w:val="006A52A5"/>
    <w:rsid w:val="006A52D4"/>
    <w:rsid w:val="006A53AF"/>
    <w:rsid w:val="006A559B"/>
    <w:rsid w:val="006A5703"/>
    <w:rsid w:val="006A571B"/>
    <w:rsid w:val="006A57D3"/>
    <w:rsid w:val="006A5881"/>
    <w:rsid w:val="006A590B"/>
    <w:rsid w:val="006A59BB"/>
    <w:rsid w:val="006A59DE"/>
    <w:rsid w:val="006A5B21"/>
    <w:rsid w:val="006A5BE3"/>
    <w:rsid w:val="006A5BF8"/>
    <w:rsid w:val="006A5CA4"/>
    <w:rsid w:val="006A5D14"/>
    <w:rsid w:val="006A5DA0"/>
    <w:rsid w:val="006A5E4F"/>
    <w:rsid w:val="006A5ED3"/>
    <w:rsid w:val="006A608E"/>
    <w:rsid w:val="006A60A0"/>
    <w:rsid w:val="006A60A8"/>
    <w:rsid w:val="006A6120"/>
    <w:rsid w:val="006A619C"/>
    <w:rsid w:val="006A6317"/>
    <w:rsid w:val="006A63ED"/>
    <w:rsid w:val="006A64E5"/>
    <w:rsid w:val="006A64E8"/>
    <w:rsid w:val="006A64F4"/>
    <w:rsid w:val="006A66B9"/>
    <w:rsid w:val="006A677F"/>
    <w:rsid w:val="006A67C5"/>
    <w:rsid w:val="006A6852"/>
    <w:rsid w:val="006A687B"/>
    <w:rsid w:val="006A68A2"/>
    <w:rsid w:val="006A6A87"/>
    <w:rsid w:val="006A6ABC"/>
    <w:rsid w:val="006A6CF0"/>
    <w:rsid w:val="006A6D70"/>
    <w:rsid w:val="006A6E96"/>
    <w:rsid w:val="006A6E9D"/>
    <w:rsid w:val="006A6FA6"/>
    <w:rsid w:val="006A704C"/>
    <w:rsid w:val="006A70DA"/>
    <w:rsid w:val="006A714F"/>
    <w:rsid w:val="006A7322"/>
    <w:rsid w:val="006A74CA"/>
    <w:rsid w:val="006A7578"/>
    <w:rsid w:val="006A7646"/>
    <w:rsid w:val="006A7658"/>
    <w:rsid w:val="006A7681"/>
    <w:rsid w:val="006A785A"/>
    <w:rsid w:val="006A7B09"/>
    <w:rsid w:val="006A7B5E"/>
    <w:rsid w:val="006A7C71"/>
    <w:rsid w:val="006A7C75"/>
    <w:rsid w:val="006A7D23"/>
    <w:rsid w:val="006A7E84"/>
    <w:rsid w:val="006A7EC8"/>
    <w:rsid w:val="006A7F50"/>
    <w:rsid w:val="006A7FF3"/>
    <w:rsid w:val="006B0141"/>
    <w:rsid w:val="006B0186"/>
    <w:rsid w:val="006B0273"/>
    <w:rsid w:val="006B0349"/>
    <w:rsid w:val="006B03D6"/>
    <w:rsid w:val="006B0447"/>
    <w:rsid w:val="006B056F"/>
    <w:rsid w:val="006B05CE"/>
    <w:rsid w:val="006B05E5"/>
    <w:rsid w:val="006B0632"/>
    <w:rsid w:val="006B08B3"/>
    <w:rsid w:val="006B08CE"/>
    <w:rsid w:val="006B09B5"/>
    <w:rsid w:val="006B0AAA"/>
    <w:rsid w:val="006B0AD8"/>
    <w:rsid w:val="006B0B3C"/>
    <w:rsid w:val="006B0B55"/>
    <w:rsid w:val="006B0C3C"/>
    <w:rsid w:val="006B0C6B"/>
    <w:rsid w:val="006B0C82"/>
    <w:rsid w:val="006B0E1E"/>
    <w:rsid w:val="006B0E74"/>
    <w:rsid w:val="006B0E82"/>
    <w:rsid w:val="006B0E95"/>
    <w:rsid w:val="006B0EA2"/>
    <w:rsid w:val="006B0ECD"/>
    <w:rsid w:val="006B0EE1"/>
    <w:rsid w:val="006B0FD3"/>
    <w:rsid w:val="006B10E0"/>
    <w:rsid w:val="006B1132"/>
    <w:rsid w:val="006B1195"/>
    <w:rsid w:val="006B11B3"/>
    <w:rsid w:val="006B12FB"/>
    <w:rsid w:val="006B135D"/>
    <w:rsid w:val="006B139E"/>
    <w:rsid w:val="006B14D5"/>
    <w:rsid w:val="006B157D"/>
    <w:rsid w:val="006B16A3"/>
    <w:rsid w:val="006B171C"/>
    <w:rsid w:val="006B1723"/>
    <w:rsid w:val="006B18E9"/>
    <w:rsid w:val="006B18F1"/>
    <w:rsid w:val="006B1960"/>
    <w:rsid w:val="006B1A1D"/>
    <w:rsid w:val="006B1AB8"/>
    <w:rsid w:val="006B1B51"/>
    <w:rsid w:val="006B1C01"/>
    <w:rsid w:val="006B1D10"/>
    <w:rsid w:val="006B1DB9"/>
    <w:rsid w:val="006B1E69"/>
    <w:rsid w:val="006B1F14"/>
    <w:rsid w:val="006B1F3C"/>
    <w:rsid w:val="006B1FFD"/>
    <w:rsid w:val="006B2068"/>
    <w:rsid w:val="006B2072"/>
    <w:rsid w:val="006B21D3"/>
    <w:rsid w:val="006B228B"/>
    <w:rsid w:val="006B2482"/>
    <w:rsid w:val="006B24A0"/>
    <w:rsid w:val="006B2522"/>
    <w:rsid w:val="006B25CD"/>
    <w:rsid w:val="006B26AD"/>
    <w:rsid w:val="006B2722"/>
    <w:rsid w:val="006B28F1"/>
    <w:rsid w:val="006B29DF"/>
    <w:rsid w:val="006B2B78"/>
    <w:rsid w:val="006B2C39"/>
    <w:rsid w:val="006B2D6A"/>
    <w:rsid w:val="006B2E82"/>
    <w:rsid w:val="006B2F0C"/>
    <w:rsid w:val="006B3074"/>
    <w:rsid w:val="006B308A"/>
    <w:rsid w:val="006B312C"/>
    <w:rsid w:val="006B32FD"/>
    <w:rsid w:val="006B331B"/>
    <w:rsid w:val="006B35D2"/>
    <w:rsid w:val="006B3657"/>
    <w:rsid w:val="006B36DC"/>
    <w:rsid w:val="006B38B4"/>
    <w:rsid w:val="006B38E9"/>
    <w:rsid w:val="006B3960"/>
    <w:rsid w:val="006B396B"/>
    <w:rsid w:val="006B3A08"/>
    <w:rsid w:val="006B3AD6"/>
    <w:rsid w:val="006B3BD8"/>
    <w:rsid w:val="006B3C1F"/>
    <w:rsid w:val="006B3CF6"/>
    <w:rsid w:val="006B3CFB"/>
    <w:rsid w:val="006B3FFA"/>
    <w:rsid w:val="006B4040"/>
    <w:rsid w:val="006B4068"/>
    <w:rsid w:val="006B40ED"/>
    <w:rsid w:val="006B41EA"/>
    <w:rsid w:val="006B42F7"/>
    <w:rsid w:val="006B437C"/>
    <w:rsid w:val="006B444C"/>
    <w:rsid w:val="006B4463"/>
    <w:rsid w:val="006B44B9"/>
    <w:rsid w:val="006B44E2"/>
    <w:rsid w:val="006B44E9"/>
    <w:rsid w:val="006B4539"/>
    <w:rsid w:val="006B4579"/>
    <w:rsid w:val="006B458F"/>
    <w:rsid w:val="006B4602"/>
    <w:rsid w:val="006B4766"/>
    <w:rsid w:val="006B484A"/>
    <w:rsid w:val="006B4994"/>
    <w:rsid w:val="006B499A"/>
    <w:rsid w:val="006B49F6"/>
    <w:rsid w:val="006B4A53"/>
    <w:rsid w:val="006B4A90"/>
    <w:rsid w:val="006B4B48"/>
    <w:rsid w:val="006B4C0E"/>
    <w:rsid w:val="006B4F11"/>
    <w:rsid w:val="006B4F37"/>
    <w:rsid w:val="006B4F63"/>
    <w:rsid w:val="006B503D"/>
    <w:rsid w:val="006B5129"/>
    <w:rsid w:val="006B521E"/>
    <w:rsid w:val="006B5361"/>
    <w:rsid w:val="006B5427"/>
    <w:rsid w:val="006B553C"/>
    <w:rsid w:val="006B55A7"/>
    <w:rsid w:val="006B568D"/>
    <w:rsid w:val="006B58B8"/>
    <w:rsid w:val="006B58EB"/>
    <w:rsid w:val="006B5A06"/>
    <w:rsid w:val="006B5A6C"/>
    <w:rsid w:val="006B5AD9"/>
    <w:rsid w:val="006B5BAF"/>
    <w:rsid w:val="006B5C04"/>
    <w:rsid w:val="006B5C1A"/>
    <w:rsid w:val="006B5C95"/>
    <w:rsid w:val="006B5DBA"/>
    <w:rsid w:val="006B5E95"/>
    <w:rsid w:val="006B6005"/>
    <w:rsid w:val="006B6028"/>
    <w:rsid w:val="006B61B9"/>
    <w:rsid w:val="006B61F7"/>
    <w:rsid w:val="006B6424"/>
    <w:rsid w:val="006B647B"/>
    <w:rsid w:val="006B65E9"/>
    <w:rsid w:val="006B65F3"/>
    <w:rsid w:val="006B675A"/>
    <w:rsid w:val="006B677E"/>
    <w:rsid w:val="006B6810"/>
    <w:rsid w:val="006B693D"/>
    <w:rsid w:val="006B6A7C"/>
    <w:rsid w:val="006B6BD5"/>
    <w:rsid w:val="006B6BE4"/>
    <w:rsid w:val="006B6D2A"/>
    <w:rsid w:val="006B6D56"/>
    <w:rsid w:val="006B6DB2"/>
    <w:rsid w:val="006B6EB2"/>
    <w:rsid w:val="006B6F7F"/>
    <w:rsid w:val="006B6F87"/>
    <w:rsid w:val="006B70AA"/>
    <w:rsid w:val="006B71B7"/>
    <w:rsid w:val="006B71C6"/>
    <w:rsid w:val="006B737A"/>
    <w:rsid w:val="006B739B"/>
    <w:rsid w:val="006B7439"/>
    <w:rsid w:val="006B743F"/>
    <w:rsid w:val="006B74F1"/>
    <w:rsid w:val="006B7779"/>
    <w:rsid w:val="006B7828"/>
    <w:rsid w:val="006B784E"/>
    <w:rsid w:val="006B7A78"/>
    <w:rsid w:val="006B7A98"/>
    <w:rsid w:val="006B7E22"/>
    <w:rsid w:val="006B7E4C"/>
    <w:rsid w:val="006B7FEF"/>
    <w:rsid w:val="006C00D8"/>
    <w:rsid w:val="006C0107"/>
    <w:rsid w:val="006C0158"/>
    <w:rsid w:val="006C020C"/>
    <w:rsid w:val="006C0224"/>
    <w:rsid w:val="006C02EA"/>
    <w:rsid w:val="006C03BE"/>
    <w:rsid w:val="006C0465"/>
    <w:rsid w:val="006C0523"/>
    <w:rsid w:val="006C0584"/>
    <w:rsid w:val="006C06FF"/>
    <w:rsid w:val="006C083C"/>
    <w:rsid w:val="006C08D6"/>
    <w:rsid w:val="006C08E3"/>
    <w:rsid w:val="006C0910"/>
    <w:rsid w:val="006C0A7E"/>
    <w:rsid w:val="006C0ADF"/>
    <w:rsid w:val="006C0BE8"/>
    <w:rsid w:val="006C0C1E"/>
    <w:rsid w:val="006C0C2E"/>
    <w:rsid w:val="006C0CC9"/>
    <w:rsid w:val="006C0EA6"/>
    <w:rsid w:val="006C0F07"/>
    <w:rsid w:val="006C0FA6"/>
    <w:rsid w:val="006C0FD8"/>
    <w:rsid w:val="006C101C"/>
    <w:rsid w:val="006C10CE"/>
    <w:rsid w:val="006C1191"/>
    <w:rsid w:val="006C120A"/>
    <w:rsid w:val="006C132B"/>
    <w:rsid w:val="006C1374"/>
    <w:rsid w:val="006C14A1"/>
    <w:rsid w:val="006C158D"/>
    <w:rsid w:val="006C15AD"/>
    <w:rsid w:val="006C1656"/>
    <w:rsid w:val="006C1675"/>
    <w:rsid w:val="006C167C"/>
    <w:rsid w:val="006C16CB"/>
    <w:rsid w:val="006C1750"/>
    <w:rsid w:val="006C181B"/>
    <w:rsid w:val="006C18C7"/>
    <w:rsid w:val="006C1AA6"/>
    <w:rsid w:val="006C1ADF"/>
    <w:rsid w:val="006C1D11"/>
    <w:rsid w:val="006C1D68"/>
    <w:rsid w:val="006C1ECD"/>
    <w:rsid w:val="006C1F72"/>
    <w:rsid w:val="006C20E7"/>
    <w:rsid w:val="006C2191"/>
    <w:rsid w:val="006C22B7"/>
    <w:rsid w:val="006C238B"/>
    <w:rsid w:val="006C238C"/>
    <w:rsid w:val="006C2587"/>
    <w:rsid w:val="006C259F"/>
    <w:rsid w:val="006C2661"/>
    <w:rsid w:val="006C2831"/>
    <w:rsid w:val="006C2906"/>
    <w:rsid w:val="006C2BF6"/>
    <w:rsid w:val="006C2BF7"/>
    <w:rsid w:val="006C2D68"/>
    <w:rsid w:val="006C2D95"/>
    <w:rsid w:val="006C2DC2"/>
    <w:rsid w:val="006C2E20"/>
    <w:rsid w:val="006C2F8B"/>
    <w:rsid w:val="006C303D"/>
    <w:rsid w:val="006C3058"/>
    <w:rsid w:val="006C30B4"/>
    <w:rsid w:val="006C30D8"/>
    <w:rsid w:val="006C3106"/>
    <w:rsid w:val="006C3281"/>
    <w:rsid w:val="006C3293"/>
    <w:rsid w:val="006C33B8"/>
    <w:rsid w:val="006C3405"/>
    <w:rsid w:val="006C34D7"/>
    <w:rsid w:val="006C3504"/>
    <w:rsid w:val="006C3505"/>
    <w:rsid w:val="006C3523"/>
    <w:rsid w:val="006C3551"/>
    <w:rsid w:val="006C35F1"/>
    <w:rsid w:val="006C365C"/>
    <w:rsid w:val="006C369E"/>
    <w:rsid w:val="006C3701"/>
    <w:rsid w:val="006C3732"/>
    <w:rsid w:val="006C376D"/>
    <w:rsid w:val="006C37C3"/>
    <w:rsid w:val="006C3967"/>
    <w:rsid w:val="006C39F2"/>
    <w:rsid w:val="006C39FF"/>
    <w:rsid w:val="006C3A89"/>
    <w:rsid w:val="006C3AA7"/>
    <w:rsid w:val="006C3B5B"/>
    <w:rsid w:val="006C3B8C"/>
    <w:rsid w:val="006C3DE9"/>
    <w:rsid w:val="006C3E37"/>
    <w:rsid w:val="006C3F20"/>
    <w:rsid w:val="006C3F26"/>
    <w:rsid w:val="006C3F9E"/>
    <w:rsid w:val="006C4048"/>
    <w:rsid w:val="006C42E1"/>
    <w:rsid w:val="006C4417"/>
    <w:rsid w:val="006C45E1"/>
    <w:rsid w:val="006C4653"/>
    <w:rsid w:val="006C47D8"/>
    <w:rsid w:val="006C4802"/>
    <w:rsid w:val="006C4850"/>
    <w:rsid w:val="006C4888"/>
    <w:rsid w:val="006C4963"/>
    <w:rsid w:val="006C4A4F"/>
    <w:rsid w:val="006C4BFA"/>
    <w:rsid w:val="006C4C26"/>
    <w:rsid w:val="006C4C3D"/>
    <w:rsid w:val="006C4C41"/>
    <w:rsid w:val="006C4C97"/>
    <w:rsid w:val="006C4CD6"/>
    <w:rsid w:val="006C4CE4"/>
    <w:rsid w:val="006C4D09"/>
    <w:rsid w:val="006C4D46"/>
    <w:rsid w:val="006C4D67"/>
    <w:rsid w:val="006C4DD8"/>
    <w:rsid w:val="006C4E35"/>
    <w:rsid w:val="006C4E6F"/>
    <w:rsid w:val="006C4EF6"/>
    <w:rsid w:val="006C4F49"/>
    <w:rsid w:val="006C4FCF"/>
    <w:rsid w:val="006C4FE6"/>
    <w:rsid w:val="006C50B3"/>
    <w:rsid w:val="006C50DF"/>
    <w:rsid w:val="006C51B7"/>
    <w:rsid w:val="006C521F"/>
    <w:rsid w:val="006C5263"/>
    <w:rsid w:val="006C53C5"/>
    <w:rsid w:val="006C54B0"/>
    <w:rsid w:val="006C55C3"/>
    <w:rsid w:val="006C5666"/>
    <w:rsid w:val="006C569F"/>
    <w:rsid w:val="006C56DD"/>
    <w:rsid w:val="006C57ED"/>
    <w:rsid w:val="006C582F"/>
    <w:rsid w:val="006C5865"/>
    <w:rsid w:val="006C5880"/>
    <w:rsid w:val="006C58C2"/>
    <w:rsid w:val="006C5AC9"/>
    <w:rsid w:val="006C5B03"/>
    <w:rsid w:val="006C5B79"/>
    <w:rsid w:val="006C5BD9"/>
    <w:rsid w:val="006C5D20"/>
    <w:rsid w:val="006C5E09"/>
    <w:rsid w:val="006C6062"/>
    <w:rsid w:val="006C617D"/>
    <w:rsid w:val="006C61F8"/>
    <w:rsid w:val="006C6241"/>
    <w:rsid w:val="006C62C3"/>
    <w:rsid w:val="006C63F2"/>
    <w:rsid w:val="006C64A7"/>
    <w:rsid w:val="006C657F"/>
    <w:rsid w:val="006C65E2"/>
    <w:rsid w:val="006C67D1"/>
    <w:rsid w:val="006C67F1"/>
    <w:rsid w:val="006C6882"/>
    <w:rsid w:val="006C699C"/>
    <w:rsid w:val="006C69EA"/>
    <w:rsid w:val="006C6F2B"/>
    <w:rsid w:val="006C6F78"/>
    <w:rsid w:val="006C6F83"/>
    <w:rsid w:val="006C6F97"/>
    <w:rsid w:val="006C70B5"/>
    <w:rsid w:val="006C70B8"/>
    <w:rsid w:val="006C70D5"/>
    <w:rsid w:val="006C7151"/>
    <w:rsid w:val="006C7179"/>
    <w:rsid w:val="006C7381"/>
    <w:rsid w:val="006C73D6"/>
    <w:rsid w:val="006C75A5"/>
    <w:rsid w:val="006C763F"/>
    <w:rsid w:val="006C7737"/>
    <w:rsid w:val="006C77A1"/>
    <w:rsid w:val="006C77BC"/>
    <w:rsid w:val="006C77C4"/>
    <w:rsid w:val="006C7800"/>
    <w:rsid w:val="006C7809"/>
    <w:rsid w:val="006C79C0"/>
    <w:rsid w:val="006C7AE2"/>
    <w:rsid w:val="006C7B5D"/>
    <w:rsid w:val="006C7C80"/>
    <w:rsid w:val="006C7D55"/>
    <w:rsid w:val="006C7E6C"/>
    <w:rsid w:val="006C7F3F"/>
    <w:rsid w:val="006D0027"/>
    <w:rsid w:val="006D0170"/>
    <w:rsid w:val="006D02A4"/>
    <w:rsid w:val="006D02DB"/>
    <w:rsid w:val="006D02EF"/>
    <w:rsid w:val="006D0341"/>
    <w:rsid w:val="006D03A2"/>
    <w:rsid w:val="006D043D"/>
    <w:rsid w:val="006D0499"/>
    <w:rsid w:val="006D0701"/>
    <w:rsid w:val="006D070D"/>
    <w:rsid w:val="006D0757"/>
    <w:rsid w:val="006D08F2"/>
    <w:rsid w:val="006D099C"/>
    <w:rsid w:val="006D0A22"/>
    <w:rsid w:val="006D0CAD"/>
    <w:rsid w:val="006D0D89"/>
    <w:rsid w:val="006D0F34"/>
    <w:rsid w:val="006D0F3F"/>
    <w:rsid w:val="006D1104"/>
    <w:rsid w:val="006D117F"/>
    <w:rsid w:val="006D11E3"/>
    <w:rsid w:val="006D125A"/>
    <w:rsid w:val="006D1301"/>
    <w:rsid w:val="006D1322"/>
    <w:rsid w:val="006D13CB"/>
    <w:rsid w:val="006D14F7"/>
    <w:rsid w:val="006D14F9"/>
    <w:rsid w:val="006D1858"/>
    <w:rsid w:val="006D1926"/>
    <w:rsid w:val="006D195A"/>
    <w:rsid w:val="006D1A74"/>
    <w:rsid w:val="006D1B0C"/>
    <w:rsid w:val="006D1C9D"/>
    <w:rsid w:val="006D1CFB"/>
    <w:rsid w:val="006D1D01"/>
    <w:rsid w:val="006D1D65"/>
    <w:rsid w:val="006D1F85"/>
    <w:rsid w:val="006D1FA0"/>
    <w:rsid w:val="006D2047"/>
    <w:rsid w:val="006D20AD"/>
    <w:rsid w:val="006D2128"/>
    <w:rsid w:val="006D21AC"/>
    <w:rsid w:val="006D2204"/>
    <w:rsid w:val="006D22AA"/>
    <w:rsid w:val="006D25EA"/>
    <w:rsid w:val="006D27CF"/>
    <w:rsid w:val="006D293F"/>
    <w:rsid w:val="006D2A3B"/>
    <w:rsid w:val="006D2A69"/>
    <w:rsid w:val="006D2A80"/>
    <w:rsid w:val="006D2BA5"/>
    <w:rsid w:val="006D2C06"/>
    <w:rsid w:val="006D2CFF"/>
    <w:rsid w:val="006D2D10"/>
    <w:rsid w:val="006D2DA0"/>
    <w:rsid w:val="006D306E"/>
    <w:rsid w:val="006D30A5"/>
    <w:rsid w:val="006D3144"/>
    <w:rsid w:val="006D31A4"/>
    <w:rsid w:val="006D31E7"/>
    <w:rsid w:val="006D3263"/>
    <w:rsid w:val="006D3304"/>
    <w:rsid w:val="006D330F"/>
    <w:rsid w:val="006D339A"/>
    <w:rsid w:val="006D3550"/>
    <w:rsid w:val="006D355F"/>
    <w:rsid w:val="006D36C5"/>
    <w:rsid w:val="006D370F"/>
    <w:rsid w:val="006D3712"/>
    <w:rsid w:val="006D377A"/>
    <w:rsid w:val="006D37F3"/>
    <w:rsid w:val="006D3903"/>
    <w:rsid w:val="006D3914"/>
    <w:rsid w:val="006D3AF9"/>
    <w:rsid w:val="006D3B64"/>
    <w:rsid w:val="006D3BCB"/>
    <w:rsid w:val="006D3BE5"/>
    <w:rsid w:val="006D3DBF"/>
    <w:rsid w:val="006D3E24"/>
    <w:rsid w:val="006D3EE0"/>
    <w:rsid w:val="006D3F72"/>
    <w:rsid w:val="006D3F98"/>
    <w:rsid w:val="006D4064"/>
    <w:rsid w:val="006D4116"/>
    <w:rsid w:val="006D416A"/>
    <w:rsid w:val="006D421D"/>
    <w:rsid w:val="006D44D5"/>
    <w:rsid w:val="006D45FE"/>
    <w:rsid w:val="006D4647"/>
    <w:rsid w:val="006D466F"/>
    <w:rsid w:val="006D46BF"/>
    <w:rsid w:val="006D48FB"/>
    <w:rsid w:val="006D4990"/>
    <w:rsid w:val="006D4A9A"/>
    <w:rsid w:val="006D4BA8"/>
    <w:rsid w:val="006D4BD2"/>
    <w:rsid w:val="006D4CB8"/>
    <w:rsid w:val="006D4CBE"/>
    <w:rsid w:val="006D4CE0"/>
    <w:rsid w:val="006D4D6C"/>
    <w:rsid w:val="006D4E0E"/>
    <w:rsid w:val="006D4E50"/>
    <w:rsid w:val="006D4F91"/>
    <w:rsid w:val="006D4FBA"/>
    <w:rsid w:val="006D50F0"/>
    <w:rsid w:val="006D5237"/>
    <w:rsid w:val="006D52C9"/>
    <w:rsid w:val="006D530D"/>
    <w:rsid w:val="006D54C2"/>
    <w:rsid w:val="006D561E"/>
    <w:rsid w:val="006D5695"/>
    <w:rsid w:val="006D5721"/>
    <w:rsid w:val="006D59BF"/>
    <w:rsid w:val="006D5AA3"/>
    <w:rsid w:val="006D5BFC"/>
    <w:rsid w:val="006D5CFB"/>
    <w:rsid w:val="006D5E08"/>
    <w:rsid w:val="006D5E27"/>
    <w:rsid w:val="006D5ECC"/>
    <w:rsid w:val="006D5F48"/>
    <w:rsid w:val="006D5FA6"/>
    <w:rsid w:val="006D5FDF"/>
    <w:rsid w:val="006D602C"/>
    <w:rsid w:val="006D60A5"/>
    <w:rsid w:val="006D613B"/>
    <w:rsid w:val="006D6357"/>
    <w:rsid w:val="006D63ED"/>
    <w:rsid w:val="006D6573"/>
    <w:rsid w:val="006D6599"/>
    <w:rsid w:val="006D66F9"/>
    <w:rsid w:val="006D6716"/>
    <w:rsid w:val="006D6770"/>
    <w:rsid w:val="006D683E"/>
    <w:rsid w:val="006D6B4E"/>
    <w:rsid w:val="006D6C8C"/>
    <w:rsid w:val="006D6DA1"/>
    <w:rsid w:val="006D6E44"/>
    <w:rsid w:val="006D6E66"/>
    <w:rsid w:val="006D703E"/>
    <w:rsid w:val="006D7048"/>
    <w:rsid w:val="006D707E"/>
    <w:rsid w:val="006D70FB"/>
    <w:rsid w:val="006D718B"/>
    <w:rsid w:val="006D7192"/>
    <w:rsid w:val="006D7248"/>
    <w:rsid w:val="006D7548"/>
    <w:rsid w:val="006D75C8"/>
    <w:rsid w:val="006D76A5"/>
    <w:rsid w:val="006D76DD"/>
    <w:rsid w:val="006D7726"/>
    <w:rsid w:val="006D78C4"/>
    <w:rsid w:val="006D79F5"/>
    <w:rsid w:val="006D7A32"/>
    <w:rsid w:val="006D7B1A"/>
    <w:rsid w:val="006D7B66"/>
    <w:rsid w:val="006D7BAF"/>
    <w:rsid w:val="006D7BF9"/>
    <w:rsid w:val="006D7BFB"/>
    <w:rsid w:val="006D7CDA"/>
    <w:rsid w:val="006D7D8A"/>
    <w:rsid w:val="006D7D90"/>
    <w:rsid w:val="006E0176"/>
    <w:rsid w:val="006E01A1"/>
    <w:rsid w:val="006E01E7"/>
    <w:rsid w:val="006E0236"/>
    <w:rsid w:val="006E0795"/>
    <w:rsid w:val="006E08C6"/>
    <w:rsid w:val="006E0916"/>
    <w:rsid w:val="006E0B88"/>
    <w:rsid w:val="006E0C05"/>
    <w:rsid w:val="006E0C76"/>
    <w:rsid w:val="006E0CC3"/>
    <w:rsid w:val="006E0D65"/>
    <w:rsid w:val="006E0D92"/>
    <w:rsid w:val="006E0D9C"/>
    <w:rsid w:val="006E0E2E"/>
    <w:rsid w:val="006E0E32"/>
    <w:rsid w:val="006E0E48"/>
    <w:rsid w:val="006E0EFC"/>
    <w:rsid w:val="006E0F3B"/>
    <w:rsid w:val="006E1001"/>
    <w:rsid w:val="006E1009"/>
    <w:rsid w:val="006E10D4"/>
    <w:rsid w:val="006E1130"/>
    <w:rsid w:val="006E12D8"/>
    <w:rsid w:val="006E1330"/>
    <w:rsid w:val="006E1420"/>
    <w:rsid w:val="006E1432"/>
    <w:rsid w:val="006E14BE"/>
    <w:rsid w:val="006E1511"/>
    <w:rsid w:val="006E1764"/>
    <w:rsid w:val="006E1793"/>
    <w:rsid w:val="006E1977"/>
    <w:rsid w:val="006E1A7E"/>
    <w:rsid w:val="006E1C47"/>
    <w:rsid w:val="006E1CFD"/>
    <w:rsid w:val="006E1D57"/>
    <w:rsid w:val="006E1D5C"/>
    <w:rsid w:val="006E1D7C"/>
    <w:rsid w:val="006E1E7F"/>
    <w:rsid w:val="006E1F15"/>
    <w:rsid w:val="006E1F22"/>
    <w:rsid w:val="006E1F36"/>
    <w:rsid w:val="006E1FD6"/>
    <w:rsid w:val="006E2129"/>
    <w:rsid w:val="006E231D"/>
    <w:rsid w:val="006E23DC"/>
    <w:rsid w:val="006E2403"/>
    <w:rsid w:val="006E274C"/>
    <w:rsid w:val="006E27BA"/>
    <w:rsid w:val="006E2804"/>
    <w:rsid w:val="006E2950"/>
    <w:rsid w:val="006E295D"/>
    <w:rsid w:val="006E2ACC"/>
    <w:rsid w:val="006E2BE2"/>
    <w:rsid w:val="006E2DAF"/>
    <w:rsid w:val="006E2DE8"/>
    <w:rsid w:val="006E2E2E"/>
    <w:rsid w:val="006E2E3A"/>
    <w:rsid w:val="006E2E70"/>
    <w:rsid w:val="006E323A"/>
    <w:rsid w:val="006E323F"/>
    <w:rsid w:val="006E32A1"/>
    <w:rsid w:val="006E32F4"/>
    <w:rsid w:val="006E32FE"/>
    <w:rsid w:val="006E3328"/>
    <w:rsid w:val="006E3395"/>
    <w:rsid w:val="006E34BD"/>
    <w:rsid w:val="006E3534"/>
    <w:rsid w:val="006E357B"/>
    <w:rsid w:val="006E3757"/>
    <w:rsid w:val="006E386C"/>
    <w:rsid w:val="006E39A7"/>
    <w:rsid w:val="006E3A39"/>
    <w:rsid w:val="006E3A75"/>
    <w:rsid w:val="006E3BD1"/>
    <w:rsid w:val="006E3C55"/>
    <w:rsid w:val="006E3CBA"/>
    <w:rsid w:val="006E3DAD"/>
    <w:rsid w:val="006E3EAC"/>
    <w:rsid w:val="006E3F06"/>
    <w:rsid w:val="006E3F2E"/>
    <w:rsid w:val="006E3F55"/>
    <w:rsid w:val="006E4066"/>
    <w:rsid w:val="006E4142"/>
    <w:rsid w:val="006E414F"/>
    <w:rsid w:val="006E41D1"/>
    <w:rsid w:val="006E425B"/>
    <w:rsid w:val="006E425E"/>
    <w:rsid w:val="006E42C5"/>
    <w:rsid w:val="006E4372"/>
    <w:rsid w:val="006E44AD"/>
    <w:rsid w:val="006E4573"/>
    <w:rsid w:val="006E45E6"/>
    <w:rsid w:val="006E471E"/>
    <w:rsid w:val="006E49D6"/>
    <w:rsid w:val="006E4A1A"/>
    <w:rsid w:val="006E4BBF"/>
    <w:rsid w:val="006E4C71"/>
    <w:rsid w:val="006E4E11"/>
    <w:rsid w:val="006E4E45"/>
    <w:rsid w:val="006E4FCD"/>
    <w:rsid w:val="006E4FDF"/>
    <w:rsid w:val="006E50D1"/>
    <w:rsid w:val="006E51C2"/>
    <w:rsid w:val="006E51DB"/>
    <w:rsid w:val="006E5341"/>
    <w:rsid w:val="006E543A"/>
    <w:rsid w:val="006E5442"/>
    <w:rsid w:val="006E5484"/>
    <w:rsid w:val="006E548D"/>
    <w:rsid w:val="006E5545"/>
    <w:rsid w:val="006E5651"/>
    <w:rsid w:val="006E5723"/>
    <w:rsid w:val="006E591A"/>
    <w:rsid w:val="006E59B7"/>
    <w:rsid w:val="006E5A16"/>
    <w:rsid w:val="006E5A55"/>
    <w:rsid w:val="006E5B61"/>
    <w:rsid w:val="006E5E1F"/>
    <w:rsid w:val="006E5F15"/>
    <w:rsid w:val="006E5F33"/>
    <w:rsid w:val="006E5F38"/>
    <w:rsid w:val="006E5FB8"/>
    <w:rsid w:val="006E607C"/>
    <w:rsid w:val="006E6099"/>
    <w:rsid w:val="006E60ED"/>
    <w:rsid w:val="006E627C"/>
    <w:rsid w:val="006E62C4"/>
    <w:rsid w:val="006E62F5"/>
    <w:rsid w:val="006E6421"/>
    <w:rsid w:val="006E6426"/>
    <w:rsid w:val="006E6459"/>
    <w:rsid w:val="006E64BA"/>
    <w:rsid w:val="006E6602"/>
    <w:rsid w:val="006E66EB"/>
    <w:rsid w:val="006E685E"/>
    <w:rsid w:val="006E6937"/>
    <w:rsid w:val="006E699A"/>
    <w:rsid w:val="006E6A13"/>
    <w:rsid w:val="006E6AC2"/>
    <w:rsid w:val="006E6AE8"/>
    <w:rsid w:val="006E6B55"/>
    <w:rsid w:val="006E6B7F"/>
    <w:rsid w:val="006E6BC4"/>
    <w:rsid w:val="006E6C0F"/>
    <w:rsid w:val="006E6C95"/>
    <w:rsid w:val="006E6D6A"/>
    <w:rsid w:val="006E6DF3"/>
    <w:rsid w:val="006E6E93"/>
    <w:rsid w:val="006E6EE1"/>
    <w:rsid w:val="006E6F92"/>
    <w:rsid w:val="006E6FAC"/>
    <w:rsid w:val="006E6FBC"/>
    <w:rsid w:val="006E70B3"/>
    <w:rsid w:val="006E70E3"/>
    <w:rsid w:val="006E7129"/>
    <w:rsid w:val="006E712F"/>
    <w:rsid w:val="006E72F4"/>
    <w:rsid w:val="006E72FD"/>
    <w:rsid w:val="006E7392"/>
    <w:rsid w:val="006E7496"/>
    <w:rsid w:val="006E7535"/>
    <w:rsid w:val="006E7619"/>
    <w:rsid w:val="006E7662"/>
    <w:rsid w:val="006E769E"/>
    <w:rsid w:val="006E76D8"/>
    <w:rsid w:val="006E773A"/>
    <w:rsid w:val="006E7928"/>
    <w:rsid w:val="006E793A"/>
    <w:rsid w:val="006E7A78"/>
    <w:rsid w:val="006E7A92"/>
    <w:rsid w:val="006E7BC5"/>
    <w:rsid w:val="006E7C1B"/>
    <w:rsid w:val="006E7C44"/>
    <w:rsid w:val="006E7C81"/>
    <w:rsid w:val="006E7D85"/>
    <w:rsid w:val="006E7DB3"/>
    <w:rsid w:val="006E7F38"/>
    <w:rsid w:val="006E9199"/>
    <w:rsid w:val="006F0152"/>
    <w:rsid w:val="006F0168"/>
    <w:rsid w:val="006F02CF"/>
    <w:rsid w:val="006F03B4"/>
    <w:rsid w:val="006F03B8"/>
    <w:rsid w:val="006F059A"/>
    <w:rsid w:val="006F0623"/>
    <w:rsid w:val="006F0661"/>
    <w:rsid w:val="006F06B2"/>
    <w:rsid w:val="006F06C6"/>
    <w:rsid w:val="006F06EB"/>
    <w:rsid w:val="006F0706"/>
    <w:rsid w:val="006F070A"/>
    <w:rsid w:val="006F07A2"/>
    <w:rsid w:val="006F088C"/>
    <w:rsid w:val="006F0958"/>
    <w:rsid w:val="006F0969"/>
    <w:rsid w:val="006F0BCC"/>
    <w:rsid w:val="006F0C19"/>
    <w:rsid w:val="006F0D13"/>
    <w:rsid w:val="006F1032"/>
    <w:rsid w:val="006F105B"/>
    <w:rsid w:val="006F1087"/>
    <w:rsid w:val="006F1256"/>
    <w:rsid w:val="006F126B"/>
    <w:rsid w:val="006F1385"/>
    <w:rsid w:val="006F14BB"/>
    <w:rsid w:val="006F163E"/>
    <w:rsid w:val="006F176C"/>
    <w:rsid w:val="006F1897"/>
    <w:rsid w:val="006F18C2"/>
    <w:rsid w:val="006F18D9"/>
    <w:rsid w:val="006F198C"/>
    <w:rsid w:val="006F19D8"/>
    <w:rsid w:val="006F1A60"/>
    <w:rsid w:val="006F1A91"/>
    <w:rsid w:val="006F1AB8"/>
    <w:rsid w:val="006F1B81"/>
    <w:rsid w:val="006F1BBB"/>
    <w:rsid w:val="006F1C57"/>
    <w:rsid w:val="006F1D62"/>
    <w:rsid w:val="006F1EE5"/>
    <w:rsid w:val="006F1F44"/>
    <w:rsid w:val="006F2101"/>
    <w:rsid w:val="006F211B"/>
    <w:rsid w:val="006F23BA"/>
    <w:rsid w:val="006F2564"/>
    <w:rsid w:val="006F26F5"/>
    <w:rsid w:val="006F2808"/>
    <w:rsid w:val="006F28BA"/>
    <w:rsid w:val="006F29B5"/>
    <w:rsid w:val="006F2A6D"/>
    <w:rsid w:val="006F2AC0"/>
    <w:rsid w:val="006F2E07"/>
    <w:rsid w:val="006F2F0D"/>
    <w:rsid w:val="006F339B"/>
    <w:rsid w:val="006F3513"/>
    <w:rsid w:val="006F3578"/>
    <w:rsid w:val="006F35C3"/>
    <w:rsid w:val="006F3737"/>
    <w:rsid w:val="006F3782"/>
    <w:rsid w:val="006F389E"/>
    <w:rsid w:val="006F38F3"/>
    <w:rsid w:val="006F3952"/>
    <w:rsid w:val="006F396B"/>
    <w:rsid w:val="006F39C9"/>
    <w:rsid w:val="006F39CE"/>
    <w:rsid w:val="006F3AD8"/>
    <w:rsid w:val="006F3BE3"/>
    <w:rsid w:val="006F3CD7"/>
    <w:rsid w:val="006F3CF8"/>
    <w:rsid w:val="006F3DAA"/>
    <w:rsid w:val="006F3DC5"/>
    <w:rsid w:val="006F3ECD"/>
    <w:rsid w:val="006F3F6B"/>
    <w:rsid w:val="006F4048"/>
    <w:rsid w:val="006F4090"/>
    <w:rsid w:val="006F41EC"/>
    <w:rsid w:val="006F4244"/>
    <w:rsid w:val="006F4263"/>
    <w:rsid w:val="006F42A8"/>
    <w:rsid w:val="006F42C0"/>
    <w:rsid w:val="006F4334"/>
    <w:rsid w:val="006F4429"/>
    <w:rsid w:val="006F4481"/>
    <w:rsid w:val="006F45C5"/>
    <w:rsid w:val="006F4752"/>
    <w:rsid w:val="006F479D"/>
    <w:rsid w:val="006F4809"/>
    <w:rsid w:val="006F487E"/>
    <w:rsid w:val="006F4AA1"/>
    <w:rsid w:val="006F4B2E"/>
    <w:rsid w:val="006F4C03"/>
    <w:rsid w:val="006F4C19"/>
    <w:rsid w:val="006F4C30"/>
    <w:rsid w:val="006F4C3E"/>
    <w:rsid w:val="006F4CB0"/>
    <w:rsid w:val="006F4D23"/>
    <w:rsid w:val="006F4DFD"/>
    <w:rsid w:val="006F4F48"/>
    <w:rsid w:val="006F500E"/>
    <w:rsid w:val="006F5060"/>
    <w:rsid w:val="006F51AD"/>
    <w:rsid w:val="006F5285"/>
    <w:rsid w:val="006F52A1"/>
    <w:rsid w:val="006F539F"/>
    <w:rsid w:val="006F53D5"/>
    <w:rsid w:val="006F53EC"/>
    <w:rsid w:val="006F5491"/>
    <w:rsid w:val="006F54AE"/>
    <w:rsid w:val="006F5516"/>
    <w:rsid w:val="006F5671"/>
    <w:rsid w:val="006F583E"/>
    <w:rsid w:val="006F584C"/>
    <w:rsid w:val="006F5862"/>
    <w:rsid w:val="006F5922"/>
    <w:rsid w:val="006F592B"/>
    <w:rsid w:val="006F599D"/>
    <w:rsid w:val="006F5CA3"/>
    <w:rsid w:val="006F5CF3"/>
    <w:rsid w:val="006F5D24"/>
    <w:rsid w:val="006F5DBE"/>
    <w:rsid w:val="006F5DDC"/>
    <w:rsid w:val="006F5E60"/>
    <w:rsid w:val="006F5E8A"/>
    <w:rsid w:val="006F5F19"/>
    <w:rsid w:val="006F5F55"/>
    <w:rsid w:val="006F5F5E"/>
    <w:rsid w:val="006F5FFF"/>
    <w:rsid w:val="006F604C"/>
    <w:rsid w:val="006F60F7"/>
    <w:rsid w:val="006F617E"/>
    <w:rsid w:val="006F6283"/>
    <w:rsid w:val="006F63A9"/>
    <w:rsid w:val="006F63F6"/>
    <w:rsid w:val="006F644C"/>
    <w:rsid w:val="006F647B"/>
    <w:rsid w:val="006F6671"/>
    <w:rsid w:val="006F6777"/>
    <w:rsid w:val="006F6818"/>
    <w:rsid w:val="006F68C4"/>
    <w:rsid w:val="006F69F3"/>
    <w:rsid w:val="006F6A9B"/>
    <w:rsid w:val="006F6BFE"/>
    <w:rsid w:val="006F6E8D"/>
    <w:rsid w:val="006F6F61"/>
    <w:rsid w:val="006F6FF4"/>
    <w:rsid w:val="006F6FFC"/>
    <w:rsid w:val="006F7108"/>
    <w:rsid w:val="006F73EE"/>
    <w:rsid w:val="006F760E"/>
    <w:rsid w:val="006F7786"/>
    <w:rsid w:val="006F77E8"/>
    <w:rsid w:val="006F7938"/>
    <w:rsid w:val="006F7B7A"/>
    <w:rsid w:val="006F7BF1"/>
    <w:rsid w:val="006F7BF7"/>
    <w:rsid w:val="006F7C3B"/>
    <w:rsid w:val="006F7C6A"/>
    <w:rsid w:val="006F7C8B"/>
    <w:rsid w:val="006F7CD7"/>
    <w:rsid w:val="006F7D67"/>
    <w:rsid w:val="006F7EFF"/>
    <w:rsid w:val="006F7F1D"/>
    <w:rsid w:val="006F7F5F"/>
    <w:rsid w:val="00700057"/>
    <w:rsid w:val="007000F8"/>
    <w:rsid w:val="00700104"/>
    <w:rsid w:val="00700117"/>
    <w:rsid w:val="0070013C"/>
    <w:rsid w:val="0070015A"/>
    <w:rsid w:val="00700196"/>
    <w:rsid w:val="0070037E"/>
    <w:rsid w:val="00700451"/>
    <w:rsid w:val="00700571"/>
    <w:rsid w:val="007005C5"/>
    <w:rsid w:val="00700691"/>
    <w:rsid w:val="00700735"/>
    <w:rsid w:val="007007BC"/>
    <w:rsid w:val="0070080B"/>
    <w:rsid w:val="007008BE"/>
    <w:rsid w:val="00700913"/>
    <w:rsid w:val="007009EA"/>
    <w:rsid w:val="00700A1F"/>
    <w:rsid w:val="00700AD3"/>
    <w:rsid w:val="00700ADA"/>
    <w:rsid w:val="00700B73"/>
    <w:rsid w:val="00700D1F"/>
    <w:rsid w:val="00700EB0"/>
    <w:rsid w:val="00700EDB"/>
    <w:rsid w:val="00700FF8"/>
    <w:rsid w:val="007010C1"/>
    <w:rsid w:val="007010C7"/>
    <w:rsid w:val="00701148"/>
    <w:rsid w:val="00701166"/>
    <w:rsid w:val="00701276"/>
    <w:rsid w:val="0070134C"/>
    <w:rsid w:val="00701764"/>
    <w:rsid w:val="007017D2"/>
    <w:rsid w:val="00701924"/>
    <w:rsid w:val="00701949"/>
    <w:rsid w:val="00701A59"/>
    <w:rsid w:val="00701BF9"/>
    <w:rsid w:val="00701CA7"/>
    <w:rsid w:val="00701F9A"/>
    <w:rsid w:val="00701FAA"/>
    <w:rsid w:val="00702011"/>
    <w:rsid w:val="0070206E"/>
    <w:rsid w:val="007022B5"/>
    <w:rsid w:val="00702357"/>
    <w:rsid w:val="0070239D"/>
    <w:rsid w:val="007024E6"/>
    <w:rsid w:val="0070256E"/>
    <w:rsid w:val="007025D1"/>
    <w:rsid w:val="007025ED"/>
    <w:rsid w:val="00702617"/>
    <w:rsid w:val="0070274B"/>
    <w:rsid w:val="0070276F"/>
    <w:rsid w:val="00702876"/>
    <w:rsid w:val="00702A2C"/>
    <w:rsid w:val="00702B12"/>
    <w:rsid w:val="00702D80"/>
    <w:rsid w:val="00702E39"/>
    <w:rsid w:val="00702E5E"/>
    <w:rsid w:val="00702FA3"/>
    <w:rsid w:val="00703103"/>
    <w:rsid w:val="0070312E"/>
    <w:rsid w:val="00703136"/>
    <w:rsid w:val="007031F7"/>
    <w:rsid w:val="00703411"/>
    <w:rsid w:val="0070347B"/>
    <w:rsid w:val="00703594"/>
    <w:rsid w:val="00703672"/>
    <w:rsid w:val="007037D6"/>
    <w:rsid w:val="007037F6"/>
    <w:rsid w:val="007038AA"/>
    <w:rsid w:val="00703973"/>
    <w:rsid w:val="0070398D"/>
    <w:rsid w:val="007039CB"/>
    <w:rsid w:val="00703AC0"/>
    <w:rsid w:val="00703AFA"/>
    <w:rsid w:val="00703BBB"/>
    <w:rsid w:val="00703C18"/>
    <w:rsid w:val="00703C2E"/>
    <w:rsid w:val="00703C5D"/>
    <w:rsid w:val="00703D55"/>
    <w:rsid w:val="00703EBB"/>
    <w:rsid w:val="00703EC8"/>
    <w:rsid w:val="00703F51"/>
    <w:rsid w:val="00703F9B"/>
    <w:rsid w:val="00703FCD"/>
    <w:rsid w:val="007040FC"/>
    <w:rsid w:val="00704149"/>
    <w:rsid w:val="0070425A"/>
    <w:rsid w:val="00704493"/>
    <w:rsid w:val="0070455E"/>
    <w:rsid w:val="00704575"/>
    <w:rsid w:val="007045CD"/>
    <w:rsid w:val="00704720"/>
    <w:rsid w:val="007047AE"/>
    <w:rsid w:val="00704A60"/>
    <w:rsid w:val="00704ACC"/>
    <w:rsid w:val="00704B0F"/>
    <w:rsid w:val="00704B36"/>
    <w:rsid w:val="00704C51"/>
    <w:rsid w:val="00704CB3"/>
    <w:rsid w:val="00704D56"/>
    <w:rsid w:val="00704DCE"/>
    <w:rsid w:val="00704DE0"/>
    <w:rsid w:val="00704E2C"/>
    <w:rsid w:val="00704EFD"/>
    <w:rsid w:val="00704F10"/>
    <w:rsid w:val="00704FF8"/>
    <w:rsid w:val="007050C0"/>
    <w:rsid w:val="00705291"/>
    <w:rsid w:val="007053BA"/>
    <w:rsid w:val="00705424"/>
    <w:rsid w:val="007054B7"/>
    <w:rsid w:val="0070567E"/>
    <w:rsid w:val="00705A4B"/>
    <w:rsid w:val="00705A67"/>
    <w:rsid w:val="00705A7C"/>
    <w:rsid w:val="00705B09"/>
    <w:rsid w:val="00705BEF"/>
    <w:rsid w:val="00705C4C"/>
    <w:rsid w:val="00705CB5"/>
    <w:rsid w:val="00705CD0"/>
    <w:rsid w:val="00705D67"/>
    <w:rsid w:val="00705D6A"/>
    <w:rsid w:val="00705EF7"/>
    <w:rsid w:val="0070605F"/>
    <w:rsid w:val="007060E1"/>
    <w:rsid w:val="007061C1"/>
    <w:rsid w:val="007061ED"/>
    <w:rsid w:val="0070620A"/>
    <w:rsid w:val="007062F8"/>
    <w:rsid w:val="00706365"/>
    <w:rsid w:val="007063A4"/>
    <w:rsid w:val="007064C7"/>
    <w:rsid w:val="007064F4"/>
    <w:rsid w:val="00706560"/>
    <w:rsid w:val="00706640"/>
    <w:rsid w:val="007066DA"/>
    <w:rsid w:val="007066E4"/>
    <w:rsid w:val="00706702"/>
    <w:rsid w:val="0070678F"/>
    <w:rsid w:val="0070687D"/>
    <w:rsid w:val="00706916"/>
    <w:rsid w:val="00706920"/>
    <w:rsid w:val="00706A12"/>
    <w:rsid w:val="00706AE5"/>
    <w:rsid w:val="00706C98"/>
    <w:rsid w:val="00706CE6"/>
    <w:rsid w:val="00706D30"/>
    <w:rsid w:val="00706D68"/>
    <w:rsid w:val="00706DA3"/>
    <w:rsid w:val="00706DAD"/>
    <w:rsid w:val="00706DF9"/>
    <w:rsid w:val="00706EF4"/>
    <w:rsid w:val="00706F81"/>
    <w:rsid w:val="00706FE6"/>
    <w:rsid w:val="0070718A"/>
    <w:rsid w:val="007071F9"/>
    <w:rsid w:val="0070723F"/>
    <w:rsid w:val="0070737E"/>
    <w:rsid w:val="00707383"/>
    <w:rsid w:val="00707596"/>
    <w:rsid w:val="007075DD"/>
    <w:rsid w:val="007075DE"/>
    <w:rsid w:val="0070762E"/>
    <w:rsid w:val="00707710"/>
    <w:rsid w:val="00707733"/>
    <w:rsid w:val="00707734"/>
    <w:rsid w:val="0070774F"/>
    <w:rsid w:val="0070797A"/>
    <w:rsid w:val="00707AAD"/>
    <w:rsid w:val="00707AB2"/>
    <w:rsid w:val="00707ABB"/>
    <w:rsid w:val="00707AC5"/>
    <w:rsid w:val="00707E4D"/>
    <w:rsid w:val="00707EBA"/>
    <w:rsid w:val="00707F51"/>
    <w:rsid w:val="007101DF"/>
    <w:rsid w:val="007101FE"/>
    <w:rsid w:val="007103D3"/>
    <w:rsid w:val="007104E7"/>
    <w:rsid w:val="00710593"/>
    <w:rsid w:val="0071072D"/>
    <w:rsid w:val="00710810"/>
    <w:rsid w:val="007108E2"/>
    <w:rsid w:val="0071099C"/>
    <w:rsid w:val="007109A3"/>
    <w:rsid w:val="007109D5"/>
    <w:rsid w:val="00710AF5"/>
    <w:rsid w:val="00710B3E"/>
    <w:rsid w:val="00710D02"/>
    <w:rsid w:val="00710DDE"/>
    <w:rsid w:val="00710EF6"/>
    <w:rsid w:val="00711129"/>
    <w:rsid w:val="00711198"/>
    <w:rsid w:val="00711239"/>
    <w:rsid w:val="00711262"/>
    <w:rsid w:val="007112C6"/>
    <w:rsid w:val="007112DA"/>
    <w:rsid w:val="007112F2"/>
    <w:rsid w:val="007113A7"/>
    <w:rsid w:val="007113E5"/>
    <w:rsid w:val="007114D1"/>
    <w:rsid w:val="007116B9"/>
    <w:rsid w:val="0071171C"/>
    <w:rsid w:val="007117EC"/>
    <w:rsid w:val="007118F2"/>
    <w:rsid w:val="007118FE"/>
    <w:rsid w:val="007119DD"/>
    <w:rsid w:val="00711A03"/>
    <w:rsid w:val="00711A90"/>
    <w:rsid w:val="00711AE8"/>
    <w:rsid w:val="00711BA4"/>
    <w:rsid w:val="00711C57"/>
    <w:rsid w:val="00711CA5"/>
    <w:rsid w:val="00711CA9"/>
    <w:rsid w:val="00711CBE"/>
    <w:rsid w:val="00711D98"/>
    <w:rsid w:val="00711DEE"/>
    <w:rsid w:val="00711EAB"/>
    <w:rsid w:val="00711EC4"/>
    <w:rsid w:val="00711EC7"/>
    <w:rsid w:val="00712035"/>
    <w:rsid w:val="007120B6"/>
    <w:rsid w:val="0071210B"/>
    <w:rsid w:val="00712125"/>
    <w:rsid w:val="0071216C"/>
    <w:rsid w:val="007122C3"/>
    <w:rsid w:val="007123A2"/>
    <w:rsid w:val="007123BD"/>
    <w:rsid w:val="007123C3"/>
    <w:rsid w:val="007123E2"/>
    <w:rsid w:val="00712448"/>
    <w:rsid w:val="007125DF"/>
    <w:rsid w:val="007125F8"/>
    <w:rsid w:val="007126EE"/>
    <w:rsid w:val="0071278D"/>
    <w:rsid w:val="007128E6"/>
    <w:rsid w:val="00712B50"/>
    <w:rsid w:val="00712BB7"/>
    <w:rsid w:val="00712BCF"/>
    <w:rsid w:val="00712C26"/>
    <w:rsid w:val="00712D13"/>
    <w:rsid w:val="00712D71"/>
    <w:rsid w:val="00712DA5"/>
    <w:rsid w:val="00712DEC"/>
    <w:rsid w:val="00712EE1"/>
    <w:rsid w:val="00712FE8"/>
    <w:rsid w:val="007130E0"/>
    <w:rsid w:val="00713102"/>
    <w:rsid w:val="0071316B"/>
    <w:rsid w:val="0071318B"/>
    <w:rsid w:val="00713258"/>
    <w:rsid w:val="00713483"/>
    <w:rsid w:val="00713508"/>
    <w:rsid w:val="0071360E"/>
    <w:rsid w:val="0071369C"/>
    <w:rsid w:val="007136AE"/>
    <w:rsid w:val="00713741"/>
    <w:rsid w:val="00713768"/>
    <w:rsid w:val="00713809"/>
    <w:rsid w:val="0071391A"/>
    <w:rsid w:val="00713984"/>
    <w:rsid w:val="00713B50"/>
    <w:rsid w:val="00713C13"/>
    <w:rsid w:val="00713C88"/>
    <w:rsid w:val="00713CEB"/>
    <w:rsid w:val="00713E44"/>
    <w:rsid w:val="00713E4F"/>
    <w:rsid w:val="00713ED7"/>
    <w:rsid w:val="00713FD3"/>
    <w:rsid w:val="00714038"/>
    <w:rsid w:val="007140BA"/>
    <w:rsid w:val="007140BB"/>
    <w:rsid w:val="007141AA"/>
    <w:rsid w:val="00714222"/>
    <w:rsid w:val="00714281"/>
    <w:rsid w:val="007142C5"/>
    <w:rsid w:val="0071435B"/>
    <w:rsid w:val="0071463F"/>
    <w:rsid w:val="0071472F"/>
    <w:rsid w:val="007147EA"/>
    <w:rsid w:val="007149D7"/>
    <w:rsid w:val="00714A9A"/>
    <w:rsid w:val="00714ABE"/>
    <w:rsid w:val="00714B00"/>
    <w:rsid w:val="00714B42"/>
    <w:rsid w:val="00714B86"/>
    <w:rsid w:val="00714CFD"/>
    <w:rsid w:val="00714D33"/>
    <w:rsid w:val="00714DB1"/>
    <w:rsid w:val="00714DC4"/>
    <w:rsid w:val="00714E76"/>
    <w:rsid w:val="00714ECC"/>
    <w:rsid w:val="00715066"/>
    <w:rsid w:val="007150E9"/>
    <w:rsid w:val="00715203"/>
    <w:rsid w:val="007152AE"/>
    <w:rsid w:val="007152E3"/>
    <w:rsid w:val="0071532E"/>
    <w:rsid w:val="007156C2"/>
    <w:rsid w:val="007156CF"/>
    <w:rsid w:val="007156EA"/>
    <w:rsid w:val="00715777"/>
    <w:rsid w:val="007157DB"/>
    <w:rsid w:val="007157DF"/>
    <w:rsid w:val="0071580E"/>
    <w:rsid w:val="00715861"/>
    <w:rsid w:val="00715882"/>
    <w:rsid w:val="007158CB"/>
    <w:rsid w:val="007158EF"/>
    <w:rsid w:val="00715945"/>
    <w:rsid w:val="0071595D"/>
    <w:rsid w:val="00715AFA"/>
    <w:rsid w:val="00715F11"/>
    <w:rsid w:val="0071623E"/>
    <w:rsid w:val="0071624E"/>
    <w:rsid w:val="00716265"/>
    <w:rsid w:val="0071660D"/>
    <w:rsid w:val="00716731"/>
    <w:rsid w:val="00716738"/>
    <w:rsid w:val="0071683C"/>
    <w:rsid w:val="00716879"/>
    <w:rsid w:val="00716980"/>
    <w:rsid w:val="007169DE"/>
    <w:rsid w:val="007169EA"/>
    <w:rsid w:val="00716A12"/>
    <w:rsid w:val="00716B3A"/>
    <w:rsid w:val="00716C87"/>
    <w:rsid w:val="00716C8C"/>
    <w:rsid w:val="00716CA0"/>
    <w:rsid w:val="00716DAE"/>
    <w:rsid w:val="00716E4A"/>
    <w:rsid w:val="00716E67"/>
    <w:rsid w:val="00716ED9"/>
    <w:rsid w:val="00716EED"/>
    <w:rsid w:val="00716F2C"/>
    <w:rsid w:val="00716F92"/>
    <w:rsid w:val="00716F98"/>
    <w:rsid w:val="00717005"/>
    <w:rsid w:val="00717081"/>
    <w:rsid w:val="007170F0"/>
    <w:rsid w:val="007171C2"/>
    <w:rsid w:val="007171CC"/>
    <w:rsid w:val="00717452"/>
    <w:rsid w:val="00717680"/>
    <w:rsid w:val="0071769C"/>
    <w:rsid w:val="00717A5E"/>
    <w:rsid w:val="00717A80"/>
    <w:rsid w:val="00717AF2"/>
    <w:rsid w:val="00717B76"/>
    <w:rsid w:val="00717BF7"/>
    <w:rsid w:val="00717BFD"/>
    <w:rsid w:val="00717C11"/>
    <w:rsid w:val="00717CA5"/>
    <w:rsid w:val="00717CB4"/>
    <w:rsid w:val="00717CF9"/>
    <w:rsid w:val="00717DA9"/>
    <w:rsid w:val="00717DAE"/>
    <w:rsid w:val="00717F9D"/>
    <w:rsid w:val="00717FB3"/>
    <w:rsid w:val="007200A6"/>
    <w:rsid w:val="00720174"/>
    <w:rsid w:val="007201B7"/>
    <w:rsid w:val="007201E9"/>
    <w:rsid w:val="00720349"/>
    <w:rsid w:val="007203C2"/>
    <w:rsid w:val="007203F9"/>
    <w:rsid w:val="00720791"/>
    <w:rsid w:val="007208AC"/>
    <w:rsid w:val="007208F7"/>
    <w:rsid w:val="00720AFE"/>
    <w:rsid w:val="00720B8A"/>
    <w:rsid w:val="00720B93"/>
    <w:rsid w:val="00720BB2"/>
    <w:rsid w:val="00720C34"/>
    <w:rsid w:val="00720C65"/>
    <w:rsid w:val="00720CF2"/>
    <w:rsid w:val="00720D06"/>
    <w:rsid w:val="00720E2D"/>
    <w:rsid w:val="00720EA7"/>
    <w:rsid w:val="00720F53"/>
    <w:rsid w:val="00720F9B"/>
    <w:rsid w:val="0072102B"/>
    <w:rsid w:val="007210E8"/>
    <w:rsid w:val="00721192"/>
    <w:rsid w:val="007211CE"/>
    <w:rsid w:val="0072123E"/>
    <w:rsid w:val="00721246"/>
    <w:rsid w:val="007212DF"/>
    <w:rsid w:val="007212F9"/>
    <w:rsid w:val="007213DB"/>
    <w:rsid w:val="00721565"/>
    <w:rsid w:val="00721570"/>
    <w:rsid w:val="007215DC"/>
    <w:rsid w:val="00721619"/>
    <w:rsid w:val="00721660"/>
    <w:rsid w:val="007217F5"/>
    <w:rsid w:val="00721916"/>
    <w:rsid w:val="0072197B"/>
    <w:rsid w:val="00721A67"/>
    <w:rsid w:val="00721AB3"/>
    <w:rsid w:val="00721AE5"/>
    <w:rsid w:val="00721B2B"/>
    <w:rsid w:val="00721C2D"/>
    <w:rsid w:val="00721DB4"/>
    <w:rsid w:val="00721E12"/>
    <w:rsid w:val="00721E4F"/>
    <w:rsid w:val="00721F1C"/>
    <w:rsid w:val="00721F69"/>
    <w:rsid w:val="00722040"/>
    <w:rsid w:val="007220B6"/>
    <w:rsid w:val="007220CB"/>
    <w:rsid w:val="0072212C"/>
    <w:rsid w:val="007221F2"/>
    <w:rsid w:val="0072249C"/>
    <w:rsid w:val="0072278A"/>
    <w:rsid w:val="007227BB"/>
    <w:rsid w:val="007227EA"/>
    <w:rsid w:val="007228ED"/>
    <w:rsid w:val="0072299D"/>
    <w:rsid w:val="00722A88"/>
    <w:rsid w:val="00722BB5"/>
    <w:rsid w:val="00722BFE"/>
    <w:rsid w:val="00722CD3"/>
    <w:rsid w:val="00722D3C"/>
    <w:rsid w:val="00722F33"/>
    <w:rsid w:val="007230DA"/>
    <w:rsid w:val="00723267"/>
    <w:rsid w:val="007233D7"/>
    <w:rsid w:val="00723457"/>
    <w:rsid w:val="007234A3"/>
    <w:rsid w:val="007235BC"/>
    <w:rsid w:val="007235BD"/>
    <w:rsid w:val="007235BE"/>
    <w:rsid w:val="007236FE"/>
    <w:rsid w:val="0072377F"/>
    <w:rsid w:val="00723984"/>
    <w:rsid w:val="00723AD0"/>
    <w:rsid w:val="00723B13"/>
    <w:rsid w:val="00723B36"/>
    <w:rsid w:val="00723B60"/>
    <w:rsid w:val="00723B68"/>
    <w:rsid w:val="00723BBE"/>
    <w:rsid w:val="00723D4E"/>
    <w:rsid w:val="00723F5B"/>
    <w:rsid w:val="00724182"/>
    <w:rsid w:val="007241ED"/>
    <w:rsid w:val="00724217"/>
    <w:rsid w:val="00724360"/>
    <w:rsid w:val="0072443C"/>
    <w:rsid w:val="00724546"/>
    <w:rsid w:val="0072460A"/>
    <w:rsid w:val="00724652"/>
    <w:rsid w:val="0072467E"/>
    <w:rsid w:val="0072469A"/>
    <w:rsid w:val="007246BA"/>
    <w:rsid w:val="00724924"/>
    <w:rsid w:val="00724A19"/>
    <w:rsid w:val="00724A92"/>
    <w:rsid w:val="00724B6D"/>
    <w:rsid w:val="00724B6F"/>
    <w:rsid w:val="00724CAB"/>
    <w:rsid w:val="00724EAC"/>
    <w:rsid w:val="00724F36"/>
    <w:rsid w:val="00724F8A"/>
    <w:rsid w:val="00724FB5"/>
    <w:rsid w:val="00725085"/>
    <w:rsid w:val="007250BC"/>
    <w:rsid w:val="007250DC"/>
    <w:rsid w:val="00725258"/>
    <w:rsid w:val="0072563D"/>
    <w:rsid w:val="00725660"/>
    <w:rsid w:val="007256C5"/>
    <w:rsid w:val="007256CC"/>
    <w:rsid w:val="0072573C"/>
    <w:rsid w:val="00725740"/>
    <w:rsid w:val="00725781"/>
    <w:rsid w:val="007257EF"/>
    <w:rsid w:val="0072581D"/>
    <w:rsid w:val="0072593C"/>
    <w:rsid w:val="00725997"/>
    <w:rsid w:val="007259AD"/>
    <w:rsid w:val="00725AE5"/>
    <w:rsid w:val="00725D1B"/>
    <w:rsid w:val="00725DA4"/>
    <w:rsid w:val="00725F4E"/>
    <w:rsid w:val="007260BD"/>
    <w:rsid w:val="0072617D"/>
    <w:rsid w:val="0072633E"/>
    <w:rsid w:val="0072655C"/>
    <w:rsid w:val="007265BC"/>
    <w:rsid w:val="0072661A"/>
    <w:rsid w:val="00726674"/>
    <w:rsid w:val="0072679A"/>
    <w:rsid w:val="00726975"/>
    <w:rsid w:val="007269B4"/>
    <w:rsid w:val="007269CD"/>
    <w:rsid w:val="007269FC"/>
    <w:rsid w:val="00726B26"/>
    <w:rsid w:val="00726C6D"/>
    <w:rsid w:val="00726DFE"/>
    <w:rsid w:val="00726F26"/>
    <w:rsid w:val="00726F8B"/>
    <w:rsid w:val="00726F94"/>
    <w:rsid w:val="00727026"/>
    <w:rsid w:val="0072702C"/>
    <w:rsid w:val="007272A9"/>
    <w:rsid w:val="0072756C"/>
    <w:rsid w:val="0072759E"/>
    <w:rsid w:val="007276B0"/>
    <w:rsid w:val="007277B1"/>
    <w:rsid w:val="007277E9"/>
    <w:rsid w:val="007278B1"/>
    <w:rsid w:val="007278BC"/>
    <w:rsid w:val="00727AC8"/>
    <w:rsid w:val="00727B17"/>
    <w:rsid w:val="00727B4D"/>
    <w:rsid w:val="00727B66"/>
    <w:rsid w:val="00727E30"/>
    <w:rsid w:val="00727E38"/>
    <w:rsid w:val="00727EE2"/>
    <w:rsid w:val="00727F82"/>
    <w:rsid w:val="00727FD9"/>
    <w:rsid w:val="0073012D"/>
    <w:rsid w:val="007303DE"/>
    <w:rsid w:val="00730482"/>
    <w:rsid w:val="0073056A"/>
    <w:rsid w:val="007305EE"/>
    <w:rsid w:val="0073062B"/>
    <w:rsid w:val="00730756"/>
    <w:rsid w:val="007307EF"/>
    <w:rsid w:val="00730831"/>
    <w:rsid w:val="0073096C"/>
    <w:rsid w:val="007309A4"/>
    <w:rsid w:val="007309EB"/>
    <w:rsid w:val="00730A92"/>
    <w:rsid w:val="00730BA7"/>
    <w:rsid w:val="00730BC7"/>
    <w:rsid w:val="00730C5E"/>
    <w:rsid w:val="00730C66"/>
    <w:rsid w:val="00730E00"/>
    <w:rsid w:val="00730E58"/>
    <w:rsid w:val="00730F32"/>
    <w:rsid w:val="00730F7B"/>
    <w:rsid w:val="00730F94"/>
    <w:rsid w:val="00731193"/>
    <w:rsid w:val="007311AD"/>
    <w:rsid w:val="00731212"/>
    <w:rsid w:val="0073132C"/>
    <w:rsid w:val="00731367"/>
    <w:rsid w:val="007313FC"/>
    <w:rsid w:val="007316DF"/>
    <w:rsid w:val="00731720"/>
    <w:rsid w:val="00731794"/>
    <w:rsid w:val="00731833"/>
    <w:rsid w:val="00731844"/>
    <w:rsid w:val="007318A3"/>
    <w:rsid w:val="007319A5"/>
    <w:rsid w:val="00731A7C"/>
    <w:rsid w:val="00731AF3"/>
    <w:rsid w:val="00731B5F"/>
    <w:rsid w:val="00731C5C"/>
    <w:rsid w:val="00731EF6"/>
    <w:rsid w:val="00731F08"/>
    <w:rsid w:val="0073202F"/>
    <w:rsid w:val="00732038"/>
    <w:rsid w:val="007322F0"/>
    <w:rsid w:val="0073242A"/>
    <w:rsid w:val="007325CE"/>
    <w:rsid w:val="0073262A"/>
    <w:rsid w:val="00732670"/>
    <w:rsid w:val="007326C6"/>
    <w:rsid w:val="00732872"/>
    <w:rsid w:val="00732972"/>
    <w:rsid w:val="0073298B"/>
    <w:rsid w:val="00732B13"/>
    <w:rsid w:val="00732BD7"/>
    <w:rsid w:val="00732D42"/>
    <w:rsid w:val="00732E1C"/>
    <w:rsid w:val="00732E45"/>
    <w:rsid w:val="00732F49"/>
    <w:rsid w:val="00733062"/>
    <w:rsid w:val="00733118"/>
    <w:rsid w:val="00733139"/>
    <w:rsid w:val="0073319C"/>
    <w:rsid w:val="007332C7"/>
    <w:rsid w:val="007332CE"/>
    <w:rsid w:val="0073339E"/>
    <w:rsid w:val="007333EB"/>
    <w:rsid w:val="007334B5"/>
    <w:rsid w:val="0073355A"/>
    <w:rsid w:val="0073355D"/>
    <w:rsid w:val="00733757"/>
    <w:rsid w:val="007338E1"/>
    <w:rsid w:val="00733A80"/>
    <w:rsid w:val="00733BD1"/>
    <w:rsid w:val="00733CB6"/>
    <w:rsid w:val="00733EDB"/>
    <w:rsid w:val="007340C2"/>
    <w:rsid w:val="00734120"/>
    <w:rsid w:val="0073416D"/>
    <w:rsid w:val="00734231"/>
    <w:rsid w:val="00734275"/>
    <w:rsid w:val="0073448D"/>
    <w:rsid w:val="007345C3"/>
    <w:rsid w:val="00734623"/>
    <w:rsid w:val="00734774"/>
    <w:rsid w:val="00734830"/>
    <w:rsid w:val="007348A8"/>
    <w:rsid w:val="00734A11"/>
    <w:rsid w:val="00734A79"/>
    <w:rsid w:val="00734AA6"/>
    <w:rsid w:val="00734B86"/>
    <w:rsid w:val="00734CC4"/>
    <w:rsid w:val="00734E4F"/>
    <w:rsid w:val="00734F37"/>
    <w:rsid w:val="00734FB3"/>
    <w:rsid w:val="0073508C"/>
    <w:rsid w:val="007351C7"/>
    <w:rsid w:val="0073552A"/>
    <w:rsid w:val="00735764"/>
    <w:rsid w:val="007358D0"/>
    <w:rsid w:val="00735AA7"/>
    <w:rsid w:val="00735B4F"/>
    <w:rsid w:val="00735C99"/>
    <w:rsid w:val="00735E43"/>
    <w:rsid w:val="00735EA7"/>
    <w:rsid w:val="00735F32"/>
    <w:rsid w:val="00735F52"/>
    <w:rsid w:val="00735F92"/>
    <w:rsid w:val="0073601C"/>
    <w:rsid w:val="00736020"/>
    <w:rsid w:val="007360AB"/>
    <w:rsid w:val="007360C1"/>
    <w:rsid w:val="0073611B"/>
    <w:rsid w:val="00736226"/>
    <w:rsid w:val="00736488"/>
    <w:rsid w:val="0073650E"/>
    <w:rsid w:val="00736536"/>
    <w:rsid w:val="007366D0"/>
    <w:rsid w:val="00736863"/>
    <w:rsid w:val="0073688F"/>
    <w:rsid w:val="00736947"/>
    <w:rsid w:val="00736ABB"/>
    <w:rsid w:val="00736ACA"/>
    <w:rsid w:val="00736B70"/>
    <w:rsid w:val="00736C03"/>
    <w:rsid w:val="00736C5D"/>
    <w:rsid w:val="00736C92"/>
    <w:rsid w:val="00736C9D"/>
    <w:rsid w:val="00736D5C"/>
    <w:rsid w:val="00736D6C"/>
    <w:rsid w:val="00736EBF"/>
    <w:rsid w:val="00736F44"/>
    <w:rsid w:val="007373A0"/>
    <w:rsid w:val="007373CC"/>
    <w:rsid w:val="0073759D"/>
    <w:rsid w:val="007375EE"/>
    <w:rsid w:val="007376C4"/>
    <w:rsid w:val="0073770C"/>
    <w:rsid w:val="0073774A"/>
    <w:rsid w:val="00737766"/>
    <w:rsid w:val="00737A89"/>
    <w:rsid w:val="00737A94"/>
    <w:rsid w:val="00737AD2"/>
    <w:rsid w:val="00737BC6"/>
    <w:rsid w:val="00737DAC"/>
    <w:rsid w:val="00737EB1"/>
    <w:rsid w:val="00737FC1"/>
    <w:rsid w:val="00737FDD"/>
    <w:rsid w:val="00740005"/>
    <w:rsid w:val="0074003D"/>
    <w:rsid w:val="00740228"/>
    <w:rsid w:val="0074034F"/>
    <w:rsid w:val="0074041A"/>
    <w:rsid w:val="00740495"/>
    <w:rsid w:val="00740499"/>
    <w:rsid w:val="00740680"/>
    <w:rsid w:val="007406F2"/>
    <w:rsid w:val="00740796"/>
    <w:rsid w:val="00740BC0"/>
    <w:rsid w:val="00740C31"/>
    <w:rsid w:val="00740CFC"/>
    <w:rsid w:val="00740D9F"/>
    <w:rsid w:val="00740F24"/>
    <w:rsid w:val="007410B0"/>
    <w:rsid w:val="0074121A"/>
    <w:rsid w:val="007412C4"/>
    <w:rsid w:val="007412DD"/>
    <w:rsid w:val="0074139F"/>
    <w:rsid w:val="007413C2"/>
    <w:rsid w:val="007413F9"/>
    <w:rsid w:val="00741406"/>
    <w:rsid w:val="00741413"/>
    <w:rsid w:val="007415F8"/>
    <w:rsid w:val="0074164E"/>
    <w:rsid w:val="0074167A"/>
    <w:rsid w:val="007416CD"/>
    <w:rsid w:val="007418BB"/>
    <w:rsid w:val="00741941"/>
    <w:rsid w:val="0074199E"/>
    <w:rsid w:val="00741AE2"/>
    <w:rsid w:val="00741B99"/>
    <w:rsid w:val="00741BBE"/>
    <w:rsid w:val="00741C12"/>
    <w:rsid w:val="00741D67"/>
    <w:rsid w:val="00741DB4"/>
    <w:rsid w:val="00741FE4"/>
    <w:rsid w:val="00742065"/>
    <w:rsid w:val="0074216C"/>
    <w:rsid w:val="007421DE"/>
    <w:rsid w:val="0074238B"/>
    <w:rsid w:val="007423EB"/>
    <w:rsid w:val="00742403"/>
    <w:rsid w:val="007424F4"/>
    <w:rsid w:val="00742551"/>
    <w:rsid w:val="0074286C"/>
    <w:rsid w:val="007428C1"/>
    <w:rsid w:val="00742956"/>
    <w:rsid w:val="00742966"/>
    <w:rsid w:val="0074297C"/>
    <w:rsid w:val="00742C01"/>
    <w:rsid w:val="00742D3D"/>
    <w:rsid w:val="00742DDD"/>
    <w:rsid w:val="00742E67"/>
    <w:rsid w:val="00742E91"/>
    <w:rsid w:val="00742EE9"/>
    <w:rsid w:val="00742FFE"/>
    <w:rsid w:val="00743063"/>
    <w:rsid w:val="00743081"/>
    <w:rsid w:val="0074332B"/>
    <w:rsid w:val="00743458"/>
    <w:rsid w:val="0074351A"/>
    <w:rsid w:val="00743558"/>
    <w:rsid w:val="0074359B"/>
    <w:rsid w:val="007437D3"/>
    <w:rsid w:val="00743857"/>
    <w:rsid w:val="007438C7"/>
    <w:rsid w:val="007439DF"/>
    <w:rsid w:val="00743A62"/>
    <w:rsid w:val="00743B9C"/>
    <w:rsid w:val="00743C6F"/>
    <w:rsid w:val="00743D0B"/>
    <w:rsid w:val="00743D17"/>
    <w:rsid w:val="00743D74"/>
    <w:rsid w:val="00743D9E"/>
    <w:rsid w:val="00743DD1"/>
    <w:rsid w:val="0074409F"/>
    <w:rsid w:val="00744236"/>
    <w:rsid w:val="00744421"/>
    <w:rsid w:val="0074453A"/>
    <w:rsid w:val="00744565"/>
    <w:rsid w:val="00744787"/>
    <w:rsid w:val="007447A5"/>
    <w:rsid w:val="007447AF"/>
    <w:rsid w:val="0074485A"/>
    <w:rsid w:val="0074492D"/>
    <w:rsid w:val="007449C8"/>
    <w:rsid w:val="00744BEC"/>
    <w:rsid w:val="00744CC8"/>
    <w:rsid w:val="00744D73"/>
    <w:rsid w:val="00744DF1"/>
    <w:rsid w:val="00744E6A"/>
    <w:rsid w:val="00744FB2"/>
    <w:rsid w:val="00745098"/>
    <w:rsid w:val="007450DD"/>
    <w:rsid w:val="007450FB"/>
    <w:rsid w:val="0074517E"/>
    <w:rsid w:val="00745283"/>
    <w:rsid w:val="0074550A"/>
    <w:rsid w:val="0074556E"/>
    <w:rsid w:val="00745576"/>
    <w:rsid w:val="007455AD"/>
    <w:rsid w:val="00745635"/>
    <w:rsid w:val="0074573A"/>
    <w:rsid w:val="00745747"/>
    <w:rsid w:val="0074593B"/>
    <w:rsid w:val="007459AC"/>
    <w:rsid w:val="007459C6"/>
    <w:rsid w:val="00745A9C"/>
    <w:rsid w:val="00745AC4"/>
    <w:rsid w:val="00745B20"/>
    <w:rsid w:val="00745B50"/>
    <w:rsid w:val="00745BE3"/>
    <w:rsid w:val="00745D79"/>
    <w:rsid w:val="00745DE9"/>
    <w:rsid w:val="00745DF4"/>
    <w:rsid w:val="00745F63"/>
    <w:rsid w:val="00745F6B"/>
    <w:rsid w:val="00745FB9"/>
    <w:rsid w:val="00746052"/>
    <w:rsid w:val="00746128"/>
    <w:rsid w:val="00746136"/>
    <w:rsid w:val="00746164"/>
    <w:rsid w:val="007461BF"/>
    <w:rsid w:val="00746303"/>
    <w:rsid w:val="00746367"/>
    <w:rsid w:val="00746418"/>
    <w:rsid w:val="00746521"/>
    <w:rsid w:val="007465D9"/>
    <w:rsid w:val="007465F2"/>
    <w:rsid w:val="0074667E"/>
    <w:rsid w:val="007466C4"/>
    <w:rsid w:val="00746854"/>
    <w:rsid w:val="00746A2C"/>
    <w:rsid w:val="00746AD7"/>
    <w:rsid w:val="00746B1D"/>
    <w:rsid w:val="00746B37"/>
    <w:rsid w:val="00746B92"/>
    <w:rsid w:val="00746BDC"/>
    <w:rsid w:val="00746C52"/>
    <w:rsid w:val="00746C5C"/>
    <w:rsid w:val="00746E3F"/>
    <w:rsid w:val="00746F4B"/>
    <w:rsid w:val="00747101"/>
    <w:rsid w:val="0074721A"/>
    <w:rsid w:val="0074744E"/>
    <w:rsid w:val="0074767C"/>
    <w:rsid w:val="007477C0"/>
    <w:rsid w:val="00747808"/>
    <w:rsid w:val="00747875"/>
    <w:rsid w:val="007478AA"/>
    <w:rsid w:val="0074790E"/>
    <w:rsid w:val="00747B5C"/>
    <w:rsid w:val="00747BAF"/>
    <w:rsid w:val="00747C5B"/>
    <w:rsid w:val="00747C68"/>
    <w:rsid w:val="00747CAE"/>
    <w:rsid w:val="00747D6E"/>
    <w:rsid w:val="00747DC8"/>
    <w:rsid w:val="00747E33"/>
    <w:rsid w:val="00747EDC"/>
    <w:rsid w:val="00750018"/>
    <w:rsid w:val="0075019C"/>
    <w:rsid w:val="007503A0"/>
    <w:rsid w:val="00750427"/>
    <w:rsid w:val="007504A7"/>
    <w:rsid w:val="007504C1"/>
    <w:rsid w:val="007504CA"/>
    <w:rsid w:val="007505DF"/>
    <w:rsid w:val="00750635"/>
    <w:rsid w:val="00750655"/>
    <w:rsid w:val="007506BD"/>
    <w:rsid w:val="007506C7"/>
    <w:rsid w:val="007508A3"/>
    <w:rsid w:val="007508A5"/>
    <w:rsid w:val="00750905"/>
    <w:rsid w:val="00750983"/>
    <w:rsid w:val="00750A58"/>
    <w:rsid w:val="00750C1A"/>
    <w:rsid w:val="00750C77"/>
    <w:rsid w:val="00750D22"/>
    <w:rsid w:val="00750D34"/>
    <w:rsid w:val="00750E3B"/>
    <w:rsid w:val="00750ED8"/>
    <w:rsid w:val="00750F7A"/>
    <w:rsid w:val="00750FC9"/>
    <w:rsid w:val="007511C8"/>
    <w:rsid w:val="00751246"/>
    <w:rsid w:val="007513A8"/>
    <w:rsid w:val="00751522"/>
    <w:rsid w:val="00751656"/>
    <w:rsid w:val="007517C4"/>
    <w:rsid w:val="007517E7"/>
    <w:rsid w:val="00751846"/>
    <w:rsid w:val="00751A13"/>
    <w:rsid w:val="00751B02"/>
    <w:rsid w:val="00751B78"/>
    <w:rsid w:val="00751B82"/>
    <w:rsid w:val="00751BB6"/>
    <w:rsid w:val="00751BF3"/>
    <w:rsid w:val="00751C4E"/>
    <w:rsid w:val="00751D69"/>
    <w:rsid w:val="00751DA6"/>
    <w:rsid w:val="00751DC8"/>
    <w:rsid w:val="00751E18"/>
    <w:rsid w:val="00751E31"/>
    <w:rsid w:val="00751EB4"/>
    <w:rsid w:val="00751F6E"/>
    <w:rsid w:val="007520CD"/>
    <w:rsid w:val="007521C1"/>
    <w:rsid w:val="0075227E"/>
    <w:rsid w:val="007522FD"/>
    <w:rsid w:val="0075234E"/>
    <w:rsid w:val="0075242A"/>
    <w:rsid w:val="007524D4"/>
    <w:rsid w:val="007525CB"/>
    <w:rsid w:val="007525E4"/>
    <w:rsid w:val="0075260C"/>
    <w:rsid w:val="00752718"/>
    <w:rsid w:val="00752721"/>
    <w:rsid w:val="00752881"/>
    <w:rsid w:val="007528A0"/>
    <w:rsid w:val="00752951"/>
    <w:rsid w:val="00752A00"/>
    <w:rsid w:val="00752A18"/>
    <w:rsid w:val="00752A71"/>
    <w:rsid w:val="00752AAC"/>
    <w:rsid w:val="00752AB7"/>
    <w:rsid w:val="00752C03"/>
    <w:rsid w:val="00752C66"/>
    <w:rsid w:val="00752E7C"/>
    <w:rsid w:val="00752F4F"/>
    <w:rsid w:val="00752F87"/>
    <w:rsid w:val="00753021"/>
    <w:rsid w:val="00753032"/>
    <w:rsid w:val="0075324E"/>
    <w:rsid w:val="007532BE"/>
    <w:rsid w:val="007532D7"/>
    <w:rsid w:val="007533D7"/>
    <w:rsid w:val="00753443"/>
    <w:rsid w:val="007535B6"/>
    <w:rsid w:val="007535D6"/>
    <w:rsid w:val="007535EA"/>
    <w:rsid w:val="00753691"/>
    <w:rsid w:val="00753924"/>
    <w:rsid w:val="00753B7D"/>
    <w:rsid w:val="00753B9B"/>
    <w:rsid w:val="00753BF8"/>
    <w:rsid w:val="00753C02"/>
    <w:rsid w:val="00753C15"/>
    <w:rsid w:val="00753C33"/>
    <w:rsid w:val="00753D8F"/>
    <w:rsid w:val="00753E63"/>
    <w:rsid w:val="00753EAC"/>
    <w:rsid w:val="00753EB5"/>
    <w:rsid w:val="007540F2"/>
    <w:rsid w:val="0075415D"/>
    <w:rsid w:val="00754229"/>
    <w:rsid w:val="00754296"/>
    <w:rsid w:val="007542C9"/>
    <w:rsid w:val="007544F5"/>
    <w:rsid w:val="00754515"/>
    <w:rsid w:val="00754565"/>
    <w:rsid w:val="007546B9"/>
    <w:rsid w:val="007546C1"/>
    <w:rsid w:val="007546FD"/>
    <w:rsid w:val="00754775"/>
    <w:rsid w:val="00754808"/>
    <w:rsid w:val="007548C5"/>
    <w:rsid w:val="00754AC7"/>
    <w:rsid w:val="00754C0E"/>
    <w:rsid w:val="00754F1E"/>
    <w:rsid w:val="00754FF5"/>
    <w:rsid w:val="0075502E"/>
    <w:rsid w:val="00755116"/>
    <w:rsid w:val="00755152"/>
    <w:rsid w:val="007551A1"/>
    <w:rsid w:val="007552F5"/>
    <w:rsid w:val="0075530E"/>
    <w:rsid w:val="00755319"/>
    <w:rsid w:val="00755323"/>
    <w:rsid w:val="00755496"/>
    <w:rsid w:val="007555BB"/>
    <w:rsid w:val="007555EE"/>
    <w:rsid w:val="007555F7"/>
    <w:rsid w:val="00755759"/>
    <w:rsid w:val="0075577F"/>
    <w:rsid w:val="00755991"/>
    <w:rsid w:val="00755A45"/>
    <w:rsid w:val="00755A81"/>
    <w:rsid w:val="00755A9A"/>
    <w:rsid w:val="00755ABA"/>
    <w:rsid w:val="00755BEA"/>
    <w:rsid w:val="00755C9F"/>
    <w:rsid w:val="00755DA4"/>
    <w:rsid w:val="00755E0B"/>
    <w:rsid w:val="00755E19"/>
    <w:rsid w:val="00755EB4"/>
    <w:rsid w:val="00755F2C"/>
    <w:rsid w:val="00755F43"/>
    <w:rsid w:val="00756027"/>
    <w:rsid w:val="00756077"/>
    <w:rsid w:val="007560B9"/>
    <w:rsid w:val="00756223"/>
    <w:rsid w:val="00756525"/>
    <w:rsid w:val="00756538"/>
    <w:rsid w:val="00756562"/>
    <w:rsid w:val="007565E7"/>
    <w:rsid w:val="007565F8"/>
    <w:rsid w:val="0075674E"/>
    <w:rsid w:val="00756753"/>
    <w:rsid w:val="00756766"/>
    <w:rsid w:val="007567D7"/>
    <w:rsid w:val="00756835"/>
    <w:rsid w:val="00756946"/>
    <w:rsid w:val="00756985"/>
    <w:rsid w:val="00756AB2"/>
    <w:rsid w:val="00756ACC"/>
    <w:rsid w:val="00756AD9"/>
    <w:rsid w:val="00756BD5"/>
    <w:rsid w:val="00756D06"/>
    <w:rsid w:val="00756E2E"/>
    <w:rsid w:val="00756E33"/>
    <w:rsid w:val="00756E73"/>
    <w:rsid w:val="00756F93"/>
    <w:rsid w:val="00757048"/>
    <w:rsid w:val="007570AE"/>
    <w:rsid w:val="00757122"/>
    <w:rsid w:val="0075725D"/>
    <w:rsid w:val="00757293"/>
    <w:rsid w:val="007572AE"/>
    <w:rsid w:val="007572D5"/>
    <w:rsid w:val="007572E6"/>
    <w:rsid w:val="00757332"/>
    <w:rsid w:val="007574AC"/>
    <w:rsid w:val="00757585"/>
    <w:rsid w:val="0075769A"/>
    <w:rsid w:val="0075769F"/>
    <w:rsid w:val="007576B0"/>
    <w:rsid w:val="0075778E"/>
    <w:rsid w:val="0075783A"/>
    <w:rsid w:val="0075784A"/>
    <w:rsid w:val="00757914"/>
    <w:rsid w:val="007579B0"/>
    <w:rsid w:val="00757B41"/>
    <w:rsid w:val="00757D43"/>
    <w:rsid w:val="00757DFD"/>
    <w:rsid w:val="00757EAF"/>
    <w:rsid w:val="00757FAB"/>
    <w:rsid w:val="00760093"/>
    <w:rsid w:val="007600D0"/>
    <w:rsid w:val="007601E8"/>
    <w:rsid w:val="00760265"/>
    <w:rsid w:val="007602A7"/>
    <w:rsid w:val="007602C9"/>
    <w:rsid w:val="00760320"/>
    <w:rsid w:val="00760649"/>
    <w:rsid w:val="007606D7"/>
    <w:rsid w:val="0076072C"/>
    <w:rsid w:val="0076074F"/>
    <w:rsid w:val="007607F1"/>
    <w:rsid w:val="007607F7"/>
    <w:rsid w:val="007608D4"/>
    <w:rsid w:val="00760907"/>
    <w:rsid w:val="0076090F"/>
    <w:rsid w:val="0076096A"/>
    <w:rsid w:val="00760A37"/>
    <w:rsid w:val="00760AF8"/>
    <w:rsid w:val="00760CA3"/>
    <w:rsid w:val="00760D20"/>
    <w:rsid w:val="00760DFB"/>
    <w:rsid w:val="00760E30"/>
    <w:rsid w:val="00760E38"/>
    <w:rsid w:val="00760E67"/>
    <w:rsid w:val="00761276"/>
    <w:rsid w:val="00761319"/>
    <w:rsid w:val="0076132C"/>
    <w:rsid w:val="00761362"/>
    <w:rsid w:val="00761382"/>
    <w:rsid w:val="007613CD"/>
    <w:rsid w:val="007613FD"/>
    <w:rsid w:val="0076154C"/>
    <w:rsid w:val="00761618"/>
    <w:rsid w:val="0076168F"/>
    <w:rsid w:val="00761735"/>
    <w:rsid w:val="00761755"/>
    <w:rsid w:val="007618FA"/>
    <w:rsid w:val="00761918"/>
    <w:rsid w:val="00761B29"/>
    <w:rsid w:val="00761B53"/>
    <w:rsid w:val="00761BFA"/>
    <w:rsid w:val="00761C28"/>
    <w:rsid w:val="00761C44"/>
    <w:rsid w:val="00761C7D"/>
    <w:rsid w:val="00761D5F"/>
    <w:rsid w:val="00761D88"/>
    <w:rsid w:val="00761DC5"/>
    <w:rsid w:val="00761F4B"/>
    <w:rsid w:val="00761FF1"/>
    <w:rsid w:val="007620A6"/>
    <w:rsid w:val="00762172"/>
    <w:rsid w:val="00762371"/>
    <w:rsid w:val="007623F4"/>
    <w:rsid w:val="007624B1"/>
    <w:rsid w:val="00762644"/>
    <w:rsid w:val="007626F6"/>
    <w:rsid w:val="00762735"/>
    <w:rsid w:val="00762748"/>
    <w:rsid w:val="007627B6"/>
    <w:rsid w:val="0076286A"/>
    <w:rsid w:val="00762904"/>
    <w:rsid w:val="007629EB"/>
    <w:rsid w:val="00762A8E"/>
    <w:rsid w:val="00762D76"/>
    <w:rsid w:val="00762F82"/>
    <w:rsid w:val="00762FF6"/>
    <w:rsid w:val="007630BF"/>
    <w:rsid w:val="0076329E"/>
    <w:rsid w:val="007632B5"/>
    <w:rsid w:val="00763471"/>
    <w:rsid w:val="0076349D"/>
    <w:rsid w:val="0076349E"/>
    <w:rsid w:val="00763679"/>
    <w:rsid w:val="007636BF"/>
    <w:rsid w:val="0076382A"/>
    <w:rsid w:val="007638BC"/>
    <w:rsid w:val="00763968"/>
    <w:rsid w:val="007639E5"/>
    <w:rsid w:val="00763A3C"/>
    <w:rsid w:val="00763AC6"/>
    <w:rsid w:val="00763C4D"/>
    <w:rsid w:val="00763C60"/>
    <w:rsid w:val="00763E36"/>
    <w:rsid w:val="00763E40"/>
    <w:rsid w:val="00763F08"/>
    <w:rsid w:val="00763F70"/>
    <w:rsid w:val="00764007"/>
    <w:rsid w:val="007640BB"/>
    <w:rsid w:val="007640E0"/>
    <w:rsid w:val="00764153"/>
    <w:rsid w:val="007641D9"/>
    <w:rsid w:val="00764205"/>
    <w:rsid w:val="00764216"/>
    <w:rsid w:val="0076439F"/>
    <w:rsid w:val="007643BC"/>
    <w:rsid w:val="007645CA"/>
    <w:rsid w:val="00764646"/>
    <w:rsid w:val="007646EA"/>
    <w:rsid w:val="00764931"/>
    <w:rsid w:val="00764964"/>
    <w:rsid w:val="00764A4C"/>
    <w:rsid w:val="00764C36"/>
    <w:rsid w:val="00764D7A"/>
    <w:rsid w:val="00765148"/>
    <w:rsid w:val="00765178"/>
    <w:rsid w:val="007652DF"/>
    <w:rsid w:val="007654E9"/>
    <w:rsid w:val="0076562F"/>
    <w:rsid w:val="00765657"/>
    <w:rsid w:val="007656D8"/>
    <w:rsid w:val="007656DF"/>
    <w:rsid w:val="007656F3"/>
    <w:rsid w:val="00765750"/>
    <w:rsid w:val="00765823"/>
    <w:rsid w:val="007658D6"/>
    <w:rsid w:val="00765930"/>
    <w:rsid w:val="007659A1"/>
    <w:rsid w:val="007659A2"/>
    <w:rsid w:val="007659E5"/>
    <w:rsid w:val="00765AB0"/>
    <w:rsid w:val="00765AB4"/>
    <w:rsid w:val="00765B88"/>
    <w:rsid w:val="00765BE5"/>
    <w:rsid w:val="00765C55"/>
    <w:rsid w:val="00765E0F"/>
    <w:rsid w:val="00766315"/>
    <w:rsid w:val="00766323"/>
    <w:rsid w:val="0076634C"/>
    <w:rsid w:val="00766470"/>
    <w:rsid w:val="0076647D"/>
    <w:rsid w:val="00766590"/>
    <w:rsid w:val="007665F8"/>
    <w:rsid w:val="00766724"/>
    <w:rsid w:val="0076675C"/>
    <w:rsid w:val="00766852"/>
    <w:rsid w:val="00766A75"/>
    <w:rsid w:val="00766B32"/>
    <w:rsid w:val="00766BD0"/>
    <w:rsid w:val="00766BED"/>
    <w:rsid w:val="00766C8D"/>
    <w:rsid w:val="00766F70"/>
    <w:rsid w:val="00766FB8"/>
    <w:rsid w:val="00766FC8"/>
    <w:rsid w:val="0076703E"/>
    <w:rsid w:val="007671EE"/>
    <w:rsid w:val="00767204"/>
    <w:rsid w:val="007673C0"/>
    <w:rsid w:val="00767630"/>
    <w:rsid w:val="0076784F"/>
    <w:rsid w:val="00767886"/>
    <w:rsid w:val="00767969"/>
    <w:rsid w:val="00767A5A"/>
    <w:rsid w:val="00767B2F"/>
    <w:rsid w:val="00767B53"/>
    <w:rsid w:val="00767BA5"/>
    <w:rsid w:val="00767BFA"/>
    <w:rsid w:val="00767C14"/>
    <w:rsid w:val="00767C5B"/>
    <w:rsid w:val="00767CCC"/>
    <w:rsid w:val="00767DC8"/>
    <w:rsid w:val="00767FAB"/>
    <w:rsid w:val="00770202"/>
    <w:rsid w:val="0077022A"/>
    <w:rsid w:val="00770388"/>
    <w:rsid w:val="00770440"/>
    <w:rsid w:val="007705AD"/>
    <w:rsid w:val="007705C1"/>
    <w:rsid w:val="00770621"/>
    <w:rsid w:val="0077073E"/>
    <w:rsid w:val="007707C3"/>
    <w:rsid w:val="007707D4"/>
    <w:rsid w:val="00770803"/>
    <w:rsid w:val="00770829"/>
    <w:rsid w:val="0077091E"/>
    <w:rsid w:val="00770BB1"/>
    <w:rsid w:val="00770BC1"/>
    <w:rsid w:val="00770C26"/>
    <w:rsid w:val="00770C88"/>
    <w:rsid w:val="00770DCD"/>
    <w:rsid w:val="00770F2C"/>
    <w:rsid w:val="00770FCD"/>
    <w:rsid w:val="00770FFB"/>
    <w:rsid w:val="00771044"/>
    <w:rsid w:val="007710A1"/>
    <w:rsid w:val="00771118"/>
    <w:rsid w:val="00771195"/>
    <w:rsid w:val="00771228"/>
    <w:rsid w:val="00771276"/>
    <w:rsid w:val="007713D5"/>
    <w:rsid w:val="007713EC"/>
    <w:rsid w:val="00771401"/>
    <w:rsid w:val="0077140B"/>
    <w:rsid w:val="00771473"/>
    <w:rsid w:val="00771719"/>
    <w:rsid w:val="0077173B"/>
    <w:rsid w:val="00771857"/>
    <w:rsid w:val="00771981"/>
    <w:rsid w:val="00771BBA"/>
    <w:rsid w:val="00771BC0"/>
    <w:rsid w:val="00771F7E"/>
    <w:rsid w:val="00771F92"/>
    <w:rsid w:val="00772008"/>
    <w:rsid w:val="00772030"/>
    <w:rsid w:val="00772169"/>
    <w:rsid w:val="007721BE"/>
    <w:rsid w:val="007721D1"/>
    <w:rsid w:val="00772210"/>
    <w:rsid w:val="00772311"/>
    <w:rsid w:val="0077232D"/>
    <w:rsid w:val="00772555"/>
    <w:rsid w:val="0077262C"/>
    <w:rsid w:val="0077265B"/>
    <w:rsid w:val="00772711"/>
    <w:rsid w:val="007727BE"/>
    <w:rsid w:val="007729D5"/>
    <w:rsid w:val="00772A81"/>
    <w:rsid w:val="00772AFE"/>
    <w:rsid w:val="00772B38"/>
    <w:rsid w:val="00772BAC"/>
    <w:rsid w:val="00772BB0"/>
    <w:rsid w:val="00772BD0"/>
    <w:rsid w:val="00772BD8"/>
    <w:rsid w:val="00772BFB"/>
    <w:rsid w:val="00772C0A"/>
    <w:rsid w:val="00772DC9"/>
    <w:rsid w:val="00772E21"/>
    <w:rsid w:val="00772EA4"/>
    <w:rsid w:val="00772F20"/>
    <w:rsid w:val="00772F76"/>
    <w:rsid w:val="00772FE3"/>
    <w:rsid w:val="00773035"/>
    <w:rsid w:val="00773244"/>
    <w:rsid w:val="00773285"/>
    <w:rsid w:val="00773453"/>
    <w:rsid w:val="0077347A"/>
    <w:rsid w:val="007735B0"/>
    <w:rsid w:val="007735EB"/>
    <w:rsid w:val="0077378D"/>
    <w:rsid w:val="007738E1"/>
    <w:rsid w:val="0077397F"/>
    <w:rsid w:val="007739B2"/>
    <w:rsid w:val="007739C8"/>
    <w:rsid w:val="00773AEB"/>
    <w:rsid w:val="00773BCF"/>
    <w:rsid w:val="00773D8B"/>
    <w:rsid w:val="00773E9C"/>
    <w:rsid w:val="00773EC4"/>
    <w:rsid w:val="00773EDD"/>
    <w:rsid w:val="00773F00"/>
    <w:rsid w:val="00774097"/>
    <w:rsid w:val="007740DD"/>
    <w:rsid w:val="00774171"/>
    <w:rsid w:val="007741AC"/>
    <w:rsid w:val="007742C8"/>
    <w:rsid w:val="00774382"/>
    <w:rsid w:val="0077445B"/>
    <w:rsid w:val="00774498"/>
    <w:rsid w:val="00774500"/>
    <w:rsid w:val="0077458D"/>
    <w:rsid w:val="007746DB"/>
    <w:rsid w:val="0077474E"/>
    <w:rsid w:val="0077475D"/>
    <w:rsid w:val="00774822"/>
    <w:rsid w:val="00774837"/>
    <w:rsid w:val="007748FC"/>
    <w:rsid w:val="00774909"/>
    <w:rsid w:val="007749CF"/>
    <w:rsid w:val="00774BDB"/>
    <w:rsid w:val="00774CD6"/>
    <w:rsid w:val="00774D0B"/>
    <w:rsid w:val="00774E8E"/>
    <w:rsid w:val="00774F1A"/>
    <w:rsid w:val="00774FB7"/>
    <w:rsid w:val="00775033"/>
    <w:rsid w:val="007750E2"/>
    <w:rsid w:val="00775157"/>
    <w:rsid w:val="00775269"/>
    <w:rsid w:val="007752D7"/>
    <w:rsid w:val="00775485"/>
    <w:rsid w:val="007754F6"/>
    <w:rsid w:val="00775521"/>
    <w:rsid w:val="0077559C"/>
    <w:rsid w:val="007755DE"/>
    <w:rsid w:val="00775621"/>
    <w:rsid w:val="0077573E"/>
    <w:rsid w:val="007757D6"/>
    <w:rsid w:val="0077592C"/>
    <w:rsid w:val="00775AA5"/>
    <w:rsid w:val="00775B1D"/>
    <w:rsid w:val="00775BFB"/>
    <w:rsid w:val="00775BFD"/>
    <w:rsid w:val="00775CB4"/>
    <w:rsid w:val="00775E13"/>
    <w:rsid w:val="00775E1E"/>
    <w:rsid w:val="00775E30"/>
    <w:rsid w:val="00775F19"/>
    <w:rsid w:val="00775F92"/>
    <w:rsid w:val="00775FBB"/>
    <w:rsid w:val="0077610F"/>
    <w:rsid w:val="007761FB"/>
    <w:rsid w:val="00776214"/>
    <w:rsid w:val="007765A5"/>
    <w:rsid w:val="007765E8"/>
    <w:rsid w:val="007765EB"/>
    <w:rsid w:val="007766A8"/>
    <w:rsid w:val="00776701"/>
    <w:rsid w:val="00776739"/>
    <w:rsid w:val="007767E7"/>
    <w:rsid w:val="00776890"/>
    <w:rsid w:val="007768DF"/>
    <w:rsid w:val="0077691B"/>
    <w:rsid w:val="00776985"/>
    <w:rsid w:val="00776BB7"/>
    <w:rsid w:val="00776C08"/>
    <w:rsid w:val="00776CF2"/>
    <w:rsid w:val="00776D6D"/>
    <w:rsid w:val="00776DF0"/>
    <w:rsid w:val="00776F41"/>
    <w:rsid w:val="007770C4"/>
    <w:rsid w:val="007771BF"/>
    <w:rsid w:val="00777235"/>
    <w:rsid w:val="00777279"/>
    <w:rsid w:val="0077727E"/>
    <w:rsid w:val="007772F0"/>
    <w:rsid w:val="007772FC"/>
    <w:rsid w:val="00777304"/>
    <w:rsid w:val="007773B9"/>
    <w:rsid w:val="00777440"/>
    <w:rsid w:val="0077761B"/>
    <w:rsid w:val="007776B7"/>
    <w:rsid w:val="00777800"/>
    <w:rsid w:val="00777832"/>
    <w:rsid w:val="00777AF5"/>
    <w:rsid w:val="00777B3F"/>
    <w:rsid w:val="00777CA0"/>
    <w:rsid w:val="00777CE8"/>
    <w:rsid w:val="00777CFF"/>
    <w:rsid w:val="00777D4D"/>
    <w:rsid w:val="00777E31"/>
    <w:rsid w:val="00777E84"/>
    <w:rsid w:val="00777E9E"/>
    <w:rsid w:val="00777F33"/>
    <w:rsid w:val="0078000C"/>
    <w:rsid w:val="00780089"/>
    <w:rsid w:val="007800A6"/>
    <w:rsid w:val="007800C5"/>
    <w:rsid w:val="007801EE"/>
    <w:rsid w:val="00780212"/>
    <w:rsid w:val="00780230"/>
    <w:rsid w:val="00780602"/>
    <w:rsid w:val="007806E9"/>
    <w:rsid w:val="00780846"/>
    <w:rsid w:val="007808ED"/>
    <w:rsid w:val="007809E6"/>
    <w:rsid w:val="00780B1A"/>
    <w:rsid w:val="00780B99"/>
    <w:rsid w:val="00780B9E"/>
    <w:rsid w:val="00780CD3"/>
    <w:rsid w:val="00780D1F"/>
    <w:rsid w:val="00780DA2"/>
    <w:rsid w:val="00781025"/>
    <w:rsid w:val="00781184"/>
    <w:rsid w:val="00781298"/>
    <w:rsid w:val="007812C4"/>
    <w:rsid w:val="00781300"/>
    <w:rsid w:val="0078135F"/>
    <w:rsid w:val="007813DB"/>
    <w:rsid w:val="007813DF"/>
    <w:rsid w:val="007814BB"/>
    <w:rsid w:val="0078175E"/>
    <w:rsid w:val="00781852"/>
    <w:rsid w:val="00781B99"/>
    <w:rsid w:val="00781BF4"/>
    <w:rsid w:val="00781C14"/>
    <w:rsid w:val="00781C8D"/>
    <w:rsid w:val="00781D46"/>
    <w:rsid w:val="00781E49"/>
    <w:rsid w:val="00781F24"/>
    <w:rsid w:val="00781F30"/>
    <w:rsid w:val="007820C7"/>
    <w:rsid w:val="007820FA"/>
    <w:rsid w:val="00782362"/>
    <w:rsid w:val="007824F1"/>
    <w:rsid w:val="00782521"/>
    <w:rsid w:val="00782543"/>
    <w:rsid w:val="00782618"/>
    <w:rsid w:val="0078267F"/>
    <w:rsid w:val="00782732"/>
    <w:rsid w:val="007828C2"/>
    <w:rsid w:val="00782964"/>
    <w:rsid w:val="007829D8"/>
    <w:rsid w:val="00782A3B"/>
    <w:rsid w:val="00782A54"/>
    <w:rsid w:val="00782A64"/>
    <w:rsid w:val="00782B1C"/>
    <w:rsid w:val="00782BDA"/>
    <w:rsid w:val="00782BF4"/>
    <w:rsid w:val="00782D5D"/>
    <w:rsid w:val="00782D87"/>
    <w:rsid w:val="00782D8C"/>
    <w:rsid w:val="00782DA0"/>
    <w:rsid w:val="00782DE2"/>
    <w:rsid w:val="00782EE8"/>
    <w:rsid w:val="0078306A"/>
    <w:rsid w:val="007830EA"/>
    <w:rsid w:val="00783121"/>
    <w:rsid w:val="0078313D"/>
    <w:rsid w:val="00783183"/>
    <w:rsid w:val="0078319D"/>
    <w:rsid w:val="00783247"/>
    <w:rsid w:val="00783297"/>
    <w:rsid w:val="007832D9"/>
    <w:rsid w:val="007832F2"/>
    <w:rsid w:val="0078337D"/>
    <w:rsid w:val="007833C0"/>
    <w:rsid w:val="00783484"/>
    <w:rsid w:val="007834E3"/>
    <w:rsid w:val="0078354B"/>
    <w:rsid w:val="00783598"/>
    <w:rsid w:val="007835D1"/>
    <w:rsid w:val="00783629"/>
    <w:rsid w:val="00783680"/>
    <w:rsid w:val="007836C7"/>
    <w:rsid w:val="007836D1"/>
    <w:rsid w:val="007837D1"/>
    <w:rsid w:val="0078389A"/>
    <w:rsid w:val="007838B3"/>
    <w:rsid w:val="007839DE"/>
    <w:rsid w:val="007839F8"/>
    <w:rsid w:val="00783D08"/>
    <w:rsid w:val="00783D5D"/>
    <w:rsid w:val="00783D86"/>
    <w:rsid w:val="00783E19"/>
    <w:rsid w:val="00783E43"/>
    <w:rsid w:val="00783E74"/>
    <w:rsid w:val="00783F02"/>
    <w:rsid w:val="00783FF2"/>
    <w:rsid w:val="007840CF"/>
    <w:rsid w:val="0078419E"/>
    <w:rsid w:val="007841C4"/>
    <w:rsid w:val="0078420D"/>
    <w:rsid w:val="0078422B"/>
    <w:rsid w:val="00784351"/>
    <w:rsid w:val="007843A5"/>
    <w:rsid w:val="00784417"/>
    <w:rsid w:val="00784452"/>
    <w:rsid w:val="007844BA"/>
    <w:rsid w:val="00784554"/>
    <w:rsid w:val="0078469D"/>
    <w:rsid w:val="0078472A"/>
    <w:rsid w:val="007848A5"/>
    <w:rsid w:val="0078499A"/>
    <w:rsid w:val="007849C1"/>
    <w:rsid w:val="007849D4"/>
    <w:rsid w:val="007849EC"/>
    <w:rsid w:val="00784B02"/>
    <w:rsid w:val="00784C71"/>
    <w:rsid w:val="00784EE7"/>
    <w:rsid w:val="00784F22"/>
    <w:rsid w:val="00785092"/>
    <w:rsid w:val="007850D2"/>
    <w:rsid w:val="00785160"/>
    <w:rsid w:val="0078517E"/>
    <w:rsid w:val="0078526A"/>
    <w:rsid w:val="00785300"/>
    <w:rsid w:val="00785327"/>
    <w:rsid w:val="00785430"/>
    <w:rsid w:val="0078543E"/>
    <w:rsid w:val="0078547C"/>
    <w:rsid w:val="00785487"/>
    <w:rsid w:val="007854AA"/>
    <w:rsid w:val="007854BB"/>
    <w:rsid w:val="007854D6"/>
    <w:rsid w:val="00785580"/>
    <w:rsid w:val="007855CC"/>
    <w:rsid w:val="00785719"/>
    <w:rsid w:val="00785779"/>
    <w:rsid w:val="00785B26"/>
    <w:rsid w:val="00785BF9"/>
    <w:rsid w:val="00785F44"/>
    <w:rsid w:val="00785F68"/>
    <w:rsid w:val="00785F77"/>
    <w:rsid w:val="00785FED"/>
    <w:rsid w:val="00786130"/>
    <w:rsid w:val="0078629D"/>
    <w:rsid w:val="00786336"/>
    <w:rsid w:val="007863E6"/>
    <w:rsid w:val="0078648D"/>
    <w:rsid w:val="007865BA"/>
    <w:rsid w:val="00786689"/>
    <w:rsid w:val="007866AE"/>
    <w:rsid w:val="007866C8"/>
    <w:rsid w:val="00786917"/>
    <w:rsid w:val="00786AFA"/>
    <w:rsid w:val="00786BD6"/>
    <w:rsid w:val="00786C8F"/>
    <w:rsid w:val="00786CC9"/>
    <w:rsid w:val="00786D1F"/>
    <w:rsid w:val="00786DCF"/>
    <w:rsid w:val="00786E07"/>
    <w:rsid w:val="00786E23"/>
    <w:rsid w:val="00786E5C"/>
    <w:rsid w:val="00786FBA"/>
    <w:rsid w:val="007871C9"/>
    <w:rsid w:val="00787331"/>
    <w:rsid w:val="00787388"/>
    <w:rsid w:val="007873BF"/>
    <w:rsid w:val="007874B3"/>
    <w:rsid w:val="0078757F"/>
    <w:rsid w:val="0078758B"/>
    <w:rsid w:val="00787660"/>
    <w:rsid w:val="00787687"/>
    <w:rsid w:val="007876B2"/>
    <w:rsid w:val="0078776B"/>
    <w:rsid w:val="007877A6"/>
    <w:rsid w:val="007877EC"/>
    <w:rsid w:val="007878D1"/>
    <w:rsid w:val="007878D8"/>
    <w:rsid w:val="007879A3"/>
    <w:rsid w:val="007879A9"/>
    <w:rsid w:val="00787AA2"/>
    <w:rsid w:val="00787B9D"/>
    <w:rsid w:val="00787D66"/>
    <w:rsid w:val="00787DEC"/>
    <w:rsid w:val="00787EE6"/>
    <w:rsid w:val="00787F2A"/>
    <w:rsid w:val="00787F39"/>
    <w:rsid w:val="00787FC8"/>
    <w:rsid w:val="00790012"/>
    <w:rsid w:val="00790107"/>
    <w:rsid w:val="0079068C"/>
    <w:rsid w:val="007906FF"/>
    <w:rsid w:val="0079088C"/>
    <w:rsid w:val="00790894"/>
    <w:rsid w:val="007908A2"/>
    <w:rsid w:val="007908AE"/>
    <w:rsid w:val="007908D2"/>
    <w:rsid w:val="00790C06"/>
    <w:rsid w:val="00790C81"/>
    <w:rsid w:val="00790D14"/>
    <w:rsid w:val="00790D2C"/>
    <w:rsid w:val="00790DEE"/>
    <w:rsid w:val="00790E2A"/>
    <w:rsid w:val="00790F18"/>
    <w:rsid w:val="00790FAB"/>
    <w:rsid w:val="007910A5"/>
    <w:rsid w:val="007910DD"/>
    <w:rsid w:val="00791146"/>
    <w:rsid w:val="00791162"/>
    <w:rsid w:val="007911B9"/>
    <w:rsid w:val="007911C9"/>
    <w:rsid w:val="00791244"/>
    <w:rsid w:val="0079126B"/>
    <w:rsid w:val="00791335"/>
    <w:rsid w:val="00791391"/>
    <w:rsid w:val="007913B8"/>
    <w:rsid w:val="00791467"/>
    <w:rsid w:val="00791518"/>
    <w:rsid w:val="00791660"/>
    <w:rsid w:val="00791683"/>
    <w:rsid w:val="00791760"/>
    <w:rsid w:val="00791803"/>
    <w:rsid w:val="00791887"/>
    <w:rsid w:val="007918D5"/>
    <w:rsid w:val="00791922"/>
    <w:rsid w:val="00791972"/>
    <w:rsid w:val="007919D6"/>
    <w:rsid w:val="00791A42"/>
    <w:rsid w:val="00791AAC"/>
    <w:rsid w:val="00791ACD"/>
    <w:rsid w:val="00791B84"/>
    <w:rsid w:val="00791BBD"/>
    <w:rsid w:val="00791C67"/>
    <w:rsid w:val="00791DD5"/>
    <w:rsid w:val="00791DF8"/>
    <w:rsid w:val="00791E22"/>
    <w:rsid w:val="00792101"/>
    <w:rsid w:val="00792333"/>
    <w:rsid w:val="00792523"/>
    <w:rsid w:val="007925E0"/>
    <w:rsid w:val="007927C2"/>
    <w:rsid w:val="007928FA"/>
    <w:rsid w:val="00792953"/>
    <w:rsid w:val="007929AB"/>
    <w:rsid w:val="00792C2E"/>
    <w:rsid w:val="00792C50"/>
    <w:rsid w:val="00792C93"/>
    <w:rsid w:val="00792DB0"/>
    <w:rsid w:val="00792E20"/>
    <w:rsid w:val="00792FAF"/>
    <w:rsid w:val="00792FB2"/>
    <w:rsid w:val="00793010"/>
    <w:rsid w:val="00793021"/>
    <w:rsid w:val="00793301"/>
    <w:rsid w:val="00793354"/>
    <w:rsid w:val="00793583"/>
    <w:rsid w:val="00793691"/>
    <w:rsid w:val="00793889"/>
    <w:rsid w:val="007938C2"/>
    <w:rsid w:val="007938DD"/>
    <w:rsid w:val="0079399F"/>
    <w:rsid w:val="007939CC"/>
    <w:rsid w:val="007939EE"/>
    <w:rsid w:val="00793A65"/>
    <w:rsid w:val="00793A78"/>
    <w:rsid w:val="00793AA1"/>
    <w:rsid w:val="00793B08"/>
    <w:rsid w:val="00793B1B"/>
    <w:rsid w:val="00793B2F"/>
    <w:rsid w:val="00793BBA"/>
    <w:rsid w:val="00793CB7"/>
    <w:rsid w:val="00793CEE"/>
    <w:rsid w:val="00793E1B"/>
    <w:rsid w:val="00793E2F"/>
    <w:rsid w:val="00793EFC"/>
    <w:rsid w:val="00793F48"/>
    <w:rsid w:val="00793FB5"/>
    <w:rsid w:val="0079407E"/>
    <w:rsid w:val="00794166"/>
    <w:rsid w:val="00794193"/>
    <w:rsid w:val="0079427A"/>
    <w:rsid w:val="0079428D"/>
    <w:rsid w:val="007942B1"/>
    <w:rsid w:val="007943C3"/>
    <w:rsid w:val="00794482"/>
    <w:rsid w:val="007944DC"/>
    <w:rsid w:val="0079456D"/>
    <w:rsid w:val="00794611"/>
    <w:rsid w:val="00794708"/>
    <w:rsid w:val="0079483C"/>
    <w:rsid w:val="00794874"/>
    <w:rsid w:val="0079492A"/>
    <w:rsid w:val="0079495C"/>
    <w:rsid w:val="00794A69"/>
    <w:rsid w:val="00794AFA"/>
    <w:rsid w:val="00794B19"/>
    <w:rsid w:val="00794BA7"/>
    <w:rsid w:val="00794C49"/>
    <w:rsid w:val="00794D20"/>
    <w:rsid w:val="00794E85"/>
    <w:rsid w:val="00794EB3"/>
    <w:rsid w:val="00794F87"/>
    <w:rsid w:val="007950C0"/>
    <w:rsid w:val="00795124"/>
    <w:rsid w:val="0079512A"/>
    <w:rsid w:val="00795158"/>
    <w:rsid w:val="00795352"/>
    <w:rsid w:val="00795401"/>
    <w:rsid w:val="00795465"/>
    <w:rsid w:val="007954CF"/>
    <w:rsid w:val="0079559B"/>
    <w:rsid w:val="007956E0"/>
    <w:rsid w:val="007956E9"/>
    <w:rsid w:val="00795926"/>
    <w:rsid w:val="0079594B"/>
    <w:rsid w:val="00795975"/>
    <w:rsid w:val="007959AF"/>
    <w:rsid w:val="00795ACC"/>
    <w:rsid w:val="00795BF7"/>
    <w:rsid w:val="00795D6B"/>
    <w:rsid w:val="00795E64"/>
    <w:rsid w:val="00795E88"/>
    <w:rsid w:val="00795FD4"/>
    <w:rsid w:val="0079605F"/>
    <w:rsid w:val="0079629B"/>
    <w:rsid w:val="007962EE"/>
    <w:rsid w:val="0079640D"/>
    <w:rsid w:val="00796531"/>
    <w:rsid w:val="007965C3"/>
    <w:rsid w:val="0079667F"/>
    <w:rsid w:val="0079668C"/>
    <w:rsid w:val="00796754"/>
    <w:rsid w:val="00796809"/>
    <w:rsid w:val="0079681B"/>
    <w:rsid w:val="00796862"/>
    <w:rsid w:val="0079687D"/>
    <w:rsid w:val="00796AB2"/>
    <w:rsid w:val="00796B30"/>
    <w:rsid w:val="00796B66"/>
    <w:rsid w:val="00796C26"/>
    <w:rsid w:val="00796CA8"/>
    <w:rsid w:val="00796CA9"/>
    <w:rsid w:val="00796E0C"/>
    <w:rsid w:val="00796EAB"/>
    <w:rsid w:val="00796F1A"/>
    <w:rsid w:val="00796F2E"/>
    <w:rsid w:val="00796FB7"/>
    <w:rsid w:val="0079708F"/>
    <w:rsid w:val="00797094"/>
    <w:rsid w:val="007970D5"/>
    <w:rsid w:val="00797131"/>
    <w:rsid w:val="007971C5"/>
    <w:rsid w:val="007972AD"/>
    <w:rsid w:val="00797481"/>
    <w:rsid w:val="0079759C"/>
    <w:rsid w:val="00797681"/>
    <w:rsid w:val="007976D4"/>
    <w:rsid w:val="0079782D"/>
    <w:rsid w:val="0079792C"/>
    <w:rsid w:val="00797962"/>
    <w:rsid w:val="0079798B"/>
    <w:rsid w:val="00797992"/>
    <w:rsid w:val="007979B7"/>
    <w:rsid w:val="00797A0D"/>
    <w:rsid w:val="00797AF1"/>
    <w:rsid w:val="00797C18"/>
    <w:rsid w:val="00797F0C"/>
    <w:rsid w:val="00797FEA"/>
    <w:rsid w:val="00798EAF"/>
    <w:rsid w:val="0079BFAC"/>
    <w:rsid w:val="007A0016"/>
    <w:rsid w:val="007A0046"/>
    <w:rsid w:val="007A004A"/>
    <w:rsid w:val="007A007E"/>
    <w:rsid w:val="007A01B0"/>
    <w:rsid w:val="007A0205"/>
    <w:rsid w:val="007A0272"/>
    <w:rsid w:val="007A0309"/>
    <w:rsid w:val="007A0321"/>
    <w:rsid w:val="007A038A"/>
    <w:rsid w:val="007A03AA"/>
    <w:rsid w:val="007A0410"/>
    <w:rsid w:val="007A048C"/>
    <w:rsid w:val="007A0680"/>
    <w:rsid w:val="007A0790"/>
    <w:rsid w:val="007A085E"/>
    <w:rsid w:val="007A08EF"/>
    <w:rsid w:val="007A08F5"/>
    <w:rsid w:val="007A0A67"/>
    <w:rsid w:val="007A0BAB"/>
    <w:rsid w:val="007A0C8C"/>
    <w:rsid w:val="007A0C95"/>
    <w:rsid w:val="007A0DA9"/>
    <w:rsid w:val="007A0DDD"/>
    <w:rsid w:val="007A0EEB"/>
    <w:rsid w:val="007A0F0B"/>
    <w:rsid w:val="007A13DA"/>
    <w:rsid w:val="007A14E6"/>
    <w:rsid w:val="007A1687"/>
    <w:rsid w:val="007A175F"/>
    <w:rsid w:val="007A1AE4"/>
    <w:rsid w:val="007A1B68"/>
    <w:rsid w:val="007A1C02"/>
    <w:rsid w:val="007A1C24"/>
    <w:rsid w:val="007A1C7E"/>
    <w:rsid w:val="007A1D2D"/>
    <w:rsid w:val="007A1D66"/>
    <w:rsid w:val="007A1FB3"/>
    <w:rsid w:val="007A20FE"/>
    <w:rsid w:val="007A2189"/>
    <w:rsid w:val="007A2230"/>
    <w:rsid w:val="007A2305"/>
    <w:rsid w:val="007A2465"/>
    <w:rsid w:val="007A2536"/>
    <w:rsid w:val="007A263B"/>
    <w:rsid w:val="007A26CE"/>
    <w:rsid w:val="007A27EF"/>
    <w:rsid w:val="007A2836"/>
    <w:rsid w:val="007A284D"/>
    <w:rsid w:val="007A2A13"/>
    <w:rsid w:val="007A2A66"/>
    <w:rsid w:val="007A2A98"/>
    <w:rsid w:val="007A2AB7"/>
    <w:rsid w:val="007A2ADB"/>
    <w:rsid w:val="007A2BF5"/>
    <w:rsid w:val="007A2D12"/>
    <w:rsid w:val="007A2E90"/>
    <w:rsid w:val="007A304B"/>
    <w:rsid w:val="007A30C5"/>
    <w:rsid w:val="007A30D9"/>
    <w:rsid w:val="007A321C"/>
    <w:rsid w:val="007A3323"/>
    <w:rsid w:val="007A33C1"/>
    <w:rsid w:val="007A33F9"/>
    <w:rsid w:val="007A3754"/>
    <w:rsid w:val="007A382F"/>
    <w:rsid w:val="007A3938"/>
    <w:rsid w:val="007A395D"/>
    <w:rsid w:val="007A395E"/>
    <w:rsid w:val="007A39B7"/>
    <w:rsid w:val="007A3A1A"/>
    <w:rsid w:val="007A3A4C"/>
    <w:rsid w:val="007A3A8C"/>
    <w:rsid w:val="007A3C37"/>
    <w:rsid w:val="007A3D4D"/>
    <w:rsid w:val="007A3D85"/>
    <w:rsid w:val="007A3D96"/>
    <w:rsid w:val="007A3DC9"/>
    <w:rsid w:val="007A3DEF"/>
    <w:rsid w:val="007A3FBF"/>
    <w:rsid w:val="007A401B"/>
    <w:rsid w:val="007A404A"/>
    <w:rsid w:val="007A4051"/>
    <w:rsid w:val="007A4054"/>
    <w:rsid w:val="007A40E2"/>
    <w:rsid w:val="007A42B8"/>
    <w:rsid w:val="007A444E"/>
    <w:rsid w:val="007A4560"/>
    <w:rsid w:val="007A4615"/>
    <w:rsid w:val="007A4616"/>
    <w:rsid w:val="007A4683"/>
    <w:rsid w:val="007A46F3"/>
    <w:rsid w:val="007A470E"/>
    <w:rsid w:val="007A4783"/>
    <w:rsid w:val="007A4809"/>
    <w:rsid w:val="007A4894"/>
    <w:rsid w:val="007A4A89"/>
    <w:rsid w:val="007A4AA9"/>
    <w:rsid w:val="007A4ACE"/>
    <w:rsid w:val="007A4DC3"/>
    <w:rsid w:val="007A4E66"/>
    <w:rsid w:val="007A4EB6"/>
    <w:rsid w:val="007A4FCE"/>
    <w:rsid w:val="007A4FDA"/>
    <w:rsid w:val="007A50A2"/>
    <w:rsid w:val="007A5105"/>
    <w:rsid w:val="007A513E"/>
    <w:rsid w:val="007A516F"/>
    <w:rsid w:val="007A5190"/>
    <w:rsid w:val="007A51C6"/>
    <w:rsid w:val="007A5239"/>
    <w:rsid w:val="007A529D"/>
    <w:rsid w:val="007A52DD"/>
    <w:rsid w:val="007A52F7"/>
    <w:rsid w:val="007A53D6"/>
    <w:rsid w:val="007A53E7"/>
    <w:rsid w:val="007A5450"/>
    <w:rsid w:val="007A54B9"/>
    <w:rsid w:val="007A5537"/>
    <w:rsid w:val="007A5789"/>
    <w:rsid w:val="007A57B0"/>
    <w:rsid w:val="007A583F"/>
    <w:rsid w:val="007A597D"/>
    <w:rsid w:val="007A5AC5"/>
    <w:rsid w:val="007A5B53"/>
    <w:rsid w:val="007A5B8A"/>
    <w:rsid w:val="007A5BB0"/>
    <w:rsid w:val="007A5BB4"/>
    <w:rsid w:val="007A5BCE"/>
    <w:rsid w:val="007A5D02"/>
    <w:rsid w:val="007A5D0F"/>
    <w:rsid w:val="007A5D13"/>
    <w:rsid w:val="007A5DCB"/>
    <w:rsid w:val="007A5DD4"/>
    <w:rsid w:val="007A5E74"/>
    <w:rsid w:val="007A5FB6"/>
    <w:rsid w:val="007A5FD5"/>
    <w:rsid w:val="007A60FB"/>
    <w:rsid w:val="007A6260"/>
    <w:rsid w:val="007A6368"/>
    <w:rsid w:val="007A63A8"/>
    <w:rsid w:val="007A64D1"/>
    <w:rsid w:val="007A650F"/>
    <w:rsid w:val="007A65A9"/>
    <w:rsid w:val="007A6A10"/>
    <w:rsid w:val="007A6CC9"/>
    <w:rsid w:val="007A6D58"/>
    <w:rsid w:val="007A6E01"/>
    <w:rsid w:val="007A6ECF"/>
    <w:rsid w:val="007A6F39"/>
    <w:rsid w:val="007A6FBD"/>
    <w:rsid w:val="007A704D"/>
    <w:rsid w:val="007A70D2"/>
    <w:rsid w:val="007A71AF"/>
    <w:rsid w:val="007A7245"/>
    <w:rsid w:val="007A73E0"/>
    <w:rsid w:val="007A7564"/>
    <w:rsid w:val="007A757D"/>
    <w:rsid w:val="007A7598"/>
    <w:rsid w:val="007A7827"/>
    <w:rsid w:val="007A79DC"/>
    <w:rsid w:val="007A7A32"/>
    <w:rsid w:val="007A7A90"/>
    <w:rsid w:val="007A7B22"/>
    <w:rsid w:val="007A7C4A"/>
    <w:rsid w:val="007A7CAC"/>
    <w:rsid w:val="007A7CAD"/>
    <w:rsid w:val="007A7DC6"/>
    <w:rsid w:val="007A7E0A"/>
    <w:rsid w:val="007B021F"/>
    <w:rsid w:val="007B026F"/>
    <w:rsid w:val="007B0280"/>
    <w:rsid w:val="007B0350"/>
    <w:rsid w:val="007B04FF"/>
    <w:rsid w:val="007B0710"/>
    <w:rsid w:val="007B07A6"/>
    <w:rsid w:val="007B0808"/>
    <w:rsid w:val="007B096D"/>
    <w:rsid w:val="007B098D"/>
    <w:rsid w:val="007B09B4"/>
    <w:rsid w:val="007B0AE4"/>
    <w:rsid w:val="007B0B3C"/>
    <w:rsid w:val="007B0C59"/>
    <w:rsid w:val="007B0DD8"/>
    <w:rsid w:val="007B0EBC"/>
    <w:rsid w:val="007B0EED"/>
    <w:rsid w:val="007B0EF5"/>
    <w:rsid w:val="007B0F38"/>
    <w:rsid w:val="007B0F5A"/>
    <w:rsid w:val="007B1156"/>
    <w:rsid w:val="007B117E"/>
    <w:rsid w:val="007B12FC"/>
    <w:rsid w:val="007B12FF"/>
    <w:rsid w:val="007B13D4"/>
    <w:rsid w:val="007B15F9"/>
    <w:rsid w:val="007B1666"/>
    <w:rsid w:val="007B16AE"/>
    <w:rsid w:val="007B16D4"/>
    <w:rsid w:val="007B16E1"/>
    <w:rsid w:val="007B1786"/>
    <w:rsid w:val="007B17B1"/>
    <w:rsid w:val="007B1800"/>
    <w:rsid w:val="007B18AC"/>
    <w:rsid w:val="007B18B8"/>
    <w:rsid w:val="007B18DD"/>
    <w:rsid w:val="007B1AC8"/>
    <w:rsid w:val="007B1B01"/>
    <w:rsid w:val="007B1B61"/>
    <w:rsid w:val="007B1B8F"/>
    <w:rsid w:val="007B1BCF"/>
    <w:rsid w:val="007B1CE0"/>
    <w:rsid w:val="007B1D68"/>
    <w:rsid w:val="007B1DD6"/>
    <w:rsid w:val="007B1DE8"/>
    <w:rsid w:val="007B1E45"/>
    <w:rsid w:val="007B1E88"/>
    <w:rsid w:val="007B1EFC"/>
    <w:rsid w:val="007B1F2E"/>
    <w:rsid w:val="007B205D"/>
    <w:rsid w:val="007B22FD"/>
    <w:rsid w:val="007B2363"/>
    <w:rsid w:val="007B23D1"/>
    <w:rsid w:val="007B2591"/>
    <w:rsid w:val="007B2658"/>
    <w:rsid w:val="007B2712"/>
    <w:rsid w:val="007B274F"/>
    <w:rsid w:val="007B2764"/>
    <w:rsid w:val="007B2797"/>
    <w:rsid w:val="007B27B6"/>
    <w:rsid w:val="007B289E"/>
    <w:rsid w:val="007B29C9"/>
    <w:rsid w:val="007B2A28"/>
    <w:rsid w:val="007B2ACC"/>
    <w:rsid w:val="007B2C11"/>
    <w:rsid w:val="007B2D94"/>
    <w:rsid w:val="007B2E11"/>
    <w:rsid w:val="007B2E33"/>
    <w:rsid w:val="007B2F28"/>
    <w:rsid w:val="007B2FFB"/>
    <w:rsid w:val="007B3070"/>
    <w:rsid w:val="007B308A"/>
    <w:rsid w:val="007B3151"/>
    <w:rsid w:val="007B31D4"/>
    <w:rsid w:val="007B32C5"/>
    <w:rsid w:val="007B32EF"/>
    <w:rsid w:val="007B3430"/>
    <w:rsid w:val="007B3477"/>
    <w:rsid w:val="007B34B9"/>
    <w:rsid w:val="007B38AF"/>
    <w:rsid w:val="007B38E8"/>
    <w:rsid w:val="007B398E"/>
    <w:rsid w:val="007B3A03"/>
    <w:rsid w:val="007B3AA9"/>
    <w:rsid w:val="007B3B5D"/>
    <w:rsid w:val="007B3BB9"/>
    <w:rsid w:val="007B3D4A"/>
    <w:rsid w:val="007B3F62"/>
    <w:rsid w:val="007B3FB8"/>
    <w:rsid w:val="007B4250"/>
    <w:rsid w:val="007B42D0"/>
    <w:rsid w:val="007B42F0"/>
    <w:rsid w:val="007B4479"/>
    <w:rsid w:val="007B4647"/>
    <w:rsid w:val="007B4659"/>
    <w:rsid w:val="007B4693"/>
    <w:rsid w:val="007B4737"/>
    <w:rsid w:val="007B484E"/>
    <w:rsid w:val="007B48B3"/>
    <w:rsid w:val="007B4977"/>
    <w:rsid w:val="007B49E3"/>
    <w:rsid w:val="007B4B8B"/>
    <w:rsid w:val="007B4B91"/>
    <w:rsid w:val="007B4D1B"/>
    <w:rsid w:val="007B4E65"/>
    <w:rsid w:val="007B4F17"/>
    <w:rsid w:val="007B4F96"/>
    <w:rsid w:val="007B4FB9"/>
    <w:rsid w:val="007B50B0"/>
    <w:rsid w:val="007B5284"/>
    <w:rsid w:val="007B52C3"/>
    <w:rsid w:val="007B5302"/>
    <w:rsid w:val="007B5394"/>
    <w:rsid w:val="007B543A"/>
    <w:rsid w:val="007B56C0"/>
    <w:rsid w:val="007B57CF"/>
    <w:rsid w:val="007B584C"/>
    <w:rsid w:val="007B5886"/>
    <w:rsid w:val="007B58FA"/>
    <w:rsid w:val="007B5923"/>
    <w:rsid w:val="007B5965"/>
    <w:rsid w:val="007B5B1B"/>
    <w:rsid w:val="007B5C82"/>
    <w:rsid w:val="007B5CC7"/>
    <w:rsid w:val="007B5DC7"/>
    <w:rsid w:val="007B5FC4"/>
    <w:rsid w:val="007B6040"/>
    <w:rsid w:val="007B609C"/>
    <w:rsid w:val="007B6139"/>
    <w:rsid w:val="007B6173"/>
    <w:rsid w:val="007B620E"/>
    <w:rsid w:val="007B6217"/>
    <w:rsid w:val="007B6226"/>
    <w:rsid w:val="007B6347"/>
    <w:rsid w:val="007B6389"/>
    <w:rsid w:val="007B6617"/>
    <w:rsid w:val="007B666E"/>
    <w:rsid w:val="007B672E"/>
    <w:rsid w:val="007B67E1"/>
    <w:rsid w:val="007B683E"/>
    <w:rsid w:val="007B6860"/>
    <w:rsid w:val="007B6A90"/>
    <w:rsid w:val="007B6C64"/>
    <w:rsid w:val="007B6D42"/>
    <w:rsid w:val="007B6E74"/>
    <w:rsid w:val="007B6FA3"/>
    <w:rsid w:val="007B6FA5"/>
    <w:rsid w:val="007B70D4"/>
    <w:rsid w:val="007B7208"/>
    <w:rsid w:val="007B7235"/>
    <w:rsid w:val="007B72FE"/>
    <w:rsid w:val="007B7337"/>
    <w:rsid w:val="007B7439"/>
    <w:rsid w:val="007B74E8"/>
    <w:rsid w:val="007B74E9"/>
    <w:rsid w:val="007B75ED"/>
    <w:rsid w:val="007B7602"/>
    <w:rsid w:val="007B775C"/>
    <w:rsid w:val="007B77DE"/>
    <w:rsid w:val="007B7814"/>
    <w:rsid w:val="007B7A9D"/>
    <w:rsid w:val="007B7B5D"/>
    <w:rsid w:val="007B7B67"/>
    <w:rsid w:val="007B7D17"/>
    <w:rsid w:val="007B7D7B"/>
    <w:rsid w:val="007B7D85"/>
    <w:rsid w:val="007B7DAD"/>
    <w:rsid w:val="007B7E8C"/>
    <w:rsid w:val="007B9B4C"/>
    <w:rsid w:val="007C002F"/>
    <w:rsid w:val="007C00BF"/>
    <w:rsid w:val="007C0141"/>
    <w:rsid w:val="007C02D6"/>
    <w:rsid w:val="007C032D"/>
    <w:rsid w:val="007C03F6"/>
    <w:rsid w:val="007C041D"/>
    <w:rsid w:val="007C042E"/>
    <w:rsid w:val="007C04E4"/>
    <w:rsid w:val="007C05A8"/>
    <w:rsid w:val="007C05ED"/>
    <w:rsid w:val="007C0777"/>
    <w:rsid w:val="007C0864"/>
    <w:rsid w:val="007C08BC"/>
    <w:rsid w:val="007C0903"/>
    <w:rsid w:val="007C09EB"/>
    <w:rsid w:val="007C0A20"/>
    <w:rsid w:val="007C0B2D"/>
    <w:rsid w:val="007C0BA2"/>
    <w:rsid w:val="007C0CA7"/>
    <w:rsid w:val="007C0D68"/>
    <w:rsid w:val="007C0FB3"/>
    <w:rsid w:val="007C1068"/>
    <w:rsid w:val="007C10B9"/>
    <w:rsid w:val="007C1173"/>
    <w:rsid w:val="007C118A"/>
    <w:rsid w:val="007C11BC"/>
    <w:rsid w:val="007C12C6"/>
    <w:rsid w:val="007C1413"/>
    <w:rsid w:val="007C1416"/>
    <w:rsid w:val="007C14A4"/>
    <w:rsid w:val="007C1688"/>
    <w:rsid w:val="007C16E3"/>
    <w:rsid w:val="007C17D6"/>
    <w:rsid w:val="007C1964"/>
    <w:rsid w:val="007C1986"/>
    <w:rsid w:val="007C19F4"/>
    <w:rsid w:val="007C1A1C"/>
    <w:rsid w:val="007C1AD9"/>
    <w:rsid w:val="007C1B24"/>
    <w:rsid w:val="007C1BF2"/>
    <w:rsid w:val="007C1C46"/>
    <w:rsid w:val="007C1CE5"/>
    <w:rsid w:val="007C1D3A"/>
    <w:rsid w:val="007C1ED9"/>
    <w:rsid w:val="007C1F65"/>
    <w:rsid w:val="007C1FB7"/>
    <w:rsid w:val="007C1FBB"/>
    <w:rsid w:val="007C2054"/>
    <w:rsid w:val="007C20CC"/>
    <w:rsid w:val="007C2100"/>
    <w:rsid w:val="007C21E3"/>
    <w:rsid w:val="007C226B"/>
    <w:rsid w:val="007C22C1"/>
    <w:rsid w:val="007C22CC"/>
    <w:rsid w:val="007C231A"/>
    <w:rsid w:val="007C234D"/>
    <w:rsid w:val="007C2467"/>
    <w:rsid w:val="007C2556"/>
    <w:rsid w:val="007C25F2"/>
    <w:rsid w:val="007C266B"/>
    <w:rsid w:val="007C267F"/>
    <w:rsid w:val="007C268D"/>
    <w:rsid w:val="007C2841"/>
    <w:rsid w:val="007C284B"/>
    <w:rsid w:val="007C28D2"/>
    <w:rsid w:val="007C2919"/>
    <w:rsid w:val="007C2A0D"/>
    <w:rsid w:val="007C2A2D"/>
    <w:rsid w:val="007C2A83"/>
    <w:rsid w:val="007C2A8E"/>
    <w:rsid w:val="007C2AAB"/>
    <w:rsid w:val="007C2AC8"/>
    <w:rsid w:val="007C2C23"/>
    <w:rsid w:val="007C2C9C"/>
    <w:rsid w:val="007C2CBF"/>
    <w:rsid w:val="007C2E22"/>
    <w:rsid w:val="007C2F00"/>
    <w:rsid w:val="007C2FCB"/>
    <w:rsid w:val="007C2FDD"/>
    <w:rsid w:val="007C3040"/>
    <w:rsid w:val="007C309C"/>
    <w:rsid w:val="007C3200"/>
    <w:rsid w:val="007C32C0"/>
    <w:rsid w:val="007C34FB"/>
    <w:rsid w:val="007C3637"/>
    <w:rsid w:val="007C375D"/>
    <w:rsid w:val="007C378C"/>
    <w:rsid w:val="007C3859"/>
    <w:rsid w:val="007C38E1"/>
    <w:rsid w:val="007C3A6C"/>
    <w:rsid w:val="007C3AD6"/>
    <w:rsid w:val="007C3B66"/>
    <w:rsid w:val="007C3BD7"/>
    <w:rsid w:val="007C3BD8"/>
    <w:rsid w:val="007C3C3B"/>
    <w:rsid w:val="007C3CEA"/>
    <w:rsid w:val="007C3FD0"/>
    <w:rsid w:val="007C4079"/>
    <w:rsid w:val="007C418B"/>
    <w:rsid w:val="007C4193"/>
    <w:rsid w:val="007C42C3"/>
    <w:rsid w:val="007C437F"/>
    <w:rsid w:val="007C451D"/>
    <w:rsid w:val="007C4615"/>
    <w:rsid w:val="007C4721"/>
    <w:rsid w:val="007C483A"/>
    <w:rsid w:val="007C484F"/>
    <w:rsid w:val="007C4A4A"/>
    <w:rsid w:val="007C4A87"/>
    <w:rsid w:val="007C4B98"/>
    <w:rsid w:val="007C4BD9"/>
    <w:rsid w:val="007C4C04"/>
    <w:rsid w:val="007C4DA6"/>
    <w:rsid w:val="007C4EF2"/>
    <w:rsid w:val="007C4F3F"/>
    <w:rsid w:val="007C51C9"/>
    <w:rsid w:val="007C52A4"/>
    <w:rsid w:val="007C5332"/>
    <w:rsid w:val="007C5363"/>
    <w:rsid w:val="007C537B"/>
    <w:rsid w:val="007C5397"/>
    <w:rsid w:val="007C53D3"/>
    <w:rsid w:val="007C5408"/>
    <w:rsid w:val="007C54BF"/>
    <w:rsid w:val="007C5534"/>
    <w:rsid w:val="007C561A"/>
    <w:rsid w:val="007C56DD"/>
    <w:rsid w:val="007C574A"/>
    <w:rsid w:val="007C5931"/>
    <w:rsid w:val="007C5A0F"/>
    <w:rsid w:val="007C5A72"/>
    <w:rsid w:val="007C5AEC"/>
    <w:rsid w:val="007C5B15"/>
    <w:rsid w:val="007C5B44"/>
    <w:rsid w:val="007C5CFA"/>
    <w:rsid w:val="007C5E5E"/>
    <w:rsid w:val="007C5EF1"/>
    <w:rsid w:val="007C6020"/>
    <w:rsid w:val="007C6021"/>
    <w:rsid w:val="007C623C"/>
    <w:rsid w:val="007C6260"/>
    <w:rsid w:val="007C629E"/>
    <w:rsid w:val="007C62B4"/>
    <w:rsid w:val="007C63D7"/>
    <w:rsid w:val="007C66A6"/>
    <w:rsid w:val="007C6727"/>
    <w:rsid w:val="007C69F0"/>
    <w:rsid w:val="007C6A55"/>
    <w:rsid w:val="007C6BB2"/>
    <w:rsid w:val="007C6C4B"/>
    <w:rsid w:val="007C6CC4"/>
    <w:rsid w:val="007C6E41"/>
    <w:rsid w:val="007C6F0F"/>
    <w:rsid w:val="007C6F8F"/>
    <w:rsid w:val="007C6FFC"/>
    <w:rsid w:val="007C7001"/>
    <w:rsid w:val="007C7012"/>
    <w:rsid w:val="007C7064"/>
    <w:rsid w:val="007C7095"/>
    <w:rsid w:val="007C722E"/>
    <w:rsid w:val="007C72AF"/>
    <w:rsid w:val="007C72F0"/>
    <w:rsid w:val="007C73E0"/>
    <w:rsid w:val="007C758F"/>
    <w:rsid w:val="007C75EE"/>
    <w:rsid w:val="007C76F7"/>
    <w:rsid w:val="007C7753"/>
    <w:rsid w:val="007C7756"/>
    <w:rsid w:val="007C777E"/>
    <w:rsid w:val="007C78EB"/>
    <w:rsid w:val="007C792E"/>
    <w:rsid w:val="007C7A1A"/>
    <w:rsid w:val="007C7A65"/>
    <w:rsid w:val="007C7A89"/>
    <w:rsid w:val="007C7AB9"/>
    <w:rsid w:val="007C7B48"/>
    <w:rsid w:val="007C7E12"/>
    <w:rsid w:val="007C7E9E"/>
    <w:rsid w:val="007C7F8D"/>
    <w:rsid w:val="007D000B"/>
    <w:rsid w:val="007D02C9"/>
    <w:rsid w:val="007D05ED"/>
    <w:rsid w:val="007D0605"/>
    <w:rsid w:val="007D0916"/>
    <w:rsid w:val="007D09F2"/>
    <w:rsid w:val="007D0A9D"/>
    <w:rsid w:val="007D0C57"/>
    <w:rsid w:val="007D0E8D"/>
    <w:rsid w:val="007D0E9A"/>
    <w:rsid w:val="007D0EE1"/>
    <w:rsid w:val="007D111B"/>
    <w:rsid w:val="007D1131"/>
    <w:rsid w:val="007D125E"/>
    <w:rsid w:val="007D129B"/>
    <w:rsid w:val="007D12AB"/>
    <w:rsid w:val="007D14E8"/>
    <w:rsid w:val="007D1574"/>
    <w:rsid w:val="007D160A"/>
    <w:rsid w:val="007D162D"/>
    <w:rsid w:val="007D1669"/>
    <w:rsid w:val="007D1808"/>
    <w:rsid w:val="007D181F"/>
    <w:rsid w:val="007D1913"/>
    <w:rsid w:val="007D1A0C"/>
    <w:rsid w:val="007D1A70"/>
    <w:rsid w:val="007D1AB6"/>
    <w:rsid w:val="007D1B96"/>
    <w:rsid w:val="007D1C11"/>
    <w:rsid w:val="007D1CA8"/>
    <w:rsid w:val="007D1CD7"/>
    <w:rsid w:val="007D1CE0"/>
    <w:rsid w:val="007D1D4D"/>
    <w:rsid w:val="007D1DAE"/>
    <w:rsid w:val="007D1EE7"/>
    <w:rsid w:val="007D1FA5"/>
    <w:rsid w:val="007D215C"/>
    <w:rsid w:val="007D21C0"/>
    <w:rsid w:val="007D248D"/>
    <w:rsid w:val="007D2623"/>
    <w:rsid w:val="007D26A9"/>
    <w:rsid w:val="007D26F3"/>
    <w:rsid w:val="007D279D"/>
    <w:rsid w:val="007D2869"/>
    <w:rsid w:val="007D2903"/>
    <w:rsid w:val="007D2960"/>
    <w:rsid w:val="007D2972"/>
    <w:rsid w:val="007D2A58"/>
    <w:rsid w:val="007D2B1D"/>
    <w:rsid w:val="007D2DE4"/>
    <w:rsid w:val="007D2E54"/>
    <w:rsid w:val="007D302B"/>
    <w:rsid w:val="007D306B"/>
    <w:rsid w:val="007D3170"/>
    <w:rsid w:val="007D31E9"/>
    <w:rsid w:val="007D3273"/>
    <w:rsid w:val="007D3334"/>
    <w:rsid w:val="007D3388"/>
    <w:rsid w:val="007D33B2"/>
    <w:rsid w:val="007D33B8"/>
    <w:rsid w:val="007D3498"/>
    <w:rsid w:val="007D358F"/>
    <w:rsid w:val="007D35A8"/>
    <w:rsid w:val="007D3639"/>
    <w:rsid w:val="007D3693"/>
    <w:rsid w:val="007D36B6"/>
    <w:rsid w:val="007D38B5"/>
    <w:rsid w:val="007D3B4A"/>
    <w:rsid w:val="007D3B63"/>
    <w:rsid w:val="007D3C82"/>
    <w:rsid w:val="007D3CDD"/>
    <w:rsid w:val="007D3D64"/>
    <w:rsid w:val="007D4026"/>
    <w:rsid w:val="007D404D"/>
    <w:rsid w:val="007D40DE"/>
    <w:rsid w:val="007D40F4"/>
    <w:rsid w:val="007D410B"/>
    <w:rsid w:val="007D41E2"/>
    <w:rsid w:val="007D436E"/>
    <w:rsid w:val="007D4370"/>
    <w:rsid w:val="007D45E3"/>
    <w:rsid w:val="007D46E0"/>
    <w:rsid w:val="007D4716"/>
    <w:rsid w:val="007D4729"/>
    <w:rsid w:val="007D47A3"/>
    <w:rsid w:val="007D47D0"/>
    <w:rsid w:val="007D4941"/>
    <w:rsid w:val="007D4990"/>
    <w:rsid w:val="007D4997"/>
    <w:rsid w:val="007D4AC4"/>
    <w:rsid w:val="007D4ADA"/>
    <w:rsid w:val="007D4B07"/>
    <w:rsid w:val="007D4C12"/>
    <w:rsid w:val="007D4EBF"/>
    <w:rsid w:val="007D4F55"/>
    <w:rsid w:val="007D4FB8"/>
    <w:rsid w:val="007D50D7"/>
    <w:rsid w:val="007D510D"/>
    <w:rsid w:val="007D51AC"/>
    <w:rsid w:val="007D5220"/>
    <w:rsid w:val="007D52E2"/>
    <w:rsid w:val="007D5507"/>
    <w:rsid w:val="007D557A"/>
    <w:rsid w:val="007D571C"/>
    <w:rsid w:val="007D5755"/>
    <w:rsid w:val="007D57D7"/>
    <w:rsid w:val="007D580D"/>
    <w:rsid w:val="007D58AD"/>
    <w:rsid w:val="007D5B52"/>
    <w:rsid w:val="007D5B9A"/>
    <w:rsid w:val="007D5D26"/>
    <w:rsid w:val="007D5D8D"/>
    <w:rsid w:val="007D5E99"/>
    <w:rsid w:val="007D5F40"/>
    <w:rsid w:val="007D5FDB"/>
    <w:rsid w:val="007D603F"/>
    <w:rsid w:val="007D6088"/>
    <w:rsid w:val="007D610C"/>
    <w:rsid w:val="007D6186"/>
    <w:rsid w:val="007D62A9"/>
    <w:rsid w:val="007D62AE"/>
    <w:rsid w:val="007D62D3"/>
    <w:rsid w:val="007D6406"/>
    <w:rsid w:val="007D64FD"/>
    <w:rsid w:val="007D6547"/>
    <w:rsid w:val="007D658F"/>
    <w:rsid w:val="007D6619"/>
    <w:rsid w:val="007D6699"/>
    <w:rsid w:val="007D67D6"/>
    <w:rsid w:val="007D6848"/>
    <w:rsid w:val="007D68A4"/>
    <w:rsid w:val="007D6947"/>
    <w:rsid w:val="007D6960"/>
    <w:rsid w:val="007D698A"/>
    <w:rsid w:val="007D6AB6"/>
    <w:rsid w:val="007D6B77"/>
    <w:rsid w:val="007D6E57"/>
    <w:rsid w:val="007D6F03"/>
    <w:rsid w:val="007D71B4"/>
    <w:rsid w:val="007D720F"/>
    <w:rsid w:val="007D72AA"/>
    <w:rsid w:val="007D72CB"/>
    <w:rsid w:val="007D72D3"/>
    <w:rsid w:val="007D732D"/>
    <w:rsid w:val="007D7354"/>
    <w:rsid w:val="007D745E"/>
    <w:rsid w:val="007D755A"/>
    <w:rsid w:val="007D759D"/>
    <w:rsid w:val="007D7747"/>
    <w:rsid w:val="007D77E3"/>
    <w:rsid w:val="007D780E"/>
    <w:rsid w:val="007D793E"/>
    <w:rsid w:val="007D7964"/>
    <w:rsid w:val="007D79F5"/>
    <w:rsid w:val="007D7A27"/>
    <w:rsid w:val="007D7AAB"/>
    <w:rsid w:val="007D7B79"/>
    <w:rsid w:val="007D7C55"/>
    <w:rsid w:val="007D7DF3"/>
    <w:rsid w:val="007D7E8B"/>
    <w:rsid w:val="007D7FD6"/>
    <w:rsid w:val="007E009A"/>
    <w:rsid w:val="007E0191"/>
    <w:rsid w:val="007E01D8"/>
    <w:rsid w:val="007E0229"/>
    <w:rsid w:val="007E0254"/>
    <w:rsid w:val="007E03C3"/>
    <w:rsid w:val="007E0465"/>
    <w:rsid w:val="007E04A4"/>
    <w:rsid w:val="007E0502"/>
    <w:rsid w:val="007E053B"/>
    <w:rsid w:val="007E05FA"/>
    <w:rsid w:val="007E0632"/>
    <w:rsid w:val="007E0650"/>
    <w:rsid w:val="007E076A"/>
    <w:rsid w:val="007E07B6"/>
    <w:rsid w:val="007E07CB"/>
    <w:rsid w:val="007E0997"/>
    <w:rsid w:val="007E0A1E"/>
    <w:rsid w:val="007E0AB3"/>
    <w:rsid w:val="007E0B45"/>
    <w:rsid w:val="007E0CC3"/>
    <w:rsid w:val="007E0CD6"/>
    <w:rsid w:val="007E0D1D"/>
    <w:rsid w:val="007E0D36"/>
    <w:rsid w:val="007E0DC1"/>
    <w:rsid w:val="007E0DC3"/>
    <w:rsid w:val="007E0DC5"/>
    <w:rsid w:val="007E0DDA"/>
    <w:rsid w:val="007E0F7A"/>
    <w:rsid w:val="007E0FB2"/>
    <w:rsid w:val="007E0FBA"/>
    <w:rsid w:val="007E109D"/>
    <w:rsid w:val="007E10C7"/>
    <w:rsid w:val="007E10E1"/>
    <w:rsid w:val="007E121C"/>
    <w:rsid w:val="007E12DE"/>
    <w:rsid w:val="007E1379"/>
    <w:rsid w:val="007E1437"/>
    <w:rsid w:val="007E1470"/>
    <w:rsid w:val="007E14CF"/>
    <w:rsid w:val="007E17C0"/>
    <w:rsid w:val="007E19D7"/>
    <w:rsid w:val="007E1B40"/>
    <w:rsid w:val="007E1BA9"/>
    <w:rsid w:val="007E1CB7"/>
    <w:rsid w:val="007E1CEE"/>
    <w:rsid w:val="007E1D11"/>
    <w:rsid w:val="007E1DA5"/>
    <w:rsid w:val="007E1DFB"/>
    <w:rsid w:val="007E1F31"/>
    <w:rsid w:val="007E1F6B"/>
    <w:rsid w:val="007E20A1"/>
    <w:rsid w:val="007E21F6"/>
    <w:rsid w:val="007E2243"/>
    <w:rsid w:val="007E22F4"/>
    <w:rsid w:val="007E2365"/>
    <w:rsid w:val="007E236B"/>
    <w:rsid w:val="007E24BE"/>
    <w:rsid w:val="007E24D6"/>
    <w:rsid w:val="007E250F"/>
    <w:rsid w:val="007E2702"/>
    <w:rsid w:val="007E27F7"/>
    <w:rsid w:val="007E2982"/>
    <w:rsid w:val="007E29AF"/>
    <w:rsid w:val="007E2ABC"/>
    <w:rsid w:val="007E2AE2"/>
    <w:rsid w:val="007E2B2B"/>
    <w:rsid w:val="007E2B9D"/>
    <w:rsid w:val="007E2C39"/>
    <w:rsid w:val="007E2F2A"/>
    <w:rsid w:val="007E2FFF"/>
    <w:rsid w:val="007E30A8"/>
    <w:rsid w:val="007E31F3"/>
    <w:rsid w:val="007E3267"/>
    <w:rsid w:val="007E32C0"/>
    <w:rsid w:val="007E331B"/>
    <w:rsid w:val="007E332C"/>
    <w:rsid w:val="007E3331"/>
    <w:rsid w:val="007E3437"/>
    <w:rsid w:val="007E345E"/>
    <w:rsid w:val="007E3464"/>
    <w:rsid w:val="007E359F"/>
    <w:rsid w:val="007E35CE"/>
    <w:rsid w:val="007E3741"/>
    <w:rsid w:val="007E379D"/>
    <w:rsid w:val="007E37F7"/>
    <w:rsid w:val="007E38A3"/>
    <w:rsid w:val="007E3971"/>
    <w:rsid w:val="007E3B79"/>
    <w:rsid w:val="007E3C6E"/>
    <w:rsid w:val="007E3D0E"/>
    <w:rsid w:val="007E3D3F"/>
    <w:rsid w:val="007E3D50"/>
    <w:rsid w:val="007E3D6A"/>
    <w:rsid w:val="007E3D75"/>
    <w:rsid w:val="007E3E8D"/>
    <w:rsid w:val="007E4045"/>
    <w:rsid w:val="007E41A7"/>
    <w:rsid w:val="007E41F0"/>
    <w:rsid w:val="007E4349"/>
    <w:rsid w:val="007E435D"/>
    <w:rsid w:val="007E435E"/>
    <w:rsid w:val="007E438B"/>
    <w:rsid w:val="007E4535"/>
    <w:rsid w:val="007E466E"/>
    <w:rsid w:val="007E46CD"/>
    <w:rsid w:val="007E46DC"/>
    <w:rsid w:val="007E46E8"/>
    <w:rsid w:val="007E4828"/>
    <w:rsid w:val="007E487F"/>
    <w:rsid w:val="007E48CD"/>
    <w:rsid w:val="007E49FB"/>
    <w:rsid w:val="007E4AC1"/>
    <w:rsid w:val="007E4C0B"/>
    <w:rsid w:val="007E4C6E"/>
    <w:rsid w:val="007E4C79"/>
    <w:rsid w:val="007E4C9F"/>
    <w:rsid w:val="007E4DB5"/>
    <w:rsid w:val="007E4F72"/>
    <w:rsid w:val="007E4FC0"/>
    <w:rsid w:val="007E5128"/>
    <w:rsid w:val="007E5249"/>
    <w:rsid w:val="007E52ED"/>
    <w:rsid w:val="007E52F5"/>
    <w:rsid w:val="007E5370"/>
    <w:rsid w:val="007E5391"/>
    <w:rsid w:val="007E553B"/>
    <w:rsid w:val="007E55B9"/>
    <w:rsid w:val="007E570C"/>
    <w:rsid w:val="007E578C"/>
    <w:rsid w:val="007E5863"/>
    <w:rsid w:val="007E58B0"/>
    <w:rsid w:val="007E5957"/>
    <w:rsid w:val="007E597A"/>
    <w:rsid w:val="007E5AD0"/>
    <w:rsid w:val="007E5C20"/>
    <w:rsid w:val="007E5CC3"/>
    <w:rsid w:val="007E5D75"/>
    <w:rsid w:val="007E5D91"/>
    <w:rsid w:val="007E5E53"/>
    <w:rsid w:val="007E5F39"/>
    <w:rsid w:val="007E606A"/>
    <w:rsid w:val="007E6076"/>
    <w:rsid w:val="007E6099"/>
    <w:rsid w:val="007E619E"/>
    <w:rsid w:val="007E61D3"/>
    <w:rsid w:val="007E6221"/>
    <w:rsid w:val="007E6249"/>
    <w:rsid w:val="007E635D"/>
    <w:rsid w:val="007E6415"/>
    <w:rsid w:val="007E647B"/>
    <w:rsid w:val="007E64FF"/>
    <w:rsid w:val="007E670F"/>
    <w:rsid w:val="007E6770"/>
    <w:rsid w:val="007E688D"/>
    <w:rsid w:val="007E6C0A"/>
    <w:rsid w:val="007E6D00"/>
    <w:rsid w:val="007E6D5D"/>
    <w:rsid w:val="007E6DA6"/>
    <w:rsid w:val="007E6E88"/>
    <w:rsid w:val="007E6EF5"/>
    <w:rsid w:val="007E6FB4"/>
    <w:rsid w:val="007E703F"/>
    <w:rsid w:val="007E7179"/>
    <w:rsid w:val="007E7285"/>
    <w:rsid w:val="007E7393"/>
    <w:rsid w:val="007E752B"/>
    <w:rsid w:val="007E7648"/>
    <w:rsid w:val="007E76B8"/>
    <w:rsid w:val="007E7706"/>
    <w:rsid w:val="007E78EB"/>
    <w:rsid w:val="007E79AC"/>
    <w:rsid w:val="007E7A2D"/>
    <w:rsid w:val="007E7A40"/>
    <w:rsid w:val="007E7A46"/>
    <w:rsid w:val="007E7AD6"/>
    <w:rsid w:val="007E7CAD"/>
    <w:rsid w:val="007E7CE0"/>
    <w:rsid w:val="007E7D59"/>
    <w:rsid w:val="007E7DE0"/>
    <w:rsid w:val="007E7E61"/>
    <w:rsid w:val="007E7E66"/>
    <w:rsid w:val="007E7E9C"/>
    <w:rsid w:val="007E7EEF"/>
    <w:rsid w:val="007E7F3F"/>
    <w:rsid w:val="007E7FD0"/>
    <w:rsid w:val="007F002D"/>
    <w:rsid w:val="007F004F"/>
    <w:rsid w:val="007F0074"/>
    <w:rsid w:val="007F007C"/>
    <w:rsid w:val="007F022D"/>
    <w:rsid w:val="007F039A"/>
    <w:rsid w:val="007F040B"/>
    <w:rsid w:val="007F0476"/>
    <w:rsid w:val="007F0497"/>
    <w:rsid w:val="007F05BE"/>
    <w:rsid w:val="007F0682"/>
    <w:rsid w:val="007F0735"/>
    <w:rsid w:val="007F076A"/>
    <w:rsid w:val="007F07DC"/>
    <w:rsid w:val="007F089C"/>
    <w:rsid w:val="007F0928"/>
    <w:rsid w:val="007F095C"/>
    <w:rsid w:val="007F0A45"/>
    <w:rsid w:val="007F0A5D"/>
    <w:rsid w:val="007F0AC2"/>
    <w:rsid w:val="007F0B34"/>
    <w:rsid w:val="007F0BA8"/>
    <w:rsid w:val="007F0C5B"/>
    <w:rsid w:val="007F0D02"/>
    <w:rsid w:val="007F0DC1"/>
    <w:rsid w:val="007F0EEB"/>
    <w:rsid w:val="007F0F77"/>
    <w:rsid w:val="007F0FAA"/>
    <w:rsid w:val="007F101C"/>
    <w:rsid w:val="007F1105"/>
    <w:rsid w:val="007F1144"/>
    <w:rsid w:val="007F1349"/>
    <w:rsid w:val="007F1531"/>
    <w:rsid w:val="007F16AA"/>
    <w:rsid w:val="007F1738"/>
    <w:rsid w:val="007F173F"/>
    <w:rsid w:val="007F17DA"/>
    <w:rsid w:val="007F18FD"/>
    <w:rsid w:val="007F1B41"/>
    <w:rsid w:val="007F1DF3"/>
    <w:rsid w:val="007F1F51"/>
    <w:rsid w:val="007F1F70"/>
    <w:rsid w:val="007F1F7D"/>
    <w:rsid w:val="007F206D"/>
    <w:rsid w:val="007F2318"/>
    <w:rsid w:val="007F235B"/>
    <w:rsid w:val="007F2437"/>
    <w:rsid w:val="007F2503"/>
    <w:rsid w:val="007F25DC"/>
    <w:rsid w:val="007F26C5"/>
    <w:rsid w:val="007F26D7"/>
    <w:rsid w:val="007F2769"/>
    <w:rsid w:val="007F27BA"/>
    <w:rsid w:val="007F2801"/>
    <w:rsid w:val="007F2853"/>
    <w:rsid w:val="007F2877"/>
    <w:rsid w:val="007F2A62"/>
    <w:rsid w:val="007F2AF6"/>
    <w:rsid w:val="007F2BFC"/>
    <w:rsid w:val="007F2E26"/>
    <w:rsid w:val="007F2E88"/>
    <w:rsid w:val="007F2EAD"/>
    <w:rsid w:val="007F2FDF"/>
    <w:rsid w:val="007F3133"/>
    <w:rsid w:val="007F31AA"/>
    <w:rsid w:val="007F3236"/>
    <w:rsid w:val="007F333F"/>
    <w:rsid w:val="007F350E"/>
    <w:rsid w:val="007F3555"/>
    <w:rsid w:val="007F35CA"/>
    <w:rsid w:val="007F3663"/>
    <w:rsid w:val="007F378B"/>
    <w:rsid w:val="007F37CA"/>
    <w:rsid w:val="007F3A02"/>
    <w:rsid w:val="007F3B2F"/>
    <w:rsid w:val="007F3BA4"/>
    <w:rsid w:val="007F3DED"/>
    <w:rsid w:val="007F3E08"/>
    <w:rsid w:val="007F3F65"/>
    <w:rsid w:val="007F40F2"/>
    <w:rsid w:val="007F4136"/>
    <w:rsid w:val="007F4175"/>
    <w:rsid w:val="007F421F"/>
    <w:rsid w:val="007F4377"/>
    <w:rsid w:val="007F4442"/>
    <w:rsid w:val="007F4463"/>
    <w:rsid w:val="007F44AB"/>
    <w:rsid w:val="007F44F1"/>
    <w:rsid w:val="007F4583"/>
    <w:rsid w:val="007F45B9"/>
    <w:rsid w:val="007F45C2"/>
    <w:rsid w:val="007F461A"/>
    <w:rsid w:val="007F46A2"/>
    <w:rsid w:val="007F46FB"/>
    <w:rsid w:val="007F4824"/>
    <w:rsid w:val="007F4A3D"/>
    <w:rsid w:val="007F4A8E"/>
    <w:rsid w:val="007F4DB7"/>
    <w:rsid w:val="007F4E2C"/>
    <w:rsid w:val="007F4F7A"/>
    <w:rsid w:val="007F5083"/>
    <w:rsid w:val="007F50E9"/>
    <w:rsid w:val="007F50EB"/>
    <w:rsid w:val="007F513F"/>
    <w:rsid w:val="007F5193"/>
    <w:rsid w:val="007F51A3"/>
    <w:rsid w:val="007F51FB"/>
    <w:rsid w:val="007F525E"/>
    <w:rsid w:val="007F52A4"/>
    <w:rsid w:val="007F5379"/>
    <w:rsid w:val="007F545D"/>
    <w:rsid w:val="007F54B2"/>
    <w:rsid w:val="007F567D"/>
    <w:rsid w:val="007F56B4"/>
    <w:rsid w:val="007F574A"/>
    <w:rsid w:val="007F5AD3"/>
    <w:rsid w:val="007F5B53"/>
    <w:rsid w:val="007F5CA3"/>
    <w:rsid w:val="007F5CA5"/>
    <w:rsid w:val="007F5E1E"/>
    <w:rsid w:val="007F5E7D"/>
    <w:rsid w:val="007F600A"/>
    <w:rsid w:val="007F6025"/>
    <w:rsid w:val="007F60FC"/>
    <w:rsid w:val="007F62CE"/>
    <w:rsid w:val="007F63EC"/>
    <w:rsid w:val="007F641D"/>
    <w:rsid w:val="007F645D"/>
    <w:rsid w:val="007F64DD"/>
    <w:rsid w:val="007F64EA"/>
    <w:rsid w:val="007F654A"/>
    <w:rsid w:val="007F6656"/>
    <w:rsid w:val="007F66CF"/>
    <w:rsid w:val="007F6731"/>
    <w:rsid w:val="007F681C"/>
    <w:rsid w:val="007F68FF"/>
    <w:rsid w:val="007F6AE5"/>
    <w:rsid w:val="007F6B5B"/>
    <w:rsid w:val="007F6C24"/>
    <w:rsid w:val="007F6CF4"/>
    <w:rsid w:val="007F6DFA"/>
    <w:rsid w:val="007F6F83"/>
    <w:rsid w:val="007F7039"/>
    <w:rsid w:val="007F703B"/>
    <w:rsid w:val="007F70C1"/>
    <w:rsid w:val="007F70C6"/>
    <w:rsid w:val="007F7294"/>
    <w:rsid w:val="007F72EB"/>
    <w:rsid w:val="007F7327"/>
    <w:rsid w:val="007F7340"/>
    <w:rsid w:val="007F734D"/>
    <w:rsid w:val="007F7371"/>
    <w:rsid w:val="007F746D"/>
    <w:rsid w:val="007F74B4"/>
    <w:rsid w:val="007F75ED"/>
    <w:rsid w:val="007F75F9"/>
    <w:rsid w:val="007F761A"/>
    <w:rsid w:val="007F7672"/>
    <w:rsid w:val="007F76CE"/>
    <w:rsid w:val="007F76DD"/>
    <w:rsid w:val="007F76E7"/>
    <w:rsid w:val="007F77E2"/>
    <w:rsid w:val="007F7858"/>
    <w:rsid w:val="007F785B"/>
    <w:rsid w:val="007F7A2B"/>
    <w:rsid w:val="007F7A3D"/>
    <w:rsid w:val="007F7AB4"/>
    <w:rsid w:val="007F7CA2"/>
    <w:rsid w:val="007F7CC7"/>
    <w:rsid w:val="007F7D54"/>
    <w:rsid w:val="007F7D75"/>
    <w:rsid w:val="007F7D83"/>
    <w:rsid w:val="007F7D9A"/>
    <w:rsid w:val="007F7DF7"/>
    <w:rsid w:val="007F7E27"/>
    <w:rsid w:val="007F7F08"/>
    <w:rsid w:val="00800080"/>
    <w:rsid w:val="00800163"/>
    <w:rsid w:val="008002B3"/>
    <w:rsid w:val="008003B8"/>
    <w:rsid w:val="008004E6"/>
    <w:rsid w:val="00800520"/>
    <w:rsid w:val="008005DB"/>
    <w:rsid w:val="0080062C"/>
    <w:rsid w:val="0080083C"/>
    <w:rsid w:val="00800874"/>
    <w:rsid w:val="00800993"/>
    <w:rsid w:val="00800BCE"/>
    <w:rsid w:val="00800C45"/>
    <w:rsid w:val="00800C96"/>
    <w:rsid w:val="00800D3D"/>
    <w:rsid w:val="00800D7D"/>
    <w:rsid w:val="00800F75"/>
    <w:rsid w:val="00801142"/>
    <w:rsid w:val="008014EC"/>
    <w:rsid w:val="008016D1"/>
    <w:rsid w:val="00801787"/>
    <w:rsid w:val="008017CA"/>
    <w:rsid w:val="0080188C"/>
    <w:rsid w:val="00801930"/>
    <w:rsid w:val="00801AC9"/>
    <w:rsid w:val="00801B8E"/>
    <w:rsid w:val="00801BFE"/>
    <w:rsid w:val="00801C21"/>
    <w:rsid w:val="00801CCC"/>
    <w:rsid w:val="00801CD3"/>
    <w:rsid w:val="00801D32"/>
    <w:rsid w:val="00801D3F"/>
    <w:rsid w:val="00801DFF"/>
    <w:rsid w:val="00801F93"/>
    <w:rsid w:val="008022BC"/>
    <w:rsid w:val="008022E0"/>
    <w:rsid w:val="00802367"/>
    <w:rsid w:val="0080239B"/>
    <w:rsid w:val="00802579"/>
    <w:rsid w:val="0080258A"/>
    <w:rsid w:val="008025FB"/>
    <w:rsid w:val="0080268E"/>
    <w:rsid w:val="008027D1"/>
    <w:rsid w:val="00802869"/>
    <w:rsid w:val="00802A18"/>
    <w:rsid w:val="00802BA2"/>
    <w:rsid w:val="00802BD6"/>
    <w:rsid w:val="00802D8F"/>
    <w:rsid w:val="00802DCB"/>
    <w:rsid w:val="00802E19"/>
    <w:rsid w:val="00802E1B"/>
    <w:rsid w:val="00802EE2"/>
    <w:rsid w:val="00802F43"/>
    <w:rsid w:val="0080305D"/>
    <w:rsid w:val="00803156"/>
    <w:rsid w:val="0080320D"/>
    <w:rsid w:val="00803212"/>
    <w:rsid w:val="00803257"/>
    <w:rsid w:val="00803426"/>
    <w:rsid w:val="00803506"/>
    <w:rsid w:val="00803514"/>
    <w:rsid w:val="0080353D"/>
    <w:rsid w:val="00803565"/>
    <w:rsid w:val="00803677"/>
    <w:rsid w:val="008036A7"/>
    <w:rsid w:val="008037C8"/>
    <w:rsid w:val="00803919"/>
    <w:rsid w:val="008039EF"/>
    <w:rsid w:val="00803ABB"/>
    <w:rsid w:val="00803ADB"/>
    <w:rsid w:val="00803C23"/>
    <w:rsid w:val="00803C3F"/>
    <w:rsid w:val="00803D44"/>
    <w:rsid w:val="00803D65"/>
    <w:rsid w:val="00803DC7"/>
    <w:rsid w:val="00803F4E"/>
    <w:rsid w:val="00803F8E"/>
    <w:rsid w:val="00804040"/>
    <w:rsid w:val="00804068"/>
    <w:rsid w:val="0080407C"/>
    <w:rsid w:val="00804090"/>
    <w:rsid w:val="008040B9"/>
    <w:rsid w:val="00804103"/>
    <w:rsid w:val="00804158"/>
    <w:rsid w:val="008041B8"/>
    <w:rsid w:val="008041C3"/>
    <w:rsid w:val="008042C5"/>
    <w:rsid w:val="00804353"/>
    <w:rsid w:val="00804378"/>
    <w:rsid w:val="00804380"/>
    <w:rsid w:val="008043AA"/>
    <w:rsid w:val="00804414"/>
    <w:rsid w:val="00804470"/>
    <w:rsid w:val="008044C2"/>
    <w:rsid w:val="0080450B"/>
    <w:rsid w:val="00804599"/>
    <w:rsid w:val="008045F7"/>
    <w:rsid w:val="008046BE"/>
    <w:rsid w:val="00804869"/>
    <w:rsid w:val="008048AC"/>
    <w:rsid w:val="008048D0"/>
    <w:rsid w:val="00804A83"/>
    <w:rsid w:val="00804BC9"/>
    <w:rsid w:val="00804CAA"/>
    <w:rsid w:val="00804CD9"/>
    <w:rsid w:val="00804D37"/>
    <w:rsid w:val="00804E2C"/>
    <w:rsid w:val="00804FB7"/>
    <w:rsid w:val="00805084"/>
    <w:rsid w:val="00805174"/>
    <w:rsid w:val="00805239"/>
    <w:rsid w:val="00805302"/>
    <w:rsid w:val="00805321"/>
    <w:rsid w:val="00805390"/>
    <w:rsid w:val="00805563"/>
    <w:rsid w:val="008056E2"/>
    <w:rsid w:val="008057DB"/>
    <w:rsid w:val="00805878"/>
    <w:rsid w:val="00805A84"/>
    <w:rsid w:val="00805AA9"/>
    <w:rsid w:val="00805C2D"/>
    <w:rsid w:val="00805C84"/>
    <w:rsid w:val="00805CBB"/>
    <w:rsid w:val="00805D0E"/>
    <w:rsid w:val="00805E18"/>
    <w:rsid w:val="00805E68"/>
    <w:rsid w:val="00805E89"/>
    <w:rsid w:val="00806065"/>
    <w:rsid w:val="00806185"/>
    <w:rsid w:val="008061C2"/>
    <w:rsid w:val="00806266"/>
    <w:rsid w:val="0080630F"/>
    <w:rsid w:val="008063F1"/>
    <w:rsid w:val="0080652E"/>
    <w:rsid w:val="00806543"/>
    <w:rsid w:val="00806685"/>
    <w:rsid w:val="008066D2"/>
    <w:rsid w:val="008067F7"/>
    <w:rsid w:val="00806952"/>
    <w:rsid w:val="00806BED"/>
    <w:rsid w:val="00806C15"/>
    <w:rsid w:val="00806E33"/>
    <w:rsid w:val="00806F67"/>
    <w:rsid w:val="0080700F"/>
    <w:rsid w:val="00807060"/>
    <w:rsid w:val="008070D2"/>
    <w:rsid w:val="008071A1"/>
    <w:rsid w:val="008071FB"/>
    <w:rsid w:val="0080723E"/>
    <w:rsid w:val="00807334"/>
    <w:rsid w:val="0080750B"/>
    <w:rsid w:val="00807635"/>
    <w:rsid w:val="00807690"/>
    <w:rsid w:val="008076A2"/>
    <w:rsid w:val="008077F2"/>
    <w:rsid w:val="008078AD"/>
    <w:rsid w:val="00807940"/>
    <w:rsid w:val="0080794F"/>
    <w:rsid w:val="00807978"/>
    <w:rsid w:val="00807A75"/>
    <w:rsid w:val="00807ACE"/>
    <w:rsid w:val="00807AD9"/>
    <w:rsid w:val="00807B4D"/>
    <w:rsid w:val="00807C8B"/>
    <w:rsid w:val="00807CBB"/>
    <w:rsid w:val="00807D60"/>
    <w:rsid w:val="00807DAD"/>
    <w:rsid w:val="00807EF0"/>
    <w:rsid w:val="00810007"/>
    <w:rsid w:val="0081021F"/>
    <w:rsid w:val="0081026A"/>
    <w:rsid w:val="008102A2"/>
    <w:rsid w:val="008102F9"/>
    <w:rsid w:val="00810748"/>
    <w:rsid w:val="008107D6"/>
    <w:rsid w:val="00810A0F"/>
    <w:rsid w:val="00810ABD"/>
    <w:rsid w:val="00810AD0"/>
    <w:rsid w:val="00810B83"/>
    <w:rsid w:val="00810BEA"/>
    <w:rsid w:val="00810C7D"/>
    <w:rsid w:val="00810D1E"/>
    <w:rsid w:val="00810EEA"/>
    <w:rsid w:val="00811117"/>
    <w:rsid w:val="0081115D"/>
    <w:rsid w:val="008111D3"/>
    <w:rsid w:val="008112DC"/>
    <w:rsid w:val="00811427"/>
    <w:rsid w:val="008114F2"/>
    <w:rsid w:val="00811715"/>
    <w:rsid w:val="0081191A"/>
    <w:rsid w:val="008119F0"/>
    <w:rsid w:val="00811B04"/>
    <w:rsid w:val="00811D8F"/>
    <w:rsid w:val="00811E8D"/>
    <w:rsid w:val="00811E91"/>
    <w:rsid w:val="00811FB8"/>
    <w:rsid w:val="0081203C"/>
    <w:rsid w:val="00812299"/>
    <w:rsid w:val="00812352"/>
    <w:rsid w:val="00812564"/>
    <w:rsid w:val="008125E2"/>
    <w:rsid w:val="00812795"/>
    <w:rsid w:val="00812B3A"/>
    <w:rsid w:val="00812B9E"/>
    <w:rsid w:val="00812CE9"/>
    <w:rsid w:val="00812D3C"/>
    <w:rsid w:val="00812FC2"/>
    <w:rsid w:val="00812FC9"/>
    <w:rsid w:val="00812FD6"/>
    <w:rsid w:val="00813078"/>
    <w:rsid w:val="008130DD"/>
    <w:rsid w:val="0081315E"/>
    <w:rsid w:val="0081322B"/>
    <w:rsid w:val="0081324C"/>
    <w:rsid w:val="008132EA"/>
    <w:rsid w:val="008133F6"/>
    <w:rsid w:val="008134C1"/>
    <w:rsid w:val="00813560"/>
    <w:rsid w:val="0081362F"/>
    <w:rsid w:val="008136FD"/>
    <w:rsid w:val="00813940"/>
    <w:rsid w:val="00813974"/>
    <w:rsid w:val="00813A5B"/>
    <w:rsid w:val="00813D26"/>
    <w:rsid w:val="00813D30"/>
    <w:rsid w:val="00813D63"/>
    <w:rsid w:val="00813D75"/>
    <w:rsid w:val="00813D88"/>
    <w:rsid w:val="00813E49"/>
    <w:rsid w:val="00813E87"/>
    <w:rsid w:val="00813F71"/>
    <w:rsid w:val="00813FF5"/>
    <w:rsid w:val="0081403C"/>
    <w:rsid w:val="008141B5"/>
    <w:rsid w:val="008141BE"/>
    <w:rsid w:val="008142E0"/>
    <w:rsid w:val="008142EE"/>
    <w:rsid w:val="00814542"/>
    <w:rsid w:val="00814580"/>
    <w:rsid w:val="00814586"/>
    <w:rsid w:val="008145BC"/>
    <w:rsid w:val="008145CC"/>
    <w:rsid w:val="00814907"/>
    <w:rsid w:val="00814953"/>
    <w:rsid w:val="008149FD"/>
    <w:rsid w:val="00814AA8"/>
    <w:rsid w:val="00814BDA"/>
    <w:rsid w:val="00814DE4"/>
    <w:rsid w:val="00814DEB"/>
    <w:rsid w:val="00814FEC"/>
    <w:rsid w:val="0081530E"/>
    <w:rsid w:val="00815337"/>
    <w:rsid w:val="00815540"/>
    <w:rsid w:val="008155EB"/>
    <w:rsid w:val="008156FA"/>
    <w:rsid w:val="00815762"/>
    <w:rsid w:val="0081579D"/>
    <w:rsid w:val="0081589B"/>
    <w:rsid w:val="008158CE"/>
    <w:rsid w:val="008159A0"/>
    <w:rsid w:val="00815ACE"/>
    <w:rsid w:val="00815B18"/>
    <w:rsid w:val="00815B21"/>
    <w:rsid w:val="00815D90"/>
    <w:rsid w:val="00815DA0"/>
    <w:rsid w:val="00815F60"/>
    <w:rsid w:val="00815F89"/>
    <w:rsid w:val="00815FCC"/>
    <w:rsid w:val="00816086"/>
    <w:rsid w:val="0081612C"/>
    <w:rsid w:val="008162F3"/>
    <w:rsid w:val="00816364"/>
    <w:rsid w:val="0081637B"/>
    <w:rsid w:val="008166E2"/>
    <w:rsid w:val="0081675C"/>
    <w:rsid w:val="0081683A"/>
    <w:rsid w:val="00816A90"/>
    <w:rsid w:val="00816ABC"/>
    <w:rsid w:val="00816B65"/>
    <w:rsid w:val="00816D23"/>
    <w:rsid w:val="00816D94"/>
    <w:rsid w:val="00816D9A"/>
    <w:rsid w:val="0081702A"/>
    <w:rsid w:val="0081704C"/>
    <w:rsid w:val="00817174"/>
    <w:rsid w:val="00817219"/>
    <w:rsid w:val="0081738F"/>
    <w:rsid w:val="0081752D"/>
    <w:rsid w:val="00817636"/>
    <w:rsid w:val="00817673"/>
    <w:rsid w:val="0081779F"/>
    <w:rsid w:val="0081783F"/>
    <w:rsid w:val="00817982"/>
    <w:rsid w:val="00817A41"/>
    <w:rsid w:val="00817B01"/>
    <w:rsid w:val="00817B3F"/>
    <w:rsid w:val="00817BC6"/>
    <w:rsid w:val="00817C85"/>
    <w:rsid w:val="00817E45"/>
    <w:rsid w:val="00817F16"/>
    <w:rsid w:val="00817F66"/>
    <w:rsid w:val="00817FCB"/>
    <w:rsid w:val="00820025"/>
    <w:rsid w:val="00820204"/>
    <w:rsid w:val="00820250"/>
    <w:rsid w:val="008202C4"/>
    <w:rsid w:val="008203C7"/>
    <w:rsid w:val="00820500"/>
    <w:rsid w:val="00820525"/>
    <w:rsid w:val="00820666"/>
    <w:rsid w:val="0082069F"/>
    <w:rsid w:val="00820744"/>
    <w:rsid w:val="008207B6"/>
    <w:rsid w:val="0082080E"/>
    <w:rsid w:val="0082090F"/>
    <w:rsid w:val="00820919"/>
    <w:rsid w:val="008209CA"/>
    <w:rsid w:val="00820A6A"/>
    <w:rsid w:val="00820A84"/>
    <w:rsid w:val="00820C56"/>
    <w:rsid w:val="00820DE6"/>
    <w:rsid w:val="00820DED"/>
    <w:rsid w:val="00820E8B"/>
    <w:rsid w:val="00820F53"/>
    <w:rsid w:val="00820F8A"/>
    <w:rsid w:val="00821392"/>
    <w:rsid w:val="0082144A"/>
    <w:rsid w:val="00821464"/>
    <w:rsid w:val="008214B2"/>
    <w:rsid w:val="008214C3"/>
    <w:rsid w:val="00821607"/>
    <w:rsid w:val="00821650"/>
    <w:rsid w:val="00821690"/>
    <w:rsid w:val="0082186A"/>
    <w:rsid w:val="0082187A"/>
    <w:rsid w:val="00821A09"/>
    <w:rsid w:val="00821A66"/>
    <w:rsid w:val="00821B33"/>
    <w:rsid w:val="00821C50"/>
    <w:rsid w:val="00821CC6"/>
    <w:rsid w:val="00821E18"/>
    <w:rsid w:val="00821E37"/>
    <w:rsid w:val="00822172"/>
    <w:rsid w:val="00822312"/>
    <w:rsid w:val="008223FF"/>
    <w:rsid w:val="00822624"/>
    <w:rsid w:val="00822666"/>
    <w:rsid w:val="008227B0"/>
    <w:rsid w:val="008227EC"/>
    <w:rsid w:val="00822880"/>
    <w:rsid w:val="00822AF0"/>
    <w:rsid w:val="00822B0A"/>
    <w:rsid w:val="00822B14"/>
    <w:rsid w:val="00822BFA"/>
    <w:rsid w:val="00822E04"/>
    <w:rsid w:val="00822E07"/>
    <w:rsid w:val="00822E47"/>
    <w:rsid w:val="00822F1F"/>
    <w:rsid w:val="00822F6F"/>
    <w:rsid w:val="00822F71"/>
    <w:rsid w:val="00823033"/>
    <w:rsid w:val="00823079"/>
    <w:rsid w:val="008230B2"/>
    <w:rsid w:val="008230F9"/>
    <w:rsid w:val="00823203"/>
    <w:rsid w:val="008232B2"/>
    <w:rsid w:val="0082340E"/>
    <w:rsid w:val="00823655"/>
    <w:rsid w:val="0082366B"/>
    <w:rsid w:val="00823882"/>
    <w:rsid w:val="008238AA"/>
    <w:rsid w:val="008238B4"/>
    <w:rsid w:val="00823923"/>
    <w:rsid w:val="00823A6F"/>
    <w:rsid w:val="00823B29"/>
    <w:rsid w:val="00823BF0"/>
    <w:rsid w:val="00823C33"/>
    <w:rsid w:val="00823D28"/>
    <w:rsid w:val="00823FC4"/>
    <w:rsid w:val="00824074"/>
    <w:rsid w:val="008240CF"/>
    <w:rsid w:val="00824283"/>
    <w:rsid w:val="00824288"/>
    <w:rsid w:val="008242A0"/>
    <w:rsid w:val="00824356"/>
    <w:rsid w:val="008245E1"/>
    <w:rsid w:val="00824681"/>
    <w:rsid w:val="008247D7"/>
    <w:rsid w:val="0082480E"/>
    <w:rsid w:val="008248D9"/>
    <w:rsid w:val="00824A97"/>
    <w:rsid w:val="00824AFA"/>
    <w:rsid w:val="00824B03"/>
    <w:rsid w:val="00824B56"/>
    <w:rsid w:val="00824D38"/>
    <w:rsid w:val="00824D40"/>
    <w:rsid w:val="00824D7C"/>
    <w:rsid w:val="00824DAE"/>
    <w:rsid w:val="00824E1C"/>
    <w:rsid w:val="00824E63"/>
    <w:rsid w:val="00824EFF"/>
    <w:rsid w:val="00825049"/>
    <w:rsid w:val="0082513B"/>
    <w:rsid w:val="0082533A"/>
    <w:rsid w:val="008254A2"/>
    <w:rsid w:val="0082550D"/>
    <w:rsid w:val="0082554A"/>
    <w:rsid w:val="00825628"/>
    <w:rsid w:val="0082562B"/>
    <w:rsid w:val="00825748"/>
    <w:rsid w:val="00825AE4"/>
    <w:rsid w:val="00825B65"/>
    <w:rsid w:val="00825B68"/>
    <w:rsid w:val="00825C2A"/>
    <w:rsid w:val="00825CFE"/>
    <w:rsid w:val="00825E59"/>
    <w:rsid w:val="00825E8F"/>
    <w:rsid w:val="00825F0A"/>
    <w:rsid w:val="00825F19"/>
    <w:rsid w:val="0082600B"/>
    <w:rsid w:val="00826100"/>
    <w:rsid w:val="00826202"/>
    <w:rsid w:val="00826231"/>
    <w:rsid w:val="00826284"/>
    <w:rsid w:val="008262DE"/>
    <w:rsid w:val="00826313"/>
    <w:rsid w:val="0082667D"/>
    <w:rsid w:val="008266F3"/>
    <w:rsid w:val="00826748"/>
    <w:rsid w:val="0082688E"/>
    <w:rsid w:val="00826A40"/>
    <w:rsid w:val="00826A7F"/>
    <w:rsid w:val="00826AB3"/>
    <w:rsid w:val="00826BAC"/>
    <w:rsid w:val="00826CBC"/>
    <w:rsid w:val="00826D36"/>
    <w:rsid w:val="00826D9B"/>
    <w:rsid w:val="00826EA4"/>
    <w:rsid w:val="00826EBD"/>
    <w:rsid w:val="0082727A"/>
    <w:rsid w:val="008272DB"/>
    <w:rsid w:val="00827306"/>
    <w:rsid w:val="00827311"/>
    <w:rsid w:val="00827409"/>
    <w:rsid w:val="008274CD"/>
    <w:rsid w:val="0082758D"/>
    <w:rsid w:val="008275A9"/>
    <w:rsid w:val="008277D7"/>
    <w:rsid w:val="008278DA"/>
    <w:rsid w:val="008278FA"/>
    <w:rsid w:val="00827968"/>
    <w:rsid w:val="008279D9"/>
    <w:rsid w:val="008279EF"/>
    <w:rsid w:val="00827A47"/>
    <w:rsid w:val="00827AE0"/>
    <w:rsid w:val="00827B8E"/>
    <w:rsid w:val="00827C58"/>
    <w:rsid w:val="00827D03"/>
    <w:rsid w:val="00827DE2"/>
    <w:rsid w:val="00827E11"/>
    <w:rsid w:val="00827FE9"/>
    <w:rsid w:val="0083001A"/>
    <w:rsid w:val="00830045"/>
    <w:rsid w:val="00830057"/>
    <w:rsid w:val="008300E1"/>
    <w:rsid w:val="00830201"/>
    <w:rsid w:val="00830222"/>
    <w:rsid w:val="00830301"/>
    <w:rsid w:val="00830349"/>
    <w:rsid w:val="008303CA"/>
    <w:rsid w:val="00830606"/>
    <w:rsid w:val="00830755"/>
    <w:rsid w:val="00830873"/>
    <w:rsid w:val="00830B41"/>
    <w:rsid w:val="00830F49"/>
    <w:rsid w:val="008310A6"/>
    <w:rsid w:val="00831368"/>
    <w:rsid w:val="0083136C"/>
    <w:rsid w:val="008313B1"/>
    <w:rsid w:val="0083145E"/>
    <w:rsid w:val="008314B4"/>
    <w:rsid w:val="008315DD"/>
    <w:rsid w:val="0083174A"/>
    <w:rsid w:val="0083178A"/>
    <w:rsid w:val="008318D1"/>
    <w:rsid w:val="00831A6F"/>
    <w:rsid w:val="00831B9C"/>
    <w:rsid w:val="00831BC7"/>
    <w:rsid w:val="00831C97"/>
    <w:rsid w:val="00831D0D"/>
    <w:rsid w:val="00831DAE"/>
    <w:rsid w:val="00831FED"/>
    <w:rsid w:val="00832086"/>
    <w:rsid w:val="008320E9"/>
    <w:rsid w:val="00832144"/>
    <w:rsid w:val="0083217F"/>
    <w:rsid w:val="008321DE"/>
    <w:rsid w:val="0083228B"/>
    <w:rsid w:val="00832387"/>
    <w:rsid w:val="00832523"/>
    <w:rsid w:val="00832691"/>
    <w:rsid w:val="008326DD"/>
    <w:rsid w:val="008326EE"/>
    <w:rsid w:val="00832866"/>
    <w:rsid w:val="008328C2"/>
    <w:rsid w:val="00832923"/>
    <w:rsid w:val="00832A1D"/>
    <w:rsid w:val="00832A47"/>
    <w:rsid w:val="00832A9C"/>
    <w:rsid w:val="00832BEB"/>
    <w:rsid w:val="00832D62"/>
    <w:rsid w:val="00832DAF"/>
    <w:rsid w:val="00832FF9"/>
    <w:rsid w:val="00832FFC"/>
    <w:rsid w:val="0083302B"/>
    <w:rsid w:val="008330C5"/>
    <w:rsid w:val="008330E7"/>
    <w:rsid w:val="0083322D"/>
    <w:rsid w:val="00833348"/>
    <w:rsid w:val="008334B4"/>
    <w:rsid w:val="0083353C"/>
    <w:rsid w:val="0083358A"/>
    <w:rsid w:val="00833732"/>
    <w:rsid w:val="008337A1"/>
    <w:rsid w:val="008338CF"/>
    <w:rsid w:val="008338D5"/>
    <w:rsid w:val="0083398E"/>
    <w:rsid w:val="00833AE9"/>
    <w:rsid w:val="00833B0F"/>
    <w:rsid w:val="00833C0A"/>
    <w:rsid w:val="00833CFA"/>
    <w:rsid w:val="00833E40"/>
    <w:rsid w:val="00833EAA"/>
    <w:rsid w:val="00834004"/>
    <w:rsid w:val="0083400C"/>
    <w:rsid w:val="00834015"/>
    <w:rsid w:val="00834187"/>
    <w:rsid w:val="00834233"/>
    <w:rsid w:val="00834282"/>
    <w:rsid w:val="008342D0"/>
    <w:rsid w:val="008342E7"/>
    <w:rsid w:val="0083439F"/>
    <w:rsid w:val="008343C5"/>
    <w:rsid w:val="008343FE"/>
    <w:rsid w:val="008344A6"/>
    <w:rsid w:val="00834501"/>
    <w:rsid w:val="00834535"/>
    <w:rsid w:val="008348D9"/>
    <w:rsid w:val="00834A19"/>
    <w:rsid w:val="00834AFC"/>
    <w:rsid w:val="00834BAB"/>
    <w:rsid w:val="00834BC4"/>
    <w:rsid w:val="00834D1A"/>
    <w:rsid w:val="00834D51"/>
    <w:rsid w:val="00834DC2"/>
    <w:rsid w:val="00834E4D"/>
    <w:rsid w:val="00834EF1"/>
    <w:rsid w:val="0083504A"/>
    <w:rsid w:val="0083509A"/>
    <w:rsid w:val="0083510B"/>
    <w:rsid w:val="008351F3"/>
    <w:rsid w:val="008351FF"/>
    <w:rsid w:val="00835270"/>
    <w:rsid w:val="008353A4"/>
    <w:rsid w:val="00835461"/>
    <w:rsid w:val="008354D2"/>
    <w:rsid w:val="0083553F"/>
    <w:rsid w:val="00835543"/>
    <w:rsid w:val="00835666"/>
    <w:rsid w:val="00835732"/>
    <w:rsid w:val="008357A7"/>
    <w:rsid w:val="008357D8"/>
    <w:rsid w:val="008358FC"/>
    <w:rsid w:val="00835927"/>
    <w:rsid w:val="00835A5A"/>
    <w:rsid w:val="00835A91"/>
    <w:rsid w:val="00835C9E"/>
    <w:rsid w:val="00835CCC"/>
    <w:rsid w:val="00835DD5"/>
    <w:rsid w:val="00835EDF"/>
    <w:rsid w:val="00835F83"/>
    <w:rsid w:val="008362E7"/>
    <w:rsid w:val="008362EC"/>
    <w:rsid w:val="008363A9"/>
    <w:rsid w:val="008363D6"/>
    <w:rsid w:val="008363D9"/>
    <w:rsid w:val="00836413"/>
    <w:rsid w:val="0083643B"/>
    <w:rsid w:val="008365C1"/>
    <w:rsid w:val="008366BE"/>
    <w:rsid w:val="00836790"/>
    <w:rsid w:val="00836854"/>
    <w:rsid w:val="0083689B"/>
    <w:rsid w:val="00836942"/>
    <w:rsid w:val="0083696C"/>
    <w:rsid w:val="00836987"/>
    <w:rsid w:val="008369D5"/>
    <w:rsid w:val="00836A99"/>
    <w:rsid w:val="00836AB3"/>
    <w:rsid w:val="00836C92"/>
    <w:rsid w:val="00836D59"/>
    <w:rsid w:val="00836F1F"/>
    <w:rsid w:val="00836FBB"/>
    <w:rsid w:val="008370AC"/>
    <w:rsid w:val="00837143"/>
    <w:rsid w:val="008371FA"/>
    <w:rsid w:val="00837213"/>
    <w:rsid w:val="0083729B"/>
    <w:rsid w:val="008372A2"/>
    <w:rsid w:val="00837313"/>
    <w:rsid w:val="0083734F"/>
    <w:rsid w:val="0083737E"/>
    <w:rsid w:val="0083741E"/>
    <w:rsid w:val="0083747E"/>
    <w:rsid w:val="00837509"/>
    <w:rsid w:val="00837625"/>
    <w:rsid w:val="0083764D"/>
    <w:rsid w:val="0083765B"/>
    <w:rsid w:val="00837820"/>
    <w:rsid w:val="008378D7"/>
    <w:rsid w:val="00837A6B"/>
    <w:rsid w:val="00837B20"/>
    <w:rsid w:val="00837FD3"/>
    <w:rsid w:val="0083A815"/>
    <w:rsid w:val="0083B31B"/>
    <w:rsid w:val="0084002C"/>
    <w:rsid w:val="00840047"/>
    <w:rsid w:val="0084007F"/>
    <w:rsid w:val="0084009C"/>
    <w:rsid w:val="008400FF"/>
    <w:rsid w:val="00840396"/>
    <w:rsid w:val="0084049A"/>
    <w:rsid w:val="00840527"/>
    <w:rsid w:val="00840554"/>
    <w:rsid w:val="008405AC"/>
    <w:rsid w:val="008405C3"/>
    <w:rsid w:val="008405C7"/>
    <w:rsid w:val="00840611"/>
    <w:rsid w:val="00840672"/>
    <w:rsid w:val="0084069B"/>
    <w:rsid w:val="00840725"/>
    <w:rsid w:val="00840760"/>
    <w:rsid w:val="00840866"/>
    <w:rsid w:val="008408A4"/>
    <w:rsid w:val="008408FB"/>
    <w:rsid w:val="00840932"/>
    <w:rsid w:val="00840937"/>
    <w:rsid w:val="008409C0"/>
    <w:rsid w:val="008409FC"/>
    <w:rsid w:val="00840A30"/>
    <w:rsid w:val="00840B53"/>
    <w:rsid w:val="00840B8D"/>
    <w:rsid w:val="00840BB0"/>
    <w:rsid w:val="00840BC6"/>
    <w:rsid w:val="00840C54"/>
    <w:rsid w:val="00840C63"/>
    <w:rsid w:val="00840F56"/>
    <w:rsid w:val="00840F74"/>
    <w:rsid w:val="00841024"/>
    <w:rsid w:val="0084119B"/>
    <w:rsid w:val="008411D6"/>
    <w:rsid w:val="008411EA"/>
    <w:rsid w:val="008412CF"/>
    <w:rsid w:val="0084134B"/>
    <w:rsid w:val="008414FC"/>
    <w:rsid w:val="008415E1"/>
    <w:rsid w:val="00841662"/>
    <w:rsid w:val="008416F4"/>
    <w:rsid w:val="008417AC"/>
    <w:rsid w:val="008417F7"/>
    <w:rsid w:val="008418C9"/>
    <w:rsid w:val="00841945"/>
    <w:rsid w:val="00841A8D"/>
    <w:rsid w:val="00841AAF"/>
    <w:rsid w:val="00841B28"/>
    <w:rsid w:val="00841B79"/>
    <w:rsid w:val="00841B7C"/>
    <w:rsid w:val="00841BE0"/>
    <w:rsid w:val="00841BE8"/>
    <w:rsid w:val="00841D24"/>
    <w:rsid w:val="00841E0D"/>
    <w:rsid w:val="00841FAF"/>
    <w:rsid w:val="00841FB2"/>
    <w:rsid w:val="00841FDD"/>
    <w:rsid w:val="0084200C"/>
    <w:rsid w:val="00842038"/>
    <w:rsid w:val="008420AE"/>
    <w:rsid w:val="008420C1"/>
    <w:rsid w:val="00842143"/>
    <w:rsid w:val="00842167"/>
    <w:rsid w:val="0084217F"/>
    <w:rsid w:val="0084218A"/>
    <w:rsid w:val="008427D8"/>
    <w:rsid w:val="00842919"/>
    <w:rsid w:val="00842CA4"/>
    <w:rsid w:val="00842E32"/>
    <w:rsid w:val="00842E78"/>
    <w:rsid w:val="00842E87"/>
    <w:rsid w:val="00842F46"/>
    <w:rsid w:val="00842FB5"/>
    <w:rsid w:val="00843019"/>
    <w:rsid w:val="0084307F"/>
    <w:rsid w:val="008432A8"/>
    <w:rsid w:val="008432DC"/>
    <w:rsid w:val="008432EB"/>
    <w:rsid w:val="0084332E"/>
    <w:rsid w:val="0084338B"/>
    <w:rsid w:val="0084338D"/>
    <w:rsid w:val="00843444"/>
    <w:rsid w:val="0084352B"/>
    <w:rsid w:val="00843591"/>
    <w:rsid w:val="00843615"/>
    <w:rsid w:val="0084364E"/>
    <w:rsid w:val="0084367C"/>
    <w:rsid w:val="0084371E"/>
    <w:rsid w:val="008437A4"/>
    <w:rsid w:val="008438B7"/>
    <w:rsid w:val="00843958"/>
    <w:rsid w:val="00843973"/>
    <w:rsid w:val="008439E1"/>
    <w:rsid w:val="00843B41"/>
    <w:rsid w:val="00843C10"/>
    <w:rsid w:val="00843C2A"/>
    <w:rsid w:val="00843C76"/>
    <w:rsid w:val="00843F1F"/>
    <w:rsid w:val="00843F7D"/>
    <w:rsid w:val="00843FA3"/>
    <w:rsid w:val="00844014"/>
    <w:rsid w:val="0084406F"/>
    <w:rsid w:val="00844236"/>
    <w:rsid w:val="008442E8"/>
    <w:rsid w:val="008442FF"/>
    <w:rsid w:val="00844301"/>
    <w:rsid w:val="00844582"/>
    <w:rsid w:val="008445E4"/>
    <w:rsid w:val="008448A9"/>
    <w:rsid w:val="0084496F"/>
    <w:rsid w:val="00844A20"/>
    <w:rsid w:val="00844C45"/>
    <w:rsid w:val="00844C83"/>
    <w:rsid w:val="00844E05"/>
    <w:rsid w:val="00844E61"/>
    <w:rsid w:val="00844E8F"/>
    <w:rsid w:val="00844FFB"/>
    <w:rsid w:val="0084503A"/>
    <w:rsid w:val="008450FB"/>
    <w:rsid w:val="0084538F"/>
    <w:rsid w:val="008453A6"/>
    <w:rsid w:val="008453C4"/>
    <w:rsid w:val="0084546A"/>
    <w:rsid w:val="0084551D"/>
    <w:rsid w:val="00845604"/>
    <w:rsid w:val="00845648"/>
    <w:rsid w:val="008456DD"/>
    <w:rsid w:val="008457D5"/>
    <w:rsid w:val="008457E6"/>
    <w:rsid w:val="00845920"/>
    <w:rsid w:val="008459DD"/>
    <w:rsid w:val="00845A5A"/>
    <w:rsid w:val="00845A83"/>
    <w:rsid w:val="00845BB0"/>
    <w:rsid w:val="00845EDA"/>
    <w:rsid w:val="00845EE1"/>
    <w:rsid w:val="00845F1D"/>
    <w:rsid w:val="00845F34"/>
    <w:rsid w:val="00846000"/>
    <w:rsid w:val="008460B0"/>
    <w:rsid w:val="0084610E"/>
    <w:rsid w:val="00846190"/>
    <w:rsid w:val="008461CD"/>
    <w:rsid w:val="0084638E"/>
    <w:rsid w:val="008463FB"/>
    <w:rsid w:val="008466A7"/>
    <w:rsid w:val="00846779"/>
    <w:rsid w:val="0084679C"/>
    <w:rsid w:val="00846806"/>
    <w:rsid w:val="00846998"/>
    <w:rsid w:val="00846B67"/>
    <w:rsid w:val="00846B7B"/>
    <w:rsid w:val="00846B9B"/>
    <w:rsid w:val="00846BAE"/>
    <w:rsid w:val="00846C7A"/>
    <w:rsid w:val="00846C7D"/>
    <w:rsid w:val="00846CCF"/>
    <w:rsid w:val="00846D37"/>
    <w:rsid w:val="00846DD9"/>
    <w:rsid w:val="00846F4D"/>
    <w:rsid w:val="00846F78"/>
    <w:rsid w:val="00847165"/>
    <w:rsid w:val="00847222"/>
    <w:rsid w:val="00847278"/>
    <w:rsid w:val="008472D0"/>
    <w:rsid w:val="0084750F"/>
    <w:rsid w:val="008475C8"/>
    <w:rsid w:val="008476E6"/>
    <w:rsid w:val="008476F1"/>
    <w:rsid w:val="0084779F"/>
    <w:rsid w:val="00847948"/>
    <w:rsid w:val="0084799B"/>
    <w:rsid w:val="00847ACA"/>
    <w:rsid w:val="00847ADF"/>
    <w:rsid w:val="00847AFF"/>
    <w:rsid w:val="00847C03"/>
    <w:rsid w:val="00847C91"/>
    <w:rsid w:val="00847DD1"/>
    <w:rsid w:val="00847DEC"/>
    <w:rsid w:val="00847E14"/>
    <w:rsid w:val="00847EBA"/>
    <w:rsid w:val="008500E5"/>
    <w:rsid w:val="008501E4"/>
    <w:rsid w:val="0085025C"/>
    <w:rsid w:val="008504E0"/>
    <w:rsid w:val="00850675"/>
    <w:rsid w:val="0085067C"/>
    <w:rsid w:val="008508B1"/>
    <w:rsid w:val="008508FF"/>
    <w:rsid w:val="008509D3"/>
    <w:rsid w:val="00850A59"/>
    <w:rsid w:val="00850BBD"/>
    <w:rsid w:val="00850C3F"/>
    <w:rsid w:val="00850E3B"/>
    <w:rsid w:val="00850F3C"/>
    <w:rsid w:val="00850FF0"/>
    <w:rsid w:val="00851050"/>
    <w:rsid w:val="008510DB"/>
    <w:rsid w:val="0085110F"/>
    <w:rsid w:val="00851155"/>
    <w:rsid w:val="00851268"/>
    <w:rsid w:val="00851271"/>
    <w:rsid w:val="00851309"/>
    <w:rsid w:val="00851326"/>
    <w:rsid w:val="00851418"/>
    <w:rsid w:val="008514D7"/>
    <w:rsid w:val="00851640"/>
    <w:rsid w:val="008516AE"/>
    <w:rsid w:val="008516BB"/>
    <w:rsid w:val="00851711"/>
    <w:rsid w:val="008518DE"/>
    <w:rsid w:val="00851933"/>
    <w:rsid w:val="0085195A"/>
    <w:rsid w:val="008519BE"/>
    <w:rsid w:val="008519E6"/>
    <w:rsid w:val="00851A4C"/>
    <w:rsid w:val="00851B24"/>
    <w:rsid w:val="00851B70"/>
    <w:rsid w:val="00851C17"/>
    <w:rsid w:val="00851EB6"/>
    <w:rsid w:val="00851F09"/>
    <w:rsid w:val="00851F8F"/>
    <w:rsid w:val="00851FFE"/>
    <w:rsid w:val="00852050"/>
    <w:rsid w:val="00852160"/>
    <w:rsid w:val="008521A6"/>
    <w:rsid w:val="0085225E"/>
    <w:rsid w:val="00852279"/>
    <w:rsid w:val="008522F8"/>
    <w:rsid w:val="00852312"/>
    <w:rsid w:val="00852316"/>
    <w:rsid w:val="00852533"/>
    <w:rsid w:val="00852573"/>
    <w:rsid w:val="0085257D"/>
    <w:rsid w:val="008525DD"/>
    <w:rsid w:val="008525F8"/>
    <w:rsid w:val="0085260F"/>
    <w:rsid w:val="00852722"/>
    <w:rsid w:val="0085296F"/>
    <w:rsid w:val="008529A6"/>
    <w:rsid w:val="008529D2"/>
    <w:rsid w:val="008529D4"/>
    <w:rsid w:val="00852ADD"/>
    <w:rsid w:val="00852AE9"/>
    <w:rsid w:val="00852BE3"/>
    <w:rsid w:val="00852BF8"/>
    <w:rsid w:val="00852BFA"/>
    <w:rsid w:val="00852C05"/>
    <w:rsid w:val="00852D7A"/>
    <w:rsid w:val="00852F2D"/>
    <w:rsid w:val="00852F40"/>
    <w:rsid w:val="00852F7C"/>
    <w:rsid w:val="00852FD2"/>
    <w:rsid w:val="00853028"/>
    <w:rsid w:val="0085302D"/>
    <w:rsid w:val="008530AB"/>
    <w:rsid w:val="008530F8"/>
    <w:rsid w:val="00853138"/>
    <w:rsid w:val="0085315B"/>
    <w:rsid w:val="00853167"/>
    <w:rsid w:val="00853242"/>
    <w:rsid w:val="00853274"/>
    <w:rsid w:val="008535EB"/>
    <w:rsid w:val="00853611"/>
    <w:rsid w:val="00853657"/>
    <w:rsid w:val="008536EC"/>
    <w:rsid w:val="00853898"/>
    <w:rsid w:val="00853A08"/>
    <w:rsid w:val="00853A1C"/>
    <w:rsid w:val="00853A5B"/>
    <w:rsid w:val="00853AF0"/>
    <w:rsid w:val="00853B82"/>
    <w:rsid w:val="00853D8F"/>
    <w:rsid w:val="00853DCE"/>
    <w:rsid w:val="00853EF3"/>
    <w:rsid w:val="00853F6F"/>
    <w:rsid w:val="00854014"/>
    <w:rsid w:val="008540A2"/>
    <w:rsid w:val="008540EE"/>
    <w:rsid w:val="00854175"/>
    <w:rsid w:val="008541FD"/>
    <w:rsid w:val="008542A4"/>
    <w:rsid w:val="0085432D"/>
    <w:rsid w:val="00854365"/>
    <w:rsid w:val="0085438F"/>
    <w:rsid w:val="00854403"/>
    <w:rsid w:val="00854445"/>
    <w:rsid w:val="008546D6"/>
    <w:rsid w:val="008549FA"/>
    <w:rsid w:val="00854B21"/>
    <w:rsid w:val="00854CBC"/>
    <w:rsid w:val="00854D75"/>
    <w:rsid w:val="00854DA0"/>
    <w:rsid w:val="00855075"/>
    <w:rsid w:val="008550C6"/>
    <w:rsid w:val="008551F8"/>
    <w:rsid w:val="00855240"/>
    <w:rsid w:val="00855270"/>
    <w:rsid w:val="0085535C"/>
    <w:rsid w:val="0085544B"/>
    <w:rsid w:val="00855507"/>
    <w:rsid w:val="00855582"/>
    <w:rsid w:val="0085566C"/>
    <w:rsid w:val="008556F6"/>
    <w:rsid w:val="00855770"/>
    <w:rsid w:val="008559E7"/>
    <w:rsid w:val="00855A1B"/>
    <w:rsid w:val="00855A20"/>
    <w:rsid w:val="00855A37"/>
    <w:rsid w:val="00855A4B"/>
    <w:rsid w:val="00855AB6"/>
    <w:rsid w:val="00855B3A"/>
    <w:rsid w:val="00855B74"/>
    <w:rsid w:val="00855BB1"/>
    <w:rsid w:val="00855DCB"/>
    <w:rsid w:val="00855E38"/>
    <w:rsid w:val="00855E3E"/>
    <w:rsid w:val="0085603C"/>
    <w:rsid w:val="0085606A"/>
    <w:rsid w:val="0085613C"/>
    <w:rsid w:val="008561D9"/>
    <w:rsid w:val="00856261"/>
    <w:rsid w:val="008564E3"/>
    <w:rsid w:val="00856607"/>
    <w:rsid w:val="0085661A"/>
    <w:rsid w:val="0085688A"/>
    <w:rsid w:val="00856970"/>
    <w:rsid w:val="008569BE"/>
    <w:rsid w:val="008569F2"/>
    <w:rsid w:val="00856A19"/>
    <w:rsid w:val="00856B5D"/>
    <w:rsid w:val="00856B88"/>
    <w:rsid w:val="00856BF2"/>
    <w:rsid w:val="00856C33"/>
    <w:rsid w:val="00856D69"/>
    <w:rsid w:val="00856DE8"/>
    <w:rsid w:val="00856E04"/>
    <w:rsid w:val="00856F4E"/>
    <w:rsid w:val="00857005"/>
    <w:rsid w:val="008570AC"/>
    <w:rsid w:val="0085715C"/>
    <w:rsid w:val="0085724E"/>
    <w:rsid w:val="0085751D"/>
    <w:rsid w:val="008575D4"/>
    <w:rsid w:val="008575F2"/>
    <w:rsid w:val="00857626"/>
    <w:rsid w:val="00857730"/>
    <w:rsid w:val="008577B3"/>
    <w:rsid w:val="008577F2"/>
    <w:rsid w:val="0085783D"/>
    <w:rsid w:val="00857842"/>
    <w:rsid w:val="00857873"/>
    <w:rsid w:val="00857891"/>
    <w:rsid w:val="00857899"/>
    <w:rsid w:val="0085789B"/>
    <w:rsid w:val="008578D2"/>
    <w:rsid w:val="00857B71"/>
    <w:rsid w:val="00857F93"/>
    <w:rsid w:val="00860121"/>
    <w:rsid w:val="00860131"/>
    <w:rsid w:val="00860148"/>
    <w:rsid w:val="00860233"/>
    <w:rsid w:val="008603B7"/>
    <w:rsid w:val="008604E6"/>
    <w:rsid w:val="0086056D"/>
    <w:rsid w:val="00860642"/>
    <w:rsid w:val="00860677"/>
    <w:rsid w:val="00860867"/>
    <w:rsid w:val="008608E8"/>
    <w:rsid w:val="00860AC0"/>
    <w:rsid w:val="00860ADB"/>
    <w:rsid w:val="00860AE6"/>
    <w:rsid w:val="00860D09"/>
    <w:rsid w:val="00860D24"/>
    <w:rsid w:val="00860E1F"/>
    <w:rsid w:val="00860E5C"/>
    <w:rsid w:val="00860FF8"/>
    <w:rsid w:val="008611B0"/>
    <w:rsid w:val="008612B8"/>
    <w:rsid w:val="008613B7"/>
    <w:rsid w:val="008613F5"/>
    <w:rsid w:val="00861492"/>
    <w:rsid w:val="00861519"/>
    <w:rsid w:val="0086157F"/>
    <w:rsid w:val="008615A0"/>
    <w:rsid w:val="0086162B"/>
    <w:rsid w:val="00861653"/>
    <w:rsid w:val="008616D5"/>
    <w:rsid w:val="0086174C"/>
    <w:rsid w:val="0086178D"/>
    <w:rsid w:val="008618D5"/>
    <w:rsid w:val="00861914"/>
    <w:rsid w:val="00861ABA"/>
    <w:rsid w:val="00861C5C"/>
    <w:rsid w:val="00861DA3"/>
    <w:rsid w:val="00861E6C"/>
    <w:rsid w:val="00861FB3"/>
    <w:rsid w:val="0086202D"/>
    <w:rsid w:val="0086203D"/>
    <w:rsid w:val="00862051"/>
    <w:rsid w:val="008620D0"/>
    <w:rsid w:val="008622AB"/>
    <w:rsid w:val="0086234B"/>
    <w:rsid w:val="008623FD"/>
    <w:rsid w:val="00862414"/>
    <w:rsid w:val="0086268F"/>
    <w:rsid w:val="008627E0"/>
    <w:rsid w:val="008629DF"/>
    <w:rsid w:val="00862A01"/>
    <w:rsid w:val="00862B95"/>
    <w:rsid w:val="00862C4E"/>
    <w:rsid w:val="00862C6D"/>
    <w:rsid w:val="00862CBD"/>
    <w:rsid w:val="00862CC6"/>
    <w:rsid w:val="00862D42"/>
    <w:rsid w:val="00862D6F"/>
    <w:rsid w:val="00862FA2"/>
    <w:rsid w:val="00862FEB"/>
    <w:rsid w:val="00863003"/>
    <w:rsid w:val="00863037"/>
    <w:rsid w:val="00863108"/>
    <w:rsid w:val="008633BC"/>
    <w:rsid w:val="008635AA"/>
    <w:rsid w:val="0086369D"/>
    <w:rsid w:val="00863720"/>
    <w:rsid w:val="008637FB"/>
    <w:rsid w:val="0086386F"/>
    <w:rsid w:val="00863938"/>
    <w:rsid w:val="00863AA2"/>
    <w:rsid w:val="00863C1F"/>
    <w:rsid w:val="00863CAA"/>
    <w:rsid w:val="00863CE7"/>
    <w:rsid w:val="00863FD1"/>
    <w:rsid w:val="00863FFC"/>
    <w:rsid w:val="00864095"/>
    <w:rsid w:val="00864211"/>
    <w:rsid w:val="00864270"/>
    <w:rsid w:val="008642B4"/>
    <w:rsid w:val="008642F3"/>
    <w:rsid w:val="008643D3"/>
    <w:rsid w:val="00864492"/>
    <w:rsid w:val="008644E0"/>
    <w:rsid w:val="0086457B"/>
    <w:rsid w:val="00864627"/>
    <w:rsid w:val="00864648"/>
    <w:rsid w:val="008646B8"/>
    <w:rsid w:val="00864729"/>
    <w:rsid w:val="008649A5"/>
    <w:rsid w:val="008649AF"/>
    <w:rsid w:val="00864A11"/>
    <w:rsid w:val="00864A3A"/>
    <w:rsid w:val="00864B63"/>
    <w:rsid w:val="00864BB1"/>
    <w:rsid w:val="00864C1A"/>
    <w:rsid w:val="00864D9A"/>
    <w:rsid w:val="00864E92"/>
    <w:rsid w:val="00864F14"/>
    <w:rsid w:val="00864F81"/>
    <w:rsid w:val="00864FC4"/>
    <w:rsid w:val="00865102"/>
    <w:rsid w:val="0086526C"/>
    <w:rsid w:val="0086527F"/>
    <w:rsid w:val="008652AA"/>
    <w:rsid w:val="0086534F"/>
    <w:rsid w:val="008655B4"/>
    <w:rsid w:val="00865671"/>
    <w:rsid w:val="008657D5"/>
    <w:rsid w:val="008657F1"/>
    <w:rsid w:val="00865A63"/>
    <w:rsid w:val="00865BA8"/>
    <w:rsid w:val="00865BE7"/>
    <w:rsid w:val="00865C90"/>
    <w:rsid w:val="00865D85"/>
    <w:rsid w:val="00865D92"/>
    <w:rsid w:val="00865DFC"/>
    <w:rsid w:val="00865EC4"/>
    <w:rsid w:val="00865F17"/>
    <w:rsid w:val="00866260"/>
    <w:rsid w:val="008662AE"/>
    <w:rsid w:val="00866307"/>
    <w:rsid w:val="00866381"/>
    <w:rsid w:val="0086638E"/>
    <w:rsid w:val="008663DC"/>
    <w:rsid w:val="00866403"/>
    <w:rsid w:val="0086648B"/>
    <w:rsid w:val="008665F9"/>
    <w:rsid w:val="0086661A"/>
    <w:rsid w:val="0086667C"/>
    <w:rsid w:val="008668F1"/>
    <w:rsid w:val="00866A39"/>
    <w:rsid w:val="00866AB4"/>
    <w:rsid w:val="00866AB7"/>
    <w:rsid w:val="00866C08"/>
    <w:rsid w:val="00866CBD"/>
    <w:rsid w:val="00866D51"/>
    <w:rsid w:val="00866D71"/>
    <w:rsid w:val="00866E2E"/>
    <w:rsid w:val="00866E74"/>
    <w:rsid w:val="00866E7A"/>
    <w:rsid w:val="00866F74"/>
    <w:rsid w:val="00866FA0"/>
    <w:rsid w:val="00867182"/>
    <w:rsid w:val="00867276"/>
    <w:rsid w:val="0086735D"/>
    <w:rsid w:val="0086763B"/>
    <w:rsid w:val="00867699"/>
    <w:rsid w:val="00867730"/>
    <w:rsid w:val="008677D5"/>
    <w:rsid w:val="00867917"/>
    <w:rsid w:val="00867A08"/>
    <w:rsid w:val="00867A9E"/>
    <w:rsid w:val="00867B91"/>
    <w:rsid w:val="00867B9E"/>
    <w:rsid w:val="00867BE7"/>
    <w:rsid w:val="00867BF6"/>
    <w:rsid w:val="00867E40"/>
    <w:rsid w:val="00867EB3"/>
    <w:rsid w:val="0087023C"/>
    <w:rsid w:val="0087024D"/>
    <w:rsid w:val="0087036B"/>
    <w:rsid w:val="00870519"/>
    <w:rsid w:val="0087077A"/>
    <w:rsid w:val="00870783"/>
    <w:rsid w:val="00870823"/>
    <w:rsid w:val="00870954"/>
    <w:rsid w:val="00870A90"/>
    <w:rsid w:val="00870BDC"/>
    <w:rsid w:val="00870BE1"/>
    <w:rsid w:val="00870C6D"/>
    <w:rsid w:val="00870DB7"/>
    <w:rsid w:val="00870F4D"/>
    <w:rsid w:val="00870F57"/>
    <w:rsid w:val="00870F97"/>
    <w:rsid w:val="00871134"/>
    <w:rsid w:val="00871392"/>
    <w:rsid w:val="0087141E"/>
    <w:rsid w:val="00871452"/>
    <w:rsid w:val="0087145A"/>
    <w:rsid w:val="00871501"/>
    <w:rsid w:val="00871583"/>
    <w:rsid w:val="0087168E"/>
    <w:rsid w:val="008716A6"/>
    <w:rsid w:val="008716C7"/>
    <w:rsid w:val="008717AB"/>
    <w:rsid w:val="0087187B"/>
    <w:rsid w:val="00871A0C"/>
    <w:rsid w:val="00871A51"/>
    <w:rsid w:val="00871AC4"/>
    <w:rsid w:val="00871C6C"/>
    <w:rsid w:val="00871E05"/>
    <w:rsid w:val="00871E1C"/>
    <w:rsid w:val="00871F67"/>
    <w:rsid w:val="00871FCC"/>
    <w:rsid w:val="0087203E"/>
    <w:rsid w:val="0087210E"/>
    <w:rsid w:val="00872274"/>
    <w:rsid w:val="0087237E"/>
    <w:rsid w:val="008723D5"/>
    <w:rsid w:val="0087249B"/>
    <w:rsid w:val="0087260A"/>
    <w:rsid w:val="00872657"/>
    <w:rsid w:val="008727EF"/>
    <w:rsid w:val="00872976"/>
    <w:rsid w:val="0087297B"/>
    <w:rsid w:val="00872A0B"/>
    <w:rsid w:val="00872A49"/>
    <w:rsid w:val="00872A60"/>
    <w:rsid w:val="00872AA5"/>
    <w:rsid w:val="00872AB3"/>
    <w:rsid w:val="00872BEC"/>
    <w:rsid w:val="00872C21"/>
    <w:rsid w:val="00872CB0"/>
    <w:rsid w:val="00872CFA"/>
    <w:rsid w:val="00872DFC"/>
    <w:rsid w:val="00872E11"/>
    <w:rsid w:val="00872E5F"/>
    <w:rsid w:val="00872EFF"/>
    <w:rsid w:val="00873064"/>
    <w:rsid w:val="00873067"/>
    <w:rsid w:val="0087315B"/>
    <w:rsid w:val="008731DF"/>
    <w:rsid w:val="008732E9"/>
    <w:rsid w:val="00873303"/>
    <w:rsid w:val="00873393"/>
    <w:rsid w:val="0087339A"/>
    <w:rsid w:val="008734D8"/>
    <w:rsid w:val="0087357C"/>
    <w:rsid w:val="008735CF"/>
    <w:rsid w:val="00873615"/>
    <w:rsid w:val="00873651"/>
    <w:rsid w:val="008736D9"/>
    <w:rsid w:val="0087387A"/>
    <w:rsid w:val="008738F7"/>
    <w:rsid w:val="008739A9"/>
    <w:rsid w:val="008739E8"/>
    <w:rsid w:val="00873A22"/>
    <w:rsid w:val="00873A53"/>
    <w:rsid w:val="00873AC8"/>
    <w:rsid w:val="00873AE8"/>
    <w:rsid w:val="00873C4E"/>
    <w:rsid w:val="00873C56"/>
    <w:rsid w:val="00873C82"/>
    <w:rsid w:val="00873D35"/>
    <w:rsid w:val="00873DE4"/>
    <w:rsid w:val="00873E92"/>
    <w:rsid w:val="00873F0B"/>
    <w:rsid w:val="00874030"/>
    <w:rsid w:val="008740B2"/>
    <w:rsid w:val="008740FF"/>
    <w:rsid w:val="00874147"/>
    <w:rsid w:val="008741DE"/>
    <w:rsid w:val="00874205"/>
    <w:rsid w:val="008742F4"/>
    <w:rsid w:val="00874395"/>
    <w:rsid w:val="00874493"/>
    <w:rsid w:val="00874538"/>
    <w:rsid w:val="0087457A"/>
    <w:rsid w:val="008745BB"/>
    <w:rsid w:val="00874738"/>
    <w:rsid w:val="008747C1"/>
    <w:rsid w:val="00874807"/>
    <w:rsid w:val="00874904"/>
    <w:rsid w:val="0087497B"/>
    <w:rsid w:val="008749EC"/>
    <w:rsid w:val="00874A5B"/>
    <w:rsid w:val="00874B77"/>
    <w:rsid w:val="00874BB9"/>
    <w:rsid w:val="00874BD9"/>
    <w:rsid w:val="00874C10"/>
    <w:rsid w:val="00874E1F"/>
    <w:rsid w:val="00874F75"/>
    <w:rsid w:val="0087516B"/>
    <w:rsid w:val="00875196"/>
    <w:rsid w:val="008751B9"/>
    <w:rsid w:val="00875265"/>
    <w:rsid w:val="00875357"/>
    <w:rsid w:val="0087539E"/>
    <w:rsid w:val="008753AF"/>
    <w:rsid w:val="0087557A"/>
    <w:rsid w:val="008755E5"/>
    <w:rsid w:val="00875809"/>
    <w:rsid w:val="00875810"/>
    <w:rsid w:val="008759A3"/>
    <w:rsid w:val="008759E5"/>
    <w:rsid w:val="00875B04"/>
    <w:rsid w:val="00875C02"/>
    <w:rsid w:val="00875C8D"/>
    <w:rsid w:val="00875F01"/>
    <w:rsid w:val="00875FEC"/>
    <w:rsid w:val="008760D3"/>
    <w:rsid w:val="0087618D"/>
    <w:rsid w:val="008761AB"/>
    <w:rsid w:val="008761F3"/>
    <w:rsid w:val="0087622C"/>
    <w:rsid w:val="0087626D"/>
    <w:rsid w:val="00876410"/>
    <w:rsid w:val="0087647C"/>
    <w:rsid w:val="008764B1"/>
    <w:rsid w:val="008764B2"/>
    <w:rsid w:val="008764BC"/>
    <w:rsid w:val="008764F7"/>
    <w:rsid w:val="008765A7"/>
    <w:rsid w:val="008766A2"/>
    <w:rsid w:val="0087670A"/>
    <w:rsid w:val="00876722"/>
    <w:rsid w:val="00876780"/>
    <w:rsid w:val="008767F8"/>
    <w:rsid w:val="008768A0"/>
    <w:rsid w:val="0087694A"/>
    <w:rsid w:val="00876BEA"/>
    <w:rsid w:val="00876BFB"/>
    <w:rsid w:val="00876D3B"/>
    <w:rsid w:val="00876FF6"/>
    <w:rsid w:val="0087706C"/>
    <w:rsid w:val="0087715C"/>
    <w:rsid w:val="00877215"/>
    <w:rsid w:val="00877295"/>
    <w:rsid w:val="008772C0"/>
    <w:rsid w:val="008773C8"/>
    <w:rsid w:val="00877441"/>
    <w:rsid w:val="00877458"/>
    <w:rsid w:val="008774D3"/>
    <w:rsid w:val="00877506"/>
    <w:rsid w:val="0087765E"/>
    <w:rsid w:val="008776EF"/>
    <w:rsid w:val="00877871"/>
    <w:rsid w:val="00877886"/>
    <w:rsid w:val="008778CA"/>
    <w:rsid w:val="00877A0A"/>
    <w:rsid w:val="00877A8A"/>
    <w:rsid w:val="00877BD8"/>
    <w:rsid w:val="00877C69"/>
    <w:rsid w:val="00877CC2"/>
    <w:rsid w:val="00877CF3"/>
    <w:rsid w:val="00877E55"/>
    <w:rsid w:val="0087BEB4"/>
    <w:rsid w:val="00880034"/>
    <w:rsid w:val="00880066"/>
    <w:rsid w:val="00880109"/>
    <w:rsid w:val="0088020E"/>
    <w:rsid w:val="0088024A"/>
    <w:rsid w:val="0088027E"/>
    <w:rsid w:val="00880297"/>
    <w:rsid w:val="008802A2"/>
    <w:rsid w:val="008802FA"/>
    <w:rsid w:val="00880424"/>
    <w:rsid w:val="008804C3"/>
    <w:rsid w:val="00880653"/>
    <w:rsid w:val="0088073C"/>
    <w:rsid w:val="008807C5"/>
    <w:rsid w:val="008808DC"/>
    <w:rsid w:val="00880914"/>
    <w:rsid w:val="00880A30"/>
    <w:rsid w:val="00880A8D"/>
    <w:rsid w:val="00880BEE"/>
    <w:rsid w:val="00880C9A"/>
    <w:rsid w:val="00880CB5"/>
    <w:rsid w:val="00880D87"/>
    <w:rsid w:val="00880E67"/>
    <w:rsid w:val="00880FA6"/>
    <w:rsid w:val="00880FC8"/>
    <w:rsid w:val="008810B2"/>
    <w:rsid w:val="00881167"/>
    <w:rsid w:val="00881293"/>
    <w:rsid w:val="008812A4"/>
    <w:rsid w:val="008812E0"/>
    <w:rsid w:val="00881313"/>
    <w:rsid w:val="0088136D"/>
    <w:rsid w:val="008813D8"/>
    <w:rsid w:val="0088149C"/>
    <w:rsid w:val="008814CC"/>
    <w:rsid w:val="00881532"/>
    <w:rsid w:val="00881565"/>
    <w:rsid w:val="00881634"/>
    <w:rsid w:val="008816BD"/>
    <w:rsid w:val="00881703"/>
    <w:rsid w:val="008817D5"/>
    <w:rsid w:val="00881830"/>
    <w:rsid w:val="00881879"/>
    <w:rsid w:val="008819DE"/>
    <w:rsid w:val="00881B12"/>
    <w:rsid w:val="00881B34"/>
    <w:rsid w:val="00881B53"/>
    <w:rsid w:val="00881D8E"/>
    <w:rsid w:val="00881E6C"/>
    <w:rsid w:val="00881EF1"/>
    <w:rsid w:val="00881F14"/>
    <w:rsid w:val="00881F4B"/>
    <w:rsid w:val="00881F80"/>
    <w:rsid w:val="00882057"/>
    <w:rsid w:val="00882123"/>
    <w:rsid w:val="0088217F"/>
    <w:rsid w:val="00882188"/>
    <w:rsid w:val="00882218"/>
    <w:rsid w:val="008822E3"/>
    <w:rsid w:val="008822E4"/>
    <w:rsid w:val="0088235F"/>
    <w:rsid w:val="00882628"/>
    <w:rsid w:val="00882757"/>
    <w:rsid w:val="0088291E"/>
    <w:rsid w:val="00882948"/>
    <w:rsid w:val="008829AB"/>
    <w:rsid w:val="00882A93"/>
    <w:rsid w:val="00882C4D"/>
    <w:rsid w:val="00882C56"/>
    <w:rsid w:val="00882D11"/>
    <w:rsid w:val="00882D98"/>
    <w:rsid w:val="00882E72"/>
    <w:rsid w:val="00882FB1"/>
    <w:rsid w:val="00882FDD"/>
    <w:rsid w:val="00882FF8"/>
    <w:rsid w:val="008830AE"/>
    <w:rsid w:val="008831B0"/>
    <w:rsid w:val="008831DD"/>
    <w:rsid w:val="00883214"/>
    <w:rsid w:val="00883273"/>
    <w:rsid w:val="00883306"/>
    <w:rsid w:val="0088338F"/>
    <w:rsid w:val="0088345F"/>
    <w:rsid w:val="008834D2"/>
    <w:rsid w:val="00883555"/>
    <w:rsid w:val="008835C5"/>
    <w:rsid w:val="008835DA"/>
    <w:rsid w:val="008835F9"/>
    <w:rsid w:val="0088368C"/>
    <w:rsid w:val="0088377B"/>
    <w:rsid w:val="0088382B"/>
    <w:rsid w:val="008838D8"/>
    <w:rsid w:val="00883937"/>
    <w:rsid w:val="00883948"/>
    <w:rsid w:val="00883AEE"/>
    <w:rsid w:val="00883BAD"/>
    <w:rsid w:val="00883BCA"/>
    <w:rsid w:val="00883CD8"/>
    <w:rsid w:val="00883E80"/>
    <w:rsid w:val="00883F38"/>
    <w:rsid w:val="00883F55"/>
    <w:rsid w:val="00883FBA"/>
    <w:rsid w:val="008840FD"/>
    <w:rsid w:val="008842ED"/>
    <w:rsid w:val="00884476"/>
    <w:rsid w:val="008844A7"/>
    <w:rsid w:val="00884514"/>
    <w:rsid w:val="00884554"/>
    <w:rsid w:val="008845CE"/>
    <w:rsid w:val="00884711"/>
    <w:rsid w:val="008848A6"/>
    <w:rsid w:val="00884901"/>
    <w:rsid w:val="0088495E"/>
    <w:rsid w:val="00884A1D"/>
    <w:rsid w:val="00884A63"/>
    <w:rsid w:val="00884A9D"/>
    <w:rsid w:val="00884B71"/>
    <w:rsid w:val="00884B89"/>
    <w:rsid w:val="00884C46"/>
    <w:rsid w:val="00884C51"/>
    <w:rsid w:val="00884D5A"/>
    <w:rsid w:val="00884D98"/>
    <w:rsid w:val="00884DF4"/>
    <w:rsid w:val="00884E62"/>
    <w:rsid w:val="00884E64"/>
    <w:rsid w:val="00884E7E"/>
    <w:rsid w:val="00884ECF"/>
    <w:rsid w:val="0088503B"/>
    <w:rsid w:val="00885057"/>
    <w:rsid w:val="0088513B"/>
    <w:rsid w:val="00885179"/>
    <w:rsid w:val="00885189"/>
    <w:rsid w:val="008854DA"/>
    <w:rsid w:val="00885511"/>
    <w:rsid w:val="008855DD"/>
    <w:rsid w:val="008856B6"/>
    <w:rsid w:val="008857F0"/>
    <w:rsid w:val="00885805"/>
    <w:rsid w:val="00885845"/>
    <w:rsid w:val="008858A0"/>
    <w:rsid w:val="008858DE"/>
    <w:rsid w:val="00885907"/>
    <w:rsid w:val="00885A22"/>
    <w:rsid w:val="00885A5E"/>
    <w:rsid w:val="00885BB6"/>
    <w:rsid w:val="00885BD9"/>
    <w:rsid w:val="00885BE9"/>
    <w:rsid w:val="00885D05"/>
    <w:rsid w:val="00885D6E"/>
    <w:rsid w:val="00885D9D"/>
    <w:rsid w:val="00885DFB"/>
    <w:rsid w:val="00885E20"/>
    <w:rsid w:val="00885F29"/>
    <w:rsid w:val="00885FA6"/>
    <w:rsid w:val="00886086"/>
    <w:rsid w:val="008861EF"/>
    <w:rsid w:val="00886311"/>
    <w:rsid w:val="008863DD"/>
    <w:rsid w:val="00886528"/>
    <w:rsid w:val="00886586"/>
    <w:rsid w:val="00886785"/>
    <w:rsid w:val="00886828"/>
    <w:rsid w:val="00886926"/>
    <w:rsid w:val="008869B6"/>
    <w:rsid w:val="00886A31"/>
    <w:rsid w:val="00886AEB"/>
    <w:rsid w:val="00886C9F"/>
    <w:rsid w:val="00886D41"/>
    <w:rsid w:val="00886E17"/>
    <w:rsid w:val="00886EE4"/>
    <w:rsid w:val="0088700A"/>
    <w:rsid w:val="00887051"/>
    <w:rsid w:val="00887088"/>
    <w:rsid w:val="008870A4"/>
    <w:rsid w:val="0088711F"/>
    <w:rsid w:val="00887575"/>
    <w:rsid w:val="00887706"/>
    <w:rsid w:val="0088777F"/>
    <w:rsid w:val="008878F0"/>
    <w:rsid w:val="008879E4"/>
    <w:rsid w:val="00887A41"/>
    <w:rsid w:val="00887B25"/>
    <w:rsid w:val="00887B9B"/>
    <w:rsid w:val="00887BD5"/>
    <w:rsid w:val="00887BEA"/>
    <w:rsid w:val="00887D13"/>
    <w:rsid w:val="00887D85"/>
    <w:rsid w:val="00887EBC"/>
    <w:rsid w:val="00887EFE"/>
    <w:rsid w:val="00887F62"/>
    <w:rsid w:val="00887FEC"/>
    <w:rsid w:val="00890005"/>
    <w:rsid w:val="0089000F"/>
    <w:rsid w:val="0089007D"/>
    <w:rsid w:val="008901E6"/>
    <w:rsid w:val="00890284"/>
    <w:rsid w:val="00890306"/>
    <w:rsid w:val="008905C9"/>
    <w:rsid w:val="008905D9"/>
    <w:rsid w:val="00890680"/>
    <w:rsid w:val="00890795"/>
    <w:rsid w:val="008907D9"/>
    <w:rsid w:val="00890820"/>
    <w:rsid w:val="008908C1"/>
    <w:rsid w:val="0089099D"/>
    <w:rsid w:val="008909F0"/>
    <w:rsid w:val="00890A5C"/>
    <w:rsid w:val="00890B6C"/>
    <w:rsid w:val="00890CA8"/>
    <w:rsid w:val="00890DF4"/>
    <w:rsid w:val="00890E09"/>
    <w:rsid w:val="00890E15"/>
    <w:rsid w:val="00890FE0"/>
    <w:rsid w:val="00890FF6"/>
    <w:rsid w:val="00891021"/>
    <w:rsid w:val="00891098"/>
    <w:rsid w:val="008910D6"/>
    <w:rsid w:val="00891240"/>
    <w:rsid w:val="00891358"/>
    <w:rsid w:val="00891374"/>
    <w:rsid w:val="008914C3"/>
    <w:rsid w:val="008915A8"/>
    <w:rsid w:val="00891889"/>
    <w:rsid w:val="00891923"/>
    <w:rsid w:val="008919FD"/>
    <w:rsid w:val="00891ADA"/>
    <w:rsid w:val="00891C38"/>
    <w:rsid w:val="00891C39"/>
    <w:rsid w:val="00891C6C"/>
    <w:rsid w:val="00891D1A"/>
    <w:rsid w:val="00891D59"/>
    <w:rsid w:val="00891DE4"/>
    <w:rsid w:val="00891F46"/>
    <w:rsid w:val="0089209B"/>
    <w:rsid w:val="008920D1"/>
    <w:rsid w:val="008920D3"/>
    <w:rsid w:val="008920F1"/>
    <w:rsid w:val="0089225B"/>
    <w:rsid w:val="00892261"/>
    <w:rsid w:val="0089239A"/>
    <w:rsid w:val="00892509"/>
    <w:rsid w:val="0089254A"/>
    <w:rsid w:val="008925A6"/>
    <w:rsid w:val="008925CA"/>
    <w:rsid w:val="0089266E"/>
    <w:rsid w:val="00892696"/>
    <w:rsid w:val="00892861"/>
    <w:rsid w:val="0089286B"/>
    <w:rsid w:val="008928F6"/>
    <w:rsid w:val="0089299E"/>
    <w:rsid w:val="00892B18"/>
    <w:rsid w:val="00892B88"/>
    <w:rsid w:val="00892B97"/>
    <w:rsid w:val="00892CB4"/>
    <w:rsid w:val="00892CE2"/>
    <w:rsid w:val="00892D69"/>
    <w:rsid w:val="00892F6F"/>
    <w:rsid w:val="00893040"/>
    <w:rsid w:val="008931E0"/>
    <w:rsid w:val="008931F8"/>
    <w:rsid w:val="00893403"/>
    <w:rsid w:val="0089345E"/>
    <w:rsid w:val="0089362A"/>
    <w:rsid w:val="00893721"/>
    <w:rsid w:val="00893767"/>
    <w:rsid w:val="0089398D"/>
    <w:rsid w:val="008939E5"/>
    <w:rsid w:val="00893AB7"/>
    <w:rsid w:val="00893AF6"/>
    <w:rsid w:val="00893B42"/>
    <w:rsid w:val="00893B56"/>
    <w:rsid w:val="00893B6C"/>
    <w:rsid w:val="00893DAF"/>
    <w:rsid w:val="00893DE4"/>
    <w:rsid w:val="00893F6C"/>
    <w:rsid w:val="008941F0"/>
    <w:rsid w:val="00894223"/>
    <w:rsid w:val="0089444B"/>
    <w:rsid w:val="0089472D"/>
    <w:rsid w:val="008947A4"/>
    <w:rsid w:val="0089494D"/>
    <w:rsid w:val="00894977"/>
    <w:rsid w:val="008949FE"/>
    <w:rsid w:val="00894A51"/>
    <w:rsid w:val="00894AE2"/>
    <w:rsid w:val="00894B92"/>
    <w:rsid w:val="00894C39"/>
    <w:rsid w:val="00894C45"/>
    <w:rsid w:val="00894C54"/>
    <w:rsid w:val="00894CD0"/>
    <w:rsid w:val="00894D23"/>
    <w:rsid w:val="00894D87"/>
    <w:rsid w:val="00894E4E"/>
    <w:rsid w:val="008950E7"/>
    <w:rsid w:val="00895198"/>
    <w:rsid w:val="008952FC"/>
    <w:rsid w:val="0089538E"/>
    <w:rsid w:val="0089546D"/>
    <w:rsid w:val="008954A7"/>
    <w:rsid w:val="0089555A"/>
    <w:rsid w:val="008955B6"/>
    <w:rsid w:val="008955D1"/>
    <w:rsid w:val="008955D6"/>
    <w:rsid w:val="008955F9"/>
    <w:rsid w:val="00895634"/>
    <w:rsid w:val="00895692"/>
    <w:rsid w:val="00895694"/>
    <w:rsid w:val="00895919"/>
    <w:rsid w:val="00895A4B"/>
    <w:rsid w:val="00895ACD"/>
    <w:rsid w:val="00895B2A"/>
    <w:rsid w:val="00895B65"/>
    <w:rsid w:val="00895C7A"/>
    <w:rsid w:val="00895D1D"/>
    <w:rsid w:val="00895D75"/>
    <w:rsid w:val="00895E30"/>
    <w:rsid w:val="00895E40"/>
    <w:rsid w:val="00895E97"/>
    <w:rsid w:val="00896046"/>
    <w:rsid w:val="0089606B"/>
    <w:rsid w:val="00896200"/>
    <w:rsid w:val="00896238"/>
    <w:rsid w:val="008966B3"/>
    <w:rsid w:val="008966D9"/>
    <w:rsid w:val="008966E1"/>
    <w:rsid w:val="0089670C"/>
    <w:rsid w:val="00896845"/>
    <w:rsid w:val="008968A1"/>
    <w:rsid w:val="008968E9"/>
    <w:rsid w:val="00896B6A"/>
    <w:rsid w:val="00896BCB"/>
    <w:rsid w:val="00896C68"/>
    <w:rsid w:val="00896F5F"/>
    <w:rsid w:val="00896FB6"/>
    <w:rsid w:val="0089703F"/>
    <w:rsid w:val="00897049"/>
    <w:rsid w:val="0089712D"/>
    <w:rsid w:val="008971B1"/>
    <w:rsid w:val="008971FE"/>
    <w:rsid w:val="00897234"/>
    <w:rsid w:val="00897272"/>
    <w:rsid w:val="0089732B"/>
    <w:rsid w:val="00897347"/>
    <w:rsid w:val="008973B4"/>
    <w:rsid w:val="00897462"/>
    <w:rsid w:val="00897481"/>
    <w:rsid w:val="0089751B"/>
    <w:rsid w:val="0089757F"/>
    <w:rsid w:val="0089761D"/>
    <w:rsid w:val="00897728"/>
    <w:rsid w:val="00897799"/>
    <w:rsid w:val="008977F2"/>
    <w:rsid w:val="0089783A"/>
    <w:rsid w:val="00897883"/>
    <w:rsid w:val="008978B5"/>
    <w:rsid w:val="008978C3"/>
    <w:rsid w:val="008979C2"/>
    <w:rsid w:val="008979D7"/>
    <w:rsid w:val="008979FE"/>
    <w:rsid w:val="00897A0F"/>
    <w:rsid w:val="00897A39"/>
    <w:rsid w:val="00897A44"/>
    <w:rsid w:val="00897B1A"/>
    <w:rsid w:val="00897B4B"/>
    <w:rsid w:val="00897C5C"/>
    <w:rsid w:val="00897C67"/>
    <w:rsid w:val="00897CA1"/>
    <w:rsid w:val="00897D42"/>
    <w:rsid w:val="00897D66"/>
    <w:rsid w:val="00897D91"/>
    <w:rsid w:val="00897E62"/>
    <w:rsid w:val="00897F20"/>
    <w:rsid w:val="00897F5D"/>
    <w:rsid w:val="00897FBE"/>
    <w:rsid w:val="008A004A"/>
    <w:rsid w:val="008A00D5"/>
    <w:rsid w:val="008A017C"/>
    <w:rsid w:val="008A0193"/>
    <w:rsid w:val="008A01BD"/>
    <w:rsid w:val="008A0252"/>
    <w:rsid w:val="008A0445"/>
    <w:rsid w:val="008A0534"/>
    <w:rsid w:val="008A05DA"/>
    <w:rsid w:val="008A06E9"/>
    <w:rsid w:val="008A06FD"/>
    <w:rsid w:val="008A0827"/>
    <w:rsid w:val="008A08D7"/>
    <w:rsid w:val="008A0B6C"/>
    <w:rsid w:val="008A0CFB"/>
    <w:rsid w:val="008A0EB8"/>
    <w:rsid w:val="008A0F0A"/>
    <w:rsid w:val="008A0FBC"/>
    <w:rsid w:val="008A0FC4"/>
    <w:rsid w:val="008A1048"/>
    <w:rsid w:val="008A11DC"/>
    <w:rsid w:val="008A11FB"/>
    <w:rsid w:val="008A145C"/>
    <w:rsid w:val="008A14BE"/>
    <w:rsid w:val="008A1595"/>
    <w:rsid w:val="008A1701"/>
    <w:rsid w:val="008A1710"/>
    <w:rsid w:val="008A17C9"/>
    <w:rsid w:val="008A17D6"/>
    <w:rsid w:val="008A1A2C"/>
    <w:rsid w:val="008A1A3E"/>
    <w:rsid w:val="008A1A43"/>
    <w:rsid w:val="008A1AFA"/>
    <w:rsid w:val="008A1CAD"/>
    <w:rsid w:val="008A1CFD"/>
    <w:rsid w:val="008A1DA7"/>
    <w:rsid w:val="008A2291"/>
    <w:rsid w:val="008A22B2"/>
    <w:rsid w:val="008A23E8"/>
    <w:rsid w:val="008A248F"/>
    <w:rsid w:val="008A24D5"/>
    <w:rsid w:val="008A27C5"/>
    <w:rsid w:val="008A280B"/>
    <w:rsid w:val="008A2812"/>
    <w:rsid w:val="008A2944"/>
    <w:rsid w:val="008A29C5"/>
    <w:rsid w:val="008A2A99"/>
    <w:rsid w:val="008A2AAB"/>
    <w:rsid w:val="008A2AC1"/>
    <w:rsid w:val="008A2B66"/>
    <w:rsid w:val="008A2C56"/>
    <w:rsid w:val="008A2CF2"/>
    <w:rsid w:val="008A2EE1"/>
    <w:rsid w:val="008A306C"/>
    <w:rsid w:val="008A30FD"/>
    <w:rsid w:val="008A321F"/>
    <w:rsid w:val="008A32D4"/>
    <w:rsid w:val="008A3363"/>
    <w:rsid w:val="008A3368"/>
    <w:rsid w:val="008A34C7"/>
    <w:rsid w:val="008A36EB"/>
    <w:rsid w:val="008A3781"/>
    <w:rsid w:val="008A38B5"/>
    <w:rsid w:val="008A3A66"/>
    <w:rsid w:val="008A3A67"/>
    <w:rsid w:val="008A3B1D"/>
    <w:rsid w:val="008A3C02"/>
    <w:rsid w:val="008A3CB9"/>
    <w:rsid w:val="008A3D69"/>
    <w:rsid w:val="008A3E6A"/>
    <w:rsid w:val="008A3E7C"/>
    <w:rsid w:val="008A4235"/>
    <w:rsid w:val="008A42D5"/>
    <w:rsid w:val="008A4386"/>
    <w:rsid w:val="008A438F"/>
    <w:rsid w:val="008A43C5"/>
    <w:rsid w:val="008A43D6"/>
    <w:rsid w:val="008A43EC"/>
    <w:rsid w:val="008A43ED"/>
    <w:rsid w:val="008A4605"/>
    <w:rsid w:val="008A4666"/>
    <w:rsid w:val="008A46AB"/>
    <w:rsid w:val="008A47C3"/>
    <w:rsid w:val="008A47EA"/>
    <w:rsid w:val="008A485A"/>
    <w:rsid w:val="008A4890"/>
    <w:rsid w:val="008A4907"/>
    <w:rsid w:val="008A4AA3"/>
    <w:rsid w:val="008A4BA6"/>
    <w:rsid w:val="008A4BC3"/>
    <w:rsid w:val="008A4C74"/>
    <w:rsid w:val="008A4CD4"/>
    <w:rsid w:val="008A4DCD"/>
    <w:rsid w:val="008A4EF6"/>
    <w:rsid w:val="008A4F4B"/>
    <w:rsid w:val="008A4F8D"/>
    <w:rsid w:val="008A4FD1"/>
    <w:rsid w:val="008A502B"/>
    <w:rsid w:val="008A5164"/>
    <w:rsid w:val="008A5233"/>
    <w:rsid w:val="008A52E0"/>
    <w:rsid w:val="008A54EF"/>
    <w:rsid w:val="008A5583"/>
    <w:rsid w:val="008A5621"/>
    <w:rsid w:val="008A572B"/>
    <w:rsid w:val="008A5768"/>
    <w:rsid w:val="008A592D"/>
    <w:rsid w:val="008A59E8"/>
    <w:rsid w:val="008A5B95"/>
    <w:rsid w:val="008A5BB6"/>
    <w:rsid w:val="008A5C84"/>
    <w:rsid w:val="008A5CEA"/>
    <w:rsid w:val="008A5D84"/>
    <w:rsid w:val="008A5DF9"/>
    <w:rsid w:val="008A5E15"/>
    <w:rsid w:val="008A5EAA"/>
    <w:rsid w:val="008A5ED1"/>
    <w:rsid w:val="008A601F"/>
    <w:rsid w:val="008A60C0"/>
    <w:rsid w:val="008A61D9"/>
    <w:rsid w:val="008A625E"/>
    <w:rsid w:val="008A627B"/>
    <w:rsid w:val="008A629C"/>
    <w:rsid w:val="008A63A6"/>
    <w:rsid w:val="008A63E2"/>
    <w:rsid w:val="008A66FE"/>
    <w:rsid w:val="008A66FF"/>
    <w:rsid w:val="008A69A5"/>
    <w:rsid w:val="008A6A38"/>
    <w:rsid w:val="008A6A85"/>
    <w:rsid w:val="008A6B92"/>
    <w:rsid w:val="008A6BB6"/>
    <w:rsid w:val="008A6CEB"/>
    <w:rsid w:val="008A6E12"/>
    <w:rsid w:val="008A6F28"/>
    <w:rsid w:val="008A6FAF"/>
    <w:rsid w:val="008A706F"/>
    <w:rsid w:val="008A726C"/>
    <w:rsid w:val="008A7555"/>
    <w:rsid w:val="008A7835"/>
    <w:rsid w:val="008A7942"/>
    <w:rsid w:val="008A799B"/>
    <w:rsid w:val="008A7BB0"/>
    <w:rsid w:val="008A7C1F"/>
    <w:rsid w:val="008A7DBD"/>
    <w:rsid w:val="008B00C4"/>
    <w:rsid w:val="008B0137"/>
    <w:rsid w:val="008B038B"/>
    <w:rsid w:val="008B0398"/>
    <w:rsid w:val="008B0455"/>
    <w:rsid w:val="008B0526"/>
    <w:rsid w:val="008B07D9"/>
    <w:rsid w:val="008B0865"/>
    <w:rsid w:val="008B087E"/>
    <w:rsid w:val="008B0943"/>
    <w:rsid w:val="008B09C1"/>
    <w:rsid w:val="008B0A5B"/>
    <w:rsid w:val="008B0BDB"/>
    <w:rsid w:val="008B0C74"/>
    <w:rsid w:val="008B0CA0"/>
    <w:rsid w:val="008B0D71"/>
    <w:rsid w:val="008B0EE5"/>
    <w:rsid w:val="008B0F83"/>
    <w:rsid w:val="008B0FC0"/>
    <w:rsid w:val="008B0FCE"/>
    <w:rsid w:val="008B10A1"/>
    <w:rsid w:val="008B11D2"/>
    <w:rsid w:val="008B14DB"/>
    <w:rsid w:val="008B1507"/>
    <w:rsid w:val="008B150C"/>
    <w:rsid w:val="008B152E"/>
    <w:rsid w:val="008B17ED"/>
    <w:rsid w:val="008B1830"/>
    <w:rsid w:val="008B18B0"/>
    <w:rsid w:val="008B1986"/>
    <w:rsid w:val="008B19AE"/>
    <w:rsid w:val="008B1A8F"/>
    <w:rsid w:val="008B1CA8"/>
    <w:rsid w:val="008B1D6D"/>
    <w:rsid w:val="008B2007"/>
    <w:rsid w:val="008B2246"/>
    <w:rsid w:val="008B22E9"/>
    <w:rsid w:val="008B22F0"/>
    <w:rsid w:val="008B2365"/>
    <w:rsid w:val="008B2419"/>
    <w:rsid w:val="008B2428"/>
    <w:rsid w:val="008B2452"/>
    <w:rsid w:val="008B26E4"/>
    <w:rsid w:val="008B2763"/>
    <w:rsid w:val="008B28E1"/>
    <w:rsid w:val="008B2990"/>
    <w:rsid w:val="008B29CA"/>
    <w:rsid w:val="008B29CE"/>
    <w:rsid w:val="008B2A39"/>
    <w:rsid w:val="008B2A67"/>
    <w:rsid w:val="008B2B77"/>
    <w:rsid w:val="008B2C75"/>
    <w:rsid w:val="008B2D5C"/>
    <w:rsid w:val="008B2E1A"/>
    <w:rsid w:val="008B2ED3"/>
    <w:rsid w:val="008B2F2F"/>
    <w:rsid w:val="008B3000"/>
    <w:rsid w:val="008B3072"/>
    <w:rsid w:val="008B3148"/>
    <w:rsid w:val="008B322A"/>
    <w:rsid w:val="008B327F"/>
    <w:rsid w:val="008B338C"/>
    <w:rsid w:val="008B3456"/>
    <w:rsid w:val="008B3544"/>
    <w:rsid w:val="008B3590"/>
    <w:rsid w:val="008B3685"/>
    <w:rsid w:val="008B36AF"/>
    <w:rsid w:val="008B36E7"/>
    <w:rsid w:val="008B385F"/>
    <w:rsid w:val="008B3912"/>
    <w:rsid w:val="008B3970"/>
    <w:rsid w:val="008B39D1"/>
    <w:rsid w:val="008B3ACB"/>
    <w:rsid w:val="008B3B50"/>
    <w:rsid w:val="008B3B7B"/>
    <w:rsid w:val="008B3C55"/>
    <w:rsid w:val="008B3C8F"/>
    <w:rsid w:val="008B3D39"/>
    <w:rsid w:val="008B3E06"/>
    <w:rsid w:val="008B3EAA"/>
    <w:rsid w:val="008B3F3B"/>
    <w:rsid w:val="008B3F62"/>
    <w:rsid w:val="008B3FF4"/>
    <w:rsid w:val="008B409F"/>
    <w:rsid w:val="008B40C0"/>
    <w:rsid w:val="008B40C8"/>
    <w:rsid w:val="008B4110"/>
    <w:rsid w:val="008B4113"/>
    <w:rsid w:val="008B41C4"/>
    <w:rsid w:val="008B41CD"/>
    <w:rsid w:val="008B42B4"/>
    <w:rsid w:val="008B42BF"/>
    <w:rsid w:val="008B4306"/>
    <w:rsid w:val="008B4325"/>
    <w:rsid w:val="008B43D5"/>
    <w:rsid w:val="008B43E7"/>
    <w:rsid w:val="008B4504"/>
    <w:rsid w:val="008B4556"/>
    <w:rsid w:val="008B469D"/>
    <w:rsid w:val="008B4780"/>
    <w:rsid w:val="008B47D6"/>
    <w:rsid w:val="008B4ACA"/>
    <w:rsid w:val="008B4B31"/>
    <w:rsid w:val="008B4BBE"/>
    <w:rsid w:val="008B4C46"/>
    <w:rsid w:val="008B4CA9"/>
    <w:rsid w:val="008B4CF5"/>
    <w:rsid w:val="008B4D84"/>
    <w:rsid w:val="008B4E6D"/>
    <w:rsid w:val="008B4E70"/>
    <w:rsid w:val="008B4F01"/>
    <w:rsid w:val="008B4F45"/>
    <w:rsid w:val="008B4F56"/>
    <w:rsid w:val="008B501B"/>
    <w:rsid w:val="008B508F"/>
    <w:rsid w:val="008B51D9"/>
    <w:rsid w:val="008B524F"/>
    <w:rsid w:val="008B52F7"/>
    <w:rsid w:val="008B5351"/>
    <w:rsid w:val="008B54D2"/>
    <w:rsid w:val="008B551E"/>
    <w:rsid w:val="008B55F6"/>
    <w:rsid w:val="008B57CE"/>
    <w:rsid w:val="008B58A6"/>
    <w:rsid w:val="008B58D0"/>
    <w:rsid w:val="008B591E"/>
    <w:rsid w:val="008B5962"/>
    <w:rsid w:val="008B599B"/>
    <w:rsid w:val="008B5A0A"/>
    <w:rsid w:val="008B5A9B"/>
    <w:rsid w:val="008B5B65"/>
    <w:rsid w:val="008B5BFB"/>
    <w:rsid w:val="008B5D42"/>
    <w:rsid w:val="008B5F8C"/>
    <w:rsid w:val="008B6040"/>
    <w:rsid w:val="008B60C6"/>
    <w:rsid w:val="008B61EB"/>
    <w:rsid w:val="008B621C"/>
    <w:rsid w:val="008B624B"/>
    <w:rsid w:val="008B629D"/>
    <w:rsid w:val="008B62E7"/>
    <w:rsid w:val="008B62F4"/>
    <w:rsid w:val="008B6390"/>
    <w:rsid w:val="008B663B"/>
    <w:rsid w:val="008B66A7"/>
    <w:rsid w:val="008B6740"/>
    <w:rsid w:val="008B6862"/>
    <w:rsid w:val="008B6918"/>
    <w:rsid w:val="008B6925"/>
    <w:rsid w:val="008B6942"/>
    <w:rsid w:val="008B6A05"/>
    <w:rsid w:val="008B6BBA"/>
    <w:rsid w:val="008B6BE7"/>
    <w:rsid w:val="008B6C04"/>
    <w:rsid w:val="008B6C75"/>
    <w:rsid w:val="008B6CB6"/>
    <w:rsid w:val="008B6CF0"/>
    <w:rsid w:val="008B6D82"/>
    <w:rsid w:val="008B6E42"/>
    <w:rsid w:val="008B6F7E"/>
    <w:rsid w:val="008B70B9"/>
    <w:rsid w:val="008B70EB"/>
    <w:rsid w:val="008B7178"/>
    <w:rsid w:val="008B71CB"/>
    <w:rsid w:val="008B7265"/>
    <w:rsid w:val="008B7314"/>
    <w:rsid w:val="008B732C"/>
    <w:rsid w:val="008B7333"/>
    <w:rsid w:val="008B758A"/>
    <w:rsid w:val="008B76BC"/>
    <w:rsid w:val="008B7723"/>
    <w:rsid w:val="008B7725"/>
    <w:rsid w:val="008B7A2F"/>
    <w:rsid w:val="008B7B07"/>
    <w:rsid w:val="008B7B18"/>
    <w:rsid w:val="008B7BB6"/>
    <w:rsid w:val="008B7C41"/>
    <w:rsid w:val="008B7D30"/>
    <w:rsid w:val="008B7D53"/>
    <w:rsid w:val="008B7D61"/>
    <w:rsid w:val="008B7DC8"/>
    <w:rsid w:val="008B7DD5"/>
    <w:rsid w:val="008B7F90"/>
    <w:rsid w:val="008BB280"/>
    <w:rsid w:val="008C01A1"/>
    <w:rsid w:val="008C0321"/>
    <w:rsid w:val="008C033A"/>
    <w:rsid w:val="008C03BE"/>
    <w:rsid w:val="008C03E8"/>
    <w:rsid w:val="008C04BF"/>
    <w:rsid w:val="008C04ED"/>
    <w:rsid w:val="008C0577"/>
    <w:rsid w:val="008C05D7"/>
    <w:rsid w:val="008C05EA"/>
    <w:rsid w:val="008C0601"/>
    <w:rsid w:val="008C063C"/>
    <w:rsid w:val="008C08F4"/>
    <w:rsid w:val="008C09D1"/>
    <w:rsid w:val="008C09FB"/>
    <w:rsid w:val="008C0B86"/>
    <w:rsid w:val="008C0CC3"/>
    <w:rsid w:val="008C0D29"/>
    <w:rsid w:val="008C10EA"/>
    <w:rsid w:val="008C10F3"/>
    <w:rsid w:val="008C1264"/>
    <w:rsid w:val="008C1343"/>
    <w:rsid w:val="008C1388"/>
    <w:rsid w:val="008C1433"/>
    <w:rsid w:val="008C15A1"/>
    <w:rsid w:val="008C1690"/>
    <w:rsid w:val="008C169B"/>
    <w:rsid w:val="008C16A9"/>
    <w:rsid w:val="008C18E7"/>
    <w:rsid w:val="008C1A79"/>
    <w:rsid w:val="008C1B42"/>
    <w:rsid w:val="008C1C2C"/>
    <w:rsid w:val="008C1F43"/>
    <w:rsid w:val="008C20A8"/>
    <w:rsid w:val="008C20ED"/>
    <w:rsid w:val="008C216E"/>
    <w:rsid w:val="008C21B6"/>
    <w:rsid w:val="008C2317"/>
    <w:rsid w:val="008C23EA"/>
    <w:rsid w:val="008C24ED"/>
    <w:rsid w:val="008C25D6"/>
    <w:rsid w:val="008C2625"/>
    <w:rsid w:val="008C27F9"/>
    <w:rsid w:val="008C292A"/>
    <w:rsid w:val="008C29A9"/>
    <w:rsid w:val="008C2B4B"/>
    <w:rsid w:val="008C2C37"/>
    <w:rsid w:val="008C2C51"/>
    <w:rsid w:val="008C2C8A"/>
    <w:rsid w:val="008C2C9C"/>
    <w:rsid w:val="008C2D71"/>
    <w:rsid w:val="008C2DF0"/>
    <w:rsid w:val="008C2E27"/>
    <w:rsid w:val="008C2E35"/>
    <w:rsid w:val="008C2FBF"/>
    <w:rsid w:val="008C316E"/>
    <w:rsid w:val="008C31BD"/>
    <w:rsid w:val="008C34A0"/>
    <w:rsid w:val="008C34BF"/>
    <w:rsid w:val="008C34DF"/>
    <w:rsid w:val="008C3518"/>
    <w:rsid w:val="008C354F"/>
    <w:rsid w:val="008C3659"/>
    <w:rsid w:val="008C382F"/>
    <w:rsid w:val="008C396A"/>
    <w:rsid w:val="008C3A27"/>
    <w:rsid w:val="008C3B67"/>
    <w:rsid w:val="008C3CEF"/>
    <w:rsid w:val="008C3CF2"/>
    <w:rsid w:val="008C3FE3"/>
    <w:rsid w:val="008C3FFA"/>
    <w:rsid w:val="008C4011"/>
    <w:rsid w:val="008C408F"/>
    <w:rsid w:val="008C40E3"/>
    <w:rsid w:val="008C410A"/>
    <w:rsid w:val="008C41BA"/>
    <w:rsid w:val="008C4226"/>
    <w:rsid w:val="008C43B1"/>
    <w:rsid w:val="008C4499"/>
    <w:rsid w:val="008C44AC"/>
    <w:rsid w:val="008C44F1"/>
    <w:rsid w:val="008C450A"/>
    <w:rsid w:val="008C4519"/>
    <w:rsid w:val="008C45A8"/>
    <w:rsid w:val="008C47A3"/>
    <w:rsid w:val="008C481D"/>
    <w:rsid w:val="008C4822"/>
    <w:rsid w:val="008C4916"/>
    <w:rsid w:val="008C4A74"/>
    <w:rsid w:val="008C4ADF"/>
    <w:rsid w:val="008C4BA0"/>
    <w:rsid w:val="008C4CCF"/>
    <w:rsid w:val="008C4DAF"/>
    <w:rsid w:val="008C4E1C"/>
    <w:rsid w:val="008C4EDF"/>
    <w:rsid w:val="008C508C"/>
    <w:rsid w:val="008C5130"/>
    <w:rsid w:val="008C5158"/>
    <w:rsid w:val="008C5183"/>
    <w:rsid w:val="008C51CC"/>
    <w:rsid w:val="008C5211"/>
    <w:rsid w:val="008C52D1"/>
    <w:rsid w:val="008C5330"/>
    <w:rsid w:val="008C53EF"/>
    <w:rsid w:val="008C542B"/>
    <w:rsid w:val="008C54A6"/>
    <w:rsid w:val="008C54AC"/>
    <w:rsid w:val="008C553D"/>
    <w:rsid w:val="008C5590"/>
    <w:rsid w:val="008C5596"/>
    <w:rsid w:val="008C5604"/>
    <w:rsid w:val="008C5660"/>
    <w:rsid w:val="008C5789"/>
    <w:rsid w:val="008C581F"/>
    <w:rsid w:val="008C583C"/>
    <w:rsid w:val="008C58CD"/>
    <w:rsid w:val="008C59A7"/>
    <w:rsid w:val="008C59C7"/>
    <w:rsid w:val="008C5A26"/>
    <w:rsid w:val="008C5A6E"/>
    <w:rsid w:val="008C5B59"/>
    <w:rsid w:val="008C5B98"/>
    <w:rsid w:val="008C5C0D"/>
    <w:rsid w:val="008C5EB8"/>
    <w:rsid w:val="008C5F03"/>
    <w:rsid w:val="008C5F04"/>
    <w:rsid w:val="008C5F33"/>
    <w:rsid w:val="008C5FCC"/>
    <w:rsid w:val="008C60D1"/>
    <w:rsid w:val="008C60FD"/>
    <w:rsid w:val="008C6106"/>
    <w:rsid w:val="008C6257"/>
    <w:rsid w:val="008C62FE"/>
    <w:rsid w:val="008C6319"/>
    <w:rsid w:val="008C6372"/>
    <w:rsid w:val="008C63A2"/>
    <w:rsid w:val="008C6454"/>
    <w:rsid w:val="008C647A"/>
    <w:rsid w:val="008C65B9"/>
    <w:rsid w:val="008C6603"/>
    <w:rsid w:val="008C6754"/>
    <w:rsid w:val="008C6846"/>
    <w:rsid w:val="008C6AE8"/>
    <w:rsid w:val="008C6B39"/>
    <w:rsid w:val="008C6B59"/>
    <w:rsid w:val="008C6BF8"/>
    <w:rsid w:val="008C6D2A"/>
    <w:rsid w:val="008C6D3B"/>
    <w:rsid w:val="008C6E41"/>
    <w:rsid w:val="008C6EED"/>
    <w:rsid w:val="008C6F0E"/>
    <w:rsid w:val="008C6F24"/>
    <w:rsid w:val="008C6F5B"/>
    <w:rsid w:val="008C71D5"/>
    <w:rsid w:val="008C71E4"/>
    <w:rsid w:val="008C71F8"/>
    <w:rsid w:val="008C73E0"/>
    <w:rsid w:val="008C7432"/>
    <w:rsid w:val="008C7449"/>
    <w:rsid w:val="008C7593"/>
    <w:rsid w:val="008C7619"/>
    <w:rsid w:val="008C7739"/>
    <w:rsid w:val="008C7836"/>
    <w:rsid w:val="008C7899"/>
    <w:rsid w:val="008C7908"/>
    <w:rsid w:val="008C7911"/>
    <w:rsid w:val="008C7A58"/>
    <w:rsid w:val="008C7B16"/>
    <w:rsid w:val="008C7CB8"/>
    <w:rsid w:val="008C7CC1"/>
    <w:rsid w:val="008C7E1E"/>
    <w:rsid w:val="008C7EF1"/>
    <w:rsid w:val="008C7F78"/>
    <w:rsid w:val="008CB0AD"/>
    <w:rsid w:val="008D006D"/>
    <w:rsid w:val="008D0099"/>
    <w:rsid w:val="008D00A4"/>
    <w:rsid w:val="008D00EE"/>
    <w:rsid w:val="008D01A0"/>
    <w:rsid w:val="008D040C"/>
    <w:rsid w:val="008D04D7"/>
    <w:rsid w:val="008D0506"/>
    <w:rsid w:val="008D0685"/>
    <w:rsid w:val="008D06A9"/>
    <w:rsid w:val="008D082F"/>
    <w:rsid w:val="008D089A"/>
    <w:rsid w:val="008D0968"/>
    <w:rsid w:val="008D0A95"/>
    <w:rsid w:val="008D0AC0"/>
    <w:rsid w:val="008D0ACD"/>
    <w:rsid w:val="008D0B95"/>
    <w:rsid w:val="008D0BC0"/>
    <w:rsid w:val="008D0C34"/>
    <w:rsid w:val="008D0CA9"/>
    <w:rsid w:val="008D0D20"/>
    <w:rsid w:val="008D0E2B"/>
    <w:rsid w:val="008D0F3C"/>
    <w:rsid w:val="008D1030"/>
    <w:rsid w:val="008D10B8"/>
    <w:rsid w:val="008D1181"/>
    <w:rsid w:val="008D12DE"/>
    <w:rsid w:val="008D1348"/>
    <w:rsid w:val="008D13CB"/>
    <w:rsid w:val="008D13EF"/>
    <w:rsid w:val="008D14E4"/>
    <w:rsid w:val="008D1572"/>
    <w:rsid w:val="008D1583"/>
    <w:rsid w:val="008D1617"/>
    <w:rsid w:val="008D16A2"/>
    <w:rsid w:val="008D171F"/>
    <w:rsid w:val="008D1818"/>
    <w:rsid w:val="008D183C"/>
    <w:rsid w:val="008D1920"/>
    <w:rsid w:val="008D195D"/>
    <w:rsid w:val="008D1A60"/>
    <w:rsid w:val="008D1B64"/>
    <w:rsid w:val="008D1B6D"/>
    <w:rsid w:val="008D1CDF"/>
    <w:rsid w:val="008D1D00"/>
    <w:rsid w:val="008D1DE7"/>
    <w:rsid w:val="008D1E08"/>
    <w:rsid w:val="008D1E70"/>
    <w:rsid w:val="008D20CF"/>
    <w:rsid w:val="008D20DF"/>
    <w:rsid w:val="008D21C5"/>
    <w:rsid w:val="008D21D7"/>
    <w:rsid w:val="008D2327"/>
    <w:rsid w:val="008D233C"/>
    <w:rsid w:val="008D241E"/>
    <w:rsid w:val="008D2431"/>
    <w:rsid w:val="008D255F"/>
    <w:rsid w:val="008D25C8"/>
    <w:rsid w:val="008D2647"/>
    <w:rsid w:val="008D270A"/>
    <w:rsid w:val="008D2729"/>
    <w:rsid w:val="008D28B9"/>
    <w:rsid w:val="008D2981"/>
    <w:rsid w:val="008D2C45"/>
    <w:rsid w:val="008D2E0A"/>
    <w:rsid w:val="008D2E0E"/>
    <w:rsid w:val="008D2FA2"/>
    <w:rsid w:val="008D3091"/>
    <w:rsid w:val="008D315D"/>
    <w:rsid w:val="008D3528"/>
    <w:rsid w:val="008D35EC"/>
    <w:rsid w:val="008D37C0"/>
    <w:rsid w:val="008D3845"/>
    <w:rsid w:val="008D38A9"/>
    <w:rsid w:val="008D3B1D"/>
    <w:rsid w:val="008D3B76"/>
    <w:rsid w:val="008D3C3D"/>
    <w:rsid w:val="008D3C53"/>
    <w:rsid w:val="008D400D"/>
    <w:rsid w:val="008D4112"/>
    <w:rsid w:val="008D426A"/>
    <w:rsid w:val="008D4297"/>
    <w:rsid w:val="008D4343"/>
    <w:rsid w:val="008D435E"/>
    <w:rsid w:val="008D4389"/>
    <w:rsid w:val="008D449A"/>
    <w:rsid w:val="008D459C"/>
    <w:rsid w:val="008D4801"/>
    <w:rsid w:val="008D498F"/>
    <w:rsid w:val="008D4A0E"/>
    <w:rsid w:val="008D4A95"/>
    <w:rsid w:val="008D4B13"/>
    <w:rsid w:val="008D4B80"/>
    <w:rsid w:val="008D4C26"/>
    <w:rsid w:val="008D4C65"/>
    <w:rsid w:val="008D4CA3"/>
    <w:rsid w:val="008D4CF3"/>
    <w:rsid w:val="008D4F93"/>
    <w:rsid w:val="008D5053"/>
    <w:rsid w:val="008D5126"/>
    <w:rsid w:val="008D51A7"/>
    <w:rsid w:val="008D51C9"/>
    <w:rsid w:val="008D5231"/>
    <w:rsid w:val="008D52F4"/>
    <w:rsid w:val="008D532D"/>
    <w:rsid w:val="008D534C"/>
    <w:rsid w:val="008D5380"/>
    <w:rsid w:val="008D53AC"/>
    <w:rsid w:val="008D566B"/>
    <w:rsid w:val="008D5747"/>
    <w:rsid w:val="008D5832"/>
    <w:rsid w:val="008D597E"/>
    <w:rsid w:val="008D59AE"/>
    <w:rsid w:val="008D59DB"/>
    <w:rsid w:val="008D59FB"/>
    <w:rsid w:val="008D5A65"/>
    <w:rsid w:val="008D5A6C"/>
    <w:rsid w:val="008D5D3A"/>
    <w:rsid w:val="008D5DF9"/>
    <w:rsid w:val="008D5EAA"/>
    <w:rsid w:val="008D5FD6"/>
    <w:rsid w:val="008D5FED"/>
    <w:rsid w:val="008D6214"/>
    <w:rsid w:val="008D6399"/>
    <w:rsid w:val="008D63D8"/>
    <w:rsid w:val="008D64B8"/>
    <w:rsid w:val="008D652B"/>
    <w:rsid w:val="008D6578"/>
    <w:rsid w:val="008D65C2"/>
    <w:rsid w:val="008D669A"/>
    <w:rsid w:val="008D66CE"/>
    <w:rsid w:val="008D67AB"/>
    <w:rsid w:val="008D6885"/>
    <w:rsid w:val="008D6886"/>
    <w:rsid w:val="008D68A4"/>
    <w:rsid w:val="008D68C5"/>
    <w:rsid w:val="008D6956"/>
    <w:rsid w:val="008D6A10"/>
    <w:rsid w:val="008D6AD8"/>
    <w:rsid w:val="008D6D04"/>
    <w:rsid w:val="008D6DBE"/>
    <w:rsid w:val="008D6F4A"/>
    <w:rsid w:val="008D702B"/>
    <w:rsid w:val="008D707C"/>
    <w:rsid w:val="008D709D"/>
    <w:rsid w:val="008D70BE"/>
    <w:rsid w:val="008D717D"/>
    <w:rsid w:val="008D7236"/>
    <w:rsid w:val="008D734C"/>
    <w:rsid w:val="008D736B"/>
    <w:rsid w:val="008D7383"/>
    <w:rsid w:val="008D73F2"/>
    <w:rsid w:val="008D7416"/>
    <w:rsid w:val="008D747A"/>
    <w:rsid w:val="008D75F1"/>
    <w:rsid w:val="008D7720"/>
    <w:rsid w:val="008D78BC"/>
    <w:rsid w:val="008D78F6"/>
    <w:rsid w:val="008D7906"/>
    <w:rsid w:val="008D7930"/>
    <w:rsid w:val="008D7954"/>
    <w:rsid w:val="008D79B7"/>
    <w:rsid w:val="008D7A97"/>
    <w:rsid w:val="008D7CCA"/>
    <w:rsid w:val="008D7DFA"/>
    <w:rsid w:val="008D7E24"/>
    <w:rsid w:val="008D7EC6"/>
    <w:rsid w:val="008D7F32"/>
    <w:rsid w:val="008D7F43"/>
    <w:rsid w:val="008D7FED"/>
    <w:rsid w:val="008E0066"/>
    <w:rsid w:val="008E00F2"/>
    <w:rsid w:val="008E011F"/>
    <w:rsid w:val="008E01FC"/>
    <w:rsid w:val="008E021B"/>
    <w:rsid w:val="008E0297"/>
    <w:rsid w:val="008E0422"/>
    <w:rsid w:val="008E051E"/>
    <w:rsid w:val="008E076E"/>
    <w:rsid w:val="008E0896"/>
    <w:rsid w:val="008E08E9"/>
    <w:rsid w:val="008E0AA8"/>
    <w:rsid w:val="008E0B0A"/>
    <w:rsid w:val="008E0B80"/>
    <w:rsid w:val="008E0BA0"/>
    <w:rsid w:val="008E0C09"/>
    <w:rsid w:val="008E0C9F"/>
    <w:rsid w:val="008E0EC2"/>
    <w:rsid w:val="008E0F4B"/>
    <w:rsid w:val="008E1072"/>
    <w:rsid w:val="008E10A4"/>
    <w:rsid w:val="008E10D5"/>
    <w:rsid w:val="008E1143"/>
    <w:rsid w:val="008E127C"/>
    <w:rsid w:val="008E12E8"/>
    <w:rsid w:val="008E1389"/>
    <w:rsid w:val="008E13FF"/>
    <w:rsid w:val="008E1491"/>
    <w:rsid w:val="008E1555"/>
    <w:rsid w:val="008E1573"/>
    <w:rsid w:val="008E1601"/>
    <w:rsid w:val="008E163E"/>
    <w:rsid w:val="008E171C"/>
    <w:rsid w:val="008E17A3"/>
    <w:rsid w:val="008E18CF"/>
    <w:rsid w:val="008E19EB"/>
    <w:rsid w:val="008E1A16"/>
    <w:rsid w:val="008E1A63"/>
    <w:rsid w:val="008E1A79"/>
    <w:rsid w:val="008E1B72"/>
    <w:rsid w:val="008E1BB3"/>
    <w:rsid w:val="008E1CF6"/>
    <w:rsid w:val="008E1D24"/>
    <w:rsid w:val="008E1EB7"/>
    <w:rsid w:val="008E2322"/>
    <w:rsid w:val="008E2497"/>
    <w:rsid w:val="008E258D"/>
    <w:rsid w:val="008E2643"/>
    <w:rsid w:val="008E2699"/>
    <w:rsid w:val="008E26F6"/>
    <w:rsid w:val="008E295B"/>
    <w:rsid w:val="008E2961"/>
    <w:rsid w:val="008E29D1"/>
    <w:rsid w:val="008E2AF8"/>
    <w:rsid w:val="008E2B0B"/>
    <w:rsid w:val="008E2C12"/>
    <w:rsid w:val="008E2CC5"/>
    <w:rsid w:val="008E2EAD"/>
    <w:rsid w:val="008E2F39"/>
    <w:rsid w:val="008E2F7C"/>
    <w:rsid w:val="008E3039"/>
    <w:rsid w:val="008E306F"/>
    <w:rsid w:val="008E345D"/>
    <w:rsid w:val="008E34E1"/>
    <w:rsid w:val="008E3793"/>
    <w:rsid w:val="008E3820"/>
    <w:rsid w:val="008E38E5"/>
    <w:rsid w:val="008E396F"/>
    <w:rsid w:val="008E3B94"/>
    <w:rsid w:val="008E3BCA"/>
    <w:rsid w:val="008E3D2F"/>
    <w:rsid w:val="008E3E5C"/>
    <w:rsid w:val="008E3F87"/>
    <w:rsid w:val="008E3FBA"/>
    <w:rsid w:val="008E40E2"/>
    <w:rsid w:val="008E4287"/>
    <w:rsid w:val="008E440B"/>
    <w:rsid w:val="008E4436"/>
    <w:rsid w:val="008E445B"/>
    <w:rsid w:val="008E4515"/>
    <w:rsid w:val="008E4796"/>
    <w:rsid w:val="008E47C9"/>
    <w:rsid w:val="008E4B1E"/>
    <w:rsid w:val="008E4C70"/>
    <w:rsid w:val="008E4D0A"/>
    <w:rsid w:val="008E4D96"/>
    <w:rsid w:val="008E4DAB"/>
    <w:rsid w:val="008E4F5B"/>
    <w:rsid w:val="008E4FDA"/>
    <w:rsid w:val="008E4FE1"/>
    <w:rsid w:val="008E4FF0"/>
    <w:rsid w:val="008E4FF7"/>
    <w:rsid w:val="008E5103"/>
    <w:rsid w:val="008E5128"/>
    <w:rsid w:val="008E51E8"/>
    <w:rsid w:val="008E52A6"/>
    <w:rsid w:val="008E531B"/>
    <w:rsid w:val="008E53D3"/>
    <w:rsid w:val="008E5523"/>
    <w:rsid w:val="008E55E3"/>
    <w:rsid w:val="008E5956"/>
    <w:rsid w:val="008E5ABE"/>
    <w:rsid w:val="008E5B53"/>
    <w:rsid w:val="008E5B95"/>
    <w:rsid w:val="008E5C12"/>
    <w:rsid w:val="008E5C26"/>
    <w:rsid w:val="008E5C30"/>
    <w:rsid w:val="008E5D3F"/>
    <w:rsid w:val="008E5D82"/>
    <w:rsid w:val="008E5DAA"/>
    <w:rsid w:val="008E5EE2"/>
    <w:rsid w:val="008E620B"/>
    <w:rsid w:val="008E626C"/>
    <w:rsid w:val="008E6506"/>
    <w:rsid w:val="008E6645"/>
    <w:rsid w:val="008E6692"/>
    <w:rsid w:val="008E678E"/>
    <w:rsid w:val="008E6809"/>
    <w:rsid w:val="008E684F"/>
    <w:rsid w:val="008E68EE"/>
    <w:rsid w:val="008E694A"/>
    <w:rsid w:val="008E6A24"/>
    <w:rsid w:val="008E6BD3"/>
    <w:rsid w:val="008E6CCA"/>
    <w:rsid w:val="008E6DD3"/>
    <w:rsid w:val="008E6E10"/>
    <w:rsid w:val="008E6FA2"/>
    <w:rsid w:val="008E6FB0"/>
    <w:rsid w:val="008E6FEB"/>
    <w:rsid w:val="008E7052"/>
    <w:rsid w:val="008E7053"/>
    <w:rsid w:val="008E7139"/>
    <w:rsid w:val="008E71D6"/>
    <w:rsid w:val="008E72C1"/>
    <w:rsid w:val="008E73B2"/>
    <w:rsid w:val="008E73BA"/>
    <w:rsid w:val="008E7431"/>
    <w:rsid w:val="008E756D"/>
    <w:rsid w:val="008E758D"/>
    <w:rsid w:val="008E75CE"/>
    <w:rsid w:val="008E7687"/>
    <w:rsid w:val="008E778E"/>
    <w:rsid w:val="008E784E"/>
    <w:rsid w:val="008E7AB8"/>
    <w:rsid w:val="008E7AC8"/>
    <w:rsid w:val="008E7B2D"/>
    <w:rsid w:val="008E7BE9"/>
    <w:rsid w:val="008E7BFD"/>
    <w:rsid w:val="008E7CA1"/>
    <w:rsid w:val="008E7CC7"/>
    <w:rsid w:val="008E7DCC"/>
    <w:rsid w:val="008E7E2C"/>
    <w:rsid w:val="008E7E39"/>
    <w:rsid w:val="008E7EEA"/>
    <w:rsid w:val="008F007B"/>
    <w:rsid w:val="008F0199"/>
    <w:rsid w:val="008F0279"/>
    <w:rsid w:val="008F028C"/>
    <w:rsid w:val="008F03BB"/>
    <w:rsid w:val="008F0444"/>
    <w:rsid w:val="008F0467"/>
    <w:rsid w:val="008F04AB"/>
    <w:rsid w:val="008F065C"/>
    <w:rsid w:val="008F06D9"/>
    <w:rsid w:val="008F083E"/>
    <w:rsid w:val="008F08BD"/>
    <w:rsid w:val="008F0934"/>
    <w:rsid w:val="008F0A59"/>
    <w:rsid w:val="008F0A74"/>
    <w:rsid w:val="008F0B1C"/>
    <w:rsid w:val="008F0D0A"/>
    <w:rsid w:val="008F0F1B"/>
    <w:rsid w:val="008F0F2E"/>
    <w:rsid w:val="008F1011"/>
    <w:rsid w:val="008F1096"/>
    <w:rsid w:val="008F115B"/>
    <w:rsid w:val="008F11D8"/>
    <w:rsid w:val="008F121A"/>
    <w:rsid w:val="008F136F"/>
    <w:rsid w:val="008F14F6"/>
    <w:rsid w:val="008F162D"/>
    <w:rsid w:val="008F18DA"/>
    <w:rsid w:val="008F18E4"/>
    <w:rsid w:val="008F196D"/>
    <w:rsid w:val="008F1AA4"/>
    <w:rsid w:val="008F1B10"/>
    <w:rsid w:val="008F1B2D"/>
    <w:rsid w:val="008F1BFF"/>
    <w:rsid w:val="008F1D48"/>
    <w:rsid w:val="008F1FA0"/>
    <w:rsid w:val="008F2085"/>
    <w:rsid w:val="008F20BC"/>
    <w:rsid w:val="008F20EB"/>
    <w:rsid w:val="008F218B"/>
    <w:rsid w:val="008F2210"/>
    <w:rsid w:val="008F2292"/>
    <w:rsid w:val="008F2463"/>
    <w:rsid w:val="008F256E"/>
    <w:rsid w:val="008F263C"/>
    <w:rsid w:val="008F26A1"/>
    <w:rsid w:val="008F2704"/>
    <w:rsid w:val="008F2708"/>
    <w:rsid w:val="008F2797"/>
    <w:rsid w:val="008F27A0"/>
    <w:rsid w:val="008F287D"/>
    <w:rsid w:val="008F28B9"/>
    <w:rsid w:val="008F2BA0"/>
    <w:rsid w:val="008F2BA4"/>
    <w:rsid w:val="008F2DA4"/>
    <w:rsid w:val="008F2F04"/>
    <w:rsid w:val="008F2F38"/>
    <w:rsid w:val="008F3095"/>
    <w:rsid w:val="008F30AD"/>
    <w:rsid w:val="008F30C8"/>
    <w:rsid w:val="008F319F"/>
    <w:rsid w:val="008F3235"/>
    <w:rsid w:val="008F324C"/>
    <w:rsid w:val="008F3272"/>
    <w:rsid w:val="008F32DD"/>
    <w:rsid w:val="008F3392"/>
    <w:rsid w:val="008F34A3"/>
    <w:rsid w:val="008F34B5"/>
    <w:rsid w:val="008F3512"/>
    <w:rsid w:val="008F3A06"/>
    <w:rsid w:val="008F3AF3"/>
    <w:rsid w:val="008F3B00"/>
    <w:rsid w:val="008F3B05"/>
    <w:rsid w:val="008F3B31"/>
    <w:rsid w:val="008F3B36"/>
    <w:rsid w:val="008F3BA2"/>
    <w:rsid w:val="008F3C3C"/>
    <w:rsid w:val="008F3C4A"/>
    <w:rsid w:val="008F3D96"/>
    <w:rsid w:val="008F3E87"/>
    <w:rsid w:val="008F3EC9"/>
    <w:rsid w:val="008F4006"/>
    <w:rsid w:val="008F401F"/>
    <w:rsid w:val="008F4050"/>
    <w:rsid w:val="008F40A6"/>
    <w:rsid w:val="008F4150"/>
    <w:rsid w:val="008F418F"/>
    <w:rsid w:val="008F420F"/>
    <w:rsid w:val="008F426D"/>
    <w:rsid w:val="008F451D"/>
    <w:rsid w:val="008F452D"/>
    <w:rsid w:val="008F4551"/>
    <w:rsid w:val="008F4582"/>
    <w:rsid w:val="008F46BD"/>
    <w:rsid w:val="008F46D8"/>
    <w:rsid w:val="008F47C3"/>
    <w:rsid w:val="008F47DB"/>
    <w:rsid w:val="008F4857"/>
    <w:rsid w:val="008F49F2"/>
    <w:rsid w:val="008F4CE7"/>
    <w:rsid w:val="008F4D0E"/>
    <w:rsid w:val="008F4D35"/>
    <w:rsid w:val="008F4DB3"/>
    <w:rsid w:val="008F4EA2"/>
    <w:rsid w:val="008F4F0B"/>
    <w:rsid w:val="008F5222"/>
    <w:rsid w:val="008F530C"/>
    <w:rsid w:val="008F53CD"/>
    <w:rsid w:val="008F5415"/>
    <w:rsid w:val="008F542B"/>
    <w:rsid w:val="008F5480"/>
    <w:rsid w:val="008F560E"/>
    <w:rsid w:val="008F5648"/>
    <w:rsid w:val="008F5723"/>
    <w:rsid w:val="008F57D8"/>
    <w:rsid w:val="008F5820"/>
    <w:rsid w:val="008F582B"/>
    <w:rsid w:val="008F58FF"/>
    <w:rsid w:val="008F5AB5"/>
    <w:rsid w:val="008F5AFA"/>
    <w:rsid w:val="008F5B61"/>
    <w:rsid w:val="008F5B96"/>
    <w:rsid w:val="008F5C43"/>
    <w:rsid w:val="008F5C50"/>
    <w:rsid w:val="008F5C6C"/>
    <w:rsid w:val="008F5CDF"/>
    <w:rsid w:val="008F5EE2"/>
    <w:rsid w:val="008F5F93"/>
    <w:rsid w:val="008F6066"/>
    <w:rsid w:val="008F6095"/>
    <w:rsid w:val="008F60C1"/>
    <w:rsid w:val="008F61B7"/>
    <w:rsid w:val="008F6418"/>
    <w:rsid w:val="008F6478"/>
    <w:rsid w:val="008F647F"/>
    <w:rsid w:val="008F6516"/>
    <w:rsid w:val="008F6601"/>
    <w:rsid w:val="008F6636"/>
    <w:rsid w:val="008F664F"/>
    <w:rsid w:val="008F665A"/>
    <w:rsid w:val="008F670B"/>
    <w:rsid w:val="008F6798"/>
    <w:rsid w:val="008F6854"/>
    <w:rsid w:val="008F6AFD"/>
    <w:rsid w:val="008F6B9D"/>
    <w:rsid w:val="008F6C50"/>
    <w:rsid w:val="008F6C81"/>
    <w:rsid w:val="008F6E69"/>
    <w:rsid w:val="008F7063"/>
    <w:rsid w:val="008F719B"/>
    <w:rsid w:val="008F71ED"/>
    <w:rsid w:val="008F73E5"/>
    <w:rsid w:val="008F7435"/>
    <w:rsid w:val="008F74A6"/>
    <w:rsid w:val="008F755D"/>
    <w:rsid w:val="008F7580"/>
    <w:rsid w:val="008F75CA"/>
    <w:rsid w:val="008F75CC"/>
    <w:rsid w:val="008F766F"/>
    <w:rsid w:val="008F76B6"/>
    <w:rsid w:val="008F76F4"/>
    <w:rsid w:val="008F795D"/>
    <w:rsid w:val="008F79AB"/>
    <w:rsid w:val="008F79CD"/>
    <w:rsid w:val="008F7A82"/>
    <w:rsid w:val="008F7B7B"/>
    <w:rsid w:val="008F7C0D"/>
    <w:rsid w:val="008F7C88"/>
    <w:rsid w:val="008F7CD1"/>
    <w:rsid w:val="008F7D6A"/>
    <w:rsid w:val="008F7E06"/>
    <w:rsid w:val="0090008B"/>
    <w:rsid w:val="0090014E"/>
    <w:rsid w:val="009001C8"/>
    <w:rsid w:val="00900230"/>
    <w:rsid w:val="0090042B"/>
    <w:rsid w:val="009004A7"/>
    <w:rsid w:val="00900539"/>
    <w:rsid w:val="0090062F"/>
    <w:rsid w:val="0090064E"/>
    <w:rsid w:val="00900714"/>
    <w:rsid w:val="009007CC"/>
    <w:rsid w:val="00900895"/>
    <w:rsid w:val="00900930"/>
    <w:rsid w:val="009009DC"/>
    <w:rsid w:val="009009F1"/>
    <w:rsid w:val="00900A64"/>
    <w:rsid w:val="00900A77"/>
    <w:rsid w:val="00900B99"/>
    <w:rsid w:val="00900D63"/>
    <w:rsid w:val="00900DC5"/>
    <w:rsid w:val="00900E3B"/>
    <w:rsid w:val="00900E71"/>
    <w:rsid w:val="00900E7E"/>
    <w:rsid w:val="00900E96"/>
    <w:rsid w:val="00900ED9"/>
    <w:rsid w:val="00900F17"/>
    <w:rsid w:val="00900F58"/>
    <w:rsid w:val="00900F8C"/>
    <w:rsid w:val="00901017"/>
    <w:rsid w:val="0090109E"/>
    <w:rsid w:val="009010BF"/>
    <w:rsid w:val="009011DD"/>
    <w:rsid w:val="0090122E"/>
    <w:rsid w:val="0090134E"/>
    <w:rsid w:val="009013E9"/>
    <w:rsid w:val="00901450"/>
    <w:rsid w:val="009014C9"/>
    <w:rsid w:val="009014F4"/>
    <w:rsid w:val="009015A4"/>
    <w:rsid w:val="009017A3"/>
    <w:rsid w:val="0090188E"/>
    <w:rsid w:val="00901975"/>
    <w:rsid w:val="00901987"/>
    <w:rsid w:val="00901991"/>
    <w:rsid w:val="009019EE"/>
    <w:rsid w:val="00901A5E"/>
    <w:rsid w:val="00901B54"/>
    <w:rsid w:val="00901B64"/>
    <w:rsid w:val="00901C16"/>
    <w:rsid w:val="00901DF7"/>
    <w:rsid w:val="00901EA0"/>
    <w:rsid w:val="00902028"/>
    <w:rsid w:val="0090204D"/>
    <w:rsid w:val="00902287"/>
    <w:rsid w:val="0090241F"/>
    <w:rsid w:val="009025EF"/>
    <w:rsid w:val="0090262F"/>
    <w:rsid w:val="00902793"/>
    <w:rsid w:val="00902828"/>
    <w:rsid w:val="00902890"/>
    <w:rsid w:val="00902895"/>
    <w:rsid w:val="009028AD"/>
    <w:rsid w:val="009028C3"/>
    <w:rsid w:val="0090297B"/>
    <w:rsid w:val="00902997"/>
    <w:rsid w:val="00902D51"/>
    <w:rsid w:val="00902DEB"/>
    <w:rsid w:val="00902E58"/>
    <w:rsid w:val="00902EA7"/>
    <w:rsid w:val="00902EB8"/>
    <w:rsid w:val="00902EBE"/>
    <w:rsid w:val="00902F60"/>
    <w:rsid w:val="00902F74"/>
    <w:rsid w:val="009030AE"/>
    <w:rsid w:val="00903135"/>
    <w:rsid w:val="0090313C"/>
    <w:rsid w:val="009031E6"/>
    <w:rsid w:val="0090328F"/>
    <w:rsid w:val="00903350"/>
    <w:rsid w:val="00903413"/>
    <w:rsid w:val="009034AF"/>
    <w:rsid w:val="0090351D"/>
    <w:rsid w:val="00903754"/>
    <w:rsid w:val="009038BD"/>
    <w:rsid w:val="00903903"/>
    <w:rsid w:val="0090396E"/>
    <w:rsid w:val="00903A1B"/>
    <w:rsid w:val="00903B02"/>
    <w:rsid w:val="00903B3D"/>
    <w:rsid w:val="00903B6F"/>
    <w:rsid w:val="00903D99"/>
    <w:rsid w:val="00903F58"/>
    <w:rsid w:val="00903F9F"/>
    <w:rsid w:val="00903FC8"/>
    <w:rsid w:val="00904000"/>
    <w:rsid w:val="00904006"/>
    <w:rsid w:val="00904107"/>
    <w:rsid w:val="0090412F"/>
    <w:rsid w:val="00904188"/>
    <w:rsid w:val="009041DD"/>
    <w:rsid w:val="00904208"/>
    <w:rsid w:val="009042DB"/>
    <w:rsid w:val="009043F5"/>
    <w:rsid w:val="009045B5"/>
    <w:rsid w:val="0090469D"/>
    <w:rsid w:val="009046F0"/>
    <w:rsid w:val="0090470C"/>
    <w:rsid w:val="009047C0"/>
    <w:rsid w:val="0090480A"/>
    <w:rsid w:val="00904A1A"/>
    <w:rsid w:val="00904B76"/>
    <w:rsid w:val="00904BAA"/>
    <w:rsid w:val="00904CFD"/>
    <w:rsid w:val="00904D53"/>
    <w:rsid w:val="00904DF0"/>
    <w:rsid w:val="00904ED2"/>
    <w:rsid w:val="00904EDC"/>
    <w:rsid w:val="00904FC1"/>
    <w:rsid w:val="0090511B"/>
    <w:rsid w:val="009052FC"/>
    <w:rsid w:val="00905351"/>
    <w:rsid w:val="0090535D"/>
    <w:rsid w:val="00905472"/>
    <w:rsid w:val="009055BF"/>
    <w:rsid w:val="00905638"/>
    <w:rsid w:val="009056A4"/>
    <w:rsid w:val="009057DF"/>
    <w:rsid w:val="00905871"/>
    <w:rsid w:val="009059C3"/>
    <w:rsid w:val="00905A63"/>
    <w:rsid w:val="00905C43"/>
    <w:rsid w:val="00905C4E"/>
    <w:rsid w:val="00905DA5"/>
    <w:rsid w:val="00905DC3"/>
    <w:rsid w:val="00905F48"/>
    <w:rsid w:val="00905FA5"/>
    <w:rsid w:val="0090600A"/>
    <w:rsid w:val="00906044"/>
    <w:rsid w:val="009060DF"/>
    <w:rsid w:val="0090638B"/>
    <w:rsid w:val="00906522"/>
    <w:rsid w:val="0090671E"/>
    <w:rsid w:val="00906801"/>
    <w:rsid w:val="00906886"/>
    <w:rsid w:val="009068E5"/>
    <w:rsid w:val="0090698F"/>
    <w:rsid w:val="00906A36"/>
    <w:rsid w:val="00906AEF"/>
    <w:rsid w:val="00906B01"/>
    <w:rsid w:val="00906CAD"/>
    <w:rsid w:val="00906DC9"/>
    <w:rsid w:val="00906E6C"/>
    <w:rsid w:val="00906EC8"/>
    <w:rsid w:val="00907025"/>
    <w:rsid w:val="00907030"/>
    <w:rsid w:val="009070DF"/>
    <w:rsid w:val="0090712F"/>
    <w:rsid w:val="009072BD"/>
    <w:rsid w:val="0090739F"/>
    <w:rsid w:val="009073EE"/>
    <w:rsid w:val="009073FB"/>
    <w:rsid w:val="00907435"/>
    <w:rsid w:val="0090757C"/>
    <w:rsid w:val="009075F0"/>
    <w:rsid w:val="00907755"/>
    <w:rsid w:val="00907A17"/>
    <w:rsid w:val="00907A65"/>
    <w:rsid w:val="00907B76"/>
    <w:rsid w:val="00907CE4"/>
    <w:rsid w:val="00907CE8"/>
    <w:rsid w:val="00907E32"/>
    <w:rsid w:val="009100AA"/>
    <w:rsid w:val="009100CB"/>
    <w:rsid w:val="009101C4"/>
    <w:rsid w:val="009106AB"/>
    <w:rsid w:val="009106F3"/>
    <w:rsid w:val="00910768"/>
    <w:rsid w:val="009107D9"/>
    <w:rsid w:val="009107F9"/>
    <w:rsid w:val="009108AA"/>
    <w:rsid w:val="0091091E"/>
    <w:rsid w:val="00910A35"/>
    <w:rsid w:val="00910AF8"/>
    <w:rsid w:val="00910B54"/>
    <w:rsid w:val="00910B9D"/>
    <w:rsid w:val="00910C2F"/>
    <w:rsid w:val="00910DF3"/>
    <w:rsid w:val="00910F1E"/>
    <w:rsid w:val="0091100E"/>
    <w:rsid w:val="009110E1"/>
    <w:rsid w:val="00911136"/>
    <w:rsid w:val="009112DA"/>
    <w:rsid w:val="009113B3"/>
    <w:rsid w:val="00911447"/>
    <w:rsid w:val="00911507"/>
    <w:rsid w:val="0091160A"/>
    <w:rsid w:val="0091168E"/>
    <w:rsid w:val="0091170F"/>
    <w:rsid w:val="00911798"/>
    <w:rsid w:val="009117F7"/>
    <w:rsid w:val="009117F9"/>
    <w:rsid w:val="00911854"/>
    <w:rsid w:val="009118A1"/>
    <w:rsid w:val="00911956"/>
    <w:rsid w:val="00911990"/>
    <w:rsid w:val="00911ACF"/>
    <w:rsid w:val="00911AEF"/>
    <w:rsid w:val="00911CCA"/>
    <w:rsid w:val="00911D5A"/>
    <w:rsid w:val="00911D7D"/>
    <w:rsid w:val="009120E8"/>
    <w:rsid w:val="009120ED"/>
    <w:rsid w:val="009124E2"/>
    <w:rsid w:val="009128D1"/>
    <w:rsid w:val="00912903"/>
    <w:rsid w:val="00912975"/>
    <w:rsid w:val="00912A46"/>
    <w:rsid w:val="00912AFC"/>
    <w:rsid w:val="00912B1B"/>
    <w:rsid w:val="00912C63"/>
    <w:rsid w:val="00912C99"/>
    <w:rsid w:val="00912CFC"/>
    <w:rsid w:val="00912E53"/>
    <w:rsid w:val="00912E97"/>
    <w:rsid w:val="00912F63"/>
    <w:rsid w:val="009130B4"/>
    <w:rsid w:val="0091314F"/>
    <w:rsid w:val="00913179"/>
    <w:rsid w:val="00913238"/>
    <w:rsid w:val="009132F7"/>
    <w:rsid w:val="009133D9"/>
    <w:rsid w:val="0091349D"/>
    <w:rsid w:val="009134B0"/>
    <w:rsid w:val="00913516"/>
    <w:rsid w:val="00913547"/>
    <w:rsid w:val="009137DF"/>
    <w:rsid w:val="00913838"/>
    <w:rsid w:val="0091383A"/>
    <w:rsid w:val="00913870"/>
    <w:rsid w:val="009138B2"/>
    <w:rsid w:val="00913A1D"/>
    <w:rsid w:val="00913A86"/>
    <w:rsid w:val="00913AB1"/>
    <w:rsid w:val="00913BC8"/>
    <w:rsid w:val="00913C60"/>
    <w:rsid w:val="00913C79"/>
    <w:rsid w:val="00913CB7"/>
    <w:rsid w:val="00913DCC"/>
    <w:rsid w:val="00913E57"/>
    <w:rsid w:val="00913F68"/>
    <w:rsid w:val="00914049"/>
    <w:rsid w:val="00914232"/>
    <w:rsid w:val="0091439C"/>
    <w:rsid w:val="00914443"/>
    <w:rsid w:val="009144A2"/>
    <w:rsid w:val="00914586"/>
    <w:rsid w:val="00914589"/>
    <w:rsid w:val="00914611"/>
    <w:rsid w:val="009146E7"/>
    <w:rsid w:val="0091491C"/>
    <w:rsid w:val="00914934"/>
    <w:rsid w:val="009149C7"/>
    <w:rsid w:val="00914AE6"/>
    <w:rsid w:val="00914B16"/>
    <w:rsid w:val="00914B29"/>
    <w:rsid w:val="00914C55"/>
    <w:rsid w:val="00914C70"/>
    <w:rsid w:val="00914CC0"/>
    <w:rsid w:val="00914E23"/>
    <w:rsid w:val="00914EDB"/>
    <w:rsid w:val="00914F39"/>
    <w:rsid w:val="00914FA5"/>
    <w:rsid w:val="0091503E"/>
    <w:rsid w:val="009150BC"/>
    <w:rsid w:val="009150BE"/>
    <w:rsid w:val="009150D5"/>
    <w:rsid w:val="00915213"/>
    <w:rsid w:val="00915443"/>
    <w:rsid w:val="009154B6"/>
    <w:rsid w:val="009154E6"/>
    <w:rsid w:val="00915690"/>
    <w:rsid w:val="009156C8"/>
    <w:rsid w:val="009158D3"/>
    <w:rsid w:val="00915B02"/>
    <w:rsid w:val="00915B85"/>
    <w:rsid w:val="00915BD3"/>
    <w:rsid w:val="00915C33"/>
    <w:rsid w:val="00915D62"/>
    <w:rsid w:val="00915EC1"/>
    <w:rsid w:val="00915EFA"/>
    <w:rsid w:val="00915F53"/>
    <w:rsid w:val="0091602C"/>
    <w:rsid w:val="00916217"/>
    <w:rsid w:val="00916231"/>
    <w:rsid w:val="00916260"/>
    <w:rsid w:val="0091629E"/>
    <w:rsid w:val="009162BB"/>
    <w:rsid w:val="009163A1"/>
    <w:rsid w:val="009163F5"/>
    <w:rsid w:val="00916518"/>
    <w:rsid w:val="009166FF"/>
    <w:rsid w:val="00916925"/>
    <w:rsid w:val="009169D2"/>
    <w:rsid w:val="00916A0C"/>
    <w:rsid w:val="00916B63"/>
    <w:rsid w:val="00916B80"/>
    <w:rsid w:val="00916BD4"/>
    <w:rsid w:val="00916C3A"/>
    <w:rsid w:val="00916CAB"/>
    <w:rsid w:val="00916D72"/>
    <w:rsid w:val="00916E6D"/>
    <w:rsid w:val="00916E93"/>
    <w:rsid w:val="00916F9F"/>
    <w:rsid w:val="00917021"/>
    <w:rsid w:val="009172C5"/>
    <w:rsid w:val="009173E2"/>
    <w:rsid w:val="009173FB"/>
    <w:rsid w:val="009174AC"/>
    <w:rsid w:val="0091757D"/>
    <w:rsid w:val="0091767A"/>
    <w:rsid w:val="009176EA"/>
    <w:rsid w:val="009177ED"/>
    <w:rsid w:val="00917905"/>
    <w:rsid w:val="0091791B"/>
    <w:rsid w:val="00917B37"/>
    <w:rsid w:val="00917B8A"/>
    <w:rsid w:val="00917BA1"/>
    <w:rsid w:val="00917C17"/>
    <w:rsid w:val="00917DC3"/>
    <w:rsid w:val="00917E69"/>
    <w:rsid w:val="00917EFF"/>
    <w:rsid w:val="00917F74"/>
    <w:rsid w:val="00917F75"/>
    <w:rsid w:val="00917FCF"/>
    <w:rsid w:val="00920051"/>
    <w:rsid w:val="00920257"/>
    <w:rsid w:val="009203EA"/>
    <w:rsid w:val="00920444"/>
    <w:rsid w:val="00920474"/>
    <w:rsid w:val="00920558"/>
    <w:rsid w:val="009206EF"/>
    <w:rsid w:val="009207D8"/>
    <w:rsid w:val="00920953"/>
    <w:rsid w:val="009209ED"/>
    <w:rsid w:val="009209F6"/>
    <w:rsid w:val="00920A59"/>
    <w:rsid w:val="00920A5A"/>
    <w:rsid w:val="00920AAB"/>
    <w:rsid w:val="00920B3E"/>
    <w:rsid w:val="00920BA4"/>
    <w:rsid w:val="00920C4E"/>
    <w:rsid w:val="00920CEA"/>
    <w:rsid w:val="00920CF9"/>
    <w:rsid w:val="00920D63"/>
    <w:rsid w:val="00920DA9"/>
    <w:rsid w:val="00920E65"/>
    <w:rsid w:val="00920EA7"/>
    <w:rsid w:val="00920F15"/>
    <w:rsid w:val="00920F4E"/>
    <w:rsid w:val="00920F93"/>
    <w:rsid w:val="009210D5"/>
    <w:rsid w:val="009210EA"/>
    <w:rsid w:val="0092114F"/>
    <w:rsid w:val="009211AC"/>
    <w:rsid w:val="009211B5"/>
    <w:rsid w:val="009211CF"/>
    <w:rsid w:val="009213F2"/>
    <w:rsid w:val="00921452"/>
    <w:rsid w:val="009214D2"/>
    <w:rsid w:val="00921575"/>
    <w:rsid w:val="0092181D"/>
    <w:rsid w:val="00921960"/>
    <w:rsid w:val="00921A41"/>
    <w:rsid w:val="00921A4E"/>
    <w:rsid w:val="00921C43"/>
    <w:rsid w:val="00921D4B"/>
    <w:rsid w:val="00921D84"/>
    <w:rsid w:val="00921DC2"/>
    <w:rsid w:val="00922192"/>
    <w:rsid w:val="0092226A"/>
    <w:rsid w:val="009222D1"/>
    <w:rsid w:val="0092233E"/>
    <w:rsid w:val="0092235A"/>
    <w:rsid w:val="00922475"/>
    <w:rsid w:val="009224AA"/>
    <w:rsid w:val="009224B6"/>
    <w:rsid w:val="00922641"/>
    <w:rsid w:val="00922646"/>
    <w:rsid w:val="0092277A"/>
    <w:rsid w:val="0092280C"/>
    <w:rsid w:val="0092295E"/>
    <w:rsid w:val="009229C7"/>
    <w:rsid w:val="00922A96"/>
    <w:rsid w:val="00922C76"/>
    <w:rsid w:val="00922DC7"/>
    <w:rsid w:val="00922DF9"/>
    <w:rsid w:val="00922E56"/>
    <w:rsid w:val="00922E6C"/>
    <w:rsid w:val="00922ECE"/>
    <w:rsid w:val="00922EF3"/>
    <w:rsid w:val="009231E2"/>
    <w:rsid w:val="009232A9"/>
    <w:rsid w:val="00923382"/>
    <w:rsid w:val="009233B1"/>
    <w:rsid w:val="009233CC"/>
    <w:rsid w:val="009233E1"/>
    <w:rsid w:val="0092343F"/>
    <w:rsid w:val="009234CE"/>
    <w:rsid w:val="00923679"/>
    <w:rsid w:val="009236B3"/>
    <w:rsid w:val="009237F9"/>
    <w:rsid w:val="0092389F"/>
    <w:rsid w:val="009238C4"/>
    <w:rsid w:val="00923A50"/>
    <w:rsid w:val="00923A9F"/>
    <w:rsid w:val="00923AC8"/>
    <w:rsid w:val="00923B0A"/>
    <w:rsid w:val="00923B29"/>
    <w:rsid w:val="00923B6C"/>
    <w:rsid w:val="00923C19"/>
    <w:rsid w:val="00923C35"/>
    <w:rsid w:val="00923DE0"/>
    <w:rsid w:val="00923E7C"/>
    <w:rsid w:val="00923E87"/>
    <w:rsid w:val="00923EDE"/>
    <w:rsid w:val="00923EED"/>
    <w:rsid w:val="00923EF2"/>
    <w:rsid w:val="00923F47"/>
    <w:rsid w:val="00923FA9"/>
    <w:rsid w:val="00924081"/>
    <w:rsid w:val="009240E7"/>
    <w:rsid w:val="00924190"/>
    <w:rsid w:val="0092420F"/>
    <w:rsid w:val="009243A5"/>
    <w:rsid w:val="009243C1"/>
    <w:rsid w:val="00924589"/>
    <w:rsid w:val="009246B7"/>
    <w:rsid w:val="0092482A"/>
    <w:rsid w:val="0092482E"/>
    <w:rsid w:val="0092486E"/>
    <w:rsid w:val="0092488A"/>
    <w:rsid w:val="00924900"/>
    <w:rsid w:val="00924B86"/>
    <w:rsid w:val="00924C08"/>
    <w:rsid w:val="00924C95"/>
    <w:rsid w:val="00924D25"/>
    <w:rsid w:val="00924D5E"/>
    <w:rsid w:val="00924ED6"/>
    <w:rsid w:val="00924F21"/>
    <w:rsid w:val="00924F6A"/>
    <w:rsid w:val="00924FCA"/>
    <w:rsid w:val="00924FF1"/>
    <w:rsid w:val="00925046"/>
    <w:rsid w:val="0092507E"/>
    <w:rsid w:val="009250B8"/>
    <w:rsid w:val="009251EF"/>
    <w:rsid w:val="00925201"/>
    <w:rsid w:val="00925209"/>
    <w:rsid w:val="00925302"/>
    <w:rsid w:val="00925303"/>
    <w:rsid w:val="009255B8"/>
    <w:rsid w:val="009255E9"/>
    <w:rsid w:val="009256B5"/>
    <w:rsid w:val="009256CD"/>
    <w:rsid w:val="0092574A"/>
    <w:rsid w:val="0092583B"/>
    <w:rsid w:val="00925921"/>
    <w:rsid w:val="00925945"/>
    <w:rsid w:val="0092597E"/>
    <w:rsid w:val="00925A9C"/>
    <w:rsid w:val="00925BFB"/>
    <w:rsid w:val="00925DBD"/>
    <w:rsid w:val="00925E0A"/>
    <w:rsid w:val="00925E15"/>
    <w:rsid w:val="00925E6C"/>
    <w:rsid w:val="0092609B"/>
    <w:rsid w:val="009260D3"/>
    <w:rsid w:val="009261A4"/>
    <w:rsid w:val="009261EA"/>
    <w:rsid w:val="00926261"/>
    <w:rsid w:val="0092626A"/>
    <w:rsid w:val="00926363"/>
    <w:rsid w:val="0092641D"/>
    <w:rsid w:val="009264AA"/>
    <w:rsid w:val="00926526"/>
    <w:rsid w:val="009265AE"/>
    <w:rsid w:val="009265FE"/>
    <w:rsid w:val="00926740"/>
    <w:rsid w:val="00926852"/>
    <w:rsid w:val="009268A7"/>
    <w:rsid w:val="00926928"/>
    <w:rsid w:val="009269A9"/>
    <w:rsid w:val="00926ADC"/>
    <w:rsid w:val="00926AF8"/>
    <w:rsid w:val="00926B2C"/>
    <w:rsid w:val="00926C1D"/>
    <w:rsid w:val="00926CFD"/>
    <w:rsid w:val="00926DE3"/>
    <w:rsid w:val="00926E68"/>
    <w:rsid w:val="00926E82"/>
    <w:rsid w:val="00926EC0"/>
    <w:rsid w:val="00926F1B"/>
    <w:rsid w:val="00927045"/>
    <w:rsid w:val="00927099"/>
    <w:rsid w:val="009270E1"/>
    <w:rsid w:val="0092723A"/>
    <w:rsid w:val="00927322"/>
    <w:rsid w:val="009273B3"/>
    <w:rsid w:val="00927481"/>
    <w:rsid w:val="009274C7"/>
    <w:rsid w:val="009277DC"/>
    <w:rsid w:val="00927891"/>
    <w:rsid w:val="009278B0"/>
    <w:rsid w:val="00927966"/>
    <w:rsid w:val="00927A03"/>
    <w:rsid w:val="00927A0A"/>
    <w:rsid w:val="00927B70"/>
    <w:rsid w:val="00927BB8"/>
    <w:rsid w:val="00927BE5"/>
    <w:rsid w:val="00927EC7"/>
    <w:rsid w:val="00927F75"/>
    <w:rsid w:val="00927FC5"/>
    <w:rsid w:val="00927FEB"/>
    <w:rsid w:val="009300EE"/>
    <w:rsid w:val="0093011E"/>
    <w:rsid w:val="0093022B"/>
    <w:rsid w:val="00930284"/>
    <w:rsid w:val="00930398"/>
    <w:rsid w:val="009303F1"/>
    <w:rsid w:val="009304FB"/>
    <w:rsid w:val="00930580"/>
    <w:rsid w:val="00930667"/>
    <w:rsid w:val="0093087C"/>
    <w:rsid w:val="00930B25"/>
    <w:rsid w:val="00930BDD"/>
    <w:rsid w:val="00930C12"/>
    <w:rsid w:val="00930D23"/>
    <w:rsid w:val="00930EE2"/>
    <w:rsid w:val="00930F24"/>
    <w:rsid w:val="00931005"/>
    <w:rsid w:val="00931064"/>
    <w:rsid w:val="009310E0"/>
    <w:rsid w:val="00931234"/>
    <w:rsid w:val="00931276"/>
    <w:rsid w:val="0093132D"/>
    <w:rsid w:val="009313A4"/>
    <w:rsid w:val="00931414"/>
    <w:rsid w:val="00931548"/>
    <w:rsid w:val="00931721"/>
    <w:rsid w:val="0093173D"/>
    <w:rsid w:val="009317D1"/>
    <w:rsid w:val="00931822"/>
    <w:rsid w:val="0093187E"/>
    <w:rsid w:val="009318B6"/>
    <w:rsid w:val="009319BA"/>
    <w:rsid w:val="009319D3"/>
    <w:rsid w:val="009319FA"/>
    <w:rsid w:val="00931B24"/>
    <w:rsid w:val="00931CC7"/>
    <w:rsid w:val="00931D1A"/>
    <w:rsid w:val="00931D46"/>
    <w:rsid w:val="00931F01"/>
    <w:rsid w:val="00931F37"/>
    <w:rsid w:val="009320E0"/>
    <w:rsid w:val="0093217D"/>
    <w:rsid w:val="009321DC"/>
    <w:rsid w:val="009321E3"/>
    <w:rsid w:val="009324A0"/>
    <w:rsid w:val="00932526"/>
    <w:rsid w:val="00932527"/>
    <w:rsid w:val="009326A2"/>
    <w:rsid w:val="009326DA"/>
    <w:rsid w:val="009326EA"/>
    <w:rsid w:val="009329A9"/>
    <w:rsid w:val="00932B24"/>
    <w:rsid w:val="00932B87"/>
    <w:rsid w:val="00932CA1"/>
    <w:rsid w:val="00932CB6"/>
    <w:rsid w:val="00932D3C"/>
    <w:rsid w:val="00932D3D"/>
    <w:rsid w:val="00932D49"/>
    <w:rsid w:val="00932DED"/>
    <w:rsid w:val="00932EAE"/>
    <w:rsid w:val="00932FB0"/>
    <w:rsid w:val="0093305D"/>
    <w:rsid w:val="00933063"/>
    <w:rsid w:val="00933065"/>
    <w:rsid w:val="00933141"/>
    <w:rsid w:val="00933190"/>
    <w:rsid w:val="00933257"/>
    <w:rsid w:val="009332DF"/>
    <w:rsid w:val="0093332D"/>
    <w:rsid w:val="009333A9"/>
    <w:rsid w:val="009333C6"/>
    <w:rsid w:val="00933490"/>
    <w:rsid w:val="009334C0"/>
    <w:rsid w:val="00933619"/>
    <w:rsid w:val="009337EF"/>
    <w:rsid w:val="009338C6"/>
    <w:rsid w:val="00933999"/>
    <w:rsid w:val="00933BD1"/>
    <w:rsid w:val="00933E30"/>
    <w:rsid w:val="00933F25"/>
    <w:rsid w:val="00934331"/>
    <w:rsid w:val="00934466"/>
    <w:rsid w:val="009344D8"/>
    <w:rsid w:val="009344E0"/>
    <w:rsid w:val="0093452C"/>
    <w:rsid w:val="009345E1"/>
    <w:rsid w:val="009345F5"/>
    <w:rsid w:val="0093470A"/>
    <w:rsid w:val="0093473D"/>
    <w:rsid w:val="00934814"/>
    <w:rsid w:val="00934854"/>
    <w:rsid w:val="00934945"/>
    <w:rsid w:val="0093495A"/>
    <w:rsid w:val="00934C62"/>
    <w:rsid w:val="00934E33"/>
    <w:rsid w:val="00935075"/>
    <w:rsid w:val="009350B7"/>
    <w:rsid w:val="009350F5"/>
    <w:rsid w:val="0093513F"/>
    <w:rsid w:val="0093523F"/>
    <w:rsid w:val="009353C8"/>
    <w:rsid w:val="0093541F"/>
    <w:rsid w:val="009355F1"/>
    <w:rsid w:val="0093569F"/>
    <w:rsid w:val="009356C1"/>
    <w:rsid w:val="0093574C"/>
    <w:rsid w:val="0093583F"/>
    <w:rsid w:val="009359D4"/>
    <w:rsid w:val="00935BA1"/>
    <w:rsid w:val="00935C19"/>
    <w:rsid w:val="00935C96"/>
    <w:rsid w:val="00935CC9"/>
    <w:rsid w:val="00935D44"/>
    <w:rsid w:val="00935EFA"/>
    <w:rsid w:val="00935F6E"/>
    <w:rsid w:val="00936007"/>
    <w:rsid w:val="00936065"/>
    <w:rsid w:val="0093614D"/>
    <w:rsid w:val="0093617B"/>
    <w:rsid w:val="009362B6"/>
    <w:rsid w:val="009362BA"/>
    <w:rsid w:val="00936310"/>
    <w:rsid w:val="0093632A"/>
    <w:rsid w:val="0093638E"/>
    <w:rsid w:val="00936550"/>
    <w:rsid w:val="00936571"/>
    <w:rsid w:val="00936575"/>
    <w:rsid w:val="00936595"/>
    <w:rsid w:val="00936681"/>
    <w:rsid w:val="009366EC"/>
    <w:rsid w:val="009366FB"/>
    <w:rsid w:val="009367B1"/>
    <w:rsid w:val="0093682D"/>
    <w:rsid w:val="0093683B"/>
    <w:rsid w:val="00936887"/>
    <w:rsid w:val="009369D3"/>
    <w:rsid w:val="00936AD8"/>
    <w:rsid w:val="00936AF7"/>
    <w:rsid w:val="00936BE9"/>
    <w:rsid w:val="00936C1D"/>
    <w:rsid w:val="00936C56"/>
    <w:rsid w:val="00936CA4"/>
    <w:rsid w:val="00936CC9"/>
    <w:rsid w:val="00936CD4"/>
    <w:rsid w:val="00936DA2"/>
    <w:rsid w:val="00936EC0"/>
    <w:rsid w:val="00936EC8"/>
    <w:rsid w:val="00936F2E"/>
    <w:rsid w:val="00936FAD"/>
    <w:rsid w:val="00937281"/>
    <w:rsid w:val="009373B5"/>
    <w:rsid w:val="009373C1"/>
    <w:rsid w:val="009373C7"/>
    <w:rsid w:val="00937503"/>
    <w:rsid w:val="0093771D"/>
    <w:rsid w:val="00937897"/>
    <w:rsid w:val="009378AB"/>
    <w:rsid w:val="00937B2E"/>
    <w:rsid w:val="00937BC1"/>
    <w:rsid w:val="00937BE8"/>
    <w:rsid w:val="00937C5C"/>
    <w:rsid w:val="00937CFA"/>
    <w:rsid w:val="00937D74"/>
    <w:rsid w:val="00937E5D"/>
    <w:rsid w:val="00937F6F"/>
    <w:rsid w:val="00937FAC"/>
    <w:rsid w:val="00937FEB"/>
    <w:rsid w:val="00937FEE"/>
    <w:rsid w:val="00940027"/>
    <w:rsid w:val="009400DE"/>
    <w:rsid w:val="00940255"/>
    <w:rsid w:val="00940276"/>
    <w:rsid w:val="009402F2"/>
    <w:rsid w:val="00940377"/>
    <w:rsid w:val="0094037A"/>
    <w:rsid w:val="009403BA"/>
    <w:rsid w:val="0094041A"/>
    <w:rsid w:val="00940457"/>
    <w:rsid w:val="00940767"/>
    <w:rsid w:val="0094076B"/>
    <w:rsid w:val="009407F6"/>
    <w:rsid w:val="00940865"/>
    <w:rsid w:val="0094094A"/>
    <w:rsid w:val="0094097A"/>
    <w:rsid w:val="0094098A"/>
    <w:rsid w:val="00940A14"/>
    <w:rsid w:val="00940A30"/>
    <w:rsid w:val="00940AA6"/>
    <w:rsid w:val="00940BB8"/>
    <w:rsid w:val="00940D84"/>
    <w:rsid w:val="00940F55"/>
    <w:rsid w:val="00941028"/>
    <w:rsid w:val="0094105F"/>
    <w:rsid w:val="009410B6"/>
    <w:rsid w:val="009410E0"/>
    <w:rsid w:val="00941139"/>
    <w:rsid w:val="0094117D"/>
    <w:rsid w:val="00941195"/>
    <w:rsid w:val="009411FE"/>
    <w:rsid w:val="00941253"/>
    <w:rsid w:val="0094146A"/>
    <w:rsid w:val="009414D0"/>
    <w:rsid w:val="00941587"/>
    <w:rsid w:val="00941649"/>
    <w:rsid w:val="00941757"/>
    <w:rsid w:val="00941884"/>
    <w:rsid w:val="00941991"/>
    <w:rsid w:val="00941A67"/>
    <w:rsid w:val="00941AAE"/>
    <w:rsid w:val="00941B0B"/>
    <w:rsid w:val="00941B68"/>
    <w:rsid w:val="00941C29"/>
    <w:rsid w:val="00941CA1"/>
    <w:rsid w:val="00941DAF"/>
    <w:rsid w:val="00941EA5"/>
    <w:rsid w:val="00941F77"/>
    <w:rsid w:val="009420A7"/>
    <w:rsid w:val="00942233"/>
    <w:rsid w:val="009422DD"/>
    <w:rsid w:val="0094235C"/>
    <w:rsid w:val="00942468"/>
    <w:rsid w:val="00942645"/>
    <w:rsid w:val="00942651"/>
    <w:rsid w:val="009426C2"/>
    <w:rsid w:val="00942760"/>
    <w:rsid w:val="0094281F"/>
    <w:rsid w:val="0094282D"/>
    <w:rsid w:val="0094291C"/>
    <w:rsid w:val="009429DA"/>
    <w:rsid w:val="00942A55"/>
    <w:rsid w:val="00942AAE"/>
    <w:rsid w:val="00942E11"/>
    <w:rsid w:val="00942E35"/>
    <w:rsid w:val="00942EA3"/>
    <w:rsid w:val="00942F57"/>
    <w:rsid w:val="00942F64"/>
    <w:rsid w:val="0094319A"/>
    <w:rsid w:val="00943280"/>
    <w:rsid w:val="009432C9"/>
    <w:rsid w:val="009433C0"/>
    <w:rsid w:val="0094343C"/>
    <w:rsid w:val="0094347E"/>
    <w:rsid w:val="00943550"/>
    <w:rsid w:val="00943561"/>
    <w:rsid w:val="00943647"/>
    <w:rsid w:val="0094364F"/>
    <w:rsid w:val="0094372A"/>
    <w:rsid w:val="0094379F"/>
    <w:rsid w:val="0094390A"/>
    <w:rsid w:val="009439A7"/>
    <w:rsid w:val="00943B1A"/>
    <w:rsid w:val="00943B53"/>
    <w:rsid w:val="00943C16"/>
    <w:rsid w:val="00943C6A"/>
    <w:rsid w:val="00943CF7"/>
    <w:rsid w:val="00943DD6"/>
    <w:rsid w:val="00943EEA"/>
    <w:rsid w:val="00943F2E"/>
    <w:rsid w:val="009441EC"/>
    <w:rsid w:val="00944241"/>
    <w:rsid w:val="00944775"/>
    <w:rsid w:val="00944938"/>
    <w:rsid w:val="009449B7"/>
    <w:rsid w:val="00944B97"/>
    <w:rsid w:val="00944BAD"/>
    <w:rsid w:val="00944BC8"/>
    <w:rsid w:val="00944D8D"/>
    <w:rsid w:val="00944F70"/>
    <w:rsid w:val="00944FF9"/>
    <w:rsid w:val="0094516B"/>
    <w:rsid w:val="009453D4"/>
    <w:rsid w:val="00945723"/>
    <w:rsid w:val="00945778"/>
    <w:rsid w:val="00945927"/>
    <w:rsid w:val="00945AA3"/>
    <w:rsid w:val="00945AC7"/>
    <w:rsid w:val="00945BBA"/>
    <w:rsid w:val="00945CD7"/>
    <w:rsid w:val="00945D9A"/>
    <w:rsid w:val="00945F18"/>
    <w:rsid w:val="00946210"/>
    <w:rsid w:val="00946247"/>
    <w:rsid w:val="0094626B"/>
    <w:rsid w:val="009462D4"/>
    <w:rsid w:val="00946337"/>
    <w:rsid w:val="00946339"/>
    <w:rsid w:val="009463D1"/>
    <w:rsid w:val="00946452"/>
    <w:rsid w:val="00946549"/>
    <w:rsid w:val="00946639"/>
    <w:rsid w:val="00946675"/>
    <w:rsid w:val="00946693"/>
    <w:rsid w:val="0094669D"/>
    <w:rsid w:val="009467A6"/>
    <w:rsid w:val="00946824"/>
    <w:rsid w:val="009468A8"/>
    <w:rsid w:val="0094697F"/>
    <w:rsid w:val="00946AE2"/>
    <w:rsid w:val="00946B2E"/>
    <w:rsid w:val="00946B80"/>
    <w:rsid w:val="00946C89"/>
    <w:rsid w:val="00946CA2"/>
    <w:rsid w:val="00946CC5"/>
    <w:rsid w:val="00946D10"/>
    <w:rsid w:val="00946DEE"/>
    <w:rsid w:val="00946EEC"/>
    <w:rsid w:val="00946FA7"/>
    <w:rsid w:val="0094701E"/>
    <w:rsid w:val="00947040"/>
    <w:rsid w:val="00947047"/>
    <w:rsid w:val="00947858"/>
    <w:rsid w:val="0094789B"/>
    <w:rsid w:val="00947906"/>
    <w:rsid w:val="00947919"/>
    <w:rsid w:val="009479E0"/>
    <w:rsid w:val="00947B32"/>
    <w:rsid w:val="00947B7C"/>
    <w:rsid w:val="00947C4F"/>
    <w:rsid w:val="00947CE3"/>
    <w:rsid w:val="00947D04"/>
    <w:rsid w:val="00947D74"/>
    <w:rsid w:val="00947FE5"/>
    <w:rsid w:val="009500C3"/>
    <w:rsid w:val="00950205"/>
    <w:rsid w:val="0095039A"/>
    <w:rsid w:val="0095059A"/>
    <w:rsid w:val="009505A4"/>
    <w:rsid w:val="009505B8"/>
    <w:rsid w:val="00950659"/>
    <w:rsid w:val="009507AB"/>
    <w:rsid w:val="0095084A"/>
    <w:rsid w:val="00950A3D"/>
    <w:rsid w:val="00950A76"/>
    <w:rsid w:val="00950BD2"/>
    <w:rsid w:val="00950BE6"/>
    <w:rsid w:val="00950C0A"/>
    <w:rsid w:val="00950C97"/>
    <w:rsid w:val="00950D77"/>
    <w:rsid w:val="00950F16"/>
    <w:rsid w:val="00950F4B"/>
    <w:rsid w:val="009510ED"/>
    <w:rsid w:val="0095120E"/>
    <w:rsid w:val="0095121A"/>
    <w:rsid w:val="00951372"/>
    <w:rsid w:val="009513ED"/>
    <w:rsid w:val="0095141F"/>
    <w:rsid w:val="0095177F"/>
    <w:rsid w:val="00951845"/>
    <w:rsid w:val="0095187B"/>
    <w:rsid w:val="0095197E"/>
    <w:rsid w:val="00951996"/>
    <w:rsid w:val="009519EF"/>
    <w:rsid w:val="009519F0"/>
    <w:rsid w:val="009519FE"/>
    <w:rsid w:val="00951A06"/>
    <w:rsid w:val="00951A0F"/>
    <w:rsid w:val="00951CC7"/>
    <w:rsid w:val="00951D47"/>
    <w:rsid w:val="00951E5C"/>
    <w:rsid w:val="00951E76"/>
    <w:rsid w:val="00951F16"/>
    <w:rsid w:val="00951F5F"/>
    <w:rsid w:val="0095209C"/>
    <w:rsid w:val="009520EF"/>
    <w:rsid w:val="00952186"/>
    <w:rsid w:val="009521BC"/>
    <w:rsid w:val="0095221A"/>
    <w:rsid w:val="00952270"/>
    <w:rsid w:val="00952318"/>
    <w:rsid w:val="0095234E"/>
    <w:rsid w:val="009523E2"/>
    <w:rsid w:val="009524AB"/>
    <w:rsid w:val="009525E3"/>
    <w:rsid w:val="0095272C"/>
    <w:rsid w:val="00952797"/>
    <w:rsid w:val="009527D0"/>
    <w:rsid w:val="00952AA5"/>
    <w:rsid w:val="00952B2C"/>
    <w:rsid w:val="00952B65"/>
    <w:rsid w:val="00952B99"/>
    <w:rsid w:val="00952C39"/>
    <w:rsid w:val="00952CF7"/>
    <w:rsid w:val="00952D50"/>
    <w:rsid w:val="00952DA5"/>
    <w:rsid w:val="00952ED2"/>
    <w:rsid w:val="00952FF6"/>
    <w:rsid w:val="0095309A"/>
    <w:rsid w:val="009530C2"/>
    <w:rsid w:val="0095313F"/>
    <w:rsid w:val="00953323"/>
    <w:rsid w:val="00953378"/>
    <w:rsid w:val="00953630"/>
    <w:rsid w:val="009537BA"/>
    <w:rsid w:val="00953837"/>
    <w:rsid w:val="0095389E"/>
    <w:rsid w:val="0095390D"/>
    <w:rsid w:val="00953933"/>
    <w:rsid w:val="00953B18"/>
    <w:rsid w:val="00953B42"/>
    <w:rsid w:val="00953B54"/>
    <w:rsid w:val="00953C41"/>
    <w:rsid w:val="00953C74"/>
    <w:rsid w:val="00953E36"/>
    <w:rsid w:val="00953E4C"/>
    <w:rsid w:val="00953FDE"/>
    <w:rsid w:val="009541DC"/>
    <w:rsid w:val="00954231"/>
    <w:rsid w:val="00954389"/>
    <w:rsid w:val="009543E7"/>
    <w:rsid w:val="00954476"/>
    <w:rsid w:val="00954517"/>
    <w:rsid w:val="00954641"/>
    <w:rsid w:val="0095468A"/>
    <w:rsid w:val="0095469F"/>
    <w:rsid w:val="009546EE"/>
    <w:rsid w:val="0095473D"/>
    <w:rsid w:val="009547B2"/>
    <w:rsid w:val="0095481C"/>
    <w:rsid w:val="009548CA"/>
    <w:rsid w:val="00954A39"/>
    <w:rsid w:val="00954B5E"/>
    <w:rsid w:val="00954C66"/>
    <w:rsid w:val="00954CAF"/>
    <w:rsid w:val="00954D7A"/>
    <w:rsid w:val="00954DEA"/>
    <w:rsid w:val="00954F3B"/>
    <w:rsid w:val="00955037"/>
    <w:rsid w:val="0095504D"/>
    <w:rsid w:val="00955106"/>
    <w:rsid w:val="0095511E"/>
    <w:rsid w:val="009551E4"/>
    <w:rsid w:val="00955289"/>
    <w:rsid w:val="009552D7"/>
    <w:rsid w:val="009554E3"/>
    <w:rsid w:val="009556C7"/>
    <w:rsid w:val="00955852"/>
    <w:rsid w:val="00955854"/>
    <w:rsid w:val="00955966"/>
    <w:rsid w:val="00955A0C"/>
    <w:rsid w:val="00955A62"/>
    <w:rsid w:val="00955B59"/>
    <w:rsid w:val="00955C07"/>
    <w:rsid w:val="00955DE0"/>
    <w:rsid w:val="00955DEC"/>
    <w:rsid w:val="00955E18"/>
    <w:rsid w:val="00955E3B"/>
    <w:rsid w:val="00955ECD"/>
    <w:rsid w:val="00955EE5"/>
    <w:rsid w:val="00956085"/>
    <w:rsid w:val="00956272"/>
    <w:rsid w:val="009562BD"/>
    <w:rsid w:val="0095633F"/>
    <w:rsid w:val="00956341"/>
    <w:rsid w:val="0095639D"/>
    <w:rsid w:val="009564E7"/>
    <w:rsid w:val="00956503"/>
    <w:rsid w:val="00956618"/>
    <w:rsid w:val="0095668F"/>
    <w:rsid w:val="009568EC"/>
    <w:rsid w:val="009569EB"/>
    <w:rsid w:val="00956AB3"/>
    <w:rsid w:val="00956B2A"/>
    <w:rsid w:val="00956DCB"/>
    <w:rsid w:val="00956E61"/>
    <w:rsid w:val="00956F1F"/>
    <w:rsid w:val="00956F43"/>
    <w:rsid w:val="009570B8"/>
    <w:rsid w:val="009570DF"/>
    <w:rsid w:val="009572D5"/>
    <w:rsid w:val="00957356"/>
    <w:rsid w:val="00957371"/>
    <w:rsid w:val="00957385"/>
    <w:rsid w:val="0095739D"/>
    <w:rsid w:val="00957525"/>
    <w:rsid w:val="00957542"/>
    <w:rsid w:val="00957598"/>
    <w:rsid w:val="009577A5"/>
    <w:rsid w:val="009577DA"/>
    <w:rsid w:val="00957A7D"/>
    <w:rsid w:val="00957AD6"/>
    <w:rsid w:val="00957B3A"/>
    <w:rsid w:val="00957CF5"/>
    <w:rsid w:val="00957DCA"/>
    <w:rsid w:val="00957EE0"/>
    <w:rsid w:val="00957F13"/>
    <w:rsid w:val="00957FB4"/>
    <w:rsid w:val="00957FC7"/>
    <w:rsid w:val="0096000C"/>
    <w:rsid w:val="00960049"/>
    <w:rsid w:val="00960088"/>
    <w:rsid w:val="0096018F"/>
    <w:rsid w:val="009601F9"/>
    <w:rsid w:val="00960277"/>
    <w:rsid w:val="009603D1"/>
    <w:rsid w:val="00960458"/>
    <w:rsid w:val="00960531"/>
    <w:rsid w:val="009605F3"/>
    <w:rsid w:val="0096064A"/>
    <w:rsid w:val="00960675"/>
    <w:rsid w:val="0096070A"/>
    <w:rsid w:val="009607FD"/>
    <w:rsid w:val="00960835"/>
    <w:rsid w:val="00960884"/>
    <w:rsid w:val="00960BC7"/>
    <w:rsid w:val="00960BE3"/>
    <w:rsid w:val="00960C8C"/>
    <w:rsid w:val="00960CF3"/>
    <w:rsid w:val="00960D1A"/>
    <w:rsid w:val="00960E48"/>
    <w:rsid w:val="00960ECB"/>
    <w:rsid w:val="009610AB"/>
    <w:rsid w:val="009610B7"/>
    <w:rsid w:val="00961148"/>
    <w:rsid w:val="009611EF"/>
    <w:rsid w:val="009611F7"/>
    <w:rsid w:val="009612FA"/>
    <w:rsid w:val="00961328"/>
    <w:rsid w:val="009613B3"/>
    <w:rsid w:val="00961401"/>
    <w:rsid w:val="009614A2"/>
    <w:rsid w:val="00961522"/>
    <w:rsid w:val="009615C2"/>
    <w:rsid w:val="0096173E"/>
    <w:rsid w:val="00961769"/>
    <w:rsid w:val="0096180D"/>
    <w:rsid w:val="0096190B"/>
    <w:rsid w:val="00961ABC"/>
    <w:rsid w:val="00961B37"/>
    <w:rsid w:val="00961C7F"/>
    <w:rsid w:val="00961D7E"/>
    <w:rsid w:val="00961D7F"/>
    <w:rsid w:val="00961D85"/>
    <w:rsid w:val="00961EA7"/>
    <w:rsid w:val="00961EB0"/>
    <w:rsid w:val="0096215F"/>
    <w:rsid w:val="009621A0"/>
    <w:rsid w:val="009621B7"/>
    <w:rsid w:val="0096221A"/>
    <w:rsid w:val="00962430"/>
    <w:rsid w:val="0096253A"/>
    <w:rsid w:val="009625BD"/>
    <w:rsid w:val="009626C4"/>
    <w:rsid w:val="0096273C"/>
    <w:rsid w:val="00962835"/>
    <w:rsid w:val="0096299B"/>
    <w:rsid w:val="0096299F"/>
    <w:rsid w:val="00962A0D"/>
    <w:rsid w:val="00962A8B"/>
    <w:rsid w:val="00962AC4"/>
    <w:rsid w:val="00962BBB"/>
    <w:rsid w:val="00962BC8"/>
    <w:rsid w:val="00962D83"/>
    <w:rsid w:val="00962D9C"/>
    <w:rsid w:val="00962E5E"/>
    <w:rsid w:val="00963143"/>
    <w:rsid w:val="0096324F"/>
    <w:rsid w:val="00963286"/>
    <w:rsid w:val="00963292"/>
    <w:rsid w:val="009634A3"/>
    <w:rsid w:val="00963501"/>
    <w:rsid w:val="00963712"/>
    <w:rsid w:val="00963790"/>
    <w:rsid w:val="00963859"/>
    <w:rsid w:val="0096389F"/>
    <w:rsid w:val="009638A8"/>
    <w:rsid w:val="0096398E"/>
    <w:rsid w:val="009639D9"/>
    <w:rsid w:val="00963A74"/>
    <w:rsid w:val="00963A9B"/>
    <w:rsid w:val="00963AB3"/>
    <w:rsid w:val="00963ACE"/>
    <w:rsid w:val="00963B01"/>
    <w:rsid w:val="00963B7D"/>
    <w:rsid w:val="00963BE4"/>
    <w:rsid w:val="00963C94"/>
    <w:rsid w:val="00963CAA"/>
    <w:rsid w:val="00963CB5"/>
    <w:rsid w:val="00963D63"/>
    <w:rsid w:val="00963EEA"/>
    <w:rsid w:val="00963F62"/>
    <w:rsid w:val="00963F93"/>
    <w:rsid w:val="00964028"/>
    <w:rsid w:val="00964076"/>
    <w:rsid w:val="0096415B"/>
    <w:rsid w:val="0096439A"/>
    <w:rsid w:val="009643CF"/>
    <w:rsid w:val="0096443E"/>
    <w:rsid w:val="00964489"/>
    <w:rsid w:val="009644C6"/>
    <w:rsid w:val="00964529"/>
    <w:rsid w:val="0096456F"/>
    <w:rsid w:val="00964609"/>
    <w:rsid w:val="00964737"/>
    <w:rsid w:val="00964745"/>
    <w:rsid w:val="0096484C"/>
    <w:rsid w:val="0096495E"/>
    <w:rsid w:val="009649ED"/>
    <w:rsid w:val="00964A29"/>
    <w:rsid w:val="00964DFA"/>
    <w:rsid w:val="00964E76"/>
    <w:rsid w:val="00964EAF"/>
    <w:rsid w:val="00964F1C"/>
    <w:rsid w:val="00964F94"/>
    <w:rsid w:val="00964FBF"/>
    <w:rsid w:val="00964FCA"/>
    <w:rsid w:val="00965059"/>
    <w:rsid w:val="009650AE"/>
    <w:rsid w:val="00965148"/>
    <w:rsid w:val="00965273"/>
    <w:rsid w:val="00965344"/>
    <w:rsid w:val="00965367"/>
    <w:rsid w:val="0096538C"/>
    <w:rsid w:val="009653CE"/>
    <w:rsid w:val="009653D8"/>
    <w:rsid w:val="00965633"/>
    <w:rsid w:val="00965712"/>
    <w:rsid w:val="0096572B"/>
    <w:rsid w:val="009657F6"/>
    <w:rsid w:val="009658FF"/>
    <w:rsid w:val="0096595E"/>
    <w:rsid w:val="00965A1C"/>
    <w:rsid w:val="00965BB3"/>
    <w:rsid w:val="00965C37"/>
    <w:rsid w:val="00965E0B"/>
    <w:rsid w:val="00966050"/>
    <w:rsid w:val="009660A9"/>
    <w:rsid w:val="0096623C"/>
    <w:rsid w:val="00966518"/>
    <w:rsid w:val="009668E4"/>
    <w:rsid w:val="009668ED"/>
    <w:rsid w:val="009669E9"/>
    <w:rsid w:val="00966A8A"/>
    <w:rsid w:val="00966ABB"/>
    <w:rsid w:val="00966AC3"/>
    <w:rsid w:val="00966BF9"/>
    <w:rsid w:val="00966CA3"/>
    <w:rsid w:val="00966D9F"/>
    <w:rsid w:val="00966DF1"/>
    <w:rsid w:val="00966E43"/>
    <w:rsid w:val="00966F43"/>
    <w:rsid w:val="00966FD1"/>
    <w:rsid w:val="009670CD"/>
    <w:rsid w:val="0096710F"/>
    <w:rsid w:val="0096714A"/>
    <w:rsid w:val="00967220"/>
    <w:rsid w:val="00967252"/>
    <w:rsid w:val="00967301"/>
    <w:rsid w:val="00967421"/>
    <w:rsid w:val="0096747A"/>
    <w:rsid w:val="00967535"/>
    <w:rsid w:val="009675E0"/>
    <w:rsid w:val="009676D2"/>
    <w:rsid w:val="00967754"/>
    <w:rsid w:val="009677F5"/>
    <w:rsid w:val="009677FE"/>
    <w:rsid w:val="009678B0"/>
    <w:rsid w:val="009678D6"/>
    <w:rsid w:val="00967B34"/>
    <w:rsid w:val="00967BFF"/>
    <w:rsid w:val="00967D7C"/>
    <w:rsid w:val="00967F2D"/>
    <w:rsid w:val="00967F65"/>
    <w:rsid w:val="00970086"/>
    <w:rsid w:val="0097014F"/>
    <w:rsid w:val="009701E8"/>
    <w:rsid w:val="00970210"/>
    <w:rsid w:val="00970272"/>
    <w:rsid w:val="009702A8"/>
    <w:rsid w:val="00970771"/>
    <w:rsid w:val="009709AB"/>
    <w:rsid w:val="009709E5"/>
    <w:rsid w:val="00970A5F"/>
    <w:rsid w:val="00970AD3"/>
    <w:rsid w:val="00970B7F"/>
    <w:rsid w:val="00970D04"/>
    <w:rsid w:val="00970D68"/>
    <w:rsid w:val="00970F85"/>
    <w:rsid w:val="00970F99"/>
    <w:rsid w:val="00970F9B"/>
    <w:rsid w:val="009710E2"/>
    <w:rsid w:val="009710FA"/>
    <w:rsid w:val="009711C1"/>
    <w:rsid w:val="009711CC"/>
    <w:rsid w:val="00971230"/>
    <w:rsid w:val="00971250"/>
    <w:rsid w:val="00971258"/>
    <w:rsid w:val="0097125C"/>
    <w:rsid w:val="009712F2"/>
    <w:rsid w:val="00971458"/>
    <w:rsid w:val="0097149E"/>
    <w:rsid w:val="0097161F"/>
    <w:rsid w:val="0097181B"/>
    <w:rsid w:val="0097185E"/>
    <w:rsid w:val="009718B3"/>
    <w:rsid w:val="00971A4E"/>
    <w:rsid w:val="00971C9F"/>
    <w:rsid w:val="00971CD9"/>
    <w:rsid w:val="00971E70"/>
    <w:rsid w:val="00971E86"/>
    <w:rsid w:val="009720A3"/>
    <w:rsid w:val="00972118"/>
    <w:rsid w:val="00972292"/>
    <w:rsid w:val="00972332"/>
    <w:rsid w:val="0097235D"/>
    <w:rsid w:val="009723B3"/>
    <w:rsid w:val="009723BE"/>
    <w:rsid w:val="009723F2"/>
    <w:rsid w:val="00972501"/>
    <w:rsid w:val="009725DD"/>
    <w:rsid w:val="00972617"/>
    <w:rsid w:val="00972631"/>
    <w:rsid w:val="00972744"/>
    <w:rsid w:val="00972882"/>
    <w:rsid w:val="00972919"/>
    <w:rsid w:val="00972A35"/>
    <w:rsid w:val="00972B23"/>
    <w:rsid w:val="00972DE5"/>
    <w:rsid w:val="00972E21"/>
    <w:rsid w:val="00972E6F"/>
    <w:rsid w:val="00972E9A"/>
    <w:rsid w:val="00972F7D"/>
    <w:rsid w:val="00972FEA"/>
    <w:rsid w:val="00973004"/>
    <w:rsid w:val="00973033"/>
    <w:rsid w:val="00973183"/>
    <w:rsid w:val="00973204"/>
    <w:rsid w:val="00973231"/>
    <w:rsid w:val="00973241"/>
    <w:rsid w:val="0097332D"/>
    <w:rsid w:val="0097358F"/>
    <w:rsid w:val="009738BD"/>
    <w:rsid w:val="00973A31"/>
    <w:rsid w:val="00973BBB"/>
    <w:rsid w:val="00973CD2"/>
    <w:rsid w:val="00973CDC"/>
    <w:rsid w:val="00973DB1"/>
    <w:rsid w:val="00973EA6"/>
    <w:rsid w:val="00973EAC"/>
    <w:rsid w:val="00973F08"/>
    <w:rsid w:val="00973F41"/>
    <w:rsid w:val="00973FE6"/>
    <w:rsid w:val="009740AC"/>
    <w:rsid w:val="009741CB"/>
    <w:rsid w:val="00974260"/>
    <w:rsid w:val="009743D0"/>
    <w:rsid w:val="0097444E"/>
    <w:rsid w:val="00974492"/>
    <w:rsid w:val="00974696"/>
    <w:rsid w:val="00974701"/>
    <w:rsid w:val="0097477B"/>
    <w:rsid w:val="0097479A"/>
    <w:rsid w:val="009747BB"/>
    <w:rsid w:val="00974873"/>
    <w:rsid w:val="00974912"/>
    <w:rsid w:val="009749B1"/>
    <w:rsid w:val="009749D4"/>
    <w:rsid w:val="009749EB"/>
    <w:rsid w:val="00974A3E"/>
    <w:rsid w:val="00974BBF"/>
    <w:rsid w:val="00974D5E"/>
    <w:rsid w:val="00974DAC"/>
    <w:rsid w:val="00974EA0"/>
    <w:rsid w:val="00974EE4"/>
    <w:rsid w:val="00974F3D"/>
    <w:rsid w:val="00974FFE"/>
    <w:rsid w:val="009751A9"/>
    <w:rsid w:val="00975214"/>
    <w:rsid w:val="0097522B"/>
    <w:rsid w:val="00975340"/>
    <w:rsid w:val="0097543E"/>
    <w:rsid w:val="00975609"/>
    <w:rsid w:val="009756BC"/>
    <w:rsid w:val="00975772"/>
    <w:rsid w:val="009759BB"/>
    <w:rsid w:val="00975A4E"/>
    <w:rsid w:val="00975AEB"/>
    <w:rsid w:val="00975CBE"/>
    <w:rsid w:val="00975D6C"/>
    <w:rsid w:val="00975DC6"/>
    <w:rsid w:val="00975DCF"/>
    <w:rsid w:val="00975DD5"/>
    <w:rsid w:val="00975E30"/>
    <w:rsid w:val="00975E57"/>
    <w:rsid w:val="00975E71"/>
    <w:rsid w:val="00975E8A"/>
    <w:rsid w:val="00975F23"/>
    <w:rsid w:val="00975F7F"/>
    <w:rsid w:val="00975FB9"/>
    <w:rsid w:val="009761C1"/>
    <w:rsid w:val="00976205"/>
    <w:rsid w:val="009763A7"/>
    <w:rsid w:val="009764A3"/>
    <w:rsid w:val="00976549"/>
    <w:rsid w:val="009765D3"/>
    <w:rsid w:val="0097661A"/>
    <w:rsid w:val="0097664F"/>
    <w:rsid w:val="00976738"/>
    <w:rsid w:val="009767B2"/>
    <w:rsid w:val="009768C2"/>
    <w:rsid w:val="009768E8"/>
    <w:rsid w:val="00976AD5"/>
    <w:rsid w:val="00976BE2"/>
    <w:rsid w:val="00976D02"/>
    <w:rsid w:val="00976DFE"/>
    <w:rsid w:val="00976EB4"/>
    <w:rsid w:val="0097720E"/>
    <w:rsid w:val="0097729E"/>
    <w:rsid w:val="009772B2"/>
    <w:rsid w:val="009772BE"/>
    <w:rsid w:val="0097738F"/>
    <w:rsid w:val="00977420"/>
    <w:rsid w:val="0097756B"/>
    <w:rsid w:val="009775E1"/>
    <w:rsid w:val="00977739"/>
    <w:rsid w:val="00977989"/>
    <w:rsid w:val="00977A3A"/>
    <w:rsid w:val="00977BAD"/>
    <w:rsid w:val="00977D43"/>
    <w:rsid w:val="00977E53"/>
    <w:rsid w:val="009800B0"/>
    <w:rsid w:val="00980185"/>
    <w:rsid w:val="009801C1"/>
    <w:rsid w:val="009801E8"/>
    <w:rsid w:val="00980392"/>
    <w:rsid w:val="00980420"/>
    <w:rsid w:val="009805A3"/>
    <w:rsid w:val="009806E0"/>
    <w:rsid w:val="0098077A"/>
    <w:rsid w:val="00980919"/>
    <w:rsid w:val="0098096A"/>
    <w:rsid w:val="009809A3"/>
    <w:rsid w:val="00980A95"/>
    <w:rsid w:val="00980AC3"/>
    <w:rsid w:val="00980B2D"/>
    <w:rsid w:val="00980C1B"/>
    <w:rsid w:val="00980C5B"/>
    <w:rsid w:val="00980D41"/>
    <w:rsid w:val="00980DAB"/>
    <w:rsid w:val="00980DB3"/>
    <w:rsid w:val="00980EFB"/>
    <w:rsid w:val="00980F49"/>
    <w:rsid w:val="00980F88"/>
    <w:rsid w:val="00980F8C"/>
    <w:rsid w:val="00980FA2"/>
    <w:rsid w:val="00980FFF"/>
    <w:rsid w:val="00981132"/>
    <w:rsid w:val="0098120A"/>
    <w:rsid w:val="009812F1"/>
    <w:rsid w:val="00981334"/>
    <w:rsid w:val="00981437"/>
    <w:rsid w:val="0098144C"/>
    <w:rsid w:val="009814F6"/>
    <w:rsid w:val="009815AC"/>
    <w:rsid w:val="009815C4"/>
    <w:rsid w:val="0098183F"/>
    <w:rsid w:val="009818D2"/>
    <w:rsid w:val="00981A00"/>
    <w:rsid w:val="00981B58"/>
    <w:rsid w:val="00981BF1"/>
    <w:rsid w:val="00981C84"/>
    <w:rsid w:val="00981C95"/>
    <w:rsid w:val="00981CA0"/>
    <w:rsid w:val="00981D91"/>
    <w:rsid w:val="00981E9D"/>
    <w:rsid w:val="00981EB4"/>
    <w:rsid w:val="00981F64"/>
    <w:rsid w:val="00981FAE"/>
    <w:rsid w:val="00981FF1"/>
    <w:rsid w:val="0098200D"/>
    <w:rsid w:val="009822FF"/>
    <w:rsid w:val="00982316"/>
    <w:rsid w:val="00982710"/>
    <w:rsid w:val="00982800"/>
    <w:rsid w:val="00982835"/>
    <w:rsid w:val="009828C9"/>
    <w:rsid w:val="00982996"/>
    <w:rsid w:val="00982A8A"/>
    <w:rsid w:val="00982B94"/>
    <w:rsid w:val="00982CD6"/>
    <w:rsid w:val="00982CDF"/>
    <w:rsid w:val="00982D0F"/>
    <w:rsid w:val="00982E69"/>
    <w:rsid w:val="00983010"/>
    <w:rsid w:val="00983074"/>
    <w:rsid w:val="00983145"/>
    <w:rsid w:val="009832A9"/>
    <w:rsid w:val="00983320"/>
    <w:rsid w:val="00983351"/>
    <w:rsid w:val="00983387"/>
    <w:rsid w:val="0098345B"/>
    <w:rsid w:val="00983685"/>
    <w:rsid w:val="00983696"/>
    <w:rsid w:val="009836C7"/>
    <w:rsid w:val="009836F8"/>
    <w:rsid w:val="00983735"/>
    <w:rsid w:val="009838B1"/>
    <w:rsid w:val="00983935"/>
    <w:rsid w:val="00983ADA"/>
    <w:rsid w:val="00983BB4"/>
    <w:rsid w:val="00983C6F"/>
    <w:rsid w:val="00983D29"/>
    <w:rsid w:val="00983DE2"/>
    <w:rsid w:val="00983F5C"/>
    <w:rsid w:val="00984164"/>
    <w:rsid w:val="00984330"/>
    <w:rsid w:val="00984408"/>
    <w:rsid w:val="00984466"/>
    <w:rsid w:val="0098456D"/>
    <w:rsid w:val="00984775"/>
    <w:rsid w:val="009848C6"/>
    <w:rsid w:val="0098497E"/>
    <w:rsid w:val="00984B39"/>
    <w:rsid w:val="00984D88"/>
    <w:rsid w:val="00984D98"/>
    <w:rsid w:val="00984E6E"/>
    <w:rsid w:val="00984EFA"/>
    <w:rsid w:val="00984F1E"/>
    <w:rsid w:val="00984FD8"/>
    <w:rsid w:val="00985019"/>
    <w:rsid w:val="00985075"/>
    <w:rsid w:val="00985094"/>
    <w:rsid w:val="009850C7"/>
    <w:rsid w:val="009850D2"/>
    <w:rsid w:val="0098519A"/>
    <w:rsid w:val="00985210"/>
    <w:rsid w:val="00985443"/>
    <w:rsid w:val="0098544F"/>
    <w:rsid w:val="00985507"/>
    <w:rsid w:val="00985516"/>
    <w:rsid w:val="0098557E"/>
    <w:rsid w:val="009855DC"/>
    <w:rsid w:val="00985674"/>
    <w:rsid w:val="0098567E"/>
    <w:rsid w:val="00985681"/>
    <w:rsid w:val="00985689"/>
    <w:rsid w:val="00985716"/>
    <w:rsid w:val="00985748"/>
    <w:rsid w:val="00985793"/>
    <w:rsid w:val="009858E2"/>
    <w:rsid w:val="00985929"/>
    <w:rsid w:val="009859F5"/>
    <w:rsid w:val="00985A01"/>
    <w:rsid w:val="00985B6E"/>
    <w:rsid w:val="00985C2F"/>
    <w:rsid w:val="00985CE8"/>
    <w:rsid w:val="0098613B"/>
    <w:rsid w:val="0098632F"/>
    <w:rsid w:val="009863D7"/>
    <w:rsid w:val="00986417"/>
    <w:rsid w:val="009864D6"/>
    <w:rsid w:val="00986603"/>
    <w:rsid w:val="00986647"/>
    <w:rsid w:val="0098671D"/>
    <w:rsid w:val="0098674F"/>
    <w:rsid w:val="009867AF"/>
    <w:rsid w:val="00986898"/>
    <w:rsid w:val="00986914"/>
    <w:rsid w:val="00986995"/>
    <w:rsid w:val="00986A3D"/>
    <w:rsid w:val="00986B00"/>
    <w:rsid w:val="00986B3C"/>
    <w:rsid w:val="00986B99"/>
    <w:rsid w:val="00986C39"/>
    <w:rsid w:val="00986C47"/>
    <w:rsid w:val="00986D24"/>
    <w:rsid w:val="00986DA6"/>
    <w:rsid w:val="00986E31"/>
    <w:rsid w:val="00986E71"/>
    <w:rsid w:val="00986F45"/>
    <w:rsid w:val="00986F9D"/>
    <w:rsid w:val="00987018"/>
    <w:rsid w:val="009870B5"/>
    <w:rsid w:val="009870C1"/>
    <w:rsid w:val="009871EA"/>
    <w:rsid w:val="00987319"/>
    <w:rsid w:val="00987325"/>
    <w:rsid w:val="009873BB"/>
    <w:rsid w:val="009873C8"/>
    <w:rsid w:val="00987493"/>
    <w:rsid w:val="009875AD"/>
    <w:rsid w:val="009877F1"/>
    <w:rsid w:val="00987844"/>
    <w:rsid w:val="0098796D"/>
    <w:rsid w:val="00987995"/>
    <w:rsid w:val="009879AD"/>
    <w:rsid w:val="00987A38"/>
    <w:rsid w:val="00987B13"/>
    <w:rsid w:val="00987BF8"/>
    <w:rsid w:val="00987D15"/>
    <w:rsid w:val="00987F6B"/>
    <w:rsid w:val="00987FBE"/>
    <w:rsid w:val="00990055"/>
    <w:rsid w:val="009900B6"/>
    <w:rsid w:val="009900F2"/>
    <w:rsid w:val="00990375"/>
    <w:rsid w:val="00990463"/>
    <w:rsid w:val="0099056D"/>
    <w:rsid w:val="0099063F"/>
    <w:rsid w:val="0099068D"/>
    <w:rsid w:val="009906EA"/>
    <w:rsid w:val="009906F7"/>
    <w:rsid w:val="00990805"/>
    <w:rsid w:val="0099093F"/>
    <w:rsid w:val="009909E8"/>
    <w:rsid w:val="00990A37"/>
    <w:rsid w:val="00990B01"/>
    <w:rsid w:val="00990BFB"/>
    <w:rsid w:val="00990C18"/>
    <w:rsid w:val="00990CAF"/>
    <w:rsid w:val="00990EE4"/>
    <w:rsid w:val="00990EF9"/>
    <w:rsid w:val="0099104E"/>
    <w:rsid w:val="00991202"/>
    <w:rsid w:val="00991450"/>
    <w:rsid w:val="009914B1"/>
    <w:rsid w:val="009914B9"/>
    <w:rsid w:val="009914FB"/>
    <w:rsid w:val="0099163E"/>
    <w:rsid w:val="009918F4"/>
    <w:rsid w:val="0099191E"/>
    <w:rsid w:val="00991983"/>
    <w:rsid w:val="00991A0D"/>
    <w:rsid w:val="00991AA8"/>
    <w:rsid w:val="00991B8A"/>
    <w:rsid w:val="00991BEE"/>
    <w:rsid w:val="00991BF2"/>
    <w:rsid w:val="00991CA4"/>
    <w:rsid w:val="00991D2F"/>
    <w:rsid w:val="00991D33"/>
    <w:rsid w:val="00991DB9"/>
    <w:rsid w:val="00991DBD"/>
    <w:rsid w:val="00991DFC"/>
    <w:rsid w:val="00991E72"/>
    <w:rsid w:val="009920B7"/>
    <w:rsid w:val="009920BF"/>
    <w:rsid w:val="009920E0"/>
    <w:rsid w:val="009921A5"/>
    <w:rsid w:val="009921B8"/>
    <w:rsid w:val="0099240B"/>
    <w:rsid w:val="0099243F"/>
    <w:rsid w:val="00992662"/>
    <w:rsid w:val="0099280E"/>
    <w:rsid w:val="00992816"/>
    <w:rsid w:val="0099281E"/>
    <w:rsid w:val="00992853"/>
    <w:rsid w:val="0099297C"/>
    <w:rsid w:val="009929B6"/>
    <w:rsid w:val="00992A28"/>
    <w:rsid w:val="00992AE2"/>
    <w:rsid w:val="00992B04"/>
    <w:rsid w:val="00992BD3"/>
    <w:rsid w:val="00992C7A"/>
    <w:rsid w:val="00992CB4"/>
    <w:rsid w:val="00992CEB"/>
    <w:rsid w:val="00992CFB"/>
    <w:rsid w:val="00992D88"/>
    <w:rsid w:val="00992ED3"/>
    <w:rsid w:val="00992EF9"/>
    <w:rsid w:val="00992EFB"/>
    <w:rsid w:val="00992F73"/>
    <w:rsid w:val="00993094"/>
    <w:rsid w:val="009930DE"/>
    <w:rsid w:val="0099334D"/>
    <w:rsid w:val="009933BD"/>
    <w:rsid w:val="00993487"/>
    <w:rsid w:val="009934CB"/>
    <w:rsid w:val="00993582"/>
    <w:rsid w:val="00993689"/>
    <w:rsid w:val="009936FB"/>
    <w:rsid w:val="009937C6"/>
    <w:rsid w:val="0099380D"/>
    <w:rsid w:val="0099381A"/>
    <w:rsid w:val="009938E9"/>
    <w:rsid w:val="00993A44"/>
    <w:rsid w:val="00993AF2"/>
    <w:rsid w:val="00993D5E"/>
    <w:rsid w:val="00993DB5"/>
    <w:rsid w:val="00993DF0"/>
    <w:rsid w:val="00993FB6"/>
    <w:rsid w:val="009941C1"/>
    <w:rsid w:val="009942BA"/>
    <w:rsid w:val="0099439A"/>
    <w:rsid w:val="009943DC"/>
    <w:rsid w:val="009944C6"/>
    <w:rsid w:val="00994567"/>
    <w:rsid w:val="009947BB"/>
    <w:rsid w:val="00994928"/>
    <w:rsid w:val="0099495A"/>
    <w:rsid w:val="00994968"/>
    <w:rsid w:val="00994A4D"/>
    <w:rsid w:val="00994C31"/>
    <w:rsid w:val="00994CD4"/>
    <w:rsid w:val="00994D92"/>
    <w:rsid w:val="00994E5A"/>
    <w:rsid w:val="00994FD5"/>
    <w:rsid w:val="009950DD"/>
    <w:rsid w:val="0099514B"/>
    <w:rsid w:val="009951FD"/>
    <w:rsid w:val="00995256"/>
    <w:rsid w:val="00995259"/>
    <w:rsid w:val="00995290"/>
    <w:rsid w:val="009955B3"/>
    <w:rsid w:val="009957DD"/>
    <w:rsid w:val="0099581B"/>
    <w:rsid w:val="00995903"/>
    <w:rsid w:val="00995947"/>
    <w:rsid w:val="00995A0B"/>
    <w:rsid w:val="00995B1E"/>
    <w:rsid w:val="00995BA2"/>
    <w:rsid w:val="00995C47"/>
    <w:rsid w:val="00995C74"/>
    <w:rsid w:val="00995D6A"/>
    <w:rsid w:val="0099606F"/>
    <w:rsid w:val="00996372"/>
    <w:rsid w:val="0099637A"/>
    <w:rsid w:val="009964A1"/>
    <w:rsid w:val="00996530"/>
    <w:rsid w:val="009966F0"/>
    <w:rsid w:val="00996717"/>
    <w:rsid w:val="00996733"/>
    <w:rsid w:val="00996914"/>
    <w:rsid w:val="00996985"/>
    <w:rsid w:val="00996A27"/>
    <w:rsid w:val="00996DBC"/>
    <w:rsid w:val="00996DBD"/>
    <w:rsid w:val="00996DBE"/>
    <w:rsid w:val="00996E67"/>
    <w:rsid w:val="00996F42"/>
    <w:rsid w:val="00996FC5"/>
    <w:rsid w:val="009970CB"/>
    <w:rsid w:val="0099714B"/>
    <w:rsid w:val="009972E2"/>
    <w:rsid w:val="009973BE"/>
    <w:rsid w:val="0099740C"/>
    <w:rsid w:val="009974BB"/>
    <w:rsid w:val="009974D3"/>
    <w:rsid w:val="0099757B"/>
    <w:rsid w:val="0099757D"/>
    <w:rsid w:val="009976D0"/>
    <w:rsid w:val="00997778"/>
    <w:rsid w:val="0099794E"/>
    <w:rsid w:val="00997A6A"/>
    <w:rsid w:val="00997AFA"/>
    <w:rsid w:val="00997B06"/>
    <w:rsid w:val="00997B60"/>
    <w:rsid w:val="00997C7A"/>
    <w:rsid w:val="00997D75"/>
    <w:rsid w:val="00997EE1"/>
    <w:rsid w:val="00997F55"/>
    <w:rsid w:val="00997F74"/>
    <w:rsid w:val="009A0077"/>
    <w:rsid w:val="009A00B1"/>
    <w:rsid w:val="009A0107"/>
    <w:rsid w:val="009A0188"/>
    <w:rsid w:val="009A024C"/>
    <w:rsid w:val="009A02D0"/>
    <w:rsid w:val="009A02D4"/>
    <w:rsid w:val="009A02DF"/>
    <w:rsid w:val="009A02E6"/>
    <w:rsid w:val="009A0301"/>
    <w:rsid w:val="009A0387"/>
    <w:rsid w:val="009A040C"/>
    <w:rsid w:val="009A051F"/>
    <w:rsid w:val="009A06AE"/>
    <w:rsid w:val="009A07CD"/>
    <w:rsid w:val="009A085E"/>
    <w:rsid w:val="009A0912"/>
    <w:rsid w:val="009A0957"/>
    <w:rsid w:val="009A0A16"/>
    <w:rsid w:val="009A0A8A"/>
    <w:rsid w:val="009A0B0E"/>
    <w:rsid w:val="009A0C4E"/>
    <w:rsid w:val="009A0D32"/>
    <w:rsid w:val="009A0F4F"/>
    <w:rsid w:val="009A0FC0"/>
    <w:rsid w:val="009A107E"/>
    <w:rsid w:val="009A1163"/>
    <w:rsid w:val="009A1181"/>
    <w:rsid w:val="009A12C2"/>
    <w:rsid w:val="009A1300"/>
    <w:rsid w:val="009A1303"/>
    <w:rsid w:val="009A1335"/>
    <w:rsid w:val="009A13A3"/>
    <w:rsid w:val="009A14BC"/>
    <w:rsid w:val="009A151F"/>
    <w:rsid w:val="009A156D"/>
    <w:rsid w:val="009A15B6"/>
    <w:rsid w:val="009A163E"/>
    <w:rsid w:val="009A1660"/>
    <w:rsid w:val="009A1670"/>
    <w:rsid w:val="009A16C5"/>
    <w:rsid w:val="009A17D6"/>
    <w:rsid w:val="009A17DA"/>
    <w:rsid w:val="009A181C"/>
    <w:rsid w:val="009A181D"/>
    <w:rsid w:val="009A1896"/>
    <w:rsid w:val="009A19CB"/>
    <w:rsid w:val="009A1C4C"/>
    <w:rsid w:val="009A1CEC"/>
    <w:rsid w:val="009A200A"/>
    <w:rsid w:val="009A2030"/>
    <w:rsid w:val="009A2176"/>
    <w:rsid w:val="009A21E1"/>
    <w:rsid w:val="009A21F0"/>
    <w:rsid w:val="009A22FC"/>
    <w:rsid w:val="009A2396"/>
    <w:rsid w:val="009A23E4"/>
    <w:rsid w:val="009A244B"/>
    <w:rsid w:val="009A2610"/>
    <w:rsid w:val="009A265E"/>
    <w:rsid w:val="009A26B3"/>
    <w:rsid w:val="009A2700"/>
    <w:rsid w:val="009A274A"/>
    <w:rsid w:val="009A2781"/>
    <w:rsid w:val="009A2782"/>
    <w:rsid w:val="009A2787"/>
    <w:rsid w:val="009A2859"/>
    <w:rsid w:val="009A2956"/>
    <w:rsid w:val="009A299B"/>
    <w:rsid w:val="009A29E7"/>
    <w:rsid w:val="009A29EF"/>
    <w:rsid w:val="009A2B72"/>
    <w:rsid w:val="009A2BF4"/>
    <w:rsid w:val="009A2E88"/>
    <w:rsid w:val="009A2E8D"/>
    <w:rsid w:val="009A2EF0"/>
    <w:rsid w:val="009A2FA3"/>
    <w:rsid w:val="009A2FED"/>
    <w:rsid w:val="009A32BA"/>
    <w:rsid w:val="009A32CA"/>
    <w:rsid w:val="009A34CE"/>
    <w:rsid w:val="009A3533"/>
    <w:rsid w:val="009A355E"/>
    <w:rsid w:val="009A3568"/>
    <w:rsid w:val="009A35EB"/>
    <w:rsid w:val="009A365F"/>
    <w:rsid w:val="009A36B5"/>
    <w:rsid w:val="009A3752"/>
    <w:rsid w:val="009A375B"/>
    <w:rsid w:val="009A37AE"/>
    <w:rsid w:val="009A3833"/>
    <w:rsid w:val="009A3A3C"/>
    <w:rsid w:val="009A3B60"/>
    <w:rsid w:val="009A3CE4"/>
    <w:rsid w:val="009A3D2D"/>
    <w:rsid w:val="009A3F0A"/>
    <w:rsid w:val="009A3F33"/>
    <w:rsid w:val="009A4111"/>
    <w:rsid w:val="009A4234"/>
    <w:rsid w:val="009A4284"/>
    <w:rsid w:val="009A42A4"/>
    <w:rsid w:val="009A4313"/>
    <w:rsid w:val="009A43E4"/>
    <w:rsid w:val="009A4550"/>
    <w:rsid w:val="009A4572"/>
    <w:rsid w:val="009A463B"/>
    <w:rsid w:val="009A46D9"/>
    <w:rsid w:val="009A4A0A"/>
    <w:rsid w:val="009A4AC7"/>
    <w:rsid w:val="009A4AE5"/>
    <w:rsid w:val="009A4D3D"/>
    <w:rsid w:val="009A4DB6"/>
    <w:rsid w:val="009A4DBA"/>
    <w:rsid w:val="009A4F74"/>
    <w:rsid w:val="009A4FBB"/>
    <w:rsid w:val="009A5030"/>
    <w:rsid w:val="009A51A4"/>
    <w:rsid w:val="009A5215"/>
    <w:rsid w:val="009A5364"/>
    <w:rsid w:val="009A54D5"/>
    <w:rsid w:val="009A54D6"/>
    <w:rsid w:val="009A563B"/>
    <w:rsid w:val="009A580E"/>
    <w:rsid w:val="009A5960"/>
    <w:rsid w:val="009A59C1"/>
    <w:rsid w:val="009A5C2A"/>
    <w:rsid w:val="009A5C67"/>
    <w:rsid w:val="009A5DFD"/>
    <w:rsid w:val="009A5E32"/>
    <w:rsid w:val="009A5EB1"/>
    <w:rsid w:val="009A5F5E"/>
    <w:rsid w:val="009A600E"/>
    <w:rsid w:val="009A6040"/>
    <w:rsid w:val="009A604A"/>
    <w:rsid w:val="009A60B2"/>
    <w:rsid w:val="009A60EE"/>
    <w:rsid w:val="009A613E"/>
    <w:rsid w:val="009A6166"/>
    <w:rsid w:val="009A61FF"/>
    <w:rsid w:val="009A62B9"/>
    <w:rsid w:val="009A62D7"/>
    <w:rsid w:val="009A63D3"/>
    <w:rsid w:val="009A6433"/>
    <w:rsid w:val="009A6472"/>
    <w:rsid w:val="009A655A"/>
    <w:rsid w:val="009A65E2"/>
    <w:rsid w:val="009A661E"/>
    <w:rsid w:val="009A68FE"/>
    <w:rsid w:val="009A6980"/>
    <w:rsid w:val="009A69C9"/>
    <w:rsid w:val="009A69D5"/>
    <w:rsid w:val="009A6B0A"/>
    <w:rsid w:val="009A6B94"/>
    <w:rsid w:val="009A6C9B"/>
    <w:rsid w:val="009A6CFF"/>
    <w:rsid w:val="009A6E21"/>
    <w:rsid w:val="009A7007"/>
    <w:rsid w:val="009A70C5"/>
    <w:rsid w:val="009A732A"/>
    <w:rsid w:val="009A7377"/>
    <w:rsid w:val="009A73D7"/>
    <w:rsid w:val="009A74BC"/>
    <w:rsid w:val="009A75B3"/>
    <w:rsid w:val="009A7604"/>
    <w:rsid w:val="009A769D"/>
    <w:rsid w:val="009A7718"/>
    <w:rsid w:val="009A78DD"/>
    <w:rsid w:val="009A7AB9"/>
    <w:rsid w:val="009A7B2F"/>
    <w:rsid w:val="009A7B93"/>
    <w:rsid w:val="009A7C7A"/>
    <w:rsid w:val="009A7D2B"/>
    <w:rsid w:val="009A7E25"/>
    <w:rsid w:val="009A7E4B"/>
    <w:rsid w:val="009A7F59"/>
    <w:rsid w:val="009B002D"/>
    <w:rsid w:val="009B0165"/>
    <w:rsid w:val="009B0178"/>
    <w:rsid w:val="009B0272"/>
    <w:rsid w:val="009B0333"/>
    <w:rsid w:val="009B0523"/>
    <w:rsid w:val="009B0595"/>
    <w:rsid w:val="009B05DB"/>
    <w:rsid w:val="009B0720"/>
    <w:rsid w:val="009B072D"/>
    <w:rsid w:val="009B08F8"/>
    <w:rsid w:val="009B0915"/>
    <w:rsid w:val="009B0A7E"/>
    <w:rsid w:val="009B0AD4"/>
    <w:rsid w:val="009B0AFD"/>
    <w:rsid w:val="009B0B75"/>
    <w:rsid w:val="009B0BAB"/>
    <w:rsid w:val="009B0BB0"/>
    <w:rsid w:val="009B0BE3"/>
    <w:rsid w:val="009B0D48"/>
    <w:rsid w:val="009B0FB7"/>
    <w:rsid w:val="009B0FDB"/>
    <w:rsid w:val="009B105C"/>
    <w:rsid w:val="009B11D5"/>
    <w:rsid w:val="009B11EF"/>
    <w:rsid w:val="009B1252"/>
    <w:rsid w:val="009B134B"/>
    <w:rsid w:val="009B13A6"/>
    <w:rsid w:val="009B15D9"/>
    <w:rsid w:val="009B1620"/>
    <w:rsid w:val="009B1624"/>
    <w:rsid w:val="009B1698"/>
    <w:rsid w:val="009B16D5"/>
    <w:rsid w:val="009B1841"/>
    <w:rsid w:val="009B19C6"/>
    <w:rsid w:val="009B1D70"/>
    <w:rsid w:val="009B1EE7"/>
    <w:rsid w:val="009B1F5F"/>
    <w:rsid w:val="009B1FF6"/>
    <w:rsid w:val="009B2034"/>
    <w:rsid w:val="009B2107"/>
    <w:rsid w:val="009B21E1"/>
    <w:rsid w:val="009B2283"/>
    <w:rsid w:val="009B239F"/>
    <w:rsid w:val="009B250E"/>
    <w:rsid w:val="009B25B8"/>
    <w:rsid w:val="009B2771"/>
    <w:rsid w:val="009B27E5"/>
    <w:rsid w:val="009B2AB9"/>
    <w:rsid w:val="009B2BC6"/>
    <w:rsid w:val="009B2C47"/>
    <w:rsid w:val="009B2CC1"/>
    <w:rsid w:val="009B2D36"/>
    <w:rsid w:val="009B2D9B"/>
    <w:rsid w:val="009B2DF3"/>
    <w:rsid w:val="009B2E96"/>
    <w:rsid w:val="009B2ED3"/>
    <w:rsid w:val="009B2F08"/>
    <w:rsid w:val="009B2FFA"/>
    <w:rsid w:val="009B3036"/>
    <w:rsid w:val="009B3117"/>
    <w:rsid w:val="009B311E"/>
    <w:rsid w:val="009B3256"/>
    <w:rsid w:val="009B3269"/>
    <w:rsid w:val="009B327E"/>
    <w:rsid w:val="009B32AA"/>
    <w:rsid w:val="009B3344"/>
    <w:rsid w:val="009B334D"/>
    <w:rsid w:val="009B335E"/>
    <w:rsid w:val="009B3439"/>
    <w:rsid w:val="009B348B"/>
    <w:rsid w:val="009B350E"/>
    <w:rsid w:val="009B3587"/>
    <w:rsid w:val="009B359C"/>
    <w:rsid w:val="009B359F"/>
    <w:rsid w:val="009B35B1"/>
    <w:rsid w:val="009B360F"/>
    <w:rsid w:val="009B3668"/>
    <w:rsid w:val="009B36B2"/>
    <w:rsid w:val="009B36BF"/>
    <w:rsid w:val="009B36FF"/>
    <w:rsid w:val="009B3736"/>
    <w:rsid w:val="009B3791"/>
    <w:rsid w:val="009B3854"/>
    <w:rsid w:val="009B38A6"/>
    <w:rsid w:val="009B38E5"/>
    <w:rsid w:val="009B39F3"/>
    <w:rsid w:val="009B3A19"/>
    <w:rsid w:val="009B3A45"/>
    <w:rsid w:val="009B3D4F"/>
    <w:rsid w:val="009B3F01"/>
    <w:rsid w:val="009B3F02"/>
    <w:rsid w:val="009B3F5C"/>
    <w:rsid w:val="009B4039"/>
    <w:rsid w:val="009B4082"/>
    <w:rsid w:val="009B40FF"/>
    <w:rsid w:val="009B41D0"/>
    <w:rsid w:val="009B42AC"/>
    <w:rsid w:val="009B441F"/>
    <w:rsid w:val="009B4528"/>
    <w:rsid w:val="009B4558"/>
    <w:rsid w:val="009B4630"/>
    <w:rsid w:val="009B465A"/>
    <w:rsid w:val="009B474E"/>
    <w:rsid w:val="009B477E"/>
    <w:rsid w:val="009B47BF"/>
    <w:rsid w:val="009B4894"/>
    <w:rsid w:val="009B4917"/>
    <w:rsid w:val="009B4C43"/>
    <w:rsid w:val="009B4D53"/>
    <w:rsid w:val="009B4D77"/>
    <w:rsid w:val="009B4E5C"/>
    <w:rsid w:val="009B4F59"/>
    <w:rsid w:val="009B4F5F"/>
    <w:rsid w:val="009B4F7D"/>
    <w:rsid w:val="009B4F9A"/>
    <w:rsid w:val="009B4FC5"/>
    <w:rsid w:val="009B50D0"/>
    <w:rsid w:val="009B51D6"/>
    <w:rsid w:val="009B5268"/>
    <w:rsid w:val="009B5315"/>
    <w:rsid w:val="009B541E"/>
    <w:rsid w:val="009B5582"/>
    <w:rsid w:val="009B55FB"/>
    <w:rsid w:val="009B56BC"/>
    <w:rsid w:val="009B56D5"/>
    <w:rsid w:val="009B573F"/>
    <w:rsid w:val="009B592C"/>
    <w:rsid w:val="009B59B8"/>
    <w:rsid w:val="009B59CF"/>
    <w:rsid w:val="009B5A24"/>
    <w:rsid w:val="009B5AA4"/>
    <w:rsid w:val="009B5BF8"/>
    <w:rsid w:val="009B5C08"/>
    <w:rsid w:val="009B5CC4"/>
    <w:rsid w:val="009B5D26"/>
    <w:rsid w:val="009B5DFE"/>
    <w:rsid w:val="009B5E30"/>
    <w:rsid w:val="009B5E67"/>
    <w:rsid w:val="009B5EBE"/>
    <w:rsid w:val="009B5F4B"/>
    <w:rsid w:val="009B5F5F"/>
    <w:rsid w:val="009B6076"/>
    <w:rsid w:val="009B6097"/>
    <w:rsid w:val="009B6150"/>
    <w:rsid w:val="009B6196"/>
    <w:rsid w:val="009B6381"/>
    <w:rsid w:val="009B64CF"/>
    <w:rsid w:val="009B65DA"/>
    <w:rsid w:val="009B65DC"/>
    <w:rsid w:val="009B66B7"/>
    <w:rsid w:val="009B680E"/>
    <w:rsid w:val="009B687C"/>
    <w:rsid w:val="009B6A95"/>
    <w:rsid w:val="009B6B8A"/>
    <w:rsid w:val="009B6BE2"/>
    <w:rsid w:val="009B6C0C"/>
    <w:rsid w:val="009B6C6D"/>
    <w:rsid w:val="009B6CEA"/>
    <w:rsid w:val="009B6D91"/>
    <w:rsid w:val="009B6E9C"/>
    <w:rsid w:val="009B6FF5"/>
    <w:rsid w:val="009B6FF7"/>
    <w:rsid w:val="009B7055"/>
    <w:rsid w:val="009B7096"/>
    <w:rsid w:val="009B7161"/>
    <w:rsid w:val="009B71D6"/>
    <w:rsid w:val="009B71D9"/>
    <w:rsid w:val="009B71EF"/>
    <w:rsid w:val="009B7664"/>
    <w:rsid w:val="009B7839"/>
    <w:rsid w:val="009B7A21"/>
    <w:rsid w:val="009B7AB0"/>
    <w:rsid w:val="009B7B89"/>
    <w:rsid w:val="009B7C46"/>
    <w:rsid w:val="009B7D90"/>
    <w:rsid w:val="009B7E4B"/>
    <w:rsid w:val="009B7EE0"/>
    <w:rsid w:val="009B7EF5"/>
    <w:rsid w:val="009B7FB0"/>
    <w:rsid w:val="009BDF59"/>
    <w:rsid w:val="009C0032"/>
    <w:rsid w:val="009C00E0"/>
    <w:rsid w:val="009C0188"/>
    <w:rsid w:val="009C0284"/>
    <w:rsid w:val="009C02C9"/>
    <w:rsid w:val="009C0405"/>
    <w:rsid w:val="009C0413"/>
    <w:rsid w:val="009C05BB"/>
    <w:rsid w:val="009C0624"/>
    <w:rsid w:val="009C0684"/>
    <w:rsid w:val="009C081E"/>
    <w:rsid w:val="009C0AE3"/>
    <w:rsid w:val="009C0AEE"/>
    <w:rsid w:val="009C0B2E"/>
    <w:rsid w:val="009C0B50"/>
    <w:rsid w:val="009C0B85"/>
    <w:rsid w:val="009C0B93"/>
    <w:rsid w:val="009C0C82"/>
    <w:rsid w:val="009C0CCB"/>
    <w:rsid w:val="009C0CD9"/>
    <w:rsid w:val="009C0D37"/>
    <w:rsid w:val="009C0D53"/>
    <w:rsid w:val="009C0E97"/>
    <w:rsid w:val="009C1189"/>
    <w:rsid w:val="009C122A"/>
    <w:rsid w:val="009C134B"/>
    <w:rsid w:val="009C1362"/>
    <w:rsid w:val="009C141F"/>
    <w:rsid w:val="009C15E2"/>
    <w:rsid w:val="009C169E"/>
    <w:rsid w:val="009C1713"/>
    <w:rsid w:val="009C17AB"/>
    <w:rsid w:val="009C1821"/>
    <w:rsid w:val="009C1A91"/>
    <w:rsid w:val="009C1BD0"/>
    <w:rsid w:val="009C1D66"/>
    <w:rsid w:val="009C1DBE"/>
    <w:rsid w:val="009C1E08"/>
    <w:rsid w:val="009C1E2F"/>
    <w:rsid w:val="009C1E58"/>
    <w:rsid w:val="009C1F0C"/>
    <w:rsid w:val="009C1F73"/>
    <w:rsid w:val="009C1F7F"/>
    <w:rsid w:val="009C1FDE"/>
    <w:rsid w:val="009C2018"/>
    <w:rsid w:val="009C21E4"/>
    <w:rsid w:val="009C236A"/>
    <w:rsid w:val="009C24DD"/>
    <w:rsid w:val="009C2540"/>
    <w:rsid w:val="009C256C"/>
    <w:rsid w:val="009C25A5"/>
    <w:rsid w:val="009C27FC"/>
    <w:rsid w:val="009C2988"/>
    <w:rsid w:val="009C2A23"/>
    <w:rsid w:val="009C2A2B"/>
    <w:rsid w:val="009C2A93"/>
    <w:rsid w:val="009C2AA2"/>
    <w:rsid w:val="009C2C51"/>
    <w:rsid w:val="009C2DBE"/>
    <w:rsid w:val="009C2EE7"/>
    <w:rsid w:val="009C2EF4"/>
    <w:rsid w:val="009C2FC5"/>
    <w:rsid w:val="009C3076"/>
    <w:rsid w:val="009C31A0"/>
    <w:rsid w:val="009C3216"/>
    <w:rsid w:val="009C3278"/>
    <w:rsid w:val="009C33A5"/>
    <w:rsid w:val="009C342B"/>
    <w:rsid w:val="009C348E"/>
    <w:rsid w:val="009C37F7"/>
    <w:rsid w:val="009C391B"/>
    <w:rsid w:val="009C3937"/>
    <w:rsid w:val="009C3995"/>
    <w:rsid w:val="009C3A8F"/>
    <w:rsid w:val="009C3A91"/>
    <w:rsid w:val="009C3AC5"/>
    <w:rsid w:val="009C3B1C"/>
    <w:rsid w:val="009C3C92"/>
    <w:rsid w:val="009C3C9D"/>
    <w:rsid w:val="009C3EFC"/>
    <w:rsid w:val="009C3F6D"/>
    <w:rsid w:val="009C406C"/>
    <w:rsid w:val="009C40D8"/>
    <w:rsid w:val="009C40F3"/>
    <w:rsid w:val="009C41D1"/>
    <w:rsid w:val="009C43A8"/>
    <w:rsid w:val="009C4645"/>
    <w:rsid w:val="009C4681"/>
    <w:rsid w:val="009C4721"/>
    <w:rsid w:val="009C4724"/>
    <w:rsid w:val="009C473F"/>
    <w:rsid w:val="009C484B"/>
    <w:rsid w:val="009C485A"/>
    <w:rsid w:val="009C4885"/>
    <w:rsid w:val="009C49BE"/>
    <w:rsid w:val="009C4ACE"/>
    <w:rsid w:val="009C4B5E"/>
    <w:rsid w:val="009C4B6D"/>
    <w:rsid w:val="009C4BD4"/>
    <w:rsid w:val="009C4D03"/>
    <w:rsid w:val="009C4EC4"/>
    <w:rsid w:val="009C507B"/>
    <w:rsid w:val="009C50E7"/>
    <w:rsid w:val="009C5128"/>
    <w:rsid w:val="009C5332"/>
    <w:rsid w:val="009C53B1"/>
    <w:rsid w:val="009C53B9"/>
    <w:rsid w:val="009C53FC"/>
    <w:rsid w:val="009C5422"/>
    <w:rsid w:val="009C57EA"/>
    <w:rsid w:val="009C5A30"/>
    <w:rsid w:val="009C5A5C"/>
    <w:rsid w:val="009C5BF0"/>
    <w:rsid w:val="009C5C36"/>
    <w:rsid w:val="009C5C78"/>
    <w:rsid w:val="009C5D4C"/>
    <w:rsid w:val="009C5D7D"/>
    <w:rsid w:val="009C5DD9"/>
    <w:rsid w:val="009C5E2A"/>
    <w:rsid w:val="009C5F64"/>
    <w:rsid w:val="009C5FB2"/>
    <w:rsid w:val="009C5FEA"/>
    <w:rsid w:val="009C6075"/>
    <w:rsid w:val="009C6153"/>
    <w:rsid w:val="009C615F"/>
    <w:rsid w:val="009C6179"/>
    <w:rsid w:val="009C61C2"/>
    <w:rsid w:val="009C6264"/>
    <w:rsid w:val="009C62CE"/>
    <w:rsid w:val="009C62F4"/>
    <w:rsid w:val="009C6458"/>
    <w:rsid w:val="009C646F"/>
    <w:rsid w:val="009C6485"/>
    <w:rsid w:val="009C6526"/>
    <w:rsid w:val="009C656C"/>
    <w:rsid w:val="009C65B9"/>
    <w:rsid w:val="009C65FC"/>
    <w:rsid w:val="009C662A"/>
    <w:rsid w:val="009C665C"/>
    <w:rsid w:val="009C697F"/>
    <w:rsid w:val="009C6B16"/>
    <w:rsid w:val="009C6C85"/>
    <w:rsid w:val="009C6DB6"/>
    <w:rsid w:val="009C6EA9"/>
    <w:rsid w:val="009C6FAE"/>
    <w:rsid w:val="009C7016"/>
    <w:rsid w:val="009C7099"/>
    <w:rsid w:val="009C710F"/>
    <w:rsid w:val="009C7251"/>
    <w:rsid w:val="009C72CE"/>
    <w:rsid w:val="009C7370"/>
    <w:rsid w:val="009C7538"/>
    <w:rsid w:val="009C7639"/>
    <w:rsid w:val="009C7774"/>
    <w:rsid w:val="009C778A"/>
    <w:rsid w:val="009C7837"/>
    <w:rsid w:val="009C7927"/>
    <w:rsid w:val="009C792A"/>
    <w:rsid w:val="009C793B"/>
    <w:rsid w:val="009C7958"/>
    <w:rsid w:val="009C796B"/>
    <w:rsid w:val="009C7A50"/>
    <w:rsid w:val="009C7A9C"/>
    <w:rsid w:val="009C7BE0"/>
    <w:rsid w:val="009C7BFC"/>
    <w:rsid w:val="009C7C1E"/>
    <w:rsid w:val="009C7CAB"/>
    <w:rsid w:val="009C7D2D"/>
    <w:rsid w:val="009C7D54"/>
    <w:rsid w:val="009C7E70"/>
    <w:rsid w:val="009D009B"/>
    <w:rsid w:val="009D0108"/>
    <w:rsid w:val="009D0224"/>
    <w:rsid w:val="009D0238"/>
    <w:rsid w:val="009D023F"/>
    <w:rsid w:val="009D031F"/>
    <w:rsid w:val="009D0338"/>
    <w:rsid w:val="009D0520"/>
    <w:rsid w:val="009D0639"/>
    <w:rsid w:val="009D070C"/>
    <w:rsid w:val="009D0723"/>
    <w:rsid w:val="009D073E"/>
    <w:rsid w:val="009D078B"/>
    <w:rsid w:val="009D0797"/>
    <w:rsid w:val="009D07BD"/>
    <w:rsid w:val="009D0913"/>
    <w:rsid w:val="009D09C2"/>
    <w:rsid w:val="009D0A87"/>
    <w:rsid w:val="009D0AA2"/>
    <w:rsid w:val="009D0B8A"/>
    <w:rsid w:val="009D0C17"/>
    <w:rsid w:val="009D0C95"/>
    <w:rsid w:val="009D0D87"/>
    <w:rsid w:val="009D0DA1"/>
    <w:rsid w:val="009D0E0B"/>
    <w:rsid w:val="009D0E44"/>
    <w:rsid w:val="009D0E8A"/>
    <w:rsid w:val="009D1127"/>
    <w:rsid w:val="009D11BA"/>
    <w:rsid w:val="009D1267"/>
    <w:rsid w:val="009D12E2"/>
    <w:rsid w:val="009D1533"/>
    <w:rsid w:val="009D15EE"/>
    <w:rsid w:val="009D1637"/>
    <w:rsid w:val="009D1671"/>
    <w:rsid w:val="009D16AC"/>
    <w:rsid w:val="009D16C4"/>
    <w:rsid w:val="009D1964"/>
    <w:rsid w:val="009D19EE"/>
    <w:rsid w:val="009D1B48"/>
    <w:rsid w:val="009D1B57"/>
    <w:rsid w:val="009D1B88"/>
    <w:rsid w:val="009D1BB3"/>
    <w:rsid w:val="009D1BF3"/>
    <w:rsid w:val="009D1C69"/>
    <w:rsid w:val="009D1D6E"/>
    <w:rsid w:val="009D1DD7"/>
    <w:rsid w:val="009D1E9B"/>
    <w:rsid w:val="009D1FE9"/>
    <w:rsid w:val="009D20A3"/>
    <w:rsid w:val="009D20DB"/>
    <w:rsid w:val="009D2280"/>
    <w:rsid w:val="009D22EA"/>
    <w:rsid w:val="009D24AB"/>
    <w:rsid w:val="009D2557"/>
    <w:rsid w:val="009D2627"/>
    <w:rsid w:val="009D269E"/>
    <w:rsid w:val="009D2872"/>
    <w:rsid w:val="009D2A60"/>
    <w:rsid w:val="009D2B0A"/>
    <w:rsid w:val="009D2B3C"/>
    <w:rsid w:val="009D2C0E"/>
    <w:rsid w:val="009D2C75"/>
    <w:rsid w:val="009D2D18"/>
    <w:rsid w:val="009D2D82"/>
    <w:rsid w:val="009D2EB1"/>
    <w:rsid w:val="009D2EE1"/>
    <w:rsid w:val="009D302F"/>
    <w:rsid w:val="009D30CD"/>
    <w:rsid w:val="009D318F"/>
    <w:rsid w:val="009D31B0"/>
    <w:rsid w:val="009D3314"/>
    <w:rsid w:val="009D3340"/>
    <w:rsid w:val="009D3363"/>
    <w:rsid w:val="009D33F3"/>
    <w:rsid w:val="009D3405"/>
    <w:rsid w:val="009D340A"/>
    <w:rsid w:val="009D34D8"/>
    <w:rsid w:val="009D3601"/>
    <w:rsid w:val="009D3700"/>
    <w:rsid w:val="009D374C"/>
    <w:rsid w:val="009D3883"/>
    <w:rsid w:val="009D38D2"/>
    <w:rsid w:val="009D39D3"/>
    <w:rsid w:val="009D3A55"/>
    <w:rsid w:val="009D3AF9"/>
    <w:rsid w:val="009D3B04"/>
    <w:rsid w:val="009D3B7E"/>
    <w:rsid w:val="009D3B90"/>
    <w:rsid w:val="009D3BD9"/>
    <w:rsid w:val="009D3DEE"/>
    <w:rsid w:val="009D3E1D"/>
    <w:rsid w:val="009D3E71"/>
    <w:rsid w:val="009D3EEB"/>
    <w:rsid w:val="009D3F33"/>
    <w:rsid w:val="009D440C"/>
    <w:rsid w:val="009D4545"/>
    <w:rsid w:val="009D496C"/>
    <w:rsid w:val="009D49A3"/>
    <w:rsid w:val="009D49D8"/>
    <w:rsid w:val="009D49EB"/>
    <w:rsid w:val="009D4CE4"/>
    <w:rsid w:val="009D4D25"/>
    <w:rsid w:val="009D4D62"/>
    <w:rsid w:val="009D4E64"/>
    <w:rsid w:val="009D4E8E"/>
    <w:rsid w:val="009D4E90"/>
    <w:rsid w:val="009D4F61"/>
    <w:rsid w:val="009D4FBC"/>
    <w:rsid w:val="009D4FC2"/>
    <w:rsid w:val="009D5101"/>
    <w:rsid w:val="009D51C9"/>
    <w:rsid w:val="009D535C"/>
    <w:rsid w:val="009D57C3"/>
    <w:rsid w:val="009D581B"/>
    <w:rsid w:val="009D585B"/>
    <w:rsid w:val="009D59D0"/>
    <w:rsid w:val="009D5A92"/>
    <w:rsid w:val="009D5C5F"/>
    <w:rsid w:val="009D5EDE"/>
    <w:rsid w:val="009D6018"/>
    <w:rsid w:val="009D605B"/>
    <w:rsid w:val="009D60E0"/>
    <w:rsid w:val="009D61E3"/>
    <w:rsid w:val="009D6399"/>
    <w:rsid w:val="009D63F5"/>
    <w:rsid w:val="009D6675"/>
    <w:rsid w:val="009D6779"/>
    <w:rsid w:val="009D6A0F"/>
    <w:rsid w:val="009D6AB1"/>
    <w:rsid w:val="009D6B2E"/>
    <w:rsid w:val="009D6B6D"/>
    <w:rsid w:val="009D6CF7"/>
    <w:rsid w:val="009D6EA6"/>
    <w:rsid w:val="009D6F99"/>
    <w:rsid w:val="009D6FFD"/>
    <w:rsid w:val="009D70C8"/>
    <w:rsid w:val="009D7110"/>
    <w:rsid w:val="009D719F"/>
    <w:rsid w:val="009D7343"/>
    <w:rsid w:val="009D744D"/>
    <w:rsid w:val="009D74A2"/>
    <w:rsid w:val="009D7752"/>
    <w:rsid w:val="009D7954"/>
    <w:rsid w:val="009D79A1"/>
    <w:rsid w:val="009D7A24"/>
    <w:rsid w:val="009D7A52"/>
    <w:rsid w:val="009D7A82"/>
    <w:rsid w:val="009D7AB5"/>
    <w:rsid w:val="009D7B69"/>
    <w:rsid w:val="009D7B7C"/>
    <w:rsid w:val="009D7B96"/>
    <w:rsid w:val="009D7BA9"/>
    <w:rsid w:val="009D7BE6"/>
    <w:rsid w:val="009D7C60"/>
    <w:rsid w:val="009D7CA3"/>
    <w:rsid w:val="009D7CDD"/>
    <w:rsid w:val="009D7E0D"/>
    <w:rsid w:val="009D7E75"/>
    <w:rsid w:val="009D7EA7"/>
    <w:rsid w:val="009E00E2"/>
    <w:rsid w:val="009E01F0"/>
    <w:rsid w:val="009E02C5"/>
    <w:rsid w:val="009E0350"/>
    <w:rsid w:val="009E04B6"/>
    <w:rsid w:val="009E05CE"/>
    <w:rsid w:val="009E0672"/>
    <w:rsid w:val="009E0685"/>
    <w:rsid w:val="009E06AE"/>
    <w:rsid w:val="009E077C"/>
    <w:rsid w:val="009E07CE"/>
    <w:rsid w:val="009E08BA"/>
    <w:rsid w:val="009E0A5C"/>
    <w:rsid w:val="009E0C21"/>
    <w:rsid w:val="009E0CAB"/>
    <w:rsid w:val="009E0D1F"/>
    <w:rsid w:val="009E0DB1"/>
    <w:rsid w:val="009E0E13"/>
    <w:rsid w:val="009E0F48"/>
    <w:rsid w:val="009E1030"/>
    <w:rsid w:val="009E11C9"/>
    <w:rsid w:val="009E1258"/>
    <w:rsid w:val="009E1281"/>
    <w:rsid w:val="009E12BE"/>
    <w:rsid w:val="009E12FB"/>
    <w:rsid w:val="009E16C1"/>
    <w:rsid w:val="009E1957"/>
    <w:rsid w:val="009E1982"/>
    <w:rsid w:val="009E1997"/>
    <w:rsid w:val="009E1A5F"/>
    <w:rsid w:val="009E1AB3"/>
    <w:rsid w:val="009E1B43"/>
    <w:rsid w:val="009E1C39"/>
    <w:rsid w:val="009E1C69"/>
    <w:rsid w:val="009E1CDF"/>
    <w:rsid w:val="009E1CE3"/>
    <w:rsid w:val="009E1D1C"/>
    <w:rsid w:val="009E1DD9"/>
    <w:rsid w:val="009E1E2D"/>
    <w:rsid w:val="009E1E8E"/>
    <w:rsid w:val="009E2051"/>
    <w:rsid w:val="009E213F"/>
    <w:rsid w:val="009E236A"/>
    <w:rsid w:val="009E23B9"/>
    <w:rsid w:val="009E244F"/>
    <w:rsid w:val="009E24AD"/>
    <w:rsid w:val="009E24E4"/>
    <w:rsid w:val="009E2501"/>
    <w:rsid w:val="009E2538"/>
    <w:rsid w:val="009E2563"/>
    <w:rsid w:val="009E2573"/>
    <w:rsid w:val="009E263A"/>
    <w:rsid w:val="009E2785"/>
    <w:rsid w:val="009E27DA"/>
    <w:rsid w:val="009E27DF"/>
    <w:rsid w:val="009E29BA"/>
    <w:rsid w:val="009E29D5"/>
    <w:rsid w:val="009E29F8"/>
    <w:rsid w:val="009E2ACA"/>
    <w:rsid w:val="009E2ACD"/>
    <w:rsid w:val="009E2B1B"/>
    <w:rsid w:val="009E2B1E"/>
    <w:rsid w:val="009E2C90"/>
    <w:rsid w:val="009E2CD5"/>
    <w:rsid w:val="009E2D75"/>
    <w:rsid w:val="009E2F20"/>
    <w:rsid w:val="009E307D"/>
    <w:rsid w:val="009E30D1"/>
    <w:rsid w:val="009E30D3"/>
    <w:rsid w:val="009E30EB"/>
    <w:rsid w:val="009E3120"/>
    <w:rsid w:val="009E318B"/>
    <w:rsid w:val="009E31B0"/>
    <w:rsid w:val="009E3310"/>
    <w:rsid w:val="009E337E"/>
    <w:rsid w:val="009E3395"/>
    <w:rsid w:val="009E339D"/>
    <w:rsid w:val="009E33F4"/>
    <w:rsid w:val="009E3422"/>
    <w:rsid w:val="009E34B0"/>
    <w:rsid w:val="009E357E"/>
    <w:rsid w:val="009E35B3"/>
    <w:rsid w:val="009E3637"/>
    <w:rsid w:val="009E3703"/>
    <w:rsid w:val="009E3730"/>
    <w:rsid w:val="009E37FC"/>
    <w:rsid w:val="009E385E"/>
    <w:rsid w:val="009E39BC"/>
    <w:rsid w:val="009E3B0E"/>
    <w:rsid w:val="009E3D21"/>
    <w:rsid w:val="009E3DB4"/>
    <w:rsid w:val="009E3DDD"/>
    <w:rsid w:val="009E3FF4"/>
    <w:rsid w:val="009E412F"/>
    <w:rsid w:val="009E4277"/>
    <w:rsid w:val="009E4380"/>
    <w:rsid w:val="009E4446"/>
    <w:rsid w:val="009E4459"/>
    <w:rsid w:val="009E4462"/>
    <w:rsid w:val="009E4485"/>
    <w:rsid w:val="009E4542"/>
    <w:rsid w:val="009E471F"/>
    <w:rsid w:val="009E47CB"/>
    <w:rsid w:val="009E47D9"/>
    <w:rsid w:val="009E4847"/>
    <w:rsid w:val="009E4919"/>
    <w:rsid w:val="009E494F"/>
    <w:rsid w:val="009E4991"/>
    <w:rsid w:val="009E4AFF"/>
    <w:rsid w:val="009E4B11"/>
    <w:rsid w:val="009E4B60"/>
    <w:rsid w:val="009E4B7E"/>
    <w:rsid w:val="009E4C05"/>
    <w:rsid w:val="009E4C9D"/>
    <w:rsid w:val="009E4EE5"/>
    <w:rsid w:val="009E4F00"/>
    <w:rsid w:val="009E4F27"/>
    <w:rsid w:val="009E5007"/>
    <w:rsid w:val="009E5129"/>
    <w:rsid w:val="009E5159"/>
    <w:rsid w:val="009E516F"/>
    <w:rsid w:val="009E51F9"/>
    <w:rsid w:val="009E5229"/>
    <w:rsid w:val="009E53AC"/>
    <w:rsid w:val="009E54B7"/>
    <w:rsid w:val="009E55F0"/>
    <w:rsid w:val="009E56B9"/>
    <w:rsid w:val="009E56DC"/>
    <w:rsid w:val="009E57AB"/>
    <w:rsid w:val="009E584F"/>
    <w:rsid w:val="009E5A7F"/>
    <w:rsid w:val="009E5A94"/>
    <w:rsid w:val="009E5CD2"/>
    <w:rsid w:val="009E5D9D"/>
    <w:rsid w:val="009E5E2A"/>
    <w:rsid w:val="009E5F57"/>
    <w:rsid w:val="009E60B4"/>
    <w:rsid w:val="009E610F"/>
    <w:rsid w:val="009E61E0"/>
    <w:rsid w:val="009E622E"/>
    <w:rsid w:val="009E62DA"/>
    <w:rsid w:val="009E667E"/>
    <w:rsid w:val="009E66CF"/>
    <w:rsid w:val="009E6774"/>
    <w:rsid w:val="009E683D"/>
    <w:rsid w:val="009E6BB7"/>
    <w:rsid w:val="009E6C80"/>
    <w:rsid w:val="009E6E23"/>
    <w:rsid w:val="009E6EF5"/>
    <w:rsid w:val="009E714F"/>
    <w:rsid w:val="009E7172"/>
    <w:rsid w:val="009E7188"/>
    <w:rsid w:val="009E72C8"/>
    <w:rsid w:val="009E72F3"/>
    <w:rsid w:val="009E7397"/>
    <w:rsid w:val="009E754C"/>
    <w:rsid w:val="009E75F3"/>
    <w:rsid w:val="009E7653"/>
    <w:rsid w:val="009E78C9"/>
    <w:rsid w:val="009E7911"/>
    <w:rsid w:val="009E79A8"/>
    <w:rsid w:val="009E79BE"/>
    <w:rsid w:val="009E7B07"/>
    <w:rsid w:val="009E7D2F"/>
    <w:rsid w:val="009E7DB4"/>
    <w:rsid w:val="009E7E77"/>
    <w:rsid w:val="009F01A0"/>
    <w:rsid w:val="009F028C"/>
    <w:rsid w:val="009F04C4"/>
    <w:rsid w:val="009F0571"/>
    <w:rsid w:val="009F0575"/>
    <w:rsid w:val="009F0580"/>
    <w:rsid w:val="009F06DE"/>
    <w:rsid w:val="009F0743"/>
    <w:rsid w:val="009F076B"/>
    <w:rsid w:val="009F0907"/>
    <w:rsid w:val="009F0939"/>
    <w:rsid w:val="009F0955"/>
    <w:rsid w:val="009F0DC3"/>
    <w:rsid w:val="009F0E87"/>
    <w:rsid w:val="009F1074"/>
    <w:rsid w:val="009F10AE"/>
    <w:rsid w:val="009F1133"/>
    <w:rsid w:val="009F1410"/>
    <w:rsid w:val="009F1474"/>
    <w:rsid w:val="009F149C"/>
    <w:rsid w:val="009F14B4"/>
    <w:rsid w:val="009F160F"/>
    <w:rsid w:val="009F1610"/>
    <w:rsid w:val="009F170E"/>
    <w:rsid w:val="009F177C"/>
    <w:rsid w:val="009F1802"/>
    <w:rsid w:val="009F193D"/>
    <w:rsid w:val="009F19C8"/>
    <w:rsid w:val="009F1C09"/>
    <w:rsid w:val="009F1CF5"/>
    <w:rsid w:val="009F1D91"/>
    <w:rsid w:val="009F1EE3"/>
    <w:rsid w:val="009F1FB4"/>
    <w:rsid w:val="009F2049"/>
    <w:rsid w:val="009F22BB"/>
    <w:rsid w:val="009F239F"/>
    <w:rsid w:val="009F247E"/>
    <w:rsid w:val="009F24E8"/>
    <w:rsid w:val="009F256A"/>
    <w:rsid w:val="009F2696"/>
    <w:rsid w:val="009F26B5"/>
    <w:rsid w:val="009F281C"/>
    <w:rsid w:val="009F297D"/>
    <w:rsid w:val="009F2CB1"/>
    <w:rsid w:val="009F2CC4"/>
    <w:rsid w:val="009F2CEF"/>
    <w:rsid w:val="009F2F28"/>
    <w:rsid w:val="009F30A5"/>
    <w:rsid w:val="009F30BC"/>
    <w:rsid w:val="009F3119"/>
    <w:rsid w:val="009F3171"/>
    <w:rsid w:val="009F3212"/>
    <w:rsid w:val="009F3221"/>
    <w:rsid w:val="009F3224"/>
    <w:rsid w:val="009F32BE"/>
    <w:rsid w:val="009F3359"/>
    <w:rsid w:val="009F33AB"/>
    <w:rsid w:val="009F34BF"/>
    <w:rsid w:val="009F3728"/>
    <w:rsid w:val="009F3885"/>
    <w:rsid w:val="009F3A35"/>
    <w:rsid w:val="009F3A93"/>
    <w:rsid w:val="009F3D48"/>
    <w:rsid w:val="009F3D8C"/>
    <w:rsid w:val="009F3E0B"/>
    <w:rsid w:val="009F3E6B"/>
    <w:rsid w:val="009F4125"/>
    <w:rsid w:val="009F4157"/>
    <w:rsid w:val="009F41BA"/>
    <w:rsid w:val="009F420D"/>
    <w:rsid w:val="009F4321"/>
    <w:rsid w:val="009F4340"/>
    <w:rsid w:val="009F435C"/>
    <w:rsid w:val="009F446A"/>
    <w:rsid w:val="009F446B"/>
    <w:rsid w:val="009F450D"/>
    <w:rsid w:val="009F45D2"/>
    <w:rsid w:val="009F4795"/>
    <w:rsid w:val="009F4798"/>
    <w:rsid w:val="009F47F8"/>
    <w:rsid w:val="009F48E5"/>
    <w:rsid w:val="009F49E7"/>
    <w:rsid w:val="009F4A66"/>
    <w:rsid w:val="009F4AA2"/>
    <w:rsid w:val="009F4B1F"/>
    <w:rsid w:val="009F4B63"/>
    <w:rsid w:val="009F4BC4"/>
    <w:rsid w:val="009F4C6C"/>
    <w:rsid w:val="009F4CC3"/>
    <w:rsid w:val="009F4DE5"/>
    <w:rsid w:val="009F4EDF"/>
    <w:rsid w:val="009F502E"/>
    <w:rsid w:val="009F5144"/>
    <w:rsid w:val="009F5170"/>
    <w:rsid w:val="009F51DB"/>
    <w:rsid w:val="009F5418"/>
    <w:rsid w:val="009F54B2"/>
    <w:rsid w:val="009F54DC"/>
    <w:rsid w:val="009F552F"/>
    <w:rsid w:val="009F56DD"/>
    <w:rsid w:val="009F57C5"/>
    <w:rsid w:val="009F584A"/>
    <w:rsid w:val="009F5868"/>
    <w:rsid w:val="009F5A66"/>
    <w:rsid w:val="009F5A7D"/>
    <w:rsid w:val="009F5AC2"/>
    <w:rsid w:val="009F5C0B"/>
    <w:rsid w:val="009F5DD2"/>
    <w:rsid w:val="009F5F87"/>
    <w:rsid w:val="009F5F96"/>
    <w:rsid w:val="009F5FB6"/>
    <w:rsid w:val="009F607C"/>
    <w:rsid w:val="009F60BA"/>
    <w:rsid w:val="009F60FA"/>
    <w:rsid w:val="009F6180"/>
    <w:rsid w:val="009F6264"/>
    <w:rsid w:val="009F6311"/>
    <w:rsid w:val="009F645A"/>
    <w:rsid w:val="009F64F4"/>
    <w:rsid w:val="009F65C9"/>
    <w:rsid w:val="009F6607"/>
    <w:rsid w:val="009F66B9"/>
    <w:rsid w:val="009F677A"/>
    <w:rsid w:val="009F67DD"/>
    <w:rsid w:val="009F6863"/>
    <w:rsid w:val="009F6864"/>
    <w:rsid w:val="009F6B52"/>
    <w:rsid w:val="009F6C2A"/>
    <w:rsid w:val="009F6C6A"/>
    <w:rsid w:val="009F6E1E"/>
    <w:rsid w:val="009F6E20"/>
    <w:rsid w:val="009F7093"/>
    <w:rsid w:val="009F7207"/>
    <w:rsid w:val="009F725A"/>
    <w:rsid w:val="009F72B8"/>
    <w:rsid w:val="009F72D0"/>
    <w:rsid w:val="009F7305"/>
    <w:rsid w:val="009F73D9"/>
    <w:rsid w:val="009F750D"/>
    <w:rsid w:val="009F753F"/>
    <w:rsid w:val="009F76F3"/>
    <w:rsid w:val="009F77A5"/>
    <w:rsid w:val="009F77DB"/>
    <w:rsid w:val="009F7856"/>
    <w:rsid w:val="009F7885"/>
    <w:rsid w:val="009F78E2"/>
    <w:rsid w:val="009F78E5"/>
    <w:rsid w:val="009F7A06"/>
    <w:rsid w:val="009F7B13"/>
    <w:rsid w:val="009F7CD5"/>
    <w:rsid w:val="009F7D2D"/>
    <w:rsid w:val="009F7D99"/>
    <w:rsid w:val="009F7DE6"/>
    <w:rsid w:val="009F7EFE"/>
    <w:rsid w:val="009F7F35"/>
    <w:rsid w:val="009F7F61"/>
    <w:rsid w:val="009F7FA2"/>
    <w:rsid w:val="009F7FF3"/>
    <w:rsid w:val="00A00113"/>
    <w:rsid w:val="00A0020B"/>
    <w:rsid w:val="00A002A9"/>
    <w:rsid w:val="00A0038A"/>
    <w:rsid w:val="00A00421"/>
    <w:rsid w:val="00A005D9"/>
    <w:rsid w:val="00A005E4"/>
    <w:rsid w:val="00A005F3"/>
    <w:rsid w:val="00A0069B"/>
    <w:rsid w:val="00A00806"/>
    <w:rsid w:val="00A00896"/>
    <w:rsid w:val="00A00A21"/>
    <w:rsid w:val="00A00ACA"/>
    <w:rsid w:val="00A00C00"/>
    <w:rsid w:val="00A00C23"/>
    <w:rsid w:val="00A00CD6"/>
    <w:rsid w:val="00A00E03"/>
    <w:rsid w:val="00A00E1B"/>
    <w:rsid w:val="00A01074"/>
    <w:rsid w:val="00A010B7"/>
    <w:rsid w:val="00A012F6"/>
    <w:rsid w:val="00A01309"/>
    <w:rsid w:val="00A013A5"/>
    <w:rsid w:val="00A014BA"/>
    <w:rsid w:val="00A015ED"/>
    <w:rsid w:val="00A01734"/>
    <w:rsid w:val="00A017F0"/>
    <w:rsid w:val="00A01980"/>
    <w:rsid w:val="00A0198D"/>
    <w:rsid w:val="00A019FF"/>
    <w:rsid w:val="00A01AD4"/>
    <w:rsid w:val="00A01C0E"/>
    <w:rsid w:val="00A01D4C"/>
    <w:rsid w:val="00A01E22"/>
    <w:rsid w:val="00A01E4F"/>
    <w:rsid w:val="00A01EEA"/>
    <w:rsid w:val="00A0207A"/>
    <w:rsid w:val="00A020B7"/>
    <w:rsid w:val="00A02122"/>
    <w:rsid w:val="00A021B6"/>
    <w:rsid w:val="00A0224F"/>
    <w:rsid w:val="00A02286"/>
    <w:rsid w:val="00A0228C"/>
    <w:rsid w:val="00A02355"/>
    <w:rsid w:val="00A02359"/>
    <w:rsid w:val="00A02373"/>
    <w:rsid w:val="00A02758"/>
    <w:rsid w:val="00A0277D"/>
    <w:rsid w:val="00A02A0F"/>
    <w:rsid w:val="00A02A78"/>
    <w:rsid w:val="00A02B35"/>
    <w:rsid w:val="00A02BC4"/>
    <w:rsid w:val="00A02C34"/>
    <w:rsid w:val="00A02D03"/>
    <w:rsid w:val="00A02D2D"/>
    <w:rsid w:val="00A02DF6"/>
    <w:rsid w:val="00A02F23"/>
    <w:rsid w:val="00A02FD2"/>
    <w:rsid w:val="00A02FE0"/>
    <w:rsid w:val="00A03074"/>
    <w:rsid w:val="00A03101"/>
    <w:rsid w:val="00A03175"/>
    <w:rsid w:val="00A0324D"/>
    <w:rsid w:val="00A03335"/>
    <w:rsid w:val="00A034F5"/>
    <w:rsid w:val="00A035AD"/>
    <w:rsid w:val="00A035F9"/>
    <w:rsid w:val="00A0362E"/>
    <w:rsid w:val="00A0365D"/>
    <w:rsid w:val="00A036AC"/>
    <w:rsid w:val="00A03841"/>
    <w:rsid w:val="00A03868"/>
    <w:rsid w:val="00A039C8"/>
    <w:rsid w:val="00A03A6A"/>
    <w:rsid w:val="00A03BB7"/>
    <w:rsid w:val="00A03BE0"/>
    <w:rsid w:val="00A03D0E"/>
    <w:rsid w:val="00A03DBB"/>
    <w:rsid w:val="00A03F56"/>
    <w:rsid w:val="00A03F62"/>
    <w:rsid w:val="00A03F69"/>
    <w:rsid w:val="00A040E7"/>
    <w:rsid w:val="00A0414F"/>
    <w:rsid w:val="00A04151"/>
    <w:rsid w:val="00A043E4"/>
    <w:rsid w:val="00A0452A"/>
    <w:rsid w:val="00A04569"/>
    <w:rsid w:val="00A04617"/>
    <w:rsid w:val="00A0464E"/>
    <w:rsid w:val="00A04667"/>
    <w:rsid w:val="00A0466B"/>
    <w:rsid w:val="00A046EB"/>
    <w:rsid w:val="00A048B6"/>
    <w:rsid w:val="00A0490B"/>
    <w:rsid w:val="00A0499B"/>
    <w:rsid w:val="00A049C9"/>
    <w:rsid w:val="00A04AC5"/>
    <w:rsid w:val="00A04BDB"/>
    <w:rsid w:val="00A04DB0"/>
    <w:rsid w:val="00A04E05"/>
    <w:rsid w:val="00A04E36"/>
    <w:rsid w:val="00A04E41"/>
    <w:rsid w:val="00A04EAB"/>
    <w:rsid w:val="00A05047"/>
    <w:rsid w:val="00A05320"/>
    <w:rsid w:val="00A054AE"/>
    <w:rsid w:val="00A054C4"/>
    <w:rsid w:val="00A054E8"/>
    <w:rsid w:val="00A055F6"/>
    <w:rsid w:val="00A05689"/>
    <w:rsid w:val="00A05700"/>
    <w:rsid w:val="00A05785"/>
    <w:rsid w:val="00A05906"/>
    <w:rsid w:val="00A0592F"/>
    <w:rsid w:val="00A05A09"/>
    <w:rsid w:val="00A05B75"/>
    <w:rsid w:val="00A05C0F"/>
    <w:rsid w:val="00A05C35"/>
    <w:rsid w:val="00A05C66"/>
    <w:rsid w:val="00A05DFE"/>
    <w:rsid w:val="00A05EDE"/>
    <w:rsid w:val="00A05EFC"/>
    <w:rsid w:val="00A05FB4"/>
    <w:rsid w:val="00A0605F"/>
    <w:rsid w:val="00A060CD"/>
    <w:rsid w:val="00A06131"/>
    <w:rsid w:val="00A06377"/>
    <w:rsid w:val="00A063BD"/>
    <w:rsid w:val="00A06407"/>
    <w:rsid w:val="00A06487"/>
    <w:rsid w:val="00A064CF"/>
    <w:rsid w:val="00A065E8"/>
    <w:rsid w:val="00A066C4"/>
    <w:rsid w:val="00A067B2"/>
    <w:rsid w:val="00A06948"/>
    <w:rsid w:val="00A06C5C"/>
    <w:rsid w:val="00A06CF0"/>
    <w:rsid w:val="00A06DE0"/>
    <w:rsid w:val="00A0726E"/>
    <w:rsid w:val="00A0727D"/>
    <w:rsid w:val="00A072EF"/>
    <w:rsid w:val="00A07418"/>
    <w:rsid w:val="00A07524"/>
    <w:rsid w:val="00A07552"/>
    <w:rsid w:val="00A07584"/>
    <w:rsid w:val="00A077D4"/>
    <w:rsid w:val="00A0783D"/>
    <w:rsid w:val="00A07851"/>
    <w:rsid w:val="00A078D0"/>
    <w:rsid w:val="00A078F9"/>
    <w:rsid w:val="00A0791A"/>
    <w:rsid w:val="00A07966"/>
    <w:rsid w:val="00A07985"/>
    <w:rsid w:val="00A079F0"/>
    <w:rsid w:val="00A07A9F"/>
    <w:rsid w:val="00A07AB6"/>
    <w:rsid w:val="00A07AD8"/>
    <w:rsid w:val="00A07B3F"/>
    <w:rsid w:val="00A07CD4"/>
    <w:rsid w:val="00A07E97"/>
    <w:rsid w:val="00A07F46"/>
    <w:rsid w:val="00A07F90"/>
    <w:rsid w:val="00A1013F"/>
    <w:rsid w:val="00A1017C"/>
    <w:rsid w:val="00A10189"/>
    <w:rsid w:val="00A101DA"/>
    <w:rsid w:val="00A1029F"/>
    <w:rsid w:val="00A10370"/>
    <w:rsid w:val="00A10467"/>
    <w:rsid w:val="00A10472"/>
    <w:rsid w:val="00A10517"/>
    <w:rsid w:val="00A10621"/>
    <w:rsid w:val="00A107F5"/>
    <w:rsid w:val="00A10831"/>
    <w:rsid w:val="00A1083C"/>
    <w:rsid w:val="00A10934"/>
    <w:rsid w:val="00A1094C"/>
    <w:rsid w:val="00A10A0D"/>
    <w:rsid w:val="00A10A66"/>
    <w:rsid w:val="00A10ABA"/>
    <w:rsid w:val="00A10B95"/>
    <w:rsid w:val="00A10BE6"/>
    <w:rsid w:val="00A10CEF"/>
    <w:rsid w:val="00A10E05"/>
    <w:rsid w:val="00A10E7F"/>
    <w:rsid w:val="00A10E98"/>
    <w:rsid w:val="00A10ECA"/>
    <w:rsid w:val="00A10F19"/>
    <w:rsid w:val="00A11031"/>
    <w:rsid w:val="00A1103D"/>
    <w:rsid w:val="00A11153"/>
    <w:rsid w:val="00A11186"/>
    <w:rsid w:val="00A11226"/>
    <w:rsid w:val="00A11239"/>
    <w:rsid w:val="00A1124D"/>
    <w:rsid w:val="00A1150F"/>
    <w:rsid w:val="00A11795"/>
    <w:rsid w:val="00A11988"/>
    <w:rsid w:val="00A1198B"/>
    <w:rsid w:val="00A11995"/>
    <w:rsid w:val="00A119A1"/>
    <w:rsid w:val="00A119F0"/>
    <w:rsid w:val="00A11A0C"/>
    <w:rsid w:val="00A11AAA"/>
    <w:rsid w:val="00A11BDD"/>
    <w:rsid w:val="00A11C03"/>
    <w:rsid w:val="00A11CD1"/>
    <w:rsid w:val="00A11DC9"/>
    <w:rsid w:val="00A11EE8"/>
    <w:rsid w:val="00A11F73"/>
    <w:rsid w:val="00A11FD0"/>
    <w:rsid w:val="00A1214C"/>
    <w:rsid w:val="00A12195"/>
    <w:rsid w:val="00A121C1"/>
    <w:rsid w:val="00A1229E"/>
    <w:rsid w:val="00A123AB"/>
    <w:rsid w:val="00A123FD"/>
    <w:rsid w:val="00A12451"/>
    <w:rsid w:val="00A124EF"/>
    <w:rsid w:val="00A12545"/>
    <w:rsid w:val="00A1266B"/>
    <w:rsid w:val="00A126BB"/>
    <w:rsid w:val="00A127A9"/>
    <w:rsid w:val="00A12856"/>
    <w:rsid w:val="00A12A39"/>
    <w:rsid w:val="00A12B2D"/>
    <w:rsid w:val="00A12E99"/>
    <w:rsid w:val="00A12EA5"/>
    <w:rsid w:val="00A12F31"/>
    <w:rsid w:val="00A1307C"/>
    <w:rsid w:val="00A130A4"/>
    <w:rsid w:val="00A130D2"/>
    <w:rsid w:val="00A1319F"/>
    <w:rsid w:val="00A131F4"/>
    <w:rsid w:val="00A13267"/>
    <w:rsid w:val="00A13285"/>
    <w:rsid w:val="00A1331D"/>
    <w:rsid w:val="00A1334A"/>
    <w:rsid w:val="00A1337D"/>
    <w:rsid w:val="00A1345A"/>
    <w:rsid w:val="00A1345C"/>
    <w:rsid w:val="00A1349C"/>
    <w:rsid w:val="00A1366D"/>
    <w:rsid w:val="00A1379A"/>
    <w:rsid w:val="00A1382A"/>
    <w:rsid w:val="00A13830"/>
    <w:rsid w:val="00A138D5"/>
    <w:rsid w:val="00A138F7"/>
    <w:rsid w:val="00A139EA"/>
    <w:rsid w:val="00A13AF9"/>
    <w:rsid w:val="00A13B44"/>
    <w:rsid w:val="00A13BD7"/>
    <w:rsid w:val="00A13E7A"/>
    <w:rsid w:val="00A13EA5"/>
    <w:rsid w:val="00A14099"/>
    <w:rsid w:val="00A140AC"/>
    <w:rsid w:val="00A14120"/>
    <w:rsid w:val="00A14137"/>
    <w:rsid w:val="00A1414E"/>
    <w:rsid w:val="00A1417B"/>
    <w:rsid w:val="00A14268"/>
    <w:rsid w:val="00A1428D"/>
    <w:rsid w:val="00A1433B"/>
    <w:rsid w:val="00A144DF"/>
    <w:rsid w:val="00A14507"/>
    <w:rsid w:val="00A147B6"/>
    <w:rsid w:val="00A1487F"/>
    <w:rsid w:val="00A14960"/>
    <w:rsid w:val="00A14ABE"/>
    <w:rsid w:val="00A14B1F"/>
    <w:rsid w:val="00A14B2D"/>
    <w:rsid w:val="00A14B82"/>
    <w:rsid w:val="00A14B96"/>
    <w:rsid w:val="00A14BE2"/>
    <w:rsid w:val="00A14C9D"/>
    <w:rsid w:val="00A14D83"/>
    <w:rsid w:val="00A14FC2"/>
    <w:rsid w:val="00A15027"/>
    <w:rsid w:val="00A1510A"/>
    <w:rsid w:val="00A15177"/>
    <w:rsid w:val="00A152B2"/>
    <w:rsid w:val="00A1530B"/>
    <w:rsid w:val="00A15362"/>
    <w:rsid w:val="00A154D9"/>
    <w:rsid w:val="00A1565D"/>
    <w:rsid w:val="00A15721"/>
    <w:rsid w:val="00A15749"/>
    <w:rsid w:val="00A15784"/>
    <w:rsid w:val="00A157F8"/>
    <w:rsid w:val="00A15855"/>
    <w:rsid w:val="00A15B08"/>
    <w:rsid w:val="00A15B67"/>
    <w:rsid w:val="00A15B73"/>
    <w:rsid w:val="00A15C15"/>
    <w:rsid w:val="00A15CC4"/>
    <w:rsid w:val="00A15DB6"/>
    <w:rsid w:val="00A15E51"/>
    <w:rsid w:val="00A15E82"/>
    <w:rsid w:val="00A15F5D"/>
    <w:rsid w:val="00A160E3"/>
    <w:rsid w:val="00A16145"/>
    <w:rsid w:val="00A16183"/>
    <w:rsid w:val="00A16252"/>
    <w:rsid w:val="00A16413"/>
    <w:rsid w:val="00A16455"/>
    <w:rsid w:val="00A164A3"/>
    <w:rsid w:val="00A166A8"/>
    <w:rsid w:val="00A166EB"/>
    <w:rsid w:val="00A1680C"/>
    <w:rsid w:val="00A16A60"/>
    <w:rsid w:val="00A16C62"/>
    <w:rsid w:val="00A16DC7"/>
    <w:rsid w:val="00A16E9B"/>
    <w:rsid w:val="00A16F98"/>
    <w:rsid w:val="00A171E0"/>
    <w:rsid w:val="00A172E4"/>
    <w:rsid w:val="00A1731E"/>
    <w:rsid w:val="00A174AB"/>
    <w:rsid w:val="00A17518"/>
    <w:rsid w:val="00A1751D"/>
    <w:rsid w:val="00A1763B"/>
    <w:rsid w:val="00A17968"/>
    <w:rsid w:val="00A179F6"/>
    <w:rsid w:val="00A17A17"/>
    <w:rsid w:val="00A17C21"/>
    <w:rsid w:val="00A17D40"/>
    <w:rsid w:val="00A17D60"/>
    <w:rsid w:val="00A17E49"/>
    <w:rsid w:val="00A17EB8"/>
    <w:rsid w:val="00A17EEC"/>
    <w:rsid w:val="00A17F14"/>
    <w:rsid w:val="00A17F50"/>
    <w:rsid w:val="00A17F65"/>
    <w:rsid w:val="00A2006E"/>
    <w:rsid w:val="00A202CB"/>
    <w:rsid w:val="00A20421"/>
    <w:rsid w:val="00A204DA"/>
    <w:rsid w:val="00A204F8"/>
    <w:rsid w:val="00A20531"/>
    <w:rsid w:val="00A20586"/>
    <w:rsid w:val="00A207AE"/>
    <w:rsid w:val="00A20860"/>
    <w:rsid w:val="00A2088A"/>
    <w:rsid w:val="00A20930"/>
    <w:rsid w:val="00A20991"/>
    <w:rsid w:val="00A20A00"/>
    <w:rsid w:val="00A20ACC"/>
    <w:rsid w:val="00A20CEB"/>
    <w:rsid w:val="00A20DCB"/>
    <w:rsid w:val="00A210AE"/>
    <w:rsid w:val="00A21466"/>
    <w:rsid w:val="00A214F5"/>
    <w:rsid w:val="00A21945"/>
    <w:rsid w:val="00A219BC"/>
    <w:rsid w:val="00A219E2"/>
    <w:rsid w:val="00A21A7C"/>
    <w:rsid w:val="00A21B16"/>
    <w:rsid w:val="00A21B37"/>
    <w:rsid w:val="00A21C1B"/>
    <w:rsid w:val="00A21C26"/>
    <w:rsid w:val="00A21D1B"/>
    <w:rsid w:val="00A21F4A"/>
    <w:rsid w:val="00A220CE"/>
    <w:rsid w:val="00A220FF"/>
    <w:rsid w:val="00A22102"/>
    <w:rsid w:val="00A22162"/>
    <w:rsid w:val="00A222FF"/>
    <w:rsid w:val="00A2237C"/>
    <w:rsid w:val="00A22696"/>
    <w:rsid w:val="00A226F6"/>
    <w:rsid w:val="00A227A0"/>
    <w:rsid w:val="00A22805"/>
    <w:rsid w:val="00A22844"/>
    <w:rsid w:val="00A229F3"/>
    <w:rsid w:val="00A22A28"/>
    <w:rsid w:val="00A22A95"/>
    <w:rsid w:val="00A22C7D"/>
    <w:rsid w:val="00A22C7E"/>
    <w:rsid w:val="00A22CB1"/>
    <w:rsid w:val="00A22E2B"/>
    <w:rsid w:val="00A22F43"/>
    <w:rsid w:val="00A23006"/>
    <w:rsid w:val="00A23040"/>
    <w:rsid w:val="00A2311D"/>
    <w:rsid w:val="00A23320"/>
    <w:rsid w:val="00A2343A"/>
    <w:rsid w:val="00A234C6"/>
    <w:rsid w:val="00A23574"/>
    <w:rsid w:val="00A235EE"/>
    <w:rsid w:val="00A23697"/>
    <w:rsid w:val="00A236A9"/>
    <w:rsid w:val="00A2371F"/>
    <w:rsid w:val="00A237AF"/>
    <w:rsid w:val="00A23807"/>
    <w:rsid w:val="00A23919"/>
    <w:rsid w:val="00A23937"/>
    <w:rsid w:val="00A23A9B"/>
    <w:rsid w:val="00A23B72"/>
    <w:rsid w:val="00A23C01"/>
    <w:rsid w:val="00A23C41"/>
    <w:rsid w:val="00A23D3F"/>
    <w:rsid w:val="00A23DEB"/>
    <w:rsid w:val="00A23E13"/>
    <w:rsid w:val="00A23EF5"/>
    <w:rsid w:val="00A23F6E"/>
    <w:rsid w:val="00A23F82"/>
    <w:rsid w:val="00A24060"/>
    <w:rsid w:val="00A240F3"/>
    <w:rsid w:val="00A24212"/>
    <w:rsid w:val="00A2422E"/>
    <w:rsid w:val="00A242D7"/>
    <w:rsid w:val="00A24310"/>
    <w:rsid w:val="00A2438A"/>
    <w:rsid w:val="00A2446C"/>
    <w:rsid w:val="00A2485F"/>
    <w:rsid w:val="00A248D5"/>
    <w:rsid w:val="00A249AC"/>
    <w:rsid w:val="00A24A68"/>
    <w:rsid w:val="00A24AD5"/>
    <w:rsid w:val="00A24AFD"/>
    <w:rsid w:val="00A24B10"/>
    <w:rsid w:val="00A24B28"/>
    <w:rsid w:val="00A24C98"/>
    <w:rsid w:val="00A24FA7"/>
    <w:rsid w:val="00A24FA9"/>
    <w:rsid w:val="00A2512F"/>
    <w:rsid w:val="00A25350"/>
    <w:rsid w:val="00A253BF"/>
    <w:rsid w:val="00A2542C"/>
    <w:rsid w:val="00A25555"/>
    <w:rsid w:val="00A25616"/>
    <w:rsid w:val="00A25974"/>
    <w:rsid w:val="00A259A2"/>
    <w:rsid w:val="00A259A9"/>
    <w:rsid w:val="00A259C4"/>
    <w:rsid w:val="00A259CA"/>
    <w:rsid w:val="00A25A64"/>
    <w:rsid w:val="00A25A7F"/>
    <w:rsid w:val="00A25AAD"/>
    <w:rsid w:val="00A25AC7"/>
    <w:rsid w:val="00A25BAD"/>
    <w:rsid w:val="00A25C38"/>
    <w:rsid w:val="00A25DAE"/>
    <w:rsid w:val="00A26009"/>
    <w:rsid w:val="00A26038"/>
    <w:rsid w:val="00A26187"/>
    <w:rsid w:val="00A263A5"/>
    <w:rsid w:val="00A2641D"/>
    <w:rsid w:val="00A2668F"/>
    <w:rsid w:val="00A266C4"/>
    <w:rsid w:val="00A2677B"/>
    <w:rsid w:val="00A267DE"/>
    <w:rsid w:val="00A26890"/>
    <w:rsid w:val="00A268E6"/>
    <w:rsid w:val="00A26C56"/>
    <w:rsid w:val="00A26C9C"/>
    <w:rsid w:val="00A26D91"/>
    <w:rsid w:val="00A26DA4"/>
    <w:rsid w:val="00A26DCA"/>
    <w:rsid w:val="00A26E86"/>
    <w:rsid w:val="00A26E92"/>
    <w:rsid w:val="00A27085"/>
    <w:rsid w:val="00A27187"/>
    <w:rsid w:val="00A271B9"/>
    <w:rsid w:val="00A27362"/>
    <w:rsid w:val="00A27508"/>
    <w:rsid w:val="00A27514"/>
    <w:rsid w:val="00A27601"/>
    <w:rsid w:val="00A276AC"/>
    <w:rsid w:val="00A277AF"/>
    <w:rsid w:val="00A277D1"/>
    <w:rsid w:val="00A2783A"/>
    <w:rsid w:val="00A2785E"/>
    <w:rsid w:val="00A279FD"/>
    <w:rsid w:val="00A27A8A"/>
    <w:rsid w:val="00A27B99"/>
    <w:rsid w:val="00A27C99"/>
    <w:rsid w:val="00A27CEC"/>
    <w:rsid w:val="00A27E00"/>
    <w:rsid w:val="00A27F38"/>
    <w:rsid w:val="00A27F7D"/>
    <w:rsid w:val="00A300DF"/>
    <w:rsid w:val="00A300E1"/>
    <w:rsid w:val="00A3012C"/>
    <w:rsid w:val="00A30147"/>
    <w:rsid w:val="00A3019C"/>
    <w:rsid w:val="00A301ED"/>
    <w:rsid w:val="00A3023D"/>
    <w:rsid w:val="00A30265"/>
    <w:rsid w:val="00A302A1"/>
    <w:rsid w:val="00A302A6"/>
    <w:rsid w:val="00A302C0"/>
    <w:rsid w:val="00A302E1"/>
    <w:rsid w:val="00A3039F"/>
    <w:rsid w:val="00A3045D"/>
    <w:rsid w:val="00A30497"/>
    <w:rsid w:val="00A3064F"/>
    <w:rsid w:val="00A3065F"/>
    <w:rsid w:val="00A3069E"/>
    <w:rsid w:val="00A30818"/>
    <w:rsid w:val="00A30AEE"/>
    <w:rsid w:val="00A30B0A"/>
    <w:rsid w:val="00A30B4A"/>
    <w:rsid w:val="00A30B96"/>
    <w:rsid w:val="00A30B98"/>
    <w:rsid w:val="00A30E03"/>
    <w:rsid w:val="00A30E35"/>
    <w:rsid w:val="00A30E4E"/>
    <w:rsid w:val="00A310BC"/>
    <w:rsid w:val="00A3112A"/>
    <w:rsid w:val="00A31154"/>
    <w:rsid w:val="00A31236"/>
    <w:rsid w:val="00A31243"/>
    <w:rsid w:val="00A312D1"/>
    <w:rsid w:val="00A31736"/>
    <w:rsid w:val="00A31804"/>
    <w:rsid w:val="00A31958"/>
    <w:rsid w:val="00A319E0"/>
    <w:rsid w:val="00A31A4A"/>
    <w:rsid w:val="00A31BA3"/>
    <w:rsid w:val="00A31C41"/>
    <w:rsid w:val="00A31CBF"/>
    <w:rsid w:val="00A31D7F"/>
    <w:rsid w:val="00A31F00"/>
    <w:rsid w:val="00A31F9E"/>
    <w:rsid w:val="00A32038"/>
    <w:rsid w:val="00A3207B"/>
    <w:rsid w:val="00A320F2"/>
    <w:rsid w:val="00A32117"/>
    <w:rsid w:val="00A32140"/>
    <w:rsid w:val="00A321AA"/>
    <w:rsid w:val="00A32242"/>
    <w:rsid w:val="00A32268"/>
    <w:rsid w:val="00A322D2"/>
    <w:rsid w:val="00A322DC"/>
    <w:rsid w:val="00A322E7"/>
    <w:rsid w:val="00A32303"/>
    <w:rsid w:val="00A32353"/>
    <w:rsid w:val="00A324BB"/>
    <w:rsid w:val="00A3255B"/>
    <w:rsid w:val="00A3255C"/>
    <w:rsid w:val="00A32622"/>
    <w:rsid w:val="00A3280C"/>
    <w:rsid w:val="00A3282D"/>
    <w:rsid w:val="00A329DA"/>
    <w:rsid w:val="00A32B30"/>
    <w:rsid w:val="00A32C84"/>
    <w:rsid w:val="00A32D72"/>
    <w:rsid w:val="00A32E3C"/>
    <w:rsid w:val="00A32E6A"/>
    <w:rsid w:val="00A32E6B"/>
    <w:rsid w:val="00A32EB0"/>
    <w:rsid w:val="00A32F06"/>
    <w:rsid w:val="00A32FE4"/>
    <w:rsid w:val="00A32FEE"/>
    <w:rsid w:val="00A33026"/>
    <w:rsid w:val="00A333A0"/>
    <w:rsid w:val="00A33440"/>
    <w:rsid w:val="00A3346F"/>
    <w:rsid w:val="00A3349D"/>
    <w:rsid w:val="00A334BF"/>
    <w:rsid w:val="00A334F7"/>
    <w:rsid w:val="00A335D2"/>
    <w:rsid w:val="00A33B36"/>
    <w:rsid w:val="00A33BE3"/>
    <w:rsid w:val="00A33E26"/>
    <w:rsid w:val="00A33E27"/>
    <w:rsid w:val="00A33E3F"/>
    <w:rsid w:val="00A33E46"/>
    <w:rsid w:val="00A33E67"/>
    <w:rsid w:val="00A33FC6"/>
    <w:rsid w:val="00A340A8"/>
    <w:rsid w:val="00A340F3"/>
    <w:rsid w:val="00A34177"/>
    <w:rsid w:val="00A34204"/>
    <w:rsid w:val="00A34276"/>
    <w:rsid w:val="00A343D6"/>
    <w:rsid w:val="00A3446A"/>
    <w:rsid w:val="00A34535"/>
    <w:rsid w:val="00A345D5"/>
    <w:rsid w:val="00A3470F"/>
    <w:rsid w:val="00A3472D"/>
    <w:rsid w:val="00A34943"/>
    <w:rsid w:val="00A34A5C"/>
    <w:rsid w:val="00A34A95"/>
    <w:rsid w:val="00A34AA2"/>
    <w:rsid w:val="00A34C35"/>
    <w:rsid w:val="00A34DFE"/>
    <w:rsid w:val="00A34E68"/>
    <w:rsid w:val="00A34F05"/>
    <w:rsid w:val="00A34F35"/>
    <w:rsid w:val="00A34F7E"/>
    <w:rsid w:val="00A34F9F"/>
    <w:rsid w:val="00A34FCE"/>
    <w:rsid w:val="00A35044"/>
    <w:rsid w:val="00A351F7"/>
    <w:rsid w:val="00A35467"/>
    <w:rsid w:val="00A354C4"/>
    <w:rsid w:val="00A354D8"/>
    <w:rsid w:val="00A35550"/>
    <w:rsid w:val="00A35590"/>
    <w:rsid w:val="00A35695"/>
    <w:rsid w:val="00A35699"/>
    <w:rsid w:val="00A356C0"/>
    <w:rsid w:val="00A356DC"/>
    <w:rsid w:val="00A35723"/>
    <w:rsid w:val="00A35BC0"/>
    <w:rsid w:val="00A35C17"/>
    <w:rsid w:val="00A35EA2"/>
    <w:rsid w:val="00A35FF1"/>
    <w:rsid w:val="00A3600F"/>
    <w:rsid w:val="00A360CE"/>
    <w:rsid w:val="00A361D2"/>
    <w:rsid w:val="00A3626D"/>
    <w:rsid w:val="00A36446"/>
    <w:rsid w:val="00A364B3"/>
    <w:rsid w:val="00A365EB"/>
    <w:rsid w:val="00A365F3"/>
    <w:rsid w:val="00A3670F"/>
    <w:rsid w:val="00A36880"/>
    <w:rsid w:val="00A368EE"/>
    <w:rsid w:val="00A36988"/>
    <w:rsid w:val="00A36995"/>
    <w:rsid w:val="00A36A18"/>
    <w:rsid w:val="00A36C3E"/>
    <w:rsid w:val="00A36C43"/>
    <w:rsid w:val="00A36CBC"/>
    <w:rsid w:val="00A36CEB"/>
    <w:rsid w:val="00A36CEC"/>
    <w:rsid w:val="00A36D9D"/>
    <w:rsid w:val="00A36DC3"/>
    <w:rsid w:val="00A36E17"/>
    <w:rsid w:val="00A36E93"/>
    <w:rsid w:val="00A36EDF"/>
    <w:rsid w:val="00A36F35"/>
    <w:rsid w:val="00A36F9D"/>
    <w:rsid w:val="00A36FB6"/>
    <w:rsid w:val="00A37016"/>
    <w:rsid w:val="00A37082"/>
    <w:rsid w:val="00A372C2"/>
    <w:rsid w:val="00A372EA"/>
    <w:rsid w:val="00A37393"/>
    <w:rsid w:val="00A373C8"/>
    <w:rsid w:val="00A37441"/>
    <w:rsid w:val="00A37612"/>
    <w:rsid w:val="00A376EB"/>
    <w:rsid w:val="00A37839"/>
    <w:rsid w:val="00A3791F"/>
    <w:rsid w:val="00A37926"/>
    <w:rsid w:val="00A3796B"/>
    <w:rsid w:val="00A37A1D"/>
    <w:rsid w:val="00A37A59"/>
    <w:rsid w:val="00A37A7D"/>
    <w:rsid w:val="00A37B09"/>
    <w:rsid w:val="00A37BE6"/>
    <w:rsid w:val="00A37CA3"/>
    <w:rsid w:val="00A37DDD"/>
    <w:rsid w:val="00A37E28"/>
    <w:rsid w:val="00A37EA3"/>
    <w:rsid w:val="00A37EE7"/>
    <w:rsid w:val="00A37FC0"/>
    <w:rsid w:val="00A4009D"/>
    <w:rsid w:val="00A400F1"/>
    <w:rsid w:val="00A400F6"/>
    <w:rsid w:val="00A40159"/>
    <w:rsid w:val="00A40200"/>
    <w:rsid w:val="00A4022F"/>
    <w:rsid w:val="00A402C1"/>
    <w:rsid w:val="00A40490"/>
    <w:rsid w:val="00A404CF"/>
    <w:rsid w:val="00A405AE"/>
    <w:rsid w:val="00A40711"/>
    <w:rsid w:val="00A408E6"/>
    <w:rsid w:val="00A408F1"/>
    <w:rsid w:val="00A4096A"/>
    <w:rsid w:val="00A40C0E"/>
    <w:rsid w:val="00A40C1B"/>
    <w:rsid w:val="00A40D8A"/>
    <w:rsid w:val="00A40DBA"/>
    <w:rsid w:val="00A41012"/>
    <w:rsid w:val="00A41031"/>
    <w:rsid w:val="00A4108E"/>
    <w:rsid w:val="00A410B1"/>
    <w:rsid w:val="00A411A2"/>
    <w:rsid w:val="00A411D2"/>
    <w:rsid w:val="00A411F7"/>
    <w:rsid w:val="00A414D7"/>
    <w:rsid w:val="00A41573"/>
    <w:rsid w:val="00A415F0"/>
    <w:rsid w:val="00A41626"/>
    <w:rsid w:val="00A41790"/>
    <w:rsid w:val="00A419D0"/>
    <w:rsid w:val="00A41A42"/>
    <w:rsid w:val="00A41A70"/>
    <w:rsid w:val="00A41A99"/>
    <w:rsid w:val="00A41E83"/>
    <w:rsid w:val="00A420E2"/>
    <w:rsid w:val="00A423AE"/>
    <w:rsid w:val="00A423F0"/>
    <w:rsid w:val="00A42422"/>
    <w:rsid w:val="00A42512"/>
    <w:rsid w:val="00A425AE"/>
    <w:rsid w:val="00A425C2"/>
    <w:rsid w:val="00A4264C"/>
    <w:rsid w:val="00A42750"/>
    <w:rsid w:val="00A42812"/>
    <w:rsid w:val="00A42831"/>
    <w:rsid w:val="00A428DC"/>
    <w:rsid w:val="00A428F6"/>
    <w:rsid w:val="00A42A44"/>
    <w:rsid w:val="00A42A84"/>
    <w:rsid w:val="00A42C70"/>
    <w:rsid w:val="00A42F5D"/>
    <w:rsid w:val="00A43059"/>
    <w:rsid w:val="00A432DE"/>
    <w:rsid w:val="00A4332C"/>
    <w:rsid w:val="00A433EE"/>
    <w:rsid w:val="00A4342B"/>
    <w:rsid w:val="00A434C3"/>
    <w:rsid w:val="00A434E5"/>
    <w:rsid w:val="00A43500"/>
    <w:rsid w:val="00A43549"/>
    <w:rsid w:val="00A43749"/>
    <w:rsid w:val="00A437AA"/>
    <w:rsid w:val="00A437EC"/>
    <w:rsid w:val="00A438B5"/>
    <w:rsid w:val="00A4391C"/>
    <w:rsid w:val="00A43980"/>
    <w:rsid w:val="00A439D6"/>
    <w:rsid w:val="00A43D1D"/>
    <w:rsid w:val="00A43D70"/>
    <w:rsid w:val="00A43D7C"/>
    <w:rsid w:val="00A43D95"/>
    <w:rsid w:val="00A43DE4"/>
    <w:rsid w:val="00A43E6A"/>
    <w:rsid w:val="00A43EA4"/>
    <w:rsid w:val="00A43EC5"/>
    <w:rsid w:val="00A43EFA"/>
    <w:rsid w:val="00A43F14"/>
    <w:rsid w:val="00A43F18"/>
    <w:rsid w:val="00A43FD1"/>
    <w:rsid w:val="00A43FE0"/>
    <w:rsid w:val="00A44149"/>
    <w:rsid w:val="00A44299"/>
    <w:rsid w:val="00A443AC"/>
    <w:rsid w:val="00A444B2"/>
    <w:rsid w:val="00A44554"/>
    <w:rsid w:val="00A446ED"/>
    <w:rsid w:val="00A447DA"/>
    <w:rsid w:val="00A447EF"/>
    <w:rsid w:val="00A447FB"/>
    <w:rsid w:val="00A44A25"/>
    <w:rsid w:val="00A44A7A"/>
    <w:rsid w:val="00A44BA0"/>
    <w:rsid w:val="00A44D17"/>
    <w:rsid w:val="00A44D8A"/>
    <w:rsid w:val="00A44DBA"/>
    <w:rsid w:val="00A44DD2"/>
    <w:rsid w:val="00A44E0A"/>
    <w:rsid w:val="00A44EC2"/>
    <w:rsid w:val="00A44F6B"/>
    <w:rsid w:val="00A44FBB"/>
    <w:rsid w:val="00A45032"/>
    <w:rsid w:val="00A451CA"/>
    <w:rsid w:val="00A45238"/>
    <w:rsid w:val="00A45282"/>
    <w:rsid w:val="00A452F5"/>
    <w:rsid w:val="00A45341"/>
    <w:rsid w:val="00A45368"/>
    <w:rsid w:val="00A453FD"/>
    <w:rsid w:val="00A45435"/>
    <w:rsid w:val="00A45498"/>
    <w:rsid w:val="00A455A7"/>
    <w:rsid w:val="00A45810"/>
    <w:rsid w:val="00A459A2"/>
    <w:rsid w:val="00A45B33"/>
    <w:rsid w:val="00A45BEF"/>
    <w:rsid w:val="00A45C40"/>
    <w:rsid w:val="00A45C64"/>
    <w:rsid w:val="00A45CA3"/>
    <w:rsid w:val="00A45CFF"/>
    <w:rsid w:val="00A45D4B"/>
    <w:rsid w:val="00A46068"/>
    <w:rsid w:val="00A461CC"/>
    <w:rsid w:val="00A461D6"/>
    <w:rsid w:val="00A46269"/>
    <w:rsid w:val="00A46391"/>
    <w:rsid w:val="00A463B6"/>
    <w:rsid w:val="00A463F6"/>
    <w:rsid w:val="00A46401"/>
    <w:rsid w:val="00A4648F"/>
    <w:rsid w:val="00A4650D"/>
    <w:rsid w:val="00A465A4"/>
    <w:rsid w:val="00A465F9"/>
    <w:rsid w:val="00A466D9"/>
    <w:rsid w:val="00A46746"/>
    <w:rsid w:val="00A46831"/>
    <w:rsid w:val="00A46938"/>
    <w:rsid w:val="00A469D6"/>
    <w:rsid w:val="00A469FB"/>
    <w:rsid w:val="00A46A2D"/>
    <w:rsid w:val="00A46A50"/>
    <w:rsid w:val="00A46A9A"/>
    <w:rsid w:val="00A46B11"/>
    <w:rsid w:val="00A46BDC"/>
    <w:rsid w:val="00A46C83"/>
    <w:rsid w:val="00A46CB0"/>
    <w:rsid w:val="00A46D1A"/>
    <w:rsid w:val="00A46E7E"/>
    <w:rsid w:val="00A46FD8"/>
    <w:rsid w:val="00A46FDC"/>
    <w:rsid w:val="00A46FE2"/>
    <w:rsid w:val="00A4703B"/>
    <w:rsid w:val="00A47068"/>
    <w:rsid w:val="00A4709B"/>
    <w:rsid w:val="00A470C7"/>
    <w:rsid w:val="00A470D6"/>
    <w:rsid w:val="00A47174"/>
    <w:rsid w:val="00A471F5"/>
    <w:rsid w:val="00A473C0"/>
    <w:rsid w:val="00A473DC"/>
    <w:rsid w:val="00A474CB"/>
    <w:rsid w:val="00A475E9"/>
    <w:rsid w:val="00A476E6"/>
    <w:rsid w:val="00A47821"/>
    <w:rsid w:val="00A47825"/>
    <w:rsid w:val="00A4789F"/>
    <w:rsid w:val="00A47A55"/>
    <w:rsid w:val="00A47ABB"/>
    <w:rsid w:val="00A47D35"/>
    <w:rsid w:val="00A47D59"/>
    <w:rsid w:val="00A47EBB"/>
    <w:rsid w:val="00A5016A"/>
    <w:rsid w:val="00A50215"/>
    <w:rsid w:val="00A5026C"/>
    <w:rsid w:val="00A502BC"/>
    <w:rsid w:val="00A502F7"/>
    <w:rsid w:val="00A50480"/>
    <w:rsid w:val="00A504AD"/>
    <w:rsid w:val="00A504EB"/>
    <w:rsid w:val="00A505B8"/>
    <w:rsid w:val="00A50616"/>
    <w:rsid w:val="00A5073B"/>
    <w:rsid w:val="00A50780"/>
    <w:rsid w:val="00A507CD"/>
    <w:rsid w:val="00A50815"/>
    <w:rsid w:val="00A5083F"/>
    <w:rsid w:val="00A5091A"/>
    <w:rsid w:val="00A509D7"/>
    <w:rsid w:val="00A50AF7"/>
    <w:rsid w:val="00A50B1B"/>
    <w:rsid w:val="00A50B86"/>
    <w:rsid w:val="00A50C85"/>
    <w:rsid w:val="00A50C88"/>
    <w:rsid w:val="00A50ED2"/>
    <w:rsid w:val="00A50F0D"/>
    <w:rsid w:val="00A50F1F"/>
    <w:rsid w:val="00A510A3"/>
    <w:rsid w:val="00A510C5"/>
    <w:rsid w:val="00A511E5"/>
    <w:rsid w:val="00A513A6"/>
    <w:rsid w:val="00A51412"/>
    <w:rsid w:val="00A5150D"/>
    <w:rsid w:val="00A516FD"/>
    <w:rsid w:val="00A517E5"/>
    <w:rsid w:val="00A5182F"/>
    <w:rsid w:val="00A51834"/>
    <w:rsid w:val="00A5183C"/>
    <w:rsid w:val="00A51875"/>
    <w:rsid w:val="00A51945"/>
    <w:rsid w:val="00A519A3"/>
    <w:rsid w:val="00A51B60"/>
    <w:rsid w:val="00A51C1B"/>
    <w:rsid w:val="00A51C3D"/>
    <w:rsid w:val="00A51CC0"/>
    <w:rsid w:val="00A51CC9"/>
    <w:rsid w:val="00A51DA7"/>
    <w:rsid w:val="00A51DDB"/>
    <w:rsid w:val="00A51FA7"/>
    <w:rsid w:val="00A52055"/>
    <w:rsid w:val="00A52085"/>
    <w:rsid w:val="00A52090"/>
    <w:rsid w:val="00A520A3"/>
    <w:rsid w:val="00A520C1"/>
    <w:rsid w:val="00A52172"/>
    <w:rsid w:val="00A521DA"/>
    <w:rsid w:val="00A52261"/>
    <w:rsid w:val="00A523C9"/>
    <w:rsid w:val="00A52625"/>
    <w:rsid w:val="00A5262C"/>
    <w:rsid w:val="00A526E5"/>
    <w:rsid w:val="00A5277A"/>
    <w:rsid w:val="00A528C7"/>
    <w:rsid w:val="00A529D9"/>
    <w:rsid w:val="00A529F9"/>
    <w:rsid w:val="00A52AA7"/>
    <w:rsid w:val="00A52AEC"/>
    <w:rsid w:val="00A52CFC"/>
    <w:rsid w:val="00A52D76"/>
    <w:rsid w:val="00A52E59"/>
    <w:rsid w:val="00A52E7D"/>
    <w:rsid w:val="00A52EA3"/>
    <w:rsid w:val="00A52ED5"/>
    <w:rsid w:val="00A52F5D"/>
    <w:rsid w:val="00A52F6F"/>
    <w:rsid w:val="00A530E0"/>
    <w:rsid w:val="00A53170"/>
    <w:rsid w:val="00A531A1"/>
    <w:rsid w:val="00A5331B"/>
    <w:rsid w:val="00A53321"/>
    <w:rsid w:val="00A5349D"/>
    <w:rsid w:val="00A534C2"/>
    <w:rsid w:val="00A53645"/>
    <w:rsid w:val="00A5371D"/>
    <w:rsid w:val="00A53795"/>
    <w:rsid w:val="00A537C4"/>
    <w:rsid w:val="00A537FA"/>
    <w:rsid w:val="00A538F2"/>
    <w:rsid w:val="00A53959"/>
    <w:rsid w:val="00A539E7"/>
    <w:rsid w:val="00A53B1D"/>
    <w:rsid w:val="00A53B44"/>
    <w:rsid w:val="00A53D41"/>
    <w:rsid w:val="00A53DAF"/>
    <w:rsid w:val="00A53EC0"/>
    <w:rsid w:val="00A542BC"/>
    <w:rsid w:val="00A543AB"/>
    <w:rsid w:val="00A543D1"/>
    <w:rsid w:val="00A5447E"/>
    <w:rsid w:val="00A54507"/>
    <w:rsid w:val="00A54531"/>
    <w:rsid w:val="00A5457C"/>
    <w:rsid w:val="00A545EC"/>
    <w:rsid w:val="00A54649"/>
    <w:rsid w:val="00A546F1"/>
    <w:rsid w:val="00A5470D"/>
    <w:rsid w:val="00A54752"/>
    <w:rsid w:val="00A547DD"/>
    <w:rsid w:val="00A547E6"/>
    <w:rsid w:val="00A548AA"/>
    <w:rsid w:val="00A5495F"/>
    <w:rsid w:val="00A549F9"/>
    <w:rsid w:val="00A54A80"/>
    <w:rsid w:val="00A54AC3"/>
    <w:rsid w:val="00A54B3D"/>
    <w:rsid w:val="00A54B92"/>
    <w:rsid w:val="00A54B96"/>
    <w:rsid w:val="00A54BF8"/>
    <w:rsid w:val="00A54C1C"/>
    <w:rsid w:val="00A54C94"/>
    <w:rsid w:val="00A54E7C"/>
    <w:rsid w:val="00A54F04"/>
    <w:rsid w:val="00A550E3"/>
    <w:rsid w:val="00A550F2"/>
    <w:rsid w:val="00A552DE"/>
    <w:rsid w:val="00A55351"/>
    <w:rsid w:val="00A55394"/>
    <w:rsid w:val="00A553A2"/>
    <w:rsid w:val="00A5568A"/>
    <w:rsid w:val="00A5568F"/>
    <w:rsid w:val="00A556CF"/>
    <w:rsid w:val="00A55737"/>
    <w:rsid w:val="00A55873"/>
    <w:rsid w:val="00A55883"/>
    <w:rsid w:val="00A55884"/>
    <w:rsid w:val="00A55961"/>
    <w:rsid w:val="00A559EA"/>
    <w:rsid w:val="00A55AF5"/>
    <w:rsid w:val="00A55BE1"/>
    <w:rsid w:val="00A55C3E"/>
    <w:rsid w:val="00A55D78"/>
    <w:rsid w:val="00A55D87"/>
    <w:rsid w:val="00A55DCC"/>
    <w:rsid w:val="00A55DD5"/>
    <w:rsid w:val="00A55E63"/>
    <w:rsid w:val="00A560AB"/>
    <w:rsid w:val="00A560F4"/>
    <w:rsid w:val="00A5612E"/>
    <w:rsid w:val="00A562D9"/>
    <w:rsid w:val="00A56384"/>
    <w:rsid w:val="00A5643D"/>
    <w:rsid w:val="00A564D0"/>
    <w:rsid w:val="00A565CD"/>
    <w:rsid w:val="00A565EA"/>
    <w:rsid w:val="00A566B0"/>
    <w:rsid w:val="00A566FC"/>
    <w:rsid w:val="00A56891"/>
    <w:rsid w:val="00A569B3"/>
    <w:rsid w:val="00A569F1"/>
    <w:rsid w:val="00A56B1A"/>
    <w:rsid w:val="00A56BD4"/>
    <w:rsid w:val="00A56C79"/>
    <w:rsid w:val="00A56C9F"/>
    <w:rsid w:val="00A56CAD"/>
    <w:rsid w:val="00A56CBE"/>
    <w:rsid w:val="00A56E44"/>
    <w:rsid w:val="00A56E9A"/>
    <w:rsid w:val="00A56E9C"/>
    <w:rsid w:val="00A56F02"/>
    <w:rsid w:val="00A56FA7"/>
    <w:rsid w:val="00A57099"/>
    <w:rsid w:val="00A570A1"/>
    <w:rsid w:val="00A571A7"/>
    <w:rsid w:val="00A57374"/>
    <w:rsid w:val="00A573EA"/>
    <w:rsid w:val="00A57550"/>
    <w:rsid w:val="00A5759F"/>
    <w:rsid w:val="00A575ED"/>
    <w:rsid w:val="00A576A8"/>
    <w:rsid w:val="00A5771F"/>
    <w:rsid w:val="00A5776A"/>
    <w:rsid w:val="00A577E1"/>
    <w:rsid w:val="00A57A5F"/>
    <w:rsid w:val="00A57B04"/>
    <w:rsid w:val="00A57B99"/>
    <w:rsid w:val="00A57D15"/>
    <w:rsid w:val="00A57E95"/>
    <w:rsid w:val="00A57F3D"/>
    <w:rsid w:val="00A57FC2"/>
    <w:rsid w:val="00A60199"/>
    <w:rsid w:val="00A602D1"/>
    <w:rsid w:val="00A602F6"/>
    <w:rsid w:val="00A60339"/>
    <w:rsid w:val="00A603C3"/>
    <w:rsid w:val="00A6045B"/>
    <w:rsid w:val="00A6068C"/>
    <w:rsid w:val="00A60729"/>
    <w:rsid w:val="00A60770"/>
    <w:rsid w:val="00A607B8"/>
    <w:rsid w:val="00A60886"/>
    <w:rsid w:val="00A609C6"/>
    <w:rsid w:val="00A60C4F"/>
    <w:rsid w:val="00A60CBD"/>
    <w:rsid w:val="00A60D02"/>
    <w:rsid w:val="00A60D23"/>
    <w:rsid w:val="00A60EA3"/>
    <w:rsid w:val="00A60F59"/>
    <w:rsid w:val="00A60F8D"/>
    <w:rsid w:val="00A61007"/>
    <w:rsid w:val="00A61015"/>
    <w:rsid w:val="00A61066"/>
    <w:rsid w:val="00A6112C"/>
    <w:rsid w:val="00A611A8"/>
    <w:rsid w:val="00A61312"/>
    <w:rsid w:val="00A614AC"/>
    <w:rsid w:val="00A6153B"/>
    <w:rsid w:val="00A615B8"/>
    <w:rsid w:val="00A6179C"/>
    <w:rsid w:val="00A617C2"/>
    <w:rsid w:val="00A617EB"/>
    <w:rsid w:val="00A61814"/>
    <w:rsid w:val="00A618B4"/>
    <w:rsid w:val="00A619A0"/>
    <w:rsid w:val="00A61A5E"/>
    <w:rsid w:val="00A61B05"/>
    <w:rsid w:val="00A61B2C"/>
    <w:rsid w:val="00A61F92"/>
    <w:rsid w:val="00A61FE2"/>
    <w:rsid w:val="00A61FF7"/>
    <w:rsid w:val="00A62056"/>
    <w:rsid w:val="00A62093"/>
    <w:rsid w:val="00A62212"/>
    <w:rsid w:val="00A6226D"/>
    <w:rsid w:val="00A622E9"/>
    <w:rsid w:val="00A6272A"/>
    <w:rsid w:val="00A62749"/>
    <w:rsid w:val="00A62901"/>
    <w:rsid w:val="00A62AFA"/>
    <w:rsid w:val="00A62B17"/>
    <w:rsid w:val="00A62BF0"/>
    <w:rsid w:val="00A62D77"/>
    <w:rsid w:val="00A62DC2"/>
    <w:rsid w:val="00A62F7F"/>
    <w:rsid w:val="00A62FC2"/>
    <w:rsid w:val="00A62FF4"/>
    <w:rsid w:val="00A63140"/>
    <w:rsid w:val="00A63245"/>
    <w:rsid w:val="00A63274"/>
    <w:rsid w:val="00A632B8"/>
    <w:rsid w:val="00A63348"/>
    <w:rsid w:val="00A6338F"/>
    <w:rsid w:val="00A634C3"/>
    <w:rsid w:val="00A63562"/>
    <w:rsid w:val="00A635AA"/>
    <w:rsid w:val="00A63809"/>
    <w:rsid w:val="00A63840"/>
    <w:rsid w:val="00A63878"/>
    <w:rsid w:val="00A6389A"/>
    <w:rsid w:val="00A6398C"/>
    <w:rsid w:val="00A639BB"/>
    <w:rsid w:val="00A63A87"/>
    <w:rsid w:val="00A63AAF"/>
    <w:rsid w:val="00A63BB0"/>
    <w:rsid w:val="00A63DDA"/>
    <w:rsid w:val="00A63EC2"/>
    <w:rsid w:val="00A63F0F"/>
    <w:rsid w:val="00A63F4A"/>
    <w:rsid w:val="00A63FF9"/>
    <w:rsid w:val="00A64060"/>
    <w:rsid w:val="00A64144"/>
    <w:rsid w:val="00A64177"/>
    <w:rsid w:val="00A641FE"/>
    <w:rsid w:val="00A642BC"/>
    <w:rsid w:val="00A642E7"/>
    <w:rsid w:val="00A64401"/>
    <w:rsid w:val="00A6441C"/>
    <w:rsid w:val="00A645B5"/>
    <w:rsid w:val="00A645B7"/>
    <w:rsid w:val="00A6481A"/>
    <w:rsid w:val="00A648B3"/>
    <w:rsid w:val="00A6492D"/>
    <w:rsid w:val="00A649B5"/>
    <w:rsid w:val="00A64AA1"/>
    <w:rsid w:val="00A64ACA"/>
    <w:rsid w:val="00A64C2B"/>
    <w:rsid w:val="00A64D09"/>
    <w:rsid w:val="00A64D87"/>
    <w:rsid w:val="00A64DE2"/>
    <w:rsid w:val="00A6501C"/>
    <w:rsid w:val="00A65084"/>
    <w:rsid w:val="00A650DB"/>
    <w:rsid w:val="00A65103"/>
    <w:rsid w:val="00A65126"/>
    <w:rsid w:val="00A653A4"/>
    <w:rsid w:val="00A653B4"/>
    <w:rsid w:val="00A6552A"/>
    <w:rsid w:val="00A65593"/>
    <w:rsid w:val="00A65716"/>
    <w:rsid w:val="00A65726"/>
    <w:rsid w:val="00A65754"/>
    <w:rsid w:val="00A65BF3"/>
    <w:rsid w:val="00A65C09"/>
    <w:rsid w:val="00A65CE5"/>
    <w:rsid w:val="00A65D1B"/>
    <w:rsid w:val="00A65E73"/>
    <w:rsid w:val="00A65E77"/>
    <w:rsid w:val="00A65F69"/>
    <w:rsid w:val="00A65FB2"/>
    <w:rsid w:val="00A66037"/>
    <w:rsid w:val="00A66073"/>
    <w:rsid w:val="00A6607A"/>
    <w:rsid w:val="00A66171"/>
    <w:rsid w:val="00A66276"/>
    <w:rsid w:val="00A66283"/>
    <w:rsid w:val="00A662AA"/>
    <w:rsid w:val="00A66301"/>
    <w:rsid w:val="00A663E9"/>
    <w:rsid w:val="00A66457"/>
    <w:rsid w:val="00A6646A"/>
    <w:rsid w:val="00A664A0"/>
    <w:rsid w:val="00A664FA"/>
    <w:rsid w:val="00A6689F"/>
    <w:rsid w:val="00A668A5"/>
    <w:rsid w:val="00A66A24"/>
    <w:rsid w:val="00A66B49"/>
    <w:rsid w:val="00A66B52"/>
    <w:rsid w:val="00A66B95"/>
    <w:rsid w:val="00A66BEC"/>
    <w:rsid w:val="00A66E0F"/>
    <w:rsid w:val="00A66E16"/>
    <w:rsid w:val="00A66E77"/>
    <w:rsid w:val="00A66E8E"/>
    <w:rsid w:val="00A66F3A"/>
    <w:rsid w:val="00A66FA4"/>
    <w:rsid w:val="00A66FFD"/>
    <w:rsid w:val="00A67122"/>
    <w:rsid w:val="00A6714B"/>
    <w:rsid w:val="00A67191"/>
    <w:rsid w:val="00A6736E"/>
    <w:rsid w:val="00A673BD"/>
    <w:rsid w:val="00A67401"/>
    <w:rsid w:val="00A674F4"/>
    <w:rsid w:val="00A6752C"/>
    <w:rsid w:val="00A6759E"/>
    <w:rsid w:val="00A6761E"/>
    <w:rsid w:val="00A6762D"/>
    <w:rsid w:val="00A6766B"/>
    <w:rsid w:val="00A677C9"/>
    <w:rsid w:val="00A677FE"/>
    <w:rsid w:val="00A67821"/>
    <w:rsid w:val="00A678E4"/>
    <w:rsid w:val="00A678E6"/>
    <w:rsid w:val="00A67A12"/>
    <w:rsid w:val="00A67B94"/>
    <w:rsid w:val="00A67D7C"/>
    <w:rsid w:val="00A67DD8"/>
    <w:rsid w:val="00A67EDB"/>
    <w:rsid w:val="00A6ECB8"/>
    <w:rsid w:val="00A70078"/>
    <w:rsid w:val="00A70192"/>
    <w:rsid w:val="00A70361"/>
    <w:rsid w:val="00A70488"/>
    <w:rsid w:val="00A704A2"/>
    <w:rsid w:val="00A7056C"/>
    <w:rsid w:val="00A70602"/>
    <w:rsid w:val="00A7078D"/>
    <w:rsid w:val="00A7081C"/>
    <w:rsid w:val="00A709F2"/>
    <w:rsid w:val="00A70A2C"/>
    <w:rsid w:val="00A70A7F"/>
    <w:rsid w:val="00A70AA3"/>
    <w:rsid w:val="00A70AC7"/>
    <w:rsid w:val="00A70B23"/>
    <w:rsid w:val="00A70B6E"/>
    <w:rsid w:val="00A70F0A"/>
    <w:rsid w:val="00A70F2E"/>
    <w:rsid w:val="00A70FF5"/>
    <w:rsid w:val="00A71044"/>
    <w:rsid w:val="00A710AB"/>
    <w:rsid w:val="00A7119D"/>
    <w:rsid w:val="00A71392"/>
    <w:rsid w:val="00A71538"/>
    <w:rsid w:val="00A7158D"/>
    <w:rsid w:val="00A7186A"/>
    <w:rsid w:val="00A71918"/>
    <w:rsid w:val="00A71A24"/>
    <w:rsid w:val="00A71C06"/>
    <w:rsid w:val="00A71C36"/>
    <w:rsid w:val="00A71C74"/>
    <w:rsid w:val="00A71D69"/>
    <w:rsid w:val="00A71DC0"/>
    <w:rsid w:val="00A71F4F"/>
    <w:rsid w:val="00A71F94"/>
    <w:rsid w:val="00A71FB8"/>
    <w:rsid w:val="00A7206E"/>
    <w:rsid w:val="00A72289"/>
    <w:rsid w:val="00A72290"/>
    <w:rsid w:val="00A723DF"/>
    <w:rsid w:val="00A72498"/>
    <w:rsid w:val="00A7258E"/>
    <w:rsid w:val="00A727AE"/>
    <w:rsid w:val="00A72977"/>
    <w:rsid w:val="00A72A72"/>
    <w:rsid w:val="00A72A94"/>
    <w:rsid w:val="00A72BAA"/>
    <w:rsid w:val="00A72BAF"/>
    <w:rsid w:val="00A72BFF"/>
    <w:rsid w:val="00A72DD1"/>
    <w:rsid w:val="00A72E6B"/>
    <w:rsid w:val="00A72F14"/>
    <w:rsid w:val="00A730C5"/>
    <w:rsid w:val="00A733F3"/>
    <w:rsid w:val="00A734E7"/>
    <w:rsid w:val="00A734ED"/>
    <w:rsid w:val="00A7354D"/>
    <w:rsid w:val="00A7358E"/>
    <w:rsid w:val="00A736AC"/>
    <w:rsid w:val="00A736E4"/>
    <w:rsid w:val="00A737E1"/>
    <w:rsid w:val="00A7385E"/>
    <w:rsid w:val="00A73874"/>
    <w:rsid w:val="00A73B47"/>
    <w:rsid w:val="00A73C9D"/>
    <w:rsid w:val="00A73E04"/>
    <w:rsid w:val="00A73E6B"/>
    <w:rsid w:val="00A74024"/>
    <w:rsid w:val="00A74098"/>
    <w:rsid w:val="00A74138"/>
    <w:rsid w:val="00A74253"/>
    <w:rsid w:val="00A742D4"/>
    <w:rsid w:val="00A74378"/>
    <w:rsid w:val="00A7437C"/>
    <w:rsid w:val="00A743BE"/>
    <w:rsid w:val="00A74410"/>
    <w:rsid w:val="00A744B0"/>
    <w:rsid w:val="00A744E9"/>
    <w:rsid w:val="00A7450D"/>
    <w:rsid w:val="00A7454A"/>
    <w:rsid w:val="00A745A3"/>
    <w:rsid w:val="00A745BC"/>
    <w:rsid w:val="00A747BA"/>
    <w:rsid w:val="00A74829"/>
    <w:rsid w:val="00A74889"/>
    <w:rsid w:val="00A748F1"/>
    <w:rsid w:val="00A748F9"/>
    <w:rsid w:val="00A749E1"/>
    <w:rsid w:val="00A749FC"/>
    <w:rsid w:val="00A74A5D"/>
    <w:rsid w:val="00A74BC0"/>
    <w:rsid w:val="00A74CCA"/>
    <w:rsid w:val="00A74CE0"/>
    <w:rsid w:val="00A74D15"/>
    <w:rsid w:val="00A74DE8"/>
    <w:rsid w:val="00A74EAC"/>
    <w:rsid w:val="00A74FAB"/>
    <w:rsid w:val="00A75032"/>
    <w:rsid w:val="00A7507C"/>
    <w:rsid w:val="00A75118"/>
    <w:rsid w:val="00A751BE"/>
    <w:rsid w:val="00A7537B"/>
    <w:rsid w:val="00A7560F"/>
    <w:rsid w:val="00A756E4"/>
    <w:rsid w:val="00A75795"/>
    <w:rsid w:val="00A75802"/>
    <w:rsid w:val="00A75A9E"/>
    <w:rsid w:val="00A75AE6"/>
    <w:rsid w:val="00A75B8B"/>
    <w:rsid w:val="00A75BEC"/>
    <w:rsid w:val="00A75D95"/>
    <w:rsid w:val="00A75DA1"/>
    <w:rsid w:val="00A75F1B"/>
    <w:rsid w:val="00A75F55"/>
    <w:rsid w:val="00A76418"/>
    <w:rsid w:val="00A7643E"/>
    <w:rsid w:val="00A764C5"/>
    <w:rsid w:val="00A7658E"/>
    <w:rsid w:val="00A7673A"/>
    <w:rsid w:val="00A767D5"/>
    <w:rsid w:val="00A768BE"/>
    <w:rsid w:val="00A76A80"/>
    <w:rsid w:val="00A76B4E"/>
    <w:rsid w:val="00A76BF9"/>
    <w:rsid w:val="00A76C65"/>
    <w:rsid w:val="00A76C90"/>
    <w:rsid w:val="00A76D33"/>
    <w:rsid w:val="00A76E93"/>
    <w:rsid w:val="00A76F04"/>
    <w:rsid w:val="00A76F43"/>
    <w:rsid w:val="00A76F6A"/>
    <w:rsid w:val="00A76F6C"/>
    <w:rsid w:val="00A770BC"/>
    <w:rsid w:val="00A77146"/>
    <w:rsid w:val="00A772BF"/>
    <w:rsid w:val="00A772DF"/>
    <w:rsid w:val="00A773BA"/>
    <w:rsid w:val="00A77482"/>
    <w:rsid w:val="00A7748C"/>
    <w:rsid w:val="00A77548"/>
    <w:rsid w:val="00A7757C"/>
    <w:rsid w:val="00A776CD"/>
    <w:rsid w:val="00A77750"/>
    <w:rsid w:val="00A777B7"/>
    <w:rsid w:val="00A77834"/>
    <w:rsid w:val="00A77853"/>
    <w:rsid w:val="00A77A8C"/>
    <w:rsid w:val="00A77A98"/>
    <w:rsid w:val="00A77BD3"/>
    <w:rsid w:val="00A77C0B"/>
    <w:rsid w:val="00A77CFB"/>
    <w:rsid w:val="00A77E2F"/>
    <w:rsid w:val="00A80075"/>
    <w:rsid w:val="00A8027D"/>
    <w:rsid w:val="00A80336"/>
    <w:rsid w:val="00A803AA"/>
    <w:rsid w:val="00A803F7"/>
    <w:rsid w:val="00A804C7"/>
    <w:rsid w:val="00A80546"/>
    <w:rsid w:val="00A80739"/>
    <w:rsid w:val="00A807B6"/>
    <w:rsid w:val="00A80804"/>
    <w:rsid w:val="00A809E1"/>
    <w:rsid w:val="00A80DC3"/>
    <w:rsid w:val="00A80DD4"/>
    <w:rsid w:val="00A80E4F"/>
    <w:rsid w:val="00A810A6"/>
    <w:rsid w:val="00A81182"/>
    <w:rsid w:val="00A8121A"/>
    <w:rsid w:val="00A81428"/>
    <w:rsid w:val="00A81587"/>
    <w:rsid w:val="00A81608"/>
    <w:rsid w:val="00A81638"/>
    <w:rsid w:val="00A8167C"/>
    <w:rsid w:val="00A8170A"/>
    <w:rsid w:val="00A81928"/>
    <w:rsid w:val="00A81A03"/>
    <w:rsid w:val="00A81A2C"/>
    <w:rsid w:val="00A81A78"/>
    <w:rsid w:val="00A81C95"/>
    <w:rsid w:val="00A81CD4"/>
    <w:rsid w:val="00A81F0E"/>
    <w:rsid w:val="00A81F35"/>
    <w:rsid w:val="00A81F80"/>
    <w:rsid w:val="00A81FD3"/>
    <w:rsid w:val="00A81FF9"/>
    <w:rsid w:val="00A820AF"/>
    <w:rsid w:val="00A821E2"/>
    <w:rsid w:val="00A8226E"/>
    <w:rsid w:val="00A822AB"/>
    <w:rsid w:val="00A82477"/>
    <w:rsid w:val="00A825BD"/>
    <w:rsid w:val="00A826CE"/>
    <w:rsid w:val="00A82717"/>
    <w:rsid w:val="00A82817"/>
    <w:rsid w:val="00A828B4"/>
    <w:rsid w:val="00A82967"/>
    <w:rsid w:val="00A82A03"/>
    <w:rsid w:val="00A82A1E"/>
    <w:rsid w:val="00A82B96"/>
    <w:rsid w:val="00A82BC5"/>
    <w:rsid w:val="00A82BCD"/>
    <w:rsid w:val="00A82C04"/>
    <w:rsid w:val="00A82E5F"/>
    <w:rsid w:val="00A82EF9"/>
    <w:rsid w:val="00A82F9F"/>
    <w:rsid w:val="00A830AC"/>
    <w:rsid w:val="00A830F0"/>
    <w:rsid w:val="00A832A4"/>
    <w:rsid w:val="00A8330C"/>
    <w:rsid w:val="00A8339C"/>
    <w:rsid w:val="00A83715"/>
    <w:rsid w:val="00A83964"/>
    <w:rsid w:val="00A8398F"/>
    <w:rsid w:val="00A839C2"/>
    <w:rsid w:val="00A83B9E"/>
    <w:rsid w:val="00A83BCB"/>
    <w:rsid w:val="00A83E61"/>
    <w:rsid w:val="00A83E82"/>
    <w:rsid w:val="00A83F68"/>
    <w:rsid w:val="00A83FA1"/>
    <w:rsid w:val="00A84005"/>
    <w:rsid w:val="00A8408B"/>
    <w:rsid w:val="00A8413A"/>
    <w:rsid w:val="00A84148"/>
    <w:rsid w:val="00A84161"/>
    <w:rsid w:val="00A841F6"/>
    <w:rsid w:val="00A842C5"/>
    <w:rsid w:val="00A84386"/>
    <w:rsid w:val="00A843A0"/>
    <w:rsid w:val="00A843EA"/>
    <w:rsid w:val="00A84417"/>
    <w:rsid w:val="00A844A7"/>
    <w:rsid w:val="00A84534"/>
    <w:rsid w:val="00A84556"/>
    <w:rsid w:val="00A8465F"/>
    <w:rsid w:val="00A84882"/>
    <w:rsid w:val="00A84A08"/>
    <w:rsid w:val="00A84B74"/>
    <w:rsid w:val="00A84C0D"/>
    <w:rsid w:val="00A84D6D"/>
    <w:rsid w:val="00A84DBE"/>
    <w:rsid w:val="00A84E1A"/>
    <w:rsid w:val="00A84E4C"/>
    <w:rsid w:val="00A84EAE"/>
    <w:rsid w:val="00A84F1F"/>
    <w:rsid w:val="00A84F6C"/>
    <w:rsid w:val="00A84FD9"/>
    <w:rsid w:val="00A85029"/>
    <w:rsid w:val="00A8508D"/>
    <w:rsid w:val="00A8516E"/>
    <w:rsid w:val="00A8525A"/>
    <w:rsid w:val="00A85271"/>
    <w:rsid w:val="00A85339"/>
    <w:rsid w:val="00A853F3"/>
    <w:rsid w:val="00A8540A"/>
    <w:rsid w:val="00A85452"/>
    <w:rsid w:val="00A854EA"/>
    <w:rsid w:val="00A85579"/>
    <w:rsid w:val="00A85692"/>
    <w:rsid w:val="00A858A3"/>
    <w:rsid w:val="00A8590A"/>
    <w:rsid w:val="00A8597B"/>
    <w:rsid w:val="00A85A6B"/>
    <w:rsid w:val="00A85B70"/>
    <w:rsid w:val="00A85B9B"/>
    <w:rsid w:val="00A85C99"/>
    <w:rsid w:val="00A85D6A"/>
    <w:rsid w:val="00A85ECC"/>
    <w:rsid w:val="00A85F4C"/>
    <w:rsid w:val="00A86003"/>
    <w:rsid w:val="00A8603F"/>
    <w:rsid w:val="00A860FC"/>
    <w:rsid w:val="00A8621B"/>
    <w:rsid w:val="00A86442"/>
    <w:rsid w:val="00A864E3"/>
    <w:rsid w:val="00A86539"/>
    <w:rsid w:val="00A86543"/>
    <w:rsid w:val="00A86595"/>
    <w:rsid w:val="00A865A3"/>
    <w:rsid w:val="00A865A9"/>
    <w:rsid w:val="00A86665"/>
    <w:rsid w:val="00A866A7"/>
    <w:rsid w:val="00A86716"/>
    <w:rsid w:val="00A86733"/>
    <w:rsid w:val="00A86797"/>
    <w:rsid w:val="00A867BC"/>
    <w:rsid w:val="00A867E4"/>
    <w:rsid w:val="00A86920"/>
    <w:rsid w:val="00A86934"/>
    <w:rsid w:val="00A86940"/>
    <w:rsid w:val="00A869A9"/>
    <w:rsid w:val="00A86B29"/>
    <w:rsid w:val="00A86C38"/>
    <w:rsid w:val="00A86D02"/>
    <w:rsid w:val="00A86F00"/>
    <w:rsid w:val="00A872DC"/>
    <w:rsid w:val="00A8739B"/>
    <w:rsid w:val="00A873FB"/>
    <w:rsid w:val="00A875A7"/>
    <w:rsid w:val="00A876CB"/>
    <w:rsid w:val="00A87786"/>
    <w:rsid w:val="00A878E7"/>
    <w:rsid w:val="00A87A9A"/>
    <w:rsid w:val="00A87ACF"/>
    <w:rsid w:val="00A87C4F"/>
    <w:rsid w:val="00A87E01"/>
    <w:rsid w:val="00A87E81"/>
    <w:rsid w:val="00A87F7D"/>
    <w:rsid w:val="00A9004A"/>
    <w:rsid w:val="00A9008E"/>
    <w:rsid w:val="00A900A3"/>
    <w:rsid w:val="00A90146"/>
    <w:rsid w:val="00A9016C"/>
    <w:rsid w:val="00A901C1"/>
    <w:rsid w:val="00A9023C"/>
    <w:rsid w:val="00A902BC"/>
    <w:rsid w:val="00A902D0"/>
    <w:rsid w:val="00A906D5"/>
    <w:rsid w:val="00A90778"/>
    <w:rsid w:val="00A9077D"/>
    <w:rsid w:val="00A9087C"/>
    <w:rsid w:val="00A9092B"/>
    <w:rsid w:val="00A909F7"/>
    <w:rsid w:val="00A90A06"/>
    <w:rsid w:val="00A90A2C"/>
    <w:rsid w:val="00A90B73"/>
    <w:rsid w:val="00A90BB6"/>
    <w:rsid w:val="00A90BD2"/>
    <w:rsid w:val="00A90C7F"/>
    <w:rsid w:val="00A90CEB"/>
    <w:rsid w:val="00A90F91"/>
    <w:rsid w:val="00A90FB9"/>
    <w:rsid w:val="00A90FED"/>
    <w:rsid w:val="00A9101B"/>
    <w:rsid w:val="00A911E8"/>
    <w:rsid w:val="00A9131A"/>
    <w:rsid w:val="00A91327"/>
    <w:rsid w:val="00A91362"/>
    <w:rsid w:val="00A91385"/>
    <w:rsid w:val="00A913A6"/>
    <w:rsid w:val="00A914CA"/>
    <w:rsid w:val="00A914E8"/>
    <w:rsid w:val="00A9181D"/>
    <w:rsid w:val="00A91920"/>
    <w:rsid w:val="00A91AD0"/>
    <w:rsid w:val="00A91B10"/>
    <w:rsid w:val="00A91B63"/>
    <w:rsid w:val="00A91B7C"/>
    <w:rsid w:val="00A91D2B"/>
    <w:rsid w:val="00A91E39"/>
    <w:rsid w:val="00A91E4B"/>
    <w:rsid w:val="00A91ECF"/>
    <w:rsid w:val="00A92015"/>
    <w:rsid w:val="00A9217F"/>
    <w:rsid w:val="00A92249"/>
    <w:rsid w:val="00A92348"/>
    <w:rsid w:val="00A92464"/>
    <w:rsid w:val="00A92569"/>
    <w:rsid w:val="00A92576"/>
    <w:rsid w:val="00A928C5"/>
    <w:rsid w:val="00A92931"/>
    <w:rsid w:val="00A9296D"/>
    <w:rsid w:val="00A9296E"/>
    <w:rsid w:val="00A92984"/>
    <w:rsid w:val="00A92AF4"/>
    <w:rsid w:val="00A92DDF"/>
    <w:rsid w:val="00A92EC6"/>
    <w:rsid w:val="00A93087"/>
    <w:rsid w:val="00A9309A"/>
    <w:rsid w:val="00A93319"/>
    <w:rsid w:val="00A933CE"/>
    <w:rsid w:val="00A933E2"/>
    <w:rsid w:val="00A933EA"/>
    <w:rsid w:val="00A93408"/>
    <w:rsid w:val="00A9350E"/>
    <w:rsid w:val="00A9356F"/>
    <w:rsid w:val="00A935CD"/>
    <w:rsid w:val="00A93660"/>
    <w:rsid w:val="00A937F5"/>
    <w:rsid w:val="00A93804"/>
    <w:rsid w:val="00A93846"/>
    <w:rsid w:val="00A938F6"/>
    <w:rsid w:val="00A93913"/>
    <w:rsid w:val="00A93A89"/>
    <w:rsid w:val="00A93AA9"/>
    <w:rsid w:val="00A93B27"/>
    <w:rsid w:val="00A93B78"/>
    <w:rsid w:val="00A93C1D"/>
    <w:rsid w:val="00A93DA0"/>
    <w:rsid w:val="00A93DDA"/>
    <w:rsid w:val="00A93DFF"/>
    <w:rsid w:val="00A94058"/>
    <w:rsid w:val="00A9407C"/>
    <w:rsid w:val="00A94263"/>
    <w:rsid w:val="00A943DE"/>
    <w:rsid w:val="00A94421"/>
    <w:rsid w:val="00A94428"/>
    <w:rsid w:val="00A944B5"/>
    <w:rsid w:val="00A944C5"/>
    <w:rsid w:val="00A944D0"/>
    <w:rsid w:val="00A9452D"/>
    <w:rsid w:val="00A945BD"/>
    <w:rsid w:val="00A9468C"/>
    <w:rsid w:val="00A94847"/>
    <w:rsid w:val="00A9492E"/>
    <w:rsid w:val="00A9497E"/>
    <w:rsid w:val="00A94B0A"/>
    <w:rsid w:val="00A94BD0"/>
    <w:rsid w:val="00A94BF4"/>
    <w:rsid w:val="00A94C4D"/>
    <w:rsid w:val="00A94C66"/>
    <w:rsid w:val="00A94DA9"/>
    <w:rsid w:val="00A94DAE"/>
    <w:rsid w:val="00A94E17"/>
    <w:rsid w:val="00A94ECA"/>
    <w:rsid w:val="00A94F07"/>
    <w:rsid w:val="00A94FE6"/>
    <w:rsid w:val="00A950E5"/>
    <w:rsid w:val="00A950F5"/>
    <w:rsid w:val="00A95137"/>
    <w:rsid w:val="00A951D6"/>
    <w:rsid w:val="00A951EA"/>
    <w:rsid w:val="00A9521E"/>
    <w:rsid w:val="00A95316"/>
    <w:rsid w:val="00A9553D"/>
    <w:rsid w:val="00A955FC"/>
    <w:rsid w:val="00A95850"/>
    <w:rsid w:val="00A958EA"/>
    <w:rsid w:val="00A95A33"/>
    <w:rsid w:val="00A95A9B"/>
    <w:rsid w:val="00A95AC8"/>
    <w:rsid w:val="00A95D0B"/>
    <w:rsid w:val="00A95DB4"/>
    <w:rsid w:val="00A95E1C"/>
    <w:rsid w:val="00A95E4C"/>
    <w:rsid w:val="00A95ECF"/>
    <w:rsid w:val="00A95FA2"/>
    <w:rsid w:val="00A960CA"/>
    <w:rsid w:val="00A962B8"/>
    <w:rsid w:val="00A962B9"/>
    <w:rsid w:val="00A963B8"/>
    <w:rsid w:val="00A963C2"/>
    <w:rsid w:val="00A964F0"/>
    <w:rsid w:val="00A96539"/>
    <w:rsid w:val="00A9658B"/>
    <w:rsid w:val="00A96628"/>
    <w:rsid w:val="00A966D1"/>
    <w:rsid w:val="00A966FC"/>
    <w:rsid w:val="00A967F2"/>
    <w:rsid w:val="00A96839"/>
    <w:rsid w:val="00A96A0A"/>
    <w:rsid w:val="00A96A6E"/>
    <w:rsid w:val="00A96BEF"/>
    <w:rsid w:val="00A96C4F"/>
    <w:rsid w:val="00A96CE6"/>
    <w:rsid w:val="00A96D13"/>
    <w:rsid w:val="00A96D8D"/>
    <w:rsid w:val="00A96E2B"/>
    <w:rsid w:val="00A96EA8"/>
    <w:rsid w:val="00A96EE4"/>
    <w:rsid w:val="00A96F2F"/>
    <w:rsid w:val="00A96F54"/>
    <w:rsid w:val="00A96FC1"/>
    <w:rsid w:val="00A97121"/>
    <w:rsid w:val="00A9718F"/>
    <w:rsid w:val="00A971C4"/>
    <w:rsid w:val="00A9721C"/>
    <w:rsid w:val="00A97281"/>
    <w:rsid w:val="00A97321"/>
    <w:rsid w:val="00A97335"/>
    <w:rsid w:val="00A974D1"/>
    <w:rsid w:val="00A975B9"/>
    <w:rsid w:val="00A97628"/>
    <w:rsid w:val="00A97645"/>
    <w:rsid w:val="00A9764C"/>
    <w:rsid w:val="00A9767E"/>
    <w:rsid w:val="00A977B7"/>
    <w:rsid w:val="00A9786C"/>
    <w:rsid w:val="00A979FD"/>
    <w:rsid w:val="00A97AF2"/>
    <w:rsid w:val="00A97AFA"/>
    <w:rsid w:val="00A97BC7"/>
    <w:rsid w:val="00A97D0F"/>
    <w:rsid w:val="00A97F27"/>
    <w:rsid w:val="00AA000A"/>
    <w:rsid w:val="00AA00BA"/>
    <w:rsid w:val="00AA00DA"/>
    <w:rsid w:val="00AA010D"/>
    <w:rsid w:val="00AA0180"/>
    <w:rsid w:val="00AA01C7"/>
    <w:rsid w:val="00AA0219"/>
    <w:rsid w:val="00AA0269"/>
    <w:rsid w:val="00AA02C5"/>
    <w:rsid w:val="00AA038E"/>
    <w:rsid w:val="00AA0399"/>
    <w:rsid w:val="00AA03D1"/>
    <w:rsid w:val="00AA0536"/>
    <w:rsid w:val="00AA05E5"/>
    <w:rsid w:val="00AA061D"/>
    <w:rsid w:val="00AA06C1"/>
    <w:rsid w:val="00AA0715"/>
    <w:rsid w:val="00AA077B"/>
    <w:rsid w:val="00AA0892"/>
    <w:rsid w:val="00AA08AB"/>
    <w:rsid w:val="00AA0A7F"/>
    <w:rsid w:val="00AA0BA1"/>
    <w:rsid w:val="00AA0BE8"/>
    <w:rsid w:val="00AA0C1B"/>
    <w:rsid w:val="00AA0C90"/>
    <w:rsid w:val="00AA0D0B"/>
    <w:rsid w:val="00AA0D23"/>
    <w:rsid w:val="00AA0D39"/>
    <w:rsid w:val="00AA0D62"/>
    <w:rsid w:val="00AA0D81"/>
    <w:rsid w:val="00AA0FAC"/>
    <w:rsid w:val="00AA1111"/>
    <w:rsid w:val="00AA1287"/>
    <w:rsid w:val="00AA1365"/>
    <w:rsid w:val="00AA13D7"/>
    <w:rsid w:val="00AA149F"/>
    <w:rsid w:val="00AA14CE"/>
    <w:rsid w:val="00AA1799"/>
    <w:rsid w:val="00AA18DA"/>
    <w:rsid w:val="00AA18DB"/>
    <w:rsid w:val="00AA1984"/>
    <w:rsid w:val="00AA1B19"/>
    <w:rsid w:val="00AA1C17"/>
    <w:rsid w:val="00AA1C31"/>
    <w:rsid w:val="00AA1C54"/>
    <w:rsid w:val="00AA1C5C"/>
    <w:rsid w:val="00AA1D7E"/>
    <w:rsid w:val="00AA1D97"/>
    <w:rsid w:val="00AA1DC1"/>
    <w:rsid w:val="00AA20AD"/>
    <w:rsid w:val="00AA2179"/>
    <w:rsid w:val="00AA2215"/>
    <w:rsid w:val="00AA225E"/>
    <w:rsid w:val="00AA22A5"/>
    <w:rsid w:val="00AA22CD"/>
    <w:rsid w:val="00AA22E0"/>
    <w:rsid w:val="00AA2303"/>
    <w:rsid w:val="00AA2401"/>
    <w:rsid w:val="00AA2518"/>
    <w:rsid w:val="00AA2647"/>
    <w:rsid w:val="00AA2672"/>
    <w:rsid w:val="00AA26A9"/>
    <w:rsid w:val="00AA27FD"/>
    <w:rsid w:val="00AA2805"/>
    <w:rsid w:val="00AA2820"/>
    <w:rsid w:val="00AA2ABD"/>
    <w:rsid w:val="00AA2C0F"/>
    <w:rsid w:val="00AA2C1A"/>
    <w:rsid w:val="00AA2D9D"/>
    <w:rsid w:val="00AA2E83"/>
    <w:rsid w:val="00AA3132"/>
    <w:rsid w:val="00AA31D2"/>
    <w:rsid w:val="00AA3201"/>
    <w:rsid w:val="00AA323E"/>
    <w:rsid w:val="00AA3261"/>
    <w:rsid w:val="00AA32B2"/>
    <w:rsid w:val="00AA3377"/>
    <w:rsid w:val="00AA3404"/>
    <w:rsid w:val="00AA3603"/>
    <w:rsid w:val="00AA36A4"/>
    <w:rsid w:val="00AA375E"/>
    <w:rsid w:val="00AA3825"/>
    <w:rsid w:val="00AA384F"/>
    <w:rsid w:val="00AA3879"/>
    <w:rsid w:val="00AA3908"/>
    <w:rsid w:val="00AA3A7D"/>
    <w:rsid w:val="00AA3C93"/>
    <w:rsid w:val="00AA3DE6"/>
    <w:rsid w:val="00AA3E48"/>
    <w:rsid w:val="00AA3E4C"/>
    <w:rsid w:val="00AA3E93"/>
    <w:rsid w:val="00AA3ED3"/>
    <w:rsid w:val="00AA3EDD"/>
    <w:rsid w:val="00AA3F18"/>
    <w:rsid w:val="00AA3FD7"/>
    <w:rsid w:val="00AA4197"/>
    <w:rsid w:val="00AA41D0"/>
    <w:rsid w:val="00AA41FA"/>
    <w:rsid w:val="00AA422E"/>
    <w:rsid w:val="00AA4267"/>
    <w:rsid w:val="00AA4381"/>
    <w:rsid w:val="00AA44CA"/>
    <w:rsid w:val="00AA4542"/>
    <w:rsid w:val="00AA4546"/>
    <w:rsid w:val="00AA4570"/>
    <w:rsid w:val="00AA4607"/>
    <w:rsid w:val="00AA4639"/>
    <w:rsid w:val="00AA4687"/>
    <w:rsid w:val="00AA4822"/>
    <w:rsid w:val="00AA4886"/>
    <w:rsid w:val="00AA4961"/>
    <w:rsid w:val="00AA49D8"/>
    <w:rsid w:val="00AA4A64"/>
    <w:rsid w:val="00AA4A85"/>
    <w:rsid w:val="00AA4AEF"/>
    <w:rsid w:val="00AA4BDD"/>
    <w:rsid w:val="00AA4C5E"/>
    <w:rsid w:val="00AA4DB4"/>
    <w:rsid w:val="00AA4E35"/>
    <w:rsid w:val="00AA4E8A"/>
    <w:rsid w:val="00AA4F5E"/>
    <w:rsid w:val="00AA5017"/>
    <w:rsid w:val="00AA5357"/>
    <w:rsid w:val="00AA556A"/>
    <w:rsid w:val="00AA5579"/>
    <w:rsid w:val="00AA55C9"/>
    <w:rsid w:val="00AA57E8"/>
    <w:rsid w:val="00AA58B3"/>
    <w:rsid w:val="00AA5979"/>
    <w:rsid w:val="00AA59C6"/>
    <w:rsid w:val="00AA5A15"/>
    <w:rsid w:val="00AA5BAF"/>
    <w:rsid w:val="00AA5DBD"/>
    <w:rsid w:val="00AA5DD5"/>
    <w:rsid w:val="00AA5E09"/>
    <w:rsid w:val="00AA5E35"/>
    <w:rsid w:val="00AA6039"/>
    <w:rsid w:val="00AA6201"/>
    <w:rsid w:val="00AA62FB"/>
    <w:rsid w:val="00AA6310"/>
    <w:rsid w:val="00AA6436"/>
    <w:rsid w:val="00AA64A1"/>
    <w:rsid w:val="00AA666C"/>
    <w:rsid w:val="00AA670B"/>
    <w:rsid w:val="00AA68E4"/>
    <w:rsid w:val="00AA68FE"/>
    <w:rsid w:val="00AA69AA"/>
    <w:rsid w:val="00AA69E5"/>
    <w:rsid w:val="00AA69FA"/>
    <w:rsid w:val="00AA6B75"/>
    <w:rsid w:val="00AA6B86"/>
    <w:rsid w:val="00AA6BB6"/>
    <w:rsid w:val="00AA6D7F"/>
    <w:rsid w:val="00AA6E4A"/>
    <w:rsid w:val="00AA6ECB"/>
    <w:rsid w:val="00AA6F40"/>
    <w:rsid w:val="00AA7079"/>
    <w:rsid w:val="00AA70AD"/>
    <w:rsid w:val="00AA70B2"/>
    <w:rsid w:val="00AA716F"/>
    <w:rsid w:val="00AA7192"/>
    <w:rsid w:val="00AA731D"/>
    <w:rsid w:val="00AA7361"/>
    <w:rsid w:val="00AA73EB"/>
    <w:rsid w:val="00AA74DB"/>
    <w:rsid w:val="00AA754B"/>
    <w:rsid w:val="00AA7624"/>
    <w:rsid w:val="00AA765D"/>
    <w:rsid w:val="00AA76D2"/>
    <w:rsid w:val="00AA7732"/>
    <w:rsid w:val="00AA7754"/>
    <w:rsid w:val="00AA77D1"/>
    <w:rsid w:val="00AA78FE"/>
    <w:rsid w:val="00AA792C"/>
    <w:rsid w:val="00AA7C2D"/>
    <w:rsid w:val="00AA7C46"/>
    <w:rsid w:val="00AA7C56"/>
    <w:rsid w:val="00AA7C97"/>
    <w:rsid w:val="00AA7CB8"/>
    <w:rsid w:val="00AA7E5A"/>
    <w:rsid w:val="00AA7EEA"/>
    <w:rsid w:val="00AA7F5E"/>
    <w:rsid w:val="00AB00DC"/>
    <w:rsid w:val="00AB0120"/>
    <w:rsid w:val="00AB02B7"/>
    <w:rsid w:val="00AB0342"/>
    <w:rsid w:val="00AB05BD"/>
    <w:rsid w:val="00AB061A"/>
    <w:rsid w:val="00AB0654"/>
    <w:rsid w:val="00AB06AD"/>
    <w:rsid w:val="00AB08FD"/>
    <w:rsid w:val="00AB0979"/>
    <w:rsid w:val="00AB0CE7"/>
    <w:rsid w:val="00AB0DD2"/>
    <w:rsid w:val="00AB0E77"/>
    <w:rsid w:val="00AB0F6F"/>
    <w:rsid w:val="00AB10DD"/>
    <w:rsid w:val="00AB1180"/>
    <w:rsid w:val="00AB1193"/>
    <w:rsid w:val="00AB12B0"/>
    <w:rsid w:val="00AB1416"/>
    <w:rsid w:val="00AB151B"/>
    <w:rsid w:val="00AB164C"/>
    <w:rsid w:val="00AB1695"/>
    <w:rsid w:val="00AB16C2"/>
    <w:rsid w:val="00AB187E"/>
    <w:rsid w:val="00AB1921"/>
    <w:rsid w:val="00AB1958"/>
    <w:rsid w:val="00AB1A19"/>
    <w:rsid w:val="00AB1B05"/>
    <w:rsid w:val="00AB1C96"/>
    <w:rsid w:val="00AB1E56"/>
    <w:rsid w:val="00AB1E8B"/>
    <w:rsid w:val="00AB1EBD"/>
    <w:rsid w:val="00AB1EE1"/>
    <w:rsid w:val="00AB1F57"/>
    <w:rsid w:val="00AB1FBD"/>
    <w:rsid w:val="00AB202B"/>
    <w:rsid w:val="00AB209B"/>
    <w:rsid w:val="00AB210D"/>
    <w:rsid w:val="00AB2171"/>
    <w:rsid w:val="00AB21FA"/>
    <w:rsid w:val="00AB22D2"/>
    <w:rsid w:val="00AB2328"/>
    <w:rsid w:val="00AB2366"/>
    <w:rsid w:val="00AB23AA"/>
    <w:rsid w:val="00AB23D6"/>
    <w:rsid w:val="00AB23E8"/>
    <w:rsid w:val="00AB2571"/>
    <w:rsid w:val="00AB26A6"/>
    <w:rsid w:val="00AB26FE"/>
    <w:rsid w:val="00AB27C7"/>
    <w:rsid w:val="00AB2A7E"/>
    <w:rsid w:val="00AB2AA7"/>
    <w:rsid w:val="00AB2B4A"/>
    <w:rsid w:val="00AB2B9D"/>
    <w:rsid w:val="00AB2D38"/>
    <w:rsid w:val="00AB2D80"/>
    <w:rsid w:val="00AB2FD8"/>
    <w:rsid w:val="00AB307E"/>
    <w:rsid w:val="00AB30CB"/>
    <w:rsid w:val="00AB325E"/>
    <w:rsid w:val="00AB32FD"/>
    <w:rsid w:val="00AB332D"/>
    <w:rsid w:val="00AB337F"/>
    <w:rsid w:val="00AB3496"/>
    <w:rsid w:val="00AB34AD"/>
    <w:rsid w:val="00AB368B"/>
    <w:rsid w:val="00AB36CD"/>
    <w:rsid w:val="00AB383F"/>
    <w:rsid w:val="00AB387D"/>
    <w:rsid w:val="00AB3AAB"/>
    <w:rsid w:val="00AB3AD3"/>
    <w:rsid w:val="00AB3ADF"/>
    <w:rsid w:val="00AB3BA4"/>
    <w:rsid w:val="00AB3CB1"/>
    <w:rsid w:val="00AB3D48"/>
    <w:rsid w:val="00AB3E67"/>
    <w:rsid w:val="00AB3F2A"/>
    <w:rsid w:val="00AB3F8F"/>
    <w:rsid w:val="00AB40B2"/>
    <w:rsid w:val="00AB40C5"/>
    <w:rsid w:val="00AB4320"/>
    <w:rsid w:val="00AB4411"/>
    <w:rsid w:val="00AB4446"/>
    <w:rsid w:val="00AB45EA"/>
    <w:rsid w:val="00AB4910"/>
    <w:rsid w:val="00AB49F7"/>
    <w:rsid w:val="00AB4AAD"/>
    <w:rsid w:val="00AB4BD5"/>
    <w:rsid w:val="00AB4C32"/>
    <w:rsid w:val="00AB4D2D"/>
    <w:rsid w:val="00AB4D5C"/>
    <w:rsid w:val="00AB4DC8"/>
    <w:rsid w:val="00AB4DD2"/>
    <w:rsid w:val="00AB4E08"/>
    <w:rsid w:val="00AB4F80"/>
    <w:rsid w:val="00AB4FBC"/>
    <w:rsid w:val="00AB50F6"/>
    <w:rsid w:val="00AB51FA"/>
    <w:rsid w:val="00AB5237"/>
    <w:rsid w:val="00AB55EF"/>
    <w:rsid w:val="00AB574F"/>
    <w:rsid w:val="00AB5756"/>
    <w:rsid w:val="00AB5777"/>
    <w:rsid w:val="00AB57C4"/>
    <w:rsid w:val="00AB582D"/>
    <w:rsid w:val="00AB585B"/>
    <w:rsid w:val="00AB58E1"/>
    <w:rsid w:val="00AB5917"/>
    <w:rsid w:val="00AB598A"/>
    <w:rsid w:val="00AB59B9"/>
    <w:rsid w:val="00AB5AAE"/>
    <w:rsid w:val="00AB5B56"/>
    <w:rsid w:val="00AB5B95"/>
    <w:rsid w:val="00AB5C8C"/>
    <w:rsid w:val="00AB5CC5"/>
    <w:rsid w:val="00AB5D54"/>
    <w:rsid w:val="00AB5E82"/>
    <w:rsid w:val="00AB5FAF"/>
    <w:rsid w:val="00AB5FB9"/>
    <w:rsid w:val="00AB6094"/>
    <w:rsid w:val="00AB6119"/>
    <w:rsid w:val="00AB6168"/>
    <w:rsid w:val="00AB61D1"/>
    <w:rsid w:val="00AB62EB"/>
    <w:rsid w:val="00AB6347"/>
    <w:rsid w:val="00AB63C4"/>
    <w:rsid w:val="00AB648E"/>
    <w:rsid w:val="00AB6491"/>
    <w:rsid w:val="00AB64BA"/>
    <w:rsid w:val="00AB64EF"/>
    <w:rsid w:val="00AB6584"/>
    <w:rsid w:val="00AB65FF"/>
    <w:rsid w:val="00AB6661"/>
    <w:rsid w:val="00AB6758"/>
    <w:rsid w:val="00AB67BD"/>
    <w:rsid w:val="00AB68EB"/>
    <w:rsid w:val="00AB695D"/>
    <w:rsid w:val="00AB69A3"/>
    <w:rsid w:val="00AB6C26"/>
    <w:rsid w:val="00AB6D7A"/>
    <w:rsid w:val="00AB6E58"/>
    <w:rsid w:val="00AB6EB3"/>
    <w:rsid w:val="00AB6ECE"/>
    <w:rsid w:val="00AB6FBF"/>
    <w:rsid w:val="00AB7059"/>
    <w:rsid w:val="00AB70AC"/>
    <w:rsid w:val="00AB711C"/>
    <w:rsid w:val="00AB721E"/>
    <w:rsid w:val="00AB73EC"/>
    <w:rsid w:val="00AB744A"/>
    <w:rsid w:val="00AB754A"/>
    <w:rsid w:val="00AB75CE"/>
    <w:rsid w:val="00AB766D"/>
    <w:rsid w:val="00AB76D8"/>
    <w:rsid w:val="00AB76F4"/>
    <w:rsid w:val="00AB7747"/>
    <w:rsid w:val="00AB7748"/>
    <w:rsid w:val="00AB7836"/>
    <w:rsid w:val="00AB78BB"/>
    <w:rsid w:val="00AB794A"/>
    <w:rsid w:val="00AB7A8E"/>
    <w:rsid w:val="00AB7AAA"/>
    <w:rsid w:val="00AB7CD0"/>
    <w:rsid w:val="00AB7DA5"/>
    <w:rsid w:val="00AB7DA7"/>
    <w:rsid w:val="00AB7F8E"/>
    <w:rsid w:val="00AC012A"/>
    <w:rsid w:val="00AC01B9"/>
    <w:rsid w:val="00AC01ED"/>
    <w:rsid w:val="00AC02E0"/>
    <w:rsid w:val="00AC0300"/>
    <w:rsid w:val="00AC04AF"/>
    <w:rsid w:val="00AC050E"/>
    <w:rsid w:val="00AC0573"/>
    <w:rsid w:val="00AC0615"/>
    <w:rsid w:val="00AC0618"/>
    <w:rsid w:val="00AC0795"/>
    <w:rsid w:val="00AC08A6"/>
    <w:rsid w:val="00AC0945"/>
    <w:rsid w:val="00AC0A6D"/>
    <w:rsid w:val="00AC0ADF"/>
    <w:rsid w:val="00AC0B77"/>
    <w:rsid w:val="00AC0CC2"/>
    <w:rsid w:val="00AC0D20"/>
    <w:rsid w:val="00AC0F3C"/>
    <w:rsid w:val="00AC10C6"/>
    <w:rsid w:val="00AC110C"/>
    <w:rsid w:val="00AC11B7"/>
    <w:rsid w:val="00AC11CA"/>
    <w:rsid w:val="00AC11E3"/>
    <w:rsid w:val="00AC12EB"/>
    <w:rsid w:val="00AC137B"/>
    <w:rsid w:val="00AC13F1"/>
    <w:rsid w:val="00AC1506"/>
    <w:rsid w:val="00AC1538"/>
    <w:rsid w:val="00AC16F1"/>
    <w:rsid w:val="00AC1831"/>
    <w:rsid w:val="00AC1838"/>
    <w:rsid w:val="00AC1935"/>
    <w:rsid w:val="00AC19E0"/>
    <w:rsid w:val="00AC1A46"/>
    <w:rsid w:val="00AC1BA3"/>
    <w:rsid w:val="00AC1C54"/>
    <w:rsid w:val="00AC1CDD"/>
    <w:rsid w:val="00AC1DBC"/>
    <w:rsid w:val="00AC1E00"/>
    <w:rsid w:val="00AC1E8F"/>
    <w:rsid w:val="00AC1EA7"/>
    <w:rsid w:val="00AC1F1D"/>
    <w:rsid w:val="00AC1FBE"/>
    <w:rsid w:val="00AC1FEA"/>
    <w:rsid w:val="00AC2109"/>
    <w:rsid w:val="00AC2130"/>
    <w:rsid w:val="00AC2139"/>
    <w:rsid w:val="00AC2187"/>
    <w:rsid w:val="00AC224E"/>
    <w:rsid w:val="00AC2354"/>
    <w:rsid w:val="00AC237E"/>
    <w:rsid w:val="00AC2413"/>
    <w:rsid w:val="00AC25A9"/>
    <w:rsid w:val="00AC27A4"/>
    <w:rsid w:val="00AC27E1"/>
    <w:rsid w:val="00AC28E1"/>
    <w:rsid w:val="00AC2942"/>
    <w:rsid w:val="00AC29FC"/>
    <w:rsid w:val="00AC2A04"/>
    <w:rsid w:val="00AC2A52"/>
    <w:rsid w:val="00AC2AAA"/>
    <w:rsid w:val="00AC2B39"/>
    <w:rsid w:val="00AC2C0E"/>
    <w:rsid w:val="00AC2CC0"/>
    <w:rsid w:val="00AC2CEA"/>
    <w:rsid w:val="00AC2E2A"/>
    <w:rsid w:val="00AC2E5D"/>
    <w:rsid w:val="00AC2F20"/>
    <w:rsid w:val="00AC2F6F"/>
    <w:rsid w:val="00AC3078"/>
    <w:rsid w:val="00AC3085"/>
    <w:rsid w:val="00AC30A6"/>
    <w:rsid w:val="00AC31C7"/>
    <w:rsid w:val="00AC3364"/>
    <w:rsid w:val="00AC3381"/>
    <w:rsid w:val="00AC3386"/>
    <w:rsid w:val="00AC345F"/>
    <w:rsid w:val="00AC34E1"/>
    <w:rsid w:val="00AC35FC"/>
    <w:rsid w:val="00AC3619"/>
    <w:rsid w:val="00AC3800"/>
    <w:rsid w:val="00AC386F"/>
    <w:rsid w:val="00AC38B2"/>
    <w:rsid w:val="00AC3A8F"/>
    <w:rsid w:val="00AC3BA3"/>
    <w:rsid w:val="00AC3C5D"/>
    <w:rsid w:val="00AC3C77"/>
    <w:rsid w:val="00AC3CE8"/>
    <w:rsid w:val="00AC3E28"/>
    <w:rsid w:val="00AC3E65"/>
    <w:rsid w:val="00AC3EDE"/>
    <w:rsid w:val="00AC3EE6"/>
    <w:rsid w:val="00AC3F04"/>
    <w:rsid w:val="00AC3F9E"/>
    <w:rsid w:val="00AC3FCB"/>
    <w:rsid w:val="00AC408C"/>
    <w:rsid w:val="00AC40C2"/>
    <w:rsid w:val="00AC419A"/>
    <w:rsid w:val="00AC41D7"/>
    <w:rsid w:val="00AC42E9"/>
    <w:rsid w:val="00AC43BA"/>
    <w:rsid w:val="00AC469A"/>
    <w:rsid w:val="00AC4719"/>
    <w:rsid w:val="00AC476F"/>
    <w:rsid w:val="00AC48A6"/>
    <w:rsid w:val="00AC48AD"/>
    <w:rsid w:val="00AC48EF"/>
    <w:rsid w:val="00AC4963"/>
    <w:rsid w:val="00AC49FC"/>
    <w:rsid w:val="00AC4A9B"/>
    <w:rsid w:val="00AC4B89"/>
    <w:rsid w:val="00AC4E61"/>
    <w:rsid w:val="00AC5044"/>
    <w:rsid w:val="00AC5060"/>
    <w:rsid w:val="00AC5208"/>
    <w:rsid w:val="00AC526F"/>
    <w:rsid w:val="00AC542B"/>
    <w:rsid w:val="00AC54A2"/>
    <w:rsid w:val="00AC54A4"/>
    <w:rsid w:val="00AC5516"/>
    <w:rsid w:val="00AC5719"/>
    <w:rsid w:val="00AC57C0"/>
    <w:rsid w:val="00AC5952"/>
    <w:rsid w:val="00AC5B69"/>
    <w:rsid w:val="00AC5C23"/>
    <w:rsid w:val="00AC5C34"/>
    <w:rsid w:val="00AC5CBD"/>
    <w:rsid w:val="00AC5DEF"/>
    <w:rsid w:val="00AC5E78"/>
    <w:rsid w:val="00AC5EBE"/>
    <w:rsid w:val="00AC5F69"/>
    <w:rsid w:val="00AC6088"/>
    <w:rsid w:val="00AC6094"/>
    <w:rsid w:val="00AC60CA"/>
    <w:rsid w:val="00AC60FB"/>
    <w:rsid w:val="00AC620F"/>
    <w:rsid w:val="00AC622E"/>
    <w:rsid w:val="00AC624A"/>
    <w:rsid w:val="00AC62A0"/>
    <w:rsid w:val="00AC62CE"/>
    <w:rsid w:val="00AC62D9"/>
    <w:rsid w:val="00AC62F4"/>
    <w:rsid w:val="00AC6395"/>
    <w:rsid w:val="00AC66B9"/>
    <w:rsid w:val="00AC6788"/>
    <w:rsid w:val="00AC67AF"/>
    <w:rsid w:val="00AC67D1"/>
    <w:rsid w:val="00AC6985"/>
    <w:rsid w:val="00AC6A7F"/>
    <w:rsid w:val="00AC6B8A"/>
    <w:rsid w:val="00AC6C1C"/>
    <w:rsid w:val="00AC6C7F"/>
    <w:rsid w:val="00AC6D04"/>
    <w:rsid w:val="00AC6DAA"/>
    <w:rsid w:val="00AC6E1F"/>
    <w:rsid w:val="00AC6F44"/>
    <w:rsid w:val="00AC6FA2"/>
    <w:rsid w:val="00AC6FD3"/>
    <w:rsid w:val="00AC703A"/>
    <w:rsid w:val="00AC709A"/>
    <w:rsid w:val="00AC70C3"/>
    <w:rsid w:val="00AC71FB"/>
    <w:rsid w:val="00AC71FD"/>
    <w:rsid w:val="00AC72C5"/>
    <w:rsid w:val="00AC74D1"/>
    <w:rsid w:val="00AC74EC"/>
    <w:rsid w:val="00AC74F0"/>
    <w:rsid w:val="00AC7727"/>
    <w:rsid w:val="00AC7766"/>
    <w:rsid w:val="00AC779F"/>
    <w:rsid w:val="00AC795E"/>
    <w:rsid w:val="00AC79C7"/>
    <w:rsid w:val="00AC7B46"/>
    <w:rsid w:val="00AC7B5A"/>
    <w:rsid w:val="00AC7B74"/>
    <w:rsid w:val="00AC7BBD"/>
    <w:rsid w:val="00AC7DD3"/>
    <w:rsid w:val="00AC7E65"/>
    <w:rsid w:val="00AC7FBF"/>
    <w:rsid w:val="00ACF2B7"/>
    <w:rsid w:val="00AD00C7"/>
    <w:rsid w:val="00AD015F"/>
    <w:rsid w:val="00AD0166"/>
    <w:rsid w:val="00AD01F2"/>
    <w:rsid w:val="00AD01FA"/>
    <w:rsid w:val="00AD03C0"/>
    <w:rsid w:val="00AD0416"/>
    <w:rsid w:val="00AD04F3"/>
    <w:rsid w:val="00AD05E0"/>
    <w:rsid w:val="00AD062A"/>
    <w:rsid w:val="00AD075B"/>
    <w:rsid w:val="00AD07BA"/>
    <w:rsid w:val="00AD080F"/>
    <w:rsid w:val="00AD084C"/>
    <w:rsid w:val="00AD0889"/>
    <w:rsid w:val="00AD08F7"/>
    <w:rsid w:val="00AD094C"/>
    <w:rsid w:val="00AD09F3"/>
    <w:rsid w:val="00AD0A1A"/>
    <w:rsid w:val="00AD0AE7"/>
    <w:rsid w:val="00AD0AEE"/>
    <w:rsid w:val="00AD0B0D"/>
    <w:rsid w:val="00AD0BD1"/>
    <w:rsid w:val="00AD0C2C"/>
    <w:rsid w:val="00AD0C41"/>
    <w:rsid w:val="00AD0C64"/>
    <w:rsid w:val="00AD0D5C"/>
    <w:rsid w:val="00AD0EAA"/>
    <w:rsid w:val="00AD0ECE"/>
    <w:rsid w:val="00AD0FC8"/>
    <w:rsid w:val="00AD10AB"/>
    <w:rsid w:val="00AD1121"/>
    <w:rsid w:val="00AD11B5"/>
    <w:rsid w:val="00AD1488"/>
    <w:rsid w:val="00AD15AC"/>
    <w:rsid w:val="00AD190B"/>
    <w:rsid w:val="00AD1A1A"/>
    <w:rsid w:val="00AD1A30"/>
    <w:rsid w:val="00AD1ACE"/>
    <w:rsid w:val="00AD1B2B"/>
    <w:rsid w:val="00AD1B6F"/>
    <w:rsid w:val="00AD1DAA"/>
    <w:rsid w:val="00AD1EE6"/>
    <w:rsid w:val="00AD1FFB"/>
    <w:rsid w:val="00AD2122"/>
    <w:rsid w:val="00AD2221"/>
    <w:rsid w:val="00AD22F3"/>
    <w:rsid w:val="00AD2308"/>
    <w:rsid w:val="00AD236F"/>
    <w:rsid w:val="00AD23AB"/>
    <w:rsid w:val="00AD24BD"/>
    <w:rsid w:val="00AD25CF"/>
    <w:rsid w:val="00AD261F"/>
    <w:rsid w:val="00AD2675"/>
    <w:rsid w:val="00AD26E5"/>
    <w:rsid w:val="00AD274A"/>
    <w:rsid w:val="00AD2903"/>
    <w:rsid w:val="00AD29B9"/>
    <w:rsid w:val="00AD2A38"/>
    <w:rsid w:val="00AD2A91"/>
    <w:rsid w:val="00AD2AB0"/>
    <w:rsid w:val="00AD2BBF"/>
    <w:rsid w:val="00AD2C39"/>
    <w:rsid w:val="00AD2C6E"/>
    <w:rsid w:val="00AD2CF4"/>
    <w:rsid w:val="00AD2EC7"/>
    <w:rsid w:val="00AD2F43"/>
    <w:rsid w:val="00AD302C"/>
    <w:rsid w:val="00AD30F4"/>
    <w:rsid w:val="00AD333B"/>
    <w:rsid w:val="00AD343F"/>
    <w:rsid w:val="00AD3469"/>
    <w:rsid w:val="00AD347D"/>
    <w:rsid w:val="00AD355D"/>
    <w:rsid w:val="00AD35D5"/>
    <w:rsid w:val="00AD3731"/>
    <w:rsid w:val="00AD39E5"/>
    <w:rsid w:val="00AD3AB0"/>
    <w:rsid w:val="00AD3AF4"/>
    <w:rsid w:val="00AD3B01"/>
    <w:rsid w:val="00AD3B03"/>
    <w:rsid w:val="00AD3B1C"/>
    <w:rsid w:val="00AD3BDE"/>
    <w:rsid w:val="00AD3C13"/>
    <w:rsid w:val="00AD3C28"/>
    <w:rsid w:val="00AD3F46"/>
    <w:rsid w:val="00AD3F53"/>
    <w:rsid w:val="00AD3F5E"/>
    <w:rsid w:val="00AD40C9"/>
    <w:rsid w:val="00AD4148"/>
    <w:rsid w:val="00AD414F"/>
    <w:rsid w:val="00AD4555"/>
    <w:rsid w:val="00AD456E"/>
    <w:rsid w:val="00AD4719"/>
    <w:rsid w:val="00AD475A"/>
    <w:rsid w:val="00AD47B7"/>
    <w:rsid w:val="00AD4A04"/>
    <w:rsid w:val="00AD4ADC"/>
    <w:rsid w:val="00AD4ADD"/>
    <w:rsid w:val="00AD4B38"/>
    <w:rsid w:val="00AD4C21"/>
    <w:rsid w:val="00AD4C47"/>
    <w:rsid w:val="00AD4D0E"/>
    <w:rsid w:val="00AD4D98"/>
    <w:rsid w:val="00AD4DAF"/>
    <w:rsid w:val="00AD4DE4"/>
    <w:rsid w:val="00AD4E1C"/>
    <w:rsid w:val="00AD52E1"/>
    <w:rsid w:val="00AD5358"/>
    <w:rsid w:val="00AD540F"/>
    <w:rsid w:val="00AD541D"/>
    <w:rsid w:val="00AD546F"/>
    <w:rsid w:val="00AD55FB"/>
    <w:rsid w:val="00AD5618"/>
    <w:rsid w:val="00AD5666"/>
    <w:rsid w:val="00AD5689"/>
    <w:rsid w:val="00AD56A7"/>
    <w:rsid w:val="00AD56AC"/>
    <w:rsid w:val="00AD56CD"/>
    <w:rsid w:val="00AD5722"/>
    <w:rsid w:val="00AD5879"/>
    <w:rsid w:val="00AD59A1"/>
    <w:rsid w:val="00AD5ACD"/>
    <w:rsid w:val="00AD5B7F"/>
    <w:rsid w:val="00AD5CB6"/>
    <w:rsid w:val="00AD5CBC"/>
    <w:rsid w:val="00AD5E47"/>
    <w:rsid w:val="00AD5EB4"/>
    <w:rsid w:val="00AD5F30"/>
    <w:rsid w:val="00AD6012"/>
    <w:rsid w:val="00AD6024"/>
    <w:rsid w:val="00AD606A"/>
    <w:rsid w:val="00AD6358"/>
    <w:rsid w:val="00AD64F3"/>
    <w:rsid w:val="00AD64F8"/>
    <w:rsid w:val="00AD6574"/>
    <w:rsid w:val="00AD65A6"/>
    <w:rsid w:val="00AD661D"/>
    <w:rsid w:val="00AD663F"/>
    <w:rsid w:val="00AD66A6"/>
    <w:rsid w:val="00AD66B6"/>
    <w:rsid w:val="00AD66E9"/>
    <w:rsid w:val="00AD67CD"/>
    <w:rsid w:val="00AD67F6"/>
    <w:rsid w:val="00AD6851"/>
    <w:rsid w:val="00AD6962"/>
    <w:rsid w:val="00AD697E"/>
    <w:rsid w:val="00AD69BE"/>
    <w:rsid w:val="00AD6AE7"/>
    <w:rsid w:val="00AD6B39"/>
    <w:rsid w:val="00AD6B69"/>
    <w:rsid w:val="00AD6BED"/>
    <w:rsid w:val="00AD6C0D"/>
    <w:rsid w:val="00AD6C20"/>
    <w:rsid w:val="00AD6C2D"/>
    <w:rsid w:val="00AD6CD7"/>
    <w:rsid w:val="00AD6E0A"/>
    <w:rsid w:val="00AD6EE8"/>
    <w:rsid w:val="00AD6F02"/>
    <w:rsid w:val="00AD7002"/>
    <w:rsid w:val="00AD74B5"/>
    <w:rsid w:val="00AD7728"/>
    <w:rsid w:val="00AD77C3"/>
    <w:rsid w:val="00AD77E0"/>
    <w:rsid w:val="00AD77EB"/>
    <w:rsid w:val="00AD7892"/>
    <w:rsid w:val="00AD78B6"/>
    <w:rsid w:val="00AD79BE"/>
    <w:rsid w:val="00AD7A22"/>
    <w:rsid w:val="00AD7BA9"/>
    <w:rsid w:val="00AD7C0E"/>
    <w:rsid w:val="00AD7DAE"/>
    <w:rsid w:val="00AD7DC8"/>
    <w:rsid w:val="00AD7DFF"/>
    <w:rsid w:val="00AD7EA5"/>
    <w:rsid w:val="00AD7EE6"/>
    <w:rsid w:val="00AE0027"/>
    <w:rsid w:val="00AE0070"/>
    <w:rsid w:val="00AE00F1"/>
    <w:rsid w:val="00AE0126"/>
    <w:rsid w:val="00AE02AA"/>
    <w:rsid w:val="00AE03CB"/>
    <w:rsid w:val="00AE042D"/>
    <w:rsid w:val="00AE0552"/>
    <w:rsid w:val="00AE0567"/>
    <w:rsid w:val="00AE0586"/>
    <w:rsid w:val="00AE05B9"/>
    <w:rsid w:val="00AE06CF"/>
    <w:rsid w:val="00AE073F"/>
    <w:rsid w:val="00AE079A"/>
    <w:rsid w:val="00AE0896"/>
    <w:rsid w:val="00AE09FC"/>
    <w:rsid w:val="00AE0A20"/>
    <w:rsid w:val="00AE0A2C"/>
    <w:rsid w:val="00AE0AA9"/>
    <w:rsid w:val="00AE0AAC"/>
    <w:rsid w:val="00AE0CAC"/>
    <w:rsid w:val="00AE0D2A"/>
    <w:rsid w:val="00AE0DB1"/>
    <w:rsid w:val="00AE0DF4"/>
    <w:rsid w:val="00AE0F69"/>
    <w:rsid w:val="00AE10D5"/>
    <w:rsid w:val="00AE1117"/>
    <w:rsid w:val="00AE11C9"/>
    <w:rsid w:val="00AE11DC"/>
    <w:rsid w:val="00AE153A"/>
    <w:rsid w:val="00AE1560"/>
    <w:rsid w:val="00AE15BD"/>
    <w:rsid w:val="00AE15C5"/>
    <w:rsid w:val="00AE17E4"/>
    <w:rsid w:val="00AE1811"/>
    <w:rsid w:val="00AE1AA6"/>
    <w:rsid w:val="00AE1AF1"/>
    <w:rsid w:val="00AE1CD2"/>
    <w:rsid w:val="00AE1EA0"/>
    <w:rsid w:val="00AE1EED"/>
    <w:rsid w:val="00AE1FD1"/>
    <w:rsid w:val="00AE201B"/>
    <w:rsid w:val="00AE2021"/>
    <w:rsid w:val="00AE2075"/>
    <w:rsid w:val="00AE20C5"/>
    <w:rsid w:val="00AE20DD"/>
    <w:rsid w:val="00AE2146"/>
    <w:rsid w:val="00AE21C0"/>
    <w:rsid w:val="00AE22D4"/>
    <w:rsid w:val="00AE230C"/>
    <w:rsid w:val="00AE232A"/>
    <w:rsid w:val="00AE2367"/>
    <w:rsid w:val="00AE23ED"/>
    <w:rsid w:val="00AE254B"/>
    <w:rsid w:val="00AE25AD"/>
    <w:rsid w:val="00AE25DC"/>
    <w:rsid w:val="00AE2616"/>
    <w:rsid w:val="00AE2682"/>
    <w:rsid w:val="00AE2765"/>
    <w:rsid w:val="00AE278C"/>
    <w:rsid w:val="00AE292B"/>
    <w:rsid w:val="00AE299F"/>
    <w:rsid w:val="00AE29AD"/>
    <w:rsid w:val="00AE2C1A"/>
    <w:rsid w:val="00AE2C2B"/>
    <w:rsid w:val="00AE2C2C"/>
    <w:rsid w:val="00AE2CAB"/>
    <w:rsid w:val="00AE2DE8"/>
    <w:rsid w:val="00AE2EB9"/>
    <w:rsid w:val="00AE305F"/>
    <w:rsid w:val="00AE309E"/>
    <w:rsid w:val="00AE30DC"/>
    <w:rsid w:val="00AE320E"/>
    <w:rsid w:val="00AE33AB"/>
    <w:rsid w:val="00AE348A"/>
    <w:rsid w:val="00AE36B6"/>
    <w:rsid w:val="00AE381B"/>
    <w:rsid w:val="00AE38C9"/>
    <w:rsid w:val="00AE39F7"/>
    <w:rsid w:val="00AE3A15"/>
    <w:rsid w:val="00AE3BC9"/>
    <w:rsid w:val="00AE3BCB"/>
    <w:rsid w:val="00AE3BDD"/>
    <w:rsid w:val="00AE3CFD"/>
    <w:rsid w:val="00AE3D68"/>
    <w:rsid w:val="00AE3DCE"/>
    <w:rsid w:val="00AE3E78"/>
    <w:rsid w:val="00AE3F17"/>
    <w:rsid w:val="00AE3F94"/>
    <w:rsid w:val="00AE3FED"/>
    <w:rsid w:val="00AE4136"/>
    <w:rsid w:val="00AE4194"/>
    <w:rsid w:val="00AE42E2"/>
    <w:rsid w:val="00AE4377"/>
    <w:rsid w:val="00AE445B"/>
    <w:rsid w:val="00AE450F"/>
    <w:rsid w:val="00AE4573"/>
    <w:rsid w:val="00AE4588"/>
    <w:rsid w:val="00AE4722"/>
    <w:rsid w:val="00AE47DE"/>
    <w:rsid w:val="00AE47FC"/>
    <w:rsid w:val="00AE4A3A"/>
    <w:rsid w:val="00AE4A7E"/>
    <w:rsid w:val="00AE4AC9"/>
    <w:rsid w:val="00AE4B74"/>
    <w:rsid w:val="00AE4B7C"/>
    <w:rsid w:val="00AE4C5D"/>
    <w:rsid w:val="00AE4CE0"/>
    <w:rsid w:val="00AE4D2B"/>
    <w:rsid w:val="00AE4DDC"/>
    <w:rsid w:val="00AE4E0D"/>
    <w:rsid w:val="00AE4E62"/>
    <w:rsid w:val="00AE4E65"/>
    <w:rsid w:val="00AE4E6E"/>
    <w:rsid w:val="00AE4FC2"/>
    <w:rsid w:val="00AE51D9"/>
    <w:rsid w:val="00AE5204"/>
    <w:rsid w:val="00AE5325"/>
    <w:rsid w:val="00AE53A3"/>
    <w:rsid w:val="00AE545D"/>
    <w:rsid w:val="00AE5514"/>
    <w:rsid w:val="00AE557E"/>
    <w:rsid w:val="00AE55D2"/>
    <w:rsid w:val="00AE5782"/>
    <w:rsid w:val="00AE57D3"/>
    <w:rsid w:val="00AE5A2E"/>
    <w:rsid w:val="00AE5A68"/>
    <w:rsid w:val="00AE5AEF"/>
    <w:rsid w:val="00AE5B36"/>
    <w:rsid w:val="00AE5C41"/>
    <w:rsid w:val="00AE5CAF"/>
    <w:rsid w:val="00AE5D20"/>
    <w:rsid w:val="00AE5D71"/>
    <w:rsid w:val="00AE5D94"/>
    <w:rsid w:val="00AE5D9F"/>
    <w:rsid w:val="00AE6018"/>
    <w:rsid w:val="00AE6069"/>
    <w:rsid w:val="00AE61D9"/>
    <w:rsid w:val="00AE61F6"/>
    <w:rsid w:val="00AE6215"/>
    <w:rsid w:val="00AE624B"/>
    <w:rsid w:val="00AE6321"/>
    <w:rsid w:val="00AE6384"/>
    <w:rsid w:val="00AE63BA"/>
    <w:rsid w:val="00AE640A"/>
    <w:rsid w:val="00AE651F"/>
    <w:rsid w:val="00AE6596"/>
    <w:rsid w:val="00AE6601"/>
    <w:rsid w:val="00AE6625"/>
    <w:rsid w:val="00AE6757"/>
    <w:rsid w:val="00AE6801"/>
    <w:rsid w:val="00AE6A1D"/>
    <w:rsid w:val="00AE6A2C"/>
    <w:rsid w:val="00AE6AE9"/>
    <w:rsid w:val="00AE6B30"/>
    <w:rsid w:val="00AE6BE7"/>
    <w:rsid w:val="00AE6CD7"/>
    <w:rsid w:val="00AE6D18"/>
    <w:rsid w:val="00AE6D6C"/>
    <w:rsid w:val="00AE6D94"/>
    <w:rsid w:val="00AE6F55"/>
    <w:rsid w:val="00AE6FC7"/>
    <w:rsid w:val="00AE703F"/>
    <w:rsid w:val="00AE7156"/>
    <w:rsid w:val="00AE7229"/>
    <w:rsid w:val="00AE7484"/>
    <w:rsid w:val="00AE75C9"/>
    <w:rsid w:val="00AE779D"/>
    <w:rsid w:val="00AE7846"/>
    <w:rsid w:val="00AE7899"/>
    <w:rsid w:val="00AE78CF"/>
    <w:rsid w:val="00AE7B26"/>
    <w:rsid w:val="00AE7CB2"/>
    <w:rsid w:val="00AE7DA2"/>
    <w:rsid w:val="00AE7E38"/>
    <w:rsid w:val="00AE7E3C"/>
    <w:rsid w:val="00AE7F76"/>
    <w:rsid w:val="00AE7FAC"/>
    <w:rsid w:val="00AEF6D8"/>
    <w:rsid w:val="00AF0068"/>
    <w:rsid w:val="00AF00D6"/>
    <w:rsid w:val="00AF00FD"/>
    <w:rsid w:val="00AF01C1"/>
    <w:rsid w:val="00AF029B"/>
    <w:rsid w:val="00AF0335"/>
    <w:rsid w:val="00AF03A9"/>
    <w:rsid w:val="00AF03D4"/>
    <w:rsid w:val="00AF0465"/>
    <w:rsid w:val="00AF04DC"/>
    <w:rsid w:val="00AF06D8"/>
    <w:rsid w:val="00AF075C"/>
    <w:rsid w:val="00AF0779"/>
    <w:rsid w:val="00AF098D"/>
    <w:rsid w:val="00AF09C3"/>
    <w:rsid w:val="00AF0AD4"/>
    <w:rsid w:val="00AF0AD8"/>
    <w:rsid w:val="00AF0B08"/>
    <w:rsid w:val="00AF0BD6"/>
    <w:rsid w:val="00AF0C40"/>
    <w:rsid w:val="00AF0C75"/>
    <w:rsid w:val="00AF0CF2"/>
    <w:rsid w:val="00AF0E8B"/>
    <w:rsid w:val="00AF1041"/>
    <w:rsid w:val="00AF1054"/>
    <w:rsid w:val="00AF10DD"/>
    <w:rsid w:val="00AF110F"/>
    <w:rsid w:val="00AF113F"/>
    <w:rsid w:val="00AF11F4"/>
    <w:rsid w:val="00AF128C"/>
    <w:rsid w:val="00AF1368"/>
    <w:rsid w:val="00AF1499"/>
    <w:rsid w:val="00AF14C9"/>
    <w:rsid w:val="00AF14D1"/>
    <w:rsid w:val="00AF1529"/>
    <w:rsid w:val="00AF1564"/>
    <w:rsid w:val="00AF16DB"/>
    <w:rsid w:val="00AF1714"/>
    <w:rsid w:val="00AF18B1"/>
    <w:rsid w:val="00AF199D"/>
    <w:rsid w:val="00AF1D2B"/>
    <w:rsid w:val="00AF1D4A"/>
    <w:rsid w:val="00AF1D6F"/>
    <w:rsid w:val="00AF1E5C"/>
    <w:rsid w:val="00AF1E8A"/>
    <w:rsid w:val="00AF1EB5"/>
    <w:rsid w:val="00AF1F7E"/>
    <w:rsid w:val="00AF20C9"/>
    <w:rsid w:val="00AF20DB"/>
    <w:rsid w:val="00AF21BC"/>
    <w:rsid w:val="00AF22A0"/>
    <w:rsid w:val="00AF2414"/>
    <w:rsid w:val="00AF289F"/>
    <w:rsid w:val="00AF28E1"/>
    <w:rsid w:val="00AF2941"/>
    <w:rsid w:val="00AF29FF"/>
    <w:rsid w:val="00AF2A64"/>
    <w:rsid w:val="00AF2AC2"/>
    <w:rsid w:val="00AF2DC0"/>
    <w:rsid w:val="00AF2EC2"/>
    <w:rsid w:val="00AF2FA9"/>
    <w:rsid w:val="00AF303E"/>
    <w:rsid w:val="00AF30BB"/>
    <w:rsid w:val="00AF30DF"/>
    <w:rsid w:val="00AF32B0"/>
    <w:rsid w:val="00AF32B8"/>
    <w:rsid w:val="00AF33D2"/>
    <w:rsid w:val="00AF346B"/>
    <w:rsid w:val="00AF3471"/>
    <w:rsid w:val="00AF3546"/>
    <w:rsid w:val="00AF367E"/>
    <w:rsid w:val="00AF36B3"/>
    <w:rsid w:val="00AF37F1"/>
    <w:rsid w:val="00AF3894"/>
    <w:rsid w:val="00AF392A"/>
    <w:rsid w:val="00AF3A62"/>
    <w:rsid w:val="00AF3AC8"/>
    <w:rsid w:val="00AF3AC9"/>
    <w:rsid w:val="00AF3B1F"/>
    <w:rsid w:val="00AF3D31"/>
    <w:rsid w:val="00AF3F14"/>
    <w:rsid w:val="00AF3F19"/>
    <w:rsid w:val="00AF3F31"/>
    <w:rsid w:val="00AF3F7E"/>
    <w:rsid w:val="00AF40CE"/>
    <w:rsid w:val="00AF4233"/>
    <w:rsid w:val="00AF432F"/>
    <w:rsid w:val="00AF452F"/>
    <w:rsid w:val="00AF45D9"/>
    <w:rsid w:val="00AF4677"/>
    <w:rsid w:val="00AF46D8"/>
    <w:rsid w:val="00AF46E6"/>
    <w:rsid w:val="00AF4798"/>
    <w:rsid w:val="00AF482F"/>
    <w:rsid w:val="00AF484F"/>
    <w:rsid w:val="00AF491C"/>
    <w:rsid w:val="00AF4B3A"/>
    <w:rsid w:val="00AF4B85"/>
    <w:rsid w:val="00AF4F15"/>
    <w:rsid w:val="00AF4F1F"/>
    <w:rsid w:val="00AF50C5"/>
    <w:rsid w:val="00AF5110"/>
    <w:rsid w:val="00AF5182"/>
    <w:rsid w:val="00AF5225"/>
    <w:rsid w:val="00AF5253"/>
    <w:rsid w:val="00AF538A"/>
    <w:rsid w:val="00AF53B1"/>
    <w:rsid w:val="00AF5448"/>
    <w:rsid w:val="00AF54C4"/>
    <w:rsid w:val="00AF55BE"/>
    <w:rsid w:val="00AF5611"/>
    <w:rsid w:val="00AF563D"/>
    <w:rsid w:val="00AF56FC"/>
    <w:rsid w:val="00AF5724"/>
    <w:rsid w:val="00AF57B1"/>
    <w:rsid w:val="00AF590A"/>
    <w:rsid w:val="00AF5937"/>
    <w:rsid w:val="00AF5942"/>
    <w:rsid w:val="00AF5A1E"/>
    <w:rsid w:val="00AF5A51"/>
    <w:rsid w:val="00AF5C21"/>
    <w:rsid w:val="00AF5C5B"/>
    <w:rsid w:val="00AF5C61"/>
    <w:rsid w:val="00AF5CE8"/>
    <w:rsid w:val="00AF5CF0"/>
    <w:rsid w:val="00AF5DDC"/>
    <w:rsid w:val="00AF5F1C"/>
    <w:rsid w:val="00AF5F7F"/>
    <w:rsid w:val="00AF5FC8"/>
    <w:rsid w:val="00AF600A"/>
    <w:rsid w:val="00AF607B"/>
    <w:rsid w:val="00AF6084"/>
    <w:rsid w:val="00AF6093"/>
    <w:rsid w:val="00AF621A"/>
    <w:rsid w:val="00AF62AE"/>
    <w:rsid w:val="00AF6371"/>
    <w:rsid w:val="00AF63BE"/>
    <w:rsid w:val="00AF63FF"/>
    <w:rsid w:val="00AF64B0"/>
    <w:rsid w:val="00AF64BF"/>
    <w:rsid w:val="00AF65CC"/>
    <w:rsid w:val="00AF6713"/>
    <w:rsid w:val="00AF673D"/>
    <w:rsid w:val="00AF679A"/>
    <w:rsid w:val="00AF6936"/>
    <w:rsid w:val="00AF6978"/>
    <w:rsid w:val="00AF6C6E"/>
    <w:rsid w:val="00AF6D06"/>
    <w:rsid w:val="00AF6D07"/>
    <w:rsid w:val="00AF6D4F"/>
    <w:rsid w:val="00AF6D90"/>
    <w:rsid w:val="00AF6FB0"/>
    <w:rsid w:val="00AF7008"/>
    <w:rsid w:val="00AF70C0"/>
    <w:rsid w:val="00AF7214"/>
    <w:rsid w:val="00AF7233"/>
    <w:rsid w:val="00AF736D"/>
    <w:rsid w:val="00AF73A7"/>
    <w:rsid w:val="00AF73EA"/>
    <w:rsid w:val="00AF7541"/>
    <w:rsid w:val="00AF758A"/>
    <w:rsid w:val="00AF75EE"/>
    <w:rsid w:val="00AF7601"/>
    <w:rsid w:val="00AF7720"/>
    <w:rsid w:val="00AF7744"/>
    <w:rsid w:val="00AF7746"/>
    <w:rsid w:val="00AF7768"/>
    <w:rsid w:val="00AF7863"/>
    <w:rsid w:val="00AF7908"/>
    <w:rsid w:val="00AF79AE"/>
    <w:rsid w:val="00AF79E2"/>
    <w:rsid w:val="00AF7B66"/>
    <w:rsid w:val="00AF7B8D"/>
    <w:rsid w:val="00AF7BD8"/>
    <w:rsid w:val="00AF7C7A"/>
    <w:rsid w:val="00AF7DD4"/>
    <w:rsid w:val="00AF7F53"/>
    <w:rsid w:val="00B001C1"/>
    <w:rsid w:val="00B0031C"/>
    <w:rsid w:val="00B0040C"/>
    <w:rsid w:val="00B0042A"/>
    <w:rsid w:val="00B00570"/>
    <w:rsid w:val="00B008A1"/>
    <w:rsid w:val="00B008CA"/>
    <w:rsid w:val="00B00AD0"/>
    <w:rsid w:val="00B00B1D"/>
    <w:rsid w:val="00B00BFA"/>
    <w:rsid w:val="00B00C3E"/>
    <w:rsid w:val="00B00CDD"/>
    <w:rsid w:val="00B00CE2"/>
    <w:rsid w:val="00B00D12"/>
    <w:rsid w:val="00B00D67"/>
    <w:rsid w:val="00B00F44"/>
    <w:rsid w:val="00B010CC"/>
    <w:rsid w:val="00B0110A"/>
    <w:rsid w:val="00B0117F"/>
    <w:rsid w:val="00B012AB"/>
    <w:rsid w:val="00B0135A"/>
    <w:rsid w:val="00B01412"/>
    <w:rsid w:val="00B014A8"/>
    <w:rsid w:val="00B0155C"/>
    <w:rsid w:val="00B01574"/>
    <w:rsid w:val="00B01612"/>
    <w:rsid w:val="00B0164A"/>
    <w:rsid w:val="00B01660"/>
    <w:rsid w:val="00B018C1"/>
    <w:rsid w:val="00B01945"/>
    <w:rsid w:val="00B01962"/>
    <w:rsid w:val="00B01BB3"/>
    <w:rsid w:val="00B01C1B"/>
    <w:rsid w:val="00B01CAA"/>
    <w:rsid w:val="00B01CC5"/>
    <w:rsid w:val="00B01D00"/>
    <w:rsid w:val="00B01D6E"/>
    <w:rsid w:val="00B01E51"/>
    <w:rsid w:val="00B01ECA"/>
    <w:rsid w:val="00B01EE9"/>
    <w:rsid w:val="00B020E5"/>
    <w:rsid w:val="00B0212F"/>
    <w:rsid w:val="00B02281"/>
    <w:rsid w:val="00B02445"/>
    <w:rsid w:val="00B024F0"/>
    <w:rsid w:val="00B026AE"/>
    <w:rsid w:val="00B0287E"/>
    <w:rsid w:val="00B02892"/>
    <w:rsid w:val="00B02967"/>
    <w:rsid w:val="00B029AE"/>
    <w:rsid w:val="00B02B79"/>
    <w:rsid w:val="00B02C69"/>
    <w:rsid w:val="00B02D0F"/>
    <w:rsid w:val="00B02D50"/>
    <w:rsid w:val="00B02D9C"/>
    <w:rsid w:val="00B02E95"/>
    <w:rsid w:val="00B02F26"/>
    <w:rsid w:val="00B02FB6"/>
    <w:rsid w:val="00B030D6"/>
    <w:rsid w:val="00B0317C"/>
    <w:rsid w:val="00B031B1"/>
    <w:rsid w:val="00B033A1"/>
    <w:rsid w:val="00B03526"/>
    <w:rsid w:val="00B0365E"/>
    <w:rsid w:val="00B03693"/>
    <w:rsid w:val="00B0369A"/>
    <w:rsid w:val="00B037AF"/>
    <w:rsid w:val="00B03846"/>
    <w:rsid w:val="00B03852"/>
    <w:rsid w:val="00B03A18"/>
    <w:rsid w:val="00B03BB8"/>
    <w:rsid w:val="00B03CD3"/>
    <w:rsid w:val="00B03D0E"/>
    <w:rsid w:val="00B03DD3"/>
    <w:rsid w:val="00B03E2B"/>
    <w:rsid w:val="00B03EAA"/>
    <w:rsid w:val="00B03EFB"/>
    <w:rsid w:val="00B03F81"/>
    <w:rsid w:val="00B0402C"/>
    <w:rsid w:val="00B04032"/>
    <w:rsid w:val="00B0409A"/>
    <w:rsid w:val="00B040B7"/>
    <w:rsid w:val="00B040C8"/>
    <w:rsid w:val="00B04101"/>
    <w:rsid w:val="00B0427C"/>
    <w:rsid w:val="00B042BF"/>
    <w:rsid w:val="00B042D4"/>
    <w:rsid w:val="00B0434D"/>
    <w:rsid w:val="00B04466"/>
    <w:rsid w:val="00B04468"/>
    <w:rsid w:val="00B044CA"/>
    <w:rsid w:val="00B0458C"/>
    <w:rsid w:val="00B0458E"/>
    <w:rsid w:val="00B045E3"/>
    <w:rsid w:val="00B045F3"/>
    <w:rsid w:val="00B0462B"/>
    <w:rsid w:val="00B0496E"/>
    <w:rsid w:val="00B049AD"/>
    <w:rsid w:val="00B04A9E"/>
    <w:rsid w:val="00B04E71"/>
    <w:rsid w:val="00B04ED3"/>
    <w:rsid w:val="00B04F18"/>
    <w:rsid w:val="00B04FDB"/>
    <w:rsid w:val="00B0500F"/>
    <w:rsid w:val="00B05223"/>
    <w:rsid w:val="00B05279"/>
    <w:rsid w:val="00B052EC"/>
    <w:rsid w:val="00B05403"/>
    <w:rsid w:val="00B054CB"/>
    <w:rsid w:val="00B05575"/>
    <w:rsid w:val="00B05594"/>
    <w:rsid w:val="00B05641"/>
    <w:rsid w:val="00B05693"/>
    <w:rsid w:val="00B057D6"/>
    <w:rsid w:val="00B05833"/>
    <w:rsid w:val="00B059A0"/>
    <w:rsid w:val="00B05BC7"/>
    <w:rsid w:val="00B05BF0"/>
    <w:rsid w:val="00B05CCB"/>
    <w:rsid w:val="00B05D9F"/>
    <w:rsid w:val="00B05DB8"/>
    <w:rsid w:val="00B05DBD"/>
    <w:rsid w:val="00B05FEB"/>
    <w:rsid w:val="00B06115"/>
    <w:rsid w:val="00B06206"/>
    <w:rsid w:val="00B06237"/>
    <w:rsid w:val="00B0624D"/>
    <w:rsid w:val="00B06316"/>
    <w:rsid w:val="00B06365"/>
    <w:rsid w:val="00B06491"/>
    <w:rsid w:val="00B0651A"/>
    <w:rsid w:val="00B065FE"/>
    <w:rsid w:val="00B06672"/>
    <w:rsid w:val="00B068A8"/>
    <w:rsid w:val="00B068BA"/>
    <w:rsid w:val="00B068F5"/>
    <w:rsid w:val="00B06955"/>
    <w:rsid w:val="00B06960"/>
    <w:rsid w:val="00B069AE"/>
    <w:rsid w:val="00B069D2"/>
    <w:rsid w:val="00B06A88"/>
    <w:rsid w:val="00B06AC4"/>
    <w:rsid w:val="00B06B63"/>
    <w:rsid w:val="00B06BA7"/>
    <w:rsid w:val="00B06DBD"/>
    <w:rsid w:val="00B06DC8"/>
    <w:rsid w:val="00B07128"/>
    <w:rsid w:val="00B0718E"/>
    <w:rsid w:val="00B0727D"/>
    <w:rsid w:val="00B07344"/>
    <w:rsid w:val="00B07376"/>
    <w:rsid w:val="00B0741E"/>
    <w:rsid w:val="00B07B9C"/>
    <w:rsid w:val="00B07E94"/>
    <w:rsid w:val="00B1014C"/>
    <w:rsid w:val="00B1022F"/>
    <w:rsid w:val="00B10243"/>
    <w:rsid w:val="00B102DF"/>
    <w:rsid w:val="00B102F8"/>
    <w:rsid w:val="00B10466"/>
    <w:rsid w:val="00B105BB"/>
    <w:rsid w:val="00B10690"/>
    <w:rsid w:val="00B10715"/>
    <w:rsid w:val="00B10743"/>
    <w:rsid w:val="00B1077A"/>
    <w:rsid w:val="00B10832"/>
    <w:rsid w:val="00B10833"/>
    <w:rsid w:val="00B108A5"/>
    <w:rsid w:val="00B10BCE"/>
    <w:rsid w:val="00B10D3F"/>
    <w:rsid w:val="00B10DC5"/>
    <w:rsid w:val="00B10EF2"/>
    <w:rsid w:val="00B110AA"/>
    <w:rsid w:val="00B110B0"/>
    <w:rsid w:val="00B1115B"/>
    <w:rsid w:val="00B11298"/>
    <w:rsid w:val="00B1146C"/>
    <w:rsid w:val="00B11690"/>
    <w:rsid w:val="00B11702"/>
    <w:rsid w:val="00B119DB"/>
    <w:rsid w:val="00B11A85"/>
    <w:rsid w:val="00B11BFF"/>
    <w:rsid w:val="00B11CE1"/>
    <w:rsid w:val="00B11DF8"/>
    <w:rsid w:val="00B11EB1"/>
    <w:rsid w:val="00B11EB2"/>
    <w:rsid w:val="00B11F1C"/>
    <w:rsid w:val="00B11FD1"/>
    <w:rsid w:val="00B12235"/>
    <w:rsid w:val="00B12289"/>
    <w:rsid w:val="00B122D8"/>
    <w:rsid w:val="00B1244C"/>
    <w:rsid w:val="00B125A4"/>
    <w:rsid w:val="00B12725"/>
    <w:rsid w:val="00B127F7"/>
    <w:rsid w:val="00B12837"/>
    <w:rsid w:val="00B12B17"/>
    <w:rsid w:val="00B12B29"/>
    <w:rsid w:val="00B12B5B"/>
    <w:rsid w:val="00B12B68"/>
    <w:rsid w:val="00B12BBC"/>
    <w:rsid w:val="00B12C5C"/>
    <w:rsid w:val="00B12D01"/>
    <w:rsid w:val="00B12D4F"/>
    <w:rsid w:val="00B12D75"/>
    <w:rsid w:val="00B12DAA"/>
    <w:rsid w:val="00B12E44"/>
    <w:rsid w:val="00B12E8A"/>
    <w:rsid w:val="00B13085"/>
    <w:rsid w:val="00B13097"/>
    <w:rsid w:val="00B1319A"/>
    <w:rsid w:val="00B131E2"/>
    <w:rsid w:val="00B1321B"/>
    <w:rsid w:val="00B13244"/>
    <w:rsid w:val="00B133EB"/>
    <w:rsid w:val="00B13495"/>
    <w:rsid w:val="00B134C1"/>
    <w:rsid w:val="00B13520"/>
    <w:rsid w:val="00B1382B"/>
    <w:rsid w:val="00B1382F"/>
    <w:rsid w:val="00B13996"/>
    <w:rsid w:val="00B13A72"/>
    <w:rsid w:val="00B13AB5"/>
    <w:rsid w:val="00B13AE2"/>
    <w:rsid w:val="00B13B5F"/>
    <w:rsid w:val="00B13C71"/>
    <w:rsid w:val="00B13CEF"/>
    <w:rsid w:val="00B13FEF"/>
    <w:rsid w:val="00B141DD"/>
    <w:rsid w:val="00B1430E"/>
    <w:rsid w:val="00B14351"/>
    <w:rsid w:val="00B1442F"/>
    <w:rsid w:val="00B145D5"/>
    <w:rsid w:val="00B1485F"/>
    <w:rsid w:val="00B149A7"/>
    <w:rsid w:val="00B149B7"/>
    <w:rsid w:val="00B14A5F"/>
    <w:rsid w:val="00B14AAE"/>
    <w:rsid w:val="00B14B06"/>
    <w:rsid w:val="00B14C2E"/>
    <w:rsid w:val="00B14C4A"/>
    <w:rsid w:val="00B14D10"/>
    <w:rsid w:val="00B14E05"/>
    <w:rsid w:val="00B14E20"/>
    <w:rsid w:val="00B14E34"/>
    <w:rsid w:val="00B14E9B"/>
    <w:rsid w:val="00B14F21"/>
    <w:rsid w:val="00B14F3A"/>
    <w:rsid w:val="00B15056"/>
    <w:rsid w:val="00B1511D"/>
    <w:rsid w:val="00B151F9"/>
    <w:rsid w:val="00B15267"/>
    <w:rsid w:val="00B153B8"/>
    <w:rsid w:val="00B153FE"/>
    <w:rsid w:val="00B15581"/>
    <w:rsid w:val="00B15800"/>
    <w:rsid w:val="00B1580C"/>
    <w:rsid w:val="00B15883"/>
    <w:rsid w:val="00B1590E"/>
    <w:rsid w:val="00B1593F"/>
    <w:rsid w:val="00B159AA"/>
    <w:rsid w:val="00B15A2B"/>
    <w:rsid w:val="00B15BB8"/>
    <w:rsid w:val="00B15CB6"/>
    <w:rsid w:val="00B15E50"/>
    <w:rsid w:val="00B15E7E"/>
    <w:rsid w:val="00B15F0A"/>
    <w:rsid w:val="00B15F7A"/>
    <w:rsid w:val="00B15F98"/>
    <w:rsid w:val="00B15FAC"/>
    <w:rsid w:val="00B16118"/>
    <w:rsid w:val="00B161D2"/>
    <w:rsid w:val="00B16396"/>
    <w:rsid w:val="00B163F9"/>
    <w:rsid w:val="00B1660A"/>
    <w:rsid w:val="00B1663C"/>
    <w:rsid w:val="00B1671A"/>
    <w:rsid w:val="00B16783"/>
    <w:rsid w:val="00B168D8"/>
    <w:rsid w:val="00B1690F"/>
    <w:rsid w:val="00B169EE"/>
    <w:rsid w:val="00B16A29"/>
    <w:rsid w:val="00B16BE8"/>
    <w:rsid w:val="00B16F95"/>
    <w:rsid w:val="00B16FF3"/>
    <w:rsid w:val="00B1706A"/>
    <w:rsid w:val="00B171D4"/>
    <w:rsid w:val="00B1725E"/>
    <w:rsid w:val="00B172DF"/>
    <w:rsid w:val="00B1731E"/>
    <w:rsid w:val="00B17371"/>
    <w:rsid w:val="00B173F4"/>
    <w:rsid w:val="00B17433"/>
    <w:rsid w:val="00B17735"/>
    <w:rsid w:val="00B17747"/>
    <w:rsid w:val="00B1774D"/>
    <w:rsid w:val="00B17968"/>
    <w:rsid w:val="00B17969"/>
    <w:rsid w:val="00B17B73"/>
    <w:rsid w:val="00B17C7E"/>
    <w:rsid w:val="00B17D07"/>
    <w:rsid w:val="00B17D95"/>
    <w:rsid w:val="00B17D98"/>
    <w:rsid w:val="00B17E6E"/>
    <w:rsid w:val="00B17E7E"/>
    <w:rsid w:val="00B17EAB"/>
    <w:rsid w:val="00B17ECC"/>
    <w:rsid w:val="00B17FC6"/>
    <w:rsid w:val="00B2010A"/>
    <w:rsid w:val="00B20296"/>
    <w:rsid w:val="00B20458"/>
    <w:rsid w:val="00B204D1"/>
    <w:rsid w:val="00B20559"/>
    <w:rsid w:val="00B205A2"/>
    <w:rsid w:val="00B20669"/>
    <w:rsid w:val="00B20719"/>
    <w:rsid w:val="00B2079E"/>
    <w:rsid w:val="00B20842"/>
    <w:rsid w:val="00B20B18"/>
    <w:rsid w:val="00B20B1B"/>
    <w:rsid w:val="00B20CE3"/>
    <w:rsid w:val="00B20CF1"/>
    <w:rsid w:val="00B20F66"/>
    <w:rsid w:val="00B21039"/>
    <w:rsid w:val="00B21050"/>
    <w:rsid w:val="00B210C9"/>
    <w:rsid w:val="00B210DD"/>
    <w:rsid w:val="00B211DC"/>
    <w:rsid w:val="00B21260"/>
    <w:rsid w:val="00B2126F"/>
    <w:rsid w:val="00B21327"/>
    <w:rsid w:val="00B21983"/>
    <w:rsid w:val="00B21A8C"/>
    <w:rsid w:val="00B21B3F"/>
    <w:rsid w:val="00B21C13"/>
    <w:rsid w:val="00B21C47"/>
    <w:rsid w:val="00B21E2F"/>
    <w:rsid w:val="00B21E77"/>
    <w:rsid w:val="00B21EEA"/>
    <w:rsid w:val="00B21F34"/>
    <w:rsid w:val="00B22024"/>
    <w:rsid w:val="00B22063"/>
    <w:rsid w:val="00B220CF"/>
    <w:rsid w:val="00B2213A"/>
    <w:rsid w:val="00B2226D"/>
    <w:rsid w:val="00B222E1"/>
    <w:rsid w:val="00B22531"/>
    <w:rsid w:val="00B22735"/>
    <w:rsid w:val="00B22851"/>
    <w:rsid w:val="00B22881"/>
    <w:rsid w:val="00B22968"/>
    <w:rsid w:val="00B22AA6"/>
    <w:rsid w:val="00B22C67"/>
    <w:rsid w:val="00B22CBE"/>
    <w:rsid w:val="00B22D99"/>
    <w:rsid w:val="00B22ED0"/>
    <w:rsid w:val="00B22F76"/>
    <w:rsid w:val="00B22FB0"/>
    <w:rsid w:val="00B22FD6"/>
    <w:rsid w:val="00B23087"/>
    <w:rsid w:val="00B23112"/>
    <w:rsid w:val="00B232D4"/>
    <w:rsid w:val="00B2335E"/>
    <w:rsid w:val="00B2345E"/>
    <w:rsid w:val="00B234CF"/>
    <w:rsid w:val="00B2367B"/>
    <w:rsid w:val="00B23704"/>
    <w:rsid w:val="00B23730"/>
    <w:rsid w:val="00B237B1"/>
    <w:rsid w:val="00B238B1"/>
    <w:rsid w:val="00B238BF"/>
    <w:rsid w:val="00B23914"/>
    <w:rsid w:val="00B239C3"/>
    <w:rsid w:val="00B23AC1"/>
    <w:rsid w:val="00B23B22"/>
    <w:rsid w:val="00B23C7E"/>
    <w:rsid w:val="00B23CAE"/>
    <w:rsid w:val="00B23D0C"/>
    <w:rsid w:val="00B23D20"/>
    <w:rsid w:val="00B23DE4"/>
    <w:rsid w:val="00B23EFB"/>
    <w:rsid w:val="00B23F04"/>
    <w:rsid w:val="00B2403F"/>
    <w:rsid w:val="00B24160"/>
    <w:rsid w:val="00B24197"/>
    <w:rsid w:val="00B241EC"/>
    <w:rsid w:val="00B24311"/>
    <w:rsid w:val="00B244FB"/>
    <w:rsid w:val="00B245C9"/>
    <w:rsid w:val="00B2465A"/>
    <w:rsid w:val="00B247CE"/>
    <w:rsid w:val="00B24918"/>
    <w:rsid w:val="00B24B12"/>
    <w:rsid w:val="00B24BC8"/>
    <w:rsid w:val="00B24C02"/>
    <w:rsid w:val="00B24C10"/>
    <w:rsid w:val="00B24C16"/>
    <w:rsid w:val="00B24DDF"/>
    <w:rsid w:val="00B24F5F"/>
    <w:rsid w:val="00B24F63"/>
    <w:rsid w:val="00B25001"/>
    <w:rsid w:val="00B2500E"/>
    <w:rsid w:val="00B2504F"/>
    <w:rsid w:val="00B25129"/>
    <w:rsid w:val="00B25220"/>
    <w:rsid w:val="00B2526B"/>
    <w:rsid w:val="00B25358"/>
    <w:rsid w:val="00B2564D"/>
    <w:rsid w:val="00B2570B"/>
    <w:rsid w:val="00B25845"/>
    <w:rsid w:val="00B2587B"/>
    <w:rsid w:val="00B25932"/>
    <w:rsid w:val="00B2595E"/>
    <w:rsid w:val="00B25A12"/>
    <w:rsid w:val="00B25ADE"/>
    <w:rsid w:val="00B25B8C"/>
    <w:rsid w:val="00B25C8D"/>
    <w:rsid w:val="00B25CF7"/>
    <w:rsid w:val="00B25DB5"/>
    <w:rsid w:val="00B25E6D"/>
    <w:rsid w:val="00B25EF7"/>
    <w:rsid w:val="00B26112"/>
    <w:rsid w:val="00B26127"/>
    <w:rsid w:val="00B2623B"/>
    <w:rsid w:val="00B2636A"/>
    <w:rsid w:val="00B263AC"/>
    <w:rsid w:val="00B2647D"/>
    <w:rsid w:val="00B264F4"/>
    <w:rsid w:val="00B269E5"/>
    <w:rsid w:val="00B26A0A"/>
    <w:rsid w:val="00B26B19"/>
    <w:rsid w:val="00B26B21"/>
    <w:rsid w:val="00B26B45"/>
    <w:rsid w:val="00B26B5E"/>
    <w:rsid w:val="00B26BA1"/>
    <w:rsid w:val="00B26D0E"/>
    <w:rsid w:val="00B26D78"/>
    <w:rsid w:val="00B26D86"/>
    <w:rsid w:val="00B26E0A"/>
    <w:rsid w:val="00B26E14"/>
    <w:rsid w:val="00B26EBC"/>
    <w:rsid w:val="00B26F41"/>
    <w:rsid w:val="00B270C3"/>
    <w:rsid w:val="00B271B5"/>
    <w:rsid w:val="00B271B9"/>
    <w:rsid w:val="00B27354"/>
    <w:rsid w:val="00B274F8"/>
    <w:rsid w:val="00B2754A"/>
    <w:rsid w:val="00B275E4"/>
    <w:rsid w:val="00B27626"/>
    <w:rsid w:val="00B277AD"/>
    <w:rsid w:val="00B277DA"/>
    <w:rsid w:val="00B27877"/>
    <w:rsid w:val="00B27884"/>
    <w:rsid w:val="00B278B1"/>
    <w:rsid w:val="00B27998"/>
    <w:rsid w:val="00B27A37"/>
    <w:rsid w:val="00B27B5C"/>
    <w:rsid w:val="00B27CF2"/>
    <w:rsid w:val="00B27D8F"/>
    <w:rsid w:val="00B27E14"/>
    <w:rsid w:val="00B27E93"/>
    <w:rsid w:val="00B27F1C"/>
    <w:rsid w:val="00B27F7A"/>
    <w:rsid w:val="00B27FDE"/>
    <w:rsid w:val="00B28446"/>
    <w:rsid w:val="00B30054"/>
    <w:rsid w:val="00B3024B"/>
    <w:rsid w:val="00B30282"/>
    <w:rsid w:val="00B304AA"/>
    <w:rsid w:val="00B304DC"/>
    <w:rsid w:val="00B304EC"/>
    <w:rsid w:val="00B30651"/>
    <w:rsid w:val="00B3071F"/>
    <w:rsid w:val="00B309C1"/>
    <w:rsid w:val="00B30B0D"/>
    <w:rsid w:val="00B30B2D"/>
    <w:rsid w:val="00B30BF7"/>
    <w:rsid w:val="00B30CF6"/>
    <w:rsid w:val="00B30E28"/>
    <w:rsid w:val="00B30E3D"/>
    <w:rsid w:val="00B30E6E"/>
    <w:rsid w:val="00B30FA8"/>
    <w:rsid w:val="00B31017"/>
    <w:rsid w:val="00B310D1"/>
    <w:rsid w:val="00B31122"/>
    <w:rsid w:val="00B311A0"/>
    <w:rsid w:val="00B31278"/>
    <w:rsid w:val="00B313B9"/>
    <w:rsid w:val="00B31571"/>
    <w:rsid w:val="00B315E7"/>
    <w:rsid w:val="00B31691"/>
    <w:rsid w:val="00B31926"/>
    <w:rsid w:val="00B31AB6"/>
    <w:rsid w:val="00B31B55"/>
    <w:rsid w:val="00B31C5C"/>
    <w:rsid w:val="00B31C7D"/>
    <w:rsid w:val="00B31DD2"/>
    <w:rsid w:val="00B31E31"/>
    <w:rsid w:val="00B31E4E"/>
    <w:rsid w:val="00B32112"/>
    <w:rsid w:val="00B321DB"/>
    <w:rsid w:val="00B32345"/>
    <w:rsid w:val="00B32380"/>
    <w:rsid w:val="00B323B8"/>
    <w:rsid w:val="00B323DE"/>
    <w:rsid w:val="00B323F5"/>
    <w:rsid w:val="00B325F7"/>
    <w:rsid w:val="00B325F9"/>
    <w:rsid w:val="00B3268D"/>
    <w:rsid w:val="00B326CE"/>
    <w:rsid w:val="00B326FD"/>
    <w:rsid w:val="00B327AC"/>
    <w:rsid w:val="00B327BF"/>
    <w:rsid w:val="00B327EF"/>
    <w:rsid w:val="00B3293F"/>
    <w:rsid w:val="00B329FE"/>
    <w:rsid w:val="00B32AEB"/>
    <w:rsid w:val="00B32B02"/>
    <w:rsid w:val="00B32B24"/>
    <w:rsid w:val="00B32B33"/>
    <w:rsid w:val="00B32BC9"/>
    <w:rsid w:val="00B32BD5"/>
    <w:rsid w:val="00B32D17"/>
    <w:rsid w:val="00B32D1F"/>
    <w:rsid w:val="00B32D9A"/>
    <w:rsid w:val="00B32E30"/>
    <w:rsid w:val="00B32F14"/>
    <w:rsid w:val="00B32F54"/>
    <w:rsid w:val="00B32F93"/>
    <w:rsid w:val="00B33022"/>
    <w:rsid w:val="00B330C0"/>
    <w:rsid w:val="00B330FD"/>
    <w:rsid w:val="00B332E1"/>
    <w:rsid w:val="00B333A9"/>
    <w:rsid w:val="00B333E9"/>
    <w:rsid w:val="00B3354F"/>
    <w:rsid w:val="00B33598"/>
    <w:rsid w:val="00B33658"/>
    <w:rsid w:val="00B33847"/>
    <w:rsid w:val="00B339A3"/>
    <w:rsid w:val="00B339A4"/>
    <w:rsid w:val="00B33AB7"/>
    <w:rsid w:val="00B33BED"/>
    <w:rsid w:val="00B33C80"/>
    <w:rsid w:val="00B33D17"/>
    <w:rsid w:val="00B33DA3"/>
    <w:rsid w:val="00B3404F"/>
    <w:rsid w:val="00B34067"/>
    <w:rsid w:val="00B34180"/>
    <w:rsid w:val="00B3428B"/>
    <w:rsid w:val="00B342E6"/>
    <w:rsid w:val="00B342EB"/>
    <w:rsid w:val="00B34396"/>
    <w:rsid w:val="00B34468"/>
    <w:rsid w:val="00B344EE"/>
    <w:rsid w:val="00B347A9"/>
    <w:rsid w:val="00B3486F"/>
    <w:rsid w:val="00B3487D"/>
    <w:rsid w:val="00B348EA"/>
    <w:rsid w:val="00B349D5"/>
    <w:rsid w:val="00B34B44"/>
    <w:rsid w:val="00B34B5F"/>
    <w:rsid w:val="00B34C75"/>
    <w:rsid w:val="00B34DB6"/>
    <w:rsid w:val="00B34ECE"/>
    <w:rsid w:val="00B34F27"/>
    <w:rsid w:val="00B34FBA"/>
    <w:rsid w:val="00B353EC"/>
    <w:rsid w:val="00B3544C"/>
    <w:rsid w:val="00B35694"/>
    <w:rsid w:val="00B356D9"/>
    <w:rsid w:val="00B35826"/>
    <w:rsid w:val="00B35908"/>
    <w:rsid w:val="00B35B74"/>
    <w:rsid w:val="00B35BEF"/>
    <w:rsid w:val="00B35D30"/>
    <w:rsid w:val="00B35D70"/>
    <w:rsid w:val="00B35EA1"/>
    <w:rsid w:val="00B35EFE"/>
    <w:rsid w:val="00B35FEB"/>
    <w:rsid w:val="00B360B5"/>
    <w:rsid w:val="00B36330"/>
    <w:rsid w:val="00B366D8"/>
    <w:rsid w:val="00B366F2"/>
    <w:rsid w:val="00B36717"/>
    <w:rsid w:val="00B36721"/>
    <w:rsid w:val="00B367A4"/>
    <w:rsid w:val="00B3682E"/>
    <w:rsid w:val="00B36894"/>
    <w:rsid w:val="00B36928"/>
    <w:rsid w:val="00B369D0"/>
    <w:rsid w:val="00B36D11"/>
    <w:rsid w:val="00B36E36"/>
    <w:rsid w:val="00B36F91"/>
    <w:rsid w:val="00B371CA"/>
    <w:rsid w:val="00B371FE"/>
    <w:rsid w:val="00B37246"/>
    <w:rsid w:val="00B3738F"/>
    <w:rsid w:val="00B3742C"/>
    <w:rsid w:val="00B37457"/>
    <w:rsid w:val="00B37481"/>
    <w:rsid w:val="00B3751D"/>
    <w:rsid w:val="00B37537"/>
    <w:rsid w:val="00B3755C"/>
    <w:rsid w:val="00B376F1"/>
    <w:rsid w:val="00B37791"/>
    <w:rsid w:val="00B37A81"/>
    <w:rsid w:val="00B37AC0"/>
    <w:rsid w:val="00B37AF0"/>
    <w:rsid w:val="00B37AFE"/>
    <w:rsid w:val="00B37B6E"/>
    <w:rsid w:val="00B37B77"/>
    <w:rsid w:val="00B37CDB"/>
    <w:rsid w:val="00B37D32"/>
    <w:rsid w:val="00B37D39"/>
    <w:rsid w:val="00B37E88"/>
    <w:rsid w:val="00B37ECD"/>
    <w:rsid w:val="00B37FF2"/>
    <w:rsid w:val="00B37FF4"/>
    <w:rsid w:val="00B3AAF3"/>
    <w:rsid w:val="00B40033"/>
    <w:rsid w:val="00B40088"/>
    <w:rsid w:val="00B400BB"/>
    <w:rsid w:val="00B40191"/>
    <w:rsid w:val="00B401A2"/>
    <w:rsid w:val="00B4046D"/>
    <w:rsid w:val="00B405B4"/>
    <w:rsid w:val="00B405F9"/>
    <w:rsid w:val="00B40605"/>
    <w:rsid w:val="00B40728"/>
    <w:rsid w:val="00B40839"/>
    <w:rsid w:val="00B4094D"/>
    <w:rsid w:val="00B40AE7"/>
    <w:rsid w:val="00B40AF8"/>
    <w:rsid w:val="00B40B90"/>
    <w:rsid w:val="00B40BFA"/>
    <w:rsid w:val="00B40CCC"/>
    <w:rsid w:val="00B40CE0"/>
    <w:rsid w:val="00B40E94"/>
    <w:rsid w:val="00B4104E"/>
    <w:rsid w:val="00B410D6"/>
    <w:rsid w:val="00B4110E"/>
    <w:rsid w:val="00B41282"/>
    <w:rsid w:val="00B413ED"/>
    <w:rsid w:val="00B414C2"/>
    <w:rsid w:val="00B416FA"/>
    <w:rsid w:val="00B41719"/>
    <w:rsid w:val="00B41777"/>
    <w:rsid w:val="00B41809"/>
    <w:rsid w:val="00B41874"/>
    <w:rsid w:val="00B41B37"/>
    <w:rsid w:val="00B41BA6"/>
    <w:rsid w:val="00B41E1F"/>
    <w:rsid w:val="00B41F16"/>
    <w:rsid w:val="00B4221D"/>
    <w:rsid w:val="00B4232C"/>
    <w:rsid w:val="00B42488"/>
    <w:rsid w:val="00B4262A"/>
    <w:rsid w:val="00B4273F"/>
    <w:rsid w:val="00B42893"/>
    <w:rsid w:val="00B4289B"/>
    <w:rsid w:val="00B42942"/>
    <w:rsid w:val="00B42984"/>
    <w:rsid w:val="00B42AC3"/>
    <w:rsid w:val="00B42DBE"/>
    <w:rsid w:val="00B42E51"/>
    <w:rsid w:val="00B42EA8"/>
    <w:rsid w:val="00B42ED9"/>
    <w:rsid w:val="00B42F2C"/>
    <w:rsid w:val="00B42F49"/>
    <w:rsid w:val="00B42F79"/>
    <w:rsid w:val="00B43045"/>
    <w:rsid w:val="00B43134"/>
    <w:rsid w:val="00B431B7"/>
    <w:rsid w:val="00B4321C"/>
    <w:rsid w:val="00B43277"/>
    <w:rsid w:val="00B432D7"/>
    <w:rsid w:val="00B432EE"/>
    <w:rsid w:val="00B4330D"/>
    <w:rsid w:val="00B434B5"/>
    <w:rsid w:val="00B4351A"/>
    <w:rsid w:val="00B43681"/>
    <w:rsid w:val="00B43691"/>
    <w:rsid w:val="00B436BF"/>
    <w:rsid w:val="00B43720"/>
    <w:rsid w:val="00B437ED"/>
    <w:rsid w:val="00B43845"/>
    <w:rsid w:val="00B438D6"/>
    <w:rsid w:val="00B438F7"/>
    <w:rsid w:val="00B43977"/>
    <w:rsid w:val="00B439CE"/>
    <w:rsid w:val="00B43B31"/>
    <w:rsid w:val="00B43B35"/>
    <w:rsid w:val="00B43BAD"/>
    <w:rsid w:val="00B43BE3"/>
    <w:rsid w:val="00B43C6F"/>
    <w:rsid w:val="00B43F5C"/>
    <w:rsid w:val="00B43F5D"/>
    <w:rsid w:val="00B43F72"/>
    <w:rsid w:val="00B4407D"/>
    <w:rsid w:val="00B4408E"/>
    <w:rsid w:val="00B44152"/>
    <w:rsid w:val="00B4415E"/>
    <w:rsid w:val="00B44298"/>
    <w:rsid w:val="00B445AD"/>
    <w:rsid w:val="00B44786"/>
    <w:rsid w:val="00B4481C"/>
    <w:rsid w:val="00B44830"/>
    <w:rsid w:val="00B448D1"/>
    <w:rsid w:val="00B44906"/>
    <w:rsid w:val="00B44944"/>
    <w:rsid w:val="00B449C8"/>
    <w:rsid w:val="00B44B4C"/>
    <w:rsid w:val="00B44BD2"/>
    <w:rsid w:val="00B44C12"/>
    <w:rsid w:val="00B44C58"/>
    <w:rsid w:val="00B44CD2"/>
    <w:rsid w:val="00B44CED"/>
    <w:rsid w:val="00B44CF2"/>
    <w:rsid w:val="00B44ED1"/>
    <w:rsid w:val="00B44FFD"/>
    <w:rsid w:val="00B44FFE"/>
    <w:rsid w:val="00B451AE"/>
    <w:rsid w:val="00B45361"/>
    <w:rsid w:val="00B4539A"/>
    <w:rsid w:val="00B4550B"/>
    <w:rsid w:val="00B45538"/>
    <w:rsid w:val="00B4553E"/>
    <w:rsid w:val="00B45566"/>
    <w:rsid w:val="00B45689"/>
    <w:rsid w:val="00B458B5"/>
    <w:rsid w:val="00B458BA"/>
    <w:rsid w:val="00B458BD"/>
    <w:rsid w:val="00B45BC1"/>
    <w:rsid w:val="00B45C71"/>
    <w:rsid w:val="00B45C82"/>
    <w:rsid w:val="00B45CB0"/>
    <w:rsid w:val="00B45CF9"/>
    <w:rsid w:val="00B45FE2"/>
    <w:rsid w:val="00B4623C"/>
    <w:rsid w:val="00B462D7"/>
    <w:rsid w:val="00B46396"/>
    <w:rsid w:val="00B463C2"/>
    <w:rsid w:val="00B464B6"/>
    <w:rsid w:val="00B464F4"/>
    <w:rsid w:val="00B46512"/>
    <w:rsid w:val="00B465B9"/>
    <w:rsid w:val="00B46658"/>
    <w:rsid w:val="00B46706"/>
    <w:rsid w:val="00B4670E"/>
    <w:rsid w:val="00B467AC"/>
    <w:rsid w:val="00B46810"/>
    <w:rsid w:val="00B4681F"/>
    <w:rsid w:val="00B46918"/>
    <w:rsid w:val="00B469D3"/>
    <w:rsid w:val="00B46B0C"/>
    <w:rsid w:val="00B46C23"/>
    <w:rsid w:val="00B46EAF"/>
    <w:rsid w:val="00B46EB8"/>
    <w:rsid w:val="00B46F05"/>
    <w:rsid w:val="00B46F42"/>
    <w:rsid w:val="00B47100"/>
    <w:rsid w:val="00B4710F"/>
    <w:rsid w:val="00B47174"/>
    <w:rsid w:val="00B4717C"/>
    <w:rsid w:val="00B47188"/>
    <w:rsid w:val="00B471DB"/>
    <w:rsid w:val="00B471DF"/>
    <w:rsid w:val="00B4744A"/>
    <w:rsid w:val="00B47491"/>
    <w:rsid w:val="00B475B8"/>
    <w:rsid w:val="00B476B3"/>
    <w:rsid w:val="00B47705"/>
    <w:rsid w:val="00B4770D"/>
    <w:rsid w:val="00B479B5"/>
    <w:rsid w:val="00B47A56"/>
    <w:rsid w:val="00B47AA2"/>
    <w:rsid w:val="00B47B48"/>
    <w:rsid w:val="00B47CBE"/>
    <w:rsid w:val="00B47CCF"/>
    <w:rsid w:val="00B47D9F"/>
    <w:rsid w:val="00B47DB0"/>
    <w:rsid w:val="00B47E0F"/>
    <w:rsid w:val="00B47E9C"/>
    <w:rsid w:val="00B47EE3"/>
    <w:rsid w:val="00B50016"/>
    <w:rsid w:val="00B501E9"/>
    <w:rsid w:val="00B50284"/>
    <w:rsid w:val="00B50292"/>
    <w:rsid w:val="00B50383"/>
    <w:rsid w:val="00B503E4"/>
    <w:rsid w:val="00B50424"/>
    <w:rsid w:val="00B50492"/>
    <w:rsid w:val="00B504EA"/>
    <w:rsid w:val="00B5051E"/>
    <w:rsid w:val="00B50807"/>
    <w:rsid w:val="00B50931"/>
    <w:rsid w:val="00B5094A"/>
    <w:rsid w:val="00B50950"/>
    <w:rsid w:val="00B50AB5"/>
    <w:rsid w:val="00B50BA4"/>
    <w:rsid w:val="00B50BAF"/>
    <w:rsid w:val="00B50BF8"/>
    <w:rsid w:val="00B50C9A"/>
    <w:rsid w:val="00B50D9C"/>
    <w:rsid w:val="00B50DA3"/>
    <w:rsid w:val="00B50ECB"/>
    <w:rsid w:val="00B50ED5"/>
    <w:rsid w:val="00B51014"/>
    <w:rsid w:val="00B51179"/>
    <w:rsid w:val="00B512CA"/>
    <w:rsid w:val="00B512DB"/>
    <w:rsid w:val="00B5148A"/>
    <w:rsid w:val="00B515F1"/>
    <w:rsid w:val="00B51ADC"/>
    <w:rsid w:val="00B51B46"/>
    <w:rsid w:val="00B51CBE"/>
    <w:rsid w:val="00B51E50"/>
    <w:rsid w:val="00B51EAD"/>
    <w:rsid w:val="00B51EC3"/>
    <w:rsid w:val="00B51F35"/>
    <w:rsid w:val="00B520EB"/>
    <w:rsid w:val="00B52117"/>
    <w:rsid w:val="00B521CC"/>
    <w:rsid w:val="00B5230D"/>
    <w:rsid w:val="00B523E4"/>
    <w:rsid w:val="00B52526"/>
    <w:rsid w:val="00B52547"/>
    <w:rsid w:val="00B52585"/>
    <w:rsid w:val="00B52657"/>
    <w:rsid w:val="00B526A4"/>
    <w:rsid w:val="00B526DC"/>
    <w:rsid w:val="00B5278D"/>
    <w:rsid w:val="00B52887"/>
    <w:rsid w:val="00B529C7"/>
    <w:rsid w:val="00B52A54"/>
    <w:rsid w:val="00B52A80"/>
    <w:rsid w:val="00B52B89"/>
    <w:rsid w:val="00B52D14"/>
    <w:rsid w:val="00B52D24"/>
    <w:rsid w:val="00B52D48"/>
    <w:rsid w:val="00B52E15"/>
    <w:rsid w:val="00B52E84"/>
    <w:rsid w:val="00B52E86"/>
    <w:rsid w:val="00B52E90"/>
    <w:rsid w:val="00B52F22"/>
    <w:rsid w:val="00B52FD4"/>
    <w:rsid w:val="00B5300A"/>
    <w:rsid w:val="00B53058"/>
    <w:rsid w:val="00B5305F"/>
    <w:rsid w:val="00B53189"/>
    <w:rsid w:val="00B5321A"/>
    <w:rsid w:val="00B5321B"/>
    <w:rsid w:val="00B53272"/>
    <w:rsid w:val="00B5331D"/>
    <w:rsid w:val="00B53334"/>
    <w:rsid w:val="00B5338F"/>
    <w:rsid w:val="00B533CC"/>
    <w:rsid w:val="00B533FA"/>
    <w:rsid w:val="00B53429"/>
    <w:rsid w:val="00B53499"/>
    <w:rsid w:val="00B534C0"/>
    <w:rsid w:val="00B534F6"/>
    <w:rsid w:val="00B535BC"/>
    <w:rsid w:val="00B53621"/>
    <w:rsid w:val="00B53651"/>
    <w:rsid w:val="00B53743"/>
    <w:rsid w:val="00B53790"/>
    <w:rsid w:val="00B538A3"/>
    <w:rsid w:val="00B5391E"/>
    <w:rsid w:val="00B53925"/>
    <w:rsid w:val="00B53990"/>
    <w:rsid w:val="00B539CA"/>
    <w:rsid w:val="00B539F3"/>
    <w:rsid w:val="00B53BAE"/>
    <w:rsid w:val="00B53C4F"/>
    <w:rsid w:val="00B53DA4"/>
    <w:rsid w:val="00B53E37"/>
    <w:rsid w:val="00B53EED"/>
    <w:rsid w:val="00B53F24"/>
    <w:rsid w:val="00B53F9B"/>
    <w:rsid w:val="00B53FE0"/>
    <w:rsid w:val="00B5408D"/>
    <w:rsid w:val="00B540D2"/>
    <w:rsid w:val="00B54123"/>
    <w:rsid w:val="00B5453F"/>
    <w:rsid w:val="00B54584"/>
    <w:rsid w:val="00B545AF"/>
    <w:rsid w:val="00B54807"/>
    <w:rsid w:val="00B54873"/>
    <w:rsid w:val="00B5487F"/>
    <w:rsid w:val="00B548CD"/>
    <w:rsid w:val="00B54A0D"/>
    <w:rsid w:val="00B54A50"/>
    <w:rsid w:val="00B54A6F"/>
    <w:rsid w:val="00B54B09"/>
    <w:rsid w:val="00B54D33"/>
    <w:rsid w:val="00B54D76"/>
    <w:rsid w:val="00B54E3D"/>
    <w:rsid w:val="00B54ED2"/>
    <w:rsid w:val="00B54EF0"/>
    <w:rsid w:val="00B54EF8"/>
    <w:rsid w:val="00B54F28"/>
    <w:rsid w:val="00B54F64"/>
    <w:rsid w:val="00B54F79"/>
    <w:rsid w:val="00B54FBB"/>
    <w:rsid w:val="00B55005"/>
    <w:rsid w:val="00B5501E"/>
    <w:rsid w:val="00B550E5"/>
    <w:rsid w:val="00B55107"/>
    <w:rsid w:val="00B5516C"/>
    <w:rsid w:val="00B55198"/>
    <w:rsid w:val="00B551C4"/>
    <w:rsid w:val="00B551E5"/>
    <w:rsid w:val="00B555BF"/>
    <w:rsid w:val="00B5569C"/>
    <w:rsid w:val="00B556C9"/>
    <w:rsid w:val="00B557A1"/>
    <w:rsid w:val="00B55819"/>
    <w:rsid w:val="00B5586E"/>
    <w:rsid w:val="00B55893"/>
    <w:rsid w:val="00B55981"/>
    <w:rsid w:val="00B55AD8"/>
    <w:rsid w:val="00B55EE5"/>
    <w:rsid w:val="00B55FE1"/>
    <w:rsid w:val="00B56108"/>
    <w:rsid w:val="00B5616F"/>
    <w:rsid w:val="00B5625A"/>
    <w:rsid w:val="00B562F5"/>
    <w:rsid w:val="00B563C5"/>
    <w:rsid w:val="00B5640D"/>
    <w:rsid w:val="00B5656B"/>
    <w:rsid w:val="00B5656E"/>
    <w:rsid w:val="00B565FC"/>
    <w:rsid w:val="00B56686"/>
    <w:rsid w:val="00B56903"/>
    <w:rsid w:val="00B56917"/>
    <w:rsid w:val="00B56B0C"/>
    <w:rsid w:val="00B56B9E"/>
    <w:rsid w:val="00B56BA1"/>
    <w:rsid w:val="00B56BBE"/>
    <w:rsid w:val="00B56E30"/>
    <w:rsid w:val="00B56E49"/>
    <w:rsid w:val="00B56EAE"/>
    <w:rsid w:val="00B5700A"/>
    <w:rsid w:val="00B5701D"/>
    <w:rsid w:val="00B57030"/>
    <w:rsid w:val="00B5717F"/>
    <w:rsid w:val="00B57217"/>
    <w:rsid w:val="00B57293"/>
    <w:rsid w:val="00B5734B"/>
    <w:rsid w:val="00B574AB"/>
    <w:rsid w:val="00B574D1"/>
    <w:rsid w:val="00B57711"/>
    <w:rsid w:val="00B57760"/>
    <w:rsid w:val="00B57832"/>
    <w:rsid w:val="00B578B3"/>
    <w:rsid w:val="00B57964"/>
    <w:rsid w:val="00B57967"/>
    <w:rsid w:val="00B579C8"/>
    <w:rsid w:val="00B57A69"/>
    <w:rsid w:val="00B57C6E"/>
    <w:rsid w:val="00B57D71"/>
    <w:rsid w:val="00B57E49"/>
    <w:rsid w:val="00B57F3E"/>
    <w:rsid w:val="00B60095"/>
    <w:rsid w:val="00B60188"/>
    <w:rsid w:val="00B602F6"/>
    <w:rsid w:val="00B60367"/>
    <w:rsid w:val="00B60405"/>
    <w:rsid w:val="00B6049B"/>
    <w:rsid w:val="00B60545"/>
    <w:rsid w:val="00B60610"/>
    <w:rsid w:val="00B6079A"/>
    <w:rsid w:val="00B60837"/>
    <w:rsid w:val="00B608FA"/>
    <w:rsid w:val="00B60905"/>
    <w:rsid w:val="00B6090A"/>
    <w:rsid w:val="00B6098C"/>
    <w:rsid w:val="00B60A26"/>
    <w:rsid w:val="00B60A60"/>
    <w:rsid w:val="00B60BD8"/>
    <w:rsid w:val="00B60BED"/>
    <w:rsid w:val="00B60C65"/>
    <w:rsid w:val="00B60CEE"/>
    <w:rsid w:val="00B60D19"/>
    <w:rsid w:val="00B60D57"/>
    <w:rsid w:val="00B60D91"/>
    <w:rsid w:val="00B60E75"/>
    <w:rsid w:val="00B60E83"/>
    <w:rsid w:val="00B60F37"/>
    <w:rsid w:val="00B6105A"/>
    <w:rsid w:val="00B610A9"/>
    <w:rsid w:val="00B611BE"/>
    <w:rsid w:val="00B61369"/>
    <w:rsid w:val="00B61533"/>
    <w:rsid w:val="00B616F4"/>
    <w:rsid w:val="00B61912"/>
    <w:rsid w:val="00B61A69"/>
    <w:rsid w:val="00B61B9D"/>
    <w:rsid w:val="00B61C86"/>
    <w:rsid w:val="00B61CC2"/>
    <w:rsid w:val="00B61D7F"/>
    <w:rsid w:val="00B61DC3"/>
    <w:rsid w:val="00B61DE6"/>
    <w:rsid w:val="00B61E1E"/>
    <w:rsid w:val="00B61F57"/>
    <w:rsid w:val="00B620D7"/>
    <w:rsid w:val="00B6214D"/>
    <w:rsid w:val="00B62246"/>
    <w:rsid w:val="00B6231F"/>
    <w:rsid w:val="00B62327"/>
    <w:rsid w:val="00B6237D"/>
    <w:rsid w:val="00B62509"/>
    <w:rsid w:val="00B625F0"/>
    <w:rsid w:val="00B625F8"/>
    <w:rsid w:val="00B628E0"/>
    <w:rsid w:val="00B628E1"/>
    <w:rsid w:val="00B628F5"/>
    <w:rsid w:val="00B629C5"/>
    <w:rsid w:val="00B62A53"/>
    <w:rsid w:val="00B62B51"/>
    <w:rsid w:val="00B62CEA"/>
    <w:rsid w:val="00B62D1F"/>
    <w:rsid w:val="00B62DC2"/>
    <w:rsid w:val="00B62E37"/>
    <w:rsid w:val="00B62E3A"/>
    <w:rsid w:val="00B62EC9"/>
    <w:rsid w:val="00B62F52"/>
    <w:rsid w:val="00B62FE2"/>
    <w:rsid w:val="00B62FE8"/>
    <w:rsid w:val="00B63126"/>
    <w:rsid w:val="00B63373"/>
    <w:rsid w:val="00B634C9"/>
    <w:rsid w:val="00B6359A"/>
    <w:rsid w:val="00B6359E"/>
    <w:rsid w:val="00B635A1"/>
    <w:rsid w:val="00B63616"/>
    <w:rsid w:val="00B6363C"/>
    <w:rsid w:val="00B636D5"/>
    <w:rsid w:val="00B63835"/>
    <w:rsid w:val="00B6383E"/>
    <w:rsid w:val="00B6389C"/>
    <w:rsid w:val="00B639F3"/>
    <w:rsid w:val="00B63B26"/>
    <w:rsid w:val="00B63B2A"/>
    <w:rsid w:val="00B63BB2"/>
    <w:rsid w:val="00B63BB9"/>
    <w:rsid w:val="00B63BBB"/>
    <w:rsid w:val="00B63BEF"/>
    <w:rsid w:val="00B63C5D"/>
    <w:rsid w:val="00B63E66"/>
    <w:rsid w:val="00B63F1B"/>
    <w:rsid w:val="00B64029"/>
    <w:rsid w:val="00B64599"/>
    <w:rsid w:val="00B6470E"/>
    <w:rsid w:val="00B648A9"/>
    <w:rsid w:val="00B64A01"/>
    <w:rsid w:val="00B64B3A"/>
    <w:rsid w:val="00B64B9C"/>
    <w:rsid w:val="00B64C7F"/>
    <w:rsid w:val="00B64D48"/>
    <w:rsid w:val="00B64E44"/>
    <w:rsid w:val="00B64E48"/>
    <w:rsid w:val="00B64F57"/>
    <w:rsid w:val="00B65000"/>
    <w:rsid w:val="00B650E3"/>
    <w:rsid w:val="00B650F1"/>
    <w:rsid w:val="00B65104"/>
    <w:rsid w:val="00B65218"/>
    <w:rsid w:val="00B65246"/>
    <w:rsid w:val="00B652E9"/>
    <w:rsid w:val="00B6538B"/>
    <w:rsid w:val="00B654B1"/>
    <w:rsid w:val="00B654DB"/>
    <w:rsid w:val="00B65894"/>
    <w:rsid w:val="00B65939"/>
    <w:rsid w:val="00B659DD"/>
    <w:rsid w:val="00B659FF"/>
    <w:rsid w:val="00B65A27"/>
    <w:rsid w:val="00B65A90"/>
    <w:rsid w:val="00B65C2B"/>
    <w:rsid w:val="00B65CE4"/>
    <w:rsid w:val="00B65D0C"/>
    <w:rsid w:val="00B65D6B"/>
    <w:rsid w:val="00B65F1B"/>
    <w:rsid w:val="00B66018"/>
    <w:rsid w:val="00B66032"/>
    <w:rsid w:val="00B6604F"/>
    <w:rsid w:val="00B661F4"/>
    <w:rsid w:val="00B66412"/>
    <w:rsid w:val="00B66552"/>
    <w:rsid w:val="00B665AF"/>
    <w:rsid w:val="00B66743"/>
    <w:rsid w:val="00B6682C"/>
    <w:rsid w:val="00B66B07"/>
    <w:rsid w:val="00B66BDB"/>
    <w:rsid w:val="00B66CAA"/>
    <w:rsid w:val="00B66D14"/>
    <w:rsid w:val="00B66E09"/>
    <w:rsid w:val="00B66E36"/>
    <w:rsid w:val="00B66E7D"/>
    <w:rsid w:val="00B66F17"/>
    <w:rsid w:val="00B66FDF"/>
    <w:rsid w:val="00B67061"/>
    <w:rsid w:val="00B67231"/>
    <w:rsid w:val="00B672E9"/>
    <w:rsid w:val="00B6732A"/>
    <w:rsid w:val="00B674A3"/>
    <w:rsid w:val="00B67544"/>
    <w:rsid w:val="00B675B9"/>
    <w:rsid w:val="00B675CC"/>
    <w:rsid w:val="00B678AB"/>
    <w:rsid w:val="00B67B95"/>
    <w:rsid w:val="00B67BB5"/>
    <w:rsid w:val="00B67CA4"/>
    <w:rsid w:val="00B67E08"/>
    <w:rsid w:val="00B67E78"/>
    <w:rsid w:val="00B67F09"/>
    <w:rsid w:val="00B6D47E"/>
    <w:rsid w:val="00B702CD"/>
    <w:rsid w:val="00B702DC"/>
    <w:rsid w:val="00B7033F"/>
    <w:rsid w:val="00B704A9"/>
    <w:rsid w:val="00B704C7"/>
    <w:rsid w:val="00B705F8"/>
    <w:rsid w:val="00B7062E"/>
    <w:rsid w:val="00B70696"/>
    <w:rsid w:val="00B70803"/>
    <w:rsid w:val="00B70837"/>
    <w:rsid w:val="00B70C59"/>
    <w:rsid w:val="00B70D60"/>
    <w:rsid w:val="00B70F15"/>
    <w:rsid w:val="00B71027"/>
    <w:rsid w:val="00B710D3"/>
    <w:rsid w:val="00B7113B"/>
    <w:rsid w:val="00B7114D"/>
    <w:rsid w:val="00B711B3"/>
    <w:rsid w:val="00B711C1"/>
    <w:rsid w:val="00B71260"/>
    <w:rsid w:val="00B71305"/>
    <w:rsid w:val="00B7131B"/>
    <w:rsid w:val="00B7132B"/>
    <w:rsid w:val="00B7146C"/>
    <w:rsid w:val="00B714D0"/>
    <w:rsid w:val="00B715EF"/>
    <w:rsid w:val="00B7162A"/>
    <w:rsid w:val="00B71637"/>
    <w:rsid w:val="00B716CF"/>
    <w:rsid w:val="00B71727"/>
    <w:rsid w:val="00B717F7"/>
    <w:rsid w:val="00B718F7"/>
    <w:rsid w:val="00B71998"/>
    <w:rsid w:val="00B7199F"/>
    <w:rsid w:val="00B719A3"/>
    <w:rsid w:val="00B71AF8"/>
    <w:rsid w:val="00B71B52"/>
    <w:rsid w:val="00B71CBC"/>
    <w:rsid w:val="00B71E30"/>
    <w:rsid w:val="00B71E93"/>
    <w:rsid w:val="00B71F5F"/>
    <w:rsid w:val="00B7219C"/>
    <w:rsid w:val="00B72390"/>
    <w:rsid w:val="00B7247E"/>
    <w:rsid w:val="00B7253C"/>
    <w:rsid w:val="00B72703"/>
    <w:rsid w:val="00B727A1"/>
    <w:rsid w:val="00B728F9"/>
    <w:rsid w:val="00B72A17"/>
    <w:rsid w:val="00B72A2E"/>
    <w:rsid w:val="00B72A34"/>
    <w:rsid w:val="00B72B1B"/>
    <w:rsid w:val="00B72BA8"/>
    <w:rsid w:val="00B72BEB"/>
    <w:rsid w:val="00B72C59"/>
    <w:rsid w:val="00B72C68"/>
    <w:rsid w:val="00B72C72"/>
    <w:rsid w:val="00B72F43"/>
    <w:rsid w:val="00B73063"/>
    <w:rsid w:val="00B730DA"/>
    <w:rsid w:val="00B73102"/>
    <w:rsid w:val="00B73132"/>
    <w:rsid w:val="00B731D7"/>
    <w:rsid w:val="00B73274"/>
    <w:rsid w:val="00B7331A"/>
    <w:rsid w:val="00B733C6"/>
    <w:rsid w:val="00B7363E"/>
    <w:rsid w:val="00B73728"/>
    <w:rsid w:val="00B73765"/>
    <w:rsid w:val="00B737F6"/>
    <w:rsid w:val="00B73CAA"/>
    <w:rsid w:val="00B73D47"/>
    <w:rsid w:val="00B73E05"/>
    <w:rsid w:val="00B73EA1"/>
    <w:rsid w:val="00B73F0C"/>
    <w:rsid w:val="00B73FC7"/>
    <w:rsid w:val="00B741AB"/>
    <w:rsid w:val="00B741D7"/>
    <w:rsid w:val="00B741F5"/>
    <w:rsid w:val="00B743A4"/>
    <w:rsid w:val="00B744C9"/>
    <w:rsid w:val="00B74504"/>
    <w:rsid w:val="00B745AB"/>
    <w:rsid w:val="00B7465B"/>
    <w:rsid w:val="00B747A8"/>
    <w:rsid w:val="00B747B2"/>
    <w:rsid w:val="00B74960"/>
    <w:rsid w:val="00B749A3"/>
    <w:rsid w:val="00B74B36"/>
    <w:rsid w:val="00B74BB4"/>
    <w:rsid w:val="00B74D5E"/>
    <w:rsid w:val="00B74E2C"/>
    <w:rsid w:val="00B74F2F"/>
    <w:rsid w:val="00B74F3F"/>
    <w:rsid w:val="00B74FA9"/>
    <w:rsid w:val="00B751A5"/>
    <w:rsid w:val="00B752A9"/>
    <w:rsid w:val="00B75305"/>
    <w:rsid w:val="00B75351"/>
    <w:rsid w:val="00B75483"/>
    <w:rsid w:val="00B754A8"/>
    <w:rsid w:val="00B7552C"/>
    <w:rsid w:val="00B755B1"/>
    <w:rsid w:val="00B75621"/>
    <w:rsid w:val="00B7569E"/>
    <w:rsid w:val="00B756A3"/>
    <w:rsid w:val="00B757AE"/>
    <w:rsid w:val="00B75914"/>
    <w:rsid w:val="00B75944"/>
    <w:rsid w:val="00B7597D"/>
    <w:rsid w:val="00B759FE"/>
    <w:rsid w:val="00B75AA3"/>
    <w:rsid w:val="00B75B4E"/>
    <w:rsid w:val="00B75B6B"/>
    <w:rsid w:val="00B75C88"/>
    <w:rsid w:val="00B75CFF"/>
    <w:rsid w:val="00B75DCF"/>
    <w:rsid w:val="00B75E49"/>
    <w:rsid w:val="00B75E74"/>
    <w:rsid w:val="00B75F5A"/>
    <w:rsid w:val="00B75F5F"/>
    <w:rsid w:val="00B75FD2"/>
    <w:rsid w:val="00B76203"/>
    <w:rsid w:val="00B76252"/>
    <w:rsid w:val="00B7626A"/>
    <w:rsid w:val="00B76591"/>
    <w:rsid w:val="00B76793"/>
    <w:rsid w:val="00B767DB"/>
    <w:rsid w:val="00B7682B"/>
    <w:rsid w:val="00B76874"/>
    <w:rsid w:val="00B76B64"/>
    <w:rsid w:val="00B76CD4"/>
    <w:rsid w:val="00B76D61"/>
    <w:rsid w:val="00B76DF3"/>
    <w:rsid w:val="00B76E01"/>
    <w:rsid w:val="00B76F31"/>
    <w:rsid w:val="00B76F53"/>
    <w:rsid w:val="00B76FC1"/>
    <w:rsid w:val="00B77091"/>
    <w:rsid w:val="00B772C1"/>
    <w:rsid w:val="00B7735F"/>
    <w:rsid w:val="00B77435"/>
    <w:rsid w:val="00B774BF"/>
    <w:rsid w:val="00B774D2"/>
    <w:rsid w:val="00B77512"/>
    <w:rsid w:val="00B775E5"/>
    <w:rsid w:val="00B7789C"/>
    <w:rsid w:val="00B778A5"/>
    <w:rsid w:val="00B7795C"/>
    <w:rsid w:val="00B779A1"/>
    <w:rsid w:val="00B779D5"/>
    <w:rsid w:val="00B77ACF"/>
    <w:rsid w:val="00B77C4B"/>
    <w:rsid w:val="00B77CF5"/>
    <w:rsid w:val="00B77D77"/>
    <w:rsid w:val="00B77E67"/>
    <w:rsid w:val="00B77E6C"/>
    <w:rsid w:val="00B77FDE"/>
    <w:rsid w:val="00B8003B"/>
    <w:rsid w:val="00B8004E"/>
    <w:rsid w:val="00B8007C"/>
    <w:rsid w:val="00B8027B"/>
    <w:rsid w:val="00B802FA"/>
    <w:rsid w:val="00B8030C"/>
    <w:rsid w:val="00B80383"/>
    <w:rsid w:val="00B8059E"/>
    <w:rsid w:val="00B80794"/>
    <w:rsid w:val="00B80854"/>
    <w:rsid w:val="00B80952"/>
    <w:rsid w:val="00B809CD"/>
    <w:rsid w:val="00B80A12"/>
    <w:rsid w:val="00B80A30"/>
    <w:rsid w:val="00B80A84"/>
    <w:rsid w:val="00B80BED"/>
    <w:rsid w:val="00B80D4C"/>
    <w:rsid w:val="00B80E12"/>
    <w:rsid w:val="00B80EB5"/>
    <w:rsid w:val="00B80F2A"/>
    <w:rsid w:val="00B80F80"/>
    <w:rsid w:val="00B80FF4"/>
    <w:rsid w:val="00B81033"/>
    <w:rsid w:val="00B812EB"/>
    <w:rsid w:val="00B8135D"/>
    <w:rsid w:val="00B813E8"/>
    <w:rsid w:val="00B814C3"/>
    <w:rsid w:val="00B815D7"/>
    <w:rsid w:val="00B8175F"/>
    <w:rsid w:val="00B81B65"/>
    <w:rsid w:val="00B81CCB"/>
    <w:rsid w:val="00B81D17"/>
    <w:rsid w:val="00B81E4A"/>
    <w:rsid w:val="00B81E6F"/>
    <w:rsid w:val="00B81E84"/>
    <w:rsid w:val="00B8203F"/>
    <w:rsid w:val="00B82196"/>
    <w:rsid w:val="00B8219C"/>
    <w:rsid w:val="00B8240A"/>
    <w:rsid w:val="00B82596"/>
    <w:rsid w:val="00B825C1"/>
    <w:rsid w:val="00B82611"/>
    <w:rsid w:val="00B82650"/>
    <w:rsid w:val="00B8267D"/>
    <w:rsid w:val="00B826C6"/>
    <w:rsid w:val="00B826FD"/>
    <w:rsid w:val="00B8270A"/>
    <w:rsid w:val="00B82804"/>
    <w:rsid w:val="00B82870"/>
    <w:rsid w:val="00B82895"/>
    <w:rsid w:val="00B828CF"/>
    <w:rsid w:val="00B828F3"/>
    <w:rsid w:val="00B8297D"/>
    <w:rsid w:val="00B82C05"/>
    <w:rsid w:val="00B82CE8"/>
    <w:rsid w:val="00B82E71"/>
    <w:rsid w:val="00B83177"/>
    <w:rsid w:val="00B831F1"/>
    <w:rsid w:val="00B831FA"/>
    <w:rsid w:val="00B8325F"/>
    <w:rsid w:val="00B8335F"/>
    <w:rsid w:val="00B83398"/>
    <w:rsid w:val="00B83423"/>
    <w:rsid w:val="00B8342B"/>
    <w:rsid w:val="00B8359F"/>
    <w:rsid w:val="00B83631"/>
    <w:rsid w:val="00B83739"/>
    <w:rsid w:val="00B83770"/>
    <w:rsid w:val="00B837FD"/>
    <w:rsid w:val="00B8382C"/>
    <w:rsid w:val="00B8393E"/>
    <w:rsid w:val="00B839B8"/>
    <w:rsid w:val="00B83A9A"/>
    <w:rsid w:val="00B83ABA"/>
    <w:rsid w:val="00B83ADB"/>
    <w:rsid w:val="00B83B99"/>
    <w:rsid w:val="00B83D3D"/>
    <w:rsid w:val="00B83D4D"/>
    <w:rsid w:val="00B83D56"/>
    <w:rsid w:val="00B83F7A"/>
    <w:rsid w:val="00B84099"/>
    <w:rsid w:val="00B840E3"/>
    <w:rsid w:val="00B8411C"/>
    <w:rsid w:val="00B841B4"/>
    <w:rsid w:val="00B8429A"/>
    <w:rsid w:val="00B8429B"/>
    <w:rsid w:val="00B842BE"/>
    <w:rsid w:val="00B8439F"/>
    <w:rsid w:val="00B84483"/>
    <w:rsid w:val="00B844B6"/>
    <w:rsid w:val="00B84588"/>
    <w:rsid w:val="00B845EC"/>
    <w:rsid w:val="00B84715"/>
    <w:rsid w:val="00B847A4"/>
    <w:rsid w:val="00B847D3"/>
    <w:rsid w:val="00B8491D"/>
    <w:rsid w:val="00B8492D"/>
    <w:rsid w:val="00B84931"/>
    <w:rsid w:val="00B84B2A"/>
    <w:rsid w:val="00B84B9D"/>
    <w:rsid w:val="00B84BB9"/>
    <w:rsid w:val="00B84BC6"/>
    <w:rsid w:val="00B84BDC"/>
    <w:rsid w:val="00B84F18"/>
    <w:rsid w:val="00B84F3D"/>
    <w:rsid w:val="00B8517B"/>
    <w:rsid w:val="00B851DE"/>
    <w:rsid w:val="00B851F0"/>
    <w:rsid w:val="00B853EF"/>
    <w:rsid w:val="00B855FE"/>
    <w:rsid w:val="00B85631"/>
    <w:rsid w:val="00B8568B"/>
    <w:rsid w:val="00B8583D"/>
    <w:rsid w:val="00B85871"/>
    <w:rsid w:val="00B8592D"/>
    <w:rsid w:val="00B85A2F"/>
    <w:rsid w:val="00B85C30"/>
    <w:rsid w:val="00B85DA5"/>
    <w:rsid w:val="00B8605D"/>
    <w:rsid w:val="00B86198"/>
    <w:rsid w:val="00B861AF"/>
    <w:rsid w:val="00B861B4"/>
    <w:rsid w:val="00B8621D"/>
    <w:rsid w:val="00B8624F"/>
    <w:rsid w:val="00B86265"/>
    <w:rsid w:val="00B8626C"/>
    <w:rsid w:val="00B862F8"/>
    <w:rsid w:val="00B86390"/>
    <w:rsid w:val="00B8648C"/>
    <w:rsid w:val="00B864CE"/>
    <w:rsid w:val="00B8658F"/>
    <w:rsid w:val="00B86614"/>
    <w:rsid w:val="00B8664E"/>
    <w:rsid w:val="00B86659"/>
    <w:rsid w:val="00B8666A"/>
    <w:rsid w:val="00B86834"/>
    <w:rsid w:val="00B86BEC"/>
    <w:rsid w:val="00B86C2B"/>
    <w:rsid w:val="00B86C5E"/>
    <w:rsid w:val="00B86CAD"/>
    <w:rsid w:val="00B86D38"/>
    <w:rsid w:val="00B86EAC"/>
    <w:rsid w:val="00B86EC7"/>
    <w:rsid w:val="00B86F89"/>
    <w:rsid w:val="00B86FA3"/>
    <w:rsid w:val="00B8702D"/>
    <w:rsid w:val="00B87071"/>
    <w:rsid w:val="00B8708C"/>
    <w:rsid w:val="00B8720A"/>
    <w:rsid w:val="00B87212"/>
    <w:rsid w:val="00B87279"/>
    <w:rsid w:val="00B872FA"/>
    <w:rsid w:val="00B87312"/>
    <w:rsid w:val="00B874BB"/>
    <w:rsid w:val="00B87523"/>
    <w:rsid w:val="00B87585"/>
    <w:rsid w:val="00B87603"/>
    <w:rsid w:val="00B87612"/>
    <w:rsid w:val="00B87617"/>
    <w:rsid w:val="00B8777F"/>
    <w:rsid w:val="00B87815"/>
    <w:rsid w:val="00B879CF"/>
    <w:rsid w:val="00B87A1E"/>
    <w:rsid w:val="00B87A2C"/>
    <w:rsid w:val="00B87C76"/>
    <w:rsid w:val="00B87C92"/>
    <w:rsid w:val="00B87CC9"/>
    <w:rsid w:val="00B87D19"/>
    <w:rsid w:val="00B87D73"/>
    <w:rsid w:val="00B87D98"/>
    <w:rsid w:val="00B87DAE"/>
    <w:rsid w:val="00B87F59"/>
    <w:rsid w:val="00B87F9D"/>
    <w:rsid w:val="00B900B3"/>
    <w:rsid w:val="00B9017C"/>
    <w:rsid w:val="00B90205"/>
    <w:rsid w:val="00B902D0"/>
    <w:rsid w:val="00B90556"/>
    <w:rsid w:val="00B9059D"/>
    <w:rsid w:val="00B90621"/>
    <w:rsid w:val="00B90853"/>
    <w:rsid w:val="00B908D0"/>
    <w:rsid w:val="00B90923"/>
    <w:rsid w:val="00B90978"/>
    <w:rsid w:val="00B90AFE"/>
    <w:rsid w:val="00B90C19"/>
    <w:rsid w:val="00B90C5D"/>
    <w:rsid w:val="00B90C7D"/>
    <w:rsid w:val="00B90F93"/>
    <w:rsid w:val="00B90FB6"/>
    <w:rsid w:val="00B91450"/>
    <w:rsid w:val="00B91480"/>
    <w:rsid w:val="00B91539"/>
    <w:rsid w:val="00B915FF"/>
    <w:rsid w:val="00B91667"/>
    <w:rsid w:val="00B9178A"/>
    <w:rsid w:val="00B917D9"/>
    <w:rsid w:val="00B917E8"/>
    <w:rsid w:val="00B9183E"/>
    <w:rsid w:val="00B9191B"/>
    <w:rsid w:val="00B91953"/>
    <w:rsid w:val="00B919D2"/>
    <w:rsid w:val="00B919EF"/>
    <w:rsid w:val="00B91B46"/>
    <w:rsid w:val="00B91B59"/>
    <w:rsid w:val="00B91B63"/>
    <w:rsid w:val="00B91CBD"/>
    <w:rsid w:val="00B91CE0"/>
    <w:rsid w:val="00B91E1F"/>
    <w:rsid w:val="00B91E46"/>
    <w:rsid w:val="00B91E90"/>
    <w:rsid w:val="00B91FDD"/>
    <w:rsid w:val="00B9200C"/>
    <w:rsid w:val="00B9200F"/>
    <w:rsid w:val="00B92128"/>
    <w:rsid w:val="00B92168"/>
    <w:rsid w:val="00B9219C"/>
    <w:rsid w:val="00B92204"/>
    <w:rsid w:val="00B92420"/>
    <w:rsid w:val="00B924E8"/>
    <w:rsid w:val="00B92636"/>
    <w:rsid w:val="00B92675"/>
    <w:rsid w:val="00B9270E"/>
    <w:rsid w:val="00B92811"/>
    <w:rsid w:val="00B928C9"/>
    <w:rsid w:val="00B929CB"/>
    <w:rsid w:val="00B92ABD"/>
    <w:rsid w:val="00B92ADF"/>
    <w:rsid w:val="00B92B2B"/>
    <w:rsid w:val="00B92B3E"/>
    <w:rsid w:val="00B92BDF"/>
    <w:rsid w:val="00B92C32"/>
    <w:rsid w:val="00B92D72"/>
    <w:rsid w:val="00B92E13"/>
    <w:rsid w:val="00B92E3B"/>
    <w:rsid w:val="00B92F9C"/>
    <w:rsid w:val="00B92FC9"/>
    <w:rsid w:val="00B9301B"/>
    <w:rsid w:val="00B930DA"/>
    <w:rsid w:val="00B930E3"/>
    <w:rsid w:val="00B930EF"/>
    <w:rsid w:val="00B93326"/>
    <w:rsid w:val="00B93427"/>
    <w:rsid w:val="00B9343E"/>
    <w:rsid w:val="00B93480"/>
    <w:rsid w:val="00B9351E"/>
    <w:rsid w:val="00B93538"/>
    <w:rsid w:val="00B9356F"/>
    <w:rsid w:val="00B93574"/>
    <w:rsid w:val="00B9357C"/>
    <w:rsid w:val="00B937FA"/>
    <w:rsid w:val="00B9390F"/>
    <w:rsid w:val="00B939B6"/>
    <w:rsid w:val="00B93A1F"/>
    <w:rsid w:val="00B93A3F"/>
    <w:rsid w:val="00B93A79"/>
    <w:rsid w:val="00B93AF3"/>
    <w:rsid w:val="00B93B01"/>
    <w:rsid w:val="00B93B98"/>
    <w:rsid w:val="00B93C56"/>
    <w:rsid w:val="00B93EC1"/>
    <w:rsid w:val="00B93EDD"/>
    <w:rsid w:val="00B93F2F"/>
    <w:rsid w:val="00B9406F"/>
    <w:rsid w:val="00B9409D"/>
    <w:rsid w:val="00B940EA"/>
    <w:rsid w:val="00B940F6"/>
    <w:rsid w:val="00B9420D"/>
    <w:rsid w:val="00B94306"/>
    <w:rsid w:val="00B94499"/>
    <w:rsid w:val="00B94581"/>
    <w:rsid w:val="00B94683"/>
    <w:rsid w:val="00B946E7"/>
    <w:rsid w:val="00B94749"/>
    <w:rsid w:val="00B94A5B"/>
    <w:rsid w:val="00B94AFB"/>
    <w:rsid w:val="00B94B03"/>
    <w:rsid w:val="00B94B56"/>
    <w:rsid w:val="00B94C35"/>
    <w:rsid w:val="00B94CB1"/>
    <w:rsid w:val="00B94D2F"/>
    <w:rsid w:val="00B94D8A"/>
    <w:rsid w:val="00B94DEC"/>
    <w:rsid w:val="00B94DF8"/>
    <w:rsid w:val="00B94FCE"/>
    <w:rsid w:val="00B95001"/>
    <w:rsid w:val="00B95119"/>
    <w:rsid w:val="00B9520D"/>
    <w:rsid w:val="00B9532C"/>
    <w:rsid w:val="00B95429"/>
    <w:rsid w:val="00B9543F"/>
    <w:rsid w:val="00B9557C"/>
    <w:rsid w:val="00B95679"/>
    <w:rsid w:val="00B95935"/>
    <w:rsid w:val="00B95B90"/>
    <w:rsid w:val="00B95B93"/>
    <w:rsid w:val="00B95BB1"/>
    <w:rsid w:val="00B95BBD"/>
    <w:rsid w:val="00B95D89"/>
    <w:rsid w:val="00B95FE4"/>
    <w:rsid w:val="00B96011"/>
    <w:rsid w:val="00B960D1"/>
    <w:rsid w:val="00B961D6"/>
    <w:rsid w:val="00B96356"/>
    <w:rsid w:val="00B964E5"/>
    <w:rsid w:val="00B9665F"/>
    <w:rsid w:val="00B9669F"/>
    <w:rsid w:val="00B966A5"/>
    <w:rsid w:val="00B966D4"/>
    <w:rsid w:val="00B966D8"/>
    <w:rsid w:val="00B96752"/>
    <w:rsid w:val="00B967E3"/>
    <w:rsid w:val="00B9699C"/>
    <w:rsid w:val="00B969A3"/>
    <w:rsid w:val="00B96BBC"/>
    <w:rsid w:val="00B96C86"/>
    <w:rsid w:val="00B96F56"/>
    <w:rsid w:val="00B96F66"/>
    <w:rsid w:val="00B96FF7"/>
    <w:rsid w:val="00B97003"/>
    <w:rsid w:val="00B973A8"/>
    <w:rsid w:val="00B97451"/>
    <w:rsid w:val="00B97530"/>
    <w:rsid w:val="00B97535"/>
    <w:rsid w:val="00B975A4"/>
    <w:rsid w:val="00B97626"/>
    <w:rsid w:val="00B97674"/>
    <w:rsid w:val="00B976E4"/>
    <w:rsid w:val="00B97739"/>
    <w:rsid w:val="00B9783B"/>
    <w:rsid w:val="00B9793D"/>
    <w:rsid w:val="00B979CD"/>
    <w:rsid w:val="00B97A8E"/>
    <w:rsid w:val="00B97AA6"/>
    <w:rsid w:val="00B97C89"/>
    <w:rsid w:val="00B97CA2"/>
    <w:rsid w:val="00B97CC6"/>
    <w:rsid w:val="00B97CD3"/>
    <w:rsid w:val="00B97CFF"/>
    <w:rsid w:val="00B97D3E"/>
    <w:rsid w:val="00BA0028"/>
    <w:rsid w:val="00BA003C"/>
    <w:rsid w:val="00BA0097"/>
    <w:rsid w:val="00BA009C"/>
    <w:rsid w:val="00BA015E"/>
    <w:rsid w:val="00BA0298"/>
    <w:rsid w:val="00BA02E3"/>
    <w:rsid w:val="00BA03DA"/>
    <w:rsid w:val="00BA0448"/>
    <w:rsid w:val="00BA0507"/>
    <w:rsid w:val="00BA072F"/>
    <w:rsid w:val="00BA0783"/>
    <w:rsid w:val="00BA07D4"/>
    <w:rsid w:val="00BA0AE6"/>
    <w:rsid w:val="00BA0BDC"/>
    <w:rsid w:val="00BA0C78"/>
    <w:rsid w:val="00BA0D0B"/>
    <w:rsid w:val="00BA0DAA"/>
    <w:rsid w:val="00BA0DE3"/>
    <w:rsid w:val="00BA0EA8"/>
    <w:rsid w:val="00BA127A"/>
    <w:rsid w:val="00BA12A2"/>
    <w:rsid w:val="00BA12C0"/>
    <w:rsid w:val="00BA12C1"/>
    <w:rsid w:val="00BA131A"/>
    <w:rsid w:val="00BA13E0"/>
    <w:rsid w:val="00BA188F"/>
    <w:rsid w:val="00BA18A1"/>
    <w:rsid w:val="00BA1A0E"/>
    <w:rsid w:val="00BA1BA1"/>
    <w:rsid w:val="00BA1BC5"/>
    <w:rsid w:val="00BA1BCC"/>
    <w:rsid w:val="00BA1C50"/>
    <w:rsid w:val="00BA1C6E"/>
    <w:rsid w:val="00BA1D51"/>
    <w:rsid w:val="00BA1DBC"/>
    <w:rsid w:val="00BA1DFB"/>
    <w:rsid w:val="00BA1EA7"/>
    <w:rsid w:val="00BA1F1C"/>
    <w:rsid w:val="00BA1F92"/>
    <w:rsid w:val="00BA20A8"/>
    <w:rsid w:val="00BA23F9"/>
    <w:rsid w:val="00BA243E"/>
    <w:rsid w:val="00BA2524"/>
    <w:rsid w:val="00BA26FA"/>
    <w:rsid w:val="00BA2731"/>
    <w:rsid w:val="00BA28F1"/>
    <w:rsid w:val="00BA2A04"/>
    <w:rsid w:val="00BA2A28"/>
    <w:rsid w:val="00BA2B3D"/>
    <w:rsid w:val="00BA2BD9"/>
    <w:rsid w:val="00BA2C6B"/>
    <w:rsid w:val="00BA2CB7"/>
    <w:rsid w:val="00BA2D5F"/>
    <w:rsid w:val="00BA2FBC"/>
    <w:rsid w:val="00BA313B"/>
    <w:rsid w:val="00BA321B"/>
    <w:rsid w:val="00BA3233"/>
    <w:rsid w:val="00BA32E6"/>
    <w:rsid w:val="00BA33A2"/>
    <w:rsid w:val="00BA343D"/>
    <w:rsid w:val="00BA34A2"/>
    <w:rsid w:val="00BA351C"/>
    <w:rsid w:val="00BA3529"/>
    <w:rsid w:val="00BA359E"/>
    <w:rsid w:val="00BA3611"/>
    <w:rsid w:val="00BA373C"/>
    <w:rsid w:val="00BA38EE"/>
    <w:rsid w:val="00BA3B6E"/>
    <w:rsid w:val="00BA3E5D"/>
    <w:rsid w:val="00BA3EE2"/>
    <w:rsid w:val="00BA3F35"/>
    <w:rsid w:val="00BA40A6"/>
    <w:rsid w:val="00BA40A9"/>
    <w:rsid w:val="00BA4160"/>
    <w:rsid w:val="00BA41B7"/>
    <w:rsid w:val="00BA4206"/>
    <w:rsid w:val="00BA4236"/>
    <w:rsid w:val="00BA4340"/>
    <w:rsid w:val="00BA4392"/>
    <w:rsid w:val="00BA45B7"/>
    <w:rsid w:val="00BA4783"/>
    <w:rsid w:val="00BA48D0"/>
    <w:rsid w:val="00BA49C7"/>
    <w:rsid w:val="00BA4C5A"/>
    <w:rsid w:val="00BA4CA9"/>
    <w:rsid w:val="00BA4CAA"/>
    <w:rsid w:val="00BA4F48"/>
    <w:rsid w:val="00BA5034"/>
    <w:rsid w:val="00BA5204"/>
    <w:rsid w:val="00BA5435"/>
    <w:rsid w:val="00BA5447"/>
    <w:rsid w:val="00BA5565"/>
    <w:rsid w:val="00BA5607"/>
    <w:rsid w:val="00BA561B"/>
    <w:rsid w:val="00BA56A5"/>
    <w:rsid w:val="00BA56C4"/>
    <w:rsid w:val="00BA56E1"/>
    <w:rsid w:val="00BA5802"/>
    <w:rsid w:val="00BA580C"/>
    <w:rsid w:val="00BA59BF"/>
    <w:rsid w:val="00BA5A13"/>
    <w:rsid w:val="00BA5C8A"/>
    <w:rsid w:val="00BA5C8B"/>
    <w:rsid w:val="00BA5CDC"/>
    <w:rsid w:val="00BA5CF4"/>
    <w:rsid w:val="00BA5D0D"/>
    <w:rsid w:val="00BA5E8D"/>
    <w:rsid w:val="00BA5F4C"/>
    <w:rsid w:val="00BA5F72"/>
    <w:rsid w:val="00BA5FF1"/>
    <w:rsid w:val="00BA61BC"/>
    <w:rsid w:val="00BA61E3"/>
    <w:rsid w:val="00BA65AC"/>
    <w:rsid w:val="00BA6676"/>
    <w:rsid w:val="00BA66D1"/>
    <w:rsid w:val="00BA6807"/>
    <w:rsid w:val="00BA6C24"/>
    <w:rsid w:val="00BA6C2F"/>
    <w:rsid w:val="00BA6C8A"/>
    <w:rsid w:val="00BA6D33"/>
    <w:rsid w:val="00BA6E01"/>
    <w:rsid w:val="00BA6E0C"/>
    <w:rsid w:val="00BA6E48"/>
    <w:rsid w:val="00BA6E53"/>
    <w:rsid w:val="00BA6EA6"/>
    <w:rsid w:val="00BA70B3"/>
    <w:rsid w:val="00BA72AA"/>
    <w:rsid w:val="00BA7354"/>
    <w:rsid w:val="00BA749D"/>
    <w:rsid w:val="00BA7522"/>
    <w:rsid w:val="00BA757E"/>
    <w:rsid w:val="00BA75E9"/>
    <w:rsid w:val="00BA7628"/>
    <w:rsid w:val="00BA765F"/>
    <w:rsid w:val="00BA76B4"/>
    <w:rsid w:val="00BA77D8"/>
    <w:rsid w:val="00BA77E0"/>
    <w:rsid w:val="00BA7832"/>
    <w:rsid w:val="00BA78F6"/>
    <w:rsid w:val="00BA79B6"/>
    <w:rsid w:val="00BA79D0"/>
    <w:rsid w:val="00BA7A88"/>
    <w:rsid w:val="00BA7AB6"/>
    <w:rsid w:val="00BA7B1F"/>
    <w:rsid w:val="00BA7B49"/>
    <w:rsid w:val="00BA7C27"/>
    <w:rsid w:val="00BA7C8C"/>
    <w:rsid w:val="00BA7D5B"/>
    <w:rsid w:val="00BA7E02"/>
    <w:rsid w:val="00BA7E5B"/>
    <w:rsid w:val="00BB0172"/>
    <w:rsid w:val="00BB033F"/>
    <w:rsid w:val="00BB0434"/>
    <w:rsid w:val="00BB0580"/>
    <w:rsid w:val="00BB069F"/>
    <w:rsid w:val="00BB06E6"/>
    <w:rsid w:val="00BB0741"/>
    <w:rsid w:val="00BB076B"/>
    <w:rsid w:val="00BB07BD"/>
    <w:rsid w:val="00BB07E3"/>
    <w:rsid w:val="00BB0880"/>
    <w:rsid w:val="00BB0908"/>
    <w:rsid w:val="00BB0915"/>
    <w:rsid w:val="00BB0981"/>
    <w:rsid w:val="00BB0A03"/>
    <w:rsid w:val="00BB0A4F"/>
    <w:rsid w:val="00BB0D2B"/>
    <w:rsid w:val="00BB0FEF"/>
    <w:rsid w:val="00BB1032"/>
    <w:rsid w:val="00BB104C"/>
    <w:rsid w:val="00BB108F"/>
    <w:rsid w:val="00BB11FC"/>
    <w:rsid w:val="00BB1379"/>
    <w:rsid w:val="00BB1492"/>
    <w:rsid w:val="00BB1524"/>
    <w:rsid w:val="00BB1769"/>
    <w:rsid w:val="00BB179D"/>
    <w:rsid w:val="00BB17FA"/>
    <w:rsid w:val="00BB1812"/>
    <w:rsid w:val="00BB1A41"/>
    <w:rsid w:val="00BB1A86"/>
    <w:rsid w:val="00BB1D66"/>
    <w:rsid w:val="00BB1D92"/>
    <w:rsid w:val="00BB1DAD"/>
    <w:rsid w:val="00BB1F8F"/>
    <w:rsid w:val="00BB2115"/>
    <w:rsid w:val="00BB2119"/>
    <w:rsid w:val="00BB21ED"/>
    <w:rsid w:val="00BB222B"/>
    <w:rsid w:val="00BB22AC"/>
    <w:rsid w:val="00BB255A"/>
    <w:rsid w:val="00BB2665"/>
    <w:rsid w:val="00BB2773"/>
    <w:rsid w:val="00BB27A7"/>
    <w:rsid w:val="00BB280A"/>
    <w:rsid w:val="00BB284C"/>
    <w:rsid w:val="00BB2A0B"/>
    <w:rsid w:val="00BB2A3F"/>
    <w:rsid w:val="00BB2A5A"/>
    <w:rsid w:val="00BB2B58"/>
    <w:rsid w:val="00BB2BBA"/>
    <w:rsid w:val="00BB2C86"/>
    <w:rsid w:val="00BB2D9C"/>
    <w:rsid w:val="00BB2E3D"/>
    <w:rsid w:val="00BB2E5F"/>
    <w:rsid w:val="00BB2ECF"/>
    <w:rsid w:val="00BB2FC3"/>
    <w:rsid w:val="00BB3038"/>
    <w:rsid w:val="00BB308E"/>
    <w:rsid w:val="00BB3150"/>
    <w:rsid w:val="00BB31E2"/>
    <w:rsid w:val="00BB3258"/>
    <w:rsid w:val="00BB3368"/>
    <w:rsid w:val="00BB337B"/>
    <w:rsid w:val="00BB340C"/>
    <w:rsid w:val="00BB3499"/>
    <w:rsid w:val="00BB34C7"/>
    <w:rsid w:val="00BB3537"/>
    <w:rsid w:val="00BB356C"/>
    <w:rsid w:val="00BB35A1"/>
    <w:rsid w:val="00BB3671"/>
    <w:rsid w:val="00BB3727"/>
    <w:rsid w:val="00BB373A"/>
    <w:rsid w:val="00BB387C"/>
    <w:rsid w:val="00BB3B19"/>
    <w:rsid w:val="00BB3B3E"/>
    <w:rsid w:val="00BB3BD1"/>
    <w:rsid w:val="00BB3C51"/>
    <w:rsid w:val="00BB3DD3"/>
    <w:rsid w:val="00BB40E2"/>
    <w:rsid w:val="00BB4189"/>
    <w:rsid w:val="00BB41CF"/>
    <w:rsid w:val="00BB4528"/>
    <w:rsid w:val="00BB4536"/>
    <w:rsid w:val="00BB4646"/>
    <w:rsid w:val="00BB46FB"/>
    <w:rsid w:val="00BB48C2"/>
    <w:rsid w:val="00BB4950"/>
    <w:rsid w:val="00BB4973"/>
    <w:rsid w:val="00BB49D1"/>
    <w:rsid w:val="00BB49DD"/>
    <w:rsid w:val="00BB4A51"/>
    <w:rsid w:val="00BB4BAC"/>
    <w:rsid w:val="00BB4BEB"/>
    <w:rsid w:val="00BB503B"/>
    <w:rsid w:val="00BB512D"/>
    <w:rsid w:val="00BB51CC"/>
    <w:rsid w:val="00BB527C"/>
    <w:rsid w:val="00BB52F8"/>
    <w:rsid w:val="00BB530F"/>
    <w:rsid w:val="00BB53F2"/>
    <w:rsid w:val="00BB542B"/>
    <w:rsid w:val="00BB5486"/>
    <w:rsid w:val="00BB54D2"/>
    <w:rsid w:val="00BB55CE"/>
    <w:rsid w:val="00BB5647"/>
    <w:rsid w:val="00BB578C"/>
    <w:rsid w:val="00BB57E7"/>
    <w:rsid w:val="00BB582D"/>
    <w:rsid w:val="00BB5896"/>
    <w:rsid w:val="00BB58B1"/>
    <w:rsid w:val="00BB58FC"/>
    <w:rsid w:val="00BB591F"/>
    <w:rsid w:val="00BB5AAA"/>
    <w:rsid w:val="00BB5B8B"/>
    <w:rsid w:val="00BB5BE5"/>
    <w:rsid w:val="00BB5D3E"/>
    <w:rsid w:val="00BB5E3A"/>
    <w:rsid w:val="00BB5E3E"/>
    <w:rsid w:val="00BB5F07"/>
    <w:rsid w:val="00BB5F8C"/>
    <w:rsid w:val="00BB602B"/>
    <w:rsid w:val="00BB6053"/>
    <w:rsid w:val="00BB60DF"/>
    <w:rsid w:val="00BB615E"/>
    <w:rsid w:val="00BB6375"/>
    <w:rsid w:val="00BB655D"/>
    <w:rsid w:val="00BB664D"/>
    <w:rsid w:val="00BB6714"/>
    <w:rsid w:val="00BB6736"/>
    <w:rsid w:val="00BB676B"/>
    <w:rsid w:val="00BB67B3"/>
    <w:rsid w:val="00BB6816"/>
    <w:rsid w:val="00BB68D1"/>
    <w:rsid w:val="00BB69C8"/>
    <w:rsid w:val="00BB6A21"/>
    <w:rsid w:val="00BB6BD2"/>
    <w:rsid w:val="00BB6D44"/>
    <w:rsid w:val="00BB6E28"/>
    <w:rsid w:val="00BB6F46"/>
    <w:rsid w:val="00BB700E"/>
    <w:rsid w:val="00BB7163"/>
    <w:rsid w:val="00BB725B"/>
    <w:rsid w:val="00BB731F"/>
    <w:rsid w:val="00BB751D"/>
    <w:rsid w:val="00BB757C"/>
    <w:rsid w:val="00BB758A"/>
    <w:rsid w:val="00BB76A9"/>
    <w:rsid w:val="00BB76F6"/>
    <w:rsid w:val="00BB7744"/>
    <w:rsid w:val="00BB77A1"/>
    <w:rsid w:val="00BB7826"/>
    <w:rsid w:val="00BB79B1"/>
    <w:rsid w:val="00BB7B53"/>
    <w:rsid w:val="00BB7C3B"/>
    <w:rsid w:val="00BB7E68"/>
    <w:rsid w:val="00BB7E81"/>
    <w:rsid w:val="00BB7EF1"/>
    <w:rsid w:val="00BC00EE"/>
    <w:rsid w:val="00BC0328"/>
    <w:rsid w:val="00BC03D7"/>
    <w:rsid w:val="00BC0433"/>
    <w:rsid w:val="00BC05CF"/>
    <w:rsid w:val="00BC0638"/>
    <w:rsid w:val="00BC06BA"/>
    <w:rsid w:val="00BC073A"/>
    <w:rsid w:val="00BC0753"/>
    <w:rsid w:val="00BC0825"/>
    <w:rsid w:val="00BC0A69"/>
    <w:rsid w:val="00BC0A8A"/>
    <w:rsid w:val="00BC0AC0"/>
    <w:rsid w:val="00BC0B65"/>
    <w:rsid w:val="00BC0C3A"/>
    <w:rsid w:val="00BC0C9F"/>
    <w:rsid w:val="00BC0D21"/>
    <w:rsid w:val="00BC0F05"/>
    <w:rsid w:val="00BC0FC3"/>
    <w:rsid w:val="00BC1408"/>
    <w:rsid w:val="00BC1427"/>
    <w:rsid w:val="00BC152E"/>
    <w:rsid w:val="00BC1645"/>
    <w:rsid w:val="00BC1656"/>
    <w:rsid w:val="00BC169D"/>
    <w:rsid w:val="00BC16BD"/>
    <w:rsid w:val="00BC1745"/>
    <w:rsid w:val="00BC178E"/>
    <w:rsid w:val="00BC1831"/>
    <w:rsid w:val="00BC18F2"/>
    <w:rsid w:val="00BC195D"/>
    <w:rsid w:val="00BC1A3D"/>
    <w:rsid w:val="00BC1A7F"/>
    <w:rsid w:val="00BC1B87"/>
    <w:rsid w:val="00BC1C07"/>
    <w:rsid w:val="00BC1C6D"/>
    <w:rsid w:val="00BC1E07"/>
    <w:rsid w:val="00BC1E0E"/>
    <w:rsid w:val="00BC205D"/>
    <w:rsid w:val="00BC20B1"/>
    <w:rsid w:val="00BC20B9"/>
    <w:rsid w:val="00BC20E7"/>
    <w:rsid w:val="00BC20EF"/>
    <w:rsid w:val="00BC216F"/>
    <w:rsid w:val="00BC2231"/>
    <w:rsid w:val="00BC2351"/>
    <w:rsid w:val="00BC2467"/>
    <w:rsid w:val="00BC2568"/>
    <w:rsid w:val="00BC27CC"/>
    <w:rsid w:val="00BC286D"/>
    <w:rsid w:val="00BC28FF"/>
    <w:rsid w:val="00BC29B3"/>
    <w:rsid w:val="00BC2AC5"/>
    <w:rsid w:val="00BC2C19"/>
    <w:rsid w:val="00BC2C44"/>
    <w:rsid w:val="00BC2C66"/>
    <w:rsid w:val="00BC2CDC"/>
    <w:rsid w:val="00BC2DF1"/>
    <w:rsid w:val="00BC2E0D"/>
    <w:rsid w:val="00BC2E64"/>
    <w:rsid w:val="00BC2EA0"/>
    <w:rsid w:val="00BC2FCC"/>
    <w:rsid w:val="00BC3007"/>
    <w:rsid w:val="00BC3022"/>
    <w:rsid w:val="00BC315F"/>
    <w:rsid w:val="00BC319B"/>
    <w:rsid w:val="00BC3201"/>
    <w:rsid w:val="00BC32BF"/>
    <w:rsid w:val="00BC3350"/>
    <w:rsid w:val="00BC3358"/>
    <w:rsid w:val="00BC34F1"/>
    <w:rsid w:val="00BC357E"/>
    <w:rsid w:val="00BC369D"/>
    <w:rsid w:val="00BC36AA"/>
    <w:rsid w:val="00BC36BD"/>
    <w:rsid w:val="00BC38A0"/>
    <w:rsid w:val="00BC3932"/>
    <w:rsid w:val="00BC3A6B"/>
    <w:rsid w:val="00BC3ACA"/>
    <w:rsid w:val="00BC3B8A"/>
    <w:rsid w:val="00BC3BD1"/>
    <w:rsid w:val="00BC3C75"/>
    <w:rsid w:val="00BC3D70"/>
    <w:rsid w:val="00BC3E78"/>
    <w:rsid w:val="00BC3F03"/>
    <w:rsid w:val="00BC3F3F"/>
    <w:rsid w:val="00BC3F62"/>
    <w:rsid w:val="00BC3F9D"/>
    <w:rsid w:val="00BC3FD0"/>
    <w:rsid w:val="00BC413A"/>
    <w:rsid w:val="00BC414D"/>
    <w:rsid w:val="00BC4157"/>
    <w:rsid w:val="00BC4175"/>
    <w:rsid w:val="00BC421E"/>
    <w:rsid w:val="00BC4236"/>
    <w:rsid w:val="00BC425F"/>
    <w:rsid w:val="00BC42B6"/>
    <w:rsid w:val="00BC42D7"/>
    <w:rsid w:val="00BC42E3"/>
    <w:rsid w:val="00BC437C"/>
    <w:rsid w:val="00BC43C8"/>
    <w:rsid w:val="00BC4672"/>
    <w:rsid w:val="00BC46FB"/>
    <w:rsid w:val="00BC48CC"/>
    <w:rsid w:val="00BC496D"/>
    <w:rsid w:val="00BC4993"/>
    <w:rsid w:val="00BC4A1E"/>
    <w:rsid w:val="00BC4A83"/>
    <w:rsid w:val="00BC4B64"/>
    <w:rsid w:val="00BC4BFC"/>
    <w:rsid w:val="00BC4C4D"/>
    <w:rsid w:val="00BC4E12"/>
    <w:rsid w:val="00BC4E5B"/>
    <w:rsid w:val="00BC4F02"/>
    <w:rsid w:val="00BC4F32"/>
    <w:rsid w:val="00BC5046"/>
    <w:rsid w:val="00BC50D7"/>
    <w:rsid w:val="00BC515F"/>
    <w:rsid w:val="00BC525E"/>
    <w:rsid w:val="00BC52C4"/>
    <w:rsid w:val="00BC5402"/>
    <w:rsid w:val="00BC54BF"/>
    <w:rsid w:val="00BC5658"/>
    <w:rsid w:val="00BC565A"/>
    <w:rsid w:val="00BC5829"/>
    <w:rsid w:val="00BC5B48"/>
    <w:rsid w:val="00BC5BD6"/>
    <w:rsid w:val="00BC5E23"/>
    <w:rsid w:val="00BC5EA9"/>
    <w:rsid w:val="00BC5EE2"/>
    <w:rsid w:val="00BC5F35"/>
    <w:rsid w:val="00BC5F7A"/>
    <w:rsid w:val="00BC6269"/>
    <w:rsid w:val="00BC6275"/>
    <w:rsid w:val="00BC62CD"/>
    <w:rsid w:val="00BC6350"/>
    <w:rsid w:val="00BC6490"/>
    <w:rsid w:val="00BC64F0"/>
    <w:rsid w:val="00BC67C9"/>
    <w:rsid w:val="00BC6823"/>
    <w:rsid w:val="00BC696C"/>
    <w:rsid w:val="00BC69DA"/>
    <w:rsid w:val="00BC6BF8"/>
    <w:rsid w:val="00BC6CB6"/>
    <w:rsid w:val="00BC6D44"/>
    <w:rsid w:val="00BC6D83"/>
    <w:rsid w:val="00BC6ED0"/>
    <w:rsid w:val="00BC6F81"/>
    <w:rsid w:val="00BC70AF"/>
    <w:rsid w:val="00BC70BE"/>
    <w:rsid w:val="00BC70CF"/>
    <w:rsid w:val="00BC714B"/>
    <w:rsid w:val="00BC7169"/>
    <w:rsid w:val="00BC7476"/>
    <w:rsid w:val="00BC7606"/>
    <w:rsid w:val="00BC773D"/>
    <w:rsid w:val="00BC7879"/>
    <w:rsid w:val="00BC7A6F"/>
    <w:rsid w:val="00BC7B69"/>
    <w:rsid w:val="00BC7B75"/>
    <w:rsid w:val="00BC7BCD"/>
    <w:rsid w:val="00BC7C0F"/>
    <w:rsid w:val="00BC7C1E"/>
    <w:rsid w:val="00BC7C31"/>
    <w:rsid w:val="00BC7CAB"/>
    <w:rsid w:val="00BC7D40"/>
    <w:rsid w:val="00BC7D47"/>
    <w:rsid w:val="00BC7F23"/>
    <w:rsid w:val="00BC7F50"/>
    <w:rsid w:val="00BC7FDE"/>
    <w:rsid w:val="00BD0059"/>
    <w:rsid w:val="00BD0094"/>
    <w:rsid w:val="00BD0104"/>
    <w:rsid w:val="00BD0350"/>
    <w:rsid w:val="00BD04B8"/>
    <w:rsid w:val="00BD04C0"/>
    <w:rsid w:val="00BD0625"/>
    <w:rsid w:val="00BD06E9"/>
    <w:rsid w:val="00BD06EF"/>
    <w:rsid w:val="00BD07CE"/>
    <w:rsid w:val="00BD087C"/>
    <w:rsid w:val="00BD0886"/>
    <w:rsid w:val="00BD0A0E"/>
    <w:rsid w:val="00BD0C56"/>
    <w:rsid w:val="00BD0CD4"/>
    <w:rsid w:val="00BD0D08"/>
    <w:rsid w:val="00BD0ECA"/>
    <w:rsid w:val="00BD0F3C"/>
    <w:rsid w:val="00BD1150"/>
    <w:rsid w:val="00BD116D"/>
    <w:rsid w:val="00BD1186"/>
    <w:rsid w:val="00BD1285"/>
    <w:rsid w:val="00BD13D8"/>
    <w:rsid w:val="00BD140C"/>
    <w:rsid w:val="00BD1475"/>
    <w:rsid w:val="00BD148C"/>
    <w:rsid w:val="00BD15B1"/>
    <w:rsid w:val="00BD1651"/>
    <w:rsid w:val="00BD1686"/>
    <w:rsid w:val="00BD183F"/>
    <w:rsid w:val="00BD19D4"/>
    <w:rsid w:val="00BD1B8E"/>
    <w:rsid w:val="00BD1CC4"/>
    <w:rsid w:val="00BD1D09"/>
    <w:rsid w:val="00BD1DDB"/>
    <w:rsid w:val="00BD1E3D"/>
    <w:rsid w:val="00BD1F89"/>
    <w:rsid w:val="00BD1FB9"/>
    <w:rsid w:val="00BD2000"/>
    <w:rsid w:val="00BD2259"/>
    <w:rsid w:val="00BD23F8"/>
    <w:rsid w:val="00BD2545"/>
    <w:rsid w:val="00BD255A"/>
    <w:rsid w:val="00BD2565"/>
    <w:rsid w:val="00BD25FD"/>
    <w:rsid w:val="00BD27EE"/>
    <w:rsid w:val="00BD284C"/>
    <w:rsid w:val="00BD28C0"/>
    <w:rsid w:val="00BD2932"/>
    <w:rsid w:val="00BD2A7A"/>
    <w:rsid w:val="00BD2B2B"/>
    <w:rsid w:val="00BD2BDF"/>
    <w:rsid w:val="00BD2BF2"/>
    <w:rsid w:val="00BD2CA2"/>
    <w:rsid w:val="00BD2D00"/>
    <w:rsid w:val="00BD2D6C"/>
    <w:rsid w:val="00BD2E43"/>
    <w:rsid w:val="00BD2E9A"/>
    <w:rsid w:val="00BD3024"/>
    <w:rsid w:val="00BD30CF"/>
    <w:rsid w:val="00BD3110"/>
    <w:rsid w:val="00BD315F"/>
    <w:rsid w:val="00BD318B"/>
    <w:rsid w:val="00BD319C"/>
    <w:rsid w:val="00BD31CC"/>
    <w:rsid w:val="00BD32A2"/>
    <w:rsid w:val="00BD3317"/>
    <w:rsid w:val="00BD3408"/>
    <w:rsid w:val="00BD34B3"/>
    <w:rsid w:val="00BD3762"/>
    <w:rsid w:val="00BD37D8"/>
    <w:rsid w:val="00BD3871"/>
    <w:rsid w:val="00BD38E1"/>
    <w:rsid w:val="00BD3951"/>
    <w:rsid w:val="00BD3975"/>
    <w:rsid w:val="00BD3A10"/>
    <w:rsid w:val="00BD3A9E"/>
    <w:rsid w:val="00BD3AFD"/>
    <w:rsid w:val="00BD3B37"/>
    <w:rsid w:val="00BD3BBB"/>
    <w:rsid w:val="00BD3CAD"/>
    <w:rsid w:val="00BD3CF4"/>
    <w:rsid w:val="00BD3DEB"/>
    <w:rsid w:val="00BD3E40"/>
    <w:rsid w:val="00BD3E6A"/>
    <w:rsid w:val="00BD3ECF"/>
    <w:rsid w:val="00BD3F35"/>
    <w:rsid w:val="00BD3F92"/>
    <w:rsid w:val="00BD4112"/>
    <w:rsid w:val="00BD41B9"/>
    <w:rsid w:val="00BD4277"/>
    <w:rsid w:val="00BD43F9"/>
    <w:rsid w:val="00BD4477"/>
    <w:rsid w:val="00BD447F"/>
    <w:rsid w:val="00BD4542"/>
    <w:rsid w:val="00BD4596"/>
    <w:rsid w:val="00BD464E"/>
    <w:rsid w:val="00BD4689"/>
    <w:rsid w:val="00BD498B"/>
    <w:rsid w:val="00BD4C04"/>
    <w:rsid w:val="00BD4C3C"/>
    <w:rsid w:val="00BD4D6D"/>
    <w:rsid w:val="00BD4D7A"/>
    <w:rsid w:val="00BD4DF6"/>
    <w:rsid w:val="00BD50D1"/>
    <w:rsid w:val="00BD5148"/>
    <w:rsid w:val="00BD5150"/>
    <w:rsid w:val="00BD526F"/>
    <w:rsid w:val="00BD52A3"/>
    <w:rsid w:val="00BD52BC"/>
    <w:rsid w:val="00BD53C1"/>
    <w:rsid w:val="00BD54B2"/>
    <w:rsid w:val="00BD5523"/>
    <w:rsid w:val="00BD5566"/>
    <w:rsid w:val="00BD5643"/>
    <w:rsid w:val="00BD56BE"/>
    <w:rsid w:val="00BD571B"/>
    <w:rsid w:val="00BD574C"/>
    <w:rsid w:val="00BD57B6"/>
    <w:rsid w:val="00BD57BE"/>
    <w:rsid w:val="00BD5842"/>
    <w:rsid w:val="00BD5872"/>
    <w:rsid w:val="00BD5884"/>
    <w:rsid w:val="00BD589E"/>
    <w:rsid w:val="00BD58CE"/>
    <w:rsid w:val="00BD5970"/>
    <w:rsid w:val="00BD59B9"/>
    <w:rsid w:val="00BD5A60"/>
    <w:rsid w:val="00BD5AB5"/>
    <w:rsid w:val="00BD5B23"/>
    <w:rsid w:val="00BD5B65"/>
    <w:rsid w:val="00BD5B9E"/>
    <w:rsid w:val="00BD5CBF"/>
    <w:rsid w:val="00BD5D8A"/>
    <w:rsid w:val="00BD5DB4"/>
    <w:rsid w:val="00BD5E56"/>
    <w:rsid w:val="00BD5FCC"/>
    <w:rsid w:val="00BD63F6"/>
    <w:rsid w:val="00BD6473"/>
    <w:rsid w:val="00BD64F1"/>
    <w:rsid w:val="00BD6560"/>
    <w:rsid w:val="00BD6720"/>
    <w:rsid w:val="00BD6778"/>
    <w:rsid w:val="00BD67AD"/>
    <w:rsid w:val="00BD67F4"/>
    <w:rsid w:val="00BD699B"/>
    <w:rsid w:val="00BD69B4"/>
    <w:rsid w:val="00BD6AAA"/>
    <w:rsid w:val="00BD6AEB"/>
    <w:rsid w:val="00BD6B03"/>
    <w:rsid w:val="00BD6B51"/>
    <w:rsid w:val="00BD6B6E"/>
    <w:rsid w:val="00BD6C8C"/>
    <w:rsid w:val="00BD6CC8"/>
    <w:rsid w:val="00BD6E34"/>
    <w:rsid w:val="00BD6F80"/>
    <w:rsid w:val="00BD6FBC"/>
    <w:rsid w:val="00BD718A"/>
    <w:rsid w:val="00BD71C4"/>
    <w:rsid w:val="00BD71C6"/>
    <w:rsid w:val="00BD71DD"/>
    <w:rsid w:val="00BD73B2"/>
    <w:rsid w:val="00BD748D"/>
    <w:rsid w:val="00BD752A"/>
    <w:rsid w:val="00BD7859"/>
    <w:rsid w:val="00BD7974"/>
    <w:rsid w:val="00BD797C"/>
    <w:rsid w:val="00BD7A89"/>
    <w:rsid w:val="00BD7ACC"/>
    <w:rsid w:val="00BD7B09"/>
    <w:rsid w:val="00BD7B43"/>
    <w:rsid w:val="00BD7CBA"/>
    <w:rsid w:val="00BD7CEF"/>
    <w:rsid w:val="00BD7CFE"/>
    <w:rsid w:val="00BD7E2E"/>
    <w:rsid w:val="00BD7E36"/>
    <w:rsid w:val="00BD7E69"/>
    <w:rsid w:val="00BD7F86"/>
    <w:rsid w:val="00BD7FCD"/>
    <w:rsid w:val="00BD7FE8"/>
    <w:rsid w:val="00BD7FEE"/>
    <w:rsid w:val="00BE0007"/>
    <w:rsid w:val="00BE006A"/>
    <w:rsid w:val="00BE007F"/>
    <w:rsid w:val="00BE00B8"/>
    <w:rsid w:val="00BE0114"/>
    <w:rsid w:val="00BE0245"/>
    <w:rsid w:val="00BE02BD"/>
    <w:rsid w:val="00BE032E"/>
    <w:rsid w:val="00BE03BA"/>
    <w:rsid w:val="00BE0436"/>
    <w:rsid w:val="00BE058B"/>
    <w:rsid w:val="00BE05A3"/>
    <w:rsid w:val="00BE05BD"/>
    <w:rsid w:val="00BE0631"/>
    <w:rsid w:val="00BE066E"/>
    <w:rsid w:val="00BE067E"/>
    <w:rsid w:val="00BE0A33"/>
    <w:rsid w:val="00BE0A73"/>
    <w:rsid w:val="00BE0AED"/>
    <w:rsid w:val="00BE0AF8"/>
    <w:rsid w:val="00BE0B3F"/>
    <w:rsid w:val="00BE0B87"/>
    <w:rsid w:val="00BE0BDA"/>
    <w:rsid w:val="00BE0CAF"/>
    <w:rsid w:val="00BE0D69"/>
    <w:rsid w:val="00BE0DB1"/>
    <w:rsid w:val="00BE0E0A"/>
    <w:rsid w:val="00BE0F78"/>
    <w:rsid w:val="00BE1059"/>
    <w:rsid w:val="00BE1149"/>
    <w:rsid w:val="00BE11EA"/>
    <w:rsid w:val="00BE1217"/>
    <w:rsid w:val="00BE1237"/>
    <w:rsid w:val="00BE13FC"/>
    <w:rsid w:val="00BE145E"/>
    <w:rsid w:val="00BE1541"/>
    <w:rsid w:val="00BE158E"/>
    <w:rsid w:val="00BE1592"/>
    <w:rsid w:val="00BE15D2"/>
    <w:rsid w:val="00BE1671"/>
    <w:rsid w:val="00BE1732"/>
    <w:rsid w:val="00BE1777"/>
    <w:rsid w:val="00BE178D"/>
    <w:rsid w:val="00BE1895"/>
    <w:rsid w:val="00BE18FF"/>
    <w:rsid w:val="00BE1923"/>
    <w:rsid w:val="00BE19DB"/>
    <w:rsid w:val="00BE1A01"/>
    <w:rsid w:val="00BE1A97"/>
    <w:rsid w:val="00BE1BEB"/>
    <w:rsid w:val="00BE1D0C"/>
    <w:rsid w:val="00BE1D5E"/>
    <w:rsid w:val="00BE1DC7"/>
    <w:rsid w:val="00BE1E3B"/>
    <w:rsid w:val="00BE1E8C"/>
    <w:rsid w:val="00BE1EBD"/>
    <w:rsid w:val="00BE1F61"/>
    <w:rsid w:val="00BE1FCC"/>
    <w:rsid w:val="00BE2019"/>
    <w:rsid w:val="00BE212B"/>
    <w:rsid w:val="00BE2210"/>
    <w:rsid w:val="00BE22DD"/>
    <w:rsid w:val="00BE234D"/>
    <w:rsid w:val="00BE24E0"/>
    <w:rsid w:val="00BE257C"/>
    <w:rsid w:val="00BE2641"/>
    <w:rsid w:val="00BE268F"/>
    <w:rsid w:val="00BE26C5"/>
    <w:rsid w:val="00BE27C3"/>
    <w:rsid w:val="00BE29E7"/>
    <w:rsid w:val="00BE2A46"/>
    <w:rsid w:val="00BE2A90"/>
    <w:rsid w:val="00BE2C39"/>
    <w:rsid w:val="00BE2CCC"/>
    <w:rsid w:val="00BE2D1A"/>
    <w:rsid w:val="00BE2D5E"/>
    <w:rsid w:val="00BE2E4A"/>
    <w:rsid w:val="00BE2EAA"/>
    <w:rsid w:val="00BE2F95"/>
    <w:rsid w:val="00BE3070"/>
    <w:rsid w:val="00BE30D4"/>
    <w:rsid w:val="00BE3189"/>
    <w:rsid w:val="00BE31B5"/>
    <w:rsid w:val="00BE3219"/>
    <w:rsid w:val="00BE32C9"/>
    <w:rsid w:val="00BE3385"/>
    <w:rsid w:val="00BE33E3"/>
    <w:rsid w:val="00BE34BB"/>
    <w:rsid w:val="00BE34C3"/>
    <w:rsid w:val="00BE3519"/>
    <w:rsid w:val="00BE3564"/>
    <w:rsid w:val="00BE3599"/>
    <w:rsid w:val="00BE36CF"/>
    <w:rsid w:val="00BE37B9"/>
    <w:rsid w:val="00BE38D8"/>
    <w:rsid w:val="00BE398E"/>
    <w:rsid w:val="00BE3A48"/>
    <w:rsid w:val="00BE3ABD"/>
    <w:rsid w:val="00BE3BB6"/>
    <w:rsid w:val="00BE3C1E"/>
    <w:rsid w:val="00BE3C86"/>
    <w:rsid w:val="00BE3D61"/>
    <w:rsid w:val="00BE3D9A"/>
    <w:rsid w:val="00BE3F43"/>
    <w:rsid w:val="00BE4171"/>
    <w:rsid w:val="00BE4226"/>
    <w:rsid w:val="00BE422F"/>
    <w:rsid w:val="00BE4252"/>
    <w:rsid w:val="00BE4288"/>
    <w:rsid w:val="00BE4299"/>
    <w:rsid w:val="00BE45F3"/>
    <w:rsid w:val="00BE468A"/>
    <w:rsid w:val="00BE4706"/>
    <w:rsid w:val="00BE496D"/>
    <w:rsid w:val="00BE4A9B"/>
    <w:rsid w:val="00BE4BEC"/>
    <w:rsid w:val="00BE4C77"/>
    <w:rsid w:val="00BE4CC8"/>
    <w:rsid w:val="00BE5114"/>
    <w:rsid w:val="00BE5152"/>
    <w:rsid w:val="00BE522C"/>
    <w:rsid w:val="00BE527A"/>
    <w:rsid w:val="00BE5321"/>
    <w:rsid w:val="00BE5379"/>
    <w:rsid w:val="00BE5461"/>
    <w:rsid w:val="00BE559C"/>
    <w:rsid w:val="00BE575A"/>
    <w:rsid w:val="00BE57E8"/>
    <w:rsid w:val="00BE59DB"/>
    <w:rsid w:val="00BE5A18"/>
    <w:rsid w:val="00BE5AFE"/>
    <w:rsid w:val="00BE5D02"/>
    <w:rsid w:val="00BE5D87"/>
    <w:rsid w:val="00BE5DAC"/>
    <w:rsid w:val="00BE5E47"/>
    <w:rsid w:val="00BE5E48"/>
    <w:rsid w:val="00BE5E91"/>
    <w:rsid w:val="00BE5F30"/>
    <w:rsid w:val="00BE5FF9"/>
    <w:rsid w:val="00BE600D"/>
    <w:rsid w:val="00BE6038"/>
    <w:rsid w:val="00BE60A6"/>
    <w:rsid w:val="00BE60FA"/>
    <w:rsid w:val="00BE637F"/>
    <w:rsid w:val="00BE63E6"/>
    <w:rsid w:val="00BE64FB"/>
    <w:rsid w:val="00BE662F"/>
    <w:rsid w:val="00BE6655"/>
    <w:rsid w:val="00BE6686"/>
    <w:rsid w:val="00BE6698"/>
    <w:rsid w:val="00BE6713"/>
    <w:rsid w:val="00BE6778"/>
    <w:rsid w:val="00BE68E5"/>
    <w:rsid w:val="00BE6948"/>
    <w:rsid w:val="00BE6A49"/>
    <w:rsid w:val="00BE6AEE"/>
    <w:rsid w:val="00BE6B85"/>
    <w:rsid w:val="00BE6BA9"/>
    <w:rsid w:val="00BE6C0B"/>
    <w:rsid w:val="00BE6C1A"/>
    <w:rsid w:val="00BE6C68"/>
    <w:rsid w:val="00BE6CF2"/>
    <w:rsid w:val="00BE6D25"/>
    <w:rsid w:val="00BE6EDF"/>
    <w:rsid w:val="00BE6F63"/>
    <w:rsid w:val="00BE6FB2"/>
    <w:rsid w:val="00BE6FC8"/>
    <w:rsid w:val="00BE7141"/>
    <w:rsid w:val="00BE7224"/>
    <w:rsid w:val="00BE72FF"/>
    <w:rsid w:val="00BE734E"/>
    <w:rsid w:val="00BE73A8"/>
    <w:rsid w:val="00BE74A6"/>
    <w:rsid w:val="00BE752E"/>
    <w:rsid w:val="00BE7536"/>
    <w:rsid w:val="00BE7555"/>
    <w:rsid w:val="00BE760D"/>
    <w:rsid w:val="00BE76AF"/>
    <w:rsid w:val="00BE772E"/>
    <w:rsid w:val="00BE777C"/>
    <w:rsid w:val="00BE787A"/>
    <w:rsid w:val="00BE7901"/>
    <w:rsid w:val="00BE7BB4"/>
    <w:rsid w:val="00BE7C0F"/>
    <w:rsid w:val="00BE7DCD"/>
    <w:rsid w:val="00BE7EB8"/>
    <w:rsid w:val="00BF01B3"/>
    <w:rsid w:val="00BF01C6"/>
    <w:rsid w:val="00BF0344"/>
    <w:rsid w:val="00BF0419"/>
    <w:rsid w:val="00BF0501"/>
    <w:rsid w:val="00BF0588"/>
    <w:rsid w:val="00BF07CC"/>
    <w:rsid w:val="00BF081F"/>
    <w:rsid w:val="00BF08DB"/>
    <w:rsid w:val="00BF09CF"/>
    <w:rsid w:val="00BF0AC4"/>
    <w:rsid w:val="00BF0ADD"/>
    <w:rsid w:val="00BF0CD7"/>
    <w:rsid w:val="00BF0D39"/>
    <w:rsid w:val="00BF0D60"/>
    <w:rsid w:val="00BF0D6D"/>
    <w:rsid w:val="00BF0D81"/>
    <w:rsid w:val="00BF0EAC"/>
    <w:rsid w:val="00BF0F2D"/>
    <w:rsid w:val="00BF1071"/>
    <w:rsid w:val="00BF128B"/>
    <w:rsid w:val="00BF12D9"/>
    <w:rsid w:val="00BF1336"/>
    <w:rsid w:val="00BF13C4"/>
    <w:rsid w:val="00BF16ED"/>
    <w:rsid w:val="00BF171F"/>
    <w:rsid w:val="00BF177D"/>
    <w:rsid w:val="00BF17B6"/>
    <w:rsid w:val="00BF185B"/>
    <w:rsid w:val="00BF18FD"/>
    <w:rsid w:val="00BF1925"/>
    <w:rsid w:val="00BF19A7"/>
    <w:rsid w:val="00BF19EE"/>
    <w:rsid w:val="00BF19F2"/>
    <w:rsid w:val="00BF1AE3"/>
    <w:rsid w:val="00BF1B8E"/>
    <w:rsid w:val="00BF1CC3"/>
    <w:rsid w:val="00BF1E31"/>
    <w:rsid w:val="00BF21AA"/>
    <w:rsid w:val="00BF21B1"/>
    <w:rsid w:val="00BF22BF"/>
    <w:rsid w:val="00BF232B"/>
    <w:rsid w:val="00BF236B"/>
    <w:rsid w:val="00BF2480"/>
    <w:rsid w:val="00BF25AE"/>
    <w:rsid w:val="00BF2625"/>
    <w:rsid w:val="00BF272B"/>
    <w:rsid w:val="00BF2776"/>
    <w:rsid w:val="00BF27ED"/>
    <w:rsid w:val="00BF27FE"/>
    <w:rsid w:val="00BF287F"/>
    <w:rsid w:val="00BF291E"/>
    <w:rsid w:val="00BF2AE0"/>
    <w:rsid w:val="00BF2B92"/>
    <w:rsid w:val="00BF2C1A"/>
    <w:rsid w:val="00BF2C44"/>
    <w:rsid w:val="00BF2CD2"/>
    <w:rsid w:val="00BF2CEB"/>
    <w:rsid w:val="00BF2D11"/>
    <w:rsid w:val="00BF2DBE"/>
    <w:rsid w:val="00BF2DF5"/>
    <w:rsid w:val="00BF30B1"/>
    <w:rsid w:val="00BF311B"/>
    <w:rsid w:val="00BF3239"/>
    <w:rsid w:val="00BF325A"/>
    <w:rsid w:val="00BF331F"/>
    <w:rsid w:val="00BF33EE"/>
    <w:rsid w:val="00BF3450"/>
    <w:rsid w:val="00BF3549"/>
    <w:rsid w:val="00BF370D"/>
    <w:rsid w:val="00BF3834"/>
    <w:rsid w:val="00BF383C"/>
    <w:rsid w:val="00BF3AB8"/>
    <w:rsid w:val="00BF3B6F"/>
    <w:rsid w:val="00BF3E43"/>
    <w:rsid w:val="00BF3EC2"/>
    <w:rsid w:val="00BF3EFD"/>
    <w:rsid w:val="00BF3FF3"/>
    <w:rsid w:val="00BF4459"/>
    <w:rsid w:val="00BF4479"/>
    <w:rsid w:val="00BF44C6"/>
    <w:rsid w:val="00BF4588"/>
    <w:rsid w:val="00BF4597"/>
    <w:rsid w:val="00BF45AB"/>
    <w:rsid w:val="00BF45AC"/>
    <w:rsid w:val="00BF46E7"/>
    <w:rsid w:val="00BF46EB"/>
    <w:rsid w:val="00BF48C1"/>
    <w:rsid w:val="00BF49C6"/>
    <w:rsid w:val="00BF49F6"/>
    <w:rsid w:val="00BF4B70"/>
    <w:rsid w:val="00BF4C5A"/>
    <w:rsid w:val="00BF4C6E"/>
    <w:rsid w:val="00BF4CAC"/>
    <w:rsid w:val="00BF4F11"/>
    <w:rsid w:val="00BF4F3A"/>
    <w:rsid w:val="00BF4FA1"/>
    <w:rsid w:val="00BF4FB9"/>
    <w:rsid w:val="00BF4FCD"/>
    <w:rsid w:val="00BF50BC"/>
    <w:rsid w:val="00BF50CB"/>
    <w:rsid w:val="00BF514B"/>
    <w:rsid w:val="00BF516D"/>
    <w:rsid w:val="00BF5245"/>
    <w:rsid w:val="00BF5253"/>
    <w:rsid w:val="00BF53A3"/>
    <w:rsid w:val="00BF53D8"/>
    <w:rsid w:val="00BF5467"/>
    <w:rsid w:val="00BF54DE"/>
    <w:rsid w:val="00BF5591"/>
    <w:rsid w:val="00BF5766"/>
    <w:rsid w:val="00BF58A2"/>
    <w:rsid w:val="00BF596F"/>
    <w:rsid w:val="00BF59AD"/>
    <w:rsid w:val="00BF5A98"/>
    <w:rsid w:val="00BF5ACC"/>
    <w:rsid w:val="00BF5B13"/>
    <w:rsid w:val="00BF5C2D"/>
    <w:rsid w:val="00BF5D38"/>
    <w:rsid w:val="00BF5DEB"/>
    <w:rsid w:val="00BF5F6E"/>
    <w:rsid w:val="00BF5FC6"/>
    <w:rsid w:val="00BF6036"/>
    <w:rsid w:val="00BF60F6"/>
    <w:rsid w:val="00BF612D"/>
    <w:rsid w:val="00BF6171"/>
    <w:rsid w:val="00BF61B0"/>
    <w:rsid w:val="00BF6363"/>
    <w:rsid w:val="00BF649F"/>
    <w:rsid w:val="00BF64B3"/>
    <w:rsid w:val="00BF668E"/>
    <w:rsid w:val="00BF6828"/>
    <w:rsid w:val="00BF692E"/>
    <w:rsid w:val="00BF6B74"/>
    <w:rsid w:val="00BF6C31"/>
    <w:rsid w:val="00BF6C76"/>
    <w:rsid w:val="00BF6D46"/>
    <w:rsid w:val="00BF6D85"/>
    <w:rsid w:val="00BF6E0F"/>
    <w:rsid w:val="00BF6E42"/>
    <w:rsid w:val="00BF6F8E"/>
    <w:rsid w:val="00BF70D9"/>
    <w:rsid w:val="00BF7217"/>
    <w:rsid w:val="00BF7226"/>
    <w:rsid w:val="00BF72A8"/>
    <w:rsid w:val="00BF7407"/>
    <w:rsid w:val="00BF760C"/>
    <w:rsid w:val="00BF765C"/>
    <w:rsid w:val="00BF7746"/>
    <w:rsid w:val="00BF786F"/>
    <w:rsid w:val="00BF78DA"/>
    <w:rsid w:val="00BF7A80"/>
    <w:rsid w:val="00BF7CB0"/>
    <w:rsid w:val="00BF7D4C"/>
    <w:rsid w:val="00C0001A"/>
    <w:rsid w:val="00C0001B"/>
    <w:rsid w:val="00C00132"/>
    <w:rsid w:val="00C00648"/>
    <w:rsid w:val="00C0077A"/>
    <w:rsid w:val="00C00946"/>
    <w:rsid w:val="00C0094C"/>
    <w:rsid w:val="00C00A6F"/>
    <w:rsid w:val="00C00BBE"/>
    <w:rsid w:val="00C00C2D"/>
    <w:rsid w:val="00C00DEF"/>
    <w:rsid w:val="00C00ED8"/>
    <w:rsid w:val="00C00F30"/>
    <w:rsid w:val="00C0152F"/>
    <w:rsid w:val="00C0153F"/>
    <w:rsid w:val="00C0155C"/>
    <w:rsid w:val="00C015D3"/>
    <w:rsid w:val="00C01857"/>
    <w:rsid w:val="00C01917"/>
    <w:rsid w:val="00C01B3A"/>
    <w:rsid w:val="00C01B89"/>
    <w:rsid w:val="00C01E81"/>
    <w:rsid w:val="00C01EDD"/>
    <w:rsid w:val="00C01FA9"/>
    <w:rsid w:val="00C02000"/>
    <w:rsid w:val="00C021FE"/>
    <w:rsid w:val="00C02276"/>
    <w:rsid w:val="00C02399"/>
    <w:rsid w:val="00C0243C"/>
    <w:rsid w:val="00C024DF"/>
    <w:rsid w:val="00C02539"/>
    <w:rsid w:val="00C02763"/>
    <w:rsid w:val="00C027ED"/>
    <w:rsid w:val="00C02A3E"/>
    <w:rsid w:val="00C02A74"/>
    <w:rsid w:val="00C02A86"/>
    <w:rsid w:val="00C02A8F"/>
    <w:rsid w:val="00C02B4A"/>
    <w:rsid w:val="00C02BA5"/>
    <w:rsid w:val="00C02C74"/>
    <w:rsid w:val="00C02C84"/>
    <w:rsid w:val="00C02C96"/>
    <w:rsid w:val="00C02CA9"/>
    <w:rsid w:val="00C02CB0"/>
    <w:rsid w:val="00C02CEE"/>
    <w:rsid w:val="00C02D78"/>
    <w:rsid w:val="00C02DD9"/>
    <w:rsid w:val="00C02DDF"/>
    <w:rsid w:val="00C02EE6"/>
    <w:rsid w:val="00C02F7A"/>
    <w:rsid w:val="00C02FCF"/>
    <w:rsid w:val="00C02FD4"/>
    <w:rsid w:val="00C03037"/>
    <w:rsid w:val="00C0305B"/>
    <w:rsid w:val="00C03069"/>
    <w:rsid w:val="00C0316B"/>
    <w:rsid w:val="00C03178"/>
    <w:rsid w:val="00C0318E"/>
    <w:rsid w:val="00C03254"/>
    <w:rsid w:val="00C0329B"/>
    <w:rsid w:val="00C03312"/>
    <w:rsid w:val="00C03319"/>
    <w:rsid w:val="00C03421"/>
    <w:rsid w:val="00C035B4"/>
    <w:rsid w:val="00C03714"/>
    <w:rsid w:val="00C03762"/>
    <w:rsid w:val="00C0377D"/>
    <w:rsid w:val="00C03783"/>
    <w:rsid w:val="00C03799"/>
    <w:rsid w:val="00C03830"/>
    <w:rsid w:val="00C038CF"/>
    <w:rsid w:val="00C03AAF"/>
    <w:rsid w:val="00C03B25"/>
    <w:rsid w:val="00C03C6C"/>
    <w:rsid w:val="00C03CF0"/>
    <w:rsid w:val="00C03CF9"/>
    <w:rsid w:val="00C03D0F"/>
    <w:rsid w:val="00C03E65"/>
    <w:rsid w:val="00C03E6A"/>
    <w:rsid w:val="00C03F8F"/>
    <w:rsid w:val="00C04078"/>
    <w:rsid w:val="00C04079"/>
    <w:rsid w:val="00C04210"/>
    <w:rsid w:val="00C042AE"/>
    <w:rsid w:val="00C04314"/>
    <w:rsid w:val="00C04326"/>
    <w:rsid w:val="00C043B4"/>
    <w:rsid w:val="00C0445D"/>
    <w:rsid w:val="00C044C4"/>
    <w:rsid w:val="00C045DF"/>
    <w:rsid w:val="00C046D6"/>
    <w:rsid w:val="00C0476F"/>
    <w:rsid w:val="00C04934"/>
    <w:rsid w:val="00C04A32"/>
    <w:rsid w:val="00C04AB2"/>
    <w:rsid w:val="00C04C17"/>
    <w:rsid w:val="00C04C46"/>
    <w:rsid w:val="00C04D30"/>
    <w:rsid w:val="00C04DB8"/>
    <w:rsid w:val="00C04DD9"/>
    <w:rsid w:val="00C04ED6"/>
    <w:rsid w:val="00C05057"/>
    <w:rsid w:val="00C0507A"/>
    <w:rsid w:val="00C050CF"/>
    <w:rsid w:val="00C05107"/>
    <w:rsid w:val="00C0513F"/>
    <w:rsid w:val="00C051E3"/>
    <w:rsid w:val="00C051EA"/>
    <w:rsid w:val="00C0523E"/>
    <w:rsid w:val="00C0531A"/>
    <w:rsid w:val="00C0538A"/>
    <w:rsid w:val="00C05416"/>
    <w:rsid w:val="00C054EB"/>
    <w:rsid w:val="00C05592"/>
    <w:rsid w:val="00C0585F"/>
    <w:rsid w:val="00C059FB"/>
    <w:rsid w:val="00C05A6D"/>
    <w:rsid w:val="00C05A78"/>
    <w:rsid w:val="00C05B07"/>
    <w:rsid w:val="00C05B67"/>
    <w:rsid w:val="00C05BE0"/>
    <w:rsid w:val="00C05C73"/>
    <w:rsid w:val="00C05D6D"/>
    <w:rsid w:val="00C05DB9"/>
    <w:rsid w:val="00C05E5F"/>
    <w:rsid w:val="00C05FBF"/>
    <w:rsid w:val="00C06004"/>
    <w:rsid w:val="00C061A8"/>
    <w:rsid w:val="00C0622A"/>
    <w:rsid w:val="00C06371"/>
    <w:rsid w:val="00C0639F"/>
    <w:rsid w:val="00C063FA"/>
    <w:rsid w:val="00C0643A"/>
    <w:rsid w:val="00C0664F"/>
    <w:rsid w:val="00C066F7"/>
    <w:rsid w:val="00C068D9"/>
    <w:rsid w:val="00C06928"/>
    <w:rsid w:val="00C069BE"/>
    <w:rsid w:val="00C069E6"/>
    <w:rsid w:val="00C06A69"/>
    <w:rsid w:val="00C06ABF"/>
    <w:rsid w:val="00C06AEA"/>
    <w:rsid w:val="00C06B38"/>
    <w:rsid w:val="00C06BC0"/>
    <w:rsid w:val="00C06C46"/>
    <w:rsid w:val="00C06C47"/>
    <w:rsid w:val="00C06D40"/>
    <w:rsid w:val="00C06F0E"/>
    <w:rsid w:val="00C06F35"/>
    <w:rsid w:val="00C06FC3"/>
    <w:rsid w:val="00C06FDC"/>
    <w:rsid w:val="00C0711D"/>
    <w:rsid w:val="00C07264"/>
    <w:rsid w:val="00C07289"/>
    <w:rsid w:val="00C072AC"/>
    <w:rsid w:val="00C07323"/>
    <w:rsid w:val="00C07423"/>
    <w:rsid w:val="00C074F8"/>
    <w:rsid w:val="00C075B5"/>
    <w:rsid w:val="00C07648"/>
    <w:rsid w:val="00C0764A"/>
    <w:rsid w:val="00C07700"/>
    <w:rsid w:val="00C0770A"/>
    <w:rsid w:val="00C0772D"/>
    <w:rsid w:val="00C0779D"/>
    <w:rsid w:val="00C078D7"/>
    <w:rsid w:val="00C078FA"/>
    <w:rsid w:val="00C0790E"/>
    <w:rsid w:val="00C07B17"/>
    <w:rsid w:val="00C07BAE"/>
    <w:rsid w:val="00C07BE4"/>
    <w:rsid w:val="00C07C0B"/>
    <w:rsid w:val="00C07D75"/>
    <w:rsid w:val="00C07DB3"/>
    <w:rsid w:val="00C07E42"/>
    <w:rsid w:val="00C07E6D"/>
    <w:rsid w:val="00C07EA7"/>
    <w:rsid w:val="00C07FC4"/>
    <w:rsid w:val="00C07FFB"/>
    <w:rsid w:val="00C10005"/>
    <w:rsid w:val="00C10021"/>
    <w:rsid w:val="00C100AF"/>
    <w:rsid w:val="00C101BA"/>
    <w:rsid w:val="00C101CD"/>
    <w:rsid w:val="00C10202"/>
    <w:rsid w:val="00C10353"/>
    <w:rsid w:val="00C1038B"/>
    <w:rsid w:val="00C103F5"/>
    <w:rsid w:val="00C10495"/>
    <w:rsid w:val="00C104D1"/>
    <w:rsid w:val="00C10633"/>
    <w:rsid w:val="00C107A4"/>
    <w:rsid w:val="00C107FA"/>
    <w:rsid w:val="00C10A0D"/>
    <w:rsid w:val="00C10A2F"/>
    <w:rsid w:val="00C10A9F"/>
    <w:rsid w:val="00C10B98"/>
    <w:rsid w:val="00C10BC5"/>
    <w:rsid w:val="00C10C08"/>
    <w:rsid w:val="00C10CD9"/>
    <w:rsid w:val="00C10D0F"/>
    <w:rsid w:val="00C10DC6"/>
    <w:rsid w:val="00C10E05"/>
    <w:rsid w:val="00C10E76"/>
    <w:rsid w:val="00C10F26"/>
    <w:rsid w:val="00C11004"/>
    <w:rsid w:val="00C11033"/>
    <w:rsid w:val="00C1113C"/>
    <w:rsid w:val="00C11231"/>
    <w:rsid w:val="00C112D2"/>
    <w:rsid w:val="00C1149C"/>
    <w:rsid w:val="00C114D1"/>
    <w:rsid w:val="00C1151C"/>
    <w:rsid w:val="00C11573"/>
    <w:rsid w:val="00C115D1"/>
    <w:rsid w:val="00C116B9"/>
    <w:rsid w:val="00C11769"/>
    <w:rsid w:val="00C11881"/>
    <w:rsid w:val="00C11971"/>
    <w:rsid w:val="00C119A0"/>
    <w:rsid w:val="00C11B03"/>
    <w:rsid w:val="00C11C37"/>
    <w:rsid w:val="00C11DD4"/>
    <w:rsid w:val="00C11ECB"/>
    <w:rsid w:val="00C11ED8"/>
    <w:rsid w:val="00C11F9D"/>
    <w:rsid w:val="00C1206C"/>
    <w:rsid w:val="00C120F1"/>
    <w:rsid w:val="00C12109"/>
    <w:rsid w:val="00C121AA"/>
    <w:rsid w:val="00C121FE"/>
    <w:rsid w:val="00C12217"/>
    <w:rsid w:val="00C122D1"/>
    <w:rsid w:val="00C122FB"/>
    <w:rsid w:val="00C1230F"/>
    <w:rsid w:val="00C1243C"/>
    <w:rsid w:val="00C125E0"/>
    <w:rsid w:val="00C1262A"/>
    <w:rsid w:val="00C12810"/>
    <w:rsid w:val="00C12883"/>
    <w:rsid w:val="00C129E1"/>
    <w:rsid w:val="00C12A6D"/>
    <w:rsid w:val="00C12C0B"/>
    <w:rsid w:val="00C12C36"/>
    <w:rsid w:val="00C12E2C"/>
    <w:rsid w:val="00C12E58"/>
    <w:rsid w:val="00C12E6E"/>
    <w:rsid w:val="00C12FA9"/>
    <w:rsid w:val="00C12FCA"/>
    <w:rsid w:val="00C130BF"/>
    <w:rsid w:val="00C1319A"/>
    <w:rsid w:val="00C131FC"/>
    <w:rsid w:val="00C1337C"/>
    <w:rsid w:val="00C1354B"/>
    <w:rsid w:val="00C135C3"/>
    <w:rsid w:val="00C1366A"/>
    <w:rsid w:val="00C136A6"/>
    <w:rsid w:val="00C136C1"/>
    <w:rsid w:val="00C13782"/>
    <w:rsid w:val="00C13801"/>
    <w:rsid w:val="00C13975"/>
    <w:rsid w:val="00C13A91"/>
    <w:rsid w:val="00C13AEB"/>
    <w:rsid w:val="00C13B19"/>
    <w:rsid w:val="00C13CCF"/>
    <w:rsid w:val="00C13D43"/>
    <w:rsid w:val="00C1401A"/>
    <w:rsid w:val="00C14198"/>
    <w:rsid w:val="00C141A6"/>
    <w:rsid w:val="00C1427C"/>
    <w:rsid w:val="00C14463"/>
    <w:rsid w:val="00C14493"/>
    <w:rsid w:val="00C1451C"/>
    <w:rsid w:val="00C14671"/>
    <w:rsid w:val="00C146ED"/>
    <w:rsid w:val="00C14796"/>
    <w:rsid w:val="00C14816"/>
    <w:rsid w:val="00C1481D"/>
    <w:rsid w:val="00C1488B"/>
    <w:rsid w:val="00C14894"/>
    <w:rsid w:val="00C149DB"/>
    <w:rsid w:val="00C14AE2"/>
    <w:rsid w:val="00C14C26"/>
    <w:rsid w:val="00C14C3A"/>
    <w:rsid w:val="00C14DC9"/>
    <w:rsid w:val="00C14DE8"/>
    <w:rsid w:val="00C14F0C"/>
    <w:rsid w:val="00C15094"/>
    <w:rsid w:val="00C150C9"/>
    <w:rsid w:val="00C152D3"/>
    <w:rsid w:val="00C1536D"/>
    <w:rsid w:val="00C15513"/>
    <w:rsid w:val="00C156B4"/>
    <w:rsid w:val="00C1596B"/>
    <w:rsid w:val="00C15B8F"/>
    <w:rsid w:val="00C15BF8"/>
    <w:rsid w:val="00C15C2F"/>
    <w:rsid w:val="00C15D1E"/>
    <w:rsid w:val="00C15EB1"/>
    <w:rsid w:val="00C15ECB"/>
    <w:rsid w:val="00C15F0F"/>
    <w:rsid w:val="00C15F5F"/>
    <w:rsid w:val="00C15FBE"/>
    <w:rsid w:val="00C15FC7"/>
    <w:rsid w:val="00C1602B"/>
    <w:rsid w:val="00C1609F"/>
    <w:rsid w:val="00C161D2"/>
    <w:rsid w:val="00C1620A"/>
    <w:rsid w:val="00C16256"/>
    <w:rsid w:val="00C162BF"/>
    <w:rsid w:val="00C1635D"/>
    <w:rsid w:val="00C16368"/>
    <w:rsid w:val="00C163D3"/>
    <w:rsid w:val="00C164BE"/>
    <w:rsid w:val="00C164DE"/>
    <w:rsid w:val="00C16573"/>
    <w:rsid w:val="00C165D7"/>
    <w:rsid w:val="00C1667F"/>
    <w:rsid w:val="00C166C9"/>
    <w:rsid w:val="00C1689F"/>
    <w:rsid w:val="00C168C7"/>
    <w:rsid w:val="00C16982"/>
    <w:rsid w:val="00C16A31"/>
    <w:rsid w:val="00C16BFE"/>
    <w:rsid w:val="00C16C29"/>
    <w:rsid w:val="00C16D4D"/>
    <w:rsid w:val="00C16E85"/>
    <w:rsid w:val="00C16E98"/>
    <w:rsid w:val="00C16EAC"/>
    <w:rsid w:val="00C1707C"/>
    <w:rsid w:val="00C17220"/>
    <w:rsid w:val="00C173D9"/>
    <w:rsid w:val="00C17617"/>
    <w:rsid w:val="00C17654"/>
    <w:rsid w:val="00C17734"/>
    <w:rsid w:val="00C17750"/>
    <w:rsid w:val="00C1782B"/>
    <w:rsid w:val="00C1784B"/>
    <w:rsid w:val="00C1790C"/>
    <w:rsid w:val="00C17980"/>
    <w:rsid w:val="00C179C7"/>
    <w:rsid w:val="00C17BAF"/>
    <w:rsid w:val="00C17BD9"/>
    <w:rsid w:val="00C17CC9"/>
    <w:rsid w:val="00C17CF9"/>
    <w:rsid w:val="00C17CFA"/>
    <w:rsid w:val="00C17DA0"/>
    <w:rsid w:val="00C17E12"/>
    <w:rsid w:val="00C17E31"/>
    <w:rsid w:val="00C17E90"/>
    <w:rsid w:val="00C17E9E"/>
    <w:rsid w:val="00C17F4F"/>
    <w:rsid w:val="00C17FF8"/>
    <w:rsid w:val="00C2002F"/>
    <w:rsid w:val="00C201F5"/>
    <w:rsid w:val="00C202B0"/>
    <w:rsid w:val="00C206FA"/>
    <w:rsid w:val="00C207BF"/>
    <w:rsid w:val="00C20869"/>
    <w:rsid w:val="00C2088A"/>
    <w:rsid w:val="00C20990"/>
    <w:rsid w:val="00C209C6"/>
    <w:rsid w:val="00C20B89"/>
    <w:rsid w:val="00C20C2D"/>
    <w:rsid w:val="00C20CC4"/>
    <w:rsid w:val="00C20D1F"/>
    <w:rsid w:val="00C20EE1"/>
    <w:rsid w:val="00C20F57"/>
    <w:rsid w:val="00C20FD4"/>
    <w:rsid w:val="00C20FFA"/>
    <w:rsid w:val="00C2102C"/>
    <w:rsid w:val="00C2102E"/>
    <w:rsid w:val="00C210F5"/>
    <w:rsid w:val="00C210FE"/>
    <w:rsid w:val="00C211DA"/>
    <w:rsid w:val="00C211DF"/>
    <w:rsid w:val="00C213B9"/>
    <w:rsid w:val="00C2164B"/>
    <w:rsid w:val="00C2174F"/>
    <w:rsid w:val="00C21938"/>
    <w:rsid w:val="00C2199E"/>
    <w:rsid w:val="00C219E3"/>
    <w:rsid w:val="00C21AFE"/>
    <w:rsid w:val="00C21B3B"/>
    <w:rsid w:val="00C21B3C"/>
    <w:rsid w:val="00C21C3D"/>
    <w:rsid w:val="00C21CE5"/>
    <w:rsid w:val="00C21D0B"/>
    <w:rsid w:val="00C21D15"/>
    <w:rsid w:val="00C21D61"/>
    <w:rsid w:val="00C21DDE"/>
    <w:rsid w:val="00C21DF9"/>
    <w:rsid w:val="00C21E87"/>
    <w:rsid w:val="00C21E95"/>
    <w:rsid w:val="00C21F41"/>
    <w:rsid w:val="00C22027"/>
    <w:rsid w:val="00C220D5"/>
    <w:rsid w:val="00C22145"/>
    <w:rsid w:val="00C22169"/>
    <w:rsid w:val="00C22243"/>
    <w:rsid w:val="00C222C9"/>
    <w:rsid w:val="00C22336"/>
    <w:rsid w:val="00C224B7"/>
    <w:rsid w:val="00C2251C"/>
    <w:rsid w:val="00C2253B"/>
    <w:rsid w:val="00C22634"/>
    <w:rsid w:val="00C2273A"/>
    <w:rsid w:val="00C22751"/>
    <w:rsid w:val="00C2281C"/>
    <w:rsid w:val="00C228B8"/>
    <w:rsid w:val="00C22979"/>
    <w:rsid w:val="00C22BBB"/>
    <w:rsid w:val="00C22BD5"/>
    <w:rsid w:val="00C22C6D"/>
    <w:rsid w:val="00C22D2D"/>
    <w:rsid w:val="00C22FD4"/>
    <w:rsid w:val="00C2317E"/>
    <w:rsid w:val="00C231DB"/>
    <w:rsid w:val="00C23228"/>
    <w:rsid w:val="00C23275"/>
    <w:rsid w:val="00C23431"/>
    <w:rsid w:val="00C2360A"/>
    <w:rsid w:val="00C2379F"/>
    <w:rsid w:val="00C2387D"/>
    <w:rsid w:val="00C23897"/>
    <w:rsid w:val="00C2390E"/>
    <w:rsid w:val="00C23D91"/>
    <w:rsid w:val="00C23E52"/>
    <w:rsid w:val="00C23E77"/>
    <w:rsid w:val="00C23F11"/>
    <w:rsid w:val="00C23F1E"/>
    <w:rsid w:val="00C23FFB"/>
    <w:rsid w:val="00C2422F"/>
    <w:rsid w:val="00C243B8"/>
    <w:rsid w:val="00C2448D"/>
    <w:rsid w:val="00C24553"/>
    <w:rsid w:val="00C24566"/>
    <w:rsid w:val="00C245C7"/>
    <w:rsid w:val="00C24670"/>
    <w:rsid w:val="00C246D6"/>
    <w:rsid w:val="00C248BD"/>
    <w:rsid w:val="00C248BE"/>
    <w:rsid w:val="00C2496A"/>
    <w:rsid w:val="00C249BA"/>
    <w:rsid w:val="00C249CC"/>
    <w:rsid w:val="00C249DF"/>
    <w:rsid w:val="00C24A70"/>
    <w:rsid w:val="00C24AD7"/>
    <w:rsid w:val="00C24D2A"/>
    <w:rsid w:val="00C24E43"/>
    <w:rsid w:val="00C24E48"/>
    <w:rsid w:val="00C24F8F"/>
    <w:rsid w:val="00C2504A"/>
    <w:rsid w:val="00C25136"/>
    <w:rsid w:val="00C2527D"/>
    <w:rsid w:val="00C25335"/>
    <w:rsid w:val="00C25355"/>
    <w:rsid w:val="00C2535C"/>
    <w:rsid w:val="00C254CA"/>
    <w:rsid w:val="00C25573"/>
    <w:rsid w:val="00C2570C"/>
    <w:rsid w:val="00C2573F"/>
    <w:rsid w:val="00C257C5"/>
    <w:rsid w:val="00C257D0"/>
    <w:rsid w:val="00C25846"/>
    <w:rsid w:val="00C25885"/>
    <w:rsid w:val="00C258C3"/>
    <w:rsid w:val="00C25961"/>
    <w:rsid w:val="00C2597F"/>
    <w:rsid w:val="00C25AB3"/>
    <w:rsid w:val="00C25C45"/>
    <w:rsid w:val="00C25E0D"/>
    <w:rsid w:val="00C25E57"/>
    <w:rsid w:val="00C25E82"/>
    <w:rsid w:val="00C25F79"/>
    <w:rsid w:val="00C2604A"/>
    <w:rsid w:val="00C260A9"/>
    <w:rsid w:val="00C261E1"/>
    <w:rsid w:val="00C26397"/>
    <w:rsid w:val="00C26498"/>
    <w:rsid w:val="00C265CC"/>
    <w:rsid w:val="00C265DB"/>
    <w:rsid w:val="00C266B4"/>
    <w:rsid w:val="00C26732"/>
    <w:rsid w:val="00C26733"/>
    <w:rsid w:val="00C2673F"/>
    <w:rsid w:val="00C26803"/>
    <w:rsid w:val="00C26855"/>
    <w:rsid w:val="00C2685D"/>
    <w:rsid w:val="00C2694A"/>
    <w:rsid w:val="00C26A92"/>
    <w:rsid w:val="00C26ABB"/>
    <w:rsid w:val="00C26AC3"/>
    <w:rsid w:val="00C26BB4"/>
    <w:rsid w:val="00C26C1A"/>
    <w:rsid w:val="00C26C48"/>
    <w:rsid w:val="00C26DB3"/>
    <w:rsid w:val="00C26DC8"/>
    <w:rsid w:val="00C26E12"/>
    <w:rsid w:val="00C26E2B"/>
    <w:rsid w:val="00C26F3A"/>
    <w:rsid w:val="00C26F45"/>
    <w:rsid w:val="00C26FC5"/>
    <w:rsid w:val="00C26FEE"/>
    <w:rsid w:val="00C2706D"/>
    <w:rsid w:val="00C27076"/>
    <w:rsid w:val="00C270E6"/>
    <w:rsid w:val="00C2716A"/>
    <w:rsid w:val="00C2723E"/>
    <w:rsid w:val="00C2742F"/>
    <w:rsid w:val="00C27462"/>
    <w:rsid w:val="00C274D0"/>
    <w:rsid w:val="00C27655"/>
    <w:rsid w:val="00C27732"/>
    <w:rsid w:val="00C27895"/>
    <w:rsid w:val="00C2789E"/>
    <w:rsid w:val="00C278B7"/>
    <w:rsid w:val="00C27AAE"/>
    <w:rsid w:val="00C27ABC"/>
    <w:rsid w:val="00C27B51"/>
    <w:rsid w:val="00C27B9A"/>
    <w:rsid w:val="00C27BD5"/>
    <w:rsid w:val="00C27E1A"/>
    <w:rsid w:val="00C27EC7"/>
    <w:rsid w:val="00C27F79"/>
    <w:rsid w:val="00C2ED6B"/>
    <w:rsid w:val="00C300FE"/>
    <w:rsid w:val="00C303BC"/>
    <w:rsid w:val="00C303CC"/>
    <w:rsid w:val="00C3052B"/>
    <w:rsid w:val="00C30599"/>
    <w:rsid w:val="00C305B0"/>
    <w:rsid w:val="00C30772"/>
    <w:rsid w:val="00C30790"/>
    <w:rsid w:val="00C307A8"/>
    <w:rsid w:val="00C3094C"/>
    <w:rsid w:val="00C30997"/>
    <w:rsid w:val="00C309D9"/>
    <w:rsid w:val="00C30A17"/>
    <w:rsid w:val="00C30B98"/>
    <w:rsid w:val="00C30BF2"/>
    <w:rsid w:val="00C30C40"/>
    <w:rsid w:val="00C30C66"/>
    <w:rsid w:val="00C30D6D"/>
    <w:rsid w:val="00C30DA8"/>
    <w:rsid w:val="00C30DCC"/>
    <w:rsid w:val="00C30DF6"/>
    <w:rsid w:val="00C30E26"/>
    <w:rsid w:val="00C30E33"/>
    <w:rsid w:val="00C30F46"/>
    <w:rsid w:val="00C30F4B"/>
    <w:rsid w:val="00C30F69"/>
    <w:rsid w:val="00C310AE"/>
    <w:rsid w:val="00C310CA"/>
    <w:rsid w:val="00C310FD"/>
    <w:rsid w:val="00C3114F"/>
    <w:rsid w:val="00C311A8"/>
    <w:rsid w:val="00C31343"/>
    <w:rsid w:val="00C3142F"/>
    <w:rsid w:val="00C31472"/>
    <w:rsid w:val="00C31489"/>
    <w:rsid w:val="00C317A4"/>
    <w:rsid w:val="00C317A8"/>
    <w:rsid w:val="00C31805"/>
    <w:rsid w:val="00C31A29"/>
    <w:rsid w:val="00C31C26"/>
    <w:rsid w:val="00C31C5B"/>
    <w:rsid w:val="00C31C6F"/>
    <w:rsid w:val="00C31D73"/>
    <w:rsid w:val="00C31D84"/>
    <w:rsid w:val="00C31E1D"/>
    <w:rsid w:val="00C31EA2"/>
    <w:rsid w:val="00C31EF7"/>
    <w:rsid w:val="00C31FAF"/>
    <w:rsid w:val="00C31FB1"/>
    <w:rsid w:val="00C31FFB"/>
    <w:rsid w:val="00C32043"/>
    <w:rsid w:val="00C320C6"/>
    <w:rsid w:val="00C32106"/>
    <w:rsid w:val="00C3221A"/>
    <w:rsid w:val="00C322DE"/>
    <w:rsid w:val="00C322E6"/>
    <w:rsid w:val="00C323B1"/>
    <w:rsid w:val="00C32409"/>
    <w:rsid w:val="00C32518"/>
    <w:rsid w:val="00C326B8"/>
    <w:rsid w:val="00C3278A"/>
    <w:rsid w:val="00C3284E"/>
    <w:rsid w:val="00C329F0"/>
    <w:rsid w:val="00C32A31"/>
    <w:rsid w:val="00C32A91"/>
    <w:rsid w:val="00C32AA3"/>
    <w:rsid w:val="00C32AE8"/>
    <w:rsid w:val="00C32AEF"/>
    <w:rsid w:val="00C32B26"/>
    <w:rsid w:val="00C32BAE"/>
    <w:rsid w:val="00C32C72"/>
    <w:rsid w:val="00C32CCC"/>
    <w:rsid w:val="00C32DF7"/>
    <w:rsid w:val="00C32F76"/>
    <w:rsid w:val="00C33023"/>
    <w:rsid w:val="00C330E1"/>
    <w:rsid w:val="00C330E6"/>
    <w:rsid w:val="00C3314C"/>
    <w:rsid w:val="00C332F9"/>
    <w:rsid w:val="00C33310"/>
    <w:rsid w:val="00C333BF"/>
    <w:rsid w:val="00C3347C"/>
    <w:rsid w:val="00C33594"/>
    <w:rsid w:val="00C335B3"/>
    <w:rsid w:val="00C33610"/>
    <w:rsid w:val="00C33620"/>
    <w:rsid w:val="00C3371A"/>
    <w:rsid w:val="00C33788"/>
    <w:rsid w:val="00C33793"/>
    <w:rsid w:val="00C338F0"/>
    <w:rsid w:val="00C339DD"/>
    <w:rsid w:val="00C33A0A"/>
    <w:rsid w:val="00C33A71"/>
    <w:rsid w:val="00C33AA2"/>
    <w:rsid w:val="00C33B04"/>
    <w:rsid w:val="00C33B35"/>
    <w:rsid w:val="00C33B55"/>
    <w:rsid w:val="00C33BC1"/>
    <w:rsid w:val="00C33BCC"/>
    <w:rsid w:val="00C33EFC"/>
    <w:rsid w:val="00C33F54"/>
    <w:rsid w:val="00C34097"/>
    <w:rsid w:val="00C34116"/>
    <w:rsid w:val="00C34236"/>
    <w:rsid w:val="00C342F1"/>
    <w:rsid w:val="00C343F4"/>
    <w:rsid w:val="00C344CF"/>
    <w:rsid w:val="00C344E6"/>
    <w:rsid w:val="00C34690"/>
    <w:rsid w:val="00C34871"/>
    <w:rsid w:val="00C3495F"/>
    <w:rsid w:val="00C34B31"/>
    <w:rsid w:val="00C34BB8"/>
    <w:rsid w:val="00C34DEE"/>
    <w:rsid w:val="00C35006"/>
    <w:rsid w:val="00C35108"/>
    <w:rsid w:val="00C3543B"/>
    <w:rsid w:val="00C356B3"/>
    <w:rsid w:val="00C356F6"/>
    <w:rsid w:val="00C35834"/>
    <w:rsid w:val="00C35858"/>
    <w:rsid w:val="00C35879"/>
    <w:rsid w:val="00C358D6"/>
    <w:rsid w:val="00C358E3"/>
    <w:rsid w:val="00C35995"/>
    <w:rsid w:val="00C359A6"/>
    <w:rsid w:val="00C35B03"/>
    <w:rsid w:val="00C35B0F"/>
    <w:rsid w:val="00C35CCE"/>
    <w:rsid w:val="00C35CEF"/>
    <w:rsid w:val="00C35D4E"/>
    <w:rsid w:val="00C35F45"/>
    <w:rsid w:val="00C35FF0"/>
    <w:rsid w:val="00C3607E"/>
    <w:rsid w:val="00C36159"/>
    <w:rsid w:val="00C361F0"/>
    <w:rsid w:val="00C362CC"/>
    <w:rsid w:val="00C3638F"/>
    <w:rsid w:val="00C363A3"/>
    <w:rsid w:val="00C36568"/>
    <w:rsid w:val="00C365E4"/>
    <w:rsid w:val="00C3672C"/>
    <w:rsid w:val="00C36760"/>
    <w:rsid w:val="00C368B4"/>
    <w:rsid w:val="00C36C5E"/>
    <w:rsid w:val="00C36D10"/>
    <w:rsid w:val="00C36DCD"/>
    <w:rsid w:val="00C36E22"/>
    <w:rsid w:val="00C36E5B"/>
    <w:rsid w:val="00C37071"/>
    <w:rsid w:val="00C37158"/>
    <w:rsid w:val="00C371FE"/>
    <w:rsid w:val="00C3721C"/>
    <w:rsid w:val="00C3726F"/>
    <w:rsid w:val="00C3730F"/>
    <w:rsid w:val="00C37455"/>
    <w:rsid w:val="00C374AB"/>
    <w:rsid w:val="00C37714"/>
    <w:rsid w:val="00C3781E"/>
    <w:rsid w:val="00C37875"/>
    <w:rsid w:val="00C3794B"/>
    <w:rsid w:val="00C37A4F"/>
    <w:rsid w:val="00C37A98"/>
    <w:rsid w:val="00C37ABC"/>
    <w:rsid w:val="00C37ADA"/>
    <w:rsid w:val="00C37B18"/>
    <w:rsid w:val="00C37BB5"/>
    <w:rsid w:val="00C37C1C"/>
    <w:rsid w:val="00C37C6C"/>
    <w:rsid w:val="00C37EB0"/>
    <w:rsid w:val="00C37F0A"/>
    <w:rsid w:val="00C37F0B"/>
    <w:rsid w:val="00C37F2B"/>
    <w:rsid w:val="00C40098"/>
    <w:rsid w:val="00C400AA"/>
    <w:rsid w:val="00C400AB"/>
    <w:rsid w:val="00C400BE"/>
    <w:rsid w:val="00C40229"/>
    <w:rsid w:val="00C402C3"/>
    <w:rsid w:val="00C4062E"/>
    <w:rsid w:val="00C4065D"/>
    <w:rsid w:val="00C4078F"/>
    <w:rsid w:val="00C407C3"/>
    <w:rsid w:val="00C40882"/>
    <w:rsid w:val="00C408E0"/>
    <w:rsid w:val="00C4092A"/>
    <w:rsid w:val="00C40932"/>
    <w:rsid w:val="00C40A36"/>
    <w:rsid w:val="00C40AAD"/>
    <w:rsid w:val="00C40CA8"/>
    <w:rsid w:val="00C40CD9"/>
    <w:rsid w:val="00C40D18"/>
    <w:rsid w:val="00C40DAD"/>
    <w:rsid w:val="00C40E7B"/>
    <w:rsid w:val="00C40ED0"/>
    <w:rsid w:val="00C40F6E"/>
    <w:rsid w:val="00C40F9C"/>
    <w:rsid w:val="00C40FD7"/>
    <w:rsid w:val="00C41015"/>
    <w:rsid w:val="00C410B9"/>
    <w:rsid w:val="00C41102"/>
    <w:rsid w:val="00C41167"/>
    <w:rsid w:val="00C411B5"/>
    <w:rsid w:val="00C41206"/>
    <w:rsid w:val="00C4122A"/>
    <w:rsid w:val="00C41268"/>
    <w:rsid w:val="00C4135E"/>
    <w:rsid w:val="00C414BD"/>
    <w:rsid w:val="00C4150A"/>
    <w:rsid w:val="00C4152E"/>
    <w:rsid w:val="00C41648"/>
    <w:rsid w:val="00C41652"/>
    <w:rsid w:val="00C4168C"/>
    <w:rsid w:val="00C416D1"/>
    <w:rsid w:val="00C4170F"/>
    <w:rsid w:val="00C4176D"/>
    <w:rsid w:val="00C41878"/>
    <w:rsid w:val="00C418A9"/>
    <w:rsid w:val="00C419A1"/>
    <w:rsid w:val="00C419B9"/>
    <w:rsid w:val="00C41ADB"/>
    <w:rsid w:val="00C41C34"/>
    <w:rsid w:val="00C41C4E"/>
    <w:rsid w:val="00C41CEC"/>
    <w:rsid w:val="00C41D28"/>
    <w:rsid w:val="00C41F3A"/>
    <w:rsid w:val="00C41FF9"/>
    <w:rsid w:val="00C42167"/>
    <w:rsid w:val="00C42233"/>
    <w:rsid w:val="00C4228A"/>
    <w:rsid w:val="00C422E3"/>
    <w:rsid w:val="00C423CD"/>
    <w:rsid w:val="00C42546"/>
    <w:rsid w:val="00C425D4"/>
    <w:rsid w:val="00C426C2"/>
    <w:rsid w:val="00C428DD"/>
    <w:rsid w:val="00C4291E"/>
    <w:rsid w:val="00C42A73"/>
    <w:rsid w:val="00C42B04"/>
    <w:rsid w:val="00C42C11"/>
    <w:rsid w:val="00C42CFC"/>
    <w:rsid w:val="00C42D3D"/>
    <w:rsid w:val="00C42D92"/>
    <w:rsid w:val="00C42E14"/>
    <w:rsid w:val="00C42E68"/>
    <w:rsid w:val="00C43004"/>
    <w:rsid w:val="00C4300C"/>
    <w:rsid w:val="00C4308E"/>
    <w:rsid w:val="00C430EE"/>
    <w:rsid w:val="00C43100"/>
    <w:rsid w:val="00C43149"/>
    <w:rsid w:val="00C4320C"/>
    <w:rsid w:val="00C4325E"/>
    <w:rsid w:val="00C432B7"/>
    <w:rsid w:val="00C43335"/>
    <w:rsid w:val="00C43394"/>
    <w:rsid w:val="00C43429"/>
    <w:rsid w:val="00C4349F"/>
    <w:rsid w:val="00C43555"/>
    <w:rsid w:val="00C436EC"/>
    <w:rsid w:val="00C437FB"/>
    <w:rsid w:val="00C439FD"/>
    <w:rsid w:val="00C43A64"/>
    <w:rsid w:val="00C43B66"/>
    <w:rsid w:val="00C43B9A"/>
    <w:rsid w:val="00C43CFC"/>
    <w:rsid w:val="00C43D6D"/>
    <w:rsid w:val="00C441D1"/>
    <w:rsid w:val="00C441ED"/>
    <w:rsid w:val="00C44282"/>
    <w:rsid w:val="00C442A7"/>
    <w:rsid w:val="00C444E1"/>
    <w:rsid w:val="00C444F6"/>
    <w:rsid w:val="00C445A4"/>
    <w:rsid w:val="00C445C7"/>
    <w:rsid w:val="00C445D2"/>
    <w:rsid w:val="00C447B8"/>
    <w:rsid w:val="00C447DA"/>
    <w:rsid w:val="00C4492A"/>
    <w:rsid w:val="00C44931"/>
    <w:rsid w:val="00C449D2"/>
    <w:rsid w:val="00C44C8E"/>
    <w:rsid w:val="00C44DA0"/>
    <w:rsid w:val="00C45047"/>
    <w:rsid w:val="00C45082"/>
    <w:rsid w:val="00C451D5"/>
    <w:rsid w:val="00C45286"/>
    <w:rsid w:val="00C452C3"/>
    <w:rsid w:val="00C45309"/>
    <w:rsid w:val="00C455AE"/>
    <w:rsid w:val="00C45737"/>
    <w:rsid w:val="00C45742"/>
    <w:rsid w:val="00C45792"/>
    <w:rsid w:val="00C4583A"/>
    <w:rsid w:val="00C459D1"/>
    <w:rsid w:val="00C45A91"/>
    <w:rsid w:val="00C45A9E"/>
    <w:rsid w:val="00C45B04"/>
    <w:rsid w:val="00C45B85"/>
    <w:rsid w:val="00C45BCE"/>
    <w:rsid w:val="00C45CED"/>
    <w:rsid w:val="00C45D19"/>
    <w:rsid w:val="00C45E55"/>
    <w:rsid w:val="00C45FAF"/>
    <w:rsid w:val="00C46030"/>
    <w:rsid w:val="00C461B0"/>
    <w:rsid w:val="00C4622D"/>
    <w:rsid w:val="00C4625A"/>
    <w:rsid w:val="00C4648F"/>
    <w:rsid w:val="00C466F3"/>
    <w:rsid w:val="00C46885"/>
    <w:rsid w:val="00C46A04"/>
    <w:rsid w:val="00C46EBF"/>
    <w:rsid w:val="00C4703C"/>
    <w:rsid w:val="00C4713F"/>
    <w:rsid w:val="00C4716C"/>
    <w:rsid w:val="00C471D8"/>
    <w:rsid w:val="00C47463"/>
    <w:rsid w:val="00C474F9"/>
    <w:rsid w:val="00C47564"/>
    <w:rsid w:val="00C47687"/>
    <w:rsid w:val="00C477CA"/>
    <w:rsid w:val="00C47851"/>
    <w:rsid w:val="00C47871"/>
    <w:rsid w:val="00C47884"/>
    <w:rsid w:val="00C478C0"/>
    <w:rsid w:val="00C47937"/>
    <w:rsid w:val="00C479BF"/>
    <w:rsid w:val="00C47AF0"/>
    <w:rsid w:val="00C47B09"/>
    <w:rsid w:val="00C47B40"/>
    <w:rsid w:val="00C47BE0"/>
    <w:rsid w:val="00C47C34"/>
    <w:rsid w:val="00C47CEE"/>
    <w:rsid w:val="00C47CFC"/>
    <w:rsid w:val="00C47F7F"/>
    <w:rsid w:val="00C4FBBB"/>
    <w:rsid w:val="00C5004C"/>
    <w:rsid w:val="00C500DD"/>
    <w:rsid w:val="00C50164"/>
    <w:rsid w:val="00C503B5"/>
    <w:rsid w:val="00C503FE"/>
    <w:rsid w:val="00C504EC"/>
    <w:rsid w:val="00C5051A"/>
    <w:rsid w:val="00C5051C"/>
    <w:rsid w:val="00C505AC"/>
    <w:rsid w:val="00C505D3"/>
    <w:rsid w:val="00C50667"/>
    <w:rsid w:val="00C5066B"/>
    <w:rsid w:val="00C506D6"/>
    <w:rsid w:val="00C507A8"/>
    <w:rsid w:val="00C50815"/>
    <w:rsid w:val="00C508AE"/>
    <w:rsid w:val="00C508D0"/>
    <w:rsid w:val="00C50A09"/>
    <w:rsid w:val="00C50CBB"/>
    <w:rsid w:val="00C50D1A"/>
    <w:rsid w:val="00C50E94"/>
    <w:rsid w:val="00C50F0C"/>
    <w:rsid w:val="00C50F86"/>
    <w:rsid w:val="00C50F8C"/>
    <w:rsid w:val="00C51027"/>
    <w:rsid w:val="00C512AF"/>
    <w:rsid w:val="00C51320"/>
    <w:rsid w:val="00C5137A"/>
    <w:rsid w:val="00C51387"/>
    <w:rsid w:val="00C513A0"/>
    <w:rsid w:val="00C51406"/>
    <w:rsid w:val="00C5158A"/>
    <w:rsid w:val="00C515E1"/>
    <w:rsid w:val="00C5170A"/>
    <w:rsid w:val="00C51797"/>
    <w:rsid w:val="00C5185C"/>
    <w:rsid w:val="00C51884"/>
    <w:rsid w:val="00C51900"/>
    <w:rsid w:val="00C519F8"/>
    <w:rsid w:val="00C51A08"/>
    <w:rsid w:val="00C51A58"/>
    <w:rsid w:val="00C51A82"/>
    <w:rsid w:val="00C5216B"/>
    <w:rsid w:val="00C521DD"/>
    <w:rsid w:val="00C52243"/>
    <w:rsid w:val="00C522F0"/>
    <w:rsid w:val="00C5268A"/>
    <w:rsid w:val="00C526D2"/>
    <w:rsid w:val="00C52725"/>
    <w:rsid w:val="00C527B8"/>
    <w:rsid w:val="00C52CB4"/>
    <w:rsid w:val="00C52E6A"/>
    <w:rsid w:val="00C52E9C"/>
    <w:rsid w:val="00C52EBA"/>
    <w:rsid w:val="00C52F35"/>
    <w:rsid w:val="00C53199"/>
    <w:rsid w:val="00C531B5"/>
    <w:rsid w:val="00C531DC"/>
    <w:rsid w:val="00C532E8"/>
    <w:rsid w:val="00C53335"/>
    <w:rsid w:val="00C5335F"/>
    <w:rsid w:val="00C533E2"/>
    <w:rsid w:val="00C5344C"/>
    <w:rsid w:val="00C534C8"/>
    <w:rsid w:val="00C53697"/>
    <w:rsid w:val="00C536A8"/>
    <w:rsid w:val="00C53814"/>
    <w:rsid w:val="00C53818"/>
    <w:rsid w:val="00C5384C"/>
    <w:rsid w:val="00C53854"/>
    <w:rsid w:val="00C53893"/>
    <w:rsid w:val="00C538BA"/>
    <w:rsid w:val="00C539BE"/>
    <w:rsid w:val="00C539F3"/>
    <w:rsid w:val="00C53B00"/>
    <w:rsid w:val="00C53B79"/>
    <w:rsid w:val="00C53B8D"/>
    <w:rsid w:val="00C53BBC"/>
    <w:rsid w:val="00C53C61"/>
    <w:rsid w:val="00C53CD2"/>
    <w:rsid w:val="00C53DE2"/>
    <w:rsid w:val="00C53E8F"/>
    <w:rsid w:val="00C53EB6"/>
    <w:rsid w:val="00C53FAF"/>
    <w:rsid w:val="00C54182"/>
    <w:rsid w:val="00C543A2"/>
    <w:rsid w:val="00C543FD"/>
    <w:rsid w:val="00C545CF"/>
    <w:rsid w:val="00C548F9"/>
    <w:rsid w:val="00C54A02"/>
    <w:rsid w:val="00C54B36"/>
    <w:rsid w:val="00C54BC6"/>
    <w:rsid w:val="00C54E07"/>
    <w:rsid w:val="00C54F04"/>
    <w:rsid w:val="00C5510B"/>
    <w:rsid w:val="00C55135"/>
    <w:rsid w:val="00C5524A"/>
    <w:rsid w:val="00C552D2"/>
    <w:rsid w:val="00C55608"/>
    <w:rsid w:val="00C5560D"/>
    <w:rsid w:val="00C55660"/>
    <w:rsid w:val="00C55715"/>
    <w:rsid w:val="00C5575B"/>
    <w:rsid w:val="00C55764"/>
    <w:rsid w:val="00C55823"/>
    <w:rsid w:val="00C5593C"/>
    <w:rsid w:val="00C55B30"/>
    <w:rsid w:val="00C55B56"/>
    <w:rsid w:val="00C55C06"/>
    <w:rsid w:val="00C55C12"/>
    <w:rsid w:val="00C55CBE"/>
    <w:rsid w:val="00C55CCA"/>
    <w:rsid w:val="00C55CF5"/>
    <w:rsid w:val="00C55D8F"/>
    <w:rsid w:val="00C55D9D"/>
    <w:rsid w:val="00C55E04"/>
    <w:rsid w:val="00C55E24"/>
    <w:rsid w:val="00C55E6C"/>
    <w:rsid w:val="00C55F00"/>
    <w:rsid w:val="00C55F35"/>
    <w:rsid w:val="00C55F81"/>
    <w:rsid w:val="00C56070"/>
    <w:rsid w:val="00C56276"/>
    <w:rsid w:val="00C563CC"/>
    <w:rsid w:val="00C56512"/>
    <w:rsid w:val="00C5659C"/>
    <w:rsid w:val="00C5673C"/>
    <w:rsid w:val="00C5674E"/>
    <w:rsid w:val="00C567F7"/>
    <w:rsid w:val="00C56913"/>
    <w:rsid w:val="00C56A4D"/>
    <w:rsid w:val="00C56BA5"/>
    <w:rsid w:val="00C56BEA"/>
    <w:rsid w:val="00C56BF5"/>
    <w:rsid w:val="00C56CBE"/>
    <w:rsid w:val="00C56DF9"/>
    <w:rsid w:val="00C56E6A"/>
    <w:rsid w:val="00C56FA9"/>
    <w:rsid w:val="00C56FE3"/>
    <w:rsid w:val="00C57004"/>
    <w:rsid w:val="00C5716A"/>
    <w:rsid w:val="00C572B9"/>
    <w:rsid w:val="00C572C8"/>
    <w:rsid w:val="00C57679"/>
    <w:rsid w:val="00C5772C"/>
    <w:rsid w:val="00C57771"/>
    <w:rsid w:val="00C578BC"/>
    <w:rsid w:val="00C578F0"/>
    <w:rsid w:val="00C578FE"/>
    <w:rsid w:val="00C578FF"/>
    <w:rsid w:val="00C57965"/>
    <w:rsid w:val="00C57C49"/>
    <w:rsid w:val="00C57C7F"/>
    <w:rsid w:val="00C57E03"/>
    <w:rsid w:val="00C57E12"/>
    <w:rsid w:val="00C57E21"/>
    <w:rsid w:val="00C57E51"/>
    <w:rsid w:val="00C57E93"/>
    <w:rsid w:val="00C57FBE"/>
    <w:rsid w:val="00C60079"/>
    <w:rsid w:val="00C601C1"/>
    <w:rsid w:val="00C601E4"/>
    <w:rsid w:val="00C60221"/>
    <w:rsid w:val="00C602C1"/>
    <w:rsid w:val="00C60328"/>
    <w:rsid w:val="00C603C6"/>
    <w:rsid w:val="00C60450"/>
    <w:rsid w:val="00C604EB"/>
    <w:rsid w:val="00C60563"/>
    <w:rsid w:val="00C6061C"/>
    <w:rsid w:val="00C60848"/>
    <w:rsid w:val="00C608C4"/>
    <w:rsid w:val="00C6090D"/>
    <w:rsid w:val="00C60960"/>
    <w:rsid w:val="00C609D8"/>
    <w:rsid w:val="00C60A8A"/>
    <w:rsid w:val="00C60BDB"/>
    <w:rsid w:val="00C60BF6"/>
    <w:rsid w:val="00C60DA9"/>
    <w:rsid w:val="00C60EF5"/>
    <w:rsid w:val="00C6107C"/>
    <w:rsid w:val="00C610D0"/>
    <w:rsid w:val="00C61144"/>
    <w:rsid w:val="00C613D2"/>
    <w:rsid w:val="00C61643"/>
    <w:rsid w:val="00C61695"/>
    <w:rsid w:val="00C6177E"/>
    <w:rsid w:val="00C618EC"/>
    <w:rsid w:val="00C61A03"/>
    <w:rsid w:val="00C61A07"/>
    <w:rsid w:val="00C61A7D"/>
    <w:rsid w:val="00C61C12"/>
    <w:rsid w:val="00C61C38"/>
    <w:rsid w:val="00C61D6A"/>
    <w:rsid w:val="00C61D96"/>
    <w:rsid w:val="00C61E7A"/>
    <w:rsid w:val="00C61F60"/>
    <w:rsid w:val="00C61FD8"/>
    <w:rsid w:val="00C62045"/>
    <w:rsid w:val="00C6216A"/>
    <w:rsid w:val="00C6217D"/>
    <w:rsid w:val="00C6234C"/>
    <w:rsid w:val="00C62372"/>
    <w:rsid w:val="00C62450"/>
    <w:rsid w:val="00C62487"/>
    <w:rsid w:val="00C62516"/>
    <w:rsid w:val="00C6255A"/>
    <w:rsid w:val="00C6256F"/>
    <w:rsid w:val="00C62711"/>
    <w:rsid w:val="00C62807"/>
    <w:rsid w:val="00C628A5"/>
    <w:rsid w:val="00C62A5B"/>
    <w:rsid w:val="00C62C56"/>
    <w:rsid w:val="00C62D88"/>
    <w:rsid w:val="00C62E3D"/>
    <w:rsid w:val="00C62EE1"/>
    <w:rsid w:val="00C63063"/>
    <w:rsid w:val="00C6306F"/>
    <w:rsid w:val="00C63155"/>
    <w:rsid w:val="00C631B4"/>
    <w:rsid w:val="00C6323D"/>
    <w:rsid w:val="00C63361"/>
    <w:rsid w:val="00C6347E"/>
    <w:rsid w:val="00C63572"/>
    <w:rsid w:val="00C63727"/>
    <w:rsid w:val="00C6375C"/>
    <w:rsid w:val="00C63795"/>
    <w:rsid w:val="00C63978"/>
    <w:rsid w:val="00C63A45"/>
    <w:rsid w:val="00C63B99"/>
    <w:rsid w:val="00C63BB0"/>
    <w:rsid w:val="00C63BB6"/>
    <w:rsid w:val="00C63BF5"/>
    <w:rsid w:val="00C63C4D"/>
    <w:rsid w:val="00C63C5A"/>
    <w:rsid w:val="00C63CA7"/>
    <w:rsid w:val="00C63DBC"/>
    <w:rsid w:val="00C63DC4"/>
    <w:rsid w:val="00C63E87"/>
    <w:rsid w:val="00C63F94"/>
    <w:rsid w:val="00C64128"/>
    <w:rsid w:val="00C64150"/>
    <w:rsid w:val="00C64225"/>
    <w:rsid w:val="00C64397"/>
    <w:rsid w:val="00C6445C"/>
    <w:rsid w:val="00C645AE"/>
    <w:rsid w:val="00C6463A"/>
    <w:rsid w:val="00C646B0"/>
    <w:rsid w:val="00C6477C"/>
    <w:rsid w:val="00C647F7"/>
    <w:rsid w:val="00C64885"/>
    <w:rsid w:val="00C64947"/>
    <w:rsid w:val="00C64BA1"/>
    <w:rsid w:val="00C64C8A"/>
    <w:rsid w:val="00C64E00"/>
    <w:rsid w:val="00C64E24"/>
    <w:rsid w:val="00C64F19"/>
    <w:rsid w:val="00C64F31"/>
    <w:rsid w:val="00C65270"/>
    <w:rsid w:val="00C652B2"/>
    <w:rsid w:val="00C652F2"/>
    <w:rsid w:val="00C6538F"/>
    <w:rsid w:val="00C653C0"/>
    <w:rsid w:val="00C6549E"/>
    <w:rsid w:val="00C654AA"/>
    <w:rsid w:val="00C65568"/>
    <w:rsid w:val="00C6576B"/>
    <w:rsid w:val="00C657EB"/>
    <w:rsid w:val="00C658C8"/>
    <w:rsid w:val="00C65933"/>
    <w:rsid w:val="00C65BF7"/>
    <w:rsid w:val="00C65C46"/>
    <w:rsid w:val="00C65CE4"/>
    <w:rsid w:val="00C65D0B"/>
    <w:rsid w:val="00C65E32"/>
    <w:rsid w:val="00C65E5C"/>
    <w:rsid w:val="00C65E8B"/>
    <w:rsid w:val="00C65ED5"/>
    <w:rsid w:val="00C65F74"/>
    <w:rsid w:val="00C6613B"/>
    <w:rsid w:val="00C661DE"/>
    <w:rsid w:val="00C662F6"/>
    <w:rsid w:val="00C66615"/>
    <w:rsid w:val="00C6671F"/>
    <w:rsid w:val="00C669D6"/>
    <w:rsid w:val="00C66ADD"/>
    <w:rsid w:val="00C66C14"/>
    <w:rsid w:val="00C66CAB"/>
    <w:rsid w:val="00C66DDF"/>
    <w:rsid w:val="00C66E0B"/>
    <w:rsid w:val="00C66E42"/>
    <w:rsid w:val="00C66EB3"/>
    <w:rsid w:val="00C66F3D"/>
    <w:rsid w:val="00C66F6E"/>
    <w:rsid w:val="00C67643"/>
    <w:rsid w:val="00C676BD"/>
    <w:rsid w:val="00C67740"/>
    <w:rsid w:val="00C6775B"/>
    <w:rsid w:val="00C677AC"/>
    <w:rsid w:val="00C677FE"/>
    <w:rsid w:val="00C6794C"/>
    <w:rsid w:val="00C679EE"/>
    <w:rsid w:val="00C67A3F"/>
    <w:rsid w:val="00C67AF7"/>
    <w:rsid w:val="00C67B57"/>
    <w:rsid w:val="00C67C5E"/>
    <w:rsid w:val="00C67D3B"/>
    <w:rsid w:val="00C67E07"/>
    <w:rsid w:val="00C7013B"/>
    <w:rsid w:val="00C7018C"/>
    <w:rsid w:val="00C70194"/>
    <w:rsid w:val="00C70501"/>
    <w:rsid w:val="00C705CD"/>
    <w:rsid w:val="00C707C2"/>
    <w:rsid w:val="00C707FB"/>
    <w:rsid w:val="00C7080C"/>
    <w:rsid w:val="00C70827"/>
    <w:rsid w:val="00C7086B"/>
    <w:rsid w:val="00C70A63"/>
    <w:rsid w:val="00C70AF2"/>
    <w:rsid w:val="00C70B86"/>
    <w:rsid w:val="00C70D36"/>
    <w:rsid w:val="00C70D4E"/>
    <w:rsid w:val="00C70D68"/>
    <w:rsid w:val="00C70DD6"/>
    <w:rsid w:val="00C70F19"/>
    <w:rsid w:val="00C71067"/>
    <w:rsid w:val="00C710E5"/>
    <w:rsid w:val="00C71272"/>
    <w:rsid w:val="00C712BA"/>
    <w:rsid w:val="00C713BF"/>
    <w:rsid w:val="00C7141C"/>
    <w:rsid w:val="00C7142B"/>
    <w:rsid w:val="00C71651"/>
    <w:rsid w:val="00C716B0"/>
    <w:rsid w:val="00C71895"/>
    <w:rsid w:val="00C7190F"/>
    <w:rsid w:val="00C719BD"/>
    <w:rsid w:val="00C71B0C"/>
    <w:rsid w:val="00C71B12"/>
    <w:rsid w:val="00C71BEE"/>
    <w:rsid w:val="00C71C94"/>
    <w:rsid w:val="00C71D43"/>
    <w:rsid w:val="00C71DAF"/>
    <w:rsid w:val="00C71EEC"/>
    <w:rsid w:val="00C71FF3"/>
    <w:rsid w:val="00C72011"/>
    <w:rsid w:val="00C72023"/>
    <w:rsid w:val="00C720A4"/>
    <w:rsid w:val="00C7240F"/>
    <w:rsid w:val="00C724A3"/>
    <w:rsid w:val="00C72518"/>
    <w:rsid w:val="00C72606"/>
    <w:rsid w:val="00C7286B"/>
    <w:rsid w:val="00C728FB"/>
    <w:rsid w:val="00C72A16"/>
    <w:rsid w:val="00C72AF5"/>
    <w:rsid w:val="00C72D08"/>
    <w:rsid w:val="00C7302C"/>
    <w:rsid w:val="00C73060"/>
    <w:rsid w:val="00C73100"/>
    <w:rsid w:val="00C731EE"/>
    <w:rsid w:val="00C731F2"/>
    <w:rsid w:val="00C732E0"/>
    <w:rsid w:val="00C7341E"/>
    <w:rsid w:val="00C734CB"/>
    <w:rsid w:val="00C7355C"/>
    <w:rsid w:val="00C7364B"/>
    <w:rsid w:val="00C7368D"/>
    <w:rsid w:val="00C736CB"/>
    <w:rsid w:val="00C736EF"/>
    <w:rsid w:val="00C73828"/>
    <w:rsid w:val="00C73887"/>
    <w:rsid w:val="00C7394D"/>
    <w:rsid w:val="00C73A4D"/>
    <w:rsid w:val="00C73A76"/>
    <w:rsid w:val="00C73A8A"/>
    <w:rsid w:val="00C73CB3"/>
    <w:rsid w:val="00C73CB4"/>
    <w:rsid w:val="00C73CBE"/>
    <w:rsid w:val="00C73EA9"/>
    <w:rsid w:val="00C73EB6"/>
    <w:rsid w:val="00C74035"/>
    <w:rsid w:val="00C74092"/>
    <w:rsid w:val="00C7409E"/>
    <w:rsid w:val="00C740A3"/>
    <w:rsid w:val="00C741A3"/>
    <w:rsid w:val="00C741C5"/>
    <w:rsid w:val="00C744D4"/>
    <w:rsid w:val="00C74516"/>
    <w:rsid w:val="00C7464F"/>
    <w:rsid w:val="00C746D1"/>
    <w:rsid w:val="00C747B1"/>
    <w:rsid w:val="00C747BE"/>
    <w:rsid w:val="00C749B4"/>
    <w:rsid w:val="00C749E3"/>
    <w:rsid w:val="00C74B73"/>
    <w:rsid w:val="00C74D0A"/>
    <w:rsid w:val="00C74D42"/>
    <w:rsid w:val="00C74E19"/>
    <w:rsid w:val="00C74E54"/>
    <w:rsid w:val="00C74E6F"/>
    <w:rsid w:val="00C74E90"/>
    <w:rsid w:val="00C74F6F"/>
    <w:rsid w:val="00C74FEF"/>
    <w:rsid w:val="00C750B6"/>
    <w:rsid w:val="00C750C2"/>
    <w:rsid w:val="00C75196"/>
    <w:rsid w:val="00C75238"/>
    <w:rsid w:val="00C7528B"/>
    <w:rsid w:val="00C75315"/>
    <w:rsid w:val="00C7549B"/>
    <w:rsid w:val="00C75533"/>
    <w:rsid w:val="00C75874"/>
    <w:rsid w:val="00C7588F"/>
    <w:rsid w:val="00C758E3"/>
    <w:rsid w:val="00C759A0"/>
    <w:rsid w:val="00C75A3A"/>
    <w:rsid w:val="00C75A7A"/>
    <w:rsid w:val="00C75B1A"/>
    <w:rsid w:val="00C75B8B"/>
    <w:rsid w:val="00C75C0A"/>
    <w:rsid w:val="00C75C12"/>
    <w:rsid w:val="00C75E6D"/>
    <w:rsid w:val="00C75EBA"/>
    <w:rsid w:val="00C7606C"/>
    <w:rsid w:val="00C7618A"/>
    <w:rsid w:val="00C762D9"/>
    <w:rsid w:val="00C7630D"/>
    <w:rsid w:val="00C7634E"/>
    <w:rsid w:val="00C763F6"/>
    <w:rsid w:val="00C76423"/>
    <w:rsid w:val="00C7657E"/>
    <w:rsid w:val="00C765EF"/>
    <w:rsid w:val="00C7668B"/>
    <w:rsid w:val="00C7678F"/>
    <w:rsid w:val="00C76831"/>
    <w:rsid w:val="00C76862"/>
    <w:rsid w:val="00C768D4"/>
    <w:rsid w:val="00C7691C"/>
    <w:rsid w:val="00C7698B"/>
    <w:rsid w:val="00C76AE1"/>
    <w:rsid w:val="00C76B64"/>
    <w:rsid w:val="00C76C0A"/>
    <w:rsid w:val="00C76C0E"/>
    <w:rsid w:val="00C76CBB"/>
    <w:rsid w:val="00C76D16"/>
    <w:rsid w:val="00C76D57"/>
    <w:rsid w:val="00C76E47"/>
    <w:rsid w:val="00C76F2F"/>
    <w:rsid w:val="00C76F9F"/>
    <w:rsid w:val="00C77225"/>
    <w:rsid w:val="00C77419"/>
    <w:rsid w:val="00C77481"/>
    <w:rsid w:val="00C77529"/>
    <w:rsid w:val="00C77561"/>
    <w:rsid w:val="00C77635"/>
    <w:rsid w:val="00C7784A"/>
    <w:rsid w:val="00C77A01"/>
    <w:rsid w:val="00C77B23"/>
    <w:rsid w:val="00C77BBE"/>
    <w:rsid w:val="00C77C2B"/>
    <w:rsid w:val="00C77D87"/>
    <w:rsid w:val="00C77D92"/>
    <w:rsid w:val="00C77ECB"/>
    <w:rsid w:val="00C77EE4"/>
    <w:rsid w:val="00C77F20"/>
    <w:rsid w:val="00C77F2D"/>
    <w:rsid w:val="00C77FFD"/>
    <w:rsid w:val="00C8011A"/>
    <w:rsid w:val="00C801BF"/>
    <w:rsid w:val="00C8022D"/>
    <w:rsid w:val="00C802A6"/>
    <w:rsid w:val="00C806B8"/>
    <w:rsid w:val="00C80A0A"/>
    <w:rsid w:val="00C80A0D"/>
    <w:rsid w:val="00C80BD9"/>
    <w:rsid w:val="00C80BEC"/>
    <w:rsid w:val="00C80E4D"/>
    <w:rsid w:val="00C80FCA"/>
    <w:rsid w:val="00C8109E"/>
    <w:rsid w:val="00C81206"/>
    <w:rsid w:val="00C812D3"/>
    <w:rsid w:val="00C8131C"/>
    <w:rsid w:val="00C813C0"/>
    <w:rsid w:val="00C8165D"/>
    <w:rsid w:val="00C81785"/>
    <w:rsid w:val="00C8184C"/>
    <w:rsid w:val="00C81A5A"/>
    <w:rsid w:val="00C81A5C"/>
    <w:rsid w:val="00C81B4A"/>
    <w:rsid w:val="00C81B9D"/>
    <w:rsid w:val="00C81C03"/>
    <w:rsid w:val="00C81CBA"/>
    <w:rsid w:val="00C81DE8"/>
    <w:rsid w:val="00C8200F"/>
    <w:rsid w:val="00C82108"/>
    <w:rsid w:val="00C8215D"/>
    <w:rsid w:val="00C8227D"/>
    <w:rsid w:val="00C82404"/>
    <w:rsid w:val="00C82447"/>
    <w:rsid w:val="00C825B2"/>
    <w:rsid w:val="00C825D6"/>
    <w:rsid w:val="00C8260A"/>
    <w:rsid w:val="00C82769"/>
    <w:rsid w:val="00C827F8"/>
    <w:rsid w:val="00C82877"/>
    <w:rsid w:val="00C82B02"/>
    <w:rsid w:val="00C82B4C"/>
    <w:rsid w:val="00C82C58"/>
    <w:rsid w:val="00C82CD5"/>
    <w:rsid w:val="00C82DC3"/>
    <w:rsid w:val="00C82DF7"/>
    <w:rsid w:val="00C82E53"/>
    <w:rsid w:val="00C8314B"/>
    <w:rsid w:val="00C8319C"/>
    <w:rsid w:val="00C8328B"/>
    <w:rsid w:val="00C83335"/>
    <w:rsid w:val="00C835FD"/>
    <w:rsid w:val="00C83613"/>
    <w:rsid w:val="00C8362A"/>
    <w:rsid w:val="00C83632"/>
    <w:rsid w:val="00C83662"/>
    <w:rsid w:val="00C836AE"/>
    <w:rsid w:val="00C83854"/>
    <w:rsid w:val="00C839C1"/>
    <w:rsid w:val="00C83A38"/>
    <w:rsid w:val="00C83AA4"/>
    <w:rsid w:val="00C83B1C"/>
    <w:rsid w:val="00C83CE0"/>
    <w:rsid w:val="00C83D5D"/>
    <w:rsid w:val="00C83D7E"/>
    <w:rsid w:val="00C83DE0"/>
    <w:rsid w:val="00C83E07"/>
    <w:rsid w:val="00C83ECD"/>
    <w:rsid w:val="00C83EEB"/>
    <w:rsid w:val="00C83F9E"/>
    <w:rsid w:val="00C841EF"/>
    <w:rsid w:val="00C8424A"/>
    <w:rsid w:val="00C84339"/>
    <w:rsid w:val="00C8436B"/>
    <w:rsid w:val="00C84402"/>
    <w:rsid w:val="00C8441A"/>
    <w:rsid w:val="00C8442C"/>
    <w:rsid w:val="00C844B8"/>
    <w:rsid w:val="00C845FF"/>
    <w:rsid w:val="00C8462F"/>
    <w:rsid w:val="00C84755"/>
    <w:rsid w:val="00C84947"/>
    <w:rsid w:val="00C8498C"/>
    <w:rsid w:val="00C849B0"/>
    <w:rsid w:val="00C849F1"/>
    <w:rsid w:val="00C84AA4"/>
    <w:rsid w:val="00C84AAE"/>
    <w:rsid w:val="00C84CF5"/>
    <w:rsid w:val="00C84D2E"/>
    <w:rsid w:val="00C84D6D"/>
    <w:rsid w:val="00C84DC1"/>
    <w:rsid w:val="00C84DC4"/>
    <w:rsid w:val="00C84E5B"/>
    <w:rsid w:val="00C84EE5"/>
    <w:rsid w:val="00C84FC8"/>
    <w:rsid w:val="00C85064"/>
    <w:rsid w:val="00C850F7"/>
    <w:rsid w:val="00C85122"/>
    <w:rsid w:val="00C85166"/>
    <w:rsid w:val="00C85228"/>
    <w:rsid w:val="00C85261"/>
    <w:rsid w:val="00C852C6"/>
    <w:rsid w:val="00C85309"/>
    <w:rsid w:val="00C853E2"/>
    <w:rsid w:val="00C8543F"/>
    <w:rsid w:val="00C854C0"/>
    <w:rsid w:val="00C854D2"/>
    <w:rsid w:val="00C8558C"/>
    <w:rsid w:val="00C855EF"/>
    <w:rsid w:val="00C8568E"/>
    <w:rsid w:val="00C856A9"/>
    <w:rsid w:val="00C85811"/>
    <w:rsid w:val="00C85897"/>
    <w:rsid w:val="00C85971"/>
    <w:rsid w:val="00C8598A"/>
    <w:rsid w:val="00C859A1"/>
    <w:rsid w:val="00C85BFA"/>
    <w:rsid w:val="00C85C6E"/>
    <w:rsid w:val="00C85DDF"/>
    <w:rsid w:val="00C85ED2"/>
    <w:rsid w:val="00C85EE0"/>
    <w:rsid w:val="00C85EF2"/>
    <w:rsid w:val="00C86072"/>
    <w:rsid w:val="00C86158"/>
    <w:rsid w:val="00C86283"/>
    <w:rsid w:val="00C86311"/>
    <w:rsid w:val="00C86324"/>
    <w:rsid w:val="00C865E6"/>
    <w:rsid w:val="00C8660B"/>
    <w:rsid w:val="00C8677E"/>
    <w:rsid w:val="00C867F8"/>
    <w:rsid w:val="00C868B2"/>
    <w:rsid w:val="00C86912"/>
    <w:rsid w:val="00C86B4D"/>
    <w:rsid w:val="00C86CBF"/>
    <w:rsid w:val="00C86E10"/>
    <w:rsid w:val="00C86E84"/>
    <w:rsid w:val="00C86EE1"/>
    <w:rsid w:val="00C86FD1"/>
    <w:rsid w:val="00C8708B"/>
    <w:rsid w:val="00C87102"/>
    <w:rsid w:val="00C871C8"/>
    <w:rsid w:val="00C873E2"/>
    <w:rsid w:val="00C8742E"/>
    <w:rsid w:val="00C874D5"/>
    <w:rsid w:val="00C87508"/>
    <w:rsid w:val="00C876B0"/>
    <w:rsid w:val="00C876F6"/>
    <w:rsid w:val="00C87771"/>
    <w:rsid w:val="00C87812"/>
    <w:rsid w:val="00C87A6E"/>
    <w:rsid w:val="00C87C5D"/>
    <w:rsid w:val="00C900F6"/>
    <w:rsid w:val="00C9022D"/>
    <w:rsid w:val="00C90241"/>
    <w:rsid w:val="00C90550"/>
    <w:rsid w:val="00C905A5"/>
    <w:rsid w:val="00C905C8"/>
    <w:rsid w:val="00C906CD"/>
    <w:rsid w:val="00C90752"/>
    <w:rsid w:val="00C9075F"/>
    <w:rsid w:val="00C90852"/>
    <w:rsid w:val="00C9087E"/>
    <w:rsid w:val="00C90881"/>
    <w:rsid w:val="00C908FB"/>
    <w:rsid w:val="00C90944"/>
    <w:rsid w:val="00C9098A"/>
    <w:rsid w:val="00C909F8"/>
    <w:rsid w:val="00C90A8C"/>
    <w:rsid w:val="00C90AD2"/>
    <w:rsid w:val="00C90BF5"/>
    <w:rsid w:val="00C90C70"/>
    <w:rsid w:val="00C90C9E"/>
    <w:rsid w:val="00C90C9F"/>
    <w:rsid w:val="00C90CB1"/>
    <w:rsid w:val="00C90F97"/>
    <w:rsid w:val="00C90F99"/>
    <w:rsid w:val="00C9112A"/>
    <w:rsid w:val="00C9115C"/>
    <w:rsid w:val="00C9119D"/>
    <w:rsid w:val="00C9121D"/>
    <w:rsid w:val="00C9162D"/>
    <w:rsid w:val="00C918ED"/>
    <w:rsid w:val="00C91A92"/>
    <w:rsid w:val="00C91B02"/>
    <w:rsid w:val="00C91B0A"/>
    <w:rsid w:val="00C91B10"/>
    <w:rsid w:val="00C91C83"/>
    <w:rsid w:val="00C91CE2"/>
    <w:rsid w:val="00C91D94"/>
    <w:rsid w:val="00C91E81"/>
    <w:rsid w:val="00C91EC6"/>
    <w:rsid w:val="00C91F5F"/>
    <w:rsid w:val="00C91FA1"/>
    <w:rsid w:val="00C91FA4"/>
    <w:rsid w:val="00C91FF2"/>
    <w:rsid w:val="00C9204E"/>
    <w:rsid w:val="00C920CA"/>
    <w:rsid w:val="00C92114"/>
    <w:rsid w:val="00C921CF"/>
    <w:rsid w:val="00C9220F"/>
    <w:rsid w:val="00C92264"/>
    <w:rsid w:val="00C922FC"/>
    <w:rsid w:val="00C92324"/>
    <w:rsid w:val="00C92452"/>
    <w:rsid w:val="00C9264A"/>
    <w:rsid w:val="00C92679"/>
    <w:rsid w:val="00C926A0"/>
    <w:rsid w:val="00C926D4"/>
    <w:rsid w:val="00C92719"/>
    <w:rsid w:val="00C9274A"/>
    <w:rsid w:val="00C92937"/>
    <w:rsid w:val="00C92AD3"/>
    <w:rsid w:val="00C92B2C"/>
    <w:rsid w:val="00C92E4A"/>
    <w:rsid w:val="00C92FD3"/>
    <w:rsid w:val="00C93112"/>
    <w:rsid w:val="00C933CD"/>
    <w:rsid w:val="00C93496"/>
    <w:rsid w:val="00C9352F"/>
    <w:rsid w:val="00C936F2"/>
    <w:rsid w:val="00C9372C"/>
    <w:rsid w:val="00C9376F"/>
    <w:rsid w:val="00C937BF"/>
    <w:rsid w:val="00C937D3"/>
    <w:rsid w:val="00C937E8"/>
    <w:rsid w:val="00C93853"/>
    <w:rsid w:val="00C93972"/>
    <w:rsid w:val="00C939D5"/>
    <w:rsid w:val="00C93AB6"/>
    <w:rsid w:val="00C93B7E"/>
    <w:rsid w:val="00C93BB4"/>
    <w:rsid w:val="00C93BBB"/>
    <w:rsid w:val="00C93C7F"/>
    <w:rsid w:val="00C93CA1"/>
    <w:rsid w:val="00C93E71"/>
    <w:rsid w:val="00C93E84"/>
    <w:rsid w:val="00C93FFB"/>
    <w:rsid w:val="00C94212"/>
    <w:rsid w:val="00C943CF"/>
    <w:rsid w:val="00C9441C"/>
    <w:rsid w:val="00C94442"/>
    <w:rsid w:val="00C9450C"/>
    <w:rsid w:val="00C945CC"/>
    <w:rsid w:val="00C94611"/>
    <w:rsid w:val="00C94667"/>
    <w:rsid w:val="00C94808"/>
    <w:rsid w:val="00C9484C"/>
    <w:rsid w:val="00C94858"/>
    <w:rsid w:val="00C94863"/>
    <w:rsid w:val="00C948F8"/>
    <w:rsid w:val="00C949AB"/>
    <w:rsid w:val="00C94AA3"/>
    <w:rsid w:val="00C94AFD"/>
    <w:rsid w:val="00C94BA2"/>
    <w:rsid w:val="00C94D90"/>
    <w:rsid w:val="00C94DA0"/>
    <w:rsid w:val="00C94E11"/>
    <w:rsid w:val="00C94E63"/>
    <w:rsid w:val="00C94EF7"/>
    <w:rsid w:val="00C94F02"/>
    <w:rsid w:val="00C94F28"/>
    <w:rsid w:val="00C94F5D"/>
    <w:rsid w:val="00C94F61"/>
    <w:rsid w:val="00C94F91"/>
    <w:rsid w:val="00C94FB5"/>
    <w:rsid w:val="00C95064"/>
    <w:rsid w:val="00C95535"/>
    <w:rsid w:val="00C95691"/>
    <w:rsid w:val="00C956A5"/>
    <w:rsid w:val="00C95756"/>
    <w:rsid w:val="00C9582E"/>
    <w:rsid w:val="00C958D2"/>
    <w:rsid w:val="00C95913"/>
    <w:rsid w:val="00C95972"/>
    <w:rsid w:val="00C95979"/>
    <w:rsid w:val="00C95C2F"/>
    <w:rsid w:val="00C95CA6"/>
    <w:rsid w:val="00C95D19"/>
    <w:rsid w:val="00C95DA5"/>
    <w:rsid w:val="00C95E30"/>
    <w:rsid w:val="00C95ED3"/>
    <w:rsid w:val="00C9607F"/>
    <w:rsid w:val="00C9609A"/>
    <w:rsid w:val="00C962B7"/>
    <w:rsid w:val="00C962D5"/>
    <w:rsid w:val="00C96504"/>
    <w:rsid w:val="00C9652F"/>
    <w:rsid w:val="00C9653C"/>
    <w:rsid w:val="00C965D4"/>
    <w:rsid w:val="00C96658"/>
    <w:rsid w:val="00C9666E"/>
    <w:rsid w:val="00C96800"/>
    <w:rsid w:val="00C9686C"/>
    <w:rsid w:val="00C968E2"/>
    <w:rsid w:val="00C96A1B"/>
    <w:rsid w:val="00C96B03"/>
    <w:rsid w:val="00C96C95"/>
    <w:rsid w:val="00C96D1E"/>
    <w:rsid w:val="00C96D7F"/>
    <w:rsid w:val="00C96D9B"/>
    <w:rsid w:val="00C96DB9"/>
    <w:rsid w:val="00C96DBF"/>
    <w:rsid w:val="00C96DE0"/>
    <w:rsid w:val="00C97192"/>
    <w:rsid w:val="00C971E7"/>
    <w:rsid w:val="00C971FA"/>
    <w:rsid w:val="00C97224"/>
    <w:rsid w:val="00C973CC"/>
    <w:rsid w:val="00C9745B"/>
    <w:rsid w:val="00C9753F"/>
    <w:rsid w:val="00C97978"/>
    <w:rsid w:val="00C9798D"/>
    <w:rsid w:val="00C97AF6"/>
    <w:rsid w:val="00C97B13"/>
    <w:rsid w:val="00C97B2A"/>
    <w:rsid w:val="00C97BCA"/>
    <w:rsid w:val="00C97C07"/>
    <w:rsid w:val="00C97E0D"/>
    <w:rsid w:val="00C97E3C"/>
    <w:rsid w:val="00C97E8E"/>
    <w:rsid w:val="00C97F28"/>
    <w:rsid w:val="00C97F6E"/>
    <w:rsid w:val="00C97F87"/>
    <w:rsid w:val="00C97FE3"/>
    <w:rsid w:val="00CA008D"/>
    <w:rsid w:val="00CA00F3"/>
    <w:rsid w:val="00CA0223"/>
    <w:rsid w:val="00CA0233"/>
    <w:rsid w:val="00CA036A"/>
    <w:rsid w:val="00CA037A"/>
    <w:rsid w:val="00CA03D3"/>
    <w:rsid w:val="00CA04D6"/>
    <w:rsid w:val="00CA0535"/>
    <w:rsid w:val="00CA05F3"/>
    <w:rsid w:val="00CA06DE"/>
    <w:rsid w:val="00CA07F4"/>
    <w:rsid w:val="00CA0826"/>
    <w:rsid w:val="00CA0873"/>
    <w:rsid w:val="00CA08B8"/>
    <w:rsid w:val="00CA08BB"/>
    <w:rsid w:val="00CA095E"/>
    <w:rsid w:val="00CA0A15"/>
    <w:rsid w:val="00CA0A24"/>
    <w:rsid w:val="00CA0D03"/>
    <w:rsid w:val="00CA0D40"/>
    <w:rsid w:val="00CA0DE8"/>
    <w:rsid w:val="00CA0EAE"/>
    <w:rsid w:val="00CA0FBF"/>
    <w:rsid w:val="00CA11A5"/>
    <w:rsid w:val="00CA11CB"/>
    <w:rsid w:val="00CA12FF"/>
    <w:rsid w:val="00CA130F"/>
    <w:rsid w:val="00CA1395"/>
    <w:rsid w:val="00CA14EF"/>
    <w:rsid w:val="00CA15E6"/>
    <w:rsid w:val="00CA15FE"/>
    <w:rsid w:val="00CA1687"/>
    <w:rsid w:val="00CA168A"/>
    <w:rsid w:val="00CA16AF"/>
    <w:rsid w:val="00CA1773"/>
    <w:rsid w:val="00CA17BB"/>
    <w:rsid w:val="00CA1901"/>
    <w:rsid w:val="00CA1904"/>
    <w:rsid w:val="00CA1925"/>
    <w:rsid w:val="00CA1A93"/>
    <w:rsid w:val="00CA1B3F"/>
    <w:rsid w:val="00CA1BAD"/>
    <w:rsid w:val="00CA1D5A"/>
    <w:rsid w:val="00CA1D80"/>
    <w:rsid w:val="00CA1DA2"/>
    <w:rsid w:val="00CA1DA7"/>
    <w:rsid w:val="00CA1DE2"/>
    <w:rsid w:val="00CA1E2F"/>
    <w:rsid w:val="00CA1FBB"/>
    <w:rsid w:val="00CA2063"/>
    <w:rsid w:val="00CA2075"/>
    <w:rsid w:val="00CA20C4"/>
    <w:rsid w:val="00CA214A"/>
    <w:rsid w:val="00CA21D8"/>
    <w:rsid w:val="00CA2232"/>
    <w:rsid w:val="00CA2289"/>
    <w:rsid w:val="00CA22F1"/>
    <w:rsid w:val="00CA237F"/>
    <w:rsid w:val="00CA2486"/>
    <w:rsid w:val="00CA2488"/>
    <w:rsid w:val="00CA2496"/>
    <w:rsid w:val="00CA24BA"/>
    <w:rsid w:val="00CA25ED"/>
    <w:rsid w:val="00CA27EA"/>
    <w:rsid w:val="00CA2846"/>
    <w:rsid w:val="00CA28C3"/>
    <w:rsid w:val="00CA2934"/>
    <w:rsid w:val="00CA2A38"/>
    <w:rsid w:val="00CA2B77"/>
    <w:rsid w:val="00CA2B8D"/>
    <w:rsid w:val="00CA2B93"/>
    <w:rsid w:val="00CA2C42"/>
    <w:rsid w:val="00CA2CB0"/>
    <w:rsid w:val="00CA2CD7"/>
    <w:rsid w:val="00CA2D46"/>
    <w:rsid w:val="00CA2D95"/>
    <w:rsid w:val="00CA2DF7"/>
    <w:rsid w:val="00CA2E28"/>
    <w:rsid w:val="00CA2EFD"/>
    <w:rsid w:val="00CA2F24"/>
    <w:rsid w:val="00CA2FAC"/>
    <w:rsid w:val="00CA302A"/>
    <w:rsid w:val="00CA3102"/>
    <w:rsid w:val="00CA31E7"/>
    <w:rsid w:val="00CA3234"/>
    <w:rsid w:val="00CA3256"/>
    <w:rsid w:val="00CA327D"/>
    <w:rsid w:val="00CA3317"/>
    <w:rsid w:val="00CA3339"/>
    <w:rsid w:val="00CA3535"/>
    <w:rsid w:val="00CA353B"/>
    <w:rsid w:val="00CA367E"/>
    <w:rsid w:val="00CA3694"/>
    <w:rsid w:val="00CA3801"/>
    <w:rsid w:val="00CA38C1"/>
    <w:rsid w:val="00CA38E0"/>
    <w:rsid w:val="00CA38EE"/>
    <w:rsid w:val="00CA39C7"/>
    <w:rsid w:val="00CA3A3A"/>
    <w:rsid w:val="00CA3A5B"/>
    <w:rsid w:val="00CA3A8D"/>
    <w:rsid w:val="00CA3ADC"/>
    <w:rsid w:val="00CA3B50"/>
    <w:rsid w:val="00CA3C96"/>
    <w:rsid w:val="00CA3CF9"/>
    <w:rsid w:val="00CA3D54"/>
    <w:rsid w:val="00CA3DB7"/>
    <w:rsid w:val="00CA3EF6"/>
    <w:rsid w:val="00CA3F9F"/>
    <w:rsid w:val="00CA4100"/>
    <w:rsid w:val="00CA4194"/>
    <w:rsid w:val="00CA4307"/>
    <w:rsid w:val="00CA437E"/>
    <w:rsid w:val="00CA447F"/>
    <w:rsid w:val="00CA45E9"/>
    <w:rsid w:val="00CA4652"/>
    <w:rsid w:val="00CA46AA"/>
    <w:rsid w:val="00CA4785"/>
    <w:rsid w:val="00CA49E5"/>
    <w:rsid w:val="00CA4A06"/>
    <w:rsid w:val="00CA4AF8"/>
    <w:rsid w:val="00CA4B18"/>
    <w:rsid w:val="00CA4C3B"/>
    <w:rsid w:val="00CA4C54"/>
    <w:rsid w:val="00CA4CB8"/>
    <w:rsid w:val="00CA4CF3"/>
    <w:rsid w:val="00CA4D32"/>
    <w:rsid w:val="00CA4D54"/>
    <w:rsid w:val="00CA4DCD"/>
    <w:rsid w:val="00CA4ECA"/>
    <w:rsid w:val="00CA4F04"/>
    <w:rsid w:val="00CA5063"/>
    <w:rsid w:val="00CA5130"/>
    <w:rsid w:val="00CA5160"/>
    <w:rsid w:val="00CA51D6"/>
    <w:rsid w:val="00CA53AB"/>
    <w:rsid w:val="00CA53E3"/>
    <w:rsid w:val="00CA5449"/>
    <w:rsid w:val="00CA5508"/>
    <w:rsid w:val="00CA5558"/>
    <w:rsid w:val="00CA562B"/>
    <w:rsid w:val="00CA57C3"/>
    <w:rsid w:val="00CA5866"/>
    <w:rsid w:val="00CA58BC"/>
    <w:rsid w:val="00CA58E1"/>
    <w:rsid w:val="00CA5972"/>
    <w:rsid w:val="00CA5A92"/>
    <w:rsid w:val="00CA5B67"/>
    <w:rsid w:val="00CA5B9F"/>
    <w:rsid w:val="00CA5C60"/>
    <w:rsid w:val="00CA5D1F"/>
    <w:rsid w:val="00CA5D7E"/>
    <w:rsid w:val="00CA5E6D"/>
    <w:rsid w:val="00CA5EC2"/>
    <w:rsid w:val="00CA5F7C"/>
    <w:rsid w:val="00CA6096"/>
    <w:rsid w:val="00CA6102"/>
    <w:rsid w:val="00CA6203"/>
    <w:rsid w:val="00CA6209"/>
    <w:rsid w:val="00CA626D"/>
    <w:rsid w:val="00CA64A3"/>
    <w:rsid w:val="00CA6702"/>
    <w:rsid w:val="00CA6831"/>
    <w:rsid w:val="00CA6988"/>
    <w:rsid w:val="00CA6A45"/>
    <w:rsid w:val="00CA6B28"/>
    <w:rsid w:val="00CA6B42"/>
    <w:rsid w:val="00CA6BBE"/>
    <w:rsid w:val="00CA6BD4"/>
    <w:rsid w:val="00CA6E92"/>
    <w:rsid w:val="00CA6F5B"/>
    <w:rsid w:val="00CA6FAF"/>
    <w:rsid w:val="00CA7026"/>
    <w:rsid w:val="00CA7062"/>
    <w:rsid w:val="00CA7188"/>
    <w:rsid w:val="00CA72E6"/>
    <w:rsid w:val="00CA730A"/>
    <w:rsid w:val="00CA7388"/>
    <w:rsid w:val="00CA73F2"/>
    <w:rsid w:val="00CA7403"/>
    <w:rsid w:val="00CA74C0"/>
    <w:rsid w:val="00CA76A4"/>
    <w:rsid w:val="00CA7786"/>
    <w:rsid w:val="00CA77AF"/>
    <w:rsid w:val="00CA77F0"/>
    <w:rsid w:val="00CA78BD"/>
    <w:rsid w:val="00CA7AA6"/>
    <w:rsid w:val="00CA7C51"/>
    <w:rsid w:val="00CA7C87"/>
    <w:rsid w:val="00CA7D62"/>
    <w:rsid w:val="00CA7D7D"/>
    <w:rsid w:val="00CA7DA8"/>
    <w:rsid w:val="00CA7E45"/>
    <w:rsid w:val="00CA7E66"/>
    <w:rsid w:val="00CA7EEC"/>
    <w:rsid w:val="00CA7F27"/>
    <w:rsid w:val="00CB0015"/>
    <w:rsid w:val="00CB012B"/>
    <w:rsid w:val="00CB01C1"/>
    <w:rsid w:val="00CB01FE"/>
    <w:rsid w:val="00CB020B"/>
    <w:rsid w:val="00CB0288"/>
    <w:rsid w:val="00CB044A"/>
    <w:rsid w:val="00CB046D"/>
    <w:rsid w:val="00CB0489"/>
    <w:rsid w:val="00CB0633"/>
    <w:rsid w:val="00CB07CC"/>
    <w:rsid w:val="00CB0937"/>
    <w:rsid w:val="00CB0A77"/>
    <w:rsid w:val="00CB0A93"/>
    <w:rsid w:val="00CB0B01"/>
    <w:rsid w:val="00CB0BDC"/>
    <w:rsid w:val="00CB0C16"/>
    <w:rsid w:val="00CB0C68"/>
    <w:rsid w:val="00CB0D79"/>
    <w:rsid w:val="00CB0F47"/>
    <w:rsid w:val="00CB1150"/>
    <w:rsid w:val="00CB1166"/>
    <w:rsid w:val="00CB12A5"/>
    <w:rsid w:val="00CB12CD"/>
    <w:rsid w:val="00CB133B"/>
    <w:rsid w:val="00CB1349"/>
    <w:rsid w:val="00CB13BE"/>
    <w:rsid w:val="00CB1514"/>
    <w:rsid w:val="00CB17A0"/>
    <w:rsid w:val="00CB17F4"/>
    <w:rsid w:val="00CB1824"/>
    <w:rsid w:val="00CB1894"/>
    <w:rsid w:val="00CB1A0C"/>
    <w:rsid w:val="00CB1A91"/>
    <w:rsid w:val="00CB1AB4"/>
    <w:rsid w:val="00CB1ADB"/>
    <w:rsid w:val="00CB1B14"/>
    <w:rsid w:val="00CB2029"/>
    <w:rsid w:val="00CB203A"/>
    <w:rsid w:val="00CB205E"/>
    <w:rsid w:val="00CB2072"/>
    <w:rsid w:val="00CB20F2"/>
    <w:rsid w:val="00CB2438"/>
    <w:rsid w:val="00CB2543"/>
    <w:rsid w:val="00CB283D"/>
    <w:rsid w:val="00CB287D"/>
    <w:rsid w:val="00CB28EA"/>
    <w:rsid w:val="00CB2A88"/>
    <w:rsid w:val="00CB2B4C"/>
    <w:rsid w:val="00CB2B65"/>
    <w:rsid w:val="00CB2B6A"/>
    <w:rsid w:val="00CB2BDA"/>
    <w:rsid w:val="00CB2CE1"/>
    <w:rsid w:val="00CB2CEA"/>
    <w:rsid w:val="00CB2E28"/>
    <w:rsid w:val="00CB2EFF"/>
    <w:rsid w:val="00CB2FDE"/>
    <w:rsid w:val="00CB30ED"/>
    <w:rsid w:val="00CB3107"/>
    <w:rsid w:val="00CB33B0"/>
    <w:rsid w:val="00CB349F"/>
    <w:rsid w:val="00CB34B7"/>
    <w:rsid w:val="00CB3608"/>
    <w:rsid w:val="00CB368D"/>
    <w:rsid w:val="00CB36DD"/>
    <w:rsid w:val="00CB37B3"/>
    <w:rsid w:val="00CB3900"/>
    <w:rsid w:val="00CB3924"/>
    <w:rsid w:val="00CB3965"/>
    <w:rsid w:val="00CB3A7E"/>
    <w:rsid w:val="00CB3C27"/>
    <w:rsid w:val="00CB3CC3"/>
    <w:rsid w:val="00CB3D4E"/>
    <w:rsid w:val="00CB3DE8"/>
    <w:rsid w:val="00CB3E24"/>
    <w:rsid w:val="00CB3E3B"/>
    <w:rsid w:val="00CB405E"/>
    <w:rsid w:val="00CB40B2"/>
    <w:rsid w:val="00CB43EE"/>
    <w:rsid w:val="00CB43F1"/>
    <w:rsid w:val="00CB463B"/>
    <w:rsid w:val="00CB46B1"/>
    <w:rsid w:val="00CB4772"/>
    <w:rsid w:val="00CB4850"/>
    <w:rsid w:val="00CB49D4"/>
    <w:rsid w:val="00CB4ADE"/>
    <w:rsid w:val="00CB4B15"/>
    <w:rsid w:val="00CB4B89"/>
    <w:rsid w:val="00CB4BF0"/>
    <w:rsid w:val="00CB4D0D"/>
    <w:rsid w:val="00CB4D46"/>
    <w:rsid w:val="00CB4E07"/>
    <w:rsid w:val="00CB4F05"/>
    <w:rsid w:val="00CB5141"/>
    <w:rsid w:val="00CB534C"/>
    <w:rsid w:val="00CB5437"/>
    <w:rsid w:val="00CB54C5"/>
    <w:rsid w:val="00CB5637"/>
    <w:rsid w:val="00CB56A6"/>
    <w:rsid w:val="00CB56DF"/>
    <w:rsid w:val="00CB573C"/>
    <w:rsid w:val="00CB577B"/>
    <w:rsid w:val="00CB57B0"/>
    <w:rsid w:val="00CB5938"/>
    <w:rsid w:val="00CB5B8F"/>
    <w:rsid w:val="00CB5C10"/>
    <w:rsid w:val="00CB5C40"/>
    <w:rsid w:val="00CB5E41"/>
    <w:rsid w:val="00CB5EB5"/>
    <w:rsid w:val="00CB5F26"/>
    <w:rsid w:val="00CB61B0"/>
    <w:rsid w:val="00CB6264"/>
    <w:rsid w:val="00CB6274"/>
    <w:rsid w:val="00CB6337"/>
    <w:rsid w:val="00CB63B2"/>
    <w:rsid w:val="00CB6433"/>
    <w:rsid w:val="00CB64CD"/>
    <w:rsid w:val="00CB65A2"/>
    <w:rsid w:val="00CB65C4"/>
    <w:rsid w:val="00CB65FD"/>
    <w:rsid w:val="00CB671D"/>
    <w:rsid w:val="00CB67F3"/>
    <w:rsid w:val="00CB6889"/>
    <w:rsid w:val="00CB6919"/>
    <w:rsid w:val="00CB6935"/>
    <w:rsid w:val="00CB693E"/>
    <w:rsid w:val="00CB6962"/>
    <w:rsid w:val="00CB69F5"/>
    <w:rsid w:val="00CB6A69"/>
    <w:rsid w:val="00CB6B5C"/>
    <w:rsid w:val="00CB6E6D"/>
    <w:rsid w:val="00CB7169"/>
    <w:rsid w:val="00CB71F3"/>
    <w:rsid w:val="00CB7244"/>
    <w:rsid w:val="00CB727E"/>
    <w:rsid w:val="00CB72CC"/>
    <w:rsid w:val="00CB7350"/>
    <w:rsid w:val="00CB74C5"/>
    <w:rsid w:val="00CB75CB"/>
    <w:rsid w:val="00CB7601"/>
    <w:rsid w:val="00CB778F"/>
    <w:rsid w:val="00CB77AF"/>
    <w:rsid w:val="00CB784B"/>
    <w:rsid w:val="00CB78EA"/>
    <w:rsid w:val="00CB7A04"/>
    <w:rsid w:val="00CB7A4B"/>
    <w:rsid w:val="00CB7A5F"/>
    <w:rsid w:val="00CB7B6F"/>
    <w:rsid w:val="00CB7B91"/>
    <w:rsid w:val="00CB7BCE"/>
    <w:rsid w:val="00CB7C1F"/>
    <w:rsid w:val="00CB7C28"/>
    <w:rsid w:val="00CB7D08"/>
    <w:rsid w:val="00CB7DE0"/>
    <w:rsid w:val="00CB7E0A"/>
    <w:rsid w:val="00CB7EA7"/>
    <w:rsid w:val="00CC00D5"/>
    <w:rsid w:val="00CC0127"/>
    <w:rsid w:val="00CC014F"/>
    <w:rsid w:val="00CC01A8"/>
    <w:rsid w:val="00CC01D7"/>
    <w:rsid w:val="00CC027A"/>
    <w:rsid w:val="00CC0307"/>
    <w:rsid w:val="00CC0320"/>
    <w:rsid w:val="00CC0403"/>
    <w:rsid w:val="00CC0510"/>
    <w:rsid w:val="00CC0519"/>
    <w:rsid w:val="00CC0565"/>
    <w:rsid w:val="00CC0597"/>
    <w:rsid w:val="00CC06FA"/>
    <w:rsid w:val="00CC0743"/>
    <w:rsid w:val="00CC0754"/>
    <w:rsid w:val="00CC0863"/>
    <w:rsid w:val="00CC0AD1"/>
    <w:rsid w:val="00CC0AF7"/>
    <w:rsid w:val="00CC0C0F"/>
    <w:rsid w:val="00CC0C28"/>
    <w:rsid w:val="00CC0C4C"/>
    <w:rsid w:val="00CC0D75"/>
    <w:rsid w:val="00CC0DA1"/>
    <w:rsid w:val="00CC0E47"/>
    <w:rsid w:val="00CC0E57"/>
    <w:rsid w:val="00CC0EC5"/>
    <w:rsid w:val="00CC1086"/>
    <w:rsid w:val="00CC11F1"/>
    <w:rsid w:val="00CC14A3"/>
    <w:rsid w:val="00CC15FC"/>
    <w:rsid w:val="00CC162D"/>
    <w:rsid w:val="00CC1630"/>
    <w:rsid w:val="00CC16AA"/>
    <w:rsid w:val="00CC1796"/>
    <w:rsid w:val="00CC1990"/>
    <w:rsid w:val="00CC1B73"/>
    <w:rsid w:val="00CC1BF2"/>
    <w:rsid w:val="00CC1C54"/>
    <w:rsid w:val="00CC1CC9"/>
    <w:rsid w:val="00CC1E42"/>
    <w:rsid w:val="00CC1EA8"/>
    <w:rsid w:val="00CC209C"/>
    <w:rsid w:val="00CC217A"/>
    <w:rsid w:val="00CC2313"/>
    <w:rsid w:val="00CC24EA"/>
    <w:rsid w:val="00CC25DC"/>
    <w:rsid w:val="00CC2603"/>
    <w:rsid w:val="00CC2651"/>
    <w:rsid w:val="00CC26F0"/>
    <w:rsid w:val="00CC284B"/>
    <w:rsid w:val="00CC2865"/>
    <w:rsid w:val="00CC292B"/>
    <w:rsid w:val="00CC2AAE"/>
    <w:rsid w:val="00CC2B47"/>
    <w:rsid w:val="00CC2D8F"/>
    <w:rsid w:val="00CC2DEE"/>
    <w:rsid w:val="00CC2E38"/>
    <w:rsid w:val="00CC314C"/>
    <w:rsid w:val="00CC326B"/>
    <w:rsid w:val="00CC32B2"/>
    <w:rsid w:val="00CC3416"/>
    <w:rsid w:val="00CC341E"/>
    <w:rsid w:val="00CC3429"/>
    <w:rsid w:val="00CC356A"/>
    <w:rsid w:val="00CC3578"/>
    <w:rsid w:val="00CC35A6"/>
    <w:rsid w:val="00CC35F3"/>
    <w:rsid w:val="00CC373B"/>
    <w:rsid w:val="00CC378F"/>
    <w:rsid w:val="00CC3796"/>
    <w:rsid w:val="00CC389D"/>
    <w:rsid w:val="00CC393F"/>
    <w:rsid w:val="00CC3B58"/>
    <w:rsid w:val="00CC3BE5"/>
    <w:rsid w:val="00CC3BE9"/>
    <w:rsid w:val="00CC3BED"/>
    <w:rsid w:val="00CC3D36"/>
    <w:rsid w:val="00CC3DA3"/>
    <w:rsid w:val="00CC3EAD"/>
    <w:rsid w:val="00CC3F03"/>
    <w:rsid w:val="00CC3F2E"/>
    <w:rsid w:val="00CC3FA5"/>
    <w:rsid w:val="00CC40BB"/>
    <w:rsid w:val="00CC40D3"/>
    <w:rsid w:val="00CC4180"/>
    <w:rsid w:val="00CC4253"/>
    <w:rsid w:val="00CC4307"/>
    <w:rsid w:val="00CC4483"/>
    <w:rsid w:val="00CC4496"/>
    <w:rsid w:val="00CC44D2"/>
    <w:rsid w:val="00CC4578"/>
    <w:rsid w:val="00CC459E"/>
    <w:rsid w:val="00CC4649"/>
    <w:rsid w:val="00CC4706"/>
    <w:rsid w:val="00CC480C"/>
    <w:rsid w:val="00CC4881"/>
    <w:rsid w:val="00CC499A"/>
    <w:rsid w:val="00CC49F9"/>
    <w:rsid w:val="00CC4A15"/>
    <w:rsid w:val="00CC4A3E"/>
    <w:rsid w:val="00CC4AE4"/>
    <w:rsid w:val="00CC4C5E"/>
    <w:rsid w:val="00CC4DBD"/>
    <w:rsid w:val="00CC5020"/>
    <w:rsid w:val="00CC508E"/>
    <w:rsid w:val="00CC5226"/>
    <w:rsid w:val="00CC5228"/>
    <w:rsid w:val="00CC524D"/>
    <w:rsid w:val="00CC52BD"/>
    <w:rsid w:val="00CC5857"/>
    <w:rsid w:val="00CC5B4D"/>
    <w:rsid w:val="00CC5BA9"/>
    <w:rsid w:val="00CC5CA6"/>
    <w:rsid w:val="00CC5E70"/>
    <w:rsid w:val="00CC5E95"/>
    <w:rsid w:val="00CC5EED"/>
    <w:rsid w:val="00CC5F42"/>
    <w:rsid w:val="00CC5FB8"/>
    <w:rsid w:val="00CC5FD0"/>
    <w:rsid w:val="00CC6263"/>
    <w:rsid w:val="00CC6318"/>
    <w:rsid w:val="00CC6371"/>
    <w:rsid w:val="00CC639E"/>
    <w:rsid w:val="00CC63B8"/>
    <w:rsid w:val="00CC6559"/>
    <w:rsid w:val="00CC65AD"/>
    <w:rsid w:val="00CC672A"/>
    <w:rsid w:val="00CC6735"/>
    <w:rsid w:val="00CC688D"/>
    <w:rsid w:val="00CC68F2"/>
    <w:rsid w:val="00CC69B3"/>
    <w:rsid w:val="00CC6A1F"/>
    <w:rsid w:val="00CC6A49"/>
    <w:rsid w:val="00CC6B7B"/>
    <w:rsid w:val="00CC6C56"/>
    <w:rsid w:val="00CC6CD5"/>
    <w:rsid w:val="00CC6D03"/>
    <w:rsid w:val="00CC6D21"/>
    <w:rsid w:val="00CC6D7F"/>
    <w:rsid w:val="00CC6F3A"/>
    <w:rsid w:val="00CC6F42"/>
    <w:rsid w:val="00CC701B"/>
    <w:rsid w:val="00CC7049"/>
    <w:rsid w:val="00CC707B"/>
    <w:rsid w:val="00CC71E9"/>
    <w:rsid w:val="00CC7413"/>
    <w:rsid w:val="00CC7527"/>
    <w:rsid w:val="00CC7547"/>
    <w:rsid w:val="00CC75CF"/>
    <w:rsid w:val="00CC764D"/>
    <w:rsid w:val="00CC765B"/>
    <w:rsid w:val="00CC7664"/>
    <w:rsid w:val="00CC769D"/>
    <w:rsid w:val="00CC774B"/>
    <w:rsid w:val="00CC7840"/>
    <w:rsid w:val="00CC78B6"/>
    <w:rsid w:val="00CC78D1"/>
    <w:rsid w:val="00CC78D6"/>
    <w:rsid w:val="00CC7ABF"/>
    <w:rsid w:val="00CC7ACA"/>
    <w:rsid w:val="00CC7D56"/>
    <w:rsid w:val="00CC7E7F"/>
    <w:rsid w:val="00CD00CD"/>
    <w:rsid w:val="00CD018D"/>
    <w:rsid w:val="00CD019C"/>
    <w:rsid w:val="00CD020B"/>
    <w:rsid w:val="00CD0241"/>
    <w:rsid w:val="00CD025D"/>
    <w:rsid w:val="00CD02C9"/>
    <w:rsid w:val="00CD03F6"/>
    <w:rsid w:val="00CD043F"/>
    <w:rsid w:val="00CD05C0"/>
    <w:rsid w:val="00CD0601"/>
    <w:rsid w:val="00CD0734"/>
    <w:rsid w:val="00CD0738"/>
    <w:rsid w:val="00CD0752"/>
    <w:rsid w:val="00CD0794"/>
    <w:rsid w:val="00CD07BC"/>
    <w:rsid w:val="00CD084D"/>
    <w:rsid w:val="00CD08CF"/>
    <w:rsid w:val="00CD09EC"/>
    <w:rsid w:val="00CD0A6F"/>
    <w:rsid w:val="00CD0B0E"/>
    <w:rsid w:val="00CD0BBC"/>
    <w:rsid w:val="00CD0CE1"/>
    <w:rsid w:val="00CD0DAB"/>
    <w:rsid w:val="00CD0F08"/>
    <w:rsid w:val="00CD0F82"/>
    <w:rsid w:val="00CD0FF7"/>
    <w:rsid w:val="00CD1172"/>
    <w:rsid w:val="00CD1269"/>
    <w:rsid w:val="00CD1340"/>
    <w:rsid w:val="00CD137E"/>
    <w:rsid w:val="00CD1459"/>
    <w:rsid w:val="00CD14FA"/>
    <w:rsid w:val="00CD15A8"/>
    <w:rsid w:val="00CD15A9"/>
    <w:rsid w:val="00CD15E9"/>
    <w:rsid w:val="00CD1696"/>
    <w:rsid w:val="00CD1912"/>
    <w:rsid w:val="00CD191B"/>
    <w:rsid w:val="00CD193C"/>
    <w:rsid w:val="00CD1989"/>
    <w:rsid w:val="00CD19C6"/>
    <w:rsid w:val="00CD1A7E"/>
    <w:rsid w:val="00CD1ABD"/>
    <w:rsid w:val="00CD1B30"/>
    <w:rsid w:val="00CD1C10"/>
    <w:rsid w:val="00CD1C74"/>
    <w:rsid w:val="00CD1CD2"/>
    <w:rsid w:val="00CD21E9"/>
    <w:rsid w:val="00CD223C"/>
    <w:rsid w:val="00CD2345"/>
    <w:rsid w:val="00CD23F5"/>
    <w:rsid w:val="00CD2499"/>
    <w:rsid w:val="00CD24F7"/>
    <w:rsid w:val="00CD25BC"/>
    <w:rsid w:val="00CD263A"/>
    <w:rsid w:val="00CD263D"/>
    <w:rsid w:val="00CD2641"/>
    <w:rsid w:val="00CD2644"/>
    <w:rsid w:val="00CD26BF"/>
    <w:rsid w:val="00CD2735"/>
    <w:rsid w:val="00CD27CD"/>
    <w:rsid w:val="00CD283C"/>
    <w:rsid w:val="00CD2857"/>
    <w:rsid w:val="00CD28F8"/>
    <w:rsid w:val="00CD2C29"/>
    <w:rsid w:val="00CD2CD4"/>
    <w:rsid w:val="00CD2E8A"/>
    <w:rsid w:val="00CD3003"/>
    <w:rsid w:val="00CD30D9"/>
    <w:rsid w:val="00CD30F7"/>
    <w:rsid w:val="00CD32A3"/>
    <w:rsid w:val="00CD3364"/>
    <w:rsid w:val="00CD34C2"/>
    <w:rsid w:val="00CD35EB"/>
    <w:rsid w:val="00CD372E"/>
    <w:rsid w:val="00CD37A7"/>
    <w:rsid w:val="00CD3B36"/>
    <w:rsid w:val="00CD3B78"/>
    <w:rsid w:val="00CD3C7F"/>
    <w:rsid w:val="00CD3D74"/>
    <w:rsid w:val="00CD3D75"/>
    <w:rsid w:val="00CD3D90"/>
    <w:rsid w:val="00CD3E07"/>
    <w:rsid w:val="00CD3EAA"/>
    <w:rsid w:val="00CD3EC6"/>
    <w:rsid w:val="00CD3F79"/>
    <w:rsid w:val="00CD3F7C"/>
    <w:rsid w:val="00CD4014"/>
    <w:rsid w:val="00CD4059"/>
    <w:rsid w:val="00CD40B5"/>
    <w:rsid w:val="00CD40CB"/>
    <w:rsid w:val="00CD4104"/>
    <w:rsid w:val="00CD433D"/>
    <w:rsid w:val="00CD44A6"/>
    <w:rsid w:val="00CD451D"/>
    <w:rsid w:val="00CD4693"/>
    <w:rsid w:val="00CD475C"/>
    <w:rsid w:val="00CD482E"/>
    <w:rsid w:val="00CD48BF"/>
    <w:rsid w:val="00CD4983"/>
    <w:rsid w:val="00CD4A56"/>
    <w:rsid w:val="00CD4BBA"/>
    <w:rsid w:val="00CD4C1C"/>
    <w:rsid w:val="00CD4C7E"/>
    <w:rsid w:val="00CD4CA5"/>
    <w:rsid w:val="00CD4CA8"/>
    <w:rsid w:val="00CD4E36"/>
    <w:rsid w:val="00CD4E4D"/>
    <w:rsid w:val="00CD4F55"/>
    <w:rsid w:val="00CD4F59"/>
    <w:rsid w:val="00CD4F5F"/>
    <w:rsid w:val="00CD4FF5"/>
    <w:rsid w:val="00CD5160"/>
    <w:rsid w:val="00CD51A9"/>
    <w:rsid w:val="00CD5246"/>
    <w:rsid w:val="00CD52B2"/>
    <w:rsid w:val="00CD5345"/>
    <w:rsid w:val="00CD534C"/>
    <w:rsid w:val="00CD5385"/>
    <w:rsid w:val="00CD545D"/>
    <w:rsid w:val="00CD54D3"/>
    <w:rsid w:val="00CD5590"/>
    <w:rsid w:val="00CD59A6"/>
    <w:rsid w:val="00CD59AC"/>
    <w:rsid w:val="00CD5A0D"/>
    <w:rsid w:val="00CD5A1A"/>
    <w:rsid w:val="00CD5BEF"/>
    <w:rsid w:val="00CD5C04"/>
    <w:rsid w:val="00CD5D8D"/>
    <w:rsid w:val="00CD5DB7"/>
    <w:rsid w:val="00CD5DD2"/>
    <w:rsid w:val="00CD5EE0"/>
    <w:rsid w:val="00CD5FBA"/>
    <w:rsid w:val="00CD624D"/>
    <w:rsid w:val="00CD62A3"/>
    <w:rsid w:val="00CD63F5"/>
    <w:rsid w:val="00CD66B4"/>
    <w:rsid w:val="00CD6711"/>
    <w:rsid w:val="00CD6744"/>
    <w:rsid w:val="00CD6789"/>
    <w:rsid w:val="00CD67B0"/>
    <w:rsid w:val="00CD67DA"/>
    <w:rsid w:val="00CD680C"/>
    <w:rsid w:val="00CD68D1"/>
    <w:rsid w:val="00CD68FA"/>
    <w:rsid w:val="00CD690B"/>
    <w:rsid w:val="00CD696B"/>
    <w:rsid w:val="00CD6A1B"/>
    <w:rsid w:val="00CD6A37"/>
    <w:rsid w:val="00CD6ACC"/>
    <w:rsid w:val="00CD6ADD"/>
    <w:rsid w:val="00CD6B7E"/>
    <w:rsid w:val="00CD6B8C"/>
    <w:rsid w:val="00CD6B9C"/>
    <w:rsid w:val="00CD6CD1"/>
    <w:rsid w:val="00CD6DF8"/>
    <w:rsid w:val="00CD6FBD"/>
    <w:rsid w:val="00CD707E"/>
    <w:rsid w:val="00CD70F6"/>
    <w:rsid w:val="00CD7163"/>
    <w:rsid w:val="00CD7291"/>
    <w:rsid w:val="00CD72DB"/>
    <w:rsid w:val="00CD736F"/>
    <w:rsid w:val="00CD73AE"/>
    <w:rsid w:val="00CD73D1"/>
    <w:rsid w:val="00CD74F9"/>
    <w:rsid w:val="00CD7527"/>
    <w:rsid w:val="00CD7632"/>
    <w:rsid w:val="00CD77E5"/>
    <w:rsid w:val="00CD7929"/>
    <w:rsid w:val="00CD7954"/>
    <w:rsid w:val="00CD79CC"/>
    <w:rsid w:val="00CD7A32"/>
    <w:rsid w:val="00CD7B22"/>
    <w:rsid w:val="00CD7CA3"/>
    <w:rsid w:val="00CD7CE8"/>
    <w:rsid w:val="00CD7CF2"/>
    <w:rsid w:val="00CD7DC8"/>
    <w:rsid w:val="00CD7E1F"/>
    <w:rsid w:val="00CD7E7E"/>
    <w:rsid w:val="00CD7F0C"/>
    <w:rsid w:val="00CD7F64"/>
    <w:rsid w:val="00CE0008"/>
    <w:rsid w:val="00CE000F"/>
    <w:rsid w:val="00CE0027"/>
    <w:rsid w:val="00CE01FF"/>
    <w:rsid w:val="00CE0230"/>
    <w:rsid w:val="00CE02AD"/>
    <w:rsid w:val="00CE0407"/>
    <w:rsid w:val="00CE047A"/>
    <w:rsid w:val="00CE07A6"/>
    <w:rsid w:val="00CE07B0"/>
    <w:rsid w:val="00CE07BB"/>
    <w:rsid w:val="00CE09F4"/>
    <w:rsid w:val="00CE0B47"/>
    <w:rsid w:val="00CE0B9F"/>
    <w:rsid w:val="00CE0C00"/>
    <w:rsid w:val="00CE0C0A"/>
    <w:rsid w:val="00CE0C7C"/>
    <w:rsid w:val="00CE0C98"/>
    <w:rsid w:val="00CE0CA3"/>
    <w:rsid w:val="00CE0D9A"/>
    <w:rsid w:val="00CE0E85"/>
    <w:rsid w:val="00CE0ED8"/>
    <w:rsid w:val="00CE0F40"/>
    <w:rsid w:val="00CE1040"/>
    <w:rsid w:val="00CE1188"/>
    <w:rsid w:val="00CE1323"/>
    <w:rsid w:val="00CE1375"/>
    <w:rsid w:val="00CE141E"/>
    <w:rsid w:val="00CE15EF"/>
    <w:rsid w:val="00CE1603"/>
    <w:rsid w:val="00CE16CE"/>
    <w:rsid w:val="00CE1803"/>
    <w:rsid w:val="00CE1A1D"/>
    <w:rsid w:val="00CE1B52"/>
    <w:rsid w:val="00CE1BB4"/>
    <w:rsid w:val="00CE1BD3"/>
    <w:rsid w:val="00CE1CBA"/>
    <w:rsid w:val="00CE1D5E"/>
    <w:rsid w:val="00CE1DA7"/>
    <w:rsid w:val="00CE1DE7"/>
    <w:rsid w:val="00CE1DF1"/>
    <w:rsid w:val="00CE1DF5"/>
    <w:rsid w:val="00CE1E4D"/>
    <w:rsid w:val="00CE1E58"/>
    <w:rsid w:val="00CE2182"/>
    <w:rsid w:val="00CE229E"/>
    <w:rsid w:val="00CE2332"/>
    <w:rsid w:val="00CE237B"/>
    <w:rsid w:val="00CE237F"/>
    <w:rsid w:val="00CE2401"/>
    <w:rsid w:val="00CE245E"/>
    <w:rsid w:val="00CE2497"/>
    <w:rsid w:val="00CE265C"/>
    <w:rsid w:val="00CE26AC"/>
    <w:rsid w:val="00CE26EF"/>
    <w:rsid w:val="00CE275A"/>
    <w:rsid w:val="00CE2795"/>
    <w:rsid w:val="00CE287B"/>
    <w:rsid w:val="00CE294B"/>
    <w:rsid w:val="00CE294D"/>
    <w:rsid w:val="00CE295D"/>
    <w:rsid w:val="00CE295E"/>
    <w:rsid w:val="00CE2A42"/>
    <w:rsid w:val="00CE2A99"/>
    <w:rsid w:val="00CE2B71"/>
    <w:rsid w:val="00CE2BD1"/>
    <w:rsid w:val="00CE2C06"/>
    <w:rsid w:val="00CE2D7B"/>
    <w:rsid w:val="00CE2E5D"/>
    <w:rsid w:val="00CE2F29"/>
    <w:rsid w:val="00CE2F80"/>
    <w:rsid w:val="00CE30F7"/>
    <w:rsid w:val="00CE30FF"/>
    <w:rsid w:val="00CE3112"/>
    <w:rsid w:val="00CE322D"/>
    <w:rsid w:val="00CE326C"/>
    <w:rsid w:val="00CE3546"/>
    <w:rsid w:val="00CE35F3"/>
    <w:rsid w:val="00CE35F5"/>
    <w:rsid w:val="00CE369E"/>
    <w:rsid w:val="00CE3746"/>
    <w:rsid w:val="00CE37CD"/>
    <w:rsid w:val="00CE3940"/>
    <w:rsid w:val="00CE3974"/>
    <w:rsid w:val="00CE3A73"/>
    <w:rsid w:val="00CE3AD0"/>
    <w:rsid w:val="00CE3B16"/>
    <w:rsid w:val="00CE3D99"/>
    <w:rsid w:val="00CE3DAC"/>
    <w:rsid w:val="00CE3E1A"/>
    <w:rsid w:val="00CE3E67"/>
    <w:rsid w:val="00CE3E6A"/>
    <w:rsid w:val="00CE3F1B"/>
    <w:rsid w:val="00CE3F68"/>
    <w:rsid w:val="00CE4198"/>
    <w:rsid w:val="00CE419E"/>
    <w:rsid w:val="00CE41AE"/>
    <w:rsid w:val="00CE42DA"/>
    <w:rsid w:val="00CE4409"/>
    <w:rsid w:val="00CE446E"/>
    <w:rsid w:val="00CE44FF"/>
    <w:rsid w:val="00CE456E"/>
    <w:rsid w:val="00CE459F"/>
    <w:rsid w:val="00CE45C9"/>
    <w:rsid w:val="00CE48A2"/>
    <w:rsid w:val="00CE4A9F"/>
    <w:rsid w:val="00CE4B12"/>
    <w:rsid w:val="00CE4B57"/>
    <w:rsid w:val="00CE4B7B"/>
    <w:rsid w:val="00CE4C24"/>
    <w:rsid w:val="00CE4E35"/>
    <w:rsid w:val="00CE4F37"/>
    <w:rsid w:val="00CE4F40"/>
    <w:rsid w:val="00CE4F46"/>
    <w:rsid w:val="00CE4F55"/>
    <w:rsid w:val="00CE4FF8"/>
    <w:rsid w:val="00CE5112"/>
    <w:rsid w:val="00CE520E"/>
    <w:rsid w:val="00CE5261"/>
    <w:rsid w:val="00CE5290"/>
    <w:rsid w:val="00CE52F3"/>
    <w:rsid w:val="00CE532B"/>
    <w:rsid w:val="00CE5395"/>
    <w:rsid w:val="00CE53D4"/>
    <w:rsid w:val="00CE5879"/>
    <w:rsid w:val="00CE5975"/>
    <w:rsid w:val="00CE5AD4"/>
    <w:rsid w:val="00CE5B7B"/>
    <w:rsid w:val="00CE5C16"/>
    <w:rsid w:val="00CE5D40"/>
    <w:rsid w:val="00CE5E6E"/>
    <w:rsid w:val="00CE5F0A"/>
    <w:rsid w:val="00CE5F6D"/>
    <w:rsid w:val="00CE5FD1"/>
    <w:rsid w:val="00CE6024"/>
    <w:rsid w:val="00CE609D"/>
    <w:rsid w:val="00CE6252"/>
    <w:rsid w:val="00CE6353"/>
    <w:rsid w:val="00CE641B"/>
    <w:rsid w:val="00CE6674"/>
    <w:rsid w:val="00CE669B"/>
    <w:rsid w:val="00CE67EB"/>
    <w:rsid w:val="00CE682F"/>
    <w:rsid w:val="00CE684C"/>
    <w:rsid w:val="00CE6A1B"/>
    <w:rsid w:val="00CE6AAB"/>
    <w:rsid w:val="00CE6AD1"/>
    <w:rsid w:val="00CE6AD9"/>
    <w:rsid w:val="00CE6B52"/>
    <w:rsid w:val="00CE6B8B"/>
    <w:rsid w:val="00CE6CA6"/>
    <w:rsid w:val="00CE6D05"/>
    <w:rsid w:val="00CE6D3F"/>
    <w:rsid w:val="00CE6F72"/>
    <w:rsid w:val="00CE70E1"/>
    <w:rsid w:val="00CE71AF"/>
    <w:rsid w:val="00CE7222"/>
    <w:rsid w:val="00CE7377"/>
    <w:rsid w:val="00CE73A9"/>
    <w:rsid w:val="00CE7423"/>
    <w:rsid w:val="00CE75E5"/>
    <w:rsid w:val="00CE7614"/>
    <w:rsid w:val="00CE7714"/>
    <w:rsid w:val="00CE7725"/>
    <w:rsid w:val="00CE77D3"/>
    <w:rsid w:val="00CE789D"/>
    <w:rsid w:val="00CE7993"/>
    <w:rsid w:val="00CE7B2E"/>
    <w:rsid w:val="00CE7DEB"/>
    <w:rsid w:val="00CE7F12"/>
    <w:rsid w:val="00CE7F3A"/>
    <w:rsid w:val="00CF002B"/>
    <w:rsid w:val="00CF011C"/>
    <w:rsid w:val="00CF0248"/>
    <w:rsid w:val="00CF0317"/>
    <w:rsid w:val="00CF0331"/>
    <w:rsid w:val="00CF050E"/>
    <w:rsid w:val="00CF055C"/>
    <w:rsid w:val="00CF0563"/>
    <w:rsid w:val="00CF059E"/>
    <w:rsid w:val="00CF0643"/>
    <w:rsid w:val="00CF069A"/>
    <w:rsid w:val="00CF087B"/>
    <w:rsid w:val="00CF08DE"/>
    <w:rsid w:val="00CF0960"/>
    <w:rsid w:val="00CF0A16"/>
    <w:rsid w:val="00CF0A57"/>
    <w:rsid w:val="00CF0AFE"/>
    <w:rsid w:val="00CF0C02"/>
    <w:rsid w:val="00CF0E4B"/>
    <w:rsid w:val="00CF0E50"/>
    <w:rsid w:val="00CF0FD2"/>
    <w:rsid w:val="00CF1162"/>
    <w:rsid w:val="00CF11B3"/>
    <w:rsid w:val="00CF1213"/>
    <w:rsid w:val="00CF1258"/>
    <w:rsid w:val="00CF125D"/>
    <w:rsid w:val="00CF1286"/>
    <w:rsid w:val="00CF1306"/>
    <w:rsid w:val="00CF134F"/>
    <w:rsid w:val="00CF1394"/>
    <w:rsid w:val="00CF1474"/>
    <w:rsid w:val="00CF1477"/>
    <w:rsid w:val="00CF1589"/>
    <w:rsid w:val="00CF1691"/>
    <w:rsid w:val="00CF1791"/>
    <w:rsid w:val="00CF1815"/>
    <w:rsid w:val="00CF18C2"/>
    <w:rsid w:val="00CF1C0F"/>
    <w:rsid w:val="00CF1CB3"/>
    <w:rsid w:val="00CF1D9C"/>
    <w:rsid w:val="00CF1DF7"/>
    <w:rsid w:val="00CF1E6C"/>
    <w:rsid w:val="00CF209E"/>
    <w:rsid w:val="00CF2142"/>
    <w:rsid w:val="00CF2255"/>
    <w:rsid w:val="00CF22E9"/>
    <w:rsid w:val="00CF23E4"/>
    <w:rsid w:val="00CF255E"/>
    <w:rsid w:val="00CF2578"/>
    <w:rsid w:val="00CF265E"/>
    <w:rsid w:val="00CF2713"/>
    <w:rsid w:val="00CF27A1"/>
    <w:rsid w:val="00CF27F6"/>
    <w:rsid w:val="00CF2860"/>
    <w:rsid w:val="00CF2AB4"/>
    <w:rsid w:val="00CF2B6F"/>
    <w:rsid w:val="00CF2C95"/>
    <w:rsid w:val="00CF2DD6"/>
    <w:rsid w:val="00CF30BF"/>
    <w:rsid w:val="00CF317F"/>
    <w:rsid w:val="00CF333C"/>
    <w:rsid w:val="00CF3619"/>
    <w:rsid w:val="00CF3638"/>
    <w:rsid w:val="00CF36AF"/>
    <w:rsid w:val="00CF36B6"/>
    <w:rsid w:val="00CF36F9"/>
    <w:rsid w:val="00CF3770"/>
    <w:rsid w:val="00CF386C"/>
    <w:rsid w:val="00CF3956"/>
    <w:rsid w:val="00CF3A35"/>
    <w:rsid w:val="00CF3B85"/>
    <w:rsid w:val="00CF3B92"/>
    <w:rsid w:val="00CF3BFA"/>
    <w:rsid w:val="00CF3C1E"/>
    <w:rsid w:val="00CF3C3C"/>
    <w:rsid w:val="00CF3E3B"/>
    <w:rsid w:val="00CF3E71"/>
    <w:rsid w:val="00CF3E97"/>
    <w:rsid w:val="00CF3F01"/>
    <w:rsid w:val="00CF3F71"/>
    <w:rsid w:val="00CF3F84"/>
    <w:rsid w:val="00CF4047"/>
    <w:rsid w:val="00CF4073"/>
    <w:rsid w:val="00CF4076"/>
    <w:rsid w:val="00CF40B4"/>
    <w:rsid w:val="00CF4167"/>
    <w:rsid w:val="00CF416C"/>
    <w:rsid w:val="00CF4297"/>
    <w:rsid w:val="00CF436D"/>
    <w:rsid w:val="00CF4399"/>
    <w:rsid w:val="00CF43A4"/>
    <w:rsid w:val="00CF43D9"/>
    <w:rsid w:val="00CF43F9"/>
    <w:rsid w:val="00CF44FA"/>
    <w:rsid w:val="00CF4565"/>
    <w:rsid w:val="00CF46E0"/>
    <w:rsid w:val="00CF47B4"/>
    <w:rsid w:val="00CF4800"/>
    <w:rsid w:val="00CF48C9"/>
    <w:rsid w:val="00CF48F7"/>
    <w:rsid w:val="00CF49C9"/>
    <w:rsid w:val="00CF4A1A"/>
    <w:rsid w:val="00CF4C0D"/>
    <w:rsid w:val="00CF4CD6"/>
    <w:rsid w:val="00CF4D25"/>
    <w:rsid w:val="00CF4D4D"/>
    <w:rsid w:val="00CF4DCF"/>
    <w:rsid w:val="00CF4EF3"/>
    <w:rsid w:val="00CF5015"/>
    <w:rsid w:val="00CF5045"/>
    <w:rsid w:val="00CF50B6"/>
    <w:rsid w:val="00CF50DA"/>
    <w:rsid w:val="00CF518E"/>
    <w:rsid w:val="00CF51AB"/>
    <w:rsid w:val="00CF51C6"/>
    <w:rsid w:val="00CF51F0"/>
    <w:rsid w:val="00CF548C"/>
    <w:rsid w:val="00CF5538"/>
    <w:rsid w:val="00CF5638"/>
    <w:rsid w:val="00CF56EF"/>
    <w:rsid w:val="00CF576B"/>
    <w:rsid w:val="00CF5778"/>
    <w:rsid w:val="00CF57A3"/>
    <w:rsid w:val="00CF57EE"/>
    <w:rsid w:val="00CF589B"/>
    <w:rsid w:val="00CF5971"/>
    <w:rsid w:val="00CF598F"/>
    <w:rsid w:val="00CF59CB"/>
    <w:rsid w:val="00CF5A13"/>
    <w:rsid w:val="00CF5AE9"/>
    <w:rsid w:val="00CF5B7B"/>
    <w:rsid w:val="00CF5BF1"/>
    <w:rsid w:val="00CF5C18"/>
    <w:rsid w:val="00CF5C65"/>
    <w:rsid w:val="00CF5CCD"/>
    <w:rsid w:val="00CF5D5D"/>
    <w:rsid w:val="00CF5E06"/>
    <w:rsid w:val="00CF5EAC"/>
    <w:rsid w:val="00CF5EE6"/>
    <w:rsid w:val="00CF5FA8"/>
    <w:rsid w:val="00CF6019"/>
    <w:rsid w:val="00CF6165"/>
    <w:rsid w:val="00CF618D"/>
    <w:rsid w:val="00CF61D9"/>
    <w:rsid w:val="00CF6256"/>
    <w:rsid w:val="00CF6268"/>
    <w:rsid w:val="00CF63EF"/>
    <w:rsid w:val="00CF644F"/>
    <w:rsid w:val="00CF6498"/>
    <w:rsid w:val="00CF64CD"/>
    <w:rsid w:val="00CF655D"/>
    <w:rsid w:val="00CF660C"/>
    <w:rsid w:val="00CF6767"/>
    <w:rsid w:val="00CF6834"/>
    <w:rsid w:val="00CF687C"/>
    <w:rsid w:val="00CF688A"/>
    <w:rsid w:val="00CF690F"/>
    <w:rsid w:val="00CF6961"/>
    <w:rsid w:val="00CF6BCF"/>
    <w:rsid w:val="00CF6C65"/>
    <w:rsid w:val="00CF6CDD"/>
    <w:rsid w:val="00CF6D39"/>
    <w:rsid w:val="00CF6E82"/>
    <w:rsid w:val="00CF6EED"/>
    <w:rsid w:val="00CF6F13"/>
    <w:rsid w:val="00CF6F4D"/>
    <w:rsid w:val="00CF7015"/>
    <w:rsid w:val="00CF713E"/>
    <w:rsid w:val="00CF7204"/>
    <w:rsid w:val="00CF74BD"/>
    <w:rsid w:val="00CF74EB"/>
    <w:rsid w:val="00CF765A"/>
    <w:rsid w:val="00CF769E"/>
    <w:rsid w:val="00CF76AB"/>
    <w:rsid w:val="00CF7761"/>
    <w:rsid w:val="00CF7816"/>
    <w:rsid w:val="00CF782B"/>
    <w:rsid w:val="00CF789D"/>
    <w:rsid w:val="00CF7918"/>
    <w:rsid w:val="00CF7A36"/>
    <w:rsid w:val="00CF7B4B"/>
    <w:rsid w:val="00CF7B5D"/>
    <w:rsid w:val="00CF7BAD"/>
    <w:rsid w:val="00D000D2"/>
    <w:rsid w:val="00D00109"/>
    <w:rsid w:val="00D001A2"/>
    <w:rsid w:val="00D002AA"/>
    <w:rsid w:val="00D00564"/>
    <w:rsid w:val="00D00598"/>
    <w:rsid w:val="00D00720"/>
    <w:rsid w:val="00D00742"/>
    <w:rsid w:val="00D0082B"/>
    <w:rsid w:val="00D00A07"/>
    <w:rsid w:val="00D00A90"/>
    <w:rsid w:val="00D00AD6"/>
    <w:rsid w:val="00D00B1A"/>
    <w:rsid w:val="00D00BDF"/>
    <w:rsid w:val="00D00C88"/>
    <w:rsid w:val="00D00CB3"/>
    <w:rsid w:val="00D00D69"/>
    <w:rsid w:val="00D00D8F"/>
    <w:rsid w:val="00D00D99"/>
    <w:rsid w:val="00D00E84"/>
    <w:rsid w:val="00D00EE0"/>
    <w:rsid w:val="00D00FF1"/>
    <w:rsid w:val="00D010FD"/>
    <w:rsid w:val="00D01250"/>
    <w:rsid w:val="00D012B2"/>
    <w:rsid w:val="00D013FC"/>
    <w:rsid w:val="00D01492"/>
    <w:rsid w:val="00D014DC"/>
    <w:rsid w:val="00D015C9"/>
    <w:rsid w:val="00D015DD"/>
    <w:rsid w:val="00D01602"/>
    <w:rsid w:val="00D01761"/>
    <w:rsid w:val="00D01827"/>
    <w:rsid w:val="00D0187D"/>
    <w:rsid w:val="00D01B03"/>
    <w:rsid w:val="00D01C83"/>
    <w:rsid w:val="00D01CDD"/>
    <w:rsid w:val="00D01D5D"/>
    <w:rsid w:val="00D01D65"/>
    <w:rsid w:val="00D01E16"/>
    <w:rsid w:val="00D01F3B"/>
    <w:rsid w:val="00D01F41"/>
    <w:rsid w:val="00D01F72"/>
    <w:rsid w:val="00D02007"/>
    <w:rsid w:val="00D02357"/>
    <w:rsid w:val="00D0249A"/>
    <w:rsid w:val="00D024D7"/>
    <w:rsid w:val="00D02673"/>
    <w:rsid w:val="00D02690"/>
    <w:rsid w:val="00D0277F"/>
    <w:rsid w:val="00D02822"/>
    <w:rsid w:val="00D02939"/>
    <w:rsid w:val="00D02948"/>
    <w:rsid w:val="00D02A73"/>
    <w:rsid w:val="00D02BB2"/>
    <w:rsid w:val="00D02CBB"/>
    <w:rsid w:val="00D02CBD"/>
    <w:rsid w:val="00D02DAC"/>
    <w:rsid w:val="00D02DB3"/>
    <w:rsid w:val="00D02E87"/>
    <w:rsid w:val="00D02E89"/>
    <w:rsid w:val="00D02ED8"/>
    <w:rsid w:val="00D02FCB"/>
    <w:rsid w:val="00D031FA"/>
    <w:rsid w:val="00D03280"/>
    <w:rsid w:val="00D032A5"/>
    <w:rsid w:val="00D032D5"/>
    <w:rsid w:val="00D03438"/>
    <w:rsid w:val="00D0366A"/>
    <w:rsid w:val="00D0367C"/>
    <w:rsid w:val="00D036C5"/>
    <w:rsid w:val="00D037BC"/>
    <w:rsid w:val="00D0381E"/>
    <w:rsid w:val="00D0388C"/>
    <w:rsid w:val="00D039B4"/>
    <w:rsid w:val="00D039E2"/>
    <w:rsid w:val="00D03B6E"/>
    <w:rsid w:val="00D03B93"/>
    <w:rsid w:val="00D03C08"/>
    <w:rsid w:val="00D03C77"/>
    <w:rsid w:val="00D03CED"/>
    <w:rsid w:val="00D03DB2"/>
    <w:rsid w:val="00D03E9A"/>
    <w:rsid w:val="00D03EAC"/>
    <w:rsid w:val="00D03F46"/>
    <w:rsid w:val="00D03F57"/>
    <w:rsid w:val="00D03FE5"/>
    <w:rsid w:val="00D04022"/>
    <w:rsid w:val="00D040D4"/>
    <w:rsid w:val="00D042C6"/>
    <w:rsid w:val="00D0432D"/>
    <w:rsid w:val="00D04368"/>
    <w:rsid w:val="00D04437"/>
    <w:rsid w:val="00D04482"/>
    <w:rsid w:val="00D0458D"/>
    <w:rsid w:val="00D047BB"/>
    <w:rsid w:val="00D04913"/>
    <w:rsid w:val="00D04949"/>
    <w:rsid w:val="00D0495A"/>
    <w:rsid w:val="00D04B83"/>
    <w:rsid w:val="00D04C02"/>
    <w:rsid w:val="00D04C26"/>
    <w:rsid w:val="00D04C9A"/>
    <w:rsid w:val="00D04CD1"/>
    <w:rsid w:val="00D04D05"/>
    <w:rsid w:val="00D04E11"/>
    <w:rsid w:val="00D04E68"/>
    <w:rsid w:val="00D04F1F"/>
    <w:rsid w:val="00D04F5E"/>
    <w:rsid w:val="00D04F8F"/>
    <w:rsid w:val="00D05021"/>
    <w:rsid w:val="00D05137"/>
    <w:rsid w:val="00D05211"/>
    <w:rsid w:val="00D05266"/>
    <w:rsid w:val="00D052A4"/>
    <w:rsid w:val="00D052CE"/>
    <w:rsid w:val="00D05306"/>
    <w:rsid w:val="00D05579"/>
    <w:rsid w:val="00D0559B"/>
    <w:rsid w:val="00D05812"/>
    <w:rsid w:val="00D05832"/>
    <w:rsid w:val="00D05A43"/>
    <w:rsid w:val="00D05A4F"/>
    <w:rsid w:val="00D05B01"/>
    <w:rsid w:val="00D05C0D"/>
    <w:rsid w:val="00D05C73"/>
    <w:rsid w:val="00D05CF8"/>
    <w:rsid w:val="00D05CFC"/>
    <w:rsid w:val="00D05D0A"/>
    <w:rsid w:val="00D05D19"/>
    <w:rsid w:val="00D05D2B"/>
    <w:rsid w:val="00D06037"/>
    <w:rsid w:val="00D06366"/>
    <w:rsid w:val="00D0642D"/>
    <w:rsid w:val="00D06451"/>
    <w:rsid w:val="00D06490"/>
    <w:rsid w:val="00D066D5"/>
    <w:rsid w:val="00D06A1C"/>
    <w:rsid w:val="00D06B0F"/>
    <w:rsid w:val="00D06B97"/>
    <w:rsid w:val="00D06BCC"/>
    <w:rsid w:val="00D06BDF"/>
    <w:rsid w:val="00D06BE4"/>
    <w:rsid w:val="00D06C3A"/>
    <w:rsid w:val="00D06CC0"/>
    <w:rsid w:val="00D06FD0"/>
    <w:rsid w:val="00D070BE"/>
    <w:rsid w:val="00D07278"/>
    <w:rsid w:val="00D0729E"/>
    <w:rsid w:val="00D07339"/>
    <w:rsid w:val="00D073D4"/>
    <w:rsid w:val="00D073FB"/>
    <w:rsid w:val="00D075A0"/>
    <w:rsid w:val="00D07654"/>
    <w:rsid w:val="00D07661"/>
    <w:rsid w:val="00D07702"/>
    <w:rsid w:val="00D07744"/>
    <w:rsid w:val="00D078A2"/>
    <w:rsid w:val="00D078D5"/>
    <w:rsid w:val="00D07945"/>
    <w:rsid w:val="00D0799E"/>
    <w:rsid w:val="00D079E1"/>
    <w:rsid w:val="00D07A72"/>
    <w:rsid w:val="00D07BA4"/>
    <w:rsid w:val="00D07BD0"/>
    <w:rsid w:val="00D07DD9"/>
    <w:rsid w:val="00D07DE3"/>
    <w:rsid w:val="00D07E74"/>
    <w:rsid w:val="00D07EFD"/>
    <w:rsid w:val="00D07F15"/>
    <w:rsid w:val="00D100F1"/>
    <w:rsid w:val="00D10117"/>
    <w:rsid w:val="00D102D9"/>
    <w:rsid w:val="00D10346"/>
    <w:rsid w:val="00D103CF"/>
    <w:rsid w:val="00D104AD"/>
    <w:rsid w:val="00D104E0"/>
    <w:rsid w:val="00D105B2"/>
    <w:rsid w:val="00D105DD"/>
    <w:rsid w:val="00D1069E"/>
    <w:rsid w:val="00D106BA"/>
    <w:rsid w:val="00D106D1"/>
    <w:rsid w:val="00D107A8"/>
    <w:rsid w:val="00D107E9"/>
    <w:rsid w:val="00D107F9"/>
    <w:rsid w:val="00D10985"/>
    <w:rsid w:val="00D10A8C"/>
    <w:rsid w:val="00D10C59"/>
    <w:rsid w:val="00D10CE6"/>
    <w:rsid w:val="00D10D17"/>
    <w:rsid w:val="00D10F09"/>
    <w:rsid w:val="00D10FB1"/>
    <w:rsid w:val="00D10FEE"/>
    <w:rsid w:val="00D110C7"/>
    <w:rsid w:val="00D11188"/>
    <w:rsid w:val="00D1119E"/>
    <w:rsid w:val="00D111C7"/>
    <w:rsid w:val="00D11240"/>
    <w:rsid w:val="00D112A6"/>
    <w:rsid w:val="00D1154A"/>
    <w:rsid w:val="00D115B3"/>
    <w:rsid w:val="00D116CB"/>
    <w:rsid w:val="00D1172E"/>
    <w:rsid w:val="00D117F6"/>
    <w:rsid w:val="00D11A47"/>
    <w:rsid w:val="00D11AC5"/>
    <w:rsid w:val="00D11B36"/>
    <w:rsid w:val="00D11B78"/>
    <w:rsid w:val="00D11CF7"/>
    <w:rsid w:val="00D11D39"/>
    <w:rsid w:val="00D11D69"/>
    <w:rsid w:val="00D11D94"/>
    <w:rsid w:val="00D11E51"/>
    <w:rsid w:val="00D12059"/>
    <w:rsid w:val="00D120B7"/>
    <w:rsid w:val="00D12112"/>
    <w:rsid w:val="00D12175"/>
    <w:rsid w:val="00D1232B"/>
    <w:rsid w:val="00D1237D"/>
    <w:rsid w:val="00D1247C"/>
    <w:rsid w:val="00D124A2"/>
    <w:rsid w:val="00D125AE"/>
    <w:rsid w:val="00D12693"/>
    <w:rsid w:val="00D12743"/>
    <w:rsid w:val="00D12783"/>
    <w:rsid w:val="00D127C8"/>
    <w:rsid w:val="00D12849"/>
    <w:rsid w:val="00D12907"/>
    <w:rsid w:val="00D129C6"/>
    <w:rsid w:val="00D12A5C"/>
    <w:rsid w:val="00D12BBD"/>
    <w:rsid w:val="00D12D8A"/>
    <w:rsid w:val="00D12DB8"/>
    <w:rsid w:val="00D12DB9"/>
    <w:rsid w:val="00D12DF3"/>
    <w:rsid w:val="00D12DF8"/>
    <w:rsid w:val="00D12E3C"/>
    <w:rsid w:val="00D12FCB"/>
    <w:rsid w:val="00D12FDC"/>
    <w:rsid w:val="00D12FED"/>
    <w:rsid w:val="00D13086"/>
    <w:rsid w:val="00D131DD"/>
    <w:rsid w:val="00D13396"/>
    <w:rsid w:val="00D1341D"/>
    <w:rsid w:val="00D13564"/>
    <w:rsid w:val="00D135D1"/>
    <w:rsid w:val="00D13872"/>
    <w:rsid w:val="00D13A3D"/>
    <w:rsid w:val="00D13A57"/>
    <w:rsid w:val="00D13B59"/>
    <w:rsid w:val="00D13BAC"/>
    <w:rsid w:val="00D13C22"/>
    <w:rsid w:val="00D13D89"/>
    <w:rsid w:val="00D13DA5"/>
    <w:rsid w:val="00D13E67"/>
    <w:rsid w:val="00D13E97"/>
    <w:rsid w:val="00D13EAB"/>
    <w:rsid w:val="00D13EED"/>
    <w:rsid w:val="00D13F59"/>
    <w:rsid w:val="00D140D7"/>
    <w:rsid w:val="00D14148"/>
    <w:rsid w:val="00D141CC"/>
    <w:rsid w:val="00D142C3"/>
    <w:rsid w:val="00D142F9"/>
    <w:rsid w:val="00D1435C"/>
    <w:rsid w:val="00D14363"/>
    <w:rsid w:val="00D14397"/>
    <w:rsid w:val="00D143B3"/>
    <w:rsid w:val="00D14419"/>
    <w:rsid w:val="00D145E4"/>
    <w:rsid w:val="00D146AB"/>
    <w:rsid w:val="00D146B3"/>
    <w:rsid w:val="00D1473D"/>
    <w:rsid w:val="00D147EB"/>
    <w:rsid w:val="00D1487E"/>
    <w:rsid w:val="00D148D3"/>
    <w:rsid w:val="00D14A41"/>
    <w:rsid w:val="00D14C2F"/>
    <w:rsid w:val="00D14E4F"/>
    <w:rsid w:val="00D14E5F"/>
    <w:rsid w:val="00D15054"/>
    <w:rsid w:val="00D151D0"/>
    <w:rsid w:val="00D15493"/>
    <w:rsid w:val="00D1568F"/>
    <w:rsid w:val="00D15738"/>
    <w:rsid w:val="00D1577E"/>
    <w:rsid w:val="00D157EC"/>
    <w:rsid w:val="00D1584F"/>
    <w:rsid w:val="00D1595D"/>
    <w:rsid w:val="00D15A79"/>
    <w:rsid w:val="00D15B2C"/>
    <w:rsid w:val="00D15E2E"/>
    <w:rsid w:val="00D15F1E"/>
    <w:rsid w:val="00D15F45"/>
    <w:rsid w:val="00D161F4"/>
    <w:rsid w:val="00D1642B"/>
    <w:rsid w:val="00D16435"/>
    <w:rsid w:val="00D16558"/>
    <w:rsid w:val="00D165C5"/>
    <w:rsid w:val="00D165FB"/>
    <w:rsid w:val="00D1661E"/>
    <w:rsid w:val="00D16733"/>
    <w:rsid w:val="00D167E1"/>
    <w:rsid w:val="00D168D7"/>
    <w:rsid w:val="00D16990"/>
    <w:rsid w:val="00D169DC"/>
    <w:rsid w:val="00D169ED"/>
    <w:rsid w:val="00D16A5E"/>
    <w:rsid w:val="00D16A90"/>
    <w:rsid w:val="00D16B4E"/>
    <w:rsid w:val="00D16DBE"/>
    <w:rsid w:val="00D16DC0"/>
    <w:rsid w:val="00D16E90"/>
    <w:rsid w:val="00D16F52"/>
    <w:rsid w:val="00D16F8D"/>
    <w:rsid w:val="00D17071"/>
    <w:rsid w:val="00D17086"/>
    <w:rsid w:val="00D1734C"/>
    <w:rsid w:val="00D173CE"/>
    <w:rsid w:val="00D17473"/>
    <w:rsid w:val="00D1752C"/>
    <w:rsid w:val="00D176DC"/>
    <w:rsid w:val="00D17719"/>
    <w:rsid w:val="00D17842"/>
    <w:rsid w:val="00D1784B"/>
    <w:rsid w:val="00D1785D"/>
    <w:rsid w:val="00D17998"/>
    <w:rsid w:val="00D17A5B"/>
    <w:rsid w:val="00D17B4C"/>
    <w:rsid w:val="00D17B76"/>
    <w:rsid w:val="00D17B95"/>
    <w:rsid w:val="00D17C00"/>
    <w:rsid w:val="00D17D50"/>
    <w:rsid w:val="00D17D99"/>
    <w:rsid w:val="00D17E23"/>
    <w:rsid w:val="00D17F30"/>
    <w:rsid w:val="00D17FA9"/>
    <w:rsid w:val="00D20027"/>
    <w:rsid w:val="00D200E4"/>
    <w:rsid w:val="00D20171"/>
    <w:rsid w:val="00D202AB"/>
    <w:rsid w:val="00D204D0"/>
    <w:rsid w:val="00D2052D"/>
    <w:rsid w:val="00D20652"/>
    <w:rsid w:val="00D20662"/>
    <w:rsid w:val="00D20689"/>
    <w:rsid w:val="00D207EC"/>
    <w:rsid w:val="00D2085B"/>
    <w:rsid w:val="00D2089B"/>
    <w:rsid w:val="00D20A19"/>
    <w:rsid w:val="00D20AC6"/>
    <w:rsid w:val="00D20B65"/>
    <w:rsid w:val="00D20B6C"/>
    <w:rsid w:val="00D20B82"/>
    <w:rsid w:val="00D20D95"/>
    <w:rsid w:val="00D20EB4"/>
    <w:rsid w:val="00D20FCA"/>
    <w:rsid w:val="00D21080"/>
    <w:rsid w:val="00D210C7"/>
    <w:rsid w:val="00D210FF"/>
    <w:rsid w:val="00D21215"/>
    <w:rsid w:val="00D21256"/>
    <w:rsid w:val="00D2126C"/>
    <w:rsid w:val="00D21312"/>
    <w:rsid w:val="00D213D5"/>
    <w:rsid w:val="00D213E3"/>
    <w:rsid w:val="00D21649"/>
    <w:rsid w:val="00D21678"/>
    <w:rsid w:val="00D21818"/>
    <w:rsid w:val="00D21898"/>
    <w:rsid w:val="00D218E3"/>
    <w:rsid w:val="00D21944"/>
    <w:rsid w:val="00D2198C"/>
    <w:rsid w:val="00D21A01"/>
    <w:rsid w:val="00D21AB4"/>
    <w:rsid w:val="00D21B61"/>
    <w:rsid w:val="00D21C19"/>
    <w:rsid w:val="00D21CCA"/>
    <w:rsid w:val="00D22030"/>
    <w:rsid w:val="00D22067"/>
    <w:rsid w:val="00D22243"/>
    <w:rsid w:val="00D224BB"/>
    <w:rsid w:val="00D2259B"/>
    <w:rsid w:val="00D2269B"/>
    <w:rsid w:val="00D2283E"/>
    <w:rsid w:val="00D22983"/>
    <w:rsid w:val="00D22B37"/>
    <w:rsid w:val="00D22BCE"/>
    <w:rsid w:val="00D22CDB"/>
    <w:rsid w:val="00D22D81"/>
    <w:rsid w:val="00D22DE5"/>
    <w:rsid w:val="00D22E06"/>
    <w:rsid w:val="00D22E2A"/>
    <w:rsid w:val="00D22EFB"/>
    <w:rsid w:val="00D22F1E"/>
    <w:rsid w:val="00D22F4B"/>
    <w:rsid w:val="00D22FBF"/>
    <w:rsid w:val="00D2311B"/>
    <w:rsid w:val="00D23228"/>
    <w:rsid w:val="00D2323D"/>
    <w:rsid w:val="00D233BB"/>
    <w:rsid w:val="00D235E2"/>
    <w:rsid w:val="00D23619"/>
    <w:rsid w:val="00D2363A"/>
    <w:rsid w:val="00D23671"/>
    <w:rsid w:val="00D23785"/>
    <w:rsid w:val="00D237BD"/>
    <w:rsid w:val="00D23AB8"/>
    <w:rsid w:val="00D23BE1"/>
    <w:rsid w:val="00D23C0B"/>
    <w:rsid w:val="00D23C70"/>
    <w:rsid w:val="00D23EB2"/>
    <w:rsid w:val="00D24019"/>
    <w:rsid w:val="00D2408E"/>
    <w:rsid w:val="00D240E1"/>
    <w:rsid w:val="00D24271"/>
    <w:rsid w:val="00D2432B"/>
    <w:rsid w:val="00D24366"/>
    <w:rsid w:val="00D24554"/>
    <w:rsid w:val="00D24597"/>
    <w:rsid w:val="00D246D5"/>
    <w:rsid w:val="00D24729"/>
    <w:rsid w:val="00D247DE"/>
    <w:rsid w:val="00D24801"/>
    <w:rsid w:val="00D248ED"/>
    <w:rsid w:val="00D24965"/>
    <w:rsid w:val="00D24993"/>
    <w:rsid w:val="00D24B19"/>
    <w:rsid w:val="00D24C8A"/>
    <w:rsid w:val="00D24DFB"/>
    <w:rsid w:val="00D24E39"/>
    <w:rsid w:val="00D24E57"/>
    <w:rsid w:val="00D24FC7"/>
    <w:rsid w:val="00D25033"/>
    <w:rsid w:val="00D251BD"/>
    <w:rsid w:val="00D251C8"/>
    <w:rsid w:val="00D25249"/>
    <w:rsid w:val="00D252F0"/>
    <w:rsid w:val="00D25422"/>
    <w:rsid w:val="00D2542A"/>
    <w:rsid w:val="00D25505"/>
    <w:rsid w:val="00D25515"/>
    <w:rsid w:val="00D255A3"/>
    <w:rsid w:val="00D25659"/>
    <w:rsid w:val="00D25666"/>
    <w:rsid w:val="00D256BA"/>
    <w:rsid w:val="00D25730"/>
    <w:rsid w:val="00D259D4"/>
    <w:rsid w:val="00D25A44"/>
    <w:rsid w:val="00D25A91"/>
    <w:rsid w:val="00D25ADF"/>
    <w:rsid w:val="00D25AEC"/>
    <w:rsid w:val="00D25C3B"/>
    <w:rsid w:val="00D25C4E"/>
    <w:rsid w:val="00D25C86"/>
    <w:rsid w:val="00D25D3D"/>
    <w:rsid w:val="00D25D56"/>
    <w:rsid w:val="00D25D6F"/>
    <w:rsid w:val="00D25E2B"/>
    <w:rsid w:val="00D25E65"/>
    <w:rsid w:val="00D25F9A"/>
    <w:rsid w:val="00D26044"/>
    <w:rsid w:val="00D26048"/>
    <w:rsid w:val="00D26077"/>
    <w:rsid w:val="00D261FE"/>
    <w:rsid w:val="00D26215"/>
    <w:rsid w:val="00D2625A"/>
    <w:rsid w:val="00D264C3"/>
    <w:rsid w:val="00D264E7"/>
    <w:rsid w:val="00D265F4"/>
    <w:rsid w:val="00D26732"/>
    <w:rsid w:val="00D267A9"/>
    <w:rsid w:val="00D26807"/>
    <w:rsid w:val="00D2692D"/>
    <w:rsid w:val="00D269BF"/>
    <w:rsid w:val="00D26CAF"/>
    <w:rsid w:val="00D26CD1"/>
    <w:rsid w:val="00D26D38"/>
    <w:rsid w:val="00D26E9D"/>
    <w:rsid w:val="00D26EB3"/>
    <w:rsid w:val="00D26ECB"/>
    <w:rsid w:val="00D26F09"/>
    <w:rsid w:val="00D26F82"/>
    <w:rsid w:val="00D26FD7"/>
    <w:rsid w:val="00D27063"/>
    <w:rsid w:val="00D270D0"/>
    <w:rsid w:val="00D27127"/>
    <w:rsid w:val="00D27179"/>
    <w:rsid w:val="00D27212"/>
    <w:rsid w:val="00D27268"/>
    <w:rsid w:val="00D272D9"/>
    <w:rsid w:val="00D27385"/>
    <w:rsid w:val="00D2738A"/>
    <w:rsid w:val="00D273B5"/>
    <w:rsid w:val="00D2740E"/>
    <w:rsid w:val="00D27460"/>
    <w:rsid w:val="00D27612"/>
    <w:rsid w:val="00D2768C"/>
    <w:rsid w:val="00D276B1"/>
    <w:rsid w:val="00D276E1"/>
    <w:rsid w:val="00D277AD"/>
    <w:rsid w:val="00D27A3D"/>
    <w:rsid w:val="00D27AC7"/>
    <w:rsid w:val="00D27C0B"/>
    <w:rsid w:val="00D27C44"/>
    <w:rsid w:val="00D27C5B"/>
    <w:rsid w:val="00D27E3B"/>
    <w:rsid w:val="00D27E92"/>
    <w:rsid w:val="00D30036"/>
    <w:rsid w:val="00D30061"/>
    <w:rsid w:val="00D3009C"/>
    <w:rsid w:val="00D30116"/>
    <w:rsid w:val="00D3016F"/>
    <w:rsid w:val="00D3017D"/>
    <w:rsid w:val="00D303CA"/>
    <w:rsid w:val="00D303E3"/>
    <w:rsid w:val="00D305BC"/>
    <w:rsid w:val="00D30623"/>
    <w:rsid w:val="00D30689"/>
    <w:rsid w:val="00D306B0"/>
    <w:rsid w:val="00D306CB"/>
    <w:rsid w:val="00D30740"/>
    <w:rsid w:val="00D308FC"/>
    <w:rsid w:val="00D30937"/>
    <w:rsid w:val="00D30AAB"/>
    <w:rsid w:val="00D30C12"/>
    <w:rsid w:val="00D30C3A"/>
    <w:rsid w:val="00D30C41"/>
    <w:rsid w:val="00D30D84"/>
    <w:rsid w:val="00D30DA4"/>
    <w:rsid w:val="00D30F06"/>
    <w:rsid w:val="00D30F82"/>
    <w:rsid w:val="00D31012"/>
    <w:rsid w:val="00D31029"/>
    <w:rsid w:val="00D31035"/>
    <w:rsid w:val="00D31075"/>
    <w:rsid w:val="00D31097"/>
    <w:rsid w:val="00D3121B"/>
    <w:rsid w:val="00D312EE"/>
    <w:rsid w:val="00D3146F"/>
    <w:rsid w:val="00D31515"/>
    <w:rsid w:val="00D315C3"/>
    <w:rsid w:val="00D315FC"/>
    <w:rsid w:val="00D3160A"/>
    <w:rsid w:val="00D31641"/>
    <w:rsid w:val="00D3172E"/>
    <w:rsid w:val="00D317DA"/>
    <w:rsid w:val="00D3190A"/>
    <w:rsid w:val="00D319F6"/>
    <w:rsid w:val="00D31A26"/>
    <w:rsid w:val="00D31BA8"/>
    <w:rsid w:val="00D31CDC"/>
    <w:rsid w:val="00D31CE7"/>
    <w:rsid w:val="00D31DAD"/>
    <w:rsid w:val="00D31DD8"/>
    <w:rsid w:val="00D32035"/>
    <w:rsid w:val="00D32168"/>
    <w:rsid w:val="00D3221B"/>
    <w:rsid w:val="00D32367"/>
    <w:rsid w:val="00D32368"/>
    <w:rsid w:val="00D323A7"/>
    <w:rsid w:val="00D3253A"/>
    <w:rsid w:val="00D326B3"/>
    <w:rsid w:val="00D32803"/>
    <w:rsid w:val="00D32979"/>
    <w:rsid w:val="00D32A88"/>
    <w:rsid w:val="00D32AD2"/>
    <w:rsid w:val="00D32BF1"/>
    <w:rsid w:val="00D32BF8"/>
    <w:rsid w:val="00D32CAC"/>
    <w:rsid w:val="00D32CD7"/>
    <w:rsid w:val="00D32EEB"/>
    <w:rsid w:val="00D32F8D"/>
    <w:rsid w:val="00D32FE6"/>
    <w:rsid w:val="00D3304D"/>
    <w:rsid w:val="00D330CD"/>
    <w:rsid w:val="00D332FE"/>
    <w:rsid w:val="00D33392"/>
    <w:rsid w:val="00D33592"/>
    <w:rsid w:val="00D33595"/>
    <w:rsid w:val="00D33645"/>
    <w:rsid w:val="00D33650"/>
    <w:rsid w:val="00D337FB"/>
    <w:rsid w:val="00D33890"/>
    <w:rsid w:val="00D338B5"/>
    <w:rsid w:val="00D33972"/>
    <w:rsid w:val="00D33A86"/>
    <w:rsid w:val="00D33B73"/>
    <w:rsid w:val="00D33C5E"/>
    <w:rsid w:val="00D33C85"/>
    <w:rsid w:val="00D33C8D"/>
    <w:rsid w:val="00D33D57"/>
    <w:rsid w:val="00D33D5C"/>
    <w:rsid w:val="00D33DAC"/>
    <w:rsid w:val="00D33E4A"/>
    <w:rsid w:val="00D33EBF"/>
    <w:rsid w:val="00D33ED6"/>
    <w:rsid w:val="00D33EDD"/>
    <w:rsid w:val="00D33FCB"/>
    <w:rsid w:val="00D34096"/>
    <w:rsid w:val="00D3423C"/>
    <w:rsid w:val="00D34351"/>
    <w:rsid w:val="00D3459C"/>
    <w:rsid w:val="00D345DC"/>
    <w:rsid w:val="00D345F3"/>
    <w:rsid w:val="00D34613"/>
    <w:rsid w:val="00D3468D"/>
    <w:rsid w:val="00D346FA"/>
    <w:rsid w:val="00D3476B"/>
    <w:rsid w:val="00D3481F"/>
    <w:rsid w:val="00D3485A"/>
    <w:rsid w:val="00D348DF"/>
    <w:rsid w:val="00D34923"/>
    <w:rsid w:val="00D349D2"/>
    <w:rsid w:val="00D349FD"/>
    <w:rsid w:val="00D34AC8"/>
    <w:rsid w:val="00D34B0F"/>
    <w:rsid w:val="00D34B2B"/>
    <w:rsid w:val="00D34BF7"/>
    <w:rsid w:val="00D34DBF"/>
    <w:rsid w:val="00D34DCE"/>
    <w:rsid w:val="00D34F34"/>
    <w:rsid w:val="00D34F6E"/>
    <w:rsid w:val="00D35109"/>
    <w:rsid w:val="00D35167"/>
    <w:rsid w:val="00D3517B"/>
    <w:rsid w:val="00D352C3"/>
    <w:rsid w:val="00D353AC"/>
    <w:rsid w:val="00D3544A"/>
    <w:rsid w:val="00D35538"/>
    <w:rsid w:val="00D35569"/>
    <w:rsid w:val="00D35587"/>
    <w:rsid w:val="00D3566F"/>
    <w:rsid w:val="00D359AB"/>
    <w:rsid w:val="00D35A6C"/>
    <w:rsid w:val="00D35BDA"/>
    <w:rsid w:val="00D35C19"/>
    <w:rsid w:val="00D35D16"/>
    <w:rsid w:val="00D35DC9"/>
    <w:rsid w:val="00D35E67"/>
    <w:rsid w:val="00D35EF3"/>
    <w:rsid w:val="00D35F3F"/>
    <w:rsid w:val="00D35F4D"/>
    <w:rsid w:val="00D35F76"/>
    <w:rsid w:val="00D360F7"/>
    <w:rsid w:val="00D36271"/>
    <w:rsid w:val="00D36301"/>
    <w:rsid w:val="00D36525"/>
    <w:rsid w:val="00D3656F"/>
    <w:rsid w:val="00D36721"/>
    <w:rsid w:val="00D36761"/>
    <w:rsid w:val="00D36A19"/>
    <w:rsid w:val="00D36A4B"/>
    <w:rsid w:val="00D36B89"/>
    <w:rsid w:val="00D36CA6"/>
    <w:rsid w:val="00D36FC8"/>
    <w:rsid w:val="00D37006"/>
    <w:rsid w:val="00D3701A"/>
    <w:rsid w:val="00D3701B"/>
    <w:rsid w:val="00D37047"/>
    <w:rsid w:val="00D3719B"/>
    <w:rsid w:val="00D37405"/>
    <w:rsid w:val="00D374F1"/>
    <w:rsid w:val="00D3759F"/>
    <w:rsid w:val="00D37692"/>
    <w:rsid w:val="00D377D9"/>
    <w:rsid w:val="00D37856"/>
    <w:rsid w:val="00D379EB"/>
    <w:rsid w:val="00D37C85"/>
    <w:rsid w:val="00D37C9B"/>
    <w:rsid w:val="00D37D07"/>
    <w:rsid w:val="00D37E19"/>
    <w:rsid w:val="00D37E21"/>
    <w:rsid w:val="00D4004C"/>
    <w:rsid w:val="00D40133"/>
    <w:rsid w:val="00D4021D"/>
    <w:rsid w:val="00D402FF"/>
    <w:rsid w:val="00D40372"/>
    <w:rsid w:val="00D404D5"/>
    <w:rsid w:val="00D4064D"/>
    <w:rsid w:val="00D40855"/>
    <w:rsid w:val="00D40A0D"/>
    <w:rsid w:val="00D40A26"/>
    <w:rsid w:val="00D40A3A"/>
    <w:rsid w:val="00D40F34"/>
    <w:rsid w:val="00D40F50"/>
    <w:rsid w:val="00D410A9"/>
    <w:rsid w:val="00D410E4"/>
    <w:rsid w:val="00D410F6"/>
    <w:rsid w:val="00D411F3"/>
    <w:rsid w:val="00D41345"/>
    <w:rsid w:val="00D414A2"/>
    <w:rsid w:val="00D4151A"/>
    <w:rsid w:val="00D41788"/>
    <w:rsid w:val="00D4189B"/>
    <w:rsid w:val="00D4198B"/>
    <w:rsid w:val="00D419B5"/>
    <w:rsid w:val="00D41A59"/>
    <w:rsid w:val="00D41A74"/>
    <w:rsid w:val="00D41AA9"/>
    <w:rsid w:val="00D41AFC"/>
    <w:rsid w:val="00D41B4B"/>
    <w:rsid w:val="00D41D94"/>
    <w:rsid w:val="00D41F78"/>
    <w:rsid w:val="00D41FAD"/>
    <w:rsid w:val="00D42023"/>
    <w:rsid w:val="00D42092"/>
    <w:rsid w:val="00D421AF"/>
    <w:rsid w:val="00D422BA"/>
    <w:rsid w:val="00D42311"/>
    <w:rsid w:val="00D423FC"/>
    <w:rsid w:val="00D42415"/>
    <w:rsid w:val="00D42509"/>
    <w:rsid w:val="00D42594"/>
    <w:rsid w:val="00D425D2"/>
    <w:rsid w:val="00D428A2"/>
    <w:rsid w:val="00D429AD"/>
    <w:rsid w:val="00D429C9"/>
    <w:rsid w:val="00D42A06"/>
    <w:rsid w:val="00D42B4D"/>
    <w:rsid w:val="00D42C33"/>
    <w:rsid w:val="00D42CB9"/>
    <w:rsid w:val="00D42E4A"/>
    <w:rsid w:val="00D42EF7"/>
    <w:rsid w:val="00D42EFD"/>
    <w:rsid w:val="00D430F5"/>
    <w:rsid w:val="00D433A3"/>
    <w:rsid w:val="00D433C2"/>
    <w:rsid w:val="00D43517"/>
    <w:rsid w:val="00D435DE"/>
    <w:rsid w:val="00D4373A"/>
    <w:rsid w:val="00D43BA6"/>
    <w:rsid w:val="00D43D22"/>
    <w:rsid w:val="00D43D45"/>
    <w:rsid w:val="00D43E50"/>
    <w:rsid w:val="00D43F18"/>
    <w:rsid w:val="00D44047"/>
    <w:rsid w:val="00D4408B"/>
    <w:rsid w:val="00D440C1"/>
    <w:rsid w:val="00D4417D"/>
    <w:rsid w:val="00D4417F"/>
    <w:rsid w:val="00D442AA"/>
    <w:rsid w:val="00D443B8"/>
    <w:rsid w:val="00D444A5"/>
    <w:rsid w:val="00D444DD"/>
    <w:rsid w:val="00D444EC"/>
    <w:rsid w:val="00D44725"/>
    <w:rsid w:val="00D44800"/>
    <w:rsid w:val="00D44921"/>
    <w:rsid w:val="00D4494D"/>
    <w:rsid w:val="00D449AA"/>
    <w:rsid w:val="00D449BD"/>
    <w:rsid w:val="00D449D9"/>
    <w:rsid w:val="00D44AAA"/>
    <w:rsid w:val="00D44B6B"/>
    <w:rsid w:val="00D44B6F"/>
    <w:rsid w:val="00D44C14"/>
    <w:rsid w:val="00D44C60"/>
    <w:rsid w:val="00D44DC5"/>
    <w:rsid w:val="00D44ED1"/>
    <w:rsid w:val="00D44FBE"/>
    <w:rsid w:val="00D450AF"/>
    <w:rsid w:val="00D450E8"/>
    <w:rsid w:val="00D4516B"/>
    <w:rsid w:val="00D45219"/>
    <w:rsid w:val="00D45281"/>
    <w:rsid w:val="00D452A4"/>
    <w:rsid w:val="00D453DD"/>
    <w:rsid w:val="00D4541D"/>
    <w:rsid w:val="00D45435"/>
    <w:rsid w:val="00D455B3"/>
    <w:rsid w:val="00D4588D"/>
    <w:rsid w:val="00D458B8"/>
    <w:rsid w:val="00D45971"/>
    <w:rsid w:val="00D45B53"/>
    <w:rsid w:val="00D45CB8"/>
    <w:rsid w:val="00D45D1C"/>
    <w:rsid w:val="00D45D5D"/>
    <w:rsid w:val="00D4623C"/>
    <w:rsid w:val="00D46309"/>
    <w:rsid w:val="00D4642D"/>
    <w:rsid w:val="00D4646F"/>
    <w:rsid w:val="00D464E0"/>
    <w:rsid w:val="00D46661"/>
    <w:rsid w:val="00D467F1"/>
    <w:rsid w:val="00D46817"/>
    <w:rsid w:val="00D46878"/>
    <w:rsid w:val="00D468A3"/>
    <w:rsid w:val="00D468ED"/>
    <w:rsid w:val="00D46922"/>
    <w:rsid w:val="00D46985"/>
    <w:rsid w:val="00D46A64"/>
    <w:rsid w:val="00D46AC9"/>
    <w:rsid w:val="00D46D08"/>
    <w:rsid w:val="00D46D1A"/>
    <w:rsid w:val="00D46DBA"/>
    <w:rsid w:val="00D46E16"/>
    <w:rsid w:val="00D46EB2"/>
    <w:rsid w:val="00D46F31"/>
    <w:rsid w:val="00D46FF3"/>
    <w:rsid w:val="00D47122"/>
    <w:rsid w:val="00D47386"/>
    <w:rsid w:val="00D473A8"/>
    <w:rsid w:val="00D474E5"/>
    <w:rsid w:val="00D4788F"/>
    <w:rsid w:val="00D478A0"/>
    <w:rsid w:val="00D4792A"/>
    <w:rsid w:val="00D47BC2"/>
    <w:rsid w:val="00D47BCA"/>
    <w:rsid w:val="00D47C03"/>
    <w:rsid w:val="00D47C5C"/>
    <w:rsid w:val="00D47C91"/>
    <w:rsid w:val="00D501C8"/>
    <w:rsid w:val="00D50353"/>
    <w:rsid w:val="00D50498"/>
    <w:rsid w:val="00D50630"/>
    <w:rsid w:val="00D506D3"/>
    <w:rsid w:val="00D5075B"/>
    <w:rsid w:val="00D50910"/>
    <w:rsid w:val="00D50A66"/>
    <w:rsid w:val="00D50A74"/>
    <w:rsid w:val="00D50B1C"/>
    <w:rsid w:val="00D50C12"/>
    <w:rsid w:val="00D50C42"/>
    <w:rsid w:val="00D50CAF"/>
    <w:rsid w:val="00D50CD6"/>
    <w:rsid w:val="00D50F80"/>
    <w:rsid w:val="00D510CD"/>
    <w:rsid w:val="00D511B9"/>
    <w:rsid w:val="00D512F1"/>
    <w:rsid w:val="00D51369"/>
    <w:rsid w:val="00D51439"/>
    <w:rsid w:val="00D514F2"/>
    <w:rsid w:val="00D51658"/>
    <w:rsid w:val="00D518A7"/>
    <w:rsid w:val="00D51914"/>
    <w:rsid w:val="00D51948"/>
    <w:rsid w:val="00D5196F"/>
    <w:rsid w:val="00D519D8"/>
    <w:rsid w:val="00D51A6B"/>
    <w:rsid w:val="00D51B97"/>
    <w:rsid w:val="00D51BA1"/>
    <w:rsid w:val="00D51BD6"/>
    <w:rsid w:val="00D51C1D"/>
    <w:rsid w:val="00D51C9F"/>
    <w:rsid w:val="00D51CDB"/>
    <w:rsid w:val="00D51CF5"/>
    <w:rsid w:val="00D51DBF"/>
    <w:rsid w:val="00D51DEC"/>
    <w:rsid w:val="00D51EB4"/>
    <w:rsid w:val="00D51EE7"/>
    <w:rsid w:val="00D52241"/>
    <w:rsid w:val="00D52263"/>
    <w:rsid w:val="00D52406"/>
    <w:rsid w:val="00D52434"/>
    <w:rsid w:val="00D5248F"/>
    <w:rsid w:val="00D5266C"/>
    <w:rsid w:val="00D527DD"/>
    <w:rsid w:val="00D52931"/>
    <w:rsid w:val="00D52B3A"/>
    <w:rsid w:val="00D52CFB"/>
    <w:rsid w:val="00D52D25"/>
    <w:rsid w:val="00D52E36"/>
    <w:rsid w:val="00D52E8D"/>
    <w:rsid w:val="00D52EF1"/>
    <w:rsid w:val="00D52F75"/>
    <w:rsid w:val="00D52FCB"/>
    <w:rsid w:val="00D52FF7"/>
    <w:rsid w:val="00D53131"/>
    <w:rsid w:val="00D53156"/>
    <w:rsid w:val="00D53286"/>
    <w:rsid w:val="00D5332E"/>
    <w:rsid w:val="00D533A8"/>
    <w:rsid w:val="00D533E8"/>
    <w:rsid w:val="00D53443"/>
    <w:rsid w:val="00D53458"/>
    <w:rsid w:val="00D53498"/>
    <w:rsid w:val="00D5353A"/>
    <w:rsid w:val="00D53621"/>
    <w:rsid w:val="00D5362D"/>
    <w:rsid w:val="00D536B5"/>
    <w:rsid w:val="00D536CA"/>
    <w:rsid w:val="00D537E7"/>
    <w:rsid w:val="00D53860"/>
    <w:rsid w:val="00D53A71"/>
    <w:rsid w:val="00D53AF3"/>
    <w:rsid w:val="00D53B04"/>
    <w:rsid w:val="00D53C8B"/>
    <w:rsid w:val="00D53D0B"/>
    <w:rsid w:val="00D54040"/>
    <w:rsid w:val="00D5405D"/>
    <w:rsid w:val="00D540EF"/>
    <w:rsid w:val="00D54108"/>
    <w:rsid w:val="00D541A4"/>
    <w:rsid w:val="00D541B4"/>
    <w:rsid w:val="00D54216"/>
    <w:rsid w:val="00D5424C"/>
    <w:rsid w:val="00D54283"/>
    <w:rsid w:val="00D542B8"/>
    <w:rsid w:val="00D5435F"/>
    <w:rsid w:val="00D54374"/>
    <w:rsid w:val="00D54469"/>
    <w:rsid w:val="00D544BC"/>
    <w:rsid w:val="00D544FF"/>
    <w:rsid w:val="00D545B0"/>
    <w:rsid w:val="00D54949"/>
    <w:rsid w:val="00D549A2"/>
    <w:rsid w:val="00D54A7C"/>
    <w:rsid w:val="00D54BDD"/>
    <w:rsid w:val="00D54C7D"/>
    <w:rsid w:val="00D54CB7"/>
    <w:rsid w:val="00D54DD0"/>
    <w:rsid w:val="00D54E09"/>
    <w:rsid w:val="00D54F07"/>
    <w:rsid w:val="00D54F58"/>
    <w:rsid w:val="00D54F95"/>
    <w:rsid w:val="00D54FA3"/>
    <w:rsid w:val="00D552DA"/>
    <w:rsid w:val="00D55303"/>
    <w:rsid w:val="00D553D1"/>
    <w:rsid w:val="00D554DF"/>
    <w:rsid w:val="00D5551A"/>
    <w:rsid w:val="00D55534"/>
    <w:rsid w:val="00D555CA"/>
    <w:rsid w:val="00D55677"/>
    <w:rsid w:val="00D55829"/>
    <w:rsid w:val="00D55850"/>
    <w:rsid w:val="00D558A2"/>
    <w:rsid w:val="00D55A5B"/>
    <w:rsid w:val="00D55AE9"/>
    <w:rsid w:val="00D55C04"/>
    <w:rsid w:val="00D55C89"/>
    <w:rsid w:val="00D55DFB"/>
    <w:rsid w:val="00D55E14"/>
    <w:rsid w:val="00D55E6C"/>
    <w:rsid w:val="00D55FF6"/>
    <w:rsid w:val="00D5609B"/>
    <w:rsid w:val="00D560C7"/>
    <w:rsid w:val="00D560E1"/>
    <w:rsid w:val="00D561CB"/>
    <w:rsid w:val="00D56244"/>
    <w:rsid w:val="00D562ED"/>
    <w:rsid w:val="00D5631E"/>
    <w:rsid w:val="00D56407"/>
    <w:rsid w:val="00D56427"/>
    <w:rsid w:val="00D56617"/>
    <w:rsid w:val="00D56643"/>
    <w:rsid w:val="00D5671E"/>
    <w:rsid w:val="00D56837"/>
    <w:rsid w:val="00D569CC"/>
    <w:rsid w:val="00D56A65"/>
    <w:rsid w:val="00D56AFB"/>
    <w:rsid w:val="00D56B15"/>
    <w:rsid w:val="00D56BA3"/>
    <w:rsid w:val="00D56BB7"/>
    <w:rsid w:val="00D56D3B"/>
    <w:rsid w:val="00D57100"/>
    <w:rsid w:val="00D572BD"/>
    <w:rsid w:val="00D572FD"/>
    <w:rsid w:val="00D573BA"/>
    <w:rsid w:val="00D57467"/>
    <w:rsid w:val="00D57478"/>
    <w:rsid w:val="00D574F8"/>
    <w:rsid w:val="00D5756B"/>
    <w:rsid w:val="00D576FF"/>
    <w:rsid w:val="00D57752"/>
    <w:rsid w:val="00D578A3"/>
    <w:rsid w:val="00D578B5"/>
    <w:rsid w:val="00D578CA"/>
    <w:rsid w:val="00D579B6"/>
    <w:rsid w:val="00D57A84"/>
    <w:rsid w:val="00D57B04"/>
    <w:rsid w:val="00D57C4F"/>
    <w:rsid w:val="00D57D0D"/>
    <w:rsid w:val="00D57D96"/>
    <w:rsid w:val="00D57E25"/>
    <w:rsid w:val="00D57FC2"/>
    <w:rsid w:val="00D60096"/>
    <w:rsid w:val="00D6021E"/>
    <w:rsid w:val="00D60550"/>
    <w:rsid w:val="00D606C8"/>
    <w:rsid w:val="00D6074C"/>
    <w:rsid w:val="00D607F2"/>
    <w:rsid w:val="00D60806"/>
    <w:rsid w:val="00D6091C"/>
    <w:rsid w:val="00D6099B"/>
    <w:rsid w:val="00D609DC"/>
    <w:rsid w:val="00D60AA4"/>
    <w:rsid w:val="00D60AB0"/>
    <w:rsid w:val="00D60ADE"/>
    <w:rsid w:val="00D60AED"/>
    <w:rsid w:val="00D60D24"/>
    <w:rsid w:val="00D60D81"/>
    <w:rsid w:val="00D60DDC"/>
    <w:rsid w:val="00D610A5"/>
    <w:rsid w:val="00D6119B"/>
    <w:rsid w:val="00D6128F"/>
    <w:rsid w:val="00D6134D"/>
    <w:rsid w:val="00D6137D"/>
    <w:rsid w:val="00D61391"/>
    <w:rsid w:val="00D613A6"/>
    <w:rsid w:val="00D61457"/>
    <w:rsid w:val="00D614E2"/>
    <w:rsid w:val="00D614EA"/>
    <w:rsid w:val="00D61547"/>
    <w:rsid w:val="00D6160C"/>
    <w:rsid w:val="00D6167C"/>
    <w:rsid w:val="00D6168F"/>
    <w:rsid w:val="00D6184F"/>
    <w:rsid w:val="00D61906"/>
    <w:rsid w:val="00D61944"/>
    <w:rsid w:val="00D61990"/>
    <w:rsid w:val="00D61AD4"/>
    <w:rsid w:val="00D61B50"/>
    <w:rsid w:val="00D61C21"/>
    <w:rsid w:val="00D61C28"/>
    <w:rsid w:val="00D61DEA"/>
    <w:rsid w:val="00D61E1A"/>
    <w:rsid w:val="00D61E36"/>
    <w:rsid w:val="00D61EE7"/>
    <w:rsid w:val="00D61F04"/>
    <w:rsid w:val="00D621DD"/>
    <w:rsid w:val="00D622D1"/>
    <w:rsid w:val="00D6231C"/>
    <w:rsid w:val="00D62353"/>
    <w:rsid w:val="00D623D0"/>
    <w:rsid w:val="00D6244F"/>
    <w:rsid w:val="00D6247D"/>
    <w:rsid w:val="00D624E9"/>
    <w:rsid w:val="00D62569"/>
    <w:rsid w:val="00D62604"/>
    <w:rsid w:val="00D627F0"/>
    <w:rsid w:val="00D62841"/>
    <w:rsid w:val="00D628E5"/>
    <w:rsid w:val="00D62AB3"/>
    <w:rsid w:val="00D62CD6"/>
    <w:rsid w:val="00D62DCF"/>
    <w:rsid w:val="00D62E2F"/>
    <w:rsid w:val="00D62ECA"/>
    <w:rsid w:val="00D62F38"/>
    <w:rsid w:val="00D62FE4"/>
    <w:rsid w:val="00D630AC"/>
    <w:rsid w:val="00D63159"/>
    <w:rsid w:val="00D63290"/>
    <w:rsid w:val="00D63320"/>
    <w:rsid w:val="00D6333C"/>
    <w:rsid w:val="00D633CE"/>
    <w:rsid w:val="00D634B0"/>
    <w:rsid w:val="00D634F0"/>
    <w:rsid w:val="00D6354F"/>
    <w:rsid w:val="00D63761"/>
    <w:rsid w:val="00D63766"/>
    <w:rsid w:val="00D637C3"/>
    <w:rsid w:val="00D63833"/>
    <w:rsid w:val="00D63860"/>
    <w:rsid w:val="00D638A3"/>
    <w:rsid w:val="00D639B0"/>
    <w:rsid w:val="00D63AB0"/>
    <w:rsid w:val="00D63AC7"/>
    <w:rsid w:val="00D63C42"/>
    <w:rsid w:val="00D63CAD"/>
    <w:rsid w:val="00D63D5E"/>
    <w:rsid w:val="00D63E94"/>
    <w:rsid w:val="00D63EF0"/>
    <w:rsid w:val="00D63F40"/>
    <w:rsid w:val="00D6408B"/>
    <w:rsid w:val="00D640A3"/>
    <w:rsid w:val="00D6420D"/>
    <w:rsid w:val="00D64216"/>
    <w:rsid w:val="00D6423E"/>
    <w:rsid w:val="00D642F8"/>
    <w:rsid w:val="00D64328"/>
    <w:rsid w:val="00D64339"/>
    <w:rsid w:val="00D6436E"/>
    <w:rsid w:val="00D643F0"/>
    <w:rsid w:val="00D64524"/>
    <w:rsid w:val="00D645AD"/>
    <w:rsid w:val="00D645D3"/>
    <w:rsid w:val="00D6462A"/>
    <w:rsid w:val="00D647A7"/>
    <w:rsid w:val="00D647E3"/>
    <w:rsid w:val="00D64893"/>
    <w:rsid w:val="00D649F0"/>
    <w:rsid w:val="00D64A6E"/>
    <w:rsid w:val="00D64ACD"/>
    <w:rsid w:val="00D64B02"/>
    <w:rsid w:val="00D64C13"/>
    <w:rsid w:val="00D64D40"/>
    <w:rsid w:val="00D64D63"/>
    <w:rsid w:val="00D64DEF"/>
    <w:rsid w:val="00D64E7B"/>
    <w:rsid w:val="00D65047"/>
    <w:rsid w:val="00D650A5"/>
    <w:rsid w:val="00D65176"/>
    <w:rsid w:val="00D651E8"/>
    <w:rsid w:val="00D65200"/>
    <w:rsid w:val="00D65261"/>
    <w:rsid w:val="00D65279"/>
    <w:rsid w:val="00D6535C"/>
    <w:rsid w:val="00D656D0"/>
    <w:rsid w:val="00D65757"/>
    <w:rsid w:val="00D65796"/>
    <w:rsid w:val="00D658AE"/>
    <w:rsid w:val="00D6592C"/>
    <w:rsid w:val="00D6599F"/>
    <w:rsid w:val="00D65AFB"/>
    <w:rsid w:val="00D65B08"/>
    <w:rsid w:val="00D65B54"/>
    <w:rsid w:val="00D65B6E"/>
    <w:rsid w:val="00D65BF2"/>
    <w:rsid w:val="00D65D8A"/>
    <w:rsid w:val="00D65D96"/>
    <w:rsid w:val="00D65DFB"/>
    <w:rsid w:val="00D65F63"/>
    <w:rsid w:val="00D6602F"/>
    <w:rsid w:val="00D661C8"/>
    <w:rsid w:val="00D6626D"/>
    <w:rsid w:val="00D6631F"/>
    <w:rsid w:val="00D663BC"/>
    <w:rsid w:val="00D66401"/>
    <w:rsid w:val="00D6652E"/>
    <w:rsid w:val="00D66585"/>
    <w:rsid w:val="00D665B8"/>
    <w:rsid w:val="00D666A8"/>
    <w:rsid w:val="00D6672F"/>
    <w:rsid w:val="00D668EE"/>
    <w:rsid w:val="00D6695D"/>
    <w:rsid w:val="00D66975"/>
    <w:rsid w:val="00D66A30"/>
    <w:rsid w:val="00D66ADA"/>
    <w:rsid w:val="00D66AFA"/>
    <w:rsid w:val="00D66C5D"/>
    <w:rsid w:val="00D66CB2"/>
    <w:rsid w:val="00D66CC5"/>
    <w:rsid w:val="00D66DF7"/>
    <w:rsid w:val="00D66E1F"/>
    <w:rsid w:val="00D66E9F"/>
    <w:rsid w:val="00D6712D"/>
    <w:rsid w:val="00D67139"/>
    <w:rsid w:val="00D6725D"/>
    <w:rsid w:val="00D6742E"/>
    <w:rsid w:val="00D67446"/>
    <w:rsid w:val="00D6750B"/>
    <w:rsid w:val="00D675EF"/>
    <w:rsid w:val="00D67673"/>
    <w:rsid w:val="00D67718"/>
    <w:rsid w:val="00D6771D"/>
    <w:rsid w:val="00D67892"/>
    <w:rsid w:val="00D67899"/>
    <w:rsid w:val="00D6795A"/>
    <w:rsid w:val="00D67966"/>
    <w:rsid w:val="00D67A80"/>
    <w:rsid w:val="00D67A8E"/>
    <w:rsid w:val="00D67B2C"/>
    <w:rsid w:val="00D67C1E"/>
    <w:rsid w:val="00D67D01"/>
    <w:rsid w:val="00D67E9B"/>
    <w:rsid w:val="00D67EB7"/>
    <w:rsid w:val="00D67EFF"/>
    <w:rsid w:val="00D701DC"/>
    <w:rsid w:val="00D703CF"/>
    <w:rsid w:val="00D704E1"/>
    <w:rsid w:val="00D70568"/>
    <w:rsid w:val="00D70620"/>
    <w:rsid w:val="00D707FD"/>
    <w:rsid w:val="00D7085B"/>
    <w:rsid w:val="00D709D1"/>
    <w:rsid w:val="00D70A33"/>
    <w:rsid w:val="00D70AD3"/>
    <w:rsid w:val="00D70C07"/>
    <w:rsid w:val="00D70D43"/>
    <w:rsid w:val="00D70EE6"/>
    <w:rsid w:val="00D70F2F"/>
    <w:rsid w:val="00D70F59"/>
    <w:rsid w:val="00D70F69"/>
    <w:rsid w:val="00D70FE8"/>
    <w:rsid w:val="00D71029"/>
    <w:rsid w:val="00D710EF"/>
    <w:rsid w:val="00D7112F"/>
    <w:rsid w:val="00D71269"/>
    <w:rsid w:val="00D7130A"/>
    <w:rsid w:val="00D7147F"/>
    <w:rsid w:val="00D71618"/>
    <w:rsid w:val="00D71678"/>
    <w:rsid w:val="00D716EA"/>
    <w:rsid w:val="00D718EA"/>
    <w:rsid w:val="00D71942"/>
    <w:rsid w:val="00D71C89"/>
    <w:rsid w:val="00D71EB1"/>
    <w:rsid w:val="00D71EEA"/>
    <w:rsid w:val="00D71F56"/>
    <w:rsid w:val="00D71F63"/>
    <w:rsid w:val="00D71FF3"/>
    <w:rsid w:val="00D720FF"/>
    <w:rsid w:val="00D721B7"/>
    <w:rsid w:val="00D7237C"/>
    <w:rsid w:val="00D7247D"/>
    <w:rsid w:val="00D72484"/>
    <w:rsid w:val="00D72527"/>
    <w:rsid w:val="00D72598"/>
    <w:rsid w:val="00D72657"/>
    <w:rsid w:val="00D7281F"/>
    <w:rsid w:val="00D72821"/>
    <w:rsid w:val="00D72894"/>
    <w:rsid w:val="00D728A0"/>
    <w:rsid w:val="00D72A23"/>
    <w:rsid w:val="00D72AB5"/>
    <w:rsid w:val="00D72B51"/>
    <w:rsid w:val="00D72B81"/>
    <w:rsid w:val="00D72C92"/>
    <w:rsid w:val="00D72CFC"/>
    <w:rsid w:val="00D72DBE"/>
    <w:rsid w:val="00D72DD3"/>
    <w:rsid w:val="00D72FAE"/>
    <w:rsid w:val="00D72FB2"/>
    <w:rsid w:val="00D73012"/>
    <w:rsid w:val="00D7319B"/>
    <w:rsid w:val="00D731B4"/>
    <w:rsid w:val="00D731CC"/>
    <w:rsid w:val="00D73247"/>
    <w:rsid w:val="00D732AA"/>
    <w:rsid w:val="00D732CA"/>
    <w:rsid w:val="00D732FF"/>
    <w:rsid w:val="00D733F6"/>
    <w:rsid w:val="00D7340B"/>
    <w:rsid w:val="00D73473"/>
    <w:rsid w:val="00D734AF"/>
    <w:rsid w:val="00D7387B"/>
    <w:rsid w:val="00D7387E"/>
    <w:rsid w:val="00D73898"/>
    <w:rsid w:val="00D739B9"/>
    <w:rsid w:val="00D73A30"/>
    <w:rsid w:val="00D73AED"/>
    <w:rsid w:val="00D73D8F"/>
    <w:rsid w:val="00D73E05"/>
    <w:rsid w:val="00D73EEF"/>
    <w:rsid w:val="00D73F50"/>
    <w:rsid w:val="00D74027"/>
    <w:rsid w:val="00D740BC"/>
    <w:rsid w:val="00D740CF"/>
    <w:rsid w:val="00D742D1"/>
    <w:rsid w:val="00D742E3"/>
    <w:rsid w:val="00D743AF"/>
    <w:rsid w:val="00D74537"/>
    <w:rsid w:val="00D7464F"/>
    <w:rsid w:val="00D746E8"/>
    <w:rsid w:val="00D74761"/>
    <w:rsid w:val="00D7479E"/>
    <w:rsid w:val="00D7498D"/>
    <w:rsid w:val="00D749B7"/>
    <w:rsid w:val="00D74A90"/>
    <w:rsid w:val="00D74B59"/>
    <w:rsid w:val="00D74C08"/>
    <w:rsid w:val="00D74C76"/>
    <w:rsid w:val="00D74C82"/>
    <w:rsid w:val="00D74D00"/>
    <w:rsid w:val="00D74D94"/>
    <w:rsid w:val="00D74E15"/>
    <w:rsid w:val="00D74FAD"/>
    <w:rsid w:val="00D75031"/>
    <w:rsid w:val="00D75117"/>
    <w:rsid w:val="00D75186"/>
    <w:rsid w:val="00D751B5"/>
    <w:rsid w:val="00D753AA"/>
    <w:rsid w:val="00D753E7"/>
    <w:rsid w:val="00D7559C"/>
    <w:rsid w:val="00D757CD"/>
    <w:rsid w:val="00D757EC"/>
    <w:rsid w:val="00D75932"/>
    <w:rsid w:val="00D759DE"/>
    <w:rsid w:val="00D75A2A"/>
    <w:rsid w:val="00D75AA7"/>
    <w:rsid w:val="00D75AD8"/>
    <w:rsid w:val="00D75B38"/>
    <w:rsid w:val="00D75B5D"/>
    <w:rsid w:val="00D75B68"/>
    <w:rsid w:val="00D75BA3"/>
    <w:rsid w:val="00D75DD6"/>
    <w:rsid w:val="00D75DE2"/>
    <w:rsid w:val="00D75F56"/>
    <w:rsid w:val="00D7601E"/>
    <w:rsid w:val="00D760AD"/>
    <w:rsid w:val="00D760D5"/>
    <w:rsid w:val="00D76101"/>
    <w:rsid w:val="00D76122"/>
    <w:rsid w:val="00D761AA"/>
    <w:rsid w:val="00D7628F"/>
    <w:rsid w:val="00D76364"/>
    <w:rsid w:val="00D76370"/>
    <w:rsid w:val="00D76564"/>
    <w:rsid w:val="00D765A9"/>
    <w:rsid w:val="00D7662D"/>
    <w:rsid w:val="00D76694"/>
    <w:rsid w:val="00D76AEB"/>
    <w:rsid w:val="00D76B1F"/>
    <w:rsid w:val="00D76C9C"/>
    <w:rsid w:val="00D76DD7"/>
    <w:rsid w:val="00D76FF1"/>
    <w:rsid w:val="00D77134"/>
    <w:rsid w:val="00D7717D"/>
    <w:rsid w:val="00D772B6"/>
    <w:rsid w:val="00D77371"/>
    <w:rsid w:val="00D77387"/>
    <w:rsid w:val="00D773AB"/>
    <w:rsid w:val="00D77402"/>
    <w:rsid w:val="00D774E3"/>
    <w:rsid w:val="00D774EC"/>
    <w:rsid w:val="00D77541"/>
    <w:rsid w:val="00D7762B"/>
    <w:rsid w:val="00D77697"/>
    <w:rsid w:val="00D776BD"/>
    <w:rsid w:val="00D7788F"/>
    <w:rsid w:val="00D77C52"/>
    <w:rsid w:val="00D77C58"/>
    <w:rsid w:val="00D77CD2"/>
    <w:rsid w:val="00D77DBC"/>
    <w:rsid w:val="00D77F5D"/>
    <w:rsid w:val="00D77F8C"/>
    <w:rsid w:val="00D7DED5"/>
    <w:rsid w:val="00D8004C"/>
    <w:rsid w:val="00D80088"/>
    <w:rsid w:val="00D80102"/>
    <w:rsid w:val="00D80144"/>
    <w:rsid w:val="00D80351"/>
    <w:rsid w:val="00D80534"/>
    <w:rsid w:val="00D80597"/>
    <w:rsid w:val="00D805E2"/>
    <w:rsid w:val="00D80BF5"/>
    <w:rsid w:val="00D80CDE"/>
    <w:rsid w:val="00D80D73"/>
    <w:rsid w:val="00D80E5E"/>
    <w:rsid w:val="00D80EAD"/>
    <w:rsid w:val="00D80F65"/>
    <w:rsid w:val="00D81002"/>
    <w:rsid w:val="00D8117B"/>
    <w:rsid w:val="00D811FE"/>
    <w:rsid w:val="00D81203"/>
    <w:rsid w:val="00D812E8"/>
    <w:rsid w:val="00D81391"/>
    <w:rsid w:val="00D814CF"/>
    <w:rsid w:val="00D81564"/>
    <w:rsid w:val="00D81629"/>
    <w:rsid w:val="00D8167A"/>
    <w:rsid w:val="00D816F4"/>
    <w:rsid w:val="00D8181A"/>
    <w:rsid w:val="00D818FA"/>
    <w:rsid w:val="00D81A50"/>
    <w:rsid w:val="00D81B84"/>
    <w:rsid w:val="00D81C20"/>
    <w:rsid w:val="00D81C3D"/>
    <w:rsid w:val="00D81C47"/>
    <w:rsid w:val="00D81C72"/>
    <w:rsid w:val="00D81D2F"/>
    <w:rsid w:val="00D81D96"/>
    <w:rsid w:val="00D81DBA"/>
    <w:rsid w:val="00D81E3F"/>
    <w:rsid w:val="00D81FD4"/>
    <w:rsid w:val="00D8210E"/>
    <w:rsid w:val="00D8229A"/>
    <w:rsid w:val="00D8236F"/>
    <w:rsid w:val="00D82389"/>
    <w:rsid w:val="00D82411"/>
    <w:rsid w:val="00D82426"/>
    <w:rsid w:val="00D824F4"/>
    <w:rsid w:val="00D82520"/>
    <w:rsid w:val="00D82552"/>
    <w:rsid w:val="00D826D2"/>
    <w:rsid w:val="00D82A24"/>
    <w:rsid w:val="00D82B3D"/>
    <w:rsid w:val="00D82B5A"/>
    <w:rsid w:val="00D82B6E"/>
    <w:rsid w:val="00D82BE7"/>
    <w:rsid w:val="00D82CC9"/>
    <w:rsid w:val="00D82D11"/>
    <w:rsid w:val="00D82DFF"/>
    <w:rsid w:val="00D82F3C"/>
    <w:rsid w:val="00D8314D"/>
    <w:rsid w:val="00D83207"/>
    <w:rsid w:val="00D832F8"/>
    <w:rsid w:val="00D834A7"/>
    <w:rsid w:val="00D83805"/>
    <w:rsid w:val="00D83AC9"/>
    <w:rsid w:val="00D83C71"/>
    <w:rsid w:val="00D83D73"/>
    <w:rsid w:val="00D83E50"/>
    <w:rsid w:val="00D83E52"/>
    <w:rsid w:val="00D84032"/>
    <w:rsid w:val="00D8405E"/>
    <w:rsid w:val="00D8433F"/>
    <w:rsid w:val="00D84354"/>
    <w:rsid w:val="00D8445F"/>
    <w:rsid w:val="00D844D4"/>
    <w:rsid w:val="00D84590"/>
    <w:rsid w:val="00D84692"/>
    <w:rsid w:val="00D8477F"/>
    <w:rsid w:val="00D847DC"/>
    <w:rsid w:val="00D84A3F"/>
    <w:rsid w:val="00D84A85"/>
    <w:rsid w:val="00D84CAC"/>
    <w:rsid w:val="00D84D70"/>
    <w:rsid w:val="00D84E3D"/>
    <w:rsid w:val="00D84F2E"/>
    <w:rsid w:val="00D85090"/>
    <w:rsid w:val="00D853DA"/>
    <w:rsid w:val="00D854C2"/>
    <w:rsid w:val="00D85772"/>
    <w:rsid w:val="00D857A5"/>
    <w:rsid w:val="00D8581C"/>
    <w:rsid w:val="00D85893"/>
    <w:rsid w:val="00D85A8B"/>
    <w:rsid w:val="00D85B33"/>
    <w:rsid w:val="00D85B37"/>
    <w:rsid w:val="00D85B5D"/>
    <w:rsid w:val="00D85DC6"/>
    <w:rsid w:val="00D85E2A"/>
    <w:rsid w:val="00D85FBC"/>
    <w:rsid w:val="00D86004"/>
    <w:rsid w:val="00D860B1"/>
    <w:rsid w:val="00D860FC"/>
    <w:rsid w:val="00D862C8"/>
    <w:rsid w:val="00D862E4"/>
    <w:rsid w:val="00D862E9"/>
    <w:rsid w:val="00D86354"/>
    <w:rsid w:val="00D86370"/>
    <w:rsid w:val="00D863AC"/>
    <w:rsid w:val="00D86529"/>
    <w:rsid w:val="00D865E4"/>
    <w:rsid w:val="00D86668"/>
    <w:rsid w:val="00D86700"/>
    <w:rsid w:val="00D86A2C"/>
    <w:rsid w:val="00D86D79"/>
    <w:rsid w:val="00D86EBB"/>
    <w:rsid w:val="00D86EF7"/>
    <w:rsid w:val="00D86F4B"/>
    <w:rsid w:val="00D86FB0"/>
    <w:rsid w:val="00D87036"/>
    <w:rsid w:val="00D870C1"/>
    <w:rsid w:val="00D8725A"/>
    <w:rsid w:val="00D872CC"/>
    <w:rsid w:val="00D872E1"/>
    <w:rsid w:val="00D87582"/>
    <w:rsid w:val="00D876B1"/>
    <w:rsid w:val="00D876F5"/>
    <w:rsid w:val="00D8776E"/>
    <w:rsid w:val="00D877AF"/>
    <w:rsid w:val="00D87828"/>
    <w:rsid w:val="00D8790D"/>
    <w:rsid w:val="00D87A10"/>
    <w:rsid w:val="00D87A28"/>
    <w:rsid w:val="00D87B38"/>
    <w:rsid w:val="00D87B6C"/>
    <w:rsid w:val="00D87B7C"/>
    <w:rsid w:val="00D87C5C"/>
    <w:rsid w:val="00D87CA2"/>
    <w:rsid w:val="00D87E68"/>
    <w:rsid w:val="00D90047"/>
    <w:rsid w:val="00D90057"/>
    <w:rsid w:val="00D900D3"/>
    <w:rsid w:val="00D90120"/>
    <w:rsid w:val="00D90272"/>
    <w:rsid w:val="00D9030D"/>
    <w:rsid w:val="00D90541"/>
    <w:rsid w:val="00D907F0"/>
    <w:rsid w:val="00D9099D"/>
    <w:rsid w:val="00D90AF7"/>
    <w:rsid w:val="00D90C16"/>
    <w:rsid w:val="00D90C38"/>
    <w:rsid w:val="00D90D0A"/>
    <w:rsid w:val="00D90D7D"/>
    <w:rsid w:val="00D90E0D"/>
    <w:rsid w:val="00D90E3A"/>
    <w:rsid w:val="00D90EF0"/>
    <w:rsid w:val="00D90F0C"/>
    <w:rsid w:val="00D90FE3"/>
    <w:rsid w:val="00D90FF8"/>
    <w:rsid w:val="00D9106A"/>
    <w:rsid w:val="00D91093"/>
    <w:rsid w:val="00D910CE"/>
    <w:rsid w:val="00D910D4"/>
    <w:rsid w:val="00D9110E"/>
    <w:rsid w:val="00D9113A"/>
    <w:rsid w:val="00D911E4"/>
    <w:rsid w:val="00D912C6"/>
    <w:rsid w:val="00D91373"/>
    <w:rsid w:val="00D9149F"/>
    <w:rsid w:val="00D9150F"/>
    <w:rsid w:val="00D9164E"/>
    <w:rsid w:val="00D9177D"/>
    <w:rsid w:val="00D917B9"/>
    <w:rsid w:val="00D9182C"/>
    <w:rsid w:val="00D919A5"/>
    <w:rsid w:val="00D919DD"/>
    <w:rsid w:val="00D919FD"/>
    <w:rsid w:val="00D91AAC"/>
    <w:rsid w:val="00D91ABD"/>
    <w:rsid w:val="00D91C13"/>
    <w:rsid w:val="00D91D67"/>
    <w:rsid w:val="00D91DC2"/>
    <w:rsid w:val="00D91DCF"/>
    <w:rsid w:val="00D91F87"/>
    <w:rsid w:val="00D91FC7"/>
    <w:rsid w:val="00D91FFC"/>
    <w:rsid w:val="00D92016"/>
    <w:rsid w:val="00D9202C"/>
    <w:rsid w:val="00D92046"/>
    <w:rsid w:val="00D920D6"/>
    <w:rsid w:val="00D92118"/>
    <w:rsid w:val="00D921C6"/>
    <w:rsid w:val="00D9222E"/>
    <w:rsid w:val="00D9238F"/>
    <w:rsid w:val="00D923C4"/>
    <w:rsid w:val="00D923E3"/>
    <w:rsid w:val="00D92443"/>
    <w:rsid w:val="00D92508"/>
    <w:rsid w:val="00D92518"/>
    <w:rsid w:val="00D9257C"/>
    <w:rsid w:val="00D925E4"/>
    <w:rsid w:val="00D925F2"/>
    <w:rsid w:val="00D9260E"/>
    <w:rsid w:val="00D9262B"/>
    <w:rsid w:val="00D92640"/>
    <w:rsid w:val="00D92837"/>
    <w:rsid w:val="00D9293C"/>
    <w:rsid w:val="00D929E4"/>
    <w:rsid w:val="00D929E7"/>
    <w:rsid w:val="00D92C78"/>
    <w:rsid w:val="00D92CA4"/>
    <w:rsid w:val="00D92CF4"/>
    <w:rsid w:val="00D92D12"/>
    <w:rsid w:val="00D92DC1"/>
    <w:rsid w:val="00D930DE"/>
    <w:rsid w:val="00D931B8"/>
    <w:rsid w:val="00D93277"/>
    <w:rsid w:val="00D932C1"/>
    <w:rsid w:val="00D9336F"/>
    <w:rsid w:val="00D93467"/>
    <w:rsid w:val="00D93694"/>
    <w:rsid w:val="00D93882"/>
    <w:rsid w:val="00D93A6F"/>
    <w:rsid w:val="00D93CF8"/>
    <w:rsid w:val="00D93E73"/>
    <w:rsid w:val="00D93EA3"/>
    <w:rsid w:val="00D94059"/>
    <w:rsid w:val="00D94131"/>
    <w:rsid w:val="00D94207"/>
    <w:rsid w:val="00D9465E"/>
    <w:rsid w:val="00D94716"/>
    <w:rsid w:val="00D947C8"/>
    <w:rsid w:val="00D949CD"/>
    <w:rsid w:val="00D94CCF"/>
    <w:rsid w:val="00D94E32"/>
    <w:rsid w:val="00D94E4C"/>
    <w:rsid w:val="00D94F46"/>
    <w:rsid w:val="00D951AB"/>
    <w:rsid w:val="00D952B7"/>
    <w:rsid w:val="00D95305"/>
    <w:rsid w:val="00D9535C"/>
    <w:rsid w:val="00D953BC"/>
    <w:rsid w:val="00D9542E"/>
    <w:rsid w:val="00D955E5"/>
    <w:rsid w:val="00D95705"/>
    <w:rsid w:val="00D9572A"/>
    <w:rsid w:val="00D95746"/>
    <w:rsid w:val="00D958C8"/>
    <w:rsid w:val="00D95922"/>
    <w:rsid w:val="00D9598A"/>
    <w:rsid w:val="00D95A25"/>
    <w:rsid w:val="00D95C22"/>
    <w:rsid w:val="00D95C40"/>
    <w:rsid w:val="00D95D01"/>
    <w:rsid w:val="00D95D3C"/>
    <w:rsid w:val="00D95D95"/>
    <w:rsid w:val="00D95EC0"/>
    <w:rsid w:val="00D95F59"/>
    <w:rsid w:val="00D95FD5"/>
    <w:rsid w:val="00D96090"/>
    <w:rsid w:val="00D96146"/>
    <w:rsid w:val="00D9633D"/>
    <w:rsid w:val="00D9634C"/>
    <w:rsid w:val="00D96422"/>
    <w:rsid w:val="00D9644B"/>
    <w:rsid w:val="00D96456"/>
    <w:rsid w:val="00D9650D"/>
    <w:rsid w:val="00D9651B"/>
    <w:rsid w:val="00D9654F"/>
    <w:rsid w:val="00D96550"/>
    <w:rsid w:val="00D96594"/>
    <w:rsid w:val="00D9665A"/>
    <w:rsid w:val="00D96767"/>
    <w:rsid w:val="00D96783"/>
    <w:rsid w:val="00D96A34"/>
    <w:rsid w:val="00D96AA6"/>
    <w:rsid w:val="00D96B12"/>
    <w:rsid w:val="00D96B71"/>
    <w:rsid w:val="00D96B7A"/>
    <w:rsid w:val="00D96BB0"/>
    <w:rsid w:val="00D96C45"/>
    <w:rsid w:val="00D96CD7"/>
    <w:rsid w:val="00D96D9E"/>
    <w:rsid w:val="00D96E46"/>
    <w:rsid w:val="00D96F2C"/>
    <w:rsid w:val="00D96F49"/>
    <w:rsid w:val="00D970D6"/>
    <w:rsid w:val="00D9733B"/>
    <w:rsid w:val="00D976D9"/>
    <w:rsid w:val="00D9777B"/>
    <w:rsid w:val="00D979B3"/>
    <w:rsid w:val="00D979C1"/>
    <w:rsid w:val="00D979E2"/>
    <w:rsid w:val="00D97A64"/>
    <w:rsid w:val="00D97C4A"/>
    <w:rsid w:val="00D97C51"/>
    <w:rsid w:val="00D97D0C"/>
    <w:rsid w:val="00D97D12"/>
    <w:rsid w:val="00D97ECD"/>
    <w:rsid w:val="00D97FF6"/>
    <w:rsid w:val="00D98DB2"/>
    <w:rsid w:val="00D9A3E1"/>
    <w:rsid w:val="00DA01E0"/>
    <w:rsid w:val="00DA020D"/>
    <w:rsid w:val="00DA0306"/>
    <w:rsid w:val="00DA0393"/>
    <w:rsid w:val="00DA0520"/>
    <w:rsid w:val="00DA0578"/>
    <w:rsid w:val="00DA06A0"/>
    <w:rsid w:val="00DA079C"/>
    <w:rsid w:val="00DA07E4"/>
    <w:rsid w:val="00DA08D6"/>
    <w:rsid w:val="00DA094A"/>
    <w:rsid w:val="00DA09A6"/>
    <w:rsid w:val="00DA09AC"/>
    <w:rsid w:val="00DA09B2"/>
    <w:rsid w:val="00DA0A40"/>
    <w:rsid w:val="00DA0A93"/>
    <w:rsid w:val="00DA0BEE"/>
    <w:rsid w:val="00DA0EA9"/>
    <w:rsid w:val="00DA105A"/>
    <w:rsid w:val="00DA1105"/>
    <w:rsid w:val="00DA11AF"/>
    <w:rsid w:val="00DA11F3"/>
    <w:rsid w:val="00DA12B6"/>
    <w:rsid w:val="00DA12FE"/>
    <w:rsid w:val="00DA14C8"/>
    <w:rsid w:val="00DA16E7"/>
    <w:rsid w:val="00DA1782"/>
    <w:rsid w:val="00DA17A3"/>
    <w:rsid w:val="00DA18FB"/>
    <w:rsid w:val="00DA19DD"/>
    <w:rsid w:val="00DA1A49"/>
    <w:rsid w:val="00DA1A93"/>
    <w:rsid w:val="00DA1B28"/>
    <w:rsid w:val="00DA1C21"/>
    <w:rsid w:val="00DA1C6B"/>
    <w:rsid w:val="00DA1C92"/>
    <w:rsid w:val="00DA1D4C"/>
    <w:rsid w:val="00DA1EE7"/>
    <w:rsid w:val="00DA1FC6"/>
    <w:rsid w:val="00DA225E"/>
    <w:rsid w:val="00DA22BD"/>
    <w:rsid w:val="00DA23E0"/>
    <w:rsid w:val="00DA24F4"/>
    <w:rsid w:val="00DA258B"/>
    <w:rsid w:val="00DA261C"/>
    <w:rsid w:val="00DA2646"/>
    <w:rsid w:val="00DA26E3"/>
    <w:rsid w:val="00DA2733"/>
    <w:rsid w:val="00DA276C"/>
    <w:rsid w:val="00DA27AF"/>
    <w:rsid w:val="00DA2883"/>
    <w:rsid w:val="00DA28A0"/>
    <w:rsid w:val="00DA2956"/>
    <w:rsid w:val="00DA2A65"/>
    <w:rsid w:val="00DA2AF8"/>
    <w:rsid w:val="00DA2C2D"/>
    <w:rsid w:val="00DA2DBE"/>
    <w:rsid w:val="00DA2F2C"/>
    <w:rsid w:val="00DA2FA5"/>
    <w:rsid w:val="00DA2FE8"/>
    <w:rsid w:val="00DA3096"/>
    <w:rsid w:val="00DA3274"/>
    <w:rsid w:val="00DA3310"/>
    <w:rsid w:val="00DA3353"/>
    <w:rsid w:val="00DA34B1"/>
    <w:rsid w:val="00DA3574"/>
    <w:rsid w:val="00DA3593"/>
    <w:rsid w:val="00DA3677"/>
    <w:rsid w:val="00DA371E"/>
    <w:rsid w:val="00DA3805"/>
    <w:rsid w:val="00DA3834"/>
    <w:rsid w:val="00DA3842"/>
    <w:rsid w:val="00DA3844"/>
    <w:rsid w:val="00DA385D"/>
    <w:rsid w:val="00DA390E"/>
    <w:rsid w:val="00DA3959"/>
    <w:rsid w:val="00DA39DD"/>
    <w:rsid w:val="00DA3A14"/>
    <w:rsid w:val="00DA3AB0"/>
    <w:rsid w:val="00DA3ACA"/>
    <w:rsid w:val="00DA3BBF"/>
    <w:rsid w:val="00DA3C2B"/>
    <w:rsid w:val="00DA3C3F"/>
    <w:rsid w:val="00DA3CAA"/>
    <w:rsid w:val="00DA3CE4"/>
    <w:rsid w:val="00DA3DDC"/>
    <w:rsid w:val="00DA3E44"/>
    <w:rsid w:val="00DA41A2"/>
    <w:rsid w:val="00DA425D"/>
    <w:rsid w:val="00DA42DE"/>
    <w:rsid w:val="00DA4310"/>
    <w:rsid w:val="00DA435E"/>
    <w:rsid w:val="00DA43FC"/>
    <w:rsid w:val="00DA452D"/>
    <w:rsid w:val="00DA46BB"/>
    <w:rsid w:val="00DA4706"/>
    <w:rsid w:val="00DA472A"/>
    <w:rsid w:val="00DA4771"/>
    <w:rsid w:val="00DA4815"/>
    <w:rsid w:val="00DA483F"/>
    <w:rsid w:val="00DA4886"/>
    <w:rsid w:val="00DA48BA"/>
    <w:rsid w:val="00DA493D"/>
    <w:rsid w:val="00DA49E7"/>
    <w:rsid w:val="00DA4C48"/>
    <w:rsid w:val="00DA4CC0"/>
    <w:rsid w:val="00DA4D17"/>
    <w:rsid w:val="00DA4F7F"/>
    <w:rsid w:val="00DA5023"/>
    <w:rsid w:val="00DA5057"/>
    <w:rsid w:val="00DA52D1"/>
    <w:rsid w:val="00DA53DF"/>
    <w:rsid w:val="00DA542F"/>
    <w:rsid w:val="00DA5468"/>
    <w:rsid w:val="00DA5472"/>
    <w:rsid w:val="00DA5478"/>
    <w:rsid w:val="00DA54E6"/>
    <w:rsid w:val="00DA55D3"/>
    <w:rsid w:val="00DA5666"/>
    <w:rsid w:val="00DA566B"/>
    <w:rsid w:val="00DA56F7"/>
    <w:rsid w:val="00DA57EC"/>
    <w:rsid w:val="00DA5925"/>
    <w:rsid w:val="00DA5943"/>
    <w:rsid w:val="00DA5A18"/>
    <w:rsid w:val="00DA5AD4"/>
    <w:rsid w:val="00DA5ADE"/>
    <w:rsid w:val="00DA5B2D"/>
    <w:rsid w:val="00DA5BBF"/>
    <w:rsid w:val="00DA5BEF"/>
    <w:rsid w:val="00DA5C73"/>
    <w:rsid w:val="00DA5D4E"/>
    <w:rsid w:val="00DA5F5B"/>
    <w:rsid w:val="00DA604F"/>
    <w:rsid w:val="00DA607E"/>
    <w:rsid w:val="00DA61A1"/>
    <w:rsid w:val="00DA62C3"/>
    <w:rsid w:val="00DA6401"/>
    <w:rsid w:val="00DA646E"/>
    <w:rsid w:val="00DA64C9"/>
    <w:rsid w:val="00DA64FF"/>
    <w:rsid w:val="00DA652B"/>
    <w:rsid w:val="00DA65C6"/>
    <w:rsid w:val="00DA667D"/>
    <w:rsid w:val="00DA6729"/>
    <w:rsid w:val="00DA677D"/>
    <w:rsid w:val="00DA6AF0"/>
    <w:rsid w:val="00DA6B31"/>
    <w:rsid w:val="00DA6D1E"/>
    <w:rsid w:val="00DA6DDF"/>
    <w:rsid w:val="00DA6E8C"/>
    <w:rsid w:val="00DA6FC6"/>
    <w:rsid w:val="00DA6FF0"/>
    <w:rsid w:val="00DA7160"/>
    <w:rsid w:val="00DA71DA"/>
    <w:rsid w:val="00DA7311"/>
    <w:rsid w:val="00DA7560"/>
    <w:rsid w:val="00DA757D"/>
    <w:rsid w:val="00DA762B"/>
    <w:rsid w:val="00DA7684"/>
    <w:rsid w:val="00DA775D"/>
    <w:rsid w:val="00DA7783"/>
    <w:rsid w:val="00DA7A93"/>
    <w:rsid w:val="00DA7B67"/>
    <w:rsid w:val="00DA7BD0"/>
    <w:rsid w:val="00DA7C43"/>
    <w:rsid w:val="00DA7D7B"/>
    <w:rsid w:val="00DA7E60"/>
    <w:rsid w:val="00DA7F16"/>
    <w:rsid w:val="00DA7F23"/>
    <w:rsid w:val="00DA7F6D"/>
    <w:rsid w:val="00DA7F95"/>
    <w:rsid w:val="00DB0022"/>
    <w:rsid w:val="00DB036F"/>
    <w:rsid w:val="00DB0387"/>
    <w:rsid w:val="00DB042A"/>
    <w:rsid w:val="00DB04D0"/>
    <w:rsid w:val="00DB04E3"/>
    <w:rsid w:val="00DB0693"/>
    <w:rsid w:val="00DB06AD"/>
    <w:rsid w:val="00DB07FB"/>
    <w:rsid w:val="00DB0950"/>
    <w:rsid w:val="00DB098E"/>
    <w:rsid w:val="00DB0998"/>
    <w:rsid w:val="00DB09A9"/>
    <w:rsid w:val="00DB0A42"/>
    <w:rsid w:val="00DB0AD0"/>
    <w:rsid w:val="00DB0B0B"/>
    <w:rsid w:val="00DB0C42"/>
    <w:rsid w:val="00DB0C9E"/>
    <w:rsid w:val="00DB0DBF"/>
    <w:rsid w:val="00DB0E60"/>
    <w:rsid w:val="00DB0E7E"/>
    <w:rsid w:val="00DB0FEC"/>
    <w:rsid w:val="00DB1082"/>
    <w:rsid w:val="00DB145F"/>
    <w:rsid w:val="00DB14D8"/>
    <w:rsid w:val="00DB17CF"/>
    <w:rsid w:val="00DB187A"/>
    <w:rsid w:val="00DB1A4F"/>
    <w:rsid w:val="00DB1ABE"/>
    <w:rsid w:val="00DB1AF3"/>
    <w:rsid w:val="00DB1BF3"/>
    <w:rsid w:val="00DB1C6D"/>
    <w:rsid w:val="00DB1CAE"/>
    <w:rsid w:val="00DB1CBA"/>
    <w:rsid w:val="00DB1CE6"/>
    <w:rsid w:val="00DB1D81"/>
    <w:rsid w:val="00DB1E91"/>
    <w:rsid w:val="00DB1EC5"/>
    <w:rsid w:val="00DB1F7C"/>
    <w:rsid w:val="00DB1FA2"/>
    <w:rsid w:val="00DB211C"/>
    <w:rsid w:val="00DB214E"/>
    <w:rsid w:val="00DB2175"/>
    <w:rsid w:val="00DB2330"/>
    <w:rsid w:val="00DB23A9"/>
    <w:rsid w:val="00DB23BE"/>
    <w:rsid w:val="00DB243F"/>
    <w:rsid w:val="00DB2481"/>
    <w:rsid w:val="00DB25B0"/>
    <w:rsid w:val="00DB26A4"/>
    <w:rsid w:val="00DB2761"/>
    <w:rsid w:val="00DB280F"/>
    <w:rsid w:val="00DB28E2"/>
    <w:rsid w:val="00DB29A1"/>
    <w:rsid w:val="00DB2A62"/>
    <w:rsid w:val="00DB2CA9"/>
    <w:rsid w:val="00DB2CF8"/>
    <w:rsid w:val="00DB2D0A"/>
    <w:rsid w:val="00DB2D3B"/>
    <w:rsid w:val="00DB2DDC"/>
    <w:rsid w:val="00DB2E03"/>
    <w:rsid w:val="00DB2E45"/>
    <w:rsid w:val="00DB2F2B"/>
    <w:rsid w:val="00DB311A"/>
    <w:rsid w:val="00DB316A"/>
    <w:rsid w:val="00DB31CB"/>
    <w:rsid w:val="00DB32A0"/>
    <w:rsid w:val="00DB32E4"/>
    <w:rsid w:val="00DB33D9"/>
    <w:rsid w:val="00DB341E"/>
    <w:rsid w:val="00DB349C"/>
    <w:rsid w:val="00DB349D"/>
    <w:rsid w:val="00DB34FC"/>
    <w:rsid w:val="00DB354F"/>
    <w:rsid w:val="00DB359B"/>
    <w:rsid w:val="00DB3603"/>
    <w:rsid w:val="00DB369A"/>
    <w:rsid w:val="00DB378C"/>
    <w:rsid w:val="00DB37F9"/>
    <w:rsid w:val="00DB3856"/>
    <w:rsid w:val="00DB389B"/>
    <w:rsid w:val="00DB3A8B"/>
    <w:rsid w:val="00DB3B58"/>
    <w:rsid w:val="00DB3B80"/>
    <w:rsid w:val="00DB3CB0"/>
    <w:rsid w:val="00DB3D27"/>
    <w:rsid w:val="00DB3E60"/>
    <w:rsid w:val="00DB3EC9"/>
    <w:rsid w:val="00DB3FC3"/>
    <w:rsid w:val="00DB3FFF"/>
    <w:rsid w:val="00DB4121"/>
    <w:rsid w:val="00DB4226"/>
    <w:rsid w:val="00DB448F"/>
    <w:rsid w:val="00DB44FF"/>
    <w:rsid w:val="00DB4518"/>
    <w:rsid w:val="00DB45B8"/>
    <w:rsid w:val="00DB46DD"/>
    <w:rsid w:val="00DB485C"/>
    <w:rsid w:val="00DB4980"/>
    <w:rsid w:val="00DB4AE2"/>
    <w:rsid w:val="00DB4B59"/>
    <w:rsid w:val="00DB4B67"/>
    <w:rsid w:val="00DB4C34"/>
    <w:rsid w:val="00DB4CF0"/>
    <w:rsid w:val="00DB4D28"/>
    <w:rsid w:val="00DB4DEA"/>
    <w:rsid w:val="00DB4E47"/>
    <w:rsid w:val="00DB4FCB"/>
    <w:rsid w:val="00DB5096"/>
    <w:rsid w:val="00DB51C6"/>
    <w:rsid w:val="00DB529A"/>
    <w:rsid w:val="00DB538B"/>
    <w:rsid w:val="00DB53F7"/>
    <w:rsid w:val="00DB53F9"/>
    <w:rsid w:val="00DB552E"/>
    <w:rsid w:val="00DB5530"/>
    <w:rsid w:val="00DB5579"/>
    <w:rsid w:val="00DB55E5"/>
    <w:rsid w:val="00DB56E8"/>
    <w:rsid w:val="00DB5725"/>
    <w:rsid w:val="00DB5772"/>
    <w:rsid w:val="00DB578C"/>
    <w:rsid w:val="00DB5A0C"/>
    <w:rsid w:val="00DB5A7A"/>
    <w:rsid w:val="00DB5AF8"/>
    <w:rsid w:val="00DB5DAE"/>
    <w:rsid w:val="00DB5EA4"/>
    <w:rsid w:val="00DB5FF1"/>
    <w:rsid w:val="00DB6071"/>
    <w:rsid w:val="00DB6104"/>
    <w:rsid w:val="00DB6157"/>
    <w:rsid w:val="00DB6245"/>
    <w:rsid w:val="00DB6271"/>
    <w:rsid w:val="00DB6301"/>
    <w:rsid w:val="00DB632F"/>
    <w:rsid w:val="00DB6348"/>
    <w:rsid w:val="00DB636C"/>
    <w:rsid w:val="00DB63F3"/>
    <w:rsid w:val="00DB64CA"/>
    <w:rsid w:val="00DB6531"/>
    <w:rsid w:val="00DB6638"/>
    <w:rsid w:val="00DB66E1"/>
    <w:rsid w:val="00DB6733"/>
    <w:rsid w:val="00DB6737"/>
    <w:rsid w:val="00DB6763"/>
    <w:rsid w:val="00DB683D"/>
    <w:rsid w:val="00DB6879"/>
    <w:rsid w:val="00DB6885"/>
    <w:rsid w:val="00DB6911"/>
    <w:rsid w:val="00DB6A4C"/>
    <w:rsid w:val="00DB6AB9"/>
    <w:rsid w:val="00DB6C43"/>
    <w:rsid w:val="00DB6DAB"/>
    <w:rsid w:val="00DB6E25"/>
    <w:rsid w:val="00DB6E54"/>
    <w:rsid w:val="00DB6F0E"/>
    <w:rsid w:val="00DB7245"/>
    <w:rsid w:val="00DB72FA"/>
    <w:rsid w:val="00DB7314"/>
    <w:rsid w:val="00DB736D"/>
    <w:rsid w:val="00DB7416"/>
    <w:rsid w:val="00DB7598"/>
    <w:rsid w:val="00DB77CC"/>
    <w:rsid w:val="00DB77EA"/>
    <w:rsid w:val="00DB7861"/>
    <w:rsid w:val="00DB7867"/>
    <w:rsid w:val="00DB78DD"/>
    <w:rsid w:val="00DB7968"/>
    <w:rsid w:val="00DB7A66"/>
    <w:rsid w:val="00DB7A71"/>
    <w:rsid w:val="00DB7B17"/>
    <w:rsid w:val="00DB7CFA"/>
    <w:rsid w:val="00DB7D00"/>
    <w:rsid w:val="00DB7D73"/>
    <w:rsid w:val="00DB7DFF"/>
    <w:rsid w:val="00DB7E9C"/>
    <w:rsid w:val="00DB7F09"/>
    <w:rsid w:val="00DC008C"/>
    <w:rsid w:val="00DC0186"/>
    <w:rsid w:val="00DC01D9"/>
    <w:rsid w:val="00DC02DD"/>
    <w:rsid w:val="00DC032E"/>
    <w:rsid w:val="00DC03F1"/>
    <w:rsid w:val="00DC0494"/>
    <w:rsid w:val="00DC06BA"/>
    <w:rsid w:val="00DC080A"/>
    <w:rsid w:val="00DC0833"/>
    <w:rsid w:val="00DC083F"/>
    <w:rsid w:val="00DC08BB"/>
    <w:rsid w:val="00DC0AF9"/>
    <w:rsid w:val="00DC0CDA"/>
    <w:rsid w:val="00DC0D84"/>
    <w:rsid w:val="00DC0E1F"/>
    <w:rsid w:val="00DC0E33"/>
    <w:rsid w:val="00DC0F2E"/>
    <w:rsid w:val="00DC0F5A"/>
    <w:rsid w:val="00DC0F62"/>
    <w:rsid w:val="00DC0FBD"/>
    <w:rsid w:val="00DC1091"/>
    <w:rsid w:val="00DC10FB"/>
    <w:rsid w:val="00DC11AA"/>
    <w:rsid w:val="00DC11FB"/>
    <w:rsid w:val="00DC12E5"/>
    <w:rsid w:val="00DC12E8"/>
    <w:rsid w:val="00DC136C"/>
    <w:rsid w:val="00DC13D9"/>
    <w:rsid w:val="00DC1473"/>
    <w:rsid w:val="00DC14FF"/>
    <w:rsid w:val="00DC1511"/>
    <w:rsid w:val="00DC154F"/>
    <w:rsid w:val="00DC16FE"/>
    <w:rsid w:val="00DC1726"/>
    <w:rsid w:val="00DC1743"/>
    <w:rsid w:val="00DC17D9"/>
    <w:rsid w:val="00DC17FE"/>
    <w:rsid w:val="00DC1811"/>
    <w:rsid w:val="00DC1828"/>
    <w:rsid w:val="00DC184B"/>
    <w:rsid w:val="00DC18C0"/>
    <w:rsid w:val="00DC18D7"/>
    <w:rsid w:val="00DC1C0B"/>
    <w:rsid w:val="00DC1D9E"/>
    <w:rsid w:val="00DC1DCA"/>
    <w:rsid w:val="00DC1EBA"/>
    <w:rsid w:val="00DC2056"/>
    <w:rsid w:val="00DC2082"/>
    <w:rsid w:val="00DC20CB"/>
    <w:rsid w:val="00DC2106"/>
    <w:rsid w:val="00DC2147"/>
    <w:rsid w:val="00DC21B9"/>
    <w:rsid w:val="00DC21BB"/>
    <w:rsid w:val="00DC230F"/>
    <w:rsid w:val="00DC242F"/>
    <w:rsid w:val="00DC24B5"/>
    <w:rsid w:val="00DC2603"/>
    <w:rsid w:val="00DC28A3"/>
    <w:rsid w:val="00DC28AE"/>
    <w:rsid w:val="00DC28EC"/>
    <w:rsid w:val="00DC29C6"/>
    <w:rsid w:val="00DC29D5"/>
    <w:rsid w:val="00DC29F9"/>
    <w:rsid w:val="00DC2A91"/>
    <w:rsid w:val="00DC2B90"/>
    <w:rsid w:val="00DC2C02"/>
    <w:rsid w:val="00DC2CA8"/>
    <w:rsid w:val="00DC2CF3"/>
    <w:rsid w:val="00DC2D37"/>
    <w:rsid w:val="00DC2D4A"/>
    <w:rsid w:val="00DC2D64"/>
    <w:rsid w:val="00DC2E18"/>
    <w:rsid w:val="00DC2F10"/>
    <w:rsid w:val="00DC2F24"/>
    <w:rsid w:val="00DC2F6C"/>
    <w:rsid w:val="00DC2FF5"/>
    <w:rsid w:val="00DC3003"/>
    <w:rsid w:val="00DC3055"/>
    <w:rsid w:val="00DC3236"/>
    <w:rsid w:val="00DC326D"/>
    <w:rsid w:val="00DC331D"/>
    <w:rsid w:val="00DC348F"/>
    <w:rsid w:val="00DC3490"/>
    <w:rsid w:val="00DC34EC"/>
    <w:rsid w:val="00DC35A8"/>
    <w:rsid w:val="00DC370F"/>
    <w:rsid w:val="00DC37F1"/>
    <w:rsid w:val="00DC38A5"/>
    <w:rsid w:val="00DC3C39"/>
    <w:rsid w:val="00DC3D12"/>
    <w:rsid w:val="00DC3FCF"/>
    <w:rsid w:val="00DC3FE3"/>
    <w:rsid w:val="00DC41AA"/>
    <w:rsid w:val="00DC41AE"/>
    <w:rsid w:val="00DC421A"/>
    <w:rsid w:val="00DC42A0"/>
    <w:rsid w:val="00DC438D"/>
    <w:rsid w:val="00DC4503"/>
    <w:rsid w:val="00DC458B"/>
    <w:rsid w:val="00DC45CA"/>
    <w:rsid w:val="00DC46A6"/>
    <w:rsid w:val="00DC471E"/>
    <w:rsid w:val="00DC4822"/>
    <w:rsid w:val="00DC488F"/>
    <w:rsid w:val="00DC4891"/>
    <w:rsid w:val="00DC4BA2"/>
    <w:rsid w:val="00DC4C3E"/>
    <w:rsid w:val="00DC4CD7"/>
    <w:rsid w:val="00DC4D3E"/>
    <w:rsid w:val="00DC4D58"/>
    <w:rsid w:val="00DC4E03"/>
    <w:rsid w:val="00DC4E2E"/>
    <w:rsid w:val="00DC4E70"/>
    <w:rsid w:val="00DC4FDE"/>
    <w:rsid w:val="00DC4FFC"/>
    <w:rsid w:val="00DC502B"/>
    <w:rsid w:val="00DC5046"/>
    <w:rsid w:val="00DC50CF"/>
    <w:rsid w:val="00DC5254"/>
    <w:rsid w:val="00DC5260"/>
    <w:rsid w:val="00DC5276"/>
    <w:rsid w:val="00DC52FD"/>
    <w:rsid w:val="00DC540A"/>
    <w:rsid w:val="00DC54A6"/>
    <w:rsid w:val="00DC54DC"/>
    <w:rsid w:val="00DC558E"/>
    <w:rsid w:val="00DC56ED"/>
    <w:rsid w:val="00DC5739"/>
    <w:rsid w:val="00DC57C7"/>
    <w:rsid w:val="00DC58BD"/>
    <w:rsid w:val="00DC58E5"/>
    <w:rsid w:val="00DC595C"/>
    <w:rsid w:val="00DC59E4"/>
    <w:rsid w:val="00DC5A08"/>
    <w:rsid w:val="00DC5A09"/>
    <w:rsid w:val="00DC5CE2"/>
    <w:rsid w:val="00DC5D9E"/>
    <w:rsid w:val="00DC5DD1"/>
    <w:rsid w:val="00DC5EE1"/>
    <w:rsid w:val="00DC5F85"/>
    <w:rsid w:val="00DC6105"/>
    <w:rsid w:val="00DC610A"/>
    <w:rsid w:val="00DC615E"/>
    <w:rsid w:val="00DC61B4"/>
    <w:rsid w:val="00DC6280"/>
    <w:rsid w:val="00DC6364"/>
    <w:rsid w:val="00DC6402"/>
    <w:rsid w:val="00DC648C"/>
    <w:rsid w:val="00DC65F0"/>
    <w:rsid w:val="00DC6605"/>
    <w:rsid w:val="00DC6691"/>
    <w:rsid w:val="00DC6693"/>
    <w:rsid w:val="00DC66D2"/>
    <w:rsid w:val="00DC66DC"/>
    <w:rsid w:val="00DC66E3"/>
    <w:rsid w:val="00DC68BF"/>
    <w:rsid w:val="00DC6A33"/>
    <w:rsid w:val="00DC6AFE"/>
    <w:rsid w:val="00DC6E43"/>
    <w:rsid w:val="00DC6F24"/>
    <w:rsid w:val="00DC6F50"/>
    <w:rsid w:val="00DC716F"/>
    <w:rsid w:val="00DC7187"/>
    <w:rsid w:val="00DC71E8"/>
    <w:rsid w:val="00DC734D"/>
    <w:rsid w:val="00DC73AB"/>
    <w:rsid w:val="00DC7487"/>
    <w:rsid w:val="00DC751B"/>
    <w:rsid w:val="00DC7698"/>
    <w:rsid w:val="00DC76E8"/>
    <w:rsid w:val="00DC7920"/>
    <w:rsid w:val="00DC7A14"/>
    <w:rsid w:val="00DC7A5F"/>
    <w:rsid w:val="00DC7AB3"/>
    <w:rsid w:val="00DC7AB4"/>
    <w:rsid w:val="00DC7ACF"/>
    <w:rsid w:val="00DC7B0C"/>
    <w:rsid w:val="00DC7C4F"/>
    <w:rsid w:val="00DC7CD4"/>
    <w:rsid w:val="00DC7CD6"/>
    <w:rsid w:val="00DC7D11"/>
    <w:rsid w:val="00DC7F06"/>
    <w:rsid w:val="00DC7FE2"/>
    <w:rsid w:val="00DD0219"/>
    <w:rsid w:val="00DD03DE"/>
    <w:rsid w:val="00DD0448"/>
    <w:rsid w:val="00DD0472"/>
    <w:rsid w:val="00DD04E7"/>
    <w:rsid w:val="00DD06B8"/>
    <w:rsid w:val="00DD06C8"/>
    <w:rsid w:val="00DD07E2"/>
    <w:rsid w:val="00DD087D"/>
    <w:rsid w:val="00DD0906"/>
    <w:rsid w:val="00DD0939"/>
    <w:rsid w:val="00DD0A92"/>
    <w:rsid w:val="00DD0CA8"/>
    <w:rsid w:val="00DD0D1E"/>
    <w:rsid w:val="00DD0D79"/>
    <w:rsid w:val="00DD0EB0"/>
    <w:rsid w:val="00DD0FA3"/>
    <w:rsid w:val="00DD1122"/>
    <w:rsid w:val="00DD1164"/>
    <w:rsid w:val="00DD116B"/>
    <w:rsid w:val="00DD1218"/>
    <w:rsid w:val="00DD12FC"/>
    <w:rsid w:val="00DD14B1"/>
    <w:rsid w:val="00DD1650"/>
    <w:rsid w:val="00DD1666"/>
    <w:rsid w:val="00DD16EA"/>
    <w:rsid w:val="00DD16EE"/>
    <w:rsid w:val="00DD17DA"/>
    <w:rsid w:val="00DD18C6"/>
    <w:rsid w:val="00DD19DD"/>
    <w:rsid w:val="00DD1A79"/>
    <w:rsid w:val="00DD1AB4"/>
    <w:rsid w:val="00DD1C22"/>
    <w:rsid w:val="00DD1C77"/>
    <w:rsid w:val="00DD209C"/>
    <w:rsid w:val="00DD20B1"/>
    <w:rsid w:val="00DD2115"/>
    <w:rsid w:val="00DD215D"/>
    <w:rsid w:val="00DD216E"/>
    <w:rsid w:val="00DD227D"/>
    <w:rsid w:val="00DD22E4"/>
    <w:rsid w:val="00DD233E"/>
    <w:rsid w:val="00DD2390"/>
    <w:rsid w:val="00DD24FE"/>
    <w:rsid w:val="00DD272B"/>
    <w:rsid w:val="00DD27A0"/>
    <w:rsid w:val="00DD27B2"/>
    <w:rsid w:val="00DD27FD"/>
    <w:rsid w:val="00DD282F"/>
    <w:rsid w:val="00DD2859"/>
    <w:rsid w:val="00DD2870"/>
    <w:rsid w:val="00DD28B4"/>
    <w:rsid w:val="00DD2A0F"/>
    <w:rsid w:val="00DD2AC5"/>
    <w:rsid w:val="00DD2B59"/>
    <w:rsid w:val="00DD2C53"/>
    <w:rsid w:val="00DD2C96"/>
    <w:rsid w:val="00DD2E4D"/>
    <w:rsid w:val="00DD2FA5"/>
    <w:rsid w:val="00DD31B8"/>
    <w:rsid w:val="00DD31C6"/>
    <w:rsid w:val="00DD31CA"/>
    <w:rsid w:val="00DD3273"/>
    <w:rsid w:val="00DD32BE"/>
    <w:rsid w:val="00DD3363"/>
    <w:rsid w:val="00DD3645"/>
    <w:rsid w:val="00DD375F"/>
    <w:rsid w:val="00DD38AA"/>
    <w:rsid w:val="00DD3B2F"/>
    <w:rsid w:val="00DD3B7F"/>
    <w:rsid w:val="00DD3BD5"/>
    <w:rsid w:val="00DD3C01"/>
    <w:rsid w:val="00DD3C35"/>
    <w:rsid w:val="00DD3D98"/>
    <w:rsid w:val="00DD3DF9"/>
    <w:rsid w:val="00DD400F"/>
    <w:rsid w:val="00DD4040"/>
    <w:rsid w:val="00DD40E1"/>
    <w:rsid w:val="00DD411F"/>
    <w:rsid w:val="00DD41B6"/>
    <w:rsid w:val="00DD41DA"/>
    <w:rsid w:val="00DD4211"/>
    <w:rsid w:val="00DD43BD"/>
    <w:rsid w:val="00DD4471"/>
    <w:rsid w:val="00DD44DC"/>
    <w:rsid w:val="00DD4624"/>
    <w:rsid w:val="00DD4672"/>
    <w:rsid w:val="00DD46CE"/>
    <w:rsid w:val="00DD4788"/>
    <w:rsid w:val="00DD487E"/>
    <w:rsid w:val="00DD48BD"/>
    <w:rsid w:val="00DD48DA"/>
    <w:rsid w:val="00DD495C"/>
    <w:rsid w:val="00DD496B"/>
    <w:rsid w:val="00DD4972"/>
    <w:rsid w:val="00DD4A1E"/>
    <w:rsid w:val="00DD4AA1"/>
    <w:rsid w:val="00DD4B5A"/>
    <w:rsid w:val="00DD4C09"/>
    <w:rsid w:val="00DD4D31"/>
    <w:rsid w:val="00DD4E46"/>
    <w:rsid w:val="00DD4FB0"/>
    <w:rsid w:val="00DD4FD2"/>
    <w:rsid w:val="00DD4FF3"/>
    <w:rsid w:val="00DD5008"/>
    <w:rsid w:val="00DD500C"/>
    <w:rsid w:val="00DD5167"/>
    <w:rsid w:val="00DD51AA"/>
    <w:rsid w:val="00DD5210"/>
    <w:rsid w:val="00DD5352"/>
    <w:rsid w:val="00DD56CA"/>
    <w:rsid w:val="00DD572D"/>
    <w:rsid w:val="00DD58AE"/>
    <w:rsid w:val="00DD5928"/>
    <w:rsid w:val="00DD59AA"/>
    <w:rsid w:val="00DD5A7E"/>
    <w:rsid w:val="00DD5B94"/>
    <w:rsid w:val="00DD5BB2"/>
    <w:rsid w:val="00DD5C08"/>
    <w:rsid w:val="00DD5DEF"/>
    <w:rsid w:val="00DD5F06"/>
    <w:rsid w:val="00DD5F6B"/>
    <w:rsid w:val="00DD5FAA"/>
    <w:rsid w:val="00DD6056"/>
    <w:rsid w:val="00DD6063"/>
    <w:rsid w:val="00DD6175"/>
    <w:rsid w:val="00DD636B"/>
    <w:rsid w:val="00DD645F"/>
    <w:rsid w:val="00DD6485"/>
    <w:rsid w:val="00DD6501"/>
    <w:rsid w:val="00DD6599"/>
    <w:rsid w:val="00DD6778"/>
    <w:rsid w:val="00DD67BF"/>
    <w:rsid w:val="00DD698A"/>
    <w:rsid w:val="00DD6A8F"/>
    <w:rsid w:val="00DD6AB4"/>
    <w:rsid w:val="00DD6C1D"/>
    <w:rsid w:val="00DD6D4B"/>
    <w:rsid w:val="00DD6D6C"/>
    <w:rsid w:val="00DD6ECD"/>
    <w:rsid w:val="00DD712E"/>
    <w:rsid w:val="00DD71FC"/>
    <w:rsid w:val="00DD720A"/>
    <w:rsid w:val="00DD7341"/>
    <w:rsid w:val="00DD7366"/>
    <w:rsid w:val="00DD73B6"/>
    <w:rsid w:val="00DD7516"/>
    <w:rsid w:val="00DD7539"/>
    <w:rsid w:val="00DD7627"/>
    <w:rsid w:val="00DD7654"/>
    <w:rsid w:val="00DD7929"/>
    <w:rsid w:val="00DD79EB"/>
    <w:rsid w:val="00DD7A0A"/>
    <w:rsid w:val="00DD7A1C"/>
    <w:rsid w:val="00DD7A28"/>
    <w:rsid w:val="00DD7B52"/>
    <w:rsid w:val="00DD7BB1"/>
    <w:rsid w:val="00DD7CBC"/>
    <w:rsid w:val="00DD7CC4"/>
    <w:rsid w:val="00DD7E99"/>
    <w:rsid w:val="00DD7FC9"/>
    <w:rsid w:val="00DE0018"/>
    <w:rsid w:val="00DE0023"/>
    <w:rsid w:val="00DE00A7"/>
    <w:rsid w:val="00DE00BE"/>
    <w:rsid w:val="00DE016F"/>
    <w:rsid w:val="00DE0181"/>
    <w:rsid w:val="00DE01B1"/>
    <w:rsid w:val="00DE0265"/>
    <w:rsid w:val="00DE03E7"/>
    <w:rsid w:val="00DE0424"/>
    <w:rsid w:val="00DE04FE"/>
    <w:rsid w:val="00DE0531"/>
    <w:rsid w:val="00DE0552"/>
    <w:rsid w:val="00DE0593"/>
    <w:rsid w:val="00DE05B4"/>
    <w:rsid w:val="00DE0660"/>
    <w:rsid w:val="00DE073D"/>
    <w:rsid w:val="00DE0848"/>
    <w:rsid w:val="00DE0899"/>
    <w:rsid w:val="00DE090A"/>
    <w:rsid w:val="00DE0930"/>
    <w:rsid w:val="00DE095D"/>
    <w:rsid w:val="00DE0BB9"/>
    <w:rsid w:val="00DE0C7A"/>
    <w:rsid w:val="00DE0DBB"/>
    <w:rsid w:val="00DE0DFD"/>
    <w:rsid w:val="00DE0E01"/>
    <w:rsid w:val="00DE0FF0"/>
    <w:rsid w:val="00DE1016"/>
    <w:rsid w:val="00DE1046"/>
    <w:rsid w:val="00DE1064"/>
    <w:rsid w:val="00DE1130"/>
    <w:rsid w:val="00DE1173"/>
    <w:rsid w:val="00DE11F1"/>
    <w:rsid w:val="00DE12D8"/>
    <w:rsid w:val="00DE138F"/>
    <w:rsid w:val="00DE13D5"/>
    <w:rsid w:val="00DE1450"/>
    <w:rsid w:val="00DE15B3"/>
    <w:rsid w:val="00DE17AE"/>
    <w:rsid w:val="00DE1824"/>
    <w:rsid w:val="00DE185D"/>
    <w:rsid w:val="00DE18F0"/>
    <w:rsid w:val="00DE1951"/>
    <w:rsid w:val="00DE1A46"/>
    <w:rsid w:val="00DE1A56"/>
    <w:rsid w:val="00DE1B22"/>
    <w:rsid w:val="00DE1B31"/>
    <w:rsid w:val="00DE1B57"/>
    <w:rsid w:val="00DE1BF8"/>
    <w:rsid w:val="00DE1D98"/>
    <w:rsid w:val="00DE1E7D"/>
    <w:rsid w:val="00DE1ED7"/>
    <w:rsid w:val="00DE1F22"/>
    <w:rsid w:val="00DE1F23"/>
    <w:rsid w:val="00DE1F7C"/>
    <w:rsid w:val="00DE2263"/>
    <w:rsid w:val="00DE22A7"/>
    <w:rsid w:val="00DE2391"/>
    <w:rsid w:val="00DE2499"/>
    <w:rsid w:val="00DE2855"/>
    <w:rsid w:val="00DE2860"/>
    <w:rsid w:val="00DE28CD"/>
    <w:rsid w:val="00DE28D0"/>
    <w:rsid w:val="00DE2949"/>
    <w:rsid w:val="00DE2B1F"/>
    <w:rsid w:val="00DE2BFB"/>
    <w:rsid w:val="00DE2D6E"/>
    <w:rsid w:val="00DE2D80"/>
    <w:rsid w:val="00DE2E8C"/>
    <w:rsid w:val="00DE2ECD"/>
    <w:rsid w:val="00DE2F03"/>
    <w:rsid w:val="00DE2FFF"/>
    <w:rsid w:val="00DE305E"/>
    <w:rsid w:val="00DE30CD"/>
    <w:rsid w:val="00DE3118"/>
    <w:rsid w:val="00DE3393"/>
    <w:rsid w:val="00DE347E"/>
    <w:rsid w:val="00DE3755"/>
    <w:rsid w:val="00DE3764"/>
    <w:rsid w:val="00DE37C1"/>
    <w:rsid w:val="00DE39FA"/>
    <w:rsid w:val="00DE3A6B"/>
    <w:rsid w:val="00DE3ADC"/>
    <w:rsid w:val="00DE3BAF"/>
    <w:rsid w:val="00DE3C86"/>
    <w:rsid w:val="00DE3D54"/>
    <w:rsid w:val="00DE3E46"/>
    <w:rsid w:val="00DE3E6F"/>
    <w:rsid w:val="00DE3F33"/>
    <w:rsid w:val="00DE410F"/>
    <w:rsid w:val="00DE4161"/>
    <w:rsid w:val="00DE4198"/>
    <w:rsid w:val="00DE43F1"/>
    <w:rsid w:val="00DE4461"/>
    <w:rsid w:val="00DE448E"/>
    <w:rsid w:val="00DE44EB"/>
    <w:rsid w:val="00DE4577"/>
    <w:rsid w:val="00DE46F7"/>
    <w:rsid w:val="00DE48B8"/>
    <w:rsid w:val="00DE48E0"/>
    <w:rsid w:val="00DE4928"/>
    <w:rsid w:val="00DE49AA"/>
    <w:rsid w:val="00DE4A91"/>
    <w:rsid w:val="00DE4AFD"/>
    <w:rsid w:val="00DE4B3E"/>
    <w:rsid w:val="00DE4DAE"/>
    <w:rsid w:val="00DE4F2D"/>
    <w:rsid w:val="00DE4F64"/>
    <w:rsid w:val="00DE4F97"/>
    <w:rsid w:val="00DE501B"/>
    <w:rsid w:val="00DE5159"/>
    <w:rsid w:val="00DE5184"/>
    <w:rsid w:val="00DE52E7"/>
    <w:rsid w:val="00DE5305"/>
    <w:rsid w:val="00DE53DE"/>
    <w:rsid w:val="00DE543B"/>
    <w:rsid w:val="00DE55D4"/>
    <w:rsid w:val="00DE55F6"/>
    <w:rsid w:val="00DE5605"/>
    <w:rsid w:val="00DE59A4"/>
    <w:rsid w:val="00DE59FB"/>
    <w:rsid w:val="00DE5A09"/>
    <w:rsid w:val="00DE5A82"/>
    <w:rsid w:val="00DE5AB5"/>
    <w:rsid w:val="00DE5B9A"/>
    <w:rsid w:val="00DE5C0A"/>
    <w:rsid w:val="00DE5C2E"/>
    <w:rsid w:val="00DE5C7B"/>
    <w:rsid w:val="00DE5D2A"/>
    <w:rsid w:val="00DE5D73"/>
    <w:rsid w:val="00DE5EB5"/>
    <w:rsid w:val="00DE5F0C"/>
    <w:rsid w:val="00DE5F85"/>
    <w:rsid w:val="00DE5FE2"/>
    <w:rsid w:val="00DE5FFB"/>
    <w:rsid w:val="00DE603C"/>
    <w:rsid w:val="00DE6072"/>
    <w:rsid w:val="00DE610E"/>
    <w:rsid w:val="00DE6152"/>
    <w:rsid w:val="00DE62DE"/>
    <w:rsid w:val="00DE64FF"/>
    <w:rsid w:val="00DE652D"/>
    <w:rsid w:val="00DE661B"/>
    <w:rsid w:val="00DE66BF"/>
    <w:rsid w:val="00DE6832"/>
    <w:rsid w:val="00DE6837"/>
    <w:rsid w:val="00DE6987"/>
    <w:rsid w:val="00DE6A6C"/>
    <w:rsid w:val="00DE6A9C"/>
    <w:rsid w:val="00DE6B50"/>
    <w:rsid w:val="00DE6B7D"/>
    <w:rsid w:val="00DE6C01"/>
    <w:rsid w:val="00DE6C10"/>
    <w:rsid w:val="00DE6C11"/>
    <w:rsid w:val="00DE6C5D"/>
    <w:rsid w:val="00DE6CB9"/>
    <w:rsid w:val="00DE6D09"/>
    <w:rsid w:val="00DE6E6D"/>
    <w:rsid w:val="00DE6EC4"/>
    <w:rsid w:val="00DE6F45"/>
    <w:rsid w:val="00DE7006"/>
    <w:rsid w:val="00DE7024"/>
    <w:rsid w:val="00DE7090"/>
    <w:rsid w:val="00DE70D9"/>
    <w:rsid w:val="00DE715D"/>
    <w:rsid w:val="00DE7322"/>
    <w:rsid w:val="00DE7543"/>
    <w:rsid w:val="00DE75B6"/>
    <w:rsid w:val="00DE786C"/>
    <w:rsid w:val="00DE79C9"/>
    <w:rsid w:val="00DE7A7E"/>
    <w:rsid w:val="00DE7ADF"/>
    <w:rsid w:val="00DE7CA2"/>
    <w:rsid w:val="00DE7CDC"/>
    <w:rsid w:val="00DE7CEC"/>
    <w:rsid w:val="00DE7D3E"/>
    <w:rsid w:val="00DE7DCC"/>
    <w:rsid w:val="00DE7E37"/>
    <w:rsid w:val="00DE7E44"/>
    <w:rsid w:val="00DE7E5A"/>
    <w:rsid w:val="00DE7FC1"/>
    <w:rsid w:val="00DEA1FC"/>
    <w:rsid w:val="00DF0045"/>
    <w:rsid w:val="00DF01E7"/>
    <w:rsid w:val="00DF0236"/>
    <w:rsid w:val="00DF029D"/>
    <w:rsid w:val="00DF033A"/>
    <w:rsid w:val="00DF0346"/>
    <w:rsid w:val="00DF03F2"/>
    <w:rsid w:val="00DF041B"/>
    <w:rsid w:val="00DF0482"/>
    <w:rsid w:val="00DF04B8"/>
    <w:rsid w:val="00DF0522"/>
    <w:rsid w:val="00DF0592"/>
    <w:rsid w:val="00DF07BD"/>
    <w:rsid w:val="00DF0857"/>
    <w:rsid w:val="00DF0947"/>
    <w:rsid w:val="00DF09D0"/>
    <w:rsid w:val="00DF0B8E"/>
    <w:rsid w:val="00DF0D27"/>
    <w:rsid w:val="00DF0D34"/>
    <w:rsid w:val="00DF0D53"/>
    <w:rsid w:val="00DF0D62"/>
    <w:rsid w:val="00DF0E72"/>
    <w:rsid w:val="00DF0EEE"/>
    <w:rsid w:val="00DF10B3"/>
    <w:rsid w:val="00DF1256"/>
    <w:rsid w:val="00DF128B"/>
    <w:rsid w:val="00DF1373"/>
    <w:rsid w:val="00DF14B7"/>
    <w:rsid w:val="00DF14FD"/>
    <w:rsid w:val="00DF162A"/>
    <w:rsid w:val="00DF188D"/>
    <w:rsid w:val="00DF191C"/>
    <w:rsid w:val="00DF1A40"/>
    <w:rsid w:val="00DF1ADD"/>
    <w:rsid w:val="00DF1D40"/>
    <w:rsid w:val="00DF1F7D"/>
    <w:rsid w:val="00DF1FCE"/>
    <w:rsid w:val="00DF2095"/>
    <w:rsid w:val="00DF2481"/>
    <w:rsid w:val="00DF24B2"/>
    <w:rsid w:val="00DF2611"/>
    <w:rsid w:val="00DF268F"/>
    <w:rsid w:val="00DF2808"/>
    <w:rsid w:val="00DF2961"/>
    <w:rsid w:val="00DF2A58"/>
    <w:rsid w:val="00DF2AFE"/>
    <w:rsid w:val="00DF2BF1"/>
    <w:rsid w:val="00DF2C07"/>
    <w:rsid w:val="00DF2C6B"/>
    <w:rsid w:val="00DF2CF1"/>
    <w:rsid w:val="00DF2DF6"/>
    <w:rsid w:val="00DF2DFC"/>
    <w:rsid w:val="00DF2E7F"/>
    <w:rsid w:val="00DF2EA1"/>
    <w:rsid w:val="00DF2EA2"/>
    <w:rsid w:val="00DF2ED2"/>
    <w:rsid w:val="00DF2F2E"/>
    <w:rsid w:val="00DF304F"/>
    <w:rsid w:val="00DF312C"/>
    <w:rsid w:val="00DF326D"/>
    <w:rsid w:val="00DF32E8"/>
    <w:rsid w:val="00DF3303"/>
    <w:rsid w:val="00DF3387"/>
    <w:rsid w:val="00DF3430"/>
    <w:rsid w:val="00DF343C"/>
    <w:rsid w:val="00DF353F"/>
    <w:rsid w:val="00DF3567"/>
    <w:rsid w:val="00DF359B"/>
    <w:rsid w:val="00DF370C"/>
    <w:rsid w:val="00DF37F8"/>
    <w:rsid w:val="00DF394F"/>
    <w:rsid w:val="00DF3956"/>
    <w:rsid w:val="00DF3A22"/>
    <w:rsid w:val="00DF3ABC"/>
    <w:rsid w:val="00DF3CDA"/>
    <w:rsid w:val="00DF3D5B"/>
    <w:rsid w:val="00DF3E28"/>
    <w:rsid w:val="00DF3E98"/>
    <w:rsid w:val="00DF3EDC"/>
    <w:rsid w:val="00DF3EF1"/>
    <w:rsid w:val="00DF3FBF"/>
    <w:rsid w:val="00DF4017"/>
    <w:rsid w:val="00DF4032"/>
    <w:rsid w:val="00DF41AC"/>
    <w:rsid w:val="00DF4204"/>
    <w:rsid w:val="00DF421A"/>
    <w:rsid w:val="00DF4332"/>
    <w:rsid w:val="00DF43BB"/>
    <w:rsid w:val="00DF4433"/>
    <w:rsid w:val="00DF44A5"/>
    <w:rsid w:val="00DF46DA"/>
    <w:rsid w:val="00DF47D4"/>
    <w:rsid w:val="00DF4834"/>
    <w:rsid w:val="00DF4865"/>
    <w:rsid w:val="00DF48AA"/>
    <w:rsid w:val="00DF48FC"/>
    <w:rsid w:val="00DF4A29"/>
    <w:rsid w:val="00DF4A3D"/>
    <w:rsid w:val="00DF4B27"/>
    <w:rsid w:val="00DF4B51"/>
    <w:rsid w:val="00DF4CCF"/>
    <w:rsid w:val="00DF4D81"/>
    <w:rsid w:val="00DF4DD6"/>
    <w:rsid w:val="00DF4DF0"/>
    <w:rsid w:val="00DF4E10"/>
    <w:rsid w:val="00DF4F40"/>
    <w:rsid w:val="00DF5339"/>
    <w:rsid w:val="00DF535A"/>
    <w:rsid w:val="00DF536B"/>
    <w:rsid w:val="00DF53AF"/>
    <w:rsid w:val="00DF556C"/>
    <w:rsid w:val="00DF55AF"/>
    <w:rsid w:val="00DF55E3"/>
    <w:rsid w:val="00DF56AC"/>
    <w:rsid w:val="00DF59EC"/>
    <w:rsid w:val="00DF5A06"/>
    <w:rsid w:val="00DF5A34"/>
    <w:rsid w:val="00DF5C83"/>
    <w:rsid w:val="00DF5C85"/>
    <w:rsid w:val="00DF5C89"/>
    <w:rsid w:val="00DF5C9B"/>
    <w:rsid w:val="00DF5CAC"/>
    <w:rsid w:val="00DF5E90"/>
    <w:rsid w:val="00DF609B"/>
    <w:rsid w:val="00DF60DB"/>
    <w:rsid w:val="00DF60E3"/>
    <w:rsid w:val="00DF612B"/>
    <w:rsid w:val="00DF6140"/>
    <w:rsid w:val="00DF6281"/>
    <w:rsid w:val="00DF6436"/>
    <w:rsid w:val="00DF6514"/>
    <w:rsid w:val="00DF6523"/>
    <w:rsid w:val="00DF66EA"/>
    <w:rsid w:val="00DF68BA"/>
    <w:rsid w:val="00DF6997"/>
    <w:rsid w:val="00DF699E"/>
    <w:rsid w:val="00DF69F4"/>
    <w:rsid w:val="00DF69F5"/>
    <w:rsid w:val="00DF6A25"/>
    <w:rsid w:val="00DF6CDA"/>
    <w:rsid w:val="00DF6CE7"/>
    <w:rsid w:val="00DF6DBD"/>
    <w:rsid w:val="00DF6DDC"/>
    <w:rsid w:val="00DF6E57"/>
    <w:rsid w:val="00DF6E77"/>
    <w:rsid w:val="00DF6FFD"/>
    <w:rsid w:val="00DF7055"/>
    <w:rsid w:val="00DF70D9"/>
    <w:rsid w:val="00DF7143"/>
    <w:rsid w:val="00DF7157"/>
    <w:rsid w:val="00DF71C8"/>
    <w:rsid w:val="00DF7219"/>
    <w:rsid w:val="00DF7229"/>
    <w:rsid w:val="00DF73D5"/>
    <w:rsid w:val="00DF751E"/>
    <w:rsid w:val="00DF7721"/>
    <w:rsid w:val="00DF77FC"/>
    <w:rsid w:val="00DF787B"/>
    <w:rsid w:val="00DF7964"/>
    <w:rsid w:val="00DF79A1"/>
    <w:rsid w:val="00DF7A6A"/>
    <w:rsid w:val="00DF7B38"/>
    <w:rsid w:val="00DF7D28"/>
    <w:rsid w:val="00E0002E"/>
    <w:rsid w:val="00E0002F"/>
    <w:rsid w:val="00E000EB"/>
    <w:rsid w:val="00E0024D"/>
    <w:rsid w:val="00E00318"/>
    <w:rsid w:val="00E00385"/>
    <w:rsid w:val="00E005FC"/>
    <w:rsid w:val="00E0065E"/>
    <w:rsid w:val="00E0075C"/>
    <w:rsid w:val="00E00830"/>
    <w:rsid w:val="00E00845"/>
    <w:rsid w:val="00E00868"/>
    <w:rsid w:val="00E0091A"/>
    <w:rsid w:val="00E009C0"/>
    <w:rsid w:val="00E00B2A"/>
    <w:rsid w:val="00E00C67"/>
    <w:rsid w:val="00E00D1F"/>
    <w:rsid w:val="00E00E55"/>
    <w:rsid w:val="00E00E99"/>
    <w:rsid w:val="00E00ED9"/>
    <w:rsid w:val="00E00EEB"/>
    <w:rsid w:val="00E01039"/>
    <w:rsid w:val="00E010B1"/>
    <w:rsid w:val="00E0116B"/>
    <w:rsid w:val="00E0120B"/>
    <w:rsid w:val="00E01216"/>
    <w:rsid w:val="00E014DD"/>
    <w:rsid w:val="00E014F1"/>
    <w:rsid w:val="00E0150E"/>
    <w:rsid w:val="00E0165D"/>
    <w:rsid w:val="00E01699"/>
    <w:rsid w:val="00E016D6"/>
    <w:rsid w:val="00E016EC"/>
    <w:rsid w:val="00E016ED"/>
    <w:rsid w:val="00E0187E"/>
    <w:rsid w:val="00E01881"/>
    <w:rsid w:val="00E01898"/>
    <w:rsid w:val="00E01A59"/>
    <w:rsid w:val="00E01A8B"/>
    <w:rsid w:val="00E01AEE"/>
    <w:rsid w:val="00E01BD6"/>
    <w:rsid w:val="00E01C86"/>
    <w:rsid w:val="00E01CD2"/>
    <w:rsid w:val="00E01CED"/>
    <w:rsid w:val="00E01D75"/>
    <w:rsid w:val="00E01DC4"/>
    <w:rsid w:val="00E01E93"/>
    <w:rsid w:val="00E01EE7"/>
    <w:rsid w:val="00E01EF9"/>
    <w:rsid w:val="00E01F2D"/>
    <w:rsid w:val="00E01FD6"/>
    <w:rsid w:val="00E0204D"/>
    <w:rsid w:val="00E02192"/>
    <w:rsid w:val="00E021D1"/>
    <w:rsid w:val="00E0220E"/>
    <w:rsid w:val="00E0221F"/>
    <w:rsid w:val="00E022B9"/>
    <w:rsid w:val="00E0239C"/>
    <w:rsid w:val="00E023B5"/>
    <w:rsid w:val="00E02414"/>
    <w:rsid w:val="00E0241D"/>
    <w:rsid w:val="00E02478"/>
    <w:rsid w:val="00E0252C"/>
    <w:rsid w:val="00E02656"/>
    <w:rsid w:val="00E0276B"/>
    <w:rsid w:val="00E02787"/>
    <w:rsid w:val="00E027B7"/>
    <w:rsid w:val="00E027C8"/>
    <w:rsid w:val="00E0295D"/>
    <w:rsid w:val="00E02AC2"/>
    <w:rsid w:val="00E02AF4"/>
    <w:rsid w:val="00E02B5C"/>
    <w:rsid w:val="00E02C8E"/>
    <w:rsid w:val="00E02D25"/>
    <w:rsid w:val="00E02D6A"/>
    <w:rsid w:val="00E02E12"/>
    <w:rsid w:val="00E03122"/>
    <w:rsid w:val="00E0334B"/>
    <w:rsid w:val="00E033D8"/>
    <w:rsid w:val="00E03436"/>
    <w:rsid w:val="00E034A9"/>
    <w:rsid w:val="00E034CC"/>
    <w:rsid w:val="00E03582"/>
    <w:rsid w:val="00E0361C"/>
    <w:rsid w:val="00E03722"/>
    <w:rsid w:val="00E03789"/>
    <w:rsid w:val="00E03A0E"/>
    <w:rsid w:val="00E03A8C"/>
    <w:rsid w:val="00E03AF7"/>
    <w:rsid w:val="00E03B3A"/>
    <w:rsid w:val="00E03BCD"/>
    <w:rsid w:val="00E03C8D"/>
    <w:rsid w:val="00E03D96"/>
    <w:rsid w:val="00E03DE2"/>
    <w:rsid w:val="00E03EFA"/>
    <w:rsid w:val="00E03F0A"/>
    <w:rsid w:val="00E03F36"/>
    <w:rsid w:val="00E03F99"/>
    <w:rsid w:val="00E03FF4"/>
    <w:rsid w:val="00E04001"/>
    <w:rsid w:val="00E040F9"/>
    <w:rsid w:val="00E0415F"/>
    <w:rsid w:val="00E04194"/>
    <w:rsid w:val="00E0422F"/>
    <w:rsid w:val="00E042B2"/>
    <w:rsid w:val="00E0439B"/>
    <w:rsid w:val="00E043CC"/>
    <w:rsid w:val="00E043D1"/>
    <w:rsid w:val="00E04400"/>
    <w:rsid w:val="00E04509"/>
    <w:rsid w:val="00E0450B"/>
    <w:rsid w:val="00E045D9"/>
    <w:rsid w:val="00E04629"/>
    <w:rsid w:val="00E047AE"/>
    <w:rsid w:val="00E047D6"/>
    <w:rsid w:val="00E04864"/>
    <w:rsid w:val="00E04967"/>
    <w:rsid w:val="00E049E2"/>
    <w:rsid w:val="00E04B15"/>
    <w:rsid w:val="00E04B42"/>
    <w:rsid w:val="00E04C4F"/>
    <w:rsid w:val="00E04C95"/>
    <w:rsid w:val="00E04CDE"/>
    <w:rsid w:val="00E04D4A"/>
    <w:rsid w:val="00E04D50"/>
    <w:rsid w:val="00E04DD6"/>
    <w:rsid w:val="00E04E2C"/>
    <w:rsid w:val="00E04F05"/>
    <w:rsid w:val="00E04F34"/>
    <w:rsid w:val="00E04F41"/>
    <w:rsid w:val="00E051CA"/>
    <w:rsid w:val="00E05288"/>
    <w:rsid w:val="00E057AC"/>
    <w:rsid w:val="00E0585B"/>
    <w:rsid w:val="00E05883"/>
    <w:rsid w:val="00E05912"/>
    <w:rsid w:val="00E05A2F"/>
    <w:rsid w:val="00E05B1F"/>
    <w:rsid w:val="00E05BD5"/>
    <w:rsid w:val="00E05DDE"/>
    <w:rsid w:val="00E05E87"/>
    <w:rsid w:val="00E05F77"/>
    <w:rsid w:val="00E05F7C"/>
    <w:rsid w:val="00E05FAD"/>
    <w:rsid w:val="00E05FB3"/>
    <w:rsid w:val="00E05FBF"/>
    <w:rsid w:val="00E05FF4"/>
    <w:rsid w:val="00E060BD"/>
    <w:rsid w:val="00E060F8"/>
    <w:rsid w:val="00E061A6"/>
    <w:rsid w:val="00E061ED"/>
    <w:rsid w:val="00E062D9"/>
    <w:rsid w:val="00E06488"/>
    <w:rsid w:val="00E064FA"/>
    <w:rsid w:val="00E06529"/>
    <w:rsid w:val="00E0653B"/>
    <w:rsid w:val="00E065F6"/>
    <w:rsid w:val="00E0664B"/>
    <w:rsid w:val="00E06854"/>
    <w:rsid w:val="00E068EF"/>
    <w:rsid w:val="00E06D4A"/>
    <w:rsid w:val="00E06DA1"/>
    <w:rsid w:val="00E06EC8"/>
    <w:rsid w:val="00E06FDB"/>
    <w:rsid w:val="00E07076"/>
    <w:rsid w:val="00E070B6"/>
    <w:rsid w:val="00E07186"/>
    <w:rsid w:val="00E0721A"/>
    <w:rsid w:val="00E072DC"/>
    <w:rsid w:val="00E0742C"/>
    <w:rsid w:val="00E074BB"/>
    <w:rsid w:val="00E074BC"/>
    <w:rsid w:val="00E074F6"/>
    <w:rsid w:val="00E07635"/>
    <w:rsid w:val="00E078C9"/>
    <w:rsid w:val="00E078F8"/>
    <w:rsid w:val="00E07990"/>
    <w:rsid w:val="00E07AFB"/>
    <w:rsid w:val="00E07CA8"/>
    <w:rsid w:val="00E07CD7"/>
    <w:rsid w:val="00E07D8B"/>
    <w:rsid w:val="00E07F9D"/>
    <w:rsid w:val="00E1001C"/>
    <w:rsid w:val="00E10158"/>
    <w:rsid w:val="00E102EA"/>
    <w:rsid w:val="00E1038E"/>
    <w:rsid w:val="00E103AC"/>
    <w:rsid w:val="00E104EE"/>
    <w:rsid w:val="00E10638"/>
    <w:rsid w:val="00E10657"/>
    <w:rsid w:val="00E106B1"/>
    <w:rsid w:val="00E106BA"/>
    <w:rsid w:val="00E107A0"/>
    <w:rsid w:val="00E107ED"/>
    <w:rsid w:val="00E108E1"/>
    <w:rsid w:val="00E1095F"/>
    <w:rsid w:val="00E109EC"/>
    <w:rsid w:val="00E10A7B"/>
    <w:rsid w:val="00E10B9B"/>
    <w:rsid w:val="00E10E52"/>
    <w:rsid w:val="00E10EF5"/>
    <w:rsid w:val="00E10F1D"/>
    <w:rsid w:val="00E10F39"/>
    <w:rsid w:val="00E10F5D"/>
    <w:rsid w:val="00E10F9A"/>
    <w:rsid w:val="00E1103F"/>
    <w:rsid w:val="00E1108E"/>
    <w:rsid w:val="00E11231"/>
    <w:rsid w:val="00E112C8"/>
    <w:rsid w:val="00E11388"/>
    <w:rsid w:val="00E115EC"/>
    <w:rsid w:val="00E1165E"/>
    <w:rsid w:val="00E11785"/>
    <w:rsid w:val="00E11894"/>
    <w:rsid w:val="00E118F5"/>
    <w:rsid w:val="00E11925"/>
    <w:rsid w:val="00E11B34"/>
    <w:rsid w:val="00E11E27"/>
    <w:rsid w:val="00E11F5B"/>
    <w:rsid w:val="00E11FAF"/>
    <w:rsid w:val="00E120B4"/>
    <w:rsid w:val="00E120DD"/>
    <w:rsid w:val="00E12251"/>
    <w:rsid w:val="00E1231E"/>
    <w:rsid w:val="00E12336"/>
    <w:rsid w:val="00E12421"/>
    <w:rsid w:val="00E12572"/>
    <w:rsid w:val="00E1257C"/>
    <w:rsid w:val="00E1266D"/>
    <w:rsid w:val="00E12895"/>
    <w:rsid w:val="00E12944"/>
    <w:rsid w:val="00E129D5"/>
    <w:rsid w:val="00E12A96"/>
    <w:rsid w:val="00E12B23"/>
    <w:rsid w:val="00E12B33"/>
    <w:rsid w:val="00E12BCC"/>
    <w:rsid w:val="00E12C1B"/>
    <w:rsid w:val="00E12D48"/>
    <w:rsid w:val="00E12DD2"/>
    <w:rsid w:val="00E12FC3"/>
    <w:rsid w:val="00E12FC4"/>
    <w:rsid w:val="00E1327A"/>
    <w:rsid w:val="00E1327C"/>
    <w:rsid w:val="00E13284"/>
    <w:rsid w:val="00E13337"/>
    <w:rsid w:val="00E133BB"/>
    <w:rsid w:val="00E1344C"/>
    <w:rsid w:val="00E1348A"/>
    <w:rsid w:val="00E13490"/>
    <w:rsid w:val="00E134BA"/>
    <w:rsid w:val="00E136DA"/>
    <w:rsid w:val="00E1381C"/>
    <w:rsid w:val="00E13965"/>
    <w:rsid w:val="00E139D0"/>
    <w:rsid w:val="00E13A9F"/>
    <w:rsid w:val="00E13B6C"/>
    <w:rsid w:val="00E13B88"/>
    <w:rsid w:val="00E13CCF"/>
    <w:rsid w:val="00E13D7A"/>
    <w:rsid w:val="00E13DCA"/>
    <w:rsid w:val="00E13E76"/>
    <w:rsid w:val="00E13ECE"/>
    <w:rsid w:val="00E13EDB"/>
    <w:rsid w:val="00E14071"/>
    <w:rsid w:val="00E140C0"/>
    <w:rsid w:val="00E140F2"/>
    <w:rsid w:val="00E14172"/>
    <w:rsid w:val="00E14278"/>
    <w:rsid w:val="00E14310"/>
    <w:rsid w:val="00E14314"/>
    <w:rsid w:val="00E14432"/>
    <w:rsid w:val="00E144EB"/>
    <w:rsid w:val="00E14527"/>
    <w:rsid w:val="00E1463C"/>
    <w:rsid w:val="00E1475C"/>
    <w:rsid w:val="00E14821"/>
    <w:rsid w:val="00E1493B"/>
    <w:rsid w:val="00E14997"/>
    <w:rsid w:val="00E14B08"/>
    <w:rsid w:val="00E14B1E"/>
    <w:rsid w:val="00E14BD8"/>
    <w:rsid w:val="00E14BF8"/>
    <w:rsid w:val="00E14C5E"/>
    <w:rsid w:val="00E14C7B"/>
    <w:rsid w:val="00E14E27"/>
    <w:rsid w:val="00E14E89"/>
    <w:rsid w:val="00E14F79"/>
    <w:rsid w:val="00E1509F"/>
    <w:rsid w:val="00E150CB"/>
    <w:rsid w:val="00E1519B"/>
    <w:rsid w:val="00E15273"/>
    <w:rsid w:val="00E152A5"/>
    <w:rsid w:val="00E15302"/>
    <w:rsid w:val="00E1530E"/>
    <w:rsid w:val="00E1553C"/>
    <w:rsid w:val="00E1560F"/>
    <w:rsid w:val="00E15A0C"/>
    <w:rsid w:val="00E15A4E"/>
    <w:rsid w:val="00E15A92"/>
    <w:rsid w:val="00E15C64"/>
    <w:rsid w:val="00E15CA2"/>
    <w:rsid w:val="00E15CBF"/>
    <w:rsid w:val="00E15ED3"/>
    <w:rsid w:val="00E15F80"/>
    <w:rsid w:val="00E16052"/>
    <w:rsid w:val="00E16087"/>
    <w:rsid w:val="00E160CA"/>
    <w:rsid w:val="00E161B3"/>
    <w:rsid w:val="00E1622F"/>
    <w:rsid w:val="00E16396"/>
    <w:rsid w:val="00E16409"/>
    <w:rsid w:val="00E1649C"/>
    <w:rsid w:val="00E16780"/>
    <w:rsid w:val="00E168E9"/>
    <w:rsid w:val="00E1696D"/>
    <w:rsid w:val="00E16992"/>
    <w:rsid w:val="00E16A9E"/>
    <w:rsid w:val="00E16C65"/>
    <w:rsid w:val="00E16C95"/>
    <w:rsid w:val="00E16C9F"/>
    <w:rsid w:val="00E16DFB"/>
    <w:rsid w:val="00E16E8A"/>
    <w:rsid w:val="00E17320"/>
    <w:rsid w:val="00E1762F"/>
    <w:rsid w:val="00E17634"/>
    <w:rsid w:val="00E17703"/>
    <w:rsid w:val="00E177C8"/>
    <w:rsid w:val="00E1783F"/>
    <w:rsid w:val="00E178FD"/>
    <w:rsid w:val="00E17B8D"/>
    <w:rsid w:val="00E17BF5"/>
    <w:rsid w:val="00E17D1E"/>
    <w:rsid w:val="00E17F61"/>
    <w:rsid w:val="00E17F8E"/>
    <w:rsid w:val="00E17FF8"/>
    <w:rsid w:val="00E20165"/>
    <w:rsid w:val="00E20193"/>
    <w:rsid w:val="00E201B4"/>
    <w:rsid w:val="00E2032B"/>
    <w:rsid w:val="00E20438"/>
    <w:rsid w:val="00E2048D"/>
    <w:rsid w:val="00E2049E"/>
    <w:rsid w:val="00E204FE"/>
    <w:rsid w:val="00E205A3"/>
    <w:rsid w:val="00E205FF"/>
    <w:rsid w:val="00E20639"/>
    <w:rsid w:val="00E206F4"/>
    <w:rsid w:val="00E20794"/>
    <w:rsid w:val="00E20797"/>
    <w:rsid w:val="00E207B2"/>
    <w:rsid w:val="00E207BA"/>
    <w:rsid w:val="00E2080B"/>
    <w:rsid w:val="00E20861"/>
    <w:rsid w:val="00E20870"/>
    <w:rsid w:val="00E2091F"/>
    <w:rsid w:val="00E20BAC"/>
    <w:rsid w:val="00E20BC8"/>
    <w:rsid w:val="00E20DCA"/>
    <w:rsid w:val="00E20E01"/>
    <w:rsid w:val="00E20E08"/>
    <w:rsid w:val="00E21003"/>
    <w:rsid w:val="00E210A3"/>
    <w:rsid w:val="00E2118D"/>
    <w:rsid w:val="00E211BA"/>
    <w:rsid w:val="00E2132E"/>
    <w:rsid w:val="00E21397"/>
    <w:rsid w:val="00E213D7"/>
    <w:rsid w:val="00E215F6"/>
    <w:rsid w:val="00E2163E"/>
    <w:rsid w:val="00E216C2"/>
    <w:rsid w:val="00E216E5"/>
    <w:rsid w:val="00E21A5A"/>
    <w:rsid w:val="00E21B26"/>
    <w:rsid w:val="00E21B49"/>
    <w:rsid w:val="00E21B63"/>
    <w:rsid w:val="00E21BD7"/>
    <w:rsid w:val="00E21C24"/>
    <w:rsid w:val="00E21D03"/>
    <w:rsid w:val="00E21E31"/>
    <w:rsid w:val="00E21F15"/>
    <w:rsid w:val="00E22082"/>
    <w:rsid w:val="00E22109"/>
    <w:rsid w:val="00E22205"/>
    <w:rsid w:val="00E224E4"/>
    <w:rsid w:val="00E22551"/>
    <w:rsid w:val="00E225FF"/>
    <w:rsid w:val="00E2265C"/>
    <w:rsid w:val="00E226E2"/>
    <w:rsid w:val="00E2271E"/>
    <w:rsid w:val="00E227C9"/>
    <w:rsid w:val="00E2286B"/>
    <w:rsid w:val="00E22884"/>
    <w:rsid w:val="00E228C5"/>
    <w:rsid w:val="00E22970"/>
    <w:rsid w:val="00E229A3"/>
    <w:rsid w:val="00E22B32"/>
    <w:rsid w:val="00E22B50"/>
    <w:rsid w:val="00E22E34"/>
    <w:rsid w:val="00E22E94"/>
    <w:rsid w:val="00E22F36"/>
    <w:rsid w:val="00E2300E"/>
    <w:rsid w:val="00E23065"/>
    <w:rsid w:val="00E2314E"/>
    <w:rsid w:val="00E23193"/>
    <w:rsid w:val="00E23231"/>
    <w:rsid w:val="00E23330"/>
    <w:rsid w:val="00E2336D"/>
    <w:rsid w:val="00E2353C"/>
    <w:rsid w:val="00E236D3"/>
    <w:rsid w:val="00E2374F"/>
    <w:rsid w:val="00E23797"/>
    <w:rsid w:val="00E2382A"/>
    <w:rsid w:val="00E2393D"/>
    <w:rsid w:val="00E23A4D"/>
    <w:rsid w:val="00E23A69"/>
    <w:rsid w:val="00E23BB8"/>
    <w:rsid w:val="00E23BDA"/>
    <w:rsid w:val="00E23BF4"/>
    <w:rsid w:val="00E23CBF"/>
    <w:rsid w:val="00E23EBE"/>
    <w:rsid w:val="00E23EEB"/>
    <w:rsid w:val="00E23F9B"/>
    <w:rsid w:val="00E23FA4"/>
    <w:rsid w:val="00E2400C"/>
    <w:rsid w:val="00E2403A"/>
    <w:rsid w:val="00E24170"/>
    <w:rsid w:val="00E24263"/>
    <w:rsid w:val="00E242B4"/>
    <w:rsid w:val="00E242DC"/>
    <w:rsid w:val="00E2442F"/>
    <w:rsid w:val="00E244E8"/>
    <w:rsid w:val="00E24540"/>
    <w:rsid w:val="00E2456D"/>
    <w:rsid w:val="00E2463C"/>
    <w:rsid w:val="00E2466A"/>
    <w:rsid w:val="00E246B6"/>
    <w:rsid w:val="00E246C0"/>
    <w:rsid w:val="00E246D3"/>
    <w:rsid w:val="00E24722"/>
    <w:rsid w:val="00E24918"/>
    <w:rsid w:val="00E24934"/>
    <w:rsid w:val="00E24A37"/>
    <w:rsid w:val="00E24BB3"/>
    <w:rsid w:val="00E24C3B"/>
    <w:rsid w:val="00E24C49"/>
    <w:rsid w:val="00E24C72"/>
    <w:rsid w:val="00E24CF5"/>
    <w:rsid w:val="00E24DBE"/>
    <w:rsid w:val="00E24DD6"/>
    <w:rsid w:val="00E24F31"/>
    <w:rsid w:val="00E25241"/>
    <w:rsid w:val="00E25251"/>
    <w:rsid w:val="00E25363"/>
    <w:rsid w:val="00E253CE"/>
    <w:rsid w:val="00E25590"/>
    <w:rsid w:val="00E2564B"/>
    <w:rsid w:val="00E25904"/>
    <w:rsid w:val="00E25B0D"/>
    <w:rsid w:val="00E25B37"/>
    <w:rsid w:val="00E25D0E"/>
    <w:rsid w:val="00E25F10"/>
    <w:rsid w:val="00E25F2A"/>
    <w:rsid w:val="00E25F9C"/>
    <w:rsid w:val="00E25FAF"/>
    <w:rsid w:val="00E26066"/>
    <w:rsid w:val="00E260C9"/>
    <w:rsid w:val="00E261E5"/>
    <w:rsid w:val="00E26273"/>
    <w:rsid w:val="00E26346"/>
    <w:rsid w:val="00E2643F"/>
    <w:rsid w:val="00E264DB"/>
    <w:rsid w:val="00E26559"/>
    <w:rsid w:val="00E26690"/>
    <w:rsid w:val="00E2669F"/>
    <w:rsid w:val="00E2683B"/>
    <w:rsid w:val="00E268D1"/>
    <w:rsid w:val="00E26987"/>
    <w:rsid w:val="00E26D74"/>
    <w:rsid w:val="00E26DE8"/>
    <w:rsid w:val="00E26F66"/>
    <w:rsid w:val="00E26F70"/>
    <w:rsid w:val="00E26F84"/>
    <w:rsid w:val="00E26FA3"/>
    <w:rsid w:val="00E270EB"/>
    <w:rsid w:val="00E271D4"/>
    <w:rsid w:val="00E2735F"/>
    <w:rsid w:val="00E273CA"/>
    <w:rsid w:val="00E27788"/>
    <w:rsid w:val="00E27953"/>
    <w:rsid w:val="00E27A56"/>
    <w:rsid w:val="00E27A87"/>
    <w:rsid w:val="00E27AD5"/>
    <w:rsid w:val="00E27BCE"/>
    <w:rsid w:val="00E27C00"/>
    <w:rsid w:val="00E27DB6"/>
    <w:rsid w:val="00E27DDE"/>
    <w:rsid w:val="00E30081"/>
    <w:rsid w:val="00E3009E"/>
    <w:rsid w:val="00E30188"/>
    <w:rsid w:val="00E30293"/>
    <w:rsid w:val="00E3037C"/>
    <w:rsid w:val="00E303F8"/>
    <w:rsid w:val="00E304A0"/>
    <w:rsid w:val="00E304F9"/>
    <w:rsid w:val="00E30516"/>
    <w:rsid w:val="00E30581"/>
    <w:rsid w:val="00E3063F"/>
    <w:rsid w:val="00E307D9"/>
    <w:rsid w:val="00E30821"/>
    <w:rsid w:val="00E30824"/>
    <w:rsid w:val="00E30A57"/>
    <w:rsid w:val="00E30AED"/>
    <w:rsid w:val="00E30B6B"/>
    <w:rsid w:val="00E30CF4"/>
    <w:rsid w:val="00E30D8C"/>
    <w:rsid w:val="00E30DB4"/>
    <w:rsid w:val="00E3110F"/>
    <w:rsid w:val="00E311F5"/>
    <w:rsid w:val="00E31452"/>
    <w:rsid w:val="00E314A0"/>
    <w:rsid w:val="00E315C9"/>
    <w:rsid w:val="00E3176E"/>
    <w:rsid w:val="00E31818"/>
    <w:rsid w:val="00E31A94"/>
    <w:rsid w:val="00E31A9F"/>
    <w:rsid w:val="00E31ABF"/>
    <w:rsid w:val="00E31C42"/>
    <w:rsid w:val="00E31D1C"/>
    <w:rsid w:val="00E31F7F"/>
    <w:rsid w:val="00E31F99"/>
    <w:rsid w:val="00E3200D"/>
    <w:rsid w:val="00E32128"/>
    <w:rsid w:val="00E32210"/>
    <w:rsid w:val="00E32377"/>
    <w:rsid w:val="00E32481"/>
    <w:rsid w:val="00E324EE"/>
    <w:rsid w:val="00E32562"/>
    <w:rsid w:val="00E326B7"/>
    <w:rsid w:val="00E326C3"/>
    <w:rsid w:val="00E326C6"/>
    <w:rsid w:val="00E328B0"/>
    <w:rsid w:val="00E328CC"/>
    <w:rsid w:val="00E32ABA"/>
    <w:rsid w:val="00E32C7C"/>
    <w:rsid w:val="00E32CC1"/>
    <w:rsid w:val="00E32D4E"/>
    <w:rsid w:val="00E32D98"/>
    <w:rsid w:val="00E3303E"/>
    <w:rsid w:val="00E330D9"/>
    <w:rsid w:val="00E334F9"/>
    <w:rsid w:val="00E334FF"/>
    <w:rsid w:val="00E33957"/>
    <w:rsid w:val="00E33984"/>
    <w:rsid w:val="00E33A0C"/>
    <w:rsid w:val="00E33B41"/>
    <w:rsid w:val="00E33BFE"/>
    <w:rsid w:val="00E33C81"/>
    <w:rsid w:val="00E33E19"/>
    <w:rsid w:val="00E33EC7"/>
    <w:rsid w:val="00E3407A"/>
    <w:rsid w:val="00E340F1"/>
    <w:rsid w:val="00E34177"/>
    <w:rsid w:val="00E3425A"/>
    <w:rsid w:val="00E34265"/>
    <w:rsid w:val="00E3429C"/>
    <w:rsid w:val="00E342F5"/>
    <w:rsid w:val="00E342F6"/>
    <w:rsid w:val="00E34338"/>
    <w:rsid w:val="00E34403"/>
    <w:rsid w:val="00E3441A"/>
    <w:rsid w:val="00E3461E"/>
    <w:rsid w:val="00E34663"/>
    <w:rsid w:val="00E347F4"/>
    <w:rsid w:val="00E3480C"/>
    <w:rsid w:val="00E3484C"/>
    <w:rsid w:val="00E3498B"/>
    <w:rsid w:val="00E349DF"/>
    <w:rsid w:val="00E34A61"/>
    <w:rsid w:val="00E34A7B"/>
    <w:rsid w:val="00E34A8A"/>
    <w:rsid w:val="00E34ABC"/>
    <w:rsid w:val="00E34CD6"/>
    <w:rsid w:val="00E34D23"/>
    <w:rsid w:val="00E35033"/>
    <w:rsid w:val="00E3507E"/>
    <w:rsid w:val="00E350CA"/>
    <w:rsid w:val="00E351A6"/>
    <w:rsid w:val="00E35267"/>
    <w:rsid w:val="00E352E1"/>
    <w:rsid w:val="00E35393"/>
    <w:rsid w:val="00E3542B"/>
    <w:rsid w:val="00E3544A"/>
    <w:rsid w:val="00E35766"/>
    <w:rsid w:val="00E35A13"/>
    <w:rsid w:val="00E35C19"/>
    <w:rsid w:val="00E35CFF"/>
    <w:rsid w:val="00E35D72"/>
    <w:rsid w:val="00E35E4D"/>
    <w:rsid w:val="00E35EE9"/>
    <w:rsid w:val="00E35EF5"/>
    <w:rsid w:val="00E3610F"/>
    <w:rsid w:val="00E36187"/>
    <w:rsid w:val="00E36245"/>
    <w:rsid w:val="00E36285"/>
    <w:rsid w:val="00E362BE"/>
    <w:rsid w:val="00E36311"/>
    <w:rsid w:val="00E3631A"/>
    <w:rsid w:val="00E36335"/>
    <w:rsid w:val="00E3649A"/>
    <w:rsid w:val="00E36710"/>
    <w:rsid w:val="00E36728"/>
    <w:rsid w:val="00E3676B"/>
    <w:rsid w:val="00E36875"/>
    <w:rsid w:val="00E368F9"/>
    <w:rsid w:val="00E369F5"/>
    <w:rsid w:val="00E36ADF"/>
    <w:rsid w:val="00E36D67"/>
    <w:rsid w:val="00E36DF1"/>
    <w:rsid w:val="00E36E15"/>
    <w:rsid w:val="00E36E5F"/>
    <w:rsid w:val="00E36ECD"/>
    <w:rsid w:val="00E36F26"/>
    <w:rsid w:val="00E36FB3"/>
    <w:rsid w:val="00E370A7"/>
    <w:rsid w:val="00E370D0"/>
    <w:rsid w:val="00E37153"/>
    <w:rsid w:val="00E371BA"/>
    <w:rsid w:val="00E3728B"/>
    <w:rsid w:val="00E372E8"/>
    <w:rsid w:val="00E3735C"/>
    <w:rsid w:val="00E373F7"/>
    <w:rsid w:val="00E374B3"/>
    <w:rsid w:val="00E37533"/>
    <w:rsid w:val="00E37750"/>
    <w:rsid w:val="00E3776E"/>
    <w:rsid w:val="00E37783"/>
    <w:rsid w:val="00E377F5"/>
    <w:rsid w:val="00E37893"/>
    <w:rsid w:val="00E37B6E"/>
    <w:rsid w:val="00E37D28"/>
    <w:rsid w:val="00E37DE8"/>
    <w:rsid w:val="00E37E9D"/>
    <w:rsid w:val="00E37EE6"/>
    <w:rsid w:val="00E37EFB"/>
    <w:rsid w:val="00E37F84"/>
    <w:rsid w:val="00E40107"/>
    <w:rsid w:val="00E4010E"/>
    <w:rsid w:val="00E4022B"/>
    <w:rsid w:val="00E40269"/>
    <w:rsid w:val="00E403B5"/>
    <w:rsid w:val="00E4047F"/>
    <w:rsid w:val="00E404BD"/>
    <w:rsid w:val="00E405E7"/>
    <w:rsid w:val="00E4069F"/>
    <w:rsid w:val="00E40747"/>
    <w:rsid w:val="00E407C3"/>
    <w:rsid w:val="00E40838"/>
    <w:rsid w:val="00E409FA"/>
    <w:rsid w:val="00E40A95"/>
    <w:rsid w:val="00E40B81"/>
    <w:rsid w:val="00E40D9E"/>
    <w:rsid w:val="00E40DE7"/>
    <w:rsid w:val="00E40F08"/>
    <w:rsid w:val="00E41074"/>
    <w:rsid w:val="00E410D1"/>
    <w:rsid w:val="00E41112"/>
    <w:rsid w:val="00E4119F"/>
    <w:rsid w:val="00E4128B"/>
    <w:rsid w:val="00E4129E"/>
    <w:rsid w:val="00E4142C"/>
    <w:rsid w:val="00E4149A"/>
    <w:rsid w:val="00E414A6"/>
    <w:rsid w:val="00E414DA"/>
    <w:rsid w:val="00E414FD"/>
    <w:rsid w:val="00E41574"/>
    <w:rsid w:val="00E415EA"/>
    <w:rsid w:val="00E415F8"/>
    <w:rsid w:val="00E4164A"/>
    <w:rsid w:val="00E416C1"/>
    <w:rsid w:val="00E41891"/>
    <w:rsid w:val="00E41898"/>
    <w:rsid w:val="00E418B9"/>
    <w:rsid w:val="00E419E3"/>
    <w:rsid w:val="00E41A03"/>
    <w:rsid w:val="00E41A0F"/>
    <w:rsid w:val="00E41B14"/>
    <w:rsid w:val="00E41B47"/>
    <w:rsid w:val="00E41B5D"/>
    <w:rsid w:val="00E41BB1"/>
    <w:rsid w:val="00E41C8F"/>
    <w:rsid w:val="00E4209E"/>
    <w:rsid w:val="00E420BE"/>
    <w:rsid w:val="00E4212F"/>
    <w:rsid w:val="00E4223E"/>
    <w:rsid w:val="00E4224F"/>
    <w:rsid w:val="00E42310"/>
    <w:rsid w:val="00E42379"/>
    <w:rsid w:val="00E42424"/>
    <w:rsid w:val="00E426D5"/>
    <w:rsid w:val="00E42765"/>
    <w:rsid w:val="00E42781"/>
    <w:rsid w:val="00E42805"/>
    <w:rsid w:val="00E4282D"/>
    <w:rsid w:val="00E42884"/>
    <w:rsid w:val="00E428C1"/>
    <w:rsid w:val="00E429F5"/>
    <w:rsid w:val="00E42A4C"/>
    <w:rsid w:val="00E42A87"/>
    <w:rsid w:val="00E42AD4"/>
    <w:rsid w:val="00E42C2E"/>
    <w:rsid w:val="00E42C73"/>
    <w:rsid w:val="00E42D26"/>
    <w:rsid w:val="00E42D47"/>
    <w:rsid w:val="00E42F38"/>
    <w:rsid w:val="00E42F6B"/>
    <w:rsid w:val="00E42FE1"/>
    <w:rsid w:val="00E43118"/>
    <w:rsid w:val="00E43172"/>
    <w:rsid w:val="00E4319E"/>
    <w:rsid w:val="00E4320A"/>
    <w:rsid w:val="00E43257"/>
    <w:rsid w:val="00E43274"/>
    <w:rsid w:val="00E43291"/>
    <w:rsid w:val="00E43432"/>
    <w:rsid w:val="00E434A3"/>
    <w:rsid w:val="00E4360A"/>
    <w:rsid w:val="00E4366B"/>
    <w:rsid w:val="00E43692"/>
    <w:rsid w:val="00E43796"/>
    <w:rsid w:val="00E437D4"/>
    <w:rsid w:val="00E4390C"/>
    <w:rsid w:val="00E43961"/>
    <w:rsid w:val="00E43A8F"/>
    <w:rsid w:val="00E43AE5"/>
    <w:rsid w:val="00E43CC5"/>
    <w:rsid w:val="00E43DA5"/>
    <w:rsid w:val="00E43E3D"/>
    <w:rsid w:val="00E43ED8"/>
    <w:rsid w:val="00E43F55"/>
    <w:rsid w:val="00E43F76"/>
    <w:rsid w:val="00E440B5"/>
    <w:rsid w:val="00E440C7"/>
    <w:rsid w:val="00E4411B"/>
    <w:rsid w:val="00E442C4"/>
    <w:rsid w:val="00E442FE"/>
    <w:rsid w:val="00E4431E"/>
    <w:rsid w:val="00E44458"/>
    <w:rsid w:val="00E44553"/>
    <w:rsid w:val="00E4470E"/>
    <w:rsid w:val="00E44A44"/>
    <w:rsid w:val="00E44B9F"/>
    <w:rsid w:val="00E44C38"/>
    <w:rsid w:val="00E44CE7"/>
    <w:rsid w:val="00E44D07"/>
    <w:rsid w:val="00E44DD7"/>
    <w:rsid w:val="00E44F77"/>
    <w:rsid w:val="00E44FBC"/>
    <w:rsid w:val="00E4505E"/>
    <w:rsid w:val="00E4511E"/>
    <w:rsid w:val="00E4516C"/>
    <w:rsid w:val="00E451A1"/>
    <w:rsid w:val="00E4539C"/>
    <w:rsid w:val="00E454AA"/>
    <w:rsid w:val="00E45567"/>
    <w:rsid w:val="00E457B5"/>
    <w:rsid w:val="00E45842"/>
    <w:rsid w:val="00E459FD"/>
    <w:rsid w:val="00E45B09"/>
    <w:rsid w:val="00E45B43"/>
    <w:rsid w:val="00E45B93"/>
    <w:rsid w:val="00E45CF7"/>
    <w:rsid w:val="00E45D61"/>
    <w:rsid w:val="00E4613C"/>
    <w:rsid w:val="00E461EE"/>
    <w:rsid w:val="00E461F4"/>
    <w:rsid w:val="00E46267"/>
    <w:rsid w:val="00E463D3"/>
    <w:rsid w:val="00E46435"/>
    <w:rsid w:val="00E46600"/>
    <w:rsid w:val="00E46629"/>
    <w:rsid w:val="00E46630"/>
    <w:rsid w:val="00E466BB"/>
    <w:rsid w:val="00E46867"/>
    <w:rsid w:val="00E4687E"/>
    <w:rsid w:val="00E46A89"/>
    <w:rsid w:val="00E46C3F"/>
    <w:rsid w:val="00E46CF1"/>
    <w:rsid w:val="00E46D29"/>
    <w:rsid w:val="00E46D98"/>
    <w:rsid w:val="00E46DCD"/>
    <w:rsid w:val="00E46DEA"/>
    <w:rsid w:val="00E470A9"/>
    <w:rsid w:val="00E470C4"/>
    <w:rsid w:val="00E471BA"/>
    <w:rsid w:val="00E473B5"/>
    <w:rsid w:val="00E473B9"/>
    <w:rsid w:val="00E4757E"/>
    <w:rsid w:val="00E4761D"/>
    <w:rsid w:val="00E477F8"/>
    <w:rsid w:val="00E47838"/>
    <w:rsid w:val="00E47AC6"/>
    <w:rsid w:val="00E47ADB"/>
    <w:rsid w:val="00E47AEE"/>
    <w:rsid w:val="00E47B68"/>
    <w:rsid w:val="00E47BC1"/>
    <w:rsid w:val="00E47C57"/>
    <w:rsid w:val="00E47F57"/>
    <w:rsid w:val="00E47F68"/>
    <w:rsid w:val="00E503FE"/>
    <w:rsid w:val="00E5042F"/>
    <w:rsid w:val="00E5045C"/>
    <w:rsid w:val="00E5051F"/>
    <w:rsid w:val="00E5059D"/>
    <w:rsid w:val="00E50672"/>
    <w:rsid w:val="00E507F3"/>
    <w:rsid w:val="00E50A3F"/>
    <w:rsid w:val="00E50B48"/>
    <w:rsid w:val="00E50C76"/>
    <w:rsid w:val="00E51006"/>
    <w:rsid w:val="00E51033"/>
    <w:rsid w:val="00E51095"/>
    <w:rsid w:val="00E51197"/>
    <w:rsid w:val="00E51330"/>
    <w:rsid w:val="00E51441"/>
    <w:rsid w:val="00E51456"/>
    <w:rsid w:val="00E514AA"/>
    <w:rsid w:val="00E514D1"/>
    <w:rsid w:val="00E515D0"/>
    <w:rsid w:val="00E51709"/>
    <w:rsid w:val="00E5170D"/>
    <w:rsid w:val="00E5187D"/>
    <w:rsid w:val="00E51941"/>
    <w:rsid w:val="00E51986"/>
    <w:rsid w:val="00E51AAE"/>
    <w:rsid w:val="00E51B15"/>
    <w:rsid w:val="00E51C08"/>
    <w:rsid w:val="00E51D08"/>
    <w:rsid w:val="00E51D15"/>
    <w:rsid w:val="00E51D77"/>
    <w:rsid w:val="00E51E95"/>
    <w:rsid w:val="00E51F82"/>
    <w:rsid w:val="00E52197"/>
    <w:rsid w:val="00E52261"/>
    <w:rsid w:val="00E5235F"/>
    <w:rsid w:val="00E52499"/>
    <w:rsid w:val="00E52525"/>
    <w:rsid w:val="00E52539"/>
    <w:rsid w:val="00E525D1"/>
    <w:rsid w:val="00E525EC"/>
    <w:rsid w:val="00E52671"/>
    <w:rsid w:val="00E52816"/>
    <w:rsid w:val="00E5282C"/>
    <w:rsid w:val="00E52850"/>
    <w:rsid w:val="00E52876"/>
    <w:rsid w:val="00E528F2"/>
    <w:rsid w:val="00E528FE"/>
    <w:rsid w:val="00E52AB8"/>
    <w:rsid w:val="00E52D4D"/>
    <w:rsid w:val="00E52E4B"/>
    <w:rsid w:val="00E52E80"/>
    <w:rsid w:val="00E53030"/>
    <w:rsid w:val="00E530F3"/>
    <w:rsid w:val="00E53284"/>
    <w:rsid w:val="00E533E0"/>
    <w:rsid w:val="00E53725"/>
    <w:rsid w:val="00E5378E"/>
    <w:rsid w:val="00E537DA"/>
    <w:rsid w:val="00E53952"/>
    <w:rsid w:val="00E539DD"/>
    <w:rsid w:val="00E53A52"/>
    <w:rsid w:val="00E53A8C"/>
    <w:rsid w:val="00E53AD1"/>
    <w:rsid w:val="00E53B89"/>
    <w:rsid w:val="00E53CB4"/>
    <w:rsid w:val="00E53D01"/>
    <w:rsid w:val="00E53FAE"/>
    <w:rsid w:val="00E53FF5"/>
    <w:rsid w:val="00E5405B"/>
    <w:rsid w:val="00E54246"/>
    <w:rsid w:val="00E542CC"/>
    <w:rsid w:val="00E54389"/>
    <w:rsid w:val="00E543E9"/>
    <w:rsid w:val="00E5443D"/>
    <w:rsid w:val="00E5450D"/>
    <w:rsid w:val="00E545E7"/>
    <w:rsid w:val="00E545F8"/>
    <w:rsid w:val="00E545FA"/>
    <w:rsid w:val="00E546D2"/>
    <w:rsid w:val="00E548B3"/>
    <w:rsid w:val="00E54918"/>
    <w:rsid w:val="00E54919"/>
    <w:rsid w:val="00E54ADB"/>
    <w:rsid w:val="00E54AE7"/>
    <w:rsid w:val="00E54C8D"/>
    <w:rsid w:val="00E54D80"/>
    <w:rsid w:val="00E54E8F"/>
    <w:rsid w:val="00E54ED3"/>
    <w:rsid w:val="00E54F2A"/>
    <w:rsid w:val="00E55042"/>
    <w:rsid w:val="00E55063"/>
    <w:rsid w:val="00E550C0"/>
    <w:rsid w:val="00E5519C"/>
    <w:rsid w:val="00E552BB"/>
    <w:rsid w:val="00E55490"/>
    <w:rsid w:val="00E55506"/>
    <w:rsid w:val="00E556BD"/>
    <w:rsid w:val="00E556C5"/>
    <w:rsid w:val="00E5576C"/>
    <w:rsid w:val="00E5579D"/>
    <w:rsid w:val="00E5587C"/>
    <w:rsid w:val="00E55924"/>
    <w:rsid w:val="00E55981"/>
    <w:rsid w:val="00E55A06"/>
    <w:rsid w:val="00E55A92"/>
    <w:rsid w:val="00E55A93"/>
    <w:rsid w:val="00E55AAD"/>
    <w:rsid w:val="00E55B84"/>
    <w:rsid w:val="00E55B87"/>
    <w:rsid w:val="00E55D7A"/>
    <w:rsid w:val="00E55FFB"/>
    <w:rsid w:val="00E560FD"/>
    <w:rsid w:val="00E56128"/>
    <w:rsid w:val="00E56342"/>
    <w:rsid w:val="00E5638D"/>
    <w:rsid w:val="00E564D1"/>
    <w:rsid w:val="00E564F1"/>
    <w:rsid w:val="00E565B7"/>
    <w:rsid w:val="00E565D2"/>
    <w:rsid w:val="00E565D3"/>
    <w:rsid w:val="00E5662A"/>
    <w:rsid w:val="00E56687"/>
    <w:rsid w:val="00E56869"/>
    <w:rsid w:val="00E56985"/>
    <w:rsid w:val="00E5698D"/>
    <w:rsid w:val="00E56C6A"/>
    <w:rsid w:val="00E56C88"/>
    <w:rsid w:val="00E56CAE"/>
    <w:rsid w:val="00E56CE0"/>
    <w:rsid w:val="00E56D1F"/>
    <w:rsid w:val="00E56D3C"/>
    <w:rsid w:val="00E56D67"/>
    <w:rsid w:val="00E56E86"/>
    <w:rsid w:val="00E57043"/>
    <w:rsid w:val="00E570C0"/>
    <w:rsid w:val="00E5711B"/>
    <w:rsid w:val="00E5712A"/>
    <w:rsid w:val="00E57173"/>
    <w:rsid w:val="00E57177"/>
    <w:rsid w:val="00E572A4"/>
    <w:rsid w:val="00E57368"/>
    <w:rsid w:val="00E57431"/>
    <w:rsid w:val="00E57460"/>
    <w:rsid w:val="00E5759A"/>
    <w:rsid w:val="00E57929"/>
    <w:rsid w:val="00E57946"/>
    <w:rsid w:val="00E579C5"/>
    <w:rsid w:val="00E57B71"/>
    <w:rsid w:val="00E57E5F"/>
    <w:rsid w:val="00E57F5B"/>
    <w:rsid w:val="00E57F78"/>
    <w:rsid w:val="00E5D0DF"/>
    <w:rsid w:val="00E6001A"/>
    <w:rsid w:val="00E600AF"/>
    <w:rsid w:val="00E60144"/>
    <w:rsid w:val="00E6015D"/>
    <w:rsid w:val="00E6016F"/>
    <w:rsid w:val="00E6024C"/>
    <w:rsid w:val="00E60290"/>
    <w:rsid w:val="00E60330"/>
    <w:rsid w:val="00E6057B"/>
    <w:rsid w:val="00E6076A"/>
    <w:rsid w:val="00E607E5"/>
    <w:rsid w:val="00E608DE"/>
    <w:rsid w:val="00E609E3"/>
    <w:rsid w:val="00E60A85"/>
    <w:rsid w:val="00E60B9F"/>
    <w:rsid w:val="00E60BC3"/>
    <w:rsid w:val="00E60FE9"/>
    <w:rsid w:val="00E61037"/>
    <w:rsid w:val="00E61091"/>
    <w:rsid w:val="00E610BD"/>
    <w:rsid w:val="00E61188"/>
    <w:rsid w:val="00E61244"/>
    <w:rsid w:val="00E614B4"/>
    <w:rsid w:val="00E61517"/>
    <w:rsid w:val="00E61531"/>
    <w:rsid w:val="00E61633"/>
    <w:rsid w:val="00E616F8"/>
    <w:rsid w:val="00E61877"/>
    <w:rsid w:val="00E61881"/>
    <w:rsid w:val="00E61988"/>
    <w:rsid w:val="00E619F3"/>
    <w:rsid w:val="00E61DB6"/>
    <w:rsid w:val="00E61E0F"/>
    <w:rsid w:val="00E61E1B"/>
    <w:rsid w:val="00E61E20"/>
    <w:rsid w:val="00E61F4F"/>
    <w:rsid w:val="00E620C6"/>
    <w:rsid w:val="00E622D2"/>
    <w:rsid w:val="00E62377"/>
    <w:rsid w:val="00E623B5"/>
    <w:rsid w:val="00E623D0"/>
    <w:rsid w:val="00E626C9"/>
    <w:rsid w:val="00E627AD"/>
    <w:rsid w:val="00E62978"/>
    <w:rsid w:val="00E62B72"/>
    <w:rsid w:val="00E62BBB"/>
    <w:rsid w:val="00E62C0F"/>
    <w:rsid w:val="00E62D20"/>
    <w:rsid w:val="00E62D49"/>
    <w:rsid w:val="00E62DE6"/>
    <w:rsid w:val="00E62F43"/>
    <w:rsid w:val="00E631CF"/>
    <w:rsid w:val="00E63376"/>
    <w:rsid w:val="00E634B1"/>
    <w:rsid w:val="00E634B2"/>
    <w:rsid w:val="00E6354A"/>
    <w:rsid w:val="00E63684"/>
    <w:rsid w:val="00E63762"/>
    <w:rsid w:val="00E63813"/>
    <w:rsid w:val="00E63A6D"/>
    <w:rsid w:val="00E63CB0"/>
    <w:rsid w:val="00E63D37"/>
    <w:rsid w:val="00E63EB5"/>
    <w:rsid w:val="00E63F2C"/>
    <w:rsid w:val="00E63FE6"/>
    <w:rsid w:val="00E642C9"/>
    <w:rsid w:val="00E642DB"/>
    <w:rsid w:val="00E6432D"/>
    <w:rsid w:val="00E64384"/>
    <w:rsid w:val="00E6445C"/>
    <w:rsid w:val="00E6449F"/>
    <w:rsid w:val="00E644C7"/>
    <w:rsid w:val="00E644D7"/>
    <w:rsid w:val="00E64622"/>
    <w:rsid w:val="00E64703"/>
    <w:rsid w:val="00E6497A"/>
    <w:rsid w:val="00E64A41"/>
    <w:rsid w:val="00E64B13"/>
    <w:rsid w:val="00E64B64"/>
    <w:rsid w:val="00E64BA4"/>
    <w:rsid w:val="00E64D1A"/>
    <w:rsid w:val="00E64D47"/>
    <w:rsid w:val="00E64D5A"/>
    <w:rsid w:val="00E64D95"/>
    <w:rsid w:val="00E64DFD"/>
    <w:rsid w:val="00E64E59"/>
    <w:rsid w:val="00E64EEF"/>
    <w:rsid w:val="00E64EF7"/>
    <w:rsid w:val="00E64F80"/>
    <w:rsid w:val="00E64FA7"/>
    <w:rsid w:val="00E65052"/>
    <w:rsid w:val="00E6522D"/>
    <w:rsid w:val="00E6533A"/>
    <w:rsid w:val="00E653AB"/>
    <w:rsid w:val="00E6540C"/>
    <w:rsid w:val="00E6560F"/>
    <w:rsid w:val="00E656B6"/>
    <w:rsid w:val="00E656F8"/>
    <w:rsid w:val="00E65841"/>
    <w:rsid w:val="00E65A64"/>
    <w:rsid w:val="00E65AE6"/>
    <w:rsid w:val="00E65B32"/>
    <w:rsid w:val="00E65C29"/>
    <w:rsid w:val="00E65C48"/>
    <w:rsid w:val="00E65CC1"/>
    <w:rsid w:val="00E65D00"/>
    <w:rsid w:val="00E65D7E"/>
    <w:rsid w:val="00E65EAA"/>
    <w:rsid w:val="00E65FD5"/>
    <w:rsid w:val="00E660D1"/>
    <w:rsid w:val="00E6628C"/>
    <w:rsid w:val="00E663E7"/>
    <w:rsid w:val="00E663F9"/>
    <w:rsid w:val="00E66595"/>
    <w:rsid w:val="00E666B6"/>
    <w:rsid w:val="00E6670B"/>
    <w:rsid w:val="00E667AA"/>
    <w:rsid w:val="00E6680A"/>
    <w:rsid w:val="00E66831"/>
    <w:rsid w:val="00E668F1"/>
    <w:rsid w:val="00E66A5C"/>
    <w:rsid w:val="00E66A81"/>
    <w:rsid w:val="00E66A9D"/>
    <w:rsid w:val="00E66B27"/>
    <w:rsid w:val="00E66B3D"/>
    <w:rsid w:val="00E66C6B"/>
    <w:rsid w:val="00E66CC1"/>
    <w:rsid w:val="00E66CEB"/>
    <w:rsid w:val="00E66D6D"/>
    <w:rsid w:val="00E66D8A"/>
    <w:rsid w:val="00E66D9F"/>
    <w:rsid w:val="00E66E96"/>
    <w:rsid w:val="00E66F30"/>
    <w:rsid w:val="00E66F86"/>
    <w:rsid w:val="00E6705C"/>
    <w:rsid w:val="00E67079"/>
    <w:rsid w:val="00E670F0"/>
    <w:rsid w:val="00E67191"/>
    <w:rsid w:val="00E671EF"/>
    <w:rsid w:val="00E67224"/>
    <w:rsid w:val="00E67361"/>
    <w:rsid w:val="00E6741D"/>
    <w:rsid w:val="00E675D7"/>
    <w:rsid w:val="00E676D7"/>
    <w:rsid w:val="00E67724"/>
    <w:rsid w:val="00E678B3"/>
    <w:rsid w:val="00E678BD"/>
    <w:rsid w:val="00E6797E"/>
    <w:rsid w:val="00E67A26"/>
    <w:rsid w:val="00E67B4D"/>
    <w:rsid w:val="00E67E86"/>
    <w:rsid w:val="00E67F0D"/>
    <w:rsid w:val="00E70107"/>
    <w:rsid w:val="00E7011B"/>
    <w:rsid w:val="00E7023A"/>
    <w:rsid w:val="00E70258"/>
    <w:rsid w:val="00E7027E"/>
    <w:rsid w:val="00E703AA"/>
    <w:rsid w:val="00E70400"/>
    <w:rsid w:val="00E7053B"/>
    <w:rsid w:val="00E705E8"/>
    <w:rsid w:val="00E70682"/>
    <w:rsid w:val="00E706BA"/>
    <w:rsid w:val="00E70873"/>
    <w:rsid w:val="00E709E7"/>
    <w:rsid w:val="00E70B47"/>
    <w:rsid w:val="00E70C3B"/>
    <w:rsid w:val="00E70D94"/>
    <w:rsid w:val="00E70E56"/>
    <w:rsid w:val="00E70E97"/>
    <w:rsid w:val="00E70F14"/>
    <w:rsid w:val="00E70F96"/>
    <w:rsid w:val="00E71108"/>
    <w:rsid w:val="00E71235"/>
    <w:rsid w:val="00E71291"/>
    <w:rsid w:val="00E71391"/>
    <w:rsid w:val="00E7155A"/>
    <w:rsid w:val="00E71680"/>
    <w:rsid w:val="00E716B5"/>
    <w:rsid w:val="00E716FA"/>
    <w:rsid w:val="00E7180B"/>
    <w:rsid w:val="00E719FA"/>
    <w:rsid w:val="00E71AC3"/>
    <w:rsid w:val="00E71B1D"/>
    <w:rsid w:val="00E71B59"/>
    <w:rsid w:val="00E71D1E"/>
    <w:rsid w:val="00E71F28"/>
    <w:rsid w:val="00E71F74"/>
    <w:rsid w:val="00E71FA0"/>
    <w:rsid w:val="00E7210A"/>
    <w:rsid w:val="00E72248"/>
    <w:rsid w:val="00E7224F"/>
    <w:rsid w:val="00E72253"/>
    <w:rsid w:val="00E7234C"/>
    <w:rsid w:val="00E72459"/>
    <w:rsid w:val="00E724A1"/>
    <w:rsid w:val="00E724AA"/>
    <w:rsid w:val="00E7250E"/>
    <w:rsid w:val="00E72553"/>
    <w:rsid w:val="00E726A0"/>
    <w:rsid w:val="00E7283D"/>
    <w:rsid w:val="00E728A6"/>
    <w:rsid w:val="00E729A7"/>
    <w:rsid w:val="00E729F4"/>
    <w:rsid w:val="00E72A27"/>
    <w:rsid w:val="00E72C2E"/>
    <w:rsid w:val="00E72C85"/>
    <w:rsid w:val="00E72CBF"/>
    <w:rsid w:val="00E72D69"/>
    <w:rsid w:val="00E72DDD"/>
    <w:rsid w:val="00E72EAC"/>
    <w:rsid w:val="00E72EE2"/>
    <w:rsid w:val="00E72F1B"/>
    <w:rsid w:val="00E72F20"/>
    <w:rsid w:val="00E72F81"/>
    <w:rsid w:val="00E72FFC"/>
    <w:rsid w:val="00E73218"/>
    <w:rsid w:val="00E734B6"/>
    <w:rsid w:val="00E73545"/>
    <w:rsid w:val="00E73648"/>
    <w:rsid w:val="00E7368C"/>
    <w:rsid w:val="00E736F6"/>
    <w:rsid w:val="00E738B5"/>
    <w:rsid w:val="00E73931"/>
    <w:rsid w:val="00E7397E"/>
    <w:rsid w:val="00E739D0"/>
    <w:rsid w:val="00E73A09"/>
    <w:rsid w:val="00E73A79"/>
    <w:rsid w:val="00E73AAD"/>
    <w:rsid w:val="00E73BB8"/>
    <w:rsid w:val="00E73BEA"/>
    <w:rsid w:val="00E73CC2"/>
    <w:rsid w:val="00E73D43"/>
    <w:rsid w:val="00E7401B"/>
    <w:rsid w:val="00E7410E"/>
    <w:rsid w:val="00E74175"/>
    <w:rsid w:val="00E746D9"/>
    <w:rsid w:val="00E74776"/>
    <w:rsid w:val="00E74811"/>
    <w:rsid w:val="00E749AE"/>
    <w:rsid w:val="00E74A69"/>
    <w:rsid w:val="00E74AFC"/>
    <w:rsid w:val="00E74BF3"/>
    <w:rsid w:val="00E74FBF"/>
    <w:rsid w:val="00E7501A"/>
    <w:rsid w:val="00E75062"/>
    <w:rsid w:val="00E7525A"/>
    <w:rsid w:val="00E7525B"/>
    <w:rsid w:val="00E752D3"/>
    <w:rsid w:val="00E75471"/>
    <w:rsid w:val="00E75576"/>
    <w:rsid w:val="00E75587"/>
    <w:rsid w:val="00E755E7"/>
    <w:rsid w:val="00E7561A"/>
    <w:rsid w:val="00E756AF"/>
    <w:rsid w:val="00E7570B"/>
    <w:rsid w:val="00E75868"/>
    <w:rsid w:val="00E75905"/>
    <w:rsid w:val="00E7599E"/>
    <w:rsid w:val="00E75C3E"/>
    <w:rsid w:val="00E75DA5"/>
    <w:rsid w:val="00E75DFB"/>
    <w:rsid w:val="00E75E05"/>
    <w:rsid w:val="00E75E24"/>
    <w:rsid w:val="00E75E94"/>
    <w:rsid w:val="00E75EB7"/>
    <w:rsid w:val="00E75EFD"/>
    <w:rsid w:val="00E75F8D"/>
    <w:rsid w:val="00E75FB1"/>
    <w:rsid w:val="00E7602B"/>
    <w:rsid w:val="00E76031"/>
    <w:rsid w:val="00E760B7"/>
    <w:rsid w:val="00E760D7"/>
    <w:rsid w:val="00E76186"/>
    <w:rsid w:val="00E762E6"/>
    <w:rsid w:val="00E762FF"/>
    <w:rsid w:val="00E7655B"/>
    <w:rsid w:val="00E76610"/>
    <w:rsid w:val="00E76698"/>
    <w:rsid w:val="00E76801"/>
    <w:rsid w:val="00E768D4"/>
    <w:rsid w:val="00E7694D"/>
    <w:rsid w:val="00E769E8"/>
    <w:rsid w:val="00E76BB2"/>
    <w:rsid w:val="00E76C35"/>
    <w:rsid w:val="00E76C64"/>
    <w:rsid w:val="00E76DF3"/>
    <w:rsid w:val="00E76E05"/>
    <w:rsid w:val="00E76E4F"/>
    <w:rsid w:val="00E76E92"/>
    <w:rsid w:val="00E76F44"/>
    <w:rsid w:val="00E76FAC"/>
    <w:rsid w:val="00E770B4"/>
    <w:rsid w:val="00E77123"/>
    <w:rsid w:val="00E77154"/>
    <w:rsid w:val="00E771C9"/>
    <w:rsid w:val="00E771DD"/>
    <w:rsid w:val="00E7721C"/>
    <w:rsid w:val="00E77379"/>
    <w:rsid w:val="00E77495"/>
    <w:rsid w:val="00E774AE"/>
    <w:rsid w:val="00E77517"/>
    <w:rsid w:val="00E77597"/>
    <w:rsid w:val="00E77805"/>
    <w:rsid w:val="00E77822"/>
    <w:rsid w:val="00E77872"/>
    <w:rsid w:val="00E77AF6"/>
    <w:rsid w:val="00E77B09"/>
    <w:rsid w:val="00E77BF2"/>
    <w:rsid w:val="00E77C27"/>
    <w:rsid w:val="00E77C39"/>
    <w:rsid w:val="00E77C3C"/>
    <w:rsid w:val="00E77C60"/>
    <w:rsid w:val="00E77EB1"/>
    <w:rsid w:val="00E800A8"/>
    <w:rsid w:val="00E801E7"/>
    <w:rsid w:val="00E8022C"/>
    <w:rsid w:val="00E804AC"/>
    <w:rsid w:val="00E80655"/>
    <w:rsid w:val="00E80687"/>
    <w:rsid w:val="00E806E8"/>
    <w:rsid w:val="00E80773"/>
    <w:rsid w:val="00E807F9"/>
    <w:rsid w:val="00E8083C"/>
    <w:rsid w:val="00E808B4"/>
    <w:rsid w:val="00E80937"/>
    <w:rsid w:val="00E80992"/>
    <w:rsid w:val="00E80A03"/>
    <w:rsid w:val="00E80BAB"/>
    <w:rsid w:val="00E80D6B"/>
    <w:rsid w:val="00E80DE3"/>
    <w:rsid w:val="00E81145"/>
    <w:rsid w:val="00E811DB"/>
    <w:rsid w:val="00E81286"/>
    <w:rsid w:val="00E812CA"/>
    <w:rsid w:val="00E812F4"/>
    <w:rsid w:val="00E81320"/>
    <w:rsid w:val="00E81494"/>
    <w:rsid w:val="00E81501"/>
    <w:rsid w:val="00E8155E"/>
    <w:rsid w:val="00E8163B"/>
    <w:rsid w:val="00E81795"/>
    <w:rsid w:val="00E8185F"/>
    <w:rsid w:val="00E8195D"/>
    <w:rsid w:val="00E819B8"/>
    <w:rsid w:val="00E81A83"/>
    <w:rsid w:val="00E81A85"/>
    <w:rsid w:val="00E81AF5"/>
    <w:rsid w:val="00E81B14"/>
    <w:rsid w:val="00E81C24"/>
    <w:rsid w:val="00E81CA5"/>
    <w:rsid w:val="00E81CB3"/>
    <w:rsid w:val="00E81F4A"/>
    <w:rsid w:val="00E81FEB"/>
    <w:rsid w:val="00E821C3"/>
    <w:rsid w:val="00E82227"/>
    <w:rsid w:val="00E82253"/>
    <w:rsid w:val="00E82289"/>
    <w:rsid w:val="00E822CB"/>
    <w:rsid w:val="00E822E4"/>
    <w:rsid w:val="00E823D0"/>
    <w:rsid w:val="00E824BA"/>
    <w:rsid w:val="00E824BC"/>
    <w:rsid w:val="00E82573"/>
    <w:rsid w:val="00E82603"/>
    <w:rsid w:val="00E82634"/>
    <w:rsid w:val="00E8273A"/>
    <w:rsid w:val="00E828B5"/>
    <w:rsid w:val="00E8295C"/>
    <w:rsid w:val="00E82C0A"/>
    <w:rsid w:val="00E82C0F"/>
    <w:rsid w:val="00E82C27"/>
    <w:rsid w:val="00E82CB5"/>
    <w:rsid w:val="00E82F38"/>
    <w:rsid w:val="00E8302D"/>
    <w:rsid w:val="00E830D2"/>
    <w:rsid w:val="00E83180"/>
    <w:rsid w:val="00E831F8"/>
    <w:rsid w:val="00E832CC"/>
    <w:rsid w:val="00E833B0"/>
    <w:rsid w:val="00E835D1"/>
    <w:rsid w:val="00E8385C"/>
    <w:rsid w:val="00E83900"/>
    <w:rsid w:val="00E839D0"/>
    <w:rsid w:val="00E839E6"/>
    <w:rsid w:val="00E83B0A"/>
    <w:rsid w:val="00E83CC6"/>
    <w:rsid w:val="00E83CD1"/>
    <w:rsid w:val="00E83CE6"/>
    <w:rsid w:val="00E83D3E"/>
    <w:rsid w:val="00E83D73"/>
    <w:rsid w:val="00E83F23"/>
    <w:rsid w:val="00E83FC3"/>
    <w:rsid w:val="00E840A6"/>
    <w:rsid w:val="00E84124"/>
    <w:rsid w:val="00E84222"/>
    <w:rsid w:val="00E8431C"/>
    <w:rsid w:val="00E8440A"/>
    <w:rsid w:val="00E84423"/>
    <w:rsid w:val="00E84447"/>
    <w:rsid w:val="00E8459A"/>
    <w:rsid w:val="00E845A6"/>
    <w:rsid w:val="00E845CB"/>
    <w:rsid w:val="00E84603"/>
    <w:rsid w:val="00E84641"/>
    <w:rsid w:val="00E8469C"/>
    <w:rsid w:val="00E84781"/>
    <w:rsid w:val="00E84819"/>
    <w:rsid w:val="00E84847"/>
    <w:rsid w:val="00E84908"/>
    <w:rsid w:val="00E8493E"/>
    <w:rsid w:val="00E84D4B"/>
    <w:rsid w:val="00E84E00"/>
    <w:rsid w:val="00E84E02"/>
    <w:rsid w:val="00E84EA5"/>
    <w:rsid w:val="00E84F19"/>
    <w:rsid w:val="00E84F30"/>
    <w:rsid w:val="00E84F67"/>
    <w:rsid w:val="00E8509F"/>
    <w:rsid w:val="00E85124"/>
    <w:rsid w:val="00E852F2"/>
    <w:rsid w:val="00E853A2"/>
    <w:rsid w:val="00E853B3"/>
    <w:rsid w:val="00E853DF"/>
    <w:rsid w:val="00E853E1"/>
    <w:rsid w:val="00E85427"/>
    <w:rsid w:val="00E854AD"/>
    <w:rsid w:val="00E854B3"/>
    <w:rsid w:val="00E856AD"/>
    <w:rsid w:val="00E85B04"/>
    <w:rsid w:val="00E85B70"/>
    <w:rsid w:val="00E85BB4"/>
    <w:rsid w:val="00E85CCB"/>
    <w:rsid w:val="00E85D7D"/>
    <w:rsid w:val="00E85DAD"/>
    <w:rsid w:val="00E85E72"/>
    <w:rsid w:val="00E85F8D"/>
    <w:rsid w:val="00E85F8F"/>
    <w:rsid w:val="00E85FDD"/>
    <w:rsid w:val="00E86003"/>
    <w:rsid w:val="00E86234"/>
    <w:rsid w:val="00E862D9"/>
    <w:rsid w:val="00E8634F"/>
    <w:rsid w:val="00E8639A"/>
    <w:rsid w:val="00E863E8"/>
    <w:rsid w:val="00E86430"/>
    <w:rsid w:val="00E8648E"/>
    <w:rsid w:val="00E86743"/>
    <w:rsid w:val="00E86778"/>
    <w:rsid w:val="00E8677B"/>
    <w:rsid w:val="00E867BF"/>
    <w:rsid w:val="00E867C9"/>
    <w:rsid w:val="00E867E7"/>
    <w:rsid w:val="00E86944"/>
    <w:rsid w:val="00E86AF0"/>
    <w:rsid w:val="00E86B03"/>
    <w:rsid w:val="00E86B14"/>
    <w:rsid w:val="00E86CF3"/>
    <w:rsid w:val="00E86D20"/>
    <w:rsid w:val="00E86E60"/>
    <w:rsid w:val="00E86EA7"/>
    <w:rsid w:val="00E86FD6"/>
    <w:rsid w:val="00E86FE5"/>
    <w:rsid w:val="00E87043"/>
    <w:rsid w:val="00E870F6"/>
    <w:rsid w:val="00E872EA"/>
    <w:rsid w:val="00E8736E"/>
    <w:rsid w:val="00E873D1"/>
    <w:rsid w:val="00E8760D"/>
    <w:rsid w:val="00E8767A"/>
    <w:rsid w:val="00E8769C"/>
    <w:rsid w:val="00E876D8"/>
    <w:rsid w:val="00E87827"/>
    <w:rsid w:val="00E879E6"/>
    <w:rsid w:val="00E87A52"/>
    <w:rsid w:val="00E87AA7"/>
    <w:rsid w:val="00E87AEF"/>
    <w:rsid w:val="00E87B74"/>
    <w:rsid w:val="00E87C87"/>
    <w:rsid w:val="00E87E19"/>
    <w:rsid w:val="00E87EC1"/>
    <w:rsid w:val="00E87F8A"/>
    <w:rsid w:val="00E90008"/>
    <w:rsid w:val="00E9003D"/>
    <w:rsid w:val="00E900D3"/>
    <w:rsid w:val="00E90141"/>
    <w:rsid w:val="00E90315"/>
    <w:rsid w:val="00E90333"/>
    <w:rsid w:val="00E903E4"/>
    <w:rsid w:val="00E9047F"/>
    <w:rsid w:val="00E90635"/>
    <w:rsid w:val="00E9068E"/>
    <w:rsid w:val="00E90700"/>
    <w:rsid w:val="00E90728"/>
    <w:rsid w:val="00E9080E"/>
    <w:rsid w:val="00E90939"/>
    <w:rsid w:val="00E909CF"/>
    <w:rsid w:val="00E90AE9"/>
    <w:rsid w:val="00E90BDA"/>
    <w:rsid w:val="00E90DB1"/>
    <w:rsid w:val="00E90E7C"/>
    <w:rsid w:val="00E90EDF"/>
    <w:rsid w:val="00E90EE4"/>
    <w:rsid w:val="00E90F2C"/>
    <w:rsid w:val="00E91036"/>
    <w:rsid w:val="00E91044"/>
    <w:rsid w:val="00E910C4"/>
    <w:rsid w:val="00E9119C"/>
    <w:rsid w:val="00E911B4"/>
    <w:rsid w:val="00E911DE"/>
    <w:rsid w:val="00E91363"/>
    <w:rsid w:val="00E913FF"/>
    <w:rsid w:val="00E9140F"/>
    <w:rsid w:val="00E914F1"/>
    <w:rsid w:val="00E9155C"/>
    <w:rsid w:val="00E918D5"/>
    <w:rsid w:val="00E918E3"/>
    <w:rsid w:val="00E9192D"/>
    <w:rsid w:val="00E91A3A"/>
    <w:rsid w:val="00E91AB0"/>
    <w:rsid w:val="00E91C53"/>
    <w:rsid w:val="00E91C64"/>
    <w:rsid w:val="00E91C75"/>
    <w:rsid w:val="00E91DCA"/>
    <w:rsid w:val="00E91F23"/>
    <w:rsid w:val="00E91F43"/>
    <w:rsid w:val="00E92030"/>
    <w:rsid w:val="00E92123"/>
    <w:rsid w:val="00E92184"/>
    <w:rsid w:val="00E9224A"/>
    <w:rsid w:val="00E922FB"/>
    <w:rsid w:val="00E92389"/>
    <w:rsid w:val="00E923F4"/>
    <w:rsid w:val="00E924B7"/>
    <w:rsid w:val="00E924CC"/>
    <w:rsid w:val="00E925CB"/>
    <w:rsid w:val="00E9266B"/>
    <w:rsid w:val="00E92784"/>
    <w:rsid w:val="00E927B2"/>
    <w:rsid w:val="00E9286C"/>
    <w:rsid w:val="00E92881"/>
    <w:rsid w:val="00E9293B"/>
    <w:rsid w:val="00E9297C"/>
    <w:rsid w:val="00E9299F"/>
    <w:rsid w:val="00E929E1"/>
    <w:rsid w:val="00E929FD"/>
    <w:rsid w:val="00E92C00"/>
    <w:rsid w:val="00E92C71"/>
    <w:rsid w:val="00E92CD0"/>
    <w:rsid w:val="00E92D27"/>
    <w:rsid w:val="00E92D46"/>
    <w:rsid w:val="00E92D59"/>
    <w:rsid w:val="00E92DA9"/>
    <w:rsid w:val="00E92E3D"/>
    <w:rsid w:val="00E92E4C"/>
    <w:rsid w:val="00E92ED1"/>
    <w:rsid w:val="00E92FE3"/>
    <w:rsid w:val="00E930CD"/>
    <w:rsid w:val="00E9312E"/>
    <w:rsid w:val="00E934E0"/>
    <w:rsid w:val="00E935BB"/>
    <w:rsid w:val="00E936C2"/>
    <w:rsid w:val="00E938DD"/>
    <w:rsid w:val="00E93A54"/>
    <w:rsid w:val="00E93A63"/>
    <w:rsid w:val="00E93B5B"/>
    <w:rsid w:val="00E93B80"/>
    <w:rsid w:val="00E93C35"/>
    <w:rsid w:val="00E93DEC"/>
    <w:rsid w:val="00E93DF9"/>
    <w:rsid w:val="00E93E82"/>
    <w:rsid w:val="00E93EB2"/>
    <w:rsid w:val="00E93EB4"/>
    <w:rsid w:val="00E93EC7"/>
    <w:rsid w:val="00E94014"/>
    <w:rsid w:val="00E9404A"/>
    <w:rsid w:val="00E94067"/>
    <w:rsid w:val="00E942FC"/>
    <w:rsid w:val="00E94426"/>
    <w:rsid w:val="00E94453"/>
    <w:rsid w:val="00E94567"/>
    <w:rsid w:val="00E94626"/>
    <w:rsid w:val="00E946A7"/>
    <w:rsid w:val="00E946E5"/>
    <w:rsid w:val="00E94794"/>
    <w:rsid w:val="00E94958"/>
    <w:rsid w:val="00E9498B"/>
    <w:rsid w:val="00E94A20"/>
    <w:rsid w:val="00E94A35"/>
    <w:rsid w:val="00E94A97"/>
    <w:rsid w:val="00E94BE1"/>
    <w:rsid w:val="00E94CF5"/>
    <w:rsid w:val="00E94E9A"/>
    <w:rsid w:val="00E94F76"/>
    <w:rsid w:val="00E94FC4"/>
    <w:rsid w:val="00E94FF7"/>
    <w:rsid w:val="00E95083"/>
    <w:rsid w:val="00E950C7"/>
    <w:rsid w:val="00E950F4"/>
    <w:rsid w:val="00E95193"/>
    <w:rsid w:val="00E951A8"/>
    <w:rsid w:val="00E951E3"/>
    <w:rsid w:val="00E95220"/>
    <w:rsid w:val="00E95328"/>
    <w:rsid w:val="00E953C0"/>
    <w:rsid w:val="00E9543A"/>
    <w:rsid w:val="00E9543D"/>
    <w:rsid w:val="00E95518"/>
    <w:rsid w:val="00E95572"/>
    <w:rsid w:val="00E95744"/>
    <w:rsid w:val="00E9595C"/>
    <w:rsid w:val="00E959E6"/>
    <w:rsid w:val="00E95AED"/>
    <w:rsid w:val="00E95C07"/>
    <w:rsid w:val="00E95C60"/>
    <w:rsid w:val="00E95D7B"/>
    <w:rsid w:val="00E95E0B"/>
    <w:rsid w:val="00E95E15"/>
    <w:rsid w:val="00E95E53"/>
    <w:rsid w:val="00E96091"/>
    <w:rsid w:val="00E96276"/>
    <w:rsid w:val="00E962CC"/>
    <w:rsid w:val="00E96305"/>
    <w:rsid w:val="00E963BD"/>
    <w:rsid w:val="00E9652B"/>
    <w:rsid w:val="00E9655C"/>
    <w:rsid w:val="00E96634"/>
    <w:rsid w:val="00E967C0"/>
    <w:rsid w:val="00E96874"/>
    <w:rsid w:val="00E96950"/>
    <w:rsid w:val="00E96A88"/>
    <w:rsid w:val="00E96B1A"/>
    <w:rsid w:val="00E96B7C"/>
    <w:rsid w:val="00E96C2C"/>
    <w:rsid w:val="00E96C34"/>
    <w:rsid w:val="00E96FE5"/>
    <w:rsid w:val="00E971C6"/>
    <w:rsid w:val="00E97297"/>
    <w:rsid w:val="00E9729B"/>
    <w:rsid w:val="00E972E1"/>
    <w:rsid w:val="00E97425"/>
    <w:rsid w:val="00E974EB"/>
    <w:rsid w:val="00E976EC"/>
    <w:rsid w:val="00E976FB"/>
    <w:rsid w:val="00E978BA"/>
    <w:rsid w:val="00E979AB"/>
    <w:rsid w:val="00E97A41"/>
    <w:rsid w:val="00E97BB5"/>
    <w:rsid w:val="00E97DFF"/>
    <w:rsid w:val="00E97ED8"/>
    <w:rsid w:val="00E97F3C"/>
    <w:rsid w:val="00E97F72"/>
    <w:rsid w:val="00E97FA9"/>
    <w:rsid w:val="00EA009C"/>
    <w:rsid w:val="00EA00CF"/>
    <w:rsid w:val="00EA0115"/>
    <w:rsid w:val="00EA01EB"/>
    <w:rsid w:val="00EA05CB"/>
    <w:rsid w:val="00EA06A0"/>
    <w:rsid w:val="00EA0802"/>
    <w:rsid w:val="00EA084B"/>
    <w:rsid w:val="00EA0B8C"/>
    <w:rsid w:val="00EA0C13"/>
    <w:rsid w:val="00EA0D28"/>
    <w:rsid w:val="00EA0D57"/>
    <w:rsid w:val="00EA0D97"/>
    <w:rsid w:val="00EA0E88"/>
    <w:rsid w:val="00EA106B"/>
    <w:rsid w:val="00EA14C3"/>
    <w:rsid w:val="00EA155B"/>
    <w:rsid w:val="00EA1669"/>
    <w:rsid w:val="00EA1695"/>
    <w:rsid w:val="00EA1707"/>
    <w:rsid w:val="00EA175E"/>
    <w:rsid w:val="00EA17A5"/>
    <w:rsid w:val="00EA1918"/>
    <w:rsid w:val="00EA193E"/>
    <w:rsid w:val="00EA19D2"/>
    <w:rsid w:val="00EA1A26"/>
    <w:rsid w:val="00EA1B39"/>
    <w:rsid w:val="00EA1B4C"/>
    <w:rsid w:val="00EA1C03"/>
    <w:rsid w:val="00EA1D3E"/>
    <w:rsid w:val="00EA1D5C"/>
    <w:rsid w:val="00EA1E37"/>
    <w:rsid w:val="00EA2089"/>
    <w:rsid w:val="00EA2150"/>
    <w:rsid w:val="00EA217E"/>
    <w:rsid w:val="00EA239E"/>
    <w:rsid w:val="00EA244A"/>
    <w:rsid w:val="00EA25BE"/>
    <w:rsid w:val="00EA290A"/>
    <w:rsid w:val="00EA2975"/>
    <w:rsid w:val="00EA2AE1"/>
    <w:rsid w:val="00EA2EE7"/>
    <w:rsid w:val="00EA2EED"/>
    <w:rsid w:val="00EA2F8C"/>
    <w:rsid w:val="00EA2FC3"/>
    <w:rsid w:val="00EA3059"/>
    <w:rsid w:val="00EA30CA"/>
    <w:rsid w:val="00EA30E0"/>
    <w:rsid w:val="00EA315B"/>
    <w:rsid w:val="00EA31B2"/>
    <w:rsid w:val="00EA31BF"/>
    <w:rsid w:val="00EA328F"/>
    <w:rsid w:val="00EA32CF"/>
    <w:rsid w:val="00EA3351"/>
    <w:rsid w:val="00EA33CA"/>
    <w:rsid w:val="00EA34C4"/>
    <w:rsid w:val="00EA34D7"/>
    <w:rsid w:val="00EA3512"/>
    <w:rsid w:val="00EA3689"/>
    <w:rsid w:val="00EA370F"/>
    <w:rsid w:val="00EA3737"/>
    <w:rsid w:val="00EA37E6"/>
    <w:rsid w:val="00EA38E2"/>
    <w:rsid w:val="00EA3933"/>
    <w:rsid w:val="00EA3990"/>
    <w:rsid w:val="00EA3AAC"/>
    <w:rsid w:val="00EA3B69"/>
    <w:rsid w:val="00EA3BD4"/>
    <w:rsid w:val="00EA3C6C"/>
    <w:rsid w:val="00EA3CB6"/>
    <w:rsid w:val="00EA3FA7"/>
    <w:rsid w:val="00EA3FDB"/>
    <w:rsid w:val="00EA4007"/>
    <w:rsid w:val="00EA40F3"/>
    <w:rsid w:val="00EA41A4"/>
    <w:rsid w:val="00EA41E1"/>
    <w:rsid w:val="00EA4240"/>
    <w:rsid w:val="00EA445F"/>
    <w:rsid w:val="00EA446F"/>
    <w:rsid w:val="00EA45E1"/>
    <w:rsid w:val="00EA470A"/>
    <w:rsid w:val="00EA497C"/>
    <w:rsid w:val="00EA4B59"/>
    <w:rsid w:val="00EA4B7C"/>
    <w:rsid w:val="00EA4CBB"/>
    <w:rsid w:val="00EA4CFF"/>
    <w:rsid w:val="00EA4D58"/>
    <w:rsid w:val="00EA4DE7"/>
    <w:rsid w:val="00EA4F90"/>
    <w:rsid w:val="00EA5028"/>
    <w:rsid w:val="00EA50C7"/>
    <w:rsid w:val="00EA515C"/>
    <w:rsid w:val="00EA534E"/>
    <w:rsid w:val="00EA539B"/>
    <w:rsid w:val="00EA5452"/>
    <w:rsid w:val="00EA54AB"/>
    <w:rsid w:val="00EA55DA"/>
    <w:rsid w:val="00EA5613"/>
    <w:rsid w:val="00EA5621"/>
    <w:rsid w:val="00EA568D"/>
    <w:rsid w:val="00EA5712"/>
    <w:rsid w:val="00EA5741"/>
    <w:rsid w:val="00EA576B"/>
    <w:rsid w:val="00EA58DA"/>
    <w:rsid w:val="00EA58E5"/>
    <w:rsid w:val="00EA5936"/>
    <w:rsid w:val="00EA598C"/>
    <w:rsid w:val="00EA5996"/>
    <w:rsid w:val="00EA59BB"/>
    <w:rsid w:val="00EA5BB0"/>
    <w:rsid w:val="00EA5C65"/>
    <w:rsid w:val="00EA5D05"/>
    <w:rsid w:val="00EA5DB4"/>
    <w:rsid w:val="00EA6081"/>
    <w:rsid w:val="00EA60FB"/>
    <w:rsid w:val="00EA6123"/>
    <w:rsid w:val="00EA628C"/>
    <w:rsid w:val="00EA62C6"/>
    <w:rsid w:val="00EA6344"/>
    <w:rsid w:val="00EA6431"/>
    <w:rsid w:val="00EA6485"/>
    <w:rsid w:val="00EA64EA"/>
    <w:rsid w:val="00EA666B"/>
    <w:rsid w:val="00EA6718"/>
    <w:rsid w:val="00EA67EF"/>
    <w:rsid w:val="00EA686B"/>
    <w:rsid w:val="00EA689B"/>
    <w:rsid w:val="00EA68ED"/>
    <w:rsid w:val="00EA6A00"/>
    <w:rsid w:val="00EA6B68"/>
    <w:rsid w:val="00EA6C06"/>
    <w:rsid w:val="00EA6C3B"/>
    <w:rsid w:val="00EA6CC8"/>
    <w:rsid w:val="00EA6D32"/>
    <w:rsid w:val="00EA6D39"/>
    <w:rsid w:val="00EA6D7B"/>
    <w:rsid w:val="00EA6E80"/>
    <w:rsid w:val="00EA6E9F"/>
    <w:rsid w:val="00EA6ECF"/>
    <w:rsid w:val="00EA6F78"/>
    <w:rsid w:val="00EA6F99"/>
    <w:rsid w:val="00EA6FDE"/>
    <w:rsid w:val="00EA7007"/>
    <w:rsid w:val="00EA708C"/>
    <w:rsid w:val="00EA70A6"/>
    <w:rsid w:val="00EA717B"/>
    <w:rsid w:val="00EA71A0"/>
    <w:rsid w:val="00EA7203"/>
    <w:rsid w:val="00EA727C"/>
    <w:rsid w:val="00EA73DF"/>
    <w:rsid w:val="00EA73F2"/>
    <w:rsid w:val="00EA73FC"/>
    <w:rsid w:val="00EA74FC"/>
    <w:rsid w:val="00EA7521"/>
    <w:rsid w:val="00EA755F"/>
    <w:rsid w:val="00EA7648"/>
    <w:rsid w:val="00EA7729"/>
    <w:rsid w:val="00EA780E"/>
    <w:rsid w:val="00EA78BD"/>
    <w:rsid w:val="00EA79DB"/>
    <w:rsid w:val="00EA7A0A"/>
    <w:rsid w:val="00EA7ADA"/>
    <w:rsid w:val="00EA7B36"/>
    <w:rsid w:val="00EA7B37"/>
    <w:rsid w:val="00EA7BCB"/>
    <w:rsid w:val="00EA7C73"/>
    <w:rsid w:val="00EA7D44"/>
    <w:rsid w:val="00EA7DC4"/>
    <w:rsid w:val="00EA7EC9"/>
    <w:rsid w:val="00EA7F8A"/>
    <w:rsid w:val="00EA80C1"/>
    <w:rsid w:val="00EACAD4"/>
    <w:rsid w:val="00EB02F5"/>
    <w:rsid w:val="00EB0304"/>
    <w:rsid w:val="00EB033D"/>
    <w:rsid w:val="00EB03BA"/>
    <w:rsid w:val="00EB04A0"/>
    <w:rsid w:val="00EB061B"/>
    <w:rsid w:val="00EB0671"/>
    <w:rsid w:val="00EB07A0"/>
    <w:rsid w:val="00EB089D"/>
    <w:rsid w:val="00EB094B"/>
    <w:rsid w:val="00EB0C9A"/>
    <w:rsid w:val="00EB0D99"/>
    <w:rsid w:val="00EB0E9C"/>
    <w:rsid w:val="00EB0F2D"/>
    <w:rsid w:val="00EB0F2F"/>
    <w:rsid w:val="00EB10E1"/>
    <w:rsid w:val="00EB1310"/>
    <w:rsid w:val="00EB131F"/>
    <w:rsid w:val="00EB1410"/>
    <w:rsid w:val="00EB152C"/>
    <w:rsid w:val="00EB1553"/>
    <w:rsid w:val="00EB1621"/>
    <w:rsid w:val="00EB1759"/>
    <w:rsid w:val="00EB17A9"/>
    <w:rsid w:val="00EB1869"/>
    <w:rsid w:val="00EB1BCD"/>
    <w:rsid w:val="00EB1C0F"/>
    <w:rsid w:val="00EB1D5F"/>
    <w:rsid w:val="00EB1E6F"/>
    <w:rsid w:val="00EB1F22"/>
    <w:rsid w:val="00EB1FA9"/>
    <w:rsid w:val="00EB1FE4"/>
    <w:rsid w:val="00EB200A"/>
    <w:rsid w:val="00EB2079"/>
    <w:rsid w:val="00EB20D4"/>
    <w:rsid w:val="00EB22A4"/>
    <w:rsid w:val="00EB24D6"/>
    <w:rsid w:val="00EB25E5"/>
    <w:rsid w:val="00EB2603"/>
    <w:rsid w:val="00EB26B3"/>
    <w:rsid w:val="00EB26BC"/>
    <w:rsid w:val="00EB2806"/>
    <w:rsid w:val="00EB28DA"/>
    <w:rsid w:val="00EB29BB"/>
    <w:rsid w:val="00EB2A6E"/>
    <w:rsid w:val="00EB2B5C"/>
    <w:rsid w:val="00EB2BDC"/>
    <w:rsid w:val="00EB2C88"/>
    <w:rsid w:val="00EB2C93"/>
    <w:rsid w:val="00EB2CF5"/>
    <w:rsid w:val="00EB2D04"/>
    <w:rsid w:val="00EB2F9C"/>
    <w:rsid w:val="00EB2FB0"/>
    <w:rsid w:val="00EB3144"/>
    <w:rsid w:val="00EB3168"/>
    <w:rsid w:val="00EB31F9"/>
    <w:rsid w:val="00EB32BC"/>
    <w:rsid w:val="00EB3431"/>
    <w:rsid w:val="00EB353E"/>
    <w:rsid w:val="00EB35E8"/>
    <w:rsid w:val="00EB3665"/>
    <w:rsid w:val="00EB3723"/>
    <w:rsid w:val="00EB378F"/>
    <w:rsid w:val="00EB383D"/>
    <w:rsid w:val="00EB3BA5"/>
    <w:rsid w:val="00EB3C79"/>
    <w:rsid w:val="00EB3CCE"/>
    <w:rsid w:val="00EB3DC4"/>
    <w:rsid w:val="00EB3DDA"/>
    <w:rsid w:val="00EB3E19"/>
    <w:rsid w:val="00EB3E52"/>
    <w:rsid w:val="00EB3ED6"/>
    <w:rsid w:val="00EB3FBA"/>
    <w:rsid w:val="00EB405C"/>
    <w:rsid w:val="00EB40E0"/>
    <w:rsid w:val="00EB4320"/>
    <w:rsid w:val="00EB441C"/>
    <w:rsid w:val="00EB4455"/>
    <w:rsid w:val="00EB4536"/>
    <w:rsid w:val="00EB46CA"/>
    <w:rsid w:val="00EB46E1"/>
    <w:rsid w:val="00EB47F6"/>
    <w:rsid w:val="00EB49EE"/>
    <w:rsid w:val="00EB4A4C"/>
    <w:rsid w:val="00EB4A91"/>
    <w:rsid w:val="00EB4BC1"/>
    <w:rsid w:val="00EB4BCD"/>
    <w:rsid w:val="00EB4C7B"/>
    <w:rsid w:val="00EB4CC2"/>
    <w:rsid w:val="00EB4D1E"/>
    <w:rsid w:val="00EB4DAC"/>
    <w:rsid w:val="00EB4E15"/>
    <w:rsid w:val="00EB4E1B"/>
    <w:rsid w:val="00EB4E88"/>
    <w:rsid w:val="00EB4EBE"/>
    <w:rsid w:val="00EB4F33"/>
    <w:rsid w:val="00EB4FB3"/>
    <w:rsid w:val="00EB5001"/>
    <w:rsid w:val="00EB5028"/>
    <w:rsid w:val="00EB519E"/>
    <w:rsid w:val="00EB51FB"/>
    <w:rsid w:val="00EB53F4"/>
    <w:rsid w:val="00EB5534"/>
    <w:rsid w:val="00EB568E"/>
    <w:rsid w:val="00EB578D"/>
    <w:rsid w:val="00EB5882"/>
    <w:rsid w:val="00EB5957"/>
    <w:rsid w:val="00EB5B1D"/>
    <w:rsid w:val="00EB5B2E"/>
    <w:rsid w:val="00EB5B61"/>
    <w:rsid w:val="00EB5CF4"/>
    <w:rsid w:val="00EB5E02"/>
    <w:rsid w:val="00EB5E48"/>
    <w:rsid w:val="00EB5EA8"/>
    <w:rsid w:val="00EB5FD2"/>
    <w:rsid w:val="00EB6049"/>
    <w:rsid w:val="00EB612A"/>
    <w:rsid w:val="00EB6196"/>
    <w:rsid w:val="00EB61BF"/>
    <w:rsid w:val="00EB6203"/>
    <w:rsid w:val="00EB6234"/>
    <w:rsid w:val="00EB62D5"/>
    <w:rsid w:val="00EB6496"/>
    <w:rsid w:val="00EB6551"/>
    <w:rsid w:val="00EB6635"/>
    <w:rsid w:val="00EB675D"/>
    <w:rsid w:val="00EB678D"/>
    <w:rsid w:val="00EB6876"/>
    <w:rsid w:val="00EB687B"/>
    <w:rsid w:val="00EB6A6C"/>
    <w:rsid w:val="00EB6AF6"/>
    <w:rsid w:val="00EB6CAD"/>
    <w:rsid w:val="00EB6DA9"/>
    <w:rsid w:val="00EB6E33"/>
    <w:rsid w:val="00EB6F47"/>
    <w:rsid w:val="00EB7089"/>
    <w:rsid w:val="00EB70B3"/>
    <w:rsid w:val="00EB7245"/>
    <w:rsid w:val="00EB7250"/>
    <w:rsid w:val="00EB7270"/>
    <w:rsid w:val="00EB7457"/>
    <w:rsid w:val="00EB749F"/>
    <w:rsid w:val="00EB7551"/>
    <w:rsid w:val="00EB75DC"/>
    <w:rsid w:val="00EB7770"/>
    <w:rsid w:val="00EB777F"/>
    <w:rsid w:val="00EB77A1"/>
    <w:rsid w:val="00EB77B5"/>
    <w:rsid w:val="00EB77D7"/>
    <w:rsid w:val="00EB789F"/>
    <w:rsid w:val="00EB7915"/>
    <w:rsid w:val="00EB7ACA"/>
    <w:rsid w:val="00EB7B08"/>
    <w:rsid w:val="00EB7B1E"/>
    <w:rsid w:val="00EB7BCB"/>
    <w:rsid w:val="00EB7D05"/>
    <w:rsid w:val="00EB7D3D"/>
    <w:rsid w:val="00EC00A2"/>
    <w:rsid w:val="00EC033E"/>
    <w:rsid w:val="00EC0520"/>
    <w:rsid w:val="00EC0706"/>
    <w:rsid w:val="00EC0747"/>
    <w:rsid w:val="00EC0804"/>
    <w:rsid w:val="00EC0843"/>
    <w:rsid w:val="00EC0844"/>
    <w:rsid w:val="00EC0866"/>
    <w:rsid w:val="00EC0878"/>
    <w:rsid w:val="00EC09C1"/>
    <w:rsid w:val="00EC0AB2"/>
    <w:rsid w:val="00EC0C6F"/>
    <w:rsid w:val="00EC0DAA"/>
    <w:rsid w:val="00EC0F38"/>
    <w:rsid w:val="00EC1002"/>
    <w:rsid w:val="00EC119C"/>
    <w:rsid w:val="00EC11F9"/>
    <w:rsid w:val="00EC1496"/>
    <w:rsid w:val="00EC14A8"/>
    <w:rsid w:val="00EC15A1"/>
    <w:rsid w:val="00EC15FF"/>
    <w:rsid w:val="00EC1895"/>
    <w:rsid w:val="00EC1933"/>
    <w:rsid w:val="00EC1B49"/>
    <w:rsid w:val="00EC1C46"/>
    <w:rsid w:val="00EC20BC"/>
    <w:rsid w:val="00EC217B"/>
    <w:rsid w:val="00EC22EF"/>
    <w:rsid w:val="00EC2410"/>
    <w:rsid w:val="00EC2520"/>
    <w:rsid w:val="00EC258F"/>
    <w:rsid w:val="00EC2694"/>
    <w:rsid w:val="00EC2915"/>
    <w:rsid w:val="00EC2968"/>
    <w:rsid w:val="00EC29E3"/>
    <w:rsid w:val="00EC2A6E"/>
    <w:rsid w:val="00EC2A99"/>
    <w:rsid w:val="00EC2AB0"/>
    <w:rsid w:val="00EC2BFA"/>
    <w:rsid w:val="00EC2CA8"/>
    <w:rsid w:val="00EC2D2B"/>
    <w:rsid w:val="00EC2F4E"/>
    <w:rsid w:val="00EC31D7"/>
    <w:rsid w:val="00EC337D"/>
    <w:rsid w:val="00EC3408"/>
    <w:rsid w:val="00EC34A7"/>
    <w:rsid w:val="00EC3624"/>
    <w:rsid w:val="00EC3692"/>
    <w:rsid w:val="00EC37A0"/>
    <w:rsid w:val="00EC3927"/>
    <w:rsid w:val="00EC3944"/>
    <w:rsid w:val="00EC3996"/>
    <w:rsid w:val="00EC3A42"/>
    <w:rsid w:val="00EC3B17"/>
    <w:rsid w:val="00EC3CF1"/>
    <w:rsid w:val="00EC3D13"/>
    <w:rsid w:val="00EC3E0A"/>
    <w:rsid w:val="00EC3F0D"/>
    <w:rsid w:val="00EC3FDE"/>
    <w:rsid w:val="00EC3FF1"/>
    <w:rsid w:val="00EC42C4"/>
    <w:rsid w:val="00EC4544"/>
    <w:rsid w:val="00EC45F0"/>
    <w:rsid w:val="00EC463A"/>
    <w:rsid w:val="00EC46B6"/>
    <w:rsid w:val="00EC4869"/>
    <w:rsid w:val="00EC4896"/>
    <w:rsid w:val="00EC48E3"/>
    <w:rsid w:val="00EC4996"/>
    <w:rsid w:val="00EC49D4"/>
    <w:rsid w:val="00EC49FB"/>
    <w:rsid w:val="00EC4AD9"/>
    <w:rsid w:val="00EC4BA4"/>
    <w:rsid w:val="00EC4CA8"/>
    <w:rsid w:val="00EC4F4C"/>
    <w:rsid w:val="00EC5130"/>
    <w:rsid w:val="00EC5133"/>
    <w:rsid w:val="00EC51E3"/>
    <w:rsid w:val="00EC520B"/>
    <w:rsid w:val="00EC5210"/>
    <w:rsid w:val="00EC52EF"/>
    <w:rsid w:val="00EC53D7"/>
    <w:rsid w:val="00EC5418"/>
    <w:rsid w:val="00EC5491"/>
    <w:rsid w:val="00EC54B5"/>
    <w:rsid w:val="00EC54BC"/>
    <w:rsid w:val="00EC54D3"/>
    <w:rsid w:val="00EC556C"/>
    <w:rsid w:val="00EC5614"/>
    <w:rsid w:val="00EC579E"/>
    <w:rsid w:val="00EC57E4"/>
    <w:rsid w:val="00EC57E9"/>
    <w:rsid w:val="00EC58E3"/>
    <w:rsid w:val="00EC5995"/>
    <w:rsid w:val="00EC5A01"/>
    <w:rsid w:val="00EC5A4A"/>
    <w:rsid w:val="00EC5ACA"/>
    <w:rsid w:val="00EC5B53"/>
    <w:rsid w:val="00EC5DD3"/>
    <w:rsid w:val="00EC5DFD"/>
    <w:rsid w:val="00EC5E1D"/>
    <w:rsid w:val="00EC5F23"/>
    <w:rsid w:val="00EC5F8E"/>
    <w:rsid w:val="00EC607F"/>
    <w:rsid w:val="00EC60CC"/>
    <w:rsid w:val="00EC629C"/>
    <w:rsid w:val="00EC62CE"/>
    <w:rsid w:val="00EC62EB"/>
    <w:rsid w:val="00EC641B"/>
    <w:rsid w:val="00EC659B"/>
    <w:rsid w:val="00EC66D4"/>
    <w:rsid w:val="00EC6880"/>
    <w:rsid w:val="00EC68C2"/>
    <w:rsid w:val="00EC68EA"/>
    <w:rsid w:val="00EC6D8F"/>
    <w:rsid w:val="00EC6E06"/>
    <w:rsid w:val="00EC6E91"/>
    <w:rsid w:val="00EC6EB6"/>
    <w:rsid w:val="00EC6F55"/>
    <w:rsid w:val="00EC703F"/>
    <w:rsid w:val="00EC70FF"/>
    <w:rsid w:val="00EC7155"/>
    <w:rsid w:val="00EC717C"/>
    <w:rsid w:val="00EC71A1"/>
    <w:rsid w:val="00EC71D9"/>
    <w:rsid w:val="00EC7349"/>
    <w:rsid w:val="00EC738D"/>
    <w:rsid w:val="00EC7429"/>
    <w:rsid w:val="00EC7468"/>
    <w:rsid w:val="00EC7658"/>
    <w:rsid w:val="00EC7698"/>
    <w:rsid w:val="00EC76DF"/>
    <w:rsid w:val="00EC77BF"/>
    <w:rsid w:val="00EC77CD"/>
    <w:rsid w:val="00EC7831"/>
    <w:rsid w:val="00EC7A3C"/>
    <w:rsid w:val="00EC7C1D"/>
    <w:rsid w:val="00EC7C7D"/>
    <w:rsid w:val="00EC7F9E"/>
    <w:rsid w:val="00EC7FAB"/>
    <w:rsid w:val="00EC7FD6"/>
    <w:rsid w:val="00ECA360"/>
    <w:rsid w:val="00ECDF1C"/>
    <w:rsid w:val="00ED0027"/>
    <w:rsid w:val="00ED0327"/>
    <w:rsid w:val="00ED03C7"/>
    <w:rsid w:val="00ED04CB"/>
    <w:rsid w:val="00ED04DF"/>
    <w:rsid w:val="00ED04F0"/>
    <w:rsid w:val="00ED0632"/>
    <w:rsid w:val="00ED0679"/>
    <w:rsid w:val="00ED069C"/>
    <w:rsid w:val="00ED099D"/>
    <w:rsid w:val="00ED0A2A"/>
    <w:rsid w:val="00ED0BA4"/>
    <w:rsid w:val="00ED0BA9"/>
    <w:rsid w:val="00ED0DAD"/>
    <w:rsid w:val="00ED0FCF"/>
    <w:rsid w:val="00ED115E"/>
    <w:rsid w:val="00ED125C"/>
    <w:rsid w:val="00ED13E0"/>
    <w:rsid w:val="00ED1450"/>
    <w:rsid w:val="00ED14CD"/>
    <w:rsid w:val="00ED15A8"/>
    <w:rsid w:val="00ED180D"/>
    <w:rsid w:val="00ED19B2"/>
    <w:rsid w:val="00ED1A73"/>
    <w:rsid w:val="00ED1A81"/>
    <w:rsid w:val="00ED1B3C"/>
    <w:rsid w:val="00ED1D11"/>
    <w:rsid w:val="00ED1DAC"/>
    <w:rsid w:val="00ED1E61"/>
    <w:rsid w:val="00ED1F83"/>
    <w:rsid w:val="00ED1FEA"/>
    <w:rsid w:val="00ED20B1"/>
    <w:rsid w:val="00ED2107"/>
    <w:rsid w:val="00ED22FF"/>
    <w:rsid w:val="00ED2423"/>
    <w:rsid w:val="00ED2432"/>
    <w:rsid w:val="00ED24AA"/>
    <w:rsid w:val="00ED24F7"/>
    <w:rsid w:val="00ED2526"/>
    <w:rsid w:val="00ED2559"/>
    <w:rsid w:val="00ED25E7"/>
    <w:rsid w:val="00ED26FC"/>
    <w:rsid w:val="00ED27CF"/>
    <w:rsid w:val="00ED287C"/>
    <w:rsid w:val="00ED29AD"/>
    <w:rsid w:val="00ED2A06"/>
    <w:rsid w:val="00ED2A8D"/>
    <w:rsid w:val="00ED2AD7"/>
    <w:rsid w:val="00ED2B30"/>
    <w:rsid w:val="00ED2B60"/>
    <w:rsid w:val="00ED2B7B"/>
    <w:rsid w:val="00ED2BE6"/>
    <w:rsid w:val="00ED2C28"/>
    <w:rsid w:val="00ED2CB1"/>
    <w:rsid w:val="00ED2DD4"/>
    <w:rsid w:val="00ED2E0F"/>
    <w:rsid w:val="00ED2E36"/>
    <w:rsid w:val="00ED2ED8"/>
    <w:rsid w:val="00ED2F88"/>
    <w:rsid w:val="00ED321A"/>
    <w:rsid w:val="00ED328F"/>
    <w:rsid w:val="00ED32EE"/>
    <w:rsid w:val="00ED3338"/>
    <w:rsid w:val="00ED344E"/>
    <w:rsid w:val="00ED34F3"/>
    <w:rsid w:val="00ED385C"/>
    <w:rsid w:val="00ED39F0"/>
    <w:rsid w:val="00ED3AA6"/>
    <w:rsid w:val="00ED3AE8"/>
    <w:rsid w:val="00ED3B2A"/>
    <w:rsid w:val="00ED3BB4"/>
    <w:rsid w:val="00ED3C2E"/>
    <w:rsid w:val="00ED3DEE"/>
    <w:rsid w:val="00ED3EF7"/>
    <w:rsid w:val="00ED3F14"/>
    <w:rsid w:val="00ED3F76"/>
    <w:rsid w:val="00ED3FDB"/>
    <w:rsid w:val="00ED4048"/>
    <w:rsid w:val="00ED41D1"/>
    <w:rsid w:val="00ED4222"/>
    <w:rsid w:val="00ED4299"/>
    <w:rsid w:val="00ED48EC"/>
    <w:rsid w:val="00ED49A4"/>
    <w:rsid w:val="00ED4CB0"/>
    <w:rsid w:val="00ED4E91"/>
    <w:rsid w:val="00ED4EEC"/>
    <w:rsid w:val="00ED4F3D"/>
    <w:rsid w:val="00ED5072"/>
    <w:rsid w:val="00ED53E9"/>
    <w:rsid w:val="00ED5615"/>
    <w:rsid w:val="00ED56E1"/>
    <w:rsid w:val="00ED56F7"/>
    <w:rsid w:val="00ED57BC"/>
    <w:rsid w:val="00ED57FC"/>
    <w:rsid w:val="00ED58AA"/>
    <w:rsid w:val="00ED58AB"/>
    <w:rsid w:val="00ED593B"/>
    <w:rsid w:val="00ED5A3A"/>
    <w:rsid w:val="00ED5A71"/>
    <w:rsid w:val="00ED5A78"/>
    <w:rsid w:val="00ED5A79"/>
    <w:rsid w:val="00ED5CFF"/>
    <w:rsid w:val="00ED5D66"/>
    <w:rsid w:val="00ED5D7B"/>
    <w:rsid w:val="00ED5E38"/>
    <w:rsid w:val="00ED60D2"/>
    <w:rsid w:val="00ED62F2"/>
    <w:rsid w:val="00ED6316"/>
    <w:rsid w:val="00ED63A4"/>
    <w:rsid w:val="00ED63C8"/>
    <w:rsid w:val="00ED65AB"/>
    <w:rsid w:val="00ED65B0"/>
    <w:rsid w:val="00ED6741"/>
    <w:rsid w:val="00ED6744"/>
    <w:rsid w:val="00ED68D7"/>
    <w:rsid w:val="00ED696B"/>
    <w:rsid w:val="00ED69AD"/>
    <w:rsid w:val="00ED69FF"/>
    <w:rsid w:val="00ED6B4B"/>
    <w:rsid w:val="00ED6BAA"/>
    <w:rsid w:val="00ED6BAB"/>
    <w:rsid w:val="00ED6CCE"/>
    <w:rsid w:val="00ED6CF3"/>
    <w:rsid w:val="00ED6D00"/>
    <w:rsid w:val="00ED6DE2"/>
    <w:rsid w:val="00ED6E62"/>
    <w:rsid w:val="00ED6FC3"/>
    <w:rsid w:val="00ED7079"/>
    <w:rsid w:val="00ED70B6"/>
    <w:rsid w:val="00ED70CC"/>
    <w:rsid w:val="00ED7320"/>
    <w:rsid w:val="00ED7336"/>
    <w:rsid w:val="00ED7416"/>
    <w:rsid w:val="00ED7418"/>
    <w:rsid w:val="00ED74DF"/>
    <w:rsid w:val="00ED751F"/>
    <w:rsid w:val="00ED752C"/>
    <w:rsid w:val="00ED7591"/>
    <w:rsid w:val="00ED7614"/>
    <w:rsid w:val="00ED7639"/>
    <w:rsid w:val="00ED765B"/>
    <w:rsid w:val="00ED774C"/>
    <w:rsid w:val="00ED796B"/>
    <w:rsid w:val="00ED7A1B"/>
    <w:rsid w:val="00ED7AAF"/>
    <w:rsid w:val="00ED7AC4"/>
    <w:rsid w:val="00ED7B03"/>
    <w:rsid w:val="00ED7C4B"/>
    <w:rsid w:val="00ED7C81"/>
    <w:rsid w:val="00ED7CAB"/>
    <w:rsid w:val="00ED7CD9"/>
    <w:rsid w:val="00ED7DC6"/>
    <w:rsid w:val="00ED7F2A"/>
    <w:rsid w:val="00EE0236"/>
    <w:rsid w:val="00EE02BD"/>
    <w:rsid w:val="00EE0449"/>
    <w:rsid w:val="00EE04AF"/>
    <w:rsid w:val="00EE050E"/>
    <w:rsid w:val="00EE0561"/>
    <w:rsid w:val="00EE06E3"/>
    <w:rsid w:val="00EE072F"/>
    <w:rsid w:val="00EE0748"/>
    <w:rsid w:val="00EE0893"/>
    <w:rsid w:val="00EE09EA"/>
    <w:rsid w:val="00EE0A05"/>
    <w:rsid w:val="00EE0B30"/>
    <w:rsid w:val="00EE0BE9"/>
    <w:rsid w:val="00EE0C6F"/>
    <w:rsid w:val="00EE0E33"/>
    <w:rsid w:val="00EE0E5E"/>
    <w:rsid w:val="00EE0E9D"/>
    <w:rsid w:val="00EE0F7B"/>
    <w:rsid w:val="00EE0FAC"/>
    <w:rsid w:val="00EE111B"/>
    <w:rsid w:val="00EE111E"/>
    <w:rsid w:val="00EE1122"/>
    <w:rsid w:val="00EE1176"/>
    <w:rsid w:val="00EE1254"/>
    <w:rsid w:val="00EE1263"/>
    <w:rsid w:val="00EE1299"/>
    <w:rsid w:val="00EE12C1"/>
    <w:rsid w:val="00EE138D"/>
    <w:rsid w:val="00EE1402"/>
    <w:rsid w:val="00EE15C0"/>
    <w:rsid w:val="00EE1612"/>
    <w:rsid w:val="00EE161F"/>
    <w:rsid w:val="00EE1671"/>
    <w:rsid w:val="00EE1691"/>
    <w:rsid w:val="00EE16B7"/>
    <w:rsid w:val="00EE1768"/>
    <w:rsid w:val="00EE17CC"/>
    <w:rsid w:val="00EE1818"/>
    <w:rsid w:val="00EE196E"/>
    <w:rsid w:val="00EE19AF"/>
    <w:rsid w:val="00EE1A1F"/>
    <w:rsid w:val="00EE1A29"/>
    <w:rsid w:val="00EE1A45"/>
    <w:rsid w:val="00EE1A9F"/>
    <w:rsid w:val="00EE1AAC"/>
    <w:rsid w:val="00EE1E5E"/>
    <w:rsid w:val="00EE1ED1"/>
    <w:rsid w:val="00EE1F39"/>
    <w:rsid w:val="00EE1F3C"/>
    <w:rsid w:val="00EE1F48"/>
    <w:rsid w:val="00EE1F69"/>
    <w:rsid w:val="00EE1F93"/>
    <w:rsid w:val="00EE1FF1"/>
    <w:rsid w:val="00EE206F"/>
    <w:rsid w:val="00EE212B"/>
    <w:rsid w:val="00EE219B"/>
    <w:rsid w:val="00EE2293"/>
    <w:rsid w:val="00EE22D0"/>
    <w:rsid w:val="00EE2435"/>
    <w:rsid w:val="00EE247D"/>
    <w:rsid w:val="00EE24D0"/>
    <w:rsid w:val="00EE25CA"/>
    <w:rsid w:val="00EE26AB"/>
    <w:rsid w:val="00EE273E"/>
    <w:rsid w:val="00EE28DD"/>
    <w:rsid w:val="00EE2937"/>
    <w:rsid w:val="00EE2A46"/>
    <w:rsid w:val="00EE2AD6"/>
    <w:rsid w:val="00EE2B20"/>
    <w:rsid w:val="00EE2B8E"/>
    <w:rsid w:val="00EE2B99"/>
    <w:rsid w:val="00EE2BC2"/>
    <w:rsid w:val="00EE2E1D"/>
    <w:rsid w:val="00EE2E86"/>
    <w:rsid w:val="00EE2F11"/>
    <w:rsid w:val="00EE3026"/>
    <w:rsid w:val="00EE313B"/>
    <w:rsid w:val="00EE31D8"/>
    <w:rsid w:val="00EE32A2"/>
    <w:rsid w:val="00EE33AC"/>
    <w:rsid w:val="00EE34C7"/>
    <w:rsid w:val="00EE34F4"/>
    <w:rsid w:val="00EE3519"/>
    <w:rsid w:val="00EE36AD"/>
    <w:rsid w:val="00EE373E"/>
    <w:rsid w:val="00EE37F0"/>
    <w:rsid w:val="00EE3878"/>
    <w:rsid w:val="00EE38A9"/>
    <w:rsid w:val="00EE38BC"/>
    <w:rsid w:val="00EE38D5"/>
    <w:rsid w:val="00EE38FF"/>
    <w:rsid w:val="00EE395A"/>
    <w:rsid w:val="00EE3A8D"/>
    <w:rsid w:val="00EE3B22"/>
    <w:rsid w:val="00EE3BBF"/>
    <w:rsid w:val="00EE3C04"/>
    <w:rsid w:val="00EE3C81"/>
    <w:rsid w:val="00EE3CA7"/>
    <w:rsid w:val="00EE3D5A"/>
    <w:rsid w:val="00EE4116"/>
    <w:rsid w:val="00EE418B"/>
    <w:rsid w:val="00EE41A2"/>
    <w:rsid w:val="00EE42BC"/>
    <w:rsid w:val="00EE4363"/>
    <w:rsid w:val="00EE442C"/>
    <w:rsid w:val="00EE4599"/>
    <w:rsid w:val="00EE462E"/>
    <w:rsid w:val="00EE4683"/>
    <w:rsid w:val="00EE46F7"/>
    <w:rsid w:val="00EE4708"/>
    <w:rsid w:val="00EE475F"/>
    <w:rsid w:val="00EE47CA"/>
    <w:rsid w:val="00EE4880"/>
    <w:rsid w:val="00EE4895"/>
    <w:rsid w:val="00EE49D8"/>
    <w:rsid w:val="00EE49EF"/>
    <w:rsid w:val="00EE4A93"/>
    <w:rsid w:val="00EE4C45"/>
    <w:rsid w:val="00EE4D07"/>
    <w:rsid w:val="00EE4E57"/>
    <w:rsid w:val="00EE4EC3"/>
    <w:rsid w:val="00EE4F46"/>
    <w:rsid w:val="00EE4F75"/>
    <w:rsid w:val="00EE4F9D"/>
    <w:rsid w:val="00EE511A"/>
    <w:rsid w:val="00EE5166"/>
    <w:rsid w:val="00EE540E"/>
    <w:rsid w:val="00EE546B"/>
    <w:rsid w:val="00EE548B"/>
    <w:rsid w:val="00EE54AA"/>
    <w:rsid w:val="00EE54B7"/>
    <w:rsid w:val="00EE54BE"/>
    <w:rsid w:val="00EE554B"/>
    <w:rsid w:val="00EE56CC"/>
    <w:rsid w:val="00EE56F2"/>
    <w:rsid w:val="00EE570E"/>
    <w:rsid w:val="00EE57AE"/>
    <w:rsid w:val="00EE588C"/>
    <w:rsid w:val="00EE588F"/>
    <w:rsid w:val="00EE58B3"/>
    <w:rsid w:val="00EE58DF"/>
    <w:rsid w:val="00EE5C20"/>
    <w:rsid w:val="00EE5C36"/>
    <w:rsid w:val="00EE5C58"/>
    <w:rsid w:val="00EE5C8D"/>
    <w:rsid w:val="00EE5F23"/>
    <w:rsid w:val="00EE6016"/>
    <w:rsid w:val="00EE6035"/>
    <w:rsid w:val="00EE6129"/>
    <w:rsid w:val="00EE6192"/>
    <w:rsid w:val="00EE61F2"/>
    <w:rsid w:val="00EE6254"/>
    <w:rsid w:val="00EE62C5"/>
    <w:rsid w:val="00EE63F5"/>
    <w:rsid w:val="00EE64E1"/>
    <w:rsid w:val="00EE6508"/>
    <w:rsid w:val="00EE653C"/>
    <w:rsid w:val="00EE65BE"/>
    <w:rsid w:val="00EE6672"/>
    <w:rsid w:val="00EE66C2"/>
    <w:rsid w:val="00EE66D3"/>
    <w:rsid w:val="00EE6821"/>
    <w:rsid w:val="00EE68DE"/>
    <w:rsid w:val="00EE6958"/>
    <w:rsid w:val="00EE6B0F"/>
    <w:rsid w:val="00EE6DE0"/>
    <w:rsid w:val="00EE6EFB"/>
    <w:rsid w:val="00EE6FCE"/>
    <w:rsid w:val="00EE7007"/>
    <w:rsid w:val="00EE7033"/>
    <w:rsid w:val="00EE704B"/>
    <w:rsid w:val="00EE709C"/>
    <w:rsid w:val="00EE7104"/>
    <w:rsid w:val="00EE7156"/>
    <w:rsid w:val="00EE75F1"/>
    <w:rsid w:val="00EE769A"/>
    <w:rsid w:val="00EE7759"/>
    <w:rsid w:val="00EE77F1"/>
    <w:rsid w:val="00EE77FC"/>
    <w:rsid w:val="00EE791E"/>
    <w:rsid w:val="00EE7A98"/>
    <w:rsid w:val="00EE7C7B"/>
    <w:rsid w:val="00EE7CD5"/>
    <w:rsid w:val="00EE7CEF"/>
    <w:rsid w:val="00EE7D65"/>
    <w:rsid w:val="00EE7E44"/>
    <w:rsid w:val="00EE7E66"/>
    <w:rsid w:val="00EE7FD5"/>
    <w:rsid w:val="00EF0053"/>
    <w:rsid w:val="00EF00BE"/>
    <w:rsid w:val="00EF0422"/>
    <w:rsid w:val="00EF0508"/>
    <w:rsid w:val="00EF06CB"/>
    <w:rsid w:val="00EF0768"/>
    <w:rsid w:val="00EF0ABD"/>
    <w:rsid w:val="00EF0AFD"/>
    <w:rsid w:val="00EF0BBC"/>
    <w:rsid w:val="00EF0E19"/>
    <w:rsid w:val="00EF0E35"/>
    <w:rsid w:val="00EF0E4B"/>
    <w:rsid w:val="00EF0EB8"/>
    <w:rsid w:val="00EF0EDE"/>
    <w:rsid w:val="00EF1023"/>
    <w:rsid w:val="00EF10AA"/>
    <w:rsid w:val="00EF10CD"/>
    <w:rsid w:val="00EF10D8"/>
    <w:rsid w:val="00EF10E2"/>
    <w:rsid w:val="00EF114C"/>
    <w:rsid w:val="00EF1272"/>
    <w:rsid w:val="00EF1292"/>
    <w:rsid w:val="00EF13B8"/>
    <w:rsid w:val="00EF14D4"/>
    <w:rsid w:val="00EF16C2"/>
    <w:rsid w:val="00EF1726"/>
    <w:rsid w:val="00EF173B"/>
    <w:rsid w:val="00EF184D"/>
    <w:rsid w:val="00EF184F"/>
    <w:rsid w:val="00EF1869"/>
    <w:rsid w:val="00EF1898"/>
    <w:rsid w:val="00EF1ADC"/>
    <w:rsid w:val="00EF1B0E"/>
    <w:rsid w:val="00EF1B22"/>
    <w:rsid w:val="00EF1B53"/>
    <w:rsid w:val="00EF1B5D"/>
    <w:rsid w:val="00EF1BC9"/>
    <w:rsid w:val="00EF1C70"/>
    <w:rsid w:val="00EF1CD2"/>
    <w:rsid w:val="00EF1DDD"/>
    <w:rsid w:val="00EF1E15"/>
    <w:rsid w:val="00EF1E97"/>
    <w:rsid w:val="00EF1EAC"/>
    <w:rsid w:val="00EF1ECC"/>
    <w:rsid w:val="00EF1F1E"/>
    <w:rsid w:val="00EF1F36"/>
    <w:rsid w:val="00EF1F73"/>
    <w:rsid w:val="00EF1F79"/>
    <w:rsid w:val="00EF1F84"/>
    <w:rsid w:val="00EF1FAB"/>
    <w:rsid w:val="00EF2065"/>
    <w:rsid w:val="00EF2192"/>
    <w:rsid w:val="00EF21D0"/>
    <w:rsid w:val="00EF22B8"/>
    <w:rsid w:val="00EF22E1"/>
    <w:rsid w:val="00EF2315"/>
    <w:rsid w:val="00EF2449"/>
    <w:rsid w:val="00EF245B"/>
    <w:rsid w:val="00EF280B"/>
    <w:rsid w:val="00EF282A"/>
    <w:rsid w:val="00EF29F7"/>
    <w:rsid w:val="00EF2A05"/>
    <w:rsid w:val="00EF2A36"/>
    <w:rsid w:val="00EF2C6D"/>
    <w:rsid w:val="00EF2CCD"/>
    <w:rsid w:val="00EF2D0F"/>
    <w:rsid w:val="00EF2DB9"/>
    <w:rsid w:val="00EF3038"/>
    <w:rsid w:val="00EF3060"/>
    <w:rsid w:val="00EF30EB"/>
    <w:rsid w:val="00EF30F2"/>
    <w:rsid w:val="00EF30F5"/>
    <w:rsid w:val="00EF30FC"/>
    <w:rsid w:val="00EF3116"/>
    <w:rsid w:val="00EF3290"/>
    <w:rsid w:val="00EF34E1"/>
    <w:rsid w:val="00EF34F4"/>
    <w:rsid w:val="00EF35AF"/>
    <w:rsid w:val="00EF36C2"/>
    <w:rsid w:val="00EF372F"/>
    <w:rsid w:val="00EF3808"/>
    <w:rsid w:val="00EF38A2"/>
    <w:rsid w:val="00EF39A0"/>
    <w:rsid w:val="00EF3A07"/>
    <w:rsid w:val="00EF3A31"/>
    <w:rsid w:val="00EF3B15"/>
    <w:rsid w:val="00EF3BD3"/>
    <w:rsid w:val="00EF3CAA"/>
    <w:rsid w:val="00EF3E73"/>
    <w:rsid w:val="00EF3F66"/>
    <w:rsid w:val="00EF400A"/>
    <w:rsid w:val="00EF4068"/>
    <w:rsid w:val="00EF408F"/>
    <w:rsid w:val="00EF416B"/>
    <w:rsid w:val="00EF4326"/>
    <w:rsid w:val="00EF438D"/>
    <w:rsid w:val="00EF44CF"/>
    <w:rsid w:val="00EF4525"/>
    <w:rsid w:val="00EF45C9"/>
    <w:rsid w:val="00EF469D"/>
    <w:rsid w:val="00EF46A1"/>
    <w:rsid w:val="00EF470F"/>
    <w:rsid w:val="00EF4736"/>
    <w:rsid w:val="00EF4851"/>
    <w:rsid w:val="00EF489D"/>
    <w:rsid w:val="00EF4934"/>
    <w:rsid w:val="00EF49D9"/>
    <w:rsid w:val="00EF4B3D"/>
    <w:rsid w:val="00EF4B90"/>
    <w:rsid w:val="00EF4C1A"/>
    <w:rsid w:val="00EF4C56"/>
    <w:rsid w:val="00EF4D9F"/>
    <w:rsid w:val="00EF4E40"/>
    <w:rsid w:val="00EF4E6A"/>
    <w:rsid w:val="00EF4F47"/>
    <w:rsid w:val="00EF4F88"/>
    <w:rsid w:val="00EF4F8C"/>
    <w:rsid w:val="00EF4F9D"/>
    <w:rsid w:val="00EF534F"/>
    <w:rsid w:val="00EF5357"/>
    <w:rsid w:val="00EF5376"/>
    <w:rsid w:val="00EF53DD"/>
    <w:rsid w:val="00EF546A"/>
    <w:rsid w:val="00EF547D"/>
    <w:rsid w:val="00EF54B9"/>
    <w:rsid w:val="00EF553D"/>
    <w:rsid w:val="00EF5598"/>
    <w:rsid w:val="00EF57B6"/>
    <w:rsid w:val="00EF58F2"/>
    <w:rsid w:val="00EF594E"/>
    <w:rsid w:val="00EF59BC"/>
    <w:rsid w:val="00EF5A0F"/>
    <w:rsid w:val="00EF5A19"/>
    <w:rsid w:val="00EF5A1E"/>
    <w:rsid w:val="00EF5A4B"/>
    <w:rsid w:val="00EF5B2F"/>
    <w:rsid w:val="00EF5C77"/>
    <w:rsid w:val="00EF5CCA"/>
    <w:rsid w:val="00EF5D99"/>
    <w:rsid w:val="00EF5DA7"/>
    <w:rsid w:val="00EF5E56"/>
    <w:rsid w:val="00EF5EEE"/>
    <w:rsid w:val="00EF5FF7"/>
    <w:rsid w:val="00EF6008"/>
    <w:rsid w:val="00EF60EC"/>
    <w:rsid w:val="00EF6104"/>
    <w:rsid w:val="00EF623C"/>
    <w:rsid w:val="00EF624A"/>
    <w:rsid w:val="00EF6290"/>
    <w:rsid w:val="00EF62DC"/>
    <w:rsid w:val="00EF6328"/>
    <w:rsid w:val="00EF64B3"/>
    <w:rsid w:val="00EF64C0"/>
    <w:rsid w:val="00EF64D5"/>
    <w:rsid w:val="00EF6571"/>
    <w:rsid w:val="00EF6A3F"/>
    <w:rsid w:val="00EF6B21"/>
    <w:rsid w:val="00EF6B9C"/>
    <w:rsid w:val="00EF6BB1"/>
    <w:rsid w:val="00EF6BBA"/>
    <w:rsid w:val="00EF6D42"/>
    <w:rsid w:val="00EF6D45"/>
    <w:rsid w:val="00EF6D55"/>
    <w:rsid w:val="00EF6DE1"/>
    <w:rsid w:val="00EF6E87"/>
    <w:rsid w:val="00EF6EDE"/>
    <w:rsid w:val="00EF6F49"/>
    <w:rsid w:val="00EF6F9F"/>
    <w:rsid w:val="00EF7012"/>
    <w:rsid w:val="00EF7013"/>
    <w:rsid w:val="00EF70D5"/>
    <w:rsid w:val="00EF729E"/>
    <w:rsid w:val="00EF72FC"/>
    <w:rsid w:val="00EF73CA"/>
    <w:rsid w:val="00EF746C"/>
    <w:rsid w:val="00EF74A2"/>
    <w:rsid w:val="00EF74CE"/>
    <w:rsid w:val="00EF74FF"/>
    <w:rsid w:val="00EF7561"/>
    <w:rsid w:val="00EF7861"/>
    <w:rsid w:val="00EF7939"/>
    <w:rsid w:val="00EF79F5"/>
    <w:rsid w:val="00EF7A26"/>
    <w:rsid w:val="00EF7B3E"/>
    <w:rsid w:val="00EF7B4F"/>
    <w:rsid w:val="00EF7CDB"/>
    <w:rsid w:val="00EF7CF5"/>
    <w:rsid w:val="00EF7DCC"/>
    <w:rsid w:val="00EF7EBA"/>
    <w:rsid w:val="00EF7FA9"/>
    <w:rsid w:val="00EF7FAC"/>
    <w:rsid w:val="00EF7FFD"/>
    <w:rsid w:val="00F00080"/>
    <w:rsid w:val="00F0019B"/>
    <w:rsid w:val="00F00228"/>
    <w:rsid w:val="00F0025E"/>
    <w:rsid w:val="00F0029D"/>
    <w:rsid w:val="00F002D2"/>
    <w:rsid w:val="00F002EA"/>
    <w:rsid w:val="00F00356"/>
    <w:rsid w:val="00F004CB"/>
    <w:rsid w:val="00F004CD"/>
    <w:rsid w:val="00F0055E"/>
    <w:rsid w:val="00F00592"/>
    <w:rsid w:val="00F005FB"/>
    <w:rsid w:val="00F0075C"/>
    <w:rsid w:val="00F008DC"/>
    <w:rsid w:val="00F00951"/>
    <w:rsid w:val="00F00A3D"/>
    <w:rsid w:val="00F00BBD"/>
    <w:rsid w:val="00F00C83"/>
    <w:rsid w:val="00F00D2F"/>
    <w:rsid w:val="00F00D94"/>
    <w:rsid w:val="00F00E5D"/>
    <w:rsid w:val="00F00F3C"/>
    <w:rsid w:val="00F01024"/>
    <w:rsid w:val="00F01275"/>
    <w:rsid w:val="00F01282"/>
    <w:rsid w:val="00F012DE"/>
    <w:rsid w:val="00F0133C"/>
    <w:rsid w:val="00F01455"/>
    <w:rsid w:val="00F0155D"/>
    <w:rsid w:val="00F01630"/>
    <w:rsid w:val="00F01840"/>
    <w:rsid w:val="00F019F4"/>
    <w:rsid w:val="00F01A37"/>
    <w:rsid w:val="00F01A3C"/>
    <w:rsid w:val="00F01C19"/>
    <w:rsid w:val="00F01C4D"/>
    <w:rsid w:val="00F01E3C"/>
    <w:rsid w:val="00F01F5C"/>
    <w:rsid w:val="00F02165"/>
    <w:rsid w:val="00F022AF"/>
    <w:rsid w:val="00F024DC"/>
    <w:rsid w:val="00F02540"/>
    <w:rsid w:val="00F025A0"/>
    <w:rsid w:val="00F02723"/>
    <w:rsid w:val="00F028CB"/>
    <w:rsid w:val="00F028D4"/>
    <w:rsid w:val="00F02903"/>
    <w:rsid w:val="00F02909"/>
    <w:rsid w:val="00F02AB1"/>
    <w:rsid w:val="00F02BA3"/>
    <w:rsid w:val="00F02CE8"/>
    <w:rsid w:val="00F02E7C"/>
    <w:rsid w:val="00F02EAA"/>
    <w:rsid w:val="00F02F8C"/>
    <w:rsid w:val="00F03029"/>
    <w:rsid w:val="00F0304E"/>
    <w:rsid w:val="00F030B2"/>
    <w:rsid w:val="00F03117"/>
    <w:rsid w:val="00F03160"/>
    <w:rsid w:val="00F0319D"/>
    <w:rsid w:val="00F031F6"/>
    <w:rsid w:val="00F0339B"/>
    <w:rsid w:val="00F03452"/>
    <w:rsid w:val="00F035AA"/>
    <w:rsid w:val="00F03663"/>
    <w:rsid w:val="00F036C4"/>
    <w:rsid w:val="00F0394B"/>
    <w:rsid w:val="00F039E8"/>
    <w:rsid w:val="00F03AED"/>
    <w:rsid w:val="00F03B4A"/>
    <w:rsid w:val="00F03C7D"/>
    <w:rsid w:val="00F03C83"/>
    <w:rsid w:val="00F03D92"/>
    <w:rsid w:val="00F03DBE"/>
    <w:rsid w:val="00F03E0A"/>
    <w:rsid w:val="00F03FD7"/>
    <w:rsid w:val="00F0400A"/>
    <w:rsid w:val="00F04118"/>
    <w:rsid w:val="00F04180"/>
    <w:rsid w:val="00F041B8"/>
    <w:rsid w:val="00F0423E"/>
    <w:rsid w:val="00F042A9"/>
    <w:rsid w:val="00F042B3"/>
    <w:rsid w:val="00F0438F"/>
    <w:rsid w:val="00F0449E"/>
    <w:rsid w:val="00F046A9"/>
    <w:rsid w:val="00F04834"/>
    <w:rsid w:val="00F048A0"/>
    <w:rsid w:val="00F048FD"/>
    <w:rsid w:val="00F049ED"/>
    <w:rsid w:val="00F04A5F"/>
    <w:rsid w:val="00F04B16"/>
    <w:rsid w:val="00F04B55"/>
    <w:rsid w:val="00F04B77"/>
    <w:rsid w:val="00F04BD3"/>
    <w:rsid w:val="00F04C0D"/>
    <w:rsid w:val="00F04C45"/>
    <w:rsid w:val="00F04CF3"/>
    <w:rsid w:val="00F04D21"/>
    <w:rsid w:val="00F04D3A"/>
    <w:rsid w:val="00F04DAF"/>
    <w:rsid w:val="00F04F5D"/>
    <w:rsid w:val="00F052DA"/>
    <w:rsid w:val="00F05350"/>
    <w:rsid w:val="00F053D7"/>
    <w:rsid w:val="00F0541C"/>
    <w:rsid w:val="00F056B5"/>
    <w:rsid w:val="00F056EC"/>
    <w:rsid w:val="00F05970"/>
    <w:rsid w:val="00F05A19"/>
    <w:rsid w:val="00F05A77"/>
    <w:rsid w:val="00F05D57"/>
    <w:rsid w:val="00F05DE9"/>
    <w:rsid w:val="00F05FE3"/>
    <w:rsid w:val="00F0614B"/>
    <w:rsid w:val="00F06237"/>
    <w:rsid w:val="00F062A2"/>
    <w:rsid w:val="00F063E2"/>
    <w:rsid w:val="00F0659D"/>
    <w:rsid w:val="00F065D6"/>
    <w:rsid w:val="00F0671E"/>
    <w:rsid w:val="00F06733"/>
    <w:rsid w:val="00F067A7"/>
    <w:rsid w:val="00F067F1"/>
    <w:rsid w:val="00F0689C"/>
    <w:rsid w:val="00F06969"/>
    <w:rsid w:val="00F06A58"/>
    <w:rsid w:val="00F06A7F"/>
    <w:rsid w:val="00F06AC7"/>
    <w:rsid w:val="00F06B5A"/>
    <w:rsid w:val="00F06B73"/>
    <w:rsid w:val="00F06BFD"/>
    <w:rsid w:val="00F06CD8"/>
    <w:rsid w:val="00F06CE9"/>
    <w:rsid w:val="00F06EAE"/>
    <w:rsid w:val="00F06F72"/>
    <w:rsid w:val="00F07018"/>
    <w:rsid w:val="00F0712E"/>
    <w:rsid w:val="00F071F3"/>
    <w:rsid w:val="00F07270"/>
    <w:rsid w:val="00F074C5"/>
    <w:rsid w:val="00F07694"/>
    <w:rsid w:val="00F0779B"/>
    <w:rsid w:val="00F07841"/>
    <w:rsid w:val="00F078B4"/>
    <w:rsid w:val="00F07902"/>
    <w:rsid w:val="00F079AE"/>
    <w:rsid w:val="00F079C6"/>
    <w:rsid w:val="00F07A51"/>
    <w:rsid w:val="00F07A7B"/>
    <w:rsid w:val="00F07A9A"/>
    <w:rsid w:val="00F07AD2"/>
    <w:rsid w:val="00F07AE0"/>
    <w:rsid w:val="00F07B3D"/>
    <w:rsid w:val="00F07B49"/>
    <w:rsid w:val="00F07E5A"/>
    <w:rsid w:val="00F07E6D"/>
    <w:rsid w:val="00F10095"/>
    <w:rsid w:val="00F100AB"/>
    <w:rsid w:val="00F10117"/>
    <w:rsid w:val="00F10262"/>
    <w:rsid w:val="00F102A6"/>
    <w:rsid w:val="00F102F8"/>
    <w:rsid w:val="00F10301"/>
    <w:rsid w:val="00F1043B"/>
    <w:rsid w:val="00F105AA"/>
    <w:rsid w:val="00F1061E"/>
    <w:rsid w:val="00F10688"/>
    <w:rsid w:val="00F107D7"/>
    <w:rsid w:val="00F108A2"/>
    <w:rsid w:val="00F109BC"/>
    <w:rsid w:val="00F109F8"/>
    <w:rsid w:val="00F10B36"/>
    <w:rsid w:val="00F10B5E"/>
    <w:rsid w:val="00F110E1"/>
    <w:rsid w:val="00F1113F"/>
    <w:rsid w:val="00F111B3"/>
    <w:rsid w:val="00F11382"/>
    <w:rsid w:val="00F1139A"/>
    <w:rsid w:val="00F113BC"/>
    <w:rsid w:val="00F1155A"/>
    <w:rsid w:val="00F11617"/>
    <w:rsid w:val="00F11931"/>
    <w:rsid w:val="00F119C5"/>
    <w:rsid w:val="00F11A52"/>
    <w:rsid w:val="00F11BF0"/>
    <w:rsid w:val="00F11CC8"/>
    <w:rsid w:val="00F11CE5"/>
    <w:rsid w:val="00F11CED"/>
    <w:rsid w:val="00F11E66"/>
    <w:rsid w:val="00F12026"/>
    <w:rsid w:val="00F12034"/>
    <w:rsid w:val="00F12117"/>
    <w:rsid w:val="00F1225F"/>
    <w:rsid w:val="00F12288"/>
    <w:rsid w:val="00F123D2"/>
    <w:rsid w:val="00F12479"/>
    <w:rsid w:val="00F125E3"/>
    <w:rsid w:val="00F12649"/>
    <w:rsid w:val="00F126B8"/>
    <w:rsid w:val="00F12847"/>
    <w:rsid w:val="00F12881"/>
    <w:rsid w:val="00F12993"/>
    <w:rsid w:val="00F12C05"/>
    <w:rsid w:val="00F12C92"/>
    <w:rsid w:val="00F12CD5"/>
    <w:rsid w:val="00F12D5D"/>
    <w:rsid w:val="00F12D61"/>
    <w:rsid w:val="00F12E0F"/>
    <w:rsid w:val="00F12F05"/>
    <w:rsid w:val="00F12F4C"/>
    <w:rsid w:val="00F12F5B"/>
    <w:rsid w:val="00F12F89"/>
    <w:rsid w:val="00F1300D"/>
    <w:rsid w:val="00F1312C"/>
    <w:rsid w:val="00F13158"/>
    <w:rsid w:val="00F13221"/>
    <w:rsid w:val="00F13260"/>
    <w:rsid w:val="00F132D1"/>
    <w:rsid w:val="00F136C7"/>
    <w:rsid w:val="00F13747"/>
    <w:rsid w:val="00F1387D"/>
    <w:rsid w:val="00F138E0"/>
    <w:rsid w:val="00F13991"/>
    <w:rsid w:val="00F13B1D"/>
    <w:rsid w:val="00F13B30"/>
    <w:rsid w:val="00F13B9C"/>
    <w:rsid w:val="00F13BDE"/>
    <w:rsid w:val="00F13DDE"/>
    <w:rsid w:val="00F13E90"/>
    <w:rsid w:val="00F14469"/>
    <w:rsid w:val="00F1447E"/>
    <w:rsid w:val="00F145FD"/>
    <w:rsid w:val="00F146AD"/>
    <w:rsid w:val="00F146E5"/>
    <w:rsid w:val="00F1477D"/>
    <w:rsid w:val="00F14C64"/>
    <w:rsid w:val="00F14EF2"/>
    <w:rsid w:val="00F14FE0"/>
    <w:rsid w:val="00F14FFA"/>
    <w:rsid w:val="00F150B4"/>
    <w:rsid w:val="00F15223"/>
    <w:rsid w:val="00F15358"/>
    <w:rsid w:val="00F15582"/>
    <w:rsid w:val="00F155C5"/>
    <w:rsid w:val="00F155E6"/>
    <w:rsid w:val="00F1568C"/>
    <w:rsid w:val="00F15873"/>
    <w:rsid w:val="00F15887"/>
    <w:rsid w:val="00F15912"/>
    <w:rsid w:val="00F15A3C"/>
    <w:rsid w:val="00F15C33"/>
    <w:rsid w:val="00F15D80"/>
    <w:rsid w:val="00F15E4F"/>
    <w:rsid w:val="00F15EF6"/>
    <w:rsid w:val="00F15F55"/>
    <w:rsid w:val="00F16053"/>
    <w:rsid w:val="00F160B0"/>
    <w:rsid w:val="00F160FA"/>
    <w:rsid w:val="00F1618B"/>
    <w:rsid w:val="00F16397"/>
    <w:rsid w:val="00F163B2"/>
    <w:rsid w:val="00F16405"/>
    <w:rsid w:val="00F166C8"/>
    <w:rsid w:val="00F166EC"/>
    <w:rsid w:val="00F16836"/>
    <w:rsid w:val="00F16940"/>
    <w:rsid w:val="00F16C05"/>
    <w:rsid w:val="00F16C8C"/>
    <w:rsid w:val="00F16D06"/>
    <w:rsid w:val="00F16D0D"/>
    <w:rsid w:val="00F16D31"/>
    <w:rsid w:val="00F16DF9"/>
    <w:rsid w:val="00F16E0C"/>
    <w:rsid w:val="00F16E8B"/>
    <w:rsid w:val="00F17138"/>
    <w:rsid w:val="00F17191"/>
    <w:rsid w:val="00F17305"/>
    <w:rsid w:val="00F17389"/>
    <w:rsid w:val="00F173DD"/>
    <w:rsid w:val="00F17557"/>
    <w:rsid w:val="00F1763B"/>
    <w:rsid w:val="00F17666"/>
    <w:rsid w:val="00F17690"/>
    <w:rsid w:val="00F176CE"/>
    <w:rsid w:val="00F17731"/>
    <w:rsid w:val="00F17750"/>
    <w:rsid w:val="00F177D3"/>
    <w:rsid w:val="00F1786A"/>
    <w:rsid w:val="00F178AC"/>
    <w:rsid w:val="00F17957"/>
    <w:rsid w:val="00F17991"/>
    <w:rsid w:val="00F179CF"/>
    <w:rsid w:val="00F17B53"/>
    <w:rsid w:val="00F17BE8"/>
    <w:rsid w:val="00F17C3D"/>
    <w:rsid w:val="00F17C94"/>
    <w:rsid w:val="00F17CA1"/>
    <w:rsid w:val="00F17CA2"/>
    <w:rsid w:val="00F17D0B"/>
    <w:rsid w:val="00F17F32"/>
    <w:rsid w:val="00F199C1"/>
    <w:rsid w:val="00F2009B"/>
    <w:rsid w:val="00F200C6"/>
    <w:rsid w:val="00F2012D"/>
    <w:rsid w:val="00F20138"/>
    <w:rsid w:val="00F204AB"/>
    <w:rsid w:val="00F20671"/>
    <w:rsid w:val="00F207B4"/>
    <w:rsid w:val="00F20885"/>
    <w:rsid w:val="00F208AF"/>
    <w:rsid w:val="00F208FB"/>
    <w:rsid w:val="00F20937"/>
    <w:rsid w:val="00F209F9"/>
    <w:rsid w:val="00F20BC1"/>
    <w:rsid w:val="00F20CB5"/>
    <w:rsid w:val="00F20E3B"/>
    <w:rsid w:val="00F20F5F"/>
    <w:rsid w:val="00F20F85"/>
    <w:rsid w:val="00F20FD2"/>
    <w:rsid w:val="00F21517"/>
    <w:rsid w:val="00F2159C"/>
    <w:rsid w:val="00F2161A"/>
    <w:rsid w:val="00F21627"/>
    <w:rsid w:val="00F21718"/>
    <w:rsid w:val="00F217AA"/>
    <w:rsid w:val="00F2181C"/>
    <w:rsid w:val="00F21A13"/>
    <w:rsid w:val="00F21A48"/>
    <w:rsid w:val="00F21AE4"/>
    <w:rsid w:val="00F21B1C"/>
    <w:rsid w:val="00F21B43"/>
    <w:rsid w:val="00F21C06"/>
    <w:rsid w:val="00F21CCE"/>
    <w:rsid w:val="00F21D19"/>
    <w:rsid w:val="00F21E70"/>
    <w:rsid w:val="00F21EBC"/>
    <w:rsid w:val="00F21EEE"/>
    <w:rsid w:val="00F21F30"/>
    <w:rsid w:val="00F21F99"/>
    <w:rsid w:val="00F21FD8"/>
    <w:rsid w:val="00F2206C"/>
    <w:rsid w:val="00F22168"/>
    <w:rsid w:val="00F2221B"/>
    <w:rsid w:val="00F22223"/>
    <w:rsid w:val="00F2226D"/>
    <w:rsid w:val="00F222C1"/>
    <w:rsid w:val="00F225FC"/>
    <w:rsid w:val="00F22632"/>
    <w:rsid w:val="00F22672"/>
    <w:rsid w:val="00F22818"/>
    <w:rsid w:val="00F2287C"/>
    <w:rsid w:val="00F228C5"/>
    <w:rsid w:val="00F228D3"/>
    <w:rsid w:val="00F2290A"/>
    <w:rsid w:val="00F22955"/>
    <w:rsid w:val="00F22A14"/>
    <w:rsid w:val="00F22ACA"/>
    <w:rsid w:val="00F22AFE"/>
    <w:rsid w:val="00F22BD7"/>
    <w:rsid w:val="00F22C76"/>
    <w:rsid w:val="00F22CEE"/>
    <w:rsid w:val="00F22D3B"/>
    <w:rsid w:val="00F22DF8"/>
    <w:rsid w:val="00F22F22"/>
    <w:rsid w:val="00F2306C"/>
    <w:rsid w:val="00F23096"/>
    <w:rsid w:val="00F2310B"/>
    <w:rsid w:val="00F23120"/>
    <w:rsid w:val="00F2314F"/>
    <w:rsid w:val="00F2315C"/>
    <w:rsid w:val="00F23397"/>
    <w:rsid w:val="00F234B1"/>
    <w:rsid w:val="00F23563"/>
    <w:rsid w:val="00F2370E"/>
    <w:rsid w:val="00F23761"/>
    <w:rsid w:val="00F23771"/>
    <w:rsid w:val="00F237F9"/>
    <w:rsid w:val="00F23842"/>
    <w:rsid w:val="00F23903"/>
    <w:rsid w:val="00F2395B"/>
    <w:rsid w:val="00F23AAA"/>
    <w:rsid w:val="00F23B4D"/>
    <w:rsid w:val="00F23BC5"/>
    <w:rsid w:val="00F23BF7"/>
    <w:rsid w:val="00F23CC2"/>
    <w:rsid w:val="00F23D5C"/>
    <w:rsid w:val="00F23E71"/>
    <w:rsid w:val="00F23E95"/>
    <w:rsid w:val="00F23EA4"/>
    <w:rsid w:val="00F23EED"/>
    <w:rsid w:val="00F23F5B"/>
    <w:rsid w:val="00F2407C"/>
    <w:rsid w:val="00F241F2"/>
    <w:rsid w:val="00F2422D"/>
    <w:rsid w:val="00F24394"/>
    <w:rsid w:val="00F24490"/>
    <w:rsid w:val="00F245F3"/>
    <w:rsid w:val="00F2469D"/>
    <w:rsid w:val="00F247AA"/>
    <w:rsid w:val="00F247BA"/>
    <w:rsid w:val="00F24B84"/>
    <w:rsid w:val="00F24BBC"/>
    <w:rsid w:val="00F24BF9"/>
    <w:rsid w:val="00F24CC4"/>
    <w:rsid w:val="00F24E42"/>
    <w:rsid w:val="00F24E7E"/>
    <w:rsid w:val="00F24EAA"/>
    <w:rsid w:val="00F24EF5"/>
    <w:rsid w:val="00F24F3E"/>
    <w:rsid w:val="00F24F48"/>
    <w:rsid w:val="00F24FD3"/>
    <w:rsid w:val="00F25080"/>
    <w:rsid w:val="00F25122"/>
    <w:rsid w:val="00F2514A"/>
    <w:rsid w:val="00F2520E"/>
    <w:rsid w:val="00F25295"/>
    <w:rsid w:val="00F25298"/>
    <w:rsid w:val="00F253D7"/>
    <w:rsid w:val="00F254AF"/>
    <w:rsid w:val="00F254E5"/>
    <w:rsid w:val="00F25508"/>
    <w:rsid w:val="00F2551D"/>
    <w:rsid w:val="00F25545"/>
    <w:rsid w:val="00F2557F"/>
    <w:rsid w:val="00F255A6"/>
    <w:rsid w:val="00F25694"/>
    <w:rsid w:val="00F257A7"/>
    <w:rsid w:val="00F2585C"/>
    <w:rsid w:val="00F258AA"/>
    <w:rsid w:val="00F258E4"/>
    <w:rsid w:val="00F258F7"/>
    <w:rsid w:val="00F2592D"/>
    <w:rsid w:val="00F25AE3"/>
    <w:rsid w:val="00F25E12"/>
    <w:rsid w:val="00F25FF0"/>
    <w:rsid w:val="00F26171"/>
    <w:rsid w:val="00F26248"/>
    <w:rsid w:val="00F2631A"/>
    <w:rsid w:val="00F26365"/>
    <w:rsid w:val="00F26663"/>
    <w:rsid w:val="00F26687"/>
    <w:rsid w:val="00F26754"/>
    <w:rsid w:val="00F2679C"/>
    <w:rsid w:val="00F26A73"/>
    <w:rsid w:val="00F26ABB"/>
    <w:rsid w:val="00F26AC8"/>
    <w:rsid w:val="00F26D20"/>
    <w:rsid w:val="00F26E34"/>
    <w:rsid w:val="00F26E4B"/>
    <w:rsid w:val="00F26EEB"/>
    <w:rsid w:val="00F26F6B"/>
    <w:rsid w:val="00F26FDE"/>
    <w:rsid w:val="00F26FE2"/>
    <w:rsid w:val="00F272EC"/>
    <w:rsid w:val="00F2733B"/>
    <w:rsid w:val="00F27362"/>
    <w:rsid w:val="00F27528"/>
    <w:rsid w:val="00F27657"/>
    <w:rsid w:val="00F27663"/>
    <w:rsid w:val="00F27739"/>
    <w:rsid w:val="00F277FD"/>
    <w:rsid w:val="00F2781C"/>
    <w:rsid w:val="00F27841"/>
    <w:rsid w:val="00F2794F"/>
    <w:rsid w:val="00F27A3C"/>
    <w:rsid w:val="00F27AD7"/>
    <w:rsid w:val="00F27C83"/>
    <w:rsid w:val="00F27CA5"/>
    <w:rsid w:val="00F27CDA"/>
    <w:rsid w:val="00F27CEB"/>
    <w:rsid w:val="00F27E3D"/>
    <w:rsid w:val="00F27F3B"/>
    <w:rsid w:val="00F27FD1"/>
    <w:rsid w:val="00F281B6"/>
    <w:rsid w:val="00F2C5B3"/>
    <w:rsid w:val="00F30136"/>
    <w:rsid w:val="00F3015A"/>
    <w:rsid w:val="00F3017E"/>
    <w:rsid w:val="00F30260"/>
    <w:rsid w:val="00F3029F"/>
    <w:rsid w:val="00F302CF"/>
    <w:rsid w:val="00F302FA"/>
    <w:rsid w:val="00F303C5"/>
    <w:rsid w:val="00F30428"/>
    <w:rsid w:val="00F3044F"/>
    <w:rsid w:val="00F3061E"/>
    <w:rsid w:val="00F30817"/>
    <w:rsid w:val="00F308A9"/>
    <w:rsid w:val="00F309C0"/>
    <w:rsid w:val="00F30A49"/>
    <w:rsid w:val="00F30ADC"/>
    <w:rsid w:val="00F30AE6"/>
    <w:rsid w:val="00F30C7D"/>
    <w:rsid w:val="00F30DFC"/>
    <w:rsid w:val="00F30E02"/>
    <w:rsid w:val="00F30E36"/>
    <w:rsid w:val="00F30EE7"/>
    <w:rsid w:val="00F30F36"/>
    <w:rsid w:val="00F30FEA"/>
    <w:rsid w:val="00F31020"/>
    <w:rsid w:val="00F3103A"/>
    <w:rsid w:val="00F3113A"/>
    <w:rsid w:val="00F3131B"/>
    <w:rsid w:val="00F31381"/>
    <w:rsid w:val="00F313F1"/>
    <w:rsid w:val="00F3147E"/>
    <w:rsid w:val="00F316A8"/>
    <w:rsid w:val="00F31755"/>
    <w:rsid w:val="00F318F1"/>
    <w:rsid w:val="00F3190F"/>
    <w:rsid w:val="00F319CE"/>
    <w:rsid w:val="00F319E9"/>
    <w:rsid w:val="00F319F5"/>
    <w:rsid w:val="00F31A1E"/>
    <w:rsid w:val="00F31A81"/>
    <w:rsid w:val="00F31A95"/>
    <w:rsid w:val="00F31B58"/>
    <w:rsid w:val="00F31DBC"/>
    <w:rsid w:val="00F31DC4"/>
    <w:rsid w:val="00F31E82"/>
    <w:rsid w:val="00F32097"/>
    <w:rsid w:val="00F3211C"/>
    <w:rsid w:val="00F32195"/>
    <w:rsid w:val="00F321A8"/>
    <w:rsid w:val="00F322E3"/>
    <w:rsid w:val="00F3237B"/>
    <w:rsid w:val="00F3253A"/>
    <w:rsid w:val="00F32547"/>
    <w:rsid w:val="00F32585"/>
    <w:rsid w:val="00F326B6"/>
    <w:rsid w:val="00F326C2"/>
    <w:rsid w:val="00F327A7"/>
    <w:rsid w:val="00F3286B"/>
    <w:rsid w:val="00F32876"/>
    <w:rsid w:val="00F3288F"/>
    <w:rsid w:val="00F3290B"/>
    <w:rsid w:val="00F329A8"/>
    <w:rsid w:val="00F329AD"/>
    <w:rsid w:val="00F329D5"/>
    <w:rsid w:val="00F329E5"/>
    <w:rsid w:val="00F32A1E"/>
    <w:rsid w:val="00F32A47"/>
    <w:rsid w:val="00F32AFB"/>
    <w:rsid w:val="00F32B38"/>
    <w:rsid w:val="00F32C58"/>
    <w:rsid w:val="00F32D83"/>
    <w:rsid w:val="00F32E74"/>
    <w:rsid w:val="00F32E7F"/>
    <w:rsid w:val="00F32EC1"/>
    <w:rsid w:val="00F32F00"/>
    <w:rsid w:val="00F3308E"/>
    <w:rsid w:val="00F33097"/>
    <w:rsid w:val="00F33295"/>
    <w:rsid w:val="00F3331F"/>
    <w:rsid w:val="00F333E6"/>
    <w:rsid w:val="00F33407"/>
    <w:rsid w:val="00F33429"/>
    <w:rsid w:val="00F3349F"/>
    <w:rsid w:val="00F334E9"/>
    <w:rsid w:val="00F33529"/>
    <w:rsid w:val="00F3358F"/>
    <w:rsid w:val="00F335B2"/>
    <w:rsid w:val="00F33907"/>
    <w:rsid w:val="00F339FC"/>
    <w:rsid w:val="00F33AB0"/>
    <w:rsid w:val="00F33AD1"/>
    <w:rsid w:val="00F33B3E"/>
    <w:rsid w:val="00F33BAC"/>
    <w:rsid w:val="00F33C1E"/>
    <w:rsid w:val="00F33CE9"/>
    <w:rsid w:val="00F33CFC"/>
    <w:rsid w:val="00F33DC0"/>
    <w:rsid w:val="00F33F78"/>
    <w:rsid w:val="00F34075"/>
    <w:rsid w:val="00F3407E"/>
    <w:rsid w:val="00F3414A"/>
    <w:rsid w:val="00F342F2"/>
    <w:rsid w:val="00F34404"/>
    <w:rsid w:val="00F344B9"/>
    <w:rsid w:val="00F34660"/>
    <w:rsid w:val="00F3468A"/>
    <w:rsid w:val="00F346CA"/>
    <w:rsid w:val="00F34777"/>
    <w:rsid w:val="00F3484C"/>
    <w:rsid w:val="00F34874"/>
    <w:rsid w:val="00F348AB"/>
    <w:rsid w:val="00F34A8B"/>
    <w:rsid w:val="00F34C5F"/>
    <w:rsid w:val="00F34D21"/>
    <w:rsid w:val="00F34D4B"/>
    <w:rsid w:val="00F34DA7"/>
    <w:rsid w:val="00F34DD8"/>
    <w:rsid w:val="00F34ED3"/>
    <w:rsid w:val="00F35041"/>
    <w:rsid w:val="00F35068"/>
    <w:rsid w:val="00F35084"/>
    <w:rsid w:val="00F35176"/>
    <w:rsid w:val="00F352A2"/>
    <w:rsid w:val="00F35331"/>
    <w:rsid w:val="00F354A0"/>
    <w:rsid w:val="00F35532"/>
    <w:rsid w:val="00F35572"/>
    <w:rsid w:val="00F355A1"/>
    <w:rsid w:val="00F356DC"/>
    <w:rsid w:val="00F35777"/>
    <w:rsid w:val="00F357E3"/>
    <w:rsid w:val="00F35878"/>
    <w:rsid w:val="00F3587B"/>
    <w:rsid w:val="00F35882"/>
    <w:rsid w:val="00F35883"/>
    <w:rsid w:val="00F358AF"/>
    <w:rsid w:val="00F35A00"/>
    <w:rsid w:val="00F35B91"/>
    <w:rsid w:val="00F35BEA"/>
    <w:rsid w:val="00F35C2B"/>
    <w:rsid w:val="00F35C36"/>
    <w:rsid w:val="00F35D2D"/>
    <w:rsid w:val="00F35F0A"/>
    <w:rsid w:val="00F35F60"/>
    <w:rsid w:val="00F360A1"/>
    <w:rsid w:val="00F360EC"/>
    <w:rsid w:val="00F361D8"/>
    <w:rsid w:val="00F361EC"/>
    <w:rsid w:val="00F36444"/>
    <w:rsid w:val="00F364D9"/>
    <w:rsid w:val="00F3674E"/>
    <w:rsid w:val="00F3675D"/>
    <w:rsid w:val="00F367EB"/>
    <w:rsid w:val="00F36942"/>
    <w:rsid w:val="00F3698C"/>
    <w:rsid w:val="00F369A9"/>
    <w:rsid w:val="00F369B6"/>
    <w:rsid w:val="00F369D9"/>
    <w:rsid w:val="00F36B71"/>
    <w:rsid w:val="00F36BC7"/>
    <w:rsid w:val="00F36C8E"/>
    <w:rsid w:val="00F36DBA"/>
    <w:rsid w:val="00F36E79"/>
    <w:rsid w:val="00F37169"/>
    <w:rsid w:val="00F371AF"/>
    <w:rsid w:val="00F371F8"/>
    <w:rsid w:val="00F37283"/>
    <w:rsid w:val="00F372F4"/>
    <w:rsid w:val="00F37334"/>
    <w:rsid w:val="00F37380"/>
    <w:rsid w:val="00F37470"/>
    <w:rsid w:val="00F37529"/>
    <w:rsid w:val="00F37559"/>
    <w:rsid w:val="00F3757C"/>
    <w:rsid w:val="00F3765C"/>
    <w:rsid w:val="00F37700"/>
    <w:rsid w:val="00F37705"/>
    <w:rsid w:val="00F37730"/>
    <w:rsid w:val="00F377CE"/>
    <w:rsid w:val="00F37848"/>
    <w:rsid w:val="00F37874"/>
    <w:rsid w:val="00F3787B"/>
    <w:rsid w:val="00F378C7"/>
    <w:rsid w:val="00F379A9"/>
    <w:rsid w:val="00F37A15"/>
    <w:rsid w:val="00F37A49"/>
    <w:rsid w:val="00F37A70"/>
    <w:rsid w:val="00F37B22"/>
    <w:rsid w:val="00F37B60"/>
    <w:rsid w:val="00F37ED2"/>
    <w:rsid w:val="00F37F49"/>
    <w:rsid w:val="00F37F9D"/>
    <w:rsid w:val="00F40031"/>
    <w:rsid w:val="00F400AB"/>
    <w:rsid w:val="00F4024A"/>
    <w:rsid w:val="00F4026D"/>
    <w:rsid w:val="00F403CC"/>
    <w:rsid w:val="00F403DE"/>
    <w:rsid w:val="00F40420"/>
    <w:rsid w:val="00F40429"/>
    <w:rsid w:val="00F40445"/>
    <w:rsid w:val="00F40556"/>
    <w:rsid w:val="00F4061E"/>
    <w:rsid w:val="00F40913"/>
    <w:rsid w:val="00F409CF"/>
    <w:rsid w:val="00F409E2"/>
    <w:rsid w:val="00F40A29"/>
    <w:rsid w:val="00F40A5F"/>
    <w:rsid w:val="00F40C8B"/>
    <w:rsid w:val="00F40D59"/>
    <w:rsid w:val="00F40E21"/>
    <w:rsid w:val="00F40E67"/>
    <w:rsid w:val="00F40EF7"/>
    <w:rsid w:val="00F4100F"/>
    <w:rsid w:val="00F41025"/>
    <w:rsid w:val="00F4104E"/>
    <w:rsid w:val="00F411E1"/>
    <w:rsid w:val="00F41317"/>
    <w:rsid w:val="00F41379"/>
    <w:rsid w:val="00F413E6"/>
    <w:rsid w:val="00F41511"/>
    <w:rsid w:val="00F4151C"/>
    <w:rsid w:val="00F4151E"/>
    <w:rsid w:val="00F416BB"/>
    <w:rsid w:val="00F41736"/>
    <w:rsid w:val="00F4180E"/>
    <w:rsid w:val="00F41847"/>
    <w:rsid w:val="00F41855"/>
    <w:rsid w:val="00F41862"/>
    <w:rsid w:val="00F4188E"/>
    <w:rsid w:val="00F418E3"/>
    <w:rsid w:val="00F41A2E"/>
    <w:rsid w:val="00F41C00"/>
    <w:rsid w:val="00F41D56"/>
    <w:rsid w:val="00F41F93"/>
    <w:rsid w:val="00F41FB0"/>
    <w:rsid w:val="00F41FC1"/>
    <w:rsid w:val="00F41FE3"/>
    <w:rsid w:val="00F4201D"/>
    <w:rsid w:val="00F42030"/>
    <w:rsid w:val="00F420DB"/>
    <w:rsid w:val="00F42131"/>
    <w:rsid w:val="00F42180"/>
    <w:rsid w:val="00F42213"/>
    <w:rsid w:val="00F422F4"/>
    <w:rsid w:val="00F4238B"/>
    <w:rsid w:val="00F42396"/>
    <w:rsid w:val="00F423A0"/>
    <w:rsid w:val="00F424D5"/>
    <w:rsid w:val="00F424DC"/>
    <w:rsid w:val="00F4255E"/>
    <w:rsid w:val="00F425AB"/>
    <w:rsid w:val="00F425D1"/>
    <w:rsid w:val="00F42661"/>
    <w:rsid w:val="00F4274E"/>
    <w:rsid w:val="00F42913"/>
    <w:rsid w:val="00F42AAA"/>
    <w:rsid w:val="00F42AAF"/>
    <w:rsid w:val="00F42C0A"/>
    <w:rsid w:val="00F42E36"/>
    <w:rsid w:val="00F43104"/>
    <w:rsid w:val="00F431B0"/>
    <w:rsid w:val="00F43393"/>
    <w:rsid w:val="00F434EB"/>
    <w:rsid w:val="00F438F1"/>
    <w:rsid w:val="00F43A1E"/>
    <w:rsid w:val="00F43B37"/>
    <w:rsid w:val="00F43BA4"/>
    <w:rsid w:val="00F43BF7"/>
    <w:rsid w:val="00F43F25"/>
    <w:rsid w:val="00F43F6C"/>
    <w:rsid w:val="00F44082"/>
    <w:rsid w:val="00F440B4"/>
    <w:rsid w:val="00F440DB"/>
    <w:rsid w:val="00F44116"/>
    <w:rsid w:val="00F4423D"/>
    <w:rsid w:val="00F4437A"/>
    <w:rsid w:val="00F44478"/>
    <w:rsid w:val="00F44486"/>
    <w:rsid w:val="00F444CD"/>
    <w:rsid w:val="00F446CD"/>
    <w:rsid w:val="00F44709"/>
    <w:rsid w:val="00F44846"/>
    <w:rsid w:val="00F449FF"/>
    <w:rsid w:val="00F44A16"/>
    <w:rsid w:val="00F44A1C"/>
    <w:rsid w:val="00F44A71"/>
    <w:rsid w:val="00F44AF8"/>
    <w:rsid w:val="00F44B95"/>
    <w:rsid w:val="00F44C18"/>
    <w:rsid w:val="00F44C69"/>
    <w:rsid w:val="00F44CDA"/>
    <w:rsid w:val="00F44EF5"/>
    <w:rsid w:val="00F44F24"/>
    <w:rsid w:val="00F44F3C"/>
    <w:rsid w:val="00F45049"/>
    <w:rsid w:val="00F4519D"/>
    <w:rsid w:val="00F451D9"/>
    <w:rsid w:val="00F451EF"/>
    <w:rsid w:val="00F45239"/>
    <w:rsid w:val="00F45242"/>
    <w:rsid w:val="00F45276"/>
    <w:rsid w:val="00F452D9"/>
    <w:rsid w:val="00F45581"/>
    <w:rsid w:val="00F455D9"/>
    <w:rsid w:val="00F45613"/>
    <w:rsid w:val="00F457C6"/>
    <w:rsid w:val="00F4590B"/>
    <w:rsid w:val="00F4595E"/>
    <w:rsid w:val="00F4596C"/>
    <w:rsid w:val="00F45982"/>
    <w:rsid w:val="00F459EC"/>
    <w:rsid w:val="00F45A66"/>
    <w:rsid w:val="00F45AE7"/>
    <w:rsid w:val="00F45CC3"/>
    <w:rsid w:val="00F45CED"/>
    <w:rsid w:val="00F45D2A"/>
    <w:rsid w:val="00F45EE6"/>
    <w:rsid w:val="00F46044"/>
    <w:rsid w:val="00F4606E"/>
    <w:rsid w:val="00F462B1"/>
    <w:rsid w:val="00F4631A"/>
    <w:rsid w:val="00F464BF"/>
    <w:rsid w:val="00F465A8"/>
    <w:rsid w:val="00F46609"/>
    <w:rsid w:val="00F46643"/>
    <w:rsid w:val="00F46689"/>
    <w:rsid w:val="00F46692"/>
    <w:rsid w:val="00F4687B"/>
    <w:rsid w:val="00F469A5"/>
    <w:rsid w:val="00F469D6"/>
    <w:rsid w:val="00F469FC"/>
    <w:rsid w:val="00F46A68"/>
    <w:rsid w:val="00F46B00"/>
    <w:rsid w:val="00F46B0B"/>
    <w:rsid w:val="00F46B1E"/>
    <w:rsid w:val="00F46B5A"/>
    <w:rsid w:val="00F46B88"/>
    <w:rsid w:val="00F46BD5"/>
    <w:rsid w:val="00F46D99"/>
    <w:rsid w:val="00F46E6C"/>
    <w:rsid w:val="00F46F0A"/>
    <w:rsid w:val="00F470CB"/>
    <w:rsid w:val="00F471B6"/>
    <w:rsid w:val="00F472A4"/>
    <w:rsid w:val="00F472D4"/>
    <w:rsid w:val="00F47323"/>
    <w:rsid w:val="00F47594"/>
    <w:rsid w:val="00F475C8"/>
    <w:rsid w:val="00F475DA"/>
    <w:rsid w:val="00F47630"/>
    <w:rsid w:val="00F477A0"/>
    <w:rsid w:val="00F477BE"/>
    <w:rsid w:val="00F478C3"/>
    <w:rsid w:val="00F47B42"/>
    <w:rsid w:val="00F47B94"/>
    <w:rsid w:val="00F47BA3"/>
    <w:rsid w:val="00F47C45"/>
    <w:rsid w:val="00F47C94"/>
    <w:rsid w:val="00F47CBC"/>
    <w:rsid w:val="00F47EDE"/>
    <w:rsid w:val="00F47F28"/>
    <w:rsid w:val="00F47F77"/>
    <w:rsid w:val="00F5005F"/>
    <w:rsid w:val="00F500BC"/>
    <w:rsid w:val="00F503EC"/>
    <w:rsid w:val="00F50563"/>
    <w:rsid w:val="00F50600"/>
    <w:rsid w:val="00F50660"/>
    <w:rsid w:val="00F5071A"/>
    <w:rsid w:val="00F50A72"/>
    <w:rsid w:val="00F50A86"/>
    <w:rsid w:val="00F50B43"/>
    <w:rsid w:val="00F50BAA"/>
    <w:rsid w:val="00F50DC3"/>
    <w:rsid w:val="00F50DF2"/>
    <w:rsid w:val="00F50EB4"/>
    <w:rsid w:val="00F5102F"/>
    <w:rsid w:val="00F512DF"/>
    <w:rsid w:val="00F5152A"/>
    <w:rsid w:val="00F5157E"/>
    <w:rsid w:val="00F5159A"/>
    <w:rsid w:val="00F516F8"/>
    <w:rsid w:val="00F5186B"/>
    <w:rsid w:val="00F51950"/>
    <w:rsid w:val="00F519F5"/>
    <w:rsid w:val="00F51A58"/>
    <w:rsid w:val="00F51B64"/>
    <w:rsid w:val="00F51D21"/>
    <w:rsid w:val="00F51D48"/>
    <w:rsid w:val="00F521D4"/>
    <w:rsid w:val="00F5224A"/>
    <w:rsid w:val="00F522E6"/>
    <w:rsid w:val="00F5231B"/>
    <w:rsid w:val="00F52427"/>
    <w:rsid w:val="00F52442"/>
    <w:rsid w:val="00F52559"/>
    <w:rsid w:val="00F5260E"/>
    <w:rsid w:val="00F5262B"/>
    <w:rsid w:val="00F5264F"/>
    <w:rsid w:val="00F52794"/>
    <w:rsid w:val="00F52827"/>
    <w:rsid w:val="00F52905"/>
    <w:rsid w:val="00F52A0A"/>
    <w:rsid w:val="00F52A5B"/>
    <w:rsid w:val="00F52C7F"/>
    <w:rsid w:val="00F52CC1"/>
    <w:rsid w:val="00F52D1B"/>
    <w:rsid w:val="00F52DB6"/>
    <w:rsid w:val="00F52DC3"/>
    <w:rsid w:val="00F52DDB"/>
    <w:rsid w:val="00F52F62"/>
    <w:rsid w:val="00F52FEE"/>
    <w:rsid w:val="00F5316D"/>
    <w:rsid w:val="00F53176"/>
    <w:rsid w:val="00F531A6"/>
    <w:rsid w:val="00F5355D"/>
    <w:rsid w:val="00F5367E"/>
    <w:rsid w:val="00F53851"/>
    <w:rsid w:val="00F539B3"/>
    <w:rsid w:val="00F53B42"/>
    <w:rsid w:val="00F53B5D"/>
    <w:rsid w:val="00F53DE6"/>
    <w:rsid w:val="00F53EDB"/>
    <w:rsid w:val="00F54078"/>
    <w:rsid w:val="00F540CB"/>
    <w:rsid w:val="00F5416A"/>
    <w:rsid w:val="00F5436A"/>
    <w:rsid w:val="00F543D8"/>
    <w:rsid w:val="00F54470"/>
    <w:rsid w:val="00F5463C"/>
    <w:rsid w:val="00F54797"/>
    <w:rsid w:val="00F54971"/>
    <w:rsid w:val="00F54989"/>
    <w:rsid w:val="00F54997"/>
    <w:rsid w:val="00F549BB"/>
    <w:rsid w:val="00F549C9"/>
    <w:rsid w:val="00F54AF5"/>
    <w:rsid w:val="00F54B05"/>
    <w:rsid w:val="00F54B10"/>
    <w:rsid w:val="00F54B1A"/>
    <w:rsid w:val="00F54B9E"/>
    <w:rsid w:val="00F54BF5"/>
    <w:rsid w:val="00F54C43"/>
    <w:rsid w:val="00F54CF4"/>
    <w:rsid w:val="00F54EBB"/>
    <w:rsid w:val="00F55046"/>
    <w:rsid w:val="00F55070"/>
    <w:rsid w:val="00F55091"/>
    <w:rsid w:val="00F55146"/>
    <w:rsid w:val="00F55151"/>
    <w:rsid w:val="00F55184"/>
    <w:rsid w:val="00F552EF"/>
    <w:rsid w:val="00F5538D"/>
    <w:rsid w:val="00F553D1"/>
    <w:rsid w:val="00F55409"/>
    <w:rsid w:val="00F55417"/>
    <w:rsid w:val="00F5549C"/>
    <w:rsid w:val="00F5549E"/>
    <w:rsid w:val="00F5562F"/>
    <w:rsid w:val="00F557A2"/>
    <w:rsid w:val="00F55806"/>
    <w:rsid w:val="00F55830"/>
    <w:rsid w:val="00F55866"/>
    <w:rsid w:val="00F5590E"/>
    <w:rsid w:val="00F55A4A"/>
    <w:rsid w:val="00F55A58"/>
    <w:rsid w:val="00F55B1F"/>
    <w:rsid w:val="00F55BAB"/>
    <w:rsid w:val="00F55BF0"/>
    <w:rsid w:val="00F55C40"/>
    <w:rsid w:val="00F55C5D"/>
    <w:rsid w:val="00F55D00"/>
    <w:rsid w:val="00F55D1B"/>
    <w:rsid w:val="00F55E79"/>
    <w:rsid w:val="00F55E93"/>
    <w:rsid w:val="00F55F79"/>
    <w:rsid w:val="00F560D0"/>
    <w:rsid w:val="00F561EC"/>
    <w:rsid w:val="00F562A6"/>
    <w:rsid w:val="00F562F7"/>
    <w:rsid w:val="00F5638A"/>
    <w:rsid w:val="00F5638C"/>
    <w:rsid w:val="00F56394"/>
    <w:rsid w:val="00F563D9"/>
    <w:rsid w:val="00F56442"/>
    <w:rsid w:val="00F56598"/>
    <w:rsid w:val="00F56751"/>
    <w:rsid w:val="00F5679A"/>
    <w:rsid w:val="00F5680B"/>
    <w:rsid w:val="00F569B9"/>
    <w:rsid w:val="00F56AF7"/>
    <w:rsid w:val="00F56B50"/>
    <w:rsid w:val="00F56BF2"/>
    <w:rsid w:val="00F56C40"/>
    <w:rsid w:val="00F56C5E"/>
    <w:rsid w:val="00F56CC8"/>
    <w:rsid w:val="00F56CD6"/>
    <w:rsid w:val="00F56CED"/>
    <w:rsid w:val="00F56DC6"/>
    <w:rsid w:val="00F56E45"/>
    <w:rsid w:val="00F56EAE"/>
    <w:rsid w:val="00F56F85"/>
    <w:rsid w:val="00F5714D"/>
    <w:rsid w:val="00F57163"/>
    <w:rsid w:val="00F571D3"/>
    <w:rsid w:val="00F57279"/>
    <w:rsid w:val="00F572EA"/>
    <w:rsid w:val="00F5732E"/>
    <w:rsid w:val="00F57347"/>
    <w:rsid w:val="00F57438"/>
    <w:rsid w:val="00F57463"/>
    <w:rsid w:val="00F5758F"/>
    <w:rsid w:val="00F576E4"/>
    <w:rsid w:val="00F57812"/>
    <w:rsid w:val="00F5781F"/>
    <w:rsid w:val="00F57D73"/>
    <w:rsid w:val="00F57E2A"/>
    <w:rsid w:val="00F57E2E"/>
    <w:rsid w:val="00F6000E"/>
    <w:rsid w:val="00F60049"/>
    <w:rsid w:val="00F6011B"/>
    <w:rsid w:val="00F60307"/>
    <w:rsid w:val="00F6032C"/>
    <w:rsid w:val="00F6035D"/>
    <w:rsid w:val="00F603FB"/>
    <w:rsid w:val="00F6047E"/>
    <w:rsid w:val="00F60525"/>
    <w:rsid w:val="00F60635"/>
    <w:rsid w:val="00F607E1"/>
    <w:rsid w:val="00F6088A"/>
    <w:rsid w:val="00F6089B"/>
    <w:rsid w:val="00F6093E"/>
    <w:rsid w:val="00F609E4"/>
    <w:rsid w:val="00F60AAC"/>
    <w:rsid w:val="00F60BB9"/>
    <w:rsid w:val="00F60C21"/>
    <w:rsid w:val="00F60C30"/>
    <w:rsid w:val="00F60C4B"/>
    <w:rsid w:val="00F60C95"/>
    <w:rsid w:val="00F60D7F"/>
    <w:rsid w:val="00F60E28"/>
    <w:rsid w:val="00F60F66"/>
    <w:rsid w:val="00F61127"/>
    <w:rsid w:val="00F61186"/>
    <w:rsid w:val="00F6126E"/>
    <w:rsid w:val="00F6137A"/>
    <w:rsid w:val="00F614C8"/>
    <w:rsid w:val="00F6150A"/>
    <w:rsid w:val="00F61553"/>
    <w:rsid w:val="00F615BB"/>
    <w:rsid w:val="00F61615"/>
    <w:rsid w:val="00F616BD"/>
    <w:rsid w:val="00F616EE"/>
    <w:rsid w:val="00F61706"/>
    <w:rsid w:val="00F6180E"/>
    <w:rsid w:val="00F61817"/>
    <w:rsid w:val="00F61842"/>
    <w:rsid w:val="00F61874"/>
    <w:rsid w:val="00F61919"/>
    <w:rsid w:val="00F6193C"/>
    <w:rsid w:val="00F61A14"/>
    <w:rsid w:val="00F61A1B"/>
    <w:rsid w:val="00F61AE3"/>
    <w:rsid w:val="00F61C13"/>
    <w:rsid w:val="00F61C15"/>
    <w:rsid w:val="00F61C56"/>
    <w:rsid w:val="00F61D57"/>
    <w:rsid w:val="00F61E26"/>
    <w:rsid w:val="00F61E5D"/>
    <w:rsid w:val="00F61E80"/>
    <w:rsid w:val="00F61F36"/>
    <w:rsid w:val="00F61F6C"/>
    <w:rsid w:val="00F620EF"/>
    <w:rsid w:val="00F620F5"/>
    <w:rsid w:val="00F6242B"/>
    <w:rsid w:val="00F6245B"/>
    <w:rsid w:val="00F624CB"/>
    <w:rsid w:val="00F6256F"/>
    <w:rsid w:val="00F625C5"/>
    <w:rsid w:val="00F62691"/>
    <w:rsid w:val="00F62706"/>
    <w:rsid w:val="00F6282E"/>
    <w:rsid w:val="00F62AC7"/>
    <w:rsid w:val="00F62AC8"/>
    <w:rsid w:val="00F62BA8"/>
    <w:rsid w:val="00F62CC6"/>
    <w:rsid w:val="00F62CCA"/>
    <w:rsid w:val="00F62D8A"/>
    <w:rsid w:val="00F62EA2"/>
    <w:rsid w:val="00F62F89"/>
    <w:rsid w:val="00F63029"/>
    <w:rsid w:val="00F63126"/>
    <w:rsid w:val="00F632CC"/>
    <w:rsid w:val="00F6331B"/>
    <w:rsid w:val="00F635DC"/>
    <w:rsid w:val="00F63792"/>
    <w:rsid w:val="00F637EA"/>
    <w:rsid w:val="00F637FA"/>
    <w:rsid w:val="00F6382E"/>
    <w:rsid w:val="00F63840"/>
    <w:rsid w:val="00F63872"/>
    <w:rsid w:val="00F638D6"/>
    <w:rsid w:val="00F6395F"/>
    <w:rsid w:val="00F639FE"/>
    <w:rsid w:val="00F63A03"/>
    <w:rsid w:val="00F63A1C"/>
    <w:rsid w:val="00F63BD8"/>
    <w:rsid w:val="00F63BE3"/>
    <w:rsid w:val="00F63D4A"/>
    <w:rsid w:val="00F63DC7"/>
    <w:rsid w:val="00F63DF6"/>
    <w:rsid w:val="00F63E65"/>
    <w:rsid w:val="00F63EBD"/>
    <w:rsid w:val="00F63F20"/>
    <w:rsid w:val="00F63F70"/>
    <w:rsid w:val="00F6413A"/>
    <w:rsid w:val="00F641CA"/>
    <w:rsid w:val="00F6423C"/>
    <w:rsid w:val="00F64328"/>
    <w:rsid w:val="00F6443C"/>
    <w:rsid w:val="00F644A6"/>
    <w:rsid w:val="00F64606"/>
    <w:rsid w:val="00F646E3"/>
    <w:rsid w:val="00F64722"/>
    <w:rsid w:val="00F6493E"/>
    <w:rsid w:val="00F64995"/>
    <w:rsid w:val="00F64AC4"/>
    <w:rsid w:val="00F64B71"/>
    <w:rsid w:val="00F64C9A"/>
    <w:rsid w:val="00F64D99"/>
    <w:rsid w:val="00F64DDD"/>
    <w:rsid w:val="00F64E65"/>
    <w:rsid w:val="00F65070"/>
    <w:rsid w:val="00F65116"/>
    <w:rsid w:val="00F6545A"/>
    <w:rsid w:val="00F65466"/>
    <w:rsid w:val="00F6546F"/>
    <w:rsid w:val="00F65486"/>
    <w:rsid w:val="00F654AA"/>
    <w:rsid w:val="00F65509"/>
    <w:rsid w:val="00F655BF"/>
    <w:rsid w:val="00F6563E"/>
    <w:rsid w:val="00F6571F"/>
    <w:rsid w:val="00F6573D"/>
    <w:rsid w:val="00F65752"/>
    <w:rsid w:val="00F657BC"/>
    <w:rsid w:val="00F6584A"/>
    <w:rsid w:val="00F65964"/>
    <w:rsid w:val="00F65A37"/>
    <w:rsid w:val="00F65C85"/>
    <w:rsid w:val="00F65DFD"/>
    <w:rsid w:val="00F65E5D"/>
    <w:rsid w:val="00F65F52"/>
    <w:rsid w:val="00F6609D"/>
    <w:rsid w:val="00F6612E"/>
    <w:rsid w:val="00F6612F"/>
    <w:rsid w:val="00F66198"/>
    <w:rsid w:val="00F661BD"/>
    <w:rsid w:val="00F661D8"/>
    <w:rsid w:val="00F66212"/>
    <w:rsid w:val="00F66332"/>
    <w:rsid w:val="00F66334"/>
    <w:rsid w:val="00F66525"/>
    <w:rsid w:val="00F665C5"/>
    <w:rsid w:val="00F66645"/>
    <w:rsid w:val="00F666FE"/>
    <w:rsid w:val="00F6681B"/>
    <w:rsid w:val="00F66862"/>
    <w:rsid w:val="00F66867"/>
    <w:rsid w:val="00F668A9"/>
    <w:rsid w:val="00F669E8"/>
    <w:rsid w:val="00F66A24"/>
    <w:rsid w:val="00F66A4E"/>
    <w:rsid w:val="00F66AAF"/>
    <w:rsid w:val="00F66B26"/>
    <w:rsid w:val="00F66B44"/>
    <w:rsid w:val="00F66B86"/>
    <w:rsid w:val="00F66BB8"/>
    <w:rsid w:val="00F66C13"/>
    <w:rsid w:val="00F66D06"/>
    <w:rsid w:val="00F66DCE"/>
    <w:rsid w:val="00F66F93"/>
    <w:rsid w:val="00F67022"/>
    <w:rsid w:val="00F6723D"/>
    <w:rsid w:val="00F672F7"/>
    <w:rsid w:val="00F6730D"/>
    <w:rsid w:val="00F67373"/>
    <w:rsid w:val="00F6738C"/>
    <w:rsid w:val="00F67499"/>
    <w:rsid w:val="00F674AB"/>
    <w:rsid w:val="00F675D2"/>
    <w:rsid w:val="00F6778C"/>
    <w:rsid w:val="00F67863"/>
    <w:rsid w:val="00F6794F"/>
    <w:rsid w:val="00F67B01"/>
    <w:rsid w:val="00F67C55"/>
    <w:rsid w:val="00F67CB6"/>
    <w:rsid w:val="00F70088"/>
    <w:rsid w:val="00F70179"/>
    <w:rsid w:val="00F701A2"/>
    <w:rsid w:val="00F7020B"/>
    <w:rsid w:val="00F7031A"/>
    <w:rsid w:val="00F7037C"/>
    <w:rsid w:val="00F70386"/>
    <w:rsid w:val="00F70490"/>
    <w:rsid w:val="00F7075F"/>
    <w:rsid w:val="00F70822"/>
    <w:rsid w:val="00F70944"/>
    <w:rsid w:val="00F70D41"/>
    <w:rsid w:val="00F70D44"/>
    <w:rsid w:val="00F70D4D"/>
    <w:rsid w:val="00F70E1A"/>
    <w:rsid w:val="00F70EA2"/>
    <w:rsid w:val="00F7111E"/>
    <w:rsid w:val="00F711F0"/>
    <w:rsid w:val="00F712A2"/>
    <w:rsid w:val="00F713AA"/>
    <w:rsid w:val="00F71559"/>
    <w:rsid w:val="00F7174A"/>
    <w:rsid w:val="00F717EA"/>
    <w:rsid w:val="00F7188E"/>
    <w:rsid w:val="00F718AC"/>
    <w:rsid w:val="00F71909"/>
    <w:rsid w:val="00F7198A"/>
    <w:rsid w:val="00F71AC1"/>
    <w:rsid w:val="00F71BC8"/>
    <w:rsid w:val="00F71BCC"/>
    <w:rsid w:val="00F71C64"/>
    <w:rsid w:val="00F71CC9"/>
    <w:rsid w:val="00F71E4A"/>
    <w:rsid w:val="00F71ED7"/>
    <w:rsid w:val="00F71EF0"/>
    <w:rsid w:val="00F71F72"/>
    <w:rsid w:val="00F71FEA"/>
    <w:rsid w:val="00F72082"/>
    <w:rsid w:val="00F720C8"/>
    <w:rsid w:val="00F720CD"/>
    <w:rsid w:val="00F721F2"/>
    <w:rsid w:val="00F7221C"/>
    <w:rsid w:val="00F722A3"/>
    <w:rsid w:val="00F722D6"/>
    <w:rsid w:val="00F72304"/>
    <w:rsid w:val="00F723B2"/>
    <w:rsid w:val="00F7246B"/>
    <w:rsid w:val="00F72583"/>
    <w:rsid w:val="00F725B2"/>
    <w:rsid w:val="00F725C7"/>
    <w:rsid w:val="00F726C6"/>
    <w:rsid w:val="00F7277E"/>
    <w:rsid w:val="00F727A7"/>
    <w:rsid w:val="00F72856"/>
    <w:rsid w:val="00F72972"/>
    <w:rsid w:val="00F729BC"/>
    <w:rsid w:val="00F72A37"/>
    <w:rsid w:val="00F72BFD"/>
    <w:rsid w:val="00F72E9F"/>
    <w:rsid w:val="00F72F4F"/>
    <w:rsid w:val="00F73087"/>
    <w:rsid w:val="00F73094"/>
    <w:rsid w:val="00F730A3"/>
    <w:rsid w:val="00F730DF"/>
    <w:rsid w:val="00F73289"/>
    <w:rsid w:val="00F733B7"/>
    <w:rsid w:val="00F73564"/>
    <w:rsid w:val="00F73805"/>
    <w:rsid w:val="00F73851"/>
    <w:rsid w:val="00F7392D"/>
    <w:rsid w:val="00F73937"/>
    <w:rsid w:val="00F73A84"/>
    <w:rsid w:val="00F73AD3"/>
    <w:rsid w:val="00F73B2D"/>
    <w:rsid w:val="00F73CD3"/>
    <w:rsid w:val="00F73CFD"/>
    <w:rsid w:val="00F73D94"/>
    <w:rsid w:val="00F73DB8"/>
    <w:rsid w:val="00F73E0B"/>
    <w:rsid w:val="00F73E65"/>
    <w:rsid w:val="00F73EB0"/>
    <w:rsid w:val="00F73F0D"/>
    <w:rsid w:val="00F73F78"/>
    <w:rsid w:val="00F73FD6"/>
    <w:rsid w:val="00F74038"/>
    <w:rsid w:val="00F7410E"/>
    <w:rsid w:val="00F741F7"/>
    <w:rsid w:val="00F74200"/>
    <w:rsid w:val="00F74276"/>
    <w:rsid w:val="00F742B4"/>
    <w:rsid w:val="00F742D9"/>
    <w:rsid w:val="00F7436D"/>
    <w:rsid w:val="00F7439C"/>
    <w:rsid w:val="00F743F1"/>
    <w:rsid w:val="00F745A8"/>
    <w:rsid w:val="00F7461A"/>
    <w:rsid w:val="00F746C2"/>
    <w:rsid w:val="00F74755"/>
    <w:rsid w:val="00F747F8"/>
    <w:rsid w:val="00F7494F"/>
    <w:rsid w:val="00F749FA"/>
    <w:rsid w:val="00F74A28"/>
    <w:rsid w:val="00F74B47"/>
    <w:rsid w:val="00F74C43"/>
    <w:rsid w:val="00F74C7D"/>
    <w:rsid w:val="00F74C8C"/>
    <w:rsid w:val="00F74CA5"/>
    <w:rsid w:val="00F74DB7"/>
    <w:rsid w:val="00F74DC0"/>
    <w:rsid w:val="00F74E2C"/>
    <w:rsid w:val="00F74E55"/>
    <w:rsid w:val="00F74F03"/>
    <w:rsid w:val="00F74F53"/>
    <w:rsid w:val="00F74FA7"/>
    <w:rsid w:val="00F75066"/>
    <w:rsid w:val="00F750DD"/>
    <w:rsid w:val="00F7510E"/>
    <w:rsid w:val="00F75161"/>
    <w:rsid w:val="00F75172"/>
    <w:rsid w:val="00F751B5"/>
    <w:rsid w:val="00F751E2"/>
    <w:rsid w:val="00F75211"/>
    <w:rsid w:val="00F75308"/>
    <w:rsid w:val="00F75331"/>
    <w:rsid w:val="00F75464"/>
    <w:rsid w:val="00F755F8"/>
    <w:rsid w:val="00F75650"/>
    <w:rsid w:val="00F7565E"/>
    <w:rsid w:val="00F757C4"/>
    <w:rsid w:val="00F758E0"/>
    <w:rsid w:val="00F759B7"/>
    <w:rsid w:val="00F75B5F"/>
    <w:rsid w:val="00F75BC8"/>
    <w:rsid w:val="00F75C31"/>
    <w:rsid w:val="00F75DFD"/>
    <w:rsid w:val="00F75F86"/>
    <w:rsid w:val="00F7603A"/>
    <w:rsid w:val="00F760A4"/>
    <w:rsid w:val="00F760C7"/>
    <w:rsid w:val="00F76161"/>
    <w:rsid w:val="00F761E5"/>
    <w:rsid w:val="00F76237"/>
    <w:rsid w:val="00F7625D"/>
    <w:rsid w:val="00F762F5"/>
    <w:rsid w:val="00F7633B"/>
    <w:rsid w:val="00F76374"/>
    <w:rsid w:val="00F76456"/>
    <w:rsid w:val="00F7647A"/>
    <w:rsid w:val="00F76525"/>
    <w:rsid w:val="00F76526"/>
    <w:rsid w:val="00F76729"/>
    <w:rsid w:val="00F7672A"/>
    <w:rsid w:val="00F76744"/>
    <w:rsid w:val="00F76754"/>
    <w:rsid w:val="00F76831"/>
    <w:rsid w:val="00F768EB"/>
    <w:rsid w:val="00F76911"/>
    <w:rsid w:val="00F76A46"/>
    <w:rsid w:val="00F76B2E"/>
    <w:rsid w:val="00F76B78"/>
    <w:rsid w:val="00F76DEF"/>
    <w:rsid w:val="00F76F17"/>
    <w:rsid w:val="00F76F3F"/>
    <w:rsid w:val="00F77122"/>
    <w:rsid w:val="00F77190"/>
    <w:rsid w:val="00F771B2"/>
    <w:rsid w:val="00F771B6"/>
    <w:rsid w:val="00F772A0"/>
    <w:rsid w:val="00F772F1"/>
    <w:rsid w:val="00F7730C"/>
    <w:rsid w:val="00F7731C"/>
    <w:rsid w:val="00F773FB"/>
    <w:rsid w:val="00F77463"/>
    <w:rsid w:val="00F7751E"/>
    <w:rsid w:val="00F7757E"/>
    <w:rsid w:val="00F775B5"/>
    <w:rsid w:val="00F7763E"/>
    <w:rsid w:val="00F777E4"/>
    <w:rsid w:val="00F7783E"/>
    <w:rsid w:val="00F7790F"/>
    <w:rsid w:val="00F77944"/>
    <w:rsid w:val="00F77978"/>
    <w:rsid w:val="00F7799F"/>
    <w:rsid w:val="00F77A91"/>
    <w:rsid w:val="00F77CDC"/>
    <w:rsid w:val="00F77D09"/>
    <w:rsid w:val="00F77DB4"/>
    <w:rsid w:val="00F77E63"/>
    <w:rsid w:val="00F80024"/>
    <w:rsid w:val="00F80419"/>
    <w:rsid w:val="00F804C4"/>
    <w:rsid w:val="00F80588"/>
    <w:rsid w:val="00F805D2"/>
    <w:rsid w:val="00F805EA"/>
    <w:rsid w:val="00F8078B"/>
    <w:rsid w:val="00F80794"/>
    <w:rsid w:val="00F808E8"/>
    <w:rsid w:val="00F809EE"/>
    <w:rsid w:val="00F80A44"/>
    <w:rsid w:val="00F80B2D"/>
    <w:rsid w:val="00F80BCF"/>
    <w:rsid w:val="00F80BE2"/>
    <w:rsid w:val="00F80D09"/>
    <w:rsid w:val="00F80D70"/>
    <w:rsid w:val="00F80EBA"/>
    <w:rsid w:val="00F80EC2"/>
    <w:rsid w:val="00F80FEB"/>
    <w:rsid w:val="00F8109A"/>
    <w:rsid w:val="00F811B3"/>
    <w:rsid w:val="00F81276"/>
    <w:rsid w:val="00F812BA"/>
    <w:rsid w:val="00F81401"/>
    <w:rsid w:val="00F814C2"/>
    <w:rsid w:val="00F815C9"/>
    <w:rsid w:val="00F8160A"/>
    <w:rsid w:val="00F81663"/>
    <w:rsid w:val="00F81728"/>
    <w:rsid w:val="00F81766"/>
    <w:rsid w:val="00F817F2"/>
    <w:rsid w:val="00F81936"/>
    <w:rsid w:val="00F81972"/>
    <w:rsid w:val="00F81AF7"/>
    <w:rsid w:val="00F81B8F"/>
    <w:rsid w:val="00F81BBF"/>
    <w:rsid w:val="00F81CB7"/>
    <w:rsid w:val="00F81DB8"/>
    <w:rsid w:val="00F81DC8"/>
    <w:rsid w:val="00F81DF4"/>
    <w:rsid w:val="00F81ED6"/>
    <w:rsid w:val="00F820E2"/>
    <w:rsid w:val="00F820EC"/>
    <w:rsid w:val="00F82170"/>
    <w:rsid w:val="00F823ED"/>
    <w:rsid w:val="00F825EC"/>
    <w:rsid w:val="00F826BA"/>
    <w:rsid w:val="00F82711"/>
    <w:rsid w:val="00F82BC4"/>
    <w:rsid w:val="00F82C96"/>
    <w:rsid w:val="00F82FBA"/>
    <w:rsid w:val="00F83167"/>
    <w:rsid w:val="00F832ED"/>
    <w:rsid w:val="00F8331B"/>
    <w:rsid w:val="00F834E8"/>
    <w:rsid w:val="00F83511"/>
    <w:rsid w:val="00F8351E"/>
    <w:rsid w:val="00F8352A"/>
    <w:rsid w:val="00F83579"/>
    <w:rsid w:val="00F8359D"/>
    <w:rsid w:val="00F835AE"/>
    <w:rsid w:val="00F836D5"/>
    <w:rsid w:val="00F83792"/>
    <w:rsid w:val="00F8385B"/>
    <w:rsid w:val="00F838EC"/>
    <w:rsid w:val="00F839A4"/>
    <w:rsid w:val="00F83BE7"/>
    <w:rsid w:val="00F83BEE"/>
    <w:rsid w:val="00F83E37"/>
    <w:rsid w:val="00F83E4E"/>
    <w:rsid w:val="00F83E79"/>
    <w:rsid w:val="00F83EC2"/>
    <w:rsid w:val="00F83EE9"/>
    <w:rsid w:val="00F83F3F"/>
    <w:rsid w:val="00F840D7"/>
    <w:rsid w:val="00F841EB"/>
    <w:rsid w:val="00F843F2"/>
    <w:rsid w:val="00F84445"/>
    <w:rsid w:val="00F844B4"/>
    <w:rsid w:val="00F84667"/>
    <w:rsid w:val="00F84691"/>
    <w:rsid w:val="00F847E1"/>
    <w:rsid w:val="00F848D2"/>
    <w:rsid w:val="00F849CA"/>
    <w:rsid w:val="00F84A63"/>
    <w:rsid w:val="00F84B40"/>
    <w:rsid w:val="00F84BE5"/>
    <w:rsid w:val="00F84E82"/>
    <w:rsid w:val="00F851C1"/>
    <w:rsid w:val="00F851DF"/>
    <w:rsid w:val="00F85230"/>
    <w:rsid w:val="00F85238"/>
    <w:rsid w:val="00F8528C"/>
    <w:rsid w:val="00F85399"/>
    <w:rsid w:val="00F85625"/>
    <w:rsid w:val="00F85667"/>
    <w:rsid w:val="00F856DE"/>
    <w:rsid w:val="00F85739"/>
    <w:rsid w:val="00F85742"/>
    <w:rsid w:val="00F85772"/>
    <w:rsid w:val="00F85936"/>
    <w:rsid w:val="00F85983"/>
    <w:rsid w:val="00F85991"/>
    <w:rsid w:val="00F85C12"/>
    <w:rsid w:val="00F85C55"/>
    <w:rsid w:val="00F85CC2"/>
    <w:rsid w:val="00F85CEF"/>
    <w:rsid w:val="00F85D0B"/>
    <w:rsid w:val="00F85E44"/>
    <w:rsid w:val="00F85E76"/>
    <w:rsid w:val="00F85FA7"/>
    <w:rsid w:val="00F860DF"/>
    <w:rsid w:val="00F86232"/>
    <w:rsid w:val="00F86233"/>
    <w:rsid w:val="00F862E9"/>
    <w:rsid w:val="00F8630C"/>
    <w:rsid w:val="00F8645D"/>
    <w:rsid w:val="00F864F5"/>
    <w:rsid w:val="00F86759"/>
    <w:rsid w:val="00F86848"/>
    <w:rsid w:val="00F8684E"/>
    <w:rsid w:val="00F8686D"/>
    <w:rsid w:val="00F868C4"/>
    <w:rsid w:val="00F86970"/>
    <w:rsid w:val="00F86988"/>
    <w:rsid w:val="00F86AD0"/>
    <w:rsid w:val="00F86B74"/>
    <w:rsid w:val="00F86BB2"/>
    <w:rsid w:val="00F86BD3"/>
    <w:rsid w:val="00F86DC9"/>
    <w:rsid w:val="00F87121"/>
    <w:rsid w:val="00F871B0"/>
    <w:rsid w:val="00F871C9"/>
    <w:rsid w:val="00F8720D"/>
    <w:rsid w:val="00F87261"/>
    <w:rsid w:val="00F873C7"/>
    <w:rsid w:val="00F87414"/>
    <w:rsid w:val="00F87447"/>
    <w:rsid w:val="00F8745D"/>
    <w:rsid w:val="00F87574"/>
    <w:rsid w:val="00F87663"/>
    <w:rsid w:val="00F879FC"/>
    <w:rsid w:val="00F87BAC"/>
    <w:rsid w:val="00F87BF3"/>
    <w:rsid w:val="00F87DBA"/>
    <w:rsid w:val="00F87DFC"/>
    <w:rsid w:val="00F87F47"/>
    <w:rsid w:val="00F87FE6"/>
    <w:rsid w:val="00F9016A"/>
    <w:rsid w:val="00F9020B"/>
    <w:rsid w:val="00F90361"/>
    <w:rsid w:val="00F90388"/>
    <w:rsid w:val="00F903DD"/>
    <w:rsid w:val="00F90441"/>
    <w:rsid w:val="00F904CD"/>
    <w:rsid w:val="00F90597"/>
    <w:rsid w:val="00F905C1"/>
    <w:rsid w:val="00F90625"/>
    <w:rsid w:val="00F9067D"/>
    <w:rsid w:val="00F90686"/>
    <w:rsid w:val="00F90765"/>
    <w:rsid w:val="00F908BB"/>
    <w:rsid w:val="00F90978"/>
    <w:rsid w:val="00F90B1F"/>
    <w:rsid w:val="00F90B8A"/>
    <w:rsid w:val="00F90B9C"/>
    <w:rsid w:val="00F90CE2"/>
    <w:rsid w:val="00F90DB3"/>
    <w:rsid w:val="00F90EFD"/>
    <w:rsid w:val="00F90F59"/>
    <w:rsid w:val="00F90FB0"/>
    <w:rsid w:val="00F91073"/>
    <w:rsid w:val="00F910B3"/>
    <w:rsid w:val="00F9114B"/>
    <w:rsid w:val="00F9118C"/>
    <w:rsid w:val="00F9121E"/>
    <w:rsid w:val="00F9137D"/>
    <w:rsid w:val="00F91512"/>
    <w:rsid w:val="00F91580"/>
    <w:rsid w:val="00F915F6"/>
    <w:rsid w:val="00F91761"/>
    <w:rsid w:val="00F91884"/>
    <w:rsid w:val="00F91888"/>
    <w:rsid w:val="00F91A34"/>
    <w:rsid w:val="00F91A6B"/>
    <w:rsid w:val="00F91ADE"/>
    <w:rsid w:val="00F91BBF"/>
    <w:rsid w:val="00F91EE2"/>
    <w:rsid w:val="00F91F2B"/>
    <w:rsid w:val="00F91F34"/>
    <w:rsid w:val="00F91F55"/>
    <w:rsid w:val="00F91FA3"/>
    <w:rsid w:val="00F920ED"/>
    <w:rsid w:val="00F921ED"/>
    <w:rsid w:val="00F9230B"/>
    <w:rsid w:val="00F92468"/>
    <w:rsid w:val="00F926B7"/>
    <w:rsid w:val="00F92748"/>
    <w:rsid w:val="00F92794"/>
    <w:rsid w:val="00F927EE"/>
    <w:rsid w:val="00F928D2"/>
    <w:rsid w:val="00F928E7"/>
    <w:rsid w:val="00F92963"/>
    <w:rsid w:val="00F92A1C"/>
    <w:rsid w:val="00F92A4F"/>
    <w:rsid w:val="00F92A86"/>
    <w:rsid w:val="00F92ADD"/>
    <w:rsid w:val="00F92AED"/>
    <w:rsid w:val="00F92AFF"/>
    <w:rsid w:val="00F92C58"/>
    <w:rsid w:val="00F92C74"/>
    <w:rsid w:val="00F92C79"/>
    <w:rsid w:val="00F92CED"/>
    <w:rsid w:val="00F92D2A"/>
    <w:rsid w:val="00F92D4F"/>
    <w:rsid w:val="00F92DA0"/>
    <w:rsid w:val="00F92DF0"/>
    <w:rsid w:val="00F92E0E"/>
    <w:rsid w:val="00F92EA7"/>
    <w:rsid w:val="00F92ED6"/>
    <w:rsid w:val="00F930B6"/>
    <w:rsid w:val="00F93111"/>
    <w:rsid w:val="00F93285"/>
    <w:rsid w:val="00F93431"/>
    <w:rsid w:val="00F935DB"/>
    <w:rsid w:val="00F93604"/>
    <w:rsid w:val="00F9371D"/>
    <w:rsid w:val="00F937BE"/>
    <w:rsid w:val="00F938E5"/>
    <w:rsid w:val="00F938EE"/>
    <w:rsid w:val="00F9394F"/>
    <w:rsid w:val="00F93968"/>
    <w:rsid w:val="00F93B57"/>
    <w:rsid w:val="00F93CE9"/>
    <w:rsid w:val="00F93D3B"/>
    <w:rsid w:val="00F93D85"/>
    <w:rsid w:val="00F93DCB"/>
    <w:rsid w:val="00F93E65"/>
    <w:rsid w:val="00F94052"/>
    <w:rsid w:val="00F945B3"/>
    <w:rsid w:val="00F9460C"/>
    <w:rsid w:val="00F9460E"/>
    <w:rsid w:val="00F94620"/>
    <w:rsid w:val="00F946E2"/>
    <w:rsid w:val="00F94804"/>
    <w:rsid w:val="00F94817"/>
    <w:rsid w:val="00F94951"/>
    <w:rsid w:val="00F94BFD"/>
    <w:rsid w:val="00F94CD0"/>
    <w:rsid w:val="00F94DE9"/>
    <w:rsid w:val="00F94E58"/>
    <w:rsid w:val="00F94E78"/>
    <w:rsid w:val="00F95030"/>
    <w:rsid w:val="00F950CF"/>
    <w:rsid w:val="00F951CD"/>
    <w:rsid w:val="00F952E1"/>
    <w:rsid w:val="00F9530A"/>
    <w:rsid w:val="00F95377"/>
    <w:rsid w:val="00F9550E"/>
    <w:rsid w:val="00F95637"/>
    <w:rsid w:val="00F9565E"/>
    <w:rsid w:val="00F956BC"/>
    <w:rsid w:val="00F95870"/>
    <w:rsid w:val="00F95977"/>
    <w:rsid w:val="00F95B77"/>
    <w:rsid w:val="00F95C22"/>
    <w:rsid w:val="00F95C35"/>
    <w:rsid w:val="00F95D24"/>
    <w:rsid w:val="00F95E0B"/>
    <w:rsid w:val="00F95F2A"/>
    <w:rsid w:val="00F96057"/>
    <w:rsid w:val="00F9605A"/>
    <w:rsid w:val="00F960B6"/>
    <w:rsid w:val="00F960C0"/>
    <w:rsid w:val="00F96114"/>
    <w:rsid w:val="00F9616B"/>
    <w:rsid w:val="00F964CC"/>
    <w:rsid w:val="00F96623"/>
    <w:rsid w:val="00F9663A"/>
    <w:rsid w:val="00F966D1"/>
    <w:rsid w:val="00F969EE"/>
    <w:rsid w:val="00F96A61"/>
    <w:rsid w:val="00F96DC9"/>
    <w:rsid w:val="00F96DF9"/>
    <w:rsid w:val="00F96E07"/>
    <w:rsid w:val="00F96F27"/>
    <w:rsid w:val="00F96F3E"/>
    <w:rsid w:val="00F97084"/>
    <w:rsid w:val="00F97095"/>
    <w:rsid w:val="00F97349"/>
    <w:rsid w:val="00F9738A"/>
    <w:rsid w:val="00F97447"/>
    <w:rsid w:val="00F97902"/>
    <w:rsid w:val="00F97A80"/>
    <w:rsid w:val="00F97AA9"/>
    <w:rsid w:val="00F97B8D"/>
    <w:rsid w:val="00F97C21"/>
    <w:rsid w:val="00F97C29"/>
    <w:rsid w:val="00F97C5E"/>
    <w:rsid w:val="00F97C8C"/>
    <w:rsid w:val="00F97CA2"/>
    <w:rsid w:val="00F97DB7"/>
    <w:rsid w:val="00F97DE1"/>
    <w:rsid w:val="00F97E40"/>
    <w:rsid w:val="00F97EDC"/>
    <w:rsid w:val="00FA0150"/>
    <w:rsid w:val="00FA021C"/>
    <w:rsid w:val="00FA028C"/>
    <w:rsid w:val="00FA0385"/>
    <w:rsid w:val="00FA0420"/>
    <w:rsid w:val="00FA0469"/>
    <w:rsid w:val="00FA047D"/>
    <w:rsid w:val="00FA04D6"/>
    <w:rsid w:val="00FA04DC"/>
    <w:rsid w:val="00FA05B7"/>
    <w:rsid w:val="00FA05DD"/>
    <w:rsid w:val="00FA0670"/>
    <w:rsid w:val="00FA07FC"/>
    <w:rsid w:val="00FA083C"/>
    <w:rsid w:val="00FA0893"/>
    <w:rsid w:val="00FA097B"/>
    <w:rsid w:val="00FA0A2B"/>
    <w:rsid w:val="00FA0A6D"/>
    <w:rsid w:val="00FA0B0F"/>
    <w:rsid w:val="00FA0B16"/>
    <w:rsid w:val="00FA0B3F"/>
    <w:rsid w:val="00FA0CB9"/>
    <w:rsid w:val="00FA0CE1"/>
    <w:rsid w:val="00FA0FDA"/>
    <w:rsid w:val="00FA10B4"/>
    <w:rsid w:val="00FA121D"/>
    <w:rsid w:val="00FA1308"/>
    <w:rsid w:val="00FA133D"/>
    <w:rsid w:val="00FA134F"/>
    <w:rsid w:val="00FA1497"/>
    <w:rsid w:val="00FA14C4"/>
    <w:rsid w:val="00FA1507"/>
    <w:rsid w:val="00FA1568"/>
    <w:rsid w:val="00FA15AE"/>
    <w:rsid w:val="00FA1649"/>
    <w:rsid w:val="00FA1701"/>
    <w:rsid w:val="00FA1713"/>
    <w:rsid w:val="00FA18A0"/>
    <w:rsid w:val="00FA192A"/>
    <w:rsid w:val="00FA1C06"/>
    <w:rsid w:val="00FA1CCB"/>
    <w:rsid w:val="00FA1F3A"/>
    <w:rsid w:val="00FA1F67"/>
    <w:rsid w:val="00FA1FE0"/>
    <w:rsid w:val="00FA2003"/>
    <w:rsid w:val="00FA20BB"/>
    <w:rsid w:val="00FA20CA"/>
    <w:rsid w:val="00FA20E5"/>
    <w:rsid w:val="00FA20F1"/>
    <w:rsid w:val="00FA21A6"/>
    <w:rsid w:val="00FA2363"/>
    <w:rsid w:val="00FA23A7"/>
    <w:rsid w:val="00FA23EF"/>
    <w:rsid w:val="00FA23F6"/>
    <w:rsid w:val="00FA2514"/>
    <w:rsid w:val="00FA2599"/>
    <w:rsid w:val="00FA26C6"/>
    <w:rsid w:val="00FA2767"/>
    <w:rsid w:val="00FA2797"/>
    <w:rsid w:val="00FA294A"/>
    <w:rsid w:val="00FA2A27"/>
    <w:rsid w:val="00FA2A35"/>
    <w:rsid w:val="00FA2AB3"/>
    <w:rsid w:val="00FA2AF7"/>
    <w:rsid w:val="00FA2AF9"/>
    <w:rsid w:val="00FA2B22"/>
    <w:rsid w:val="00FA2C4B"/>
    <w:rsid w:val="00FA2C98"/>
    <w:rsid w:val="00FA2CDB"/>
    <w:rsid w:val="00FA2CEC"/>
    <w:rsid w:val="00FA3082"/>
    <w:rsid w:val="00FA3227"/>
    <w:rsid w:val="00FA3240"/>
    <w:rsid w:val="00FA33AD"/>
    <w:rsid w:val="00FA33C5"/>
    <w:rsid w:val="00FA3497"/>
    <w:rsid w:val="00FA34CA"/>
    <w:rsid w:val="00FA355B"/>
    <w:rsid w:val="00FA35C4"/>
    <w:rsid w:val="00FA3636"/>
    <w:rsid w:val="00FA3683"/>
    <w:rsid w:val="00FA384F"/>
    <w:rsid w:val="00FA3929"/>
    <w:rsid w:val="00FA3A6A"/>
    <w:rsid w:val="00FA3C5A"/>
    <w:rsid w:val="00FA3DB6"/>
    <w:rsid w:val="00FA3DCC"/>
    <w:rsid w:val="00FA3ED3"/>
    <w:rsid w:val="00FA4117"/>
    <w:rsid w:val="00FA413B"/>
    <w:rsid w:val="00FA45B8"/>
    <w:rsid w:val="00FA47B3"/>
    <w:rsid w:val="00FA47E8"/>
    <w:rsid w:val="00FA4827"/>
    <w:rsid w:val="00FA49D4"/>
    <w:rsid w:val="00FA4A3D"/>
    <w:rsid w:val="00FA4BE0"/>
    <w:rsid w:val="00FA4C6F"/>
    <w:rsid w:val="00FA4D79"/>
    <w:rsid w:val="00FA4F37"/>
    <w:rsid w:val="00FA500E"/>
    <w:rsid w:val="00FA5012"/>
    <w:rsid w:val="00FA5068"/>
    <w:rsid w:val="00FA51DF"/>
    <w:rsid w:val="00FA5223"/>
    <w:rsid w:val="00FA5369"/>
    <w:rsid w:val="00FA53FD"/>
    <w:rsid w:val="00FA5443"/>
    <w:rsid w:val="00FA54BC"/>
    <w:rsid w:val="00FA54D8"/>
    <w:rsid w:val="00FA5526"/>
    <w:rsid w:val="00FA5541"/>
    <w:rsid w:val="00FA55C8"/>
    <w:rsid w:val="00FA56AA"/>
    <w:rsid w:val="00FA5783"/>
    <w:rsid w:val="00FA588B"/>
    <w:rsid w:val="00FA5A58"/>
    <w:rsid w:val="00FA5B54"/>
    <w:rsid w:val="00FA5BAC"/>
    <w:rsid w:val="00FA5C5A"/>
    <w:rsid w:val="00FA5CBF"/>
    <w:rsid w:val="00FA5D55"/>
    <w:rsid w:val="00FA5D96"/>
    <w:rsid w:val="00FA5F0C"/>
    <w:rsid w:val="00FA5F80"/>
    <w:rsid w:val="00FA5FED"/>
    <w:rsid w:val="00FA607B"/>
    <w:rsid w:val="00FA622F"/>
    <w:rsid w:val="00FA626A"/>
    <w:rsid w:val="00FA63CC"/>
    <w:rsid w:val="00FA6566"/>
    <w:rsid w:val="00FA65DC"/>
    <w:rsid w:val="00FA6621"/>
    <w:rsid w:val="00FA6634"/>
    <w:rsid w:val="00FA667D"/>
    <w:rsid w:val="00FA6731"/>
    <w:rsid w:val="00FA67E4"/>
    <w:rsid w:val="00FA683F"/>
    <w:rsid w:val="00FA68CD"/>
    <w:rsid w:val="00FA68FC"/>
    <w:rsid w:val="00FA6A32"/>
    <w:rsid w:val="00FA6B22"/>
    <w:rsid w:val="00FA6B30"/>
    <w:rsid w:val="00FA6B3B"/>
    <w:rsid w:val="00FA6C47"/>
    <w:rsid w:val="00FA6CFB"/>
    <w:rsid w:val="00FA6D93"/>
    <w:rsid w:val="00FA6E2B"/>
    <w:rsid w:val="00FA6E9D"/>
    <w:rsid w:val="00FA7129"/>
    <w:rsid w:val="00FA7177"/>
    <w:rsid w:val="00FA7204"/>
    <w:rsid w:val="00FA7335"/>
    <w:rsid w:val="00FA73E4"/>
    <w:rsid w:val="00FA7402"/>
    <w:rsid w:val="00FA74BC"/>
    <w:rsid w:val="00FA74E5"/>
    <w:rsid w:val="00FA75CE"/>
    <w:rsid w:val="00FA75E1"/>
    <w:rsid w:val="00FA762F"/>
    <w:rsid w:val="00FA76DA"/>
    <w:rsid w:val="00FA7729"/>
    <w:rsid w:val="00FA77C7"/>
    <w:rsid w:val="00FA7852"/>
    <w:rsid w:val="00FA7902"/>
    <w:rsid w:val="00FA7A90"/>
    <w:rsid w:val="00FA7A97"/>
    <w:rsid w:val="00FA7DEF"/>
    <w:rsid w:val="00FA7E72"/>
    <w:rsid w:val="00FA7F98"/>
    <w:rsid w:val="00FB003D"/>
    <w:rsid w:val="00FB041E"/>
    <w:rsid w:val="00FB045E"/>
    <w:rsid w:val="00FB0593"/>
    <w:rsid w:val="00FB05E9"/>
    <w:rsid w:val="00FB07BD"/>
    <w:rsid w:val="00FB088E"/>
    <w:rsid w:val="00FB0AF9"/>
    <w:rsid w:val="00FB0B78"/>
    <w:rsid w:val="00FB0BCE"/>
    <w:rsid w:val="00FB0C41"/>
    <w:rsid w:val="00FB0CA0"/>
    <w:rsid w:val="00FB0CD0"/>
    <w:rsid w:val="00FB0CF5"/>
    <w:rsid w:val="00FB0D32"/>
    <w:rsid w:val="00FB0E48"/>
    <w:rsid w:val="00FB0E9C"/>
    <w:rsid w:val="00FB0EED"/>
    <w:rsid w:val="00FB0EFC"/>
    <w:rsid w:val="00FB10A8"/>
    <w:rsid w:val="00FB12B0"/>
    <w:rsid w:val="00FB12CC"/>
    <w:rsid w:val="00FB1327"/>
    <w:rsid w:val="00FB1343"/>
    <w:rsid w:val="00FB1365"/>
    <w:rsid w:val="00FB1414"/>
    <w:rsid w:val="00FB14F8"/>
    <w:rsid w:val="00FB15C4"/>
    <w:rsid w:val="00FB16CC"/>
    <w:rsid w:val="00FB1765"/>
    <w:rsid w:val="00FB17A8"/>
    <w:rsid w:val="00FB1A15"/>
    <w:rsid w:val="00FB1A3C"/>
    <w:rsid w:val="00FB1B7B"/>
    <w:rsid w:val="00FB1C33"/>
    <w:rsid w:val="00FB1D16"/>
    <w:rsid w:val="00FB1E97"/>
    <w:rsid w:val="00FB1FFF"/>
    <w:rsid w:val="00FB2012"/>
    <w:rsid w:val="00FB2044"/>
    <w:rsid w:val="00FB20BC"/>
    <w:rsid w:val="00FB22E3"/>
    <w:rsid w:val="00FB2403"/>
    <w:rsid w:val="00FB2502"/>
    <w:rsid w:val="00FB27CE"/>
    <w:rsid w:val="00FB2837"/>
    <w:rsid w:val="00FB299E"/>
    <w:rsid w:val="00FB29DF"/>
    <w:rsid w:val="00FB2A2B"/>
    <w:rsid w:val="00FB2A90"/>
    <w:rsid w:val="00FB2B23"/>
    <w:rsid w:val="00FB2BC6"/>
    <w:rsid w:val="00FB2BF1"/>
    <w:rsid w:val="00FB2C03"/>
    <w:rsid w:val="00FB2C74"/>
    <w:rsid w:val="00FB2D60"/>
    <w:rsid w:val="00FB2E7E"/>
    <w:rsid w:val="00FB2E9A"/>
    <w:rsid w:val="00FB2F13"/>
    <w:rsid w:val="00FB2F1B"/>
    <w:rsid w:val="00FB3006"/>
    <w:rsid w:val="00FB3180"/>
    <w:rsid w:val="00FB3187"/>
    <w:rsid w:val="00FB31CB"/>
    <w:rsid w:val="00FB3296"/>
    <w:rsid w:val="00FB331E"/>
    <w:rsid w:val="00FB3405"/>
    <w:rsid w:val="00FB341B"/>
    <w:rsid w:val="00FB352B"/>
    <w:rsid w:val="00FB356F"/>
    <w:rsid w:val="00FB35F8"/>
    <w:rsid w:val="00FB3643"/>
    <w:rsid w:val="00FB36F7"/>
    <w:rsid w:val="00FB373B"/>
    <w:rsid w:val="00FB37C2"/>
    <w:rsid w:val="00FB3862"/>
    <w:rsid w:val="00FB38EC"/>
    <w:rsid w:val="00FB3922"/>
    <w:rsid w:val="00FB3AE0"/>
    <w:rsid w:val="00FB3D70"/>
    <w:rsid w:val="00FB3E3E"/>
    <w:rsid w:val="00FB3EB6"/>
    <w:rsid w:val="00FB3F11"/>
    <w:rsid w:val="00FB3F5F"/>
    <w:rsid w:val="00FB3F84"/>
    <w:rsid w:val="00FB401D"/>
    <w:rsid w:val="00FB4031"/>
    <w:rsid w:val="00FB4032"/>
    <w:rsid w:val="00FB4068"/>
    <w:rsid w:val="00FB40BC"/>
    <w:rsid w:val="00FB410A"/>
    <w:rsid w:val="00FB4162"/>
    <w:rsid w:val="00FB41B3"/>
    <w:rsid w:val="00FB41FD"/>
    <w:rsid w:val="00FB4280"/>
    <w:rsid w:val="00FB42A4"/>
    <w:rsid w:val="00FB430A"/>
    <w:rsid w:val="00FB4348"/>
    <w:rsid w:val="00FB4385"/>
    <w:rsid w:val="00FB44A8"/>
    <w:rsid w:val="00FB44C5"/>
    <w:rsid w:val="00FB44DC"/>
    <w:rsid w:val="00FB4563"/>
    <w:rsid w:val="00FB45F6"/>
    <w:rsid w:val="00FB4717"/>
    <w:rsid w:val="00FB4740"/>
    <w:rsid w:val="00FB4751"/>
    <w:rsid w:val="00FB4889"/>
    <w:rsid w:val="00FB48A9"/>
    <w:rsid w:val="00FB49EF"/>
    <w:rsid w:val="00FB49F2"/>
    <w:rsid w:val="00FB4B9B"/>
    <w:rsid w:val="00FB4C75"/>
    <w:rsid w:val="00FB4CFC"/>
    <w:rsid w:val="00FB4D01"/>
    <w:rsid w:val="00FB4DA6"/>
    <w:rsid w:val="00FB4DE6"/>
    <w:rsid w:val="00FB4E8A"/>
    <w:rsid w:val="00FB4EFF"/>
    <w:rsid w:val="00FB4FBA"/>
    <w:rsid w:val="00FB5049"/>
    <w:rsid w:val="00FB5072"/>
    <w:rsid w:val="00FB5100"/>
    <w:rsid w:val="00FB5278"/>
    <w:rsid w:val="00FB52F5"/>
    <w:rsid w:val="00FB53CF"/>
    <w:rsid w:val="00FB5485"/>
    <w:rsid w:val="00FB55C3"/>
    <w:rsid w:val="00FB55F5"/>
    <w:rsid w:val="00FB574D"/>
    <w:rsid w:val="00FB578C"/>
    <w:rsid w:val="00FB588E"/>
    <w:rsid w:val="00FB59CE"/>
    <w:rsid w:val="00FB59E1"/>
    <w:rsid w:val="00FB59E4"/>
    <w:rsid w:val="00FB5AE4"/>
    <w:rsid w:val="00FB5B67"/>
    <w:rsid w:val="00FB5CA0"/>
    <w:rsid w:val="00FB5CB9"/>
    <w:rsid w:val="00FB5D13"/>
    <w:rsid w:val="00FB5D29"/>
    <w:rsid w:val="00FB5EB1"/>
    <w:rsid w:val="00FB6046"/>
    <w:rsid w:val="00FB6048"/>
    <w:rsid w:val="00FB604C"/>
    <w:rsid w:val="00FB6209"/>
    <w:rsid w:val="00FB62CC"/>
    <w:rsid w:val="00FB633B"/>
    <w:rsid w:val="00FB634B"/>
    <w:rsid w:val="00FB63ED"/>
    <w:rsid w:val="00FB6410"/>
    <w:rsid w:val="00FB6470"/>
    <w:rsid w:val="00FB6481"/>
    <w:rsid w:val="00FB661D"/>
    <w:rsid w:val="00FB667F"/>
    <w:rsid w:val="00FB66F5"/>
    <w:rsid w:val="00FB6735"/>
    <w:rsid w:val="00FB67BC"/>
    <w:rsid w:val="00FB6871"/>
    <w:rsid w:val="00FB68A7"/>
    <w:rsid w:val="00FB68BD"/>
    <w:rsid w:val="00FB6D1F"/>
    <w:rsid w:val="00FB71B9"/>
    <w:rsid w:val="00FB71E0"/>
    <w:rsid w:val="00FB723C"/>
    <w:rsid w:val="00FB72D5"/>
    <w:rsid w:val="00FB731A"/>
    <w:rsid w:val="00FB73BA"/>
    <w:rsid w:val="00FB741E"/>
    <w:rsid w:val="00FB7596"/>
    <w:rsid w:val="00FB766D"/>
    <w:rsid w:val="00FB76DC"/>
    <w:rsid w:val="00FB7726"/>
    <w:rsid w:val="00FB7786"/>
    <w:rsid w:val="00FB77B2"/>
    <w:rsid w:val="00FB7847"/>
    <w:rsid w:val="00FB790A"/>
    <w:rsid w:val="00FB798F"/>
    <w:rsid w:val="00FB7AF0"/>
    <w:rsid w:val="00FB7C7B"/>
    <w:rsid w:val="00FB7CCC"/>
    <w:rsid w:val="00FB7D2E"/>
    <w:rsid w:val="00FB7DD2"/>
    <w:rsid w:val="00FC001A"/>
    <w:rsid w:val="00FC004C"/>
    <w:rsid w:val="00FC009A"/>
    <w:rsid w:val="00FC009D"/>
    <w:rsid w:val="00FC0140"/>
    <w:rsid w:val="00FC015A"/>
    <w:rsid w:val="00FC0338"/>
    <w:rsid w:val="00FC036E"/>
    <w:rsid w:val="00FC03D6"/>
    <w:rsid w:val="00FC03E1"/>
    <w:rsid w:val="00FC0485"/>
    <w:rsid w:val="00FC049D"/>
    <w:rsid w:val="00FC0616"/>
    <w:rsid w:val="00FC06CE"/>
    <w:rsid w:val="00FC07A5"/>
    <w:rsid w:val="00FC09A2"/>
    <w:rsid w:val="00FC09F9"/>
    <w:rsid w:val="00FC0A4D"/>
    <w:rsid w:val="00FC0A7E"/>
    <w:rsid w:val="00FC0ADD"/>
    <w:rsid w:val="00FC0D92"/>
    <w:rsid w:val="00FC0DB0"/>
    <w:rsid w:val="00FC0E0C"/>
    <w:rsid w:val="00FC0E5E"/>
    <w:rsid w:val="00FC0E7B"/>
    <w:rsid w:val="00FC0F23"/>
    <w:rsid w:val="00FC100A"/>
    <w:rsid w:val="00FC10A8"/>
    <w:rsid w:val="00FC10D7"/>
    <w:rsid w:val="00FC1158"/>
    <w:rsid w:val="00FC11F0"/>
    <w:rsid w:val="00FC13A9"/>
    <w:rsid w:val="00FC140C"/>
    <w:rsid w:val="00FC1468"/>
    <w:rsid w:val="00FC1847"/>
    <w:rsid w:val="00FC1853"/>
    <w:rsid w:val="00FC1909"/>
    <w:rsid w:val="00FC1A55"/>
    <w:rsid w:val="00FC1A87"/>
    <w:rsid w:val="00FC1B0B"/>
    <w:rsid w:val="00FC1CAB"/>
    <w:rsid w:val="00FC1CD8"/>
    <w:rsid w:val="00FC1F08"/>
    <w:rsid w:val="00FC1F3C"/>
    <w:rsid w:val="00FC1F64"/>
    <w:rsid w:val="00FC2075"/>
    <w:rsid w:val="00FC209D"/>
    <w:rsid w:val="00FC213A"/>
    <w:rsid w:val="00FC225D"/>
    <w:rsid w:val="00FC2299"/>
    <w:rsid w:val="00FC22F2"/>
    <w:rsid w:val="00FC2357"/>
    <w:rsid w:val="00FC239D"/>
    <w:rsid w:val="00FC23CB"/>
    <w:rsid w:val="00FC23E5"/>
    <w:rsid w:val="00FC258C"/>
    <w:rsid w:val="00FC25FB"/>
    <w:rsid w:val="00FC2661"/>
    <w:rsid w:val="00FC2668"/>
    <w:rsid w:val="00FC2692"/>
    <w:rsid w:val="00FC2865"/>
    <w:rsid w:val="00FC2A60"/>
    <w:rsid w:val="00FC2BD9"/>
    <w:rsid w:val="00FC2DEC"/>
    <w:rsid w:val="00FC2E2D"/>
    <w:rsid w:val="00FC2EA9"/>
    <w:rsid w:val="00FC2EAF"/>
    <w:rsid w:val="00FC2F12"/>
    <w:rsid w:val="00FC2F27"/>
    <w:rsid w:val="00FC2F4F"/>
    <w:rsid w:val="00FC2F7B"/>
    <w:rsid w:val="00FC301A"/>
    <w:rsid w:val="00FC30BD"/>
    <w:rsid w:val="00FC30F8"/>
    <w:rsid w:val="00FC31C6"/>
    <w:rsid w:val="00FC31DD"/>
    <w:rsid w:val="00FC3229"/>
    <w:rsid w:val="00FC335F"/>
    <w:rsid w:val="00FC338A"/>
    <w:rsid w:val="00FC33CE"/>
    <w:rsid w:val="00FC3453"/>
    <w:rsid w:val="00FC358F"/>
    <w:rsid w:val="00FC3599"/>
    <w:rsid w:val="00FC35A0"/>
    <w:rsid w:val="00FC374A"/>
    <w:rsid w:val="00FC3751"/>
    <w:rsid w:val="00FC3812"/>
    <w:rsid w:val="00FC385D"/>
    <w:rsid w:val="00FC39C9"/>
    <w:rsid w:val="00FC39E7"/>
    <w:rsid w:val="00FC3A21"/>
    <w:rsid w:val="00FC3A64"/>
    <w:rsid w:val="00FC3B4B"/>
    <w:rsid w:val="00FC3D45"/>
    <w:rsid w:val="00FC3F7B"/>
    <w:rsid w:val="00FC400E"/>
    <w:rsid w:val="00FC4023"/>
    <w:rsid w:val="00FC4044"/>
    <w:rsid w:val="00FC409C"/>
    <w:rsid w:val="00FC430B"/>
    <w:rsid w:val="00FC4364"/>
    <w:rsid w:val="00FC44AA"/>
    <w:rsid w:val="00FC45FA"/>
    <w:rsid w:val="00FC4621"/>
    <w:rsid w:val="00FC467D"/>
    <w:rsid w:val="00FC485E"/>
    <w:rsid w:val="00FC4897"/>
    <w:rsid w:val="00FC4A34"/>
    <w:rsid w:val="00FC4B38"/>
    <w:rsid w:val="00FC4C45"/>
    <w:rsid w:val="00FC4CA8"/>
    <w:rsid w:val="00FC4D33"/>
    <w:rsid w:val="00FC4D3F"/>
    <w:rsid w:val="00FC4ED6"/>
    <w:rsid w:val="00FC4F66"/>
    <w:rsid w:val="00FC4FC9"/>
    <w:rsid w:val="00FC50D4"/>
    <w:rsid w:val="00FC5110"/>
    <w:rsid w:val="00FC530D"/>
    <w:rsid w:val="00FC5446"/>
    <w:rsid w:val="00FC5493"/>
    <w:rsid w:val="00FC5739"/>
    <w:rsid w:val="00FC5827"/>
    <w:rsid w:val="00FC58E5"/>
    <w:rsid w:val="00FC59B9"/>
    <w:rsid w:val="00FC5AE8"/>
    <w:rsid w:val="00FC5BCC"/>
    <w:rsid w:val="00FC5C30"/>
    <w:rsid w:val="00FC5DC0"/>
    <w:rsid w:val="00FC5E15"/>
    <w:rsid w:val="00FC5EAA"/>
    <w:rsid w:val="00FC5FDE"/>
    <w:rsid w:val="00FC602C"/>
    <w:rsid w:val="00FC6067"/>
    <w:rsid w:val="00FC6206"/>
    <w:rsid w:val="00FC6242"/>
    <w:rsid w:val="00FC6294"/>
    <w:rsid w:val="00FC64CF"/>
    <w:rsid w:val="00FC66BF"/>
    <w:rsid w:val="00FC671C"/>
    <w:rsid w:val="00FC6809"/>
    <w:rsid w:val="00FC68F3"/>
    <w:rsid w:val="00FC69D9"/>
    <w:rsid w:val="00FC6ACF"/>
    <w:rsid w:val="00FC6AE2"/>
    <w:rsid w:val="00FC6B51"/>
    <w:rsid w:val="00FC6C30"/>
    <w:rsid w:val="00FC6C31"/>
    <w:rsid w:val="00FC6D5D"/>
    <w:rsid w:val="00FC6FFD"/>
    <w:rsid w:val="00FC7047"/>
    <w:rsid w:val="00FC708F"/>
    <w:rsid w:val="00FC71DF"/>
    <w:rsid w:val="00FC7325"/>
    <w:rsid w:val="00FC73EF"/>
    <w:rsid w:val="00FC744D"/>
    <w:rsid w:val="00FC747B"/>
    <w:rsid w:val="00FC74D5"/>
    <w:rsid w:val="00FC75E4"/>
    <w:rsid w:val="00FC76CA"/>
    <w:rsid w:val="00FC7747"/>
    <w:rsid w:val="00FC775A"/>
    <w:rsid w:val="00FC7852"/>
    <w:rsid w:val="00FC7BB9"/>
    <w:rsid w:val="00FC7C74"/>
    <w:rsid w:val="00FC7CAD"/>
    <w:rsid w:val="00FC7CFF"/>
    <w:rsid w:val="00FC7D68"/>
    <w:rsid w:val="00FC7DB8"/>
    <w:rsid w:val="00FC7EB6"/>
    <w:rsid w:val="00FC7F31"/>
    <w:rsid w:val="00FD00C5"/>
    <w:rsid w:val="00FD00CC"/>
    <w:rsid w:val="00FD0124"/>
    <w:rsid w:val="00FD0176"/>
    <w:rsid w:val="00FD019B"/>
    <w:rsid w:val="00FD01B7"/>
    <w:rsid w:val="00FD01C4"/>
    <w:rsid w:val="00FD01F8"/>
    <w:rsid w:val="00FD0294"/>
    <w:rsid w:val="00FD0404"/>
    <w:rsid w:val="00FD04D0"/>
    <w:rsid w:val="00FD04D9"/>
    <w:rsid w:val="00FD08AD"/>
    <w:rsid w:val="00FD08E3"/>
    <w:rsid w:val="00FD08EA"/>
    <w:rsid w:val="00FD0B78"/>
    <w:rsid w:val="00FD0C4A"/>
    <w:rsid w:val="00FD0C8E"/>
    <w:rsid w:val="00FD0D7E"/>
    <w:rsid w:val="00FD0DB5"/>
    <w:rsid w:val="00FD0E49"/>
    <w:rsid w:val="00FD0E92"/>
    <w:rsid w:val="00FD0EBE"/>
    <w:rsid w:val="00FD115A"/>
    <w:rsid w:val="00FD11C3"/>
    <w:rsid w:val="00FD11D1"/>
    <w:rsid w:val="00FD127E"/>
    <w:rsid w:val="00FD12D5"/>
    <w:rsid w:val="00FD12F2"/>
    <w:rsid w:val="00FD130F"/>
    <w:rsid w:val="00FD13E1"/>
    <w:rsid w:val="00FD1411"/>
    <w:rsid w:val="00FD141E"/>
    <w:rsid w:val="00FD1421"/>
    <w:rsid w:val="00FD14F9"/>
    <w:rsid w:val="00FD1656"/>
    <w:rsid w:val="00FD165D"/>
    <w:rsid w:val="00FD1676"/>
    <w:rsid w:val="00FD16BD"/>
    <w:rsid w:val="00FD16E5"/>
    <w:rsid w:val="00FD16EE"/>
    <w:rsid w:val="00FD1707"/>
    <w:rsid w:val="00FD17D0"/>
    <w:rsid w:val="00FD1803"/>
    <w:rsid w:val="00FD1838"/>
    <w:rsid w:val="00FD1AB3"/>
    <w:rsid w:val="00FD1C11"/>
    <w:rsid w:val="00FD1E13"/>
    <w:rsid w:val="00FD1E45"/>
    <w:rsid w:val="00FD1E4F"/>
    <w:rsid w:val="00FD1E8A"/>
    <w:rsid w:val="00FD1EDB"/>
    <w:rsid w:val="00FD1F36"/>
    <w:rsid w:val="00FD1FDA"/>
    <w:rsid w:val="00FD2286"/>
    <w:rsid w:val="00FD236B"/>
    <w:rsid w:val="00FD2565"/>
    <w:rsid w:val="00FD25BF"/>
    <w:rsid w:val="00FD2602"/>
    <w:rsid w:val="00FD266A"/>
    <w:rsid w:val="00FD270E"/>
    <w:rsid w:val="00FD295D"/>
    <w:rsid w:val="00FD2968"/>
    <w:rsid w:val="00FD299A"/>
    <w:rsid w:val="00FD2AC1"/>
    <w:rsid w:val="00FD2B47"/>
    <w:rsid w:val="00FD2BA2"/>
    <w:rsid w:val="00FD2DF7"/>
    <w:rsid w:val="00FD2EF5"/>
    <w:rsid w:val="00FD2F28"/>
    <w:rsid w:val="00FD3052"/>
    <w:rsid w:val="00FD305B"/>
    <w:rsid w:val="00FD30BB"/>
    <w:rsid w:val="00FD30CC"/>
    <w:rsid w:val="00FD311B"/>
    <w:rsid w:val="00FD32C3"/>
    <w:rsid w:val="00FD350A"/>
    <w:rsid w:val="00FD356E"/>
    <w:rsid w:val="00FD36F0"/>
    <w:rsid w:val="00FD376B"/>
    <w:rsid w:val="00FD37A3"/>
    <w:rsid w:val="00FD37F4"/>
    <w:rsid w:val="00FD3874"/>
    <w:rsid w:val="00FD3886"/>
    <w:rsid w:val="00FD3935"/>
    <w:rsid w:val="00FD3A02"/>
    <w:rsid w:val="00FD3A4D"/>
    <w:rsid w:val="00FD3B50"/>
    <w:rsid w:val="00FD3B6C"/>
    <w:rsid w:val="00FD3BCF"/>
    <w:rsid w:val="00FD3E09"/>
    <w:rsid w:val="00FD3E44"/>
    <w:rsid w:val="00FD3F82"/>
    <w:rsid w:val="00FD3FDC"/>
    <w:rsid w:val="00FD404A"/>
    <w:rsid w:val="00FD4080"/>
    <w:rsid w:val="00FD40CF"/>
    <w:rsid w:val="00FD4295"/>
    <w:rsid w:val="00FD4369"/>
    <w:rsid w:val="00FD4415"/>
    <w:rsid w:val="00FD4537"/>
    <w:rsid w:val="00FD4543"/>
    <w:rsid w:val="00FD46DD"/>
    <w:rsid w:val="00FD47F4"/>
    <w:rsid w:val="00FD480D"/>
    <w:rsid w:val="00FD481A"/>
    <w:rsid w:val="00FD4871"/>
    <w:rsid w:val="00FD49DB"/>
    <w:rsid w:val="00FD49E6"/>
    <w:rsid w:val="00FD4A17"/>
    <w:rsid w:val="00FD4A9C"/>
    <w:rsid w:val="00FD4AC6"/>
    <w:rsid w:val="00FD4B73"/>
    <w:rsid w:val="00FD4D12"/>
    <w:rsid w:val="00FD4D70"/>
    <w:rsid w:val="00FD4E17"/>
    <w:rsid w:val="00FD4EC1"/>
    <w:rsid w:val="00FD50FA"/>
    <w:rsid w:val="00FD51CC"/>
    <w:rsid w:val="00FD5202"/>
    <w:rsid w:val="00FD532A"/>
    <w:rsid w:val="00FD5336"/>
    <w:rsid w:val="00FD543C"/>
    <w:rsid w:val="00FD545F"/>
    <w:rsid w:val="00FD5535"/>
    <w:rsid w:val="00FD5549"/>
    <w:rsid w:val="00FD55BE"/>
    <w:rsid w:val="00FD55EA"/>
    <w:rsid w:val="00FD56D2"/>
    <w:rsid w:val="00FD5723"/>
    <w:rsid w:val="00FD5826"/>
    <w:rsid w:val="00FD585C"/>
    <w:rsid w:val="00FD5936"/>
    <w:rsid w:val="00FD5960"/>
    <w:rsid w:val="00FD59BA"/>
    <w:rsid w:val="00FD5C1E"/>
    <w:rsid w:val="00FD6167"/>
    <w:rsid w:val="00FD6193"/>
    <w:rsid w:val="00FD61D7"/>
    <w:rsid w:val="00FD6289"/>
    <w:rsid w:val="00FD646E"/>
    <w:rsid w:val="00FD65D6"/>
    <w:rsid w:val="00FD6607"/>
    <w:rsid w:val="00FD6796"/>
    <w:rsid w:val="00FD681F"/>
    <w:rsid w:val="00FD6893"/>
    <w:rsid w:val="00FD69E0"/>
    <w:rsid w:val="00FD6C3E"/>
    <w:rsid w:val="00FD6C68"/>
    <w:rsid w:val="00FD6CD1"/>
    <w:rsid w:val="00FD6D06"/>
    <w:rsid w:val="00FD6E04"/>
    <w:rsid w:val="00FD6F0C"/>
    <w:rsid w:val="00FD6F50"/>
    <w:rsid w:val="00FD7083"/>
    <w:rsid w:val="00FD7110"/>
    <w:rsid w:val="00FD71D2"/>
    <w:rsid w:val="00FD71D6"/>
    <w:rsid w:val="00FD72D7"/>
    <w:rsid w:val="00FD7359"/>
    <w:rsid w:val="00FD75E4"/>
    <w:rsid w:val="00FD7760"/>
    <w:rsid w:val="00FD7891"/>
    <w:rsid w:val="00FD78D3"/>
    <w:rsid w:val="00FD79FA"/>
    <w:rsid w:val="00FD7B06"/>
    <w:rsid w:val="00FD7B2F"/>
    <w:rsid w:val="00FD7BF2"/>
    <w:rsid w:val="00FD7CC6"/>
    <w:rsid w:val="00FD7CF5"/>
    <w:rsid w:val="00FD7CFD"/>
    <w:rsid w:val="00FD7D4A"/>
    <w:rsid w:val="00FD7E9D"/>
    <w:rsid w:val="00FD977A"/>
    <w:rsid w:val="00FE00AD"/>
    <w:rsid w:val="00FE02EF"/>
    <w:rsid w:val="00FE03A1"/>
    <w:rsid w:val="00FE046E"/>
    <w:rsid w:val="00FE0626"/>
    <w:rsid w:val="00FE072A"/>
    <w:rsid w:val="00FE0740"/>
    <w:rsid w:val="00FE08E9"/>
    <w:rsid w:val="00FE0989"/>
    <w:rsid w:val="00FE0A5F"/>
    <w:rsid w:val="00FE0A8C"/>
    <w:rsid w:val="00FE0BA0"/>
    <w:rsid w:val="00FE0C32"/>
    <w:rsid w:val="00FE0C4D"/>
    <w:rsid w:val="00FE0D86"/>
    <w:rsid w:val="00FE0F88"/>
    <w:rsid w:val="00FE0F92"/>
    <w:rsid w:val="00FE0F9E"/>
    <w:rsid w:val="00FE1070"/>
    <w:rsid w:val="00FE10B4"/>
    <w:rsid w:val="00FE120B"/>
    <w:rsid w:val="00FE12DF"/>
    <w:rsid w:val="00FE13A2"/>
    <w:rsid w:val="00FE15FD"/>
    <w:rsid w:val="00FE16F9"/>
    <w:rsid w:val="00FE170B"/>
    <w:rsid w:val="00FE171D"/>
    <w:rsid w:val="00FE19BB"/>
    <w:rsid w:val="00FE1A7C"/>
    <w:rsid w:val="00FE1A9A"/>
    <w:rsid w:val="00FE1AC2"/>
    <w:rsid w:val="00FE1AE6"/>
    <w:rsid w:val="00FE1BE4"/>
    <w:rsid w:val="00FE1DB8"/>
    <w:rsid w:val="00FE1E18"/>
    <w:rsid w:val="00FE1E23"/>
    <w:rsid w:val="00FE2021"/>
    <w:rsid w:val="00FE2075"/>
    <w:rsid w:val="00FE214C"/>
    <w:rsid w:val="00FE216A"/>
    <w:rsid w:val="00FE2197"/>
    <w:rsid w:val="00FE2554"/>
    <w:rsid w:val="00FE2557"/>
    <w:rsid w:val="00FE2561"/>
    <w:rsid w:val="00FE25DD"/>
    <w:rsid w:val="00FE26A8"/>
    <w:rsid w:val="00FE277C"/>
    <w:rsid w:val="00FE2873"/>
    <w:rsid w:val="00FE29F6"/>
    <w:rsid w:val="00FE2AB8"/>
    <w:rsid w:val="00FE2B95"/>
    <w:rsid w:val="00FE2BED"/>
    <w:rsid w:val="00FE2C32"/>
    <w:rsid w:val="00FE2C77"/>
    <w:rsid w:val="00FE2ED4"/>
    <w:rsid w:val="00FE2F44"/>
    <w:rsid w:val="00FE2F5F"/>
    <w:rsid w:val="00FE3160"/>
    <w:rsid w:val="00FE31D9"/>
    <w:rsid w:val="00FE31E0"/>
    <w:rsid w:val="00FE32A4"/>
    <w:rsid w:val="00FE33A5"/>
    <w:rsid w:val="00FE3468"/>
    <w:rsid w:val="00FE35F8"/>
    <w:rsid w:val="00FE3632"/>
    <w:rsid w:val="00FE36A9"/>
    <w:rsid w:val="00FE370F"/>
    <w:rsid w:val="00FE3740"/>
    <w:rsid w:val="00FE37CA"/>
    <w:rsid w:val="00FE3835"/>
    <w:rsid w:val="00FE3904"/>
    <w:rsid w:val="00FE3934"/>
    <w:rsid w:val="00FE3B4A"/>
    <w:rsid w:val="00FE3B8C"/>
    <w:rsid w:val="00FE3BAD"/>
    <w:rsid w:val="00FE3EF6"/>
    <w:rsid w:val="00FE4183"/>
    <w:rsid w:val="00FE41A3"/>
    <w:rsid w:val="00FE4241"/>
    <w:rsid w:val="00FE424C"/>
    <w:rsid w:val="00FE436B"/>
    <w:rsid w:val="00FE4624"/>
    <w:rsid w:val="00FE4639"/>
    <w:rsid w:val="00FE463A"/>
    <w:rsid w:val="00FE4654"/>
    <w:rsid w:val="00FE4692"/>
    <w:rsid w:val="00FE470F"/>
    <w:rsid w:val="00FE4781"/>
    <w:rsid w:val="00FE4B04"/>
    <w:rsid w:val="00FE4B7D"/>
    <w:rsid w:val="00FE4BFF"/>
    <w:rsid w:val="00FE4C76"/>
    <w:rsid w:val="00FE4D6E"/>
    <w:rsid w:val="00FE4DB7"/>
    <w:rsid w:val="00FE4EAB"/>
    <w:rsid w:val="00FE4F6C"/>
    <w:rsid w:val="00FE5190"/>
    <w:rsid w:val="00FE5216"/>
    <w:rsid w:val="00FE5269"/>
    <w:rsid w:val="00FE5457"/>
    <w:rsid w:val="00FE54DE"/>
    <w:rsid w:val="00FE5695"/>
    <w:rsid w:val="00FE58C4"/>
    <w:rsid w:val="00FE59B1"/>
    <w:rsid w:val="00FE59C9"/>
    <w:rsid w:val="00FE5A86"/>
    <w:rsid w:val="00FE5C1D"/>
    <w:rsid w:val="00FE5CA4"/>
    <w:rsid w:val="00FE5D8F"/>
    <w:rsid w:val="00FE5D90"/>
    <w:rsid w:val="00FE5DF2"/>
    <w:rsid w:val="00FE5F62"/>
    <w:rsid w:val="00FE6048"/>
    <w:rsid w:val="00FE60F7"/>
    <w:rsid w:val="00FE6144"/>
    <w:rsid w:val="00FE6277"/>
    <w:rsid w:val="00FE6310"/>
    <w:rsid w:val="00FE6315"/>
    <w:rsid w:val="00FE638B"/>
    <w:rsid w:val="00FE63D9"/>
    <w:rsid w:val="00FE6471"/>
    <w:rsid w:val="00FE647D"/>
    <w:rsid w:val="00FE65EC"/>
    <w:rsid w:val="00FE6630"/>
    <w:rsid w:val="00FE6689"/>
    <w:rsid w:val="00FE6786"/>
    <w:rsid w:val="00FE6BA5"/>
    <w:rsid w:val="00FE6BB9"/>
    <w:rsid w:val="00FE6C3A"/>
    <w:rsid w:val="00FE6C84"/>
    <w:rsid w:val="00FE6CDE"/>
    <w:rsid w:val="00FE6D5F"/>
    <w:rsid w:val="00FE6D73"/>
    <w:rsid w:val="00FE707E"/>
    <w:rsid w:val="00FE715A"/>
    <w:rsid w:val="00FE71A4"/>
    <w:rsid w:val="00FE71CC"/>
    <w:rsid w:val="00FE729C"/>
    <w:rsid w:val="00FE7321"/>
    <w:rsid w:val="00FE7327"/>
    <w:rsid w:val="00FE73D4"/>
    <w:rsid w:val="00FE73F8"/>
    <w:rsid w:val="00FE750E"/>
    <w:rsid w:val="00FE7619"/>
    <w:rsid w:val="00FE762C"/>
    <w:rsid w:val="00FE7709"/>
    <w:rsid w:val="00FE77F7"/>
    <w:rsid w:val="00FE77F9"/>
    <w:rsid w:val="00FE788D"/>
    <w:rsid w:val="00FE78E2"/>
    <w:rsid w:val="00FE7906"/>
    <w:rsid w:val="00FE790E"/>
    <w:rsid w:val="00FE7B00"/>
    <w:rsid w:val="00FE7B20"/>
    <w:rsid w:val="00FE7B7E"/>
    <w:rsid w:val="00FE7D03"/>
    <w:rsid w:val="00FE7D8A"/>
    <w:rsid w:val="00FE7E45"/>
    <w:rsid w:val="00FE7E47"/>
    <w:rsid w:val="00FE7E97"/>
    <w:rsid w:val="00FE7F33"/>
    <w:rsid w:val="00FE7F7F"/>
    <w:rsid w:val="00FF00BE"/>
    <w:rsid w:val="00FF012F"/>
    <w:rsid w:val="00FF0143"/>
    <w:rsid w:val="00FF016C"/>
    <w:rsid w:val="00FF0327"/>
    <w:rsid w:val="00FF038B"/>
    <w:rsid w:val="00FF0428"/>
    <w:rsid w:val="00FF0456"/>
    <w:rsid w:val="00FF04B7"/>
    <w:rsid w:val="00FF0588"/>
    <w:rsid w:val="00FF05A1"/>
    <w:rsid w:val="00FF092F"/>
    <w:rsid w:val="00FF0967"/>
    <w:rsid w:val="00FF09A8"/>
    <w:rsid w:val="00FF0A24"/>
    <w:rsid w:val="00FF0AE8"/>
    <w:rsid w:val="00FF0CD7"/>
    <w:rsid w:val="00FF0CE4"/>
    <w:rsid w:val="00FF0FCD"/>
    <w:rsid w:val="00FF0FEE"/>
    <w:rsid w:val="00FF1133"/>
    <w:rsid w:val="00FF114E"/>
    <w:rsid w:val="00FF11B0"/>
    <w:rsid w:val="00FF12E1"/>
    <w:rsid w:val="00FF155B"/>
    <w:rsid w:val="00FF165A"/>
    <w:rsid w:val="00FF1664"/>
    <w:rsid w:val="00FF1681"/>
    <w:rsid w:val="00FF18DB"/>
    <w:rsid w:val="00FF1A58"/>
    <w:rsid w:val="00FF1AAB"/>
    <w:rsid w:val="00FF1B8D"/>
    <w:rsid w:val="00FF1C91"/>
    <w:rsid w:val="00FF1D65"/>
    <w:rsid w:val="00FF1E3D"/>
    <w:rsid w:val="00FF1E6E"/>
    <w:rsid w:val="00FF1E99"/>
    <w:rsid w:val="00FF1EB1"/>
    <w:rsid w:val="00FF1F73"/>
    <w:rsid w:val="00FF1FBE"/>
    <w:rsid w:val="00FF2018"/>
    <w:rsid w:val="00FF20F2"/>
    <w:rsid w:val="00FF210B"/>
    <w:rsid w:val="00FF2186"/>
    <w:rsid w:val="00FF225C"/>
    <w:rsid w:val="00FF24A2"/>
    <w:rsid w:val="00FF2614"/>
    <w:rsid w:val="00FF26A9"/>
    <w:rsid w:val="00FF27AE"/>
    <w:rsid w:val="00FF29E8"/>
    <w:rsid w:val="00FF2BFC"/>
    <w:rsid w:val="00FF2C72"/>
    <w:rsid w:val="00FF2D0C"/>
    <w:rsid w:val="00FF2DF0"/>
    <w:rsid w:val="00FF2FA2"/>
    <w:rsid w:val="00FF304C"/>
    <w:rsid w:val="00FF30E0"/>
    <w:rsid w:val="00FF3163"/>
    <w:rsid w:val="00FF3472"/>
    <w:rsid w:val="00FF34AC"/>
    <w:rsid w:val="00FF35E2"/>
    <w:rsid w:val="00FF3AC6"/>
    <w:rsid w:val="00FF3B1E"/>
    <w:rsid w:val="00FF3C51"/>
    <w:rsid w:val="00FF3D6F"/>
    <w:rsid w:val="00FF3DCE"/>
    <w:rsid w:val="00FF3F05"/>
    <w:rsid w:val="00FF425C"/>
    <w:rsid w:val="00FF43BF"/>
    <w:rsid w:val="00FF44F2"/>
    <w:rsid w:val="00FF47CC"/>
    <w:rsid w:val="00FF481F"/>
    <w:rsid w:val="00FF4988"/>
    <w:rsid w:val="00FF49C4"/>
    <w:rsid w:val="00FF4A08"/>
    <w:rsid w:val="00FF4A3C"/>
    <w:rsid w:val="00FF4A83"/>
    <w:rsid w:val="00FF4C39"/>
    <w:rsid w:val="00FF4C5F"/>
    <w:rsid w:val="00FF4CBD"/>
    <w:rsid w:val="00FF4D80"/>
    <w:rsid w:val="00FF4D8B"/>
    <w:rsid w:val="00FF502F"/>
    <w:rsid w:val="00FF50DC"/>
    <w:rsid w:val="00FF5168"/>
    <w:rsid w:val="00FF51D1"/>
    <w:rsid w:val="00FF5323"/>
    <w:rsid w:val="00FF53C0"/>
    <w:rsid w:val="00FF5412"/>
    <w:rsid w:val="00FF5425"/>
    <w:rsid w:val="00FF555C"/>
    <w:rsid w:val="00FF56AE"/>
    <w:rsid w:val="00FF56C8"/>
    <w:rsid w:val="00FF57BB"/>
    <w:rsid w:val="00FF5800"/>
    <w:rsid w:val="00FF591A"/>
    <w:rsid w:val="00FF5942"/>
    <w:rsid w:val="00FF59CF"/>
    <w:rsid w:val="00FF5A5C"/>
    <w:rsid w:val="00FF5C11"/>
    <w:rsid w:val="00FF5C55"/>
    <w:rsid w:val="00FF5CAE"/>
    <w:rsid w:val="00FF5D79"/>
    <w:rsid w:val="00FF5D98"/>
    <w:rsid w:val="00FF5DB7"/>
    <w:rsid w:val="00FF5E27"/>
    <w:rsid w:val="00FF5E90"/>
    <w:rsid w:val="00FF5EEA"/>
    <w:rsid w:val="00FF5FB6"/>
    <w:rsid w:val="00FF6011"/>
    <w:rsid w:val="00FF603D"/>
    <w:rsid w:val="00FF611B"/>
    <w:rsid w:val="00FF61C6"/>
    <w:rsid w:val="00FF636A"/>
    <w:rsid w:val="00FF63C4"/>
    <w:rsid w:val="00FF64C1"/>
    <w:rsid w:val="00FF64D2"/>
    <w:rsid w:val="00FF66A8"/>
    <w:rsid w:val="00FF66C8"/>
    <w:rsid w:val="00FF6894"/>
    <w:rsid w:val="00FF6911"/>
    <w:rsid w:val="00FF6B22"/>
    <w:rsid w:val="00FF6B60"/>
    <w:rsid w:val="00FF6B64"/>
    <w:rsid w:val="00FF6BF0"/>
    <w:rsid w:val="00FF6D68"/>
    <w:rsid w:val="00FF6D6B"/>
    <w:rsid w:val="00FF6E87"/>
    <w:rsid w:val="00FF6F4B"/>
    <w:rsid w:val="00FF6F67"/>
    <w:rsid w:val="00FF6F88"/>
    <w:rsid w:val="00FF705A"/>
    <w:rsid w:val="00FF7116"/>
    <w:rsid w:val="00FF71AC"/>
    <w:rsid w:val="00FF724D"/>
    <w:rsid w:val="00FF7548"/>
    <w:rsid w:val="00FF75D7"/>
    <w:rsid w:val="00FF7831"/>
    <w:rsid w:val="00FF7912"/>
    <w:rsid w:val="00FF7A18"/>
    <w:rsid w:val="00FF7A37"/>
    <w:rsid w:val="00FF7A79"/>
    <w:rsid w:val="00FF7AC2"/>
    <w:rsid w:val="00FF7B8F"/>
    <w:rsid w:val="00FF7CEC"/>
    <w:rsid w:val="00FF7D00"/>
    <w:rsid w:val="00FF7D91"/>
    <w:rsid w:val="00FF7DF6"/>
    <w:rsid w:val="00FF7E0B"/>
    <w:rsid w:val="01022FC3"/>
    <w:rsid w:val="01044E11"/>
    <w:rsid w:val="0109E05D"/>
    <w:rsid w:val="010F1185"/>
    <w:rsid w:val="010F8DAE"/>
    <w:rsid w:val="0118B18C"/>
    <w:rsid w:val="01192E91"/>
    <w:rsid w:val="0119B3E1"/>
    <w:rsid w:val="011CE148"/>
    <w:rsid w:val="011D78C4"/>
    <w:rsid w:val="011E7E51"/>
    <w:rsid w:val="011F98CA"/>
    <w:rsid w:val="01215F1C"/>
    <w:rsid w:val="012188B8"/>
    <w:rsid w:val="01224237"/>
    <w:rsid w:val="01230F8B"/>
    <w:rsid w:val="0123242F"/>
    <w:rsid w:val="01233568"/>
    <w:rsid w:val="0123D208"/>
    <w:rsid w:val="01248201"/>
    <w:rsid w:val="0125DF01"/>
    <w:rsid w:val="012B3FD8"/>
    <w:rsid w:val="012CC6CD"/>
    <w:rsid w:val="0130BADC"/>
    <w:rsid w:val="01335618"/>
    <w:rsid w:val="01338FA0"/>
    <w:rsid w:val="01358E95"/>
    <w:rsid w:val="0136C582"/>
    <w:rsid w:val="013BA68E"/>
    <w:rsid w:val="013C690B"/>
    <w:rsid w:val="013DDF70"/>
    <w:rsid w:val="01406758"/>
    <w:rsid w:val="0143EF59"/>
    <w:rsid w:val="014453AD"/>
    <w:rsid w:val="01445929"/>
    <w:rsid w:val="01447E17"/>
    <w:rsid w:val="01454F38"/>
    <w:rsid w:val="0146EA13"/>
    <w:rsid w:val="014A7E3A"/>
    <w:rsid w:val="014B0E25"/>
    <w:rsid w:val="0150EC68"/>
    <w:rsid w:val="01559B89"/>
    <w:rsid w:val="01584360"/>
    <w:rsid w:val="0159F163"/>
    <w:rsid w:val="015A1D42"/>
    <w:rsid w:val="015AEB55"/>
    <w:rsid w:val="015FF6EA"/>
    <w:rsid w:val="0165434B"/>
    <w:rsid w:val="0167AC02"/>
    <w:rsid w:val="0168D698"/>
    <w:rsid w:val="016D2595"/>
    <w:rsid w:val="016F0464"/>
    <w:rsid w:val="016F3F53"/>
    <w:rsid w:val="016F7950"/>
    <w:rsid w:val="01700A50"/>
    <w:rsid w:val="01717DC0"/>
    <w:rsid w:val="0171E3DD"/>
    <w:rsid w:val="01742F92"/>
    <w:rsid w:val="0174FB17"/>
    <w:rsid w:val="0176A2D8"/>
    <w:rsid w:val="0178B93B"/>
    <w:rsid w:val="017AAA69"/>
    <w:rsid w:val="017AFE88"/>
    <w:rsid w:val="017B495B"/>
    <w:rsid w:val="0180722B"/>
    <w:rsid w:val="0189824D"/>
    <w:rsid w:val="018AF86C"/>
    <w:rsid w:val="0193FC9F"/>
    <w:rsid w:val="019A5F4B"/>
    <w:rsid w:val="019A605A"/>
    <w:rsid w:val="019AD480"/>
    <w:rsid w:val="019B5A86"/>
    <w:rsid w:val="019F4CF1"/>
    <w:rsid w:val="01A4171E"/>
    <w:rsid w:val="01A7886E"/>
    <w:rsid w:val="01A881A3"/>
    <w:rsid w:val="01A918EB"/>
    <w:rsid w:val="01A9B6EE"/>
    <w:rsid w:val="01AAC449"/>
    <w:rsid w:val="01ADAAA1"/>
    <w:rsid w:val="01AF64FB"/>
    <w:rsid w:val="01AFC363"/>
    <w:rsid w:val="01AFF33D"/>
    <w:rsid w:val="01B501E5"/>
    <w:rsid w:val="01C8F887"/>
    <w:rsid w:val="01CB2875"/>
    <w:rsid w:val="01CC9D48"/>
    <w:rsid w:val="01D508C9"/>
    <w:rsid w:val="01D6CC98"/>
    <w:rsid w:val="01D6F783"/>
    <w:rsid w:val="01D76E22"/>
    <w:rsid w:val="01D92176"/>
    <w:rsid w:val="01D9D785"/>
    <w:rsid w:val="01DD888C"/>
    <w:rsid w:val="01E1F13C"/>
    <w:rsid w:val="01E3118B"/>
    <w:rsid w:val="01E31813"/>
    <w:rsid w:val="01E97577"/>
    <w:rsid w:val="01EE41A8"/>
    <w:rsid w:val="01EF2BB5"/>
    <w:rsid w:val="01F0B407"/>
    <w:rsid w:val="01F181A2"/>
    <w:rsid w:val="01F7697E"/>
    <w:rsid w:val="01F98057"/>
    <w:rsid w:val="01FAA711"/>
    <w:rsid w:val="01FE1F15"/>
    <w:rsid w:val="02010F7E"/>
    <w:rsid w:val="0203B44B"/>
    <w:rsid w:val="02045BD3"/>
    <w:rsid w:val="02049273"/>
    <w:rsid w:val="0204BD52"/>
    <w:rsid w:val="0205F38D"/>
    <w:rsid w:val="02063B6E"/>
    <w:rsid w:val="02070300"/>
    <w:rsid w:val="02071FCF"/>
    <w:rsid w:val="0207DA08"/>
    <w:rsid w:val="020CC7A6"/>
    <w:rsid w:val="020FD54F"/>
    <w:rsid w:val="02104312"/>
    <w:rsid w:val="0213E98C"/>
    <w:rsid w:val="0214A545"/>
    <w:rsid w:val="0216FF79"/>
    <w:rsid w:val="0218C8AF"/>
    <w:rsid w:val="02196671"/>
    <w:rsid w:val="02205822"/>
    <w:rsid w:val="0221C20D"/>
    <w:rsid w:val="0222B135"/>
    <w:rsid w:val="02241DE7"/>
    <w:rsid w:val="02245DB5"/>
    <w:rsid w:val="02255BA8"/>
    <w:rsid w:val="0226173E"/>
    <w:rsid w:val="0227C737"/>
    <w:rsid w:val="0227DBB9"/>
    <w:rsid w:val="02293D01"/>
    <w:rsid w:val="0229DBBC"/>
    <w:rsid w:val="02332403"/>
    <w:rsid w:val="02334CA3"/>
    <w:rsid w:val="02348CB8"/>
    <w:rsid w:val="023534AB"/>
    <w:rsid w:val="023F89BC"/>
    <w:rsid w:val="024033BD"/>
    <w:rsid w:val="024186FF"/>
    <w:rsid w:val="0242935C"/>
    <w:rsid w:val="024DB274"/>
    <w:rsid w:val="025D232B"/>
    <w:rsid w:val="025F9741"/>
    <w:rsid w:val="026002B6"/>
    <w:rsid w:val="02620407"/>
    <w:rsid w:val="0264DCD8"/>
    <w:rsid w:val="02660DD5"/>
    <w:rsid w:val="02663583"/>
    <w:rsid w:val="0266D601"/>
    <w:rsid w:val="02674676"/>
    <w:rsid w:val="02680530"/>
    <w:rsid w:val="02693597"/>
    <w:rsid w:val="026A73AB"/>
    <w:rsid w:val="02788B13"/>
    <w:rsid w:val="02794C21"/>
    <w:rsid w:val="027A4895"/>
    <w:rsid w:val="027DA23F"/>
    <w:rsid w:val="028187D8"/>
    <w:rsid w:val="0284D296"/>
    <w:rsid w:val="02868F8B"/>
    <w:rsid w:val="02928384"/>
    <w:rsid w:val="02929B68"/>
    <w:rsid w:val="029395E5"/>
    <w:rsid w:val="02965257"/>
    <w:rsid w:val="0296899A"/>
    <w:rsid w:val="029A2113"/>
    <w:rsid w:val="029B32E2"/>
    <w:rsid w:val="029C4711"/>
    <w:rsid w:val="029CD2B4"/>
    <w:rsid w:val="029E67B7"/>
    <w:rsid w:val="029EBE3E"/>
    <w:rsid w:val="029EDD4A"/>
    <w:rsid w:val="02A32731"/>
    <w:rsid w:val="02A336E4"/>
    <w:rsid w:val="02A72C43"/>
    <w:rsid w:val="02A779BF"/>
    <w:rsid w:val="02AB8AF7"/>
    <w:rsid w:val="02AD49AB"/>
    <w:rsid w:val="02AE010F"/>
    <w:rsid w:val="02AE13AC"/>
    <w:rsid w:val="02AE45B7"/>
    <w:rsid w:val="02AF12AB"/>
    <w:rsid w:val="02B05FBF"/>
    <w:rsid w:val="02B0FF73"/>
    <w:rsid w:val="02B55A5B"/>
    <w:rsid w:val="02B582AB"/>
    <w:rsid w:val="02BA9503"/>
    <w:rsid w:val="02BAB5AD"/>
    <w:rsid w:val="02BCD052"/>
    <w:rsid w:val="02BD3547"/>
    <w:rsid w:val="02BE6DE5"/>
    <w:rsid w:val="02C17F23"/>
    <w:rsid w:val="02C2A5E7"/>
    <w:rsid w:val="02C3DD4E"/>
    <w:rsid w:val="02C4FBFD"/>
    <w:rsid w:val="02CA5FD8"/>
    <w:rsid w:val="02CD3768"/>
    <w:rsid w:val="02CFB575"/>
    <w:rsid w:val="02D092C6"/>
    <w:rsid w:val="02D3F5FE"/>
    <w:rsid w:val="02D488A7"/>
    <w:rsid w:val="02D4BFBD"/>
    <w:rsid w:val="02D4E600"/>
    <w:rsid w:val="02D6CBF2"/>
    <w:rsid w:val="02D8D0B3"/>
    <w:rsid w:val="02D8F8CE"/>
    <w:rsid w:val="02DC3A90"/>
    <w:rsid w:val="02DC4AA6"/>
    <w:rsid w:val="02DE25E4"/>
    <w:rsid w:val="02E0406B"/>
    <w:rsid w:val="02E139AF"/>
    <w:rsid w:val="02E66B3B"/>
    <w:rsid w:val="02E8DAC9"/>
    <w:rsid w:val="02E9C73E"/>
    <w:rsid w:val="02EAE3FB"/>
    <w:rsid w:val="02EFB019"/>
    <w:rsid w:val="02F12254"/>
    <w:rsid w:val="02F3093D"/>
    <w:rsid w:val="02F85512"/>
    <w:rsid w:val="02F95BF3"/>
    <w:rsid w:val="02FA1574"/>
    <w:rsid w:val="02FC12F1"/>
    <w:rsid w:val="02FDA378"/>
    <w:rsid w:val="02FDB227"/>
    <w:rsid w:val="02FDC9DB"/>
    <w:rsid w:val="02FF8700"/>
    <w:rsid w:val="03010BC9"/>
    <w:rsid w:val="03020F9E"/>
    <w:rsid w:val="03026BC1"/>
    <w:rsid w:val="0305FB7D"/>
    <w:rsid w:val="0307D225"/>
    <w:rsid w:val="0308DB76"/>
    <w:rsid w:val="030A700C"/>
    <w:rsid w:val="030E1D7B"/>
    <w:rsid w:val="030E67C0"/>
    <w:rsid w:val="030F95FD"/>
    <w:rsid w:val="03108FAD"/>
    <w:rsid w:val="0312AB4A"/>
    <w:rsid w:val="0316817E"/>
    <w:rsid w:val="0317F176"/>
    <w:rsid w:val="031B8D7C"/>
    <w:rsid w:val="031C6D56"/>
    <w:rsid w:val="031E6E80"/>
    <w:rsid w:val="031FE933"/>
    <w:rsid w:val="0322ED9E"/>
    <w:rsid w:val="0328CC93"/>
    <w:rsid w:val="032A1144"/>
    <w:rsid w:val="032BEBFB"/>
    <w:rsid w:val="032D5603"/>
    <w:rsid w:val="032DCBEE"/>
    <w:rsid w:val="032E9633"/>
    <w:rsid w:val="03330BCB"/>
    <w:rsid w:val="0335C123"/>
    <w:rsid w:val="0336FB04"/>
    <w:rsid w:val="03381FD9"/>
    <w:rsid w:val="033B807D"/>
    <w:rsid w:val="033E4E03"/>
    <w:rsid w:val="034179CD"/>
    <w:rsid w:val="0343628B"/>
    <w:rsid w:val="0344F956"/>
    <w:rsid w:val="034BCB3A"/>
    <w:rsid w:val="0350AFDE"/>
    <w:rsid w:val="03593AF6"/>
    <w:rsid w:val="035C4D37"/>
    <w:rsid w:val="035D9863"/>
    <w:rsid w:val="03616398"/>
    <w:rsid w:val="0362B678"/>
    <w:rsid w:val="0362C391"/>
    <w:rsid w:val="03655ADA"/>
    <w:rsid w:val="03681161"/>
    <w:rsid w:val="03692FCF"/>
    <w:rsid w:val="036E2CD6"/>
    <w:rsid w:val="0371A4B0"/>
    <w:rsid w:val="03763CF7"/>
    <w:rsid w:val="0378B48F"/>
    <w:rsid w:val="0380E077"/>
    <w:rsid w:val="03822BA6"/>
    <w:rsid w:val="0385CAE9"/>
    <w:rsid w:val="038D099C"/>
    <w:rsid w:val="038DAECB"/>
    <w:rsid w:val="038FEFFA"/>
    <w:rsid w:val="0390EAD0"/>
    <w:rsid w:val="039309DC"/>
    <w:rsid w:val="03936E44"/>
    <w:rsid w:val="0394279B"/>
    <w:rsid w:val="03972963"/>
    <w:rsid w:val="039738BF"/>
    <w:rsid w:val="0397FB1B"/>
    <w:rsid w:val="0399EA7D"/>
    <w:rsid w:val="039DAA2E"/>
    <w:rsid w:val="03A1350A"/>
    <w:rsid w:val="03A22E39"/>
    <w:rsid w:val="03A33513"/>
    <w:rsid w:val="03A43519"/>
    <w:rsid w:val="03A90B2A"/>
    <w:rsid w:val="03A930B1"/>
    <w:rsid w:val="03AC3064"/>
    <w:rsid w:val="03B0370A"/>
    <w:rsid w:val="03B5CD2D"/>
    <w:rsid w:val="03B7962B"/>
    <w:rsid w:val="03BB659F"/>
    <w:rsid w:val="03BD54C7"/>
    <w:rsid w:val="03C023BD"/>
    <w:rsid w:val="03C06F86"/>
    <w:rsid w:val="03C2E1E3"/>
    <w:rsid w:val="03C36710"/>
    <w:rsid w:val="03C5080E"/>
    <w:rsid w:val="03C71A76"/>
    <w:rsid w:val="03C7CA70"/>
    <w:rsid w:val="03C8A392"/>
    <w:rsid w:val="03CFCF1B"/>
    <w:rsid w:val="03D26813"/>
    <w:rsid w:val="03D61901"/>
    <w:rsid w:val="03D73682"/>
    <w:rsid w:val="03D96CFF"/>
    <w:rsid w:val="03E02FD5"/>
    <w:rsid w:val="03E24B4D"/>
    <w:rsid w:val="03E479E3"/>
    <w:rsid w:val="03E50B9F"/>
    <w:rsid w:val="03E6725A"/>
    <w:rsid w:val="03E706FF"/>
    <w:rsid w:val="03E962A5"/>
    <w:rsid w:val="03E9968C"/>
    <w:rsid w:val="03ECBEE4"/>
    <w:rsid w:val="03ED241E"/>
    <w:rsid w:val="03EDAEA6"/>
    <w:rsid w:val="03F17FB4"/>
    <w:rsid w:val="03F19F60"/>
    <w:rsid w:val="03F30AE4"/>
    <w:rsid w:val="03F4065C"/>
    <w:rsid w:val="03F549FB"/>
    <w:rsid w:val="03F5F28C"/>
    <w:rsid w:val="03FB5236"/>
    <w:rsid w:val="03FD0614"/>
    <w:rsid w:val="03FE070F"/>
    <w:rsid w:val="040010CC"/>
    <w:rsid w:val="040053BC"/>
    <w:rsid w:val="0404332E"/>
    <w:rsid w:val="04067624"/>
    <w:rsid w:val="04069B6F"/>
    <w:rsid w:val="04081743"/>
    <w:rsid w:val="0409F000"/>
    <w:rsid w:val="040ADE4F"/>
    <w:rsid w:val="040D64C1"/>
    <w:rsid w:val="040EA6EA"/>
    <w:rsid w:val="0410BA15"/>
    <w:rsid w:val="0410C6F5"/>
    <w:rsid w:val="0412B16C"/>
    <w:rsid w:val="041388F6"/>
    <w:rsid w:val="04142A00"/>
    <w:rsid w:val="041E67E7"/>
    <w:rsid w:val="04203F8F"/>
    <w:rsid w:val="0420E69E"/>
    <w:rsid w:val="04225470"/>
    <w:rsid w:val="0424EF80"/>
    <w:rsid w:val="04259931"/>
    <w:rsid w:val="04295DA7"/>
    <w:rsid w:val="0429B772"/>
    <w:rsid w:val="042A34B3"/>
    <w:rsid w:val="042CCDAB"/>
    <w:rsid w:val="04304478"/>
    <w:rsid w:val="043279C1"/>
    <w:rsid w:val="0432F693"/>
    <w:rsid w:val="0433186B"/>
    <w:rsid w:val="0434AD13"/>
    <w:rsid w:val="04359AC7"/>
    <w:rsid w:val="04374CB2"/>
    <w:rsid w:val="0437D15C"/>
    <w:rsid w:val="0439DC43"/>
    <w:rsid w:val="043BEBE5"/>
    <w:rsid w:val="043C25B7"/>
    <w:rsid w:val="043C9F24"/>
    <w:rsid w:val="043CACAC"/>
    <w:rsid w:val="0441B63D"/>
    <w:rsid w:val="0449E14A"/>
    <w:rsid w:val="045445DE"/>
    <w:rsid w:val="04578211"/>
    <w:rsid w:val="0457ECBE"/>
    <w:rsid w:val="0458B4B4"/>
    <w:rsid w:val="04630E2C"/>
    <w:rsid w:val="046594AA"/>
    <w:rsid w:val="0467D6C6"/>
    <w:rsid w:val="046C9096"/>
    <w:rsid w:val="046E4408"/>
    <w:rsid w:val="046ECDCB"/>
    <w:rsid w:val="04702F35"/>
    <w:rsid w:val="0476F6DB"/>
    <w:rsid w:val="047C651F"/>
    <w:rsid w:val="047C991D"/>
    <w:rsid w:val="047D3531"/>
    <w:rsid w:val="047EAF12"/>
    <w:rsid w:val="047EEFA9"/>
    <w:rsid w:val="04878A06"/>
    <w:rsid w:val="048B4F71"/>
    <w:rsid w:val="048BFFC2"/>
    <w:rsid w:val="048D6FB3"/>
    <w:rsid w:val="0496422C"/>
    <w:rsid w:val="0499C3B7"/>
    <w:rsid w:val="049AB8FE"/>
    <w:rsid w:val="049D257A"/>
    <w:rsid w:val="049E8CF0"/>
    <w:rsid w:val="049F061B"/>
    <w:rsid w:val="04A4F4F5"/>
    <w:rsid w:val="04A7388E"/>
    <w:rsid w:val="04A87408"/>
    <w:rsid w:val="04ACEB55"/>
    <w:rsid w:val="04AEEEC0"/>
    <w:rsid w:val="04AF3EC8"/>
    <w:rsid w:val="04B627E9"/>
    <w:rsid w:val="04B67971"/>
    <w:rsid w:val="04B7443C"/>
    <w:rsid w:val="04B77AEC"/>
    <w:rsid w:val="04BE015F"/>
    <w:rsid w:val="04BE3ECA"/>
    <w:rsid w:val="04BFE1A0"/>
    <w:rsid w:val="04C1AA49"/>
    <w:rsid w:val="04C28896"/>
    <w:rsid w:val="04C2DF11"/>
    <w:rsid w:val="04C36970"/>
    <w:rsid w:val="04C41C44"/>
    <w:rsid w:val="04C578BF"/>
    <w:rsid w:val="04CBD670"/>
    <w:rsid w:val="04CDD881"/>
    <w:rsid w:val="04CEE2F3"/>
    <w:rsid w:val="04D4088F"/>
    <w:rsid w:val="04D471C9"/>
    <w:rsid w:val="04D70FDE"/>
    <w:rsid w:val="04D8B4FA"/>
    <w:rsid w:val="04D8B823"/>
    <w:rsid w:val="04DFFBE1"/>
    <w:rsid w:val="04E03033"/>
    <w:rsid w:val="04E2A1C4"/>
    <w:rsid w:val="04E2F91F"/>
    <w:rsid w:val="04E60B41"/>
    <w:rsid w:val="04E7F83B"/>
    <w:rsid w:val="04EA986C"/>
    <w:rsid w:val="04ECFAE2"/>
    <w:rsid w:val="04EEE7FF"/>
    <w:rsid w:val="04EFE9AD"/>
    <w:rsid w:val="04F0C6AC"/>
    <w:rsid w:val="04F0FC78"/>
    <w:rsid w:val="04F556E6"/>
    <w:rsid w:val="04F6D486"/>
    <w:rsid w:val="04FEC361"/>
    <w:rsid w:val="0500B49F"/>
    <w:rsid w:val="0506FAA8"/>
    <w:rsid w:val="0509C958"/>
    <w:rsid w:val="050ECD19"/>
    <w:rsid w:val="05104D75"/>
    <w:rsid w:val="05163829"/>
    <w:rsid w:val="0517CB50"/>
    <w:rsid w:val="051CB5C8"/>
    <w:rsid w:val="051F0FA9"/>
    <w:rsid w:val="052140E0"/>
    <w:rsid w:val="05284A84"/>
    <w:rsid w:val="05332240"/>
    <w:rsid w:val="05332DC4"/>
    <w:rsid w:val="05348D80"/>
    <w:rsid w:val="05370D32"/>
    <w:rsid w:val="05377FE2"/>
    <w:rsid w:val="053C07D6"/>
    <w:rsid w:val="053E704E"/>
    <w:rsid w:val="053EDCC5"/>
    <w:rsid w:val="053F089C"/>
    <w:rsid w:val="054207A9"/>
    <w:rsid w:val="05472FBE"/>
    <w:rsid w:val="05487F60"/>
    <w:rsid w:val="0549763A"/>
    <w:rsid w:val="054BAB5B"/>
    <w:rsid w:val="054E4539"/>
    <w:rsid w:val="054E7465"/>
    <w:rsid w:val="0556A68F"/>
    <w:rsid w:val="0556DE82"/>
    <w:rsid w:val="05572F93"/>
    <w:rsid w:val="0557D2A8"/>
    <w:rsid w:val="055DE7FB"/>
    <w:rsid w:val="05665E73"/>
    <w:rsid w:val="0566EB75"/>
    <w:rsid w:val="0568C3EB"/>
    <w:rsid w:val="056C3F1A"/>
    <w:rsid w:val="056C97A7"/>
    <w:rsid w:val="056DDD1F"/>
    <w:rsid w:val="056E2EE3"/>
    <w:rsid w:val="056F8C84"/>
    <w:rsid w:val="05714E69"/>
    <w:rsid w:val="0572C1BA"/>
    <w:rsid w:val="0572FF6A"/>
    <w:rsid w:val="0576500D"/>
    <w:rsid w:val="057850EA"/>
    <w:rsid w:val="057C3088"/>
    <w:rsid w:val="057CDE8C"/>
    <w:rsid w:val="05835154"/>
    <w:rsid w:val="0583673D"/>
    <w:rsid w:val="0585860B"/>
    <w:rsid w:val="0585C624"/>
    <w:rsid w:val="05879EB6"/>
    <w:rsid w:val="0588021B"/>
    <w:rsid w:val="05881C28"/>
    <w:rsid w:val="0588D13A"/>
    <w:rsid w:val="0589C345"/>
    <w:rsid w:val="058A6A68"/>
    <w:rsid w:val="058A6CE9"/>
    <w:rsid w:val="058B9284"/>
    <w:rsid w:val="058D2216"/>
    <w:rsid w:val="05907B0B"/>
    <w:rsid w:val="059449F4"/>
    <w:rsid w:val="05949617"/>
    <w:rsid w:val="0594F6DE"/>
    <w:rsid w:val="0597F1D2"/>
    <w:rsid w:val="059989A8"/>
    <w:rsid w:val="059F80CC"/>
    <w:rsid w:val="05A0BD92"/>
    <w:rsid w:val="05A143E3"/>
    <w:rsid w:val="05A31B5F"/>
    <w:rsid w:val="05AA18FF"/>
    <w:rsid w:val="05ADC678"/>
    <w:rsid w:val="05AE6946"/>
    <w:rsid w:val="05B10832"/>
    <w:rsid w:val="05B196C7"/>
    <w:rsid w:val="05B234AE"/>
    <w:rsid w:val="05B2C39E"/>
    <w:rsid w:val="05B49697"/>
    <w:rsid w:val="05B58E0B"/>
    <w:rsid w:val="05B92DD4"/>
    <w:rsid w:val="05BF70F0"/>
    <w:rsid w:val="05C14320"/>
    <w:rsid w:val="05CA11FD"/>
    <w:rsid w:val="05D24663"/>
    <w:rsid w:val="05D2C34D"/>
    <w:rsid w:val="05D400A0"/>
    <w:rsid w:val="05D554D1"/>
    <w:rsid w:val="05D586C9"/>
    <w:rsid w:val="05D834B0"/>
    <w:rsid w:val="05D8E787"/>
    <w:rsid w:val="05D8F076"/>
    <w:rsid w:val="05DD4BEB"/>
    <w:rsid w:val="05DDC747"/>
    <w:rsid w:val="05DE5B6A"/>
    <w:rsid w:val="05E5E913"/>
    <w:rsid w:val="05E8324E"/>
    <w:rsid w:val="05ED2FEB"/>
    <w:rsid w:val="05F0D5E9"/>
    <w:rsid w:val="05F0FBAC"/>
    <w:rsid w:val="05F1059A"/>
    <w:rsid w:val="05F4A52A"/>
    <w:rsid w:val="05F52546"/>
    <w:rsid w:val="05F82FA1"/>
    <w:rsid w:val="05F8BB1F"/>
    <w:rsid w:val="05FB255B"/>
    <w:rsid w:val="05FCC2D5"/>
    <w:rsid w:val="05FD304F"/>
    <w:rsid w:val="0609F9F2"/>
    <w:rsid w:val="060A1B5A"/>
    <w:rsid w:val="060CCDDD"/>
    <w:rsid w:val="060D4E72"/>
    <w:rsid w:val="060EC6B3"/>
    <w:rsid w:val="0611BAB6"/>
    <w:rsid w:val="061611E7"/>
    <w:rsid w:val="06164BC7"/>
    <w:rsid w:val="061E8707"/>
    <w:rsid w:val="0620BEF2"/>
    <w:rsid w:val="062256F2"/>
    <w:rsid w:val="06258FA3"/>
    <w:rsid w:val="06261C22"/>
    <w:rsid w:val="06277447"/>
    <w:rsid w:val="062A3681"/>
    <w:rsid w:val="062D7323"/>
    <w:rsid w:val="062DC7CA"/>
    <w:rsid w:val="0634C2F7"/>
    <w:rsid w:val="06371E52"/>
    <w:rsid w:val="063932F5"/>
    <w:rsid w:val="06396426"/>
    <w:rsid w:val="06417D9D"/>
    <w:rsid w:val="064449BD"/>
    <w:rsid w:val="064474AD"/>
    <w:rsid w:val="0644FA4B"/>
    <w:rsid w:val="0646CCA4"/>
    <w:rsid w:val="0646CCF8"/>
    <w:rsid w:val="06477A3F"/>
    <w:rsid w:val="0647F970"/>
    <w:rsid w:val="0649B67D"/>
    <w:rsid w:val="064A454A"/>
    <w:rsid w:val="064BACEA"/>
    <w:rsid w:val="064E56FC"/>
    <w:rsid w:val="064E88F9"/>
    <w:rsid w:val="06523C20"/>
    <w:rsid w:val="0657760E"/>
    <w:rsid w:val="0657CBD6"/>
    <w:rsid w:val="065874EB"/>
    <w:rsid w:val="065A6008"/>
    <w:rsid w:val="065ADF00"/>
    <w:rsid w:val="065AE175"/>
    <w:rsid w:val="0661E042"/>
    <w:rsid w:val="0662F998"/>
    <w:rsid w:val="0663263E"/>
    <w:rsid w:val="06638CBD"/>
    <w:rsid w:val="06639B0D"/>
    <w:rsid w:val="0664A5DF"/>
    <w:rsid w:val="066523EA"/>
    <w:rsid w:val="06668308"/>
    <w:rsid w:val="066CF785"/>
    <w:rsid w:val="066DB10F"/>
    <w:rsid w:val="066E12D8"/>
    <w:rsid w:val="067308D1"/>
    <w:rsid w:val="0673794D"/>
    <w:rsid w:val="0673A9BB"/>
    <w:rsid w:val="0675EDC9"/>
    <w:rsid w:val="067CD6D3"/>
    <w:rsid w:val="067D5552"/>
    <w:rsid w:val="067DB9E8"/>
    <w:rsid w:val="067EE3C0"/>
    <w:rsid w:val="068097DA"/>
    <w:rsid w:val="06888D80"/>
    <w:rsid w:val="068A5D8D"/>
    <w:rsid w:val="069197A9"/>
    <w:rsid w:val="0695A778"/>
    <w:rsid w:val="0698ED55"/>
    <w:rsid w:val="06A4BE05"/>
    <w:rsid w:val="06A5FB21"/>
    <w:rsid w:val="06A600E3"/>
    <w:rsid w:val="06A715BC"/>
    <w:rsid w:val="06A8B231"/>
    <w:rsid w:val="06AC5121"/>
    <w:rsid w:val="06ACCB54"/>
    <w:rsid w:val="06AE29C0"/>
    <w:rsid w:val="06B209DD"/>
    <w:rsid w:val="06B39E30"/>
    <w:rsid w:val="06B40547"/>
    <w:rsid w:val="06B529C2"/>
    <w:rsid w:val="06B5798B"/>
    <w:rsid w:val="06B6D28D"/>
    <w:rsid w:val="06B7C069"/>
    <w:rsid w:val="06B99585"/>
    <w:rsid w:val="06B99A6E"/>
    <w:rsid w:val="06BA2766"/>
    <w:rsid w:val="06BB2EB9"/>
    <w:rsid w:val="06BC46F8"/>
    <w:rsid w:val="06C0C872"/>
    <w:rsid w:val="06C258B1"/>
    <w:rsid w:val="06C2EAF6"/>
    <w:rsid w:val="06C5A534"/>
    <w:rsid w:val="06C5C8B4"/>
    <w:rsid w:val="06C930AD"/>
    <w:rsid w:val="06C9BF51"/>
    <w:rsid w:val="06CC2A71"/>
    <w:rsid w:val="06CD19D1"/>
    <w:rsid w:val="06CD9A7D"/>
    <w:rsid w:val="06D4D4CB"/>
    <w:rsid w:val="06D70E40"/>
    <w:rsid w:val="06DA1132"/>
    <w:rsid w:val="06DD4220"/>
    <w:rsid w:val="06DD430E"/>
    <w:rsid w:val="06DD9749"/>
    <w:rsid w:val="06DEB25D"/>
    <w:rsid w:val="06EB5DB6"/>
    <w:rsid w:val="06F4F21C"/>
    <w:rsid w:val="06F5E0C1"/>
    <w:rsid w:val="06F6C90D"/>
    <w:rsid w:val="06FE27B5"/>
    <w:rsid w:val="07003CB2"/>
    <w:rsid w:val="0700791D"/>
    <w:rsid w:val="0702B18B"/>
    <w:rsid w:val="070987C0"/>
    <w:rsid w:val="071B135B"/>
    <w:rsid w:val="0720A096"/>
    <w:rsid w:val="0724621A"/>
    <w:rsid w:val="072462A2"/>
    <w:rsid w:val="0727E55E"/>
    <w:rsid w:val="072824C1"/>
    <w:rsid w:val="0728DF8C"/>
    <w:rsid w:val="0729B35C"/>
    <w:rsid w:val="0729DCF7"/>
    <w:rsid w:val="072AB433"/>
    <w:rsid w:val="072B3EF8"/>
    <w:rsid w:val="0736C955"/>
    <w:rsid w:val="073CECBE"/>
    <w:rsid w:val="0740EC30"/>
    <w:rsid w:val="0749F8FC"/>
    <w:rsid w:val="074CC6A3"/>
    <w:rsid w:val="074CF190"/>
    <w:rsid w:val="074E9342"/>
    <w:rsid w:val="074FEA76"/>
    <w:rsid w:val="0750898C"/>
    <w:rsid w:val="075997CC"/>
    <w:rsid w:val="075CC317"/>
    <w:rsid w:val="0763D215"/>
    <w:rsid w:val="07648E78"/>
    <w:rsid w:val="076A1A06"/>
    <w:rsid w:val="076D868E"/>
    <w:rsid w:val="0772012E"/>
    <w:rsid w:val="0772D250"/>
    <w:rsid w:val="07770492"/>
    <w:rsid w:val="077958A5"/>
    <w:rsid w:val="077B3C05"/>
    <w:rsid w:val="077CFCD4"/>
    <w:rsid w:val="077F11CA"/>
    <w:rsid w:val="07823B6F"/>
    <w:rsid w:val="07840DCA"/>
    <w:rsid w:val="0784D061"/>
    <w:rsid w:val="0786F7D2"/>
    <w:rsid w:val="078A26CA"/>
    <w:rsid w:val="078DE9A5"/>
    <w:rsid w:val="078EB03B"/>
    <w:rsid w:val="07904FCA"/>
    <w:rsid w:val="0791489C"/>
    <w:rsid w:val="0795BF24"/>
    <w:rsid w:val="0797BF8C"/>
    <w:rsid w:val="079961CC"/>
    <w:rsid w:val="079C309F"/>
    <w:rsid w:val="07A0234E"/>
    <w:rsid w:val="07A1AF07"/>
    <w:rsid w:val="07A3B633"/>
    <w:rsid w:val="07A623EF"/>
    <w:rsid w:val="07A7BB0F"/>
    <w:rsid w:val="07AAA645"/>
    <w:rsid w:val="07ABD9B3"/>
    <w:rsid w:val="07AD0C6C"/>
    <w:rsid w:val="07ADB5C1"/>
    <w:rsid w:val="07B14B6F"/>
    <w:rsid w:val="07B15E77"/>
    <w:rsid w:val="07B6282D"/>
    <w:rsid w:val="07B8591F"/>
    <w:rsid w:val="07B8916E"/>
    <w:rsid w:val="07BAB623"/>
    <w:rsid w:val="07BBC5AC"/>
    <w:rsid w:val="07C1E41F"/>
    <w:rsid w:val="07C24E63"/>
    <w:rsid w:val="07C512C3"/>
    <w:rsid w:val="07C68D94"/>
    <w:rsid w:val="07C98C44"/>
    <w:rsid w:val="07CA4AEF"/>
    <w:rsid w:val="07CDDF5C"/>
    <w:rsid w:val="07CF1130"/>
    <w:rsid w:val="07CF217D"/>
    <w:rsid w:val="07D08166"/>
    <w:rsid w:val="07D85445"/>
    <w:rsid w:val="07DBB585"/>
    <w:rsid w:val="07E47A1E"/>
    <w:rsid w:val="07E62099"/>
    <w:rsid w:val="07E81A03"/>
    <w:rsid w:val="07E9AA9C"/>
    <w:rsid w:val="07EACBB0"/>
    <w:rsid w:val="07EC4FCF"/>
    <w:rsid w:val="07ECEC11"/>
    <w:rsid w:val="07F34F8C"/>
    <w:rsid w:val="07F7C86B"/>
    <w:rsid w:val="07F80CA1"/>
    <w:rsid w:val="07F87591"/>
    <w:rsid w:val="07F8AB2A"/>
    <w:rsid w:val="07FBC5B6"/>
    <w:rsid w:val="07FEB5D7"/>
    <w:rsid w:val="08059CA3"/>
    <w:rsid w:val="080C03BB"/>
    <w:rsid w:val="080D1E8E"/>
    <w:rsid w:val="08179CA3"/>
    <w:rsid w:val="081B7139"/>
    <w:rsid w:val="081BF02C"/>
    <w:rsid w:val="081D3284"/>
    <w:rsid w:val="08233538"/>
    <w:rsid w:val="08236670"/>
    <w:rsid w:val="082953DE"/>
    <w:rsid w:val="082A9E24"/>
    <w:rsid w:val="082C0D02"/>
    <w:rsid w:val="082CD0EB"/>
    <w:rsid w:val="082D6CAA"/>
    <w:rsid w:val="082DE335"/>
    <w:rsid w:val="08327FE6"/>
    <w:rsid w:val="08336EFC"/>
    <w:rsid w:val="083A5F48"/>
    <w:rsid w:val="083C976F"/>
    <w:rsid w:val="083CC905"/>
    <w:rsid w:val="083CDCD2"/>
    <w:rsid w:val="083D35C1"/>
    <w:rsid w:val="0841F3D8"/>
    <w:rsid w:val="0848A745"/>
    <w:rsid w:val="084B2DA8"/>
    <w:rsid w:val="0852EF49"/>
    <w:rsid w:val="0853A239"/>
    <w:rsid w:val="085AF2EB"/>
    <w:rsid w:val="085AF495"/>
    <w:rsid w:val="0860C29E"/>
    <w:rsid w:val="08615F2A"/>
    <w:rsid w:val="08618913"/>
    <w:rsid w:val="0864DCB4"/>
    <w:rsid w:val="0869539A"/>
    <w:rsid w:val="086A39E8"/>
    <w:rsid w:val="086A7EE2"/>
    <w:rsid w:val="086C7383"/>
    <w:rsid w:val="086D691E"/>
    <w:rsid w:val="086F0AAE"/>
    <w:rsid w:val="0870FBA0"/>
    <w:rsid w:val="08720C93"/>
    <w:rsid w:val="08727AC6"/>
    <w:rsid w:val="0874A5B0"/>
    <w:rsid w:val="087A9623"/>
    <w:rsid w:val="087AAF51"/>
    <w:rsid w:val="087BB92E"/>
    <w:rsid w:val="087D5798"/>
    <w:rsid w:val="08815AA1"/>
    <w:rsid w:val="088346B3"/>
    <w:rsid w:val="0884245A"/>
    <w:rsid w:val="08879572"/>
    <w:rsid w:val="08881A69"/>
    <w:rsid w:val="08884835"/>
    <w:rsid w:val="088D062A"/>
    <w:rsid w:val="088E9806"/>
    <w:rsid w:val="089066AE"/>
    <w:rsid w:val="089117B9"/>
    <w:rsid w:val="089877EC"/>
    <w:rsid w:val="089C3D4D"/>
    <w:rsid w:val="08A16D28"/>
    <w:rsid w:val="08A223A2"/>
    <w:rsid w:val="08A2369C"/>
    <w:rsid w:val="08A3E4C8"/>
    <w:rsid w:val="08A45670"/>
    <w:rsid w:val="08A4DBE5"/>
    <w:rsid w:val="08A747F0"/>
    <w:rsid w:val="08A757A6"/>
    <w:rsid w:val="08AD50AA"/>
    <w:rsid w:val="08AD6B4F"/>
    <w:rsid w:val="08B1AEF8"/>
    <w:rsid w:val="08B347A0"/>
    <w:rsid w:val="08B49915"/>
    <w:rsid w:val="08B588F4"/>
    <w:rsid w:val="08B5B106"/>
    <w:rsid w:val="08C15E9E"/>
    <w:rsid w:val="08C16FEF"/>
    <w:rsid w:val="08C3B9AC"/>
    <w:rsid w:val="08C4DBE4"/>
    <w:rsid w:val="08C5C1E6"/>
    <w:rsid w:val="08C6782D"/>
    <w:rsid w:val="08C7AF15"/>
    <w:rsid w:val="08C7B735"/>
    <w:rsid w:val="08C7C0E6"/>
    <w:rsid w:val="08C7EDA0"/>
    <w:rsid w:val="08C9345F"/>
    <w:rsid w:val="08CE103F"/>
    <w:rsid w:val="08CF374B"/>
    <w:rsid w:val="08CFDA90"/>
    <w:rsid w:val="08D20A2E"/>
    <w:rsid w:val="08D30CBA"/>
    <w:rsid w:val="08D8ABB2"/>
    <w:rsid w:val="08D8C38A"/>
    <w:rsid w:val="08DA2131"/>
    <w:rsid w:val="08DD7E1F"/>
    <w:rsid w:val="08DE28C0"/>
    <w:rsid w:val="08DE3453"/>
    <w:rsid w:val="08DEDE45"/>
    <w:rsid w:val="08DFE020"/>
    <w:rsid w:val="08E0A365"/>
    <w:rsid w:val="08E2C950"/>
    <w:rsid w:val="08E66096"/>
    <w:rsid w:val="08EA6BFB"/>
    <w:rsid w:val="08EABAEC"/>
    <w:rsid w:val="08EB328B"/>
    <w:rsid w:val="08ED97BA"/>
    <w:rsid w:val="08EEF036"/>
    <w:rsid w:val="08F05CAD"/>
    <w:rsid w:val="08F0BC8A"/>
    <w:rsid w:val="08F176EB"/>
    <w:rsid w:val="08F37E3F"/>
    <w:rsid w:val="08F4CF8C"/>
    <w:rsid w:val="08F6E3B3"/>
    <w:rsid w:val="08FC8774"/>
    <w:rsid w:val="08FD7FE7"/>
    <w:rsid w:val="08FDC6CE"/>
    <w:rsid w:val="08FF7907"/>
    <w:rsid w:val="09018B7E"/>
    <w:rsid w:val="09020FB9"/>
    <w:rsid w:val="0903DDEF"/>
    <w:rsid w:val="0908BAC1"/>
    <w:rsid w:val="090D37CA"/>
    <w:rsid w:val="0910DA90"/>
    <w:rsid w:val="09119A84"/>
    <w:rsid w:val="09136796"/>
    <w:rsid w:val="091AEAD4"/>
    <w:rsid w:val="091B9A58"/>
    <w:rsid w:val="091BA5E2"/>
    <w:rsid w:val="091C8ED9"/>
    <w:rsid w:val="09219DFC"/>
    <w:rsid w:val="0921AB4E"/>
    <w:rsid w:val="092206DE"/>
    <w:rsid w:val="09265BDC"/>
    <w:rsid w:val="092815EF"/>
    <w:rsid w:val="092B8F2A"/>
    <w:rsid w:val="092C0A9B"/>
    <w:rsid w:val="092CAF96"/>
    <w:rsid w:val="092F564D"/>
    <w:rsid w:val="0930EC5D"/>
    <w:rsid w:val="093CF872"/>
    <w:rsid w:val="093E05F2"/>
    <w:rsid w:val="093FF1B2"/>
    <w:rsid w:val="0942FC3E"/>
    <w:rsid w:val="09439464"/>
    <w:rsid w:val="0944C302"/>
    <w:rsid w:val="094851B6"/>
    <w:rsid w:val="094A83C7"/>
    <w:rsid w:val="094E7A0E"/>
    <w:rsid w:val="094FA7CB"/>
    <w:rsid w:val="09514953"/>
    <w:rsid w:val="09517AEE"/>
    <w:rsid w:val="09530811"/>
    <w:rsid w:val="0953C2A5"/>
    <w:rsid w:val="095994D7"/>
    <w:rsid w:val="095BAF45"/>
    <w:rsid w:val="095E7D76"/>
    <w:rsid w:val="095FA838"/>
    <w:rsid w:val="095FC36A"/>
    <w:rsid w:val="0960E538"/>
    <w:rsid w:val="096454A7"/>
    <w:rsid w:val="0967FED1"/>
    <w:rsid w:val="0969312D"/>
    <w:rsid w:val="096A0B5E"/>
    <w:rsid w:val="096D0B0E"/>
    <w:rsid w:val="096D86C2"/>
    <w:rsid w:val="097185F2"/>
    <w:rsid w:val="0972850B"/>
    <w:rsid w:val="097463A4"/>
    <w:rsid w:val="0974E804"/>
    <w:rsid w:val="09757620"/>
    <w:rsid w:val="0977A47C"/>
    <w:rsid w:val="097D3198"/>
    <w:rsid w:val="097DCD4D"/>
    <w:rsid w:val="098296BE"/>
    <w:rsid w:val="0987C614"/>
    <w:rsid w:val="098EB412"/>
    <w:rsid w:val="0995E5D8"/>
    <w:rsid w:val="099AA281"/>
    <w:rsid w:val="099B5BA9"/>
    <w:rsid w:val="099C6D53"/>
    <w:rsid w:val="099CC116"/>
    <w:rsid w:val="09A37D9E"/>
    <w:rsid w:val="09A3ED99"/>
    <w:rsid w:val="09A52CA3"/>
    <w:rsid w:val="09A919EA"/>
    <w:rsid w:val="09A977D6"/>
    <w:rsid w:val="09AB7D8B"/>
    <w:rsid w:val="09ABE3E0"/>
    <w:rsid w:val="09AC2E16"/>
    <w:rsid w:val="09AEDA70"/>
    <w:rsid w:val="09B31513"/>
    <w:rsid w:val="09B76B1B"/>
    <w:rsid w:val="09BC6914"/>
    <w:rsid w:val="09C3EC8F"/>
    <w:rsid w:val="09CABF73"/>
    <w:rsid w:val="09CF2DA7"/>
    <w:rsid w:val="09D0B08B"/>
    <w:rsid w:val="09D25FB7"/>
    <w:rsid w:val="09D3752B"/>
    <w:rsid w:val="09D45BBE"/>
    <w:rsid w:val="09D48D9E"/>
    <w:rsid w:val="09D867D0"/>
    <w:rsid w:val="09D9A264"/>
    <w:rsid w:val="09E2893C"/>
    <w:rsid w:val="09E39A5D"/>
    <w:rsid w:val="09E85C4B"/>
    <w:rsid w:val="09E9F4E7"/>
    <w:rsid w:val="09EF66FF"/>
    <w:rsid w:val="09F03A10"/>
    <w:rsid w:val="09F34694"/>
    <w:rsid w:val="09F38AE3"/>
    <w:rsid w:val="09F8B37B"/>
    <w:rsid w:val="0A01E03E"/>
    <w:rsid w:val="0A03D045"/>
    <w:rsid w:val="0A059BDE"/>
    <w:rsid w:val="0A068D9E"/>
    <w:rsid w:val="0A0749BC"/>
    <w:rsid w:val="0A07A89B"/>
    <w:rsid w:val="0A085431"/>
    <w:rsid w:val="0A0BB398"/>
    <w:rsid w:val="0A0D481F"/>
    <w:rsid w:val="0A0D9FC3"/>
    <w:rsid w:val="0A0FB9D7"/>
    <w:rsid w:val="0A1497FB"/>
    <w:rsid w:val="0A14E84C"/>
    <w:rsid w:val="0A150255"/>
    <w:rsid w:val="0A1C4F85"/>
    <w:rsid w:val="0A1FF51A"/>
    <w:rsid w:val="0A23915C"/>
    <w:rsid w:val="0A2724E7"/>
    <w:rsid w:val="0A2866A5"/>
    <w:rsid w:val="0A2CA989"/>
    <w:rsid w:val="0A30109A"/>
    <w:rsid w:val="0A30D823"/>
    <w:rsid w:val="0A31C5DF"/>
    <w:rsid w:val="0A3268F6"/>
    <w:rsid w:val="0A37A08B"/>
    <w:rsid w:val="0A39D6EE"/>
    <w:rsid w:val="0A3BA4DC"/>
    <w:rsid w:val="0A3E285D"/>
    <w:rsid w:val="0A423B56"/>
    <w:rsid w:val="0A467846"/>
    <w:rsid w:val="0A46A096"/>
    <w:rsid w:val="0A4B2219"/>
    <w:rsid w:val="0A4CCCEC"/>
    <w:rsid w:val="0A4E8F6B"/>
    <w:rsid w:val="0A5207E1"/>
    <w:rsid w:val="0A5498A6"/>
    <w:rsid w:val="0A56700B"/>
    <w:rsid w:val="0A569B5F"/>
    <w:rsid w:val="0A588457"/>
    <w:rsid w:val="0A59E43D"/>
    <w:rsid w:val="0A59FEA1"/>
    <w:rsid w:val="0A5CA2CC"/>
    <w:rsid w:val="0A5DA336"/>
    <w:rsid w:val="0A5F33E4"/>
    <w:rsid w:val="0A602F87"/>
    <w:rsid w:val="0A633037"/>
    <w:rsid w:val="0A645D34"/>
    <w:rsid w:val="0A65F897"/>
    <w:rsid w:val="0A66CD94"/>
    <w:rsid w:val="0A67E565"/>
    <w:rsid w:val="0A681DBC"/>
    <w:rsid w:val="0A69D0AF"/>
    <w:rsid w:val="0A6A8663"/>
    <w:rsid w:val="0A6B8E18"/>
    <w:rsid w:val="0A70F9B6"/>
    <w:rsid w:val="0A716D34"/>
    <w:rsid w:val="0A71EF97"/>
    <w:rsid w:val="0A72FFB2"/>
    <w:rsid w:val="0A777BD5"/>
    <w:rsid w:val="0A77BB51"/>
    <w:rsid w:val="0A7B74EC"/>
    <w:rsid w:val="0A7D73D4"/>
    <w:rsid w:val="0A7E8614"/>
    <w:rsid w:val="0A8591FB"/>
    <w:rsid w:val="0A8702EC"/>
    <w:rsid w:val="0A8A88B5"/>
    <w:rsid w:val="0A8B2520"/>
    <w:rsid w:val="0A8BF80E"/>
    <w:rsid w:val="0A8E4148"/>
    <w:rsid w:val="0A8E9AD1"/>
    <w:rsid w:val="0A8F57F5"/>
    <w:rsid w:val="0A923557"/>
    <w:rsid w:val="0A986FBC"/>
    <w:rsid w:val="0A9A1294"/>
    <w:rsid w:val="0A9B2450"/>
    <w:rsid w:val="0A9B8D00"/>
    <w:rsid w:val="0A9DD284"/>
    <w:rsid w:val="0AA6F2B8"/>
    <w:rsid w:val="0AAD7F3A"/>
    <w:rsid w:val="0AAFA8ED"/>
    <w:rsid w:val="0AB014C3"/>
    <w:rsid w:val="0AB387D0"/>
    <w:rsid w:val="0AB48B8D"/>
    <w:rsid w:val="0AB9FE7C"/>
    <w:rsid w:val="0AC723DB"/>
    <w:rsid w:val="0AC90AA6"/>
    <w:rsid w:val="0ACAA100"/>
    <w:rsid w:val="0ACFE2BC"/>
    <w:rsid w:val="0AD2D4D5"/>
    <w:rsid w:val="0AD328AB"/>
    <w:rsid w:val="0AD5957C"/>
    <w:rsid w:val="0AD5CCA7"/>
    <w:rsid w:val="0AD712E1"/>
    <w:rsid w:val="0ADC19B4"/>
    <w:rsid w:val="0ADC76F7"/>
    <w:rsid w:val="0AE260D6"/>
    <w:rsid w:val="0AE3F8DC"/>
    <w:rsid w:val="0AE66F07"/>
    <w:rsid w:val="0AEC0AC2"/>
    <w:rsid w:val="0AEF14ED"/>
    <w:rsid w:val="0AF1B04B"/>
    <w:rsid w:val="0AF92766"/>
    <w:rsid w:val="0AF9F44E"/>
    <w:rsid w:val="0AFF04C9"/>
    <w:rsid w:val="0B01C4C5"/>
    <w:rsid w:val="0B05B051"/>
    <w:rsid w:val="0B08A58E"/>
    <w:rsid w:val="0B0AA826"/>
    <w:rsid w:val="0B119496"/>
    <w:rsid w:val="0B139A70"/>
    <w:rsid w:val="0B140BB4"/>
    <w:rsid w:val="0B163A71"/>
    <w:rsid w:val="0B1AA4B8"/>
    <w:rsid w:val="0B22F3F3"/>
    <w:rsid w:val="0B24256B"/>
    <w:rsid w:val="0B29DD74"/>
    <w:rsid w:val="0B2EBD97"/>
    <w:rsid w:val="0B2F3E22"/>
    <w:rsid w:val="0B3243BA"/>
    <w:rsid w:val="0B361E67"/>
    <w:rsid w:val="0B38D99C"/>
    <w:rsid w:val="0B3994C1"/>
    <w:rsid w:val="0B3D3BE5"/>
    <w:rsid w:val="0B4265D4"/>
    <w:rsid w:val="0B42E09E"/>
    <w:rsid w:val="0B460AA5"/>
    <w:rsid w:val="0B4A5F92"/>
    <w:rsid w:val="0B4B8B75"/>
    <w:rsid w:val="0B4D4061"/>
    <w:rsid w:val="0B4DB684"/>
    <w:rsid w:val="0B508ACB"/>
    <w:rsid w:val="0B52022C"/>
    <w:rsid w:val="0B55B29F"/>
    <w:rsid w:val="0B563D1A"/>
    <w:rsid w:val="0B5A0832"/>
    <w:rsid w:val="0B5D135F"/>
    <w:rsid w:val="0B5FD656"/>
    <w:rsid w:val="0B60573E"/>
    <w:rsid w:val="0B60E7CD"/>
    <w:rsid w:val="0B65709A"/>
    <w:rsid w:val="0B68563C"/>
    <w:rsid w:val="0B6A82D0"/>
    <w:rsid w:val="0B6C2C47"/>
    <w:rsid w:val="0B6CBD32"/>
    <w:rsid w:val="0B6CDC7B"/>
    <w:rsid w:val="0B720A5A"/>
    <w:rsid w:val="0B73D126"/>
    <w:rsid w:val="0B74D30B"/>
    <w:rsid w:val="0B79D415"/>
    <w:rsid w:val="0B7DC655"/>
    <w:rsid w:val="0B7E2629"/>
    <w:rsid w:val="0B7FA210"/>
    <w:rsid w:val="0B809100"/>
    <w:rsid w:val="0B839270"/>
    <w:rsid w:val="0B860F84"/>
    <w:rsid w:val="0B869967"/>
    <w:rsid w:val="0B87250D"/>
    <w:rsid w:val="0B882C5C"/>
    <w:rsid w:val="0B8848A0"/>
    <w:rsid w:val="0B892C56"/>
    <w:rsid w:val="0B8E1F0B"/>
    <w:rsid w:val="0B91CAF8"/>
    <w:rsid w:val="0B922F41"/>
    <w:rsid w:val="0B94F1A5"/>
    <w:rsid w:val="0B950B20"/>
    <w:rsid w:val="0B9830EB"/>
    <w:rsid w:val="0B98C22C"/>
    <w:rsid w:val="0B9A9285"/>
    <w:rsid w:val="0B9BE482"/>
    <w:rsid w:val="0B9CA96E"/>
    <w:rsid w:val="0B9CD67C"/>
    <w:rsid w:val="0BA0BE4E"/>
    <w:rsid w:val="0BA77EB7"/>
    <w:rsid w:val="0BAA6631"/>
    <w:rsid w:val="0BAA799D"/>
    <w:rsid w:val="0BAC4DF7"/>
    <w:rsid w:val="0BAD8BBE"/>
    <w:rsid w:val="0BAEA56A"/>
    <w:rsid w:val="0BB19D11"/>
    <w:rsid w:val="0BB36D2E"/>
    <w:rsid w:val="0BB3BDB1"/>
    <w:rsid w:val="0BB4737F"/>
    <w:rsid w:val="0BB50618"/>
    <w:rsid w:val="0BB61D70"/>
    <w:rsid w:val="0BB72D96"/>
    <w:rsid w:val="0BB7F96B"/>
    <w:rsid w:val="0BB8DD4B"/>
    <w:rsid w:val="0BB9722A"/>
    <w:rsid w:val="0BBB52AF"/>
    <w:rsid w:val="0BBC5BCA"/>
    <w:rsid w:val="0BBCF315"/>
    <w:rsid w:val="0BBDC08C"/>
    <w:rsid w:val="0BC11145"/>
    <w:rsid w:val="0BC19A07"/>
    <w:rsid w:val="0BC25F71"/>
    <w:rsid w:val="0BCA390F"/>
    <w:rsid w:val="0BCCF187"/>
    <w:rsid w:val="0BCCF954"/>
    <w:rsid w:val="0BD02A4B"/>
    <w:rsid w:val="0BD247ED"/>
    <w:rsid w:val="0BD4A3C1"/>
    <w:rsid w:val="0BD4F78C"/>
    <w:rsid w:val="0BD57872"/>
    <w:rsid w:val="0BD617FB"/>
    <w:rsid w:val="0BD71E0B"/>
    <w:rsid w:val="0BDAD2D1"/>
    <w:rsid w:val="0BDB8F90"/>
    <w:rsid w:val="0BDC4681"/>
    <w:rsid w:val="0BE20EF6"/>
    <w:rsid w:val="0BE34212"/>
    <w:rsid w:val="0BE4D654"/>
    <w:rsid w:val="0BE9E7B8"/>
    <w:rsid w:val="0BEAA125"/>
    <w:rsid w:val="0BEC6F9A"/>
    <w:rsid w:val="0BEDA7AA"/>
    <w:rsid w:val="0BEE0BF7"/>
    <w:rsid w:val="0BFC97D4"/>
    <w:rsid w:val="0C109336"/>
    <w:rsid w:val="0C1201AF"/>
    <w:rsid w:val="0C134C5B"/>
    <w:rsid w:val="0C1498FD"/>
    <w:rsid w:val="0C15DE76"/>
    <w:rsid w:val="0C184220"/>
    <w:rsid w:val="0C1A6289"/>
    <w:rsid w:val="0C1DCA4F"/>
    <w:rsid w:val="0C1DCE10"/>
    <w:rsid w:val="0C1F4C76"/>
    <w:rsid w:val="0C21C2F7"/>
    <w:rsid w:val="0C26CEF9"/>
    <w:rsid w:val="0C2C761F"/>
    <w:rsid w:val="0C2F7921"/>
    <w:rsid w:val="0C36B500"/>
    <w:rsid w:val="0C385364"/>
    <w:rsid w:val="0C3A0CE3"/>
    <w:rsid w:val="0C3DDA6C"/>
    <w:rsid w:val="0C49425E"/>
    <w:rsid w:val="0C499E53"/>
    <w:rsid w:val="0C4BB2DD"/>
    <w:rsid w:val="0C4EB551"/>
    <w:rsid w:val="0C50D775"/>
    <w:rsid w:val="0C51255E"/>
    <w:rsid w:val="0C56F4FE"/>
    <w:rsid w:val="0C573F5C"/>
    <w:rsid w:val="0C574A92"/>
    <w:rsid w:val="0C577CE1"/>
    <w:rsid w:val="0C582D41"/>
    <w:rsid w:val="0C5B20E9"/>
    <w:rsid w:val="0C5CA83E"/>
    <w:rsid w:val="0C5CAF82"/>
    <w:rsid w:val="0C5D2F3A"/>
    <w:rsid w:val="0C5DA92F"/>
    <w:rsid w:val="0C606472"/>
    <w:rsid w:val="0C74629B"/>
    <w:rsid w:val="0C763880"/>
    <w:rsid w:val="0C7777C0"/>
    <w:rsid w:val="0C7B665D"/>
    <w:rsid w:val="0C7D844A"/>
    <w:rsid w:val="0C868DFC"/>
    <w:rsid w:val="0C89B318"/>
    <w:rsid w:val="0C8A5DEF"/>
    <w:rsid w:val="0C8A9F90"/>
    <w:rsid w:val="0C8F3DBE"/>
    <w:rsid w:val="0C8FE272"/>
    <w:rsid w:val="0C9A8459"/>
    <w:rsid w:val="0C9B5F16"/>
    <w:rsid w:val="0C9BC32E"/>
    <w:rsid w:val="0C9C0F63"/>
    <w:rsid w:val="0C9CEB53"/>
    <w:rsid w:val="0C9D8124"/>
    <w:rsid w:val="0C9E7DAD"/>
    <w:rsid w:val="0C9FDD97"/>
    <w:rsid w:val="0CA06010"/>
    <w:rsid w:val="0CA0DB74"/>
    <w:rsid w:val="0CA28B61"/>
    <w:rsid w:val="0CA3E8FE"/>
    <w:rsid w:val="0CA611EC"/>
    <w:rsid w:val="0CA7182E"/>
    <w:rsid w:val="0CA947ED"/>
    <w:rsid w:val="0CA9B72C"/>
    <w:rsid w:val="0CA9E19B"/>
    <w:rsid w:val="0CA9FBDC"/>
    <w:rsid w:val="0CAB4ED5"/>
    <w:rsid w:val="0CAFD9AD"/>
    <w:rsid w:val="0CB069F6"/>
    <w:rsid w:val="0CB0F8DE"/>
    <w:rsid w:val="0CB2070F"/>
    <w:rsid w:val="0CB209A1"/>
    <w:rsid w:val="0CB2569B"/>
    <w:rsid w:val="0CB5B8BD"/>
    <w:rsid w:val="0CB664B6"/>
    <w:rsid w:val="0CB865B0"/>
    <w:rsid w:val="0CBB1ADB"/>
    <w:rsid w:val="0CBFC4A1"/>
    <w:rsid w:val="0CC0144C"/>
    <w:rsid w:val="0CC07DFC"/>
    <w:rsid w:val="0CC1C462"/>
    <w:rsid w:val="0CC3BA5B"/>
    <w:rsid w:val="0CC53834"/>
    <w:rsid w:val="0CC643D0"/>
    <w:rsid w:val="0CCE0C7B"/>
    <w:rsid w:val="0CD311FB"/>
    <w:rsid w:val="0CD4C001"/>
    <w:rsid w:val="0CD9B839"/>
    <w:rsid w:val="0CDC2BFD"/>
    <w:rsid w:val="0CDD545C"/>
    <w:rsid w:val="0CE3446F"/>
    <w:rsid w:val="0CE5928C"/>
    <w:rsid w:val="0CE6C107"/>
    <w:rsid w:val="0CE71987"/>
    <w:rsid w:val="0CE73502"/>
    <w:rsid w:val="0CE85EE3"/>
    <w:rsid w:val="0CEB10EE"/>
    <w:rsid w:val="0CECD7E4"/>
    <w:rsid w:val="0CEFB8D3"/>
    <w:rsid w:val="0CF13CE4"/>
    <w:rsid w:val="0CF29D8B"/>
    <w:rsid w:val="0CF347F4"/>
    <w:rsid w:val="0CF6BD30"/>
    <w:rsid w:val="0CF6C379"/>
    <w:rsid w:val="0CF7C1F0"/>
    <w:rsid w:val="0CFB13E1"/>
    <w:rsid w:val="0CFBD12A"/>
    <w:rsid w:val="0CFC2557"/>
    <w:rsid w:val="0CFDBD35"/>
    <w:rsid w:val="0D01EA9C"/>
    <w:rsid w:val="0D029700"/>
    <w:rsid w:val="0D04E097"/>
    <w:rsid w:val="0D04FE9B"/>
    <w:rsid w:val="0D0996E2"/>
    <w:rsid w:val="0D0B71B8"/>
    <w:rsid w:val="0D0C2016"/>
    <w:rsid w:val="0D0C6342"/>
    <w:rsid w:val="0D0E6469"/>
    <w:rsid w:val="0D0EB6BD"/>
    <w:rsid w:val="0D1178B4"/>
    <w:rsid w:val="0D185447"/>
    <w:rsid w:val="0D1D871A"/>
    <w:rsid w:val="0D1E039D"/>
    <w:rsid w:val="0D1EE63D"/>
    <w:rsid w:val="0D207168"/>
    <w:rsid w:val="0D2130F7"/>
    <w:rsid w:val="0D21381C"/>
    <w:rsid w:val="0D22BCFE"/>
    <w:rsid w:val="0D2612D5"/>
    <w:rsid w:val="0D29BC18"/>
    <w:rsid w:val="0D2A4BF2"/>
    <w:rsid w:val="0D2C7408"/>
    <w:rsid w:val="0D30E4E8"/>
    <w:rsid w:val="0D3195AE"/>
    <w:rsid w:val="0D31A67A"/>
    <w:rsid w:val="0D33340A"/>
    <w:rsid w:val="0D340767"/>
    <w:rsid w:val="0D37F0F3"/>
    <w:rsid w:val="0D3B1A2A"/>
    <w:rsid w:val="0D3D17E5"/>
    <w:rsid w:val="0D3F2864"/>
    <w:rsid w:val="0D401F26"/>
    <w:rsid w:val="0D47BAAB"/>
    <w:rsid w:val="0D49976E"/>
    <w:rsid w:val="0D4DA457"/>
    <w:rsid w:val="0D515B57"/>
    <w:rsid w:val="0D51C863"/>
    <w:rsid w:val="0D538F6A"/>
    <w:rsid w:val="0D5506F2"/>
    <w:rsid w:val="0D5BAAB5"/>
    <w:rsid w:val="0D5CA6F3"/>
    <w:rsid w:val="0D5DB9DA"/>
    <w:rsid w:val="0D5F3B7F"/>
    <w:rsid w:val="0D601AAE"/>
    <w:rsid w:val="0D61D407"/>
    <w:rsid w:val="0D628C05"/>
    <w:rsid w:val="0D68F10B"/>
    <w:rsid w:val="0D6A4A19"/>
    <w:rsid w:val="0D6C1BE7"/>
    <w:rsid w:val="0D6CC57D"/>
    <w:rsid w:val="0D6DC8E1"/>
    <w:rsid w:val="0D6E599E"/>
    <w:rsid w:val="0D6EA541"/>
    <w:rsid w:val="0D6F0BBF"/>
    <w:rsid w:val="0D6F5A7C"/>
    <w:rsid w:val="0D73E64B"/>
    <w:rsid w:val="0D7459BE"/>
    <w:rsid w:val="0D7470DC"/>
    <w:rsid w:val="0D7853AE"/>
    <w:rsid w:val="0D7940AD"/>
    <w:rsid w:val="0D79F2D7"/>
    <w:rsid w:val="0D7C7FC8"/>
    <w:rsid w:val="0D7CB7BE"/>
    <w:rsid w:val="0D80F3A8"/>
    <w:rsid w:val="0D833C24"/>
    <w:rsid w:val="0D8ABA32"/>
    <w:rsid w:val="0D8C080C"/>
    <w:rsid w:val="0D91E768"/>
    <w:rsid w:val="0D93242B"/>
    <w:rsid w:val="0D94D459"/>
    <w:rsid w:val="0D95B3C5"/>
    <w:rsid w:val="0D9E4D12"/>
    <w:rsid w:val="0DA57B51"/>
    <w:rsid w:val="0DAECF69"/>
    <w:rsid w:val="0DB066DE"/>
    <w:rsid w:val="0DB1BEF5"/>
    <w:rsid w:val="0DB3A544"/>
    <w:rsid w:val="0DB7A169"/>
    <w:rsid w:val="0DB87CB0"/>
    <w:rsid w:val="0DBA04C9"/>
    <w:rsid w:val="0DBD1692"/>
    <w:rsid w:val="0DBDFF9F"/>
    <w:rsid w:val="0DC1E549"/>
    <w:rsid w:val="0DC247DB"/>
    <w:rsid w:val="0DC41BC5"/>
    <w:rsid w:val="0DC6B30D"/>
    <w:rsid w:val="0DC7A914"/>
    <w:rsid w:val="0DC88D42"/>
    <w:rsid w:val="0DC99F4E"/>
    <w:rsid w:val="0DC9E718"/>
    <w:rsid w:val="0DCD13E7"/>
    <w:rsid w:val="0DD2DE91"/>
    <w:rsid w:val="0DD74852"/>
    <w:rsid w:val="0DD934AA"/>
    <w:rsid w:val="0DDE31EF"/>
    <w:rsid w:val="0DDEC61C"/>
    <w:rsid w:val="0DDF1523"/>
    <w:rsid w:val="0DDFCEC1"/>
    <w:rsid w:val="0DE30C72"/>
    <w:rsid w:val="0DE6034E"/>
    <w:rsid w:val="0DEB3C15"/>
    <w:rsid w:val="0DEB8A9B"/>
    <w:rsid w:val="0DED51DE"/>
    <w:rsid w:val="0DF9B46B"/>
    <w:rsid w:val="0DFCB95D"/>
    <w:rsid w:val="0DFD40C1"/>
    <w:rsid w:val="0E00D54E"/>
    <w:rsid w:val="0E015272"/>
    <w:rsid w:val="0E02BFD6"/>
    <w:rsid w:val="0E0412CF"/>
    <w:rsid w:val="0E0544BE"/>
    <w:rsid w:val="0E0563F2"/>
    <w:rsid w:val="0E05BC65"/>
    <w:rsid w:val="0E06BB28"/>
    <w:rsid w:val="0E070CCC"/>
    <w:rsid w:val="0E084A0C"/>
    <w:rsid w:val="0E0A9A3C"/>
    <w:rsid w:val="0E0C7269"/>
    <w:rsid w:val="0E11F00D"/>
    <w:rsid w:val="0E12F58F"/>
    <w:rsid w:val="0E133C01"/>
    <w:rsid w:val="0E13BB68"/>
    <w:rsid w:val="0E146420"/>
    <w:rsid w:val="0E18E329"/>
    <w:rsid w:val="0E1E0FC9"/>
    <w:rsid w:val="0E1FB691"/>
    <w:rsid w:val="0E21860E"/>
    <w:rsid w:val="0E235263"/>
    <w:rsid w:val="0E25C997"/>
    <w:rsid w:val="0E2B58D0"/>
    <w:rsid w:val="0E2D48BE"/>
    <w:rsid w:val="0E36F8CA"/>
    <w:rsid w:val="0E42BCEC"/>
    <w:rsid w:val="0E48D01A"/>
    <w:rsid w:val="0E48EA80"/>
    <w:rsid w:val="0E4A5D3A"/>
    <w:rsid w:val="0E4A954A"/>
    <w:rsid w:val="0E4C5802"/>
    <w:rsid w:val="0E544970"/>
    <w:rsid w:val="0E571A83"/>
    <w:rsid w:val="0E5B15D7"/>
    <w:rsid w:val="0E5B206F"/>
    <w:rsid w:val="0E5FB9A4"/>
    <w:rsid w:val="0E632474"/>
    <w:rsid w:val="0E64DAB9"/>
    <w:rsid w:val="0E6594FF"/>
    <w:rsid w:val="0E66FBC9"/>
    <w:rsid w:val="0E696443"/>
    <w:rsid w:val="0E6A4B9B"/>
    <w:rsid w:val="0E6B7151"/>
    <w:rsid w:val="0E730402"/>
    <w:rsid w:val="0E733963"/>
    <w:rsid w:val="0E73C6BD"/>
    <w:rsid w:val="0E751520"/>
    <w:rsid w:val="0E751537"/>
    <w:rsid w:val="0E75DC1A"/>
    <w:rsid w:val="0E7635F6"/>
    <w:rsid w:val="0E7A8926"/>
    <w:rsid w:val="0E7C3F48"/>
    <w:rsid w:val="0E7D3BD1"/>
    <w:rsid w:val="0E7D7358"/>
    <w:rsid w:val="0E7DE0D1"/>
    <w:rsid w:val="0E7E4550"/>
    <w:rsid w:val="0E7F64B7"/>
    <w:rsid w:val="0E808C60"/>
    <w:rsid w:val="0E83576B"/>
    <w:rsid w:val="0E8678E8"/>
    <w:rsid w:val="0E88D38B"/>
    <w:rsid w:val="0E8B9733"/>
    <w:rsid w:val="0E8C6BBA"/>
    <w:rsid w:val="0E9231A7"/>
    <w:rsid w:val="0E94F37D"/>
    <w:rsid w:val="0E969D3D"/>
    <w:rsid w:val="0E9730F7"/>
    <w:rsid w:val="0E975D0B"/>
    <w:rsid w:val="0E9C1A36"/>
    <w:rsid w:val="0EA09269"/>
    <w:rsid w:val="0EA14360"/>
    <w:rsid w:val="0EA1D459"/>
    <w:rsid w:val="0EA1FB0D"/>
    <w:rsid w:val="0EA24796"/>
    <w:rsid w:val="0EA42B87"/>
    <w:rsid w:val="0EA8BC50"/>
    <w:rsid w:val="0EA8F9E7"/>
    <w:rsid w:val="0EAC1686"/>
    <w:rsid w:val="0EAED42A"/>
    <w:rsid w:val="0EB4DD1B"/>
    <w:rsid w:val="0EB5DEE3"/>
    <w:rsid w:val="0EB82F1F"/>
    <w:rsid w:val="0EB8B734"/>
    <w:rsid w:val="0EBA8280"/>
    <w:rsid w:val="0EBD6C75"/>
    <w:rsid w:val="0EBE0FD3"/>
    <w:rsid w:val="0EBEC42E"/>
    <w:rsid w:val="0EC0267F"/>
    <w:rsid w:val="0EC1EA53"/>
    <w:rsid w:val="0EC36F46"/>
    <w:rsid w:val="0EC59D5E"/>
    <w:rsid w:val="0ECB4976"/>
    <w:rsid w:val="0ECBCC28"/>
    <w:rsid w:val="0ECD51C1"/>
    <w:rsid w:val="0ECFF6D8"/>
    <w:rsid w:val="0ED0D65B"/>
    <w:rsid w:val="0ED82593"/>
    <w:rsid w:val="0EDA594A"/>
    <w:rsid w:val="0EDCDB47"/>
    <w:rsid w:val="0EDFB705"/>
    <w:rsid w:val="0EE01009"/>
    <w:rsid w:val="0EE1B1FA"/>
    <w:rsid w:val="0EE6D559"/>
    <w:rsid w:val="0EECF238"/>
    <w:rsid w:val="0EEE2C73"/>
    <w:rsid w:val="0EEE4324"/>
    <w:rsid w:val="0EEF81AE"/>
    <w:rsid w:val="0EF074A7"/>
    <w:rsid w:val="0EF450DD"/>
    <w:rsid w:val="0EF6F621"/>
    <w:rsid w:val="0EFE1029"/>
    <w:rsid w:val="0F011ED3"/>
    <w:rsid w:val="0F02D4EC"/>
    <w:rsid w:val="0F035EF8"/>
    <w:rsid w:val="0F063237"/>
    <w:rsid w:val="0F076173"/>
    <w:rsid w:val="0F0883BE"/>
    <w:rsid w:val="0F0B40DC"/>
    <w:rsid w:val="0F0BC5B7"/>
    <w:rsid w:val="0F0C1803"/>
    <w:rsid w:val="0F0C2E77"/>
    <w:rsid w:val="0F0E58C8"/>
    <w:rsid w:val="0F0F856A"/>
    <w:rsid w:val="0F0FC55F"/>
    <w:rsid w:val="0F0FF386"/>
    <w:rsid w:val="0F10A85B"/>
    <w:rsid w:val="0F120CF6"/>
    <w:rsid w:val="0F126D64"/>
    <w:rsid w:val="0F166165"/>
    <w:rsid w:val="0F171365"/>
    <w:rsid w:val="0F1B7993"/>
    <w:rsid w:val="0F1CDF64"/>
    <w:rsid w:val="0F212EAB"/>
    <w:rsid w:val="0F22CCA0"/>
    <w:rsid w:val="0F261709"/>
    <w:rsid w:val="0F28CFED"/>
    <w:rsid w:val="0F2A7A82"/>
    <w:rsid w:val="0F2A8D83"/>
    <w:rsid w:val="0F2AF780"/>
    <w:rsid w:val="0F2BE63E"/>
    <w:rsid w:val="0F2E6653"/>
    <w:rsid w:val="0F313310"/>
    <w:rsid w:val="0F3228E0"/>
    <w:rsid w:val="0F341344"/>
    <w:rsid w:val="0F34ADCD"/>
    <w:rsid w:val="0F3920F8"/>
    <w:rsid w:val="0F39EA8A"/>
    <w:rsid w:val="0F3A9017"/>
    <w:rsid w:val="0F3C70A4"/>
    <w:rsid w:val="0F3DB7CF"/>
    <w:rsid w:val="0F41C8CD"/>
    <w:rsid w:val="0F44A421"/>
    <w:rsid w:val="0F44CB9E"/>
    <w:rsid w:val="0F466780"/>
    <w:rsid w:val="0F4BB9E4"/>
    <w:rsid w:val="0F4DA1E8"/>
    <w:rsid w:val="0F4FE179"/>
    <w:rsid w:val="0F50063F"/>
    <w:rsid w:val="0F5A35E1"/>
    <w:rsid w:val="0F5C1E86"/>
    <w:rsid w:val="0F5E984B"/>
    <w:rsid w:val="0F60384E"/>
    <w:rsid w:val="0F64468E"/>
    <w:rsid w:val="0F652E21"/>
    <w:rsid w:val="0F6CF764"/>
    <w:rsid w:val="0F723463"/>
    <w:rsid w:val="0F72C86B"/>
    <w:rsid w:val="0F76E935"/>
    <w:rsid w:val="0F7A2D49"/>
    <w:rsid w:val="0F7DCFA7"/>
    <w:rsid w:val="0F83E4DF"/>
    <w:rsid w:val="0F87FCB0"/>
    <w:rsid w:val="0F880361"/>
    <w:rsid w:val="0F8BB84F"/>
    <w:rsid w:val="0F8DD713"/>
    <w:rsid w:val="0F8E4405"/>
    <w:rsid w:val="0F8FB333"/>
    <w:rsid w:val="0F904BF4"/>
    <w:rsid w:val="0F923FBD"/>
    <w:rsid w:val="0F935721"/>
    <w:rsid w:val="0F936F54"/>
    <w:rsid w:val="0F9547C5"/>
    <w:rsid w:val="0F97007C"/>
    <w:rsid w:val="0F9842B3"/>
    <w:rsid w:val="0F984C99"/>
    <w:rsid w:val="0F98A241"/>
    <w:rsid w:val="0F9A3730"/>
    <w:rsid w:val="0F9C3A5D"/>
    <w:rsid w:val="0F9D435D"/>
    <w:rsid w:val="0F9D8AEB"/>
    <w:rsid w:val="0F9FD522"/>
    <w:rsid w:val="0FA0166F"/>
    <w:rsid w:val="0FA06FA6"/>
    <w:rsid w:val="0FA0F5C4"/>
    <w:rsid w:val="0FA44877"/>
    <w:rsid w:val="0FA4C137"/>
    <w:rsid w:val="0FA5EF51"/>
    <w:rsid w:val="0FA8AEE7"/>
    <w:rsid w:val="0FA9BA25"/>
    <w:rsid w:val="0FAA40C2"/>
    <w:rsid w:val="0FAC8ED1"/>
    <w:rsid w:val="0FB647F8"/>
    <w:rsid w:val="0FB82C12"/>
    <w:rsid w:val="0FB8F802"/>
    <w:rsid w:val="0FB9D4FA"/>
    <w:rsid w:val="0FBEAFA4"/>
    <w:rsid w:val="0FC15C17"/>
    <w:rsid w:val="0FC1D1AA"/>
    <w:rsid w:val="0FC5BC70"/>
    <w:rsid w:val="0FC77901"/>
    <w:rsid w:val="0FC7CD10"/>
    <w:rsid w:val="0FC80C86"/>
    <w:rsid w:val="0FCBEF32"/>
    <w:rsid w:val="0FCE6B74"/>
    <w:rsid w:val="0FCEC154"/>
    <w:rsid w:val="0FD017BE"/>
    <w:rsid w:val="0FD4115C"/>
    <w:rsid w:val="0FD4B0DC"/>
    <w:rsid w:val="0FD4DD5E"/>
    <w:rsid w:val="0FD57A2E"/>
    <w:rsid w:val="0FD586E9"/>
    <w:rsid w:val="0FD6ECEE"/>
    <w:rsid w:val="0FD79E82"/>
    <w:rsid w:val="0FDDB3F8"/>
    <w:rsid w:val="0FE64AB1"/>
    <w:rsid w:val="0FE6AA2C"/>
    <w:rsid w:val="0FE884B0"/>
    <w:rsid w:val="0FE8FB29"/>
    <w:rsid w:val="0FE99480"/>
    <w:rsid w:val="0FEA6F4A"/>
    <w:rsid w:val="0FEF1538"/>
    <w:rsid w:val="0FF13B0D"/>
    <w:rsid w:val="0FF1F260"/>
    <w:rsid w:val="0FF2EC21"/>
    <w:rsid w:val="0FF69E8B"/>
    <w:rsid w:val="0FF85CEB"/>
    <w:rsid w:val="0FFAB2A7"/>
    <w:rsid w:val="0FFB7024"/>
    <w:rsid w:val="1002817D"/>
    <w:rsid w:val="100533F9"/>
    <w:rsid w:val="1005536B"/>
    <w:rsid w:val="10070B32"/>
    <w:rsid w:val="1007922F"/>
    <w:rsid w:val="10080AE3"/>
    <w:rsid w:val="100C6C32"/>
    <w:rsid w:val="100CF5FC"/>
    <w:rsid w:val="100E7F22"/>
    <w:rsid w:val="100F414D"/>
    <w:rsid w:val="100F8E05"/>
    <w:rsid w:val="1016C35C"/>
    <w:rsid w:val="10188B4F"/>
    <w:rsid w:val="101AF3A6"/>
    <w:rsid w:val="1024C0F1"/>
    <w:rsid w:val="102FAAFD"/>
    <w:rsid w:val="1033B972"/>
    <w:rsid w:val="1033E07D"/>
    <w:rsid w:val="10351C83"/>
    <w:rsid w:val="10352483"/>
    <w:rsid w:val="1036B258"/>
    <w:rsid w:val="1036CEC0"/>
    <w:rsid w:val="1037ABF4"/>
    <w:rsid w:val="1038E9D6"/>
    <w:rsid w:val="103BA27C"/>
    <w:rsid w:val="103DBF4C"/>
    <w:rsid w:val="103E3251"/>
    <w:rsid w:val="103FA8C3"/>
    <w:rsid w:val="10413980"/>
    <w:rsid w:val="1042A223"/>
    <w:rsid w:val="104611CA"/>
    <w:rsid w:val="1049A4E5"/>
    <w:rsid w:val="10501B12"/>
    <w:rsid w:val="105334B0"/>
    <w:rsid w:val="1053AD1E"/>
    <w:rsid w:val="1054DF6D"/>
    <w:rsid w:val="105587F7"/>
    <w:rsid w:val="1055BC3B"/>
    <w:rsid w:val="1055FFA9"/>
    <w:rsid w:val="10565C5B"/>
    <w:rsid w:val="10572C7E"/>
    <w:rsid w:val="105800B3"/>
    <w:rsid w:val="105A4BDE"/>
    <w:rsid w:val="105F4DB2"/>
    <w:rsid w:val="10649862"/>
    <w:rsid w:val="1065FC07"/>
    <w:rsid w:val="1068C34B"/>
    <w:rsid w:val="106966C7"/>
    <w:rsid w:val="106B6606"/>
    <w:rsid w:val="106CCABB"/>
    <w:rsid w:val="106D4E97"/>
    <w:rsid w:val="107248F6"/>
    <w:rsid w:val="10731AA3"/>
    <w:rsid w:val="1074A6DD"/>
    <w:rsid w:val="1076F97E"/>
    <w:rsid w:val="10770144"/>
    <w:rsid w:val="1079B5BB"/>
    <w:rsid w:val="107CCD7E"/>
    <w:rsid w:val="107F3EFE"/>
    <w:rsid w:val="10815D82"/>
    <w:rsid w:val="1082CBD7"/>
    <w:rsid w:val="10868012"/>
    <w:rsid w:val="108B00C9"/>
    <w:rsid w:val="1090335C"/>
    <w:rsid w:val="109573D9"/>
    <w:rsid w:val="109E6EEA"/>
    <w:rsid w:val="10A16D82"/>
    <w:rsid w:val="10A23359"/>
    <w:rsid w:val="10A6A623"/>
    <w:rsid w:val="10A6FAE1"/>
    <w:rsid w:val="10A7CAF6"/>
    <w:rsid w:val="10AF5801"/>
    <w:rsid w:val="10B27C71"/>
    <w:rsid w:val="10B356AE"/>
    <w:rsid w:val="10B55F33"/>
    <w:rsid w:val="10B61AAF"/>
    <w:rsid w:val="10B6CD8D"/>
    <w:rsid w:val="10B72FF5"/>
    <w:rsid w:val="10B7B052"/>
    <w:rsid w:val="10BC5EEB"/>
    <w:rsid w:val="10BDC771"/>
    <w:rsid w:val="10C14573"/>
    <w:rsid w:val="10C53F4F"/>
    <w:rsid w:val="10C7CC0E"/>
    <w:rsid w:val="10CC4DC5"/>
    <w:rsid w:val="10CD4A28"/>
    <w:rsid w:val="10CF355F"/>
    <w:rsid w:val="10D07219"/>
    <w:rsid w:val="10D165A9"/>
    <w:rsid w:val="10D3F53A"/>
    <w:rsid w:val="10D8503D"/>
    <w:rsid w:val="10D8E1AF"/>
    <w:rsid w:val="10DB6C8D"/>
    <w:rsid w:val="10DBF769"/>
    <w:rsid w:val="10DC9969"/>
    <w:rsid w:val="10DE77CE"/>
    <w:rsid w:val="10E1B220"/>
    <w:rsid w:val="10E1F3FD"/>
    <w:rsid w:val="10E301D5"/>
    <w:rsid w:val="10E5CBFB"/>
    <w:rsid w:val="10E6596A"/>
    <w:rsid w:val="10E9CD88"/>
    <w:rsid w:val="10EA429C"/>
    <w:rsid w:val="10EFC2C8"/>
    <w:rsid w:val="10F0837B"/>
    <w:rsid w:val="10F58482"/>
    <w:rsid w:val="10F64470"/>
    <w:rsid w:val="10FD4F9E"/>
    <w:rsid w:val="10FD9791"/>
    <w:rsid w:val="10FE0D75"/>
    <w:rsid w:val="11007FC8"/>
    <w:rsid w:val="1105007D"/>
    <w:rsid w:val="1106DCB6"/>
    <w:rsid w:val="110C50BB"/>
    <w:rsid w:val="11103D43"/>
    <w:rsid w:val="1110B85A"/>
    <w:rsid w:val="1110CC88"/>
    <w:rsid w:val="1112FC31"/>
    <w:rsid w:val="1117480D"/>
    <w:rsid w:val="11181A28"/>
    <w:rsid w:val="1119FBCC"/>
    <w:rsid w:val="111C3F5A"/>
    <w:rsid w:val="111C908C"/>
    <w:rsid w:val="111C9346"/>
    <w:rsid w:val="111CB664"/>
    <w:rsid w:val="111FBB84"/>
    <w:rsid w:val="11204455"/>
    <w:rsid w:val="1121976A"/>
    <w:rsid w:val="11239721"/>
    <w:rsid w:val="1125526E"/>
    <w:rsid w:val="1127590B"/>
    <w:rsid w:val="112A47CF"/>
    <w:rsid w:val="112C61C2"/>
    <w:rsid w:val="1130D8A0"/>
    <w:rsid w:val="1130E9AD"/>
    <w:rsid w:val="1132EF0D"/>
    <w:rsid w:val="1139DBA8"/>
    <w:rsid w:val="113B75C7"/>
    <w:rsid w:val="113F32EE"/>
    <w:rsid w:val="113FD002"/>
    <w:rsid w:val="11445F2A"/>
    <w:rsid w:val="1144834C"/>
    <w:rsid w:val="114A427C"/>
    <w:rsid w:val="114C3FE1"/>
    <w:rsid w:val="11515587"/>
    <w:rsid w:val="11533642"/>
    <w:rsid w:val="11571355"/>
    <w:rsid w:val="1159AF21"/>
    <w:rsid w:val="115CF302"/>
    <w:rsid w:val="116356D1"/>
    <w:rsid w:val="11672A16"/>
    <w:rsid w:val="1168FB43"/>
    <w:rsid w:val="1169AC29"/>
    <w:rsid w:val="116C0E3E"/>
    <w:rsid w:val="116DFB43"/>
    <w:rsid w:val="116E022F"/>
    <w:rsid w:val="1170E950"/>
    <w:rsid w:val="117275DC"/>
    <w:rsid w:val="11751EEB"/>
    <w:rsid w:val="11789379"/>
    <w:rsid w:val="117DDF9E"/>
    <w:rsid w:val="117F4718"/>
    <w:rsid w:val="117F679B"/>
    <w:rsid w:val="1180CA62"/>
    <w:rsid w:val="1183B79B"/>
    <w:rsid w:val="1185BC4D"/>
    <w:rsid w:val="1185E6EC"/>
    <w:rsid w:val="11877B1D"/>
    <w:rsid w:val="118AC632"/>
    <w:rsid w:val="118D0E7D"/>
    <w:rsid w:val="118E05D6"/>
    <w:rsid w:val="118E4689"/>
    <w:rsid w:val="11916D25"/>
    <w:rsid w:val="1191FABF"/>
    <w:rsid w:val="11933D48"/>
    <w:rsid w:val="11944013"/>
    <w:rsid w:val="1195A330"/>
    <w:rsid w:val="1195F74D"/>
    <w:rsid w:val="119880FA"/>
    <w:rsid w:val="1198E78B"/>
    <w:rsid w:val="119A8AD1"/>
    <w:rsid w:val="119B52AE"/>
    <w:rsid w:val="119B6C53"/>
    <w:rsid w:val="119BF874"/>
    <w:rsid w:val="119DE5CA"/>
    <w:rsid w:val="119F9376"/>
    <w:rsid w:val="11A5100A"/>
    <w:rsid w:val="11A6666E"/>
    <w:rsid w:val="11A6BC1B"/>
    <w:rsid w:val="11A7FC14"/>
    <w:rsid w:val="11AB34D6"/>
    <w:rsid w:val="11AC1828"/>
    <w:rsid w:val="11AC3388"/>
    <w:rsid w:val="11AD93C1"/>
    <w:rsid w:val="11B4FDD1"/>
    <w:rsid w:val="11BA3ED8"/>
    <w:rsid w:val="11BBAB7D"/>
    <w:rsid w:val="11BEE6D4"/>
    <w:rsid w:val="11C14C32"/>
    <w:rsid w:val="11C18B73"/>
    <w:rsid w:val="11C4AD43"/>
    <w:rsid w:val="11C6B46C"/>
    <w:rsid w:val="11C9754C"/>
    <w:rsid w:val="11CD5DBA"/>
    <w:rsid w:val="11CDC8E3"/>
    <w:rsid w:val="11D0373A"/>
    <w:rsid w:val="11D0A1DC"/>
    <w:rsid w:val="11D175A1"/>
    <w:rsid w:val="11D315C3"/>
    <w:rsid w:val="11D48CD6"/>
    <w:rsid w:val="11D54881"/>
    <w:rsid w:val="11DBC6F5"/>
    <w:rsid w:val="11DC8C7C"/>
    <w:rsid w:val="11DED8F5"/>
    <w:rsid w:val="11DF2AB0"/>
    <w:rsid w:val="11E0210E"/>
    <w:rsid w:val="11E375C2"/>
    <w:rsid w:val="11E5979B"/>
    <w:rsid w:val="11E6E8A9"/>
    <w:rsid w:val="11EDB779"/>
    <w:rsid w:val="11F41311"/>
    <w:rsid w:val="11FBD37B"/>
    <w:rsid w:val="11FE66EA"/>
    <w:rsid w:val="11FE8F03"/>
    <w:rsid w:val="1200113F"/>
    <w:rsid w:val="1202AEAE"/>
    <w:rsid w:val="1204C357"/>
    <w:rsid w:val="12097002"/>
    <w:rsid w:val="120A05E3"/>
    <w:rsid w:val="120DF4BD"/>
    <w:rsid w:val="120EADF1"/>
    <w:rsid w:val="12107EBD"/>
    <w:rsid w:val="1211841A"/>
    <w:rsid w:val="1211B5C1"/>
    <w:rsid w:val="12120BA1"/>
    <w:rsid w:val="1212F486"/>
    <w:rsid w:val="12163B87"/>
    <w:rsid w:val="12177718"/>
    <w:rsid w:val="1219F177"/>
    <w:rsid w:val="121BF622"/>
    <w:rsid w:val="121EFDD4"/>
    <w:rsid w:val="121F29A8"/>
    <w:rsid w:val="121FF346"/>
    <w:rsid w:val="12236354"/>
    <w:rsid w:val="1229716A"/>
    <w:rsid w:val="122AB983"/>
    <w:rsid w:val="122BAFE6"/>
    <w:rsid w:val="122C29F2"/>
    <w:rsid w:val="122C4879"/>
    <w:rsid w:val="122DA3AB"/>
    <w:rsid w:val="122E887B"/>
    <w:rsid w:val="122F028B"/>
    <w:rsid w:val="122F337D"/>
    <w:rsid w:val="12321278"/>
    <w:rsid w:val="1233C8FB"/>
    <w:rsid w:val="1235CDD1"/>
    <w:rsid w:val="123D8846"/>
    <w:rsid w:val="123E4F1E"/>
    <w:rsid w:val="123F8EF5"/>
    <w:rsid w:val="12438E80"/>
    <w:rsid w:val="124BDB78"/>
    <w:rsid w:val="124D2D52"/>
    <w:rsid w:val="124EBB34"/>
    <w:rsid w:val="124ED9B2"/>
    <w:rsid w:val="124FBE49"/>
    <w:rsid w:val="1255E713"/>
    <w:rsid w:val="12566C6E"/>
    <w:rsid w:val="1259CA6C"/>
    <w:rsid w:val="125B15A0"/>
    <w:rsid w:val="1265547E"/>
    <w:rsid w:val="126B81E7"/>
    <w:rsid w:val="127169FE"/>
    <w:rsid w:val="12723B1E"/>
    <w:rsid w:val="12737CA3"/>
    <w:rsid w:val="1273D418"/>
    <w:rsid w:val="12760D5A"/>
    <w:rsid w:val="127A432C"/>
    <w:rsid w:val="127A5B73"/>
    <w:rsid w:val="127E5E2D"/>
    <w:rsid w:val="12800A04"/>
    <w:rsid w:val="1280A123"/>
    <w:rsid w:val="1285BA5C"/>
    <w:rsid w:val="1285C90B"/>
    <w:rsid w:val="12872D63"/>
    <w:rsid w:val="128FED4A"/>
    <w:rsid w:val="1297EBDE"/>
    <w:rsid w:val="12996503"/>
    <w:rsid w:val="129966AA"/>
    <w:rsid w:val="1299AFDD"/>
    <w:rsid w:val="129F475E"/>
    <w:rsid w:val="12A13277"/>
    <w:rsid w:val="12A4DF77"/>
    <w:rsid w:val="12A59E28"/>
    <w:rsid w:val="12A741FF"/>
    <w:rsid w:val="12A91A70"/>
    <w:rsid w:val="12AC1D7D"/>
    <w:rsid w:val="12AF466D"/>
    <w:rsid w:val="12B022B0"/>
    <w:rsid w:val="12B03BEE"/>
    <w:rsid w:val="12B20A42"/>
    <w:rsid w:val="12BC0E3C"/>
    <w:rsid w:val="12BECA00"/>
    <w:rsid w:val="12BF4A57"/>
    <w:rsid w:val="12C26DA4"/>
    <w:rsid w:val="12C49F96"/>
    <w:rsid w:val="12C7C0DC"/>
    <w:rsid w:val="12C7EDBA"/>
    <w:rsid w:val="12C89FE1"/>
    <w:rsid w:val="12C8B425"/>
    <w:rsid w:val="12CCE46D"/>
    <w:rsid w:val="12CE6EA2"/>
    <w:rsid w:val="12D89DEC"/>
    <w:rsid w:val="12DC72DF"/>
    <w:rsid w:val="12DD9273"/>
    <w:rsid w:val="12E67EFD"/>
    <w:rsid w:val="12F1D2EE"/>
    <w:rsid w:val="12F27814"/>
    <w:rsid w:val="12F42D64"/>
    <w:rsid w:val="12F5C87F"/>
    <w:rsid w:val="12F5E697"/>
    <w:rsid w:val="12F61F8E"/>
    <w:rsid w:val="12FBD900"/>
    <w:rsid w:val="12FD2704"/>
    <w:rsid w:val="1304A98E"/>
    <w:rsid w:val="13069832"/>
    <w:rsid w:val="1307563D"/>
    <w:rsid w:val="1307EC8F"/>
    <w:rsid w:val="13093179"/>
    <w:rsid w:val="1309AB5E"/>
    <w:rsid w:val="1309F7B3"/>
    <w:rsid w:val="130CA181"/>
    <w:rsid w:val="130D5326"/>
    <w:rsid w:val="130E05F0"/>
    <w:rsid w:val="130F9BEB"/>
    <w:rsid w:val="1312D366"/>
    <w:rsid w:val="1318BFE0"/>
    <w:rsid w:val="131B7758"/>
    <w:rsid w:val="131BAE26"/>
    <w:rsid w:val="131BB02B"/>
    <w:rsid w:val="13208F2E"/>
    <w:rsid w:val="1320F486"/>
    <w:rsid w:val="13245601"/>
    <w:rsid w:val="1325C88C"/>
    <w:rsid w:val="1326BA06"/>
    <w:rsid w:val="1327B9CF"/>
    <w:rsid w:val="133155D3"/>
    <w:rsid w:val="133251A6"/>
    <w:rsid w:val="1334820B"/>
    <w:rsid w:val="13389C97"/>
    <w:rsid w:val="133F1B3B"/>
    <w:rsid w:val="1340C4A5"/>
    <w:rsid w:val="1342E693"/>
    <w:rsid w:val="13443704"/>
    <w:rsid w:val="134546F7"/>
    <w:rsid w:val="13466AA1"/>
    <w:rsid w:val="1349484C"/>
    <w:rsid w:val="134A594A"/>
    <w:rsid w:val="134C8A6D"/>
    <w:rsid w:val="134FB921"/>
    <w:rsid w:val="1352D2A3"/>
    <w:rsid w:val="1353B811"/>
    <w:rsid w:val="13597782"/>
    <w:rsid w:val="13613680"/>
    <w:rsid w:val="1369115C"/>
    <w:rsid w:val="136F948C"/>
    <w:rsid w:val="1379D10C"/>
    <w:rsid w:val="137C2BA8"/>
    <w:rsid w:val="137FF9DE"/>
    <w:rsid w:val="1380EF06"/>
    <w:rsid w:val="13833094"/>
    <w:rsid w:val="13864BDB"/>
    <w:rsid w:val="13868B9B"/>
    <w:rsid w:val="1387E5ED"/>
    <w:rsid w:val="13946B1A"/>
    <w:rsid w:val="1396BC44"/>
    <w:rsid w:val="13979875"/>
    <w:rsid w:val="139A95C5"/>
    <w:rsid w:val="139B6183"/>
    <w:rsid w:val="139CFC5E"/>
    <w:rsid w:val="13A8827D"/>
    <w:rsid w:val="13A8CAB8"/>
    <w:rsid w:val="13A9DD9E"/>
    <w:rsid w:val="13AAB322"/>
    <w:rsid w:val="13ABBBBD"/>
    <w:rsid w:val="13ABF583"/>
    <w:rsid w:val="13ADB29B"/>
    <w:rsid w:val="13AE9219"/>
    <w:rsid w:val="13B21801"/>
    <w:rsid w:val="13B39603"/>
    <w:rsid w:val="13B5136D"/>
    <w:rsid w:val="13B5D377"/>
    <w:rsid w:val="13BC5AFD"/>
    <w:rsid w:val="13C1E3C7"/>
    <w:rsid w:val="13C40125"/>
    <w:rsid w:val="13C56921"/>
    <w:rsid w:val="13C76064"/>
    <w:rsid w:val="13C99C98"/>
    <w:rsid w:val="13CC43F3"/>
    <w:rsid w:val="13CCA581"/>
    <w:rsid w:val="13D2A896"/>
    <w:rsid w:val="13D3AC88"/>
    <w:rsid w:val="13DAC6FE"/>
    <w:rsid w:val="13E1F969"/>
    <w:rsid w:val="13E2DD80"/>
    <w:rsid w:val="13E41ABA"/>
    <w:rsid w:val="13E423A0"/>
    <w:rsid w:val="13E49F04"/>
    <w:rsid w:val="13E5EB10"/>
    <w:rsid w:val="13EA9A5E"/>
    <w:rsid w:val="13EB070E"/>
    <w:rsid w:val="13EF7C33"/>
    <w:rsid w:val="13F6A67A"/>
    <w:rsid w:val="13F8EEB6"/>
    <w:rsid w:val="13F91AB4"/>
    <w:rsid w:val="1400EA69"/>
    <w:rsid w:val="140110C9"/>
    <w:rsid w:val="14047287"/>
    <w:rsid w:val="140A024E"/>
    <w:rsid w:val="140E1EDD"/>
    <w:rsid w:val="140E4F91"/>
    <w:rsid w:val="14160990"/>
    <w:rsid w:val="141729F8"/>
    <w:rsid w:val="141AE32F"/>
    <w:rsid w:val="141E2BC5"/>
    <w:rsid w:val="14215ABD"/>
    <w:rsid w:val="1421921C"/>
    <w:rsid w:val="1423BCE9"/>
    <w:rsid w:val="1424F9C0"/>
    <w:rsid w:val="142A74EC"/>
    <w:rsid w:val="142BC892"/>
    <w:rsid w:val="142DB73C"/>
    <w:rsid w:val="1430290F"/>
    <w:rsid w:val="143131FB"/>
    <w:rsid w:val="14314D9A"/>
    <w:rsid w:val="1433D3A3"/>
    <w:rsid w:val="1435F794"/>
    <w:rsid w:val="14394309"/>
    <w:rsid w:val="143BEBBE"/>
    <w:rsid w:val="143DBF33"/>
    <w:rsid w:val="1446C269"/>
    <w:rsid w:val="1446E7BA"/>
    <w:rsid w:val="144BE043"/>
    <w:rsid w:val="144D1C01"/>
    <w:rsid w:val="144DD522"/>
    <w:rsid w:val="144E7446"/>
    <w:rsid w:val="14528923"/>
    <w:rsid w:val="1453CC19"/>
    <w:rsid w:val="145678E0"/>
    <w:rsid w:val="145D1CCA"/>
    <w:rsid w:val="145DB9F1"/>
    <w:rsid w:val="14606B8A"/>
    <w:rsid w:val="146529AC"/>
    <w:rsid w:val="1465FD66"/>
    <w:rsid w:val="146A4ACA"/>
    <w:rsid w:val="146FDDBE"/>
    <w:rsid w:val="147951A6"/>
    <w:rsid w:val="147F0FA8"/>
    <w:rsid w:val="1482EC89"/>
    <w:rsid w:val="1487AE7B"/>
    <w:rsid w:val="148CED91"/>
    <w:rsid w:val="1492F5B1"/>
    <w:rsid w:val="149656B9"/>
    <w:rsid w:val="14978022"/>
    <w:rsid w:val="149864F8"/>
    <w:rsid w:val="149B7404"/>
    <w:rsid w:val="149CBFA0"/>
    <w:rsid w:val="14A26893"/>
    <w:rsid w:val="14A2BF00"/>
    <w:rsid w:val="14A44741"/>
    <w:rsid w:val="14A83EE9"/>
    <w:rsid w:val="14A8D390"/>
    <w:rsid w:val="14A9B7BE"/>
    <w:rsid w:val="14AA46C2"/>
    <w:rsid w:val="14AB2E8E"/>
    <w:rsid w:val="14AF4265"/>
    <w:rsid w:val="14B697C7"/>
    <w:rsid w:val="14B890A4"/>
    <w:rsid w:val="14BC674B"/>
    <w:rsid w:val="14BDE296"/>
    <w:rsid w:val="14BEA5D7"/>
    <w:rsid w:val="14BEDDF6"/>
    <w:rsid w:val="14C00B98"/>
    <w:rsid w:val="14C0A3AA"/>
    <w:rsid w:val="14C60707"/>
    <w:rsid w:val="14C61475"/>
    <w:rsid w:val="14C6B5B8"/>
    <w:rsid w:val="14CB990D"/>
    <w:rsid w:val="14CF4C8B"/>
    <w:rsid w:val="14D0BDB8"/>
    <w:rsid w:val="14D311DC"/>
    <w:rsid w:val="14D422AB"/>
    <w:rsid w:val="14D92C66"/>
    <w:rsid w:val="14DBD68A"/>
    <w:rsid w:val="14DDDA4F"/>
    <w:rsid w:val="14DDE026"/>
    <w:rsid w:val="14DE8859"/>
    <w:rsid w:val="14DEE8E7"/>
    <w:rsid w:val="14E1A78D"/>
    <w:rsid w:val="14E1E3AC"/>
    <w:rsid w:val="14E656A5"/>
    <w:rsid w:val="14E998FF"/>
    <w:rsid w:val="14EA05E3"/>
    <w:rsid w:val="14EE4F3A"/>
    <w:rsid w:val="14F78D50"/>
    <w:rsid w:val="14F99678"/>
    <w:rsid w:val="14FA1CC1"/>
    <w:rsid w:val="14FAE893"/>
    <w:rsid w:val="14FE9FD7"/>
    <w:rsid w:val="14FECF07"/>
    <w:rsid w:val="14FF54E6"/>
    <w:rsid w:val="1501C3C5"/>
    <w:rsid w:val="1501EF47"/>
    <w:rsid w:val="1503C202"/>
    <w:rsid w:val="1504DE29"/>
    <w:rsid w:val="1505683C"/>
    <w:rsid w:val="150653DC"/>
    <w:rsid w:val="1508E7AE"/>
    <w:rsid w:val="150A8116"/>
    <w:rsid w:val="150EBE7C"/>
    <w:rsid w:val="15169849"/>
    <w:rsid w:val="1517945C"/>
    <w:rsid w:val="15180FED"/>
    <w:rsid w:val="152353AF"/>
    <w:rsid w:val="1524CA35"/>
    <w:rsid w:val="1524D40F"/>
    <w:rsid w:val="152927D8"/>
    <w:rsid w:val="152948B3"/>
    <w:rsid w:val="15300137"/>
    <w:rsid w:val="1532618E"/>
    <w:rsid w:val="1533EFBE"/>
    <w:rsid w:val="15346C70"/>
    <w:rsid w:val="15354E60"/>
    <w:rsid w:val="153EA728"/>
    <w:rsid w:val="154475A2"/>
    <w:rsid w:val="154706D2"/>
    <w:rsid w:val="154B8351"/>
    <w:rsid w:val="154EB80A"/>
    <w:rsid w:val="1550D736"/>
    <w:rsid w:val="1553498D"/>
    <w:rsid w:val="15538A2C"/>
    <w:rsid w:val="1555307E"/>
    <w:rsid w:val="15591D07"/>
    <w:rsid w:val="155BF3A5"/>
    <w:rsid w:val="1562042F"/>
    <w:rsid w:val="1562098C"/>
    <w:rsid w:val="15636A2A"/>
    <w:rsid w:val="15641E4E"/>
    <w:rsid w:val="1564D2D5"/>
    <w:rsid w:val="15696532"/>
    <w:rsid w:val="156E6658"/>
    <w:rsid w:val="1571228B"/>
    <w:rsid w:val="1577DD82"/>
    <w:rsid w:val="157A2036"/>
    <w:rsid w:val="157A3F9B"/>
    <w:rsid w:val="157E799A"/>
    <w:rsid w:val="1581B55D"/>
    <w:rsid w:val="1583A569"/>
    <w:rsid w:val="1585CC15"/>
    <w:rsid w:val="15885D0F"/>
    <w:rsid w:val="1594DC2F"/>
    <w:rsid w:val="1596BC0F"/>
    <w:rsid w:val="159ACCC0"/>
    <w:rsid w:val="159BC2CC"/>
    <w:rsid w:val="159D5B46"/>
    <w:rsid w:val="15A002D9"/>
    <w:rsid w:val="15A13560"/>
    <w:rsid w:val="15A29864"/>
    <w:rsid w:val="15A40C83"/>
    <w:rsid w:val="15A8EEAB"/>
    <w:rsid w:val="15A936C0"/>
    <w:rsid w:val="15AA1FF2"/>
    <w:rsid w:val="15AA6137"/>
    <w:rsid w:val="15AAD4EF"/>
    <w:rsid w:val="15AF9954"/>
    <w:rsid w:val="15B33F7E"/>
    <w:rsid w:val="15B928CD"/>
    <w:rsid w:val="15B9F7A5"/>
    <w:rsid w:val="15BAF23B"/>
    <w:rsid w:val="15BF76A7"/>
    <w:rsid w:val="15BFA72E"/>
    <w:rsid w:val="15C3569F"/>
    <w:rsid w:val="15C4BF71"/>
    <w:rsid w:val="15C81434"/>
    <w:rsid w:val="15C90974"/>
    <w:rsid w:val="15CBF5AB"/>
    <w:rsid w:val="15CD0032"/>
    <w:rsid w:val="15D02F7F"/>
    <w:rsid w:val="15DA375C"/>
    <w:rsid w:val="15DD7CA9"/>
    <w:rsid w:val="15E0AA80"/>
    <w:rsid w:val="15E38B53"/>
    <w:rsid w:val="15ED3402"/>
    <w:rsid w:val="15EDE0F4"/>
    <w:rsid w:val="15F33053"/>
    <w:rsid w:val="15F4B739"/>
    <w:rsid w:val="15F7042B"/>
    <w:rsid w:val="15F75D21"/>
    <w:rsid w:val="15F8866A"/>
    <w:rsid w:val="15FA903C"/>
    <w:rsid w:val="15FB58C9"/>
    <w:rsid w:val="15FC1B77"/>
    <w:rsid w:val="15FD4E4A"/>
    <w:rsid w:val="15FD62C3"/>
    <w:rsid w:val="1601A422"/>
    <w:rsid w:val="16036F2D"/>
    <w:rsid w:val="16039FF4"/>
    <w:rsid w:val="16067303"/>
    <w:rsid w:val="16086821"/>
    <w:rsid w:val="160BE41F"/>
    <w:rsid w:val="16179F00"/>
    <w:rsid w:val="161947CF"/>
    <w:rsid w:val="161AE7C4"/>
    <w:rsid w:val="161C8E64"/>
    <w:rsid w:val="161C9F1F"/>
    <w:rsid w:val="161F92EA"/>
    <w:rsid w:val="161FEA4E"/>
    <w:rsid w:val="1620116D"/>
    <w:rsid w:val="162015FB"/>
    <w:rsid w:val="1621090A"/>
    <w:rsid w:val="1621CEF4"/>
    <w:rsid w:val="16251B09"/>
    <w:rsid w:val="16283986"/>
    <w:rsid w:val="162C15DE"/>
    <w:rsid w:val="162D3421"/>
    <w:rsid w:val="16304D64"/>
    <w:rsid w:val="16324AEA"/>
    <w:rsid w:val="163844A7"/>
    <w:rsid w:val="1638C328"/>
    <w:rsid w:val="163B5A76"/>
    <w:rsid w:val="163D565C"/>
    <w:rsid w:val="163E6F7F"/>
    <w:rsid w:val="1642E6F3"/>
    <w:rsid w:val="1648363F"/>
    <w:rsid w:val="16485836"/>
    <w:rsid w:val="16498B05"/>
    <w:rsid w:val="164CA9E5"/>
    <w:rsid w:val="1651D4DF"/>
    <w:rsid w:val="16557E73"/>
    <w:rsid w:val="1655D498"/>
    <w:rsid w:val="1656788F"/>
    <w:rsid w:val="165928C4"/>
    <w:rsid w:val="165AE1E8"/>
    <w:rsid w:val="165B48F6"/>
    <w:rsid w:val="165CEE9B"/>
    <w:rsid w:val="165D575F"/>
    <w:rsid w:val="16611ED3"/>
    <w:rsid w:val="1662B434"/>
    <w:rsid w:val="166524E1"/>
    <w:rsid w:val="1666FE95"/>
    <w:rsid w:val="166F0878"/>
    <w:rsid w:val="1671C521"/>
    <w:rsid w:val="16754572"/>
    <w:rsid w:val="167550DA"/>
    <w:rsid w:val="16756A7A"/>
    <w:rsid w:val="167C1766"/>
    <w:rsid w:val="167C2EA3"/>
    <w:rsid w:val="1680B535"/>
    <w:rsid w:val="168646EE"/>
    <w:rsid w:val="168894C9"/>
    <w:rsid w:val="16889C4E"/>
    <w:rsid w:val="1688B555"/>
    <w:rsid w:val="168A16AA"/>
    <w:rsid w:val="168CB5B9"/>
    <w:rsid w:val="168E0124"/>
    <w:rsid w:val="1691157C"/>
    <w:rsid w:val="16913427"/>
    <w:rsid w:val="1691B3AF"/>
    <w:rsid w:val="1691B3D8"/>
    <w:rsid w:val="1695FFE0"/>
    <w:rsid w:val="16991E1C"/>
    <w:rsid w:val="169C6F96"/>
    <w:rsid w:val="16A25ACE"/>
    <w:rsid w:val="16A3448B"/>
    <w:rsid w:val="16A88FC9"/>
    <w:rsid w:val="16AF7169"/>
    <w:rsid w:val="16B1D6F1"/>
    <w:rsid w:val="16C02C81"/>
    <w:rsid w:val="16C6FFD2"/>
    <w:rsid w:val="16C7070F"/>
    <w:rsid w:val="16CB0306"/>
    <w:rsid w:val="16CBB693"/>
    <w:rsid w:val="16CDD663"/>
    <w:rsid w:val="16D0C326"/>
    <w:rsid w:val="16D43A10"/>
    <w:rsid w:val="16DA33EF"/>
    <w:rsid w:val="16E0DA14"/>
    <w:rsid w:val="16E30640"/>
    <w:rsid w:val="16E4332A"/>
    <w:rsid w:val="16E802CE"/>
    <w:rsid w:val="16E85CE3"/>
    <w:rsid w:val="16EB275A"/>
    <w:rsid w:val="16EB5BF1"/>
    <w:rsid w:val="16EE71B4"/>
    <w:rsid w:val="16F0B525"/>
    <w:rsid w:val="16F19C7D"/>
    <w:rsid w:val="16F61E84"/>
    <w:rsid w:val="16F85C97"/>
    <w:rsid w:val="16F890BA"/>
    <w:rsid w:val="16F8B5F3"/>
    <w:rsid w:val="16F8DDB9"/>
    <w:rsid w:val="16F9275F"/>
    <w:rsid w:val="16FD26BD"/>
    <w:rsid w:val="16FE17EF"/>
    <w:rsid w:val="16FF8D26"/>
    <w:rsid w:val="16FFE9D9"/>
    <w:rsid w:val="1701A1CB"/>
    <w:rsid w:val="1701ED97"/>
    <w:rsid w:val="17047FF2"/>
    <w:rsid w:val="17057C59"/>
    <w:rsid w:val="17091CD1"/>
    <w:rsid w:val="170B57B1"/>
    <w:rsid w:val="17105EF0"/>
    <w:rsid w:val="1710EBFE"/>
    <w:rsid w:val="17157169"/>
    <w:rsid w:val="171B5F71"/>
    <w:rsid w:val="171BFFF1"/>
    <w:rsid w:val="171C6F89"/>
    <w:rsid w:val="171E3221"/>
    <w:rsid w:val="171FD881"/>
    <w:rsid w:val="17219F5F"/>
    <w:rsid w:val="172363B4"/>
    <w:rsid w:val="1727DF37"/>
    <w:rsid w:val="172EA0E1"/>
    <w:rsid w:val="172F470C"/>
    <w:rsid w:val="17347B6A"/>
    <w:rsid w:val="17385EE4"/>
    <w:rsid w:val="1738A322"/>
    <w:rsid w:val="173D32C6"/>
    <w:rsid w:val="173D806D"/>
    <w:rsid w:val="173E20C7"/>
    <w:rsid w:val="173E9C62"/>
    <w:rsid w:val="17421615"/>
    <w:rsid w:val="17446AD7"/>
    <w:rsid w:val="1744DDD9"/>
    <w:rsid w:val="174627F8"/>
    <w:rsid w:val="1749899C"/>
    <w:rsid w:val="174B43B2"/>
    <w:rsid w:val="174B7D58"/>
    <w:rsid w:val="175083A2"/>
    <w:rsid w:val="1751C10D"/>
    <w:rsid w:val="1756F6F6"/>
    <w:rsid w:val="1757E635"/>
    <w:rsid w:val="175C1393"/>
    <w:rsid w:val="175CF5BB"/>
    <w:rsid w:val="175F0001"/>
    <w:rsid w:val="17619620"/>
    <w:rsid w:val="1764AB48"/>
    <w:rsid w:val="1764EFA5"/>
    <w:rsid w:val="1765EF91"/>
    <w:rsid w:val="1768DBEE"/>
    <w:rsid w:val="1769492C"/>
    <w:rsid w:val="1769DC12"/>
    <w:rsid w:val="176C8CD7"/>
    <w:rsid w:val="176D6F4A"/>
    <w:rsid w:val="176F4589"/>
    <w:rsid w:val="17706105"/>
    <w:rsid w:val="177297A2"/>
    <w:rsid w:val="17757D0B"/>
    <w:rsid w:val="17773597"/>
    <w:rsid w:val="177735DD"/>
    <w:rsid w:val="177D4AAB"/>
    <w:rsid w:val="177DE6C8"/>
    <w:rsid w:val="177F53BE"/>
    <w:rsid w:val="177F687D"/>
    <w:rsid w:val="178170D4"/>
    <w:rsid w:val="178206EB"/>
    <w:rsid w:val="17848258"/>
    <w:rsid w:val="1784F3E8"/>
    <w:rsid w:val="17864B40"/>
    <w:rsid w:val="1791471C"/>
    <w:rsid w:val="1794393B"/>
    <w:rsid w:val="179510A7"/>
    <w:rsid w:val="179A1463"/>
    <w:rsid w:val="179CC819"/>
    <w:rsid w:val="179E8AF9"/>
    <w:rsid w:val="17A48732"/>
    <w:rsid w:val="17A628AE"/>
    <w:rsid w:val="17AC3B41"/>
    <w:rsid w:val="17AF95A6"/>
    <w:rsid w:val="17B1FAE3"/>
    <w:rsid w:val="17BAE6D4"/>
    <w:rsid w:val="17BF16C9"/>
    <w:rsid w:val="17C239C7"/>
    <w:rsid w:val="17C32A13"/>
    <w:rsid w:val="17C470E3"/>
    <w:rsid w:val="17C92080"/>
    <w:rsid w:val="17CC2EF8"/>
    <w:rsid w:val="17D0AAEC"/>
    <w:rsid w:val="17D17101"/>
    <w:rsid w:val="17D7FBC1"/>
    <w:rsid w:val="17D923E7"/>
    <w:rsid w:val="17D94374"/>
    <w:rsid w:val="17D981E6"/>
    <w:rsid w:val="17DC12C4"/>
    <w:rsid w:val="17DCD134"/>
    <w:rsid w:val="17DDFB50"/>
    <w:rsid w:val="17DF95C4"/>
    <w:rsid w:val="17E37912"/>
    <w:rsid w:val="17E380E3"/>
    <w:rsid w:val="17E6BE46"/>
    <w:rsid w:val="17E91520"/>
    <w:rsid w:val="17EAA26D"/>
    <w:rsid w:val="17EC2465"/>
    <w:rsid w:val="17F03383"/>
    <w:rsid w:val="17F19BD7"/>
    <w:rsid w:val="17F2B73C"/>
    <w:rsid w:val="17F5A05B"/>
    <w:rsid w:val="17F76182"/>
    <w:rsid w:val="17FB0AF7"/>
    <w:rsid w:val="1800AEA9"/>
    <w:rsid w:val="1802AA19"/>
    <w:rsid w:val="18061135"/>
    <w:rsid w:val="180617EB"/>
    <w:rsid w:val="1808D81C"/>
    <w:rsid w:val="180B1020"/>
    <w:rsid w:val="180B11FC"/>
    <w:rsid w:val="180DA146"/>
    <w:rsid w:val="180F9101"/>
    <w:rsid w:val="1812CEA8"/>
    <w:rsid w:val="1812F79E"/>
    <w:rsid w:val="18134FFD"/>
    <w:rsid w:val="1814089D"/>
    <w:rsid w:val="18154865"/>
    <w:rsid w:val="18156CBF"/>
    <w:rsid w:val="181A2305"/>
    <w:rsid w:val="181A7FED"/>
    <w:rsid w:val="181C05E7"/>
    <w:rsid w:val="182061EB"/>
    <w:rsid w:val="1821102E"/>
    <w:rsid w:val="18219130"/>
    <w:rsid w:val="1824F52A"/>
    <w:rsid w:val="1825033B"/>
    <w:rsid w:val="1825FF6A"/>
    <w:rsid w:val="182AAB84"/>
    <w:rsid w:val="182EE473"/>
    <w:rsid w:val="18361823"/>
    <w:rsid w:val="18380799"/>
    <w:rsid w:val="18392475"/>
    <w:rsid w:val="18396027"/>
    <w:rsid w:val="183F9124"/>
    <w:rsid w:val="18425D6E"/>
    <w:rsid w:val="18456DA4"/>
    <w:rsid w:val="184B39D8"/>
    <w:rsid w:val="184D53F6"/>
    <w:rsid w:val="184EFB7F"/>
    <w:rsid w:val="1852BA17"/>
    <w:rsid w:val="18589F7B"/>
    <w:rsid w:val="185DE393"/>
    <w:rsid w:val="1863F9CE"/>
    <w:rsid w:val="18644A94"/>
    <w:rsid w:val="186C081F"/>
    <w:rsid w:val="18719681"/>
    <w:rsid w:val="1873D76A"/>
    <w:rsid w:val="18756855"/>
    <w:rsid w:val="18773C7D"/>
    <w:rsid w:val="1880C867"/>
    <w:rsid w:val="18812295"/>
    <w:rsid w:val="18840CCF"/>
    <w:rsid w:val="18869D93"/>
    <w:rsid w:val="18869F86"/>
    <w:rsid w:val="18873460"/>
    <w:rsid w:val="188B8249"/>
    <w:rsid w:val="188D0E79"/>
    <w:rsid w:val="188E868C"/>
    <w:rsid w:val="18901808"/>
    <w:rsid w:val="1890725F"/>
    <w:rsid w:val="18917483"/>
    <w:rsid w:val="189378C1"/>
    <w:rsid w:val="1893D9B1"/>
    <w:rsid w:val="1897697B"/>
    <w:rsid w:val="189DF6AB"/>
    <w:rsid w:val="189FEB64"/>
    <w:rsid w:val="18A0E63E"/>
    <w:rsid w:val="18A679D9"/>
    <w:rsid w:val="18A7FF28"/>
    <w:rsid w:val="18A899B1"/>
    <w:rsid w:val="18AA7142"/>
    <w:rsid w:val="18AB30DC"/>
    <w:rsid w:val="18AF244E"/>
    <w:rsid w:val="18AF56EB"/>
    <w:rsid w:val="18B31C84"/>
    <w:rsid w:val="18B4ED06"/>
    <w:rsid w:val="18BA99F9"/>
    <w:rsid w:val="18BBFFDA"/>
    <w:rsid w:val="18BDD85F"/>
    <w:rsid w:val="18C01D87"/>
    <w:rsid w:val="18C04F87"/>
    <w:rsid w:val="18C30E75"/>
    <w:rsid w:val="18C4332A"/>
    <w:rsid w:val="18C4EC29"/>
    <w:rsid w:val="18CABE1C"/>
    <w:rsid w:val="18CBB76A"/>
    <w:rsid w:val="18D39AD6"/>
    <w:rsid w:val="18D42EBB"/>
    <w:rsid w:val="18D5F63E"/>
    <w:rsid w:val="18D9646D"/>
    <w:rsid w:val="18DB11F4"/>
    <w:rsid w:val="18DB5854"/>
    <w:rsid w:val="18DCCBA8"/>
    <w:rsid w:val="18DF7067"/>
    <w:rsid w:val="18E147BC"/>
    <w:rsid w:val="18E2A177"/>
    <w:rsid w:val="18E4DA4F"/>
    <w:rsid w:val="18E8A638"/>
    <w:rsid w:val="18E8E55E"/>
    <w:rsid w:val="18EAA551"/>
    <w:rsid w:val="18F0588F"/>
    <w:rsid w:val="18F27154"/>
    <w:rsid w:val="18F54399"/>
    <w:rsid w:val="18F5E10A"/>
    <w:rsid w:val="18FA433D"/>
    <w:rsid w:val="19032179"/>
    <w:rsid w:val="1904595E"/>
    <w:rsid w:val="19071BCD"/>
    <w:rsid w:val="19075279"/>
    <w:rsid w:val="1907F3A0"/>
    <w:rsid w:val="190D4FDA"/>
    <w:rsid w:val="190E0A7A"/>
    <w:rsid w:val="1916D986"/>
    <w:rsid w:val="19178D9A"/>
    <w:rsid w:val="191B4D0F"/>
    <w:rsid w:val="191FBA9A"/>
    <w:rsid w:val="1928D40F"/>
    <w:rsid w:val="1929D1F2"/>
    <w:rsid w:val="1929E00D"/>
    <w:rsid w:val="192D7A4E"/>
    <w:rsid w:val="192DC83C"/>
    <w:rsid w:val="192DD616"/>
    <w:rsid w:val="19327C28"/>
    <w:rsid w:val="193291ED"/>
    <w:rsid w:val="193894E7"/>
    <w:rsid w:val="193D516C"/>
    <w:rsid w:val="193E6A4B"/>
    <w:rsid w:val="19402A07"/>
    <w:rsid w:val="1942AEA7"/>
    <w:rsid w:val="1944B3A7"/>
    <w:rsid w:val="194A1DA9"/>
    <w:rsid w:val="194AB77F"/>
    <w:rsid w:val="1952CD04"/>
    <w:rsid w:val="19539261"/>
    <w:rsid w:val="19582470"/>
    <w:rsid w:val="1958F13B"/>
    <w:rsid w:val="19590102"/>
    <w:rsid w:val="19595C61"/>
    <w:rsid w:val="195A01CD"/>
    <w:rsid w:val="195DBBCC"/>
    <w:rsid w:val="195EAA28"/>
    <w:rsid w:val="195FDA48"/>
    <w:rsid w:val="19609B04"/>
    <w:rsid w:val="19611A0F"/>
    <w:rsid w:val="1962A59E"/>
    <w:rsid w:val="1962FDEF"/>
    <w:rsid w:val="1963718E"/>
    <w:rsid w:val="1965169B"/>
    <w:rsid w:val="1966395F"/>
    <w:rsid w:val="19670BBE"/>
    <w:rsid w:val="19691AA3"/>
    <w:rsid w:val="197411EB"/>
    <w:rsid w:val="1975BBC8"/>
    <w:rsid w:val="19766516"/>
    <w:rsid w:val="1978C218"/>
    <w:rsid w:val="197BD8BB"/>
    <w:rsid w:val="197E7E22"/>
    <w:rsid w:val="1980EFA1"/>
    <w:rsid w:val="1980FE84"/>
    <w:rsid w:val="19818695"/>
    <w:rsid w:val="1981ED18"/>
    <w:rsid w:val="1983E048"/>
    <w:rsid w:val="1984B420"/>
    <w:rsid w:val="198FE3C0"/>
    <w:rsid w:val="199A784C"/>
    <w:rsid w:val="199D0D71"/>
    <w:rsid w:val="199FF0DF"/>
    <w:rsid w:val="19A13310"/>
    <w:rsid w:val="19A733E4"/>
    <w:rsid w:val="19A79B8E"/>
    <w:rsid w:val="19AA225C"/>
    <w:rsid w:val="19ABE389"/>
    <w:rsid w:val="19ADB404"/>
    <w:rsid w:val="19ADC590"/>
    <w:rsid w:val="19B0303F"/>
    <w:rsid w:val="19B35F72"/>
    <w:rsid w:val="19B3B24A"/>
    <w:rsid w:val="19BDC3FB"/>
    <w:rsid w:val="19BEB3A7"/>
    <w:rsid w:val="19C7F11B"/>
    <w:rsid w:val="19CAA129"/>
    <w:rsid w:val="19D27D42"/>
    <w:rsid w:val="19D8DF71"/>
    <w:rsid w:val="19D9B87C"/>
    <w:rsid w:val="19DB3096"/>
    <w:rsid w:val="19DCF1E2"/>
    <w:rsid w:val="19DF7A52"/>
    <w:rsid w:val="19E0561A"/>
    <w:rsid w:val="19E55779"/>
    <w:rsid w:val="19E583BF"/>
    <w:rsid w:val="19E600EA"/>
    <w:rsid w:val="19E617D0"/>
    <w:rsid w:val="19E63B37"/>
    <w:rsid w:val="19EB5CED"/>
    <w:rsid w:val="19ECFBF5"/>
    <w:rsid w:val="19EDD4DE"/>
    <w:rsid w:val="19EECEF0"/>
    <w:rsid w:val="19F4174D"/>
    <w:rsid w:val="19F44D42"/>
    <w:rsid w:val="19F4582A"/>
    <w:rsid w:val="19F9DE9D"/>
    <w:rsid w:val="19FA4031"/>
    <w:rsid w:val="19FF26DF"/>
    <w:rsid w:val="1A003193"/>
    <w:rsid w:val="1A047E4F"/>
    <w:rsid w:val="1A04BD9E"/>
    <w:rsid w:val="1A05E919"/>
    <w:rsid w:val="1A066665"/>
    <w:rsid w:val="1A0682DA"/>
    <w:rsid w:val="1A0683BC"/>
    <w:rsid w:val="1A0784E8"/>
    <w:rsid w:val="1A08B354"/>
    <w:rsid w:val="1A0A5759"/>
    <w:rsid w:val="1A0F41CD"/>
    <w:rsid w:val="1A0F9D34"/>
    <w:rsid w:val="1A1111BA"/>
    <w:rsid w:val="1A11A717"/>
    <w:rsid w:val="1A12BB29"/>
    <w:rsid w:val="1A1A60ED"/>
    <w:rsid w:val="1A1C6913"/>
    <w:rsid w:val="1A1CE577"/>
    <w:rsid w:val="1A22E6B0"/>
    <w:rsid w:val="1A25068A"/>
    <w:rsid w:val="1A2BDD53"/>
    <w:rsid w:val="1A306F50"/>
    <w:rsid w:val="1A30FAB9"/>
    <w:rsid w:val="1A351A09"/>
    <w:rsid w:val="1A35429A"/>
    <w:rsid w:val="1A37154B"/>
    <w:rsid w:val="1A3836EF"/>
    <w:rsid w:val="1A3D942E"/>
    <w:rsid w:val="1A3F5661"/>
    <w:rsid w:val="1A425512"/>
    <w:rsid w:val="1A436DF3"/>
    <w:rsid w:val="1A480FC7"/>
    <w:rsid w:val="1A4B39F7"/>
    <w:rsid w:val="1A4D1D1D"/>
    <w:rsid w:val="1A4DC46F"/>
    <w:rsid w:val="1A4E214A"/>
    <w:rsid w:val="1A510F73"/>
    <w:rsid w:val="1A56FF37"/>
    <w:rsid w:val="1A5CEF1E"/>
    <w:rsid w:val="1A5FFB26"/>
    <w:rsid w:val="1A67D6BD"/>
    <w:rsid w:val="1A69F3D7"/>
    <w:rsid w:val="1A6C3CD8"/>
    <w:rsid w:val="1A6C5919"/>
    <w:rsid w:val="1A6C7953"/>
    <w:rsid w:val="1A7219DE"/>
    <w:rsid w:val="1A726D2C"/>
    <w:rsid w:val="1A72BC1C"/>
    <w:rsid w:val="1A737161"/>
    <w:rsid w:val="1A73E91A"/>
    <w:rsid w:val="1A745448"/>
    <w:rsid w:val="1A74B9A1"/>
    <w:rsid w:val="1A74EF8A"/>
    <w:rsid w:val="1A760765"/>
    <w:rsid w:val="1A761650"/>
    <w:rsid w:val="1A76796B"/>
    <w:rsid w:val="1A768162"/>
    <w:rsid w:val="1A76B3AC"/>
    <w:rsid w:val="1A778B82"/>
    <w:rsid w:val="1A786FA4"/>
    <w:rsid w:val="1A7919AA"/>
    <w:rsid w:val="1A7B00BF"/>
    <w:rsid w:val="1A7D3AB8"/>
    <w:rsid w:val="1A7EEC7F"/>
    <w:rsid w:val="1A83379D"/>
    <w:rsid w:val="1A841A7C"/>
    <w:rsid w:val="1A86A0A3"/>
    <w:rsid w:val="1A894AEF"/>
    <w:rsid w:val="1A89B6D4"/>
    <w:rsid w:val="1A8C4A0E"/>
    <w:rsid w:val="1A8DFF8B"/>
    <w:rsid w:val="1A8FE9EB"/>
    <w:rsid w:val="1A983033"/>
    <w:rsid w:val="1A9CA122"/>
    <w:rsid w:val="1A9D26B6"/>
    <w:rsid w:val="1A9EB1F8"/>
    <w:rsid w:val="1A9F4FF1"/>
    <w:rsid w:val="1AA17CD4"/>
    <w:rsid w:val="1AA249A7"/>
    <w:rsid w:val="1AA50EBA"/>
    <w:rsid w:val="1AA8977B"/>
    <w:rsid w:val="1AA933AC"/>
    <w:rsid w:val="1AB0491D"/>
    <w:rsid w:val="1AB2789F"/>
    <w:rsid w:val="1AB2C17F"/>
    <w:rsid w:val="1AB7BB52"/>
    <w:rsid w:val="1AB88C3F"/>
    <w:rsid w:val="1ABA28AB"/>
    <w:rsid w:val="1ABAC1A8"/>
    <w:rsid w:val="1ABD234D"/>
    <w:rsid w:val="1ABFB84D"/>
    <w:rsid w:val="1AC518D7"/>
    <w:rsid w:val="1AC5B9C1"/>
    <w:rsid w:val="1AC7D88A"/>
    <w:rsid w:val="1ACA748F"/>
    <w:rsid w:val="1ACB3A8A"/>
    <w:rsid w:val="1ACC1CAF"/>
    <w:rsid w:val="1AD1DE83"/>
    <w:rsid w:val="1AD20B5F"/>
    <w:rsid w:val="1AD45BBF"/>
    <w:rsid w:val="1AD5C68A"/>
    <w:rsid w:val="1AD639A2"/>
    <w:rsid w:val="1AD6BBF5"/>
    <w:rsid w:val="1AD81424"/>
    <w:rsid w:val="1AD85CBD"/>
    <w:rsid w:val="1ADC9376"/>
    <w:rsid w:val="1ADF986C"/>
    <w:rsid w:val="1AE2EADF"/>
    <w:rsid w:val="1AE607DB"/>
    <w:rsid w:val="1AE768A1"/>
    <w:rsid w:val="1AE9ECD8"/>
    <w:rsid w:val="1AEC00A1"/>
    <w:rsid w:val="1AEC5E66"/>
    <w:rsid w:val="1AEEA375"/>
    <w:rsid w:val="1AF08816"/>
    <w:rsid w:val="1AF2699B"/>
    <w:rsid w:val="1AF6C8A6"/>
    <w:rsid w:val="1AFC46DD"/>
    <w:rsid w:val="1AFF30D7"/>
    <w:rsid w:val="1AFF92FE"/>
    <w:rsid w:val="1AFFAFA2"/>
    <w:rsid w:val="1B03982F"/>
    <w:rsid w:val="1B04458E"/>
    <w:rsid w:val="1B079C78"/>
    <w:rsid w:val="1B0A77F8"/>
    <w:rsid w:val="1B0B35FE"/>
    <w:rsid w:val="1B0BBAC9"/>
    <w:rsid w:val="1B0BF801"/>
    <w:rsid w:val="1B0F67D5"/>
    <w:rsid w:val="1B12AC00"/>
    <w:rsid w:val="1B14D38C"/>
    <w:rsid w:val="1B16E336"/>
    <w:rsid w:val="1B178D47"/>
    <w:rsid w:val="1B17F060"/>
    <w:rsid w:val="1B19ED15"/>
    <w:rsid w:val="1B1DA704"/>
    <w:rsid w:val="1B1E401C"/>
    <w:rsid w:val="1B251B2C"/>
    <w:rsid w:val="1B25C7F5"/>
    <w:rsid w:val="1B2653E8"/>
    <w:rsid w:val="1B29EAE8"/>
    <w:rsid w:val="1B3067A7"/>
    <w:rsid w:val="1B32AB7E"/>
    <w:rsid w:val="1B355924"/>
    <w:rsid w:val="1B388890"/>
    <w:rsid w:val="1B3E6993"/>
    <w:rsid w:val="1B3E8E0F"/>
    <w:rsid w:val="1B3F6651"/>
    <w:rsid w:val="1B422C59"/>
    <w:rsid w:val="1B43117E"/>
    <w:rsid w:val="1B43CAFD"/>
    <w:rsid w:val="1B460B0F"/>
    <w:rsid w:val="1B49BE58"/>
    <w:rsid w:val="1B4A2D4D"/>
    <w:rsid w:val="1B4D1BFF"/>
    <w:rsid w:val="1B4FF5F4"/>
    <w:rsid w:val="1B51B818"/>
    <w:rsid w:val="1B529842"/>
    <w:rsid w:val="1B5850C4"/>
    <w:rsid w:val="1B5F0E82"/>
    <w:rsid w:val="1B5F3187"/>
    <w:rsid w:val="1B5F8DC7"/>
    <w:rsid w:val="1B5FCE61"/>
    <w:rsid w:val="1B605495"/>
    <w:rsid w:val="1B625C59"/>
    <w:rsid w:val="1B626169"/>
    <w:rsid w:val="1B641540"/>
    <w:rsid w:val="1B65E2DA"/>
    <w:rsid w:val="1B66B8A8"/>
    <w:rsid w:val="1B6A037F"/>
    <w:rsid w:val="1B6A9CD0"/>
    <w:rsid w:val="1B6CC9B8"/>
    <w:rsid w:val="1B6E37B7"/>
    <w:rsid w:val="1B6FB4F6"/>
    <w:rsid w:val="1B7581ED"/>
    <w:rsid w:val="1B78469B"/>
    <w:rsid w:val="1B7DCD7C"/>
    <w:rsid w:val="1B7FD1F1"/>
    <w:rsid w:val="1B8076A8"/>
    <w:rsid w:val="1B808FC6"/>
    <w:rsid w:val="1B821B0E"/>
    <w:rsid w:val="1B868D65"/>
    <w:rsid w:val="1B86E9FE"/>
    <w:rsid w:val="1B8D3355"/>
    <w:rsid w:val="1B8E440D"/>
    <w:rsid w:val="1B90AD4F"/>
    <w:rsid w:val="1B910C4F"/>
    <w:rsid w:val="1B959A5F"/>
    <w:rsid w:val="1B971E41"/>
    <w:rsid w:val="1B98090A"/>
    <w:rsid w:val="1B9917D5"/>
    <w:rsid w:val="1B9B9CEA"/>
    <w:rsid w:val="1B9C3803"/>
    <w:rsid w:val="1B9C9797"/>
    <w:rsid w:val="1B9FAB48"/>
    <w:rsid w:val="1BA002C0"/>
    <w:rsid w:val="1BA66592"/>
    <w:rsid w:val="1BA74411"/>
    <w:rsid w:val="1BA8D655"/>
    <w:rsid w:val="1BA95D49"/>
    <w:rsid w:val="1BAA5577"/>
    <w:rsid w:val="1BAAC352"/>
    <w:rsid w:val="1BABA59D"/>
    <w:rsid w:val="1BAC365D"/>
    <w:rsid w:val="1BAD7799"/>
    <w:rsid w:val="1BBB3414"/>
    <w:rsid w:val="1BBBD4CF"/>
    <w:rsid w:val="1BBCDE88"/>
    <w:rsid w:val="1BBE4DE1"/>
    <w:rsid w:val="1BC59549"/>
    <w:rsid w:val="1BCA5564"/>
    <w:rsid w:val="1BCC42D2"/>
    <w:rsid w:val="1BCFFA70"/>
    <w:rsid w:val="1BD20F75"/>
    <w:rsid w:val="1BD33610"/>
    <w:rsid w:val="1BD5CDA0"/>
    <w:rsid w:val="1BD8B20B"/>
    <w:rsid w:val="1BDA584D"/>
    <w:rsid w:val="1BDC4CA6"/>
    <w:rsid w:val="1BDD3B44"/>
    <w:rsid w:val="1BDFA22C"/>
    <w:rsid w:val="1BDFFCEE"/>
    <w:rsid w:val="1BE004EA"/>
    <w:rsid w:val="1BE2EDEE"/>
    <w:rsid w:val="1BE544B1"/>
    <w:rsid w:val="1BE605E5"/>
    <w:rsid w:val="1BEB5C44"/>
    <w:rsid w:val="1BEC7954"/>
    <w:rsid w:val="1BED50C8"/>
    <w:rsid w:val="1BEE488A"/>
    <w:rsid w:val="1BF0D6C9"/>
    <w:rsid w:val="1BF36938"/>
    <w:rsid w:val="1BFC33C6"/>
    <w:rsid w:val="1BFC7627"/>
    <w:rsid w:val="1BFCEE30"/>
    <w:rsid w:val="1BFD20B1"/>
    <w:rsid w:val="1C00A1D1"/>
    <w:rsid w:val="1C0D4595"/>
    <w:rsid w:val="1C1170AF"/>
    <w:rsid w:val="1C132A3B"/>
    <w:rsid w:val="1C197000"/>
    <w:rsid w:val="1C1CAC64"/>
    <w:rsid w:val="1C1DA7BA"/>
    <w:rsid w:val="1C2312A6"/>
    <w:rsid w:val="1C24AA6B"/>
    <w:rsid w:val="1C2BC28F"/>
    <w:rsid w:val="1C2DA32D"/>
    <w:rsid w:val="1C3343EB"/>
    <w:rsid w:val="1C3600FB"/>
    <w:rsid w:val="1C37F693"/>
    <w:rsid w:val="1C3A2098"/>
    <w:rsid w:val="1C3A531C"/>
    <w:rsid w:val="1C3A8F40"/>
    <w:rsid w:val="1C3D5516"/>
    <w:rsid w:val="1C3FEC5B"/>
    <w:rsid w:val="1C4AAD65"/>
    <w:rsid w:val="1C4EC786"/>
    <w:rsid w:val="1C4F0478"/>
    <w:rsid w:val="1C4F1124"/>
    <w:rsid w:val="1C516ECE"/>
    <w:rsid w:val="1C56DDD3"/>
    <w:rsid w:val="1C5A765D"/>
    <w:rsid w:val="1C5D1FFB"/>
    <w:rsid w:val="1C62B67A"/>
    <w:rsid w:val="1C66143B"/>
    <w:rsid w:val="1C66688B"/>
    <w:rsid w:val="1C6C8EB0"/>
    <w:rsid w:val="1C6DAC86"/>
    <w:rsid w:val="1C6DBD9E"/>
    <w:rsid w:val="1C6EB9B2"/>
    <w:rsid w:val="1C6F08AE"/>
    <w:rsid w:val="1C73B1EB"/>
    <w:rsid w:val="1C73BBB7"/>
    <w:rsid w:val="1C750294"/>
    <w:rsid w:val="1C768EC6"/>
    <w:rsid w:val="1C7F2B46"/>
    <w:rsid w:val="1C837CA9"/>
    <w:rsid w:val="1C84B259"/>
    <w:rsid w:val="1C84FB91"/>
    <w:rsid w:val="1C85BEC5"/>
    <w:rsid w:val="1C86CE2D"/>
    <w:rsid w:val="1C883AE3"/>
    <w:rsid w:val="1C8C07F9"/>
    <w:rsid w:val="1C8D8CE2"/>
    <w:rsid w:val="1C8E9BEB"/>
    <w:rsid w:val="1C904F90"/>
    <w:rsid w:val="1C90DF28"/>
    <w:rsid w:val="1C91BEAE"/>
    <w:rsid w:val="1C91D50F"/>
    <w:rsid w:val="1C93EED0"/>
    <w:rsid w:val="1C9403CC"/>
    <w:rsid w:val="1C958A10"/>
    <w:rsid w:val="1C994FD9"/>
    <w:rsid w:val="1C9BB115"/>
    <w:rsid w:val="1C9BE07C"/>
    <w:rsid w:val="1C9C5CBB"/>
    <w:rsid w:val="1CA050B8"/>
    <w:rsid w:val="1CA0A75B"/>
    <w:rsid w:val="1CA1ED3C"/>
    <w:rsid w:val="1CA1FE92"/>
    <w:rsid w:val="1CA27ACE"/>
    <w:rsid w:val="1CA63C16"/>
    <w:rsid w:val="1CA66DB1"/>
    <w:rsid w:val="1CA756EA"/>
    <w:rsid w:val="1CA76319"/>
    <w:rsid w:val="1CAA1D81"/>
    <w:rsid w:val="1CB561AA"/>
    <w:rsid w:val="1CB6555D"/>
    <w:rsid w:val="1CB7DD6C"/>
    <w:rsid w:val="1CBD949E"/>
    <w:rsid w:val="1CC071E5"/>
    <w:rsid w:val="1CC17C34"/>
    <w:rsid w:val="1CC2EEB0"/>
    <w:rsid w:val="1CC660F5"/>
    <w:rsid w:val="1CC680A6"/>
    <w:rsid w:val="1CC78084"/>
    <w:rsid w:val="1CC86EBF"/>
    <w:rsid w:val="1CC8F0D0"/>
    <w:rsid w:val="1CCBEA19"/>
    <w:rsid w:val="1CCE3554"/>
    <w:rsid w:val="1CCEAB06"/>
    <w:rsid w:val="1CCFFAB1"/>
    <w:rsid w:val="1CD2A429"/>
    <w:rsid w:val="1CD2E724"/>
    <w:rsid w:val="1CD39A30"/>
    <w:rsid w:val="1CE3E20F"/>
    <w:rsid w:val="1CE6FEBD"/>
    <w:rsid w:val="1CEB0129"/>
    <w:rsid w:val="1CED94D5"/>
    <w:rsid w:val="1CEEA80E"/>
    <w:rsid w:val="1CEFE20D"/>
    <w:rsid w:val="1CF0AED9"/>
    <w:rsid w:val="1CF13F79"/>
    <w:rsid w:val="1CF3F0E6"/>
    <w:rsid w:val="1CF5EF2E"/>
    <w:rsid w:val="1CF70C55"/>
    <w:rsid w:val="1CFE2C90"/>
    <w:rsid w:val="1CFEE6A8"/>
    <w:rsid w:val="1D012890"/>
    <w:rsid w:val="1D0488FF"/>
    <w:rsid w:val="1D077C2E"/>
    <w:rsid w:val="1D0985A6"/>
    <w:rsid w:val="1D0D65F5"/>
    <w:rsid w:val="1D0D7AF4"/>
    <w:rsid w:val="1D0F143A"/>
    <w:rsid w:val="1D11432F"/>
    <w:rsid w:val="1D1253DD"/>
    <w:rsid w:val="1D1271D4"/>
    <w:rsid w:val="1D170F53"/>
    <w:rsid w:val="1D188068"/>
    <w:rsid w:val="1D1A1914"/>
    <w:rsid w:val="1D1BB554"/>
    <w:rsid w:val="1D1C45B7"/>
    <w:rsid w:val="1D1C82AF"/>
    <w:rsid w:val="1D1DB70D"/>
    <w:rsid w:val="1D215F58"/>
    <w:rsid w:val="1D21D645"/>
    <w:rsid w:val="1D2D8B65"/>
    <w:rsid w:val="1D2EE02C"/>
    <w:rsid w:val="1D2F6DE5"/>
    <w:rsid w:val="1D335306"/>
    <w:rsid w:val="1D367A17"/>
    <w:rsid w:val="1D387600"/>
    <w:rsid w:val="1D396565"/>
    <w:rsid w:val="1D3B0021"/>
    <w:rsid w:val="1D3BA679"/>
    <w:rsid w:val="1D3D3295"/>
    <w:rsid w:val="1D3D6868"/>
    <w:rsid w:val="1D3DC51F"/>
    <w:rsid w:val="1D3F2C4D"/>
    <w:rsid w:val="1D3F45FF"/>
    <w:rsid w:val="1D41AAD8"/>
    <w:rsid w:val="1D46AB4B"/>
    <w:rsid w:val="1D4D49C3"/>
    <w:rsid w:val="1D4E7C55"/>
    <w:rsid w:val="1D4F8A9D"/>
    <w:rsid w:val="1D50B828"/>
    <w:rsid w:val="1D512D32"/>
    <w:rsid w:val="1D52673E"/>
    <w:rsid w:val="1D52FF69"/>
    <w:rsid w:val="1D550D8D"/>
    <w:rsid w:val="1D566C0C"/>
    <w:rsid w:val="1D56CE82"/>
    <w:rsid w:val="1D5941B5"/>
    <w:rsid w:val="1D5A1CE7"/>
    <w:rsid w:val="1D5ABAD6"/>
    <w:rsid w:val="1D5EBD4E"/>
    <w:rsid w:val="1D5F08B0"/>
    <w:rsid w:val="1D5FA7E0"/>
    <w:rsid w:val="1D61346E"/>
    <w:rsid w:val="1D61FA84"/>
    <w:rsid w:val="1D667005"/>
    <w:rsid w:val="1D69340E"/>
    <w:rsid w:val="1D697537"/>
    <w:rsid w:val="1D6A48F0"/>
    <w:rsid w:val="1D6DAD7B"/>
    <w:rsid w:val="1D6F9D64"/>
    <w:rsid w:val="1D708642"/>
    <w:rsid w:val="1D72A08B"/>
    <w:rsid w:val="1D731E96"/>
    <w:rsid w:val="1D74924F"/>
    <w:rsid w:val="1D7A30F1"/>
    <w:rsid w:val="1D7F70E4"/>
    <w:rsid w:val="1D8827B8"/>
    <w:rsid w:val="1D8946CE"/>
    <w:rsid w:val="1D8A8DF1"/>
    <w:rsid w:val="1D8B448A"/>
    <w:rsid w:val="1D916976"/>
    <w:rsid w:val="1D920930"/>
    <w:rsid w:val="1D9305F2"/>
    <w:rsid w:val="1D992EDB"/>
    <w:rsid w:val="1D9A3955"/>
    <w:rsid w:val="1D9B63C6"/>
    <w:rsid w:val="1D9C2226"/>
    <w:rsid w:val="1D9D79E6"/>
    <w:rsid w:val="1DA838AE"/>
    <w:rsid w:val="1DAA0945"/>
    <w:rsid w:val="1DB36CF1"/>
    <w:rsid w:val="1DB9A837"/>
    <w:rsid w:val="1DB9C924"/>
    <w:rsid w:val="1DBB3920"/>
    <w:rsid w:val="1DBB6C35"/>
    <w:rsid w:val="1DBE128A"/>
    <w:rsid w:val="1DBE9F2B"/>
    <w:rsid w:val="1DBEDBF1"/>
    <w:rsid w:val="1DC09F9A"/>
    <w:rsid w:val="1DC257D5"/>
    <w:rsid w:val="1DC3016E"/>
    <w:rsid w:val="1DC6FDB5"/>
    <w:rsid w:val="1DCA8870"/>
    <w:rsid w:val="1DCF435A"/>
    <w:rsid w:val="1DD1060A"/>
    <w:rsid w:val="1DD2006D"/>
    <w:rsid w:val="1DD50AD1"/>
    <w:rsid w:val="1DD535DF"/>
    <w:rsid w:val="1DD90151"/>
    <w:rsid w:val="1DDBE280"/>
    <w:rsid w:val="1DDEF07B"/>
    <w:rsid w:val="1DE125F0"/>
    <w:rsid w:val="1DE16F33"/>
    <w:rsid w:val="1DE28B85"/>
    <w:rsid w:val="1DE500BD"/>
    <w:rsid w:val="1DE54906"/>
    <w:rsid w:val="1DE8240C"/>
    <w:rsid w:val="1DF0FE31"/>
    <w:rsid w:val="1DF21AF2"/>
    <w:rsid w:val="1DF91026"/>
    <w:rsid w:val="1DF9F5F5"/>
    <w:rsid w:val="1DF9F78B"/>
    <w:rsid w:val="1DFAA26D"/>
    <w:rsid w:val="1DFF12DA"/>
    <w:rsid w:val="1E00FF37"/>
    <w:rsid w:val="1E032751"/>
    <w:rsid w:val="1E034D98"/>
    <w:rsid w:val="1E07B7B8"/>
    <w:rsid w:val="1E09F143"/>
    <w:rsid w:val="1E0FA973"/>
    <w:rsid w:val="1E11BCA6"/>
    <w:rsid w:val="1E13FD03"/>
    <w:rsid w:val="1E1953A3"/>
    <w:rsid w:val="1E1A3E04"/>
    <w:rsid w:val="1E1BC01D"/>
    <w:rsid w:val="1E1F8D93"/>
    <w:rsid w:val="1E21BA3D"/>
    <w:rsid w:val="1E2C1EEB"/>
    <w:rsid w:val="1E2CDA99"/>
    <w:rsid w:val="1E2CFE5A"/>
    <w:rsid w:val="1E2E15D1"/>
    <w:rsid w:val="1E2F292D"/>
    <w:rsid w:val="1E2FEF5C"/>
    <w:rsid w:val="1E30AB52"/>
    <w:rsid w:val="1E341EBB"/>
    <w:rsid w:val="1E361626"/>
    <w:rsid w:val="1E362BD7"/>
    <w:rsid w:val="1E377A14"/>
    <w:rsid w:val="1E3A450C"/>
    <w:rsid w:val="1E3BEA71"/>
    <w:rsid w:val="1E3CE7E6"/>
    <w:rsid w:val="1E3D8355"/>
    <w:rsid w:val="1E414E7A"/>
    <w:rsid w:val="1E435C74"/>
    <w:rsid w:val="1E487C75"/>
    <w:rsid w:val="1E4B6BEF"/>
    <w:rsid w:val="1E4C7B98"/>
    <w:rsid w:val="1E4D8657"/>
    <w:rsid w:val="1E4E07AC"/>
    <w:rsid w:val="1E4EF9DA"/>
    <w:rsid w:val="1E4EFAD9"/>
    <w:rsid w:val="1E4FC4A9"/>
    <w:rsid w:val="1E550218"/>
    <w:rsid w:val="1E58FF7A"/>
    <w:rsid w:val="1E5A7402"/>
    <w:rsid w:val="1E5AA70F"/>
    <w:rsid w:val="1E5B5727"/>
    <w:rsid w:val="1E5BEEB2"/>
    <w:rsid w:val="1E5E457E"/>
    <w:rsid w:val="1E5FC1EB"/>
    <w:rsid w:val="1E66D1FE"/>
    <w:rsid w:val="1E671193"/>
    <w:rsid w:val="1E6D62C9"/>
    <w:rsid w:val="1E6FF9E8"/>
    <w:rsid w:val="1E7365BB"/>
    <w:rsid w:val="1E73EFF6"/>
    <w:rsid w:val="1E74E031"/>
    <w:rsid w:val="1E774F42"/>
    <w:rsid w:val="1E786083"/>
    <w:rsid w:val="1E87B867"/>
    <w:rsid w:val="1E89CEA2"/>
    <w:rsid w:val="1E8E241F"/>
    <w:rsid w:val="1E8F2F4E"/>
    <w:rsid w:val="1E918563"/>
    <w:rsid w:val="1E91BD71"/>
    <w:rsid w:val="1E978DD3"/>
    <w:rsid w:val="1E9F889F"/>
    <w:rsid w:val="1EA05960"/>
    <w:rsid w:val="1EA47E5A"/>
    <w:rsid w:val="1EA85075"/>
    <w:rsid w:val="1EA94C7A"/>
    <w:rsid w:val="1EAA50B1"/>
    <w:rsid w:val="1EAE5F34"/>
    <w:rsid w:val="1EB00418"/>
    <w:rsid w:val="1EB018FC"/>
    <w:rsid w:val="1EB98F3A"/>
    <w:rsid w:val="1EBA04E9"/>
    <w:rsid w:val="1EBB7ECB"/>
    <w:rsid w:val="1EC299A1"/>
    <w:rsid w:val="1EC59864"/>
    <w:rsid w:val="1EC6E8E7"/>
    <w:rsid w:val="1EC86E3F"/>
    <w:rsid w:val="1ECEEB0C"/>
    <w:rsid w:val="1ED2DCEC"/>
    <w:rsid w:val="1ED59046"/>
    <w:rsid w:val="1ED81364"/>
    <w:rsid w:val="1ED89F24"/>
    <w:rsid w:val="1ED8B4C2"/>
    <w:rsid w:val="1ED9B23D"/>
    <w:rsid w:val="1EDBE790"/>
    <w:rsid w:val="1EDDA092"/>
    <w:rsid w:val="1EDE721C"/>
    <w:rsid w:val="1EE118BD"/>
    <w:rsid w:val="1EE525A7"/>
    <w:rsid w:val="1EE5FD53"/>
    <w:rsid w:val="1EE62366"/>
    <w:rsid w:val="1EE7805E"/>
    <w:rsid w:val="1EE79DF4"/>
    <w:rsid w:val="1EE8B1A7"/>
    <w:rsid w:val="1EF00A67"/>
    <w:rsid w:val="1EF4677C"/>
    <w:rsid w:val="1EF485F2"/>
    <w:rsid w:val="1EFB334A"/>
    <w:rsid w:val="1EFCEEE4"/>
    <w:rsid w:val="1EFE521A"/>
    <w:rsid w:val="1EFEE3F2"/>
    <w:rsid w:val="1F05CE8B"/>
    <w:rsid w:val="1F06E9B4"/>
    <w:rsid w:val="1F0A8FAE"/>
    <w:rsid w:val="1F0AC7AF"/>
    <w:rsid w:val="1F0BF17A"/>
    <w:rsid w:val="1F0CDE49"/>
    <w:rsid w:val="1F0E3306"/>
    <w:rsid w:val="1F13120F"/>
    <w:rsid w:val="1F196B24"/>
    <w:rsid w:val="1F1B103A"/>
    <w:rsid w:val="1F1BE55A"/>
    <w:rsid w:val="1F1CB246"/>
    <w:rsid w:val="1F21EC32"/>
    <w:rsid w:val="1F26A6E9"/>
    <w:rsid w:val="1F27E17E"/>
    <w:rsid w:val="1F27F702"/>
    <w:rsid w:val="1F28D706"/>
    <w:rsid w:val="1F291F36"/>
    <w:rsid w:val="1F29A54A"/>
    <w:rsid w:val="1F30177C"/>
    <w:rsid w:val="1F307581"/>
    <w:rsid w:val="1F30FB40"/>
    <w:rsid w:val="1F410F5D"/>
    <w:rsid w:val="1F427DF4"/>
    <w:rsid w:val="1F4339E9"/>
    <w:rsid w:val="1F448E20"/>
    <w:rsid w:val="1F44D469"/>
    <w:rsid w:val="1F477837"/>
    <w:rsid w:val="1F4BDDC7"/>
    <w:rsid w:val="1F4BFCFF"/>
    <w:rsid w:val="1F4CE899"/>
    <w:rsid w:val="1F4DC949"/>
    <w:rsid w:val="1F4E67BE"/>
    <w:rsid w:val="1F4E85A6"/>
    <w:rsid w:val="1F51C99F"/>
    <w:rsid w:val="1F529DB1"/>
    <w:rsid w:val="1F584961"/>
    <w:rsid w:val="1F5E57AF"/>
    <w:rsid w:val="1F5F8353"/>
    <w:rsid w:val="1F5FC0CC"/>
    <w:rsid w:val="1F5FDD3E"/>
    <w:rsid w:val="1F61C797"/>
    <w:rsid w:val="1F62DACF"/>
    <w:rsid w:val="1F65CFF2"/>
    <w:rsid w:val="1F661A03"/>
    <w:rsid w:val="1F6CFEB9"/>
    <w:rsid w:val="1F6FC4F0"/>
    <w:rsid w:val="1F6FFA85"/>
    <w:rsid w:val="1F716F02"/>
    <w:rsid w:val="1F748EA8"/>
    <w:rsid w:val="1F75E9E0"/>
    <w:rsid w:val="1F7731F9"/>
    <w:rsid w:val="1F7A3816"/>
    <w:rsid w:val="1F7C8854"/>
    <w:rsid w:val="1F7FC67B"/>
    <w:rsid w:val="1F80DA17"/>
    <w:rsid w:val="1F8175F8"/>
    <w:rsid w:val="1F8255D9"/>
    <w:rsid w:val="1F83A256"/>
    <w:rsid w:val="1F878100"/>
    <w:rsid w:val="1F8B0551"/>
    <w:rsid w:val="1F8E9FAF"/>
    <w:rsid w:val="1F90F11B"/>
    <w:rsid w:val="1F96EC69"/>
    <w:rsid w:val="1F9EAC7D"/>
    <w:rsid w:val="1FA08FA6"/>
    <w:rsid w:val="1FA2BAE5"/>
    <w:rsid w:val="1FA968FC"/>
    <w:rsid w:val="1FAB4195"/>
    <w:rsid w:val="1FB018CB"/>
    <w:rsid w:val="1FB16E13"/>
    <w:rsid w:val="1FB390AE"/>
    <w:rsid w:val="1FB40784"/>
    <w:rsid w:val="1FB56B68"/>
    <w:rsid w:val="1FB58565"/>
    <w:rsid w:val="1FB7ACA1"/>
    <w:rsid w:val="1FB90872"/>
    <w:rsid w:val="1FBAB2C2"/>
    <w:rsid w:val="1FC5E36B"/>
    <w:rsid w:val="1FC71115"/>
    <w:rsid w:val="1FC9ED00"/>
    <w:rsid w:val="1FCAA4C1"/>
    <w:rsid w:val="1FD1D7AC"/>
    <w:rsid w:val="1FD28063"/>
    <w:rsid w:val="1FD5DFB8"/>
    <w:rsid w:val="1FD7026C"/>
    <w:rsid w:val="1FD8D53B"/>
    <w:rsid w:val="1FDAEDEA"/>
    <w:rsid w:val="1FDBB9E7"/>
    <w:rsid w:val="1FDC75AF"/>
    <w:rsid w:val="1FDF8C5D"/>
    <w:rsid w:val="1FE00590"/>
    <w:rsid w:val="1FE1204B"/>
    <w:rsid w:val="1FE14312"/>
    <w:rsid w:val="1FE1C6E8"/>
    <w:rsid w:val="1FE81822"/>
    <w:rsid w:val="1FEA6767"/>
    <w:rsid w:val="1FEAB15D"/>
    <w:rsid w:val="1FEAB848"/>
    <w:rsid w:val="1FECD113"/>
    <w:rsid w:val="1FF075D5"/>
    <w:rsid w:val="1FF10F1A"/>
    <w:rsid w:val="1FF21846"/>
    <w:rsid w:val="1FF2A847"/>
    <w:rsid w:val="1FF2BA94"/>
    <w:rsid w:val="1FF422FE"/>
    <w:rsid w:val="1FF4905B"/>
    <w:rsid w:val="1FF51A2E"/>
    <w:rsid w:val="1FF63B47"/>
    <w:rsid w:val="1FF70291"/>
    <w:rsid w:val="1FF9C647"/>
    <w:rsid w:val="1FFA2D3C"/>
    <w:rsid w:val="1FFD8644"/>
    <w:rsid w:val="1FFE161E"/>
    <w:rsid w:val="2001498F"/>
    <w:rsid w:val="2003AC85"/>
    <w:rsid w:val="200643A6"/>
    <w:rsid w:val="200CC54E"/>
    <w:rsid w:val="20121A6F"/>
    <w:rsid w:val="20185CF7"/>
    <w:rsid w:val="2018C1C3"/>
    <w:rsid w:val="201CA21E"/>
    <w:rsid w:val="201F87D7"/>
    <w:rsid w:val="201FA411"/>
    <w:rsid w:val="2022109F"/>
    <w:rsid w:val="2022E454"/>
    <w:rsid w:val="20268632"/>
    <w:rsid w:val="202A9FEE"/>
    <w:rsid w:val="202B6799"/>
    <w:rsid w:val="202D95B0"/>
    <w:rsid w:val="2030677D"/>
    <w:rsid w:val="2033EDEF"/>
    <w:rsid w:val="20341FDF"/>
    <w:rsid w:val="2034989D"/>
    <w:rsid w:val="2036CAD8"/>
    <w:rsid w:val="2036D3DF"/>
    <w:rsid w:val="2038D24C"/>
    <w:rsid w:val="2038E291"/>
    <w:rsid w:val="20397EA1"/>
    <w:rsid w:val="203DD5BD"/>
    <w:rsid w:val="20482176"/>
    <w:rsid w:val="20485D56"/>
    <w:rsid w:val="204ADF6C"/>
    <w:rsid w:val="204B4369"/>
    <w:rsid w:val="204C9247"/>
    <w:rsid w:val="20551751"/>
    <w:rsid w:val="20567261"/>
    <w:rsid w:val="2058B3BB"/>
    <w:rsid w:val="2059DCB3"/>
    <w:rsid w:val="205AF67B"/>
    <w:rsid w:val="205B3EE7"/>
    <w:rsid w:val="205DB8E5"/>
    <w:rsid w:val="205E3A0A"/>
    <w:rsid w:val="206281A3"/>
    <w:rsid w:val="2065665B"/>
    <w:rsid w:val="2067F05C"/>
    <w:rsid w:val="2069DE97"/>
    <w:rsid w:val="206A07A1"/>
    <w:rsid w:val="206DB888"/>
    <w:rsid w:val="206DFBA4"/>
    <w:rsid w:val="206F5A49"/>
    <w:rsid w:val="206FC562"/>
    <w:rsid w:val="207676E7"/>
    <w:rsid w:val="2076D41E"/>
    <w:rsid w:val="207AD489"/>
    <w:rsid w:val="207D3FD8"/>
    <w:rsid w:val="207EB963"/>
    <w:rsid w:val="20830FA2"/>
    <w:rsid w:val="20849209"/>
    <w:rsid w:val="20864237"/>
    <w:rsid w:val="20869125"/>
    <w:rsid w:val="2088602D"/>
    <w:rsid w:val="20889B9E"/>
    <w:rsid w:val="208C31C9"/>
    <w:rsid w:val="208CBB0F"/>
    <w:rsid w:val="208CEB41"/>
    <w:rsid w:val="208D172A"/>
    <w:rsid w:val="208E5E47"/>
    <w:rsid w:val="208EDC47"/>
    <w:rsid w:val="208F0F3F"/>
    <w:rsid w:val="2091C18C"/>
    <w:rsid w:val="20963D4E"/>
    <w:rsid w:val="20967D71"/>
    <w:rsid w:val="209DD6C9"/>
    <w:rsid w:val="209F1687"/>
    <w:rsid w:val="20A06A20"/>
    <w:rsid w:val="20A0CBF8"/>
    <w:rsid w:val="20A1ABF7"/>
    <w:rsid w:val="20A5A026"/>
    <w:rsid w:val="20A6EB13"/>
    <w:rsid w:val="20A7034B"/>
    <w:rsid w:val="20ABDE37"/>
    <w:rsid w:val="20AFDB4B"/>
    <w:rsid w:val="20B291D7"/>
    <w:rsid w:val="20B37801"/>
    <w:rsid w:val="20B6456D"/>
    <w:rsid w:val="20B79259"/>
    <w:rsid w:val="20B90ADF"/>
    <w:rsid w:val="20BB0C92"/>
    <w:rsid w:val="20BBC6FB"/>
    <w:rsid w:val="20BCBCA5"/>
    <w:rsid w:val="20BF5A15"/>
    <w:rsid w:val="20C28678"/>
    <w:rsid w:val="20CCE78B"/>
    <w:rsid w:val="20CD8178"/>
    <w:rsid w:val="20D5347E"/>
    <w:rsid w:val="20D64414"/>
    <w:rsid w:val="20D6492A"/>
    <w:rsid w:val="20D81AC8"/>
    <w:rsid w:val="20D8FEB2"/>
    <w:rsid w:val="20D978C7"/>
    <w:rsid w:val="20D9D47C"/>
    <w:rsid w:val="20DAE2E0"/>
    <w:rsid w:val="20DC2030"/>
    <w:rsid w:val="20DC632D"/>
    <w:rsid w:val="20E0AEE3"/>
    <w:rsid w:val="20E0B7FE"/>
    <w:rsid w:val="20E643A5"/>
    <w:rsid w:val="20EFFDDE"/>
    <w:rsid w:val="20F5F603"/>
    <w:rsid w:val="20F6DEB7"/>
    <w:rsid w:val="20F76B2F"/>
    <w:rsid w:val="20F7B5FF"/>
    <w:rsid w:val="20F89D6F"/>
    <w:rsid w:val="20FD19EB"/>
    <w:rsid w:val="20FE6598"/>
    <w:rsid w:val="2103FDA7"/>
    <w:rsid w:val="210450EB"/>
    <w:rsid w:val="21054AEB"/>
    <w:rsid w:val="2110F2DE"/>
    <w:rsid w:val="211444ED"/>
    <w:rsid w:val="21170F58"/>
    <w:rsid w:val="21175231"/>
    <w:rsid w:val="211CC9A6"/>
    <w:rsid w:val="212083D6"/>
    <w:rsid w:val="2120DF64"/>
    <w:rsid w:val="2122A1BA"/>
    <w:rsid w:val="2123034A"/>
    <w:rsid w:val="21230DB1"/>
    <w:rsid w:val="21235BCB"/>
    <w:rsid w:val="21271A0E"/>
    <w:rsid w:val="2127A576"/>
    <w:rsid w:val="212B1E65"/>
    <w:rsid w:val="212B9EA6"/>
    <w:rsid w:val="212BE049"/>
    <w:rsid w:val="21306592"/>
    <w:rsid w:val="2132775A"/>
    <w:rsid w:val="2135DFE2"/>
    <w:rsid w:val="2137730C"/>
    <w:rsid w:val="213F77BE"/>
    <w:rsid w:val="2141C31D"/>
    <w:rsid w:val="214369BF"/>
    <w:rsid w:val="21446879"/>
    <w:rsid w:val="2146A465"/>
    <w:rsid w:val="2149C844"/>
    <w:rsid w:val="214A6C2F"/>
    <w:rsid w:val="214AF618"/>
    <w:rsid w:val="214B05CB"/>
    <w:rsid w:val="214B21DC"/>
    <w:rsid w:val="214BA269"/>
    <w:rsid w:val="214C2E83"/>
    <w:rsid w:val="214D478C"/>
    <w:rsid w:val="2150D57E"/>
    <w:rsid w:val="21524C01"/>
    <w:rsid w:val="21525C84"/>
    <w:rsid w:val="21528571"/>
    <w:rsid w:val="2153D818"/>
    <w:rsid w:val="2155F8DF"/>
    <w:rsid w:val="215640D6"/>
    <w:rsid w:val="215D01D7"/>
    <w:rsid w:val="215DC90C"/>
    <w:rsid w:val="21651AC9"/>
    <w:rsid w:val="21682ACB"/>
    <w:rsid w:val="2169C6BE"/>
    <w:rsid w:val="216AE246"/>
    <w:rsid w:val="216DA773"/>
    <w:rsid w:val="2171163F"/>
    <w:rsid w:val="217142BA"/>
    <w:rsid w:val="217588AF"/>
    <w:rsid w:val="217A8770"/>
    <w:rsid w:val="217C95D1"/>
    <w:rsid w:val="217CFC22"/>
    <w:rsid w:val="2181C9FD"/>
    <w:rsid w:val="21827321"/>
    <w:rsid w:val="2185738F"/>
    <w:rsid w:val="21860C0E"/>
    <w:rsid w:val="2189374D"/>
    <w:rsid w:val="2190699B"/>
    <w:rsid w:val="21923E26"/>
    <w:rsid w:val="21934AB5"/>
    <w:rsid w:val="2193E1F4"/>
    <w:rsid w:val="2195A89E"/>
    <w:rsid w:val="2196D073"/>
    <w:rsid w:val="2198E1BD"/>
    <w:rsid w:val="219B3E63"/>
    <w:rsid w:val="219B7E41"/>
    <w:rsid w:val="219BBE78"/>
    <w:rsid w:val="219EB200"/>
    <w:rsid w:val="21A49602"/>
    <w:rsid w:val="21A51866"/>
    <w:rsid w:val="21A5B23D"/>
    <w:rsid w:val="21A83675"/>
    <w:rsid w:val="21ABBA8F"/>
    <w:rsid w:val="21ACD575"/>
    <w:rsid w:val="21B59DEE"/>
    <w:rsid w:val="21B5B927"/>
    <w:rsid w:val="21B5D7D4"/>
    <w:rsid w:val="21BA8C23"/>
    <w:rsid w:val="21BC515C"/>
    <w:rsid w:val="21C52F44"/>
    <w:rsid w:val="21C6F461"/>
    <w:rsid w:val="21CDE181"/>
    <w:rsid w:val="21D7AFF8"/>
    <w:rsid w:val="21D7E671"/>
    <w:rsid w:val="21D8C20A"/>
    <w:rsid w:val="21D9DEE5"/>
    <w:rsid w:val="21DE9662"/>
    <w:rsid w:val="21DF70B9"/>
    <w:rsid w:val="21DFB6F2"/>
    <w:rsid w:val="21E0E37F"/>
    <w:rsid w:val="21E2B3BE"/>
    <w:rsid w:val="21E58AC0"/>
    <w:rsid w:val="21E62291"/>
    <w:rsid w:val="21E81B47"/>
    <w:rsid w:val="21E9228F"/>
    <w:rsid w:val="21EC24A7"/>
    <w:rsid w:val="21EE9405"/>
    <w:rsid w:val="21EF0532"/>
    <w:rsid w:val="21F720C1"/>
    <w:rsid w:val="21FA868C"/>
    <w:rsid w:val="21FE5486"/>
    <w:rsid w:val="21FE8C12"/>
    <w:rsid w:val="21FF81CB"/>
    <w:rsid w:val="2207274D"/>
    <w:rsid w:val="220978A1"/>
    <w:rsid w:val="220A1FA9"/>
    <w:rsid w:val="220D0656"/>
    <w:rsid w:val="220E466B"/>
    <w:rsid w:val="220F188F"/>
    <w:rsid w:val="2210D5C2"/>
    <w:rsid w:val="22186FD4"/>
    <w:rsid w:val="221A133D"/>
    <w:rsid w:val="221ADB34"/>
    <w:rsid w:val="221DE24E"/>
    <w:rsid w:val="221ED055"/>
    <w:rsid w:val="221F7056"/>
    <w:rsid w:val="2222C691"/>
    <w:rsid w:val="2223E1C1"/>
    <w:rsid w:val="22241CA4"/>
    <w:rsid w:val="222833E1"/>
    <w:rsid w:val="2229B796"/>
    <w:rsid w:val="222C627A"/>
    <w:rsid w:val="222D925E"/>
    <w:rsid w:val="222DA947"/>
    <w:rsid w:val="222DB7A7"/>
    <w:rsid w:val="223B6AD3"/>
    <w:rsid w:val="223BE15E"/>
    <w:rsid w:val="223D53B1"/>
    <w:rsid w:val="223F48D4"/>
    <w:rsid w:val="22448F95"/>
    <w:rsid w:val="2244CEC4"/>
    <w:rsid w:val="2249B6C8"/>
    <w:rsid w:val="2249D28E"/>
    <w:rsid w:val="224A6947"/>
    <w:rsid w:val="224CB591"/>
    <w:rsid w:val="22533462"/>
    <w:rsid w:val="225574EB"/>
    <w:rsid w:val="2255D0F8"/>
    <w:rsid w:val="22560C1B"/>
    <w:rsid w:val="2259436C"/>
    <w:rsid w:val="225986BC"/>
    <w:rsid w:val="225BBE87"/>
    <w:rsid w:val="225E7FAB"/>
    <w:rsid w:val="226290A4"/>
    <w:rsid w:val="22638929"/>
    <w:rsid w:val="226656AA"/>
    <w:rsid w:val="2267BD65"/>
    <w:rsid w:val="226A5E2E"/>
    <w:rsid w:val="226AC50B"/>
    <w:rsid w:val="226BE6D3"/>
    <w:rsid w:val="226DF550"/>
    <w:rsid w:val="226F4F07"/>
    <w:rsid w:val="226FDD4B"/>
    <w:rsid w:val="2273C185"/>
    <w:rsid w:val="227676E4"/>
    <w:rsid w:val="22797FB5"/>
    <w:rsid w:val="227C0F8E"/>
    <w:rsid w:val="227CD5E2"/>
    <w:rsid w:val="227E9FE7"/>
    <w:rsid w:val="227FAE19"/>
    <w:rsid w:val="2281AEFA"/>
    <w:rsid w:val="22822B85"/>
    <w:rsid w:val="22848E21"/>
    <w:rsid w:val="22866A88"/>
    <w:rsid w:val="228B4323"/>
    <w:rsid w:val="228CEA07"/>
    <w:rsid w:val="228E215D"/>
    <w:rsid w:val="228E98A1"/>
    <w:rsid w:val="22905923"/>
    <w:rsid w:val="22922DCF"/>
    <w:rsid w:val="2294A0B8"/>
    <w:rsid w:val="229B63A2"/>
    <w:rsid w:val="229BC033"/>
    <w:rsid w:val="22A149B7"/>
    <w:rsid w:val="22A3999F"/>
    <w:rsid w:val="22A4DF72"/>
    <w:rsid w:val="22A4FE32"/>
    <w:rsid w:val="22A65B4B"/>
    <w:rsid w:val="22A72BF8"/>
    <w:rsid w:val="22A99DF3"/>
    <w:rsid w:val="22AB3D92"/>
    <w:rsid w:val="22AC93BD"/>
    <w:rsid w:val="22ADBA70"/>
    <w:rsid w:val="22ADEE8A"/>
    <w:rsid w:val="22AE53D2"/>
    <w:rsid w:val="22AF07B1"/>
    <w:rsid w:val="22B0B45D"/>
    <w:rsid w:val="22B3F68A"/>
    <w:rsid w:val="22B45673"/>
    <w:rsid w:val="22B5039A"/>
    <w:rsid w:val="22B53E4C"/>
    <w:rsid w:val="22BD91E7"/>
    <w:rsid w:val="22BED54A"/>
    <w:rsid w:val="22C05FB1"/>
    <w:rsid w:val="22C06FDA"/>
    <w:rsid w:val="22C326FF"/>
    <w:rsid w:val="22C35932"/>
    <w:rsid w:val="22C4A8B8"/>
    <w:rsid w:val="22C5A863"/>
    <w:rsid w:val="22C61375"/>
    <w:rsid w:val="22C6BB1A"/>
    <w:rsid w:val="22C90103"/>
    <w:rsid w:val="22C9956A"/>
    <w:rsid w:val="22CCB085"/>
    <w:rsid w:val="22CDB043"/>
    <w:rsid w:val="22DCFA8D"/>
    <w:rsid w:val="22E07B29"/>
    <w:rsid w:val="22E18270"/>
    <w:rsid w:val="22E3EA57"/>
    <w:rsid w:val="22E49532"/>
    <w:rsid w:val="22F0301C"/>
    <w:rsid w:val="22F18F95"/>
    <w:rsid w:val="22F33D19"/>
    <w:rsid w:val="22F71C53"/>
    <w:rsid w:val="22F82565"/>
    <w:rsid w:val="22F8B6BB"/>
    <w:rsid w:val="22FC38E5"/>
    <w:rsid w:val="22FE5E3E"/>
    <w:rsid w:val="22FFCBB8"/>
    <w:rsid w:val="230246A4"/>
    <w:rsid w:val="23067C01"/>
    <w:rsid w:val="2307DE4C"/>
    <w:rsid w:val="230A68E7"/>
    <w:rsid w:val="230AFB53"/>
    <w:rsid w:val="230B8EA3"/>
    <w:rsid w:val="230CFDB6"/>
    <w:rsid w:val="23111B35"/>
    <w:rsid w:val="23167037"/>
    <w:rsid w:val="231D2F3B"/>
    <w:rsid w:val="231DF377"/>
    <w:rsid w:val="231E54EB"/>
    <w:rsid w:val="231FF210"/>
    <w:rsid w:val="23237327"/>
    <w:rsid w:val="232488B6"/>
    <w:rsid w:val="23296B27"/>
    <w:rsid w:val="232A3CD8"/>
    <w:rsid w:val="232B5CF0"/>
    <w:rsid w:val="232B6357"/>
    <w:rsid w:val="232BC1C8"/>
    <w:rsid w:val="233082C5"/>
    <w:rsid w:val="2331D5A8"/>
    <w:rsid w:val="2334D7DB"/>
    <w:rsid w:val="2335F8FE"/>
    <w:rsid w:val="233821E0"/>
    <w:rsid w:val="2341C604"/>
    <w:rsid w:val="2346B946"/>
    <w:rsid w:val="2347F534"/>
    <w:rsid w:val="23490D72"/>
    <w:rsid w:val="234D297F"/>
    <w:rsid w:val="234DA992"/>
    <w:rsid w:val="2350FAC2"/>
    <w:rsid w:val="23522CA4"/>
    <w:rsid w:val="23531A44"/>
    <w:rsid w:val="235389B3"/>
    <w:rsid w:val="2356ABE3"/>
    <w:rsid w:val="23574539"/>
    <w:rsid w:val="235AB8AD"/>
    <w:rsid w:val="235B52C7"/>
    <w:rsid w:val="235D2BF3"/>
    <w:rsid w:val="235EB910"/>
    <w:rsid w:val="23608FD9"/>
    <w:rsid w:val="2363ADA1"/>
    <w:rsid w:val="2367F979"/>
    <w:rsid w:val="2368EDF7"/>
    <w:rsid w:val="236B618D"/>
    <w:rsid w:val="236F6535"/>
    <w:rsid w:val="23703468"/>
    <w:rsid w:val="23721B2B"/>
    <w:rsid w:val="237413BF"/>
    <w:rsid w:val="2377A923"/>
    <w:rsid w:val="2378F4E6"/>
    <w:rsid w:val="237972BD"/>
    <w:rsid w:val="237BE95F"/>
    <w:rsid w:val="237D0D52"/>
    <w:rsid w:val="237ED76D"/>
    <w:rsid w:val="238273CD"/>
    <w:rsid w:val="2384F199"/>
    <w:rsid w:val="23869B92"/>
    <w:rsid w:val="2387F790"/>
    <w:rsid w:val="2389916C"/>
    <w:rsid w:val="238F9955"/>
    <w:rsid w:val="23905348"/>
    <w:rsid w:val="2390B7E2"/>
    <w:rsid w:val="2390E359"/>
    <w:rsid w:val="2393FCD6"/>
    <w:rsid w:val="239667C5"/>
    <w:rsid w:val="239D7FAF"/>
    <w:rsid w:val="23A111AC"/>
    <w:rsid w:val="23A35AC7"/>
    <w:rsid w:val="23A3C2BB"/>
    <w:rsid w:val="23A44728"/>
    <w:rsid w:val="23A7C7F7"/>
    <w:rsid w:val="23A9530B"/>
    <w:rsid w:val="23B0A515"/>
    <w:rsid w:val="23B286C5"/>
    <w:rsid w:val="23B58828"/>
    <w:rsid w:val="23B76375"/>
    <w:rsid w:val="23B93ADA"/>
    <w:rsid w:val="23BF39DB"/>
    <w:rsid w:val="23C19EA7"/>
    <w:rsid w:val="23C3F48B"/>
    <w:rsid w:val="23C4B578"/>
    <w:rsid w:val="23C5B8F3"/>
    <w:rsid w:val="23C99767"/>
    <w:rsid w:val="23CD91B7"/>
    <w:rsid w:val="23CE4AE3"/>
    <w:rsid w:val="23CEE824"/>
    <w:rsid w:val="23D02A74"/>
    <w:rsid w:val="23D1F490"/>
    <w:rsid w:val="23D390E5"/>
    <w:rsid w:val="23D4393C"/>
    <w:rsid w:val="23D47935"/>
    <w:rsid w:val="23D4CB4F"/>
    <w:rsid w:val="23DCB676"/>
    <w:rsid w:val="23DFE5FB"/>
    <w:rsid w:val="23DFF082"/>
    <w:rsid w:val="23E3E37E"/>
    <w:rsid w:val="23E43496"/>
    <w:rsid w:val="23E944AA"/>
    <w:rsid w:val="23E9A723"/>
    <w:rsid w:val="23EA7844"/>
    <w:rsid w:val="23EB7ACA"/>
    <w:rsid w:val="23EE3B43"/>
    <w:rsid w:val="23EF1476"/>
    <w:rsid w:val="23F3F7FC"/>
    <w:rsid w:val="23F4C107"/>
    <w:rsid w:val="23F5080A"/>
    <w:rsid w:val="23F77AC1"/>
    <w:rsid w:val="23F914E0"/>
    <w:rsid w:val="23F9C172"/>
    <w:rsid w:val="2404CAED"/>
    <w:rsid w:val="2406FAA5"/>
    <w:rsid w:val="240D067E"/>
    <w:rsid w:val="240EA9ED"/>
    <w:rsid w:val="240F5A1E"/>
    <w:rsid w:val="240F9981"/>
    <w:rsid w:val="24123D26"/>
    <w:rsid w:val="24152548"/>
    <w:rsid w:val="2418FD28"/>
    <w:rsid w:val="24191433"/>
    <w:rsid w:val="241D5BB1"/>
    <w:rsid w:val="241DB31F"/>
    <w:rsid w:val="24233E7F"/>
    <w:rsid w:val="2424BBA1"/>
    <w:rsid w:val="242607ED"/>
    <w:rsid w:val="2429F119"/>
    <w:rsid w:val="242AE09F"/>
    <w:rsid w:val="242BC71C"/>
    <w:rsid w:val="242E4EE0"/>
    <w:rsid w:val="2430B041"/>
    <w:rsid w:val="24312954"/>
    <w:rsid w:val="24319ECB"/>
    <w:rsid w:val="2432CE25"/>
    <w:rsid w:val="2434A289"/>
    <w:rsid w:val="2435BC84"/>
    <w:rsid w:val="24389C15"/>
    <w:rsid w:val="2438AF44"/>
    <w:rsid w:val="244097A6"/>
    <w:rsid w:val="2444EEF6"/>
    <w:rsid w:val="2446B012"/>
    <w:rsid w:val="24479141"/>
    <w:rsid w:val="244F988D"/>
    <w:rsid w:val="24519FB9"/>
    <w:rsid w:val="2453B570"/>
    <w:rsid w:val="2454C9E5"/>
    <w:rsid w:val="2456EA3D"/>
    <w:rsid w:val="24580050"/>
    <w:rsid w:val="2459FE48"/>
    <w:rsid w:val="24636D85"/>
    <w:rsid w:val="24639C8A"/>
    <w:rsid w:val="2466036E"/>
    <w:rsid w:val="246DECC0"/>
    <w:rsid w:val="2471A3AD"/>
    <w:rsid w:val="24724206"/>
    <w:rsid w:val="2477C254"/>
    <w:rsid w:val="24788803"/>
    <w:rsid w:val="247F45AE"/>
    <w:rsid w:val="248115CA"/>
    <w:rsid w:val="2481C030"/>
    <w:rsid w:val="2482867B"/>
    <w:rsid w:val="2482AFB9"/>
    <w:rsid w:val="2482BCE2"/>
    <w:rsid w:val="248337CD"/>
    <w:rsid w:val="2485B657"/>
    <w:rsid w:val="24860637"/>
    <w:rsid w:val="2487B53C"/>
    <w:rsid w:val="2489552F"/>
    <w:rsid w:val="2489D5C5"/>
    <w:rsid w:val="248A74AD"/>
    <w:rsid w:val="248B0FBC"/>
    <w:rsid w:val="248C0AFB"/>
    <w:rsid w:val="248F1405"/>
    <w:rsid w:val="2495BC08"/>
    <w:rsid w:val="2498CB04"/>
    <w:rsid w:val="249A17D7"/>
    <w:rsid w:val="249E220F"/>
    <w:rsid w:val="249F6400"/>
    <w:rsid w:val="24A163E3"/>
    <w:rsid w:val="24A2D7DD"/>
    <w:rsid w:val="24A34074"/>
    <w:rsid w:val="24A60397"/>
    <w:rsid w:val="24AE1991"/>
    <w:rsid w:val="24B27E19"/>
    <w:rsid w:val="24BA0516"/>
    <w:rsid w:val="24C5947B"/>
    <w:rsid w:val="24C7180F"/>
    <w:rsid w:val="24CC475F"/>
    <w:rsid w:val="24CC9EC3"/>
    <w:rsid w:val="24D029B9"/>
    <w:rsid w:val="24D5BF9B"/>
    <w:rsid w:val="24DCC074"/>
    <w:rsid w:val="24DD1846"/>
    <w:rsid w:val="24DD7CA5"/>
    <w:rsid w:val="24DECA23"/>
    <w:rsid w:val="24DF3F4D"/>
    <w:rsid w:val="24E0673C"/>
    <w:rsid w:val="24E0D579"/>
    <w:rsid w:val="24E6ABD9"/>
    <w:rsid w:val="24E8BE40"/>
    <w:rsid w:val="24E94885"/>
    <w:rsid w:val="24EBB50A"/>
    <w:rsid w:val="24ECDDC5"/>
    <w:rsid w:val="24ED7789"/>
    <w:rsid w:val="24F14D44"/>
    <w:rsid w:val="24F15756"/>
    <w:rsid w:val="24F3C394"/>
    <w:rsid w:val="24F4F063"/>
    <w:rsid w:val="24F6F60A"/>
    <w:rsid w:val="24FAA481"/>
    <w:rsid w:val="24FAD8D2"/>
    <w:rsid w:val="24FC43BC"/>
    <w:rsid w:val="25015BAA"/>
    <w:rsid w:val="250490F8"/>
    <w:rsid w:val="25108855"/>
    <w:rsid w:val="2513A58E"/>
    <w:rsid w:val="25193A64"/>
    <w:rsid w:val="251AA903"/>
    <w:rsid w:val="251C6EDC"/>
    <w:rsid w:val="251FD358"/>
    <w:rsid w:val="252027C1"/>
    <w:rsid w:val="252248D1"/>
    <w:rsid w:val="2523DECE"/>
    <w:rsid w:val="2523FAD3"/>
    <w:rsid w:val="2525CC07"/>
    <w:rsid w:val="252754D2"/>
    <w:rsid w:val="252B803A"/>
    <w:rsid w:val="252F6CAC"/>
    <w:rsid w:val="25359761"/>
    <w:rsid w:val="25373E32"/>
    <w:rsid w:val="25394931"/>
    <w:rsid w:val="253B18B8"/>
    <w:rsid w:val="2541F348"/>
    <w:rsid w:val="25420B58"/>
    <w:rsid w:val="25485204"/>
    <w:rsid w:val="2548A5A6"/>
    <w:rsid w:val="254D912D"/>
    <w:rsid w:val="254ECD76"/>
    <w:rsid w:val="254FB161"/>
    <w:rsid w:val="2553FA9C"/>
    <w:rsid w:val="25542915"/>
    <w:rsid w:val="255480F5"/>
    <w:rsid w:val="25559489"/>
    <w:rsid w:val="25575931"/>
    <w:rsid w:val="255B5B54"/>
    <w:rsid w:val="255D1B5E"/>
    <w:rsid w:val="255FF8DA"/>
    <w:rsid w:val="256BB7BC"/>
    <w:rsid w:val="256FC158"/>
    <w:rsid w:val="2570E5AC"/>
    <w:rsid w:val="257F209B"/>
    <w:rsid w:val="257F790C"/>
    <w:rsid w:val="257FA5A2"/>
    <w:rsid w:val="25802884"/>
    <w:rsid w:val="258048D3"/>
    <w:rsid w:val="258058E1"/>
    <w:rsid w:val="25809FBA"/>
    <w:rsid w:val="2582632D"/>
    <w:rsid w:val="25896B00"/>
    <w:rsid w:val="258D97E2"/>
    <w:rsid w:val="258E30E7"/>
    <w:rsid w:val="25901128"/>
    <w:rsid w:val="2593EC26"/>
    <w:rsid w:val="2597D729"/>
    <w:rsid w:val="2597E889"/>
    <w:rsid w:val="259928C0"/>
    <w:rsid w:val="25996F6B"/>
    <w:rsid w:val="259A41C6"/>
    <w:rsid w:val="259CB966"/>
    <w:rsid w:val="259D7AF8"/>
    <w:rsid w:val="25A0CF8B"/>
    <w:rsid w:val="25A21AEF"/>
    <w:rsid w:val="25A36E6A"/>
    <w:rsid w:val="25A432AE"/>
    <w:rsid w:val="25AA49CA"/>
    <w:rsid w:val="25AC645B"/>
    <w:rsid w:val="25B4E3CC"/>
    <w:rsid w:val="25B59B47"/>
    <w:rsid w:val="25B5B5E7"/>
    <w:rsid w:val="25C558E9"/>
    <w:rsid w:val="25C8E89D"/>
    <w:rsid w:val="25C920CB"/>
    <w:rsid w:val="25C97DB7"/>
    <w:rsid w:val="25CA7EDF"/>
    <w:rsid w:val="25CA84A1"/>
    <w:rsid w:val="25D1DC46"/>
    <w:rsid w:val="25D5200D"/>
    <w:rsid w:val="25D70C73"/>
    <w:rsid w:val="25DCCCF9"/>
    <w:rsid w:val="25DF6238"/>
    <w:rsid w:val="25E14C67"/>
    <w:rsid w:val="25E5FE65"/>
    <w:rsid w:val="25E7D09E"/>
    <w:rsid w:val="25EB97C6"/>
    <w:rsid w:val="25EBB54C"/>
    <w:rsid w:val="25EDE2E9"/>
    <w:rsid w:val="25F0ADBB"/>
    <w:rsid w:val="25FC3925"/>
    <w:rsid w:val="25FD3423"/>
    <w:rsid w:val="260157FA"/>
    <w:rsid w:val="260575FE"/>
    <w:rsid w:val="26061759"/>
    <w:rsid w:val="26097AAB"/>
    <w:rsid w:val="260A801C"/>
    <w:rsid w:val="260D7AD6"/>
    <w:rsid w:val="260D9D12"/>
    <w:rsid w:val="2610EBA6"/>
    <w:rsid w:val="26125764"/>
    <w:rsid w:val="261341BD"/>
    <w:rsid w:val="26154880"/>
    <w:rsid w:val="261646D6"/>
    <w:rsid w:val="26166E43"/>
    <w:rsid w:val="26190C59"/>
    <w:rsid w:val="2619FCE6"/>
    <w:rsid w:val="261D4D24"/>
    <w:rsid w:val="261DF25A"/>
    <w:rsid w:val="261E2E65"/>
    <w:rsid w:val="2621B3BE"/>
    <w:rsid w:val="26224042"/>
    <w:rsid w:val="262331B3"/>
    <w:rsid w:val="262352A0"/>
    <w:rsid w:val="2627EF7F"/>
    <w:rsid w:val="262B9EE7"/>
    <w:rsid w:val="262E6E98"/>
    <w:rsid w:val="262EFC78"/>
    <w:rsid w:val="263AFDBD"/>
    <w:rsid w:val="26455CFF"/>
    <w:rsid w:val="26458402"/>
    <w:rsid w:val="26461EBB"/>
    <w:rsid w:val="2646903D"/>
    <w:rsid w:val="26471671"/>
    <w:rsid w:val="264A7F49"/>
    <w:rsid w:val="264B448C"/>
    <w:rsid w:val="264C9FAA"/>
    <w:rsid w:val="264FF558"/>
    <w:rsid w:val="2654DDC0"/>
    <w:rsid w:val="26550311"/>
    <w:rsid w:val="2656339F"/>
    <w:rsid w:val="2659C278"/>
    <w:rsid w:val="265C8377"/>
    <w:rsid w:val="265CB781"/>
    <w:rsid w:val="265EFC00"/>
    <w:rsid w:val="2660EBE9"/>
    <w:rsid w:val="26668B66"/>
    <w:rsid w:val="26682478"/>
    <w:rsid w:val="2668A69B"/>
    <w:rsid w:val="266A7A41"/>
    <w:rsid w:val="266C618A"/>
    <w:rsid w:val="266EA87E"/>
    <w:rsid w:val="266EE061"/>
    <w:rsid w:val="267734EC"/>
    <w:rsid w:val="2678F4F0"/>
    <w:rsid w:val="2679F7BC"/>
    <w:rsid w:val="267BD948"/>
    <w:rsid w:val="267DFD2E"/>
    <w:rsid w:val="267E610B"/>
    <w:rsid w:val="268196B1"/>
    <w:rsid w:val="2681BCA0"/>
    <w:rsid w:val="26846403"/>
    <w:rsid w:val="2686580C"/>
    <w:rsid w:val="268ACAF2"/>
    <w:rsid w:val="268B3888"/>
    <w:rsid w:val="268CB7D2"/>
    <w:rsid w:val="26906131"/>
    <w:rsid w:val="2694D801"/>
    <w:rsid w:val="2698C434"/>
    <w:rsid w:val="2699FCD8"/>
    <w:rsid w:val="269A8E2A"/>
    <w:rsid w:val="269AF4AC"/>
    <w:rsid w:val="269C7787"/>
    <w:rsid w:val="269D2598"/>
    <w:rsid w:val="269E5148"/>
    <w:rsid w:val="269EB641"/>
    <w:rsid w:val="269F888A"/>
    <w:rsid w:val="269F8A89"/>
    <w:rsid w:val="26A08149"/>
    <w:rsid w:val="26A0CCA5"/>
    <w:rsid w:val="26A1D15A"/>
    <w:rsid w:val="26A4BED6"/>
    <w:rsid w:val="26A5E172"/>
    <w:rsid w:val="26A662A5"/>
    <w:rsid w:val="26AB2C70"/>
    <w:rsid w:val="26AB760F"/>
    <w:rsid w:val="26AD17F4"/>
    <w:rsid w:val="26B4EBA1"/>
    <w:rsid w:val="26B7B779"/>
    <w:rsid w:val="26B8530C"/>
    <w:rsid w:val="26B9CE9D"/>
    <w:rsid w:val="26BFE5EB"/>
    <w:rsid w:val="26C33A37"/>
    <w:rsid w:val="26C3E6B3"/>
    <w:rsid w:val="26C7F774"/>
    <w:rsid w:val="26C88C68"/>
    <w:rsid w:val="26C8E797"/>
    <w:rsid w:val="26C917AE"/>
    <w:rsid w:val="26CA5D7E"/>
    <w:rsid w:val="26CC5E21"/>
    <w:rsid w:val="26D375DA"/>
    <w:rsid w:val="26D4BC24"/>
    <w:rsid w:val="26D53348"/>
    <w:rsid w:val="26D95B0B"/>
    <w:rsid w:val="26D9C7A7"/>
    <w:rsid w:val="26DD73C1"/>
    <w:rsid w:val="26E0DB69"/>
    <w:rsid w:val="26E1774C"/>
    <w:rsid w:val="26E4C805"/>
    <w:rsid w:val="26E842F5"/>
    <w:rsid w:val="26EC703D"/>
    <w:rsid w:val="26ED4169"/>
    <w:rsid w:val="26EE7AC7"/>
    <w:rsid w:val="26F38656"/>
    <w:rsid w:val="26F57DB8"/>
    <w:rsid w:val="26F7E7EF"/>
    <w:rsid w:val="26F9B23F"/>
    <w:rsid w:val="26FA9568"/>
    <w:rsid w:val="26FFFE6F"/>
    <w:rsid w:val="2701EE41"/>
    <w:rsid w:val="27051266"/>
    <w:rsid w:val="2706701D"/>
    <w:rsid w:val="270D171C"/>
    <w:rsid w:val="270D77C2"/>
    <w:rsid w:val="270F94F3"/>
    <w:rsid w:val="2710BB56"/>
    <w:rsid w:val="271A8DF1"/>
    <w:rsid w:val="271F4FFD"/>
    <w:rsid w:val="27220800"/>
    <w:rsid w:val="27224A74"/>
    <w:rsid w:val="2725AE69"/>
    <w:rsid w:val="2726C842"/>
    <w:rsid w:val="272CBAD8"/>
    <w:rsid w:val="272DC449"/>
    <w:rsid w:val="272DC881"/>
    <w:rsid w:val="27300689"/>
    <w:rsid w:val="27305023"/>
    <w:rsid w:val="27324EE9"/>
    <w:rsid w:val="27368518"/>
    <w:rsid w:val="273759AF"/>
    <w:rsid w:val="27391CD7"/>
    <w:rsid w:val="27440DE9"/>
    <w:rsid w:val="27462711"/>
    <w:rsid w:val="2746D322"/>
    <w:rsid w:val="2746E9FD"/>
    <w:rsid w:val="27475158"/>
    <w:rsid w:val="27499166"/>
    <w:rsid w:val="274AE4C5"/>
    <w:rsid w:val="2750CCA4"/>
    <w:rsid w:val="2751E9A8"/>
    <w:rsid w:val="2752580A"/>
    <w:rsid w:val="2754E48A"/>
    <w:rsid w:val="27566092"/>
    <w:rsid w:val="2756C048"/>
    <w:rsid w:val="2758DC3B"/>
    <w:rsid w:val="275A43E2"/>
    <w:rsid w:val="275E75AA"/>
    <w:rsid w:val="27621B57"/>
    <w:rsid w:val="276271B7"/>
    <w:rsid w:val="27644879"/>
    <w:rsid w:val="2766D77F"/>
    <w:rsid w:val="276CBFDE"/>
    <w:rsid w:val="276D2ECE"/>
    <w:rsid w:val="276D86BA"/>
    <w:rsid w:val="276FCA17"/>
    <w:rsid w:val="27701852"/>
    <w:rsid w:val="2776DD20"/>
    <w:rsid w:val="27783D83"/>
    <w:rsid w:val="277A753A"/>
    <w:rsid w:val="277B4B26"/>
    <w:rsid w:val="277BCFDD"/>
    <w:rsid w:val="27801F6F"/>
    <w:rsid w:val="2786C889"/>
    <w:rsid w:val="2786F35E"/>
    <w:rsid w:val="27899BFB"/>
    <w:rsid w:val="278D2876"/>
    <w:rsid w:val="2791DD73"/>
    <w:rsid w:val="27928788"/>
    <w:rsid w:val="2793B0A8"/>
    <w:rsid w:val="2794B895"/>
    <w:rsid w:val="27981918"/>
    <w:rsid w:val="279BF9B5"/>
    <w:rsid w:val="279C7EB3"/>
    <w:rsid w:val="27A2D3B0"/>
    <w:rsid w:val="27A306F2"/>
    <w:rsid w:val="27A6039C"/>
    <w:rsid w:val="27A90481"/>
    <w:rsid w:val="27A9B7A1"/>
    <w:rsid w:val="27B19253"/>
    <w:rsid w:val="27B83F18"/>
    <w:rsid w:val="27BB8A20"/>
    <w:rsid w:val="27BFADCA"/>
    <w:rsid w:val="27C18D24"/>
    <w:rsid w:val="27C28344"/>
    <w:rsid w:val="27C449BF"/>
    <w:rsid w:val="27C72800"/>
    <w:rsid w:val="27CC681A"/>
    <w:rsid w:val="27CD6660"/>
    <w:rsid w:val="27CF4B87"/>
    <w:rsid w:val="27D2194E"/>
    <w:rsid w:val="27D29D37"/>
    <w:rsid w:val="27D3D5F3"/>
    <w:rsid w:val="27D7B808"/>
    <w:rsid w:val="27DA3CF4"/>
    <w:rsid w:val="27DC420B"/>
    <w:rsid w:val="27DEF097"/>
    <w:rsid w:val="27DFCB88"/>
    <w:rsid w:val="27E08378"/>
    <w:rsid w:val="27E11B55"/>
    <w:rsid w:val="27E35D00"/>
    <w:rsid w:val="27ECB9F1"/>
    <w:rsid w:val="27EFE149"/>
    <w:rsid w:val="27F1C0B6"/>
    <w:rsid w:val="27F53368"/>
    <w:rsid w:val="27F6570B"/>
    <w:rsid w:val="27F77570"/>
    <w:rsid w:val="27FD68C4"/>
    <w:rsid w:val="27FF32EB"/>
    <w:rsid w:val="28008644"/>
    <w:rsid w:val="2801DDFF"/>
    <w:rsid w:val="28028AD1"/>
    <w:rsid w:val="28036CE0"/>
    <w:rsid w:val="280B78BB"/>
    <w:rsid w:val="280C92A5"/>
    <w:rsid w:val="280F69FE"/>
    <w:rsid w:val="2815F084"/>
    <w:rsid w:val="281681D4"/>
    <w:rsid w:val="2816A474"/>
    <w:rsid w:val="2821C53F"/>
    <w:rsid w:val="2822FE87"/>
    <w:rsid w:val="2823EEB9"/>
    <w:rsid w:val="282D9FA5"/>
    <w:rsid w:val="2830EBE1"/>
    <w:rsid w:val="28343557"/>
    <w:rsid w:val="2835F9D1"/>
    <w:rsid w:val="2836A1F3"/>
    <w:rsid w:val="2836EEE4"/>
    <w:rsid w:val="2838495A"/>
    <w:rsid w:val="283AEC67"/>
    <w:rsid w:val="283BCBE5"/>
    <w:rsid w:val="283CA8D4"/>
    <w:rsid w:val="283E8E98"/>
    <w:rsid w:val="284770FD"/>
    <w:rsid w:val="2849C52A"/>
    <w:rsid w:val="284A25FB"/>
    <w:rsid w:val="284EB13E"/>
    <w:rsid w:val="284FEA33"/>
    <w:rsid w:val="2850BCA1"/>
    <w:rsid w:val="2855232A"/>
    <w:rsid w:val="28569E13"/>
    <w:rsid w:val="2858B80C"/>
    <w:rsid w:val="285B0BA1"/>
    <w:rsid w:val="285B9B95"/>
    <w:rsid w:val="285C0DF6"/>
    <w:rsid w:val="285D27E9"/>
    <w:rsid w:val="285D93FF"/>
    <w:rsid w:val="285F69A3"/>
    <w:rsid w:val="28656F9B"/>
    <w:rsid w:val="2867E753"/>
    <w:rsid w:val="2869E3A0"/>
    <w:rsid w:val="286E58C4"/>
    <w:rsid w:val="286F092F"/>
    <w:rsid w:val="28747D90"/>
    <w:rsid w:val="287B4EAB"/>
    <w:rsid w:val="28847846"/>
    <w:rsid w:val="2884F38A"/>
    <w:rsid w:val="28857EC6"/>
    <w:rsid w:val="2885BE95"/>
    <w:rsid w:val="288795C1"/>
    <w:rsid w:val="288964CE"/>
    <w:rsid w:val="2889E818"/>
    <w:rsid w:val="288B761A"/>
    <w:rsid w:val="288BFD06"/>
    <w:rsid w:val="288EE5D6"/>
    <w:rsid w:val="28908BFE"/>
    <w:rsid w:val="2892C1AF"/>
    <w:rsid w:val="2892E9EB"/>
    <w:rsid w:val="2895409C"/>
    <w:rsid w:val="289674C4"/>
    <w:rsid w:val="289A9891"/>
    <w:rsid w:val="28A0B099"/>
    <w:rsid w:val="28A399E4"/>
    <w:rsid w:val="28A40FDE"/>
    <w:rsid w:val="28A7A57A"/>
    <w:rsid w:val="28A8F1C7"/>
    <w:rsid w:val="28AAAC9D"/>
    <w:rsid w:val="28B0DDD7"/>
    <w:rsid w:val="28B53641"/>
    <w:rsid w:val="28B56E37"/>
    <w:rsid w:val="28B6F66B"/>
    <w:rsid w:val="28BDC51A"/>
    <w:rsid w:val="28BE1EE5"/>
    <w:rsid w:val="28BFCC44"/>
    <w:rsid w:val="28C13D57"/>
    <w:rsid w:val="28C1CB19"/>
    <w:rsid w:val="28C1F8EB"/>
    <w:rsid w:val="28C260DA"/>
    <w:rsid w:val="28C86DC3"/>
    <w:rsid w:val="28D0FF09"/>
    <w:rsid w:val="28D320FC"/>
    <w:rsid w:val="28D34254"/>
    <w:rsid w:val="28D7A32D"/>
    <w:rsid w:val="28DBE7A7"/>
    <w:rsid w:val="28DDACA3"/>
    <w:rsid w:val="28E10D46"/>
    <w:rsid w:val="28E2952E"/>
    <w:rsid w:val="28E451E9"/>
    <w:rsid w:val="28E5CA9F"/>
    <w:rsid w:val="28E652C1"/>
    <w:rsid w:val="28EA3161"/>
    <w:rsid w:val="28EBAB1E"/>
    <w:rsid w:val="28EF6379"/>
    <w:rsid w:val="28F34F1D"/>
    <w:rsid w:val="28F4D2C5"/>
    <w:rsid w:val="28F5F89A"/>
    <w:rsid w:val="28F78AB5"/>
    <w:rsid w:val="28FA922F"/>
    <w:rsid w:val="28FAEAE3"/>
    <w:rsid w:val="28FC32CA"/>
    <w:rsid w:val="28FF5315"/>
    <w:rsid w:val="2900D87A"/>
    <w:rsid w:val="290437A9"/>
    <w:rsid w:val="29051FF2"/>
    <w:rsid w:val="2908E1BC"/>
    <w:rsid w:val="290E802A"/>
    <w:rsid w:val="290E9174"/>
    <w:rsid w:val="291160E9"/>
    <w:rsid w:val="29130EDC"/>
    <w:rsid w:val="2915C3A5"/>
    <w:rsid w:val="29178693"/>
    <w:rsid w:val="29182AB0"/>
    <w:rsid w:val="2918B76E"/>
    <w:rsid w:val="291D07AF"/>
    <w:rsid w:val="291D9FDA"/>
    <w:rsid w:val="2927A977"/>
    <w:rsid w:val="292AEFEE"/>
    <w:rsid w:val="29341435"/>
    <w:rsid w:val="293855D5"/>
    <w:rsid w:val="29385B3B"/>
    <w:rsid w:val="293A25E3"/>
    <w:rsid w:val="293AEAE8"/>
    <w:rsid w:val="293B61BD"/>
    <w:rsid w:val="294071F5"/>
    <w:rsid w:val="294198DB"/>
    <w:rsid w:val="29434403"/>
    <w:rsid w:val="294382EC"/>
    <w:rsid w:val="29463F4C"/>
    <w:rsid w:val="29467538"/>
    <w:rsid w:val="2946A83B"/>
    <w:rsid w:val="29498D74"/>
    <w:rsid w:val="294B2053"/>
    <w:rsid w:val="294C14B1"/>
    <w:rsid w:val="294CA3B5"/>
    <w:rsid w:val="29519FA8"/>
    <w:rsid w:val="2952D086"/>
    <w:rsid w:val="29531A3B"/>
    <w:rsid w:val="295434D3"/>
    <w:rsid w:val="29544751"/>
    <w:rsid w:val="2955661C"/>
    <w:rsid w:val="29573049"/>
    <w:rsid w:val="295CBFA6"/>
    <w:rsid w:val="295DA4BA"/>
    <w:rsid w:val="295FC46B"/>
    <w:rsid w:val="2961D2B5"/>
    <w:rsid w:val="2965D13C"/>
    <w:rsid w:val="29689954"/>
    <w:rsid w:val="29694537"/>
    <w:rsid w:val="2969DF09"/>
    <w:rsid w:val="296AA6C1"/>
    <w:rsid w:val="296CD1F4"/>
    <w:rsid w:val="2971CC1D"/>
    <w:rsid w:val="29772452"/>
    <w:rsid w:val="2978D3B7"/>
    <w:rsid w:val="297991DD"/>
    <w:rsid w:val="297C1EC8"/>
    <w:rsid w:val="297CFB36"/>
    <w:rsid w:val="2983D9B9"/>
    <w:rsid w:val="298582A6"/>
    <w:rsid w:val="2989093E"/>
    <w:rsid w:val="298A5FBE"/>
    <w:rsid w:val="298AC1F1"/>
    <w:rsid w:val="298DCEB5"/>
    <w:rsid w:val="298F8247"/>
    <w:rsid w:val="29928C1B"/>
    <w:rsid w:val="2993C46B"/>
    <w:rsid w:val="29956FE6"/>
    <w:rsid w:val="29975063"/>
    <w:rsid w:val="29999896"/>
    <w:rsid w:val="299CE734"/>
    <w:rsid w:val="29A0B080"/>
    <w:rsid w:val="29A0E698"/>
    <w:rsid w:val="29A15C4E"/>
    <w:rsid w:val="29A16922"/>
    <w:rsid w:val="29A2E545"/>
    <w:rsid w:val="29A480B9"/>
    <w:rsid w:val="29A64621"/>
    <w:rsid w:val="29A6590E"/>
    <w:rsid w:val="29AA5FC7"/>
    <w:rsid w:val="29AAFFE2"/>
    <w:rsid w:val="29AC51FE"/>
    <w:rsid w:val="29AD79D2"/>
    <w:rsid w:val="29AFA6AA"/>
    <w:rsid w:val="29B0D39F"/>
    <w:rsid w:val="29B12EB7"/>
    <w:rsid w:val="29B13868"/>
    <w:rsid w:val="29B66405"/>
    <w:rsid w:val="29B7B549"/>
    <w:rsid w:val="29B8DD02"/>
    <w:rsid w:val="29BB220F"/>
    <w:rsid w:val="29BDDB9D"/>
    <w:rsid w:val="29BDE894"/>
    <w:rsid w:val="29BE5AB3"/>
    <w:rsid w:val="29C0EF33"/>
    <w:rsid w:val="29C21084"/>
    <w:rsid w:val="29C53B5A"/>
    <w:rsid w:val="29C5404C"/>
    <w:rsid w:val="29C70A4B"/>
    <w:rsid w:val="29CA1B31"/>
    <w:rsid w:val="29CA30E1"/>
    <w:rsid w:val="29CE192C"/>
    <w:rsid w:val="29CE6B6E"/>
    <w:rsid w:val="29CECB4B"/>
    <w:rsid w:val="29D233CF"/>
    <w:rsid w:val="29D7824A"/>
    <w:rsid w:val="29D9C716"/>
    <w:rsid w:val="29DADFB5"/>
    <w:rsid w:val="29DB9AAA"/>
    <w:rsid w:val="29DDA27D"/>
    <w:rsid w:val="29DF7289"/>
    <w:rsid w:val="29E28964"/>
    <w:rsid w:val="29E5002A"/>
    <w:rsid w:val="29E63B8B"/>
    <w:rsid w:val="29E9E984"/>
    <w:rsid w:val="29EEEDD4"/>
    <w:rsid w:val="29F3CFB9"/>
    <w:rsid w:val="29F40945"/>
    <w:rsid w:val="29F6DB8E"/>
    <w:rsid w:val="29F98BBB"/>
    <w:rsid w:val="29FBE1D5"/>
    <w:rsid w:val="29FF9130"/>
    <w:rsid w:val="2A008031"/>
    <w:rsid w:val="2A00DBDD"/>
    <w:rsid w:val="2A029DBA"/>
    <w:rsid w:val="2A05DD51"/>
    <w:rsid w:val="2A06D3C6"/>
    <w:rsid w:val="2A072A04"/>
    <w:rsid w:val="2A09002A"/>
    <w:rsid w:val="2A0ABA19"/>
    <w:rsid w:val="2A0E5684"/>
    <w:rsid w:val="2A0E6905"/>
    <w:rsid w:val="2A0ECE9E"/>
    <w:rsid w:val="2A0F09EC"/>
    <w:rsid w:val="2A11FF00"/>
    <w:rsid w:val="2A14BB3D"/>
    <w:rsid w:val="2A15696C"/>
    <w:rsid w:val="2A19FE09"/>
    <w:rsid w:val="2A1E74C6"/>
    <w:rsid w:val="2A1EA78A"/>
    <w:rsid w:val="2A206B74"/>
    <w:rsid w:val="2A236525"/>
    <w:rsid w:val="2A28628D"/>
    <w:rsid w:val="2A2928D7"/>
    <w:rsid w:val="2A2DC224"/>
    <w:rsid w:val="2A2FFCF3"/>
    <w:rsid w:val="2A32040E"/>
    <w:rsid w:val="2A351A3D"/>
    <w:rsid w:val="2A35A976"/>
    <w:rsid w:val="2A366808"/>
    <w:rsid w:val="2A383FB1"/>
    <w:rsid w:val="2A3B0C45"/>
    <w:rsid w:val="2A403C47"/>
    <w:rsid w:val="2A457E60"/>
    <w:rsid w:val="2A4A292E"/>
    <w:rsid w:val="2A4A4A71"/>
    <w:rsid w:val="2A4C0E10"/>
    <w:rsid w:val="2A4E4756"/>
    <w:rsid w:val="2A500EFF"/>
    <w:rsid w:val="2A58760F"/>
    <w:rsid w:val="2A58935F"/>
    <w:rsid w:val="2A5AD06F"/>
    <w:rsid w:val="2A5B1ED3"/>
    <w:rsid w:val="2A610172"/>
    <w:rsid w:val="2A621817"/>
    <w:rsid w:val="2A63C546"/>
    <w:rsid w:val="2A68DF5D"/>
    <w:rsid w:val="2A6A7C4E"/>
    <w:rsid w:val="2A6B6CD9"/>
    <w:rsid w:val="2A6C3633"/>
    <w:rsid w:val="2A6EDF47"/>
    <w:rsid w:val="2A710211"/>
    <w:rsid w:val="2A71ED41"/>
    <w:rsid w:val="2A73B838"/>
    <w:rsid w:val="2A7FC073"/>
    <w:rsid w:val="2A81C1D7"/>
    <w:rsid w:val="2A83357E"/>
    <w:rsid w:val="2A83FBE6"/>
    <w:rsid w:val="2A86DC6C"/>
    <w:rsid w:val="2A871F89"/>
    <w:rsid w:val="2A8AE04F"/>
    <w:rsid w:val="2A91BB54"/>
    <w:rsid w:val="2A942F14"/>
    <w:rsid w:val="2A977BBF"/>
    <w:rsid w:val="2A9D70C4"/>
    <w:rsid w:val="2AA54D9F"/>
    <w:rsid w:val="2AA74927"/>
    <w:rsid w:val="2AA77013"/>
    <w:rsid w:val="2AA868A0"/>
    <w:rsid w:val="2AA88741"/>
    <w:rsid w:val="2AA8FEA7"/>
    <w:rsid w:val="2AA9DC8B"/>
    <w:rsid w:val="2AAB5809"/>
    <w:rsid w:val="2AB0B8F7"/>
    <w:rsid w:val="2AB2275D"/>
    <w:rsid w:val="2AB3345B"/>
    <w:rsid w:val="2AB5458E"/>
    <w:rsid w:val="2AB9BBAB"/>
    <w:rsid w:val="2ABEEEAD"/>
    <w:rsid w:val="2AC0733F"/>
    <w:rsid w:val="2AC1CE1E"/>
    <w:rsid w:val="2AC4534B"/>
    <w:rsid w:val="2ACB6179"/>
    <w:rsid w:val="2AD03B31"/>
    <w:rsid w:val="2AD92B0C"/>
    <w:rsid w:val="2ADA08B9"/>
    <w:rsid w:val="2ADE8E28"/>
    <w:rsid w:val="2ADF6011"/>
    <w:rsid w:val="2AE1F6D4"/>
    <w:rsid w:val="2AE228B5"/>
    <w:rsid w:val="2AE57301"/>
    <w:rsid w:val="2AE67979"/>
    <w:rsid w:val="2AE800C3"/>
    <w:rsid w:val="2AEA0A65"/>
    <w:rsid w:val="2AEB0AA9"/>
    <w:rsid w:val="2AEB9A30"/>
    <w:rsid w:val="2AEE19EB"/>
    <w:rsid w:val="2AEFC20C"/>
    <w:rsid w:val="2AF1F1B0"/>
    <w:rsid w:val="2AF2C5EA"/>
    <w:rsid w:val="2AF2E180"/>
    <w:rsid w:val="2AF33C0B"/>
    <w:rsid w:val="2AF3524B"/>
    <w:rsid w:val="2AF4D2F5"/>
    <w:rsid w:val="2AF767C6"/>
    <w:rsid w:val="2AFAFA14"/>
    <w:rsid w:val="2AFBEE99"/>
    <w:rsid w:val="2AFC568B"/>
    <w:rsid w:val="2AFEAC47"/>
    <w:rsid w:val="2AFF43FD"/>
    <w:rsid w:val="2AFFEDED"/>
    <w:rsid w:val="2B011301"/>
    <w:rsid w:val="2B0663CF"/>
    <w:rsid w:val="2B088F94"/>
    <w:rsid w:val="2B08CAE1"/>
    <w:rsid w:val="2B08F8BC"/>
    <w:rsid w:val="2B099EFA"/>
    <w:rsid w:val="2B13FE86"/>
    <w:rsid w:val="2B191E4A"/>
    <w:rsid w:val="2B199AFD"/>
    <w:rsid w:val="2B19B894"/>
    <w:rsid w:val="2B2106F3"/>
    <w:rsid w:val="2B2241F4"/>
    <w:rsid w:val="2B26D131"/>
    <w:rsid w:val="2B2882A6"/>
    <w:rsid w:val="2B299EB4"/>
    <w:rsid w:val="2B2CD38D"/>
    <w:rsid w:val="2B2E0566"/>
    <w:rsid w:val="2B2F7CF1"/>
    <w:rsid w:val="2B2FE9C3"/>
    <w:rsid w:val="2B3125D3"/>
    <w:rsid w:val="2B3274A5"/>
    <w:rsid w:val="2B3494A4"/>
    <w:rsid w:val="2B403039"/>
    <w:rsid w:val="2B407F47"/>
    <w:rsid w:val="2B42E359"/>
    <w:rsid w:val="2B48A8A6"/>
    <w:rsid w:val="2B4F2C6B"/>
    <w:rsid w:val="2B5078B5"/>
    <w:rsid w:val="2B518690"/>
    <w:rsid w:val="2B531077"/>
    <w:rsid w:val="2B593C5A"/>
    <w:rsid w:val="2B59DF30"/>
    <w:rsid w:val="2B59EEA1"/>
    <w:rsid w:val="2B5B9628"/>
    <w:rsid w:val="2B5CC240"/>
    <w:rsid w:val="2B5D9944"/>
    <w:rsid w:val="2B5EF471"/>
    <w:rsid w:val="2B5F153A"/>
    <w:rsid w:val="2B62525F"/>
    <w:rsid w:val="2B63811E"/>
    <w:rsid w:val="2B64CD23"/>
    <w:rsid w:val="2B65F73B"/>
    <w:rsid w:val="2B660D03"/>
    <w:rsid w:val="2B6A6C43"/>
    <w:rsid w:val="2B6AF468"/>
    <w:rsid w:val="2B6CF838"/>
    <w:rsid w:val="2B71DB20"/>
    <w:rsid w:val="2B770A26"/>
    <w:rsid w:val="2B7CD20E"/>
    <w:rsid w:val="2B7CF2EF"/>
    <w:rsid w:val="2B7D6CAC"/>
    <w:rsid w:val="2B83E47B"/>
    <w:rsid w:val="2B84BBBA"/>
    <w:rsid w:val="2B8A6924"/>
    <w:rsid w:val="2B8BAF05"/>
    <w:rsid w:val="2B8BDAFF"/>
    <w:rsid w:val="2B8C927C"/>
    <w:rsid w:val="2B931740"/>
    <w:rsid w:val="2B95AD25"/>
    <w:rsid w:val="2B963ADB"/>
    <w:rsid w:val="2B973727"/>
    <w:rsid w:val="2B9B40EA"/>
    <w:rsid w:val="2B9E2902"/>
    <w:rsid w:val="2BA03FBB"/>
    <w:rsid w:val="2BA053B5"/>
    <w:rsid w:val="2BA135A2"/>
    <w:rsid w:val="2BAC524E"/>
    <w:rsid w:val="2BAE6063"/>
    <w:rsid w:val="2BAED3E5"/>
    <w:rsid w:val="2BAF42BA"/>
    <w:rsid w:val="2BAF6F24"/>
    <w:rsid w:val="2BB03FCF"/>
    <w:rsid w:val="2BB0A8FA"/>
    <w:rsid w:val="2BB1C842"/>
    <w:rsid w:val="2BB55AEC"/>
    <w:rsid w:val="2BBAAD67"/>
    <w:rsid w:val="2BBDB6E9"/>
    <w:rsid w:val="2BBE395E"/>
    <w:rsid w:val="2BBF7043"/>
    <w:rsid w:val="2BC63228"/>
    <w:rsid w:val="2BC7B06B"/>
    <w:rsid w:val="2BC99285"/>
    <w:rsid w:val="2BCB3DF1"/>
    <w:rsid w:val="2BCB4F8B"/>
    <w:rsid w:val="2BCC2743"/>
    <w:rsid w:val="2BCC2F13"/>
    <w:rsid w:val="2BCF374E"/>
    <w:rsid w:val="2BCF6DB6"/>
    <w:rsid w:val="2BD043C4"/>
    <w:rsid w:val="2BD442B7"/>
    <w:rsid w:val="2BD6B065"/>
    <w:rsid w:val="2BDC965B"/>
    <w:rsid w:val="2BE7BC02"/>
    <w:rsid w:val="2BE9149A"/>
    <w:rsid w:val="2BEA66AA"/>
    <w:rsid w:val="2BEABA06"/>
    <w:rsid w:val="2BEC3F19"/>
    <w:rsid w:val="2BF34965"/>
    <w:rsid w:val="2BF431B0"/>
    <w:rsid w:val="2BF46214"/>
    <w:rsid w:val="2BF9F1DC"/>
    <w:rsid w:val="2BFB5C16"/>
    <w:rsid w:val="2BFC1A04"/>
    <w:rsid w:val="2BFD636E"/>
    <w:rsid w:val="2BFDBDC9"/>
    <w:rsid w:val="2BFF0384"/>
    <w:rsid w:val="2BFF1636"/>
    <w:rsid w:val="2C03688E"/>
    <w:rsid w:val="2C055486"/>
    <w:rsid w:val="2C0DCFE8"/>
    <w:rsid w:val="2C1220E8"/>
    <w:rsid w:val="2C143ED4"/>
    <w:rsid w:val="2C1552A2"/>
    <w:rsid w:val="2C16929A"/>
    <w:rsid w:val="2C174784"/>
    <w:rsid w:val="2C1C2233"/>
    <w:rsid w:val="2C1CE4C4"/>
    <w:rsid w:val="2C25A129"/>
    <w:rsid w:val="2C25F8F9"/>
    <w:rsid w:val="2C270A8B"/>
    <w:rsid w:val="2C2AF7D8"/>
    <w:rsid w:val="2C2E6C7F"/>
    <w:rsid w:val="2C2FE907"/>
    <w:rsid w:val="2C3136E2"/>
    <w:rsid w:val="2C36D450"/>
    <w:rsid w:val="2C372360"/>
    <w:rsid w:val="2C3E8739"/>
    <w:rsid w:val="2C3F1CCC"/>
    <w:rsid w:val="2C439DE5"/>
    <w:rsid w:val="2C449BD8"/>
    <w:rsid w:val="2C4996F3"/>
    <w:rsid w:val="2C4A8656"/>
    <w:rsid w:val="2C4B91F5"/>
    <w:rsid w:val="2C4D4246"/>
    <w:rsid w:val="2C50538C"/>
    <w:rsid w:val="2C53C997"/>
    <w:rsid w:val="2C5546E2"/>
    <w:rsid w:val="2C563466"/>
    <w:rsid w:val="2C564B9E"/>
    <w:rsid w:val="2C5685F9"/>
    <w:rsid w:val="2C57A8B9"/>
    <w:rsid w:val="2C590A60"/>
    <w:rsid w:val="2C5C5363"/>
    <w:rsid w:val="2C5C58C4"/>
    <w:rsid w:val="2C5F72B9"/>
    <w:rsid w:val="2C61222D"/>
    <w:rsid w:val="2C62914C"/>
    <w:rsid w:val="2C637349"/>
    <w:rsid w:val="2C66CBB1"/>
    <w:rsid w:val="2C66E29D"/>
    <w:rsid w:val="2C67E80C"/>
    <w:rsid w:val="2C682AB9"/>
    <w:rsid w:val="2C699C65"/>
    <w:rsid w:val="2C6B2B85"/>
    <w:rsid w:val="2C6B6784"/>
    <w:rsid w:val="2C6D405D"/>
    <w:rsid w:val="2C6DFF76"/>
    <w:rsid w:val="2C702DED"/>
    <w:rsid w:val="2C70A748"/>
    <w:rsid w:val="2C724D10"/>
    <w:rsid w:val="2C7252B1"/>
    <w:rsid w:val="2C727FED"/>
    <w:rsid w:val="2C74113A"/>
    <w:rsid w:val="2C7944FA"/>
    <w:rsid w:val="2C79553F"/>
    <w:rsid w:val="2C7B1FAE"/>
    <w:rsid w:val="2C7D28C4"/>
    <w:rsid w:val="2C7D7BBE"/>
    <w:rsid w:val="2C7E9D37"/>
    <w:rsid w:val="2C813BE5"/>
    <w:rsid w:val="2C838F42"/>
    <w:rsid w:val="2C859315"/>
    <w:rsid w:val="2C893FD2"/>
    <w:rsid w:val="2C8A334D"/>
    <w:rsid w:val="2C8B48D3"/>
    <w:rsid w:val="2C8D9995"/>
    <w:rsid w:val="2C933754"/>
    <w:rsid w:val="2C94F5FE"/>
    <w:rsid w:val="2C96152A"/>
    <w:rsid w:val="2C9756F5"/>
    <w:rsid w:val="2C9CC68A"/>
    <w:rsid w:val="2C9E164E"/>
    <w:rsid w:val="2CA00319"/>
    <w:rsid w:val="2CA2252B"/>
    <w:rsid w:val="2CA4409E"/>
    <w:rsid w:val="2CA582F7"/>
    <w:rsid w:val="2CA5EA58"/>
    <w:rsid w:val="2CA846BB"/>
    <w:rsid w:val="2CA8F973"/>
    <w:rsid w:val="2CA98B5C"/>
    <w:rsid w:val="2CAE6360"/>
    <w:rsid w:val="2CB0BC4A"/>
    <w:rsid w:val="2CB14884"/>
    <w:rsid w:val="2CB5BEC8"/>
    <w:rsid w:val="2CB5D3A5"/>
    <w:rsid w:val="2CB6F450"/>
    <w:rsid w:val="2CBB1FC1"/>
    <w:rsid w:val="2CBB7B96"/>
    <w:rsid w:val="2CBCE97A"/>
    <w:rsid w:val="2CBD5A01"/>
    <w:rsid w:val="2CC0459A"/>
    <w:rsid w:val="2CC3629A"/>
    <w:rsid w:val="2CC46DE3"/>
    <w:rsid w:val="2CC588B4"/>
    <w:rsid w:val="2CC88CB7"/>
    <w:rsid w:val="2CCAFFCB"/>
    <w:rsid w:val="2CCF67DE"/>
    <w:rsid w:val="2CCFC715"/>
    <w:rsid w:val="2CD10B33"/>
    <w:rsid w:val="2CD2F3E5"/>
    <w:rsid w:val="2CD42852"/>
    <w:rsid w:val="2CD508D8"/>
    <w:rsid w:val="2CD51E0C"/>
    <w:rsid w:val="2CD94C39"/>
    <w:rsid w:val="2CDA3DA8"/>
    <w:rsid w:val="2CDAFF21"/>
    <w:rsid w:val="2CDE64C3"/>
    <w:rsid w:val="2CDEAC78"/>
    <w:rsid w:val="2CE06DC0"/>
    <w:rsid w:val="2CE38A34"/>
    <w:rsid w:val="2CE44D0C"/>
    <w:rsid w:val="2CE6768B"/>
    <w:rsid w:val="2CE7F223"/>
    <w:rsid w:val="2CEBE75B"/>
    <w:rsid w:val="2CED5C09"/>
    <w:rsid w:val="2CF24362"/>
    <w:rsid w:val="2CF7AC0E"/>
    <w:rsid w:val="2CF8166E"/>
    <w:rsid w:val="2CF95D1C"/>
    <w:rsid w:val="2CFA7B03"/>
    <w:rsid w:val="2CFB5760"/>
    <w:rsid w:val="2CFC935B"/>
    <w:rsid w:val="2CFD395B"/>
    <w:rsid w:val="2CFD45B5"/>
    <w:rsid w:val="2D011A2C"/>
    <w:rsid w:val="2D0179CD"/>
    <w:rsid w:val="2D022E90"/>
    <w:rsid w:val="2D023241"/>
    <w:rsid w:val="2D0283D1"/>
    <w:rsid w:val="2D02AFC0"/>
    <w:rsid w:val="2D04CF4E"/>
    <w:rsid w:val="2D05F9EA"/>
    <w:rsid w:val="2D079602"/>
    <w:rsid w:val="2D0886D5"/>
    <w:rsid w:val="2D08A4A6"/>
    <w:rsid w:val="2D0A269C"/>
    <w:rsid w:val="2D0FDCA5"/>
    <w:rsid w:val="2D100A2C"/>
    <w:rsid w:val="2D14021C"/>
    <w:rsid w:val="2D14486E"/>
    <w:rsid w:val="2D1483C2"/>
    <w:rsid w:val="2D16915F"/>
    <w:rsid w:val="2D1B172E"/>
    <w:rsid w:val="2D1DF198"/>
    <w:rsid w:val="2D25E14B"/>
    <w:rsid w:val="2D28206C"/>
    <w:rsid w:val="2D32AE5F"/>
    <w:rsid w:val="2D32C767"/>
    <w:rsid w:val="2D35A495"/>
    <w:rsid w:val="2D37EBFD"/>
    <w:rsid w:val="2D37F6F3"/>
    <w:rsid w:val="2D3EC77D"/>
    <w:rsid w:val="2D46EB79"/>
    <w:rsid w:val="2D46F314"/>
    <w:rsid w:val="2D493EEE"/>
    <w:rsid w:val="2D4A098F"/>
    <w:rsid w:val="2D4BCA8B"/>
    <w:rsid w:val="2D4E086C"/>
    <w:rsid w:val="2D50B255"/>
    <w:rsid w:val="2D50EE3D"/>
    <w:rsid w:val="2D5117B2"/>
    <w:rsid w:val="2D53414F"/>
    <w:rsid w:val="2D55ADE9"/>
    <w:rsid w:val="2D57111D"/>
    <w:rsid w:val="2D576329"/>
    <w:rsid w:val="2D58BD6E"/>
    <w:rsid w:val="2D5BEDA5"/>
    <w:rsid w:val="2D620BEA"/>
    <w:rsid w:val="2D62AC70"/>
    <w:rsid w:val="2D657C44"/>
    <w:rsid w:val="2D6611B5"/>
    <w:rsid w:val="2D66AE02"/>
    <w:rsid w:val="2D68C25A"/>
    <w:rsid w:val="2D6C7744"/>
    <w:rsid w:val="2D6D63DC"/>
    <w:rsid w:val="2D6F017C"/>
    <w:rsid w:val="2D7060E7"/>
    <w:rsid w:val="2D732347"/>
    <w:rsid w:val="2D7651EB"/>
    <w:rsid w:val="2D7A320B"/>
    <w:rsid w:val="2D7DF36E"/>
    <w:rsid w:val="2D7EA57C"/>
    <w:rsid w:val="2D80B2AB"/>
    <w:rsid w:val="2D860D64"/>
    <w:rsid w:val="2D868D4E"/>
    <w:rsid w:val="2D8C2B03"/>
    <w:rsid w:val="2D8C4A34"/>
    <w:rsid w:val="2D906568"/>
    <w:rsid w:val="2D92824B"/>
    <w:rsid w:val="2D94CF82"/>
    <w:rsid w:val="2D98C1CB"/>
    <w:rsid w:val="2D9ADA0B"/>
    <w:rsid w:val="2D9E5967"/>
    <w:rsid w:val="2DA045CA"/>
    <w:rsid w:val="2DA58D60"/>
    <w:rsid w:val="2DA9B8B0"/>
    <w:rsid w:val="2DACF78A"/>
    <w:rsid w:val="2DADB846"/>
    <w:rsid w:val="2DADE2F4"/>
    <w:rsid w:val="2DB08FE8"/>
    <w:rsid w:val="2DB23A19"/>
    <w:rsid w:val="2DB341C0"/>
    <w:rsid w:val="2DB4AC68"/>
    <w:rsid w:val="2DB5B605"/>
    <w:rsid w:val="2DB632A1"/>
    <w:rsid w:val="2DB90BBD"/>
    <w:rsid w:val="2DB9FAAE"/>
    <w:rsid w:val="2DBA47D1"/>
    <w:rsid w:val="2DBB4659"/>
    <w:rsid w:val="2DBBE929"/>
    <w:rsid w:val="2DBCDE17"/>
    <w:rsid w:val="2DBD67E4"/>
    <w:rsid w:val="2DBDBE23"/>
    <w:rsid w:val="2DC121A6"/>
    <w:rsid w:val="2DC168DB"/>
    <w:rsid w:val="2DC4FD5F"/>
    <w:rsid w:val="2DC5ACAE"/>
    <w:rsid w:val="2DC9143F"/>
    <w:rsid w:val="2DC993C0"/>
    <w:rsid w:val="2DCE2FB6"/>
    <w:rsid w:val="2DD2292E"/>
    <w:rsid w:val="2DD5AD8C"/>
    <w:rsid w:val="2DDA2E92"/>
    <w:rsid w:val="2DDC2E6C"/>
    <w:rsid w:val="2DDE01F6"/>
    <w:rsid w:val="2DE07B4F"/>
    <w:rsid w:val="2DE0B519"/>
    <w:rsid w:val="2DE167DA"/>
    <w:rsid w:val="2DE28F6A"/>
    <w:rsid w:val="2DE60347"/>
    <w:rsid w:val="2DED0473"/>
    <w:rsid w:val="2DEEC013"/>
    <w:rsid w:val="2DEF678C"/>
    <w:rsid w:val="2DEF78ED"/>
    <w:rsid w:val="2DF0D6D2"/>
    <w:rsid w:val="2DF1D17B"/>
    <w:rsid w:val="2DF22063"/>
    <w:rsid w:val="2DF2460C"/>
    <w:rsid w:val="2DF2D65C"/>
    <w:rsid w:val="2DF57575"/>
    <w:rsid w:val="2DF62AAD"/>
    <w:rsid w:val="2DF6B732"/>
    <w:rsid w:val="2DFAEBEF"/>
    <w:rsid w:val="2DFEDC8A"/>
    <w:rsid w:val="2E07390C"/>
    <w:rsid w:val="2E07D6D2"/>
    <w:rsid w:val="2E088AAE"/>
    <w:rsid w:val="2E0A10B4"/>
    <w:rsid w:val="2E0D7E10"/>
    <w:rsid w:val="2E10F63E"/>
    <w:rsid w:val="2E1703A8"/>
    <w:rsid w:val="2E177E41"/>
    <w:rsid w:val="2E18D8D0"/>
    <w:rsid w:val="2E194BAD"/>
    <w:rsid w:val="2E1A6475"/>
    <w:rsid w:val="2E23619F"/>
    <w:rsid w:val="2E271C3F"/>
    <w:rsid w:val="2E27EA91"/>
    <w:rsid w:val="2E282423"/>
    <w:rsid w:val="2E32CEF3"/>
    <w:rsid w:val="2E337E61"/>
    <w:rsid w:val="2E35C096"/>
    <w:rsid w:val="2E367FDA"/>
    <w:rsid w:val="2E3893DC"/>
    <w:rsid w:val="2E38F39D"/>
    <w:rsid w:val="2E39ED90"/>
    <w:rsid w:val="2E3B7B73"/>
    <w:rsid w:val="2E3FCFAE"/>
    <w:rsid w:val="2E47100D"/>
    <w:rsid w:val="2E48FF61"/>
    <w:rsid w:val="2E490CE8"/>
    <w:rsid w:val="2E49A573"/>
    <w:rsid w:val="2E4A52A9"/>
    <w:rsid w:val="2E4F7D08"/>
    <w:rsid w:val="2E502C66"/>
    <w:rsid w:val="2E51FECC"/>
    <w:rsid w:val="2E52425A"/>
    <w:rsid w:val="2E535BB9"/>
    <w:rsid w:val="2E544452"/>
    <w:rsid w:val="2E589752"/>
    <w:rsid w:val="2E58A37E"/>
    <w:rsid w:val="2E5B2F5C"/>
    <w:rsid w:val="2E5C030A"/>
    <w:rsid w:val="2E5E66F1"/>
    <w:rsid w:val="2E6398E9"/>
    <w:rsid w:val="2E680A92"/>
    <w:rsid w:val="2E6C5E36"/>
    <w:rsid w:val="2E6D097B"/>
    <w:rsid w:val="2E6D291F"/>
    <w:rsid w:val="2E6F0B7F"/>
    <w:rsid w:val="2E70609C"/>
    <w:rsid w:val="2E771E86"/>
    <w:rsid w:val="2E7DBEAE"/>
    <w:rsid w:val="2E8287E0"/>
    <w:rsid w:val="2E866F01"/>
    <w:rsid w:val="2E8A631A"/>
    <w:rsid w:val="2E8AFFCE"/>
    <w:rsid w:val="2E8B12BE"/>
    <w:rsid w:val="2E8BA498"/>
    <w:rsid w:val="2E8CCF36"/>
    <w:rsid w:val="2E910EC2"/>
    <w:rsid w:val="2E93577F"/>
    <w:rsid w:val="2E9768A6"/>
    <w:rsid w:val="2E9B75B6"/>
    <w:rsid w:val="2E9C1E5B"/>
    <w:rsid w:val="2EA15515"/>
    <w:rsid w:val="2EA3300A"/>
    <w:rsid w:val="2EA40CDD"/>
    <w:rsid w:val="2EA9B846"/>
    <w:rsid w:val="2EAA371F"/>
    <w:rsid w:val="2EABD4D0"/>
    <w:rsid w:val="2EACB2C0"/>
    <w:rsid w:val="2EB0888F"/>
    <w:rsid w:val="2EB24725"/>
    <w:rsid w:val="2EB27E7E"/>
    <w:rsid w:val="2EB37F68"/>
    <w:rsid w:val="2EB44839"/>
    <w:rsid w:val="2EB54F81"/>
    <w:rsid w:val="2EB6BA21"/>
    <w:rsid w:val="2EBDC364"/>
    <w:rsid w:val="2EC44C31"/>
    <w:rsid w:val="2EC4D867"/>
    <w:rsid w:val="2EC6C164"/>
    <w:rsid w:val="2EC87554"/>
    <w:rsid w:val="2ECBECF2"/>
    <w:rsid w:val="2ECCC392"/>
    <w:rsid w:val="2ED1638C"/>
    <w:rsid w:val="2ED4DAB9"/>
    <w:rsid w:val="2ED5A254"/>
    <w:rsid w:val="2ED91D31"/>
    <w:rsid w:val="2EE071DD"/>
    <w:rsid w:val="2EE32F59"/>
    <w:rsid w:val="2EEC3C26"/>
    <w:rsid w:val="2EF3D95F"/>
    <w:rsid w:val="2EFC4E38"/>
    <w:rsid w:val="2EFCA9D6"/>
    <w:rsid w:val="2EFD9CBA"/>
    <w:rsid w:val="2EFED4CF"/>
    <w:rsid w:val="2EFF3517"/>
    <w:rsid w:val="2EFF3B55"/>
    <w:rsid w:val="2F002608"/>
    <w:rsid w:val="2F04C556"/>
    <w:rsid w:val="2F05F507"/>
    <w:rsid w:val="2F080271"/>
    <w:rsid w:val="2F081895"/>
    <w:rsid w:val="2F09E924"/>
    <w:rsid w:val="2F0B0886"/>
    <w:rsid w:val="2F0DE368"/>
    <w:rsid w:val="2F0FECDF"/>
    <w:rsid w:val="2F105027"/>
    <w:rsid w:val="2F114747"/>
    <w:rsid w:val="2F17775F"/>
    <w:rsid w:val="2F1825ED"/>
    <w:rsid w:val="2F19991D"/>
    <w:rsid w:val="2F1E7FDC"/>
    <w:rsid w:val="2F1FF8E8"/>
    <w:rsid w:val="2F206341"/>
    <w:rsid w:val="2F2180D7"/>
    <w:rsid w:val="2F223861"/>
    <w:rsid w:val="2F22B3B9"/>
    <w:rsid w:val="2F298246"/>
    <w:rsid w:val="2F2A7398"/>
    <w:rsid w:val="2F31EB34"/>
    <w:rsid w:val="2F37C3CA"/>
    <w:rsid w:val="2F3B167E"/>
    <w:rsid w:val="2F3CDFC2"/>
    <w:rsid w:val="2F3CF69F"/>
    <w:rsid w:val="2F40893E"/>
    <w:rsid w:val="2F466BB3"/>
    <w:rsid w:val="2F46B852"/>
    <w:rsid w:val="2F4D8E97"/>
    <w:rsid w:val="2F515971"/>
    <w:rsid w:val="2F535E43"/>
    <w:rsid w:val="2F53D826"/>
    <w:rsid w:val="2F57281C"/>
    <w:rsid w:val="2F57A8AA"/>
    <w:rsid w:val="2F588E54"/>
    <w:rsid w:val="2F5B3E8E"/>
    <w:rsid w:val="2F5E0CFE"/>
    <w:rsid w:val="2F616DBB"/>
    <w:rsid w:val="2F61ED2B"/>
    <w:rsid w:val="2F653C06"/>
    <w:rsid w:val="2F663DFB"/>
    <w:rsid w:val="2F668707"/>
    <w:rsid w:val="2F6706A4"/>
    <w:rsid w:val="2F6FAE70"/>
    <w:rsid w:val="2F6FAEC5"/>
    <w:rsid w:val="2F75EF0E"/>
    <w:rsid w:val="2F7997D2"/>
    <w:rsid w:val="2F799BEF"/>
    <w:rsid w:val="2F79D6EA"/>
    <w:rsid w:val="2F7EAE01"/>
    <w:rsid w:val="2F80723A"/>
    <w:rsid w:val="2F867F35"/>
    <w:rsid w:val="2F86F527"/>
    <w:rsid w:val="2F883E97"/>
    <w:rsid w:val="2F8B2E7B"/>
    <w:rsid w:val="2F8C1D55"/>
    <w:rsid w:val="2F8E7B14"/>
    <w:rsid w:val="2F900B14"/>
    <w:rsid w:val="2F917638"/>
    <w:rsid w:val="2F927549"/>
    <w:rsid w:val="2F9324E1"/>
    <w:rsid w:val="2F93D110"/>
    <w:rsid w:val="2F969EE9"/>
    <w:rsid w:val="2F975922"/>
    <w:rsid w:val="2F97BBDB"/>
    <w:rsid w:val="2F99D30D"/>
    <w:rsid w:val="2F9BC684"/>
    <w:rsid w:val="2F9E1EBD"/>
    <w:rsid w:val="2FA0AF82"/>
    <w:rsid w:val="2FA888A6"/>
    <w:rsid w:val="2FAA09B3"/>
    <w:rsid w:val="2FAACE24"/>
    <w:rsid w:val="2FAB2F8E"/>
    <w:rsid w:val="2FACC2DD"/>
    <w:rsid w:val="2FB47029"/>
    <w:rsid w:val="2FB524B9"/>
    <w:rsid w:val="2FB61AB1"/>
    <w:rsid w:val="2FB93E0F"/>
    <w:rsid w:val="2FBAB61F"/>
    <w:rsid w:val="2FBB6D6A"/>
    <w:rsid w:val="2FBCDA57"/>
    <w:rsid w:val="2FBDA258"/>
    <w:rsid w:val="2FBDB542"/>
    <w:rsid w:val="2FC0F1AA"/>
    <w:rsid w:val="2FC81216"/>
    <w:rsid w:val="2FCACC49"/>
    <w:rsid w:val="2FCD4B1A"/>
    <w:rsid w:val="2FD81D74"/>
    <w:rsid w:val="2FD97B0D"/>
    <w:rsid w:val="2FDB5B5B"/>
    <w:rsid w:val="2FDEC19D"/>
    <w:rsid w:val="2FE2EB22"/>
    <w:rsid w:val="2FE4825C"/>
    <w:rsid w:val="2FEEAEC5"/>
    <w:rsid w:val="2FF034E1"/>
    <w:rsid w:val="2FF28C28"/>
    <w:rsid w:val="2FF5ED9E"/>
    <w:rsid w:val="2FF63B86"/>
    <w:rsid w:val="2FFA3752"/>
    <w:rsid w:val="2FFB59D2"/>
    <w:rsid w:val="2FFE9EBF"/>
    <w:rsid w:val="2FFF7DA8"/>
    <w:rsid w:val="2FFFA6AB"/>
    <w:rsid w:val="300179F1"/>
    <w:rsid w:val="3001938E"/>
    <w:rsid w:val="3003A96B"/>
    <w:rsid w:val="30054386"/>
    <w:rsid w:val="3005E21B"/>
    <w:rsid w:val="30066E99"/>
    <w:rsid w:val="300C63B2"/>
    <w:rsid w:val="30126EDA"/>
    <w:rsid w:val="3014069E"/>
    <w:rsid w:val="30195A4E"/>
    <w:rsid w:val="302065DB"/>
    <w:rsid w:val="3021601B"/>
    <w:rsid w:val="3026DE79"/>
    <w:rsid w:val="302871BF"/>
    <w:rsid w:val="302AB3DC"/>
    <w:rsid w:val="302DB1C0"/>
    <w:rsid w:val="302EA987"/>
    <w:rsid w:val="3032BD56"/>
    <w:rsid w:val="30362713"/>
    <w:rsid w:val="3036A26E"/>
    <w:rsid w:val="3036CE32"/>
    <w:rsid w:val="30372A50"/>
    <w:rsid w:val="303CDEC4"/>
    <w:rsid w:val="303D5E9B"/>
    <w:rsid w:val="3043DFBF"/>
    <w:rsid w:val="304450C4"/>
    <w:rsid w:val="30465126"/>
    <w:rsid w:val="3047D5E6"/>
    <w:rsid w:val="304969DF"/>
    <w:rsid w:val="3049C468"/>
    <w:rsid w:val="304BE5AB"/>
    <w:rsid w:val="304C83FA"/>
    <w:rsid w:val="304CBC82"/>
    <w:rsid w:val="304DA790"/>
    <w:rsid w:val="3051BE3C"/>
    <w:rsid w:val="3056D86E"/>
    <w:rsid w:val="3057A168"/>
    <w:rsid w:val="3059F0CA"/>
    <w:rsid w:val="305A4D3B"/>
    <w:rsid w:val="30624601"/>
    <w:rsid w:val="30636556"/>
    <w:rsid w:val="3066BB79"/>
    <w:rsid w:val="3067421D"/>
    <w:rsid w:val="30678461"/>
    <w:rsid w:val="306AFF4A"/>
    <w:rsid w:val="306C7FA3"/>
    <w:rsid w:val="307115BB"/>
    <w:rsid w:val="3071EFE8"/>
    <w:rsid w:val="3076EE28"/>
    <w:rsid w:val="307777E7"/>
    <w:rsid w:val="307C4236"/>
    <w:rsid w:val="30819482"/>
    <w:rsid w:val="30834092"/>
    <w:rsid w:val="30850A21"/>
    <w:rsid w:val="30873D0C"/>
    <w:rsid w:val="3089C301"/>
    <w:rsid w:val="308A4804"/>
    <w:rsid w:val="308C99C4"/>
    <w:rsid w:val="308EABAF"/>
    <w:rsid w:val="308FF936"/>
    <w:rsid w:val="309274F9"/>
    <w:rsid w:val="3096A634"/>
    <w:rsid w:val="309998E1"/>
    <w:rsid w:val="309C23B5"/>
    <w:rsid w:val="309DC259"/>
    <w:rsid w:val="309DC6E2"/>
    <w:rsid w:val="309EB0F4"/>
    <w:rsid w:val="30A1B924"/>
    <w:rsid w:val="30A25049"/>
    <w:rsid w:val="30A2EE48"/>
    <w:rsid w:val="30A9E1BF"/>
    <w:rsid w:val="30B0B235"/>
    <w:rsid w:val="30B0F24C"/>
    <w:rsid w:val="30B123CE"/>
    <w:rsid w:val="30B22D9A"/>
    <w:rsid w:val="30B67C80"/>
    <w:rsid w:val="30B70CFF"/>
    <w:rsid w:val="30B734B9"/>
    <w:rsid w:val="30BB8146"/>
    <w:rsid w:val="30BE22C4"/>
    <w:rsid w:val="30C26ADD"/>
    <w:rsid w:val="30C40AC9"/>
    <w:rsid w:val="30C41D1C"/>
    <w:rsid w:val="30C5466B"/>
    <w:rsid w:val="30C6B667"/>
    <w:rsid w:val="30C74EC9"/>
    <w:rsid w:val="30CC48BA"/>
    <w:rsid w:val="30CCB90E"/>
    <w:rsid w:val="30D50310"/>
    <w:rsid w:val="30D5D99A"/>
    <w:rsid w:val="30D6EA48"/>
    <w:rsid w:val="30D95FEF"/>
    <w:rsid w:val="30DDA458"/>
    <w:rsid w:val="30DE04B3"/>
    <w:rsid w:val="30E333C3"/>
    <w:rsid w:val="30E3AB94"/>
    <w:rsid w:val="30E4FDE6"/>
    <w:rsid w:val="30E74420"/>
    <w:rsid w:val="30EAB925"/>
    <w:rsid w:val="30EB2007"/>
    <w:rsid w:val="30ED490D"/>
    <w:rsid w:val="30F0A028"/>
    <w:rsid w:val="30F3C138"/>
    <w:rsid w:val="30F65F4F"/>
    <w:rsid w:val="30F7F98C"/>
    <w:rsid w:val="30FD16F5"/>
    <w:rsid w:val="30FE5DFE"/>
    <w:rsid w:val="30FE815C"/>
    <w:rsid w:val="30FF0A56"/>
    <w:rsid w:val="30FFB076"/>
    <w:rsid w:val="3101773D"/>
    <w:rsid w:val="3102EA57"/>
    <w:rsid w:val="3105496E"/>
    <w:rsid w:val="3105CB91"/>
    <w:rsid w:val="31077EEB"/>
    <w:rsid w:val="310CAE3E"/>
    <w:rsid w:val="310D2D03"/>
    <w:rsid w:val="310F055C"/>
    <w:rsid w:val="310F92EB"/>
    <w:rsid w:val="311445B5"/>
    <w:rsid w:val="3115899C"/>
    <w:rsid w:val="31170AF6"/>
    <w:rsid w:val="3118BE2F"/>
    <w:rsid w:val="311C6432"/>
    <w:rsid w:val="3121838D"/>
    <w:rsid w:val="31219627"/>
    <w:rsid w:val="3122DFF2"/>
    <w:rsid w:val="31247344"/>
    <w:rsid w:val="3124A32E"/>
    <w:rsid w:val="3129BEFE"/>
    <w:rsid w:val="3130DC9F"/>
    <w:rsid w:val="313161C9"/>
    <w:rsid w:val="31319D3B"/>
    <w:rsid w:val="313220E5"/>
    <w:rsid w:val="31327BF3"/>
    <w:rsid w:val="31334AE1"/>
    <w:rsid w:val="31376342"/>
    <w:rsid w:val="31388203"/>
    <w:rsid w:val="313BD8B4"/>
    <w:rsid w:val="313CD99F"/>
    <w:rsid w:val="313F7760"/>
    <w:rsid w:val="313FEE24"/>
    <w:rsid w:val="3143AD4A"/>
    <w:rsid w:val="314907F1"/>
    <w:rsid w:val="314C2418"/>
    <w:rsid w:val="314F6323"/>
    <w:rsid w:val="3157B162"/>
    <w:rsid w:val="3157F6B3"/>
    <w:rsid w:val="3158982A"/>
    <w:rsid w:val="3158F90A"/>
    <w:rsid w:val="31597D73"/>
    <w:rsid w:val="315AE27A"/>
    <w:rsid w:val="315B6B39"/>
    <w:rsid w:val="315CFE78"/>
    <w:rsid w:val="315E1715"/>
    <w:rsid w:val="315FD1F9"/>
    <w:rsid w:val="3164F2D3"/>
    <w:rsid w:val="31689721"/>
    <w:rsid w:val="316B4D2C"/>
    <w:rsid w:val="316CF50C"/>
    <w:rsid w:val="316E4B44"/>
    <w:rsid w:val="3170702F"/>
    <w:rsid w:val="317479F2"/>
    <w:rsid w:val="3177B2B1"/>
    <w:rsid w:val="31789C08"/>
    <w:rsid w:val="317964E6"/>
    <w:rsid w:val="317BA618"/>
    <w:rsid w:val="317CBB62"/>
    <w:rsid w:val="317CE8C9"/>
    <w:rsid w:val="317D3784"/>
    <w:rsid w:val="317E3848"/>
    <w:rsid w:val="3181353A"/>
    <w:rsid w:val="318215D1"/>
    <w:rsid w:val="3182C2C7"/>
    <w:rsid w:val="318A429B"/>
    <w:rsid w:val="318A9E4F"/>
    <w:rsid w:val="318AF771"/>
    <w:rsid w:val="318D1206"/>
    <w:rsid w:val="318D8958"/>
    <w:rsid w:val="318ED615"/>
    <w:rsid w:val="319048F7"/>
    <w:rsid w:val="3190BA69"/>
    <w:rsid w:val="3191A114"/>
    <w:rsid w:val="319221B8"/>
    <w:rsid w:val="3192DA47"/>
    <w:rsid w:val="31932F1F"/>
    <w:rsid w:val="31964F8C"/>
    <w:rsid w:val="3199C7F3"/>
    <w:rsid w:val="319D437B"/>
    <w:rsid w:val="319E7CC2"/>
    <w:rsid w:val="319EA2C5"/>
    <w:rsid w:val="31A11E28"/>
    <w:rsid w:val="31A30560"/>
    <w:rsid w:val="31A960E0"/>
    <w:rsid w:val="31AEA258"/>
    <w:rsid w:val="31AFC386"/>
    <w:rsid w:val="31B1F5A8"/>
    <w:rsid w:val="31B6B98B"/>
    <w:rsid w:val="31B8F0B2"/>
    <w:rsid w:val="31BC2D8D"/>
    <w:rsid w:val="31BC8A5B"/>
    <w:rsid w:val="31BDF9CB"/>
    <w:rsid w:val="31C1C6FF"/>
    <w:rsid w:val="31C2F9F2"/>
    <w:rsid w:val="31CFA0E3"/>
    <w:rsid w:val="31D29ED8"/>
    <w:rsid w:val="31D3E2C4"/>
    <w:rsid w:val="31D3F660"/>
    <w:rsid w:val="31D4D5F2"/>
    <w:rsid w:val="31D5A590"/>
    <w:rsid w:val="31D68146"/>
    <w:rsid w:val="31D8DB9C"/>
    <w:rsid w:val="31DC0982"/>
    <w:rsid w:val="31DCAE16"/>
    <w:rsid w:val="31DFB2E1"/>
    <w:rsid w:val="31E003BA"/>
    <w:rsid w:val="31E10EB8"/>
    <w:rsid w:val="31E14069"/>
    <w:rsid w:val="31E44F38"/>
    <w:rsid w:val="31E5CCCB"/>
    <w:rsid w:val="31E65A50"/>
    <w:rsid w:val="31E990A3"/>
    <w:rsid w:val="31EC0999"/>
    <w:rsid w:val="31EC3798"/>
    <w:rsid w:val="31ED103E"/>
    <w:rsid w:val="31EE867D"/>
    <w:rsid w:val="31EEF996"/>
    <w:rsid w:val="31EF9E12"/>
    <w:rsid w:val="31F0C9F1"/>
    <w:rsid w:val="31F18571"/>
    <w:rsid w:val="31F1C167"/>
    <w:rsid w:val="31F3A6D5"/>
    <w:rsid w:val="31F5AFBA"/>
    <w:rsid w:val="31F643C8"/>
    <w:rsid w:val="31F699BA"/>
    <w:rsid w:val="31F6B1A1"/>
    <w:rsid w:val="31F8758C"/>
    <w:rsid w:val="31F8928D"/>
    <w:rsid w:val="31F921CE"/>
    <w:rsid w:val="31FD5E21"/>
    <w:rsid w:val="320031DD"/>
    <w:rsid w:val="32014D19"/>
    <w:rsid w:val="32029762"/>
    <w:rsid w:val="3202F16E"/>
    <w:rsid w:val="3203F55F"/>
    <w:rsid w:val="3206ACC2"/>
    <w:rsid w:val="3209FEAE"/>
    <w:rsid w:val="320D6B09"/>
    <w:rsid w:val="320F10A9"/>
    <w:rsid w:val="32107111"/>
    <w:rsid w:val="32146486"/>
    <w:rsid w:val="3214C1AC"/>
    <w:rsid w:val="321561C0"/>
    <w:rsid w:val="3217CF5C"/>
    <w:rsid w:val="32193584"/>
    <w:rsid w:val="3219DAE4"/>
    <w:rsid w:val="321C1F36"/>
    <w:rsid w:val="321EDF3D"/>
    <w:rsid w:val="32206A7A"/>
    <w:rsid w:val="3220CD90"/>
    <w:rsid w:val="32280D23"/>
    <w:rsid w:val="322A149F"/>
    <w:rsid w:val="322B8087"/>
    <w:rsid w:val="322C7E20"/>
    <w:rsid w:val="322F038C"/>
    <w:rsid w:val="3232C61D"/>
    <w:rsid w:val="32343C94"/>
    <w:rsid w:val="323613B4"/>
    <w:rsid w:val="32376F0B"/>
    <w:rsid w:val="3239C5C8"/>
    <w:rsid w:val="323A7DD7"/>
    <w:rsid w:val="323AE819"/>
    <w:rsid w:val="323B5AEB"/>
    <w:rsid w:val="323D00CC"/>
    <w:rsid w:val="323EAF3A"/>
    <w:rsid w:val="32426F64"/>
    <w:rsid w:val="3242FFF2"/>
    <w:rsid w:val="32435151"/>
    <w:rsid w:val="3243D4F9"/>
    <w:rsid w:val="3246F005"/>
    <w:rsid w:val="3247228A"/>
    <w:rsid w:val="3247BA40"/>
    <w:rsid w:val="32495597"/>
    <w:rsid w:val="324A1001"/>
    <w:rsid w:val="324A35DC"/>
    <w:rsid w:val="325166D7"/>
    <w:rsid w:val="3251B96E"/>
    <w:rsid w:val="3252270A"/>
    <w:rsid w:val="32525214"/>
    <w:rsid w:val="32571FB5"/>
    <w:rsid w:val="32582F61"/>
    <w:rsid w:val="325B5334"/>
    <w:rsid w:val="325D93DE"/>
    <w:rsid w:val="325E8669"/>
    <w:rsid w:val="325E99BC"/>
    <w:rsid w:val="32635A6A"/>
    <w:rsid w:val="3266801F"/>
    <w:rsid w:val="326C4850"/>
    <w:rsid w:val="326DE719"/>
    <w:rsid w:val="3272084F"/>
    <w:rsid w:val="3276F3CE"/>
    <w:rsid w:val="327730CA"/>
    <w:rsid w:val="32786719"/>
    <w:rsid w:val="3279B83B"/>
    <w:rsid w:val="327C1FCD"/>
    <w:rsid w:val="327CC431"/>
    <w:rsid w:val="327EADDC"/>
    <w:rsid w:val="32855FF4"/>
    <w:rsid w:val="32858E1F"/>
    <w:rsid w:val="32866DA8"/>
    <w:rsid w:val="328983B5"/>
    <w:rsid w:val="328A534D"/>
    <w:rsid w:val="328CC180"/>
    <w:rsid w:val="328D35D9"/>
    <w:rsid w:val="328D5749"/>
    <w:rsid w:val="328F0B93"/>
    <w:rsid w:val="328FE34F"/>
    <w:rsid w:val="32932A4F"/>
    <w:rsid w:val="3297C478"/>
    <w:rsid w:val="329C0498"/>
    <w:rsid w:val="32A159E2"/>
    <w:rsid w:val="32A399BE"/>
    <w:rsid w:val="32A3E741"/>
    <w:rsid w:val="32A7EA0F"/>
    <w:rsid w:val="32ABCC6B"/>
    <w:rsid w:val="32AC0FCA"/>
    <w:rsid w:val="32AC8B3B"/>
    <w:rsid w:val="32ACC028"/>
    <w:rsid w:val="32B0589B"/>
    <w:rsid w:val="32B1BF66"/>
    <w:rsid w:val="32B21C75"/>
    <w:rsid w:val="32B3ED11"/>
    <w:rsid w:val="32B96A46"/>
    <w:rsid w:val="32B972F6"/>
    <w:rsid w:val="32BD1CAE"/>
    <w:rsid w:val="32C033E5"/>
    <w:rsid w:val="32C12823"/>
    <w:rsid w:val="32C9E455"/>
    <w:rsid w:val="32D17DBE"/>
    <w:rsid w:val="32D79C24"/>
    <w:rsid w:val="32D81733"/>
    <w:rsid w:val="32DC6931"/>
    <w:rsid w:val="32DD0CDE"/>
    <w:rsid w:val="32DD39B6"/>
    <w:rsid w:val="32DD7052"/>
    <w:rsid w:val="32DD8600"/>
    <w:rsid w:val="32E34665"/>
    <w:rsid w:val="32EA9D62"/>
    <w:rsid w:val="32F40F4F"/>
    <w:rsid w:val="32FC1063"/>
    <w:rsid w:val="33040155"/>
    <w:rsid w:val="330475A8"/>
    <w:rsid w:val="3304BF7B"/>
    <w:rsid w:val="330FD198"/>
    <w:rsid w:val="330FD48B"/>
    <w:rsid w:val="33127AF5"/>
    <w:rsid w:val="33134350"/>
    <w:rsid w:val="331CB534"/>
    <w:rsid w:val="331FF2A2"/>
    <w:rsid w:val="3321BCA7"/>
    <w:rsid w:val="3323CE7D"/>
    <w:rsid w:val="332A6327"/>
    <w:rsid w:val="332BE3D5"/>
    <w:rsid w:val="3330AE73"/>
    <w:rsid w:val="333311B4"/>
    <w:rsid w:val="3336DBBE"/>
    <w:rsid w:val="3339E83D"/>
    <w:rsid w:val="333AFD05"/>
    <w:rsid w:val="33400967"/>
    <w:rsid w:val="3340C4D2"/>
    <w:rsid w:val="334133BE"/>
    <w:rsid w:val="3341AE94"/>
    <w:rsid w:val="334309C4"/>
    <w:rsid w:val="33455C17"/>
    <w:rsid w:val="334A76DD"/>
    <w:rsid w:val="334BEB5B"/>
    <w:rsid w:val="334C16A2"/>
    <w:rsid w:val="334DEDA5"/>
    <w:rsid w:val="334DF9BB"/>
    <w:rsid w:val="3352E099"/>
    <w:rsid w:val="3354084F"/>
    <w:rsid w:val="3354ABDD"/>
    <w:rsid w:val="3359B130"/>
    <w:rsid w:val="335D72CD"/>
    <w:rsid w:val="335D78AF"/>
    <w:rsid w:val="335F7E6B"/>
    <w:rsid w:val="33610057"/>
    <w:rsid w:val="3362C9E2"/>
    <w:rsid w:val="33635E81"/>
    <w:rsid w:val="336544B4"/>
    <w:rsid w:val="336AB002"/>
    <w:rsid w:val="336C37C5"/>
    <w:rsid w:val="3370CC01"/>
    <w:rsid w:val="33754292"/>
    <w:rsid w:val="3376DA00"/>
    <w:rsid w:val="3378FD06"/>
    <w:rsid w:val="3379CF62"/>
    <w:rsid w:val="337A4F63"/>
    <w:rsid w:val="337C6E8E"/>
    <w:rsid w:val="337D894F"/>
    <w:rsid w:val="33819C78"/>
    <w:rsid w:val="33838424"/>
    <w:rsid w:val="3384F592"/>
    <w:rsid w:val="3386540C"/>
    <w:rsid w:val="33880CF7"/>
    <w:rsid w:val="338A7D1A"/>
    <w:rsid w:val="338BDD6F"/>
    <w:rsid w:val="338C5769"/>
    <w:rsid w:val="338E2283"/>
    <w:rsid w:val="338E8423"/>
    <w:rsid w:val="33934690"/>
    <w:rsid w:val="3396C6AD"/>
    <w:rsid w:val="3397F682"/>
    <w:rsid w:val="3398CFBB"/>
    <w:rsid w:val="33994870"/>
    <w:rsid w:val="3399A057"/>
    <w:rsid w:val="339A6DE4"/>
    <w:rsid w:val="339B1B13"/>
    <w:rsid w:val="339B4AAF"/>
    <w:rsid w:val="339D58AC"/>
    <w:rsid w:val="339DAE17"/>
    <w:rsid w:val="33A05E2F"/>
    <w:rsid w:val="33A63BAF"/>
    <w:rsid w:val="33ABCA36"/>
    <w:rsid w:val="33ACF78B"/>
    <w:rsid w:val="33AE6D2B"/>
    <w:rsid w:val="33AF1790"/>
    <w:rsid w:val="33B0ADB7"/>
    <w:rsid w:val="33B3760F"/>
    <w:rsid w:val="33B57AE1"/>
    <w:rsid w:val="33BBD6DD"/>
    <w:rsid w:val="33BE2415"/>
    <w:rsid w:val="33C091BF"/>
    <w:rsid w:val="33C4F4C1"/>
    <w:rsid w:val="33C52A7A"/>
    <w:rsid w:val="33C9D1A4"/>
    <w:rsid w:val="33C9F17A"/>
    <w:rsid w:val="33CC53B5"/>
    <w:rsid w:val="33D24771"/>
    <w:rsid w:val="33D378DD"/>
    <w:rsid w:val="33DA23DC"/>
    <w:rsid w:val="33DBB102"/>
    <w:rsid w:val="33DE3277"/>
    <w:rsid w:val="33E60BBC"/>
    <w:rsid w:val="33E6756B"/>
    <w:rsid w:val="33E7C559"/>
    <w:rsid w:val="33E8E526"/>
    <w:rsid w:val="33F08C23"/>
    <w:rsid w:val="33F4FCBA"/>
    <w:rsid w:val="33F55C54"/>
    <w:rsid w:val="33F76E97"/>
    <w:rsid w:val="33F7A65A"/>
    <w:rsid w:val="33F8D220"/>
    <w:rsid w:val="33F9D00E"/>
    <w:rsid w:val="33FC56F7"/>
    <w:rsid w:val="33FE84F3"/>
    <w:rsid w:val="340079A8"/>
    <w:rsid w:val="34044B83"/>
    <w:rsid w:val="34051E54"/>
    <w:rsid w:val="340984A0"/>
    <w:rsid w:val="340C8202"/>
    <w:rsid w:val="340C8543"/>
    <w:rsid w:val="3416FBB9"/>
    <w:rsid w:val="3417548D"/>
    <w:rsid w:val="3418DE8F"/>
    <w:rsid w:val="341F38E9"/>
    <w:rsid w:val="341F4791"/>
    <w:rsid w:val="3422A2A0"/>
    <w:rsid w:val="34235E66"/>
    <w:rsid w:val="3424F55F"/>
    <w:rsid w:val="3426A870"/>
    <w:rsid w:val="34272531"/>
    <w:rsid w:val="34291D2B"/>
    <w:rsid w:val="342B5E46"/>
    <w:rsid w:val="342C384A"/>
    <w:rsid w:val="342CB870"/>
    <w:rsid w:val="342DE1A4"/>
    <w:rsid w:val="343007F6"/>
    <w:rsid w:val="343330CF"/>
    <w:rsid w:val="3433BF59"/>
    <w:rsid w:val="3433CB79"/>
    <w:rsid w:val="343EB81D"/>
    <w:rsid w:val="34405649"/>
    <w:rsid w:val="3441A5B5"/>
    <w:rsid w:val="3443192E"/>
    <w:rsid w:val="34455E7C"/>
    <w:rsid w:val="344658FC"/>
    <w:rsid w:val="3446604E"/>
    <w:rsid w:val="34495AED"/>
    <w:rsid w:val="344DCFB1"/>
    <w:rsid w:val="344E5272"/>
    <w:rsid w:val="345383AA"/>
    <w:rsid w:val="3453F410"/>
    <w:rsid w:val="34548295"/>
    <w:rsid w:val="34564EC1"/>
    <w:rsid w:val="34593011"/>
    <w:rsid w:val="345A09EB"/>
    <w:rsid w:val="345C7411"/>
    <w:rsid w:val="345ED869"/>
    <w:rsid w:val="34611F18"/>
    <w:rsid w:val="34631AFD"/>
    <w:rsid w:val="34662BE4"/>
    <w:rsid w:val="34687078"/>
    <w:rsid w:val="346C4280"/>
    <w:rsid w:val="347642C0"/>
    <w:rsid w:val="34767AC7"/>
    <w:rsid w:val="34773ADD"/>
    <w:rsid w:val="3477C196"/>
    <w:rsid w:val="3478845B"/>
    <w:rsid w:val="3479B7EB"/>
    <w:rsid w:val="347BFE3B"/>
    <w:rsid w:val="347CC1FA"/>
    <w:rsid w:val="347D9D8F"/>
    <w:rsid w:val="34821942"/>
    <w:rsid w:val="34850653"/>
    <w:rsid w:val="3489A526"/>
    <w:rsid w:val="348A8C76"/>
    <w:rsid w:val="348BD9AF"/>
    <w:rsid w:val="348C132D"/>
    <w:rsid w:val="348E6DDD"/>
    <w:rsid w:val="348F42D2"/>
    <w:rsid w:val="3491FC28"/>
    <w:rsid w:val="34938C11"/>
    <w:rsid w:val="3495FFD6"/>
    <w:rsid w:val="34979C5D"/>
    <w:rsid w:val="34998905"/>
    <w:rsid w:val="349E69D7"/>
    <w:rsid w:val="349ED296"/>
    <w:rsid w:val="349EF5FF"/>
    <w:rsid w:val="34A23711"/>
    <w:rsid w:val="34A301EF"/>
    <w:rsid w:val="34A3658E"/>
    <w:rsid w:val="34A3B160"/>
    <w:rsid w:val="34A3F5B4"/>
    <w:rsid w:val="34AE2029"/>
    <w:rsid w:val="34B3E7A6"/>
    <w:rsid w:val="34B48E91"/>
    <w:rsid w:val="34B597DB"/>
    <w:rsid w:val="34B8D97B"/>
    <w:rsid w:val="34C2245C"/>
    <w:rsid w:val="34C28342"/>
    <w:rsid w:val="34C36662"/>
    <w:rsid w:val="34C39269"/>
    <w:rsid w:val="34C4E1DD"/>
    <w:rsid w:val="34C62000"/>
    <w:rsid w:val="34C84901"/>
    <w:rsid w:val="34C85B52"/>
    <w:rsid w:val="34C905DA"/>
    <w:rsid w:val="34CAA9DB"/>
    <w:rsid w:val="34CFAF40"/>
    <w:rsid w:val="34D03658"/>
    <w:rsid w:val="34D2A470"/>
    <w:rsid w:val="34D3A153"/>
    <w:rsid w:val="34D4D991"/>
    <w:rsid w:val="34D8A243"/>
    <w:rsid w:val="34DA3DC4"/>
    <w:rsid w:val="34DA4110"/>
    <w:rsid w:val="34DBB207"/>
    <w:rsid w:val="34DBFC6D"/>
    <w:rsid w:val="34DEE584"/>
    <w:rsid w:val="34E014DD"/>
    <w:rsid w:val="34E02627"/>
    <w:rsid w:val="34E06CA0"/>
    <w:rsid w:val="34E415A5"/>
    <w:rsid w:val="34E7EF75"/>
    <w:rsid w:val="34E81AAA"/>
    <w:rsid w:val="34E8B06B"/>
    <w:rsid w:val="34EB35A3"/>
    <w:rsid w:val="34ECCA95"/>
    <w:rsid w:val="34EDC407"/>
    <w:rsid w:val="34EE58F9"/>
    <w:rsid w:val="34EED5C9"/>
    <w:rsid w:val="34EF7B09"/>
    <w:rsid w:val="34F376A8"/>
    <w:rsid w:val="34F42B1D"/>
    <w:rsid w:val="34F72FE7"/>
    <w:rsid w:val="34F85A5C"/>
    <w:rsid w:val="34F886A0"/>
    <w:rsid w:val="34FA471C"/>
    <w:rsid w:val="34FCF6AD"/>
    <w:rsid w:val="34FF1582"/>
    <w:rsid w:val="35024977"/>
    <w:rsid w:val="35039164"/>
    <w:rsid w:val="350861DE"/>
    <w:rsid w:val="3508C2C7"/>
    <w:rsid w:val="350A81B2"/>
    <w:rsid w:val="350C9D05"/>
    <w:rsid w:val="350CD885"/>
    <w:rsid w:val="350D38BA"/>
    <w:rsid w:val="35136869"/>
    <w:rsid w:val="35149C60"/>
    <w:rsid w:val="3515C841"/>
    <w:rsid w:val="3517268F"/>
    <w:rsid w:val="35192B76"/>
    <w:rsid w:val="351B429E"/>
    <w:rsid w:val="351D1F46"/>
    <w:rsid w:val="352286B9"/>
    <w:rsid w:val="3524212B"/>
    <w:rsid w:val="3526260F"/>
    <w:rsid w:val="352637E8"/>
    <w:rsid w:val="3526A75C"/>
    <w:rsid w:val="35271FA9"/>
    <w:rsid w:val="3528136D"/>
    <w:rsid w:val="3528573C"/>
    <w:rsid w:val="352AF37C"/>
    <w:rsid w:val="352B6277"/>
    <w:rsid w:val="352CCFCF"/>
    <w:rsid w:val="352EA370"/>
    <w:rsid w:val="352FAE8B"/>
    <w:rsid w:val="3536DDBE"/>
    <w:rsid w:val="3538359D"/>
    <w:rsid w:val="353B203C"/>
    <w:rsid w:val="353CCCFE"/>
    <w:rsid w:val="353DB9B0"/>
    <w:rsid w:val="354088CC"/>
    <w:rsid w:val="3541544B"/>
    <w:rsid w:val="3543F769"/>
    <w:rsid w:val="354541A4"/>
    <w:rsid w:val="3547CD20"/>
    <w:rsid w:val="3548BF74"/>
    <w:rsid w:val="354FEDD8"/>
    <w:rsid w:val="3552B3A6"/>
    <w:rsid w:val="35541BC8"/>
    <w:rsid w:val="35546F14"/>
    <w:rsid w:val="3554C31E"/>
    <w:rsid w:val="35586B34"/>
    <w:rsid w:val="355D7373"/>
    <w:rsid w:val="355DB8F6"/>
    <w:rsid w:val="356572D6"/>
    <w:rsid w:val="35693BE4"/>
    <w:rsid w:val="356CE9A6"/>
    <w:rsid w:val="356DB497"/>
    <w:rsid w:val="356E9FDF"/>
    <w:rsid w:val="35700C84"/>
    <w:rsid w:val="35720193"/>
    <w:rsid w:val="35768654"/>
    <w:rsid w:val="357A7F92"/>
    <w:rsid w:val="357B07FA"/>
    <w:rsid w:val="357B3CD4"/>
    <w:rsid w:val="357F3D5F"/>
    <w:rsid w:val="357FE4F9"/>
    <w:rsid w:val="358157D3"/>
    <w:rsid w:val="3589F6A4"/>
    <w:rsid w:val="358C8712"/>
    <w:rsid w:val="358CB17E"/>
    <w:rsid w:val="358F0957"/>
    <w:rsid w:val="35978D52"/>
    <w:rsid w:val="35985FF2"/>
    <w:rsid w:val="35999AA6"/>
    <w:rsid w:val="359B5517"/>
    <w:rsid w:val="359C2DB3"/>
    <w:rsid w:val="359F3D4D"/>
    <w:rsid w:val="359F9A68"/>
    <w:rsid w:val="35A00D2D"/>
    <w:rsid w:val="35A139FC"/>
    <w:rsid w:val="35A40891"/>
    <w:rsid w:val="35A4D896"/>
    <w:rsid w:val="35A5BAFA"/>
    <w:rsid w:val="35A81268"/>
    <w:rsid w:val="35A9612E"/>
    <w:rsid w:val="35ABE01C"/>
    <w:rsid w:val="35AD827F"/>
    <w:rsid w:val="35AE2CC7"/>
    <w:rsid w:val="35AE2F32"/>
    <w:rsid w:val="35B20F0F"/>
    <w:rsid w:val="35B37574"/>
    <w:rsid w:val="35B8528E"/>
    <w:rsid w:val="35BCA2BB"/>
    <w:rsid w:val="35BCB6CC"/>
    <w:rsid w:val="35BCBC1F"/>
    <w:rsid w:val="35BCCC82"/>
    <w:rsid w:val="35BE14E9"/>
    <w:rsid w:val="35C1AC5C"/>
    <w:rsid w:val="35C5238D"/>
    <w:rsid w:val="35C89522"/>
    <w:rsid w:val="35CAB2DF"/>
    <w:rsid w:val="35CE2BC0"/>
    <w:rsid w:val="35CEBF54"/>
    <w:rsid w:val="35D014C2"/>
    <w:rsid w:val="35D2C72E"/>
    <w:rsid w:val="35D55E8A"/>
    <w:rsid w:val="35D9E7B6"/>
    <w:rsid w:val="35DBCA34"/>
    <w:rsid w:val="35DC14B1"/>
    <w:rsid w:val="35DC6FB9"/>
    <w:rsid w:val="35DDB8A0"/>
    <w:rsid w:val="35E153A8"/>
    <w:rsid w:val="35EA3FD8"/>
    <w:rsid w:val="35ED15A2"/>
    <w:rsid w:val="35F32F42"/>
    <w:rsid w:val="35F87724"/>
    <w:rsid w:val="35FBCB31"/>
    <w:rsid w:val="35FBDBDF"/>
    <w:rsid w:val="3601D00F"/>
    <w:rsid w:val="3604E459"/>
    <w:rsid w:val="36073445"/>
    <w:rsid w:val="3607FE6F"/>
    <w:rsid w:val="360ED9B3"/>
    <w:rsid w:val="3610A60C"/>
    <w:rsid w:val="3613D066"/>
    <w:rsid w:val="361962D2"/>
    <w:rsid w:val="361C083E"/>
    <w:rsid w:val="361CF085"/>
    <w:rsid w:val="361E2CD0"/>
    <w:rsid w:val="3620A69D"/>
    <w:rsid w:val="3621A926"/>
    <w:rsid w:val="362567F9"/>
    <w:rsid w:val="36264AF0"/>
    <w:rsid w:val="36265C6E"/>
    <w:rsid w:val="3628ABDC"/>
    <w:rsid w:val="362CACD6"/>
    <w:rsid w:val="362D7B06"/>
    <w:rsid w:val="362D982B"/>
    <w:rsid w:val="362FD367"/>
    <w:rsid w:val="36364555"/>
    <w:rsid w:val="36367265"/>
    <w:rsid w:val="363767F6"/>
    <w:rsid w:val="3637FE56"/>
    <w:rsid w:val="363968B3"/>
    <w:rsid w:val="363AC25B"/>
    <w:rsid w:val="363C8DB3"/>
    <w:rsid w:val="363E0251"/>
    <w:rsid w:val="363F5521"/>
    <w:rsid w:val="36424167"/>
    <w:rsid w:val="3643040A"/>
    <w:rsid w:val="36433C0E"/>
    <w:rsid w:val="36436666"/>
    <w:rsid w:val="3643865D"/>
    <w:rsid w:val="364C906C"/>
    <w:rsid w:val="3653F4C2"/>
    <w:rsid w:val="3658064F"/>
    <w:rsid w:val="36585E15"/>
    <w:rsid w:val="365A15C4"/>
    <w:rsid w:val="365A5F7A"/>
    <w:rsid w:val="365A7531"/>
    <w:rsid w:val="365D9118"/>
    <w:rsid w:val="365E7483"/>
    <w:rsid w:val="3660E38F"/>
    <w:rsid w:val="3665B3C8"/>
    <w:rsid w:val="36674874"/>
    <w:rsid w:val="36688611"/>
    <w:rsid w:val="3669DAB4"/>
    <w:rsid w:val="366AAE58"/>
    <w:rsid w:val="366BD7F6"/>
    <w:rsid w:val="366C91E3"/>
    <w:rsid w:val="366ECDAE"/>
    <w:rsid w:val="366F566D"/>
    <w:rsid w:val="3674AA9A"/>
    <w:rsid w:val="3678737E"/>
    <w:rsid w:val="367AF769"/>
    <w:rsid w:val="367DBFE8"/>
    <w:rsid w:val="367F2C36"/>
    <w:rsid w:val="3684FFAF"/>
    <w:rsid w:val="368699A0"/>
    <w:rsid w:val="368840C9"/>
    <w:rsid w:val="368AC9BB"/>
    <w:rsid w:val="368DABC7"/>
    <w:rsid w:val="3697E7A6"/>
    <w:rsid w:val="369C7E7D"/>
    <w:rsid w:val="369FAF4E"/>
    <w:rsid w:val="36A79B4E"/>
    <w:rsid w:val="36AA4A44"/>
    <w:rsid w:val="36AB0509"/>
    <w:rsid w:val="36B22983"/>
    <w:rsid w:val="36B4265E"/>
    <w:rsid w:val="36B4BFAA"/>
    <w:rsid w:val="36B6AA6E"/>
    <w:rsid w:val="36B774F3"/>
    <w:rsid w:val="36BB90AD"/>
    <w:rsid w:val="36BC73CE"/>
    <w:rsid w:val="36BFA5EC"/>
    <w:rsid w:val="36BFB459"/>
    <w:rsid w:val="36C34198"/>
    <w:rsid w:val="36C3B304"/>
    <w:rsid w:val="36C755FF"/>
    <w:rsid w:val="36C89D87"/>
    <w:rsid w:val="36C95F9E"/>
    <w:rsid w:val="36CA3FEE"/>
    <w:rsid w:val="36CDB86B"/>
    <w:rsid w:val="36CF6E92"/>
    <w:rsid w:val="36D166E5"/>
    <w:rsid w:val="36D2C265"/>
    <w:rsid w:val="36D49FFE"/>
    <w:rsid w:val="36D4EDDB"/>
    <w:rsid w:val="36D54545"/>
    <w:rsid w:val="36D75A4E"/>
    <w:rsid w:val="36D782FC"/>
    <w:rsid w:val="36DFBCBB"/>
    <w:rsid w:val="36E2C64F"/>
    <w:rsid w:val="36E48A07"/>
    <w:rsid w:val="36E63B70"/>
    <w:rsid w:val="36EDDA27"/>
    <w:rsid w:val="36EEE53D"/>
    <w:rsid w:val="36F17BF4"/>
    <w:rsid w:val="36F49ABC"/>
    <w:rsid w:val="36F4FA08"/>
    <w:rsid w:val="36F58271"/>
    <w:rsid w:val="36F586FA"/>
    <w:rsid w:val="36F62FE1"/>
    <w:rsid w:val="36F8052F"/>
    <w:rsid w:val="36F8BDDC"/>
    <w:rsid w:val="36F9E957"/>
    <w:rsid w:val="36FB0789"/>
    <w:rsid w:val="36FC62DB"/>
    <w:rsid w:val="36FDB2E0"/>
    <w:rsid w:val="3704E571"/>
    <w:rsid w:val="37069ACA"/>
    <w:rsid w:val="3707D526"/>
    <w:rsid w:val="370B6554"/>
    <w:rsid w:val="370BA060"/>
    <w:rsid w:val="370BBD67"/>
    <w:rsid w:val="370BD18E"/>
    <w:rsid w:val="370CD2AD"/>
    <w:rsid w:val="3710C58A"/>
    <w:rsid w:val="3712996F"/>
    <w:rsid w:val="37133D5A"/>
    <w:rsid w:val="37175AD9"/>
    <w:rsid w:val="371AAEA2"/>
    <w:rsid w:val="371CCB45"/>
    <w:rsid w:val="37212726"/>
    <w:rsid w:val="3724E785"/>
    <w:rsid w:val="37295B59"/>
    <w:rsid w:val="372ACA94"/>
    <w:rsid w:val="372E8B3E"/>
    <w:rsid w:val="372F8BE2"/>
    <w:rsid w:val="373205E5"/>
    <w:rsid w:val="37352A8A"/>
    <w:rsid w:val="373A5EBE"/>
    <w:rsid w:val="373F2D4E"/>
    <w:rsid w:val="3742A7A1"/>
    <w:rsid w:val="3743A1D8"/>
    <w:rsid w:val="3745DEF2"/>
    <w:rsid w:val="374BC2DB"/>
    <w:rsid w:val="374DE504"/>
    <w:rsid w:val="374FD567"/>
    <w:rsid w:val="37502957"/>
    <w:rsid w:val="3761E776"/>
    <w:rsid w:val="3762C996"/>
    <w:rsid w:val="37630024"/>
    <w:rsid w:val="37634E13"/>
    <w:rsid w:val="3764FCE1"/>
    <w:rsid w:val="37654B29"/>
    <w:rsid w:val="37697DE8"/>
    <w:rsid w:val="3769AF31"/>
    <w:rsid w:val="376AC6CB"/>
    <w:rsid w:val="376AE7BD"/>
    <w:rsid w:val="376D5C4A"/>
    <w:rsid w:val="376E8599"/>
    <w:rsid w:val="376E95F6"/>
    <w:rsid w:val="376F7FE1"/>
    <w:rsid w:val="376F906D"/>
    <w:rsid w:val="37736ED0"/>
    <w:rsid w:val="3773FBE6"/>
    <w:rsid w:val="3774A3D8"/>
    <w:rsid w:val="37787FD9"/>
    <w:rsid w:val="377B70B9"/>
    <w:rsid w:val="37832F0F"/>
    <w:rsid w:val="37850549"/>
    <w:rsid w:val="3787FF75"/>
    <w:rsid w:val="378AC187"/>
    <w:rsid w:val="378B8543"/>
    <w:rsid w:val="378C4587"/>
    <w:rsid w:val="378E6A6E"/>
    <w:rsid w:val="378EFFA3"/>
    <w:rsid w:val="37917F8A"/>
    <w:rsid w:val="3795D727"/>
    <w:rsid w:val="37976E6C"/>
    <w:rsid w:val="379805FC"/>
    <w:rsid w:val="379816A7"/>
    <w:rsid w:val="379987A7"/>
    <w:rsid w:val="379A2EB3"/>
    <w:rsid w:val="379C2981"/>
    <w:rsid w:val="379C39C9"/>
    <w:rsid w:val="37A042A7"/>
    <w:rsid w:val="37A29346"/>
    <w:rsid w:val="37A356AC"/>
    <w:rsid w:val="37A57745"/>
    <w:rsid w:val="37A749AF"/>
    <w:rsid w:val="37A8A2FD"/>
    <w:rsid w:val="37A8F2DD"/>
    <w:rsid w:val="37A95F1D"/>
    <w:rsid w:val="37A9B9EF"/>
    <w:rsid w:val="37AAD16C"/>
    <w:rsid w:val="37ABA388"/>
    <w:rsid w:val="37ADFF36"/>
    <w:rsid w:val="37AF7E35"/>
    <w:rsid w:val="37BA0185"/>
    <w:rsid w:val="37BA7603"/>
    <w:rsid w:val="37BA9A18"/>
    <w:rsid w:val="37BD7971"/>
    <w:rsid w:val="37BEEB62"/>
    <w:rsid w:val="37BF593C"/>
    <w:rsid w:val="37C19223"/>
    <w:rsid w:val="37C69526"/>
    <w:rsid w:val="37C7033F"/>
    <w:rsid w:val="37C7567A"/>
    <w:rsid w:val="37C77998"/>
    <w:rsid w:val="37C95981"/>
    <w:rsid w:val="37CEE121"/>
    <w:rsid w:val="37CEF498"/>
    <w:rsid w:val="37D081AE"/>
    <w:rsid w:val="37D186C4"/>
    <w:rsid w:val="37D3DE6A"/>
    <w:rsid w:val="37D9F737"/>
    <w:rsid w:val="37DC172A"/>
    <w:rsid w:val="37DE6DAC"/>
    <w:rsid w:val="37DEA244"/>
    <w:rsid w:val="37E28F89"/>
    <w:rsid w:val="37E2D8C0"/>
    <w:rsid w:val="37E4A6F2"/>
    <w:rsid w:val="37E859A9"/>
    <w:rsid w:val="37EA38D1"/>
    <w:rsid w:val="37EC589E"/>
    <w:rsid w:val="37EC8051"/>
    <w:rsid w:val="37EDD1E3"/>
    <w:rsid w:val="37EFBE95"/>
    <w:rsid w:val="37F20330"/>
    <w:rsid w:val="37F25B7C"/>
    <w:rsid w:val="37F53EE0"/>
    <w:rsid w:val="37F79CAF"/>
    <w:rsid w:val="37F82B5E"/>
    <w:rsid w:val="37F850E7"/>
    <w:rsid w:val="37FBB4BA"/>
    <w:rsid w:val="37FF8888"/>
    <w:rsid w:val="380184B9"/>
    <w:rsid w:val="38047FEB"/>
    <w:rsid w:val="380CE4EB"/>
    <w:rsid w:val="380E93BF"/>
    <w:rsid w:val="38141474"/>
    <w:rsid w:val="381CECE8"/>
    <w:rsid w:val="381FD4A4"/>
    <w:rsid w:val="3820303B"/>
    <w:rsid w:val="382C63C9"/>
    <w:rsid w:val="382E285F"/>
    <w:rsid w:val="382FA4CD"/>
    <w:rsid w:val="3830141B"/>
    <w:rsid w:val="3836108A"/>
    <w:rsid w:val="38370907"/>
    <w:rsid w:val="38381784"/>
    <w:rsid w:val="3839DCBF"/>
    <w:rsid w:val="383AE833"/>
    <w:rsid w:val="383B68B5"/>
    <w:rsid w:val="383CA8BA"/>
    <w:rsid w:val="383D2579"/>
    <w:rsid w:val="384235E6"/>
    <w:rsid w:val="3843D6E5"/>
    <w:rsid w:val="38443631"/>
    <w:rsid w:val="38518AB8"/>
    <w:rsid w:val="385637AA"/>
    <w:rsid w:val="3856B68B"/>
    <w:rsid w:val="385D8719"/>
    <w:rsid w:val="386051DE"/>
    <w:rsid w:val="386112BF"/>
    <w:rsid w:val="38615B90"/>
    <w:rsid w:val="386476F4"/>
    <w:rsid w:val="386AFDA8"/>
    <w:rsid w:val="38732293"/>
    <w:rsid w:val="3873B5D4"/>
    <w:rsid w:val="3874B991"/>
    <w:rsid w:val="3877EA7B"/>
    <w:rsid w:val="387B4EF9"/>
    <w:rsid w:val="388768DF"/>
    <w:rsid w:val="388D2E0D"/>
    <w:rsid w:val="38914CD8"/>
    <w:rsid w:val="3892D502"/>
    <w:rsid w:val="3892FAA6"/>
    <w:rsid w:val="38964092"/>
    <w:rsid w:val="389B8085"/>
    <w:rsid w:val="389E04AF"/>
    <w:rsid w:val="38A0383B"/>
    <w:rsid w:val="38A43F02"/>
    <w:rsid w:val="38A48A68"/>
    <w:rsid w:val="38A4DA49"/>
    <w:rsid w:val="38A5670B"/>
    <w:rsid w:val="38A702C9"/>
    <w:rsid w:val="38AC6417"/>
    <w:rsid w:val="38ACE58F"/>
    <w:rsid w:val="38AF4ECD"/>
    <w:rsid w:val="38AF51AA"/>
    <w:rsid w:val="38B0FE9F"/>
    <w:rsid w:val="38B228EC"/>
    <w:rsid w:val="38B423B0"/>
    <w:rsid w:val="38B7AD31"/>
    <w:rsid w:val="38B806F5"/>
    <w:rsid w:val="38B98F49"/>
    <w:rsid w:val="38BE0E8F"/>
    <w:rsid w:val="38C028A9"/>
    <w:rsid w:val="38C0D40D"/>
    <w:rsid w:val="38C1A733"/>
    <w:rsid w:val="38C1E79B"/>
    <w:rsid w:val="38C3905C"/>
    <w:rsid w:val="38C3FB3B"/>
    <w:rsid w:val="38CD6C16"/>
    <w:rsid w:val="38CD799E"/>
    <w:rsid w:val="38CF0CAD"/>
    <w:rsid w:val="38D3675D"/>
    <w:rsid w:val="38D44567"/>
    <w:rsid w:val="38D53862"/>
    <w:rsid w:val="38D67756"/>
    <w:rsid w:val="38D833DC"/>
    <w:rsid w:val="38DA6EB0"/>
    <w:rsid w:val="38DBF890"/>
    <w:rsid w:val="38DDC186"/>
    <w:rsid w:val="38DE18D2"/>
    <w:rsid w:val="38DFB51C"/>
    <w:rsid w:val="38E0CA5B"/>
    <w:rsid w:val="38E10FF4"/>
    <w:rsid w:val="38E2EACA"/>
    <w:rsid w:val="38E53E4E"/>
    <w:rsid w:val="38EB192F"/>
    <w:rsid w:val="38EC26F8"/>
    <w:rsid w:val="38ED78B4"/>
    <w:rsid w:val="38F469A1"/>
    <w:rsid w:val="38F474D8"/>
    <w:rsid w:val="38F5FA72"/>
    <w:rsid w:val="38F6124D"/>
    <w:rsid w:val="38FB360F"/>
    <w:rsid w:val="38FB6B26"/>
    <w:rsid w:val="38FC773E"/>
    <w:rsid w:val="38FEE156"/>
    <w:rsid w:val="3903ED4A"/>
    <w:rsid w:val="3908DB28"/>
    <w:rsid w:val="390C8A89"/>
    <w:rsid w:val="390E5F03"/>
    <w:rsid w:val="39104C47"/>
    <w:rsid w:val="3916F9E6"/>
    <w:rsid w:val="3917C30F"/>
    <w:rsid w:val="3918EDE3"/>
    <w:rsid w:val="39191F10"/>
    <w:rsid w:val="391FDAA8"/>
    <w:rsid w:val="3920664C"/>
    <w:rsid w:val="3922E745"/>
    <w:rsid w:val="39235D92"/>
    <w:rsid w:val="3923FBFD"/>
    <w:rsid w:val="3927CFDC"/>
    <w:rsid w:val="392974C0"/>
    <w:rsid w:val="392A702A"/>
    <w:rsid w:val="392F3DAE"/>
    <w:rsid w:val="3932CE06"/>
    <w:rsid w:val="3932D991"/>
    <w:rsid w:val="3932E3CA"/>
    <w:rsid w:val="3938D891"/>
    <w:rsid w:val="393BB065"/>
    <w:rsid w:val="393C4B14"/>
    <w:rsid w:val="393CE81F"/>
    <w:rsid w:val="393F65A6"/>
    <w:rsid w:val="3940BEF0"/>
    <w:rsid w:val="3940F7AF"/>
    <w:rsid w:val="39428BD0"/>
    <w:rsid w:val="3943715F"/>
    <w:rsid w:val="39495C24"/>
    <w:rsid w:val="394BAEB8"/>
    <w:rsid w:val="394CCD34"/>
    <w:rsid w:val="394E9AA6"/>
    <w:rsid w:val="3951D939"/>
    <w:rsid w:val="3951F000"/>
    <w:rsid w:val="3957025A"/>
    <w:rsid w:val="395A3914"/>
    <w:rsid w:val="395CF772"/>
    <w:rsid w:val="395F5F54"/>
    <w:rsid w:val="39652245"/>
    <w:rsid w:val="3966A4FD"/>
    <w:rsid w:val="396831BC"/>
    <w:rsid w:val="396A8590"/>
    <w:rsid w:val="396AF974"/>
    <w:rsid w:val="397078A5"/>
    <w:rsid w:val="3972DD94"/>
    <w:rsid w:val="39734CDC"/>
    <w:rsid w:val="3975D042"/>
    <w:rsid w:val="3976B322"/>
    <w:rsid w:val="39781A9B"/>
    <w:rsid w:val="39791C3E"/>
    <w:rsid w:val="397E1AD5"/>
    <w:rsid w:val="397E249F"/>
    <w:rsid w:val="397E885C"/>
    <w:rsid w:val="397F5DEC"/>
    <w:rsid w:val="397F5E5F"/>
    <w:rsid w:val="397F736F"/>
    <w:rsid w:val="39823E38"/>
    <w:rsid w:val="39859418"/>
    <w:rsid w:val="3985EA5F"/>
    <w:rsid w:val="398638C7"/>
    <w:rsid w:val="3986F2F9"/>
    <w:rsid w:val="398AB67E"/>
    <w:rsid w:val="399177B7"/>
    <w:rsid w:val="399819AE"/>
    <w:rsid w:val="3999596A"/>
    <w:rsid w:val="399A4BB0"/>
    <w:rsid w:val="399B3660"/>
    <w:rsid w:val="399D46C1"/>
    <w:rsid w:val="399D824E"/>
    <w:rsid w:val="399FBC6E"/>
    <w:rsid w:val="39A03FFD"/>
    <w:rsid w:val="39A30F0D"/>
    <w:rsid w:val="39A61AD8"/>
    <w:rsid w:val="39A9966B"/>
    <w:rsid w:val="39AA218A"/>
    <w:rsid w:val="39AB5CB1"/>
    <w:rsid w:val="39B1EF7B"/>
    <w:rsid w:val="39B3E33E"/>
    <w:rsid w:val="39B50505"/>
    <w:rsid w:val="39B6531F"/>
    <w:rsid w:val="39BB5064"/>
    <w:rsid w:val="39BB5D25"/>
    <w:rsid w:val="39BD6975"/>
    <w:rsid w:val="39C5BDEF"/>
    <w:rsid w:val="39C7755C"/>
    <w:rsid w:val="39C9E138"/>
    <w:rsid w:val="39CB7A9F"/>
    <w:rsid w:val="39CE4F7F"/>
    <w:rsid w:val="39D3C43A"/>
    <w:rsid w:val="39D4F879"/>
    <w:rsid w:val="39D76403"/>
    <w:rsid w:val="39D79FA2"/>
    <w:rsid w:val="39D8EF41"/>
    <w:rsid w:val="39DC0F01"/>
    <w:rsid w:val="39E5C158"/>
    <w:rsid w:val="39E9829C"/>
    <w:rsid w:val="39ED28C6"/>
    <w:rsid w:val="39F11E25"/>
    <w:rsid w:val="39F66879"/>
    <w:rsid w:val="39F78F8C"/>
    <w:rsid w:val="39F84C46"/>
    <w:rsid w:val="39FB49C1"/>
    <w:rsid w:val="39FD6B44"/>
    <w:rsid w:val="3A018770"/>
    <w:rsid w:val="3A02E5C6"/>
    <w:rsid w:val="3A032649"/>
    <w:rsid w:val="3A067EC9"/>
    <w:rsid w:val="3A08A900"/>
    <w:rsid w:val="3A09527F"/>
    <w:rsid w:val="3A0A8B6F"/>
    <w:rsid w:val="3A0C60DF"/>
    <w:rsid w:val="3A10B3C5"/>
    <w:rsid w:val="3A11EFA4"/>
    <w:rsid w:val="3A150DF7"/>
    <w:rsid w:val="3A184EB3"/>
    <w:rsid w:val="3A1AEC5A"/>
    <w:rsid w:val="3A1F3257"/>
    <w:rsid w:val="3A2381B7"/>
    <w:rsid w:val="3A23E0EA"/>
    <w:rsid w:val="3A240AE8"/>
    <w:rsid w:val="3A27AD79"/>
    <w:rsid w:val="3A29595D"/>
    <w:rsid w:val="3A2A9DEE"/>
    <w:rsid w:val="3A310877"/>
    <w:rsid w:val="3A334B5E"/>
    <w:rsid w:val="3A35D6CB"/>
    <w:rsid w:val="3A3C441A"/>
    <w:rsid w:val="3A3C7040"/>
    <w:rsid w:val="3A3C82BE"/>
    <w:rsid w:val="3A411735"/>
    <w:rsid w:val="3A421346"/>
    <w:rsid w:val="3A42E723"/>
    <w:rsid w:val="3A4586DE"/>
    <w:rsid w:val="3A4B390C"/>
    <w:rsid w:val="3A4DA360"/>
    <w:rsid w:val="3A4EC85C"/>
    <w:rsid w:val="3A576045"/>
    <w:rsid w:val="3A57B166"/>
    <w:rsid w:val="3A59C58B"/>
    <w:rsid w:val="3A5AAB90"/>
    <w:rsid w:val="3A5E559E"/>
    <w:rsid w:val="3A5F8A13"/>
    <w:rsid w:val="3A643B7F"/>
    <w:rsid w:val="3A67D63B"/>
    <w:rsid w:val="3A69235D"/>
    <w:rsid w:val="3A6E3676"/>
    <w:rsid w:val="3A734764"/>
    <w:rsid w:val="3A739B63"/>
    <w:rsid w:val="3A7898F0"/>
    <w:rsid w:val="3A78BB8E"/>
    <w:rsid w:val="3A7A6A17"/>
    <w:rsid w:val="3A7E03D9"/>
    <w:rsid w:val="3A81EEE2"/>
    <w:rsid w:val="3A82AE19"/>
    <w:rsid w:val="3A86D9CD"/>
    <w:rsid w:val="3A895B66"/>
    <w:rsid w:val="3A8D6ABB"/>
    <w:rsid w:val="3A8EA065"/>
    <w:rsid w:val="3A98B758"/>
    <w:rsid w:val="3A9925EE"/>
    <w:rsid w:val="3A99DFD2"/>
    <w:rsid w:val="3A9A5606"/>
    <w:rsid w:val="3A9BC0EF"/>
    <w:rsid w:val="3A9D5FF9"/>
    <w:rsid w:val="3A9F5487"/>
    <w:rsid w:val="3A9FAB04"/>
    <w:rsid w:val="3AA0945C"/>
    <w:rsid w:val="3AA0CA89"/>
    <w:rsid w:val="3AA1155E"/>
    <w:rsid w:val="3AA13FF9"/>
    <w:rsid w:val="3AA662EA"/>
    <w:rsid w:val="3AA68464"/>
    <w:rsid w:val="3AA92993"/>
    <w:rsid w:val="3AA96BC5"/>
    <w:rsid w:val="3AAAB867"/>
    <w:rsid w:val="3AAAC985"/>
    <w:rsid w:val="3AACEBC5"/>
    <w:rsid w:val="3AAD5D23"/>
    <w:rsid w:val="3AB03B0D"/>
    <w:rsid w:val="3AB664E1"/>
    <w:rsid w:val="3ABC144B"/>
    <w:rsid w:val="3ABC1C54"/>
    <w:rsid w:val="3ABEEC2D"/>
    <w:rsid w:val="3AC469F9"/>
    <w:rsid w:val="3AC5B165"/>
    <w:rsid w:val="3AC6A4B6"/>
    <w:rsid w:val="3AC81DDA"/>
    <w:rsid w:val="3AC94831"/>
    <w:rsid w:val="3AC985C9"/>
    <w:rsid w:val="3AC9940E"/>
    <w:rsid w:val="3ACC29E2"/>
    <w:rsid w:val="3ACE9611"/>
    <w:rsid w:val="3ACEE40D"/>
    <w:rsid w:val="3AD31381"/>
    <w:rsid w:val="3AD60BA1"/>
    <w:rsid w:val="3AD6EA7E"/>
    <w:rsid w:val="3AD6F61E"/>
    <w:rsid w:val="3AD75AA2"/>
    <w:rsid w:val="3AD84244"/>
    <w:rsid w:val="3ADA2214"/>
    <w:rsid w:val="3ADB5CD5"/>
    <w:rsid w:val="3ADD3C9C"/>
    <w:rsid w:val="3ADD5266"/>
    <w:rsid w:val="3AE67652"/>
    <w:rsid w:val="3AE7CC99"/>
    <w:rsid w:val="3AE7E78C"/>
    <w:rsid w:val="3AE8333D"/>
    <w:rsid w:val="3AE88521"/>
    <w:rsid w:val="3AE8A45C"/>
    <w:rsid w:val="3AEC87E6"/>
    <w:rsid w:val="3AED1129"/>
    <w:rsid w:val="3AEF543C"/>
    <w:rsid w:val="3AF2EA68"/>
    <w:rsid w:val="3AF48EC5"/>
    <w:rsid w:val="3AF62FBA"/>
    <w:rsid w:val="3AFB414E"/>
    <w:rsid w:val="3AFBFA37"/>
    <w:rsid w:val="3AFC8100"/>
    <w:rsid w:val="3B02A561"/>
    <w:rsid w:val="3B02A627"/>
    <w:rsid w:val="3B030DE9"/>
    <w:rsid w:val="3B0663EC"/>
    <w:rsid w:val="3B069B1C"/>
    <w:rsid w:val="3B0FB847"/>
    <w:rsid w:val="3B10C11A"/>
    <w:rsid w:val="3B14CCA2"/>
    <w:rsid w:val="3B14E746"/>
    <w:rsid w:val="3B15C3BD"/>
    <w:rsid w:val="3B160EB4"/>
    <w:rsid w:val="3B1B44E4"/>
    <w:rsid w:val="3B1D9361"/>
    <w:rsid w:val="3B26CF4B"/>
    <w:rsid w:val="3B297C61"/>
    <w:rsid w:val="3B2CD61B"/>
    <w:rsid w:val="3B2D85C8"/>
    <w:rsid w:val="3B342F7F"/>
    <w:rsid w:val="3B3460C2"/>
    <w:rsid w:val="3B35BB47"/>
    <w:rsid w:val="3B3A6700"/>
    <w:rsid w:val="3B3A7E13"/>
    <w:rsid w:val="3B3AF25E"/>
    <w:rsid w:val="3B431B9B"/>
    <w:rsid w:val="3B46AA24"/>
    <w:rsid w:val="3B49FB29"/>
    <w:rsid w:val="3B53A7BF"/>
    <w:rsid w:val="3B5403E6"/>
    <w:rsid w:val="3B556AE5"/>
    <w:rsid w:val="3B58273C"/>
    <w:rsid w:val="3B5B46B4"/>
    <w:rsid w:val="3B65571D"/>
    <w:rsid w:val="3B66B605"/>
    <w:rsid w:val="3B6951A0"/>
    <w:rsid w:val="3B6963D5"/>
    <w:rsid w:val="3B6B5F7F"/>
    <w:rsid w:val="3B6BF908"/>
    <w:rsid w:val="3B6C6B76"/>
    <w:rsid w:val="3B75F480"/>
    <w:rsid w:val="3B7A4C88"/>
    <w:rsid w:val="3B7B097B"/>
    <w:rsid w:val="3B817426"/>
    <w:rsid w:val="3B8297FF"/>
    <w:rsid w:val="3B83481A"/>
    <w:rsid w:val="3B837720"/>
    <w:rsid w:val="3B83CAD3"/>
    <w:rsid w:val="3B87EB62"/>
    <w:rsid w:val="3B87FE0A"/>
    <w:rsid w:val="3B8F4536"/>
    <w:rsid w:val="3B91D033"/>
    <w:rsid w:val="3B92161B"/>
    <w:rsid w:val="3B94FA9F"/>
    <w:rsid w:val="3B9539B9"/>
    <w:rsid w:val="3B9BB1D2"/>
    <w:rsid w:val="3B9DB6BB"/>
    <w:rsid w:val="3B9E2A93"/>
    <w:rsid w:val="3B9E6F08"/>
    <w:rsid w:val="3B9F7455"/>
    <w:rsid w:val="3B9F885F"/>
    <w:rsid w:val="3BA34EFB"/>
    <w:rsid w:val="3BA67CDE"/>
    <w:rsid w:val="3BA8FD31"/>
    <w:rsid w:val="3BAB5C26"/>
    <w:rsid w:val="3BAE1ABA"/>
    <w:rsid w:val="3BB2BE36"/>
    <w:rsid w:val="3BB8B4B0"/>
    <w:rsid w:val="3BC31044"/>
    <w:rsid w:val="3BC43F42"/>
    <w:rsid w:val="3BCA54AB"/>
    <w:rsid w:val="3BCC9416"/>
    <w:rsid w:val="3BCD6489"/>
    <w:rsid w:val="3BCEB6DA"/>
    <w:rsid w:val="3BD28A47"/>
    <w:rsid w:val="3BDA6B98"/>
    <w:rsid w:val="3BDCE831"/>
    <w:rsid w:val="3BDE0CF7"/>
    <w:rsid w:val="3BE039C9"/>
    <w:rsid w:val="3BE2C6E7"/>
    <w:rsid w:val="3BE3F773"/>
    <w:rsid w:val="3BE86CD8"/>
    <w:rsid w:val="3BE8A4E3"/>
    <w:rsid w:val="3BE97026"/>
    <w:rsid w:val="3BEB5192"/>
    <w:rsid w:val="3BEB893A"/>
    <w:rsid w:val="3BED7C02"/>
    <w:rsid w:val="3BED83C2"/>
    <w:rsid w:val="3BF06382"/>
    <w:rsid w:val="3BF99285"/>
    <w:rsid w:val="3BFABC9B"/>
    <w:rsid w:val="3BFB6010"/>
    <w:rsid w:val="3C00602A"/>
    <w:rsid w:val="3C04D1EA"/>
    <w:rsid w:val="3C04D41E"/>
    <w:rsid w:val="3C054BF2"/>
    <w:rsid w:val="3C074561"/>
    <w:rsid w:val="3C08E61D"/>
    <w:rsid w:val="3C0B47F3"/>
    <w:rsid w:val="3C0B9A72"/>
    <w:rsid w:val="3C0BD6C4"/>
    <w:rsid w:val="3C0CB10F"/>
    <w:rsid w:val="3C0DF300"/>
    <w:rsid w:val="3C0ED733"/>
    <w:rsid w:val="3C0FD13C"/>
    <w:rsid w:val="3C100913"/>
    <w:rsid w:val="3C117305"/>
    <w:rsid w:val="3C11D9B4"/>
    <w:rsid w:val="3C128D37"/>
    <w:rsid w:val="3C173B31"/>
    <w:rsid w:val="3C181C33"/>
    <w:rsid w:val="3C1BAD58"/>
    <w:rsid w:val="3C1FCFFF"/>
    <w:rsid w:val="3C209078"/>
    <w:rsid w:val="3C241579"/>
    <w:rsid w:val="3C24DE45"/>
    <w:rsid w:val="3C25CCB4"/>
    <w:rsid w:val="3C260EEF"/>
    <w:rsid w:val="3C286C09"/>
    <w:rsid w:val="3C28A34C"/>
    <w:rsid w:val="3C28C271"/>
    <w:rsid w:val="3C2B154C"/>
    <w:rsid w:val="3C2CB1C1"/>
    <w:rsid w:val="3C2FBD26"/>
    <w:rsid w:val="3C325C8F"/>
    <w:rsid w:val="3C32C0B9"/>
    <w:rsid w:val="3C35811B"/>
    <w:rsid w:val="3C398BA9"/>
    <w:rsid w:val="3C3AD075"/>
    <w:rsid w:val="3C3BC353"/>
    <w:rsid w:val="3C3CF186"/>
    <w:rsid w:val="3C3D3D12"/>
    <w:rsid w:val="3C3EFF95"/>
    <w:rsid w:val="3C41FC1A"/>
    <w:rsid w:val="3C446185"/>
    <w:rsid w:val="3C457222"/>
    <w:rsid w:val="3C46251C"/>
    <w:rsid w:val="3C47CF44"/>
    <w:rsid w:val="3C48F426"/>
    <w:rsid w:val="3C4D7190"/>
    <w:rsid w:val="3C51CC2C"/>
    <w:rsid w:val="3C5404D9"/>
    <w:rsid w:val="3C54D346"/>
    <w:rsid w:val="3C54D7B6"/>
    <w:rsid w:val="3C55BD31"/>
    <w:rsid w:val="3C5890FC"/>
    <w:rsid w:val="3C59CD76"/>
    <w:rsid w:val="3C5B580A"/>
    <w:rsid w:val="3C5CACB4"/>
    <w:rsid w:val="3C5D6A9F"/>
    <w:rsid w:val="3C5E1D70"/>
    <w:rsid w:val="3C6270C6"/>
    <w:rsid w:val="3C689BA9"/>
    <w:rsid w:val="3C698F4B"/>
    <w:rsid w:val="3C6C8C2D"/>
    <w:rsid w:val="3C72C76B"/>
    <w:rsid w:val="3C74130E"/>
    <w:rsid w:val="3C755D85"/>
    <w:rsid w:val="3C75E074"/>
    <w:rsid w:val="3C763FBF"/>
    <w:rsid w:val="3C76A78F"/>
    <w:rsid w:val="3C7B04A5"/>
    <w:rsid w:val="3C7B39FE"/>
    <w:rsid w:val="3C7D7BAB"/>
    <w:rsid w:val="3C8568DE"/>
    <w:rsid w:val="3C857E86"/>
    <w:rsid w:val="3C86EA9B"/>
    <w:rsid w:val="3C8A49C6"/>
    <w:rsid w:val="3C8B4383"/>
    <w:rsid w:val="3C8E13BB"/>
    <w:rsid w:val="3C902D9A"/>
    <w:rsid w:val="3C914D87"/>
    <w:rsid w:val="3C97136E"/>
    <w:rsid w:val="3C97D7F4"/>
    <w:rsid w:val="3CA382B3"/>
    <w:rsid w:val="3CA58F66"/>
    <w:rsid w:val="3CAABC59"/>
    <w:rsid w:val="3CB0B6FB"/>
    <w:rsid w:val="3CB15AEE"/>
    <w:rsid w:val="3CB3E555"/>
    <w:rsid w:val="3CB4905E"/>
    <w:rsid w:val="3CB68D49"/>
    <w:rsid w:val="3CB89A81"/>
    <w:rsid w:val="3CBD2FF4"/>
    <w:rsid w:val="3CC36782"/>
    <w:rsid w:val="3CCDC14A"/>
    <w:rsid w:val="3CD1E690"/>
    <w:rsid w:val="3CD507FB"/>
    <w:rsid w:val="3CD6D666"/>
    <w:rsid w:val="3CD7F6C3"/>
    <w:rsid w:val="3CDAB393"/>
    <w:rsid w:val="3CDE5CF7"/>
    <w:rsid w:val="3CE17ACE"/>
    <w:rsid w:val="3CE2FAB1"/>
    <w:rsid w:val="3CE32320"/>
    <w:rsid w:val="3CE32C21"/>
    <w:rsid w:val="3CE3B75E"/>
    <w:rsid w:val="3CE5CEB7"/>
    <w:rsid w:val="3CE9D17B"/>
    <w:rsid w:val="3CEBB927"/>
    <w:rsid w:val="3CECB075"/>
    <w:rsid w:val="3CEE7A43"/>
    <w:rsid w:val="3CF2C50A"/>
    <w:rsid w:val="3CFAE62D"/>
    <w:rsid w:val="3D06D51C"/>
    <w:rsid w:val="3D0735A9"/>
    <w:rsid w:val="3D09A728"/>
    <w:rsid w:val="3D09F154"/>
    <w:rsid w:val="3D0AB16A"/>
    <w:rsid w:val="3D0ADD3B"/>
    <w:rsid w:val="3D0BACA3"/>
    <w:rsid w:val="3D0C9193"/>
    <w:rsid w:val="3D0DF964"/>
    <w:rsid w:val="3D0E4D3C"/>
    <w:rsid w:val="3D0EADD4"/>
    <w:rsid w:val="3D12A6CC"/>
    <w:rsid w:val="3D174779"/>
    <w:rsid w:val="3D18182D"/>
    <w:rsid w:val="3D189AFF"/>
    <w:rsid w:val="3D1C15FB"/>
    <w:rsid w:val="3D26147E"/>
    <w:rsid w:val="3D2785FE"/>
    <w:rsid w:val="3D2859AE"/>
    <w:rsid w:val="3D29731E"/>
    <w:rsid w:val="3D2E3945"/>
    <w:rsid w:val="3D322953"/>
    <w:rsid w:val="3D328C08"/>
    <w:rsid w:val="3D33B504"/>
    <w:rsid w:val="3D376ADA"/>
    <w:rsid w:val="3D381A19"/>
    <w:rsid w:val="3D396C61"/>
    <w:rsid w:val="3D3ADBB8"/>
    <w:rsid w:val="3D3B2A3F"/>
    <w:rsid w:val="3D3B70FE"/>
    <w:rsid w:val="3D3D81C3"/>
    <w:rsid w:val="3D3ED1D3"/>
    <w:rsid w:val="3D3F5F3F"/>
    <w:rsid w:val="3D425967"/>
    <w:rsid w:val="3D4515C9"/>
    <w:rsid w:val="3D48603B"/>
    <w:rsid w:val="3D48C357"/>
    <w:rsid w:val="3D4F3C1F"/>
    <w:rsid w:val="3D51194C"/>
    <w:rsid w:val="3D56796C"/>
    <w:rsid w:val="3D5714C4"/>
    <w:rsid w:val="3D583DDB"/>
    <w:rsid w:val="3D5F0170"/>
    <w:rsid w:val="3D60BDA4"/>
    <w:rsid w:val="3D625D31"/>
    <w:rsid w:val="3D64671B"/>
    <w:rsid w:val="3D6846D3"/>
    <w:rsid w:val="3D69A9FE"/>
    <w:rsid w:val="3D6BC287"/>
    <w:rsid w:val="3D6BEFE1"/>
    <w:rsid w:val="3D6DC696"/>
    <w:rsid w:val="3D71F63B"/>
    <w:rsid w:val="3D71F6C7"/>
    <w:rsid w:val="3D771A90"/>
    <w:rsid w:val="3D7B172A"/>
    <w:rsid w:val="3D7B7847"/>
    <w:rsid w:val="3D7D7461"/>
    <w:rsid w:val="3D821B6C"/>
    <w:rsid w:val="3D86CBDB"/>
    <w:rsid w:val="3D888602"/>
    <w:rsid w:val="3D88E7F6"/>
    <w:rsid w:val="3D897AB6"/>
    <w:rsid w:val="3D8C7969"/>
    <w:rsid w:val="3D8FE2C5"/>
    <w:rsid w:val="3D9234BB"/>
    <w:rsid w:val="3D9ADD57"/>
    <w:rsid w:val="3D9B23A9"/>
    <w:rsid w:val="3D9CFFC7"/>
    <w:rsid w:val="3D9EA1C8"/>
    <w:rsid w:val="3DA76146"/>
    <w:rsid w:val="3DA93272"/>
    <w:rsid w:val="3DAB7D0C"/>
    <w:rsid w:val="3DABEF3F"/>
    <w:rsid w:val="3DAD74D4"/>
    <w:rsid w:val="3DAED934"/>
    <w:rsid w:val="3DB2C497"/>
    <w:rsid w:val="3DB3F0F4"/>
    <w:rsid w:val="3DB56D1D"/>
    <w:rsid w:val="3DBC93AA"/>
    <w:rsid w:val="3DC2E623"/>
    <w:rsid w:val="3DC318F4"/>
    <w:rsid w:val="3DC4F13E"/>
    <w:rsid w:val="3DC653CD"/>
    <w:rsid w:val="3DCAF708"/>
    <w:rsid w:val="3DCBB20C"/>
    <w:rsid w:val="3DD13F9B"/>
    <w:rsid w:val="3DD162C2"/>
    <w:rsid w:val="3DD63C19"/>
    <w:rsid w:val="3DD849BC"/>
    <w:rsid w:val="3DDCD8A4"/>
    <w:rsid w:val="3DE27B4E"/>
    <w:rsid w:val="3DE58960"/>
    <w:rsid w:val="3DE5B4EA"/>
    <w:rsid w:val="3DE72F85"/>
    <w:rsid w:val="3DE93C28"/>
    <w:rsid w:val="3DE95E07"/>
    <w:rsid w:val="3DE975DC"/>
    <w:rsid w:val="3DEABA20"/>
    <w:rsid w:val="3DEBA73F"/>
    <w:rsid w:val="3DEDA1C0"/>
    <w:rsid w:val="3DEF4367"/>
    <w:rsid w:val="3DF5C4C9"/>
    <w:rsid w:val="3DFC6403"/>
    <w:rsid w:val="3DFD6F73"/>
    <w:rsid w:val="3E006FA5"/>
    <w:rsid w:val="3E007A10"/>
    <w:rsid w:val="3E028438"/>
    <w:rsid w:val="3E02C557"/>
    <w:rsid w:val="3E0461CA"/>
    <w:rsid w:val="3E08B029"/>
    <w:rsid w:val="3E0C2733"/>
    <w:rsid w:val="3E0C3A15"/>
    <w:rsid w:val="3E129020"/>
    <w:rsid w:val="3E141DC6"/>
    <w:rsid w:val="3E149B1C"/>
    <w:rsid w:val="3E173F48"/>
    <w:rsid w:val="3E175983"/>
    <w:rsid w:val="3E17D39E"/>
    <w:rsid w:val="3E1948FC"/>
    <w:rsid w:val="3E1EFC5C"/>
    <w:rsid w:val="3E1F4D3B"/>
    <w:rsid w:val="3E202EAA"/>
    <w:rsid w:val="3E23EE11"/>
    <w:rsid w:val="3E2ED9FD"/>
    <w:rsid w:val="3E2F479D"/>
    <w:rsid w:val="3E2FA542"/>
    <w:rsid w:val="3E2FFDA7"/>
    <w:rsid w:val="3E310CB7"/>
    <w:rsid w:val="3E34FF95"/>
    <w:rsid w:val="3E35ADE8"/>
    <w:rsid w:val="3E37A442"/>
    <w:rsid w:val="3E37F0AD"/>
    <w:rsid w:val="3E382308"/>
    <w:rsid w:val="3E3B064A"/>
    <w:rsid w:val="3E47C5C1"/>
    <w:rsid w:val="3E49D034"/>
    <w:rsid w:val="3E4A0098"/>
    <w:rsid w:val="3E4A9D2B"/>
    <w:rsid w:val="3E4B79B6"/>
    <w:rsid w:val="3E4D9271"/>
    <w:rsid w:val="3E4FB493"/>
    <w:rsid w:val="3E504E84"/>
    <w:rsid w:val="3E527166"/>
    <w:rsid w:val="3E5354A0"/>
    <w:rsid w:val="3E537373"/>
    <w:rsid w:val="3E5442DA"/>
    <w:rsid w:val="3E54F0EC"/>
    <w:rsid w:val="3E593B6E"/>
    <w:rsid w:val="3E5B6A81"/>
    <w:rsid w:val="3E5C29EC"/>
    <w:rsid w:val="3E5E8363"/>
    <w:rsid w:val="3E5F29D2"/>
    <w:rsid w:val="3E5F4483"/>
    <w:rsid w:val="3E610D3C"/>
    <w:rsid w:val="3E64E893"/>
    <w:rsid w:val="3E6538C5"/>
    <w:rsid w:val="3E66F6EC"/>
    <w:rsid w:val="3E6A558B"/>
    <w:rsid w:val="3E6B7AF6"/>
    <w:rsid w:val="3E6C03B1"/>
    <w:rsid w:val="3E6D2D97"/>
    <w:rsid w:val="3E6D4CD6"/>
    <w:rsid w:val="3E6FC71F"/>
    <w:rsid w:val="3E703FC8"/>
    <w:rsid w:val="3E70DADA"/>
    <w:rsid w:val="3E7938EB"/>
    <w:rsid w:val="3E797BD3"/>
    <w:rsid w:val="3E7EB217"/>
    <w:rsid w:val="3E814398"/>
    <w:rsid w:val="3E817077"/>
    <w:rsid w:val="3E828F53"/>
    <w:rsid w:val="3E842EC5"/>
    <w:rsid w:val="3E85F926"/>
    <w:rsid w:val="3E8824F4"/>
    <w:rsid w:val="3E891A21"/>
    <w:rsid w:val="3E8A4CF6"/>
    <w:rsid w:val="3E8C08BC"/>
    <w:rsid w:val="3E8CA6AC"/>
    <w:rsid w:val="3E8E2BE6"/>
    <w:rsid w:val="3E917C58"/>
    <w:rsid w:val="3E91AB61"/>
    <w:rsid w:val="3E94BE4D"/>
    <w:rsid w:val="3E984EF1"/>
    <w:rsid w:val="3E9A7291"/>
    <w:rsid w:val="3E9F2DA5"/>
    <w:rsid w:val="3E9F7F61"/>
    <w:rsid w:val="3EA1CB58"/>
    <w:rsid w:val="3EA78295"/>
    <w:rsid w:val="3EA8D96A"/>
    <w:rsid w:val="3EA966CB"/>
    <w:rsid w:val="3EAC5569"/>
    <w:rsid w:val="3EADC376"/>
    <w:rsid w:val="3EB369D6"/>
    <w:rsid w:val="3EB3E054"/>
    <w:rsid w:val="3EB4A277"/>
    <w:rsid w:val="3EB7D251"/>
    <w:rsid w:val="3EBBD1FA"/>
    <w:rsid w:val="3EBD43B8"/>
    <w:rsid w:val="3EBDAE18"/>
    <w:rsid w:val="3EBE2CAE"/>
    <w:rsid w:val="3EBE4C8E"/>
    <w:rsid w:val="3EBEDB78"/>
    <w:rsid w:val="3EC2FF8D"/>
    <w:rsid w:val="3EC30123"/>
    <w:rsid w:val="3EC6225F"/>
    <w:rsid w:val="3EC877B5"/>
    <w:rsid w:val="3EC99448"/>
    <w:rsid w:val="3ECAA480"/>
    <w:rsid w:val="3ECCAB52"/>
    <w:rsid w:val="3ED14C3A"/>
    <w:rsid w:val="3ED295A4"/>
    <w:rsid w:val="3ED90972"/>
    <w:rsid w:val="3ED91C3B"/>
    <w:rsid w:val="3EDDB2EC"/>
    <w:rsid w:val="3EDE982F"/>
    <w:rsid w:val="3EDEA386"/>
    <w:rsid w:val="3EDF49B9"/>
    <w:rsid w:val="3EE40887"/>
    <w:rsid w:val="3EE7F516"/>
    <w:rsid w:val="3EEB47D1"/>
    <w:rsid w:val="3EEB6078"/>
    <w:rsid w:val="3EEE8EF6"/>
    <w:rsid w:val="3EEEAA79"/>
    <w:rsid w:val="3EF12133"/>
    <w:rsid w:val="3EF3471A"/>
    <w:rsid w:val="3EF5E966"/>
    <w:rsid w:val="3EF8CF1D"/>
    <w:rsid w:val="3F008E53"/>
    <w:rsid w:val="3F0CF764"/>
    <w:rsid w:val="3F0EE16A"/>
    <w:rsid w:val="3F12C068"/>
    <w:rsid w:val="3F14DD9E"/>
    <w:rsid w:val="3F1591B0"/>
    <w:rsid w:val="3F19BABF"/>
    <w:rsid w:val="3F19CB30"/>
    <w:rsid w:val="3F1BFEDC"/>
    <w:rsid w:val="3F1F650E"/>
    <w:rsid w:val="3F1F8A83"/>
    <w:rsid w:val="3F218D08"/>
    <w:rsid w:val="3F22CAB3"/>
    <w:rsid w:val="3F23FE6E"/>
    <w:rsid w:val="3F263055"/>
    <w:rsid w:val="3F2B524F"/>
    <w:rsid w:val="3F2E0F3B"/>
    <w:rsid w:val="3F307292"/>
    <w:rsid w:val="3F31B9A6"/>
    <w:rsid w:val="3F333DBF"/>
    <w:rsid w:val="3F33EE58"/>
    <w:rsid w:val="3F33F9B7"/>
    <w:rsid w:val="3F34297F"/>
    <w:rsid w:val="3F35256F"/>
    <w:rsid w:val="3F356A00"/>
    <w:rsid w:val="3F3904E6"/>
    <w:rsid w:val="3F3981AB"/>
    <w:rsid w:val="3F39AC08"/>
    <w:rsid w:val="3F3AA46C"/>
    <w:rsid w:val="3F3C8104"/>
    <w:rsid w:val="3F3EE63A"/>
    <w:rsid w:val="3F3F0B0C"/>
    <w:rsid w:val="3F4125EA"/>
    <w:rsid w:val="3F429BFE"/>
    <w:rsid w:val="3F43538A"/>
    <w:rsid w:val="3F437EFC"/>
    <w:rsid w:val="3F449D99"/>
    <w:rsid w:val="3F461FEA"/>
    <w:rsid w:val="3F483920"/>
    <w:rsid w:val="3F59DB2B"/>
    <w:rsid w:val="3F5C4E0C"/>
    <w:rsid w:val="3F644757"/>
    <w:rsid w:val="3F67878C"/>
    <w:rsid w:val="3F69FC11"/>
    <w:rsid w:val="3F6A9648"/>
    <w:rsid w:val="3F6B581F"/>
    <w:rsid w:val="3F6C8F8C"/>
    <w:rsid w:val="3F711214"/>
    <w:rsid w:val="3F73648A"/>
    <w:rsid w:val="3F73D483"/>
    <w:rsid w:val="3F76102A"/>
    <w:rsid w:val="3F773CB6"/>
    <w:rsid w:val="3F796B0D"/>
    <w:rsid w:val="3F7C1A2B"/>
    <w:rsid w:val="3F7FA1E1"/>
    <w:rsid w:val="3F8050A8"/>
    <w:rsid w:val="3F84C79F"/>
    <w:rsid w:val="3F85447E"/>
    <w:rsid w:val="3F857B76"/>
    <w:rsid w:val="3F861635"/>
    <w:rsid w:val="3F88C7DF"/>
    <w:rsid w:val="3F8C1499"/>
    <w:rsid w:val="3F8C8D1C"/>
    <w:rsid w:val="3F8E6FCC"/>
    <w:rsid w:val="3F904548"/>
    <w:rsid w:val="3F960981"/>
    <w:rsid w:val="3F98F57A"/>
    <w:rsid w:val="3F9B4B6C"/>
    <w:rsid w:val="3F9F36A8"/>
    <w:rsid w:val="3F9F63C5"/>
    <w:rsid w:val="3FA07AF1"/>
    <w:rsid w:val="3FA07EF5"/>
    <w:rsid w:val="3FA2D9B4"/>
    <w:rsid w:val="3FA2DB74"/>
    <w:rsid w:val="3FA67C41"/>
    <w:rsid w:val="3FAC9331"/>
    <w:rsid w:val="3FACC53B"/>
    <w:rsid w:val="3FADE022"/>
    <w:rsid w:val="3FB0EBBE"/>
    <w:rsid w:val="3FB29182"/>
    <w:rsid w:val="3FB2D07F"/>
    <w:rsid w:val="3FB48A1E"/>
    <w:rsid w:val="3FB97BD1"/>
    <w:rsid w:val="3FB9A704"/>
    <w:rsid w:val="3FBA5295"/>
    <w:rsid w:val="3FC17381"/>
    <w:rsid w:val="3FC21441"/>
    <w:rsid w:val="3FC363A6"/>
    <w:rsid w:val="3FC482CE"/>
    <w:rsid w:val="3FC6EE1C"/>
    <w:rsid w:val="3FC78D3E"/>
    <w:rsid w:val="3FD05603"/>
    <w:rsid w:val="3FD2013E"/>
    <w:rsid w:val="3FD37A48"/>
    <w:rsid w:val="3FD3B787"/>
    <w:rsid w:val="3FDBAB71"/>
    <w:rsid w:val="3FDD0F3E"/>
    <w:rsid w:val="3FDDBAC5"/>
    <w:rsid w:val="3FDE2726"/>
    <w:rsid w:val="3FDE9C54"/>
    <w:rsid w:val="3FE30561"/>
    <w:rsid w:val="3FE77EAA"/>
    <w:rsid w:val="3FE8CBCC"/>
    <w:rsid w:val="3FEB9C09"/>
    <w:rsid w:val="3FEEAEBE"/>
    <w:rsid w:val="3FEF5782"/>
    <w:rsid w:val="3FF54596"/>
    <w:rsid w:val="400051C2"/>
    <w:rsid w:val="40013BC2"/>
    <w:rsid w:val="4001D807"/>
    <w:rsid w:val="40023F15"/>
    <w:rsid w:val="40025FE0"/>
    <w:rsid w:val="40030C5B"/>
    <w:rsid w:val="40045DCD"/>
    <w:rsid w:val="4004E5A1"/>
    <w:rsid w:val="40084B4B"/>
    <w:rsid w:val="40085FE5"/>
    <w:rsid w:val="400C739B"/>
    <w:rsid w:val="400E5E3C"/>
    <w:rsid w:val="40156C61"/>
    <w:rsid w:val="4016E857"/>
    <w:rsid w:val="4017D75B"/>
    <w:rsid w:val="401D6A97"/>
    <w:rsid w:val="401FE5B8"/>
    <w:rsid w:val="4021024F"/>
    <w:rsid w:val="40219C06"/>
    <w:rsid w:val="402386CB"/>
    <w:rsid w:val="4026C102"/>
    <w:rsid w:val="4029523F"/>
    <w:rsid w:val="402B5CCA"/>
    <w:rsid w:val="402B9D4E"/>
    <w:rsid w:val="402DD218"/>
    <w:rsid w:val="402E9DEB"/>
    <w:rsid w:val="40323FA6"/>
    <w:rsid w:val="4034AC56"/>
    <w:rsid w:val="40367421"/>
    <w:rsid w:val="403E91BE"/>
    <w:rsid w:val="40416C9E"/>
    <w:rsid w:val="404615DA"/>
    <w:rsid w:val="404A5EB3"/>
    <w:rsid w:val="404F1598"/>
    <w:rsid w:val="404F9A8A"/>
    <w:rsid w:val="4054463D"/>
    <w:rsid w:val="4056E12F"/>
    <w:rsid w:val="4058CC43"/>
    <w:rsid w:val="405E1472"/>
    <w:rsid w:val="4064AA10"/>
    <w:rsid w:val="40654C02"/>
    <w:rsid w:val="4065A74A"/>
    <w:rsid w:val="4067EBD6"/>
    <w:rsid w:val="40715D9B"/>
    <w:rsid w:val="4071B867"/>
    <w:rsid w:val="4072E578"/>
    <w:rsid w:val="4078E531"/>
    <w:rsid w:val="40793264"/>
    <w:rsid w:val="407B6684"/>
    <w:rsid w:val="407F63AD"/>
    <w:rsid w:val="408154AE"/>
    <w:rsid w:val="408417B6"/>
    <w:rsid w:val="4084F6CB"/>
    <w:rsid w:val="4087978E"/>
    <w:rsid w:val="4088BC1F"/>
    <w:rsid w:val="408A70AA"/>
    <w:rsid w:val="408A7347"/>
    <w:rsid w:val="408B0E6F"/>
    <w:rsid w:val="408D9FE1"/>
    <w:rsid w:val="40907991"/>
    <w:rsid w:val="40910C0B"/>
    <w:rsid w:val="409286D6"/>
    <w:rsid w:val="409639F1"/>
    <w:rsid w:val="409AD39C"/>
    <w:rsid w:val="40A222F9"/>
    <w:rsid w:val="40A23AD9"/>
    <w:rsid w:val="40A724D9"/>
    <w:rsid w:val="40B0CD03"/>
    <w:rsid w:val="40B0D9DF"/>
    <w:rsid w:val="40BEBD18"/>
    <w:rsid w:val="40C04009"/>
    <w:rsid w:val="40C23AE6"/>
    <w:rsid w:val="40C7144A"/>
    <w:rsid w:val="40C75722"/>
    <w:rsid w:val="40C79E4A"/>
    <w:rsid w:val="40C9109F"/>
    <w:rsid w:val="40CAFAE6"/>
    <w:rsid w:val="40CB4322"/>
    <w:rsid w:val="40CB5CBB"/>
    <w:rsid w:val="40D1A8FD"/>
    <w:rsid w:val="40D3BE97"/>
    <w:rsid w:val="40D607E6"/>
    <w:rsid w:val="40D8C6FB"/>
    <w:rsid w:val="40DB6EC0"/>
    <w:rsid w:val="40E18A98"/>
    <w:rsid w:val="40E34E89"/>
    <w:rsid w:val="40E7F786"/>
    <w:rsid w:val="40E80669"/>
    <w:rsid w:val="40E80C97"/>
    <w:rsid w:val="40E89C84"/>
    <w:rsid w:val="40EA6DD1"/>
    <w:rsid w:val="40EFBCFD"/>
    <w:rsid w:val="40EFF939"/>
    <w:rsid w:val="40F3B111"/>
    <w:rsid w:val="40F516CF"/>
    <w:rsid w:val="40FB625A"/>
    <w:rsid w:val="40FC07E0"/>
    <w:rsid w:val="40FDECB5"/>
    <w:rsid w:val="410260D8"/>
    <w:rsid w:val="4103CF55"/>
    <w:rsid w:val="41073197"/>
    <w:rsid w:val="4107853A"/>
    <w:rsid w:val="4108FC7D"/>
    <w:rsid w:val="410BA488"/>
    <w:rsid w:val="410C3E5B"/>
    <w:rsid w:val="410C9808"/>
    <w:rsid w:val="410E5928"/>
    <w:rsid w:val="41108355"/>
    <w:rsid w:val="41113EBC"/>
    <w:rsid w:val="41132C74"/>
    <w:rsid w:val="41156E2C"/>
    <w:rsid w:val="4115CF3C"/>
    <w:rsid w:val="4115F2CA"/>
    <w:rsid w:val="41166662"/>
    <w:rsid w:val="4118F5ED"/>
    <w:rsid w:val="4119CF7B"/>
    <w:rsid w:val="411A281B"/>
    <w:rsid w:val="411BC84A"/>
    <w:rsid w:val="411BC863"/>
    <w:rsid w:val="4124CE93"/>
    <w:rsid w:val="412DB054"/>
    <w:rsid w:val="412E82FE"/>
    <w:rsid w:val="413005E8"/>
    <w:rsid w:val="4137CC58"/>
    <w:rsid w:val="41380C6E"/>
    <w:rsid w:val="413A4B4F"/>
    <w:rsid w:val="413B3CA8"/>
    <w:rsid w:val="413B8E8B"/>
    <w:rsid w:val="413BA4BC"/>
    <w:rsid w:val="413D81E3"/>
    <w:rsid w:val="413EE585"/>
    <w:rsid w:val="413F047F"/>
    <w:rsid w:val="4142BE66"/>
    <w:rsid w:val="41451FF2"/>
    <w:rsid w:val="414856A4"/>
    <w:rsid w:val="414BF949"/>
    <w:rsid w:val="414C10E4"/>
    <w:rsid w:val="414F703F"/>
    <w:rsid w:val="41543AC7"/>
    <w:rsid w:val="415914BF"/>
    <w:rsid w:val="4162DD34"/>
    <w:rsid w:val="4165EEDC"/>
    <w:rsid w:val="41691F90"/>
    <w:rsid w:val="416F6BE1"/>
    <w:rsid w:val="417162F3"/>
    <w:rsid w:val="4172D32A"/>
    <w:rsid w:val="4175B175"/>
    <w:rsid w:val="41769B20"/>
    <w:rsid w:val="41788CE1"/>
    <w:rsid w:val="4178E0A9"/>
    <w:rsid w:val="418245D7"/>
    <w:rsid w:val="4182A1DF"/>
    <w:rsid w:val="418C0A94"/>
    <w:rsid w:val="418CB13D"/>
    <w:rsid w:val="418CBBAE"/>
    <w:rsid w:val="418DD7B9"/>
    <w:rsid w:val="418EDEBB"/>
    <w:rsid w:val="418FCDB0"/>
    <w:rsid w:val="4191E9DB"/>
    <w:rsid w:val="4193A210"/>
    <w:rsid w:val="41971B21"/>
    <w:rsid w:val="4197CF0B"/>
    <w:rsid w:val="419BA48B"/>
    <w:rsid w:val="419C0468"/>
    <w:rsid w:val="419C88B3"/>
    <w:rsid w:val="419FB472"/>
    <w:rsid w:val="41A89433"/>
    <w:rsid w:val="41AAA1C3"/>
    <w:rsid w:val="41AD2649"/>
    <w:rsid w:val="41AE36DC"/>
    <w:rsid w:val="41AEF004"/>
    <w:rsid w:val="41AFB18C"/>
    <w:rsid w:val="41B03A37"/>
    <w:rsid w:val="41B077FD"/>
    <w:rsid w:val="41B2AC2F"/>
    <w:rsid w:val="41B2E7D7"/>
    <w:rsid w:val="41B334FA"/>
    <w:rsid w:val="41B3893C"/>
    <w:rsid w:val="41B6E7E2"/>
    <w:rsid w:val="41B95CFF"/>
    <w:rsid w:val="41B9EA5F"/>
    <w:rsid w:val="41BC1519"/>
    <w:rsid w:val="41BCC969"/>
    <w:rsid w:val="41C23B4F"/>
    <w:rsid w:val="41C266BA"/>
    <w:rsid w:val="41C5548F"/>
    <w:rsid w:val="41C6E9BB"/>
    <w:rsid w:val="41C83861"/>
    <w:rsid w:val="41D11099"/>
    <w:rsid w:val="41D2CF25"/>
    <w:rsid w:val="41D342C1"/>
    <w:rsid w:val="41D3A219"/>
    <w:rsid w:val="41D594DC"/>
    <w:rsid w:val="41D76DFF"/>
    <w:rsid w:val="41D7BCC4"/>
    <w:rsid w:val="41D97F28"/>
    <w:rsid w:val="41D9C17A"/>
    <w:rsid w:val="41D9EE2A"/>
    <w:rsid w:val="41DA7C08"/>
    <w:rsid w:val="41E138C9"/>
    <w:rsid w:val="41E46ECF"/>
    <w:rsid w:val="41E7157D"/>
    <w:rsid w:val="41E78B42"/>
    <w:rsid w:val="41E7C42D"/>
    <w:rsid w:val="41E91EB8"/>
    <w:rsid w:val="41E9AD8F"/>
    <w:rsid w:val="41ECF03B"/>
    <w:rsid w:val="41F01017"/>
    <w:rsid w:val="41F15876"/>
    <w:rsid w:val="41F1AAC8"/>
    <w:rsid w:val="41F4F2B1"/>
    <w:rsid w:val="41FDBAE0"/>
    <w:rsid w:val="42054700"/>
    <w:rsid w:val="420708C8"/>
    <w:rsid w:val="420D209C"/>
    <w:rsid w:val="420F98E9"/>
    <w:rsid w:val="420FF4CD"/>
    <w:rsid w:val="42112985"/>
    <w:rsid w:val="421133E5"/>
    <w:rsid w:val="42122611"/>
    <w:rsid w:val="42122EC4"/>
    <w:rsid w:val="421627EE"/>
    <w:rsid w:val="421A6F52"/>
    <w:rsid w:val="421A7961"/>
    <w:rsid w:val="421B6798"/>
    <w:rsid w:val="42216A9B"/>
    <w:rsid w:val="42254843"/>
    <w:rsid w:val="422AD048"/>
    <w:rsid w:val="422FA5AC"/>
    <w:rsid w:val="4232716A"/>
    <w:rsid w:val="4235E89F"/>
    <w:rsid w:val="42365226"/>
    <w:rsid w:val="42379938"/>
    <w:rsid w:val="423AAE40"/>
    <w:rsid w:val="423B72EA"/>
    <w:rsid w:val="423C0A5B"/>
    <w:rsid w:val="423E1065"/>
    <w:rsid w:val="42406850"/>
    <w:rsid w:val="42432DC4"/>
    <w:rsid w:val="42444044"/>
    <w:rsid w:val="4245AEE8"/>
    <w:rsid w:val="42460481"/>
    <w:rsid w:val="42477E6C"/>
    <w:rsid w:val="424A11E6"/>
    <w:rsid w:val="424DDD67"/>
    <w:rsid w:val="424E027B"/>
    <w:rsid w:val="424E6D12"/>
    <w:rsid w:val="424EF148"/>
    <w:rsid w:val="42521C55"/>
    <w:rsid w:val="42541FBA"/>
    <w:rsid w:val="42566263"/>
    <w:rsid w:val="4259D392"/>
    <w:rsid w:val="425A627B"/>
    <w:rsid w:val="425D2AF9"/>
    <w:rsid w:val="425FF368"/>
    <w:rsid w:val="4261FFF5"/>
    <w:rsid w:val="4266118E"/>
    <w:rsid w:val="42669FA7"/>
    <w:rsid w:val="42678D99"/>
    <w:rsid w:val="42692514"/>
    <w:rsid w:val="42694EDD"/>
    <w:rsid w:val="426A88B4"/>
    <w:rsid w:val="426AEFEA"/>
    <w:rsid w:val="426BFF1F"/>
    <w:rsid w:val="426C32ED"/>
    <w:rsid w:val="426CF65E"/>
    <w:rsid w:val="426D9055"/>
    <w:rsid w:val="426F75AB"/>
    <w:rsid w:val="4271D717"/>
    <w:rsid w:val="42737779"/>
    <w:rsid w:val="42757A1C"/>
    <w:rsid w:val="427799A7"/>
    <w:rsid w:val="4277B637"/>
    <w:rsid w:val="427C3312"/>
    <w:rsid w:val="42821EFC"/>
    <w:rsid w:val="4282374A"/>
    <w:rsid w:val="4282393E"/>
    <w:rsid w:val="4284F885"/>
    <w:rsid w:val="4285B580"/>
    <w:rsid w:val="428A875A"/>
    <w:rsid w:val="428D6FD5"/>
    <w:rsid w:val="428F4FDB"/>
    <w:rsid w:val="429388E6"/>
    <w:rsid w:val="429826BE"/>
    <w:rsid w:val="429867CC"/>
    <w:rsid w:val="42994EBF"/>
    <w:rsid w:val="4299AA57"/>
    <w:rsid w:val="42A39072"/>
    <w:rsid w:val="42A7E1FC"/>
    <w:rsid w:val="42AC677E"/>
    <w:rsid w:val="42AD6E43"/>
    <w:rsid w:val="42B0E3B7"/>
    <w:rsid w:val="42B17A99"/>
    <w:rsid w:val="42B2A06F"/>
    <w:rsid w:val="42B43076"/>
    <w:rsid w:val="42B63447"/>
    <w:rsid w:val="42B70881"/>
    <w:rsid w:val="42BB8727"/>
    <w:rsid w:val="42BCCA56"/>
    <w:rsid w:val="42BFA4ED"/>
    <w:rsid w:val="42C3FD9C"/>
    <w:rsid w:val="42C5DA61"/>
    <w:rsid w:val="42C81A40"/>
    <w:rsid w:val="42C8C325"/>
    <w:rsid w:val="42CAE7CC"/>
    <w:rsid w:val="42CC91E3"/>
    <w:rsid w:val="42CF2AAC"/>
    <w:rsid w:val="42D098D9"/>
    <w:rsid w:val="42DC5805"/>
    <w:rsid w:val="42DE9C38"/>
    <w:rsid w:val="42E26F50"/>
    <w:rsid w:val="42E27052"/>
    <w:rsid w:val="42E2E032"/>
    <w:rsid w:val="42E49D1B"/>
    <w:rsid w:val="42E68A25"/>
    <w:rsid w:val="42E7C310"/>
    <w:rsid w:val="42E7EBCC"/>
    <w:rsid w:val="42E7FFFA"/>
    <w:rsid w:val="42E8C214"/>
    <w:rsid w:val="42ED594F"/>
    <w:rsid w:val="42F91758"/>
    <w:rsid w:val="43010A16"/>
    <w:rsid w:val="43057BCA"/>
    <w:rsid w:val="430BD68C"/>
    <w:rsid w:val="430BF793"/>
    <w:rsid w:val="430C9113"/>
    <w:rsid w:val="430E63CB"/>
    <w:rsid w:val="43102C27"/>
    <w:rsid w:val="4310332F"/>
    <w:rsid w:val="43107A3B"/>
    <w:rsid w:val="4311D935"/>
    <w:rsid w:val="4314CD0A"/>
    <w:rsid w:val="4316CF6B"/>
    <w:rsid w:val="431B360D"/>
    <w:rsid w:val="431B907B"/>
    <w:rsid w:val="431C7132"/>
    <w:rsid w:val="431C75BD"/>
    <w:rsid w:val="431D06FB"/>
    <w:rsid w:val="431D3B5A"/>
    <w:rsid w:val="431DF847"/>
    <w:rsid w:val="431FCD41"/>
    <w:rsid w:val="43219CB6"/>
    <w:rsid w:val="43261512"/>
    <w:rsid w:val="432A1CA7"/>
    <w:rsid w:val="432A8959"/>
    <w:rsid w:val="432D55ED"/>
    <w:rsid w:val="4331EF41"/>
    <w:rsid w:val="4338FD01"/>
    <w:rsid w:val="433D655F"/>
    <w:rsid w:val="433FDA62"/>
    <w:rsid w:val="434270F6"/>
    <w:rsid w:val="43493BE3"/>
    <w:rsid w:val="43520C95"/>
    <w:rsid w:val="4355731C"/>
    <w:rsid w:val="4356785E"/>
    <w:rsid w:val="43571B36"/>
    <w:rsid w:val="435764AF"/>
    <w:rsid w:val="43593CC8"/>
    <w:rsid w:val="435E1890"/>
    <w:rsid w:val="43607CE3"/>
    <w:rsid w:val="43611092"/>
    <w:rsid w:val="436273FA"/>
    <w:rsid w:val="4362D382"/>
    <w:rsid w:val="4362EAD3"/>
    <w:rsid w:val="4363B4A5"/>
    <w:rsid w:val="4366A558"/>
    <w:rsid w:val="43674A7C"/>
    <w:rsid w:val="43675AC9"/>
    <w:rsid w:val="43761ED4"/>
    <w:rsid w:val="4376979A"/>
    <w:rsid w:val="437886F6"/>
    <w:rsid w:val="4380FFF7"/>
    <w:rsid w:val="43822F8F"/>
    <w:rsid w:val="438464CE"/>
    <w:rsid w:val="43852FA9"/>
    <w:rsid w:val="43855CB1"/>
    <w:rsid w:val="43859B89"/>
    <w:rsid w:val="4388BE9F"/>
    <w:rsid w:val="438A7127"/>
    <w:rsid w:val="43900FBF"/>
    <w:rsid w:val="4391314F"/>
    <w:rsid w:val="43918A5D"/>
    <w:rsid w:val="4391B561"/>
    <w:rsid w:val="4392D904"/>
    <w:rsid w:val="439753BF"/>
    <w:rsid w:val="439A0070"/>
    <w:rsid w:val="439B5F0B"/>
    <w:rsid w:val="439D41CD"/>
    <w:rsid w:val="439EA45B"/>
    <w:rsid w:val="439F7512"/>
    <w:rsid w:val="43A3D22B"/>
    <w:rsid w:val="43A7173E"/>
    <w:rsid w:val="43AB0223"/>
    <w:rsid w:val="43AB8693"/>
    <w:rsid w:val="43ABA527"/>
    <w:rsid w:val="43AE5014"/>
    <w:rsid w:val="43AE5CF7"/>
    <w:rsid w:val="43B0DCB5"/>
    <w:rsid w:val="43B4EE29"/>
    <w:rsid w:val="43B542AD"/>
    <w:rsid w:val="43B55987"/>
    <w:rsid w:val="43B6924A"/>
    <w:rsid w:val="43BABFB0"/>
    <w:rsid w:val="43BBEEA0"/>
    <w:rsid w:val="43BDD29E"/>
    <w:rsid w:val="43C0B0A6"/>
    <w:rsid w:val="43C0B613"/>
    <w:rsid w:val="43C5B504"/>
    <w:rsid w:val="43CDB05A"/>
    <w:rsid w:val="43CF4550"/>
    <w:rsid w:val="43D34CCC"/>
    <w:rsid w:val="43D34CEE"/>
    <w:rsid w:val="43D4D5B2"/>
    <w:rsid w:val="43DA5BAC"/>
    <w:rsid w:val="43DB71E9"/>
    <w:rsid w:val="43E1657F"/>
    <w:rsid w:val="43E5D219"/>
    <w:rsid w:val="43EE1785"/>
    <w:rsid w:val="43EFDCB1"/>
    <w:rsid w:val="43F14952"/>
    <w:rsid w:val="43F4994E"/>
    <w:rsid w:val="43F6B7BB"/>
    <w:rsid w:val="43F738DB"/>
    <w:rsid w:val="43F934EB"/>
    <w:rsid w:val="43FADB2F"/>
    <w:rsid w:val="440277D1"/>
    <w:rsid w:val="44049770"/>
    <w:rsid w:val="440518FC"/>
    <w:rsid w:val="4406132B"/>
    <w:rsid w:val="44078B88"/>
    <w:rsid w:val="440ACFDA"/>
    <w:rsid w:val="440C8546"/>
    <w:rsid w:val="440E3AC2"/>
    <w:rsid w:val="440F2CA8"/>
    <w:rsid w:val="44136EC9"/>
    <w:rsid w:val="4413F84D"/>
    <w:rsid w:val="441651D6"/>
    <w:rsid w:val="4416EEF2"/>
    <w:rsid w:val="44177C88"/>
    <w:rsid w:val="44188D95"/>
    <w:rsid w:val="4418A73E"/>
    <w:rsid w:val="441CC7B3"/>
    <w:rsid w:val="441CF96D"/>
    <w:rsid w:val="441EEF8F"/>
    <w:rsid w:val="44202EF7"/>
    <w:rsid w:val="442881FE"/>
    <w:rsid w:val="4428D211"/>
    <w:rsid w:val="442AC055"/>
    <w:rsid w:val="442CF746"/>
    <w:rsid w:val="442F874C"/>
    <w:rsid w:val="44301E4C"/>
    <w:rsid w:val="4434B285"/>
    <w:rsid w:val="4435D410"/>
    <w:rsid w:val="4436014E"/>
    <w:rsid w:val="44369BE6"/>
    <w:rsid w:val="4437B2CD"/>
    <w:rsid w:val="4437FA41"/>
    <w:rsid w:val="4439E8D7"/>
    <w:rsid w:val="443AD503"/>
    <w:rsid w:val="443B17C7"/>
    <w:rsid w:val="443BA35E"/>
    <w:rsid w:val="443EA447"/>
    <w:rsid w:val="4440DFD6"/>
    <w:rsid w:val="44411408"/>
    <w:rsid w:val="4441E248"/>
    <w:rsid w:val="44448BB9"/>
    <w:rsid w:val="444836C8"/>
    <w:rsid w:val="444CC66F"/>
    <w:rsid w:val="444CE977"/>
    <w:rsid w:val="444D865B"/>
    <w:rsid w:val="44507644"/>
    <w:rsid w:val="445519D3"/>
    <w:rsid w:val="445777BF"/>
    <w:rsid w:val="445FED85"/>
    <w:rsid w:val="4461E6BF"/>
    <w:rsid w:val="446215C5"/>
    <w:rsid w:val="4462289C"/>
    <w:rsid w:val="44686FFB"/>
    <w:rsid w:val="446A726E"/>
    <w:rsid w:val="446B4E53"/>
    <w:rsid w:val="446C1D7E"/>
    <w:rsid w:val="446FFE1B"/>
    <w:rsid w:val="4473ECB4"/>
    <w:rsid w:val="447465B2"/>
    <w:rsid w:val="4477D504"/>
    <w:rsid w:val="447BB3F1"/>
    <w:rsid w:val="448003E2"/>
    <w:rsid w:val="44803688"/>
    <w:rsid w:val="44826957"/>
    <w:rsid w:val="4488213E"/>
    <w:rsid w:val="4489ED31"/>
    <w:rsid w:val="448CBC97"/>
    <w:rsid w:val="448EA962"/>
    <w:rsid w:val="448EBAB4"/>
    <w:rsid w:val="44906D10"/>
    <w:rsid w:val="44978E21"/>
    <w:rsid w:val="4497C30C"/>
    <w:rsid w:val="44984A86"/>
    <w:rsid w:val="449C32CE"/>
    <w:rsid w:val="449C4A04"/>
    <w:rsid w:val="449E03B4"/>
    <w:rsid w:val="44A509D4"/>
    <w:rsid w:val="44A5A2C7"/>
    <w:rsid w:val="44A6A0F0"/>
    <w:rsid w:val="44A6F605"/>
    <w:rsid w:val="44A7060D"/>
    <w:rsid w:val="44A78F64"/>
    <w:rsid w:val="44A7FF52"/>
    <w:rsid w:val="44A93B8B"/>
    <w:rsid w:val="44AB0CD2"/>
    <w:rsid w:val="44AE270B"/>
    <w:rsid w:val="44AE4827"/>
    <w:rsid w:val="44AF3BFF"/>
    <w:rsid w:val="44B2EB5A"/>
    <w:rsid w:val="44B356C8"/>
    <w:rsid w:val="44B9D75E"/>
    <w:rsid w:val="44BBE884"/>
    <w:rsid w:val="44BD5E95"/>
    <w:rsid w:val="44C5643C"/>
    <w:rsid w:val="44C56D8F"/>
    <w:rsid w:val="44C5C1CC"/>
    <w:rsid w:val="44C6493F"/>
    <w:rsid w:val="44C65BD2"/>
    <w:rsid w:val="44C7DEFF"/>
    <w:rsid w:val="44C86068"/>
    <w:rsid w:val="44C9509A"/>
    <w:rsid w:val="44CB578C"/>
    <w:rsid w:val="44CC7093"/>
    <w:rsid w:val="44CF2265"/>
    <w:rsid w:val="44D1B1F7"/>
    <w:rsid w:val="44D38202"/>
    <w:rsid w:val="44D58940"/>
    <w:rsid w:val="44D72508"/>
    <w:rsid w:val="44D73B71"/>
    <w:rsid w:val="44D8629A"/>
    <w:rsid w:val="44DBB161"/>
    <w:rsid w:val="44DD22CD"/>
    <w:rsid w:val="44DDA21E"/>
    <w:rsid w:val="44DDFC0E"/>
    <w:rsid w:val="44DFA45A"/>
    <w:rsid w:val="44E08C23"/>
    <w:rsid w:val="44E0FF9C"/>
    <w:rsid w:val="44E18ECD"/>
    <w:rsid w:val="44E9549D"/>
    <w:rsid w:val="44EC3579"/>
    <w:rsid w:val="44F57DCD"/>
    <w:rsid w:val="44F6D06E"/>
    <w:rsid w:val="44F8E46C"/>
    <w:rsid w:val="44FA8C80"/>
    <w:rsid w:val="44FAA647"/>
    <w:rsid w:val="44FAB3A2"/>
    <w:rsid w:val="44FB1809"/>
    <w:rsid w:val="44FB334C"/>
    <w:rsid w:val="44FCFB07"/>
    <w:rsid w:val="44FD8ED3"/>
    <w:rsid w:val="45028E88"/>
    <w:rsid w:val="4505D6D3"/>
    <w:rsid w:val="4508F74F"/>
    <w:rsid w:val="450AE0F8"/>
    <w:rsid w:val="450E5A0A"/>
    <w:rsid w:val="450E5E02"/>
    <w:rsid w:val="45113B62"/>
    <w:rsid w:val="45135AB5"/>
    <w:rsid w:val="451363F7"/>
    <w:rsid w:val="451CD1B0"/>
    <w:rsid w:val="451F3406"/>
    <w:rsid w:val="4527BE8B"/>
    <w:rsid w:val="4528AABD"/>
    <w:rsid w:val="452C2129"/>
    <w:rsid w:val="452D929A"/>
    <w:rsid w:val="452E85F6"/>
    <w:rsid w:val="45368446"/>
    <w:rsid w:val="453CCECC"/>
    <w:rsid w:val="453D37D1"/>
    <w:rsid w:val="453DBE92"/>
    <w:rsid w:val="4540198D"/>
    <w:rsid w:val="4542D0FE"/>
    <w:rsid w:val="454684C9"/>
    <w:rsid w:val="4548FF26"/>
    <w:rsid w:val="454BA76C"/>
    <w:rsid w:val="454BC753"/>
    <w:rsid w:val="454DF30A"/>
    <w:rsid w:val="454F4476"/>
    <w:rsid w:val="454F78D1"/>
    <w:rsid w:val="4551E7C0"/>
    <w:rsid w:val="4552FCD0"/>
    <w:rsid w:val="455BD99B"/>
    <w:rsid w:val="455D09FC"/>
    <w:rsid w:val="455EDEAD"/>
    <w:rsid w:val="45675AF7"/>
    <w:rsid w:val="4568792A"/>
    <w:rsid w:val="4568D281"/>
    <w:rsid w:val="4569E9C5"/>
    <w:rsid w:val="456C80F1"/>
    <w:rsid w:val="456F84F4"/>
    <w:rsid w:val="4573666C"/>
    <w:rsid w:val="4573EFCB"/>
    <w:rsid w:val="4574A04D"/>
    <w:rsid w:val="4575E4E7"/>
    <w:rsid w:val="45776DFA"/>
    <w:rsid w:val="457CDC25"/>
    <w:rsid w:val="457CE8A2"/>
    <w:rsid w:val="457D6C25"/>
    <w:rsid w:val="457EA863"/>
    <w:rsid w:val="45892164"/>
    <w:rsid w:val="458CE771"/>
    <w:rsid w:val="45904D6D"/>
    <w:rsid w:val="45938C9A"/>
    <w:rsid w:val="4596C04E"/>
    <w:rsid w:val="45980E3D"/>
    <w:rsid w:val="459BEC97"/>
    <w:rsid w:val="459D893D"/>
    <w:rsid w:val="459EE2E7"/>
    <w:rsid w:val="459FC4F3"/>
    <w:rsid w:val="45A10348"/>
    <w:rsid w:val="45A1122A"/>
    <w:rsid w:val="45A5B8D6"/>
    <w:rsid w:val="45A753F7"/>
    <w:rsid w:val="45AB9F3C"/>
    <w:rsid w:val="45ADC507"/>
    <w:rsid w:val="45B49476"/>
    <w:rsid w:val="45B9096E"/>
    <w:rsid w:val="45B9F2FF"/>
    <w:rsid w:val="45BAC97F"/>
    <w:rsid w:val="45BE1E69"/>
    <w:rsid w:val="45BE3447"/>
    <w:rsid w:val="45C45C31"/>
    <w:rsid w:val="45C4CDA4"/>
    <w:rsid w:val="45C7A58F"/>
    <w:rsid w:val="45C7BEC9"/>
    <w:rsid w:val="45CB1C70"/>
    <w:rsid w:val="45CB2171"/>
    <w:rsid w:val="45CC8D0A"/>
    <w:rsid w:val="45D029B5"/>
    <w:rsid w:val="45D4CAA5"/>
    <w:rsid w:val="45D4D904"/>
    <w:rsid w:val="45D6058A"/>
    <w:rsid w:val="45D7EC97"/>
    <w:rsid w:val="45D9A176"/>
    <w:rsid w:val="45DB5F35"/>
    <w:rsid w:val="45DC27B5"/>
    <w:rsid w:val="45DE3894"/>
    <w:rsid w:val="45DE595F"/>
    <w:rsid w:val="45DEBCC9"/>
    <w:rsid w:val="45E35F95"/>
    <w:rsid w:val="45E3AC4E"/>
    <w:rsid w:val="45E5F3EB"/>
    <w:rsid w:val="45E7DC5C"/>
    <w:rsid w:val="45EB61DA"/>
    <w:rsid w:val="45EBF325"/>
    <w:rsid w:val="45ED1500"/>
    <w:rsid w:val="45F2C12A"/>
    <w:rsid w:val="45F9048D"/>
    <w:rsid w:val="45FB72FA"/>
    <w:rsid w:val="45FDF19D"/>
    <w:rsid w:val="45FE360A"/>
    <w:rsid w:val="45FFE690"/>
    <w:rsid w:val="46064090"/>
    <w:rsid w:val="4609CAA6"/>
    <w:rsid w:val="460F7BE5"/>
    <w:rsid w:val="460FEE4B"/>
    <w:rsid w:val="4610CBC0"/>
    <w:rsid w:val="4610FDF8"/>
    <w:rsid w:val="46131844"/>
    <w:rsid w:val="46141A34"/>
    <w:rsid w:val="46146805"/>
    <w:rsid w:val="461C20F3"/>
    <w:rsid w:val="461E82C4"/>
    <w:rsid w:val="461FF8F4"/>
    <w:rsid w:val="462345AE"/>
    <w:rsid w:val="46248237"/>
    <w:rsid w:val="46253423"/>
    <w:rsid w:val="4628702F"/>
    <w:rsid w:val="46287C32"/>
    <w:rsid w:val="4628DCBE"/>
    <w:rsid w:val="46291BC1"/>
    <w:rsid w:val="462F0145"/>
    <w:rsid w:val="4630B9BE"/>
    <w:rsid w:val="46355EE7"/>
    <w:rsid w:val="4638AF34"/>
    <w:rsid w:val="463FEF69"/>
    <w:rsid w:val="46404525"/>
    <w:rsid w:val="46409AE9"/>
    <w:rsid w:val="4643BA4A"/>
    <w:rsid w:val="46499BD2"/>
    <w:rsid w:val="464A0C66"/>
    <w:rsid w:val="464C2606"/>
    <w:rsid w:val="464E63B1"/>
    <w:rsid w:val="4656D47B"/>
    <w:rsid w:val="46572AAE"/>
    <w:rsid w:val="46593C27"/>
    <w:rsid w:val="465B7983"/>
    <w:rsid w:val="465B913F"/>
    <w:rsid w:val="465C79F6"/>
    <w:rsid w:val="465E349C"/>
    <w:rsid w:val="4660DB67"/>
    <w:rsid w:val="4662C2F1"/>
    <w:rsid w:val="46638296"/>
    <w:rsid w:val="466405BC"/>
    <w:rsid w:val="4664D761"/>
    <w:rsid w:val="46679228"/>
    <w:rsid w:val="46688C29"/>
    <w:rsid w:val="46690A83"/>
    <w:rsid w:val="466CE4B2"/>
    <w:rsid w:val="466DE34C"/>
    <w:rsid w:val="466FE3AC"/>
    <w:rsid w:val="466FEC6E"/>
    <w:rsid w:val="46713C57"/>
    <w:rsid w:val="4671C252"/>
    <w:rsid w:val="4674A65F"/>
    <w:rsid w:val="46761F7C"/>
    <w:rsid w:val="46770395"/>
    <w:rsid w:val="467BF094"/>
    <w:rsid w:val="467C4AED"/>
    <w:rsid w:val="467CADD8"/>
    <w:rsid w:val="467D2060"/>
    <w:rsid w:val="467D9BB8"/>
    <w:rsid w:val="467DB97F"/>
    <w:rsid w:val="46843110"/>
    <w:rsid w:val="46844115"/>
    <w:rsid w:val="46845958"/>
    <w:rsid w:val="4684EDB5"/>
    <w:rsid w:val="4689CB36"/>
    <w:rsid w:val="468C6B84"/>
    <w:rsid w:val="468D1ED6"/>
    <w:rsid w:val="468F49F5"/>
    <w:rsid w:val="4692C10F"/>
    <w:rsid w:val="469419BE"/>
    <w:rsid w:val="4696B2BA"/>
    <w:rsid w:val="4699DCE5"/>
    <w:rsid w:val="46A7CA89"/>
    <w:rsid w:val="46ABFF5E"/>
    <w:rsid w:val="46AC5DE0"/>
    <w:rsid w:val="46AE02A4"/>
    <w:rsid w:val="46AFB242"/>
    <w:rsid w:val="46B0161B"/>
    <w:rsid w:val="46B846D3"/>
    <w:rsid w:val="46BA3250"/>
    <w:rsid w:val="46BB083D"/>
    <w:rsid w:val="46BBC716"/>
    <w:rsid w:val="46C19F36"/>
    <w:rsid w:val="46C724D4"/>
    <w:rsid w:val="46CADFF7"/>
    <w:rsid w:val="46CF66C1"/>
    <w:rsid w:val="46D8B08D"/>
    <w:rsid w:val="46DBC72C"/>
    <w:rsid w:val="46DBC8C6"/>
    <w:rsid w:val="46DD1D5E"/>
    <w:rsid w:val="46DE2995"/>
    <w:rsid w:val="46DEAA8C"/>
    <w:rsid w:val="46E0FCED"/>
    <w:rsid w:val="46E15B6F"/>
    <w:rsid w:val="46E16DDC"/>
    <w:rsid w:val="46E171BE"/>
    <w:rsid w:val="46E18C3F"/>
    <w:rsid w:val="46E783D1"/>
    <w:rsid w:val="46E9BB4F"/>
    <w:rsid w:val="46EA95E0"/>
    <w:rsid w:val="46EC63AF"/>
    <w:rsid w:val="46ECCEC9"/>
    <w:rsid w:val="46EDB0C7"/>
    <w:rsid w:val="46F03E55"/>
    <w:rsid w:val="46F7B9F0"/>
    <w:rsid w:val="46FB1683"/>
    <w:rsid w:val="46FB494E"/>
    <w:rsid w:val="46FF2A06"/>
    <w:rsid w:val="47015E15"/>
    <w:rsid w:val="4702E4E3"/>
    <w:rsid w:val="4704CCA6"/>
    <w:rsid w:val="47073787"/>
    <w:rsid w:val="47096B8F"/>
    <w:rsid w:val="470F1B08"/>
    <w:rsid w:val="4715744D"/>
    <w:rsid w:val="471A41E4"/>
    <w:rsid w:val="471C12E1"/>
    <w:rsid w:val="471FB4D5"/>
    <w:rsid w:val="47201470"/>
    <w:rsid w:val="47205398"/>
    <w:rsid w:val="4720FC50"/>
    <w:rsid w:val="4720FEEA"/>
    <w:rsid w:val="4722475D"/>
    <w:rsid w:val="472444E7"/>
    <w:rsid w:val="47269871"/>
    <w:rsid w:val="4727268F"/>
    <w:rsid w:val="4727C07B"/>
    <w:rsid w:val="472FD52D"/>
    <w:rsid w:val="4731AF05"/>
    <w:rsid w:val="4738446C"/>
    <w:rsid w:val="4738A1BC"/>
    <w:rsid w:val="47392F38"/>
    <w:rsid w:val="473BA9B6"/>
    <w:rsid w:val="4740200E"/>
    <w:rsid w:val="47447B60"/>
    <w:rsid w:val="4745E8FC"/>
    <w:rsid w:val="4746CAC7"/>
    <w:rsid w:val="474C400C"/>
    <w:rsid w:val="474CB752"/>
    <w:rsid w:val="474D4FB4"/>
    <w:rsid w:val="4750DA84"/>
    <w:rsid w:val="4753C515"/>
    <w:rsid w:val="4757543C"/>
    <w:rsid w:val="47576522"/>
    <w:rsid w:val="4757CFB9"/>
    <w:rsid w:val="4759EF93"/>
    <w:rsid w:val="475A677B"/>
    <w:rsid w:val="476220F8"/>
    <w:rsid w:val="47636440"/>
    <w:rsid w:val="476576BD"/>
    <w:rsid w:val="476655FD"/>
    <w:rsid w:val="476A4B61"/>
    <w:rsid w:val="476A51E7"/>
    <w:rsid w:val="476C38DF"/>
    <w:rsid w:val="476D9DB5"/>
    <w:rsid w:val="476ED5B3"/>
    <w:rsid w:val="476F87C6"/>
    <w:rsid w:val="4770CEE4"/>
    <w:rsid w:val="4771458B"/>
    <w:rsid w:val="4771F08D"/>
    <w:rsid w:val="47721BC0"/>
    <w:rsid w:val="47740817"/>
    <w:rsid w:val="477601CB"/>
    <w:rsid w:val="477BF87B"/>
    <w:rsid w:val="477CB92E"/>
    <w:rsid w:val="477E6248"/>
    <w:rsid w:val="477FA4D7"/>
    <w:rsid w:val="4781FC29"/>
    <w:rsid w:val="4782F98F"/>
    <w:rsid w:val="47857A41"/>
    <w:rsid w:val="478B2C55"/>
    <w:rsid w:val="478E03EA"/>
    <w:rsid w:val="478ED2C9"/>
    <w:rsid w:val="4790F547"/>
    <w:rsid w:val="4790F908"/>
    <w:rsid w:val="47922CAF"/>
    <w:rsid w:val="47925D08"/>
    <w:rsid w:val="47932E4C"/>
    <w:rsid w:val="47971AB8"/>
    <w:rsid w:val="47997784"/>
    <w:rsid w:val="479B100A"/>
    <w:rsid w:val="479C7316"/>
    <w:rsid w:val="479DBB29"/>
    <w:rsid w:val="479E8625"/>
    <w:rsid w:val="47A00306"/>
    <w:rsid w:val="47A1ACB6"/>
    <w:rsid w:val="47A2221A"/>
    <w:rsid w:val="47A29E4F"/>
    <w:rsid w:val="47A69B57"/>
    <w:rsid w:val="47A9A659"/>
    <w:rsid w:val="47AA593B"/>
    <w:rsid w:val="47AD2B94"/>
    <w:rsid w:val="47B1521D"/>
    <w:rsid w:val="47B2D26F"/>
    <w:rsid w:val="47B5C42D"/>
    <w:rsid w:val="47B75711"/>
    <w:rsid w:val="47B903C7"/>
    <w:rsid w:val="47B9CF6E"/>
    <w:rsid w:val="47BB7C4B"/>
    <w:rsid w:val="47BC3DFD"/>
    <w:rsid w:val="47BFE43A"/>
    <w:rsid w:val="47C00F1E"/>
    <w:rsid w:val="47C44418"/>
    <w:rsid w:val="47C6464A"/>
    <w:rsid w:val="47C74791"/>
    <w:rsid w:val="47C8BCF4"/>
    <w:rsid w:val="47CF52DF"/>
    <w:rsid w:val="47D530CF"/>
    <w:rsid w:val="47D54BE2"/>
    <w:rsid w:val="47D5772F"/>
    <w:rsid w:val="47D71458"/>
    <w:rsid w:val="47DE62CA"/>
    <w:rsid w:val="47E34F96"/>
    <w:rsid w:val="47E3956D"/>
    <w:rsid w:val="47E464E7"/>
    <w:rsid w:val="47E7941B"/>
    <w:rsid w:val="47E915A1"/>
    <w:rsid w:val="47EA14DF"/>
    <w:rsid w:val="47ED3673"/>
    <w:rsid w:val="47ED533E"/>
    <w:rsid w:val="47EF46C4"/>
    <w:rsid w:val="47F1ED4B"/>
    <w:rsid w:val="47F96C16"/>
    <w:rsid w:val="47FAA117"/>
    <w:rsid w:val="47FD3FB9"/>
    <w:rsid w:val="47FF159A"/>
    <w:rsid w:val="47FFA4F8"/>
    <w:rsid w:val="48023552"/>
    <w:rsid w:val="4802A682"/>
    <w:rsid w:val="4804CB37"/>
    <w:rsid w:val="4805AA66"/>
    <w:rsid w:val="4806B2FD"/>
    <w:rsid w:val="4809A669"/>
    <w:rsid w:val="480A9AAF"/>
    <w:rsid w:val="480CABA9"/>
    <w:rsid w:val="4810AA08"/>
    <w:rsid w:val="48139A39"/>
    <w:rsid w:val="4814AF07"/>
    <w:rsid w:val="48153317"/>
    <w:rsid w:val="48179675"/>
    <w:rsid w:val="481B8CC3"/>
    <w:rsid w:val="481D4459"/>
    <w:rsid w:val="481D46A4"/>
    <w:rsid w:val="481D7C7E"/>
    <w:rsid w:val="481DEE49"/>
    <w:rsid w:val="481E51C9"/>
    <w:rsid w:val="481E641A"/>
    <w:rsid w:val="481F410A"/>
    <w:rsid w:val="482047E0"/>
    <w:rsid w:val="482291A9"/>
    <w:rsid w:val="4824426A"/>
    <w:rsid w:val="4824E640"/>
    <w:rsid w:val="4827F10D"/>
    <w:rsid w:val="4829178A"/>
    <w:rsid w:val="482D34C1"/>
    <w:rsid w:val="482E8C4B"/>
    <w:rsid w:val="482FBA80"/>
    <w:rsid w:val="4833D3D3"/>
    <w:rsid w:val="4835A626"/>
    <w:rsid w:val="48371F79"/>
    <w:rsid w:val="4837A53E"/>
    <w:rsid w:val="483BAB0B"/>
    <w:rsid w:val="483DCAF0"/>
    <w:rsid w:val="483F4F14"/>
    <w:rsid w:val="484062DB"/>
    <w:rsid w:val="4843C72A"/>
    <w:rsid w:val="4847D17D"/>
    <w:rsid w:val="484C2AC0"/>
    <w:rsid w:val="484CDFCD"/>
    <w:rsid w:val="484FB8D1"/>
    <w:rsid w:val="4850743B"/>
    <w:rsid w:val="4851D1FC"/>
    <w:rsid w:val="48537363"/>
    <w:rsid w:val="485548C8"/>
    <w:rsid w:val="48554A9E"/>
    <w:rsid w:val="4858062B"/>
    <w:rsid w:val="4858925B"/>
    <w:rsid w:val="485B08B2"/>
    <w:rsid w:val="485F27EC"/>
    <w:rsid w:val="486237DC"/>
    <w:rsid w:val="4870A95A"/>
    <w:rsid w:val="4870D1A3"/>
    <w:rsid w:val="48733CF8"/>
    <w:rsid w:val="4875D68F"/>
    <w:rsid w:val="487683F6"/>
    <w:rsid w:val="4879B1EC"/>
    <w:rsid w:val="487A34D0"/>
    <w:rsid w:val="487F0E6F"/>
    <w:rsid w:val="488062F9"/>
    <w:rsid w:val="4881B840"/>
    <w:rsid w:val="4881E392"/>
    <w:rsid w:val="4886A98E"/>
    <w:rsid w:val="4889C7AF"/>
    <w:rsid w:val="48929E1E"/>
    <w:rsid w:val="4894C0B5"/>
    <w:rsid w:val="48957F5C"/>
    <w:rsid w:val="48981C17"/>
    <w:rsid w:val="489863E2"/>
    <w:rsid w:val="4898A035"/>
    <w:rsid w:val="4899C99F"/>
    <w:rsid w:val="489A219A"/>
    <w:rsid w:val="48A155C0"/>
    <w:rsid w:val="48A334E8"/>
    <w:rsid w:val="48A3BFBC"/>
    <w:rsid w:val="48A57530"/>
    <w:rsid w:val="48A920AD"/>
    <w:rsid w:val="48A9F6E2"/>
    <w:rsid w:val="48AAF0EE"/>
    <w:rsid w:val="48ACD809"/>
    <w:rsid w:val="48AD6EAA"/>
    <w:rsid w:val="48AE0B72"/>
    <w:rsid w:val="48AED336"/>
    <w:rsid w:val="48B0377B"/>
    <w:rsid w:val="48B23C49"/>
    <w:rsid w:val="48B2B59C"/>
    <w:rsid w:val="48B5F5D5"/>
    <w:rsid w:val="48BAC347"/>
    <w:rsid w:val="48BE1924"/>
    <w:rsid w:val="48BF4E49"/>
    <w:rsid w:val="48C0A1DB"/>
    <w:rsid w:val="48C1A04F"/>
    <w:rsid w:val="48C28CD6"/>
    <w:rsid w:val="48CA4FE5"/>
    <w:rsid w:val="48CA9E7F"/>
    <w:rsid w:val="48CB3175"/>
    <w:rsid w:val="48D03829"/>
    <w:rsid w:val="48D0F711"/>
    <w:rsid w:val="48D27BCF"/>
    <w:rsid w:val="48D2EBB0"/>
    <w:rsid w:val="48D308AE"/>
    <w:rsid w:val="48DA339F"/>
    <w:rsid w:val="48DA7714"/>
    <w:rsid w:val="48E01579"/>
    <w:rsid w:val="48E136B2"/>
    <w:rsid w:val="48E27183"/>
    <w:rsid w:val="48E293FE"/>
    <w:rsid w:val="48E4465C"/>
    <w:rsid w:val="48E8F78E"/>
    <w:rsid w:val="48EA27D7"/>
    <w:rsid w:val="48EE3C6D"/>
    <w:rsid w:val="48EE84FA"/>
    <w:rsid w:val="48F24877"/>
    <w:rsid w:val="48F619B1"/>
    <w:rsid w:val="48F83CC2"/>
    <w:rsid w:val="49007906"/>
    <w:rsid w:val="49019289"/>
    <w:rsid w:val="4901F551"/>
    <w:rsid w:val="4902B3A5"/>
    <w:rsid w:val="490407A7"/>
    <w:rsid w:val="49046FBE"/>
    <w:rsid w:val="490A8B9D"/>
    <w:rsid w:val="490D0A75"/>
    <w:rsid w:val="49102AD8"/>
    <w:rsid w:val="491456E9"/>
    <w:rsid w:val="49181BE3"/>
    <w:rsid w:val="4919057F"/>
    <w:rsid w:val="491CF7BB"/>
    <w:rsid w:val="491DC05F"/>
    <w:rsid w:val="491E1971"/>
    <w:rsid w:val="49212D37"/>
    <w:rsid w:val="4921AB3D"/>
    <w:rsid w:val="49237933"/>
    <w:rsid w:val="4924734E"/>
    <w:rsid w:val="4926579A"/>
    <w:rsid w:val="4926726F"/>
    <w:rsid w:val="492799D9"/>
    <w:rsid w:val="4927E927"/>
    <w:rsid w:val="492C6898"/>
    <w:rsid w:val="492FF14A"/>
    <w:rsid w:val="49312E3A"/>
    <w:rsid w:val="4934FF80"/>
    <w:rsid w:val="4937ABFF"/>
    <w:rsid w:val="4938FA66"/>
    <w:rsid w:val="49399864"/>
    <w:rsid w:val="493D0276"/>
    <w:rsid w:val="493D1B6B"/>
    <w:rsid w:val="493DE8FC"/>
    <w:rsid w:val="493FD28C"/>
    <w:rsid w:val="4944B622"/>
    <w:rsid w:val="49454EDA"/>
    <w:rsid w:val="4946E918"/>
    <w:rsid w:val="49479BAE"/>
    <w:rsid w:val="49482CCD"/>
    <w:rsid w:val="494D8C57"/>
    <w:rsid w:val="494DE218"/>
    <w:rsid w:val="495182E9"/>
    <w:rsid w:val="4953A1C7"/>
    <w:rsid w:val="4954FC34"/>
    <w:rsid w:val="4956C7F6"/>
    <w:rsid w:val="495712A0"/>
    <w:rsid w:val="49581E2C"/>
    <w:rsid w:val="495BE6D8"/>
    <w:rsid w:val="495EBF21"/>
    <w:rsid w:val="495FFC66"/>
    <w:rsid w:val="49613EBF"/>
    <w:rsid w:val="496F3CB7"/>
    <w:rsid w:val="49703040"/>
    <w:rsid w:val="497081A2"/>
    <w:rsid w:val="4971B180"/>
    <w:rsid w:val="49779EE9"/>
    <w:rsid w:val="497859AC"/>
    <w:rsid w:val="497D0F67"/>
    <w:rsid w:val="497E1AE7"/>
    <w:rsid w:val="497E2C57"/>
    <w:rsid w:val="4981D5ED"/>
    <w:rsid w:val="49835CAD"/>
    <w:rsid w:val="4989EC4E"/>
    <w:rsid w:val="498FE561"/>
    <w:rsid w:val="49950416"/>
    <w:rsid w:val="49958E99"/>
    <w:rsid w:val="49975B10"/>
    <w:rsid w:val="4997A8C5"/>
    <w:rsid w:val="4998EEB0"/>
    <w:rsid w:val="4999111D"/>
    <w:rsid w:val="499A0375"/>
    <w:rsid w:val="499A8202"/>
    <w:rsid w:val="499DAA89"/>
    <w:rsid w:val="499DBF87"/>
    <w:rsid w:val="499F5B04"/>
    <w:rsid w:val="49A04AA0"/>
    <w:rsid w:val="49A275A1"/>
    <w:rsid w:val="49A6CD8D"/>
    <w:rsid w:val="49AA8B9A"/>
    <w:rsid w:val="49ABAA47"/>
    <w:rsid w:val="49ACC38B"/>
    <w:rsid w:val="49B03B98"/>
    <w:rsid w:val="49B1AAF3"/>
    <w:rsid w:val="49B22A22"/>
    <w:rsid w:val="49B49D41"/>
    <w:rsid w:val="49B5DB85"/>
    <w:rsid w:val="49B8E1F5"/>
    <w:rsid w:val="49BA30F8"/>
    <w:rsid w:val="49BA7E9C"/>
    <w:rsid w:val="49BB57AE"/>
    <w:rsid w:val="49BD8843"/>
    <w:rsid w:val="49BD914E"/>
    <w:rsid w:val="49BF5C64"/>
    <w:rsid w:val="49C02971"/>
    <w:rsid w:val="49C1B062"/>
    <w:rsid w:val="49C26A9F"/>
    <w:rsid w:val="49C3FC34"/>
    <w:rsid w:val="49C4BA52"/>
    <w:rsid w:val="49C5744A"/>
    <w:rsid w:val="49C61D52"/>
    <w:rsid w:val="49CC0D26"/>
    <w:rsid w:val="49CEBB14"/>
    <w:rsid w:val="49D0E614"/>
    <w:rsid w:val="49D2F909"/>
    <w:rsid w:val="49D753D3"/>
    <w:rsid w:val="49D80837"/>
    <w:rsid w:val="49D97EB5"/>
    <w:rsid w:val="49DD5B8D"/>
    <w:rsid w:val="49DEDE0F"/>
    <w:rsid w:val="49DF3364"/>
    <w:rsid w:val="49DFA803"/>
    <w:rsid w:val="49E0FB26"/>
    <w:rsid w:val="49E1591D"/>
    <w:rsid w:val="49E19E3C"/>
    <w:rsid w:val="49E5E5D9"/>
    <w:rsid w:val="49E7691A"/>
    <w:rsid w:val="49E9E887"/>
    <w:rsid w:val="49ED5474"/>
    <w:rsid w:val="49EF755B"/>
    <w:rsid w:val="49F27BC8"/>
    <w:rsid w:val="49F2AE13"/>
    <w:rsid w:val="49F644C2"/>
    <w:rsid w:val="49FD1C64"/>
    <w:rsid w:val="49FDC22C"/>
    <w:rsid w:val="4A0305E6"/>
    <w:rsid w:val="4A032632"/>
    <w:rsid w:val="4A0768E9"/>
    <w:rsid w:val="4A0BB087"/>
    <w:rsid w:val="4A0E2ABC"/>
    <w:rsid w:val="4A10E13D"/>
    <w:rsid w:val="4A12D840"/>
    <w:rsid w:val="4A165BAB"/>
    <w:rsid w:val="4A16B7B8"/>
    <w:rsid w:val="4A17F6E3"/>
    <w:rsid w:val="4A18FBCD"/>
    <w:rsid w:val="4A1BC186"/>
    <w:rsid w:val="4A1ED75B"/>
    <w:rsid w:val="4A20B56A"/>
    <w:rsid w:val="4A232D41"/>
    <w:rsid w:val="4A23BB9F"/>
    <w:rsid w:val="4A24512E"/>
    <w:rsid w:val="4A2D0238"/>
    <w:rsid w:val="4A31C592"/>
    <w:rsid w:val="4A34246A"/>
    <w:rsid w:val="4A34E62E"/>
    <w:rsid w:val="4A369444"/>
    <w:rsid w:val="4A383209"/>
    <w:rsid w:val="4A38B828"/>
    <w:rsid w:val="4A38E297"/>
    <w:rsid w:val="4A3B1C01"/>
    <w:rsid w:val="4A3C6231"/>
    <w:rsid w:val="4A3D5636"/>
    <w:rsid w:val="4A3E761F"/>
    <w:rsid w:val="4A40506C"/>
    <w:rsid w:val="4A4066FD"/>
    <w:rsid w:val="4A4A0C1F"/>
    <w:rsid w:val="4A4B8043"/>
    <w:rsid w:val="4A4EAA12"/>
    <w:rsid w:val="4A52AF6B"/>
    <w:rsid w:val="4A56F3EA"/>
    <w:rsid w:val="4A5886B2"/>
    <w:rsid w:val="4A5A2F59"/>
    <w:rsid w:val="4A5F6B56"/>
    <w:rsid w:val="4A62583E"/>
    <w:rsid w:val="4A629A2A"/>
    <w:rsid w:val="4A6475CF"/>
    <w:rsid w:val="4A66B1C9"/>
    <w:rsid w:val="4A66D6F4"/>
    <w:rsid w:val="4A6A54B7"/>
    <w:rsid w:val="4A6CD8E7"/>
    <w:rsid w:val="4A71DD31"/>
    <w:rsid w:val="4A732762"/>
    <w:rsid w:val="4A73C2FE"/>
    <w:rsid w:val="4A7696B6"/>
    <w:rsid w:val="4A79645B"/>
    <w:rsid w:val="4A7A0AFD"/>
    <w:rsid w:val="4A7E7158"/>
    <w:rsid w:val="4A839873"/>
    <w:rsid w:val="4A84087D"/>
    <w:rsid w:val="4A8561B2"/>
    <w:rsid w:val="4A85B130"/>
    <w:rsid w:val="4A86CD33"/>
    <w:rsid w:val="4A872A77"/>
    <w:rsid w:val="4A8762C9"/>
    <w:rsid w:val="4A877DC1"/>
    <w:rsid w:val="4A87AFA3"/>
    <w:rsid w:val="4A8AE32A"/>
    <w:rsid w:val="4A90C262"/>
    <w:rsid w:val="4A924177"/>
    <w:rsid w:val="4A92FE11"/>
    <w:rsid w:val="4A9B09A0"/>
    <w:rsid w:val="4A9D706A"/>
    <w:rsid w:val="4AA10F6E"/>
    <w:rsid w:val="4AA233A7"/>
    <w:rsid w:val="4AA659F8"/>
    <w:rsid w:val="4AAAB9CA"/>
    <w:rsid w:val="4AACAE55"/>
    <w:rsid w:val="4AAD7C7C"/>
    <w:rsid w:val="4AB2409B"/>
    <w:rsid w:val="4AB45FB6"/>
    <w:rsid w:val="4AB6B7A5"/>
    <w:rsid w:val="4AB95687"/>
    <w:rsid w:val="4ABA5438"/>
    <w:rsid w:val="4ABB7F1B"/>
    <w:rsid w:val="4AC1B382"/>
    <w:rsid w:val="4AC3244A"/>
    <w:rsid w:val="4AC977D4"/>
    <w:rsid w:val="4AC9B5C1"/>
    <w:rsid w:val="4ACA169C"/>
    <w:rsid w:val="4ACB73C9"/>
    <w:rsid w:val="4ACBEF48"/>
    <w:rsid w:val="4ACC04EB"/>
    <w:rsid w:val="4ACC8A0E"/>
    <w:rsid w:val="4ACE5D01"/>
    <w:rsid w:val="4AD13F60"/>
    <w:rsid w:val="4AD3FBA0"/>
    <w:rsid w:val="4AD446F1"/>
    <w:rsid w:val="4AD7A908"/>
    <w:rsid w:val="4ADB274F"/>
    <w:rsid w:val="4ADC4A24"/>
    <w:rsid w:val="4ADE8271"/>
    <w:rsid w:val="4ADE8677"/>
    <w:rsid w:val="4AE153F2"/>
    <w:rsid w:val="4AE1CE1D"/>
    <w:rsid w:val="4AE403BD"/>
    <w:rsid w:val="4AEB6B46"/>
    <w:rsid w:val="4AEBC73E"/>
    <w:rsid w:val="4AF05C41"/>
    <w:rsid w:val="4AF0C6A5"/>
    <w:rsid w:val="4AF3EF98"/>
    <w:rsid w:val="4AF92E12"/>
    <w:rsid w:val="4AFBF928"/>
    <w:rsid w:val="4AFC1912"/>
    <w:rsid w:val="4AFFF655"/>
    <w:rsid w:val="4B01D002"/>
    <w:rsid w:val="4B02ACD1"/>
    <w:rsid w:val="4B041097"/>
    <w:rsid w:val="4B04DE7E"/>
    <w:rsid w:val="4B052771"/>
    <w:rsid w:val="4B05EBE0"/>
    <w:rsid w:val="4B07D5E7"/>
    <w:rsid w:val="4B0AA8FC"/>
    <w:rsid w:val="4B0FE4C1"/>
    <w:rsid w:val="4B15CE3A"/>
    <w:rsid w:val="4B222E89"/>
    <w:rsid w:val="4B2857FA"/>
    <w:rsid w:val="4B2858D9"/>
    <w:rsid w:val="4B2C9F36"/>
    <w:rsid w:val="4B2CDEF8"/>
    <w:rsid w:val="4B2D132C"/>
    <w:rsid w:val="4B2D39BE"/>
    <w:rsid w:val="4B2E21B6"/>
    <w:rsid w:val="4B2ED964"/>
    <w:rsid w:val="4B3203F5"/>
    <w:rsid w:val="4B344C43"/>
    <w:rsid w:val="4B359BD6"/>
    <w:rsid w:val="4B3A69E2"/>
    <w:rsid w:val="4B3FF557"/>
    <w:rsid w:val="4B4A5BEB"/>
    <w:rsid w:val="4B4B91B8"/>
    <w:rsid w:val="4B4E46FF"/>
    <w:rsid w:val="4B4ECDD2"/>
    <w:rsid w:val="4B4EFB48"/>
    <w:rsid w:val="4B50A54D"/>
    <w:rsid w:val="4B514CA3"/>
    <w:rsid w:val="4B5306D8"/>
    <w:rsid w:val="4B544942"/>
    <w:rsid w:val="4B550439"/>
    <w:rsid w:val="4B56ABA8"/>
    <w:rsid w:val="4B5A4F61"/>
    <w:rsid w:val="4B5B6918"/>
    <w:rsid w:val="4B5C6A63"/>
    <w:rsid w:val="4B5EA2C2"/>
    <w:rsid w:val="4B5FB404"/>
    <w:rsid w:val="4B61D39D"/>
    <w:rsid w:val="4B65D986"/>
    <w:rsid w:val="4B66723D"/>
    <w:rsid w:val="4B66D85D"/>
    <w:rsid w:val="4B670394"/>
    <w:rsid w:val="4B68F82D"/>
    <w:rsid w:val="4B6A61CE"/>
    <w:rsid w:val="4B6A9C60"/>
    <w:rsid w:val="4B6C49F2"/>
    <w:rsid w:val="4B6C72DF"/>
    <w:rsid w:val="4B6DFB64"/>
    <w:rsid w:val="4B6EDE17"/>
    <w:rsid w:val="4B718572"/>
    <w:rsid w:val="4B721DA2"/>
    <w:rsid w:val="4B74F47D"/>
    <w:rsid w:val="4B757A0F"/>
    <w:rsid w:val="4B773494"/>
    <w:rsid w:val="4B7D4E45"/>
    <w:rsid w:val="4B846758"/>
    <w:rsid w:val="4B853C59"/>
    <w:rsid w:val="4B862D82"/>
    <w:rsid w:val="4B8A55E0"/>
    <w:rsid w:val="4B8BDAD0"/>
    <w:rsid w:val="4B8D2514"/>
    <w:rsid w:val="4B923BA2"/>
    <w:rsid w:val="4B9537DC"/>
    <w:rsid w:val="4B9CD10A"/>
    <w:rsid w:val="4BA26BC5"/>
    <w:rsid w:val="4BA40EF6"/>
    <w:rsid w:val="4BA42AD7"/>
    <w:rsid w:val="4BA5062F"/>
    <w:rsid w:val="4BAD6F4E"/>
    <w:rsid w:val="4BADE739"/>
    <w:rsid w:val="4BAF31D9"/>
    <w:rsid w:val="4BB31EA2"/>
    <w:rsid w:val="4BB4AD6F"/>
    <w:rsid w:val="4BB7943D"/>
    <w:rsid w:val="4BB7BD33"/>
    <w:rsid w:val="4BB835AB"/>
    <w:rsid w:val="4BB98CDF"/>
    <w:rsid w:val="4BBDF50C"/>
    <w:rsid w:val="4BBF2626"/>
    <w:rsid w:val="4BC01B31"/>
    <w:rsid w:val="4BC22880"/>
    <w:rsid w:val="4BC28D4E"/>
    <w:rsid w:val="4BCC3E82"/>
    <w:rsid w:val="4BCF7CD1"/>
    <w:rsid w:val="4BD4175A"/>
    <w:rsid w:val="4BD4851C"/>
    <w:rsid w:val="4BD4B140"/>
    <w:rsid w:val="4BD90DC6"/>
    <w:rsid w:val="4BD91F98"/>
    <w:rsid w:val="4BD99BC8"/>
    <w:rsid w:val="4BDA55C1"/>
    <w:rsid w:val="4BE1ED68"/>
    <w:rsid w:val="4BE24B57"/>
    <w:rsid w:val="4BE3796E"/>
    <w:rsid w:val="4BE468A7"/>
    <w:rsid w:val="4BE76B20"/>
    <w:rsid w:val="4BE78C01"/>
    <w:rsid w:val="4BEA815D"/>
    <w:rsid w:val="4BED3994"/>
    <w:rsid w:val="4BF0038A"/>
    <w:rsid w:val="4BF00A73"/>
    <w:rsid w:val="4BF2379F"/>
    <w:rsid w:val="4BF3623A"/>
    <w:rsid w:val="4BF3B976"/>
    <w:rsid w:val="4BF40373"/>
    <w:rsid w:val="4BF67699"/>
    <w:rsid w:val="4BF6DC6A"/>
    <w:rsid w:val="4BF76BDC"/>
    <w:rsid w:val="4BF87DF1"/>
    <w:rsid w:val="4BF8E93A"/>
    <w:rsid w:val="4BF93EBF"/>
    <w:rsid w:val="4BFCA9CE"/>
    <w:rsid w:val="4BFDF6B3"/>
    <w:rsid w:val="4C03A0CB"/>
    <w:rsid w:val="4C05C877"/>
    <w:rsid w:val="4C0D9DF3"/>
    <w:rsid w:val="4C0F00F8"/>
    <w:rsid w:val="4C0FD129"/>
    <w:rsid w:val="4C0FEBE4"/>
    <w:rsid w:val="4C107989"/>
    <w:rsid w:val="4C12B18E"/>
    <w:rsid w:val="4C12D0A3"/>
    <w:rsid w:val="4C14634D"/>
    <w:rsid w:val="4C15C841"/>
    <w:rsid w:val="4C1B5311"/>
    <w:rsid w:val="4C1ECE03"/>
    <w:rsid w:val="4C1FA5CC"/>
    <w:rsid w:val="4C212461"/>
    <w:rsid w:val="4C29226D"/>
    <w:rsid w:val="4C2922B8"/>
    <w:rsid w:val="4C2946E9"/>
    <w:rsid w:val="4C2CC891"/>
    <w:rsid w:val="4C2F0482"/>
    <w:rsid w:val="4C3465BE"/>
    <w:rsid w:val="4C34B9AD"/>
    <w:rsid w:val="4C35A757"/>
    <w:rsid w:val="4C36783E"/>
    <w:rsid w:val="4C38E999"/>
    <w:rsid w:val="4C3B8EF4"/>
    <w:rsid w:val="4C411234"/>
    <w:rsid w:val="4C434069"/>
    <w:rsid w:val="4C43C511"/>
    <w:rsid w:val="4C47C9F2"/>
    <w:rsid w:val="4C4B0D14"/>
    <w:rsid w:val="4C4BE8D6"/>
    <w:rsid w:val="4C4C2CDD"/>
    <w:rsid w:val="4C4C6E1B"/>
    <w:rsid w:val="4C4EEEAF"/>
    <w:rsid w:val="4C4F70C5"/>
    <w:rsid w:val="4C51E849"/>
    <w:rsid w:val="4C53A7CE"/>
    <w:rsid w:val="4C562499"/>
    <w:rsid w:val="4C5A2B27"/>
    <w:rsid w:val="4C5B0988"/>
    <w:rsid w:val="4C5D6DB5"/>
    <w:rsid w:val="4C661898"/>
    <w:rsid w:val="4C66FA94"/>
    <w:rsid w:val="4C672525"/>
    <w:rsid w:val="4C6BABCD"/>
    <w:rsid w:val="4C6DB4DF"/>
    <w:rsid w:val="4C7052F5"/>
    <w:rsid w:val="4C70E4C7"/>
    <w:rsid w:val="4C743529"/>
    <w:rsid w:val="4C78172C"/>
    <w:rsid w:val="4C78B29D"/>
    <w:rsid w:val="4C794475"/>
    <w:rsid w:val="4C7B082A"/>
    <w:rsid w:val="4C7D96B9"/>
    <w:rsid w:val="4C7E18E6"/>
    <w:rsid w:val="4C7EC3BC"/>
    <w:rsid w:val="4C7F64D6"/>
    <w:rsid w:val="4C7FC6A9"/>
    <w:rsid w:val="4C81650D"/>
    <w:rsid w:val="4C835F17"/>
    <w:rsid w:val="4C856BD3"/>
    <w:rsid w:val="4C8575E6"/>
    <w:rsid w:val="4C8626F2"/>
    <w:rsid w:val="4C881421"/>
    <w:rsid w:val="4C8FCBDA"/>
    <w:rsid w:val="4C9194D5"/>
    <w:rsid w:val="4C939CDE"/>
    <w:rsid w:val="4C961230"/>
    <w:rsid w:val="4C98E529"/>
    <w:rsid w:val="4C9A72AD"/>
    <w:rsid w:val="4C9A7B90"/>
    <w:rsid w:val="4C9E780A"/>
    <w:rsid w:val="4C9EA9DB"/>
    <w:rsid w:val="4C9F4E50"/>
    <w:rsid w:val="4CA22B09"/>
    <w:rsid w:val="4CA55BCA"/>
    <w:rsid w:val="4CA67729"/>
    <w:rsid w:val="4CA69EBC"/>
    <w:rsid w:val="4CAA7C18"/>
    <w:rsid w:val="4CAC6298"/>
    <w:rsid w:val="4CAF95FF"/>
    <w:rsid w:val="4CB2BCE9"/>
    <w:rsid w:val="4CB64874"/>
    <w:rsid w:val="4CB64EB7"/>
    <w:rsid w:val="4CB6B463"/>
    <w:rsid w:val="4CB96A63"/>
    <w:rsid w:val="4CC086B1"/>
    <w:rsid w:val="4CCAAF9E"/>
    <w:rsid w:val="4CCBA179"/>
    <w:rsid w:val="4CCC7E84"/>
    <w:rsid w:val="4CCD0B6A"/>
    <w:rsid w:val="4CCE1D04"/>
    <w:rsid w:val="4CD48EFD"/>
    <w:rsid w:val="4CD54671"/>
    <w:rsid w:val="4CD82E64"/>
    <w:rsid w:val="4CDA5013"/>
    <w:rsid w:val="4CDF2232"/>
    <w:rsid w:val="4CDF6B07"/>
    <w:rsid w:val="4CE5A5B9"/>
    <w:rsid w:val="4CE66E16"/>
    <w:rsid w:val="4CE68A25"/>
    <w:rsid w:val="4CE6CAB7"/>
    <w:rsid w:val="4CE7D1D8"/>
    <w:rsid w:val="4CEE447E"/>
    <w:rsid w:val="4CF0F379"/>
    <w:rsid w:val="4CF28AD9"/>
    <w:rsid w:val="4CF2B9C1"/>
    <w:rsid w:val="4CF31FCD"/>
    <w:rsid w:val="4CF34D7F"/>
    <w:rsid w:val="4CF6E773"/>
    <w:rsid w:val="4CF73284"/>
    <w:rsid w:val="4CF77CFC"/>
    <w:rsid w:val="4CF7F07E"/>
    <w:rsid w:val="4CF8076D"/>
    <w:rsid w:val="4CF840B8"/>
    <w:rsid w:val="4CFFA6CD"/>
    <w:rsid w:val="4D006B04"/>
    <w:rsid w:val="4D00AC08"/>
    <w:rsid w:val="4D03332F"/>
    <w:rsid w:val="4D05C287"/>
    <w:rsid w:val="4D0855E4"/>
    <w:rsid w:val="4D08D629"/>
    <w:rsid w:val="4D0CCE95"/>
    <w:rsid w:val="4D0E1570"/>
    <w:rsid w:val="4D0EC592"/>
    <w:rsid w:val="4D10A4C3"/>
    <w:rsid w:val="4D160054"/>
    <w:rsid w:val="4D178126"/>
    <w:rsid w:val="4D179A98"/>
    <w:rsid w:val="4D1B27EE"/>
    <w:rsid w:val="4D2360A2"/>
    <w:rsid w:val="4D25D8E2"/>
    <w:rsid w:val="4D25EA30"/>
    <w:rsid w:val="4D260A66"/>
    <w:rsid w:val="4D27E990"/>
    <w:rsid w:val="4D28632C"/>
    <w:rsid w:val="4D2A0174"/>
    <w:rsid w:val="4D2A8171"/>
    <w:rsid w:val="4D2AC52B"/>
    <w:rsid w:val="4D2D9CCB"/>
    <w:rsid w:val="4D2EB9A8"/>
    <w:rsid w:val="4D33B4DA"/>
    <w:rsid w:val="4D35590C"/>
    <w:rsid w:val="4D3DE2F9"/>
    <w:rsid w:val="4D3E7D31"/>
    <w:rsid w:val="4D3F09D7"/>
    <w:rsid w:val="4D44C234"/>
    <w:rsid w:val="4D4C8204"/>
    <w:rsid w:val="4D4D46E7"/>
    <w:rsid w:val="4D4F5866"/>
    <w:rsid w:val="4D526FD3"/>
    <w:rsid w:val="4D54077F"/>
    <w:rsid w:val="4D57ACFD"/>
    <w:rsid w:val="4D5880D3"/>
    <w:rsid w:val="4D59EF62"/>
    <w:rsid w:val="4D5DB408"/>
    <w:rsid w:val="4D632BFE"/>
    <w:rsid w:val="4D6365DC"/>
    <w:rsid w:val="4D65CBAC"/>
    <w:rsid w:val="4D65DE43"/>
    <w:rsid w:val="4D668AD5"/>
    <w:rsid w:val="4D6881B2"/>
    <w:rsid w:val="4D6CABC6"/>
    <w:rsid w:val="4D6CD6D3"/>
    <w:rsid w:val="4D6D26CB"/>
    <w:rsid w:val="4D6E3C2A"/>
    <w:rsid w:val="4D72101A"/>
    <w:rsid w:val="4D7AE3C3"/>
    <w:rsid w:val="4D7CB812"/>
    <w:rsid w:val="4D7EAE42"/>
    <w:rsid w:val="4D832105"/>
    <w:rsid w:val="4D84FD9B"/>
    <w:rsid w:val="4D8567DD"/>
    <w:rsid w:val="4D8582F4"/>
    <w:rsid w:val="4D8942A3"/>
    <w:rsid w:val="4D8DA603"/>
    <w:rsid w:val="4D900B0C"/>
    <w:rsid w:val="4D919B2D"/>
    <w:rsid w:val="4D92691B"/>
    <w:rsid w:val="4D943483"/>
    <w:rsid w:val="4D94D04A"/>
    <w:rsid w:val="4D964344"/>
    <w:rsid w:val="4D98F847"/>
    <w:rsid w:val="4D99F1FF"/>
    <w:rsid w:val="4D9D19AA"/>
    <w:rsid w:val="4D9D5170"/>
    <w:rsid w:val="4D9DC119"/>
    <w:rsid w:val="4DA20D7F"/>
    <w:rsid w:val="4DA468C0"/>
    <w:rsid w:val="4DA4CB93"/>
    <w:rsid w:val="4DA69629"/>
    <w:rsid w:val="4DAA2EA4"/>
    <w:rsid w:val="4DAD7D92"/>
    <w:rsid w:val="4DAE2662"/>
    <w:rsid w:val="4DB30F3B"/>
    <w:rsid w:val="4DB33E40"/>
    <w:rsid w:val="4DB3B2AE"/>
    <w:rsid w:val="4DB52829"/>
    <w:rsid w:val="4DB53A42"/>
    <w:rsid w:val="4DB637FD"/>
    <w:rsid w:val="4DBC02CF"/>
    <w:rsid w:val="4DBDA034"/>
    <w:rsid w:val="4DC925F2"/>
    <w:rsid w:val="4DCAB61B"/>
    <w:rsid w:val="4DCB6C74"/>
    <w:rsid w:val="4DCD9C46"/>
    <w:rsid w:val="4DCEFF6D"/>
    <w:rsid w:val="4DD17A4E"/>
    <w:rsid w:val="4DD1CFFF"/>
    <w:rsid w:val="4DD1F5C2"/>
    <w:rsid w:val="4DD20ECD"/>
    <w:rsid w:val="4DD42FBF"/>
    <w:rsid w:val="4DD648D5"/>
    <w:rsid w:val="4DDE0599"/>
    <w:rsid w:val="4DDFA16A"/>
    <w:rsid w:val="4DE349A4"/>
    <w:rsid w:val="4DE6BB54"/>
    <w:rsid w:val="4DE74F3F"/>
    <w:rsid w:val="4DE833AC"/>
    <w:rsid w:val="4DE99ED7"/>
    <w:rsid w:val="4DEB3CBE"/>
    <w:rsid w:val="4DEB5456"/>
    <w:rsid w:val="4DEDCE7E"/>
    <w:rsid w:val="4DEE2695"/>
    <w:rsid w:val="4DF1C8CB"/>
    <w:rsid w:val="4DF4EA1D"/>
    <w:rsid w:val="4DF594BC"/>
    <w:rsid w:val="4DF5F37C"/>
    <w:rsid w:val="4DF63EC1"/>
    <w:rsid w:val="4DF70F08"/>
    <w:rsid w:val="4DFBF1E3"/>
    <w:rsid w:val="4DFC485B"/>
    <w:rsid w:val="4E01B876"/>
    <w:rsid w:val="4E02947E"/>
    <w:rsid w:val="4E06BCD2"/>
    <w:rsid w:val="4E06E07A"/>
    <w:rsid w:val="4E09A96F"/>
    <w:rsid w:val="4E0A601C"/>
    <w:rsid w:val="4E0AA990"/>
    <w:rsid w:val="4E0B5CFA"/>
    <w:rsid w:val="4E103B29"/>
    <w:rsid w:val="4E12124B"/>
    <w:rsid w:val="4E148CF0"/>
    <w:rsid w:val="4E14D091"/>
    <w:rsid w:val="4E16A4E5"/>
    <w:rsid w:val="4E1708BE"/>
    <w:rsid w:val="4E1C7513"/>
    <w:rsid w:val="4E1E8FFC"/>
    <w:rsid w:val="4E292412"/>
    <w:rsid w:val="4E2BF5FD"/>
    <w:rsid w:val="4E32F861"/>
    <w:rsid w:val="4E373E9F"/>
    <w:rsid w:val="4E396FCF"/>
    <w:rsid w:val="4E39B43E"/>
    <w:rsid w:val="4E3A2A62"/>
    <w:rsid w:val="4E3AFD93"/>
    <w:rsid w:val="4E3F5253"/>
    <w:rsid w:val="4E407DCF"/>
    <w:rsid w:val="4E40F483"/>
    <w:rsid w:val="4E431981"/>
    <w:rsid w:val="4E43B850"/>
    <w:rsid w:val="4E43EC49"/>
    <w:rsid w:val="4E4627D1"/>
    <w:rsid w:val="4E4CE3C9"/>
    <w:rsid w:val="4E50A413"/>
    <w:rsid w:val="4E554011"/>
    <w:rsid w:val="4E56D4B4"/>
    <w:rsid w:val="4E5A818F"/>
    <w:rsid w:val="4E5C00F9"/>
    <w:rsid w:val="4E5C51FE"/>
    <w:rsid w:val="4E5D2A65"/>
    <w:rsid w:val="4E670554"/>
    <w:rsid w:val="4E682C01"/>
    <w:rsid w:val="4E6EE6E0"/>
    <w:rsid w:val="4E70F10D"/>
    <w:rsid w:val="4E71B045"/>
    <w:rsid w:val="4E75C947"/>
    <w:rsid w:val="4E76C754"/>
    <w:rsid w:val="4E7EA339"/>
    <w:rsid w:val="4E86FB28"/>
    <w:rsid w:val="4E8923DF"/>
    <w:rsid w:val="4E898247"/>
    <w:rsid w:val="4E8AD7C2"/>
    <w:rsid w:val="4E8B568F"/>
    <w:rsid w:val="4E8B969A"/>
    <w:rsid w:val="4E8D359A"/>
    <w:rsid w:val="4E98901E"/>
    <w:rsid w:val="4E9B74ED"/>
    <w:rsid w:val="4E9D102F"/>
    <w:rsid w:val="4EA07B04"/>
    <w:rsid w:val="4EA65AFF"/>
    <w:rsid w:val="4EA99478"/>
    <w:rsid w:val="4EAABD12"/>
    <w:rsid w:val="4EAF8126"/>
    <w:rsid w:val="4EB095FD"/>
    <w:rsid w:val="4EBBDD73"/>
    <w:rsid w:val="4EBC1B20"/>
    <w:rsid w:val="4EC07583"/>
    <w:rsid w:val="4EC56A59"/>
    <w:rsid w:val="4EC6A43B"/>
    <w:rsid w:val="4ECBA19A"/>
    <w:rsid w:val="4ECCFB8A"/>
    <w:rsid w:val="4ECDF164"/>
    <w:rsid w:val="4ECE63C1"/>
    <w:rsid w:val="4ED055E0"/>
    <w:rsid w:val="4ED24B3E"/>
    <w:rsid w:val="4ED586B5"/>
    <w:rsid w:val="4ED76936"/>
    <w:rsid w:val="4ED88D49"/>
    <w:rsid w:val="4EDB1E5F"/>
    <w:rsid w:val="4EDC6A3E"/>
    <w:rsid w:val="4EDD05DB"/>
    <w:rsid w:val="4EDD2012"/>
    <w:rsid w:val="4EDF9669"/>
    <w:rsid w:val="4EDFD788"/>
    <w:rsid w:val="4EE022A4"/>
    <w:rsid w:val="4EE09295"/>
    <w:rsid w:val="4EE12730"/>
    <w:rsid w:val="4EE359D8"/>
    <w:rsid w:val="4EE6E564"/>
    <w:rsid w:val="4EE89B9C"/>
    <w:rsid w:val="4EEED489"/>
    <w:rsid w:val="4EEF6DA0"/>
    <w:rsid w:val="4EF24C9B"/>
    <w:rsid w:val="4EF68805"/>
    <w:rsid w:val="4EF6B2E2"/>
    <w:rsid w:val="4EFD3612"/>
    <w:rsid w:val="4EFD64EF"/>
    <w:rsid w:val="4EFFC2D5"/>
    <w:rsid w:val="4F0044B0"/>
    <w:rsid w:val="4F02965C"/>
    <w:rsid w:val="4F0347CC"/>
    <w:rsid w:val="4F04A566"/>
    <w:rsid w:val="4F0936BA"/>
    <w:rsid w:val="4F0983F8"/>
    <w:rsid w:val="4F0A6539"/>
    <w:rsid w:val="4F0A7661"/>
    <w:rsid w:val="4F109616"/>
    <w:rsid w:val="4F190ED5"/>
    <w:rsid w:val="4F1A12FD"/>
    <w:rsid w:val="4F1AC2C7"/>
    <w:rsid w:val="4F1F897F"/>
    <w:rsid w:val="4F1FE6A0"/>
    <w:rsid w:val="4F2103BA"/>
    <w:rsid w:val="4F2305BE"/>
    <w:rsid w:val="4F26C8BB"/>
    <w:rsid w:val="4F290618"/>
    <w:rsid w:val="4F2B46B5"/>
    <w:rsid w:val="4F38EEDD"/>
    <w:rsid w:val="4F3D611E"/>
    <w:rsid w:val="4F42543D"/>
    <w:rsid w:val="4F43AF8E"/>
    <w:rsid w:val="4F446667"/>
    <w:rsid w:val="4F467F87"/>
    <w:rsid w:val="4F4DB552"/>
    <w:rsid w:val="4F54A958"/>
    <w:rsid w:val="4F5572AA"/>
    <w:rsid w:val="4F558263"/>
    <w:rsid w:val="4F55A2FB"/>
    <w:rsid w:val="4F5632A7"/>
    <w:rsid w:val="4F590801"/>
    <w:rsid w:val="4F59175D"/>
    <w:rsid w:val="4F5D8E2F"/>
    <w:rsid w:val="4F6CF75D"/>
    <w:rsid w:val="4F6E6752"/>
    <w:rsid w:val="4F6FC658"/>
    <w:rsid w:val="4F71C4D0"/>
    <w:rsid w:val="4F73AEC9"/>
    <w:rsid w:val="4F79CAB2"/>
    <w:rsid w:val="4F7B5044"/>
    <w:rsid w:val="4F7C77B0"/>
    <w:rsid w:val="4F7D5D60"/>
    <w:rsid w:val="4F8160DB"/>
    <w:rsid w:val="4F85E5A2"/>
    <w:rsid w:val="4F867D1A"/>
    <w:rsid w:val="4F8AE28E"/>
    <w:rsid w:val="4F8B13CE"/>
    <w:rsid w:val="4F92F747"/>
    <w:rsid w:val="4F93B173"/>
    <w:rsid w:val="4F93E1E4"/>
    <w:rsid w:val="4F97350E"/>
    <w:rsid w:val="4F99A89A"/>
    <w:rsid w:val="4F99FAFD"/>
    <w:rsid w:val="4F9A04B2"/>
    <w:rsid w:val="4F9A76D6"/>
    <w:rsid w:val="4F9EACC5"/>
    <w:rsid w:val="4F9FC1CF"/>
    <w:rsid w:val="4FA46F4A"/>
    <w:rsid w:val="4FA55337"/>
    <w:rsid w:val="4FA66F00"/>
    <w:rsid w:val="4FAB2607"/>
    <w:rsid w:val="4FAC471C"/>
    <w:rsid w:val="4FAC9A26"/>
    <w:rsid w:val="4FADB21F"/>
    <w:rsid w:val="4FAE7AA0"/>
    <w:rsid w:val="4FB39F99"/>
    <w:rsid w:val="4FB7EB11"/>
    <w:rsid w:val="4FB8076C"/>
    <w:rsid w:val="4FBBEC9B"/>
    <w:rsid w:val="4FBDD426"/>
    <w:rsid w:val="4FC79735"/>
    <w:rsid w:val="4FC7B98B"/>
    <w:rsid w:val="4FC98B04"/>
    <w:rsid w:val="4FC9949D"/>
    <w:rsid w:val="4FCD9116"/>
    <w:rsid w:val="4FCF672E"/>
    <w:rsid w:val="4FD0A26F"/>
    <w:rsid w:val="4FD47005"/>
    <w:rsid w:val="4FDE17EB"/>
    <w:rsid w:val="4FE31B26"/>
    <w:rsid w:val="4FE35A4E"/>
    <w:rsid w:val="4FE8BF56"/>
    <w:rsid w:val="4FEBCFB1"/>
    <w:rsid w:val="4FF00BDA"/>
    <w:rsid w:val="4FF48540"/>
    <w:rsid w:val="4FF4A1E2"/>
    <w:rsid w:val="4FF56E16"/>
    <w:rsid w:val="4FF92626"/>
    <w:rsid w:val="4FFA7347"/>
    <w:rsid w:val="4FFF181E"/>
    <w:rsid w:val="5002FDD7"/>
    <w:rsid w:val="50045CA1"/>
    <w:rsid w:val="50047C42"/>
    <w:rsid w:val="50054740"/>
    <w:rsid w:val="50065194"/>
    <w:rsid w:val="500A49B2"/>
    <w:rsid w:val="500AD85C"/>
    <w:rsid w:val="500B9A8F"/>
    <w:rsid w:val="500D1FD2"/>
    <w:rsid w:val="500EA0E7"/>
    <w:rsid w:val="50131902"/>
    <w:rsid w:val="5014229D"/>
    <w:rsid w:val="5016A91E"/>
    <w:rsid w:val="5019B5FC"/>
    <w:rsid w:val="501D8787"/>
    <w:rsid w:val="501E881F"/>
    <w:rsid w:val="501F71EA"/>
    <w:rsid w:val="5020D2F8"/>
    <w:rsid w:val="5023ACCD"/>
    <w:rsid w:val="50263CDD"/>
    <w:rsid w:val="502854D9"/>
    <w:rsid w:val="502994EA"/>
    <w:rsid w:val="502B6240"/>
    <w:rsid w:val="502D13CF"/>
    <w:rsid w:val="502DC507"/>
    <w:rsid w:val="502DF942"/>
    <w:rsid w:val="502EB4A7"/>
    <w:rsid w:val="502EB85F"/>
    <w:rsid w:val="5030B2A5"/>
    <w:rsid w:val="50353EBF"/>
    <w:rsid w:val="50389293"/>
    <w:rsid w:val="503A83CD"/>
    <w:rsid w:val="503C8572"/>
    <w:rsid w:val="503E9A11"/>
    <w:rsid w:val="503F0B23"/>
    <w:rsid w:val="5041FE4F"/>
    <w:rsid w:val="5043B41E"/>
    <w:rsid w:val="5043E738"/>
    <w:rsid w:val="5046BCDC"/>
    <w:rsid w:val="5047AD3F"/>
    <w:rsid w:val="504A001C"/>
    <w:rsid w:val="504C72A1"/>
    <w:rsid w:val="504CD4F8"/>
    <w:rsid w:val="504F9463"/>
    <w:rsid w:val="5054F01B"/>
    <w:rsid w:val="5056A491"/>
    <w:rsid w:val="50580FF1"/>
    <w:rsid w:val="505F7188"/>
    <w:rsid w:val="505FE416"/>
    <w:rsid w:val="50633739"/>
    <w:rsid w:val="5066AF9B"/>
    <w:rsid w:val="5066E1C4"/>
    <w:rsid w:val="5069A08B"/>
    <w:rsid w:val="506A6920"/>
    <w:rsid w:val="5070BC0F"/>
    <w:rsid w:val="5071A20B"/>
    <w:rsid w:val="5072405A"/>
    <w:rsid w:val="50730C0C"/>
    <w:rsid w:val="507349CD"/>
    <w:rsid w:val="5073D3F1"/>
    <w:rsid w:val="5075E581"/>
    <w:rsid w:val="5076B263"/>
    <w:rsid w:val="507EDC0F"/>
    <w:rsid w:val="507F6F67"/>
    <w:rsid w:val="5081A923"/>
    <w:rsid w:val="5082494E"/>
    <w:rsid w:val="5084C2AC"/>
    <w:rsid w:val="50911CE1"/>
    <w:rsid w:val="5091548C"/>
    <w:rsid w:val="5092E112"/>
    <w:rsid w:val="50947827"/>
    <w:rsid w:val="509537C6"/>
    <w:rsid w:val="509B9C1C"/>
    <w:rsid w:val="509E2313"/>
    <w:rsid w:val="50A11C6E"/>
    <w:rsid w:val="50A56529"/>
    <w:rsid w:val="50A59775"/>
    <w:rsid w:val="50A92C3C"/>
    <w:rsid w:val="50AE97EE"/>
    <w:rsid w:val="50AFF109"/>
    <w:rsid w:val="50B03A5F"/>
    <w:rsid w:val="50B1402B"/>
    <w:rsid w:val="50B14EA0"/>
    <w:rsid w:val="50B1C037"/>
    <w:rsid w:val="50B1DEFD"/>
    <w:rsid w:val="50B32585"/>
    <w:rsid w:val="50B5AC0D"/>
    <w:rsid w:val="50B76A61"/>
    <w:rsid w:val="50B798A5"/>
    <w:rsid w:val="50B7C974"/>
    <w:rsid w:val="50B949BD"/>
    <w:rsid w:val="50BE956E"/>
    <w:rsid w:val="50BF2B3B"/>
    <w:rsid w:val="50C51087"/>
    <w:rsid w:val="50C5DED3"/>
    <w:rsid w:val="50C98791"/>
    <w:rsid w:val="50CB834F"/>
    <w:rsid w:val="50CBAE16"/>
    <w:rsid w:val="50CC7E09"/>
    <w:rsid w:val="50CF852F"/>
    <w:rsid w:val="50D0AACE"/>
    <w:rsid w:val="50D14C9A"/>
    <w:rsid w:val="50D5CE0E"/>
    <w:rsid w:val="50D76801"/>
    <w:rsid w:val="50D8D97B"/>
    <w:rsid w:val="50DCFF75"/>
    <w:rsid w:val="50E05ABA"/>
    <w:rsid w:val="50E1D8D7"/>
    <w:rsid w:val="50ECA5D3"/>
    <w:rsid w:val="50EDDF92"/>
    <w:rsid w:val="50EFDD1E"/>
    <w:rsid w:val="50F06D00"/>
    <w:rsid w:val="50F0A39D"/>
    <w:rsid w:val="50F2D936"/>
    <w:rsid w:val="50F675E7"/>
    <w:rsid w:val="50F9916D"/>
    <w:rsid w:val="50FADF71"/>
    <w:rsid w:val="50FB2C81"/>
    <w:rsid w:val="50FFB5A7"/>
    <w:rsid w:val="51026AE9"/>
    <w:rsid w:val="5105225A"/>
    <w:rsid w:val="510591BC"/>
    <w:rsid w:val="51071424"/>
    <w:rsid w:val="510A5C90"/>
    <w:rsid w:val="510BB707"/>
    <w:rsid w:val="510DD104"/>
    <w:rsid w:val="510F01CC"/>
    <w:rsid w:val="510FCB37"/>
    <w:rsid w:val="51119136"/>
    <w:rsid w:val="5112833E"/>
    <w:rsid w:val="5112B218"/>
    <w:rsid w:val="51184749"/>
    <w:rsid w:val="51189FB3"/>
    <w:rsid w:val="511A429E"/>
    <w:rsid w:val="511B7206"/>
    <w:rsid w:val="511B9A3D"/>
    <w:rsid w:val="51207677"/>
    <w:rsid w:val="5126F3D2"/>
    <w:rsid w:val="5127BD75"/>
    <w:rsid w:val="512AF3E1"/>
    <w:rsid w:val="512C4E62"/>
    <w:rsid w:val="512ECD34"/>
    <w:rsid w:val="512F5F0F"/>
    <w:rsid w:val="51306AC1"/>
    <w:rsid w:val="513081B1"/>
    <w:rsid w:val="5135DD1C"/>
    <w:rsid w:val="514108EB"/>
    <w:rsid w:val="51414A31"/>
    <w:rsid w:val="51414C02"/>
    <w:rsid w:val="51444283"/>
    <w:rsid w:val="5147E12D"/>
    <w:rsid w:val="5147EB48"/>
    <w:rsid w:val="5148700C"/>
    <w:rsid w:val="514B4C9B"/>
    <w:rsid w:val="514FE7BB"/>
    <w:rsid w:val="51541B13"/>
    <w:rsid w:val="515A728E"/>
    <w:rsid w:val="515B79C7"/>
    <w:rsid w:val="515E7A01"/>
    <w:rsid w:val="515F95D6"/>
    <w:rsid w:val="51605BA4"/>
    <w:rsid w:val="5162B705"/>
    <w:rsid w:val="516698B1"/>
    <w:rsid w:val="5167A119"/>
    <w:rsid w:val="516C1B93"/>
    <w:rsid w:val="516C8681"/>
    <w:rsid w:val="516CFDDA"/>
    <w:rsid w:val="516D61FF"/>
    <w:rsid w:val="516E41BB"/>
    <w:rsid w:val="51787FC1"/>
    <w:rsid w:val="51799D9B"/>
    <w:rsid w:val="517DA2E6"/>
    <w:rsid w:val="517DCDA4"/>
    <w:rsid w:val="5180F588"/>
    <w:rsid w:val="51835EB5"/>
    <w:rsid w:val="51840271"/>
    <w:rsid w:val="518478CC"/>
    <w:rsid w:val="5186D8FC"/>
    <w:rsid w:val="518B23D4"/>
    <w:rsid w:val="518BDC3B"/>
    <w:rsid w:val="518D1D90"/>
    <w:rsid w:val="519147FC"/>
    <w:rsid w:val="5192E9CB"/>
    <w:rsid w:val="5193D873"/>
    <w:rsid w:val="5198AD55"/>
    <w:rsid w:val="51995B8C"/>
    <w:rsid w:val="519A4C3D"/>
    <w:rsid w:val="519A8A7F"/>
    <w:rsid w:val="519D5421"/>
    <w:rsid w:val="519EC581"/>
    <w:rsid w:val="519FFD01"/>
    <w:rsid w:val="51A0CA2D"/>
    <w:rsid w:val="51A1135F"/>
    <w:rsid w:val="51A37660"/>
    <w:rsid w:val="51A43BA6"/>
    <w:rsid w:val="51ABD553"/>
    <w:rsid w:val="51AC1FDF"/>
    <w:rsid w:val="51AC3314"/>
    <w:rsid w:val="51AC5788"/>
    <w:rsid w:val="51AE3959"/>
    <w:rsid w:val="51B1EB93"/>
    <w:rsid w:val="51B29CA5"/>
    <w:rsid w:val="51B2D532"/>
    <w:rsid w:val="51B522F3"/>
    <w:rsid w:val="51B65ED5"/>
    <w:rsid w:val="51B6B737"/>
    <w:rsid w:val="51B7C5C0"/>
    <w:rsid w:val="51B81230"/>
    <w:rsid w:val="51B892F6"/>
    <w:rsid w:val="51BBFBAD"/>
    <w:rsid w:val="51BD8522"/>
    <w:rsid w:val="51C30E1B"/>
    <w:rsid w:val="51C3FBD9"/>
    <w:rsid w:val="51C5C3A2"/>
    <w:rsid w:val="51C97BB1"/>
    <w:rsid w:val="51CA5AE9"/>
    <w:rsid w:val="51CEAB01"/>
    <w:rsid w:val="51D268C7"/>
    <w:rsid w:val="51D4E940"/>
    <w:rsid w:val="51D536F4"/>
    <w:rsid w:val="51D6FD37"/>
    <w:rsid w:val="51D7E725"/>
    <w:rsid w:val="51D952B0"/>
    <w:rsid w:val="51D96718"/>
    <w:rsid w:val="51DDFEFF"/>
    <w:rsid w:val="51DE9AA0"/>
    <w:rsid w:val="51DEF581"/>
    <w:rsid w:val="51DF0F0C"/>
    <w:rsid w:val="51DF2AA2"/>
    <w:rsid w:val="51E07963"/>
    <w:rsid w:val="51E1B76D"/>
    <w:rsid w:val="51E4C06D"/>
    <w:rsid w:val="51E96305"/>
    <w:rsid w:val="51EC6DDE"/>
    <w:rsid w:val="51EC7315"/>
    <w:rsid w:val="51EFAF7B"/>
    <w:rsid w:val="51F01AB9"/>
    <w:rsid w:val="51F3070E"/>
    <w:rsid w:val="51F581CE"/>
    <w:rsid w:val="51F5A83C"/>
    <w:rsid w:val="51F6B7CE"/>
    <w:rsid w:val="51F99220"/>
    <w:rsid w:val="51FC47E4"/>
    <w:rsid w:val="51FCBA09"/>
    <w:rsid w:val="51FEFBDD"/>
    <w:rsid w:val="52010E65"/>
    <w:rsid w:val="52025F1D"/>
    <w:rsid w:val="520427A6"/>
    <w:rsid w:val="5205EF33"/>
    <w:rsid w:val="5205F999"/>
    <w:rsid w:val="52071A17"/>
    <w:rsid w:val="520C8DA9"/>
    <w:rsid w:val="5210D3AC"/>
    <w:rsid w:val="52124DA3"/>
    <w:rsid w:val="52142C86"/>
    <w:rsid w:val="5214F009"/>
    <w:rsid w:val="521518BE"/>
    <w:rsid w:val="521735D5"/>
    <w:rsid w:val="52191610"/>
    <w:rsid w:val="521B7D59"/>
    <w:rsid w:val="521F7BF2"/>
    <w:rsid w:val="5220DB22"/>
    <w:rsid w:val="5221DF78"/>
    <w:rsid w:val="522268F1"/>
    <w:rsid w:val="52232D3D"/>
    <w:rsid w:val="5225020D"/>
    <w:rsid w:val="52266960"/>
    <w:rsid w:val="52284D59"/>
    <w:rsid w:val="5228CA70"/>
    <w:rsid w:val="5228EA6C"/>
    <w:rsid w:val="522A22E8"/>
    <w:rsid w:val="522B3437"/>
    <w:rsid w:val="522B6C23"/>
    <w:rsid w:val="522B7691"/>
    <w:rsid w:val="523624E0"/>
    <w:rsid w:val="5237297E"/>
    <w:rsid w:val="52392299"/>
    <w:rsid w:val="524E551B"/>
    <w:rsid w:val="524F5207"/>
    <w:rsid w:val="524F8AB4"/>
    <w:rsid w:val="52521D54"/>
    <w:rsid w:val="52556C7E"/>
    <w:rsid w:val="5256B128"/>
    <w:rsid w:val="5258D900"/>
    <w:rsid w:val="525A8669"/>
    <w:rsid w:val="525AA7DC"/>
    <w:rsid w:val="525C5210"/>
    <w:rsid w:val="5261F38A"/>
    <w:rsid w:val="52697021"/>
    <w:rsid w:val="526D3EA9"/>
    <w:rsid w:val="526D8F38"/>
    <w:rsid w:val="52715A21"/>
    <w:rsid w:val="5272BB2F"/>
    <w:rsid w:val="52733797"/>
    <w:rsid w:val="527AF5D7"/>
    <w:rsid w:val="527B3F07"/>
    <w:rsid w:val="527CC8B7"/>
    <w:rsid w:val="527FC767"/>
    <w:rsid w:val="5280604D"/>
    <w:rsid w:val="528A4AF8"/>
    <w:rsid w:val="528A6839"/>
    <w:rsid w:val="528CA85C"/>
    <w:rsid w:val="528EBCDC"/>
    <w:rsid w:val="528EC827"/>
    <w:rsid w:val="528FAAF2"/>
    <w:rsid w:val="52912806"/>
    <w:rsid w:val="52928BCC"/>
    <w:rsid w:val="5292A333"/>
    <w:rsid w:val="52985794"/>
    <w:rsid w:val="529B6E38"/>
    <w:rsid w:val="529BBE89"/>
    <w:rsid w:val="529C2E0D"/>
    <w:rsid w:val="529CBD23"/>
    <w:rsid w:val="529D7F8C"/>
    <w:rsid w:val="529F7CD8"/>
    <w:rsid w:val="52A2EC8D"/>
    <w:rsid w:val="52A56B45"/>
    <w:rsid w:val="52A5A3FF"/>
    <w:rsid w:val="52AA9C8B"/>
    <w:rsid w:val="52AD13F2"/>
    <w:rsid w:val="52AE1C61"/>
    <w:rsid w:val="52B3C3E5"/>
    <w:rsid w:val="52B4E4E1"/>
    <w:rsid w:val="52B684A3"/>
    <w:rsid w:val="52B8ADF2"/>
    <w:rsid w:val="52BDDC30"/>
    <w:rsid w:val="52C0BDD3"/>
    <w:rsid w:val="52C47B38"/>
    <w:rsid w:val="52C49914"/>
    <w:rsid w:val="52C82757"/>
    <w:rsid w:val="52C99278"/>
    <w:rsid w:val="52CB5F34"/>
    <w:rsid w:val="52D05D90"/>
    <w:rsid w:val="52D584CD"/>
    <w:rsid w:val="52D5D6BA"/>
    <w:rsid w:val="52D648E7"/>
    <w:rsid w:val="52D6DAA5"/>
    <w:rsid w:val="52DAEC49"/>
    <w:rsid w:val="52DF452F"/>
    <w:rsid w:val="52E0931F"/>
    <w:rsid w:val="52E1F216"/>
    <w:rsid w:val="52E2688E"/>
    <w:rsid w:val="52E6DB9B"/>
    <w:rsid w:val="52EA7F56"/>
    <w:rsid w:val="52EB6541"/>
    <w:rsid w:val="52EE6689"/>
    <w:rsid w:val="52F056F8"/>
    <w:rsid w:val="52F2337B"/>
    <w:rsid w:val="52F2CDED"/>
    <w:rsid w:val="52FCCFD4"/>
    <w:rsid w:val="52FFC131"/>
    <w:rsid w:val="53006F80"/>
    <w:rsid w:val="53011AE0"/>
    <w:rsid w:val="53039C0F"/>
    <w:rsid w:val="5306DB6C"/>
    <w:rsid w:val="530948FB"/>
    <w:rsid w:val="530CDA0B"/>
    <w:rsid w:val="530E4A41"/>
    <w:rsid w:val="530E67D5"/>
    <w:rsid w:val="5311F94A"/>
    <w:rsid w:val="5314CF94"/>
    <w:rsid w:val="5317268E"/>
    <w:rsid w:val="53180954"/>
    <w:rsid w:val="5319C6E3"/>
    <w:rsid w:val="531AEFBB"/>
    <w:rsid w:val="531C2A41"/>
    <w:rsid w:val="531CCC10"/>
    <w:rsid w:val="5325057E"/>
    <w:rsid w:val="5325A45A"/>
    <w:rsid w:val="5326B23E"/>
    <w:rsid w:val="5327AC9C"/>
    <w:rsid w:val="532B8CBF"/>
    <w:rsid w:val="532C46D5"/>
    <w:rsid w:val="532DF3CF"/>
    <w:rsid w:val="532E81AC"/>
    <w:rsid w:val="533308E7"/>
    <w:rsid w:val="53339861"/>
    <w:rsid w:val="53364A33"/>
    <w:rsid w:val="53374944"/>
    <w:rsid w:val="533A2C35"/>
    <w:rsid w:val="533F5F9B"/>
    <w:rsid w:val="5340A103"/>
    <w:rsid w:val="53426C88"/>
    <w:rsid w:val="5342DDD3"/>
    <w:rsid w:val="53437AC3"/>
    <w:rsid w:val="53467AB3"/>
    <w:rsid w:val="5346AE4E"/>
    <w:rsid w:val="534B02CE"/>
    <w:rsid w:val="534B6885"/>
    <w:rsid w:val="534D213E"/>
    <w:rsid w:val="534DF1DB"/>
    <w:rsid w:val="534EF79E"/>
    <w:rsid w:val="535072A5"/>
    <w:rsid w:val="5353F190"/>
    <w:rsid w:val="5355329F"/>
    <w:rsid w:val="53583BED"/>
    <w:rsid w:val="535CB2D7"/>
    <w:rsid w:val="535DF01C"/>
    <w:rsid w:val="535F3004"/>
    <w:rsid w:val="535F5139"/>
    <w:rsid w:val="535FA2CE"/>
    <w:rsid w:val="536310A8"/>
    <w:rsid w:val="5365AC09"/>
    <w:rsid w:val="5365E824"/>
    <w:rsid w:val="5366F57A"/>
    <w:rsid w:val="5369341E"/>
    <w:rsid w:val="53698CF0"/>
    <w:rsid w:val="536A6F1D"/>
    <w:rsid w:val="536B8DCD"/>
    <w:rsid w:val="536FC10E"/>
    <w:rsid w:val="53705CDE"/>
    <w:rsid w:val="5372FBF6"/>
    <w:rsid w:val="53730E6C"/>
    <w:rsid w:val="537826FA"/>
    <w:rsid w:val="5378C42D"/>
    <w:rsid w:val="537B2750"/>
    <w:rsid w:val="537D3C66"/>
    <w:rsid w:val="53812C49"/>
    <w:rsid w:val="53814510"/>
    <w:rsid w:val="53845DF0"/>
    <w:rsid w:val="5386F76D"/>
    <w:rsid w:val="5389E4DB"/>
    <w:rsid w:val="538B86ED"/>
    <w:rsid w:val="538C3860"/>
    <w:rsid w:val="538C9E8B"/>
    <w:rsid w:val="5394DCF0"/>
    <w:rsid w:val="53968091"/>
    <w:rsid w:val="5397DAAA"/>
    <w:rsid w:val="539B9E3E"/>
    <w:rsid w:val="539E0CA5"/>
    <w:rsid w:val="539E6592"/>
    <w:rsid w:val="53A8AB55"/>
    <w:rsid w:val="53AFADD7"/>
    <w:rsid w:val="53AFC97C"/>
    <w:rsid w:val="53B27A8F"/>
    <w:rsid w:val="53B4B756"/>
    <w:rsid w:val="53B68406"/>
    <w:rsid w:val="53B832A4"/>
    <w:rsid w:val="53BC2148"/>
    <w:rsid w:val="53BC268C"/>
    <w:rsid w:val="53C1C181"/>
    <w:rsid w:val="53C4C4AE"/>
    <w:rsid w:val="53C4C90E"/>
    <w:rsid w:val="53C514F4"/>
    <w:rsid w:val="53C738C8"/>
    <w:rsid w:val="53CC0682"/>
    <w:rsid w:val="53CC23C2"/>
    <w:rsid w:val="53CD8EFE"/>
    <w:rsid w:val="53CDF186"/>
    <w:rsid w:val="53CEBA26"/>
    <w:rsid w:val="53D0000B"/>
    <w:rsid w:val="53D10076"/>
    <w:rsid w:val="53D15CA9"/>
    <w:rsid w:val="53D295AE"/>
    <w:rsid w:val="53D6D5B9"/>
    <w:rsid w:val="53D9D91C"/>
    <w:rsid w:val="53D9F7D4"/>
    <w:rsid w:val="53DD4B20"/>
    <w:rsid w:val="53E1CFF5"/>
    <w:rsid w:val="53F3D05B"/>
    <w:rsid w:val="53F73272"/>
    <w:rsid w:val="53FC114E"/>
    <w:rsid w:val="53FC87A3"/>
    <w:rsid w:val="53FC8BC0"/>
    <w:rsid w:val="53FC9106"/>
    <w:rsid w:val="53FDCFF2"/>
    <w:rsid w:val="53FF45C6"/>
    <w:rsid w:val="5402BCC4"/>
    <w:rsid w:val="5402C478"/>
    <w:rsid w:val="5403CBDA"/>
    <w:rsid w:val="5405A5FB"/>
    <w:rsid w:val="540622D6"/>
    <w:rsid w:val="540798BC"/>
    <w:rsid w:val="540814C2"/>
    <w:rsid w:val="540B73B7"/>
    <w:rsid w:val="540BB23B"/>
    <w:rsid w:val="54131BEA"/>
    <w:rsid w:val="54190CD8"/>
    <w:rsid w:val="54196881"/>
    <w:rsid w:val="541B70C2"/>
    <w:rsid w:val="54224FDF"/>
    <w:rsid w:val="54228B9E"/>
    <w:rsid w:val="5426C322"/>
    <w:rsid w:val="5427197B"/>
    <w:rsid w:val="5427DA18"/>
    <w:rsid w:val="542DA55F"/>
    <w:rsid w:val="542E880F"/>
    <w:rsid w:val="5432B032"/>
    <w:rsid w:val="5438E9C0"/>
    <w:rsid w:val="543B5415"/>
    <w:rsid w:val="54402329"/>
    <w:rsid w:val="54486ECF"/>
    <w:rsid w:val="5449CFF3"/>
    <w:rsid w:val="544B6135"/>
    <w:rsid w:val="544BFC98"/>
    <w:rsid w:val="544C09E1"/>
    <w:rsid w:val="544F6DB5"/>
    <w:rsid w:val="5453834A"/>
    <w:rsid w:val="5458797F"/>
    <w:rsid w:val="5459B566"/>
    <w:rsid w:val="545BA6A3"/>
    <w:rsid w:val="545E7E77"/>
    <w:rsid w:val="5460267F"/>
    <w:rsid w:val="54638429"/>
    <w:rsid w:val="5464DC0F"/>
    <w:rsid w:val="5466C9E2"/>
    <w:rsid w:val="546778E8"/>
    <w:rsid w:val="546AE46B"/>
    <w:rsid w:val="546B035A"/>
    <w:rsid w:val="546CD1E8"/>
    <w:rsid w:val="546D00D6"/>
    <w:rsid w:val="546D8D85"/>
    <w:rsid w:val="546F6CF7"/>
    <w:rsid w:val="546F8EB0"/>
    <w:rsid w:val="547633D5"/>
    <w:rsid w:val="547AD707"/>
    <w:rsid w:val="547AD85E"/>
    <w:rsid w:val="547F81E2"/>
    <w:rsid w:val="54812A88"/>
    <w:rsid w:val="5482ABFC"/>
    <w:rsid w:val="5485BECA"/>
    <w:rsid w:val="54867394"/>
    <w:rsid w:val="5487D006"/>
    <w:rsid w:val="5487E1C2"/>
    <w:rsid w:val="548925A7"/>
    <w:rsid w:val="548C132A"/>
    <w:rsid w:val="548D8511"/>
    <w:rsid w:val="548DF0E0"/>
    <w:rsid w:val="548F4958"/>
    <w:rsid w:val="5490D3FF"/>
    <w:rsid w:val="5492CF76"/>
    <w:rsid w:val="5494126E"/>
    <w:rsid w:val="5494712D"/>
    <w:rsid w:val="54950CFA"/>
    <w:rsid w:val="54952CF1"/>
    <w:rsid w:val="5496DC90"/>
    <w:rsid w:val="54992E99"/>
    <w:rsid w:val="54998406"/>
    <w:rsid w:val="5499B3FD"/>
    <w:rsid w:val="549C2D0D"/>
    <w:rsid w:val="549E531D"/>
    <w:rsid w:val="549F9590"/>
    <w:rsid w:val="54A10F6F"/>
    <w:rsid w:val="54A7C9E5"/>
    <w:rsid w:val="54AC4502"/>
    <w:rsid w:val="54AC6991"/>
    <w:rsid w:val="54AEFE33"/>
    <w:rsid w:val="54AFFEA3"/>
    <w:rsid w:val="54B02B3E"/>
    <w:rsid w:val="54B25661"/>
    <w:rsid w:val="54B305F4"/>
    <w:rsid w:val="54B3DE9E"/>
    <w:rsid w:val="54B66F42"/>
    <w:rsid w:val="54B906F5"/>
    <w:rsid w:val="54B95975"/>
    <w:rsid w:val="54BB2555"/>
    <w:rsid w:val="54BF652C"/>
    <w:rsid w:val="54BF7BF0"/>
    <w:rsid w:val="54C01B07"/>
    <w:rsid w:val="54C03F8E"/>
    <w:rsid w:val="54CD2D70"/>
    <w:rsid w:val="54CF5F12"/>
    <w:rsid w:val="54CFF430"/>
    <w:rsid w:val="54D02797"/>
    <w:rsid w:val="54D3258F"/>
    <w:rsid w:val="54D3A383"/>
    <w:rsid w:val="54D48678"/>
    <w:rsid w:val="54D4A2A2"/>
    <w:rsid w:val="54D5E2F5"/>
    <w:rsid w:val="54D694FC"/>
    <w:rsid w:val="54D742A4"/>
    <w:rsid w:val="54D74B10"/>
    <w:rsid w:val="54DD5EC3"/>
    <w:rsid w:val="54DF9297"/>
    <w:rsid w:val="54E17134"/>
    <w:rsid w:val="54E26750"/>
    <w:rsid w:val="54E2B0EB"/>
    <w:rsid w:val="54E4A9D1"/>
    <w:rsid w:val="54E50943"/>
    <w:rsid w:val="54E61D85"/>
    <w:rsid w:val="54E79C2B"/>
    <w:rsid w:val="54EAAE6B"/>
    <w:rsid w:val="54EBCA90"/>
    <w:rsid w:val="54EC6C95"/>
    <w:rsid w:val="54F260AD"/>
    <w:rsid w:val="54F2796F"/>
    <w:rsid w:val="54F51CDD"/>
    <w:rsid w:val="54F5BC97"/>
    <w:rsid w:val="54F8C2CF"/>
    <w:rsid w:val="54F8E996"/>
    <w:rsid w:val="54FAF25E"/>
    <w:rsid w:val="54FAF4C9"/>
    <w:rsid w:val="54FD583C"/>
    <w:rsid w:val="55020529"/>
    <w:rsid w:val="5507E994"/>
    <w:rsid w:val="550A3CA5"/>
    <w:rsid w:val="550BDE7D"/>
    <w:rsid w:val="550C4159"/>
    <w:rsid w:val="550D20C2"/>
    <w:rsid w:val="550F4126"/>
    <w:rsid w:val="550F74D2"/>
    <w:rsid w:val="5510D4B2"/>
    <w:rsid w:val="5511669E"/>
    <w:rsid w:val="5511FFA3"/>
    <w:rsid w:val="55129E70"/>
    <w:rsid w:val="5514C454"/>
    <w:rsid w:val="5514CB9D"/>
    <w:rsid w:val="5518B32D"/>
    <w:rsid w:val="551EE3B4"/>
    <w:rsid w:val="55207B46"/>
    <w:rsid w:val="552CCB9E"/>
    <w:rsid w:val="552CCF05"/>
    <w:rsid w:val="552E1F0C"/>
    <w:rsid w:val="5530D6BE"/>
    <w:rsid w:val="5539C8C7"/>
    <w:rsid w:val="553C360B"/>
    <w:rsid w:val="55422EEB"/>
    <w:rsid w:val="55424880"/>
    <w:rsid w:val="5542FBF1"/>
    <w:rsid w:val="55430A72"/>
    <w:rsid w:val="554504AC"/>
    <w:rsid w:val="5546D63F"/>
    <w:rsid w:val="5548176E"/>
    <w:rsid w:val="5548F4D5"/>
    <w:rsid w:val="55498AF1"/>
    <w:rsid w:val="554FD419"/>
    <w:rsid w:val="5551605B"/>
    <w:rsid w:val="5556557A"/>
    <w:rsid w:val="555F6020"/>
    <w:rsid w:val="555F78A9"/>
    <w:rsid w:val="555F9FE7"/>
    <w:rsid w:val="5566E84C"/>
    <w:rsid w:val="55693902"/>
    <w:rsid w:val="556C2FFD"/>
    <w:rsid w:val="55730F48"/>
    <w:rsid w:val="55759B7F"/>
    <w:rsid w:val="55788BE8"/>
    <w:rsid w:val="557A76FA"/>
    <w:rsid w:val="557AB0A9"/>
    <w:rsid w:val="557FB009"/>
    <w:rsid w:val="55806C84"/>
    <w:rsid w:val="5580AEBD"/>
    <w:rsid w:val="55854A40"/>
    <w:rsid w:val="558A18BD"/>
    <w:rsid w:val="558C9E4D"/>
    <w:rsid w:val="558DF744"/>
    <w:rsid w:val="558F6C4C"/>
    <w:rsid w:val="55903717"/>
    <w:rsid w:val="55906085"/>
    <w:rsid w:val="5592FD56"/>
    <w:rsid w:val="559335DF"/>
    <w:rsid w:val="559414AE"/>
    <w:rsid w:val="559C0A3D"/>
    <w:rsid w:val="559C4299"/>
    <w:rsid w:val="559DC0EF"/>
    <w:rsid w:val="55A0C240"/>
    <w:rsid w:val="55A6A4C6"/>
    <w:rsid w:val="55A99073"/>
    <w:rsid w:val="55AA2E30"/>
    <w:rsid w:val="55AA879E"/>
    <w:rsid w:val="55AC7016"/>
    <w:rsid w:val="55AC87EC"/>
    <w:rsid w:val="55B015A0"/>
    <w:rsid w:val="55B0BBA2"/>
    <w:rsid w:val="55B17115"/>
    <w:rsid w:val="55B20686"/>
    <w:rsid w:val="55B28FA3"/>
    <w:rsid w:val="55B5EC3C"/>
    <w:rsid w:val="55BEC842"/>
    <w:rsid w:val="55C1962D"/>
    <w:rsid w:val="55C2C7E5"/>
    <w:rsid w:val="55C319DD"/>
    <w:rsid w:val="55C31E37"/>
    <w:rsid w:val="55C3DABB"/>
    <w:rsid w:val="55C4F041"/>
    <w:rsid w:val="55C61F1A"/>
    <w:rsid w:val="55C64F8C"/>
    <w:rsid w:val="55C6DA66"/>
    <w:rsid w:val="55C9907A"/>
    <w:rsid w:val="55CF5227"/>
    <w:rsid w:val="55D1C7E8"/>
    <w:rsid w:val="55D45FE3"/>
    <w:rsid w:val="55D474A6"/>
    <w:rsid w:val="55D4DCA1"/>
    <w:rsid w:val="55D69890"/>
    <w:rsid w:val="55D7406D"/>
    <w:rsid w:val="55D85799"/>
    <w:rsid w:val="55DC8CEF"/>
    <w:rsid w:val="55DCAB65"/>
    <w:rsid w:val="55DF4771"/>
    <w:rsid w:val="55E320A2"/>
    <w:rsid w:val="55E67E33"/>
    <w:rsid w:val="55E97B1B"/>
    <w:rsid w:val="55EABFD2"/>
    <w:rsid w:val="55EB66AD"/>
    <w:rsid w:val="55EDAE26"/>
    <w:rsid w:val="55EEE686"/>
    <w:rsid w:val="55F15EC0"/>
    <w:rsid w:val="55F498ED"/>
    <w:rsid w:val="55F6B2A5"/>
    <w:rsid w:val="55F84B1B"/>
    <w:rsid w:val="55FA79AF"/>
    <w:rsid w:val="55FCEEC0"/>
    <w:rsid w:val="5601693F"/>
    <w:rsid w:val="5602A77F"/>
    <w:rsid w:val="560654F3"/>
    <w:rsid w:val="560B2EF3"/>
    <w:rsid w:val="560BDE4C"/>
    <w:rsid w:val="560E2585"/>
    <w:rsid w:val="560E9F37"/>
    <w:rsid w:val="56129061"/>
    <w:rsid w:val="561335F4"/>
    <w:rsid w:val="56186BAF"/>
    <w:rsid w:val="5618982E"/>
    <w:rsid w:val="5618E97C"/>
    <w:rsid w:val="561B7190"/>
    <w:rsid w:val="561B8C59"/>
    <w:rsid w:val="561D6AE5"/>
    <w:rsid w:val="56256719"/>
    <w:rsid w:val="562701A8"/>
    <w:rsid w:val="562AC123"/>
    <w:rsid w:val="562D3DEE"/>
    <w:rsid w:val="56301DD1"/>
    <w:rsid w:val="563A2032"/>
    <w:rsid w:val="563E2DDE"/>
    <w:rsid w:val="563F6308"/>
    <w:rsid w:val="56420EDD"/>
    <w:rsid w:val="56450CFE"/>
    <w:rsid w:val="56452CFC"/>
    <w:rsid w:val="5646136D"/>
    <w:rsid w:val="5647AE43"/>
    <w:rsid w:val="56482405"/>
    <w:rsid w:val="5649033B"/>
    <w:rsid w:val="564B5D54"/>
    <w:rsid w:val="564BE296"/>
    <w:rsid w:val="564D7F07"/>
    <w:rsid w:val="564DEB32"/>
    <w:rsid w:val="564E32B2"/>
    <w:rsid w:val="5650E035"/>
    <w:rsid w:val="5650FF93"/>
    <w:rsid w:val="56547C27"/>
    <w:rsid w:val="5654DFCE"/>
    <w:rsid w:val="5655D97D"/>
    <w:rsid w:val="5655E7F5"/>
    <w:rsid w:val="5656F1D1"/>
    <w:rsid w:val="565A6C40"/>
    <w:rsid w:val="565BFD9E"/>
    <w:rsid w:val="565C9855"/>
    <w:rsid w:val="565D2E43"/>
    <w:rsid w:val="565E97B1"/>
    <w:rsid w:val="56609032"/>
    <w:rsid w:val="5662A1DD"/>
    <w:rsid w:val="566352F5"/>
    <w:rsid w:val="5666DC06"/>
    <w:rsid w:val="566DD722"/>
    <w:rsid w:val="566E1B2E"/>
    <w:rsid w:val="56714F92"/>
    <w:rsid w:val="567441C2"/>
    <w:rsid w:val="567463CA"/>
    <w:rsid w:val="56770135"/>
    <w:rsid w:val="567B658C"/>
    <w:rsid w:val="567F2DD6"/>
    <w:rsid w:val="568248F0"/>
    <w:rsid w:val="5684150B"/>
    <w:rsid w:val="56846126"/>
    <w:rsid w:val="5685BEEE"/>
    <w:rsid w:val="5686F1C7"/>
    <w:rsid w:val="56888A39"/>
    <w:rsid w:val="568B49FB"/>
    <w:rsid w:val="56959A6D"/>
    <w:rsid w:val="56965D29"/>
    <w:rsid w:val="5698F6DA"/>
    <w:rsid w:val="569A2F36"/>
    <w:rsid w:val="569A6868"/>
    <w:rsid w:val="569B5D4A"/>
    <w:rsid w:val="569BDAFF"/>
    <w:rsid w:val="569DACDB"/>
    <w:rsid w:val="56A0E633"/>
    <w:rsid w:val="56A1E7C4"/>
    <w:rsid w:val="56A21C24"/>
    <w:rsid w:val="56A3290F"/>
    <w:rsid w:val="56A6A9F5"/>
    <w:rsid w:val="56B194F0"/>
    <w:rsid w:val="56B26FA2"/>
    <w:rsid w:val="56B3EE4D"/>
    <w:rsid w:val="56B4CA40"/>
    <w:rsid w:val="56B747C2"/>
    <w:rsid w:val="56BA0F38"/>
    <w:rsid w:val="56BCC8C2"/>
    <w:rsid w:val="56BD4D49"/>
    <w:rsid w:val="56C18B7F"/>
    <w:rsid w:val="56CB5F18"/>
    <w:rsid w:val="56CBC0CF"/>
    <w:rsid w:val="56CD6AA2"/>
    <w:rsid w:val="56CDD021"/>
    <w:rsid w:val="56CF4078"/>
    <w:rsid w:val="56CF4F70"/>
    <w:rsid w:val="56D006F2"/>
    <w:rsid w:val="56D149BC"/>
    <w:rsid w:val="56D5C3E2"/>
    <w:rsid w:val="56D83BCC"/>
    <w:rsid w:val="56D9B803"/>
    <w:rsid w:val="56DA514F"/>
    <w:rsid w:val="56DBA5A8"/>
    <w:rsid w:val="56E4F615"/>
    <w:rsid w:val="56E687EA"/>
    <w:rsid w:val="56E6F70D"/>
    <w:rsid w:val="56E76B9D"/>
    <w:rsid w:val="56E930C4"/>
    <w:rsid w:val="56EB4A23"/>
    <w:rsid w:val="56ECDFA8"/>
    <w:rsid w:val="56EFB213"/>
    <w:rsid w:val="56F3FF8A"/>
    <w:rsid w:val="56F46B32"/>
    <w:rsid w:val="56F474C2"/>
    <w:rsid w:val="56F6AE6E"/>
    <w:rsid w:val="56F6B67A"/>
    <w:rsid w:val="56FB196C"/>
    <w:rsid w:val="570430FD"/>
    <w:rsid w:val="5706CDE7"/>
    <w:rsid w:val="57096B2C"/>
    <w:rsid w:val="570A3FEB"/>
    <w:rsid w:val="570CF275"/>
    <w:rsid w:val="570D584C"/>
    <w:rsid w:val="570E2690"/>
    <w:rsid w:val="5710D44B"/>
    <w:rsid w:val="57157062"/>
    <w:rsid w:val="57160B2F"/>
    <w:rsid w:val="57161571"/>
    <w:rsid w:val="571BD86D"/>
    <w:rsid w:val="571D3ADC"/>
    <w:rsid w:val="57230488"/>
    <w:rsid w:val="5726776D"/>
    <w:rsid w:val="572DB974"/>
    <w:rsid w:val="572DC96C"/>
    <w:rsid w:val="572F48E1"/>
    <w:rsid w:val="5730B9E2"/>
    <w:rsid w:val="5731FE0E"/>
    <w:rsid w:val="57347004"/>
    <w:rsid w:val="5735847B"/>
    <w:rsid w:val="5735DAFA"/>
    <w:rsid w:val="57368662"/>
    <w:rsid w:val="573FEE97"/>
    <w:rsid w:val="5744C6BE"/>
    <w:rsid w:val="574526DB"/>
    <w:rsid w:val="5747F100"/>
    <w:rsid w:val="57494FF5"/>
    <w:rsid w:val="574A1C13"/>
    <w:rsid w:val="574BD83D"/>
    <w:rsid w:val="574F436F"/>
    <w:rsid w:val="574F5F97"/>
    <w:rsid w:val="575040F4"/>
    <w:rsid w:val="57569022"/>
    <w:rsid w:val="575816D0"/>
    <w:rsid w:val="5758A1E2"/>
    <w:rsid w:val="575CD965"/>
    <w:rsid w:val="575E5672"/>
    <w:rsid w:val="575E7B79"/>
    <w:rsid w:val="57617EB1"/>
    <w:rsid w:val="576484AE"/>
    <w:rsid w:val="5765CC52"/>
    <w:rsid w:val="57663A91"/>
    <w:rsid w:val="5768BC79"/>
    <w:rsid w:val="576DF00C"/>
    <w:rsid w:val="576E278B"/>
    <w:rsid w:val="576FF6E8"/>
    <w:rsid w:val="57741AA1"/>
    <w:rsid w:val="57765EA8"/>
    <w:rsid w:val="57767120"/>
    <w:rsid w:val="5776A3DA"/>
    <w:rsid w:val="5779699C"/>
    <w:rsid w:val="577CE68E"/>
    <w:rsid w:val="577EE560"/>
    <w:rsid w:val="577F0885"/>
    <w:rsid w:val="577F8509"/>
    <w:rsid w:val="577FB4DB"/>
    <w:rsid w:val="57834039"/>
    <w:rsid w:val="5784A7D7"/>
    <w:rsid w:val="5788D1AA"/>
    <w:rsid w:val="5788F21F"/>
    <w:rsid w:val="578B8E4A"/>
    <w:rsid w:val="578E1F4C"/>
    <w:rsid w:val="5792C227"/>
    <w:rsid w:val="5795F9D7"/>
    <w:rsid w:val="5797A499"/>
    <w:rsid w:val="5797DCEA"/>
    <w:rsid w:val="5799D20C"/>
    <w:rsid w:val="579B57D1"/>
    <w:rsid w:val="579B793F"/>
    <w:rsid w:val="579F6305"/>
    <w:rsid w:val="579FCCE9"/>
    <w:rsid w:val="57A04553"/>
    <w:rsid w:val="57A590C1"/>
    <w:rsid w:val="57A9CD12"/>
    <w:rsid w:val="57B2245E"/>
    <w:rsid w:val="57B4C2E2"/>
    <w:rsid w:val="57B9D81B"/>
    <w:rsid w:val="57BBCFA9"/>
    <w:rsid w:val="57BD7B81"/>
    <w:rsid w:val="57BE1485"/>
    <w:rsid w:val="57C55FAD"/>
    <w:rsid w:val="57C73A52"/>
    <w:rsid w:val="57CAC924"/>
    <w:rsid w:val="57CB1D1F"/>
    <w:rsid w:val="57D60564"/>
    <w:rsid w:val="57D71295"/>
    <w:rsid w:val="57D73195"/>
    <w:rsid w:val="57D7C927"/>
    <w:rsid w:val="57D8B2AB"/>
    <w:rsid w:val="57D9E843"/>
    <w:rsid w:val="57DAF4EF"/>
    <w:rsid w:val="57DB2181"/>
    <w:rsid w:val="57DF6C2E"/>
    <w:rsid w:val="57E098A2"/>
    <w:rsid w:val="57E70A16"/>
    <w:rsid w:val="57E88398"/>
    <w:rsid w:val="57EF69DA"/>
    <w:rsid w:val="57EFAF55"/>
    <w:rsid w:val="57F4EF3B"/>
    <w:rsid w:val="57F7A7E1"/>
    <w:rsid w:val="57F9B0A4"/>
    <w:rsid w:val="57FD94E5"/>
    <w:rsid w:val="58025811"/>
    <w:rsid w:val="5802BD8F"/>
    <w:rsid w:val="5803AE56"/>
    <w:rsid w:val="58044A73"/>
    <w:rsid w:val="5804C61A"/>
    <w:rsid w:val="580AAD31"/>
    <w:rsid w:val="580F07E3"/>
    <w:rsid w:val="5811D360"/>
    <w:rsid w:val="58137AA4"/>
    <w:rsid w:val="58150DED"/>
    <w:rsid w:val="5815EC17"/>
    <w:rsid w:val="581EDEBC"/>
    <w:rsid w:val="581F336C"/>
    <w:rsid w:val="581FA3A9"/>
    <w:rsid w:val="581FEE32"/>
    <w:rsid w:val="58203044"/>
    <w:rsid w:val="5823B50B"/>
    <w:rsid w:val="5829B243"/>
    <w:rsid w:val="582BA2C1"/>
    <w:rsid w:val="582CF0FE"/>
    <w:rsid w:val="582F0ABD"/>
    <w:rsid w:val="5833D0FE"/>
    <w:rsid w:val="5835430D"/>
    <w:rsid w:val="583710D4"/>
    <w:rsid w:val="583786CF"/>
    <w:rsid w:val="583BB884"/>
    <w:rsid w:val="583CC889"/>
    <w:rsid w:val="583D81F5"/>
    <w:rsid w:val="583E6DB6"/>
    <w:rsid w:val="583F535D"/>
    <w:rsid w:val="5841F629"/>
    <w:rsid w:val="58422529"/>
    <w:rsid w:val="58431689"/>
    <w:rsid w:val="5849265E"/>
    <w:rsid w:val="584FD3DA"/>
    <w:rsid w:val="5853AD8F"/>
    <w:rsid w:val="5854A375"/>
    <w:rsid w:val="5855EF09"/>
    <w:rsid w:val="5856AB4D"/>
    <w:rsid w:val="58573E1B"/>
    <w:rsid w:val="585B9349"/>
    <w:rsid w:val="585C8DE0"/>
    <w:rsid w:val="585F17CD"/>
    <w:rsid w:val="5861F66B"/>
    <w:rsid w:val="58642D52"/>
    <w:rsid w:val="58678D80"/>
    <w:rsid w:val="586811BB"/>
    <w:rsid w:val="586F6380"/>
    <w:rsid w:val="58746124"/>
    <w:rsid w:val="5876D907"/>
    <w:rsid w:val="58786CEE"/>
    <w:rsid w:val="587886E2"/>
    <w:rsid w:val="5878B273"/>
    <w:rsid w:val="5878C950"/>
    <w:rsid w:val="58790128"/>
    <w:rsid w:val="587BFFB0"/>
    <w:rsid w:val="587D0CAA"/>
    <w:rsid w:val="587EC508"/>
    <w:rsid w:val="587FA0FA"/>
    <w:rsid w:val="587FD04C"/>
    <w:rsid w:val="58802EE6"/>
    <w:rsid w:val="588251E8"/>
    <w:rsid w:val="5887B974"/>
    <w:rsid w:val="588B3DF4"/>
    <w:rsid w:val="5890E42F"/>
    <w:rsid w:val="5891DA9E"/>
    <w:rsid w:val="5893A60B"/>
    <w:rsid w:val="5893B9F1"/>
    <w:rsid w:val="58955B31"/>
    <w:rsid w:val="58991A31"/>
    <w:rsid w:val="58998854"/>
    <w:rsid w:val="589C9AEB"/>
    <w:rsid w:val="589D3D79"/>
    <w:rsid w:val="589E5D77"/>
    <w:rsid w:val="58A79C8C"/>
    <w:rsid w:val="58A7AD75"/>
    <w:rsid w:val="58A8FDAE"/>
    <w:rsid w:val="58A93098"/>
    <w:rsid w:val="58ACA358"/>
    <w:rsid w:val="58AD15EF"/>
    <w:rsid w:val="58AE87CB"/>
    <w:rsid w:val="58AF7F5C"/>
    <w:rsid w:val="58B313AF"/>
    <w:rsid w:val="58B512B9"/>
    <w:rsid w:val="58B7887D"/>
    <w:rsid w:val="58B920F1"/>
    <w:rsid w:val="58BD7E39"/>
    <w:rsid w:val="58BDEE7B"/>
    <w:rsid w:val="58C2EA4C"/>
    <w:rsid w:val="58C3FD44"/>
    <w:rsid w:val="58C41F28"/>
    <w:rsid w:val="58CAA47F"/>
    <w:rsid w:val="58CB3746"/>
    <w:rsid w:val="58D2A33C"/>
    <w:rsid w:val="58D2E169"/>
    <w:rsid w:val="58D3E489"/>
    <w:rsid w:val="58D88E5C"/>
    <w:rsid w:val="58D8BE57"/>
    <w:rsid w:val="58D97D78"/>
    <w:rsid w:val="58DAFB04"/>
    <w:rsid w:val="58DBE896"/>
    <w:rsid w:val="58E19314"/>
    <w:rsid w:val="58E2700A"/>
    <w:rsid w:val="58E4F775"/>
    <w:rsid w:val="58E609D1"/>
    <w:rsid w:val="58E6D611"/>
    <w:rsid w:val="58E85682"/>
    <w:rsid w:val="58E8A7F1"/>
    <w:rsid w:val="58EA3194"/>
    <w:rsid w:val="58EBC397"/>
    <w:rsid w:val="58EED8EA"/>
    <w:rsid w:val="58F1EDF4"/>
    <w:rsid w:val="58F4A1F8"/>
    <w:rsid w:val="58F5CB31"/>
    <w:rsid w:val="58F905CA"/>
    <w:rsid w:val="58F986ED"/>
    <w:rsid w:val="58FD058C"/>
    <w:rsid w:val="5900F84A"/>
    <w:rsid w:val="590238B9"/>
    <w:rsid w:val="5903426C"/>
    <w:rsid w:val="5903BA8C"/>
    <w:rsid w:val="5906E3D9"/>
    <w:rsid w:val="5909DBC1"/>
    <w:rsid w:val="590AB99F"/>
    <w:rsid w:val="590C355D"/>
    <w:rsid w:val="590CA717"/>
    <w:rsid w:val="590D0E9C"/>
    <w:rsid w:val="590E6360"/>
    <w:rsid w:val="590FAB5D"/>
    <w:rsid w:val="5912375A"/>
    <w:rsid w:val="5912FCDB"/>
    <w:rsid w:val="5914C475"/>
    <w:rsid w:val="59155B68"/>
    <w:rsid w:val="5916B5F1"/>
    <w:rsid w:val="591A0573"/>
    <w:rsid w:val="591EA86B"/>
    <w:rsid w:val="5927DCE3"/>
    <w:rsid w:val="592A1C90"/>
    <w:rsid w:val="592FA2AB"/>
    <w:rsid w:val="593332BF"/>
    <w:rsid w:val="59398E8B"/>
    <w:rsid w:val="5939AD86"/>
    <w:rsid w:val="593A0489"/>
    <w:rsid w:val="593B45A7"/>
    <w:rsid w:val="593C033E"/>
    <w:rsid w:val="5941B27B"/>
    <w:rsid w:val="59447CD2"/>
    <w:rsid w:val="594945DA"/>
    <w:rsid w:val="594A4E30"/>
    <w:rsid w:val="594B0797"/>
    <w:rsid w:val="594CA896"/>
    <w:rsid w:val="594D54CA"/>
    <w:rsid w:val="594E0953"/>
    <w:rsid w:val="594E4BC6"/>
    <w:rsid w:val="594FB9B3"/>
    <w:rsid w:val="59543BF3"/>
    <w:rsid w:val="59547E0F"/>
    <w:rsid w:val="595492B3"/>
    <w:rsid w:val="5955B184"/>
    <w:rsid w:val="595A4D1E"/>
    <w:rsid w:val="595D1DE8"/>
    <w:rsid w:val="595D708C"/>
    <w:rsid w:val="595DA147"/>
    <w:rsid w:val="595DAF61"/>
    <w:rsid w:val="595F61FD"/>
    <w:rsid w:val="5963908B"/>
    <w:rsid w:val="5968BF95"/>
    <w:rsid w:val="596D5B97"/>
    <w:rsid w:val="596E57D1"/>
    <w:rsid w:val="59729CFE"/>
    <w:rsid w:val="5973170F"/>
    <w:rsid w:val="59737CAF"/>
    <w:rsid w:val="597627D2"/>
    <w:rsid w:val="597F3BA7"/>
    <w:rsid w:val="59811E16"/>
    <w:rsid w:val="5984308A"/>
    <w:rsid w:val="59851AAB"/>
    <w:rsid w:val="5985815C"/>
    <w:rsid w:val="59863282"/>
    <w:rsid w:val="598650CE"/>
    <w:rsid w:val="598724D2"/>
    <w:rsid w:val="59896E7A"/>
    <w:rsid w:val="5989B228"/>
    <w:rsid w:val="598B77C1"/>
    <w:rsid w:val="598CAE8E"/>
    <w:rsid w:val="599012D6"/>
    <w:rsid w:val="5990E30D"/>
    <w:rsid w:val="59955FDF"/>
    <w:rsid w:val="59973D5B"/>
    <w:rsid w:val="5998A86B"/>
    <w:rsid w:val="5998E0F9"/>
    <w:rsid w:val="599C23A0"/>
    <w:rsid w:val="599C808F"/>
    <w:rsid w:val="59A0DBBF"/>
    <w:rsid w:val="59A226BB"/>
    <w:rsid w:val="59A2FD94"/>
    <w:rsid w:val="59A30AE2"/>
    <w:rsid w:val="59A4B4CE"/>
    <w:rsid w:val="59AC2068"/>
    <w:rsid w:val="59AD1345"/>
    <w:rsid w:val="59AD13C0"/>
    <w:rsid w:val="59ADAFF5"/>
    <w:rsid w:val="59B15B04"/>
    <w:rsid w:val="59B48487"/>
    <w:rsid w:val="59B512AA"/>
    <w:rsid w:val="59B61C07"/>
    <w:rsid w:val="59B8EC47"/>
    <w:rsid w:val="59BB8299"/>
    <w:rsid w:val="59BDF785"/>
    <w:rsid w:val="59C03DC5"/>
    <w:rsid w:val="59C64CBB"/>
    <w:rsid w:val="59C7FD72"/>
    <w:rsid w:val="59CA9206"/>
    <w:rsid w:val="59CCB655"/>
    <w:rsid w:val="59CCCDAB"/>
    <w:rsid w:val="59CDB82C"/>
    <w:rsid w:val="59D10243"/>
    <w:rsid w:val="59D1156D"/>
    <w:rsid w:val="59D1CB89"/>
    <w:rsid w:val="59D27369"/>
    <w:rsid w:val="59D28BA9"/>
    <w:rsid w:val="59D301BD"/>
    <w:rsid w:val="59D85C0A"/>
    <w:rsid w:val="59DA431C"/>
    <w:rsid w:val="59DC8C04"/>
    <w:rsid w:val="59DEE060"/>
    <w:rsid w:val="59DFE1AC"/>
    <w:rsid w:val="59DFFFCE"/>
    <w:rsid w:val="59E055D6"/>
    <w:rsid w:val="59E440CD"/>
    <w:rsid w:val="59E5DE66"/>
    <w:rsid w:val="59E74F4A"/>
    <w:rsid w:val="59EE9CE9"/>
    <w:rsid w:val="59F34DF5"/>
    <w:rsid w:val="59F49E94"/>
    <w:rsid w:val="59F7FA4B"/>
    <w:rsid w:val="59F9FD42"/>
    <w:rsid w:val="59FBE201"/>
    <w:rsid w:val="59FE912A"/>
    <w:rsid w:val="5A02A189"/>
    <w:rsid w:val="5A04BC46"/>
    <w:rsid w:val="5A050D61"/>
    <w:rsid w:val="5A0516B6"/>
    <w:rsid w:val="5A06B64A"/>
    <w:rsid w:val="5A0D9C1E"/>
    <w:rsid w:val="5A0F3605"/>
    <w:rsid w:val="5A109500"/>
    <w:rsid w:val="5A14B845"/>
    <w:rsid w:val="5A14BC52"/>
    <w:rsid w:val="5A1668DC"/>
    <w:rsid w:val="5A1A7FBF"/>
    <w:rsid w:val="5A1BB1B2"/>
    <w:rsid w:val="5A1C870A"/>
    <w:rsid w:val="5A1F0BF6"/>
    <w:rsid w:val="5A216D2C"/>
    <w:rsid w:val="5A21FA25"/>
    <w:rsid w:val="5A256868"/>
    <w:rsid w:val="5A2E1912"/>
    <w:rsid w:val="5A2EC4B2"/>
    <w:rsid w:val="5A3017C2"/>
    <w:rsid w:val="5A3022B0"/>
    <w:rsid w:val="5A30942F"/>
    <w:rsid w:val="5A3126DC"/>
    <w:rsid w:val="5A31A427"/>
    <w:rsid w:val="5A354B81"/>
    <w:rsid w:val="5A367539"/>
    <w:rsid w:val="5A374867"/>
    <w:rsid w:val="5A383C41"/>
    <w:rsid w:val="5A38B3AF"/>
    <w:rsid w:val="5A3EC87F"/>
    <w:rsid w:val="5A3F0C26"/>
    <w:rsid w:val="5A4239F5"/>
    <w:rsid w:val="5A44E2E4"/>
    <w:rsid w:val="5A480D87"/>
    <w:rsid w:val="5A4E7CEA"/>
    <w:rsid w:val="5A4F8C68"/>
    <w:rsid w:val="5A552603"/>
    <w:rsid w:val="5A58BB63"/>
    <w:rsid w:val="5A58C536"/>
    <w:rsid w:val="5A5A3B91"/>
    <w:rsid w:val="5A5C700D"/>
    <w:rsid w:val="5A5D1E4C"/>
    <w:rsid w:val="5A6022D2"/>
    <w:rsid w:val="5A6437BA"/>
    <w:rsid w:val="5A64AF9E"/>
    <w:rsid w:val="5A67658B"/>
    <w:rsid w:val="5A6A685F"/>
    <w:rsid w:val="5A6AE18E"/>
    <w:rsid w:val="5A70C956"/>
    <w:rsid w:val="5A70D084"/>
    <w:rsid w:val="5A718B69"/>
    <w:rsid w:val="5A73652B"/>
    <w:rsid w:val="5A743FC8"/>
    <w:rsid w:val="5A76FE25"/>
    <w:rsid w:val="5A77706B"/>
    <w:rsid w:val="5A788A95"/>
    <w:rsid w:val="5A7B91D2"/>
    <w:rsid w:val="5A7C6F2B"/>
    <w:rsid w:val="5A80F15C"/>
    <w:rsid w:val="5A8186C8"/>
    <w:rsid w:val="5A840C60"/>
    <w:rsid w:val="5A856E82"/>
    <w:rsid w:val="5A882166"/>
    <w:rsid w:val="5A89D923"/>
    <w:rsid w:val="5A8DFC28"/>
    <w:rsid w:val="5A8EFD2E"/>
    <w:rsid w:val="5A903BEB"/>
    <w:rsid w:val="5A90ABB9"/>
    <w:rsid w:val="5A938B74"/>
    <w:rsid w:val="5A94B5B8"/>
    <w:rsid w:val="5A95F829"/>
    <w:rsid w:val="5A964B93"/>
    <w:rsid w:val="5A965413"/>
    <w:rsid w:val="5A979C62"/>
    <w:rsid w:val="5A98524A"/>
    <w:rsid w:val="5A988C1C"/>
    <w:rsid w:val="5A9B1A3D"/>
    <w:rsid w:val="5A9B61EB"/>
    <w:rsid w:val="5A9CC8AB"/>
    <w:rsid w:val="5AA6BD42"/>
    <w:rsid w:val="5AA7816D"/>
    <w:rsid w:val="5AAA29CC"/>
    <w:rsid w:val="5AAB6684"/>
    <w:rsid w:val="5AAC2673"/>
    <w:rsid w:val="5AAD1B56"/>
    <w:rsid w:val="5AAD4F2E"/>
    <w:rsid w:val="5AB15256"/>
    <w:rsid w:val="5AB260CD"/>
    <w:rsid w:val="5AB3DC0E"/>
    <w:rsid w:val="5AB4F6B0"/>
    <w:rsid w:val="5AB67B19"/>
    <w:rsid w:val="5ABBB3F2"/>
    <w:rsid w:val="5ABCD96B"/>
    <w:rsid w:val="5ABD1B7B"/>
    <w:rsid w:val="5ABEC2F0"/>
    <w:rsid w:val="5AC031EB"/>
    <w:rsid w:val="5AC2D76D"/>
    <w:rsid w:val="5AC4FCD9"/>
    <w:rsid w:val="5AC5827D"/>
    <w:rsid w:val="5AC8F1F3"/>
    <w:rsid w:val="5ACA1A76"/>
    <w:rsid w:val="5ACB19D9"/>
    <w:rsid w:val="5ACE66DC"/>
    <w:rsid w:val="5AD2C217"/>
    <w:rsid w:val="5AD511C7"/>
    <w:rsid w:val="5ADC9F1E"/>
    <w:rsid w:val="5ADDBEDD"/>
    <w:rsid w:val="5AE01042"/>
    <w:rsid w:val="5AE80043"/>
    <w:rsid w:val="5AE8D591"/>
    <w:rsid w:val="5AED7263"/>
    <w:rsid w:val="5AF0BC9F"/>
    <w:rsid w:val="5AF6E408"/>
    <w:rsid w:val="5AF9F30E"/>
    <w:rsid w:val="5AFBA073"/>
    <w:rsid w:val="5AFD6FC0"/>
    <w:rsid w:val="5B005F13"/>
    <w:rsid w:val="5B0705C8"/>
    <w:rsid w:val="5B085732"/>
    <w:rsid w:val="5B0B2152"/>
    <w:rsid w:val="5B0B7D7D"/>
    <w:rsid w:val="5B0BFC22"/>
    <w:rsid w:val="5B0CFFBE"/>
    <w:rsid w:val="5B0F3982"/>
    <w:rsid w:val="5B113720"/>
    <w:rsid w:val="5B117743"/>
    <w:rsid w:val="5B12FD7C"/>
    <w:rsid w:val="5B13826B"/>
    <w:rsid w:val="5B16FC55"/>
    <w:rsid w:val="5B1C2523"/>
    <w:rsid w:val="5B1C45EE"/>
    <w:rsid w:val="5B1C86A7"/>
    <w:rsid w:val="5B1C9F00"/>
    <w:rsid w:val="5B1D3371"/>
    <w:rsid w:val="5B1FE71E"/>
    <w:rsid w:val="5B201FD8"/>
    <w:rsid w:val="5B23D968"/>
    <w:rsid w:val="5B256DEF"/>
    <w:rsid w:val="5B27A096"/>
    <w:rsid w:val="5B27AC7B"/>
    <w:rsid w:val="5B28ADEA"/>
    <w:rsid w:val="5B294F4A"/>
    <w:rsid w:val="5B2D33CE"/>
    <w:rsid w:val="5B31C91E"/>
    <w:rsid w:val="5B335B40"/>
    <w:rsid w:val="5B33F058"/>
    <w:rsid w:val="5B37F7C3"/>
    <w:rsid w:val="5B3B26E8"/>
    <w:rsid w:val="5B3C839F"/>
    <w:rsid w:val="5B3CA72E"/>
    <w:rsid w:val="5B3CF4C4"/>
    <w:rsid w:val="5B3D4813"/>
    <w:rsid w:val="5B42D657"/>
    <w:rsid w:val="5B452C71"/>
    <w:rsid w:val="5B473528"/>
    <w:rsid w:val="5B48D924"/>
    <w:rsid w:val="5B50E39F"/>
    <w:rsid w:val="5B5DCCA5"/>
    <w:rsid w:val="5B64D3D2"/>
    <w:rsid w:val="5B66DEC1"/>
    <w:rsid w:val="5B69BD9A"/>
    <w:rsid w:val="5B6B7A81"/>
    <w:rsid w:val="5B6B8EAB"/>
    <w:rsid w:val="5B6C477F"/>
    <w:rsid w:val="5B6CD6DE"/>
    <w:rsid w:val="5B6FBA4C"/>
    <w:rsid w:val="5B70C8A0"/>
    <w:rsid w:val="5B710CDC"/>
    <w:rsid w:val="5B77F0AF"/>
    <w:rsid w:val="5B79F9CA"/>
    <w:rsid w:val="5B7A0670"/>
    <w:rsid w:val="5B7D2349"/>
    <w:rsid w:val="5B817285"/>
    <w:rsid w:val="5B860F1E"/>
    <w:rsid w:val="5B87C413"/>
    <w:rsid w:val="5B8D8865"/>
    <w:rsid w:val="5B90CB7F"/>
    <w:rsid w:val="5B91C125"/>
    <w:rsid w:val="5B944060"/>
    <w:rsid w:val="5B949003"/>
    <w:rsid w:val="5B94A486"/>
    <w:rsid w:val="5B97FF07"/>
    <w:rsid w:val="5B9CD51B"/>
    <w:rsid w:val="5B9DA9F3"/>
    <w:rsid w:val="5B9F0731"/>
    <w:rsid w:val="5B9FEDDF"/>
    <w:rsid w:val="5BA0F554"/>
    <w:rsid w:val="5BA17CC4"/>
    <w:rsid w:val="5BA35002"/>
    <w:rsid w:val="5BA5ECBB"/>
    <w:rsid w:val="5BA7157A"/>
    <w:rsid w:val="5BA7EF58"/>
    <w:rsid w:val="5BA96ABF"/>
    <w:rsid w:val="5BAB5596"/>
    <w:rsid w:val="5BAD7AF9"/>
    <w:rsid w:val="5BAF568F"/>
    <w:rsid w:val="5BAF8C67"/>
    <w:rsid w:val="5BB26871"/>
    <w:rsid w:val="5BB3698F"/>
    <w:rsid w:val="5BB66B23"/>
    <w:rsid w:val="5BB95FDE"/>
    <w:rsid w:val="5BBA1016"/>
    <w:rsid w:val="5BBA2F98"/>
    <w:rsid w:val="5BC18C5B"/>
    <w:rsid w:val="5BC240E9"/>
    <w:rsid w:val="5BC7A456"/>
    <w:rsid w:val="5BC871BA"/>
    <w:rsid w:val="5BCE48F1"/>
    <w:rsid w:val="5BCFE3F4"/>
    <w:rsid w:val="5BD0216B"/>
    <w:rsid w:val="5BD06734"/>
    <w:rsid w:val="5BD40ABC"/>
    <w:rsid w:val="5BD83682"/>
    <w:rsid w:val="5BD90A68"/>
    <w:rsid w:val="5BE0B4D3"/>
    <w:rsid w:val="5BE3CD80"/>
    <w:rsid w:val="5BE42B85"/>
    <w:rsid w:val="5BE9DB5E"/>
    <w:rsid w:val="5BEAFA1E"/>
    <w:rsid w:val="5BEB2BDD"/>
    <w:rsid w:val="5BEE05B2"/>
    <w:rsid w:val="5BEFDB34"/>
    <w:rsid w:val="5BF8E980"/>
    <w:rsid w:val="5BFAB148"/>
    <w:rsid w:val="5BFAE7C3"/>
    <w:rsid w:val="5BFBE6C8"/>
    <w:rsid w:val="5BFC09AC"/>
    <w:rsid w:val="5BFEB078"/>
    <w:rsid w:val="5C006086"/>
    <w:rsid w:val="5C03384B"/>
    <w:rsid w:val="5C0C09D4"/>
    <w:rsid w:val="5C0C2E71"/>
    <w:rsid w:val="5C158933"/>
    <w:rsid w:val="5C1627D7"/>
    <w:rsid w:val="5C17E7AA"/>
    <w:rsid w:val="5C185BBE"/>
    <w:rsid w:val="5C1A3097"/>
    <w:rsid w:val="5C20F99B"/>
    <w:rsid w:val="5C237D40"/>
    <w:rsid w:val="5C264540"/>
    <w:rsid w:val="5C2A2BE9"/>
    <w:rsid w:val="5C2BB01C"/>
    <w:rsid w:val="5C2CBF89"/>
    <w:rsid w:val="5C2E06C9"/>
    <w:rsid w:val="5C2E13ED"/>
    <w:rsid w:val="5C301E48"/>
    <w:rsid w:val="5C30938E"/>
    <w:rsid w:val="5C37C600"/>
    <w:rsid w:val="5C38859B"/>
    <w:rsid w:val="5C3A574A"/>
    <w:rsid w:val="5C3C258C"/>
    <w:rsid w:val="5C3F5D69"/>
    <w:rsid w:val="5C3F8F80"/>
    <w:rsid w:val="5C401A1B"/>
    <w:rsid w:val="5C41A3ED"/>
    <w:rsid w:val="5C450AC1"/>
    <w:rsid w:val="5C451915"/>
    <w:rsid w:val="5C457DB4"/>
    <w:rsid w:val="5C4790DC"/>
    <w:rsid w:val="5C49FEC9"/>
    <w:rsid w:val="5C4A111A"/>
    <w:rsid w:val="5C4AC8A3"/>
    <w:rsid w:val="5C4B0DCA"/>
    <w:rsid w:val="5C5212FB"/>
    <w:rsid w:val="5C522BAE"/>
    <w:rsid w:val="5C562E54"/>
    <w:rsid w:val="5C57E239"/>
    <w:rsid w:val="5C584C32"/>
    <w:rsid w:val="5C599FD1"/>
    <w:rsid w:val="5C5A0D43"/>
    <w:rsid w:val="5C5C708D"/>
    <w:rsid w:val="5C5DE318"/>
    <w:rsid w:val="5C5ED466"/>
    <w:rsid w:val="5C5EEA2A"/>
    <w:rsid w:val="5C5F6138"/>
    <w:rsid w:val="5C63E1F4"/>
    <w:rsid w:val="5C67758A"/>
    <w:rsid w:val="5C67A657"/>
    <w:rsid w:val="5C67CF9A"/>
    <w:rsid w:val="5C687D32"/>
    <w:rsid w:val="5C6A2EA2"/>
    <w:rsid w:val="5C6DBB88"/>
    <w:rsid w:val="5C6F082D"/>
    <w:rsid w:val="5C6F9D71"/>
    <w:rsid w:val="5C71C25D"/>
    <w:rsid w:val="5C71FE5F"/>
    <w:rsid w:val="5C74D2FD"/>
    <w:rsid w:val="5C76E880"/>
    <w:rsid w:val="5C78F3F4"/>
    <w:rsid w:val="5C7AC57D"/>
    <w:rsid w:val="5C7DB8A1"/>
    <w:rsid w:val="5C7FDF2A"/>
    <w:rsid w:val="5C804748"/>
    <w:rsid w:val="5C805B1B"/>
    <w:rsid w:val="5C86C514"/>
    <w:rsid w:val="5C8A8E64"/>
    <w:rsid w:val="5C8C8192"/>
    <w:rsid w:val="5C8D1DEE"/>
    <w:rsid w:val="5C902068"/>
    <w:rsid w:val="5C951A35"/>
    <w:rsid w:val="5C96147D"/>
    <w:rsid w:val="5C97F249"/>
    <w:rsid w:val="5C995922"/>
    <w:rsid w:val="5C9CB810"/>
    <w:rsid w:val="5C9D9B7C"/>
    <w:rsid w:val="5C9EBAED"/>
    <w:rsid w:val="5CA04F14"/>
    <w:rsid w:val="5CA17273"/>
    <w:rsid w:val="5CA35167"/>
    <w:rsid w:val="5CA4AC47"/>
    <w:rsid w:val="5CAB6BE9"/>
    <w:rsid w:val="5CB67312"/>
    <w:rsid w:val="5CBA6052"/>
    <w:rsid w:val="5CBBBABF"/>
    <w:rsid w:val="5CBC8D8D"/>
    <w:rsid w:val="5CBF1E21"/>
    <w:rsid w:val="5CBF1FCB"/>
    <w:rsid w:val="5CBFC8DC"/>
    <w:rsid w:val="5CC1630F"/>
    <w:rsid w:val="5CC2F25F"/>
    <w:rsid w:val="5CC5DAA4"/>
    <w:rsid w:val="5CC82CA5"/>
    <w:rsid w:val="5CC9FDFC"/>
    <w:rsid w:val="5CCB3DAA"/>
    <w:rsid w:val="5CCC3C95"/>
    <w:rsid w:val="5CCEC5F3"/>
    <w:rsid w:val="5CD0DE68"/>
    <w:rsid w:val="5CD16077"/>
    <w:rsid w:val="5CD30DD5"/>
    <w:rsid w:val="5CD31CFD"/>
    <w:rsid w:val="5CDB045E"/>
    <w:rsid w:val="5CDBF0E7"/>
    <w:rsid w:val="5CDCD842"/>
    <w:rsid w:val="5CDCE647"/>
    <w:rsid w:val="5CDEE586"/>
    <w:rsid w:val="5CE1B061"/>
    <w:rsid w:val="5CE22151"/>
    <w:rsid w:val="5CE3F136"/>
    <w:rsid w:val="5CE41581"/>
    <w:rsid w:val="5CE5ED20"/>
    <w:rsid w:val="5CE7C48B"/>
    <w:rsid w:val="5CE7DD82"/>
    <w:rsid w:val="5CE81D36"/>
    <w:rsid w:val="5CEA8A1B"/>
    <w:rsid w:val="5CEAD319"/>
    <w:rsid w:val="5CEBBDDF"/>
    <w:rsid w:val="5CEDE0B5"/>
    <w:rsid w:val="5CEEB8C0"/>
    <w:rsid w:val="5CF11DD6"/>
    <w:rsid w:val="5CF1447D"/>
    <w:rsid w:val="5CF20BB6"/>
    <w:rsid w:val="5CF44DBD"/>
    <w:rsid w:val="5CF85B16"/>
    <w:rsid w:val="5CF8CEA5"/>
    <w:rsid w:val="5CF96117"/>
    <w:rsid w:val="5D00DA6B"/>
    <w:rsid w:val="5D022615"/>
    <w:rsid w:val="5D02C0D2"/>
    <w:rsid w:val="5D04E12D"/>
    <w:rsid w:val="5D06F12B"/>
    <w:rsid w:val="5D0AB8F0"/>
    <w:rsid w:val="5D121BEE"/>
    <w:rsid w:val="5D13271E"/>
    <w:rsid w:val="5D168179"/>
    <w:rsid w:val="5D19DF44"/>
    <w:rsid w:val="5D1B2324"/>
    <w:rsid w:val="5D25AD20"/>
    <w:rsid w:val="5D25B7EA"/>
    <w:rsid w:val="5D2607AE"/>
    <w:rsid w:val="5D26AB6F"/>
    <w:rsid w:val="5D26B8E8"/>
    <w:rsid w:val="5D28B4C0"/>
    <w:rsid w:val="5D28E89C"/>
    <w:rsid w:val="5D2A423C"/>
    <w:rsid w:val="5D2A8503"/>
    <w:rsid w:val="5D2AFFD8"/>
    <w:rsid w:val="5D2CB6B5"/>
    <w:rsid w:val="5D34D4C4"/>
    <w:rsid w:val="5D35891C"/>
    <w:rsid w:val="5D35D18A"/>
    <w:rsid w:val="5D3663C2"/>
    <w:rsid w:val="5D371891"/>
    <w:rsid w:val="5D37F34F"/>
    <w:rsid w:val="5D3BD62F"/>
    <w:rsid w:val="5D3C89BB"/>
    <w:rsid w:val="5D3CD03F"/>
    <w:rsid w:val="5D3D14C0"/>
    <w:rsid w:val="5D3E1E75"/>
    <w:rsid w:val="5D426F11"/>
    <w:rsid w:val="5D441D6A"/>
    <w:rsid w:val="5D45637E"/>
    <w:rsid w:val="5D46F408"/>
    <w:rsid w:val="5D49D5FF"/>
    <w:rsid w:val="5D4B852D"/>
    <w:rsid w:val="5D4BDB0E"/>
    <w:rsid w:val="5D4DA253"/>
    <w:rsid w:val="5D4E6A7E"/>
    <w:rsid w:val="5D4F9472"/>
    <w:rsid w:val="5D544535"/>
    <w:rsid w:val="5D57999E"/>
    <w:rsid w:val="5D5BC00B"/>
    <w:rsid w:val="5D5C1197"/>
    <w:rsid w:val="5D5CCF8E"/>
    <w:rsid w:val="5D5D9C2C"/>
    <w:rsid w:val="5D605046"/>
    <w:rsid w:val="5D61D207"/>
    <w:rsid w:val="5D6450E2"/>
    <w:rsid w:val="5D68545E"/>
    <w:rsid w:val="5D6A4C45"/>
    <w:rsid w:val="5D6B2C44"/>
    <w:rsid w:val="5D6E2D7A"/>
    <w:rsid w:val="5D7045F0"/>
    <w:rsid w:val="5D747FF4"/>
    <w:rsid w:val="5D7632E8"/>
    <w:rsid w:val="5D764695"/>
    <w:rsid w:val="5D7C78E6"/>
    <w:rsid w:val="5D7C883A"/>
    <w:rsid w:val="5D822831"/>
    <w:rsid w:val="5D832F8B"/>
    <w:rsid w:val="5D8887A8"/>
    <w:rsid w:val="5D89856C"/>
    <w:rsid w:val="5D8BD22F"/>
    <w:rsid w:val="5D8D3EF2"/>
    <w:rsid w:val="5D8F6683"/>
    <w:rsid w:val="5D94E27C"/>
    <w:rsid w:val="5D966453"/>
    <w:rsid w:val="5D967EB8"/>
    <w:rsid w:val="5D97E312"/>
    <w:rsid w:val="5D9C3972"/>
    <w:rsid w:val="5D9F6637"/>
    <w:rsid w:val="5DA41C0B"/>
    <w:rsid w:val="5DA505FA"/>
    <w:rsid w:val="5DA6D43F"/>
    <w:rsid w:val="5DA82E3D"/>
    <w:rsid w:val="5DABA0F8"/>
    <w:rsid w:val="5DAE9888"/>
    <w:rsid w:val="5DAF0682"/>
    <w:rsid w:val="5DB13C3A"/>
    <w:rsid w:val="5DB40068"/>
    <w:rsid w:val="5DB6F76E"/>
    <w:rsid w:val="5DB76E6F"/>
    <w:rsid w:val="5DBAEC64"/>
    <w:rsid w:val="5DBAFC78"/>
    <w:rsid w:val="5DBD5C2C"/>
    <w:rsid w:val="5DBD5E14"/>
    <w:rsid w:val="5DBF43E3"/>
    <w:rsid w:val="5DBF5092"/>
    <w:rsid w:val="5DC14D90"/>
    <w:rsid w:val="5DC2C2D5"/>
    <w:rsid w:val="5DC464BC"/>
    <w:rsid w:val="5DCE2397"/>
    <w:rsid w:val="5DD0BB2A"/>
    <w:rsid w:val="5DD0FFA9"/>
    <w:rsid w:val="5DD3B549"/>
    <w:rsid w:val="5DD3C997"/>
    <w:rsid w:val="5DD4F8B6"/>
    <w:rsid w:val="5DD5D3BD"/>
    <w:rsid w:val="5DD88857"/>
    <w:rsid w:val="5DDBA247"/>
    <w:rsid w:val="5DDC590E"/>
    <w:rsid w:val="5DDDF591"/>
    <w:rsid w:val="5DE085D5"/>
    <w:rsid w:val="5DE4CD12"/>
    <w:rsid w:val="5DE65CDB"/>
    <w:rsid w:val="5DE8423E"/>
    <w:rsid w:val="5DEA6337"/>
    <w:rsid w:val="5DECA630"/>
    <w:rsid w:val="5DF12B91"/>
    <w:rsid w:val="5DF24025"/>
    <w:rsid w:val="5DF35600"/>
    <w:rsid w:val="5DF3EBE2"/>
    <w:rsid w:val="5DF91B67"/>
    <w:rsid w:val="5DFC373C"/>
    <w:rsid w:val="5E00A83C"/>
    <w:rsid w:val="5E0367E1"/>
    <w:rsid w:val="5E087A23"/>
    <w:rsid w:val="5E09B125"/>
    <w:rsid w:val="5E0B129E"/>
    <w:rsid w:val="5E0B5509"/>
    <w:rsid w:val="5E0B8B72"/>
    <w:rsid w:val="5E0BA81E"/>
    <w:rsid w:val="5E10C8BE"/>
    <w:rsid w:val="5E11564C"/>
    <w:rsid w:val="5E16F3FC"/>
    <w:rsid w:val="5E177B81"/>
    <w:rsid w:val="5E1B9C44"/>
    <w:rsid w:val="5E1C255F"/>
    <w:rsid w:val="5E1FA72C"/>
    <w:rsid w:val="5E1FC40D"/>
    <w:rsid w:val="5E20F071"/>
    <w:rsid w:val="5E2299AA"/>
    <w:rsid w:val="5E23C10C"/>
    <w:rsid w:val="5E302DCA"/>
    <w:rsid w:val="5E316A9F"/>
    <w:rsid w:val="5E31C938"/>
    <w:rsid w:val="5E323971"/>
    <w:rsid w:val="5E343D6F"/>
    <w:rsid w:val="5E34990A"/>
    <w:rsid w:val="5E34C41D"/>
    <w:rsid w:val="5E358094"/>
    <w:rsid w:val="5E3B1C7D"/>
    <w:rsid w:val="5E3BFBA4"/>
    <w:rsid w:val="5E3CC46F"/>
    <w:rsid w:val="5E3CF7DD"/>
    <w:rsid w:val="5E3DA77C"/>
    <w:rsid w:val="5E3E3F2B"/>
    <w:rsid w:val="5E3F607C"/>
    <w:rsid w:val="5E4032AF"/>
    <w:rsid w:val="5E4231DA"/>
    <w:rsid w:val="5E4A9E80"/>
    <w:rsid w:val="5E4CB08F"/>
    <w:rsid w:val="5E4EA36F"/>
    <w:rsid w:val="5E4ECED2"/>
    <w:rsid w:val="5E4EDF09"/>
    <w:rsid w:val="5E50890B"/>
    <w:rsid w:val="5E53AEDB"/>
    <w:rsid w:val="5E540CE0"/>
    <w:rsid w:val="5E542551"/>
    <w:rsid w:val="5E5B6A43"/>
    <w:rsid w:val="5E5F8C12"/>
    <w:rsid w:val="5E6328C0"/>
    <w:rsid w:val="5E656F18"/>
    <w:rsid w:val="5E66E889"/>
    <w:rsid w:val="5E674283"/>
    <w:rsid w:val="5E6C3D75"/>
    <w:rsid w:val="5E6C8AB0"/>
    <w:rsid w:val="5E6E40F8"/>
    <w:rsid w:val="5E6EB682"/>
    <w:rsid w:val="5E74BF3C"/>
    <w:rsid w:val="5E75BBFA"/>
    <w:rsid w:val="5E785232"/>
    <w:rsid w:val="5E79534D"/>
    <w:rsid w:val="5E7B209F"/>
    <w:rsid w:val="5E7CF817"/>
    <w:rsid w:val="5E7F5C2A"/>
    <w:rsid w:val="5E7FA86F"/>
    <w:rsid w:val="5E81DD0B"/>
    <w:rsid w:val="5E82F581"/>
    <w:rsid w:val="5E83026A"/>
    <w:rsid w:val="5E833DF8"/>
    <w:rsid w:val="5E83A5C3"/>
    <w:rsid w:val="5E85571E"/>
    <w:rsid w:val="5E8A7DF1"/>
    <w:rsid w:val="5E8F2BA3"/>
    <w:rsid w:val="5E9422B1"/>
    <w:rsid w:val="5E95DAF2"/>
    <w:rsid w:val="5E962030"/>
    <w:rsid w:val="5E9A7FB5"/>
    <w:rsid w:val="5EA13F3E"/>
    <w:rsid w:val="5EA2C2AD"/>
    <w:rsid w:val="5EA87C24"/>
    <w:rsid w:val="5EA9EECC"/>
    <w:rsid w:val="5EAA165F"/>
    <w:rsid w:val="5EABA55F"/>
    <w:rsid w:val="5EB11B25"/>
    <w:rsid w:val="5EB37C17"/>
    <w:rsid w:val="5EB514C4"/>
    <w:rsid w:val="5EB51A94"/>
    <w:rsid w:val="5EB57192"/>
    <w:rsid w:val="5EB6A56B"/>
    <w:rsid w:val="5EBA7E57"/>
    <w:rsid w:val="5EBB2DB6"/>
    <w:rsid w:val="5EBE296A"/>
    <w:rsid w:val="5ECA7309"/>
    <w:rsid w:val="5ECF83F7"/>
    <w:rsid w:val="5ED53E5C"/>
    <w:rsid w:val="5EDBF749"/>
    <w:rsid w:val="5EDF1830"/>
    <w:rsid w:val="5EE1A2D9"/>
    <w:rsid w:val="5EE1CA3C"/>
    <w:rsid w:val="5EE5BCD2"/>
    <w:rsid w:val="5EE90FCF"/>
    <w:rsid w:val="5EF08069"/>
    <w:rsid w:val="5EF13B4C"/>
    <w:rsid w:val="5EF1897B"/>
    <w:rsid w:val="5EF221D4"/>
    <w:rsid w:val="5EF2C9B4"/>
    <w:rsid w:val="5EF42E8D"/>
    <w:rsid w:val="5EF83752"/>
    <w:rsid w:val="5EF873F6"/>
    <w:rsid w:val="5EFA12F5"/>
    <w:rsid w:val="5EFB1E21"/>
    <w:rsid w:val="5F09E68F"/>
    <w:rsid w:val="5F0A3B3B"/>
    <w:rsid w:val="5F0AFF11"/>
    <w:rsid w:val="5F0EEC8A"/>
    <w:rsid w:val="5F11854C"/>
    <w:rsid w:val="5F11B158"/>
    <w:rsid w:val="5F11F642"/>
    <w:rsid w:val="5F13543C"/>
    <w:rsid w:val="5F142E1A"/>
    <w:rsid w:val="5F171929"/>
    <w:rsid w:val="5F178DB4"/>
    <w:rsid w:val="5F221B03"/>
    <w:rsid w:val="5F23336E"/>
    <w:rsid w:val="5F24DBB3"/>
    <w:rsid w:val="5F2904E0"/>
    <w:rsid w:val="5F2B83A1"/>
    <w:rsid w:val="5F2E6083"/>
    <w:rsid w:val="5F30BA5B"/>
    <w:rsid w:val="5F30C477"/>
    <w:rsid w:val="5F388D45"/>
    <w:rsid w:val="5F3CB7EE"/>
    <w:rsid w:val="5F40DD62"/>
    <w:rsid w:val="5F41A9BB"/>
    <w:rsid w:val="5F436B01"/>
    <w:rsid w:val="5F459CCD"/>
    <w:rsid w:val="5F45F4CD"/>
    <w:rsid w:val="5F4652C3"/>
    <w:rsid w:val="5F46ED62"/>
    <w:rsid w:val="5F4B9671"/>
    <w:rsid w:val="5F4EB349"/>
    <w:rsid w:val="5F4EBA20"/>
    <w:rsid w:val="5F4ECFDA"/>
    <w:rsid w:val="5F513BC7"/>
    <w:rsid w:val="5F593AD1"/>
    <w:rsid w:val="5F5D266E"/>
    <w:rsid w:val="5F5E6B52"/>
    <w:rsid w:val="5F6003BA"/>
    <w:rsid w:val="5F628A9F"/>
    <w:rsid w:val="5F67A8F4"/>
    <w:rsid w:val="5F68992A"/>
    <w:rsid w:val="5F69C9F9"/>
    <w:rsid w:val="5F6A7F76"/>
    <w:rsid w:val="5F6CCD57"/>
    <w:rsid w:val="5F6F1628"/>
    <w:rsid w:val="5F6F18E5"/>
    <w:rsid w:val="5F7154F7"/>
    <w:rsid w:val="5F71C853"/>
    <w:rsid w:val="5F7360E6"/>
    <w:rsid w:val="5F75C8BD"/>
    <w:rsid w:val="5F763500"/>
    <w:rsid w:val="5F7FB004"/>
    <w:rsid w:val="5F8148E0"/>
    <w:rsid w:val="5F849333"/>
    <w:rsid w:val="5F8625C3"/>
    <w:rsid w:val="5F89555A"/>
    <w:rsid w:val="5F8FBD36"/>
    <w:rsid w:val="5F909D2C"/>
    <w:rsid w:val="5F921F05"/>
    <w:rsid w:val="5F96125B"/>
    <w:rsid w:val="5F9AAB23"/>
    <w:rsid w:val="5F9C9EE7"/>
    <w:rsid w:val="5FA38A62"/>
    <w:rsid w:val="5FA4BF33"/>
    <w:rsid w:val="5FA4DDA2"/>
    <w:rsid w:val="5FA6D861"/>
    <w:rsid w:val="5FA7AE97"/>
    <w:rsid w:val="5FA8F0EE"/>
    <w:rsid w:val="5FAA6A70"/>
    <w:rsid w:val="5FACA2FB"/>
    <w:rsid w:val="5FB1B24E"/>
    <w:rsid w:val="5FB566B5"/>
    <w:rsid w:val="5FB61CC8"/>
    <w:rsid w:val="5FBEF2F3"/>
    <w:rsid w:val="5FC18888"/>
    <w:rsid w:val="5FC20664"/>
    <w:rsid w:val="5FC59FD7"/>
    <w:rsid w:val="5FC75177"/>
    <w:rsid w:val="5FCBD206"/>
    <w:rsid w:val="5FCDB58B"/>
    <w:rsid w:val="5FD1C403"/>
    <w:rsid w:val="5FD36C67"/>
    <w:rsid w:val="5FD6144C"/>
    <w:rsid w:val="5FD8CDD7"/>
    <w:rsid w:val="5FD906EA"/>
    <w:rsid w:val="5FDAC511"/>
    <w:rsid w:val="5FDB1FA4"/>
    <w:rsid w:val="5FDB2207"/>
    <w:rsid w:val="5FE37EE3"/>
    <w:rsid w:val="5FEDDADE"/>
    <w:rsid w:val="5FF07932"/>
    <w:rsid w:val="5FF0B1C7"/>
    <w:rsid w:val="5FF58212"/>
    <w:rsid w:val="5FF90ABF"/>
    <w:rsid w:val="5FFC0095"/>
    <w:rsid w:val="5FFC04BF"/>
    <w:rsid w:val="5FFCA984"/>
    <w:rsid w:val="5FFCE6E9"/>
    <w:rsid w:val="5FFD67E3"/>
    <w:rsid w:val="5FFEA75D"/>
    <w:rsid w:val="5FFFD83C"/>
    <w:rsid w:val="60029E93"/>
    <w:rsid w:val="60054961"/>
    <w:rsid w:val="6005C80D"/>
    <w:rsid w:val="60079F1F"/>
    <w:rsid w:val="6009A44C"/>
    <w:rsid w:val="600A171F"/>
    <w:rsid w:val="600B055B"/>
    <w:rsid w:val="600BA5B1"/>
    <w:rsid w:val="600CB9C7"/>
    <w:rsid w:val="600D6ACD"/>
    <w:rsid w:val="600F1404"/>
    <w:rsid w:val="601340D6"/>
    <w:rsid w:val="601A65CB"/>
    <w:rsid w:val="601C6690"/>
    <w:rsid w:val="601E5D9A"/>
    <w:rsid w:val="60286F32"/>
    <w:rsid w:val="602AE14C"/>
    <w:rsid w:val="602D86AB"/>
    <w:rsid w:val="6030828A"/>
    <w:rsid w:val="6038A22C"/>
    <w:rsid w:val="603CCD94"/>
    <w:rsid w:val="603E3938"/>
    <w:rsid w:val="603EA5A9"/>
    <w:rsid w:val="604E39C9"/>
    <w:rsid w:val="604ED21F"/>
    <w:rsid w:val="6050EAA5"/>
    <w:rsid w:val="60532C3E"/>
    <w:rsid w:val="605618EF"/>
    <w:rsid w:val="605BBE80"/>
    <w:rsid w:val="605D4E07"/>
    <w:rsid w:val="6060B548"/>
    <w:rsid w:val="60653407"/>
    <w:rsid w:val="60696CF9"/>
    <w:rsid w:val="6069D563"/>
    <w:rsid w:val="606C4CAC"/>
    <w:rsid w:val="606CDBC6"/>
    <w:rsid w:val="606F9099"/>
    <w:rsid w:val="60703A06"/>
    <w:rsid w:val="60737562"/>
    <w:rsid w:val="6075F57D"/>
    <w:rsid w:val="607780CB"/>
    <w:rsid w:val="6077E156"/>
    <w:rsid w:val="607B69FE"/>
    <w:rsid w:val="607F4A38"/>
    <w:rsid w:val="6085ABC2"/>
    <w:rsid w:val="6086C707"/>
    <w:rsid w:val="608AAC8E"/>
    <w:rsid w:val="608B9740"/>
    <w:rsid w:val="608BE861"/>
    <w:rsid w:val="608E264A"/>
    <w:rsid w:val="608F175B"/>
    <w:rsid w:val="6090D035"/>
    <w:rsid w:val="60912590"/>
    <w:rsid w:val="6094073B"/>
    <w:rsid w:val="60975AF2"/>
    <w:rsid w:val="6097E63E"/>
    <w:rsid w:val="6098F6B2"/>
    <w:rsid w:val="609E8E34"/>
    <w:rsid w:val="60A06070"/>
    <w:rsid w:val="60A1540F"/>
    <w:rsid w:val="60A502CF"/>
    <w:rsid w:val="60A56D39"/>
    <w:rsid w:val="60A7AE60"/>
    <w:rsid w:val="60A958A6"/>
    <w:rsid w:val="60A9FD12"/>
    <w:rsid w:val="60AA9211"/>
    <w:rsid w:val="60B40FD5"/>
    <w:rsid w:val="60B53A53"/>
    <w:rsid w:val="60B6EE45"/>
    <w:rsid w:val="60BCE92E"/>
    <w:rsid w:val="60BE7E0D"/>
    <w:rsid w:val="60C1E2BF"/>
    <w:rsid w:val="60C27767"/>
    <w:rsid w:val="60C2DA24"/>
    <w:rsid w:val="60C3F5D4"/>
    <w:rsid w:val="60C4F94D"/>
    <w:rsid w:val="60C52E65"/>
    <w:rsid w:val="60CB00CF"/>
    <w:rsid w:val="60CCCE33"/>
    <w:rsid w:val="60D1B1FD"/>
    <w:rsid w:val="60D5E48D"/>
    <w:rsid w:val="60D94EE7"/>
    <w:rsid w:val="60DD4D13"/>
    <w:rsid w:val="60E2B99F"/>
    <w:rsid w:val="60E32543"/>
    <w:rsid w:val="60E38048"/>
    <w:rsid w:val="60E67229"/>
    <w:rsid w:val="60E6F03D"/>
    <w:rsid w:val="60E72B1D"/>
    <w:rsid w:val="60E74858"/>
    <w:rsid w:val="60E8F714"/>
    <w:rsid w:val="60EC2C60"/>
    <w:rsid w:val="60ED006A"/>
    <w:rsid w:val="60EF5B5B"/>
    <w:rsid w:val="60EFA323"/>
    <w:rsid w:val="60F0BF66"/>
    <w:rsid w:val="60F5EB65"/>
    <w:rsid w:val="60F61686"/>
    <w:rsid w:val="60F704D5"/>
    <w:rsid w:val="60F7AA6F"/>
    <w:rsid w:val="60FBC290"/>
    <w:rsid w:val="60FEAFF6"/>
    <w:rsid w:val="61030F01"/>
    <w:rsid w:val="6103A5EA"/>
    <w:rsid w:val="610798FC"/>
    <w:rsid w:val="61096587"/>
    <w:rsid w:val="6109F964"/>
    <w:rsid w:val="610C267E"/>
    <w:rsid w:val="610E3E5A"/>
    <w:rsid w:val="6110D47A"/>
    <w:rsid w:val="61113494"/>
    <w:rsid w:val="6118E23A"/>
    <w:rsid w:val="6118FE98"/>
    <w:rsid w:val="611DA8E1"/>
    <w:rsid w:val="611F6B1B"/>
    <w:rsid w:val="61206DE5"/>
    <w:rsid w:val="6121A375"/>
    <w:rsid w:val="6122CD28"/>
    <w:rsid w:val="61295F99"/>
    <w:rsid w:val="612D1953"/>
    <w:rsid w:val="612FC5A0"/>
    <w:rsid w:val="6131720B"/>
    <w:rsid w:val="613415D6"/>
    <w:rsid w:val="613596A1"/>
    <w:rsid w:val="61365B6F"/>
    <w:rsid w:val="6136C329"/>
    <w:rsid w:val="6138910D"/>
    <w:rsid w:val="6138ABB3"/>
    <w:rsid w:val="6139A0B4"/>
    <w:rsid w:val="6140A999"/>
    <w:rsid w:val="61422146"/>
    <w:rsid w:val="614B4445"/>
    <w:rsid w:val="614DCCFE"/>
    <w:rsid w:val="614E0D90"/>
    <w:rsid w:val="61503B45"/>
    <w:rsid w:val="615275C4"/>
    <w:rsid w:val="61532ACA"/>
    <w:rsid w:val="6153521C"/>
    <w:rsid w:val="61554266"/>
    <w:rsid w:val="615688A0"/>
    <w:rsid w:val="6158F93C"/>
    <w:rsid w:val="61597538"/>
    <w:rsid w:val="61597885"/>
    <w:rsid w:val="6159E8D1"/>
    <w:rsid w:val="615C0451"/>
    <w:rsid w:val="615CE4B3"/>
    <w:rsid w:val="61604254"/>
    <w:rsid w:val="61608A8A"/>
    <w:rsid w:val="61629CC1"/>
    <w:rsid w:val="616665D4"/>
    <w:rsid w:val="617321F1"/>
    <w:rsid w:val="617A47AB"/>
    <w:rsid w:val="617C711A"/>
    <w:rsid w:val="617DED96"/>
    <w:rsid w:val="617E46D3"/>
    <w:rsid w:val="61861EC0"/>
    <w:rsid w:val="618B461A"/>
    <w:rsid w:val="618BA1F8"/>
    <w:rsid w:val="618BFCD2"/>
    <w:rsid w:val="618D10BE"/>
    <w:rsid w:val="618FBE29"/>
    <w:rsid w:val="6190F85B"/>
    <w:rsid w:val="6193AE4D"/>
    <w:rsid w:val="6195D584"/>
    <w:rsid w:val="61971060"/>
    <w:rsid w:val="61983D05"/>
    <w:rsid w:val="619977DA"/>
    <w:rsid w:val="6199C6AA"/>
    <w:rsid w:val="61A2A345"/>
    <w:rsid w:val="61A4A983"/>
    <w:rsid w:val="61A63596"/>
    <w:rsid w:val="61A6F924"/>
    <w:rsid w:val="61A8B592"/>
    <w:rsid w:val="61AAC7EE"/>
    <w:rsid w:val="61AB7830"/>
    <w:rsid w:val="61AC087E"/>
    <w:rsid w:val="61B06AF4"/>
    <w:rsid w:val="61B07ED2"/>
    <w:rsid w:val="61B1D242"/>
    <w:rsid w:val="61B229C4"/>
    <w:rsid w:val="61B3D85F"/>
    <w:rsid w:val="61BA9764"/>
    <w:rsid w:val="61BF2AF0"/>
    <w:rsid w:val="61BFBED1"/>
    <w:rsid w:val="61C6AF4D"/>
    <w:rsid w:val="61C8CE93"/>
    <w:rsid w:val="61CF25C0"/>
    <w:rsid w:val="61CF4E94"/>
    <w:rsid w:val="61CFE057"/>
    <w:rsid w:val="61D009C4"/>
    <w:rsid w:val="61D8A160"/>
    <w:rsid w:val="61DB96E4"/>
    <w:rsid w:val="61DBBA71"/>
    <w:rsid w:val="61DBCFD6"/>
    <w:rsid w:val="61DBD692"/>
    <w:rsid w:val="61DDC71F"/>
    <w:rsid w:val="61DF3044"/>
    <w:rsid w:val="61E1A590"/>
    <w:rsid w:val="61E1C540"/>
    <w:rsid w:val="61EC3A5A"/>
    <w:rsid w:val="61EC5A46"/>
    <w:rsid w:val="61ED37EF"/>
    <w:rsid w:val="61EDD153"/>
    <w:rsid w:val="61EE3959"/>
    <w:rsid w:val="61EF358F"/>
    <w:rsid w:val="61EF98D4"/>
    <w:rsid w:val="61F18C01"/>
    <w:rsid w:val="61F419B4"/>
    <w:rsid w:val="61F9EF36"/>
    <w:rsid w:val="61FD19B1"/>
    <w:rsid w:val="61FF9F0D"/>
    <w:rsid w:val="62005A04"/>
    <w:rsid w:val="620248F7"/>
    <w:rsid w:val="62024AA5"/>
    <w:rsid w:val="620310A7"/>
    <w:rsid w:val="62034A75"/>
    <w:rsid w:val="6203D7C1"/>
    <w:rsid w:val="6204882F"/>
    <w:rsid w:val="6206EFD5"/>
    <w:rsid w:val="620F4F2D"/>
    <w:rsid w:val="621241AA"/>
    <w:rsid w:val="62155FCD"/>
    <w:rsid w:val="62169A24"/>
    <w:rsid w:val="62172A07"/>
    <w:rsid w:val="621CA2E1"/>
    <w:rsid w:val="621DA354"/>
    <w:rsid w:val="621F56C9"/>
    <w:rsid w:val="622079E8"/>
    <w:rsid w:val="622370F8"/>
    <w:rsid w:val="6227A520"/>
    <w:rsid w:val="622A2AD9"/>
    <w:rsid w:val="622CEF79"/>
    <w:rsid w:val="622DD38E"/>
    <w:rsid w:val="622EC0FC"/>
    <w:rsid w:val="62327428"/>
    <w:rsid w:val="6233EB00"/>
    <w:rsid w:val="6236751A"/>
    <w:rsid w:val="623C1443"/>
    <w:rsid w:val="623F0841"/>
    <w:rsid w:val="62403A19"/>
    <w:rsid w:val="6240F769"/>
    <w:rsid w:val="6244DE9B"/>
    <w:rsid w:val="624B05AC"/>
    <w:rsid w:val="624B30EE"/>
    <w:rsid w:val="624F3609"/>
    <w:rsid w:val="62510557"/>
    <w:rsid w:val="62520B2F"/>
    <w:rsid w:val="6255109D"/>
    <w:rsid w:val="62590C4C"/>
    <w:rsid w:val="625AE310"/>
    <w:rsid w:val="625BC5D8"/>
    <w:rsid w:val="625F4E78"/>
    <w:rsid w:val="625FD651"/>
    <w:rsid w:val="62623823"/>
    <w:rsid w:val="62640E82"/>
    <w:rsid w:val="62648704"/>
    <w:rsid w:val="626693FB"/>
    <w:rsid w:val="6269C48F"/>
    <w:rsid w:val="626A51DB"/>
    <w:rsid w:val="626CDD4E"/>
    <w:rsid w:val="626D802E"/>
    <w:rsid w:val="626FC3A9"/>
    <w:rsid w:val="627040F4"/>
    <w:rsid w:val="6273DCE7"/>
    <w:rsid w:val="6279D733"/>
    <w:rsid w:val="627AC7BD"/>
    <w:rsid w:val="627CFD7F"/>
    <w:rsid w:val="62881FE5"/>
    <w:rsid w:val="6289EE4B"/>
    <w:rsid w:val="628B0411"/>
    <w:rsid w:val="628B4B3C"/>
    <w:rsid w:val="628E5DCC"/>
    <w:rsid w:val="628FFE18"/>
    <w:rsid w:val="629613B5"/>
    <w:rsid w:val="629F061A"/>
    <w:rsid w:val="62A29E59"/>
    <w:rsid w:val="62A339A7"/>
    <w:rsid w:val="62A57F92"/>
    <w:rsid w:val="62A80D72"/>
    <w:rsid w:val="62AEEF82"/>
    <w:rsid w:val="62B4C655"/>
    <w:rsid w:val="62B6716A"/>
    <w:rsid w:val="62B8E90C"/>
    <w:rsid w:val="62B9888A"/>
    <w:rsid w:val="62BD9F24"/>
    <w:rsid w:val="62C0A884"/>
    <w:rsid w:val="62C97B88"/>
    <w:rsid w:val="62CE0F7F"/>
    <w:rsid w:val="62D0DC58"/>
    <w:rsid w:val="62D3B2C6"/>
    <w:rsid w:val="62D6F009"/>
    <w:rsid w:val="62D849B1"/>
    <w:rsid w:val="62E134D5"/>
    <w:rsid w:val="62E21263"/>
    <w:rsid w:val="62E314F2"/>
    <w:rsid w:val="62E72644"/>
    <w:rsid w:val="62FB5B6D"/>
    <w:rsid w:val="62FC0CFE"/>
    <w:rsid w:val="63080A29"/>
    <w:rsid w:val="630EDA29"/>
    <w:rsid w:val="630F9882"/>
    <w:rsid w:val="63125C05"/>
    <w:rsid w:val="63196362"/>
    <w:rsid w:val="631B8D72"/>
    <w:rsid w:val="631DA5AD"/>
    <w:rsid w:val="63205093"/>
    <w:rsid w:val="6320C235"/>
    <w:rsid w:val="6322B2B1"/>
    <w:rsid w:val="63232EBC"/>
    <w:rsid w:val="632A4A71"/>
    <w:rsid w:val="632B2314"/>
    <w:rsid w:val="632C96E2"/>
    <w:rsid w:val="632EBD8F"/>
    <w:rsid w:val="6335723E"/>
    <w:rsid w:val="63362543"/>
    <w:rsid w:val="63389C66"/>
    <w:rsid w:val="63467DF8"/>
    <w:rsid w:val="63474891"/>
    <w:rsid w:val="6347CF17"/>
    <w:rsid w:val="634AD698"/>
    <w:rsid w:val="635285D8"/>
    <w:rsid w:val="6353AED3"/>
    <w:rsid w:val="6353B107"/>
    <w:rsid w:val="635823CF"/>
    <w:rsid w:val="63593E7B"/>
    <w:rsid w:val="6359BF8B"/>
    <w:rsid w:val="635BEF8E"/>
    <w:rsid w:val="63618665"/>
    <w:rsid w:val="6362C599"/>
    <w:rsid w:val="6362ECD9"/>
    <w:rsid w:val="63633666"/>
    <w:rsid w:val="63646597"/>
    <w:rsid w:val="6365541B"/>
    <w:rsid w:val="63682A8C"/>
    <w:rsid w:val="63692EDC"/>
    <w:rsid w:val="63692FBB"/>
    <w:rsid w:val="636D2B2B"/>
    <w:rsid w:val="636D97E3"/>
    <w:rsid w:val="636E4094"/>
    <w:rsid w:val="6370F93B"/>
    <w:rsid w:val="6377E157"/>
    <w:rsid w:val="637AD181"/>
    <w:rsid w:val="637D6D39"/>
    <w:rsid w:val="637DFD74"/>
    <w:rsid w:val="637EDCF3"/>
    <w:rsid w:val="63800625"/>
    <w:rsid w:val="63831C60"/>
    <w:rsid w:val="6383C52A"/>
    <w:rsid w:val="6385AA15"/>
    <w:rsid w:val="6386B8F1"/>
    <w:rsid w:val="63885469"/>
    <w:rsid w:val="638B5FD7"/>
    <w:rsid w:val="638D2839"/>
    <w:rsid w:val="63921439"/>
    <w:rsid w:val="63958F9C"/>
    <w:rsid w:val="639A07F0"/>
    <w:rsid w:val="639B1663"/>
    <w:rsid w:val="639D60BA"/>
    <w:rsid w:val="639E907D"/>
    <w:rsid w:val="639F54AD"/>
    <w:rsid w:val="639F64ED"/>
    <w:rsid w:val="63A22A43"/>
    <w:rsid w:val="63A3A70F"/>
    <w:rsid w:val="63A6267D"/>
    <w:rsid w:val="63AC277D"/>
    <w:rsid w:val="63AD727E"/>
    <w:rsid w:val="63AEAF87"/>
    <w:rsid w:val="63B1F9EA"/>
    <w:rsid w:val="63B4E624"/>
    <w:rsid w:val="63BD42C9"/>
    <w:rsid w:val="63C592F7"/>
    <w:rsid w:val="63C5BED8"/>
    <w:rsid w:val="63C800A6"/>
    <w:rsid w:val="63C96249"/>
    <w:rsid w:val="63C9CE2C"/>
    <w:rsid w:val="63CAC2D4"/>
    <w:rsid w:val="63CADB2A"/>
    <w:rsid w:val="63CE19D9"/>
    <w:rsid w:val="63CEF347"/>
    <w:rsid w:val="63D60E48"/>
    <w:rsid w:val="63D75265"/>
    <w:rsid w:val="63D78599"/>
    <w:rsid w:val="63D8CFEE"/>
    <w:rsid w:val="63D97AB0"/>
    <w:rsid w:val="63DAE4A8"/>
    <w:rsid w:val="63DAE94F"/>
    <w:rsid w:val="63DD4C8B"/>
    <w:rsid w:val="63E0A8FA"/>
    <w:rsid w:val="63E3FDE6"/>
    <w:rsid w:val="63E40361"/>
    <w:rsid w:val="63E4DFE2"/>
    <w:rsid w:val="63E62F68"/>
    <w:rsid w:val="63E68055"/>
    <w:rsid w:val="63E76E09"/>
    <w:rsid w:val="63EC4984"/>
    <w:rsid w:val="63EC8C14"/>
    <w:rsid w:val="63ED3D73"/>
    <w:rsid w:val="63F2B3CD"/>
    <w:rsid w:val="63F3AF49"/>
    <w:rsid w:val="63F52C19"/>
    <w:rsid w:val="63F78F97"/>
    <w:rsid w:val="63F97290"/>
    <w:rsid w:val="63FC6BE3"/>
    <w:rsid w:val="63FCDEA4"/>
    <w:rsid w:val="63FEB85B"/>
    <w:rsid w:val="6402D23F"/>
    <w:rsid w:val="640385B3"/>
    <w:rsid w:val="6404C8B8"/>
    <w:rsid w:val="6405C275"/>
    <w:rsid w:val="640621DB"/>
    <w:rsid w:val="6406F426"/>
    <w:rsid w:val="640E2515"/>
    <w:rsid w:val="640EA31C"/>
    <w:rsid w:val="640EA607"/>
    <w:rsid w:val="641118CF"/>
    <w:rsid w:val="64156B0E"/>
    <w:rsid w:val="6415B1F4"/>
    <w:rsid w:val="64170421"/>
    <w:rsid w:val="64210160"/>
    <w:rsid w:val="6427117F"/>
    <w:rsid w:val="642AFEE8"/>
    <w:rsid w:val="642BB722"/>
    <w:rsid w:val="64316CBD"/>
    <w:rsid w:val="6435DB4B"/>
    <w:rsid w:val="6438DCE7"/>
    <w:rsid w:val="643D7F05"/>
    <w:rsid w:val="643F26F1"/>
    <w:rsid w:val="6440E628"/>
    <w:rsid w:val="6445943E"/>
    <w:rsid w:val="64467210"/>
    <w:rsid w:val="64472202"/>
    <w:rsid w:val="64478792"/>
    <w:rsid w:val="644A5FC4"/>
    <w:rsid w:val="644C27DA"/>
    <w:rsid w:val="644F03CC"/>
    <w:rsid w:val="64509741"/>
    <w:rsid w:val="6452A914"/>
    <w:rsid w:val="645783AE"/>
    <w:rsid w:val="64583C12"/>
    <w:rsid w:val="645C183F"/>
    <w:rsid w:val="645D0835"/>
    <w:rsid w:val="645D2C16"/>
    <w:rsid w:val="645F5C6D"/>
    <w:rsid w:val="646099C8"/>
    <w:rsid w:val="6468610D"/>
    <w:rsid w:val="6468DFDA"/>
    <w:rsid w:val="6469EC04"/>
    <w:rsid w:val="646A501D"/>
    <w:rsid w:val="646E3E6E"/>
    <w:rsid w:val="646EE149"/>
    <w:rsid w:val="646FAEC4"/>
    <w:rsid w:val="6471D09F"/>
    <w:rsid w:val="647344BA"/>
    <w:rsid w:val="6473B278"/>
    <w:rsid w:val="647631E5"/>
    <w:rsid w:val="64775632"/>
    <w:rsid w:val="6478DA90"/>
    <w:rsid w:val="6480EC5D"/>
    <w:rsid w:val="6481F11F"/>
    <w:rsid w:val="64860A4A"/>
    <w:rsid w:val="64887EDB"/>
    <w:rsid w:val="6488EC99"/>
    <w:rsid w:val="648F8654"/>
    <w:rsid w:val="64905170"/>
    <w:rsid w:val="6491A0D7"/>
    <w:rsid w:val="64928C47"/>
    <w:rsid w:val="6493C404"/>
    <w:rsid w:val="6495042A"/>
    <w:rsid w:val="64955CD3"/>
    <w:rsid w:val="6497DD5F"/>
    <w:rsid w:val="649BD8AF"/>
    <w:rsid w:val="649C2040"/>
    <w:rsid w:val="649C26C5"/>
    <w:rsid w:val="649C63DD"/>
    <w:rsid w:val="649CB92A"/>
    <w:rsid w:val="649E3B98"/>
    <w:rsid w:val="64A0E878"/>
    <w:rsid w:val="64A4C218"/>
    <w:rsid w:val="64AA2FA6"/>
    <w:rsid w:val="64AAD0E4"/>
    <w:rsid w:val="64AB07C9"/>
    <w:rsid w:val="64ACF8D4"/>
    <w:rsid w:val="64AF160A"/>
    <w:rsid w:val="64B47496"/>
    <w:rsid w:val="64B564B1"/>
    <w:rsid w:val="64B57FD1"/>
    <w:rsid w:val="64B858D0"/>
    <w:rsid w:val="64BA7BCF"/>
    <w:rsid w:val="64BD9EBB"/>
    <w:rsid w:val="64C04CDC"/>
    <w:rsid w:val="64C0AE21"/>
    <w:rsid w:val="64C1BF28"/>
    <w:rsid w:val="64C3CE83"/>
    <w:rsid w:val="64CCC006"/>
    <w:rsid w:val="64CCD801"/>
    <w:rsid w:val="64D1D905"/>
    <w:rsid w:val="64D2D6BC"/>
    <w:rsid w:val="64D40744"/>
    <w:rsid w:val="64D46636"/>
    <w:rsid w:val="64D8CE1F"/>
    <w:rsid w:val="64DC85AD"/>
    <w:rsid w:val="64E29FFA"/>
    <w:rsid w:val="64E85D19"/>
    <w:rsid w:val="64E9F76B"/>
    <w:rsid w:val="64EB4541"/>
    <w:rsid w:val="64ED761A"/>
    <w:rsid w:val="64EF552F"/>
    <w:rsid w:val="64F066E4"/>
    <w:rsid w:val="64F7ACBE"/>
    <w:rsid w:val="64F7F775"/>
    <w:rsid w:val="64FC8033"/>
    <w:rsid w:val="650014A3"/>
    <w:rsid w:val="65015AB0"/>
    <w:rsid w:val="65019147"/>
    <w:rsid w:val="6501E68F"/>
    <w:rsid w:val="65050596"/>
    <w:rsid w:val="65050B55"/>
    <w:rsid w:val="65065F58"/>
    <w:rsid w:val="6508E868"/>
    <w:rsid w:val="65096BC6"/>
    <w:rsid w:val="650AA297"/>
    <w:rsid w:val="6515C22E"/>
    <w:rsid w:val="651828F3"/>
    <w:rsid w:val="6519EFC6"/>
    <w:rsid w:val="651ED7F1"/>
    <w:rsid w:val="651F980C"/>
    <w:rsid w:val="6522AF8F"/>
    <w:rsid w:val="6522D479"/>
    <w:rsid w:val="65239453"/>
    <w:rsid w:val="652BC071"/>
    <w:rsid w:val="652BC9C8"/>
    <w:rsid w:val="652DF273"/>
    <w:rsid w:val="65320BDB"/>
    <w:rsid w:val="65326DD6"/>
    <w:rsid w:val="6532DFFB"/>
    <w:rsid w:val="653577AE"/>
    <w:rsid w:val="653728EC"/>
    <w:rsid w:val="65395410"/>
    <w:rsid w:val="653E9AC9"/>
    <w:rsid w:val="653F6A7D"/>
    <w:rsid w:val="6543CAAB"/>
    <w:rsid w:val="65462F8B"/>
    <w:rsid w:val="654CCA08"/>
    <w:rsid w:val="654FFAEF"/>
    <w:rsid w:val="65512C6E"/>
    <w:rsid w:val="6551F4A9"/>
    <w:rsid w:val="6553269E"/>
    <w:rsid w:val="655679BC"/>
    <w:rsid w:val="6559267E"/>
    <w:rsid w:val="655B9D39"/>
    <w:rsid w:val="655FAE5F"/>
    <w:rsid w:val="65601B73"/>
    <w:rsid w:val="6562CA56"/>
    <w:rsid w:val="65633046"/>
    <w:rsid w:val="65655DEB"/>
    <w:rsid w:val="6565BCD3"/>
    <w:rsid w:val="656872CD"/>
    <w:rsid w:val="656B1489"/>
    <w:rsid w:val="65749000"/>
    <w:rsid w:val="6574B542"/>
    <w:rsid w:val="657521C4"/>
    <w:rsid w:val="6579C94A"/>
    <w:rsid w:val="657ABA59"/>
    <w:rsid w:val="657BC77E"/>
    <w:rsid w:val="657BD491"/>
    <w:rsid w:val="657F4EAA"/>
    <w:rsid w:val="657FC76B"/>
    <w:rsid w:val="65816363"/>
    <w:rsid w:val="6581DDE3"/>
    <w:rsid w:val="6583AA79"/>
    <w:rsid w:val="658679E5"/>
    <w:rsid w:val="6588478A"/>
    <w:rsid w:val="658B2F86"/>
    <w:rsid w:val="658B6551"/>
    <w:rsid w:val="658BF3FE"/>
    <w:rsid w:val="658ECA3E"/>
    <w:rsid w:val="65910F78"/>
    <w:rsid w:val="6591DD39"/>
    <w:rsid w:val="65931BDD"/>
    <w:rsid w:val="65997181"/>
    <w:rsid w:val="659BAA44"/>
    <w:rsid w:val="659D7930"/>
    <w:rsid w:val="65A04904"/>
    <w:rsid w:val="65A115A9"/>
    <w:rsid w:val="65A1ED63"/>
    <w:rsid w:val="65A227C0"/>
    <w:rsid w:val="65A22967"/>
    <w:rsid w:val="65A29BC8"/>
    <w:rsid w:val="65AA737D"/>
    <w:rsid w:val="65AD3FC2"/>
    <w:rsid w:val="65AFEB39"/>
    <w:rsid w:val="65B23BB1"/>
    <w:rsid w:val="65B31038"/>
    <w:rsid w:val="65B53DCF"/>
    <w:rsid w:val="65B5CFEF"/>
    <w:rsid w:val="65B73D2A"/>
    <w:rsid w:val="65BA1366"/>
    <w:rsid w:val="65BAA503"/>
    <w:rsid w:val="65BDD503"/>
    <w:rsid w:val="65BE0F8F"/>
    <w:rsid w:val="65BE4D1D"/>
    <w:rsid w:val="65BF7F77"/>
    <w:rsid w:val="65C2B9E9"/>
    <w:rsid w:val="65C4331A"/>
    <w:rsid w:val="65C4F361"/>
    <w:rsid w:val="65C88ECB"/>
    <w:rsid w:val="65C8C58B"/>
    <w:rsid w:val="65C90F8F"/>
    <w:rsid w:val="65C9AB0F"/>
    <w:rsid w:val="65CC0A3A"/>
    <w:rsid w:val="65CC3000"/>
    <w:rsid w:val="65CC662F"/>
    <w:rsid w:val="65D0592D"/>
    <w:rsid w:val="65D4403E"/>
    <w:rsid w:val="65D6F8B0"/>
    <w:rsid w:val="65D9E924"/>
    <w:rsid w:val="65DAE552"/>
    <w:rsid w:val="65DD2CAE"/>
    <w:rsid w:val="65DFC6D7"/>
    <w:rsid w:val="65E0E449"/>
    <w:rsid w:val="65E11CCC"/>
    <w:rsid w:val="65E194F5"/>
    <w:rsid w:val="65E283EF"/>
    <w:rsid w:val="65E2B28C"/>
    <w:rsid w:val="65E3EB93"/>
    <w:rsid w:val="65E3EEBD"/>
    <w:rsid w:val="65E4A3F3"/>
    <w:rsid w:val="65E5E600"/>
    <w:rsid w:val="65E7ACD5"/>
    <w:rsid w:val="65E926E0"/>
    <w:rsid w:val="65E9A9F4"/>
    <w:rsid w:val="65E9DB1F"/>
    <w:rsid w:val="65F00542"/>
    <w:rsid w:val="65F0F081"/>
    <w:rsid w:val="65F21D1A"/>
    <w:rsid w:val="65F45824"/>
    <w:rsid w:val="65FCECE8"/>
    <w:rsid w:val="65FE1C1E"/>
    <w:rsid w:val="6600B11F"/>
    <w:rsid w:val="66021F98"/>
    <w:rsid w:val="6602461B"/>
    <w:rsid w:val="6604214A"/>
    <w:rsid w:val="66042218"/>
    <w:rsid w:val="6604937F"/>
    <w:rsid w:val="6606A0D6"/>
    <w:rsid w:val="660D3FFC"/>
    <w:rsid w:val="660D73DE"/>
    <w:rsid w:val="660D9942"/>
    <w:rsid w:val="6610F631"/>
    <w:rsid w:val="6611E853"/>
    <w:rsid w:val="6618F50B"/>
    <w:rsid w:val="6619747A"/>
    <w:rsid w:val="661A6CD3"/>
    <w:rsid w:val="661C2E35"/>
    <w:rsid w:val="661EB25A"/>
    <w:rsid w:val="662169F1"/>
    <w:rsid w:val="6623E9EB"/>
    <w:rsid w:val="66262EC4"/>
    <w:rsid w:val="66267B43"/>
    <w:rsid w:val="662CEB4C"/>
    <w:rsid w:val="662E32F1"/>
    <w:rsid w:val="66324CFA"/>
    <w:rsid w:val="663522E0"/>
    <w:rsid w:val="6637021E"/>
    <w:rsid w:val="66381DE6"/>
    <w:rsid w:val="663CBD9C"/>
    <w:rsid w:val="663CCB18"/>
    <w:rsid w:val="66402FDC"/>
    <w:rsid w:val="664219B9"/>
    <w:rsid w:val="66438767"/>
    <w:rsid w:val="6644920A"/>
    <w:rsid w:val="6646A54D"/>
    <w:rsid w:val="6648601F"/>
    <w:rsid w:val="6649D452"/>
    <w:rsid w:val="664A8172"/>
    <w:rsid w:val="664F0A4A"/>
    <w:rsid w:val="664F668D"/>
    <w:rsid w:val="664F8D72"/>
    <w:rsid w:val="66570502"/>
    <w:rsid w:val="665D0641"/>
    <w:rsid w:val="665D46D9"/>
    <w:rsid w:val="665D5AED"/>
    <w:rsid w:val="665F2780"/>
    <w:rsid w:val="6660462D"/>
    <w:rsid w:val="666100BF"/>
    <w:rsid w:val="666663EF"/>
    <w:rsid w:val="6667C036"/>
    <w:rsid w:val="66687B00"/>
    <w:rsid w:val="666CF933"/>
    <w:rsid w:val="666D9DAC"/>
    <w:rsid w:val="666E8739"/>
    <w:rsid w:val="666F77F1"/>
    <w:rsid w:val="667044CC"/>
    <w:rsid w:val="6670BB27"/>
    <w:rsid w:val="6675FF9E"/>
    <w:rsid w:val="667737F0"/>
    <w:rsid w:val="6679113C"/>
    <w:rsid w:val="667C067E"/>
    <w:rsid w:val="667FD8E7"/>
    <w:rsid w:val="66808A9E"/>
    <w:rsid w:val="6686A6B8"/>
    <w:rsid w:val="6687F72A"/>
    <w:rsid w:val="6688E94A"/>
    <w:rsid w:val="668A46B6"/>
    <w:rsid w:val="668DD89B"/>
    <w:rsid w:val="668E631C"/>
    <w:rsid w:val="6690A685"/>
    <w:rsid w:val="669234A9"/>
    <w:rsid w:val="6692E567"/>
    <w:rsid w:val="6693C444"/>
    <w:rsid w:val="669C3252"/>
    <w:rsid w:val="669DE203"/>
    <w:rsid w:val="669FB5DC"/>
    <w:rsid w:val="66A24350"/>
    <w:rsid w:val="66A3F3AD"/>
    <w:rsid w:val="66A66499"/>
    <w:rsid w:val="66A965F2"/>
    <w:rsid w:val="66B0AEB0"/>
    <w:rsid w:val="66B1334F"/>
    <w:rsid w:val="66B17AA9"/>
    <w:rsid w:val="66B24EE7"/>
    <w:rsid w:val="66B56B96"/>
    <w:rsid w:val="66C6397F"/>
    <w:rsid w:val="66CC9241"/>
    <w:rsid w:val="66CF52DF"/>
    <w:rsid w:val="66D0270F"/>
    <w:rsid w:val="66D04006"/>
    <w:rsid w:val="66D27221"/>
    <w:rsid w:val="66D4E845"/>
    <w:rsid w:val="66D7201F"/>
    <w:rsid w:val="66D7890E"/>
    <w:rsid w:val="66D84B5B"/>
    <w:rsid w:val="66DA393B"/>
    <w:rsid w:val="66DD6E41"/>
    <w:rsid w:val="66E375B6"/>
    <w:rsid w:val="66E50E7E"/>
    <w:rsid w:val="66E6154C"/>
    <w:rsid w:val="66EB93E0"/>
    <w:rsid w:val="66EB9E76"/>
    <w:rsid w:val="66EE4C71"/>
    <w:rsid w:val="66EE8B5E"/>
    <w:rsid w:val="66EED403"/>
    <w:rsid w:val="66EF21C8"/>
    <w:rsid w:val="66EF6D81"/>
    <w:rsid w:val="66F26109"/>
    <w:rsid w:val="66F2F49C"/>
    <w:rsid w:val="66F45995"/>
    <w:rsid w:val="66F5A88B"/>
    <w:rsid w:val="66F7C783"/>
    <w:rsid w:val="66F97C03"/>
    <w:rsid w:val="66FDF467"/>
    <w:rsid w:val="66FEDDC4"/>
    <w:rsid w:val="670052B1"/>
    <w:rsid w:val="67025524"/>
    <w:rsid w:val="67028FB0"/>
    <w:rsid w:val="6703266D"/>
    <w:rsid w:val="6703F276"/>
    <w:rsid w:val="67070D8D"/>
    <w:rsid w:val="67093377"/>
    <w:rsid w:val="670ACC24"/>
    <w:rsid w:val="6710CCFF"/>
    <w:rsid w:val="6710F7CC"/>
    <w:rsid w:val="671E0CA8"/>
    <w:rsid w:val="671FE933"/>
    <w:rsid w:val="6720F219"/>
    <w:rsid w:val="672138C9"/>
    <w:rsid w:val="67286FB2"/>
    <w:rsid w:val="672DA0AA"/>
    <w:rsid w:val="672DA0CB"/>
    <w:rsid w:val="672EEBAD"/>
    <w:rsid w:val="6731D149"/>
    <w:rsid w:val="6733A8DE"/>
    <w:rsid w:val="67343EBE"/>
    <w:rsid w:val="6738D97A"/>
    <w:rsid w:val="673B7F96"/>
    <w:rsid w:val="673EBD8B"/>
    <w:rsid w:val="67430C20"/>
    <w:rsid w:val="6746DCC2"/>
    <w:rsid w:val="67472D64"/>
    <w:rsid w:val="6747AFF0"/>
    <w:rsid w:val="674A7640"/>
    <w:rsid w:val="674BE81C"/>
    <w:rsid w:val="674C4945"/>
    <w:rsid w:val="674E05BE"/>
    <w:rsid w:val="6754C6E1"/>
    <w:rsid w:val="6759CF44"/>
    <w:rsid w:val="675A62DD"/>
    <w:rsid w:val="675B3123"/>
    <w:rsid w:val="675B468D"/>
    <w:rsid w:val="675EFD96"/>
    <w:rsid w:val="676094C4"/>
    <w:rsid w:val="67628617"/>
    <w:rsid w:val="6763C011"/>
    <w:rsid w:val="67687058"/>
    <w:rsid w:val="67699A4B"/>
    <w:rsid w:val="6769A9D7"/>
    <w:rsid w:val="67714CD4"/>
    <w:rsid w:val="6771ED90"/>
    <w:rsid w:val="6778928E"/>
    <w:rsid w:val="6779A99C"/>
    <w:rsid w:val="6779AF58"/>
    <w:rsid w:val="6779BC02"/>
    <w:rsid w:val="677A5473"/>
    <w:rsid w:val="678337CA"/>
    <w:rsid w:val="678688FA"/>
    <w:rsid w:val="6789AE87"/>
    <w:rsid w:val="678A1632"/>
    <w:rsid w:val="678CBDEE"/>
    <w:rsid w:val="678F67EA"/>
    <w:rsid w:val="6793FBD1"/>
    <w:rsid w:val="679E7EE9"/>
    <w:rsid w:val="679EF204"/>
    <w:rsid w:val="679F1DFA"/>
    <w:rsid w:val="67A00156"/>
    <w:rsid w:val="67A17306"/>
    <w:rsid w:val="67A18E5F"/>
    <w:rsid w:val="67AC6D2A"/>
    <w:rsid w:val="67ACD4DC"/>
    <w:rsid w:val="67ADB760"/>
    <w:rsid w:val="67B24BDC"/>
    <w:rsid w:val="67B74105"/>
    <w:rsid w:val="67BC8875"/>
    <w:rsid w:val="67BCF988"/>
    <w:rsid w:val="67BFCA4A"/>
    <w:rsid w:val="67C1819A"/>
    <w:rsid w:val="67C3E6FC"/>
    <w:rsid w:val="67C80F61"/>
    <w:rsid w:val="67C83EF9"/>
    <w:rsid w:val="67CBEC26"/>
    <w:rsid w:val="67CDD3DC"/>
    <w:rsid w:val="67CDD8E2"/>
    <w:rsid w:val="67CE2F27"/>
    <w:rsid w:val="67CE4925"/>
    <w:rsid w:val="67CF7E21"/>
    <w:rsid w:val="67D3ED3A"/>
    <w:rsid w:val="67D631D5"/>
    <w:rsid w:val="67DB230C"/>
    <w:rsid w:val="67DBB740"/>
    <w:rsid w:val="67DE1056"/>
    <w:rsid w:val="67DE6BB8"/>
    <w:rsid w:val="67E1EAAE"/>
    <w:rsid w:val="67E32EC9"/>
    <w:rsid w:val="67E4FE6D"/>
    <w:rsid w:val="67E539EF"/>
    <w:rsid w:val="67E7BFDF"/>
    <w:rsid w:val="67EB27BA"/>
    <w:rsid w:val="67F2463F"/>
    <w:rsid w:val="67F44336"/>
    <w:rsid w:val="67F50061"/>
    <w:rsid w:val="67F527B5"/>
    <w:rsid w:val="67F9132E"/>
    <w:rsid w:val="67FD1450"/>
    <w:rsid w:val="67FE0013"/>
    <w:rsid w:val="67FF001F"/>
    <w:rsid w:val="67FFB6E8"/>
    <w:rsid w:val="68038DE3"/>
    <w:rsid w:val="6803BF06"/>
    <w:rsid w:val="6805CE14"/>
    <w:rsid w:val="68067346"/>
    <w:rsid w:val="6806F05B"/>
    <w:rsid w:val="680849A0"/>
    <w:rsid w:val="680D842F"/>
    <w:rsid w:val="680ECB35"/>
    <w:rsid w:val="680F6F26"/>
    <w:rsid w:val="68111037"/>
    <w:rsid w:val="681797FA"/>
    <w:rsid w:val="681D619C"/>
    <w:rsid w:val="681F6FEA"/>
    <w:rsid w:val="6820F740"/>
    <w:rsid w:val="6827DBF1"/>
    <w:rsid w:val="6828AA5E"/>
    <w:rsid w:val="682D9189"/>
    <w:rsid w:val="682EA8A1"/>
    <w:rsid w:val="6831EBFA"/>
    <w:rsid w:val="6832BF0D"/>
    <w:rsid w:val="68347EE8"/>
    <w:rsid w:val="6834F613"/>
    <w:rsid w:val="6839E93B"/>
    <w:rsid w:val="683DA2A2"/>
    <w:rsid w:val="683E7EF2"/>
    <w:rsid w:val="68405C60"/>
    <w:rsid w:val="68430833"/>
    <w:rsid w:val="684577BA"/>
    <w:rsid w:val="6845A424"/>
    <w:rsid w:val="6847A013"/>
    <w:rsid w:val="684B5E5F"/>
    <w:rsid w:val="684BC2C9"/>
    <w:rsid w:val="684E6268"/>
    <w:rsid w:val="6850A7CB"/>
    <w:rsid w:val="6850C5F0"/>
    <w:rsid w:val="68526B76"/>
    <w:rsid w:val="685CC551"/>
    <w:rsid w:val="685E2EBE"/>
    <w:rsid w:val="685F61DE"/>
    <w:rsid w:val="6861CEAF"/>
    <w:rsid w:val="68630DFF"/>
    <w:rsid w:val="68634BA7"/>
    <w:rsid w:val="6864F101"/>
    <w:rsid w:val="68661616"/>
    <w:rsid w:val="68668FDE"/>
    <w:rsid w:val="686B7F86"/>
    <w:rsid w:val="686BF225"/>
    <w:rsid w:val="686FA8E2"/>
    <w:rsid w:val="6874F0D7"/>
    <w:rsid w:val="6875C2B4"/>
    <w:rsid w:val="6876A9C6"/>
    <w:rsid w:val="687785FB"/>
    <w:rsid w:val="687D0BFA"/>
    <w:rsid w:val="6881F1DE"/>
    <w:rsid w:val="68823E40"/>
    <w:rsid w:val="688880CB"/>
    <w:rsid w:val="688A0A64"/>
    <w:rsid w:val="688BF003"/>
    <w:rsid w:val="688E3DDD"/>
    <w:rsid w:val="688E4C9D"/>
    <w:rsid w:val="6890905E"/>
    <w:rsid w:val="6891281C"/>
    <w:rsid w:val="68945C3D"/>
    <w:rsid w:val="6899057B"/>
    <w:rsid w:val="689A928D"/>
    <w:rsid w:val="68A0A65E"/>
    <w:rsid w:val="68A560DE"/>
    <w:rsid w:val="68A8985B"/>
    <w:rsid w:val="68AA3D9F"/>
    <w:rsid w:val="68AB18CE"/>
    <w:rsid w:val="68AB844E"/>
    <w:rsid w:val="68B179E6"/>
    <w:rsid w:val="68B3D6BE"/>
    <w:rsid w:val="68B4A89E"/>
    <w:rsid w:val="68B5F64F"/>
    <w:rsid w:val="68B8E66C"/>
    <w:rsid w:val="68BD5A32"/>
    <w:rsid w:val="68BF3CD9"/>
    <w:rsid w:val="68BF5821"/>
    <w:rsid w:val="68C022A1"/>
    <w:rsid w:val="68C71247"/>
    <w:rsid w:val="68C84D52"/>
    <w:rsid w:val="68CB15D1"/>
    <w:rsid w:val="68CED7C2"/>
    <w:rsid w:val="68D1DC7E"/>
    <w:rsid w:val="68D776FB"/>
    <w:rsid w:val="68DC7D23"/>
    <w:rsid w:val="68DE3366"/>
    <w:rsid w:val="68DE8DDE"/>
    <w:rsid w:val="68DEB41A"/>
    <w:rsid w:val="68DFE421"/>
    <w:rsid w:val="68E1034F"/>
    <w:rsid w:val="68E66121"/>
    <w:rsid w:val="68E669E5"/>
    <w:rsid w:val="68E6C664"/>
    <w:rsid w:val="68E70152"/>
    <w:rsid w:val="68E794ED"/>
    <w:rsid w:val="68E822CF"/>
    <w:rsid w:val="68EA9429"/>
    <w:rsid w:val="68ED38C8"/>
    <w:rsid w:val="68EEA523"/>
    <w:rsid w:val="68EF4EA2"/>
    <w:rsid w:val="68F04C3A"/>
    <w:rsid w:val="68F07B5F"/>
    <w:rsid w:val="68F10DD0"/>
    <w:rsid w:val="68F2644A"/>
    <w:rsid w:val="68F36A56"/>
    <w:rsid w:val="68F522D4"/>
    <w:rsid w:val="68F89ED7"/>
    <w:rsid w:val="68FBCECB"/>
    <w:rsid w:val="69013469"/>
    <w:rsid w:val="69060948"/>
    <w:rsid w:val="69081D3E"/>
    <w:rsid w:val="690C7903"/>
    <w:rsid w:val="690F057E"/>
    <w:rsid w:val="690F3A41"/>
    <w:rsid w:val="69114176"/>
    <w:rsid w:val="6919FCED"/>
    <w:rsid w:val="6923BC61"/>
    <w:rsid w:val="692BC4B3"/>
    <w:rsid w:val="6937DC3B"/>
    <w:rsid w:val="693D2ABF"/>
    <w:rsid w:val="693F7638"/>
    <w:rsid w:val="694380E7"/>
    <w:rsid w:val="694621A0"/>
    <w:rsid w:val="6949AA2B"/>
    <w:rsid w:val="694E01FB"/>
    <w:rsid w:val="694E2079"/>
    <w:rsid w:val="694F21B2"/>
    <w:rsid w:val="69552FBD"/>
    <w:rsid w:val="69579A65"/>
    <w:rsid w:val="69597B6D"/>
    <w:rsid w:val="695B3E06"/>
    <w:rsid w:val="695B5F17"/>
    <w:rsid w:val="695E1899"/>
    <w:rsid w:val="695F8E28"/>
    <w:rsid w:val="695FCADA"/>
    <w:rsid w:val="696136D1"/>
    <w:rsid w:val="6961A551"/>
    <w:rsid w:val="69624AD4"/>
    <w:rsid w:val="69671330"/>
    <w:rsid w:val="6967A033"/>
    <w:rsid w:val="6968754D"/>
    <w:rsid w:val="696AF48F"/>
    <w:rsid w:val="696D5C6A"/>
    <w:rsid w:val="696E3FC9"/>
    <w:rsid w:val="696E42B2"/>
    <w:rsid w:val="69703C2D"/>
    <w:rsid w:val="697173BF"/>
    <w:rsid w:val="69762D03"/>
    <w:rsid w:val="6976F5FA"/>
    <w:rsid w:val="6979A00F"/>
    <w:rsid w:val="697CB962"/>
    <w:rsid w:val="697EF2F6"/>
    <w:rsid w:val="6986E717"/>
    <w:rsid w:val="6989688E"/>
    <w:rsid w:val="698A5FC7"/>
    <w:rsid w:val="698A77AB"/>
    <w:rsid w:val="698D8C0F"/>
    <w:rsid w:val="6990A36F"/>
    <w:rsid w:val="69919676"/>
    <w:rsid w:val="6991CEE0"/>
    <w:rsid w:val="6992EDE2"/>
    <w:rsid w:val="699851CA"/>
    <w:rsid w:val="6998FF3C"/>
    <w:rsid w:val="699BAA95"/>
    <w:rsid w:val="699C1A33"/>
    <w:rsid w:val="699D6055"/>
    <w:rsid w:val="69A35A23"/>
    <w:rsid w:val="69A4211E"/>
    <w:rsid w:val="69A428EA"/>
    <w:rsid w:val="69A72DEE"/>
    <w:rsid w:val="69A7555F"/>
    <w:rsid w:val="69A90DE4"/>
    <w:rsid w:val="69AD4B6D"/>
    <w:rsid w:val="69B34A39"/>
    <w:rsid w:val="69B3E8F1"/>
    <w:rsid w:val="69B42182"/>
    <w:rsid w:val="69B44FF0"/>
    <w:rsid w:val="69B52406"/>
    <w:rsid w:val="69B9B9C4"/>
    <w:rsid w:val="69BABB6C"/>
    <w:rsid w:val="69BC226D"/>
    <w:rsid w:val="69BC9C71"/>
    <w:rsid w:val="69BECB75"/>
    <w:rsid w:val="69BFE462"/>
    <w:rsid w:val="69C1837A"/>
    <w:rsid w:val="69C24350"/>
    <w:rsid w:val="69C4BFA3"/>
    <w:rsid w:val="69C76F8B"/>
    <w:rsid w:val="69C85969"/>
    <w:rsid w:val="69C94B47"/>
    <w:rsid w:val="69C956BA"/>
    <w:rsid w:val="69C98D45"/>
    <w:rsid w:val="69CA4406"/>
    <w:rsid w:val="69CAD664"/>
    <w:rsid w:val="69CDBA34"/>
    <w:rsid w:val="69D024B1"/>
    <w:rsid w:val="69D0AE35"/>
    <w:rsid w:val="69D47BD2"/>
    <w:rsid w:val="69DA0705"/>
    <w:rsid w:val="69DBC07F"/>
    <w:rsid w:val="69DDB4B2"/>
    <w:rsid w:val="69E0C534"/>
    <w:rsid w:val="69E5E592"/>
    <w:rsid w:val="69E71990"/>
    <w:rsid w:val="69E83C99"/>
    <w:rsid w:val="69EFA8F8"/>
    <w:rsid w:val="69F2553F"/>
    <w:rsid w:val="69F5FEB3"/>
    <w:rsid w:val="69F62839"/>
    <w:rsid w:val="69F79EFC"/>
    <w:rsid w:val="69F81D1D"/>
    <w:rsid w:val="69F902D6"/>
    <w:rsid w:val="69F9956E"/>
    <w:rsid w:val="69FF4261"/>
    <w:rsid w:val="6A06E311"/>
    <w:rsid w:val="6A0A0D79"/>
    <w:rsid w:val="6A0E08BE"/>
    <w:rsid w:val="6A0E381F"/>
    <w:rsid w:val="6A0F4F7A"/>
    <w:rsid w:val="6A10B45A"/>
    <w:rsid w:val="6A133075"/>
    <w:rsid w:val="6A13B790"/>
    <w:rsid w:val="6A16C557"/>
    <w:rsid w:val="6A1D453D"/>
    <w:rsid w:val="6A248AFF"/>
    <w:rsid w:val="6A261D28"/>
    <w:rsid w:val="6A27398E"/>
    <w:rsid w:val="6A2859D7"/>
    <w:rsid w:val="6A293383"/>
    <w:rsid w:val="6A2BEC6B"/>
    <w:rsid w:val="6A2C7430"/>
    <w:rsid w:val="6A2C844D"/>
    <w:rsid w:val="6A2CEDF8"/>
    <w:rsid w:val="6A337837"/>
    <w:rsid w:val="6A356627"/>
    <w:rsid w:val="6A395BDD"/>
    <w:rsid w:val="6A39E619"/>
    <w:rsid w:val="6A3A37F9"/>
    <w:rsid w:val="6A3BDB11"/>
    <w:rsid w:val="6A3F6EF7"/>
    <w:rsid w:val="6A40DD6A"/>
    <w:rsid w:val="6A416BC5"/>
    <w:rsid w:val="6A41E2D9"/>
    <w:rsid w:val="6A43F7B1"/>
    <w:rsid w:val="6A4519EE"/>
    <w:rsid w:val="6A48BD13"/>
    <w:rsid w:val="6A4AED01"/>
    <w:rsid w:val="6A4BCCF7"/>
    <w:rsid w:val="6A4BFB76"/>
    <w:rsid w:val="6A4D6D82"/>
    <w:rsid w:val="6A4DFD5B"/>
    <w:rsid w:val="6A4E7027"/>
    <w:rsid w:val="6A4F1450"/>
    <w:rsid w:val="6A50FB53"/>
    <w:rsid w:val="6A512D10"/>
    <w:rsid w:val="6A517EEF"/>
    <w:rsid w:val="6A55192B"/>
    <w:rsid w:val="6A58968F"/>
    <w:rsid w:val="6A5A8AA6"/>
    <w:rsid w:val="6A5B3A7B"/>
    <w:rsid w:val="6A5B5C68"/>
    <w:rsid w:val="6A5D1F87"/>
    <w:rsid w:val="6A61D392"/>
    <w:rsid w:val="6A65648D"/>
    <w:rsid w:val="6A65FD5D"/>
    <w:rsid w:val="6A67C80A"/>
    <w:rsid w:val="6A6AAEF6"/>
    <w:rsid w:val="6A6B729F"/>
    <w:rsid w:val="6A6BCDD1"/>
    <w:rsid w:val="6A6D2ED9"/>
    <w:rsid w:val="6A6D3088"/>
    <w:rsid w:val="6A6E2D3D"/>
    <w:rsid w:val="6A6ECEC6"/>
    <w:rsid w:val="6A71851D"/>
    <w:rsid w:val="6A724E32"/>
    <w:rsid w:val="6A725FFF"/>
    <w:rsid w:val="6A745FE9"/>
    <w:rsid w:val="6A777C97"/>
    <w:rsid w:val="6A77BFE4"/>
    <w:rsid w:val="6A781275"/>
    <w:rsid w:val="6A7FDB78"/>
    <w:rsid w:val="6A80C5E8"/>
    <w:rsid w:val="6A80D629"/>
    <w:rsid w:val="6A817D14"/>
    <w:rsid w:val="6A820167"/>
    <w:rsid w:val="6A8665F6"/>
    <w:rsid w:val="6A878127"/>
    <w:rsid w:val="6A8A8523"/>
    <w:rsid w:val="6A8B40F6"/>
    <w:rsid w:val="6A8D1073"/>
    <w:rsid w:val="6A8F2851"/>
    <w:rsid w:val="6A90C9AF"/>
    <w:rsid w:val="6A97DC1B"/>
    <w:rsid w:val="6A99A310"/>
    <w:rsid w:val="6A9FCB02"/>
    <w:rsid w:val="6AA09533"/>
    <w:rsid w:val="6AA11282"/>
    <w:rsid w:val="6AA11389"/>
    <w:rsid w:val="6AA572E5"/>
    <w:rsid w:val="6AA7558F"/>
    <w:rsid w:val="6AAA0E79"/>
    <w:rsid w:val="6AADDAB0"/>
    <w:rsid w:val="6AAF4702"/>
    <w:rsid w:val="6AB644CF"/>
    <w:rsid w:val="6AB81679"/>
    <w:rsid w:val="6AB8B687"/>
    <w:rsid w:val="6ABAFF7B"/>
    <w:rsid w:val="6ABC243F"/>
    <w:rsid w:val="6ABC7DFD"/>
    <w:rsid w:val="6AC0FA8E"/>
    <w:rsid w:val="6AC16339"/>
    <w:rsid w:val="6AC1E6E6"/>
    <w:rsid w:val="6AC2129A"/>
    <w:rsid w:val="6AC3937F"/>
    <w:rsid w:val="6AC3D203"/>
    <w:rsid w:val="6AC4090C"/>
    <w:rsid w:val="6AC411A3"/>
    <w:rsid w:val="6AC8C641"/>
    <w:rsid w:val="6AD0CCC3"/>
    <w:rsid w:val="6AD24DD9"/>
    <w:rsid w:val="6AD28A21"/>
    <w:rsid w:val="6AD4B8DE"/>
    <w:rsid w:val="6AD6B0B1"/>
    <w:rsid w:val="6AD7C213"/>
    <w:rsid w:val="6AD8FB20"/>
    <w:rsid w:val="6ADADFCF"/>
    <w:rsid w:val="6ADB2E7C"/>
    <w:rsid w:val="6ADBF99C"/>
    <w:rsid w:val="6ADC452F"/>
    <w:rsid w:val="6ADD93D0"/>
    <w:rsid w:val="6ADF5A44"/>
    <w:rsid w:val="6AE779A2"/>
    <w:rsid w:val="6AEDE71E"/>
    <w:rsid w:val="6AEE085B"/>
    <w:rsid w:val="6AEEA1A1"/>
    <w:rsid w:val="6AEEDF39"/>
    <w:rsid w:val="6AF001A3"/>
    <w:rsid w:val="6AF37418"/>
    <w:rsid w:val="6AF3EAF1"/>
    <w:rsid w:val="6AF8C674"/>
    <w:rsid w:val="6AFD8DC5"/>
    <w:rsid w:val="6B016115"/>
    <w:rsid w:val="6B071EE3"/>
    <w:rsid w:val="6B0B0A09"/>
    <w:rsid w:val="6B0DF167"/>
    <w:rsid w:val="6B0E0D00"/>
    <w:rsid w:val="6B0E97F7"/>
    <w:rsid w:val="6B12C937"/>
    <w:rsid w:val="6B14ADCA"/>
    <w:rsid w:val="6B17E3D9"/>
    <w:rsid w:val="6B196D21"/>
    <w:rsid w:val="6B1C7984"/>
    <w:rsid w:val="6B1D2121"/>
    <w:rsid w:val="6B1EDF52"/>
    <w:rsid w:val="6B2716A4"/>
    <w:rsid w:val="6B2BAF54"/>
    <w:rsid w:val="6B2E9D58"/>
    <w:rsid w:val="6B30418E"/>
    <w:rsid w:val="6B3235CC"/>
    <w:rsid w:val="6B332053"/>
    <w:rsid w:val="6B33A69A"/>
    <w:rsid w:val="6B37DB0A"/>
    <w:rsid w:val="6B3B321A"/>
    <w:rsid w:val="6B3BB5ED"/>
    <w:rsid w:val="6B414FD1"/>
    <w:rsid w:val="6B43BC3F"/>
    <w:rsid w:val="6B446FB0"/>
    <w:rsid w:val="6B4F2732"/>
    <w:rsid w:val="6B51DF60"/>
    <w:rsid w:val="6B58149B"/>
    <w:rsid w:val="6B583EB6"/>
    <w:rsid w:val="6B5AF662"/>
    <w:rsid w:val="6B5D79C2"/>
    <w:rsid w:val="6B61507B"/>
    <w:rsid w:val="6B630AED"/>
    <w:rsid w:val="6B64E05B"/>
    <w:rsid w:val="6B6560EC"/>
    <w:rsid w:val="6B68E1CD"/>
    <w:rsid w:val="6B6B6E1B"/>
    <w:rsid w:val="6B6B6EB8"/>
    <w:rsid w:val="6B6D8E47"/>
    <w:rsid w:val="6B6DA376"/>
    <w:rsid w:val="6B6F4685"/>
    <w:rsid w:val="6B731531"/>
    <w:rsid w:val="6B7396B9"/>
    <w:rsid w:val="6B7A1EB6"/>
    <w:rsid w:val="6B7F1275"/>
    <w:rsid w:val="6B84CB4F"/>
    <w:rsid w:val="6B855AAE"/>
    <w:rsid w:val="6B86B305"/>
    <w:rsid w:val="6B86FE56"/>
    <w:rsid w:val="6B878CBD"/>
    <w:rsid w:val="6B88642B"/>
    <w:rsid w:val="6B8B4BA2"/>
    <w:rsid w:val="6B8CE000"/>
    <w:rsid w:val="6B8CE0E9"/>
    <w:rsid w:val="6B8DD0F1"/>
    <w:rsid w:val="6B8E85E4"/>
    <w:rsid w:val="6B918E70"/>
    <w:rsid w:val="6B926968"/>
    <w:rsid w:val="6B9337E0"/>
    <w:rsid w:val="6B947092"/>
    <w:rsid w:val="6B97F0D4"/>
    <w:rsid w:val="6B980A1A"/>
    <w:rsid w:val="6B99D39F"/>
    <w:rsid w:val="6BA355DE"/>
    <w:rsid w:val="6BA57266"/>
    <w:rsid w:val="6BA582A7"/>
    <w:rsid w:val="6BA6AB90"/>
    <w:rsid w:val="6BA70B12"/>
    <w:rsid w:val="6BA73FFA"/>
    <w:rsid w:val="6BA8064E"/>
    <w:rsid w:val="6BA9ADC6"/>
    <w:rsid w:val="6BB26B68"/>
    <w:rsid w:val="6BB2A192"/>
    <w:rsid w:val="6BB32C36"/>
    <w:rsid w:val="6BB38473"/>
    <w:rsid w:val="6BB48C98"/>
    <w:rsid w:val="6BBA0948"/>
    <w:rsid w:val="6BBC31E9"/>
    <w:rsid w:val="6BBF610B"/>
    <w:rsid w:val="6BC28951"/>
    <w:rsid w:val="6BC65DFA"/>
    <w:rsid w:val="6BC75D4B"/>
    <w:rsid w:val="6BD35643"/>
    <w:rsid w:val="6BD5F791"/>
    <w:rsid w:val="6BD66766"/>
    <w:rsid w:val="6BD84792"/>
    <w:rsid w:val="6BD8FB86"/>
    <w:rsid w:val="6BDB63AE"/>
    <w:rsid w:val="6BDC5319"/>
    <w:rsid w:val="6BDCA351"/>
    <w:rsid w:val="6BDD55BD"/>
    <w:rsid w:val="6BDE55E3"/>
    <w:rsid w:val="6BDF70EE"/>
    <w:rsid w:val="6BE063E6"/>
    <w:rsid w:val="6BE0886A"/>
    <w:rsid w:val="6BE2351F"/>
    <w:rsid w:val="6BE2F7AC"/>
    <w:rsid w:val="6BE3202B"/>
    <w:rsid w:val="6BE4FDE0"/>
    <w:rsid w:val="6BEDCE8F"/>
    <w:rsid w:val="6BEDF0C4"/>
    <w:rsid w:val="6BEF6E99"/>
    <w:rsid w:val="6BF04E46"/>
    <w:rsid w:val="6BF161D0"/>
    <w:rsid w:val="6BF8E500"/>
    <w:rsid w:val="6BF98FF0"/>
    <w:rsid w:val="6BFD0A2B"/>
    <w:rsid w:val="6BFD3467"/>
    <w:rsid w:val="6BFDEEC6"/>
    <w:rsid w:val="6C049E9D"/>
    <w:rsid w:val="6C05178E"/>
    <w:rsid w:val="6C074994"/>
    <w:rsid w:val="6C08F00B"/>
    <w:rsid w:val="6C097138"/>
    <w:rsid w:val="6C0BD76D"/>
    <w:rsid w:val="6C0F4450"/>
    <w:rsid w:val="6C11498E"/>
    <w:rsid w:val="6C137BA7"/>
    <w:rsid w:val="6C177074"/>
    <w:rsid w:val="6C1C02C7"/>
    <w:rsid w:val="6C1DCC96"/>
    <w:rsid w:val="6C1EBA65"/>
    <w:rsid w:val="6C21F30B"/>
    <w:rsid w:val="6C23BEC9"/>
    <w:rsid w:val="6C248DFA"/>
    <w:rsid w:val="6C279FA0"/>
    <w:rsid w:val="6C288372"/>
    <w:rsid w:val="6C28E974"/>
    <w:rsid w:val="6C2C15A5"/>
    <w:rsid w:val="6C2C60CC"/>
    <w:rsid w:val="6C2D31BD"/>
    <w:rsid w:val="6C308FCD"/>
    <w:rsid w:val="6C3A36FA"/>
    <w:rsid w:val="6C3BC572"/>
    <w:rsid w:val="6C3FAF8C"/>
    <w:rsid w:val="6C41CEFF"/>
    <w:rsid w:val="6C451A39"/>
    <w:rsid w:val="6C49364F"/>
    <w:rsid w:val="6C4B77E0"/>
    <w:rsid w:val="6C4D7119"/>
    <w:rsid w:val="6C4E055D"/>
    <w:rsid w:val="6C51EFA8"/>
    <w:rsid w:val="6C52B266"/>
    <w:rsid w:val="6C5607CA"/>
    <w:rsid w:val="6C56CE46"/>
    <w:rsid w:val="6C595F41"/>
    <w:rsid w:val="6C59F6F8"/>
    <w:rsid w:val="6C5A6C35"/>
    <w:rsid w:val="6C5B2E68"/>
    <w:rsid w:val="6C5C327E"/>
    <w:rsid w:val="6C643157"/>
    <w:rsid w:val="6C663834"/>
    <w:rsid w:val="6C674C5E"/>
    <w:rsid w:val="6C6A47D9"/>
    <w:rsid w:val="6C6A6F49"/>
    <w:rsid w:val="6C6D5EB0"/>
    <w:rsid w:val="6C6F47C7"/>
    <w:rsid w:val="6C6FEF61"/>
    <w:rsid w:val="6C715B90"/>
    <w:rsid w:val="6C71B5BD"/>
    <w:rsid w:val="6C72FA87"/>
    <w:rsid w:val="6C797E69"/>
    <w:rsid w:val="6C7FDF22"/>
    <w:rsid w:val="6C80F5D8"/>
    <w:rsid w:val="6C8501BE"/>
    <w:rsid w:val="6C8662E7"/>
    <w:rsid w:val="6C86B438"/>
    <w:rsid w:val="6C86B7FE"/>
    <w:rsid w:val="6C87ABE1"/>
    <w:rsid w:val="6C887203"/>
    <w:rsid w:val="6C8C51BC"/>
    <w:rsid w:val="6C8F3329"/>
    <w:rsid w:val="6C99B03B"/>
    <w:rsid w:val="6C9BA0F4"/>
    <w:rsid w:val="6C9C78B1"/>
    <w:rsid w:val="6C9D3A27"/>
    <w:rsid w:val="6C9E76C0"/>
    <w:rsid w:val="6C9EE97D"/>
    <w:rsid w:val="6CA39A3A"/>
    <w:rsid w:val="6CA79434"/>
    <w:rsid w:val="6CA7958D"/>
    <w:rsid w:val="6CA8A7B3"/>
    <w:rsid w:val="6CABFC51"/>
    <w:rsid w:val="6CAC6FF7"/>
    <w:rsid w:val="6CB1AB75"/>
    <w:rsid w:val="6CB37E17"/>
    <w:rsid w:val="6CB4E701"/>
    <w:rsid w:val="6CB6FB24"/>
    <w:rsid w:val="6CB7C183"/>
    <w:rsid w:val="6CB93BCF"/>
    <w:rsid w:val="6CBA027D"/>
    <w:rsid w:val="6CBF7E4B"/>
    <w:rsid w:val="6CC72AF3"/>
    <w:rsid w:val="6CC838AF"/>
    <w:rsid w:val="6CCBC006"/>
    <w:rsid w:val="6CCBCB83"/>
    <w:rsid w:val="6CCBFC66"/>
    <w:rsid w:val="6CCE5E5E"/>
    <w:rsid w:val="6CD14601"/>
    <w:rsid w:val="6CD20A45"/>
    <w:rsid w:val="6CD4BA49"/>
    <w:rsid w:val="6CD51C1F"/>
    <w:rsid w:val="6CD5FF36"/>
    <w:rsid w:val="6CD7F652"/>
    <w:rsid w:val="6CDBD377"/>
    <w:rsid w:val="6CDD8423"/>
    <w:rsid w:val="6CDE54CE"/>
    <w:rsid w:val="6CE20B56"/>
    <w:rsid w:val="6CE3F89F"/>
    <w:rsid w:val="6CE920A2"/>
    <w:rsid w:val="6CE95644"/>
    <w:rsid w:val="6CEE15B5"/>
    <w:rsid w:val="6CEE9F33"/>
    <w:rsid w:val="6CEFFCB0"/>
    <w:rsid w:val="6CF42504"/>
    <w:rsid w:val="6CF4AD41"/>
    <w:rsid w:val="6CF57350"/>
    <w:rsid w:val="6CF73D86"/>
    <w:rsid w:val="6CF94D8A"/>
    <w:rsid w:val="6CF9EE27"/>
    <w:rsid w:val="6CFB923C"/>
    <w:rsid w:val="6CFDB0FB"/>
    <w:rsid w:val="6D08E922"/>
    <w:rsid w:val="6D091EEC"/>
    <w:rsid w:val="6D09B833"/>
    <w:rsid w:val="6D0ACD2A"/>
    <w:rsid w:val="6D0AF82E"/>
    <w:rsid w:val="6D0B68AE"/>
    <w:rsid w:val="6D0C178F"/>
    <w:rsid w:val="6D0E606D"/>
    <w:rsid w:val="6D11A8B0"/>
    <w:rsid w:val="6D14C003"/>
    <w:rsid w:val="6D168107"/>
    <w:rsid w:val="6D16A9B3"/>
    <w:rsid w:val="6D16B071"/>
    <w:rsid w:val="6D1FA0AD"/>
    <w:rsid w:val="6D215315"/>
    <w:rsid w:val="6D233DFA"/>
    <w:rsid w:val="6D25BE0A"/>
    <w:rsid w:val="6D2760D9"/>
    <w:rsid w:val="6D2BFD11"/>
    <w:rsid w:val="6D2CF0E3"/>
    <w:rsid w:val="6D2DCFE4"/>
    <w:rsid w:val="6D310A13"/>
    <w:rsid w:val="6D36D4BD"/>
    <w:rsid w:val="6D37939A"/>
    <w:rsid w:val="6D38A0F1"/>
    <w:rsid w:val="6D3C3ADF"/>
    <w:rsid w:val="6D3CEA61"/>
    <w:rsid w:val="6D48676B"/>
    <w:rsid w:val="6D4AD0E6"/>
    <w:rsid w:val="6D4BD113"/>
    <w:rsid w:val="6D4DE3FD"/>
    <w:rsid w:val="6D5152BF"/>
    <w:rsid w:val="6D521237"/>
    <w:rsid w:val="6D528F4C"/>
    <w:rsid w:val="6D5306D1"/>
    <w:rsid w:val="6D57F2C4"/>
    <w:rsid w:val="6D593300"/>
    <w:rsid w:val="6D596108"/>
    <w:rsid w:val="6D5C9AC6"/>
    <w:rsid w:val="6D5D18E6"/>
    <w:rsid w:val="6D5D265E"/>
    <w:rsid w:val="6D5E5FDE"/>
    <w:rsid w:val="6D658227"/>
    <w:rsid w:val="6D67213A"/>
    <w:rsid w:val="6D6792CB"/>
    <w:rsid w:val="6D6A6542"/>
    <w:rsid w:val="6D6D2336"/>
    <w:rsid w:val="6D6E789F"/>
    <w:rsid w:val="6D733EAB"/>
    <w:rsid w:val="6D752B48"/>
    <w:rsid w:val="6D77DEF3"/>
    <w:rsid w:val="6D78C7B6"/>
    <w:rsid w:val="6D7DD27F"/>
    <w:rsid w:val="6D83B068"/>
    <w:rsid w:val="6D88FC63"/>
    <w:rsid w:val="6D8A500A"/>
    <w:rsid w:val="6D903B62"/>
    <w:rsid w:val="6D907723"/>
    <w:rsid w:val="6D9199D4"/>
    <w:rsid w:val="6D931F9E"/>
    <w:rsid w:val="6D9389B5"/>
    <w:rsid w:val="6D9A5BE3"/>
    <w:rsid w:val="6D9EA3F6"/>
    <w:rsid w:val="6D9F0666"/>
    <w:rsid w:val="6DA54144"/>
    <w:rsid w:val="6DA7B977"/>
    <w:rsid w:val="6DABC3C4"/>
    <w:rsid w:val="6DAD4296"/>
    <w:rsid w:val="6DAEE9DB"/>
    <w:rsid w:val="6DAFE4A5"/>
    <w:rsid w:val="6DB22B14"/>
    <w:rsid w:val="6DB33854"/>
    <w:rsid w:val="6DB3E250"/>
    <w:rsid w:val="6DB9663F"/>
    <w:rsid w:val="6DBAD6CA"/>
    <w:rsid w:val="6DBC9ACC"/>
    <w:rsid w:val="6DBCC8C0"/>
    <w:rsid w:val="6DBE00C2"/>
    <w:rsid w:val="6DBE514F"/>
    <w:rsid w:val="6DC1903D"/>
    <w:rsid w:val="6DC5851C"/>
    <w:rsid w:val="6DC76388"/>
    <w:rsid w:val="6DC7714A"/>
    <w:rsid w:val="6DC77DE9"/>
    <w:rsid w:val="6DCB854F"/>
    <w:rsid w:val="6DCE9B57"/>
    <w:rsid w:val="6DD00205"/>
    <w:rsid w:val="6DD210A4"/>
    <w:rsid w:val="6DD245AC"/>
    <w:rsid w:val="6DD56411"/>
    <w:rsid w:val="6DD864BA"/>
    <w:rsid w:val="6DDB15FF"/>
    <w:rsid w:val="6DDB2EB8"/>
    <w:rsid w:val="6DDB8513"/>
    <w:rsid w:val="6DDE81CE"/>
    <w:rsid w:val="6DDEA211"/>
    <w:rsid w:val="6DDFA896"/>
    <w:rsid w:val="6DE2DB52"/>
    <w:rsid w:val="6DE54E2F"/>
    <w:rsid w:val="6DECC9A4"/>
    <w:rsid w:val="6DF0AB97"/>
    <w:rsid w:val="6DF17C75"/>
    <w:rsid w:val="6DF3F8CE"/>
    <w:rsid w:val="6DF812D9"/>
    <w:rsid w:val="6DF8B4B3"/>
    <w:rsid w:val="6DFA0436"/>
    <w:rsid w:val="6E0642C7"/>
    <w:rsid w:val="6E069084"/>
    <w:rsid w:val="6E08625F"/>
    <w:rsid w:val="6E0C87FC"/>
    <w:rsid w:val="6E0CB3FC"/>
    <w:rsid w:val="6E0F293C"/>
    <w:rsid w:val="6E166167"/>
    <w:rsid w:val="6E190C62"/>
    <w:rsid w:val="6E190FE8"/>
    <w:rsid w:val="6E19A2E2"/>
    <w:rsid w:val="6E1A22C9"/>
    <w:rsid w:val="6E1B744C"/>
    <w:rsid w:val="6E1CF3CD"/>
    <w:rsid w:val="6E1EEB3F"/>
    <w:rsid w:val="6E1F2715"/>
    <w:rsid w:val="6E1F92FC"/>
    <w:rsid w:val="6E21C5A5"/>
    <w:rsid w:val="6E241741"/>
    <w:rsid w:val="6E24EAC8"/>
    <w:rsid w:val="6E2641BC"/>
    <w:rsid w:val="6E26D363"/>
    <w:rsid w:val="6E291B86"/>
    <w:rsid w:val="6E2A138D"/>
    <w:rsid w:val="6E2FD362"/>
    <w:rsid w:val="6E32FD52"/>
    <w:rsid w:val="6E3925F0"/>
    <w:rsid w:val="6E3A6CE0"/>
    <w:rsid w:val="6E3B5373"/>
    <w:rsid w:val="6E3E1178"/>
    <w:rsid w:val="6E3EBFA5"/>
    <w:rsid w:val="6E417F64"/>
    <w:rsid w:val="6E42562E"/>
    <w:rsid w:val="6E448006"/>
    <w:rsid w:val="6E454E26"/>
    <w:rsid w:val="6E4753DE"/>
    <w:rsid w:val="6E481CCB"/>
    <w:rsid w:val="6E4926DB"/>
    <w:rsid w:val="6E4953BF"/>
    <w:rsid w:val="6E496E4D"/>
    <w:rsid w:val="6E4A0F64"/>
    <w:rsid w:val="6E4B2E96"/>
    <w:rsid w:val="6E4B897B"/>
    <w:rsid w:val="6E4BC93D"/>
    <w:rsid w:val="6E4DDD55"/>
    <w:rsid w:val="6E4EB843"/>
    <w:rsid w:val="6E5187CD"/>
    <w:rsid w:val="6E544D1A"/>
    <w:rsid w:val="6E548827"/>
    <w:rsid w:val="6E5529D7"/>
    <w:rsid w:val="6E5547F1"/>
    <w:rsid w:val="6E59EA3F"/>
    <w:rsid w:val="6E5FB67C"/>
    <w:rsid w:val="6E603C6B"/>
    <w:rsid w:val="6E62C6F2"/>
    <w:rsid w:val="6E632DD8"/>
    <w:rsid w:val="6E6358C4"/>
    <w:rsid w:val="6E649871"/>
    <w:rsid w:val="6E6761CD"/>
    <w:rsid w:val="6E69F092"/>
    <w:rsid w:val="6E6C4D45"/>
    <w:rsid w:val="6E6D2F00"/>
    <w:rsid w:val="6E6E488B"/>
    <w:rsid w:val="6E718DAE"/>
    <w:rsid w:val="6E7AA52C"/>
    <w:rsid w:val="6E7E93C4"/>
    <w:rsid w:val="6E7ECDDB"/>
    <w:rsid w:val="6E83A72C"/>
    <w:rsid w:val="6E8452C8"/>
    <w:rsid w:val="6E85725D"/>
    <w:rsid w:val="6E85B364"/>
    <w:rsid w:val="6E87FBA8"/>
    <w:rsid w:val="6E8863AF"/>
    <w:rsid w:val="6E893449"/>
    <w:rsid w:val="6E89C705"/>
    <w:rsid w:val="6E8B612C"/>
    <w:rsid w:val="6E8BF81E"/>
    <w:rsid w:val="6E8BFF51"/>
    <w:rsid w:val="6E8C8A59"/>
    <w:rsid w:val="6E8D7BDB"/>
    <w:rsid w:val="6E8DB922"/>
    <w:rsid w:val="6E8DD3D9"/>
    <w:rsid w:val="6E8E9660"/>
    <w:rsid w:val="6E8F1CF2"/>
    <w:rsid w:val="6E946E92"/>
    <w:rsid w:val="6E95105B"/>
    <w:rsid w:val="6E953835"/>
    <w:rsid w:val="6E9541A0"/>
    <w:rsid w:val="6E97D85B"/>
    <w:rsid w:val="6E99B4FB"/>
    <w:rsid w:val="6E9CA17E"/>
    <w:rsid w:val="6E9E7AE8"/>
    <w:rsid w:val="6EA0C709"/>
    <w:rsid w:val="6EA3E548"/>
    <w:rsid w:val="6EA436A0"/>
    <w:rsid w:val="6EABDA45"/>
    <w:rsid w:val="6EACC80F"/>
    <w:rsid w:val="6EB1DC09"/>
    <w:rsid w:val="6EB85607"/>
    <w:rsid w:val="6EBB8D35"/>
    <w:rsid w:val="6EBBF54A"/>
    <w:rsid w:val="6EBD12BF"/>
    <w:rsid w:val="6EBD78C7"/>
    <w:rsid w:val="6EC38788"/>
    <w:rsid w:val="6EC40FA4"/>
    <w:rsid w:val="6EC65A91"/>
    <w:rsid w:val="6EC9E64C"/>
    <w:rsid w:val="6ECC2874"/>
    <w:rsid w:val="6ECD070F"/>
    <w:rsid w:val="6ECD9047"/>
    <w:rsid w:val="6ECE4BCE"/>
    <w:rsid w:val="6ED16E7C"/>
    <w:rsid w:val="6ED2F413"/>
    <w:rsid w:val="6ED36828"/>
    <w:rsid w:val="6ED5A9E2"/>
    <w:rsid w:val="6EDA2E8D"/>
    <w:rsid w:val="6EDA4E63"/>
    <w:rsid w:val="6EE48A5D"/>
    <w:rsid w:val="6EE6F895"/>
    <w:rsid w:val="6EE91E87"/>
    <w:rsid w:val="6EEB90A3"/>
    <w:rsid w:val="6EEF45A0"/>
    <w:rsid w:val="6EF0047A"/>
    <w:rsid w:val="6EF2664F"/>
    <w:rsid w:val="6EF428DD"/>
    <w:rsid w:val="6EF4E9DC"/>
    <w:rsid w:val="6EF976EF"/>
    <w:rsid w:val="6EF9EF41"/>
    <w:rsid w:val="6EFC1344"/>
    <w:rsid w:val="6EFE36EC"/>
    <w:rsid w:val="6F00D17C"/>
    <w:rsid w:val="6F0106A9"/>
    <w:rsid w:val="6F09308E"/>
    <w:rsid w:val="6F09456F"/>
    <w:rsid w:val="6F0D642A"/>
    <w:rsid w:val="6F0D6688"/>
    <w:rsid w:val="6F112761"/>
    <w:rsid w:val="6F11F4ED"/>
    <w:rsid w:val="6F13BC21"/>
    <w:rsid w:val="6F148E7F"/>
    <w:rsid w:val="6F14A4EC"/>
    <w:rsid w:val="6F172295"/>
    <w:rsid w:val="6F1DBEB2"/>
    <w:rsid w:val="6F1E043E"/>
    <w:rsid w:val="6F260018"/>
    <w:rsid w:val="6F2672C0"/>
    <w:rsid w:val="6F2B1AC1"/>
    <w:rsid w:val="6F2B9BF5"/>
    <w:rsid w:val="6F2BC593"/>
    <w:rsid w:val="6F2D6231"/>
    <w:rsid w:val="6F30CB67"/>
    <w:rsid w:val="6F331207"/>
    <w:rsid w:val="6F33B644"/>
    <w:rsid w:val="6F36D0C2"/>
    <w:rsid w:val="6F3B715C"/>
    <w:rsid w:val="6F3DD7D5"/>
    <w:rsid w:val="6F3EFEF4"/>
    <w:rsid w:val="6F3F825A"/>
    <w:rsid w:val="6F3FC664"/>
    <w:rsid w:val="6F40283B"/>
    <w:rsid w:val="6F407AAC"/>
    <w:rsid w:val="6F4478D0"/>
    <w:rsid w:val="6F449DE8"/>
    <w:rsid w:val="6F4654C8"/>
    <w:rsid w:val="6F497932"/>
    <w:rsid w:val="6F49DD16"/>
    <w:rsid w:val="6F4BCF0F"/>
    <w:rsid w:val="6F4C3563"/>
    <w:rsid w:val="6F4CCCCF"/>
    <w:rsid w:val="6F518E29"/>
    <w:rsid w:val="6F530BE8"/>
    <w:rsid w:val="6F555C23"/>
    <w:rsid w:val="6F57E4BD"/>
    <w:rsid w:val="6F595D77"/>
    <w:rsid w:val="6F59B50D"/>
    <w:rsid w:val="6F5A564C"/>
    <w:rsid w:val="6F5C6570"/>
    <w:rsid w:val="6F5E56D5"/>
    <w:rsid w:val="6F5ED288"/>
    <w:rsid w:val="6F5FE65D"/>
    <w:rsid w:val="6F61A4B1"/>
    <w:rsid w:val="6F637219"/>
    <w:rsid w:val="6F672017"/>
    <w:rsid w:val="6F6BCF7B"/>
    <w:rsid w:val="6F6BDA86"/>
    <w:rsid w:val="6F6E9236"/>
    <w:rsid w:val="6F6EBE37"/>
    <w:rsid w:val="6F6F7118"/>
    <w:rsid w:val="6F7085F9"/>
    <w:rsid w:val="6F71F745"/>
    <w:rsid w:val="6F724F58"/>
    <w:rsid w:val="6F73BECC"/>
    <w:rsid w:val="6F754C9A"/>
    <w:rsid w:val="6F76C0E2"/>
    <w:rsid w:val="6F80DBC4"/>
    <w:rsid w:val="6F82C22C"/>
    <w:rsid w:val="6F835789"/>
    <w:rsid w:val="6F8DD5FE"/>
    <w:rsid w:val="6F8DEC37"/>
    <w:rsid w:val="6F8EC64F"/>
    <w:rsid w:val="6F8F8B68"/>
    <w:rsid w:val="6F901689"/>
    <w:rsid w:val="6F94C616"/>
    <w:rsid w:val="6F970131"/>
    <w:rsid w:val="6F9A0C07"/>
    <w:rsid w:val="6F9A106D"/>
    <w:rsid w:val="6F9A7C1C"/>
    <w:rsid w:val="6F9BA14C"/>
    <w:rsid w:val="6F9CCDBB"/>
    <w:rsid w:val="6F9E59A6"/>
    <w:rsid w:val="6FA1918C"/>
    <w:rsid w:val="6FA261A5"/>
    <w:rsid w:val="6FB51FF4"/>
    <w:rsid w:val="6FB6CBF5"/>
    <w:rsid w:val="6FB839A0"/>
    <w:rsid w:val="6FBBB2C5"/>
    <w:rsid w:val="6FBFA6E6"/>
    <w:rsid w:val="6FC97306"/>
    <w:rsid w:val="6FCB2A9F"/>
    <w:rsid w:val="6FCB584F"/>
    <w:rsid w:val="6FCBC1E7"/>
    <w:rsid w:val="6FCE77CD"/>
    <w:rsid w:val="6FCF8878"/>
    <w:rsid w:val="6FD07CA9"/>
    <w:rsid w:val="6FD15439"/>
    <w:rsid w:val="6FD21A53"/>
    <w:rsid w:val="6FD22893"/>
    <w:rsid w:val="6FD2824E"/>
    <w:rsid w:val="6FD65FD8"/>
    <w:rsid w:val="6FDAF889"/>
    <w:rsid w:val="6FDB2C3A"/>
    <w:rsid w:val="6FDB5760"/>
    <w:rsid w:val="6FDC1C3A"/>
    <w:rsid w:val="6FE2AF3A"/>
    <w:rsid w:val="6FE3D657"/>
    <w:rsid w:val="6FE9ADCB"/>
    <w:rsid w:val="6FEA054A"/>
    <w:rsid w:val="6FEDC14E"/>
    <w:rsid w:val="6FEED495"/>
    <w:rsid w:val="6FEEF6DB"/>
    <w:rsid w:val="6FF06C9E"/>
    <w:rsid w:val="6FF28E2F"/>
    <w:rsid w:val="6FF29530"/>
    <w:rsid w:val="6FF376B7"/>
    <w:rsid w:val="6FF3F846"/>
    <w:rsid w:val="6FF4D872"/>
    <w:rsid w:val="6FF554DF"/>
    <w:rsid w:val="6FF62806"/>
    <w:rsid w:val="6FF722C2"/>
    <w:rsid w:val="6FF7373B"/>
    <w:rsid w:val="6FFC378D"/>
    <w:rsid w:val="6FFD635F"/>
    <w:rsid w:val="70012FD2"/>
    <w:rsid w:val="70031F16"/>
    <w:rsid w:val="7004C352"/>
    <w:rsid w:val="700C13BD"/>
    <w:rsid w:val="700D4CBC"/>
    <w:rsid w:val="700FFABD"/>
    <w:rsid w:val="70139341"/>
    <w:rsid w:val="7014C0F2"/>
    <w:rsid w:val="7015ACEC"/>
    <w:rsid w:val="701604E5"/>
    <w:rsid w:val="701B2AD1"/>
    <w:rsid w:val="701FBD85"/>
    <w:rsid w:val="7021C3E3"/>
    <w:rsid w:val="7023EBE4"/>
    <w:rsid w:val="702584FD"/>
    <w:rsid w:val="7025F2DD"/>
    <w:rsid w:val="7025FFCB"/>
    <w:rsid w:val="702B4DB2"/>
    <w:rsid w:val="702B8681"/>
    <w:rsid w:val="702E7C1A"/>
    <w:rsid w:val="70324CD0"/>
    <w:rsid w:val="703310AE"/>
    <w:rsid w:val="70331EAB"/>
    <w:rsid w:val="70386F4B"/>
    <w:rsid w:val="703CE58C"/>
    <w:rsid w:val="70450336"/>
    <w:rsid w:val="704A8A50"/>
    <w:rsid w:val="704C2CE5"/>
    <w:rsid w:val="704CD4FE"/>
    <w:rsid w:val="704DABE0"/>
    <w:rsid w:val="704F9D26"/>
    <w:rsid w:val="7051CFBE"/>
    <w:rsid w:val="7051DB08"/>
    <w:rsid w:val="705B0D46"/>
    <w:rsid w:val="705D0C39"/>
    <w:rsid w:val="705D5BCC"/>
    <w:rsid w:val="706064D1"/>
    <w:rsid w:val="70623253"/>
    <w:rsid w:val="7065D965"/>
    <w:rsid w:val="7067BA41"/>
    <w:rsid w:val="7069C585"/>
    <w:rsid w:val="706D82D7"/>
    <w:rsid w:val="70704DC7"/>
    <w:rsid w:val="70733258"/>
    <w:rsid w:val="7073CA38"/>
    <w:rsid w:val="70776597"/>
    <w:rsid w:val="7077B492"/>
    <w:rsid w:val="707A8BD5"/>
    <w:rsid w:val="707B7736"/>
    <w:rsid w:val="707C4AF7"/>
    <w:rsid w:val="707DC12A"/>
    <w:rsid w:val="707FF7D5"/>
    <w:rsid w:val="7081100F"/>
    <w:rsid w:val="708A1095"/>
    <w:rsid w:val="708B9914"/>
    <w:rsid w:val="708C21AF"/>
    <w:rsid w:val="708CBC4C"/>
    <w:rsid w:val="708F7660"/>
    <w:rsid w:val="70934383"/>
    <w:rsid w:val="7096D7D1"/>
    <w:rsid w:val="709A9D68"/>
    <w:rsid w:val="709B03BF"/>
    <w:rsid w:val="70A474DB"/>
    <w:rsid w:val="70A8FE41"/>
    <w:rsid w:val="70AA8672"/>
    <w:rsid w:val="70AC9CE1"/>
    <w:rsid w:val="70AD4B4F"/>
    <w:rsid w:val="70B0DC17"/>
    <w:rsid w:val="70B124F0"/>
    <w:rsid w:val="70B140A7"/>
    <w:rsid w:val="70B175BF"/>
    <w:rsid w:val="70B26CBD"/>
    <w:rsid w:val="70B436BA"/>
    <w:rsid w:val="70B49247"/>
    <w:rsid w:val="70B4CEB9"/>
    <w:rsid w:val="70B81C00"/>
    <w:rsid w:val="70BA3C8C"/>
    <w:rsid w:val="70BE91A7"/>
    <w:rsid w:val="70BF3CD2"/>
    <w:rsid w:val="70BFDF85"/>
    <w:rsid w:val="70C041FC"/>
    <w:rsid w:val="70C0B062"/>
    <w:rsid w:val="70C2FE6D"/>
    <w:rsid w:val="70C5093A"/>
    <w:rsid w:val="70C7229C"/>
    <w:rsid w:val="70C9AFD8"/>
    <w:rsid w:val="70CA6D15"/>
    <w:rsid w:val="70D0DC6A"/>
    <w:rsid w:val="70D70586"/>
    <w:rsid w:val="70D718D7"/>
    <w:rsid w:val="70D9DCFA"/>
    <w:rsid w:val="70DC8D63"/>
    <w:rsid w:val="70DE3B5A"/>
    <w:rsid w:val="70DE847B"/>
    <w:rsid w:val="70E270A9"/>
    <w:rsid w:val="70E3B6D4"/>
    <w:rsid w:val="70EB169B"/>
    <w:rsid w:val="70EDF179"/>
    <w:rsid w:val="70F16973"/>
    <w:rsid w:val="70F5AA58"/>
    <w:rsid w:val="70F7145B"/>
    <w:rsid w:val="70F87C80"/>
    <w:rsid w:val="70F925AF"/>
    <w:rsid w:val="710005A4"/>
    <w:rsid w:val="7102AAEE"/>
    <w:rsid w:val="7102DB7C"/>
    <w:rsid w:val="7102F762"/>
    <w:rsid w:val="7106F3B8"/>
    <w:rsid w:val="7107E319"/>
    <w:rsid w:val="71086C97"/>
    <w:rsid w:val="710A71E7"/>
    <w:rsid w:val="71104B60"/>
    <w:rsid w:val="71123F9A"/>
    <w:rsid w:val="711A194D"/>
    <w:rsid w:val="712496DF"/>
    <w:rsid w:val="7125E88B"/>
    <w:rsid w:val="712872D9"/>
    <w:rsid w:val="7129A365"/>
    <w:rsid w:val="7129E149"/>
    <w:rsid w:val="712AAE14"/>
    <w:rsid w:val="712AB51D"/>
    <w:rsid w:val="712C0562"/>
    <w:rsid w:val="712C7DA9"/>
    <w:rsid w:val="713097C0"/>
    <w:rsid w:val="713D96AD"/>
    <w:rsid w:val="713E6CD8"/>
    <w:rsid w:val="713EE99F"/>
    <w:rsid w:val="7141299A"/>
    <w:rsid w:val="7141F5DD"/>
    <w:rsid w:val="7146D07B"/>
    <w:rsid w:val="71483EE5"/>
    <w:rsid w:val="7149C6C6"/>
    <w:rsid w:val="714BF60C"/>
    <w:rsid w:val="714CEDE2"/>
    <w:rsid w:val="714E433A"/>
    <w:rsid w:val="714EB08A"/>
    <w:rsid w:val="71514C05"/>
    <w:rsid w:val="71519D44"/>
    <w:rsid w:val="7153FFB3"/>
    <w:rsid w:val="71547F69"/>
    <w:rsid w:val="7155B319"/>
    <w:rsid w:val="715718BF"/>
    <w:rsid w:val="715B0DF6"/>
    <w:rsid w:val="715D380A"/>
    <w:rsid w:val="71600ECA"/>
    <w:rsid w:val="7160969B"/>
    <w:rsid w:val="71619A72"/>
    <w:rsid w:val="71637F22"/>
    <w:rsid w:val="7164AA3B"/>
    <w:rsid w:val="7164B70C"/>
    <w:rsid w:val="71650B48"/>
    <w:rsid w:val="7166823A"/>
    <w:rsid w:val="7168BB3A"/>
    <w:rsid w:val="716C6561"/>
    <w:rsid w:val="716FC338"/>
    <w:rsid w:val="716FFD89"/>
    <w:rsid w:val="7170F5D6"/>
    <w:rsid w:val="7174414D"/>
    <w:rsid w:val="717452F9"/>
    <w:rsid w:val="717500EB"/>
    <w:rsid w:val="71756A27"/>
    <w:rsid w:val="71760AD1"/>
    <w:rsid w:val="7176474A"/>
    <w:rsid w:val="7176782A"/>
    <w:rsid w:val="7177D989"/>
    <w:rsid w:val="7179F296"/>
    <w:rsid w:val="717A2E24"/>
    <w:rsid w:val="717D1E93"/>
    <w:rsid w:val="71800ECA"/>
    <w:rsid w:val="71806BD6"/>
    <w:rsid w:val="7182EE8C"/>
    <w:rsid w:val="718301C9"/>
    <w:rsid w:val="71845E98"/>
    <w:rsid w:val="71879B3E"/>
    <w:rsid w:val="718D20D8"/>
    <w:rsid w:val="718D72DE"/>
    <w:rsid w:val="719375E2"/>
    <w:rsid w:val="7195E674"/>
    <w:rsid w:val="71969BC2"/>
    <w:rsid w:val="7197E96F"/>
    <w:rsid w:val="7198E424"/>
    <w:rsid w:val="719AA6B1"/>
    <w:rsid w:val="719B22C1"/>
    <w:rsid w:val="719BDC9C"/>
    <w:rsid w:val="719D2991"/>
    <w:rsid w:val="71A03828"/>
    <w:rsid w:val="71A2A7BF"/>
    <w:rsid w:val="71A2A8CC"/>
    <w:rsid w:val="71A48438"/>
    <w:rsid w:val="71A53DDA"/>
    <w:rsid w:val="71A9EF39"/>
    <w:rsid w:val="71AA6547"/>
    <w:rsid w:val="71AAAF60"/>
    <w:rsid w:val="71AB9EB3"/>
    <w:rsid w:val="71AFB1DF"/>
    <w:rsid w:val="71B07930"/>
    <w:rsid w:val="71B6A2B0"/>
    <w:rsid w:val="71B77C33"/>
    <w:rsid w:val="71B8D984"/>
    <w:rsid w:val="71BCEB16"/>
    <w:rsid w:val="71C0228A"/>
    <w:rsid w:val="71C1EA46"/>
    <w:rsid w:val="71C61D59"/>
    <w:rsid w:val="71C8045D"/>
    <w:rsid w:val="71C92445"/>
    <w:rsid w:val="71CA1CDE"/>
    <w:rsid w:val="71CAC2BD"/>
    <w:rsid w:val="71D12D0A"/>
    <w:rsid w:val="71D1E177"/>
    <w:rsid w:val="71D25FCB"/>
    <w:rsid w:val="71D32236"/>
    <w:rsid w:val="71D3A92C"/>
    <w:rsid w:val="71D3CFD1"/>
    <w:rsid w:val="71D4B4BB"/>
    <w:rsid w:val="71D5194B"/>
    <w:rsid w:val="71D776B3"/>
    <w:rsid w:val="71DB2E6A"/>
    <w:rsid w:val="71DB4C19"/>
    <w:rsid w:val="71DBD239"/>
    <w:rsid w:val="71DC4687"/>
    <w:rsid w:val="71E383C2"/>
    <w:rsid w:val="71E4BBA3"/>
    <w:rsid w:val="71E7E8B9"/>
    <w:rsid w:val="71EB9364"/>
    <w:rsid w:val="71EE4B2F"/>
    <w:rsid w:val="71EE9872"/>
    <w:rsid w:val="71EFF938"/>
    <w:rsid w:val="71F051CE"/>
    <w:rsid w:val="71F090B0"/>
    <w:rsid w:val="71F2C7C0"/>
    <w:rsid w:val="71F3330F"/>
    <w:rsid w:val="71F526B8"/>
    <w:rsid w:val="71F8D158"/>
    <w:rsid w:val="71F93981"/>
    <w:rsid w:val="71FDCEE2"/>
    <w:rsid w:val="71FEBF93"/>
    <w:rsid w:val="71FECD0B"/>
    <w:rsid w:val="71FFF55B"/>
    <w:rsid w:val="7201113A"/>
    <w:rsid w:val="72020E0B"/>
    <w:rsid w:val="7203A3F5"/>
    <w:rsid w:val="7204D169"/>
    <w:rsid w:val="7206A7E9"/>
    <w:rsid w:val="720A8772"/>
    <w:rsid w:val="720FC044"/>
    <w:rsid w:val="721130DE"/>
    <w:rsid w:val="72117768"/>
    <w:rsid w:val="7212D214"/>
    <w:rsid w:val="72136681"/>
    <w:rsid w:val="72182A60"/>
    <w:rsid w:val="721A1239"/>
    <w:rsid w:val="721C91BA"/>
    <w:rsid w:val="7222F0C7"/>
    <w:rsid w:val="7224CB88"/>
    <w:rsid w:val="7228AD9C"/>
    <w:rsid w:val="7228BC37"/>
    <w:rsid w:val="722F7816"/>
    <w:rsid w:val="7230C90A"/>
    <w:rsid w:val="72321363"/>
    <w:rsid w:val="7236A8FB"/>
    <w:rsid w:val="7237DF10"/>
    <w:rsid w:val="723A194E"/>
    <w:rsid w:val="723FA6E0"/>
    <w:rsid w:val="723FCF3F"/>
    <w:rsid w:val="723FF02F"/>
    <w:rsid w:val="72445980"/>
    <w:rsid w:val="7244D206"/>
    <w:rsid w:val="7245B101"/>
    <w:rsid w:val="7249C724"/>
    <w:rsid w:val="7249FCE7"/>
    <w:rsid w:val="724ABA67"/>
    <w:rsid w:val="724B0808"/>
    <w:rsid w:val="724DA79C"/>
    <w:rsid w:val="72516B9D"/>
    <w:rsid w:val="72524990"/>
    <w:rsid w:val="7252B53E"/>
    <w:rsid w:val="7253F130"/>
    <w:rsid w:val="72562320"/>
    <w:rsid w:val="7256AEEF"/>
    <w:rsid w:val="725B0996"/>
    <w:rsid w:val="725C4D48"/>
    <w:rsid w:val="725CA1DB"/>
    <w:rsid w:val="72611D6C"/>
    <w:rsid w:val="726309CA"/>
    <w:rsid w:val="7263D076"/>
    <w:rsid w:val="7264B76C"/>
    <w:rsid w:val="72654FDD"/>
    <w:rsid w:val="726CF9AE"/>
    <w:rsid w:val="72701E33"/>
    <w:rsid w:val="72709D36"/>
    <w:rsid w:val="72780A3B"/>
    <w:rsid w:val="7279D80D"/>
    <w:rsid w:val="727A2D26"/>
    <w:rsid w:val="727B015A"/>
    <w:rsid w:val="727D0486"/>
    <w:rsid w:val="727D643E"/>
    <w:rsid w:val="727EF50A"/>
    <w:rsid w:val="727FE739"/>
    <w:rsid w:val="7285B022"/>
    <w:rsid w:val="72870EBB"/>
    <w:rsid w:val="7289175D"/>
    <w:rsid w:val="72899DD7"/>
    <w:rsid w:val="728D6D9E"/>
    <w:rsid w:val="728EFB17"/>
    <w:rsid w:val="7291AD6E"/>
    <w:rsid w:val="729759BD"/>
    <w:rsid w:val="7299A971"/>
    <w:rsid w:val="729D46DC"/>
    <w:rsid w:val="72A1859D"/>
    <w:rsid w:val="72A50E56"/>
    <w:rsid w:val="72A688F4"/>
    <w:rsid w:val="72AA8967"/>
    <w:rsid w:val="72AEA2BF"/>
    <w:rsid w:val="72AF74AD"/>
    <w:rsid w:val="72B91B4E"/>
    <w:rsid w:val="72BAA9CF"/>
    <w:rsid w:val="72BADAED"/>
    <w:rsid w:val="72BC2FEA"/>
    <w:rsid w:val="72BC73B8"/>
    <w:rsid w:val="72BC923D"/>
    <w:rsid w:val="72BE86D0"/>
    <w:rsid w:val="72BF1A3D"/>
    <w:rsid w:val="72C0D426"/>
    <w:rsid w:val="72C53FC0"/>
    <w:rsid w:val="72C5BABB"/>
    <w:rsid w:val="72C63774"/>
    <w:rsid w:val="72C850BB"/>
    <w:rsid w:val="72C89559"/>
    <w:rsid w:val="72CA1C66"/>
    <w:rsid w:val="72D33C97"/>
    <w:rsid w:val="72D644A7"/>
    <w:rsid w:val="72D8F546"/>
    <w:rsid w:val="72DBF2DE"/>
    <w:rsid w:val="72DCEAC3"/>
    <w:rsid w:val="72DE6B13"/>
    <w:rsid w:val="72E2A02E"/>
    <w:rsid w:val="72E4954E"/>
    <w:rsid w:val="72E4D39B"/>
    <w:rsid w:val="72E684DD"/>
    <w:rsid w:val="72E7A16F"/>
    <w:rsid w:val="72EC4F52"/>
    <w:rsid w:val="72EF21B7"/>
    <w:rsid w:val="72EFFF9F"/>
    <w:rsid w:val="72F29AE9"/>
    <w:rsid w:val="72F463F2"/>
    <w:rsid w:val="72F84E9A"/>
    <w:rsid w:val="72FE927D"/>
    <w:rsid w:val="72FF995D"/>
    <w:rsid w:val="73018C48"/>
    <w:rsid w:val="730242C7"/>
    <w:rsid w:val="7302F803"/>
    <w:rsid w:val="7303105D"/>
    <w:rsid w:val="73093FCB"/>
    <w:rsid w:val="730CA3F8"/>
    <w:rsid w:val="730FA218"/>
    <w:rsid w:val="73122FEB"/>
    <w:rsid w:val="731230C8"/>
    <w:rsid w:val="7315CC76"/>
    <w:rsid w:val="731925A4"/>
    <w:rsid w:val="731DE811"/>
    <w:rsid w:val="7326AFEA"/>
    <w:rsid w:val="7327E428"/>
    <w:rsid w:val="7327EC33"/>
    <w:rsid w:val="732A33F0"/>
    <w:rsid w:val="732EEE93"/>
    <w:rsid w:val="7332BA08"/>
    <w:rsid w:val="733488C7"/>
    <w:rsid w:val="7336C2DD"/>
    <w:rsid w:val="7336CF10"/>
    <w:rsid w:val="733C9420"/>
    <w:rsid w:val="733E2B68"/>
    <w:rsid w:val="73427677"/>
    <w:rsid w:val="73446734"/>
    <w:rsid w:val="73468458"/>
    <w:rsid w:val="7347BCAD"/>
    <w:rsid w:val="7348FC88"/>
    <w:rsid w:val="7349C58F"/>
    <w:rsid w:val="734BD475"/>
    <w:rsid w:val="734E2489"/>
    <w:rsid w:val="734FE276"/>
    <w:rsid w:val="7350C823"/>
    <w:rsid w:val="7351F8A4"/>
    <w:rsid w:val="73539697"/>
    <w:rsid w:val="73599804"/>
    <w:rsid w:val="735BAEA7"/>
    <w:rsid w:val="7360DF66"/>
    <w:rsid w:val="73626D6A"/>
    <w:rsid w:val="73636C36"/>
    <w:rsid w:val="73652F09"/>
    <w:rsid w:val="7368CB74"/>
    <w:rsid w:val="7369BFA5"/>
    <w:rsid w:val="736FEEA2"/>
    <w:rsid w:val="7370B85F"/>
    <w:rsid w:val="7370CCF8"/>
    <w:rsid w:val="737205DD"/>
    <w:rsid w:val="7372972D"/>
    <w:rsid w:val="737450A3"/>
    <w:rsid w:val="73779D54"/>
    <w:rsid w:val="7377EE23"/>
    <w:rsid w:val="73782E0B"/>
    <w:rsid w:val="737BAAF1"/>
    <w:rsid w:val="737D6B35"/>
    <w:rsid w:val="7381A03A"/>
    <w:rsid w:val="73839D31"/>
    <w:rsid w:val="7387A5B7"/>
    <w:rsid w:val="7389F96E"/>
    <w:rsid w:val="738AAF2D"/>
    <w:rsid w:val="738B8040"/>
    <w:rsid w:val="738B8914"/>
    <w:rsid w:val="738B8AB7"/>
    <w:rsid w:val="738C2CC7"/>
    <w:rsid w:val="738CB3F2"/>
    <w:rsid w:val="738CFF0B"/>
    <w:rsid w:val="738F2F3C"/>
    <w:rsid w:val="738FA398"/>
    <w:rsid w:val="73916A65"/>
    <w:rsid w:val="739532F6"/>
    <w:rsid w:val="7398C337"/>
    <w:rsid w:val="739A8B78"/>
    <w:rsid w:val="739D7F5C"/>
    <w:rsid w:val="739F0766"/>
    <w:rsid w:val="73A07D6D"/>
    <w:rsid w:val="73AA79DF"/>
    <w:rsid w:val="73AEEC93"/>
    <w:rsid w:val="73AF35E4"/>
    <w:rsid w:val="73B47D9A"/>
    <w:rsid w:val="73B73532"/>
    <w:rsid w:val="73B85CB8"/>
    <w:rsid w:val="73B8A93C"/>
    <w:rsid w:val="73BC1134"/>
    <w:rsid w:val="73BC2E97"/>
    <w:rsid w:val="73C0E3AD"/>
    <w:rsid w:val="73C18427"/>
    <w:rsid w:val="73C1A270"/>
    <w:rsid w:val="73C54AFB"/>
    <w:rsid w:val="73C6CC1E"/>
    <w:rsid w:val="73C8D80D"/>
    <w:rsid w:val="73CCE9CB"/>
    <w:rsid w:val="73CEEA32"/>
    <w:rsid w:val="73CF1FB8"/>
    <w:rsid w:val="73D64986"/>
    <w:rsid w:val="73D80857"/>
    <w:rsid w:val="73DDD50F"/>
    <w:rsid w:val="73E05FBF"/>
    <w:rsid w:val="73E078A9"/>
    <w:rsid w:val="73E3FCBC"/>
    <w:rsid w:val="73E5B828"/>
    <w:rsid w:val="73E6463B"/>
    <w:rsid w:val="73E93F1A"/>
    <w:rsid w:val="73F0C690"/>
    <w:rsid w:val="73F2C083"/>
    <w:rsid w:val="73F6B93C"/>
    <w:rsid w:val="73FEEB5B"/>
    <w:rsid w:val="73FF7AD5"/>
    <w:rsid w:val="7400E307"/>
    <w:rsid w:val="7404351F"/>
    <w:rsid w:val="7406E072"/>
    <w:rsid w:val="740764DF"/>
    <w:rsid w:val="7407A499"/>
    <w:rsid w:val="740E9C0A"/>
    <w:rsid w:val="740F9D5B"/>
    <w:rsid w:val="740FEC5D"/>
    <w:rsid w:val="7411F6D2"/>
    <w:rsid w:val="7412096F"/>
    <w:rsid w:val="741302E4"/>
    <w:rsid w:val="74164802"/>
    <w:rsid w:val="7418E4DD"/>
    <w:rsid w:val="741A3D65"/>
    <w:rsid w:val="741D00D5"/>
    <w:rsid w:val="74204D3F"/>
    <w:rsid w:val="7422C9FE"/>
    <w:rsid w:val="742727F5"/>
    <w:rsid w:val="74292D12"/>
    <w:rsid w:val="7429CB6E"/>
    <w:rsid w:val="74306EF5"/>
    <w:rsid w:val="7433EC7F"/>
    <w:rsid w:val="74362E96"/>
    <w:rsid w:val="74386BB3"/>
    <w:rsid w:val="7439C1EC"/>
    <w:rsid w:val="743AF9E3"/>
    <w:rsid w:val="7442AC20"/>
    <w:rsid w:val="7448EC90"/>
    <w:rsid w:val="74503FED"/>
    <w:rsid w:val="74546811"/>
    <w:rsid w:val="74553B00"/>
    <w:rsid w:val="74567375"/>
    <w:rsid w:val="7457ED8E"/>
    <w:rsid w:val="74586B6F"/>
    <w:rsid w:val="74631B4F"/>
    <w:rsid w:val="7464E95F"/>
    <w:rsid w:val="74669511"/>
    <w:rsid w:val="746724AF"/>
    <w:rsid w:val="74682A97"/>
    <w:rsid w:val="7469C7CE"/>
    <w:rsid w:val="746BD02B"/>
    <w:rsid w:val="746DC63F"/>
    <w:rsid w:val="746E5A31"/>
    <w:rsid w:val="7472AE0B"/>
    <w:rsid w:val="7472FDC2"/>
    <w:rsid w:val="747379BA"/>
    <w:rsid w:val="74761B65"/>
    <w:rsid w:val="74769392"/>
    <w:rsid w:val="747886FA"/>
    <w:rsid w:val="747B99E4"/>
    <w:rsid w:val="747F9710"/>
    <w:rsid w:val="748434EB"/>
    <w:rsid w:val="74875695"/>
    <w:rsid w:val="74875DB3"/>
    <w:rsid w:val="7487BC14"/>
    <w:rsid w:val="7488AB14"/>
    <w:rsid w:val="748B9266"/>
    <w:rsid w:val="748C1FF4"/>
    <w:rsid w:val="748F18DB"/>
    <w:rsid w:val="748FA9A7"/>
    <w:rsid w:val="748FB30C"/>
    <w:rsid w:val="7496BBA8"/>
    <w:rsid w:val="749B5FB0"/>
    <w:rsid w:val="74A1B8D9"/>
    <w:rsid w:val="74A3E410"/>
    <w:rsid w:val="74A94B7F"/>
    <w:rsid w:val="74A9A52F"/>
    <w:rsid w:val="74B19131"/>
    <w:rsid w:val="74B43CFF"/>
    <w:rsid w:val="74B7D815"/>
    <w:rsid w:val="74B9BB3A"/>
    <w:rsid w:val="74BE8E6F"/>
    <w:rsid w:val="74C20EBC"/>
    <w:rsid w:val="74C2AA0E"/>
    <w:rsid w:val="74C434CB"/>
    <w:rsid w:val="74C73B49"/>
    <w:rsid w:val="74C9A7FB"/>
    <w:rsid w:val="74CB0552"/>
    <w:rsid w:val="74CC983F"/>
    <w:rsid w:val="74CD4383"/>
    <w:rsid w:val="74D12495"/>
    <w:rsid w:val="74D2610D"/>
    <w:rsid w:val="74D3B40E"/>
    <w:rsid w:val="74DB729D"/>
    <w:rsid w:val="74DCB08F"/>
    <w:rsid w:val="74DE8536"/>
    <w:rsid w:val="74DEA15F"/>
    <w:rsid w:val="74DEB156"/>
    <w:rsid w:val="74DECCB5"/>
    <w:rsid w:val="74DF1F56"/>
    <w:rsid w:val="74E532C3"/>
    <w:rsid w:val="74E561DB"/>
    <w:rsid w:val="74E68E31"/>
    <w:rsid w:val="74EAA2B1"/>
    <w:rsid w:val="74ED184E"/>
    <w:rsid w:val="74EE2662"/>
    <w:rsid w:val="74EE2EC6"/>
    <w:rsid w:val="74EE49C7"/>
    <w:rsid w:val="74EF14BD"/>
    <w:rsid w:val="74F3082C"/>
    <w:rsid w:val="74F3FF00"/>
    <w:rsid w:val="74F6E108"/>
    <w:rsid w:val="74F72777"/>
    <w:rsid w:val="74F98B08"/>
    <w:rsid w:val="74FDEED0"/>
    <w:rsid w:val="74FF3CF1"/>
    <w:rsid w:val="7500309A"/>
    <w:rsid w:val="75035711"/>
    <w:rsid w:val="75060C15"/>
    <w:rsid w:val="750684B6"/>
    <w:rsid w:val="7508A7AD"/>
    <w:rsid w:val="7508B182"/>
    <w:rsid w:val="7509D1BF"/>
    <w:rsid w:val="750D33C2"/>
    <w:rsid w:val="750DCA37"/>
    <w:rsid w:val="75130382"/>
    <w:rsid w:val="7515DFF4"/>
    <w:rsid w:val="75162917"/>
    <w:rsid w:val="7517AFD0"/>
    <w:rsid w:val="751C9918"/>
    <w:rsid w:val="752057B9"/>
    <w:rsid w:val="7522C2B9"/>
    <w:rsid w:val="75231975"/>
    <w:rsid w:val="7524A5CE"/>
    <w:rsid w:val="75269003"/>
    <w:rsid w:val="752AF6E3"/>
    <w:rsid w:val="752EDDE7"/>
    <w:rsid w:val="752FB0E6"/>
    <w:rsid w:val="75307C54"/>
    <w:rsid w:val="7533ED3E"/>
    <w:rsid w:val="753C9D9A"/>
    <w:rsid w:val="753E91DB"/>
    <w:rsid w:val="753FA483"/>
    <w:rsid w:val="7540B505"/>
    <w:rsid w:val="754459F2"/>
    <w:rsid w:val="75451CB6"/>
    <w:rsid w:val="7547801C"/>
    <w:rsid w:val="754D47DB"/>
    <w:rsid w:val="754D7232"/>
    <w:rsid w:val="754D93A3"/>
    <w:rsid w:val="754F27EB"/>
    <w:rsid w:val="7551ABCF"/>
    <w:rsid w:val="75530D1D"/>
    <w:rsid w:val="7554C441"/>
    <w:rsid w:val="7555934B"/>
    <w:rsid w:val="755697CF"/>
    <w:rsid w:val="7558CE2C"/>
    <w:rsid w:val="755FD1F5"/>
    <w:rsid w:val="75664C4B"/>
    <w:rsid w:val="75682439"/>
    <w:rsid w:val="756DF988"/>
    <w:rsid w:val="75715274"/>
    <w:rsid w:val="7571E074"/>
    <w:rsid w:val="7574E699"/>
    <w:rsid w:val="7575815E"/>
    <w:rsid w:val="757A19B7"/>
    <w:rsid w:val="757DD0E8"/>
    <w:rsid w:val="757FD32F"/>
    <w:rsid w:val="758409BF"/>
    <w:rsid w:val="7589D065"/>
    <w:rsid w:val="758B8D71"/>
    <w:rsid w:val="758BB8E3"/>
    <w:rsid w:val="758C1B73"/>
    <w:rsid w:val="758C2096"/>
    <w:rsid w:val="7591F002"/>
    <w:rsid w:val="75927FAD"/>
    <w:rsid w:val="7593C8FB"/>
    <w:rsid w:val="759570CB"/>
    <w:rsid w:val="759D17B3"/>
    <w:rsid w:val="759DD098"/>
    <w:rsid w:val="759E6CEE"/>
    <w:rsid w:val="759F6DBB"/>
    <w:rsid w:val="75A198D1"/>
    <w:rsid w:val="75A29820"/>
    <w:rsid w:val="75A4E60D"/>
    <w:rsid w:val="75A55C38"/>
    <w:rsid w:val="75A7F25E"/>
    <w:rsid w:val="75AAA85F"/>
    <w:rsid w:val="75AB4372"/>
    <w:rsid w:val="75AB867F"/>
    <w:rsid w:val="75AC0746"/>
    <w:rsid w:val="75ADDC45"/>
    <w:rsid w:val="75AE4D08"/>
    <w:rsid w:val="75AF12AF"/>
    <w:rsid w:val="75B4CF89"/>
    <w:rsid w:val="75BBDB62"/>
    <w:rsid w:val="75BE22A0"/>
    <w:rsid w:val="75BEE350"/>
    <w:rsid w:val="75BEF5DD"/>
    <w:rsid w:val="75C14AEB"/>
    <w:rsid w:val="75C2735E"/>
    <w:rsid w:val="75C31D98"/>
    <w:rsid w:val="75CCF73F"/>
    <w:rsid w:val="75D1230A"/>
    <w:rsid w:val="75D1524F"/>
    <w:rsid w:val="75D199BE"/>
    <w:rsid w:val="75D8F64E"/>
    <w:rsid w:val="75DAE89C"/>
    <w:rsid w:val="75DEEB5E"/>
    <w:rsid w:val="75E16A2B"/>
    <w:rsid w:val="75E3A576"/>
    <w:rsid w:val="75E94BCD"/>
    <w:rsid w:val="75EBEA3D"/>
    <w:rsid w:val="75EECB77"/>
    <w:rsid w:val="75F0ADFF"/>
    <w:rsid w:val="75F137C8"/>
    <w:rsid w:val="75F243D6"/>
    <w:rsid w:val="75FE530E"/>
    <w:rsid w:val="760CC9A4"/>
    <w:rsid w:val="76109723"/>
    <w:rsid w:val="7612F378"/>
    <w:rsid w:val="76132427"/>
    <w:rsid w:val="761355D3"/>
    <w:rsid w:val="7617F966"/>
    <w:rsid w:val="76186C11"/>
    <w:rsid w:val="761B0CC8"/>
    <w:rsid w:val="76204F24"/>
    <w:rsid w:val="76205E1D"/>
    <w:rsid w:val="7623CD5D"/>
    <w:rsid w:val="76256FCE"/>
    <w:rsid w:val="762DA219"/>
    <w:rsid w:val="762F4ED7"/>
    <w:rsid w:val="762FC811"/>
    <w:rsid w:val="7631F97A"/>
    <w:rsid w:val="763507CB"/>
    <w:rsid w:val="763554D0"/>
    <w:rsid w:val="7637F4DD"/>
    <w:rsid w:val="763938D0"/>
    <w:rsid w:val="76393F82"/>
    <w:rsid w:val="763A8539"/>
    <w:rsid w:val="763E4029"/>
    <w:rsid w:val="763E8F45"/>
    <w:rsid w:val="763F990D"/>
    <w:rsid w:val="7641205C"/>
    <w:rsid w:val="764166FC"/>
    <w:rsid w:val="7642B9E0"/>
    <w:rsid w:val="7646FCD0"/>
    <w:rsid w:val="7647C628"/>
    <w:rsid w:val="7648A5B5"/>
    <w:rsid w:val="764D5719"/>
    <w:rsid w:val="764DDD09"/>
    <w:rsid w:val="7650946D"/>
    <w:rsid w:val="7657EA53"/>
    <w:rsid w:val="765B450D"/>
    <w:rsid w:val="765D9270"/>
    <w:rsid w:val="765DD6D2"/>
    <w:rsid w:val="7668FE48"/>
    <w:rsid w:val="766BB96A"/>
    <w:rsid w:val="766E8CDA"/>
    <w:rsid w:val="766F1087"/>
    <w:rsid w:val="76713BC7"/>
    <w:rsid w:val="7672DEAC"/>
    <w:rsid w:val="76745EF9"/>
    <w:rsid w:val="767B20A0"/>
    <w:rsid w:val="768004EA"/>
    <w:rsid w:val="7680BF15"/>
    <w:rsid w:val="7681F9EB"/>
    <w:rsid w:val="76876B77"/>
    <w:rsid w:val="76883C14"/>
    <w:rsid w:val="76884A8E"/>
    <w:rsid w:val="768D3A43"/>
    <w:rsid w:val="768DC63F"/>
    <w:rsid w:val="768F0ABA"/>
    <w:rsid w:val="76954D03"/>
    <w:rsid w:val="769ABCE8"/>
    <w:rsid w:val="769D48BA"/>
    <w:rsid w:val="76A001A8"/>
    <w:rsid w:val="76A78C5E"/>
    <w:rsid w:val="76ACDAB1"/>
    <w:rsid w:val="76B26969"/>
    <w:rsid w:val="76B2A83A"/>
    <w:rsid w:val="76B3FC1F"/>
    <w:rsid w:val="76B42E14"/>
    <w:rsid w:val="76B45402"/>
    <w:rsid w:val="76B47513"/>
    <w:rsid w:val="76B554D4"/>
    <w:rsid w:val="76B6BE25"/>
    <w:rsid w:val="76B83B4B"/>
    <w:rsid w:val="76BAAF21"/>
    <w:rsid w:val="76BAD0AF"/>
    <w:rsid w:val="76BBE69F"/>
    <w:rsid w:val="76BD07D1"/>
    <w:rsid w:val="76BEB765"/>
    <w:rsid w:val="76C0B036"/>
    <w:rsid w:val="76C25324"/>
    <w:rsid w:val="76C2E00D"/>
    <w:rsid w:val="76C40E4B"/>
    <w:rsid w:val="76C65B08"/>
    <w:rsid w:val="76C808F4"/>
    <w:rsid w:val="76CAC05C"/>
    <w:rsid w:val="76CB3506"/>
    <w:rsid w:val="76CC0E6E"/>
    <w:rsid w:val="76CC1BC4"/>
    <w:rsid w:val="76CD0689"/>
    <w:rsid w:val="76D0E934"/>
    <w:rsid w:val="76D10647"/>
    <w:rsid w:val="76D28B56"/>
    <w:rsid w:val="76D7FF31"/>
    <w:rsid w:val="76D876E7"/>
    <w:rsid w:val="76D8F340"/>
    <w:rsid w:val="76DA30DA"/>
    <w:rsid w:val="76DB18F3"/>
    <w:rsid w:val="76DB7441"/>
    <w:rsid w:val="76DD20FB"/>
    <w:rsid w:val="76DEA8C5"/>
    <w:rsid w:val="76E0716F"/>
    <w:rsid w:val="76E2B074"/>
    <w:rsid w:val="76E444A6"/>
    <w:rsid w:val="76EE52E5"/>
    <w:rsid w:val="76F0D4AD"/>
    <w:rsid w:val="76F2A200"/>
    <w:rsid w:val="76F2BBA8"/>
    <w:rsid w:val="76F4C059"/>
    <w:rsid w:val="76F59548"/>
    <w:rsid w:val="76F876A8"/>
    <w:rsid w:val="76FB2323"/>
    <w:rsid w:val="76FBC96C"/>
    <w:rsid w:val="76FC3839"/>
    <w:rsid w:val="76FC7150"/>
    <w:rsid w:val="76FD98DB"/>
    <w:rsid w:val="76FF2E44"/>
    <w:rsid w:val="76FF3E4D"/>
    <w:rsid w:val="77012502"/>
    <w:rsid w:val="7701B584"/>
    <w:rsid w:val="7701FB4A"/>
    <w:rsid w:val="770303B3"/>
    <w:rsid w:val="77030E27"/>
    <w:rsid w:val="7705C474"/>
    <w:rsid w:val="7707AA8C"/>
    <w:rsid w:val="7707ACB7"/>
    <w:rsid w:val="77092BD9"/>
    <w:rsid w:val="770C455E"/>
    <w:rsid w:val="770CE954"/>
    <w:rsid w:val="77112948"/>
    <w:rsid w:val="77122083"/>
    <w:rsid w:val="77153EFB"/>
    <w:rsid w:val="77162179"/>
    <w:rsid w:val="772032F1"/>
    <w:rsid w:val="772160F3"/>
    <w:rsid w:val="77221A39"/>
    <w:rsid w:val="77269C63"/>
    <w:rsid w:val="772742AE"/>
    <w:rsid w:val="77287F2E"/>
    <w:rsid w:val="772BD74C"/>
    <w:rsid w:val="772DF6F8"/>
    <w:rsid w:val="772E3AE9"/>
    <w:rsid w:val="772F763C"/>
    <w:rsid w:val="773C1B2D"/>
    <w:rsid w:val="773C275E"/>
    <w:rsid w:val="773C8FBB"/>
    <w:rsid w:val="773CA219"/>
    <w:rsid w:val="773D6AE1"/>
    <w:rsid w:val="7741F7D8"/>
    <w:rsid w:val="77424549"/>
    <w:rsid w:val="77437553"/>
    <w:rsid w:val="774433B5"/>
    <w:rsid w:val="7746236C"/>
    <w:rsid w:val="77497305"/>
    <w:rsid w:val="774AE3F8"/>
    <w:rsid w:val="774AFC5E"/>
    <w:rsid w:val="774B3A20"/>
    <w:rsid w:val="774D347C"/>
    <w:rsid w:val="774D5647"/>
    <w:rsid w:val="774DFA49"/>
    <w:rsid w:val="775073AE"/>
    <w:rsid w:val="77534B17"/>
    <w:rsid w:val="7753712B"/>
    <w:rsid w:val="775ED95F"/>
    <w:rsid w:val="77608260"/>
    <w:rsid w:val="77612724"/>
    <w:rsid w:val="77642F89"/>
    <w:rsid w:val="7764AD98"/>
    <w:rsid w:val="7764CF88"/>
    <w:rsid w:val="77663D16"/>
    <w:rsid w:val="776752C5"/>
    <w:rsid w:val="77680879"/>
    <w:rsid w:val="776D654D"/>
    <w:rsid w:val="776F0FDD"/>
    <w:rsid w:val="7772207C"/>
    <w:rsid w:val="7772A215"/>
    <w:rsid w:val="7772BF57"/>
    <w:rsid w:val="77741725"/>
    <w:rsid w:val="777DF37C"/>
    <w:rsid w:val="777E229A"/>
    <w:rsid w:val="777E6901"/>
    <w:rsid w:val="777FBBE5"/>
    <w:rsid w:val="777FE54D"/>
    <w:rsid w:val="777FEB53"/>
    <w:rsid w:val="77823045"/>
    <w:rsid w:val="77823455"/>
    <w:rsid w:val="7784DA1D"/>
    <w:rsid w:val="778DCA93"/>
    <w:rsid w:val="7790FBC7"/>
    <w:rsid w:val="77929BFB"/>
    <w:rsid w:val="7794EB50"/>
    <w:rsid w:val="7798AAE0"/>
    <w:rsid w:val="779C248E"/>
    <w:rsid w:val="779FBC4B"/>
    <w:rsid w:val="77A38F3B"/>
    <w:rsid w:val="77A602F0"/>
    <w:rsid w:val="77A6367C"/>
    <w:rsid w:val="77A86962"/>
    <w:rsid w:val="77AD13F0"/>
    <w:rsid w:val="77AE5FAB"/>
    <w:rsid w:val="77B04A32"/>
    <w:rsid w:val="77B0EAAF"/>
    <w:rsid w:val="77BE1322"/>
    <w:rsid w:val="77C095F8"/>
    <w:rsid w:val="77C1602E"/>
    <w:rsid w:val="77C401E8"/>
    <w:rsid w:val="77C72D24"/>
    <w:rsid w:val="77C848AA"/>
    <w:rsid w:val="77CE0468"/>
    <w:rsid w:val="77CF80D5"/>
    <w:rsid w:val="77D03DEB"/>
    <w:rsid w:val="77D1A8BF"/>
    <w:rsid w:val="77D5364E"/>
    <w:rsid w:val="77D728BE"/>
    <w:rsid w:val="77D7EB13"/>
    <w:rsid w:val="77D8995A"/>
    <w:rsid w:val="77DB8B44"/>
    <w:rsid w:val="77DEC9F0"/>
    <w:rsid w:val="77E0F93E"/>
    <w:rsid w:val="77EA7530"/>
    <w:rsid w:val="77EAEB37"/>
    <w:rsid w:val="77ED1DD0"/>
    <w:rsid w:val="77EED5E6"/>
    <w:rsid w:val="77EFEF1A"/>
    <w:rsid w:val="77F1B592"/>
    <w:rsid w:val="77F81E1C"/>
    <w:rsid w:val="77FADB08"/>
    <w:rsid w:val="77FD2206"/>
    <w:rsid w:val="780122F0"/>
    <w:rsid w:val="780666C5"/>
    <w:rsid w:val="7807847F"/>
    <w:rsid w:val="780B744E"/>
    <w:rsid w:val="780C4E8A"/>
    <w:rsid w:val="780CF004"/>
    <w:rsid w:val="780D42DA"/>
    <w:rsid w:val="780F0053"/>
    <w:rsid w:val="78110C93"/>
    <w:rsid w:val="78126495"/>
    <w:rsid w:val="7812D6FA"/>
    <w:rsid w:val="7813481F"/>
    <w:rsid w:val="78155A00"/>
    <w:rsid w:val="78170849"/>
    <w:rsid w:val="7817AF42"/>
    <w:rsid w:val="781B3E4B"/>
    <w:rsid w:val="781B807A"/>
    <w:rsid w:val="781CC1BD"/>
    <w:rsid w:val="781F19C0"/>
    <w:rsid w:val="78206042"/>
    <w:rsid w:val="78265DBF"/>
    <w:rsid w:val="78276E55"/>
    <w:rsid w:val="782B32F0"/>
    <w:rsid w:val="782BDFAF"/>
    <w:rsid w:val="782C5403"/>
    <w:rsid w:val="782D8E8C"/>
    <w:rsid w:val="782E4CE8"/>
    <w:rsid w:val="782F6B8C"/>
    <w:rsid w:val="78308748"/>
    <w:rsid w:val="7833E891"/>
    <w:rsid w:val="783808B4"/>
    <w:rsid w:val="7839F2EA"/>
    <w:rsid w:val="783AE4E4"/>
    <w:rsid w:val="784001DD"/>
    <w:rsid w:val="78465414"/>
    <w:rsid w:val="78486F06"/>
    <w:rsid w:val="7849ED11"/>
    <w:rsid w:val="784B470C"/>
    <w:rsid w:val="784BC3ED"/>
    <w:rsid w:val="78521D09"/>
    <w:rsid w:val="7854A325"/>
    <w:rsid w:val="785586CF"/>
    <w:rsid w:val="7857427B"/>
    <w:rsid w:val="7859FEE9"/>
    <w:rsid w:val="785E512B"/>
    <w:rsid w:val="785F4523"/>
    <w:rsid w:val="7860F45B"/>
    <w:rsid w:val="7866AB58"/>
    <w:rsid w:val="78677636"/>
    <w:rsid w:val="786CD945"/>
    <w:rsid w:val="7871BF6A"/>
    <w:rsid w:val="7871E0BA"/>
    <w:rsid w:val="78727556"/>
    <w:rsid w:val="7872B273"/>
    <w:rsid w:val="78734750"/>
    <w:rsid w:val="7874AE6D"/>
    <w:rsid w:val="7875AD72"/>
    <w:rsid w:val="78777D28"/>
    <w:rsid w:val="7877D28D"/>
    <w:rsid w:val="7878E28A"/>
    <w:rsid w:val="7879DAC2"/>
    <w:rsid w:val="787BAF50"/>
    <w:rsid w:val="788015E4"/>
    <w:rsid w:val="78807456"/>
    <w:rsid w:val="7881022D"/>
    <w:rsid w:val="78838780"/>
    <w:rsid w:val="7886DA88"/>
    <w:rsid w:val="78878B21"/>
    <w:rsid w:val="78879C5C"/>
    <w:rsid w:val="788B7736"/>
    <w:rsid w:val="788CD173"/>
    <w:rsid w:val="7893604C"/>
    <w:rsid w:val="78947211"/>
    <w:rsid w:val="7895211A"/>
    <w:rsid w:val="7898EE1A"/>
    <w:rsid w:val="789B9BE0"/>
    <w:rsid w:val="789D400D"/>
    <w:rsid w:val="789D943D"/>
    <w:rsid w:val="789E6B0E"/>
    <w:rsid w:val="78A0D67C"/>
    <w:rsid w:val="78A34574"/>
    <w:rsid w:val="78A408BF"/>
    <w:rsid w:val="78A42325"/>
    <w:rsid w:val="78A44510"/>
    <w:rsid w:val="78A48F22"/>
    <w:rsid w:val="78A4F538"/>
    <w:rsid w:val="78ACBD38"/>
    <w:rsid w:val="78AFD0F1"/>
    <w:rsid w:val="78B4EE41"/>
    <w:rsid w:val="78BB97C4"/>
    <w:rsid w:val="78BD8B4B"/>
    <w:rsid w:val="78BF6EFF"/>
    <w:rsid w:val="78BF91E0"/>
    <w:rsid w:val="78C432E9"/>
    <w:rsid w:val="78C49585"/>
    <w:rsid w:val="78C536E6"/>
    <w:rsid w:val="78CBF3C2"/>
    <w:rsid w:val="78D01892"/>
    <w:rsid w:val="78D2EF44"/>
    <w:rsid w:val="78D3AF49"/>
    <w:rsid w:val="78D7DB02"/>
    <w:rsid w:val="78D94A02"/>
    <w:rsid w:val="78DA1281"/>
    <w:rsid w:val="78DBF706"/>
    <w:rsid w:val="78DD1F91"/>
    <w:rsid w:val="78E07D4F"/>
    <w:rsid w:val="78E0EC58"/>
    <w:rsid w:val="78E0F5D8"/>
    <w:rsid w:val="78E23DE0"/>
    <w:rsid w:val="78E2F007"/>
    <w:rsid w:val="78E58795"/>
    <w:rsid w:val="78E6CA47"/>
    <w:rsid w:val="78EC9E10"/>
    <w:rsid w:val="78EEC2C0"/>
    <w:rsid w:val="78F06637"/>
    <w:rsid w:val="78F7A7D7"/>
    <w:rsid w:val="78F7F980"/>
    <w:rsid w:val="78F808EA"/>
    <w:rsid w:val="78FD0E38"/>
    <w:rsid w:val="78FEEE5E"/>
    <w:rsid w:val="790827CB"/>
    <w:rsid w:val="7908EEF6"/>
    <w:rsid w:val="790986CB"/>
    <w:rsid w:val="790A75A0"/>
    <w:rsid w:val="79140382"/>
    <w:rsid w:val="79153FE8"/>
    <w:rsid w:val="7918EBDD"/>
    <w:rsid w:val="791E5173"/>
    <w:rsid w:val="7922FD18"/>
    <w:rsid w:val="79264F63"/>
    <w:rsid w:val="7927876D"/>
    <w:rsid w:val="79278B0D"/>
    <w:rsid w:val="792A597E"/>
    <w:rsid w:val="792A71EF"/>
    <w:rsid w:val="792DA4F3"/>
    <w:rsid w:val="792DF70D"/>
    <w:rsid w:val="792E0C3E"/>
    <w:rsid w:val="792E1F89"/>
    <w:rsid w:val="7930E848"/>
    <w:rsid w:val="7931962E"/>
    <w:rsid w:val="79332E0C"/>
    <w:rsid w:val="7934AEC1"/>
    <w:rsid w:val="7935CFDD"/>
    <w:rsid w:val="79362385"/>
    <w:rsid w:val="793EE2F8"/>
    <w:rsid w:val="7942FFEB"/>
    <w:rsid w:val="79473C8E"/>
    <w:rsid w:val="79473F8F"/>
    <w:rsid w:val="794AB0A2"/>
    <w:rsid w:val="794BB11C"/>
    <w:rsid w:val="794D1E4A"/>
    <w:rsid w:val="794E70E0"/>
    <w:rsid w:val="794E84B6"/>
    <w:rsid w:val="794FA05F"/>
    <w:rsid w:val="7954E2F1"/>
    <w:rsid w:val="7954E32C"/>
    <w:rsid w:val="7957A3AA"/>
    <w:rsid w:val="79588018"/>
    <w:rsid w:val="7959436B"/>
    <w:rsid w:val="79595DB1"/>
    <w:rsid w:val="795E5350"/>
    <w:rsid w:val="7960444D"/>
    <w:rsid w:val="79657DA7"/>
    <w:rsid w:val="79658A92"/>
    <w:rsid w:val="79697022"/>
    <w:rsid w:val="796B55FC"/>
    <w:rsid w:val="796CB11A"/>
    <w:rsid w:val="79701648"/>
    <w:rsid w:val="7972F251"/>
    <w:rsid w:val="79766587"/>
    <w:rsid w:val="7979DE9E"/>
    <w:rsid w:val="797D1C2E"/>
    <w:rsid w:val="797D32AB"/>
    <w:rsid w:val="7981C7EB"/>
    <w:rsid w:val="7986CD54"/>
    <w:rsid w:val="79889EBE"/>
    <w:rsid w:val="7988FD6D"/>
    <w:rsid w:val="798C28F0"/>
    <w:rsid w:val="7992646D"/>
    <w:rsid w:val="79945ECC"/>
    <w:rsid w:val="79964796"/>
    <w:rsid w:val="7996C1E0"/>
    <w:rsid w:val="799D7F40"/>
    <w:rsid w:val="799F509E"/>
    <w:rsid w:val="79A3D6E3"/>
    <w:rsid w:val="79A571D6"/>
    <w:rsid w:val="79A62843"/>
    <w:rsid w:val="79A7FEF0"/>
    <w:rsid w:val="79A812CA"/>
    <w:rsid w:val="79AF6B9E"/>
    <w:rsid w:val="79B01EF2"/>
    <w:rsid w:val="79B27403"/>
    <w:rsid w:val="79B4B614"/>
    <w:rsid w:val="79B70308"/>
    <w:rsid w:val="79B922AD"/>
    <w:rsid w:val="79B9BBA4"/>
    <w:rsid w:val="79BA5A2C"/>
    <w:rsid w:val="79BC6B27"/>
    <w:rsid w:val="79BDA25A"/>
    <w:rsid w:val="79BE88CF"/>
    <w:rsid w:val="79C382E0"/>
    <w:rsid w:val="79CAF02B"/>
    <w:rsid w:val="79CB08C5"/>
    <w:rsid w:val="79CF2134"/>
    <w:rsid w:val="79D3FEB7"/>
    <w:rsid w:val="79D6EA34"/>
    <w:rsid w:val="79D83FC3"/>
    <w:rsid w:val="79DA8A1E"/>
    <w:rsid w:val="79DC3570"/>
    <w:rsid w:val="79E1BA09"/>
    <w:rsid w:val="79E46BC6"/>
    <w:rsid w:val="79E8CBDC"/>
    <w:rsid w:val="79EC0307"/>
    <w:rsid w:val="79EC1659"/>
    <w:rsid w:val="79ECB868"/>
    <w:rsid w:val="79ECD036"/>
    <w:rsid w:val="79EE216D"/>
    <w:rsid w:val="79F08386"/>
    <w:rsid w:val="79F9FC56"/>
    <w:rsid w:val="79FA14DA"/>
    <w:rsid w:val="79FB6B99"/>
    <w:rsid w:val="79FC4045"/>
    <w:rsid w:val="79FEDFD3"/>
    <w:rsid w:val="7A01ED58"/>
    <w:rsid w:val="7A02D998"/>
    <w:rsid w:val="7A04B630"/>
    <w:rsid w:val="7A04D39F"/>
    <w:rsid w:val="7A04FDCA"/>
    <w:rsid w:val="7A083471"/>
    <w:rsid w:val="7A0E5881"/>
    <w:rsid w:val="7A13241C"/>
    <w:rsid w:val="7A19CEBB"/>
    <w:rsid w:val="7A1CADBF"/>
    <w:rsid w:val="7A1D8F53"/>
    <w:rsid w:val="7A1D9910"/>
    <w:rsid w:val="7A1E0EC7"/>
    <w:rsid w:val="7A25A879"/>
    <w:rsid w:val="7A28202F"/>
    <w:rsid w:val="7A29ED24"/>
    <w:rsid w:val="7A2A054A"/>
    <w:rsid w:val="7A2AD2A1"/>
    <w:rsid w:val="7A2C7F95"/>
    <w:rsid w:val="7A2EC90B"/>
    <w:rsid w:val="7A31C4BE"/>
    <w:rsid w:val="7A350DFE"/>
    <w:rsid w:val="7A363C58"/>
    <w:rsid w:val="7A378441"/>
    <w:rsid w:val="7A378CDB"/>
    <w:rsid w:val="7A39BD6E"/>
    <w:rsid w:val="7A3B44CF"/>
    <w:rsid w:val="7A3C3F94"/>
    <w:rsid w:val="7A417CF4"/>
    <w:rsid w:val="7A42BEC8"/>
    <w:rsid w:val="7A495CF5"/>
    <w:rsid w:val="7A4AECA9"/>
    <w:rsid w:val="7A4CDDE1"/>
    <w:rsid w:val="7A586B5C"/>
    <w:rsid w:val="7A5A3BFE"/>
    <w:rsid w:val="7A5BB391"/>
    <w:rsid w:val="7A5E2B77"/>
    <w:rsid w:val="7A61CC04"/>
    <w:rsid w:val="7A630305"/>
    <w:rsid w:val="7A676024"/>
    <w:rsid w:val="7A6925A1"/>
    <w:rsid w:val="7A6BD137"/>
    <w:rsid w:val="7A6D1B2E"/>
    <w:rsid w:val="7A7041CD"/>
    <w:rsid w:val="7A70DF21"/>
    <w:rsid w:val="7A718BBB"/>
    <w:rsid w:val="7A71AFE8"/>
    <w:rsid w:val="7A71F35C"/>
    <w:rsid w:val="7A72A67F"/>
    <w:rsid w:val="7A72B9BC"/>
    <w:rsid w:val="7A7305EB"/>
    <w:rsid w:val="7A7402BF"/>
    <w:rsid w:val="7A746A8C"/>
    <w:rsid w:val="7A769195"/>
    <w:rsid w:val="7A775F32"/>
    <w:rsid w:val="7A779EEB"/>
    <w:rsid w:val="7A7A0E01"/>
    <w:rsid w:val="7A7C7DBD"/>
    <w:rsid w:val="7A7CC80C"/>
    <w:rsid w:val="7A80366A"/>
    <w:rsid w:val="7A84B632"/>
    <w:rsid w:val="7A8540BC"/>
    <w:rsid w:val="7A86042E"/>
    <w:rsid w:val="7A86A7C4"/>
    <w:rsid w:val="7A885231"/>
    <w:rsid w:val="7A889A1D"/>
    <w:rsid w:val="7A89BFDA"/>
    <w:rsid w:val="7A8E27F2"/>
    <w:rsid w:val="7A8E9E01"/>
    <w:rsid w:val="7A901B16"/>
    <w:rsid w:val="7A94F8AD"/>
    <w:rsid w:val="7A95FF10"/>
    <w:rsid w:val="7A9FA93B"/>
    <w:rsid w:val="7AA05207"/>
    <w:rsid w:val="7AA162E4"/>
    <w:rsid w:val="7AA4C372"/>
    <w:rsid w:val="7AA5DA3E"/>
    <w:rsid w:val="7AA5E648"/>
    <w:rsid w:val="7AA94967"/>
    <w:rsid w:val="7AABA35C"/>
    <w:rsid w:val="7AB0F1FD"/>
    <w:rsid w:val="7AB1AE32"/>
    <w:rsid w:val="7AB1B4D5"/>
    <w:rsid w:val="7AB31861"/>
    <w:rsid w:val="7AB4B391"/>
    <w:rsid w:val="7AB8D984"/>
    <w:rsid w:val="7ABAA631"/>
    <w:rsid w:val="7ABB0E77"/>
    <w:rsid w:val="7AC46B6E"/>
    <w:rsid w:val="7AC5C2CD"/>
    <w:rsid w:val="7AC62CE4"/>
    <w:rsid w:val="7AC86CDA"/>
    <w:rsid w:val="7ACC62A9"/>
    <w:rsid w:val="7ACE6F80"/>
    <w:rsid w:val="7AD632DB"/>
    <w:rsid w:val="7AD976D7"/>
    <w:rsid w:val="7AD9FB64"/>
    <w:rsid w:val="7ADC18C3"/>
    <w:rsid w:val="7AE01DE9"/>
    <w:rsid w:val="7AE29BE0"/>
    <w:rsid w:val="7AE6F800"/>
    <w:rsid w:val="7AE96924"/>
    <w:rsid w:val="7AEC14F3"/>
    <w:rsid w:val="7AECE550"/>
    <w:rsid w:val="7AEE9FAA"/>
    <w:rsid w:val="7AF5377D"/>
    <w:rsid w:val="7AF5ABBB"/>
    <w:rsid w:val="7AF69D59"/>
    <w:rsid w:val="7AFEFD04"/>
    <w:rsid w:val="7B047E00"/>
    <w:rsid w:val="7B0D92E9"/>
    <w:rsid w:val="7B12EB67"/>
    <w:rsid w:val="7B148CFE"/>
    <w:rsid w:val="7B1568C6"/>
    <w:rsid w:val="7B184861"/>
    <w:rsid w:val="7B19BB52"/>
    <w:rsid w:val="7B1CFAF7"/>
    <w:rsid w:val="7B2256FE"/>
    <w:rsid w:val="7B26A0A9"/>
    <w:rsid w:val="7B29EFBF"/>
    <w:rsid w:val="7B2AE1B9"/>
    <w:rsid w:val="7B2BAD17"/>
    <w:rsid w:val="7B30E34D"/>
    <w:rsid w:val="7B36686A"/>
    <w:rsid w:val="7B370AC1"/>
    <w:rsid w:val="7B373250"/>
    <w:rsid w:val="7B3735B7"/>
    <w:rsid w:val="7B37CC1A"/>
    <w:rsid w:val="7B39A4C1"/>
    <w:rsid w:val="7B3AF8D0"/>
    <w:rsid w:val="7B3EA0D0"/>
    <w:rsid w:val="7B3FBA36"/>
    <w:rsid w:val="7B4081DE"/>
    <w:rsid w:val="7B411CB5"/>
    <w:rsid w:val="7B461F0F"/>
    <w:rsid w:val="7B478A36"/>
    <w:rsid w:val="7B479108"/>
    <w:rsid w:val="7B4C80E3"/>
    <w:rsid w:val="7B4FFB75"/>
    <w:rsid w:val="7B520BCC"/>
    <w:rsid w:val="7B548C2B"/>
    <w:rsid w:val="7B56E53C"/>
    <w:rsid w:val="7B574312"/>
    <w:rsid w:val="7B5783EF"/>
    <w:rsid w:val="7B591D49"/>
    <w:rsid w:val="7B59258A"/>
    <w:rsid w:val="7B5AFFCA"/>
    <w:rsid w:val="7B5DD245"/>
    <w:rsid w:val="7B60BE46"/>
    <w:rsid w:val="7B61FCA4"/>
    <w:rsid w:val="7B622B4C"/>
    <w:rsid w:val="7B62A001"/>
    <w:rsid w:val="7B645366"/>
    <w:rsid w:val="7B64A055"/>
    <w:rsid w:val="7B65A2C9"/>
    <w:rsid w:val="7B65BF35"/>
    <w:rsid w:val="7B6F41CB"/>
    <w:rsid w:val="7B713EE6"/>
    <w:rsid w:val="7B72F3F9"/>
    <w:rsid w:val="7B7341F9"/>
    <w:rsid w:val="7B741EA9"/>
    <w:rsid w:val="7B75BC28"/>
    <w:rsid w:val="7B76CBCF"/>
    <w:rsid w:val="7B7CFE39"/>
    <w:rsid w:val="7B81E9DC"/>
    <w:rsid w:val="7B826281"/>
    <w:rsid w:val="7B84D34D"/>
    <w:rsid w:val="7B88E2EB"/>
    <w:rsid w:val="7B89BE5E"/>
    <w:rsid w:val="7B91FBD4"/>
    <w:rsid w:val="7B97E2D9"/>
    <w:rsid w:val="7B9889FC"/>
    <w:rsid w:val="7B9B8000"/>
    <w:rsid w:val="7B9BB3BB"/>
    <w:rsid w:val="7B9DD1FD"/>
    <w:rsid w:val="7BA1EE17"/>
    <w:rsid w:val="7BA31034"/>
    <w:rsid w:val="7BA3DD34"/>
    <w:rsid w:val="7BA3EA66"/>
    <w:rsid w:val="7BA44758"/>
    <w:rsid w:val="7BA5861F"/>
    <w:rsid w:val="7BA5DD2B"/>
    <w:rsid w:val="7BA5F9A6"/>
    <w:rsid w:val="7BACC90A"/>
    <w:rsid w:val="7BAD7263"/>
    <w:rsid w:val="7BAD9845"/>
    <w:rsid w:val="7BADF703"/>
    <w:rsid w:val="7BB2818C"/>
    <w:rsid w:val="7BB36382"/>
    <w:rsid w:val="7BB408ED"/>
    <w:rsid w:val="7BB464F4"/>
    <w:rsid w:val="7BB9EAB1"/>
    <w:rsid w:val="7BBA13B2"/>
    <w:rsid w:val="7BBB3D85"/>
    <w:rsid w:val="7BC0985E"/>
    <w:rsid w:val="7BC0BBD1"/>
    <w:rsid w:val="7BC3D787"/>
    <w:rsid w:val="7BC429B8"/>
    <w:rsid w:val="7BC4F82E"/>
    <w:rsid w:val="7BC7C066"/>
    <w:rsid w:val="7BC95B9A"/>
    <w:rsid w:val="7BCB04EF"/>
    <w:rsid w:val="7BCBD068"/>
    <w:rsid w:val="7BCBEA83"/>
    <w:rsid w:val="7BCC97A4"/>
    <w:rsid w:val="7BCD2865"/>
    <w:rsid w:val="7BCF2AB3"/>
    <w:rsid w:val="7BD68141"/>
    <w:rsid w:val="7BD94B84"/>
    <w:rsid w:val="7BD9E110"/>
    <w:rsid w:val="7BDBE005"/>
    <w:rsid w:val="7BDD612E"/>
    <w:rsid w:val="7BDF1D11"/>
    <w:rsid w:val="7BDFD7D2"/>
    <w:rsid w:val="7BE00F14"/>
    <w:rsid w:val="7BE6B70C"/>
    <w:rsid w:val="7BEFB561"/>
    <w:rsid w:val="7BEFFFAB"/>
    <w:rsid w:val="7BF32E11"/>
    <w:rsid w:val="7BF37F17"/>
    <w:rsid w:val="7BF4FC81"/>
    <w:rsid w:val="7BF676A1"/>
    <w:rsid w:val="7BF6F188"/>
    <w:rsid w:val="7BF819CF"/>
    <w:rsid w:val="7BF82EAE"/>
    <w:rsid w:val="7BFEEC8A"/>
    <w:rsid w:val="7C002BAF"/>
    <w:rsid w:val="7C016AFB"/>
    <w:rsid w:val="7C0379F4"/>
    <w:rsid w:val="7C0468B2"/>
    <w:rsid w:val="7C048D1C"/>
    <w:rsid w:val="7C05A5A8"/>
    <w:rsid w:val="7C073889"/>
    <w:rsid w:val="7C093F72"/>
    <w:rsid w:val="7C0AC57F"/>
    <w:rsid w:val="7C0D6D3D"/>
    <w:rsid w:val="7C0E222C"/>
    <w:rsid w:val="7C109E20"/>
    <w:rsid w:val="7C11ADEF"/>
    <w:rsid w:val="7C1428EF"/>
    <w:rsid w:val="7C14D5C1"/>
    <w:rsid w:val="7C17068F"/>
    <w:rsid w:val="7C17266C"/>
    <w:rsid w:val="7C1958F2"/>
    <w:rsid w:val="7C1A52E3"/>
    <w:rsid w:val="7C1D9756"/>
    <w:rsid w:val="7C2136CF"/>
    <w:rsid w:val="7C21FA09"/>
    <w:rsid w:val="7C263E2C"/>
    <w:rsid w:val="7C2BE131"/>
    <w:rsid w:val="7C2CF027"/>
    <w:rsid w:val="7C2D497C"/>
    <w:rsid w:val="7C31C2CB"/>
    <w:rsid w:val="7C3242BF"/>
    <w:rsid w:val="7C34645B"/>
    <w:rsid w:val="7C37145D"/>
    <w:rsid w:val="7C385390"/>
    <w:rsid w:val="7C3B48C1"/>
    <w:rsid w:val="7C3B799C"/>
    <w:rsid w:val="7C3DCDE6"/>
    <w:rsid w:val="7C41ED58"/>
    <w:rsid w:val="7C43562E"/>
    <w:rsid w:val="7C450532"/>
    <w:rsid w:val="7C45095B"/>
    <w:rsid w:val="7C49C6A9"/>
    <w:rsid w:val="7C4AF7AB"/>
    <w:rsid w:val="7C4DE420"/>
    <w:rsid w:val="7C4FDC22"/>
    <w:rsid w:val="7C516361"/>
    <w:rsid w:val="7C5209B5"/>
    <w:rsid w:val="7C52DA07"/>
    <w:rsid w:val="7C53DF11"/>
    <w:rsid w:val="7C547EF2"/>
    <w:rsid w:val="7C5C87BA"/>
    <w:rsid w:val="7C5CE263"/>
    <w:rsid w:val="7C6018E5"/>
    <w:rsid w:val="7C61ADEC"/>
    <w:rsid w:val="7C621ED1"/>
    <w:rsid w:val="7C68565D"/>
    <w:rsid w:val="7C69D68C"/>
    <w:rsid w:val="7C6EB2F1"/>
    <w:rsid w:val="7C7E779E"/>
    <w:rsid w:val="7C865137"/>
    <w:rsid w:val="7C869CB3"/>
    <w:rsid w:val="7C86F80D"/>
    <w:rsid w:val="7C8A9FFD"/>
    <w:rsid w:val="7C8FE824"/>
    <w:rsid w:val="7C91EFCB"/>
    <w:rsid w:val="7C93AE64"/>
    <w:rsid w:val="7C97844F"/>
    <w:rsid w:val="7C98A22D"/>
    <w:rsid w:val="7C99B2B1"/>
    <w:rsid w:val="7C9BF9E5"/>
    <w:rsid w:val="7CA3D6B9"/>
    <w:rsid w:val="7CA7D25B"/>
    <w:rsid w:val="7CA7D6B2"/>
    <w:rsid w:val="7CAACF21"/>
    <w:rsid w:val="7CABA2DF"/>
    <w:rsid w:val="7CAEBAA0"/>
    <w:rsid w:val="7CAEFFAD"/>
    <w:rsid w:val="7CB2705E"/>
    <w:rsid w:val="7CB2FC15"/>
    <w:rsid w:val="7CB44AB6"/>
    <w:rsid w:val="7CC2AE03"/>
    <w:rsid w:val="7CC4F22F"/>
    <w:rsid w:val="7CC7538F"/>
    <w:rsid w:val="7CCA2F9B"/>
    <w:rsid w:val="7CCD9E00"/>
    <w:rsid w:val="7CCE3BBD"/>
    <w:rsid w:val="7CD03310"/>
    <w:rsid w:val="7CD29518"/>
    <w:rsid w:val="7CD8F36B"/>
    <w:rsid w:val="7CD9F0BF"/>
    <w:rsid w:val="7CDA5696"/>
    <w:rsid w:val="7CDF469E"/>
    <w:rsid w:val="7CDF9BB1"/>
    <w:rsid w:val="7CE00853"/>
    <w:rsid w:val="7CE0550D"/>
    <w:rsid w:val="7CE24A7E"/>
    <w:rsid w:val="7CE35A97"/>
    <w:rsid w:val="7CE45BCC"/>
    <w:rsid w:val="7CE5D7D0"/>
    <w:rsid w:val="7CE7EFA2"/>
    <w:rsid w:val="7CEBE277"/>
    <w:rsid w:val="7CF5CBE5"/>
    <w:rsid w:val="7CF7617B"/>
    <w:rsid w:val="7CF98585"/>
    <w:rsid w:val="7CFEC30C"/>
    <w:rsid w:val="7CFED902"/>
    <w:rsid w:val="7D005550"/>
    <w:rsid w:val="7D00936D"/>
    <w:rsid w:val="7D00E6C3"/>
    <w:rsid w:val="7D075719"/>
    <w:rsid w:val="7D07F4F0"/>
    <w:rsid w:val="7D07FA75"/>
    <w:rsid w:val="7D083DD3"/>
    <w:rsid w:val="7D0BDB2D"/>
    <w:rsid w:val="7D0CDD57"/>
    <w:rsid w:val="7D0D5DA7"/>
    <w:rsid w:val="7D0D8410"/>
    <w:rsid w:val="7D0D8693"/>
    <w:rsid w:val="7D0D9DFC"/>
    <w:rsid w:val="7D0E8FD2"/>
    <w:rsid w:val="7D0EE646"/>
    <w:rsid w:val="7D138DD3"/>
    <w:rsid w:val="7D145620"/>
    <w:rsid w:val="7D14F958"/>
    <w:rsid w:val="7D1B0FF6"/>
    <w:rsid w:val="7D1D4041"/>
    <w:rsid w:val="7D1D7AC4"/>
    <w:rsid w:val="7D1D7AD9"/>
    <w:rsid w:val="7D1EAD6F"/>
    <w:rsid w:val="7D20A847"/>
    <w:rsid w:val="7D223A9D"/>
    <w:rsid w:val="7D227F95"/>
    <w:rsid w:val="7D2543E9"/>
    <w:rsid w:val="7D26CF8B"/>
    <w:rsid w:val="7D30127D"/>
    <w:rsid w:val="7D342CBF"/>
    <w:rsid w:val="7D357D07"/>
    <w:rsid w:val="7D386937"/>
    <w:rsid w:val="7D39A649"/>
    <w:rsid w:val="7D39AF66"/>
    <w:rsid w:val="7D3AFDF6"/>
    <w:rsid w:val="7D3B82C3"/>
    <w:rsid w:val="7D3BC177"/>
    <w:rsid w:val="7D3C789F"/>
    <w:rsid w:val="7D3D01DD"/>
    <w:rsid w:val="7D3D3B01"/>
    <w:rsid w:val="7D3DEFC8"/>
    <w:rsid w:val="7D3E1290"/>
    <w:rsid w:val="7D4006B3"/>
    <w:rsid w:val="7D4300E1"/>
    <w:rsid w:val="7D46F264"/>
    <w:rsid w:val="7D4735FE"/>
    <w:rsid w:val="7D493F76"/>
    <w:rsid w:val="7D49CDD2"/>
    <w:rsid w:val="7D4B08E0"/>
    <w:rsid w:val="7D4B43AC"/>
    <w:rsid w:val="7D4B984B"/>
    <w:rsid w:val="7D4C57E7"/>
    <w:rsid w:val="7D5092CC"/>
    <w:rsid w:val="7D54B61E"/>
    <w:rsid w:val="7D54E1B9"/>
    <w:rsid w:val="7D563752"/>
    <w:rsid w:val="7D5862DD"/>
    <w:rsid w:val="7D5968B7"/>
    <w:rsid w:val="7D5A3B89"/>
    <w:rsid w:val="7D61FA08"/>
    <w:rsid w:val="7D64138C"/>
    <w:rsid w:val="7D643AE9"/>
    <w:rsid w:val="7D646E08"/>
    <w:rsid w:val="7D6A9464"/>
    <w:rsid w:val="7D6AD8A3"/>
    <w:rsid w:val="7D6B1982"/>
    <w:rsid w:val="7D6B357B"/>
    <w:rsid w:val="7D6BC371"/>
    <w:rsid w:val="7D6E1A97"/>
    <w:rsid w:val="7D6E3319"/>
    <w:rsid w:val="7D711C81"/>
    <w:rsid w:val="7D71B46E"/>
    <w:rsid w:val="7D7318C8"/>
    <w:rsid w:val="7D74DBBF"/>
    <w:rsid w:val="7D751E15"/>
    <w:rsid w:val="7D7567FB"/>
    <w:rsid w:val="7D763AE2"/>
    <w:rsid w:val="7D7AAC60"/>
    <w:rsid w:val="7D7B1461"/>
    <w:rsid w:val="7D83BF43"/>
    <w:rsid w:val="7D83F9CD"/>
    <w:rsid w:val="7D892086"/>
    <w:rsid w:val="7D899D95"/>
    <w:rsid w:val="7D8CB9BF"/>
    <w:rsid w:val="7D8DD127"/>
    <w:rsid w:val="7D8F04E1"/>
    <w:rsid w:val="7D8F2063"/>
    <w:rsid w:val="7D8F95EA"/>
    <w:rsid w:val="7D913CC8"/>
    <w:rsid w:val="7D9336E5"/>
    <w:rsid w:val="7D9555D7"/>
    <w:rsid w:val="7D9AD408"/>
    <w:rsid w:val="7D9BE88B"/>
    <w:rsid w:val="7D9CD11C"/>
    <w:rsid w:val="7D9DEFF1"/>
    <w:rsid w:val="7D9E4768"/>
    <w:rsid w:val="7D9EB118"/>
    <w:rsid w:val="7D9FB5EE"/>
    <w:rsid w:val="7DA23646"/>
    <w:rsid w:val="7DA9A6B8"/>
    <w:rsid w:val="7DAAD761"/>
    <w:rsid w:val="7DAB2BBC"/>
    <w:rsid w:val="7DACECF1"/>
    <w:rsid w:val="7DB133EF"/>
    <w:rsid w:val="7DB5599A"/>
    <w:rsid w:val="7DB7326D"/>
    <w:rsid w:val="7DB940E3"/>
    <w:rsid w:val="7DBAA82B"/>
    <w:rsid w:val="7DBBC164"/>
    <w:rsid w:val="7DC8366F"/>
    <w:rsid w:val="7DC8444D"/>
    <w:rsid w:val="7DC9E619"/>
    <w:rsid w:val="7DCC91A2"/>
    <w:rsid w:val="7DCCFC58"/>
    <w:rsid w:val="7DCD30C8"/>
    <w:rsid w:val="7DD0944C"/>
    <w:rsid w:val="7DD4C05A"/>
    <w:rsid w:val="7DDA24D5"/>
    <w:rsid w:val="7DDA7A6B"/>
    <w:rsid w:val="7DDC356C"/>
    <w:rsid w:val="7DDD3F45"/>
    <w:rsid w:val="7DDD6BA0"/>
    <w:rsid w:val="7DE285D1"/>
    <w:rsid w:val="7DE372DB"/>
    <w:rsid w:val="7DE3857B"/>
    <w:rsid w:val="7DE50EA5"/>
    <w:rsid w:val="7DE7ABF7"/>
    <w:rsid w:val="7DE843BC"/>
    <w:rsid w:val="7DE85C6E"/>
    <w:rsid w:val="7DEAC6F0"/>
    <w:rsid w:val="7DEC88DD"/>
    <w:rsid w:val="7DEDA60C"/>
    <w:rsid w:val="7DEFF549"/>
    <w:rsid w:val="7DF1810A"/>
    <w:rsid w:val="7DF1D777"/>
    <w:rsid w:val="7DF48606"/>
    <w:rsid w:val="7DF58187"/>
    <w:rsid w:val="7DFA4A51"/>
    <w:rsid w:val="7DFAD1C9"/>
    <w:rsid w:val="7DFB4CA8"/>
    <w:rsid w:val="7DFB61F6"/>
    <w:rsid w:val="7DFBBA7A"/>
    <w:rsid w:val="7DFC1C17"/>
    <w:rsid w:val="7DFCA2B0"/>
    <w:rsid w:val="7E02F1D4"/>
    <w:rsid w:val="7E045B01"/>
    <w:rsid w:val="7E04D2EB"/>
    <w:rsid w:val="7E063825"/>
    <w:rsid w:val="7E0CAE61"/>
    <w:rsid w:val="7E0DD1E5"/>
    <w:rsid w:val="7E18DB66"/>
    <w:rsid w:val="7E18F9D8"/>
    <w:rsid w:val="7E19527B"/>
    <w:rsid w:val="7E21145B"/>
    <w:rsid w:val="7E2A65F3"/>
    <w:rsid w:val="7E2D9964"/>
    <w:rsid w:val="7E2EBF70"/>
    <w:rsid w:val="7E33362B"/>
    <w:rsid w:val="7E3396A2"/>
    <w:rsid w:val="7E33D5F2"/>
    <w:rsid w:val="7E36B788"/>
    <w:rsid w:val="7E36E6F4"/>
    <w:rsid w:val="7E38718B"/>
    <w:rsid w:val="7E3E3CA3"/>
    <w:rsid w:val="7E43105A"/>
    <w:rsid w:val="7E465CC1"/>
    <w:rsid w:val="7E474932"/>
    <w:rsid w:val="7E490741"/>
    <w:rsid w:val="7E4A5CFE"/>
    <w:rsid w:val="7E4BA58E"/>
    <w:rsid w:val="7E4E2F09"/>
    <w:rsid w:val="7E4E93F5"/>
    <w:rsid w:val="7E4F22D3"/>
    <w:rsid w:val="7E4FFA78"/>
    <w:rsid w:val="7E50860D"/>
    <w:rsid w:val="7E527F89"/>
    <w:rsid w:val="7E54AE56"/>
    <w:rsid w:val="7E551AFC"/>
    <w:rsid w:val="7E56C916"/>
    <w:rsid w:val="7E57E408"/>
    <w:rsid w:val="7E5832E6"/>
    <w:rsid w:val="7E5DC41E"/>
    <w:rsid w:val="7E5F316D"/>
    <w:rsid w:val="7E5FA7F6"/>
    <w:rsid w:val="7E6419AF"/>
    <w:rsid w:val="7E649884"/>
    <w:rsid w:val="7E69B452"/>
    <w:rsid w:val="7E6AC998"/>
    <w:rsid w:val="7E6DBA13"/>
    <w:rsid w:val="7E6DE642"/>
    <w:rsid w:val="7E6E7C0A"/>
    <w:rsid w:val="7E70185D"/>
    <w:rsid w:val="7E70CCC0"/>
    <w:rsid w:val="7E749D9A"/>
    <w:rsid w:val="7E76D66D"/>
    <w:rsid w:val="7E774125"/>
    <w:rsid w:val="7E77B771"/>
    <w:rsid w:val="7E783BA9"/>
    <w:rsid w:val="7E7980E0"/>
    <w:rsid w:val="7E7D4C66"/>
    <w:rsid w:val="7E7DF01D"/>
    <w:rsid w:val="7E7EA493"/>
    <w:rsid w:val="7E888D0B"/>
    <w:rsid w:val="7E8ACD9A"/>
    <w:rsid w:val="7E8B2577"/>
    <w:rsid w:val="7E8F2F48"/>
    <w:rsid w:val="7E8F9F8D"/>
    <w:rsid w:val="7E8FCBE4"/>
    <w:rsid w:val="7E901761"/>
    <w:rsid w:val="7E94C6AE"/>
    <w:rsid w:val="7E968D01"/>
    <w:rsid w:val="7E9701A5"/>
    <w:rsid w:val="7E97569B"/>
    <w:rsid w:val="7E978D61"/>
    <w:rsid w:val="7E97D588"/>
    <w:rsid w:val="7E998480"/>
    <w:rsid w:val="7E9B72B1"/>
    <w:rsid w:val="7E9C1B98"/>
    <w:rsid w:val="7EA3C368"/>
    <w:rsid w:val="7EA82782"/>
    <w:rsid w:val="7EAA09F4"/>
    <w:rsid w:val="7EB55C93"/>
    <w:rsid w:val="7EB8D95B"/>
    <w:rsid w:val="7EBADECD"/>
    <w:rsid w:val="7EBC5A5E"/>
    <w:rsid w:val="7EBD094F"/>
    <w:rsid w:val="7EBF4564"/>
    <w:rsid w:val="7EC42DD9"/>
    <w:rsid w:val="7EC4B8E1"/>
    <w:rsid w:val="7EC972B6"/>
    <w:rsid w:val="7ECCF7CF"/>
    <w:rsid w:val="7ECD4853"/>
    <w:rsid w:val="7ECE25FA"/>
    <w:rsid w:val="7ECEFCC3"/>
    <w:rsid w:val="7ED089B5"/>
    <w:rsid w:val="7ED0D78D"/>
    <w:rsid w:val="7ED41542"/>
    <w:rsid w:val="7ED59B88"/>
    <w:rsid w:val="7ED76004"/>
    <w:rsid w:val="7EDA6174"/>
    <w:rsid w:val="7EDBBFCC"/>
    <w:rsid w:val="7EDE10E6"/>
    <w:rsid w:val="7EDF01CB"/>
    <w:rsid w:val="7EE152CB"/>
    <w:rsid w:val="7EE34316"/>
    <w:rsid w:val="7EE6BE03"/>
    <w:rsid w:val="7EEF2351"/>
    <w:rsid w:val="7EF133D3"/>
    <w:rsid w:val="7EF34C1C"/>
    <w:rsid w:val="7EF63855"/>
    <w:rsid w:val="7EF6F2F3"/>
    <w:rsid w:val="7EF728B8"/>
    <w:rsid w:val="7EF7B7DE"/>
    <w:rsid w:val="7EF8BB5D"/>
    <w:rsid w:val="7EFAFC43"/>
    <w:rsid w:val="7EFB76DD"/>
    <w:rsid w:val="7EFE9623"/>
    <w:rsid w:val="7F01B6B8"/>
    <w:rsid w:val="7F02BF40"/>
    <w:rsid w:val="7F036EC5"/>
    <w:rsid w:val="7F03CFAE"/>
    <w:rsid w:val="7F0B00F4"/>
    <w:rsid w:val="7F0CA2D3"/>
    <w:rsid w:val="7F0CF6EF"/>
    <w:rsid w:val="7F0D6A31"/>
    <w:rsid w:val="7F0E31AA"/>
    <w:rsid w:val="7F0ECEBF"/>
    <w:rsid w:val="7F10FB4B"/>
    <w:rsid w:val="7F167742"/>
    <w:rsid w:val="7F181140"/>
    <w:rsid w:val="7F187CD6"/>
    <w:rsid w:val="7F18E995"/>
    <w:rsid w:val="7F1D61A0"/>
    <w:rsid w:val="7F1D787B"/>
    <w:rsid w:val="7F21CD8C"/>
    <w:rsid w:val="7F22215E"/>
    <w:rsid w:val="7F24FC50"/>
    <w:rsid w:val="7F26C805"/>
    <w:rsid w:val="7F2CE0EB"/>
    <w:rsid w:val="7F2EBEDA"/>
    <w:rsid w:val="7F335532"/>
    <w:rsid w:val="7F367DB4"/>
    <w:rsid w:val="7F3942E2"/>
    <w:rsid w:val="7F3EEBF8"/>
    <w:rsid w:val="7F43484E"/>
    <w:rsid w:val="7F43AD7B"/>
    <w:rsid w:val="7F486878"/>
    <w:rsid w:val="7F494227"/>
    <w:rsid w:val="7F4B2595"/>
    <w:rsid w:val="7F51F638"/>
    <w:rsid w:val="7F563B9A"/>
    <w:rsid w:val="7F5A8152"/>
    <w:rsid w:val="7F5B2376"/>
    <w:rsid w:val="7F5CD0C1"/>
    <w:rsid w:val="7F5D5E8A"/>
    <w:rsid w:val="7F610C6D"/>
    <w:rsid w:val="7F628F69"/>
    <w:rsid w:val="7F6413D6"/>
    <w:rsid w:val="7F64CD16"/>
    <w:rsid w:val="7F6BA78E"/>
    <w:rsid w:val="7F6C66CC"/>
    <w:rsid w:val="7F6EEC99"/>
    <w:rsid w:val="7F748E1E"/>
    <w:rsid w:val="7F76A5BA"/>
    <w:rsid w:val="7F790897"/>
    <w:rsid w:val="7F7A4774"/>
    <w:rsid w:val="7F7AFD62"/>
    <w:rsid w:val="7F7AFE68"/>
    <w:rsid w:val="7F7B6F9A"/>
    <w:rsid w:val="7F80C934"/>
    <w:rsid w:val="7F852E8E"/>
    <w:rsid w:val="7F860AD5"/>
    <w:rsid w:val="7F863FF9"/>
    <w:rsid w:val="7F89B851"/>
    <w:rsid w:val="7F89F322"/>
    <w:rsid w:val="7F8AB599"/>
    <w:rsid w:val="7F8AC03D"/>
    <w:rsid w:val="7F8AEE38"/>
    <w:rsid w:val="7F8B9C58"/>
    <w:rsid w:val="7F8CB0FB"/>
    <w:rsid w:val="7F8E2A31"/>
    <w:rsid w:val="7F95ED54"/>
    <w:rsid w:val="7F9721DF"/>
    <w:rsid w:val="7F9C79DE"/>
    <w:rsid w:val="7FA2456E"/>
    <w:rsid w:val="7FA7BB7F"/>
    <w:rsid w:val="7FAD6079"/>
    <w:rsid w:val="7FB09F37"/>
    <w:rsid w:val="7FB15929"/>
    <w:rsid w:val="7FB2563F"/>
    <w:rsid w:val="7FB3DFC0"/>
    <w:rsid w:val="7FB45AA2"/>
    <w:rsid w:val="7FB50EB9"/>
    <w:rsid w:val="7FB7A774"/>
    <w:rsid w:val="7FBC2C6B"/>
    <w:rsid w:val="7FBF0D12"/>
    <w:rsid w:val="7FC13053"/>
    <w:rsid w:val="7FC6FA7C"/>
    <w:rsid w:val="7FCD3674"/>
    <w:rsid w:val="7FD0084F"/>
    <w:rsid w:val="7FD0ECFE"/>
    <w:rsid w:val="7FD48D0C"/>
    <w:rsid w:val="7FD66EF9"/>
    <w:rsid w:val="7FD6F6F0"/>
    <w:rsid w:val="7FD94DEC"/>
    <w:rsid w:val="7FDA3912"/>
    <w:rsid w:val="7FDCE7E0"/>
    <w:rsid w:val="7FE24DDE"/>
    <w:rsid w:val="7FE25673"/>
    <w:rsid w:val="7FE845A2"/>
    <w:rsid w:val="7FE940A3"/>
    <w:rsid w:val="7FE95A1C"/>
    <w:rsid w:val="7FE97022"/>
    <w:rsid w:val="7FED3F25"/>
    <w:rsid w:val="7FF0AB4F"/>
    <w:rsid w:val="7FF2635E"/>
    <w:rsid w:val="7FF3AD31"/>
    <w:rsid w:val="7FF463A5"/>
    <w:rsid w:val="7FF5C87A"/>
    <w:rsid w:val="7FF64749"/>
    <w:rsid w:val="7FF68515"/>
    <w:rsid w:val="7FF797FB"/>
    <w:rsid w:val="7FFAC5C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F0ED2BC"/>
  <w15:docId w15:val="{A0E3D35F-33BC-49C6-B443-C6A9D9005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fr-FR" w:eastAsia="en-IE" w:bidi="ar-SA"/>
      </w:rPr>
    </w:rPrDefault>
    <w:pPrDefault/>
  </w:docDefaults>
  <w:latentStyles w:defLockedState="1" w:defUIPriority="0" w:defSemiHidden="0" w:defUnhideWhenUsed="0" w:defQFormat="0" w:count="371">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iPriority="99" w:unhideWhenUsed="1" w:qFormat="1"/>
    <w:lsdException w:name="annotation text" w:semiHidden="1" w:uiPriority="99"/>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uiPriority="99" w:qFormat="1"/>
    <w:lsdException w:name="annotation reference" w:semiHidden="1" w:uiPriority="99"/>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iPriority="99"/>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iPriority="99"/>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uiPriority="34" w:qFormat="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atentStyles>
  <w:style w:type="paragraph" w:default="1" w:styleId="Normal">
    <w:name w:val="Normal"/>
    <w:uiPriority w:val="1"/>
    <w:qFormat/>
    <w:rsid w:val="001A3475"/>
    <w:pPr>
      <w:spacing w:after="240"/>
      <w:jc w:val="both"/>
    </w:pPr>
  </w:style>
  <w:style w:type="paragraph" w:styleId="Heading1">
    <w:name w:val="heading 1"/>
    <w:basedOn w:val="Normal"/>
    <w:next w:val="Text1"/>
    <w:uiPriority w:val="1"/>
    <w:qFormat/>
    <w:pPr>
      <w:keepNext/>
      <w:numPr>
        <w:numId w:val="46"/>
      </w:numPr>
      <w:spacing w:before="240"/>
      <w:outlineLvl w:val="0"/>
    </w:pPr>
    <w:rPr>
      <w:b/>
      <w:smallCaps/>
    </w:rPr>
  </w:style>
  <w:style w:type="paragraph" w:styleId="Heading2">
    <w:name w:val="heading 2"/>
    <w:basedOn w:val="Normal"/>
    <w:next w:val="Text2"/>
    <w:uiPriority w:val="1"/>
    <w:qFormat/>
    <w:pPr>
      <w:keepNext/>
      <w:numPr>
        <w:ilvl w:val="1"/>
        <w:numId w:val="46"/>
      </w:numPr>
      <w:outlineLvl w:val="1"/>
    </w:pPr>
    <w:rPr>
      <w:b/>
    </w:rPr>
  </w:style>
  <w:style w:type="paragraph" w:styleId="Heading3">
    <w:name w:val="heading 3"/>
    <w:basedOn w:val="Normal"/>
    <w:next w:val="Text3"/>
    <w:uiPriority w:val="1"/>
    <w:qFormat/>
    <w:pPr>
      <w:keepNext/>
      <w:numPr>
        <w:ilvl w:val="2"/>
        <w:numId w:val="46"/>
      </w:numPr>
      <w:outlineLvl w:val="2"/>
    </w:pPr>
    <w:rPr>
      <w:i/>
    </w:rPr>
  </w:style>
  <w:style w:type="paragraph" w:styleId="Heading4">
    <w:name w:val="heading 4"/>
    <w:basedOn w:val="Normal"/>
    <w:next w:val="Text4"/>
    <w:uiPriority w:val="1"/>
    <w:qFormat/>
    <w:pPr>
      <w:keepNext/>
      <w:numPr>
        <w:ilvl w:val="3"/>
        <w:numId w:val="46"/>
      </w:numPr>
      <w:outlineLvl w:val="3"/>
    </w:pPr>
  </w:style>
  <w:style w:type="paragraph" w:styleId="Heading5">
    <w:name w:val="heading 5"/>
    <w:basedOn w:val="Normal"/>
    <w:next w:val="Normal"/>
    <w:semiHidden/>
    <w:pPr>
      <w:keepNext/>
      <w:numPr>
        <w:ilvl w:val="4"/>
        <w:numId w:val="46"/>
      </w:numPr>
      <w:outlineLvl w:val="4"/>
    </w:pPr>
  </w:style>
  <w:style w:type="paragraph" w:styleId="Heading6">
    <w:name w:val="heading 6"/>
    <w:basedOn w:val="Normal"/>
    <w:next w:val="Normal"/>
    <w:semiHidden/>
    <w:pPr>
      <w:keepNext/>
      <w:numPr>
        <w:ilvl w:val="5"/>
        <w:numId w:val="46"/>
      </w:numPr>
      <w:outlineLvl w:val="5"/>
    </w:pPr>
  </w:style>
  <w:style w:type="paragraph" w:styleId="Heading7">
    <w:name w:val="heading 7"/>
    <w:basedOn w:val="Normal"/>
    <w:next w:val="Normal"/>
    <w:semiHidden/>
    <w:pPr>
      <w:keepNext/>
      <w:numPr>
        <w:ilvl w:val="6"/>
        <w:numId w:val="46"/>
      </w:numPr>
      <w:outlineLvl w:val="6"/>
    </w:pPr>
  </w:style>
  <w:style w:type="paragraph" w:styleId="Heading8">
    <w:name w:val="heading 8"/>
    <w:basedOn w:val="Normal"/>
    <w:next w:val="Normal"/>
    <w:semiHidden/>
    <w:pPr>
      <w:keepNext/>
      <w:numPr>
        <w:ilvl w:val="7"/>
        <w:numId w:val="46"/>
      </w:numPr>
      <w:outlineLvl w:val="7"/>
    </w:pPr>
  </w:style>
  <w:style w:type="paragraph" w:styleId="Heading9">
    <w:name w:val="heading 9"/>
    <w:basedOn w:val="Normal"/>
    <w:next w:val="Normal"/>
    <w:semiHidden/>
    <w:pPr>
      <w:keepNext/>
      <w:numPr>
        <w:ilvl w:val="8"/>
        <w:numId w:val="4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 2_sj,List Paragraph1,Számozott lista 1,LISTA,Listaszerű bekezdés1,Dot pt,No Spacing1,List Paragraph Char Char Char,Indicator Text,Numbered Para 1,List Paragraph à moi,Welt L Char,Welt L,Bullet List,FooterText,numbered,2,3,GSA List"/>
    <w:basedOn w:val="Normal"/>
    <w:link w:val="ListParagraphChar"/>
    <w:uiPriority w:val="34"/>
    <w:qFormat/>
    <w:locked/>
    <w:rsid w:val="00BD3B37"/>
    <w:pPr>
      <w:ind w:left="720"/>
      <w:contextualSpacing/>
    </w:pPr>
  </w:style>
  <w:style w:type="character" w:customStyle="1" w:styleId="FootnoteTextChar">
    <w:name w:val="Footnote Text Char"/>
    <w:aliases w:val="Footnote text Char,Fussnote Char,stile 1 Char,Fußnote Char,Podrozdział Char,Footnote Text Char Char Char,Footnote Text Char1 Char Char Char,Footnote Text Char Char Char Char Char,Footnote Text Char Char1 Char,Char Char Char,o Char"/>
    <w:basedOn w:val="DefaultParagraphFont"/>
    <w:qFormat/>
    <w:rsid w:val="005A1347"/>
    <w:rPr>
      <w:sz w:val="20"/>
    </w:rPr>
  </w:style>
  <w:style w:type="character" w:styleId="FootnoteReference">
    <w:name w:val="footnote reference"/>
    <w:aliases w:val="ftref,Footnotes refss,Fussnota,Footnote symbol,Footnote reference number,Times 10 Point,Exposant 3 Point,EN Footnote Reference,note TESI,Footnote Reference Superscript, Zchn Zchn,Footnote number,Footnote Reference Number, BVI fnr,Re,R"/>
    <w:basedOn w:val="DefaultParagraphFont"/>
    <w:link w:val="FootnotesymbolCarZchn"/>
    <w:uiPriority w:val="99"/>
    <w:qFormat/>
    <w:locked/>
    <w:rsid w:val="005A1347"/>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5A1347"/>
    <w:pPr>
      <w:spacing w:after="160" w:line="240" w:lineRule="exact"/>
    </w:pPr>
    <w:rPr>
      <w:vertAlign w:val="superscript"/>
    </w:rPr>
  </w:style>
  <w:style w:type="character" w:styleId="Hyperlink">
    <w:name w:val="Hyperlink"/>
    <w:basedOn w:val="DefaultParagraphFont"/>
    <w:uiPriority w:val="99"/>
    <w:unhideWhenUsed/>
    <w:locked/>
    <w:rsid w:val="005A1347"/>
    <w:rPr>
      <w:color w:val="0563C1" w:themeColor="hyperlink"/>
      <w:u w:val="single"/>
    </w:rPr>
  </w:style>
  <w:style w:type="character" w:customStyle="1" w:styleId="normaltextrun">
    <w:name w:val="normaltextrun"/>
    <w:basedOn w:val="DefaultParagraphFont"/>
    <w:rsid w:val="005A1347"/>
  </w:style>
  <w:style w:type="character" w:styleId="CommentReference">
    <w:name w:val="annotation reference"/>
    <w:basedOn w:val="DefaultParagraphFont"/>
    <w:uiPriority w:val="99"/>
    <w:semiHidden/>
    <w:locked/>
    <w:rsid w:val="00681B15"/>
    <w:rPr>
      <w:sz w:val="16"/>
      <w:szCs w:val="16"/>
    </w:rPr>
  </w:style>
  <w:style w:type="paragraph" w:styleId="CommentText">
    <w:name w:val="annotation text"/>
    <w:basedOn w:val="Normal"/>
    <w:link w:val="CommentTextChar"/>
    <w:uiPriority w:val="99"/>
    <w:locked/>
    <w:rsid w:val="00FB2044"/>
    <w:rPr>
      <w:sz w:val="20"/>
    </w:rPr>
  </w:style>
  <w:style w:type="character" w:customStyle="1" w:styleId="CommentTextChar">
    <w:name w:val="Comment Text Char"/>
    <w:basedOn w:val="DefaultParagraphFont"/>
    <w:link w:val="CommentText"/>
    <w:uiPriority w:val="99"/>
    <w:rsid w:val="00681B15"/>
    <w:rPr>
      <w:sz w:val="20"/>
    </w:rPr>
  </w:style>
  <w:style w:type="paragraph" w:styleId="CommentSubject">
    <w:name w:val="annotation subject"/>
    <w:basedOn w:val="CommentText"/>
    <w:next w:val="CommentText"/>
    <w:link w:val="CommentSubjectChar"/>
    <w:uiPriority w:val="99"/>
    <w:semiHidden/>
    <w:locked/>
    <w:rsid w:val="00681B15"/>
    <w:rPr>
      <w:b/>
      <w:bCs/>
    </w:rPr>
  </w:style>
  <w:style w:type="character" w:customStyle="1" w:styleId="CommentSubjectChar">
    <w:name w:val="Comment Subject Char"/>
    <w:basedOn w:val="CommentTextChar"/>
    <w:link w:val="CommentSubject"/>
    <w:uiPriority w:val="99"/>
    <w:semiHidden/>
    <w:rsid w:val="00681B15"/>
    <w:rPr>
      <w:b/>
      <w:bCs/>
      <w:sz w:val="20"/>
    </w:rPr>
  </w:style>
  <w:style w:type="character" w:customStyle="1" w:styleId="UnresolvedMention1">
    <w:name w:val="Unresolved Mention1"/>
    <w:basedOn w:val="DefaultParagraphFont"/>
    <w:semiHidden/>
    <w:locked/>
    <w:rsid w:val="00947D74"/>
    <w:rPr>
      <w:color w:val="605E5C"/>
      <w:shd w:val="clear" w:color="auto" w:fill="E1DFDD"/>
    </w:rPr>
  </w:style>
  <w:style w:type="character" w:customStyle="1" w:styleId="ListParagraphChar">
    <w:name w:val="List Paragraph Char"/>
    <w:aliases w:val="Heading 2_sj Char,List Paragraph1 Char,Számozott lista 1 Char,LISTA Char,Listaszerű bekezdés1 Char,Dot pt Char,No Spacing1 Char,List Paragraph Char Char Char Char,Indicator Text Char,Numbered Para 1 Char,List Paragraph à moi Char"/>
    <w:basedOn w:val="DefaultParagraphFont"/>
    <w:link w:val="ListParagraph"/>
    <w:uiPriority w:val="34"/>
    <w:qFormat/>
    <w:locked/>
    <w:rsid w:val="00772B38"/>
  </w:style>
  <w:style w:type="paragraph" w:styleId="NormalWeb">
    <w:name w:val="Normal (Web)"/>
    <w:basedOn w:val="Normal"/>
    <w:uiPriority w:val="99"/>
    <w:unhideWhenUsed/>
    <w:locked/>
    <w:rsid w:val="00CC7664"/>
    <w:pPr>
      <w:spacing w:before="100" w:beforeAutospacing="1" w:after="100" w:afterAutospacing="1"/>
      <w:jc w:val="left"/>
    </w:pPr>
    <w:rPr>
      <w:szCs w:val="24"/>
      <w:lang w:eastAsia="en-GB"/>
    </w:rPr>
  </w:style>
  <w:style w:type="paragraph" w:customStyle="1" w:styleId="Default">
    <w:name w:val="Default"/>
    <w:rsid w:val="006A389E"/>
    <w:pPr>
      <w:autoSpaceDE w:val="0"/>
      <w:autoSpaceDN w:val="0"/>
      <w:adjustRightInd w:val="0"/>
    </w:pPr>
    <w:rPr>
      <w:color w:val="000000"/>
      <w:szCs w:val="24"/>
      <w:lang w:eastAsia="en-GB"/>
    </w:rPr>
  </w:style>
  <w:style w:type="character" w:customStyle="1" w:styleId="Heading1Char">
    <w:name w:val="Heading 1 Char"/>
    <w:basedOn w:val="DefaultParagraphFont"/>
    <w:uiPriority w:val="1"/>
    <w:rsid w:val="00844236"/>
    <w:rPr>
      <w:b/>
      <w:smallCaps/>
    </w:rPr>
  </w:style>
  <w:style w:type="paragraph" w:styleId="Revision">
    <w:name w:val="Revision"/>
    <w:hidden/>
    <w:semiHidden/>
    <w:locked/>
    <w:rsid w:val="00844236"/>
  </w:style>
  <w:style w:type="character" w:customStyle="1" w:styleId="Mention1">
    <w:name w:val="Mention1"/>
    <w:basedOn w:val="DefaultParagraphFont"/>
    <w:semiHidden/>
    <w:locked/>
    <w:rsid w:val="0092420F"/>
    <w:rPr>
      <w:color w:val="2B579A"/>
      <w:shd w:val="clear" w:color="auto" w:fill="E1DFDD"/>
    </w:rPr>
  </w:style>
  <w:style w:type="character" w:customStyle="1" w:styleId="Briefinglist1Char">
    <w:name w:val="Briefing list 1 Char"/>
    <w:basedOn w:val="DefaultParagraphFont"/>
    <w:link w:val="Briefinglist1"/>
    <w:qFormat/>
    <w:locked/>
    <w:rsid w:val="00545FA5"/>
    <w:rPr>
      <w:rFonts w:ascii="Arial" w:hAnsi="Arial" w:cs="Arial"/>
      <w:szCs w:val="24"/>
    </w:rPr>
  </w:style>
  <w:style w:type="paragraph" w:customStyle="1" w:styleId="Briefinglist1">
    <w:name w:val="Briefing list 1"/>
    <w:basedOn w:val="Normal"/>
    <w:link w:val="Briefinglist1Char"/>
    <w:qFormat/>
    <w:rsid w:val="001D1AB5"/>
    <w:pPr>
      <w:keepLines/>
      <w:numPr>
        <w:numId w:val="31"/>
      </w:numPr>
      <w:spacing w:after="120"/>
    </w:pPr>
    <w:rPr>
      <w:rFonts w:ascii="Arial" w:hAnsi="Arial" w:cs="Arial"/>
      <w:szCs w:val="24"/>
    </w:rPr>
  </w:style>
  <w:style w:type="character" w:customStyle="1" w:styleId="eop">
    <w:name w:val="eop"/>
    <w:basedOn w:val="DefaultParagraphFont"/>
    <w:rsid w:val="00545FA5"/>
  </w:style>
  <w:style w:type="paragraph" w:customStyle="1" w:styleId="paragraph">
    <w:name w:val="paragraph"/>
    <w:basedOn w:val="Normal"/>
    <w:rsid w:val="00A96A0A"/>
    <w:pPr>
      <w:spacing w:before="100" w:beforeAutospacing="1" w:after="100" w:afterAutospacing="1"/>
      <w:jc w:val="left"/>
    </w:pPr>
    <w:rPr>
      <w:szCs w:val="24"/>
      <w:lang w:eastAsia="en-GB"/>
    </w:rPr>
  </w:style>
  <w:style w:type="character" w:customStyle="1" w:styleId="cf01">
    <w:name w:val="cf01"/>
    <w:basedOn w:val="DefaultParagraphFont"/>
    <w:rsid w:val="004A5221"/>
    <w:rPr>
      <w:rFonts w:ascii="Segoe UI" w:hAnsi="Segoe UI" w:cs="Segoe UI" w:hint="default"/>
      <w:sz w:val="18"/>
      <w:szCs w:val="18"/>
    </w:rPr>
  </w:style>
  <w:style w:type="paragraph" w:customStyle="1" w:styleId="doc-ti">
    <w:name w:val="doc-ti"/>
    <w:basedOn w:val="Normal"/>
    <w:rsid w:val="00A17F65"/>
    <w:pPr>
      <w:spacing w:before="100" w:beforeAutospacing="1" w:after="100" w:afterAutospacing="1"/>
      <w:jc w:val="left"/>
    </w:pPr>
    <w:rPr>
      <w:szCs w:val="24"/>
      <w:lang w:eastAsia="en-GB"/>
    </w:rPr>
  </w:style>
  <w:style w:type="paragraph" w:customStyle="1" w:styleId="no-doc-c">
    <w:name w:val="no-doc-c"/>
    <w:basedOn w:val="Normal"/>
    <w:rsid w:val="00A17F65"/>
    <w:pPr>
      <w:spacing w:before="100" w:beforeAutospacing="1" w:after="100" w:afterAutospacing="1"/>
      <w:jc w:val="left"/>
    </w:pPr>
    <w:rPr>
      <w:szCs w:val="24"/>
      <w:lang w:eastAsia="en-GB"/>
    </w:rPr>
  </w:style>
  <w:style w:type="paragraph" w:customStyle="1" w:styleId="rfrenceinstitutionnelle">
    <w:name w:val="rfrenceinstitutionnelle"/>
    <w:basedOn w:val="Normal"/>
    <w:rsid w:val="00A17F65"/>
    <w:pPr>
      <w:spacing w:before="100" w:beforeAutospacing="1" w:after="100" w:afterAutospacing="1"/>
      <w:jc w:val="left"/>
    </w:pPr>
    <w:rPr>
      <w:szCs w:val="24"/>
      <w:lang w:eastAsia="en-GB"/>
    </w:rPr>
  </w:style>
  <w:style w:type="paragraph" w:customStyle="1" w:styleId="typedudocumentcp">
    <w:name w:val="typedudocument_cp"/>
    <w:basedOn w:val="Normal"/>
    <w:rsid w:val="00A17F65"/>
    <w:pPr>
      <w:spacing w:before="100" w:beforeAutospacing="1" w:after="100" w:afterAutospacing="1"/>
      <w:jc w:val="left"/>
    </w:pPr>
    <w:rPr>
      <w:szCs w:val="24"/>
      <w:lang w:eastAsia="en-GB"/>
    </w:rPr>
  </w:style>
  <w:style w:type="paragraph" w:customStyle="1" w:styleId="titreobjetcp">
    <w:name w:val="titreobjet_cp"/>
    <w:basedOn w:val="Normal"/>
    <w:rsid w:val="00A17F65"/>
    <w:pPr>
      <w:spacing w:before="100" w:beforeAutospacing="1" w:after="100" w:afterAutospacing="1"/>
      <w:jc w:val="left"/>
    </w:pPr>
    <w:rPr>
      <w:szCs w:val="24"/>
      <w:lang w:eastAsia="en-GB"/>
    </w:rPr>
  </w:style>
  <w:style w:type="paragraph" w:customStyle="1" w:styleId="oj-doc-ti">
    <w:name w:val="oj-doc-ti"/>
    <w:basedOn w:val="Normal"/>
    <w:rsid w:val="00A17F65"/>
    <w:pPr>
      <w:spacing w:before="100" w:beforeAutospacing="1" w:after="100" w:afterAutospacing="1"/>
      <w:jc w:val="left"/>
    </w:pPr>
    <w:rPr>
      <w:szCs w:val="24"/>
      <w:lang w:eastAsia="en-GB"/>
    </w:rPr>
  </w:style>
  <w:style w:type="paragraph" w:customStyle="1" w:styleId="oj-no-doc-c">
    <w:name w:val="oj-no-doc-c"/>
    <w:basedOn w:val="Normal"/>
    <w:rsid w:val="00A17F65"/>
    <w:pPr>
      <w:spacing w:before="100" w:beforeAutospacing="1" w:after="100" w:afterAutospacing="1"/>
      <w:jc w:val="left"/>
    </w:pPr>
    <w:rPr>
      <w:szCs w:val="24"/>
      <w:lang w:eastAsia="en-GB"/>
    </w:rPr>
  </w:style>
  <w:style w:type="paragraph" w:customStyle="1" w:styleId="title-bold">
    <w:name w:val="title-bold"/>
    <w:basedOn w:val="Normal"/>
    <w:rsid w:val="00A17F65"/>
    <w:pPr>
      <w:spacing w:before="100" w:beforeAutospacing="1" w:after="100" w:afterAutospacing="1"/>
      <w:jc w:val="left"/>
    </w:pPr>
    <w:rPr>
      <w:szCs w:val="24"/>
      <w:lang w:eastAsia="en-GB"/>
    </w:rPr>
  </w:style>
  <w:style w:type="character" w:styleId="FollowedHyperlink">
    <w:name w:val="FollowedHyperlink"/>
    <w:basedOn w:val="DefaultParagraphFont"/>
    <w:semiHidden/>
    <w:locked/>
    <w:rsid w:val="00A17F65"/>
    <w:rPr>
      <w:color w:val="954F72" w:themeColor="followedHyperlink"/>
      <w:u w:val="single"/>
    </w:rPr>
  </w:style>
  <w:style w:type="paragraph" w:customStyle="1" w:styleId="ecl-paragraph">
    <w:name w:val="ecl-paragraph"/>
    <w:basedOn w:val="Normal"/>
    <w:rsid w:val="00544953"/>
    <w:pPr>
      <w:spacing w:before="100" w:beforeAutospacing="1" w:after="100" w:afterAutospacing="1"/>
      <w:jc w:val="left"/>
    </w:pPr>
    <w:rPr>
      <w:szCs w:val="24"/>
      <w:lang w:eastAsia="en-GB"/>
    </w:rPr>
  </w:style>
  <w:style w:type="character" w:styleId="Strong">
    <w:name w:val="Strong"/>
    <w:basedOn w:val="DefaultParagraphFont"/>
    <w:uiPriority w:val="22"/>
    <w:qFormat/>
    <w:locked/>
    <w:rsid w:val="00544953"/>
    <w:rPr>
      <w:b/>
      <w:bCs/>
    </w:rPr>
  </w:style>
  <w:style w:type="paragraph" w:customStyle="1" w:styleId="ecl-u-type-paragraph-m">
    <w:name w:val="ecl-u-type-paragraph-m"/>
    <w:basedOn w:val="Normal"/>
    <w:rsid w:val="00774382"/>
    <w:pPr>
      <w:spacing w:before="100" w:beforeAutospacing="1" w:after="100" w:afterAutospacing="1"/>
      <w:jc w:val="left"/>
    </w:pPr>
    <w:rPr>
      <w:szCs w:val="24"/>
      <w:lang w:eastAsia="en-GB"/>
    </w:rPr>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uiPriority w:val="2"/>
    <w:rPr>
      <w:i/>
    </w:rPr>
  </w:style>
  <w:style w:type="character" w:customStyle="1" w:styleId="InstructionBlue">
    <w:name w:val="InstructionBlue"/>
    <w:uiPriority w:val="1"/>
    <w:rPr>
      <w:i/>
      <w:color w:val="3366CC"/>
    </w:rPr>
  </w:style>
  <w:style w:type="character" w:customStyle="1" w:styleId="InstructionPlaceholder">
    <w:name w:val="InstructionPlaceholder"/>
    <w:uiPriority w:val="1"/>
    <w:rPr>
      <w:color w:val="CB3535"/>
    </w:rPr>
  </w:style>
  <w:style w:type="character" w:customStyle="1" w:styleId="InstructionRed">
    <w:name w:val="InstructionRed"/>
    <w:uiPriority w:val="1"/>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4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uiPriority w:val="2"/>
    <w:pPr>
      <w:tabs>
        <w:tab w:val="left" w:pos="5102"/>
      </w:tabs>
      <w:spacing w:before="240"/>
      <w:ind w:left="5102"/>
      <w:jc w:val="left"/>
    </w:pPr>
  </w:style>
  <w:style w:type="paragraph" w:customStyle="1" w:styleId="ClosingL">
    <w:name w:val="ClosingL"/>
    <w:basedOn w:val="Normal"/>
    <w:next w:val="Signature"/>
    <w:uiPriority w:val="2"/>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uiPriority w:val="1"/>
    <w:pPr>
      <w:spacing w:before="480" w:after="0"/>
      <w:ind w:left="567" w:hanging="567"/>
      <w:contextualSpacing/>
      <w:jc w:val="left"/>
    </w:pPr>
  </w:style>
  <w:style w:type="paragraph" w:customStyle="1" w:styleId="ContNum">
    <w:name w:val="ContNum"/>
    <w:basedOn w:val="Normal"/>
    <w:uiPriority w:val="1"/>
    <w:qFormat/>
    <w:pPr>
      <w:numPr>
        <w:numId w:val="48"/>
      </w:numPr>
    </w:pPr>
  </w:style>
  <w:style w:type="paragraph" w:customStyle="1" w:styleId="ContNumLevel2">
    <w:name w:val="ContNum (Level 2)"/>
    <w:basedOn w:val="Normal"/>
    <w:uiPriority w:val="1"/>
    <w:pPr>
      <w:numPr>
        <w:ilvl w:val="1"/>
        <w:numId w:val="48"/>
      </w:numPr>
    </w:pPr>
  </w:style>
  <w:style w:type="paragraph" w:customStyle="1" w:styleId="ContNumLevel3">
    <w:name w:val="ContNum (Level 3)"/>
    <w:basedOn w:val="Normal"/>
    <w:uiPriority w:val="1"/>
    <w:pPr>
      <w:numPr>
        <w:ilvl w:val="2"/>
        <w:numId w:val="48"/>
      </w:numPr>
    </w:pPr>
  </w:style>
  <w:style w:type="paragraph" w:customStyle="1" w:styleId="Copies">
    <w:name w:val="Copies"/>
    <w:basedOn w:val="Normal"/>
    <w:uiPriority w:val="2"/>
    <w:pPr>
      <w:tabs>
        <w:tab w:val="left" w:pos="5669"/>
      </w:tabs>
      <w:spacing w:before="480" w:after="0"/>
      <w:ind w:left="1531" w:hanging="1531"/>
      <w:contextualSpacing/>
      <w:jc w:val="left"/>
    </w:pPr>
  </w:style>
  <w:style w:type="paragraph" w:styleId="Date">
    <w:name w:val="Date"/>
    <w:basedOn w:val="Normal"/>
    <w:next w:val="References"/>
    <w:uiPriority w:val="1"/>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uiPriority w:val="2"/>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uiPriority w:val="2"/>
    <w:pPr>
      <w:keepNext/>
      <w:keepLines/>
      <w:tabs>
        <w:tab w:val="left" w:pos="5669"/>
      </w:tabs>
      <w:spacing w:before="480" w:after="0"/>
      <w:ind w:left="1531" w:hanging="1531"/>
      <w:contextualSpacing/>
      <w:jc w:val="left"/>
    </w:pPr>
  </w:style>
  <w:style w:type="paragraph" w:styleId="EndnoteText">
    <w:name w:val="endnote text"/>
    <w:basedOn w:val="Normal"/>
    <w:semiHidden/>
    <w:unhideWhenUsed/>
    <w:pPr>
      <w:spacing w:after="120"/>
      <w:ind w:left="357" w:hanging="357"/>
    </w:pPr>
    <w:rPr>
      <w:sz w:val="20"/>
    </w:rPr>
  </w:style>
  <w:style w:type="paragraph" w:customStyle="1" w:styleId="FigureBody">
    <w:name w:val="Figure Body"/>
    <w:basedOn w:val="Normal"/>
    <w:next w:val="FigureSource"/>
    <w:uiPriority w:val="2"/>
    <w:pPr>
      <w:keepNext/>
      <w:spacing w:after="40"/>
    </w:pPr>
  </w:style>
  <w:style w:type="paragraph" w:customStyle="1" w:styleId="FigureBody1">
    <w:name w:val="Figure Body 1"/>
    <w:basedOn w:val="Text1"/>
    <w:next w:val="FigureSource1"/>
    <w:uiPriority w:val="2"/>
    <w:pPr>
      <w:keepNext/>
      <w:spacing w:after="40"/>
    </w:pPr>
  </w:style>
  <w:style w:type="paragraph" w:customStyle="1" w:styleId="FigureBody2">
    <w:name w:val="Figure Body 2"/>
    <w:basedOn w:val="Text2"/>
    <w:next w:val="FigureSource2"/>
    <w:uiPriority w:val="2"/>
    <w:pPr>
      <w:keepNext/>
      <w:spacing w:after="40"/>
    </w:pPr>
  </w:style>
  <w:style w:type="paragraph" w:customStyle="1" w:styleId="FigureBody3">
    <w:name w:val="Figure Body 3"/>
    <w:basedOn w:val="Text3"/>
    <w:next w:val="FigureSource3"/>
    <w:uiPriority w:val="2"/>
    <w:pPr>
      <w:keepNext/>
      <w:spacing w:after="40"/>
    </w:pPr>
  </w:style>
  <w:style w:type="paragraph" w:customStyle="1" w:styleId="FigureBody4">
    <w:name w:val="Figure Body 4"/>
    <w:basedOn w:val="Text4"/>
    <w:next w:val="FigureSource4"/>
    <w:uiPriority w:val="2"/>
    <w:pPr>
      <w:keepNext/>
      <w:spacing w:after="40"/>
    </w:pPr>
  </w:style>
  <w:style w:type="paragraph" w:customStyle="1" w:styleId="FigureSource">
    <w:name w:val="Figure Source"/>
    <w:basedOn w:val="Normal"/>
    <w:next w:val="Normal"/>
    <w:uiPriority w:val="2"/>
    <w:rPr>
      <w:sz w:val="20"/>
    </w:rPr>
  </w:style>
  <w:style w:type="paragraph" w:customStyle="1" w:styleId="FigureSource1">
    <w:name w:val="Figure Source 1"/>
    <w:basedOn w:val="Text1"/>
    <w:next w:val="Text1"/>
    <w:uiPriority w:val="2"/>
    <w:rPr>
      <w:sz w:val="20"/>
    </w:rPr>
  </w:style>
  <w:style w:type="paragraph" w:customStyle="1" w:styleId="FigureSource2">
    <w:name w:val="Figure Source 2"/>
    <w:basedOn w:val="Text2"/>
    <w:next w:val="Text2"/>
    <w:uiPriority w:val="2"/>
    <w:rPr>
      <w:sz w:val="20"/>
    </w:rPr>
  </w:style>
  <w:style w:type="paragraph" w:customStyle="1" w:styleId="FigureSource3">
    <w:name w:val="Figure Source 3"/>
    <w:basedOn w:val="Text3"/>
    <w:next w:val="Text3"/>
    <w:uiPriority w:val="2"/>
    <w:rPr>
      <w:sz w:val="20"/>
    </w:rPr>
  </w:style>
  <w:style w:type="paragraph" w:customStyle="1" w:styleId="FigureSource4">
    <w:name w:val="Figure Source 4"/>
    <w:basedOn w:val="Text4"/>
    <w:next w:val="Text4"/>
    <w:uiPriority w:val="2"/>
    <w:rPr>
      <w:sz w:val="20"/>
    </w:rPr>
  </w:style>
  <w:style w:type="paragraph" w:customStyle="1" w:styleId="FigureTitle">
    <w:name w:val="Figure Title"/>
    <w:basedOn w:val="Normal"/>
    <w:next w:val="FigureBody"/>
    <w:uiPriority w:val="2"/>
    <w:pPr>
      <w:keepNext/>
      <w:spacing w:after="120"/>
    </w:pPr>
    <w:rPr>
      <w:b/>
      <w:i/>
    </w:rPr>
  </w:style>
  <w:style w:type="paragraph" w:customStyle="1" w:styleId="FigureTitle1">
    <w:name w:val="Figure Title 1"/>
    <w:basedOn w:val="Text1"/>
    <w:next w:val="FigureBody1"/>
    <w:uiPriority w:val="2"/>
    <w:pPr>
      <w:keepNext/>
      <w:spacing w:after="120"/>
    </w:pPr>
    <w:rPr>
      <w:b/>
      <w:i/>
    </w:rPr>
  </w:style>
  <w:style w:type="paragraph" w:customStyle="1" w:styleId="FigureTitle2">
    <w:name w:val="Figure Title 2"/>
    <w:basedOn w:val="Text2"/>
    <w:next w:val="FigureBody2"/>
    <w:uiPriority w:val="2"/>
    <w:pPr>
      <w:keepNext/>
      <w:spacing w:after="120"/>
    </w:pPr>
    <w:rPr>
      <w:b/>
      <w:i/>
    </w:rPr>
  </w:style>
  <w:style w:type="paragraph" w:customStyle="1" w:styleId="FigureTitle3">
    <w:name w:val="Figure Title 3"/>
    <w:basedOn w:val="Text3"/>
    <w:next w:val="FigureBody3"/>
    <w:uiPriority w:val="2"/>
    <w:pPr>
      <w:keepNext/>
      <w:spacing w:after="120"/>
    </w:pPr>
    <w:rPr>
      <w:b/>
      <w:i/>
    </w:rPr>
  </w:style>
  <w:style w:type="paragraph" w:customStyle="1" w:styleId="FigureTitle4">
    <w:name w:val="Figure Title 4"/>
    <w:basedOn w:val="Text4"/>
    <w:next w:val="FigureBody4"/>
    <w:uiPriority w:val="2"/>
    <w:pPr>
      <w:keepNext/>
      <w:spacing w:after="120"/>
    </w:pPr>
    <w:rPr>
      <w:b/>
      <w:i/>
    </w:rPr>
  </w:style>
  <w:style w:type="paragraph" w:styleId="Footer">
    <w:name w:val="footer"/>
    <w:basedOn w:val="Normal"/>
    <w:uiPriority w:val="2"/>
    <w:pPr>
      <w:spacing w:after="0"/>
      <w:ind w:right="-567"/>
      <w:jc w:val="left"/>
    </w:pPr>
    <w:rPr>
      <w:sz w:val="16"/>
    </w:rPr>
  </w:style>
  <w:style w:type="paragraph" w:customStyle="1" w:styleId="FooterLine">
    <w:name w:val="Footer Line"/>
    <w:basedOn w:val="Footer"/>
    <w:next w:val="Footer"/>
    <w:uiPriority w:val="2"/>
    <w:pPr>
      <w:tabs>
        <w:tab w:val="right" w:pos="8646"/>
      </w:tabs>
      <w:spacing w:before="120"/>
      <w:ind w:right="0"/>
    </w:p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unhideWhenUsed/>
    <w:qFormat/>
    <w:pPr>
      <w:spacing w:after="120"/>
      <w:ind w:left="357" w:hanging="357"/>
    </w:pPr>
    <w:rPr>
      <w:sz w:val="20"/>
    </w:rPr>
  </w:style>
  <w:style w:type="paragraph" w:customStyle="1" w:styleId="LegalNumPar">
    <w:name w:val="LegalNumPar"/>
    <w:basedOn w:val="Normal"/>
    <w:uiPriority w:val="1"/>
    <w:qFormat/>
    <w:pPr>
      <w:numPr>
        <w:numId w:val="47"/>
      </w:numPr>
      <w:spacing w:line="360" w:lineRule="auto"/>
    </w:pPr>
  </w:style>
  <w:style w:type="paragraph" w:customStyle="1" w:styleId="LegalNumPar2">
    <w:name w:val="LegalNumPar2"/>
    <w:basedOn w:val="Normal"/>
    <w:uiPriority w:val="1"/>
    <w:pPr>
      <w:numPr>
        <w:ilvl w:val="1"/>
        <w:numId w:val="47"/>
      </w:numPr>
      <w:spacing w:line="360" w:lineRule="auto"/>
    </w:pPr>
  </w:style>
  <w:style w:type="paragraph" w:customStyle="1" w:styleId="LegalNumPar3">
    <w:name w:val="LegalNumPar3"/>
    <w:basedOn w:val="Normal"/>
    <w:uiPriority w:val="1"/>
    <w:pPr>
      <w:numPr>
        <w:ilvl w:val="2"/>
        <w:numId w:val="47"/>
      </w:numPr>
      <w:spacing w:line="360" w:lineRule="auto"/>
    </w:pPr>
  </w:style>
  <w:style w:type="paragraph" w:styleId="ListBullet">
    <w:name w:val="List Bullet"/>
    <w:basedOn w:val="Normal"/>
    <w:uiPriority w:val="1"/>
    <w:pPr>
      <w:numPr>
        <w:numId w:val="45"/>
      </w:numPr>
    </w:pPr>
  </w:style>
  <w:style w:type="paragraph" w:customStyle="1" w:styleId="ListBulletLevel2">
    <w:name w:val="List Bullet (Level 2)"/>
    <w:basedOn w:val="Normal"/>
    <w:uiPriority w:val="1"/>
    <w:pPr>
      <w:numPr>
        <w:ilvl w:val="1"/>
        <w:numId w:val="45"/>
      </w:numPr>
    </w:pPr>
  </w:style>
  <w:style w:type="paragraph" w:customStyle="1" w:styleId="ListBulletLevel3">
    <w:name w:val="List Bullet (Level 3)"/>
    <w:basedOn w:val="Normal"/>
    <w:uiPriority w:val="1"/>
    <w:semiHidden/>
    <w:unhideWhenUsed/>
    <w:pPr>
      <w:numPr>
        <w:ilvl w:val="2"/>
        <w:numId w:val="45"/>
      </w:numPr>
    </w:pPr>
  </w:style>
  <w:style w:type="paragraph" w:customStyle="1" w:styleId="ListBulletLevel4">
    <w:name w:val="List Bullet (Level 4)"/>
    <w:basedOn w:val="Normal"/>
    <w:uiPriority w:val="1"/>
    <w:semiHidden/>
    <w:unhideWhenUsed/>
    <w:pPr>
      <w:numPr>
        <w:ilvl w:val="3"/>
        <w:numId w:val="45"/>
      </w:numPr>
    </w:pPr>
  </w:style>
  <w:style w:type="paragraph" w:customStyle="1" w:styleId="ListBullet1">
    <w:name w:val="List Bullet 1"/>
    <w:basedOn w:val="Text1"/>
    <w:uiPriority w:val="1"/>
    <w:pPr>
      <w:numPr>
        <w:numId w:val="26"/>
      </w:numPr>
    </w:pPr>
  </w:style>
  <w:style w:type="paragraph" w:customStyle="1" w:styleId="ListBullet1Level2">
    <w:name w:val="List Bullet 1 (Level 2)"/>
    <w:basedOn w:val="Text1"/>
    <w:uiPriority w:val="1"/>
    <w:pPr>
      <w:numPr>
        <w:ilvl w:val="1"/>
        <w:numId w:val="56"/>
      </w:numPr>
    </w:pPr>
  </w:style>
  <w:style w:type="paragraph" w:customStyle="1" w:styleId="ListBullet1Level3">
    <w:name w:val="List Bullet 1 (Level 3)"/>
    <w:basedOn w:val="Text1"/>
    <w:uiPriority w:val="1"/>
    <w:unhideWhenUsed/>
    <w:pPr>
      <w:numPr>
        <w:ilvl w:val="2"/>
        <w:numId w:val="56"/>
      </w:numPr>
    </w:pPr>
  </w:style>
  <w:style w:type="paragraph" w:customStyle="1" w:styleId="ListBullet1Level4">
    <w:name w:val="List Bullet 1 (Level 4)"/>
    <w:basedOn w:val="Text1"/>
    <w:uiPriority w:val="1"/>
    <w:unhideWhenUsed/>
    <w:pPr>
      <w:numPr>
        <w:ilvl w:val="3"/>
        <w:numId w:val="56"/>
      </w:numPr>
    </w:pPr>
  </w:style>
  <w:style w:type="paragraph" w:styleId="ListBullet2">
    <w:name w:val="List Bullet 2"/>
    <w:basedOn w:val="Text2"/>
    <w:uiPriority w:val="1"/>
    <w:pPr>
      <w:numPr>
        <w:numId w:val="57"/>
      </w:numPr>
    </w:pPr>
  </w:style>
  <w:style w:type="paragraph" w:customStyle="1" w:styleId="ListBullet2Level2">
    <w:name w:val="List Bullet 2 (Level 2)"/>
    <w:basedOn w:val="Text2"/>
    <w:uiPriority w:val="1"/>
    <w:pPr>
      <w:numPr>
        <w:ilvl w:val="1"/>
        <w:numId w:val="54"/>
      </w:numPr>
    </w:pPr>
  </w:style>
  <w:style w:type="paragraph" w:customStyle="1" w:styleId="ListBullet2Level3">
    <w:name w:val="List Bullet 2 (Level 3)"/>
    <w:basedOn w:val="Text2"/>
    <w:uiPriority w:val="1"/>
    <w:unhideWhenUsed/>
    <w:pPr>
      <w:numPr>
        <w:ilvl w:val="2"/>
        <w:numId w:val="54"/>
      </w:numPr>
    </w:pPr>
  </w:style>
  <w:style w:type="paragraph" w:customStyle="1" w:styleId="ListBullet2Level4">
    <w:name w:val="List Bullet 2 (Level 4)"/>
    <w:basedOn w:val="Text2"/>
    <w:uiPriority w:val="1"/>
    <w:unhideWhenUsed/>
    <w:pPr>
      <w:numPr>
        <w:ilvl w:val="3"/>
        <w:numId w:val="54"/>
      </w:numPr>
    </w:pPr>
  </w:style>
  <w:style w:type="paragraph" w:styleId="ListBullet3">
    <w:name w:val="List Bullet 3"/>
    <w:basedOn w:val="Text3"/>
    <w:uiPriority w:val="1"/>
    <w:pPr>
      <w:numPr>
        <w:numId w:val="43"/>
      </w:numPr>
    </w:pPr>
  </w:style>
  <w:style w:type="paragraph" w:customStyle="1" w:styleId="ListBullet3Level2">
    <w:name w:val="List Bullet 3 (Level 2)"/>
    <w:basedOn w:val="Text3"/>
    <w:uiPriority w:val="1"/>
    <w:pPr>
      <w:numPr>
        <w:ilvl w:val="1"/>
        <w:numId w:val="43"/>
      </w:numPr>
    </w:pPr>
  </w:style>
  <w:style w:type="paragraph" w:customStyle="1" w:styleId="ListBullet3Level3">
    <w:name w:val="List Bullet 3 (Level 3)"/>
    <w:basedOn w:val="Text3"/>
    <w:uiPriority w:val="1"/>
    <w:semiHidden/>
    <w:unhideWhenUsed/>
    <w:pPr>
      <w:numPr>
        <w:ilvl w:val="2"/>
        <w:numId w:val="43"/>
      </w:numPr>
    </w:pPr>
  </w:style>
  <w:style w:type="paragraph" w:customStyle="1" w:styleId="ListBullet3Level4">
    <w:name w:val="List Bullet 3 (Level 4)"/>
    <w:basedOn w:val="Text3"/>
    <w:uiPriority w:val="1"/>
    <w:semiHidden/>
    <w:unhideWhenUsed/>
    <w:pPr>
      <w:numPr>
        <w:ilvl w:val="3"/>
        <w:numId w:val="43"/>
      </w:numPr>
    </w:pPr>
  </w:style>
  <w:style w:type="paragraph" w:styleId="ListBullet4">
    <w:name w:val="List Bullet 4"/>
    <w:basedOn w:val="Text4"/>
    <w:uiPriority w:val="1"/>
    <w:pPr>
      <w:numPr>
        <w:numId w:val="42"/>
      </w:numPr>
    </w:pPr>
  </w:style>
  <w:style w:type="paragraph" w:customStyle="1" w:styleId="ListBullet4Level2">
    <w:name w:val="List Bullet 4 (Level 2)"/>
    <w:basedOn w:val="Text4"/>
    <w:uiPriority w:val="1"/>
    <w:pPr>
      <w:numPr>
        <w:ilvl w:val="1"/>
        <w:numId w:val="42"/>
      </w:numPr>
    </w:pPr>
  </w:style>
  <w:style w:type="paragraph" w:customStyle="1" w:styleId="ListBullet4Level3">
    <w:name w:val="List Bullet 4 (Level 3)"/>
    <w:basedOn w:val="Text4"/>
    <w:uiPriority w:val="1"/>
    <w:semiHidden/>
    <w:unhideWhenUsed/>
    <w:pPr>
      <w:numPr>
        <w:ilvl w:val="2"/>
        <w:numId w:val="42"/>
      </w:numPr>
    </w:pPr>
  </w:style>
  <w:style w:type="paragraph" w:customStyle="1" w:styleId="ListBullet4Level4">
    <w:name w:val="List Bullet 4 (Level 4)"/>
    <w:basedOn w:val="Text4"/>
    <w:uiPriority w:val="1"/>
    <w:semiHidden/>
    <w:unhideWhenUsed/>
    <w:pPr>
      <w:numPr>
        <w:ilvl w:val="3"/>
        <w:numId w:val="42"/>
      </w:numPr>
    </w:pPr>
  </w:style>
  <w:style w:type="paragraph" w:customStyle="1" w:styleId="ListDash">
    <w:name w:val="List Dash"/>
    <w:basedOn w:val="Normal"/>
    <w:uiPriority w:val="1"/>
    <w:pPr>
      <w:numPr>
        <w:numId w:val="36"/>
      </w:numPr>
    </w:pPr>
  </w:style>
  <w:style w:type="paragraph" w:customStyle="1" w:styleId="ListDashLevel2">
    <w:name w:val="List Dash (Level 2)"/>
    <w:basedOn w:val="Normal"/>
    <w:uiPriority w:val="1"/>
    <w:pPr>
      <w:numPr>
        <w:ilvl w:val="1"/>
        <w:numId w:val="36"/>
      </w:numPr>
    </w:pPr>
  </w:style>
  <w:style w:type="paragraph" w:customStyle="1" w:styleId="ListDashLevel3">
    <w:name w:val="List Dash (Level 3)"/>
    <w:basedOn w:val="Normal"/>
    <w:uiPriority w:val="1"/>
    <w:semiHidden/>
    <w:unhideWhenUsed/>
    <w:pPr>
      <w:numPr>
        <w:ilvl w:val="2"/>
        <w:numId w:val="36"/>
      </w:numPr>
    </w:pPr>
  </w:style>
  <w:style w:type="paragraph" w:customStyle="1" w:styleId="ListDashLevel4">
    <w:name w:val="List Dash (Level 4)"/>
    <w:basedOn w:val="Normal"/>
    <w:uiPriority w:val="1"/>
    <w:semiHidden/>
    <w:unhideWhenUsed/>
    <w:pPr>
      <w:numPr>
        <w:ilvl w:val="3"/>
        <w:numId w:val="36"/>
      </w:numPr>
    </w:pPr>
  </w:style>
  <w:style w:type="paragraph" w:customStyle="1" w:styleId="ListDash1">
    <w:name w:val="List Dash 1"/>
    <w:basedOn w:val="Text1"/>
    <w:uiPriority w:val="1"/>
    <w:pPr>
      <w:numPr>
        <w:numId w:val="35"/>
      </w:numPr>
    </w:pPr>
  </w:style>
  <w:style w:type="paragraph" w:customStyle="1" w:styleId="ListDash1Level2">
    <w:name w:val="List Dash 1 (Level 2)"/>
    <w:basedOn w:val="Text1"/>
    <w:uiPriority w:val="1"/>
    <w:pPr>
      <w:numPr>
        <w:ilvl w:val="1"/>
        <w:numId w:val="35"/>
      </w:numPr>
    </w:pPr>
  </w:style>
  <w:style w:type="paragraph" w:customStyle="1" w:styleId="ListDash1Level3">
    <w:name w:val="List Dash 1 (Level 3)"/>
    <w:basedOn w:val="Text1"/>
    <w:uiPriority w:val="1"/>
    <w:semiHidden/>
    <w:unhideWhenUsed/>
    <w:pPr>
      <w:numPr>
        <w:ilvl w:val="2"/>
        <w:numId w:val="35"/>
      </w:numPr>
    </w:pPr>
  </w:style>
  <w:style w:type="paragraph" w:customStyle="1" w:styleId="ListDash1Level4">
    <w:name w:val="List Dash 1 (Level 4)"/>
    <w:basedOn w:val="Text1"/>
    <w:uiPriority w:val="1"/>
    <w:semiHidden/>
    <w:unhideWhenUsed/>
    <w:pPr>
      <w:numPr>
        <w:ilvl w:val="3"/>
        <w:numId w:val="35"/>
      </w:numPr>
    </w:pPr>
  </w:style>
  <w:style w:type="paragraph" w:customStyle="1" w:styleId="ListDash2">
    <w:name w:val="List Dash 2"/>
    <w:basedOn w:val="Text2"/>
    <w:uiPriority w:val="1"/>
    <w:pPr>
      <w:numPr>
        <w:numId w:val="34"/>
      </w:numPr>
    </w:pPr>
  </w:style>
  <w:style w:type="paragraph" w:customStyle="1" w:styleId="ListDash2Level2">
    <w:name w:val="List Dash 2 (Level 2)"/>
    <w:basedOn w:val="Text2"/>
    <w:uiPriority w:val="1"/>
    <w:pPr>
      <w:numPr>
        <w:ilvl w:val="1"/>
        <w:numId w:val="34"/>
      </w:numPr>
    </w:pPr>
  </w:style>
  <w:style w:type="paragraph" w:customStyle="1" w:styleId="ListDash2Level3">
    <w:name w:val="List Dash 2 (Level 3)"/>
    <w:basedOn w:val="Text2"/>
    <w:uiPriority w:val="1"/>
    <w:semiHidden/>
    <w:unhideWhenUsed/>
    <w:pPr>
      <w:numPr>
        <w:ilvl w:val="2"/>
        <w:numId w:val="34"/>
      </w:numPr>
    </w:pPr>
  </w:style>
  <w:style w:type="paragraph" w:customStyle="1" w:styleId="ListDash2Level4">
    <w:name w:val="List Dash 2 (Level 4)"/>
    <w:basedOn w:val="Text2"/>
    <w:uiPriority w:val="1"/>
    <w:semiHidden/>
    <w:unhideWhenUsed/>
    <w:pPr>
      <w:numPr>
        <w:ilvl w:val="3"/>
        <w:numId w:val="34"/>
      </w:numPr>
    </w:pPr>
  </w:style>
  <w:style w:type="paragraph" w:customStyle="1" w:styleId="ListDash3">
    <w:name w:val="List Dash 3"/>
    <w:basedOn w:val="Text3"/>
    <w:uiPriority w:val="1"/>
    <w:pPr>
      <w:numPr>
        <w:numId w:val="33"/>
      </w:numPr>
    </w:pPr>
  </w:style>
  <w:style w:type="paragraph" w:customStyle="1" w:styleId="ListDash3Level2">
    <w:name w:val="List Dash 3 (Level 2)"/>
    <w:basedOn w:val="Text3"/>
    <w:uiPriority w:val="1"/>
    <w:pPr>
      <w:numPr>
        <w:ilvl w:val="1"/>
        <w:numId w:val="33"/>
      </w:numPr>
    </w:pPr>
  </w:style>
  <w:style w:type="paragraph" w:customStyle="1" w:styleId="ListDash3Level3">
    <w:name w:val="List Dash 3 (Level 3)"/>
    <w:basedOn w:val="Text3"/>
    <w:uiPriority w:val="1"/>
    <w:semiHidden/>
    <w:unhideWhenUsed/>
    <w:pPr>
      <w:numPr>
        <w:ilvl w:val="2"/>
        <w:numId w:val="33"/>
      </w:numPr>
    </w:pPr>
  </w:style>
  <w:style w:type="paragraph" w:customStyle="1" w:styleId="ListDash3Level4">
    <w:name w:val="List Dash 3 (Level 4)"/>
    <w:basedOn w:val="Text3"/>
    <w:uiPriority w:val="1"/>
    <w:semiHidden/>
    <w:unhideWhenUsed/>
    <w:pPr>
      <w:numPr>
        <w:ilvl w:val="3"/>
        <w:numId w:val="33"/>
      </w:numPr>
    </w:pPr>
  </w:style>
  <w:style w:type="paragraph" w:customStyle="1" w:styleId="ListDash4">
    <w:name w:val="List Dash 4"/>
    <w:basedOn w:val="Text4"/>
    <w:uiPriority w:val="1"/>
    <w:pPr>
      <w:numPr>
        <w:numId w:val="32"/>
      </w:numPr>
    </w:pPr>
  </w:style>
  <w:style w:type="paragraph" w:customStyle="1" w:styleId="ListDash4Level2">
    <w:name w:val="List Dash 4 (Level 2)"/>
    <w:basedOn w:val="Text4"/>
    <w:uiPriority w:val="1"/>
    <w:pPr>
      <w:numPr>
        <w:ilvl w:val="1"/>
        <w:numId w:val="32"/>
      </w:numPr>
    </w:pPr>
  </w:style>
  <w:style w:type="paragraph" w:customStyle="1" w:styleId="ListDash4Level3">
    <w:name w:val="List Dash 4 (Level 3)"/>
    <w:basedOn w:val="Text4"/>
    <w:uiPriority w:val="1"/>
    <w:semiHidden/>
    <w:unhideWhenUsed/>
    <w:pPr>
      <w:numPr>
        <w:ilvl w:val="2"/>
        <w:numId w:val="32"/>
      </w:numPr>
    </w:pPr>
  </w:style>
  <w:style w:type="paragraph" w:customStyle="1" w:styleId="ListDash4Level4">
    <w:name w:val="List Dash 4 (Level 4)"/>
    <w:basedOn w:val="Text4"/>
    <w:uiPriority w:val="1"/>
    <w:semiHidden/>
    <w:unhideWhenUsed/>
    <w:pPr>
      <w:numPr>
        <w:ilvl w:val="3"/>
        <w:numId w:val="32"/>
      </w:numPr>
    </w:pPr>
  </w:style>
  <w:style w:type="paragraph" w:styleId="ListNumber">
    <w:name w:val="List Number"/>
    <w:basedOn w:val="Normal"/>
    <w:uiPriority w:val="1"/>
    <w:pPr>
      <w:numPr>
        <w:numId w:val="41"/>
      </w:numPr>
    </w:pPr>
  </w:style>
  <w:style w:type="paragraph" w:customStyle="1" w:styleId="ListNumberLevel2">
    <w:name w:val="List Number (Level 2)"/>
    <w:basedOn w:val="Normal"/>
    <w:uiPriority w:val="1"/>
    <w:pPr>
      <w:numPr>
        <w:ilvl w:val="1"/>
        <w:numId w:val="41"/>
      </w:numPr>
    </w:pPr>
  </w:style>
  <w:style w:type="paragraph" w:customStyle="1" w:styleId="ListNumberLevel3">
    <w:name w:val="List Number (Level 3)"/>
    <w:basedOn w:val="Normal"/>
    <w:uiPriority w:val="1"/>
    <w:semiHidden/>
    <w:unhideWhenUsed/>
    <w:pPr>
      <w:numPr>
        <w:ilvl w:val="2"/>
        <w:numId w:val="41"/>
      </w:numPr>
    </w:pPr>
  </w:style>
  <w:style w:type="paragraph" w:customStyle="1" w:styleId="ListNumberLevel4">
    <w:name w:val="List Number (Level 4)"/>
    <w:basedOn w:val="Normal"/>
    <w:uiPriority w:val="1"/>
    <w:semiHidden/>
    <w:unhideWhenUsed/>
    <w:pPr>
      <w:numPr>
        <w:ilvl w:val="3"/>
        <w:numId w:val="41"/>
      </w:numPr>
    </w:pPr>
  </w:style>
  <w:style w:type="paragraph" w:customStyle="1" w:styleId="ListNumber1">
    <w:name w:val="List Number 1"/>
    <w:basedOn w:val="Text1"/>
    <w:uiPriority w:val="1"/>
    <w:pPr>
      <w:numPr>
        <w:numId w:val="40"/>
      </w:numPr>
    </w:pPr>
  </w:style>
  <w:style w:type="paragraph" w:customStyle="1" w:styleId="ListNumber1Level2">
    <w:name w:val="List Number 1 (Level 2)"/>
    <w:basedOn w:val="Text1"/>
    <w:uiPriority w:val="1"/>
    <w:pPr>
      <w:numPr>
        <w:ilvl w:val="1"/>
        <w:numId w:val="40"/>
      </w:numPr>
    </w:pPr>
  </w:style>
  <w:style w:type="paragraph" w:customStyle="1" w:styleId="ListNumber1Level3">
    <w:name w:val="List Number 1 (Level 3)"/>
    <w:basedOn w:val="Text1"/>
    <w:uiPriority w:val="1"/>
    <w:semiHidden/>
    <w:unhideWhenUsed/>
    <w:pPr>
      <w:numPr>
        <w:ilvl w:val="2"/>
        <w:numId w:val="40"/>
      </w:numPr>
    </w:pPr>
  </w:style>
  <w:style w:type="paragraph" w:customStyle="1" w:styleId="ListNumber1Level4">
    <w:name w:val="List Number 1 (Level 4)"/>
    <w:basedOn w:val="Text1"/>
    <w:uiPriority w:val="1"/>
    <w:semiHidden/>
    <w:unhideWhenUsed/>
    <w:pPr>
      <w:numPr>
        <w:ilvl w:val="3"/>
        <w:numId w:val="40"/>
      </w:numPr>
    </w:pPr>
  </w:style>
  <w:style w:type="paragraph" w:styleId="ListNumber2">
    <w:name w:val="List Number 2"/>
    <w:basedOn w:val="Text2"/>
    <w:uiPriority w:val="1"/>
    <w:pPr>
      <w:numPr>
        <w:numId w:val="39"/>
      </w:numPr>
    </w:pPr>
  </w:style>
  <w:style w:type="paragraph" w:customStyle="1" w:styleId="ListNumber2Level2">
    <w:name w:val="List Number 2 (Level 2)"/>
    <w:basedOn w:val="Text2"/>
    <w:uiPriority w:val="1"/>
    <w:pPr>
      <w:numPr>
        <w:ilvl w:val="1"/>
        <w:numId w:val="39"/>
      </w:numPr>
    </w:pPr>
  </w:style>
  <w:style w:type="paragraph" w:customStyle="1" w:styleId="ListNumber2Level3">
    <w:name w:val="List Number 2 (Level 3)"/>
    <w:basedOn w:val="Text2"/>
    <w:uiPriority w:val="1"/>
    <w:semiHidden/>
    <w:unhideWhenUsed/>
    <w:pPr>
      <w:numPr>
        <w:ilvl w:val="2"/>
        <w:numId w:val="39"/>
      </w:numPr>
    </w:pPr>
  </w:style>
  <w:style w:type="paragraph" w:customStyle="1" w:styleId="ListNumber2Level4">
    <w:name w:val="List Number 2 (Level 4)"/>
    <w:basedOn w:val="Text2"/>
    <w:uiPriority w:val="1"/>
    <w:semiHidden/>
    <w:unhideWhenUsed/>
    <w:pPr>
      <w:numPr>
        <w:ilvl w:val="3"/>
        <w:numId w:val="39"/>
      </w:numPr>
    </w:pPr>
  </w:style>
  <w:style w:type="paragraph" w:styleId="ListNumber3">
    <w:name w:val="List Number 3"/>
    <w:basedOn w:val="Text3"/>
    <w:uiPriority w:val="1"/>
    <w:pPr>
      <w:numPr>
        <w:numId w:val="38"/>
      </w:numPr>
    </w:pPr>
  </w:style>
  <w:style w:type="paragraph" w:customStyle="1" w:styleId="ListNumber3Level2">
    <w:name w:val="List Number 3 (Level 2)"/>
    <w:basedOn w:val="Text3"/>
    <w:uiPriority w:val="1"/>
    <w:pPr>
      <w:numPr>
        <w:ilvl w:val="1"/>
        <w:numId w:val="38"/>
      </w:numPr>
    </w:pPr>
  </w:style>
  <w:style w:type="paragraph" w:customStyle="1" w:styleId="ListNumber3Level3">
    <w:name w:val="List Number 3 (Level 3)"/>
    <w:basedOn w:val="Text3"/>
    <w:uiPriority w:val="1"/>
    <w:semiHidden/>
    <w:unhideWhenUsed/>
    <w:pPr>
      <w:numPr>
        <w:ilvl w:val="2"/>
        <w:numId w:val="38"/>
      </w:numPr>
    </w:pPr>
  </w:style>
  <w:style w:type="paragraph" w:customStyle="1" w:styleId="ListNumber3Level4">
    <w:name w:val="List Number 3 (Level 4)"/>
    <w:basedOn w:val="Text3"/>
    <w:uiPriority w:val="1"/>
    <w:semiHidden/>
    <w:unhideWhenUsed/>
    <w:pPr>
      <w:numPr>
        <w:ilvl w:val="3"/>
        <w:numId w:val="38"/>
      </w:numPr>
    </w:pPr>
  </w:style>
  <w:style w:type="paragraph" w:styleId="ListNumber4">
    <w:name w:val="List Number 4"/>
    <w:basedOn w:val="Text4"/>
    <w:uiPriority w:val="1"/>
    <w:pPr>
      <w:numPr>
        <w:numId w:val="37"/>
      </w:numPr>
    </w:pPr>
  </w:style>
  <w:style w:type="paragraph" w:customStyle="1" w:styleId="ListNumber4Level2">
    <w:name w:val="List Number 4 (Level 2)"/>
    <w:basedOn w:val="Text4"/>
    <w:uiPriority w:val="1"/>
    <w:pPr>
      <w:numPr>
        <w:ilvl w:val="1"/>
        <w:numId w:val="37"/>
      </w:numPr>
    </w:pPr>
  </w:style>
  <w:style w:type="paragraph" w:customStyle="1" w:styleId="ListNumber4Level3">
    <w:name w:val="List Number 4 (Level 3)"/>
    <w:basedOn w:val="Text4"/>
    <w:uiPriority w:val="1"/>
    <w:semiHidden/>
    <w:unhideWhenUsed/>
    <w:pPr>
      <w:numPr>
        <w:ilvl w:val="2"/>
        <w:numId w:val="37"/>
      </w:numPr>
    </w:pPr>
  </w:style>
  <w:style w:type="paragraph" w:customStyle="1" w:styleId="ListNumber4Level4">
    <w:name w:val="List Number 4 (Level 4)"/>
    <w:basedOn w:val="Text4"/>
    <w:uiPriority w:val="1"/>
    <w:semiHidden/>
    <w:unhideWhenUsed/>
    <w:pPr>
      <w:numPr>
        <w:ilvl w:val="3"/>
        <w:numId w:val="37"/>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Marking">
    <w:name w:val="Marking"/>
    <w:basedOn w:val="Normal"/>
    <w:semiHidden/>
    <w:pPr>
      <w:ind w:left="5102" w:right="-680"/>
      <w:contextualSpacing/>
      <w:jc w:val="left"/>
    </w:pPr>
    <w:rPr>
      <w:sz w:val="28"/>
    </w:rPr>
  </w:style>
  <w:style w:type="paragraph" w:customStyle="1" w:styleId="NoteAddressee">
    <w:name w:val="NoteAddressee"/>
    <w:basedOn w:val="Normal"/>
    <w:uiPriority w:val="2"/>
    <w:pPr>
      <w:spacing w:after="720"/>
      <w:contextualSpacing/>
      <w:jc w:val="center"/>
    </w:pPr>
    <w:rPr>
      <w:b/>
      <w:smallCaps/>
    </w:rPr>
  </w:style>
  <w:style w:type="paragraph" w:customStyle="1" w:styleId="NoteColumn">
    <w:name w:val="NoteColumn"/>
    <w:basedOn w:val="Normal"/>
    <w:uiPriority w:val="2"/>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uiPriority w:val="2"/>
    <w:pPr>
      <w:spacing w:before="720" w:after="720"/>
      <w:contextualSpacing/>
      <w:jc w:val="center"/>
    </w:pPr>
    <w:rPr>
      <w:b/>
      <w:smallCaps/>
    </w:rPr>
  </w:style>
  <w:style w:type="paragraph" w:customStyle="1" w:styleId="NoteList">
    <w:name w:val="NoteList"/>
    <w:basedOn w:val="Normal"/>
    <w:uiPriority w:val="2"/>
    <w:pPr>
      <w:tabs>
        <w:tab w:val="left" w:pos="5822"/>
      </w:tabs>
      <w:spacing w:before="720" w:after="720"/>
      <w:ind w:left="5102" w:hanging="3118"/>
      <w:contextualSpacing/>
      <w:jc w:val="left"/>
    </w:pPr>
    <w:rPr>
      <w:b/>
      <w:smallCaps/>
    </w:rPr>
  </w:style>
  <w:style w:type="paragraph" w:customStyle="1" w:styleId="NoteTitle">
    <w:name w:val="NoteTitle"/>
    <w:basedOn w:val="Normal"/>
    <w:uiPriority w:val="2"/>
    <w:pPr>
      <w:spacing w:before="720" w:after="360"/>
      <w:contextualSpacing/>
      <w:jc w:val="center"/>
    </w:pPr>
    <w:rPr>
      <w:b/>
      <w:smallCaps/>
    </w:rPr>
  </w:style>
  <w:style w:type="paragraph" w:customStyle="1" w:styleId="NumPar1">
    <w:name w:val="NumPar 1"/>
    <w:basedOn w:val="Heading1"/>
    <w:uiPriority w:val="1"/>
    <w:qFormat/>
    <w:pPr>
      <w:keepNext w:val="0"/>
      <w:spacing w:before="0"/>
      <w:outlineLvl w:val="9"/>
    </w:pPr>
    <w:rPr>
      <w:b w:val="0"/>
      <w:smallCaps w:val="0"/>
    </w:rPr>
  </w:style>
  <w:style w:type="paragraph" w:customStyle="1" w:styleId="NumPar2">
    <w:name w:val="NumPar 2"/>
    <w:basedOn w:val="Heading2"/>
    <w:uiPriority w:val="1"/>
    <w:qFormat/>
    <w:pPr>
      <w:keepNext w:val="0"/>
      <w:outlineLvl w:val="9"/>
    </w:pPr>
    <w:rPr>
      <w:b w:val="0"/>
    </w:rPr>
  </w:style>
  <w:style w:type="paragraph" w:customStyle="1" w:styleId="NumPar3">
    <w:name w:val="NumPar 3"/>
    <w:basedOn w:val="Heading3"/>
    <w:uiPriority w:val="1"/>
    <w:qFormat/>
    <w:pPr>
      <w:keepNext w:val="0"/>
      <w:outlineLvl w:val="9"/>
    </w:pPr>
    <w:rPr>
      <w:i w:val="0"/>
    </w:rPr>
  </w:style>
  <w:style w:type="paragraph" w:customStyle="1" w:styleId="NumPar4">
    <w:name w:val="NumPar 4"/>
    <w:basedOn w:val="Heading4"/>
    <w:uiPriority w:val="1"/>
    <w:qFormat/>
    <w:pPr>
      <w:keepNext w:val="0"/>
      <w:outlineLvl w:val="9"/>
    </w:pPr>
  </w:style>
  <w:style w:type="paragraph" w:customStyle="1" w:styleId="Participants">
    <w:name w:val="Participants"/>
    <w:basedOn w:val="Normal"/>
    <w:uiPriority w:val="2"/>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uiPriority w:val="1"/>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uiPriority w:val="2"/>
    <w:pPr>
      <w:spacing w:before="1200" w:after="0"/>
      <w:ind w:left="5102"/>
      <w:jc w:val="center"/>
    </w:pPr>
  </w:style>
  <w:style w:type="paragraph" w:customStyle="1" w:styleId="SignatureL">
    <w:name w:val="SignatureL"/>
    <w:basedOn w:val="Normal"/>
    <w:uiPriority w:val="2"/>
    <w:pPr>
      <w:spacing w:before="1200" w:after="0"/>
      <w:jc w:val="left"/>
    </w:pPr>
  </w:style>
  <w:style w:type="paragraph" w:customStyle="1" w:styleId="Subject">
    <w:name w:val="Subject"/>
    <w:basedOn w:val="Normal"/>
    <w:uiPriority w:val="2"/>
    <w:pPr>
      <w:spacing w:after="480"/>
      <w:ind w:left="1191" w:hanging="1191"/>
      <w:contextualSpacing/>
      <w:jc w:val="left"/>
    </w:pPr>
    <w:rPr>
      <w:b/>
    </w:rPr>
  </w:style>
  <w:style w:type="paragraph" w:customStyle="1" w:styleId="TableListBullet">
    <w:name w:val="Table List Bullet"/>
    <w:basedOn w:val="TableText"/>
    <w:uiPriority w:val="1"/>
    <w:pPr>
      <w:numPr>
        <w:numId w:val="50"/>
      </w:numPr>
    </w:pPr>
  </w:style>
  <w:style w:type="paragraph" w:customStyle="1" w:styleId="TableListBulletLevel2">
    <w:name w:val="Table List Bullet (Level 2)"/>
    <w:basedOn w:val="TableText"/>
    <w:uiPriority w:val="1"/>
    <w:pPr>
      <w:numPr>
        <w:ilvl w:val="1"/>
        <w:numId w:val="50"/>
      </w:numPr>
    </w:pPr>
  </w:style>
  <w:style w:type="paragraph" w:customStyle="1" w:styleId="TableListBulletLevel3">
    <w:name w:val="Table List Bullet (Level 3)"/>
    <w:basedOn w:val="TableText"/>
    <w:uiPriority w:val="1"/>
    <w:semiHidden/>
    <w:unhideWhenUsed/>
    <w:pPr>
      <w:numPr>
        <w:ilvl w:val="2"/>
        <w:numId w:val="50"/>
      </w:numPr>
    </w:pPr>
  </w:style>
  <w:style w:type="paragraph" w:customStyle="1" w:styleId="TableListBulletLevel4">
    <w:name w:val="Table List Bullet (Level 4)"/>
    <w:basedOn w:val="TableText"/>
    <w:uiPriority w:val="1"/>
    <w:semiHidden/>
    <w:unhideWhenUsed/>
    <w:pPr>
      <w:numPr>
        <w:ilvl w:val="3"/>
        <w:numId w:val="50"/>
      </w:numPr>
    </w:pPr>
  </w:style>
  <w:style w:type="paragraph" w:customStyle="1" w:styleId="TableListDash">
    <w:name w:val="Table List Dash"/>
    <w:basedOn w:val="TableText"/>
    <w:uiPriority w:val="1"/>
    <w:pPr>
      <w:numPr>
        <w:numId w:val="51"/>
      </w:numPr>
    </w:pPr>
  </w:style>
  <w:style w:type="paragraph" w:customStyle="1" w:styleId="TableListDashLevel2">
    <w:name w:val="Table List Dash (Level 2)"/>
    <w:basedOn w:val="TableText"/>
    <w:uiPriority w:val="1"/>
    <w:pPr>
      <w:numPr>
        <w:ilvl w:val="1"/>
        <w:numId w:val="51"/>
      </w:numPr>
    </w:pPr>
  </w:style>
  <w:style w:type="paragraph" w:customStyle="1" w:styleId="TableListDashLevel3">
    <w:name w:val="Table List Dash (Level 3)"/>
    <w:basedOn w:val="TableText"/>
    <w:uiPriority w:val="1"/>
    <w:semiHidden/>
    <w:unhideWhenUsed/>
    <w:pPr>
      <w:numPr>
        <w:ilvl w:val="2"/>
        <w:numId w:val="51"/>
      </w:numPr>
    </w:pPr>
  </w:style>
  <w:style w:type="paragraph" w:customStyle="1" w:styleId="TableListDashLevel4">
    <w:name w:val="Table List Dash (Level 4)"/>
    <w:basedOn w:val="TableText"/>
    <w:uiPriority w:val="1"/>
    <w:semiHidden/>
    <w:unhideWhenUsed/>
    <w:pPr>
      <w:numPr>
        <w:ilvl w:val="3"/>
        <w:numId w:val="51"/>
      </w:numPr>
    </w:pPr>
  </w:style>
  <w:style w:type="paragraph" w:customStyle="1" w:styleId="TableListNumber">
    <w:name w:val="Table List Number"/>
    <w:basedOn w:val="TableText"/>
    <w:uiPriority w:val="1"/>
    <w:pPr>
      <w:numPr>
        <w:numId w:val="52"/>
      </w:numPr>
    </w:pPr>
  </w:style>
  <w:style w:type="paragraph" w:customStyle="1" w:styleId="TableListNumberLevel2">
    <w:name w:val="Table List Number (Level 2)"/>
    <w:basedOn w:val="TableText"/>
    <w:uiPriority w:val="1"/>
    <w:pPr>
      <w:numPr>
        <w:ilvl w:val="1"/>
        <w:numId w:val="52"/>
      </w:numPr>
    </w:pPr>
  </w:style>
  <w:style w:type="paragraph" w:customStyle="1" w:styleId="TableListNumberLevel3">
    <w:name w:val="Table List Number (Level 3)"/>
    <w:basedOn w:val="TableText"/>
    <w:uiPriority w:val="1"/>
    <w:semiHidden/>
    <w:unhideWhenUsed/>
    <w:pPr>
      <w:numPr>
        <w:ilvl w:val="2"/>
        <w:numId w:val="52"/>
      </w:numPr>
    </w:pPr>
  </w:style>
  <w:style w:type="paragraph" w:customStyle="1" w:styleId="TableListNumberLevel4">
    <w:name w:val="Table List Number (Level 4)"/>
    <w:basedOn w:val="TableText"/>
    <w:uiPriority w:val="1"/>
    <w:semiHidden/>
    <w:unhideWhenUsed/>
    <w:pPr>
      <w:numPr>
        <w:ilvl w:val="3"/>
        <w:numId w:val="52"/>
      </w:numPr>
    </w:pPr>
  </w:style>
  <w:style w:type="paragraph" w:customStyle="1" w:styleId="TableSource">
    <w:name w:val="Table Source"/>
    <w:basedOn w:val="Normal"/>
    <w:next w:val="Normal"/>
    <w:semiHidden/>
    <w:unhideWhenUsed/>
    <w:rPr>
      <w:sz w:val="20"/>
    </w:rPr>
  </w:style>
  <w:style w:type="paragraph" w:customStyle="1" w:styleId="TableSource1">
    <w:name w:val="Table Source 1"/>
    <w:basedOn w:val="Text1"/>
    <w:next w:val="Text1"/>
    <w:semiHidden/>
    <w:unhideWhenUsed/>
    <w:rPr>
      <w:sz w:val="20"/>
    </w:rPr>
  </w:style>
  <w:style w:type="paragraph" w:customStyle="1" w:styleId="TableSource2">
    <w:name w:val="Table Source 2"/>
    <w:basedOn w:val="Text2"/>
    <w:next w:val="Text2"/>
    <w:semiHidden/>
    <w:unhideWhenUsed/>
    <w:rPr>
      <w:sz w:val="20"/>
    </w:rPr>
  </w:style>
  <w:style w:type="paragraph" w:customStyle="1" w:styleId="TableSource3">
    <w:name w:val="Table Source 3"/>
    <w:basedOn w:val="Text3"/>
    <w:next w:val="Text3"/>
    <w:semiHidden/>
    <w:unhideWhenUsed/>
    <w:rPr>
      <w:sz w:val="20"/>
    </w:rPr>
  </w:style>
  <w:style w:type="paragraph" w:customStyle="1" w:styleId="TableSource4">
    <w:name w:val="Table Source 4"/>
    <w:basedOn w:val="Text4"/>
    <w:next w:val="Text4"/>
    <w:semiHidden/>
    <w:unhideWhenUsed/>
    <w:rPr>
      <w:sz w:val="20"/>
    </w:rPr>
  </w:style>
  <w:style w:type="paragraph" w:customStyle="1" w:styleId="TableText">
    <w:name w:val="Table Text"/>
    <w:basedOn w:val="Normal"/>
    <w:uiPriority w:val="1"/>
    <w:qFormat/>
    <w:pPr>
      <w:spacing w:before="60" w:after="60"/>
      <w:jc w:val="left"/>
    </w:pPr>
  </w:style>
  <w:style w:type="paragraph" w:customStyle="1" w:styleId="TableTitle">
    <w:name w:val="Table Title"/>
    <w:basedOn w:val="Normal"/>
    <w:uiPriority w:val="1"/>
    <w:semiHidden/>
    <w:unhideWhenUsed/>
    <w:pPr>
      <w:keepNext/>
      <w:spacing w:after="120"/>
    </w:pPr>
    <w:rPr>
      <w:b/>
      <w:i/>
    </w:rPr>
  </w:style>
  <w:style w:type="paragraph" w:customStyle="1" w:styleId="TableTitle1">
    <w:name w:val="Table Title 1"/>
    <w:basedOn w:val="Text1"/>
    <w:uiPriority w:val="1"/>
    <w:semiHidden/>
    <w:unhideWhenUsed/>
    <w:pPr>
      <w:keepNext/>
      <w:spacing w:after="120"/>
    </w:pPr>
    <w:rPr>
      <w:b/>
      <w:i/>
    </w:rPr>
  </w:style>
  <w:style w:type="paragraph" w:customStyle="1" w:styleId="TableTitle2">
    <w:name w:val="Table Title 2"/>
    <w:basedOn w:val="Text2"/>
    <w:uiPriority w:val="1"/>
    <w:semiHidden/>
    <w:unhideWhenUsed/>
    <w:pPr>
      <w:keepNext/>
      <w:spacing w:after="120"/>
    </w:pPr>
    <w:rPr>
      <w:b/>
      <w:i/>
    </w:rPr>
  </w:style>
  <w:style w:type="paragraph" w:customStyle="1" w:styleId="TableTitle3">
    <w:name w:val="Table Title 3"/>
    <w:basedOn w:val="Text3"/>
    <w:uiPriority w:val="1"/>
    <w:semiHidden/>
    <w:unhideWhenUsed/>
    <w:pPr>
      <w:keepNext/>
      <w:spacing w:after="120"/>
    </w:pPr>
    <w:rPr>
      <w:b/>
      <w:i/>
    </w:rPr>
  </w:style>
  <w:style w:type="paragraph" w:customStyle="1" w:styleId="TableTitle4">
    <w:name w:val="Table Title 4"/>
    <w:basedOn w:val="Text4"/>
    <w:uiPriority w:val="1"/>
    <w:semiHidden/>
    <w:unhideWhenUsed/>
    <w:pPr>
      <w:keepNext/>
      <w:spacing w:after="120"/>
    </w:pPr>
    <w:rPr>
      <w:b/>
      <w:i/>
    </w:r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Title">
    <w:name w:val="Title"/>
    <w:basedOn w:val="Normal"/>
    <w:next w:val="Normal"/>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uiPriority w:val="2"/>
    <w:pPr>
      <w:spacing w:after="480"/>
      <w:ind w:left="1191" w:hanging="1191"/>
      <w:contextualSpacing/>
    </w:pPr>
  </w:style>
  <w:style w:type="paragraph" w:customStyle="1" w:styleId="ZCom">
    <w:name w:val="Z_Com"/>
    <w:basedOn w:val="Normal"/>
    <w:next w:val="Normal"/>
    <w:uiPriority w:val="2"/>
    <w:pPr>
      <w:widowControl w:val="0"/>
      <w:spacing w:before="90" w:after="0"/>
      <w:ind w:right="85"/>
      <w:jc w:val="left"/>
    </w:pPr>
  </w:style>
  <w:style w:type="paragraph" w:customStyle="1" w:styleId="ZDGName">
    <w:name w:val="Z_DGName"/>
    <w:basedOn w:val="Normal"/>
    <w:uiPriority w:val="2"/>
    <w:pPr>
      <w:widowControl w:val="0"/>
      <w:spacing w:after="0"/>
      <w:ind w:right="85"/>
      <w:jc w:val="left"/>
    </w:pPr>
    <w:rPr>
      <w:sz w:val="16"/>
    </w:rPr>
  </w:style>
  <w:style w:type="paragraph" w:customStyle="1" w:styleId="ZFlag">
    <w:name w:val="Z_Flag"/>
    <w:basedOn w:val="Normal"/>
    <w:next w:val="Normal"/>
    <w:uiPriority w:val="2"/>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077" w:type="dxa"/>
    </w:tblPr>
    <w:tblStylePr w:type="firstRow">
      <w:rPr>
        <w:b/>
      </w:rPr>
      <w:tblPr/>
      <w:trPr>
        <w:cantSplit/>
        <w:tblHeader/>
      </w:trPr>
    </w:tblStylePr>
  </w:style>
  <w:style w:type="table" w:customStyle="1" w:styleId="EurolookTable3">
    <w:name w:val="Eurolook Table 3"/>
    <w:basedOn w:val="EurolookTable"/>
    <w:semiHidden/>
    <w:unhideWhenUsed/>
    <w:tblPr>
      <w:tblInd w:w="1916" w:type="dxa"/>
    </w:tblPr>
    <w:tblStylePr w:type="firstRow">
      <w:rPr>
        <w:b/>
      </w:rPr>
      <w:tblPr/>
      <w:trPr>
        <w:cantSplit/>
        <w:tblHeader/>
      </w:trPr>
    </w:tblStylePr>
  </w:style>
  <w:style w:type="table" w:customStyle="1" w:styleId="EurolookTable4">
    <w:name w:val="Eurolook Table 4"/>
    <w:basedOn w:val="EurolookTable"/>
    <w:semiHidden/>
    <w:unhideWhenUsed/>
    <w:tblPr>
      <w:tblInd w:w="2880"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5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character" w:styleId="Emphasis">
    <w:name w:val="Emphasis"/>
    <w:basedOn w:val="DefaultParagraphFont"/>
    <w:uiPriority w:val="20"/>
    <w:qFormat/>
    <w:locked/>
    <w:rsid w:val="00F0779B"/>
    <w:rPr>
      <w:i/>
      <w:iCs/>
    </w:rPr>
  </w:style>
  <w:style w:type="paragraph" w:customStyle="1" w:styleId="Normal1">
    <w:name w:val="Normal1"/>
    <w:basedOn w:val="Normal"/>
    <w:rsid w:val="00355F53"/>
    <w:pPr>
      <w:spacing w:before="100" w:beforeAutospacing="1" w:after="100" w:afterAutospacing="1"/>
      <w:jc w:val="left"/>
    </w:pPr>
    <w:rPr>
      <w:szCs w:val="24"/>
    </w:rPr>
  </w:style>
  <w:style w:type="character" w:customStyle="1" w:styleId="super">
    <w:name w:val="super"/>
    <w:basedOn w:val="DefaultParagraphFont"/>
    <w:rsid w:val="00355F53"/>
  </w:style>
  <w:style w:type="character" w:customStyle="1" w:styleId="ecl-bannerdescription-text">
    <w:name w:val="ecl-banner__description-text"/>
    <w:basedOn w:val="DefaultParagraphFont"/>
    <w:rsid w:val="000A4991"/>
  </w:style>
  <w:style w:type="paragraph" w:styleId="BalloonText">
    <w:name w:val="Balloon Text"/>
    <w:basedOn w:val="Normal"/>
    <w:link w:val="BalloonTextChar"/>
    <w:semiHidden/>
    <w:locked/>
    <w:rsid w:val="00682B3D"/>
    <w:pPr>
      <w:spacing w:after="0"/>
    </w:pPr>
    <w:rPr>
      <w:rFonts w:ascii="Segoe UI" w:hAnsi="Segoe UI" w:cs="Segoe UI"/>
      <w:sz w:val="18"/>
      <w:szCs w:val="18"/>
    </w:rPr>
  </w:style>
  <w:style w:type="character" w:customStyle="1" w:styleId="BalloonTextChar">
    <w:name w:val="Balloon Text Char"/>
    <w:basedOn w:val="DefaultParagraphFont"/>
    <w:link w:val="BalloonText"/>
    <w:semiHidden/>
    <w:rsid w:val="00682B3D"/>
    <w:rPr>
      <w:rFonts w:ascii="Segoe UI" w:hAnsi="Segoe UI" w:cs="Segoe UI"/>
      <w:sz w:val="18"/>
      <w:szCs w:val="18"/>
    </w:rPr>
  </w:style>
  <w:style w:type="character" w:customStyle="1" w:styleId="UnresolvedMention2">
    <w:name w:val="Unresolved Mention2"/>
    <w:basedOn w:val="DefaultParagraphFont"/>
    <w:uiPriority w:val="99"/>
    <w:semiHidden/>
    <w:unhideWhenUsed/>
    <w:rsid w:val="008D3C53"/>
    <w:rPr>
      <w:color w:val="605E5C"/>
      <w:shd w:val="clear" w:color="auto" w:fill="E1DFDD"/>
    </w:rPr>
  </w:style>
  <w:style w:type="character" w:customStyle="1" w:styleId="Mention2">
    <w:name w:val="Mention2"/>
    <w:basedOn w:val="DefaultParagraphFont"/>
    <w:uiPriority w:val="99"/>
    <w:unhideWhenUsed/>
    <w:rPr>
      <w:color w:val="2B579A"/>
      <w:shd w:val="clear" w:color="auto" w:fill="E6E6E6"/>
    </w:rPr>
  </w:style>
  <w:style w:type="character" w:customStyle="1" w:styleId="footnotereference0">
    <w:name w:val="footnotereference"/>
    <w:basedOn w:val="DefaultParagraphFont"/>
    <w:rsid w:val="009D1D6E"/>
  </w:style>
  <w:style w:type="paragraph" w:customStyle="1" w:styleId="pf0">
    <w:name w:val="pf0"/>
    <w:basedOn w:val="Normal"/>
    <w:rsid w:val="009D1D6E"/>
    <w:pPr>
      <w:spacing w:before="100" w:beforeAutospacing="1" w:after="100" w:afterAutospacing="1"/>
      <w:jc w:val="left"/>
    </w:pPr>
    <w:rPr>
      <w:szCs w:val="24"/>
    </w:rPr>
  </w:style>
  <w:style w:type="character" w:customStyle="1" w:styleId="cf11">
    <w:name w:val="cf11"/>
    <w:basedOn w:val="DefaultParagraphFont"/>
    <w:rsid w:val="009D1D6E"/>
    <w:rPr>
      <w:rFonts w:ascii="Segoe UI" w:hAnsi="Segoe UI" w:cs="Segoe UI" w:hint="default"/>
      <w:sz w:val="18"/>
      <w:szCs w:val="18"/>
    </w:rPr>
  </w:style>
  <w:style w:type="paragraph" w:customStyle="1" w:styleId="BVIfnrCharCar1CarChar">
    <w:name w:val="BVI fnr Char Car1 Car Char"/>
    <w:basedOn w:val="Normal"/>
    <w:next w:val="Normal"/>
    <w:uiPriority w:val="99"/>
    <w:rsid w:val="006B7E22"/>
    <w:pPr>
      <w:spacing w:after="0"/>
      <w:contextualSpacing/>
    </w:pPr>
    <w:rPr>
      <w:rFonts w:asciiTheme="minorHAnsi" w:eastAsiaTheme="minorHAnsi" w:hAnsiTheme="minorHAnsi" w:cstheme="minorBidi"/>
      <w:sz w:val="22"/>
      <w:szCs w:val="22"/>
      <w:vertAlign w:val="superscript"/>
      <w:lang w:eastAsia="en-US"/>
    </w:rPr>
  </w:style>
  <w:style w:type="character" w:customStyle="1" w:styleId="Marker">
    <w:name w:val="Marker"/>
    <w:basedOn w:val="DefaultParagraphFont"/>
    <w:rsid w:val="00255966"/>
    <w:rPr>
      <w:color w:val="0000FF"/>
      <w:shd w:val="clear" w:color="auto" w:fill="auto"/>
    </w:rPr>
  </w:style>
  <w:style w:type="paragraph" w:customStyle="1" w:styleId="Pagedecouverture">
    <w:name w:val="Page de couverture"/>
    <w:basedOn w:val="Normal"/>
    <w:next w:val="Normal"/>
    <w:link w:val="PagedecouvertureChar"/>
    <w:rsid w:val="00255966"/>
    <w:pPr>
      <w:spacing w:after="0"/>
    </w:pPr>
    <w:rPr>
      <w:rFonts w:eastAsiaTheme="minorHAnsi"/>
      <w:szCs w:val="22"/>
      <w:lang w:eastAsia="en-US"/>
    </w:rPr>
  </w:style>
  <w:style w:type="paragraph" w:customStyle="1" w:styleId="FooterCoverPage">
    <w:name w:val="Footer Cover Page"/>
    <w:basedOn w:val="Normal"/>
    <w:link w:val="FooterCoverPageChar"/>
    <w:rsid w:val="00255966"/>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255966"/>
    <w:rPr>
      <w:rFonts w:eastAsiaTheme="minorHAnsi"/>
      <w:szCs w:val="22"/>
      <w:lang w:eastAsia="en-US"/>
    </w:rPr>
  </w:style>
  <w:style w:type="character" w:customStyle="1" w:styleId="FooterCoverPageChar">
    <w:name w:val="Footer Cover Page Char"/>
    <w:basedOn w:val="PagedecouvertureChar"/>
    <w:link w:val="FooterCoverPage"/>
    <w:rsid w:val="00255966"/>
    <w:rPr>
      <w:rFonts w:eastAsiaTheme="minorHAnsi"/>
      <w:szCs w:val="22"/>
      <w:lang w:eastAsia="en-US"/>
    </w:rPr>
  </w:style>
  <w:style w:type="paragraph" w:customStyle="1" w:styleId="FooterSensitivity">
    <w:name w:val="Footer Sensitivity"/>
    <w:basedOn w:val="Normal"/>
    <w:link w:val="FooterSensitivityChar"/>
    <w:rsid w:val="00255966"/>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255966"/>
    <w:rPr>
      <w:rFonts w:eastAsiaTheme="minorHAnsi"/>
      <w:b/>
      <w:sz w:val="32"/>
      <w:szCs w:val="22"/>
      <w:lang w:eastAsia="en-US"/>
    </w:rPr>
  </w:style>
  <w:style w:type="paragraph" w:customStyle="1" w:styleId="HeaderCoverPage">
    <w:name w:val="Header Cover Page"/>
    <w:basedOn w:val="Normal"/>
    <w:link w:val="HeaderCoverPageChar"/>
    <w:rsid w:val="00255966"/>
    <w:pPr>
      <w:tabs>
        <w:tab w:val="center" w:pos="4535"/>
        <w:tab w:val="right" w:pos="9071"/>
      </w:tabs>
      <w:spacing w:after="120"/>
    </w:pPr>
  </w:style>
  <w:style w:type="character" w:customStyle="1" w:styleId="HeaderCoverPageChar">
    <w:name w:val="Header Cover Page Char"/>
    <w:basedOn w:val="PagedecouvertureChar"/>
    <w:link w:val="HeaderCoverPage"/>
    <w:rsid w:val="00255966"/>
    <w:rPr>
      <w:rFonts w:eastAsiaTheme="minorHAnsi"/>
      <w:szCs w:val="22"/>
      <w:lang w:eastAsia="en-US"/>
    </w:rPr>
  </w:style>
  <w:style w:type="paragraph" w:customStyle="1" w:styleId="HeaderSensitivity">
    <w:name w:val="Header Sensitivity"/>
    <w:basedOn w:val="Normal"/>
    <w:link w:val="HeaderSensitivityChar"/>
    <w:rsid w:val="00255966"/>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255966"/>
    <w:rPr>
      <w:rFonts w:eastAsiaTheme="minorHAnsi"/>
      <w:b/>
      <w:sz w:val="32"/>
      <w:szCs w:val="22"/>
      <w:lang w:eastAsia="en-US"/>
    </w:rPr>
  </w:style>
  <w:style w:type="paragraph" w:customStyle="1" w:styleId="HeaderSensitivityRight">
    <w:name w:val="Header Sensitivity Right"/>
    <w:basedOn w:val="Normal"/>
    <w:link w:val="HeaderSensitivityRightChar"/>
    <w:rsid w:val="00255966"/>
    <w:pPr>
      <w:spacing w:after="120"/>
      <w:jc w:val="right"/>
    </w:pPr>
    <w:rPr>
      <w:sz w:val="28"/>
    </w:rPr>
  </w:style>
  <w:style w:type="character" w:customStyle="1" w:styleId="HeaderSensitivityRightChar">
    <w:name w:val="Header Sensitivity Right Char"/>
    <w:basedOn w:val="PagedecouvertureChar"/>
    <w:link w:val="HeaderSensitivityRight"/>
    <w:rsid w:val="00255966"/>
    <w:rPr>
      <w:rFonts w:eastAsiaTheme="minorHAnsi"/>
      <w:sz w:val="28"/>
      <w:szCs w:val="22"/>
      <w:lang w:eastAsia="en-US"/>
    </w:rPr>
  </w:style>
  <w:style w:type="character" w:customStyle="1" w:styleId="ui-provider">
    <w:name w:val="ui-provider"/>
    <w:basedOn w:val="DefaultParagraphFont"/>
    <w:rsid w:val="00A60F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9549">
      <w:bodyDiv w:val="1"/>
      <w:marLeft w:val="0"/>
      <w:marRight w:val="0"/>
      <w:marTop w:val="0"/>
      <w:marBottom w:val="0"/>
      <w:divBdr>
        <w:top w:val="none" w:sz="0" w:space="0" w:color="auto"/>
        <w:left w:val="none" w:sz="0" w:space="0" w:color="auto"/>
        <w:bottom w:val="none" w:sz="0" w:space="0" w:color="auto"/>
        <w:right w:val="none" w:sz="0" w:space="0" w:color="auto"/>
      </w:divBdr>
    </w:div>
    <w:div w:id="51084996">
      <w:bodyDiv w:val="1"/>
      <w:marLeft w:val="0"/>
      <w:marRight w:val="0"/>
      <w:marTop w:val="0"/>
      <w:marBottom w:val="0"/>
      <w:divBdr>
        <w:top w:val="none" w:sz="0" w:space="0" w:color="auto"/>
        <w:left w:val="none" w:sz="0" w:space="0" w:color="auto"/>
        <w:bottom w:val="none" w:sz="0" w:space="0" w:color="auto"/>
        <w:right w:val="none" w:sz="0" w:space="0" w:color="auto"/>
      </w:divBdr>
    </w:div>
    <w:div w:id="111242478">
      <w:bodyDiv w:val="1"/>
      <w:marLeft w:val="0"/>
      <w:marRight w:val="0"/>
      <w:marTop w:val="0"/>
      <w:marBottom w:val="0"/>
      <w:divBdr>
        <w:top w:val="none" w:sz="0" w:space="0" w:color="auto"/>
        <w:left w:val="none" w:sz="0" w:space="0" w:color="auto"/>
        <w:bottom w:val="none" w:sz="0" w:space="0" w:color="auto"/>
        <w:right w:val="none" w:sz="0" w:space="0" w:color="auto"/>
      </w:divBdr>
    </w:div>
    <w:div w:id="143473142">
      <w:bodyDiv w:val="1"/>
      <w:marLeft w:val="0"/>
      <w:marRight w:val="0"/>
      <w:marTop w:val="0"/>
      <w:marBottom w:val="0"/>
      <w:divBdr>
        <w:top w:val="none" w:sz="0" w:space="0" w:color="auto"/>
        <w:left w:val="none" w:sz="0" w:space="0" w:color="auto"/>
        <w:bottom w:val="none" w:sz="0" w:space="0" w:color="auto"/>
        <w:right w:val="none" w:sz="0" w:space="0" w:color="auto"/>
      </w:divBdr>
    </w:div>
    <w:div w:id="238565046">
      <w:bodyDiv w:val="1"/>
      <w:marLeft w:val="0"/>
      <w:marRight w:val="0"/>
      <w:marTop w:val="0"/>
      <w:marBottom w:val="0"/>
      <w:divBdr>
        <w:top w:val="none" w:sz="0" w:space="0" w:color="auto"/>
        <w:left w:val="none" w:sz="0" w:space="0" w:color="auto"/>
        <w:bottom w:val="none" w:sz="0" w:space="0" w:color="auto"/>
        <w:right w:val="none" w:sz="0" w:space="0" w:color="auto"/>
      </w:divBdr>
    </w:div>
    <w:div w:id="273750451">
      <w:bodyDiv w:val="1"/>
      <w:marLeft w:val="0"/>
      <w:marRight w:val="0"/>
      <w:marTop w:val="0"/>
      <w:marBottom w:val="0"/>
      <w:divBdr>
        <w:top w:val="none" w:sz="0" w:space="0" w:color="auto"/>
        <w:left w:val="none" w:sz="0" w:space="0" w:color="auto"/>
        <w:bottom w:val="none" w:sz="0" w:space="0" w:color="auto"/>
        <w:right w:val="none" w:sz="0" w:space="0" w:color="auto"/>
      </w:divBdr>
    </w:div>
    <w:div w:id="291982006">
      <w:bodyDiv w:val="1"/>
      <w:marLeft w:val="0"/>
      <w:marRight w:val="0"/>
      <w:marTop w:val="0"/>
      <w:marBottom w:val="0"/>
      <w:divBdr>
        <w:top w:val="none" w:sz="0" w:space="0" w:color="auto"/>
        <w:left w:val="none" w:sz="0" w:space="0" w:color="auto"/>
        <w:bottom w:val="none" w:sz="0" w:space="0" w:color="auto"/>
        <w:right w:val="none" w:sz="0" w:space="0" w:color="auto"/>
      </w:divBdr>
    </w:div>
    <w:div w:id="292443943">
      <w:bodyDiv w:val="1"/>
      <w:marLeft w:val="0"/>
      <w:marRight w:val="0"/>
      <w:marTop w:val="0"/>
      <w:marBottom w:val="0"/>
      <w:divBdr>
        <w:top w:val="none" w:sz="0" w:space="0" w:color="auto"/>
        <w:left w:val="none" w:sz="0" w:space="0" w:color="auto"/>
        <w:bottom w:val="none" w:sz="0" w:space="0" w:color="auto"/>
        <w:right w:val="none" w:sz="0" w:space="0" w:color="auto"/>
      </w:divBdr>
    </w:div>
    <w:div w:id="321810641">
      <w:bodyDiv w:val="1"/>
      <w:marLeft w:val="0"/>
      <w:marRight w:val="0"/>
      <w:marTop w:val="0"/>
      <w:marBottom w:val="0"/>
      <w:divBdr>
        <w:top w:val="none" w:sz="0" w:space="0" w:color="auto"/>
        <w:left w:val="none" w:sz="0" w:space="0" w:color="auto"/>
        <w:bottom w:val="none" w:sz="0" w:space="0" w:color="auto"/>
        <w:right w:val="none" w:sz="0" w:space="0" w:color="auto"/>
      </w:divBdr>
    </w:div>
    <w:div w:id="324170123">
      <w:bodyDiv w:val="1"/>
      <w:marLeft w:val="0"/>
      <w:marRight w:val="0"/>
      <w:marTop w:val="0"/>
      <w:marBottom w:val="0"/>
      <w:divBdr>
        <w:top w:val="none" w:sz="0" w:space="0" w:color="auto"/>
        <w:left w:val="none" w:sz="0" w:space="0" w:color="auto"/>
        <w:bottom w:val="none" w:sz="0" w:space="0" w:color="auto"/>
        <w:right w:val="none" w:sz="0" w:space="0" w:color="auto"/>
      </w:divBdr>
    </w:div>
    <w:div w:id="327709319">
      <w:bodyDiv w:val="1"/>
      <w:marLeft w:val="0"/>
      <w:marRight w:val="0"/>
      <w:marTop w:val="0"/>
      <w:marBottom w:val="0"/>
      <w:divBdr>
        <w:top w:val="none" w:sz="0" w:space="0" w:color="auto"/>
        <w:left w:val="none" w:sz="0" w:space="0" w:color="auto"/>
        <w:bottom w:val="none" w:sz="0" w:space="0" w:color="auto"/>
        <w:right w:val="none" w:sz="0" w:space="0" w:color="auto"/>
      </w:divBdr>
    </w:div>
    <w:div w:id="386496191">
      <w:bodyDiv w:val="1"/>
      <w:marLeft w:val="0"/>
      <w:marRight w:val="0"/>
      <w:marTop w:val="0"/>
      <w:marBottom w:val="0"/>
      <w:divBdr>
        <w:top w:val="none" w:sz="0" w:space="0" w:color="auto"/>
        <w:left w:val="none" w:sz="0" w:space="0" w:color="auto"/>
        <w:bottom w:val="none" w:sz="0" w:space="0" w:color="auto"/>
        <w:right w:val="none" w:sz="0" w:space="0" w:color="auto"/>
      </w:divBdr>
    </w:div>
    <w:div w:id="398989376">
      <w:bodyDiv w:val="1"/>
      <w:marLeft w:val="0"/>
      <w:marRight w:val="0"/>
      <w:marTop w:val="0"/>
      <w:marBottom w:val="0"/>
      <w:divBdr>
        <w:top w:val="none" w:sz="0" w:space="0" w:color="auto"/>
        <w:left w:val="none" w:sz="0" w:space="0" w:color="auto"/>
        <w:bottom w:val="none" w:sz="0" w:space="0" w:color="auto"/>
        <w:right w:val="none" w:sz="0" w:space="0" w:color="auto"/>
      </w:divBdr>
    </w:div>
    <w:div w:id="405106034">
      <w:bodyDiv w:val="1"/>
      <w:marLeft w:val="0"/>
      <w:marRight w:val="0"/>
      <w:marTop w:val="0"/>
      <w:marBottom w:val="0"/>
      <w:divBdr>
        <w:top w:val="none" w:sz="0" w:space="0" w:color="auto"/>
        <w:left w:val="none" w:sz="0" w:space="0" w:color="auto"/>
        <w:bottom w:val="none" w:sz="0" w:space="0" w:color="auto"/>
        <w:right w:val="none" w:sz="0" w:space="0" w:color="auto"/>
      </w:divBdr>
    </w:div>
    <w:div w:id="430199418">
      <w:bodyDiv w:val="1"/>
      <w:marLeft w:val="0"/>
      <w:marRight w:val="0"/>
      <w:marTop w:val="0"/>
      <w:marBottom w:val="0"/>
      <w:divBdr>
        <w:top w:val="none" w:sz="0" w:space="0" w:color="auto"/>
        <w:left w:val="none" w:sz="0" w:space="0" w:color="auto"/>
        <w:bottom w:val="none" w:sz="0" w:space="0" w:color="auto"/>
        <w:right w:val="none" w:sz="0" w:space="0" w:color="auto"/>
      </w:divBdr>
      <w:divsChild>
        <w:div w:id="434909024">
          <w:marLeft w:val="0"/>
          <w:marRight w:val="0"/>
          <w:marTop w:val="0"/>
          <w:marBottom w:val="0"/>
          <w:divBdr>
            <w:top w:val="none" w:sz="0" w:space="0" w:color="auto"/>
            <w:left w:val="none" w:sz="0" w:space="0" w:color="auto"/>
            <w:bottom w:val="none" w:sz="0" w:space="0" w:color="auto"/>
            <w:right w:val="none" w:sz="0" w:space="0" w:color="auto"/>
          </w:divBdr>
          <w:divsChild>
            <w:div w:id="389113557">
              <w:marLeft w:val="0"/>
              <w:marRight w:val="0"/>
              <w:marTop w:val="0"/>
              <w:marBottom w:val="0"/>
              <w:divBdr>
                <w:top w:val="none" w:sz="0" w:space="0" w:color="auto"/>
                <w:left w:val="none" w:sz="0" w:space="0" w:color="auto"/>
                <w:bottom w:val="none" w:sz="0" w:space="0" w:color="auto"/>
                <w:right w:val="none" w:sz="0" w:space="0" w:color="auto"/>
              </w:divBdr>
              <w:divsChild>
                <w:div w:id="125003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282743">
      <w:bodyDiv w:val="1"/>
      <w:marLeft w:val="0"/>
      <w:marRight w:val="0"/>
      <w:marTop w:val="0"/>
      <w:marBottom w:val="0"/>
      <w:divBdr>
        <w:top w:val="none" w:sz="0" w:space="0" w:color="auto"/>
        <w:left w:val="none" w:sz="0" w:space="0" w:color="auto"/>
        <w:bottom w:val="none" w:sz="0" w:space="0" w:color="auto"/>
        <w:right w:val="none" w:sz="0" w:space="0" w:color="auto"/>
      </w:divBdr>
    </w:div>
    <w:div w:id="531579327">
      <w:bodyDiv w:val="1"/>
      <w:marLeft w:val="0"/>
      <w:marRight w:val="0"/>
      <w:marTop w:val="0"/>
      <w:marBottom w:val="0"/>
      <w:divBdr>
        <w:top w:val="none" w:sz="0" w:space="0" w:color="auto"/>
        <w:left w:val="none" w:sz="0" w:space="0" w:color="auto"/>
        <w:bottom w:val="none" w:sz="0" w:space="0" w:color="auto"/>
        <w:right w:val="none" w:sz="0" w:space="0" w:color="auto"/>
      </w:divBdr>
    </w:div>
    <w:div w:id="544295334">
      <w:bodyDiv w:val="1"/>
      <w:marLeft w:val="0"/>
      <w:marRight w:val="0"/>
      <w:marTop w:val="0"/>
      <w:marBottom w:val="0"/>
      <w:divBdr>
        <w:top w:val="none" w:sz="0" w:space="0" w:color="auto"/>
        <w:left w:val="none" w:sz="0" w:space="0" w:color="auto"/>
        <w:bottom w:val="none" w:sz="0" w:space="0" w:color="auto"/>
        <w:right w:val="none" w:sz="0" w:space="0" w:color="auto"/>
      </w:divBdr>
    </w:div>
    <w:div w:id="544947599">
      <w:bodyDiv w:val="1"/>
      <w:marLeft w:val="0"/>
      <w:marRight w:val="0"/>
      <w:marTop w:val="0"/>
      <w:marBottom w:val="0"/>
      <w:divBdr>
        <w:top w:val="none" w:sz="0" w:space="0" w:color="auto"/>
        <w:left w:val="none" w:sz="0" w:space="0" w:color="auto"/>
        <w:bottom w:val="none" w:sz="0" w:space="0" w:color="auto"/>
        <w:right w:val="none" w:sz="0" w:space="0" w:color="auto"/>
      </w:divBdr>
    </w:div>
    <w:div w:id="583495633">
      <w:bodyDiv w:val="1"/>
      <w:marLeft w:val="0"/>
      <w:marRight w:val="0"/>
      <w:marTop w:val="0"/>
      <w:marBottom w:val="0"/>
      <w:divBdr>
        <w:top w:val="none" w:sz="0" w:space="0" w:color="auto"/>
        <w:left w:val="none" w:sz="0" w:space="0" w:color="auto"/>
        <w:bottom w:val="none" w:sz="0" w:space="0" w:color="auto"/>
        <w:right w:val="none" w:sz="0" w:space="0" w:color="auto"/>
      </w:divBdr>
    </w:div>
    <w:div w:id="646322549">
      <w:bodyDiv w:val="1"/>
      <w:marLeft w:val="0"/>
      <w:marRight w:val="0"/>
      <w:marTop w:val="0"/>
      <w:marBottom w:val="0"/>
      <w:divBdr>
        <w:top w:val="none" w:sz="0" w:space="0" w:color="auto"/>
        <w:left w:val="none" w:sz="0" w:space="0" w:color="auto"/>
        <w:bottom w:val="none" w:sz="0" w:space="0" w:color="auto"/>
        <w:right w:val="none" w:sz="0" w:space="0" w:color="auto"/>
      </w:divBdr>
    </w:div>
    <w:div w:id="656301256">
      <w:bodyDiv w:val="1"/>
      <w:marLeft w:val="0"/>
      <w:marRight w:val="0"/>
      <w:marTop w:val="0"/>
      <w:marBottom w:val="0"/>
      <w:divBdr>
        <w:top w:val="none" w:sz="0" w:space="0" w:color="auto"/>
        <w:left w:val="none" w:sz="0" w:space="0" w:color="auto"/>
        <w:bottom w:val="none" w:sz="0" w:space="0" w:color="auto"/>
        <w:right w:val="none" w:sz="0" w:space="0" w:color="auto"/>
      </w:divBdr>
    </w:div>
    <w:div w:id="784692980">
      <w:bodyDiv w:val="1"/>
      <w:marLeft w:val="0"/>
      <w:marRight w:val="0"/>
      <w:marTop w:val="0"/>
      <w:marBottom w:val="0"/>
      <w:divBdr>
        <w:top w:val="none" w:sz="0" w:space="0" w:color="auto"/>
        <w:left w:val="none" w:sz="0" w:space="0" w:color="auto"/>
        <w:bottom w:val="none" w:sz="0" w:space="0" w:color="auto"/>
        <w:right w:val="none" w:sz="0" w:space="0" w:color="auto"/>
      </w:divBdr>
    </w:div>
    <w:div w:id="865220442">
      <w:bodyDiv w:val="1"/>
      <w:marLeft w:val="0"/>
      <w:marRight w:val="0"/>
      <w:marTop w:val="0"/>
      <w:marBottom w:val="0"/>
      <w:divBdr>
        <w:top w:val="none" w:sz="0" w:space="0" w:color="auto"/>
        <w:left w:val="none" w:sz="0" w:space="0" w:color="auto"/>
        <w:bottom w:val="none" w:sz="0" w:space="0" w:color="auto"/>
        <w:right w:val="none" w:sz="0" w:space="0" w:color="auto"/>
      </w:divBdr>
    </w:div>
    <w:div w:id="886332381">
      <w:bodyDiv w:val="1"/>
      <w:marLeft w:val="0"/>
      <w:marRight w:val="0"/>
      <w:marTop w:val="0"/>
      <w:marBottom w:val="0"/>
      <w:divBdr>
        <w:top w:val="none" w:sz="0" w:space="0" w:color="auto"/>
        <w:left w:val="none" w:sz="0" w:space="0" w:color="auto"/>
        <w:bottom w:val="none" w:sz="0" w:space="0" w:color="auto"/>
        <w:right w:val="none" w:sz="0" w:space="0" w:color="auto"/>
      </w:divBdr>
    </w:div>
    <w:div w:id="918750047">
      <w:bodyDiv w:val="1"/>
      <w:marLeft w:val="0"/>
      <w:marRight w:val="0"/>
      <w:marTop w:val="0"/>
      <w:marBottom w:val="0"/>
      <w:divBdr>
        <w:top w:val="none" w:sz="0" w:space="0" w:color="auto"/>
        <w:left w:val="none" w:sz="0" w:space="0" w:color="auto"/>
        <w:bottom w:val="none" w:sz="0" w:space="0" w:color="auto"/>
        <w:right w:val="none" w:sz="0" w:space="0" w:color="auto"/>
      </w:divBdr>
    </w:div>
    <w:div w:id="933316606">
      <w:bodyDiv w:val="1"/>
      <w:marLeft w:val="0"/>
      <w:marRight w:val="0"/>
      <w:marTop w:val="0"/>
      <w:marBottom w:val="0"/>
      <w:divBdr>
        <w:top w:val="none" w:sz="0" w:space="0" w:color="auto"/>
        <w:left w:val="none" w:sz="0" w:space="0" w:color="auto"/>
        <w:bottom w:val="none" w:sz="0" w:space="0" w:color="auto"/>
        <w:right w:val="none" w:sz="0" w:space="0" w:color="auto"/>
      </w:divBdr>
    </w:div>
    <w:div w:id="988824368">
      <w:bodyDiv w:val="1"/>
      <w:marLeft w:val="0"/>
      <w:marRight w:val="0"/>
      <w:marTop w:val="0"/>
      <w:marBottom w:val="0"/>
      <w:divBdr>
        <w:top w:val="none" w:sz="0" w:space="0" w:color="auto"/>
        <w:left w:val="none" w:sz="0" w:space="0" w:color="auto"/>
        <w:bottom w:val="none" w:sz="0" w:space="0" w:color="auto"/>
        <w:right w:val="none" w:sz="0" w:space="0" w:color="auto"/>
      </w:divBdr>
    </w:div>
    <w:div w:id="998657396">
      <w:bodyDiv w:val="1"/>
      <w:marLeft w:val="0"/>
      <w:marRight w:val="0"/>
      <w:marTop w:val="0"/>
      <w:marBottom w:val="0"/>
      <w:divBdr>
        <w:top w:val="none" w:sz="0" w:space="0" w:color="auto"/>
        <w:left w:val="none" w:sz="0" w:space="0" w:color="auto"/>
        <w:bottom w:val="none" w:sz="0" w:space="0" w:color="auto"/>
        <w:right w:val="none" w:sz="0" w:space="0" w:color="auto"/>
      </w:divBdr>
    </w:div>
    <w:div w:id="1025835619">
      <w:bodyDiv w:val="1"/>
      <w:marLeft w:val="0"/>
      <w:marRight w:val="0"/>
      <w:marTop w:val="0"/>
      <w:marBottom w:val="0"/>
      <w:divBdr>
        <w:top w:val="none" w:sz="0" w:space="0" w:color="auto"/>
        <w:left w:val="none" w:sz="0" w:space="0" w:color="auto"/>
        <w:bottom w:val="none" w:sz="0" w:space="0" w:color="auto"/>
        <w:right w:val="none" w:sz="0" w:space="0" w:color="auto"/>
      </w:divBdr>
    </w:div>
    <w:div w:id="1074015326">
      <w:bodyDiv w:val="1"/>
      <w:marLeft w:val="0"/>
      <w:marRight w:val="0"/>
      <w:marTop w:val="0"/>
      <w:marBottom w:val="0"/>
      <w:divBdr>
        <w:top w:val="none" w:sz="0" w:space="0" w:color="auto"/>
        <w:left w:val="none" w:sz="0" w:space="0" w:color="auto"/>
        <w:bottom w:val="none" w:sz="0" w:space="0" w:color="auto"/>
        <w:right w:val="none" w:sz="0" w:space="0" w:color="auto"/>
      </w:divBdr>
    </w:div>
    <w:div w:id="1152254104">
      <w:bodyDiv w:val="1"/>
      <w:marLeft w:val="0"/>
      <w:marRight w:val="0"/>
      <w:marTop w:val="0"/>
      <w:marBottom w:val="0"/>
      <w:divBdr>
        <w:top w:val="none" w:sz="0" w:space="0" w:color="auto"/>
        <w:left w:val="none" w:sz="0" w:space="0" w:color="auto"/>
        <w:bottom w:val="none" w:sz="0" w:space="0" w:color="auto"/>
        <w:right w:val="none" w:sz="0" w:space="0" w:color="auto"/>
      </w:divBdr>
    </w:div>
    <w:div w:id="1167282274">
      <w:bodyDiv w:val="1"/>
      <w:marLeft w:val="0"/>
      <w:marRight w:val="0"/>
      <w:marTop w:val="0"/>
      <w:marBottom w:val="0"/>
      <w:divBdr>
        <w:top w:val="none" w:sz="0" w:space="0" w:color="auto"/>
        <w:left w:val="none" w:sz="0" w:space="0" w:color="auto"/>
        <w:bottom w:val="none" w:sz="0" w:space="0" w:color="auto"/>
        <w:right w:val="none" w:sz="0" w:space="0" w:color="auto"/>
      </w:divBdr>
      <w:divsChild>
        <w:div w:id="613097656">
          <w:marLeft w:val="0"/>
          <w:marRight w:val="0"/>
          <w:marTop w:val="0"/>
          <w:marBottom w:val="0"/>
          <w:divBdr>
            <w:top w:val="none" w:sz="0" w:space="0" w:color="auto"/>
            <w:left w:val="none" w:sz="0" w:space="0" w:color="auto"/>
            <w:bottom w:val="none" w:sz="0" w:space="0" w:color="auto"/>
            <w:right w:val="none" w:sz="0" w:space="0" w:color="auto"/>
          </w:divBdr>
          <w:divsChild>
            <w:div w:id="1619415453">
              <w:marLeft w:val="0"/>
              <w:marRight w:val="0"/>
              <w:marTop w:val="0"/>
              <w:marBottom w:val="0"/>
              <w:divBdr>
                <w:top w:val="none" w:sz="0" w:space="0" w:color="auto"/>
                <w:left w:val="none" w:sz="0" w:space="0" w:color="auto"/>
                <w:bottom w:val="none" w:sz="0" w:space="0" w:color="auto"/>
                <w:right w:val="none" w:sz="0" w:space="0" w:color="auto"/>
              </w:divBdr>
              <w:divsChild>
                <w:div w:id="1139684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203640">
      <w:bodyDiv w:val="1"/>
      <w:marLeft w:val="0"/>
      <w:marRight w:val="0"/>
      <w:marTop w:val="0"/>
      <w:marBottom w:val="0"/>
      <w:divBdr>
        <w:top w:val="none" w:sz="0" w:space="0" w:color="auto"/>
        <w:left w:val="none" w:sz="0" w:space="0" w:color="auto"/>
        <w:bottom w:val="none" w:sz="0" w:space="0" w:color="auto"/>
        <w:right w:val="none" w:sz="0" w:space="0" w:color="auto"/>
      </w:divBdr>
    </w:div>
    <w:div w:id="1217667582">
      <w:bodyDiv w:val="1"/>
      <w:marLeft w:val="0"/>
      <w:marRight w:val="0"/>
      <w:marTop w:val="0"/>
      <w:marBottom w:val="0"/>
      <w:divBdr>
        <w:top w:val="none" w:sz="0" w:space="0" w:color="auto"/>
        <w:left w:val="none" w:sz="0" w:space="0" w:color="auto"/>
        <w:bottom w:val="none" w:sz="0" w:space="0" w:color="auto"/>
        <w:right w:val="none" w:sz="0" w:space="0" w:color="auto"/>
      </w:divBdr>
    </w:div>
    <w:div w:id="1227104370">
      <w:bodyDiv w:val="1"/>
      <w:marLeft w:val="0"/>
      <w:marRight w:val="0"/>
      <w:marTop w:val="0"/>
      <w:marBottom w:val="0"/>
      <w:divBdr>
        <w:top w:val="none" w:sz="0" w:space="0" w:color="auto"/>
        <w:left w:val="none" w:sz="0" w:space="0" w:color="auto"/>
        <w:bottom w:val="none" w:sz="0" w:space="0" w:color="auto"/>
        <w:right w:val="none" w:sz="0" w:space="0" w:color="auto"/>
      </w:divBdr>
    </w:div>
    <w:div w:id="1233155105">
      <w:bodyDiv w:val="1"/>
      <w:marLeft w:val="0"/>
      <w:marRight w:val="0"/>
      <w:marTop w:val="0"/>
      <w:marBottom w:val="0"/>
      <w:divBdr>
        <w:top w:val="none" w:sz="0" w:space="0" w:color="auto"/>
        <w:left w:val="none" w:sz="0" w:space="0" w:color="auto"/>
        <w:bottom w:val="none" w:sz="0" w:space="0" w:color="auto"/>
        <w:right w:val="none" w:sz="0" w:space="0" w:color="auto"/>
      </w:divBdr>
    </w:div>
    <w:div w:id="1311010371">
      <w:bodyDiv w:val="1"/>
      <w:marLeft w:val="0"/>
      <w:marRight w:val="0"/>
      <w:marTop w:val="0"/>
      <w:marBottom w:val="0"/>
      <w:divBdr>
        <w:top w:val="none" w:sz="0" w:space="0" w:color="auto"/>
        <w:left w:val="none" w:sz="0" w:space="0" w:color="auto"/>
        <w:bottom w:val="none" w:sz="0" w:space="0" w:color="auto"/>
        <w:right w:val="none" w:sz="0" w:space="0" w:color="auto"/>
      </w:divBdr>
    </w:div>
    <w:div w:id="1325934928">
      <w:bodyDiv w:val="1"/>
      <w:marLeft w:val="0"/>
      <w:marRight w:val="0"/>
      <w:marTop w:val="0"/>
      <w:marBottom w:val="0"/>
      <w:divBdr>
        <w:top w:val="none" w:sz="0" w:space="0" w:color="auto"/>
        <w:left w:val="none" w:sz="0" w:space="0" w:color="auto"/>
        <w:bottom w:val="none" w:sz="0" w:space="0" w:color="auto"/>
        <w:right w:val="none" w:sz="0" w:space="0" w:color="auto"/>
      </w:divBdr>
    </w:div>
    <w:div w:id="1414202725">
      <w:bodyDiv w:val="1"/>
      <w:marLeft w:val="0"/>
      <w:marRight w:val="0"/>
      <w:marTop w:val="0"/>
      <w:marBottom w:val="0"/>
      <w:divBdr>
        <w:top w:val="none" w:sz="0" w:space="0" w:color="auto"/>
        <w:left w:val="none" w:sz="0" w:space="0" w:color="auto"/>
        <w:bottom w:val="none" w:sz="0" w:space="0" w:color="auto"/>
        <w:right w:val="none" w:sz="0" w:space="0" w:color="auto"/>
      </w:divBdr>
    </w:div>
    <w:div w:id="1420713642">
      <w:bodyDiv w:val="1"/>
      <w:marLeft w:val="0"/>
      <w:marRight w:val="0"/>
      <w:marTop w:val="0"/>
      <w:marBottom w:val="0"/>
      <w:divBdr>
        <w:top w:val="none" w:sz="0" w:space="0" w:color="auto"/>
        <w:left w:val="none" w:sz="0" w:space="0" w:color="auto"/>
        <w:bottom w:val="none" w:sz="0" w:space="0" w:color="auto"/>
        <w:right w:val="none" w:sz="0" w:space="0" w:color="auto"/>
      </w:divBdr>
    </w:div>
    <w:div w:id="1479879867">
      <w:bodyDiv w:val="1"/>
      <w:marLeft w:val="0"/>
      <w:marRight w:val="0"/>
      <w:marTop w:val="0"/>
      <w:marBottom w:val="0"/>
      <w:divBdr>
        <w:top w:val="none" w:sz="0" w:space="0" w:color="auto"/>
        <w:left w:val="none" w:sz="0" w:space="0" w:color="auto"/>
        <w:bottom w:val="none" w:sz="0" w:space="0" w:color="auto"/>
        <w:right w:val="none" w:sz="0" w:space="0" w:color="auto"/>
      </w:divBdr>
    </w:div>
    <w:div w:id="1494253434">
      <w:bodyDiv w:val="1"/>
      <w:marLeft w:val="0"/>
      <w:marRight w:val="0"/>
      <w:marTop w:val="0"/>
      <w:marBottom w:val="0"/>
      <w:divBdr>
        <w:top w:val="none" w:sz="0" w:space="0" w:color="auto"/>
        <w:left w:val="none" w:sz="0" w:space="0" w:color="auto"/>
        <w:bottom w:val="none" w:sz="0" w:space="0" w:color="auto"/>
        <w:right w:val="none" w:sz="0" w:space="0" w:color="auto"/>
      </w:divBdr>
    </w:div>
    <w:div w:id="1509448060">
      <w:bodyDiv w:val="1"/>
      <w:marLeft w:val="0"/>
      <w:marRight w:val="0"/>
      <w:marTop w:val="0"/>
      <w:marBottom w:val="0"/>
      <w:divBdr>
        <w:top w:val="none" w:sz="0" w:space="0" w:color="auto"/>
        <w:left w:val="none" w:sz="0" w:space="0" w:color="auto"/>
        <w:bottom w:val="none" w:sz="0" w:space="0" w:color="auto"/>
        <w:right w:val="none" w:sz="0" w:space="0" w:color="auto"/>
      </w:divBdr>
    </w:div>
    <w:div w:id="1551764294">
      <w:bodyDiv w:val="1"/>
      <w:marLeft w:val="0"/>
      <w:marRight w:val="0"/>
      <w:marTop w:val="0"/>
      <w:marBottom w:val="0"/>
      <w:divBdr>
        <w:top w:val="none" w:sz="0" w:space="0" w:color="auto"/>
        <w:left w:val="none" w:sz="0" w:space="0" w:color="auto"/>
        <w:bottom w:val="none" w:sz="0" w:space="0" w:color="auto"/>
        <w:right w:val="none" w:sz="0" w:space="0" w:color="auto"/>
      </w:divBdr>
    </w:div>
    <w:div w:id="1551916626">
      <w:bodyDiv w:val="1"/>
      <w:marLeft w:val="0"/>
      <w:marRight w:val="0"/>
      <w:marTop w:val="0"/>
      <w:marBottom w:val="0"/>
      <w:divBdr>
        <w:top w:val="none" w:sz="0" w:space="0" w:color="auto"/>
        <w:left w:val="none" w:sz="0" w:space="0" w:color="auto"/>
        <w:bottom w:val="none" w:sz="0" w:space="0" w:color="auto"/>
        <w:right w:val="none" w:sz="0" w:space="0" w:color="auto"/>
      </w:divBdr>
    </w:div>
    <w:div w:id="1570382615">
      <w:bodyDiv w:val="1"/>
      <w:marLeft w:val="0"/>
      <w:marRight w:val="0"/>
      <w:marTop w:val="0"/>
      <w:marBottom w:val="0"/>
      <w:divBdr>
        <w:top w:val="none" w:sz="0" w:space="0" w:color="auto"/>
        <w:left w:val="none" w:sz="0" w:space="0" w:color="auto"/>
        <w:bottom w:val="none" w:sz="0" w:space="0" w:color="auto"/>
        <w:right w:val="none" w:sz="0" w:space="0" w:color="auto"/>
      </w:divBdr>
    </w:div>
    <w:div w:id="1582526714">
      <w:bodyDiv w:val="1"/>
      <w:marLeft w:val="0"/>
      <w:marRight w:val="0"/>
      <w:marTop w:val="0"/>
      <w:marBottom w:val="0"/>
      <w:divBdr>
        <w:top w:val="none" w:sz="0" w:space="0" w:color="auto"/>
        <w:left w:val="none" w:sz="0" w:space="0" w:color="auto"/>
        <w:bottom w:val="none" w:sz="0" w:space="0" w:color="auto"/>
        <w:right w:val="none" w:sz="0" w:space="0" w:color="auto"/>
      </w:divBdr>
    </w:div>
    <w:div w:id="1602689320">
      <w:bodyDiv w:val="1"/>
      <w:marLeft w:val="0"/>
      <w:marRight w:val="0"/>
      <w:marTop w:val="0"/>
      <w:marBottom w:val="0"/>
      <w:divBdr>
        <w:top w:val="none" w:sz="0" w:space="0" w:color="auto"/>
        <w:left w:val="none" w:sz="0" w:space="0" w:color="auto"/>
        <w:bottom w:val="none" w:sz="0" w:space="0" w:color="auto"/>
        <w:right w:val="none" w:sz="0" w:space="0" w:color="auto"/>
      </w:divBdr>
    </w:div>
    <w:div w:id="1672173739">
      <w:bodyDiv w:val="1"/>
      <w:marLeft w:val="0"/>
      <w:marRight w:val="0"/>
      <w:marTop w:val="0"/>
      <w:marBottom w:val="0"/>
      <w:divBdr>
        <w:top w:val="none" w:sz="0" w:space="0" w:color="auto"/>
        <w:left w:val="none" w:sz="0" w:space="0" w:color="auto"/>
        <w:bottom w:val="none" w:sz="0" w:space="0" w:color="auto"/>
        <w:right w:val="none" w:sz="0" w:space="0" w:color="auto"/>
      </w:divBdr>
    </w:div>
    <w:div w:id="1772164564">
      <w:bodyDiv w:val="1"/>
      <w:marLeft w:val="0"/>
      <w:marRight w:val="0"/>
      <w:marTop w:val="0"/>
      <w:marBottom w:val="0"/>
      <w:divBdr>
        <w:top w:val="none" w:sz="0" w:space="0" w:color="auto"/>
        <w:left w:val="none" w:sz="0" w:space="0" w:color="auto"/>
        <w:bottom w:val="none" w:sz="0" w:space="0" w:color="auto"/>
        <w:right w:val="none" w:sz="0" w:space="0" w:color="auto"/>
      </w:divBdr>
    </w:div>
    <w:div w:id="1788811197">
      <w:bodyDiv w:val="1"/>
      <w:marLeft w:val="0"/>
      <w:marRight w:val="0"/>
      <w:marTop w:val="0"/>
      <w:marBottom w:val="0"/>
      <w:divBdr>
        <w:top w:val="none" w:sz="0" w:space="0" w:color="auto"/>
        <w:left w:val="none" w:sz="0" w:space="0" w:color="auto"/>
        <w:bottom w:val="none" w:sz="0" w:space="0" w:color="auto"/>
        <w:right w:val="none" w:sz="0" w:space="0" w:color="auto"/>
      </w:divBdr>
    </w:div>
    <w:div w:id="1817529400">
      <w:bodyDiv w:val="1"/>
      <w:marLeft w:val="0"/>
      <w:marRight w:val="0"/>
      <w:marTop w:val="0"/>
      <w:marBottom w:val="0"/>
      <w:divBdr>
        <w:top w:val="none" w:sz="0" w:space="0" w:color="auto"/>
        <w:left w:val="none" w:sz="0" w:space="0" w:color="auto"/>
        <w:bottom w:val="none" w:sz="0" w:space="0" w:color="auto"/>
        <w:right w:val="none" w:sz="0" w:space="0" w:color="auto"/>
      </w:divBdr>
    </w:div>
    <w:div w:id="1867714503">
      <w:bodyDiv w:val="1"/>
      <w:marLeft w:val="0"/>
      <w:marRight w:val="0"/>
      <w:marTop w:val="0"/>
      <w:marBottom w:val="0"/>
      <w:divBdr>
        <w:top w:val="none" w:sz="0" w:space="0" w:color="auto"/>
        <w:left w:val="none" w:sz="0" w:space="0" w:color="auto"/>
        <w:bottom w:val="none" w:sz="0" w:space="0" w:color="auto"/>
        <w:right w:val="none" w:sz="0" w:space="0" w:color="auto"/>
      </w:divBdr>
    </w:div>
    <w:div w:id="1873882755">
      <w:bodyDiv w:val="1"/>
      <w:marLeft w:val="0"/>
      <w:marRight w:val="0"/>
      <w:marTop w:val="0"/>
      <w:marBottom w:val="0"/>
      <w:divBdr>
        <w:top w:val="none" w:sz="0" w:space="0" w:color="auto"/>
        <w:left w:val="none" w:sz="0" w:space="0" w:color="auto"/>
        <w:bottom w:val="none" w:sz="0" w:space="0" w:color="auto"/>
        <w:right w:val="none" w:sz="0" w:space="0" w:color="auto"/>
      </w:divBdr>
    </w:div>
    <w:div w:id="1902331130">
      <w:bodyDiv w:val="1"/>
      <w:marLeft w:val="0"/>
      <w:marRight w:val="0"/>
      <w:marTop w:val="0"/>
      <w:marBottom w:val="0"/>
      <w:divBdr>
        <w:top w:val="none" w:sz="0" w:space="0" w:color="auto"/>
        <w:left w:val="none" w:sz="0" w:space="0" w:color="auto"/>
        <w:bottom w:val="none" w:sz="0" w:space="0" w:color="auto"/>
        <w:right w:val="none" w:sz="0" w:space="0" w:color="auto"/>
      </w:divBdr>
    </w:div>
    <w:div w:id="1956905995">
      <w:bodyDiv w:val="1"/>
      <w:marLeft w:val="0"/>
      <w:marRight w:val="0"/>
      <w:marTop w:val="0"/>
      <w:marBottom w:val="0"/>
      <w:divBdr>
        <w:top w:val="none" w:sz="0" w:space="0" w:color="auto"/>
        <w:left w:val="none" w:sz="0" w:space="0" w:color="auto"/>
        <w:bottom w:val="none" w:sz="0" w:space="0" w:color="auto"/>
        <w:right w:val="none" w:sz="0" w:space="0" w:color="auto"/>
      </w:divBdr>
    </w:div>
    <w:div w:id="1960646007">
      <w:bodyDiv w:val="1"/>
      <w:marLeft w:val="0"/>
      <w:marRight w:val="0"/>
      <w:marTop w:val="0"/>
      <w:marBottom w:val="0"/>
      <w:divBdr>
        <w:top w:val="none" w:sz="0" w:space="0" w:color="auto"/>
        <w:left w:val="none" w:sz="0" w:space="0" w:color="auto"/>
        <w:bottom w:val="none" w:sz="0" w:space="0" w:color="auto"/>
        <w:right w:val="none" w:sz="0" w:space="0" w:color="auto"/>
      </w:divBdr>
    </w:div>
    <w:div w:id="1966812937">
      <w:bodyDiv w:val="1"/>
      <w:marLeft w:val="0"/>
      <w:marRight w:val="0"/>
      <w:marTop w:val="0"/>
      <w:marBottom w:val="0"/>
      <w:divBdr>
        <w:top w:val="none" w:sz="0" w:space="0" w:color="auto"/>
        <w:left w:val="none" w:sz="0" w:space="0" w:color="auto"/>
        <w:bottom w:val="none" w:sz="0" w:space="0" w:color="auto"/>
        <w:right w:val="none" w:sz="0" w:space="0" w:color="auto"/>
      </w:divBdr>
    </w:div>
    <w:div w:id="2049524391">
      <w:bodyDiv w:val="1"/>
      <w:marLeft w:val="0"/>
      <w:marRight w:val="0"/>
      <w:marTop w:val="0"/>
      <w:marBottom w:val="0"/>
      <w:divBdr>
        <w:top w:val="none" w:sz="0" w:space="0" w:color="auto"/>
        <w:left w:val="none" w:sz="0" w:space="0" w:color="auto"/>
        <w:bottom w:val="none" w:sz="0" w:space="0" w:color="auto"/>
        <w:right w:val="none" w:sz="0" w:space="0" w:color="auto"/>
      </w:divBdr>
    </w:div>
    <w:div w:id="2091651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5" Type="http://schemas.openxmlformats.org/officeDocument/2006/relationships/hyperlink" Target="https://single-market-economy.ec.europa.eu/publications/commission-recommendation-recognition-qualifications-third-country-nationals_en"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hyperlink" Target="https://ec.europa.eu/social/main.jsp?catId=1045&amp;langId=fr"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emf"/><Relationship Id="rId23" Type="http://schemas.openxmlformats.org/officeDocument/2006/relationships/image" Target="media/image2.png"/><Relationship Id="rId28" Type="http://schemas.openxmlformats.org/officeDocument/2006/relationships/footer" Target="footer4.xml"/><Relationship Id="rId10" Type="http://schemas.openxmlformats.org/officeDocument/2006/relationships/styles" Target="styles.xml"/><Relationship Id="rId19" Type="http://schemas.openxmlformats.org/officeDocument/2006/relationships/footer" Target="footer2.xml"/><Relationship Id="rId3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chart" Target="charts/chart1.xml"/><Relationship Id="rId27" Type="http://schemas.openxmlformats.org/officeDocument/2006/relationships/header" Target="header5.xml"/><Relationship Id="rId30"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www.eurofound.europa.eu/fr/surveys/enquetes-europeennes-sur-les-conditions-de-travail-ewcs" TargetMode="External"/><Relationship Id="rId13" Type="http://schemas.openxmlformats.org/officeDocument/2006/relationships/hyperlink" Target="https://commission.europa.eu/strategy-and-policy/eu-budget/performance-and-reporting/programme-performance-statements/european-social-fund-performance_en" TargetMode="External"/><Relationship Id="rId3" Type="http://schemas.openxmlformats.org/officeDocument/2006/relationships/hyperlink" Target="https://commission.europa.eu/strategy-and-policy/policies/justice-and-fundamental-rights/union-equality_en" TargetMode="External"/><Relationship Id="rId7" Type="http://schemas.openxmlformats.org/officeDocument/2006/relationships/hyperlink" Target="https://www.cedefop.europa.eu/fr/tools/skills-online-vacancies" TargetMode="External"/><Relationship Id="rId12" Type="http://schemas.openxmlformats.org/officeDocument/2006/relationships/hyperlink" Target="https://oeil.secure.europarl.europa.eu/oeil/popups/ficheprocedure.do?lang=fr&amp;reference=2021/2165(INI)" TargetMode="External"/><Relationship Id="rId2" Type="http://schemas.openxmlformats.org/officeDocument/2006/relationships/hyperlink" Target="https://op.europa.eu/en/publication-detail/-/publication/d714587c-88ef-11ee-99ba-01aa75ed71a1/language-en/format-PDF/source-297004504" TargetMode="External"/><Relationship Id="rId1" Type="http://schemas.openxmlformats.org/officeDocument/2006/relationships/hyperlink" Target="https://ec.europa.eu/social/main.jsp?catId=1632&amp;langId=en" TargetMode="External"/><Relationship Id="rId6" Type="http://schemas.openxmlformats.org/officeDocument/2006/relationships/hyperlink" Target="https://ec.europa.eu/newsroom/estat_tss/newsletter-archives/47243" TargetMode="External"/><Relationship Id="rId11" Type="http://schemas.openxmlformats.org/officeDocument/2006/relationships/hyperlink" Target="https://commission.europa.eu/strategy-documents/commission-work-programme/commission-work-programme-2024_fr" TargetMode="External"/><Relationship Id="rId5" Type="http://schemas.openxmlformats.org/officeDocument/2006/relationships/hyperlink" Target="https://ec.europa.eu/eurostat/statistics-explained/index.php?title=Job_vacancy_statistics" TargetMode="External"/><Relationship Id="rId10" Type="http://schemas.openxmlformats.org/officeDocument/2006/relationships/hyperlink" Target="https://oeil.secure.europarl.europa.eu/oeil/popups/ficheprocedure.do?lang=fr&amp;reference=2021/2165(INI)" TargetMode="External"/><Relationship Id="rId4" Type="http://schemas.openxmlformats.org/officeDocument/2006/relationships/hyperlink" Target="https://ec.europa.eu/social/main.jsp?catId=1549&amp;langId=fr" TargetMode="External"/><Relationship Id="rId9" Type="http://schemas.openxmlformats.org/officeDocument/2006/relationships/hyperlink" Target="https://www.eurofound.europa.eu/fr/surveys/enquetes-europeennes-sur-les-conditions-de-travail-ewcs"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cremasa\AppData\Local\CATE\DGT\Dossiers\EMPL\EMPL-2024-00549\EMPL-2024-00549-00-00-FR-SRC-00.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Sheet1!$J$4</c:f>
              <c:strCache>
                <c:ptCount val="1"/>
                <c:pt idx="0">
                  <c:v>Taux d'activité 2021</c:v>
                </c:pt>
              </c:strCache>
            </c:strRef>
          </c:tx>
          <c:spPr>
            <a:solidFill>
              <a:schemeClr val="accent1"/>
            </a:solidFill>
            <a:ln>
              <a:noFill/>
            </a:ln>
            <a:effectLst/>
          </c:spPr>
          <c:invertIfNegative val="0"/>
          <c:cat>
            <c:strRef>
              <c:f>Sheet1!$I$5:$I$7</c:f>
              <c:strCache>
                <c:ptCount val="3"/>
                <c:pt idx="0">
                  <c:v>Femmes</c:v>
                </c:pt>
                <c:pt idx="1">
                  <c:v>Personnes âgées</c:v>
                </c:pt>
                <c:pt idx="2">
                  <c:v>Personnes peu qualifiées</c:v>
                </c:pt>
              </c:strCache>
            </c:strRef>
          </c:cat>
          <c:val>
            <c:numRef>
              <c:f>Sheet1!$J$5:$J$7</c:f>
              <c:numCache>
                <c:formatCode>0%</c:formatCode>
                <c:ptCount val="3"/>
                <c:pt idx="0" formatCode="0.00%">
                  <c:v>0.71899999999999997</c:v>
                </c:pt>
                <c:pt idx="1">
                  <c:v>0.63</c:v>
                </c:pt>
                <c:pt idx="2" formatCode="0.00%">
                  <c:v>0.61299999999999999</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2E25-4882-AD1A-3D17FA15DD18}"/>
            </c:ext>
          </c:extLst>
        </c:ser>
        <c:ser>
          <c:idx val="1"/>
          <c:order val="1"/>
          <c:tx>
            <c:strRef>
              <c:f>Sheet1!$K$4</c:f>
              <c:strCache>
                <c:ptCount val="1"/>
                <c:pt idx="0">
                  <c:v>Taux d'activité cible</c:v>
                </c:pt>
              </c:strCache>
            </c:strRef>
          </c:tx>
          <c:spPr>
            <a:solidFill>
              <a:schemeClr val="accent2"/>
            </a:solidFill>
            <a:ln>
              <a:noFill/>
            </a:ln>
            <a:effectLst/>
          </c:spPr>
          <c:invertIfNegative val="0"/>
          <c:cat>
            <c:strRef>
              <c:f>Sheet1!$I$5:$I$7</c:f>
              <c:strCache>
                <c:ptCount val="3"/>
                <c:pt idx="0">
                  <c:v>Femmes</c:v>
                </c:pt>
                <c:pt idx="1">
                  <c:v>Personnes âgées</c:v>
                </c:pt>
                <c:pt idx="2">
                  <c:v>Personnes peu qualifiées</c:v>
                </c:pt>
              </c:strCache>
            </c:strRef>
          </c:cat>
          <c:val>
            <c:numRef>
              <c:f>Sheet1!$K$5:$K$7</c:f>
              <c:numCache>
                <c:formatCode>0.00%</c:formatCode>
                <c:ptCount val="3"/>
                <c:pt idx="0">
                  <c:v>0.84799999999999998</c:v>
                </c:pt>
                <c:pt idx="1">
                  <c:v>0.82399999999999995</c:v>
                </c:pt>
                <c:pt idx="2">
                  <c:v>0.81100000000000005</c:v>
                </c:pt>
              </c:numCache>
            </c:numRef>
          </c:val>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1-2E25-4882-AD1A-3D17FA15DD18}"/>
            </c:ext>
          </c:extLst>
        </c:ser>
        <c:dLbls>
          <c:showLegendKey val="0"/>
          <c:showVal val="0"/>
          <c:showCatName val="0"/>
          <c:showSerName val="0"/>
          <c:showPercent val="0"/>
          <c:showBubbleSize val="0"/>
        </c:dLbls>
        <c:gapWidth val="219"/>
        <c:axId val="1079540432"/>
        <c:axId val="1943266592"/>
      </c:barChart>
      <c:scatterChart>
        <c:scatterStyle val="lineMarker"/>
        <c:varyColors val="0"/>
        <c:ser>
          <c:idx val="2"/>
          <c:order val="2"/>
          <c:tx>
            <c:strRef>
              <c:f>Sheet1!$L$4</c:f>
              <c:strCache>
                <c:ptCount val="1"/>
                <c:pt idx="0">
                  <c:v>Augmentation de la population active, en millions</c:v>
                </c:pt>
              </c:strCache>
            </c:strRef>
          </c:tx>
          <c:spPr>
            <a:ln w="25400" cap="rnd">
              <a:noFill/>
              <a:round/>
            </a:ln>
            <a:effectLst/>
          </c:spPr>
          <c:marker>
            <c:symbol val="circle"/>
            <c:size val="5"/>
            <c:spPr>
              <a:solidFill>
                <a:schemeClr val="accent3"/>
              </a:solidFill>
              <a:ln w="47625">
                <a:solidFill>
                  <a:schemeClr val="tx1"/>
                </a:solidFill>
              </a:ln>
              <a:effectLst/>
            </c:spPr>
          </c:marker>
          <c:xVal>
            <c:strRef>
              <c:f>Sheet1!$I$5:$I$7</c:f>
              <c:strCache>
                <c:ptCount val="3"/>
                <c:pt idx="0">
                  <c:v>Femmes</c:v>
                </c:pt>
                <c:pt idx="1">
                  <c:v>Personnes âgées</c:v>
                </c:pt>
                <c:pt idx="2">
                  <c:v>Personnes peu qualifiées</c:v>
                </c:pt>
              </c:strCache>
            </c:strRef>
          </c:xVal>
          <c:yVal>
            <c:numRef>
              <c:f>Sheet1!$L$5:$L$7</c:f>
              <c:numCache>
                <c:formatCode>#,##0</c:formatCode>
                <c:ptCount val="3"/>
                <c:pt idx="0">
                  <c:v>17.317184000000001</c:v>
                </c:pt>
                <c:pt idx="1">
                  <c:v>11.179536000000001</c:v>
                </c:pt>
                <c:pt idx="2">
                  <c:v>7.8474240000000002</c:v>
                </c:pt>
              </c:numCache>
            </c:numRef>
          </c:yVal>
          <c:smooth val="0"/>
          <c:extLs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2-2E25-4882-AD1A-3D17FA15DD18}"/>
            </c:ext>
          </c:extLst>
        </c:ser>
        <c:dLbls>
          <c:showLegendKey val="0"/>
          <c:showVal val="0"/>
          <c:showCatName val="0"/>
          <c:showSerName val="0"/>
          <c:showPercent val="0"/>
          <c:showBubbleSize val="0"/>
        </c:dLbls>
        <c:axId val="1101205920"/>
        <c:axId val="1091416320"/>
      </c:scatterChart>
      <c:catAx>
        <c:axId val="10795404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943266592"/>
        <c:crosses val="autoZero"/>
        <c:auto val="1"/>
        <c:lblAlgn val="ctr"/>
        <c:lblOffset val="100"/>
        <c:noMultiLvlLbl val="0"/>
      </c:catAx>
      <c:valAx>
        <c:axId val="194326659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solidFill>
              <a:schemeClr val="tx1">
                <a:alpha val="99000"/>
              </a:schemeClr>
            </a:solid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9540432"/>
        <c:crosses val="autoZero"/>
        <c:crossBetween val="between"/>
      </c:valAx>
      <c:valAx>
        <c:axId val="1091416320"/>
        <c:scaling>
          <c:orientation val="minMax"/>
        </c:scaling>
        <c:delete val="0"/>
        <c:axPos val="r"/>
        <c:numFmt formatCode="0" sourceLinked="0"/>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01205920"/>
        <c:crosses val="max"/>
        <c:crossBetween val="midCat"/>
      </c:valAx>
      <c:valAx>
        <c:axId val="1101205920"/>
        <c:scaling>
          <c:orientation val="minMax"/>
        </c:scaling>
        <c:delete val="1"/>
        <c:axPos val="b"/>
        <c:numFmt formatCode="General" sourceLinked="1"/>
        <c:majorTickMark val="out"/>
        <c:minorTickMark val="none"/>
        <c:tickLblPos val="nextTo"/>
        <c:crossAx val="1091416320"/>
        <c:crosses val="autoZero"/>
        <c:crossBetween val="midCat"/>
      </c:valAx>
      <c:spPr>
        <a:noFill/>
        <a:ln>
          <a:noFill/>
        </a:ln>
        <a:effectLst/>
      </c:spPr>
    </c:plotArea>
    <c:legend>
      <c:legendPos val="b"/>
      <c:layout>
        <c:manualLayout>
          <c:xMode val="edge"/>
          <c:yMode val="edge"/>
          <c:x val="7.1211942257217858E-2"/>
          <c:y val="0.83738261883931175"/>
          <c:w val="0.85757611548556434"/>
          <c:h val="0.13483960338291046"/>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4974593FF89B74189D2FB1E3E459C18" ma:contentTypeVersion="4" ma:contentTypeDescription="Create a new document." ma:contentTypeScope="" ma:versionID="4876e7234f6df9c8dd3863258efec80f">
  <xsd:schema xmlns:xsd="http://www.w3.org/2001/XMLSchema" xmlns:xs="http://www.w3.org/2001/XMLSchema" xmlns:p="http://schemas.microsoft.com/office/2006/metadata/properties" xmlns:ns2="a94e2606-67d3-479b-bb64-e7d9251b8ee1" targetNamespace="http://schemas.microsoft.com/office/2006/metadata/properties" ma:root="true" ma:fieldsID="fac7d28a281d8cd6b70c96e93ab0c0a8" ns2:_="">
    <xsd:import namespace="a94e2606-67d3-479b-bb64-e7d9251b8ee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4e2606-67d3-479b-bb64-e7d9251b8e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EurolookProperties>
  <ProductCustomizationId>EC</ProductCustomizationId>
  <Created>
    <Version>10.0.45336.0</Version>
    <Date>2023-11-27T09:53:57</Date>
    <Language>EN</Language>
    <Note/>
  </Created>
  <Edited>
    <Version/>
    <Date/>
  </Edited>
  <DocumentModel>
    <Id>0b054141-88b1-4efb-8c91-2905cb0bed6c</Id>
    <Name>Note</Name>
  </DocumentModel>
  <CustomTemplate>
    <Id/>
    <Name/>
  </CustomTemplate>
  <DocumentDate>2023-11-27T09:53:57</DocumentDate>
  <DocumentVersion>0.1</DocumentVersion>
  <CompatibilityMode>Eurolook10</CompatibilityMode>
  <DocumentMetadata>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EC_SecurityReleasability MetadataSerializationType="SimpleValue"/>
    <EC_SecurityDateMarkingEvent MetadataSerializationType="SimpleValue"/>
    <EC_SecurityDistributionWorkingGroup MetadataSerializationType="SimpleValue"/>
    <EC_SecurityDateMarking MetadataSerializationType="SimpleValue"/>
  </DocumentMetadata>
</EurolookProperties>
</file>

<file path=customXml/item4.xml><?xml version="1.0" encoding="utf-8"?>
<Author AuthorRoleName="Writer" AuthorRoleId="a4fbaff4-b07c-48b4-a21e-e7b9eedf3796">
  <Id>74c0ffe2-69e1-4365-8b2d-77711011af40</Id>
  <Names>
    <Latin>
      <FirstName>Anita</FirstName>
      <LastName>HALASZ</LastName>
    </Latin>
    <Greek>
      <FirstName/>
      <LastName/>
    </Greek>
    <Cyrillic>
      <FirstName/>
      <LastName/>
    </Cyrillic>
    <DocumentScript>
      <FirstName>Anita</FirstName>
      <LastName>HALASZ</LastName>
      <FullName>Anita HALASZ</FullName>
    </DocumentScript>
  </Names>
  <Initials>AH</Initials>
  <Gender>f</Gender>
  <Email>Anita.HALASZ@ec.europa.eu</Email>
  <Service>EMPL.F.2</Service>
  <Function ADCode="" ShowInSignature="true" ShowInHeader="false" HeaderText=""/>
  <WebAddress/>
  <FunctionalMailbox/>
  <InheritedWebAddress>http://europa.eu</InheritedWebAddress>
  <OrgaEntity1>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1>
  <OrgaEntity2>
    <Id>58690696-0b7a-4e83-aff4-b5ca572fac5a</Id>
    <LogicalLevel>2</LogicalLevel>
    <Name>EMPL.F</Name>
    <HeadLine1>Employment and Social Governance, Analysis</HeadLine1>
    <HeadLine2/>
    <PrimaryAddressId>f03b5801-04c9-4931-aa17-c6d6c70bc579</PrimaryAddressId>
    <SecondaryAddressId/>
    <WebAddress/>
    <InheritedWebAddress>http://europa.eu</InheritedWebAddress>
    <ShowInHeader>true</ShowInHeader>
  </OrgaEntity2>
  <OrgaEntity3>
    <Id>42f2c3f9-0ec7-4843-ad54-2ca9f065b9fe</Id>
    <LogicalLevel>3</LogicalLevel>
    <Name>EMPL.F.2</Name>
    <HeadLine1>Labour Market and Wages, EUROFOUND</HeadLine1>
    <HeadLine2/>
    <PrimaryAddressId>f03b5801-04c9-4931-aa17-c6d6c70bc579</PrimaryAddressId>
    <SecondaryAddressId/>
    <WebAddress/>
    <InheritedWebAddress>http://europa.eu</InheritedWebAddress>
    <ShowInHeader>true</ShowInHeader>
  </OrgaEntity3>
  <Hierarchy>
    <OrgaEntity>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
    <OrgaEntity>
      <Id>58690696-0b7a-4e83-aff4-b5ca572fac5a</Id>
      <LogicalLevel>2</LogicalLevel>
      <Name>EMPL.F</Name>
      <HeadLine1>Employment and Social Governance, Analysis</HeadLine1>
      <HeadLine2/>
      <PrimaryAddressId>f03b5801-04c9-4931-aa17-c6d6c70bc579</PrimaryAddressId>
      <SecondaryAddressId/>
      <WebAddress/>
      <InheritedWebAddress>http://europa.eu</InheritedWebAddress>
      <ShowInHeader>true</ShowInHeader>
    </OrgaEntity>
    <OrgaEntity>
      <Id>42f2c3f9-0ec7-4843-ad54-2ca9f065b9fe</Id>
      <LogicalLevel>3</LogicalLevel>
      <Name>EMPL.F.2</Name>
      <HeadLine1>Labour Market and Wages, EUROFOUND</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+32 229-56361</Phone>
    <Office>J-27 04/029</Office>
  </MainWorkplace>
  <Workplaces>
    <Workplace IsMain="true">
      <AddressId>f03b5801-04c9-4931-aa17-c6d6c70bc579</AddressId>
      <Fax/>
      <Phone>+32 229-56361</Phone>
      <Office>J-27 04/029</Office>
    </Workplace>
  </Workplaces>
</Author>
</file>

<file path=customXml/item5.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LabelFormattedTableSeqEC>Table {field: SEQ Table \* ARABIC }: </LabelFormattedTableSeqEC>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"https://myintracomm.ec.europa.eu/corp/security/EN/newDS3/SensitiveInformation/Pages/SPECIAL-HANDLING-INFORMATION-Pharma-investigations.aspx?ln=en" |https://myintracomm.ec.europa.eu/corp/security/EN/newDS3/SensitiveInformation/Pages/SPECIAL-HANDLING-INFORMATION-Pharma-investigations.aspx?ln=en}</PharmaSpecialHandlingHyperlink>
  <SpecialHandlingLabel>Special Handling</SpecialHandlingLabel>
  <TOCHeading>Table of Contents</TOCHeading>
  <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LabelPictureSeq>Figure {SEQ Figure \* ARABIC }: </LabelPictureSeq>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"https://myintracomm.ec.europa.eu/corp/security/EN/newDS3/SensitiveInformation/Pages/SPECIAL-HANDLING-INFORMATION-DG-COMP.aspx?ln=en" |https://myintracomm.ec.europa.eu/corp/security/EN/newDS3/SensitiveInformation/Pages/SPECIAL-HANDLING-INFORMATION-DG-COMP.aspx?ln=en}</COMPSpecialHandlingHyperlink>
  <DateFormatShort>dd/MM/yyyy</DateFormatShort>
  <DateFormatLong>d MMMM yyyy</DateFormatLong>
</Texts>
</file>

<file path=customXml/item6.xml><?xml version="1.0" encoding="utf-8"?>
<Author Role="Creator" AuthorRoleName="Signatory" AuthorRoleId="dd422d74-d41f-4095-8cb8-8304a90a6b0c">
  <Id>976de3b2-763f-455c-a1d9-706dc46fb75e</Id>
  <Names>
    <Latin>
      <FirstName>Barbara</FirstName>
      <LastName>KAUFFMANN</LastName>
    </Latin>
    <Greek>
      <FirstName/>
      <LastName/>
    </Greek>
    <Cyrillic>
      <FirstName/>
      <LastName/>
    </Cyrillic>
    <DocumentScript>
      <FirstName>Barbara</FirstName>
      <LastName>KAUFFMANN</LastName>
      <FullName>Barbara KAUFFMANN</FullName>
    </DocumentScript>
  </Names>
  <Initials>BK</Initials>
  <Gender>f</Gender>
  <Email>Barbara.Kauffmann@ec.europa.eu</Email>
  <Service>EMPL.F</Service>
  <Function ADCode="24" ShowInSignature="false" ShowInHeader="true" HeaderText="The Director">Director</Function>
  <WebAddress/>
  <FunctionalMailbox/>
  <InheritedWebAddress>http://europa.eu</InheritedWebAddress>
  <OrgaEntity1>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1>
  <OrgaEntity2>
    <Id>58690696-0b7a-4e83-aff4-b5ca572fac5a</Id>
    <LogicalLevel>2</LogicalLevel>
    <Name>EMPL.F</Name>
    <HeadLine1>Employment and Social Governance, Analysis</HeadLine1>
    <HeadLine2/>
    <PrimaryAddressId>f03b5801-04c9-4931-aa17-c6d6c70bc579</PrimaryAddressId>
    <SecondaryAddressId/>
    <WebAddress/>
    <InheritedWebAddress>http://europa.eu</InheritedWebAddress>
    <ShowInHeader>true</ShowInHeader>
  </OrgaEntity2>
  <OrgaEntity3/>
  <Hierarchy>
    <OrgaEntity>
      <Id>e0fc8cf4-6b96-4efc-961a-68faf02b6604</Id>
      <LogicalLevel>1</LogicalLevel>
      <Name>EMPL</Name>
      <HeadLine1>DIRECTORATE-GENERAL FOR EMPLOYMENT, SOCIAL AFFAIRS AND INCLUSION</HeadLine1>
      <HeadLine2/>
      <PrimaryAddressId>f03b5801-04c9-4931-aa17-c6d6c70bc579</PrimaryAddressId>
      <SecondaryAddressId/>
      <WebAddress/>
      <InheritedWebAddress>http://europa.eu</InheritedWebAddress>
      <ShowInHeader>true</ShowInHeader>
    </OrgaEntity>
    <OrgaEntity>
      <Id>58690696-0b7a-4e83-aff4-b5ca572fac5a</Id>
      <LogicalLevel>2</LogicalLevel>
      <Name>EMPL.F</Name>
      <HeadLine1>Employment and Social Governance, Analysis</HeadLine1>
      <HeadLine2/>
      <PrimaryAddressId>f03b5801-04c9-4931-aa17-c6d6c70bc579</PrimaryAddressId>
      <SecondaryAddressId/>
      <WebAddress/>
      <InheritedWebAddress>http://europa.eu</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+32 229-93489</Phone>
    <Office>J-27 05/023</Office>
  </MainWorkplace>
  <Workplaces>
    <Workplace IsMain="true">
      <AddressId>f03b5801-04c9-4931-aa17-c6d6c70bc579</AddressId>
      <Fax/>
      <Phone>+32 229-93489</Phone>
      <Office>J-27 05/023</Office>
    </Workplace>
  </Workplaces>
</Author>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B65C81-1493-4516-97E5-E972C8F619A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6C0F124-8147-4724-89F1-A99406ED16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4e2606-67d3-479b-bb64-e7d9251b8e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8F408FD8-A9DB-4D49-B452-6687532E4AC7}">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2594F8E4-0F12-43B7-90AF-2D1D68C33368}">
  <ds:schemaRefs/>
</ds:datastoreItem>
</file>

<file path=customXml/itemProps7.xml><?xml version="1.0" encoding="utf-8"?>
<ds:datastoreItem xmlns:ds="http://schemas.openxmlformats.org/officeDocument/2006/customXml" ds:itemID="{FFB4120E-A1ED-4008-B1E4-D310B34371D4}">
  <ds:schemaRefs>
    <ds:schemaRef ds:uri="http://schemas.microsoft.com/sharepoint/v3/contenttype/forms"/>
  </ds:schemaRefs>
</ds:datastoreItem>
</file>

<file path=customXml/itemProps8.xml><?xml version="1.0" encoding="utf-8"?>
<ds:datastoreItem xmlns:ds="http://schemas.openxmlformats.org/officeDocument/2006/customXml" ds:itemID="{AD447D4C-39DE-4628-9983-6AC25059D1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9</Pages>
  <Words>15704</Words>
  <Characters>89519</Characters>
  <Application>Microsoft Office Word</Application>
  <DocSecurity>0</DocSecurity>
  <PresentationFormat>Microsoft Word 14.0</PresentationFormat>
  <Lines>745</Lines>
  <Paragraphs>210</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105013</CharactersWithSpaces>
  <SharedDoc>false</SharedDoc>
  <HLinks>
    <vt:vector size="90" baseType="variant">
      <vt:variant>
        <vt:i4>7667792</vt:i4>
      </vt:variant>
      <vt:variant>
        <vt:i4>9</vt:i4>
      </vt:variant>
      <vt:variant>
        <vt:i4>0</vt:i4>
      </vt:variant>
      <vt:variant>
        <vt:i4>5</vt:i4>
      </vt:variant>
      <vt:variant>
        <vt:lpwstr>https://single-market-economy.ec.europa.eu/publications/commission-recommendation-recognition-qualifications-third-country-nationals_en</vt:lpwstr>
      </vt:variant>
      <vt:variant>
        <vt:lpwstr/>
      </vt:variant>
      <vt:variant>
        <vt:i4>6946825</vt:i4>
      </vt:variant>
      <vt:variant>
        <vt:i4>6</vt:i4>
      </vt:variant>
      <vt:variant>
        <vt:i4>0</vt:i4>
      </vt:variant>
      <vt:variant>
        <vt:i4>5</vt:i4>
      </vt:variant>
      <vt:variant>
        <vt:lpwstr>https://joint-research-centre.ec.europa.eu/greencomp-european-sustainability-competence-framework_en</vt:lpwstr>
      </vt:variant>
      <vt:variant>
        <vt:lpwstr/>
      </vt:variant>
      <vt:variant>
        <vt:i4>5374032</vt:i4>
      </vt:variant>
      <vt:variant>
        <vt:i4>3</vt:i4>
      </vt:variant>
      <vt:variant>
        <vt:i4>0</vt:i4>
      </vt:variant>
      <vt:variant>
        <vt:i4>5</vt:i4>
      </vt:variant>
      <vt:variant>
        <vt:lpwstr>https://ec.europa.eu/social/main.jsp?catId=1045&amp;langId=en</vt:lpwstr>
      </vt:variant>
      <vt:variant>
        <vt:lpwstr/>
      </vt:variant>
      <vt:variant>
        <vt:i4>1245233</vt:i4>
      </vt:variant>
      <vt:variant>
        <vt:i4>33</vt:i4>
      </vt:variant>
      <vt:variant>
        <vt:i4>0</vt:i4>
      </vt:variant>
      <vt:variant>
        <vt:i4>5</vt:i4>
      </vt:variant>
      <vt:variant>
        <vt:lpwstr>https://commission.europa.eu/strategy-and-policy/eu-budget/performance-and-reporting/programme-performance-statements/european-social-fund-performance_en</vt:lpwstr>
      </vt:variant>
      <vt:variant>
        <vt:lpwstr/>
      </vt:variant>
      <vt:variant>
        <vt:i4>917580</vt:i4>
      </vt:variant>
      <vt:variant>
        <vt:i4>30</vt:i4>
      </vt:variant>
      <vt:variant>
        <vt:i4>0</vt:i4>
      </vt:variant>
      <vt:variant>
        <vt:i4>5</vt:i4>
      </vt:variant>
      <vt:variant>
        <vt:lpwstr>https://oeil.secure.europarl.europa.eu/oeil/popups/ficheprocedure.do?lang=en&amp;reference=2021/2165(INI)</vt:lpwstr>
      </vt:variant>
      <vt:variant>
        <vt:lpwstr/>
      </vt:variant>
      <vt:variant>
        <vt:i4>2293765</vt:i4>
      </vt:variant>
      <vt:variant>
        <vt:i4>27</vt:i4>
      </vt:variant>
      <vt:variant>
        <vt:i4>0</vt:i4>
      </vt:variant>
      <vt:variant>
        <vt:i4>5</vt:i4>
      </vt:variant>
      <vt:variant>
        <vt:lpwstr>https://commission.europa.eu/strategy-documents/commission-work-programme/commission-work-programme-2024_en</vt:lpwstr>
      </vt:variant>
      <vt:variant>
        <vt:lpwstr/>
      </vt:variant>
      <vt:variant>
        <vt:i4>917580</vt:i4>
      </vt:variant>
      <vt:variant>
        <vt:i4>21</vt:i4>
      </vt:variant>
      <vt:variant>
        <vt:i4>0</vt:i4>
      </vt:variant>
      <vt:variant>
        <vt:i4>5</vt:i4>
      </vt:variant>
      <vt:variant>
        <vt:lpwstr>https://oeil.secure.europarl.europa.eu/oeil/popups/ficheprocedure.do?lang=en&amp;reference=2021/2165(INI)</vt:lpwstr>
      </vt:variant>
      <vt:variant>
        <vt:lpwstr/>
      </vt:variant>
      <vt:variant>
        <vt:i4>2818167</vt:i4>
      </vt:variant>
      <vt:variant>
        <vt:i4>18</vt:i4>
      </vt:variant>
      <vt:variant>
        <vt:i4>0</vt:i4>
      </vt:variant>
      <vt:variant>
        <vt:i4>5</vt:i4>
      </vt:variant>
      <vt:variant>
        <vt:lpwstr>https://www.eurofound.europa.eu/en/surveys/european-working-conditions-surveys-ewcs</vt:lpwstr>
      </vt:variant>
      <vt:variant>
        <vt:lpwstr/>
      </vt:variant>
      <vt:variant>
        <vt:i4>2818167</vt:i4>
      </vt:variant>
      <vt:variant>
        <vt:i4>15</vt:i4>
      </vt:variant>
      <vt:variant>
        <vt:i4>0</vt:i4>
      </vt:variant>
      <vt:variant>
        <vt:i4>5</vt:i4>
      </vt:variant>
      <vt:variant>
        <vt:lpwstr>https://www.eurofound.europa.eu/en/surveys/european-working-conditions-surveys-ewcs</vt:lpwstr>
      </vt:variant>
      <vt:variant>
        <vt:lpwstr/>
      </vt:variant>
      <vt:variant>
        <vt:i4>2293788</vt:i4>
      </vt:variant>
      <vt:variant>
        <vt:i4>12</vt:i4>
      </vt:variant>
      <vt:variant>
        <vt:i4>0</vt:i4>
      </vt:variant>
      <vt:variant>
        <vt:i4>5</vt:i4>
      </vt:variant>
      <vt:variant>
        <vt:lpwstr>https://ec.europa.eu/newsroom/estat_tss/newsletter-archives/47243</vt:lpwstr>
      </vt:variant>
      <vt:variant>
        <vt:lpwstr/>
      </vt:variant>
      <vt:variant>
        <vt:i4>8192046</vt:i4>
      </vt:variant>
      <vt:variant>
        <vt:i4>9</vt:i4>
      </vt:variant>
      <vt:variant>
        <vt:i4>0</vt:i4>
      </vt:variant>
      <vt:variant>
        <vt:i4>5</vt:i4>
      </vt:variant>
      <vt:variant>
        <vt:lpwstr>https://ec.europa.eu/eurostat/statistics-explained/index.php?title=Job_vacancy_statistics</vt:lpwstr>
      </vt:variant>
      <vt:variant>
        <vt:lpwstr>Job_vacancies:_online_job_advertisements</vt:lpwstr>
      </vt:variant>
      <vt:variant>
        <vt:i4>8126519</vt:i4>
      </vt:variant>
      <vt:variant>
        <vt:i4>6</vt:i4>
      </vt:variant>
      <vt:variant>
        <vt:i4>0</vt:i4>
      </vt:variant>
      <vt:variant>
        <vt:i4>5</vt:i4>
      </vt:variant>
      <vt:variant>
        <vt:lpwstr>https://ec.europa.eu/social/main.jsp?catId=1549&amp;langId=en.</vt:lpwstr>
      </vt:variant>
      <vt:variant>
        <vt:lpwstr/>
      </vt:variant>
      <vt:variant>
        <vt:i4>1114183</vt:i4>
      </vt:variant>
      <vt:variant>
        <vt:i4>3</vt:i4>
      </vt:variant>
      <vt:variant>
        <vt:i4>0</vt:i4>
      </vt:variant>
      <vt:variant>
        <vt:i4>5</vt:i4>
      </vt:variant>
      <vt:variant>
        <vt:lpwstr>https://op.europa.eu/en/publication-detail/-/publication/d714587c-88ef-11ee-99ba-01aa75ed71a1/language-en/format-PDF/source-297004504</vt:lpwstr>
      </vt:variant>
      <vt:variant>
        <vt:lpwstr/>
      </vt:variant>
      <vt:variant>
        <vt:i4>5570641</vt:i4>
      </vt:variant>
      <vt:variant>
        <vt:i4>0</vt:i4>
      </vt:variant>
      <vt:variant>
        <vt:i4>0</vt:i4>
      </vt:variant>
      <vt:variant>
        <vt:i4>5</vt:i4>
      </vt:variant>
      <vt:variant>
        <vt:lpwstr>https://ec.europa.eu/social/main.jsp?catId=1632&amp;langId=en</vt:lpwstr>
      </vt:variant>
      <vt:variant>
        <vt:lpwstr/>
      </vt:variant>
      <vt:variant>
        <vt:i4>6946825</vt:i4>
      </vt:variant>
      <vt:variant>
        <vt:i4>0</vt:i4>
      </vt:variant>
      <vt:variant>
        <vt:i4>0</vt:i4>
      </vt:variant>
      <vt:variant>
        <vt:i4>5</vt:i4>
      </vt:variant>
      <vt:variant>
        <vt:lpwstr>https://joint-research-centre.ec.europa.eu/greencomp-european-sustainability-competence-framework_en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9</cp:revision>
  <dcterms:created xsi:type="dcterms:W3CDTF">2024-04-26T09:38:00Z</dcterms:created>
  <dcterms:modified xsi:type="dcterms:W3CDTF">2024-04-29T07:16:00Z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2024-03-03T15:26:30Z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b4333b0e-ff6d-4c61-9f95-15938ae9a89d</vt:lpwstr>
  </property>
  <property fmtid="{D5CDD505-2E9C-101B-9397-08002B2CF9AE}" pid="8" name="MSIP_Label_6bd9ddd1-4d20-43f6-abfa-fc3c07406f94_ContentBits">
    <vt:lpwstr>0</vt:lpwstr>
  </property>
  <property fmtid="{D5CDD505-2E9C-101B-9397-08002B2CF9AE}" pid="9" name="ContentTypeId">
    <vt:lpwstr>0x010100E4974593FF89B74189D2FB1E3E459C18</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y fmtid="{D5CDD505-2E9C-101B-9397-08002B2CF9AE}" pid="15" name="Last edited using">
    <vt:lpwstr>LW 9.0, Build 20230317</vt:lpwstr>
  </property>
  <property fmtid="{D5CDD505-2E9C-101B-9397-08002B2CF9AE}" pid="16" name="Created using">
    <vt:lpwstr>LW 9.0, Build 20230317</vt:lpwstr>
  </property>
</Properties>
</file>