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37B6B" w14:textId="2CA57AB5" w:rsidR="00C07C6E" w:rsidRDefault="001C4679" w:rsidP="001C4679">
      <w:pPr>
        <w:pStyle w:val="Pagedecouverture"/>
        <w:rPr>
          <w:noProof/>
        </w:rPr>
      </w:pPr>
      <w:bookmarkStart w:id="0" w:name="LW_BM_COVERPAGE"/>
      <w:r>
        <w:rPr>
          <w:noProof/>
        </w:rPr>
        <w:pict w14:anchorId="16B476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DD4C75-62D1-4437-99AC-F6838F2F587F" style="width:455.25pt;height:365.25pt">
            <v:imagedata r:id="rId8" o:title=""/>
          </v:shape>
        </w:pict>
      </w:r>
    </w:p>
    <w:bookmarkEnd w:id="0"/>
    <w:p w14:paraId="5A428BB7" w14:textId="77777777" w:rsidR="00C07C6E" w:rsidRDefault="00C07C6E">
      <w:pPr>
        <w:jc w:val="center"/>
        <w:rPr>
          <w:noProof/>
        </w:rPr>
        <w:sectPr w:rsidR="00C07C6E" w:rsidSect="001C467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5F6CF23" w14:textId="77777777" w:rsidR="00C07C6E" w:rsidRDefault="0072234F">
      <w:pPr>
        <w:pStyle w:val="ListParagraph"/>
        <w:numPr>
          <w:ilvl w:val="0"/>
          <w:numId w:val="5"/>
        </w:numPr>
        <w:ind w:left="426" w:hanging="426"/>
        <w:rPr>
          <w:rStyle w:val="normaltextrun"/>
          <w:b/>
          <w:noProof/>
          <w:color w:val="000000"/>
        </w:rPr>
      </w:pPr>
      <w:bookmarkStart w:id="1" w:name="_GoBack"/>
      <w:bookmarkEnd w:id="1"/>
      <w:r>
        <w:rPr>
          <w:rStyle w:val="normaltextrun"/>
          <w:b/>
          <w:noProof/>
          <w:color w:val="000000"/>
        </w:rPr>
        <w:lastRenderedPageBreak/>
        <w:t>INTRODUCTION</w:t>
      </w:r>
    </w:p>
    <w:p w14:paraId="28753B85" w14:textId="77777777" w:rsidR="00C07C6E" w:rsidRDefault="00C07C6E">
      <w:pPr>
        <w:pStyle w:val="ListParagraph"/>
        <w:rPr>
          <w:rStyle w:val="normaltextrun"/>
          <w:noProof/>
          <w:color w:val="000000"/>
        </w:rPr>
      </w:pPr>
    </w:p>
    <w:p w14:paraId="347933EF" w14:textId="43B55395" w:rsidR="00C07C6E" w:rsidRDefault="0072234F">
      <w:pPr>
        <w:rPr>
          <w:rFonts w:cs="Times New Roman"/>
          <w:b/>
          <w:noProof/>
          <w:shd w:val="clear" w:color="auto" w:fill="FFFFFF"/>
        </w:rPr>
      </w:pPr>
      <w:r>
        <w:rPr>
          <w:rStyle w:val="normaltextrun"/>
          <w:rFonts w:cs="Times New Roman"/>
          <w:noProof/>
          <w:color w:val="000000"/>
        </w:rPr>
        <w:t>Transforming Europe into a</w:t>
      </w:r>
      <w:r>
        <w:rPr>
          <w:rStyle w:val="normaltextrun"/>
          <w:rFonts w:cs="Times New Roman"/>
          <w:b/>
          <w:noProof/>
          <w:color w:val="000000"/>
        </w:rPr>
        <w:t xml:space="preserve"> clean, resource-efficient,</w:t>
      </w:r>
      <w:r w:rsidRPr="178D0E1D">
        <w:rPr>
          <w:rStyle w:val="normaltextrun"/>
          <w:rFonts w:cs="Times New Roman"/>
          <w:b/>
          <w:bCs/>
          <w:noProof/>
          <w:color w:val="000000"/>
        </w:rPr>
        <w:t xml:space="preserve"> </w:t>
      </w:r>
      <w:r w:rsidR="51528452" w:rsidRPr="65EF1F9A">
        <w:rPr>
          <w:rStyle w:val="normaltextrun"/>
          <w:rFonts w:cs="Times New Roman"/>
          <w:b/>
          <w:noProof/>
          <w:color w:val="000000" w:themeColor="text1"/>
        </w:rPr>
        <w:t>fair</w:t>
      </w:r>
      <w:r w:rsidRPr="00FA377F">
        <w:rPr>
          <w:rStyle w:val="normaltextrun"/>
          <w:b/>
          <w:noProof/>
          <w:color w:val="000000" w:themeColor="text1"/>
        </w:rPr>
        <w:t xml:space="preserve"> </w:t>
      </w:r>
      <w:r>
        <w:rPr>
          <w:rStyle w:val="normaltextrun"/>
          <w:rFonts w:cs="Times New Roman"/>
          <w:b/>
          <w:noProof/>
          <w:color w:val="000000"/>
        </w:rPr>
        <w:t xml:space="preserve">and competitive economy </w:t>
      </w:r>
      <w:r>
        <w:rPr>
          <w:rStyle w:val="normaltextrun"/>
          <w:rFonts w:cs="Times New Roman"/>
          <w:noProof/>
          <w:color w:val="000000"/>
        </w:rPr>
        <w:t xml:space="preserve">was one of the key priorities set out by the Commission at the beginning of the mandate. To reach this goal and turn Europe into the first climate-neutral continent in the world, the Commission presented, in 2019, the European Green Deal. This initiative </w:t>
      </w:r>
      <w:r>
        <w:rPr>
          <w:rFonts w:cs="Times New Roman"/>
          <w:noProof/>
          <w:shd w:val="clear" w:color="auto" w:fill="FFFFFF"/>
        </w:rPr>
        <w:t xml:space="preserve">has been followed by a range of concrete proposals, the majority of which </w:t>
      </w:r>
      <w:r w:rsidR="37737F49" w:rsidRPr="6E8E2FE0">
        <w:rPr>
          <w:rFonts w:cs="Times New Roman"/>
          <w:noProof/>
        </w:rPr>
        <w:t>have</w:t>
      </w:r>
      <w:r w:rsidR="37737F49" w:rsidRPr="00FA377F">
        <w:rPr>
          <w:noProof/>
        </w:rPr>
        <w:t xml:space="preserve"> </w:t>
      </w:r>
      <w:r>
        <w:rPr>
          <w:rFonts w:cs="Times New Roman"/>
          <w:noProof/>
          <w:shd w:val="clear" w:color="auto" w:fill="FFFFFF"/>
        </w:rPr>
        <w:t xml:space="preserve">now been enshrined in law. In </w:t>
      </w:r>
      <w:r w:rsidR="008431E4">
        <w:rPr>
          <w:rFonts w:cs="Times New Roman"/>
          <w:noProof/>
          <w:shd w:val="clear" w:color="auto" w:fill="FFFFFF"/>
        </w:rPr>
        <w:t xml:space="preserve">2023, </w:t>
      </w:r>
      <w:r>
        <w:rPr>
          <w:rFonts w:cs="Times New Roman"/>
          <w:noProof/>
          <w:shd w:val="clear" w:color="auto" w:fill="FFFFFF"/>
        </w:rPr>
        <w:t xml:space="preserve">the Commission followed up with the publication of a Green Deal Industrial Plan. </w:t>
      </w:r>
      <w:r w:rsidR="3867A6E3" w:rsidRPr="57117849">
        <w:rPr>
          <w:rFonts w:cs="Times New Roman"/>
          <w:noProof/>
        </w:rPr>
        <w:t>T</w:t>
      </w:r>
      <w:r>
        <w:rPr>
          <w:rFonts w:cs="Times New Roman"/>
          <w:noProof/>
          <w:shd w:val="clear" w:color="auto" w:fill="FFFFFF"/>
        </w:rPr>
        <w:t xml:space="preserve">he focus must </w:t>
      </w:r>
      <w:r w:rsidR="09A47EF2" w:rsidRPr="57117849">
        <w:rPr>
          <w:rFonts w:cs="Times New Roman"/>
          <w:noProof/>
        </w:rPr>
        <w:t>now</w:t>
      </w:r>
      <w:r w:rsidR="09A47EF2" w:rsidRPr="00FA377F">
        <w:rPr>
          <w:noProof/>
        </w:rPr>
        <w:t xml:space="preserve"> </w:t>
      </w:r>
      <w:r>
        <w:rPr>
          <w:rFonts w:cs="Times New Roman"/>
          <w:b/>
          <w:noProof/>
          <w:shd w:val="clear" w:color="auto" w:fill="FFFFFF"/>
        </w:rPr>
        <w:t xml:space="preserve">shift to </w:t>
      </w:r>
      <w:r w:rsidRPr="00FA377F">
        <w:rPr>
          <w:b/>
          <w:noProof/>
        </w:rPr>
        <w:t>shaping a tailor-made implementation</w:t>
      </w:r>
      <w:r>
        <w:rPr>
          <w:rFonts w:cs="Times New Roman"/>
          <w:b/>
          <w:noProof/>
          <w:shd w:val="clear" w:color="auto" w:fill="FFFFFF"/>
        </w:rPr>
        <w:t xml:space="preserve">. </w:t>
      </w:r>
    </w:p>
    <w:p w14:paraId="28CA30C4" w14:textId="205F8C37" w:rsidR="00C07C6E" w:rsidRDefault="0072234F">
      <w:pPr>
        <w:pStyle w:val="paragraph"/>
        <w:spacing w:before="0" w:beforeAutospacing="0" w:after="240" w:afterAutospacing="0" w:line="275" w:lineRule="auto"/>
        <w:jc w:val="both"/>
        <w:rPr>
          <w:noProof/>
        </w:rPr>
      </w:pPr>
      <w:bookmarkStart w:id="2" w:name="_Hlk162605731"/>
      <w:r>
        <w:rPr>
          <w:b/>
          <w:noProof/>
          <w:shd w:val="clear" w:color="auto" w:fill="FFFFFF"/>
          <w:lang w:val="en-IE"/>
        </w:rPr>
        <w:t>In this context, t</w:t>
      </w:r>
      <w:r>
        <w:rPr>
          <w:b/>
          <w:noProof/>
          <w:shd w:val="clear" w:color="auto" w:fill="FFFFFF"/>
        </w:rPr>
        <w:t xml:space="preserve">he European </w:t>
      </w:r>
      <w:r>
        <w:rPr>
          <w:b/>
          <w:noProof/>
        </w:rPr>
        <w:t xml:space="preserve">Commission is also </w:t>
      </w:r>
      <w:r w:rsidRPr="64F2A5D3">
        <w:rPr>
          <w:b/>
          <w:bCs/>
          <w:noProof/>
        </w:rPr>
        <w:t>strongly</w:t>
      </w:r>
      <w:r>
        <w:rPr>
          <w:b/>
          <w:noProof/>
        </w:rPr>
        <w:t xml:space="preserve"> committed to </w:t>
      </w:r>
      <w:r w:rsidRPr="48A2115B">
        <w:rPr>
          <w:b/>
          <w:bCs/>
          <w:noProof/>
        </w:rPr>
        <w:t>strengthen</w:t>
      </w:r>
      <w:r>
        <w:rPr>
          <w:b/>
          <w:noProof/>
        </w:rPr>
        <w:t xml:space="preserve"> Europe as a business </w:t>
      </w:r>
      <w:r w:rsidR="0078268B">
        <w:rPr>
          <w:b/>
          <w:noProof/>
        </w:rPr>
        <w:t xml:space="preserve">location and </w:t>
      </w:r>
      <w:r>
        <w:rPr>
          <w:b/>
          <w:noProof/>
        </w:rPr>
        <w:t>destination</w:t>
      </w:r>
      <w:bookmarkEnd w:id="2"/>
      <w:r>
        <w:rPr>
          <w:noProof/>
        </w:rPr>
        <w:t xml:space="preserve">, with a strong domestic manufacturing base </w:t>
      </w:r>
      <w:r w:rsidR="1D891615" w:rsidRPr="5A715BC8">
        <w:rPr>
          <w:noProof/>
        </w:rPr>
        <w:t xml:space="preserve">built on </w:t>
      </w:r>
      <w:r>
        <w:rPr>
          <w:noProof/>
        </w:rPr>
        <w:t>diversified supply chains for the strategic commodities</w:t>
      </w:r>
      <w:r w:rsidR="0078268B">
        <w:rPr>
          <w:noProof/>
        </w:rPr>
        <w:t xml:space="preserve"> and inputs</w:t>
      </w:r>
      <w:r>
        <w:rPr>
          <w:noProof/>
        </w:rPr>
        <w:t xml:space="preserve"> </w:t>
      </w:r>
      <w:r w:rsidR="501B1606">
        <w:rPr>
          <w:noProof/>
        </w:rPr>
        <w:t>it requires</w:t>
      </w:r>
      <w:r>
        <w:rPr>
          <w:noProof/>
        </w:rPr>
        <w:t xml:space="preserve">. With the right accompanying policies, Europe’s transition to climate neutrality </w:t>
      </w:r>
      <w:r w:rsidR="00AA793B">
        <w:rPr>
          <w:noProof/>
        </w:rPr>
        <w:t xml:space="preserve">and </w:t>
      </w:r>
      <w:r w:rsidR="00B935CF">
        <w:rPr>
          <w:noProof/>
        </w:rPr>
        <w:t xml:space="preserve">a circular economy </w:t>
      </w:r>
      <w:r>
        <w:rPr>
          <w:noProof/>
        </w:rPr>
        <w:t>creates clean growth, new business models and markets, high quality jobs and technological development. Total net greenhouse gas (GHG) emissions were 32.5% lower in 2022 than in 1990</w:t>
      </w:r>
      <w:r>
        <w:rPr>
          <w:noProof/>
          <w:vertAlign w:val="superscript"/>
        </w:rPr>
        <w:footnoteReference w:id="2"/>
      </w:r>
      <w:r>
        <w:rPr>
          <w:noProof/>
        </w:rPr>
        <w:t xml:space="preserve"> while the economy has grown by 67%</w:t>
      </w:r>
      <w:r>
        <w:rPr>
          <w:noProof/>
          <w:vertAlign w:val="superscript"/>
        </w:rPr>
        <w:footnoteReference w:id="3"/>
      </w:r>
      <w:r w:rsidR="00270B61">
        <w:rPr>
          <w:noProof/>
        </w:rPr>
        <w:t xml:space="preserve"> </w:t>
      </w:r>
      <w:r w:rsidR="00270B61" w:rsidRPr="008431E4">
        <w:rPr>
          <w:noProof/>
        </w:rPr>
        <w:t>and – thanks to the European ETS - over EUR 175 billion in revenues has been generated over the last decade alone</w:t>
      </w:r>
      <w:r w:rsidRPr="008431E4">
        <w:rPr>
          <w:noProof/>
        </w:rPr>
        <w:t>.</w:t>
      </w:r>
      <w:r>
        <w:rPr>
          <w:noProof/>
        </w:rPr>
        <w:t xml:space="preserve"> </w:t>
      </w:r>
      <w:r w:rsidR="00F377E2">
        <w:rPr>
          <w:noProof/>
        </w:rPr>
        <w:t xml:space="preserve">Moving forward, the EU will need to mobilise investments and generate significant </w:t>
      </w:r>
      <w:r w:rsidR="00F377E2" w:rsidRPr="00FA377F">
        <w:rPr>
          <w:noProof/>
        </w:rPr>
        <w:t xml:space="preserve">economic </w:t>
      </w:r>
      <w:r w:rsidR="00F377E2">
        <w:rPr>
          <w:noProof/>
        </w:rPr>
        <w:t>growth. To this end, preserving and fostering the EU single market remains essential.</w:t>
      </w:r>
    </w:p>
    <w:p w14:paraId="6FBD99FB" w14:textId="3A4DCE56" w:rsidR="00C07C6E" w:rsidRDefault="0072234F">
      <w:pPr>
        <w:pStyle w:val="paragraph"/>
        <w:spacing w:before="0" w:beforeAutospacing="0" w:after="240" w:afterAutospacing="0" w:line="275" w:lineRule="auto"/>
        <w:jc w:val="both"/>
        <w:rPr>
          <w:rStyle w:val="normaltextrun"/>
          <w:noProof/>
          <w:color w:val="000000"/>
          <w:lang w:val="en-IE"/>
        </w:rPr>
      </w:pPr>
      <w:r w:rsidRPr="00FA377F">
        <w:rPr>
          <w:rStyle w:val="normaltextrun"/>
          <w:noProof/>
          <w:color w:val="000000" w:themeColor="text1"/>
          <w:lang w:val="en-IE"/>
        </w:rPr>
        <w:t xml:space="preserve">Recent </w:t>
      </w:r>
      <w:r w:rsidRPr="00FA377F">
        <w:rPr>
          <w:rStyle w:val="normaltextrun"/>
          <w:b/>
          <w:noProof/>
          <w:color w:val="000000" w:themeColor="text1"/>
          <w:lang w:val="en-IE"/>
        </w:rPr>
        <w:t>geopolitical developments</w:t>
      </w:r>
      <w:r w:rsidRPr="00FA377F">
        <w:rPr>
          <w:rStyle w:val="normaltextrun"/>
          <w:noProof/>
          <w:color w:val="000000" w:themeColor="text1"/>
          <w:lang w:val="en-IE"/>
        </w:rPr>
        <w:t xml:space="preserve"> have strengthened the case for a clean, resource-efficient and competitive economy. Russia’s aggression against Ukraine has underlined our need to achieve resilience and reduce dependencies from unreliable partners. </w:t>
      </w:r>
    </w:p>
    <w:p w14:paraId="58774190" w14:textId="1EB0C7DB" w:rsidR="00C07C6E" w:rsidRPr="00FA377F" w:rsidRDefault="0072234F">
      <w:pPr>
        <w:pStyle w:val="paragraph"/>
        <w:spacing w:before="0" w:beforeAutospacing="0" w:after="240" w:afterAutospacing="0" w:line="275" w:lineRule="auto"/>
        <w:jc w:val="both"/>
        <w:rPr>
          <w:rStyle w:val="normaltextrun"/>
          <w:noProof/>
          <w:color w:val="000000"/>
          <w:sz w:val="20"/>
          <w:lang w:val="en-IE"/>
        </w:rPr>
      </w:pPr>
      <w:r>
        <w:rPr>
          <w:rStyle w:val="normaltextrun"/>
          <w:noProof/>
          <w:color w:val="000000"/>
          <w:lang w:val="en-IE"/>
        </w:rPr>
        <w:t xml:space="preserve">The </w:t>
      </w:r>
      <w:r>
        <w:rPr>
          <w:rStyle w:val="normaltextrun"/>
          <w:b/>
          <w:noProof/>
          <w:color w:val="000000"/>
          <w:lang w:val="en-IE"/>
        </w:rPr>
        <w:t>global call at COP28</w:t>
      </w:r>
      <w:r>
        <w:rPr>
          <w:rStyle w:val="normaltextrun"/>
          <w:noProof/>
          <w:color w:val="000000"/>
          <w:lang w:val="en-IE"/>
        </w:rPr>
        <w:t xml:space="preserve"> to transition away from fossil fuels, and the global pledge to triple renewable energy capacity and double energy efficiency improvements by 2030, have </w:t>
      </w:r>
      <w:r w:rsidR="00BC3D56">
        <w:rPr>
          <w:rStyle w:val="normaltextrun"/>
          <w:noProof/>
          <w:color w:val="000000"/>
          <w:lang w:val="en-IE"/>
        </w:rPr>
        <w:t>shown the international commitment to the clean transition and</w:t>
      </w:r>
      <w:r>
        <w:rPr>
          <w:rStyle w:val="normaltextrun"/>
          <w:noProof/>
          <w:color w:val="000000"/>
          <w:lang w:val="en-IE"/>
        </w:rPr>
        <w:t xml:space="preserve"> the need </w:t>
      </w:r>
      <w:r w:rsidR="00BC3D56">
        <w:rPr>
          <w:rStyle w:val="normaltextrun"/>
          <w:noProof/>
          <w:color w:val="000000"/>
          <w:lang w:val="en-IE"/>
        </w:rPr>
        <w:t xml:space="preserve">for Europe </w:t>
      </w:r>
      <w:r>
        <w:rPr>
          <w:rStyle w:val="normaltextrun"/>
          <w:noProof/>
          <w:color w:val="000000"/>
          <w:lang w:val="en-IE"/>
        </w:rPr>
        <w:t>to stay the course</w:t>
      </w:r>
      <w:r w:rsidR="008431E4">
        <w:rPr>
          <w:rStyle w:val="normaltextrun"/>
          <w:noProof/>
          <w:color w:val="000000"/>
          <w:lang w:val="en-IE"/>
        </w:rPr>
        <w:t xml:space="preserve">. </w:t>
      </w:r>
      <w:r w:rsidR="00A72918">
        <w:rPr>
          <w:rStyle w:val="normaltextrun"/>
          <w:noProof/>
          <w:color w:val="000000"/>
          <w:lang w:val="en-IE"/>
        </w:rPr>
        <w:t>With</w:t>
      </w:r>
      <w:r w:rsidR="5CB6FDD7" w:rsidRPr="79EB7D59">
        <w:rPr>
          <w:rStyle w:val="normaltextrun"/>
          <w:noProof/>
          <w:color w:val="000000" w:themeColor="text1"/>
          <w:lang w:val="en-IE"/>
        </w:rPr>
        <w:t xml:space="preserve"> the right set of policies,</w:t>
      </w:r>
      <w:r>
        <w:rPr>
          <w:rStyle w:val="normaltextrun"/>
          <w:noProof/>
          <w:color w:val="000000"/>
          <w:lang w:val="en-IE"/>
        </w:rPr>
        <w:t xml:space="preserve"> </w:t>
      </w:r>
      <w:r w:rsidR="008431E4">
        <w:rPr>
          <w:rStyle w:val="normaltextrun"/>
          <w:noProof/>
          <w:color w:val="000000"/>
          <w:lang w:val="en-IE"/>
        </w:rPr>
        <w:t xml:space="preserve">Europe will </w:t>
      </w:r>
      <w:r>
        <w:rPr>
          <w:rStyle w:val="normaltextrun"/>
          <w:noProof/>
          <w:color w:val="000000"/>
          <w:lang w:val="en-IE"/>
        </w:rPr>
        <w:t xml:space="preserve">benefit from the global uptake of clean energies and technologies. </w:t>
      </w:r>
      <w:r w:rsidR="00132D1A" w:rsidRPr="008431E4">
        <w:rPr>
          <w:rStyle w:val="normaltextrun"/>
          <w:noProof/>
          <w:color w:val="000000"/>
        </w:rPr>
        <w:t xml:space="preserve">While </w:t>
      </w:r>
      <w:r w:rsidR="00132D1A" w:rsidRPr="00F848DE">
        <w:rPr>
          <w:rStyle w:val="normaltextrun"/>
          <w:noProof/>
          <w:color w:val="000000"/>
        </w:rPr>
        <w:t>leading</w:t>
      </w:r>
      <w:r w:rsidR="00132D1A" w:rsidRPr="00FA377F">
        <w:rPr>
          <w:rStyle w:val="normaltextrun"/>
          <w:noProof/>
          <w:color w:val="000000"/>
        </w:rPr>
        <w:t xml:space="preserve"> international </w:t>
      </w:r>
      <w:r w:rsidR="00132D1A" w:rsidRPr="00F848DE">
        <w:rPr>
          <w:rStyle w:val="normaltextrun"/>
          <w:noProof/>
          <w:color w:val="000000"/>
        </w:rPr>
        <w:t>efforts</w:t>
      </w:r>
      <w:r w:rsidR="00132D1A" w:rsidRPr="00FA377F">
        <w:rPr>
          <w:noProof/>
          <w:shd w:val="clear" w:color="auto" w:fill="FFFFFF"/>
        </w:rPr>
        <w:t xml:space="preserve"> in the development of renewable energy</w:t>
      </w:r>
      <w:r w:rsidR="00132D1A" w:rsidRPr="00F848DE">
        <w:rPr>
          <w:noProof/>
          <w:color w:val="000000"/>
          <w:shd w:val="clear" w:color="auto" w:fill="FFFFFF"/>
        </w:rPr>
        <w:t xml:space="preserve"> and</w:t>
      </w:r>
      <w:r w:rsidR="00132D1A" w:rsidRPr="00FA377F">
        <w:rPr>
          <w:noProof/>
          <w:color w:val="000000"/>
          <w:shd w:val="clear" w:color="auto" w:fill="FFFFFF"/>
        </w:rPr>
        <w:t xml:space="preserve"> other clean technologies</w:t>
      </w:r>
      <w:r w:rsidR="00132D1A" w:rsidRPr="00F848DE">
        <w:rPr>
          <w:noProof/>
          <w:color w:val="000000"/>
          <w:shd w:val="clear" w:color="auto" w:fill="FFFFFF"/>
        </w:rPr>
        <w:t>, the EU will continue to contribute to green and clean transition globally, including through the Global Gateway investment strategy and trade relations</w:t>
      </w:r>
      <w:r w:rsidR="00132D1A" w:rsidRPr="00F848DE">
        <w:rPr>
          <w:noProof/>
          <w:color w:val="000000"/>
          <w:shd w:val="clear" w:color="auto" w:fill="FFFFFF"/>
          <w:lang w:val="en-IE"/>
        </w:rPr>
        <w:t>.</w:t>
      </w:r>
      <w:r w:rsidR="00132D1A">
        <w:rPr>
          <w:noProof/>
          <w:color w:val="000000"/>
          <w:shd w:val="clear" w:color="auto" w:fill="FFFFFF"/>
          <w:lang w:val="en-IE"/>
        </w:rPr>
        <w:t xml:space="preserve"> </w:t>
      </w:r>
    </w:p>
    <w:p w14:paraId="721B07ED" w14:textId="77777777" w:rsidR="00C07C6E" w:rsidRDefault="0072234F">
      <w:pPr>
        <w:pStyle w:val="paragraph"/>
        <w:spacing w:before="0" w:beforeAutospacing="0" w:after="240" w:afterAutospacing="0" w:line="275" w:lineRule="auto"/>
        <w:jc w:val="both"/>
        <w:rPr>
          <w:rStyle w:val="normaltextrun"/>
          <w:rFonts w:eastAsiaTheme="minorHAnsi" w:cstheme="minorBidi"/>
          <w:b/>
          <w:noProof/>
          <w:color w:val="000000"/>
          <w:sz w:val="20"/>
          <w:szCs w:val="20"/>
          <w:lang w:val="en-IE"/>
        </w:rPr>
      </w:pPr>
      <w:r>
        <w:rPr>
          <w:rStyle w:val="normaltextrun"/>
          <w:b/>
          <w:noProof/>
          <w:color w:val="000000"/>
          <w:sz w:val="20"/>
          <w:szCs w:val="20"/>
        </w:rPr>
        <w:t>2. THE CLEAN TRANSITION DIALOGUES</w:t>
      </w:r>
    </w:p>
    <w:p w14:paraId="120C0E67" w14:textId="3520600F" w:rsidR="00C07C6E" w:rsidRDefault="0072234F">
      <w:pPr>
        <w:rPr>
          <w:rFonts w:cs="Times New Roman"/>
          <w:noProof/>
        </w:rPr>
      </w:pPr>
      <w:r>
        <w:rPr>
          <w:rFonts w:cs="Times New Roman"/>
          <w:noProof/>
        </w:rPr>
        <w:t xml:space="preserve">Europe’s industry has a key role to play in the transition of Europe’s economy. At the same time, it is coming under pressure because of the worsening security, geopolitical, and economic context. This is aggravated by actions undertaken by </w:t>
      </w:r>
      <w:r w:rsidR="00990257">
        <w:rPr>
          <w:rFonts w:cs="Times New Roman"/>
          <w:noProof/>
        </w:rPr>
        <w:t>some</w:t>
      </w:r>
      <w:r>
        <w:rPr>
          <w:rFonts w:cs="Times New Roman"/>
          <w:noProof/>
        </w:rPr>
        <w:t xml:space="preserve"> third countries </w:t>
      </w:r>
      <w:r w:rsidR="00380422">
        <w:rPr>
          <w:rFonts w:cs="Times New Roman"/>
          <w:noProof/>
        </w:rPr>
        <w:t xml:space="preserve">such as </w:t>
      </w:r>
      <w:r>
        <w:rPr>
          <w:rFonts w:cs="Times New Roman"/>
          <w:noProof/>
        </w:rPr>
        <w:t xml:space="preserve">massive foreign subsidies and local content requirements abroad, which can lead to unfair competition and trade distortions. A clear example is the deployment of net-zero technologies which are the </w:t>
      </w:r>
      <w:r w:rsidRPr="00223D3C">
        <w:rPr>
          <w:rFonts w:cs="Times New Roman"/>
          <w:b/>
          <w:noProof/>
          <w:lang w:val="en-GB"/>
        </w:rPr>
        <w:t>focus of strong geostrategic interests and a global technological race</w:t>
      </w:r>
      <w:r w:rsidR="00C92A49" w:rsidRPr="00223D3C">
        <w:rPr>
          <w:rFonts w:cs="Times New Roman"/>
          <w:b/>
          <w:noProof/>
          <w:lang w:val="en-GB"/>
        </w:rPr>
        <w:t xml:space="preserve">, </w:t>
      </w:r>
      <w:r w:rsidRPr="00223D3C">
        <w:rPr>
          <w:rFonts w:cs="Times New Roman"/>
          <w:b/>
          <w:noProof/>
          <w:lang w:val="en-GB"/>
        </w:rPr>
        <w:t>where the right policy and investment mix is key for Europe’s future. In addition, high energy costs in the EU</w:t>
      </w:r>
      <w:r w:rsidR="24CDFA01" w:rsidRPr="00223D3C">
        <w:rPr>
          <w:rFonts w:cs="Times New Roman"/>
          <w:b/>
          <w:noProof/>
          <w:lang w:val="en-GB"/>
        </w:rPr>
        <w:t>,</w:t>
      </w:r>
      <w:r w:rsidR="008431E4" w:rsidRPr="00223D3C">
        <w:rPr>
          <w:rFonts w:cs="Times New Roman"/>
          <w:b/>
          <w:noProof/>
          <w:lang w:val="en-GB"/>
        </w:rPr>
        <w:t xml:space="preserve"> </w:t>
      </w:r>
      <w:r>
        <w:rPr>
          <w:rFonts w:cs="Times New Roman"/>
          <w:b/>
          <w:noProof/>
          <w:lang w:val="en-GB"/>
        </w:rPr>
        <w:t>insufficient access to finance and diffusion of new technologies, low tolerance for failure among companies</w:t>
      </w:r>
      <w:r>
        <w:rPr>
          <w:rFonts w:cs="Times New Roman"/>
          <w:bCs/>
          <w:noProof/>
          <w:lang w:val="en-GB"/>
        </w:rPr>
        <w:t>, as well as undue</w:t>
      </w:r>
      <w:r>
        <w:rPr>
          <w:rFonts w:cs="Times New Roman"/>
          <w:noProof/>
        </w:rPr>
        <w:t xml:space="preserve"> regulatory burdens and red-tape </w:t>
      </w:r>
      <w:r w:rsidR="008F500F">
        <w:rPr>
          <w:rFonts w:cs="Times New Roman"/>
          <w:noProof/>
        </w:rPr>
        <w:t>present serious risks for</w:t>
      </w:r>
      <w:r>
        <w:rPr>
          <w:rFonts w:cs="Times New Roman"/>
          <w:noProof/>
        </w:rPr>
        <w:t xml:space="preserve"> the competitive </w:t>
      </w:r>
      <w:r w:rsidR="350F0669" w:rsidRPr="1F4A3F6E">
        <w:rPr>
          <w:rFonts w:cs="Times New Roman"/>
          <w:noProof/>
        </w:rPr>
        <w:t xml:space="preserve">sustainability </w:t>
      </w:r>
      <w:r>
        <w:rPr>
          <w:rFonts w:cs="Times New Roman"/>
          <w:noProof/>
        </w:rPr>
        <w:t>of European industry.</w:t>
      </w:r>
    </w:p>
    <w:p w14:paraId="73915045" w14:textId="56DC94E4" w:rsidR="00C07C6E" w:rsidRPr="00FA377F" w:rsidRDefault="0072234F">
      <w:pPr>
        <w:rPr>
          <w:b/>
          <w:strike/>
          <w:noProof/>
          <w:color w:val="FF4B4B"/>
        </w:rPr>
      </w:pPr>
      <w:r>
        <w:rPr>
          <w:rFonts w:cs="Times New Roman"/>
          <w:noProof/>
        </w:rPr>
        <w:t>To address these concerns and to strengthen the Commission’s engagement with industry and social partners, President von der Leyen</w:t>
      </w:r>
      <w:r>
        <w:rPr>
          <w:rFonts w:cs="Times New Roman"/>
          <w:b/>
          <w:noProof/>
        </w:rPr>
        <w:t xml:space="preserve"> </w:t>
      </w:r>
      <w:r>
        <w:rPr>
          <w:rFonts w:cs="Times New Roman"/>
          <w:noProof/>
        </w:rPr>
        <w:t xml:space="preserve">announced in the 2023 State of the Union a series of </w:t>
      </w:r>
      <w:r>
        <w:rPr>
          <w:rFonts w:cs="Times New Roman"/>
          <w:b/>
          <w:noProof/>
        </w:rPr>
        <w:t>Clean Transition Dialogues</w:t>
      </w:r>
      <w:r w:rsidR="00DF472C">
        <w:rPr>
          <w:rStyle w:val="FootnoteReference"/>
          <w:rFonts w:cs="Times New Roman"/>
          <w:b/>
          <w:noProof/>
        </w:rPr>
        <w:footnoteReference w:id="4"/>
      </w:r>
      <w:r>
        <w:rPr>
          <w:rFonts w:cs="Times New Roman"/>
          <w:b/>
          <w:noProof/>
        </w:rPr>
        <w:t>. T</w:t>
      </w:r>
      <w:r>
        <w:rPr>
          <w:rFonts w:cs="Times New Roman"/>
          <w:b/>
          <w:noProof/>
          <w:lang w:val="en-GB"/>
        </w:rPr>
        <w:t>heir core aim is to support</w:t>
      </w:r>
      <w:r w:rsidR="006E2752">
        <w:rPr>
          <w:rFonts w:cs="Times New Roman"/>
          <w:b/>
          <w:noProof/>
          <w:lang w:val="en-GB"/>
        </w:rPr>
        <w:t xml:space="preserve"> </w:t>
      </w:r>
      <w:r w:rsidR="006C33F3">
        <w:rPr>
          <w:rFonts w:cs="Times New Roman"/>
          <w:b/>
          <w:noProof/>
          <w:lang w:val="en-GB"/>
        </w:rPr>
        <w:t xml:space="preserve">industry </w:t>
      </w:r>
      <w:r>
        <w:rPr>
          <w:rFonts w:cs="Times New Roman"/>
          <w:b/>
          <w:noProof/>
          <w:lang w:val="en-GB"/>
        </w:rPr>
        <w:t xml:space="preserve">in building its business model </w:t>
      </w:r>
      <w:r w:rsidR="00EF3927">
        <w:rPr>
          <w:rFonts w:cs="Times New Roman"/>
          <w:b/>
          <w:noProof/>
          <w:lang w:val="en-GB"/>
        </w:rPr>
        <w:t>fit</w:t>
      </w:r>
      <w:r>
        <w:rPr>
          <w:rFonts w:cs="Times New Roman"/>
          <w:b/>
          <w:noProof/>
          <w:lang w:val="en-GB"/>
        </w:rPr>
        <w:t xml:space="preserve"> for </w:t>
      </w:r>
      <w:r w:rsidR="783A116B" w:rsidRPr="1B8C2773">
        <w:rPr>
          <w:rFonts w:cs="Times New Roman"/>
          <w:b/>
          <w:bCs/>
          <w:noProof/>
          <w:lang w:val="en-GB"/>
        </w:rPr>
        <w:t xml:space="preserve">a </w:t>
      </w:r>
      <w:r>
        <w:rPr>
          <w:rFonts w:cs="Times New Roman"/>
          <w:b/>
          <w:noProof/>
          <w:lang w:val="en-GB"/>
        </w:rPr>
        <w:t>decarbonis</w:t>
      </w:r>
      <w:r w:rsidR="002B01F1">
        <w:rPr>
          <w:rFonts w:cs="Times New Roman"/>
          <w:b/>
          <w:noProof/>
          <w:lang w:val="en-GB"/>
        </w:rPr>
        <w:t>ed economy</w:t>
      </w:r>
      <w:r>
        <w:rPr>
          <w:rFonts w:cs="Times New Roman"/>
          <w:b/>
          <w:noProof/>
          <w:lang w:val="en-GB"/>
        </w:rPr>
        <w:t xml:space="preserve">. </w:t>
      </w:r>
      <w:r>
        <w:rPr>
          <w:rFonts w:cs="Times New Roman"/>
          <w:b/>
          <w:noProof/>
        </w:rPr>
        <w:t xml:space="preserve">This Communication takes stock of these Dialogues and gives input for building blocks </w:t>
      </w:r>
      <w:r w:rsidRPr="00CD0314">
        <w:rPr>
          <w:rFonts w:cs="Times New Roman"/>
          <w:b/>
          <w:noProof/>
        </w:rPr>
        <w:t xml:space="preserve">that can </w:t>
      </w:r>
      <w:r w:rsidR="008F500F" w:rsidRPr="00CD0314">
        <w:rPr>
          <w:rFonts w:cs="Times New Roman"/>
          <w:b/>
          <w:noProof/>
        </w:rPr>
        <w:t>contribute to</w:t>
      </w:r>
      <w:r w:rsidR="00C324C1" w:rsidRPr="00CD0314">
        <w:rPr>
          <w:rFonts w:cs="Times New Roman"/>
          <w:b/>
          <w:noProof/>
        </w:rPr>
        <w:t xml:space="preserve"> a reinforced industrial approach</w:t>
      </w:r>
      <w:r w:rsidRPr="00CD0314">
        <w:rPr>
          <w:rFonts w:cs="Times New Roman"/>
          <w:b/>
          <w:noProof/>
        </w:rPr>
        <w:t xml:space="preserve"> for a sustainable Europe.</w:t>
      </w:r>
      <w:r>
        <w:rPr>
          <w:rFonts w:cs="Times New Roman"/>
          <w:b/>
          <w:noProof/>
        </w:rPr>
        <w:t xml:space="preserve"> </w:t>
      </w:r>
    </w:p>
    <w:p w14:paraId="28C15284" w14:textId="2742A4BE" w:rsidR="00C07C6E" w:rsidRDefault="0072234F">
      <w:pPr>
        <w:rPr>
          <w:rFonts w:cs="Times New Roman"/>
          <w:b/>
          <w:noProof/>
        </w:rPr>
      </w:pPr>
      <w:r>
        <w:rPr>
          <w:rFonts w:cs="Times New Roman"/>
          <w:noProof/>
        </w:rPr>
        <w:t>The Dialogues</w:t>
      </w:r>
      <w:r>
        <w:rPr>
          <w:rFonts w:cs="Times New Roman"/>
          <w:b/>
          <w:noProof/>
        </w:rPr>
        <w:t xml:space="preserve">, </w:t>
      </w:r>
      <w:r>
        <w:rPr>
          <w:rFonts w:cs="Times New Roman"/>
          <w:noProof/>
        </w:rPr>
        <w:t>just like the Val Duchesse Social Partner Summit</w:t>
      </w:r>
      <w:r>
        <w:rPr>
          <w:rStyle w:val="FootnoteReference"/>
          <w:rFonts w:cs="Times New Roman"/>
          <w:noProof/>
        </w:rPr>
        <w:footnoteReference w:id="5"/>
      </w:r>
      <w:r>
        <w:rPr>
          <w:rFonts w:cs="Times New Roman"/>
          <w:noProof/>
        </w:rPr>
        <w:t xml:space="preserve"> and the</w:t>
      </w:r>
      <w:r w:rsidR="008F500F">
        <w:rPr>
          <w:rFonts w:cs="Times New Roman"/>
          <w:noProof/>
        </w:rPr>
        <w:t xml:space="preserve"> discussions at the</w:t>
      </w:r>
      <w:r>
        <w:rPr>
          <w:rFonts w:cs="Times New Roman"/>
          <w:noProof/>
        </w:rPr>
        <w:t xml:space="preserve"> Antwerp Industrial Summit</w:t>
      </w:r>
      <w:r>
        <w:rPr>
          <w:rStyle w:val="FootnoteReference"/>
          <w:rFonts w:cs="Times New Roman"/>
          <w:noProof/>
        </w:rPr>
        <w:footnoteReference w:id="6"/>
      </w:r>
      <w:r>
        <w:rPr>
          <w:rFonts w:cs="Times New Roman"/>
          <w:noProof/>
        </w:rPr>
        <w:t>,</w:t>
      </w:r>
      <w:r>
        <w:rPr>
          <w:rFonts w:cs="Times New Roman"/>
          <w:b/>
          <w:noProof/>
        </w:rPr>
        <w:t xml:space="preserve"> </w:t>
      </w:r>
      <w:r>
        <w:rPr>
          <w:rFonts w:cs="Times New Roman"/>
          <w:noProof/>
        </w:rPr>
        <w:t xml:space="preserve">showed that </w:t>
      </w:r>
      <w:r w:rsidRPr="0072234F">
        <w:rPr>
          <w:rFonts w:cs="Times New Roman"/>
          <w:b/>
          <w:noProof/>
        </w:rPr>
        <w:t xml:space="preserve">industry and social partners are strongly committed to the climate goals and engage in </w:t>
      </w:r>
      <w:r>
        <w:rPr>
          <w:rFonts w:cs="Times New Roman"/>
          <w:b/>
          <w:noProof/>
        </w:rPr>
        <w:t>shaping and implementing</w:t>
      </w:r>
      <w:r w:rsidRPr="0072234F">
        <w:rPr>
          <w:rFonts w:cs="Times New Roman"/>
          <w:b/>
          <w:noProof/>
        </w:rPr>
        <w:t xml:space="preserve"> the European Green Deal</w:t>
      </w:r>
      <w:r>
        <w:rPr>
          <w:rFonts w:cs="Times New Roman"/>
          <w:noProof/>
        </w:rPr>
        <w:t xml:space="preserve">. They also showed our industry’s </w:t>
      </w:r>
      <w:r>
        <w:rPr>
          <w:rFonts w:cs="Times New Roman"/>
          <w:b/>
          <w:noProof/>
        </w:rPr>
        <w:t>steadfast commitment to prosper in Europe</w:t>
      </w:r>
      <w:r w:rsidR="00D302DC" w:rsidRPr="008431E4">
        <w:rPr>
          <w:rFonts w:cs="Times New Roman"/>
          <w:b/>
          <w:noProof/>
        </w:rPr>
        <w:t xml:space="preserve"> while creating growth by accessing global markets and through diversified value chains.</w:t>
      </w:r>
    </w:p>
    <w:p w14:paraId="1B8757B7" w14:textId="3CF0333A" w:rsidR="00C07C6E" w:rsidRPr="002B25C6" w:rsidRDefault="0072234F">
      <w:pPr>
        <w:rPr>
          <w:rFonts w:cs="Times New Roman"/>
          <w:b/>
          <w:noProof/>
        </w:rPr>
      </w:pPr>
      <w:r>
        <w:rPr>
          <w:rFonts w:cs="Times New Roman"/>
          <w:noProof/>
        </w:rPr>
        <w:t xml:space="preserve">At the same time, stakeholders voiced </w:t>
      </w:r>
      <w:r>
        <w:rPr>
          <w:rFonts w:cs="Times New Roman"/>
          <w:b/>
          <w:noProof/>
        </w:rPr>
        <w:t>growing concerns</w:t>
      </w:r>
      <w:r>
        <w:rPr>
          <w:rFonts w:cs="Times New Roman"/>
          <w:noProof/>
        </w:rPr>
        <w:t xml:space="preserve"> about the lack of a level playing field globally, the risks of carbon leakage and insufficient access to finance. The Dialogues </w:t>
      </w:r>
      <w:r w:rsidR="008B7B19">
        <w:rPr>
          <w:rFonts w:cs="Times New Roman"/>
          <w:noProof/>
        </w:rPr>
        <w:t xml:space="preserve">showed </w:t>
      </w:r>
      <w:r>
        <w:rPr>
          <w:rFonts w:cs="Times New Roman"/>
          <w:noProof/>
        </w:rPr>
        <w:t>that policy instruments should be modelled to address those concerns. Dialogue participants also highlighted the need to strengthen the business case for a resource-efficient and competitive economy, and the importance of the Single Market and market i</w:t>
      </w:r>
      <w:r w:rsidRPr="0072234F">
        <w:rPr>
          <w:rFonts w:cs="Times New Roman"/>
          <w:noProof/>
        </w:rPr>
        <w:t>ncentives</w:t>
      </w:r>
      <w:r>
        <w:rPr>
          <w:rFonts w:cs="Times New Roman"/>
          <w:noProof/>
        </w:rPr>
        <w:t xml:space="preserve">, in addition to </w:t>
      </w:r>
      <w:r w:rsidRPr="002B25C6">
        <w:rPr>
          <w:rFonts w:cs="Times New Roman"/>
          <w:noProof/>
        </w:rPr>
        <w:t xml:space="preserve">targets and regulation. Social partners highlighted the importance of ensuring the social fairness of the transition, </w:t>
      </w:r>
      <w:r w:rsidR="5E6019C0" w:rsidRPr="002B25C6">
        <w:rPr>
          <w:rFonts w:cs="Times New Roman"/>
          <w:noProof/>
        </w:rPr>
        <w:t>to</w:t>
      </w:r>
      <w:r w:rsidR="358BAAE7" w:rsidRPr="002B25C6">
        <w:rPr>
          <w:rFonts w:cs="Times New Roman"/>
          <w:noProof/>
        </w:rPr>
        <w:t xml:space="preserve"> create good quality jobs and</w:t>
      </w:r>
      <w:r w:rsidRPr="002B25C6">
        <w:rPr>
          <w:rFonts w:cs="Times New Roman"/>
          <w:noProof/>
        </w:rPr>
        <w:t xml:space="preserve"> anticipate its effects on</w:t>
      </w:r>
      <w:r w:rsidR="56F5D661" w:rsidRPr="002B25C6">
        <w:rPr>
          <w:rFonts w:cs="Times New Roman"/>
          <w:noProof/>
        </w:rPr>
        <w:t xml:space="preserve"> </w:t>
      </w:r>
      <w:r w:rsidR="00D0395B" w:rsidRPr="002B25C6">
        <w:rPr>
          <w:rFonts w:cs="Times New Roman"/>
          <w:noProof/>
        </w:rPr>
        <w:t>people, consumers and</w:t>
      </w:r>
      <w:r w:rsidRPr="002B25C6">
        <w:rPr>
          <w:rFonts w:cs="Times New Roman"/>
          <w:noProof/>
        </w:rPr>
        <w:t xml:space="preserve"> the workforce</w:t>
      </w:r>
      <w:r w:rsidR="002E1EA0" w:rsidRPr="002B25C6">
        <w:rPr>
          <w:rFonts w:cs="Times New Roman"/>
          <w:noProof/>
        </w:rPr>
        <w:t>,</w:t>
      </w:r>
      <w:r w:rsidR="498DFCF3" w:rsidRPr="002B25C6">
        <w:rPr>
          <w:rFonts w:cs="Times New Roman"/>
          <w:noProof/>
        </w:rPr>
        <w:t xml:space="preserve"> as well as the need for reinforced structured social dialogue</w:t>
      </w:r>
      <w:r>
        <w:rPr>
          <w:rFonts w:cs="Times New Roman"/>
          <w:noProof/>
        </w:rPr>
        <w:t xml:space="preserve">, </w:t>
      </w:r>
      <w:r>
        <w:rPr>
          <w:noProof/>
        </w:rPr>
        <w:t>including in industrial policy making</w:t>
      </w:r>
      <w:r w:rsidRPr="002B25C6">
        <w:rPr>
          <w:rFonts w:cs="Times New Roman"/>
          <w:noProof/>
        </w:rPr>
        <w:t xml:space="preserve">. </w:t>
      </w:r>
    </w:p>
    <w:p w14:paraId="323CBF14" w14:textId="6D93653C" w:rsidR="00C07C6E" w:rsidRDefault="0072234F">
      <w:pPr>
        <w:rPr>
          <w:rFonts w:cs="Times New Roman"/>
          <w:noProof/>
        </w:rPr>
      </w:pPr>
      <w:r w:rsidRPr="002B25C6">
        <w:rPr>
          <w:rFonts w:cs="Times New Roman"/>
          <w:noProof/>
        </w:rPr>
        <w:t xml:space="preserve">These insights confirm </w:t>
      </w:r>
      <w:r w:rsidR="00C324C1" w:rsidRPr="002B25C6">
        <w:rPr>
          <w:noProof/>
        </w:rPr>
        <w:t xml:space="preserve">the </w:t>
      </w:r>
      <w:r w:rsidR="00C324C1" w:rsidRPr="002B25C6">
        <w:rPr>
          <w:rFonts w:cs="Times New Roman"/>
          <w:noProof/>
        </w:rPr>
        <w:t>need</w:t>
      </w:r>
      <w:r w:rsidR="00C324C1" w:rsidRPr="00CD0314">
        <w:rPr>
          <w:rFonts w:cs="Times New Roman"/>
          <w:noProof/>
        </w:rPr>
        <w:t xml:space="preserve"> for </w:t>
      </w:r>
      <w:r w:rsidRPr="00CD0314">
        <w:rPr>
          <w:rFonts w:cs="Times New Roman"/>
          <w:b/>
          <w:noProof/>
        </w:rPr>
        <w:t xml:space="preserve">a </w:t>
      </w:r>
      <w:r w:rsidR="00C324C1" w:rsidRPr="00CD0314">
        <w:rPr>
          <w:rFonts w:cs="Times New Roman"/>
          <w:b/>
          <w:noProof/>
        </w:rPr>
        <w:t>reinforced</w:t>
      </w:r>
      <w:r w:rsidRPr="00CD0314">
        <w:rPr>
          <w:rFonts w:cs="Times New Roman"/>
          <w:noProof/>
        </w:rPr>
        <w:t xml:space="preserve"> </w:t>
      </w:r>
      <w:r w:rsidRPr="00CD0314">
        <w:rPr>
          <w:rFonts w:cs="Times New Roman"/>
          <w:b/>
          <w:noProof/>
        </w:rPr>
        <w:t xml:space="preserve">industrial </w:t>
      </w:r>
      <w:r w:rsidR="00C324C1" w:rsidRPr="00CD0314">
        <w:rPr>
          <w:rFonts w:cs="Times New Roman"/>
          <w:b/>
          <w:noProof/>
        </w:rPr>
        <w:t>approach</w:t>
      </w:r>
      <w:r w:rsidR="53DCFDA9" w:rsidRPr="00CD0314">
        <w:rPr>
          <w:rFonts w:cs="Times New Roman"/>
          <w:noProof/>
        </w:rPr>
        <w:t>, building on the EU’s industrial strategy and the Green Deal Industrial Plan,</w:t>
      </w:r>
      <w:r w:rsidRPr="00CD0314">
        <w:rPr>
          <w:rFonts w:cs="Times New Roman"/>
          <w:noProof/>
        </w:rPr>
        <w:t xml:space="preserve"> allow</w:t>
      </w:r>
      <w:r w:rsidR="4DFD1D14" w:rsidRPr="00CD0314">
        <w:rPr>
          <w:rFonts w:cs="Times New Roman"/>
          <w:noProof/>
        </w:rPr>
        <w:t>ing</w:t>
      </w:r>
      <w:r>
        <w:rPr>
          <w:rFonts w:cs="Times New Roman"/>
          <w:noProof/>
        </w:rPr>
        <w:t xml:space="preserve"> Europe to reach three objectives at the same time:</w:t>
      </w:r>
      <w:r>
        <w:rPr>
          <w:rFonts w:cs="Times New Roman"/>
          <w:b/>
          <w:noProof/>
        </w:rPr>
        <w:t xml:space="preserve"> </w:t>
      </w:r>
      <w:r>
        <w:rPr>
          <w:rFonts w:cs="Times New Roman"/>
          <w:noProof/>
        </w:rPr>
        <w:t xml:space="preserve">climate neutrality by 2050, increased competitiveness </w:t>
      </w:r>
      <w:r w:rsidR="2FDC32D5" w:rsidRPr="56860999">
        <w:rPr>
          <w:rFonts w:cs="Times New Roman"/>
          <w:noProof/>
        </w:rPr>
        <w:t xml:space="preserve">and </w:t>
      </w:r>
      <w:r w:rsidR="2FDC32D5" w:rsidRPr="198D7DFC">
        <w:rPr>
          <w:rFonts w:cs="Times New Roman"/>
          <w:noProof/>
        </w:rPr>
        <w:t>resilience</w:t>
      </w:r>
      <w:r w:rsidRPr="56860999">
        <w:rPr>
          <w:rFonts w:cs="Times New Roman"/>
          <w:noProof/>
        </w:rPr>
        <w:t xml:space="preserve"> </w:t>
      </w:r>
      <w:r>
        <w:rPr>
          <w:rFonts w:cs="Times New Roman"/>
          <w:noProof/>
        </w:rPr>
        <w:t>of our industry, and a transition that is socially fair and inclusive.</w:t>
      </w:r>
    </w:p>
    <w:p w14:paraId="5F7B3390" w14:textId="48CB314F" w:rsidR="00C07C6E" w:rsidRDefault="0072234F">
      <w:pPr>
        <w:rPr>
          <w:rFonts w:cs="Times New Roman"/>
          <w:noProof/>
        </w:rPr>
      </w:pPr>
      <w:r>
        <w:rPr>
          <w:rFonts w:cs="Times New Roman"/>
          <w:noProof/>
        </w:rPr>
        <w:t>The Dialogues e</w:t>
      </w:r>
      <w:r w:rsidRPr="0072234F">
        <w:rPr>
          <w:rFonts w:cs="Times New Roman"/>
          <w:noProof/>
        </w:rPr>
        <w:t>mphasised</w:t>
      </w:r>
      <w:r>
        <w:rPr>
          <w:rFonts w:cs="Times New Roman"/>
          <w:noProof/>
        </w:rPr>
        <w:t xml:space="preserve"> a few building blocks that will contribute to </w:t>
      </w:r>
      <w:r w:rsidRPr="07D304D3">
        <w:rPr>
          <w:rFonts w:cs="Times New Roman"/>
          <w:noProof/>
        </w:rPr>
        <w:t>that</w:t>
      </w:r>
      <w:r>
        <w:rPr>
          <w:rFonts w:cs="Times New Roman"/>
          <w:noProof/>
        </w:rPr>
        <w:t xml:space="preserve"> reinforced industrial approach: (1) an effective and simplified regulatory framework for businesses to deliver on the transition; (2) action on energy prices; (3) </w:t>
      </w:r>
      <w:r w:rsidR="00801AE2">
        <w:rPr>
          <w:rFonts w:cs="Times New Roman"/>
          <w:noProof/>
        </w:rPr>
        <w:t xml:space="preserve">modern infrastructure; (4) </w:t>
      </w:r>
      <w:r>
        <w:rPr>
          <w:rFonts w:cs="Times New Roman"/>
          <w:noProof/>
        </w:rPr>
        <w:t xml:space="preserve">easier access to finance; </w:t>
      </w:r>
      <w:r w:rsidR="007869BC">
        <w:rPr>
          <w:rFonts w:cs="Times New Roman"/>
          <w:noProof/>
        </w:rPr>
        <w:t xml:space="preserve">and </w:t>
      </w:r>
      <w:r>
        <w:rPr>
          <w:rFonts w:cs="Times New Roman"/>
          <w:noProof/>
        </w:rPr>
        <w:t>(</w:t>
      </w:r>
      <w:r w:rsidR="007869BC">
        <w:rPr>
          <w:rFonts w:cs="Times New Roman"/>
          <w:noProof/>
        </w:rPr>
        <w:t>5</w:t>
      </w:r>
      <w:r>
        <w:rPr>
          <w:rFonts w:cs="Times New Roman"/>
          <w:noProof/>
        </w:rPr>
        <w:t xml:space="preserve">) a stronger Single Market </w:t>
      </w:r>
      <w:r w:rsidR="0099581C">
        <w:rPr>
          <w:rFonts w:cs="Times New Roman"/>
          <w:noProof/>
        </w:rPr>
        <w:t>in</w:t>
      </w:r>
      <w:r>
        <w:rPr>
          <w:rFonts w:cs="Times New Roman"/>
          <w:noProof/>
        </w:rPr>
        <w:t xml:space="preserve"> a global</w:t>
      </w:r>
      <w:r w:rsidR="00D725C9">
        <w:rPr>
          <w:rFonts w:cs="Times New Roman"/>
          <w:noProof/>
        </w:rPr>
        <w:t>ly competitive environment</w:t>
      </w:r>
      <w:r>
        <w:rPr>
          <w:rFonts w:cs="Times New Roman"/>
          <w:noProof/>
        </w:rPr>
        <w:t>.</w:t>
      </w:r>
    </w:p>
    <w:p w14:paraId="1475F83A" w14:textId="77777777" w:rsidR="00C07C6E" w:rsidRDefault="00C07C6E">
      <w:pPr>
        <w:pStyle w:val="FootnoteText"/>
        <w:spacing w:before="120" w:after="120"/>
        <w:rPr>
          <w:rFonts w:eastAsia="Calibri"/>
          <w:i/>
          <w:noProof/>
          <w:sz w:val="24"/>
          <w:szCs w:val="24"/>
          <w:lang w:val="en-IE"/>
        </w:rPr>
      </w:pPr>
    </w:p>
    <w:p w14:paraId="0CC0858A" w14:textId="77777777" w:rsidR="00C07C6E" w:rsidRDefault="0072234F">
      <w:pPr>
        <w:pStyle w:val="ListParagraph"/>
        <w:numPr>
          <w:ilvl w:val="0"/>
          <w:numId w:val="6"/>
        </w:numPr>
        <w:rPr>
          <w:b/>
          <w:noProof/>
          <w:color w:val="000000"/>
        </w:rPr>
      </w:pPr>
      <w:r>
        <w:rPr>
          <w:rStyle w:val="normaltextrun"/>
          <w:b/>
          <w:noProof/>
          <w:color w:val="000000"/>
        </w:rPr>
        <w:t>DELIVERY THROUGH EFFECTIVE IMPLEMENTATION AND SIMPLIFICATION</w:t>
      </w:r>
    </w:p>
    <w:p w14:paraId="50CFC903" w14:textId="77777777" w:rsidR="00C07C6E" w:rsidRDefault="00C07C6E">
      <w:pPr>
        <w:rPr>
          <w:rFonts w:cs="Times New Roman"/>
          <w:noProof/>
        </w:rPr>
      </w:pPr>
    </w:p>
    <w:p w14:paraId="4E5F55AD" w14:textId="24545CAC" w:rsidR="00C07C6E" w:rsidRDefault="0072234F">
      <w:pPr>
        <w:rPr>
          <w:rFonts w:cs="Times New Roman"/>
          <w:b/>
          <w:noProof/>
        </w:rPr>
      </w:pPr>
      <w:r>
        <w:rPr>
          <w:rFonts w:cs="Times New Roman"/>
          <w:noProof/>
        </w:rPr>
        <w:t xml:space="preserve">The EU has delivered the </w:t>
      </w:r>
      <w:r>
        <w:rPr>
          <w:rFonts w:cs="Times New Roman"/>
          <w:b/>
          <w:noProof/>
        </w:rPr>
        <w:t>policy and regulatory framework to achieve the 2030 targets</w:t>
      </w:r>
      <w:r>
        <w:rPr>
          <w:rFonts w:cs="Times New Roman"/>
          <w:noProof/>
        </w:rPr>
        <w:t xml:space="preserve"> and to keep Europe on track towards climate </w:t>
      </w:r>
      <w:r w:rsidRPr="00C92A49">
        <w:rPr>
          <w:rFonts w:cs="Times New Roman"/>
          <w:noProof/>
        </w:rPr>
        <w:t xml:space="preserve">neutrality </w:t>
      </w:r>
      <w:r w:rsidR="00EF6647" w:rsidRPr="00C92A49">
        <w:rPr>
          <w:rFonts w:cs="Times New Roman"/>
          <w:noProof/>
        </w:rPr>
        <w:t>and a sustainable economy</w:t>
      </w:r>
      <w:r w:rsidR="00EF6647">
        <w:rPr>
          <w:rFonts w:cs="Times New Roman"/>
          <w:noProof/>
        </w:rPr>
        <w:t xml:space="preserve"> </w:t>
      </w:r>
      <w:r>
        <w:rPr>
          <w:rFonts w:cs="Times New Roman"/>
          <w:noProof/>
        </w:rPr>
        <w:t>by 2050. A clear regulatory framework creates stability and predictability, which are key for driving investments, especially in net zero technologies. As the clean transition enters its implementation phase, the focus must now be on a swift and uniform application of the agreed framework across all EU Member States</w:t>
      </w:r>
      <w:r w:rsidR="00D67810">
        <w:rPr>
          <w:rFonts w:cs="Times New Roman"/>
          <w:noProof/>
        </w:rPr>
        <w:t>, also by updating and monitoring the National Energy and Climate Plans</w:t>
      </w:r>
      <w:r>
        <w:rPr>
          <w:rFonts w:cs="Times New Roman"/>
          <w:noProof/>
        </w:rPr>
        <w:t xml:space="preserve">. </w:t>
      </w:r>
    </w:p>
    <w:p w14:paraId="3A66A2AB" w14:textId="375032B7" w:rsidR="00C07C6E" w:rsidRDefault="0072234F">
      <w:pPr>
        <w:rPr>
          <w:rFonts w:cs="Times New Roman"/>
          <w:b/>
          <w:noProof/>
        </w:rPr>
      </w:pPr>
      <w:bookmarkStart w:id="3" w:name="_Hlk162606425"/>
      <w:r>
        <w:rPr>
          <w:rFonts w:cs="Times New Roman"/>
          <w:b/>
          <w:noProof/>
        </w:rPr>
        <w:t>What gets measured gets done</w:t>
      </w:r>
      <w:r>
        <w:rPr>
          <w:rFonts w:cs="Times New Roman"/>
          <w:noProof/>
        </w:rPr>
        <w:t>.</w:t>
      </w:r>
      <w:bookmarkEnd w:id="3"/>
      <w:r>
        <w:rPr>
          <w:rFonts w:cs="Times New Roman"/>
          <w:noProof/>
        </w:rPr>
        <w:t xml:space="preserve"> Building on its various Single Market and Competitiveness Reports and Scoreboards</w:t>
      </w:r>
      <w:r w:rsidRPr="008B4D4E">
        <w:rPr>
          <w:rFonts w:cs="Times New Roman"/>
          <w:noProof/>
        </w:rPr>
        <w:t xml:space="preserve">, </w:t>
      </w:r>
      <w:r w:rsidR="005B0536" w:rsidRPr="008B4D4E">
        <w:rPr>
          <w:rFonts w:cs="Times New Roman"/>
          <w:noProof/>
        </w:rPr>
        <w:t>and without creating any new reporting obligation</w:t>
      </w:r>
      <w:r w:rsidR="07A06D13" w:rsidRPr="0C2F98DC">
        <w:rPr>
          <w:rFonts w:cs="Times New Roman"/>
          <w:noProof/>
        </w:rPr>
        <w:t>s</w:t>
      </w:r>
      <w:r w:rsidR="005B0536" w:rsidRPr="008B4D4E">
        <w:rPr>
          <w:rFonts w:cs="Times New Roman"/>
          <w:noProof/>
        </w:rPr>
        <w:t xml:space="preserve"> for industry, </w:t>
      </w:r>
      <w:r w:rsidRPr="008B4D4E">
        <w:rPr>
          <w:rFonts w:cs="Times New Roman"/>
          <w:noProof/>
        </w:rPr>
        <w:t>the</w:t>
      </w:r>
      <w:r>
        <w:rPr>
          <w:rFonts w:cs="Times New Roman"/>
          <w:noProof/>
        </w:rPr>
        <w:t xml:space="preserve"> Commission will </w:t>
      </w:r>
      <w:r w:rsidR="00282F07" w:rsidRPr="00F848DE">
        <w:rPr>
          <w:rFonts w:cs="Times New Roman"/>
          <w:noProof/>
        </w:rPr>
        <w:t>publish</w:t>
      </w:r>
      <w:r w:rsidR="00E86F2F" w:rsidRPr="00F848DE">
        <w:rPr>
          <w:rFonts w:cs="Times New Roman"/>
          <w:noProof/>
        </w:rPr>
        <w:t xml:space="preserve"> on a dedicated </w:t>
      </w:r>
      <w:r w:rsidR="00E86F2F" w:rsidRPr="00FA377F">
        <w:rPr>
          <w:noProof/>
        </w:rPr>
        <w:t>platform</w:t>
      </w:r>
      <w:r w:rsidRPr="00FA377F">
        <w:rPr>
          <w:noProof/>
        </w:rPr>
        <w:t xml:space="preserve"> </w:t>
      </w:r>
      <w:r w:rsidR="00270B61" w:rsidRPr="008431E4">
        <w:rPr>
          <w:rFonts w:cs="Times New Roman"/>
          <w:noProof/>
        </w:rPr>
        <w:t xml:space="preserve">a </w:t>
      </w:r>
      <w:r w:rsidRPr="00F848DE">
        <w:rPr>
          <w:rFonts w:cs="Times New Roman"/>
          <w:b/>
          <w:noProof/>
        </w:rPr>
        <w:t>limited</w:t>
      </w:r>
      <w:r w:rsidR="00270B61" w:rsidRPr="00F848DE">
        <w:rPr>
          <w:rFonts w:cs="Times New Roman"/>
          <w:b/>
          <w:noProof/>
        </w:rPr>
        <w:t xml:space="preserve"> set of</w:t>
      </w:r>
      <w:r w:rsidRPr="00F848DE">
        <w:rPr>
          <w:rFonts w:cs="Times New Roman"/>
          <w:b/>
          <w:noProof/>
        </w:rPr>
        <w:t xml:space="preserve"> key indicators</w:t>
      </w:r>
      <w:r w:rsidRPr="00F848DE">
        <w:rPr>
          <w:rFonts w:cs="Times New Roman"/>
          <w:noProof/>
        </w:rPr>
        <w:t xml:space="preserve"> to monitor, measure and present in a clear way the competitiveness of the Single Market and the progress of the clean industrial transition. It will cover areas such as GHG emission reductions, </w:t>
      </w:r>
      <w:r w:rsidR="00C22643" w:rsidRPr="00F848DE">
        <w:rPr>
          <w:rFonts w:cs="Times New Roman"/>
          <w:noProof/>
        </w:rPr>
        <w:t>an</w:t>
      </w:r>
      <w:r w:rsidR="00270B61" w:rsidRPr="008431E4">
        <w:rPr>
          <w:rFonts w:cs="Times New Roman"/>
          <w:noProof/>
        </w:rPr>
        <w:t>d</w:t>
      </w:r>
      <w:r w:rsidR="00C22643" w:rsidRPr="00F848DE">
        <w:rPr>
          <w:rFonts w:cs="Times New Roman"/>
          <w:noProof/>
        </w:rPr>
        <w:t xml:space="preserve"> enabling fac</w:t>
      </w:r>
      <w:r w:rsidR="00270B61" w:rsidRPr="008431E4">
        <w:rPr>
          <w:rFonts w:cs="Times New Roman"/>
          <w:noProof/>
        </w:rPr>
        <w:t>t</w:t>
      </w:r>
      <w:r w:rsidR="00C22643" w:rsidRPr="00F848DE">
        <w:rPr>
          <w:rFonts w:cs="Times New Roman"/>
          <w:noProof/>
        </w:rPr>
        <w:t>ors</w:t>
      </w:r>
      <w:r w:rsidR="00270B61" w:rsidRPr="00F848DE">
        <w:rPr>
          <w:rFonts w:cs="Times New Roman"/>
          <w:noProof/>
        </w:rPr>
        <w:t xml:space="preserve"> such</w:t>
      </w:r>
      <w:r w:rsidR="00270B61">
        <w:rPr>
          <w:rFonts w:cs="Times New Roman"/>
          <w:noProof/>
        </w:rPr>
        <w:t xml:space="preserve"> as</w:t>
      </w:r>
      <w:r w:rsidR="00C22643">
        <w:rPr>
          <w:rFonts w:cs="Times New Roman"/>
          <w:noProof/>
        </w:rPr>
        <w:t xml:space="preserve"> </w:t>
      </w:r>
      <w:r>
        <w:rPr>
          <w:rFonts w:cs="Times New Roman"/>
          <w:noProof/>
        </w:rPr>
        <w:t>job creation</w:t>
      </w:r>
      <w:r w:rsidR="00C92A49">
        <w:rPr>
          <w:rFonts w:cs="Times New Roman"/>
          <w:noProof/>
        </w:rPr>
        <w:t xml:space="preserve"> and a</w:t>
      </w:r>
      <w:r>
        <w:rPr>
          <w:rFonts w:cs="Times New Roman"/>
          <w:noProof/>
        </w:rPr>
        <w:t xml:space="preserve"> </w:t>
      </w:r>
      <w:r w:rsidR="6704C0C3">
        <w:rPr>
          <w:rFonts w:cs="Times New Roman"/>
          <w:noProof/>
        </w:rPr>
        <w:t>skilled workforce</w:t>
      </w:r>
      <w:r>
        <w:rPr>
          <w:rFonts w:cs="Times New Roman"/>
          <w:noProof/>
        </w:rPr>
        <w:t xml:space="preserve">, </w:t>
      </w:r>
      <w:r w:rsidR="009979DB">
        <w:rPr>
          <w:rFonts w:cs="Times New Roman"/>
          <w:noProof/>
        </w:rPr>
        <w:t>especially in energy-intensive industries</w:t>
      </w:r>
      <w:r>
        <w:rPr>
          <w:rFonts w:cs="Times New Roman"/>
          <w:noProof/>
        </w:rPr>
        <w:t xml:space="preserve">, energy costs, energy efficiency, deployment of zero and low carbon energy </w:t>
      </w:r>
      <w:r w:rsidR="00F446E3">
        <w:rPr>
          <w:rFonts w:cs="Times New Roman"/>
          <w:noProof/>
        </w:rPr>
        <w:t xml:space="preserve">and fuel </w:t>
      </w:r>
      <w:r>
        <w:rPr>
          <w:rFonts w:cs="Times New Roman"/>
          <w:noProof/>
        </w:rPr>
        <w:t>sources</w:t>
      </w:r>
      <w:r w:rsidR="00F446E3">
        <w:rPr>
          <w:rFonts w:cs="Times New Roman"/>
          <w:noProof/>
        </w:rPr>
        <w:t>, as well as</w:t>
      </w:r>
      <w:r w:rsidDel="000B0022">
        <w:rPr>
          <w:rFonts w:cs="Times New Roman"/>
          <w:noProof/>
        </w:rPr>
        <w:t xml:space="preserve"> </w:t>
      </w:r>
      <w:r w:rsidR="4EA0CAC7" w:rsidDel="000B0022">
        <w:rPr>
          <w:rFonts w:cs="Times New Roman"/>
          <w:noProof/>
        </w:rPr>
        <w:t xml:space="preserve">infrastructure development and </w:t>
      </w:r>
      <w:r>
        <w:rPr>
          <w:rFonts w:cs="Times New Roman"/>
          <w:noProof/>
        </w:rPr>
        <w:t xml:space="preserve">circularity. It could also </w:t>
      </w:r>
      <w:r w:rsidR="58E4A5C7" w:rsidRPr="008431E4">
        <w:rPr>
          <w:rFonts w:cs="Times New Roman"/>
          <w:noProof/>
        </w:rPr>
        <w:t xml:space="preserve">rely </w:t>
      </w:r>
      <w:r w:rsidR="633AEB89" w:rsidRPr="008431E4">
        <w:rPr>
          <w:rFonts w:cs="Times New Roman"/>
          <w:noProof/>
        </w:rPr>
        <w:t>on information regarding progress in achieving ben</w:t>
      </w:r>
      <w:r w:rsidR="0557C8EC" w:rsidRPr="12CE4D7B">
        <w:rPr>
          <w:rFonts w:cs="Times New Roman"/>
          <w:noProof/>
        </w:rPr>
        <w:t>c</w:t>
      </w:r>
      <w:r w:rsidR="633AEB89" w:rsidRPr="008431E4">
        <w:rPr>
          <w:rFonts w:cs="Times New Roman"/>
          <w:noProof/>
        </w:rPr>
        <w:t xml:space="preserve">hmarks on </w:t>
      </w:r>
      <w:r>
        <w:rPr>
          <w:rFonts w:cs="Times New Roman"/>
          <w:noProof/>
        </w:rPr>
        <w:t xml:space="preserve">domestic manufacturing capacity </w:t>
      </w:r>
      <w:r w:rsidR="005C331F">
        <w:rPr>
          <w:rFonts w:cs="Times New Roman"/>
          <w:noProof/>
        </w:rPr>
        <w:t>and reuse</w:t>
      </w:r>
      <w:r>
        <w:rPr>
          <w:rFonts w:cs="Times New Roman"/>
          <w:noProof/>
        </w:rPr>
        <w:t xml:space="preserve"> in the sectors covered by the Net Zero Industry Act (NZIA), </w:t>
      </w:r>
      <w:r w:rsidR="5A919255" w:rsidRPr="008431E4">
        <w:rPr>
          <w:rFonts w:cs="Times New Roman"/>
          <w:noProof/>
        </w:rPr>
        <w:t xml:space="preserve">and </w:t>
      </w:r>
      <w:r>
        <w:rPr>
          <w:rFonts w:cs="Times New Roman"/>
          <w:noProof/>
        </w:rPr>
        <w:t xml:space="preserve">the Critical Raw Materials Act (CRMA), mobilisation of investments to finance the clean transition, </w:t>
      </w:r>
      <w:r>
        <w:rPr>
          <w:noProof/>
        </w:rPr>
        <w:t xml:space="preserve">as well as </w:t>
      </w:r>
      <w:r>
        <w:rPr>
          <w:rFonts w:cs="Times New Roman"/>
          <w:noProof/>
        </w:rPr>
        <w:t xml:space="preserve">diversifying supply chains in the strategic sectors. Such an overview will </w:t>
      </w:r>
      <w:r w:rsidR="007E2641">
        <w:rPr>
          <w:rFonts w:cs="Times New Roman"/>
          <w:noProof/>
        </w:rPr>
        <w:t xml:space="preserve">help </w:t>
      </w:r>
      <w:r>
        <w:rPr>
          <w:rFonts w:cs="Times New Roman"/>
          <w:noProof/>
        </w:rPr>
        <w:t>policymakers to decide on actions needed to improve and speed up the application of the agreed framework, thereby supporting industry in leading the transition.</w:t>
      </w:r>
      <w:r>
        <w:rPr>
          <w:rStyle w:val="FootnoteReference"/>
          <w:rFonts w:cs="Times New Roman"/>
          <w:noProof/>
        </w:rPr>
        <w:footnoteReference w:id="7"/>
      </w:r>
      <w:r>
        <w:rPr>
          <w:rFonts w:cs="Times New Roman"/>
          <w:noProof/>
        </w:rPr>
        <w:t xml:space="preserve"> </w:t>
      </w:r>
    </w:p>
    <w:p w14:paraId="0E7B4547" w14:textId="1AB675A4" w:rsidR="00C07C6E" w:rsidRDefault="00A532C3">
      <w:pPr>
        <w:rPr>
          <w:rFonts w:eastAsiaTheme="minorEastAsia"/>
          <w:noProof/>
        </w:rPr>
      </w:pPr>
      <w:r>
        <w:rPr>
          <w:rFonts w:eastAsiaTheme="minorEastAsia"/>
          <w:noProof/>
        </w:rPr>
        <w:t>Given the comprehensive legislative framework adopted under this mandate, t</w:t>
      </w:r>
      <w:r w:rsidR="0072234F">
        <w:rPr>
          <w:rFonts w:eastAsiaTheme="minorEastAsia"/>
          <w:noProof/>
        </w:rPr>
        <w:t xml:space="preserve">he Commission will provide </w:t>
      </w:r>
      <w:r w:rsidR="0072234F">
        <w:rPr>
          <w:rFonts w:eastAsiaTheme="minorEastAsia"/>
          <w:b/>
          <w:noProof/>
        </w:rPr>
        <w:t>guidance to facilitate</w:t>
      </w:r>
      <w:r w:rsidR="0072234F">
        <w:rPr>
          <w:rFonts w:eastAsiaTheme="minorEastAsia"/>
          <w:noProof/>
        </w:rPr>
        <w:t xml:space="preserve"> the application of EU legislation in support of industry</w:t>
      </w:r>
      <w:r w:rsidR="00E91959">
        <w:rPr>
          <w:rFonts w:eastAsiaTheme="minorEastAsia"/>
          <w:noProof/>
        </w:rPr>
        <w:t>, third countries</w:t>
      </w:r>
      <w:r w:rsidR="0072234F">
        <w:rPr>
          <w:rFonts w:eastAsiaTheme="minorEastAsia"/>
          <w:noProof/>
        </w:rPr>
        <w:t xml:space="preserve"> and Member States, especially those with weaker administrative capacity</w:t>
      </w:r>
      <w:r w:rsidR="368FC83D" w:rsidRPr="0C7ACEA2">
        <w:rPr>
          <w:rFonts w:eastAsiaTheme="minorEastAsia"/>
          <w:noProof/>
        </w:rPr>
        <w:t>,</w:t>
      </w:r>
      <w:r w:rsidR="0072234F">
        <w:rPr>
          <w:rFonts w:eastAsiaTheme="minorEastAsia"/>
          <w:noProof/>
        </w:rPr>
        <w:t xml:space="preserve"> or with specific challenges on spatial planning</w:t>
      </w:r>
      <w:r w:rsidR="007E2641">
        <w:rPr>
          <w:rFonts w:eastAsiaTheme="minorEastAsia"/>
          <w:noProof/>
        </w:rPr>
        <w:t>,</w:t>
      </w:r>
      <w:r w:rsidR="0072234F">
        <w:rPr>
          <w:rFonts w:eastAsiaTheme="minorEastAsia"/>
          <w:noProof/>
        </w:rPr>
        <w:t xml:space="preserve"> to reach the European Green Deal targets. </w:t>
      </w:r>
    </w:p>
    <w:p w14:paraId="6A1BA788" w14:textId="1945D574" w:rsidR="00DF472C" w:rsidRDefault="0072234F">
      <w:pPr>
        <w:rPr>
          <w:rFonts w:cs="Times New Roman"/>
          <w:noProof/>
        </w:rPr>
      </w:pPr>
      <w:r w:rsidRPr="0072234F">
        <w:rPr>
          <w:rFonts w:eastAsiaTheme="minorEastAsia"/>
          <w:noProof/>
        </w:rPr>
        <w:t>Ease of doing business</w:t>
      </w:r>
      <w:r w:rsidR="00DF472C">
        <w:rPr>
          <w:rFonts w:eastAsiaTheme="minorEastAsia"/>
          <w:noProof/>
        </w:rPr>
        <w:t xml:space="preserve"> </w:t>
      </w:r>
      <w:r>
        <w:rPr>
          <w:rFonts w:eastAsiaTheme="minorEastAsia"/>
          <w:noProof/>
        </w:rPr>
        <w:t xml:space="preserve">in our Single Market strengthens delivery on the transition. </w:t>
      </w:r>
      <w:r w:rsidR="3A3A8C60" w:rsidRPr="5DD889C2">
        <w:rPr>
          <w:rFonts w:eastAsiaTheme="minorEastAsia"/>
          <w:noProof/>
        </w:rPr>
        <w:t xml:space="preserve">The Commission will </w:t>
      </w:r>
      <w:r w:rsidR="00A56336">
        <w:rPr>
          <w:rFonts w:eastAsiaTheme="minorEastAsia"/>
          <w:noProof/>
        </w:rPr>
        <w:t>build</w:t>
      </w:r>
      <w:r w:rsidR="3A3A8C60" w:rsidRPr="5DD889C2">
        <w:rPr>
          <w:rFonts w:eastAsiaTheme="minorEastAsia"/>
          <w:noProof/>
        </w:rPr>
        <w:t xml:space="preserve">, under </w:t>
      </w:r>
      <w:r>
        <w:rPr>
          <w:rFonts w:eastAsiaTheme="minorEastAsia"/>
          <w:noProof/>
        </w:rPr>
        <w:t xml:space="preserve">the </w:t>
      </w:r>
      <w:r w:rsidRPr="00FA377F">
        <w:rPr>
          <w:noProof/>
          <w:lang w:val="en-US"/>
        </w:rPr>
        <w:t>Single Market Obstacle Tool</w:t>
      </w:r>
      <w:r>
        <w:rPr>
          <w:noProof/>
          <w:lang w:val="en-US"/>
        </w:rPr>
        <w:t xml:space="preserve"> </w:t>
      </w:r>
      <w:r w:rsidR="38B61DF4" w:rsidRPr="5DD889C2">
        <w:rPr>
          <w:noProof/>
          <w:lang w:val="en-US"/>
        </w:rPr>
        <w:t>and</w:t>
      </w:r>
      <w:r>
        <w:rPr>
          <w:noProof/>
          <w:lang w:val="en-US"/>
        </w:rPr>
        <w:t xml:space="preserve"> the </w:t>
      </w:r>
      <w:r w:rsidRPr="00FA377F">
        <w:rPr>
          <w:noProof/>
          <w:lang w:val="en-US"/>
        </w:rPr>
        <w:t>Single Digital Gateway</w:t>
      </w:r>
      <w:r>
        <w:rPr>
          <w:noProof/>
          <w:lang w:val="en-US"/>
        </w:rPr>
        <w:t>,</w:t>
      </w:r>
      <w:r>
        <w:rPr>
          <w:b/>
          <w:noProof/>
          <w:lang w:val="en-US"/>
        </w:rPr>
        <w:t xml:space="preserve"> </w:t>
      </w:r>
      <w:r w:rsidRPr="008431E4">
        <w:rPr>
          <w:b/>
          <w:bCs/>
          <w:noProof/>
          <w:lang w:val="en-US"/>
        </w:rPr>
        <w:t>a dedicated digital platform</w:t>
      </w:r>
      <w:r w:rsidRPr="00FA377F">
        <w:rPr>
          <w:noProof/>
          <w:lang w:val="en-US"/>
        </w:rPr>
        <w:t xml:space="preserve"> to identify</w:t>
      </w:r>
      <w:r>
        <w:rPr>
          <w:b/>
          <w:noProof/>
          <w:lang w:val="en-US"/>
        </w:rPr>
        <w:t xml:space="preserve"> </w:t>
      </w:r>
      <w:r>
        <w:rPr>
          <w:noProof/>
          <w:lang w:val="en-US"/>
        </w:rPr>
        <w:t xml:space="preserve">obstacles in the Single Market, </w:t>
      </w:r>
      <w:r w:rsidR="1FA0F281" w:rsidRPr="32E5C9AA">
        <w:rPr>
          <w:noProof/>
          <w:lang w:val="en-US"/>
        </w:rPr>
        <w:t>more clearly,</w:t>
      </w:r>
      <w:r w:rsidRPr="32E5C9AA">
        <w:rPr>
          <w:noProof/>
          <w:lang w:val="en-US"/>
        </w:rPr>
        <w:t xml:space="preserve"> </w:t>
      </w:r>
      <w:r>
        <w:rPr>
          <w:noProof/>
          <w:lang w:val="en-US"/>
        </w:rPr>
        <w:t>especially</w:t>
      </w:r>
      <w:r w:rsidR="007E2641">
        <w:rPr>
          <w:noProof/>
          <w:lang w:val="en-US"/>
        </w:rPr>
        <w:t xml:space="preserve"> those</w:t>
      </w:r>
      <w:r>
        <w:rPr>
          <w:noProof/>
          <w:lang w:val="en-US"/>
        </w:rPr>
        <w:t xml:space="preserve"> to deploy</w:t>
      </w:r>
      <w:r w:rsidR="007E2641">
        <w:rPr>
          <w:noProof/>
          <w:lang w:val="en-US"/>
        </w:rPr>
        <w:t>ment of</w:t>
      </w:r>
      <w:r>
        <w:rPr>
          <w:noProof/>
          <w:lang w:val="en-US"/>
        </w:rPr>
        <w:t xml:space="preserve"> clean technologies across our continent. I</w:t>
      </w:r>
      <w:r>
        <w:rPr>
          <w:rFonts w:cs="Times New Roman"/>
          <w:noProof/>
        </w:rPr>
        <w:t xml:space="preserve">ndustrial actors, social partners and other stakeholders can use this information to </w:t>
      </w:r>
      <w:r w:rsidRPr="00FA377F">
        <w:rPr>
          <w:b/>
          <w:noProof/>
        </w:rPr>
        <w:t>suggest possible</w:t>
      </w:r>
      <w:r>
        <w:rPr>
          <w:rFonts w:cs="Times New Roman"/>
          <w:noProof/>
        </w:rPr>
        <w:t xml:space="preserve"> </w:t>
      </w:r>
      <w:r w:rsidRPr="00FA377F">
        <w:rPr>
          <w:b/>
          <w:noProof/>
        </w:rPr>
        <w:t>improvements to the existing regulatory framework</w:t>
      </w:r>
      <w:r>
        <w:rPr>
          <w:rFonts w:cs="Times New Roman"/>
          <w:noProof/>
        </w:rPr>
        <w:t>, to remove obstacles that slow down investments and hamper the business case for their projects</w:t>
      </w:r>
      <w:r w:rsidR="1E731B7D" w:rsidRPr="12D1F257">
        <w:rPr>
          <w:rFonts w:cs="Times New Roman"/>
          <w:noProof/>
        </w:rPr>
        <w:t>,</w:t>
      </w:r>
      <w:r>
        <w:rPr>
          <w:rFonts w:cs="Times New Roman"/>
          <w:noProof/>
        </w:rPr>
        <w:t xml:space="preserve"> or point to regulatory inconsistencies.</w:t>
      </w:r>
      <w:r w:rsidR="00DF472C">
        <w:rPr>
          <w:rFonts w:cs="Times New Roman"/>
          <w:noProof/>
        </w:rPr>
        <w:t xml:space="preserve"> </w:t>
      </w:r>
      <w:r w:rsidR="00DF472C" w:rsidRPr="008B4D4E">
        <w:rPr>
          <w:rFonts w:cs="Times New Roman"/>
          <w:noProof/>
        </w:rPr>
        <w:t>The platform would operate on</w:t>
      </w:r>
      <w:r w:rsidR="00C92A49">
        <w:rPr>
          <w:rFonts w:cs="Times New Roman"/>
          <w:noProof/>
        </w:rPr>
        <w:t xml:space="preserve"> a</w:t>
      </w:r>
      <w:r w:rsidR="00DF472C" w:rsidRPr="008B4D4E">
        <w:rPr>
          <w:rFonts w:cs="Times New Roman"/>
          <w:noProof/>
        </w:rPr>
        <w:t xml:space="preserve"> voluntary basis and would not create new reporting </w:t>
      </w:r>
      <w:r w:rsidR="00DF472C" w:rsidRPr="6EC01F33">
        <w:rPr>
          <w:rFonts w:cs="Times New Roman"/>
          <w:noProof/>
        </w:rPr>
        <w:t>requirement</w:t>
      </w:r>
      <w:r w:rsidR="0CDFDE5A" w:rsidRPr="6EC01F33">
        <w:rPr>
          <w:rFonts w:cs="Times New Roman"/>
          <w:noProof/>
        </w:rPr>
        <w:t>s</w:t>
      </w:r>
      <w:r w:rsidR="00DF472C" w:rsidRPr="008B4D4E">
        <w:rPr>
          <w:rFonts w:cs="Times New Roman"/>
          <w:noProof/>
        </w:rPr>
        <w:t xml:space="preserve"> for industry.</w:t>
      </w:r>
    </w:p>
    <w:p w14:paraId="46470474" w14:textId="30C48AF7" w:rsidR="00C07C6E" w:rsidRDefault="0072234F">
      <w:pPr>
        <w:rPr>
          <w:rFonts w:eastAsiaTheme="minorEastAsia"/>
          <w:noProof/>
        </w:rPr>
      </w:pPr>
      <w:r>
        <w:rPr>
          <w:rFonts w:eastAsiaTheme="minorEastAsia"/>
          <w:noProof/>
        </w:rPr>
        <w:t xml:space="preserve">At the same time, the Commission will </w:t>
      </w:r>
      <w:r>
        <w:rPr>
          <w:rFonts w:eastAsiaTheme="minorEastAsia"/>
          <w:b/>
          <w:noProof/>
        </w:rPr>
        <w:t>continue enforcing European legislation</w:t>
      </w:r>
      <w:r>
        <w:rPr>
          <w:rFonts w:eastAsiaTheme="minorEastAsia"/>
          <w:noProof/>
        </w:rPr>
        <w:t xml:space="preserve"> to create a Single Market with simplicity for businesses</w:t>
      </w:r>
      <w:r w:rsidR="007E2641">
        <w:rPr>
          <w:rFonts w:eastAsiaTheme="minorEastAsia"/>
          <w:noProof/>
        </w:rPr>
        <w:t>,</w:t>
      </w:r>
      <w:r>
        <w:rPr>
          <w:rFonts w:eastAsiaTheme="minorEastAsia"/>
          <w:noProof/>
        </w:rPr>
        <w:t xml:space="preserve"> also by taking corrective actions followed by </w:t>
      </w:r>
      <w:r>
        <w:rPr>
          <w:rFonts w:eastAsiaTheme="minorEastAsia"/>
          <w:b/>
          <w:noProof/>
        </w:rPr>
        <w:t>infringement procedures</w:t>
      </w:r>
      <w:r>
        <w:rPr>
          <w:rFonts w:eastAsiaTheme="minorEastAsia"/>
          <w:noProof/>
        </w:rPr>
        <w:t xml:space="preserve"> when necessary. </w:t>
      </w:r>
    </w:p>
    <w:p w14:paraId="606DA405" w14:textId="61EE33B4" w:rsidR="4421AB51" w:rsidRPr="00FA377F" w:rsidRDefault="0072234F" w:rsidP="00616FAE">
      <w:pPr>
        <w:rPr>
          <w:noProof/>
          <w:color w:val="65B4B4"/>
          <w:u w:val="single"/>
        </w:rPr>
      </w:pPr>
      <w:r>
        <w:rPr>
          <w:noProof/>
          <w:lang w:val="en-GB"/>
        </w:rPr>
        <w:t>Simplification of the framework by removing undue regulatory burdens should be Europe’s rolling commitment. This Commission will further focus on burden reduction and its ongoing actions</w:t>
      </w:r>
      <w:r w:rsidRPr="4B6B7C52">
        <w:rPr>
          <w:noProof/>
          <w:lang w:val="en-GB"/>
        </w:rPr>
        <w:t>,</w:t>
      </w:r>
      <w:r>
        <w:rPr>
          <w:noProof/>
          <w:lang w:val="en-GB"/>
        </w:rPr>
        <w:t xml:space="preserve"> such as </w:t>
      </w:r>
      <w:r>
        <w:rPr>
          <w:b/>
          <w:noProof/>
          <w:lang w:val="en-GB"/>
        </w:rPr>
        <w:t>reducing burden from reporting requirements by 25</w:t>
      </w:r>
      <w:r w:rsidRPr="5854CC78">
        <w:rPr>
          <w:b/>
          <w:bCs/>
          <w:noProof/>
          <w:lang w:val="en-GB"/>
        </w:rPr>
        <w:t>%</w:t>
      </w:r>
      <w:r>
        <w:rPr>
          <w:noProof/>
          <w:lang w:val="en-GB"/>
        </w:rPr>
        <w:t xml:space="preserve"> without undermining its policy objectives. The Commission has made progress with 41 initiatives to rationalise reporting requirements, that were presented in the 2024 Commission Work Programme. To sustain this effort and prepare the ground for future action, the Commission prepared targeted rationalisation plans, which will be reported upon in the upcoming Commission’s Annual Burden Survey.</w:t>
      </w:r>
      <w:r>
        <w:rPr>
          <w:noProof/>
          <w:lang w:val="en-US"/>
        </w:rPr>
        <w:t xml:space="preserve"> The Commission will also explore </w:t>
      </w:r>
      <w:r w:rsidRPr="5AA27C97">
        <w:rPr>
          <w:noProof/>
          <w:lang w:val="en-US"/>
        </w:rPr>
        <w:t>m</w:t>
      </w:r>
      <w:r>
        <w:rPr>
          <w:noProof/>
          <w:lang w:val="en-US"/>
        </w:rPr>
        <w:t>aking better use of digitalization and new technologies, such as AI and geospatial data, to see where reporting by businesses can be replaced by data obtained through other means, thus cutting burden</w:t>
      </w:r>
      <w:r w:rsidR="007E2641">
        <w:rPr>
          <w:noProof/>
          <w:lang w:val="en-US"/>
        </w:rPr>
        <w:t>s</w:t>
      </w:r>
      <w:r>
        <w:rPr>
          <w:noProof/>
          <w:lang w:val="en-US"/>
        </w:rPr>
        <w:t xml:space="preserve"> for businesses.</w:t>
      </w:r>
      <w:r>
        <w:rPr>
          <w:rStyle w:val="FootnoteReference"/>
          <w:noProof/>
          <w:lang w:val="en-US"/>
        </w:rPr>
        <w:footnoteReference w:id="8"/>
      </w:r>
      <w:r>
        <w:rPr>
          <w:noProof/>
        </w:rPr>
        <w:t xml:space="preserve"> </w:t>
      </w:r>
    </w:p>
    <w:p w14:paraId="0866F037" w14:textId="2710E713" w:rsidR="00C07C6E" w:rsidRPr="00CB3DD3" w:rsidRDefault="0072234F">
      <w:pPr>
        <w:rPr>
          <w:rFonts w:eastAsiaTheme="minorEastAsia" w:cs="Times New Roman"/>
          <w:noProof/>
          <w:color w:val="000000" w:themeColor="text1"/>
        </w:rPr>
      </w:pPr>
      <w:r>
        <w:rPr>
          <w:rFonts w:cs="Times New Roman"/>
          <w:noProof/>
        </w:rPr>
        <w:t xml:space="preserve">In addition, the Commission will </w:t>
      </w:r>
      <w:r w:rsidRPr="00FA377F">
        <w:rPr>
          <w:b/>
          <w:noProof/>
          <w:lang w:val="en-GB"/>
        </w:rPr>
        <w:t>s</w:t>
      </w:r>
      <w:r w:rsidR="5046A72F" w:rsidRPr="00FA377F">
        <w:rPr>
          <w:b/>
          <w:noProof/>
          <w:lang w:val="en-GB"/>
        </w:rPr>
        <w:t xml:space="preserve">upport industry </w:t>
      </w:r>
      <w:r w:rsidR="78AF2D0A" w:rsidRPr="022AA566">
        <w:rPr>
          <w:rFonts w:cs="Times New Roman"/>
          <w:noProof/>
        </w:rPr>
        <w:t xml:space="preserve">to </w:t>
      </w:r>
      <w:r w:rsidR="4231FAF6" w:rsidRPr="022AA566">
        <w:rPr>
          <w:rFonts w:cs="Times New Roman"/>
          <w:noProof/>
        </w:rPr>
        <w:t xml:space="preserve">address the </w:t>
      </w:r>
      <w:r w:rsidR="4231FAF6" w:rsidRPr="00FA377F">
        <w:rPr>
          <w:noProof/>
        </w:rPr>
        <w:t>s</w:t>
      </w:r>
      <w:r w:rsidRPr="33A6D15D">
        <w:rPr>
          <w:rFonts w:cs="Times New Roman"/>
          <w:b/>
          <w:bCs/>
          <w:noProof/>
          <w:lang w:val="en-GB"/>
        </w:rPr>
        <w:t>kills</w:t>
      </w:r>
      <w:r>
        <w:rPr>
          <w:rFonts w:cs="Times New Roman"/>
          <w:b/>
          <w:noProof/>
          <w:lang w:val="en-GB"/>
        </w:rPr>
        <w:t xml:space="preserve"> gap</w:t>
      </w:r>
      <w:r w:rsidRPr="3D785ED8">
        <w:rPr>
          <w:rStyle w:val="FootnoteReference"/>
          <w:rFonts w:cs="Times New Roman"/>
          <w:noProof/>
          <w:lang w:val="en-GB"/>
        </w:rPr>
        <w:footnoteReference w:id="9"/>
      </w:r>
      <w:r>
        <w:rPr>
          <w:rFonts w:cs="Times New Roman"/>
          <w:noProof/>
          <w:lang w:val="en-GB"/>
        </w:rPr>
        <w:t>, which has become a serious bottleneck for the industry’s clean transition</w:t>
      </w:r>
      <w:r w:rsidR="00DD321E">
        <w:rPr>
          <w:rStyle w:val="FootnoteReference"/>
          <w:rFonts w:cs="Times New Roman"/>
          <w:noProof/>
          <w:lang w:val="en-GB"/>
        </w:rPr>
        <w:footnoteReference w:id="10"/>
      </w:r>
      <w:r w:rsidR="00C92A49">
        <w:rPr>
          <w:rFonts w:asciiTheme="minorHAnsi" w:eastAsiaTheme="minorEastAsia" w:hAnsiTheme="minorHAnsi"/>
          <w:noProof/>
          <w:color w:val="000000" w:themeColor="text1"/>
          <w:lang w:val="en-GB"/>
        </w:rPr>
        <w:t>. This</w:t>
      </w:r>
      <w:r w:rsidR="00C92A49" w:rsidRPr="00FA377F">
        <w:rPr>
          <w:rFonts w:asciiTheme="minorHAnsi" w:hAnsiTheme="minorHAnsi"/>
          <w:noProof/>
          <w:color w:val="000000" w:themeColor="text1"/>
          <w:lang w:val="en-GB"/>
        </w:rPr>
        <w:t xml:space="preserve"> </w:t>
      </w:r>
      <w:r w:rsidRPr="2D84A624">
        <w:rPr>
          <w:rFonts w:eastAsiaTheme="minorEastAsia" w:cs="Times New Roman"/>
          <w:noProof/>
          <w:color w:val="000000" w:themeColor="text1"/>
        </w:rPr>
        <w:t>requires a strong</w:t>
      </w:r>
      <w:r>
        <w:rPr>
          <w:rFonts w:eastAsiaTheme="minorEastAsia" w:cs="Times New Roman"/>
          <w:noProof/>
          <w:color w:val="000000" w:themeColor="text1"/>
        </w:rPr>
        <w:t xml:space="preserve"> focus by Member States to identify the skills gap and work with industry and social partners to mobilise actions to address them in accordance with the Action Plan to reduce skills and labour shortage</w:t>
      </w:r>
      <w:r>
        <w:rPr>
          <w:rStyle w:val="FootnoteReference"/>
          <w:rFonts w:eastAsiaTheme="minorEastAsia" w:cs="Times New Roman"/>
          <w:noProof/>
          <w:color w:val="000000" w:themeColor="text1"/>
        </w:rPr>
        <w:t xml:space="preserve"> </w:t>
      </w:r>
      <w:r w:rsidRPr="5BC25718">
        <w:rPr>
          <w:rStyle w:val="FootnoteReference"/>
          <w:rFonts w:eastAsiaTheme="minorEastAsia" w:cs="Times New Roman"/>
          <w:noProof/>
          <w:color w:val="000000" w:themeColor="text1"/>
        </w:rPr>
        <w:footnoteReference w:id="11"/>
      </w:r>
      <w:r w:rsidRPr="2D84A624">
        <w:rPr>
          <w:rFonts w:eastAsiaTheme="minorEastAsia" w:cs="Times New Roman"/>
          <w:noProof/>
          <w:color w:val="000000" w:themeColor="text1"/>
        </w:rPr>
        <w:t>.</w:t>
      </w:r>
    </w:p>
    <w:p w14:paraId="4AFA3A5E" w14:textId="14E897C8" w:rsidR="00467178" w:rsidRDefault="0072234F">
      <w:pPr>
        <w:rPr>
          <w:rFonts w:eastAsiaTheme="minorEastAsia" w:cs="Times New Roman"/>
          <w:noProof/>
          <w:color w:val="000000" w:themeColor="text1"/>
        </w:rPr>
      </w:pPr>
      <w:r>
        <w:rPr>
          <w:rFonts w:eastAsiaTheme="minorEastAsia" w:cs="Times New Roman"/>
          <w:noProof/>
          <w:color w:val="000000" w:themeColor="text1"/>
        </w:rPr>
        <w:t xml:space="preserve">An effective and simplified enabling framework for a competitive sustainable economy often starts at </w:t>
      </w:r>
      <w:r w:rsidRPr="0072234F">
        <w:rPr>
          <w:rFonts w:eastAsiaTheme="minorEastAsia" w:cs="Times New Roman"/>
          <w:b/>
          <w:noProof/>
          <w:color w:val="000000" w:themeColor="text1"/>
        </w:rPr>
        <w:t>local and regional</w:t>
      </w:r>
      <w:r>
        <w:rPr>
          <w:rFonts w:eastAsiaTheme="minorEastAsia" w:cs="Times New Roman"/>
          <w:noProof/>
          <w:color w:val="000000" w:themeColor="text1"/>
        </w:rPr>
        <w:t xml:space="preserve"> </w:t>
      </w:r>
      <w:r>
        <w:rPr>
          <w:rFonts w:eastAsiaTheme="minorEastAsia" w:cs="Times New Roman"/>
          <w:b/>
          <w:bCs/>
          <w:noProof/>
          <w:color w:val="000000" w:themeColor="text1"/>
        </w:rPr>
        <w:t>level</w:t>
      </w:r>
      <w:r>
        <w:rPr>
          <w:rFonts w:eastAsiaTheme="minorEastAsia" w:cs="Times New Roman"/>
          <w:noProof/>
          <w:color w:val="000000" w:themeColor="text1"/>
        </w:rPr>
        <w:t xml:space="preserve">. Cities are </w:t>
      </w:r>
      <w:r w:rsidR="00600949">
        <w:rPr>
          <w:rFonts w:eastAsiaTheme="minorEastAsia" w:cs="Times New Roman"/>
          <w:noProof/>
          <w:color w:val="000000" w:themeColor="text1"/>
        </w:rPr>
        <w:t xml:space="preserve">key players in </w:t>
      </w:r>
      <w:r>
        <w:rPr>
          <w:rFonts w:eastAsiaTheme="minorEastAsia" w:cs="Times New Roman"/>
          <w:noProof/>
          <w:color w:val="000000" w:themeColor="text1"/>
        </w:rPr>
        <w:t xml:space="preserve">delivering the objectives of the Green Deal on the ground, as demonstrated by the Covenant of Mayors and the EU Mission on ‘Climate-Neutral and </w:t>
      </w:r>
      <w:r w:rsidR="00600949">
        <w:rPr>
          <w:rFonts w:eastAsiaTheme="minorEastAsia" w:cs="Times New Roman"/>
          <w:noProof/>
          <w:color w:val="000000" w:themeColor="text1"/>
        </w:rPr>
        <w:t xml:space="preserve">Smart </w:t>
      </w:r>
      <w:r>
        <w:rPr>
          <w:rFonts w:eastAsiaTheme="minorEastAsia" w:cs="Times New Roman"/>
          <w:noProof/>
          <w:color w:val="000000" w:themeColor="text1"/>
        </w:rPr>
        <w:t>Cities’, which involves 100 EU cities committed to reach climate neutrality by 2030, representing 12% of the EU’s population. To speed up the implementation of the Green Deal and to foster our industrial strength, the Commission will further work on identifying key value chains</w:t>
      </w:r>
      <w:r w:rsidR="00C96536">
        <w:rPr>
          <w:rFonts w:eastAsiaTheme="minorEastAsia" w:cs="Times New Roman"/>
          <w:noProof/>
          <w:color w:val="000000" w:themeColor="text1"/>
        </w:rPr>
        <w:t>,</w:t>
      </w:r>
      <w:r w:rsidR="007E2641">
        <w:rPr>
          <w:rFonts w:eastAsiaTheme="minorEastAsia" w:cs="Times New Roman"/>
          <w:noProof/>
          <w:color w:val="000000" w:themeColor="text1"/>
        </w:rPr>
        <w:t xml:space="preserve"> </w:t>
      </w:r>
      <w:r>
        <w:rPr>
          <w:rFonts w:eastAsiaTheme="minorEastAsia" w:cs="Times New Roman"/>
          <w:noProof/>
          <w:color w:val="000000" w:themeColor="text1"/>
        </w:rPr>
        <w:t>lead markets</w:t>
      </w:r>
      <w:r w:rsidR="00DF22C8">
        <w:rPr>
          <w:rFonts w:eastAsiaTheme="minorEastAsia" w:cs="Times New Roman"/>
          <w:noProof/>
          <w:color w:val="000000" w:themeColor="text1"/>
        </w:rPr>
        <w:t xml:space="preserve">, </w:t>
      </w:r>
      <w:r w:rsidR="007E2641">
        <w:rPr>
          <w:rFonts w:eastAsiaTheme="minorEastAsia" w:cs="Times New Roman"/>
          <w:noProof/>
          <w:color w:val="000000" w:themeColor="text1"/>
        </w:rPr>
        <w:t xml:space="preserve">and </w:t>
      </w:r>
      <w:r w:rsidR="00264231">
        <w:rPr>
          <w:rFonts w:eastAsiaTheme="minorEastAsia" w:cs="Times New Roman"/>
          <w:noProof/>
          <w:color w:val="000000" w:themeColor="text1"/>
        </w:rPr>
        <w:t>demand aggregation opportunities</w:t>
      </w:r>
      <w:r>
        <w:rPr>
          <w:rFonts w:eastAsiaTheme="minorEastAsia" w:cs="Times New Roman"/>
          <w:noProof/>
          <w:color w:val="000000" w:themeColor="text1"/>
        </w:rPr>
        <w:t xml:space="preserve"> with a strong </w:t>
      </w:r>
      <w:r w:rsidRPr="0072234F">
        <w:rPr>
          <w:rFonts w:eastAsiaTheme="minorEastAsia" w:cs="Times New Roman"/>
          <w:noProof/>
          <w:color w:val="000000" w:themeColor="text1"/>
        </w:rPr>
        <w:t>anchor</w:t>
      </w:r>
      <w:r>
        <w:rPr>
          <w:rFonts w:eastAsiaTheme="minorEastAsia" w:cs="Times New Roman"/>
          <w:noProof/>
          <w:color w:val="000000" w:themeColor="text1"/>
        </w:rPr>
        <w:t xml:space="preserve"> on the regional and local level</w:t>
      </w:r>
      <w:r w:rsidR="007E2641">
        <w:rPr>
          <w:rFonts w:eastAsiaTheme="minorEastAsia" w:cs="Times New Roman"/>
          <w:noProof/>
          <w:color w:val="000000" w:themeColor="text1"/>
        </w:rPr>
        <w:t>,</w:t>
      </w:r>
      <w:r w:rsidR="00CF6891">
        <w:rPr>
          <w:rFonts w:eastAsiaTheme="minorEastAsia" w:cs="Times New Roman"/>
          <w:noProof/>
          <w:color w:val="000000" w:themeColor="text1"/>
        </w:rPr>
        <w:t xml:space="preserve"> </w:t>
      </w:r>
      <w:r w:rsidR="00CF6891" w:rsidRPr="00C92A49">
        <w:rPr>
          <w:rFonts w:eastAsiaTheme="minorEastAsia" w:cs="Times New Roman"/>
          <w:noProof/>
          <w:color w:val="000000" w:themeColor="text1"/>
        </w:rPr>
        <w:t>leveraging Cohesion Policy decarbonisation investments in EU Member States and regions</w:t>
      </w:r>
      <w:r w:rsidRPr="00C92A49">
        <w:rPr>
          <w:rFonts w:eastAsiaTheme="minorEastAsia" w:cs="Times New Roman"/>
          <w:noProof/>
          <w:color w:val="000000" w:themeColor="text1"/>
        </w:rPr>
        <w:t>.</w:t>
      </w:r>
    </w:p>
    <w:p w14:paraId="3500FCFF" w14:textId="4139D756" w:rsidR="00C07C6E" w:rsidRDefault="009C39BB">
      <w:pPr>
        <w:rPr>
          <w:rFonts w:eastAsiaTheme="minorEastAsia" w:cs="Times New Roman"/>
          <w:noProof/>
          <w:color w:val="000000" w:themeColor="text1"/>
        </w:rPr>
      </w:pPr>
      <w:r w:rsidRPr="007B7635">
        <w:rPr>
          <w:rFonts w:eastAsiaTheme="minorEastAsia"/>
          <w:noProof/>
        </w:rPr>
        <w:t xml:space="preserve">This collaborative approach will continue to be supported through </w:t>
      </w:r>
      <w:r w:rsidRPr="008431E4">
        <w:rPr>
          <w:rFonts w:eastAsiaTheme="minorEastAsia"/>
          <w:b/>
          <w:bCs/>
          <w:noProof/>
        </w:rPr>
        <w:t>industrial alliances</w:t>
      </w:r>
      <w:r w:rsidRPr="007B7635">
        <w:rPr>
          <w:rFonts w:eastAsiaTheme="minorEastAsia"/>
          <w:noProof/>
        </w:rPr>
        <w:t>.</w:t>
      </w:r>
      <w:r w:rsidR="004E6690" w:rsidRPr="004E6690">
        <w:rPr>
          <w:rFonts w:eastAsiaTheme="minorEastAsia" w:cs="Times New Roman"/>
          <w:noProof/>
          <w:color w:val="000000" w:themeColor="text1"/>
        </w:rPr>
        <w:t xml:space="preserve"> </w:t>
      </w:r>
    </w:p>
    <w:p w14:paraId="7F688A27" w14:textId="5A64B2BC" w:rsidR="5C34F8BD" w:rsidRDefault="5C34F8BD" w:rsidP="5C34F8BD">
      <w:pPr>
        <w:rPr>
          <w:rFonts w:eastAsiaTheme="minorEastAsia" w:cs="Times New Roman"/>
          <w:noProof/>
          <w:color w:val="000000" w:themeColor="text1"/>
        </w:rPr>
      </w:pPr>
    </w:p>
    <w:p w14:paraId="01F695BC" w14:textId="77777777" w:rsidR="00C07C6E" w:rsidRDefault="0072234F">
      <w:pPr>
        <w:pStyle w:val="ListParagraph"/>
        <w:numPr>
          <w:ilvl w:val="0"/>
          <w:numId w:val="6"/>
        </w:numPr>
        <w:ind w:left="426" w:hanging="426"/>
        <w:rPr>
          <w:b/>
          <w:noProof/>
          <w:color w:val="000000"/>
        </w:rPr>
      </w:pPr>
      <w:r>
        <w:rPr>
          <w:rStyle w:val="normaltextrun"/>
          <w:b/>
          <w:noProof/>
          <w:color w:val="000000"/>
        </w:rPr>
        <w:t>ABUNDANT AND AFFORDABLE CLEAN ENERGY</w:t>
      </w:r>
    </w:p>
    <w:p w14:paraId="00D6C3D0" w14:textId="0D80E380" w:rsidR="00C07C6E" w:rsidRDefault="00C2376B" w:rsidP="7E46FFCF">
      <w:pPr>
        <w:rPr>
          <w:noProof/>
        </w:rPr>
      </w:pPr>
      <w:r>
        <w:rPr>
          <w:noProof/>
        </w:rPr>
        <w:t xml:space="preserve"> </w:t>
      </w:r>
    </w:p>
    <w:p w14:paraId="6BDB11A1" w14:textId="32929B14" w:rsidR="00C07C6E" w:rsidRDefault="00573783">
      <w:pPr>
        <w:rPr>
          <w:noProof/>
        </w:rPr>
      </w:pPr>
      <w:r>
        <w:rPr>
          <w:noProof/>
        </w:rPr>
        <w:t>Participants in the Dialogues stressed that s</w:t>
      </w:r>
      <w:r w:rsidR="0072234F">
        <w:rPr>
          <w:noProof/>
        </w:rPr>
        <w:t xml:space="preserve">ecuring the supply of abundant and affordable zero and low-carbon energy is a key condition to </w:t>
      </w:r>
      <w:r w:rsidR="0072234F">
        <w:rPr>
          <w:b/>
          <w:noProof/>
        </w:rPr>
        <w:t>accelerate the decarbonisation</w:t>
      </w:r>
      <w:r w:rsidR="0072234F">
        <w:rPr>
          <w:noProof/>
        </w:rPr>
        <w:t xml:space="preserve"> of the EU economy and </w:t>
      </w:r>
      <w:r w:rsidR="0072234F">
        <w:rPr>
          <w:b/>
          <w:noProof/>
        </w:rPr>
        <w:t xml:space="preserve">preserve the competitiveness of </w:t>
      </w:r>
      <w:r>
        <w:rPr>
          <w:b/>
          <w:noProof/>
        </w:rPr>
        <w:t xml:space="preserve">the </w:t>
      </w:r>
      <w:r w:rsidR="0072234F">
        <w:rPr>
          <w:b/>
          <w:noProof/>
        </w:rPr>
        <w:t>European industry</w:t>
      </w:r>
      <w:r w:rsidR="0072234F">
        <w:rPr>
          <w:noProof/>
        </w:rPr>
        <w:t xml:space="preserve">. To get there, and in full respect of Member States’ right to decide on their energy mix, Europe will need </w:t>
      </w:r>
      <w:r w:rsidR="0072234F">
        <w:rPr>
          <w:b/>
          <w:noProof/>
        </w:rPr>
        <w:t xml:space="preserve">all zero and low-carbon energy sources and </w:t>
      </w:r>
      <w:r>
        <w:rPr>
          <w:b/>
          <w:noProof/>
        </w:rPr>
        <w:t xml:space="preserve">flexibility </w:t>
      </w:r>
      <w:r w:rsidR="0072234F">
        <w:rPr>
          <w:b/>
          <w:noProof/>
        </w:rPr>
        <w:t>technologies</w:t>
      </w:r>
      <w:r w:rsidR="00D56941">
        <w:rPr>
          <w:b/>
          <w:noProof/>
        </w:rPr>
        <w:t xml:space="preserve"> </w:t>
      </w:r>
      <w:r w:rsidR="0072234F">
        <w:rPr>
          <w:b/>
          <w:noProof/>
        </w:rPr>
        <w:t>as well as efficient and integrated energy markets</w:t>
      </w:r>
      <w:r w:rsidR="0072234F">
        <w:rPr>
          <w:noProof/>
        </w:rPr>
        <w:t>.</w:t>
      </w:r>
      <w:r w:rsidR="00853359">
        <w:rPr>
          <w:noProof/>
        </w:rPr>
        <w:t xml:space="preserve"> E</w:t>
      </w:r>
      <w:r w:rsidR="00853359" w:rsidRPr="007F350B">
        <w:rPr>
          <w:noProof/>
        </w:rPr>
        <w:t xml:space="preserve">nergy efficiency improvements, and the uptake of </w:t>
      </w:r>
      <w:r w:rsidR="00853359">
        <w:rPr>
          <w:noProof/>
        </w:rPr>
        <w:t xml:space="preserve">sustainable and </w:t>
      </w:r>
      <w:r w:rsidR="00853359" w:rsidRPr="007F350B">
        <w:rPr>
          <w:noProof/>
        </w:rPr>
        <w:t xml:space="preserve">efficient products </w:t>
      </w:r>
      <w:r w:rsidR="00853359">
        <w:rPr>
          <w:noProof/>
        </w:rPr>
        <w:t>can</w:t>
      </w:r>
      <w:r w:rsidR="00853359" w:rsidRPr="007F350B">
        <w:rPr>
          <w:noProof/>
        </w:rPr>
        <w:t xml:space="preserve"> </w:t>
      </w:r>
      <w:r w:rsidR="00853359">
        <w:rPr>
          <w:noProof/>
        </w:rPr>
        <w:t>continue</w:t>
      </w:r>
      <w:r w:rsidR="00853359" w:rsidRPr="007F350B">
        <w:rPr>
          <w:noProof/>
        </w:rPr>
        <w:t xml:space="preserve"> </w:t>
      </w:r>
      <w:r w:rsidR="00853359">
        <w:rPr>
          <w:noProof/>
        </w:rPr>
        <w:t xml:space="preserve">to lower the energy </w:t>
      </w:r>
      <w:r w:rsidR="00853359" w:rsidRPr="007F350B">
        <w:rPr>
          <w:noProof/>
        </w:rPr>
        <w:t>costs</w:t>
      </w:r>
      <w:r w:rsidR="00853359">
        <w:rPr>
          <w:noProof/>
        </w:rPr>
        <w:t>, and guarantee a cost-effective transition.</w:t>
      </w:r>
    </w:p>
    <w:p w14:paraId="4E404081" w14:textId="66E9BC62" w:rsidR="00C07C6E" w:rsidRDefault="0072234F">
      <w:pPr>
        <w:rPr>
          <w:noProof/>
        </w:rPr>
      </w:pPr>
      <w:r>
        <w:rPr>
          <w:noProof/>
        </w:rPr>
        <w:t>Thanks to the unprecedented efforts of citizens, industry, Member States and the EU, the situation on the EU energy market has stabilised</w:t>
      </w:r>
      <w:r>
        <w:rPr>
          <w:rStyle w:val="FootnoteReference"/>
          <w:noProof/>
        </w:rPr>
        <w:footnoteReference w:id="12"/>
      </w:r>
      <w:r w:rsidR="00E52392">
        <w:rPr>
          <w:noProof/>
        </w:rPr>
        <w:t>.</w:t>
      </w:r>
      <w:r>
        <w:rPr>
          <w:noProof/>
        </w:rPr>
        <w:t xml:space="preserve"> However,</w:t>
      </w:r>
      <w:r>
        <w:rPr>
          <w:b/>
          <w:noProof/>
        </w:rPr>
        <w:t xml:space="preserve"> energy prices continue to affect </w:t>
      </w:r>
      <w:r w:rsidR="00AD2934">
        <w:rPr>
          <w:b/>
          <w:noProof/>
        </w:rPr>
        <w:t xml:space="preserve">the </w:t>
      </w:r>
      <w:r>
        <w:rPr>
          <w:b/>
          <w:noProof/>
        </w:rPr>
        <w:t>competitiveness of the EU industry</w:t>
      </w:r>
      <w:r>
        <w:rPr>
          <w:noProof/>
        </w:rPr>
        <w:t>. EU electricity industrial retail prices are 2 to 3 times more expensive than in the US (2021 to 2023) while historically they were 1.5 - 2 times the US prices. Gas prices are 3 to 6 times higher than those in the U.S, compared to 2-3 times historically. This requires a thorough discussion involving all EU institutions</w:t>
      </w:r>
      <w:r w:rsidR="00F91F8C">
        <w:rPr>
          <w:noProof/>
        </w:rPr>
        <w:t>, Member States and stakeholders</w:t>
      </w:r>
      <w:r>
        <w:rPr>
          <w:noProof/>
        </w:rPr>
        <w:t xml:space="preserve"> on how Europe can achieve the phase-in of clean energy and phase-out of fossil fuels in an affordable and competitive manner for Europe, notably by rewarding early movers towards clean energy </w:t>
      </w:r>
      <w:r w:rsidR="00F91F8C">
        <w:rPr>
          <w:noProof/>
        </w:rPr>
        <w:t>and energy efficiency</w:t>
      </w:r>
      <w:r>
        <w:rPr>
          <w:noProof/>
        </w:rPr>
        <w:t xml:space="preserve"> whilst bridging the </w:t>
      </w:r>
      <w:r w:rsidR="002D7DAA" w:rsidRPr="002D7DAA">
        <w:rPr>
          <w:noProof/>
        </w:rPr>
        <w:t>potential funding gap when there is a market failure</w:t>
      </w:r>
      <w:r>
        <w:rPr>
          <w:noProof/>
        </w:rPr>
        <w:t>.</w:t>
      </w:r>
    </w:p>
    <w:p w14:paraId="11F77EBD" w14:textId="74A1B9B7" w:rsidR="00C07C6E" w:rsidRPr="00C92A49" w:rsidRDefault="0072234F">
      <w:pPr>
        <w:rPr>
          <w:noProof/>
        </w:rPr>
      </w:pPr>
      <w:r>
        <w:rPr>
          <w:noProof/>
        </w:rPr>
        <w:t>T</w:t>
      </w:r>
      <w:r w:rsidR="009448BF">
        <w:rPr>
          <w:noProof/>
        </w:rPr>
        <w:t>he Dialogues re</w:t>
      </w:r>
      <w:r w:rsidR="00E256A2">
        <w:rPr>
          <w:noProof/>
        </w:rPr>
        <w:t>confirmed</w:t>
      </w:r>
      <w:r w:rsidR="009448BF">
        <w:rPr>
          <w:noProof/>
        </w:rPr>
        <w:t xml:space="preserve"> that t</w:t>
      </w:r>
      <w:r>
        <w:rPr>
          <w:noProof/>
        </w:rPr>
        <w:t xml:space="preserve">his is of particular importance for </w:t>
      </w:r>
      <w:r>
        <w:rPr>
          <w:b/>
          <w:noProof/>
        </w:rPr>
        <w:t xml:space="preserve">energy intensive industries </w:t>
      </w:r>
      <w:r>
        <w:rPr>
          <w:noProof/>
        </w:rPr>
        <w:t xml:space="preserve">but also for the </w:t>
      </w:r>
      <w:r>
        <w:rPr>
          <w:b/>
          <w:noProof/>
        </w:rPr>
        <w:t>clean tech and transport</w:t>
      </w:r>
      <w:r>
        <w:rPr>
          <w:rStyle w:val="FootnoteReference"/>
          <w:b/>
          <w:noProof/>
        </w:rPr>
        <w:footnoteReference w:id="13"/>
      </w:r>
      <w:r>
        <w:rPr>
          <w:b/>
          <w:noProof/>
        </w:rPr>
        <w:t xml:space="preserve"> </w:t>
      </w:r>
      <w:r>
        <w:rPr>
          <w:noProof/>
        </w:rPr>
        <w:t>sectors</w:t>
      </w:r>
      <w:r w:rsidR="711529A2">
        <w:rPr>
          <w:noProof/>
        </w:rPr>
        <w:t>, both being critical for stimulating growth and creating jobs in Europe</w:t>
      </w:r>
      <w:r>
        <w:rPr>
          <w:noProof/>
        </w:rPr>
        <w:t xml:space="preserve">. Indeed, certain industrial and transport sectors have called for additional innovative, </w:t>
      </w:r>
      <w:r w:rsidR="1BF7CD88">
        <w:rPr>
          <w:noProof/>
        </w:rPr>
        <w:t xml:space="preserve">transitory </w:t>
      </w:r>
      <w:r>
        <w:rPr>
          <w:noProof/>
        </w:rPr>
        <w:t>measures that</w:t>
      </w:r>
      <w:r>
        <w:rPr>
          <w:b/>
          <w:noProof/>
        </w:rPr>
        <w:t xml:space="preserve"> secure energy at lower prices, while providing certainty to energy producers through long-term off-take</w:t>
      </w:r>
      <w:r>
        <w:rPr>
          <w:noProof/>
        </w:rPr>
        <w:t xml:space="preserve">. </w:t>
      </w:r>
      <w:r w:rsidRPr="00C92A49">
        <w:rPr>
          <w:noProof/>
        </w:rPr>
        <w:t xml:space="preserve">Furthermore, </w:t>
      </w:r>
      <w:r w:rsidR="002054E3" w:rsidRPr="00C92A49">
        <w:rPr>
          <w:noProof/>
        </w:rPr>
        <w:t>participants also noted that a</w:t>
      </w:r>
      <w:r w:rsidRPr="00C92A49">
        <w:rPr>
          <w:b/>
          <w:noProof/>
        </w:rPr>
        <w:t xml:space="preserve"> reduction of network fees</w:t>
      </w:r>
      <w:r w:rsidRPr="00C92A49">
        <w:rPr>
          <w:noProof/>
        </w:rPr>
        <w:t xml:space="preserve"> paid by energy intensive industries </w:t>
      </w:r>
      <w:r w:rsidR="00CE0F42" w:rsidRPr="00C92A49">
        <w:rPr>
          <w:noProof/>
        </w:rPr>
        <w:t>that are pursuing decarboni</w:t>
      </w:r>
      <w:r w:rsidR="006A4B62">
        <w:rPr>
          <w:noProof/>
        </w:rPr>
        <w:t>s</w:t>
      </w:r>
      <w:r w:rsidR="00CE0F42" w:rsidRPr="00C92A49">
        <w:rPr>
          <w:noProof/>
        </w:rPr>
        <w:t xml:space="preserve">ation strategies </w:t>
      </w:r>
      <w:r w:rsidRPr="00C92A49">
        <w:rPr>
          <w:noProof/>
        </w:rPr>
        <w:t xml:space="preserve">could lower </w:t>
      </w:r>
      <w:r w:rsidR="007E2753" w:rsidRPr="00C92A49">
        <w:rPr>
          <w:noProof/>
        </w:rPr>
        <w:t xml:space="preserve">their </w:t>
      </w:r>
      <w:r w:rsidRPr="00C92A49">
        <w:rPr>
          <w:noProof/>
        </w:rPr>
        <w:t>energy costs</w:t>
      </w:r>
      <w:r w:rsidR="004F1B3D" w:rsidRPr="00C92A49">
        <w:rPr>
          <w:noProof/>
        </w:rPr>
        <w:t>. G</w:t>
      </w:r>
      <w:r w:rsidR="00337AD3" w:rsidRPr="00C92A49">
        <w:rPr>
          <w:noProof/>
        </w:rPr>
        <w:t xml:space="preserve">oing </w:t>
      </w:r>
      <w:r w:rsidR="00724253" w:rsidRPr="00C92A49">
        <w:rPr>
          <w:noProof/>
        </w:rPr>
        <w:t>forward, this may warrant a discussion at European level on network tariff setting methodologies</w:t>
      </w:r>
      <w:r w:rsidR="00EE5770" w:rsidRPr="00C92A49">
        <w:rPr>
          <w:noProof/>
        </w:rPr>
        <w:t xml:space="preserve"> with </w:t>
      </w:r>
      <w:r w:rsidR="002054E3" w:rsidRPr="00C92A49">
        <w:rPr>
          <w:noProof/>
        </w:rPr>
        <w:t xml:space="preserve">a </w:t>
      </w:r>
      <w:r w:rsidR="00EE5770" w:rsidRPr="00C92A49">
        <w:rPr>
          <w:noProof/>
        </w:rPr>
        <w:t>specific</w:t>
      </w:r>
      <w:r w:rsidR="00D164DA" w:rsidRPr="00C92A49">
        <w:rPr>
          <w:noProof/>
        </w:rPr>
        <w:t xml:space="preserve"> focus on energy intensive </w:t>
      </w:r>
      <w:r w:rsidR="004261F4" w:rsidRPr="00C92A49">
        <w:rPr>
          <w:noProof/>
        </w:rPr>
        <w:t>industries</w:t>
      </w:r>
      <w:r w:rsidR="006A4B62">
        <w:rPr>
          <w:noProof/>
        </w:rPr>
        <w:t>,</w:t>
      </w:r>
      <w:r w:rsidR="002054E3" w:rsidRPr="00C92A49">
        <w:rPr>
          <w:noProof/>
        </w:rPr>
        <w:t xml:space="preserve"> in </w:t>
      </w:r>
      <w:r>
        <w:rPr>
          <w:noProof/>
        </w:rPr>
        <w:t>line with</w:t>
      </w:r>
      <w:r w:rsidR="00C324C1">
        <w:rPr>
          <w:noProof/>
        </w:rPr>
        <w:t xml:space="preserve"> </w:t>
      </w:r>
      <w:r w:rsidR="002054E3" w:rsidRPr="00C92A49">
        <w:rPr>
          <w:noProof/>
        </w:rPr>
        <w:t>the EU acquis</w:t>
      </w:r>
      <w:r w:rsidRPr="00C92A49">
        <w:rPr>
          <w:noProof/>
        </w:rPr>
        <w:t>.</w:t>
      </w:r>
      <w:r>
        <w:rPr>
          <w:noProof/>
        </w:rPr>
        <w:t xml:space="preserve"> Additionally, participants underlined the importance of taking additional actions at EU level to faciliate the production and uptake of sustainable alternative fuels.</w:t>
      </w:r>
    </w:p>
    <w:p w14:paraId="5EC5E563" w14:textId="4AE3326A" w:rsidR="00C07C6E" w:rsidRPr="00FA377F" w:rsidRDefault="0072234F">
      <w:pPr>
        <w:rPr>
          <w:noProof/>
          <w:lang w:val="en-US"/>
        </w:rPr>
      </w:pPr>
      <w:r w:rsidRPr="00C92A49">
        <w:rPr>
          <w:noProof/>
        </w:rPr>
        <w:t>The</w:t>
      </w:r>
      <w:r>
        <w:rPr>
          <w:noProof/>
        </w:rPr>
        <w:t xml:space="preserve"> full benefits of the energy transition will only materialise when zero- and low-carbon technologies will more permanently replace fossil fuels, and when </w:t>
      </w:r>
      <w:r w:rsidR="00600949">
        <w:rPr>
          <w:noProof/>
        </w:rPr>
        <w:t xml:space="preserve">major </w:t>
      </w:r>
      <w:r>
        <w:rPr>
          <w:noProof/>
        </w:rPr>
        <w:t xml:space="preserve">investments in grids, storage and flexibility </w:t>
      </w:r>
      <w:r w:rsidDel="00600949">
        <w:rPr>
          <w:noProof/>
        </w:rPr>
        <w:t>are completed</w:t>
      </w:r>
      <w:r>
        <w:rPr>
          <w:noProof/>
        </w:rPr>
        <w:t xml:space="preserve">. </w:t>
      </w:r>
      <w:r>
        <w:rPr>
          <w:b/>
          <w:noProof/>
        </w:rPr>
        <w:t xml:space="preserve">The roll-out of </w:t>
      </w:r>
      <w:r>
        <w:rPr>
          <w:b/>
          <w:bCs/>
          <w:noProof/>
        </w:rPr>
        <w:t xml:space="preserve">zero and low carbon </w:t>
      </w:r>
      <w:r>
        <w:rPr>
          <w:b/>
          <w:noProof/>
        </w:rPr>
        <w:t xml:space="preserve">energy </w:t>
      </w:r>
      <w:r w:rsidR="42815A3A" w:rsidRPr="100DD6C1">
        <w:rPr>
          <w:b/>
          <w:bCs/>
          <w:noProof/>
        </w:rPr>
        <w:t xml:space="preserve">sources </w:t>
      </w:r>
      <w:r>
        <w:rPr>
          <w:b/>
          <w:noProof/>
        </w:rPr>
        <w:t xml:space="preserve">must accelerate. </w:t>
      </w:r>
      <w:r>
        <w:rPr>
          <w:noProof/>
        </w:rPr>
        <w:t xml:space="preserve">Member States should make full use of the potential provided by the new rules, including by rapidly transposing the Renewable Energy Directive, removing barriers to the conclusion of power purchase agreements and accelerating permit-granting for renewables, their connection to the grid, and their manufacturing. Making use of this potential may require strengthening administrative capacity, including by ensuring appropriate staffing and financing of permitting authorities. The Technical Support Instrument stands ready to </w:t>
      </w:r>
      <w:r w:rsidR="00CF6891" w:rsidRPr="00C92A49">
        <w:rPr>
          <w:noProof/>
        </w:rPr>
        <w:t>support Member States in improving permitting systems</w:t>
      </w:r>
      <w:r w:rsidRPr="00C92A49">
        <w:rPr>
          <w:noProof/>
        </w:rPr>
        <w:t xml:space="preserve">. </w:t>
      </w:r>
      <w:r w:rsidR="006B364F" w:rsidRPr="00C92A49">
        <w:rPr>
          <w:noProof/>
        </w:rPr>
        <w:t>At the same time, in relation to woo</w:t>
      </w:r>
      <w:r w:rsidR="006B364F" w:rsidRPr="00F848DE">
        <w:rPr>
          <w:noProof/>
        </w:rPr>
        <w:t>d-based bioenergy, it would be import</w:t>
      </w:r>
      <w:r w:rsidR="00C92A49">
        <w:rPr>
          <w:noProof/>
        </w:rPr>
        <w:t>a</w:t>
      </w:r>
      <w:r w:rsidR="006B364F" w:rsidRPr="00F848DE">
        <w:rPr>
          <w:noProof/>
        </w:rPr>
        <w:t>nt to implement the new sustainability criteria for the use of woody biomass and avoid support schemes that create distortive effects on the rapidly expanding bioeconomy sector.</w:t>
      </w:r>
    </w:p>
    <w:p w14:paraId="68FDE0CD" w14:textId="73D8FD88" w:rsidR="00C07C6E" w:rsidRDefault="0072234F">
      <w:pPr>
        <w:rPr>
          <w:noProof/>
          <w:lang w:val="en-GB"/>
        </w:rPr>
      </w:pPr>
      <w:r w:rsidRPr="00F848DE">
        <w:rPr>
          <w:rFonts w:eastAsia="Calibri"/>
          <w:noProof/>
          <w:lang w:val="en-GB"/>
        </w:rPr>
        <w:t xml:space="preserve">To master the transition, </w:t>
      </w:r>
      <w:r w:rsidRPr="00C92A49">
        <w:rPr>
          <w:rFonts w:eastAsia="Calibri"/>
          <w:noProof/>
          <w:lang w:val="en-GB"/>
        </w:rPr>
        <w:t xml:space="preserve">industry </w:t>
      </w:r>
      <w:r w:rsidR="005D044E" w:rsidRPr="00C92A49">
        <w:rPr>
          <w:rFonts w:eastAsia="Calibri"/>
          <w:noProof/>
          <w:lang w:val="en-GB"/>
        </w:rPr>
        <w:t>called for</w:t>
      </w:r>
      <w:r w:rsidRPr="00F848DE">
        <w:rPr>
          <w:rFonts w:eastAsia="Calibri"/>
          <w:noProof/>
          <w:lang w:val="en-GB"/>
        </w:rPr>
        <w:t xml:space="preserve"> the creation of </w:t>
      </w:r>
      <w:r w:rsidRPr="00F848DE">
        <w:rPr>
          <w:rFonts w:eastAsia="Calibri"/>
          <w:b/>
          <w:noProof/>
          <w:lang w:val="en-GB"/>
        </w:rPr>
        <w:t>industrial clusters</w:t>
      </w:r>
      <w:r w:rsidRPr="00F848DE">
        <w:rPr>
          <w:rStyle w:val="FootnoteReference"/>
          <w:rFonts w:eastAsia="Calibri"/>
          <w:noProof/>
          <w:lang w:val="en-GB"/>
        </w:rPr>
        <w:footnoteReference w:id="14"/>
      </w:r>
      <w:r w:rsidRPr="00F848DE">
        <w:rPr>
          <w:rFonts w:eastAsia="Calibri"/>
          <w:b/>
          <w:noProof/>
          <w:lang w:val="en-GB"/>
        </w:rPr>
        <w:t xml:space="preserve">, </w:t>
      </w:r>
      <w:r w:rsidRPr="00F848DE">
        <w:rPr>
          <w:rFonts w:eastAsia="Calibri"/>
          <w:noProof/>
          <w:lang w:val="en-GB"/>
        </w:rPr>
        <w:t>that</w:t>
      </w:r>
      <w:r w:rsidRPr="00F848DE">
        <w:rPr>
          <w:rFonts w:eastAsia="Calibri"/>
          <w:b/>
          <w:noProof/>
          <w:lang w:val="en-GB"/>
        </w:rPr>
        <w:t xml:space="preserve"> </w:t>
      </w:r>
      <w:r w:rsidRPr="00F848DE">
        <w:rPr>
          <w:rFonts w:eastAsia="Calibri"/>
          <w:noProof/>
          <w:lang w:val="en-GB"/>
        </w:rPr>
        <w:t xml:space="preserve">connect the largest manufacturing facilities and hubs with </w:t>
      </w:r>
      <w:r w:rsidR="00C16375" w:rsidRPr="00F848DE">
        <w:rPr>
          <w:rFonts w:eastAsia="Calibri"/>
          <w:noProof/>
          <w:lang w:val="en-GB"/>
        </w:rPr>
        <w:t>zero and low carbon generation plants</w:t>
      </w:r>
      <w:r w:rsidRPr="00F848DE">
        <w:rPr>
          <w:rFonts w:eastAsia="Calibri"/>
          <w:noProof/>
          <w:lang w:val="en-GB"/>
        </w:rPr>
        <w:t>, hydrogen</w:t>
      </w:r>
      <w:r w:rsidR="00600949" w:rsidRPr="00F848DE">
        <w:rPr>
          <w:rFonts w:eastAsia="Calibri"/>
          <w:noProof/>
          <w:lang w:val="en-GB"/>
        </w:rPr>
        <w:t xml:space="preserve"> and </w:t>
      </w:r>
      <w:r w:rsidR="0051020C" w:rsidRPr="00F848DE">
        <w:rPr>
          <w:rFonts w:eastAsia="Calibri"/>
          <w:noProof/>
          <w:lang w:val="en-GB"/>
        </w:rPr>
        <w:t>renewable</w:t>
      </w:r>
      <w:r w:rsidR="00600949" w:rsidRPr="00F848DE">
        <w:rPr>
          <w:rFonts w:eastAsia="Calibri"/>
          <w:noProof/>
          <w:lang w:val="en-GB"/>
        </w:rPr>
        <w:t>- and low-carbon fuels</w:t>
      </w:r>
      <w:r w:rsidRPr="00F848DE">
        <w:rPr>
          <w:rFonts w:eastAsia="Calibri"/>
          <w:noProof/>
          <w:lang w:val="en-GB"/>
        </w:rPr>
        <w:t xml:space="preserve"> producing facilities, or carbon capture, storage, transport and utilisation infrastructure</w:t>
      </w:r>
      <w:r w:rsidR="00CF6891">
        <w:rPr>
          <w:rFonts w:eastAsia="Calibri"/>
          <w:noProof/>
          <w:lang w:val="en-GB"/>
        </w:rPr>
        <w:t>.</w:t>
      </w:r>
      <w:r w:rsidRPr="00F848DE">
        <w:rPr>
          <w:noProof/>
        </w:rPr>
        <w:t xml:space="preserve"> </w:t>
      </w:r>
      <w:r w:rsidRPr="00C92A49">
        <w:rPr>
          <w:noProof/>
        </w:rPr>
        <w:t>Clustering industrial activity</w:t>
      </w:r>
      <w:r w:rsidR="005D044E" w:rsidRPr="00C92A49">
        <w:rPr>
          <w:noProof/>
        </w:rPr>
        <w:t>, in line with EU competition rules,</w:t>
      </w:r>
      <w:r w:rsidRPr="00C92A49">
        <w:rPr>
          <w:noProof/>
        </w:rPr>
        <w:t xml:space="preserve"> </w:t>
      </w:r>
      <w:r w:rsidRPr="00C92A49">
        <w:rPr>
          <w:rFonts w:eastAsia="Calibri"/>
          <w:noProof/>
          <w:lang w:val="en-GB"/>
        </w:rPr>
        <w:t>could help suppliers of net-zer</w:t>
      </w:r>
      <w:r w:rsidRPr="00F848DE">
        <w:rPr>
          <w:rFonts w:eastAsia="Calibri"/>
          <w:noProof/>
          <w:lang w:val="en-GB"/>
        </w:rPr>
        <w:t>o technologies and renewable energy to scale up their operations</w:t>
      </w:r>
      <w:r>
        <w:rPr>
          <w:rFonts w:eastAsia="Calibri"/>
          <w:noProof/>
          <w:lang w:val="en-GB"/>
        </w:rPr>
        <w:t xml:space="preserve"> and improve their commercial viability by supplying several industrial off-takers within a cluster, while manufacturing industry could decarbonise their operations at a lower cost by securing access to clean technologies and sharing </w:t>
      </w:r>
      <w:r w:rsidRPr="00C92A49">
        <w:rPr>
          <w:rFonts w:eastAsia="Calibri"/>
          <w:noProof/>
          <w:lang w:val="en-GB"/>
        </w:rPr>
        <w:t>costs</w:t>
      </w:r>
      <w:r w:rsidR="00600949" w:rsidRPr="00C92A49">
        <w:rPr>
          <w:rFonts w:eastAsia="Calibri"/>
          <w:noProof/>
          <w:lang w:val="en-GB"/>
        </w:rPr>
        <w:t>,</w:t>
      </w:r>
      <w:r w:rsidR="00600949" w:rsidRPr="00C92A49">
        <w:rPr>
          <w:noProof/>
        </w:rPr>
        <w:t xml:space="preserve"> </w:t>
      </w:r>
      <w:r w:rsidR="00600949" w:rsidRPr="00C92A49">
        <w:rPr>
          <w:rFonts w:eastAsia="Calibri"/>
          <w:noProof/>
          <w:lang w:val="en-GB"/>
        </w:rPr>
        <w:t>overall building a strong business case</w:t>
      </w:r>
      <w:r w:rsidRPr="00C92A49">
        <w:rPr>
          <w:rFonts w:eastAsia="Calibri"/>
          <w:noProof/>
          <w:lang w:val="en-GB"/>
        </w:rPr>
        <w:t xml:space="preserve">. </w:t>
      </w:r>
      <w:r w:rsidR="002458AD" w:rsidRPr="00C92A49">
        <w:rPr>
          <w:noProof/>
        </w:rPr>
        <w:t>Moreover,</w:t>
      </w:r>
      <w:r w:rsidRPr="00C92A49">
        <w:rPr>
          <w:noProof/>
        </w:rPr>
        <w:t xml:space="preserve"> in line with recent COP conclusions</w:t>
      </w:r>
      <w:r w:rsidR="006E6780" w:rsidRPr="00C92A49">
        <w:rPr>
          <w:noProof/>
        </w:rPr>
        <w:t xml:space="preserve"> and the Commi</w:t>
      </w:r>
      <w:r w:rsidR="006A4B62">
        <w:rPr>
          <w:noProof/>
        </w:rPr>
        <w:t>s</w:t>
      </w:r>
      <w:r w:rsidR="006E6780" w:rsidRPr="00C92A49">
        <w:rPr>
          <w:noProof/>
        </w:rPr>
        <w:t>sion’s proposal to revie</w:t>
      </w:r>
      <w:r w:rsidR="00457D91" w:rsidRPr="00C92A49">
        <w:rPr>
          <w:noProof/>
        </w:rPr>
        <w:t>w</w:t>
      </w:r>
      <w:r w:rsidR="006E6780" w:rsidRPr="00C92A49">
        <w:rPr>
          <w:noProof/>
        </w:rPr>
        <w:t xml:space="preserve"> the Energy Taxation Directive</w:t>
      </w:r>
      <w:r w:rsidRPr="00C92A49">
        <w:rPr>
          <w:noProof/>
        </w:rPr>
        <w:t xml:space="preserve">, </w:t>
      </w:r>
      <w:r w:rsidR="002458AD" w:rsidRPr="00C92A49">
        <w:rPr>
          <w:noProof/>
        </w:rPr>
        <w:t xml:space="preserve">Member States </w:t>
      </w:r>
      <w:r w:rsidR="006A4B62">
        <w:rPr>
          <w:noProof/>
        </w:rPr>
        <w:t>need to</w:t>
      </w:r>
      <w:r w:rsidR="006A4B62" w:rsidRPr="00C92A49">
        <w:rPr>
          <w:noProof/>
        </w:rPr>
        <w:t xml:space="preserve"> </w:t>
      </w:r>
      <w:r w:rsidRPr="00C92A49">
        <w:rPr>
          <w:noProof/>
        </w:rPr>
        <w:t>take</w:t>
      </w:r>
      <w:r>
        <w:rPr>
          <w:noProof/>
        </w:rPr>
        <w:t xml:space="preserve"> measures </w:t>
      </w:r>
      <w:r>
        <w:rPr>
          <w:b/>
          <w:noProof/>
        </w:rPr>
        <w:t>eliminating</w:t>
      </w:r>
      <w:r>
        <w:rPr>
          <w:noProof/>
        </w:rPr>
        <w:t xml:space="preserve"> </w:t>
      </w:r>
      <w:r>
        <w:rPr>
          <w:b/>
          <w:noProof/>
        </w:rPr>
        <w:t>subsidies for using fossil fuels, including in the form of tax exemptions or reduced rates</w:t>
      </w:r>
      <w:r>
        <w:rPr>
          <w:noProof/>
        </w:rPr>
        <w:t xml:space="preserve">. </w:t>
      </w:r>
      <w:r w:rsidR="00125B9E" w:rsidRPr="008431E4">
        <w:rPr>
          <w:bCs/>
          <w:noProof/>
        </w:rPr>
        <w:t>Fossil fuel subsidies amounted to</w:t>
      </w:r>
      <w:r w:rsidR="00125B9E" w:rsidRPr="00FA377F">
        <w:rPr>
          <w:noProof/>
        </w:rPr>
        <w:t xml:space="preserve"> </w:t>
      </w:r>
      <w:r>
        <w:rPr>
          <w:noProof/>
        </w:rPr>
        <w:t xml:space="preserve">EUR 56 billion in the EU in 2021 and </w:t>
      </w:r>
      <w:r w:rsidR="00E46261">
        <w:rPr>
          <w:noProof/>
        </w:rPr>
        <w:t xml:space="preserve">to </w:t>
      </w:r>
      <w:r>
        <w:rPr>
          <w:noProof/>
        </w:rPr>
        <w:t>EUR 123 billion in 2022.</w:t>
      </w:r>
      <w:r>
        <w:rPr>
          <w:rStyle w:val="FootnoteReference"/>
          <w:noProof/>
        </w:rPr>
        <w:footnoteReference w:id="15"/>
      </w:r>
      <w:r>
        <w:rPr>
          <w:noProof/>
        </w:rPr>
        <w:t xml:space="preserve"> </w:t>
      </w:r>
      <w:r>
        <w:rPr>
          <w:noProof/>
          <w:lang w:val="en-GB"/>
        </w:rPr>
        <w:t>More than half of fossil fuel subsidies do not have a fixed end date in 19 Member States</w:t>
      </w:r>
      <w:r>
        <w:rPr>
          <w:rStyle w:val="FootnoteReference"/>
          <w:noProof/>
          <w:lang w:val="en-GB"/>
        </w:rPr>
        <w:footnoteReference w:id="16"/>
      </w:r>
      <w:r>
        <w:rPr>
          <w:noProof/>
          <w:lang w:val="en-GB"/>
        </w:rPr>
        <w:t>.</w:t>
      </w:r>
    </w:p>
    <w:p w14:paraId="6EA61081" w14:textId="2A4B53BF" w:rsidR="00C07C6E" w:rsidRPr="00FA377F" w:rsidRDefault="0072234F" w:rsidP="00F77B89">
      <w:pPr>
        <w:keepNext/>
        <w:keepLines/>
        <w:rPr>
          <w:b/>
          <w:noProof/>
        </w:rPr>
      </w:pPr>
      <w:r>
        <w:rPr>
          <w:b/>
          <w:noProof/>
        </w:rPr>
        <w:t xml:space="preserve">Graph 1: </w:t>
      </w:r>
      <w:r w:rsidR="00F415D2">
        <w:rPr>
          <w:b/>
          <w:noProof/>
        </w:rPr>
        <w:t xml:space="preserve">Fossil fuel subsidies </w:t>
      </w:r>
      <w:r w:rsidR="00C11460">
        <w:rPr>
          <w:b/>
          <w:noProof/>
        </w:rPr>
        <w:t>as share</w:t>
      </w:r>
      <w:r w:rsidR="00C11460" w:rsidRPr="00FA377F">
        <w:rPr>
          <w:b/>
          <w:noProof/>
        </w:rPr>
        <w:t xml:space="preserve"> of </w:t>
      </w:r>
      <w:r w:rsidR="00C11460">
        <w:rPr>
          <w:b/>
          <w:noProof/>
        </w:rPr>
        <w:t>GDP</w:t>
      </w:r>
      <w:r w:rsidR="00C11460" w:rsidRPr="00FA377F">
        <w:rPr>
          <w:b/>
          <w:noProof/>
        </w:rPr>
        <w:t xml:space="preserve"> </w:t>
      </w:r>
      <w:r w:rsidR="00F415D2" w:rsidRPr="00FA377F">
        <w:rPr>
          <w:b/>
          <w:noProof/>
        </w:rPr>
        <w:t xml:space="preserve">and their </w:t>
      </w:r>
      <w:r w:rsidR="00F415D2">
        <w:rPr>
          <w:b/>
          <w:noProof/>
        </w:rPr>
        <w:t xml:space="preserve">planned </w:t>
      </w:r>
      <w:r w:rsidR="00F415D2" w:rsidRPr="00FA377F">
        <w:rPr>
          <w:b/>
          <w:noProof/>
        </w:rPr>
        <w:t>e</w:t>
      </w:r>
      <w:r w:rsidRPr="00FA377F">
        <w:rPr>
          <w:b/>
          <w:noProof/>
        </w:rPr>
        <w:t>nd date</w:t>
      </w:r>
    </w:p>
    <w:p w14:paraId="6B7FEF69" w14:textId="26C46ECE" w:rsidR="000D40A9" w:rsidRDefault="00F415D2">
      <w:pPr>
        <w:rPr>
          <w:b/>
          <w:noProof/>
        </w:rPr>
      </w:pPr>
      <w:r>
        <w:rPr>
          <w:noProof/>
          <w:lang w:val="en-GB" w:eastAsia="en-GB"/>
        </w:rPr>
        <w:drawing>
          <wp:inline distT="0" distB="0" distL="0" distR="0" wp14:anchorId="58DBA742" wp14:editId="2457CC18">
            <wp:extent cx="5731510" cy="22371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237105"/>
                    </a:xfrm>
                    <a:prstGeom prst="rect">
                      <a:avLst/>
                    </a:prstGeom>
                  </pic:spPr>
                </pic:pic>
              </a:graphicData>
            </a:graphic>
          </wp:inline>
        </w:drawing>
      </w:r>
    </w:p>
    <w:p w14:paraId="3B90435D" w14:textId="5D6B3B0E" w:rsidR="00F415D2" w:rsidRPr="00F415D2" w:rsidRDefault="00F415D2">
      <w:pPr>
        <w:rPr>
          <w:rFonts w:eastAsia="Times New Roman" w:cs="Times New Roman"/>
          <w:noProof/>
          <w:sz w:val="20"/>
          <w:szCs w:val="20"/>
        </w:rPr>
      </w:pPr>
      <w:r w:rsidRPr="00F415D2">
        <w:rPr>
          <w:rFonts w:eastAsia="Times New Roman" w:cs="Times New Roman"/>
          <w:noProof/>
          <w:sz w:val="20"/>
          <w:szCs w:val="20"/>
        </w:rPr>
        <w:t>Source: European Commission.</w:t>
      </w:r>
    </w:p>
    <w:p w14:paraId="3C3374E6" w14:textId="77777777" w:rsidR="00F415D2" w:rsidRDefault="00F415D2">
      <w:pPr>
        <w:rPr>
          <w:b/>
          <w:noProof/>
        </w:rPr>
      </w:pPr>
    </w:p>
    <w:p w14:paraId="17DE1675" w14:textId="2AA43A9F" w:rsidR="00C07C6E" w:rsidRDefault="00503B4E">
      <w:pPr>
        <w:rPr>
          <w:noProof/>
        </w:rPr>
      </w:pPr>
      <w:r>
        <w:rPr>
          <w:b/>
          <w:noProof/>
        </w:rPr>
        <w:t>Participants</w:t>
      </w:r>
      <w:r w:rsidRPr="00FA377F">
        <w:rPr>
          <w:b/>
          <w:noProof/>
        </w:rPr>
        <w:t xml:space="preserve"> in the </w:t>
      </w:r>
      <w:r>
        <w:rPr>
          <w:b/>
          <w:noProof/>
        </w:rPr>
        <w:t>Dialogues</w:t>
      </w:r>
      <w:r w:rsidR="004B4E22">
        <w:rPr>
          <w:b/>
          <w:noProof/>
        </w:rPr>
        <w:t xml:space="preserve"> called </w:t>
      </w:r>
      <w:r w:rsidR="00CB2E72">
        <w:rPr>
          <w:b/>
          <w:noProof/>
        </w:rPr>
        <w:t>on</w:t>
      </w:r>
      <w:r w:rsidR="004B4E22">
        <w:rPr>
          <w:b/>
          <w:noProof/>
        </w:rPr>
        <w:t xml:space="preserve"> </w:t>
      </w:r>
      <w:r w:rsidR="0072234F">
        <w:rPr>
          <w:b/>
          <w:noProof/>
        </w:rPr>
        <w:t xml:space="preserve">Member States </w:t>
      </w:r>
      <w:r w:rsidR="004B4E22">
        <w:rPr>
          <w:b/>
          <w:noProof/>
        </w:rPr>
        <w:t>to</w:t>
      </w:r>
      <w:r w:rsidR="0072234F">
        <w:rPr>
          <w:b/>
          <w:noProof/>
        </w:rPr>
        <w:t xml:space="preserve"> reconsider the level of taxes and levies on energy, including electricity. </w:t>
      </w:r>
      <w:bookmarkStart w:id="4" w:name="_Hlk160198079"/>
      <w:r w:rsidR="0072234F">
        <w:rPr>
          <w:noProof/>
        </w:rPr>
        <w:t xml:space="preserve">Reducing them would have the potential </w:t>
      </w:r>
      <w:r w:rsidR="003C3890">
        <w:rPr>
          <w:noProof/>
        </w:rPr>
        <w:t>to</w:t>
      </w:r>
      <w:r w:rsidR="0072234F">
        <w:rPr>
          <w:noProof/>
        </w:rPr>
        <w:t xml:space="preserve"> bring electricity prices down by around EUR 10-20 per MWh for industrial customers on average in the EU, with significant additional potential in Member States with a high level of taxes. </w:t>
      </w:r>
      <w:r w:rsidR="00C41B40" w:rsidRPr="4E7229E8">
        <w:rPr>
          <w:noProof/>
        </w:rPr>
        <w:t>At the same time, energy t</w:t>
      </w:r>
      <w:r w:rsidR="00C41B40" w:rsidRPr="4E7229E8">
        <w:rPr>
          <w:rFonts w:eastAsia="Times New Roman" w:cs="Times New Roman"/>
          <w:noProof/>
          <w:color w:val="000000" w:themeColor="text1"/>
        </w:rPr>
        <w:t xml:space="preserve">axation plays a direct role in supporting the green transition by sending the right price signals and providing the right incentives for sustainable consumption and production. </w:t>
      </w:r>
      <w:r w:rsidR="0072234F">
        <w:rPr>
          <w:noProof/>
        </w:rPr>
        <w:t>Changes to their level should be designed in full consistency with decarbonisation objectives</w:t>
      </w:r>
      <w:bookmarkEnd w:id="4"/>
      <w:r w:rsidR="73B26AFD" w:rsidRPr="5B5085C7">
        <w:rPr>
          <w:noProof/>
        </w:rPr>
        <w:t xml:space="preserve">, and </w:t>
      </w:r>
      <w:r w:rsidR="73B26AFD" w:rsidRPr="31777656">
        <w:rPr>
          <w:noProof/>
        </w:rPr>
        <w:t>taking into account any distributional and fiscal impacts</w:t>
      </w:r>
      <w:r w:rsidR="0072234F" w:rsidRPr="31777656">
        <w:rPr>
          <w:noProof/>
        </w:rPr>
        <w:t xml:space="preserve">. </w:t>
      </w:r>
    </w:p>
    <w:p w14:paraId="3E1057E0" w14:textId="77777777" w:rsidR="00C07C6E" w:rsidRDefault="0072234F" w:rsidP="00F77B89">
      <w:pPr>
        <w:keepNext/>
        <w:keepLines/>
        <w:rPr>
          <w:b/>
          <w:noProof/>
        </w:rPr>
      </w:pPr>
      <w:r>
        <w:rPr>
          <w:b/>
          <w:noProof/>
        </w:rPr>
        <w:t xml:space="preserve">Graph 2: Electricity prices – share of taxes and levies </w:t>
      </w:r>
    </w:p>
    <w:p w14:paraId="14081042" w14:textId="61906354" w:rsidR="00C07C6E" w:rsidRDefault="0072234F" w:rsidP="00F77B89">
      <w:pPr>
        <w:keepNext/>
        <w:keepLines/>
        <w:rPr>
          <w:i/>
          <w:noProof/>
          <w:sz w:val="20"/>
          <w:szCs w:val="20"/>
        </w:rPr>
      </w:pPr>
      <w:r>
        <w:rPr>
          <w:i/>
          <w:noProof/>
          <w:sz w:val="20"/>
          <w:szCs w:val="20"/>
        </w:rPr>
        <w:t>Average of taxes/levies in the electricity price in the first half of 2023</w:t>
      </w:r>
      <w:r w:rsidR="00E9193E">
        <w:rPr>
          <w:rStyle w:val="FootnoteReference"/>
          <w:i/>
          <w:noProof/>
        </w:rPr>
        <w:footnoteReference w:id="17"/>
      </w:r>
    </w:p>
    <w:p w14:paraId="14646C53" w14:textId="07705054" w:rsidR="00C07C6E" w:rsidRDefault="00EF2E4E">
      <w:pPr>
        <w:jc w:val="center"/>
        <w:rPr>
          <w:noProof/>
        </w:rPr>
      </w:pPr>
      <w:r>
        <w:rPr>
          <w:noProof/>
          <w:lang w:val="en-GB" w:eastAsia="en-GB"/>
        </w:rPr>
        <w:drawing>
          <wp:inline distT="0" distB="0" distL="0" distR="0" wp14:anchorId="1739B7DE" wp14:editId="36D6AF4F">
            <wp:extent cx="5097612" cy="318135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90184" cy="3239123"/>
                    </a:xfrm>
                    <a:prstGeom prst="rect">
                      <a:avLst/>
                    </a:prstGeom>
                  </pic:spPr>
                </pic:pic>
              </a:graphicData>
            </a:graphic>
          </wp:inline>
        </w:drawing>
      </w:r>
    </w:p>
    <w:p w14:paraId="6B9C7667" w14:textId="1D0D3495" w:rsidR="00C07C6E" w:rsidRDefault="0072234F">
      <w:pPr>
        <w:pStyle w:val="FootnoteText"/>
        <w:spacing w:before="120" w:after="120"/>
        <w:rPr>
          <w:i/>
          <w:noProof/>
          <w:sz w:val="18"/>
          <w:szCs w:val="18"/>
        </w:rPr>
      </w:pPr>
      <w:r>
        <w:rPr>
          <w:i/>
          <w:noProof/>
          <w:sz w:val="18"/>
          <w:szCs w:val="18"/>
        </w:rPr>
        <w:t>Source: EUROSTAT (nrg_pc_205) - Electricity prices for non-household consumers Band IC</w:t>
      </w:r>
    </w:p>
    <w:p w14:paraId="6C774DD8" w14:textId="77777777" w:rsidR="00C07C6E" w:rsidRDefault="00C07C6E">
      <w:pPr>
        <w:pStyle w:val="FootnoteText"/>
        <w:spacing w:before="120" w:after="120"/>
        <w:rPr>
          <w:noProof/>
          <w:sz w:val="24"/>
          <w:szCs w:val="24"/>
          <w:lang w:val="en-IE"/>
        </w:rPr>
      </w:pPr>
    </w:p>
    <w:p w14:paraId="37F23E32" w14:textId="77777777" w:rsidR="00C07C6E" w:rsidRDefault="0072234F">
      <w:pPr>
        <w:pStyle w:val="ListParagraph"/>
        <w:numPr>
          <w:ilvl w:val="0"/>
          <w:numId w:val="6"/>
        </w:numPr>
        <w:ind w:left="426" w:hanging="426"/>
        <w:rPr>
          <w:b/>
          <w:noProof/>
          <w:color w:val="000000"/>
        </w:rPr>
      </w:pPr>
      <w:r>
        <w:rPr>
          <w:rStyle w:val="normaltextrun"/>
          <w:b/>
          <w:noProof/>
          <w:color w:val="000000"/>
        </w:rPr>
        <w:t>MODERN INFRASTRUCTURE AS A BACKBONE FOR INDUSTRY</w:t>
      </w:r>
    </w:p>
    <w:p w14:paraId="6348DF33" w14:textId="77777777" w:rsidR="00C07C6E" w:rsidRDefault="00C07C6E">
      <w:pPr>
        <w:pStyle w:val="FootnoteText"/>
        <w:spacing w:before="120" w:after="120"/>
        <w:rPr>
          <w:b/>
          <w:noProof/>
          <w:sz w:val="24"/>
          <w:szCs w:val="24"/>
        </w:rPr>
      </w:pPr>
    </w:p>
    <w:p w14:paraId="7DA79BF6" w14:textId="784DB1D3" w:rsidR="00C07C6E" w:rsidRDefault="0072234F">
      <w:pPr>
        <w:rPr>
          <w:noProof/>
        </w:rPr>
      </w:pPr>
      <w:r>
        <w:rPr>
          <w:b/>
          <w:noProof/>
        </w:rPr>
        <w:t>Energy, digital and transport infrastructure is critical for Europe’s economic security and the long-term competitiveness</w:t>
      </w:r>
      <w:r>
        <w:rPr>
          <w:noProof/>
        </w:rPr>
        <w:t xml:space="preserve"> of our industry. The </w:t>
      </w:r>
      <w:r>
        <w:rPr>
          <w:b/>
          <w:bCs/>
          <w:noProof/>
        </w:rPr>
        <w:t>scale of the</w:t>
      </w:r>
      <w:r>
        <w:rPr>
          <w:noProof/>
        </w:rPr>
        <w:t xml:space="preserve"> </w:t>
      </w:r>
      <w:r>
        <w:rPr>
          <w:b/>
          <w:noProof/>
        </w:rPr>
        <w:t>challenge, however, is unprecedented</w:t>
      </w:r>
      <w:r>
        <w:rPr>
          <w:noProof/>
        </w:rPr>
        <w:t>. In this decade alone, the cross-border electricity transmission capacity should double. To serve the growing zero-emission vehicle fleet, a four-fold increase in publicly accessible electric recharging infrastructure and additional hydrogen refuel</w:t>
      </w:r>
      <w:r w:rsidR="000D40A9">
        <w:rPr>
          <w:noProof/>
        </w:rPr>
        <w:t>l</w:t>
      </w:r>
      <w:r>
        <w:rPr>
          <w:noProof/>
        </w:rPr>
        <w:t>ing infrastructure is needed by 2025</w:t>
      </w:r>
      <w:r w:rsidR="00746738">
        <w:rPr>
          <w:noProof/>
        </w:rPr>
        <w:t>, compared to 2020</w:t>
      </w:r>
      <w:r>
        <w:rPr>
          <w:noProof/>
        </w:rPr>
        <w:t>.</w:t>
      </w:r>
      <w:r>
        <w:rPr>
          <w:rStyle w:val="FootnoteReference"/>
          <w:noProof/>
        </w:rPr>
        <w:footnoteReference w:id="18"/>
      </w:r>
      <w:r>
        <w:rPr>
          <w:noProof/>
        </w:rPr>
        <w:t xml:space="preserve"> Connecting this electromobility infrastructure and other network users requires a substantial modernization and expansion of electricity infrastructure, particularly at distribution level. 40% of distribution grids in the EU are more than 40 years old, a clear sign that urgent investment in smartening and flexibility solutions as well as grid expansion are needed.</w:t>
      </w:r>
      <w:r>
        <w:rPr>
          <w:rStyle w:val="FootnoteReference"/>
          <w:noProof/>
        </w:rPr>
        <w:footnoteReference w:id="19"/>
      </w:r>
      <w:r>
        <w:rPr>
          <w:noProof/>
          <w:sz w:val="20"/>
          <w:szCs w:val="20"/>
        </w:rPr>
        <w:t xml:space="preserve"> </w:t>
      </w:r>
      <w:r w:rsidRPr="00FA377F">
        <w:rPr>
          <w:noProof/>
        </w:rPr>
        <w:t>T</w:t>
      </w:r>
      <w:r>
        <w:rPr>
          <w:noProof/>
        </w:rPr>
        <w:t xml:space="preserve">he length of planning, tendering, and permitting for these investments needs to be reduced. Delays in developing the infrastructure come with a hefty price tag of billions of euros, notably in the form of curtailed renewables generation and higher energy prices. </w:t>
      </w:r>
    </w:p>
    <w:p w14:paraId="221736E9" w14:textId="0168EC73" w:rsidR="00C07C6E" w:rsidRDefault="0072234F">
      <w:pPr>
        <w:rPr>
          <w:noProof/>
          <w:color w:val="000000" w:themeColor="text1"/>
          <w:lang w:val="en-GB"/>
        </w:rPr>
      </w:pPr>
      <w:r>
        <w:rPr>
          <w:rFonts w:cs="Times New Roman"/>
          <w:noProof/>
        </w:rPr>
        <w:t xml:space="preserve">The EU already supports the development of the infrastructure needed for the clean transition. But </w:t>
      </w:r>
      <w:r>
        <w:rPr>
          <w:noProof/>
          <w:color w:val="000000" w:themeColor="text1"/>
          <w:lang w:val="en-GB"/>
        </w:rPr>
        <w:t>to ensure a more European approach</w:t>
      </w:r>
      <w:r w:rsidR="00380D37">
        <w:rPr>
          <w:noProof/>
          <w:color w:val="000000" w:themeColor="text1"/>
          <w:lang w:val="en-GB"/>
        </w:rPr>
        <w:t xml:space="preserve"> and </w:t>
      </w:r>
      <w:r w:rsidR="551E73F8" w:rsidRPr="022AA566">
        <w:rPr>
          <w:noProof/>
          <w:color w:val="000000" w:themeColor="text1"/>
          <w:lang w:val="en-GB"/>
        </w:rPr>
        <w:t>timely completion of the necessary investments</w:t>
      </w:r>
      <w:r>
        <w:rPr>
          <w:noProof/>
          <w:color w:val="000000" w:themeColor="text1"/>
          <w:lang w:val="en-GB"/>
        </w:rPr>
        <w:t>, including for security, with better integrated long-term planning between energy, transport and data.</w:t>
      </w:r>
      <w:r>
        <w:rPr>
          <w:rFonts w:cs="Times New Roman"/>
          <w:noProof/>
        </w:rPr>
        <w:t xml:space="preserve"> </w:t>
      </w:r>
      <w:r>
        <w:rPr>
          <w:rFonts w:cs="Times New Roman"/>
          <w:b/>
          <w:noProof/>
        </w:rPr>
        <w:t>Closer coordination</w:t>
      </w:r>
      <w:r>
        <w:rPr>
          <w:rFonts w:cs="Times New Roman"/>
          <w:noProof/>
        </w:rPr>
        <w:t xml:space="preserve"> is urgently needed between</w:t>
      </w:r>
      <w:r>
        <w:rPr>
          <w:noProof/>
        </w:rPr>
        <w:t xml:space="preserve"> </w:t>
      </w:r>
      <w:r>
        <w:rPr>
          <w:noProof/>
          <w:color w:val="000000" w:themeColor="text1"/>
          <w:lang w:val="en-GB"/>
        </w:rPr>
        <w:t xml:space="preserve">the Commission, Member States, local and regional authorities, network operators, industrial actors, regulators and financial institutions. The Commission will analyse and where needed </w:t>
      </w:r>
      <w:r w:rsidR="00DF472C" w:rsidRPr="008B4D4E">
        <w:rPr>
          <w:b/>
          <w:noProof/>
          <w:color w:val="000000" w:themeColor="text1"/>
          <w:lang w:val="en-GB"/>
        </w:rPr>
        <w:t>adjust the existing formats to provide</w:t>
      </w:r>
      <w:r w:rsidR="00736F75" w:rsidRPr="008B4D4E">
        <w:rPr>
          <w:b/>
          <w:noProof/>
          <w:color w:val="000000" w:themeColor="text1"/>
          <w:lang w:val="en-GB"/>
        </w:rPr>
        <w:t xml:space="preserve"> </w:t>
      </w:r>
      <w:r w:rsidRPr="008B4D4E">
        <w:rPr>
          <w:b/>
          <w:noProof/>
          <w:color w:val="000000" w:themeColor="text1"/>
          <w:lang w:val="en-GB"/>
        </w:rPr>
        <w:t>a platform</w:t>
      </w:r>
      <w:r>
        <w:rPr>
          <w:b/>
          <w:noProof/>
          <w:color w:val="000000" w:themeColor="text1"/>
          <w:lang w:val="en-GB"/>
        </w:rPr>
        <w:t xml:space="preserve"> for a </w:t>
      </w:r>
      <w:r>
        <w:rPr>
          <w:b/>
          <w:i/>
          <w:noProof/>
          <w:color w:val="000000" w:themeColor="text1"/>
          <w:lang w:val="en-GB"/>
        </w:rPr>
        <w:t>regular</w:t>
      </w:r>
      <w:r>
        <w:rPr>
          <w:b/>
          <w:noProof/>
          <w:color w:val="000000" w:themeColor="text1"/>
          <w:lang w:val="en-GB"/>
        </w:rPr>
        <w:t xml:space="preserve"> and </w:t>
      </w:r>
      <w:r>
        <w:rPr>
          <w:b/>
          <w:i/>
          <w:noProof/>
          <w:color w:val="000000" w:themeColor="text1"/>
          <w:lang w:val="en-GB"/>
        </w:rPr>
        <w:t>direct</w:t>
      </w:r>
      <w:r>
        <w:rPr>
          <w:b/>
          <w:noProof/>
          <w:color w:val="000000" w:themeColor="text1"/>
          <w:lang w:val="en-GB"/>
        </w:rPr>
        <w:t xml:space="preserve"> engagement </w:t>
      </w:r>
      <w:r>
        <w:rPr>
          <w:noProof/>
          <w:color w:val="000000" w:themeColor="text1"/>
          <w:lang w:val="en-GB"/>
        </w:rPr>
        <w:t xml:space="preserve">with all key actors, with a focus on </w:t>
      </w:r>
      <w:r>
        <w:rPr>
          <w:b/>
          <w:noProof/>
          <w:color w:val="000000" w:themeColor="text1"/>
          <w:lang w:val="en-GB"/>
        </w:rPr>
        <w:t>concrete infrastructure projects</w:t>
      </w:r>
      <w:r>
        <w:rPr>
          <w:noProof/>
          <w:color w:val="000000" w:themeColor="text1"/>
          <w:lang w:val="en-GB"/>
        </w:rPr>
        <w:t>, including cross-sectoral projects</w:t>
      </w:r>
    </w:p>
    <w:p w14:paraId="6FA25CF0" w14:textId="53629800" w:rsidR="00C07C6E" w:rsidRDefault="0DB2D937">
      <w:pPr>
        <w:rPr>
          <w:noProof/>
        </w:rPr>
      </w:pPr>
      <w:r w:rsidRPr="022AA566">
        <w:rPr>
          <w:noProof/>
        </w:rPr>
        <w:t xml:space="preserve">Dialogue participants also raised </w:t>
      </w:r>
      <w:r w:rsidR="7C96ABB1" w:rsidRPr="022AA566">
        <w:rPr>
          <w:noProof/>
        </w:rPr>
        <w:t>the</w:t>
      </w:r>
      <w:r w:rsidR="0072234F">
        <w:rPr>
          <w:noProof/>
        </w:rPr>
        <w:t xml:space="preserve"> important </w:t>
      </w:r>
      <w:r w:rsidR="0072234F">
        <w:rPr>
          <w:b/>
          <w:bCs/>
          <w:noProof/>
        </w:rPr>
        <w:t>mismatch between the significant upfront investment costs of infrastructure development, and available funds</w:t>
      </w:r>
      <w:r w:rsidR="0072234F">
        <w:rPr>
          <w:noProof/>
        </w:rPr>
        <w:t xml:space="preserve">. Private investment has not been sufficiently mobilised. Given the limited resources of public </w:t>
      </w:r>
      <w:r w:rsidR="18FA9FF7" w:rsidRPr="50C1E9EC">
        <w:rPr>
          <w:noProof/>
        </w:rPr>
        <w:t xml:space="preserve">funding </w:t>
      </w:r>
      <w:r w:rsidR="0072234F">
        <w:rPr>
          <w:noProof/>
        </w:rPr>
        <w:t xml:space="preserve">instruments such as the Connecting Europe Facility, </w:t>
      </w:r>
      <w:r w:rsidR="1A1F3AD2" w:rsidRPr="5086741A">
        <w:rPr>
          <w:noProof/>
        </w:rPr>
        <w:t>public support should be well targeted and designed to unlock private investments. For energy</w:t>
      </w:r>
      <w:r w:rsidR="0072234F" w:rsidRPr="50C1E9EC">
        <w:rPr>
          <w:noProof/>
        </w:rPr>
        <w:t xml:space="preserve"> </w:t>
      </w:r>
      <w:r w:rsidR="0072234F">
        <w:rPr>
          <w:noProof/>
        </w:rPr>
        <w:t>the Commission will intensify discussions with industry, national regulators and system operators as well as social partners on how flexibility solution and demand response can effectively</w:t>
      </w:r>
      <w:r>
        <w:rPr>
          <w:noProof/>
        </w:rPr>
        <w:t xml:space="preserve"> complement investments in infrastructure and </w:t>
      </w:r>
      <w:r w:rsidR="0072234F" w:rsidRPr="00DD40C7">
        <w:rPr>
          <w:noProof/>
        </w:rPr>
        <w:t>reduce capital expenditure, as well as how grid</w:t>
      </w:r>
      <w:r w:rsidR="1854CFA3" w:rsidRPr="00DD40C7">
        <w:rPr>
          <w:noProof/>
        </w:rPr>
        <w:t xml:space="preserve"> users</w:t>
      </w:r>
      <w:r w:rsidR="0072234F" w:rsidRPr="00DD40C7">
        <w:rPr>
          <w:noProof/>
        </w:rPr>
        <w:t>, and notably power genera</w:t>
      </w:r>
      <w:r w:rsidR="0072234F" w:rsidRPr="001D03DD">
        <w:rPr>
          <w:noProof/>
        </w:rPr>
        <w:t xml:space="preserve">tors could contribute to the funding of required investments, while avoiding additional pressure on energy prices. </w:t>
      </w:r>
      <w:bookmarkStart w:id="5" w:name="_Hlk163246840"/>
      <w:r w:rsidR="0072234F" w:rsidRPr="001D03DD">
        <w:rPr>
          <w:noProof/>
        </w:rPr>
        <w:t xml:space="preserve">For transport, </w:t>
      </w:r>
      <w:r w:rsidR="008F738C" w:rsidRPr="001D03DD">
        <w:rPr>
          <w:noProof/>
        </w:rPr>
        <w:t xml:space="preserve">the </w:t>
      </w:r>
      <w:r w:rsidR="0072234F" w:rsidRPr="001D03DD">
        <w:rPr>
          <w:noProof/>
        </w:rPr>
        <w:t xml:space="preserve">blending of grants and loans </w:t>
      </w:r>
      <w:r w:rsidR="00746738" w:rsidRPr="001D03DD">
        <w:rPr>
          <w:noProof/>
        </w:rPr>
        <w:t>under</w:t>
      </w:r>
      <w:r w:rsidR="008F738C" w:rsidRPr="001D03DD">
        <w:rPr>
          <w:noProof/>
        </w:rPr>
        <w:t xml:space="preserve"> the </w:t>
      </w:r>
      <w:r w:rsidR="008F738C" w:rsidRPr="001D03DD">
        <w:rPr>
          <w:noProof/>
          <w:lang w:val="en-US"/>
        </w:rPr>
        <w:t xml:space="preserve">Alternative Fuels Infrastructure Facility of </w:t>
      </w:r>
      <w:r w:rsidR="00746738" w:rsidRPr="001D03DD">
        <w:rPr>
          <w:noProof/>
        </w:rPr>
        <w:t xml:space="preserve">the Connecting Europe Facility </w:t>
      </w:r>
      <w:r w:rsidR="008F738C" w:rsidRPr="001D03DD">
        <w:rPr>
          <w:noProof/>
        </w:rPr>
        <w:t xml:space="preserve">are relevant </w:t>
      </w:r>
      <w:r w:rsidR="1D381ED9" w:rsidRPr="001D03DD">
        <w:rPr>
          <w:noProof/>
        </w:rPr>
        <w:t xml:space="preserve">to trigger </w:t>
      </w:r>
      <w:r w:rsidR="0072234F" w:rsidRPr="001D03DD">
        <w:rPr>
          <w:noProof/>
        </w:rPr>
        <w:t>investment</w:t>
      </w:r>
      <w:r w:rsidR="3924B492" w:rsidRPr="001D03DD">
        <w:rPr>
          <w:noProof/>
        </w:rPr>
        <w:t>s</w:t>
      </w:r>
      <w:r w:rsidR="0A5C3AE1" w:rsidRPr="001D03DD">
        <w:rPr>
          <w:noProof/>
        </w:rPr>
        <w:t xml:space="preserve"> while limit</w:t>
      </w:r>
      <w:r w:rsidR="006B2FBE" w:rsidRPr="001D03DD">
        <w:rPr>
          <w:noProof/>
        </w:rPr>
        <w:t>i</w:t>
      </w:r>
      <w:r w:rsidR="0A5C3AE1" w:rsidRPr="001D03DD">
        <w:rPr>
          <w:noProof/>
        </w:rPr>
        <w:t>ng competition distortions in the internal market</w:t>
      </w:r>
      <w:bookmarkEnd w:id="5"/>
      <w:r w:rsidR="0072234F" w:rsidRPr="001D03DD">
        <w:rPr>
          <w:noProof/>
        </w:rPr>
        <w:t>. Synergies between energy</w:t>
      </w:r>
      <w:r w:rsidR="0072234F">
        <w:rPr>
          <w:noProof/>
        </w:rPr>
        <w:t xml:space="preserve"> and transport investments could be further explored to facilitate infrastructure financing. </w:t>
      </w:r>
    </w:p>
    <w:p w14:paraId="42D44A4A" w14:textId="70FE78A7" w:rsidR="00C07C6E" w:rsidRDefault="0072234F">
      <w:pPr>
        <w:rPr>
          <w:rFonts w:cs="Times New Roman"/>
          <w:noProof/>
        </w:rPr>
      </w:pPr>
      <w:r>
        <w:rPr>
          <w:rFonts w:cs="Times New Roman"/>
          <w:noProof/>
        </w:rPr>
        <w:t xml:space="preserve">As part of an ambitious clean infrastructure agenda, the EU should also </w:t>
      </w:r>
      <w:r>
        <w:rPr>
          <w:rFonts w:cs="Times New Roman"/>
          <w:b/>
          <w:bCs/>
          <w:noProof/>
        </w:rPr>
        <w:t>remain a global leader in the manufacturing</w:t>
      </w:r>
      <w:r>
        <w:rPr>
          <w:rFonts w:cs="Times New Roman"/>
          <w:noProof/>
        </w:rPr>
        <w:t xml:space="preserve"> of cables, pipes, turbines, electrolysers, transformers, and technologies for vehicle recharging and </w:t>
      </w:r>
      <w:r w:rsidRPr="001D03DD">
        <w:rPr>
          <w:rFonts w:cs="Times New Roman"/>
          <w:noProof/>
        </w:rPr>
        <w:t xml:space="preserve">refuelling, and other key components. The swift implementation of the Grid Action Plan, including long-term visibility of projects and common product specifications will be instrumental. </w:t>
      </w:r>
      <w:bookmarkStart w:id="6" w:name="_Hlk163371090"/>
      <w:r w:rsidRPr="001D03DD">
        <w:rPr>
          <w:rFonts w:cs="Times New Roman"/>
          <w:noProof/>
        </w:rPr>
        <w:t>The Commission will therefore consider supporting</w:t>
      </w:r>
      <w:r w:rsidR="74C63B26" w:rsidRPr="001D03DD">
        <w:rPr>
          <w:rFonts w:cs="Times New Roman"/>
          <w:noProof/>
        </w:rPr>
        <w:t xml:space="preserve"> </w:t>
      </w:r>
      <w:r w:rsidRPr="001D03DD">
        <w:rPr>
          <w:rFonts w:cs="Times New Roman"/>
          <w:noProof/>
        </w:rPr>
        <w:t xml:space="preserve">industry in </w:t>
      </w:r>
      <w:r w:rsidRPr="004A357A">
        <w:rPr>
          <w:rFonts w:cs="Times New Roman"/>
          <w:noProof/>
        </w:rPr>
        <w:t>developing</w:t>
      </w:r>
      <w:r w:rsidR="00EF1EC9" w:rsidRPr="004A357A">
        <w:rPr>
          <w:rFonts w:cs="Times New Roman"/>
          <w:noProof/>
        </w:rPr>
        <w:t xml:space="preserve"> demand</w:t>
      </w:r>
      <w:r w:rsidRPr="001D03DD">
        <w:rPr>
          <w:rFonts w:cs="Times New Roman"/>
          <w:noProof/>
        </w:rPr>
        <w:t xml:space="preserve"> </w:t>
      </w:r>
      <w:r w:rsidR="00153CE1" w:rsidRPr="001D03DD">
        <w:rPr>
          <w:rFonts w:cs="Times New Roman"/>
          <w:noProof/>
        </w:rPr>
        <w:t xml:space="preserve">standardisation </w:t>
      </w:r>
      <w:r w:rsidRPr="001D03DD">
        <w:rPr>
          <w:rFonts w:cs="Times New Roman"/>
          <w:noProof/>
        </w:rPr>
        <w:t>f</w:t>
      </w:r>
      <w:r w:rsidR="00153CE1" w:rsidRPr="001D03DD">
        <w:rPr>
          <w:rFonts w:cs="Times New Roman"/>
          <w:noProof/>
        </w:rPr>
        <w:t>or</w:t>
      </w:r>
      <w:r w:rsidRPr="001D03DD">
        <w:rPr>
          <w:rFonts w:cs="Times New Roman"/>
          <w:noProof/>
        </w:rPr>
        <w:t xml:space="preserve"> cables, pipelines and technologies necessary for the development of the energy</w:t>
      </w:r>
      <w:r w:rsidR="6DD7BBD1" w:rsidRPr="001D03DD">
        <w:rPr>
          <w:rFonts w:cs="Times New Roman"/>
          <w:noProof/>
        </w:rPr>
        <w:t xml:space="preserve"> grid</w:t>
      </w:r>
      <w:bookmarkEnd w:id="6"/>
      <w:r w:rsidRPr="001D03DD">
        <w:rPr>
          <w:rFonts w:cs="Times New Roman"/>
          <w:noProof/>
        </w:rPr>
        <w:t>.</w:t>
      </w:r>
      <w:r w:rsidR="487384BC" w:rsidRPr="001D03DD">
        <w:rPr>
          <w:rFonts w:cs="Times New Roman"/>
          <w:noProof/>
        </w:rPr>
        <w:t xml:space="preserve"> Resilience requirements applicable to procurement and auctions will help create demand for EU-made equipment and components </w:t>
      </w:r>
      <w:r w:rsidR="003C3890">
        <w:rPr>
          <w:rFonts w:cs="Times New Roman"/>
          <w:noProof/>
        </w:rPr>
        <w:t>that meet high standards set for use</w:t>
      </w:r>
      <w:r w:rsidR="487384BC" w:rsidRPr="001D03DD">
        <w:rPr>
          <w:rFonts w:cs="Times New Roman"/>
          <w:noProof/>
        </w:rPr>
        <w:t xml:space="preserve"> in infrastructure development.</w:t>
      </w:r>
      <w:r w:rsidR="487384BC" w:rsidRPr="60418320">
        <w:rPr>
          <w:rFonts w:cs="Times New Roman"/>
          <w:noProof/>
        </w:rPr>
        <w:t xml:space="preserve"> </w:t>
      </w:r>
    </w:p>
    <w:p w14:paraId="6532D052" w14:textId="77777777" w:rsidR="00C07C6E" w:rsidRDefault="00C07C6E">
      <w:pPr>
        <w:pStyle w:val="FootnoteText"/>
        <w:spacing w:before="120" w:after="120"/>
        <w:rPr>
          <w:rFonts w:eastAsia="Calibri"/>
          <w:i/>
          <w:noProof/>
          <w:sz w:val="24"/>
          <w:szCs w:val="24"/>
          <w:lang w:val="en-IE"/>
        </w:rPr>
      </w:pPr>
    </w:p>
    <w:p w14:paraId="696ED904" w14:textId="77777777" w:rsidR="00C07C6E" w:rsidRDefault="0072234F">
      <w:pPr>
        <w:pStyle w:val="ListParagraph"/>
        <w:numPr>
          <w:ilvl w:val="0"/>
          <w:numId w:val="6"/>
        </w:numPr>
        <w:ind w:left="426" w:hanging="426"/>
        <w:rPr>
          <w:rStyle w:val="normaltextrun"/>
          <w:b/>
          <w:noProof/>
          <w:color w:val="000000"/>
        </w:rPr>
      </w:pPr>
      <w:r>
        <w:rPr>
          <w:rStyle w:val="normaltextrun"/>
          <w:b/>
          <w:noProof/>
          <w:color w:val="000000"/>
        </w:rPr>
        <w:t>UNLOCKING FINANCE FOR THE TRANSITION</w:t>
      </w:r>
    </w:p>
    <w:p w14:paraId="5C8858A0" w14:textId="77777777" w:rsidR="00C07C6E" w:rsidRDefault="00C07C6E">
      <w:pPr>
        <w:rPr>
          <w:noProof/>
          <w:highlight w:val="yellow"/>
        </w:rPr>
      </w:pPr>
    </w:p>
    <w:p w14:paraId="75BCDAB9" w14:textId="2030E27D" w:rsidR="00C07C6E" w:rsidRPr="00250096" w:rsidRDefault="0072234F">
      <w:pPr>
        <w:rPr>
          <w:noProof/>
        </w:rPr>
      </w:pPr>
      <w:r>
        <w:rPr>
          <w:noProof/>
        </w:rPr>
        <w:t xml:space="preserve">The Communication on </w:t>
      </w:r>
      <w:r w:rsidRPr="00F848DE">
        <w:rPr>
          <w:noProof/>
        </w:rPr>
        <w:t>the EU's 2040 climate target</w:t>
      </w:r>
      <w:r w:rsidRPr="00F848DE">
        <w:rPr>
          <w:rStyle w:val="FootnoteReference"/>
          <w:noProof/>
        </w:rPr>
        <w:footnoteReference w:id="20"/>
      </w:r>
      <w:r w:rsidRPr="00F848DE">
        <w:rPr>
          <w:noProof/>
        </w:rPr>
        <w:t xml:space="preserve"> and the accompanying impact assessment </w:t>
      </w:r>
      <w:r w:rsidR="000D084F" w:rsidRPr="00F848DE">
        <w:rPr>
          <w:noProof/>
        </w:rPr>
        <w:t xml:space="preserve">estimate </w:t>
      </w:r>
      <w:r w:rsidRPr="00F848DE">
        <w:rPr>
          <w:noProof/>
        </w:rPr>
        <w:t xml:space="preserve">the </w:t>
      </w:r>
      <w:r w:rsidR="00C93533" w:rsidRPr="00F848DE">
        <w:rPr>
          <w:noProof/>
        </w:rPr>
        <w:t xml:space="preserve">total </w:t>
      </w:r>
      <w:r w:rsidRPr="00F848DE">
        <w:rPr>
          <w:noProof/>
        </w:rPr>
        <w:t xml:space="preserve">cost of investment </w:t>
      </w:r>
      <w:r w:rsidR="00C93533" w:rsidRPr="00F848DE">
        <w:rPr>
          <w:noProof/>
        </w:rPr>
        <w:t xml:space="preserve">associated to the economic sectors </w:t>
      </w:r>
      <w:r w:rsidRPr="00F848DE">
        <w:rPr>
          <w:noProof/>
        </w:rPr>
        <w:t xml:space="preserve">needed for the clean transition, as a whole, at </w:t>
      </w:r>
      <w:r w:rsidRPr="001D03DD">
        <w:rPr>
          <w:noProof/>
        </w:rPr>
        <w:t xml:space="preserve">around EUR 1.5 trillion per year between 2031 and 2050. </w:t>
      </w:r>
      <w:r w:rsidR="00B31E47" w:rsidRPr="001D03DD">
        <w:rPr>
          <w:noProof/>
        </w:rPr>
        <w:t>Given that the</w:t>
      </w:r>
      <w:r w:rsidR="00C93533" w:rsidRPr="001D03DD">
        <w:rPr>
          <w:noProof/>
        </w:rPr>
        <w:t xml:space="preserve"> important share of th</w:t>
      </w:r>
      <w:r w:rsidR="00B31E47" w:rsidRPr="001D03DD">
        <w:rPr>
          <w:noProof/>
        </w:rPr>
        <w:t>is cost</w:t>
      </w:r>
      <w:r w:rsidR="00C93533" w:rsidRPr="001D03DD">
        <w:rPr>
          <w:noProof/>
        </w:rPr>
        <w:t xml:space="preserve"> would occur</w:t>
      </w:r>
      <w:r w:rsidR="003365FC" w:rsidRPr="001D03DD">
        <w:rPr>
          <w:noProof/>
        </w:rPr>
        <w:t xml:space="preserve"> even without clean transition</w:t>
      </w:r>
      <w:r w:rsidR="00B31E47" w:rsidRPr="001D03DD">
        <w:rPr>
          <w:noProof/>
        </w:rPr>
        <w:t xml:space="preserve"> the additional investment would </w:t>
      </w:r>
      <w:r w:rsidR="0079348B" w:rsidRPr="001D03DD">
        <w:rPr>
          <w:noProof/>
        </w:rPr>
        <w:t xml:space="preserve">be </w:t>
      </w:r>
      <w:r w:rsidR="00B31E47" w:rsidRPr="001D03DD">
        <w:rPr>
          <w:noProof/>
        </w:rPr>
        <w:t>lower</w:t>
      </w:r>
      <w:r w:rsidR="00B31E47" w:rsidRPr="001D03DD">
        <w:rPr>
          <w:rStyle w:val="FootnoteReference"/>
          <w:noProof/>
        </w:rPr>
        <w:footnoteReference w:id="21"/>
      </w:r>
      <w:r w:rsidR="000C2BDE" w:rsidRPr="001D03DD">
        <w:rPr>
          <w:noProof/>
        </w:rPr>
        <w:t xml:space="preserve">, and is estimated at some 660 billion per </w:t>
      </w:r>
      <w:r w:rsidR="000C2BDE" w:rsidRPr="00250096">
        <w:rPr>
          <w:noProof/>
        </w:rPr>
        <w:t>year.</w:t>
      </w:r>
      <w:r w:rsidR="000C2BDE" w:rsidRPr="00250096">
        <w:rPr>
          <w:rStyle w:val="FootnoteReference"/>
          <w:noProof/>
        </w:rPr>
        <w:t xml:space="preserve"> </w:t>
      </w:r>
      <w:r w:rsidR="000C2BDE" w:rsidRPr="00250096">
        <w:rPr>
          <w:rStyle w:val="FootnoteReference"/>
          <w:noProof/>
        </w:rPr>
        <w:footnoteReference w:id="22"/>
      </w:r>
      <w:r w:rsidR="000C2BDE" w:rsidRPr="00250096">
        <w:rPr>
          <w:rStyle w:val="FootnoteReference"/>
          <w:noProof/>
        </w:rPr>
        <w:t xml:space="preserve"> </w:t>
      </w:r>
    </w:p>
    <w:p w14:paraId="691FDAEC" w14:textId="0E8D2F52" w:rsidR="00C07C6E" w:rsidRPr="00FA377F" w:rsidRDefault="0072234F">
      <w:pPr>
        <w:rPr>
          <w:b/>
          <w:noProof/>
          <w:lang w:val="en-US"/>
        </w:rPr>
      </w:pPr>
      <w:r w:rsidRPr="00F848DE">
        <w:rPr>
          <w:noProof/>
        </w:rPr>
        <w:t xml:space="preserve">The </w:t>
      </w:r>
      <w:r w:rsidRPr="00FA377F">
        <w:rPr>
          <w:noProof/>
        </w:rPr>
        <w:t>private sector</w:t>
      </w:r>
      <w:r w:rsidRPr="00F848DE">
        <w:rPr>
          <w:noProof/>
        </w:rPr>
        <w:t xml:space="preserve"> will continue to play a leading role in deploying investment in the clean transition and scaling up of innovative companies. </w:t>
      </w:r>
      <w:r>
        <w:rPr>
          <w:b/>
          <w:bCs/>
          <w:noProof/>
        </w:rPr>
        <w:t>Strengthening the capital markets union and mobilising venture capital, pension funds, private equity, and sovereign funds are necessary for injecting more financing into the Europe’s clean economy</w:t>
      </w:r>
      <w:r>
        <w:rPr>
          <w:noProof/>
        </w:rPr>
        <w:t>. Less than 30 percent of European firms’ funding comes from tradable equity and debt, compared to nearly 70 percent for US firms.</w:t>
      </w:r>
      <w:r>
        <w:rPr>
          <w:rStyle w:val="FootnoteReference"/>
          <w:noProof/>
        </w:rPr>
        <w:footnoteReference w:id="23"/>
      </w:r>
      <w:r>
        <w:rPr>
          <w:noProof/>
        </w:rPr>
        <w:t xml:space="preserve"> </w:t>
      </w:r>
      <w:r>
        <w:rPr>
          <w:bCs/>
          <w:noProof/>
        </w:rPr>
        <w:t>Achieving a deep and integrated Capital Markets Union may, according to some estimates, generate 470 billion euros per year in investment, including in the clean transition</w:t>
      </w:r>
      <w:r>
        <w:rPr>
          <w:rStyle w:val="FootnoteReference"/>
          <w:bCs/>
          <w:noProof/>
        </w:rPr>
        <w:footnoteReference w:id="24"/>
      </w:r>
      <w:r>
        <w:rPr>
          <w:b/>
          <w:noProof/>
        </w:rPr>
        <w:t>.</w:t>
      </w:r>
      <w:r>
        <w:rPr>
          <w:noProof/>
        </w:rPr>
        <w:t xml:space="preserve"> </w:t>
      </w:r>
      <w:r w:rsidR="00421C49">
        <w:rPr>
          <w:noProof/>
        </w:rPr>
        <w:t xml:space="preserve">The Commission will also continue </w:t>
      </w:r>
      <w:r w:rsidR="0000096A">
        <w:rPr>
          <w:noProof/>
        </w:rPr>
        <w:t>enha</w:t>
      </w:r>
      <w:r w:rsidR="004A47D5">
        <w:rPr>
          <w:noProof/>
        </w:rPr>
        <w:t>n</w:t>
      </w:r>
      <w:r w:rsidR="0000096A">
        <w:rPr>
          <w:noProof/>
        </w:rPr>
        <w:t>cing</w:t>
      </w:r>
      <w:r w:rsidR="00421C49">
        <w:rPr>
          <w:noProof/>
        </w:rPr>
        <w:t xml:space="preserve"> the </w:t>
      </w:r>
      <w:r w:rsidR="00807092">
        <w:rPr>
          <w:noProof/>
        </w:rPr>
        <w:t xml:space="preserve">usability of the </w:t>
      </w:r>
      <w:r w:rsidR="00421C49">
        <w:rPr>
          <w:noProof/>
        </w:rPr>
        <w:t>sustainable finance framework, with a view</w:t>
      </w:r>
      <w:r>
        <w:rPr>
          <w:noProof/>
        </w:rPr>
        <w:t xml:space="preserve"> to maximis</w:t>
      </w:r>
      <w:r w:rsidR="003C2C44">
        <w:rPr>
          <w:noProof/>
        </w:rPr>
        <w:t>ing</w:t>
      </w:r>
      <w:r>
        <w:rPr>
          <w:noProof/>
        </w:rPr>
        <w:t xml:space="preserve"> its i</w:t>
      </w:r>
      <w:r w:rsidRPr="001C3C56">
        <w:rPr>
          <w:noProof/>
        </w:rPr>
        <w:t xml:space="preserve">mpact. </w:t>
      </w:r>
      <w:r w:rsidR="001C3C56" w:rsidRPr="00FD72F3">
        <w:rPr>
          <w:noProof/>
        </w:rPr>
        <w:t xml:space="preserve">Instruments </w:t>
      </w:r>
      <w:r w:rsidR="00F17117" w:rsidRPr="00FD72F3">
        <w:rPr>
          <w:noProof/>
        </w:rPr>
        <w:t xml:space="preserve">like carbon removal certification or </w:t>
      </w:r>
      <w:r w:rsidR="00F17117" w:rsidRPr="00CD0314">
        <w:rPr>
          <w:noProof/>
        </w:rPr>
        <w:t xml:space="preserve">biodiversity credits </w:t>
      </w:r>
      <w:r w:rsidR="001C3C56" w:rsidRPr="00CD0314">
        <w:rPr>
          <w:noProof/>
        </w:rPr>
        <w:t>can promote new business models and reward stakeholders for nature-based solutions</w:t>
      </w:r>
      <w:r w:rsidR="00F17117" w:rsidRPr="00CD0314">
        <w:rPr>
          <w:noProof/>
        </w:rPr>
        <w:t>.</w:t>
      </w:r>
      <w:r w:rsidR="001C3C56" w:rsidRPr="00CD0314">
        <w:rPr>
          <w:noProof/>
        </w:rPr>
        <w:t xml:space="preserve"> </w:t>
      </w:r>
      <w:r w:rsidR="00F45C89" w:rsidRPr="00CD0314">
        <w:rPr>
          <w:noProof/>
        </w:rPr>
        <w:t xml:space="preserve">Participants in the Dialogues also stressed the need to </w:t>
      </w:r>
      <w:r w:rsidR="00F45C89" w:rsidRPr="00CD0314">
        <w:rPr>
          <w:b/>
          <w:noProof/>
        </w:rPr>
        <w:t>reduce the cost of raising capital</w:t>
      </w:r>
      <w:r w:rsidR="00F45C89" w:rsidRPr="00CD0314">
        <w:rPr>
          <w:noProof/>
        </w:rPr>
        <w:t xml:space="preserve">, diversify funding options for businesses, propose new </w:t>
      </w:r>
      <w:r w:rsidR="00F45C89" w:rsidRPr="00CD0314">
        <w:rPr>
          <w:b/>
          <w:noProof/>
        </w:rPr>
        <w:t>innovative financial tools</w:t>
      </w:r>
      <w:r w:rsidR="00F45C89" w:rsidRPr="00CD0314">
        <w:rPr>
          <w:noProof/>
        </w:rPr>
        <w:t xml:space="preserve">, and facilitate cross-border investing. </w:t>
      </w:r>
    </w:p>
    <w:p w14:paraId="5C470F44" w14:textId="6CC6F5D5" w:rsidR="00394A0A" w:rsidRDefault="00C8107D" w:rsidP="00394A0A">
      <w:pPr>
        <w:rPr>
          <w:noProof/>
        </w:rPr>
      </w:pPr>
      <w:r w:rsidRPr="00CD0314">
        <w:rPr>
          <w:noProof/>
        </w:rPr>
        <w:t>W</w:t>
      </w:r>
      <w:r w:rsidR="004267E9" w:rsidRPr="00CD0314">
        <w:rPr>
          <w:noProof/>
        </w:rPr>
        <w:t>ider availability of</w:t>
      </w:r>
      <w:r w:rsidR="00394A0A" w:rsidRPr="00CD0314">
        <w:rPr>
          <w:noProof/>
        </w:rPr>
        <w:t xml:space="preserve"> </w:t>
      </w:r>
      <w:r w:rsidR="00394A0A" w:rsidRPr="00CD0314">
        <w:rPr>
          <w:b/>
          <w:noProof/>
        </w:rPr>
        <w:t>risk sharing tools</w:t>
      </w:r>
      <w:r w:rsidR="00394A0A" w:rsidRPr="00CD0314">
        <w:rPr>
          <w:noProof/>
        </w:rPr>
        <w:t xml:space="preserve"> </w:t>
      </w:r>
      <w:r w:rsidR="00E64FFB" w:rsidRPr="00CD0314">
        <w:rPr>
          <w:noProof/>
        </w:rPr>
        <w:t xml:space="preserve">is and </w:t>
      </w:r>
      <w:r w:rsidR="00394A0A" w:rsidRPr="00CD0314">
        <w:rPr>
          <w:noProof/>
        </w:rPr>
        <w:t>will</w:t>
      </w:r>
      <w:r w:rsidR="00E64FFB" w:rsidRPr="00CD0314">
        <w:rPr>
          <w:noProof/>
        </w:rPr>
        <w:t xml:space="preserve"> continue to</w:t>
      </w:r>
      <w:r w:rsidR="00394A0A" w:rsidRPr="00CD0314">
        <w:rPr>
          <w:noProof/>
        </w:rPr>
        <w:t xml:space="preserve"> be needed, an</w:t>
      </w:r>
      <w:r w:rsidR="00394A0A">
        <w:rPr>
          <w:noProof/>
        </w:rPr>
        <w:t xml:space="preserve"> area where the </w:t>
      </w:r>
      <w:r w:rsidR="00394A0A">
        <w:rPr>
          <w:b/>
          <w:noProof/>
        </w:rPr>
        <w:t>E</w:t>
      </w:r>
      <w:r>
        <w:rPr>
          <w:b/>
          <w:noProof/>
        </w:rPr>
        <w:t xml:space="preserve">uropean </w:t>
      </w:r>
      <w:r w:rsidR="00394A0A">
        <w:rPr>
          <w:b/>
          <w:noProof/>
        </w:rPr>
        <w:t>I</w:t>
      </w:r>
      <w:r>
        <w:rPr>
          <w:b/>
          <w:noProof/>
        </w:rPr>
        <w:t xml:space="preserve">nvestment </w:t>
      </w:r>
      <w:r w:rsidR="00394A0A">
        <w:rPr>
          <w:b/>
          <w:noProof/>
        </w:rPr>
        <w:t>B</w:t>
      </w:r>
      <w:r>
        <w:rPr>
          <w:b/>
          <w:noProof/>
        </w:rPr>
        <w:t>ank (EIB)</w:t>
      </w:r>
      <w:r w:rsidR="00394A0A">
        <w:rPr>
          <w:b/>
          <w:noProof/>
        </w:rPr>
        <w:t xml:space="preserve"> </w:t>
      </w:r>
      <w:r w:rsidR="00394A0A">
        <w:rPr>
          <w:noProof/>
        </w:rPr>
        <w:t>has an important role to play given its firepower and ability to pull private banks and investors. At the national level, National Promotional Banks should be leveraged. The Commission will also consider how risk</w:t>
      </w:r>
      <w:r w:rsidR="0017667F">
        <w:rPr>
          <w:noProof/>
        </w:rPr>
        <w:t>-shar</w:t>
      </w:r>
      <w:r w:rsidR="00394A0A">
        <w:rPr>
          <w:noProof/>
        </w:rPr>
        <w:t xml:space="preserve">ing tools, </w:t>
      </w:r>
      <w:r w:rsidR="00394A0A">
        <w:rPr>
          <w:b/>
          <w:noProof/>
        </w:rPr>
        <w:t>guarantees, credits and insurances provided by Member States</w:t>
      </w:r>
      <w:r w:rsidR="002F1FB4">
        <w:rPr>
          <w:b/>
          <w:noProof/>
        </w:rPr>
        <w:t xml:space="preserve">, </w:t>
      </w:r>
      <w:r w:rsidR="002F1FB4" w:rsidRPr="002F1FB4">
        <w:rPr>
          <w:bCs/>
          <w:noProof/>
        </w:rPr>
        <w:t>for instance</w:t>
      </w:r>
      <w:r w:rsidR="00394A0A">
        <w:rPr>
          <w:noProof/>
        </w:rPr>
        <w:t xml:space="preserve"> via export credit agencies could serve as cost-effective way to support the industry’s clean transition, addressing market failures and securing additional access to private funding. </w:t>
      </w:r>
    </w:p>
    <w:p w14:paraId="061E8959" w14:textId="7093884D" w:rsidR="00C07C6E" w:rsidRPr="001D03DD" w:rsidRDefault="0099100F">
      <w:pPr>
        <w:rPr>
          <w:noProof/>
        </w:rPr>
      </w:pPr>
      <w:r>
        <w:rPr>
          <w:noProof/>
        </w:rPr>
        <w:t>The Commission</w:t>
      </w:r>
      <w:r w:rsidR="0072234F">
        <w:rPr>
          <w:noProof/>
        </w:rPr>
        <w:t xml:space="preserve"> should strengthen the </w:t>
      </w:r>
      <w:r w:rsidR="00353809">
        <w:rPr>
          <w:noProof/>
        </w:rPr>
        <w:t xml:space="preserve">political </w:t>
      </w:r>
      <w:r w:rsidR="0072234F">
        <w:rPr>
          <w:noProof/>
        </w:rPr>
        <w:t>engagement</w:t>
      </w:r>
      <w:r w:rsidR="0072234F" w:rsidRPr="00FA377F">
        <w:rPr>
          <w:noProof/>
        </w:rPr>
        <w:t xml:space="preserve"> </w:t>
      </w:r>
      <w:r w:rsidR="001F46C7" w:rsidRPr="001F46C7">
        <w:rPr>
          <w:bCs/>
          <w:noProof/>
        </w:rPr>
        <w:t xml:space="preserve">and dialogue </w:t>
      </w:r>
      <w:r w:rsidR="0072234F">
        <w:rPr>
          <w:noProof/>
        </w:rPr>
        <w:t xml:space="preserve">with the institutional actors, including the EIB, the European Bank for Reconstruction and Development (EBRD), international financial institutions and private banks to ensure the </w:t>
      </w:r>
      <w:r w:rsidR="004830F0">
        <w:rPr>
          <w:noProof/>
        </w:rPr>
        <w:t>enabling</w:t>
      </w:r>
      <w:r w:rsidR="0072234F">
        <w:rPr>
          <w:noProof/>
        </w:rPr>
        <w:t xml:space="preserve"> conditions, including investment guarantees, for the rapid mobilisation of private finance and ensuring inflow of new capital urgently </w:t>
      </w:r>
      <w:r w:rsidR="0072234F" w:rsidRPr="001D03DD">
        <w:rPr>
          <w:noProof/>
        </w:rPr>
        <w:t xml:space="preserve">needed for the clean transition. </w:t>
      </w:r>
    </w:p>
    <w:p w14:paraId="5C87C73D" w14:textId="404C2A44" w:rsidR="00C07C6E" w:rsidRDefault="0072234F">
      <w:pPr>
        <w:rPr>
          <w:noProof/>
        </w:rPr>
      </w:pPr>
      <w:r w:rsidRPr="001D03DD">
        <w:rPr>
          <w:noProof/>
        </w:rPr>
        <w:t xml:space="preserve">Even with the stronger engagement of private markets, </w:t>
      </w:r>
      <w:r w:rsidR="00C8107D" w:rsidRPr="001D03DD">
        <w:rPr>
          <w:noProof/>
        </w:rPr>
        <w:t>market failures are likely to remain in certain areas</w:t>
      </w:r>
      <w:r w:rsidR="00F02B27">
        <w:rPr>
          <w:noProof/>
        </w:rPr>
        <w:t>,</w:t>
      </w:r>
      <w:r w:rsidR="00C8107D" w:rsidRPr="001D03DD">
        <w:rPr>
          <w:noProof/>
        </w:rPr>
        <w:t xml:space="preserve"> requiring </w:t>
      </w:r>
      <w:r w:rsidR="001672FC" w:rsidRPr="001D03DD">
        <w:rPr>
          <w:noProof/>
        </w:rPr>
        <w:t xml:space="preserve">a discussion on </w:t>
      </w:r>
      <w:r w:rsidR="001672FC" w:rsidRPr="001D03DD">
        <w:rPr>
          <w:b/>
          <w:bCs/>
          <w:noProof/>
        </w:rPr>
        <w:t>stronger, targeted and innovative</w:t>
      </w:r>
      <w:r w:rsidR="001672FC" w:rsidRPr="00FA377F">
        <w:rPr>
          <w:b/>
          <w:noProof/>
        </w:rPr>
        <w:t xml:space="preserve"> </w:t>
      </w:r>
      <w:r w:rsidR="001672FC" w:rsidRPr="001D03DD">
        <w:rPr>
          <w:b/>
          <w:bCs/>
          <w:noProof/>
        </w:rPr>
        <w:t>public financ</w:t>
      </w:r>
      <w:r w:rsidR="00A968A6" w:rsidRPr="001D03DD">
        <w:rPr>
          <w:b/>
          <w:bCs/>
          <w:noProof/>
        </w:rPr>
        <w:t>ial</w:t>
      </w:r>
      <w:r w:rsidR="001672FC" w:rsidRPr="001D03DD">
        <w:rPr>
          <w:b/>
          <w:bCs/>
          <w:noProof/>
        </w:rPr>
        <w:t xml:space="preserve"> support</w:t>
      </w:r>
      <w:r w:rsidR="001672FC" w:rsidRPr="001D03DD">
        <w:rPr>
          <w:noProof/>
        </w:rPr>
        <w:t xml:space="preserve">. This </w:t>
      </w:r>
      <w:r w:rsidR="00F02B27">
        <w:rPr>
          <w:noProof/>
        </w:rPr>
        <w:t>can</w:t>
      </w:r>
      <w:r w:rsidR="001672FC" w:rsidRPr="001D03DD">
        <w:rPr>
          <w:noProof/>
        </w:rPr>
        <w:t xml:space="preserve"> provide bridge financing</w:t>
      </w:r>
      <w:r w:rsidR="00A968A6" w:rsidRPr="001D03DD">
        <w:rPr>
          <w:noProof/>
        </w:rPr>
        <w:t xml:space="preserve"> and</w:t>
      </w:r>
      <w:r w:rsidR="005C4155" w:rsidRPr="001D03DD">
        <w:rPr>
          <w:noProof/>
        </w:rPr>
        <w:t xml:space="preserve"> effectively share investment risk</w:t>
      </w:r>
      <w:r w:rsidR="00F02B27">
        <w:rPr>
          <w:noProof/>
        </w:rPr>
        <w:t>, in order</w:t>
      </w:r>
      <w:r w:rsidR="005C4155" w:rsidRPr="001D03DD">
        <w:rPr>
          <w:noProof/>
        </w:rPr>
        <w:t xml:space="preserve"> </w:t>
      </w:r>
      <w:r w:rsidR="00A968A6" w:rsidRPr="001D03DD">
        <w:rPr>
          <w:noProof/>
        </w:rPr>
        <w:t>to</w:t>
      </w:r>
      <w:r w:rsidR="005C4155" w:rsidRPr="001D03DD">
        <w:rPr>
          <w:noProof/>
        </w:rPr>
        <w:t xml:space="preserve"> crowd in private finance </w:t>
      </w:r>
      <w:r w:rsidR="00F02B27">
        <w:rPr>
          <w:noProof/>
        </w:rPr>
        <w:t>and</w:t>
      </w:r>
      <w:r w:rsidR="00F02B27" w:rsidRPr="001D03DD">
        <w:rPr>
          <w:noProof/>
        </w:rPr>
        <w:t xml:space="preserve"> </w:t>
      </w:r>
      <w:r w:rsidR="005C4155" w:rsidRPr="001D03DD">
        <w:rPr>
          <w:noProof/>
        </w:rPr>
        <w:t>trigger strategic make</w:t>
      </w:r>
      <w:r w:rsidR="005C4155">
        <w:rPr>
          <w:noProof/>
        </w:rPr>
        <w:t>-or-break investments in key decarbonisation</w:t>
      </w:r>
      <w:r w:rsidR="00183149">
        <w:rPr>
          <w:noProof/>
        </w:rPr>
        <w:t xml:space="preserve"> technologies. </w:t>
      </w:r>
    </w:p>
    <w:p w14:paraId="5FF359EE" w14:textId="44FE3E15" w:rsidR="00C07C6E" w:rsidRDefault="0072234F">
      <w:pPr>
        <w:rPr>
          <w:noProof/>
        </w:rPr>
      </w:pPr>
      <w:r>
        <w:rPr>
          <w:noProof/>
        </w:rPr>
        <w:t>Around 35% of the greenhouse gas emissions reduction that must be achieved by 2050 are deemed to be dependent on solutions that are currently only at the demonstration or prototype stage</w:t>
      </w:r>
      <w:r>
        <w:rPr>
          <w:rStyle w:val="FootnoteReference"/>
          <w:noProof/>
        </w:rPr>
        <w:footnoteReference w:id="25"/>
      </w:r>
      <w:r>
        <w:rPr>
          <w:noProof/>
        </w:rPr>
        <w:t xml:space="preserve">, underlining the </w:t>
      </w:r>
      <w:r>
        <w:rPr>
          <w:b/>
          <w:bCs/>
          <w:noProof/>
        </w:rPr>
        <w:t>importance of funding</w:t>
      </w:r>
      <w:r w:rsidR="00185DAC">
        <w:rPr>
          <w:b/>
          <w:bCs/>
          <w:noProof/>
        </w:rPr>
        <w:t xml:space="preserve"> </w:t>
      </w:r>
      <w:r>
        <w:rPr>
          <w:b/>
          <w:bCs/>
          <w:noProof/>
        </w:rPr>
        <w:t xml:space="preserve">for </w:t>
      </w:r>
      <w:r w:rsidR="00BA6C96">
        <w:rPr>
          <w:b/>
          <w:bCs/>
          <w:noProof/>
        </w:rPr>
        <w:t>research and innovation</w:t>
      </w:r>
      <w:r w:rsidR="00BA6C96">
        <w:rPr>
          <w:noProof/>
        </w:rPr>
        <w:t xml:space="preserve"> </w:t>
      </w:r>
      <w:r w:rsidR="00822EE0">
        <w:rPr>
          <w:noProof/>
        </w:rPr>
        <w:t>(</w:t>
      </w:r>
      <w:r>
        <w:rPr>
          <w:noProof/>
        </w:rPr>
        <w:t>R&amp;I</w:t>
      </w:r>
      <w:r w:rsidR="00822EE0">
        <w:rPr>
          <w:noProof/>
        </w:rPr>
        <w:t>)</w:t>
      </w:r>
      <w:r w:rsidR="006A3935">
        <w:rPr>
          <w:noProof/>
        </w:rPr>
        <w:t>, including through</w:t>
      </w:r>
      <w:r w:rsidR="00347CF2">
        <w:rPr>
          <w:noProof/>
        </w:rPr>
        <w:t xml:space="preserve"> Horizon Europe</w:t>
      </w:r>
      <w:r w:rsidR="00D30317">
        <w:rPr>
          <w:noProof/>
        </w:rPr>
        <w:t>, as well as for the scal</w:t>
      </w:r>
      <w:r w:rsidR="00C43FDC">
        <w:rPr>
          <w:noProof/>
        </w:rPr>
        <w:t>e-up and deployment of existing solutions</w:t>
      </w:r>
      <w:r>
        <w:rPr>
          <w:noProof/>
        </w:rPr>
        <w:t xml:space="preserve">. </w:t>
      </w:r>
    </w:p>
    <w:p w14:paraId="10C906C6" w14:textId="68A07B20" w:rsidR="00610EB8" w:rsidRDefault="0072234F" w:rsidP="00610EB8">
      <w:pPr>
        <w:rPr>
          <w:noProof/>
        </w:rPr>
      </w:pPr>
      <w:r>
        <w:rPr>
          <w:b/>
          <w:noProof/>
        </w:rPr>
        <w:t xml:space="preserve">The Commission has pledged to mobilise unprecedented support of </w:t>
      </w:r>
      <w:r>
        <w:rPr>
          <w:rFonts w:cs="Times New Roman"/>
          <w:b/>
          <w:noProof/>
        </w:rPr>
        <w:t xml:space="preserve">EUR </w:t>
      </w:r>
      <w:r>
        <w:rPr>
          <w:b/>
          <w:noProof/>
        </w:rPr>
        <w:t>1 trillion for the clean transition for the 2021-2030 period</w:t>
      </w:r>
      <w:r>
        <w:rPr>
          <w:rStyle w:val="FootnoteReference"/>
          <w:b/>
          <w:noProof/>
        </w:rPr>
        <w:footnoteReference w:id="26"/>
      </w:r>
      <w:r>
        <w:rPr>
          <w:noProof/>
        </w:rPr>
        <w:t xml:space="preserve">. This includes EUR 578 billion for climate mainstreaming by the EU Budget and NextGenerationEU. Under the Recovery and Resilience Facility, over EUR </w:t>
      </w:r>
      <w:r w:rsidR="0076013E">
        <w:rPr>
          <w:noProof/>
        </w:rPr>
        <w:t xml:space="preserve">202 billion are dedicated to the climate transition, </w:t>
      </w:r>
      <w:r w:rsidR="00E043F7">
        <w:rPr>
          <w:noProof/>
        </w:rPr>
        <w:t>with</w:t>
      </w:r>
      <w:r>
        <w:rPr>
          <w:noProof/>
        </w:rPr>
        <w:t xml:space="preserve"> EUR 110 billion targeted to the decarbonisation of industry and clean tech (incl. EUR 23 billion for R&amp;D initiatives) and more than EUR 2 billion for developing green skills and jobs for the clean economy.</w:t>
      </w:r>
      <w:r w:rsidR="00610EB8">
        <w:rPr>
          <w:noProof/>
        </w:rPr>
        <w:t xml:space="preserve"> </w:t>
      </w:r>
      <w:r w:rsidR="0042596D" w:rsidRPr="008D57CA">
        <w:rPr>
          <w:noProof/>
        </w:rPr>
        <w:t>Cohesion Policy supports Member States’ transition to a climate-neutral and clean economy with EUR 93 billion in 2021</w:t>
      </w:r>
      <w:r w:rsidR="0042596D" w:rsidRPr="001D03DD">
        <w:rPr>
          <w:noProof/>
        </w:rPr>
        <w:t xml:space="preserve">-2027. The Just Transition Fund (JTF) focuses EUR 19 billion of investment specifically for the transformation of the </w:t>
      </w:r>
      <w:r w:rsidR="007B7AA1" w:rsidRPr="001D03DD">
        <w:rPr>
          <w:noProof/>
        </w:rPr>
        <w:t xml:space="preserve">regions </w:t>
      </w:r>
      <w:r w:rsidR="0042596D" w:rsidRPr="001D03DD">
        <w:rPr>
          <w:noProof/>
        </w:rPr>
        <w:t xml:space="preserve">with coal and carbon-intensive industry most affected by the green transition. </w:t>
      </w:r>
      <w:r w:rsidR="00F02B27">
        <w:rPr>
          <w:bCs/>
          <w:noProof/>
        </w:rPr>
        <w:t>T</w:t>
      </w:r>
      <w:r w:rsidR="00610EB8" w:rsidRPr="001D03DD">
        <w:rPr>
          <w:bCs/>
          <w:noProof/>
        </w:rPr>
        <w:t xml:space="preserve">he InvestEU Programme has </w:t>
      </w:r>
      <w:r w:rsidR="00F02B27">
        <w:rPr>
          <w:bCs/>
          <w:noProof/>
        </w:rPr>
        <w:t xml:space="preserve">also </w:t>
      </w:r>
      <w:r w:rsidR="00610EB8" w:rsidRPr="001D03DD">
        <w:rPr>
          <w:bCs/>
          <w:noProof/>
        </w:rPr>
        <w:t>been instrumental in mobilising private financing in green priority areas in cooperation with public partner institutions</w:t>
      </w:r>
      <w:r w:rsidR="00F02B27">
        <w:rPr>
          <w:bCs/>
          <w:noProof/>
        </w:rPr>
        <w:t>, although</w:t>
      </w:r>
      <w:r w:rsidR="000C12C4" w:rsidRPr="001D03DD">
        <w:rPr>
          <w:bCs/>
          <w:noProof/>
        </w:rPr>
        <w:t xml:space="preserve"> its capacity is falling short compared to the high demand for its products</w:t>
      </w:r>
      <w:r w:rsidR="00610EB8" w:rsidRPr="001D03DD">
        <w:rPr>
          <w:bCs/>
          <w:noProof/>
        </w:rPr>
        <w:t>.</w:t>
      </w:r>
      <w:r w:rsidR="00610EB8">
        <w:rPr>
          <w:bCs/>
          <w:noProof/>
        </w:rPr>
        <w:t xml:space="preserve"> </w:t>
      </w:r>
    </w:p>
    <w:p w14:paraId="5B54766D" w14:textId="643246E8" w:rsidR="00C07C6E" w:rsidRDefault="0072234F">
      <w:pPr>
        <w:rPr>
          <w:noProof/>
        </w:rPr>
      </w:pPr>
      <w:r>
        <w:rPr>
          <w:b/>
          <w:bCs/>
          <w:noProof/>
        </w:rPr>
        <w:t>Important financing is provided from auctioning of allowances under the Emissions Trading System (ETS).</w:t>
      </w:r>
      <w:r>
        <w:rPr>
          <w:noProof/>
        </w:rPr>
        <w:t xml:space="preserve"> Over the last decade, the revenues from the European ETS amounted to over </w:t>
      </w:r>
      <w:r>
        <w:rPr>
          <w:b/>
          <w:noProof/>
        </w:rPr>
        <w:t>EUR 175 billion</w:t>
      </w:r>
      <w:r>
        <w:rPr>
          <w:noProof/>
        </w:rPr>
        <w:t xml:space="preserve">. From 2024 to 2030, depending on the carbon price and other factors, the EU ETS may generate around </w:t>
      </w:r>
      <w:r>
        <w:rPr>
          <w:b/>
          <w:noProof/>
        </w:rPr>
        <w:t>EUR 220 billion</w:t>
      </w:r>
      <w:r>
        <w:rPr>
          <w:noProof/>
        </w:rPr>
        <w:t xml:space="preserve">, with an </w:t>
      </w:r>
      <w:r>
        <w:rPr>
          <w:b/>
          <w:noProof/>
        </w:rPr>
        <w:t>additional EUR 113 billion</w:t>
      </w:r>
      <w:r>
        <w:rPr>
          <w:noProof/>
        </w:rPr>
        <w:t xml:space="preserve"> over 2027-2030 coming from the newly created emissions trading system on buildings, road transport </w:t>
      </w:r>
      <w:r w:rsidDel="00746738">
        <w:rPr>
          <w:noProof/>
        </w:rPr>
        <w:t xml:space="preserve">and additional </w:t>
      </w:r>
      <w:r>
        <w:rPr>
          <w:noProof/>
        </w:rPr>
        <w:t xml:space="preserve">sectors. The Commission proposed in June 2023 that 30% </w:t>
      </w:r>
      <w:r w:rsidR="00F02B27">
        <w:rPr>
          <w:rFonts w:eastAsia="Times New Roman" w:cs="Times New Roman"/>
          <w:noProof/>
        </w:rPr>
        <w:t xml:space="preserve">of </w:t>
      </w:r>
      <w:r>
        <w:rPr>
          <w:rFonts w:eastAsia="Times New Roman" w:cs="Times New Roman"/>
          <w:noProof/>
        </w:rPr>
        <w:t>revenues generated by EU emissions trading would accrue to the EU budget</w:t>
      </w:r>
      <w:r>
        <w:rPr>
          <w:rFonts w:eastAsia="Times New Roman" w:cs="Times New Roman"/>
          <w:noProof/>
          <w:sz w:val="20"/>
          <w:szCs w:val="20"/>
          <w:vertAlign w:val="superscript"/>
        </w:rPr>
        <w:footnoteReference w:id="27"/>
      </w:r>
      <w:r w:rsidR="00F02B27">
        <w:rPr>
          <w:rFonts w:eastAsia="Times New Roman" w:cs="Times New Roman"/>
          <w:noProof/>
        </w:rPr>
        <w:t>,</w:t>
      </w:r>
      <w:r>
        <w:rPr>
          <w:rFonts w:eastAsia="Times New Roman" w:cs="Times New Roman"/>
          <w:noProof/>
        </w:rPr>
        <w:t xml:space="preserve"> contributing to the financing of the EU budget with its focus on sustainable investments. </w:t>
      </w:r>
      <w:r w:rsidR="00AA6878" w:rsidRPr="008431E4">
        <w:rPr>
          <w:rFonts w:eastAsia="Times New Roman" w:cs="Times New Roman"/>
          <w:b/>
          <w:bCs/>
          <w:noProof/>
        </w:rPr>
        <w:t>A strong</w:t>
      </w:r>
      <w:r w:rsidR="00AA6878" w:rsidRPr="00FA377F">
        <w:rPr>
          <w:b/>
          <w:noProof/>
        </w:rPr>
        <w:t xml:space="preserve"> EU budget </w:t>
      </w:r>
      <w:r w:rsidR="00AA6878" w:rsidRPr="008431E4">
        <w:rPr>
          <w:rFonts w:eastAsia="Times New Roman" w:cs="Times New Roman"/>
          <w:b/>
          <w:bCs/>
          <w:noProof/>
        </w:rPr>
        <w:t>is needed</w:t>
      </w:r>
      <w:r>
        <w:rPr>
          <w:rFonts w:eastAsia="Times New Roman" w:cs="Times New Roman"/>
          <w:noProof/>
        </w:rPr>
        <w:t xml:space="preserve"> to deliver higher quality investments and in this context the Commission urges swift progress on both the issue of innovative ways to use public funds to crowd in private investment, as well as the proposed ETS own resource.</w:t>
      </w:r>
    </w:p>
    <w:p w14:paraId="52500917" w14:textId="4CEC06AE" w:rsidR="00C07C6E" w:rsidRDefault="0072234F">
      <w:pPr>
        <w:rPr>
          <w:noProof/>
        </w:rPr>
      </w:pPr>
      <w:r>
        <w:rPr>
          <w:noProof/>
        </w:rPr>
        <w:t>More specifically, around 10% of the ETS allowances issued in 2021-2030 are dedicated to the EU’s two flagship financing programmes, i.e. the Innovation Fund and the Modernisation Fund. Calls organised under the Innovation Fund have an oversubscription rate of up to 20 times the available funds. Industrial actors have flagged the need to increase the budget of the Innovation Fund and further simplification of the rules, including to support green scale ups and start ups across industry</w:t>
      </w:r>
      <w:r w:rsidR="00825187">
        <w:rPr>
          <w:noProof/>
        </w:rPr>
        <w:t>,</w:t>
      </w:r>
      <w:r>
        <w:rPr>
          <w:noProof/>
        </w:rPr>
        <w:t xml:space="preserve"> transport</w:t>
      </w:r>
      <w:r w:rsidR="004463E4">
        <w:rPr>
          <w:noProof/>
        </w:rPr>
        <w:t>, circular economy</w:t>
      </w:r>
      <w:r>
        <w:rPr>
          <w:noProof/>
        </w:rPr>
        <w:t xml:space="preserve"> and energy sectors. </w:t>
      </w:r>
    </w:p>
    <w:p w14:paraId="63799ADC" w14:textId="0E99299F" w:rsidR="00C07C6E" w:rsidRDefault="0072234F">
      <w:pPr>
        <w:rPr>
          <w:noProof/>
        </w:rPr>
      </w:pPr>
      <w:r>
        <w:rPr>
          <w:noProof/>
        </w:rPr>
        <w:t xml:space="preserve">Furthermore, a </w:t>
      </w:r>
      <w:r>
        <w:rPr>
          <w:b/>
          <w:noProof/>
        </w:rPr>
        <w:t xml:space="preserve">greater share of ETS revenues could flow back to support decarbonisation. </w:t>
      </w:r>
      <w:r>
        <w:rPr>
          <w:noProof/>
        </w:rPr>
        <w:t xml:space="preserve">Member States currently spend </w:t>
      </w:r>
      <w:r>
        <w:rPr>
          <w:b/>
          <w:noProof/>
        </w:rPr>
        <w:t>on average around</w:t>
      </w:r>
      <w:r>
        <w:rPr>
          <w:noProof/>
        </w:rPr>
        <w:t xml:space="preserve"> </w:t>
      </w:r>
      <w:r>
        <w:rPr>
          <w:b/>
          <w:noProof/>
        </w:rPr>
        <w:t>75% of the</w:t>
      </w:r>
      <w:r w:rsidR="00505157">
        <w:rPr>
          <w:b/>
          <w:noProof/>
        </w:rPr>
        <w:t>ir</w:t>
      </w:r>
      <w:r>
        <w:rPr>
          <w:b/>
          <w:noProof/>
        </w:rPr>
        <w:t xml:space="preserve"> revenues on climate and energy purposes</w:t>
      </w:r>
      <w:r>
        <w:rPr>
          <w:noProof/>
        </w:rPr>
        <w:t>, which under the revised ETS Directive will need to increase to 100%. This offers vast opportunities to scale up support to industry</w:t>
      </w:r>
      <w:r w:rsidR="11A1F800" w:rsidRPr="28AFB795">
        <w:rPr>
          <w:noProof/>
        </w:rPr>
        <w:t xml:space="preserve"> </w:t>
      </w:r>
      <w:r w:rsidRPr="2825C9B7">
        <w:rPr>
          <w:noProof/>
        </w:rPr>
        <w:t>.</w:t>
      </w:r>
      <w:r>
        <w:rPr>
          <w:noProof/>
        </w:rPr>
        <w:t xml:space="preserve"> </w:t>
      </w:r>
    </w:p>
    <w:p w14:paraId="4B36CC27" w14:textId="77777777" w:rsidR="00C07C6E" w:rsidRDefault="0072234F" w:rsidP="00F77B89">
      <w:pPr>
        <w:keepNext/>
        <w:keepLines/>
        <w:rPr>
          <w:b/>
          <w:noProof/>
        </w:rPr>
      </w:pPr>
      <w:r>
        <w:rPr>
          <w:b/>
          <w:noProof/>
        </w:rPr>
        <w:t>Graph 3: ETS revenues spent on climate and energy purposes by Member States</w:t>
      </w:r>
    </w:p>
    <w:p w14:paraId="1042D308" w14:textId="174B47EF" w:rsidR="00C07C6E" w:rsidRDefault="0072234F" w:rsidP="00F77B89">
      <w:pPr>
        <w:keepNext/>
        <w:keepLines/>
        <w:rPr>
          <w:i/>
          <w:noProof/>
          <w:sz w:val="20"/>
          <w:szCs w:val="20"/>
        </w:rPr>
      </w:pPr>
      <w:r>
        <w:rPr>
          <w:i/>
          <w:noProof/>
          <w:sz w:val="20"/>
          <w:szCs w:val="20"/>
        </w:rPr>
        <w:t>Based on reported usage</w:t>
      </w:r>
      <w:r w:rsidR="006521CA">
        <w:rPr>
          <w:i/>
          <w:noProof/>
          <w:sz w:val="20"/>
          <w:szCs w:val="20"/>
        </w:rPr>
        <w:t>, in million euro</w:t>
      </w:r>
    </w:p>
    <w:p w14:paraId="6EA68BBB" w14:textId="776FF2D9" w:rsidR="00C07C6E" w:rsidRDefault="00C07C6E">
      <w:pPr>
        <w:rPr>
          <w:noProof/>
        </w:rPr>
      </w:pPr>
    </w:p>
    <w:p w14:paraId="064B7D1F" w14:textId="2C40A83F" w:rsidR="00C07C6E" w:rsidRDefault="0098527F">
      <w:pPr>
        <w:pStyle w:val="FootnoteText"/>
        <w:spacing w:before="120" w:after="120"/>
        <w:rPr>
          <w:i/>
          <w:noProof/>
          <w:sz w:val="18"/>
          <w:szCs w:val="18"/>
          <w:lang w:val="en-IE"/>
        </w:rPr>
      </w:pPr>
      <w:r>
        <w:rPr>
          <w:noProof/>
          <w:lang w:val="en-GB" w:eastAsia="en-GB"/>
        </w:rPr>
        <w:drawing>
          <wp:inline distT="0" distB="0" distL="0" distR="0" wp14:anchorId="478350A1" wp14:editId="4D28698F">
            <wp:extent cx="5731510" cy="26911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2691130"/>
                    </a:xfrm>
                    <a:prstGeom prst="rect">
                      <a:avLst/>
                    </a:prstGeom>
                  </pic:spPr>
                </pic:pic>
              </a:graphicData>
            </a:graphic>
          </wp:inline>
        </w:drawing>
      </w:r>
      <w:r w:rsidR="0072234F">
        <w:rPr>
          <w:i/>
          <w:noProof/>
          <w:sz w:val="18"/>
          <w:szCs w:val="18"/>
          <w:lang w:val="en-IE"/>
        </w:rPr>
        <w:t xml:space="preserve">Source: European Environmental Agency, </w:t>
      </w:r>
      <w:hyperlink r:id="rId18" w:anchor=":~:text=Total%20auctioning%20revenues%20generated%20under,and%20the%20Modernisation%20Fund%20(EUR3" w:history="1">
        <w:r w:rsidR="0072234F">
          <w:rPr>
            <w:rStyle w:val="Hyperlink"/>
            <w:i/>
            <w:noProof/>
            <w:sz w:val="18"/>
            <w:szCs w:val="18"/>
            <w:lang w:val="en-IE"/>
          </w:rPr>
          <w:t>https://www.eea.europa.eu/en/analysis/indicators/use-of-auctioning-revenues-generated#:~:text=Total%20auctioning%20revenues%20generated%20under,and%20the%20Modernisation%20Fund%20(EUR3</w:t>
        </w:r>
      </w:hyperlink>
    </w:p>
    <w:p w14:paraId="190BCF3A" w14:textId="77777777" w:rsidR="00C07C6E" w:rsidRDefault="00C07C6E">
      <w:pPr>
        <w:rPr>
          <w:noProof/>
        </w:rPr>
      </w:pPr>
    </w:p>
    <w:p w14:paraId="7519AA0D" w14:textId="1E53C744" w:rsidR="00C07C6E" w:rsidRDefault="0072234F">
      <w:pPr>
        <w:rPr>
          <w:rFonts w:eastAsiaTheme="minorEastAsia"/>
          <w:noProof/>
        </w:rPr>
      </w:pPr>
      <w:r>
        <w:rPr>
          <w:noProof/>
        </w:rPr>
        <w:t xml:space="preserve">Also for access to </w:t>
      </w:r>
      <w:r w:rsidR="00F91B74">
        <w:rPr>
          <w:noProof/>
        </w:rPr>
        <w:t>public funds</w:t>
      </w:r>
      <w:r>
        <w:rPr>
          <w:noProof/>
        </w:rPr>
        <w:t xml:space="preserve">, simplicity means better delivery. Dialogue participants considered access to EU funds to be </w:t>
      </w:r>
      <w:r>
        <w:rPr>
          <w:b/>
          <w:noProof/>
        </w:rPr>
        <w:t>complex</w:t>
      </w:r>
      <w:r>
        <w:rPr>
          <w:noProof/>
        </w:rPr>
        <w:t xml:space="preserve"> and </w:t>
      </w:r>
      <w:r>
        <w:rPr>
          <w:b/>
          <w:noProof/>
        </w:rPr>
        <w:t>lengthy</w:t>
      </w:r>
      <w:r>
        <w:rPr>
          <w:noProof/>
        </w:rPr>
        <w:t xml:space="preserve"> due to</w:t>
      </w:r>
      <w:r>
        <w:rPr>
          <w:rStyle w:val="normaltextrun"/>
          <w:noProof/>
          <w:color w:val="000000"/>
          <w:shd w:val="clear" w:color="auto" w:fill="FFFFFF"/>
        </w:rPr>
        <w:t xml:space="preserve"> different eligibility criteria, application procedures, and red tape.</w:t>
      </w:r>
      <w:r>
        <w:rPr>
          <w:noProof/>
        </w:rPr>
        <w:t xml:space="preserve"> They underlined t</w:t>
      </w:r>
      <w:r>
        <w:rPr>
          <w:rFonts w:eastAsia="Calibri"/>
          <w:noProof/>
        </w:rPr>
        <w:t xml:space="preserve">he challenge of navigating the different EU and national funds, especially for SMEs. They </w:t>
      </w:r>
      <w:r>
        <w:rPr>
          <w:rFonts w:eastAsiaTheme="minorEastAsia"/>
          <w:b/>
          <w:noProof/>
        </w:rPr>
        <w:t>called on the EU to make access to public funding simpler and faster and to explore ways to link EU funding with available local and regional finance</w:t>
      </w:r>
      <w:r>
        <w:rPr>
          <w:rFonts w:eastAsiaTheme="minorEastAsia"/>
          <w:noProof/>
        </w:rPr>
        <w:t xml:space="preserve">, </w:t>
      </w:r>
      <w:r>
        <w:rPr>
          <w:rFonts w:eastAsiaTheme="minorEastAsia"/>
          <w:bCs/>
          <w:noProof/>
        </w:rPr>
        <w:t>building on the updated Funding &amp; Tenders Portal</w:t>
      </w:r>
      <w:r>
        <w:rPr>
          <w:rStyle w:val="FootnoteReference"/>
          <w:rFonts w:eastAsiaTheme="minorEastAsia"/>
          <w:bCs/>
          <w:noProof/>
        </w:rPr>
        <w:footnoteReference w:id="28"/>
      </w:r>
      <w:r>
        <w:rPr>
          <w:rFonts w:eastAsiaTheme="minorEastAsia"/>
          <w:bCs/>
          <w:noProof/>
        </w:rPr>
        <w:t>.</w:t>
      </w:r>
    </w:p>
    <w:p w14:paraId="749DA796" w14:textId="0C2452A8" w:rsidR="00C07C6E" w:rsidRDefault="0072234F">
      <w:pPr>
        <w:rPr>
          <w:rFonts w:eastAsiaTheme="minorEastAsia"/>
          <w:noProof/>
        </w:rPr>
      </w:pPr>
      <w:r>
        <w:rPr>
          <w:rFonts w:eastAsiaTheme="minorEastAsia"/>
          <w:b/>
          <w:noProof/>
        </w:rPr>
        <w:t>The Strategic Technologies for Europe Platform (STEP</w:t>
      </w:r>
      <w:r>
        <w:rPr>
          <w:rFonts w:eastAsiaTheme="minorEastAsia"/>
          <w:noProof/>
        </w:rPr>
        <w:t xml:space="preserve">) is a </w:t>
      </w:r>
      <w:r w:rsidR="00180578">
        <w:rPr>
          <w:rFonts w:eastAsiaTheme="minorEastAsia"/>
          <w:noProof/>
        </w:rPr>
        <w:t xml:space="preserve">crucial </w:t>
      </w:r>
      <w:r w:rsidR="006432A9">
        <w:rPr>
          <w:rFonts w:eastAsiaTheme="minorEastAsia"/>
          <w:noProof/>
        </w:rPr>
        <w:t xml:space="preserve">initiative </w:t>
      </w:r>
      <w:r>
        <w:rPr>
          <w:rFonts w:eastAsiaTheme="minorEastAsia"/>
          <w:noProof/>
        </w:rPr>
        <w:t xml:space="preserve">to boost investments in Europe’s critical technologies across digital, deep tech, clean tech, and biotech for an estimated investment potential of up to EUR 50 billion. The Commission will as a matter of priority launch the STEP Sovereignty Portal in the second quarter of 2024 and will enhance its functionalities over time. It will consolidate information on EU funding options for STEP investment areas and support project promoters in identifying the best EU funding opportunities for their business needs. The next MFF represents an opportunity to further streamline the EU financial landscape and strengthen synergies across programmes to better support the clean transition. </w:t>
      </w:r>
    </w:p>
    <w:p w14:paraId="5F3310DD" w14:textId="1A107A4B" w:rsidR="00C07C6E" w:rsidRDefault="0072234F">
      <w:pPr>
        <w:rPr>
          <w:rFonts w:eastAsia="Calibri"/>
          <w:noProof/>
        </w:rPr>
      </w:pPr>
      <w:r>
        <w:rPr>
          <w:rFonts w:eastAsia="Calibri"/>
          <w:noProof/>
        </w:rPr>
        <w:t>As part of this workstream, the Commission will also assess how</w:t>
      </w:r>
      <w:r>
        <w:rPr>
          <w:noProof/>
        </w:rPr>
        <w:t xml:space="preserve"> </w:t>
      </w:r>
      <w:r>
        <w:rPr>
          <w:rFonts w:eastAsia="Calibri"/>
          <w:b/>
          <w:noProof/>
        </w:rPr>
        <w:t xml:space="preserve">EU funding and financing could be </w:t>
      </w:r>
      <w:r w:rsidR="00DE4965">
        <w:rPr>
          <w:rFonts w:eastAsia="Calibri"/>
          <w:b/>
          <w:noProof/>
        </w:rPr>
        <w:t>accelerated</w:t>
      </w:r>
      <w:r>
        <w:rPr>
          <w:rFonts w:eastAsia="Calibri"/>
          <w:noProof/>
        </w:rPr>
        <w:t xml:space="preserve">. The average level of commitments and spending on climate mainstreaming under the EU funds amounts to some 30% of the available budgets for the 2021-2027 period. </w:t>
      </w:r>
      <w:r w:rsidR="00FE4163" w:rsidRPr="00FE4163">
        <w:rPr>
          <w:rFonts w:eastAsia="Calibri"/>
          <w:noProof/>
        </w:rPr>
        <w:t xml:space="preserve">This is especially relevant for clean tech and decarbonisation projects as their long lead times require early financing and funding to ensure these investments can still effectively contribute to meeting </w:t>
      </w:r>
      <w:r w:rsidR="00807092">
        <w:rPr>
          <w:rFonts w:eastAsia="Calibri"/>
          <w:noProof/>
        </w:rPr>
        <w:t xml:space="preserve">the </w:t>
      </w:r>
      <w:r w:rsidR="00FE4163" w:rsidRPr="00FE4163">
        <w:rPr>
          <w:rFonts w:eastAsia="Calibri"/>
          <w:noProof/>
        </w:rPr>
        <w:t>2030 target.</w:t>
      </w:r>
      <w:r w:rsidR="00FE4163">
        <w:rPr>
          <w:rFonts w:eastAsia="Calibri"/>
          <w:noProof/>
        </w:rPr>
        <w:t xml:space="preserve"> </w:t>
      </w:r>
    </w:p>
    <w:p w14:paraId="451AD35D" w14:textId="0CBEC9DC" w:rsidR="00C07C6E" w:rsidRDefault="00C40013">
      <w:pPr>
        <w:rPr>
          <w:noProof/>
        </w:rPr>
      </w:pPr>
      <w:r w:rsidRPr="001D03DD">
        <w:rPr>
          <w:b/>
          <w:noProof/>
        </w:rPr>
        <w:t>According to the participants, t</w:t>
      </w:r>
      <w:r w:rsidR="0072234F" w:rsidRPr="001D03DD">
        <w:rPr>
          <w:b/>
          <w:noProof/>
        </w:rPr>
        <w:t>o simplify</w:t>
      </w:r>
      <w:r w:rsidR="0072234F">
        <w:rPr>
          <w:b/>
          <w:noProof/>
        </w:rPr>
        <w:t xml:space="preserve"> access to national funding and create economies of scale, Member States should, in line with State aid rules, make more use of auctions-as-a-service schemes</w:t>
      </w:r>
      <w:r w:rsidR="0072234F">
        <w:rPr>
          <w:noProof/>
        </w:rPr>
        <w:t xml:space="preserve">, as pioneered under the 2023 pilot auction of the European Hydrogen Bank to which Germany allocated EUR 350 million for renewable hydrogen. These schemes are an innovative way to accelerate market deployment throughout the EU, and reduce the administrative burden, including by facilitating important synergies for swift State aid clearance of the schemes. The Commission will assess how the concepts of auctions-as-a-service </w:t>
      </w:r>
      <w:r w:rsidR="007246FC">
        <w:rPr>
          <w:noProof/>
        </w:rPr>
        <w:t>and grants-as-a-service</w:t>
      </w:r>
      <w:r w:rsidR="0072234F">
        <w:rPr>
          <w:noProof/>
        </w:rPr>
        <w:t xml:space="preserve"> can be expanded to other policy fields, while ensuring that auctions remain sufficiently competitive, starting </w:t>
      </w:r>
      <w:r w:rsidR="00193FE3">
        <w:rPr>
          <w:noProof/>
        </w:rPr>
        <w:t xml:space="preserve">for example </w:t>
      </w:r>
      <w:r w:rsidR="0072234F">
        <w:rPr>
          <w:noProof/>
        </w:rPr>
        <w:t xml:space="preserve">with the </w:t>
      </w:r>
      <w:r w:rsidR="00E328E7">
        <w:rPr>
          <w:noProof/>
        </w:rPr>
        <w:t xml:space="preserve">Commission’s announced </w:t>
      </w:r>
      <w:r w:rsidR="0072234F">
        <w:rPr>
          <w:noProof/>
        </w:rPr>
        <w:t xml:space="preserve">support </w:t>
      </w:r>
      <w:r w:rsidR="00E328E7">
        <w:rPr>
          <w:noProof/>
        </w:rPr>
        <w:t xml:space="preserve">to </w:t>
      </w:r>
      <w:r w:rsidR="00E328E7" w:rsidRPr="51579926">
        <w:rPr>
          <w:noProof/>
        </w:rPr>
        <w:t xml:space="preserve">European manufacturers of the most sustainable batteries </w:t>
      </w:r>
      <w:r w:rsidR="00E328E7">
        <w:rPr>
          <w:noProof/>
        </w:rPr>
        <w:t xml:space="preserve">of </w:t>
      </w:r>
      <w:r w:rsidR="0072234F">
        <w:rPr>
          <w:rFonts w:cs="Times New Roman"/>
          <w:noProof/>
        </w:rPr>
        <w:t>EUR</w:t>
      </w:r>
      <w:r w:rsidR="0072234F">
        <w:rPr>
          <w:noProof/>
        </w:rPr>
        <w:t xml:space="preserve"> 3 billion </w:t>
      </w:r>
      <w:r w:rsidR="041E1E7E" w:rsidRPr="51579926">
        <w:rPr>
          <w:noProof/>
        </w:rPr>
        <w:t>t</w:t>
      </w:r>
      <w:r w:rsidR="0072234F">
        <w:rPr>
          <w:noProof/>
        </w:rPr>
        <w:t xml:space="preserve">for three years. </w:t>
      </w:r>
    </w:p>
    <w:p w14:paraId="312B71E6" w14:textId="2A56C43F" w:rsidR="00C07C6E" w:rsidRDefault="0072234F">
      <w:pPr>
        <w:rPr>
          <w:noProof/>
        </w:rPr>
      </w:pPr>
      <w:r>
        <w:rPr>
          <w:noProof/>
        </w:rPr>
        <w:t xml:space="preserve">On State </w:t>
      </w:r>
      <w:r w:rsidR="004F4D6D">
        <w:rPr>
          <w:noProof/>
        </w:rPr>
        <w:t>a</w:t>
      </w:r>
      <w:r>
        <w:rPr>
          <w:noProof/>
        </w:rPr>
        <w:t>id, participants in the Dialogues frequently mentioned the example of the Temporary Crisis and Transition Framework (TCTF), including the provisions enabling Member States in exceptional cases to provide support to companies, where there is a real risk of investments being diverted away from Europe, up to the amount of support the beneficiary could receive for an equivalent investment in that alternative location (‘</w:t>
      </w:r>
      <w:r>
        <w:rPr>
          <w:b/>
          <w:noProof/>
        </w:rPr>
        <w:t>matching aid</w:t>
      </w:r>
      <w:r>
        <w:rPr>
          <w:noProof/>
        </w:rPr>
        <w:t>'), or the amount needed to incentivise the company to locate the investment in the EEA (‘</w:t>
      </w:r>
      <w:r>
        <w:rPr>
          <w:b/>
          <w:noProof/>
        </w:rPr>
        <w:t>funding gap</w:t>
      </w:r>
      <w:r>
        <w:rPr>
          <w:noProof/>
        </w:rPr>
        <w:t xml:space="preserve">'), whichever is the lowest. Some of the participants have also noted that the existing State aid framework should to a larger extent take </w:t>
      </w:r>
      <w:r>
        <w:rPr>
          <w:b/>
          <w:noProof/>
        </w:rPr>
        <w:t>due account of the external dimension</w:t>
      </w:r>
      <w:r>
        <w:rPr>
          <w:noProof/>
        </w:rPr>
        <w:t xml:space="preserve"> including the existing and possible future multilateral commitments </w:t>
      </w:r>
      <w:r w:rsidRPr="001D03DD">
        <w:rPr>
          <w:noProof/>
        </w:rPr>
        <w:t xml:space="preserve">and rules on subsidies and the </w:t>
      </w:r>
      <w:r w:rsidRPr="001D03DD">
        <w:rPr>
          <w:b/>
          <w:noProof/>
        </w:rPr>
        <w:t>changing global security, economic and trade context</w:t>
      </w:r>
      <w:r w:rsidRPr="001D03DD">
        <w:rPr>
          <w:noProof/>
        </w:rPr>
        <w:t xml:space="preserve">. </w:t>
      </w:r>
      <w:r w:rsidR="00C40013" w:rsidRPr="001D03DD">
        <w:rPr>
          <w:noProof/>
        </w:rPr>
        <w:t>The Commission will continue to ensure that State aid rules are fit for purpose</w:t>
      </w:r>
      <w:r w:rsidR="006432A9">
        <w:rPr>
          <w:noProof/>
        </w:rPr>
        <w:t xml:space="preserve"> in light of all relevant factors and</w:t>
      </w:r>
      <w:r w:rsidR="00C40013" w:rsidRPr="001D03DD">
        <w:rPr>
          <w:noProof/>
        </w:rPr>
        <w:t xml:space="preserve"> in consultation with all relevant stakeholders.</w:t>
      </w:r>
    </w:p>
    <w:p w14:paraId="6ABD5999" w14:textId="124C1E29" w:rsidR="00C07C6E" w:rsidRDefault="0072234F">
      <w:pPr>
        <w:rPr>
          <w:noProof/>
        </w:rPr>
      </w:pPr>
      <w:r w:rsidRPr="4C7ECB2E">
        <w:rPr>
          <w:noProof/>
        </w:rPr>
        <w:t>Overall,</w:t>
      </w:r>
      <w:r w:rsidR="22BD73A3" w:rsidRPr="4C7ECB2E">
        <w:rPr>
          <w:noProof/>
        </w:rPr>
        <w:t xml:space="preserve"> </w:t>
      </w:r>
      <w:r w:rsidRPr="4C7ECB2E">
        <w:rPr>
          <w:noProof/>
        </w:rPr>
        <w:t xml:space="preserve">there is an urgent need to </w:t>
      </w:r>
      <w:r w:rsidRPr="4C7ECB2E">
        <w:rPr>
          <w:rFonts w:eastAsiaTheme="minorEastAsia"/>
          <w:noProof/>
        </w:rPr>
        <w:t>coordinate funding more at EU level, to create economies of scale, to enhance the efficient allocation of resources</w:t>
      </w:r>
      <w:r>
        <w:rPr>
          <w:rFonts w:eastAsiaTheme="minorEastAsia"/>
          <w:noProof/>
        </w:rPr>
        <w:t>,</w:t>
      </w:r>
      <w:r w:rsidRPr="4C7ECB2E">
        <w:rPr>
          <w:rFonts w:eastAsiaTheme="minorEastAsia"/>
          <w:noProof/>
        </w:rPr>
        <w:t xml:space="preserve"> and make use of the single market</w:t>
      </w:r>
      <w:r w:rsidR="00007BE4">
        <w:rPr>
          <w:rFonts w:eastAsiaTheme="minorEastAsia"/>
          <w:noProof/>
        </w:rPr>
        <w:t xml:space="preserve">, while taking into account </w:t>
      </w:r>
      <w:r w:rsidR="00D55938">
        <w:rPr>
          <w:rFonts w:eastAsiaTheme="minorEastAsia"/>
          <w:noProof/>
        </w:rPr>
        <w:t xml:space="preserve">cohesion policy objectives </w:t>
      </w:r>
      <w:r w:rsidR="00102E65">
        <w:rPr>
          <w:rFonts w:eastAsiaTheme="minorEastAsia"/>
          <w:noProof/>
        </w:rPr>
        <w:t xml:space="preserve">for a fair and inclusive </w:t>
      </w:r>
      <w:r w:rsidR="00CA5DE2">
        <w:rPr>
          <w:rFonts w:eastAsiaTheme="minorEastAsia"/>
          <w:noProof/>
        </w:rPr>
        <w:t>transition</w:t>
      </w:r>
      <w:r w:rsidRPr="4C7ECB2E">
        <w:rPr>
          <w:rFonts w:eastAsiaTheme="minorEastAsia"/>
          <w:noProof/>
        </w:rPr>
        <w:t>.</w:t>
      </w:r>
    </w:p>
    <w:p w14:paraId="7D2322A3" w14:textId="77777777" w:rsidR="00C07C6E" w:rsidRDefault="00C07C6E">
      <w:pPr>
        <w:rPr>
          <w:noProof/>
        </w:rPr>
      </w:pPr>
    </w:p>
    <w:p w14:paraId="47F4C22C" w14:textId="77777777" w:rsidR="00C07C6E" w:rsidRDefault="0072234F">
      <w:pPr>
        <w:pStyle w:val="ListParagraph"/>
        <w:numPr>
          <w:ilvl w:val="0"/>
          <w:numId w:val="6"/>
        </w:numPr>
        <w:ind w:left="426" w:hanging="426"/>
        <w:rPr>
          <w:rStyle w:val="normaltextrun"/>
          <w:b/>
          <w:i/>
          <w:noProof/>
          <w:sz w:val="24"/>
          <w:szCs w:val="24"/>
        </w:rPr>
      </w:pPr>
      <w:r>
        <w:rPr>
          <w:rStyle w:val="normaltextrun"/>
          <w:b/>
          <w:noProof/>
          <w:color w:val="000000"/>
        </w:rPr>
        <w:t>LEVERAGING THE CLEAN SINGLE MARKET IN A GLOBALLY COMPETITIVE ENVIRONMENT</w:t>
      </w:r>
    </w:p>
    <w:p w14:paraId="13C9EEAC" w14:textId="77777777" w:rsidR="00C07C6E" w:rsidRDefault="00C07C6E">
      <w:pPr>
        <w:pStyle w:val="ListParagraph"/>
        <w:ind w:left="360"/>
        <w:rPr>
          <w:i/>
          <w:noProof/>
        </w:rPr>
      </w:pPr>
    </w:p>
    <w:p w14:paraId="44D60A69" w14:textId="40D093D7" w:rsidR="00C07C6E" w:rsidRDefault="0072234F">
      <w:pPr>
        <w:rPr>
          <w:rFonts w:eastAsia="Calibri"/>
          <w:b/>
          <w:noProof/>
          <w:lang w:val="en-GB"/>
        </w:rPr>
      </w:pPr>
      <w:r>
        <w:rPr>
          <w:b/>
          <w:bCs/>
          <w:noProof/>
          <w:lang w:val="en-GB"/>
        </w:rPr>
        <w:t>The global clean transition represents a major geostrategic and geoeconomic challenge.</w:t>
      </w:r>
      <w:r>
        <w:rPr>
          <w:noProof/>
          <w:lang w:val="en-GB"/>
        </w:rPr>
        <w:t xml:space="preserve"> It is at the same time an </w:t>
      </w:r>
      <w:r>
        <w:rPr>
          <w:b/>
          <w:bCs/>
          <w:noProof/>
          <w:lang w:val="en-GB"/>
        </w:rPr>
        <w:t>unprecedented opportunity</w:t>
      </w:r>
      <w:r>
        <w:rPr>
          <w:noProof/>
          <w:lang w:val="en-GB"/>
        </w:rPr>
        <w:t xml:space="preserve"> for the EU to be one of the leaders shaping the global market for mass-manufactured clean technologies</w:t>
      </w:r>
      <w:r>
        <w:rPr>
          <w:rFonts w:eastAsia="Calibri"/>
          <w:noProof/>
          <w:lang w:val="en-GB"/>
        </w:rPr>
        <w:t xml:space="preserve"> and become the world’s largest sustainable marketplace. With the clean tech market projected to triple to an annual worth of around EUR 600 billion globally by 2030</w:t>
      </w:r>
      <w:r w:rsidR="000F3F42">
        <w:rPr>
          <w:rStyle w:val="FootnoteReference"/>
          <w:rFonts w:eastAsia="Calibri"/>
          <w:noProof/>
          <w:lang w:val="en-GB"/>
        </w:rPr>
        <w:footnoteReference w:id="29"/>
      </w:r>
      <w:r>
        <w:rPr>
          <w:rFonts w:eastAsia="Calibri"/>
          <w:noProof/>
          <w:lang w:val="en-GB"/>
        </w:rPr>
        <w:t>, it provides ample business opportunities. The EU’s international partnerships can support the EU clean tech industry</w:t>
      </w:r>
      <w:r w:rsidR="003C4B45">
        <w:rPr>
          <w:rFonts w:eastAsia="Calibri"/>
          <w:noProof/>
          <w:lang w:val="en-GB"/>
        </w:rPr>
        <w:t>,</w:t>
      </w:r>
      <w:r>
        <w:rPr>
          <w:rFonts w:eastAsia="Calibri"/>
          <w:noProof/>
          <w:lang w:val="en-GB"/>
        </w:rPr>
        <w:t xml:space="preserve"> </w:t>
      </w:r>
      <w:r w:rsidR="00E44B26">
        <w:rPr>
          <w:rFonts w:eastAsia="Calibri"/>
          <w:noProof/>
          <w:lang w:val="en-GB"/>
        </w:rPr>
        <w:t>including SMEs</w:t>
      </w:r>
      <w:r w:rsidR="003C4B45">
        <w:rPr>
          <w:rFonts w:eastAsia="Calibri"/>
          <w:noProof/>
          <w:lang w:val="en-GB"/>
        </w:rPr>
        <w:t>,</w:t>
      </w:r>
      <w:r>
        <w:rPr>
          <w:rFonts w:eastAsia="Calibri"/>
          <w:noProof/>
          <w:lang w:val="en-GB"/>
        </w:rPr>
        <w:t xml:space="preserve"> to unlock new business opportunities worldwide. By leveraging its single market, the EU can pool demand, and build long-lasting strategic international partnerships to secure diversified supply of clean technologies. </w:t>
      </w:r>
    </w:p>
    <w:p w14:paraId="625A3463" w14:textId="3A0CFA51" w:rsidR="00C07C6E" w:rsidRPr="00FA377F" w:rsidRDefault="0072234F">
      <w:pPr>
        <w:rPr>
          <w:noProof/>
        </w:rPr>
      </w:pPr>
      <w:r>
        <w:rPr>
          <w:rFonts w:eastAsia="Calibri"/>
          <w:noProof/>
          <w:lang w:val="en-GB"/>
        </w:rPr>
        <w:t>The Single Market is the EU’s greatest strength, as it</w:t>
      </w:r>
      <w:r>
        <w:rPr>
          <w:rFonts w:eastAsia="Calibri"/>
          <w:b/>
          <w:noProof/>
          <w:lang w:val="en-GB"/>
        </w:rPr>
        <w:t xml:space="preserve"> provides scale and promotes a high level of standards also outside Europe. </w:t>
      </w:r>
      <w:r>
        <w:rPr>
          <w:rFonts w:eastAsia="Calibri"/>
          <w:noProof/>
          <w:lang w:val="en-GB"/>
        </w:rPr>
        <w:t xml:space="preserve">Further efforts are </w:t>
      </w:r>
      <w:r w:rsidR="7EABCCE5" w:rsidRPr="4C7ECB2E">
        <w:rPr>
          <w:rFonts w:eastAsia="Calibri"/>
          <w:noProof/>
          <w:lang w:val="en-GB"/>
        </w:rPr>
        <w:t xml:space="preserve">taking place </w:t>
      </w:r>
      <w:r>
        <w:rPr>
          <w:rFonts w:eastAsia="Calibri"/>
          <w:noProof/>
          <w:lang w:val="en-GB"/>
        </w:rPr>
        <w:t>to support standardisation</w:t>
      </w:r>
      <w:r w:rsidR="35C34784" w:rsidRPr="4C7ECB2E">
        <w:rPr>
          <w:rFonts w:eastAsia="Calibri"/>
          <w:noProof/>
          <w:lang w:val="en-GB"/>
        </w:rPr>
        <w:t xml:space="preserve"> as part of the EU </w:t>
      </w:r>
      <w:r w:rsidR="008857BA">
        <w:rPr>
          <w:rFonts w:eastAsia="Calibri"/>
          <w:noProof/>
          <w:lang w:val="en-GB"/>
        </w:rPr>
        <w:t>s</w:t>
      </w:r>
      <w:r w:rsidR="35C34784" w:rsidRPr="4C7ECB2E">
        <w:rPr>
          <w:rFonts w:eastAsia="Calibri"/>
          <w:noProof/>
          <w:lang w:val="en-GB"/>
        </w:rPr>
        <w:t>tandardisation strategy</w:t>
      </w:r>
      <w:r w:rsidRPr="4C7ECB2E">
        <w:rPr>
          <w:rFonts w:eastAsia="Calibri"/>
          <w:noProof/>
          <w:lang w:val="en-GB"/>
        </w:rPr>
        <w:t xml:space="preserve">. </w:t>
      </w:r>
    </w:p>
    <w:p w14:paraId="3998966D" w14:textId="4C41C440" w:rsidR="00C07C6E" w:rsidRDefault="0072234F">
      <w:pPr>
        <w:rPr>
          <w:rFonts w:eastAsia="Calibri"/>
          <w:noProof/>
          <w:lang w:val="en-GB"/>
        </w:rPr>
      </w:pPr>
      <w:r>
        <w:rPr>
          <w:rFonts w:eastAsia="Calibri" w:cs="Times New Roman"/>
          <w:noProof/>
          <w:lang w:val="en-GB"/>
        </w:rPr>
        <w:t xml:space="preserve">Given that approximately EUR </w:t>
      </w:r>
      <w:r>
        <w:rPr>
          <w:rFonts w:eastAsia="Calibri"/>
          <w:noProof/>
          <w:lang w:val="en-GB"/>
        </w:rPr>
        <w:t xml:space="preserve">2 trillion of public funds, representing 14% of GDP, is spent every year through the public procurement process, strategic </w:t>
      </w:r>
      <w:r>
        <w:rPr>
          <w:rFonts w:eastAsia="Calibri"/>
          <w:b/>
          <w:noProof/>
          <w:lang w:val="en-GB"/>
        </w:rPr>
        <w:t>public procurement is a key tool to create markets for net zero</w:t>
      </w:r>
      <w:r w:rsidR="00B215E6">
        <w:rPr>
          <w:rFonts w:eastAsia="Calibri"/>
          <w:b/>
          <w:noProof/>
          <w:lang w:val="en-GB"/>
        </w:rPr>
        <w:t>, circular</w:t>
      </w:r>
      <w:r>
        <w:rPr>
          <w:rFonts w:eastAsia="Calibri"/>
          <w:b/>
          <w:noProof/>
          <w:lang w:val="en-GB"/>
        </w:rPr>
        <w:t xml:space="preserve"> and clean technologies and business solutions </w:t>
      </w:r>
      <w:r>
        <w:rPr>
          <w:rFonts w:eastAsia="Calibri"/>
          <w:noProof/>
          <w:lang w:val="en-GB"/>
        </w:rPr>
        <w:t>and to</w:t>
      </w:r>
      <w:r>
        <w:rPr>
          <w:rFonts w:eastAsia="Calibri"/>
          <w:b/>
          <w:noProof/>
          <w:lang w:val="en-GB"/>
        </w:rPr>
        <w:t xml:space="preserve"> </w:t>
      </w:r>
      <w:r>
        <w:rPr>
          <w:rFonts w:eastAsia="Calibri"/>
          <w:noProof/>
          <w:lang w:val="en-GB"/>
        </w:rPr>
        <w:t xml:space="preserve">reward companies that invest in innovative and sustainable technologies and manufacturing with the </w:t>
      </w:r>
      <w:r w:rsidR="007A1FF3">
        <w:rPr>
          <w:rFonts w:eastAsia="Calibri"/>
          <w:noProof/>
          <w:lang w:val="en-GB"/>
        </w:rPr>
        <w:t xml:space="preserve">best </w:t>
      </w:r>
      <w:r>
        <w:rPr>
          <w:rFonts w:eastAsia="Calibri"/>
          <w:noProof/>
          <w:lang w:val="en-GB"/>
        </w:rPr>
        <w:t>sustainability footprint</w:t>
      </w:r>
      <w:r w:rsidR="74ECB876" w:rsidRPr="625A778E">
        <w:rPr>
          <w:rFonts w:eastAsia="Calibri"/>
          <w:noProof/>
          <w:lang w:val="en-GB"/>
        </w:rPr>
        <w:t xml:space="preserve">, </w:t>
      </w:r>
      <w:r w:rsidR="74ECB876" w:rsidRPr="0AB86FDE">
        <w:rPr>
          <w:rFonts w:eastAsia="Calibri"/>
          <w:noProof/>
          <w:lang w:val="en-GB"/>
        </w:rPr>
        <w:t>while creating quality jobs</w:t>
      </w:r>
      <w:r w:rsidRPr="4C7ECB2E">
        <w:rPr>
          <w:rFonts w:eastAsia="Calibri"/>
          <w:noProof/>
          <w:lang w:val="en-GB"/>
        </w:rPr>
        <w:t xml:space="preserve">. </w:t>
      </w:r>
      <w:r w:rsidR="1D3AF787" w:rsidRPr="4C7ECB2E">
        <w:rPr>
          <w:rFonts w:eastAsia="Calibri"/>
          <w:noProof/>
          <w:lang w:val="en-GB"/>
        </w:rPr>
        <w:t>Res</w:t>
      </w:r>
      <w:r w:rsidR="00177F52">
        <w:rPr>
          <w:rFonts w:eastAsia="Calibri"/>
          <w:noProof/>
          <w:lang w:val="en-GB"/>
        </w:rPr>
        <w:t>i</w:t>
      </w:r>
      <w:r w:rsidR="1D3AF787" w:rsidRPr="4C7ECB2E">
        <w:rPr>
          <w:rFonts w:eastAsia="Calibri"/>
          <w:noProof/>
          <w:lang w:val="en-GB"/>
        </w:rPr>
        <w:t xml:space="preserve">lience and sustainability provisions under European </w:t>
      </w:r>
      <w:r w:rsidR="1D3AF787" w:rsidRPr="6AD762FC">
        <w:rPr>
          <w:rFonts w:eastAsia="Calibri"/>
          <w:noProof/>
          <w:lang w:val="en-GB"/>
        </w:rPr>
        <w:t>legislation</w:t>
      </w:r>
      <w:r w:rsidRPr="47405606">
        <w:rPr>
          <w:rStyle w:val="FootnoteReference"/>
          <w:rFonts w:eastAsia="Calibri"/>
          <w:noProof/>
          <w:lang w:val="en-GB"/>
        </w:rPr>
        <w:footnoteReference w:id="30"/>
      </w:r>
      <w:r w:rsidR="1D3AF787" w:rsidRPr="4C7ECB2E">
        <w:rPr>
          <w:rFonts w:eastAsia="Calibri"/>
          <w:noProof/>
          <w:lang w:val="en-GB"/>
        </w:rPr>
        <w:t xml:space="preserve"> already </w:t>
      </w:r>
      <w:r w:rsidR="006432A9">
        <w:rPr>
          <w:rFonts w:eastAsia="Calibri"/>
          <w:noProof/>
          <w:lang w:val="en-GB"/>
        </w:rPr>
        <w:t>allow</w:t>
      </w:r>
      <w:r w:rsidR="1D3AF787" w:rsidRPr="4C7ECB2E">
        <w:rPr>
          <w:rFonts w:eastAsia="Calibri"/>
          <w:noProof/>
          <w:lang w:val="en-GB"/>
        </w:rPr>
        <w:t xml:space="preserve"> such opportunities, which should be followed by a </w:t>
      </w:r>
      <w:r>
        <w:rPr>
          <w:rFonts w:eastAsia="Calibri"/>
          <w:noProof/>
          <w:lang w:val="en-GB"/>
        </w:rPr>
        <w:t xml:space="preserve">thorough discussion </w:t>
      </w:r>
      <w:r w:rsidR="006432A9">
        <w:rPr>
          <w:rFonts w:eastAsia="Calibri"/>
          <w:noProof/>
          <w:lang w:val="en-GB"/>
        </w:rPr>
        <w:t xml:space="preserve">on </w:t>
      </w:r>
      <w:r>
        <w:rPr>
          <w:rFonts w:eastAsia="Calibri"/>
          <w:noProof/>
          <w:lang w:val="en-GB"/>
        </w:rPr>
        <w:t>how public procurement can</w:t>
      </w:r>
      <w:r w:rsidR="006432A9">
        <w:rPr>
          <w:rFonts w:eastAsia="Calibri"/>
          <w:noProof/>
          <w:lang w:val="en-GB"/>
        </w:rPr>
        <w:t>, in practice,</w:t>
      </w:r>
      <w:r>
        <w:rPr>
          <w:rFonts w:eastAsia="Calibri"/>
          <w:noProof/>
          <w:lang w:val="en-GB"/>
        </w:rPr>
        <w:t xml:space="preserve"> be deployed more strategically to unlock investment to cement competitive sustainability in Europe.</w:t>
      </w:r>
    </w:p>
    <w:p w14:paraId="2DCFB2FC" w14:textId="0AB3F58D" w:rsidR="00C07C6E" w:rsidRPr="00F848DE" w:rsidRDefault="0072234F">
      <w:pPr>
        <w:spacing w:after="200" w:line="275" w:lineRule="auto"/>
        <w:rPr>
          <w:rFonts w:eastAsia="Calibri"/>
          <w:noProof/>
          <w:lang w:val="en-GB"/>
        </w:rPr>
      </w:pPr>
      <w:r>
        <w:rPr>
          <w:rFonts w:eastAsia="Calibri"/>
          <w:noProof/>
          <w:lang w:val="en-GB"/>
        </w:rPr>
        <w:t xml:space="preserve">Another useful tool is the </w:t>
      </w:r>
      <w:r>
        <w:rPr>
          <w:rFonts w:eastAsia="Calibri"/>
          <w:b/>
          <w:noProof/>
          <w:lang w:val="en-GB"/>
        </w:rPr>
        <w:t>joint purchase of strategic commodities on the global markets</w:t>
      </w:r>
      <w:r>
        <w:rPr>
          <w:rFonts w:eastAsia="Calibri"/>
          <w:noProof/>
          <w:lang w:val="en-GB"/>
        </w:rPr>
        <w:t xml:space="preserve">. Based on the positive result of demand aggregation </w:t>
      </w:r>
      <w:r w:rsidRPr="001D03DD">
        <w:rPr>
          <w:rFonts w:eastAsia="Calibri"/>
          <w:noProof/>
          <w:lang w:val="en-GB"/>
        </w:rPr>
        <w:t>and joint purchase of medical countermeasures in the health sector and gas in the energy sector, the Commission will</w:t>
      </w:r>
      <w:r w:rsidRPr="001D03DD">
        <w:rPr>
          <w:rFonts w:eastAsia="Calibri"/>
          <w:b/>
          <w:noProof/>
          <w:lang w:val="en-GB"/>
        </w:rPr>
        <w:t xml:space="preserve"> </w:t>
      </w:r>
      <w:r w:rsidR="002E7174" w:rsidRPr="001D03DD">
        <w:rPr>
          <w:rFonts w:eastAsia="Calibri"/>
          <w:b/>
          <w:noProof/>
          <w:lang w:val="en-GB"/>
        </w:rPr>
        <w:t>consider</w:t>
      </w:r>
      <w:r w:rsidRPr="001D03DD">
        <w:rPr>
          <w:rFonts w:eastAsia="Calibri"/>
          <w:b/>
          <w:noProof/>
          <w:lang w:val="en-GB"/>
        </w:rPr>
        <w:t xml:space="preserve"> develop</w:t>
      </w:r>
      <w:r w:rsidR="002E7174" w:rsidRPr="001D03DD">
        <w:rPr>
          <w:rFonts w:eastAsia="Calibri"/>
          <w:b/>
          <w:noProof/>
          <w:lang w:val="en-GB"/>
        </w:rPr>
        <w:t>ing</w:t>
      </w:r>
      <w:r w:rsidRPr="001D03DD">
        <w:rPr>
          <w:rFonts w:eastAsia="Calibri"/>
          <w:b/>
          <w:noProof/>
          <w:lang w:val="en-GB"/>
        </w:rPr>
        <w:t xml:space="preserve"> demand aggregation and joint purchasing for other strategic commodities</w:t>
      </w:r>
      <w:r w:rsidR="002E7174" w:rsidRPr="001D03DD">
        <w:rPr>
          <w:rFonts w:eastAsia="Calibri"/>
          <w:b/>
          <w:noProof/>
          <w:lang w:val="en-GB"/>
        </w:rPr>
        <w:t xml:space="preserve">, while implementing the pilot for </w:t>
      </w:r>
      <w:r w:rsidRPr="001D03DD">
        <w:rPr>
          <w:rFonts w:eastAsia="Calibri"/>
          <w:b/>
          <w:noProof/>
          <w:lang w:val="en-GB"/>
        </w:rPr>
        <w:t>hydrogen</w:t>
      </w:r>
      <w:r w:rsidR="003E40CD" w:rsidRPr="001D03DD">
        <w:rPr>
          <w:rFonts w:eastAsia="Calibri"/>
          <w:b/>
          <w:noProof/>
          <w:lang w:val="en-GB"/>
        </w:rPr>
        <w:t xml:space="preserve"> </w:t>
      </w:r>
      <w:r w:rsidR="003748C7" w:rsidRPr="004A357A">
        <w:rPr>
          <w:rFonts w:eastAsia="Calibri"/>
          <w:b/>
          <w:noProof/>
          <w:lang w:val="en-GB"/>
        </w:rPr>
        <w:t>under the Hydrogen Bank</w:t>
      </w:r>
      <w:r w:rsidR="003748C7">
        <w:rPr>
          <w:rFonts w:eastAsia="Calibri"/>
          <w:b/>
          <w:noProof/>
          <w:lang w:val="en-GB"/>
        </w:rPr>
        <w:t xml:space="preserve"> </w:t>
      </w:r>
      <w:r w:rsidR="003E40CD" w:rsidRPr="001D03DD">
        <w:rPr>
          <w:rFonts w:eastAsia="Calibri"/>
          <w:b/>
          <w:noProof/>
          <w:lang w:val="en-GB"/>
        </w:rPr>
        <w:t>and</w:t>
      </w:r>
      <w:r w:rsidR="002E7174" w:rsidRPr="001D03DD">
        <w:rPr>
          <w:rFonts w:eastAsia="Calibri"/>
          <w:b/>
          <w:noProof/>
          <w:lang w:val="en-GB"/>
        </w:rPr>
        <w:t xml:space="preserve"> organ</w:t>
      </w:r>
      <w:r w:rsidR="001D03DD" w:rsidRPr="001D03DD">
        <w:rPr>
          <w:rFonts w:eastAsia="Calibri"/>
          <w:b/>
          <w:noProof/>
          <w:lang w:val="en-GB"/>
        </w:rPr>
        <w:t>i</w:t>
      </w:r>
      <w:r w:rsidR="002E7174" w:rsidRPr="001D03DD">
        <w:rPr>
          <w:rFonts w:eastAsia="Calibri"/>
          <w:b/>
          <w:noProof/>
          <w:lang w:val="en-GB"/>
        </w:rPr>
        <w:t>sing the joint purchasing</w:t>
      </w:r>
      <w:r w:rsidRPr="001D03DD">
        <w:rPr>
          <w:rFonts w:eastAsia="Calibri"/>
          <w:b/>
          <w:noProof/>
          <w:lang w:val="en-GB"/>
        </w:rPr>
        <w:t xml:space="preserve"> </w:t>
      </w:r>
      <w:r w:rsidR="002E7174" w:rsidRPr="001D03DD">
        <w:rPr>
          <w:rFonts w:eastAsia="Calibri"/>
          <w:b/>
          <w:noProof/>
          <w:lang w:val="en-GB"/>
        </w:rPr>
        <w:t xml:space="preserve">of </w:t>
      </w:r>
      <w:r w:rsidRPr="001D03DD">
        <w:rPr>
          <w:rFonts w:eastAsia="Calibri"/>
          <w:b/>
          <w:noProof/>
          <w:lang w:val="en-GB"/>
        </w:rPr>
        <w:t>critical raw materials</w:t>
      </w:r>
      <w:r w:rsidRPr="001D03DD">
        <w:rPr>
          <w:rFonts w:eastAsia="Calibri"/>
          <w:noProof/>
          <w:lang w:val="en-GB"/>
        </w:rPr>
        <w:t>. This</w:t>
      </w:r>
      <w:r w:rsidRPr="001D03DD">
        <w:rPr>
          <w:rFonts w:eastAsia="Calibri"/>
          <w:b/>
          <w:noProof/>
          <w:lang w:val="en-GB"/>
        </w:rPr>
        <w:t xml:space="preserve"> </w:t>
      </w:r>
      <w:r w:rsidR="00D54ECE">
        <w:rPr>
          <w:rFonts w:asciiTheme="majorBidi" w:hAnsiTheme="majorBidi" w:cstheme="majorBidi"/>
          <w:noProof/>
        </w:rPr>
        <w:t>would</w:t>
      </w:r>
      <w:r w:rsidR="00D54ECE" w:rsidRPr="001D03DD">
        <w:rPr>
          <w:rFonts w:asciiTheme="majorBidi" w:hAnsiTheme="majorBidi" w:cstheme="majorBidi"/>
          <w:noProof/>
        </w:rPr>
        <w:t xml:space="preserve"> </w:t>
      </w:r>
      <w:r w:rsidRPr="001D03DD">
        <w:rPr>
          <w:rFonts w:asciiTheme="majorBidi" w:hAnsiTheme="majorBidi" w:cstheme="majorBidi"/>
          <w:noProof/>
        </w:rPr>
        <w:t xml:space="preserve">help European buyers to secure supply of these strategic commodities at affordable prices on a global market, thereby supporting efforts by European manufacturers and suppliers to scale up their production capacity and reduce the time lag for rolling out key clean technologies. </w:t>
      </w:r>
      <w:r w:rsidR="00584749" w:rsidRPr="001D03DD">
        <w:rPr>
          <w:rFonts w:asciiTheme="majorBidi" w:hAnsiTheme="majorBidi" w:cstheme="majorBidi"/>
          <w:noProof/>
        </w:rPr>
        <w:t>T</w:t>
      </w:r>
      <w:r w:rsidRPr="001D03DD">
        <w:rPr>
          <w:rFonts w:asciiTheme="majorBidi" w:hAnsiTheme="majorBidi" w:cstheme="majorBidi"/>
          <w:noProof/>
        </w:rPr>
        <w:t xml:space="preserve">he Commission will </w:t>
      </w:r>
      <w:r w:rsidRPr="001D03DD">
        <w:rPr>
          <w:rFonts w:eastAsia="Calibri"/>
          <w:noProof/>
          <w:lang w:val="en-GB"/>
        </w:rPr>
        <w:t>explore further ways for industrial actors willing to engage in various cooperation</w:t>
      </w:r>
      <w:r w:rsidRPr="00F848DE">
        <w:rPr>
          <w:rFonts w:eastAsia="Calibri"/>
          <w:noProof/>
          <w:lang w:val="en-GB"/>
        </w:rPr>
        <w:t xml:space="preserve"> models, including by forming consortia, to jointly </w:t>
      </w:r>
      <w:r w:rsidRPr="001D03DD">
        <w:rPr>
          <w:rFonts w:eastAsia="Calibri"/>
          <w:noProof/>
          <w:lang w:val="en-GB"/>
        </w:rPr>
        <w:t>negotiate better conditions from global producers</w:t>
      </w:r>
      <w:r w:rsidR="00D54ECE">
        <w:rPr>
          <w:rFonts w:eastAsia="Calibri"/>
          <w:noProof/>
          <w:lang w:val="en-GB"/>
        </w:rPr>
        <w:t>,</w:t>
      </w:r>
      <w:r w:rsidRPr="001D03DD">
        <w:rPr>
          <w:rFonts w:eastAsia="Calibri"/>
          <w:noProof/>
          <w:lang w:val="en-GB"/>
        </w:rPr>
        <w:t xml:space="preserve"> with important safeguards for encouraging the transfer of benefits to end users and the involvement of smaller companies</w:t>
      </w:r>
      <w:r w:rsidR="00CD37E0" w:rsidRPr="001D03DD">
        <w:rPr>
          <w:rFonts w:eastAsia="Calibri"/>
          <w:noProof/>
          <w:lang w:val="en-GB"/>
        </w:rPr>
        <w:t xml:space="preserve"> in line with competition rules</w:t>
      </w:r>
      <w:r w:rsidRPr="001D03DD">
        <w:rPr>
          <w:rFonts w:eastAsia="Calibri"/>
          <w:noProof/>
          <w:lang w:val="en-GB"/>
        </w:rPr>
        <w:t>.</w:t>
      </w:r>
      <w:r w:rsidR="00B44787" w:rsidRPr="00F848DE">
        <w:rPr>
          <w:rFonts w:eastAsia="Calibri"/>
          <w:noProof/>
          <w:lang w:val="en-GB"/>
        </w:rPr>
        <w:t xml:space="preserve"> </w:t>
      </w:r>
    </w:p>
    <w:p w14:paraId="141229CB" w14:textId="334B900B" w:rsidR="00C07C6E" w:rsidRDefault="0072234F">
      <w:pPr>
        <w:spacing w:after="200" w:line="275" w:lineRule="auto"/>
        <w:rPr>
          <w:b/>
          <w:noProof/>
          <w:lang w:val="en-US"/>
        </w:rPr>
      </w:pPr>
      <w:r w:rsidRPr="00F848DE">
        <w:rPr>
          <w:noProof/>
        </w:rPr>
        <w:t>The Net Zero Industry Act establishes a benchmark for </w:t>
      </w:r>
      <w:r w:rsidRPr="00F848DE">
        <w:rPr>
          <w:b/>
          <w:noProof/>
        </w:rPr>
        <w:t>EU manufacturing capacity for net-zero technologies to reach at least 40% of expected EU demand</w:t>
      </w:r>
      <w:r>
        <w:rPr>
          <w:b/>
          <w:noProof/>
        </w:rPr>
        <w:t xml:space="preserve"> by 2030</w:t>
      </w:r>
      <w:r>
        <w:rPr>
          <w:noProof/>
        </w:rPr>
        <w:t xml:space="preserve">. Member States should therefore make full use of the new provisions on </w:t>
      </w:r>
      <w:r w:rsidR="0056461E">
        <w:rPr>
          <w:noProof/>
        </w:rPr>
        <w:t>permitting,</w:t>
      </w:r>
      <w:r>
        <w:rPr>
          <w:noProof/>
        </w:rPr>
        <w:t xml:space="preserve"> non-price criteria in public procurement, resilience auctions, and renewable energy auctions. </w:t>
      </w:r>
      <w:r>
        <w:rPr>
          <w:rFonts w:eastAsia="Calibri"/>
          <w:b/>
          <w:noProof/>
          <w:lang w:val="en-GB"/>
        </w:rPr>
        <w:t>Regulatory measures</w:t>
      </w:r>
      <w:r>
        <w:rPr>
          <w:rFonts w:eastAsia="Calibri"/>
          <w:noProof/>
          <w:lang w:val="en-GB"/>
        </w:rPr>
        <w:t>, including market access rules based on carbon footprint, such as in the Batteries Regulation, or on a well-functioning Single Market for the collection and reuse of secondary materials, also have a</w:t>
      </w:r>
      <w:r w:rsidR="00616694">
        <w:rPr>
          <w:rFonts w:eastAsia="Calibri"/>
          <w:noProof/>
          <w:lang w:val="en-GB"/>
        </w:rPr>
        <w:t>n important</w:t>
      </w:r>
      <w:r>
        <w:rPr>
          <w:rFonts w:eastAsia="Calibri"/>
          <w:noProof/>
          <w:lang w:val="en-GB"/>
        </w:rPr>
        <w:t xml:space="preserve"> role to play</w:t>
      </w:r>
      <w:r w:rsidR="003C0033" w:rsidRPr="003C0033">
        <w:rPr>
          <w:noProof/>
        </w:rPr>
        <w:t xml:space="preserve"> </w:t>
      </w:r>
      <w:r w:rsidR="003C0033" w:rsidRPr="003C0033">
        <w:rPr>
          <w:rFonts w:eastAsia="Calibri"/>
          <w:noProof/>
          <w:lang w:val="en-GB"/>
        </w:rPr>
        <w:t xml:space="preserve">to ensure that sustainably produced products </w:t>
      </w:r>
      <w:r w:rsidR="00284686">
        <w:rPr>
          <w:rFonts w:eastAsia="Calibri"/>
          <w:noProof/>
          <w:lang w:val="en-GB"/>
        </w:rPr>
        <w:t>gain a larger market-share</w:t>
      </w:r>
      <w:r>
        <w:rPr>
          <w:rFonts w:eastAsia="Calibri"/>
          <w:noProof/>
          <w:lang w:val="en-GB"/>
        </w:rPr>
        <w:t>.</w:t>
      </w:r>
    </w:p>
    <w:p w14:paraId="17DA05B9" w14:textId="3DF0F70E" w:rsidR="00C07C6E" w:rsidRDefault="0072234F">
      <w:pPr>
        <w:rPr>
          <w:noProof/>
          <w:lang w:val="en-GB"/>
        </w:rPr>
      </w:pPr>
      <w:r>
        <w:rPr>
          <w:b/>
          <w:noProof/>
          <w:lang w:val="en-US"/>
        </w:rPr>
        <w:t>The EU will require substantial additional amounts of critical raw materials to meet the needs of the clean and digital transitions</w:t>
      </w:r>
      <w:r>
        <w:rPr>
          <w:noProof/>
          <w:lang w:val="en-US"/>
        </w:rPr>
        <w:t xml:space="preserve">. </w:t>
      </w:r>
      <w:r>
        <w:rPr>
          <w:noProof/>
        </w:rPr>
        <w:t xml:space="preserve">Further reducing the EU’s dependence on critical raw materials requires the swift and full </w:t>
      </w:r>
      <w:r>
        <w:rPr>
          <w:b/>
          <w:noProof/>
        </w:rPr>
        <w:t>implementation of the Critical Raw Materials Act and</w:t>
      </w:r>
      <w:r>
        <w:rPr>
          <w:b/>
          <w:noProof/>
          <w:lang w:val="en-GB"/>
        </w:rPr>
        <w:t xml:space="preserve"> </w:t>
      </w:r>
      <w:r>
        <w:rPr>
          <w:rFonts w:eastAsia="Calibri"/>
          <w:b/>
          <w:noProof/>
          <w:lang w:val="en-GB"/>
        </w:rPr>
        <w:t>the agreed strategic partnerships</w:t>
      </w:r>
      <w:r w:rsidR="00C525BC" w:rsidRPr="00C525BC">
        <w:rPr>
          <w:rFonts w:eastAsia="Calibri"/>
          <w:bCs/>
          <w:noProof/>
          <w:lang w:val="en-GB"/>
        </w:rPr>
        <w:t xml:space="preserve"> and overall </w:t>
      </w:r>
      <w:r w:rsidR="00C525BC" w:rsidRPr="00C525BC">
        <w:rPr>
          <w:rFonts w:cs="Times New Roman"/>
          <w:noProof/>
          <w:lang w:val="en-US"/>
        </w:rPr>
        <w:t>strengthening the circular economy, making the maximum use of secondary materials and resources</w:t>
      </w:r>
      <w:r>
        <w:rPr>
          <w:rFonts w:eastAsia="Calibri"/>
          <w:b/>
          <w:noProof/>
          <w:lang w:val="en-GB"/>
        </w:rPr>
        <w:t>.</w:t>
      </w:r>
      <w:r>
        <w:rPr>
          <w:rStyle w:val="FootnoteReference"/>
          <w:rFonts w:cs="Times New Roman"/>
          <w:noProof/>
          <w:lang w:val="en-US"/>
        </w:rPr>
        <w:footnoteReference w:id="31"/>
      </w:r>
      <w:r>
        <w:rPr>
          <w:rFonts w:cs="Times New Roman"/>
          <w:noProof/>
          <w:lang w:val="en-US"/>
        </w:rPr>
        <w:t xml:space="preserve"> </w:t>
      </w:r>
      <w:r w:rsidR="47C6ABAC">
        <w:rPr>
          <w:rFonts w:cs="Times New Roman"/>
          <w:noProof/>
          <w:lang w:val="en-US"/>
        </w:rPr>
        <w:t xml:space="preserve">As such, </w:t>
      </w:r>
      <w:r w:rsidR="5C3D799E">
        <w:rPr>
          <w:rFonts w:cs="Times New Roman"/>
          <w:noProof/>
          <w:lang w:val="en-US"/>
        </w:rPr>
        <w:t>t</w:t>
      </w:r>
      <w:r>
        <w:rPr>
          <w:rFonts w:cs="Times New Roman"/>
          <w:noProof/>
          <w:lang w:val="en-US"/>
        </w:rPr>
        <w:t>he EU support</w:t>
      </w:r>
      <w:r w:rsidR="4F39452C">
        <w:rPr>
          <w:rFonts w:cs="Times New Roman"/>
          <w:noProof/>
          <w:lang w:val="en-US"/>
        </w:rPr>
        <w:t>s</w:t>
      </w:r>
      <w:r>
        <w:rPr>
          <w:rFonts w:cs="Times New Roman"/>
          <w:noProof/>
          <w:lang w:val="en-US"/>
        </w:rPr>
        <w:t xml:space="preserve"> industry in developing domestic and international critical raw material </w:t>
      </w:r>
      <w:r w:rsidR="00971B82">
        <w:rPr>
          <w:rFonts w:cs="Times New Roman"/>
          <w:noProof/>
          <w:lang w:val="en-US"/>
        </w:rPr>
        <w:t>value chains</w:t>
      </w:r>
      <w:r>
        <w:rPr>
          <w:rFonts w:cs="Times New Roman"/>
          <w:noProof/>
          <w:lang w:val="en-US"/>
        </w:rPr>
        <w:t xml:space="preserve"> with partners in third countries</w:t>
      </w:r>
      <w:r w:rsidR="005403A7">
        <w:rPr>
          <w:rFonts w:cs="Times New Roman"/>
          <w:noProof/>
          <w:lang w:val="en-US"/>
        </w:rPr>
        <w:t>. This includes</w:t>
      </w:r>
      <w:r>
        <w:rPr>
          <w:rFonts w:cs="Times New Roman"/>
          <w:noProof/>
          <w:lang w:val="en-US"/>
        </w:rPr>
        <w:t xml:space="preserve"> using the opportunities under the Global Gateway strategy and Team Europe's approach in creating sustainable investments value added in partner countries. The Commission, with the support of the European Raw Materials Alliance, will also strengthen its engagement with the EIB, the EBRD, dedicated national funds, commercial banks and financial institutions in view of stepping up financing for the strategic projects. </w:t>
      </w:r>
    </w:p>
    <w:p w14:paraId="221A4DCB" w14:textId="3261FDE7" w:rsidR="00C07C6E" w:rsidRPr="00FA377F" w:rsidRDefault="0072234F">
      <w:pPr>
        <w:rPr>
          <w:noProof/>
          <w:lang w:val="en-US"/>
        </w:rPr>
      </w:pPr>
      <w:r w:rsidRPr="001D03DD">
        <w:rPr>
          <w:b/>
          <w:noProof/>
          <w:lang w:val="en-GB"/>
        </w:rPr>
        <w:t>Trade</w:t>
      </w:r>
      <w:r w:rsidRPr="00FA377F">
        <w:rPr>
          <w:b/>
          <w:noProof/>
          <w:lang w:val="en-GB"/>
        </w:rPr>
        <w:t xml:space="preserve"> </w:t>
      </w:r>
      <w:r w:rsidR="00DC13DA" w:rsidRPr="001D03DD">
        <w:rPr>
          <w:rFonts w:eastAsia="Calibri"/>
          <w:b/>
          <w:noProof/>
          <w:lang w:val="en-GB"/>
        </w:rPr>
        <w:t>is</w:t>
      </w:r>
      <w:r w:rsidRPr="00FA377F">
        <w:rPr>
          <w:b/>
          <w:noProof/>
          <w:lang w:val="en-GB"/>
        </w:rPr>
        <w:t xml:space="preserve"> one of the key drivers of the EU’s competitiveness</w:t>
      </w:r>
      <w:r>
        <w:rPr>
          <w:rFonts w:eastAsia="Calibri"/>
          <w:noProof/>
          <w:lang w:val="en-GB"/>
        </w:rPr>
        <w:t>. The EU draws economic and political strength from its position as the largest trader and investor: it is the world’s largest exporter, accounting for 16% of global exports. The EU is a promoter of</w:t>
      </w:r>
      <w:r w:rsidR="00D54ECE">
        <w:rPr>
          <w:rFonts w:eastAsia="Calibri"/>
          <w:noProof/>
          <w:lang w:val="en-GB"/>
        </w:rPr>
        <w:t>,</w:t>
      </w:r>
      <w:r>
        <w:rPr>
          <w:rFonts w:eastAsia="Calibri"/>
          <w:noProof/>
          <w:lang w:val="en-GB"/>
        </w:rPr>
        <w:t xml:space="preserve"> and thrives on</w:t>
      </w:r>
      <w:r w:rsidR="00D54ECE">
        <w:rPr>
          <w:rFonts w:eastAsia="Calibri"/>
          <w:noProof/>
          <w:lang w:val="en-GB"/>
        </w:rPr>
        <w:t>,</w:t>
      </w:r>
      <w:r>
        <w:rPr>
          <w:rFonts w:eastAsia="Calibri"/>
          <w:noProof/>
          <w:lang w:val="en-GB"/>
        </w:rPr>
        <w:t xml:space="preserve"> open and rules-based trade. </w:t>
      </w:r>
      <w:r w:rsidR="00D14533" w:rsidRPr="00D14533">
        <w:rPr>
          <w:rFonts w:eastAsia="Calibri"/>
          <w:noProof/>
          <w:lang w:val="en-GB"/>
        </w:rPr>
        <w:t>EU trade policy is key both to protect</w:t>
      </w:r>
      <w:r>
        <w:rPr>
          <w:rFonts w:eastAsia="Calibri"/>
          <w:noProof/>
          <w:lang w:val="en-GB"/>
        </w:rPr>
        <w:t xml:space="preserve"> the </w:t>
      </w:r>
      <w:r w:rsidR="00D14533" w:rsidRPr="00D14533">
        <w:rPr>
          <w:rFonts w:eastAsia="Calibri"/>
          <w:noProof/>
          <w:lang w:val="en-GB"/>
        </w:rPr>
        <w:t>single market against unfair trade as well as to open markets for EU products and ensure access to inputs</w:t>
      </w:r>
      <w:r w:rsidR="00F26FFE">
        <w:rPr>
          <w:rFonts w:eastAsia="Calibri"/>
          <w:noProof/>
          <w:lang w:val="en-GB"/>
        </w:rPr>
        <w:t>. It</w:t>
      </w:r>
      <w:r w:rsidR="00D14533" w:rsidRPr="00D14533">
        <w:rPr>
          <w:rFonts w:eastAsia="Calibri"/>
          <w:noProof/>
          <w:lang w:val="en-GB"/>
        </w:rPr>
        <w:t xml:space="preserve"> can also play a key role in enabling investment in raw materials and green energy in third countries and in ensuring that those products can be exported to the EU, without restrictions imposed by third countries.</w:t>
      </w:r>
      <w:r>
        <w:rPr>
          <w:rFonts w:eastAsia="Calibri"/>
          <w:noProof/>
          <w:lang w:val="en-GB"/>
        </w:rPr>
        <w:t xml:space="preserve"> </w:t>
      </w:r>
      <w:r w:rsidR="00F26FFE">
        <w:rPr>
          <w:rFonts w:eastAsia="Calibri"/>
          <w:noProof/>
          <w:lang w:val="en-GB"/>
        </w:rPr>
        <w:t>The</w:t>
      </w:r>
      <w:r>
        <w:rPr>
          <w:rFonts w:eastAsia="Calibri"/>
          <w:noProof/>
          <w:lang w:val="en-GB"/>
        </w:rPr>
        <w:t xml:space="preserve"> European industry</w:t>
      </w:r>
      <w:r>
        <w:rPr>
          <w:rFonts w:eastAsia="Calibri"/>
          <w:noProof/>
        </w:rPr>
        <w:t xml:space="preserve"> is under growing pressure</w:t>
      </w:r>
      <w:r w:rsidR="00D54ECE">
        <w:rPr>
          <w:rFonts w:eastAsia="Calibri"/>
          <w:noProof/>
        </w:rPr>
        <w:t>, as the playing field is</w:t>
      </w:r>
      <w:r>
        <w:rPr>
          <w:rFonts w:eastAsia="Calibri"/>
          <w:noProof/>
        </w:rPr>
        <w:t xml:space="preserve"> increasingly </w:t>
      </w:r>
      <w:r>
        <w:rPr>
          <w:rFonts w:eastAsia="Calibri"/>
          <w:noProof/>
          <w:lang w:val="en-GB"/>
        </w:rPr>
        <w:t>distorted</w:t>
      </w:r>
      <w:r w:rsidR="00D54ECE">
        <w:rPr>
          <w:rFonts w:eastAsia="Calibri"/>
          <w:noProof/>
          <w:lang w:val="en-GB"/>
        </w:rPr>
        <w:t xml:space="preserve"> by</w:t>
      </w:r>
      <w:r w:rsidR="00BC6EAF" w:rsidRPr="00BC6EAF">
        <w:rPr>
          <w:rFonts w:eastAsia="Calibri"/>
          <w:noProof/>
          <w:lang w:val="en-GB"/>
        </w:rPr>
        <w:t xml:space="preserve"> unfair competition from certain third countries,</w:t>
      </w:r>
      <w:r>
        <w:rPr>
          <w:rFonts w:eastAsia="Calibri"/>
          <w:noProof/>
          <w:lang w:val="en-GB"/>
        </w:rPr>
        <w:t xml:space="preserve"> </w:t>
      </w:r>
      <w:r>
        <w:rPr>
          <w:rFonts w:eastAsia="Calibri"/>
          <w:noProof/>
        </w:rPr>
        <w:t xml:space="preserve">and </w:t>
      </w:r>
      <w:r w:rsidR="00D54ECE">
        <w:rPr>
          <w:rFonts w:eastAsia="Calibri"/>
          <w:noProof/>
        </w:rPr>
        <w:t xml:space="preserve">due to </w:t>
      </w:r>
      <w:r>
        <w:rPr>
          <w:rFonts w:eastAsia="Calibri"/>
          <w:noProof/>
        </w:rPr>
        <w:t xml:space="preserve">excessive dependencies in strategic sectors. </w:t>
      </w:r>
      <w:r>
        <w:rPr>
          <w:rFonts w:eastAsia="Calibri"/>
          <w:noProof/>
          <w:lang w:val="en-GB"/>
        </w:rPr>
        <w:t xml:space="preserve">In particular, unprecedented incentive schemes and wide-spread use of </w:t>
      </w:r>
      <w:r w:rsidRPr="00F848DE">
        <w:rPr>
          <w:rFonts w:eastAsia="Calibri"/>
          <w:noProof/>
          <w:lang w:val="en-GB"/>
        </w:rPr>
        <w:t xml:space="preserve">subsidies favouring domestic industries provide significant advantages to businesses based in </w:t>
      </w:r>
      <w:r>
        <w:rPr>
          <w:rFonts w:eastAsia="Calibri"/>
          <w:noProof/>
          <w:lang w:val="en-GB"/>
        </w:rPr>
        <w:t xml:space="preserve">those </w:t>
      </w:r>
      <w:r w:rsidRPr="00F848DE">
        <w:rPr>
          <w:rFonts w:eastAsia="Calibri"/>
          <w:noProof/>
          <w:lang w:val="en-GB"/>
        </w:rPr>
        <w:t>countries.</w:t>
      </w:r>
      <w:r w:rsidRPr="00F848DE">
        <w:rPr>
          <w:noProof/>
          <w:lang w:val="en-GB"/>
        </w:rPr>
        <w:t xml:space="preserve"> </w:t>
      </w:r>
    </w:p>
    <w:p w14:paraId="66273870" w14:textId="0B822B62" w:rsidR="00C07C6E" w:rsidRDefault="0072234F">
      <w:pPr>
        <w:rPr>
          <w:noProof/>
        </w:rPr>
      </w:pPr>
      <w:r>
        <w:rPr>
          <w:noProof/>
        </w:rPr>
        <w:t xml:space="preserve">The Commission and Member States should </w:t>
      </w:r>
      <w:r>
        <w:rPr>
          <w:b/>
          <w:noProof/>
        </w:rPr>
        <w:t>make full use of policy instruments against unfair global competition,</w:t>
      </w:r>
      <w:r>
        <w:rPr>
          <w:noProof/>
        </w:rPr>
        <w:t xml:space="preserve"> to ensure a level playing field on the internal market. This includes the possibility for the Commission, under the Foreign Subsidies Regulation, to investigate subsidies granted by non-EU countries to companies engaging in any economic activity in the EU and redress, if needed, the distortive effects of these foreign subsidies.</w:t>
      </w:r>
      <w:r>
        <w:rPr>
          <w:rFonts w:ascii="Calibri" w:eastAsia="Calibri" w:hAnsi="Calibri" w:cs="Calibri"/>
          <w:noProof/>
          <w:sz w:val="22"/>
          <w:szCs w:val="22"/>
          <w:lang w:val="en-GB"/>
        </w:rPr>
        <w:t xml:space="preserve"> </w:t>
      </w:r>
      <w:r>
        <w:rPr>
          <w:noProof/>
        </w:rPr>
        <w:t xml:space="preserve">Similarly, </w:t>
      </w:r>
      <w:r>
        <w:rPr>
          <w:noProof/>
          <w:lang w:val="en-GB"/>
        </w:rPr>
        <w:t>the Foreign Direct Investment (FDI) Screening Regulation</w:t>
      </w:r>
      <w:r>
        <w:rPr>
          <w:rStyle w:val="FootnoteReference"/>
          <w:noProof/>
          <w:lang w:val="en-GB"/>
        </w:rPr>
        <w:footnoteReference w:id="32"/>
      </w:r>
      <w:r>
        <w:rPr>
          <w:noProof/>
          <w:lang w:val="en-GB"/>
        </w:rPr>
        <w:t xml:space="preserve"> allows for the assessment of security risks of FDIs. </w:t>
      </w:r>
      <w:r>
        <w:rPr>
          <w:b/>
          <w:noProof/>
          <w:lang w:val="en-GB"/>
        </w:rPr>
        <w:t>EU trade agreements</w:t>
      </w:r>
      <w:r>
        <w:rPr>
          <w:noProof/>
          <w:lang w:val="en-GB"/>
        </w:rPr>
        <w:t xml:space="preserve"> also aim to promote renewable</w:t>
      </w:r>
      <w:r w:rsidRPr="0072234F">
        <w:rPr>
          <w:noProof/>
          <w:lang w:val="en-GB"/>
        </w:rPr>
        <w:t xml:space="preserve"> energy</w:t>
      </w:r>
      <w:r>
        <w:rPr>
          <w:noProof/>
          <w:lang w:val="en-GB"/>
        </w:rPr>
        <w:t xml:space="preserve"> investments, including through access to energy grids, with a view to diversify sourcing and enable market access in third countries while preserving security of supply.</w:t>
      </w:r>
    </w:p>
    <w:p w14:paraId="09AD1CC6" w14:textId="5D7410D3" w:rsidR="00C07C6E" w:rsidRDefault="0072234F">
      <w:pPr>
        <w:rPr>
          <w:noProof/>
        </w:rPr>
      </w:pPr>
      <w:r>
        <w:rPr>
          <w:noProof/>
        </w:rPr>
        <w:t xml:space="preserve">In addition, actions, including trade measures should be </w:t>
      </w:r>
      <w:r w:rsidR="0061757E">
        <w:rPr>
          <w:noProof/>
        </w:rPr>
        <w:t xml:space="preserve">considered and </w:t>
      </w:r>
      <w:r>
        <w:rPr>
          <w:noProof/>
        </w:rPr>
        <w:t xml:space="preserve">taken to </w:t>
      </w:r>
      <w:r w:rsidR="00053780" w:rsidRPr="00053780">
        <w:rPr>
          <w:noProof/>
        </w:rPr>
        <w:t xml:space="preserve">protect the EU economy from unfair competition </w:t>
      </w:r>
      <w:r>
        <w:rPr>
          <w:noProof/>
        </w:rPr>
        <w:t xml:space="preserve">on international markets. </w:t>
      </w:r>
      <w:r w:rsidR="00584D5F">
        <w:rPr>
          <w:noProof/>
        </w:rPr>
        <w:t xml:space="preserve">In this context, </w:t>
      </w:r>
      <w:r w:rsidR="00584D5F">
        <w:rPr>
          <w:b/>
          <w:noProof/>
        </w:rPr>
        <w:t>e</w:t>
      </w:r>
      <w:r>
        <w:rPr>
          <w:b/>
          <w:noProof/>
        </w:rPr>
        <w:t>arly notification</w:t>
      </w:r>
      <w:r>
        <w:rPr>
          <w:noProof/>
        </w:rPr>
        <w:t xml:space="preserve"> to the Commission by industry and Member States of potential distortions </w:t>
      </w:r>
      <w:r w:rsidR="0006136B" w:rsidRPr="0006136B">
        <w:rPr>
          <w:noProof/>
        </w:rPr>
        <w:t xml:space="preserve">of the level playing field by third countries </w:t>
      </w:r>
      <w:r>
        <w:rPr>
          <w:noProof/>
        </w:rPr>
        <w:t xml:space="preserve">is of primary importance. </w:t>
      </w:r>
    </w:p>
    <w:p w14:paraId="5135839D" w14:textId="48B64DF6" w:rsidR="00C07C6E" w:rsidRDefault="0072234F">
      <w:pPr>
        <w:rPr>
          <w:noProof/>
          <w:lang w:val="en-US"/>
        </w:rPr>
      </w:pPr>
      <w:r>
        <w:rPr>
          <w:noProof/>
          <w:lang w:val="en-GB"/>
        </w:rPr>
        <w:t xml:space="preserve">Progress in </w:t>
      </w:r>
      <w:r>
        <w:rPr>
          <w:b/>
          <w:noProof/>
          <w:lang w:val="en-GB"/>
        </w:rPr>
        <w:t>global carbon pricing</w:t>
      </w:r>
      <w:r w:rsidR="009B696F">
        <w:rPr>
          <w:noProof/>
          <w:lang w:val="en-GB"/>
        </w:rPr>
        <w:t>,</w:t>
      </w:r>
      <w:r w:rsidR="009B696F" w:rsidRPr="009B696F">
        <w:rPr>
          <w:noProof/>
          <w:lang w:val="en-GB"/>
        </w:rPr>
        <w:t xml:space="preserve"> </w:t>
      </w:r>
      <w:r>
        <w:rPr>
          <w:noProof/>
          <w:lang w:val="en-GB"/>
        </w:rPr>
        <w:t xml:space="preserve">remains essential. The EU and Member States should focus their collaborative efforts on convincing other economies to put a price on carbon. To this end, the Commission has created a </w:t>
      </w:r>
      <w:r>
        <w:rPr>
          <w:noProof/>
        </w:rPr>
        <w:t>Task</w:t>
      </w:r>
      <w:r>
        <w:rPr>
          <w:b/>
          <w:noProof/>
          <w:lang w:val="en-GB"/>
        </w:rPr>
        <w:t xml:space="preserve"> </w:t>
      </w:r>
      <w:r w:rsidRPr="0072234F">
        <w:rPr>
          <w:noProof/>
          <w:lang w:val="en-GB"/>
        </w:rPr>
        <w:t>Force</w:t>
      </w:r>
      <w:r>
        <w:rPr>
          <w:noProof/>
          <w:lang w:val="en-GB"/>
        </w:rPr>
        <w:t xml:space="preserve">, in February 2024, to </w:t>
      </w:r>
      <w:r>
        <w:rPr>
          <w:noProof/>
        </w:rPr>
        <w:t xml:space="preserve">deploy a more systematic global carbon pricing diplomacy. </w:t>
      </w:r>
    </w:p>
    <w:p w14:paraId="0D06F3E8" w14:textId="3FFC1C5D" w:rsidR="00C07C6E" w:rsidRDefault="0072234F">
      <w:pPr>
        <w:rPr>
          <w:noProof/>
          <w:lang w:val="en-GB"/>
        </w:rPr>
      </w:pPr>
      <w:r>
        <w:rPr>
          <w:noProof/>
          <w:lang w:val="en-GB"/>
        </w:rPr>
        <w:t xml:space="preserve">Participants of the dialogues have stressed the necessity of </w:t>
      </w:r>
      <w:r>
        <w:rPr>
          <w:b/>
          <w:bCs/>
          <w:noProof/>
          <w:lang w:val="en-GB"/>
        </w:rPr>
        <w:t>ensuring the proper implementation of the Carbon Border Adjustment Mechanism</w:t>
      </w:r>
      <w:r>
        <w:rPr>
          <w:noProof/>
          <w:lang w:val="en-GB"/>
        </w:rPr>
        <w:t xml:space="preserve">, which </w:t>
      </w:r>
      <w:r w:rsidR="00D54ECE">
        <w:rPr>
          <w:noProof/>
          <w:lang w:val="en-GB"/>
        </w:rPr>
        <w:t xml:space="preserve">aims </w:t>
      </w:r>
      <w:r>
        <w:rPr>
          <w:noProof/>
          <w:lang w:val="en-GB"/>
        </w:rPr>
        <w:t xml:space="preserve">to support the EU to reach its environmental objectives. </w:t>
      </w:r>
      <w:r w:rsidRPr="001D03DD">
        <w:rPr>
          <w:noProof/>
          <w:lang w:val="en-GB"/>
        </w:rPr>
        <w:t xml:space="preserve">Before the end of the transitional period, the Commission will carry out a broad review of CBAM, including an assessment of the </w:t>
      </w:r>
      <w:r w:rsidRPr="001D03DD">
        <w:rPr>
          <w:noProof/>
        </w:rPr>
        <w:t>risks of carbon leakage for goods produced in the Union intended for export to non-EU countries.</w:t>
      </w:r>
      <w:r w:rsidRPr="001D03DD">
        <w:rPr>
          <w:noProof/>
          <w:lang w:val="en-GB"/>
        </w:rPr>
        <w:t xml:space="preserve"> This </w:t>
      </w:r>
      <w:r w:rsidR="002B3B0A" w:rsidRPr="001D03DD">
        <w:rPr>
          <w:noProof/>
          <w:lang w:val="en-GB"/>
        </w:rPr>
        <w:t xml:space="preserve">review </w:t>
      </w:r>
      <w:r w:rsidRPr="001D03DD">
        <w:rPr>
          <w:noProof/>
          <w:lang w:val="en-GB"/>
        </w:rPr>
        <w:t>will</w:t>
      </w:r>
      <w:r w:rsidR="00EE5832" w:rsidRPr="001D03DD">
        <w:rPr>
          <w:noProof/>
          <w:lang w:val="en-GB"/>
        </w:rPr>
        <w:t xml:space="preserve"> also</w:t>
      </w:r>
      <w:r w:rsidR="001D03DD">
        <w:rPr>
          <w:noProof/>
          <w:lang w:val="en-GB"/>
        </w:rPr>
        <w:t xml:space="preserve"> </w:t>
      </w:r>
      <w:r w:rsidRPr="001D03DD" w:rsidDel="00D55A8C">
        <w:rPr>
          <w:noProof/>
          <w:lang w:val="en-GB"/>
        </w:rPr>
        <w:t xml:space="preserve">include </w:t>
      </w:r>
      <w:r w:rsidR="00B44C04" w:rsidRPr="001D03DD">
        <w:rPr>
          <w:noProof/>
          <w:lang w:val="en-GB"/>
        </w:rPr>
        <w:t xml:space="preserve">downstream products and </w:t>
      </w:r>
      <w:r w:rsidR="00AE1D7D" w:rsidRPr="001D03DD">
        <w:rPr>
          <w:noProof/>
          <w:lang w:val="en-GB"/>
        </w:rPr>
        <w:t>other sectors</w:t>
      </w:r>
      <w:r>
        <w:rPr>
          <w:noProof/>
          <w:lang w:val="en-GB"/>
        </w:rPr>
        <w:t>, including international transport</w:t>
      </w:r>
      <w:r w:rsidRPr="001D03DD" w:rsidDel="00D55A8C">
        <w:rPr>
          <w:noProof/>
          <w:lang w:val="en-GB"/>
        </w:rPr>
        <w:t xml:space="preserve"> which compete globally and are exposed to the risk of carbon leakage</w:t>
      </w:r>
      <w:r w:rsidRPr="001D03DD">
        <w:rPr>
          <w:noProof/>
          <w:lang w:val="en-GB"/>
        </w:rPr>
        <w:t>.</w:t>
      </w:r>
    </w:p>
    <w:p w14:paraId="74C29ED1" w14:textId="1AF37382" w:rsidR="5C34F8BD" w:rsidRDefault="5C34F8BD" w:rsidP="5C34F8BD">
      <w:pPr>
        <w:rPr>
          <w:noProof/>
          <w:lang w:val="en-GB"/>
        </w:rPr>
      </w:pPr>
    </w:p>
    <w:p w14:paraId="5EC7C4E6" w14:textId="77777777" w:rsidR="00C07C6E" w:rsidRDefault="0072234F">
      <w:pPr>
        <w:pStyle w:val="ListParagraph"/>
        <w:numPr>
          <w:ilvl w:val="0"/>
          <w:numId w:val="6"/>
        </w:numPr>
        <w:ind w:left="426" w:hanging="426"/>
        <w:rPr>
          <w:rStyle w:val="normaltextrun"/>
          <w:b/>
          <w:noProof/>
        </w:rPr>
      </w:pPr>
      <w:r>
        <w:rPr>
          <w:rStyle w:val="normaltextrun"/>
          <w:b/>
          <w:noProof/>
          <w:color w:val="000000"/>
        </w:rPr>
        <w:t>CONCLUSION</w:t>
      </w:r>
    </w:p>
    <w:p w14:paraId="30D99F8C" w14:textId="77777777" w:rsidR="00C07C6E" w:rsidRDefault="00C07C6E">
      <w:pPr>
        <w:pStyle w:val="ListParagraph"/>
        <w:ind w:left="426"/>
        <w:rPr>
          <w:b/>
          <w:noProof/>
        </w:rPr>
      </w:pPr>
    </w:p>
    <w:p w14:paraId="27CA783B" w14:textId="64C7EA38" w:rsidR="00C07C6E" w:rsidRDefault="0072234F">
      <w:pPr>
        <w:rPr>
          <w:rFonts w:cs="Times New Roman"/>
          <w:noProof/>
        </w:rPr>
      </w:pPr>
      <w:r>
        <w:rPr>
          <w:rFonts w:cs="Times New Roman"/>
          <w:b/>
          <w:noProof/>
        </w:rPr>
        <w:t xml:space="preserve">Climate protection, </w:t>
      </w:r>
      <w:r w:rsidR="30CAFC9F" w:rsidRPr="5896241E">
        <w:rPr>
          <w:rFonts w:cs="Times New Roman"/>
          <w:b/>
          <w:bCs/>
          <w:noProof/>
        </w:rPr>
        <w:t xml:space="preserve">green </w:t>
      </w:r>
      <w:r w:rsidRPr="5896241E">
        <w:rPr>
          <w:rFonts w:cs="Times New Roman"/>
          <w:b/>
          <w:bCs/>
          <w:noProof/>
        </w:rPr>
        <w:t>growth</w:t>
      </w:r>
      <w:r>
        <w:rPr>
          <w:rFonts w:cs="Times New Roman"/>
          <w:b/>
          <w:noProof/>
        </w:rPr>
        <w:t xml:space="preserve"> and</w:t>
      </w:r>
      <w:r w:rsidR="00E07596">
        <w:rPr>
          <w:rFonts w:cs="Times New Roman"/>
          <w:b/>
          <w:noProof/>
        </w:rPr>
        <w:t xml:space="preserve"> competitive</w:t>
      </w:r>
      <w:r>
        <w:rPr>
          <w:rFonts w:cs="Times New Roman"/>
          <w:b/>
          <w:noProof/>
        </w:rPr>
        <w:t xml:space="preserve"> </w:t>
      </w:r>
      <w:r w:rsidR="00E07596">
        <w:rPr>
          <w:rFonts w:cs="Times New Roman"/>
          <w:b/>
          <w:noProof/>
        </w:rPr>
        <w:t xml:space="preserve">sustainability </w:t>
      </w:r>
      <w:r>
        <w:rPr>
          <w:rFonts w:cs="Times New Roman"/>
          <w:b/>
          <w:noProof/>
        </w:rPr>
        <w:t xml:space="preserve">go hand in hand. </w:t>
      </w:r>
      <w:r w:rsidDel="00AF128C">
        <w:rPr>
          <w:rFonts w:cs="Times New Roman"/>
          <w:b/>
          <w:noProof/>
        </w:rPr>
        <w:t xml:space="preserve">Clean </w:t>
      </w:r>
      <w:r w:rsidR="00D54ECE">
        <w:rPr>
          <w:rFonts w:cs="Times New Roman"/>
          <w:b/>
          <w:noProof/>
        </w:rPr>
        <w:t>t</w:t>
      </w:r>
      <w:r w:rsidDel="00AF128C">
        <w:rPr>
          <w:rFonts w:cs="Times New Roman"/>
          <w:b/>
          <w:noProof/>
        </w:rPr>
        <w:t xml:space="preserve">echnology and sustainable production are </w:t>
      </w:r>
      <w:r w:rsidR="00E6151E" w:rsidDel="00AF128C">
        <w:rPr>
          <w:rFonts w:cs="Times New Roman"/>
          <w:b/>
          <w:noProof/>
        </w:rPr>
        <w:t>and have to remain</w:t>
      </w:r>
      <w:r w:rsidDel="00AF128C">
        <w:rPr>
          <w:rFonts w:cs="Times New Roman"/>
          <w:b/>
          <w:noProof/>
        </w:rPr>
        <w:t xml:space="preserve"> the EU’s </w:t>
      </w:r>
      <w:r w:rsidR="009A0087" w:rsidDel="00AF128C">
        <w:rPr>
          <w:rFonts w:cs="Times New Roman"/>
          <w:b/>
          <w:noProof/>
        </w:rPr>
        <w:t xml:space="preserve">competitive </w:t>
      </w:r>
      <w:r w:rsidDel="00AF128C">
        <w:rPr>
          <w:rFonts w:cs="Times New Roman"/>
          <w:b/>
          <w:noProof/>
        </w:rPr>
        <w:t>advantage.</w:t>
      </w:r>
      <w:r w:rsidDel="00AF128C">
        <w:rPr>
          <w:rFonts w:cs="Times New Roman"/>
          <w:noProof/>
        </w:rPr>
        <w:t xml:space="preserve"> </w:t>
      </w:r>
      <w:r>
        <w:rPr>
          <w:rFonts w:cs="Times New Roman"/>
          <w:noProof/>
        </w:rPr>
        <w:t>Now is the time to deliver and</w:t>
      </w:r>
      <w:r w:rsidR="00193007">
        <w:rPr>
          <w:rFonts w:cs="Times New Roman"/>
          <w:noProof/>
        </w:rPr>
        <w:t xml:space="preserve"> step up</w:t>
      </w:r>
      <w:r>
        <w:rPr>
          <w:rFonts w:cs="Times New Roman"/>
          <w:noProof/>
        </w:rPr>
        <w:t xml:space="preserve"> invest</w:t>
      </w:r>
      <w:r w:rsidR="00193007">
        <w:rPr>
          <w:rFonts w:cs="Times New Roman"/>
          <w:noProof/>
        </w:rPr>
        <w:t>ment</w:t>
      </w:r>
      <w:r>
        <w:rPr>
          <w:rFonts w:cs="Times New Roman"/>
          <w:noProof/>
        </w:rPr>
        <w:t xml:space="preserve"> in a fair transition</w:t>
      </w:r>
      <w:r w:rsidR="00AD1A64" w:rsidRPr="00AD1A64">
        <w:rPr>
          <w:rFonts w:cs="Times New Roman"/>
          <w:noProof/>
        </w:rPr>
        <w:t xml:space="preserve"> and in </w:t>
      </w:r>
      <w:r w:rsidR="00AD1A64" w:rsidRPr="00AD1A64">
        <w:rPr>
          <w:rFonts w:cs="Times New Roman"/>
          <w:b/>
          <w:bCs/>
          <w:noProof/>
        </w:rPr>
        <w:t>clean</w:t>
      </w:r>
      <w:r w:rsidR="00AD1A64" w:rsidRPr="00AD1A64">
        <w:rPr>
          <w:rFonts w:cs="Times New Roman"/>
          <w:noProof/>
        </w:rPr>
        <w:t xml:space="preserve"> </w:t>
      </w:r>
      <w:r w:rsidR="00AD1A64" w:rsidRPr="00AD1A64">
        <w:rPr>
          <w:rFonts w:cs="Times New Roman"/>
          <w:b/>
          <w:noProof/>
        </w:rPr>
        <w:t>technology and sustainable production</w:t>
      </w:r>
      <w:r w:rsidRPr="00AD1A64">
        <w:rPr>
          <w:rFonts w:cs="Times New Roman"/>
          <w:noProof/>
        </w:rPr>
        <w:t>.</w:t>
      </w:r>
      <w:r>
        <w:rPr>
          <w:rFonts w:cs="Times New Roman"/>
          <w:noProof/>
        </w:rPr>
        <w:t xml:space="preserve"> </w:t>
      </w:r>
    </w:p>
    <w:p w14:paraId="1D733605" w14:textId="4F0589B3" w:rsidR="00C07C6E" w:rsidRDefault="0072234F" w:rsidP="00FA377F">
      <w:pPr>
        <w:spacing w:line="257" w:lineRule="auto"/>
        <w:rPr>
          <w:rFonts w:eastAsia="Times New Roman" w:cs="Times New Roman"/>
          <w:noProof/>
        </w:rPr>
      </w:pPr>
      <w:r>
        <w:rPr>
          <w:rFonts w:cs="Times New Roman"/>
          <w:b/>
          <w:noProof/>
        </w:rPr>
        <w:t xml:space="preserve">This </w:t>
      </w:r>
      <w:r w:rsidRPr="00CD0314">
        <w:rPr>
          <w:rFonts w:cs="Times New Roman"/>
          <w:b/>
          <w:noProof/>
        </w:rPr>
        <w:t xml:space="preserve">requires a </w:t>
      </w:r>
      <w:r w:rsidR="00C324C1" w:rsidRPr="00CD0314">
        <w:rPr>
          <w:rFonts w:cs="Times New Roman"/>
          <w:b/>
          <w:noProof/>
        </w:rPr>
        <w:t xml:space="preserve">reinforced </w:t>
      </w:r>
      <w:r w:rsidRPr="00CD0314">
        <w:rPr>
          <w:rFonts w:cs="Times New Roman"/>
          <w:b/>
          <w:noProof/>
        </w:rPr>
        <w:t xml:space="preserve">industrial </w:t>
      </w:r>
      <w:r w:rsidR="00C324C1" w:rsidRPr="00CD0314">
        <w:rPr>
          <w:rFonts w:cs="Times New Roman"/>
          <w:b/>
          <w:noProof/>
        </w:rPr>
        <w:t xml:space="preserve">approach </w:t>
      </w:r>
      <w:r w:rsidRPr="00CD0314">
        <w:rPr>
          <w:rFonts w:cs="Times New Roman"/>
          <w:noProof/>
        </w:rPr>
        <w:t>that</w:t>
      </w:r>
      <w:r>
        <w:rPr>
          <w:rFonts w:cs="Times New Roman"/>
          <w:b/>
          <w:noProof/>
        </w:rPr>
        <w:t xml:space="preserve"> </w:t>
      </w:r>
      <w:r>
        <w:rPr>
          <w:rFonts w:eastAsia="Times New Roman" w:cs="Times New Roman"/>
          <w:noProof/>
        </w:rPr>
        <w:t xml:space="preserve">ensures predictability for investors in an effective and simplified regulatory environment, allows movers to clean energy </w:t>
      </w:r>
      <w:r w:rsidR="00746738">
        <w:rPr>
          <w:rFonts w:eastAsia="Times New Roman" w:cs="Times New Roman"/>
          <w:noProof/>
        </w:rPr>
        <w:t xml:space="preserve">and fuels </w:t>
      </w:r>
      <w:r>
        <w:rPr>
          <w:rFonts w:eastAsia="Times New Roman" w:cs="Times New Roman"/>
          <w:noProof/>
        </w:rPr>
        <w:t xml:space="preserve">to </w:t>
      </w:r>
      <w:r w:rsidR="003C1D47">
        <w:rPr>
          <w:rFonts w:eastAsia="Times New Roman" w:cs="Times New Roman"/>
          <w:noProof/>
        </w:rPr>
        <w:t xml:space="preserve">benefit from </w:t>
      </w:r>
      <w:r w:rsidR="00504B88">
        <w:rPr>
          <w:rFonts w:eastAsia="Times New Roman" w:cs="Times New Roman"/>
          <w:noProof/>
        </w:rPr>
        <w:t>competitive</w:t>
      </w:r>
      <w:r>
        <w:rPr>
          <w:rFonts w:eastAsia="Times New Roman" w:cs="Times New Roman"/>
          <w:noProof/>
        </w:rPr>
        <w:t xml:space="preserve"> </w:t>
      </w:r>
      <w:r w:rsidR="0079735C">
        <w:rPr>
          <w:rFonts w:eastAsia="Times New Roman" w:cs="Times New Roman"/>
          <w:noProof/>
        </w:rPr>
        <w:t>costs</w:t>
      </w:r>
      <w:r>
        <w:rPr>
          <w:rFonts w:eastAsia="Times New Roman" w:cs="Times New Roman"/>
          <w:noProof/>
        </w:rPr>
        <w:t xml:space="preserve">, delivers the necessary infrastructure, unlocks private and public investment, strengthens the Single Market </w:t>
      </w:r>
      <w:r w:rsidR="00CB04B1">
        <w:rPr>
          <w:rFonts w:eastAsia="Times New Roman" w:cs="Times New Roman"/>
          <w:noProof/>
        </w:rPr>
        <w:t>and ultimately</w:t>
      </w:r>
      <w:r w:rsidR="00083A99">
        <w:rPr>
          <w:rFonts w:eastAsia="Times New Roman" w:cs="Times New Roman"/>
          <w:noProof/>
        </w:rPr>
        <w:t xml:space="preserve"> improves the competitiveness</w:t>
      </w:r>
      <w:r w:rsidR="0036791A">
        <w:rPr>
          <w:rFonts w:eastAsia="Times New Roman" w:cs="Times New Roman"/>
          <w:noProof/>
        </w:rPr>
        <w:t xml:space="preserve"> of </w:t>
      </w:r>
      <w:r>
        <w:rPr>
          <w:rFonts w:eastAsia="Times New Roman" w:cs="Times New Roman"/>
          <w:noProof/>
        </w:rPr>
        <w:t>European businesses</w:t>
      </w:r>
      <w:r w:rsidR="005230C8">
        <w:rPr>
          <w:rFonts w:eastAsia="Times New Roman" w:cs="Times New Roman"/>
          <w:noProof/>
        </w:rPr>
        <w:t xml:space="preserve"> and their ability</w:t>
      </w:r>
      <w:r>
        <w:rPr>
          <w:rFonts w:eastAsia="Times New Roman" w:cs="Times New Roman"/>
          <w:noProof/>
        </w:rPr>
        <w:t xml:space="preserve"> to deliver on the European Green Deal. This will </w:t>
      </w:r>
      <w:r>
        <w:rPr>
          <w:rFonts w:eastAsiaTheme="minorEastAsia"/>
          <w:noProof/>
        </w:rPr>
        <w:t xml:space="preserve">require a more </w:t>
      </w:r>
      <w:r>
        <w:rPr>
          <w:rFonts w:eastAsiaTheme="minorEastAsia"/>
          <w:b/>
          <w:noProof/>
        </w:rPr>
        <w:t>collaborative approach</w:t>
      </w:r>
      <w:r>
        <w:rPr>
          <w:rFonts w:eastAsiaTheme="minorEastAsia"/>
          <w:noProof/>
        </w:rPr>
        <w:t xml:space="preserve"> through </w:t>
      </w:r>
      <w:r w:rsidRPr="0072234F">
        <w:rPr>
          <w:rFonts w:eastAsiaTheme="minorEastAsia"/>
          <w:b/>
          <w:noProof/>
        </w:rPr>
        <w:t>intensive dialogue with Member States, regional and local authorities, as well as industry and stakeholders</w:t>
      </w:r>
      <w:r>
        <w:rPr>
          <w:rFonts w:eastAsiaTheme="minorEastAsia"/>
          <w:noProof/>
        </w:rPr>
        <w:t xml:space="preserve">. </w:t>
      </w:r>
    </w:p>
    <w:p w14:paraId="67EC1556" w14:textId="339D4ED5" w:rsidR="00C07C6E" w:rsidRDefault="00BB43A2">
      <w:pPr>
        <w:ind w:left="-20" w:right="-20"/>
        <w:rPr>
          <w:rFonts w:eastAsia="Calibri" w:cs="Times New Roman"/>
          <w:noProof/>
        </w:rPr>
      </w:pPr>
      <w:r w:rsidRPr="008B4D4E">
        <w:rPr>
          <w:rFonts w:cs="Times New Roman"/>
          <w:noProof/>
        </w:rPr>
        <w:t xml:space="preserve">The Commission </w:t>
      </w:r>
      <w:r w:rsidRPr="008B4D4E">
        <w:rPr>
          <w:rFonts w:cs="Times New Roman"/>
          <w:b/>
          <w:bCs/>
          <w:noProof/>
        </w:rPr>
        <w:t>will continue its engagement with industry and social partners through</w:t>
      </w:r>
      <w:r w:rsidR="0072234F" w:rsidRPr="008B4D4E">
        <w:rPr>
          <w:rFonts w:cs="Times New Roman"/>
          <w:b/>
          <w:bCs/>
          <w:noProof/>
        </w:rPr>
        <w:t xml:space="preserve"> the Clean Transition Dialogues</w:t>
      </w:r>
      <w:r w:rsidR="0072234F" w:rsidRPr="008B4D4E">
        <w:rPr>
          <w:rFonts w:cs="Times New Roman"/>
          <w:noProof/>
        </w:rPr>
        <w:t>,</w:t>
      </w:r>
      <w:r w:rsidRPr="008B4D4E">
        <w:rPr>
          <w:rFonts w:cs="Times New Roman"/>
          <w:noProof/>
        </w:rPr>
        <w:t xml:space="preserve"> and it </w:t>
      </w:r>
      <w:r w:rsidR="0072234F" w:rsidRPr="008B4D4E">
        <w:rPr>
          <w:rFonts w:cs="Times New Roman"/>
          <w:noProof/>
        </w:rPr>
        <w:t>stands ready to engage in a</w:t>
      </w:r>
      <w:r w:rsidR="0072234F" w:rsidRPr="00FA377F">
        <w:rPr>
          <w:rStyle w:val="normaltextrun"/>
          <w:noProof/>
          <w:color w:val="000000" w:themeColor="text1"/>
        </w:rPr>
        <w:t xml:space="preserve"> thorough debate with Council and Parliament on the key factors that need to be addressed, and to </w:t>
      </w:r>
      <w:r w:rsidR="0072234F">
        <w:rPr>
          <w:rFonts w:cs="Times New Roman"/>
          <w:noProof/>
        </w:rPr>
        <w:t xml:space="preserve">work together </w:t>
      </w:r>
      <w:r w:rsidR="00C324C1">
        <w:rPr>
          <w:rFonts w:cs="Times New Roman"/>
          <w:noProof/>
        </w:rPr>
        <w:t xml:space="preserve">on these </w:t>
      </w:r>
      <w:r w:rsidR="0072234F">
        <w:rPr>
          <w:rFonts w:cs="Times New Roman"/>
          <w:noProof/>
        </w:rPr>
        <w:t xml:space="preserve">with all stakeholders. </w:t>
      </w:r>
    </w:p>
    <w:sectPr w:rsidR="00C07C6E" w:rsidSect="00FA377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0BAF3" w14:textId="77777777" w:rsidR="00096BF3" w:rsidRDefault="00096BF3">
      <w:pPr>
        <w:spacing w:after="0" w:line="240" w:lineRule="auto"/>
      </w:pPr>
      <w:r>
        <w:separator/>
      </w:r>
    </w:p>
  </w:endnote>
  <w:endnote w:type="continuationSeparator" w:id="0">
    <w:p w14:paraId="7C09E82C" w14:textId="77777777" w:rsidR="00096BF3" w:rsidRDefault="00096BF3">
      <w:pPr>
        <w:spacing w:after="0" w:line="240" w:lineRule="auto"/>
      </w:pPr>
      <w:r>
        <w:continuationSeparator/>
      </w:r>
    </w:p>
  </w:endnote>
  <w:endnote w:type="continuationNotice" w:id="1">
    <w:p w14:paraId="274CD21D" w14:textId="77777777" w:rsidR="00096BF3" w:rsidRDefault="00096B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8CB4F" w14:textId="07403172" w:rsidR="001C4679" w:rsidRPr="001C4679" w:rsidRDefault="001C4679" w:rsidP="001C4679">
    <w:pPr>
      <w:pStyle w:val="FooterCoverPage"/>
      <w:rPr>
        <w:rFonts w:ascii="Arial" w:hAnsi="Arial" w:cs="Arial"/>
        <w:b/>
        <w:sz w:val="48"/>
      </w:rPr>
    </w:pPr>
    <w:r w:rsidRPr="001C4679">
      <w:rPr>
        <w:rFonts w:ascii="Arial" w:hAnsi="Arial" w:cs="Arial"/>
        <w:b/>
        <w:sz w:val="48"/>
      </w:rPr>
      <w:t>EN</w:t>
    </w:r>
    <w:r w:rsidRPr="001C4679">
      <w:rPr>
        <w:rFonts w:ascii="Arial" w:hAnsi="Arial" w:cs="Arial"/>
        <w:b/>
        <w:sz w:val="48"/>
      </w:rPr>
      <w:tab/>
    </w:r>
    <w:r w:rsidRPr="001C4679">
      <w:rPr>
        <w:rFonts w:ascii="Arial" w:hAnsi="Arial" w:cs="Arial"/>
        <w:b/>
        <w:sz w:val="48"/>
      </w:rPr>
      <w:tab/>
    </w:r>
    <w:r w:rsidRPr="001C4679">
      <w:tab/>
    </w:r>
    <w:r w:rsidRPr="001C467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20CB1" w14:textId="191BB059" w:rsidR="001C4679" w:rsidRPr="001C4679" w:rsidRDefault="001C4679" w:rsidP="001C4679">
    <w:pPr>
      <w:pStyle w:val="FooterCoverPage"/>
      <w:rPr>
        <w:rFonts w:ascii="Arial" w:hAnsi="Arial" w:cs="Arial"/>
        <w:b/>
        <w:sz w:val="48"/>
      </w:rPr>
    </w:pPr>
    <w:r w:rsidRPr="001C4679">
      <w:rPr>
        <w:rFonts w:ascii="Arial" w:hAnsi="Arial" w:cs="Arial"/>
        <w:b/>
        <w:sz w:val="48"/>
      </w:rPr>
      <w:t>EN</w:t>
    </w:r>
    <w:r w:rsidRPr="001C4679">
      <w:rPr>
        <w:rFonts w:ascii="Arial" w:hAnsi="Arial" w:cs="Arial"/>
        <w:b/>
        <w:sz w:val="48"/>
      </w:rPr>
      <w:tab/>
    </w:r>
    <w:r w:rsidRPr="001C4679">
      <w:rPr>
        <w:rFonts w:ascii="Arial" w:hAnsi="Arial" w:cs="Arial"/>
        <w:b/>
        <w:sz w:val="48"/>
      </w:rPr>
      <w:tab/>
    </w:r>
    <w:r w:rsidRPr="001C4679">
      <w:tab/>
    </w:r>
    <w:r w:rsidRPr="001C467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4EBC9" w14:textId="77777777" w:rsidR="001C4679" w:rsidRPr="001C4679" w:rsidRDefault="001C4679" w:rsidP="001C467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98A59" w14:textId="77777777" w:rsidR="00C07C6E" w:rsidRDefault="00C07C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9075F" w14:textId="6D42742B" w:rsidR="00C07C6E" w:rsidRDefault="0072234F">
    <w:pPr>
      <w:pStyle w:val="Footer"/>
      <w:jc w:val="right"/>
    </w:pPr>
    <w:r>
      <w:fldChar w:fldCharType="begin"/>
    </w:r>
    <w:r>
      <w:rPr>
        <w:rFonts w:hint="eastAsia"/>
      </w:rPr>
      <w:instrText>PAGE  \* MERGEFORMAT</w:instrText>
    </w:r>
    <w:r>
      <w:fldChar w:fldCharType="separate"/>
    </w:r>
    <w:r w:rsidR="001C4679">
      <w:rPr>
        <w:noProof/>
      </w:rPr>
      <w:t>1</w:t>
    </w:r>
    <w:r>
      <w:fldChar w:fldCharType="end"/>
    </w:r>
  </w:p>
  <w:p w14:paraId="590CC28B" w14:textId="77777777" w:rsidR="00C07C6E" w:rsidRDefault="00C07C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900C" w14:textId="77777777" w:rsidR="00C07C6E" w:rsidRDefault="00C07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19ABF" w14:textId="77777777" w:rsidR="00096BF3" w:rsidRDefault="00096BF3">
      <w:r>
        <w:separator/>
      </w:r>
    </w:p>
  </w:footnote>
  <w:footnote w:type="continuationSeparator" w:id="0">
    <w:p w14:paraId="2E8347C4" w14:textId="77777777" w:rsidR="00096BF3" w:rsidRDefault="00096BF3">
      <w:r>
        <w:continuationSeparator/>
      </w:r>
    </w:p>
  </w:footnote>
  <w:footnote w:type="continuationNotice" w:id="1">
    <w:p w14:paraId="24E0881F" w14:textId="77777777" w:rsidR="00096BF3" w:rsidRDefault="00096BF3">
      <w:pPr>
        <w:spacing w:after="0" w:line="240" w:lineRule="auto"/>
      </w:pPr>
    </w:p>
  </w:footnote>
  <w:footnote w:id="2">
    <w:p w14:paraId="7F0DED2E" w14:textId="77777777" w:rsidR="00C07C6E" w:rsidRPr="00CB3DD3" w:rsidRDefault="0072234F">
      <w:pPr>
        <w:pStyle w:val="FootnoteText"/>
        <w:jc w:val="left"/>
        <w:rPr>
          <w:lang w:val="en-IE"/>
        </w:rPr>
      </w:pPr>
      <w:r w:rsidRPr="00CB3DD3">
        <w:rPr>
          <w:rStyle w:val="FootnoteReference"/>
          <w:sz w:val="20"/>
          <w:lang w:val="en-IE"/>
        </w:rPr>
        <w:footnoteRef/>
      </w:r>
      <w:r w:rsidRPr="00CB3DD3">
        <w:rPr>
          <w:lang w:val="en-IE"/>
        </w:rPr>
        <w:t xml:space="preserve"> Climate Action Progress Report 2023. </w:t>
      </w:r>
    </w:p>
  </w:footnote>
  <w:footnote w:id="3">
    <w:p w14:paraId="5450F00D" w14:textId="77777777" w:rsidR="00C07C6E" w:rsidRPr="00CB3DD3" w:rsidRDefault="0072234F">
      <w:pPr>
        <w:pStyle w:val="FootnoteText"/>
        <w:jc w:val="left"/>
        <w:rPr>
          <w:lang w:val="en-IE"/>
        </w:rPr>
      </w:pPr>
      <w:r w:rsidRPr="00CB3DD3">
        <w:rPr>
          <w:rStyle w:val="FootnoteReference"/>
          <w:sz w:val="20"/>
          <w:lang w:val="en-IE"/>
        </w:rPr>
        <w:footnoteRef/>
      </w:r>
      <w:r w:rsidRPr="00CB3DD3">
        <w:rPr>
          <w:lang w:val="en-IE"/>
        </w:rPr>
        <w:t xml:space="preserve"> Estimate from AMECO database (European Commission, DG ECFIN), real GDP.</w:t>
      </w:r>
    </w:p>
  </w:footnote>
  <w:footnote w:id="4">
    <w:p w14:paraId="3543B424" w14:textId="70BD88DE" w:rsidR="00DF472C" w:rsidRPr="00CB3DD3" w:rsidRDefault="00DF472C" w:rsidP="00B7582D">
      <w:pPr>
        <w:pStyle w:val="FootnoteText"/>
        <w:rPr>
          <w:lang w:val="en-IE"/>
        </w:rPr>
      </w:pPr>
      <w:r w:rsidRPr="00CB3DD3">
        <w:rPr>
          <w:rStyle w:val="FootnoteReference"/>
          <w:sz w:val="20"/>
          <w:lang w:val="en-IE"/>
        </w:rPr>
        <w:footnoteRef/>
      </w:r>
      <w:r w:rsidRPr="00CB3DD3">
        <w:rPr>
          <w:lang w:val="en-IE"/>
        </w:rPr>
        <w:t xml:space="preserve"> </w:t>
      </w:r>
      <w:r w:rsidR="00B7582D" w:rsidRPr="00CB3DD3">
        <w:rPr>
          <w:lang w:val="en-IE"/>
        </w:rPr>
        <w:t xml:space="preserve">The following Clean Transition Dialogues took place: 10 October 2023: Hydrogen; 30 November 2023: Energy-intensive; 22 February 2024: Clean-tech; 23 February 2024: Critical raw materials; 26 February 2024: Grean Deal infrastructure; </w:t>
      </w:r>
      <w:r w:rsidR="00123E24" w:rsidRPr="00CB3DD3">
        <w:rPr>
          <w:lang w:val="en-IE"/>
        </w:rPr>
        <w:t xml:space="preserve">14 March 2024: Forest and Forestry owners; </w:t>
      </w:r>
      <w:r w:rsidR="00B7582D" w:rsidRPr="00CB3DD3">
        <w:rPr>
          <w:lang w:val="en-IE"/>
        </w:rPr>
        <w:t>15 March 2024: Cities; 22 March 2024: Steel industry; 8 April 2024: Clean mobility</w:t>
      </w:r>
      <w:r w:rsidR="00A72918" w:rsidRPr="00CB3DD3">
        <w:rPr>
          <w:lang w:val="en-IE"/>
        </w:rPr>
        <w:t>.</w:t>
      </w:r>
    </w:p>
  </w:footnote>
  <w:footnote w:id="5">
    <w:p w14:paraId="279AE592" w14:textId="40418AC6"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w:t>
      </w:r>
      <w:r w:rsidR="00B7582D" w:rsidRPr="00CB3DD3">
        <w:rPr>
          <w:lang w:val="en-IE"/>
        </w:rPr>
        <w:t>https://commission.europa.eu/news/val-duchesse-summit-eu-and-social-partners-commit-strengthening-social-dialogue-2024-01-31_en</w:t>
      </w:r>
    </w:p>
  </w:footnote>
  <w:footnote w:id="6">
    <w:p w14:paraId="7C65DF70" w14:textId="2D75B615"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w:t>
      </w:r>
      <w:r w:rsidR="00B7582D" w:rsidRPr="00CB3DD3">
        <w:rPr>
          <w:lang w:val="en-IE"/>
        </w:rPr>
        <w:t>https://antwerp-declaration.eu/</w:t>
      </w:r>
    </w:p>
  </w:footnote>
  <w:footnote w:id="7">
    <w:p w14:paraId="6B39BDE0" w14:textId="781702E3"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It is noted that the findings of the European Monitor of Industrial Ecosystems (SWD(2024)77 final), can also provide an additional basis for evidence-based policy action. </w:t>
      </w:r>
    </w:p>
  </w:footnote>
  <w:footnote w:id="8">
    <w:p w14:paraId="213633B0" w14:textId="2F95B8AB" w:rsidR="00C07C6E" w:rsidRPr="00CB3DD3" w:rsidRDefault="0072234F" w:rsidP="00B834C1">
      <w:pPr>
        <w:pStyle w:val="FootnoteText"/>
        <w:rPr>
          <w:lang w:val="en-IE"/>
        </w:rPr>
      </w:pPr>
      <w:r w:rsidRPr="00CB3DD3">
        <w:rPr>
          <w:rStyle w:val="FootnoteReference"/>
          <w:sz w:val="20"/>
          <w:lang w:val="en-IE"/>
        </w:rPr>
        <w:footnoteRef/>
      </w:r>
      <w:r w:rsidRPr="00CB3DD3">
        <w:rPr>
          <w:lang w:val="en-IE"/>
        </w:rPr>
        <w:t xml:space="preserve"> In this transition, the Single Digital Gateway will continue to facilitate the reduction of administrative burden for companies, providing a centralized platform to access information, administrative procedures, and assistance across all </w:t>
      </w:r>
      <w:r w:rsidR="00F90984" w:rsidRPr="00CB3DD3">
        <w:rPr>
          <w:lang w:val="en-IE"/>
        </w:rPr>
        <w:t>M</w:t>
      </w:r>
      <w:r w:rsidRPr="00CB3DD3">
        <w:rPr>
          <w:lang w:val="en-IE"/>
        </w:rPr>
        <w:t xml:space="preserve">ember </w:t>
      </w:r>
      <w:r w:rsidR="00F90984" w:rsidRPr="00CB3DD3">
        <w:rPr>
          <w:lang w:val="en-IE"/>
        </w:rPr>
        <w:t>S</w:t>
      </w:r>
      <w:r w:rsidRPr="00CB3DD3">
        <w:rPr>
          <w:lang w:val="en-IE"/>
        </w:rPr>
        <w:t>tates</w:t>
      </w:r>
      <w:r w:rsidR="00F90984" w:rsidRPr="00CB3DD3">
        <w:rPr>
          <w:lang w:val="en-IE"/>
        </w:rPr>
        <w:t>.</w:t>
      </w:r>
    </w:p>
  </w:footnote>
  <w:footnote w:id="9">
    <w:p w14:paraId="110AC903" w14:textId="31EA9BF1" w:rsidR="3D785ED8" w:rsidRPr="00CB3DD3" w:rsidRDefault="3D785ED8" w:rsidP="008431E4">
      <w:pPr>
        <w:pStyle w:val="FootnoteText"/>
        <w:rPr>
          <w:lang w:val="en-IE"/>
        </w:rPr>
      </w:pPr>
      <w:r w:rsidRPr="00CB3DD3">
        <w:rPr>
          <w:rStyle w:val="FootnoteReference"/>
          <w:sz w:val="20"/>
          <w:szCs w:val="20"/>
          <w:lang w:val="en-IE"/>
        </w:rPr>
        <w:footnoteRef/>
      </w:r>
      <w:r w:rsidRPr="00CB3DD3">
        <w:rPr>
          <w:lang w:val="en-IE"/>
        </w:rPr>
        <w:t xml:space="preserve"> Under the European Pact for Skills, 3,5 million workers have already been trained to make sure the green and digital transition creates quality jobs in Europe.</w:t>
      </w:r>
    </w:p>
  </w:footnote>
  <w:footnote w:id="10">
    <w:p w14:paraId="70D50D5E" w14:textId="728C6B74" w:rsidR="00DD321E" w:rsidRPr="00CB3DD3" w:rsidRDefault="00DD321E">
      <w:pPr>
        <w:pStyle w:val="FootnoteText"/>
        <w:rPr>
          <w:lang w:val="en-IE"/>
        </w:rPr>
      </w:pPr>
      <w:r w:rsidRPr="00CB3DD3">
        <w:rPr>
          <w:rStyle w:val="FootnoteReference"/>
          <w:lang w:val="en-IE"/>
        </w:rPr>
        <w:footnoteRef/>
      </w:r>
      <w:r w:rsidRPr="00CB3DD3">
        <w:rPr>
          <w:lang w:val="en-IE"/>
        </w:rPr>
        <w:t xml:space="preserve"> The EU has already made available EUR 5.8 billion for substantial investments in green skills and green jobs</w:t>
      </w:r>
      <w:r w:rsidR="006563BF" w:rsidRPr="00CB3DD3">
        <w:rPr>
          <w:lang w:val="en-IE"/>
        </w:rPr>
        <w:t>.</w:t>
      </w:r>
    </w:p>
  </w:footnote>
  <w:footnote w:id="11">
    <w:p w14:paraId="0322399D" w14:textId="52A26CCD" w:rsidR="5BC25718" w:rsidRPr="00CB3DD3" w:rsidRDefault="5BC25718" w:rsidP="008431E4">
      <w:pPr>
        <w:pStyle w:val="FootnoteText"/>
        <w:rPr>
          <w:color w:val="65B4B4"/>
          <w:u w:val="single"/>
          <w:lang w:val="en-IE"/>
        </w:rPr>
      </w:pPr>
      <w:r w:rsidRPr="00CB3DD3">
        <w:rPr>
          <w:rStyle w:val="FootnoteReference"/>
          <w:sz w:val="20"/>
          <w:szCs w:val="20"/>
          <w:lang w:val="en-IE"/>
        </w:rPr>
        <w:footnoteRef/>
      </w:r>
      <w:r w:rsidR="4C4466AB" w:rsidRPr="00CB3DD3">
        <w:rPr>
          <w:lang w:val="en-IE"/>
        </w:rPr>
        <w:t xml:space="preserve"> COM(2024) 131 final of 20 March 2024</w:t>
      </w:r>
    </w:p>
  </w:footnote>
  <w:footnote w:id="12">
    <w:p w14:paraId="37699D69" w14:textId="77777777" w:rsidR="00C07C6E" w:rsidRPr="00CB3DD3" w:rsidRDefault="0072234F" w:rsidP="006563BF">
      <w:pPr>
        <w:pStyle w:val="FootnoteText"/>
        <w:rPr>
          <w:lang w:val="en-IE"/>
        </w:rPr>
      </w:pPr>
      <w:r w:rsidRPr="00CB3DD3">
        <w:rPr>
          <w:rStyle w:val="FootnoteReference"/>
          <w:sz w:val="20"/>
          <w:szCs w:val="20"/>
          <w:lang w:val="en-IE"/>
        </w:rPr>
        <w:footnoteRef/>
      </w:r>
      <w:r w:rsidRPr="00CB3DD3">
        <w:rPr>
          <w:lang w:val="en-IE"/>
        </w:rPr>
        <w:t xml:space="preserve"> Gas and electricity prices are gradually approaching their level from summer 2021, while the EU dependency on Russian gas fell from 45% in 2021 to 15% in 2023. The EU has diversified its gas supplies and has successfully reduced energy demand.</w:t>
      </w:r>
    </w:p>
  </w:footnote>
  <w:footnote w:id="13">
    <w:p w14:paraId="69C8A101" w14:textId="4A1D4177" w:rsidR="00C07C6E" w:rsidRPr="00CB3DD3" w:rsidRDefault="0072234F" w:rsidP="00FA377F">
      <w:pPr>
        <w:spacing w:after="0"/>
        <w:rPr>
          <w:sz w:val="20"/>
        </w:rPr>
      </w:pPr>
      <w:r w:rsidRPr="00CB3DD3">
        <w:rPr>
          <w:rStyle w:val="FootnoteReference"/>
          <w:sz w:val="20"/>
          <w:szCs w:val="20"/>
        </w:rPr>
        <w:footnoteRef/>
      </w:r>
      <w:r w:rsidRPr="00CB3DD3">
        <w:rPr>
          <w:sz w:val="20"/>
          <w:szCs w:val="20"/>
        </w:rPr>
        <w:t xml:space="preserve"> </w:t>
      </w:r>
      <w:r w:rsidRPr="00CB3DD3">
        <w:rPr>
          <w:rFonts w:cs="Times New Roman"/>
          <w:sz w:val="20"/>
          <w:szCs w:val="20"/>
        </w:rPr>
        <w:t>The successful transition to sustainable mobility depends on access to clean energy</w:t>
      </w:r>
      <w:r w:rsidR="00600949" w:rsidRPr="00CB3DD3">
        <w:rPr>
          <w:rFonts w:cs="Times New Roman"/>
          <w:sz w:val="20"/>
          <w:szCs w:val="20"/>
        </w:rPr>
        <w:t xml:space="preserve"> and access to feedstocks</w:t>
      </w:r>
      <w:r w:rsidRPr="00CB3DD3">
        <w:rPr>
          <w:rFonts w:cs="Times New Roman"/>
          <w:sz w:val="20"/>
          <w:szCs w:val="20"/>
        </w:rPr>
        <w:t>. In particular, the maritime and aviation sectors will need considerable amounts of renewable and low-carbon fuels</w:t>
      </w:r>
      <w:r w:rsidR="00600949" w:rsidRPr="00CB3DD3">
        <w:rPr>
          <w:rFonts w:cs="Times New Roman"/>
          <w:sz w:val="20"/>
          <w:szCs w:val="20"/>
        </w:rPr>
        <w:t>, as supported by the Renewable and Low-Carbon Fuels Value Chain Industrial Alliance</w:t>
      </w:r>
      <w:r w:rsidRPr="00CB3DD3">
        <w:rPr>
          <w:rFonts w:cs="Times New Roman"/>
          <w:sz w:val="20"/>
          <w:szCs w:val="20"/>
        </w:rPr>
        <w:t xml:space="preserve">. </w:t>
      </w:r>
      <w:r w:rsidR="001A6527" w:rsidRPr="00CB3DD3">
        <w:rPr>
          <w:rFonts w:cs="Times New Roman"/>
          <w:sz w:val="20"/>
          <w:szCs w:val="20"/>
        </w:rPr>
        <w:t>Developing</w:t>
      </w:r>
      <w:r w:rsidRPr="00CB3DD3">
        <w:rPr>
          <w:rFonts w:cs="Times New Roman"/>
          <w:sz w:val="20"/>
          <w:szCs w:val="20"/>
        </w:rPr>
        <w:t xml:space="preserve"> production of those fuels will </w:t>
      </w:r>
      <w:r w:rsidR="00940BEA" w:rsidRPr="00CB3DD3">
        <w:rPr>
          <w:rFonts w:cs="Times New Roman"/>
          <w:sz w:val="20"/>
          <w:szCs w:val="20"/>
        </w:rPr>
        <w:t>diversify</w:t>
      </w:r>
      <w:r w:rsidRPr="00CB3DD3">
        <w:rPr>
          <w:rFonts w:cs="Times New Roman"/>
          <w:sz w:val="20"/>
          <w:szCs w:val="20"/>
        </w:rPr>
        <w:t xml:space="preserve"> our energy </w:t>
      </w:r>
      <w:r w:rsidR="000565FE" w:rsidRPr="00CB3DD3">
        <w:rPr>
          <w:rFonts w:cs="Times New Roman"/>
          <w:sz w:val="20"/>
          <w:szCs w:val="20"/>
        </w:rPr>
        <w:t>supply</w:t>
      </w:r>
      <w:r w:rsidRPr="00CB3DD3">
        <w:rPr>
          <w:rFonts w:cs="Times New Roman"/>
          <w:sz w:val="20"/>
          <w:szCs w:val="20"/>
        </w:rPr>
        <w:t xml:space="preserve"> while improving </w:t>
      </w:r>
      <w:r w:rsidR="00746738" w:rsidRPr="00CB3DD3">
        <w:rPr>
          <w:rFonts w:cs="Times New Roman"/>
          <w:sz w:val="20"/>
          <w:szCs w:val="20"/>
        </w:rPr>
        <w:t>our</w:t>
      </w:r>
      <w:r w:rsidRPr="00CB3DD3">
        <w:rPr>
          <w:rFonts w:cs="Times New Roman"/>
          <w:sz w:val="20"/>
          <w:szCs w:val="20"/>
        </w:rPr>
        <w:t xml:space="preserve"> industrial competitiveness. </w:t>
      </w:r>
      <w:r w:rsidR="00746738" w:rsidRPr="00CB3DD3">
        <w:rPr>
          <w:rFonts w:cs="Times New Roman"/>
          <w:sz w:val="20"/>
          <w:szCs w:val="20"/>
        </w:rPr>
        <w:t>The EU will ensure continued regulatory predictability to incentivize investments in the production of the necessary feedstocks to scale-up such innovative fuels on the European market in the next decade.</w:t>
      </w:r>
    </w:p>
  </w:footnote>
  <w:footnote w:id="14">
    <w:p w14:paraId="50D597BA" w14:textId="78CA15BF" w:rsidR="00C07C6E" w:rsidRPr="00CB3DD3" w:rsidRDefault="0072234F">
      <w:pPr>
        <w:pStyle w:val="FootnoteText"/>
        <w:rPr>
          <w:lang w:val="en-IE"/>
        </w:rPr>
      </w:pPr>
      <w:r w:rsidRPr="00CB3DD3">
        <w:rPr>
          <w:rStyle w:val="FootnoteReference"/>
          <w:sz w:val="20"/>
          <w:szCs w:val="20"/>
          <w:lang w:val="en-IE"/>
        </w:rPr>
        <w:footnoteRef/>
      </w:r>
      <w:r w:rsidRPr="00CB3DD3">
        <w:rPr>
          <w:lang w:val="en-IE"/>
        </w:rPr>
        <w:t xml:space="preserve"> </w:t>
      </w:r>
      <w:r w:rsidR="00F772C3" w:rsidRPr="00CB3DD3">
        <w:rPr>
          <w:lang w:val="en-IE"/>
        </w:rPr>
        <w:t xml:space="preserve">Such as hydrogen valleys and </w:t>
      </w:r>
      <w:r w:rsidR="005C687C" w:rsidRPr="00CB3DD3">
        <w:rPr>
          <w:lang w:val="en-IE"/>
        </w:rPr>
        <w:t>net-zero acceleration valleys.</w:t>
      </w:r>
    </w:p>
  </w:footnote>
  <w:footnote w:id="15">
    <w:p w14:paraId="2D2A97C8" w14:textId="77777777" w:rsidR="00C07C6E" w:rsidRPr="00CB3DD3" w:rsidRDefault="0072234F">
      <w:pPr>
        <w:pStyle w:val="FootnoteText"/>
        <w:jc w:val="left"/>
        <w:rPr>
          <w:lang w:val="en-IE"/>
        </w:rPr>
      </w:pPr>
      <w:r w:rsidRPr="00CB3DD3">
        <w:rPr>
          <w:rStyle w:val="FootnoteReference"/>
          <w:sz w:val="20"/>
          <w:lang w:val="en-IE"/>
        </w:rPr>
        <w:footnoteRef/>
      </w:r>
      <w:r w:rsidRPr="00CB3DD3">
        <w:rPr>
          <w:lang w:val="en-IE"/>
        </w:rPr>
        <w:t xml:space="preserve"> https://www.eea.europa.eu/en/analysis/indicators/fossil-fuel-subsidies#:~:text=Fossil%20fuel%20subsidies%20remained%20relatively,and%20Russia's%20invasion%20of%20Ukraine.</w:t>
      </w:r>
    </w:p>
  </w:footnote>
  <w:footnote w:id="16">
    <w:p w14:paraId="560DABFF" w14:textId="77777777"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Austria, Belgium, Bulgaria, Cyprus, Czechia, Denmark, Estonia, Finland, Greece, Hungary, Ireland, Lithuania, Luxembourg, Malta, the Netherlands, Poland, Portugal, Slovakia, Sweden. </w:t>
      </w:r>
    </w:p>
  </w:footnote>
  <w:footnote w:id="17">
    <w:p w14:paraId="7B3F65ED" w14:textId="0C3A6526" w:rsidR="00E9193E" w:rsidRPr="00CB3DD3" w:rsidRDefault="00E9193E">
      <w:pPr>
        <w:pStyle w:val="FootnoteText"/>
        <w:rPr>
          <w:lang w:val="en-IE"/>
        </w:rPr>
      </w:pPr>
      <w:r w:rsidRPr="00CB3DD3">
        <w:rPr>
          <w:rStyle w:val="FootnoteReference"/>
          <w:sz w:val="20"/>
          <w:lang w:val="en-IE"/>
        </w:rPr>
        <w:footnoteRef/>
      </w:r>
      <w:r w:rsidRPr="00CB3DD3">
        <w:rPr>
          <w:lang w:val="en-IE"/>
        </w:rPr>
        <w:t xml:space="preserve"> Negative values indicate that the electricity price after taxes</w:t>
      </w:r>
      <w:r w:rsidR="00614A8A" w:rsidRPr="00CB3DD3">
        <w:rPr>
          <w:lang w:val="en-IE"/>
        </w:rPr>
        <w:t xml:space="preserve"> and</w:t>
      </w:r>
      <w:r w:rsidRPr="00CB3DD3">
        <w:rPr>
          <w:lang w:val="en-IE"/>
        </w:rPr>
        <w:t xml:space="preserve"> levies is lower than before</w:t>
      </w:r>
      <w:r w:rsidR="00614A8A" w:rsidRPr="00CB3DD3">
        <w:rPr>
          <w:lang w:val="en-IE"/>
        </w:rPr>
        <w:t xml:space="preserve"> as a result of Member States’ subsidies via tax alleviation and/or the </w:t>
      </w:r>
      <w:r w:rsidR="00704F1C" w:rsidRPr="00CB3DD3">
        <w:rPr>
          <w:lang w:val="en-IE"/>
        </w:rPr>
        <w:t xml:space="preserve">tax </w:t>
      </w:r>
      <w:r w:rsidR="00614A8A" w:rsidRPr="00CB3DD3">
        <w:rPr>
          <w:lang w:val="en-IE"/>
        </w:rPr>
        <w:t xml:space="preserve">accounting </w:t>
      </w:r>
      <w:r w:rsidR="00704F1C" w:rsidRPr="00CB3DD3">
        <w:rPr>
          <w:lang w:val="en-IE"/>
        </w:rPr>
        <w:t>methodologies in</w:t>
      </w:r>
      <w:r w:rsidR="00614A8A" w:rsidRPr="00CB3DD3">
        <w:rPr>
          <w:lang w:val="en-IE"/>
        </w:rPr>
        <w:t xml:space="preserve"> Member States.</w:t>
      </w:r>
      <w:r w:rsidRPr="00CB3DD3">
        <w:rPr>
          <w:lang w:val="en-IE"/>
        </w:rPr>
        <w:t xml:space="preserve"> </w:t>
      </w:r>
    </w:p>
  </w:footnote>
  <w:footnote w:id="18">
    <w:p w14:paraId="658C3565" w14:textId="77777777" w:rsidR="00C07C6E" w:rsidRPr="00CB3DD3" w:rsidRDefault="0072234F">
      <w:pPr>
        <w:pStyle w:val="FootnoteText"/>
        <w:jc w:val="left"/>
        <w:rPr>
          <w:lang w:val="en-IE"/>
        </w:rPr>
      </w:pPr>
      <w:r w:rsidRPr="00CB3DD3">
        <w:rPr>
          <w:rStyle w:val="FootnoteReference"/>
          <w:sz w:val="20"/>
          <w:lang w:val="en-IE"/>
        </w:rPr>
        <w:footnoteRef/>
      </w:r>
      <w:r w:rsidRPr="00CB3DD3">
        <w:rPr>
          <w:lang w:val="en-IE"/>
        </w:rPr>
        <w:t xml:space="preserve"> Commission Communication: A strategic rollout plan to outline a set of supplementary actions to support the rapid deployment of alternative fuels infrastructure, https://eur-lex.europa.eu/legal-content/en/TXT/?uri=CELEX%3A52021DC0560</w:t>
      </w:r>
    </w:p>
  </w:footnote>
  <w:footnote w:id="19">
    <w:p w14:paraId="4EE942C6" w14:textId="77777777"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Commission Communication: Grids, the missing link – An EU Action Plan for Grids, https://eur-lex.europa.eu/legal-content/EN/TXT/?uri=CELEX:52023DC0757</w:t>
      </w:r>
    </w:p>
  </w:footnote>
  <w:footnote w:id="20">
    <w:p w14:paraId="351C3901" w14:textId="77777777"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COM(2024) 63 final</w:t>
      </w:r>
    </w:p>
  </w:footnote>
  <w:footnote w:id="21">
    <w:p w14:paraId="5CFAA4AF" w14:textId="0851248A" w:rsidR="00B31E47" w:rsidRPr="00CB3DD3" w:rsidRDefault="00B31E47" w:rsidP="00B31E47">
      <w:pPr>
        <w:spacing w:after="0"/>
        <w:rPr>
          <w:sz w:val="20"/>
          <w:szCs w:val="20"/>
        </w:rPr>
      </w:pPr>
      <w:r w:rsidRPr="00CB3DD3">
        <w:rPr>
          <w:rStyle w:val="FootnoteReference"/>
          <w:sz w:val="20"/>
          <w:szCs w:val="20"/>
        </w:rPr>
        <w:footnoteRef/>
      </w:r>
      <w:r w:rsidRPr="00CB3DD3">
        <w:rPr>
          <w:sz w:val="20"/>
          <w:szCs w:val="20"/>
        </w:rPr>
        <w:t xml:space="preserve"> Indeed, an important share of these costs would have to be born even without the clean transition</w:t>
      </w:r>
      <w:r w:rsidR="006563BF" w:rsidRPr="00CB3DD3">
        <w:rPr>
          <w:sz w:val="20"/>
          <w:szCs w:val="20"/>
        </w:rPr>
        <w:t>,</w:t>
      </w:r>
      <w:r w:rsidRPr="00CB3DD3">
        <w:rPr>
          <w:sz w:val="20"/>
          <w:szCs w:val="20"/>
        </w:rPr>
        <w:t xml:space="preserve"> but the structure of the expenses would be different. For example, investments in the energy system will be aimed at scaling up decentralised domestic renewable energy production instead of paying a bill for imported fossil fuels.</w:t>
      </w:r>
    </w:p>
  </w:footnote>
  <w:footnote w:id="22">
    <w:p w14:paraId="76CC0B4D" w14:textId="0C90D67E" w:rsidR="000C2BDE" w:rsidRPr="00CB3DD3" w:rsidRDefault="000C2BDE" w:rsidP="000C2BDE">
      <w:pPr>
        <w:pStyle w:val="FootnoteText"/>
        <w:rPr>
          <w:lang w:val="en-IE"/>
        </w:rPr>
      </w:pPr>
      <w:r w:rsidRPr="00CB3DD3">
        <w:rPr>
          <w:rStyle w:val="FootnoteReference"/>
          <w:lang w:val="en-IE"/>
        </w:rPr>
        <w:footnoteRef/>
      </w:r>
      <w:r w:rsidRPr="00CB3DD3">
        <w:rPr>
          <w:lang w:val="en-IE"/>
        </w:rPr>
        <w:t xml:space="preserve"> The Impact Assessment accompanying the 2040 Climate Target Communication, combining the additional investments into the energy system (production and users of energy) and additional investments into transport.</w:t>
      </w:r>
    </w:p>
  </w:footnote>
  <w:footnote w:id="23">
    <w:p w14:paraId="697C268E" w14:textId="77777777"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Haver Analytics and IMF staff calculations. https://www.imf.org/-/media/Files/News/Speech/2023/imf-background-note-on-cmu-for-eurogroup.ashx</w:t>
      </w:r>
    </w:p>
  </w:footnote>
  <w:footnote w:id="24">
    <w:p w14:paraId="6C91307F" w14:textId="73DBCFE3" w:rsidR="00DD40C7" w:rsidRPr="00DD40C7" w:rsidRDefault="00DD40C7">
      <w:pPr>
        <w:pStyle w:val="FootnoteText"/>
      </w:pPr>
      <w:r>
        <w:rPr>
          <w:rStyle w:val="FootnoteReference"/>
        </w:rPr>
        <w:footnoteRef/>
      </w:r>
      <w:r>
        <w:t xml:space="preserve"> New Financial: Driving growth: how EU capital markets can support a post-Covid recovery, https://newfinancial.org/report-eu-capital-markets-a-post-covid-recovery/</w:t>
      </w:r>
    </w:p>
  </w:footnote>
  <w:footnote w:id="25">
    <w:p w14:paraId="61ED1556" w14:textId="77777777" w:rsidR="00C07C6E" w:rsidRPr="00CB3DD3" w:rsidRDefault="0072234F">
      <w:pPr>
        <w:pStyle w:val="FootnoteText"/>
        <w:rPr>
          <w:lang w:val="en-IE"/>
        </w:rPr>
      </w:pPr>
      <w:r w:rsidRPr="00CB3DD3">
        <w:rPr>
          <w:rStyle w:val="FootnoteReference"/>
          <w:sz w:val="20"/>
          <w:szCs w:val="20"/>
          <w:lang w:val="en-IE"/>
        </w:rPr>
        <w:footnoteRef/>
      </w:r>
      <w:r w:rsidRPr="00CB3DD3">
        <w:rPr>
          <w:lang w:val="en-IE"/>
        </w:rPr>
        <w:t xml:space="preserve"> ‘Net Zero Roadmap; a global pathway to keep the 1.5°C goal in reach’, IEA, 2023 update.</w:t>
      </w:r>
    </w:p>
  </w:footnote>
  <w:footnote w:id="26">
    <w:p w14:paraId="5F587A2D" w14:textId="77777777"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COM/2020/21 final</w:t>
      </w:r>
    </w:p>
  </w:footnote>
  <w:footnote w:id="27">
    <w:p w14:paraId="137C095D" w14:textId="7BB14B4D" w:rsidR="00C07C6E" w:rsidRPr="00CB3DD3" w:rsidRDefault="0072234F" w:rsidP="00FA377F">
      <w:pPr>
        <w:spacing w:after="0"/>
        <w:rPr>
          <w:sz w:val="20"/>
        </w:rPr>
      </w:pPr>
      <w:r w:rsidRPr="00CB3DD3">
        <w:rPr>
          <w:rStyle w:val="FootnoteReference"/>
          <w:sz w:val="20"/>
        </w:rPr>
        <w:footnoteRef/>
      </w:r>
      <w:r w:rsidRPr="00CB3DD3">
        <w:rPr>
          <w:sz w:val="20"/>
        </w:rPr>
        <w:t xml:space="preserve"> This excludes the revenues for the innovation fund and revenues related to the initial endowment for the Modernisation Fund and the allowances used for </w:t>
      </w:r>
      <w:r w:rsidRPr="00CB3DD3">
        <w:rPr>
          <w:rFonts w:eastAsia="Times New Roman" w:cs="Times New Roman"/>
          <w:sz w:val="20"/>
          <w:szCs w:val="20"/>
        </w:rPr>
        <w:t>REP</w:t>
      </w:r>
      <w:r w:rsidR="001271E6" w:rsidRPr="00CB3DD3">
        <w:rPr>
          <w:rFonts w:eastAsia="Times New Roman" w:cs="Times New Roman"/>
          <w:sz w:val="20"/>
          <w:szCs w:val="20"/>
        </w:rPr>
        <w:t>owerEU</w:t>
      </w:r>
      <w:r w:rsidRPr="00CB3DD3">
        <w:rPr>
          <w:sz w:val="20"/>
        </w:rPr>
        <w:t>.</w:t>
      </w:r>
    </w:p>
  </w:footnote>
  <w:footnote w:id="28">
    <w:p w14:paraId="7BA90683" w14:textId="321284CD" w:rsidR="00066C6B" w:rsidRPr="00066C6B" w:rsidRDefault="00066C6B">
      <w:pPr>
        <w:pStyle w:val="FootnoteText"/>
      </w:pPr>
      <w:r>
        <w:rPr>
          <w:rStyle w:val="FootnoteReference"/>
        </w:rPr>
        <w:footnoteRef/>
      </w:r>
      <w:r>
        <w:t xml:space="preserve"> </w:t>
      </w:r>
      <w:r>
        <w:rPr>
          <w:lang w:val="en-IE"/>
        </w:rPr>
        <w:t>https://ec.europa.eu/info/funding-tenders/opportunities/portal/screen/home</w:t>
      </w:r>
    </w:p>
  </w:footnote>
  <w:footnote w:id="29">
    <w:p w14:paraId="08BC5372" w14:textId="3612805B" w:rsidR="000F3F42" w:rsidRPr="00CB3DD3" w:rsidRDefault="000F3F42" w:rsidP="00B834C1">
      <w:pPr>
        <w:pStyle w:val="FootnoteText"/>
        <w:rPr>
          <w:lang w:val="en-IE"/>
        </w:rPr>
      </w:pPr>
      <w:r w:rsidRPr="00CB3DD3">
        <w:rPr>
          <w:rStyle w:val="FootnoteReference"/>
          <w:sz w:val="20"/>
          <w:szCs w:val="20"/>
          <w:lang w:val="en-IE"/>
        </w:rPr>
        <w:footnoteRef/>
      </w:r>
      <w:r w:rsidRPr="00CB3DD3">
        <w:rPr>
          <w:lang w:val="en-IE"/>
        </w:rPr>
        <w:t xml:space="preserve"> </w:t>
      </w:r>
      <w:hyperlink r:id="rId1" w:anchor=":~:text=The%20global%20market%20for%20key,parts%20of%20this%20new%20market." w:history="1">
        <w:r w:rsidRPr="00CB3DD3">
          <w:rPr>
            <w:rStyle w:val="Hyperlink"/>
            <w:lang w:val="en-IE"/>
          </w:rPr>
          <w:t>https://eur-lex.europa.eu/legal-content/EN/TXT/HTML/?uri=CELEX:52023PC0161</w:t>
        </w:r>
      </w:hyperlink>
    </w:p>
  </w:footnote>
  <w:footnote w:id="30">
    <w:p w14:paraId="341F788F" w14:textId="78166E1D" w:rsidR="47405606" w:rsidRPr="00CB3DD3" w:rsidRDefault="47405606" w:rsidP="00B834C1">
      <w:pPr>
        <w:pStyle w:val="FootnoteText"/>
        <w:rPr>
          <w:lang w:val="en-IE"/>
        </w:rPr>
      </w:pPr>
      <w:r w:rsidRPr="00CB3DD3">
        <w:rPr>
          <w:rStyle w:val="FootnoteReference"/>
          <w:sz w:val="20"/>
          <w:szCs w:val="20"/>
          <w:lang w:val="en-IE"/>
        </w:rPr>
        <w:footnoteRef/>
      </w:r>
      <w:r w:rsidR="0FDC13E2" w:rsidRPr="00CB3DD3">
        <w:rPr>
          <w:lang w:val="en-IE"/>
        </w:rPr>
        <w:t xml:space="preserve"> For instance, the NZIA, the Ecodesign for Sustainable Products regulation or the Construction Products Regulation</w:t>
      </w:r>
      <w:r w:rsidR="006641E5" w:rsidRPr="00CB3DD3">
        <w:rPr>
          <w:lang w:val="en-IE"/>
        </w:rPr>
        <w:t>.</w:t>
      </w:r>
    </w:p>
  </w:footnote>
  <w:footnote w:id="31">
    <w:p w14:paraId="187FF60D" w14:textId="77777777" w:rsidR="00C07C6E" w:rsidRPr="00CB3DD3" w:rsidRDefault="0072234F">
      <w:pPr>
        <w:pStyle w:val="FootnoteText"/>
        <w:rPr>
          <w:lang w:val="en-IE"/>
        </w:rPr>
      </w:pPr>
      <w:r w:rsidRPr="00CB3DD3">
        <w:rPr>
          <w:rStyle w:val="FootnoteReference"/>
          <w:sz w:val="20"/>
          <w:szCs w:val="20"/>
          <w:lang w:val="en-IE"/>
        </w:rPr>
        <w:footnoteRef/>
      </w:r>
      <w:r w:rsidRPr="00CB3DD3">
        <w:rPr>
          <w:lang w:val="en-IE"/>
        </w:rPr>
        <w:t xml:space="preserve"> Materials represent 40–60 percent of the total input costs for EU manufacturing companies</w:t>
      </w:r>
      <w:r w:rsidRPr="00CB3DD3">
        <w:rPr>
          <w:rStyle w:val="FootnoteReference"/>
          <w:sz w:val="20"/>
          <w:szCs w:val="20"/>
          <w:lang w:val="en-IE"/>
        </w:rPr>
        <w:footnoteRef/>
      </w:r>
      <w:r w:rsidRPr="00CB3DD3">
        <w:rPr>
          <w:lang w:val="en-IE"/>
        </w:rPr>
        <w:t xml:space="preserve"> and widespread resource scarcity has led to increased costs for 37% of companies, as well as supply chain disruption for 27%, and slowdowns in production capacity for a quarter of industrial firms surveyed.</w:t>
      </w:r>
    </w:p>
  </w:footnote>
  <w:footnote w:id="32">
    <w:p w14:paraId="5C547C5C" w14:textId="77777777" w:rsidR="00C07C6E" w:rsidRPr="00CB3DD3" w:rsidRDefault="0072234F">
      <w:pPr>
        <w:pStyle w:val="FootnoteText"/>
        <w:rPr>
          <w:lang w:val="en-IE"/>
        </w:rPr>
      </w:pPr>
      <w:r w:rsidRPr="00CB3DD3">
        <w:rPr>
          <w:rStyle w:val="FootnoteReference"/>
          <w:sz w:val="20"/>
          <w:lang w:val="en-IE"/>
        </w:rPr>
        <w:footnoteRef/>
      </w:r>
      <w:r w:rsidRPr="00CB3DD3">
        <w:rPr>
          <w:lang w:val="en-IE"/>
        </w:rPr>
        <w:t xml:space="preserve"> Regulation (EU) 2019/452 establishing a </w:t>
      </w:r>
      <w:hyperlink r:id="rId2" w:history="1">
        <w:r w:rsidRPr="00CB3DD3">
          <w:rPr>
            <w:rStyle w:val="Hyperlink3"/>
            <w:sz w:val="20"/>
            <w:lang w:val="en-IE"/>
          </w:rPr>
          <w:t>framework for the screening of foreign direct investments into the Union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9787C" w14:textId="77777777" w:rsidR="001C4679" w:rsidRPr="001C4679" w:rsidRDefault="001C4679" w:rsidP="001C467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8278" w14:textId="77777777" w:rsidR="001C4679" w:rsidRPr="001C4679" w:rsidRDefault="001C4679" w:rsidP="001C467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F7C5F" w14:textId="77777777" w:rsidR="001C4679" w:rsidRPr="001C4679" w:rsidRDefault="001C4679" w:rsidP="001C467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AF7D5" w14:textId="77777777" w:rsidR="00C07C6E" w:rsidRDefault="00C07C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B94BE" w14:textId="77777777" w:rsidR="00C07C6E" w:rsidRDefault="00C07C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ABD9" w14:textId="77777777" w:rsidR="00C07C6E" w:rsidRDefault="00C07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00000"/>
    <w:multiLevelType w:val="hybridMultilevel"/>
    <w:tmpl w:val="1F0020D3"/>
    <w:lvl w:ilvl="0" w:tplc="4B4AA2CE">
      <w:start w:val="1"/>
      <w:numFmt w:val="bullet"/>
      <w:pStyle w:val="Briefinglist1"/>
      <w:lvlText w:val="·"/>
      <w:lvlJc w:val="left"/>
      <w:pPr>
        <w:tabs>
          <w:tab w:val="left" w:pos="284"/>
        </w:tabs>
        <w:ind w:left="284" w:hanging="284"/>
      </w:pPr>
      <w:rPr>
        <w:rFonts w:ascii="Symbol" w:hAnsi="Symbol" w:hint="default"/>
        <w:b w:val="0"/>
        <w:i w:val="0"/>
        <w:color w:val="auto"/>
        <w:shd w:val="clear" w:color="auto" w:fill="auto"/>
      </w:rPr>
    </w:lvl>
    <w:lvl w:ilvl="1" w:tplc="29F4C10E">
      <w:start w:val="1"/>
      <w:numFmt w:val="bullet"/>
      <w:lvlText w:val="o"/>
      <w:lvlJc w:val="left"/>
      <w:pPr>
        <w:tabs>
          <w:tab w:val="left" w:pos="1440"/>
        </w:tabs>
        <w:ind w:left="1440" w:hanging="360"/>
      </w:pPr>
      <w:rPr>
        <w:rFonts w:ascii="Courier New" w:hAnsi="Courier New" w:cs="Courier New" w:hint="default"/>
        <w:shd w:val="clear" w:color="auto" w:fill="auto"/>
      </w:rPr>
    </w:lvl>
    <w:lvl w:ilvl="2" w:tplc="EFBA5CC8">
      <w:start w:val="1"/>
      <w:numFmt w:val="bullet"/>
      <w:lvlText w:val="§"/>
      <w:lvlJc w:val="left"/>
      <w:pPr>
        <w:tabs>
          <w:tab w:val="left" w:pos="2160"/>
        </w:tabs>
        <w:ind w:left="2160" w:hanging="360"/>
      </w:pPr>
      <w:rPr>
        <w:rFonts w:ascii="Wingdings" w:hAnsi="Wingdings" w:hint="default"/>
        <w:shd w:val="clear" w:color="auto" w:fill="auto"/>
      </w:rPr>
    </w:lvl>
    <w:lvl w:ilvl="3" w:tplc="E1285DFA">
      <w:start w:val="1"/>
      <w:numFmt w:val="bullet"/>
      <w:lvlText w:val="·"/>
      <w:lvlJc w:val="left"/>
      <w:pPr>
        <w:tabs>
          <w:tab w:val="left" w:pos="2880"/>
        </w:tabs>
        <w:ind w:left="2880" w:hanging="360"/>
      </w:pPr>
      <w:rPr>
        <w:rFonts w:ascii="Symbol" w:hAnsi="Symbol" w:hint="default"/>
        <w:shd w:val="clear" w:color="auto" w:fill="auto"/>
      </w:rPr>
    </w:lvl>
    <w:lvl w:ilvl="4" w:tplc="D46A6A12">
      <w:start w:val="1"/>
      <w:numFmt w:val="bullet"/>
      <w:lvlText w:val="o"/>
      <w:lvlJc w:val="left"/>
      <w:pPr>
        <w:tabs>
          <w:tab w:val="left" w:pos="3600"/>
        </w:tabs>
        <w:ind w:left="3600" w:hanging="360"/>
      </w:pPr>
      <w:rPr>
        <w:rFonts w:ascii="Courier New" w:hAnsi="Courier New" w:cs="Courier New" w:hint="default"/>
        <w:shd w:val="clear" w:color="auto" w:fill="auto"/>
      </w:rPr>
    </w:lvl>
    <w:lvl w:ilvl="5" w:tplc="8DB251E6">
      <w:start w:val="1"/>
      <w:numFmt w:val="bullet"/>
      <w:lvlText w:val="§"/>
      <w:lvlJc w:val="left"/>
      <w:pPr>
        <w:tabs>
          <w:tab w:val="left" w:pos="4320"/>
        </w:tabs>
        <w:ind w:left="4320" w:hanging="360"/>
      </w:pPr>
      <w:rPr>
        <w:rFonts w:ascii="Wingdings" w:hAnsi="Wingdings" w:hint="default"/>
        <w:shd w:val="clear" w:color="auto" w:fill="auto"/>
      </w:rPr>
    </w:lvl>
    <w:lvl w:ilvl="6" w:tplc="6F5A5EDC">
      <w:start w:val="1"/>
      <w:numFmt w:val="bullet"/>
      <w:lvlText w:val="·"/>
      <w:lvlJc w:val="left"/>
      <w:pPr>
        <w:tabs>
          <w:tab w:val="left" w:pos="5040"/>
        </w:tabs>
        <w:ind w:left="5040" w:hanging="360"/>
      </w:pPr>
      <w:rPr>
        <w:rFonts w:ascii="Symbol" w:hAnsi="Symbol" w:hint="default"/>
        <w:shd w:val="clear" w:color="auto" w:fill="auto"/>
      </w:rPr>
    </w:lvl>
    <w:lvl w:ilvl="7" w:tplc="A7F4BEB2">
      <w:start w:val="1"/>
      <w:numFmt w:val="bullet"/>
      <w:lvlText w:val="o"/>
      <w:lvlJc w:val="left"/>
      <w:pPr>
        <w:tabs>
          <w:tab w:val="left" w:pos="5760"/>
        </w:tabs>
        <w:ind w:left="5760" w:hanging="360"/>
      </w:pPr>
      <w:rPr>
        <w:rFonts w:ascii="Courier New" w:hAnsi="Courier New" w:cs="Courier New" w:hint="default"/>
        <w:shd w:val="clear" w:color="auto" w:fill="auto"/>
      </w:rPr>
    </w:lvl>
    <w:lvl w:ilvl="8" w:tplc="49BC2122">
      <w:start w:val="1"/>
      <w:numFmt w:val="bullet"/>
      <w:lvlText w:val="§"/>
      <w:lvlJc w:val="left"/>
      <w:pPr>
        <w:tabs>
          <w:tab w:val="left" w:pos="6480"/>
        </w:tabs>
        <w:ind w:left="6480" w:hanging="360"/>
      </w:pPr>
      <w:rPr>
        <w:rFonts w:ascii="Wingdings" w:hAnsi="Wingdings" w:hint="default"/>
        <w:shd w:val="clear" w:color="auto" w:fill="auto"/>
      </w:rPr>
    </w:lvl>
  </w:abstractNum>
  <w:abstractNum w:abstractNumId="1" w15:restartNumberingAfterBreak="0">
    <w:nsid w:val="2F000001"/>
    <w:multiLevelType w:val="hybridMultilevel"/>
    <w:tmpl w:val="276B1D78"/>
    <w:lvl w:ilvl="0" w:tplc="DC52B3C0">
      <w:start w:val="1"/>
      <w:numFmt w:val="bullet"/>
      <w:lvlText w:val="Ø"/>
      <w:lvlJc w:val="left"/>
      <w:pPr>
        <w:ind w:left="360" w:hanging="360"/>
      </w:pPr>
      <w:rPr>
        <w:rFonts w:ascii="Wingdings" w:hAnsi="Wingdings" w:hint="default"/>
        <w:shd w:val="clear" w:color="auto" w:fill="auto"/>
      </w:rPr>
    </w:lvl>
    <w:lvl w:ilvl="1" w:tplc="448C22B8">
      <w:start w:val="1"/>
      <w:numFmt w:val="bullet"/>
      <w:lvlText w:val="o"/>
      <w:lvlJc w:val="left"/>
      <w:pPr>
        <w:ind w:left="1080" w:hanging="360"/>
      </w:pPr>
      <w:rPr>
        <w:rFonts w:ascii="Courier New" w:hAnsi="Courier New" w:cs="Courier New" w:hint="default"/>
        <w:shd w:val="clear" w:color="auto" w:fill="auto"/>
      </w:rPr>
    </w:lvl>
    <w:lvl w:ilvl="2" w:tplc="62889658">
      <w:start w:val="1"/>
      <w:numFmt w:val="bullet"/>
      <w:lvlText w:val="§"/>
      <w:lvlJc w:val="left"/>
      <w:pPr>
        <w:ind w:left="1800" w:hanging="360"/>
      </w:pPr>
      <w:rPr>
        <w:rFonts w:ascii="Wingdings" w:hAnsi="Wingdings" w:hint="default"/>
        <w:shd w:val="clear" w:color="auto" w:fill="auto"/>
      </w:rPr>
    </w:lvl>
    <w:lvl w:ilvl="3" w:tplc="1B32C2A4">
      <w:start w:val="1"/>
      <w:numFmt w:val="bullet"/>
      <w:lvlText w:val="·"/>
      <w:lvlJc w:val="left"/>
      <w:pPr>
        <w:ind w:left="2520" w:hanging="360"/>
      </w:pPr>
      <w:rPr>
        <w:rFonts w:ascii="Symbol" w:hAnsi="Symbol" w:hint="default"/>
        <w:shd w:val="clear" w:color="auto" w:fill="auto"/>
      </w:rPr>
    </w:lvl>
    <w:lvl w:ilvl="4" w:tplc="BBAC4C98">
      <w:start w:val="1"/>
      <w:numFmt w:val="bullet"/>
      <w:lvlText w:val="o"/>
      <w:lvlJc w:val="left"/>
      <w:pPr>
        <w:ind w:left="3240" w:hanging="360"/>
      </w:pPr>
      <w:rPr>
        <w:rFonts w:ascii="Courier New" w:hAnsi="Courier New" w:cs="Courier New" w:hint="default"/>
        <w:shd w:val="clear" w:color="auto" w:fill="auto"/>
      </w:rPr>
    </w:lvl>
    <w:lvl w:ilvl="5" w:tplc="C8C49C2C">
      <w:start w:val="1"/>
      <w:numFmt w:val="bullet"/>
      <w:lvlText w:val="§"/>
      <w:lvlJc w:val="left"/>
      <w:pPr>
        <w:ind w:left="3960" w:hanging="360"/>
      </w:pPr>
      <w:rPr>
        <w:rFonts w:ascii="Wingdings" w:hAnsi="Wingdings" w:hint="default"/>
        <w:shd w:val="clear" w:color="auto" w:fill="auto"/>
      </w:rPr>
    </w:lvl>
    <w:lvl w:ilvl="6" w:tplc="C7800E5C">
      <w:start w:val="1"/>
      <w:numFmt w:val="bullet"/>
      <w:lvlText w:val="·"/>
      <w:lvlJc w:val="left"/>
      <w:pPr>
        <w:ind w:left="4680" w:hanging="360"/>
      </w:pPr>
      <w:rPr>
        <w:rFonts w:ascii="Symbol" w:hAnsi="Symbol" w:hint="default"/>
        <w:shd w:val="clear" w:color="auto" w:fill="auto"/>
      </w:rPr>
    </w:lvl>
    <w:lvl w:ilvl="7" w:tplc="563EDFF8">
      <w:start w:val="1"/>
      <w:numFmt w:val="bullet"/>
      <w:lvlText w:val="o"/>
      <w:lvlJc w:val="left"/>
      <w:pPr>
        <w:ind w:left="5400" w:hanging="360"/>
      </w:pPr>
      <w:rPr>
        <w:rFonts w:ascii="Courier New" w:hAnsi="Courier New" w:cs="Courier New" w:hint="default"/>
        <w:shd w:val="clear" w:color="auto" w:fill="auto"/>
      </w:rPr>
    </w:lvl>
    <w:lvl w:ilvl="8" w:tplc="E6F28C6C">
      <w:start w:val="1"/>
      <w:numFmt w:val="bullet"/>
      <w:lvlText w:val="§"/>
      <w:lvlJc w:val="left"/>
      <w:pPr>
        <w:ind w:left="6120" w:hanging="360"/>
      </w:pPr>
      <w:rPr>
        <w:rFonts w:ascii="Wingdings" w:hAnsi="Wingdings" w:hint="default"/>
        <w:shd w:val="clear" w:color="auto" w:fill="auto"/>
      </w:rPr>
    </w:lvl>
  </w:abstractNum>
  <w:abstractNum w:abstractNumId="2" w15:restartNumberingAfterBreak="0">
    <w:nsid w:val="2F000002"/>
    <w:multiLevelType w:val="hybridMultilevel"/>
    <w:tmpl w:val="4F5BD66C"/>
    <w:lvl w:ilvl="0" w:tplc="2BBAF94E">
      <w:start w:val="3"/>
      <w:numFmt w:val="decimal"/>
      <w:lvlText w:val="%1."/>
      <w:lvlJc w:val="left"/>
      <w:pPr>
        <w:ind w:left="720" w:hanging="360"/>
      </w:pPr>
      <w:rPr>
        <w:rFonts w:hint="default"/>
        <w:shd w:val="clear" w:color="auto" w:fill="auto"/>
      </w:rPr>
    </w:lvl>
    <w:lvl w:ilvl="1" w:tplc="EB3CE9E6">
      <w:start w:val="1"/>
      <w:numFmt w:val="lowerLetter"/>
      <w:lvlText w:val="%2."/>
      <w:lvlJc w:val="left"/>
      <w:pPr>
        <w:ind w:left="1440" w:hanging="360"/>
      </w:pPr>
      <w:rPr>
        <w:shd w:val="clear" w:color="auto" w:fill="auto"/>
      </w:rPr>
    </w:lvl>
    <w:lvl w:ilvl="2" w:tplc="D7D80A56">
      <w:start w:val="1"/>
      <w:numFmt w:val="lowerRoman"/>
      <w:lvlText w:val="%3."/>
      <w:lvlJc w:val="right"/>
      <w:pPr>
        <w:ind w:left="2160" w:hanging="180"/>
      </w:pPr>
      <w:rPr>
        <w:shd w:val="clear" w:color="auto" w:fill="auto"/>
      </w:rPr>
    </w:lvl>
    <w:lvl w:ilvl="3" w:tplc="E5C67660">
      <w:start w:val="1"/>
      <w:numFmt w:val="decimal"/>
      <w:lvlText w:val="%4."/>
      <w:lvlJc w:val="left"/>
      <w:pPr>
        <w:ind w:left="2880" w:hanging="360"/>
      </w:pPr>
      <w:rPr>
        <w:shd w:val="clear" w:color="auto" w:fill="auto"/>
      </w:rPr>
    </w:lvl>
    <w:lvl w:ilvl="4" w:tplc="D6AC0D56">
      <w:start w:val="1"/>
      <w:numFmt w:val="lowerLetter"/>
      <w:lvlText w:val="%5."/>
      <w:lvlJc w:val="left"/>
      <w:pPr>
        <w:ind w:left="3600" w:hanging="360"/>
      </w:pPr>
      <w:rPr>
        <w:shd w:val="clear" w:color="auto" w:fill="auto"/>
      </w:rPr>
    </w:lvl>
    <w:lvl w:ilvl="5" w:tplc="FB5C80DC">
      <w:start w:val="1"/>
      <w:numFmt w:val="lowerRoman"/>
      <w:lvlText w:val="%6."/>
      <w:lvlJc w:val="right"/>
      <w:pPr>
        <w:ind w:left="4320" w:hanging="180"/>
      </w:pPr>
      <w:rPr>
        <w:shd w:val="clear" w:color="auto" w:fill="auto"/>
      </w:rPr>
    </w:lvl>
    <w:lvl w:ilvl="6" w:tplc="109EED7A">
      <w:start w:val="1"/>
      <w:numFmt w:val="decimal"/>
      <w:lvlText w:val="%7."/>
      <w:lvlJc w:val="left"/>
      <w:pPr>
        <w:ind w:left="5040" w:hanging="360"/>
      </w:pPr>
      <w:rPr>
        <w:shd w:val="clear" w:color="auto" w:fill="auto"/>
      </w:rPr>
    </w:lvl>
    <w:lvl w:ilvl="7" w:tplc="1D7EF612">
      <w:start w:val="1"/>
      <w:numFmt w:val="lowerLetter"/>
      <w:lvlText w:val="%8."/>
      <w:lvlJc w:val="left"/>
      <w:pPr>
        <w:ind w:left="5760" w:hanging="360"/>
      </w:pPr>
      <w:rPr>
        <w:shd w:val="clear" w:color="auto" w:fill="auto"/>
      </w:rPr>
    </w:lvl>
    <w:lvl w:ilvl="8" w:tplc="9E2A53E8">
      <w:start w:val="1"/>
      <w:numFmt w:val="lowerRoman"/>
      <w:lvlText w:val="%9."/>
      <w:lvlJc w:val="right"/>
      <w:pPr>
        <w:ind w:left="6480" w:hanging="180"/>
      </w:pPr>
      <w:rPr>
        <w:shd w:val="clear" w:color="auto" w:fill="auto"/>
      </w:rPr>
    </w:lvl>
  </w:abstractNum>
  <w:abstractNum w:abstractNumId="3" w15:restartNumberingAfterBreak="0">
    <w:nsid w:val="2F000003"/>
    <w:multiLevelType w:val="hybridMultilevel"/>
    <w:tmpl w:val="3C5A8615"/>
    <w:lvl w:ilvl="0" w:tplc="94421D06">
      <w:start w:val="1"/>
      <w:numFmt w:val="bullet"/>
      <w:lvlText w:val="Ø"/>
      <w:lvlJc w:val="left"/>
      <w:pPr>
        <w:ind w:left="360" w:hanging="360"/>
      </w:pPr>
      <w:rPr>
        <w:rFonts w:ascii="Wingdings" w:hAnsi="Wingdings" w:hint="default"/>
        <w:shd w:val="clear" w:color="auto" w:fill="auto"/>
      </w:rPr>
    </w:lvl>
    <w:lvl w:ilvl="1" w:tplc="E9E47718">
      <w:start w:val="1"/>
      <w:numFmt w:val="bullet"/>
      <w:lvlText w:val="o"/>
      <w:lvlJc w:val="left"/>
      <w:pPr>
        <w:ind w:left="1080" w:hanging="360"/>
      </w:pPr>
      <w:rPr>
        <w:rFonts w:ascii="Courier New" w:hAnsi="Courier New" w:cs="Courier New" w:hint="default"/>
        <w:shd w:val="clear" w:color="auto" w:fill="auto"/>
      </w:rPr>
    </w:lvl>
    <w:lvl w:ilvl="2" w:tplc="43742AA8">
      <w:start w:val="1"/>
      <w:numFmt w:val="bullet"/>
      <w:lvlText w:val="§"/>
      <w:lvlJc w:val="left"/>
      <w:pPr>
        <w:ind w:left="1800" w:hanging="360"/>
      </w:pPr>
      <w:rPr>
        <w:rFonts w:ascii="Wingdings" w:hAnsi="Wingdings" w:hint="default"/>
        <w:shd w:val="clear" w:color="auto" w:fill="auto"/>
      </w:rPr>
    </w:lvl>
    <w:lvl w:ilvl="3" w:tplc="D3D63B02">
      <w:start w:val="1"/>
      <w:numFmt w:val="bullet"/>
      <w:lvlText w:val="·"/>
      <w:lvlJc w:val="left"/>
      <w:pPr>
        <w:ind w:left="2520" w:hanging="360"/>
      </w:pPr>
      <w:rPr>
        <w:rFonts w:ascii="Symbol" w:hAnsi="Symbol" w:hint="default"/>
        <w:shd w:val="clear" w:color="auto" w:fill="auto"/>
      </w:rPr>
    </w:lvl>
    <w:lvl w:ilvl="4" w:tplc="23A624C4">
      <w:start w:val="1"/>
      <w:numFmt w:val="bullet"/>
      <w:lvlText w:val="o"/>
      <w:lvlJc w:val="left"/>
      <w:pPr>
        <w:ind w:left="3240" w:hanging="360"/>
      </w:pPr>
      <w:rPr>
        <w:rFonts w:ascii="Courier New" w:hAnsi="Courier New" w:cs="Courier New" w:hint="default"/>
        <w:shd w:val="clear" w:color="auto" w:fill="auto"/>
      </w:rPr>
    </w:lvl>
    <w:lvl w:ilvl="5" w:tplc="CDC8E802">
      <w:start w:val="1"/>
      <w:numFmt w:val="bullet"/>
      <w:lvlText w:val="§"/>
      <w:lvlJc w:val="left"/>
      <w:pPr>
        <w:ind w:left="3960" w:hanging="360"/>
      </w:pPr>
      <w:rPr>
        <w:rFonts w:ascii="Wingdings" w:hAnsi="Wingdings" w:hint="default"/>
        <w:shd w:val="clear" w:color="auto" w:fill="auto"/>
      </w:rPr>
    </w:lvl>
    <w:lvl w:ilvl="6" w:tplc="50B81D40">
      <w:start w:val="1"/>
      <w:numFmt w:val="bullet"/>
      <w:lvlText w:val="·"/>
      <w:lvlJc w:val="left"/>
      <w:pPr>
        <w:ind w:left="4680" w:hanging="360"/>
      </w:pPr>
      <w:rPr>
        <w:rFonts w:ascii="Symbol" w:hAnsi="Symbol" w:hint="default"/>
        <w:shd w:val="clear" w:color="auto" w:fill="auto"/>
      </w:rPr>
    </w:lvl>
    <w:lvl w:ilvl="7" w:tplc="A0AC6E34">
      <w:start w:val="1"/>
      <w:numFmt w:val="bullet"/>
      <w:lvlText w:val="o"/>
      <w:lvlJc w:val="left"/>
      <w:pPr>
        <w:ind w:left="5400" w:hanging="360"/>
      </w:pPr>
      <w:rPr>
        <w:rFonts w:ascii="Courier New" w:hAnsi="Courier New" w:cs="Courier New" w:hint="default"/>
        <w:shd w:val="clear" w:color="auto" w:fill="auto"/>
      </w:rPr>
    </w:lvl>
    <w:lvl w:ilvl="8" w:tplc="1DFEF6AE">
      <w:start w:val="1"/>
      <w:numFmt w:val="bullet"/>
      <w:lvlText w:val="§"/>
      <w:lvlJc w:val="left"/>
      <w:pPr>
        <w:ind w:left="6120" w:hanging="360"/>
      </w:pPr>
      <w:rPr>
        <w:rFonts w:ascii="Wingdings" w:hAnsi="Wingdings" w:hint="default"/>
        <w:shd w:val="clear" w:color="auto" w:fill="auto"/>
      </w:rPr>
    </w:lvl>
  </w:abstractNum>
  <w:abstractNum w:abstractNumId="4" w15:restartNumberingAfterBreak="0">
    <w:nsid w:val="2F000004"/>
    <w:multiLevelType w:val="hybridMultilevel"/>
    <w:tmpl w:val="4118DBC1"/>
    <w:lvl w:ilvl="0" w:tplc="5F9C78B4">
      <w:start w:val="1"/>
      <w:numFmt w:val="decimal"/>
      <w:lvlText w:val="%1."/>
      <w:lvlJc w:val="left"/>
      <w:pPr>
        <w:ind w:left="720" w:hanging="360"/>
      </w:pPr>
      <w:rPr>
        <w:rFonts w:hint="default"/>
        <w:shd w:val="clear" w:color="auto" w:fill="auto"/>
      </w:rPr>
    </w:lvl>
    <w:lvl w:ilvl="1" w:tplc="07E41994">
      <w:start w:val="1"/>
      <w:numFmt w:val="lowerLetter"/>
      <w:lvlText w:val="%2."/>
      <w:lvlJc w:val="left"/>
      <w:pPr>
        <w:ind w:left="1440" w:hanging="360"/>
      </w:pPr>
      <w:rPr>
        <w:shd w:val="clear" w:color="auto" w:fill="auto"/>
      </w:rPr>
    </w:lvl>
    <w:lvl w:ilvl="2" w:tplc="B8A88308">
      <w:start w:val="1"/>
      <w:numFmt w:val="lowerRoman"/>
      <w:lvlText w:val="%3."/>
      <w:lvlJc w:val="right"/>
      <w:pPr>
        <w:ind w:left="2160" w:hanging="180"/>
      </w:pPr>
      <w:rPr>
        <w:shd w:val="clear" w:color="auto" w:fill="auto"/>
      </w:rPr>
    </w:lvl>
    <w:lvl w:ilvl="3" w:tplc="2F787B2E">
      <w:start w:val="1"/>
      <w:numFmt w:val="decimal"/>
      <w:lvlText w:val="%4."/>
      <w:lvlJc w:val="left"/>
      <w:pPr>
        <w:ind w:left="2880" w:hanging="360"/>
      </w:pPr>
      <w:rPr>
        <w:shd w:val="clear" w:color="auto" w:fill="auto"/>
      </w:rPr>
    </w:lvl>
    <w:lvl w:ilvl="4" w:tplc="1D7A4BA6">
      <w:start w:val="1"/>
      <w:numFmt w:val="lowerLetter"/>
      <w:lvlText w:val="%5."/>
      <w:lvlJc w:val="left"/>
      <w:pPr>
        <w:ind w:left="3600" w:hanging="360"/>
      </w:pPr>
      <w:rPr>
        <w:shd w:val="clear" w:color="auto" w:fill="auto"/>
      </w:rPr>
    </w:lvl>
    <w:lvl w:ilvl="5" w:tplc="B6C41776">
      <w:start w:val="1"/>
      <w:numFmt w:val="lowerRoman"/>
      <w:lvlText w:val="%6."/>
      <w:lvlJc w:val="right"/>
      <w:pPr>
        <w:ind w:left="4320" w:hanging="180"/>
      </w:pPr>
      <w:rPr>
        <w:shd w:val="clear" w:color="auto" w:fill="auto"/>
      </w:rPr>
    </w:lvl>
    <w:lvl w:ilvl="6" w:tplc="7062E378">
      <w:start w:val="1"/>
      <w:numFmt w:val="decimal"/>
      <w:lvlText w:val="%7."/>
      <w:lvlJc w:val="left"/>
      <w:pPr>
        <w:ind w:left="5040" w:hanging="360"/>
      </w:pPr>
      <w:rPr>
        <w:shd w:val="clear" w:color="auto" w:fill="auto"/>
      </w:rPr>
    </w:lvl>
    <w:lvl w:ilvl="7" w:tplc="083E87C6">
      <w:start w:val="1"/>
      <w:numFmt w:val="lowerLetter"/>
      <w:lvlText w:val="%8."/>
      <w:lvlJc w:val="left"/>
      <w:pPr>
        <w:ind w:left="5760" w:hanging="360"/>
      </w:pPr>
      <w:rPr>
        <w:shd w:val="clear" w:color="auto" w:fill="auto"/>
      </w:rPr>
    </w:lvl>
    <w:lvl w:ilvl="8" w:tplc="42901C48">
      <w:start w:val="1"/>
      <w:numFmt w:val="lowerRoman"/>
      <w:lvlText w:val="%9."/>
      <w:lvlJc w:val="right"/>
      <w:pPr>
        <w:ind w:left="6480" w:hanging="180"/>
      </w:pPr>
      <w:rPr>
        <w:shd w:val="clear" w:color="auto" w:fill="auto"/>
      </w:rPr>
    </w:lvl>
  </w:abstractNum>
  <w:abstractNum w:abstractNumId="5" w15:restartNumberingAfterBreak="0">
    <w:nsid w:val="2F000005"/>
    <w:multiLevelType w:val="multilevel"/>
    <w:tmpl w:val="2D036D64"/>
    <w:lvl w:ilvl="0">
      <w:start w:val="1"/>
      <w:numFmt w:val="decimal"/>
      <w:pStyle w:val="Heading1"/>
      <w:lvlText w:val="%1."/>
      <w:lvlJc w:val="left"/>
      <w:pPr>
        <w:tabs>
          <w:tab w:val="left" w:pos="482"/>
        </w:tabs>
        <w:ind w:left="482" w:hanging="482"/>
      </w:pPr>
      <w:rPr>
        <w:shd w:val="clear" w:color="auto" w:fill="auto"/>
      </w:rPr>
    </w:lvl>
    <w:lvl w:ilvl="1">
      <w:start w:val="1"/>
      <w:numFmt w:val="decimal"/>
      <w:pStyle w:val="Heading2"/>
      <w:lvlText w:val="%1.%2."/>
      <w:lvlJc w:val="left"/>
      <w:pPr>
        <w:tabs>
          <w:tab w:val="left" w:pos="720"/>
        </w:tabs>
        <w:ind w:left="720" w:hanging="720"/>
      </w:pPr>
      <w:rPr>
        <w:shd w:val="clear" w:color="auto" w:fill="auto"/>
      </w:rPr>
    </w:lvl>
    <w:lvl w:ilvl="2">
      <w:start w:val="1"/>
      <w:numFmt w:val="decimal"/>
      <w:pStyle w:val="Heading3"/>
      <w:lvlText w:val="%1.%2.%3."/>
      <w:lvlJc w:val="left"/>
      <w:pPr>
        <w:tabs>
          <w:tab w:val="left" w:pos="720"/>
        </w:tabs>
        <w:ind w:left="720" w:hanging="720"/>
      </w:pPr>
      <w:rPr>
        <w:shd w:val="clear" w:color="auto" w:fill="auto"/>
        <w:lang w:val="en-US"/>
      </w:rPr>
    </w:lvl>
    <w:lvl w:ilvl="3">
      <w:start w:val="1"/>
      <w:numFmt w:val="decimal"/>
      <w:pStyle w:val="Heading4"/>
      <w:lvlText w:val="%1.%2.%3.2."/>
      <w:lvlJc w:val="left"/>
      <w:pPr>
        <w:tabs>
          <w:tab w:val="left" w:pos="1922"/>
        </w:tabs>
        <w:ind w:left="1922" w:hanging="720"/>
      </w:pPr>
      <w:rPr>
        <w:shd w:val="clear" w:color="auto" w:fill="auto"/>
      </w:rPr>
    </w:lvl>
    <w:lvl w:ilvl="4">
      <w:start w:val="1"/>
      <w:numFmt w:val="decimal"/>
      <w:pStyle w:val="Heading5"/>
      <w:lvlText w:val="2.%2.%3.1."/>
      <w:lvlJc w:val="left"/>
      <w:pPr>
        <w:tabs>
          <w:tab w:val="left" w:pos="2880"/>
        </w:tabs>
        <w:ind w:left="3838" w:hanging="958"/>
      </w:pPr>
      <w:rPr>
        <w:shd w:val="clear" w:color="auto" w:fill="auto"/>
      </w:rPr>
    </w:lvl>
    <w:lvl w:ilvl="5">
      <w:start w:val="1"/>
      <w:numFmt w:val="decimal"/>
      <w:pStyle w:val="Heading6"/>
      <w:lvlText w:val="%1.%2.%3.%4.%5.%6."/>
      <w:lvlJc w:val="left"/>
      <w:pPr>
        <w:tabs>
          <w:tab w:val="left" w:pos="2880"/>
        </w:tabs>
        <w:ind w:left="3838" w:hanging="958"/>
      </w:pPr>
      <w:rPr>
        <w:shd w:val="clear" w:color="auto" w:fill="auto"/>
      </w:rPr>
    </w:lvl>
    <w:lvl w:ilvl="6">
      <w:start w:val="1"/>
      <w:numFmt w:val="decimal"/>
      <w:pStyle w:val="Heading7"/>
      <w:lvlText w:val="%1.%2.%3.%4.%5.%6.%7."/>
      <w:lvlJc w:val="left"/>
      <w:pPr>
        <w:tabs>
          <w:tab w:val="left" w:pos="2880"/>
        </w:tabs>
        <w:ind w:left="3838" w:hanging="958"/>
      </w:pPr>
      <w:rPr>
        <w:shd w:val="clear" w:color="auto" w:fill="auto"/>
      </w:rPr>
    </w:lvl>
    <w:lvl w:ilvl="7">
      <w:start w:val="1"/>
      <w:numFmt w:val="decimal"/>
      <w:pStyle w:val="Heading8"/>
      <w:lvlText w:val="%1.%2.%3.%4.%5.%6.%7.%8."/>
      <w:lvlJc w:val="left"/>
      <w:pPr>
        <w:tabs>
          <w:tab w:val="left" w:pos="2880"/>
        </w:tabs>
        <w:ind w:left="3838" w:hanging="958"/>
      </w:pPr>
      <w:rPr>
        <w:shd w:val="clear" w:color="auto" w:fill="auto"/>
      </w:rPr>
    </w:lvl>
    <w:lvl w:ilvl="8">
      <w:start w:val="1"/>
      <w:numFmt w:val="decimal"/>
      <w:pStyle w:val="Heading9"/>
      <w:lvlText w:val="%1.%2.%3.%4.%5.%6.%7.%8.%9."/>
      <w:lvlJc w:val="left"/>
      <w:pPr>
        <w:tabs>
          <w:tab w:val="left" w:pos="2880"/>
        </w:tabs>
        <w:ind w:left="3838" w:hanging="958"/>
      </w:pPr>
      <w:rPr>
        <w:shd w:val="clear" w:color="auto" w:fill="auto"/>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Footer/>
  <w:hideSpellingErrors/>
  <w:hideGrammaticalErrors/>
  <w:revisionView w:markup="0"/>
  <w:defaultTabStop w:val="720"/>
  <w:hyphenationZone w:val="425"/>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1DD4C75-62D1-4437-99AC-F6838F2F587F"/>
    <w:docVar w:name="LW_COVERPAGE_TYPE" w:val="1"/>
    <w:docVar w:name="LW_CROSSREFERENCE" w:val="&lt;UNUSED&gt;"/>
    <w:docVar w:name="LW_DocType" w:val="NORMAL"/>
    <w:docVar w:name="LW_EMISSION" w:val="10.4.2024"/>
    <w:docVar w:name="LW_EMISSION_ISODATE" w:val="2024-04-10"/>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1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Clean Transition Dialogues - stocktaking_x000d__x000d__x000d__x000b__x000d__x000d__x000b_A strong European industry for a sustainable Europe"/>
    <w:docVar w:name="LW_TYPE.DOC.CP" w:val="COMMUNICATION FROM THE COMMISSION"/>
    <w:docVar w:name="LW_TYPE.DOC.CP.USERTEXT" w:val="_x000b_TO THE EUROPEAN PARLIAMENT, THE EUROPEAN COUNCIL, THE COUNCIL, THE EUROPEAN ECONOMIC AND SOCIAL COMMITTEE AND THE COMMITTE OF THE REGIONS"/>
    <w:docVar w:name="LwApiVersions" w:val="LW4CoDe 1.24.5.0; LW 9.0, Build 20240221"/>
  </w:docVars>
  <w:rsids>
    <w:rsidRoot w:val="00C07C6E"/>
    <w:rsid w:val="00000553"/>
    <w:rsid w:val="00000829"/>
    <w:rsid w:val="0000096A"/>
    <w:rsid w:val="00001731"/>
    <w:rsid w:val="00001F22"/>
    <w:rsid w:val="00001F87"/>
    <w:rsid w:val="00002943"/>
    <w:rsid w:val="00003183"/>
    <w:rsid w:val="00003218"/>
    <w:rsid w:val="00003A52"/>
    <w:rsid w:val="00004532"/>
    <w:rsid w:val="00004CAB"/>
    <w:rsid w:val="00004F8A"/>
    <w:rsid w:val="00005310"/>
    <w:rsid w:val="000053CC"/>
    <w:rsid w:val="00005550"/>
    <w:rsid w:val="00005D97"/>
    <w:rsid w:val="000065FE"/>
    <w:rsid w:val="00007758"/>
    <w:rsid w:val="00007996"/>
    <w:rsid w:val="00007BE4"/>
    <w:rsid w:val="00007F6A"/>
    <w:rsid w:val="0001235D"/>
    <w:rsid w:val="00012FB6"/>
    <w:rsid w:val="000145EC"/>
    <w:rsid w:val="000148B4"/>
    <w:rsid w:val="000149CB"/>
    <w:rsid w:val="00014E88"/>
    <w:rsid w:val="00015CF8"/>
    <w:rsid w:val="00015D5F"/>
    <w:rsid w:val="00015F23"/>
    <w:rsid w:val="0001636C"/>
    <w:rsid w:val="000164BB"/>
    <w:rsid w:val="00016CE7"/>
    <w:rsid w:val="00017F5A"/>
    <w:rsid w:val="000216B6"/>
    <w:rsid w:val="00022C1E"/>
    <w:rsid w:val="00024305"/>
    <w:rsid w:val="0002430A"/>
    <w:rsid w:val="000243A7"/>
    <w:rsid w:val="0002449D"/>
    <w:rsid w:val="0002492E"/>
    <w:rsid w:val="00025955"/>
    <w:rsid w:val="00026854"/>
    <w:rsid w:val="00026978"/>
    <w:rsid w:val="000269EF"/>
    <w:rsid w:val="00026D62"/>
    <w:rsid w:val="0003093D"/>
    <w:rsid w:val="00031A9D"/>
    <w:rsid w:val="00031E2B"/>
    <w:rsid w:val="000327DE"/>
    <w:rsid w:val="00032848"/>
    <w:rsid w:val="00032FAD"/>
    <w:rsid w:val="00033559"/>
    <w:rsid w:val="00033FED"/>
    <w:rsid w:val="0003719A"/>
    <w:rsid w:val="00037252"/>
    <w:rsid w:val="000375F5"/>
    <w:rsid w:val="00037D03"/>
    <w:rsid w:val="000401C2"/>
    <w:rsid w:val="000402BF"/>
    <w:rsid w:val="000402FC"/>
    <w:rsid w:val="0004033F"/>
    <w:rsid w:val="000408D7"/>
    <w:rsid w:val="00040EFC"/>
    <w:rsid w:val="00041ED7"/>
    <w:rsid w:val="00042708"/>
    <w:rsid w:val="000428A7"/>
    <w:rsid w:val="00042E1D"/>
    <w:rsid w:val="00043D4F"/>
    <w:rsid w:val="0004441A"/>
    <w:rsid w:val="000454C7"/>
    <w:rsid w:val="0004593E"/>
    <w:rsid w:val="000461AB"/>
    <w:rsid w:val="0004724F"/>
    <w:rsid w:val="00047351"/>
    <w:rsid w:val="00050314"/>
    <w:rsid w:val="0005078B"/>
    <w:rsid w:val="00050B5A"/>
    <w:rsid w:val="00050F48"/>
    <w:rsid w:val="00053780"/>
    <w:rsid w:val="00054AE0"/>
    <w:rsid w:val="00054CAA"/>
    <w:rsid w:val="00055ACC"/>
    <w:rsid w:val="00055F2D"/>
    <w:rsid w:val="000563BD"/>
    <w:rsid w:val="000565FE"/>
    <w:rsid w:val="000569E0"/>
    <w:rsid w:val="00060225"/>
    <w:rsid w:val="000607C1"/>
    <w:rsid w:val="00060807"/>
    <w:rsid w:val="000608A7"/>
    <w:rsid w:val="000609E4"/>
    <w:rsid w:val="00060DE4"/>
    <w:rsid w:val="0006136B"/>
    <w:rsid w:val="00061649"/>
    <w:rsid w:val="000617CD"/>
    <w:rsid w:val="00061E5F"/>
    <w:rsid w:val="0006296F"/>
    <w:rsid w:val="00063E47"/>
    <w:rsid w:val="00064372"/>
    <w:rsid w:val="00064FFA"/>
    <w:rsid w:val="00065142"/>
    <w:rsid w:val="00065501"/>
    <w:rsid w:val="00066001"/>
    <w:rsid w:val="00066C6B"/>
    <w:rsid w:val="00066CB2"/>
    <w:rsid w:val="0006782B"/>
    <w:rsid w:val="000712CB"/>
    <w:rsid w:val="00072C91"/>
    <w:rsid w:val="000745E9"/>
    <w:rsid w:val="000745F7"/>
    <w:rsid w:val="000746D9"/>
    <w:rsid w:val="00074B43"/>
    <w:rsid w:val="00075B88"/>
    <w:rsid w:val="00075DF2"/>
    <w:rsid w:val="0007680C"/>
    <w:rsid w:val="00077EAF"/>
    <w:rsid w:val="00080709"/>
    <w:rsid w:val="000807FA"/>
    <w:rsid w:val="0008169D"/>
    <w:rsid w:val="00081D9F"/>
    <w:rsid w:val="00081F03"/>
    <w:rsid w:val="00081FAC"/>
    <w:rsid w:val="000835A7"/>
    <w:rsid w:val="00083A99"/>
    <w:rsid w:val="00085628"/>
    <w:rsid w:val="00085F6E"/>
    <w:rsid w:val="000867A0"/>
    <w:rsid w:val="000867E9"/>
    <w:rsid w:val="00087291"/>
    <w:rsid w:val="00087FC1"/>
    <w:rsid w:val="0009291D"/>
    <w:rsid w:val="00093AFD"/>
    <w:rsid w:val="000947F5"/>
    <w:rsid w:val="0009483E"/>
    <w:rsid w:val="00095296"/>
    <w:rsid w:val="00095956"/>
    <w:rsid w:val="00095B29"/>
    <w:rsid w:val="00096B1B"/>
    <w:rsid w:val="00096BF3"/>
    <w:rsid w:val="00096D60"/>
    <w:rsid w:val="000979C5"/>
    <w:rsid w:val="00097B1B"/>
    <w:rsid w:val="000A1609"/>
    <w:rsid w:val="000A161D"/>
    <w:rsid w:val="000A1A2F"/>
    <w:rsid w:val="000A1CB5"/>
    <w:rsid w:val="000A1F33"/>
    <w:rsid w:val="000A22F2"/>
    <w:rsid w:val="000A27A2"/>
    <w:rsid w:val="000A2866"/>
    <w:rsid w:val="000A3194"/>
    <w:rsid w:val="000A32F2"/>
    <w:rsid w:val="000A348A"/>
    <w:rsid w:val="000A36F5"/>
    <w:rsid w:val="000A43C6"/>
    <w:rsid w:val="000A4695"/>
    <w:rsid w:val="000A4FC0"/>
    <w:rsid w:val="000A6936"/>
    <w:rsid w:val="000B0022"/>
    <w:rsid w:val="000B0A00"/>
    <w:rsid w:val="000B0DE9"/>
    <w:rsid w:val="000B1A97"/>
    <w:rsid w:val="000B1EC0"/>
    <w:rsid w:val="000B1F94"/>
    <w:rsid w:val="000B20C2"/>
    <w:rsid w:val="000B2E54"/>
    <w:rsid w:val="000B3779"/>
    <w:rsid w:val="000B40E9"/>
    <w:rsid w:val="000B5217"/>
    <w:rsid w:val="000B5CD5"/>
    <w:rsid w:val="000B5EF0"/>
    <w:rsid w:val="000B7724"/>
    <w:rsid w:val="000C01F5"/>
    <w:rsid w:val="000C0482"/>
    <w:rsid w:val="000C0819"/>
    <w:rsid w:val="000C12C4"/>
    <w:rsid w:val="000C2BDE"/>
    <w:rsid w:val="000C2F3F"/>
    <w:rsid w:val="000C3296"/>
    <w:rsid w:val="000C3362"/>
    <w:rsid w:val="000C4C0A"/>
    <w:rsid w:val="000C50E7"/>
    <w:rsid w:val="000C53A3"/>
    <w:rsid w:val="000C605F"/>
    <w:rsid w:val="000C60F7"/>
    <w:rsid w:val="000C775A"/>
    <w:rsid w:val="000D00B2"/>
    <w:rsid w:val="000D084F"/>
    <w:rsid w:val="000D12BF"/>
    <w:rsid w:val="000D38B6"/>
    <w:rsid w:val="000D40A9"/>
    <w:rsid w:val="000D44F3"/>
    <w:rsid w:val="000D45F0"/>
    <w:rsid w:val="000D4C36"/>
    <w:rsid w:val="000D60EF"/>
    <w:rsid w:val="000D6BD7"/>
    <w:rsid w:val="000D6E1F"/>
    <w:rsid w:val="000D74B0"/>
    <w:rsid w:val="000D7E13"/>
    <w:rsid w:val="000E0475"/>
    <w:rsid w:val="000E11DC"/>
    <w:rsid w:val="000E222E"/>
    <w:rsid w:val="000E2967"/>
    <w:rsid w:val="000E4007"/>
    <w:rsid w:val="000E4355"/>
    <w:rsid w:val="000E464B"/>
    <w:rsid w:val="000E4E88"/>
    <w:rsid w:val="000E4EE5"/>
    <w:rsid w:val="000E52F7"/>
    <w:rsid w:val="000E563B"/>
    <w:rsid w:val="000E708F"/>
    <w:rsid w:val="000E7699"/>
    <w:rsid w:val="000F006A"/>
    <w:rsid w:val="000F076F"/>
    <w:rsid w:val="000F0F26"/>
    <w:rsid w:val="000F1214"/>
    <w:rsid w:val="000F1252"/>
    <w:rsid w:val="000F1BD3"/>
    <w:rsid w:val="000F344F"/>
    <w:rsid w:val="000F34CA"/>
    <w:rsid w:val="000F3BA6"/>
    <w:rsid w:val="000F3F42"/>
    <w:rsid w:val="000F3FFD"/>
    <w:rsid w:val="000F5AA6"/>
    <w:rsid w:val="000F691B"/>
    <w:rsid w:val="000F6C42"/>
    <w:rsid w:val="000F78AE"/>
    <w:rsid w:val="000F7EE7"/>
    <w:rsid w:val="0010062C"/>
    <w:rsid w:val="00102459"/>
    <w:rsid w:val="00102E65"/>
    <w:rsid w:val="00103C0A"/>
    <w:rsid w:val="001043DC"/>
    <w:rsid w:val="0010562F"/>
    <w:rsid w:val="00107681"/>
    <w:rsid w:val="00107D33"/>
    <w:rsid w:val="00110257"/>
    <w:rsid w:val="00110A12"/>
    <w:rsid w:val="001124FB"/>
    <w:rsid w:val="0011255B"/>
    <w:rsid w:val="0011415E"/>
    <w:rsid w:val="001157C8"/>
    <w:rsid w:val="00117586"/>
    <w:rsid w:val="0011768C"/>
    <w:rsid w:val="001200E0"/>
    <w:rsid w:val="00120BF7"/>
    <w:rsid w:val="0012389B"/>
    <w:rsid w:val="00123E24"/>
    <w:rsid w:val="00125150"/>
    <w:rsid w:val="00125B9E"/>
    <w:rsid w:val="00125C4D"/>
    <w:rsid w:val="001271E6"/>
    <w:rsid w:val="001301F3"/>
    <w:rsid w:val="00130E71"/>
    <w:rsid w:val="0013110C"/>
    <w:rsid w:val="00131E52"/>
    <w:rsid w:val="00132658"/>
    <w:rsid w:val="00132D1A"/>
    <w:rsid w:val="00133525"/>
    <w:rsid w:val="00133EA0"/>
    <w:rsid w:val="00134B0E"/>
    <w:rsid w:val="00134FED"/>
    <w:rsid w:val="0013534E"/>
    <w:rsid w:val="001361B8"/>
    <w:rsid w:val="00136284"/>
    <w:rsid w:val="00136461"/>
    <w:rsid w:val="001369A4"/>
    <w:rsid w:val="00136FB2"/>
    <w:rsid w:val="00137174"/>
    <w:rsid w:val="001407CA"/>
    <w:rsid w:val="00140996"/>
    <w:rsid w:val="00141066"/>
    <w:rsid w:val="00141227"/>
    <w:rsid w:val="0014197E"/>
    <w:rsid w:val="00142153"/>
    <w:rsid w:val="00142C95"/>
    <w:rsid w:val="00142CA7"/>
    <w:rsid w:val="001437A1"/>
    <w:rsid w:val="0014563E"/>
    <w:rsid w:val="00145AB4"/>
    <w:rsid w:val="00146543"/>
    <w:rsid w:val="001468F3"/>
    <w:rsid w:val="00146E1F"/>
    <w:rsid w:val="00146F3C"/>
    <w:rsid w:val="001504D9"/>
    <w:rsid w:val="00151779"/>
    <w:rsid w:val="00151AA2"/>
    <w:rsid w:val="00151E8F"/>
    <w:rsid w:val="0015282C"/>
    <w:rsid w:val="001528CF"/>
    <w:rsid w:val="00153CE1"/>
    <w:rsid w:val="001543E9"/>
    <w:rsid w:val="00154903"/>
    <w:rsid w:val="00154EAF"/>
    <w:rsid w:val="00155804"/>
    <w:rsid w:val="00156C14"/>
    <w:rsid w:val="0015706D"/>
    <w:rsid w:val="001600B7"/>
    <w:rsid w:val="00162241"/>
    <w:rsid w:val="00162EB3"/>
    <w:rsid w:val="00163F0E"/>
    <w:rsid w:val="00164973"/>
    <w:rsid w:val="001651AD"/>
    <w:rsid w:val="00165B51"/>
    <w:rsid w:val="00165C8B"/>
    <w:rsid w:val="00166DB3"/>
    <w:rsid w:val="001672FC"/>
    <w:rsid w:val="00167CEF"/>
    <w:rsid w:val="001703E0"/>
    <w:rsid w:val="00170B3A"/>
    <w:rsid w:val="00170EB2"/>
    <w:rsid w:val="00171222"/>
    <w:rsid w:val="001713D5"/>
    <w:rsid w:val="001737CC"/>
    <w:rsid w:val="00174C8E"/>
    <w:rsid w:val="001751F7"/>
    <w:rsid w:val="00175688"/>
    <w:rsid w:val="001757FC"/>
    <w:rsid w:val="00175B5B"/>
    <w:rsid w:val="00175DDE"/>
    <w:rsid w:val="00176457"/>
    <w:rsid w:val="0017667F"/>
    <w:rsid w:val="00176B1E"/>
    <w:rsid w:val="00176C01"/>
    <w:rsid w:val="00177D89"/>
    <w:rsid w:val="00177F52"/>
    <w:rsid w:val="00177F5A"/>
    <w:rsid w:val="00180578"/>
    <w:rsid w:val="00180879"/>
    <w:rsid w:val="00181EA2"/>
    <w:rsid w:val="00181F3C"/>
    <w:rsid w:val="001821DB"/>
    <w:rsid w:val="00182D54"/>
    <w:rsid w:val="00183149"/>
    <w:rsid w:val="00184298"/>
    <w:rsid w:val="0018495D"/>
    <w:rsid w:val="00184D34"/>
    <w:rsid w:val="001856C7"/>
    <w:rsid w:val="001859CA"/>
    <w:rsid w:val="001859DE"/>
    <w:rsid w:val="00185A33"/>
    <w:rsid w:val="00185C64"/>
    <w:rsid w:val="00185CE4"/>
    <w:rsid w:val="00185CF5"/>
    <w:rsid w:val="00185DAC"/>
    <w:rsid w:val="001860C9"/>
    <w:rsid w:val="00186309"/>
    <w:rsid w:val="001864EA"/>
    <w:rsid w:val="00186880"/>
    <w:rsid w:val="001869E2"/>
    <w:rsid w:val="00187595"/>
    <w:rsid w:val="001875ED"/>
    <w:rsid w:val="001876DC"/>
    <w:rsid w:val="001900BF"/>
    <w:rsid w:val="001906AB"/>
    <w:rsid w:val="00190D3A"/>
    <w:rsid w:val="00191395"/>
    <w:rsid w:val="00192669"/>
    <w:rsid w:val="00193007"/>
    <w:rsid w:val="00193843"/>
    <w:rsid w:val="00193C37"/>
    <w:rsid w:val="00193FE3"/>
    <w:rsid w:val="001950F8"/>
    <w:rsid w:val="00195138"/>
    <w:rsid w:val="001951EB"/>
    <w:rsid w:val="00195EF4"/>
    <w:rsid w:val="00196CAF"/>
    <w:rsid w:val="00196EBA"/>
    <w:rsid w:val="001971AF"/>
    <w:rsid w:val="00197955"/>
    <w:rsid w:val="001A05B6"/>
    <w:rsid w:val="001A0A14"/>
    <w:rsid w:val="001A120B"/>
    <w:rsid w:val="001A12F9"/>
    <w:rsid w:val="001A1ACF"/>
    <w:rsid w:val="001A1ADA"/>
    <w:rsid w:val="001A1EB1"/>
    <w:rsid w:val="001A2703"/>
    <w:rsid w:val="001A27BA"/>
    <w:rsid w:val="001A29A0"/>
    <w:rsid w:val="001A2CD9"/>
    <w:rsid w:val="001A395D"/>
    <w:rsid w:val="001A5F53"/>
    <w:rsid w:val="001A6527"/>
    <w:rsid w:val="001A67DF"/>
    <w:rsid w:val="001A699B"/>
    <w:rsid w:val="001A6A0E"/>
    <w:rsid w:val="001A7E44"/>
    <w:rsid w:val="001B0A7D"/>
    <w:rsid w:val="001B0FB8"/>
    <w:rsid w:val="001B1351"/>
    <w:rsid w:val="001B24AD"/>
    <w:rsid w:val="001B262B"/>
    <w:rsid w:val="001B273A"/>
    <w:rsid w:val="001B27D3"/>
    <w:rsid w:val="001B3A34"/>
    <w:rsid w:val="001B40F6"/>
    <w:rsid w:val="001B4F00"/>
    <w:rsid w:val="001B500C"/>
    <w:rsid w:val="001B6031"/>
    <w:rsid w:val="001B619F"/>
    <w:rsid w:val="001B6586"/>
    <w:rsid w:val="001B6B32"/>
    <w:rsid w:val="001B6BB7"/>
    <w:rsid w:val="001B6E66"/>
    <w:rsid w:val="001C0896"/>
    <w:rsid w:val="001C18BB"/>
    <w:rsid w:val="001C220A"/>
    <w:rsid w:val="001C2451"/>
    <w:rsid w:val="001C3C56"/>
    <w:rsid w:val="001C40E9"/>
    <w:rsid w:val="001C4679"/>
    <w:rsid w:val="001C4787"/>
    <w:rsid w:val="001C4913"/>
    <w:rsid w:val="001C582C"/>
    <w:rsid w:val="001C5A9F"/>
    <w:rsid w:val="001C5BBA"/>
    <w:rsid w:val="001C6E85"/>
    <w:rsid w:val="001C732F"/>
    <w:rsid w:val="001C7351"/>
    <w:rsid w:val="001C73FD"/>
    <w:rsid w:val="001C768C"/>
    <w:rsid w:val="001D03DD"/>
    <w:rsid w:val="001D217E"/>
    <w:rsid w:val="001D2A13"/>
    <w:rsid w:val="001D2AE1"/>
    <w:rsid w:val="001D45DB"/>
    <w:rsid w:val="001D46E9"/>
    <w:rsid w:val="001D4852"/>
    <w:rsid w:val="001D4FB0"/>
    <w:rsid w:val="001D5D81"/>
    <w:rsid w:val="001D6B19"/>
    <w:rsid w:val="001D792E"/>
    <w:rsid w:val="001D7EDC"/>
    <w:rsid w:val="001E0C1E"/>
    <w:rsid w:val="001E11CE"/>
    <w:rsid w:val="001E27DC"/>
    <w:rsid w:val="001E2E39"/>
    <w:rsid w:val="001E3CE0"/>
    <w:rsid w:val="001E44CB"/>
    <w:rsid w:val="001E5A81"/>
    <w:rsid w:val="001E5BE7"/>
    <w:rsid w:val="001E6676"/>
    <w:rsid w:val="001E6831"/>
    <w:rsid w:val="001E725D"/>
    <w:rsid w:val="001E746F"/>
    <w:rsid w:val="001E76C4"/>
    <w:rsid w:val="001E7861"/>
    <w:rsid w:val="001F05BC"/>
    <w:rsid w:val="001F0AE7"/>
    <w:rsid w:val="001F2F69"/>
    <w:rsid w:val="001F40A7"/>
    <w:rsid w:val="001F4568"/>
    <w:rsid w:val="001F46C7"/>
    <w:rsid w:val="001F4A32"/>
    <w:rsid w:val="001F4ADC"/>
    <w:rsid w:val="001F4DAF"/>
    <w:rsid w:val="001F545F"/>
    <w:rsid w:val="001F71DC"/>
    <w:rsid w:val="001F780F"/>
    <w:rsid w:val="002003BC"/>
    <w:rsid w:val="002008EA"/>
    <w:rsid w:val="00200F05"/>
    <w:rsid w:val="002013D1"/>
    <w:rsid w:val="00201606"/>
    <w:rsid w:val="002016E1"/>
    <w:rsid w:val="0020330E"/>
    <w:rsid w:val="002035F3"/>
    <w:rsid w:val="0020371D"/>
    <w:rsid w:val="002054E3"/>
    <w:rsid w:val="0020679E"/>
    <w:rsid w:val="00206847"/>
    <w:rsid w:val="00207A89"/>
    <w:rsid w:val="00207DAE"/>
    <w:rsid w:val="00210369"/>
    <w:rsid w:val="00210A94"/>
    <w:rsid w:val="00210D07"/>
    <w:rsid w:val="00210DEB"/>
    <w:rsid w:val="00210F85"/>
    <w:rsid w:val="00211C4E"/>
    <w:rsid w:val="00212235"/>
    <w:rsid w:val="00212491"/>
    <w:rsid w:val="00212884"/>
    <w:rsid w:val="00212D33"/>
    <w:rsid w:val="00213A37"/>
    <w:rsid w:val="00213AC2"/>
    <w:rsid w:val="00213E8C"/>
    <w:rsid w:val="00214236"/>
    <w:rsid w:val="00214578"/>
    <w:rsid w:val="002149D0"/>
    <w:rsid w:val="00215294"/>
    <w:rsid w:val="002152F5"/>
    <w:rsid w:val="0021589A"/>
    <w:rsid w:val="002166E1"/>
    <w:rsid w:val="00216FB4"/>
    <w:rsid w:val="002176AE"/>
    <w:rsid w:val="0021BBF2"/>
    <w:rsid w:val="0022028E"/>
    <w:rsid w:val="00220BE2"/>
    <w:rsid w:val="0022190F"/>
    <w:rsid w:val="00223D3C"/>
    <w:rsid w:val="00225384"/>
    <w:rsid w:val="00225F8D"/>
    <w:rsid w:val="0022676E"/>
    <w:rsid w:val="00227154"/>
    <w:rsid w:val="002322AB"/>
    <w:rsid w:val="00232802"/>
    <w:rsid w:val="00232CE3"/>
    <w:rsid w:val="00232E88"/>
    <w:rsid w:val="00232EA3"/>
    <w:rsid w:val="002330D3"/>
    <w:rsid w:val="002333A2"/>
    <w:rsid w:val="00233AC0"/>
    <w:rsid w:val="00233CE8"/>
    <w:rsid w:val="00234AE8"/>
    <w:rsid w:val="002368F2"/>
    <w:rsid w:val="00236991"/>
    <w:rsid w:val="0023709E"/>
    <w:rsid w:val="0024005B"/>
    <w:rsid w:val="00240332"/>
    <w:rsid w:val="002416AE"/>
    <w:rsid w:val="00241B02"/>
    <w:rsid w:val="00244557"/>
    <w:rsid w:val="002458AD"/>
    <w:rsid w:val="00245B06"/>
    <w:rsid w:val="00246D14"/>
    <w:rsid w:val="00246E88"/>
    <w:rsid w:val="002470E4"/>
    <w:rsid w:val="002479D3"/>
    <w:rsid w:val="00250096"/>
    <w:rsid w:val="00251511"/>
    <w:rsid w:val="00251565"/>
    <w:rsid w:val="00251F12"/>
    <w:rsid w:val="00252CB6"/>
    <w:rsid w:val="00252CDA"/>
    <w:rsid w:val="00253967"/>
    <w:rsid w:val="002553B0"/>
    <w:rsid w:val="00255840"/>
    <w:rsid w:val="00255A13"/>
    <w:rsid w:val="00255F4D"/>
    <w:rsid w:val="002562F2"/>
    <w:rsid w:val="002578FB"/>
    <w:rsid w:val="00260352"/>
    <w:rsid w:val="00262278"/>
    <w:rsid w:val="00262F5C"/>
    <w:rsid w:val="00264231"/>
    <w:rsid w:val="0026434A"/>
    <w:rsid w:val="002643AB"/>
    <w:rsid w:val="00265235"/>
    <w:rsid w:val="0026571D"/>
    <w:rsid w:val="00265AFF"/>
    <w:rsid w:val="00265CA2"/>
    <w:rsid w:val="00265CC7"/>
    <w:rsid w:val="00265E6B"/>
    <w:rsid w:val="00265F45"/>
    <w:rsid w:val="002666A0"/>
    <w:rsid w:val="0026680A"/>
    <w:rsid w:val="00267CC6"/>
    <w:rsid w:val="00267CFB"/>
    <w:rsid w:val="00270B61"/>
    <w:rsid w:val="00270F0C"/>
    <w:rsid w:val="00271C55"/>
    <w:rsid w:val="0027223C"/>
    <w:rsid w:val="00272F3D"/>
    <w:rsid w:val="0027417F"/>
    <w:rsid w:val="00274F2B"/>
    <w:rsid w:val="00275E38"/>
    <w:rsid w:val="00276263"/>
    <w:rsid w:val="0027716D"/>
    <w:rsid w:val="002800D8"/>
    <w:rsid w:val="00280505"/>
    <w:rsid w:val="00280963"/>
    <w:rsid w:val="002809C4"/>
    <w:rsid w:val="00281411"/>
    <w:rsid w:val="002814C9"/>
    <w:rsid w:val="00282025"/>
    <w:rsid w:val="00282173"/>
    <w:rsid w:val="00282F07"/>
    <w:rsid w:val="00283F54"/>
    <w:rsid w:val="00284686"/>
    <w:rsid w:val="00285493"/>
    <w:rsid w:val="00285F65"/>
    <w:rsid w:val="00287507"/>
    <w:rsid w:val="00287C12"/>
    <w:rsid w:val="00290254"/>
    <w:rsid w:val="00290E47"/>
    <w:rsid w:val="00291E49"/>
    <w:rsid w:val="00291E80"/>
    <w:rsid w:val="002921F1"/>
    <w:rsid w:val="002922F3"/>
    <w:rsid w:val="00292E61"/>
    <w:rsid w:val="00293BCC"/>
    <w:rsid w:val="0029588B"/>
    <w:rsid w:val="00296793"/>
    <w:rsid w:val="00296C11"/>
    <w:rsid w:val="002A0192"/>
    <w:rsid w:val="002A0891"/>
    <w:rsid w:val="002A094D"/>
    <w:rsid w:val="002A0A7B"/>
    <w:rsid w:val="002A0B4A"/>
    <w:rsid w:val="002A0CAE"/>
    <w:rsid w:val="002A152E"/>
    <w:rsid w:val="002A1A8E"/>
    <w:rsid w:val="002A21BA"/>
    <w:rsid w:val="002A2698"/>
    <w:rsid w:val="002A3063"/>
    <w:rsid w:val="002A34B3"/>
    <w:rsid w:val="002A3B11"/>
    <w:rsid w:val="002A40F1"/>
    <w:rsid w:val="002A438B"/>
    <w:rsid w:val="002A51B7"/>
    <w:rsid w:val="002A54DD"/>
    <w:rsid w:val="002A6CC6"/>
    <w:rsid w:val="002B01F1"/>
    <w:rsid w:val="002B12FF"/>
    <w:rsid w:val="002B1E95"/>
    <w:rsid w:val="002B25C6"/>
    <w:rsid w:val="002B3B0A"/>
    <w:rsid w:val="002B45A7"/>
    <w:rsid w:val="002B59D7"/>
    <w:rsid w:val="002B602B"/>
    <w:rsid w:val="002B6853"/>
    <w:rsid w:val="002B6AD6"/>
    <w:rsid w:val="002B7310"/>
    <w:rsid w:val="002B7BF0"/>
    <w:rsid w:val="002C0000"/>
    <w:rsid w:val="002C07A5"/>
    <w:rsid w:val="002C0908"/>
    <w:rsid w:val="002C1A14"/>
    <w:rsid w:val="002C1CB7"/>
    <w:rsid w:val="002C2BFD"/>
    <w:rsid w:val="002C3027"/>
    <w:rsid w:val="002C34CA"/>
    <w:rsid w:val="002C35B7"/>
    <w:rsid w:val="002C3AEE"/>
    <w:rsid w:val="002C5740"/>
    <w:rsid w:val="002C59FE"/>
    <w:rsid w:val="002C5DBC"/>
    <w:rsid w:val="002C5FDA"/>
    <w:rsid w:val="002C6ECF"/>
    <w:rsid w:val="002C6EDE"/>
    <w:rsid w:val="002C77D7"/>
    <w:rsid w:val="002D0D53"/>
    <w:rsid w:val="002D1428"/>
    <w:rsid w:val="002D16E6"/>
    <w:rsid w:val="002D16FD"/>
    <w:rsid w:val="002D1CAA"/>
    <w:rsid w:val="002D2264"/>
    <w:rsid w:val="002D4347"/>
    <w:rsid w:val="002D471E"/>
    <w:rsid w:val="002D4CA3"/>
    <w:rsid w:val="002D5040"/>
    <w:rsid w:val="002D70E0"/>
    <w:rsid w:val="002D7DAA"/>
    <w:rsid w:val="002E0151"/>
    <w:rsid w:val="002E0474"/>
    <w:rsid w:val="002E0D09"/>
    <w:rsid w:val="002E1EA0"/>
    <w:rsid w:val="002E1F60"/>
    <w:rsid w:val="002E3404"/>
    <w:rsid w:val="002E3E57"/>
    <w:rsid w:val="002E487A"/>
    <w:rsid w:val="002E6000"/>
    <w:rsid w:val="002E7174"/>
    <w:rsid w:val="002E7B47"/>
    <w:rsid w:val="002F0245"/>
    <w:rsid w:val="002F0862"/>
    <w:rsid w:val="002F0DF1"/>
    <w:rsid w:val="002F0FB4"/>
    <w:rsid w:val="002F14C4"/>
    <w:rsid w:val="002F1FB4"/>
    <w:rsid w:val="002F201B"/>
    <w:rsid w:val="002F2A5B"/>
    <w:rsid w:val="002F63A2"/>
    <w:rsid w:val="002F658F"/>
    <w:rsid w:val="003001E4"/>
    <w:rsid w:val="003016B7"/>
    <w:rsid w:val="00301AFA"/>
    <w:rsid w:val="003021D3"/>
    <w:rsid w:val="003031EB"/>
    <w:rsid w:val="00303301"/>
    <w:rsid w:val="00303477"/>
    <w:rsid w:val="00303BCD"/>
    <w:rsid w:val="00303CF7"/>
    <w:rsid w:val="00303DEC"/>
    <w:rsid w:val="00304E30"/>
    <w:rsid w:val="00304FB7"/>
    <w:rsid w:val="00305350"/>
    <w:rsid w:val="00306104"/>
    <w:rsid w:val="00311054"/>
    <w:rsid w:val="00311EC6"/>
    <w:rsid w:val="0031281A"/>
    <w:rsid w:val="0031316D"/>
    <w:rsid w:val="00313591"/>
    <w:rsid w:val="003136D5"/>
    <w:rsid w:val="003136DD"/>
    <w:rsid w:val="00313FF4"/>
    <w:rsid w:val="0031420B"/>
    <w:rsid w:val="003144F0"/>
    <w:rsid w:val="00315032"/>
    <w:rsid w:val="003154C4"/>
    <w:rsid w:val="00317227"/>
    <w:rsid w:val="003178F8"/>
    <w:rsid w:val="00317A25"/>
    <w:rsid w:val="00321517"/>
    <w:rsid w:val="0032183E"/>
    <w:rsid w:val="00322992"/>
    <w:rsid w:val="003241A1"/>
    <w:rsid w:val="003253E0"/>
    <w:rsid w:val="003254B7"/>
    <w:rsid w:val="0032603C"/>
    <w:rsid w:val="00326088"/>
    <w:rsid w:val="0033067A"/>
    <w:rsid w:val="00333876"/>
    <w:rsid w:val="00334055"/>
    <w:rsid w:val="00334167"/>
    <w:rsid w:val="00334195"/>
    <w:rsid w:val="0033472E"/>
    <w:rsid w:val="00336032"/>
    <w:rsid w:val="0033623A"/>
    <w:rsid w:val="0033650F"/>
    <w:rsid w:val="00336534"/>
    <w:rsid w:val="003365D3"/>
    <w:rsid w:val="003365FC"/>
    <w:rsid w:val="00337481"/>
    <w:rsid w:val="00337619"/>
    <w:rsid w:val="00337AD3"/>
    <w:rsid w:val="0034060D"/>
    <w:rsid w:val="003408C5"/>
    <w:rsid w:val="00342230"/>
    <w:rsid w:val="003428E2"/>
    <w:rsid w:val="00342E5B"/>
    <w:rsid w:val="0034311F"/>
    <w:rsid w:val="0034411A"/>
    <w:rsid w:val="00344469"/>
    <w:rsid w:val="00344A84"/>
    <w:rsid w:val="00345F05"/>
    <w:rsid w:val="00347CF2"/>
    <w:rsid w:val="0035246C"/>
    <w:rsid w:val="00352E84"/>
    <w:rsid w:val="003530AA"/>
    <w:rsid w:val="003536C4"/>
    <w:rsid w:val="00353809"/>
    <w:rsid w:val="00353D8E"/>
    <w:rsid w:val="00353F90"/>
    <w:rsid w:val="00353FB1"/>
    <w:rsid w:val="00354CBA"/>
    <w:rsid w:val="0035664A"/>
    <w:rsid w:val="00356795"/>
    <w:rsid w:val="00356FA4"/>
    <w:rsid w:val="0035743A"/>
    <w:rsid w:val="003574C5"/>
    <w:rsid w:val="00357759"/>
    <w:rsid w:val="00357DB3"/>
    <w:rsid w:val="0036060E"/>
    <w:rsid w:val="00360BF0"/>
    <w:rsid w:val="00360C51"/>
    <w:rsid w:val="00361ED6"/>
    <w:rsid w:val="003621AB"/>
    <w:rsid w:val="00362672"/>
    <w:rsid w:val="00363024"/>
    <w:rsid w:val="003632D2"/>
    <w:rsid w:val="00364C5B"/>
    <w:rsid w:val="00365934"/>
    <w:rsid w:val="00365A81"/>
    <w:rsid w:val="00365FEC"/>
    <w:rsid w:val="003662C0"/>
    <w:rsid w:val="0036791A"/>
    <w:rsid w:val="003702DE"/>
    <w:rsid w:val="003703A0"/>
    <w:rsid w:val="00370578"/>
    <w:rsid w:val="003720C3"/>
    <w:rsid w:val="00372852"/>
    <w:rsid w:val="00373250"/>
    <w:rsid w:val="00374239"/>
    <w:rsid w:val="003743A9"/>
    <w:rsid w:val="003748C7"/>
    <w:rsid w:val="00374C02"/>
    <w:rsid w:val="00375B17"/>
    <w:rsid w:val="0037625A"/>
    <w:rsid w:val="00377166"/>
    <w:rsid w:val="003773FC"/>
    <w:rsid w:val="003776BB"/>
    <w:rsid w:val="00380422"/>
    <w:rsid w:val="00380473"/>
    <w:rsid w:val="00380D37"/>
    <w:rsid w:val="00381051"/>
    <w:rsid w:val="00381669"/>
    <w:rsid w:val="0038191C"/>
    <w:rsid w:val="00381F0E"/>
    <w:rsid w:val="0038245E"/>
    <w:rsid w:val="0038246C"/>
    <w:rsid w:val="00382580"/>
    <w:rsid w:val="003826C8"/>
    <w:rsid w:val="00383238"/>
    <w:rsid w:val="00383B30"/>
    <w:rsid w:val="00383F15"/>
    <w:rsid w:val="00384D58"/>
    <w:rsid w:val="00387AAC"/>
    <w:rsid w:val="00390DE4"/>
    <w:rsid w:val="003922B7"/>
    <w:rsid w:val="00392BE3"/>
    <w:rsid w:val="00394302"/>
    <w:rsid w:val="003946D2"/>
    <w:rsid w:val="00394A0A"/>
    <w:rsid w:val="0039572E"/>
    <w:rsid w:val="003961AB"/>
    <w:rsid w:val="003968C4"/>
    <w:rsid w:val="00396D28"/>
    <w:rsid w:val="00397E87"/>
    <w:rsid w:val="003A0641"/>
    <w:rsid w:val="003A25EA"/>
    <w:rsid w:val="003A2C8E"/>
    <w:rsid w:val="003A47B2"/>
    <w:rsid w:val="003A4DCB"/>
    <w:rsid w:val="003A5CE9"/>
    <w:rsid w:val="003A5D87"/>
    <w:rsid w:val="003A754B"/>
    <w:rsid w:val="003A754F"/>
    <w:rsid w:val="003A7DF3"/>
    <w:rsid w:val="003B039F"/>
    <w:rsid w:val="003B0467"/>
    <w:rsid w:val="003B16E8"/>
    <w:rsid w:val="003B3AFF"/>
    <w:rsid w:val="003B4329"/>
    <w:rsid w:val="003B4885"/>
    <w:rsid w:val="003B546F"/>
    <w:rsid w:val="003B5B40"/>
    <w:rsid w:val="003B6998"/>
    <w:rsid w:val="003B704E"/>
    <w:rsid w:val="003B743A"/>
    <w:rsid w:val="003B7C92"/>
    <w:rsid w:val="003C0033"/>
    <w:rsid w:val="003C076D"/>
    <w:rsid w:val="003C0E3A"/>
    <w:rsid w:val="003C1574"/>
    <w:rsid w:val="003C1886"/>
    <w:rsid w:val="003C1A27"/>
    <w:rsid w:val="003C1D47"/>
    <w:rsid w:val="003C1E3E"/>
    <w:rsid w:val="003C2693"/>
    <w:rsid w:val="003C2C44"/>
    <w:rsid w:val="003C3890"/>
    <w:rsid w:val="003C3E19"/>
    <w:rsid w:val="003C42DD"/>
    <w:rsid w:val="003C433E"/>
    <w:rsid w:val="003C45FF"/>
    <w:rsid w:val="003C4B45"/>
    <w:rsid w:val="003C69D1"/>
    <w:rsid w:val="003C6C0D"/>
    <w:rsid w:val="003C6CE8"/>
    <w:rsid w:val="003C7A7A"/>
    <w:rsid w:val="003D0A97"/>
    <w:rsid w:val="003D37A9"/>
    <w:rsid w:val="003D39D3"/>
    <w:rsid w:val="003D3C24"/>
    <w:rsid w:val="003D416D"/>
    <w:rsid w:val="003D5170"/>
    <w:rsid w:val="003D5550"/>
    <w:rsid w:val="003D601F"/>
    <w:rsid w:val="003D6D65"/>
    <w:rsid w:val="003D7C33"/>
    <w:rsid w:val="003E1C35"/>
    <w:rsid w:val="003E1D2B"/>
    <w:rsid w:val="003E1E99"/>
    <w:rsid w:val="003E30F1"/>
    <w:rsid w:val="003E3B51"/>
    <w:rsid w:val="003E3EE3"/>
    <w:rsid w:val="003E4026"/>
    <w:rsid w:val="003E40CD"/>
    <w:rsid w:val="003E5A4F"/>
    <w:rsid w:val="003E6B67"/>
    <w:rsid w:val="003E6DF1"/>
    <w:rsid w:val="003E7428"/>
    <w:rsid w:val="003F0A88"/>
    <w:rsid w:val="003F0DA9"/>
    <w:rsid w:val="003F29D6"/>
    <w:rsid w:val="003F3CCD"/>
    <w:rsid w:val="003F48E4"/>
    <w:rsid w:val="003F4AC5"/>
    <w:rsid w:val="003F7C75"/>
    <w:rsid w:val="004004A1"/>
    <w:rsid w:val="00400E34"/>
    <w:rsid w:val="004017CF"/>
    <w:rsid w:val="00401B56"/>
    <w:rsid w:val="004022C4"/>
    <w:rsid w:val="0040280F"/>
    <w:rsid w:val="00404053"/>
    <w:rsid w:val="00404B60"/>
    <w:rsid w:val="00404DC8"/>
    <w:rsid w:val="00407702"/>
    <w:rsid w:val="0041002D"/>
    <w:rsid w:val="004102D7"/>
    <w:rsid w:val="00410552"/>
    <w:rsid w:val="00410E91"/>
    <w:rsid w:val="00411BA9"/>
    <w:rsid w:val="004121B2"/>
    <w:rsid w:val="0041396B"/>
    <w:rsid w:val="004139B5"/>
    <w:rsid w:val="00413E63"/>
    <w:rsid w:val="004140D6"/>
    <w:rsid w:val="00414806"/>
    <w:rsid w:val="00414CE1"/>
    <w:rsid w:val="00415356"/>
    <w:rsid w:val="00416871"/>
    <w:rsid w:val="00416A0A"/>
    <w:rsid w:val="00416A34"/>
    <w:rsid w:val="00416C68"/>
    <w:rsid w:val="00416EA6"/>
    <w:rsid w:val="00417308"/>
    <w:rsid w:val="00417F0C"/>
    <w:rsid w:val="00420C98"/>
    <w:rsid w:val="00420D77"/>
    <w:rsid w:val="00420E1F"/>
    <w:rsid w:val="00421C49"/>
    <w:rsid w:val="00421E5D"/>
    <w:rsid w:val="0042272D"/>
    <w:rsid w:val="004236C6"/>
    <w:rsid w:val="00423931"/>
    <w:rsid w:val="0042453D"/>
    <w:rsid w:val="00425504"/>
    <w:rsid w:val="0042596D"/>
    <w:rsid w:val="004259C4"/>
    <w:rsid w:val="00425BE6"/>
    <w:rsid w:val="00426100"/>
    <w:rsid w:val="004261F4"/>
    <w:rsid w:val="0042661E"/>
    <w:rsid w:val="004267E9"/>
    <w:rsid w:val="0042699F"/>
    <w:rsid w:val="004269BE"/>
    <w:rsid w:val="004269ED"/>
    <w:rsid w:val="00426FEA"/>
    <w:rsid w:val="0042740D"/>
    <w:rsid w:val="00427DCC"/>
    <w:rsid w:val="004308CC"/>
    <w:rsid w:val="00430D30"/>
    <w:rsid w:val="00431D82"/>
    <w:rsid w:val="00434022"/>
    <w:rsid w:val="00434467"/>
    <w:rsid w:val="00434A49"/>
    <w:rsid w:val="00434BE6"/>
    <w:rsid w:val="00435108"/>
    <w:rsid w:val="004355C9"/>
    <w:rsid w:val="00435EA0"/>
    <w:rsid w:val="00436781"/>
    <w:rsid w:val="00436E76"/>
    <w:rsid w:val="0043728C"/>
    <w:rsid w:val="004372B5"/>
    <w:rsid w:val="004372E6"/>
    <w:rsid w:val="00437FD5"/>
    <w:rsid w:val="0044002F"/>
    <w:rsid w:val="0044065C"/>
    <w:rsid w:val="00440D7B"/>
    <w:rsid w:val="00440F59"/>
    <w:rsid w:val="00441874"/>
    <w:rsid w:val="00441F7C"/>
    <w:rsid w:val="004420D8"/>
    <w:rsid w:val="00444FCD"/>
    <w:rsid w:val="00445246"/>
    <w:rsid w:val="004455B3"/>
    <w:rsid w:val="0044586D"/>
    <w:rsid w:val="004459F9"/>
    <w:rsid w:val="004463E4"/>
    <w:rsid w:val="00447606"/>
    <w:rsid w:val="00447B25"/>
    <w:rsid w:val="00447F66"/>
    <w:rsid w:val="0045122F"/>
    <w:rsid w:val="004512E6"/>
    <w:rsid w:val="00451463"/>
    <w:rsid w:val="0045335F"/>
    <w:rsid w:val="004538A5"/>
    <w:rsid w:val="0045443D"/>
    <w:rsid w:val="00454885"/>
    <w:rsid w:val="00455289"/>
    <w:rsid w:val="004557B2"/>
    <w:rsid w:val="00457AC6"/>
    <w:rsid w:val="00457D91"/>
    <w:rsid w:val="00460462"/>
    <w:rsid w:val="004605D0"/>
    <w:rsid w:val="00460CF9"/>
    <w:rsid w:val="00461F95"/>
    <w:rsid w:val="00462ACD"/>
    <w:rsid w:val="00463079"/>
    <w:rsid w:val="004632CB"/>
    <w:rsid w:val="004637B3"/>
    <w:rsid w:val="00464461"/>
    <w:rsid w:val="00464A0B"/>
    <w:rsid w:val="00464A3F"/>
    <w:rsid w:val="00464B14"/>
    <w:rsid w:val="00466C12"/>
    <w:rsid w:val="0046707B"/>
    <w:rsid w:val="00467178"/>
    <w:rsid w:val="00467770"/>
    <w:rsid w:val="00467C13"/>
    <w:rsid w:val="0047020F"/>
    <w:rsid w:val="00470673"/>
    <w:rsid w:val="004706D0"/>
    <w:rsid w:val="0047109A"/>
    <w:rsid w:val="00471D59"/>
    <w:rsid w:val="00471E55"/>
    <w:rsid w:val="0047352D"/>
    <w:rsid w:val="00474086"/>
    <w:rsid w:val="004743BC"/>
    <w:rsid w:val="00474E31"/>
    <w:rsid w:val="0047503E"/>
    <w:rsid w:val="004762DD"/>
    <w:rsid w:val="0047634F"/>
    <w:rsid w:val="00476820"/>
    <w:rsid w:val="00476E26"/>
    <w:rsid w:val="004806F4"/>
    <w:rsid w:val="00480A34"/>
    <w:rsid w:val="00480E23"/>
    <w:rsid w:val="0048170C"/>
    <w:rsid w:val="00481EB2"/>
    <w:rsid w:val="0048231E"/>
    <w:rsid w:val="00482450"/>
    <w:rsid w:val="004830F0"/>
    <w:rsid w:val="0048342E"/>
    <w:rsid w:val="00483C01"/>
    <w:rsid w:val="00484076"/>
    <w:rsid w:val="004849B7"/>
    <w:rsid w:val="00485AF9"/>
    <w:rsid w:val="004862D7"/>
    <w:rsid w:val="00486803"/>
    <w:rsid w:val="00486B49"/>
    <w:rsid w:val="00490A5C"/>
    <w:rsid w:val="00490B28"/>
    <w:rsid w:val="004923E6"/>
    <w:rsid w:val="00492745"/>
    <w:rsid w:val="00492D3B"/>
    <w:rsid w:val="00493A83"/>
    <w:rsid w:val="00493F3F"/>
    <w:rsid w:val="00495135"/>
    <w:rsid w:val="0049523E"/>
    <w:rsid w:val="004953C7"/>
    <w:rsid w:val="0049546E"/>
    <w:rsid w:val="00495F72"/>
    <w:rsid w:val="00497B92"/>
    <w:rsid w:val="004A0CF3"/>
    <w:rsid w:val="004A1ACA"/>
    <w:rsid w:val="004A1D95"/>
    <w:rsid w:val="004A1DD5"/>
    <w:rsid w:val="004A357A"/>
    <w:rsid w:val="004A3955"/>
    <w:rsid w:val="004A47D5"/>
    <w:rsid w:val="004A5CE5"/>
    <w:rsid w:val="004A645F"/>
    <w:rsid w:val="004A6A7D"/>
    <w:rsid w:val="004A7048"/>
    <w:rsid w:val="004A7DC4"/>
    <w:rsid w:val="004B021E"/>
    <w:rsid w:val="004B03EF"/>
    <w:rsid w:val="004B0707"/>
    <w:rsid w:val="004B24FC"/>
    <w:rsid w:val="004B2C43"/>
    <w:rsid w:val="004B2E7F"/>
    <w:rsid w:val="004B4941"/>
    <w:rsid w:val="004B4E22"/>
    <w:rsid w:val="004B5FA4"/>
    <w:rsid w:val="004B6779"/>
    <w:rsid w:val="004B6A8A"/>
    <w:rsid w:val="004C0BCB"/>
    <w:rsid w:val="004C14AD"/>
    <w:rsid w:val="004C16C0"/>
    <w:rsid w:val="004C2396"/>
    <w:rsid w:val="004C2C24"/>
    <w:rsid w:val="004C3807"/>
    <w:rsid w:val="004C3912"/>
    <w:rsid w:val="004C3C40"/>
    <w:rsid w:val="004C3D83"/>
    <w:rsid w:val="004C3DD6"/>
    <w:rsid w:val="004C4368"/>
    <w:rsid w:val="004C4919"/>
    <w:rsid w:val="004C5182"/>
    <w:rsid w:val="004C649F"/>
    <w:rsid w:val="004C6E12"/>
    <w:rsid w:val="004D01E4"/>
    <w:rsid w:val="004D12A3"/>
    <w:rsid w:val="004D133D"/>
    <w:rsid w:val="004D165D"/>
    <w:rsid w:val="004D1A77"/>
    <w:rsid w:val="004D34AD"/>
    <w:rsid w:val="004D38C1"/>
    <w:rsid w:val="004D3A74"/>
    <w:rsid w:val="004D4B69"/>
    <w:rsid w:val="004D4D37"/>
    <w:rsid w:val="004D6537"/>
    <w:rsid w:val="004D6D63"/>
    <w:rsid w:val="004D7C7F"/>
    <w:rsid w:val="004E0468"/>
    <w:rsid w:val="004E0A11"/>
    <w:rsid w:val="004E1637"/>
    <w:rsid w:val="004E1BEE"/>
    <w:rsid w:val="004E21E7"/>
    <w:rsid w:val="004E24AB"/>
    <w:rsid w:val="004E35B5"/>
    <w:rsid w:val="004E3F5B"/>
    <w:rsid w:val="004E55DC"/>
    <w:rsid w:val="004E6690"/>
    <w:rsid w:val="004E7E98"/>
    <w:rsid w:val="004E7FB8"/>
    <w:rsid w:val="004F0A83"/>
    <w:rsid w:val="004F0E44"/>
    <w:rsid w:val="004F1B3D"/>
    <w:rsid w:val="004F3A81"/>
    <w:rsid w:val="004F4216"/>
    <w:rsid w:val="004F4D6D"/>
    <w:rsid w:val="004F5337"/>
    <w:rsid w:val="0050266E"/>
    <w:rsid w:val="005034AF"/>
    <w:rsid w:val="00503B4E"/>
    <w:rsid w:val="00504B88"/>
    <w:rsid w:val="00504C6A"/>
    <w:rsid w:val="00504CF8"/>
    <w:rsid w:val="00505157"/>
    <w:rsid w:val="005051FC"/>
    <w:rsid w:val="00505B70"/>
    <w:rsid w:val="00506151"/>
    <w:rsid w:val="00506B13"/>
    <w:rsid w:val="00506C9E"/>
    <w:rsid w:val="005078CE"/>
    <w:rsid w:val="00507CDF"/>
    <w:rsid w:val="0051020C"/>
    <w:rsid w:val="00510FF7"/>
    <w:rsid w:val="005117A0"/>
    <w:rsid w:val="0051324A"/>
    <w:rsid w:val="0051336D"/>
    <w:rsid w:val="00513AF3"/>
    <w:rsid w:val="00514327"/>
    <w:rsid w:val="00515636"/>
    <w:rsid w:val="00515E92"/>
    <w:rsid w:val="005166E3"/>
    <w:rsid w:val="00520648"/>
    <w:rsid w:val="00521079"/>
    <w:rsid w:val="00521DD6"/>
    <w:rsid w:val="0052270B"/>
    <w:rsid w:val="005230C8"/>
    <w:rsid w:val="00523519"/>
    <w:rsid w:val="00523703"/>
    <w:rsid w:val="005242AF"/>
    <w:rsid w:val="005248CD"/>
    <w:rsid w:val="00524D33"/>
    <w:rsid w:val="005251A1"/>
    <w:rsid w:val="005255B6"/>
    <w:rsid w:val="00526D6A"/>
    <w:rsid w:val="00527981"/>
    <w:rsid w:val="00527A50"/>
    <w:rsid w:val="00527C71"/>
    <w:rsid w:val="00532051"/>
    <w:rsid w:val="0053217F"/>
    <w:rsid w:val="00532E37"/>
    <w:rsid w:val="005337FC"/>
    <w:rsid w:val="00533B5D"/>
    <w:rsid w:val="00533D54"/>
    <w:rsid w:val="005345D6"/>
    <w:rsid w:val="005350C7"/>
    <w:rsid w:val="00535F34"/>
    <w:rsid w:val="005364D0"/>
    <w:rsid w:val="00537557"/>
    <w:rsid w:val="005375A4"/>
    <w:rsid w:val="00537D95"/>
    <w:rsid w:val="00540114"/>
    <w:rsid w:val="005403A7"/>
    <w:rsid w:val="0054046A"/>
    <w:rsid w:val="00542081"/>
    <w:rsid w:val="005427C4"/>
    <w:rsid w:val="005435E7"/>
    <w:rsid w:val="00543601"/>
    <w:rsid w:val="005443A8"/>
    <w:rsid w:val="0054464D"/>
    <w:rsid w:val="00544BCE"/>
    <w:rsid w:val="00545047"/>
    <w:rsid w:val="00545C19"/>
    <w:rsid w:val="00546023"/>
    <w:rsid w:val="00546A12"/>
    <w:rsid w:val="00546E1B"/>
    <w:rsid w:val="00547033"/>
    <w:rsid w:val="00547B30"/>
    <w:rsid w:val="00550AB2"/>
    <w:rsid w:val="005517BC"/>
    <w:rsid w:val="00551A53"/>
    <w:rsid w:val="0055225A"/>
    <w:rsid w:val="00552444"/>
    <w:rsid w:val="00552813"/>
    <w:rsid w:val="0055302C"/>
    <w:rsid w:val="005533BF"/>
    <w:rsid w:val="005534DA"/>
    <w:rsid w:val="005539E4"/>
    <w:rsid w:val="00553D43"/>
    <w:rsid w:val="005546CA"/>
    <w:rsid w:val="0055656E"/>
    <w:rsid w:val="00557310"/>
    <w:rsid w:val="00557468"/>
    <w:rsid w:val="005579EB"/>
    <w:rsid w:val="00557FF5"/>
    <w:rsid w:val="005608FB"/>
    <w:rsid w:val="00560B81"/>
    <w:rsid w:val="00561F0E"/>
    <w:rsid w:val="00562249"/>
    <w:rsid w:val="00562867"/>
    <w:rsid w:val="0056402C"/>
    <w:rsid w:val="00564220"/>
    <w:rsid w:val="0056461E"/>
    <w:rsid w:val="00565C26"/>
    <w:rsid w:val="0056606F"/>
    <w:rsid w:val="005664A3"/>
    <w:rsid w:val="005669EB"/>
    <w:rsid w:val="00566DEC"/>
    <w:rsid w:val="00567A15"/>
    <w:rsid w:val="005722CF"/>
    <w:rsid w:val="00572707"/>
    <w:rsid w:val="0057295B"/>
    <w:rsid w:val="00573783"/>
    <w:rsid w:val="005738AB"/>
    <w:rsid w:val="00574456"/>
    <w:rsid w:val="005761C3"/>
    <w:rsid w:val="0057621B"/>
    <w:rsid w:val="005802AB"/>
    <w:rsid w:val="00580F41"/>
    <w:rsid w:val="005813A9"/>
    <w:rsid w:val="00581E90"/>
    <w:rsid w:val="005825C6"/>
    <w:rsid w:val="00583326"/>
    <w:rsid w:val="005846D8"/>
    <w:rsid w:val="00584749"/>
    <w:rsid w:val="005847D9"/>
    <w:rsid w:val="00584CEC"/>
    <w:rsid w:val="00584D5F"/>
    <w:rsid w:val="00584F98"/>
    <w:rsid w:val="00586BB9"/>
    <w:rsid w:val="00587321"/>
    <w:rsid w:val="005874BB"/>
    <w:rsid w:val="00590CBA"/>
    <w:rsid w:val="00590D11"/>
    <w:rsid w:val="00590DFC"/>
    <w:rsid w:val="005917BD"/>
    <w:rsid w:val="00591AA5"/>
    <w:rsid w:val="00591BE0"/>
    <w:rsid w:val="00592F51"/>
    <w:rsid w:val="00593AC4"/>
    <w:rsid w:val="00593B61"/>
    <w:rsid w:val="00593E17"/>
    <w:rsid w:val="00595240"/>
    <w:rsid w:val="005957A0"/>
    <w:rsid w:val="0059654A"/>
    <w:rsid w:val="00596841"/>
    <w:rsid w:val="00596ED9"/>
    <w:rsid w:val="00596FDB"/>
    <w:rsid w:val="0059737B"/>
    <w:rsid w:val="005977E4"/>
    <w:rsid w:val="00597A26"/>
    <w:rsid w:val="005A2081"/>
    <w:rsid w:val="005A2555"/>
    <w:rsid w:val="005A25FE"/>
    <w:rsid w:val="005A3039"/>
    <w:rsid w:val="005A34F7"/>
    <w:rsid w:val="005A3793"/>
    <w:rsid w:val="005A3B98"/>
    <w:rsid w:val="005A4681"/>
    <w:rsid w:val="005A46BF"/>
    <w:rsid w:val="005A4749"/>
    <w:rsid w:val="005A4DE4"/>
    <w:rsid w:val="005A5362"/>
    <w:rsid w:val="005A5A1D"/>
    <w:rsid w:val="005A5C4F"/>
    <w:rsid w:val="005A5CCF"/>
    <w:rsid w:val="005A687E"/>
    <w:rsid w:val="005A69D6"/>
    <w:rsid w:val="005A6EB5"/>
    <w:rsid w:val="005A6EE0"/>
    <w:rsid w:val="005A7DFC"/>
    <w:rsid w:val="005B0536"/>
    <w:rsid w:val="005B053D"/>
    <w:rsid w:val="005B0E18"/>
    <w:rsid w:val="005B641B"/>
    <w:rsid w:val="005B676A"/>
    <w:rsid w:val="005B6892"/>
    <w:rsid w:val="005B7932"/>
    <w:rsid w:val="005C01B8"/>
    <w:rsid w:val="005C026F"/>
    <w:rsid w:val="005C090E"/>
    <w:rsid w:val="005C17B5"/>
    <w:rsid w:val="005C2627"/>
    <w:rsid w:val="005C274A"/>
    <w:rsid w:val="005C2B9B"/>
    <w:rsid w:val="005C306C"/>
    <w:rsid w:val="005C3124"/>
    <w:rsid w:val="005C331F"/>
    <w:rsid w:val="005C4155"/>
    <w:rsid w:val="005C4F8B"/>
    <w:rsid w:val="005C5886"/>
    <w:rsid w:val="005C616B"/>
    <w:rsid w:val="005C66C6"/>
    <w:rsid w:val="005C6712"/>
    <w:rsid w:val="005C687C"/>
    <w:rsid w:val="005C737C"/>
    <w:rsid w:val="005D017D"/>
    <w:rsid w:val="005D044E"/>
    <w:rsid w:val="005D0C9F"/>
    <w:rsid w:val="005D0D14"/>
    <w:rsid w:val="005D1BF2"/>
    <w:rsid w:val="005D1C57"/>
    <w:rsid w:val="005D2C91"/>
    <w:rsid w:val="005D3310"/>
    <w:rsid w:val="005D487F"/>
    <w:rsid w:val="005D4D1D"/>
    <w:rsid w:val="005D5883"/>
    <w:rsid w:val="005D6494"/>
    <w:rsid w:val="005D67D9"/>
    <w:rsid w:val="005D6D26"/>
    <w:rsid w:val="005D74B9"/>
    <w:rsid w:val="005D7A6C"/>
    <w:rsid w:val="005D7BDF"/>
    <w:rsid w:val="005E058E"/>
    <w:rsid w:val="005E073A"/>
    <w:rsid w:val="005E100D"/>
    <w:rsid w:val="005E1BBD"/>
    <w:rsid w:val="005E3379"/>
    <w:rsid w:val="005E3812"/>
    <w:rsid w:val="005E40F9"/>
    <w:rsid w:val="005E42E0"/>
    <w:rsid w:val="005E4469"/>
    <w:rsid w:val="005E4AF1"/>
    <w:rsid w:val="005E509E"/>
    <w:rsid w:val="005E511C"/>
    <w:rsid w:val="005E5902"/>
    <w:rsid w:val="005E5A4F"/>
    <w:rsid w:val="005E5D41"/>
    <w:rsid w:val="005E5F27"/>
    <w:rsid w:val="005E64B7"/>
    <w:rsid w:val="005E704D"/>
    <w:rsid w:val="005E75B1"/>
    <w:rsid w:val="005E763E"/>
    <w:rsid w:val="005E7D18"/>
    <w:rsid w:val="005F0260"/>
    <w:rsid w:val="005F03EB"/>
    <w:rsid w:val="005F08E8"/>
    <w:rsid w:val="005F0E80"/>
    <w:rsid w:val="005F115B"/>
    <w:rsid w:val="005F20EE"/>
    <w:rsid w:val="005F22D7"/>
    <w:rsid w:val="005F2561"/>
    <w:rsid w:val="005F3391"/>
    <w:rsid w:val="005F33E2"/>
    <w:rsid w:val="005F386F"/>
    <w:rsid w:val="005F3EA8"/>
    <w:rsid w:val="005F446D"/>
    <w:rsid w:val="005F4E7B"/>
    <w:rsid w:val="005F4FEC"/>
    <w:rsid w:val="005F6B94"/>
    <w:rsid w:val="005F75D9"/>
    <w:rsid w:val="005F786B"/>
    <w:rsid w:val="0060025F"/>
    <w:rsid w:val="006005AE"/>
    <w:rsid w:val="00600949"/>
    <w:rsid w:val="00600F85"/>
    <w:rsid w:val="006019B4"/>
    <w:rsid w:val="00601CD0"/>
    <w:rsid w:val="00602D35"/>
    <w:rsid w:val="00603326"/>
    <w:rsid w:val="00603F62"/>
    <w:rsid w:val="00603FED"/>
    <w:rsid w:val="00604256"/>
    <w:rsid w:val="00604A0C"/>
    <w:rsid w:val="00605722"/>
    <w:rsid w:val="00606564"/>
    <w:rsid w:val="0060684A"/>
    <w:rsid w:val="00606B15"/>
    <w:rsid w:val="00607097"/>
    <w:rsid w:val="00607402"/>
    <w:rsid w:val="00607908"/>
    <w:rsid w:val="00607AA5"/>
    <w:rsid w:val="0061020F"/>
    <w:rsid w:val="00610EB8"/>
    <w:rsid w:val="006112DC"/>
    <w:rsid w:val="0061148B"/>
    <w:rsid w:val="0061183D"/>
    <w:rsid w:val="00611F35"/>
    <w:rsid w:val="00612497"/>
    <w:rsid w:val="0061308C"/>
    <w:rsid w:val="00613C4C"/>
    <w:rsid w:val="0061402F"/>
    <w:rsid w:val="0061467B"/>
    <w:rsid w:val="00614A8A"/>
    <w:rsid w:val="0061627D"/>
    <w:rsid w:val="00616694"/>
    <w:rsid w:val="00616A75"/>
    <w:rsid w:val="00616FAE"/>
    <w:rsid w:val="00617121"/>
    <w:rsid w:val="006172B7"/>
    <w:rsid w:val="0061757E"/>
    <w:rsid w:val="00617ED7"/>
    <w:rsid w:val="00620893"/>
    <w:rsid w:val="00621419"/>
    <w:rsid w:val="00621812"/>
    <w:rsid w:val="0062224D"/>
    <w:rsid w:val="006233A0"/>
    <w:rsid w:val="006236F8"/>
    <w:rsid w:val="00623869"/>
    <w:rsid w:val="0062479D"/>
    <w:rsid w:val="00625E89"/>
    <w:rsid w:val="006272E5"/>
    <w:rsid w:val="00627DC4"/>
    <w:rsid w:val="00627E3E"/>
    <w:rsid w:val="0063051B"/>
    <w:rsid w:val="0063084C"/>
    <w:rsid w:val="00631575"/>
    <w:rsid w:val="006324EA"/>
    <w:rsid w:val="00633146"/>
    <w:rsid w:val="0063314D"/>
    <w:rsid w:val="00633AF6"/>
    <w:rsid w:val="0063466E"/>
    <w:rsid w:val="006363CB"/>
    <w:rsid w:val="0063648B"/>
    <w:rsid w:val="00636DE1"/>
    <w:rsid w:val="00641E62"/>
    <w:rsid w:val="00642AAE"/>
    <w:rsid w:val="00642CD9"/>
    <w:rsid w:val="006432A9"/>
    <w:rsid w:val="00643DCD"/>
    <w:rsid w:val="00644CAF"/>
    <w:rsid w:val="00644F75"/>
    <w:rsid w:val="00646B02"/>
    <w:rsid w:val="00646DD8"/>
    <w:rsid w:val="00647763"/>
    <w:rsid w:val="00651E7F"/>
    <w:rsid w:val="006521CA"/>
    <w:rsid w:val="00652855"/>
    <w:rsid w:val="00652B5A"/>
    <w:rsid w:val="0065340C"/>
    <w:rsid w:val="006537B9"/>
    <w:rsid w:val="006541BB"/>
    <w:rsid w:val="00655A95"/>
    <w:rsid w:val="00656012"/>
    <w:rsid w:val="006563BF"/>
    <w:rsid w:val="006564BD"/>
    <w:rsid w:val="00657483"/>
    <w:rsid w:val="0066132C"/>
    <w:rsid w:val="00663245"/>
    <w:rsid w:val="00663861"/>
    <w:rsid w:val="006641E5"/>
    <w:rsid w:val="00664A22"/>
    <w:rsid w:val="006653B3"/>
    <w:rsid w:val="006664FE"/>
    <w:rsid w:val="00666E3C"/>
    <w:rsid w:val="00666E91"/>
    <w:rsid w:val="0066753E"/>
    <w:rsid w:val="00667626"/>
    <w:rsid w:val="00667CC2"/>
    <w:rsid w:val="00667E5F"/>
    <w:rsid w:val="0067113E"/>
    <w:rsid w:val="00671BE4"/>
    <w:rsid w:val="006728F1"/>
    <w:rsid w:val="00672DF8"/>
    <w:rsid w:val="00675DDE"/>
    <w:rsid w:val="006763C7"/>
    <w:rsid w:val="006802AB"/>
    <w:rsid w:val="0068072C"/>
    <w:rsid w:val="006808C2"/>
    <w:rsid w:val="00680D30"/>
    <w:rsid w:val="00681C31"/>
    <w:rsid w:val="00681D18"/>
    <w:rsid w:val="00681D8F"/>
    <w:rsid w:val="00681E09"/>
    <w:rsid w:val="0068263B"/>
    <w:rsid w:val="006827C8"/>
    <w:rsid w:val="006834EB"/>
    <w:rsid w:val="00684C61"/>
    <w:rsid w:val="00685A0E"/>
    <w:rsid w:val="00686863"/>
    <w:rsid w:val="00687198"/>
    <w:rsid w:val="00687427"/>
    <w:rsid w:val="00687E1E"/>
    <w:rsid w:val="00687F81"/>
    <w:rsid w:val="0069033F"/>
    <w:rsid w:val="006913DF"/>
    <w:rsid w:val="006914F9"/>
    <w:rsid w:val="00692052"/>
    <w:rsid w:val="006927B9"/>
    <w:rsid w:val="0069392E"/>
    <w:rsid w:val="00694297"/>
    <w:rsid w:val="0069522F"/>
    <w:rsid w:val="00695250"/>
    <w:rsid w:val="00696603"/>
    <w:rsid w:val="0069666E"/>
    <w:rsid w:val="00697465"/>
    <w:rsid w:val="00697570"/>
    <w:rsid w:val="006976F0"/>
    <w:rsid w:val="00697B99"/>
    <w:rsid w:val="00697C4F"/>
    <w:rsid w:val="006A01AC"/>
    <w:rsid w:val="006A074D"/>
    <w:rsid w:val="006A0781"/>
    <w:rsid w:val="006A30A7"/>
    <w:rsid w:val="006A3935"/>
    <w:rsid w:val="006A3DC0"/>
    <w:rsid w:val="006A3E0F"/>
    <w:rsid w:val="006A4806"/>
    <w:rsid w:val="006A4B62"/>
    <w:rsid w:val="006A511A"/>
    <w:rsid w:val="006A6A6E"/>
    <w:rsid w:val="006A78DF"/>
    <w:rsid w:val="006B0744"/>
    <w:rsid w:val="006B0D20"/>
    <w:rsid w:val="006B1776"/>
    <w:rsid w:val="006B247A"/>
    <w:rsid w:val="006B256B"/>
    <w:rsid w:val="006B2FBE"/>
    <w:rsid w:val="006B364F"/>
    <w:rsid w:val="006B37CD"/>
    <w:rsid w:val="006B4281"/>
    <w:rsid w:val="006B4C45"/>
    <w:rsid w:val="006B566B"/>
    <w:rsid w:val="006B600B"/>
    <w:rsid w:val="006B6480"/>
    <w:rsid w:val="006B6500"/>
    <w:rsid w:val="006B711E"/>
    <w:rsid w:val="006B771F"/>
    <w:rsid w:val="006B7FE4"/>
    <w:rsid w:val="006C0552"/>
    <w:rsid w:val="006C0D55"/>
    <w:rsid w:val="006C1095"/>
    <w:rsid w:val="006C33F3"/>
    <w:rsid w:val="006C4BF2"/>
    <w:rsid w:val="006C5B20"/>
    <w:rsid w:val="006C6458"/>
    <w:rsid w:val="006C6543"/>
    <w:rsid w:val="006C6932"/>
    <w:rsid w:val="006C6E2B"/>
    <w:rsid w:val="006C702F"/>
    <w:rsid w:val="006C75C6"/>
    <w:rsid w:val="006C79CD"/>
    <w:rsid w:val="006C7D5D"/>
    <w:rsid w:val="006D047C"/>
    <w:rsid w:val="006D08E7"/>
    <w:rsid w:val="006D094E"/>
    <w:rsid w:val="006D277F"/>
    <w:rsid w:val="006D2C00"/>
    <w:rsid w:val="006D2F10"/>
    <w:rsid w:val="006D3861"/>
    <w:rsid w:val="006D4A54"/>
    <w:rsid w:val="006D50B0"/>
    <w:rsid w:val="006D57B6"/>
    <w:rsid w:val="006D637E"/>
    <w:rsid w:val="006D6647"/>
    <w:rsid w:val="006D70D3"/>
    <w:rsid w:val="006D7777"/>
    <w:rsid w:val="006E077E"/>
    <w:rsid w:val="006E0A79"/>
    <w:rsid w:val="006E26AA"/>
    <w:rsid w:val="006E2752"/>
    <w:rsid w:val="006E3C43"/>
    <w:rsid w:val="006E486B"/>
    <w:rsid w:val="006E4DF4"/>
    <w:rsid w:val="006E5019"/>
    <w:rsid w:val="006E540C"/>
    <w:rsid w:val="006E584C"/>
    <w:rsid w:val="006E5A61"/>
    <w:rsid w:val="006E6780"/>
    <w:rsid w:val="006E6877"/>
    <w:rsid w:val="006E6E67"/>
    <w:rsid w:val="006E73BF"/>
    <w:rsid w:val="006E73ED"/>
    <w:rsid w:val="006E7D50"/>
    <w:rsid w:val="006F0C19"/>
    <w:rsid w:val="006F0FA0"/>
    <w:rsid w:val="006F234E"/>
    <w:rsid w:val="006F3570"/>
    <w:rsid w:val="006F3C74"/>
    <w:rsid w:val="006F3CB6"/>
    <w:rsid w:val="006F43EC"/>
    <w:rsid w:val="006F441C"/>
    <w:rsid w:val="006F4703"/>
    <w:rsid w:val="006F5A97"/>
    <w:rsid w:val="006F5AAF"/>
    <w:rsid w:val="006F6811"/>
    <w:rsid w:val="006F7940"/>
    <w:rsid w:val="006F7BB5"/>
    <w:rsid w:val="007007B3"/>
    <w:rsid w:val="00700A5E"/>
    <w:rsid w:val="0070218E"/>
    <w:rsid w:val="00702717"/>
    <w:rsid w:val="00703244"/>
    <w:rsid w:val="00703C84"/>
    <w:rsid w:val="00704148"/>
    <w:rsid w:val="00704192"/>
    <w:rsid w:val="00704EB3"/>
    <w:rsid w:val="00704F1C"/>
    <w:rsid w:val="007052D6"/>
    <w:rsid w:val="00705DCD"/>
    <w:rsid w:val="00705E48"/>
    <w:rsid w:val="007060CF"/>
    <w:rsid w:val="00707007"/>
    <w:rsid w:val="007079F9"/>
    <w:rsid w:val="00707F47"/>
    <w:rsid w:val="0071050D"/>
    <w:rsid w:val="00710963"/>
    <w:rsid w:val="0071179A"/>
    <w:rsid w:val="00712923"/>
    <w:rsid w:val="00712D87"/>
    <w:rsid w:val="0071346D"/>
    <w:rsid w:val="00713D74"/>
    <w:rsid w:val="00714070"/>
    <w:rsid w:val="00714C66"/>
    <w:rsid w:val="00714CF6"/>
    <w:rsid w:val="007154F0"/>
    <w:rsid w:val="00715866"/>
    <w:rsid w:val="00715C5D"/>
    <w:rsid w:val="0071605B"/>
    <w:rsid w:val="007167D5"/>
    <w:rsid w:val="00716CC0"/>
    <w:rsid w:val="00717E02"/>
    <w:rsid w:val="00717F56"/>
    <w:rsid w:val="0072025F"/>
    <w:rsid w:val="00720F8A"/>
    <w:rsid w:val="007210E4"/>
    <w:rsid w:val="00721562"/>
    <w:rsid w:val="007218E8"/>
    <w:rsid w:val="00721BD9"/>
    <w:rsid w:val="0072234F"/>
    <w:rsid w:val="007231EB"/>
    <w:rsid w:val="00723C5A"/>
    <w:rsid w:val="00724253"/>
    <w:rsid w:val="0072427A"/>
    <w:rsid w:val="007246FC"/>
    <w:rsid w:val="00724830"/>
    <w:rsid w:val="007249D5"/>
    <w:rsid w:val="00724CD0"/>
    <w:rsid w:val="007251C1"/>
    <w:rsid w:val="00725E5C"/>
    <w:rsid w:val="00725F8D"/>
    <w:rsid w:val="0072631D"/>
    <w:rsid w:val="007265CF"/>
    <w:rsid w:val="007272E1"/>
    <w:rsid w:val="00727E35"/>
    <w:rsid w:val="0073020E"/>
    <w:rsid w:val="00730B3E"/>
    <w:rsid w:val="0073157B"/>
    <w:rsid w:val="00731E01"/>
    <w:rsid w:val="00731EA9"/>
    <w:rsid w:val="007321D5"/>
    <w:rsid w:val="00732D49"/>
    <w:rsid w:val="00733370"/>
    <w:rsid w:val="00733587"/>
    <w:rsid w:val="0073380B"/>
    <w:rsid w:val="0073455F"/>
    <w:rsid w:val="00734DB9"/>
    <w:rsid w:val="00735381"/>
    <w:rsid w:val="00735B7F"/>
    <w:rsid w:val="00735BDB"/>
    <w:rsid w:val="00736CF1"/>
    <w:rsid w:val="00736F75"/>
    <w:rsid w:val="007370EE"/>
    <w:rsid w:val="0073725D"/>
    <w:rsid w:val="007375EA"/>
    <w:rsid w:val="007405BB"/>
    <w:rsid w:val="00740667"/>
    <w:rsid w:val="00741B66"/>
    <w:rsid w:val="00743A7E"/>
    <w:rsid w:val="00743BB1"/>
    <w:rsid w:val="007447FB"/>
    <w:rsid w:val="00744928"/>
    <w:rsid w:val="00745D91"/>
    <w:rsid w:val="00745E38"/>
    <w:rsid w:val="00745F45"/>
    <w:rsid w:val="00746738"/>
    <w:rsid w:val="0074682C"/>
    <w:rsid w:val="0074695F"/>
    <w:rsid w:val="0074764A"/>
    <w:rsid w:val="00752136"/>
    <w:rsid w:val="00753A83"/>
    <w:rsid w:val="007546B0"/>
    <w:rsid w:val="0075476B"/>
    <w:rsid w:val="007553D6"/>
    <w:rsid w:val="00756AAE"/>
    <w:rsid w:val="0075704A"/>
    <w:rsid w:val="0075726C"/>
    <w:rsid w:val="007572C0"/>
    <w:rsid w:val="0075754B"/>
    <w:rsid w:val="00757706"/>
    <w:rsid w:val="0076013E"/>
    <w:rsid w:val="00760A09"/>
    <w:rsid w:val="00761155"/>
    <w:rsid w:val="00762449"/>
    <w:rsid w:val="00762CC9"/>
    <w:rsid w:val="00762D1E"/>
    <w:rsid w:val="00764332"/>
    <w:rsid w:val="007650A2"/>
    <w:rsid w:val="007653D3"/>
    <w:rsid w:val="0076542C"/>
    <w:rsid w:val="00766BA3"/>
    <w:rsid w:val="00766BB9"/>
    <w:rsid w:val="0077101C"/>
    <w:rsid w:val="007713AC"/>
    <w:rsid w:val="007714F6"/>
    <w:rsid w:val="0077209A"/>
    <w:rsid w:val="007722E7"/>
    <w:rsid w:val="00774761"/>
    <w:rsid w:val="00776A48"/>
    <w:rsid w:val="0078268B"/>
    <w:rsid w:val="00782C65"/>
    <w:rsid w:val="00782D9B"/>
    <w:rsid w:val="007832C2"/>
    <w:rsid w:val="00783423"/>
    <w:rsid w:val="00784D9F"/>
    <w:rsid w:val="00785DFF"/>
    <w:rsid w:val="007868B5"/>
    <w:rsid w:val="007869BC"/>
    <w:rsid w:val="00786EDC"/>
    <w:rsid w:val="00787851"/>
    <w:rsid w:val="00787A6A"/>
    <w:rsid w:val="00787CEC"/>
    <w:rsid w:val="00791257"/>
    <w:rsid w:val="00791A92"/>
    <w:rsid w:val="0079211B"/>
    <w:rsid w:val="00792FF2"/>
    <w:rsid w:val="0079348B"/>
    <w:rsid w:val="007936F5"/>
    <w:rsid w:val="00794613"/>
    <w:rsid w:val="00794914"/>
    <w:rsid w:val="00794A4A"/>
    <w:rsid w:val="00795107"/>
    <w:rsid w:val="00795956"/>
    <w:rsid w:val="00795BD6"/>
    <w:rsid w:val="00796386"/>
    <w:rsid w:val="00796EBB"/>
    <w:rsid w:val="00796F26"/>
    <w:rsid w:val="0079735C"/>
    <w:rsid w:val="007A0AA0"/>
    <w:rsid w:val="007A0E32"/>
    <w:rsid w:val="007A16B6"/>
    <w:rsid w:val="007A1873"/>
    <w:rsid w:val="007A1FF3"/>
    <w:rsid w:val="007A2A99"/>
    <w:rsid w:val="007A2BAD"/>
    <w:rsid w:val="007A36F7"/>
    <w:rsid w:val="007A3B6D"/>
    <w:rsid w:val="007A492A"/>
    <w:rsid w:val="007A5499"/>
    <w:rsid w:val="007A54ED"/>
    <w:rsid w:val="007A7613"/>
    <w:rsid w:val="007B0DC0"/>
    <w:rsid w:val="007B2143"/>
    <w:rsid w:val="007B24EE"/>
    <w:rsid w:val="007B2B2F"/>
    <w:rsid w:val="007B47D1"/>
    <w:rsid w:val="007B48A1"/>
    <w:rsid w:val="007B4ECC"/>
    <w:rsid w:val="007B526D"/>
    <w:rsid w:val="007B54C8"/>
    <w:rsid w:val="007B593E"/>
    <w:rsid w:val="007B63C3"/>
    <w:rsid w:val="007B6ACF"/>
    <w:rsid w:val="007B6E97"/>
    <w:rsid w:val="007B6FD2"/>
    <w:rsid w:val="007B7282"/>
    <w:rsid w:val="007B751F"/>
    <w:rsid w:val="007B7AA1"/>
    <w:rsid w:val="007C0DD1"/>
    <w:rsid w:val="007C35A6"/>
    <w:rsid w:val="007C40D0"/>
    <w:rsid w:val="007C40FF"/>
    <w:rsid w:val="007C43EA"/>
    <w:rsid w:val="007C4CC2"/>
    <w:rsid w:val="007C6CCD"/>
    <w:rsid w:val="007C7440"/>
    <w:rsid w:val="007C7EBB"/>
    <w:rsid w:val="007D080D"/>
    <w:rsid w:val="007D0AB5"/>
    <w:rsid w:val="007D14B1"/>
    <w:rsid w:val="007D1658"/>
    <w:rsid w:val="007D2FB2"/>
    <w:rsid w:val="007D3629"/>
    <w:rsid w:val="007D3E53"/>
    <w:rsid w:val="007D5713"/>
    <w:rsid w:val="007D5B2B"/>
    <w:rsid w:val="007D5D1C"/>
    <w:rsid w:val="007D65BE"/>
    <w:rsid w:val="007E025F"/>
    <w:rsid w:val="007E0463"/>
    <w:rsid w:val="007E0A94"/>
    <w:rsid w:val="007E15C0"/>
    <w:rsid w:val="007E15E1"/>
    <w:rsid w:val="007E2641"/>
    <w:rsid w:val="007E2753"/>
    <w:rsid w:val="007E3221"/>
    <w:rsid w:val="007E355A"/>
    <w:rsid w:val="007E3BB6"/>
    <w:rsid w:val="007E418D"/>
    <w:rsid w:val="007E46EF"/>
    <w:rsid w:val="007E5EC0"/>
    <w:rsid w:val="007E644B"/>
    <w:rsid w:val="007E6A4F"/>
    <w:rsid w:val="007E7370"/>
    <w:rsid w:val="007E748A"/>
    <w:rsid w:val="007E7DDD"/>
    <w:rsid w:val="007E7E6F"/>
    <w:rsid w:val="007F0130"/>
    <w:rsid w:val="007F0BF9"/>
    <w:rsid w:val="007F1C1F"/>
    <w:rsid w:val="007F2334"/>
    <w:rsid w:val="007F3322"/>
    <w:rsid w:val="007F359B"/>
    <w:rsid w:val="007F3A6B"/>
    <w:rsid w:val="007F3E21"/>
    <w:rsid w:val="007F3ED9"/>
    <w:rsid w:val="007F518C"/>
    <w:rsid w:val="007F58A5"/>
    <w:rsid w:val="007F715E"/>
    <w:rsid w:val="007F7BA4"/>
    <w:rsid w:val="00800147"/>
    <w:rsid w:val="00800254"/>
    <w:rsid w:val="008002EC"/>
    <w:rsid w:val="00800BD3"/>
    <w:rsid w:val="00801105"/>
    <w:rsid w:val="00801AE2"/>
    <w:rsid w:val="00801B2C"/>
    <w:rsid w:val="0080306A"/>
    <w:rsid w:val="00803428"/>
    <w:rsid w:val="00803733"/>
    <w:rsid w:val="008047F2"/>
    <w:rsid w:val="00804D7C"/>
    <w:rsid w:val="008056DF"/>
    <w:rsid w:val="00806532"/>
    <w:rsid w:val="00807092"/>
    <w:rsid w:val="008071AC"/>
    <w:rsid w:val="00807697"/>
    <w:rsid w:val="008076DA"/>
    <w:rsid w:val="008109D2"/>
    <w:rsid w:val="00810CD9"/>
    <w:rsid w:val="008124CF"/>
    <w:rsid w:val="00812DA0"/>
    <w:rsid w:val="0081350B"/>
    <w:rsid w:val="00813BAC"/>
    <w:rsid w:val="00814072"/>
    <w:rsid w:val="00814D30"/>
    <w:rsid w:val="00815F74"/>
    <w:rsid w:val="00816FAC"/>
    <w:rsid w:val="0081768C"/>
    <w:rsid w:val="00817745"/>
    <w:rsid w:val="00817882"/>
    <w:rsid w:val="008178C3"/>
    <w:rsid w:val="008218FC"/>
    <w:rsid w:val="00821C75"/>
    <w:rsid w:val="0082298A"/>
    <w:rsid w:val="00822EE0"/>
    <w:rsid w:val="008244B3"/>
    <w:rsid w:val="00825187"/>
    <w:rsid w:val="0082552F"/>
    <w:rsid w:val="0082586F"/>
    <w:rsid w:val="00825DD7"/>
    <w:rsid w:val="008263ED"/>
    <w:rsid w:val="00826C50"/>
    <w:rsid w:val="008278CA"/>
    <w:rsid w:val="00827F9C"/>
    <w:rsid w:val="008315EC"/>
    <w:rsid w:val="00831622"/>
    <w:rsid w:val="008318F8"/>
    <w:rsid w:val="008331AB"/>
    <w:rsid w:val="008332C3"/>
    <w:rsid w:val="0083330B"/>
    <w:rsid w:val="00833556"/>
    <w:rsid w:val="008339ED"/>
    <w:rsid w:val="00833F27"/>
    <w:rsid w:val="00834C43"/>
    <w:rsid w:val="00834CDF"/>
    <w:rsid w:val="008359AB"/>
    <w:rsid w:val="00835B0D"/>
    <w:rsid w:val="00835CBC"/>
    <w:rsid w:val="00835FAD"/>
    <w:rsid w:val="00836133"/>
    <w:rsid w:val="00836D04"/>
    <w:rsid w:val="00840025"/>
    <w:rsid w:val="00840028"/>
    <w:rsid w:val="0084038A"/>
    <w:rsid w:val="00840BBA"/>
    <w:rsid w:val="00841202"/>
    <w:rsid w:val="00841A94"/>
    <w:rsid w:val="008422EF"/>
    <w:rsid w:val="00842474"/>
    <w:rsid w:val="0084269D"/>
    <w:rsid w:val="0084293F"/>
    <w:rsid w:val="008431E4"/>
    <w:rsid w:val="0084344B"/>
    <w:rsid w:val="00844578"/>
    <w:rsid w:val="00844A29"/>
    <w:rsid w:val="00844E6A"/>
    <w:rsid w:val="00845A47"/>
    <w:rsid w:val="00846F77"/>
    <w:rsid w:val="008470A3"/>
    <w:rsid w:val="008501B4"/>
    <w:rsid w:val="0085183A"/>
    <w:rsid w:val="00853359"/>
    <w:rsid w:val="00853608"/>
    <w:rsid w:val="00853746"/>
    <w:rsid w:val="008554C9"/>
    <w:rsid w:val="00856CBE"/>
    <w:rsid w:val="00857B1F"/>
    <w:rsid w:val="008606F7"/>
    <w:rsid w:val="00860A6C"/>
    <w:rsid w:val="00860E08"/>
    <w:rsid w:val="008612BD"/>
    <w:rsid w:val="008628F5"/>
    <w:rsid w:val="00862EBF"/>
    <w:rsid w:val="00863D55"/>
    <w:rsid w:val="00863F00"/>
    <w:rsid w:val="00866C3D"/>
    <w:rsid w:val="00866D1B"/>
    <w:rsid w:val="00866DA6"/>
    <w:rsid w:val="0086749E"/>
    <w:rsid w:val="00867769"/>
    <w:rsid w:val="00870112"/>
    <w:rsid w:val="00870706"/>
    <w:rsid w:val="0087077E"/>
    <w:rsid w:val="00870E15"/>
    <w:rsid w:val="00870E83"/>
    <w:rsid w:val="00872BAF"/>
    <w:rsid w:val="00872BD0"/>
    <w:rsid w:val="00873110"/>
    <w:rsid w:val="008744E0"/>
    <w:rsid w:val="00874B71"/>
    <w:rsid w:val="008752F4"/>
    <w:rsid w:val="008757F2"/>
    <w:rsid w:val="00875BD3"/>
    <w:rsid w:val="0087675E"/>
    <w:rsid w:val="00877466"/>
    <w:rsid w:val="0088055A"/>
    <w:rsid w:val="0088063E"/>
    <w:rsid w:val="008818D0"/>
    <w:rsid w:val="0088194B"/>
    <w:rsid w:val="00882220"/>
    <w:rsid w:val="008829BC"/>
    <w:rsid w:val="00884443"/>
    <w:rsid w:val="008849DF"/>
    <w:rsid w:val="00884A2E"/>
    <w:rsid w:val="008857BA"/>
    <w:rsid w:val="0088615A"/>
    <w:rsid w:val="00886AFC"/>
    <w:rsid w:val="0089063B"/>
    <w:rsid w:val="008916D0"/>
    <w:rsid w:val="00891CEB"/>
    <w:rsid w:val="00892167"/>
    <w:rsid w:val="00893805"/>
    <w:rsid w:val="00893C27"/>
    <w:rsid w:val="00893C9C"/>
    <w:rsid w:val="00894FC1"/>
    <w:rsid w:val="00895502"/>
    <w:rsid w:val="0089602E"/>
    <w:rsid w:val="0089688E"/>
    <w:rsid w:val="00896C1B"/>
    <w:rsid w:val="0089774B"/>
    <w:rsid w:val="008A0270"/>
    <w:rsid w:val="008A0C54"/>
    <w:rsid w:val="008A142D"/>
    <w:rsid w:val="008A1685"/>
    <w:rsid w:val="008A1C88"/>
    <w:rsid w:val="008A2004"/>
    <w:rsid w:val="008A21AD"/>
    <w:rsid w:val="008A26E6"/>
    <w:rsid w:val="008A2D23"/>
    <w:rsid w:val="008A40A2"/>
    <w:rsid w:val="008A4375"/>
    <w:rsid w:val="008A53A6"/>
    <w:rsid w:val="008A591E"/>
    <w:rsid w:val="008A59E3"/>
    <w:rsid w:val="008A708D"/>
    <w:rsid w:val="008B1139"/>
    <w:rsid w:val="008B1540"/>
    <w:rsid w:val="008B2953"/>
    <w:rsid w:val="008B29BA"/>
    <w:rsid w:val="008B39D5"/>
    <w:rsid w:val="008B3AB5"/>
    <w:rsid w:val="008B4D4E"/>
    <w:rsid w:val="008B6CA4"/>
    <w:rsid w:val="008B6D0B"/>
    <w:rsid w:val="008B6EC0"/>
    <w:rsid w:val="008B75DA"/>
    <w:rsid w:val="008B7B19"/>
    <w:rsid w:val="008C00CF"/>
    <w:rsid w:val="008C10E4"/>
    <w:rsid w:val="008C143D"/>
    <w:rsid w:val="008C1B50"/>
    <w:rsid w:val="008C1B5C"/>
    <w:rsid w:val="008C1B96"/>
    <w:rsid w:val="008C1E90"/>
    <w:rsid w:val="008C208C"/>
    <w:rsid w:val="008C2B6C"/>
    <w:rsid w:val="008C3050"/>
    <w:rsid w:val="008C31F4"/>
    <w:rsid w:val="008C3F89"/>
    <w:rsid w:val="008C43C7"/>
    <w:rsid w:val="008C46E3"/>
    <w:rsid w:val="008C551C"/>
    <w:rsid w:val="008C5936"/>
    <w:rsid w:val="008C5DD2"/>
    <w:rsid w:val="008C6960"/>
    <w:rsid w:val="008C6AC8"/>
    <w:rsid w:val="008C6ACF"/>
    <w:rsid w:val="008C749E"/>
    <w:rsid w:val="008C794A"/>
    <w:rsid w:val="008C79C4"/>
    <w:rsid w:val="008D0151"/>
    <w:rsid w:val="008D03CE"/>
    <w:rsid w:val="008D1737"/>
    <w:rsid w:val="008D1A86"/>
    <w:rsid w:val="008D1DD5"/>
    <w:rsid w:val="008D2BA9"/>
    <w:rsid w:val="008D31E0"/>
    <w:rsid w:val="008D37F9"/>
    <w:rsid w:val="008D3D6F"/>
    <w:rsid w:val="008D4205"/>
    <w:rsid w:val="008D4496"/>
    <w:rsid w:val="008D458C"/>
    <w:rsid w:val="008D53B8"/>
    <w:rsid w:val="008D579F"/>
    <w:rsid w:val="008D5A55"/>
    <w:rsid w:val="008E0086"/>
    <w:rsid w:val="008E0FFF"/>
    <w:rsid w:val="008E1506"/>
    <w:rsid w:val="008E17E7"/>
    <w:rsid w:val="008E19C8"/>
    <w:rsid w:val="008E2513"/>
    <w:rsid w:val="008E2C2F"/>
    <w:rsid w:val="008E2E21"/>
    <w:rsid w:val="008E37C3"/>
    <w:rsid w:val="008E3D2E"/>
    <w:rsid w:val="008E4764"/>
    <w:rsid w:val="008E49C4"/>
    <w:rsid w:val="008E5307"/>
    <w:rsid w:val="008E53E1"/>
    <w:rsid w:val="008E54CB"/>
    <w:rsid w:val="008E5BCD"/>
    <w:rsid w:val="008E5BFA"/>
    <w:rsid w:val="008E62EB"/>
    <w:rsid w:val="008E6C52"/>
    <w:rsid w:val="008E7002"/>
    <w:rsid w:val="008E7F8A"/>
    <w:rsid w:val="008F0ACB"/>
    <w:rsid w:val="008F1003"/>
    <w:rsid w:val="008F1281"/>
    <w:rsid w:val="008F157B"/>
    <w:rsid w:val="008F15DF"/>
    <w:rsid w:val="008F189F"/>
    <w:rsid w:val="008F298A"/>
    <w:rsid w:val="008F2BE8"/>
    <w:rsid w:val="008F3280"/>
    <w:rsid w:val="008F3FFB"/>
    <w:rsid w:val="008F4267"/>
    <w:rsid w:val="008F43D2"/>
    <w:rsid w:val="008F500F"/>
    <w:rsid w:val="008F52C0"/>
    <w:rsid w:val="008F5383"/>
    <w:rsid w:val="008F5425"/>
    <w:rsid w:val="008F5658"/>
    <w:rsid w:val="008F56CB"/>
    <w:rsid w:val="008F59FC"/>
    <w:rsid w:val="008F5A4C"/>
    <w:rsid w:val="008F5C80"/>
    <w:rsid w:val="008F5EB3"/>
    <w:rsid w:val="008F738C"/>
    <w:rsid w:val="008F78AE"/>
    <w:rsid w:val="008F7F0D"/>
    <w:rsid w:val="008F7FE1"/>
    <w:rsid w:val="009000E4"/>
    <w:rsid w:val="00900AD9"/>
    <w:rsid w:val="00902B7A"/>
    <w:rsid w:val="00903684"/>
    <w:rsid w:val="00903C27"/>
    <w:rsid w:val="00904130"/>
    <w:rsid w:val="00904B00"/>
    <w:rsid w:val="00904EAB"/>
    <w:rsid w:val="009070CE"/>
    <w:rsid w:val="00907E23"/>
    <w:rsid w:val="00911552"/>
    <w:rsid w:val="009131FB"/>
    <w:rsid w:val="0091334D"/>
    <w:rsid w:val="00913738"/>
    <w:rsid w:val="009140A4"/>
    <w:rsid w:val="009149AD"/>
    <w:rsid w:val="00914DB8"/>
    <w:rsid w:val="00915A32"/>
    <w:rsid w:val="0091616C"/>
    <w:rsid w:val="00916935"/>
    <w:rsid w:val="00916D4E"/>
    <w:rsid w:val="00917012"/>
    <w:rsid w:val="00917BFC"/>
    <w:rsid w:val="00917CED"/>
    <w:rsid w:val="00920283"/>
    <w:rsid w:val="0092033B"/>
    <w:rsid w:val="00920900"/>
    <w:rsid w:val="00920FE2"/>
    <w:rsid w:val="00922A69"/>
    <w:rsid w:val="00923405"/>
    <w:rsid w:val="00923676"/>
    <w:rsid w:val="009238A2"/>
    <w:rsid w:val="00924350"/>
    <w:rsid w:val="00924ADC"/>
    <w:rsid w:val="00924B84"/>
    <w:rsid w:val="0092500F"/>
    <w:rsid w:val="009250AE"/>
    <w:rsid w:val="0092514B"/>
    <w:rsid w:val="00925BED"/>
    <w:rsid w:val="00925D61"/>
    <w:rsid w:val="009265A0"/>
    <w:rsid w:val="009268B3"/>
    <w:rsid w:val="009279A6"/>
    <w:rsid w:val="0093123F"/>
    <w:rsid w:val="00931FC8"/>
    <w:rsid w:val="00932651"/>
    <w:rsid w:val="009332FE"/>
    <w:rsid w:val="0093410F"/>
    <w:rsid w:val="009341E8"/>
    <w:rsid w:val="00934260"/>
    <w:rsid w:val="009343E2"/>
    <w:rsid w:val="009344F1"/>
    <w:rsid w:val="0093450B"/>
    <w:rsid w:val="009345CC"/>
    <w:rsid w:val="00934C94"/>
    <w:rsid w:val="0093526D"/>
    <w:rsid w:val="00935F45"/>
    <w:rsid w:val="009369FB"/>
    <w:rsid w:val="00937660"/>
    <w:rsid w:val="00937957"/>
    <w:rsid w:val="00937E02"/>
    <w:rsid w:val="009401EA"/>
    <w:rsid w:val="00940BEA"/>
    <w:rsid w:val="0094218C"/>
    <w:rsid w:val="0094254C"/>
    <w:rsid w:val="00943D97"/>
    <w:rsid w:val="00943DC0"/>
    <w:rsid w:val="009448BF"/>
    <w:rsid w:val="0094526C"/>
    <w:rsid w:val="009466E0"/>
    <w:rsid w:val="009467A7"/>
    <w:rsid w:val="00946FFE"/>
    <w:rsid w:val="009472EA"/>
    <w:rsid w:val="009473BE"/>
    <w:rsid w:val="00947C66"/>
    <w:rsid w:val="00950562"/>
    <w:rsid w:val="00950A25"/>
    <w:rsid w:val="00950A2D"/>
    <w:rsid w:val="00950F04"/>
    <w:rsid w:val="00951F48"/>
    <w:rsid w:val="0095366A"/>
    <w:rsid w:val="00953863"/>
    <w:rsid w:val="0095395B"/>
    <w:rsid w:val="00954C5D"/>
    <w:rsid w:val="00954F30"/>
    <w:rsid w:val="00955284"/>
    <w:rsid w:val="00955AE7"/>
    <w:rsid w:val="009578F9"/>
    <w:rsid w:val="00957CAE"/>
    <w:rsid w:val="0096014B"/>
    <w:rsid w:val="00961AEA"/>
    <w:rsid w:val="00961B0C"/>
    <w:rsid w:val="00961B9B"/>
    <w:rsid w:val="00962555"/>
    <w:rsid w:val="00962DA3"/>
    <w:rsid w:val="00963436"/>
    <w:rsid w:val="009635D0"/>
    <w:rsid w:val="009638DE"/>
    <w:rsid w:val="00963BEB"/>
    <w:rsid w:val="009644EA"/>
    <w:rsid w:val="00964745"/>
    <w:rsid w:val="00964C02"/>
    <w:rsid w:val="009650F7"/>
    <w:rsid w:val="0096552C"/>
    <w:rsid w:val="00966C70"/>
    <w:rsid w:val="00966E60"/>
    <w:rsid w:val="00966F38"/>
    <w:rsid w:val="00970032"/>
    <w:rsid w:val="009702A0"/>
    <w:rsid w:val="00971A6D"/>
    <w:rsid w:val="00971B82"/>
    <w:rsid w:val="00971BAE"/>
    <w:rsid w:val="0097215C"/>
    <w:rsid w:val="00973386"/>
    <w:rsid w:val="0097376F"/>
    <w:rsid w:val="0097440C"/>
    <w:rsid w:val="00974495"/>
    <w:rsid w:val="009745BE"/>
    <w:rsid w:val="00974F58"/>
    <w:rsid w:val="009755E8"/>
    <w:rsid w:val="009757A3"/>
    <w:rsid w:val="00976719"/>
    <w:rsid w:val="0097740B"/>
    <w:rsid w:val="00977B7E"/>
    <w:rsid w:val="009804F9"/>
    <w:rsid w:val="00980C1D"/>
    <w:rsid w:val="00980D02"/>
    <w:rsid w:val="009810AF"/>
    <w:rsid w:val="009811F5"/>
    <w:rsid w:val="009817D0"/>
    <w:rsid w:val="009826FE"/>
    <w:rsid w:val="00982A68"/>
    <w:rsid w:val="00982B27"/>
    <w:rsid w:val="00982F01"/>
    <w:rsid w:val="00983685"/>
    <w:rsid w:val="00984153"/>
    <w:rsid w:val="00984FA6"/>
    <w:rsid w:val="0098527F"/>
    <w:rsid w:val="009860A1"/>
    <w:rsid w:val="00987179"/>
    <w:rsid w:val="00990257"/>
    <w:rsid w:val="0099100F"/>
    <w:rsid w:val="00991C1F"/>
    <w:rsid w:val="00992206"/>
    <w:rsid w:val="009922DE"/>
    <w:rsid w:val="00992510"/>
    <w:rsid w:val="009927D2"/>
    <w:rsid w:val="009931C7"/>
    <w:rsid w:val="00994178"/>
    <w:rsid w:val="009944E4"/>
    <w:rsid w:val="00994A6E"/>
    <w:rsid w:val="009950E6"/>
    <w:rsid w:val="0099581C"/>
    <w:rsid w:val="00995F77"/>
    <w:rsid w:val="009967D7"/>
    <w:rsid w:val="00996BFB"/>
    <w:rsid w:val="00997015"/>
    <w:rsid w:val="0099777F"/>
    <w:rsid w:val="009979DB"/>
    <w:rsid w:val="00997E7E"/>
    <w:rsid w:val="009A0027"/>
    <w:rsid w:val="009A0087"/>
    <w:rsid w:val="009A1A2D"/>
    <w:rsid w:val="009A3631"/>
    <w:rsid w:val="009A4F9E"/>
    <w:rsid w:val="009A69AF"/>
    <w:rsid w:val="009A6BD6"/>
    <w:rsid w:val="009A75DA"/>
    <w:rsid w:val="009B06C6"/>
    <w:rsid w:val="009B1B9B"/>
    <w:rsid w:val="009B1F7B"/>
    <w:rsid w:val="009B21BA"/>
    <w:rsid w:val="009B279C"/>
    <w:rsid w:val="009B2DF7"/>
    <w:rsid w:val="009B3061"/>
    <w:rsid w:val="009B4159"/>
    <w:rsid w:val="009B4596"/>
    <w:rsid w:val="009B696F"/>
    <w:rsid w:val="009B6AF3"/>
    <w:rsid w:val="009B6D96"/>
    <w:rsid w:val="009B7575"/>
    <w:rsid w:val="009B7C1E"/>
    <w:rsid w:val="009C0AA2"/>
    <w:rsid w:val="009C0E3B"/>
    <w:rsid w:val="009C2814"/>
    <w:rsid w:val="009C31F5"/>
    <w:rsid w:val="009C39BB"/>
    <w:rsid w:val="009C506D"/>
    <w:rsid w:val="009C53B3"/>
    <w:rsid w:val="009C6DED"/>
    <w:rsid w:val="009C74FB"/>
    <w:rsid w:val="009D13E4"/>
    <w:rsid w:val="009D2E8C"/>
    <w:rsid w:val="009D4840"/>
    <w:rsid w:val="009D558E"/>
    <w:rsid w:val="009D5C8E"/>
    <w:rsid w:val="009D6103"/>
    <w:rsid w:val="009D67F8"/>
    <w:rsid w:val="009D6A67"/>
    <w:rsid w:val="009D6CD9"/>
    <w:rsid w:val="009D70F3"/>
    <w:rsid w:val="009D73E0"/>
    <w:rsid w:val="009D7718"/>
    <w:rsid w:val="009D7930"/>
    <w:rsid w:val="009E00E5"/>
    <w:rsid w:val="009E239F"/>
    <w:rsid w:val="009E3584"/>
    <w:rsid w:val="009E4944"/>
    <w:rsid w:val="009E5E14"/>
    <w:rsid w:val="009E64E3"/>
    <w:rsid w:val="009E6630"/>
    <w:rsid w:val="009E7286"/>
    <w:rsid w:val="009E7B45"/>
    <w:rsid w:val="009F0B19"/>
    <w:rsid w:val="009F20EB"/>
    <w:rsid w:val="009F2B50"/>
    <w:rsid w:val="009F2FD3"/>
    <w:rsid w:val="009F42A3"/>
    <w:rsid w:val="009F4C5A"/>
    <w:rsid w:val="009F5B46"/>
    <w:rsid w:val="009F6941"/>
    <w:rsid w:val="009F7502"/>
    <w:rsid w:val="009F7BB0"/>
    <w:rsid w:val="00A0001E"/>
    <w:rsid w:val="00A034A9"/>
    <w:rsid w:val="00A0461E"/>
    <w:rsid w:val="00A05269"/>
    <w:rsid w:val="00A07986"/>
    <w:rsid w:val="00A07E1B"/>
    <w:rsid w:val="00A10A58"/>
    <w:rsid w:val="00A10DF3"/>
    <w:rsid w:val="00A113AB"/>
    <w:rsid w:val="00A11527"/>
    <w:rsid w:val="00A13222"/>
    <w:rsid w:val="00A143B8"/>
    <w:rsid w:val="00A15FAB"/>
    <w:rsid w:val="00A1728F"/>
    <w:rsid w:val="00A20329"/>
    <w:rsid w:val="00A2054E"/>
    <w:rsid w:val="00A227CD"/>
    <w:rsid w:val="00A22CBD"/>
    <w:rsid w:val="00A22FFD"/>
    <w:rsid w:val="00A23104"/>
    <w:rsid w:val="00A247D4"/>
    <w:rsid w:val="00A248D6"/>
    <w:rsid w:val="00A24ECB"/>
    <w:rsid w:val="00A2631C"/>
    <w:rsid w:val="00A26AC3"/>
    <w:rsid w:val="00A27A2B"/>
    <w:rsid w:val="00A27C13"/>
    <w:rsid w:val="00A30693"/>
    <w:rsid w:val="00A308F7"/>
    <w:rsid w:val="00A30942"/>
    <w:rsid w:val="00A30F77"/>
    <w:rsid w:val="00A316AC"/>
    <w:rsid w:val="00A320BA"/>
    <w:rsid w:val="00A32B31"/>
    <w:rsid w:val="00A33419"/>
    <w:rsid w:val="00A33494"/>
    <w:rsid w:val="00A3366E"/>
    <w:rsid w:val="00A33ECC"/>
    <w:rsid w:val="00A33EFE"/>
    <w:rsid w:val="00A34C68"/>
    <w:rsid w:val="00A35AD4"/>
    <w:rsid w:val="00A3639F"/>
    <w:rsid w:val="00A36730"/>
    <w:rsid w:val="00A367CC"/>
    <w:rsid w:val="00A37695"/>
    <w:rsid w:val="00A40640"/>
    <w:rsid w:val="00A411FB"/>
    <w:rsid w:val="00A41995"/>
    <w:rsid w:val="00A43294"/>
    <w:rsid w:val="00A4387E"/>
    <w:rsid w:val="00A440C9"/>
    <w:rsid w:val="00A4467F"/>
    <w:rsid w:val="00A45A9A"/>
    <w:rsid w:val="00A46A45"/>
    <w:rsid w:val="00A4716F"/>
    <w:rsid w:val="00A47181"/>
    <w:rsid w:val="00A51616"/>
    <w:rsid w:val="00A51A24"/>
    <w:rsid w:val="00A51E33"/>
    <w:rsid w:val="00A51FA6"/>
    <w:rsid w:val="00A528C1"/>
    <w:rsid w:val="00A52BB0"/>
    <w:rsid w:val="00A52EF5"/>
    <w:rsid w:val="00A52F45"/>
    <w:rsid w:val="00A5300F"/>
    <w:rsid w:val="00A531F1"/>
    <w:rsid w:val="00A532C3"/>
    <w:rsid w:val="00A5357F"/>
    <w:rsid w:val="00A53C67"/>
    <w:rsid w:val="00A540D9"/>
    <w:rsid w:val="00A54785"/>
    <w:rsid w:val="00A54FC0"/>
    <w:rsid w:val="00A550A6"/>
    <w:rsid w:val="00A555B6"/>
    <w:rsid w:val="00A55C05"/>
    <w:rsid w:val="00A56336"/>
    <w:rsid w:val="00A56470"/>
    <w:rsid w:val="00A5737D"/>
    <w:rsid w:val="00A57743"/>
    <w:rsid w:val="00A6050F"/>
    <w:rsid w:val="00A6068A"/>
    <w:rsid w:val="00A60A1D"/>
    <w:rsid w:val="00A61083"/>
    <w:rsid w:val="00A611A4"/>
    <w:rsid w:val="00A61325"/>
    <w:rsid w:val="00A6167A"/>
    <w:rsid w:val="00A61FCC"/>
    <w:rsid w:val="00A628E0"/>
    <w:rsid w:val="00A63677"/>
    <w:rsid w:val="00A64329"/>
    <w:rsid w:val="00A643E3"/>
    <w:rsid w:val="00A647B5"/>
    <w:rsid w:val="00A648AD"/>
    <w:rsid w:val="00A65C6C"/>
    <w:rsid w:val="00A663E0"/>
    <w:rsid w:val="00A66E4A"/>
    <w:rsid w:val="00A67139"/>
    <w:rsid w:val="00A672DE"/>
    <w:rsid w:val="00A6779C"/>
    <w:rsid w:val="00A67D06"/>
    <w:rsid w:val="00A721CE"/>
    <w:rsid w:val="00A72918"/>
    <w:rsid w:val="00A73ECD"/>
    <w:rsid w:val="00A74619"/>
    <w:rsid w:val="00A7495B"/>
    <w:rsid w:val="00A74DF0"/>
    <w:rsid w:val="00A74E25"/>
    <w:rsid w:val="00A765D3"/>
    <w:rsid w:val="00A775D7"/>
    <w:rsid w:val="00A7781A"/>
    <w:rsid w:val="00A8085A"/>
    <w:rsid w:val="00A80AD2"/>
    <w:rsid w:val="00A8161B"/>
    <w:rsid w:val="00A821EA"/>
    <w:rsid w:val="00A82517"/>
    <w:rsid w:val="00A82614"/>
    <w:rsid w:val="00A82F55"/>
    <w:rsid w:val="00A83C7F"/>
    <w:rsid w:val="00A83E43"/>
    <w:rsid w:val="00A843E4"/>
    <w:rsid w:val="00A84A6C"/>
    <w:rsid w:val="00A851C5"/>
    <w:rsid w:val="00A86433"/>
    <w:rsid w:val="00A867DF"/>
    <w:rsid w:val="00A87E29"/>
    <w:rsid w:val="00A907B8"/>
    <w:rsid w:val="00A917A5"/>
    <w:rsid w:val="00A92659"/>
    <w:rsid w:val="00A926E8"/>
    <w:rsid w:val="00A931DA"/>
    <w:rsid w:val="00A9347C"/>
    <w:rsid w:val="00A9383B"/>
    <w:rsid w:val="00A93B01"/>
    <w:rsid w:val="00A9497F"/>
    <w:rsid w:val="00A9650B"/>
    <w:rsid w:val="00A968A6"/>
    <w:rsid w:val="00A96E8F"/>
    <w:rsid w:val="00A970A6"/>
    <w:rsid w:val="00A97701"/>
    <w:rsid w:val="00A97925"/>
    <w:rsid w:val="00AA02EA"/>
    <w:rsid w:val="00AA0330"/>
    <w:rsid w:val="00AA089B"/>
    <w:rsid w:val="00AA094F"/>
    <w:rsid w:val="00AA3B25"/>
    <w:rsid w:val="00AA48FC"/>
    <w:rsid w:val="00AA6354"/>
    <w:rsid w:val="00AA6878"/>
    <w:rsid w:val="00AA6A6C"/>
    <w:rsid w:val="00AA6F6E"/>
    <w:rsid w:val="00AA7920"/>
    <w:rsid w:val="00AA793B"/>
    <w:rsid w:val="00AB0547"/>
    <w:rsid w:val="00AB26F6"/>
    <w:rsid w:val="00AB295A"/>
    <w:rsid w:val="00AB34E4"/>
    <w:rsid w:val="00AB4A24"/>
    <w:rsid w:val="00AB58AB"/>
    <w:rsid w:val="00AB69D6"/>
    <w:rsid w:val="00AB6D1E"/>
    <w:rsid w:val="00AB707F"/>
    <w:rsid w:val="00AB7249"/>
    <w:rsid w:val="00AB7733"/>
    <w:rsid w:val="00AC028B"/>
    <w:rsid w:val="00AC0500"/>
    <w:rsid w:val="00AC07C9"/>
    <w:rsid w:val="00AC28FB"/>
    <w:rsid w:val="00AC2B78"/>
    <w:rsid w:val="00AC2B7B"/>
    <w:rsid w:val="00AC33AE"/>
    <w:rsid w:val="00AC4D94"/>
    <w:rsid w:val="00AC5A91"/>
    <w:rsid w:val="00AC5B16"/>
    <w:rsid w:val="00AC5C25"/>
    <w:rsid w:val="00AC5FFE"/>
    <w:rsid w:val="00AC61B7"/>
    <w:rsid w:val="00AC6F69"/>
    <w:rsid w:val="00AC7A65"/>
    <w:rsid w:val="00AD107B"/>
    <w:rsid w:val="00AD15E3"/>
    <w:rsid w:val="00AD1A64"/>
    <w:rsid w:val="00AD1FDC"/>
    <w:rsid w:val="00AD2934"/>
    <w:rsid w:val="00AD4B22"/>
    <w:rsid w:val="00AD4DED"/>
    <w:rsid w:val="00AD587A"/>
    <w:rsid w:val="00AD5970"/>
    <w:rsid w:val="00AD5CD8"/>
    <w:rsid w:val="00AD67A8"/>
    <w:rsid w:val="00AD7360"/>
    <w:rsid w:val="00AD7DC6"/>
    <w:rsid w:val="00AD7E6E"/>
    <w:rsid w:val="00AE00E5"/>
    <w:rsid w:val="00AE01DB"/>
    <w:rsid w:val="00AE08A6"/>
    <w:rsid w:val="00AE0A91"/>
    <w:rsid w:val="00AE1D55"/>
    <w:rsid w:val="00AE1D7D"/>
    <w:rsid w:val="00AE2091"/>
    <w:rsid w:val="00AE39A6"/>
    <w:rsid w:val="00AE39F3"/>
    <w:rsid w:val="00AE3BE8"/>
    <w:rsid w:val="00AE4D48"/>
    <w:rsid w:val="00AE4DE4"/>
    <w:rsid w:val="00AE6B98"/>
    <w:rsid w:val="00AF09C4"/>
    <w:rsid w:val="00AF0D15"/>
    <w:rsid w:val="00AF0FC4"/>
    <w:rsid w:val="00AF128C"/>
    <w:rsid w:val="00AF1D4E"/>
    <w:rsid w:val="00AF20E7"/>
    <w:rsid w:val="00AF26EE"/>
    <w:rsid w:val="00AF2831"/>
    <w:rsid w:val="00AF34B6"/>
    <w:rsid w:val="00AF4E51"/>
    <w:rsid w:val="00AF549A"/>
    <w:rsid w:val="00AF5CA1"/>
    <w:rsid w:val="00AF5D3B"/>
    <w:rsid w:val="00AF63F1"/>
    <w:rsid w:val="00AF66E1"/>
    <w:rsid w:val="00AF69C8"/>
    <w:rsid w:val="00AF6EE9"/>
    <w:rsid w:val="00AF7376"/>
    <w:rsid w:val="00AF7C03"/>
    <w:rsid w:val="00AF7D86"/>
    <w:rsid w:val="00AF7D95"/>
    <w:rsid w:val="00B000FD"/>
    <w:rsid w:val="00B00859"/>
    <w:rsid w:val="00B00A27"/>
    <w:rsid w:val="00B010A4"/>
    <w:rsid w:val="00B01486"/>
    <w:rsid w:val="00B030E8"/>
    <w:rsid w:val="00B0394F"/>
    <w:rsid w:val="00B056DE"/>
    <w:rsid w:val="00B058F7"/>
    <w:rsid w:val="00B0680E"/>
    <w:rsid w:val="00B074A8"/>
    <w:rsid w:val="00B07EDC"/>
    <w:rsid w:val="00B10688"/>
    <w:rsid w:val="00B1145F"/>
    <w:rsid w:val="00B114EA"/>
    <w:rsid w:val="00B116FA"/>
    <w:rsid w:val="00B127CC"/>
    <w:rsid w:val="00B12BA7"/>
    <w:rsid w:val="00B13679"/>
    <w:rsid w:val="00B13CF1"/>
    <w:rsid w:val="00B15258"/>
    <w:rsid w:val="00B15C77"/>
    <w:rsid w:val="00B16432"/>
    <w:rsid w:val="00B1668D"/>
    <w:rsid w:val="00B16800"/>
    <w:rsid w:val="00B16935"/>
    <w:rsid w:val="00B16D62"/>
    <w:rsid w:val="00B17843"/>
    <w:rsid w:val="00B215E6"/>
    <w:rsid w:val="00B22164"/>
    <w:rsid w:val="00B228AD"/>
    <w:rsid w:val="00B22BA4"/>
    <w:rsid w:val="00B23685"/>
    <w:rsid w:val="00B23CD3"/>
    <w:rsid w:val="00B26049"/>
    <w:rsid w:val="00B26671"/>
    <w:rsid w:val="00B27AAA"/>
    <w:rsid w:val="00B30B56"/>
    <w:rsid w:val="00B30F6D"/>
    <w:rsid w:val="00B3103E"/>
    <w:rsid w:val="00B319B0"/>
    <w:rsid w:val="00B31C84"/>
    <w:rsid w:val="00B31E47"/>
    <w:rsid w:val="00B321CD"/>
    <w:rsid w:val="00B33126"/>
    <w:rsid w:val="00B34C95"/>
    <w:rsid w:val="00B3510B"/>
    <w:rsid w:val="00B35E9E"/>
    <w:rsid w:val="00B360C1"/>
    <w:rsid w:val="00B36716"/>
    <w:rsid w:val="00B37636"/>
    <w:rsid w:val="00B376AC"/>
    <w:rsid w:val="00B376EA"/>
    <w:rsid w:val="00B37703"/>
    <w:rsid w:val="00B40208"/>
    <w:rsid w:val="00B406C1"/>
    <w:rsid w:val="00B40B6F"/>
    <w:rsid w:val="00B4181B"/>
    <w:rsid w:val="00B43302"/>
    <w:rsid w:val="00B438F7"/>
    <w:rsid w:val="00B44696"/>
    <w:rsid w:val="00B44787"/>
    <w:rsid w:val="00B447B0"/>
    <w:rsid w:val="00B44C04"/>
    <w:rsid w:val="00B4569C"/>
    <w:rsid w:val="00B4610D"/>
    <w:rsid w:val="00B46C68"/>
    <w:rsid w:val="00B47222"/>
    <w:rsid w:val="00B477F8"/>
    <w:rsid w:val="00B47A76"/>
    <w:rsid w:val="00B502E9"/>
    <w:rsid w:val="00B50518"/>
    <w:rsid w:val="00B50655"/>
    <w:rsid w:val="00B5095A"/>
    <w:rsid w:val="00B53A70"/>
    <w:rsid w:val="00B53C51"/>
    <w:rsid w:val="00B53EE3"/>
    <w:rsid w:val="00B54C9B"/>
    <w:rsid w:val="00B55203"/>
    <w:rsid w:val="00B560A4"/>
    <w:rsid w:val="00B5663C"/>
    <w:rsid w:val="00B56B6C"/>
    <w:rsid w:val="00B56E5E"/>
    <w:rsid w:val="00B574ED"/>
    <w:rsid w:val="00B57683"/>
    <w:rsid w:val="00B607FC"/>
    <w:rsid w:val="00B6222B"/>
    <w:rsid w:val="00B62534"/>
    <w:rsid w:val="00B647C3"/>
    <w:rsid w:val="00B64DE7"/>
    <w:rsid w:val="00B65228"/>
    <w:rsid w:val="00B6572D"/>
    <w:rsid w:val="00B65EDE"/>
    <w:rsid w:val="00B663DB"/>
    <w:rsid w:val="00B67C78"/>
    <w:rsid w:val="00B701E2"/>
    <w:rsid w:val="00B70D64"/>
    <w:rsid w:val="00B71D79"/>
    <w:rsid w:val="00B72026"/>
    <w:rsid w:val="00B724EB"/>
    <w:rsid w:val="00B72C04"/>
    <w:rsid w:val="00B73634"/>
    <w:rsid w:val="00B74451"/>
    <w:rsid w:val="00B74756"/>
    <w:rsid w:val="00B74B41"/>
    <w:rsid w:val="00B74DE6"/>
    <w:rsid w:val="00B75063"/>
    <w:rsid w:val="00B7582D"/>
    <w:rsid w:val="00B759E8"/>
    <w:rsid w:val="00B76CCC"/>
    <w:rsid w:val="00B77B96"/>
    <w:rsid w:val="00B80193"/>
    <w:rsid w:val="00B8040F"/>
    <w:rsid w:val="00B80513"/>
    <w:rsid w:val="00B80C56"/>
    <w:rsid w:val="00B80F5B"/>
    <w:rsid w:val="00B81F69"/>
    <w:rsid w:val="00B81FF6"/>
    <w:rsid w:val="00B824E7"/>
    <w:rsid w:val="00B8251A"/>
    <w:rsid w:val="00B8289C"/>
    <w:rsid w:val="00B82F45"/>
    <w:rsid w:val="00B831C5"/>
    <w:rsid w:val="00B834C1"/>
    <w:rsid w:val="00B834DC"/>
    <w:rsid w:val="00B8482D"/>
    <w:rsid w:val="00B866AA"/>
    <w:rsid w:val="00B86B25"/>
    <w:rsid w:val="00B86F9B"/>
    <w:rsid w:val="00B87124"/>
    <w:rsid w:val="00B873FB"/>
    <w:rsid w:val="00B87507"/>
    <w:rsid w:val="00B876AC"/>
    <w:rsid w:val="00B87EE3"/>
    <w:rsid w:val="00B9246F"/>
    <w:rsid w:val="00B925CD"/>
    <w:rsid w:val="00B925E5"/>
    <w:rsid w:val="00B927AA"/>
    <w:rsid w:val="00B92C4A"/>
    <w:rsid w:val="00B92E8C"/>
    <w:rsid w:val="00B93018"/>
    <w:rsid w:val="00B935CF"/>
    <w:rsid w:val="00B93733"/>
    <w:rsid w:val="00B93772"/>
    <w:rsid w:val="00B939F3"/>
    <w:rsid w:val="00B947EA"/>
    <w:rsid w:val="00B94B5A"/>
    <w:rsid w:val="00B94D37"/>
    <w:rsid w:val="00B96747"/>
    <w:rsid w:val="00B975D8"/>
    <w:rsid w:val="00BA0635"/>
    <w:rsid w:val="00BA09E8"/>
    <w:rsid w:val="00BA1A50"/>
    <w:rsid w:val="00BA263B"/>
    <w:rsid w:val="00BA28B6"/>
    <w:rsid w:val="00BA3084"/>
    <w:rsid w:val="00BA38A3"/>
    <w:rsid w:val="00BA4B45"/>
    <w:rsid w:val="00BA56F1"/>
    <w:rsid w:val="00BA59A5"/>
    <w:rsid w:val="00BA6191"/>
    <w:rsid w:val="00BA6C96"/>
    <w:rsid w:val="00BA6E66"/>
    <w:rsid w:val="00BA70C0"/>
    <w:rsid w:val="00BA70CB"/>
    <w:rsid w:val="00BA7257"/>
    <w:rsid w:val="00BA7E08"/>
    <w:rsid w:val="00BA7EEB"/>
    <w:rsid w:val="00BB0218"/>
    <w:rsid w:val="00BB03E9"/>
    <w:rsid w:val="00BB2A40"/>
    <w:rsid w:val="00BB30A0"/>
    <w:rsid w:val="00BB43A2"/>
    <w:rsid w:val="00BB48B9"/>
    <w:rsid w:val="00BB4AF1"/>
    <w:rsid w:val="00BB5D00"/>
    <w:rsid w:val="00BB6F4A"/>
    <w:rsid w:val="00BB7E24"/>
    <w:rsid w:val="00BC0E5C"/>
    <w:rsid w:val="00BC102D"/>
    <w:rsid w:val="00BC1B7C"/>
    <w:rsid w:val="00BC22FE"/>
    <w:rsid w:val="00BC261D"/>
    <w:rsid w:val="00BC26C7"/>
    <w:rsid w:val="00BC2EF5"/>
    <w:rsid w:val="00BC352E"/>
    <w:rsid w:val="00BC37FD"/>
    <w:rsid w:val="00BC3C4F"/>
    <w:rsid w:val="00BC3D56"/>
    <w:rsid w:val="00BC3D59"/>
    <w:rsid w:val="00BC5469"/>
    <w:rsid w:val="00BC5B6D"/>
    <w:rsid w:val="00BC5FCA"/>
    <w:rsid w:val="00BC698F"/>
    <w:rsid w:val="00BC6EAF"/>
    <w:rsid w:val="00BC7005"/>
    <w:rsid w:val="00BC7325"/>
    <w:rsid w:val="00BC7972"/>
    <w:rsid w:val="00BC7E9F"/>
    <w:rsid w:val="00BD05C8"/>
    <w:rsid w:val="00BD0894"/>
    <w:rsid w:val="00BD0A0D"/>
    <w:rsid w:val="00BD123B"/>
    <w:rsid w:val="00BD156F"/>
    <w:rsid w:val="00BD18A7"/>
    <w:rsid w:val="00BD21F3"/>
    <w:rsid w:val="00BD2373"/>
    <w:rsid w:val="00BD23B7"/>
    <w:rsid w:val="00BD28E6"/>
    <w:rsid w:val="00BD42A3"/>
    <w:rsid w:val="00BD46BF"/>
    <w:rsid w:val="00BD4A26"/>
    <w:rsid w:val="00BD4B6E"/>
    <w:rsid w:val="00BD5597"/>
    <w:rsid w:val="00BD5B90"/>
    <w:rsid w:val="00BD6C8F"/>
    <w:rsid w:val="00BD6E82"/>
    <w:rsid w:val="00BD726E"/>
    <w:rsid w:val="00BE1AFB"/>
    <w:rsid w:val="00BE2CF6"/>
    <w:rsid w:val="00BE2E49"/>
    <w:rsid w:val="00BE2F4C"/>
    <w:rsid w:val="00BE2FC0"/>
    <w:rsid w:val="00BE3B09"/>
    <w:rsid w:val="00BE3C7A"/>
    <w:rsid w:val="00BE4F96"/>
    <w:rsid w:val="00BE52E2"/>
    <w:rsid w:val="00BE5BC6"/>
    <w:rsid w:val="00BE64C2"/>
    <w:rsid w:val="00BE655D"/>
    <w:rsid w:val="00BE6881"/>
    <w:rsid w:val="00BE6E99"/>
    <w:rsid w:val="00BE77DD"/>
    <w:rsid w:val="00BF1792"/>
    <w:rsid w:val="00BF19AA"/>
    <w:rsid w:val="00BF22A2"/>
    <w:rsid w:val="00BF2756"/>
    <w:rsid w:val="00BF28F6"/>
    <w:rsid w:val="00BF2C7E"/>
    <w:rsid w:val="00BF51E6"/>
    <w:rsid w:val="00BF675C"/>
    <w:rsid w:val="00C0050E"/>
    <w:rsid w:val="00C0071B"/>
    <w:rsid w:val="00C018F9"/>
    <w:rsid w:val="00C01AF0"/>
    <w:rsid w:val="00C0250A"/>
    <w:rsid w:val="00C0334A"/>
    <w:rsid w:val="00C03D07"/>
    <w:rsid w:val="00C053F1"/>
    <w:rsid w:val="00C05ADD"/>
    <w:rsid w:val="00C0723B"/>
    <w:rsid w:val="00C07A24"/>
    <w:rsid w:val="00C07BC2"/>
    <w:rsid w:val="00C07C6E"/>
    <w:rsid w:val="00C111BE"/>
    <w:rsid w:val="00C11460"/>
    <w:rsid w:val="00C11DC3"/>
    <w:rsid w:val="00C1225A"/>
    <w:rsid w:val="00C13536"/>
    <w:rsid w:val="00C13A34"/>
    <w:rsid w:val="00C13CF3"/>
    <w:rsid w:val="00C14C8E"/>
    <w:rsid w:val="00C16064"/>
    <w:rsid w:val="00C16375"/>
    <w:rsid w:val="00C163E6"/>
    <w:rsid w:val="00C16843"/>
    <w:rsid w:val="00C16FC6"/>
    <w:rsid w:val="00C1792D"/>
    <w:rsid w:val="00C17A57"/>
    <w:rsid w:val="00C17AFC"/>
    <w:rsid w:val="00C17EA5"/>
    <w:rsid w:val="00C20176"/>
    <w:rsid w:val="00C21796"/>
    <w:rsid w:val="00C21C17"/>
    <w:rsid w:val="00C2203D"/>
    <w:rsid w:val="00C22643"/>
    <w:rsid w:val="00C228C3"/>
    <w:rsid w:val="00C2330E"/>
    <w:rsid w:val="00C2376B"/>
    <w:rsid w:val="00C23F2C"/>
    <w:rsid w:val="00C24FF5"/>
    <w:rsid w:val="00C251A1"/>
    <w:rsid w:val="00C26D75"/>
    <w:rsid w:val="00C2714A"/>
    <w:rsid w:val="00C30B95"/>
    <w:rsid w:val="00C30EB7"/>
    <w:rsid w:val="00C312D3"/>
    <w:rsid w:val="00C324C1"/>
    <w:rsid w:val="00C326F1"/>
    <w:rsid w:val="00C32E66"/>
    <w:rsid w:val="00C32EAD"/>
    <w:rsid w:val="00C33167"/>
    <w:rsid w:val="00C337C8"/>
    <w:rsid w:val="00C3513D"/>
    <w:rsid w:val="00C351B3"/>
    <w:rsid w:val="00C3602C"/>
    <w:rsid w:val="00C36A9B"/>
    <w:rsid w:val="00C3777C"/>
    <w:rsid w:val="00C3783F"/>
    <w:rsid w:val="00C40013"/>
    <w:rsid w:val="00C40415"/>
    <w:rsid w:val="00C405D8"/>
    <w:rsid w:val="00C41B40"/>
    <w:rsid w:val="00C41EAA"/>
    <w:rsid w:val="00C41EDB"/>
    <w:rsid w:val="00C41EF1"/>
    <w:rsid w:val="00C4263D"/>
    <w:rsid w:val="00C42AFC"/>
    <w:rsid w:val="00C437A7"/>
    <w:rsid w:val="00C43FDC"/>
    <w:rsid w:val="00C4531C"/>
    <w:rsid w:val="00C4532B"/>
    <w:rsid w:val="00C45784"/>
    <w:rsid w:val="00C4590F"/>
    <w:rsid w:val="00C47798"/>
    <w:rsid w:val="00C47CCF"/>
    <w:rsid w:val="00C50A41"/>
    <w:rsid w:val="00C50F0B"/>
    <w:rsid w:val="00C50FF1"/>
    <w:rsid w:val="00C51856"/>
    <w:rsid w:val="00C5201C"/>
    <w:rsid w:val="00C5240F"/>
    <w:rsid w:val="00C525BC"/>
    <w:rsid w:val="00C53291"/>
    <w:rsid w:val="00C55D0E"/>
    <w:rsid w:val="00C55DF7"/>
    <w:rsid w:val="00C5642B"/>
    <w:rsid w:val="00C56A08"/>
    <w:rsid w:val="00C572FD"/>
    <w:rsid w:val="00C57431"/>
    <w:rsid w:val="00C6024D"/>
    <w:rsid w:val="00C60836"/>
    <w:rsid w:val="00C62424"/>
    <w:rsid w:val="00C63AC6"/>
    <w:rsid w:val="00C6502B"/>
    <w:rsid w:val="00C669CD"/>
    <w:rsid w:val="00C67EFB"/>
    <w:rsid w:val="00C702E6"/>
    <w:rsid w:val="00C70499"/>
    <w:rsid w:val="00C70ABC"/>
    <w:rsid w:val="00C744C8"/>
    <w:rsid w:val="00C74854"/>
    <w:rsid w:val="00C75612"/>
    <w:rsid w:val="00C8041E"/>
    <w:rsid w:val="00C80453"/>
    <w:rsid w:val="00C80498"/>
    <w:rsid w:val="00C805CE"/>
    <w:rsid w:val="00C80DE3"/>
    <w:rsid w:val="00C80FC8"/>
    <w:rsid w:val="00C8107D"/>
    <w:rsid w:val="00C83823"/>
    <w:rsid w:val="00C838C3"/>
    <w:rsid w:val="00C83FD3"/>
    <w:rsid w:val="00C8430D"/>
    <w:rsid w:val="00C84509"/>
    <w:rsid w:val="00C84B46"/>
    <w:rsid w:val="00C84C1F"/>
    <w:rsid w:val="00C85922"/>
    <w:rsid w:val="00C86308"/>
    <w:rsid w:val="00C863FE"/>
    <w:rsid w:val="00C8750E"/>
    <w:rsid w:val="00C879D6"/>
    <w:rsid w:val="00C87EA0"/>
    <w:rsid w:val="00C91025"/>
    <w:rsid w:val="00C91BDE"/>
    <w:rsid w:val="00C92242"/>
    <w:rsid w:val="00C926CE"/>
    <w:rsid w:val="00C92A49"/>
    <w:rsid w:val="00C93533"/>
    <w:rsid w:val="00C93574"/>
    <w:rsid w:val="00C95077"/>
    <w:rsid w:val="00C95D7D"/>
    <w:rsid w:val="00C96536"/>
    <w:rsid w:val="00C96CD3"/>
    <w:rsid w:val="00C971D2"/>
    <w:rsid w:val="00C97FD9"/>
    <w:rsid w:val="00CA0191"/>
    <w:rsid w:val="00CA0D4B"/>
    <w:rsid w:val="00CA14EC"/>
    <w:rsid w:val="00CA18EB"/>
    <w:rsid w:val="00CA29B8"/>
    <w:rsid w:val="00CA3083"/>
    <w:rsid w:val="00CA31B5"/>
    <w:rsid w:val="00CA3500"/>
    <w:rsid w:val="00CA3508"/>
    <w:rsid w:val="00CA35C1"/>
    <w:rsid w:val="00CA363D"/>
    <w:rsid w:val="00CA37B4"/>
    <w:rsid w:val="00CA383B"/>
    <w:rsid w:val="00CA3ADF"/>
    <w:rsid w:val="00CA4CC6"/>
    <w:rsid w:val="00CA5B72"/>
    <w:rsid w:val="00CA5C7B"/>
    <w:rsid w:val="00CA5DE2"/>
    <w:rsid w:val="00CA61BC"/>
    <w:rsid w:val="00CA6936"/>
    <w:rsid w:val="00CA6A8F"/>
    <w:rsid w:val="00CA726F"/>
    <w:rsid w:val="00CA74EF"/>
    <w:rsid w:val="00CA7B4B"/>
    <w:rsid w:val="00CA7BD3"/>
    <w:rsid w:val="00CB04B1"/>
    <w:rsid w:val="00CB08B3"/>
    <w:rsid w:val="00CB0E50"/>
    <w:rsid w:val="00CB2124"/>
    <w:rsid w:val="00CB2E72"/>
    <w:rsid w:val="00CB3DD3"/>
    <w:rsid w:val="00CB5436"/>
    <w:rsid w:val="00CB5B37"/>
    <w:rsid w:val="00CB5D72"/>
    <w:rsid w:val="00CB6669"/>
    <w:rsid w:val="00CB6766"/>
    <w:rsid w:val="00CB6C63"/>
    <w:rsid w:val="00CB7B11"/>
    <w:rsid w:val="00CC05A6"/>
    <w:rsid w:val="00CC208E"/>
    <w:rsid w:val="00CC3F40"/>
    <w:rsid w:val="00CC4077"/>
    <w:rsid w:val="00CC5D18"/>
    <w:rsid w:val="00CC7255"/>
    <w:rsid w:val="00CC7426"/>
    <w:rsid w:val="00CC7DE5"/>
    <w:rsid w:val="00CC7E0E"/>
    <w:rsid w:val="00CD01AC"/>
    <w:rsid w:val="00CD0314"/>
    <w:rsid w:val="00CD0937"/>
    <w:rsid w:val="00CD0966"/>
    <w:rsid w:val="00CD1099"/>
    <w:rsid w:val="00CD1801"/>
    <w:rsid w:val="00CD241B"/>
    <w:rsid w:val="00CD2478"/>
    <w:rsid w:val="00CD37E0"/>
    <w:rsid w:val="00CD45BC"/>
    <w:rsid w:val="00CD56A1"/>
    <w:rsid w:val="00CD65A8"/>
    <w:rsid w:val="00CD7229"/>
    <w:rsid w:val="00CD7625"/>
    <w:rsid w:val="00CD7BA4"/>
    <w:rsid w:val="00CE02D0"/>
    <w:rsid w:val="00CE0821"/>
    <w:rsid w:val="00CE0F42"/>
    <w:rsid w:val="00CE21AB"/>
    <w:rsid w:val="00CE25A4"/>
    <w:rsid w:val="00CE3FE0"/>
    <w:rsid w:val="00CE400C"/>
    <w:rsid w:val="00CE4549"/>
    <w:rsid w:val="00CE597D"/>
    <w:rsid w:val="00CE5EBA"/>
    <w:rsid w:val="00CE6AE2"/>
    <w:rsid w:val="00CE7063"/>
    <w:rsid w:val="00CF01F5"/>
    <w:rsid w:val="00CF0203"/>
    <w:rsid w:val="00CF0928"/>
    <w:rsid w:val="00CF16D6"/>
    <w:rsid w:val="00CF1C9D"/>
    <w:rsid w:val="00CF219F"/>
    <w:rsid w:val="00CF3245"/>
    <w:rsid w:val="00CF4062"/>
    <w:rsid w:val="00CF45CF"/>
    <w:rsid w:val="00CF4656"/>
    <w:rsid w:val="00CF5143"/>
    <w:rsid w:val="00CF5199"/>
    <w:rsid w:val="00CF547A"/>
    <w:rsid w:val="00CF55A8"/>
    <w:rsid w:val="00CF5873"/>
    <w:rsid w:val="00CF58B5"/>
    <w:rsid w:val="00CF5A84"/>
    <w:rsid w:val="00CF5F98"/>
    <w:rsid w:val="00CF6517"/>
    <w:rsid w:val="00CF6891"/>
    <w:rsid w:val="00CF774A"/>
    <w:rsid w:val="00CF7CC8"/>
    <w:rsid w:val="00D01426"/>
    <w:rsid w:val="00D01C6D"/>
    <w:rsid w:val="00D01FAE"/>
    <w:rsid w:val="00D0395B"/>
    <w:rsid w:val="00D03DEB"/>
    <w:rsid w:val="00D04BC8"/>
    <w:rsid w:val="00D05772"/>
    <w:rsid w:val="00D05D91"/>
    <w:rsid w:val="00D06489"/>
    <w:rsid w:val="00D11068"/>
    <w:rsid w:val="00D11197"/>
    <w:rsid w:val="00D1147B"/>
    <w:rsid w:val="00D11A19"/>
    <w:rsid w:val="00D12207"/>
    <w:rsid w:val="00D12E3D"/>
    <w:rsid w:val="00D14533"/>
    <w:rsid w:val="00D14701"/>
    <w:rsid w:val="00D15292"/>
    <w:rsid w:val="00D160F8"/>
    <w:rsid w:val="00D16399"/>
    <w:rsid w:val="00D164DA"/>
    <w:rsid w:val="00D16765"/>
    <w:rsid w:val="00D16D4B"/>
    <w:rsid w:val="00D173F8"/>
    <w:rsid w:val="00D1742F"/>
    <w:rsid w:val="00D17F70"/>
    <w:rsid w:val="00D20280"/>
    <w:rsid w:val="00D21D6A"/>
    <w:rsid w:val="00D22101"/>
    <w:rsid w:val="00D22201"/>
    <w:rsid w:val="00D22262"/>
    <w:rsid w:val="00D227AA"/>
    <w:rsid w:val="00D23F35"/>
    <w:rsid w:val="00D24400"/>
    <w:rsid w:val="00D25025"/>
    <w:rsid w:val="00D25532"/>
    <w:rsid w:val="00D26B15"/>
    <w:rsid w:val="00D26F1D"/>
    <w:rsid w:val="00D27651"/>
    <w:rsid w:val="00D27ABE"/>
    <w:rsid w:val="00D27DD1"/>
    <w:rsid w:val="00D302DC"/>
    <w:rsid w:val="00D30317"/>
    <w:rsid w:val="00D309A6"/>
    <w:rsid w:val="00D30A11"/>
    <w:rsid w:val="00D319E5"/>
    <w:rsid w:val="00D330A5"/>
    <w:rsid w:val="00D333A2"/>
    <w:rsid w:val="00D33532"/>
    <w:rsid w:val="00D33A09"/>
    <w:rsid w:val="00D34FD1"/>
    <w:rsid w:val="00D350B4"/>
    <w:rsid w:val="00D3530C"/>
    <w:rsid w:val="00D3574B"/>
    <w:rsid w:val="00D36283"/>
    <w:rsid w:val="00D36606"/>
    <w:rsid w:val="00D367E9"/>
    <w:rsid w:val="00D36805"/>
    <w:rsid w:val="00D36DD4"/>
    <w:rsid w:val="00D3787B"/>
    <w:rsid w:val="00D405C5"/>
    <w:rsid w:val="00D409B4"/>
    <w:rsid w:val="00D4179D"/>
    <w:rsid w:val="00D431AE"/>
    <w:rsid w:val="00D4392C"/>
    <w:rsid w:val="00D44CA7"/>
    <w:rsid w:val="00D45D5F"/>
    <w:rsid w:val="00D461DF"/>
    <w:rsid w:val="00D462DC"/>
    <w:rsid w:val="00D46912"/>
    <w:rsid w:val="00D46D53"/>
    <w:rsid w:val="00D50B80"/>
    <w:rsid w:val="00D51345"/>
    <w:rsid w:val="00D51572"/>
    <w:rsid w:val="00D51A99"/>
    <w:rsid w:val="00D51B1B"/>
    <w:rsid w:val="00D524A9"/>
    <w:rsid w:val="00D52674"/>
    <w:rsid w:val="00D52A3D"/>
    <w:rsid w:val="00D5385F"/>
    <w:rsid w:val="00D544C9"/>
    <w:rsid w:val="00D54ECE"/>
    <w:rsid w:val="00D5525F"/>
    <w:rsid w:val="00D558F7"/>
    <w:rsid w:val="00D55938"/>
    <w:rsid w:val="00D55A8C"/>
    <w:rsid w:val="00D5650E"/>
    <w:rsid w:val="00D565E4"/>
    <w:rsid w:val="00D56941"/>
    <w:rsid w:val="00D57FEC"/>
    <w:rsid w:val="00D60267"/>
    <w:rsid w:val="00D60C5F"/>
    <w:rsid w:val="00D60EEB"/>
    <w:rsid w:val="00D60F66"/>
    <w:rsid w:val="00D60F7A"/>
    <w:rsid w:val="00D635FD"/>
    <w:rsid w:val="00D63730"/>
    <w:rsid w:val="00D63DFB"/>
    <w:rsid w:val="00D64A05"/>
    <w:rsid w:val="00D64D40"/>
    <w:rsid w:val="00D64F67"/>
    <w:rsid w:val="00D6510A"/>
    <w:rsid w:val="00D653BE"/>
    <w:rsid w:val="00D65AA3"/>
    <w:rsid w:val="00D66008"/>
    <w:rsid w:val="00D66B67"/>
    <w:rsid w:val="00D66C9B"/>
    <w:rsid w:val="00D671B3"/>
    <w:rsid w:val="00D6742F"/>
    <w:rsid w:val="00D67810"/>
    <w:rsid w:val="00D708C8"/>
    <w:rsid w:val="00D7160C"/>
    <w:rsid w:val="00D71F51"/>
    <w:rsid w:val="00D725C9"/>
    <w:rsid w:val="00D72A4B"/>
    <w:rsid w:val="00D7312C"/>
    <w:rsid w:val="00D73DEB"/>
    <w:rsid w:val="00D73F66"/>
    <w:rsid w:val="00D754A5"/>
    <w:rsid w:val="00D76B2D"/>
    <w:rsid w:val="00D77020"/>
    <w:rsid w:val="00D77384"/>
    <w:rsid w:val="00D777E9"/>
    <w:rsid w:val="00D77C80"/>
    <w:rsid w:val="00D800A9"/>
    <w:rsid w:val="00D80736"/>
    <w:rsid w:val="00D80846"/>
    <w:rsid w:val="00D80D48"/>
    <w:rsid w:val="00D810F0"/>
    <w:rsid w:val="00D813F3"/>
    <w:rsid w:val="00D81A21"/>
    <w:rsid w:val="00D81D19"/>
    <w:rsid w:val="00D81DC9"/>
    <w:rsid w:val="00D82A85"/>
    <w:rsid w:val="00D82E26"/>
    <w:rsid w:val="00D830C2"/>
    <w:rsid w:val="00D83182"/>
    <w:rsid w:val="00D8362B"/>
    <w:rsid w:val="00D83CCE"/>
    <w:rsid w:val="00D84E97"/>
    <w:rsid w:val="00D84FB1"/>
    <w:rsid w:val="00D85DD9"/>
    <w:rsid w:val="00D871DE"/>
    <w:rsid w:val="00D87CF2"/>
    <w:rsid w:val="00D87E8E"/>
    <w:rsid w:val="00D94BA4"/>
    <w:rsid w:val="00D95490"/>
    <w:rsid w:val="00DA08C1"/>
    <w:rsid w:val="00DA0E24"/>
    <w:rsid w:val="00DA2121"/>
    <w:rsid w:val="00DA2889"/>
    <w:rsid w:val="00DA2949"/>
    <w:rsid w:val="00DA2A44"/>
    <w:rsid w:val="00DA2B8C"/>
    <w:rsid w:val="00DA3B60"/>
    <w:rsid w:val="00DA3E4F"/>
    <w:rsid w:val="00DA475C"/>
    <w:rsid w:val="00DA5331"/>
    <w:rsid w:val="00DA6E78"/>
    <w:rsid w:val="00DA7401"/>
    <w:rsid w:val="00DB0145"/>
    <w:rsid w:val="00DB0233"/>
    <w:rsid w:val="00DB1909"/>
    <w:rsid w:val="00DB24A6"/>
    <w:rsid w:val="00DB2B30"/>
    <w:rsid w:val="00DB340D"/>
    <w:rsid w:val="00DB36E9"/>
    <w:rsid w:val="00DB41DD"/>
    <w:rsid w:val="00DB436B"/>
    <w:rsid w:val="00DB4969"/>
    <w:rsid w:val="00DB5685"/>
    <w:rsid w:val="00DB5916"/>
    <w:rsid w:val="00DB5A8F"/>
    <w:rsid w:val="00DB766D"/>
    <w:rsid w:val="00DB7859"/>
    <w:rsid w:val="00DB7872"/>
    <w:rsid w:val="00DC0060"/>
    <w:rsid w:val="00DC03A7"/>
    <w:rsid w:val="00DC0410"/>
    <w:rsid w:val="00DC0530"/>
    <w:rsid w:val="00DC0B7C"/>
    <w:rsid w:val="00DC0EF0"/>
    <w:rsid w:val="00DC10FC"/>
    <w:rsid w:val="00DC13DA"/>
    <w:rsid w:val="00DC16F8"/>
    <w:rsid w:val="00DC224D"/>
    <w:rsid w:val="00DC22C1"/>
    <w:rsid w:val="00DC23E1"/>
    <w:rsid w:val="00DC3394"/>
    <w:rsid w:val="00DC3555"/>
    <w:rsid w:val="00DC3B2D"/>
    <w:rsid w:val="00DC47E4"/>
    <w:rsid w:val="00DC61B7"/>
    <w:rsid w:val="00DC69EE"/>
    <w:rsid w:val="00DC71CB"/>
    <w:rsid w:val="00DD06D2"/>
    <w:rsid w:val="00DD1494"/>
    <w:rsid w:val="00DD1808"/>
    <w:rsid w:val="00DD321E"/>
    <w:rsid w:val="00DD40C7"/>
    <w:rsid w:val="00DD69FF"/>
    <w:rsid w:val="00DD6FBA"/>
    <w:rsid w:val="00DD70F6"/>
    <w:rsid w:val="00DD769C"/>
    <w:rsid w:val="00DD7B54"/>
    <w:rsid w:val="00DD7C7C"/>
    <w:rsid w:val="00DE10F6"/>
    <w:rsid w:val="00DE1221"/>
    <w:rsid w:val="00DE1A7B"/>
    <w:rsid w:val="00DE4060"/>
    <w:rsid w:val="00DE42FF"/>
    <w:rsid w:val="00DE4965"/>
    <w:rsid w:val="00DE511A"/>
    <w:rsid w:val="00DE5201"/>
    <w:rsid w:val="00DE5CBE"/>
    <w:rsid w:val="00DE621A"/>
    <w:rsid w:val="00DE7E40"/>
    <w:rsid w:val="00DF026B"/>
    <w:rsid w:val="00DF04D5"/>
    <w:rsid w:val="00DF18D9"/>
    <w:rsid w:val="00DF22C8"/>
    <w:rsid w:val="00DF410F"/>
    <w:rsid w:val="00DF45E7"/>
    <w:rsid w:val="00DF472C"/>
    <w:rsid w:val="00DF57CC"/>
    <w:rsid w:val="00DF5E75"/>
    <w:rsid w:val="00DF6051"/>
    <w:rsid w:val="00DF6D29"/>
    <w:rsid w:val="00DF7441"/>
    <w:rsid w:val="00DF7500"/>
    <w:rsid w:val="00E0058D"/>
    <w:rsid w:val="00E0145E"/>
    <w:rsid w:val="00E01871"/>
    <w:rsid w:val="00E028D4"/>
    <w:rsid w:val="00E031CD"/>
    <w:rsid w:val="00E043F7"/>
    <w:rsid w:val="00E0466E"/>
    <w:rsid w:val="00E0483F"/>
    <w:rsid w:val="00E04B7E"/>
    <w:rsid w:val="00E0551A"/>
    <w:rsid w:val="00E05C2A"/>
    <w:rsid w:val="00E06919"/>
    <w:rsid w:val="00E072C0"/>
    <w:rsid w:val="00E07596"/>
    <w:rsid w:val="00E1048F"/>
    <w:rsid w:val="00E10964"/>
    <w:rsid w:val="00E10EAA"/>
    <w:rsid w:val="00E1184A"/>
    <w:rsid w:val="00E1247E"/>
    <w:rsid w:val="00E1274F"/>
    <w:rsid w:val="00E131FC"/>
    <w:rsid w:val="00E13B3E"/>
    <w:rsid w:val="00E13CF1"/>
    <w:rsid w:val="00E15152"/>
    <w:rsid w:val="00E15346"/>
    <w:rsid w:val="00E158B5"/>
    <w:rsid w:val="00E16740"/>
    <w:rsid w:val="00E20487"/>
    <w:rsid w:val="00E2220B"/>
    <w:rsid w:val="00E2304E"/>
    <w:rsid w:val="00E24313"/>
    <w:rsid w:val="00E250C2"/>
    <w:rsid w:val="00E256A2"/>
    <w:rsid w:val="00E259E6"/>
    <w:rsid w:val="00E2653A"/>
    <w:rsid w:val="00E2683F"/>
    <w:rsid w:val="00E27159"/>
    <w:rsid w:val="00E31077"/>
    <w:rsid w:val="00E32801"/>
    <w:rsid w:val="00E328E7"/>
    <w:rsid w:val="00E32B1F"/>
    <w:rsid w:val="00E3355B"/>
    <w:rsid w:val="00E34141"/>
    <w:rsid w:val="00E34431"/>
    <w:rsid w:val="00E344B2"/>
    <w:rsid w:val="00E358CC"/>
    <w:rsid w:val="00E35B1D"/>
    <w:rsid w:val="00E35E51"/>
    <w:rsid w:val="00E35F84"/>
    <w:rsid w:val="00E366B2"/>
    <w:rsid w:val="00E3690D"/>
    <w:rsid w:val="00E36B71"/>
    <w:rsid w:val="00E37975"/>
    <w:rsid w:val="00E37999"/>
    <w:rsid w:val="00E40383"/>
    <w:rsid w:val="00E4112D"/>
    <w:rsid w:val="00E41318"/>
    <w:rsid w:val="00E41F4E"/>
    <w:rsid w:val="00E42C27"/>
    <w:rsid w:val="00E42F11"/>
    <w:rsid w:val="00E42FEC"/>
    <w:rsid w:val="00E4454A"/>
    <w:rsid w:val="00E449FD"/>
    <w:rsid w:val="00E44B26"/>
    <w:rsid w:val="00E450CC"/>
    <w:rsid w:val="00E45FD0"/>
    <w:rsid w:val="00E46261"/>
    <w:rsid w:val="00E4785B"/>
    <w:rsid w:val="00E479B6"/>
    <w:rsid w:val="00E50450"/>
    <w:rsid w:val="00E50C18"/>
    <w:rsid w:val="00E51FBE"/>
    <w:rsid w:val="00E52392"/>
    <w:rsid w:val="00E52ECB"/>
    <w:rsid w:val="00E53736"/>
    <w:rsid w:val="00E54398"/>
    <w:rsid w:val="00E548D5"/>
    <w:rsid w:val="00E54C86"/>
    <w:rsid w:val="00E557D5"/>
    <w:rsid w:val="00E5680E"/>
    <w:rsid w:val="00E602C8"/>
    <w:rsid w:val="00E60BF4"/>
    <w:rsid w:val="00E60C96"/>
    <w:rsid w:val="00E61490"/>
    <w:rsid w:val="00E6151E"/>
    <w:rsid w:val="00E61F16"/>
    <w:rsid w:val="00E62523"/>
    <w:rsid w:val="00E62E72"/>
    <w:rsid w:val="00E635EB"/>
    <w:rsid w:val="00E64FFB"/>
    <w:rsid w:val="00E65A28"/>
    <w:rsid w:val="00E65BBD"/>
    <w:rsid w:val="00E65ED5"/>
    <w:rsid w:val="00E66A21"/>
    <w:rsid w:val="00E66DE9"/>
    <w:rsid w:val="00E676B6"/>
    <w:rsid w:val="00E6D7CB"/>
    <w:rsid w:val="00E70280"/>
    <w:rsid w:val="00E70799"/>
    <w:rsid w:val="00E71850"/>
    <w:rsid w:val="00E71AFB"/>
    <w:rsid w:val="00E72816"/>
    <w:rsid w:val="00E72E74"/>
    <w:rsid w:val="00E73A04"/>
    <w:rsid w:val="00E74160"/>
    <w:rsid w:val="00E74429"/>
    <w:rsid w:val="00E74FA5"/>
    <w:rsid w:val="00E75982"/>
    <w:rsid w:val="00E75F15"/>
    <w:rsid w:val="00E760A3"/>
    <w:rsid w:val="00E77DF4"/>
    <w:rsid w:val="00E82709"/>
    <w:rsid w:val="00E827B7"/>
    <w:rsid w:val="00E836B4"/>
    <w:rsid w:val="00E83B39"/>
    <w:rsid w:val="00E83FBA"/>
    <w:rsid w:val="00E8427D"/>
    <w:rsid w:val="00E84999"/>
    <w:rsid w:val="00E869A3"/>
    <w:rsid w:val="00E86F2F"/>
    <w:rsid w:val="00E87281"/>
    <w:rsid w:val="00E9106E"/>
    <w:rsid w:val="00E9193E"/>
    <w:rsid w:val="00E91959"/>
    <w:rsid w:val="00E921A4"/>
    <w:rsid w:val="00E924D1"/>
    <w:rsid w:val="00E92624"/>
    <w:rsid w:val="00E927E0"/>
    <w:rsid w:val="00E92C57"/>
    <w:rsid w:val="00E9404C"/>
    <w:rsid w:val="00E94811"/>
    <w:rsid w:val="00E94AFA"/>
    <w:rsid w:val="00E95584"/>
    <w:rsid w:val="00E956FC"/>
    <w:rsid w:val="00E95A3C"/>
    <w:rsid w:val="00EA059E"/>
    <w:rsid w:val="00EA2729"/>
    <w:rsid w:val="00EA31D4"/>
    <w:rsid w:val="00EA3C34"/>
    <w:rsid w:val="00EA3CCC"/>
    <w:rsid w:val="00EA3DCF"/>
    <w:rsid w:val="00EA48DC"/>
    <w:rsid w:val="00EA4C42"/>
    <w:rsid w:val="00EA551C"/>
    <w:rsid w:val="00EA5A69"/>
    <w:rsid w:val="00EA5E3F"/>
    <w:rsid w:val="00EA6158"/>
    <w:rsid w:val="00EA6873"/>
    <w:rsid w:val="00EA690F"/>
    <w:rsid w:val="00EB0673"/>
    <w:rsid w:val="00EB077E"/>
    <w:rsid w:val="00EB1FD5"/>
    <w:rsid w:val="00EB238F"/>
    <w:rsid w:val="00EB3510"/>
    <w:rsid w:val="00EB3A1B"/>
    <w:rsid w:val="00EB3C31"/>
    <w:rsid w:val="00EB49CD"/>
    <w:rsid w:val="00EB4CB8"/>
    <w:rsid w:val="00EB6834"/>
    <w:rsid w:val="00EB75B1"/>
    <w:rsid w:val="00EB7749"/>
    <w:rsid w:val="00EB78C2"/>
    <w:rsid w:val="00EB7B0C"/>
    <w:rsid w:val="00EC0857"/>
    <w:rsid w:val="00EC15DC"/>
    <w:rsid w:val="00EC1F76"/>
    <w:rsid w:val="00EC1F8A"/>
    <w:rsid w:val="00EC330B"/>
    <w:rsid w:val="00EC3490"/>
    <w:rsid w:val="00EC3B61"/>
    <w:rsid w:val="00EC4953"/>
    <w:rsid w:val="00EC4CBA"/>
    <w:rsid w:val="00EC4CE2"/>
    <w:rsid w:val="00EC5DAC"/>
    <w:rsid w:val="00EC68C1"/>
    <w:rsid w:val="00EC74AF"/>
    <w:rsid w:val="00EC7947"/>
    <w:rsid w:val="00EC7E40"/>
    <w:rsid w:val="00EC7E9E"/>
    <w:rsid w:val="00ED00F4"/>
    <w:rsid w:val="00ED08A0"/>
    <w:rsid w:val="00ED0A9F"/>
    <w:rsid w:val="00ED0AC7"/>
    <w:rsid w:val="00ED2144"/>
    <w:rsid w:val="00ED27E6"/>
    <w:rsid w:val="00ED28E5"/>
    <w:rsid w:val="00ED308C"/>
    <w:rsid w:val="00ED5161"/>
    <w:rsid w:val="00ED598F"/>
    <w:rsid w:val="00ED5C6B"/>
    <w:rsid w:val="00ED6AB1"/>
    <w:rsid w:val="00ED6D26"/>
    <w:rsid w:val="00ED7711"/>
    <w:rsid w:val="00ED7EF6"/>
    <w:rsid w:val="00EE0BB4"/>
    <w:rsid w:val="00EE1AD6"/>
    <w:rsid w:val="00EE1C8B"/>
    <w:rsid w:val="00EE1CB8"/>
    <w:rsid w:val="00EE2C83"/>
    <w:rsid w:val="00EE2D11"/>
    <w:rsid w:val="00EE31C6"/>
    <w:rsid w:val="00EE3243"/>
    <w:rsid w:val="00EE3D78"/>
    <w:rsid w:val="00EE3F2E"/>
    <w:rsid w:val="00EE5717"/>
    <w:rsid w:val="00EE5770"/>
    <w:rsid w:val="00EE5832"/>
    <w:rsid w:val="00EE6D4B"/>
    <w:rsid w:val="00EE6F94"/>
    <w:rsid w:val="00EE7D38"/>
    <w:rsid w:val="00EF1EC9"/>
    <w:rsid w:val="00EF2478"/>
    <w:rsid w:val="00EF2713"/>
    <w:rsid w:val="00EF2E4E"/>
    <w:rsid w:val="00EF3927"/>
    <w:rsid w:val="00EF3A7D"/>
    <w:rsid w:val="00EF3B26"/>
    <w:rsid w:val="00EF4140"/>
    <w:rsid w:val="00EF4AE6"/>
    <w:rsid w:val="00EF5940"/>
    <w:rsid w:val="00EF5C78"/>
    <w:rsid w:val="00EF5E8C"/>
    <w:rsid w:val="00EF6647"/>
    <w:rsid w:val="00F001CC"/>
    <w:rsid w:val="00F00301"/>
    <w:rsid w:val="00F004B8"/>
    <w:rsid w:val="00F00698"/>
    <w:rsid w:val="00F00ECA"/>
    <w:rsid w:val="00F01EB6"/>
    <w:rsid w:val="00F023CD"/>
    <w:rsid w:val="00F02B27"/>
    <w:rsid w:val="00F04089"/>
    <w:rsid w:val="00F0432D"/>
    <w:rsid w:val="00F04910"/>
    <w:rsid w:val="00F06881"/>
    <w:rsid w:val="00F06BC9"/>
    <w:rsid w:val="00F100BB"/>
    <w:rsid w:val="00F1030D"/>
    <w:rsid w:val="00F10374"/>
    <w:rsid w:val="00F1057A"/>
    <w:rsid w:val="00F10EF3"/>
    <w:rsid w:val="00F1119C"/>
    <w:rsid w:val="00F118E9"/>
    <w:rsid w:val="00F128AD"/>
    <w:rsid w:val="00F129A8"/>
    <w:rsid w:val="00F12DD9"/>
    <w:rsid w:val="00F1422E"/>
    <w:rsid w:val="00F14477"/>
    <w:rsid w:val="00F146C0"/>
    <w:rsid w:val="00F15111"/>
    <w:rsid w:val="00F15BBF"/>
    <w:rsid w:val="00F15D06"/>
    <w:rsid w:val="00F1700F"/>
    <w:rsid w:val="00F17117"/>
    <w:rsid w:val="00F17AB3"/>
    <w:rsid w:val="00F17FCE"/>
    <w:rsid w:val="00F20FF1"/>
    <w:rsid w:val="00F210D4"/>
    <w:rsid w:val="00F21253"/>
    <w:rsid w:val="00F222D6"/>
    <w:rsid w:val="00F22474"/>
    <w:rsid w:val="00F2355C"/>
    <w:rsid w:val="00F23B5B"/>
    <w:rsid w:val="00F243FB"/>
    <w:rsid w:val="00F24FF9"/>
    <w:rsid w:val="00F254F3"/>
    <w:rsid w:val="00F25DD6"/>
    <w:rsid w:val="00F2665C"/>
    <w:rsid w:val="00F26E07"/>
    <w:rsid w:val="00F26FFE"/>
    <w:rsid w:val="00F2739D"/>
    <w:rsid w:val="00F314E5"/>
    <w:rsid w:val="00F320B8"/>
    <w:rsid w:val="00F323E8"/>
    <w:rsid w:val="00F324A2"/>
    <w:rsid w:val="00F32EE3"/>
    <w:rsid w:val="00F33349"/>
    <w:rsid w:val="00F33B58"/>
    <w:rsid w:val="00F33E9D"/>
    <w:rsid w:val="00F347CE"/>
    <w:rsid w:val="00F34BC4"/>
    <w:rsid w:val="00F34CC9"/>
    <w:rsid w:val="00F34DA1"/>
    <w:rsid w:val="00F36070"/>
    <w:rsid w:val="00F377E2"/>
    <w:rsid w:val="00F37C0E"/>
    <w:rsid w:val="00F40189"/>
    <w:rsid w:val="00F41489"/>
    <w:rsid w:val="00F415D2"/>
    <w:rsid w:val="00F427B8"/>
    <w:rsid w:val="00F446E3"/>
    <w:rsid w:val="00F44CA2"/>
    <w:rsid w:val="00F45561"/>
    <w:rsid w:val="00F45C89"/>
    <w:rsid w:val="00F4632A"/>
    <w:rsid w:val="00F46B82"/>
    <w:rsid w:val="00F46F40"/>
    <w:rsid w:val="00F47BB9"/>
    <w:rsid w:val="00F47EF7"/>
    <w:rsid w:val="00F47FDD"/>
    <w:rsid w:val="00F50923"/>
    <w:rsid w:val="00F50953"/>
    <w:rsid w:val="00F50C16"/>
    <w:rsid w:val="00F517C2"/>
    <w:rsid w:val="00F518D4"/>
    <w:rsid w:val="00F51E24"/>
    <w:rsid w:val="00F544FD"/>
    <w:rsid w:val="00F54B3B"/>
    <w:rsid w:val="00F54C0D"/>
    <w:rsid w:val="00F56AC2"/>
    <w:rsid w:val="00F57662"/>
    <w:rsid w:val="00F5768C"/>
    <w:rsid w:val="00F60DF8"/>
    <w:rsid w:val="00F60ECC"/>
    <w:rsid w:val="00F61298"/>
    <w:rsid w:val="00F61555"/>
    <w:rsid w:val="00F61558"/>
    <w:rsid w:val="00F6215D"/>
    <w:rsid w:val="00F633D5"/>
    <w:rsid w:val="00F63F5D"/>
    <w:rsid w:val="00F64AC6"/>
    <w:rsid w:val="00F64D6F"/>
    <w:rsid w:val="00F65323"/>
    <w:rsid w:val="00F65F6A"/>
    <w:rsid w:val="00F66CF0"/>
    <w:rsid w:val="00F67540"/>
    <w:rsid w:val="00F6771F"/>
    <w:rsid w:val="00F67B4D"/>
    <w:rsid w:val="00F7085B"/>
    <w:rsid w:val="00F70A8E"/>
    <w:rsid w:val="00F715D8"/>
    <w:rsid w:val="00F71C6D"/>
    <w:rsid w:val="00F71F3C"/>
    <w:rsid w:val="00F72227"/>
    <w:rsid w:val="00F72570"/>
    <w:rsid w:val="00F7326A"/>
    <w:rsid w:val="00F73C09"/>
    <w:rsid w:val="00F73D8E"/>
    <w:rsid w:val="00F74060"/>
    <w:rsid w:val="00F74239"/>
    <w:rsid w:val="00F76300"/>
    <w:rsid w:val="00F76418"/>
    <w:rsid w:val="00F772C3"/>
    <w:rsid w:val="00F7754F"/>
    <w:rsid w:val="00F77B89"/>
    <w:rsid w:val="00F80773"/>
    <w:rsid w:val="00F81CB4"/>
    <w:rsid w:val="00F82A1D"/>
    <w:rsid w:val="00F848DE"/>
    <w:rsid w:val="00F84A06"/>
    <w:rsid w:val="00F84D05"/>
    <w:rsid w:val="00F907BC"/>
    <w:rsid w:val="00F90900"/>
    <w:rsid w:val="00F90984"/>
    <w:rsid w:val="00F9118E"/>
    <w:rsid w:val="00F91B74"/>
    <w:rsid w:val="00F91E62"/>
    <w:rsid w:val="00F91F8C"/>
    <w:rsid w:val="00F932D7"/>
    <w:rsid w:val="00F94399"/>
    <w:rsid w:val="00F9501E"/>
    <w:rsid w:val="00F96FAA"/>
    <w:rsid w:val="00F97A8A"/>
    <w:rsid w:val="00FA0E85"/>
    <w:rsid w:val="00FA0F45"/>
    <w:rsid w:val="00FA1DF2"/>
    <w:rsid w:val="00FA264F"/>
    <w:rsid w:val="00FA289B"/>
    <w:rsid w:val="00FA377F"/>
    <w:rsid w:val="00FA3C29"/>
    <w:rsid w:val="00FA5FE5"/>
    <w:rsid w:val="00FA6BBF"/>
    <w:rsid w:val="00FA7497"/>
    <w:rsid w:val="00FA7941"/>
    <w:rsid w:val="00FA7AED"/>
    <w:rsid w:val="00FB0C3C"/>
    <w:rsid w:val="00FB1EDE"/>
    <w:rsid w:val="00FB30F4"/>
    <w:rsid w:val="00FB331E"/>
    <w:rsid w:val="00FB362C"/>
    <w:rsid w:val="00FB38EF"/>
    <w:rsid w:val="00FB4A79"/>
    <w:rsid w:val="00FB4C92"/>
    <w:rsid w:val="00FB4E86"/>
    <w:rsid w:val="00FB595C"/>
    <w:rsid w:val="00FB5E58"/>
    <w:rsid w:val="00FB6CFF"/>
    <w:rsid w:val="00FB72EF"/>
    <w:rsid w:val="00FB79BA"/>
    <w:rsid w:val="00FC01FE"/>
    <w:rsid w:val="00FC02D4"/>
    <w:rsid w:val="00FC06EA"/>
    <w:rsid w:val="00FC08B7"/>
    <w:rsid w:val="00FC2D7E"/>
    <w:rsid w:val="00FC3054"/>
    <w:rsid w:val="00FC4383"/>
    <w:rsid w:val="00FC4635"/>
    <w:rsid w:val="00FC49E8"/>
    <w:rsid w:val="00FC4A09"/>
    <w:rsid w:val="00FC584D"/>
    <w:rsid w:val="00FC6115"/>
    <w:rsid w:val="00FC66C2"/>
    <w:rsid w:val="00FC73BC"/>
    <w:rsid w:val="00FC77EF"/>
    <w:rsid w:val="00FD0897"/>
    <w:rsid w:val="00FD22A2"/>
    <w:rsid w:val="00FD2ABF"/>
    <w:rsid w:val="00FD2D22"/>
    <w:rsid w:val="00FD319E"/>
    <w:rsid w:val="00FD349F"/>
    <w:rsid w:val="00FD51EA"/>
    <w:rsid w:val="00FD5F86"/>
    <w:rsid w:val="00FD6159"/>
    <w:rsid w:val="00FD6C95"/>
    <w:rsid w:val="00FD6E5C"/>
    <w:rsid w:val="00FD72F3"/>
    <w:rsid w:val="00FD7CA3"/>
    <w:rsid w:val="00FD7DC3"/>
    <w:rsid w:val="00FE0F25"/>
    <w:rsid w:val="00FE2A63"/>
    <w:rsid w:val="00FE33D0"/>
    <w:rsid w:val="00FE373D"/>
    <w:rsid w:val="00FE400F"/>
    <w:rsid w:val="00FE4163"/>
    <w:rsid w:val="00FE41B7"/>
    <w:rsid w:val="00FE6EAB"/>
    <w:rsid w:val="00FE6F4D"/>
    <w:rsid w:val="00FE72FA"/>
    <w:rsid w:val="00FF03A1"/>
    <w:rsid w:val="00FF1020"/>
    <w:rsid w:val="00FF113A"/>
    <w:rsid w:val="00FF1149"/>
    <w:rsid w:val="00FF1E3C"/>
    <w:rsid w:val="00FF25DC"/>
    <w:rsid w:val="00FF3C6A"/>
    <w:rsid w:val="00FF4099"/>
    <w:rsid w:val="00FF6924"/>
    <w:rsid w:val="00FF7C47"/>
    <w:rsid w:val="01BF3CBA"/>
    <w:rsid w:val="01DE1485"/>
    <w:rsid w:val="022AA566"/>
    <w:rsid w:val="041E1E7E"/>
    <w:rsid w:val="048A2F11"/>
    <w:rsid w:val="04E5D47B"/>
    <w:rsid w:val="052BC789"/>
    <w:rsid w:val="0557C8EC"/>
    <w:rsid w:val="0580CF0A"/>
    <w:rsid w:val="05BB8276"/>
    <w:rsid w:val="0697A60B"/>
    <w:rsid w:val="07A06D13"/>
    <w:rsid w:val="07D304D3"/>
    <w:rsid w:val="08775B89"/>
    <w:rsid w:val="08D37011"/>
    <w:rsid w:val="09A47EF2"/>
    <w:rsid w:val="09BD16DD"/>
    <w:rsid w:val="0A3B5701"/>
    <w:rsid w:val="0A47E7A9"/>
    <w:rsid w:val="0A5C3AE1"/>
    <w:rsid w:val="0AB86FDE"/>
    <w:rsid w:val="0B43B3EA"/>
    <w:rsid w:val="0BAFDB4C"/>
    <w:rsid w:val="0C02BEA6"/>
    <w:rsid w:val="0C2F98DC"/>
    <w:rsid w:val="0C542B0F"/>
    <w:rsid w:val="0C7ACEA2"/>
    <w:rsid w:val="0CB8ADE7"/>
    <w:rsid w:val="0CD668D0"/>
    <w:rsid w:val="0CDFDE5A"/>
    <w:rsid w:val="0D65761A"/>
    <w:rsid w:val="0DB2D937"/>
    <w:rsid w:val="0DC1D996"/>
    <w:rsid w:val="0EDB0694"/>
    <w:rsid w:val="0EF0AAD7"/>
    <w:rsid w:val="0F27E74B"/>
    <w:rsid w:val="0F80E9EE"/>
    <w:rsid w:val="0F97DBA9"/>
    <w:rsid w:val="0FC34594"/>
    <w:rsid w:val="0FDC13E2"/>
    <w:rsid w:val="0FF1A4D7"/>
    <w:rsid w:val="100DD6C1"/>
    <w:rsid w:val="1058CD90"/>
    <w:rsid w:val="10FCC8C4"/>
    <w:rsid w:val="11A1F800"/>
    <w:rsid w:val="11CAB172"/>
    <w:rsid w:val="123F7D9A"/>
    <w:rsid w:val="12593D6F"/>
    <w:rsid w:val="12688AA0"/>
    <w:rsid w:val="12CE4D7B"/>
    <w:rsid w:val="12D1F257"/>
    <w:rsid w:val="130B89B5"/>
    <w:rsid w:val="133832C5"/>
    <w:rsid w:val="13463639"/>
    <w:rsid w:val="134C7382"/>
    <w:rsid w:val="13EBE6C2"/>
    <w:rsid w:val="140E035C"/>
    <w:rsid w:val="141BB163"/>
    <w:rsid w:val="14BF5383"/>
    <w:rsid w:val="15101DB8"/>
    <w:rsid w:val="157977F4"/>
    <w:rsid w:val="15B524DF"/>
    <w:rsid w:val="16127B07"/>
    <w:rsid w:val="16590468"/>
    <w:rsid w:val="16E5E6A3"/>
    <w:rsid w:val="16E75C7D"/>
    <w:rsid w:val="1749461E"/>
    <w:rsid w:val="178D0E1D"/>
    <w:rsid w:val="182F1BAB"/>
    <w:rsid w:val="1854CFA3"/>
    <w:rsid w:val="18919115"/>
    <w:rsid w:val="18FA9FF7"/>
    <w:rsid w:val="198D7DFC"/>
    <w:rsid w:val="1A1F3AD2"/>
    <w:rsid w:val="1B8C2773"/>
    <w:rsid w:val="1BD7F228"/>
    <w:rsid w:val="1BF7CD88"/>
    <w:rsid w:val="1C6684A0"/>
    <w:rsid w:val="1D381ED9"/>
    <w:rsid w:val="1D3AF787"/>
    <w:rsid w:val="1D891615"/>
    <w:rsid w:val="1DF5B849"/>
    <w:rsid w:val="1E550C1B"/>
    <w:rsid w:val="1E731B7D"/>
    <w:rsid w:val="1EA99921"/>
    <w:rsid w:val="1EAD9530"/>
    <w:rsid w:val="1EC501BD"/>
    <w:rsid w:val="1ED0D527"/>
    <w:rsid w:val="1F0CE271"/>
    <w:rsid w:val="1F4A3F6E"/>
    <w:rsid w:val="1F5E5972"/>
    <w:rsid w:val="1F730F0B"/>
    <w:rsid w:val="1FA0F281"/>
    <w:rsid w:val="1FB95C28"/>
    <w:rsid w:val="2019B020"/>
    <w:rsid w:val="202550B9"/>
    <w:rsid w:val="202DD5B7"/>
    <w:rsid w:val="20B03AB6"/>
    <w:rsid w:val="212DF5AC"/>
    <w:rsid w:val="22181D29"/>
    <w:rsid w:val="222ED598"/>
    <w:rsid w:val="22451AAB"/>
    <w:rsid w:val="22BD73A3"/>
    <w:rsid w:val="2321AD7F"/>
    <w:rsid w:val="23CF7B27"/>
    <w:rsid w:val="24561CD6"/>
    <w:rsid w:val="248CF489"/>
    <w:rsid w:val="24B59BED"/>
    <w:rsid w:val="24C746FE"/>
    <w:rsid w:val="24CDFA01"/>
    <w:rsid w:val="2522E12C"/>
    <w:rsid w:val="253EE7BB"/>
    <w:rsid w:val="2590CEF6"/>
    <w:rsid w:val="25D7BE23"/>
    <w:rsid w:val="25F754C7"/>
    <w:rsid w:val="2621AD40"/>
    <w:rsid w:val="268E273B"/>
    <w:rsid w:val="26C445B6"/>
    <w:rsid w:val="271B0A71"/>
    <w:rsid w:val="27322CEA"/>
    <w:rsid w:val="273913D6"/>
    <w:rsid w:val="27AD3356"/>
    <w:rsid w:val="2806FC84"/>
    <w:rsid w:val="2825C9B7"/>
    <w:rsid w:val="28469773"/>
    <w:rsid w:val="2864E8FF"/>
    <w:rsid w:val="28AFB795"/>
    <w:rsid w:val="2A23A9E0"/>
    <w:rsid w:val="2A857C3F"/>
    <w:rsid w:val="2B7D1308"/>
    <w:rsid w:val="2C11F7F9"/>
    <w:rsid w:val="2CEDA0BC"/>
    <w:rsid w:val="2D2BA73F"/>
    <w:rsid w:val="2D84A624"/>
    <w:rsid w:val="2E39FDED"/>
    <w:rsid w:val="2E9DDEB5"/>
    <w:rsid w:val="2EA20202"/>
    <w:rsid w:val="2EBA109F"/>
    <w:rsid w:val="2EBFFA54"/>
    <w:rsid w:val="2F8FA86F"/>
    <w:rsid w:val="2FBB125A"/>
    <w:rsid w:val="2FDC32D5"/>
    <w:rsid w:val="300E125A"/>
    <w:rsid w:val="302A39AC"/>
    <w:rsid w:val="30CAFC9F"/>
    <w:rsid w:val="3147A022"/>
    <w:rsid w:val="31777656"/>
    <w:rsid w:val="318C9711"/>
    <w:rsid w:val="3234BAAA"/>
    <w:rsid w:val="32E5C9AA"/>
    <w:rsid w:val="334360CF"/>
    <w:rsid w:val="33A6D15D"/>
    <w:rsid w:val="350F0669"/>
    <w:rsid w:val="357B87DA"/>
    <w:rsid w:val="358BAAE7"/>
    <w:rsid w:val="35C34784"/>
    <w:rsid w:val="35D1B9A0"/>
    <w:rsid w:val="35FF816B"/>
    <w:rsid w:val="3647240D"/>
    <w:rsid w:val="368335EA"/>
    <w:rsid w:val="3687770B"/>
    <w:rsid w:val="368FC83D"/>
    <w:rsid w:val="36C601BD"/>
    <w:rsid w:val="3709DC0A"/>
    <w:rsid w:val="37239EA3"/>
    <w:rsid w:val="37286BD4"/>
    <w:rsid w:val="37737F49"/>
    <w:rsid w:val="37855198"/>
    <w:rsid w:val="3867A6E3"/>
    <w:rsid w:val="38882EEB"/>
    <w:rsid w:val="38995F2A"/>
    <w:rsid w:val="38B61DF4"/>
    <w:rsid w:val="3924B492"/>
    <w:rsid w:val="39A2BDAA"/>
    <w:rsid w:val="39EF79E6"/>
    <w:rsid w:val="3A3A8C60"/>
    <w:rsid w:val="3AC3E2C6"/>
    <w:rsid w:val="3AD3BCD7"/>
    <w:rsid w:val="3C0D99AB"/>
    <w:rsid w:val="3C2BC43E"/>
    <w:rsid w:val="3C66A999"/>
    <w:rsid w:val="3D785ED8"/>
    <w:rsid w:val="3E411C87"/>
    <w:rsid w:val="3F13BEFF"/>
    <w:rsid w:val="4000F62D"/>
    <w:rsid w:val="400FEA4A"/>
    <w:rsid w:val="40B599D8"/>
    <w:rsid w:val="4231FAF6"/>
    <w:rsid w:val="42815A3A"/>
    <w:rsid w:val="429F720B"/>
    <w:rsid w:val="42B88ED5"/>
    <w:rsid w:val="42E53DDB"/>
    <w:rsid w:val="4305A520"/>
    <w:rsid w:val="43145041"/>
    <w:rsid w:val="4356362D"/>
    <w:rsid w:val="4421AB51"/>
    <w:rsid w:val="4458BFEC"/>
    <w:rsid w:val="453981A0"/>
    <w:rsid w:val="459730B2"/>
    <w:rsid w:val="45C5E28E"/>
    <w:rsid w:val="45CD17D9"/>
    <w:rsid w:val="462A1D65"/>
    <w:rsid w:val="46544DC8"/>
    <w:rsid w:val="467BB10C"/>
    <w:rsid w:val="467E4CF2"/>
    <w:rsid w:val="4734829C"/>
    <w:rsid w:val="473BFFE8"/>
    <w:rsid w:val="47405606"/>
    <w:rsid w:val="47A9EA34"/>
    <w:rsid w:val="47C6ABAC"/>
    <w:rsid w:val="487384BC"/>
    <w:rsid w:val="4896662A"/>
    <w:rsid w:val="489BF4D5"/>
    <w:rsid w:val="48A2115B"/>
    <w:rsid w:val="48AC01B7"/>
    <w:rsid w:val="48D5B56D"/>
    <w:rsid w:val="491EE7AF"/>
    <w:rsid w:val="4948E541"/>
    <w:rsid w:val="498DFCF3"/>
    <w:rsid w:val="49C4F693"/>
    <w:rsid w:val="4AC550D2"/>
    <w:rsid w:val="4AD2B082"/>
    <w:rsid w:val="4B32A5D4"/>
    <w:rsid w:val="4B37CAD2"/>
    <w:rsid w:val="4B3BBC49"/>
    <w:rsid w:val="4B6B7C52"/>
    <w:rsid w:val="4BCE0B2D"/>
    <w:rsid w:val="4C160202"/>
    <w:rsid w:val="4C43F671"/>
    <w:rsid w:val="4C4466AB"/>
    <w:rsid w:val="4C7ECB2E"/>
    <w:rsid w:val="4D70EEF7"/>
    <w:rsid w:val="4DA525E1"/>
    <w:rsid w:val="4DFD1D14"/>
    <w:rsid w:val="4E5AE251"/>
    <w:rsid w:val="4EA0CAC7"/>
    <w:rsid w:val="4EADECE9"/>
    <w:rsid w:val="4F25A2D6"/>
    <w:rsid w:val="4F39452C"/>
    <w:rsid w:val="4F788CAB"/>
    <w:rsid w:val="4FCBF8D9"/>
    <w:rsid w:val="501B1606"/>
    <w:rsid w:val="5046A72F"/>
    <w:rsid w:val="5086741A"/>
    <w:rsid w:val="50C1E9EC"/>
    <w:rsid w:val="51528452"/>
    <w:rsid w:val="51579926"/>
    <w:rsid w:val="52AA6BF1"/>
    <w:rsid w:val="52BA1DEB"/>
    <w:rsid w:val="52E4E5A4"/>
    <w:rsid w:val="53B4C690"/>
    <w:rsid w:val="53DCFDA9"/>
    <w:rsid w:val="54ED4DA1"/>
    <w:rsid w:val="551E73F8"/>
    <w:rsid w:val="552334C8"/>
    <w:rsid w:val="56860999"/>
    <w:rsid w:val="56F5D661"/>
    <w:rsid w:val="57117849"/>
    <w:rsid w:val="574B0075"/>
    <w:rsid w:val="57CE330B"/>
    <w:rsid w:val="581DFDF7"/>
    <w:rsid w:val="5854CC78"/>
    <w:rsid w:val="588C49ED"/>
    <w:rsid w:val="588EC378"/>
    <w:rsid w:val="5896241E"/>
    <w:rsid w:val="58DF5485"/>
    <w:rsid w:val="58E4A5C7"/>
    <w:rsid w:val="5929A849"/>
    <w:rsid w:val="59AA8BBF"/>
    <w:rsid w:val="59EFA371"/>
    <w:rsid w:val="5A1D86E7"/>
    <w:rsid w:val="5A715BC8"/>
    <w:rsid w:val="5A919255"/>
    <w:rsid w:val="5AA27C97"/>
    <w:rsid w:val="5B128362"/>
    <w:rsid w:val="5B5085C7"/>
    <w:rsid w:val="5B7BABCF"/>
    <w:rsid w:val="5BC25718"/>
    <w:rsid w:val="5C1C1F4B"/>
    <w:rsid w:val="5C34F8BD"/>
    <w:rsid w:val="5C39DA34"/>
    <w:rsid w:val="5C3D799E"/>
    <w:rsid w:val="5C7131B4"/>
    <w:rsid w:val="5C802751"/>
    <w:rsid w:val="5CB6FDD7"/>
    <w:rsid w:val="5D76B6F5"/>
    <w:rsid w:val="5D9E100F"/>
    <w:rsid w:val="5DD889C2"/>
    <w:rsid w:val="5E0CC0AC"/>
    <w:rsid w:val="5E5885FD"/>
    <w:rsid w:val="5E6019C0"/>
    <w:rsid w:val="5ED69720"/>
    <w:rsid w:val="5F05ADA3"/>
    <w:rsid w:val="60342E2D"/>
    <w:rsid w:val="603E995B"/>
    <w:rsid w:val="60418320"/>
    <w:rsid w:val="60789937"/>
    <w:rsid w:val="60964988"/>
    <w:rsid w:val="6119AAA6"/>
    <w:rsid w:val="611A62E1"/>
    <w:rsid w:val="619F4266"/>
    <w:rsid w:val="625A778E"/>
    <w:rsid w:val="627B4955"/>
    <w:rsid w:val="631ABD90"/>
    <w:rsid w:val="631D57DE"/>
    <w:rsid w:val="633AEB89"/>
    <w:rsid w:val="6394D15D"/>
    <w:rsid w:val="63FD93AD"/>
    <w:rsid w:val="640FFD53"/>
    <w:rsid w:val="64F2A5D3"/>
    <w:rsid w:val="659BFB32"/>
    <w:rsid w:val="65C82D51"/>
    <w:rsid w:val="65D04059"/>
    <w:rsid w:val="65EF1F9A"/>
    <w:rsid w:val="6607D132"/>
    <w:rsid w:val="662EEAFA"/>
    <w:rsid w:val="6630E4C3"/>
    <w:rsid w:val="666A24EE"/>
    <w:rsid w:val="6704C0C3"/>
    <w:rsid w:val="67610617"/>
    <w:rsid w:val="68F190EE"/>
    <w:rsid w:val="691664FE"/>
    <w:rsid w:val="69847A06"/>
    <w:rsid w:val="698EA3BE"/>
    <w:rsid w:val="6A140DB5"/>
    <w:rsid w:val="6A89E80A"/>
    <w:rsid w:val="6AD762FC"/>
    <w:rsid w:val="6AFC60A5"/>
    <w:rsid w:val="6B5900CB"/>
    <w:rsid w:val="6B741F48"/>
    <w:rsid w:val="6BFEA3A3"/>
    <w:rsid w:val="6CC0D58D"/>
    <w:rsid w:val="6CC823B2"/>
    <w:rsid w:val="6CE2FCBF"/>
    <w:rsid w:val="6D06B788"/>
    <w:rsid w:val="6D2CAE73"/>
    <w:rsid w:val="6D64BFAE"/>
    <w:rsid w:val="6DD7BBD1"/>
    <w:rsid w:val="6E6F27EC"/>
    <w:rsid w:val="6E8E2FE0"/>
    <w:rsid w:val="6EC01F33"/>
    <w:rsid w:val="6EF08428"/>
    <w:rsid w:val="6FB812E7"/>
    <w:rsid w:val="6FDB0367"/>
    <w:rsid w:val="701D8746"/>
    <w:rsid w:val="7026861B"/>
    <w:rsid w:val="7050E94F"/>
    <w:rsid w:val="70F7588E"/>
    <w:rsid w:val="711529A2"/>
    <w:rsid w:val="714320C8"/>
    <w:rsid w:val="7182428B"/>
    <w:rsid w:val="71D7DCD9"/>
    <w:rsid w:val="71DFFC35"/>
    <w:rsid w:val="721ED69E"/>
    <w:rsid w:val="7222F9EB"/>
    <w:rsid w:val="725E3DE7"/>
    <w:rsid w:val="73B26AFD"/>
    <w:rsid w:val="74217C24"/>
    <w:rsid w:val="74C63B26"/>
    <w:rsid w:val="74ECB876"/>
    <w:rsid w:val="75429617"/>
    <w:rsid w:val="759D3F4F"/>
    <w:rsid w:val="75E19EC6"/>
    <w:rsid w:val="75F2D99D"/>
    <w:rsid w:val="76863D05"/>
    <w:rsid w:val="768F95E9"/>
    <w:rsid w:val="76B92ED4"/>
    <w:rsid w:val="773F2B3B"/>
    <w:rsid w:val="783A116B"/>
    <w:rsid w:val="78AF2D0A"/>
    <w:rsid w:val="79DD5C46"/>
    <w:rsid w:val="79EB7D59"/>
    <w:rsid w:val="7A591282"/>
    <w:rsid w:val="7A6F8182"/>
    <w:rsid w:val="7AB7F9AE"/>
    <w:rsid w:val="7B45E39B"/>
    <w:rsid w:val="7C2E91DA"/>
    <w:rsid w:val="7C8DB7DD"/>
    <w:rsid w:val="7C96ABB1"/>
    <w:rsid w:val="7CAE5C8B"/>
    <w:rsid w:val="7CBA134F"/>
    <w:rsid w:val="7D685EE0"/>
    <w:rsid w:val="7E372BAD"/>
    <w:rsid w:val="7E46FFCF"/>
    <w:rsid w:val="7E9FDD65"/>
    <w:rsid w:val="7EABCCE5"/>
    <w:rsid w:val="7EE56039"/>
    <w:rsid w:val="7FDDDDF1"/>
  </w:rsids>
  <m:mathPr>
    <m:mathFont m:val="Cambria Math"/>
    <m:brkBin m:val="before"/>
    <m:brkBinSub m:val="--"/>
    <m:smallFrac/>
    <m:dispDef/>
    <m:lMargin m:val="1440"/>
    <m:rMargin m:val="144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66C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Times New Roman" w:hAnsi="Times New Roman"/>
      <w:sz w:val="24"/>
      <w:szCs w:val="24"/>
    </w:rPr>
  </w:style>
  <w:style w:type="paragraph" w:styleId="Heading1">
    <w:name w:val="heading 1"/>
    <w:basedOn w:val="Normal"/>
    <w:link w:val="Heading1Char"/>
    <w:uiPriority w:val="9"/>
    <w:qFormat/>
    <w:pPr>
      <w:numPr>
        <w:numId w:val="2"/>
      </w:numPr>
      <w:spacing w:before="240" w:after="240" w:line="240" w:lineRule="auto"/>
      <w:outlineLvl w:val="0"/>
    </w:pPr>
    <w:rPr>
      <w:rFonts w:cs="Times New Roman"/>
      <w:b/>
      <w:smallCaps/>
      <w:lang w:eastAsia="en-IE"/>
    </w:rPr>
  </w:style>
  <w:style w:type="paragraph" w:styleId="Heading2">
    <w:name w:val="heading 2"/>
    <w:basedOn w:val="Normal"/>
    <w:link w:val="Heading2Char"/>
    <w:uiPriority w:val="9"/>
    <w:semiHidden/>
    <w:unhideWhenUsed/>
    <w:qFormat/>
    <w:pPr>
      <w:numPr>
        <w:ilvl w:val="1"/>
        <w:numId w:val="2"/>
      </w:numPr>
      <w:spacing w:after="240" w:line="240" w:lineRule="auto"/>
      <w:outlineLvl w:val="1"/>
    </w:pPr>
    <w:rPr>
      <w:rFonts w:cs="Times New Roman"/>
      <w:b/>
      <w:lang w:eastAsia="en-IE"/>
    </w:rPr>
  </w:style>
  <w:style w:type="paragraph" w:styleId="Heading3">
    <w:name w:val="heading 3"/>
    <w:basedOn w:val="Normal"/>
    <w:link w:val="Heading3Char"/>
    <w:uiPriority w:val="9"/>
    <w:semiHidden/>
    <w:unhideWhenUsed/>
    <w:qFormat/>
    <w:pPr>
      <w:numPr>
        <w:ilvl w:val="2"/>
        <w:numId w:val="2"/>
      </w:numPr>
      <w:spacing w:after="240" w:line="240" w:lineRule="auto"/>
      <w:outlineLvl w:val="2"/>
    </w:pPr>
    <w:rPr>
      <w:rFonts w:cs="Times New Roman"/>
      <w:i/>
      <w:lang w:eastAsia="en-IE"/>
    </w:rPr>
  </w:style>
  <w:style w:type="paragraph" w:styleId="Heading4">
    <w:name w:val="heading 4"/>
    <w:basedOn w:val="Normal"/>
    <w:link w:val="Heading4Char"/>
    <w:uiPriority w:val="9"/>
    <w:semiHidden/>
    <w:unhideWhenUsed/>
    <w:qFormat/>
    <w:pPr>
      <w:numPr>
        <w:ilvl w:val="3"/>
        <w:numId w:val="2"/>
      </w:numPr>
      <w:spacing w:after="240" w:line="240" w:lineRule="auto"/>
      <w:outlineLvl w:val="3"/>
    </w:pPr>
    <w:rPr>
      <w:rFonts w:cs="Times New Roman"/>
      <w:lang w:eastAsia="en-IE"/>
    </w:rPr>
  </w:style>
  <w:style w:type="paragraph" w:styleId="Heading5">
    <w:name w:val="heading 5"/>
    <w:basedOn w:val="Normal"/>
    <w:link w:val="Heading5Char"/>
    <w:uiPriority w:val="9"/>
    <w:semiHidden/>
    <w:unhideWhenUsed/>
    <w:qFormat/>
    <w:pPr>
      <w:numPr>
        <w:ilvl w:val="4"/>
        <w:numId w:val="2"/>
      </w:numPr>
      <w:spacing w:after="240" w:line="240" w:lineRule="auto"/>
      <w:outlineLvl w:val="4"/>
    </w:pPr>
    <w:rPr>
      <w:rFonts w:cs="Times New Roman"/>
      <w:lang w:eastAsia="en-IE"/>
    </w:rPr>
  </w:style>
  <w:style w:type="paragraph" w:styleId="Heading6">
    <w:name w:val="heading 6"/>
    <w:basedOn w:val="Normal"/>
    <w:link w:val="Heading6Char"/>
    <w:uiPriority w:val="9"/>
    <w:semiHidden/>
    <w:unhideWhenUsed/>
    <w:qFormat/>
    <w:pPr>
      <w:numPr>
        <w:ilvl w:val="5"/>
        <w:numId w:val="2"/>
      </w:numPr>
      <w:spacing w:after="240" w:line="240" w:lineRule="auto"/>
      <w:outlineLvl w:val="5"/>
    </w:pPr>
    <w:rPr>
      <w:rFonts w:cs="Times New Roman"/>
      <w:lang w:eastAsia="en-IE"/>
    </w:rPr>
  </w:style>
  <w:style w:type="paragraph" w:styleId="Heading7">
    <w:name w:val="heading 7"/>
    <w:basedOn w:val="Normal"/>
    <w:link w:val="Heading7Char"/>
    <w:uiPriority w:val="9"/>
    <w:semiHidden/>
    <w:unhideWhenUsed/>
    <w:qFormat/>
    <w:pPr>
      <w:numPr>
        <w:ilvl w:val="6"/>
        <w:numId w:val="2"/>
      </w:numPr>
      <w:spacing w:after="240" w:line="240" w:lineRule="auto"/>
      <w:outlineLvl w:val="6"/>
    </w:pPr>
    <w:rPr>
      <w:rFonts w:cs="Times New Roman"/>
      <w:lang w:eastAsia="en-IE"/>
    </w:rPr>
  </w:style>
  <w:style w:type="paragraph" w:styleId="Heading8">
    <w:name w:val="heading 8"/>
    <w:basedOn w:val="Normal"/>
    <w:link w:val="Heading8Char"/>
    <w:uiPriority w:val="9"/>
    <w:semiHidden/>
    <w:unhideWhenUsed/>
    <w:qFormat/>
    <w:pPr>
      <w:numPr>
        <w:ilvl w:val="7"/>
        <w:numId w:val="2"/>
      </w:numPr>
      <w:spacing w:after="240" w:line="240" w:lineRule="auto"/>
      <w:outlineLvl w:val="7"/>
    </w:pPr>
    <w:rPr>
      <w:rFonts w:cs="Times New Roman"/>
      <w:lang w:eastAsia="en-IE"/>
    </w:rPr>
  </w:style>
  <w:style w:type="paragraph" w:styleId="Heading9">
    <w:name w:val="heading 9"/>
    <w:basedOn w:val="Normal"/>
    <w:link w:val="Heading9Char"/>
    <w:uiPriority w:val="9"/>
    <w:semiHidden/>
    <w:unhideWhenUsed/>
    <w:qFormat/>
    <w:pPr>
      <w:numPr>
        <w:ilvl w:val="8"/>
        <w:numId w:val="2"/>
      </w:numPr>
      <w:spacing w:after="240" w:line="240" w:lineRule="auto"/>
      <w:outlineLvl w:val="8"/>
    </w:pPr>
    <w:rPr>
      <w:rFonts w:cs="Times New Roman"/>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widowControl w:val="0"/>
      <w:spacing w:after="0" w:line="360" w:lineRule="atLeast"/>
      <w:ind w:left="720"/>
      <w:contextualSpacing/>
    </w:pPr>
    <w:rPr>
      <w:rFonts w:eastAsia="Times New Roman" w:cs="Times New Roman"/>
      <w:sz w:val="20"/>
      <w:szCs w:val="20"/>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qFormat/>
    <w:pPr>
      <w:widowControl w:val="0"/>
      <w:spacing w:after="0"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shd w:val="clear" w:color="auto" w:fill="auto"/>
      <w:lang w:val="en-US"/>
    </w:rPr>
  </w:style>
  <w:style w:type="character" w:styleId="CommentReference">
    <w:name w:val="annotation reference"/>
    <w:basedOn w:val="DefaultParagraphFont"/>
    <w:uiPriority w:val="99"/>
    <w:semiHidden/>
    <w:unhideWhenUsed/>
    <w:rPr>
      <w:sz w:val="16"/>
      <w:szCs w:val="16"/>
      <w:shd w:val="clear" w:color="auto" w:fill="auto"/>
    </w:rPr>
  </w:style>
  <w:style w:type="paragraph" w:styleId="CommentText">
    <w:name w:val="annotation text"/>
    <w:basedOn w:val="Normal"/>
    <w:link w:val="CommentTextChar"/>
    <w:uiPriority w:val="99"/>
    <w:unhideWhenUsed/>
    <w:pPr>
      <w:widowControl w:val="0"/>
      <w:spacing w:after="0" w:line="240" w:lineRule="auto"/>
    </w:pPr>
    <w:rPr>
      <w:rFonts w:eastAsia="Times New Roman" w:cs="Times New Roman"/>
      <w:sz w:val="20"/>
      <w:szCs w:val="20"/>
      <w:lang w:val="en-US"/>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shd w:val="clear" w:color="auto" w:fill="auto"/>
      <w:lang w:val="en-US"/>
    </w:rPr>
  </w:style>
  <w:style w:type="character" w:customStyle="1" w:styleId="ListParagraphChar">
    <w:name w:val="List Paragraph Char"/>
    <w:link w:val="ListParagraph"/>
    <w:uiPriority w:val="34"/>
    <w:qFormat/>
    <w:rPr>
      <w:rFonts w:ascii="Times New Roman" w:eastAsia="Times New Roman" w:hAnsi="Times New Roman" w:cs="Times New Roman"/>
      <w:sz w:val="20"/>
      <w:szCs w:val="20"/>
      <w:shd w:val="clear" w:color="auto" w:fill="auto"/>
      <w:lang w:val="en-US"/>
    </w:rPr>
  </w:style>
  <w:style w:type="paragraph" w:styleId="CommentSubject">
    <w:name w:val="annotation subject"/>
    <w:basedOn w:val="CommentText"/>
    <w:next w:val="CommentText"/>
    <w:link w:val="CommentSubjectChar"/>
    <w:uiPriority w:val="99"/>
    <w:semiHidden/>
    <w:unhideWhenUsed/>
    <w:pPr>
      <w:widowControl/>
      <w:spacing w:after="160"/>
      <w:jc w:val="left"/>
    </w:pPr>
    <w:rPr>
      <w:rFonts w:asciiTheme="minorHAnsi" w:eastAsiaTheme="minorHAnsi" w:hAnsiTheme="minorHAnsi" w:cstheme="minorBidi"/>
      <w:b/>
      <w:lang w:val="en-IE"/>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sz w:val="20"/>
      <w:szCs w:val="20"/>
      <w:shd w:val="clear" w:color="auto" w:fill="auto"/>
      <w:lang w:val="en-US"/>
    </w:rPr>
  </w:style>
  <w:style w:type="character" w:styleId="FootnoteReference">
    <w:name w:val="footnote reference"/>
    <w:basedOn w:val="DefaultParagraphFont"/>
    <w:link w:val="CharCharChar"/>
    <w:uiPriority w:val="99"/>
    <w:unhideWhenUsed/>
    <w:qFormat/>
    <w:rPr>
      <w:rFonts w:ascii="Times New Roman" w:hAnsi="Times New Roman"/>
      <w:sz w:val="24"/>
      <w:szCs w:val="24"/>
      <w:shd w:val="clear" w:color="auto" w:fill="auto"/>
      <w:vertAlign w:val="superscript"/>
    </w:rPr>
  </w:style>
  <w:style w:type="paragraph" w:customStyle="1" w:styleId="paragraph">
    <w:name w:val="paragraph"/>
    <w:basedOn w:val="Normal"/>
    <w:pPr>
      <w:spacing w:before="100" w:beforeAutospacing="1" w:after="100" w:afterAutospacing="1" w:line="240" w:lineRule="auto"/>
      <w:jc w:val="left"/>
    </w:pPr>
    <w:rPr>
      <w:rFonts w:eastAsia="Times New Roman" w:cs="Times New Roman"/>
      <w:lang w:val="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riefinglist1">
    <w:name w:val="Briefing list 1"/>
    <w:basedOn w:val="Normal"/>
    <w:link w:val="Briefinglist1Char"/>
    <w:qFormat/>
    <w:pPr>
      <w:numPr>
        <w:numId w:val="1"/>
      </w:numPr>
      <w:spacing w:after="120" w:line="240" w:lineRule="auto"/>
    </w:pPr>
    <w:rPr>
      <w:rFonts w:ascii="Arial" w:eastAsia="Times New Roman" w:hAnsi="Arial" w:cs="Times New Roman"/>
      <w:lang w:val="en-GB" w:eastAsia="en-GB"/>
    </w:rPr>
  </w:style>
  <w:style w:type="character" w:customStyle="1" w:styleId="Briefinglist1Char">
    <w:name w:val="Briefing list 1 Char"/>
    <w:basedOn w:val="DefaultParagraphFont"/>
    <w:link w:val="Briefinglist1"/>
    <w:qFormat/>
    <w:rPr>
      <w:rFonts w:ascii="Arial" w:eastAsia="Times New Roman" w:hAnsi="Arial" w:cs="Times New Roman"/>
      <w:sz w:val="24"/>
      <w:szCs w:val="24"/>
      <w:shd w:val="clear" w:color="auto" w:fill="auto"/>
      <w:lang w:val="en-GB"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shd w:val="clear" w:color="auto" w:fill="auto"/>
    </w:rPr>
  </w:style>
  <w:style w:type="paragraph" w:customStyle="1" w:styleId="CharCharChar">
    <w:name w:val="Char Char Char"/>
    <w:basedOn w:val="Normal"/>
    <w:link w:val="FootnoteReference"/>
    <w:uiPriority w:val="99"/>
    <w:pPr>
      <w:spacing w:line="240" w:lineRule="exact"/>
      <w:ind w:left="357" w:hanging="357"/>
    </w:pPr>
    <w:rPr>
      <w:vertAlign w:val="superscript"/>
    </w:rPr>
  </w:style>
  <w:style w:type="paragraph" w:customStyle="1" w:styleId="FootnoteReference1">
    <w:name w:val="Footnote Reference1"/>
    <w:basedOn w:val="Normal"/>
    <w:pPr>
      <w:spacing w:line="240" w:lineRule="exact"/>
    </w:pPr>
    <w:rPr>
      <w:vertAlign w:val="superscript"/>
    </w:rPr>
  </w:style>
  <w:style w:type="character" w:customStyle="1" w:styleId="Heading1Char">
    <w:name w:val="Heading 1 Char"/>
    <w:basedOn w:val="DefaultParagraphFont"/>
    <w:link w:val="Heading1"/>
    <w:uiPriority w:val="1"/>
    <w:rPr>
      <w:rFonts w:ascii="Times New Roman" w:hAnsi="Times New Roman" w:cs="Times New Roman"/>
      <w:b/>
      <w:smallCaps/>
      <w:sz w:val="24"/>
      <w:szCs w:val="24"/>
      <w:shd w:val="clear" w:color="auto" w:fill="auto"/>
      <w:lang w:eastAsia="en-IE"/>
    </w:rPr>
  </w:style>
  <w:style w:type="character" w:customStyle="1" w:styleId="Heading2Char">
    <w:name w:val="Heading 2 Char"/>
    <w:basedOn w:val="DefaultParagraphFont"/>
    <w:link w:val="Heading2"/>
    <w:uiPriority w:val="1"/>
    <w:semiHidden/>
    <w:rPr>
      <w:rFonts w:ascii="Times New Roman" w:hAnsi="Times New Roman" w:cs="Times New Roman"/>
      <w:b/>
      <w:sz w:val="24"/>
      <w:szCs w:val="24"/>
      <w:shd w:val="clear" w:color="auto" w:fill="auto"/>
      <w:lang w:eastAsia="en-IE"/>
    </w:rPr>
  </w:style>
  <w:style w:type="character" w:customStyle="1" w:styleId="Heading3Char">
    <w:name w:val="Heading 3 Char"/>
    <w:basedOn w:val="DefaultParagraphFont"/>
    <w:link w:val="Heading3"/>
    <w:uiPriority w:val="1"/>
    <w:semiHidden/>
    <w:rPr>
      <w:rFonts w:ascii="Times New Roman" w:hAnsi="Times New Roman" w:cs="Times New Roman"/>
      <w:i/>
      <w:sz w:val="24"/>
      <w:szCs w:val="24"/>
      <w:shd w:val="clear" w:color="auto" w:fill="auto"/>
      <w:lang w:eastAsia="en-IE"/>
    </w:rPr>
  </w:style>
  <w:style w:type="character" w:customStyle="1" w:styleId="Heading4Char">
    <w:name w:val="Heading 4 Char"/>
    <w:basedOn w:val="DefaultParagraphFont"/>
    <w:link w:val="Heading4"/>
    <w:uiPriority w:val="1"/>
    <w:semiHidden/>
    <w:rPr>
      <w:rFonts w:ascii="Times New Roman" w:hAnsi="Times New Roman" w:cs="Times New Roman"/>
      <w:sz w:val="24"/>
      <w:szCs w:val="24"/>
      <w:shd w:val="clear" w:color="auto" w:fill="auto"/>
      <w:lang w:eastAsia="en-IE"/>
    </w:rPr>
  </w:style>
  <w:style w:type="character" w:customStyle="1" w:styleId="Heading5Char">
    <w:name w:val="Heading 5 Char"/>
    <w:basedOn w:val="DefaultParagraphFont"/>
    <w:link w:val="Heading5"/>
    <w:uiPriority w:val="9"/>
    <w:semiHidden/>
    <w:rPr>
      <w:rFonts w:ascii="Times New Roman" w:hAnsi="Times New Roman" w:cs="Times New Roman"/>
      <w:sz w:val="24"/>
      <w:szCs w:val="24"/>
      <w:shd w:val="clear" w:color="auto" w:fill="auto"/>
      <w:lang w:eastAsia="en-IE"/>
    </w:rPr>
  </w:style>
  <w:style w:type="character" w:customStyle="1" w:styleId="Heading6Char">
    <w:name w:val="Heading 6 Char"/>
    <w:basedOn w:val="DefaultParagraphFont"/>
    <w:link w:val="Heading6"/>
    <w:uiPriority w:val="9"/>
    <w:semiHidden/>
    <w:rPr>
      <w:rFonts w:ascii="Times New Roman" w:hAnsi="Times New Roman" w:cs="Times New Roman"/>
      <w:sz w:val="24"/>
      <w:szCs w:val="24"/>
      <w:shd w:val="clear" w:color="auto" w:fill="auto"/>
      <w:lang w:eastAsia="en-IE"/>
    </w:rPr>
  </w:style>
  <w:style w:type="character" w:customStyle="1" w:styleId="Heading7Char">
    <w:name w:val="Heading 7 Char"/>
    <w:basedOn w:val="DefaultParagraphFont"/>
    <w:link w:val="Heading7"/>
    <w:uiPriority w:val="9"/>
    <w:semiHidden/>
    <w:rPr>
      <w:rFonts w:ascii="Times New Roman" w:hAnsi="Times New Roman" w:cs="Times New Roman"/>
      <w:sz w:val="24"/>
      <w:szCs w:val="24"/>
      <w:shd w:val="clear" w:color="auto" w:fill="auto"/>
      <w:lang w:eastAsia="en-IE"/>
    </w:rPr>
  </w:style>
  <w:style w:type="character" w:customStyle="1" w:styleId="Heading8Char">
    <w:name w:val="Heading 8 Char"/>
    <w:basedOn w:val="DefaultParagraphFont"/>
    <w:link w:val="Heading8"/>
    <w:uiPriority w:val="9"/>
    <w:semiHidden/>
    <w:rPr>
      <w:rFonts w:ascii="Times New Roman" w:hAnsi="Times New Roman" w:cs="Times New Roman"/>
      <w:sz w:val="24"/>
      <w:szCs w:val="24"/>
      <w:shd w:val="clear" w:color="auto" w:fill="auto"/>
      <w:lang w:eastAsia="en-IE"/>
    </w:rPr>
  </w:style>
  <w:style w:type="character" w:customStyle="1" w:styleId="Heading9Char">
    <w:name w:val="Heading 9 Char"/>
    <w:basedOn w:val="DefaultParagraphFont"/>
    <w:link w:val="Heading9"/>
    <w:uiPriority w:val="9"/>
    <w:semiHidden/>
    <w:rPr>
      <w:rFonts w:ascii="Times New Roman" w:hAnsi="Times New Roman" w:cs="Times New Roman"/>
      <w:sz w:val="24"/>
      <w:szCs w:val="24"/>
      <w:shd w:val="clear" w:color="auto" w:fill="auto"/>
      <w:lang w:eastAsia="en-I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shd w:val="clear" w:color="auto" w:fill="auto"/>
    </w:rPr>
  </w:style>
  <w:style w:type="paragraph" w:customStyle="1" w:styleId="FootnotesymbolCarZchn">
    <w:name w:val="Footnote symbol Car Zchn"/>
    <w:basedOn w:val="Normal"/>
    <w:uiPriority w:val="99"/>
    <w:qFormat/>
    <w:pPr>
      <w:spacing w:line="240" w:lineRule="exact"/>
    </w:pPr>
    <w:rPr>
      <w:vertAlign w:val="superscript"/>
    </w:rPr>
  </w:style>
  <w:style w:type="paragraph" w:styleId="Revision">
    <w:name w:val="Revision"/>
    <w:uiPriority w:val="99"/>
    <w:semiHidden/>
    <w:pPr>
      <w:spacing w:after="0" w:line="240" w:lineRule="auto"/>
    </w:pPr>
    <w:rPr>
      <w:rFonts w:ascii="Times New Roman" w:hAnsi="Times New Roman"/>
      <w:sz w:val="24"/>
      <w:szCs w:val="24"/>
    </w:rPr>
  </w:style>
  <w:style w:type="character" w:customStyle="1" w:styleId="Mention1">
    <w:name w:val="Mention1"/>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Pr>
      <w:rFonts w:ascii="Times New Roman" w:hAnsi="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Pr>
      <w:rFonts w:ascii="Times New Roman" w:hAnsi="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szCs w:val="24"/>
    </w:rPr>
  </w:style>
  <w:style w:type="paragraph" w:customStyle="1" w:styleId="HeaderSensitivityRight">
    <w:name w:val="Header Sensitivity Right"/>
    <w:basedOn w:val="Normal"/>
    <w:link w:val="HeaderSensitivityRightChar"/>
    <w:rsid w:val="00373250"/>
    <w:pPr>
      <w:spacing w:after="120" w:line="240" w:lineRule="auto"/>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szCs w:val="24"/>
    </w:rPr>
  </w:style>
  <w:style w:type="paragraph" w:customStyle="1" w:styleId="Act">
    <w:name w:val="Act"/>
    <w:basedOn w:val="Normal"/>
    <w:pPr>
      <w:jc w:val="center"/>
    </w:pPr>
    <w:rPr>
      <w:b/>
    </w:rPr>
  </w:style>
  <w:style w:type="paragraph" w:customStyle="1" w:styleId="Normalleft">
    <w:name w:val="Normal left"/>
    <w:basedOn w:val="Act"/>
  </w:style>
  <w:style w:type="paragraph" w:customStyle="1" w:styleId="Text1">
    <w:name w:val="Text 1"/>
    <w:basedOn w:val="Normal"/>
  </w:style>
  <w:style w:type="character" w:customStyle="1" w:styleId="Hyperlink3">
    <w:name w:val="Hyperlink.3"/>
    <w:basedOn w:val="DefaultParagraphFont"/>
    <w:rPr>
      <w:color w:val="0563C1"/>
      <w:sz w:val="16"/>
      <w:szCs w:val="16"/>
      <w:u w:val="single" w:color="0563C1"/>
      <w:shd w:val="clear" w:color="auto" w:fill="auto"/>
      <w14:textOutline w14:w="0" w14:cap="rnd" w14:cmpd="sng" w14:algn="ctr">
        <w14:noFill/>
        <w14:prstDash w14:val="solid"/>
        <w14:bevel/>
      </w14:textOutline>
    </w:rPr>
  </w:style>
  <w:style w:type="character" w:customStyle="1" w:styleId="UnresolvedMention">
    <w:name w:val="Unresolved Mention"/>
    <w:basedOn w:val="DefaultParagraphFont"/>
    <w:uiPriority w:val="99"/>
    <w:semiHidden/>
    <w:unhideWhenUsed/>
    <w:rsid w:val="001E11CE"/>
    <w:rPr>
      <w:color w:val="605E5C"/>
      <w:shd w:val="clear" w:color="auto" w:fill="E1DFDD"/>
    </w:rPr>
  </w:style>
  <w:style w:type="paragraph" w:customStyle="1" w:styleId="Disclaimer">
    <w:name w:val="Disclaimer"/>
    <w:basedOn w:val="Normal"/>
    <w:rsid w:val="00F848D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cs="Times New Roman"/>
      <w:szCs w:val="22"/>
    </w:rPr>
  </w:style>
  <w:style w:type="paragraph" w:customStyle="1" w:styleId="SecurityMarking">
    <w:name w:val="SecurityMarking"/>
    <w:basedOn w:val="Normal"/>
    <w:rsid w:val="00373250"/>
    <w:pPr>
      <w:spacing w:after="0" w:line="276" w:lineRule="auto"/>
      <w:ind w:left="5103"/>
      <w:jc w:val="left"/>
    </w:pPr>
    <w:rPr>
      <w:rFonts w:cs="Times New Roman"/>
      <w:sz w:val="28"/>
      <w:szCs w:val="22"/>
    </w:rPr>
  </w:style>
  <w:style w:type="paragraph" w:customStyle="1" w:styleId="DateMarking">
    <w:name w:val="DateMarking"/>
    <w:basedOn w:val="Normal"/>
    <w:rsid w:val="00373250"/>
    <w:pPr>
      <w:spacing w:after="0" w:line="276" w:lineRule="auto"/>
      <w:ind w:left="5103"/>
      <w:jc w:val="left"/>
    </w:pPr>
    <w:rPr>
      <w:rFonts w:cs="Times New Roman"/>
      <w:i/>
      <w:sz w:val="28"/>
      <w:szCs w:val="22"/>
    </w:rPr>
  </w:style>
  <w:style w:type="paragraph" w:customStyle="1" w:styleId="ReleasableTo">
    <w:name w:val="ReleasableTo"/>
    <w:basedOn w:val="Normal"/>
    <w:rsid w:val="00373250"/>
    <w:pPr>
      <w:spacing w:after="0" w:line="276" w:lineRule="auto"/>
      <w:ind w:left="5103"/>
      <w:jc w:val="left"/>
    </w:pPr>
    <w:rPr>
      <w:rFonts w:cs="Times New Roman"/>
      <w:i/>
      <w:sz w:val="28"/>
      <w:szCs w:val="22"/>
    </w:rPr>
  </w:style>
  <w:style w:type="paragraph" w:styleId="EndnoteText">
    <w:name w:val="endnote text"/>
    <w:basedOn w:val="Normal"/>
    <w:link w:val="EndnoteTextChar"/>
    <w:uiPriority w:val="99"/>
    <w:semiHidden/>
    <w:unhideWhenUsed/>
    <w:rsid w:val="005460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6023"/>
    <w:rPr>
      <w:rFonts w:ascii="Times New Roman" w:hAnsi="Times New Roman"/>
      <w:sz w:val="20"/>
      <w:szCs w:val="20"/>
    </w:rPr>
  </w:style>
  <w:style w:type="character" w:styleId="EndnoteReference">
    <w:name w:val="endnote reference"/>
    <w:basedOn w:val="DefaultParagraphFont"/>
    <w:uiPriority w:val="99"/>
    <w:semiHidden/>
    <w:unhideWhenUsed/>
    <w:rsid w:val="005460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12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www.eea.europa.eu/en/analysis/indicators/use-of-auctioning-revenues-generate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19/452/oj" TargetMode="External"/><Relationship Id="rId1" Type="http://schemas.openxmlformats.org/officeDocument/2006/relationships/hyperlink" Target="https://eur-lex.europa.eu/legal-content/EN/TXT/HTML/?uri=CELEX:52023PC0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DC38D-7028-4957-A08F-607BAC5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6067</Words>
  <Characters>34587</Characters>
  <Application>Microsoft Office Word</Application>
  <DocSecurity>0</DocSecurity>
  <Lines>288</Lines>
  <Paragraphs>81</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40573</CharactersWithSpaces>
  <SharedDoc>false</SharedDoc>
  <HLinks>
    <vt:vector size="18" baseType="variant">
      <vt:variant>
        <vt:i4>7667815</vt:i4>
      </vt:variant>
      <vt:variant>
        <vt:i4>0</vt:i4>
      </vt:variant>
      <vt:variant>
        <vt:i4>0</vt:i4>
      </vt:variant>
      <vt:variant>
        <vt:i4>5</vt:i4>
      </vt:variant>
      <vt:variant>
        <vt:lpwstr>https://www.eea.europa.eu/en/analysis/indicators/use-of-auctioning-revenues-generated</vt:lpwstr>
      </vt:variant>
      <vt:variant>
        <vt:lpwstr>:~:text=Total%20auctioning%20revenues%20generated%20under,and%20the%20Modernisation%20Fund%20(EUR3</vt:lpwstr>
      </vt:variant>
      <vt:variant>
        <vt:i4>5898320</vt:i4>
      </vt:variant>
      <vt:variant>
        <vt:i4>3</vt:i4>
      </vt:variant>
      <vt:variant>
        <vt:i4>0</vt:i4>
      </vt:variant>
      <vt:variant>
        <vt:i4>5</vt:i4>
      </vt:variant>
      <vt:variant>
        <vt:lpwstr>https://eur-lex.europa.eu/eli/reg/2019/452/oj</vt:lpwstr>
      </vt:variant>
      <vt:variant>
        <vt:lpwstr/>
      </vt:variant>
      <vt:variant>
        <vt:i4>5636170</vt:i4>
      </vt:variant>
      <vt:variant>
        <vt:i4>0</vt:i4>
      </vt:variant>
      <vt:variant>
        <vt:i4>0</vt:i4>
      </vt:variant>
      <vt:variant>
        <vt:i4>5</vt:i4>
      </vt:variant>
      <vt:variant>
        <vt:lpwstr>https://eur-lex.europa.eu/legal-content/EN/TXT/HTML/?uri=CELEX:52023PC0161</vt:lpwstr>
      </vt:variant>
      <vt:variant>
        <vt:lpwstr>:~:text=The%20global%20market%20for%20key,parts%20of%20this%20new%20market.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2024-04-09T08:25:00Z</dcterms:created>
  <dcterms:modified xsi:type="dcterms:W3CDTF">2024-04-09T09:25:00Z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2024-04-08T15:58:39Z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cbad97f4-47fd-4c08-be45-e75f498b89b8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ies>
</file>